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E1944" w14:textId="79C81537" w:rsidR="00DA0BF1" w:rsidRPr="006E1DA8" w:rsidRDefault="00343FCC" w:rsidP="008C207F">
      <w:pPr>
        <w:pStyle w:val="TitlePgCh"/>
        <w:rPr>
          <w:sz w:val="24"/>
        </w:rPr>
      </w:pPr>
      <w:r w:rsidRPr="006E1DA8">
        <w:rPr>
          <w:sz w:val="24"/>
        </w:rPr>
        <w:t>Chapter</w:t>
      </w:r>
      <w:r w:rsidR="00DA0BF1" w:rsidRPr="006E1DA8">
        <w:rPr>
          <w:sz w:val="24"/>
        </w:rPr>
        <w:t xml:space="preserve"> 3</w:t>
      </w:r>
    </w:p>
    <w:p w14:paraId="1EFC4D53" w14:textId="1D09621C" w:rsidR="00DA0BF1" w:rsidRPr="006E1DA8" w:rsidRDefault="00D4162C" w:rsidP="00860530">
      <w:pPr>
        <w:pStyle w:val="TitlePgChTitle"/>
        <w:rPr>
          <w:sz w:val="32"/>
        </w:rPr>
      </w:pPr>
      <w:r w:rsidRPr="006E1DA8">
        <w:rPr>
          <w:sz w:val="32"/>
        </w:rPr>
        <w:t xml:space="preserve">General Principles Affecting the Scope of Corruption Offences: </w:t>
      </w:r>
      <w:r w:rsidR="00014883" w:rsidRPr="006E1DA8">
        <w:rPr>
          <w:sz w:val="32"/>
        </w:rPr>
        <w:t>Jurisdiction, Corporate Liability, Accomplices and Inchoate Offences</w:t>
      </w:r>
    </w:p>
    <w:p w14:paraId="04F8660F" w14:textId="77777777" w:rsidR="00D6361A" w:rsidRPr="006E1DA8" w:rsidRDefault="00D6361A">
      <w:pPr>
        <w:spacing w:after="0"/>
        <w:jc w:val="left"/>
        <w:rPr>
          <w:rFonts w:eastAsiaTheme="majorEastAsia" w:cs="Times New Roman"/>
          <w:b/>
          <w:smallCaps/>
          <w:kern w:val="2"/>
          <w:sz w:val="24"/>
          <w:szCs w:val="26"/>
        </w:rPr>
      </w:pPr>
      <w:bookmarkStart w:id="0" w:name="_Toc287029836"/>
      <w:bookmarkStart w:id="1" w:name="_Toc287029821"/>
      <w:r w:rsidRPr="006E1DA8">
        <w:rPr>
          <w:rFonts w:cs="Times New Roman"/>
          <w:kern w:val="2"/>
          <w:sz w:val="24"/>
          <w:szCs w:val="26"/>
        </w:rPr>
        <w:br w:type="page"/>
      </w:r>
    </w:p>
    <w:p w14:paraId="5C077729" w14:textId="48B4C4AF" w:rsidR="00492A3B" w:rsidRPr="006E1DA8" w:rsidRDefault="00492A3B" w:rsidP="00492A3B">
      <w:pPr>
        <w:pStyle w:val="TOCHeading1"/>
        <w:rPr>
          <w:spacing w:val="0"/>
          <w:kern w:val="2"/>
          <w:sz w:val="28"/>
        </w:rPr>
      </w:pPr>
      <w:r w:rsidRPr="006E1DA8">
        <w:rPr>
          <w:spacing w:val="0"/>
          <w:kern w:val="2"/>
          <w:sz w:val="28"/>
        </w:rPr>
        <w:lastRenderedPageBreak/>
        <w:t>Contents</w:t>
      </w:r>
    </w:p>
    <w:p w14:paraId="2FEFD20B" w14:textId="77777777" w:rsidR="00366782" w:rsidRPr="006E1DA8" w:rsidRDefault="00492A3B" w:rsidP="00366782">
      <w:pPr>
        <w:pStyle w:val="TOC1"/>
        <w:jc w:val="left"/>
        <w:rPr>
          <w:rFonts w:eastAsiaTheme="minorEastAsia"/>
          <w:b w:val="0"/>
          <w:smallCaps w:val="0"/>
          <w:noProof/>
          <w:sz w:val="20"/>
          <w:lang w:eastAsia="en-CA"/>
        </w:rPr>
      </w:pPr>
      <w:r w:rsidRPr="006E1DA8">
        <w:rPr>
          <w:kern w:val="2"/>
          <w:sz w:val="20"/>
        </w:rPr>
        <w:fldChar w:fldCharType="begin"/>
      </w:r>
      <w:r w:rsidRPr="006E1DA8">
        <w:rPr>
          <w:kern w:val="2"/>
          <w:sz w:val="20"/>
        </w:rPr>
        <w:instrText xml:space="preserve"> TOC \o "1-1" \n \h \z \u </w:instrText>
      </w:r>
      <w:r w:rsidRPr="006E1DA8">
        <w:rPr>
          <w:kern w:val="2"/>
          <w:sz w:val="20"/>
        </w:rPr>
        <w:fldChar w:fldCharType="separate"/>
      </w:r>
      <w:hyperlink w:anchor="_Toc510097636" w:history="1">
        <w:r w:rsidR="00366782" w:rsidRPr="006E1DA8">
          <w:rPr>
            <w:rStyle w:val="Hyperlink"/>
            <w:noProof/>
            <w:sz w:val="20"/>
          </w:rPr>
          <w:t>1.</w:t>
        </w:r>
        <w:r w:rsidR="00366782" w:rsidRPr="006E1DA8">
          <w:rPr>
            <w:rFonts w:eastAsiaTheme="minorEastAsia"/>
            <w:b w:val="0"/>
            <w:smallCaps w:val="0"/>
            <w:noProof/>
            <w:sz w:val="20"/>
            <w:lang w:eastAsia="en-CA"/>
          </w:rPr>
          <w:tab/>
        </w:r>
        <w:r w:rsidR="00366782" w:rsidRPr="006E1DA8">
          <w:rPr>
            <w:rStyle w:val="Hyperlink"/>
            <w:noProof/>
            <w:sz w:val="20"/>
          </w:rPr>
          <w:t>Jurisdiction: To What Extent Can A State Prosecute Bribery Offences Committed Outside Its Borders?</w:t>
        </w:r>
      </w:hyperlink>
    </w:p>
    <w:p w14:paraId="1E59B801" w14:textId="77777777" w:rsidR="00366782" w:rsidRPr="006E1DA8" w:rsidRDefault="00A2774F" w:rsidP="00366782">
      <w:pPr>
        <w:pStyle w:val="TOC1"/>
        <w:jc w:val="left"/>
        <w:rPr>
          <w:rFonts w:eastAsiaTheme="minorEastAsia"/>
          <w:b w:val="0"/>
          <w:smallCaps w:val="0"/>
          <w:noProof/>
          <w:sz w:val="20"/>
          <w:lang w:eastAsia="en-CA"/>
        </w:rPr>
      </w:pPr>
      <w:hyperlink w:anchor="_Toc510097637" w:history="1">
        <w:r w:rsidR="00366782" w:rsidRPr="006E1DA8">
          <w:rPr>
            <w:rStyle w:val="Hyperlink"/>
            <w:noProof/>
            <w:sz w:val="20"/>
          </w:rPr>
          <w:t>2.</w:t>
        </w:r>
        <w:r w:rsidR="00366782" w:rsidRPr="006E1DA8">
          <w:rPr>
            <w:rFonts w:eastAsiaTheme="minorEastAsia"/>
            <w:b w:val="0"/>
            <w:smallCaps w:val="0"/>
            <w:noProof/>
            <w:sz w:val="20"/>
            <w:lang w:eastAsia="en-CA"/>
          </w:rPr>
          <w:tab/>
        </w:r>
        <w:r w:rsidR="00366782" w:rsidRPr="006E1DA8">
          <w:rPr>
            <w:rStyle w:val="Hyperlink"/>
            <w:noProof/>
            <w:sz w:val="20"/>
          </w:rPr>
          <w:t>Criminal Liability of Corporations and Other Collective Entities</w:t>
        </w:r>
      </w:hyperlink>
    </w:p>
    <w:p w14:paraId="72F4C731" w14:textId="77777777" w:rsidR="00366782" w:rsidRPr="006E1DA8" w:rsidRDefault="00A2774F" w:rsidP="00366782">
      <w:pPr>
        <w:pStyle w:val="TOC1"/>
        <w:jc w:val="left"/>
        <w:rPr>
          <w:rFonts w:eastAsiaTheme="minorEastAsia"/>
          <w:b w:val="0"/>
          <w:smallCaps w:val="0"/>
          <w:noProof/>
          <w:sz w:val="20"/>
          <w:lang w:eastAsia="en-CA"/>
        </w:rPr>
      </w:pPr>
      <w:hyperlink w:anchor="_Toc510097638" w:history="1">
        <w:r w:rsidR="00366782" w:rsidRPr="006E1DA8">
          <w:rPr>
            <w:rStyle w:val="Hyperlink"/>
            <w:noProof/>
            <w:sz w:val="20"/>
          </w:rPr>
          <w:t>3.</w:t>
        </w:r>
        <w:r w:rsidR="00366782" w:rsidRPr="006E1DA8">
          <w:rPr>
            <w:rFonts w:eastAsiaTheme="minorEastAsia"/>
            <w:b w:val="0"/>
            <w:smallCaps w:val="0"/>
            <w:noProof/>
            <w:sz w:val="20"/>
            <w:lang w:eastAsia="en-CA"/>
          </w:rPr>
          <w:tab/>
        </w:r>
        <w:r w:rsidR="00366782" w:rsidRPr="006E1DA8">
          <w:rPr>
            <w:rStyle w:val="Hyperlink"/>
            <w:noProof/>
            <w:sz w:val="20"/>
          </w:rPr>
          <w:t>Party or Accomplice Liability</w:t>
        </w:r>
      </w:hyperlink>
    </w:p>
    <w:p w14:paraId="338A91EC" w14:textId="77777777" w:rsidR="00366782" w:rsidRPr="006E1DA8" w:rsidRDefault="00A2774F" w:rsidP="00366782">
      <w:pPr>
        <w:pStyle w:val="TOC1"/>
        <w:jc w:val="left"/>
        <w:rPr>
          <w:rFonts w:eastAsiaTheme="minorEastAsia"/>
          <w:b w:val="0"/>
          <w:smallCaps w:val="0"/>
          <w:noProof/>
          <w:sz w:val="20"/>
          <w:lang w:eastAsia="en-CA"/>
        </w:rPr>
      </w:pPr>
      <w:hyperlink w:anchor="_Toc510097639" w:history="1">
        <w:r w:rsidR="00366782" w:rsidRPr="006E1DA8">
          <w:rPr>
            <w:rStyle w:val="Hyperlink"/>
            <w:noProof/>
            <w:sz w:val="20"/>
          </w:rPr>
          <w:t>4.</w:t>
        </w:r>
        <w:r w:rsidR="00366782" w:rsidRPr="006E1DA8">
          <w:rPr>
            <w:rFonts w:eastAsiaTheme="minorEastAsia"/>
            <w:b w:val="0"/>
            <w:smallCaps w:val="0"/>
            <w:noProof/>
            <w:sz w:val="20"/>
            <w:lang w:eastAsia="en-CA"/>
          </w:rPr>
          <w:tab/>
        </w:r>
        <w:r w:rsidR="00366782" w:rsidRPr="006E1DA8">
          <w:rPr>
            <w:rStyle w:val="Hyperlink"/>
            <w:noProof/>
            <w:sz w:val="20"/>
          </w:rPr>
          <w:t>Inchoate Offences</w:t>
        </w:r>
      </w:hyperlink>
    </w:p>
    <w:p w14:paraId="50730DE2" w14:textId="145328DD" w:rsidR="00622318" w:rsidRPr="006E1DA8" w:rsidRDefault="00492A3B" w:rsidP="00860530">
      <w:pPr>
        <w:pStyle w:val="Heading1"/>
        <w:rPr>
          <w:sz w:val="28"/>
        </w:rPr>
      </w:pPr>
      <w:r w:rsidRPr="006E1DA8">
        <w:rPr>
          <w:kern w:val="2"/>
          <w:sz w:val="28"/>
        </w:rPr>
        <w:fldChar w:fldCharType="end"/>
      </w:r>
      <w:bookmarkStart w:id="2" w:name="_Toc510097636"/>
      <w:r w:rsidR="00622318" w:rsidRPr="006E1DA8">
        <w:rPr>
          <w:sz w:val="28"/>
        </w:rPr>
        <w:t>Jurisdiction: To What Extent Can A State Prosecute Bribery Offences Committed Outside Its Borders?</w:t>
      </w:r>
      <w:bookmarkEnd w:id="0"/>
      <w:bookmarkEnd w:id="2"/>
    </w:p>
    <w:p w14:paraId="68E87AD4" w14:textId="0B7102FF" w:rsidR="00622318" w:rsidRPr="006E1DA8" w:rsidRDefault="00622318" w:rsidP="00D6361A">
      <w:pPr>
        <w:pStyle w:val="Heading2"/>
        <w:rPr>
          <w:kern w:val="2"/>
          <w:sz w:val="20"/>
        </w:rPr>
      </w:pPr>
      <w:bookmarkStart w:id="3" w:name="_Toc287029837"/>
      <w:r w:rsidRPr="006E1DA8">
        <w:rPr>
          <w:kern w:val="2"/>
          <w:sz w:val="24"/>
        </w:rPr>
        <w:t>Overview</w:t>
      </w:r>
      <w:bookmarkEnd w:id="3"/>
      <w:r w:rsidRPr="006E1DA8">
        <w:rPr>
          <w:kern w:val="2"/>
          <w:sz w:val="24"/>
        </w:rPr>
        <w:t xml:space="preserve"> </w:t>
      </w:r>
    </w:p>
    <w:p w14:paraId="24D4C0AA" w14:textId="299B9C86" w:rsidR="00622318" w:rsidRPr="006E1DA8" w:rsidRDefault="00622318" w:rsidP="005830EF">
      <w:pPr>
        <w:rPr>
          <w:kern w:val="2"/>
          <w:sz w:val="20"/>
        </w:rPr>
      </w:pPr>
      <w:r w:rsidRPr="006E1DA8">
        <w:rPr>
          <w:kern w:val="2"/>
          <w:sz w:val="20"/>
        </w:rPr>
        <w:t xml:space="preserve">In today’s globalized world, bribery and other forms of corruption are often transnational. Instances of bribery may involve a number of individuals or legal entities and encompass actions in multiple states. Large corporations are often multi-national, </w:t>
      </w:r>
      <w:r w:rsidR="00AD2481" w:rsidRPr="006E1DA8">
        <w:rPr>
          <w:kern w:val="2"/>
          <w:sz w:val="20"/>
        </w:rPr>
        <w:t xml:space="preserve">and </w:t>
      </w:r>
      <w:r w:rsidRPr="006E1DA8">
        <w:rPr>
          <w:kern w:val="2"/>
          <w:sz w:val="20"/>
        </w:rPr>
        <w:t>carrying on business in numerous states. Acts of bribery by one corporation</w:t>
      </w:r>
      <w:r w:rsidRPr="006E1DA8">
        <w:rPr>
          <w:b/>
          <w:bCs/>
          <w:kern w:val="2"/>
          <w:sz w:val="20"/>
        </w:rPr>
        <w:t xml:space="preserve"> </w:t>
      </w:r>
      <w:r w:rsidRPr="006E1DA8">
        <w:rPr>
          <w:kern w:val="2"/>
          <w:sz w:val="20"/>
        </w:rPr>
        <w:t>may disadvantage other foreign firms who lose business as a result. Since anti-corruption laws and their enforcement are not consistent across states, the way in which states determine jurisdiction</w:t>
      </w:r>
      <w:r w:rsidR="00AD2481" w:rsidRPr="006E1DA8">
        <w:rPr>
          <w:kern w:val="2"/>
          <w:sz w:val="20"/>
        </w:rPr>
        <w:t>—</w:t>
      </w:r>
      <w:r w:rsidRPr="006E1DA8">
        <w:rPr>
          <w:kern w:val="2"/>
          <w:sz w:val="20"/>
        </w:rPr>
        <w:t>to whom their anti-corruption laws apply and who can be prosecuted by their courts or tribunals</w:t>
      </w:r>
      <w:r w:rsidR="00AD2481" w:rsidRPr="006E1DA8">
        <w:rPr>
          <w:kern w:val="2"/>
          <w:sz w:val="20"/>
        </w:rPr>
        <w:t>—</w:t>
      </w:r>
      <w:r w:rsidRPr="006E1DA8">
        <w:rPr>
          <w:kern w:val="2"/>
          <w:sz w:val="20"/>
        </w:rPr>
        <w:t>has important implications for determining how effective anti-corruption laws will be in detecting, investigating, prosecuting</w:t>
      </w:r>
      <w:r w:rsidR="00B7638A" w:rsidRPr="006E1DA8">
        <w:rPr>
          <w:kern w:val="2"/>
          <w:sz w:val="20"/>
        </w:rPr>
        <w:t>,</w:t>
      </w:r>
      <w:r w:rsidRPr="006E1DA8">
        <w:rPr>
          <w:kern w:val="2"/>
          <w:sz w:val="20"/>
        </w:rPr>
        <w:t xml:space="preserve"> and punishing corruption.</w:t>
      </w:r>
    </w:p>
    <w:p w14:paraId="65188728" w14:textId="776A71CE" w:rsidR="00622318" w:rsidRPr="006E1DA8" w:rsidRDefault="00622318" w:rsidP="005830EF">
      <w:pPr>
        <w:rPr>
          <w:kern w:val="2"/>
          <w:sz w:val="20"/>
        </w:rPr>
      </w:pPr>
      <w:r w:rsidRPr="006E1DA8">
        <w:rPr>
          <w:kern w:val="2"/>
          <w:sz w:val="20"/>
        </w:rPr>
        <w:t xml:space="preserve">There are three general forms of jurisdiction: prescriptive, enforcement and adjudicative. These were briefly described by the Supreme Court of Canada in </w:t>
      </w:r>
      <w:r w:rsidRPr="006E1DA8">
        <w:rPr>
          <w:i/>
          <w:kern w:val="2"/>
          <w:sz w:val="20"/>
        </w:rPr>
        <w:t xml:space="preserve">R v </w:t>
      </w:r>
      <w:proofErr w:type="spellStart"/>
      <w:r w:rsidRPr="006E1DA8">
        <w:rPr>
          <w:i/>
          <w:kern w:val="2"/>
          <w:sz w:val="20"/>
        </w:rPr>
        <w:t>Hape</w:t>
      </w:r>
      <w:proofErr w:type="spellEnd"/>
      <w:r w:rsidRPr="006E1DA8">
        <w:rPr>
          <w:kern w:val="2"/>
          <w:sz w:val="20"/>
        </w:rPr>
        <w:t>:</w:t>
      </w:r>
    </w:p>
    <w:p w14:paraId="7631F42B" w14:textId="7B998FCB" w:rsidR="00622318" w:rsidRPr="006E1DA8" w:rsidRDefault="00622318" w:rsidP="005830EF">
      <w:pPr>
        <w:pStyle w:val="BlockQuote"/>
        <w:rPr>
          <w:kern w:val="2"/>
          <w:sz w:val="20"/>
        </w:rPr>
      </w:pPr>
      <w:r w:rsidRPr="006E1DA8">
        <w:rPr>
          <w:kern w:val="2"/>
          <w:sz w:val="20"/>
        </w:rPr>
        <w:t>Prescriptive jurisdiction (also called legislative or substantive jurisdiction) is the power to make rules, issue commands or grant authorizations that are binding upon persons and entities. The legislature exercises prescriptive jurisdiction in enacting legislation.  Enforcement jurisdiction is the power to use coercive means to ensure that rules are followed, commands are executed or entitlements are upheld. … Adjudicative jurisdiction is the power of a state's courts to resolve disputes or interpret the law through decisions that carry binding force [citations omitted]</w:t>
      </w:r>
      <w:r w:rsidR="00B2418F" w:rsidRPr="006E1DA8">
        <w:rPr>
          <w:kern w:val="2"/>
          <w:sz w:val="20"/>
        </w:rPr>
        <w:t>.</w:t>
      </w:r>
      <w:r w:rsidR="00AD6FAA" w:rsidRPr="006E1DA8">
        <w:rPr>
          <w:rStyle w:val="FootnoteReference"/>
          <w:rFonts w:cs="Times New Roman"/>
          <w:kern w:val="2"/>
          <w:sz w:val="20"/>
        </w:rPr>
        <w:footnoteReference w:id="1"/>
      </w:r>
    </w:p>
    <w:p w14:paraId="0A378141" w14:textId="74ED6FE0" w:rsidR="00622318" w:rsidRPr="006E1DA8" w:rsidRDefault="00622318" w:rsidP="005830EF">
      <w:pPr>
        <w:rPr>
          <w:kern w:val="2"/>
          <w:sz w:val="20"/>
        </w:rPr>
      </w:pPr>
      <w:r w:rsidRPr="006E1DA8">
        <w:rPr>
          <w:kern w:val="2"/>
          <w:sz w:val="20"/>
        </w:rPr>
        <w:lastRenderedPageBreak/>
        <w:t>As the Supreme Court noted, these forms of jurisdiction overlap in certain cases. Even if there is prescriptive jurisdiction, there may be no enforcement jurisdiction (i.e.</w:t>
      </w:r>
      <w:r w:rsidR="00BB585E" w:rsidRPr="006E1DA8">
        <w:rPr>
          <w:kern w:val="2"/>
          <w:sz w:val="20"/>
        </w:rPr>
        <w:t>,</w:t>
      </w:r>
      <w:r w:rsidRPr="006E1DA8">
        <w:rPr>
          <w:kern w:val="2"/>
          <w:sz w:val="20"/>
        </w:rPr>
        <w:t xml:space="preserve"> the power to compel extradition by reason of an extradition treaty or agreement).</w:t>
      </w:r>
    </w:p>
    <w:p w14:paraId="0555DF77" w14:textId="7D595009" w:rsidR="00622318" w:rsidRPr="006E1DA8" w:rsidRDefault="00622318" w:rsidP="005830EF">
      <w:pPr>
        <w:rPr>
          <w:i/>
          <w:iCs/>
          <w:kern w:val="2"/>
          <w:sz w:val="20"/>
        </w:rPr>
      </w:pPr>
      <w:r w:rsidRPr="006E1DA8">
        <w:rPr>
          <w:kern w:val="2"/>
          <w:sz w:val="20"/>
        </w:rPr>
        <w:t>The rules governing extra-territorial jurisdiction must be balanced with the concept of state sovereignty. The principles of state sovereignty, including equality and territorial integrity, are reaffirmed in Article 4 of UNCAC. A state is under an international obligation to not enforce its legislative powers within the territorial limits of another state without that state’s consent. However, under international law, the limits of a state's prescriptive or legislative jurisdiction (in other words the limits of how a state may dete</w:t>
      </w:r>
      <w:r w:rsidR="00D6608A" w:rsidRPr="006E1DA8">
        <w:rPr>
          <w:kern w:val="2"/>
          <w:sz w:val="20"/>
        </w:rPr>
        <w:t>rmine to whom its laws apply) are</w:t>
      </w:r>
      <w:r w:rsidRPr="006E1DA8">
        <w:rPr>
          <w:kern w:val="2"/>
          <w:sz w:val="20"/>
        </w:rPr>
        <w:t xml:space="preserve"> less clear. See generally the International Bar Association’s </w:t>
      </w:r>
      <w:r w:rsidRPr="006E1DA8">
        <w:rPr>
          <w:i/>
          <w:iCs/>
          <w:kern w:val="2"/>
          <w:sz w:val="20"/>
        </w:rPr>
        <w:t>Report of the Task Force on Extraterritorial Jurisdiction.</w:t>
      </w:r>
      <w:r w:rsidRPr="006E1DA8">
        <w:rPr>
          <w:rStyle w:val="FootnoteReference"/>
          <w:rFonts w:cs="Times New Roman"/>
          <w:iCs/>
          <w:kern w:val="2"/>
          <w:sz w:val="20"/>
        </w:rPr>
        <w:footnoteReference w:id="2"/>
      </w:r>
    </w:p>
    <w:p w14:paraId="719E9188" w14:textId="294A88D9" w:rsidR="00622318" w:rsidRPr="006E1DA8" w:rsidRDefault="00622318" w:rsidP="005830EF">
      <w:pPr>
        <w:rPr>
          <w:kern w:val="2"/>
          <w:sz w:val="20"/>
        </w:rPr>
      </w:pPr>
      <w:r w:rsidRPr="006E1DA8">
        <w:rPr>
          <w:kern w:val="2"/>
          <w:sz w:val="20"/>
        </w:rPr>
        <w:t>When engaged in international business transactions, it is essential for the company and its legal advisors to be aware which countries’ laws apply to its activities. In that sense, jurisdiction is the most important issue in international business transactions. Brown describes six theories that states may rely upon to assert prescriptive jurisdiction (i.e.</w:t>
      </w:r>
      <w:r w:rsidR="00AC376C" w:rsidRPr="006E1DA8">
        <w:rPr>
          <w:kern w:val="2"/>
          <w:sz w:val="20"/>
        </w:rPr>
        <w:t>,</w:t>
      </w:r>
      <w:r w:rsidRPr="006E1DA8">
        <w:rPr>
          <w:kern w:val="2"/>
          <w:sz w:val="20"/>
        </w:rPr>
        <w:t xml:space="preserve"> </w:t>
      </w:r>
      <w:r w:rsidR="00B552B5" w:rsidRPr="006E1DA8">
        <w:rPr>
          <w:kern w:val="2"/>
          <w:sz w:val="20"/>
        </w:rPr>
        <w:t>determine to</w:t>
      </w:r>
      <w:r w:rsidRPr="006E1DA8">
        <w:rPr>
          <w:kern w:val="2"/>
          <w:sz w:val="20"/>
        </w:rPr>
        <w:t xml:space="preserve"> whom their law applies).</w:t>
      </w:r>
      <w:r w:rsidRPr="006E1DA8">
        <w:rPr>
          <w:rStyle w:val="FootnoteReference"/>
          <w:rFonts w:cs="Times New Roman"/>
          <w:kern w:val="2"/>
          <w:sz w:val="20"/>
        </w:rPr>
        <w:footnoteReference w:id="3"/>
      </w:r>
      <w:r w:rsidRPr="006E1DA8">
        <w:rPr>
          <w:kern w:val="2"/>
          <w:sz w:val="20"/>
        </w:rPr>
        <w:t xml:space="preserve"> The two most accepted of these are </w:t>
      </w:r>
      <w:r w:rsidRPr="006E1DA8">
        <w:rPr>
          <w:b/>
          <w:kern w:val="2"/>
          <w:sz w:val="20"/>
        </w:rPr>
        <w:t>territoriality</w:t>
      </w:r>
      <w:r w:rsidRPr="006E1DA8">
        <w:rPr>
          <w:kern w:val="2"/>
          <w:sz w:val="20"/>
        </w:rPr>
        <w:t xml:space="preserve">, whereby jurisdiction is determined on the basis of where the criminal acts occurred, and </w:t>
      </w:r>
      <w:r w:rsidRPr="006E1DA8">
        <w:rPr>
          <w:b/>
          <w:kern w:val="2"/>
          <w:sz w:val="20"/>
        </w:rPr>
        <w:t>nationality</w:t>
      </w:r>
      <w:r w:rsidRPr="006E1DA8">
        <w:rPr>
          <w:kern w:val="2"/>
          <w:sz w:val="20"/>
        </w:rPr>
        <w:t xml:space="preserve"> (sometimes termed the active personality principle), whereby a state’s jurisdiction extends to the actions of its nationals no matter where the acts constituting the offence occur. Historically, common law countries have been much more reluctant to assert jurisdiction based on nationality while civil law </w:t>
      </w:r>
      <w:r w:rsidR="00924510" w:rsidRPr="006E1DA8">
        <w:rPr>
          <w:kern w:val="2"/>
          <w:sz w:val="20"/>
        </w:rPr>
        <w:t xml:space="preserve">and socialist law </w:t>
      </w:r>
      <w:r w:rsidRPr="006E1DA8">
        <w:rPr>
          <w:kern w:val="2"/>
          <w:sz w:val="20"/>
        </w:rPr>
        <w:t xml:space="preserve">countries were more likely to have embraced this theory. The third theory is </w:t>
      </w:r>
      <w:r w:rsidRPr="006E1DA8">
        <w:rPr>
          <w:b/>
          <w:kern w:val="2"/>
          <w:sz w:val="20"/>
        </w:rPr>
        <w:t>universality</w:t>
      </w:r>
      <w:r w:rsidR="00783139" w:rsidRPr="006E1DA8">
        <w:rPr>
          <w:kern w:val="2"/>
          <w:sz w:val="20"/>
        </w:rPr>
        <w:t>,</w:t>
      </w:r>
      <w:r w:rsidRPr="006E1DA8">
        <w:rPr>
          <w:kern w:val="2"/>
          <w:sz w:val="20"/>
        </w:rPr>
        <w:t xml:space="preserve"> </w:t>
      </w:r>
      <w:r w:rsidR="00783139" w:rsidRPr="006E1DA8">
        <w:rPr>
          <w:kern w:val="2"/>
          <w:sz w:val="20"/>
        </w:rPr>
        <w:t>where</w:t>
      </w:r>
      <w:r w:rsidRPr="006E1DA8">
        <w:rPr>
          <w:kern w:val="2"/>
          <w:sz w:val="20"/>
        </w:rPr>
        <w:t xml:space="preserve"> a state may charge any person present in its territory under its own domestic laws no matter where the acts constituting the offence occurred. This principle was traditionally reserved for piracy and has been extended more recently to crimes universally regarded as heinous, such as war crimes. The fourth theory is the </w:t>
      </w:r>
      <w:r w:rsidRPr="006E1DA8">
        <w:rPr>
          <w:b/>
          <w:kern w:val="2"/>
          <w:sz w:val="20"/>
        </w:rPr>
        <w:t>protective</w:t>
      </w:r>
      <w:r w:rsidRPr="006E1DA8">
        <w:rPr>
          <w:kern w:val="2"/>
          <w:sz w:val="20"/>
        </w:rPr>
        <w:t xml:space="preserve"> principle, which determines jurisdiction with reference to which state’s national interests were harmed by the offending act, and the fifth theory is the </w:t>
      </w:r>
      <w:r w:rsidRPr="006E1DA8">
        <w:rPr>
          <w:b/>
          <w:kern w:val="2"/>
          <w:sz w:val="20"/>
        </w:rPr>
        <w:t>passive personality</w:t>
      </w:r>
      <w:r w:rsidRPr="006E1DA8">
        <w:rPr>
          <w:kern w:val="2"/>
          <w:sz w:val="20"/>
        </w:rPr>
        <w:t xml:space="preserve"> principle, which determines jurisdiction based on the nationality of the crime’s victim or victims. Finally, there is also the </w:t>
      </w:r>
      <w:r w:rsidR="00321984" w:rsidRPr="006E1DA8">
        <w:rPr>
          <w:kern w:val="2"/>
          <w:sz w:val="20"/>
        </w:rPr>
        <w:t>“</w:t>
      </w:r>
      <w:r w:rsidRPr="006E1DA8">
        <w:rPr>
          <w:b/>
          <w:kern w:val="2"/>
          <w:sz w:val="20"/>
        </w:rPr>
        <w:t>flag</w:t>
      </w:r>
      <w:r w:rsidR="00321984" w:rsidRPr="006E1DA8">
        <w:rPr>
          <w:kern w:val="2"/>
          <w:sz w:val="20"/>
        </w:rPr>
        <w:t>”</w:t>
      </w:r>
      <w:r w:rsidRPr="006E1DA8">
        <w:rPr>
          <w:kern w:val="2"/>
          <w:sz w:val="20"/>
        </w:rPr>
        <w:t xml:space="preserve"> principle, which is sometimes classified under the principle of territoriality and extends a state’s domestic laws to acts occurring at sea on a ship flying </w:t>
      </w:r>
      <w:r w:rsidR="00095271" w:rsidRPr="006E1DA8">
        <w:rPr>
          <w:kern w:val="2"/>
          <w:sz w:val="20"/>
        </w:rPr>
        <w:t xml:space="preserve">that state’s </w:t>
      </w:r>
      <w:r w:rsidRPr="006E1DA8">
        <w:rPr>
          <w:kern w:val="2"/>
          <w:sz w:val="20"/>
        </w:rPr>
        <w:t>flag.</w:t>
      </w:r>
    </w:p>
    <w:p w14:paraId="5D462A4D" w14:textId="2D666DF0" w:rsidR="00622318" w:rsidRPr="006E1DA8" w:rsidRDefault="00622318" w:rsidP="005830EF">
      <w:pPr>
        <w:rPr>
          <w:kern w:val="2"/>
          <w:sz w:val="20"/>
        </w:rPr>
      </w:pPr>
      <w:r w:rsidRPr="006E1DA8">
        <w:rPr>
          <w:kern w:val="2"/>
          <w:sz w:val="20"/>
        </w:rPr>
        <w:t xml:space="preserve">With bribery of a foreign public official, it is common for the actual act of bribery to take place within the foreign official’s home country while some preparation, or perhaps just the authorization to offer a bribe, may take place in the briber's home state. Therefore, in respect to statutes that operate based on the territoriality principle alone, a home state’s jurisdiction over a briber will depend on </w:t>
      </w:r>
      <w:r w:rsidR="001213D7" w:rsidRPr="006E1DA8">
        <w:rPr>
          <w:kern w:val="2"/>
          <w:sz w:val="20"/>
        </w:rPr>
        <w:t>the</w:t>
      </w:r>
      <w:r w:rsidRPr="006E1DA8">
        <w:rPr>
          <w:kern w:val="2"/>
          <w:sz w:val="20"/>
        </w:rPr>
        <w:t xml:space="preserve"> connection required by the home state’s law between the briber’s conduct and the home state. A law </w:t>
      </w:r>
      <w:r w:rsidR="002D2F73" w:rsidRPr="006E1DA8">
        <w:rPr>
          <w:kern w:val="2"/>
          <w:sz w:val="20"/>
        </w:rPr>
        <w:t>that</w:t>
      </w:r>
      <w:r w:rsidRPr="006E1DA8">
        <w:rPr>
          <w:kern w:val="2"/>
          <w:sz w:val="20"/>
        </w:rPr>
        <w:t xml:space="preserve"> requires the </w:t>
      </w:r>
      <w:r w:rsidRPr="006E1DA8">
        <w:rPr>
          <w:i/>
          <w:kern w:val="2"/>
          <w:sz w:val="20"/>
        </w:rPr>
        <w:t>whole</w:t>
      </w:r>
      <w:r w:rsidRPr="006E1DA8">
        <w:rPr>
          <w:kern w:val="2"/>
          <w:sz w:val="20"/>
        </w:rPr>
        <w:t xml:space="preserve"> </w:t>
      </w:r>
      <w:r w:rsidRPr="006E1DA8">
        <w:rPr>
          <w:i/>
          <w:kern w:val="2"/>
          <w:sz w:val="20"/>
        </w:rPr>
        <w:t>or majority</w:t>
      </w:r>
      <w:r w:rsidRPr="006E1DA8">
        <w:rPr>
          <w:kern w:val="2"/>
          <w:sz w:val="20"/>
        </w:rPr>
        <w:t xml:space="preserve"> of the act of </w:t>
      </w:r>
      <w:r w:rsidRPr="006E1DA8">
        <w:rPr>
          <w:kern w:val="2"/>
          <w:sz w:val="20"/>
        </w:rPr>
        <w:lastRenderedPageBreak/>
        <w:t xml:space="preserve">bribery </w:t>
      </w:r>
      <w:r w:rsidR="002D2F73" w:rsidRPr="006E1DA8">
        <w:rPr>
          <w:kern w:val="2"/>
          <w:sz w:val="20"/>
        </w:rPr>
        <w:t>take</w:t>
      </w:r>
      <w:r w:rsidRPr="006E1DA8">
        <w:rPr>
          <w:kern w:val="2"/>
          <w:sz w:val="20"/>
        </w:rPr>
        <w:t xml:space="preserve"> place within </w:t>
      </w:r>
      <w:r w:rsidR="002D2F73" w:rsidRPr="006E1DA8">
        <w:rPr>
          <w:kern w:val="2"/>
          <w:sz w:val="20"/>
        </w:rPr>
        <w:t>the home state</w:t>
      </w:r>
      <w:r w:rsidRPr="006E1DA8">
        <w:rPr>
          <w:kern w:val="2"/>
          <w:sz w:val="20"/>
        </w:rPr>
        <w:t xml:space="preserve"> will have significantly less jurisdictional reach than a la</w:t>
      </w:r>
      <w:r w:rsidR="00AB7648" w:rsidRPr="006E1DA8">
        <w:rPr>
          <w:kern w:val="2"/>
          <w:sz w:val="20"/>
        </w:rPr>
        <w:t>w like</w:t>
      </w:r>
      <w:r w:rsidRPr="006E1DA8">
        <w:rPr>
          <w:kern w:val="2"/>
          <w:sz w:val="20"/>
        </w:rPr>
        <w:t xml:space="preserve"> the US </w:t>
      </w:r>
      <w:r w:rsidRPr="006E1DA8">
        <w:rPr>
          <w:i/>
          <w:iCs/>
          <w:kern w:val="2"/>
          <w:sz w:val="20"/>
        </w:rPr>
        <w:t>FCPA</w:t>
      </w:r>
      <w:r w:rsidRPr="006E1DA8">
        <w:rPr>
          <w:kern w:val="2"/>
          <w:sz w:val="20"/>
        </w:rPr>
        <w:t xml:space="preserve">, </w:t>
      </w:r>
      <w:r w:rsidR="00AB7648" w:rsidRPr="006E1DA8">
        <w:rPr>
          <w:kern w:val="2"/>
          <w:sz w:val="20"/>
        </w:rPr>
        <w:t>which</w:t>
      </w:r>
      <w:r w:rsidRPr="006E1DA8">
        <w:rPr>
          <w:kern w:val="2"/>
          <w:sz w:val="20"/>
        </w:rPr>
        <w:t xml:space="preserve"> applies</w:t>
      </w:r>
      <w:r w:rsidR="00AB7648" w:rsidRPr="006E1DA8">
        <w:rPr>
          <w:kern w:val="2"/>
          <w:sz w:val="20"/>
        </w:rPr>
        <w:t xml:space="preserve"> (among other ways)</w:t>
      </w:r>
      <w:r w:rsidRPr="006E1DA8">
        <w:rPr>
          <w:kern w:val="2"/>
          <w:sz w:val="20"/>
        </w:rPr>
        <w:t xml:space="preserve"> when </w:t>
      </w:r>
      <w:r w:rsidRPr="006E1DA8">
        <w:rPr>
          <w:i/>
          <w:iCs/>
          <w:kern w:val="2"/>
          <w:sz w:val="20"/>
        </w:rPr>
        <w:t xml:space="preserve">any </w:t>
      </w:r>
      <w:r w:rsidRPr="006E1DA8">
        <w:rPr>
          <w:i/>
          <w:kern w:val="2"/>
          <w:sz w:val="20"/>
        </w:rPr>
        <w:t>or virtually any</w:t>
      </w:r>
      <w:r w:rsidRPr="006E1DA8">
        <w:rPr>
          <w:kern w:val="2"/>
          <w:sz w:val="20"/>
        </w:rPr>
        <w:t xml:space="preserve"> act or communication</w:t>
      </w:r>
      <w:r w:rsidRPr="006E1DA8">
        <w:rPr>
          <w:i/>
          <w:iCs/>
          <w:kern w:val="2"/>
          <w:sz w:val="20"/>
        </w:rPr>
        <w:t xml:space="preserve"> </w:t>
      </w:r>
      <w:r w:rsidRPr="006E1DA8">
        <w:rPr>
          <w:kern w:val="2"/>
          <w:sz w:val="20"/>
        </w:rPr>
        <w:t>in furtherance</w:t>
      </w:r>
      <w:r w:rsidRPr="006E1DA8">
        <w:rPr>
          <w:i/>
          <w:iCs/>
          <w:kern w:val="2"/>
          <w:sz w:val="20"/>
        </w:rPr>
        <w:t xml:space="preserve"> </w:t>
      </w:r>
      <w:r w:rsidRPr="006E1DA8">
        <w:rPr>
          <w:kern w:val="2"/>
          <w:sz w:val="20"/>
        </w:rPr>
        <w:t xml:space="preserve">of a corrupt payment occurs within </w:t>
      </w:r>
      <w:r w:rsidR="00E1047D" w:rsidRPr="006E1DA8">
        <w:rPr>
          <w:kern w:val="2"/>
          <w:sz w:val="20"/>
        </w:rPr>
        <w:t xml:space="preserve">the </w:t>
      </w:r>
      <w:r w:rsidR="00AB7648" w:rsidRPr="006E1DA8">
        <w:rPr>
          <w:kern w:val="2"/>
          <w:sz w:val="20"/>
        </w:rPr>
        <w:t>US</w:t>
      </w:r>
      <w:r w:rsidRPr="006E1DA8">
        <w:rPr>
          <w:kern w:val="2"/>
          <w:sz w:val="20"/>
        </w:rPr>
        <w:t>.</w:t>
      </w:r>
    </w:p>
    <w:p w14:paraId="72A49948" w14:textId="570A5D9A" w:rsidR="00622318" w:rsidRPr="006E1DA8" w:rsidRDefault="00622318" w:rsidP="005830EF">
      <w:pPr>
        <w:rPr>
          <w:kern w:val="2"/>
          <w:sz w:val="20"/>
        </w:rPr>
      </w:pPr>
      <w:r w:rsidRPr="006E1DA8">
        <w:rPr>
          <w:kern w:val="2"/>
          <w:sz w:val="20"/>
        </w:rPr>
        <w:t xml:space="preserve">Territoriality may be asserted under the principles of either subjective territoriality or objective territoriality. </w:t>
      </w:r>
      <w:proofErr w:type="spellStart"/>
      <w:r w:rsidRPr="006E1DA8">
        <w:rPr>
          <w:kern w:val="2"/>
          <w:sz w:val="20"/>
        </w:rPr>
        <w:t>Zerk</w:t>
      </w:r>
      <w:proofErr w:type="spellEnd"/>
      <w:r w:rsidRPr="006E1DA8">
        <w:rPr>
          <w:kern w:val="2"/>
          <w:sz w:val="20"/>
        </w:rPr>
        <w:t xml:space="preserve"> reviews the different ways in which states may assert jurisdiction based on territoriality:</w:t>
      </w:r>
    </w:p>
    <w:p w14:paraId="11C86C4D" w14:textId="77D96B2F" w:rsidR="00CA65CC" w:rsidRPr="006E1DA8" w:rsidRDefault="00622318" w:rsidP="005830EF">
      <w:pPr>
        <w:pStyle w:val="BlockQuote"/>
        <w:rPr>
          <w:kern w:val="2"/>
          <w:sz w:val="20"/>
        </w:rPr>
      </w:pPr>
      <w:r w:rsidRPr="006E1DA8">
        <w:rPr>
          <w:kern w:val="2"/>
          <w:sz w:val="20"/>
        </w:rPr>
        <w:t xml:space="preserve">The principle of subjective territoriality gives State X the right to take jurisdiction over a course of conduct that commenced in State X and was completed in another state. A terrorist plot that was hatched in State X and executed in State Y could fall into this category. The principle of objective territoriality gives State X the right to take jurisdiction over a course of conduct that began in another state and [was] completed in State X. A conspiracy in State Y to defraud investors in State X could give rise to jurisdiction based on this principle. A further refinement of the principle of objective territoriality appears to be gaining acceptance, in the antitrust field at least. This doctrine, known as the </w:t>
      </w:r>
      <w:r w:rsidRPr="006E1DA8">
        <w:rPr>
          <w:i/>
          <w:kern w:val="2"/>
          <w:sz w:val="20"/>
        </w:rPr>
        <w:t>effects doctrine</w:t>
      </w:r>
      <w:r w:rsidRPr="006E1DA8">
        <w:rPr>
          <w:kern w:val="2"/>
          <w:sz w:val="20"/>
        </w:rPr>
        <w:t xml:space="preserve">, argues that states have jurisdiction over foreign actors and conduct on the basis of </w:t>
      </w:r>
      <w:r w:rsidR="00321984" w:rsidRPr="006E1DA8">
        <w:rPr>
          <w:kern w:val="2"/>
          <w:sz w:val="20"/>
        </w:rPr>
        <w:t>“</w:t>
      </w:r>
      <w:r w:rsidRPr="006E1DA8">
        <w:rPr>
          <w:kern w:val="2"/>
          <w:sz w:val="20"/>
        </w:rPr>
        <w:t>effects</w:t>
      </w:r>
      <w:r w:rsidR="00321984" w:rsidRPr="006E1DA8">
        <w:rPr>
          <w:kern w:val="2"/>
          <w:sz w:val="20"/>
        </w:rPr>
        <w:t>”</w:t>
      </w:r>
      <w:r w:rsidRPr="006E1DA8">
        <w:rPr>
          <w:kern w:val="2"/>
          <w:sz w:val="20"/>
        </w:rPr>
        <w:t xml:space="preserve"> (usually economic effects) produced within their own territorial boundaries, provided those effects are substantial, and a direct result of that foreign conduct. Jurisdiction taken on the basis of the effects doctrine is often classed as </w:t>
      </w:r>
      <w:r w:rsidR="00321984" w:rsidRPr="006E1DA8">
        <w:rPr>
          <w:kern w:val="2"/>
          <w:sz w:val="20"/>
        </w:rPr>
        <w:t>“</w:t>
      </w:r>
      <w:r w:rsidRPr="006E1DA8">
        <w:rPr>
          <w:kern w:val="2"/>
          <w:sz w:val="20"/>
        </w:rPr>
        <w:t>extraterritorial jurisdiction</w:t>
      </w:r>
      <w:r w:rsidR="00321984" w:rsidRPr="006E1DA8">
        <w:rPr>
          <w:kern w:val="2"/>
          <w:sz w:val="20"/>
        </w:rPr>
        <w:t>”</w:t>
      </w:r>
      <w:r w:rsidRPr="006E1DA8">
        <w:rPr>
          <w:kern w:val="2"/>
          <w:sz w:val="20"/>
        </w:rPr>
        <w:t xml:space="preserve"> on the grounds that jurisdiction is asserted over foreign conduct. It is important, though, not to lose sight of the territorial connections that do exist (i.e. in terms of </w:t>
      </w:r>
      <w:r w:rsidR="00321984" w:rsidRPr="006E1DA8">
        <w:rPr>
          <w:kern w:val="2"/>
          <w:sz w:val="20"/>
        </w:rPr>
        <w:t>“</w:t>
      </w:r>
      <w:r w:rsidRPr="006E1DA8">
        <w:rPr>
          <w:kern w:val="2"/>
          <w:sz w:val="20"/>
        </w:rPr>
        <w:t>effects</w:t>
      </w:r>
      <w:r w:rsidR="00321984" w:rsidRPr="006E1DA8">
        <w:rPr>
          <w:kern w:val="2"/>
          <w:sz w:val="20"/>
        </w:rPr>
        <w:t>”</w:t>
      </w:r>
      <w:r w:rsidRPr="006E1DA8">
        <w:rPr>
          <w:kern w:val="2"/>
          <w:sz w:val="20"/>
        </w:rPr>
        <w:t>) over which the regulating state arguably does have territorial jurisdiction. Nevertheless, while this doctrine has become increasingly accepted in principle as more states adopt it, its scope remains controversial, especially in relation to purely economic (as opposed to physical) effects.</w:t>
      </w:r>
      <w:bookmarkStart w:id="4" w:name="_Toc287029838"/>
      <w:r w:rsidR="00D13A6C" w:rsidRPr="006E1DA8">
        <w:rPr>
          <w:rStyle w:val="FootnoteReference"/>
          <w:rFonts w:cs="Times New Roman"/>
          <w:kern w:val="2"/>
          <w:sz w:val="20"/>
        </w:rPr>
        <w:footnoteReference w:id="4"/>
      </w:r>
    </w:p>
    <w:p w14:paraId="718322C8" w14:textId="0CC6426F" w:rsidR="00622318" w:rsidRPr="006E1DA8" w:rsidRDefault="00622318" w:rsidP="00860530">
      <w:pPr>
        <w:pStyle w:val="Heading2"/>
        <w:rPr>
          <w:sz w:val="24"/>
        </w:rPr>
      </w:pPr>
      <w:r w:rsidRPr="006E1DA8">
        <w:rPr>
          <w:sz w:val="24"/>
        </w:rPr>
        <w:t>UNCAC</w:t>
      </w:r>
      <w:bookmarkEnd w:id="4"/>
    </w:p>
    <w:p w14:paraId="254B3A78" w14:textId="0C171327" w:rsidR="00622318" w:rsidRPr="006E1DA8" w:rsidRDefault="00622318" w:rsidP="005830EF">
      <w:pPr>
        <w:rPr>
          <w:kern w:val="2"/>
          <w:sz w:val="20"/>
        </w:rPr>
      </w:pPr>
      <w:r w:rsidRPr="006E1DA8">
        <w:rPr>
          <w:kern w:val="2"/>
          <w:sz w:val="20"/>
        </w:rPr>
        <w:t xml:space="preserve">Article 42(1) of UNCAC requires State Parties to assert jurisdiction when an offence is committed within their territory or on board a vessel flying their flag. Article 42(3) of the Convention also requires State Parties to exercise jurisdiction when the offender is present in their territory and extradition is refused on the basis that the offender is a national. Some commentators have noted that unlike the OECD Convention, UNCAC does not appear to mandate that a state assert jurisdiction in instances where the act occurred only partially within its territory. </w:t>
      </w:r>
    </w:p>
    <w:p w14:paraId="1D5926F6" w14:textId="77777777" w:rsidR="00622318" w:rsidRPr="006E1DA8" w:rsidRDefault="00622318" w:rsidP="005830EF">
      <w:pPr>
        <w:rPr>
          <w:kern w:val="2"/>
          <w:sz w:val="20"/>
        </w:rPr>
      </w:pPr>
      <w:r w:rsidRPr="006E1DA8">
        <w:rPr>
          <w:kern w:val="2"/>
          <w:sz w:val="20"/>
        </w:rPr>
        <w:lastRenderedPageBreak/>
        <w:t xml:space="preserve">Article 42(2) </w:t>
      </w:r>
      <w:r w:rsidRPr="006E1DA8">
        <w:rPr>
          <w:i/>
          <w:kern w:val="2"/>
          <w:sz w:val="20"/>
        </w:rPr>
        <w:t>permits</w:t>
      </w:r>
      <w:r w:rsidRPr="006E1DA8">
        <w:rPr>
          <w:kern w:val="2"/>
          <w:sz w:val="20"/>
        </w:rPr>
        <w:t xml:space="preserve"> states to establish jurisdiction in the following circumstances:</w:t>
      </w:r>
    </w:p>
    <w:p w14:paraId="0EA6AA1E" w14:textId="636EFA95" w:rsidR="00622318" w:rsidRPr="006E1DA8" w:rsidRDefault="00622318" w:rsidP="009D3B31">
      <w:pPr>
        <w:pStyle w:val="BlockQuote"/>
        <w:numPr>
          <w:ilvl w:val="0"/>
          <w:numId w:val="3"/>
        </w:numPr>
        <w:jc w:val="left"/>
        <w:rPr>
          <w:kern w:val="2"/>
          <w:sz w:val="20"/>
        </w:rPr>
      </w:pPr>
      <w:r w:rsidRPr="006E1DA8">
        <w:rPr>
          <w:kern w:val="2"/>
          <w:sz w:val="20"/>
        </w:rPr>
        <w:t>Subject to Article 4 of this Convention [State Sovereignty], a State Party may also establish its jurisdiction over any such offence when:</w:t>
      </w:r>
    </w:p>
    <w:p w14:paraId="2AD8F44D" w14:textId="33900058" w:rsidR="00622318" w:rsidRPr="006E1DA8" w:rsidRDefault="00622318" w:rsidP="009D3B31">
      <w:pPr>
        <w:pStyle w:val="BlockQuote"/>
        <w:numPr>
          <w:ilvl w:val="0"/>
          <w:numId w:val="4"/>
        </w:numPr>
        <w:spacing w:before="60" w:after="0"/>
        <w:ind w:left="1440"/>
        <w:jc w:val="left"/>
        <w:rPr>
          <w:rFonts w:cs="Times New Roman"/>
          <w:kern w:val="2"/>
          <w:sz w:val="20"/>
          <w:szCs w:val="21"/>
        </w:rPr>
      </w:pPr>
      <w:r w:rsidRPr="006E1DA8">
        <w:rPr>
          <w:rFonts w:cs="Times New Roman"/>
          <w:kern w:val="2"/>
          <w:sz w:val="20"/>
          <w:szCs w:val="21"/>
        </w:rPr>
        <w:t>The offence is committed against a national of that State Party; or</w:t>
      </w:r>
    </w:p>
    <w:p w14:paraId="6021070B" w14:textId="3669FE1F" w:rsidR="00622318" w:rsidRPr="006E1DA8" w:rsidRDefault="00622318" w:rsidP="009D3B31">
      <w:pPr>
        <w:pStyle w:val="BlockQuote"/>
        <w:numPr>
          <w:ilvl w:val="0"/>
          <w:numId w:val="4"/>
        </w:numPr>
        <w:spacing w:before="60" w:after="0"/>
        <w:ind w:left="1440"/>
        <w:jc w:val="left"/>
        <w:rPr>
          <w:rFonts w:cs="Times New Roman"/>
          <w:kern w:val="2"/>
          <w:sz w:val="20"/>
          <w:szCs w:val="21"/>
        </w:rPr>
      </w:pPr>
      <w:r w:rsidRPr="006E1DA8">
        <w:rPr>
          <w:rFonts w:cs="Times New Roman"/>
          <w:kern w:val="2"/>
          <w:sz w:val="20"/>
          <w:szCs w:val="21"/>
        </w:rPr>
        <w:t>The offence is committed by a national of that State Party or a stateless person who has his or her habitual residence in its territory; or</w:t>
      </w:r>
    </w:p>
    <w:p w14:paraId="6E181194" w14:textId="1B46B00C" w:rsidR="00622318" w:rsidRPr="006E1DA8" w:rsidRDefault="00622318" w:rsidP="009D3B31">
      <w:pPr>
        <w:pStyle w:val="BlockQuote"/>
        <w:numPr>
          <w:ilvl w:val="0"/>
          <w:numId w:val="4"/>
        </w:numPr>
        <w:spacing w:before="60" w:after="0"/>
        <w:ind w:left="1440"/>
        <w:jc w:val="left"/>
        <w:rPr>
          <w:rFonts w:cs="Times New Roman"/>
          <w:kern w:val="2"/>
          <w:sz w:val="20"/>
          <w:szCs w:val="21"/>
        </w:rPr>
      </w:pPr>
      <w:r w:rsidRPr="006E1DA8">
        <w:rPr>
          <w:rFonts w:cs="Times New Roman"/>
          <w:kern w:val="2"/>
          <w:sz w:val="20"/>
          <w:szCs w:val="21"/>
        </w:rPr>
        <w:t>The offence is one of those established in accordance with article 23, paragraph 1</w:t>
      </w:r>
      <w:r w:rsidRPr="006E1DA8">
        <w:rPr>
          <w:rFonts w:cs="Times New Roman"/>
          <w:i/>
          <w:kern w:val="2"/>
          <w:sz w:val="20"/>
          <w:szCs w:val="21"/>
        </w:rPr>
        <w:t xml:space="preserve">(b) </w:t>
      </w:r>
      <w:r w:rsidRPr="006E1DA8">
        <w:rPr>
          <w:rFonts w:cs="Times New Roman"/>
          <w:kern w:val="2"/>
          <w:sz w:val="20"/>
          <w:szCs w:val="21"/>
        </w:rPr>
        <w:t xml:space="preserve">(ii) [conspiracy or other forms of participation in a plan to commit money laundering offences], of this Convention and is committed outside its territory with a view to the commission of an offence established in accordance with article 23, paragraph 1 </w:t>
      </w:r>
      <w:r w:rsidRPr="006E1DA8">
        <w:rPr>
          <w:rFonts w:cs="Times New Roman"/>
          <w:i/>
          <w:kern w:val="2"/>
          <w:sz w:val="20"/>
          <w:szCs w:val="21"/>
        </w:rPr>
        <w:t xml:space="preserve">(a) </w:t>
      </w:r>
      <w:r w:rsidRPr="006E1DA8">
        <w:rPr>
          <w:rFonts w:cs="Times New Roman"/>
          <w:kern w:val="2"/>
          <w:sz w:val="20"/>
          <w:szCs w:val="21"/>
        </w:rPr>
        <w:t>(</w:t>
      </w:r>
      <w:proofErr w:type="spellStart"/>
      <w:r w:rsidRPr="006E1DA8">
        <w:rPr>
          <w:rFonts w:cs="Times New Roman"/>
          <w:kern w:val="2"/>
          <w:sz w:val="20"/>
          <w:szCs w:val="21"/>
        </w:rPr>
        <w:t>i</w:t>
      </w:r>
      <w:proofErr w:type="spellEnd"/>
      <w:r w:rsidRPr="006E1DA8">
        <w:rPr>
          <w:rFonts w:cs="Times New Roman"/>
          <w:kern w:val="2"/>
          <w:sz w:val="20"/>
          <w:szCs w:val="21"/>
        </w:rPr>
        <w:t xml:space="preserve">) or (ii) or </w:t>
      </w:r>
      <w:r w:rsidRPr="006E1DA8">
        <w:rPr>
          <w:rFonts w:cs="Times New Roman"/>
          <w:i/>
          <w:kern w:val="2"/>
          <w:sz w:val="20"/>
          <w:szCs w:val="21"/>
        </w:rPr>
        <w:t xml:space="preserve">(b) </w:t>
      </w:r>
      <w:r w:rsidRPr="006E1DA8">
        <w:rPr>
          <w:rFonts w:cs="Times New Roman"/>
          <w:kern w:val="2"/>
          <w:sz w:val="20"/>
          <w:szCs w:val="21"/>
        </w:rPr>
        <w:t>(</w:t>
      </w:r>
      <w:proofErr w:type="spellStart"/>
      <w:r w:rsidRPr="006E1DA8">
        <w:rPr>
          <w:rFonts w:cs="Times New Roman"/>
          <w:kern w:val="2"/>
          <w:sz w:val="20"/>
          <w:szCs w:val="21"/>
        </w:rPr>
        <w:t>i</w:t>
      </w:r>
      <w:proofErr w:type="spellEnd"/>
      <w:r w:rsidRPr="006E1DA8">
        <w:rPr>
          <w:rFonts w:cs="Times New Roman"/>
          <w:kern w:val="2"/>
          <w:sz w:val="20"/>
          <w:szCs w:val="21"/>
        </w:rPr>
        <w:t>) [money laundering offences], of this Convention within its territory; or</w:t>
      </w:r>
    </w:p>
    <w:p w14:paraId="2C6739C7" w14:textId="40D9F8A4" w:rsidR="00622318" w:rsidRPr="006E1DA8" w:rsidRDefault="00622318" w:rsidP="009D3B31">
      <w:pPr>
        <w:pStyle w:val="BlockQuote"/>
        <w:numPr>
          <w:ilvl w:val="0"/>
          <w:numId w:val="4"/>
        </w:numPr>
        <w:spacing w:before="60" w:after="0"/>
        <w:ind w:left="1440"/>
        <w:jc w:val="left"/>
        <w:rPr>
          <w:rFonts w:cs="Times New Roman"/>
          <w:kern w:val="2"/>
          <w:sz w:val="20"/>
          <w:szCs w:val="21"/>
        </w:rPr>
      </w:pPr>
      <w:r w:rsidRPr="006E1DA8">
        <w:rPr>
          <w:rFonts w:cs="Times New Roman"/>
          <w:kern w:val="2"/>
          <w:sz w:val="20"/>
          <w:szCs w:val="21"/>
        </w:rPr>
        <w:t>The offence is committed against the State Party.</w:t>
      </w:r>
      <w:r w:rsidR="00314236" w:rsidRPr="006E1DA8">
        <w:rPr>
          <w:rStyle w:val="FootnoteReference"/>
          <w:rFonts w:cs="Times New Roman"/>
          <w:kern w:val="2"/>
          <w:sz w:val="20"/>
        </w:rPr>
        <w:footnoteReference w:id="5"/>
      </w:r>
    </w:p>
    <w:p w14:paraId="0F20470F" w14:textId="41FF5AD1" w:rsidR="00622318" w:rsidRPr="006E1DA8" w:rsidRDefault="00622318" w:rsidP="00B56EF4">
      <w:pPr>
        <w:rPr>
          <w:kern w:val="2"/>
          <w:sz w:val="20"/>
        </w:rPr>
      </w:pPr>
      <w:r w:rsidRPr="006E1DA8">
        <w:rPr>
          <w:kern w:val="2"/>
          <w:sz w:val="20"/>
        </w:rPr>
        <w:t xml:space="preserve">Article 42(2) is limited by Article 4, which is meant to protect state sovereignty by discouraging the exercise of extraterritorial jurisdiction within the territory of another state if the laws of that state mandate exclusive territorial jurisdiction. Some commentators, such as </w:t>
      </w:r>
      <w:proofErr w:type="spellStart"/>
      <w:r w:rsidRPr="006E1DA8">
        <w:rPr>
          <w:kern w:val="2"/>
          <w:sz w:val="20"/>
        </w:rPr>
        <w:t>Lestelle</w:t>
      </w:r>
      <w:proofErr w:type="spellEnd"/>
      <w:r w:rsidRPr="006E1DA8">
        <w:rPr>
          <w:kern w:val="2"/>
          <w:sz w:val="20"/>
        </w:rPr>
        <w:t>, have questioned whether UNCAC permits jurisdiction to be established on the basis of other theories of jurisdiction, such as the protective principle, which is notably absent from Article 42(2).</w:t>
      </w:r>
      <w:r w:rsidRPr="006E1DA8">
        <w:rPr>
          <w:rStyle w:val="FootnoteReference"/>
          <w:rFonts w:cs="Times New Roman"/>
          <w:kern w:val="2"/>
          <w:sz w:val="20"/>
        </w:rPr>
        <w:footnoteReference w:id="6"/>
      </w:r>
      <w:r w:rsidRPr="006E1DA8">
        <w:rPr>
          <w:kern w:val="2"/>
          <w:sz w:val="20"/>
        </w:rPr>
        <w:t xml:space="preserve"> </w:t>
      </w:r>
      <w:proofErr w:type="spellStart"/>
      <w:r w:rsidRPr="006E1DA8">
        <w:rPr>
          <w:kern w:val="2"/>
          <w:sz w:val="20"/>
        </w:rPr>
        <w:t>Lestelle</w:t>
      </w:r>
      <w:proofErr w:type="spellEnd"/>
      <w:r w:rsidRPr="006E1DA8">
        <w:rPr>
          <w:kern w:val="2"/>
          <w:sz w:val="20"/>
        </w:rPr>
        <w:t xml:space="preserve"> states</w:t>
      </w:r>
      <w:r w:rsidR="00AC0B32" w:rsidRPr="006E1DA8">
        <w:rPr>
          <w:kern w:val="2"/>
          <w:sz w:val="20"/>
        </w:rPr>
        <w:t>:</w:t>
      </w:r>
      <w:r w:rsidR="00147593" w:rsidRPr="006E1DA8">
        <w:rPr>
          <w:rStyle w:val="FootnoteReference"/>
          <w:rFonts w:cs="Times New Roman"/>
          <w:kern w:val="2"/>
          <w:sz w:val="20"/>
        </w:rPr>
        <w:footnoteReference w:id="7"/>
      </w:r>
    </w:p>
    <w:p w14:paraId="6452D407" w14:textId="6DA684A7" w:rsidR="00622318" w:rsidRPr="006E1DA8" w:rsidRDefault="00622318" w:rsidP="00B56EF4">
      <w:pPr>
        <w:pStyle w:val="BlockQuote"/>
        <w:rPr>
          <w:kern w:val="2"/>
          <w:sz w:val="20"/>
        </w:rPr>
      </w:pPr>
      <w:r w:rsidRPr="006E1DA8">
        <w:rPr>
          <w:kern w:val="2"/>
          <w:sz w:val="20"/>
        </w:rPr>
        <w:t xml:space="preserve">Despite the extensive list of extraterritorial circumstances contemplated by article 42, the limitation in article 4 denudes much of the potency from the grant. Furthermore, a final theory of extraterritorial jurisdiction, the </w:t>
      </w:r>
      <w:r w:rsidR="00321984" w:rsidRPr="006E1DA8">
        <w:rPr>
          <w:kern w:val="2"/>
          <w:sz w:val="20"/>
        </w:rPr>
        <w:t>“</w:t>
      </w:r>
      <w:r w:rsidRPr="006E1DA8">
        <w:rPr>
          <w:kern w:val="2"/>
          <w:sz w:val="20"/>
        </w:rPr>
        <w:t>protective</w:t>
      </w:r>
      <w:r w:rsidR="00321984" w:rsidRPr="006E1DA8">
        <w:rPr>
          <w:kern w:val="2"/>
          <w:sz w:val="20"/>
        </w:rPr>
        <w:t>”</w:t>
      </w:r>
      <w:r w:rsidRPr="006E1DA8">
        <w:rPr>
          <w:kern w:val="2"/>
          <w:sz w:val="20"/>
        </w:rPr>
        <w:t xml:space="preserve"> principle, is notably absent from the list in article 42. The </w:t>
      </w:r>
      <w:r w:rsidR="00321984" w:rsidRPr="006E1DA8">
        <w:rPr>
          <w:kern w:val="2"/>
          <w:sz w:val="20"/>
        </w:rPr>
        <w:t>“</w:t>
      </w:r>
      <w:r w:rsidRPr="006E1DA8">
        <w:rPr>
          <w:kern w:val="2"/>
          <w:sz w:val="20"/>
        </w:rPr>
        <w:t>protective</w:t>
      </w:r>
      <w:r w:rsidR="00321984" w:rsidRPr="006E1DA8">
        <w:rPr>
          <w:kern w:val="2"/>
          <w:sz w:val="20"/>
        </w:rPr>
        <w:t>”</w:t>
      </w:r>
      <w:r w:rsidRPr="006E1DA8">
        <w:rPr>
          <w:kern w:val="2"/>
          <w:sz w:val="20"/>
        </w:rPr>
        <w:t xml:space="preserve"> principle provides jurisdiction if the effect or possible effect of the offense is to occur in the forum state and for offenses that threaten the </w:t>
      </w:r>
      <w:r w:rsidR="00321984" w:rsidRPr="006E1DA8">
        <w:rPr>
          <w:kern w:val="2"/>
          <w:sz w:val="20"/>
        </w:rPr>
        <w:t>“</w:t>
      </w:r>
      <w:r w:rsidRPr="006E1DA8">
        <w:rPr>
          <w:kern w:val="2"/>
          <w:sz w:val="20"/>
        </w:rPr>
        <w:t>specific national interests</w:t>
      </w:r>
      <w:r w:rsidR="00321984" w:rsidRPr="006E1DA8">
        <w:rPr>
          <w:kern w:val="2"/>
          <w:sz w:val="20"/>
        </w:rPr>
        <w:t>”</w:t>
      </w:r>
      <w:r w:rsidRPr="006E1DA8">
        <w:rPr>
          <w:kern w:val="2"/>
          <w:sz w:val="20"/>
        </w:rPr>
        <w:t xml:space="preserve"> of the forum state. As discussed in Part I, global efforts at combating foreign public bribery would be aided by an amendment to the UNCAC that removes the limitations of article 4 and adds the </w:t>
      </w:r>
      <w:r w:rsidR="00321984" w:rsidRPr="006E1DA8">
        <w:rPr>
          <w:kern w:val="2"/>
          <w:sz w:val="20"/>
        </w:rPr>
        <w:t>“</w:t>
      </w:r>
      <w:r w:rsidRPr="006E1DA8">
        <w:rPr>
          <w:kern w:val="2"/>
          <w:sz w:val="20"/>
        </w:rPr>
        <w:t>protective</w:t>
      </w:r>
      <w:r w:rsidR="00321984" w:rsidRPr="006E1DA8">
        <w:rPr>
          <w:kern w:val="2"/>
          <w:sz w:val="20"/>
        </w:rPr>
        <w:t>”</w:t>
      </w:r>
      <w:r w:rsidRPr="006E1DA8">
        <w:rPr>
          <w:kern w:val="2"/>
          <w:sz w:val="20"/>
        </w:rPr>
        <w:t xml:space="preserve"> principle as a basis for jurisdiction</w:t>
      </w:r>
      <w:r w:rsidR="000867E0" w:rsidRPr="006E1DA8">
        <w:rPr>
          <w:kern w:val="2"/>
          <w:sz w:val="20"/>
        </w:rPr>
        <w:t>.</w:t>
      </w:r>
      <w:r w:rsidRPr="006E1DA8">
        <w:rPr>
          <w:kern w:val="2"/>
          <w:sz w:val="20"/>
        </w:rPr>
        <w:t xml:space="preserve"> [</w:t>
      </w:r>
      <w:proofErr w:type="gramStart"/>
      <w:r w:rsidRPr="006E1DA8">
        <w:rPr>
          <w:kern w:val="2"/>
          <w:sz w:val="20"/>
        </w:rPr>
        <w:t>footnotes</w:t>
      </w:r>
      <w:proofErr w:type="gramEnd"/>
      <w:r w:rsidRPr="006E1DA8">
        <w:rPr>
          <w:kern w:val="2"/>
          <w:sz w:val="20"/>
        </w:rPr>
        <w:t xml:space="preserve"> omitted]</w:t>
      </w:r>
    </w:p>
    <w:p w14:paraId="589CF89E" w14:textId="77777777" w:rsidR="00622318" w:rsidRPr="006E1DA8" w:rsidRDefault="00622318" w:rsidP="00B56EF4">
      <w:pPr>
        <w:rPr>
          <w:kern w:val="2"/>
          <w:sz w:val="20"/>
        </w:rPr>
      </w:pPr>
      <w:r w:rsidRPr="006E1DA8">
        <w:rPr>
          <w:kern w:val="2"/>
          <w:sz w:val="20"/>
        </w:rPr>
        <w:t>It could be argued, however, that the list of permitted bases of jurisdiction provided in Article 42(2) is non-exhaustive. Article 42(6) provides that:</w:t>
      </w:r>
    </w:p>
    <w:p w14:paraId="6373850B" w14:textId="77777777" w:rsidR="00622318" w:rsidRPr="006E1DA8" w:rsidRDefault="00622318" w:rsidP="00B56EF4">
      <w:pPr>
        <w:pStyle w:val="BlockQuote"/>
        <w:rPr>
          <w:kern w:val="2"/>
          <w:sz w:val="20"/>
        </w:rPr>
      </w:pPr>
      <w:r w:rsidRPr="006E1DA8">
        <w:rPr>
          <w:kern w:val="2"/>
          <w:sz w:val="20"/>
        </w:rPr>
        <w:t>Without prejudice to norms of general international law, this Convention shall not exclude the exercise of any criminal jurisdiction established by a State Party in accordance with its domestic law.</w:t>
      </w:r>
    </w:p>
    <w:p w14:paraId="61C3E60A" w14:textId="797BA8A8" w:rsidR="00622318" w:rsidRPr="006E1DA8" w:rsidRDefault="00622318" w:rsidP="00B56EF4">
      <w:pPr>
        <w:rPr>
          <w:kern w:val="2"/>
          <w:sz w:val="20"/>
        </w:rPr>
      </w:pPr>
      <w:r w:rsidRPr="006E1DA8">
        <w:rPr>
          <w:kern w:val="2"/>
          <w:sz w:val="20"/>
        </w:rPr>
        <w:t xml:space="preserve">In addition, the </w:t>
      </w:r>
      <w:r w:rsidRPr="006E1DA8">
        <w:rPr>
          <w:i/>
          <w:kern w:val="2"/>
          <w:sz w:val="20"/>
        </w:rPr>
        <w:t xml:space="preserve">Legislative Guide </w:t>
      </w:r>
      <w:r w:rsidRPr="006E1DA8">
        <w:rPr>
          <w:kern w:val="2"/>
          <w:sz w:val="20"/>
        </w:rPr>
        <w:t>for UNCAC, produced by UNODC, states that UNCAC does not aim to alter general international rules regarding jurisdiction and that the list of jurisdictional bases in 42(2) is not meant to be exhaustive. Rather, the purpose of Article 42 is to permit the exercise of jurisdiction in such a way that ensures that corruption offences do not go unpunished because of jurisdictional gaps.</w:t>
      </w:r>
      <w:r w:rsidRPr="006E1DA8">
        <w:rPr>
          <w:rStyle w:val="FootnoteReference"/>
          <w:rFonts w:cs="Times New Roman"/>
          <w:kern w:val="2"/>
          <w:sz w:val="20"/>
        </w:rPr>
        <w:footnoteReference w:id="8"/>
      </w:r>
      <w:r w:rsidRPr="006E1DA8">
        <w:rPr>
          <w:kern w:val="2"/>
          <w:sz w:val="20"/>
        </w:rPr>
        <w:t xml:space="preserve"> As noted above, there are differing views concerning the degree of latitude afforded to states under international law when determining the </w:t>
      </w:r>
      <w:r w:rsidR="00095271" w:rsidRPr="006E1DA8">
        <w:rPr>
          <w:kern w:val="2"/>
          <w:sz w:val="20"/>
        </w:rPr>
        <w:t xml:space="preserve">basis </w:t>
      </w:r>
      <w:r w:rsidRPr="006E1DA8">
        <w:rPr>
          <w:kern w:val="2"/>
          <w:sz w:val="20"/>
        </w:rPr>
        <w:t>of criminal jurisdiction.</w:t>
      </w:r>
    </w:p>
    <w:p w14:paraId="0F4291F5" w14:textId="51569098" w:rsidR="00622318" w:rsidRPr="006E1DA8" w:rsidRDefault="00622318" w:rsidP="00622318">
      <w:pPr>
        <w:rPr>
          <w:kern w:val="2"/>
          <w:sz w:val="20"/>
        </w:rPr>
      </w:pPr>
      <w:proofErr w:type="spellStart"/>
      <w:r w:rsidRPr="006E1DA8">
        <w:rPr>
          <w:rFonts w:cs="Times New Roman"/>
          <w:kern w:val="2"/>
          <w:sz w:val="20"/>
        </w:rPr>
        <w:t>Lestelle</w:t>
      </w:r>
      <w:proofErr w:type="spellEnd"/>
      <w:r w:rsidRPr="006E1DA8">
        <w:rPr>
          <w:rFonts w:cs="Times New Roman"/>
          <w:kern w:val="2"/>
          <w:sz w:val="20"/>
        </w:rPr>
        <w:t xml:space="preserve"> argues that UNCAC should be amended to expressly allow for further extraterritorial application of domestic laws, potentially based on the protective or passive personality principles. In his view, corruption is a humanitarian concern of sufficient gravity to merit the application of laws with significant extraterritorial jurisdiction. </w:t>
      </w:r>
      <w:proofErr w:type="spellStart"/>
      <w:r w:rsidRPr="006E1DA8">
        <w:rPr>
          <w:rFonts w:cs="Times New Roman"/>
          <w:kern w:val="2"/>
          <w:sz w:val="20"/>
        </w:rPr>
        <w:t>Lestelle</w:t>
      </w:r>
      <w:proofErr w:type="spellEnd"/>
      <w:r w:rsidRPr="006E1DA8">
        <w:rPr>
          <w:rFonts w:cs="Times New Roman"/>
          <w:kern w:val="2"/>
          <w:sz w:val="20"/>
        </w:rPr>
        <w:t xml:space="preserve"> compares corruption to piracy, the earliest crime for which states commonly asserted jurisdiction based on the universality principle. He argues that both are </w:t>
      </w:r>
      <w:r w:rsidR="00321984" w:rsidRPr="006E1DA8">
        <w:rPr>
          <w:rFonts w:cs="Times New Roman"/>
          <w:kern w:val="2"/>
          <w:sz w:val="20"/>
        </w:rPr>
        <w:t>“</w:t>
      </w:r>
      <w:r w:rsidRPr="006E1DA8">
        <w:rPr>
          <w:rFonts w:cs="Times New Roman"/>
          <w:kern w:val="2"/>
          <w:sz w:val="20"/>
        </w:rPr>
        <w:t>crimes against the global market</w:t>
      </w:r>
      <w:r w:rsidR="007945B8"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and therefore far-reaching state-level laws are necessary in order to avoid the possibility that perpetrators will be able to evade prosecution. Otherwise, </w:t>
      </w:r>
      <w:proofErr w:type="spellStart"/>
      <w:r w:rsidRPr="006E1DA8">
        <w:rPr>
          <w:rFonts w:cs="Times New Roman"/>
          <w:kern w:val="2"/>
          <w:sz w:val="20"/>
        </w:rPr>
        <w:t>Lestelle</w:t>
      </w:r>
      <w:proofErr w:type="spellEnd"/>
      <w:r w:rsidRPr="006E1DA8">
        <w:rPr>
          <w:rFonts w:cs="Times New Roman"/>
          <w:kern w:val="2"/>
          <w:sz w:val="20"/>
        </w:rPr>
        <w:t xml:space="preserve"> warns that some states motivated by self-interest will refrain from taking legal action against perpetrators, thus creating </w:t>
      </w:r>
      <w:r w:rsidR="00321984" w:rsidRPr="006E1DA8">
        <w:rPr>
          <w:rFonts w:cs="Times New Roman"/>
          <w:kern w:val="2"/>
          <w:sz w:val="20"/>
        </w:rPr>
        <w:t>“</w:t>
      </w:r>
      <w:r w:rsidRPr="006E1DA8">
        <w:rPr>
          <w:rFonts w:cs="Times New Roman"/>
          <w:kern w:val="2"/>
          <w:sz w:val="20"/>
        </w:rPr>
        <w:t>safe harbour</w:t>
      </w:r>
      <w:r w:rsidR="00321984" w:rsidRPr="006E1DA8">
        <w:rPr>
          <w:rFonts w:cs="Times New Roman"/>
          <w:kern w:val="2"/>
          <w:sz w:val="20"/>
        </w:rPr>
        <w:t>”</w:t>
      </w:r>
      <w:r w:rsidRPr="006E1DA8">
        <w:rPr>
          <w:rFonts w:cs="Times New Roman"/>
          <w:kern w:val="2"/>
          <w:sz w:val="20"/>
        </w:rPr>
        <w:t xml:space="preserve"> refuges where those engaged in bribery or corruption will not be prosecuted.</w:t>
      </w:r>
      <w:r w:rsidRPr="006E1DA8">
        <w:rPr>
          <w:rStyle w:val="FootnoteReference"/>
          <w:rFonts w:cs="Times New Roman"/>
          <w:kern w:val="2"/>
          <w:sz w:val="20"/>
        </w:rPr>
        <w:footnoteReference w:id="9"/>
      </w:r>
      <w:bookmarkStart w:id="5" w:name="_Toc287029839"/>
    </w:p>
    <w:p w14:paraId="07E6292B" w14:textId="7FCAAB8B" w:rsidR="00622318" w:rsidRPr="006E1DA8" w:rsidRDefault="00622318" w:rsidP="00B56EF4">
      <w:pPr>
        <w:pStyle w:val="Heading2"/>
        <w:rPr>
          <w:kern w:val="2"/>
          <w:sz w:val="24"/>
        </w:rPr>
      </w:pPr>
      <w:r w:rsidRPr="006E1DA8">
        <w:rPr>
          <w:kern w:val="2"/>
          <w:sz w:val="24"/>
        </w:rPr>
        <w:t>OECD Convention</w:t>
      </w:r>
      <w:bookmarkEnd w:id="5"/>
    </w:p>
    <w:p w14:paraId="7D8169A4" w14:textId="59F6E581" w:rsidR="00622318" w:rsidRPr="006E1DA8" w:rsidRDefault="006A6A3F" w:rsidP="00B56EF4">
      <w:pPr>
        <w:rPr>
          <w:kern w:val="2"/>
          <w:sz w:val="20"/>
        </w:rPr>
      </w:pPr>
      <w:r w:rsidRPr="006E1DA8">
        <w:rPr>
          <w:kern w:val="2"/>
          <w:sz w:val="20"/>
        </w:rPr>
        <w:t>Article 4 of the</w:t>
      </w:r>
      <w:r w:rsidR="00622318" w:rsidRPr="006E1DA8">
        <w:rPr>
          <w:kern w:val="2"/>
          <w:sz w:val="20"/>
        </w:rPr>
        <w:t xml:space="preserve"> OECD Convention </w:t>
      </w:r>
      <w:r w:rsidRPr="006E1DA8">
        <w:rPr>
          <w:kern w:val="2"/>
          <w:sz w:val="20"/>
        </w:rPr>
        <w:t>addresses jurisdiction. It</w:t>
      </w:r>
      <w:r w:rsidR="00622318" w:rsidRPr="006E1DA8">
        <w:rPr>
          <w:kern w:val="2"/>
          <w:sz w:val="20"/>
        </w:rPr>
        <w:t xml:space="preserve"> requires that each State Party take steps to ensure it has jurisdiction over bribery offences that occur wholly or partially within its territory. </w:t>
      </w:r>
      <w:r w:rsidR="00924510" w:rsidRPr="006E1DA8">
        <w:rPr>
          <w:kern w:val="2"/>
          <w:sz w:val="20"/>
        </w:rPr>
        <w:t xml:space="preserve">This is a narrow conception of extra-territorial jurisdiction. The word </w:t>
      </w:r>
      <w:r w:rsidR="00321984" w:rsidRPr="006E1DA8">
        <w:rPr>
          <w:kern w:val="2"/>
          <w:sz w:val="20"/>
        </w:rPr>
        <w:t>“</w:t>
      </w:r>
      <w:r w:rsidR="00924510" w:rsidRPr="006E1DA8">
        <w:rPr>
          <w:kern w:val="2"/>
          <w:sz w:val="20"/>
        </w:rPr>
        <w:t>partial</w:t>
      </w:r>
      <w:r w:rsidR="00321984" w:rsidRPr="006E1DA8">
        <w:rPr>
          <w:kern w:val="2"/>
          <w:sz w:val="20"/>
        </w:rPr>
        <w:t>”</w:t>
      </w:r>
      <w:r w:rsidR="00924510" w:rsidRPr="006E1DA8">
        <w:rPr>
          <w:kern w:val="2"/>
          <w:sz w:val="20"/>
        </w:rPr>
        <w:t xml:space="preserve"> is not defined. </w:t>
      </w:r>
      <w:r w:rsidR="00622318" w:rsidRPr="006E1DA8">
        <w:rPr>
          <w:kern w:val="2"/>
          <w:sz w:val="20"/>
        </w:rPr>
        <w:t xml:space="preserve">The Commentary accompanying the Convention text states that this provision should be interpreted broadly in a way that does not require </w:t>
      </w:r>
      <w:r w:rsidR="00321984" w:rsidRPr="006E1DA8">
        <w:rPr>
          <w:kern w:val="2"/>
          <w:sz w:val="20"/>
        </w:rPr>
        <w:t>“</w:t>
      </w:r>
      <w:r w:rsidR="00622318" w:rsidRPr="006E1DA8">
        <w:rPr>
          <w:kern w:val="2"/>
          <w:sz w:val="20"/>
        </w:rPr>
        <w:t xml:space="preserve">extensive physical connection to the </w:t>
      </w:r>
      <w:r w:rsidR="00622318" w:rsidRPr="006E1DA8">
        <w:rPr>
          <w:i/>
          <w:kern w:val="2"/>
          <w:sz w:val="20"/>
        </w:rPr>
        <w:t>bribery act</w:t>
      </w:r>
      <w:r w:rsidR="0090634A" w:rsidRPr="006E1DA8">
        <w:rPr>
          <w:kern w:val="2"/>
          <w:sz w:val="20"/>
        </w:rPr>
        <w:t>.</w:t>
      </w:r>
      <w:r w:rsidR="00321984" w:rsidRPr="006E1DA8">
        <w:rPr>
          <w:kern w:val="2"/>
          <w:sz w:val="20"/>
        </w:rPr>
        <w:t>”</w:t>
      </w:r>
      <w:r w:rsidR="00622318" w:rsidRPr="006E1DA8">
        <w:rPr>
          <w:kern w:val="2"/>
          <w:sz w:val="20"/>
        </w:rPr>
        <w:t xml:space="preserve"> In addition, a State Party with </w:t>
      </w:r>
      <w:r w:rsidR="00321984" w:rsidRPr="006E1DA8">
        <w:rPr>
          <w:kern w:val="2"/>
          <w:sz w:val="20"/>
        </w:rPr>
        <w:t>“</w:t>
      </w:r>
      <w:r w:rsidR="00622318" w:rsidRPr="006E1DA8">
        <w:rPr>
          <w:kern w:val="2"/>
          <w:sz w:val="20"/>
        </w:rPr>
        <w:t>jurisdiction to prosecute its nationals for offences committed abroad shall take such measures as may be necessary to establish its jurisdiction to do so in respect of the bribery of a foreign public official, according to the same principles</w:t>
      </w:r>
      <w:r w:rsidR="00321984" w:rsidRPr="006E1DA8">
        <w:rPr>
          <w:kern w:val="2"/>
          <w:sz w:val="20"/>
        </w:rPr>
        <w:t>”</w:t>
      </w:r>
      <w:r w:rsidR="00622318" w:rsidRPr="006E1DA8">
        <w:rPr>
          <w:kern w:val="2"/>
          <w:sz w:val="20"/>
        </w:rPr>
        <w:t xml:space="preserve"> (Article 4(2)). Article 4(4) also requires states to review whether their basis for jurisdiction is sufficient to effectively fight against the bribery of foreign public officials.</w:t>
      </w:r>
    </w:p>
    <w:p w14:paraId="77C68232" w14:textId="365138BE" w:rsidR="00622318" w:rsidRPr="006E1DA8" w:rsidRDefault="00622318" w:rsidP="00622318">
      <w:pPr>
        <w:rPr>
          <w:rFonts w:cs="Times New Roman"/>
          <w:kern w:val="2"/>
          <w:sz w:val="20"/>
        </w:rPr>
      </w:pPr>
      <w:r w:rsidRPr="006E1DA8">
        <w:rPr>
          <w:rFonts w:cs="Times New Roman"/>
          <w:kern w:val="2"/>
          <w:sz w:val="20"/>
        </w:rPr>
        <w:t>At the time the OECD Convention was negotiated (during the 1990s), many common law countries (including Canada) were opposed to including a requirement that signatory states assert jurisdiction based on nationality. Article 4(4) therefore represented a compromise.</w:t>
      </w:r>
      <w:r w:rsidRPr="006E1DA8">
        <w:rPr>
          <w:rStyle w:val="FootnoteReference"/>
          <w:rFonts w:cs="Times New Roman"/>
          <w:kern w:val="2"/>
          <w:sz w:val="20"/>
        </w:rPr>
        <w:footnoteReference w:id="10"/>
      </w:r>
      <w:r w:rsidRPr="006E1DA8">
        <w:rPr>
          <w:rFonts w:cs="Times New Roman"/>
          <w:kern w:val="2"/>
          <w:sz w:val="20"/>
        </w:rPr>
        <w:t xml:space="preserve"> However, since that time most of the common law OECD states have incorporated </w:t>
      </w:r>
      <w:r w:rsidR="00924510" w:rsidRPr="006E1DA8">
        <w:rPr>
          <w:rFonts w:cs="Times New Roman"/>
          <w:kern w:val="2"/>
          <w:sz w:val="20"/>
        </w:rPr>
        <w:t xml:space="preserve">the principle of </w:t>
      </w:r>
      <w:r w:rsidRPr="006E1DA8">
        <w:rPr>
          <w:rFonts w:cs="Times New Roman"/>
          <w:kern w:val="2"/>
          <w:sz w:val="20"/>
        </w:rPr>
        <w:t>jurisdiction based on nationality into their domestic anti-bribery legislation (Canada did so in 2013).</w:t>
      </w:r>
      <w:bookmarkStart w:id="6" w:name="_Toc287029840"/>
    </w:p>
    <w:p w14:paraId="126767DD" w14:textId="3EBF3753" w:rsidR="00622318" w:rsidRPr="006E1DA8" w:rsidRDefault="00622318" w:rsidP="00B56EF4">
      <w:pPr>
        <w:pStyle w:val="Heading2"/>
        <w:rPr>
          <w:kern w:val="2"/>
          <w:sz w:val="24"/>
        </w:rPr>
      </w:pPr>
      <w:r w:rsidRPr="006E1DA8">
        <w:rPr>
          <w:kern w:val="2"/>
          <w:sz w:val="24"/>
        </w:rPr>
        <w:t>Other International Anti-</w:t>
      </w:r>
      <w:r w:rsidR="00EB33E2" w:rsidRPr="006E1DA8">
        <w:rPr>
          <w:kern w:val="2"/>
          <w:sz w:val="24"/>
        </w:rPr>
        <w:t>C</w:t>
      </w:r>
      <w:r w:rsidRPr="006E1DA8">
        <w:rPr>
          <w:kern w:val="2"/>
          <w:sz w:val="24"/>
        </w:rPr>
        <w:t>orruption Instruments</w:t>
      </w:r>
      <w:bookmarkEnd w:id="6"/>
    </w:p>
    <w:p w14:paraId="0DF0C61E" w14:textId="56F6FE81" w:rsidR="002216C7" w:rsidRPr="006E1DA8" w:rsidRDefault="00622318" w:rsidP="00622318">
      <w:pPr>
        <w:rPr>
          <w:rFonts w:cs="Times New Roman"/>
          <w:kern w:val="2"/>
          <w:sz w:val="20"/>
        </w:rPr>
      </w:pPr>
      <w:r w:rsidRPr="006E1DA8">
        <w:rPr>
          <w:rFonts w:cs="Times New Roman"/>
          <w:kern w:val="2"/>
          <w:sz w:val="20"/>
        </w:rPr>
        <w:t xml:space="preserve">In addition to mandating that states assert jurisdiction based on the territorial principle, </w:t>
      </w:r>
      <w:r w:rsidRPr="006E1DA8">
        <w:rPr>
          <w:rFonts w:cs="Times New Roman"/>
          <w:i/>
          <w:kern w:val="2"/>
          <w:sz w:val="20"/>
        </w:rPr>
        <w:t>The Council of Europe Criminal Law Convention</w:t>
      </w:r>
      <w:r w:rsidRPr="006E1DA8">
        <w:rPr>
          <w:rFonts w:cs="Times New Roman"/>
          <w:kern w:val="2"/>
          <w:sz w:val="20"/>
        </w:rPr>
        <w:t>,</w:t>
      </w:r>
      <w:r w:rsidRPr="006E1DA8">
        <w:rPr>
          <w:rFonts w:cs="Times New Roman"/>
          <w:i/>
          <w:kern w:val="2"/>
          <w:sz w:val="20"/>
        </w:rPr>
        <w:t xml:space="preserve"> </w:t>
      </w:r>
      <w:r w:rsidRPr="006E1DA8">
        <w:rPr>
          <w:rFonts w:cs="Times New Roman"/>
          <w:kern w:val="2"/>
          <w:sz w:val="20"/>
        </w:rPr>
        <w:t>the</w:t>
      </w:r>
      <w:r w:rsidRPr="006E1DA8">
        <w:rPr>
          <w:rFonts w:cs="Times New Roman"/>
          <w:i/>
          <w:kern w:val="2"/>
          <w:sz w:val="20"/>
        </w:rPr>
        <w:t xml:space="preserve"> European Union Convention on the Fight against Corruption Involving Officials of the European Communities or Officials of Member States</w:t>
      </w:r>
      <w:r w:rsidRPr="006E1DA8">
        <w:rPr>
          <w:rFonts w:cs="Times New Roman"/>
          <w:kern w:val="2"/>
          <w:sz w:val="20"/>
        </w:rPr>
        <w:t xml:space="preserve"> and the </w:t>
      </w:r>
      <w:r w:rsidRPr="006E1DA8">
        <w:rPr>
          <w:rFonts w:cs="Times New Roman"/>
          <w:i/>
          <w:kern w:val="2"/>
          <w:sz w:val="20"/>
        </w:rPr>
        <w:t xml:space="preserve">African Union Convention on Preventing and Combating Corruption </w:t>
      </w:r>
      <w:r w:rsidRPr="006E1DA8">
        <w:rPr>
          <w:rFonts w:cs="Times New Roman"/>
          <w:kern w:val="2"/>
          <w:sz w:val="20"/>
        </w:rPr>
        <w:t xml:space="preserve">all require </w:t>
      </w:r>
      <w:r w:rsidR="00A0388C" w:rsidRPr="006E1DA8">
        <w:rPr>
          <w:rFonts w:cs="Times New Roman"/>
          <w:kern w:val="2"/>
          <w:sz w:val="20"/>
        </w:rPr>
        <w:t>S</w:t>
      </w:r>
      <w:r w:rsidRPr="006E1DA8">
        <w:rPr>
          <w:rFonts w:cs="Times New Roman"/>
          <w:kern w:val="2"/>
          <w:sz w:val="20"/>
        </w:rPr>
        <w:t xml:space="preserve">tate </w:t>
      </w:r>
      <w:r w:rsidR="00A0388C" w:rsidRPr="006E1DA8">
        <w:rPr>
          <w:rFonts w:cs="Times New Roman"/>
          <w:kern w:val="2"/>
          <w:sz w:val="20"/>
        </w:rPr>
        <w:t>P</w:t>
      </w:r>
      <w:r w:rsidRPr="006E1DA8">
        <w:rPr>
          <w:rFonts w:cs="Times New Roman"/>
          <w:kern w:val="2"/>
          <w:sz w:val="20"/>
        </w:rPr>
        <w:t>arties to exercise jurisdiction on the basis of nationality. Interestingly, the African Union Convention is the only multilateral anti-corruption convention to expressly provide for jurisdiction based on the protective principle (see Article 13(1</w:t>
      </w:r>
      <w:proofErr w:type="gramStart"/>
      <w:r w:rsidRPr="006E1DA8">
        <w:rPr>
          <w:rFonts w:cs="Times New Roman"/>
          <w:kern w:val="2"/>
          <w:sz w:val="20"/>
        </w:rPr>
        <w:t>)(</w:t>
      </w:r>
      <w:proofErr w:type="gramEnd"/>
      <w:r w:rsidRPr="006E1DA8">
        <w:rPr>
          <w:rFonts w:cs="Times New Roman"/>
          <w:kern w:val="2"/>
          <w:sz w:val="20"/>
        </w:rPr>
        <w:t>d)).</w:t>
      </w:r>
      <w:bookmarkStart w:id="7" w:name="_Toc287029841"/>
    </w:p>
    <w:p w14:paraId="3E2AF456" w14:textId="43091A0C" w:rsidR="00622318" w:rsidRPr="006E1DA8" w:rsidRDefault="00622318" w:rsidP="00B56EF4">
      <w:pPr>
        <w:pStyle w:val="Heading2"/>
        <w:rPr>
          <w:kern w:val="2"/>
          <w:sz w:val="24"/>
        </w:rPr>
      </w:pPr>
      <w:r w:rsidRPr="006E1DA8">
        <w:rPr>
          <w:kern w:val="2"/>
          <w:sz w:val="24"/>
        </w:rPr>
        <w:t>Corporate Entities</w:t>
      </w:r>
      <w:bookmarkEnd w:id="7"/>
    </w:p>
    <w:p w14:paraId="589725D1" w14:textId="7F3BA9F3" w:rsidR="00622318" w:rsidRPr="006E1DA8" w:rsidRDefault="00622318" w:rsidP="00622318">
      <w:pPr>
        <w:rPr>
          <w:rFonts w:cs="Times New Roman"/>
          <w:kern w:val="2"/>
          <w:sz w:val="20"/>
        </w:rPr>
      </w:pPr>
      <w:r w:rsidRPr="006E1DA8">
        <w:rPr>
          <w:rFonts w:cs="Times New Roman"/>
          <w:kern w:val="2"/>
          <w:sz w:val="20"/>
        </w:rPr>
        <w:t>A corporation or other collective legal entity can be subject to a state's corruption laws (1) based on territorial jurisdiction if the company commits the offence (in whole or in part) in that state or (2) based on nationality jurisdiction if the company is incorporated or otherwise legally created or registered in that state. A company from one state can commit an offence in a foreign state either as the primary offender or as a secondary party offender (i.e. aid, abet or counsel another person to commit the offence).</w:t>
      </w:r>
    </w:p>
    <w:p w14:paraId="48559FB8" w14:textId="10C190CC" w:rsidR="00622318" w:rsidRPr="006E1DA8" w:rsidRDefault="00622318" w:rsidP="00622318">
      <w:pPr>
        <w:rPr>
          <w:rFonts w:cs="Times New Roman"/>
          <w:kern w:val="2"/>
          <w:sz w:val="20"/>
        </w:rPr>
      </w:pPr>
      <w:r w:rsidRPr="006E1DA8">
        <w:rPr>
          <w:rFonts w:cs="Times New Roman"/>
          <w:kern w:val="2"/>
          <w:sz w:val="20"/>
        </w:rPr>
        <w:t xml:space="preserve">In countries </w:t>
      </w:r>
      <w:r w:rsidR="00A0388C" w:rsidRPr="006E1DA8">
        <w:rPr>
          <w:rFonts w:cs="Times New Roman"/>
          <w:kern w:val="2"/>
          <w:sz w:val="20"/>
        </w:rPr>
        <w:t>that</w:t>
      </w:r>
      <w:r w:rsidRPr="006E1DA8">
        <w:rPr>
          <w:rFonts w:cs="Times New Roman"/>
          <w:kern w:val="2"/>
          <w:sz w:val="20"/>
        </w:rPr>
        <w:t xml:space="preserve"> base corporate criminal liability on the identification (i.e.</w:t>
      </w:r>
      <w:r w:rsidR="005E0D52" w:rsidRPr="006E1DA8">
        <w:rPr>
          <w:rFonts w:cs="Times New Roman"/>
          <w:kern w:val="2"/>
          <w:sz w:val="20"/>
        </w:rPr>
        <w:t>,</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directing minds</w:t>
      </w:r>
      <w:r w:rsidR="00321984" w:rsidRPr="006E1DA8">
        <w:rPr>
          <w:rFonts w:cs="Times New Roman"/>
          <w:kern w:val="2"/>
          <w:sz w:val="20"/>
        </w:rPr>
        <w:t>”</w:t>
      </w:r>
      <w:r w:rsidRPr="006E1DA8">
        <w:rPr>
          <w:rFonts w:cs="Times New Roman"/>
          <w:kern w:val="2"/>
          <w:sz w:val="20"/>
        </w:rPr>
        <w:t xml:space="preserve">) theory, the actions and state of mind of certain employees and officers becomes in law </w:t>
      </w:r>
      <w:r w:rsidR="00321984" w:rsidRPr="006E1DA8">
        <w:rPr>
          <w:rFonts w:cs="Times New Roman"/>
          <w:kern w:val="2"/>
          <w:sz w:val="20"/>
        </w:rPr>
        <w:t>“</w:t>
      </w:r>
      <w:r w:rsidRPr="006E1DA8">
        <w:rPr>
          <w:rFonts w:cs="Times New Roman"/>
          <w:kern w:val="2"/>
          <w:sz w:val="20"/>
        </w:rPr>
        <w:t>the actions and state of mind</w:t>
      </w:r>
      <w:r w:rsidR="00321984" w:rsidRPr="006E1DA8">
        <w:rPr>
          <w:rFonts w:cs="Times New Roman"/>
          <w:kern w:val="2"/>
          <w:sz w:val="20"/>
        </w:rPr>
        <w:t>”</w:t>
      </w:r>
      <w:r w:rsidRPr="006E1DA8">
        <w:rPr>
          <w:rFonts w:cs="Times New Roman"/>
          <w:kern w:val="2"/>
          <w:sz w:val="20"/>
        </w:rPr>
        <w:t xml:space="preserve"> of the corporation. In those instances, the corporation is the principal offender.  Alternatively, a company can be liable for a corruption offence committed in a foreign state by means of secondary party liability. If the parent company aids, abets or counsels a subsidiary company or a third party agent to commit a corruption offence, the parent company is guilty of that offence as a secondary party to that offence. For example, if SNC-Lavalin Group, the Canadian parent company, were prosecuted for corruption in the Padma Bridge case, its criminal liability would be based on the claim that it aided, abetted or encouraged its subsidiary company and its third party agent (not an employee of SNC-Lavalin) to commit the offence as principal offender</w:t>
      </w:r>
      <w:r w:rsidR="00EB33E2" w:rsidRPr="006E1DA8">
        <w:rPr>
          <w:rFonts w:cs="Times New Roman"/>
          <w:kern w:val="2"/>
          <w:sz w:val="20"/>
        </w:rPr>
        <w:t>s</w:t>
      </w:r>
      <w:r w:rsidRPr="006E1DA8">
        <w:rPr>
          <w:rFonts w:cs="Times New Roman"/>
          <w:kern w:val="2"/>
          <w:sz w:val="20"/>
        </w:rPr>
        <w:t xml:space="preserve">.  </w:t>
      </w:r>
    </w:p>
    <w:p w14:paraId="1D8086F8" w14:textId="78017165" w:rsidR="00622318" w:rsidRPr="006E1DA8" w:rsidRDefault="00622318" w:rsidP="00622318">
      <w:pPr>
        <w:rPr>
          <w:rFonts w:cs="Times New Roman"/>
          <w:kern w:val="2"/>
          <w:sz w:val="20"/>
        </w:rPr>
      </w:pPr>
      <w:r w:rsidRPr="006E1DA8">
        <w:rPr>
          <w:rFonts w:cs="Times New Roman"/>
          <w:kern w:val="2"/>
          <w:sz w:val="20"/>
        </w:rPr>
        <w:t>The requisite mental element for the parent company as an aider, abettor or counsellor can vary depending on the p</w:t>
      </w:r>
      <w:r w:rsidR="00D97B41" w:rsidRPr="006E1DA8">
        <w:rPr>
          <w:rFonts w:cs="Times New Roman"/>
          <w:kern w:val="2"/>
          <w:sz w:val="20"/>
        </w:rPr>
        <w:t>articular offence and the state’</w:t>
      </w:r>
      <w:r w:rsidRPr="006E1DA8">
        <w:rPr>
          <w:rFonts w:cs="Times New Roman"/>
          <w:kern w:val="2"/>
          <w:sz w:val="20"/>
        </w:rPr>
        <w:t>s laws for establishing corporate criminal liability.  General</w:t>
      </w:r>
      <w:r w:rsidR="00D97B41" w:rsidRPr="006E1DA8">
        <w:rPr>
          <w:rFonts w:cs="Times New Roman"/>
          <w:kern w:val="2"/>
          <w:sz w:val="20"/>
        </w:rPr>
        <w:t>ly speaking, the parent company’</w:t>
      </w:r>
      <w:r w:rsidRPr="006E1DA8">
        <w:rPr>
          <w:rFonts w:cs="Times New Roman"/>
          <w:kern w:val="2"/>
          <w:sz w:val="20"/>
        </w:rPr>
        <w:t>s required level of fault will be (1) subjective fault (intentionally aided), (2) strict liability (aided by failing to take reasonable steps to prevent the offence), or (3) absolute liability (no mental fault element to aid, abet or counsel the offence is required).</w:t>
      </w:r>
    </w:p>
    <w:p w14:paraId="6DA54683" w14:textId="15912ADB" w:rsidR="00622318" w:rsidRPr="006E1DA8" w:rsidRDefault="00622318" w:rsidP="00622318">
      <w:pPr>
        <w:rPr>
          <w:rFonts w:cs="Times New Roman"/>
          <w:kern w:val="2"/>
          <w:sz w:val="20"/>
        </w:rPr>
      </w:pPr>
      <w:r w:rsidRPr="006E1DA8">
        <w:rPr>
          <w:rFonts w:cs="Times New Roman"/>
          <w:kern w:val="2"/>
          <w:sz w:val="20"/>
        </w:rPr>
        <w:t xml:space="preserve">The ability of state parties to exercise jurisdiction over foreign corporate entities, as addressed in the UNCAC and the OECD Convention, is summarized by </w:t>
      </w:r>
      <w:proofErr w:type="spellStart"/>
      <w:r w:rsidRPr="006E1DA8">
        <w:rPr>
          <w:rFonts w:cs="Times New Roman"/>
          <w:kern w:val="2"/>
          <w:sz w:val="20"/>
        </w:rPr>
        <w:t>Zerk</w:t>
      </w:r>
      <w:proofErr w:type="spellEnd"/>
      <w:r w:rsidRPr="006E1DA8">
        <w:rPr>
          <w:rFonts w:cs="Times New Roman"/>
          <w:kern w:val="2"/>
          <w:sz w:val="20"/>
        </w:rPr>
        <w:t xml:space="preserve"> as follows:</w:t>
      </w:r>
      <w:r w:rsidR="0059516D" w:rsidRPr="006E1DA8">
        <w:rPr>
          <w:rStyle w:val="FootnoteReference"/>
          <w:rFonts w:cs="Times New Roman"/>
          <w:kern w:val="2"/>
          <w:sz w:val="20"/>
          <w:szCs w:val="21"/>
        </w:rPr>
        <w:footnoteReference w:id="11"/>
      </w:r>
    </w:p>
    <w:p w14:paraId="23FEA941" w14:textId="1343C959" w:rsidR="00622318" w:rsidRPr="006E1DA8" w:rsidRDefault="00622318" w:rsidP="00B56EF4">
      <w:pPr>
        <w:pStyle w:val="BlockQuote"/>
        <w:rPr>
          <w:kern w:val="2"/>
          <w:sz w:val="20"/>
        </w:rPr>
      </w:pPr>
      <w:r w:rsidRPr="006E1DA8">
        <w:rPr>
          <w:kern w:val="2"/>
          <w:sz w:val="20"/>
        </w:rPr>
        <w:t xml:space="preserve">While all of the treaties either authorise or require the use of nationality jurisdiction in relation to the extraterritorial activities of their corporate nationals, they do not impose specific requirements vis-à-vis the regulation of the foreign activities of foreign companies and no treaties require the regulation of such activities directly. This will be because of the acknowledged legal limitations in relation to the regulation of foreign nationals in foreign territory. However, a number of treaty provisions are potentially relevant to the situation where a foreign subsidiary or agent is primarily responsible for a bribe. For instance, the UN Convention contains provisions relating to </w:t>
      </w:r>
      <w:r w:rsidR="00321984" w:rsidRPr="006E1DA8">
        <w:rPr>
          <w:kern w:val="2"/>
          <w:sz w:val="20"/>
        </w:rPr>
        <w:t>“</w:t>
      </w:r>
      <w:r w:rsidRPr="006E1DA8">
        <w:rPr>
          <w:kern w:val="2"/>
          <w:sz w:val="20"/>
        </w:rPr>
        <w:t>accessory</w:t>
      </w:r>
      <w:r w:rsidR="00321984" w:rsidRPr="006E1DA8">
        <w:rPr>
          <w:kern w:val="2"/>
          <w:sz w:val="20"/>
        </w:rPr>
        <w:t>”</w:t>
      </w:r>
      <w:r w:rsidRPr="006E1DA8">
        <w:rPr>
          <w:kern w:val="2"/>
          <w:sz w:val="20"/>
        </w:rPr>
        <w:t xml:space="preserve"> or </w:t>
      </w:r>
      <w:r w:rsidR="00321984" w:rsidRPr="006E1DA8">
        <w:rPr>
          <w:kern w:val="2"/>
          <w:sz w:val="20"/>
        </w:rPr>
        <w:t>“</w:t>
      </w:r>
      <w:r w:rsidRPr="006E1DA8">
        <w:rPr>
          <w:kern w:val="2"/>
          <w:sz w:val="20"/>
        </w:rPr>
        <w:t>secondary liability</w:t>
      </w:r>
      <w:r w:rsidR="00321984" w:rsidRPr="006E1DA8">
        <w:rPr>
          <w:kern w:val="2"/>
          <w:sz w:val="20"/>
        </w:rPr>
        <w:t>”</w:t>
      </w:r>
      <w:r w:rsidRPr="006E1DA8">
        <w:rPr>
          <w:kern w:val="2"/>
          <w:sz w:val="20"/>
        </w:rPr>
        <w:t xml:space="preserve">, under which a parent company could be held responsible for a foreign bribe on the basis that it was the </w:t>
      </w:r>
      <w:r w:rsidR="00321984" w:rsidRPr="006E1DA8">
        <w:rPr>
          <w:kern w:val="2"/>
          <w:sz w:val="20"/>
        </w:rPr>
        <w:t>“</w:t>
      </w:r>
      <w:r w:rsidRPr="006E1DA8">
        <w:rPr>
          <w:kern w:val="2"/>
          <w:sz w:val="20"/>
        </w:rPr>
        <w:t>instigator</w:t>
      </w:r>
      <w:r w:rsidR="00321984" w:rsidRPr="006E1DA8">
        <w:rPr>
          <w:kern w:val="2"/>
          <w:sz w:val="20"/>
        </w:rPr>
        <w:t>”</w:t>
      </w:r>
      <w:r w:rsidRPr="006E1DA8">
        <w:rPr>
          <w:kern w:val="2"/>
          <w:sz w:val="20"/>
        </w:rPr>
        <w:t xml:space="preserve"> of that bribe. The OECD Convention mandates liability for complicity in the bribery of a foreign public official, including </w:t>
      </w:r>
      <w:r w:rsidR="00321984" w:rsidRPr="006E1DA8">
        <w:rPr>
          <w:kern w:val="2"/>
          <w:sz w:val="20"/>
        </w:rPr>
        <w:t>“</w:t>
      </w:r>
      <w:r w:rsidRPr="006E1DA8">
        <w:rPr>
          <w:kern w:val="2"/>
          <w:sz w:val="20"/>
        </w:rPr>
        <w:t>incitement, aiding and abetting, or authorization</w:t>
      </w:r>
      <w:r w:rsidR="00321984" w:rsidRPr="006E1DA8">
        <w:rPr>
          <w:kern w:val="2"/>
          <w:sz w:val="20"/>
        </w:rPr>
        <w:t>”</w:t>
      </w:r>
      <w:r w:rsidRPr="006E1DA8">
        <w:rPr>
          <w:kern w:val="2"/>
          <w:sz w:val="20"/>
        </w:rPr>
        <w:t xml:space="preserve"> of such an act. The </w:t>
      </w:r>
      <w:r w:rsidR="00321984" w:rsidRPr="006E1DA8">
        <w:rPr>
          <w:kern w:val="2"/>
          <w:sz w:val="20"/>
        </w:rPr>
        <w:t>“</w:t>
      </w:r>
      <w:r w:rsidRPr="006E1DA8">
        <w:rPr>
          <w:kern w:val="2"/>
          <w:sz w:val="20"/>
        </w:rPr>
        <w:t>Good Practice Guideline</w:t>
      </w:r>
      <w:r w:rsidR="00321984" w:rsidRPr="006E1DA8">
        <w:rPr>
          <w:kern w:val="2"/>
          <w:sz w:val="20"/>
        </w:rPr>
        <w:t>”</w:t>
      </w:r>
      <w:r w:rsidRPr="006E1DA8">
        <w:rPr>
          <w:kern w:val="2"/>
          <w:sz w:val="20"/>
        </w:rPr>
        <w:t xml:space="preserve"> annexed to a recent OECD Recommendation on implementation of the OECD Convention asks state parties to ensure that </w:t>
      </w:r>
      <w:r w:rsidR="00321984" w:rsidRPr="006E1DA8">
        <w:rPr>
          <w:kern w:val="2"/>
          <w:sz w:val="20"/>
        </w:rPr>
        <w:t>“</w:t>
      </w:r>
      <w:r w:rsidRPr="006E1DA8">
        <w:rPr>
          <w:kern w:val="2"/>
          <w:sz w:val="20"/>
        </w:rPr>
        <w:t xml:space="preserve">a legal person cannot avoid responsibility by using intermediaries, </w:t>
      </w:r>
      <w:r w:rsidRPr="006E1DA8">
        <w:rPr>
          <w:i/>
          <w:kern w:val="2"/>
          <w:sz w:val="20"/>
        </w:rPr>
        <w:t>including related legal persons</w:t>
      </w:r>
      <w:r w:rsidRPr="006E1DA8">
        <w:rPr>
          <w:kern w:val="2"/>
          <w:sz w:val="20"/>
        </w:rPr>
        <w:t>, to offer, promise or give a bribe to a foreign public official on its behalf.</w:t>
      </w:r>
      <w:r w:rsidR="00321984" w:rsidRPr="006E1DA8">
        <w:rPr>
          <w:kern w:val="2"/>
          <w:sz w:val="20"/>
        </w:rPr>
        <w:t>”</w:t>
      </w:r>
    </w:p>
    <w:p w14:paraId="7BAFDC14" w14:textId="145B6C0A" w:rsidR="00622318" w:rsidRPr="006E1DA8" w:rsidRDefault="00622318" w:rsidP="00B56EF4">
      <w:pPr>
        <w:pStyle w:val="BlockQuote"/>
        <w:rPr>
          <w:kern w:val="2"/>
          <w:sz w:val="20"/>
        </w:rPr>
      </w:pPr>
      <w:r w:rsidRPr="006E1DA8">
        <w:rPr>
          <w:kern w:val="2"/>
          <w:sz w:val="20"/>
        </w:rPr>
        <w:t>There is little guidance in the treaty provisions themselves as to the extent to which accounting controls must cover the transactions of foreign subsidiaries. However, to the extent that the treaty covers foreign bribery, it would appear to be the intention that consolidated reporting (covering the transactions of foreign subsidiaries as well as the parent company) is indeed required</w:t>
      </w:r>
      <w:r w:rsidR="00742A13" w:rsidRPr="006E1DA8">
        <w:rPr>
          <w:kern w:val="2"/>
          <w:sz w:val="20"/>
        </w:rPr>
        <w:t>.</w:t>
      </w:r>
      <w:r w:rsidRPr="006E1DA8">
        <w:rPr>
          <w:kern w:val="2"/>
          <w:sz w:val="20"/>
        </w:rPr>
        <w:t xml:space="preserve"> [</w:t>
      </w:r>
      <w:proofErr w:type="gramStart"/>
      <w:r w:rsidRPr="006E1DA8">
        <w:rPr>
          <w:kern w:val="2"/>
          <w:sz w:val="20"/>
        </w:rPr>
        <w:t>footnotes</w:t>
      </w:r>
      <w:proofErr w:type="gramEnd"/>
      <w:r w:rsidRPr="006E1DA8">
        <w:rPr>
          <w:kern w:val="2"/>
          <w:sz w:val="20"/>
        </w:rPr>
        <w:t xml:space="preserve"> omitted]</w:t>
      </w:r>
    </w:p>
    <w:p w14:paraId="12ECDAEB" w14:textId="38CB9BBF" w:rsidR="006529AD" w:rsidRPr="006E1DA8" w:rsidRDefault="006529AD" w:rsidP="00B56EF4">
      <w:pPr>
        <w:pStyle w:val="Heading2"/>
        <w:rPr>
          <w:kern w:val="2"/>
          <w:sz w:val="24"/>
        </w:rPr>
      </w:pPr>
      <w:bookmarkStart w:id="8" w:name="_Toc287029842"/>
      <w:r w:rsidRPr="006E1DA8">
        <w:rPr>
          <w:kern w:val="2"/>
          <w:sz w:val="24"/>
        </w:rPr>
        <w:t>Overview of OECD Countries Jurisdiction</w:t>
      </w:r>
    </w:p>
    <w:p w14:paraId="6FA63137" w14:textId="7381BDE6" w:rsidR="006A0F63" w:rsidRPr="006E1DA8" w:rsidRDefault="00F41D91" w:rsidP="00B56EF4">
      <w:pPr>
        <w:rPr>
          <w:kern w:val="2"/>
          <w:sz w:val="20"/>
        </w:rPr>
      </w:pPr>
      <w:r w:rsidRPr="006E1DA8">
        <w:rPr>
          <w:kern w:val="2"/>
          <w:sz w:val="20"/>
        </w:rPr>
        <w:t xml:space="preserve">The 2016 OECD </w:t>
      </w:r>
      <w:r w:rsidRPr="006E1DA8">
        <w:rPr>
          <w:i/>
          <w:kern w:val="2"/>
          <w:sz w:val="20"/>
        </w:rPr>
        <w:t>Liability of Legal Persons for Foreign Bribery: A Stocktaking</w:t>
      </w:r>
      <w:r w:rsidR="00FB5BB6" w:rsidRPr="006E1DA8">
        <w:rPr>
          <w:i/>
          <w:kern w:val="2"/>
          <w:sz w:val="20"/>
        </w:rPr>
        <w:t xml:space="preserve"> Report</w:t>
      </w:r>
      <w:r w:rsidR="00521CF0" w:rsidRPr="006E1DA8">
        <w:rPr>
          <w:kern w:val="2"/>
          <w:sz w:val="20"/>
          <w:szCs w:val="24"/>
        </w:rPr>
        <w:t xml:space="preserve"> </w:t>
      </w:r>
      <w:r w:rsidR="006A0F63" w:rsidRPr="006E1DA8">
        <w:rPr>
          <w:kern w:val="2"/>
          <w:sz w:val="20"/>
        </w:rPr>
        <w:t>provides the following summary of the types of jurisdiction each OECD country has:</w:t>
      </w:r>
      <w:r w:rsidR="00321984" w:rsidRPr="006E1DA8">
        <w:rPr>
          <w:rStyle w:val="FootnoteReference"/>
          <w:kern w:val="2"/>
          <w:sz w:val="20"/>
        </w:rPr>
        <w:footnoteReference w:id="12"/>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B56EF4" w:rsidRPr="006E1DA8" w14:paraId="0EDA508E" w14:textId="77777777" w:rsidTr="008B40AF">
        <w:trPr>
          <w:jc w:val="center"/>
        </w:trPr>
        <w:tc>
          <w:tcPr>
            <w:tcW w:w="9350" w:type="dxa"/>
            <w:tcBorders>
              <w:top w:val="nil"/>
              <w:left w:val="nil"/>
              <w:bottom w:val="nil"/>
              <w:right w:val="nil"/>
            </w:tcBorders>
            <w:shd w:val="clear" w:color="auto" w:fill="D9D9D9" w:themeFill="background1" w:themeFillShade="D9"/>
          </w:tcPr>
          <w:p w14:paraId="7F50BEDC" w14:textId="77777777" w:rsidR="00B56EF4" w:rsidRPr="006E1DA8" w:rsidRDefault="00B56EF4" w:rsidP="008B40AF">
            <w:pPr>
              <w:pStyle w:val="ExcerptMarker"/>
              <w:spacing w:before="0"/>
              <w:rPr>
                <w:kern w:val="2"/>
                <w:sz w:val="16"/>
              </w:rPr>
            </w:pPr>
            <w:r w:rsidRPr="006E1DA8">
              <w:rPr>
                <w:kern w:val="2"/>
                <w:sz w:val="16"/>
              </w:rPr>
              <w:t>Beginning of Excerpt</w:t>
            </w:r>
          </w:p>
          <w:p w14:paraId="1F34E659" w14:textId="77777777" w:rsidR="00B56EF4" w:rsidRPr="006E1DA8" w:rsidRDefault="00B56EF4" w:rsidP="007031DB">
            <w:pPr>
              <w:rPr>
                <w:rFonts w:eastAsia="Times New Roman" w:cs="Times New Roman"/>
                <w:color w:val="000000" w:themeColor="text1"/>
                <w:kern w:val="2"/>
                <w:sz w:val="20"/>
              </w:rPr>
            </w:pPr>
            <w:r w:rsidRPr="006E1DA8">
              <w:rPr>
                <w:rFonts w:eastAsia="Times New Roman" w:cs="Times New Roman"/>
                <w:color w:val="000000" w:themeColor="text1"/>
                <w:kern w:val="2"/>
                <w:sz w:val="20"/>
              </w:rPr>
              <w:t>Some of the key findings in relation to jurisdiction are:</w:t>
            </w:r>
          </w:p>
          <w:p w14:paraId="79E04B46" w14:textId="77777777" w:rsidR="00B56EF4" w:rsidRPr="006E1DA8" w:rsidRDefault="00B56EF4" w:rsidP="009D3B31">
            <w:pPr>
              <w:pStyle w:val="ListParagraph"/>
              <w:numPr>
                <w:ilvl w:val="0"/>
                <w:numId w:val="5"/>
              </w:numPr>
              <w:rPr>
                <w:kern w:val="2"/>
                <w:sz w:val="20"/>
              </w:rPr>
            </w:pPr>
            <w:r w:rsidRPr="006E1DA8">
              <w:rPr>
                <w:kern w:val="2"/>
                <w:sz w:val="20"/>
              </w:rPr>
              <w:t>All the Parties to the Convention (except Argentina) establish some form of territorial jurisdiction over legal persons for the offence of foreign bribery. In some Parties, this jurisdiction is a collateral effect of having jurisdiction over the acts of a natural person who commits foreign bribery in its territory.</w:t>
            </w:r>
          </w:p>
          <w:p w14:paraId="29E3E4FC" w14:textId="77777777" w:rsidR="00B56EF4" w:rsidRPr="006E1DA8" w:rsidRDefault="00B56EF4" w:rsidP="009D3B31">
            <w:pPr>
              <w:pStyle w:val="ListParagraph"/>
              <w:numPr>
                <w:ilvl w:val="0"/>
                <w:numId w:val="5"/>
              </w:numPr>
              <w:rPr>
                <w:kern w:val="2"/>
                <w:sz w:val="20"/>
              </w:rPr>
            </w:pPr>
            <w:r w:rsidRPr="006E1DA8">
              <w:rPr>
                <w:kern w:val="2"/>
                <w:sz w:val="20"/>
              </w:rPr>
              <w:t xml:space="preserve">At least 23 Parties (56%) are able, in at least some circumstances, to assert jurisdiction over foreign companies that commit foreign bribery in their territory. One country—Colombia—reported to the Secretariat that its </w:t>
            </w:r>
            <w:proofErr w:type="spellStart"/>
            <w:r w:rsidRPr="006E1DA8">
              <w:rPr>
                <w:kern w:val="2"/>
                <w:sz w:val="20"/>
              </w:rPr>
              <w:t>Superintendency</w:t>
            </w:r>
            <w:proofErr w:type="spellEnd"/>
            <w:r w:rsidRPr="006E1DA8">
              <w:rPr>
                <w:kern w:val="2"/>
                <w:sz w:val="20"/>
              </w:rPr>
              <w:t xml:space="preserve"> of Corporations cannot sanction foreign legal persons for acts committed on its territory. For the other Parties, it could not be determined from the WGB reports whether such jurisdiction exists over foreign legal persons.</w:t>
            </w:r>
          </w:p>
          <w:p w14:paraId="3EC6D7DF" w14:textId="77777777" w:rsidR="00B56EF4" w:rsidRPr="006E1DA8" w:rsidRDefault="00B56EF4" w:rsidP="009D3B31">
            <w:pPr>
              <w:pStyle w:val="ListParagraph"/>
              <w:numPr>
                <w:ilvl w:val="0"/>
                <w:numId w:val="5"/>
              </w:numPr>
              <w:rPr>
                <w:kern w:val="2"/>
                <w:sz w:val="20"/>
              </w:rPr>
            </w:pPr>
            <w:r w:rsidRPr="006E1DA8">
              <w:rPr>
                <w:kern w:val="2"/>
                <w:sz w:val="20"/>
              </w:rPr>
              <w:t xml:space="preserve">At least 23 Parties (56%) can hold a domestic legal person liable for foreign bribery committed entirely abroad. In line with the WGB’s 2006 Mid-Term Study of Phase 2 Reports, the Phase 3 evaluations have indicated that some Parties still cannot assert jurisdiction over a domestic legal person for an offence committed abroad unless the Party also has jurisdiction over the natural person who actually committed the offence. In several cases, the Party may not be able to assert jurisdiction over the legal person unless the natural person who committed the act was a national (e.g. Austria, Bulgaria, Chile, Estonia, Germany, Italy, Latvia, Japan and Sweden). For 16 Parties (39%), no determination was made in the WGB reports. </w:t>
            </w:r>
          </w:p>
          <w:p w14:paraId="570DF577" w14:textId="154C33B6" w:rsidR="00B56EF4" w:rsidRPr="006E1DA8" w:rsidRDefault="00B56EF4" w:rsidP="009D3B31">
            <w:pPr>
              <w:pStyle w:val="ListParagraph"/>
              <w:numPr>
                <w:ilvl w:val="0"/>
                <w:numId w:val="5"/>
              </w:numPr>
              <w:rPr>
                <w:kern w:val="2"/>
                <w:sz w:val="20"/>
              </w:rPr>
            </w:pPr>
            <w:r w:rsidRPr="006E1DA8">
              <w:rPr>
                <w:kern w:val="2"/>
                <w:sz w:val="20"/>
              </w:rPr>
              <w:t xml:space="preserve">At least 8 Parties (20%) seemingly can hold a foreign legal person liable for foreign bribery committed entirely abroad, provided that some condition links the foreign legal person to the country for purpose of applying its foreign bribery offence. Mailbox companies in the Netherlands are also identified as a source of concern. The Phase 3 report for the Netherlands describes varying views within the Netherlands’ legal profession about whether it has effective jurisdiction over mailbox companies. The report also states that the Netherlands’ approach to </w:t>
            </w:r>
            <w:r w:rsidR="00321984" w:rsidRPr="006E1DA8">
              <w:rPr>
                <w:kern w:val="2"/>
                <w:sz w:val="20"/>
              </w:rPr>
              <w:t>“</w:t>
            </w:r>
            <w:r w:rsidRPr="006E1DA8">
              <w:rPr>
                <w:kern w:val="2"/>
                <w:sz w:val="20"/>
              </w:rPr>
              <w:t>mailbox companies appears to be a potentially significant loophole in the Dutch framework</w:t>
            </w:r>
            <w:r w:rsidR="00321984" w:rsidRPr="006E1DA8">
              <w:rPr>
                <w:kern w:val="2"/>
                <w:sz w:val="20"/>
              </w:rPr>
              <w:t>”</w:t>
            </w:r>
            <w:r w:rsidRPr="006E1DA8">
              <w:rPr>
                <w:kern w:val="2"/>
                <w:sz w:val="20"/>
              </w:rPr>
              <w:t xml:space="preserve"> and urges it </w:t>
            </w:r>
            <w:r w:rsidR="00321984" w:rsidRPr="006E1DA8">
              <w:rPr>
                <w:kern w:val="2"/>
                <w:sz w:val="20"/>
              </w:rPr>
              <w:t>“</w:t>
            </w:r>
            <w:r w:rsidRPr="006E1DA8">
              <w:rPr>
                <w:kern w:val="2"/>
                <w:sz w:val="20"/>
              </w:rPr>
              <w:t>to take all necessary measures to ensure that such companies are considered legal entities under the Dutch Criminal Code, and can be effectively prosecuted and sanctioned.</w:t>
            </w:r>
            <w:r w:rsidR="00321984" w:rsidRPr="006E1DA8">
              <w:rPr>
                <w:kern w:val="2"/>
                <w:sz w:val="20"/>
              </w:rPr>
              <w:t>”</w:t>
            </w:r>
            <w:r w:rsidRPr="006E1DA8">
              <w:rPr>
                <w:kern w:val="2"/>
                <w:sz w:val="20"/>
              </w:rPr>
              <w:t xml:space="preserve"> </w:t>
            </w:r>
          </w:p>
          <w:p w14:paraId="759DF8DD" w14:textId="77777777" w:rsidR="00B56EF4" w:rsidRPr="006E1DA8" w:rsidRDefault="00B56EF4" w:rsidP="007031DB">
            <w:pPr>
              <w:rPr>
                <w:color w:val="000000" w:themeColor="text1"/>
                <w:kern w:val="2"/>
                <w:sz w:val="20"/>
              </w:rPr>
            </w:pPr>
            <w:r w:rsidRPr="006E1DA8">
              <w:rPr>
                <w:rFonts w:eastAsia="Times New Roman" w:cs="Times New Roman"/>
                <w:color w:val="000000" w:themeColor="text1"/>
                <w:kern w:val="2"/>
                <w:sz w:val="20"/>
              </w:rPr>
              <w:t xml:space="preserve">Finally, although the Convention does not create obligations for Parties to assert jurisdiction over acts of foreign legal persons for offences that take place entirely outside its territory, the WGB has identified some interesting arrangements among the Parties for asserting such jurisdiction. These include: </w:t>
            </w:r>
          </w:p>
          <w:p w14:paraId="539F74BA" w14:textId="536AA0A3" w:rsidR="00B56EF4" w:rsidRPr="006E1DA8" w:rsidRDefault="00B56EF4" w:rsidP="009D3B31">
            <w:pPr>
              <w:pStyle w:val="ListParagraph"/>
              <w:numPr>
                <w:ilvl w:val="0"/>
                <w:numId w:val="6"/>
              </w:numPr>
              <w:rPr>
                <w:kern w:val="2"/>
                <w:sz w:val="20"/>
              </w:rPr>
            </w:pPr>
            <w:r w:rsidRPr="006E1DA8">
              <w:rPr>
                <w:b/>
                <w:i/>
                <w:kern w:val="2"/>
                <w:sz w:val="20"/>
              </w:rPr>
              <w:t>Universal jurisdiction.</w:t>
            </w:r>
            <w:r w:rsidRPr="006E1DA8">
              <w:rPr>
                <w:kern w:val="2"/>
                <w:sz w:val="20"/>
              </w:rPr>
              <w:t xml:space="preserve"> According to Iceland authorities, Iceland asserts universal jurisdiction for foreign bribery offences falling under the Anti-Bribery Convention. Likewise, the Phase 3 report for Norway states: </w:t>
            </w:r>
            <w:r w:rsidR="00321984" w:rsidRPr="006E1DA8">
              <w:rPr>
                <w:kern w:val="2"/>
                <w:sz w:val="20"/>
              </w:rPr>
              <w:t>“</w:t>
            </w:r>
            <w:r w:rsidRPr="006E1DA8">
              <w:rPr>
                <w:kern w:val="2"/>
                <w:sz w:val="20"/>
              </w:rPr>
              <w:t>Norway has extremely broad jurisdiction over foreign bribery offences, and could, in theory, prosecute any person committing a foreign bribery offence, regardless whether the offence was committed in Norway, and regardless whether the person involved is a Norwegian national. In practice, Norway explained that the universal jurisdiction was in fact rarely relied on, and only used in exceptional cases (twice between 1975 and 2004, and never in corruption cases). At any rate, this broad jurisdiction allows Norway to exercise both territorial and nationality jurisdiction over foreign bribery offences.</w:t>
            </w:r>
            <w:r w:rsidR="00321984" w:rsidRPr="006E1DA8">
              <w:rPr>
                <w:kern w:val="2"/>
                <w:sz w:val="20"/>
              </w:rPr>
              <w:t>”</w:t>
            </w:r>
            <w:r w:rsidRPr="006E1DA8">
              <w:rPr>
                <w:kern w:val="2"/>
                <w:sz w:val="20"/>
              </w:rPr>
              <w:t xml:space="preserve"> Estonia reports that it might be able to exercise universal jurisdiction over bribery offenses punishable by a </w:t>
            </w:r>
            <w:r w:rsidR="00321984" w:rsidRPr="006E1DA8">
              <w:rPr>
                <w:kern w:val="2"/>
                <w:sz w:val="20"/>
              </w:rPr>
              <w:t>“</w:t>
            </w:r>
            <w:r w:rsidRPr="006E1DA8">
              <w:rPr>
                <w:kern w:val="2"/>
                <w:sz w:val="20"/>
              </w:rPr>
              <w:t>binding international agreement</w:t>
            </w:r>
            <w:r w:rsidR="00321984" w:rsidRPr="006E1DA8">
              <w:rPr>
                <w:kern w:val="2"/>
                <w:sz w:val="20"/>
              </w:rPr>
              <w:t>”</w:t>
            </w:r>
            <w:r w:rsidRPr="006E1DA8">
              <w:rPr>
                <w:kern w:val="2"/>
                <w:sz w:val="20"/>
              </w:rPr>
              <w:t>, but in the absence of case law supporting this theory, the WGB has not been able to reach a definitive conclusion.</w:t>
            </w:r>
          </w:p>
          <w:p w14:paraId="71E32EED" w14:textId="19DF53E8" w:rsidR="00B56EF4" w:rsidRPr="006E1DA8" w:rsidRDefault="00B56EF4" w:rsidP="009D3B31">
            <w:pPr>
              <w:pStyle w:val="ListParagraph"/>
              <w:numPr>
                <w:ilvl w:val="0"/>
                <w:numId w:val="6"/>
              </w:numPr>
              <w:rPr>
                <w:kern w:val="2"/>
                <w:sz w:val="20"/>
              </w:rPr>
            </w:pPr>
            <w:r w:rsidRPr="006E1DA8">
              <w:rPr>
                <w:b/>
                <w:i/>
                <w:kern w:val="2"/>
                <w:sz w:val="20"/>
              </w:rPr>
              <w:t>Foreign legal person conducts business in, or owns property, in the territory.</w:t>
            </w:r>
            <w:r w:rsidRPr="006E1DA8">
              <w:rPr>
                <w:kern w:val="2"/>
                <w:sz w:val="20"/>
              </w:rPr>
              <w:t xml:space="preserve"> The Czech Republic can assert jurisdiction over a foreign legal person for acts committed outside of its territory when that legal person </w:t>
            </w:r>
            <w:r w:rsidR="00321984" w:rsidRPr="006E1DA8">
              <w:rPr>
                <w:kern w:val="2"/>
                <w:sz w:val="20"/>
              </w:rPr>
              <w:t>“</w:t>
            </w:r>
            <w:r w:rsidRPr="006E1DA8">
              <w:rPr>
                <w:kern w:val="2"/>
                <w:sz w:val="20"/>
              </w:rPr>
              <w:t>conducts . . . activities . . . or owns property</w:t>
            </w:r>
            <w:r w:rsidR="00321984" w:rsidRPr="006E1DA8">
              <w:rPr>
                <w:kern w:val="2"/>
                <w:sz w:val="20"/>
              </w:rPr>
              <w:t>”</w:t>
            </w:r>
            <w:r w:rsidRPr="006E1DA8">
              <w:rPr>
                <w:kern w:val="2"/>
                <w:sz w:val="20"/>
              </w:rPr>
              <w:t xml:space="preserve"> inside the Czech Republic. Similarly, the United Kingdom can apply its Section 7 offence under the Bribery Act to any </w:t>
            </w:r>
            <w:r w:rsidR="00321984" w:rsidRPr="006E1DA8">
              <w:rPr>
                <w:kern w:val="2"/>
                <w:sz w:val="20"/>
              </w:rPr>
              <w:t>“</w:t>
            </w:r>
            <w:r w:rsidRPr="006E1DA8">
              <w:rPr>
                <w:kern w:val="2"/>
                <w:sz w:val="20"/>
              </w:rPr>
              <w:t>commercial organisation</w:t>
            </w:r>
            <w:r w:rsidR="00321984" w:rsidRPr="006E1DA8">
              <w:rPr>
                <w:kern w:val="2"/>
                <w:sz w:val="20"/>
              </w:rPr>
              <w:t>”</w:t>
            </w:r>
            <w:r w:rsidRPr="006E1DA8">
              <w:rPr>
                <w:kern w:val="2"/>
                <w:sz w:val="20"/>
              </w:rPr>
              <w:t xml:space="preserve"> that </w:t>
            </w:r>
            <w:r w:rsidR="00321984" w:rsidRPr="006E1DA8">
              <w:rPr>
                <w:kern w:val="2"/>
                <w:sz w:val="20"/>
              </w:rPr>
              <w:t>“</w:t>
            </w:r>
            <w:r w:rsidRPr="006E1DA8">
              <w:rPr>
                <w:kern w:val="2"/>
                <w:sz w:val="20"/>
              </w:rPr>
              <w:t>carries on a business, or part of a business</w:t>
            </w:r>
            <w:r w:rsidR="00321984" w:rsidRPr="006E1DA8">
              <w:rPr>
                <w:kern w:val="2"/>
                <w:sz w:val="20"/>
              </w:rPr>
              <w:t>”</w:t>
            </w:r>
            <w:r w:rsidRPr="006E1DA8">
              <w:rPr>
                <w:kern w:val="2"/>
                <w:sz w:val="20"/>
              </w:rPr>
              <w:t xml:space="preserve"> inside the United Kingdom. In such a case, the foreign legal person would be liable for the acts of any </w:t>
            </w:r>
            <w:r w:rsidR="00321984" w:rsidRPr="006E1DA8">
              <w:rPr>
                <w:kern w:val="2"/>
                <w:sz w:val="20"/>
              </w:rPr>
              <w:t>“</w:t>
            </w:r>
            <w:r w:rsidRPr="006E1DA8">
              <w:rPr>
                <w:kern w:val="2"/>
                <w:sz w:val="20"/>
              </w:rPr>
              <w:t>associated person</w:t>
            </w:r>
            <w:r w:rsidR="00321984" w:rsidRPr="006E1DA8">
              <w:rPr>
                <w:kern w:val="2"/>
                <w:sz w:val="20"/>
              </w:rPr>
              <w:t>”</w:t>
            </w:r>
            <w:r w:rsidRPr="006E1DA8">
              <w:rPr>
                <w:kern w:val="2"/>
                <w:sz w:val="20"/>
              </w:rPr>
              <w:t xml:space="preserve"> even if the associated person commits the offence outside of the United Kingdom.</w:t>
            </w:r>
          </w:p>
          <w:p w14:paraId="2266B32C" w14:textId="03D1EBE2" w:rsidR="00B56EF4" w:rsidRPr="006E1DA8" w:rsidRDefault="00B56EF4" w:rsidP="009D3B31">
            <w:pPr>
              <w:pStyle w:val="ListParagraph"/>
              <w:numPr>
                <w:ilvl w:val="0"/>
                <w:numId w:val="6"/>
              </w:numPr>
              <w:rPr>
                <w:kern w:val="2"/>
                <w:sz w:val="20"/>
              </w:rPr>
            </w:pPr>
            <w:r w:rsidRPr="006E1DA8">
              <w:rPr>
                <w:b/>
                <w:i/>
                <w:kern w:val="2"/>
                <w:sz w:val="20"/>
              </w:rPr>
              <w:t>Foreign legal person committed offence for the benefit of a domestic legal person</w:t>
            </w:r>
            <w:r w:rsidRPr="006E1DA8">
              <w:rPr>
                <w:kern w:val="2"/>
                <w:sz w:val="20"/>
              </w:rPr>
              <w:t xml:space="preserve">. The Czech Republic can assert jurisdiction over a foreign legal person for acts committed outside of its territory when the </w:t>
            </w:r>
            <w:r w:rsidR="00321984" w:rsidRPr="006E1DA8">
              <w:rPr>
                <w:kern w:val="2"/>
                <w:sz w:val="20"/>
              </w:rPr>
              <w:t>“</w:t>
            </w:r>
            <w:r w:rsidRPr="006E1DA8">
              <w:rPr>
                <w:kern w:val="2"/>
                <w:sz w:val="20"/>
              </w:rPr>
              <w:t>criminal act was committed for the benefit of a Czech legal person.</w:t>
            </w:r>
            <w:r w:rsidR="00321984" w:rsidRPr="006E1DA8">
              <w:rPr>
                <w:kern w:val="2"/>
                <w:sz w:val="20"/>
              </w:rPr>
              <w:t>”</w:t>
            </w:r>
          </w:p>
          <w:p w14:paraId="3253D049" w14:textId="6C6E358A" w:rsidR="00B56EF4" w:rsidRPr="006E1DA8" w:rsidRDefault="00B56EF4" w:rsidP="006D5889">
            <w:pPr>
              <w:pStyle w:val="ListParagraph"/>
              <w:numPr>
                <w:ilvl w:val="0"/>
                <w:numId w:val="6"/>
              </w:numPr>
              <w:spacing w:after="240"/>
              <w:rPr>
                <w:kern w:val="2"/>
                <w:sz w:val="20"/>
              </w:rPr>
            </w:pPr>
            <w:r w:rsidRPr="006E1DA8">
              <w:rPr>
                <w:b/>
                <w:i/>
                <w:kern w:val="2"/>
                <w:sz w:val="20"/>
              </w:rPr>
              <w:t>Foreign legal person is closely connected to a domestic legal person or natural person.</w:t>
            </w:r>
            <w:r w:rsidRPr="006E1DA8">
              <w:rPr>
                <w:kern w:val="2"/>
                <w:sz w:val="20"/>
              </w:rPr>
              <w:t xml:space="preserve"> Greek authorities maintain that Greek law would apply to a foreign subsidiary having a </w:t>
            </w:r>
            <w:r w:rsidR="00321984" w:rsidRPr="006E1DA8">
              <w:rPr>
                <w:kern w:val="2"/>
                <w:sz w:val="20"/>
              </w:rPr>
              <w:t>“</w:t>
            </w:r>
            <w:r w:rsidRPr="006E1DA8">
              <w:rPr>
                <w:kern w:val="2"/>
                <w:sz w:val="20"/>
              </w:rPr>
              <w:t>sufficient connection</w:t>
            </w:r>
            <w:r w:rsidR="00321984" w:rsidRPr="006E1DA8">
              <w:rPr>
                <w:kern w:val="2"/>
                <w:sz w:val="20"/>
              </w:rPr>
              <w:t>”</w:t>
            </w:r>
            <w:r w:rsidRPr="006E1DA8">
              <w:rPr>
                <w:kern w:val="2"/>
                <w:sz w:val="20"/>
              </w:rPr>
              <w:t xml:space="preserve"> with a parent company located in Greece. Israeli authorities believed that they could likely assert jurisdiction over a foreign legal person, </w:t>
            </w:r>
            <w:r w:rsidR="00321984" w:rsidRPr="006E1DA8">
              <w:rPr>
                <w:kern w:val="2"/>
                <w:sz w:val="20"/>
              </w:rPr>
              <w:t>“</w:t>
            </w:r>
            <w:r w:rsidRPr="006E1DA8">
              <w:rPr>
                <w:kern w:val="2"/>
                <w:sz w:val="20"/>
              </w:rPr>
              <w:t>if the crime was committed by an Israeli citizen or resident who was the controlling owner of the legal person.</w:t>
            </w:r>
            <w:r w:rsidR="00321984" w:rsidRPr="006E1DA8">
              <w:rPr>
                <w:kern w:val="2"/>
                <w:sz w:val="20"/>
              </w:rPr>
              <w:t>”</w:t>
            </w:r>
            <w:r w:rsidRPr="006E1DA8">
              <w:rPr>
                <w:kern w:val="2"/>
                <w:sz w:val="20"/>
              </w:rPr>
              <w:t xml:space="preserve"> [footnotes omitted]</w:t>
            </w:r>
          </w:p>
          <w:p w14:paraId="72D9212B" w14:textId="47935C3E" w:rsidR="00B56EF4" w:rsidRPr="006E1DA8" w:rsidRDefault="00B56EF4" w:rsidP="008B40AF">
            <w:pPr>
              <w:pStyle w:val="ExcerptMarker"/>
              <w:spacing w:after="0"/>
              <w:rPr>
                <w:kern w:val="2"/>
                <w:sz w:val="16"/>
              </w:rPr>
            </w:pPr>
            <w:r w:rsidRPr="006E1DA8">
              <w:rPr>
                <w:kern w:val="2"/>
                <w:sz w:val="16"/>
              </w:rPr>
              <w:t>End of Excerpt</w:t>
            </w:r>
          </w:p>
        </w:tc>
      </w:tr>
    </w:tbl>
    <w:p w14:paraId="02FE7B7C" w14:textId="23320AF1" w:rsidR="0059469D" w:rsidRPr="006E1DA8" w:rsidRDefault="0059469D" w:rsidP="006D5889">
      <w:pPr>
        <w:keepNext/>
        <w:rPr>
          <w:kern w:val="2"/>
          <w:sz w:val="20"/>
        </w:rPr>
      </w:pPr>
      <w:r w:rsidRPr="006E1DA8">
        <w:rPr>
          <w:kern w:val="2"/>
          <w:sz w:val="20"/>
        </w:rPr>
        <w:t>In regard to the nationality requirements for legal persons, the report states the following:</w:t>
      </w:r>
      <w:r w:rsidR="00321984" w:rsidRPr="006E1DA8">
        <w:rPr>
          <w:rStyle w:val="FootnoteReference"/>
          <w:kern w:val="2"/>
          <w:sz w:val="20"/>
        </w:rPr>
        <w:footnoteReference w:id="13"/>
      </w:r>
    </w:p>
    <w:p w14:paraId="3288596B" w14:textId="77777777" w:rsidR="00481DBE" w:rsidRPr="006E1DA8" w:rsidRDefault="0059469D" w:rsidP="007031DB">
      <w:pPr>
        <w:pStyle w:val="BlockQuote"/>
        <w:rPr>
          <w:kern w:val="2"/>
          <w:sz w:val="20"/>
        </w:rPr>
      </w:pPr>
      <w:r w:rsidRPr="006E1DA8">
        <w:rPr>
          <w:kern w:val="2"/>
          <w:sz w:val="20"/>
        </w:rPr>
        <w:t>Of the 41 Convention Parties, at least 16 countries (39%) will consider any legal person incorporated or formed in accordance with their laws to have their nationality. At least eight countries (20%) will look to the legal person’s headquarters or seat of operations to determine its nationality, and at least another three countries (7%) will look at either the place of incorporation or the seat. Only 1 country, Brazil, restricts the application of its nationality jurisdiction to legal persons that are both incorporated in and headquartere</w:t>
      </w:r>
      <w:r w:rsidR="00481DBE" w:rsidRPr="006E1DA8">
        <w:rPr>
          <w:kern w:val="2"/>
          <w:sz w:val="20"/>
        </w:rPr>
        <w:t>d in the country’s territory.</w:t>
      </w:r>
    </w:p>
    <w:p w14:paraId="5B0CCFDA" w14:textId="77777777" w:rsidR="006D5889" w:rsidRDefault="0059469D" w:rsidP="007031DB">
      <w:pPr>
        <w:pStyle w:val="BlockQuote"/>
        <w:rPr>
          <w:kern w:val="2"/>
          <w:sz w:val="20"/>
        </w:rPr>
      </w:pPr>
      <w:r w:rsidRPr="006E1DA8">
        <w:rPr>
          <w:kern w:val="2"/>
          <w:sz w:val="20"/>
        </w:rPr>
        <w:t xml:space="preserve">Finally, at least 11 countries (27%) will assert nationality jurisdiction over legal entities based on </w:t>
      </w:r>
      <w:r w:rsidR="00321984" w:rsidRPr="006E1DA8">
        <w:rPr>
          <w:kern w:val="2"/>
          <w:sz w:val="20"/>
        </w:rPr>
        <w:t>“</w:t>
      </w:r>
      <w:r w:rsidRPr="006E1DA8">
        <w:rPr>
          <w:kern w:val="2"/>
          <w:sz w:val="20"/>
        </w:rPr>
        <w:t>other</w:t>
      </w:r>
      <w:r w:rsidR="00321984" w:rsidRPr="006E1DA8">
        <w:rPr>
          <w:kern w:val="2"/>
          <w:sz w:val="20"/>
        </w:rPr>
        <w:t>”</w:t>
      </w:r>
      <w:r w:rsidRPr="006E1DA8">
        <w:rPr>
          <w:kern w:val="2"/>
          <w:sz w:val="20"/>
        </w:rPr>
        <w:t xml:space="preserve"> factors, primarily whether the company is </w:t>
      </w:r>
      <w:r w:rsidR="00321984" w:rsidRPr="006E1DA8">
        <w:rPr>
          <w:kern w:val="2"/>
          <w:sz w:val="20"/>
        </w:rPr>
        <w:t>“</w:t>
      </w:r>
      <w:r w:rsidRPr="006E1DA8">
        <w:rPr>
          <w:kern w:val="2"/>
          <w:sz w:val="20"/>
        </w:rPr>
        <w:t>registered</w:t>
      </w:r>
      <w:r w:rsidR="00321984" w:rsidRPr="006E1DA8">
        <w:rPr>
          <w:kern w:val="2"/>
          <w:sz w:val="20"/>
        </w:rPr>
        <w:t>”</w:t>
      </w:r>
      <w:r w:rsidRPr="006E1DA8">
        <w:rPr>
          <w:kern w:val="2"/>
          <w:sz w:val="20"/>
        </w:rPr>
        <w:t xml:space="preserve"> under the country’s laws or has a </w:t>
      </w:r>
      <w:r w:rsidR="00321984" w:rsidRPr="006E1DA8">
        <w:rPr>
          <w:kern w:val="2"/>
          <w:sz w:val="20"/>
        </w:rPr>
        <w:t>“</w:t>
      </w:r>
      <w:r w:rsidRPr="006E1DA8">
        <w:rPr>
          <w:kern w:val="2"/>
          <w:sz w:val="20"/>
        </w:rPr>
        <w:t>registered office</w:t>
      </w:r>
      <w:r w:rsidR="00321984" w:rsidRPr="006E1DA8">
        <w:rPr>
          <w:kern w:val="2"/>
          <w:sz w:val="20"/>
        </w:rPr>
        <w:t>”</w:t>
      </w:r>
      <w:r w:rsidRPr="006E1DA8">
        <w:rPr>
          <w:kern w:val="2"/>
          <w:sz w:val="20"/>
        </w:rPr>
        <w:t xml:space="preserve"> on its territory. Depending on the country, these other factors may be exclusive or operate alongside the place of incorporation or the seat of the company</w:t>
      </w:r>
      <w:r w:rsidR="00C77981" w:rsidRPr="006E1DA8">
        <w:rPr>
          <w:kern w:val="2"/>
          <w:sz w:val="20"/>
        </w:rPr>
        <w:t>.</w:t>
      </w:r>
      <w:r w:rsidR="005E54CD" w:rsidRPr="006E1DA8">
        <w:rPr>
          <w:kern w:val="2"/>
          <w:sz w:val="20"/>
        </w:rPr>
        <w:t xml:space="preserve"> </w:t>
      </w:r>
    </w:p>
    <w:p w14:paraId="1123D130" w14:textId="158ED2B6" w:rsidR="0059469D" w:rsidRPr="006E1DA8" w:rsidRDefault="005E54CD" w:rsidP="007031DB">
      <w:pPr>
        <w:pStyle w:val="BlockQuote"/>
        <w:rPr>
          <w:kern w:val="2"/>
          <w:sz w:val="20"/>
        </w:rPr>
      </w:pPr>
      <w:r w:rsidRPr="006E1DA8">
        <w:rPr>
          <w:kern w:val="2"/>
          <w:sz w:val="20"/>
        </w:rPr>
        <w:t>[</w:t>
      </w:r>
      <w:proofErr w:type="gramStart"/>
      <w:r w:rsidRPr="006E1DA8">
        <w:rPr>
          <w:kern w:val="2"/>
          <w:sz w:val="20"/>
        </w:rPr>
        <w:t>footnotes</w:t>
      </w:r>
      <w:proofErr w:type="gramEnd"/>
      <w:r w:rsidRPr="006E1DA8">
        <w:rPr>
          <w:kern w:val="2"/>
          <w:sz w:val="20"/>
        </w:rPr>
        <w:t xml:space="preserve"> omitted]</w:t>
      </w:r>
    </w:p>
    <w:p w14:paraId="249AF7AF" w14:textId="66B7D8A4" w:rsidR="00622318" w:rsidRPr="006E1DA8" w:rsidRDefault="00622318" w:rsidP="007031DB">
      <w:pPr>
        <w:pStyle w:val="Heading2"/>
        <w:rPr>
          <w:kern w:val="2"/>
          <w:sz w:val="24"/>
        </w:rPr>
      </w:pPr>
      <w:r w:rsidRPr="006E1DA8">
        <w:rPr>
          <w:kern w:val="2"/>
          <w:sz w:val="24"/>
        </w:rPr>
        <w:t>US Law</w:t>
      </w:r>
      <w:bookmarkEnd w:id="8"/>
    </w:p>
    <w:p w14:paraId="681CB755" w14:textId="3394FD4B" w:rsidR="00622318" w:rsidRPr="006E1DA8" w:rsidRDefault="00622318" w:rsidP="00E70225">
      <w:pPr>
        <w:pStyle w:val="Heading3"/>
        <w:rPr>
          <w:i/>
          <w:kern w:val="2"/>
          <w:sz w:val="22"/>
        </w:rPr>
      </w:pPr>
      <w:r w:rsidRPr="006E1DA8">
        <w:rPr>
          <w:kern w:val="2"/>
          <w:sz w:val="22"/>
        </w:rPr>
        <w:t xml:space="preserve">The Expansive Extraterritorial Reach of the US </w:t>
      </w:r>
      <w:r w:rsidRPr="006E1DA8">
        <w:rPr>
          <w:i/>
          <w:kern w:val="2"/>
          <w:sz w:val="22"/>
        </w:rPr>
        <w:t>FCPA</w:t>
      </w:r>
    </w:p>
    <w:p w14:paraId="3F3579C7" w14:textId="734863F5" w:rsidR="006D5889" w:rsidRDefault="00622318" w:rsidP="007031DB">
      <w:pPr>
        <w:rPr>
          <w:kern w:val="2"/>
          <w:sz w:val="20"/>
        </w:rPr>
      </w:pPr>
      <w:r w:rsidRPr="006E1DA8">
        <w:rPr>
          <w:kern w:val="2"/>
          <w:sz w:val="20"/>
        </w:rPr>
        <w:t xml:space="preserve">The US </w:t>
      </w:r>
      <w:r w:rsidRPr="006E1DA8">
        <w:rPr>
          <w:i/>
          <w:iCs/>
          <w:kern w:val="2"/>
          <w:sz w:val="20"/>
        </w:rPr>
        <w:t xml:space="preserve">FCPA </w:t>
      </w:r>
      <w:r w:rsidRPr="006E1DA8">
        <w:rPr>
          <w:kern w:val="2"/>
          <w:sz w:val="20"/>
        </w:rPr>
        <w:t xml:space="preserve">has significant extraterritorial reach. Not only does it apply in instances where any </w:t>
      </w:r>
      <w:r w:rsidR="00DB5483" w:rsidRPr="006E1DA8">
        <w:rPr>
          <w:kern w:val="2"/>
          <w:sz w:val="20"/>
        </w:rPr>
        <w:t>act in furtherance of the offens</w:t>
      </w:r>
      <w:r w:rsidRPr="006E1DA8">
        <w:rPr>
          <w:kern w:val="2"/>
          <w:sz w:val="20"/>
        </w:rPr>
        <w:t xml:space="preserve">e occurs within the territory of the US, but it also exercises jurisdiction based on nationality. As part of its territorial jurisdiction, foreign companies that are listed on a US stock exchange are subject to </w:t>
      </w:r>
      <w:r w:rsidR="00482AA0" w:rsidRPr="006E1DA8">
        <w:rPr>
          <w:kern w:val="2"/>
          <w:sz w:val="20"/>
        </w:rPr>
        <w:t xml:space="preserve">the </w:t>
      </w:r>
      <w:r w:rsidRPr="006E1DA8">
        <w:rPr>
          <w:i/>
          <w:iCs/>
          <w:kern w:val="2"/>
          <w:sz w:val="20"/>
        </w:rPr>
        <w:t>FCPA.</w:t>
      </w:r>
      <w:r w:rsidRPr="006E1DA8">
        <w:rPr>
          <w:iCs/>
          <w:kern w:val="2"/>
          <w:sz w:val="20"/>
        </w:rPr>
        <w:t xml:space="preserve"> For a detailed description of jurisdiction under the </w:t>
      </w:r>
      <w:r w:rsidRPr="006E1DA8">
        <w:rPr>
          <w:i/>
          <w:iCs/>
          <w:kern w:val="2"/>
          <w:sz w:val="20"/>
        </w:rPr>
        <w:t>FCPA</w:t>
      </w:r>
      <w:r w:rsidRPr="006E1DA8">
        <w:rPr>
          <w:iCs/>
          <w:kern w:val="2"/>
          <w:sz w:val="20"/>
        </w:rPr>
        <w:t xml:space="preserve">, including a discussion of due process and relevant cases, see </w:t>
      </w:r>
      <w:proofErr w:type="spellStart"/>
      <w:r w:rsidRPr="006E1DA8">
        <w:rPr>
          <w:iCs/>
          <w:kern w:val="2"/>
          <w:sz w:val="20"/>
        </w:rPr>
        <w:t>Tarun</w:t>
      </w:r>
      <w:r w:rsidR="009906D7" w:rsidRPr="006E1DA8">
        <w:rPr>
          <w:iCs/>
          <w:kern w:val="2"/>
          <w:sz w:val="20"/>
        </w:rPr>
        <w:t>’s</w:t>
      </w:r>
      <w:proofErr w:type="spellEnd"/>
      <w:r w:rsidR="009906D7" w:rsidRPr="006E1DA8">
        <w:rPr>
          <w:iCs/>
          <w:kern w:val="2"/>
          <w:sz w:val="20"/>
        </w:rPr>
        <w:t xml:space="preserve"> </w:t>
      </w:r>
      <w:r w:rsidR="009906D7" w:rsidRPr="006E1DA8">
        <w:rPr>
          <w:i/>
          <w:iCs/>
          <w:kern w:val="2"/>
          <w:sz w:val="20"/>
        </w:rPr>
        <w:t>Foreign Corrupt Practices Handbook</w:t>
      </w:r>
      <w:r w:rsidRPr="006E1DA8">
        <w:rPr>
          <w:iCs/>
          <w:kern w:val="2"/>
          <w:sz w:val="20"/>
        </w:rPr>
        <w:t>.</w:t>
      </w:r>
      <w:r w:rsidRPr="006E1DA8">
        <w:rPr>
          <w:rStyle w:val="FootnoteReference"/>
          <w:rFonts w:cs="Times New Roman"/>
          <w:iCs/>
          <w:kern w:val="2"/>
          <w:sz w:val="20"/>
        </w:rPr>
        <w:footnoteReference w:id="14"/>
      </w:r>
      <w:r w:rsidRPr="006E1DA8">
        <w:rPr>
          <w:iCs/>
          <w:kern w:val="2"/>
          <w:sz w:val="20"/>
        </w:rPr>
        <w:t xml:space="preserve"> </w:t>
      </w:r>
      <w:r w:rsidRPr="006E1DA8">
        <w:rPr>
          <w:kern w:val="2"/>
          <w:sz w:val="20"/>
        </w:rPr>
        <w:t xml:space="preserve">The following excerpt from the US DOJ and SEC’s </w:t>
      </w:r>
      <w:r w:rsidRPr="006E1DA8">
        <w:rPr>
          <w:i/>
          <w:iCs/>
          <w:kern w:val="2"/>
          <w:sz w:val="20"/>
        </w:rPr>
        <w:t>Resource Guide to the Foreign Corrupt Practices Act</w:t>
      </w:r>
      <w:r w:rsidRPr="006E1DA8">
        <w:rPr>
          <w:kern w:val="2"/>
          <w:sz w:val="20"/>
        </w:rPr>
        <w:t xml:space="preserve"> (</w:t>
      </w:r>
      <w:r w:rsidRPr="006E1DA8">
        <w:rPr>
          <w:i/>
          <w:iCs/>
          <w:kern w:val="2"/>
          <w:sz w:val="20"/>
        </w:rPr>
        <w:t xml:space="preserve">Resource </w:t>
      </w:r>
      <w:r w:rsidRPr="006E1DA8">
        <w:rPr>
          <w:i/>
          <w:kern w:val="2"/>
          <w:sz w:val="20"/>
        </w:rPr>
        <w:t>Guide</w:t>
      </w:r>
      <w:r w:rsidRPr="006E1DA8">
        <w:rPr>
          <w:kern w:val="2"/>
          <w:sz w:val="20"/>
        </w:rPr>
        <w:t xml:space="preserve">) details how these two </w:t>
      </w:r>
      <w:r w:rsidRPr="006E1DA8">
        <w:rPr>
          <w:i/>
          <w:iCs/>
          <w:kern w:val="2"/>
          <w:sz w:val="20"/>
        </w:rPr>
        <w:t xml:space="preserve">FCPA </w:t>
      </w:r>
      <w:r w:rsidRPr="006E1DA8">
        <w:rPr>
          <w:kern w:val="2"/>
          <w:sz w:val="20"/>
        </w:rPr>
        <w:t>enforcement agencies interpret</w:t>
      </w:r>
      <w:r w:rsidR="00095271" w:rsidRPr="006E1DA8">
        <w:rPr>
          <w:kern w:val="2"/>
          <w:sz w:val="20"/>
        </w:rPr>
        <w:t xml:space="preserve"> the</w:t>
      </w:r>
      <w:r w:rsidRPr="006E1DA8">
        <w:rPr>
          <w:kern w:val="2"/>
          <w:sz w:val="20"/>
        </w:rPr>
        <w:t xml:space="preserve"> </w:t>
      </w:r>
      <w:r w:rsidRPr="006E1DA8">
        <w:rPr>
          <w:i/>
          <w:kern w:val="2"/>
          <w:sz w:val="20"/>
        </w:rPr>
        <w:t>FCPA</w:t>
      </w:r>
      <w:r w:rsidRPr="006E1DA8">
        <w:rPr>
          <w:kern w:val="2"/>
          <w:sz w:val="20"/>
        </w:rPr>
        <w:t>’s jurisdiction:</w:t>
      </w:r>
      <w:r w:rsidRPr="006E1DA8">
        <w:rPr>
          <w:rStyle w:val="FootnoteReference"/>
          <w:rFonts w:cs="Times New Roman"/>
          <w:kern w:val="2"/>
          <w:sz w:val="20"/>
        </w:rPr>
        <w:footnoteReference w:id="15"/>
      </w:r>
    </w:p>
    <w:p w14:paraId="3B2FAC69" w14:textId="77777777" w:rsidR="006D5889" w:rsidRDefault="006D5889">
      <w:pPr>
        <w:spacing w:before="0" w:after="0"/>
        <w:jc w:val="left"/>
        <w:rPr>
          <w:kern w:val="2"/>
          <w:sz w:val="20"/>
        </w:rPr>
      </w:pPr>
      <w:r>
        <w:rPr>
          <w:kern w:val="2"/>
          <w:sz w:val="20"/>
        </w:rPr>
        <w:br w:type="page"/>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7031DB" w:rsidRPr="006E1DA8" w14:paraId="1E31CA75" w14:textId="77777777" w:rsidTr="006D5889">
        <w:trPr>
          <w:jc w:val="center"/>
        </w:trPr>
        <w:tc>
          <w:tcPr>
            <w:tcW w:w="8080" w:type="dxa"/>
            <w:tcBorders>
              <w:top w:val="nil"/>
              <w:left w:val="nil"/>
              <w:bottom w:val="nil"/>
              <w:right w:val="nil"/>
            </w:tcBorders>
            <w:shd w:val="clear" w:color="auto" w:fill="D9D9D9" w:themeFill="background1" w:themeFillShade="D9"/>
          </w:tcPr>
          <w:p w14:paraId="72D1572A" w14:textId="77777777" w:rsidR="007031DB" w:rsidRPr="006E1DA8" w:rsidRDefault="007031DB" w:rsidP="008B40AF">
            <w:pPr>
              <w:pStyle w:val="ExcerptMarker"/>
              <w:spacing w:before="0"/>
              <w:rPr>
                <w:kern w:val="2"/>
                <w:sz w:val="16"/>
              </w:rPr>
            </w:pPr>
            <w:r w:rsidRPr="006E1DA8">
              <w:rPr>
                <w:kern w:val="2"/>
                <w:sz w:val="16"/>
              </w:rPr>
              <w:t>Beginning of Excerpt</w:t>
            </w:r>
          </w:p>
          <w:p w14:paraId="6B56A920" w14:textId="77777777" w:rsidR="007031DB" w:rsidRPr="006E1DA8" w:rsidRDefault="007031DB" w:rsidP="00D62730">
            <w:pPr>
              <w:spacing w:after="120"/>
              <w:rPr>
                <w:b/>
                <w:kern w:val="2"/>
                <w:sz w:val="20"/>
              </w:rPr>
            </w:pPr>
            <w:r w:rsidRPr="006E1DA8">
              <w:rPr>
                <w:b/>
                <w:kern w:val="2"/>
                <w:sz w:val="20"/>
              </w:rPr>
              <w:t xml:space="preserve">Who Is Covered by the Anti-Bribery Provisions? </w:t>
            </w:r>
          </w:p>
          <w:p w14:paraId="76A3268F" w14:textId="6151D9E2" w:rsidR="007031DB" w:rsidRPr="006E1DA8" w:rsidRDefault="007031DB" w:rsidP="00D62730">
            <w:pPr>
              <w:spacing w:before="120"/>
              <w:rPr>
                <w:kern w:val="2"/>
                <w:sz w:val="20"/>
              </w:rPr>
            </w:pPr>
            <w:r w:rsidRPr="006E1DA8">
              <w:rPr>
                <w:kern w:val="2"/>
                <w:sz w:val="20"/>
              </w:rPr>
              <w:t xml:space="preserve">The FCPA’s anti-bribery provisions apply broadly to three categories of persons and entities: (1) </w:t>
            </w:r>
            <w:r w:rsidR="00321984" w:rsidRPr="006E1DA8">
              <w:rPr>
                <w:kern w:val="2"/>
                <w:sz w:val="20"/>
              </w:rPr>
              <w:t>“</w:t>
            </w:r>
            <w:r w:rsidRPr="006E1DA8">
              <w:rPr>
                <w:kern w:val="2"/>
                <w:sz w:val="20"/>
              </w:rPr>
              <w:t>issuers</w:t>
            </w:r>
            <w:r w:rsidR="00321984" w:rsidRPr="006E1DA8">
              <w:rPr>
                <w:kern w:val="2"/>
                <w:sz w:val="20"/>
              </w:rPr>
              <w:t>”</w:t>
            </w:r>
            <w:r w:rsidRPr="006E1DA8">
              <w:rPr>
                <w:kern w:val="2"/>
                <w:sz w:val="20"/>
              </w:rPr>
              <w:t xml:space="preserve"> and their officers, directors, employees, agents, and sharehold</w:t>
            </w:r>
            <w:r w:rsidRPr="006E1DA8">
              <w:rPr>
                <w:kern w:val="2"/>
                <w:sz w:val="20"/>
              </w:rPr>
              <w:softHyphen/>
              <w:t xml:space="preserve">ers; (2) </w:t>
            </w:r>
            <w:r w:rsidR="00321984" w:rsidRPr="006E1DA8">
              <w:rPr>
                <w:kern w:val="2"/>
                <w:sz w:val="20"/>
              </w:rPr>
              <w:t>“</w:t>
            </w:r>
            <w:r w:rsidRPr="006E1DA8">
              <w:rPr>
                <w:kern w:val="2"/>
                <w:sz w:val="20"/>
              </w:rPr>
              <w:t>domestic concerns</w:t>
            </w:r>
            <w:r w:rsidR="00321984" w:rsidRPr="006E1DA8">
              <w:rPr>
                <w:kern w:val="2"/>
                <w:sz w:val="20"/>
              </w:rPr>
              <w:t>”</w:t>
            </w:r>
            <w:r w:rsidRPr="006E1DA8">
              <w:rPr>
                <w:kern w:val="2"/>
                <w:sz w:val="20"/>
              </w:rPr>
              <w:t xml:space="preserve"> and their officers, directors, employees, agents, and shareholders; and (3) certain per</w:t>
            </w:r>
            <w:r w:rsidRPr="006E1DA8">
              <w:rPr>
                <w:kern w:val="2"/>
                <w:sz w:val="20"/>
              </w:rPr>
              <w:softHyphen/>
              <w:t xml:space="preserve">sons and entities, other than issuers and domestic concerns, acting while in the territory of the United States. </w:t>
            </w:r>
          </w:p>
          <w:p w14:paraId="6C0B388D" w14:textId="77777777" w:rsidR="007031DB" w:rsidRPr="006E1DA8" w:rsidRDefault="007031DB" w:rsidP="00D62730">
            <w:pPr>
              <w:spacing w:after="120"/>
              <w:rPr>
                <w:b/>
                <w:kern w:val="2"/>
                <w:sz w:val="20"/>
              </w:rPr>
            </w:pPr>
            <w:r w:rsidRPr="006E1DA8">
              <w:rPr>
                <w:b/>
                <w:kern w:val="2"/>
                <w:sz w:val="20"/>
              </w:rPr>
              <w:t xml:space="preserve">Issuers—15 USC. § 78dd-1 </w:t>
            </w:r>
            <w:r w:rsidRPr="006E1DA8">
              <w:rPr>
                <w:b/>
                <w:kern w:val="2"/>
                <w:sz w:val="20"/>
              </w:rPr>
              <w:tab/>
            </w:r>
          </w:p>
          <w:p w14:paraId="05857C20" w14:textId="12CA4111" w:rsidR="007031DB" w:rsidRPr="006E1DA8" w:rsidRDefault="007031DB" w:rsidP="00D62730">
            <w:pPr>
              <w:spacing w:before="120"/>
              <w:rPr>
                <w:kern w:val="2"/>
                <w:sz w:val="20"/>
              </w:rPr>
            </w:pPr>
            <w:r w:rsidRPr="006E1DA8">
              <w:rPr>
                <w:kern w:val="2"/>
                <w:sz w:val="20"/>
              </w:rPr>
              <w:t xml:space="preserve">Section 30A of the Securities Exchange Act of 1934 (the Exchange Act), which can be found at 15 USC. Section 78dd-1, contains the anti-bribery provision governing issuers. A company is an </w:t>
            </w:r>
            <w:r w:rsidR="00321984" w:rsidRPr="006E1DA8">
              <w:rPr>
                <w:kern w:val="2"/>
                <w:sz w:val="20"/>
              </w:rPr>
              <w:t>“</w:t>
            </w:r>
            <w:r w:rsidRPr="006E1DA8">
              <w:rPr>
                <w:kern w:val="2"/>
                <w:sz w:val="20"/>
              </w:rPr>
              <w:t>issuer</w:t>
            </w:r>
            <w:r w:rsidR="00321984" w:rsidRPr="006E1DA8">
              <w:rPr>
                <w:kern w:val="2"/>
                <w:sz w:val="20"/>
              </w:rPr>
              <w:t>”</w:t>
            </w:r>
            <w:r w:rsidRPr="006E1DA8">
              <w:rPr>
                <w:kern w:val="2"/>
                <w:sz w:val="20"/>
              </w:rPr>
              <w:t xml:space="preserve"> under the FCPA if it has a class of securities registered under Section 12 of the Exchange Act or is required to file periodic and other reports with SEC under Section 15(d) of the Exchange Act. In practice, this means that any company with a class of securities listed on a national securities exchange in the United States, or any company with a class of securi</w:t>
            </w:r>
            <w:r w:rsidRPr="006E1DA8">
              <w:rPr>
                <w:kern w:val="2"/>
                <w:sz w:val="20"/>
              </w:rPr>
              <w:softHyphen/>
              <w:t>ties quoted in the over-the-counter market in the United States and required to file periodic reports with SEC, is an issuer. A company thus need not be a US company to be an issuer. Foreign companies with American Depository Receipts that are listed on a US exchange are also issuers. As of December 31, 2011, 965 foreign companies were reg</w:t>
            </w:r>
            <w:r w:rsidRPr="006E1DA8">
              <w:rPr>
                <w:kern w:val="2"/>
                <w:sz w:val="20"/>
              </w:rPr>
              <w:softHyphen/>
              <w:t xml:space="preserve">istered with SEC. Officers, directors, employees, agents, or stockholders acting on behalf of an issuer (whether US or foreign nationals), and any co-conspirators, also can be prosecuted under the FCPA. </w:t>
            </w:r>
          </w:p>
          <w:p w14:paraId="6CF797B0" w14:textId="77777777" w:rsidR="007031DB" w:rsidRPr="006E1DA8" w:rsidRDefault="007031DB" w:rsidP="00D62730">
            <w:pPr>
              <w:spacing w:after="120"/>
              <w:rPr>
                <w:b/>
                <w:kern w:val="2"/>
                <w:sz w:val="20"/>
              </w:rPr>
            </w:pPr>
            <w:r w:rsidRPr="006E1DA8">
              <w:rPr>
                <w:b/>
                <w:kern w:val="2"/>
                <w:sz w:val="20"/>
              </w:rPr>
              <w:t xml:space="preserve">Domestic Concerns—15 USC. § 78dd-2 </w:t>
            </w:r>
          </w:p>
          <w:p w14:paraId="71832063" w14:textId="40F41666" w:rsidR="007031DB" w:rsidRPr="006E1DA8" w:rsidRDefault="007031DB" w:rsidP="00D62730">
            <w:pPr>
              <w:spacing w:before="120"/>
              <w:rPr>
                <w:kern w:val="2"/>
                <w:sz w:val="20"/>
              </w:rPr>
            </w:pPr>
            <w:r w:rsidRPr="006E1DA8">
              <w:rPr>
                <w:kern w:val="2"/>
                <w:sz w:val="20"/>
              </w:rPr>
              <w:t xml:space="preserve">The FCPA also applies to </w:t>
            </w:r>
            <w:r w:rsidR="00321984" w:rsidRPr="006E1DA8">
              <w:rPr>
                <w:kern w:val="2"/>
                <w:sz w:val="20"/>
              </w:rPr>
              <w:t>“</w:t>
            </w:r>
            <w:r w:rsidRPr="006E1DA8">
              <w:rPr>
                <w:kern w:val="2"/>
                <w:sz w:val="20"/>
              </w:rPr>
              <w:t>domestic concerns.</w:t>
            </w:r>
            <w:r w:rsidR="00321984" w:rsidRPr="006E1DA8">
              <w:rPr>
                <w:kern w:val="2"/>
                <w:sz w:val="20"/>
              </w:rPr>
              <w:t>”</w:t>
            </w:r>
            <w:r w:rsidRPr="006E1DA8">
              <w:rPr>
                <w:kern w:val="2"/>
                <w:sz w:val="20"/>
              </w:rPr>
              <w:t xml:space="preserve"> A domestic concern is any individual who is a citizen, national, or resident of the United States, or any corporation, part</w:t>
            </w:r>
            <w:r w:rsidRPr="006E1DA8">
              <w:rPr>
                <w:kern w:val="2"/>
                <w:sz w:val="20"/>
              </w:rPr>
              <w:softHyphen/>
              <w:t xml:space="preserve">nership, association, joint-stock company, business trust, unincorporated organization, or sole proprietorship that is organized under the laws of the United States or its states, territories, possessions, or commonwealths or that has its principal place of business in the United States. [Note that </w:t>
            </w:r>
            <w:r w:rsidR="00321984" w:rsidRPr="006E1DA8">
              <w:rPr>
                <w:kern w:val="2"/>
                <w:sz w:val="20"/>
              </w:rPr>
              <w:t>“</w:t>
            </w:r>
            <w:r w:rsidRPr="006E1DA8">
              <w:rPr>
                <w:kern w:val="2"/>
                <w:sz w:val="20"/>
              </w:rPr>
              <w:t>domestic concern</w:t>
            </w:r>
            <w:r w:rsidR="00321984" w:rsidRPr="006E1DA8">
              <w:rPr>
                <w:kern w:val="2"/>
                <w:sz w:val="20"/>
              </w:rPr>
              <w:t>”</w:t>
            </w:r>
            <w:r w:rsidRPr="006E1DA8">
              <w:rPr>
                <w:kern w:val="2"/>
                <w:sz w:val="20"/>
              </w:rPr>
              <w:t xml:space="preserve"> includes non-profit organizations such as aid groups.] Officers, directors, employees, agents, or stockholders acting on behalf of a domestic concern, including foreign nationals or companies, are also covered. </w:t>
            </w:r>
          </w:p>
          <w:p w14:paraId="4E7E7412" w14:textId="77777777" w:rsidR="007031DB" w:rsidRPr="006E1DA8" w:rsidRDefault="007031DB" w:rsidP="00D62730">
            <w:pPr>
              <w:spacing w:after="120"/>
              <w:rPr>
                <w:b/>
                <w:kern w:val="2"/>
                <w:sz w:val="20"/>
              </w:rPr>
            </w:pPr>
            <w:r w:rsidRPr="006E1DA8">
              <w:rPr>
                <w:b/>
                <w:kern w:val="2"/>
                <w:sz w:val="20"/>
              </w:rPr>
              <w:t xml:space="preserve">Territorial Jurisdiction—15 USC. § 78dd-3 </w:t>
            </w:r>
          </w:p>
          <w:p w14:paraId="6437A4FD" w14:textId="77777777" w:rsidR="007031DB" w:rsidRPr="006E1DA8" w:rsidRDefault="007031DB" w:rsidP="00D62730">
            <w:pPr>
              <w:spacing w:before="120"/>
              <w:rPr>
                <w:kern w:val="2"/>
                <w:sz w:val="20"/>
              </w:rPr>
            </w:pPr>
            <w:r w:rsidRPr="006E1DA8">
              <w:rPr>
                <w:kern w:val="2"/>
                <w:sz w:val="20"/>
              </w:rPr>
              <w:t>The FCPA also applies to certain foreign nationals or entities that are not issuers or domestic concerns. Since 1998, the FCPA’s anti-bribery provisions have applied to foreign persons and foreign non-issuer entities that, either directly or through an agent, engage in any act in further</w:t>
            </w:r>
            <w:r w:rsidRPr="006E1DA8">
              <w:rPr>
                <w:kern w:val="2"/>
                <w:sz w:val="20"/>
              </w:rPr>
              <w:softHyphen/>
              <w:t>ance of a corrupt payment (or an offer, promise, or authori</w:t>
            </w:r>
            <w:r w:rsidRPr="006E1DA8">
              <w:rPr>
                <w:kern w:val="2"/>
                <w:sz w:val="20"/>
              </w:rPr>
              <w:softHyphen/>
              <w:t xml:space="preserve">zation to pay) while in the territory of the United States. Also, officers, directors, employees, agents, or stockholders acting on behalf of such persons or entities may be subject to the FCPA’s anti-bribery prohibitions. </w:t>
            </w:r>
          </w:p>
          <w:p w14:paraId="45C15E91" w14:textId="0E70DB07" w:rsidR="007031DB" w:rsidRPr="006E1DA8" w:rsidRDefault="007031DB" w:rsidP="007031DB">
            <w:pPr>
              <w:rPr>
                <w:kern w:val="2"/>
                <w:sz w:val="20"/>
              </w:rPr>
            </w:pPr>
            <w:r w:rsidRPr="006E1DA8">
              <w:rPr>
                <w:kern w:val="2"/>
                <w:sz w:val="20"/>
              </w:rPr>
              <w:t xml:space="preserve">[According to Deming, </w:t>
            </w:r>
            <w:r w:rsidR="00321984" w:rsidRPr="006E1DA8">
              <w:rPr>
                <w:kern w:val="2"/>
                <w:sz w:val="20"/>
              </w:rPr>
              <w:t>“</w:t>
            </w:r>
            <w:r w:rsidRPr="006E1DA8">
              <w:rPr>
                <w:kern w:val="2"/>
                <w:sz w:val="20"/>
              </w:rPr>
              <w:t>[w]</w:t>
            </w:r>
            <w:proofErr w:type="spellStart"/>
            <w:r w:rsidRPr="006E1DA8">
              <w:rPr>
                <w:kern w:val="2"/>
                <w:sz w:val="20"/>
              </w:rPr>
              <w:t>ith</w:t>
            </w:r>
            <w:proofErr w:type="spellEnd"/>
            <w:r w:rsidRPr="006E1DA8">
              <w:rPr>
                <w:kern w:val="2"/>
                <w:sz w:val="20"/>
              </w:rPr>
              <w:t xml:space="preserve"> the critical role that facilities of the US play in international commerce, such as the internet, banking, and air travel, a broad interpretation of what constitutes ‘while in the territory of the US’ could have dramatic implications.</w:t>
            </w:r>
            <w:r w:rsidR="00321984" w:rsidRPr="006E1DA8">
              <w:rPr>
                <w:kern w:val="2"/>
                <w:sz w:val="20"/>
              </w:rPr>
              <w:t>”</w:t>
            </w:r>
            <w:r w:rsidRPr="006E1DA8">
              <w:rPr>
                <w:rStyle w:val="FootnoteReference"/>
                <w:rFonts w:cs="Times New Roman"/>
                <w:kern w:val="2"/>
                <w:sz w:val="20"/>
              </w:rPr>
              <w:footnoteReference w:id="16"/>
            </w:r>
            <w:r w:rsidRPr="006E1DA8">
              <w:rPr>
                <w:kern w:val="2"/>
                <w:sz w:val="20"/>
              </w:rPr>
              <w:t xml:space="preserve">] </w:t>
            </w:r>
          </w:p>
          <w:p w14:paraId="2655C6A8" w14:textId="77777777" w:rsidR="007031DB" w:rsidRPr="006E1DA8" w:rsidRDefault="007031DB" w:rsidP="00D62730">
            <w:pPr>
              <w:spacing w:after="120"/>
              <w:rPr>
                <w:b/>
                <w:kern w:val="2"/>
                <w:sz w:val="20"/>
              </w:rPr>
            </w:pPr>
            <w:r w:rsidRPr="006E1DA8">
              <w:rPr>
                <w:b/>
                <w:kern w:val="2"/>
                <w:sz w:val="20"/>
              </w:rPr>
              <w:t xml:space="preserve">What Jurisdictional Conduct Triggers the Anti-Bribery Provisions? </w:t>
            </w:r>
          </w:p>
          <w:p w14:paraId="43B2D6AD" w14:textId="336F43D0" w:rsidR="007031DB" w:rsidRPr="006E1DA8" w:rsidRDefault="007031DB" w:rsidP="00D62730">
            <w:pPr>
              <w:spacing w:before="120"/>
              <w:rPr>
                <w:kern w:val="2"/>
                <w:sz w:val="20"/>
              </w:rPr>
            </w:pPr>
            <w:r w:rsidRPr="006E1DA8">
              <w:rPr>
                <w:kern w:val="2"/>
                <w:sz w:val="20"/>
              </w:rPr>
              <w:t xml:space="preserve">The FCPA’s anti-bribery provisions can apply to conduct both inside and outside the United States. Issuers and domestic concerns—as well as their officers, directors, employees, agents, or stockholders—may be prosecuted for using the US mails or any means or instrumentality of interstate commerce in furtherance of a corrupt payment to a foreign official. The Act defines </w:t>
            </w:r>
            <w:r w:rsidR="00321984" w:rsidRPr="006E1DA8">
              <w:rPr>
                <w:kern w:val="2"/>
                <w:sz w:val="20"/>
              </w:rPr>
              <w:t>“</w:t>
            </w:r>
            <w:r w:rsidRPr="006E1DA8">
              <w:rPr>
                <w:kern w:val="2"/>
                <w:sz w:val="20"/>
              </w:rPr>
              <w:t>interstate commerce</w:t>
            </w:r>
            <w:r w:rsidR="00321984" w:rsidRPr="006E1DA8">
              <w:rPr>
                <w:kern w:val="2"/>
                <w:sz w:val="20"/>
              </w:rPr>
              <w:t>”</w:t>
            </w:r>
            <w:r w:rsidRPr="006E1DA8">
              <w:rPr>
                <w:kern w:val="2"/>
                <w:sz w:val="20"/>
              </w:rPr>
              <w:t xml:space="preserve"> as </w:t>
            </w:r>
            <w:r w:rsidR="00321984" w:rsidRPr="006E1DA8">
              <w:rPr>
                <w:kern w:val="2"/>
                <w:sz w:val="20"/>
              </w:rPr>
              <w:t>“</w:t>
            </w:r>
            <w:r w:rsidRPr="006E1DA8">
              <w:rPr>
                <w:kern w:val="2"/>
                <w:sz w:val="20"/>
              </w:rPr>
              <w:t>trade, commerce, transportation, or communication among the several States, or between any foreign country and any State or between any State and any place or ship outside thereof….</w:t>
            </w:r>
            <w:r w:rsidR="00321984" w:rsidRPr="006E1DA8">
              <w:rPr>
                <w:kern w:val="2"/>
                <w:sz w:val="20"/>
              </w:rPr>
              <w:t>”</w:t>
            </w:r>
            <w:r w:rsidRPr="006E1DA8">
              <w:rPr>
                <w:kern w:val="2"/>
                <w:sz w:val="20"/>
              </w:rPr>
              <w:t xml:space="preserve"> The term also includes the intrastate use of any interstate means of communication, or any other interstate instrumentality. Thus, placing a telephone call or sending an e-mail, text message, or fax from, to, or through the United States involves interstate commerce—as does sending a wire transfer from or to a US bank or otherwise using the US banking system, or traveling across state bor</w:t>
            </w:r>
            <w:r w:rsidRPr="006E1DA8">
              <w:rPr>
                <w:kern w:val="2"/>
                <w:sz w:val="20"/>
              </w:rPr>
              <w:softHyphen/>
              <w:t xml:space="preserve">ders or internationally to or from the United States. </w:t>
            </w:r>
          </w:p>
          <w:p w14:paraId="3EE274CD" w14:textId="77777777" w:rsidR="007031DB" w:rsidRPr="006E1DA8" w:rsidRDefault="007031DB" w:rsidP="007031DB">
            <w:pPr>
              <w:rPr>
                <w:kern w:val="2"/>
                <w:sz w:val="20"/>
              </w:rPr>
            </w:pPr>
            <w:r w:rsidRPr="006E1DA8">
              <w:rPr>
                <w:kern w:val="2"/>
                <w:sz w:val="20"/>
              </w:rPr>
              <w:t>Those who are not issuers or domestic concerns may be prosecuted under the FCPA if they directly, or through an agent, engage in any act in furtherance of a corrupt pay</w:t>
            </w:r>
            <w:r w:rsidRPr="006E1DA8">
              <w:rPr>
                <w:kern w:val="2"/>
                <w:sz w:val="20"/>
              </w:rPr>
              <w:softHyphen/>
              <w:t>ment while in the territory of the United States, regardless of whether they utilize the US mails or a means or instrumen</w:t>
            </w:r>
            <w:r w:rsidRPr="006E1DA8">
              <w:rPr>
                <w:kern w:val="2"/>
                <w:sz w:val="20"/>
              </w:rPr>
              <w:softHyphen/>
              <w:t>tality of interstate commerce. Thus, for example, a foreign national who attends a meeting in the United States that fur</w:t>
            </w:r>
            <w:r w:rsidRPr="006E1DA8">
              <w:rPr>
                <w:kern w:val="2"/>
                <w:sz w:val="20"/>
              </w:rPr>
              <w:softHyphen/>
              <w:t xml:space="preserve">thers a foreign bribery scheme may be subject to prosecution, as may any co-conspirators, even if they did not themselves attend the meeting. A foreign national or company may also be liable under the FCPA if it aids and abets, conspires with, or acts as an agent of an issuer or domestic concern, regardless of whether the foreign national or company itself takes any action in the United States. </w:t>
            </w:r>
          </w:p>
          <w:p w14:paraId="10A7C108" w14:textId="6E12FE54" w:rsidR="007031DB" w:rsidRPr="006E1DA8" w:rsidRDefault="007031DB" w:rsidP="007031DB">
            <w:pPr>
              <w:rPr>
                <w:kern w:val="2"/>
                <w:sz w:val="20"/>
              </w:rPr>
            </w:pPr>
            <w:r w:rsidRPr="006E1DA8">
              <w:rPr>
                <w:kern w:val="2"/>
                <w:sz w:val="20"/>
              </w:rPr>
              <w:t xml:space="preserve">In addition, under the </w:t>
            </w:r>
            <w:r w:rsidR="00321984" w:rsidRPr="006E1DA8">
              <w:rPr>
                <w:kern w:val="2"/>
                <w:sz w:val="20"/>
              </w:rPr>
              <w:t>“</w:t>
            </w:r>
            <w:r w:rsidRPr="006E1DA8">
              <w:rPr>
                <w:kern w:val="2"/>
                <w:sz w:val="20"/>
              </w:rPr>
              <w:t>alternative jurisdiction</w:t>
            </w:r>
            <w:r w:rsidR="00321984" w:rsidRPr="006E1DA8">
              <w:rPr>
                <w:kern w:val="2"/>
                <w:sz w:val="20"/>
              </w:rPr>
              <w:t>”</w:t>
            </w:r>
            <w:r w:rsidRPr="006E1DA8">
              <w:rPr>
                <w:kern w:val="2"/>
                <w:sz w:val="20"/>
              </w:rPr>
              <w:t xml:space="preserve"> pro</w:t>
            </w:r>
            <w:r w:rsidRPr="006E1DA8">
              <w:rPr>
                <w:kern w:val="2"/>
                <w:sz w:val="20"/>
              </w:rPr>
              <w:softHyphen/>
              <w:t xml:space="preserve">vision of the FCPA enacted in 1998, </w:t>
            </w:r>
            <w:proofErr w:type="gramStart"/>
            <w:r w:rsidRPr="006E1DA8">
              <w:rPr>
                <w:kern w:val="2"/>
                <w:sz w:val="20"/>
              </w:rPr>
              <w:t>US</w:t>
            </w:r>
            <w:proofErr w:type="gramEnd"/>
            <w:r w:rsidRPr="006E1DA8">
              <w:rPr>
                <w:kern w:val="2"/>
                <w:sz w:val="20"/>
              </w:rPr>
              <w:t xml:space="preserve"> companies or persons may be subject to the anti-bribery provisions even if they act outside the United States. The 1998 amend</w:t>
            </w:r>
            <w:r w:rsidRPr="006E1DA8">
              <w:rPr>
                <w:kern w:val="2"/>
                <w:sz w:val="20"/>
              </w:rPr>
              <w:softHyphen/>
              <w:t>ments to the FCPA expanded the jurisdictional coverage of the Act by establishing an alternative basis for jurisdiction, that is, jurisdiction based on the nationality principle. In particular, the 1998 amendments removed the requirement that there be a use of interstate commerce (e.g., wire, email, telephone call) for acts in furtherance of a corrupt payment to a foreign official by US companies and persons occur</w:t>
            </w:r>
            <w:r w:rsidRPr="006E1DA8">
              <w:rPr>
                <w:kern w:val="2"/>
                <w:sz w:val="20"/>
              </w:rPr>
              <w:softHyphen/>
              <w:t>ring wholly outside of the United States. [footnotes omitted]</w:t>
            </w:r>
          </w:p>
          <w:p w14:paraId="535926C9" w14:textId="1E01DCB1" w:rsidR="007031DB" w:rsidRPr="006E1DA8" w:rsidRDefault="007031DB" w:rsidP="008B40AF">
            <w:pPr>
              <w:pStyle w:val="ExcerptMarker"/>
              <w:spacing w:after="0"/>
              <w:rPr>
                <w:kern w:val="2"/>
                <w:sz w:val="16"/>
              </w:rPr>
            </w:pPr>
            <w:r w:rsidRPr="006E1DA8">
              <w:rPr>
                <w:kern w:val="2"/>
                <w:sz w:val="16"/>
              </w:rPr>
              <w:t>End of Excerpt</w:t>
            </w:r>
          </w:p>
        </w:tc>
      </w:tr>
    </w:tbl>
    <w:p w14:paraId="19CD84FD" w14:textId="1B845E31" w:rsidR="00622318" w:rsidRPr="006E1DA8" w:rsidRDefault="00622318" w:rsidP="007031DB">
      <w:pPr>
        <w:rPr>
          <w:kern w:val="2"/>
          <w:sz w:val="20"/>
        </w:rPr>
      </w:pPr>
      <w:r w:rsidRPr="006E1DA8">
        <w:rPr>
          <w:kern w:val="2"/>
          <w:sz w:val="20"/>
        </w:rPr>
        <w:t xml:space="preserve">Jurisdiction of US courts under the </w:t>
      </w:r>
      <w:r w:rsidRPr="006E1DA8">
        <w:rPr>
          <w:i/>
          <w:kern w:val="2"/>
          <w:sz w:val="20"/>
        </w:rPr>
        <w:t>FCPA</w:t>
      </w:r>
      <w:r w:rsidRPr="006E1DA8">
        <w:rPr>
          <w:kern w:val="2"/>
          <w:sz w:val="20"/>
        </w:rPr>
        <w:t xml:space="preserve"> can be limited by due process requirements. In civil cases, the defendant must have </w:t>
      </w:r>
      <w:r w:rsidR="00321984" w:rsidRPr="006E1DA8">
        <w:rPr>
          <w:kern w:val="2"/>
          <w:sz w:val="20"/>
        </w:rPr>
        <w:t>“</w:t>
      </w:r>
      <w:r w:rsidRPr="006E1DA8">
        <w:rPr>
          <w:kern w:val="2"/>
          <w:sz w:val="20"/>
        </w:rPr>
        <w:t>minimum contacts</w:t>
      </w:r>
      <w:r w:rsidR="00321984" w:rsidRPr="006E1DA8">
        <w:rPr>
          <w:kern w:val="2"/>
          <w:sz w:val="20"/>
        </w:rPr>
        <w:t>”</w:t>
      </w:r>
      <w:r w:rsidRPr="006E1DA8">
        <w:rPr>
          <w:kern w:val="2"/>
          <w:sz w:val="20"/>
        </w:rPr>
        <w:t xml:space="preserve"> with the court’s jurisdiction</w:t>
      </w:r>
      <w:r w:rsidR="006A32E7" w:rsidRPr="006E1DA8">
        <w:rPr>
          <w:kern w:val="2"/>
          <w:sz w:val="20"/>
        </w:rPr>
        <w:t>,</w:t>
      </w:r>
      <w:r w:rsidRPr="006E1DA8">
        <w:rPr>
          <w:kern w:val="2"/>
          <w:sz w:val="20"/>
        </w:rPr>
        <w:t xml:space="preserve"> and the exercise of jurisdiction must be reasonable. If a defendant’s actions have no effect in the US and the defendant has negligible contact with the US, these requirements might not be met. For example, in </w:t>
      </w:r>
      <w:r w:rsidRPr="006E1DA8">
        <w:rPr>
          <w:i/>
          <w:kern w:val="2"/>
          <w:sz w:val="20"/>
        </w:rPr>
        <w:t xml:space="preserve">SEC v Steffen, </w:t>
      </w:r>
      <w:r w:rsidRPr="006E1DA8">
        <w:rPr>
          <w:kern w:val="2"/>
          <w:sz w:val="20"/>
        </w:rPr>
        <w:t xml:space="preserve">the defendant’s role in falsified records was too </w:t>
      </w:r>
      <w:r w:rsidR="00321984" w:rsidRPr="006E1DA8">
        <w:rPr>
          <w:kern w:val="2"/>
          <w:sz w:val="20"/>
        </w:rPr>
        <w:t>“</w:t>
      </w:r>
      <w:r w:rsidRPr="006E1DA8">
        <w:rPr>
          <w:kern w:val="2"/>
          <w:sz w:val="20"/>
        </w:rPr>
        <w:t>tangential</w:t>
      </w:r>
      <w:r w:rsidR="00D27289" w:rsidRPr="006E1DA8">
        <w:rPr>
          <w:kern w:val="2"/>
          <w:sz w:val="20"/>
        </w:rPr>
        <w:t>,</w:t>
      </w:r>
      <w:r w:rsidR="00321984" w:rsidRPr="006E1DA8">
        <w:rPr>
          <w:kern w:val="2"/>
          <w:sz w:val="20"/>
        </w:rPr>
        <w:t>”</w:t>
      </w:r>
      <w:r w:rsidRPr="006E1DA8">
        <w:rPr>
          <w:kern w:val="2"/>
          <w:sz w:val="20"/>
        </w:rPr>
        <w:t xml:space="preserve"> and the defendant had no geographic ties to the US. The US forum had little continuing interest in pursuing the particular defendant, who also spoke little English. As a result, the court found that exercising jurisdiction over the defendant would exceed the limits of due process.</w:t>
      </w:r>
      <w:r w:rsidRPr="006E1DA8">
        <w:rPr>
          <w:rStyle w:val="FootnoteReference"/>
          <w:rFonts w:cs="Times New Roman"/>
          <w:kern w:val="2"/>
          <w:sz w:val="20"/>
        </w:rPr>
        <w:footnoteReference w:id="17"/>
      </w:r>
      <w:r w:rsidRPr="006E1DA8">
        <w:rPr>
          <w:kern w:val="2"/>
          <w:sz w:val="20"/>
        </w:rPr>
        <w:t xml:space="preserve"> </w:t>
      </w:r>
    </w:p>
    <w:p w14:paraId="7C739E7F" w14:textId="77777777" w:rsidR="00622318" w:rsidRPr="006E1DA8" w:rsidRDefault="00622318" w:rsidP="00622318">
      <w:pPr>
        <w:rPr>
          <w:rFonts w:cs="Times New Roman"/>
          <w:kern w:val="2"/>
          <w:sz w:val="20"/>
        </w:rPr>
      </w:pPr>
      <w:r w:rsidRPr="006E1DA8">
        <w:rPr>
          <w:rFonts w:cs="Times New Roman"/>
          <w:kern w:val="2"/>
          <w:sz w:val="20"/>
        </w:rPr>
        <w:t>In criminal cases, personal jurisdiction arises from a defendant’s arrest in the US, voluntary appearance in court or lawful extradition to the US.</w:t>
      </w:r>
      <w:r w:rsidRPr="006E1DA8">
        <w:rPr>
          <w:rStyle w:val="FootnoteReference"/>
          <w:rFonts w:cs="Times New Roman"/>
          <w:kern w:val="2"/>
          <w:sz w:val="20"/>
        </w:rPr>
        <w:footnoteReference w:id="18"/>
      </w:r>
      <w:r w:rsidRPr="006E1DA8">
        <w:rPr>
          <w:rFonts w:cs="Times New Roman"/>
          <w:kern w:val="2"/>
          <w:sz w:val="20"/>
        </w:rPr>
        <w:t xml:space="preserve"> </w:t>
      </w:r>
    </w:p>
    <w:p w14:paraId="7A945E00" w14:textId="207F34F8" w:rsidR="00622318" w:rsidRPr="006E1DA8" w:rsidRDefault="00622318" w:rsidP="007031DB">
      <w:pPr>
        <w:rPr>
          <w:kern w:val="2"/>
          <w:sz w:val="20"/>
        </w:rPr>
      </w:pPr>
      <w:r w:rsidRPr="006E1DA8">
        <w:rPr>
          <w:kern w:val="2"/>
          <w:sz w:val="20"/>
        </w:rPr>
        <w:t>Foreign individuals or legal entities that would otherwise be outside the jurisdictional reach of</w:t>
      </w:r>
      <w:r w:rsidR="00FA7940" w:rsidRPr="006E1DA8">
        <w:rPr>
          <w:kern w:val="2"/>
          <w:sz w:val="20"/>
        </w:rPr>
        <w:t xml:space="preserve"> the</w:t>
      </w:r>
      <w:r w:rsidRPr="006E1DA8">
        <w:rPr>
          <w:kern w:val="2"/>
          <w:sz w:val="20"/>
        </w:rPr>
        <w:t xml:space="preserve"> </w:t>
      </w:r>
      <w:r w:rsidRPr="006E1DA8">
        <w:rPr>
          <w:i/>
          <w:iCs/>
          <w:kern w:val="2"/>
          <w:sz w:val="20"/>
        </w:rPr>
        <w:t xml:space="preserve">FCPA </w:t>
      </w:r>
      <w:r w:rsidRPr="006E1DA8">
        <w:rPr>
          <w:kern w:val="2"/>
          <w:sz w:val="20"/>
        </w:rPr>
        <w:t>may be held criminally liable pursuant to</w:t>
      </w:r>
      <w:r w:rsidR="00FA7940" w:rsidRPr="006E1DA8">
        <w:rPr>
          <w:kern w:val="2"/>
          <w:sz w:val="20"/>
        </w:rPr>
        <w:t xml:space="preserve"> the</w:t>
      </w:r>
      <w:r w:rsidRPr="006E1DA8">
        <w:rPr>
          <w:kern w:val="2"/>
          <w:sz w:val="20"/>
        </w:rPr>
        <w:t xml:space="preserve"> </w:t>
      </w:r>
      <w:r w:rsidRPr="006E1DA8">
        <w:rPr>
          <w:i/>
          <w:iCs/>
          <w:kern w:val="2"/>
          <w:sz w:val="20"/>
        </w:rPr>
        <w:t xml:space="preserve">FCPA </w:t>
      </w:r>
      <w:r w:rsidRPr="006E1DA8">
        <w:rPr>
          <w:kern w:val="2"/>
          <w:sz w:val="20"/>
        </w:rPr>
        <w:t>if they aided</w:t>
      </w:r>
      <w:r w:rsidR="006A32E7" w:rsidRPr="006E1DA8">
        <w:rPr>
          <w:kern w:val="2"/>
          <w:sz w:val="20"/>
        </w:rPr>
        <w:t xml:space="preserve">, </w:t>
      </w:r>
      <w:r w:rsidRPr="006E1DA8">
        <w:rPr>
          <w:kern w:val="2"/>
          <w:sz w:val="20"/>
        </w:rPr>
        <w:t xml:space="preserve">abetted, counselled or induced another person or entity to commit a </w:t>
      </w:r>
      <w:r w:rsidRPr="006E1DA8">
        <w:rPr>
          <w:i/>
          <w:iCs/>
          <w:kern w:val="2"/>
          <w:sz w:val="20"/>
        </w:rPr>
        <w:t xml:space="preserve">FCPA </w:t>
      </w:r>
      <w:r w:rsidR="00CB6E4A" w:rsidRPr="006E1DA8">
        <w:rPr>
          <w:kern w:val="2"/>
          <w:sz w:val="20"/>
        </w:rPr>
        <w:t>offens</w:t>
      </w:r>
      <w:r w:rsidRPr="006E1DA8">
        <w:rPr>
          <w:kern w:val="2"/>
          <w:sz w:val="20"/>
        </w:rPr>
        <w:t xml:space="preserve">e or </w:t>
      </w:r>
      <w:r w:rsidR="006A32E7" w:rsidRPr="006E1DA8">
        <w:rPr>
          <w:kern w:val="2"/>
          <w:sz w:val="20"/>
        </w:rPr>
        <w:t xml:space="preserve">if they </w:t>
      </w:r>
      <w:r w:rsidRPr="006E1DA8">
        <w:rPr>
          <w:kern w:val="2"/>
          <w:sz w:val="20"/>
        </w:rPr>
        <w:t xml:space="preserve">conspired to violate the </w:t>
      </w:r>
      <w:r w:rsidRPr="006E1DA8">
        <w:rPr>
          <w:i/>
          <w:iCs/>
          <w:kern w:val="2"/>
          <w:sz w:val="20"/>
        </w:rPr>
        <w:t>FCPA</w:t>
      </w:r>
      <w:r w:rsidRPr="006E1DA8">
        <w:rPr>
          <w:kern w:val="2"/>
          <w:sz w:val="20"/>
        </w:rPr>
        <w:t>. Th</w:t>
      </w:r>
      <w:r w:rsidR="00BB3D24" w:rsidRPr="006E1DA8">
        <w:rPr>
          <w:kern w:val="2"/>
          <w:sz w:val="20"/>
        </w:rPr>
        <w:t>e following</w:t>
      </w:r>
      <w:r w:rsidRPr="006E1DA8">
        <w:rPr>
          <w:kern w:val="2"/>
          <w:sz w:val="20"/>
        </w:rPr>
        <w:t xml:space="preserve"> excerpt from</w:t>
      </w:r>
      <w:r w:rsidR="00BB3D24" w:rsidRPr="006E1DA8">
        <w:rPr>
          <w:kern w:val="2"/>
          <w:sz w:val="20"/>
        </w:rPr>
        <w:t xml:space="preserve"> </w:t>
      </w:r>
      <w:r w:rsidRPr="006E1DA8">
        <w:rPr>
          <w:kern w:val="2"/>
          <w:sz w:val="20"/>
        </w:rPr>
        <w:t xml:space="preserve">the </w:t>
      </w:r>
      <w:r w:rsidRPr="006E1DA8">
        <w:rPr>
          <w:i/>
          <w:iCs/>
          <w:kern w:val="2"/>
          <w:sz w:val="20"/>
        </w:rPr>
        <w:t>Resource Guide</w:t>
      </w:r>
      <w:r w:rsidRPr="006E1DA8">
        <w:rPr>
          <w:kern w:val="2"/>
          <w:sz w:val="20"/>
        </w:rPr>
        <w:t xml:space="preserve"> explains the SEC’s and DOJ’s interpretation of the scope of secondary liability provisions of</w:t>
      </w:r>
      <w:r w:rsidR="00FA7940" w:rsidRPr="006E1DA8">
        <w:rPr>
          <w:kern w:val="2"/>
          <w:sz w:val="20"/>
        </w:rPr>
        <w:t xml:space="preserve"> the</w:t>
      </w:r>
      <w:r w:rsidRPr="006E1DA8">
        <w:rPr>
          <w:kern w:val="2"/>
          <w:sz w:val="20"/>
        </w:rPr>
        <w:t xml:space="preserve"> </w:t>
      </w:r>
      <w:r w:rsidRPr="006E1DA8">
        <w:rPr>
          <w:i/>
          <w:iCs/>
          <w:kern w:val="2"/>
          <w:sz w:val="20"/>
        </w:rPr>
        <w:t>FCPA</w:t>
      </w:r>
      <w:r w:rsidRPr="006E1DA8">
        <w:rPr>
          <w:kern w:val="2"/>
          <w:sz w:val="20"/>
        </w:rPr>
        <w:t>:</w:t>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7031DB" w:rsidRPr="006E1DA8" w14:paraId="6A5E0141" w14:textId="77777777" w:rsidTr="008B40AF">
        <w:trPr>
          <w:jc w:val="center"/>
        </w:trPr>
        <w:tc>
          <w:tcPr>
            <w:tcW w:w="9350" w:type="dxa"/>
            <w:tcBorders>
              <w:top w:val="nil"/>
              <w:left w:val="nil"/>
              <w:bottom w:val="nil"/>
              <w:right w:val="nil"/>
            </w:tcBorders>
            <w:shd w:val="clear" w:color="auto" w:fill="D9D9D9" w:themeFill="background1" w:themeFillShade="D9"/>
          </w:tcPr>
          <w:p w14:paraId="01072CF7" w14:textId="77777777" w:rsidR="007031DB" w:rsidRPr="006E1DA8" w:rsidRDefault="007031DB" w:rsidP="008B40AF">
            <w:pPr>
              <w:pStyle w:val="ExcerptMarker"/>
              <w:spacing w:before="0"/>
              <w:rPr>
                <w:kern w:val="2"/>
                <w:sz w:val="16"/>
              </w:rPr>
            </w:pPr>
            <w:r w:rsidRPr="006E1DA8">
              <w:rPr>
                <w:kern w:val="2"/>
                <w:sz w:val="16"/>
              </w:rPr>
              <w:t>Beginning of Excerpt</w:t>
            </w:r>
          </w:p>
          <w:p w14:paraId="0B54B648" w14:textId="77777777" w:rsidR="007031DB" w:rsidRPr="006E1DA8" w:rsidRDefault="007031DB" w:rsidP="00D62730">
            <w:pPr>
              <w:spacing w:after="120"/>
              <w:rPr>
                <w:b/>
                <w:kern w:val="2"/>
                <w:sz w:val="20"/>
              </w:rPr>
            </w:pPr>
            <w:r w:rsidRPr="006E1DA8">
              <w:rPr>
                <w:b/>
                <w:kern w:val="2"/>
                <w:sz w:val="20"/>
              </w:rPr>
              <w:t xml:space="preserve">Additional Principles of Criminal Liability for Anti-Bribery Violations: Aiding and Abetting and Conspiracy </w:t>
            </w:r>
          </w:p>
          <w:p w14:paraId="4BE1A4A0" w14:textId="3E5DBBB1" w:rsidR="007031DB" w:rsidRPr="006E1DA8" w:rsidRDefault="007031DB" w:rsidP="00B36F6E">
            <w:pPr>
              <w:spacing w:before="120" w:after="0"/>
              <w:rPr>
                <w:kern w:val="2"/>
                <w:sz w:val="20"/>
              </w:rPr>
            </w:pPr>
            <w:r w:rsidRPr="006E1DA8">
              <w:rPr>
                <w:kern w:val="2"/>
                <w:sz w:val="20"/>
              </w:rPr>
              <w:t xml:space="preserve">Under federal law, individuals or companies that aid or abet a crime, including an FCPA violation, are as guilty as if they had directly committed the offense themselves. The aiding and abetting statute provides that whoever </w:t>
            </w:r>
            <w:r w:rsidR="00321984" w:rsidRPr="006E1DA8">
              <w:rPr>
                <w:kern w:val="2"/>
                <w:sz w:val="20"/>
              </w:rPr>
              <w:t>“</w:t>
            </w:r>
            <w:r w:rsidRPr="006E1DA8">
              <w:rPr>
                <w:kern w:val="2"/>
                <w:sz w:val="20"/>
              </w:rPr>
              <w:t>commits an offense against the United States or aids, abets, counsels, commands, induces or procures its commission,</w:t>
            </w:r>
            <w:r w:rsidR="00321984" w:rsidRPr="006E1DA8">
              <w:rPr>
                <w:kern w:val="2"/>
                <w:sz w:val="20"/>
              </w:rPr>
              <w:t>”</w:t>
            </w:r>
            <w:r w:rsidRPr="006E1DA8">
              <w:rPr>
                <w:kern w:val="2"/>
                <w:sz w:val="20"/>
              </w:rPr>
              <w:t xml:space="preserve"> or </w:t>
            </w:r>
            <w:r w:rsidR="00321984" w:rsidRPr="006E1DA8">
              <w:rPr>
                <w:kern w:val="2"/>
                <w:sz w:val="20"/>
              </w:rPr>
              <w:t>“</w:t>
            </w:r>
            <w:r w:rsidRPr="006E1DA8">
              <w:rPr>
                <w:kern w:val="2"/>
                <w:sz w:val="20"/>
              </w:rPr>
              <w:t>will</w:t>
            </w:r>
            <w:r w:rsidRPr="006E1DA8">
              <w:rPr>
                <w:kern w:val="2"/>
                <w:sz w:val="20"/>
              </w:rPr>
              <w:softHyphen/>
              <w:t>fully causes an act to be done which if directly performed by him or another would be an offense against the United States,</w:t>
            </w:r>
            <w:r w:rsidR="00321984" w:rsidRPr="006E1DA8">
              <w:rPr>
                <w:kern w:val="2"/>
                <w:sz w:val="20"/>
              </w:rPr>
              <w:t>”</w:t>
            </w:r>
            <w:r w:rsidRPr="006E1DA8">
              <w:rPr>
                <w:kern w:val="2"/>
                <w:sz w:val="20"/>
              </w:rPr>
              <w:t xml:space="preserve"> is punishable as a principal. Aiding and abetting is not an independent crime, and the government must prove that an underlying FCPA violation was committed. </w:t>
            </w:r>
          </w:p>
          <w:p w14:paraId="2A756382" w14:textId="77777777" w:rsidR="007031DB" w:rsidRPr="006E1DA8" w:rsidRDefault="007031DB" w:rsidP="00B36F6E">
            <w:pPr>
              <w:spacing w:before="120"/>
              <w:rPr>
                <w:kern w:val="2"/>
                <w:sz w:val="20"/>
              </w:rPr>
            </w:pPr>
            <w:r w:rsidRPr="006E1DA8">
              <w:rPr>
                <w:kern w:val="2"/>
                <w:sz w:val="20"/>
              </w:rPr>
              <w:t>Individuals and companies, including foreign nation</w:t>
            </w:r>
            <w:r w:rsidRPr="006E1DA8">
              <w:rPr>
                <w:kern w:val="2"/>
                <w:sz w:val="20"/>
              </w:rPr>
              <w:softHyphen/>
              <w:t>als and companies, may also be liable for conspiring to violate the FCPA—i.e., for agreeing to commit an FCPA violation—even if they are not, or could not be, indepen</w:t>
            </w:r>
            <w:r w:rsidRPr="006E1DA8">
              <w:rPr>
                <w:kern w:val="2"/>
                <w:sz w:val="20"/>
              </w:rPr>
              <w:softHyphen/>
              <w:t xml:space="preserve">dently charged with a substantive FCPA violation. For instance, a foreign, non-issuer company could be convicted of conspiring with a domestic concern to violate the FCPA. Under certain circumstances, it could also be held liable for the domestic concern’s substantive FCPA violations under </w:t>
            </w:r>
            <w:r w:rsidRPr="006E1DA8">
              <w:rPr>
                <w:i/>
                <w:kern w:val="2"/>
                <w:sz w:val="20"/>
              </w:rPr>
              <w:t>Pinkerton v. United States</w:t>
            </w:r>
            <w:r w:rsidRPr="006E1DA8">
              <w:rPr>
                <w:kern w:val="2"/>
                <w:sz w:val="20"/>
              </w:rPr>
              <w:t xml:space="preserve">, which imposes liability on a defendant for reasonably foreseeable crimes committed by a co-conspirator in furtherance of a conspiracy that the defendant joined. </w:t>
            </w:r>
          </w:p>
          <w:p w14:paraId="7477380F" w14:textId="77777777" w:rsidR="007031DB" w:rsidRPr="006E1DA8" w:rsidRDefault="007031DB" w:rsidP="007031DB">
            <w:pPr>
              <w:rPr>
                <w:kern w:val="2"/>
                <w:sz w:val="20"/>
              </w:rPr>
            </w:pPr>
            <w:r w:rsidRPr="006E1DA8">
              <w:rPr>
                <w:kern w:val="2"/>
                <w:sz w:val="20"/>
              </w:rPr>
              <w:t>A foreign company or individual may be held liable for aiding and abetting an FCPA violation or for conspiring to violate the FCPA, even if the foreign company or indi</w:t>
            </w:r>
            <w:r w:rsidRPr="006E1DA8">
              <w:rPr>
                <w:kern w:val="2"/>
                <w:sz w:val="20"/>
              </w:rPr>
              <w:softHyphen/>
              <w:t>vidual did not take any act in furtherance of the corrupt payment while in the territory of the United States. In con</w:t>
            </w:r>
            <w:r w:rsidRPr="006E1DA8">
              <w:rPr>
                <w:kern w:val="2"/>
                <w:sz w:val="20"/>
              </w:rPr>
              <w:softHyphen/>
              <w:t>spiracy cases, the United States generally has jurisdiction over all the conspirators where at least one conspirator is an issuer, domestic concern, or commits a reasonably fore</w:t>
            </w:r>
            <w:r w:rsidRPr="006E1DA8">
              <w:rPr>
                <w:kern w:val="2"/>
                <w:sz w:val="20"/>
              </w:rPr>
              <w:softHyphen/>
              <w:t>seeable overt act within the United States. For example, if a foreign company or individual conspires to violate the FCPA with someone who commits an overt act within the United States, the United States can prosecute the foreign company or individual for the conspiracy. The same prin</w:t>
            </w:r>
            <w:r w:rsidRPr="006E1DA8">
              <w:rPr>
                <w:kern w:val="2"/>
                <w:sz w:val="20"/>
              </w:rPr>
              <w:softHyphen/>
              <w:t>ciple applies to aiding and abetting violations. For instance, even though they took no action in the United States, Japanese and European companies were charged with con</w:t>
            </w:r>
            <w:r w:rsidRPr="006E1DA8">
              <w:rPr>
                <w:kern w:val="2"/>
                <w:sz w:val="20"/>
              </w:rPr>
              <w:softHyphen/>
              <w:t>spiring with and aiding and abetting a domestic concern’s FCPA violations [endnotes omitted].</w:t>
            </w:r>
          </w:p>
          <w:p w14:paraId="1CAE7C61" w14:textId="7F5832A4" w:rsidR="007031DB" w:rsidRPr="006E1DA8" w:rsidRDefault="007031DB" w:rsidP="007031DB">
            <w:pPr>
              <w:rPr>
                <w:kern w:val="2"/>
                <w:sz w:val="20"/>
              </w:rPr>
            </w:pPr>
            <w:r w:rsidRPr="006E1DA8">
              <w:rPr>
                <w:kern w:val="2"/>
                <w:sz w:val="20"/>
              </w:rPr>
              <w:t>[Note: While the US may claim jurisdiction over the offence, they may have difficulty prosecuting foreign persons or entities if they have no extradition treaty with the foreign state or if the foreign state rejects the US claim of jurisdiction.]</w:t>
            </w:r>
          </w:p>
          <w:p w14:paraId="6CE6627D" w14:textId="77777777" w:rsidR="007031DB" w:rsidRPr="006E1DA8" w:rsidRDefault="007031DB" w:rsidP="00D62730">
            <w:pPr>
              <w:spacing w:after="120"/>
              <w:rPr>
                <w:b/>
                <w:kern w:val="2"/>
                <w:sz w:val="20"/>
              </w:rPr>
            </w:pPr>
            <w:r w:rsidRPr="006E1DA8">
              <w:rPr>
                <w:b/>
                <w:kern w:val="2"/>
                <w:sz w:val="20"/>
              </w:rPr>
              <w:t xml:space="preserve">Additional Principles of Civil Liability for Anti-Bribery Violations: Aiding and Abetting and Causing </w:t>
            </w:r>
          </w:p>
          <w:p w14:paraId="5D5D39AA" w14:textId="77777777" w:rsidR="007031DB" w:rsidRPr="006E1DA8" w:rsidRDefault="007031DB" w:rsidP="00D62730">
            <w:pPr>
              <w:spacing w:before="120"/>
              <w:rPr>
                <w:kern w:val="2"/>
                <w:sz w:val="20"/>
              </w:rPr>
            </w:pPr>
            <w:r w:rsidRPr="006E1DA8">
              <w:rPr>
                <w:kern w:val="2"/>
                <w:sz w:val="20"/>
              </w:rPr>
              <w:t>Both companies and individuals can be held civilly liable for aiding and abetting FCPA anti-bribery violations if they knowingly or recklessly provide substantial assis</w:t>
            </w:r>
            <w:r w:rsidRPr="006E1DA8">
              <w:rPr>
                <w:kern w:val="2"/>
                <w:sz w:val="20"/>
              </w:rPr>
              <w:softHyphen/>
              <w:t>tance to a violator. Similarly, in the administrative pro</w:t>
            </w:r>
            <w:r w:rsidRPr="006E1DA8">
              <w:rPr>
                <w:kern w:val="2"/>
                <w:sz w:val="20"/>
              </w:rPr>
              <w:softHyphen/>
              <w:t xml:space="preserve">ceeding context, companies and individuals may be held liable for causing FCPA violations. This liability extends to the subsidiaries and agents of US issuers. </w:t>
            </w:r>
          </w:p>
          <w:p w14:paraId="5C7A0A18" w14:textId="174838D9" w:rsidR="007031DB" w:rsidRPr="006E1DA8" w:rsidRDefault="007031DB" w:rsidP="007031DB">
            <w:pPr>
              <w:rPr>
                <w:kern w:val="2"/>
                <w:sz w:val="20"/>
              </w:rPr>
            </w:pPr>
            <w:r w:rsidRPr="006E1DA8">
              <w:rPr>
                <w:kern w:val="2"/>
                <w:sz w:val="20"/>
              </w:rPr>
              <w:t>In one case, the US subsidiary of a Swiss freight for</w:t>
            </w:r>
            <w:r w:rsidRPr="006E1DA8">
              <w:rPr>
                <w:kern w:val="2"/>
                <w:sz w:val="20"/>
              </w:rPr>
              <w:softHyphen/>
              <w:t xml:space="preserve">warding company was held civilly liable for paying bribes on behalf of its customers in several countries. Although the US subsidiary was not an issuer for purposes of the FCPA, it was an </w:t>
            </w:r>
            <w:r w:rsidR="00321984" w:rsidRPr="006E1DA8">
              <w:rPr>
                <w:kern w:val="2"/>
                <w:sz w:val="20"/>
              </w:rPr>
              <w:t>“</w:t>
            </w:r>
            <w:r w:rsidRPr="006E1DA8">
              <w:rPr>
                <w:kern w:val="2"/>
                <w:sz w:val="20"/>
              </w:rPr>
              <w:t>agent</w:t>
            </w:r>
            <w:r w:rsidR="00321984" w:rsidRPr="006E1DA8">
              <w:rPr>
                <w:kern w:val="2"/>
                <w:sz w:val="20"/>
              </w:rPr>
              <w:t>”</w:t>
            </w:r>
            <w:r w:rsidRPr="006E1DA8">
              <w:rPr>
                <w:kern w:val="2"/>
                <w:sz w:val="20"/>
              </w:rPr>
              <w:t xml:space="preserve"> of several US issuers. By paying bribes on behalf of its issuers’ customers, the subsidiary both directly violated and aided and abetted the issuers’ FCPA violations.</w:t>
            </w:r>
            <w:r w:rsidR="00321984" w:rsidRPr="006E1DA8">
              <w:rPr>
                <w:rStyle w:val="FootnoteReference"/>
                <w:rFonts w:cs="Times New Roman"/>
                <w:kern w:val="2"/>
                <w:sz w:val="20"/>
              </w:rPr>
              <w:footnoteReference w:id="19"/>
            </w:r>
          </w:p>
          <w:p w14:paraId="4287AF54" w14:textId="50E224AB" w:rsidR="007031DB" w:rsidRPr="006E1DA8" w:rsidRDefault="007031DB" w:rsidP="008B40AF">
            <w:pPr>
              <w:pStyle w:val="ExcerptMarker"/>
              <w:spacing w:after="0"/>
              <w:rPr>
                <w:kern w:val="2"/>
                <w:sz w:val="16"/>
              </w:rPr>
            </w:pPr>
            <w:r w:rsidRPr="006E1DA8">
              <w:rPr>
                <w:kern w:val="2"/>
                <w:sz w:val="16"/>
              </w:rPr>
              <w:t>End of Excerpt</w:t>
            </w:r>
          </w:p>
        </w:tc>
      </w:tr>
    </w:tbl>
    <w:p w14:paraId="1A82EEF8" w14:textId="191B940B" w:rsidR="00622318" w:rsidRPr="006E1DA8" w:rsidRDefault="00622318" w:rsidP="00E70225">
      <w:pPr>
        <w:pStyle w:val="Heading3"/>
        <w:rPr>
          <w:i/>
          <w:kern w:val="2"/>
          <w:sz w:val="22"/>
        </w:rPr>
      </w:pPr>
      <w:bookmarkStart w:id="9" w:name="_Toc287029844"/>
      <w:r w:rsidRPr="006E1DA8">
        <w:rPr>
          <w:kern w:val="2"/>
          <w:sz w:val="22"/>
        </w:rPr>
        <w:t>Questioning the DOJ and SEC’s Broad V</w:t>
      </w:r>
      <w:r w:rsidR="00BB217B" w:rsidRPr="006E1DA8">
        <w:rPr>
          <w:kern w:val="2"/>
          <w:sz w:val="22"/>
        </w:rPr>
        <w:t>iew of Territorial Jurisdiction</w:t>
      </w:r>
      <w:r w:rsidR="00BB3D24" w:rsidRPr="006E1DA8">
        <w:rPr>
          <w:kern w:val="2"/>
          <w:sz w:val="22"/>
        </w:rPr>
        <w:t xml:space="preserve"> </w:t>
      </w:r>
      <w:r w:rsidRPr="006E1DA8">
        <w:rPr>
          <w:kern w:val="2"/>
          <w:sz w:val="22"/>
        </w:rPr>
        <w:t xml:space="preserve">under the </w:t>
      </w:r>
      <w:r w:rsidRPr="006E1DA8">
        <w:rPr>
          <w:i/>
          <w:kern w:val="2"/>
          <w:sz w:val="22"/>
        </w:rPr>
        <w:t>FCPA</w:t>
      </w:r>
      <w:bookmarkEnd w:id="9"/>
    </w:p>
    <w:p w14:paraId="6F6B7B64" w14:textId="1DBBFF6B" w:rsidR="00622318" w:rsidRPr="006E1DA8" w:rsidRDefault="00622318" w:rsidP="00622318">
      <w:pPr>
        <w:rPr>
          <w:rFonts w:cs="Times New Roman"/>
          <w:kern w:val="2"/>
          <w:sz w:val="20"/>
        </w:rPr>
      </w:pPr>
      <w:r w:rsidRPr="006E1DA8">
        <w:rPr>
          <w:rFonts w:cs="Times New Roman"/>
          <w:kern w:val="2"/>
          <w:sz w:val="20"/>
        </w:rPr>
        <w:t>As noted in the above excerpts, the DOJ and the SEC take a very broad view of the territorial jurisdiction of</w:t>
      </w:r>
      <w:r w:rsidR="00FA7940"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FCPA</w:t>
      </w:r>
      <w:r w:rsidRPr="006E1DA8">
        <w:rPr>
          <w:rFonts w:cs="Times New Roman"/>
          <w:kern w:val="2"/>
          <w:sz w:val="20"/>
        </w:rPr>
        <w:t xml:space="preserve">. Some commentators refer to US jurisdiction over bribery as </w:t>
      </w:r>
      <w:r w:rsidR="00321984" w:rsidRPr="006E1DA8">
        <w:rPr>
          <w:rFonts w:cs="Times New Roman"/>
          <w:kern w:val="2"/>
          <w:sz w:val="20"/>
        </w:rPr>
        <w:t>“</w:t>
      </w:r>
      <w:r w:rsidRPr="006E1DA8">
        <w:rPr>
          <w:rFonts w:cs="Times New Roman"/>
          <w:kern w:val="2"/>
          <w:sz w:val="20"/>
        </w:rPr>
        <w:t>potentially quasi-universal</w:t>
      </w:r>
      <w:r w:rsidR="00954FA8"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20"/>
      </w:r>
      <w:r w:rsidRPr="006E1DA8">
        <w:rPr>
          <w:rFonts w:cs="Times New Roman"/>
          <w:kern w:val="2"/>
          <w:sz w:val="20"/>
        </w:rPr>
        <w:t xml:space="preserve"> It is also possible to understand</w:t>
      </w:r>
      <w:r w:rsidR="00FA7940"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FCPA</w:t>
      </w:r>
      <w:r w:rsidRPr="006E1DA8">
        <w:rPr>
          <w:rFonts w:cs="Times New Roman"/>
          <w:kern w:val="2"/>
          <w:sz w:val="20"/>
        </w:rPr>
        <w:t>’s jurisdiction over issuers as being based on the effects doctrine of territoriality, as the corrupt acts on behalf of foreign corporations listed on the US markets have the potential to negatively affect the American competitors of the offending corporations.</w:t>
      </w:r>
    </w:p>
    <w:p w14:paraId="325CDAD1" w14:textId="1FEB8D01" w:rsidR="00622318" w:rsidRPr="006E1DA8" w:rsidRDefault="00622318" w:rsidP="00622318">
      <w:pPr>
        <w:rPr>
          <w:rFonts w:cs="Times New Roman"/>
          <w:kern w:val="2"/>
          <w:sz w:val="20"/>
        </w:rPr>
      </w:pPr>
      <w:r w:rsidRPr="006E1DA8">
        <w:rPr>
          <w:rFonts w:cs="Times New Roman"/>
          <w:kern w:val="2"/>
          <w:sz w:val="20"/>
        </w:rPr>
        <w:t xml:space="preserve">Hecker and </w:t>
      </w:r>
      <w:proofErr w:type="spellStart"/>
      <w:r w:rsidRPr="006E1DA8">
        <w:rPr>
          <w:rFonts w:cs="Times New Roman"/>
          <w:kern w:val="2"/>
          <w:sz w:val="20"/>
        </w:rPr>
        <w:t>Laporte</w:t>
      </w:r>
      <w:proofErr w:type="spellEnd"/>
      <w:r w:rsidRPr="006E1DA8">
        <w:rPr>
          <w:rFonts w:cs="Times New Roman"/>
          <w:kern w:val="2"/>
          <w:sz w:val="20"/>
        </w:rPr>
        <w:t xml:space="preserve"> address the implications of the DOJ and SEC’s broad interpretation of territorial jurisdiction.</w:t>
      </w:r>
      <w:r w:rsidRPr="006E1DA8">
        <w:rPr>
          <w:rStyle w:val="FootnoteReference"/>
          <w:rFonts w:cs="Times New Roman"/>
          <w:kern w:val="2"/>
          <w:sz w:val="20"/>
        </w:rPr>
        <w:footnoteReference w:id="21"/>
      </w:r>
      <w:r w:rsidRPr="006E1DA8">
        <w:rPr>
          <w:rFonts w:cs="Times New Roman"/>
          <w:kern w:val="2"/>
          <w:sz w:val="20"/>
        </w:rPr>
        <w:t xml:space="preserve"> </w:t>
      </w:r>
      <w:r w:rsidR="0095163F" w:rsidRPr="006E1DA8">
        <w:rPr>
          <w:rFonts w:cs="Times New Roman"/>
          <w:kern w:val="2"/>
          <w:sz w:val="20"/>
        </w:rPr>
        <w:t>They</w:t>
      </w:r>
      <w:r w:rsidRPr="006E1DA8">
        <w:rPr>
          <w:rFonts w:cs="Times New Roman"/>
          <w:kern w:val="2"/>
          <w:sz w:val="20"/>
        </w:rPr>
        <w:t xml:space="preserve"> state that </w:t>
      </w:r>
      <w:r w:rsidR="00321984" w:rsidRPr="006E1DA8">
        <w:rPr>
          <w:rFonts w:cs="Times New Roman"/>
          <w:kern w:val="2"/>
          <w:sz w:val="20"/>
        </w:rPr>
        <w:t>“</w:t>
      </w:r>
      <w:r w:rsidRPr="006E1DA8">
        <w:rPr>
          <w:rFonts w:cs="Times New Roman"/>
          <w:kern w:val="2"/>
          <w:sz w:val="20"/>
        </w:rPr>
        <w:t>[a]</w:t>
      </w:r>
      <w:proofErr w:type="spellStart"/>
      <w:r w:rsidRPr="006E1DA8">
        <w:rPr>
          <w:rFonts w:cs="Times New Roman"/>
          <w:kern w:val="2"/>
          <w:sz w:val="20"/>
        </w:rPr>
        <w:t>lthough</w:t>
      </w:r>
      <w:proofErr w:type="spellEnd"/>
      <w:r w:rsidRPr="006E1DA8">
        <w:rPr>
          <w:rFonts w:cs="Times New Roman"/>
          <w:kern w:val="2"/>
          <w:sz w:val="20"/>
        </w:rPr>
        <w:t xml:space="preserve"> not explicitly set forth in the joint </w:t>
      </w:r>
      <w:r w:rsidRPr="006E1DA8">
        <w:rPr>
          <w:rFonts w:cs="Times New Roman"/>
          <w:i/>
          <w:kern w:val="2"/>
          <w:sz w:val="20"/>
        </w:rPr>
        <w:t>FCPA</w:t>
      </w:r>
      <w:r w:rsidRPr="006E1DA8">
        <w:rPr>
          <w:rFonts w:cs="Times New Roman"/>
          <w:kern w:val="2"/>
          <w:sz w:val="20"/>
        </w:rPr>
        <w:t xml:space="preserve"> guidance, the DOJ, in particular, through its public statements and in settled cases, has taken the position that even fleeting contact with the US territory may constitute a sufficient US nexus to assert territorial jurisdiction over foreign entities and individuals for conduct that occurred outside the United States.</w:t>
      </w:r>
      <w:r w:rsidR="00321984" w:rsidRPr="006E1DA8">
        <w:rPr>
          <w:rFonts w:cs="Times New Roman"/>
          <w:kern w:val="2"/>
          <w:sz w:val="20"/>
        </w:rPr>
        <w:t>”</w:t>
      </w:r>
      <w:r w:rsidRPr="006E1DA8">
        <w:rPr>
          <w:rStyle w:val="FootnoteReference"/>
          <w:rFonts w:cs="Times New Roman"/>
          <w:kern w:val="2"/>
          <w:sz w:val="20"/>
        </w:rPr>
        <w:footnoteReference w:id="22"/>
      </w:r>
      <w:r w:rsidRPr="006E1DA8">
        <w:rPr>
          <w:rFonts w:cs="Times New Roman"/>
          <w:kern w:val="2"/>
          <w:sz w:val="20"/>
        </w:rPr>
        <w:t xml:space="preserve"> </w:t>
      </w:r>
      <w:proofErr w:type="spellStart"/>
      <w:r w:rsidRPr="006E1DA8">
        <w:rPr>
          <w:rFonts w:cs="Times New Roman"/>
          <w:kern w:val="2"/>
          <w:sz w:val="20"/>
        </w:rPr>
        <w:t>Laporte</w:t>
      </w:r>
      <w:proofErr w:type="spellEnd"/>
      <w:r w:rsidRPr="006E1DA8">
        <w:rPr>
          <w:rFonts w:cs="Times New Roman"/>
          <w:kern w:val="2"/>
          <w:sz w:val="20"/>
        </w:rPr>
        <w:t xml:space="preserve"> and Hecker </w:t>
      </w:r>
      <w:r w:rsidR="00AB6458" w:rsidRPr="006E1DA8">
        <w:rPr>
          <w:rFonts w:cs="Times New Roman"/>
          <w:kern w:val="2"/>
          <w:sz w:val="20"/>
        </w:rPr>
        <w:t xml:space="preserve">also </w:t>
      </w:r>
      <w:r w:rsidRPr="006E1DA8">
        <w:rPr>
          <w:rFonts w:cs="Times New Roman"/>
          <w:kern w:val="2"/>
          <w:sz w:val="20"/>
        </w:rPr>
        <w:t xml:space="preserve">note that companies are often under pressure to settle </w:t>
      </w:r>
      <w:r w:rsidRPr="006E1DA8">
        <w:rPr>
          <w:rFonts w:cs="Times New Roman"/>
          <w:i/>
          <w:iCs/>
          <w:kern w:val="2"/>
          <w:sz w:val="20"/>
        </w:rPr>
        <w:t xml:space="preserve">FCPA </w:t>
      </w:r>
      <w:r w:rsidRPr="006E1DA8">
        <w:rPr>
          <w:rFonts w:cs="Times New Roman"/>
          <w:kern w:val="2"/>
          <w:sz w:val="20"/>
        </w:rPr>
        <w:t>enforcement actions and are reluctant to risk challenging the DOJ and SEC’s broad interpretation of</w:t>
      </w:r>
      <w:r w:rsidR="00FA7940"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FCPA</w:t>
      </w:r>
      <w:r w:rsidRPr="006E1DA8">
        <w:rPr>
          <w:rFonts w:cs="Times New Roman"/>
          <w:kern w:val="2"/>
          <w:sz w:val="20"/>
        </w:rPr>
        <w:t>. They cite as an example a settled action against JGC Corp., a Japanese firm charged with making corrupt payments to Nigerian public officials. In this case</w:t>
      </w:r>
      <w:r w:rsidR="00BE60A2" w:rsidRPr="006E1DA8">
        <w:rPr>
          <w:rFonts w:cs="Times New Roman"/>
          <w:kern w:val="2"/>
          <w:sz w:val="20"/>
        </w:rPr>
        <w:t>,</w:t>
      </w:r>
      <w:r w:rsidRPr="006E1DA8">
        <w:rPr>
          <w:rFonts w:cs="Times New Roman"/>
          <w:kern w:val="2"/>
          <w:sz w:val="20"/>
        </w:rPr>
        <w:t xml:space="preserve"> the DOJ asserted that</w:t>
      </w:r>
      <w:r w:rsidR="00FA7940"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FCPA</w:t>
      </w:r>
      <w:r w:rsidRPr="006E1DA8">
        <w:rPr>
          <w:rFonts w:cs="Times New Roman"/>
          <w:kern w:val="2"/>
          <w:sz w:val="20"/>
        </w:rPr>
        <w:t>’s territorial jurisdiction was established on the basis of wire transfers routed through US bank accounts.</w:t>
      </w:r>
    </w:p>
    <w:p w14:paraId="2F435719" w14:textId="017A4F62" w:rsidR="00622318" w:rsidRPr="006E1DA8" w:rsidRDefault="00622318" w:rsidP="00622318">
      <w:pPr>
        <w:rPr>
          <w:rFonts w:cs="Times New Roman"/>
          <w:kern w:val="2"/>
          <w:sz w:val="20"/>
        </w:rPr>
      </w:pPr>
      <w:r w:rsidRPr="006E1DA8">
        <w:rPr>
          <w:rFonts w:cs="Times New Roman"/>
          <w:kern w:val="2"/>
          <w:sz w:val="20"/>
        </w:rPr>
        <w:t>The DOJ and SEC’s expansive interpretation of territorial jurisdiction</w:t>
      </w:r>
      <w:r w:rsidR="00BB3D24" w:rsidRPr="006E1DA8">
        <w:rPr>
          <w:rFonts w:cs="Times New Roman"/>
          <w:kern w:val="2"/>
          <w:sz w:val="20"/>
        </w:rPr>
        <w:t xml:space="preserve"> in corruption cases</w:t>
      </w:r>
      <w:r w:rsidRPr="006E1DA8">
        <w:rPr>
          <w:rFonts w:cs="Times New Roman"/>
          <w:kern w:val="2"/>
          <w:sz w:val="20"/>
        </w:rPr>
        <w:t xml:space="preserve"> is reflected by the recent assertion of jurisdiction over FIFA officials by the US</w:t>
      </w:r>
      <w:r w:rsidR="00BB3D24" w:rsidRPr="006E1DA8">
        <w:rPr>
          <w:rFonts w:cs="Times New Roman"/>
          <w:kern w:val="2"/>
          <w:sz w:val="20"/>
        </w:rPr>
        <w:t>, although</w:t>
      </w:r>
      <w:r w:rsidR="00FA7940" w:rsidRPr="006E1DA8">
        <w:rPr>
          <w:rFonts w:cs="Times New Roman"/>
          <w:kern w:val="2"/>
          <w:sz w:val="20"/>
        </w:rPr>
        <w:t xml:space="preserve"> the</w:t>
      </w:r>
      <w:r w:rsidR="00BB3D24" w:rsidRPr="006E1DA8">
        <w:rPr>
          <w:rFonts w:cs="Times New Roman"/>
          <w:kern w:val="2"/>
          <w:sz w:val="20"/>
        </w:rPr>
        <w:t xml:space="preserve"> </w:t>
      </w:r>
      <w:r w:rsidR="00BB3D24" w:rsidRPr="006E1DA8">
        <w:rPr>
          <w:rFonts w:cs="Times New Roman"/>
          <w:i/>
          <w:kern w:val="2"/>
          <w:sz w:val="20"/>
        </w:rPr>
        <w:t xml:space="preserve">FCPA </w:t>
      </w:r>
      <w:r w:rsidR="00BB3D24" w:rsidRPr="006E1DA8">
        <w:rPr>
          <w:rFonts w:cs="Times New Roman"/>
          <w:kern w:val="2"/>
          <w:sz w:val="20"/>
        </w:rPr>
        <w:t>was not used. Since</w:t>
      </w:r>
      <w:r w:rsidR="00FA7940" w:rsidRPr="006E1DA8">
        <w:rPr>
          <w:rFonts w:cs="Times New Roman"/>
          <w:kern w:val="2"/>
          <w:sz w:val="20"/>
        </w:rPr>
        <w:t xml:space="preserve"> the</w:t>
      </w:r>
      <w:r w:rsidR="00BB3D24" w:rsidRPr="006E1DA8">
        <w:rPr>
          <w:rFonts w:cs="Times New Roman"/>
          <w:kern w:val="2"/>
          <w:sz w:val="20"/>
        </w:rPr>
        <w:t xml:space="preserve"> </w:t>
      </w:r>
      <w:r w:rsidR="00BB3D24" w:rsidRPr="006E1DA8">
        <w:rPr>
          <w:rFonts w:cs="Times New Roman"/>
          <w:i/>
          <w:kern w:val="2"/>
          <w:sz w:val="20"/>
        </w:rPr>
        <w:t>FCPA</w:t>
      </w:r>
      <w:r w:rsidR="00BB3D24" w:rsidRPr="006E1DA8">
        <w:rPr>
          <w:rFonts w:cs="Times New Roman"/>
          <w:kern w:val="2"/>
          <w:sz w:val="20"/>
        </w:rPr>
        <w:t xml:space="preserve"> only covers bribes to government officials, the DOJ used non-bribery charges under different legislation to reach the indicted officials, namely the </w:t>
      </w:r>
      <w:r w:rsidR="00BB3D24" w:rsidRPr="006E1DA8">
        <w:rPr>
          <w:rFonts w:cs="Times New Roman"/>
          <w:i/>
          <w:kern w:val="2"/>
          <w:sz w:val="20"/>
        </w:rPr>
        <w:t>Racketeer Influenced and Corrupt Organizations Act</w:t>
      </w:r>
      <w:r w:rsidR="00BB3D24" w:rsidRPr="006E1DA8">
        <w:rPr>
          <w:rFonts w:cs="Times New Roman"/>
          <w:kern w:val="2"/>
          <w:sz w:val="20"/>
        </w:rPr>
        <w:t xml:space="preserve"> (</w:t>
      </w:r>
      <w:r w:rsidR="00BB3D24" w:rsidRPr="006E1DA8">
        <w:rPr>
          <w:rFonts w:cs="Times New Roman"/>
          <w:i/>
          <w:kern w:val="2"/>
          <w:sz w:val="20"/>
        </w:rPr>
        <w:t>RICO</w:t>
      </w:r>
      <w:r w:rsidR="00BB3D24" w:rsidRPr="006E1DA8">
        <w:rPr>
          <w:rFonts w:cs="Times New Roman"/>
          <w:kern w:val="2"/>
          <w:sz w:val="20"/>
        </w:rPr>
        <w:t xml:space="preserve">) and the </w:t>
      </w:r>
      <w:r w:rsidR="00BB3D24" w:rsidRPr="006E1DA8">
        <w:rPr>
          <w:rFonts w:cs="Times New Roman"/>
          <w:i/>
          <w:kern w:val="2"/>
          <w:sz w:val="20"/>
        </w:rPr>
        <w:t>Travel Act</w:t>
      </w:r>
      <w:r w:rsidR="00BB3D24" w:rsidRPr="006E1DA8">
        <w:rPr>
          <w:rFonts w:cs="Times New Roman"/>
          <w:kern w:val="2"/>
          <w:sz w:val="20"/>
        </w:rPr>
        <w:t>, which prohibits the use of interstate travel and commerce to further an illegal activity</w:t>
      </w:r>
      <w:r w:rsidRPr="006E1DA8">
        <w:rPr>
          <w:rFonts w:cs="Times New Roman"/>
          <w:kern w:val="2"/>
          <w:sz w:val="20"/>
        </w:rPr>
        <w:t>. This assertion of jurisdiction has been criticized in relation to the officials who barely have tangential connections to the US. The DOJ claims jurisdiction because several of the FIFA officials and marketing executives were allegedly involved in palm-greasing-related activities on American soil and some of the involved marketing companies and associations have offices in the US.</w:t>
      </w:r>
      <w:r w:rsidRPr="006E1DA8">
        <w:rPr>
          <w:rStyle w:val="FootnoteReference"/>
          <w:rFonts w:cs="Times New Roman"/>
          <w:kern w:val="2"/>
          <w:sz w:val="20"/>
        </w:rPr>
        <w:footnoteReference w:id="23"/>
      </w:r>
      <w:r w:rsidRPr="006E1DA8">
        <w:rPr>
          <w:rFonts w:cs="Times New Roman"/>
          <w:kern w:val="2"/>
          <w:sz w:val="20"/>
        </w:rPr>
        <w:t xml:space="preserve"> </w:t>
      </w:r>
    </w:p>
    <w:p w14:paraId="45712563" w14:textId="4C4422F7" w:rsidR="00622318" w:rsidRPr="006E1DA8" w:rsidRDefault="00622318" w:rsidP="00622318">
      <w:pPr>
        <w:rPr>
          <w:rFonts w:cs="Times New Roman"/>
          <w:kern w:val="2"/>
          <w:sz w:val="20"/>
        </w:rPr>
      </w:pPr>
      <w:r w:rsidRPr="006E1DA8">
        <w:rPr>
          <w:rFonts w:cs="Times New Roman"/>
          <w:kern w:val="2"/>
          <w:sz w:val="20"/>
        </w:rPr>
        <w:t xml:space="preserve">Hecker and </w:t>
      </w:r>
      <w:proofErr w:type="spellStart"/>
      <w:r w:rsidRPr="006E1DA8">
        <w:rPr>
          <w:rFonts w:cs="Times New Roman"/>
          <w:kern w:val="2"/>
          <w:sz w:val="20"/>
        </w:rPr>
        <w:t>Laporte</w:t>
      </w:r>
      <w:proofErr w:type="spellEnd"/>
      <w:r w:rsidRPr="006E1DA8">
        <w:rPr>
          <w:rFonts w:cs="Times New Roman"/>
          <w:kern w:val="2"/>
          <w:sz w:val="20"/>
        </w:rPr>
        <w:t xml:space="preserve"> note that there is case law to suggest that</w:t>
      </w:r>
      <w:r w:rsidR="00FA7940"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FCPA</w:t>
      </w:r>
      <w:r w:rsidRPr="006E1DA8">
        <w:rPr>
          <w:rFonts w:cs="Times New Roman"/>
          <w:kern w:val="2"/>
          <w:sz w:val="20"/>
        </w:rPr>
        <w:t>’s territorial jurisdiction is not inexhaustible. Koehler also makes this observation and criticizes the DOJ guidance (quoted above) for basing its advice on settled enforcement actions</w:t>
      </w:r>
      <w:r w:rsidR="001E625E" w:rsidRPr="006E1DA8">
        <w:rPr>
          <w:rFonts w:cs="Times New Roman"/>
          <w:kern w:val="2"/>
          <w:sz w:val="20"/>
        </w:rPr>
        <w:t xml:space="preserve"> lacking in </w:t>
      </w:r>
      <w:r w:rsidRPr="006E1DA8">
        <w:rPr>
          <w:rFonts w:cs="Times New Roman"/>
          <w:kern w:val="2"/>
          <w:sz w:val="20"/>
        </w:rPr>
        <w:t>judicial scrutiny</w:t>
      </w:r>
      <w:r w:rsidR="001E625E" w:rsidRPr="006E1DA8">
        <w:rPr>
          <w:rFonts w:cs="Times New Roman"/>
          <w:kern w:val="2"/>
          <w:sz w:val="20"/>
        </w:rPr>
        <w:t xml:space="preserve"> rather than</w:t>
      </w:r>
      <w:r w:rsidRPr="006E1DA8">
        <w:rPr>
          <w:rFonts w:cs="Times New Roman"/>
          <w:kern w:val="2"/>
          <w:sz w:val="20"/>
        </w:rPr>
        <w:t xml:space="preserve"> case law.</w:t>
      </w:r>
      <w:r w:rsidRPr="006E1DA8">
        <w:rPr>
          <w:rStyle w:val="FootnoteReference"/>
          <w:rFonts w:cs="Times New Roman"/>
          <w:kern w:val="2"/>
          <w:sz w:val="20"/>
        </w:rPr>
        <w:footnoteReference w:id="24"/>
      </w:r>
      <w:r w:rsidRPr="006E1DA8">
        <w:rPr>
          <w:rFonts w:cs="Times New Roman"/>
          <w:kern w:val="2"/>
          <w:sz w:val="20"/>
        </w:rPr>
        <w:t xml:space="preserve"> Hecker and </w:t>
      </w:r>
      <w:proofErr w:type="spellStart"/>
      <w:r w:rsidRPr="006E1DA8">
        <w:rPr>
          <w:rFonts w:cs="Times New Roman"/>
          <w:kern w:val="2"/>
          <w:sz w:val="20"/>
        </w:rPr>
        <w:t>LaPorte</w:t>
      </w:r>
      <w:proofErr w:type="spellEnd"/>
      <w:r w:rsidRPr="006E1DA8">
        <w:rPr>
          <w:rFonts w:cs="Times New Roman"/>
          <w:kern w:val="2"/>
          <w:sz w:val="20"/>
        </w:rPr>
        <w:t xml:space="preserve"> cite a district court decision, </w:t>
      </w:r>
      <w:r w:rsidRPr="006E1DA8">
        <w:rPr>
          <w:rFonts w:cs="Times New Roman"/>
          <w:i/>
          <w:iCs/>
          <w:kern w:val="2"/>
          <w:sz w:val="20"/>
        </w:rPr>
        <w:t>US v Patel</w:t>
      </w:r>
      <w:r w:rsidRPr="006E1DA8">
        <w:rPr>
          <w:rFonts w:cs="Times New Roman"/>
          <w:kern w:val="2"/>
          <w:sz w:val="20"/>
        </w:rPr>
        <w:t>,</w:t>
      </w:r>
      <w:r w:rsidRPr="006E1DA8">
        <w:rPr>
          <w:rStyle w:val="FootnoteReference"/>
          <w:rFonts w:cs="Times New Roman"/>
          <w:kern w:val="2"/>
          <w:sz w:val="20"/>
        </w:rPr>
        <w:footnoteReference w:id="25"/>
      </w:r>
      <w:r w:rsidRPr="006E1DA8">
        <w:rPr>
          <w:rFonts w:cs="Times New Roman"/>
          <w:kern w:val="2"/>
          <w:sz w:val="20"/>
        </w:rPr>
        <w:t xml:space="preserve"> in which the Court rejected the </w:t>
      </w:r>
      <w:r w:rsidR="001E625E" w:rsidRPr="006E1DA8">
        <w:rPr>
          <w:rFonts w:cs="Times New Roman"/>
          <w:kern w:val="2"/>
          <w:sz w:val="20"/>
        </w:rPr>
        <w:t xml:space="preserve">DOJ’s </w:t>
      </w:r>
      <w:r w:rsidRPr="006E1DA8">
        <w:rPr>
          <w:rFonts w:cs="Times New Roman"/>
          <w:kern w:val="2"/>
          <w:sz w:val="20"/>
        </w:rPr>
        <w:t>argument that the act of mailing a corrupt purchase agreement from the UK to the US was sufficient to establish a territorial nexus with the US. The Court held that</w:t>
      </w:r>
      <w:r w:rsidR="00BE60A2" w:rsidRPr="006E1DA8">
        <w:rPr>
          <w:rFonts w:cs="Times New Roman"/>
          <w:kern w:val="2"/>
          <w:sz w:val="20"/>
        </w:rPr>
        <w:t>,</w:t>
      </w:r>
      <w:r w:rsidRPr="006E1DA8">
        <w:rPr>
          <w:rFonts w:cs="Times New Roman"/>
          <w:kern w:val="2"/>
          <w:sz w:val="20"/>
        </w:rPr>
        <w:t xml:space="preserve"> in order for the </w:t>
      </w:r>
      <w:r w:rsidRPr="006E1DA8">
        <w:rPr>
          <w:rFonts w:cs="Times New Roman"/>
          <w:i/>
          <w:iCs/>
          <w:kern w:val="2"/>
          <w:sz w:val="20"/>
        </w:rPr>
        <w:t xml:space="preserve">FCPA </w:t>
      </w:r>
      <w:r w:rsidRPr="006E1DA8">
        <w:rPr>
          <w:rFonts w:cs="Times New Roman"/>
          <w:kern w:val="2"/>
          <w:sz w:val="20"/>
        </w:rPr>
        <w:t xml:space="preserve">to apply to foreign entities that are not considered </w:t>
      </w:r>
      <w:r w:rsidR="00321984" w:rsidRPr="006E1DA8">
        <w:rPr>
          <w:rFonts w:cs="Times New Roman"/>
          <w:kern w:val="2"/>
          <w:sz w:val="20"/>
        </w:rPr>
        <w:t>“</w:t>
      </w:r>
      <w:r w:rsidRPr="006E1DA8">
        <w:rPr>
          <w:rFonts w:cs="Times New Roman"/>
          <w:kern w:val="2"/>
          <w:sz w:val="20"/>
        </w:rPr>
        <w:t>issuers</w:t>
      </w:r>
      <w:r w:rsidR="00572F3E"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the act in furtherance of a corrupt payment must have taken place within US territory. Hecker and </w:t>
      </w:r>
      <w:proofErr w:type="spellStart"/>
      <w:r w:rsidRPr="006E1DA8">
        <w:rPr>
          <w:rFonts w:cs="Times New Roman"/>
          <w:kern w:val="2"/>
          <w:sz w:val="20"/>
        </w:rPr>
        <w:t>Laporte</w:t>
      </w:r>
      <w:proofErr w:type="spellEnd"/>
      <w:r w:rsidRPr="006E1DA8">
        <w:rPr>
          <w:rFonts w:cs="Times New Roman"/>
          <w:kern w:val="2"/>
          <w:sz w:val="20"/>
        </w:rPr>
        <w:t xml:space="preserve"> add, however, that until more US courts consider the issue, the DOJ and SEC are unlikely to retreat from their expansive interpretation of the territorial jurisdiction of the </w:t>
      </w:r>
      <w:r w:rsidRPr="006E1DA8">
        <w:rPr>
          <w:rFonts w:cs="Times New Roman"/>
          <w:i/>
          <w:iCs/>
          <w:kern w:val="2"/>
          <w:sz w:val="20"/>
        </w:rPr>
        <w:t>FCPA</w:t>
      </w:r>
      <w:r w:rsidRPr="006E1DA8">
        <w:rPr>
          <w:rFonts w:cs="Times New Roman"/>
          <w:kern w:val="2"/>
          <w:sz w:val="20"/>
        </w:rPr>
        <w:t>.</w:t>
      </w:r>
    </w:p>
    <w:p w14:paraId="019C5786" w14:textId="6CFE38B1" w:rsidR="00FA2C7C" w:rsidRPr="006E1DA8" w:rsidRDefault="00622318" w:rsidP="00622318">
      <w:pPr>
        <w:rPr>
          <w:rFonts w:cs="Times New Roman"/>
          <w:color w:val="000000" w:themeColor="text1"/>
          <w:kern w:val="2"/>
          <w:sz w:val="20"/>
        </w:rPr>
      </w:pPr>
      <w:r w:rsidRPr="006E1DA8">
        <w:rPr>
          <w:rFonts w:cs="Times New Roman"/>
          <w:color w:val="000000" w:themeColor="text1"/>
          <w:kern w:val="2"/>
          <w:sz w:val="20"/>
        </w:rPr>
        <w:t xml:space="preserve">Hecker and </w:t>
      </w:r>
      <w:proofErr w:type="spellStart"/>
      <w:r w:rsidRPr="006E1DA8">
        <w:rPr>
          <w:rFonts w:cs="Times New Roman"/>
          <w:color w:val="000000" w:themeColor="text1"/>
          <w:kern w:val="2"/>
          <w:sz w:val="20"/>
        </w:rPr>
        <w:t>Laporte</w:t>
      </w:r>
      <w:proofErr w:type="spellEnd"/>
      <w:r w:rsidRPr="006E1DA8">
        <w:rPr>
          <w:rFonts w:cs="Times New Roman"/>
          <w:color w:val="000000" w:themeColor="text1"/>
          <w:kern w:val="2"/>
          <w:sz w:val="20"/>
        </w:rPr>
        <w:t xml:space="preserve"> also go on to state that a number of enforcement challenges arise when attempting to prosecute foreign entities with little territorial nexus with the US under</w:t>
      </w:r>
      <w:r w:rsidR="00FA7940" w:rsidRPr="006E1DA8">
        <w:rPr>
          <w:rFonts w:cs="Times New Roman"/>
          <w:color w:val="000000" w:themeColor="text1"/>
          <w:kern w:val="2"/>
          <w:sz w:val="20"/>
        </w:rPr>
        <w:t xml:space="preserve"> the</w:t>
      </w:r>
      <w:r w:rsidRPr="006E1DA8">
        <w:rPr>
          <w:rFonts w:cs="Times New Roman"/>
          <w:color w:val="000000" w:themeColor="text1"/>
          <w:kern w:val="2"/>
          <w:sz w:val="20"/>
        </w:rPr>
        <w:t xml:space="preserve"> </w:t>
      </w:r>
      <w:r w:rsidRPr="006E1DA8">
        <w:rPr>
          <w:rFonts w:cs="Times New Roman"/>
          <w:i/>
          <w:iCs/>
          <w:color w:val="000000" w:themeColor="text1"/>
          <w:kern w:val="2"/>
          <w:sz w:val="20"/>
        </w:rPr>
        <w:t>FCPA</w:t>
      </w:r>
      <w:r w:rsidRPr="006E1DA8">
        <w:rPr>
          <w:rFonts w:cs="Times New Roman"/>
          <w:color w:val="000000" w:themeColor="text1"/>
          <w:kern w:val="2"/>
          <w:sz w:val="20"/>
        </w:rPr>
        <w:t xml:space="preserve">. Although mutual legal assistance agreements and cooperation with foreign states </w:t>
      </w:r>
      <w:r w:rsidR="001E625E" w:rsidRPr="006E1DA8">
        <w:rPr>
          <w:rFonts w:cs="Times New Roman"/>
          <w:color w:val="000000" w:themeColor="text1"/>
          <w:kern w:val="2"/>
          <w:sz w:val="20"/>
        </w:rPr>
        <w:t>are</w:t>
      </w:r>
      <w:r w:rsidRPr="006E1DA8">
        <w:rPr>
          <w:rFonts w:cs="Times New Roman"/>
          <w:color w:val="000000" w:themeColor="text1"/>
          <w:kern w:val="2"/>
          <w:sz w:val="20"/>
        </w:rPr>
        <w:t xml:space="preserve"> on the rise, there </w:t>
      </w:r>
      <w:r w:rsidR="001E625E" w:rsidRPr="006E1DA8">
        <w:rPr>
          <w:rFonts w:cs="Times New Roman"/>
          <w:color w:val="000000" w:themeColor="text1"/>
          <w:kern w:val="2"/>
          <w:sz w:val="20"/>
        </w:rPr>
        <w:t xml:space="preserve">nonetheless </w:t>
      </w:r>
      <w:r w:rsidRPr="006E1DA8">
        <w:rPr>
          <w:rFonts w:cs="Times New Roman"/>
          <w:color w:val="000000" w:themeColor="text1"/>
          <w:kern w:val="2"/>
          <w:sz w:val="20"/>
        </w:rPr>
        <w:t xml:space="preserve">may be prolonged delays or difficulties when attempting to extradite accused persons or </w:t>
      </w:r>
      <w:r w:rsidR="00BE60A2" w:rsidRPr="006E1DA8">
        <w:rPr>
          <w:rFonts w:cs="Times New Roman"/>
          <w:color w:val="000000" w:themeColor="text1"/>
          <w:kern w:val="2"/>
          <w:sz w:val="20"/>
        </w:rPr>
        <w:t xml:space="preserve">to </w:t>
      </w:r>
      <w:r w:rsidRPr="006E1DA8">
        <w:rPr>
          <w:rFonts w:cs="Times New Roman"/>
          <w:color w:val="000000" w:themeColor="text1"/>
          <w:kern w:val="2"/>
          <w:sz w:val="20"/>
        </w:rPr>
        <w:t xml:space="preserve">obtain evidence from abroad. As a result, the DOJ and SEC rely heavily on the cooperation of the entities under investigation. In instances where evidence must be sought in foreign countries, the five-year statute of limitations period for </w:t>
      </w:r>
      <w:r w:rsidRPr="006E1DA8">
        <w:rPr>
          <w:rFonts w:cs="Times New Roman"/>
          <w:i/>
          <w:iCs/>
          <w:color w:val="000000" w:themeColor="text1"/>
          <w:kern w:val="2"/>
          <w:sz w:val="20"/>
        </w:rPr>
        <w:t xml:space="preserve">FCPA </w:t>
      </w:r>
      <w:r w:rsidRPr="006E1DA8">
        <w:rPr>
          <w:rFonts w:cs="Times New Roman"/>
          <w:color w:val="000000" w:themeColor="text1"/>
          <w:kern w:val="2"/>
          <w:sz w:val="20"/>
        </w:rPr>
        <w:t xml:space="preserve">violations may be suspended in some circumstances for up to three years. Lengthy delays in bringing matters to court may present further challenges, as witnesses may become unavailable or their memories may grow stale and evidence may be lost or destroyed. </w:t>
      </w:r>
      <w:r w:rsidR="00BE60A2" w:rsidRPr="006E1DA8">
        <w:rPr>
          <w:rFonts w:cs="Times New Roman"/>
          <w:color w:val="000000" w:themeColor="text1"/>
          <w:kern w:val="2"/>
          <w:sz w:val="20"/>
        </w:rPr>
        <w:t>G</w:t>
      </w:r>
      <w:r w:rsidRPr="006E1DA8">
        <w:rPr>
          <w:rFonts w:cs="Times New Roman"/>
          <w:color w:val="000000" w:themeColor="text1"/>
          <w:kern w:val="2"/>
          <w:sz w:val="20"/>
        </w:rPr>
        <w:t xml:space="preserve">iven the difficulties in investigation and enforcement, </w:t>
      </w:r>
      <w:r w:rsidR="00BE60A2" w:rsidRPr="006E1DA8">
        <w:rPr>
          <w:rFonts w:cs="Times New Roman"/>
          <w:color w:val="000000" w:themeColor="text1"/>
          <w:kern w:val="2"/>
          <w:sz w:val="20"/>
        </w:rPr>
        <w:t xml:space="preserve">the authors question </w:t>
      </w:r>
      <w:r w:rsidRPr="006E1DA8">
        <w:rPr>
          <w:rFonts w:cs="Times New Roman"/>
          <w:color w:val="000000" w:themeColor="text1"/>
          <w:kern w:val="2"/>
          <w:sz w:val="20"/>
        </w:rPr>
        <w:t>whether it is prudent for the US to pursue enforcement actions in cases where there is only a weak territorial link to the US.</w:t>
      </w:r>
    </w:p>
    <w:p w14:paraId="7F7E9F3F" w14:textId="75BE4C84" w:rsidR="00FA2C7C" w:rsidRPr="006E1DA8" w:rsidRDefault="00FA2C7C" w:rsidP="00FA2C7C">
      <w:pPr>
        <w:rPr>
          <w:rFonts w:cs="Times New Roman"/>
          <w:color w:val="000000" w:themeColor="text1"/>
          <w:kern w:val="2"/>
          <w:sz w:val="20"/>
        </w:rPr>
      </w:pPr>
      <w:proofErr w:type="spellStart"/>
      <w:r w:rsidRPr="006E1DA8">
        <w:rPr>
          <w:rFonts w:cs="Times New Roman"/>
          <w:color w:val="000000" w:themeColor="text1"/>
          <w:kern w:val="2"/>
          <w:sz w:val="20"/>
        </w:rPr>
        <w:t>Leibold</w:t>
      </w:r>
      <w:proofErr w:type="spellEnd"/>
      <w:r w:rsidRPr="006E1DA8">
        <w:rPr>
          <w:rFonts w:cs="Times New Roman"/>
          <w:color w:val="000000" w:themeColor="text1"/>
          <w:kern w:val="2"/>
          <w:sz w:val="20"/>
        </w:rPr>
        <w:t xml:space="preserve"> criticizes the broad extraterritorial application of </w:t>
      </w:r>
      <w:r w:rsidR="00FA7940" w:rsidRPr="006E1DA8">
        <w:rPr>
          <w:rFonts w:cs="Times New Roman"/>
          <w:color w:val="000000" w:themeColor="text1"/>
          <w:kern w:val="2"/>
          <w:sz w:val="20"/>
        </w:rPr>
        <w:t xml:space="preserve">the </w:t>
      </w:r>
      <w:r w:rsidRPr="006E1DA8">
        <w:rPr>
          <w:rFonts w:cs="Times New Roman"/>
          <w:i/>
          <w:color w:val="000000" w:themeColor="text1"/>
          <w:kern w:val="2"/>
          <w:sz w:val="20"/>
        </w:rPr>
        <w:t>FCPA</w:t>
      </w:r>
      <w:r w:rsidRPr="006E1DA8">
        <w:rPr>
          <w:rFonts w:cs="Times New Roman"/>
          <w:color w:val="000000" w:themeColor="text1"/>
          <w:kern w:val="2"/>
          <w:sz w:val="20"/>
        </w:rPr>
        <w:t xml:space="preserve"> </w:t>
      </w:r>
      <w:r w:rsidR="00A231D0" w:rsidRPr="006E1DA8">
        <w:rPr>
          <w:rFonts w:cs="Times New Roman"/>
          <w:color w:val="000000" w:themeColor="text1"/>
          <w:kern w:val="2"/>
          <w:sz w:val="20"/>
        </w:rPr>
        <w:t>and</w:t>
      </w:r>
      <w:r w:rsidRPr="006E1DA8">
        <w:rPr>
          <w:rFonts w:cs="Times New Roman"/>
          <w:color w:val="000000" w:themeColor="text1"/>
          <w:kern w:val="2"/>
          <w:sz w:val="20"/>
        </w:rPr>
        <w:t xml:space="preserve"> argues that</w:t>
      </w:r>
      <w:r w:rsidR="00EF0DBB" w:rsidRPr="006E1DA8">
        <w:rPr>
          <w:rFonts w:cs="Times New Roman"/>
          <w:color w:val="000000" w:themeColor="text1"/>
          <w:kern w:val="2"/>
          <w:sz w:val="20"/>
        </w:rPr>
        <w:t xml:space="preserve"> the</w:t>
      </w:r>
      <w:r w:rsidRPr="006E1DA8">
        <w:rPr>
          <w:rFonts w:cs="Times New Roman"/>
          <w:color w:val="000000" w:themeColor="text1"/>
          <w:kern w:val="2"/>
          <w:sz w:val="20"/>
        </w:rPr>
        <w:t xml:space="preserve"> extension of </w:t>
      </w:r>
      <w:r w:rsidRPr="006E1DA8">
        <w:rPr>
          <w:rFonts w:cs="Times New Roman"/>
          <w:i/>
          <w:color w:val="000000" w:themeColor="text1"/>
          <w:kern w:val="2"/>
          <w:sz w:val="20"/>
        </w:rPr>
        <w:t>FCPA</w:t>
      </w:r>
      <w:r w:rsidRPr="006E1DA8">
        <w:rPr>
          <w:rFonts w:cs="Times New Roman"/>
          <w:color w:val="000000" w:themeColor="text1"/>
          <w:kern w:val="2"/>
          <w:sz w:val="20"/>
        </w:rPr>
        <w:t xml:space="preserve"> jurisdiction to foreign non-issuers may be contrary to principles of customary international law.</w:t>
      </w:r>
      <w:r w:rsidRPr="006E1DA8">
        <w:rPr>
          <w:rStyle w:val="FootnoteReference"/>
          <w:rFonts w:cs="Times New Roman"/>
          <w:color w:val="000000" w:themeColor="text1"/>
          <w:kern w:val="2"/>
          <w:sz w:val="20"/>
        </w:rPr>
        <w:footnoteReference w:id="26"/>
      </w:r>
      <w:r w:rsidRPr="006E1DA8">
        <w:rPr>
          <w:rFonts w:cs="Times New Roman"/>
          <w:color w:val="000000" w:themeColor="text1"/>
          <w:kern w:val="2"/>
          <w:sz w:val="20"/>
        </w:rPr>
        <w:t xml:space="preserve"> </w:t>
      </w:r>
      <w:proofErr w:type="spellStart"/>
      <w:r w:rsidRPr="006E1DA8">
        <w:rPr>
          <w:rFonts w:cs="Times New Roman"/>
          <w:color w:val="000000" w:themeColor="text1"/>
          <w:kern w:val="2"/>
          <w:sz w:val="20"/>
        </w:rPr>
        <w:t>Leibold</w:t>
      </w:r>
      <w:proofErr w:type="spellEnd"/>
      <w:r w:rsidRPr="006E1DA8">
        <w:rPr>
          <w:rFonts w:cs="Times New Roman"/>
          <w:color w:val="000000" w:themeColor="text1"/>
          <w:kern w:val="2"/>
          <w:sz w:val="20"/>
        </w:rPr>
        <w:t xml:space="preserve"> analyzes the discrepancy in the amount of fines paid by foreign businesses versus domestic </w:t>
      </w:r>
      <w:r w:rsidR="00DA6BE0" w:rsidRPr="006E1DA8">
        <w:rPr>
          <w:rFonts w:cs="Times New Roman"/>
          <w:color w:val="000000" w:themeColor="text1"/>
          <w:kern w:val="2"/>
          <w:sz w:val="20"/>
        </w:rPr>
        <w:t>businesses</w:t>
      </w:r>
      <w:r w:rsidRPr="006E1DA8">
        <w:rPr>
          <w:rFonts w:cs="Times New Roman"/>
          <w:color w:val="000000" w:themeColor="text1"/>
          <w:kern w:val="2"/>
          <w:sz w:val="20"/>
        </w:rPr>
        <w:t xml:space="preserve"> and suggests that these statistics may be explained </w:t>
      </w:r>
      <w:r w:rsidR="00C85FCC" w:rsidRPr="006E1DA8">
        <w:rPr>
          <w:rFonts w:cs="Times New Roman"/>
          <w:color w:val="000000" w:themeColor="text1"/>
          <w:kern w:val="2"/>
          <w:sz w:val="20"/>
        </w:rPr>
        <w:t xml:space="preserve">either </w:t>
      </w:r>
      <w:r w:rsidRPr="006E1DA8">
        <w:rPr>
          <w:rFonts w:cs="Times New Roman"/>
          <w:color w:val="000000" w:themeColor="text1"/>
          <w:kern w:val="2"/>
          <w:sz w:val="20"/>
        </w:rPr>
        <w:t xml:space="preserve">by the fact that foreign corporations are more corrupt than the US firms, </w:t>
      </w:r>
      <w:r w:rsidR="00C85FCC" w:rsidRPr="006E1DA8">
        <w:rPr>
          <w:rFonts w:cs="Times New Roman"/>
          <w:color w:val="000000" w:themeColor="text1"/>
          <w:kern w:val="2"/>
          <w:sz w:val="20"/>
        </w:rPr>
        <w:t>foreign corporations</w:t>
      </w:r>
      <w:r w:rsidRPr="006E1DA8">
        <w:rPr>
          <w:rFonts w:cs="Times New Roman"/>
          <w:color w:val="000000" w:themeColor="text1"/>
          <w:kern w:val="2"/>
          <w:sz w:val="20"/>
        </w:rPr>
        <w:t xml:space="preserve"> do not cooperate with the US law enforcement authorities, or the SEC and DOJ are unfairly targeting foreign businesses with higher penalties for </w:t>
      </w:r>
      <w:r w:rsidRPr="006E1DA8">
        <w:rPr>
          <w:rFonts w:cs="Times New Roman"/>
          <w:i/>
          <w:color w:val="000000" w:themeColor="text1"/>
          <w:kern w:val="2"/>
          <w:sz w:val="20"/>
        </w:rPr>
        <w:t>FCPA</w:t>
      </w:r>
      <w:r w:rsidRPr="006E1DA8">
        <w:rPr>
          <w:rFonts w:cs="Times New Roman"/>
          <w:color w:val="000000" w:themeColor="text1"/>
          <w:kern w:val="2"/>
          <w:sz w:val="20"/>
        </w:rPr>
        <w:t xml:space="preserve"> violations.</w:t>
      </w:r>
      <w:r w:rsidRPr="006E1DA8">
        <w:rPr>
          <w:rStyle w:val="FootnoteReference"/>
          <w:rFonts w:cs="Times New Roman"/>
          <w:color w:val="000000" w:themeColor="text1"/>
          <w:kern w:val="2"/>
          <w:sz w:val="20"/>
        </w:rPr>
        <w:footnoteReference w:id="27"/>
      </w:r>
      <w:r w:rsidRPr="006E1DA8">
        <w:rPr>
          <w:rFonts w:cs="Times New Roman"/>
          <w:color w:val="000000" w:themeColor="text1"/>
          <w:kern w:val="2"/>
          <w:sz w:val="20"/>
        </w:rPr>
        <w:t xml:space="preserve"> Finally, given the ease with which the DOJ and the SEC can bring charges against a foreign company</w:t>
      </w:r>
      <w:r w:rsidR="00D32E47" w:rsidRPr="006E1DA8">
        <w:rPr>
          <w:rFonts w:cs="Times New Roman"/>
          <w:color w:val="000000" w:themeColor="text1"/>
          <w:kern w:val="2"/>
          <w:sz w:val="20"/>
        </w:rPr>
        <w:t>,</w:t>
      </w:r>
      <w:r w:rsidRPr="006E1DA8">
        <w:rPr>
          <w:rFonts w:cs="Times New Roman"/>
          <w:color w:val="000000" w:themeColor="text1"/>
          <w:kern w:val="2"/>
          <w:sz w:val="20"/>
        </w:rPr>
        <w:t xml:space="preserve"> and the fact that most foreign corruption charges are settled rather than litigated, </w:t>
      </w:r>
      <w:r w:rsidR="00FA7940" w:rsidRPr="006E1DA8">
        <w:rPr>
          <w:rFonts w:cs="Times New Roman"/>
          <w:color w:val="000000" w:themeColor="text1"/>
          <w:kern w:val="2"/>
          <w:sz w:val="20"/>
        </w:rPr>
        <w:t xml:space="preserve">the </w:t>
      </w:r>
      <w:r w:rsidRPr="006E1DA8">
        <w:rPr>
          <w:rFonts w:cs="Times New Roman"/>
          <w:i/>
          <w:color w:val="000000" w:themeColor="text1"/>
          <w:kern w:val="2"/>
          <w:sz w:val="20"/>
        </w:rPr>
        <w:t>FCPA</w:t>
      </w:r>
      <w:r w:rsidRPr="006E1DA8">
        <w:rPr>
          <w:rFonts w:cs="Times New Roman"/>
          <w:color w:val="000000" w:themeColor="text1"/>
          <w:kern w:val="2"/>
          <w:sz w:val="20"/>
        </w:rPr>
        <w:t xml:space="preserve"> may be closer to an international anti-corruption business tax than to a domestic criminal law with limited extraterritorial application.</w:t>
      </w:r>
      <w:r w:rsidRPr="006E1DA8">
        <w:rPr>
          <w:rStyle w:val="FootnoteReference"/>
          <w:rFonts w:cs="Times New Roman"/>
          <w:color w:val="000000" w:themeColor="text1"/>
          <w:kern w:val="2"/>
          <w:sz w:val="20"/>
        </w:rPr>
        <w:footnoteReference w:id="28"/>
      </w:r>
      <w:r w:rsidRPr="006E1DA8">
        <w:rPr>
          <w:rFonts w:cs="Times New Roman"/>
          <w:color w:val="000000" w:themeColor="text1"/>
          <w:kern w:val="2"/>
          <w:sz w:val="20"/>
        </w:rPr>
        <w:t xml:space="preserve"> </w:t>
      </w:r>
      <w:proofErr w:type="spellStart"/>
      <w:r w:rsidRPr="006E1DA8">
        <w:rPr>
          <w:rFonts w:cs="Times New Roman"/>
          <w:color w:val="000000" w:themeColor="text1"/>
          <w:kern w:val="2"/>
          <w:sz w:val="20"/>
        </w:rPr>
        <w:t>Leibold</w:t>
      </w:r>
      <w:proofErr w:type="spellEnd"/>
      <w:r w:rsidRPr="006E1DA8">
        <w:rPr>
          <w:rFonts w:cs="Times New Roman"/>
          <w:color w:val="000000" w:themeColor="text1"/>
          <w:kern w:val="2"/>
          <w:sz w:val="20"/>
        </w:rPr>
        <w:t xml:space="preserve"> suggests that, to minimize potential foreign policy concerns and violations of international law, the SEC and DOJ should focus the enforcement of</w:t>
      </w:r>
      <w:r w:rsidR="00FA7940" w:rsidRPr="006E1DA8">
        <w:rPr>
          <w:rFonts w:cs="Times New Roman"/>
          <w:color w:val="000000" w:themeColor="text1"/>
          <w:kern w:val="2"/>
          <w:sz w:val="20"/>
        </w:rPr>
        <w:t xml:space="preserve"> the</w:t>
      </w:r>
      <w:r w:rsidRPr="006E1DA8">
        <w:rPr>
          <w:rFonts w:cs="Times New Roman"/>
          <w:color w:val="000000" w:themeColor="text1"/>
          <w:kern w:val="2"/>
          <w:sz w:val="20"/>
        </w:rPr>
        <w:t xml:space="preserve"> </w:t>
      </w:r>
      <w:r w:rsidRPr="006E1DA8">
        <w:rPr>
          <w:rFonts w:cs="Times New Roman"/>
          <w:i/>
          <w:color w:val="000000" w:themeColor="text1"/>
          <w:kern w:val="2"/>
          <w:sz w:val="20"/>
        </w:rPr>
        <w:t>FCPA</w:t>
      </w:r>
      <w:r w:rsidRPr="006E1DA8">
        <w:rPr>
          <w:rFonts w:cs="Times New Roman"/>
          <w:color w:val="000000" w:themeColor="text1"/>
          <w:kern w:val="2"/>
          <w:sz w:val="20"/>
        </w:rPr>
        <w:t xml:space="preserve"> on cases of bribery that have a close connection or substantial effect on the United States.</w:t>
      </w:r>
      <w:r w:rsidRPr="006E1DA8">
        <w:rPr>
          <w:rStyle w:val="FootnoteReference"/>
          <w:rFonts w:cs="Times New Roman"/>
          <w:color w:val="000000" w:themeColor="text1"/>
          <w:kern w:val="2"/>
          <w:sz w:val="20"/>
        </w:rPr>
        <w:footnoteReference w:id="29"/>
      </w:r>
    </w:p>
    <w:p w14:paraId="37B04194" w14:textId="249E9351" w:rsidR="00FA2C7C" w:rsidRPr="006E1DA8" w:rsidRDefault="00FA2C7C" w:rsidP="00FA2C7C">
      <w:pPr>
        <w:rPr>
          <w:rFonts w:cs="Times New Roman"/>
          <w:color w:val="000000" w:themeColor="text1"/>
          <w:kern w:val="2"/>
          <w:sz w:val="20"/>
        </w:rPr>
      </w:pPr>
      <w:r w:rsidRPr="006E1DA8">
        <w:rPr>
          <w:rFonts w:cs="Times New Roman"/>
          <w:color w:val="000000" w:themeColor="text1"/>
          <w:kern w:val="2"/>
          <w:sz w:val="20"/>
        </w:rPr>
        <w:t xml:space="preserve">Similarly, Mateo de la Torre poses </w:t>
      </w:r>
      <w:r w:rsidR="00C85FCC" w:rsidRPr="006E1DA8">
        <w:rPr>
          <w:rFonts w:cs="Times New Roman"/>
          <w:color w:val="000000" w:themeColor="text1"/>
          <w:kern w:val="2"/>
          <w:sz w:val="20"/>
        </w:rPr>
        <w:t>the</w:t>
      </w:r>
      <w:r w:rsidRPr="006E1DA8">
        <w:rPr>
          <w:rFonts w:cs="Times New Roman"/>
          <w:color w:val="000000" w:themeColor="text1"/>
          <w:kern w:val="2"/>
          <w:sz w:val="20"/>
        </w:rPr>
        <w:t xml:space="preserve"> question whether vigorous enforcement of</w:t>
      </w:r>
      <w:r w:rsidR="00FA7940" w:rsidRPr="006E1DA8">
        <w:rPr>
          <w:rFonts w:cs="Times New Roman"/>
          <w:color w:val="000000" w:themeColor="text1"/>
          <w:kern w:val="2"/>
          <w:sz w:val="20"/>
        </w:rPr>
        <w:t xml:space="preserve"> the</w:t>
      </w:r>
      <w:r w:rsidRPr="006E1DA8">
        <w:rPr>
          <w:rFonts w:cs="Times New Roman"/>
          <w:color w:val="000000" w:themeColor="text1"/>
          <w:kern w:val="2"/>
          <w:sz w:val="20"/>
        </w:rPr>
        <w:t xml:space="preserve"> </w:t>
      </w:r>
      <w:r w:rsidRPr="006E1DA8">
        <w:rPr>
          <w:rFonts w:cs="Times New Roman"/>
          <w:i/>
          <w:color w:val="000000" w:themeColor="text1"/>
          <w:kern w:val="2"/>
          <w:sz w:val="20"/>
        </w:rPr>
        <w:t>FCPA</w:t>
      </w:r>
      <w:r w:rsidRPr="006E1DA8">
        <w:rPr>
          <w:rFonts w:cs="Times New Roman"/>
          <w:color w:val="000000" w:themeColor="text1"/>
          <w:kern w:val="2"/>
          <w:sz w:val="20"/>
        </w:rPr>
        <w:t xml:space="preserve"> in cases </w:t>
      </w:r>
      <w:r w:rsidR="00DA6BE0" w:rsidRPr="006E1DA8">
        <w:rPr>
          <w:rFonts w:cs="Times New Roman"/>
          <w:color w:val="000000" w:themeColor="text1"/>
          <w:kern w:val="2"/>
          <w:sz w:val="20"/>
        </w:rPr>
        <w:t>where there is only a tangential</w:t>
      </w:r>
      <w:r w:rsidRPr="006E1DA8">
        <w:rPr>
          <w:rFonts w:cs="Times New Roman"/>
          <w:color w:val="000000" w:themeColor="text1"/>
          <w:kern w:val="2"/>
          <w:sz w:val="20"/>
        </w:rPr>
        <w:t xml:space="preserve"> link to the United States is </w:t>
      </w:r>
      <w:r w:rsidR="00321984" w:rsidRPr="006E1DA8">
        <w:rPr>
          <w:rFonts w:cs="Times New Roman"/>
          <w:color w:val="000000" w:themeColor="text1"/>
          <w:kern w:val="2"/>
          <w:sz w:val="20"/>
        </w:rPr>
        <w:t>“</w:t>
      </w:r>
      <w:r w:rsidRPr="006E1DA8">
        <w:rPr>
          <w:rFonts w:cs="Times New Roman"/>
          <w:color w:val="000000" w:themeColor="text1"/>
          <w:kern w:val="2"/>
          <w:sz w:val="20"/>
        </w:rPr>
        <w:t>a valid regulatory effort or, alternatively, an act of legal imperialism</w:t>
      </w:r>
      <w:r w:rsidR="00C85FCC" w:rsidRPr="006E1DA8">
        <w:rPr>
          <w:rFonts w:cs="Times New Roman"/>
          <w:color w:val="000000" w:themeColor="text1"/>
          <w:kern w:val="2"/>
          <w:sz w:val="20"/>
        </w:rPr>
        <w:t>.</w:t>
      </w:r>
      <w:r w:rsidR="00321984" w:rsidRPr="006E1DA8">
        <w:rPr>
          <w:rFonts w:cs="Times New Roman"/>
          <w:color w:val="000000" w:themeColor="text1"/>
          <w:kern w:val="2"/>
          <w:sz w:val="20"/>
        </w:rPr>
        <w:t>”</w:t>
      </w:r>
      <w:r w:rsidRPr="006E1DA8">
        <w:rPr>
          <w:rStyle w:val="FootnoteReference"/>
          <w:rFonts w:cs="Times New Roman"/>
          <w:color w:val="000000" w:themeColor="text1"/>
          <w:kern w:val="2"/>
          <w:sz w:val="20"/>
        </w:rPr>
        <w:footnoteReference w:id="30"/>
      </w:r>
      <w:r w:rsidRPr="006E1DA8">
        <w:rPr>
          <w:rFonts w:cs="Times New Roman"/>
          <w:color w:val="000000" w:themeColor="text1"/>
          <w:kern w:val="2"/>
          <w:sz w:val="20"/>
        </w:rPr>
        <w:t xml:space="preserve"> </w:t>
      </w:r>
      <w:r w:rsidR="00C85FCC" w:rsidRPr="006E1DA8">
        <w:rPr>
          <w:rFonts w:cs="Times New Roman"/>
          <w:color w:val="000000" w:themeColor="text1"/>
          <w:kern w:val="2"/>
          <w:sz w:val="20"/>
        </w:rPr>
        <w:t>He</w:t>
      </w:r>
      <w:r w:rsidRPr="006E1DA8">
        <w:rPr>
          <w:rFonts w:cs="Times New Roman"/>
          <w:color w:val="000000" w:themeColor="text1"/>
          <w:kern w:val="2"/>
          <w:sz w:val="20"/>
        </w:rPr>
        <w:t xml:space="preserve"> argues that co</w:t>
      </w:r>
      <w:r w:rsidR="00DA6BE0" w:rsidRPr="006E1DA8">
        <w:rPr>
          <w:rFonts w:cs="Times New Roman"/>
          <w:color w:val="000000" w:themeColor="text1"/>
          <w:kern w:val="2"/>
          <w:sz w:val="20"/>
        </w:rPr>
        <w:t>urts should place limitations on</w:t>
      </w:r>
      <w:r w:rsidRPr="006E1DA8">
        <w:rPr>
          <w:rFonts w:cs="Times New Roman"/>
          <w:color w:val="000000" w:themeColor="text1"/>
          <w:kern w:val="2"/>
          <w:sz w:val="20"/>
        </w:rPr>
        <w:t xml:space="preserve"> the extraterritorial reach of </w:t>
      </w:r>
      <w:r w:rsidR="00FA7940" w:rsidRPr="006E1DA8">
        <w:rPr>
          <w:rFonts w:cs="Times New Roman"/>
          <w:color w:val="000000" w:themeColor="text1"/>
          <w:kern w:val="2"/>
          <w:sz w:val="20"/>
        </w:rPr>
        <w:t xml:space="preserve">the </w:t>
      </w:r>
      <w:r w:rsidRPr="006E1DA8">
        <w:rPr>
          <w:rFonts w:cs="Times New Roman"/>
          <w:i/>
          <w:color w:val="000000" w:themeColor="text1"/>
          <w:kern w:val="2"/>
          <w:sz w:val="20"/>
        </w:rPr>
        <w:t>FCPA</w:t>
      </w:r>
      <w:r w:rsidRPr="006E1DA8">
        <w:rPr>
          <w:rFonts w:cs="Times New Roman"/>
          <w:color w:val="000000" w:themeColor="text1"/>
          <w:kern w:val="2"/>
          <w:sz w:val="20"/>
        </w:rPr>
        <w:t xml:space="preserve"> in the interest of foreign jurisdictions, businesses and foreign relations. He suggests that, in determining whether extraterritorial application of</w:t>
      </w:r>
      <w:r w:rsidR="00FA7940" w:rsidRPr="006E1DA8">
        <w:rPr>
          <w:rFonts w:cs="Times New Roman"/>
          <w:color w:val="000000" w:themeColor="text1"/>
          <w:kern w:val="2"/>
          <w:sz w:val="20"/>
        </w:rPr>
        <w:t xml:space="preserve"> the</w:t>
      </w:r>
      <w:r w:rsidRPr="006E1DA8">
        <w:rPr>
          <w:rFonts w:cs="Times New Roman"/>
          <w:color w:val="000000" w:themeColor="text1"/>
          <w:kern w:val="2"/>
          <w:sz w:val="20"/>
        </w:rPr>
        <w:t xml:space="preserve"> </w:t>
      </w:r>
      <w:r w:rsidRPr="006E1DA8">
        <w:rPr>
          <w:rFonts w:cs="Times New Roman"/>
          <w:i/>
          <w:color w:val="000000" w:themeColor="text1"/>
          <w:kern w:val="2"/>
          <w:sz w:val="20"/>
        </w:rPr>
        <w:t>FCPA</w:t>
      </w:r>
      <w:r w:rsidRPr="006E1DA8">
        <w:rPr>
          <w:rFonts w:cs="Times New Roman"/>
          <w:color w:val="000000" w:themeColor="text1"/>
          <w:kern w:val="2"/>
          <w:sz w:val="20"/>
        </w:rPr>
        <w:t xml:space="preserve"> would be unreasonable, courts may look at the list of factors enumerated in section 403 of the </w:t>
      </w:r>
      <w:r w:rsidRPr="006E1DA8">
        <w:rPr>
          <w:rFonts w:cs="Times New Roman"/>
          <w:i/>
          <w:color w:val="000000" w:themeColor="text1"/>
          <w:kern w:val="2"/>
          <w:sz w:val="20"/>
        </w:rPr>
        <w:t>Restatement (Third) of Foreign Relations Law</w:t>
      </w:r>
      <w:r w:rsidRPr="006E1DA8">
        <w:rPr>
          <w:rFonts w:cs="Times New Roman"/>
          <w:color w:val="000000" w:themeColor="text1"/>
          <w:kern w:val="2"/>
          <w:sz w:val="20"/>
        </w:rPr>
        <w:t>, the following six of which are of particular importance:</w:t>
      </w:r>
      <w:r w:rsidRPr="006E1DA8">
        <w:rPr>
          <w:rStyle w:val="FootnoteReference"/>
          <w:rFonts w:cs="Times New Roman"/>
          <w:color w:val="000000" w:themeColor="text1"/>
          <w:kern w:val="2"/>
          <w:sz w:val="20"/>
        </w:rPr>
        <w:t xml:space="preserve"> </w:t>
      </w:r>
    </w:p>
    <w:p w14:paraId="7FD090D2" w14:textId="77777777" w:rsidR="00FA2C7C" w:rsidRPr="006E1DA8" w:rsidRDefault="00FA2C7C" w:rsidP="009D3B31">
      <w:pPr>
        <w:pStyle w:val="BlockQuote"/>
        <w:numPr>
          <w:ilvl w:val="0"/>
          <w:numId w:val="7"/>
        </w:numPr>
        <w:spacing w:before="60" w:after="0"/>
        <w:jc w:val="left"/>
        <w:rPr>
          <w:kern w:val="2"/>
          <w:sz w:val="20"/>
        </w:rPr>
      </w:pPr>
      <w:r w:rsidRPr="006E1DA8">
        <w:rPr>
          <w:kern w:val="2"/>
          <w:sz w:val="20"/>
        </w:rPr>
        <w:t>the link of the activity to the territory of the regulating state;</w:t>
      </w:r>
    </w:p>
    <w:p w14:paraId="7F50C21E" w14:textId="77777777" w:rsidR="00FA2C7C" w:rsidRPr="006E1DA8" w:rsidRDefault="00FA2C7C" w:rsidP="009D3B31">
      <w:pPr>
        <w:pStyle w:val="BlockQuote"/>
        <w:numPr>
          <w:ilvl w:val="0"/>
          <w:numId w:val="7"/>
        </w:numPr>
        <w:spacing w:before="60" w:after="0"/>
        <w:jc w:val="left"/>
        <w:rPr>
          <w:kern w:val="2"/>
          <w:sz w:val="20"/>
        </w:rPr>
      </w:pPr>
      <w:r w:rsidRPr="006E1DA8">
        <w:rPr>
          <w:kern w:val="2"/>
          <w:sz w:val="20"/>
        </w:rPr>
        <w:t>the connections between the regulating state and the person principally responsible for the activity to be regulated, or between that state and those whom the regulation is designed to protect;</w:t>
      </w:r>
    </w:p>
    <w:p w14:paraId="58340696" w14:textId="77777777" w:rsidR="00FA2C7C" w:rsidRPr="006E1DA8" w:rsidRDefault="00FA2C7C" w:rsidP="009D3B31">
      <w:pPr>
        <w:pStyle w:val="BlockQuote"/>
        <w:numPr>
          <w:ilvl w:val="0"/>
          <w:numId w:val="7"/>
        </w:numPr>
        <w:spacing w:before="60" w:after="0"/>
        <w:jc w:val="left"/>
        <w:rPr>
          <w:kern w:val="2"/>
          <w:sz w:val="20"/>
        </w:rPr>
      </w:pPr>
      <w:r w:rsidRPr="006E1DA8">
        <w:rPr>
          <w:kern w:val="2"/>
          <w:sz w:val="20"/>
        </w:rPr>
        <w:t>the existence of justified expectations that might be protected or hurt by the regulation;</w:t>
      </w:r>
    </w:p>
    <w:p w14:paraId="5EED94E9" w14:textId="77777777" w:rsidR="00FA2C7C" w:rsidRPr="006E1DA8" w:rsidRDefault="00FA2C7C" w:rsidP="009D3B31">
      <w:pPr>
        <w:pStyle w:val="BlockQuote"/>
        <w:numPr>
          <w:ilvl w:val="0"/>
          <w:numId w:val="7"/>
        </w:numPr>
        <w:spacing w:before="60" w:after="0"/>
        <w:jc w:val="left"/>
        <w:rPr>
          <w:kern w:val="2"/>
          <w:sz w:val="20"/>
        </w:rPr>
      </w:pPr>
      <w:r w:rsidRPr="006E1DA8">
        <w:rPr>
          <w:kern w:val="2"/>
          <w:sz w:val="20"/>
        </w:rPr>
        <w:t>the importance of the regulation to the international political, legal, or economic system;</w:t>
      </w:r>
    </w:p>
    <w:p w14:paraId="5B76A87A" w14:textId="77777777" w:rsidR="00FA2C7C" w:rsidRPr="006E1DA8" w:rsidRDefault="00FA2C7C" w:rsidP="009D3B31">
      <w:pPr>
        <w:pStyle w:val="BlockQuote"/>
        <w:numPr>
          <w:ilvl w:val="0"/>
          <w:numId w:val="7"/>
        </w:numPr>
        <w:spacing w:before="60" w:after="0"/>
        <w:jc w:val="left"/>
        <w:rPr>
          <w:kern w:val="2"/>
          <w:sz w:val="20"/>
        </w:rPr>
      </w:pPr>
      <w:r w:rsidRPr="006E1DA8">
        <w:rPr>
          <w:kern w:val="2"/>
          <w:sz w:val="20"/>
        </w:rPr>
        <w:t>the extent to which another state may have an interest in regulating the activity; and</w:t>
      </w:r>
    </w:p>
    <w:p w14:paraId="722A377E" w14:textId="36C14CD0" w:rsidR="00FA2C7C" w:rsidRPr="006E1DA8" w:rsidRDefault="00FA2C7C" w:rsidP="009D3B31">
      <w:pPr>
        <w:pStyle w:val="BlockQuote"/>
        <w:numPr>
          <w:ilvl w:val="0"/>
          <w:numId w:val="7"/>
        </w:numPr>
        <w:spacing w:before="60" w:after="0"/>
        <w:jc w:val="left"/>
        <w:rPr>
          <w:kern w:val="2"/>
          <w:sz w:val="20"/>
        </w:rPr>
      </w:pPr>
      <w:proofErr w:type="gramStart"/>
      <w:r w:rsidRPr="006E1DA8">
        <w:rPr>
          <w:kern w:val="2"/>
          <w:sz w:val="20"/>
        </w:rPr>
        <w:t>the</w:t>
      </w:r>
      <w:proofErr w:type="gramEnd"/>
      <w:r w:rsidRPr="006E1DA8">
        <w:rPr>
          <w:kern w:val="2"/>
          <w:sz w:val="20"/>
        </w:rPr>
        <w:t xml:space="preserve"> likelihood of conflict with regulation by another state.</w:t>
      </w:r>
      <w:r w:rsidR="0051778D" w:rsidRPr="006E1DA8">
        <w:rPr>
          <w:rStyle w:val="FootnoteReference"/>
          <w:rFonts w:cs="Times New Roman"/>
          <w:color w:val="000000" w:themeColor="text1"/>
          <w:kern w:val="2"/>
          <w:sz w:val="20"/>
        </w:rPr>
        <w:footnoteReference w:id="31"/>
      </w:r>
    </w:p>
    <w:p w14:paraId="49C4F59F" w14:textId="72864FCF" w:rsidR="00FA2C7C" w:rsidRPr="006E1DA8" w:rsidRDefault="00FA2C7C" w:rsidP="00FA2C7C">
      <w:pPr>
        <w:rPr>
          <w:rFonts w:cs="Times New Roman"/>
          <w:color w:val="000000" w:themeColor="text1"/>
          <w:kern w:val="2"/>
          <w:sz w:val="20"/>
        </w:rPr>
      </w:pPr>
      <w:r w:rsidRPr="006E1DA8">
        <w:rPr>
          <w:rFonts w:cs="Times New Roman"/>
          <w:color w:val="000000" w:themeColor="text1"/>
          <w:kern w:val="2"/>
          <w:sz w:val="20"/>
        </w:rPr>
        <w:t>Torre concludes that successful challenges to the extraterritorial application of</w:t>
      </w:r>
      <w:r w:rsidR="00FA7940" w:rsidRPr="006E1DA8">
        <w:rPr>
          <w:rFonts w:cs="Times New Roman"/>
          <w:color w:val="000000" w:themeColor="text1"/>
          <w:kern w:val="2"/>
          <w:sz w:val="20"/>
        </w:rPr>
        <w:t xml:space="preserve"> the</w:t>
      </w:r>
      <w:r w:rsidRPr="006E1DA8">
        <w:rPr>
          <w:rFonts w:cs="Times New Roman"/>
          <w:color w:val="000000" w:themeColor="text1"/>
          <w:kern w:val="2"/>
          <w:sz w:val="20"/>
        </w:rPr>
        <w:t xml:space="preserve"> </w:t>
      </w:r>
      <w:r w:rsidRPr="006E1DA8">
        <w:rPr>
          <w:rFonts w:cs="Times New Roman"/>
          <w:i/>
          <w:color w:val="000000" w:themeColor="text1"/>
          <w:kern w:val="2"/>
          <w:sz w:val="20"/>
        </w:rPr>
        <w:t>FCPA</w:t>
      </w:r>
      <w:r w:rsidRPr="006E1DA8">
        <w:rPr>
          <w:rFonts w:cs="Times New Roman"/>
          <w:color w:val="000000" w:themeColor="text1"/>
          <w:kern w:val="2"/>
          <w:sz w:val="20"/>
        </w:rPr>
        <w:t xml:space="preserve"> in courts would allow foreign jurisdictions to develop regulatory regimes that take into account their cultural, political and economic specifics while continuing to provide cross-border assistance when necessary</w:t>
      </w:r>
      <w:r w:rsidR="00C85FCC" w:rsidRPr="006E1DA8">
        <w:rPr>
          <w:rFonts w:cs="Times New Roman"/>
          <w:color w:val="000000" w:themeColor="text1"/>
          <w:kern w:val="2"/>
          <w:sz w:val="20"/>
        </w:rPr>
        <w:t>. S</w:t>
      </w:r>
      <w:r w:rsidRPr="006E1DA8">
        <w:rPr>
          <w:rFonts w:cs="Times New Roman"/>
          <w:color w:val="000000" w:themeColor="text1"/>
          <w:kern w:val="2"/>
          <w:sz w:val="20"/>
        </w:rPr>
        <w:t>imultaneously</w:t>
      </w:r>
      <w:r w:rsidR="00C85FCC" w:rsidRPr="006E1DA8">
        <w:rPr>
          <w:rFonts w:cs="Times New Roman"/>
          <w:color w:val="000000" w:themeColor="text1"/>
          <w:kern w:val="2"/>
          <w:sz w:val="20"/>
        </w:rPr>
        <w:t>, it would</w:t>
      </w:r>
      <w:r w:rsidRPr="006E1DA8">
        <w:rPr>
          <w:rFonts w:cs="Times New Roman"/>
          <w:color w:val="000000" w:themeColor="text1"/>
          <w:kern w:val="2"/>
          <w:sz w:val="20"/>
        </w:rPr>
        <w:t xml:space="preserve"> free prosecutorial resources of the SEC and DOJ that would otherwise be used in prosecuting cases with only remote connections to the United States.</w:t>
      </w:r>
      <w:r w:rsidRPr="006E1DA8">
        <w:rPr>
          <w:rStyle w:val="FootnoteReference"/>
          <w:rFonts w:cs="Times New Roman"/>
          <w:color w:val="000000" w:themeColor="text1"/>
          <w:kern w:val="2"/>
          <w:sz w:val="20"/>
        </w:rPr>
        <w:footnoteReference w:id="32"/>
      </w:r>
    </w:p>
    <w:p w14:paraId="36C34E62" w14:textId="4308AF50" w:rsidR="00622318" w:rsidRPr="006E1DA8" w:rsidRDefault="00622318" w:rsidP="00E70225">
      <w:pPr>
        <w:pStyle w:val="Heading2"/>
        <w:rPr>
          <w:kern w:val="2"/>
          <w:sz w:val="24"/>
        </w:rPr>
      </w:pPr>
      <w:r w:rsidRPr="006E1DA8">
        <w:rPr>
          <w:kern w:val="2"/>
          <w:sz w:val="24"/>
        </w:rPr>
        <w:t>UK Law</w:t>
      </w:r>
    </w:p>
    <w:p w14:paraId="7DA2D7DF" w14:textId="77777777" w:rsidR="00622318" w:rsidRPr="006E1DA8" w:rsidRDefault="00622318" w:rsidP="00622318">
      <w:pPr>
        <w:rPr>
          <w:rFonts w:cs="Times New Roman"/>
          <w:kern w:val="2"/>
          <w:sz w:val="20"/>
        </w:rPr>
      </w:pPr>
      <w:r w:rsidRPr="006E1DA8">
        <w:rPr>
          <w:rFonts w:cs="Times New Roman"/>
          <w:kern w:val="2"/>
          <w:sz w:val="20"/>
        </w:rPr>
        <w:t xml:space="preserve">For offences under sections 1, 2 and 6 (active and passive bribery and bribing a foreign public official), the </w:t>
      </w:r>
      <w:r w:rsidRPr="006E1DA8">
        <w:rPr>
          <w:rFonts w:cs="Times New Roman"/>
          <w:i/>
          <w:iCs/>
          <w:kern w:val="2"/>
          <w:sz w:val="20"/>
        </w:rPr>
        <w:t xml:space="preserve">Bribery Act </w:t>
      </w:r>
      <w:r w:rsidRPr="006E1DA8">
        <w:rPr>
          <w:rFonts w:cs="Times New Roman"/>
          <w:kern w:val="2"/>
          <w:sz w:val="20"/>
        </w:rPr>
        <w:t>asserts jurisdiction based on both the territoriality principle and the nationality principle:</w:t>
      </w:r>
    </w:p>
    <w:p w14:paraId="2233A2B7" w14:textId="5D6D0410" w:rsidR="00622318" w:rsidRPr="006E1DA8" w:rsidRDefault="00622318" w:rsidP="009D3B31">
      <w:pPr>
        <w:pStyle w:val="BlockQuote"/>
        <w:numPr>
          <w:ilvl w:val="0"/>
          <w:numId w:val="8"/>
        </w:numPr>
        <w:rPr>
          <w:kern w:val="2"/>
          <w:sz w:val="20"/>
        </w:rPr>
      </w:pPr>
      <w:r w:rsidRPr="006E1DA8">
        <w:rPr>
          <w:rStyle w:val="legds"/>
          <w:kern w:val="2"/>
          <w:sz w:val="20"/>
        </w:rPr>
        <w:t>Offences under this Act: territorial application</w:t>
      </w:r>
    </w:p>
    <w:p w14:paraId="31F61C46" w14:textId="3A41D046" w:rsidR="00622318" w:rsidRPr="006E1DA8" w:rsidRDefault="00622318" w:rsidP="009D3B31">
      <w:pPr>
        <w:pStyle w:val="BlockQuote"/>
        <w:numPr>
          <w:ilvl w:val="0"/>
          <w:numId w:val="9"/>
        </w:numPr>
        <w:spacing w:before="60" w:after="0"/>
        <w:ind w:left="1440"/>
        <w:jc w:val="left"/>
        <w:rPr>
          <w:kern w:val="2"/>
          <w:sz w:val="20"/>
        </w:rPr>
      </w:pPr>
      <w:r w:rsidRPr="006E1DA8">
        <w:rPr>
          <w:rStyle w:val="legds"/>
          <w:kern w:val="2"/>
          <w:sz w:val="20"/>
        </w:rPr>
        <w:t>An offence is committed under section 1, 2 or 6 in England and Wales, Scotland or Northern Ireland if any act or omission which forms part of the offence takes place in that part of the United Kingdom.</w:t>
      </w:r>
      <w:r w:rsidRPr="006E1DA8">
        <w:rPr>
          <w:kern w:val="2"/>
          <w:sz w:val="20"/>
        </w:rPr>
        <w:t xml:space="preserve"> </w:t>
      </w:r>
    </w:p>
    <w:p w14:paraId="49A78272" w14:textId="09DFEDF1" w:rsidR="00622318" w:rsidRPr="006E1DA8" w:rsidRDefault="00622318" w:rsidP="009D3B31">
      <w:pPr>
        <w:pStyle w:val="BlockQuote"/>
        <w:numPr>
          <w:ilvl w:val="0"/>
          <w:numId w:val="9"/>
        </w:numPr>
        <w:spacing w:before="60" w:after="0"/>
        <w:ind w:left="1440"/>
        <w:jc w:val="left"/>
        <w:rPr>
          <w:kern w:val="2"/>
          <w:sz w:val="20"/>
        </w:rPr>
      </w:pPr>
      <w:r w:rsidRPr="006E1DA8">
        <w:rPr>
          <w:rStyle w:val="legds"/>
          <w:kern w:val="2"/>
          <w:sz w:val="20"/>
        </w:rPr>
        <w:t>Subsection (3) applies if—</w:t>
      </w:r>
      <w:r w:rsidRPr="006E1DA8">
        <w:rPr>
          <w:kern w:val="2"/>
          <w:sz w:val="20"/>
        </w:rPr>
        <w:t xml:space="preserve"> </w:t>
      </w:r>
    </w:p>
    <w:p w14:paraId="3A442129" w14:textId="173D809D" w:rsidR="00622318" w:rsidRPr="006E1DA8" w:rsidRDefault="00622318" w:rsidP="009D3B31">
      <w:pPr>
        <w:pStyle w:val="BlockQuote"/>
        <w:numPr>
          <w:ilvl w:val="0"/>
          <w:numId w:val="10"/>
        </w:numPr>
        <w:spacing w:before="60" w:after="0"/>
        <w:ind w:left="2160"/>
        <w:jc w:val="left"/>
        <w:rPr>
          <w:kern w:val="2"/>
          <w:sz w:val="20"/>
        </w:rPr>
      </w:pPr>
      <w:r w:rsidRPr="006E1DA8">
        <w:rPr>
          <w:rStyle w:val="legds"/>
          <w:kern w:val="2"/>
          <w:sz w:val="20"/>
        </w:rPr>
        <w:t>no act or omission which forms part of an offence under section 1, 2 or 6 takes place in the United Kingdom,</w:t>
      </w:r>
      <w:r w:rsidRPr="006E1DA8">
        <w:rPr>
          <w:kern w:val="2"/>
          <w:sz w:val="20"/>
        </w:rPr>
        <w:t xml:space="preserve"> </w:t>
      </w:r>
    </w:p>
    <w:p w14:paraId="62B90240" w14:textId="60AB790B" w:rsidR="00622318" w:rsidRPr="006E1DA8" w:rsidRDefault="00622318" w:rsidP="009D3B31">
      <w:pPr>
        <w:pStyle w:val="BlockQuote"/>
        <w:numPr>
          <w:ilvl w:val="0"/>
          <w:numId w:val="10"/>
        </w:numPr>
        <w:spacing w:before="60" w:after="0"/>
        <w:ind w:left="2160"/>
        <w:jc w:val="left"/>
        <w:rPr>
          <w:kern w:val="2"/>
          <w:sz w:val="20"/>
        </w:rPr>
      </w:pPr>
      <w:r w:rsidRPr="006E1DA8">
        <w:rPr>
          <w:rStyle w:val="legds"/>
          <w:kern w:val="2"/>
          <w:sz w:val="20"/>
        </w:rPr>
        <w:t>a person's acts or omissions done or made outside the United Kingdom would form part of such an offence if done or made in the United Kingdom, and</w:t>
      </w:r>
      <w:r w:rsidRPr="006E1DA8">
        <w:rPr>
          <w:kern w:val="2"/>
          <w:sz w:val="20"/>
        </w:rPr>
        <w:t xml:space="preserve"> </w:t>
      </w:r>
    </w:p>
    <w:p w14:paraId="6E9841B7" w14:textId="4B8D8CFF" w:rsidR="00622318" w:rsidRPr="006E1DA8" w:rsidRDefault="00622318" w:rsidP="009D3B31">
      <w:pPr>
        <w:pStyle w:val="BlockQuote"/>
        <w:numPr>
          <w:ilvl w:val="0"/>
          <w:numId w:val="10"/>
        </w:numPr>
        <w:spacing w:before="60" w:after="0"/>
        <w:ind w:left="2160"/>
        <w:jc w:val="left"/>
        <w:rPr>
          <w:kern w:val="2"/>
          <w:sz w:val="20"/>
        </w:rPr>
      </w:pPr>
      <w:proofErr w:type="gramStart"/>
      <w:r w:rsidRPr="006E1DA8">
        <w:rPr>
          <w:rStyle w:val="legds"/>
          <w:kern w:val="2"/>
          <w:sz w:val="20"/>
        </w:rPr>
        <w:t>that</w:t>
      </w:r>
      <w:proofErr w:type="gramEnd"/>
      <w:r w:rsidRPr="006E1DA8">
        <w:rPr>
          <w:rStyle w:val="legds"/>
          <w:kern w:val="2"/>
          <w:sz w:val="20"/>
        </w:rPr>
        <w:t xml:space="preserve"> person has a close connection with the United Kingdom.</w:t>
      </w:r>
      <w:r w:rsidRPr="006E1DA8">
        <w:rPr>
          <w:kern w:val="2"/>
          <w:sz w:val="20"/>
        </w:rPr>
        <w:t xml:space="preserve"> </w:t>
      </w:r>
    </w:p>
    <w:p w14:paraId="621DFBF8" w14:textId="4A740320" w:rsidR="00622318" w:rsidRPr="006E1DA8" w:rsidRDefault="00622318" w:rsidP="009D3B31">
      <w:pPr>
        <w:pStyle w:val="BlockQuote"/>
        <w:numPr>
          <w:ilvl w:val="0"/>
          <w:numId w:val="11"/>
        </w:numPr>
        <w:spacing w:before="60" w:after="0"/>
        <w:ind w:left="1440"/>
        <w:jc w:val="left"/>
        <w:rPr>
          <w:kern w:val="2"/>
          <w:sz w:val="20"/>
        </w:rPr>
      </w:pPr>
      <w:r w:rsidRPr="006E1DA8">
        <w:rPr>
          <w:rStyle w:val="legds"/>
          <w:kern w:val="2"/>
          <w:sz w:val="20"/>
        </w:rPr>
        <w:t>In such a case—</w:t>
      </w:r>
      <w:r w:rsidRPr="006E1DA8">
        <w:rPr>
          <w:kern w:val="2"/>
          <w:sz w:val="20"/>
        </w:rPr>
        <w:t xml:space="preserve"> </w:t>
      </w:r>
    </w:p>
    <w:p w14:paraId="335847EA" w14:textId="17F2FBE2" w:rsidR="00622318" w:rsidRPr="006E1DA8" w:rsidRDefault="00622318" w:rsidP="009D3B31">
      <w:pPr>
        <w:pStyle w:val="BlockQuote"/>
        <w:numPr>
          <w:ilvl w:val="0"/>
          <w:numId w:val="12"/>
        </w:numPr>
        <w:spacing w:before="60" w:after="0"/>
        <w:ind w:left="2160"/>
        <w:jc w:val="left"/>
        <w:rPr>
          <w:kern w:val="2"/>
          <w:sz w:val="20"/>
        </w:rPr>
      </w:pPr>
      <w:r w:rsidRPr="006E1DA8">
        <w:rPr>
          <w:rStyle w:val="legds"/>
          <w:kern w:val="2"/>
          <w:sz w:val="20"/>
        </w:rPr>
        <w:t>the acts or omissions form part of the offence referred to in subsection (2)(a), and</w:t>
      </w:r>
      <w:r w:rsidRPr="006E1DA8">
        <w:rPr>
          <w:kern w:val="2"/>
          <w:sz w:val="20"/>
        </w:rPr>
        <w:t xml:space="preserve"> </w:t>
      </w:r>
    </w:p>
    <w:p w14:paraId="5CCBA849" w14:textId="1746D254" w:rsidR="00622318" w:rsidRPr="006E1DA8" w:rsidRDefault="00622318" w:rsidP="009D3B31">
      <w:pPr>
        <w:pStyle w:val="BlockQuote"/>
        <w:numPr>
          <w:ilvl w:val="0"/>
          <w:numId w:val="12"/>
        </w:numPr>
        <w:spacing w:before="60" w:after="0"/>
        <w:ind w:left="2160"/>
        <w:jc w:val="left"/>
        <w:rPr>
          <w:kern w:val="2"/>
          <w:sz w:val="20"/>
        </w:rPr>
      </w:pPr>
      <w:proofErr w:type="gramStart"/>
      <w:r w:rsidRPr="006E1DA8">
        <w:rPr>
          <w:rStyle w:val="legds"/>
          <w:kern w:val="2"/>
          <w:sz w:val="20"/>
        </w:rPr>
        <w:t>proceedings</w:t>
      </w:r>
      <w:proofErr w:type="gramEnd"/>
      <w:r w:rsidRPr="006E1DA8">
        <w:rPr>
          <w:rStyle w:val="legds"/>
          <w:kern w:val="2"/>
          <w:sz w:val="20"/>
        </w:rPr>
        <w:t xml:space="preserve"> for the offence may be taken at any place in the United Kingdom.</w:t>
      </w:r>
      <w:r w:rsidRPr="006E1DA8">
        <w:rPr>
          <w:kern w:val="2"/>
          <w:sz w:val="20"/>
        </w:rPr>
        <w:t xml:space="preserve"> </w:t>
      </w:r>
    </w:p>
    <w:p w14:paraId="0C03CEEA" w14:textId="309A1E3D" w:rsidR="00622318" w:rsidRPr="006E1DA8" w:rsidRDefault="00622318" w:rsidP="009D3B31">
      <w:pPr>
        <w:pStyle w:val="BlockQuote"/>
        <w:numPr>
          <w:ilvl w:val="0"/>
          <w:numId w:val="13"/>
        </w:numPr>
        <w:spacing w:before="60" w:after="0"/>
        <w:ind w:left="1440"/>
        <w:jc w:val="left"/>
        <w:rPr>
          <w:kern w:val="2"/>
          <w:sz w:val="20"/>
        </w:rPr>
      </w:pPr>
      <w:r w:rsidRPr="006E1DA8">
        <w:rPr>
          <w:rStyle w:val="legds"/>
          <w:kern w:val="2"/>
          <w:sz w:val="20"/>
        </w:rPr>
        <w:t>For the purposes of subsection (2)(c) a person has a close connection with the United Kingdom if, and only if, the person was one of the following at the time the acts or omissions concerned were done or made—</w:t>
      </w:r>
      <w:r w:rsidRPr="006E1DA8">
        <w:rPr>
          <w:kern w:val="2"/>
          <w:sz w:val="20"/>
        </w:rPr>
        <w:t xml:space="preserve"> </w:t>
      </w:r>
    </w:p>
    <w:p w14:paraId="0925AB0C" w14:textId="2386C581"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British citizen,</w:t>
      </w:r>
      <w:r w:rsidRPr="006E1DA8">
        <w:rPr>
          <w:kern w:val="2"/>
          <w:sz w:val="20"/>
        </w:rPr>
        <w:t xml:space="preserve"> </w:t>
      </w:r>
    </w:p>
    <w:p w14:paraId="051F9C24" w14:textId="0453BA50"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British overseas territories citizen,</w:t>
      </w:r>
      <w:r w:rsidRPr="006E1DA8">
        <w:rPr>
          <w:kern w:val="2"/>
          <w:sz w:val="20"/>
        </w:rPr>
        <w:t xml:space="preserve"> </w:t>
      </w:r>
    </w:p>
    <w:p w14:paraId="28B5CE12" w14:textId="1B1F3760"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British National (Overseas),</w:t>
      </w:r>
      <w:r w:rsidRPr="006E1DA8">
        <w:rPr>
          <w:kern w:val="2"/>
          <w:sz w:val="20"/>
        </w:rPr>
        <w:t xml:space="preserve"> </w:t>
      </w:r>
    </w:p>
    <w:p w14:paraId="61AF5CD5" w14:textId="179C2D14"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British Overseas citizen,</w:t>
      </w:r>
      <w:r w:rsidRPr="006E1DA8">
        <w:rPr>
          <w:kern w:val="2"/>
          <w:sz w:val="20"/>
        </w:rPr>
        <w:t xml:space="preserve"> </w:t>
      </w:r>
    </w:p>
    <w:p w14:paraId="1F893E7C" w14:textId="5D7A0B84"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person who under the British Nationality Act 1981 was a British subject,</w:t>
      </w:r>
      <w:r w:rsidRPr="006E1DA8">
        <w:rPr>
          <w:kern w:val="2"/>
          <w:sz w:val="20"/>
        </w:rPr>
        <w:t xml:space="preserve"> </w:t>
      </w:r>
    </w:p>
    <w:p w14:paraId="6F2ECC1F" w14:textId="2E18AA16"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British protected person within the meaning of that Act,</w:t>
      </w:r>
      <w:r w:rsidRPr="006E1DA8">
        <w:rPr>
          <w:kern w:val="2"/>
          <w:sz w:val="20"/>
        </w:rPr>
        <w:t xml:space="preserve"> </w:t>
      </w:r>
    </w:p>
    <w:p w14:paraId="7159C07D" w14:textId="0341CD63"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an individual ordinarily resident in the United Kingdom,</w:t>
      </w:r>
      <w:r w:rsidRPr="006E1DA8">
        <w:rPr>
          <w:kern w:val="2"/>
          <w:sz w:val="20"/>
        </w:rPr>
        <w:t xml:space="preserve"> </w:t>
      </w:r>
    </w:p>
    <w:p w14:paraId="1B3A65BC" w14:textId="0A32C5A3" w:rsidR="00622318" w:rsidRPr="006E1DA8" w:rsidRDefault="00622318" w:rsidP="009D3B31">
      <w:pPr>
        <w:pStyle w:val="BlockQuote"/>
        <w:numPr>
          <w:ilvl w:val="0"/>
          <w:numId w:val="14"/>
        </w:numPr>
        <w:spacing w:before="60" w:after="0"/>
        <w:ind w:left="2160"/>
        <w:jc w:val="left"/>
        <w:rPr>
          <w:kern w:val="2"/>
          <w:sz w:val="20"/>
        </w:rPr>
      </w:pPr>
      <w:r w:rsidRPr="006E1DA8">
        <w:rPr>
          <w:rStyle w:val="legds"/>
          <w:kern w:val="2"/>
          <w:sz w:val="20"/>
        </w:rPr>
        <w:t>a body incorporated under the law of any part of the United Kingdom,</w:t>
      </w:r>
      <w:r w:rsidRPr="006E1DA8">
        <w:rPr>
          <w:kern w:val="2"/>
          <w:sz w:val="20"/>
        </w:rPr>
        <w:t xml:space="preserve"> </w:t>
      </w:r>
    </w:p>
    <w:p w14:paraId="2A5DAD8C" w14:textId="34AFA72D" w:rsidR="00622318" w:rsidRPr="006E1DA8" w:rsidRDefault="00622318" w:rsidP="009D3B31">
      <w:pPr>
        <w:pStyle w:val="BlockQuote"/>
        <w:numPr>
          <w:ilvl w:val="0"/>
          <w:numId w:val="14"/>
        </w:numPr>
        <w:spacing w:before="60" w:after="0"/>
        <w:ind w:left="2160"/>
        <w:jc w:val="left"/>
        <w:rPr>
          <w:kern w:val="2"/>
          <w:sz w:val="20"/>
        </w:rPr>
      </w:pPr>
      <w:proofErr w:type="gramStart"/>
      <w:r w:rsidRPr="006E1DA8">
        <w:rPr>
          <w:rStyle w:val="legds"/>
          <w:kern w:val="2"/>
          <w:sz w:val="20"/>
        </w:rPr>
        <w:t>a</w:t>
      </w:r>
      <w:proofErr w:type="gramEnd"/>
      <w:r w:rsidRPr="006E1DA8">
        <w:rPr>
          <w:rStyle w:val="legds"/>
          <w:kern w:val="2"/>
          <w:sz w:val="20"/>
        </w:rPr>
        <w:t xml:space="preserve"> Scottish partnership.</w:t>
      </w:r>
      <w:r w:rsidRPr="006E1DA8">
        <w:rPr>
          <w:kern w:val="2"/>
          <w:sz w:val="20"/>
        </w:rPr>
        <w:t xml:space="preserve"> </w:t>
      </w:r>
    </w:p>
    <w:p w14:paraId="66D79BF0" w14:textId="076B35B8" w:rsidR="00622318" w:rsidRPr="006E1DA8" w:rsidRDefault="00622318" w:rsidP="009D3B31">
      <w:pPr>
        <w:pStyle w:val="BlockQuote"/>
        <w:numPr>
          <w:ilvl w:val="0"/>
          <w:numId w:val="15"/>
        </w:numPr>
        <w:spacing w:before="60" w:after="0"/>
        <w:ind w:left="1440"/>
        <w:jc w:val="left"/>
        <w:rPr>
          <w:kern w:val="2"/>
          <w:sz w:val="20"/>
        </w:rPr>
      </w:pPr>
      <w:r w:rsidRPr="006E1DA8">
        <w:rPr>
          <w:rStyle w:val="legds"/>
          <w:kern w:val="2"/>
          <w:sz w:val="20"/>
        </w:rPr>
        <w:t>An offence is committed under section 7 irrespective of whether the acts or omissions which form part of the offence take place in the United Kingdom or elsewhere.</w:t>
      </w:r>
      <w:r w:rsidRPr="006E1DA8">
        <w:rPr>
          <w:kern w:val="2"/>
          <w:sz w:val="20"/>
        </w:rPr>
        <w:t xml:space="preserve"> </w:t>
      </w:r>
    </w:p>
    <w:p w14:paraId="78863C59" w14:textId="36F87CFB" w:rsidR="00622318" w:rsidRPr="006E1DA8" w:rsidRDefault="00622318" w:rsidP="009D3B31">
      <w:pPr>
        <w:pStyle w:val="BlockQuote"/>
        <w:numPr>
          <w:ilvl w:val="0"/>
          <w:numId w:val="15"/>
        </w:numPr>
        <w:spacing w:before="60" w:after="0"/>
        <w:ind w:left="1440"/>
        <w:jc w:val="left"/>
        <w:rPr>
          <w:kern w:val="2"/>
          <w:sz w:val="20"/>
        </w:rPr>
      </w:pPr>
      <w:r w:rsidRPr="006E1DA8">
        <w:rPr>
          <w:rStyle w:val="legds"/>
          <w:kern w:val="2"/>
          <w:sz w:val="20"/>
        </w:rPr>
        <w:t>Where no act or omission which forms part of an offence under section 7 takes place in the United Kingdom, proceedings for the offence may be taken at any place in the United Kingdom.</w:t>
      </w:r>
      <w:r w:rsidRPr="006E1DA8">
        <w:rPr>
          <w:kern w:val="2"/>
          <w:sz w:val="20"/>
        </w:rPr>
        <w:t xml:space="preserve"> </w:t>
      </w:r>
    </w:p>
    <w:p w14:paraId="50C60D54" w14:textId="75DF784E" w:rsidR="00622318" w:rsidRPr="006E1DA8" w:rsidRDefault="00622318" w:rsidP="009D3B31">
      <w:pPr>
        <w:pStyle w:val="BlockQuote"/>
        <w:numPr>
          <w:ilvl w:val="0"/>
          <w:numId w:val="15"/>
        </w:numPr>
        <w:spacing w:before="60" w:after="0"/>
        <w:ind w:left="1440"/>
        <w:jc w:val="left"/>
        <w:rPr>
          <w:kern w:val="2"/>
          <w:sz w:val="20"/>
        </w:rPr>
      </w:pPr>
      <w:r w:rsidRPr="006E1DA8">
        <w:rPr>
          <w:rStyle w:val="legds"/>
          <w:kern w:val="2"/>
          <w:sz w:val="20"/>
        </w:rPr>
        <w:t>Subsection (8) applies if, by virtue of this section, proceedings for an offence are to be taken in Scotland against a person.</w:t>
      </w:r>
      <w:r w:rsidRPr="006E1DA8">
        <w:rPr>
          <w:kern w:val="2"/>
          <w:sz w:val="20"/>
        </w:rPr>
        <w:t xml:space="preserve"> </w:t>
      </w:r>
    </w:p>
    <w:p w14:paraId="58FA380A" w14:textId="19174159" w:rsidR="00622318" w:rsidRPr="006E1DA8" w:rsidRDefault="00622318" w:rsidP="009D3B31">
      <w:pPr>
        <w:pStyle w:val="BlockQuote"/>
        <w:keepNext/>
        <w:numPr>
          <w:ilvl w:val="0"/>
          <w:numId w:val="15"/>
        </w:numPr>
        <w:spacing w:before="60" w:after="0"/>
        <w:ind w:left="1434" w:hanging="357"/>
        <w:jc w:val="left"/>
        <w:rPr>
          <w:kern w:val="2"/>
          <w:sz w:val="20"/>
        </w:rPr>
      </w:pPr>
      <w:r w:rsidRPr="006E1DA8">
        <w:rPr>
          <w:rStyle w:val="legds"/>
          <w:kern w:val="2"/>
          <w:sz w:val="20"/>
        </w:rPr>
        <w:t>Such proceedings may be taken—</w:t>
      </w:r>
      <w:r w:rsidRPr="006E1DA8">
        <w:rPr>
          <w:kern w:val="2"/>
          <w:sz w:val="20"/>
        </w:rPr>
        <w:t xml:space="preserve"> </w:t>
      </w:r>
    </w:p>
    <w:p w14:paraId="1244C063" w14:textId="2C32B44C" w:rsidR="00622318" w:rsidRPr="006E1DA8" w:rsidRDefault="00622318" w:rsidP="009D3B31">
      <w:pPr>
        <w:pStyle w:val="BlockQuote"/>
        <w:numPr>
          <w:ilvl w:val="0"/>
          <w:numId w:val="16"/>
        </w:numPr>
        <w:spacing w:before="60" w:after="0"/>
        <w:ind w:left="2160"/>
        <w:jc w:val="left"/>
        <w:rPr>
          <w:kern w:val="2"/>
          <w:sz w:val="20"/>
        </w:rPr>
      </w:pPr>
      <w:r w:rsidRPr="006E1DA8">
        <w:rPr>
          <w:rStyle w:val="legds"/>
          <w:kern w:val="2"/>
          <w:sz w:val="20"/>
        </w:rPr>
        <w:t>in any sheriff court district in which the person is apprehended or in custody, or</w:t>
      </w:r>
      <w:r w:rsidRPr="006E1DA8">
        <w:rPr>
          <w:kern w:val="2"/>
          <w:sz w:val="20"/>
        </w:rPr>
        <w:t xml:space="preserve"> </w:t>
      </w:r>
    </w:p>
    <w:p w14:paraId="729546E4" w14:textId="303B8D98" w:rsidR="00622318" w:rsidRPr="006E1DA8" w:rsidRDefault="00622318" w:rsidP="009D3B31">
      <w:pPr>
        <w:pStyle w:val="BlockQuote"/>
        <w:numPr>
          <w:ilvl w:val="0"/>
          <w:numId w:val="16"/>
        </w:numPr>
        <w:spacing w:before="60" w:after="0"/>
        <w:ind w:left="2160"/>
        <w:jc w:val="left"/>
        <w:rPr>
          <w:kern w:val="2"/>
          <w:sz w:val="20"/>
        </w:rPr>
      </w:pPr>
      <w:proofErr w:type="gramStart"/>
      <w:r w:rsidRPr="006E1DA8">
        <w:rPr>
          <w:rStyle w:val="legds"/>
          <w:kern w:val="2"/>
          <w:sz w:val="20"/>
        </w:rPr>
        <w:t>in</w:t>
      </w:r>
      <w:proofErr w:type="gramEnd"/>
      <w:r w:rsidRPr="006E1DA8">
        <w:rPr>
          <w:rStyle w:val="legds"/>
          <w:kern w:val="2"/>
          <w:sz w:val="20"/>
        </w:rPr>
        <w:t xml:space="preserve"> such sheriff court district as the Lord Advocate may determine.</w:t>
      </w:r>
      <w:r w:rsidRPr="006E1DA8">
        <w:rPr>
          <w:kern w:val="2"/>
          <w:sz w:val="20"/>
        </w:rPr>
        <w:t xml:space="preserve"> </w:t>
      </w:r>
    </w:p>
    <w:p w14:paraId="5F389350" w14:textId="54236F63" w:rsidR="00622318" w:rsidRPr="006E1DA8" w:rsidRDefault="00622318" w:rsidP="009D3B31">
      <w:pPr>
        <w:pStyle w:val="BlockQuote"/>
        <w:numPr>
          <w:ilvl w:val="0"/>
          <w:numId w:val="15"/>
        </w:numPr>
        <w:spacing w:before="60" w:after="0"/>
        <w:ind w:left="1440"/>
        <w:jc w:val="left"/>
        <w:rPr>
          <w:kern w:val="2"/>
          <w:sz w:val="20"/>
        </w:rPr>
      </w:pPr>
      <w:r w:rsidRPr="006E1DA8">
        <w:rPr>
          <w:rStyle w:val="legds"/>
          <w:kern w:val="2"/>
          <w:sz w:val="20"/>
        </w:rPr>
        <w:t xml:space="preserve">In subsection (8) </w:t>
      </w:r>
      <w:r w:rsidR="00321984" w:rsidRPr="006E1DA8">
        <w:rPr>
          <w:rStyle w:val="legds"/>
          <w:kern w:val="2"/>
          <w:sz w:val="20"/>
        </w:rPr>
        <w:t>“</w:t>
      </w:r>
      <w:r w:rsidRPr="006E1DA8">
        <w:rPr>
          <w:rStyle w:val="legterm"/>
          <w:kern w:val="2"/>
          <w:sz w:val="20"/>
        </w:rPr>
        <w:t>sheriff court district</w:t>
      </w:r>
      <w:r w:rsidR="00321984" w:rsidRPr="006E1DA8">
        <w:rPr>
          <w:rStyle w:val="legds"/>
          <w:kern w:val="2"/>
          <w:sz w:val="20"/>
        </w:rPr>
        <w:t>”</w:t>
      </w:r>
      <w:r w:rsidRPr="006E1DA8">
        <w:rPr>
          <w:rStyle w:val="legds"/>
          <w:kern w:val="2"/>
          <w:sz w:val="20"/>
        </w:rPr>
        <w:t xml:space="preserve"> is to be read in accordance with section 307(1) of the Criminal Procedure (Scotland) Act 1995.</w:t>
      </w:r>
      <w:r w:rsidRPr="006E1DA8">
        <w:rPr>
          <w:kern w:val="2"/>
          <w:sz w:val="20"/>
        </w:rPr>
        <w:t xml:space="preserve"> </w:t>
      </w:r>
    </w:p>
    <w:p w14:paraId="18784BEA" w14:textId="0DBBE281" w:rsidR="00622318" w:rsidRPr="006E1DA8" w:rsidRDefault="00622318" w:rsidP="00622318">
      <w:pPr>
        <w:rPr>
          <w:rFonts w:cs="Times New Roman"/>
          <w:kern w:val="2"/>
          <w:sz w:val="20"/>
        </w:rPr>
      </w:pPr>
      <w:r w:rsidRPr="006E1DA8">
        <w:rPr>
          <w:rFonts w:cs="Times New Roman"/>
          <w:kern w:val="2"/>
          <w:sz w:val="20"/>
        </w:rPr>
        <w:t xml:space="preserve">In summary, the </w:t>
      </w:r>
      <w:r w:rsidRPr="006E1DA8">
        <w:rPr>
          <w:rFonts w:cs="Times New Roman"/>
          <w:i/>
          <w:kern w:val="2"/>
          <w:sz w:val="20"/>
        </w:rPr>
        <w:t>Bribery Act</w:t>
      </w:r>
      <w:r w:rsidRPr="006E1DA8">
        <w:rPr>
          <w:rFonts w:cs="Times New Roman"/>
          <w:kern w:val="2"/>
          <w:sz w:val="20"/>
        </w:rPr>
        <w:t xml:space="preserve"> will apply if </w:t>
      </w:r>
      <w:r w:rsidR="00321984" w:rsidRPr="006E1DA8">
        <w:rPr>
          <w:rFonts w:cs="Times New Roman"/>
          <w:kern w:val="2"/>
          <w:sz w:val="20"/>
        </w:rPr>
        <w:t>“</w:t>
      </w:r>
      <w:r w:rsidRPr="006E1DA8">
        <w:rPr>
          <w:rFonts w:cs="Times New Roman"/>
          <w:kern w:val="2"/>
          <w:sz w:val="20"/>
        </w:rPr>
        <w:t>any act or omission which forms part of the offence</w:t>
      </w:r>
      <w:r w:rsidR="00321984" w:rsidRPr="006E1DA8">
        <w:rPr>
          <w:rFonts w:cs="Times New Roman"/>
          <w:kern w:val="2"/>
          <w:sz w:val="20"/>
        </w:rPr>
        <w:t>”</w:t>
      </w:r>
      <w:r w:rsidRPr="006E1DA8">
        <w:rPr>
          <w:rFonts w:cs="Times New Roman"/>
          <w:kern w:val="2"/>
          <w:sz w:val="20"/>
        </w:rPr>
        <w:t xml:space="preserve"> occurs within the UK (section 12(1)). In addition, the </w:t>
      </w:r>
      <w:r w:rsidRPr="006E1DA8">
        <w:rPr>
          <w:rFonts w:cs="Times New Roman"/>
          <w:i/>
          <w:iCs/>
          <w:kern w:val="2"/>
          <w:sz w:val="20"/>
        </w:rPr>
        <w:t xml:space="preserve">Bribery Act </w:t>
      </w:r>
      <w:r w:rsidRPr="006E1DA8">
        <w:rPr>
          <w:rFonts w:cs="Times New Roman"/>
          <w:kern w:val="2"/>
          <w:sz w:val="20"/>
        </w:rPr>
        <w:t xml:space="preserve">applies to conduct occurring wholly outside the UK by persons with a </w:t>
      </w:r>
      <w:r w:rsidR="00321984" w:rsidRPr="006E1DA8">
        <w:rPr>
          <w:rFonts w:cs="Times New Roman"/>
          <w:kern w:val="2"/>
          <w:sz w:val="20"/>
        </w:rPr>
        <w:t>“</w:t>
      </w:r>
      <w:r w:rsidRPr="006E1DA8">
        <w:rPr>
          <w:rFonts w:cs="Times New Roman"/>
          <w:kern w:val="2"/>
          <w:sz w:val="20"/>
        </w:rPr>
        <w:t>close connection</w:t>
      </w:r>
      <w:r w:rsidR="00321984" w:rsidRPr="006E1DA8">
        <w:rPr>
          <w:rFonts w:cs="Times New Roman"/>
          <w:kern w:val="2"/>
          <w:sz w:val="20"/>
        </w:rPr>
        <w:t>”</w:t>
      </w:r>
      <w:r w:rsidRPr="006E1DA8">
        <w:rPr>
          <w:rFonts w:cs="Times New Roman"/>
          <w:kern w:val="2"/>
          <w:sz w:val="20"/>
        </w:rPr>
        <w:t xml:space="preserve"> to the UK. Section 12(4) lists those considered to have a close connection to the UK, including British citizens, British nationals living overseas and all individuals ordinarily resident in the UK. Companies incorporated under UK law are also deemed to have a close connection with the UK. Foreign subsidiaries of UK parent companies are not subject to UK jurisdiction, even if wholly owned by UK parent companies. </w:t>
      </w:r>
      <w:r w:rsidR="00502502" w:rsidRPr="006E1DA8">
        <w:rPr>
          <w:rFonts w:cs="Times New Roman"/>
          <w:kern w:val="2"/>
          <w:sz w:val="20"/>
        </w:rPr>
        <w:t>But</w:t>
      </w:r>
      <w:r w:rsidR="00E11EE0" w:rsidRPr="006E1DA8">
        <w:rPr>
          <w:rFonts w:cs="Times New Roman"/>
          <w:kern w:val="2"/>
          <w:sz w:val="20"/>
        </w:rPr>
        <w:t>,</w:t>
      </w:r>
      <w:r w:rsidR="00502502" w:rsidRPr="006E1DA8">
        <w:rPr>
          <w:rFonts w:cs="Times New Roman"/>
          <w:kern w:val="2"/>
          <w:sz w:val="20"/>
        </w:rPr>
        <w:t xml:space="preserve"> if a foreign subsidiary acts as an agent for a UK company, the agent’s conduct can be attributed to the parent company. </w:t>
      </w:r>
      <w:r w:rsidRPr="006E1DA8">
        <w:rPr>
          <w:rFonts w:cs="Times New Roman"/>
          <w:kern w:val="2"/>
          <w:sz w:val="20"/>
        </w:rPr>
        <w:t xml:space="preserve">Pursuant to section 14, senior officers or directors of a UK corporation </w:t>
      </w:r>
      <w:r w:rsidR="00D56AC1" w:rsidRPr="006E1DA8">
        <w:rPr>
          <w:rFonts w:cs="Times New Roman"/>
          <w:kern w:val="2"/>
          <w:sz w:val="20"/>
        </w:rPr>
        <w:t>who were</w:t>
      </w:r>
      <w:r w:rsidRPr="006E1DA8">
        <w:rPr>
          <w:rFonts w:cs="Times New Roman"/>
          <w:kern w:val="2"/>
          <w:sz w:val="20"/>
        </w:rPr>
        <w:t xml:space="preserve"> convicted of a section 1, 2 or 6 offence are also guilty of the offence if they consented or connived in the commission of the offence.</w:t>
      </w:r>
    </w:p>
    <w:p w14:paraId="11B90BCD" w14:textId="7604953D" w:rsidR="00622318" w:rsidRPr="006E1DA8" w:rsidRDefault="00622318" w:rsidP="00622318">
      <w:pPr>
        <w:rPr>
          <w:rFonts w:cs="Times New Roman"/>
          <w:kern w:val="2"/>
          <w:sz w:val="20"/>
        </w:rPr>
      </w:pPr>
      <w:r w:rsidRPr="006E1DA8">
        <w:rPr>
          <w:rFonts w:cs="Times New Roman"/>
          <w:kern w:val="2"/>
          <w:sz w:val="20"/>
        </w:rPr>
        <w:t xml:space="preserve">The offence of failing to prevent bribery under section 7 of the </w:t>
      </w:r>
      <w:r w:rsidRPr="006E1DA8">
        <w:rPr>
          <w:rFonts w:cs="Times New Roman"/>
          <w:i/>
          <w:iCs/>
          <w:kern w:val="2"/>
          <w:sz w:val="20"/>
        </w:rPr>
        <w:t>Bribery Act</w:t>
      </w:r>
      <w:r w:rsidRPr="006E1DA8">
        <w:rPr>
          <w:rFonts w:cs="Times New Roman"/>
          <w:kern w:val="2"/>
          <w:sz w:val="20"/>
        </w:rPr>
        <w:t xml:space="preserve"> has much broader extraterritorial application. As Painter explains</w:t>
      </w:r>
      <w:r w:rsidR="00AC0B32" w:rsidRPr="006E1DA8">
        <w:rPr>
          <w:rFonts w:cs="Times New Roman"/>
          <w:kern w:val="2"/>
          <w:sz w:val="20"/>
        </w:rPr>
        <w:t>:</w:t>
      </w:r>
    </w:p>
    <w:p w14:paraId="03067F09" w14:textId="7F6CE4FB" w:rsidR="00622318" w:rsidRPr="006E1DA8" w:rsidRDefault="00622318" w:rsidP="0035273A">
      <w:pPr>
        <w:pStyle w:val="BlockQuote"/>
        <w:rPr>
          <w:kern w:val="2"/>
          <w:sz w:val="20"/>
        </w:rPr>
      </w:pPr>
      <w:r w:rsidRPr="006E1DA8">
        <w:rPr>
          <w:kern w:val="2"/>
          <w:sz w:val="20"/>
        </w:rPr>
        <w:t xml:space="preserve">Section 7 stands in stark contrast to the much narrower jurisdictional provisions of Sections 1, 2, and 6 of the </w:t>
      </w:r>
      <w:r w:rsidRPr="006E1DA8">
        <w:rPr>
          <w:i/>
          <w:kern w:val="2"/>
          <w:sz w:val="20"/>
        </w:rPr>
        <w:t>Bribery Act</w:t>
      </w:r>
      <w:r w:rsidRPr="006E1DA8">
        <w:rPr>
          <w:kern w:val="2"/>
          <w:sz w:val="20"/>
        </w:rPr>
        <w:t xml:space="preserve">, and it is this provision that is so striking in its extraterritoriality and scope of potential criminal liability. Three separate provisions embedded within Section 7 lead to this expansive jurisdictional reach and scope. First, the Section applies to </w:t>
      </w:r>
      <w:r w:rsidR="00321984" w:rsidRPr="006E1DA8">
        <w:rPr>
          <w:kern w:val="2"/>
          <w:sz w:val="20"/>
        </w:rPr>
        <w:t>“</w:t>
      </w:r>
      <w:r w:rsidRPr="006E1DA8">
        <w:rPr>
          <w:kern w:val="2"/>
          <w:sz w:val="20"/>
        </w:rPr>
        <w:t>relevant commercial organizations</w:t>
      </w:r>
      <w:r w:rsidR="00321984" w:rsidRPr="006E1DA8">
        <w:rPr>
          <w:kern w:val="2"/>
          <w:sz w:val="20"/>
        </w:rPr>
        <w:t>”</w:t>
      </w:r>
      <w:r w:rsidRPr="006E1DA8">
        <w:rPr>
          <w:kern w:val="2"/>
          <w:sz w:val="20"/>
        </w:rPr>
        <w:t xml:space="preserve">. This term is defined in Section 7(5) of the </w:t>
      </w:r>
      <w:r w:rsidRPr="006E1DA8">
        <w:rPr>
          <w:i/>
          <w:kern w:val="2"/>
          <w:sz w:val="20"/>
        </w:rPr>
        <w:t>Bribery Act</w:t>
      </w:r>
      <w:r w:rsidRPr="006E1DA8">
        <w:rPr>
          <w:kern w:val="2"/>
          <w:sz w:val="20"/>
        </w:rPr>
        <w:t xml:space="preserve"> to include both entities organized under UK law as well as entities organized under the laws of any other jurisdiction if the entity </w:t>
      </w:r>
      <w:r w:rsidR="00321984" w:rsidRPr="006E1DA8">
        <w:rPr>
          <w:kern w:val="2"/>
          <w:sz w:val="20"/>
        </w:rPr>
        <w:t>“</w:t>
      </w:r>
      <w:r w:rsidRPr="006E1DA8">
        <w:rPr>
          <w:kern w:val="2"/>
          <w:sz w:val="20"/>
        </w:rPr>
        <w:t>carries on a business, or part of a business, in any part of the United Kingdom</w:t>
      </w:r>
      <w:r w:rsidR="00321984" w:rsidRPr="006E1DA8">
        <w:rPr>
          <w:kern w:val="2"/>
          <w:sz w:val="20"/>
        </w:rPr>
        <w:t>”</w:t>
      </w:r>
      <w:r w:rsidRPr="006E1DA8">
        <w:rPr>
          <w:kern w:val="2"/>
          <w:sz w:val="20"/>
        </w:rPr>
        <w:t xml:space="preserve">. Second, unlike the Section 1, 2, and 6 offenses that require either an act or omission in the UK or at least a </w:t>
      </w:r>
      <w:r w:rsidR="00321984" w:rsidRPr="006E1DA8">
        <w:rPr>
          <w:kern w:val="2"/>
          <w:sz w:val="20"/>
        </w:rPr>
        <w:t>“</w:t>
      </w:r>
      <w:r w:rsidRPr="006E1DA8">
        <w:rPr>
          <w:kern w:val="2"/>
          <w:sz w:val="20"/>
        </w:rPr>
        <w:t>close connection</w:t>
      </w:r>
      <w:r w:rsidR="00321984" w:rsidRPr="006E1DA8">
        <w:rPr>
          <w:kern w:val="2"/>
          <w:sz w:val="20"/>
        </w:rPr>
        <w:t>”</w:t>
      </w:r>
      <w:r w:rsidRPr="006E1DA8">
        <w:rPr>
          <w:kern w:val="2"/>
          <w:sz w:val="20"/>
        </w:rPr>
        <w:t xml:space="preserve">, a relevant commercial organization can be exposed under Section 7 of the Act for failing to prevent bribery </w:t>
      </w:r>
      <w:r w:rsidR="00321984" w:rsidRPr="006E1DA8">
        <w:rPr>
          <w:kern w:val="2"/>
          <w:sz w:val="20"/>
        </w:rPr>
        <w:t>“</w:t>
      </w:r>
      <w:r w:rsidRPr="006E1DA8">
        <w:rPr>
          <w:kern w:val="2"/>
          <w:sz w:val="20"/>
        </w:rPr>
        <w:t>irrespective of whether the acts or omissions which form part of the offence take place in the United Kingdom or elsewhere.</w:t>
      </w:r>
      <w:r w:rsidR="00321984" w:rsidRPr="006E1DA8">
        <w:rPr>
          <w:kern w:val="2"/>
          <w:sz w:val="20"/>
        </w:rPr>
        <w:t>”</w:t>
      </w:r>
      <w:r w:rsidRPr="006E1DA8">
        <w:rPr>
          <w:kern w:val="2"/>
          <w:sz w:val="20"/>
        </w:rPr>
        <w:t xml:space="preserve">  Third, the predicate offenses for an organization to be criminally liable under Section 7 are triggered by the acts or omissions of a person </w:t>
      </w:r>
      <w:r w:rsidR="00321984" w:rsidRPr="006E1DA8">
        <w:rPr>
          <w:kern w:val="2"/>
          <w:sz w:val="20"/>
        </w:rPr>
        <w:t>“</w:t>
      </w:r>
      <w:r w:rsidRPr="006E1DA8">
        <w:rPr>
          <w:kern w:val="2"/>
          <w:sz w:val="20"/>
        </w:rPr>
        <w:t>associated with</w:t>
      </w:r>
      <w:r w:rsidR="00321984" w:rsidRPr="006E1DA8">
        <w:rPr>
          <w:kern w:val="2"/>
          <w:sz w:val="20"/>
        </w:rPr>
        <w:t>”</w:t>
      </w:r>
      <w:r w:rsidRPr="006E1DA8">
        <w:rPr>
          <w:kern w:val="2"/>
          <w:sz w:val="20"/>
        </w:rPr>
        <w:t xml:space="preserve"> the relevant commercial organization. Under Section 8 of the Act, an </w:t>
      </w:r>
      <w:r w:rsidR="00321984" w:rsidRPr="006E1DA8">
        <w:rPr>
          <w:kern w:val="2"/>
          <w:sz w:val="20"/>
        </w:rPr>
        <w:t>“</w:t>
      </w:r>
      <w:r w:rsidRPr="006E1DA8">
        <w:rPr>
          <w:kern w:val="2"/>
          <w:sz w:val="20"/>
        </w:rPr>
        <w:t>associated person</w:t>
      </w:r>
      <w:r w:rsidR="00321984" w:rsidRPr="006E1DA8">
        <w:rPr>
          <w:kern w:val="2"/>
          <w:sz w:val="20"/>
        </w:rPr>
        <w:t>”</w:t>
      </w:r>
      <w:r w:rsidRPr="006E1DA8">
        <w:rPr>
          <w:kern w:val="2"/>
          <w:sz w:val="20"/>
        </w:rPr>
        <w:t xml:space="preserve"> is a person who performs services for or on behalf of the organization. The term includes employees, agents and subsidiaries, and the capacity in which the associated person performs services does not matter. These three concepts work to create an extraordinarily broad statute.</w:t>
      </w:r>
      <w:r w:rsidR="00F73B25" w:rsidRPr="006E1DA8">
        <w:rPr>
          <w:rStyle w:val="FootnoteReference"/>
          <w:rFonts w:cs="Times New Roman"/>
          <w:kern w:val="2"/>
          <w:sz w:val="20"/>
          <w:szCs w:val="21"/>
        </w:rPr>
        <w:footnoteReference w:id="33"/>
      </w:r>
      <w:r w:rsidRPr="006E1DA8">
        <w:rPr>
          <w:kern w:val="2"/>
          <w:sz w:val="20"/>
        </w:rPr>
        <w:t xml:space="preserve"> </w:t>
      </w:r>
    </w:p>
    <w:p w14:paraId="2B441B4B" w14:textId="08B2DC58" w:rsidR="00622318" w:rsidRPr="006E1DA8" w:rsidRDefault="00622318" w:rsidP="00622318">
      <w:pPr>
        <w:rPr>
          <w:rFonts w:cs="Times New Roman"/>
          <w:kern w:val="2"/>
          <w:sz w:val="20"/>
        </w:rPr>
      </w:pPr>
      <w:r w:rsidRPr="006E1DA8">
        <w:rPr>
          <w:rFonts w:cs="Times New Roman"/>
          <w:kern w:val="2"/>
          <w:sz w:val="20"/>
        </w:rPr>
        <w:t xml:space="preserve">As </w:t>
      </w:r>
      <w:proofErr w:type="spellStart"/>
      <w:r w:rsidRPr="006E1DA8">
        <w:rPr>
          <w:rFonts w:cs="Times New Roman"/>
          <w:kern w:val="2"/>
          <w:sz w:val="20"/>
        </w:rPr>
        <w:t>Lordi</w:t>
      </w:r>
      <w:proofErr w:type="spellEnd"/>
      <w:r w:rsidRPr="006E1DA8">
        <w:rPr>
          <w:rFonts w:cs="Times New Roman"/>
          <w:kern w:val="2"/>
          <w:sz w:val="20"/>
        </w:rPr>
        <w:t xml:space="preserve"> notes, it is likely that </w:t>
      </w:r>
      <w:r w:rsidR="00E11EE0" w:rsidRPr="006E1DA8">
        <w:rPr>
          <w:rFonts w:cs="Times New Roman"/>
          <w:kern w:val="2"/>
          <w:sz w:val="20"/>
        </w:rPr>
        <w:t xml:space="preserve">the words </w:t>
      </w:r>
      <w:r w:rsidR="00321984" w:rsidRPr="006E1DA8">
        <w:rPr>
          <w:rFonts w:cs="Times New Roman"/>
          <w:kern w:val="2"/>
          <w:sz w:val="20"/>
        </w:rPr>
        <w:t>“</w:t>
      </w:r>
      <w:r w:rsidRPr="006E1DA8">
        <w:rPr>
          <w:rFonts w:cs="Times New Roman"/>
          <w:kern w:val="2"/>
          <w:sz w:val="20"/>
        </w:rPr>
        <w:t>carry on a business</w:t>
      </w:r>
      <w:r w:rsidR="00321984" w:rsidRPr="006E1DA8">
        <w:rPr>
          <w:rFonts w:cs="Times New Roman"/>
          <w:kern w:val="2"/>
          <w:sz w:val="20"/>
        </w:rPr>
        <w:t>”</w:t>
      </w:r>
      <w:r w:rsidRPr="006E1DA8">
        <w:rPr>
          <w:rFonts w:cs="Times New Roman"/>
          <w:kern w:val="2"/>
          <w:sz w:val="20"/>
        </w:rPr>
        <w:t xml:space="preserve"> </w:t>
      </w:r>
      <w:r w:rsidR="00E11EE0" w:rsidRPr="006E1DA8">
        <w:rPr>
          <w:rFonts w:cs="Times New Roman"/>
          <w:kern w:val="2"/>
          <w:sz w:val="20"/>
        </w:rPr>
        <w:t>are</w:t>
      </w:r>
      <w:r w:rsidRPr="006E1DA8">
        <w:rPr>
          <w:rFonts w:cs="Times New Roman"/>
          <w:kern w:val="2"/>
          <w:sz w:val="20"/>
        </w:rPr>
        <w:t xml:space="preserve"> intended to capture all commercial organizations doing business in the UK, not just those with a physical office in the UK.</w:t>
      </w:r>
      <w:r w:rsidRPr="006E1DA8">
        <w:rPr>
          <w:rStyle w:val="FootnoteReference"/>
          <w:rFonts w:cs="Times New Roman"/>
          <w:kern w:val="2"/>
          <w:sz w:val="20"/>
        </w:rPr>
        <w:footnoteReference w:id="34"/>
      </w:r>
      <w:r w:rsidRPr="006E1DA8">
        <w:rPr>
          <w:rFonts w:cs="Times New Roman"/>
          <w:kern w:val="2"/>
          <w:sz w:val="20"/>
        </w:rPr>
        <w:t xml:space="preserve"> In effect, section 7 appears to extend its reach to </w:t>
      </w:r>
      <w:r w:rsidR="00321984" w:rsidRPr="006E1DA8">
        <w:rPr>
          <w:rFonts w:cs="Times New Roman"/>
          <w:kern w:val="2"/>
          <w:sz w:val="20"/>
        </w:rPr>
        <w:t>“</w:t>
      </w:r>
      <w:r w:rsidRPr="006E1DA8">
        <w:rPr>
          <w:rFonts w:cs="Times New Roman"/>
          <w:kern w:val="2"/>
          <w:sz w:val="20"/>
        </w:rPr>
        <w:t>virtually all major multinational corporations.</w:t>
      </w:r>
      <w:r w:rsidR="00321984" w:rsidRPr="006E1DA8">
        <w:rPr>
          <w:rFonts w:cs="Times New Roman"/>
          <w:kern w:val="2"/>
          <w:sz w:val="20"/>
        </w:rPr>
        <w:t>”</w:t>
      </w:r>
      <w:r w:rsidRPr="006E1DA8">
        <w:rPr>
          <w:rStyle w:val="FootnoteReference"/>
          <w:rFonts w:cs="Times New Roman"/>
          <w:kern w:val="2"/>
          <w:sz w:val="20"/>
        </w:rPr>
        <w:footnoteReference w:id="35"/>
      </w:r>
      <w:r w:rsidRPr="006E1DA8">
        <w:rPr>
          <w:rFonts w:cs="Times New Roman"/>
          <w:kern w:val="2"/>
          <w:sz w:val="20"/>
        </w:rPr>
        <w:t xml:space="preserve"> </w:t>
      </w:r>
    </w:p>
    <w:p w14:paraId="670837B0" w14:textId="322CBE67" w:rsidR="00622318" w:rsidRPr="006E1DA8" w:rsidRDefault="00622318" w:rsidP="00622318">
      <w:pPr>
        <w:rPr>
          <w:rFonts w:cs="Times New Roman"/>
          <w:i/>
          <w:iCs/>
          <w:kern w:val="2"/>
          <w:sz w:val="20"/>
        </w:rPr>
      </w:pPr>
      <w:r w:rsidRPr="006E1DA8">
        <w:rPr>
          <w:rFonts w:cs="Times New Roman"/>
          <w:kern w:val="2"/>
          <w:sz w:val="20"/>
        </w:rPr>
        <w:t xml:space="preserve">The </w:t>
      </w:r>
      <w:r w:rsidRPr="006E1DA8">
        <w:rPr>
          <w:rFonts w:cs="Times New Roman"/>
          <w:i/>
          <w:kern w:val="2"/>
          <w:sz w:val="20"/>
        </w:rPr>
        <w:t>Guidance</w:t>
      </w:r>
      <w:r w:rsidRPr="006E1DA8">
        <w:rPr>
          <w:rFonts w:cs="Times New Roman"/>
          <w:kern w:val="2"/>
          <w:sz w:val="20"/>
        </w:rPr>
        <w:t xml:space="preserve"> document to the UK </w:t>
      </w:r>
      <w:r w:rsidRPr="006E1DA8">
        <w:rPr>
          <w:rFonts w:cs="Times New Roman"/>
          <w:i/>
          <w:iCs/>
          <w:kern w:val="2"/>
          <w:sz w:val="20"/>
        </w:rPr>
        <w:t xml:space="preserve">Bribery Act, </w:t>
      </w:r>
      <w:r w:rsidRPr="006E1DA8">
        <w:rPr>
          <w:rFonts w:cs="Times New Roman"/>
          <w:kern w:val="2"/>
          <w:sz w:val="20"/>
        </w:rPr>
        <w:t xml:space="preserve">produced by the Ministry of Justice, attempts to assuage concerns about the extraterritorial scope of section 7 by anticipating that a </w:t>
      </w:r>
      <w:r w:rsidR="00321984" w:rsidRPr="006E1DA8">
        <w:rPr>
          <w:rFonts w:cs="Times New Roman"/>
          <w:kern w:val="2"/>
          <w:sz w:val="20"/>
        </w:rPr>
        <w:t>“</w:t>
      </w:r>
      <w:r w:rsidRPr="006E1DA8">
        <w:rPr>
          <w:rFonts w:cs="Times New Roman"/>
          <w:kern w:val="2"/>
          <w:sz w:val="20"/>
        </w:rPr>
        <w:t>common sense approach</w:t>
      </w:r>
      <w:r w:rsidR="00321984" w:rsidRPr="006E1DA8">
        <w:rPr>
          <w:rFonts w:cs="Times New Roman"/>
          <w:kern w:val="2"/>
          <w:sz w:val="20"/>
        </w:rPr>
        <w:t>”</w:t>
      </w:r>
      <w:r w:rsidRPr="006E1DA8">
        <w:rPr>
          <w:rFonts w:cs="Times New Roman"/>
          <w:kern w:val="2"/>
          <w:sz w:val="20"/>
        </w:rPr>
        <w:t xml:space="preserve"> will be employed when determining whether an organization carries on a business in the UK.</w:t>
      </w:r>
      <w:r w:rsidRPr="006E1DA8">
        <w:rPr>
          <w:rStyle w:val="FootnoteReference"/>
          <w:rFonts w:cs="Times New Roman"/>
          <w:kern w:val="2"/>
          <w:sz w:val="20"/>
        </w:rPr>
        <w:footnoteReference w:id="36"/>
      </w:r>
      <w:r w:rsidRPr="006E1DA8">
        <w:rPr>
          <w:rFonts w:cs="Times New Roman"/>
          <w:kern w:val="2"/>
          <w:sz w:val="20"/>
        </w:rPr>
        <w:t xml:space="preserve"> According to the </w:t>
      </w:r>
      <w:r w:rsidRPr="006E1DA8">
        <w:rPr>
          <w:rFonts w:cs="Times New Roman"/>
          <w:i/>
          <w:iCs/>
          <w:kern w:val="2"/>
          <w:sz w:val="20"/>
        </w:rPr>
        <w:t>Guidance,</w:t>
      </w:r>
      <w:r w:rsidRPr="006E1DA8">
        <w:rPr>
          <w:rFonts w:cs="Times New Roman"/>
          <w:kern w:val="2"/>
          <w:sz w:val="20"/>
        </w:rPr>
        <w:t xml:space="preserve"> the mere fact that a company is listed for trading on the London Stock Exchange would not be sufficient to bring it under the jurisdiction of section 7 of the </w:t>
      </w:r>
      <w:r w:rsidRPr="006E1DA8">
        <w:rPr>
          <w:rFonts w:cs="Times New Roman"/>
          <w:i/>
          <w:iCs/>
          <w:kern w:val="2"/>
          <w:sz w:val="20"/>
        </w:rPr>
        <w:t>Bribery Act</w:t>
      </w:r>
      <w:r w:rsidRPr="006E1DA8">
        <w:rPr>
          <w:rFonts w:cs="Times New Roman"/>
          <w:kern w:val="2"/>
          <w:sz w:val="20"/>
        </w:rPr>
        <w:t xml:space="preserve"> without further evidence of a </w:t>
      </w:r>
      <w:r w:rsidR="00321984" w:rsidRPr="006E1DA8">
        <w:rPr>
          <w:rFonts w:cs="Times New Roman"/>
          <w:kern w:val="2"/>
          <w:sz w:val="20"/>
        </w:rPr>
        <w:t>“</w:t>
      </w:r>
      <w:r w:rsidRPr="006E1DA8">
        <w:rPr>
          <w:rFonts w:cs="Times New Roman"/>
          <w:kern w:val="2"/>
          <w:sz w:val="20"/>
        </w:rPr>
        <w:t>demonstrable business presence</w:t>
      </w:r>
      <w:r w:rsidR="00321984" w:rsidRPr="006E1DA8">
        <w:rPr>
          <w:rFonts w:cs="Times New Roman"/>
          <w:kern w:val="2"/>
          <w:sz w:val="20"/>
        </w:rPr>
        <w:t>”</w:t>
      </w:r>
      <w:r w:rsidRPr="006E1DA8">
        <w:rPr>
          <w:rFonts w:cs="Times New Roman"/>
          <w:kern w:val="2"/>
          <w:sz w:val="20"/>
        </w:rPr>
        <w:t xml:space="preserve"> in the UK. The </w:t>
      </w:r>
      <w:r w:rsidRPr="006E1DA8">
        <w:rPr>
          <w:rFonts w:cs="Times New Roman"/>
          <w:i/>
          <w:iCs/>
          <w:kern w:val="2"/>
          <w:sz w:val="20"/>
        </w:rPr>
        <w:t xml:space="preserve">Guidance </w:t>
      </w:r>
      <w:r w:rsidRPr="006E1DA8">
        <w:rPr>
          <w:rFonts w:cs="Times New Roman"/>
          <w:kern w:val="2"/>
          <w:sz w:val="20"/>
        </w:rPr>
        <w:t xml:space="preserve">also states that </w:t>
      </w:r>
      <w:r w:rsidR="00321984" w:rsidRPr="006E1DA8">
        <w:rPr>
          <w:rFonts w:cs="Times New Roman"/>
          <w:kern w:val="2"/>
          <w:sz w:val="20"/>
        </w:rPr>
        <w:t>“</w:t>
      </w:r>
      <w:r w:rsidRPr="006E1DA8">
        <w:rPr>
          <w:rFonts w:cs="Times New Roman"/>
          <w:kern w:val="2"/>
          <w:sz w:val="20"/>
        </w:rPr>
        <w:t>having a UK subsidiary will not, in itself, mean that a parent company is carrying on a business in the UK, since a subsidiary may act independently of its parent or other group companies</w:t>
      </w:r>
      <w:r w:rsidR="00E11EE0"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37"/>
      </w:r>
    </w:p>
    <w:p w14:paraId="4E835333" w14:textId="1741EA3F" w:rsidR="00622318" w:rsidRPr="006E1DA8" w:rsidRDefault="00622318" w:rsidP="00622318">
      <w:pPr>
        <w:rPr>
          <w:rFonts w:cs="Times New Roman"/>
          <w:iCs/>
          <w:kern w:val="2"/>
          <w:sz w:val="20"/>
        </w:rPr>
      </w:pPr>
      <w:proofErr w:type="spellStart"/>
      <w:r w:rsidRPr="006E1DA8">
        <w:rPr>
          <w:rFonts w:cs="Times New Roman"/>
          <w:kern w:val="2"/>
          <w:sz w:val="20"/>
        </w:rPr>
        <w:t>Lordi</w:t>
      </w:r>
      <w:proofErr w:type="spellEnd"/>
      <w:r w:rsidRPr="006E1DA8">
        <w:rPr>
          <w:rFonts w:cs="Times New Roman"/>
          <w:kern w:val="2"/>
          <w:sz w:val="20"/>
        </w:rPr>
        <w:t xml:space="preserve"> is skeptical, however, as there is no existing UK case law that gives meaning to the </w:t>
      </w:r>
      <w:r w:rsidR="00321984" w:rsidRPr="006E1DA8">
        <w:rPr>
          <w:rFonts w:cs="Times New Roman"/>
          <w:kern w:val="2"/>
          <w:sz w:val="20"/>
        </w:rPr>
        <w:t>“</w:t>
      </w:r>
      <w:r w:rsidRPr="006E1DA8">
        <w:rPr>
          <w:rFonts w:cs="Times New Roman"/>
          <w:kern w:val="2"/>
          <w:sz w:val="20"/>
        </w:rPr>
        <w:t>common sense approach</w:t>
      </w:r>
      <w:r w:rsidR="00BC63D2"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Other commentators question whether the </w:t>
      </w:r>
      <w:r w:rsidRPr="006E1DA8">
        <w:rPr>
          <w:rFonts w:cs="Times New Roman"/>
          <w:i/>
          <w:iCs/>
          <w:kern w:val="2"/>
          <w:sz w:val="20"/>
        </w:rPr>
        <w:t xml:space="preserve">Guidance </w:t>
      </w:r>
      <w:r w:rsidRPr="006E1DA8">
        <w:rPr>
          <w:rFonts w:cs="Times New Roman"/>
          <w:kern w:val="2"/>
          <w:sz w:val="20"/>
        </w:rPr>
        <w:t xml:space="preserve">document has capitulated to business interests that objected to the reach of the </w:t>
      </w:r>
      <w:r w:rsidRPr="006E1DA8">
        <w:rPr>
          <w:rFonts w:cs="Times New Roman"/>
          <w:i/>
          <w:iCs/>
          <w:kern w:val="2"/>
          <w:sz w:val="20"/>
        </w:rPr>
        <w:t>Bribery Act</w:t>
      </w:r>
      <w:r w:rsidRPr="006E1DA8">
        <w:rPr>
          <w:rFonts w:cs="Times New Roman"/>
          <w:kern w:val="2"/>
          <w:sz w:val="20"/>
        </w:rPr>
        <w:t xml:space="preserve">. According to </w:t>
      </w:r>
      <w:proofErr w:type="spellStart"/>
      <w:r w:rsidRPr="006E1DA8">
        <w:rPr>
          <w:rFonts w:cs="Times New Roman"/>
          <w:kern w:val="2"/>
          <w:sz w:val="20"/>
        </w:rPr>
        <w:t>Bonneau</w:t>
      </w:r>
      <w:proofErr w:type="spellEnd"/>
      <w:r w:rsidRPr="006E1DA8">
        <w:rPr>
          <w:rFonts w:cs="Times New Roman"/>
          <w:kern w:val="2"/>
          <w:sz w:val="20"/>
        </w:rPr>
        <w:t xml:space="preserve">, the Ministry of Justice’s </w:t>
      </w:r>
      <w:r w:rsidRPr="006E1DA8">
        <w:rPr>
          <w:rFonts w:cs="Times New Roman"/>
          <w:i/>
          <w:iCs/>
          <w:kern w:val="2"/>
          <w:sz w:val="20"/>
        </w:rPr>
        <w:t>Guidance</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 xml:space="preserve">has created loopholes that simply do not exist on the face of the </w:t>
      </w:r>
      <w:r w:rsidRPr="006E1DA8">
        <w:rPr>
          <w:rFonts w:cs="Times New Roman"/>
          <w:i/>
          <w:iCs/>
          <w:kern w:val="2"/>
          <w:sz w:val="20"/>
        </w:rPr>
        <w:t>Bribery Act</w:t>
      </w:r>
      <w:r w:rsidRPr="006E1DA8">
        <w:rPr>
          <w:rFonts w:cs="Times New Roman"/>
          <w:kern w:val="2"/>
          <w:sz w:val="20"/>
        </w:rPr>
        <w:t xml:space="preserve"> text, risking the resurrection of some of the most infamous problems of the old common law bribery regime</w:t>
      </w:r>
      <w:r w:rsidR="005950CC"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38"/>
      </w:r>
      <w:r w:rsidRPr="006E1DA8">
        <w:rPr>
          <w:rFonts w:cs="Times New Roman"/>
          <w:kern w:val="2"/>
          <w:sz w:val="20"/>
        </w:rPr>
        <w:t xml:space="preserve"> It remains to be seen how the Serious Fraud Office, the agency charged with investigating offences under the </w:t>
      </w:r>
      <w:r w:rsidRPr="006E1DA8">
        <w:rPr>
          <w:rFonts w:cs="Times New Roman"/>
          <w:i/>
          <w:iCs/>
          <w:kern w:val="2"/>
          <w:sz w:val="20"/>
        </w:rPr>
        <w:t>Bribery Act</w:t>
      </w:r>
      <w:r w:rsidRPr="006E1DA8">
        <w:rPr>
          <w:rFonts w:cs="Times New Roman"/>
          <w:kern w:val="2"/>
          <w:sz w:val="20"/>
        </w:rPr>
        <w:t xml:space="preserve">, and the courts will interpret the jurisdiction of the </w:t>
      </w:r>
      <w:r w:rsidRPr="006E1DA8">
        <w:rPr>
          <w:rFonts w:cs="Times New Roman"/>
          <w:i/>
          <w:iCs/>
          <w:kern w:val="2"/>
          <w:sz w:val="20"/>
        </w:rPr>
        <w:t>Bribery Act.</w:t>
      </w:r>
    </w:p>
    <w:p w14:paraId="038F8E38" w14:textId="2178A4FF" w:rsidR="00622318" w:rsidRPr="006E1DA8" w:rsidRDefault="00622318" w:rsidP="00622318">
      <w:pPr>
        <w:rPr>
          <w:kern w:val="2"/>
          <w:sz w:val="20"/>
        </w:rPr>
      </w:pPr>
      <w:r w:rsidRPr="006E1DA8">
        <w:rPr>
          <w:rFonts w:cs="Times New Roman"/>
          <w:iCs/>
          <w:kern w:val="2"/>
          <w:sz w:val="20"/>
        </w:rPr>
        <w:t xml:space="preserve">In any case, a </w:t>
      </w:r>
      <w:r w:rsidR="00321984" w:rsidRPr="006E1DA8">
        <w:rPr>
          <w:rFonts w:cs="Times New Roman"/>
          <w:iCs/>
          <w:kern w:val="2"/>
          <w:sz w:val="20"/>
        </w:rPr>
        <w:t>“</w:t>
      </w:r>
      <w:r w:rsidRPr="006E1DA8">
        <w:rPr>
          <w:rFonts w:cs="Times New Roman"/>
          <w:iCs/>
          <w:kern w:val="2"/>
          <w:sz w:val="20"/>
        </w:rPr>
        <w:t>relevant commercial organization</w:t>
      </w:r>
      <w:r w:rsidR="00321984" w:rsidRPr="006E1DA8">
        <w:rPr>
          <w:rFonts w:cs="Times New Roman"/>
          <w:iCs/>
          <w:kern w:val="2"/>
          <w:sz w:val="20"/>
        </w:rPr>
        <w:t>”</w:t>
      </w:r>
      <w:r w:rsidRPr="006E1DA8">
        <w:rPr>
          <w:rFonts w:cs="Times New Roman"/>
          <w:iCs/>
          <w:kern w:val="2"/>
          <w:sz w:val="20"/>
        </w:rPr>
        <w:t xml:space="preserve"> is liable to be convicted of an offence if persons associated with that organization commit a bribery offence, even if the bribery is committed abroad and the persons and organization have no close connection with the UK. For example, suppose an agent of Sri Lankan nationality was working for the Sri Lankan-based branch of a company incorporated in India. The Sri Lankan agent offers a bribe to an official in Sri Lanka. Importantly, the Indian company has an active branch in the UK. Under the </w:t>
      </w:r>
      <w:r w:rsidRPr="006E1DA8">
        <w:rPr>
          <w:rFonts w:cs="Times New Roman"/>
          <w:i/>
          <w:iCs/>
          <w:kern w:val="2"/>
          <w:sz w:val="20"/>
        </w:rPr>
        <w:t xml:space="preserve">Bribery Act, </w:t>
      </w:r>
      <w:r w:rsidRPr="006E1DA8">
        <w:rPr>
          <w:rFonts w:cs="Times New Roman"/>
          <w:iCs/>
          <w:kern w:val="2"/>
          <w:sz w:val="20"/>
        </w:rPr>
        <w:t>the Indian company could be prosecuted for failure to prevent bribery. Note, however, that to be personally prosecuted, the person committing the offence requires a close connection to the UK.</w:t>
      </w:r>
      <w:bookmarkStart w:id="10" w:name="_Toc287029846"/>
    </w:p>
    <w:p w14:paraId="354FB4B7" w14:textId="3F6FFE38" w:rsidR="00622318" w:rsidRPr="006E1DA8" w:rsidRDefault="00622318" w:rsidP="0035273A">
      <w:pPr>
        <w:pStyle w:val="Heading2"/>
        <w:rPr>
          <w:kern w:val="2"/>
          <w:sz w:val="24"/>
        </w:rPr>
      </w:pPr>
      <w:r w:rsidRPr="006E1DA8">
        <w:rPr>
          <w:kern w:val="2"/>
          <w:sz w:val="24"/>
        </w:rPr>
        <w:t>Canadian Law</w:t>
      </w:r>
      <w:bookmarkEnd w:id="10"/>
    </w:p>
    <w:p w14:paraId="6FB41EB2" w14:textId="6775FA04" w:rsidR="00622318" w:rsidRPr="006E1DA8" w:rsidRDefault="00622318" w:rsidP="00622318">
      <w:pPr>
        <w:rPr>
          <w:rFonts w:cs="Times New Roman"/>
          <w:kern w:val="2"/>
          <w:sz w:val="20"/>
        </w:rPr>
      </w:pPr>
      <w:r w:rsidRPr="006E1DA8">
        <w:rPr>
          <w:rFonts w:cs="Times New Roman"/>
          <w:kern w:val="2"/>
          <w:sz w:val="20"/>
        </w:rPr>
        <w:t xml:space="preserve">Until 2013, the </w:t>
      </w:r>
      <w:r w:rsidRPr="006E1DA8">
        <w:rPr>
          <w:rFonts w:cs="Times New Roman"/>
          <w:i/>
          <w:iCs/>
          <w:kern w:val="2"/>
          <w:sz w:val="20"/>
        </w:rPr>
        <w:t xml:space="preserve">CFPOA </w:t>
      </w:r>
      <w:r w:rsidRPr="006E1DA8">
        <w:rPr>
          <w:rFonts w:cs="Times New Roman"/>
          <w:kern w:val="2"/>
          <w:sz w:val="20"/>
        </w:rPr>
        <w:t>determined jurisdiction based exclusively on the principle of territoriality. Territoriality is the jurisdictional principle which governs most criminal offences under Canadian law (</w:t>
      </w:r>
      <w:r w:rsidRPr="006E1DA8">
        <w:rPr>
          <w:rFonts w:cs="Times New Roman"/>
          <w:i/>
          <w:kern w:val="2"/>
          <w:sz w:val="20"/>
        </w:rPr>
        <w:t>Criminal Code</w:t>
      </w:r>
      <w:r w:rsidRPr="006E1DA8">
        <w:rPr>
          <w:rFonts w:cs="Times New Roman"/>
          <w:kern w:val="2"/>
          <w:sz w:val="20"/>
        </w:rPr>
        <w:t>, s</w:t>
      </w:r>
      <w:r w:rsidR="005950CC" w:rsidRPr="006E1DA8">
        <w:rPr>
          <w:rFonts w:cs="Times New Roman"/>
          <w:kern w:val="2"/>
          <w:sz w:val="20"/>
        </w:rPr>
        <w:t>ection</w:t>
      </w:r>
      <w:r w:rsidR="00260DA2" w:rsidRPr="006E1DA8">
        <w:rPr>
          <w:rFonts w:cs="Times New Roman"/>
          <w:kern w:val="2"/>
          <w:sz w:val="20"/>
        </w:rPr>
        <w:t xml:space="preserve"> </w:t>
      </w:r>
      <w:r w:rsidRPr="006E1DA8">
        <w:rPr>
          <w:rFonts w:cs="Times New Roman"/>
          <w:kern w:val="2"/>
          <w:sz w:val="20"/>
        </w:rPr>
        <w:t xml:space="preserve">6), including the secret commissions offence in section 426. However, Canada has asserted jurisdiction based on nationality for </w:t>
      </w:r>
      <w:r w:rsidR="00502502" w:rsidRPr="006E1DA8">
        <w:rPr>
          <w:rFonts w:cs="Times New Roman"/>
          <w:kern w:val="2"/>
          <w:sz w:val="20"/>
        </w:rPr>
        <w:t>a few crimes, such as</w:t>
      </w:r>
      <w:r w:rsidRPr="006E1DA8">
        <w:rPr>
          <w:rFonts w:cs="Times New Roman"/>
          <w:kern w:val="2"/>
          <w:sz w:val="20"/>
        </w:rPr>
        <w:t xml:space="preserve"> offences under the </w:t>
      </w:r>
      <w:r w:rsidRPr="006E1DA8">
        <w:rPr>
          <w:rFonts w:cs="Times New Roman"/>
          <w:i/>
          <w:kern w:val="2"/>
          <w:sz w:val="20"/>
        </w:rPr>
        <w:t xml:space="preserve">CFPOA </w:t>
      </w:r>
      <w:r w:rsidRPr="006E1DA8">
        <w:rPr>
          <w:rFonts w:cs="Times New Roman"/>
          <w:kern w:val="2"/>
          <w:sz w:val="20"/>
        </w:rPr>
        <w:t>(since 2013), offences involving child sex tourism and certain terrorism offen</w:t>
      </w:r>
      <w:r w:rsidR="00CC5FF5" w:rsidRPr="006E1DA8">
        <w:rPr>
          <w:rFonts w:cs="Times New Roman"/>
          <w:kern w:val="2"/>
          <w:sz w:val="20"/>
        </w:rPr>
        <w:t>ces committed outside of Canada.</w:t>
      </w:r>
      <w:r w:rsidRPr="006E1DA8">
        <w:rPr>
          <w:rFonts w:cs="Times New Roman"/>
          <w:kern w:val="2"/>
          <w:sz w:val="20"/>
        </w:rPr>
        <w:t xml:space="preserve"> </w:t>
      </w:r>
      <w:r w:rsidR="00CC5FF5" w:rsidRPr="006E1DA8">
        <w:rPr>
          <w:rFonts w:cs="Times New Roman"/>
          <w:kern w:val="2"/>
          <w:sz w:val="20"/>
        </w:rPr>
        <w:t>S</w:t>
      </w:r>
      <w:r w:rsidRPr="006E1DA8">
        <w:rPr>
          <w:rFonts w:cs="Times New Roman"/>
          <w:kern w:val="2"/>
          <w:sz w:val="20"/>
        </w:rPr>
        <w:t xml:space="preserve">ee </w:t>
      </w:r>
      <w:r w:rsidRPr="006E1DA8">
        <w:rPr>
          <w:rFonts w:cs="Times New Roman"/>
          <w:i/>
          <w:kern w:val="2"/>
          <w:sz w:val="20"/>
        </w:rPr>
        <w:t>Criminal Code</w:t>
      </w:r>
      <w:r w:rsidR="005950CC" w:rsidRPr="006E1DA8">
        <w:rPr>
          <w:rFonts w:cs="Times New Roman"/>
          <w:kern w:val="2"/>
          <w:sz w:val="20"/>
        </w:rPr>
        <w:t>,</w:t>
      </w:r>
      <w:r w:rsidRPr="006E1DA8">
        <w:rPr>
          <w:rFonts w:cs="Times New Roman"/>
          <w:kern w:val="2"/>
          <w:sz w:val="20"/>
        </w:rPr>
        <w:t xml:space="preserve"> s</w:t>
      </w:r>
      <w:r w:rsidR="005950CC" w:rsidRPr="006E1DA8">
        <w:rPr>
          <w:rFonts w:cs="Times New Roman"/>
          <w:kern w:val="2"/>
          <w:sz w:val="20"/>
        </w:rPr>
        <w:t>ections</w:t>
      </w:r>
      <w:r w:rsidRPr="006E1DA8">
        <w:rPr>
          <w:rFonts w:cs="Times New Roman"/>
          <w:kern w:val="2"/>
          <w:sz w:val="20"/>
        </w:rPr>
        <w:t xml:space="preserve"> 7 (3.73) (3.74) (3.75) (4.1)</w:t>
      </w:r>
      <w:r w:rsidR="009A5009" w:rsidRPr="006E1DA8">
        <w:rPr>
          <w:rFonts w:cs="Times New Roman"/>
          <w:kern w:val="2"/>
          <w:sz w:val="20"/>
        </w:rPr>
        <w:t>,</w:t>
      </w:r>
      <w:r w:rsidRPr="006E1DA8">
        <w:rPr>
          <w:rFonts w:cs="Times New Roman"/>
          <w:kern w:val="2"/>
          <w:sz w:val="20"/>
        </w:rPr>
        <w:t xml:space="preserve"> and (4.11).</w:t>
      </w:r>
      <w:r w:rsidR="00B709FD" w:rsidRPr="006E1DA8">
        <w:rPr>
          <w:rStyle w:val="FootnoteReference"/>
          <w:rFonts w:cs="Times New Roman"/>
          <w:kern w:val="2"/>
          <w:sz w:val="20"/>
        </w:rPr>
        <w:footnoteReference w:id="39"/>
      </w:r>
    </w:p>
    <w:p w14:paraId="79D4F7D8" w14:textId="639D2BAB" w:rsidR="0035273A" w:rsidRPr="006E1DA8" w:rsidRDefault="00502502" w:rsidP="00622318">
      <w:pPr>
        <w:rPr>
          <w:kern w:val="2"/>
          <w:sz w:val="20"/>
        </w:rPr>
      </w:pPr>
      <w:r w:rsidRPr="006E1DA8">
        <w:rPr>
          <w:kern w:val="2"/>
          <w:sz w:val="20"/>
        </w:rPr>
        <w:t xml:space="preserve">Since the </w:t>
      </w:r>
      <w:r w:rsidRPr="006E1DA8">
        <w:rPr>
          <w:i/>
          <w:kern w:val="2"/>
          <w:sz w:val="20"/>
        </w:rPr>
        <w:t xml:space="preserve">Criminal Code </w:t>
      </w:r>
      <w:r w:rsidRPr="006E1DA8">
        <w:rPr>
          <w:kern w:val="2"/>
          <w:sz w:val="20"/>
        </w:rPr>
        <w:t>does not define</w:t>
      </w:r>
      <w:r w:rsidR="00E85C2E" w:rsidRPr="006E1DA8">
        <w:rPr>
          <w:kern w:val="2"/>
          <w:sz w:val="20"/>
        </w:rPr>
        <w:t xml:space="preserve"> </w:t>
      </w:r>
      <w:r w:rsidR="00321984" w:rsidRPr="006E1DA8">
        <w:rPr>
          <w:kern w:val="2"/>
          <w:sz w:val="20"/>
        </w:rPr>
        <w:t>“</w:t>
      </w:r>
      <w:r w:rsidR="00E85C2E" w:rsidRPr="006E1DA8">
        <w:rPr>
          <w:kern w:val="2"/>
          <w:sz w:val="20"/>
        </w:rPr>
        <w:t>territorial jurisdiction</w:t>
      </w:r>
      <w:r w:rsidR="005B2073" w:rsidRPr="006E1DA8">
        <w:rPr>
          <w:kern w:val="2"/>
          <w:sz w:val="20"/>
        </w:rPr>
        <w:t>,</w:t>
      </w:r>
      <w:r w:rsidR="00321984" w:rsidRPr="006E1DA8">
        <w:rPr>
          <w:kern w:val="2"/>
          <w:sz w:val="20"/>
        </w:rPr>
        <w:t>”</w:t>
      </w:r>
      <w:r w:rsidR="00622318" w:rsidRPr="006E1DA8">
        <w:rPr>
          <w:kern w:val="2"/>
          <w:sz w:val="20"/>
        </w:rPr>
        <w:t xml:space="preserve"> its meaning has been determined by case law. The leading case was decided 30 years ago by the Supreme Court of Canada, but its definition is </w:t>
      </w:r>
      <w:r w:rsidRPr="006E1DA8">
        <w:rPr>
          <w:kern w:val="2"/>
          <w:sz w:val="20"/>
        </w:rPr>
        <w:t xml:space="preserve">now </w:t>
      </w:r>
      <w:r w:rsidR="00622318" w:rsidRPr="006E1DA8">
        <w:rPr>
          <w:kern w:val="2"/>
          <w:sz w:val="20"/>
        </w:rPr>
        <w:t xml:space="preserve">outdated in the context of bribery and other transnational offences. In </w:t>
      </w:r>
      <w:proofErr w:type="spellStart"/>
      <w:r w:rsidR="00622318" w:rsidRPr="006E1DA8">
        <w:rPr>
          <w:i/>
          <w:iCs/>
          <w:kern w:val="2"/>
          <w:sz w:val="20"/>
        </w:rPr>
        <w:t>Libman</w:t>
      </w:r>
      <w:proofErr w:type="spellEnd"/>
      <w:r w:rsidR="00622318" w:rsidRPr="006E1DA8">
        <w:rPr>
          <w:i/>
          <w:iCs/>
          <w:kern w:val="2"/>
          <w:sz w:val="20"/>
        </w:rPr>
        <w:t xml:space="preserve"> v The Queen </w:t>
      </w:r>
      <w:r w:rsidR="00622318" w:rsidRPr="006E1DA8">
        <w:rPr>
          <w:iCs/>
          <w:kern w:val="2"/>
          <w:sz w:val="20"/>
        </w:rPr>
        <w:t>(1985)</w:t>
      </w:r>
      <w:r w:rsidR="00622318" w:rsidRPr="006E1DA8">
        <w:rPr>
          <w:i/>
          <w:iCs/>
          <w:kern w:val="2"/>
          <w:sz w:val="20"/>
        </w:rPr>
        <w:t xml:space="preserve">, </w:t>
      </w:r>
      <w:r w:rsidR="00622318" w:rsidRPr="006E1DA8">
        <w:rPr>
          <w:kern w:val="2"/>
          <w:sz w:val="20"/>
        </w:rPr>
        <w:t xml:space="preserve">the Supreme Court of Canada held that in order for a Canadian criminal statute to apply, </w:t>
      </w:r>
      <w:r w:rsidR="00321984" w:rsidRPr="006E1DA8">
        <w:rPr>
          <w:kern w:val="2"/>
          <w:sz w:val="20"/>
        </w:rPr>
        <w:t>“</w:t>
      </w:r>
      <w:r w:rsidR="00622318" w:rsidRPr="006E1DA8">
        <w:rPr>
          <w:kern w:val="2"/>
          <w:sz w:val="20"/>
        </w:rPr>
        <w:t>a significant portion of the activities constituting that offence</w:t>
      </w:r>
      <w:r w:rsidR="00321984" w:rsidRPr="006E1DA8">
        <w:rPr>
          <w:kern w:val="2"/>
          <w:sz w:val="20"/>
        </w:rPr>
        <w:t>” must take place in Canada.</w:t>
      </w:r>
      <w:r w:rsidR="00622318" w:rsidRPr="006E1DA8">
        <w:rPr>
          <w:rStyle w:val="FootnoteReference"/>
          <w:rFonts w:cs="Times New Roman"/>
          <w:kern w:val="2"/>
          <w:sz w:val="20"/>
        </w:rPr>
        <w:footnoteReference w:id="40"/>
      </w:r>
      <w:r w:rsidR="00622318" w:rsidRPr="006E1DA8">
        <w:rPr>
          <w:kern w:val="2"/>
          <w:sz w:val="20"/>
        </w:rPr>
        <w:t xml:space="preserve"> If a significant portion of the criminal conduct occurs in Canada and other parts occur in a foreign state, then Canada and that foreign state have concurrent jurisdiction (or qualified territorial jurisdiction). In </w:t>
      </w:r>
      <w:proofErr w:type="spellStart"/>
      <w:r w:rsidR="00622318" w:rsidRPr="006E1DA8">
        <w:rPr>
          <w:i/>
          <w:kern w:val="2"/>
          <w:sz w:val="20"/>
        </w:rPr>
        <w:t>Libman</w:t>
      </w:r>
      <w:proofErr w:type="spellEnd"/>
      <w:r w:rsidR="00622318" w:rsidRPr="006E1DA8">
        <w:rPr>
          <w:i/>
          <w:kern w:val="2"/>
          <w:sz w:val="20"/>
        </w:rPr>
        <w:t xml:space="preserve">, </w:t>
      </w:r>
      <w:r w:rsidR="00622318" w:rsidRPr="006E1DA8">
        <w:rPr>
          <w:kern w:val="2"/>
          <w:sz w:val="20"/>
        </w:rPr>
        <w:t xml:space="preserve">the Court went on to state that there must be a </w:t>
      </w:r>
      <w:r w:rsidR="00321984" w:rsidRPr="006E1DA8">
        <w:rPr>
          <w:kern w:val="2"/>
          <w:sz w:val="20"/>
        </w:rPr>
        <w:t>“</w:t>
      </w:r>
      <w:r w:rsidR="00622318" w:rsidRPr="006E1DA8">
        <w:rPr>
          <w:kern w:val="2"/>
          <w:sz w:val="20"/>
        </w:rPr>
        <w:t>real and substantial link</w:t>
      </w:r>
      <w:r w:rsidR="00321984" w:rsidRPr="006E1DA8">
        <w:rPr>
          <w:kern w:val="2"/>
          <w:sz w:val="20"/>
        </w:rPr>
        <w:t>”</w:t>
      </w:r>
      <w:r w:rsidR="00622318" w:rsidRPr="006E1DA8">
        <w:rPr>
          <w:kern w:val="2"/>
          <w:sz w:val="20"/>
        </w:rPr>
        <w:t xml:space="preserve"> between the offence and Canada. In addition, the court must be satisfied that prosecution does not offend the principle of international comity. The term </w:t>
      </w:r>
      <w:r w:rsidR="00321984" w:rsidRPr="006E1DA8">
        <w:rPr>
          <w:kern w:val="2"/>
          <w:sz w:val="20"/>
        </w:rPr>
        <w:t>“</w:t>
      </w:r>
      <w:r w:rsidR="00622318" w:rsidRPr="006E1DA8">
        <w:rPr>
          <w:kern w:val="2"/>
          <w:sz w:val="20"/>
        </w:rPr>
        <w:t>comity</w:t>
      </w:r>
      <w:r w:rsidR="00321984" w:rsidRPr="006E1DA8">
        <w:rPr>
          <w:kern w:val="2"/>
          <w:sz w:val="20"/>
        </w:rPr>
        <w:t>”</w:t>
      </w:r>
      <w:r w:rsidR="00622318" w:rsidRPr="006E1DA8">
        <w:rPr>
          <w:kern w:val="2"/>
          <w:sz w:val="20"/>
        </w:rPr>
        <w:t xml:space="preserve"> refers to the principle of legal reciprocity and consideration for the interests of other states. Under this principle</w:t>
      </w:r>
      <w:r w:rsidR="00E85C2E" w:rsidRPr="006E1DA8">
        <w:rPr>
          <w:kern w:val="2"/>
          <w:sz w:val="20"/>
        </w:rPr>
        <w:t>,</w:t>
      </w:r>
      <w:r w:rsidR="00622318" w:rsidRPr="006E1DA8">
        <w:rPr>
          <w:kern w:val="2"/>
          <w:sz w:val="20"/>
        </w:rPr>
        <w:t xml:space="preserve"> a state displays civility towards other nations by respecting the validity of their laws and other executive or judicial actions. </w:t>
      </w:r>
    </w:p>
    <w:p w14:paraId="374223E3" w14:textId="63FA3C69" w:rsidR="00622318" w:rsidRPr="006E1DA8" w:rsidRDefault="00622318" w:rsidP="00622318">
      <w:pPr>
        <w:rPr>
          <w:kern w:val="2"/>
          <w:sz w:val="20"/>
        </w:rPr>
      </w:pPr>
      <w:proofErr w:type="spellStart"/>
      <w:r w:rsidRPr="006E1DA8">
        <w:rPr>
          <w:rFonts w:cs="Times New Roman"/>
          <w:i/>
          <w:kern w:val="2"/>
          <w:sz w:val="20"/>
        </w:rPr>
        <w:t>Libman</w:t>
      </w:r>
      <w:proofErr w:type="spellEnd"/>
      <w:r w:rsidRPr="006E1DA8">
        <w:rPr>
          <w:rFonts w:cs="Times New Roman"/>
          <w:i/>
          <w:kern w:val="2"/>
          <w:sz w:val="20"/>
        </w:rPr>
        <w:t xml:space="preserve"> </w:t>
      </w:r>
      <w:r w:rsidRPr="006E1DA8">
        <w:rPr>
          <w:rFonts w:cs="Times New Roman"/>
          <w:kern w:val="2"/>
          <w:sz w:val="20"/>
        </w:rPr>
        <w:t xml:space="preserve">sets a fairly high test for territorial jurisdiction. While Canada requires </w:t>
      </w:r>
      <w:r w:rsidR="00321984" w:rsidRPr="006E1DA8">
        <w:rPr>
          <w:rFonts w:cs="Times New Roman"/>
          <w:kern w:val="2"/>
          <w:sz w:val="20"/>
        </w:rPr>
        <w:t>“</w:t>
      </w:r>
      <w:r w:rsidRPr="006E1DA8">
        <w:rPr>
          <w:rFonts w:cs="Times New Roman"/>
          <w:kern w:val="2"/>
          <w:sz w:val="20"/>
        </w:rPr>
        <w:t>significant portions</w:t>
      </w:r>
      <w:r w:rsidR="00321984" w:rsidRPr="006E1DA8">
        <w:rPr>
          <w:rFonts w:cs="Times New Roman"/>
          <w:kern w:val="2"/>
          <w:sz w:val="20"/>
        </w:rPr>
        <w:t>”</w:t>
      </w:r>
      <w:r w:rsidRPr="006E1DA8">
        <w:rPr>
          <w:rFonts w:cs="Times New Roman"/>
          <w:kern w:val="2"/>
          <w:sz w:val="20"/>
        </w:rPr>
        <w:t xml:space="preserve"> of the offence to occur within Canada, the US and UK assert territorial jurisdiction if </w:t>
      </w:r>
      <w:r w:rsidR="00321984" w:rsidRPr="006E1DA8">
        <w:rPr>
          <w:rFonts w:cs="Times New Roman"/>
          <w:kern w:val="2"/>
          <w:sz w:val="20"/>
        </w:rPr>
        <w:t>“</w:t>
      </w:r>
      <w:r w:rsidRPr="006E1DA8">
        <w:rPr>
          <w:rFonts w:cs="Times New Roman"/>
          <w:kern w:val="2"/>
          <w:sz w:val="20"/>
        </w:rPr>
        <w:t>any act or omission</w:t>
      </w:r>
      <w:r w:rsidR="00C61982"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which constitutes an element of the offence occurs</w:t>
      </w:r>
      <w:r w:rsidR="00C61982" w:rsidRPr="006E1DA8">
        <w:rPr>
          <w:rFonts w:cs="Times New Roman"/>
          <w:kern w:val="2"/>
          <w:sz w:val="20"/>
        </w:rPr>
        <w:t>,</w:t>
      </w:r>
      <w:r w:rsidRPr="006E1DA8">
        <w:rPr>
          <w:rFonts w:cs="Times New Roman"/>
          <w:kern w:val="2"/>
          <w:sz w:val="20"/>
        </w:rPr>
        <w:t xml:space="preserve"> within their borders. Prior to the 2013 amendments adding nationality jurisdiction to </w:t>
      </w:r>
      <w:r w:rsidRPr="006E1DA8">
        <w:rPr>
          <w:rFonts w:cs="Times New Roman"/>
          <w:i/>
          <w:kern w:val="2"/>
          <w:sz w:val="20"/>
        </w:rPr>
        <w:t>CFPOA</w:t>
      </w:r>
      <w:r w:rsidRPr="006E1DA8">
        <w:rPr>
          <w:rFonts w:cs="Times New Roman"/>
          <w:kern w:val="2"/>
          <w:sz w:val="20"/>
        </w:rPr>
        <w:t xml:space="preserve">, it appears that the </w:t>
      </w:r>
      <w:proofErr w:type="spellStart"/>
      <w:r w:rsidRPr="006E1DA8">
        <w:rPr>
          <w:rFonts w:cs="Times New Roman"/>
          <w:i/>
          <w:kern w:val="2"/>
          <w:sz w:val="20"/>
        </w:rPr>
        <w:t>Libman</w:t>
      </w:r>
      <w:proofErr w:type="spellEnd"/>
      <w:r w:rsidRPr="006E1DA8">
        <w:rPr>
          <w:rFonts w:cs="Times New Roman"/>
          <w:kern w:val="2"/>
          <w:sz w:val="20"/>
        </w:rPr>
        <w:t xml:space="preserve"> test would have excluded Canadian prosecution of bribery by Canadian individuals or companies engaged in foreign bribery</w:t>
      </w:r>
      <w:r w:rsidR="002E2821" w:rsidRPr="006E1DA8">
        <w:rPr>
          <w:rFonts w:cs="Times New Roman"/>
          <w:kern w:val="2"/>
          <w:sz w:val="20"/>
        </w:rPr>
        <w:t>,</w:t>
      </w:r>
      <w:r w:rsidRPr="006E1DA8">
        <w:rPr>
          <w:rFonts w:cs="Times New Roman"/>
          <w:kern w:val="2"/>
          <w:sz w:val="20"/>
        </w:rPr>
        <w:t xml:space="preserve"> if the conduct constituting bribery occurred largely in other countries without any significant conduct in or substantial link to Canada. As noted, such a demanding test for territorial jurisdiction is not well suited to the modern realities of global business, in which the transfer of information, contracts and money between countries can occur instantaneously. </w:t>
      </w:r>
    </w:p>
    <w:p w14:paraId="4305CC73" w14:textId="6FAE07CC" w:rsidR="00622318" w:rsidRPr="006E1DA8" w:rsidRDefault="00622318" w:rsidP="00622318">
      <w:pPr>
        <w:rPr>
          <w:rFonts w:cs="Times New Roman"/>
          <w:kern w:val="2"/>
          <w:sz w:val="20"/>
        </w:rPr>
      </w:pPr>
      <w:r w:rsidRPr="006E1DA8">
        <w:rPr>
          <w:rFonts w:cs="Times New Roman"/>
          <w:kern w:val="2"/>
          <w:sz w:val="20"/>
        </w:rPr>
        <w:t>The OECD Working Group expressed concerns</w:t>
      </w:r>
      <w:r w:rsidR="00E85C2E" w:rsidRPr="006E1DA8">
        <w:rPr>
          <w:rFonts w:cs="Times New Roman"/>
          <w:kern w:val="2"/>
          <w:sz w:val="20"/>
        </w:rPr>
        <w:t xml:space="preserve"> that Canada’</w:t>
      </w:r>
      <w:r w:rsidRPr="006E1DA8">
        <w:rPr>
          <w:rFonts w:cs="Times New Roman"/>
          <w:kern w:val="2"/>
          <w:sz w:val="20"/>
        </w:rPr>
        <w:t xml:space="preserve">s standard of a </w:t>
      </w:r>
      <w:r w:rsidR="00321984" w:rsidRPr="006E1DA8">
        <w:rPr>
          <w:rFonts w:cs="Times New Roman"/>
          <w:kern w:val="2"/>
          <w:sz w:val="20"/>
        </w:rPr>
        <w:t>“</w:t>
      </w:r>
      <w:r w:rsidRPr="006E1DA8">
        <w:rPr>
          <w:rFonts w:cs="Times New Roman"/>
          <w:kern w:val="2"/>
          <w:sz w:val="20"/>
        </w:rPr>
        <w:t>real and substantial link</w:t>
      </w:r>
      <w:r w:rsidR="00321984" w:rsidRPr="006E1DA8">
        <w:rPr>
          <w:rFonts w:cs="Times New Roman"/>
          <w:kern w:val="2"/>
          <w:sz w:val="20"/>
        </w:rPr>
        <w:t>”</w:t>
      </w:r>
      <w:r w:rsidRPr="006E1DA8">
        <w:rPr>
          <w:rFonts w:cs="Times New Roman"/>
          <w:kern w:val="2"/>
          <w:sz w:val="20"/>
        </w:rPr>
        <w:t xml:space="preserve"> failed to comply with the OECD Convention, which mandates that even a minor territorial link </w:t>
      </w:r>
      <w:r w:rsidR="00502502" w:rsidRPr="006E1DA8">
        <w:rPr>
          <w:rFonts w:cs="Times New Roman"/>
          <w:kern w:val="2"/>
          <w:sz w:val="20"/>
        </w:rPr>
        <w:t xml:space="preserve">should </w:t>
      </w:r>
      <w:r w:rsidRPr="006E1DA8">
        <w:rPr>
          <w:rFonts w:cs="Times New Roman"/>
          <w:kern w:val="2"/>
          <w:sz w:val="20"/>
        </w:rPr>
        <w:t xml:space="preserve">be sufficient. However, the </w:t>
      </w:r>
      <w:proofErr w:type="spellStart"/>
      <w:r w:rsidRPr="006E1DA8">
        <w:rPr>
          <w:rFonts w:cs="Times New Roman"/>
          <w:i/>
          <w:kern w:val="2"/>
          <w:sz w:val="20"/>
        </w:rPr>
        <w:t>Libman</w:t>
      </w:r>
      <w:proofErr w:type="spellEnd"/>
      <w:r w:rsidRPr="006E1DA8">
        <w:rPr>
          <w:rFonts w:cs="Times New Roman"/>
          <w:i/>
          <w:kern w:val="2"/>
          <w:sz w:val="20"/>
        </w:rPr>
        <w:t xml:space="preserve"> </w:t>
      </w:r>
      <w:r w:rsidRPr="006E1DA8">
        <w:rPr>
          <w:rFonts w:cs="Times New Roman"/>
          <w:kern w:val="2"/>
          <w:sz w:val="20"/>
        </w:rPr>
        <w:t xml:space="preserve">standard has been relaxed somewhat in practice. For example, in </w:t>
      </w:r>
      <w:r w:rsidR="00321984" w:rsidRPr="006E1DA8">
        <w:rPr>
          <w:rFonts w:cs="Times New Roman"/>
          <w:i/>
          <w:kern w:val="2"/>
          <w:sz w:val="20"/>
        </w:rPr>
        <w:t xml:space="preserve">R v </w:t>
      </w:r>
      <w:proofErr w:type="spellStart"/>
      <w:r w:rsidR="00321984" w:rsidRPr="006E1DA8">
        <w:rPr>
          <w:rFonts w:cs="Times New Roman"/>
          <w:i/>
          <w:kern w:val="2"/>
          <w:sz w:val="20"/>
        </w:rPr>
        <w:t>Karigar</w:t>
      </w:r>
      <w:proofErr w:type="spellEnd"/>
      <w:r w:rsidR="00321984" w:rsidRPr="006E1DA8">
        <w:rPr>
          <w:rFonts w:cs="Times New Roman"/>
          <w:kern w:val="2"/>
          <w:sz w:val="20"/>
        </w:rPr>
        <w:t>,</w:t>
      </w:r>
      <w:r w:rsidRPr="006E1DA8">
        <w:rPr>
          <w:rFonts w:cs="Times New Roman"/>
          <w:kern w:val="2"/>
          <w:sz w:val="20"/>
        </w:rPr>
        <w:t xml:space="preserve"> the first conviction of an individual under </w:t>
      </w:r>
      <w:r w:rsidRPr="006E1DA8">
        <w:rPr>
          <w:rFonts w:cs="Times New Roman"/>
          <w:i/>
          <w:kern w:val="2"/>
          <w:sz w:val="20"/>
        </w:rPr>
        <w:t>CFPOA</w:t>
      </w:r>
      <w:r w:rsidRPr="006E1DA8">
        <w:rPr>
          <w:rFonts w:cs="Times New Roman"/>
          <w:kern w:val="2"/>
          <w:sz w:val="20"/>
        </w:rPr>
        <w:t>, the accused was a Canadian acting on behalf of a Canadian company while in India.</w:t>
      </w:r>
      <w:r w:rsidR="00321984" w:rsidRPr="006E1DA8">
        <w:rPr>
          <w:rStyle w:val="FootnoteReference"/>
          <w:rFonts w:cs="Times New Roman"/>
          <w:kern w:val="2"/>
          <w:sz w:val="20"/>
        </w:rPr>
        <w:footnoteReference w:id="41"/>
      </w:r>
      <w:r w:rsidRPr="006E1DA8">
        <w:rPr>
          <w:rFonts w:cs="Times New Roman"/>
          <w:kern w:val="2"/>
          <w:sz w:val="20"/>
        </w:rPr>
        <w:t xml:space="preserve"> Even though the actual financial element of the offence (i.e.</w:t>
      </w:r>
      <w:r w:rsidR="00180987" w:rsidRPr="006E1DA8">
        <w:rPr>
          <w:rFonts w:cs="Times New Roman"/>
          <w:kern w:val="2"/>
          <w:sz w:val="20"/>
        </w:rPr>
        <w:t>,</w:t>
      </w:r>
      <w:r w:rsidRPr="006E1DA8">
        <w:rPr>
          <w:rFonts w:cs="Times New Roman"/>
          <w:kern w:val="2"/>
          <w:sz w:val="20"/>
        </w:rPr>
        <w:t xml:space="preserve"> approval or funding of the bribe) did not occur in Canada, the court found there was still a real and substantial connection because the accused was acting on behalf of a Canadian company and the unfair advantage would have flowed to that Canadian company. The substantial link seems to be that the accused was a Canadian citizen working for a Canadian company (compare with </w:t>
      </w:r>
      <w:r w:rsidRPr="006E1DA8">
        <w:rPr>
          <w:rFonts w:cs="Times New Roman"/>
          <w:i/>
          <w:kern w:val="2"/>
          <w:sz w:val="20"/>
        </w:rPr>
        <w:t>Chowdhury</w:t>
      </w:r>
      <w:r w:rsidRPr="006E1DA8">
        <w:rPr>
          <w:rFonts w:cs="Times New Roman"/>
          <w:kern w:val="2"/>
          <w:sz w:val="20"/>
        </w:rPr>
        <w:t xml:space="preserve"> noted below).</w:t>
      </w:r>
    </w:p>
    <w:p w14:paraId="06621732" w14:textId="656ECA50" w:rsidR="00622318" w:rsidRPr="006E1DA8" w:rsidRDefault="00622318" w:rsidP="00622318">
      <w:pPr>
        <w:rPr>
          <w:rFonts w:cs="Times New Roman"/>
          <w:kern w:val="2"/>
          <w:sz w:val="20"/>
        </w:rPr>
      </w:pPr>
      <w:r w:rsidRPr="006E1DA8">
        <w:rPr>
          <w:rFonts w:cs="Times New Roman"/>
          <w:kern w:val="2"/>
          <w:sz w:val="20"/>
        </w:rPr>
        <w:t xml:space="preserve">Canada’s failure to expressly assert jurisdiction based on nationality was repeatedly criticized by commentators prior to the 2013 amendments. </w:t>
      </w:r>
      <w:r w:rsidR="00260DA2" w:rsidRPr="006E1DA8">
        <w:rPr>
          <w:rFonts w:cs="Times New Roman"/>
          <w:kern w:val="2"/>
          <w:sz w:val="20"/>
        </w:rPr>
        <w:t xml:space="preserve">In the 2011 Phase 3 Report, the OECD Working Group called </w:t>
      </w:r>
      <w:r w:rsidR="00260DA2" w:rsidRPr="006E1DA8">
        <w:rPr>
          <w:rFonts w:cs="Times New Roman"/>
          <w:i/>
          <w:kern w:val="2"/>
          <w:sz w:val="20"/>
        </w:rPr>
        <w:t>CFPOA</w:t>
      </w:r>
      <w:r w:rsidR="00260DA2" w:rsidRPr="006E1DA8">
        <w:rPr>
          <w:rFonts w:cs="Times New Roman"/>
          <w:kern w:val="2"/>
          <w:sz w:val="20"/>
        </w:rPr>
        <w:t xml:space="preserve">’s lack of extraterritorial jurisdiction based on nationality </w:t>
      </w:r>
      <w:r w:rsidR="00321984" w:rsidRPr="006E1DA8">
        <w:rPr>
          <w:rFonts w:cs="Times New Roman"/>
          <w:kern w:val="2"/>
          <w:sz w:val="20"/>
        </w:rPr>
        <w:t>“</w:t>
      </w:r>
      <w:r w:rsidR="00260DA2" w:rsidRPr="006E1DA8">
        <w:rPr>
          <w:rFonts w:cs="Times New Roman"/>
          <w:kern w:val="2"/>
          <w:sz w:val="20"/>
        </w:rPr>
        <w:t>a serious obstacle to enforcement</w:t>
      </w:r>
      <w:r w:rsidR="00EF4C61" w:rsidRPr="006E1DA8">
        <w:rPr>
          <w:rFonts w:cs="Times New Roman"/>
          <w:kern w:val="2"/>
          <w:sz w:val="20"/>
        </w:rPr>
        <w:t>,</w:t>
      </w:r>
      <w:r w:rsidR="00321984" w:rsidRPr="006E1DA8">
        <w:rPr>
          <w:rFonts w:cs="Times New Roman"/>
          <w:kern w:val="2"/>
          <w:sz w:val="20"/>
        </w:rPr>
        <w:t>”</w:t>
      </w:r>
      <w:r w:rsidR="00260DA2" w:rsidRPr="006E1DA8">
        <w:rPr>
          <w:rFonts w:cs="Times New Roman"/>
          <w:kern w:val="2"/>
          <w:sz w:val="20"/>
        </w:rPr>
        <w:t xml:space="preserve"> and urged Canada to rectify this as a </w:t>
      </w:r>
      <w:r w:rsidR="00321984" w:rsidRPr="006E1DA8">
        <w:rPr>
          <w:rFonts w:cs="Times New Roman"/>
          <w:kern w:val="2"/>
          <w:sz w:val="20"/>
        </w:rPr>
        <w:t>“</w:t>
      </w:r>
      <w:r w:rsidR="00260DA2" w:rsidRPr="006E1DA8">
        <w:rPr>
          <w:rFonts w:cs="Times New Roman"/>
          <w:kern w:val="2"/>
          <w:sz w:val="20"/>
        </w:rPr>
        <w:t>matter of urgency</w:t>
      </w:r>
      <w:r w:rsidR="00EF4C61" w:rsidRPr="006E1DA8">
        <w:rPr>
          <w:rFonts w:cs="Times New Roman"/>
          <w:kern w:val="2"/>
          <w:sz w:val="20"/>
        </w:rPr>
        <w:t>.</w:t>
      </w:r>
      <w:r w:rsidR="00321984" w:rsidRPr="006E1DA8">
        <w:rPr>
          <w:rFonts w:cs="Times New Roman"/>
          <w:kern w:val="2"/>
          <w:sz w:val="20"/>
        </w:rPr>
        <w:t>”</w:t>
      </w:r>
      <w:r w:rsidR="00260DA2" w:rsidRPr="006E1DA8">
        <w:rPr>
          <w:rStyle w:val="FootnoteReference"/>
          <w:rFonts w:cs="Times New Roman"/>
          <w:kern w:val="2"/>
          <w:sz w:val="20"/>
        </w:rPr>
        <w:footnoteReference w:id="42"/>
      </w:r>
      <w:r w:rsidR="00260DA2" w:rsidRPr="006E1DA8">
        <w:rPr>
          <w:rFonts w:cs="Times New Roman"/>
          <w:kern w:val="2"/>
          <w:sz w:val="20"/>
        </w:rPr>
        <w:t xml:space="preserve"> Prior to the 2013 amendments, </w:t>
      </w:r>
      <w:r w:rsidRPr="006E1DA8">
        <w:rPr>
          <w:rFonts w:cs="Times New Roman"/>
          <w:kern w:val="2"/>
          <w:sz w:val="20"/>
        </w:rPr>
        <w:t xml:space="preserve">Canada responded </w:t>
      </w:r>
      <w:r w:rsidR="00260DA2" w:rsidRPr="006E1DA8">
        <w:rPr>
          <w:rFonts w:cs="Times New Roman"/>
          <w:kern w:val="2"/>
          <w:sz w:val="20"/>
        </w:rPr>
        <w:t xml:space="preserve">to such criticisms </w:t>
      </w:r>
      <w:r w:rsidRPr="006E1DA8">
        <w:rPr>
          <w:rFonts w:cs="Times New Roman"/>
          <w:kern w:val="2"/>
          <w:sz w:val="20"/>
        </w:rPr>
        <w:t xml:space="preserve">by arguing that the establishment of nationality jurisdiction was not explicitly mandated under its treaty obligations.  </w:t>
      </w:r>
    </w:p>
    <w:p w14:paraId="090DB240" w14:textId="072BA005" w:rsidR="00622318" w:rsidRPr="006E1DA8" w:rsidRDefault="00622318" w:rsidP="00622318">
      <w:pPr>
        <w:rPr>
          <w:rFonts w:cs="Times New Roman"/>
          <w:kern w:val="2"/>
          <w:sz w:val="20"/>
        </w:rPr>
      </w:pPr>
      <w:r w:rsidRPr="006E1DA8">
        <w:rPr>
          <w:rFonts w:cs="Times New Roman"/>
          <w:kern w:val="2"/>
          <w:sz w:val="20"/>
        </w:rPr>
        <w:t xml:space="preserve">In June 2013, the </w:t>
      </w:r>
      <w:r w:rsidRPr="006E1DA8">
        <w:rPr>
          <w:rFonts w:cs="Times New Roman"/>
          <w:i/>
          <w:iCs/>
          <w:kern w:val="2"/>
          <w:sz w:val="20"/>
        </w:rPr>
        <w:t>CFPOA</w:t>
      </w:r>
      <w:r w:rsidRPr="006E1DA8">
        <w:rPr>
          <w:rFonts w:cs="Times New Roman"/>
          <w:kern w:val="2"/>
          <w:sz w:val="20"/>
        </w:rPr>
        <w:t xml:space="preserve"> was amended by Bill S-14 to extend the Act’s prescriptive jurisdiction to Canadian citizens, permanent residents and any public body or entity formed under Canadian law. These individuals or legal persons </w:t>
      </w:r>
      <w:r w:rsidR="007C2F54" w:rsidRPr="006E1DA8">
        <w:rPr>
          <w:rFonts w:cs="Times New Roman"/>
          <w:kern w:val="2"/>
          <w:sz w:val="20"/>
        </w:rPr>
        <w:t>are</w:t>
      </w:r>
      <w:r w:rsidRPr="006E1DA8">
        <w:rPr>
          <w:rFonts w:cs="Times New Roman"/>
          <w:kern w:val="2"/>
          <w:sz w:val="20"/>
        </w:rPr>
        <w:t xml:space="preserve"> subject to Canadian criminal liability in respect of acts of bribing a foreign public official, irrespective of whether any part of the act constituting the offence takes place in Canada. With these amendments, a Canadian accused </w:t>
      </w:r>
      <w:r w:rsidR="003878C2" w:rsidRPr="006E1DA8">
        <w:rPr>
          <w:rFonts w:cs="Times New Roman"/>
          <w:kern w:val="2"/>
          <w:sz w:val="20"/>
        </w:rPr>
        <w:t>(</w:t>
      </w:r>
      <w:r w:rsidRPr="006E1DA8">
        <w:rPr>
          <w:rFonts w:cs="Times New Roman"/>
          <w:kern w:val="2"/>
          <w:sz w:val="20"/>
        </w:rPr>
        <w:t xml:space="preserve">such as Mr. </w:t>
      </w:r>
      <w:proofErr w:type="spellStart"/>
      <w:r w:rsidRPr="006E1DA8">
        <w:rPr>
          <w:rFonts w:cs="Times New Roman"/>
          <w:kern w:val="2"/>
          <w:sz w:val="20"/>
        </w:rPr>
        <w:t>Karigar</w:t>
      </w:r>
      <w:proofErr w:type="spellEnd"/>
      <w:r w:rsidR="003878C2" w:rsidRPr="006E1DA8">
        <w:rPr>
          <w:rFonts w:cs="Times New Roman"/>
          <w:kern w:val="2"/>
          <w:sz w:val="20"/>
        </w:rPr>
        <w:t>)</w:t>
      </w:r>
      <w:r w:rsidRPr="006E1DA8">
        <w:rPr>
          <w:rFonts w:cs="Times New Roman"/>
          <w:kern w:val="2"/>
          <w:sz w:val="20"/>
        </w:rPr>
        <w:t xml:space="preserve"> w</w:t>
      </w:r>
      <w:r w:rsidR="002B5216" w:rsidRPr="006E1DA8">
        <w:rPr>
          <w:rFonts w:cs="Times New Roman"/>
          <w:kern w:val="2"/>
          <w:sz w:val="20"/>
        </w:rPr>
        <w:t>ould clearly fall within Canada’</w:t>
      </w:r>
      <w:r w:rsidRPr="006E1DA8">
        <w:rPr>
          <w:rFonts w:cs="Times New Roman"/>
          <w:kern w:val="2"/>
          <w:sz w:val="20"/>
        </w:rPr>
        <w:t>s jurisdiction.</w:t>
      </w:r>
    </w:p>
    <w:p w14:paraId="49A9F1F5" w14:textId="37002948" w:rsidR="005B62B5" w:rsidRPr="006E1DA8" w:rsidRDefault="005B62B5" w:rsidP="005B62B5">
      <w:pPr>
        <w:rPr>
          <w:rFonts w:cs="Times New Roman"/>
          <w:kern w:val="2"/>
          <w:sz w:val="20"/>
        </w:rPr>
      </w:pPr>
      <w:r w:rsidRPr="006E1DA8">
        <w:rPr>
          <w:rFonts w:cs="Times New Roman"/>
          <w:kern w:val="2"/>
          <w:sz w:val="20"/>
        </w:rPr>
        <w:t xml:space="preserve">However, the </w:t>
      </w:r>
      <w:r w:rsidRPr="006E1DA8">
        <w:rPr>
          <w:rFonts w:cs="Times New Roman"/>
          <w:i/>
          <w:kern w:val="2"/>
          <w:sz w:val="20"/>
        </w:rPr>
        <w:t>CFPOA</w:t>
      </w:r>
      <w:r w:rsidR="002B5216" w:rsidRPr="006E1DA8">
        <w:rPr>
          <w:rFonts w:cs="Times New Roman"/>
          <w:kern w:val="2"/>
          <w:sz w:val="20"/>
        </w:rPr>
        <w:t>’</w:t>
      </w:r>
      <w:r w:rsidRPr="006E1DA8">
        <w:rPr>
          <w:rFonts w:cs="Times New Roman"/>
          <w:kern w:val="2"/>
          <w:sz w:val="20"/>
        </w:rPr>
        <w:t xml:space="preserve">s reach is not without limits. In </w:t>
      </w:r>
      <w:r w:rsidRPr="006E1DA8">
        <w:rPr>
          <w:rFonts w:cs="Times New Roman"/>
          <w:i/>
          <w:kern w:val="2"/>
          <w:sz w:val="20"/>
        </w:rPr>
        <w:t>Chowdhury v HMQ,</w:t>
      </w:r>
      <w:r w:rsidRPr="006E1DA8">
        <w:rPr>
          <w:rFonts w:cs="Times New Roman"/>
          <w:kern w:val="2"/>
          <w:sz w:val="20"/>
        </w:rPr>
        <w:t xml:space="preserve"> the accused was a citizen and resident of Bangladesh acting as an agent for a Cana</w:t>
      </w:r>
      <w:r w:rsidR="00321984" w:rsidRPr="006E1DA8">
        <w:rPr>
          <w:rFonts w:cs="Times New Roman"/>
          <w:kern w:val="2"/>
          <w:sz w:val="20"/>
        </w:rPr>
        <w:t>dian corporation, SNC-Lavalin.</w:t>
      </w:r>
      <w:r w:rsidR="00321984" w:rsidRPr="006E1DA8">
        <w:rPr>
          <w:rStyle w:val="FootnoteReference"/>
          <w:rFonts w:cs="Times New Roman"/>
          <w:kern w:val="2"/>
          <w:sz w:val="20"/>
        </w:rPr>
        <w:footnoteReference w:id="43"/>
      </w:r>
      <w:r w:rsidR="00321984" w:rsidRPr="006E1DA8">
        <w:rPr>
          <w:rFonts w:cs="Times New Roman"/>
          <w:kern w:val="2"/>
          <w:sz w:val="20"/>
        </w:rPr>
        <w:t xml:space="preserve"> </w:t>
      </w:r>
      <w:r w:rsidRPr="006E1DA8">
        <w:rPr>
          <w:rFonts w:cs="Times New Roman"/>
          <w:kern w:val="2"/>
          <w:sz w:val="20"/>
        </w:rPr>
        <w:t xml:space="preserve">The accused had never been to Canada. In his capacity as agent for SNC-Lavalin, he allegedly facilitated the offer of bribes to foreign officials in Bangladesh in an attempt to secure </w:t>
      </w:r>
      <w:r w:rsidR="00DA6BE0" w:rsidRPr="006E1DA8">
        <w:rPr>
          <w:rFonts w:cs="Times New Roman"/>
          <w:kern w:val="2"/>
          <w:sz w:val="20"/>
        </w:rPr>
        <w:t xml:space="preserve">for </w:t>
      </w:r>
      <w:r w:rsidRPr="006E1DA8">
        <w:rPr>
          <w:rFonts w:cs="Times New Roman"/>
          <w:kern w:val="2"/>
          <w:sz w:val="20"/>
        </w:rPr>
        <w:t xml:space="preserve">SNC-Lavalin an engineering contract for the Padma Bridge proposal.  </w:t>
      </w:r>
    </w:p>
    <w:p w14:paraId="75AFE4B4" w14:textId="7692098F" w:rsidR="005B62B5" w:rsidRPr="006E1DA8" w:rsidRDefault="005B62B5" w:rsidP="005B62B5">
      <w:pPr>
        <w:rPr>
          <w:rFonts w:cs="Times New Roman"/>
          <w:kern w:val="2"/>
          <w:sz w:val="20"/>
        </w:rPr>
      </w:pPr>
      <w:r w:rsidRPr="006E1DA8">
        <w:rPr>
          <w:rFonts w:cs="Times New Roman"/>
          <w:kern w:val="2"/>
          <w:sz w:val="20"/>
        </w:rPr>
        <w:t>Chowdhury launched an application claiming Canada had no jurisdiction to prosecute him for an offence of bribery under section 3(1</w:t>
      </w:r>
      <w:proofErr w:type="gramStart"/>
      <w:r w:rsidRPr="006E1DA8">
        <w:rPr>
          <w:rFonts w:cs="Times New Roman"/>
          <w:kern w:val="2"/>
          <w:sz w:val="20"/>
        </w:rPr>
        <w:t>)(</w:t>
      </w:r>
      <w:proofErr w:type="gramEnd"/>
      <w:r w:rsidRPr="006E1DA8">
        <w:rPr>
          <w:rFonts w:cs="Times New Roman"/>
          <w:kern w:val="2"/>
          <w:sz w:val="20"/>
        </w:rPr>
        <w:t xml:space="preserve">b) of the </w:t>
      </w:r>
      <w:r w:rsidRPr="006E1DA8">
        <w:rPr>
          <w:rFonts w:cs="Times New Roman"/>
          <w:i/>
          <w:kern w:val="2"/>
          <w:sz w:val="20"/>
        </w:rPr>
        <w:t>CFPOA</w:t>
      </w:r>
      <w:r w:rsidRPr="006E1DA8">
        <w:rPr>
          <w:rFonts w:cs="Times New Roman"/>
          <w:kern w:val="2"/>
          <w:sz w:val="20"/>
        </w:rPr>
        <w:t>. The application was successful</w:t>
      </w:r>
      <w:r w:rsidR="002B5216" w:rsidRPr="006E1DA8">
        <w:rPr>
          <w:rFonts w:cs="Times New Roman"/>
          <w:kern w:val="2"/>
          <w:sz w:val="20"/>
        </w:rPr>
        <w:t>,</w:t>
      </w:r>
      <w:r w:rsidRPr="006E1DA8">
        <w:rPr>
          <w:rFonts w:cs="Times New Roman"/>
          <w:kern w:val="2"/>
          <w:sz w:val="20"/>
        </w:rPr>
        <w:t xml:space="preserve"> and the bribery charge against Chowdhury was stayed. The Court gave a very helpful analysis of the complexity of the various concepts of jurisdiction. As the Court noted</w:t>
      </w:r>
      <w:r w:rsidR="00FA417D" w:rsidRPr="006E1DA8">
        <w:rPr>
          <w:rFonts w:cs="Times New Roman"/>
          <w:kern w:val="2"/>
          <w:sz w:val="20"/>
        </w:rPr>
        <w:t>:</w:t>
      </w:r>
    </w:p>
    <w:p w14:paraId="462410EE" w14:textId="77777777" w:rsidR="005B62B5" w:rsidRPr="006E1DA8" w:rsidRDefault="005B62B5" w:rsidP="0035273A">
      <w:pPr>
        <w:pStyle w:val="BlockQuote"/>
        <w:rPr>
          <w:kern w:val="2"/>
          <w:sz w:val="20"/>
        </w:rPr>
      </w:pPr>
      <w:r w:rsidRPr="006E1DA8">
        <w:rPr>
          <w:kern w:val="2"/>
          <w:sz w:val="20"/>
        </w:rPr>
        <w:t>[10] The different forms of jurisdiction often overlap in real world legal problems. In this case the interplay is between prescriptive jurisdiction and adjudicative jurisdiction. Specifically, whether Parliament's legislation concerning the bribery of foreign officials brings a foreign national, whose acts in respect of the alleged offence were undertaken wholly outside of Canada, within the jurisdiction of this court.</w:t>
      </w:r>
    </w:p>
    <w:p w14:paraId="70AA6049" w14:textId="77777777" w:rsidR="005B62B5" w:rsidRPr="006E1DA8" w:rsidRDefault="005B62B5" w:rsidP="0035273A">
      <w:pPr>
        <w:pStyle w:val="BlockQuote"/>
        <w:rPr>
          <w:kern w:val="2"/>
          <w:sz w:val="20"/>
        </w:rPr>
      </w:pPr>
      <w:r w:rsidRPr="006E1DA8">
        <w:rPr>
          <w:kern w:val="2"/>
          <w:sz w:val="20"/>
        </w:rPr>
        <w:t>…</w:t>
      </w:r>
    </w:p>
    <w:p w14:paraId="5E42C4FC" w14:textId="77777777" w:rsidR="005B62B5" w:rsidRPr="006E1DA8" w:rsidRDefault="005B62B5" w:rsidP="0035273A">
      <w:pPr>
        <w:pStyle w:val="BlockQuote"/>
        <w:rPr>
          <w:kern w:val="2"/>
          <w:sz w:val="20"/>
        </w:rPr>
      </w:pPr>
      <w:r w:rsidRPr="006E1DA8">
        <w:rPr>
          <w:kern w:val="2"/>
          <w:sz w:val="20"/>
        </w:rPr>
        <w:t xml:space="preserve">[17] The problem in this case, of course, is that the applicant is not now, nor has he ever been, within Canada. He is not a Canadian citizen. He is a citizen of Bangladesh and his actions in relation to this alleged offence were all undertaken within Bangladesh. The question is whether a charge under the </w:t>
      </w:r>
      <w:r w:rsidRPr="006E1DA8">
        <w:rPr>
          <w:rStyle w:val="Emphasis"/>
          <w:iCs w:val="0"/>
          <w:kern w:val="2"/>
          <w:sz w:val="20"/>
        </w:rPr>
        <w:t>CFPOA</w:t>
      </w:r>
      <w:r w:rsidRPr="006E1DA8">
        <w:rPr>
          <w:kern w:val="2"/>
          <w:sz w:val="20"/>
        </w:rPr>
        <w:t xml:space="preserve"> gives this court jurisdiction over the applicant.</w:t>
      </w:r>
    </w:p>
    <w:p w14:paraId="0C818B63" w14:textId="2FA6891A" w:rsidR="005B62B5" w:rsidRPr="006E1DA8" w:rsidRDefault="005B62B5" w:rsidP="005B62B5">
      <w:pPr>
        <w:rPr>
          <w:rFonts w:cs="Times New Roman"/>
          <w:kern w:val="2"/>
          <w:sz w:val="20"/>
        </w:rPr>
      </w:pPr>
      <w:r w:rsidRPr="006E1DA8">
        <w:rPr>
          <w:rFonts w:cs="Times New Roman"/>
          <w:kern w:val="2"/>
          <w:sz w:val="20"/>
        </w:rPr>
        <w:t>In other words, did Parliament intend section 3(1</w:t>
      </w:r>
      <w:proofErr w:type="gramStart"/>
      <w:r w:rsidRPr="006E1DA8">
        <w:rPr>
          <w:rFonts w:cs="Times New Roman"/>
          <w:kern w:val="2"/>
          <w:sz w:val="20"/>
        </w:rPr>
        <w:t>)(</w:t>
      </w:r>
      <w:proofErr w:type="gramEnd"/>
      <w:r w:rsidRPr="006E1DA8">
        <w:rPr>
          <w:rFonts w:cs="Times New Roman"/>
          <w:kern w:val="2"/>
          <w:sz w:val="20"/>
        </w:rPr>
        <w:t xml:space="preserve">b) of </w:t>
      </w:r>
      <w:r w:rsidRPr="006E1DA8">
        <w:rPr>
          <w:rFonts w:cs="Times New Roman"/>
          <w:i/>
          <w:kern w:val="2"/>
          <w:sz w:val="20"/>
        </w:rPr>
        <w:t>CFPOA</w:t>
      </w:r>
      <w:r w:rsidRPr="006E1DA8">
        <w:rPr>
          <w:rFonts w:cs="Times New Roman"/>
          <w:kern w:val="2"/>
          <w:sz w:val="20"/>
        </w:rPr>
        <w:t xml:space="preserve"> to apply to non-Canadians who had never been in Canada</w:t>
      </w:r>
      <w:r w:rsidR="00245498" w:rsidRPr="006E1DA8">
        <w:rPr>
          <w:rFonts w:cs="Times New Roman"/>
          <w:kern w:val="2"/>
          <w:sz w:val="20"/>
        </w:rPr>
        <w:t>,</w:t>
      </w:r>
      <w:r w:rsidRPr="006E1DA8">
        <w:rPr>
          <w:rFonts w:cs="Times New Roman"/>
          <w:kern w:val="2"/>
          <w:sz w:val="20"/>
        </w:rPr>
        <w:t xml:space="preserve"> and whose acts of bribery (for the benefit of a Canadian company) occurred entirely in a foreign state? The Court held that Parliament did not, stating</w:t>
      </w:r>
      <w:r w:rsidR="002B5216" w:rsidRPr="006E1DA8">
        <w:rPr>
          <w:rFonts w:cs="Times New Roman"/>
          <w:kern w:val="2"/>
          <w:sz w:val="20"/>
        </w:rPr>
        <w:t xml:space="preserve"> the following</w:t>
      </w:r>
      <w:r w:rsidRPr="006E1DA8">
        <w:rPr>
          <w:rFonts w:cs="Times New Roman"/>
          <w:kern w:val="2"/>
          <w:sz w:val="20"/>
        </w:rPr>
        <w:t>:</w:t>
      </w:r>
    </w:p>
    <w:p w14:paraId="332E9B38" w14:textId="20C466E6" w:rsidR="005B62B5" w:rsidRPr="006E1DA8" w:rsidRDefault="005B62B5" w:rsidP="0035273A">
      <w:pPr>
        <w:pStyle w:val="BlockQuote"/>
        <w:rPr>
          <w:kern w:val="2"/>
          <w:sz w:val="20"/>
        </w:rPr>
      </w:pPr>
      <w:r w:rsidRPr="006E1DA8">
        <w:rPr>
          <w:kern w:val="2"/>
          <w:sz w:val="20"/>
        </w:rPr>
        <w:t xml:space="preserve">[20] In this regard, the general rule when interpreting a statute is that Parliament is presumed to have intended to pass legislation that will accord with the principles of international law. This point is made clear in </w:t>
      </w:r>
      <w:proofErr w:type="spellStart"/>
      <w:r w:rsidRPr="006E1DA8">
        <w:rPr>
          <w:i/>
          <w:iCs/>
          <w:kern w:val="2"/>
          <w:sz w:val="20"/>
        </w:rPr>
        <w:t>Hape</w:t>
      </w:r>
      <w:proofErr w:type="spellEnd"/>
      <w:r w:rsidRPr="006E1DA8">
        <w:rPr>
          <w:kern w:val="2"/>
          <w:sz w:val="20"/>
        </w:rPr>
        <w:t xml:space="preserve"> where </w:t>
      </w:r>
      <w:proofErr w:type="spellStart"/>
      <w:r w:rsidRPr="006E1DA8">
        <w:rPr>
          <w:kern w:val="2"/>
          <w:sz w:val="20"/>
        </w:rPr>
        <w:t>LeBel</w:t>
      </w:r>
      <w:proofErr w:type="spellEnd"/>
      <w:r w:rsidRPr="006E1DA8">
        <w:rPr>
          <w:kern w:val="2"/>
          <w:sz w:val="20"/>
        </w:rPr>
        <w:t xml:space="preserve"> J. said, at para. 53: </w:t>
      </w:r>
    </w:p>
    <w:p w14:paraId="5248E0D0" w14:textId="77777777" w:rsidR="005B62B5" w:rsidRPr="006E1DA8" w:rsidRDefault="005B62B5" w:rsidP="0035273A">
      <w:pPr>
        <w:pStyle w:val="BlockQuote"/>
        <w:ind w:left="1440" w:right="1440"/>
        <w:rPr>
          <w:kern w:val="2"/>
          <w:sz w:val="20"/>
        </w:rPr>
      </w:pPr>
      <w:r w:rsidRPr="006E1DA8">
        <w:rPr>
          <w:kern w:val="2"/>
          <w:sz w:val="20"/>
        </w:rPr>
        <w:t>It is a well-established principle of statutory interpretation that legislation will be presumed to conform to international law.</w:t>
      </w:r>
    </w:p>
    <w:p w14:paraId="0A0E6200" w14:textId="77777777" w:rsidR="005B62B5" w:rsidRPr="006E1DA8" w:rsidRDefault="005B62B5" w:rsidP="0035273A">
      <w:pPr>
        <w:pStyle w:val="BlockQuote"/>
        <w:rPr>
          <w:kern w:val="2"/>
          <w:sz w:val="20"/>
        </w:rPr>
      </w:pPr>
      <w:r w:rsidRPr="006E1DA8">
        <w:rPr>
          <w:kern w:val="2"/>
          <w:sz w:val="20"/>
        </w:rPr>
        <w:t>It is, of course, open to Parliament to pass legislation that conflicts with international law but if it wishes that result, it must do so clearly and expressly.</w:t>
      </w:r>
    </w:p>
    <w:p w14:paraId="741B25AB" w14:textId="66E11CEC" w:rsidR="005B62B5" w:rsidRPr="006E1DA8" w:rsidRDefault="005B62B5" w:rsidP="0035273A">
      <w:pPr>
        <w:pStyle w:val="BlockQuote"/>
        <w:rPr>
          <w:kern w:val="2"/>
          <w:sz w:val="20"/>
        </w:rPr>
      </w:pPr>
      <w:r w:rsidRPr="006E1DA8">
        <w:rPr>
          <w:kern w:val="2"/>
          <w:sz w:val="20"/>
        </w:rPr>
        <w:t xml:space="preserve">[21] The decision in </w:t>
      </w:r>
      <w:proofErr w:type="spellStart"/>
      <w:r w:rsidRPr="006E1DA8">
        <w:rPr>
          <w:i/>
          <w:iCs/>
          <w:kern w:val="2"/>
          <w:sz w:val="20"/>
        </w:rPr>
        <w:t>Hape</w:t>
      </w:r>
      <w:proofErr w:type="spellEnd"/>
      <w:r w:rsidRPr="006E1DA8">
        <w:rPr>
          <w:kern w:val="2"/>
          <w:sz w:val="20"/>
        </w:rPr>
        <w:t xml:space="preserve"> dealt with the issue of the </w:t>
      </w:r>
      <w:r w:rsidR="00321984" w:rsidRPr="006E1DA8">
        <w:rPr>
          <w:kern w:val="2"/>
          <w:sz w:val="20"/>
        </w:rPr>
        <w:t>“</w:t>
      </w:r>
      <w:r w:rsidRPr="006E1DA8">
        <w:rPr>
          <w:kern w:val="2"/>
          <w:sz w:val="20"/>
        </w:rPr>
        <w:t>extraterritorial application</w:t>
      </w:r>
      <w:r w:rsidR="00321984" w:rsidRPr="006E1DA8">
        <w:rPr>
          <w:kern w:val="2"/>
          <w:sz w:val="20"/>
        </w:rPr>
        <w:t>”</w:t>
      </w:r>
      <w:r w:rsidRPr="006E1DA8">
        <w:rPr>
          <w:kern w:val="2"/>
          <w:sz w:val="20"/>
        </w:rPr>
        <w:t xml:space="preserve"> of Canadian law. It noted the general prohibition in s. 6(2) of the </w:t>
      </w:r>
      <w:r w:rsidRPr="006E1DA8">
        <w:rPr>
          <w:rStyle w:val="Emphasis"/>
          <w:rFonts w:cs="Times New Roman"/>
          <w:kern w:val="2"/>
          <w:sz w:val="20"/>
          <w:szCs w:val="21"/>
        </w:rPr>
        <w:t>Criminal Code</w:t>
      </w:r>
      <w:r w:rsidRPr="006E1DA8">
        <w:rPr>
          <w:kern w:val="2"/>
          <w:sz w:val="20"/>
        </w:rPr>
        <w:t xml:space="preserve"> that I have set out above. The court went on to find that Parliament has </w:t>
      </w:r>
      <w:r w:rsidR="00321984" w:rsidRPr="006E1DA8">
        <w:rPr>
          <w:kern w:val="2"/>
          <w:sz w:val="20"/>
        </w:rPr>
        <w:t>“</w:t>
      </w:r>
      <w:r w:rsidRPr="006E1DA8">
        <w:rPr>
          <w:kern w:val="2"/>
          <w:sz w:val="20"/>
        </w:rPr>
        <w:t>clear constitutional authority</w:t>
      </w:r>
      <w:r w:rsidR="00321984" w:rsidRPr="006E1DA8">
        <w:rPr>
          <w:kern w:val="2"/>
          <w:sz w:val="20"/>
        </w:rPr>
        <w:t>”</w:t>
      </w:r>
      <w:r w:rsidRPr="006E1DA8">
        <w:rPr>
          <w:kern w:val="2"/>
          <w:sz w:val="20"/>
        </w:rPr>
        <w:t xml:space="preserve"> to pass legislation governing conduct by non-Canadians outside of Canada. However, in exercising that authority, the court noted certain parameters that will generally apply. </w:t>
      </w:r>
      <w:proofErr w:type="spellStart"/>
      <w:r w:rsidRPr="006E1DA8">
        <w:rPr>
          <w:kern w:val="2"/>
          <w:sz w:val="20"/>
        </w:rPr>
        <w:t>LeBel</w:t>
      </w:r>
      <w:proofErr w:type="spellEnd"/>
      <w:r w:rsidRPr="006E1DA8">
        <w:rPr>
          <w:kern w:val="2"/>
          <w:sz w:val="20"/>
        </w:rPr>
        <w:t xml:space="preserve"> J. said, at para. 68: </w:t>
      </w:r>
    </w:p>
    <w:p w14:paraId="021253DF" w14:textId="77777777" w:rsidR="005B62B5" w:rsidRPr="006E1DA8" w:rsidRDefault="005B62B5" w:rsidP="0035273A">
      <w:pPr>
        <w:pStyle w:val="BlockQuote"/>
        <w:ind w:left="1440" w:right="1440"/>
        <w:rPr>
          <w:kern w:val="2"/>
          <w:sz w:val="20"/>
        </w:rPr>
      </w:pPr>
      <w:r w:rsidRPr="006E1DA8">
        <w:rPr>
          <w:kern w:val="2"/>
          <w:sz w:val="20"/>
        </w:rPr>
        <w:t>[Parliament's] ability to pass extraterritorial legislation is informed by the binding customary principles of territorial sovereign equality and non-intervention, by the comity of nations, and by the limits of international law to the extent that they are not incompatible with domestic law.</w:t>
      </w:r>
    </w:p>
    <w:p w14:paraId="69043250" w14:textId="77777777" w:rsidR="005B62B5" w:rsidRPr="006E1DA8" w:rsidRDefault="005B62B5" w:rsidP="0035273A">
      <w:pPr>
        <w:pStyle w:val="BlockQuote"/>
        <w:rPr>
          <w:kern w:val="2"/>
          <w:sz w:val="20"/>
        </w:rPr>
      </w:pPr>
      <w:r w:rsidRPr="006E1DA8">
        <w:rPr>
          <w:kern w:val="2"/>
          <w:sz w:val="20"/>
        </w:rPr>
        <w:t>[22] A basic part of international law is the principle of sovereign equality. Countries generally respect each other's borders and will not attempt to adjudicate matters that occurred within the borders of another sovereign country. Similarly, countries will exercise jurisdiction over their own nationals but not over another country's nationals except, of course, where that country's nationals commit an offence within another country's borders.</w:t>
      </w:r>
    </w:p>
    <w:p w14:paraId="02DA39CB" w14:textId="25144187" w:rsidR="005B62B5" w:rsidRPr="006E1DA8" w:rsidRDefault="005B62B5" w:rsidP="0035273A">
      <w:pPr>
        <w:pStyle w:val="BlockQuote"/>
        <w:rPr>
          <w:kern w:val="2"/>
          <w:sz w:val="20"/>
        </w:rPr>
      </w:pPr>
      <w:r w:rsidRPr="006E1DA8">
        <w:rPr>
          <w:kern w:val="2"/>
          <w:sz w:val="20"/>
        </w:rPr>
        <w:t xml:space="preserve">[23] Nevertheless, there are situations where a country will reach beyond its borders to prosecute individuals who commit an offence in another country. This normally only occurs where the offence committed in the other country is committed by the first country's own nationals or where the harm arising from the criminal acts in the other country is visited upon the citizens of the first country. In the former case, the basis for jurisdiction is nationality. At common law, we recognize that Canada may have a legitimate interest in prosecuting an offence involving the actions of Canadians outside of our borders. In the latter case, the basis for jurisdiction is qualified territoriality, which extends the notion of territorial jurisdiction beyond our strict borders. Under the </w:t>
      </w:r>
      <w:r w:rsidR="00321984" w:rsidRPr="006E1DA8">
        <w:rPr>
          <w:kern w:val="2"/>
          <w:sz w:val="20"/>
        </w:rPr>
        <w:t>“</w:t>
      </w:r>
      <w:r w:rsidRPr="006E1DA8">
        <w:rPr>
          <w:kern w:val="2"/>
          <w:sz w:val="20"/>
        </w:rPr>
        <w:t>objective territorial principle</w:t>
      </w:r>
      <w:r w:rsidR="00321984" w:rsidRPr="006E1DA8">
        <w:rPr>
          <w:kern w:val="2"/>
          <w:sz w:val="20"/>
        </w:rPr>
        <w:t>”</w:t>
      </w:r>
      <w:r w:rsidRPr="006E1DA8">
        <w:rPr>
          <w:kern w:val="2"/>
          <w:sz w:val="20"/>
        </w:rPr>
        <w:t xml:space="preserve">, Canada will have a legitimate interest in prosecuting non-Canadians for criminal actions that cause harm in Canada provided a real and substantial link between the offence and Canada is established and international comity is not </w:t>
      </w:r>
      <w:proofErr w:type="gramStart"/>
      <w:r w:rsidRPr="006E1DA8">
        <w:rPr>
          <w:kern w:val="2"/>
          <w:sz w:val="20"/>
        </w:rPr>
        <w:t>offended.:</w:t>
      </w:r>
      <w:proofErr w:type="gramEnd"/>
      <w:r w:rsidRPr="006E1DA8">
        <w:rPr>
          <w:kern w:val="2"/>
          <w:sz w:val="20"/>
        </w:rPr>
        <w:t xml:space="preserve"> </w:t>
      </w:r>
      <w:proofErr w:type="spellStart"/>
      <w:r w:rsidRPr="006E1DA8">
        <w:rPr>
          <w:i/>
          <w:iCs/>
          <w:kern w:val="2"/>
          <w:sz w:val="20"/>
        </w:rPr>
        <w:t>Libman</w:t>
      </w:r>
      <w:proofErr w:type="spellEnd"/>
      <w:r w:rsidRPr="006E1DA8">
        <w:rPr>
          <w:kern w:val="2"/>
          <w:sz w:val="20"/>
        </w:rPr>
        <w:t xml:space="preserve">; </w:t>
      </w:r>
      <w:proofErr w:type="spellStart"/>
      <w:r w:rsidRPr="006E1DA8">
        <w:rPr>
          <w:i/>
          <w:iCs/>
          <w:kern w:val="2"/>
          <w:sz w:val="20"/>
        </w:rPr>
        <w:t>Hape</w:t>
      </w:r>
      <w:proofErr w:type="spellEnd"/>
      <w:r w:rsidRPr="006E1DA8">
        <w:rPr>
          <w:kern w:val="2"/>
          <w:sz w:val="20"/>
        </w:rPr>
        <w:t xml:space="preserve"> at para. 59; Robert J. Currie, </w:t>
      </w:r>
      <w:r w:rsidRPr="006E1DA8">
        <w:rPr>
          <w:rStyle w:val="Emphasis"/>
          <w:rFonts w:cs="Times New Roman"/>
          <w:kern w:val="2"/>
          <w:sz w:val="20"/>
          <w:szCs w:val="21"/>
        </w:rPr>
        <w:t>International &amp; Transnational Criminal Law</w:t>
      </w:r>
      <w:r w:rsidRPr="006E1DA8">
        <w:rPr>
          <w:kern w:val="2"/>
          <w:sz w:val="20"/>
        </w:rPr>
        <w:t xml:space="preserve"> (Toronto: Irwin Law, 2010) at pp. 63-65.</w:t>
      </w:r>
    </w:p>
    <w:p w14:paraId="42800C77" w14:textId="24A65F28" w:rsidR="005B62B5" w:rsidRPr="006E1DA8" w:rsidRDefault="00CA65CC" w:rsidP="0035273A">
      <w:pPr>
        <w:pStyle w:val="BlockQuote"/>
        <w:rPr>
          <w:kern w:val="2"/>
          <w:sz w:val="20"/>
        </w:rPr>
      </w:pPr>
      <w:r w:rsidRPr="006E1DA8">
        <w:rPr>
          <w:kern w:val="2"/>
          <w:sz w:val="20"/>
        </w:rPr>
        <w:t xml:space="preserve">. . . </w:t>
      </w:r>
    </w:p>
    <w:p w14:paraId="36D6443A" w14:textId="1D564FD4" w:rsidR="005B62B5" w:rsidRPr="006E1DA8" w:rsidRDefault="005B62B5" w:rsidP="0035273A">
      <w:pPr>
        <w:pStyle w:val="BlockQuote"/>
        <w:rPr>
          <w:kern w:val="2"/>
          <w:sz w:val="20"/>
        </w:rPr>
      </w:pPr>
      <w:r w:rsidRPr="006E1DA8">
        <w:rPr>
          <w:kern w:val="2"/>
          <w:sz w:val="20"/>
        </w:rPr>
        <w:t xml:space="preserve">[35] There is a last point to be taken from </w:t>
      </w:r>
      <w:proofErr w:type="spellStart"/>
      <w:r w:rsidRPr="006E1DA8">
        <w:rPr>
          <w:i/>
          <w:iCs/>
          <w:kern w:val="2"/>
          <w:sz w:val="20"/>
        </w:rPr>
        <w:t>Hape</w:t>
      </w:r>
      <w:proofErr w:type="spellEnd"/>
      <w:r w:rsidRPr="006E1DA8">
        <w:rPr>
          <w:kern w:val="2"/>
          <w:sz w:val="20"/>
        </w:rPr>
        <w:t xml:space="preserve"> and that is with respect to the issue that arises here, namely, the assumption of jurisdiction over foreign nationals. The court in </w:t>
      </w:r>
      <w:proofErr w:type="spellStart"/>
      <w:r w:rsidRPr="006E1DA8">
        <w:rPr>
          <w:i/>
          <w:iCs/>
          <w:kern w:val="2"/>
          <w:sz w:val="20"/>
        </w:rPr>
        <w:t>Hape</w:t>
      </w:r>
      <w:proofErr w:type="spellEnd"/>
      <w:r w:rsidRPr="006E1DA8">
        <w:rPr>
          <w:kern w:val="2"/>
          <w:sz w:val="20"/>
        </w:rPr>
        <w:t xml:space="preserve"> held that it was open to Parliament to pass legislation that sought to govern conduct by non-Canadians outside of Canada. The court pointed out, however, that if Parliament chose to do so, Parliament would likely be violating international law and would also likely offend the comity of nations. Again, </w:t>
      </w:r>
      <w:proofErr w:type="spellStart"/>
      <w:r w:rsidRPr="006E1DA8">
        <w:rPr>
          <w:kern w:val="2"/>
          <w:sz w:val="20"/>
        </w:rPr>
        <w:t>LeBel</w:t>
      </w:r>
      <w:proofErr w:type="spellEnd"/>
      <w:r w:rsidRPr="006E1DA8">
        <w:rPr>
          <w:kern w:val="2"/>
          <w:sz w:val="20"/>
        </w:rPr>
        <w:t xml:space="preserve"> J. said, at para. 68: </w:t>
      </w:r>
    </w:p>
    <w:p w14:paraId="55042A4E" w14:textId="77777777" w:rsidR="005B62B5" w:rsidRPr="006E1DA8" w:rsidRDefault="005B62B5" w:rsidP="0035273A">
      <w:pPr>
        <w:pStyle w:val="BlockQuote"/>
        <w:ind w:left="1440" w:right="1440"/>
        <w:rPr>
          <w:kern w:val="2"/>
          <w:sz w:val="20"/>
        </w:rPr>
      </w:pPr>
      <w:r w:rsidRPr="006E1DA8">
        <w:rPr>
          <w:kern w:val="2"/>
          <w:sz w:val="20"/>
        </w:rPr>
        <w:t>Parliament has clear constitutional authority to pass legislation governing conduct by non-Canadians outside Canada. Its ability to pass extraterritorial legislation is informed by the binding customary principles of territorial sovereign equality and non-intervention, by the comity of nations, and by the limits of international law to the extent that they are not incompatible with domestic law. By virtue of parliamentary sovereignty, it is open to Parliament to enact legislation that is inconsistent with those principles, but in so doing it would violate international law and offend the comity of nations.</w:t>
      </w:r>
    </w:p>
    <w:p w14:paraId="3FCF36E2" w14:textId="77777777" w:rsidR="005B62B5" w:rsidRPr="006E1DA8" w:rsidRDefault="005B62B5" w:rsidP="0035273A">
      <w:pPr>
        <w:pStyle w:val="BlockQuote"/>
        <w:rPr>
          <w:kern w:val="2"/>
          <w:sz w:val="20"/>
        </w:rPr>
      </w:pPr>
      <w:r w:rsidRPr="006E1DA8">
        <w:rPr>
          <w:kern w:val="2"/>
          <w:sz w:val="20"/>
        </w:rPr>
        <w:t>[36] As a consequence of that reality, courts will approach the interpretation of any legislation with the presumption that Parliament did not intend to violate international law and offend the comity of nations. Thus, absent clear language compelling such an interpretation, courts will adopt an interpretation that leads to the opposite outcome.</w:t>
      </w:r>
    </w:p>
    <w:p w14:paraId="0B795665" w14:textId="77777777" w:rsidR="005B62B5" w:rsidRPr="006E1DA8" w:rsidRDefault="005B62B5" w:rsidP="005B62B5">
      <w:pPr>
        <w:rPr>
          <w:rFonts w:cs="Times New Roman"/>
          <w:kern w:val="2"/>
          <w:sz w:val="20"/>
          <w:szCs w:val="21"/>
        </w:rPr>
      </w:pPr>
      <w:r w:rsidRPr="006E1DA8">
        <w:rPr>
          <w:rFonts w:cs="Times New Roman"/>
          <w:kern w:val="2"/>
          <w:sz w:val="20"/>
          <w:szCs w:val="21"/>
        </w:rPr>
        <w:t>The Court also emphasized the importance of the distinction between jurisdiction over the offence and jurisdiction over the person:</w:t>
      </w:r>
    </w:p>
    <w:p w14:paraId="48F40F72" w14:textId="77777777" w:rsidR="005B62B5" w:rsidRPr="006E1DA8" w:rsidRDefault="005B62B5" w:rsidP="0035273A">
      <w:pPr>
        <w:pStyle w:val="BlockQuote"/>
        <w:rPr>
          <w:kern w:val="2"/>
          <w:sz w:val="20"/>
        </w:rPr>
      </w:pPr>
      <w:r w:rsidRPr="006E1DA8">
        <w:rPr>
          <w:kern w:val="2"/>
          <w:sz w:val="20"/>
        </w:rPr>
        <w:t xml:space="preserve">[13] Where adjudicative jurisdiction is asserted over an alleged offence, a court must have jurisdiction over both the offence and the person accused of the offence. The two are separate and discrete issues. As Doherty J.A. succinctly said in </w:t>
      </w:r>
      <w:r w:rsidRPr="006E1DA8">
        <w:rPr>
          <w:rStyle w:val="Emphasis"/>
          <w:rFonts w:cs="Times New Roman"/>
          <w:kern w:val="2"/>
          <w:sz w:val="20"/>
          <w:szCs w:val="21"/>
        </w:rPr>
        <w:t xml:space="preserve">United States v. </w:t>
      </w:r>
      <w:proofErr w:type="spellStart"/>
      <w:r w:rsidRPr="006E1DA8">
        <w:rPr>
          <w:rStyle w:val="Emphasis"/>
          <w:rFonts w:cs="Times New Roman"/>
          <w:kern w:val="2"/>
          <w:sz w:val="20"/>
          <w:szCs w:val="21"/>
        </w:rPr>
        <w:t>Kavaratzis</w:t>
      </w:r>
      <w:proofErr w:type="spellEnd"/>
      <w:r w:rsidR="006E1DA8" w:rsidRPr="006E1DA8">
        <w:fldChar w:fldCharType="begin"/>
      </w:r>
      <w:r w:rsidR="006E1DA8" w:rsidRPr="006E1DA8">
        <w:instrText xml:space="preserve"> HYPERLINK "https://nextcanada.westlaw.com/Link/Document/FullText?findType=Y&amp;pubNum=6407&amp;serNum=2009061086&amp;originationContext=document&amp;transitionType=Document&amp;contextData=%28sc.UserEnteredCitation%29" </w:instrText>
      </w:r>
      <w:r w:rsidR="006E1DA8" w:rsidRPr="006E1DA8">
        <w:fldChar w:fldCharType="separate"/>
      </w:r>
      <w:r w:rsidRPr="006E1DA8">
        <w:rPr>
          <w:rStyle w:val="Hyperlink"/>
          <w:rFonts w:cs="Times New Roman"/>
          <w:color w:val="000000" w:themeColor="text1"/>
          <w:kern w:val="2"/>
          <w:sz w:val="20"/>
          <w:szCs w:val="21"/>
        </w:rPr>
        <w:t xml:space="preserve"> </w:t>
      </w:r>
      <w:r w:rsidRPr="006E1DA8">
        <w:rPr>
          <w:rStyle w:val="Hyperlink"/>
          <w:rFonts w:cs="Times New Roman"/>
          <w:color w:val="000000" w:themeColor="text1"/>
          <w:kern w:val="2"/>
          <w:sz w:val="20"/>
          <w:szCs w:val="21"/>
          <w:u w:val="none"/>
        </w:rPr>
        <w:t>(2006), 208 C.C.C. (3d) 139</w:t>
      </w:r>
      <w:r w:rsidR="006E1DA8" w:rsidRPr="006E1DA8">
        <w:rPr>
          <w:rStyle w:val="Hyperlink"/>
          <w:rFonts w:cs="Times New Roman"/>
          <w:color w:val="000000" w:themeColor="text1"/>
          <w:kern w:val="2"/>
          <w:sz w:val="20"/>
          <w:szCs w:val="21"/>
          <w:u w:val="none"/>
        </w:rPr>
        <w:fldChar w:fldCharType="end"/>
      </w:r>
      <w:r w:rsidRPr="006E1DA8">
        <w:rPr>
          <w:color w:val="000000" w:themeColor="text1"/>
          <w:kern w:val="2"/>
          <w:sz w:val="20"/>
        </w:rPr>
        <w:t xml:space="preserve"> </w:t>
      </w:r>
      <w:r w:rsidRPr="006E1DA8">
        <w:rPr>
          <w:kern w:val="2"/>
          <w:sz w:val="20"/>
        </w:rPr>
        <w:t xml:space="preserve">(Ont. C.A.), at para. 18: </w:t>
      </w:r>
    </w:p>
    <w:p w14:paraId="101D1287" w14:textId="77777777" w:rsidR="005B62B5" w:rsidRPr="006E1DA8" w:rsidRDefault="005B62B5" w:rsidP="0035273A">
      <w:pPr>
        <w:pStyle w:val="BlockQuote"/>
        <w:ind w:left="1440" w:right="1440"/>
        <w:rPr>
          <w:kern w:val="2"/>
          <w:sz w:val="20"/>
        </w:rPr>
      </w:pPr>
      <w:r w:rsidRPr="006E1DA8">
        <w:rPr>
          <w:kern w:val="2"/>
          <w:sz w:val="20"/>
        </w:rPr>
        <w:t>Jurisdiction over an accused is distinct from jurisdiction over an offence. This dimension of jurisdiction is less commented upon but it is crucial to the resolution of this application.</w:t>
      </w:r>
    </w:p>
    <w:p w14:paraId="6501128E" w14:textId="7CC95734" w:rsidR="005B62B5" w:rsidRPr="006E1DA8" w:rsidRDefault="00CA65CC" w:rsidP="0035273A">
      <w:pPr>
        <w:pStyle w:val="BlockQuote"/>
        <w:rPr>
          <w:kern w:val="2"/>
          <w:sz w:val="20"/>
        </w:rPr>
      </w:pPr>
      <w:r w:rsidRPr="006E1DA8">
        <w:rPr>
          <w:kern w:val="2"/>
          <w:sz w:val="20"/>
        </w:rPr>
        <w:t xml:space="preserve">. . . </w:t>
      </w:r>
    </w:p>
    <w:p w14:paraId="1047A6B8" w14:textId="478A60A1" w:rsidR="005B62B5" w:rsidRPr="006E1DA8" w:rsidRDefault="005B62B5" w:rsidP="0035273A">
      <w:pPr>
        <w:pStyle w:val="BlockQuote"/>
        <w:rPr>
          <w:kern w:val="2"/>
          <w:sz w:val="20"/>
        </w:rPr>
      </w:pPr>
      <w:r w:rsidRPr="006E1DA8">
        <w:rPr>
          <w:kern w:val="2"/>
          <w:sz w:val="20"/>
        </w:rPr>
        <w:t xml:space="preserve">[37] At the risk of being repetitive, but so that it is clear, there is a distinction between Canada extending its jurisdiction over the offence, because the offence has some extraterritorial aspects, and Canada extending its jurisdiction over a person who is outside of Canada's territorial jurisdiction. Jurisdiction over the former is governed by the </w:t>
      </w:r>
      <w:r w:rsidR="00321984" w:rsidRPr="006E1DA8">
        <w:rPr>
          <w:kern w:val="2"/>
          <w:sz w:val="20"/>
        </w:rPr>
        <w:t>“</w:t>
      </w:r>
      <w:r w:rsidRPr="006E1DA8">
        <w:rPr>
          <w:kern w:val="2"/>
          <w:sz w:val="20"/>
        </w:rPr>
        <w:t>real and substantial link</w:t>
      </w:r>
      <w:r w:rsidR="00321984" w:rsidRPr="006E1DA8">
        <w:rPr>
          <w:kern w:val="2"/>
          <w:sz w:val="20"/>
        </w:rPr>
        <w:t>”</w:t>
      </w:r>
      <w:r w:rsidRPr="006E1DA8">
        <w:rPr>
          <w:kern w:val="2"/>
          <w:sz w:val="20"/>
        </w:rPr>
        <w:t xml:space="preserve"> test set out in </w:t>
      </w:r>
      <w:proofErr w:type="spellStart"/>
      <w:r w:rsidRPr="006E1DA8">
        <w:rPr>
          <w:i/>
          <w:iCs/>
          <w:kern w:val="2"/>
          <w:sz w:val="20"/>
        </w:rPr>
        <w:t>Libman</w:t>
      </w:r>
      <w:proofErr w:type="spellEnd"/>
      <w:r w:rsidRPr="006E1DA8">
        <w:rPr>
          <w:kern w:val="2"/>
          <w:sz w:val="20"/>
        </w:rPr>
        <w:t xml:space="preserve">. The latter is governed by the legislative language used in the offence creating statute. This point is made by Robert J. Currie in </w:t>
      </w:r>
      <w:r w:rsidRPr="006E1DA8">
        <w:rPr>
          <w:rStyle w:val="Emphasis"/>
          <w:rFonts w:cs="Times New Roman"/>
          <w:kern w:val="2"/>
          <w:sz w:val="20"/>
          <w:szCs w:val="21"/>
        </w:rPr>
        <w:t>International &amp; Transnational Criminal Law</w:t>
      </w:r>
      <w:r w:rsidRPr="006E1DA8">
        <w:rPr>
          <w:kern w:val="2"/>
          <w:sz w:val="20"/>
        </w:rPr>
        <w:t xml:space="preserve"> where the author observes, at p. 421: </w:t>
      </w:r>
    </w:p>
    <w:p w14:paraId="79ABEDF1" w14:textId="77777777" w:rsidR="005B62B5" w:rsidRPr="006E1DA8" w:rsidRDefault="005B62B5" w:rsidP="00824B01">
      <w:pPr>
        <w:pStyle w:val="BlockQuote"/>
        <w:ind w:left="1440" w:right="1440"/>
        <w:rPr>
          <w:kern w:val="2"/>
          <w:sz w:val="20"/>
        </w:rPr>
      </w:pPr>
      <w:r w:rsidRPr="006E1DA8">
        <w:rPr>
          <w:kern w:val="2"/>
          <w:sz w:val="20"/>
        </w:rPr>
        <w:t xml:space="preserve">When Parliament wishes the courts to take extraterritorial jurisdiction over persons or conduct completely outside Canadian borders, it must instruct the courts to this effect by making it explicit or necessarily implied in the legislation. Otherwise, territorial jurisdiction — as expanded by the </w:t>
      </w:r>
      <w:proofErr w:type="spellStart"/>
      <w:r w:rsidRPr="006E1DA8">
        <w:rPr>
          <w:rStyle w:val="Emphasis"/>
          <w:rFonts w:cs="Times New Roman"/>
          <w:kern w:val="2"/>
          <w:sz w:val="20"/>
          <w:szCs w:val="21"/>
        </w:rPr>
        <w:t>Libman</w:t>
      </w:r>
      <w:proofErr w:type="spellEnd"/>
      <w:r w:rsidRPr="006E1DA8">
        <w:rPr>
          <w:kern w:val="2"/>
          <w:sz w:val="20"/>
        </w:rPr>
        <w:t xml:space="preserve"> criteria — is the default.</w:t>
      </w:r>
    </w:p>
    <w:p w14:paraId="0F621A92" w14:textId="22E68782" w:rsidR="005B62B5" w:rsidRPr="006E1DA8" w:rsidRDefault="005B62B5" w:rsidP="005B62B5">
      <w:pPr>
        <w:rPr>
          <w:rFonts w:cs="Times New Roman"/>
          <w:kern w:val="2"/>
          <w:sz w:val="20"/>
        </w:rPr>
      </w:pPr>
      <w:r w:rsidRPr="006E1DA8">
        <w:rPr>
          <w:rFonts w:cs="Times New Roman"/>
          <w:kern w:val="2"/>
          <w:sz w:val="20"/>
        </w:rPr>
        <w:t>The Court held that neither section 3(1</w:t>
      </w:r>
      <w:proofErr w:type="gramStart"/>
      <w:r w:rsidRPr="006E1DA8">
        <w:rPr>
          <w:rFonts w:cs="Times New Roman"/>
          <w:kern w:val="2"/>
          <w:sz w:val="20"/>
        </w:rPr>
        <w:t>)(</w:t>
      </w:r>
      <w:proofErr w:type="gramEnd"/>
      <w:r w:rsidRPr="006E1DA8">
        <w:rPr>
          <w:rFonts w:cs="Times New Roman"/>
          <w:kern w:val="2"/>
          <w:sz w:val="20"/>
        </w:rPr>
        <w:t xml:space="preserve">b) nor other provisions of </w:t>
      </w:r>
      <w:r w:rsidRPr="006E1DA8">
        <w:rPr>
          <w:rFonts w:cs="Times New Roman"/>
          <w:i/>
          <w:kern w:val="2"/>
          <w:sz w:val="20"/>
        </w:rPr>
        <w:t>CFPOA</w:t>
      </w:r>
      <w:r w:rsidRPr="006E1DA8">
        <w:rPr>
          <w:rFonts w:cs="Times New Roman"/>
          <w:kern w:val="2"/>
          <w:sz w:val="20"/>
        </w:rPr>
        <w:t xml:space="preserve"> contained such clear language, rejecting the position that jurisdiction over the offence establishes jurisdiction over all parties to the offence and noting that jurisdiction over Chowdhury would depend on his physical presence in Canada:</w:t>
      </w:r>
    </w:p>
    <w:p w14:paraId="006DA14B" w14:textId="77777777" w:rsidR="005B62B5" w:rsidRPr="006E1DA8" w:rsidRDefault="005B62B5" w:rsidP="00824B01">
      <w:pPr>
        <w:pStyle w:val="BlockQuote"/>
        <w:rPr>
          <w:kern w:val="2"/>
          <w:sz w:val="20"/>
        </w:rPr>
      </w:pPr>
      <w:r w:rsidRPr="006E1DA8">
        <w:rPr>
          <w:kern w:val="2"/>
          <w:sz w:val="20"/>
        </w:rPr>
        <w:t>[54] In the end result, the position of the Crown appears to be that once Canada has jurisdiction over the offence, it has jurisdiction over all of the parties to that offence. I do not accept that proposition because it conflates the question of jurisdiction over the offence with the question of jurisdiction over the person. The existing authorities make it clear that these are two separate and distinct questions. Canada can achieve an affirmative answer to the first question but that does not lead inexorably to an affirmative answer to the second question. The mere fact that the applicant is a party to the offence is not sufficient, in my view, to give Canada jurisdiction over him unless and until the applicant either physically attends in Canada or Bangladesh offers to surrender him to Canada.</w:t>
      </w:r>
    </w:p>
    <w:p w14:paraId="63D5D61D" w14:textId="77777777" w:rsidR="005B62B5" w:rsidRPr="006E1DA8" w:rsidRDefault="005B62B5" w:rsidP="00824B01">
      <w:pPr>
        <w:pStyle w:val="BlockQuote"/>
        <w:rPr>
          <w:kern w:val="2"/>
          <w:sz w:val="20"/>
        </w:rPr>
      </w:pPr>
      <w:r w:rsidRPr="006E1DA8">
        <w:rPr>
          <w:kern w:val="2"/>
          <w:sz w:val="20"/>
        </w:rPr>
        <w:t xml:space="preserve">[55] This latter point is made out in some of the cases to which I have already referred. For example, in </w:t>
      </w:r>
      <w:hyperlink r:id="rId8" w:history="1">
        <w:proofErr w:type="spellStart"/>
        <w:r w:rsidRPr="006E1DA8">
          <w:rPr>
            <w:rStyle w:val="Hyperlink"/>
            <w:rFonts w:cs="Times New Roman"/>
            <w:i/>
            <w:iCs/>
            <w:color w:val="000000" w:themeColor="text1"/>
            <w:kern w:val="2"/>
            <w:sz w:val="20"/>
            <w:szCs w:val="21"/>
          </w:rPr>
          <w:t>Treacy</w:t>
        </w:r>
        <w:proofErr w:type="spellEnd"/>
      </w:hyperlink>
      <w:r w:rsidRPr="006E1DA8">
        <w:rPr>
          <w:color w:val="000000" w:themeColor="text1"/>
          <w:kern w:val="2"/>
          <w:sz w:val="20"/>
        </w:rPr>
        <w:t xml:space="preserve">, Lord </w:t>
      </w:r>
      <w:proofErr w:type="spellStart"/>
      <w:r w:rsidRPr="006E1DA8">
        <w:rPr>
          <w:color w:val="000000" w:themeColor="text1"/>
          <w:kern w:val="2"/>
          <w:sz w:val="20"/>
        </w:rPr>
        <w:t>Diplock</w:t>
      </w:r>
      <w:proofErr w:type="spellEnd"/>
      <w:r w:rsidRPr="006E1DA8">
        <w:rPr>
          <w:color w:val="000000" w:themeColor="text1"/>
          <w:kern w:val="2"/>
          <w:sz w:val="20"/>
        </w:rPr>
        <w:t xml:space="preserve"> twice alludes to the fact that the English courts could gain jurisdiction over a foreign national </w:t>
      </w:r>
      <w:r w:rsidRPr="006E1DA8">
        <w:rPr>
          <w:kern w:val="2"/>
          <w:sz w:val="20"/>
        </w:rPr>
        <w:t xml:space="preserve">if that person comes into the United Kingdom. Lord </w:t>
      </w:r>
      <w:proofErr w:type="spellStart"/>
      <w:r w:rsidRPr="006E1DA8">
        <w:rPr>
          <w:kern w:val="2"/>
          <w:sz w:val="20"/>
        </w:rPr>
        <w:t>Diplock</w:t>
      </w:r>
      <w:proofErr w:type="spellEnd"/>
      <w:r w:rsidRPr="006E1DA8">
        <w:rPr>
          <w:kern w:val="2"/>
          <w:sz w:val="20"/>
        </w:rPr>
        <w:t xml:space="preserve"> said, at p. 562: </w:t>
      </w:r>
    </w:p>
    <w:p w14:paraId="6C28F7BB" w14:textId="77777777" w:rsidR="005B62B5" w:rsidRPr="006E1DA8" w:rsidRDefault="005B62B5" w:rsidP="00824B01">
      <w:pPr>
        <w:pStyle w:val="BlockQuote"/>
        <w:ind w:left="1440" w:right="1440"/>
        <w:rPr>
          <w:kern w:val="2"/>
          <w:sz w:val="20"/>
        </w:rPr>
      </w:pPr>
      <w:r w:rsidRPr="006E1DA8">
        <w:rPr>
          <w:kern w:val="2"/>
          <w:sz w:val="20"/>
        </w:rPr>
        <w:t xml:space="preserve">Nor, as the converse of this, can I see any reason in comity to prevent Parliament from rendering liable to punishment, </w:t>
      </w:r>
      <w:r w:rsidRPr="006E1DA8">
        <w:rPr>
          <w:rStyle w:val="counderline"/>
          <w:rFonts w:cs="Times New Roman"/>
          <w:kern w:val="2"/>
          <w:sz w:val="20"/>
          <w:szCs w:val="21"/>
        </w:rPr>
        <w:t>if they subsequently come to England</w:t>
      </w:r>
      <w:r w:rsidRPr="006E1DA8">
        <w:rPr>
          <w:kern w:val="2"/>
          <w:sz w:val="20"/>
        </w:rPr>
        <w:t xml:space="preserve">, persons who have done outside the United Kingdom physical acts which have had harmful consequences upon victims in England. [...] It may be under no obligation in comity to punish those acts itself, but it has no ground for complaint in international law if the state in which the harmful consequences had their effect punishes, </w:t>
      </w:r>
      <w:r w:rsidRPr="006E1DA8">
        <w:rPr>
          <w:rStyle w:val="counderline"/>
          <w:rFonts w:cs="Times New Roman"/>
          <w:kern w:val="2"/>
          <w:sz w:val="20"/>
          <w:szCs w:val="21"/>
        </w:rPr>
        <w:t>when they do enter its territories</w:t>
      </w:r>
      <w:r w:rsidRPr="006E1DA8">
        <w:rPr>
          <w:kern w:val="2"/>
          <w:sz w:val="20"/>
        </w:rPr>
        <w:t>, persons who did such acts.</w:t>
      </w:r>
    </w:p>
    <w:p w14:paraId="0BEA1486" w14:textId="593E31A7" w:rsidR="005B62B5" w:rsidRPr="006E1DA8" w:rsidRDefault="005B62B5" w:rsidP="00824B01">
      <w:pPr>
        <w:pStyle w:val="BlockQuote"/>
        <w:rPr>
          <w:kern w:val="2"/>
          <w:sz w:val="20"/>
        </w:rPr>
      </w:pPr>
      <w:r w:rsidRPr="006E1DA8">
        <w:rPr>
          <w:kern w:val="2"/>
          <w:sz w:val="20"/>
        </w:rPr>
        <w:t xml:space="preserve">[56] The same point is made in </w:t>
      </w:r>
      <w:proofErr w:type="spellStart"/>
      <w:r w:rsidRPr="006E1DA8">
        <w:rPr>
          <w:i/>
          <w:iCs/>
          <w:kern w:val="2"/>
          <w:sz w:val="20"/>
        </w:rPr>
        <w:t>Liangsiriprasert</w:t>
      </w:r>
      <w:proofErr w:type="spellEnd"/>
      <w:r w:rsidRPr="006E1DA8">
        <w:rPr>
          <w:kern w:val="2"/>
          <w:sz w:val="20"/>
        </w:rPr>
        <w:t xml:space="preserve"> where Lord Griffiths said, at p. 250: </w:t>
      </w:r>
    </w:p>
    <w:p w14:paraId="69CC1CA0" w14:textId="77777777" w:rsidR="005B62B5" w:rsidRPr="006E1DA8" w:rsidRDefault="005B62B5" w:rsidP="00824B01">
      <w:pPr>
        <w:pStyle w:val="BlockQuote"/>
        <w:ind w:left="1440" w:right="1440"/>
        <w:rPr>
          <w:kern w:val="2"/>
          <w:sz w:val="20"/>
        </w:rPr>
      </w:pPr>
      <w:r w:rsidRPr="006E1DA8">
        <w:rPr>
          <w:kern w:val="2"/>
          <w:sz w:val="20"/>
        </w:rPr>
        <w:t xml:space="preserve">If the inchoate crime is aimed at England with the consequent injury to English society why should the English courts not accept jurisdiction to try it </w:t>
      </w:r>
      <w:r w:rsidRPr="006E1DA8">
        <w:rPr>
          <w:rStyle w:val="counderline"/>
          <w:rFonts w:cs="Times New Roman"/>
          <w:kern w:val="2"/>
          <w:sz w:val="20"/>
          <w:szCs w:val="21"/>
        </w:rPr>
        <w:t>if the authorities can lay hands on the offenders, either because they come within the jurisdiction or through extradition procedures</w:t>
      </w:r>
      <w:r w:rsidRPr="006E1DA8">
        <w:rPr>
          <w:kern w:val="2"/>
          <w:sz w:val="20"/>
        </w:rPr>
        <w:t>?</w:t>
      </w:r>
    </w:p>
    <w:p w14:paraId="0C397B7F" w14:textId="00F57E03" w:rsidR="005B62B5" w:rsidRPr="006E1DA8" w:rsidRDefault="005B62B5" w:rsidP="00824B01">
      <w:pPr>
        <w:pStyle w:val="BlockQuote"/>
        <w:rPr>
          <w:kern w:val="2"/>
          <w:sz w:val="20"/>
        </w:rPr>
      </w:pPr>
      <w:r w:rsidRPr="006E1DA8">
        <w:rPr>
          <w:kern w:val="2"/>
          <w:sz w:val="20"/>
        </w:rPr>
        <w:t xml:space="preserve">[57] I accept, therefore, that if Canada was able to </w:t>
      </w:r>
      <w:r w:rsidR="00321984" w:rsidRPr="006E1DA8">
        <w:rPr>
          <w:kern w:val="2"/>
          <w:sz w:val="20"/>
        </w:rPr>
        <w:t>“</w:t>
      </w:r>
      <w:r w:rsidRPr="006E1DA8">
        <w:rPr>
          <w:kern w:val="2"/>
          <w:sz w:val="20"/>
        </w:rPr>
        <w:t>lay hands</w:t>
      </w:r>
      <w:r w:rsidR="00321984" w:rsidRPr="006E1DA8">
        <w:rPr>
          <w:kern w:val="2"/>
          <w:sz w:val="20"/>
        </w:rPr>
        <w:t>”</w:t>
      </w:r>
      <w:r w:rsidRPr="006E1DA8">
        <w:rPr>
          <w:kern w:val="2"/>
          <w:sz w:val="20"/>
        </w:rPr>
        <w:t xml:space="preserve"> on the applicant, Canada would then have the jurisdiction to try the applicant for an offence under the </w:t>
      </w:r>
      <w:r w:rsidRPr="006E1DA8">
        <w:rPr>
          <w:rStyle w:val="Emphasis"/>
          <w:rFonts w:cs="Times New Roman"/>
          <w:kern w:val="2"/>
          <w:sz w:val="20"/>
          <w:szCs w:val="21"/>
        </w:rPr>
        <w:t>CFPOA</w:t>
      </w:r>
      <w:r w:rsidRPr="006E1DA8">
        <w:rPr>
          <w:kern w:val="2"/>
          <w:sz w:val="20"/>
        </w:rPr>
        <w:t xml:space="preserve"> over which Canada also has jurisdiction. Until that should happen to occur, the </w:t>
      </w:r>
      <w:r w:rsidRPr="006E1DA8">
        <w:rPr>
          <w:rStyle w:val="Emphasis"/>
          <w:rFonts w:cs="Times New Roman"/>
          <w:kern w:val="2"/>
          <w:sz w:val="20"/>
          <w:szCs w:val="21"/>
        </w:rPr>
        <w:t>CFPOA</w:t>
      </w:r>
      <w:r w:rsidRPr="006E1DA8">
        <w:rPr>
          <w:kern w:val="2"/>
          <w:sz w:val="20"/>
        </w:rPr>
        <w:t xml:space="preserve"> does not extend Canada's jurisdiction to the applicant for the purposes of prosecuting him under that statute.</w:t>
      </w:r>
    </w:p>
    <w:p w14:paraId="78836488" w14:textId="559FEB78" w:rsidR="005B62B5" w:rsidRPr="006E1DA8" w:rsidRDefault="005B62B5" w:rsidP="005B62B5">
      <w:pPr>
        <w:rPr>
          <w:rFonts w:cs="Times New Roman"/>
          <w:kern w:val="2"/>
          <w:sz w:val="20"/>
        </w:rPr>
      </w:pPr>
      <w:r w:rsidRPr="006E1DA8">
        <w:rPr>
          <w:rFonts w:cs="Times New Roman"/>
          <w:kern w:val="2"/>
          <w:sz w:val="20"/>
        </w:rPr>
        <w:t xml:space="preserve">Since Canada has no extradition treaty with Bangladesh, Canada cannot </w:t>
      </w:r>
      <w:r w:rsidR="00321984" w:rsidRPr="006E1DA8">
        <w:rPr>
          <w:rFonts w:cs="Times New Roman"/>
          <w:kern w:val="2"/>
          <w:sz w:val="20"/>
        </w:rPr>
        <w:t>“</w:t>
      </w:r>
      <w:r w:rsidRPr="006E1DA8">
        <w:rPr>
          <w:rFonts w:cs="Times New Roman"/>
          <w:kern w:val="2"/>
          <w:sz w:val="20"/>
        </w:rPr>
        <w:t>lay hands</w:t>
      </w:r>
      <w:r w:rsidR="00321984" w:rsidRPr="006E1DA8">
        <w:rPr>
          <w:rFonts w:cs="Times New Roman"/>
          <w:kern w:val="2"/>
          <w:sz w:val="20"/>
        </w:rPr>
        <w:t>”</w:t>
      </w:r>
      <w:r w:rsidRPr="006E1DA8">
        <w:rPr>
          <w:rFonts w:cs="Times New Roman"/>
          <w:kern w:val="2"/>
          <w:sz w:val="20"/>
        </w:rPr>
        <w:t xml:space="preserve"> on Chowdhury. The Court also</w:t>
      </w:r>
      <w:r w:rsidR="00CA65CC" w:rsidRPr="006E1DA8">
        <w:rPr>
          <w:rFonts w:cs="Times New Roman"/>
          <w:kern w:val="2"/>
          <w:sz w:val="20"/>
        </w:rPr>
        <w:t xml:space="preserve"> rejected the Crown’</w:t>
      </w:r>
      <w:r w:rsidRPr="006E1DA8">
        <w:rPr>
          <w:rFonts w:cs="Times New Roman"/>
          <w:kern w:val="2"/>
          <w:sz w:val="20"/>
        </w:rPr>
        <w:t>s argument that Chowdhury would get away with impunity unless Canada claimed jurisdiction over him. The Court stated</w:t>
      </w:r>
      <w:r w:rsidR="008952D0" w:rsidRPr="006E1DA8">
        <w:rPr>
          <w:rFonts w:cs="Times New Roman"/>
          <w:kern w:val="2"/>
          <w:sz w:val="20"/>
        </w:rPr>
        <w:t>:</w:t>
      </w:r>
    </w:p>
    <w:p w14:paraId="27882955" w14:textId="77777777" w:rsidR="005B62B5" w:rsidRPr="006E1DA8" w:rsidRDefault="005B62B5" w:rsidP="00824B01">
      <w:pPr>
        <w:pStyle w:val="BlockQuote"/>
        <w:rPr>
          <w:kern w:val="2"/>
          <w:sz w:val="20"/>
        </w:rPr>
      </w:pPr>
      <w:r w:rsidRPr="006E1DA8">
        <w:rPr>
          <w:kern w:val="2"/>
          <w:sz w:val="20"/>
        </w:rPr>
        <w:t xml:space="preserve">[49] It appears that it was the Minister's view that foreign nationals were not caught by the </w:t>
      </w:r>
      <w:r w:rsidRPr="006E1DA8">
        <w:rPr>
          <w:rStyle w:val="Emphasis"/>
          <w:rFonts w:cs="Times New Roman"/>
          <w:kern w:val="2"/>
          <w:sz w:val="20"/>
          <w:szCs w:val="21"/>
        </w:rPr>
        <w:t>CFPOA</w:t>
      </w:r>
      <w:r w:rsidRPr="006E1DA8">
        <w:rPr>
          <w:kern w:val="2"/>
          <w:sz w:val="20"/>
        </w:rPr>
        <w:t>, that Canada would not have jurisdiction over them and that it would be up to their host country to decide on any prosecution of them.</w:t>
      </w:r>
    </w:p>
    <w:p w14:paraId="65B1815A" w14:textId="3590D9F4" w:rsidR="005B62B5" w:rsidRPr="006E1DA8" w:rsidRDefault="005B62B5" w:rsidP="00824B01">
      <w:pPr>
        <w:pStyle w:val="BlockQuote"/>
        <w:rPr>
          <w:kern w:val="2"/>
          <w:sz w:val="20"/>
        </w:rPr>
      </w:pPr>
      <w:r w:rsidRPr="006E1DA8">
        <w:rPr>
          <w:kern w:val="2"/>
          <w:sz w:val="20"/>
        </w:rPr>
        <w:t xml:space="preserve">[50] The Crown submits that such an interpretation would allow the applicant to get away with his activities </w:t>
      </w:r>
      <w:r w:rsidR="00321984" w:rsidRPr="006E1DA8">
        <w:rPr>
          <w:kern w:val="2"/>
          <w:sz w:val="20"/>
        </w:rPr>
        <w:t>“</w:t>
      </w:r>
      <w:r w:rsidRPr="006E1DA8">
        <w:rPr>
          <w:kern w:val="2"/>
          <w:sz w:val="20"/>
        </w:rPr>
        <w:t>with impunity</w:t>
      </w:r>
      <w:r w:rsidR="00321984" w:rsidRPr="006E1DA8">
        <w:rPr>
          <w:kern w:val="2"/>
          <w:sz w:val="20"/>
        </w:rPr>
        <w:t>”</w:t>
      </w:r>
      <w:r w:rsidRPr="006E1DA8">
        <w:rPr>
          <w:kern w:val="2"/>
          <w:sz w:val="20"/>
        </w:rPr>
        <w:t>. Indeed, that may well be the result but, if it is, it is because the authorities in Bangladesh will have decided not to prosecute the applicant for any involvement he had in these matters and not to surrender him to Canada for prosecution here. Those are both decisions that a sovereign country is entitled to make in respect of one of its citizens. I can think of few greater infringements on the sovereignty of a foreign state than for Canada to say that it will pre-empt or overrule those conclusions by purporting to prosecute the applicant in this country where his own country has declined to do so.</w:t>
      </w:r>
    </w:p>
    <w:p w14:paraId="02D7E080" w14:textId="77777777" w:rsidR="005B62B5" w:rsidRPr="006E1DA8" w:rsidRDefault="005B62B5" w:rsidP="00824B01">
      <w:pPr>
        <w:pStyle w:val="BlockQuote"/>
        <w:rPr>
          <w:kern w:val="2"/>
          <w:sz w:val="20"/>
        </w:rPr>
      </w:pPr>
      <w:r w:rsidRPr="006E1DA8">
        <w:rPr>
          <w:kern w:val="2"/>
          <w:sz w:val="20"/>
        </w:rPr>
        <w:t xml:space="preserve">[51] In addition to those considerations, the principle of international comity argues against an interpretation of s. 3 that would bring foreign nationals within its ambit. A state's sovereignty is at its peak when it is dealing with its own citizens and their actions within that state's own borders. </w:t>
      </w:r>
    </w:p>
    <w:p w14:paraId="6FA9A75C" w14:textId="00E950A2" w:rsidR="005B62B5" w:rsidRPr="006E1DA8" w:rsidRDefault="005B62B5" w:rsidP="005B62B5">
      <w:pPr>
        <w:rPr>
          <w:rFonts w:cs="Times New Roman"/>
          <w:kern w:val="2"/>
          <w:sz w:val="20"/>
        </w:rPr>
      </w:pPr>
      <w:r w:rsidRPr="006E1DA8">
        <w:rPr>
          <w:rFonts w:cs="Times New Roman"/>
          <w:kern w:val="2"/>
          <w:sz w:val="20"/>
        </w:rPr>
        <w:t xml:space="preserve">The 2013 amendments to </w:t>
      </w:r>
      <w:r w:rsidRPr="006E1DA8">
        <w:rPr>
          <w:rFonts w:cs="Times New Roman"/>
          <w:i/>
          <w:kern w:val="2"/>
          <w:sz w:val="20"/>
        </w:rPr>
        <w:t>CFPOA</w:t>
      </w:r>
      <w:r w:rsidRPr="006E1DA8">
        <w:rPr>
          <w:rFonts w:cs="Times New Roman"/>
          <w:kern w:val="2"/>
          <w:sz w:val="20"/>
        </w:rPr>
        <w:t xml:space="preserve"> (adding nationality jurisdiction) would not give Canada jurisdiction over a person like Chowdhury. </w:t>
      </w:r>
    </w:p>
    <w:p w14:paraId="5A8663B0" w14:textId="1E0351C0" w:rsidR="005B62B5" w:rsidRPr="006E1DA8" w:rsidRDefault="005B62B5" w:rsidP="005B62B5">
      <w:pPr>
        <w:rPr>
          <w:rFonts w:cs="Times New Roman"/>
          <w:kern w:val="2"/>
          <w:sz w:val="20"/>
        </w:rPr>
      </w:pPr>
      <w:r w:rsidRPr="006E1DA8">
        <w:rPr>
          <w:rFonts w:cs="Times New Roman"/>
          <w:kern w:val="2"/>
          <w:sz w:val="20"/>
        </w:rPr>
        <w:t xml:space="preserve">On June 4, 2014, the RCMP charged US nationals Robert Barra and Dario </w:t>
      </w:r>
      <w:proofErr w:type="spellStart"/>
      <w:r w:rsidRPr="006E1DA8">
        <w:rPr>
          <w:rFonts w:cs="Times New Roman"/>
          <w:kern w:val="2"/>
          <w:sz w:val="20"/>
        </w:rPr>
        <w:t>Berini</w:t>
      </w:r>
      <w:proofErr w:type="spellEnd"/>
      <w:r w:rsidRPr="006E1DA8">
        <w:rPr>
          <w:rFonts w:cs="Times New Roman"/>
          <w:kern w:val="2"/>
          <w:sz w:val="20"/>
        </w:rPr>
        <w:t xml:space="preserve"> (former CEOs of </w:t>
      </w:r>
      <w:proofErr w:type="spellStart"/>
      <w:r w:rsidRPr="006E1DA8">
        <w:rPr>
          <w:rFonts w:cs="Times New Roman"/>
          <w:kern w:val="2"/>
          <w:sz w:val="20"/>
        </w:rPr>
        <w:t>Cryptometrics</w:t>
      </w:r>
      <w:proofErr w:type="spellEnd"/>
      <w:r w:rsidRPr="006E1DA8">
        <w:rPr>
          <w:rFonts w:cs="Times New Roman"/>
          <w:kern w:val="2"/>
          <w:sz w:val="20"/>
        </w:rPr>
        <w:t>)</w:t>
      </w:r>
      <w:r w:rsidR="00075E8D" w:rsidRPr="006E1DA8">
        <w:rPr>
          <w:rFonts w:cs="Times New Roman"/>
          <w:kern w:val="2"/>
          <w:sz w:val="20"/>
        </w:rPr>
        <w:t>,</w:t>
      </w:r>
      <w:r w:rsidRPr="006E1DA8">
        <w:rPr>
          <w:rFonts w:cs="Times New Roman"/>
          <w:kern w:val="2"/>
          <w:sz w:val="20"/>
        </w:rPr>
        <w:t xml:space="preserve"> and UK national </w:t>
      </w:r>
      <w:proofErr w:type="spellStart"/>
      <w:r w:rsidRPr="006E1DA8">
        <w:rPr>
          <w:rFonts w:cs="Times New Roman"/>
          <w:kern w:val="2"/>
          <w:sz w:val="20"/>
        </w:rPr>
        <w:t>Shailesh</w:t>
      </w:r>
      <w:proofErr w:type="spellEnd"/>
      <w:r w:rsidRPr="006E1DA8">
        <w:rPr>
          <w:rFonts w:cs="Times New Roman"/>
          <w:kern w:val="2"/>
          <w:sz w:val="20"/>
        </w:rPr>
        <w:t xml:space="preserve"> </w:t>
      </w:r>
      <w:proofErr w:type="spellStart"/>
      <w:r w:rsidRPr="006E1DA8">
        <w:rPr>
          <w:rFonts w:cs="Times New Roman"/>
          <w:kern w:val="2"/>
          <w:sz w:val="20"/>
        </w:rPr>
        <w:t>Govindia</w:t>
      </w:r>
      <w:proofErr w:type="spellEnd"/>
      <w:r w:rsidRPr="006E1DA8">
        <w:rPr>
          <w:rFonts w:cs="Times New Roman"/>
          <w:kern w:val="2"/>
          <w:sz w:val="20"/>
        </w:rPr>
        <w:t xml:space="preserve"> (an agent for </w:t>
      </w:r>
      <w:proofErr w:type="spellStart"/>
      <w:r w:rsidRPr="006E1DA8">
        <w:rPr>
          <w:rFonts w:cs="Times New Roman"/>
          <w:kern w:val="2"/>
          <w:sz w:val="20"/>
        </w:rPr>
        <w:t>Cryptometrics</w:t>
      </w:r>
      <w:proofErr w:type="spellEnd"/>
      <w:r w:rsidRPr="006E1DA8">
        <w:rPr>
          <w:rFonts w:cs="Times New Roman"/>
          <w:kern w:val="2"/>
          <w:sz w:val="20"/>
        </w:rPr>
        <w:t xml:space="preserve">) with an offence under section 3 of </w:t>
      </w:r>
      <w:r w:rsidRPr="006E1DA8">
        <w:rPr>
          <w:rFonts w:cs="Times New Roman"/>
          <w:i/>
          <w:kern w:val="2"/>
          <w:sz w:val="20"/>
        </w:rPr>
        <w:t>CFPOA</w:t>
      </w:r>
      <w:r w:rsidRPr="006E1DA8">
        <w:rPr>
          <w:rFonts w:cs="Times New Roman"/>
          <w:kern w:val="2"/>
          <w:sz w:val="20"/>
        </w:rPr>
        <w:t xml:space="preserve">. Canada-wide warrants </w:t>
      </w:r>
      <w:r w:rsidR="000A363C" w:rsidRPr="006E1DA8">
        <w:rPr>
          <w:rFonts w:cs="Times New Roman"/>
          <w:kern w:val="2"/>
          <w:sz w:val="20"/>
        </w:rPr>
        <w:t>were</w:t>
      </w:r>
      <w:r w:rsidRPr="006E1DA8">
        <w:rPr>
          <w:rFonts w:cs="Times New Roman"/>
          <w:kern w:val="2"/>
          <w:sz w:val="20"/>
        </w:rPr>
        <w:t xml:space="preserve"> issued for all three (extradition proceedings in US and UK are an option). Based on </w:t>
      </w:r>
      <w:r w:rsidRPr="006E1DA8">
        <w:rPr>
          <w:rFonts w:cs="Times New Roman"/>
          <w:i/>
          <w:kern w:val="2"/>
          <w:sz w:val="20"/>
        </w:rPr>
        <w:t>Chowdhury</w:t>
      </w:r>
      <w:r w:rsidRPr="006E1DA8">
        <w:rPr>
          <w:rFonts w:cs="Times New Roman"/>
          <w:kern w:val="2"/>
          <w:sz w:val="20"/>
        </w:rPr>
        <w:t>, prosecutors will no doubt argue that Canada has a legitimate interest in prosecuting these foreign nationals in Canada because the bribery scheme had its genesis in Canada.</w:t>
      </w:r>
    </w:p>
    <w:p w14:paraId="0E8A29AB" w14:textId="071155C9" w:rsidR="00622318" w:rsidRPr="006E1DA8" w:rsidRDefault="00622318" w:rsidP="00622318">
      <w:pPr>
        <w:rPr>
          <w:rFonts w:cs="Times New Roman"/>
          <w:kern w:val="2"/>
          <w:sz w:val="20"/>
        </w:rPr>
      </w:pPr>
      <w:r w:rsidRPr="006E1DA8">
        <w:rPr>
          <w:rFonts w:cs="Times New Roman"/>
          <w:kern w:val="2"/>
          <w:sz w:val="20"/>
        </w:rPr>
        <w:t>For more on Canada’s jurisdiction over transnational criminal offences, see</w:t>
      </w:r>
      <w:r w:rsidR="00CA65CC" w:rsidRPr="006E1DA8">
        <w:rPr>
          <w:rFonts w:cs="Times New Roman"/>
          <w:kern w:val="2"/>
          <w:sz w:val="20"/>
        </w:rPr>
        <w:t xml:space="preserve"> Robert J</w:t>
      </w:r>
      <w:r w:rsidR="002A742C" w:rsidRPr="006E1DA8">
        <w:rPr>
          <w:rFonts w:cs="Times New Roman"/>
          <w:kern w:val="2"/>
          <w:sz w:val="20"/>
        </w:rPr>
        <w:t>.</w:t>
      </w:r>
      <w:r w:rsidR="00CA65CC" w:rsidRPr="006E1DA8">
        <w:rPr>
          <w:rFonts w:cs="Times New Roman"/>
          <w:kern w:val="2"/>
          <w:sz w:val="20"/>
        </w:rPr>
        <w:t xml:space="preserve"> Currie &amp;</w:t>
      </w:r>
      <w:r w:rsidRPr="006E1DA8">
        <w:rPr>
          <w:rFonts w:cs="Times New Roman"/>
          <w:kern w:val="2"/>
          <w:sz w:val="20"/>
        </w:rPr>
        <w:t xml:space="preserve"> Dr. Joseph </w:t>
      </w:r>
      <w:proofErr w:type="spellStart"/>
      <w:r w:rsidRPr="006E1DA8">
        <w:rPr>
          <w:rFonts w:cs="Times New Roman"/>
          <w:kern w:val="2"/>
          <w:sz w:val="20"/>
        </w:rPr>
        <w:t>Rikhof</w:t>
      </w:r>
      <w:proofErr w:type="spellEnd"/>
      <w:r w:rsidRPr="006E1DA8">
        <w:rPr>
          <w:rFonts w:cs="Times New Roman"/>
          <w:kern w:val="2"/>
          <w:sz w:val="20"/>
        </w:rPr>
        <w:t xml:space="preserve">, </w:t>
      </w:r>
      <w:r w:rsidRPr="006E1DA8">
        <w:rPr>
          <w:rFonts w:cs="Times New Roman"/>
          <w:i/>
          <w:kern w:val="2"/>
          <w:sz w:val="20"/>
        </w:rPr>
        <w:t>International &amp; Transnational Criminal Law</w:t>
      </w:r>
      <w:r w:rsidR="00CA65CC" w:rsidRPr="006E1DA8">
        <w:rPr>
          <w:rFonts w:cs="Times New Roman"/>
          <w:kern w:val="2"/>
          <w:sz w:val="20"/>
        </w:rPr>
        <w:t>,</w:t>
      </w:r>
      <w:r w:rsidRPr="006E1DA8">
        <w:rPr>
          <w:rFonts w:cs="Times New Roman"/>
          <w:i/>
          <w:kern w:val="2"/>
          <w:sz w:val="20"/>
        </w:rPr>
        <w:t xml:space="preserve"> </w:t>
      </w:r>
      <w:r w:rsidRPr="006E1DA8">
        <w:rPr>
          <w:rFonts w:cs="Times New Roman"/>
          <w:kern w:val="2"/>
          <w:sz w:val="20"/>
        </w:rPr>
        <w:t>2</w:t>
      </w:r>
      <w:r w:rsidRPr="006E1DA8">
        <w:rPr>
          <w:rFonts w:cs="Times New Roman"/>
          <w:kern w:val="2"/>
          <w:sz w:val="20"/>
          <w:vertAlign w:val="superscript"/>
        </w:rPr>
        <w:t>nd</w:t>
      </w:r>
      <w:r w:rsidR="00CA65CC" w:rsidRPr="006E1DA8">
        <w:rPr>
          <w:rFonts w:cs="Times New Roman"/>
          <w:kern w:val="2"/>
          <w:sz w:val="20"/>
        </w:rPr>
        <w:t xml:space="preserve"> </w:t>
      </w:r>
      <w:proofErr w:type="spellStart"/>
      <w:proofErr w:type="gramStart"/>
      <w:r w:rsidR="00CA65CC" w:rsidRPr="006E1DA8">
        <w:rPr>
          <w:rFonts w:cs="Times New Roman"/>
          <w:kern w:val="2"/>
          <w:sz w:val="20"/>
        </w:rPr>
        <w:t>ed</w:t>
      </w:r>
      <w:proofErr w:type="spellEnd"/>
      <w:proofErr w:type="gramEnd"/>
      <w:r w:rsidR="00CA65CC" w:rsidRPr="006E1DA8">
        <w:rPr>
          <w:rFonts w:cs="Times New Roman"/>
          <w:kern w:val="2"/>
          <w:sz w:val="20"/>
        </w:rPr>
        <w:t xml:space="preserve"> (Irwin Law</w:t>
      </w:r>
      <w:r w:rsidRPr="006E1DA8">
        <w:rPr>
          <w:rFonts w:cs="Times New Roman"/>
          <w:kern w:val="2"/>
          <w:sz w:val="20"/>
        </w:rPr>
        <w:t xml:space="preserve">, 2013).   </w:t>
      </w:r>
      <w:bookmarkStart w:id="11" w:name="_Toc287029847"/>
    </w:p>
    <w:p w14:paraId="2C575DC7" w14:textId="3C99C2E7" w:rsidR="00622318" w:rsidRPr="006E1DA8" w:rsidRDefault="00622318" w:rsidP="001A11D0">
      <w:pPr>
        <w:pStyle w:val="Heading2"/>
        <w:rPr>
          <w:kern w:val="2"/>
          <w:sz w:val="24"/>
        </w:rPr>
      </w:pPr>
      <w:r w:rsidRPr="006E1DA8">
        <w:rPr>
          <w:kern w:val="2"/>
          <w:sz w:val="24"/>
        </w:rPr>
        <w:t>Concerns with Expanded Jurisdiction</w:t>
      </w:r>
      <w:bookmarkEnd w:id="11"/>
    </w:p>
    <w:p w14:paraId="015B968A" w14:textId="136E81B7" w:rsidR="00622318" w:rsidRPr="006E1DA8" w:rsidRDefault="00622318" w:rsidP="00622318">
      <w:pPr>
        <w:rPr>
          <w:rFonts w:cs="Times New Roman"/>
          <w:kern w:val="2"/>
          <w:sz w:val="20"/>
        </w:rPr>
      </w:pPr>
      <w:proofErr w:type="spellStart"/>
      <w:r w:rsidRPr="006E1DA8">
        <w:rPr>
          <w:rFonts w:cs="Times New Roman"/>
          <w:kern w:val="2"/>
          <w:sz w:val="20"/>
        </w:rPr>
        <w:t>Skinnider</w:t>
      </w:r>
      <w:proofErr w:type="spellEnd"/>
      <w:r w:rsidR="00CA65CC" w:rsidRPr="006E1DA8">
        <w:rPr>
          <w:rFonts w:cs="Times New Roman"/>
          <w:kern w:val="2"/>
          <w:sz w:val="20"/>
        </w:rPr>
        <w:t>,</w:t>
      </w:r>
      <w:r w:rsidRPr="006E1DA8">
        <w:rPr>
          <w:rFonts w:cs="Times New Roman"/>
          <w:kern w:val="2"/>
          <w:sz w:val="20"/>
        </w:rPr>
        <w:t xml:space="preserve"> in </w:t>
      </w:r>
      <w:r w:rsidRPr="006E1DA8">
        <w:rPr>
          <w:rFonts w:cs="Times New Roman"/>
          <w:i/>
          <w:kern w:val="2"/>
          <w:sz w:val="20"/>
        </w:rPr>
        <w:t>Corruption in Canada: Reviewing Practices from Abroad to Improve Our Response</w:t>
      </w:r>
      <w:r w:rsidR="00CA65CC" w:rsidRPr="006E1DA8">
        <w:rPr>
          <w:rFonts w:cs="Times New Roman"/>
          <w:kern w:val="2"/>
          <w:sz w:val="20"/>
        </w:rPr>
        <w:t>,</w:t>
      </w:r>
      <w:r w:rsidRPr="006E1DA8">
        <w:rPr>
          <w:rFonts w:cs="Times New Roman"/>
          <w:i/>
          <w:kern w:val="2"/>
          <w:sz w:val="20"/>
        </w:rPr>
        <w:t xml:space="preserve"> </w:t>
      </w:r>
      <w:r w:rsidRPr="006E1DA8">
        <w:rPr>
          <w:rFonts w:cs="Times New Roman"/>
          <w:kern w:val="2"/>
          <w:sz w:val="20"/>
        </w:rPr>
        <w:t>reviews some of the major arguments as well as some of the concerns associated with expanding jurisdiction:</w:t>
      </w:r>
      <w:r w:rsidRPr="006E1DA8">
        <w:rPr>
          <w:rStyle w:val="FootnoteReference"/>
          <w:rFonts w:cs="Times New Roman"/>
          <w:kern w:val="2"/>
          <w:sz w:val="20"/>
        </w:rPr>
        <w:footnoteReference w:id="44"/>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824B01" w:rsidRPr="006E1DA8" w14:paraId="560078C2" w14:textId="77777777" w:rsidTr="0096575C">
        <w:trPr>
          <w:jc w:val="center"/>
        </w:trPr>
        <w:tc>
          <w:tcPr>
            <w:tcW w:w="9350" w:type="dxa"/>
            <w:tcBorders>
              <w:top w:val="nil"/>
              <w:left w:val="nil"/>
              <w:bottom w:val="nil"/>
              <w:right w:val="nil"/>
            </w:tcBorders>
            <w:shd w:val="clear" w:color="auto" w:fill="D9D9D9" w:themeFill="background1" w:themeFillShade="D9"/>
          </w:tcPr>
          <w:p w14:paraId="39928385" w14:textId="77777777" w:rsidR="00824B01" w:rsidRPr="006E1DA8" w:rsidRDefault="00824B01" w:rsidP="0096575C">
            <w:pPr>
              <w:pStyle w:val="ExcerptMarker"/>
              <w:spacing w:before="0"/>
              <w:rPr>
                <w:kern w:val="2"/>
                <w:sz w:val="16"/>
              </w:rPr>
            </w:pPr>
            <w:r w:rsidRPr="006E1DA8">
              <w:rPr>
                <w:kern w:val="2"/>
                <w:sz w:val="16"/>
              </w:rPr>
              <w:t>Beginning of Excerpt</w:t>
            </w:r>
          </w:p>
          <w:p w14:paraId="6CF2EFA7" w14:textId="2687C42C" w:rsidR="00824B01" w:rsidRPr="006E1DA8" w:rsidRDefault="00824B01" w:rsidP="00824B01">
            <w:pPr>
              <w:rPr>
                <w:kern w:val="2"/>
                <w:sz w:val="20"/>
              </w:rPr>
            </w:pPr>
            <w:r w:rsidRPr="006E1DA8">
              <w:rPr>
                <w:kern w:val="2"/>
                <w:sz w:val="20"/>
              </w:rPr>
              <w:t>The broadening of  jurisdiction  beyond  the  principle  of  [strict] territoriality  will  likely  result  in  higher incidences of concurrent jurisdiction. This could give rise to conflicting assertions of civil or criminal jurisdiction, conflicts of laws and concerns of dual criminality and double jeopardy. Companies have raised concerns as to how they are to do business and respond to investigations and prosecutions in multiple jurisdictions that have different substantive laws, enforcement procedures, penalties and available resources.</w:t>
            </w:r>
            <w:r w:rsidRPr="006E1DA8">
              <w:rPr>
                <w:rStyle w:val="FootnoteReference"/>
                <w:rFonts w:cs="Times New Roman"/>
                <w:kern w:val="2"/>
                <w:sz w:val="20"/>
              </w:rPr>
              <w:footnoteReference w:id="45"/>
            </w:r>
            <w:r w:rsidR="005D7CF3" w:rsidRPr="006E1DA8">
              <w:rPr>
                <w:kern w:val="2"/>
                <w:sz w:val="20"/>
              </w:rPr>
              <w:t xml:space="preserve"> C</w:t>
            </w:r>
            <w:r w:rsidRPr="006E1DA8">
              <w:rPr>
                <w:kern w:val="2"/>
                <w:sz w:val="20"/>
              </w:rPr>
              <w:t xml:space="preserve">ompanies have also expressed concern regarding the </w:t>
            </w:r>
            <w:r w:rsidR="00321984" w:rsidRPr="006E1DA8">
              <w:rPr>
                <w:kern w:val="2"/>
                <w:sz w:val="20"/>
              </w:rPr>
              <w:t>“</w:t>
            </w:r>
            <w:r w:rsidRPr="006E1DA8">
              <w:rPr>
                <w:kern w:val="2"/>
                <w:sz w:val="20"/>
              </w:rPr>
              <w:t>legalization of compliance codes</w:t>
            </w:r>
            <w:r w:rsidR="00321984" w:rsidRPr="006E1DA8">
              <w:rPr>
                <w:kern w:val="2"/>
                <w:sz w:val="20"/>
              </w:rPr>
              <w:t>”</w:t>
            </w:r>
            <w:r w:rsidRPr="006E1DA8">
              <w:rPr>
                <w:kern w:val="2"/>
                <w:sz w:val="20"/>
              </w:rPr>
              <w:t xml:space="preserve"> and the multiplicity of possible compliance codes found in different States.</w:t>
            </w:r>
            <w:r w:rsidRPr="006E1DA8">
              <w:rPr>
                <w:rStyle w:val="FootnoteReference"/>
                <w:rFonts w:cs="Times New Roman"/>
                <w:kern w:val="2"/>
                <w:sz w:val="20"/>
              </w:rPr>
              <w:footnoteReference w:id="46"/>
            </w:r>
          </w:p>
          <w:p w14:paraId="3EE0CB56" w14:textId="3BB506D9" w:rsidR="00824B01" w:rsidRPr="006E1DA8" w:rsidRDefault="00824B01" w:rsidP="00824B01">
            <w:pPr>
              <w:rPr>
                <w:kern w:val="2"/>
                <w:sz w:val="20"/>
              </w:rPr>
            </w:pPr>
            <w:r w:rsidRPr="006E1DA8">
              <w:rPr>
                <w:kern w:val="2"/>
                <w:sz w:val="20"/>
              </w:rPr>
              <w:t>Some commentators counter these concerns by pointing out that the reality is there is an appalling lack of enforcement, and not to waste time worrying about multiple jurisdictional issues.</w:t>
            </w:r>
            <w:r w:rsidRPr="006E1DA8">
              <w:rPr>
                <w:rStyle w:val="FootnoteReference"/>
                <w:rFonts w:cs="Times New Roman"/>
                <w:kern w:val="2"/>
                <w:sz w:val="20"/>
              </w:rPr>
              <w:footnoteReference w:id="47"/>
            </w:r>
            <w:r w:rsidRPr="006E1DA8">
              <w:rPr>
                <w:kern w:val="2"/>
                <w:sz w:val="20"/>
                <w:vertAlign w:val="superscript"/>
              </w:rPr>
              <w:t xml:space="preserve"> </w:t>
            </w:r>
            <w:r w:rsidRPr="006E1DA8">
              <w:rPr>
                <w:kern w:val="2"/>
                <w:sz w:val="20"/>
              </w:rPr>
              <w:t>However, the IBA Legal Practice Division Task Force on Extraterritorial Jurisdiction has studied this issue and calls for harmonizing guidelines to alleviate this potential challenge.</w:t>
            </w:r>
            <w:r w:rsidRPr="006E1DA8">
              <w:rPr>
                <w:rStyle w:val="FootnoteReference"/>
                <w:rFonts w:cs="Times New Roman"/>
                <w:kern w:val="2"/>
                <w:sz w:val="20"/>
              </w:rPr>
              <w:footnoteReference w:id="48"/>
            </w:r>
            <w:r w:rsidRPr="006E1DA8">
              <w:rPr>
                <w:kern w:val="2"/>
                <w:sz w:val="20"/>
              </w:rPr>
              <w:t xml:space="preserve"> The Task Force also calls for States to consider adopting a </w:t>
            </w:r>
            <w:r w:rsidR="00321984" w:rsidRPr="006E1DA8">
              <w:rPr>
                <w:kern w:val="2"/>
                <w:sz w:val="20"/>
              </w:rPr>
              <w:t>“</w:t>
            </w:r>
            <w:r w:rsidRPr="006E1DA8">
              <w:rPr>
                <w:kern w:val="2"/>
                <w:sz w:val="20"/>
              </w:rPr>
              <w:t>soft</w:t>
            </w:r>
            <w:r w:rsidR="00321984" w:rsidRPr="006E1DA8">
              <w:rPr>
                <w:kern w:val="2"/>
                <w:sz w:val="20"/>
              </w:rPr>
              <w:t>”</w:t>
            </w:r>
            <w:r w:rsidRPr="006E1DA8">
              <w:rPr>
                <w:kern w:val="2"/>
                <w:sz w:val="20"/>
              </w:rPr>
              <w:t xml:space="preserve"> form of double jeopardy or </w:t>
            </w:r>
            <w:r w:rsidRPr="006E1DA8">
              <w:rPr>
                <w:i/>
                <w:kern w:val="2"/>
                <w:sz w:val="20"/>
              </w:rPr>
              <w:t xml:space="preserve">ne </w:t>
            </w:r>
            <w:proofErr w:type="spellStart"/>
            <w:r w:rsidRPr="006E1DA8">
              <w:rPr>
                <w:i/>
                <w:kern w:val="2"/>
                <w:sz w:val="20"/>
              </w:rPr>
              <w:t>bis</w:t>
            </w:r>
            <w:proofErr w:type="spellEnd"/>
            <w:r w:rsidRPr="006E1DA8">
              <w:rPr>
                <w:i/>
                <w:kern w:val="2"/>
                <w:sz w:val="20"/>
              </w:rPr>
              <w:t xml:space="preserve"> in idem</w:t>
            </w:r>
            <w:r w:rsidRPr="006E1DA8">
              <w:rPr>
                <w:kern w:val="2"/>
                <w:sz w:val="20"/>
              </w:rPr>
              <w:t xml:space="preserve"> that takes into account not just criminal liability, but </w:t>
            </w:r>
            <w:r w:rsidR="00321984" w:rsidRPr="006E1DA8">
              <w:rPr>
                <w:kern w:val="2"/>
                <w:sz w:val="20"/>
              </w:rPr>
              <w:t>“</w:t>
            </w:r>
            <w:r w:rsidRPr="006E1DA8">
              <w:rPr>
                <w:kern w:val="2"/>
                <w:sz w:val="20"/>
              </w:rPr>
              <w:t>functional equivalent</w:t>
            </w:r>
            <w:r w:rsidR="00321984" w:rsidRPr="006E1DA8">
              <w:rPr>
                <w:kern w:val="2"/>
                <w:sz w:val="20"/>
              </w:rPr>
              <w:t>”</w:t>
            </w:r>
            <w:r w:rsidRPr="006E1DA8">
              <w:rPr>
                <w:kern w:val="2"/>
                <w:sz w:val="20"/>
              </w:rPr>
              <w:t xml:space="preserve"> civil liability for corporations and individuals.</w:t>
            </w:r>
            <w:r w:rsidRPr="006E1DA8">
              <w:rPr>
                <w:rStyle w:val="FootnoteReference"/>
                <w:rFonts w:cs="Times New Roman"/>
                <w:kern w:val="2"/>
                <w:sz w:val="20"/>
              </w:rPr>
              <w:footnoteReference w:id="49"/>
            </w:r>
            <w:r w:rsidRPr="006E1DA8">
              <w:rPr>
                <w:kern w:val="2"/>
                <w:sz w:val="20"/>
              </w:rPr>
              <w:t xml:space="preserve"> The lack of harmonization of corruption statutes in terms of corporate and individual liability, penalties, major elements of offences and defences, needs to be considered in devising any double jeopardy rule.</w:t>
            </w:r>
          </w:p>
          <w:p w14:paraId="50E56AD9" w14:textId="2DB7E2FF" w:rsidR="00824B01" w:rsidRPr="006E1DA8" w:rsidRDefault="00824B01" w:rsidP="00824B01">
            <w:pPr>
              <w:rPr>
                <w:kern w:val="2"/>
                <w:sz w:val="20"/>
                <w:vertAlign w:val="superscript"/>
              </w:rPr>
            </w:pPr>
            <w:r w:rsidRPr="006E1DA8">
              <w:rPr>
                <w:kern w:val="2"/>
                <w:sz w:val="20"/>
              </w:rPr>
              <w:t xml:space="preserve">Whether a corporation may be regarded as national differs amongst States. Some States regard a corporation as national if it has been founded according to the national law or if the corporation resides in the territory. Other States relate the question of jurisdiction to the nationality of the acting natural person, not to the nationality of the legal person. Thus, States would require that the person who has acted corruptly within the structure or in favor of the legal person is one of its citizens. However, this may cause </w:t>
            </w:r>
            <w:r w:rsidR="00321984" w:rsidRPr="006E1DA8">
              <w:rPr>
                <w:kern w:val="2"/>
                <w:sz w:val="20"/>
              </w:rPr>
              <w:t>“</w:t>
            </w:r>
            <w:r w:rsidRPr="006E1DA8">
              <w:rPr>
                <w:kern w:val="2"/>
                <w:sz w:val="20"/>
              </w:rPr>
              <w:t>serious legal loopholes since in the crucial cases of corporate liability investigative  agencies  may  not  be  able  to  identify  the  individual  instigator  or  perpetrator</w:t>
            </w:r>
            <w:r w:rsidR="00321984" w:rsidRPr="006E1DA8">
              <w:rPr>
                <w:kern w:val="2"/>
                <w:sz w:val="20"/>
              </w:rPr>
              <w:t>”</w:t>
            </w:r>
            <w:r w:rsidRPr="006E1DA8">
              <w:rPr>
                <w:kern w:val="2"/>
                <w:sz w:val="20"/>
              </w:rPr>
              <w:t>.</w:t>
            </w:r>
            <w:r w:rsidRPr="006E1DA8">
              <w:rPr>
                <w:rStyle w:val="FootnoteReference"/>
                <w:rFonts w:cs="Times New Roman"/>
                <w:kern w:val="2"/>
                <w:sz w:val="20"/>
              </w:rPr>
              <w:footnoteReference w:id="50"/>
            </w:r>
          </w:p>
          <w:p w14:paraId="0C40E10D" w14:textId="69E273BD" w:rsidR="00824B01" w:rsidRPr="006E1DA8" w:rsidRDefault="00824B01" w:rsidP="00824B01">
            <w:pPr>
              <w:rPr>
                <w:kern w:val="2"/>
                <w:sz w:val="20"/>
              </w:rPr>
            </w:pPr>
            <w:r w:rsidRPr="006E1DA8">
              <w:rPr>
                <w:kern w:val="2"/>
                <w:sz w:val="20"/>
              </w:rPr>
              <w:t xml:space="preserve">Moreover States </w:t>
            </w:r>
            <w:r w:rsidR="00321984" w:rsidRPr="006E1DA8">
              <w:rPr>
                <w:kern w:val="2"/>
                <w:sz w:val="20"/>
              </w:rPr>
              <w:t>“</w:t>
            </w:r>
            <w:r w:rsidRPr="006E1DA8">
              <w:rPr>
                <w:kern w:val="2"/>
                <w:sz w:val="20"/>
              </w:rPr>
              <w:t>may consider that the principle of liability of legal persons links legal consequences to the legal entity itself, hence abstracting from individual persons and their nationality</w:t>
            </w:r>
            <w:r w:rsidR="00321984" w:rsidRPr="006E1DA8">
              <w:rPr>
                <w:kern w:val="2"/>
                <w:sz w:val="20"/>
              </w:rPr>
              <w:t>”</w:t>
            </w:r>
            <w:r w:rsidRPr="006E1DA8">
              <w:rPr>
                <w:kern w:val="2"/>
                <w:sz w:val="20"/>
              </w:rPr>
              <w:t>.</w:t>
            </w:r>
            <w:r w:rsidRPr="006E1DA8">
              <w:rPr>
                <w:rStyle w:val="FootnoteReference"/>
                <w:rFonts w:cs="Times New Roman"/>
                <w:kern w:val="2"/>
                <w:sz w:val="20"/>
              </w:rPr>
              <w:footnoteReference w:id="51"/>
            </w:r>
            <w:r w:rsidRPr="006E1DA8">
              <w:rPr>
                <w:kern w:val="2"/>
                <w:sz w:val="20"/>
                <w:vertAlign w:val="superscript"/>
              </w:rPr>
              <w:t xml:space="preserve"> </w:t>
            </w:r>
            <w:r w:rsidRPr="006E1DA8">
              <w:rPr>
                <w:kern w:val="2"/>
                <w:sz w:val="20"/>
              </w:rPr>
              <w:t>The application of nationality jurisdiction to legal persons remains untested. Whether the authorities in a parent company’s country can take action against the parent company where one of its foreign subsidiaries bribes a foreign public official is a priority issue for OECD.</w:t>
            </w:r>
            <w:r w:rsidRPr="006E1DA8">
              <w:rPr>
                <w:rStyle w:val="FootnoteReference"/>
                <w:rFonts w:cs="Times New Roman"/>
                <w:kern w:val="2"/>
                <w:sz w:val="20"/>
              </w:rPr>
              <w:footnoteReference w:id="52"/>
            </w:r>
          </w:p>
          <w:p w14:paraId="48573E5E" w14:textId="30065783" w:rsidR="00824B01" w:rsidRPr="006E1DA8" w:rsidRDefault="00824B01" w:rsidP="0096575C">
            <w:pPr>
              <w:pStyle w:val="ExcerptMarker"/>
              <w:spacing w:after="0"/>
              <w:rPr>
                <w:kern w:val="2"/>
                <w:sz w:val="16"/>
              </w:rPr>
            </w:pPr>
            <w:r w:rsidRPr="006E1DA8">
              <w:rPr>
                <w:kern w:val="2"/>
                <w:sz w:val="16"/>
              </w:rPr>
              <w:t>End of Excerpt</w:t>
            </w:r>
          </w:p>
        </w:tc>
      </w:tr>
    </w:tbl>
    <w:p w14:paraId="785508F5" w14:textId="40B60940" w:rsidR="00B07D25" w:rsidRPr="006E1DA8" w:rsidRDefault="00F72A43" w:rsidP="00824B01">
      <w:pPr>
        <w:rPr>
          <w:kern w:val="2"/>
          <w:sz w:val="20"/>
        </w:rPr>
      </w:pPr>
      <w:r w:rsidRPr="006E1DA8">
        <w:rPr>
          <w:kern w:val="2"/>
          <w:sz w:val="20"/>
        </w:rPr>
        <w:t xml:space="preserve">For a discussion of risks of parallel proceedings, see </w:t>
      </w:r>
      <w:r w:rsidRPr="006E1DA8">
        <w:rPr>
          <w:kern w:val="2"/>
          <w:sz w:val="20"/>
          <w:highlight w:val="cyan"/>
        </w:rPr>
        <w:t>Chapter 6, Section 7.2</w:t>
      </w:r>
      <w:r w:rsidRPr="006E1DA8">
        <w:rPr>
          <w:kern w:val="2"/>
          <w:sz w:val="20"/>
        </w:rPr>
        <w:t xml:space="preserve"> of this book.</w:t>
      </w:r>
      <w:bookmarkStart w:id="12" w:name="_Toc287029827"/>
      <w:bookmarkEnd w:id="1"/>
    </w:p>
    <w:p w14:paraId="408CA35A" w14:textId="098D38CC" w:rsidR="00827F7D" w:rsidRPr="006E1DA8" w:rsidRDefault="00827F7D" w:rsidP="00860530">
      <w:pPr>
        <w:pStyle w:val="Heading1"/>
        <w:rPr>
          <w:sz w:val="28"/>
        </w:rPr>
      </w:pPr>
      <w:bookmarkStart w:id="13" w:name="_Toc510097637"/>
      <w:bookmarkEnd w:id="12"/>
      <w:r w:rsidRPr="006E1DA8">
        <w:rPr>
          <w:sz w:val="28"/>
        </w:rPr>
        <w:t>Criminal Liability of Corporations and Other Collective Entities</w:t>
      </w:r>
      <w:bookmarkEnd w:id="13"/>
    </w:p>
    <w:p w14:paraId="6E637A0D" w14:textId="264BC481" w:rsidR="00827F7D" w:rsidRPr="006E1DA8" w:rsidRDefault="00827F7D" w:rsidP="009D3B31">
      <w:pPr>
        <w:pStyle w:val="Heading2"/>
        <w:rPr>
          <w:sz w:val="24"/>
        </w:rPr>
      </w:pPr>
      <w:bookmarkStart w:id="14" w:name="_Toc502845891"/>
      <w:bookmarkStart w:id="15" w:name="_Toc287029828"/>
      <w:bookmarkEnd w:id="14"/>
      <w:r w:rsidRPr="006E1DA8">
        <w:rPr>
          <w:sz w:val="24"/>
        </w:rPr>
        <w:t>Introduction</w:t>
      </w:r>
      <w:bookmarkEnd w:id="15"/>
    </w:p>
    <w:p w14:paraId="48304704" w14:textId="107AC02D" w:rsidR="00827F7D" w:rsidRPr="006E1DA8" w:rsidRDefault="00827F7D" w:rsidP="00827F7D">
      <w:pPr>
        <w:rPr>
          <w:rFonts w:cs="Times New Roman"/>
          <w:kern w:val="2"/>
          <w:sz w:val="20"/>
        </w:rPr>
      </w:pPr>
      <w:r w:rsidRPr="006E1DA8">
        <w:rPr>
          <w:rFonts w:cs="Times New Roman"/>
          <w:kern w:val="2"/>
          <w:sz w:val="20"/>
        </w:rPr>
        <w:t xml:space="preserve">It is well recognized among commentators that in order to effectively combat transnational corruption, mechanisms must be in place to hold corporations and other collective entities liable when they engage in bribery. For convenience, I will generally use the expression </w:t>
      </w:r>
      <w:r w:rsidR="00321984" w:rsidRPr="006E1DA8">
        <w:rPr>
          <w:rFonts w:cs="Times New Roman"/>
          <w:kern w:val="2"/>
          <w:sz w:val="20"/>
        </w:rPr>
        <w:t>“</w:t>
      </w:r>
      <w:r w:rsidRPr="006E1DA8">
        <w:rPr>
          <w:rFonts w:cs="Times New Roman"/>
          <w:kern w:val="2"/>
          <w:sz w:val="20"/>
        </w:rPr>
        <w:t>corporate liability</w:t>
      </w:r>
      <w:r w:rsidR="00420B61"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but when doing so I intend to include other legally recognized collective entities. In many cases, particularly when dealing with large, decentralized multinationals, it may be impossible for an enforcement agency to determine who made the ac</w:t>
      </w:r>
      <w:r w:rsidR="009B5824" w:rsidRPr="006E1DA8">
        <w:rPr>
          <w:rFonts w:cs="Times New Roman"/>
          <w:kern w:val="2"/>
          <w:sz w:val="20"/>
        </w:rPr>
        <w:t>tual decision to offer a bribe.</w:t>
      </w:r>
      <w:r w:rsidR="009B5824" w:rsidRPr="006E1DA8">
        <w:rPr>
          <w:rStyle w:val="FootnoteReference"/>
          <w:rFonts w:cs="Times New Roman"/>
          <w:kern w:val="2"/>
          <w:sz w:val="20"/>
        </w:rPr>
        <w:footnoteReference w:id="53"/>
      </w:r>
      <w:r w:rsidRPr="006E1DA8">
        <w:rPr>
          <w:rFonts w:cs="Times New Roman"/>
          <w:kern w:val="2"/>
          <w:sz w:val="20"/>
        </w:rPr>
        <w:t>Often the decision to offer a bribe by a frontline employee is either supported or tolerated by the upper echelons of management.</w:t>
      </w:r>
      <w:r w:rsidRPr="006E1DA8">
        <w:rPr>
          <w:rStyle w:val="FootnoteReference"/>
          <w:rFonts w:cs="Times New Roman"/>
          <w:kern w:val="2"/>
          <w:sz w:val="20"/>
        </w:rPr>
        <w:footnoteReference w:id="54"/>
      </w:r>
      <w:r w:rsidRPr="006E1DA8">
        <w:rPr>
          <w:rFonts w:cs="Times New Roman"/>
          <w:kern w:val="2"/>
          <w:sz w:val="20"/>
        </w:rPr>
        <w:t xml:space="preserve"> In such a case, punishing only the frontline employee would not sufficiently punish the corporate culture that facilitated the wrongdoing, nor would it effectively deter other corporations from allowing this culture to persist. There is therefore a need to hold corporations liable in these instances.</w:t>
      </w:r>
    </w:p>
    <w:p w14:paraId="3C61F242" w14:textId="69B1B89C" w:rsidR="00827F7D" w:rsidRPr="006E1DA8" w:rsidRDefault="00827F7D" w:rsidP="00827F7D">
      <w:pPr>
        <w:rPr>
          <w:rFonts w:cs="Times New Roman"/>
          <w:kern w:val="2"/>
          <w:sz w:val="20"/>
        </w:rPr>
      </w:pPr>
      <w:r w:rsidRPr="006E1DA8">
        <w:rPr>
          <w:rFonts w:cs="Times New Roman"/>
          <w:kern w:val="2"/>
          <w:sz w:val="20"/>
        </w:rPr>
        <w:t xml:space="preserve">For many years, both common law and civil law jurisdictions resisted the idea that a corporation could be found guilty of a </w:t>
      </w:r>
      <w:r w:rsidR="00321984" w:rsidRPr="006E1DA8">
        <w:rPr>
          <w:rFonts w:cs="Times New Roman"/>
          <w:kern w:val="2"/>
          <w:sz w:val="20"/>
        </w:rPr>
        <w:t>“</w:t>
      </w:r>
      <w:r w:rsidRPr="006E1DA8">
        <w:rPr>
          <w:rFonts w:cs="Times New Roman"/>
          <w:kern w:val="2"/>
          <w:sz w:val="20"/>
        </w:rPr>
        <w:t>crime</w:t>
      </w:r>
      <w:r w:rsidR="00BF6FEB"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This reluctance was based on the traditional notion that </w:t>
      </w:r>
      <w:r w:rsidR="00321984" w:rsidRPr="006E1DA8">
        <w:rPr>
          <w:rFonts w:cs="Times New Roman"/>
          <w:kern w:val="2"/>
          <w:sz w:val="20"/>
        </w:rPr>
        <w:t>“</w:t>
      </w:r>
      <w:r w:rsidRPr="006E1DA8">
        <w:rPr>
          <w:rFonts w:cs="Times New Roman"/>
          <w:kern w:val="2"/>
          <w:sz w:val="20"/>
        </w:rPr>
        <w:t>crimes</w:t>
      </w:r>
      <w:r w:rsidR="00321984" w:rsidRPr="006E1DA8">
        <w:rPr>
          <w:rFonts w:cs="Times New Roman"/>
          <w:kern w:val="2"/>
          <w:sz w:val="20"/>
        </w:rPr>
        <w:t>”</w:t>
      </w:r>
      <w:r w:rsidRPr="006E1DA8">
        <w:rPr>
          <w:rFonts w:cs="Times New Roman"/>
          <w:kern w:val="2"/>
          <w:sz w:val="20"/>
        </w:rPr>
        <w:t xml:space="preserve"> required proof of </w:t>
      </w:r>
      <w:r w:rsidR="00321984" w:rsidRPr="006E1DA8">
        <w:rPr>
          <w:rFonts w:cs="Times New Roman"/>
          <w:kern w:val="2"/>
          <w:sz w:val="20"/>
        </w:rPr>
        <w:t>“</w:t>
      </w:r>
      <w:r w:rsidRPr="006E1DA8">
        <w:rPr>
          <w:rFonts w:cs="Times New Roman"/>
          <w:kern w:val="2"/>
          <w:sz w:val="20"/>
        </w:rPr>
        <w:t>personal mental fault</w:t>
      </w:r>
      <w:r w:rsidR="00321984" w:rsidRPr="006E1DA8">
        <w:rPr>
          <w:rFonts w:cs="Times New Roman"/>
          <w:kern w:val="2"/>
          <w:sz w:val="20"/>
        </w:rPr>
        <w:t>”</w:t>
      </w:r>
      <w:r w:rsidRPr="006E1DA8">
        <w:rPr>
          <w:rFonts w:cs="Times New Roman"/>
          <w:kern w:val="2"/>
          <w:sz w:val="20"/>
        </w:rPr>
        <w:t xml:space="preserve"> (also referred to as subjective fault), which usually took the form of acting intentionally or recklessly (i.e.</w:t>
      </w:r>
      <w:r w:rsidR="00BA6736" w:rsidRPr="006E1DA8">
        <w:rPr>
          <w:rFonts w:cs="Times New Roman"/>
          <w:kern w:val="2"/>
          <w:sz w:val="20"/>
        </w:rPr>
        <w:t>,</w:t>
      </w:r>
      <w:r w:rsidRPr="006E1DA8">
        <w:rPr>
          <w:rFonts w:cs="Times New Roman"/>
          <w:kern w:val="2"/>
          <w:sz w:val="20"/>
        </w:rPr>
        <w:t xml:space="preserve"> the </w:t>
      </w:r>
      <w:r w:rsidRPr="006E1DA8">
        <w:rPr>
          <w:rFonts w:cs="Times New Roman"/>
          <w:i/>
          <w:kern w:val="2"/>
          <w:sz w:val="20"/>
        </w:rPr>
        <w:t>accused foresees</w:t>
      </w:r>
      <w:r w:rsidRPr="006E1DA8">
        <w:rPr>
          <w:rFonts w:cs="Times New Roman"/>
          <w:kern w:val="2"/>
          <w:sz w:val="20"/>
        </w:rPr>
        <w:t xml:space="preserve"> that his/her conduct may cause a criminal harm, but engages in that conduct, thereby knowingly taking the risk that the criminal harm may occur). It was thought that corporations, as non-human legal fictions, could not form personal states of mind such as intention or subjective recklessness. As industrialization spread in the 18</w:t>
      </w:r>
      <w:r w:rsidRPr="006E1DA8">
        <w:rPr>
          <w:rFonts w:cs="Times New Roman"/>
          <w:kern w:val="2"/>
          <w:sz w:val="20"/>
          <w:vertAlign w:val="superscript"/>
        </w:rPr>
        <w:t>th</w:t>
      </w:r>
      <w:r w:rsidRPr="006E1DA8">
        <w:rPr>
          <w:rFonts w:cs="Times New Roman"/>
          <w:kern w:val="2"/>
          <w:sz w:val="20"/>
        </w:rPr>
        <w:t xml:space="preserve"> and 19</w:t>
      </w:r>
      <w:r w:rsidRPr="006E1DA8">
        <w:rPr>
          <w:rFonts w:cs="Times New Roman"/>
          <w:kern w:val="2"/>
          <w:sz w:val="20"/>
          <w:vertAlign w:val="superscript"/>
        </w:rPr>
        <w:t>th</w:t>
      </w:r>
      <w:r w:rsidRPr="006E1DA8">
        <w:rPr>
          <w:rFonts w:cs="Times New Roman"/>
          <w:kern w:val="2"/>
          <w:sz w:val="20"/>
        </w:rPr>
        <w:t xml:space="preserve"> centuries, many new offences were created to prevent or regulate industrial activities and </w:t>
      </w:r>
      <w:r w:rsidR="00746DB4" w:rsidRPr="006E1DA8">
        <w:rPr>
          <w:rFonts w:cs="Times New Roman"/>
          <w:kern w:val="2"/>
          <w:sz w:val="20"/>
        </w:rPr>
        <w:t>industrialization’s</w:t>
      </w:r>
      <w:r w:rsidRPr="006E1DA8">
        <w:rPr>
          <w:rFonts w:cs="Times New Roman"/>
          <w:kern w:val="2"/>
          <w:sz w:val="20"/>
        </w:rPr>
        <w:t xml:space="preserve"> harmful ancillary effects. These offences were generally considered to be regulatory or administrative offences, as opposed to criminal offences. Since they were not crimes, they did not require proof of </w:t>
      </w:r>
      <w:r w:rsidR="00321984" w:rsidRPr="006E1DA8">
        <w:rPr>
          <w:rFonts w:cs="Times New Roman"/>
          <w:kern w:val="2"/>
          <w:sz w:val="20"/>
        </w:rPr>
        <w:t>“</w:t>
      </w:r>
      <w:r w:rsidRPr="006E1DA8">
        <w:rPr>
          <w:rFonts w:cs="Times New Roman"/>
          <w:kern w:val="2"/>
          <w:sz w:val="20"/>
        </w:rPr>
        <w:t>personal fault</w:t>
      </w:r>
      <w:r w:rsidR="00420B61"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They were strict or absolute liability and, therefore, corporations could be and were convicted of these types of offences.</w:t>
      </w:r>
    </w:p>
    <w:p w14:paraId="1A38C126" w14:textId="545CE37B" w:rsidR="00827F7D" w:rsidRPr="006E1DA8" w:rsidRDefault="00827F7D" w:rsidP="00827F7D">
      <w:pPr>
        <w:rPr>
          <w:rFonts w:cs="Times New Roman"/>
          <w:kern w:val="2"/>
          <w:sz w:val="20"/>
        </w:rPr>
      </w:pPr>
      <w:r w:rsidRPr="006E1DA8">
        <w:rPr>
          <w:rFonts w:cs="Times New Roman"/>
          <w:kern w:val="2"/>
          <w:sz w:val="20"/>
        </w:rPr>
        <w:t>The pressure to also hold corporations liable for criminal offences began to build in the early 20</w:t>
      </w:r>
      <w:r w:rsidRPr="006E1DA8">
        <w:rPr>
          <w:rFonts w:cs="Times New Roman"/>
          <w:kern w:val="2"/>
          <w:sz w:val="20"/>
          <w:vertAlign w:val="superscript"/>
        </w:rPr>
        <w:t>th</w:t>
      </w:r>
      <w:r w:rsidRPr="006E1DA8">
        <w:rPr>
          <w:rFonts w:cs="Times New Roman"/>
          <w:kern w:val="2"/>
          <w:sz w:val="20"/>
        </w:rPr>
        <w:t xml:space="preserve"> century. Common law countries </w:t>
      </w:r>
      <w:r w:rsidR="00DA6BE0" w:rsidRPr="006E1DA8">
        <w:rPr>
          <w:rFonts w:cs="Times New Roman"/>
          <w:kern w:val="2"/>
          <w:sz w:val="20"/>
        </w:rPr>
        <w:t xml:space="preserve">slowly </w:t>
      </w:r>
      <w:r w:rsidRPr="006E1DA8">
        <w:rPr>
          <w:rFonts w:cs="Times New Roman"/>
          <w:kern w:val="2"/>
          <w:sz w:val="20"/>
        </w:rPr>
        <w:t xml:space="preserve">adopted corporate </w:t>
      </w:r>
      <w:r w:rsidRPr="006E1DA8">
        <w:rPr>
          <w:rFonts w:cs="Times New Roman"/>
          <w:i/>
          <w:kern w:val="2"/>
          <w:sz w:val="20"/>
        </w:rPr>
        <w:t>criminal</w:t>
      </w:r>
      <w:r w:rsidRPr="006E1DA8">
        <w:rPr>
          <w:rFonts w:cs="Times New Roman"/>
          <w:kern w:val="2"/>
          <w:sz w:val="20"/>
        </w:rPr>
        <w:t xml:space="preserve"> liability in the first half of the 20</w:t>
      </w:r>
      <w:r w:rsidRPr="006E1DA8">
        <w:rPr>
          <w:rFonts w:cs="Times New Roman"/>
          <w:kern w:val="2"/>
          <w:sz w:val="20"/>
          <w:vertAlign w:val="superscript"/>
        </w:rPr>
        <w:t>th</w:t>
      </w:r>
      <w:r w:rsidRPr="006E1DA8">
        <w:rPr>
          <w:rFonts w:cs="Times New Roman"/>
          <w:kern w:val="2"/>
          <w:sz w:val="20"/>
        </w:rPr>
        <w:t xml:space="preserve"> century. How? Generally speaking, courts in common law countries began to hold that the </w:t>
      </w:r>
      <w:r w:rsidR="00321984" w:rsidRPr="006E1DA8">
        <w:rPr>
          <w:rFonts w:cs="Times New Roman"/>
          <w:kern w:val="2"/>
          <w:sz w:val="20"/>
        </w:rPr>
        <w:t>“</w:t>
      </w:r>
      <w:r w:rsidRPr="006E1DA8">
        <w:rPr>
          <w:rFonts w:cs="Times New Roman"/>
          <w:kern w:val="2"/>
          <w:sz w:val="20"/>
        </w:rPr>
        <w:t>personal fault</w:t>
      </w:r>
      <w:r w:rsidR="00321984" w:rsidRPr="006E1DA8">
        <w:rPr>
          <w:rFonts w:cs="Times New Roman"/>
          <w:kern w:val="2"/>
          <w:sz w:val="20"/>
        </w:rPr>
        <w:t>”</w:t>
      </w:r>
      <w:r w:rsidRPr="006E1DA8">
        <w:rPr>
          <w:rFonts w:cs="Times New Roman"/>
          <w:kern w:val="2"/>
          <w:sz w:val="20"/>
        </w:rPr>
        <w:t xml:space="preserve"> of the </w:t>
      </w:r>
      <w:r w:rsidR="00321984" w:rsidRPr="006E1DA8">
        <w:rPr>
          <w:rFonts w:cs="Times New Roman"/>
          <w:kern w:val="2"/>
          <w:sz w:val="20"/>
        </w:rPr>
        <w:t>“</w:t>
      </w:r>
      <w:r w:rsidRPr="006E1DA8">
        <w:rPr>
          <w:rFonts w:cs="Times New Roman"/>
          <w:kern w:val="2"/>
          <w:sz w:val="20"/>
        </w:rPr>
        <w:t>directing minds</w:t>
      </w:r>
      <w:r w:rsidR="00321984" w:rsidRPr="006E1DA8">
        <w:rPr>
          <w:rFonts w:cs="Times New Roman"/>
          <w:kern w:val="2"/>
          <w:sz w:val="20"/>
        </w:rPr>
        <w:t>”</w:t>
      </w:r>
      <w:r w:rsidRPr="006E1DA8">
        <w:rPr>
          <w:rFonts w:cs="Times New Roman"/>
          <w:kern w:val="2"/>
          <w:sz w:val="20"/>
        </w:rPr>
        <w:t xml:space="preserve"> of a corporation was deemed to also be the corporation’s personal fault. The critical question then became </w:t>
      </w:r>
      <w:r w:rsidR="00321984" w:rsidRPr="006E1DA8">
        <w:rPr>
          <w:rFonts w:cs="Times New Roman"/>
          <w:kern w:val="2"/>
          <w:sz w:val="20"/>
        </w:rPr>
        <w:t>“</w:t>
      </w:r>
      <w:r w:rsidRPr="006E1DA8">
        <w:rPr>
          <w:rFonts w:cs="Times New Roman"/>
          <w:kern w:val="2"/>
          <w:sz w:val="20"/>
        </w:rPr>
        <w:t xml:space="preserve">which officers of a corporation are that corporation’s </w:t>
      </w:r>
      <w:r w:rsidR="00600FE5" w:rsidRPr="006E1DA8">
        <w:rPr>
          <w:rFonts w:cs="Times New Roman"/>
          <w:kern w:val="2"/>
          <w:sz w:val="20"/>
        </w:rPr>
        <w:t>‘</w:t>
      </w:r>
      <w:r w:rsidRPr="006E1DA8">
        <w:rPr>
          <w:rFonts w:cs="Times New Roman"/>
          <w:kern w:val="2"/>
          <w:sz w:val="20"/>
        </w:rPr>
        <w:t>directing minds</w:t>
      </w:r>
      <w:r w:rsidR="00600FE5" w:rsidRPr="006E1DA8">
        <w:rPr>
          <w:rFonts w:cs="Times New Roman"/>
          <w:kern w:val="2"/>
          <w:sz w:val="20"/>
        </w:rPr>
        <w:t>’</w:t>
      </w:r>
      <w:r w:rsidRPr="006E1DA8">
        <w:rPr>
          <w:rFonts w:cs="Times New Roman"/>
          <w:kern w:val="2"/>
          <w:sz w:val="20"/>
        </w:rPr>
        <w:t>?</w:t>
      </w:r>
      <w:r w:rsidR="00321984" w:rsidRPr="006E1DA8">
        <w:rPr>
          <w:rFonts w:cs="Times New Roman"/>
          <w:kern w:val="2"/>
          <w:sz w:val="20"/>
        </w:rPr>
        <w:t>”</w:t>
      </w:r>
    </w:p>
    <w:p w14:paraId="2C825FC5" w14:textId="1BEADE15" w:rsidR="00827F7D" w:rsidRPr="006E1DA8" w:rsidRDefault="00827F7D" w:rsidP="00827F7D">
      <w:pPr>
        <w:rPr>
          <w:rFonts w:cs="Times New Roman"/>
          <w:kern w:val="2"/>
          <w:sz w:val="20"/>
        </w:rPr>
      </w:pPr>
      <w:r w:rsidRPr="006E1DA8">
        <w:rPr>
          <w:rFonts w:cs="Times New Roman"/>
          <w:kern w:val="2"/>
          <w:sz w:val="20"/>
        </w:rPr>
        <w:t>Civil law countries were less willing to accept the fiction that a corporation can have a guilty intent or mind. However, since the mid-20</w:t>
      </w:r>
      <w:r w:rsidRPr="006E1DA8">
        <w:rPr>
          <w:rFonts w:cs="Times New Roman"/>
          <w:kern w:val="2"/>
          <w:sz w:val="20"/>
          <w:vertAlign w:val="superscript"/>
        </w:rPr>
        <w:t>th</w:t>
      </w:r>
      <w:r w:rsidRPr="006E1DA8">
        <w:rPr>
          <w:rFonts w:cs="Times New Roman"/>
          <w:kern w:val="2"/>
          <w:sz w:val="20"/>
        </w:rPr>
        <w:t xml:space="preserve"> century, many, but not all, civil law countries </w:t>
      </w:r>
      <w:r w:rsidR="00813247" w:rsidRPr="006E1DA8">
        <w:rPr>
          <w:rFonts w:cs="Times New Roman"/>
          <w:kern w:val="2"/>
          <w:sz w:val="20"/>
        </w:rPr>
        <w:t>began to</w:t>
      </w:r>
      <w:r w:rsidRPr="006E1DA8">
        <w:rPr>
          <w:rFonts w:cs="Times New Roman"/>
          <w:kern w:val="2"/>
          <w:sz w:val="20"/>
        </w:rPr>
        <w:t xml:space="preserve"> embrace corporate criminal liability</w:t>
      </w:r>
      <w:r w:rsidR="00631B48" w:rsidRPr="006E1DA8">
        <w:rPr>
          <w:rFonts w:cs="Times New Roman"/>
          <w:kern w:val="2"/>
          <w:sz w:val="20"/>
        </w:rPr>
        <w:t xml:space="preserve"> (an issue further discussed in Section 2.4 below)</w:t>
      </w:r>
      <w:r w:rsidRPr="006E1DA8">
        <w:rPr>
          <w:rFonts w:cs="Times New Roman"/>
          <w:kern w:val="2"/>
          <w:sz w:val="20"/>
        </w:rPr>
        <w:t>.</w:t>
      </w:r>
    </w:p>
    <w:p w14:paraId="5798FBC3" w14:textId="77777777" w:rsidR="00827F7D" w:rsidRPr="006E1DA8" w:rsidRDefault="00827F7D" w:rsidP="00827F7D">
      <w:pPr>
        <w:rPr>
          <w:rFonts w:cs="Times New Roman"/>
          <w:kern w:val="2"/>
          <w:sz w:val="20"/>
        </w:rPr>
      </w:pPr>
      <w:r w:rsidRPr="006E1DA8">
        <w:rPr>
          <w:rFonts w:cs="Times New Roman"/>
          <w:kern w:val="2"/>
          <w:sz w:val="20"/>
        </w:rPr>
        <w:t>There are currently three main legal mechanisms for imputing criminal liability to corporations. These mechanisms are significantly different. In addition, within each mechanism there can be variations in terms of broad or narrow attribution of criminal liability to corporations. The three mechanisms are:</w:t>
      </w:r>
    </w:p>
    <w:p w14:paraId="22FF4BB9" w14:textId="5400B4B3" w:rsidR="00827F7D" w:rsidRPr="006E1DA8" w:rsidRDefault="00827F7D" w:rsidP="009D3B31">
      <w:pPr>
        <w:pStyle w:val="ListParagraph"/>
        <w:numPr>
          <w:ilvl w:val="0"/>
          <w:numId w:val="20"/>
        </w:numPr>
        <w:rPr>
          <w:kern w:val="2"/>
          <w:sz w:val="20"/>
        </w:rPr>
      </w:pPr>
      <w:r w:rsidRPr="006E1DA8">
        <w:rPr>
          <w:kern w:val="2"/>
          <w:sz w:val="20"/>
        </w:rPr>
        <w:t>strict liability (used in general for US federal laws);</w:t>
      </w:r>
    </w:p>
    <w:p w14:paraId="3708B08E" w14:textId="3A211A3C" w:rsidR="00827F7D" w:rsidRPr="006E1DA8" w:rsidRDefault="00827F7D" w:rsidP="009D3B31">
      <w:pPr>
        <w:pStyle w:val="ListParagraph"/>
        <w:numPr>
          <w:ilvl w:val="0"/>
          <w:numId w:val="20"/>
        </w:numPr>
        <w:rPr>
          <w:kern w:val="2"/>
          <w:sz w:val="20"/>
        </w:rPr>
      </w:pPr>
      <w:r w:rsidRPr="006E1DA8">
        <w:rPr>
          <w:kern w:val="2"/>
          <w:sz w:val="20"/>
        </w:rPr>
        <w:t>directing mind or identification doctrine (used by countries such as England and Canada and by many states in the US and Australia)</w:t>
      </w:r>
      <w:r w:rsidR="00061CFA" w:rsidRPr="006E1DA8">
        <w:rPr>
          <w:kern w:val="2"/>
          <w:sz w:val="20"/>
        </w:rPr>
        <w:t>; and</w:t>
      </w:r>
    </w:p>
    <w:p w14:paraId="636A01D7" w14:textId="22F83628" w:rsidR="00827F7D" w:rsidRPr="006E1DA8" w:rsidRDefault="00827F7D" w:rsidP="009D3B31">
      <w:pPr>
        <w:pStyle w:val="ListParagraph"/>
        <w:numPr>
          <w:ilvl w:val="0"/>
          <w:numId w:val="20"/>
        </w:numPr>
        <w:rPr>
          <w:kern w:val="2"/>
          <w:sz w:val="20"/>
        </w:rPr>
      </w:pPr>
      <w:proofErr w:type="gramStart"/>
      <w:r w:rsidRPr="006E1DA8">
        <w:rPr>
          <w:kern w:val="2"/>
          <w:sz w:val="20"/>
        </w:rPr>
        <w:t>corporate</w:t>
      </w:r>
      <w:proofErr w:type="gramEnd"/>
      <w:r w:rsidRPr="006E1DA8">
        <w:rPr>
          <w:kern w:val="2"/>
          <w:sz w:val="20"/>
        </w:rPr>
        <w:t xml:space="preserve"> culture (used in Australian federal laws)</w:t>
      </w:r>
      <w:r w:rsidR="00061CFA" w:rsidRPr="006E1DA8">
        <w:rPr>
          <w:kern w:val="2"/>
          <w:sz w:val="20"/>
        </w:rPr>
        <w:t>.</w:t>
      </w:r>
    </w:p>
    <w:p w14:paraId="3B16AB33" w14:textId="732D40DE" w:rsidR="00827F7D" w:rsidRPr="006E1DA8" w:rsidRDefault="00827F7D" w:rsidP="00827F7D">
      <w:pPr>
        <w:rPr>
          <w:rFonts w:cs="Times New Roman"/>
          <w:kern w:val="2"/>
          <w:sz w:val="20"/>
        </w:rPr>
      </w:pPr>
      <w:proofErr w:type="spellStart"/>
      <w:r w:rsidRPr="006E1DA8">
        <w:rPr>
          <w:rFonts w:cs="Times New Roman"/>
          <w:kern w:val="2"/>
          <w:sz w:val="20"/>
        </w:rPr>
        <w:t>Pieth</w:t>
      </w:r>
      <w:proofErr w:type="spellEnd"/>
      <w:r w:rsidRPr="006E1DA8">
        <w:rPr>
          <w:rFonts w:cs="Times New Roman"/>
          <w:kern w:val="2"/>
          <w:sz w:val="20"/>
        </w:rPr>
        <w:t xml:space="preserve"> and Ivory briefly summarize these three mechanisms:</w:t>
      </w:r>
      <w:r w:rsidRPr="006E1DA8">
        <w:rPr>
          <w:rStyle w:val="FootnoteReference"/>
          <w:rFonts w:cs="Times New Roman"/>
          <w:kern w:val="2"/>
          <w:sz w:val="20"/>
        </w:rPr>
        <w:t xml:space="preserve"> </w:t>
      </w:r>
    </w:p>
    <w:p w14:paraId="306346CF" w14:textId="784A6E6D" w:rsidR="00827F7D" w:rsidRPr="006E1DA8" w:rsidRDefault="00827F7D" w:rsidP="009D3B31">
      <w:pPr>
        <w:pStyle w:val="BlockQuote"/>
        <w:numPr>
          <w:ilvl w:val="0"/>
          <w:numId w:val="21"/>
        </w:numPr>
        <w:spacing w:before="60" w:after="0"/>
        <w:jc w:val="left"/>
        <w:rPr>
          <w:kern w:val="2"/>
          <w:sz w:val="20"/>
        </w:rPr>
      </w:pPr>
      <w:r w:rsidRPr="006E1DA8">
        <w:rPr>
          <w:kern w:val="2"/>
          <w:sz w:val="20"/>
        </w:rPr>
        <w:t xml:space="preserve">by imputing </w:t>
      </w:r>
      <w:r w:rsidR="00DA6BE0" w:rsidRPr="006E1DA8">
        <w:rPr>
          <w:kern w:val="2"/>
          <w:sz w:val="20"/>
        </w:rPr>
        <w:t>to the corporation</w:t>
      </w:r>
      <w:r w:rsidRPr="006E1DA8">
        <w:rPr>
          <w:kern w:val="2"/>
          <w:sz w:val="20"/>
        </w:rPr>
        <w:t xml:space="preserve"> offen</w:t>
      </w:r>
      <w:r w:rsidR="00631B48" w:rsidRPr="006E1DA8">
        <w:rPr>
          <w:kern w:val="2"/>
          <w:sz w:val="20"/>
        </w:rPr>
        <w:t>c</w:t>
      </w:r>
      <w:r w:rsidRPr="006E1DA8">
        <w:rPr>
          <w:kern w:val="2"/>
          <w:sz w:val="20"/>
        </w:rPr>
        <w:t xml:space="preserve">es </w:t>
      </w:r>
      <w:r w:rsidR="00DA6BE0" w:rsidRPr="006E1DA8">
        <w:rPr>
          <w:kern w:val="2"/>
          <w:sz w:val="20"/>
        </w:rPr>
        <w:t xml:space="preserve">committed </w:t>
      </w:r>
      <w:r w:rsidRPr="006E1DA8">
        <w:rPr>
          <w:kern w:val="2"/>
          <w:sz w:val="20"/>
        </w:rPr>
        <w:t xml:space="preserve">by any corporate agent or employee – </w:t>
      </w:r>
      <w:r w:rsidR="00600FE5" w:rsidRPr="006E1DA8">
        <w:rPr>
          <w:kern w:val="2"/>
          <w:sz w:val="20"/>
        </w:rPr>
        <w:t>no matter what steps others in the corporation had taken to prevent and</w:t>
      </w:r>
      <w:r w:rsidRPr="006E1DA8">
        <w:rPr>
          <w:kern w:val="2"/>
          <w:sz w:val="20"/>
        </w:rPr>
        <w:t xml:space="preserve"> respond to the misconduct (strict vicario</w:t>
      </w:r>
      <w:r w:rsidR="00600FE5" w:rsidRPr="006E1DA8">
        <w:rPr>
          <w:kern w:val="2"/>
          <w:sz w:val="20"/>
        </w:rPr>
        <w:t>us liability), or if others had not done enough to prevent the wrongdoing</w:t>
      </w:r>
      <w:r w:rsidRPr="006E1DA8">
        <w:rPr>
          <w:kern w:val="2"/>
          <w:sz w:val="20"/>
        </w:rPr>
        <w:t xml:space="preserve"> (qualified vicarious liability); </w:t>
      </w:r>
    </w:p>
    <w:p w14:paraId="6BA03043" w14:textId="3FFAF79C" w:rsidR="00827F7D" w:rsidRPr="006E1DA8" w:rsidRDefault="00827F7D" w:rsidP="009D3B31">
      <w:pPr>
        <w:pStyle w:val="BlockQuote"/>
        <w:numPr>
          <w:ilvl w:val="0"/>
          <w:numId w:val="21"/>
        </w:numPr>
        <w:spacing w:before="60" w:after="0"/>
        <w:jc w:val="left"/>
        <w:rPr>
          <w:kern w:val="2"/>
          <w:sz w:val="20"/>
        </w:rPr>
      </w:pPr>
      <w:r w:rsidRPr="006E1DA8">
        <w:rPr>
          <w:kern w:val="2"/>
          <w:sz w:val="20"/>
        </w:rPr>
        <w:t>by i</w:t>
      </w:r>
      <w:r w:rsidR="00600FE5" w:rsidRPr="006E1DA8">
        <w:rPr>
          <w:kern w:val="2"/>
          <w:sz w:val="20"/>
        </w:rPr>
        <w:t>dentifying the corporation with its executive bodies and managers and holding</w:t>
      </w:r>
      <w:r w:rsidR="00DA6BE0" w:rsidRPr="006E1DA8">
        <w:rPr>
          <w:kern w:val="2"/>
          <w:sz w:val="20"/>
        </w:rPr>
        <w:t xml:space="preserve"> the corporation</w:t>
      </w:r>
      <w:r w:rsidRPr="006E1DA8">
        <w:rPr>
          <w:kern w:val="2"/>
          <w:sz w:val="20"/>
        </w:rPr>
        <w:t xml:space="preserve"> liable for their</w:t>
      </w:r>
      <w:r w:rsidR="00600FE5" w:rsidRPr="006E1DA8">
        <w:rPr>
          <w:kern w:val="2"/>
          <w:sz w:val="20"/>
        </w:rPr>
        <w:t xml:space="preserve"> acts,</w:t>
      </w:r>
      <w:r w:rsidRPr="006E1DA8">
        <w:rPr>
          <w:kern w:val="2"/>
          <w:sz w:val="20"/>
        </w:rPr>
        <w:t xml:space="preserve"> omissions, and states of mind </w:t>
      </w:r>
      <w:r w:rsidR="00DA6BE0" w:rsidRPr="006E1DA8">
        <w:rPr>
          <w:kern w:val="2"/>
          <w:sz w:val="20"/>
        </w:rPr>
        <w:t xml:space="preserve">of those executives </w:t>
      </w:r>
      <w:r w:rsidRPr="006E1DA8">
        <w:rPr>
          <w:kern w:val="2"/>
          <w:sz w:val="20"/>
        </w:rPr>
        <w:t>(identification); and</w:t>
      </w:r>
    </w:p>
    <w:p w14:paraId="7B687BF6" w14:textId="6B568DA1" w:rsidR="00827F7D" w:rsidRPr="006E1DA8" w:rsidRDefault="00600FE5" w:rsidP="009D3B31">
      <w:pPr>
        <w:pStyle w:val="BlockQuote"/>
        <w:numPr>
          <w:ilvl w:val="0"/>
          <w:numId w:val="21"/>
        </w:numPr>
        <w:spacing w:before="60" w:after="0"/>
        <w:jc w:val="left"/>
        <w:rPr>
          <w:kern w:val="2"/>
          <w:sz w:val="20"/>
        </w:rPr>
      </w:pPr>
      <w:proofErr w:type="gramStart"/>
      <w:r w:rsidRPr="006E1DA8">
        <w:rPr>
          <w:kern w:val="2"/>
          <w:sz w:val="20"/>
        </w:rPr>
        <w:t>by</w:t>
      </w:r>
      <w:proofErr w:type="gramEnd"/>
      <w:r w:rsidRPr="006E1DA8">
        <w:rPr>
          <w:kern w:val="2"/>
          <w:sz w:val="20"/>
        </w:rPr>
        <w:t xml:space="preserve"> treating the collective </w:t>
      </w:r>
      <w:r w:rsidR="00DA6BE0" w:rsidRPr="006E1DA8">
        <w:rPr>
          <w:kern w:val="2"/>
          <w:sz w:val="20"/>
        </w:rPr>
        <w:t xml:space="preserve">entity </w:t>
      </w:r>
      <w:r w:rsidRPr="006E1DA8">
        <w:rPr>
          <w:kern w:val="2"/>
          <w:sz w:val="20"/>
        </w:rPr>
        <w:t>as capable of offending in its own right, either</w:t>
      </w:r>
      <w:r w:rsidR="00827F7D" w:rsidRPr="006E1DA8">
        <w:rPr>
          <w:kern w:val="2"/>
          <w:sz w:val="20"/>
        </w:rPr>
        <w:t xml:space="preserve"> through the aggregated thoughts and deeds of its senior stakeholders (aggregation) or though inadequate organizational systems and cultures (corporate culture, corporate (dis)organization).</w:t>
      </w:r>
      <w:r w:rsidR="00B47620" w:rsidRPr="006E1DA8">
        <w:rPr>
          <w:rStyle w:val="FootnoteReference"/>
          <w:rFonts w:cs="Times New Roman"/>
          <w:kern w:val="2"/>
          <w:sz w:val="20"/>
        </w:rPr>
        <w:footnoteReference w:id="55"/>
      </w:r>
    </w:p>
    <w:p w14:paraId="726895DC" w14:textId="77C220C0" w:rsidR="00827F7D" w:rsidRPr="006E1DA8" w:rsidRDefault="00827F7D" w:rsidP="00827F7D">
      <w:pPr>
        <w:rPr>
          <w:rFonts w:cs="Times New Roman"/>
          <w:kern w:val="2"/>
          <w:sz w:val="20"/>
        </w:rPr>
      </w:pPr>
      <w:r w:rsidRPr="006E1DA8">
        <w:rPr>
          <w:rFonts w:cs="Times New Roman"/>
          <w:kern w:val="2"/>
          <w:sz w:val="20"/>
        </w:rPr>
        <w:t xml:space="preserve">Countries such as France, Austria, Italy and Switzerland have all enacted statutes that impose corporate criminal liability. Some jurisdictions, such as Germany, do not recognize corporate </w:t>
      </w:r>
      <w:r w:rsidRPr="006E1DA8">
        <w:rPr>
          <w:rFonts w:cs="Times New Roman"/>
          <w:i/>
          <w:kern w:val="2"/>
          <w:sz w:val="20"/>
        </w:rPr>
        <w:t>criminal</w:t>
      </w:r>
      <w:r w:rsidRPr="006E1DA8">
        <w:rPr>
          <w:rFonts w:cs="Times New Roman"/>
          <w:kern w:val="2"/>
          <w:sz w:val="20"/>
        </w:rPr>
        <w:t xml:space="preserve"> liability</w:t>
      </w:r>
      <w:r w:rsidR="0044661E" w:rsidRPr="006E1DA8">
        <w:rPr>
          <w:rFonts w:cs="Times New Roman"/>
          <w:kern w:val="2"/>
          <w:sz w:val="20"/>
        </w:rPr>
        <w:t>,</w:t>
      </w:r>
      <w:r w:rsidRPr="006E1DA8">
        <w:rPr>
          <w:rFonts w:cs="Times New Roman"/>
          <w:kern w:val="2"/>
          <w:sz w:val="20"/>
        </w:rPr>
        <w:t xml:space="preserve"> but instead impose quasi-criminal regulatory sanctions on collective entities. Outside of Europe, countries such as Korea, Japan and China recognize at least some form of corporate criminal liability. There remain</w:t>
      </w:r>
      <w:r w:rsidR="00600FE5" w:rsidRPr="006E1DA8">
        <w:rPr>
          <w:rFonts w:cs="Times New Roman"/>
          <w:kern w:val="2"/>
          <w:sz w:val="20"/>
        </w:rPr>
        <w:t>,</w:t>
      </w:r>
      <w:r w:rsidRPr="006E1DA8">
        <w:rPr>
          <w:rFonts w:cs="Times New Roman"/>
          <w:kern w:val="2"/>
          <w:sz w:val="20"/>
        </w:rPr>
        <w:t xml:space="preserve"> however, some countries</w:t>
      </w:r>
      <w:r w:rsidR="0062049F" w:rsidRPr="006E1DA8">
        <w:rPr>
          <w:rFonts w:cs="Times New Roman"/>
          <w:kern w:val="2"/>
          <w:sz w:val="20"/>
        </w:rPr>
        <w:t xml:space="preserve">, such as Greece and </w:t>
      </w:r>
      <w:r w:rsidR="00EE44F3" w:rsidRPr="006E1DA8">
        <w:rPr>
          <w:rFonts w:cs="Times New Roman"/>
          <w:kern w:val="2"/>
          <w:sz w:val="20"/>
        </w:rPr>
        <w:t>Uruguay that</w:t>
      </w:r>
      <w:r w:rsidRPr="006E1DA8">
        <w:rPr>
          <w:rFonts w:cs="Times New Roman"/>
          <w:kern w:val="2"/>
          <w:sz w:val="20"/>
        </w:rPr>
        <w:t xml:space="preserve"> do not recognize criminal or quasi-criminal sanctions for companies</w:t>
      </w:r>
      <w:r w:rsidR="0062049F" w:rsidRPr="006E1DA8">
        <w:rPr>
          <w:rFonts w:cs="Times New Roman"/>
          <w:kern w:val="2"/>
          <w:sz w:val="20"/>
        </w:rPr>
        <w:t>.</w:t>
      </w:r>
      <w:r w:rsidRPr="006E1DA8">
        <w:rPr>
          <w:rStyle w:val="FootnoteReference"/>
          <w:rFonts w:cs="Times New Roman"/>
          <w:kern w:val="2"/>
          <w:sz w:val="20"/>
        </w:rPr>
        <w:footnoteReference w:id="56"/>
      </w:r>
      <w:r w:rsidRPr="006E1DA8">
        <w:rPr>
          <w:rFonts w:cs="Times New Roman"/>
          <w:kern w:val="2"/>
          <w:sz w:val="20"/>
        </w:rPr>
        <w:t xml:space="preserve"> </w:t>
      </w:r>
      <w:r w:rsidR="00061CFA" w:rsidRPr="006E1DA8">
        <w:rPr>
          <w:rFonts w:cs="Times New Roman"/>
          <w:kern w:val="2"/>
          <w:sz w:val="20"/>
        </w:rPr>
        <w:t xml:space="preserve">In these countries, it is only possible to convict the employees, agents or executives of a company, but not the company itself. </w:t>
      </w:r>
      <w:r w:rsidRPr="006E1DA8">
        <w:rPr>
          <w:rFonts w:cs="Times New Roman"/>
          <w:kern w:val="2"/>
          <w:sz w:val="20"/>
        </w:rPr>
        <w:t xml:space="preserve">For a recent overview of corporate liability in Europe see: </w:t>
      </w:r>
      <w:r w:rsidR="00EE44F3" w:rsidRPr="006E1DA8">
        <w:rPr>
          <w:rFonts w:cs="Times New Roman"/>
          <w:kern w:val="2"/>
          <w:sz w:val="20"/>
        </w:rPr>
        <w:t>Chance’s,</w:t>
      </w:r>
      <w:r w:rsidRPr="006E1DA8">
        <w:rPr>
          <w:rFonts w:cs="Times New Roman"/>
          <w:kern w:val="2"/>
          <w:sz w:val="20"/>
        </w:rPr>
        <w:t xml:space="preserve"> </w:t>
      </w:r>
      <w:r w:rsidRPr="006E1DA8">
        <w:rPr>
          <w:rFonts w:cs="Times New Roman"/>
          <w:i/>
          <w:iCs/>
          <w:kern w:val="2"/>
          <w:sz w:val="20"/>
        </w:rPr>
        <w:t>Corporate Liability in Europe</w:t>
      </w:r>
      <w:r w:rsidRPr="006E1DA8">
        <w:rPr>
          <w:rFonts w:cs="Times New Roman"/>
          <w:kern w:val="2"/>
          <w:sz w:val="20"/>
        </w:rPr>
        <w:t>.</w:t>
      </w:r>
      <w:r w:rsidRPr="006E1DA8">
        <w:rPr>
          <w:rStyle w:val="FootnoteReference"/>
          <w:rFonts w:cs="Times New Roman"/>
          <w:kern w:val="2"/>
          <w:sz w:val="20"/>
        </w:rPr>
        <w:footnoteReference w:id="57"/>
      </w:r>
      <w:r w:rsidR="002C170C" w:rsidRPr="006E1DA8">
        <w:rPr>
          <w:rFonts w:cs="Times New Roman"/>
          <w:kern w:val="2"/>
          <w:sz w:val="20"/>
        </w:rPr>
        <w:t xml:space="preserve"> </w:t>
      </w:r>
      <w:r w:rsidR="00376301" w:rsidRPr="006E1DA8">
        <w:rPr>
          <w:rFonts w:cs="Times New Roman"/>
          <w:kern w:val="2"/>
          <w:sz w:val="20"/>
        </w:rPr>
        <w:t xml:space="preserve">The OECD Working Group on Bribery’s </w:t>
      </w:r>
      <w:r w:rsidR="00B07D25" w:rsidRPr="006E1DA8">
        <w:rPr>
          <w:rFonts w:cs="Times New Roman"/>
          <w:kern w:val="2"/>
          <w:sz w:val="20"/>
        </w:rPr>
        <w:t>2016 review of corporate liability of the 41 countries that are parties to the OECD Anti-Bribery Convention</w:t>
      </w:r>
      <w:r w:rsidR="001D4ACF" w:rsidRPr="006E1DA8">
        <w:rPr>
          <w:rFonts w:cs="Times New Roman"/>
          <w:kern w:val="2"/>
          <w:sz w:val="20"/>
        </w:rPr>
        <w:t>,</w:t>
      </w:r>
      <w:r w:rsidR="00B07D25" w:rsidRPr="006E1DA8">
        <w:rPr>
          <w:rFonts w:cs="Times New Roman"/>
          <w:kern w:val="2"/>
          <w:sz w:val="20"/>
        </w:rPr>
        <w:t xml:space="preserve"> is </w:t>
      </w:r>
      <w:r w:rsidR="00DA6BE0" w:rsidRPr="006E1DA8">
        <w:rPr>
          <w:rFonts w:cs="Times New Roman"/>
          <w:kern w:val="2"/>
          <w:sz w:val="20"/>
        </w:rPr>
        <w:t xml:space="preserve">also </w:t>
      </w:r>
      <w:r w:rsidR="00B07D25" w:rsidRPr="006E1DA8">
        <w:rPr>
          <w:rFonts w:cs="Times New Roman"/>
          <w:kern w:val="2"/>
          <w:sz w:val="20"/>
        </w:rPr>
        <w:t>now available.</w:t>
      </w:r>
      <w:r w:rsidR="00B07D25" w:rsidRPr="006E1DA8">
        <w:rPr>
          <w:rStyle w:val="FootnoteReference"/>
          <w:rFonts w:cs="Times New Roman"/>
          <w:kern w:val="2"/>
          <w:sz w:val="20"/>
        </w:rPr>
        <w:footnoteReference w:id="58"/>
      </w:r>
    </w:p>
    <w:p w14:paraId="7EBEDFE4" w14:textId="35EF4CC8" w:rsidR="00827F7D" w:rsidRPr="006E1DA8" w:rsidRDefault="00827F7D" w:rsidP="00827F7D">
      <w:pPr>
        <w:rPr>
          <w:rFonts w:cs="Times New Roman"/>
          <w:kern w:val="2"/>
          <w:sz w:val="20"/>
        </w:rPr>
      </w:pPr>
      <w:r w:rsidRPr="006E1DA8">
        <w:rPr>
          <w:rFonts w:cs="Times New Roman"/>
          <w:kern w:val="2"/>
          <w:sz w:val="20"/>
        </w:rPr>
        <w:t xml:space="preserve">Among countries that do recognize corporate criminal liability, there are significant variations regarding the offences for which criminal liability may be imposed and </w:t>
      </w:r>
      <w:r w:rsidR="00600FE5" w:rsidRPr="006E1DA8">
        <w:rPr>
          <w:rFonts w:cs="Times New Roman"/>
          <w:kern w:val="2"/>
          <w:sz w:val="20"/>
        </w:rPr>
        <w:t>the way in which</w:t>
      </w:r>
      <w:r w:rsidRPr="006E1DA8">
        <w:rPr>
          <w:rFonts w:cs="Times New Roman"/>
          <w:kern w:val="2"/>
          <w:sz w:val="20"/>
        </w:rPr>
        <w:t xml:space="preserve"> that liability is triggered. Most common law jurisdictions now accept that a cor</w:t>
      </w:r>
      <w:r w:rsidR="00DA6BE0" w:rsidRPr="006E1DA8">
        <w:rPr>
          <w:rFonts w:cs="Times New Roman"/>
          <w:kern w:val="2"/>
          <w:sz w:val="20"/>
        </w:rPr>
        <w:t>poration may be found to have</w:t>
      </w:r>
      <w:r w:rsidRPr="006E1DA8">
        <w:rPr>
          <w:rFonts w:cs="Times New Roman"/>
          <w:kern w:val="2"/>
          <w:sz w:val="20"/>
        </w:rPr>
        <w:t xml:space="preserve"> </w:t>
      </w:r>
      <w:proofErr w:type="spellStart"/>
      <w:r w:rsidRPr="006E1DA8">
        <w:rPr>
          <w:rFonts w:cs="Times New Roman"/>
          <w:i/>
          <w:iCs/>
          <w:kern w:val="2"/>
          <w:sz w:val="20"/>
        </w:rPr>
        <w:t>mens</w:t>
      </w:r>
      <w:proofErr w:type="spellEnd"/>
      <w:r w:rsidRPr="006E1DA8">
        <w:rPr>
          <w:rFonts w:cs="Times New Roman"/>
          <w:i/>
          <w:iCs/>
          <w:kern w:val="2"/>
          <w:sz w:val="20"/>
        </w:rPr>
        <w:t xml:space="preserve"> rea </w:t>
      </w:r>
      <w:r w:rsidR="00DA6BE0" w:rsidRPr="006E1DA8">
        <w:rPr>
          <w:rFonts w:cs="Times New Roman"/>
          <w:kern w:val="2"/>
          <w:sz w:val="20"/>
        </w:rPr>
        <w:t>through</w:t>
      </w:r>
      <w:r w:rsidRPr="006E1DA8">
        <w:rPr>
          <w:rFonts w:cs="Times New Roman"/>
          <w:kern w:val="2"/>
          <w:sz w:val="20"/>
        </w:rPr>
        <w:t xml:space="preserve"> its human actors. Among civil law countries, some countries accept this proposition and impose corporate criminal liability for all crimes. Other civil law countries only accept this proposition for certain listed offences. The countries that employ this </w:t>
      </w:r>
      <w:r w:rsidR="00321984" w:rsidRPr="006E1DA8">
        <w:rPr>
          <w:rFonts w:cs="Times New Roman"/>
          <w:kern w:val="2"/>
          <w:sz w:val="20"/>
        </w:rPr>
        <w:t>“</w:t>
      </w:r>
      <w:r w:rsidRPr="006E1DA8">
        <w:rPr>
          <w:rFonts w:cs="Times New Roman"/>
          <w:kern w:val="2"/>
          <w:sz w:val="20"/>
        </w:rPr>
        <w:t>list-based</w:t>
      </w:r>
      <w:r w:rsidR="00321984" w:rsidRPr="006E1DA8">
        <w:rPr>
          <w:rFonts w:cs="Times New Roman"/>
          <w:kern w:val="2"/>
          <w:sz w:val="20"/>
        </w:rPr>
        <w:t>”</w:t>
      </w:r>
      <w:r w:rsidRPr="006E1DA8">
        <w:rPr>
          <w:rFonts w:cs="Times New Roman"/>
          <w:kern w:val="2"/>
          <w:sz w:val="20"/>
        </w:rPr>
        <w:t xml:space="preserve"> approach generally restrict corporate criminal liability to economic and other types of offences generally associated with corporations as well as offences established pursuant to international and regional conventions. </w:t>
      </w:r>
      <w:r w:rsidR="00151D5F" w:rsidRPr="006E1DA8">
        <w:rPr>
          <w:rFonts w:cs="Times New Roman"/>
          <w:kern w:val="2"/>
          <w:sz w:val="20"/>
        </w:rPr>
        <w:t>A more detailed</w:t>
      </w:r>
      <w:r w:rsidR="00DA6BE0" w:rsidRPr="006E1DA8">
        <w:rPr>
          <w:rFonts w:cs="Times New Roman"/>
          <w:kern w:val="2"/>
          <w:sz w:val="20"/>
        </w:rPr>
        <w:t xml:space="preserve"> review of the ways in which</w:t>
      </w:r>
      <w:r w:rsidRPr="006E1DA8">
        <w:rPr>
          <w:rFonts w:cs="Times New Roman"/>
          <w:kern w:val="2"/>
          <w:sz w:val="20"/>
        </w:rPr>
        <w:t xml:space="preserve"> various common law and civil law countries address corporate criminal liability</w:t>
      </w:r>
      <w:r w:rsidR="00151D5F" w:rsidRPr="006E1DA8">
        <w:rPr>
          <w:rFonts w:cs="Times New Roman"/>
          <w:kern w:val="2"/>
          <w:sz w:val="20"/>
        </w:rPr>
        <w:t xml:space="preserve"> can be found in</w:t>
      </w:r>
      <w:r w:rsidRPr="006E1DA8">
        <w:rPr>
          <w:rFonts w:cs="Times New Roman"/>
          <w:kern w:val="2"/>
          <w:sz w:val="20"/>
        </w:rPr>
        <w:t xml:space="preserve"> </w:t>
      </w:r>
      <w:proofErr w:type="spellStart"/>
      <w:r w:rsidRPr="006E1DA8">
        <w:rPr>
          <w:rFonts w:cs="Times New Roman"/>
          <w:kern w:val="2"/>
          <w:sz w:val="20"/>
        </w:rPr>
        <w:t>Pieth</w:t>
      </w:r>
      <w:proofErr w:type="spellEnd"/>
      <w:r w:rsidRPr="006E1DA8">
        <w:rPr>
          <w:rFonts w:cs="Times New Roman"/>
          <w:kern w:val="2"/>
          <w:sz w:val="20"/>
        </w:rPr>
        <w:t xml:space="preserve"> and Ivory’s chapter </w:t>
      </w:r>
      <w:r w:rsidR="00321984" w:rsidRPr="006E1DA8">
        <w:rPr>
          <w:rFonts w:cs="Times New Roman"/>
          <w:kern w:val="2"/>
          <w:sz w:val="20"/>
        </w:rPr>
        <w:t>“</w:t>
      </w:r>
      <w:r w:rsidRPr="006E1DA8">
        <w:rPr>
          <w:rFonts w:cs="Times New Roman"/>
          <w:kern w:val="2"/>
          <w:sz w:val="20"/>
        </w:rPr>
        <w:t>Emergence and Convergence: Corporate Criminal Liability Principles in Overview</w:t>
      </w:r>
      <w:r w:rsidR="00321984" w:rsidRPr="006E1DA8">
        <w:rPr>
          <w:rFonts w:cs="Times New Roman"/>
          <w:kern w:val="2"/>
          <w:sz w:val="20"/>
        </w:rPr>
        <w:t>”</w:t>
      </w:r>
      <w:r w:rsidRPr="006E1DA8">
        <w:rPr>
          <w:rStyle w:val="FootnoteReference"/>
          <w:rFonts w:cs="Times New Roman"/>
          <w:kern w:val="2"/>
          <w:sz w:val="20"/>
        </w:rPr>
        <w:footnoteReference w:id="59"/>
      </w:r>
      <w:r w:rsidR="00151D5F" w:rsidRPr="006E1DA8">
        <w:rPr>
          <w:rFonts w:cs="Times New Roman"/>
          <w:kern w:val="2"/>
          <w:sz w:val="20"/>
        </w:rPr>
        <w:t xml:space="preserve"> and in the 2016 OECD report </w:t>
      </w:r>
      <w:r w:rsidR="00151D5F" w:rsidRPr="006E1DA8">
        <w:rPr>
          <w:rFonts w:cs="Times New Roman"/>
          <w:i/>
          <w:kern w:val="2"/>
          <w:sz w:val="20"/>
        </w:rPr>
        <w:t>Liability of Legal Persons for Foreign Bribery: A Stocktaking Report</w:t>
      </w:r>
      <w:r w:rsidR="00151D5F" w:rsidRPr="006E1DA8">
        <w:rPr>
          <w:rFonts w:cs="Times New Roman"/>
          <w:kern w:val="2"/>
          <w:sz w:val="20"/>
        </w:rPr>
        <w:t>.</w:t>
      </w:r>
      <w:r w:rsidR="00151D5F" w:rsidRPr="006E1DA8">
        <w:rPr>
          <w:rStyle w:val="FootnoteReference"/>
          <w:rFonts w:cs="Times New Roman"/>
          <w:kern w:val="2"/>
          <w:sz w:val="20"/>
        </w:rPr>
        <w:footnoteReference w:id="60"/>
      </w:r>
    </w:p>
    <w:p w14:paraId="4AF8DBE4" w14:textId="37C1E046" w:rsidR="00827F7D" w:rsidRPr="006E1DA8" w:rsidRDefault="00827F7D" w:rsidP="00827F7D">
      <w:pPr>
        <w:rPr>
          <w:rFonts w:cs="Times New Roman"/>
          <w:kern w:val="2"/>
          <w:sz w:val="20"/>
        </w:rPr>
      </w:pPr>
      <w:r w:rsidRPr="006E1DA8">
        <w:rPr>
          <w:rFonts w:cs="Times New Roman"/>
          <w:kern w:val="2"/>
          <w:sz w:val="20"/>
        </w:rPr>
        <w:t xml:space="preserve">The attribution of criminal intent or fault to corporations also raises the possibility of a due diligence or compliance defence. The </w:t>
      </w:r>
      <w:r w:rsidR="00307D7B" w:rsidRPr="006E1DA8">
        <w:rPr>
          <w:rFonts w:cs="Times New Roman"/>
          <w:kern w:val="2"/>
          <w:sz w:val="20"/>
        </w:rPr>
        <w:t xml:space="preserve">possible existence of that </w:t>
      </w:r>
      <w:r w:rsidRPr="006E1DA8">
        <w:rPr>
          <w:rFonts w:cs="Times New Roman"/>
          <w:kern w:val="2"/>
          <w:sz w:val="20"/>
        </w:rPr>
        <w:t>defence in the context of bribery and anti</w:t>
      </w:r>
      <w:r w:rsidR="008F5FCE" w:rsidRPr="006E1DA8">
        <w:rPr>
          <w:rFonts w:cs="Times New Roman"/>
          <w:kern w:val="2"/>
          <w:sz w:val="20"/>
        </w:rPr>
        <w:t>-</w:t>
      </w:r>
      <w:r w:rsidRPr="006E1DA8">
        <w:rPr>
          <w:rFonts w:cs="Times New Roman"/>
          <w:kern w:val="2"/>
          <w:sz w:val="20"/>
        </w:rPr>
        <w:t>corruption offences in the US, UK and Canada will be discussed in further detail below.</w:t>
      </w:r>
    </w:p>
    <w:p w14:paraId="48189FF5" w14:textId="0F43E2ED" w:rsidR="00827F7D" w:rsidRPr="006E1DA8" w:rsidRDefault="00827F7D" w:rsidP="00E32386">
      <w:pPr>
        <w:pStyle w:val="Heading2"/>
        <w:rPr>
          <w:kern w:val="2"/>
          <w:sz w:val="24"/>
        </w:rPr>
      </w:pPr>
      <w:bookmarkStart w:id="16" w:name="_Toc287029829"/>
      <w:r w:rsidRPr="006E1DA8">
        <w:rPr>
          <w:kern w:val="2"/>
          <w:sz w:val="24"/>
        </w:rPr>
        <w:t>UNCAC</w:t>
      </w:r>
      <w:bookmarkEnd w:id="16"/>
    </w:p>
    <w:p w14:paraId="57E8E2DC" w14:textId="30FCD939" w:rsidR="007E3524" w:rsidRPr="006E1DA8" w:rsidRDefault="00827F7D" w:rsidP="00827F7D">
      <w:pPr>
        <w:rPr>
          <w:rFonts w:cs="Times New Roman"/>
          <w:kern w:val="2"/>
          <w:sz w:val="20"/>
        </w:rPr>
      </w:pPr>
      <w:r w:rsidRPr="006E1DA8">
        <w:rPr>
          <w:rFonts w:cs="Times New Roman"/>
          <w:kern w:val="2"/>
          <w:sz w:val="20"/>
        </w:rPr>
        <w:t xml:space="preserve">UNCAC does not mandate that State Parties establish </w:t>
      </w:r>
      <w:r w:rsidRPr="006E1DA8">
        <w:rPr>
          <w:rFonts w:cs="Times New Roman"/>
          <w:i/>
          <w:kern w:val="2"/>
          <w:sz w:val="20"/>
        </w:rPr>
        <w:t>criminal</w:t>
      </w:r>
      <w:r w:rsidRPr="006E1DA8">
        <w:rPr>
          <w:rFonts w:cs="Times New Roman"/>
          <w:kern w:val="2"/>
          <w:sz w:val="20"/>
        </w:rPr>
        <w:t xml:space="preserve"> sanctions for corporations involved in corruption offences. However, Article 26 does require State Parties to ensure that legal entities are liable (criminally </w:t>
      </w:r>
      <w:r w:rsidRPr="006E1DA8">
        <w:rPr>
          <w:rFonts w:cs="Times New Roman"/>
          <w:i/>
          <w:kern w:val="2"/>
          <w:sz w:val="20"/>
        </w:rPr>
        <w:t>or otherwise</w:t>
      </w:r>
      <w:r w:rsidRPr="006E1DA8">
        <w:rPr>
          <w:rFonts w:cs="Times New Roman"/>
          <w:kern w:val="2"/>
          <w:sz w:val="20"/>
        </w:rPr>
        <w:t xml:space="preserve">) for their participation in offences established under UNCAC. Article 26 states: </w:t>
      </w:r>
    </w:p>
    <w:p w14:paraId="71BB82B0" w14:textId="77777777" w:rsidR="00827F7D" w:rsidRPr="006E1DA8" w:rsidRDefault="00827F7D" w:rsidP="0083748E">
      <w:pPr>
        <w:pStyle w:val="BlockQuote"/>
        <w:keepNext/>
        <w:rPr>
          <w:b/>
          <w:kern w:val="2"/>
          <w:sz w:val="20"/>
        </w:rPr>
      </w:pPr>
      <w:r w:rsidRPr="006E1DA8">
        <w:rPr>
          <w:b/>
          <w:kern w:val="2"/>
          <w:sz w:val="20"/>
        </w:rPr>
        <w:t>Article 26. Liability of legal persons</w:t>
      </w:r>
    </w:p>
    <w:p w14:paraId="06A2CD8F" w14:textId="7710AEBD" w:rsidR="00827F7D" w:rsidRPr="006E1DA8" w:rsidRDefault="00827F7D" w:rsidP="009D3B31">
      <w:pPr>
        <w:pStyle w:val="BlockQuote"/>
        <w:numPr>
          <w:ilvl w:val="0"/>
          <w:numId w:val="22"/>
        </w:numPr>
        <w:spacing w:before="60" w:after="0"/>
        <w:jc w:val="left"/>
        <w:rPr>
          <w:kern w:val="2"/>
          <w:sz w:val="20"/>
        </w:rPr>
      </w:pPr>
      <w:r w:rsidRPr="006E1DA8">
        <w:rPr>
          <w:kern w:val="2"/>
          <w:sz w:val="20"/>
        </w:rPr>
        <w:t>Each State Party shall adopt such measures as may be necessary, consistent with its legal principles, to establish the liability of legal persons for participation in the offences established in accordance with this Convention.</w:t>
      </w:r>
    </w:p>
    <w:p w14:paraId="5FBACE9B" w14:textId="560C7442" w:rsidR="00827F7D" w:rsidRPr="006E1DA8" w:rsidRDefault="00827F7D" w:rsidP="009D3B31">
      <w:pPr>
        <w:pStyle w:val="BlockQuote"/>
        <w:numPr>
          <w:ilvl w:val="0"/>
          <w:numId w:val="22"/>
        </w:numPr>
        <w:spacing w:before="60" w:after="0"/>
        <w:jc w:val="left"/>
        <w:rPr>
          <w:kern w:val="2"/>
          <w:sz w:val="20"/>
        </w:rPr>
      </w:pPr>
      <w:r w:rsidRPr="006E1DA8">
        <w:rPr>
          <w:kern w:val="2"/>
          <w:sz w:val="20"/>
        </w:rPr>
        <w:t>Subject to the legal principles of the State Party, the liability of legal persons may be criminal, civil or administrative.</w:t>
      </w:r>
    </w:p>
    <w:p w14:paraId="1C00B646" w14:textId="36D4DB86" w:rsidR="00827F7D" w:rsidRPr="006E1DA8" w:rsidRDefault="00827F7D" w:rsidP="009D3B31">
      <w:pPr>
        <w:pStyle w:val="BlockQuote"/>
        <w:numPr>
          <w:ilvl w:val="0"/>
          <w:numId w:val="22"/>
        </w:numPr>
        <w:spacing w:before="60" w:after="0"/>
        <w:jc w:val="left"/>
        <w:rPr>
          <w:kern w:val="2"/>
          <w:sz w:val="20"/>
        </w:rPr>
      </w:pPr>
      <w:r w:rsidRPr="006E1DA8">
        <w:rPr>
          <w:kern w:val="2"/>
          <w:sz w:val="20"/>
        </w:rPr>
        <w:t>Such liability shall be without prejudice to the criminal liability of the natural persons who have committed the offences.</w:t>
      </w:r>
    </w:p>
    <w:p w14:paraId="3523D85A" w14:textId="1EF66B77" w:rsidR="00827F7D" w:rsidRPr="006E1DA8" w:rsidRDefault="00827F7D" w:rsidP="009D3B31">
      <w:pPr>
        <w:pStyle w:val="BlockQuote"/>
        <w:numPr>
          <w:ilvl w:val="0"/>
          <w:numId w:val="22"/>
        </w:numPr>
        <w:spacing w:before="60" w:after="0"/>
        <w:jc w:val="left"/>
        <w:rPr>
          <w:kern w:val="2"/>
          <w:sz w:val="20"/>
        </w:rPr>
      </w:pPr>
      <w:r w:rsidRPr="006E1DA8">
        <w:rPr>
          <w:kern w:val="2"/>
          <w:sz w:val="20"/>
        </w:rPr>
        <w:t>Each State Party shall, in particular, ensure that legal persons held liable in accordance with this article are subject to effective, proportionate and dissuasive criminal or non-criminal sanctions, including monetary sanctions.</w:t>
      </w:r>
    </w:p>
    <w:p w14:paraId="34CE0709" w14:textId="77777777" w:rsidR="00827F7D" w:rsidRPr="006E1DA8" w:rsidRDefault="00827F7D" w:rsidP="00827F7D">
      <w:pPr>
        <w:rPr>
          <w:rFonts w:cs="Times New Roman"/>
          <w:kern w:val="2"/>
          <w:sz w:val="20"/>
        </w:rPr>
      </w:pPr>
      <w:r w:rsidRPr="006E1DA8">
        <w:rPr>
          <w:rFonts w:cs="Times New Roman"/>
          <w:kern w:val="2"/>
          <w:sz w:val="20"/>
        </w:rPr>
        <w:t xml:space="preserve">The </w:t>
      </w:r>
      <w:r w:rsidRPr="006E1DA8">
        <w:rPr>
          <w:rFonts w:cs="Times New Roman"/>
          <w:i/>
          <w:iCs/>
          <w:kern w:val="2"/>
          <w:sz w:val="20"/>
        </w:rPr>
        <w:t xml:space="preserve">Legislative Guide </w:t>
      </w:r>
      <w:r w:rsidRPr="006E1DA8">
        <w:rPr>
          <w:rFonts w:cs="Times New Roman"/>
          <w:kern w:val="2"/>
          <w:sz w:val="20"/>
        </w:rPr>
        <w:t>to UNCAC addresses corporate liability under Article 26 as follows:</w:t>
      </w:r>
      <w:r w:rsidRPr="006E1DA8">
        <w:rPr>
          <w:rStyle w:val="FootnoteReference"/>
          <w:rFonts w:cs="Times New Roman"/>
          <w:kern w:val="2"/>
          <w:sz w:val="20"/>
        </w:rPr>
        <w:footnoteReference w:id="61"/>
      </w:r>
    </w:p>
    <w:p w14:paraId="5EF0BE55" w14:textId="77777777" w:rsidR="00827F7D" w:rsidRPr="006E1DA8" w:rsidRDefault="00827F7D" w:rsidP="00E32386">
      <w:pPr>
        <w:pStyle w:val="BlockQuote"/>
        <w:rPr>
          <w:kern w:val="2"/>
          <w:sz w:val="20"/>
        </w:rPr>
      </w:pPr>
      <w:r w:rsidRPr="006E1DA8">
        <w:rPr>
          <w:kern w:val="2"/>
          <w:sz w:val="20"/>
        </w:rPr>
        <w:t>Article 26, paragraph 1, requires that States parties adopt such measures as may be necessary, consistent with their legal principles, to establish the liability of legal persons for participation in the offences established in accordance with the Convention.</w:t>
      </w:r>
    </w:p>
    <w:p w14:paraId="54C2A974" w14:textId="77777777" w:rsidR="00827F7D" w:rsidRPr="006E1DA8" w:rsidRDefault="00827F7D" w:rsidP="00E32386">
      <w:pPr>
        <w:pStyle w:val="BlockQuote"/>
        <w:rPr>
          <w:kern w:val="2"/>
          <w:sz w:val="20"/>
        </w:rPr>
      </w:pPr>
      <w:r w:rsidRPr="006E1DA8">
        <w:rPr>
          <w:kern w:val="2"/>
          <w:sz w:val="20"/>
        </w:rPr>
        <w:t>The obligation to provide for the liability of legal entities is mandatory, to the extent that this is consistent with each State’s legal principles. Subject to these legal principles, the liability of legal persons may be criminal, civil or administrative (art. 26, para. 2), which is consistent with other international initiatives that acknowledge and accommodate the diversity of approaches adopted by different legal systems. Thus, there is no obligation to establish criminal liability, if that is inconsistent with a State’s legal principles. In those cases, a form of civil or administrative liability will be sufficient to meet the requirement.</w:t>
      </w:r>
    </w:p>
    <w:p w14:paraId="4AEBBA88" w14:textId="77777777" w:rsidR="00827F7D" w:rsidRPr="006E1DA8" w:rsidRDefault="00827F7D" w:rsidP="00E32386">
      <w:pPr>
        <w:pStyle w:val="BlockQuote"/>
        <w:rPr>
          <w:kern w:val="2"/>
          <w:sz w:val="20"/>
        </w:rPr>
      </w:pPr>
      <w:r w:rsidRPr="006E1DA8">
        <w:rPr>
          <w:kern w:val="2"/>
          <w:sz w:val="20"/>
        </w:rPr>
        <w:t>Article 26, paragraph 3, provides that this liability of legal entities must be established without prejudice to the criminal liability of the natural persons who have committed the offences. The liability of natural persons who perpetrated the acts, therefore, is in addition to any corporate liability and must not be affected in any way by the latter. When an individual commits crimes on behalf of a legal entity, it must be possible to prosecute and sanction them both ….</w:t>
      </w:r>
    </w:p>
    <w:p w14:paraId="505FC2C1" w14:textId="77777777" w:rsidR="00827F7D" w:rsidRPr="006E1DA8" w:rsidRDefault="00827F7D" w:rsidP="00E32386">
      <w:pPr>
        <w:pStyle w:val="BlockQuote"/>
        <w:rPr>
          <w:kern w:val="2"/>
          <w:sz w:val="20"/>
        </w:rPr>
      </w:pPr>
      <w:r w:rsidRPr="006E1DA8">
        <w:rPr>
          <w:kern w:val="2"/>
          <w:sz w:val="20"/>
        </w:rPr>
        <w:t xml:space="preserve">The Convention requires States to ensure that legal persons held liable in accordance with article 26 are subject to effective, proportionate and dissuasive criminal or non-criminal sanctions, including monetary sanctions (art. 26, para. 4). </w:t>
      </w:r>
    </w:p>
    <w:p w14:paraId="04BF4DAB" w14:textId="77777777" w:rsidR="00827F7D" w:rsidRPr="006E1DA8" w:rsidRDefault="00827F7D" w:rsidP="00E32386">
      <w:pPr>
        <w:pStyle w:val="BlockQuote"/>
        <w:rPr>
          <w:kern w:val="2"/>
          <w:sz w:val="20"/>
        </w:rPr>
      </w:pPr>
      <w:r w:rsidRPr="006E1DA8">
        <w:rPr>
          <w:kern w:val="2"/>
          <w:sz w:val="20"/>
        </w:rPr>
        <w:t>This specific provision complements the more general requirement of article 30, paragraph 1, that sanctions must take into account the gravity of the offence. Given that the investigation and prosecution of crimes of corruption can be quite lengthy, States with a legal system providing for statutes of limitation must ensure that the limitation periods for the offences covered by the Convention are comparatively long (see also art. 29).</w:t>
      </w:r>
    </w:p>
    <w:p w14:paraId="3A134DA6" w14:textId="77777777" w:rsidR="00827F7D" w:rsidRPr="006E1DA8" w:rsidRDefault="00827F7D" w:rsidP="00E32386">
      <w:pPr>
        <w:pStyle w:val="BlockQuote"/>
        <w:rPr>
          <w:kern w:val="2"/>
          <w:sz w:val="20"/>
        </w:rPr>
      </w:pPr>
      <w:r w:rsidRPr="006E1DA8">
        <w:rPr>
          <w:kern w:val="2"/>
          <w:sz w:val="20"/>
        </w:rPr>
        <w:t>The most frequently used sanction is a fine, which is sometimes characterized as criminal, sometimes as non-criminal and sometimes as a hybrid. Other sanctions include exclusion from contracting with the Government (for example public procurement, aid procurement and export credit financing), forfeiture, confiscation, restitution, debarment or closing down of legal entities. In addition, States may wish to consider non-monetary sanctions available in some jurisdictions, such as withdrawal of certain advantages, suspension of certain rights, prohibition of certain activities, publication of the judgment, the appointment of a trustee, the requirement to establish an effective internal compliance programme and the direct regulation of corporate structures.</w:t>
      </w:r>
    </w:p>
    <w:p w14:paraId="549229E9" w14:textId="77777777" w:rsidR="00935162" w:rsidRDefault="00827F7D" w:rsidP="00E32386">
      <w:pPr>
        <w:pStyle w:val="BlockQuote"/>
        <w:rPr>
          <w:kern w:val="2"/>
          <w:sz w:val="20"/>
        </w:rPr>
      </w:pPr>
      <w:r w:rsidRPr="006E1DA8">
        <w:rPr>
          <w:kern w:val="2"/>
          <w:sz w:val="20"/>
        </w:rPr>
        <w:t>The obligation to ensure that legal persons are subject to appropriate sanctions requires that these be provided for by legislation and should not limit or infringe on existing judicial independence or discre</w:t>
      </w:r>
      <w:r w:rsidR="00486643" w:rsidRPr="006E1DA8">
        <w:rPr>
          <w:kern w:val="2"/>
          <w:sz w:val="20"/>
        </w:rPr>
        <w:t>tion with respect to sentencing</w:t>
      </w:r>
      <w:r w:rsidR="0041279A" w:rsidRPr="006E1DA8">
        <w:rPr>
          <w:kern w:val="2"/>
          <w:sz w:val="20"/>
        </w:rPr>
        <w:t>.</w:t>
      </w:r>
      <w:r w:rsidRPr="006E1DA8">
        <w:rPr>
          <w:kern w:val="2"/>
          <w:sz w:val="20"/>
        </w:rPr>
        <w:t xml:space="preserve"> </w:t>
      </w:r>
    </w:p>
    <w:p w14:paraId="11969972" w14:textId="065EA97D" w:rsidR="00827F7D" w:rsidRPr="006E1DA8" w:rsidRDefault="00827F7D" w:rsidP="00E32386">
      <w:pPr>
        <w:pStyle w:val="BlockQuote"/>
        <w:rPr>
          <w:kern w:val="2"/>
          <w:sz w:val="20"/>
        </w:rPr>
      </w:pPr>
      <w:r w:rsidRPr="006E1DA8">
        <w:rPr>
          <w:kern w:val="2"/>
          <w:sz w:val="20"/>
        </w:rPr>
        <w:t>[</w:t>
      </w:r>
      <w:proofErr w:type="gramStart"/>
      <w:r w:rsidRPr="006E1DA8">
        <w:rPr>
          <w:kern w:val="2"/>
          <w:sz w:val="20"/>
        </w:rPr>
        <w:t>footnotes</w:t>
      </w:r>
      <w:proofErr w:type="gramEnd"/>
      <w:r w:rsidRPr="006E1DA8">
        <w:rPr>
          <w:kern w:val="2"/>
          <w:sz w:val="20"/>
        </w:rPr>
        <w:t xml:space="preserve"> omitted]</w:t>
      </w:r>
    </w:p>
    <w:p w14:paraId="59897079" w14:textId="3477B91D" w:rsidR="00827F7D" w:rsidRPr="006E1DA8" w:rsidRDefault="00827F7D" w:rsidP="00E32386">
      <w:pPr>
        <w:pStyle w:val="Heading2"/>
        <w:rPr>
          <w:kern w:val="2"/>
          <w:sz w:val="24"/>
        </w:rPr>
      </w:pPr>
      <w:r w:rsidRPr="006E1DA8">
        <w:rPr>
          <w:kern w:val="2"/>
          <w:sz w:val="24"/>
        </w:rPr>
        <w:t>OECD Convention</w:t>
      </w:r>
    </w:p>
    <w:p w14:paraId="08ACA56E" w14:textId="77777777" w:rsidR="00827F7D" w:rsidRPr="006E1DA8" w:rsidRDefault="00827F7D" w:rsidP="00473214">
      <w:pPr>
        <w:keepNext/>
        <w:rPr>
          <w:kern w:val="2"/>
          <w:sz w:val="20"/>
        </w:rPr>
      </w:pPr>
      <w:r w:rsidRPr="006E1DA8">
        <w:rPr>
          <w:rFonts w:cs="Times New Roman"/>
          <w:kern w:val="2"/>
          <w:sz w:val="20"/>
        </w:rPr>
        <w:t xml:space="preserve">Article 2 of the OECD Convention states: </w:t>
      </w:r>
    </w:p>
    <w:p w14:paraId="62532DC6" w14:textId="77777777" w:rsidR="00827F7D" w:rsidRPr="006E1DA8" w:rsidRDefault="00827F7D" w:rsidP="00E32386">
      <w:pPr>
        <w:pStyle w:val="BlockQuote"/>
        <w:rPr>
          <w:kern w:val="2"/>
          <w:sz w:val="20"/>
        </w:rPr>
      </w:pPr>
      <w:r w:rsidRPr="006E1DA8">
        <w:rPr>
          <w:kern w:val="2"/>
          <w:sz w:val="20"/>
        </w:rPr>
        <w:t>Each Party shall take such measures as may be necessary, in accordance with its legal principles, to establish the liability of legal persons for the bribery of a foreign public official.</w:t>
      </w:r>
    </w:p>
    <w:p w14:paraId="2C0FE357" w14:textId="72FBD0E0" w:rsidR="00827F7D" w:rsidRPr="006E1DA8" w:rsidRDefault="00827F7D" w:rsidP="00827F7D">
      <w:pPr>
        <w:rPr>
          <w:rFonts w:cs="Times New Roman"/>
          <w:kern w:val="2"/>
          <w:sz w:val="20"/>
        </w:rPr>
      </w:pPr>
      <w:r w:rsidRPr="006E1DA8">
        <w:rPr>
          <w:rFonts w:cs="Times New Roman"/>
          <w:kern w:val="2"/>
          <w:sz w:val="20"/>
        </w:rPr>
        <w:t xml:space="preserve">The clause </w:t>
      </w:r>
      <w:r w:rsidR="00321984" w:rsidRPr="006E1DA8">
        <w:rPr>
          <w:rFonts w:cs="Times New Roman"/>
          <w:kern w:val="2"/>
          <w:sz w:val="20"/>
        </w:rPr>
        <w:t>“</w:t>
      </w:r>
      <w:r w:rsidRPr="006E1DA8">
        <w:rPr>
          <w:rFonts w:cs="Times New Roman"/>
          <w:kern w:val="2"/>
          <w:sz w:val="20"/>
        </w:rPr>
        <w:t>in accordance with its legal principles</w:t>
      </w:r>
      <w:r w:rsidR="00321984" w:rsidRPr="006E1DA8">
        <w:rPr>
          <w:rFonts w:cs="Times New Roman"/>
          <w:kern w:val="2"/>
          <w:sz w:val="20"/>
        </w:rPr>
        <w:t>”</w:t>
      </w:r>
      <w:r w:rsidRPr="006E1DA8">
        <w:rPr>
          <w:rFonts w:cs="Times New Roman"/>
          <w:kern w:val="2"/>
          <w:sz w:val="20"/>
        </w:rPr>
        <w:t xml:space="preserve"> reflects the Convention’s goal of functional equivalency, meaning that State Parties are required to sanction the bribery of foreign public officials in the same manner that they would sanction other offences committed by corporations, without mandating changes in the fundamental principles of their respective legal systems.</w:t>
      </w:r>
      <w:r w:rsidRPr="006E1DA8">
        <w:rPr>
          <w:rStyle w:val="FootnoteReference"/>
          <w:rFonts w:cs="Times New Roman"/>
          <w:kern w:val="2"/>
          <w:sz w:val="20"/>
        </w:rPr>
        <w:footnoteReference w:id="62"/>
      </w:r>
      <w:r w:rsidRPr="006E1DA8">
        <w:rPr>
          <w:rFonts w:cs="Times New Roman"/>
          <w:kern w:val="2"/>
          <w:sz w:val="20"/>
        </w:rPr>
        <w:t xml:space="preserve"> In this regard, the </w:t>
      </w:r>
      <w:r w:rsidRPr="006E1DA8">
        <w:rPr>
          <w:rFonts w:cs="Times New Roman"/>
          <w:i/>
          <w:iCs/>
          <w:kern w:val="2"/>
          <w:sz w:val="20"/>
        </w:rPr>
        <w:t xml:space="preserve">Commentaries on the Convention </w:t>
      </w:r>
      <w:r w:rsidRPr="006E1DA8">
        <w:rPr>
          <w:rFonts w:cs="Times New Roman"/>
          <w:kern w:val="2"/>
          <w:sz w:val="20"/>
        </w:rPr>
        <w:t xml:space="preserve">state that if the concept of </w:t>
      </w:r>
      <w:r w:rsidRPr="006E1DA8">
        <w:rPr>
          <w:rFonts w:cs="Times New Roman"/>
          <w:i/>
          <w:kern w:val="2"/>
          <w:sz w:val="20"/>
        </w:rPr>
        <w:t>criminal</w:t>
      </w:r>
      <w:r w:rsidRPr="006E1DA8">
        <w:rPr>
          <w:rFonts w:cs="Times New Roman"/>
          <w:kern w:val="2"/>
          <w:sz w:val="20"/>
        </w:rPr>
        <w:t xml:space="preserve"> responsibility of legal persons is not recognized in a nation’s legal system, that nation is not required to establish it. Furthermore, Article 3(2) requires that if criminal liability for legal persons is not available, State Parties </w:t>
      </w:r>
      <w:r w:rsidRPr="006E1DA8">
        <w:rPr>
          <w:rFonts w:cs="Times New Roman"/>
          <w:i/>
          <w:kern w:val="2"/>
          <w:sz w:val="20"/>
        </w:rPr>
        <w:t>shall ensure</w:t>
      </w:r>
      <w:r w:rsidRPr="006E1DA8">
        <w:rPr>
          <w:rFonts w:cs="Times New Roman"/>
          <w:kern w:val="2"/>
          <w:sz w:val="20"/>
        </w:rPr>
        <w:t xml:space="preserve"> that legal persons are subject to </w:t>
      </w:r>
      <w:r w:rsidR="00321984" w:rsidRPr="006E1DA8">
        <w:rPr>
          <w:rFonts w:cs="Times New Roman"/>
          <w:kern w:val="2"/>
          <w:sz w:val="20"/>
        </w:rPr>
        <w:t>“</w:t>
      </w:r>
      <w:r w:rsidRPr="006E1DA8">
        <w:rPr>
          <w:rFonts w:cs="Times New Roman"/>
          <w:kern w:val="2"/>
          <w:sz w:val="20"/>
        </w:rPr>
        <w:t>effective, proportionate and dissuasive non-criminal sanctions, including monetary sanctions, for bribery of foreign public officials.</w:t>
      </w:r>
      <w:r w:rsidR="00321984" w:rsidRPr="006E1DA8">
        <w:rPr>
          <w:rFonts w:cs="Times New Roman"/>
          <w:kern w:val="2"/>
          <w:sz w:val="20"/>
        </w:rPr>
        <w:t>”</w:t>
      </w:r>
      <w:r w:rsidRPr="006E1DA8">
        <w:rPr>
          <w:rFonts w:cs="Times New Roman"/>
          <w:kern w:val="2"/>
          <w:sz w:val="20"/>
        </w:rPr>
        <w:t xml:space="preserve"> This wording is very similar to the requirements regarding the sanctioning of legal persons later adopted in UNCAC. Pursuant to Article 3(4), State Parties shall also consider the imposition of additional civil or administrative sanctions, such as exclusion from participation in public procurement processes, exclusion from entitlement to certain benefits or a judicial winding-up order</w:t>
      </w:r>
      <w:r w:rsidR="00090B09" w:rsidRPr="006E1DA8">
        <w:rPr>
          <w:rFonts w:cs="Times New Roman"/>
          <w:kern w:val="2"/>
          <w:sz w:val="20"/>
        </w:rPr>
        <w:t>.</w:t>
      </w:r>
      <w:r w:rsidR="00AC23E6" w:rsidRPr="006E1DA8">
        <w:rPr>
          <w:rFonts w:cs="Times New Roman"/>
          <w:kern w:val="2"/>
          <w:sz w:val="20"/>
        </w:rPr>
        <w:t xml:space="preserve"> These </w:t>
      </w:r>
      <w:r w:rsidR="00DA6BE0" w:rsidRPr="006E1DA8">
        <w:rPr>
          <w:rFonts w:cs="Times New Roman"/>
          <w:kern w:val="2"/>
          <w:sz w:val="20"/>
        </w:rPr>
        <w:t xml:space="preserve">and other civil </w:t>
      </w:r>
      <w:r w:rsidR="00AC23E6" w:rsidRPr="006E1DA8">
        <w:rPr>
          <w:rFonts w:cs="Times New Roman"/>
          <w:kern w:val="2"/>
          <w:sz w:val="20"/>
        </w:rPr>
        <w:t>remedies are discussed in Chapter 7, Sections 7 to 10</w:t>
      </w:r>
      <w:r w:rsidRPr="006E1DA8">
        <w:rPr>
          <w:rFonts w:cs="Times New Roman"/>
          <w:kern w:val="2"/>
          <w:sz w:val="20"/>
        </w:rPr>
        <w:t>.</w:t>
      </w:r>
    </w:p>
    <w:p w14:paraId="236E3B43" w14:textId="6F263100" w:rsidR="00AC23E6" w:rsidRPr="006E1DA8" w:rsidRDefault="00AC23E6" w:rsidP="00827F7D">
      <w:pPr>
        <w:rPr>
          <w:rFonts w:cs="Times New Roman"/>
          <w:kern w:val="2"/>
          <w:sz w:val="20"/>
        </w:rPr>
      </w:pPr>
      <w:r w:rsidRPr="006E1DA8">
        <w:rPr>
          <w:rFonts w:cs="Times New Roman"/>
          <w:kern w:val="2"/>
          <w:sz w:val="20"/>
        </w:rPr>
        <w:t>In 2009, the OECD Council adopted the 2009 Recommendation for Further Combatting Bribery and Annex I</w:t>
      </w:r>
      <w:r w:rsidR="00CE1469" w:rsidRPr="006E1DA8">
        <w:rPr>
          <w:rFonts w:cs="Times New Roman"/>
          <w:kern w:val="2"/>
          <w:sz w:val="20"/>
        </w:rPr>
        <w:t>,</w:t>
      </w:r>
      <w:r w:rsidRPr="006E1DA8">
        <w:rPr>
          <w:rFonts w:cs="Times New Roman"/>
          <w:kern w:val="2"/>
          <w:sz w:val="20"/>
        </w:rPr>
        <w:t xml:space="preserve"> which stated that member parties to the convention should not treat prosecution of natural persons as a prerequisite to also prosecuting the corporation, and secondly it provided guidance on different methods for attributing liability to the company based on the actions or inactions of natural persons associated with the company. </w:t>
      </w:r>
    </w:p>
    <w:p w14:paraId="7A8421E0" w14:textId="3357B8DE" w:rsidR="00827F7D" w:rsidRPr="006E1DA8" w:rsidRDefault="00827F7D" w:rsidP="00827F7D">
      <w:pPr>
        <w:rPr>
          <w:kern w:val="2"/>
          <w:sz w:val="20"/>
        </w:rPr>
      </w:pPr>
      <w:proofErr w:type="spellStart"/>
      <w:r w:rsidRPr="006E1DA8">
        <w:rPr>
          <w:rFonts w:cs="Times New Roman"/>
          <w:kern w:val="2"/>
          <w:sz w:val="20"/>
        </w:rPr>
        <w:t>Pieth</w:t>
      </w:r>
      <w:proofErr w:type="spellEnd"/>
      <w:r w:rsidRPr="006E1DA8">
        <w:rPr>
          <w:rFonts w:cs="Times New Roman"/>
          <w:kern w:val="2"/>
          <w:sz w:val="20"/>
        </w:rPr>
        <w:t xml:space="preserve"> notes that the OECD Working Group on Bribery has been reluctant to give directives on which sanctions it feels meet the standard of </w:t>
      </w:r>
      <w:r w:rsidR="00321984" w:rsidRPr="006E1DA8">
        <w:rPr>
          <w:rFonts w:cs="Times New Roman"/>
          <w:kern w:val="2"/>
          <w:sz w:val="20"/>
        </w:rPr>
        <w:t>“</w:t>
      </w:r>
      <w:r w:rsidRPr="006E1DA8">
        <w:rPr>
          <w:rFonts w:cs="Times New Roman"/>
          <w:kern w:val="2"/>
          <w:sz w:val="20"/>
        </w:rPr>
        <w:t>effective, proportionate and dissuasive</w:t>
      </w:r>
      <w:r w:rsidR="00223DF3"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63"/>
      </w:r>
      <w:r w:rsidRPr="006E1DA8">
        <w:rPr>
          <w:rFonts w:cs="Times New Roman"/>
          <w:kern w:val="2"/>
          <w:sz w:val="20"/>
        </w:rPr>
        <w:t xml:space="preserve"> Upon reviewing the Working Group on Bribery’s Phase One evaluation of Japan (where it considered the sanctions available in Japan to be insufficient), </w:t>
      </w:r>
      <w:proofErr w:type="spellStart"/>
      <w:r w:rsidRPr="006E1DA8">
        <w:rPr>
          <w:rFonts w:cs="Times New Roman"/>
          <w:kern w:val="2"/>
          <w:sz w:val="20"/>
        </w:rPr>
        <w:t>Pieth</w:t>
      </w:r>
      <w:proofErr w:type="spellEnd"/>
      <w:r w:rsidRPr="006E1DA8">
        <w:rPr>
          <w:rFonts w:cs="Times New Roman"/>
          <w:kern w:val="2"/>
          <w:sz w:val="20"/>
        </w:rPr>
        <w:t xml:space="preserve"> argues that two principles are discernible:</w:t>
      </w:r>
    </w:p>
    <w:p w14:paraId="3A1499F8" w14:textId="0F1AB798" w:rsidR="00827F7D" w:rsidRPr="006E1DA8" w:rsidRDefault="00827F7D" w:rsidP="00E32386">
      <w:pPr>
        <w:pStyle w:val="BlockQuote"/>
        <w:rPr>
          <w:kern w:val="2"/>
          <w:sz w:val="20"/>
        </w:rPr>
      </w:pPr>
      <w:r w:rsidRPr="006E1DA8">
        <w:rPr>
          <w:kern w:val="2"/>
          <w:sz w:val="20"/>
        </w:rPr>
        <w:t>By virtue of this finding, the WGB [Working Group on Bribery] established two principles: first, that sanctions against corporations must be sufficiently ‘tough’ to have an impact on large multinational corporations, second, that according to the concept of functional equivalence a trade-off is possible between two theoretically quite different instruments, i.e. the corporate fine and the forfeiture/confiscation of illicit profits (Article 3(3) of the Convention).</w:t>
      </w:r>
      <w:r w:rsidR="00AD0C4D" w:rsidRPr="006E1DA8">
        <w:rPr>
          <w:rStyle w:val="FootnoteReference"/>
          <w:rFonts w:cs="Times New Roman"/>
          <w:kern w:val="2"/>
          <w:sz w:val="20"/>
        </w:rPr>
        <w:footnoteReference w:id="64"/>
      </w:r>
    </w:p>
    <w:p w14:paraId="436381DB" w14:textId="7AEB9837" w:rsidR="00827F7D" w:rsidRPr="006E1DA8" w:rsidRDefault="00827F7D" w:rsidP="00827F7D">
      <w:pPr>
        <w:rPr>
          <w:kern w:val="2"/>
          <w:sz w:val="20"/>
        </w:rPr>
      </w:pPr>
      <w:proofErr w:type="spellStart"/>
      <w:r w:rsidRPr="006E1DA8">
        <w:rPr>
          <w:rFonts w:cs="Times New Roman"/>
          <w:kern w:val="2"/>
          <w:sz w:val="20"/>
        </w:rPr>
        <w:t>Pieth</w:t>
      </w:r>
      <w:proofErr w:type="spellEnd"/>
      <w:r w:rsidRPr="006E1DA8">
        <w:rPr>
          <w:rFonts w:cs="Times New Roman"/>
          <w:kern w:val="2"/>
          <w:sz w:val="20"/>
        </w:rPr>
        <w:t xml:space="preserve"> goes on to address how the different concepts of corporate criminal liability compare to the standard of effective, proportionate and dissuasive sanctions:</w:t>
      </w:r>
    </w:p>
    <w:p w14:paraId="5B798254" w14:textId="5F5FA2D3" w:rsidR="00827F7D" w:rsidRPr="006E1DA8" w:rsidRDefault="00827F7D" w:rsidP="00E32386">
      <w:pPr>
        <w:pStyle w:val="BlockQuote"/>
        <w:rPr>
          <w:kern w:val="2"/>
          <w:sz w:val="20"/>
        </w:rPr>
      </w:pPr>
      <w:r w:rsidRPr="006E1DA8">
        <w:rPr>
          <w:kern w:val="2"/>
          <w:sz w:val="20"/>
        </w:rPr>
        <w:t>With respect to those countries which have implemented corporate criminal liability, the application of a mere identification model, imputing only offences of the most senior management to corporations and also frequently refusing a concept of ‘aggregate knowledge’, would in our view fail to meet the requirements of ‘effective, proportionate and dissuasive sanctions’.</w:t>
      </w:r>
      <w:r w:rsidR="001A00A8" w:rsidRPr="006E1DA8">
        <w:rPr>
          <w:rStyle w:val="FootnoteReference"/>
          <w:rFonts w:cs="Times New Roman"/>
          <w:kern w:val="2"/>
          <w:sz w:val="20"/>
        </w:rPr>
        <w:footnoteReference w:id="65"/>
      </w:r>
    </w:p>
    <w:p w14:paraId="5F89AD33" w14:textId="1C26E19C" w:rsidR="00827F7D" w:rsidRPr="006E1DA8" w:rsidRDefault="00827F7D" w:rsidP="00827F7D">
      <w:pPr>
        <w:rPr>
          <w:kern w:val="2"/>
          <w:sz w:val="20"/>
        </w:rPr>
      </w:pPr>
      <w:r w:rsidRPr="006E1DA8">
        <w:rPr>
          <w:rFonts w:cs="Times New Roman"/>
          <w:kern w:val="2"/>
          <w:sz w:val="20"/>
        </w:rPr>
        <w:t xml:space="preserve">As will be noted below, the above comments are relevant to the UK. They were also applicable to Canada before the 2004 legislative changes which provided a broader definition of corporate liability. </w:t>
      </w:r>
      <w:proofErr w:type="spellStart"/>
      <w:r w:rsidRPr="006E1DA8">
        <w:rPr>
          <w:rFonts w:cs="Times New Roman"/>
          <w:kern w:val="2"/>
          <w:sz w:val="20"/>
        </w:rPr>
        <w:t>Pieth</w:t>
      </w:r>
      <w:proofErr w:type="spellEnd"/>
      <w:r w:rsidRPr="006E1DA8">
        <w:rPr>
          <w:rFonts w:cs="Times New Roman"/>
          <w:kern w:val="2"/>
          <w:sz w:val="20"/>
        </w:rPr>
        <w:t xml:space="preserve"> then </w:t>
      </w:r>
      <w:proofErr w:type="gramStart"/>
      <w:r w:rsidRPr="006E1DA8">
        <w:rPr>
          <w:rFonts w:cs="Times New Roman"/>
          <w:kern w:val="2"/>
          <w:sz w:val="20"/>
        </w:rPr>
        <w:t>adds</w:t>
      </w:r>
      <w:proofErr w:type="gramEnd"/>
      <w:r w:rsidR="005A3A50" w:rsidRPr="006E1DA8">
        <w:rPr>
          <w:rFonts w:cs="Times New Roman"/>
          <w:kern w:val="2"/>
          <w:sz w:val="20"/>
        </w:rPr>
        <w:t xml:space="preserve">: </w:t>
      </w:r>
    </w:p>
    <w:p w14:paraId="3FC671D1" w14:textId="746BBDA4" w:rsidR="00827F7D" w:rsidRPr="006E1DA8" w:rsidRDefault="00827F7D" w:rsidP="00E32386">
      <w:pPr>
        <w:pStyle w:val="BlockQuote"/>
        <w:rPr>
          <w:kern w:val="2"/>
          <w:sz w:val="20"/>
        </w:rPr>
      </w:pPr>
      <w:r w:rsidRPr="006E1DA8">
        <w:rPr>
          <w:kern w:val="2"/>
          <w:sz w:val="20"/>
        </w:rPr>
        <w:t>On the other hand, the terms of Articles 2 and 3 of the Convention would be met by countries whose liability concept includes lack of due diligence by senior management, allowing junior agents to engage in bribery.</w:t>
      </w:r>
      <w:r w:rsidR="002C2331" w:rsidRPr="006E1DA8">
        <w:rPr>
          <w:rStyle w:val="FootnoteReference"/>
          <w:rFonts w:cs="Times New Roman"/>
          <w:kern w:val="2"/>
          <w:sz w:val="18"/>
        </w:rPr>
        <w:footnoteReference w:id="66"/>
      </w:r>
    </w:p>
    <w:p w14:paraId="3B09352B" w14:textId="77777777" w:rsidR="00827F7D" w:rsidRPr="006E1DA8" w:rsidRDefault="00827F7D" w:rsidP="00827F7D">
      <w:pPr>
        <w:rPr>
          <w:kern w:val="2"/>
          <w:sz w:val="20"/>
        </w:rPr>
      </w:pPr>
      <w:r w:rsidRPr="006E1DA8">
        <w:rPr>
          <w:rFonts w:cs="Times New Roman"/>
          <w:kern w:val="2"/>
          <w:sz w:val="20"/>
        </w:rPr>
        <w:t xml:space="preserve">According to this view, the many State Parties that rely on the identification theory to trigger liability of corporate entities are failing to meet their full OECD Convention obligations.  </w:t>
      </w:r>
    </w:p>
    <w:p w14:paraId="4A50BBD4" w14:textId="3568B5D9" w:rsidR="00AB4F47" w:rsidRPr="006E1DA8" w:rsidRDefault="00AB4F47" w:rsidP="00E32386">
      <w:pPr>
        <w:pStyle w:val="Heading2"/>
        <w:rPr>
          <w:kern w:val="2"/>
          <w:sz w:val="24"/>
        </w:rPr>
      </w:pPr>
      <w:r w:rsidRPr="006E1DA8">
        <w:rPr>
          <w:kern w:val="2"/>
          <w:sz w:val="24"/>
        </w:rPr>
        <w:t xml:space="preserve">Overview of Corporate Liability in the 41 </w:t>
      </w:r>
      <w:r w:rsidR="00D4162C" w:rsidRPr="006E1DA8">
        <w:rPr>
          <w:kern w:val="2"/>
          <w:sz w:val="24"/>
        </w:rPr>
        <w:t xml:space="preserve">State </w:t>
      </w:r>
      <w:r w:rsidRPr="006E1DA8">
        <w:rPr>
          <w:kern w:val="2"/>
          <w:sz w:val="24"/>
        </w:rPr>
        <w:t>Parties to the OECD Anti-Bribery Convention</w:t>
      </w:r>
    </w:p>
    <w:p w14:paraId="2C0F8000" w14:textId="6D6D6253" w:rsidR="00AB4F47" w:rsidRPr="006E1DA8" w:rsidRDefault="00AB4F47" w:rsidP="00AB4F47">
      <w:pPr>
        <w:rPr>
          <w:rFonts w:cs="Times New Roman"/>
          <w:kern w:val="2"/>
          <w:sz w:val="20"/>
        </w:rPr>
      </w:pPr>
      <w:r w:rsidRPr="006E1DA8">
        <w:rPr>
          <w:rFonts w:cs="Times New Roman"/>
          <w:kern w:val="2"/>
          <w:sz w:val="20"/>
        </w:rPr>
        <w:t xml:space="preserve">The OECD’s Working Group on </w:t>
      </w:r>
      <w:r w:rsidR="00DA6BE0" w:rsidRPr="006E1DA8">
        <w:rPr>
          <w:rFonts w:cs="Times New Roman"/>
          <w:kern w:val="2"/>
          <w:sz w:val="20"/>
        </w:rPr>
        <w:t>Bribery (WGB) has conducted</w:t>
      </w:r>
      <w:r w:rsidRPr="006E1DA8">
        <w:rPr>
          <w:rFonts w:cs="Times New Roman"/>
          <w:kern w:val="2"/>
          <w:sz w:val="20"/>
        </w:rPr>
        <w:t xml:space="preserve"> a comparative study on liability of legal persons in the 41 Parties to the OECD Anti-Bribery Convention.</w:t>
      </w:r>
      <w:r w:rsidR="00D23568" w:rsidRPr="006E1DA8">
        <w:rPr>
          <w:rFonts w:cs="Times New Roman"/>
          <w:kern w:val="2"/>
          <w:sz w:val="20"/>
        </w:rPr>
        <w:t xml:space="preserve"> In December 2016, the WGB released its final stocktaking report.</w:t>
      </w:r>
      <w:r w:rsidR="00D23568" w:rsidRPr="006E1DA8">
        <w:rPr>
          <w:rStyle w:val="FootnoteReference"/>
          <w:rFonts w:cs="Times New Roman"/>
          <w:kern w:val="2"/>
          <w:sz w:val="20"/>
        </w:rPr>
        <w:footnoteReference w:id="67"/>
      </w:r>
      <w:r w:rsidR="00D23568" w:rsidRPr="006E1DA8">
        <w:rPr>
          <w:rFonts w:cs="Times New Roman"/>
          <w:kern w:val="2"/>
          <w:sz w:val="20"/>
        </w:rPr>
        <w:t xml:space="preserve"> </w:t>
      </w:r>
    </w:p>
    <w:p w14:paraId="5F2A8DB9" w14:textId="58B7358A" w:rsidR="00D23568" w:rsidRPr="006E1DA8" w:rsidRDefault="00D23568" w:rsidP="00AB4F47">
      <w:pPr>
        <w:rPr>
          <w:rFonts w:cs="Times New Roman"/>
          <w:kern w:val="2"/>
          <w:sz w:val="20"/>
        </w:rPr>
      </w:pPr>
      <w:r w:rsidRPr="006E1DA8">
        <w:rPr>
          <w:rFonts w:cs="Times New Roman"/>
          <w:kern w:val="2"/>
          <w:sz w:val="20"/>
        </w:rPr>
        <w:t xml:space="preserve">The report notes the vast global expansion of liability for </w:t>
      </w:r>
      <w:r w:rsidR="00321984" w:rsidRPr="006E1DA8">
        <w:rPr>
          <w:rFonts w:cs="Times New Roman"/>
          <w:kern w:val="2"/>
          <w:sz w:val="20"/>
        </w:rPr>
        <w:t>“</w:t>
      </w:r>
      <w:r w:rsidRPr="006E1DA8">
        <w:rPr>
          <w:rFonts w:cs="Times New Roman"/>
          <w:kern w:val="2"/>
          <w:sz w:val="20"/>
        </w:rPr>
        <w:t>legal persons</w:t>
      </w:r>
      <w:r w:rsidR="00321984" w:rsidRPr="006E1DA8">
        <w:rPr>
          <w:rFonts w:cs="Times New Roman"/>
          <w:kern w:val="2"/>
          <w:sz w:val="20"/>
        </w:rPr>
        <w:t>”</w:t>
      </w:r>
      <w:r w:rsidRPr="006E1DA8">
        <w:rPr>
          <w:rFonts w:cs="Times New Roman"/>
          <w:kern w:val="2"/>
          <w:sz w:val="20"/>
        </w:rPr>
        <w:t xml:space="preserve"> </w:t>
      </w:r>
      <w:r w:rsidR="00DA6BE0" w:rsidRPr="006E1DA8">
        <w:rPr>
          <w:rFonts w:cs="Times New Roman"/>
          <w:kern w:val="2"/>
          <w:sz w:val="20"/>
        </w:rPr>
        <w:t xml:space="preserve">that has taken place </w:t>
      </w:r>
      <w:r w:rsidRPr="006E1DA8">
        <w:rPr>
          <w:rFonts w:cs="Times New Roman"/>
          <w:kern w:val="2"/>
          <w:sz w:val="20"/>
        </w:rPr>
        <w:t>since th</w:t>
      </w:r>
      <w:r w:rsidR="003C58D8" w:rsidRPr="006E1DA8">
        <w:rPr>
          <w:rFonts w:cs="Times New Roman"/>
          <w:kern w:val="2"/>
          <w:sz w:val="20"/>
        </w:rPr>
        <w:t>e Convention’s adoption in 1997:</w:t>
      </w:r>
      <w:r w:rsidR="00CE1469" w:rsidRPr="006E1DA8">
        <w:rPr>
          <w:rStyle w:val="FootnoteReference"/>
          <w:rFonts w:eastAsia="Times New Roman" w:cs="Times New Roman"/>
          <w:kern w:val="2"/>
          <w:sz w:val="20"/>
          <w:szCs w:val="21"/>
        </w:rPr>
        <w:footnoteReference w:id="68"/>
      </w:r>
    </w:p>
    <w:p w14:paraId="7CB2A75C" w14:textId="01AD53FC" w:rsidR="004907FB" w:rsidRPr="006E1DA8" w:rsidRDefault="00D23568" w:rsidP="009D3B31">
      <w:pPr>
        <w:pStyle w:val="BlockQuote"/>
        <w:numPr>
          <w:ilvl w:val="0"/>
          <w:numId w:val="23"/>
        </w:numPr>
        <w:spacing w:before="60" w:after="0"/>
        <w:jc w:val="left"/>
        <w:rPr>
          <w:kern w:val="2"/>
          <w:sz w:val="20"/>
        </w:rPr>
      </w:pPr>
      <w:r w:rsidRPr="006E1DA8">
        <w:rPr>
          <w:kern w:val="2"/>
          <w:sz w:val="20"/>
        </w:rPr>
        <w:t xml:space="preserve">After the adoption of the Convention, many Parties initiated law-making events relevant for LP </w:t>
      </w:r>
      <w:r w:rsidR="00DA6BE0" w:rsidRPr="006E1DA8">
        <w:rPr>
          <w:kern w:val="2"/>
          <w:sz w:val="20"/>
        </w:rPr>
        <w:t xml:space="preserve">[legal person] </w:t>
      </w:r>
      <w:r w:rsidRPr="006E1DA8">
        <w:rPr>
          <w:kern w:val="2"/>
          <w:sz w:val="20"/>
        </w:rPr>
        <w:t>liability and foreign bribery. These included:</w:t>
      </w:r>
    </w:p>
    <w:p w14:paraId="1B52DA0D" w14:textId="77777777" w:rsidR="004907FB" w:rsidRPr="006E1DA8" w:rsidRDefault="00D23568" w:rsidP="009D3B31">
      <w:pPr>
        <w:pStyle w:val="BlockQuote"/>
        <w:numPr>
          <w:ilvl w:val="1"/>
          <w:numId w:val="24"/>
        </w:numPr>
        <w:spacing w:before="60" w:after="0"/>
        <w:jc w:val="left"/>
        <w:rPr>
          <w:kern w:val="2"/>
          <w:sz w:val="20"/>
        </w:rPr>
      </w:pPr>
      <w:r w:rsidRPr="006E1DA8">
        <w:rPr>
          <w:b/>
          <w:i/>
          <w:kern w:val="2"/>
          <w:sz w:val="20"/>
        </w:rPr>
        <w:t>Creation of LP liability frameworks for foreign bribery in the absence of prior legal traditions.</w:t>
      </w:r>
      <w:r w:rsidRPr="006E1DA8">
        <w:rPr>
          <w:kern w:val="2"/>
          <w:sz w:val="20"/>
        </w:rPr>
        <w:t xml:space="preserve"> Based on information provided in the WGB’s monitoring reports, it appears that 16 Parties (39%) took steps to create LP liability systems apparently without any previous experience before the adoption of the Convention: Austria, Belgium, Bulgaria, Chile, Colombia, Czech Republic, Estonia, Greece, Hungary, Italy, Latvia, Luxembourg, Russian Federation, Slovenia, Spain, and Switzerland.</w:t>
      </w:r>
    </w:p>
    <w:p w14:paraId="3C2E21F9" w14:textId="77777777" w:rsidR="004907FB" w:rsidRPr="006E1DA8" w:rsidRDefault="00D23568" w:rsidP="009D3B31">
      <w:pPr>
        <w:pStyle w:val="BlockQuote"/>
        <w:numPr>
          <w:ilvl w:val="1"/>
          <w:numId w:val="24"/>
        </w:numPr>
        <w:spacing w:before="60" w:after="0"/>
        <w:jc w:val="left"/>
        <w:rPr>
          <w:kern w:val="2"/>
          <w:sz w:val="20"/>
        </w:rPr>
      </w:pPr>
      <w:r w:rsidRPr="006E1DA8">
        <w:rPr>
          <w:b/>
          <w:i/>
          <w:kern w:val="2"/>
          <w:sz w:val="20"/>
        </w:rPr>
        <w:t>Adaptation or application of LP liability systems that existed in some form before the Convention to cover foreign bribery.</w:t>
      </w:r>
      <w:r w:rsidRPr="006E1DA8">
        <w:rPr>
          <w:kern w:val="2"/>
          <w:sz w:val="20"/>
        </w:rPr>
        <w:t xml:space="preserve"> In addition, 24 Parties (59%) adapted or applied pre-existing systems for LP liability to foreign bribery while implementing the Convention: Australia, Brazil, Canada, Denmark, Finland, France, Germany, Iceland, Ireland, Israel, Japan, Korea, Mexico, Netherlands, New Zealand, Norway, Poland, Portugal, Slovak Republic, South Africa, Sweden, Turkey, United Kingdom and the United States.</w:t>
      </w:r>
    </w:p>
    <w:p w14:paraId="3DE2AC46" w14:textId="0C4695A5" w:rsidR="00D23568" w:rsidRPr="006E1DA8" w:rsidRDefault="00D23568" w:rsidP="009D3B31">
      <w:pPr>
        <w:pStyle w:val="BlockQuote"/>
        <w:numPr>
          <w:ilvl w:val="0"/>
          <w:numId w:val="23"/>
        </w:numPr>
        <w:spacing w:before="60" w:after="0"/>
        <w:jc w:val="left"/>
        <w:rPr>
          <w:kern w:val="2"/>
          <w:sz w:val="20"/>
        </w:rPr>
      </w:pPr>
      <w:r w:rsidRPr="006E1DA8">
        <w:rPr>
          <w:b/>
          <w:i/>
          <w:kern w:val="2"/>
          <w:sz w:val="20"/>
        </w:rPr>
        <w:t>A multi-stage process of refining legal approaches to LP liability.</w:t>
      </w:r>
      <w:r w:rsidRPr="006E1DA8">
        <w:rPr>
          <w:kern w:val="2"/>
          <w:sz w:val="20"/>
        </w:rPr>
        <w:t xml:space="preserve"> Twenty-one countries (51%) have two or more entries in the timeline after the 1997 adoption of the Convention: Australia, Brazil, Canada, Colom</w:t>
      </w:r>
      <w:r w:rsidR="004907FB" w:rsidRPr="006E1DA8">
        <w:rPr>
          <w:kern w:val="2"/>
          <w:sz w:val="20"/>
        </w:rPr>
        <w:t>bia, Estonia, France, Germany,</w:t>
      </w:r>
      <w:r w:rsidRPr="006E1DA8">
        <w:rPr>
          <w:kern w:val="2"/>
          <w:sz w:val="20"/>
        </w:rPr>
        <w:t xml:space="preserve"> Greece, Hungary, Latvia, Mexico, New Zealand, Norway, Poland, Portugal, Slovak Republic, Spain, Sweden, Switzerland, Turkey and the United States. These multiple entries suggest that the creation of an LP liability regime may be, for many countries, an ongoing search for an appropriate fit with the local legal system through experimentation and adaptation as they apply their laws</w:t>
      </w:r>
      <w:r w:rsidR="00DA6128" w:rsidRPr="006E1DA8">
        <w:rPr>
          <w:kern w:val="2"/>
          <w:sz w:val="20"/>
        </w:rPr>
        <w:t>.</w:t>
      </w:r>
      <w:r w:rsidR="004907FB" w:rsidRPr="006E1DA8">
        <w:rPr>
          <w:kern w:val="2"/>
          <w:sz w:val="20"/>
        </w:rPr>
        <w:t xml:space="preserve"> [footnotes omitted]</w:t>
      </w:r>
    </w:p>
    <w:p w14:paraId="0DBC41DD" w14:textId="53DD3F0C" w:rsidR="00D23568" w:rsidRPr="006E1DA8" w:rsidRDefault="0052405B" w:rsidP="00AB4F47">
      <w:pPr>
        <w:rPr>
          <w:rFonts w:cs="Times New Roman"/>
          <w:kern w:val="2"/>
          <w:sz w:val="20"/>
        </w:rPr>
      </w:pPr>
      <w:r w:rsidRPr="006E1DA8">
        <w:rPr>
          <w:rFonts w:cs="Times New Roman"/>
          <w:kern w:val="2"/>
          <w:sz w:val="20"/>
        </w:rPr>
        <w:t>In regard to each OECD country, the report examines nine distinct aspects of the legal test or standard for liability of legal persons as well as three aspects of sanctions for legal persons found liable. Some of these features of legal person liability from the report are summarized below. As might be expected, there is significant variance in these features of legal person liability.</w:t>
      </w:r>
    </w:p>
    <w:p w14:paraId="2B6A6D15" w14:textId="77777777" w:rsidR="00AB4F47" w:rsidRPr="006E1DA8" w:rsidRDefault="00AB4F47" w:rsidP="00E32386">
      <w:pPr>
        <w:pStyle w:val="Heading3"/>
        <w:rPr>
          <w:kern w:val="2"/>
          <w:sz w:val="22"/>
        </w:rPr>
      </w:pPr>
      <w:r w:rsidRPr="006E1DA8">
        <w:rPr>
          <w:kern w:val="2"/>
          <w:sz w:val="22"/>
        </w:rPr>
        <w:t>Sources of Liability for Legal Persons</w:t>
      </w:r>
    </w:p>
    <w:p w14:paraId="112A2C3E" w14:textId="3551C36E" w:rsidR="00370637" w:rsidRPr="006E1DA8" w:rsidRDefault="006B45AF" w:rsidP="006B45AF">
      <w:pPr>
        <w:rPr>
          <w:rFonts w:cs="Times New Roman"/>
          <w:kern w:val="2"/>
          <w:sz w:val="20"/>
        </w:rPr>
      </w:pPr>
      <w:r w:rsidRPr="006E1DA8">
        <w:rPr>
          <w:rFonts w:cs="Times New Roman"/>
          <w:kern w:val="2"/>
          <w:sz w:val="20"/>
        </w:rPr>
        <w:t>According to the re</w:t>
      </w:r>
      <w:r w:rsidR="00CF1748" w:rsidRPr="006E1DA8">
        <w:rPr>
          <w:rFonts w:cs="Times New Roman"/>
          <w:kern w:val="2"/>
          <w:sz w:val="20"/>
        </w:rPr>
        <w:t>port:</w:t>
      </w:r>
    </w:p>
    <w:p w14:paraId="29F7971D" w14:textId="39FD088E" w:rsidR="006B45AF" w:rsidRPr="006E1DA8" w:rsidRDefault="006B45AF" w:rsidP="009D3B31">
      <w:pPr>
        <w:pStyle w:val="ListParagraph"/>
        <w:numPr>
          <w:ilvl w:val="0"/>
          <w:numId w:val="25"/>
        </w:numPr>
        <w:rPr>
          <w:kern w:val="2"/>
          <w:sz w:val="20"/>
        </w:rPr>
      </w:pPr>
      <w:r w:rsidRPr="006E1DA8">
        <w:rPr>
          <w:kern w:val="2"/>
          <w:sz w:val="20"/>
        </w:rPr>
        <w:t>73% of Parties have liability for legal persons in statutes, while 27% have liability in case law (e.g.</w:t>
      </w:r>
      <w:r w:rsidR="00FD18EF" w:rsidRPr="006E1DA8">
        <w:rPr>
          <w:kern w:val="2"/>
          <w:sz w:val="20"/>
        </w:rPr>
        <w:t>,</w:t>
      </w:r>
      <w:r w:rsidRPr="006E1DA8">
        <w:rPr>
          <w:kern w:val="2"/>
          <w:sz w:val="20"/>
        </w:rPr>
        <w:t xml:space="preserve"> common law).</w:t>
      </w:r>
    </w:p>
    <w:p w14:paraId="5B736623" w14:textId="11A3C7DF" w:rsidR="006B45AF" w:rsidRPr="006E1DA8" w:rsidRDefault="006B45AF" w:rsidP="009D3B31">
      <w:pPr>
        <w:pStyle w:val="ListParagraph"/>
        <w:numPr>
          <w:ilvl w:val="0"/>
          <w:numId w:val="25"/>
        </w:numPr>
        <w:rPr>
          <w:kern w:val="2"/>
          <w:sz w:val="20"/>
        </w:rPr>
      </w:pPr>
      <w:r w:rsidRPr="006E1DA8">
        <w:rPr>
          <w:kern w:val="2"/>
          <w:sz w:val="20"/>
        </w:rPr>
        <w:t>48% have legal liability in statutes other than their general penal law (whether or not there are also provisions in their general penal law).</w:t>
      </w:r>
    </w:p>
    <w:p w14:paraId="31DD0DB1" w14:textId="0CAB2798" w:rsidR="004567AD" w:rsidRPr="006E1DA8" w:rsidRDefault="006B45AF" w:rsidP="009D3B31">
      <w:pPr>
        <w:pStyle w:val="ListParagraph"/>
        <w:numPr>
          <w:ilvl w:val="0"/>
          <w:numId w:val="25"/>
        </w:numPr>
        <w:rPr>
          <w:kern w:val="2"/>
          <w:sz w:val="20"/>
        </w:rPr>
      </w:pPr>
      <w:r w:rsidRPr="006E1DA8">
        <w:rPr>
          <w:kern w:val="2"/>
          <w:sz w:val="20"/>
        </w:rPr>
        <w:t>24% have bribery-specific legislation dealing with liability for legal persons.</w:t>
      </w:r>
      <w:r w:rsidR="00252611" w:rsidRPr="006E1DA8">
        <w:rPr>
          <w:rStyle w:val="FootnoteReference"/>
          <w:rFonts w:cs="Times New Roman"/>
          <w:kern w:val="2"/>
          <w:sz w:val="20"/>
        </w:rPr>
        <w:footnoteReference w:id="69"/>
      </w:r>
    </w:p>
    <w:p w14:paraId="48B7A8F6" w14:textId="77777777" w:rsidR="00AB4F47" w:rsidRPr="006E1DA8" w:rsidRDefault="00AB4F47" w:rsidP="00E32386">
      <w:pPr>
        <w:pStyle w:val="Heading3"/>
        <w:rPr>
          <w:kern w:val="2"/>
          <w:sz w:val="22"/>
        </w:rPr>
      </w:pPr>
      <w:r w:rsidRPr="006E1DA8">
        <w:rPr>
          <w:kern w:val="2"/>
          <w:sz w:val="22"/>
        </w:rPr>
        <w:t>Three Standards for Imputing Legal Liability</w:t>
      </w:r>
    </w:p>
    <w:p w14:paraId="7979E6C2" w14:textId="07B43979" w:rsidR="006B45AF" w:rsidRPr="006E1DA8" w:rsidRDefault="006B45AF" w:rsidP="00CE1469">
      <w:pPr>
        <w:rPr>
          <w:rFonts w:cs="Times New Roman"/>
          <w:kern w:val="2"/>
          <w:sz w:val="20"/>
        </w:rPr>
      </w:pPr>
      <w:r w:rsidRPr="006E1DA8">
        <w:rPr>
          <w:rFonts w:cs="Times New Roman"/>
          <w:kern w:val="2"/>
          <w:sz w:val="20"/>
        </w:rPr>
        <w:t>The report states</w:t>
      </w:r>
      <w:r w:rsidR="00CF1748" w:rsidRPr="006E1DA8">
        <w:rPr>
          <w:rFonts w:cs="Times New Roman"/>
          <w:kern w:val="2"/>
          <w:sz w:val="20"/>
        </w:rPr>
        <w:t>:</w:t>
      </w:r>
    </w:p>
    <w:p w14:paraId="5097D4E9" w14:textId="0C6F1E33" w:rsidR="006B45AF" w:rsidRPr="006E1DA8" w:rsidRDefault="006B45AF" w:rsidP="00E32386">
      <w:pPr>
        <w:pStyle w:val="BlockQuote"/>
        <w:rPr>
          <w:kern w:val="2"/>
          <w:sz w:val="20"/>
        </w:rPr>
      </w:pPr>
      <w:r w:rsidRPr="006E1DA8">
        <w:rPr>
          <w:kern w:val="2"/>
          <w:sz w:val="20"/>
        </w:rPr>
        <w:t xml:space="preserve">Based on WGB reports, it would appear that at least 38 countries (93%) can hold legal persons liable when a person with the highest level of managerial authority commits the offence. At least 31 countries (76%) can also hold them liable if a person with such authority directs or authorises the offence. Finally, at least 29 Parties (71%) can hold companies liable if an officer or other manager fails to prevent the offence </w:t>
      </w:r>
      <w:r w:rsidR="00321984" w:rsidRPr="006E1DA8">
        <w:rPr>
          <w:kern w:val="2"/>
          <w:sz w:val="20"/>
        </w:rPr>
        <w:t>“</w:t>
      </w:r>
      <w:r w:rsidRPr="006E1DA8">
        <w:rPr>
          <w:kern w:val="2"/>
          <w:sz w:val="20"/>
        </w:rPr>
        <w:t>through a failure to supervise … or … a failure to implement adequate controls</w:t>
      </w:r>
      <w:r w:rsidR="004754E1" w:rsidRPr="006E1DA8">
        <w:rPr>
          <w:kern w:val="2"/>
          <w:sz w:val="20"/>
        </w:rPr>
        <w:t>.</w:t>
      </w:r>
      <w:r w:rsidR="00321984" w:rsidRPr="006E1DA8">
        <w:rPr>
          <w:kern w:val="2"/>
          <w:sz w:val="20"/>
        </w:rPr>
        <w:t>”</w:t>
      </w:r>
      <w:r w:rsidR="00847966" w:rsidRPr="006E1DA8">
        <w:rPr>
          <w:rStyle w:val="FootnoteReference"/>
          <w:rFonts w:eastAsia="Times New Roman" w:cs="Times New Roman"/>
          <w:kern w:val="2"/>
          <w:sz w:val="20"/>
          <w:szCs w:val="21"/>
        </w:rPr>
        <w:footnoteReference w:id="70"/>
      </w:r>
    </w:p>
    <w:p w14:paraId="5E4B4155" w14:textId="77777777" w:rsidR="00AB4F47" w:rsidRPr="006E1DA8" w:rsidRDefault="00AB4F47" w:rsidP="00E32386">
      <w:pPr>
        <w:pStyle w:val="Heading3"/>
        <w:rPr>
          <w:kern w:val="2"/>
          <w:sz w:val="22"/>
        </w:rPr>
      </w:pPr>
      <w:r w:rsidRPr="006E1DA8">
        <w:rPr>
          <w:kern w:val="2"/>
          <w:sz w:val="22"/>
        </w:rPr>
        <w:t xml:space="preserve">Circumstances under Which a Natural Person’s Acts Will Be </w:t>
      </w:r>
      <w:proofErr w:type="gramStart"/>
      <w:r w:rsidRPr="006E1DA8">
        <w:rPr>
          <w:kern w:val="2"/>
          <w:sz w:val="22"/>
        </w:rPr>
        <w:t>Attributed</w:t>
      </w:r>
      <w:proofErr w:type="gramEnd"/>
      <w:r w:rsidRPr="006E1DA8">
        <w:rPr>
          <w:kern w:val="2"/>
          <w:sz w:val="22"/>
        </w:rPr>
        <w:t xml:space="preserve"> to a Legal Person</w:t>
      </w:r>
    </w:p>
    <w:p w14:paraId="6964F324" w14:textId="6464CF39" w:rsidR="00104F96" w:rsidRPr="006E1DA8" w:rsidRDefault="00104F96" w:rsidP="00104F96">
      <w:pPr>
        <w:rPr>
          <w:rFonts w:cs="Times New Roman"/>
          <w:kern w:val="2"/>
          <w:sz w:val="20"/>
        </w:rPr>
      </w:pPr>
      <w:r w:rsidRPr="006E1DA8">
        <w:rPr>
          <w:rFonts w:cs="Times New Roman"/>
          <w:kern w:val="2"/>
          <w:sz w:val="20"/>
        </w:rPr>
        <w:t>Some countries require multiple circumstances (i.e.</w:t>
      </w:r>
      <w:r w:rsidR="004754E1" w:rsidRPr="006E1DA8">
        <w:rPr>
          <w:rFonts w:cs="Times New Roman"/>
          <w:kern w:val="2"/>
          <w:sz w:val="20"/>
        </w:rPr>
        <w:t>,</w:t>
      </w:r>
      <w:r w:rsidRPr="006E1DA8">
        <w:rPr>
          <w:rFonts w:cs="Times New Roman"/>
          <w:kern w:val="2"/>
          <w:sz w:val="20"/>
        </w:rPr>
        <w:t xml:space="preserve"> a cumulative approach) while other countries only require one of several factors (an alternative approach). The report n</w:t>
      </w:r>
      <w:r w:rsidR="00CF1748" w:rsidRPr="006E1DA8">
        <w:rPr>
          <w:rFonts w:cs="Times New Roman"/>
          <w:kern w:val="2"/>
          <w:sz w:val="20"/>
        </w:rPr>
        <w:t>otes in part:</w:t>
      </w:r>
      <w:r w:rsidR="009B5824" w:rsidRPr="006E1DA8">
        <w:rPr>
          <w:rStyle w:val="FootnoteReference"/>
          <w:rFonts w:eastAsia="Times New Roman" w:cs="Times New Roman"/>
          <w:kern w:val="2"/>
          <w:sz w:val="20"/>
          <w:szCs w:val="21"/>
        </w:rPr>
        <w:footnoteReference w:id="71"/>
      </w:r>
    </w:p>
    <w:p w14:paraId="717B8BAA" w14:textId="21968094" w:rsidR="00DA6BE0" w:rsidRPr="006E1DA8" w:rsidRDefault="00104F96" w:rsidP="00F5345B">
      <w:pPr>
        <w:pStyle w:val="BlockQuote"/>
        <w:rPr>
          <w:kern w:val="2"/>
          <w:sz w:val="20"/>
        </w:rPr>
      </w:pPr>
      <w:r w:rsidRPr="006E1DA8">
        <w:rPr>
          <w:kern w:val="2"/>
          <w:sz w:val="20"/>
        </w:rPr>
        <w:t xml:space="preserve">A second complexity shown in Table 5 is that some countries impose different conditions as a function of the level of authority or role that the natural person offender has in relation to the legal person. At least ten Parties (24%) have conditions that depend on whether or not the natural person who engages in bribery has managerial authority within the legal person. In contrast, 29 Parties (71%) appear to apply the same conditions to attribute the acts of any relevant natural person to the legal person, without regard to the level of authority </w:t>
      </w:r>
      <w:r w:rsidR="00794A30" w:rsidRPr="006E1DA8">
        <w:rPr>
          <w:kern w:val="2"/>
          <w:sz w:val="20"/>
        </w:rPr>
        <w:t>that the relevant person has</w:t>
      </w:r>
      <w:r w:rsidR="00F5345B" w:rsidRPr="006E1DA8">
        <w:rPr>
          <w:kern w:val="2"/>
          <w:sz w:val="20"/>
        </w:rPr>
        <w:t>.</w:t>
      </w:r>
    </w:p>
    <w:p w14:paraId="3A6EB746" w14:textId="4FBB8767" w:rsidR="00DA6BE0" w:rsidRPr="006E1DA8" w:rsidRDefault="00DA6BE0" w:rsidP="00DA6BE0">
      <w:pPr>
        <w:ind w:right="855"/>
        <w:rPr>
          <w:rFonts w:eastAsia="Times New Roman" w:cs="Times New Roman"/>
          <w:kern w:val="2"/>
          <w:sz w:val="20"/>
          <w:szCs w:val="21"/>
        </w:rPr>
      </w:pPr>
      <w:r w:rsidRPr="006E1DA8">
        <w:rPr>
          <w:rFonts w:eastAsia="Times New Roman" w:cs="Times New Roman"/>
          <w:kern w:val="2"/>
          <w:sz w:val="20"/>
          <w:szCs w:val="21"/>
        </w:rPr>
        <w:t>In footnotes 38 and 39</w:t>
      </w:r>
      <w:r w:rsidR="00CF1748" w:rsidRPr="006E1DA8">
        <w:rPr>
          <w:rFonts w:eastAsia="Times New Roman" w:cs="Times New Roman"/>
          <w:kern w:val="2"/>
          <w:sz w:val="20"/>
          <w:szCs w:val="21"/>
        </w:rPr>
        <w:t>, the report states:</w:t>
      </w:r>
    </w:p>
    <w:p w14:paraId="794694FE" w14:textId="1DD4BFB9" w:rsidR="00794A30" w:rsidRPr="006E1DA8" w:rsidRDefault="00794A30" w:rsidP="00C233A4">
      <w:pPr>
        <w:pStyle w:val="BlockQuote"/>
        <w:ind w:left="1440"/>
        <w:rPr>
          <w:kern w:val="2"/>
          <w:sz w:val="20"/>
        </w:rPr>
      </w:pPr>
      <w:r w:rsidRPr="006E1DA8">
        <w:rPr>
          <w:kern w:val="2"/>
          <w:sz w:val="20"/>
        </w:rPr>
        <w:t>It should be noted, however, that this number may simply reflect the fact that it is not yet clear how a legal person would be held liable for an offence committed by a lower-level employee given the absence of case law in some juris</w:t>
      </w:r>
      <w:r w:rsidR="00DE72DC" w:rsidRPr="006E1DA8">
        <w:rPr>
          <w:kern w:val="2"/>
          <w:sz w:val="20"/>
        </w:rPr>
        <w:t>dictions. … A</w:t>
      </w:r>
      <w:r w:rsidRPr="006E1DA8">
        <w:rPr>
          <w:kern w:val="2"/>
          <w:sz w:val="20"/>
        </w:rPr>
        <w:t xml:space="preserve">s shown in Table 5 below, some of the countries that require that the offence has been committed with the intent to benefit the legal person include: Austria (offence committed </w:t>
      </w:r>
      <w:r w:rsidR="00321984" w:rsidRPr="006E1DA8">
        <w:rPr>
          <w:kern w:val="2"/>
          <w:sz w:val="20"/>
        </w:rPr>
        <w:t>“</w:t>
      </w:r>
      <w:r w:rsidRPr="006E1DA8">
        <w:rPr>
          <w:kern w:val="2"/>
          <w:sz w:val="20"/>
        </w:rPr>
        <w:t>for the benefit of entity</w:t>
      </w:r>
      <w:r w:rsidR="00321984" w:rsidRPr="006E1DA8">
        <w:rPr>
          <w:kern w:val="2"/>
          <w:sz w:val="20"/>
        </w:rPr>
        <w:t>”</w:t>
      </w:r>
      <w:r w:rsidRPr="006E1DA8">
        <w:rPr>
          <w:kern w:val="2"/>
          <w:sz w:val="20"/>
        </w:rPr>
        <w:t>); Canada (</w:t>
      </w:r>
      <w:r w:rsidR="00321984" w:rsidRPr="006E1DA8">
        <w:rPr>
          <w:kern w:val="2"/>
          <w:sz w:val="20"/>
        </w:rPr>
        <w:t>“</w:t>
      </w:r>
      <w:r w:rsidRPr="006E1DA8">
        <w:rPr>
          <w:kern w:val="2"/>
          <w:sz w:val="20"/>
        </w:rPr>
        <w:t>with the intent … to benefit</w:t>
      </w:r>
      <w:r w:rsidR="00321984" w:rsidRPr="006E1DA8">
        <w:rPr>
          <w:kern w:val="2"/>
          <w:sz w:val="20"/>
        </w:rPr>
        <w:t>”</w:t>
      </w:r>
      <w:r w:rsidRPr="006E1DA8">
        <w:rPr>
          <w:kern w:val="2"/>
          <w:sz w:val="20"/>
        </w:rPr>
        <w:t xml:space="preserve"> the LP); Chile (</w:t>
      </w:r>
      <w:r w:rsidR="00321984" w:rsidRPr="006E1DA8">
        <w:rPr>
          <w:kern w:val="2"/>
          <w:sz w:val="20"/>
        </w:rPr>
        <w:t>“</w:t>
      </w:r>
      <w:r w:rsidRPr="006E1DA8">
        <w:rPr>
          <w:kern w:val="2"/>
          <w:sz w:val="20"/>
        </w:rPr>
        <w:t>for the benefit</w:t>
      </w:r>
      <w:r w:rsidR="00321984" w:rsidRPr="006E1DA8">
        <w:rPr>
          <w:kern w:val="2"/>
          <w:sz w:val="20"/>
        </w:rPr>
        <w:t>”</w:t>
      </w:r>
      <w:r w:rsidRPr="006E1DA8">
        <w:rPr>
          <w:kern w:val="2"/>
          <w:sz w:val="20"/>
        </w:rPr>
        <w:t xml:space="preserve"> of the LP); Germany (offence must have violated the </w:t>
      </w:r>
      <w:r w:rsidR="00321984" w:rsidRPr="006E1DA8">
        <w:rPr>
          <w:kern w:val="2"/>
          <w:sz w:val="20"/>
        </w:rPr>
        <w:t>“</w:t>
      </w:r>
      <w:r w:rsidRPr="006E1DA8">
        <w:rPr>
          <w:kern w:val="2"/>
          <w:sz w:val="20"/>
        </w:rPr>
        <w:t>duties incumbent on the legal person</w:t>
      </w:r>
      <w:r w:rsidR="00321984" w:rsidRPr="006E1DA8">
        <w:rPr>
          <w:kern w:val="2"/>
          <w:sz w:val="20"/>
        </w:rPr>
        <w:t>”</w:t>
      </w:r>
      <w:r w:rsidRPr="006E1DA8">
        <w:rPr>
          <w:kern w:val="2"/>
          <w:sz w:val="20"/>
        </w:rPr>
        <w:t xml:space="preserve"> or either </w:t>
      </w:r>
      <w:r w:rsidR="00321984" w:rsidRPr="006E1DA8">
        <w:rPr>
          <w:kern w:val="2"/>
          <w:sz w:val="20"/>
        </w:rPr>
        <w:t>“</w:t>
      </w:r>
      <w:r w:rsidRPr="006E1DA8">
        <w:rPr>
          <w:kern w:val="2"/>
          <w:sz w:val="20"/>
        </w:rPr>
        <w:t>enriched</w:t>
      </w:r>
      <w:r w:rsidR="00321984" w:rsidRPr="006E1DA8">
        <w:rPr>
          <w:kern w:val="2"/>
          <w:sz w:val="20"/>
        </w:rPr>
        <w:t>”</w:t>
      </w:r>
      <w:r w:rsidRPr="006E1DA8">
        <w:rPr>
          <w:kern w:val="2"/>
          <w:sz w:val="20"/>
        </w:rPr>
        <w:t xml:space="preserve">—or have been </w:t>
      </w:r>
      <w:r w:rsidR="00321984" w:rsidRPr="006E1DA8">
        <w:rPr>
          <w:kern w:val="2"/>
          <w:sz w:val="20"/>
        </w:rPr>
        <w:t>“</w:t>
      </w:r>
      <w:r w:rsidRPr="006E1DA8">
        <w:rPr>
          <w:kern w:val="2"/>
          <w:sz w:val="20"/>
        </w:rPr>
        <w:t>intended</w:t>
      </w:r>
      <w:r w:rsidR="00321984" w:rsidRPr="006E1DA8">
        <w:rPr>
          <w:kern w:val="2"/>
          <w:sz w:val="20"/>
        </w:rPr>
        <w:t>”</w:t>
      </w:r>
      <w:r w:rsidRPr="006E1DA8">
        <w:rPr>
          <w:kern w:val="2"/>
          <w:sz w:val="20"/>
        </w:rPr>
        <w:t xml:space="preserve"> to enrich—the LP); Mexico (the offence for the </w:t>
      </w:r>
      <w:r w:rsidR="00321984" w:rsidRPr="006E1DA8">
        <w:rPr>
          <w:kern w:val="2"/>
          <w:sz w:val="20"/>
        </w:rPr>
        <w:t>“</w:t>
      </w:r>
      <w:r w:rsidRPr="006E1DA8">
        <w:rPr>
          <w:kern w:val="2"/>
          <w:sz w:val="20"/>
        </w:rPr>
        <w:t>benefit</w:t>
      </w:r>
      <w:r w:rsidR="00321984" w:rsidRPr="006E1DA8">
        <w:rPr>
          <w:kern w:val="2"/>
          <w:sz w:val="20"/>
        </w:rPr>
        <w:t>”</w:t>
      </w:r>
      <w:r w:rsidRPr="006E1DA8">
        <w:rPr>
          <w:kern w:val="2"/>
          <w:sz w:val="20"/>
        </w:rPr>
        <w:t xml:space="preserve"> of the LP); and the United States </w:t>
      </w:r>
      <w:r w:rsidR="00F5345B" w:rsidRPr="006E1DA8">
        <w:rPr>
          <w:kern w:val="2"/>
          <w:sz w:val="20"/>
        </w:rPr>
        <w:t>(</w:t>
      </w:r>
      <w:r w:rsidR="00321984" w:rsidRPr="006E1DA8">
        <w:rPr>
          <w:kern w:val="2"/>
          <w:sz w:val="20"/>
        </w:rPr>
        <w:t>“</w:t>
      </w:r>
      <w:r w:rsidR="00F5345B" w:rsidRPr="006E1DA8">
        <w:rPr>
          <w:kern w:val="2"/>
          <w:sz w:val="20"/>
        </w:rPr>
        <w:t>for the benefit</w:t>
      </w:r>
      <w:r w:rsidR="00321984" w:rsidRPr="006E1DA8">
        <w:rPr>
          <w:kern w:val="2"/>
          <w:sz w:val="20"/>
        </w:rPr>
        <w:t>”</w:t>
      </w:r>
      <w:r w:rsidR="00F5345B" w:rsidRPr="006E1DA8">
        <w:rPr>
          <w:kern w:val="2"/>
          <w:sz w:val="20"/>
        </w:rPr>
        <w:t xml:space="preserve"> of the LP).</w:t>
      </w:r>
    </w:p>
    <w:p w14:paraId="415C73B4" w14:textId="2683E513" w:rsidR="00201DCC" w:rsidRPr="006E1DA8" w:rsidRDefault="00201DCC" w:rsidP="00E32386">
      <w:pPr>
        <w:pStyle w:val="BlockQuote"/>
        <w:rPr>
          <w:kern w:val="2"/>
          <w:sz w:val="20"/>
        </w:rPr>
      </w:pPr>
      <w:r w:rsidRPr="006E1DA8">
        <w:rPr>
          <w:kern w:val="2"/>
          <w:sz w:val="20"/>
        </w:rPr>
        <w:t>…</w:t>
      </w:r>
    </w:p>
    <w:p w14:paraId="2567613C" w14:textId="6714F375" w:rsidR="00104F96" w:rsidRPr="006E1DA8" w:rsidRDefault="00104F96" w:rsidP="00201DCC">
      <w:pPr>
        <w:pStyle w:val="BlockQuote"/>
        <w:rPr>
          <w:kern w:val="2"/>
          <w:sz w:val="20"/>
        </w:rPr>
      </w:pPr>
      <w:r w:rsidRPr="006E1DA8">
        <w:rPr>
          <w:kern w:val="2"/>
          <w:sz w:val="20"/>
        </w:rPr>
        <w:t>For the more detailed conditions (e.g.</w:t>
      </w:r>
      <w:r w:rsidR="00DB64E1" w:rsidRPr="006E1DA8">
        <w:rPr>
          <w:kern w:val="2"/>
          <w:sz w:val="20"/>
        </w:rPr>
        <w:t>,</w:t>
      </w:r>
      <w:r w:rsidRPr="006E1DA8">
        <w:rPr>
          <w:kern w:val="2"/>
          <w:sz w:val="20"/>
        </w:rPr>
        <w:t xml:space="preserve"> benefit or interest, within the scope of duties), the frequency is as follows:</w:t>
      </w:r>
    </w:p>
    <w:p w14:paraId="13F0872A" w14:textId="77777777" w:rsidR="00104F96" w:rsidRPr="006E1DA8" w:rsidRDefault="00104F96" w:rsidP="009D3B31">
      <w:pPr>
        <w:pStyle w:val="BlockQuote"/>
        <w:numPr>
          <w:ilvl w:val="0"/>
          <w:numId w:val="26"/>
        </w:numPr>
        <w:spacing w:before="60" w:after="0"/>
        <w:jc w:val="left"/>
        <w:rPr>
          <w:kern w:val="2"/>
          <w:sz w:val="20"/>
        </w:rPr>
      </w:pPr>
      <w:r w:rsidRPr="006E1DA8">
        <w:rPr>
          <w:kern w:val="2"/>
          <w:sz w:val="20"/>
        </w:rPr>
        <w:t xml:space="preserve">Twenty-seven Parties (66%) will consider whether the acts of a relevant natural person were committed for the legal person’s </w:t>
      </w:r>
      <w:r w:rsidRPr="006E1DA8">
        <w:rPr>
          <w:i/>
          <w:kern w:val="2"/>
          <w:sz w:val="20"/>
        </w:rPr>
        <w:t>benefit or interest</w:t>
      </w:r>
      <w:r w:rsidRPr="006E1DA8">
        <w:rPr>
          <w:kern w:val="2"/>
          <w:sz w:val="20"/>
        </w:rPr>
        <w:t>;</w:t>
      </w:r>
    </w:p>
    <w:p w14:paraId="19A822C0" w14:textId="77777777" w:rsidR="00104F96" w:rsidRPr="006E1DA8" w:rsidRDefault="00104F96" w:rsidP="009D3B31">
      <w:pPr>
        <w:pStyle w:val="BlockQuote"/>
        <w:numPr>
          <w:ilvl w:val="0"/>
          <w:numId w:val="26"/>
        </w:numPr>
        <w:spacing w:before="60" w:after="0"/>
        <w:jc w:val="left"/>
        <w:rPr>
          <w:kern w:val="2"/>
          <w:sz w:val="20"/>
        </w:rPr>
      </w:pPr>
      <w:r w:rsidRPr="006E1DA8">
        <w:rPr>
          <w:kern w:val="2"/>
          <w:sz w:val="20"/>
        </w:rPr>
        <w:t xml:space="preserve">Twenty-one Parties (51%) will consider whether the acts of a relevant natural person were committed as a result of a </w:t>
      </w:r>
      <w:r w:rsidRPr="006E1DA8">
        <w:rPr>
          <w:i/>
          <w:kern w:val="2"/>
          <w:sz w:val="20"/>
        </w:rPr>
        <w:t>failure to</w:t>
      </w:r>
      <w:r w:rsidRPr="006E1DA8">
        <w:rPr>
          <w:kern w:val="2"/>
          <w:sz w:val="20"/>
        </w:rPr>
        <w:t xml:space="preserve"> supervise;</w:t>
      </w:r>
    </w:p>
    <w:p w14:paraId="71FA47AE" w14:textId="77777777" w:rsidR="00201DCC" w:rsidRPr="006E1DA8" w:rsidRDefault="00104F96" w:rsidP="009D3B31">
      <w:pPr>
        <w:pStyle w:val="BlockQuote"/>
        <w:numPr>
          <w:ilvl w:val="0"/>
          <w:numId w:val="26"/>
        </w:numPr>
        <w:spacing w:before="60" w:after="0"/>
        <w:jc w:val="left"/>
        <w:rPr>
          <w:kern w:val="2"/>
          <w:sz w:val="20"/>
        </w:rPr>
      </w:pPr>
      <w:r w:rsidRPr="006E1DA8">
        <w:rPr>
          <w:kern w:val="2"/>
          <w:sz w:val="20"/>
        </w:rPr>
        <w:t xml:space="preserve">Fourteen (34%) will consider whether the acts of a relevant natural person were committed </w:t>
      </w:r>
      <w:r w:rsidRPr="006E1DA8">
        <w:rPr>
          <w:i/>
          <w:kern w:val="2"/>
          <w:sz w:val="20"/>
        </w:rPr>
        <w:t>in the legal person’s name or on its behalf</w:t>
      </w:r>
      <w:r w:rsidRPr="006E1DA8">
        <w:rPr>
          <w:kern w:val="2"/>
          <w:sz w:val="20"/>
        </w:rPr>
        <w:t xml:space="preserve">; </w:t>
      </w:r>
    </w:p>
    <w:p w14:paraId="1F8690D6" w14:textId="299CC623" w:rsidR="00794A30" w:rsidRPr="006E1DA8" w:rsidRDefault="00104F96" w:rsidP="009D3B31">
      <w:pPr>
        <w:pStyle w:val="BlockQuote"/>
        <w:numPr>
          <w:ilvl w:val="0"/>
          <w:numId w:val="26"/>
        </w:numPr>
        <w:spacing w:before="60" w:after="0"/>
        <w:jc w:val="left"/>
        <w:rPr>
          <w:kern w:val="2"/>
          <w:sz w:val="20"/>
        </w:rPr>
      </w:pPr>
      <w:r w:rsidRPr="006E1DA8">
        <w:rPr>
          <w:kern w:val="2"/>
          <w:sz w:val="20"/>
        </w:rPr>
        <w:t xml:space="preserve">Twelve (29%) will consider whether the acts of a relevant natural person were committed </w:t>
      </w:r>
      <w:r w:rsidRPr="006E1DA8">
        <w:rPr>
          <w:i/>
          <w:kern w:val="2"/>
          <w:sz w:val="20"/>
        </w:rPr>
        <w:t>within the scope of the natural person’s duties or authority</w:t>
      </w:r>
      <w:r w:rsidRPr="006E1DA8">
        <w:rPr>
          <w:kern w:val="2"/>
          <w:sz w:val="20"/>
        </w:rPr>
        <w:t>; and</w:t>
      </w:r>
    </w:p>
    <w:p w14:paraId="187F1948" w14:textId="4399043D" w:rsidR="00104F96" w:rsidRPr="006E1DA8" w:rsidRDefault="00104F96" w:rsidP="009D3B31">
      <w:pPr>
        <w:pStyle w:val="BlockQuote"/>
        <w:numPr>
          <w:ilvl w:val="0"/>
          <w:numId w:val="26"/>
        </w:numPr>
        <w:spacing w:before="60" w:after="0"/>
        <w:jc w:val="left"/>
        <w:rPr>
          <w:kern w:val="2"/>
          <w:sz w:val="20"/>
        </w:rPr>
      </w:pPr>
      <w:r w:rsidRPr="006E1DA8">
        <w:rPr>
          <w:kern w:val="2"/>
          <w:sz w:val="20"/>
        </w:rPr>
        <w:t xml:space="preserve">Twelve Parties (29%) will consider whether the acts of a relevant natural person were </w:t>
      </w:r>
      <w:r w:rsidRPr="006E1DA8">
        <w:rPr>
          <w:i/>
          <w:kern w:val="2"/>
          <w:sz w:val="20"/>
        </w:rPr>
        <w:t>related to the legal person’s activity</w:t>
      </w:r>
      <w:r w:rsidR="000C6D2C" w:rsidRPr="006E1DA8">
        <w:rPr>
          <w:kern w:val="2"/>
          <w:sz w:val="20"/>
        </w:rPr>
        <w:t>.</w:t>
      </w:r>
      <w:r w:rsidR="00794A30" w:rsidRPr="006E1DA8">
        <w:rPr>
          <w:kern w:val="2"/>
          <w:sz w:val="20"/>
        </w:rPr>
        <w:t xml:space="preserve"> [footnotes omitted]</w:t>
      </w:r>
    </w:p>
    <w:p w14:paraId="59E727B1" w14:textId="77777777" w:rsidR="00AB4F47" w:rsidRPr="006E1DA8" w:rsidRDefault="00AB4F47" w:rsidP="00770B3E">
      <w:pPr>
        <w:pStyle w:val="Heading3"/>
        <w:rPr>
          <w:kern w:val="2"/>
          <w:sz w:val="22"/>
        </w:rPr>
      </w:pPr>
      <w:r w:rsidRPr="006E1DA8">
        <w:rPr>
          <w:kern w:val="2"/>
          <w:sz w:val="22"/>
        </w:rPr>
        <w:t>Liability of Legal Persons for Acts of Intermediaries</w:t>
      </w:r>
    </w:p>
    <w:p w14:paraId="088EB2E0" w14:textId="6C6BE189" w:rsidR="00DF488B" w:rsidRPr="006E1DA8" w:rsidRDefault="006B5D62" w:rsidP="006B5D62">
      <w:pPr>
        <w:rPr>
          <w:rFonts w:cs="Times New Roman"/>
          <w:kern w:val="2"/>
          <w:sz w:val="20"/>
        </w:rPr>
      </w:pPr>
      <w:r w:rsidRPr="006E1DA8">
        <w:rPr>
          <w:rFonts w:cs="Times New Roman"/>
          <w:kern w:val="2"/>
          <w:sz w:val="20"/>
        </w:rPr>
        <w:t xml:space="preserve">Intermediaries can be </w:t>
      </w:r>
      <w:r w:rsidR="00321984" w:rsidRPr="006E1DA8">
        <w:rPr>
          <w:rFonts w:cs="Times New Roman"/>
          <w:kern w:val="2"/>
          <w:sz w:val="20"/>
        </w:rPr>
        <w:t>“</w:t>
      </w:r>
      <w:r w:rsidRPr="006E1DA8">
        <w:rPr>
          <w:rFonts w:cs="Times New Roman"/>
          <w:kern w:val="2"/>
          <w:sz w:val="20"/>
        </w:rPr>
        <w:t>related</w:t>
      </w:r>
      <w:r w:rsidR="00321984" w:rsidRPr="006E1DA8">
        <w:rPr>
          <w:rFonts w:cs="Times New Roman"/>
          <w:kern w:val="2"/>
          <w:sz w:val="20"/>
        </w:rPr>
        <w:t>”</w:t>
      </w:r>
      <w:r w:rsidRPr="006E1DA8">
        <w:rPr>
          <w:rFonts w:cs="Times New Roman"/>
          <w:kern w:val="2"/>
          <w:sz w:val="20"/>
        </w:rPr>
        <w:t xml:space="preserve"> (i.e.</w:t>
      </w:r>
      <w:r w:rsidR="009B7906" w:rsidRPr="006E1DA8">
        <w:rPr>
          <w:rFonts w:cs="Times New Roman"/>
          <w:kern w:val="2"/>
          <w:sz w:val="20"/>
        </w:rPr>
        <w:t>,</w:t>
      </w:r>
      <w:r w:rsidRPr="006E1DA8">
        <w:rPr>
          <w:rFonts w:cs="Times New Roman"/>
          <w:kern w:val="2"/>
          <w:sz w:val="20"/>
        </w:rPr>
        <w:t xml:space="preserve"> subsidiaries or individual entities within a corporate group) or unrelated (i.e.</w:t>
      </w:r>
      <w:r w:rsidR="00433C58" w:rsidRPr="006E1DA8">
        <w:rPr>
          <w:rFonts w:cs="Times New Roman"/>
          <w:kern w:val="2"/>
          <w:sz w:val="20"/>
        </w:rPr>
        <w:t>,</w:t>
      </w:r>
      <w:r w:rsidRPr="006E1DA8">
        <w:rPr>
          <w:rFonts w:cs="Times New Roman"/>
          <w:kern w:val="2"/>
          <w:sz w:val="20"/>
        </w:rPr>
        <w:t xml:space="preserve"> third-party agents, consultants or contractors). The law on liability of legal persons for acts of intermediaries varies significantly depending on the existence of various circumstances. The </w:t>
      </w:r>
      <w:r w:rsidR="00DF488B" w:rsidRPr="006E1DA8">
        <w:rPr>
          <w:rFonts w:cs="Times New Roman"/>
          <w:kern w:val="2"/>
          <w:sz w:val="20"/>
        </w:rPr>
        <w:t>report studies each country on the basis of various circumstances. In respect to related intermediaries, the report states</w:t>
      </w:r>
      <w:r w:rsidR="00CF1748" w:rsidRPr="006E1DA8">
        <w:rPr>
          <w:rFonts w:cs="Times New Roman"/>
          <w:kern w:val="2"/>
          <w:sz w:val="20"/>
        </w:rPr>
        <w:t>:</w:t>
      </w:r>
      <w:r w:rsidR="009B5824" w:rsidRPr="006E1DA8">
        <w:rPr>
          <w:rStyle w:val="FootnoteReference"/>
          <w:rFonts w:cs="Times New Roman"/>
          <w:kern w:val="2"/>
          <w:sz w:val="20"/>
        </w:rPr>
        <w:footnoteReference w:id="72"/>
      </w:r>
    </w:p>
    <w:p w14:paraId="1594653A" w14:textId="77777777" w:rsidR="00DF488B" w:rsidRPr="006E1DA8" w:rsidRDefault="00DF488B" w:rsidP="00770B3E">
      <w:pPr>
        <w:pStyle w:val="BlockQuote"/>
        <w:rPr>
          <w:kern w:val="2"/>
          <w:sz w:val="20"/>
        </w:rPr>
      </w:pPr>
      <w:r w:rsidRPr="006E1DA8">
        <w:rPr>
          <w:kern w:val="2"/>
          <w:sz w:val="20"/>
        </w:rPr>
        <w:t>Some of the more noteworthy models of liability for related entities are:</w:t>
      </w:r>
    </w:p>
    <w:p w14:paraId="11411146" w14:textId="2D030970" w:rsidR="00DF488B" w:rsidRPr="006E1DA8" w:rsidRDefault="00DF488B" w:rsidP="009D3B31">
      <w:pPr>
        <w:pStyle w:val="BlockQuote"/>
        <w:numPr>
          <w:ilvl w:val="0"/>
          <w:numId w:val="27"/>
        </w:numPr>
        <w:spacing w:before="60"/>
        <w:jc w:val="left"/>
        <w:rPr>
          <w:kern w:val="2"/>
          <w:sz w:val="20"/>
        </w:rPr>
      </w:pPr>
      <w:r w:rsidRPr="006E1DA8">
        <w:rPr>
          <w:b/>
          <w:i/>
          <w:kern w:val="2"/>
          <w:sz w:val="20"/>
        </w:rPr>
        <w:t>In the spirit of the organisation.</w:t>
      </w:r>
      <w:r w:rsidRPr="006E1DA8">
        <w:rPr>
          <w:kern w:val="2"/>
          <w:sz w:val="20"/>
        </w:rPr>
        <w:t xml:space="preserve"> According to the WGB report, Dutch law enforcement officials indicated that the Netherlands can prosecute a parent company for an offence committed by its subsidiary if the parent entity </w:t>
      </w:r>
      <w:r w:rsidR="00321984" w:rsidRPr="006E1DA8">
        <w:rPr>
          <w:kern w:val="2"/>
          <w:sz w:val="20"/>
        </w:rPr>
        <w:t>“</w:t>
      </w:r>
      <w:r w:rsidRPr="006E1DA8">
        <w:rPr>
          <w:kern w:val="2"/>
          <w:sz w:val="20"/>
        </w:rPr>
        <w:t>knew about the illegal acts of the subsidiary or if the act was carried out ‘in the spirit of the legal entity’</w:t>
      </w:r>
      <w:r w:rsidR="00321984" w:rsidRPr="006E1DA8">
        <w:rPr>
          <w:kern w:val="2"/>
          <w:sz w:val="20"/>
        </w:rPr>
        <w:t>”</w:t>
      </w:r>
      <w:r w:rsidRPr="006E1DA8">
        <w:rPr>
          <w:kern w:val="2"/>
          <w:sz w:val="20"/>
        </w:rPr>
        <w:t xml:space="preserve">. According to Dutch authorities, an act performed </w:t>
      </w:r>
      <w:r w:rsidR="00321984" w:rsidRPr="006E1DA8">
        <w:rPr>
          <w:kern w:val="2"/>
          <w:sz w:val="20"/>
        </w:rPr>
        <w:t>“</w:t>
      </w:r>
      <w:r w:rsidRPr="006E1DA8">
        <w:rPr>
          <w:kern w:val="2"/>
          <w:sz w:val="20"/>
        </w:rPr>
        <w:t>in the spirit of the entity</w:t>
      </w:r>
      <w:r w:rsidR="00321984" w:rsidRPr="006E1DA8">
        <w:rPr>
          <w:kern w:val="2"/>
          <w:sz w:val="20"/>
        </w:rPr>
        <w:t>”</w:t>
      </w:r>
      <w:r w:rsidRPr="006E1DA8">
        <w:rPr>
          <w:kern w:val="2"/>
          <w:sz w:val="20"/>
        </w:rPr>
        <w:t xml:space="preserve"> could include acts </w:t>
      </w:r>
      <w:r w:rsidR="00321984" w:rsidRPr="006E1DA8">
        <w:rPr>
          <w:kern w:val="2"/>
          <w:sz w:val="20"/>
        </w:rPr>
        <w:t>“</w:t>
      </w:r>
      <w:r w:rsidRPr="006E1DA8">
        <w:rPr>
          <w:kern w:val="2"/>
          <w:sz w:val="20"/>
        </w:rPr>
        <w:t>useful for the legal person in the business conducted by the legal person</w:t>
      </w:r>
      <w:r w:rsidR="00321984" w:rsidRPr="006E1DA8">
        <w:rPr>
          <w:kern w:val="2"/>
          <w:sz w:val="20"/>
        </w:rPr>
        <w:t>”</w:t>
      </w:r>
      <w:r w:rsidRPr="006E1DA8">
        <w:rPr>
          <w:kern w:val="2"/>
          <w:sz w:val="20"/>
        </w:rPr>
        <w:t xml:space="preserve"> as well as acts resulting from behaviours that were either </w:t>
      </w:r>
      <w:r w:rsidR="00321984" w:rsidRPr="006E1DA8">
        <w:rPr>
          <w:kern w:val="2"/>
          <w:sz w:val="20"/>
        </w:rPr>
        <w:t>“</w:t>
      </w:r>
      <w:r w:rsidRPr="006E1DA8">
        <w:rPr>
          <w:kern w:val="2"/>
          <w:sz w:val="20"/>
        </w:rPr>
        <w:t>accepted or used to be accepted … by the legal person</w:t>
      </w:r>
      <w:r w:rsidR="00321984" w:rsidRPr="006E1DA8">
        <w:rPr>
          <w:kern w:val="2"/>
          <w:sz w:val="20"/>
        </w:rPr>
        <w:t>”</w:t>
      </w:r>
      <w:r w:rsidRPr="006E1DA8">
        <w:rPr>
          <w:kern w:val="2"/>
          <w:sz w:val="20"/>
        </w:rPr>
        <w:t>.</w:t>
      </w:r>
    </w:p>
    <w:p w14:paraId="1882DD77" w14:textId="69C4BFF5" w:rsidR="00DF488B" w:rsidRPr="006E1DA8" w:rsidRDefault="00321984" w:rsidP="009D3B31">
      <w:pPr>
        <w:pStyle w:val="BlockQuote"/>
        <w:numPr>
          <w:ilvl w:val="0"/>
          <w:numId w:val="27"/>
        </w:numPr>
        <w:spacing w:before="60"/>
        <w:jc w:val="left"/>
        <w:rPr>
          <w:kern w:val="2"/>
          <w:sz w:val="20"/>
        </w:rPr>
      </w:pPr>
      <w:r w:rsidRPr="006E1DA8">
        <w:rPr>
          <w:b/>
          <w:i/>
          <w:kern w:val="2"/>
          <w:sz w:val="20"/>
        </w:rPr>
        <w:t>“</w:t>
      </w:r>
      <w:r w:rsidR="00DF488B" w:rsidRPr="006E1DA8">
        <w:rPr>
          <w:b/>
          <w:i/>
          <w:kern w:val="2"/>
          <w:sz w:val="20"/>
        </w:rPr>
        <w:t>On behalf of</w:t>
      </w:r>
      <w:r w:rsidRPr="006E1DA8">
        <w:rPr>
          <w:b/>
          <w:i/>
          <w:kern w:val="2"/>
          <w:sz w:val="20"/>
        </w:rPr>
        <w:t>”</w:t>
      </w:r>
      <w:r w:rsidR="00DF488B" w:rsidRPr="006E1DA8">
        <w:rPr>
          <w:b/>
          <w:i/>
          <w:kern w:val="2"/>
          <w:sz w:val="20"/>
        </w:rPr>
        <w:t>.</w:t>
      </w:r>
      <w:r w:rsidR="00DF488B" w:rsidRPr="006E1DA8">
        <w:rPr>
          <w:kern w:val="2"/>
          <w:sz w:val="20"/>
        </w:rPr>
        <w:t xml:space="preserve"> In some countries, a parent company can be liable for the acts of its subsidiary, if the subsidiary is an </w:t>
      </w:r>
      <w:r w:rsidRPr="006E1DA8">
        <w:rPr>
          <w:kern w:val="2"/>
          <w:sz w:val="20"/>
        </w:rPr>
        <w:t>“</w:t>
      </w:r>
      <w:r w:rsidR="00DF488B" w:rsidRPr="006E1DA8">
        <w:rPr>
          <w:kern w:val="2"/>
          <w:sz w:val="20"/>
        </w:rPr>
        <w:t>agent</w:t>
      </w:r>
      <w:r w:rsidRPr="006E1DA8">
        <w:rPr>
          <w:kern w:val="2"/>
          <w:sz w:val="20"/>
        </w:rPr>
        <w:t>”</w:t>
      </w:r>
      <w:r w:rsidR="00DF488B" w:rsidRPr="006E1DA8">
        <w:rPr>
          <w:kern w:val="2"/>
          <w:sz w:val="20"/>
        </w:rPr>
        <w:t xml:space="preserve"> or otherwise acting on its behalf. According to Norwegian officials and other panellists at the WGB’s on-site visit, Norway can hold the parent liable whenever the subsidiary acts </w:t>
      </w:r>
      <w:r w:rsidRPr="006E1DA8">
        <w:rPr>
          <w:kern w:val="2"/>
          <w:sz w:val="20"/>
        </w:rPr>
        <w:t>“</w:t>
      </w:r>
      <w:r w:rsidR="00DF488B" w:rsidRPr="006E1DA8">
        <w:rPr>
          <w:kern w:val="2"/>
          <w:sz w:val="20"/>
        </w:rPr>
        <w:t>on behalf of</w:t>
      </w:r>
      <w:r w:rsidRPr="006E1DA8">
        <w:rPr>
          <w:kern w:val="2"/>
          <w:sz w:val="20"/>
        </w:rPr>
        <w:t>”</w:t>
      </w:r>
      <w:r w:rsidR="00DF488B" w:rsidRPr="006E1DA8">
        <w:rPr>
          <w:kern w:val="2"/>
          <w:sz w:val="20"/>
        </w:rPr>
        <w:t xml:space="preserve"> the parent. In the United States, </w:t>
      </w:r>
      <w:r w:rsidRPr="006E1DA8">
        <w:rPr>
          <w:kern w:val="2"/>
          <w:sz w:val="20"/>
        </w:rPr>
        <w:t>“</w:t>
      </w:r>
      <w:r w:rsidR="00DF488B" w:rsidRPr="006E1DA8">
        <w:rPr>
          <w:kern w:val="2"/>
          <w:sz w:val="20"/>
        </w:rPr>
        <w:t>a parent may be liable for its subsidiary’s conduct under traditional agency principles</w:t>
      </w:r>
      <w:r w:rsidRPr="006E1DA8">
        <w:rPr>
          <w:kern w:val="2"/>
          <w:sz w:val="20"/>
        </w:rPr>
        <w:t>”</w:t>
      </w:r>
      <w:r w:rsidR="00DF488B" w:rsidRPr="006E1DA8">
        <w:rPr>
          <w:kern w:val="2"/>
          <w:sz w:val="20"/>
        </w:rPr>
        <w:t xml:space="preserve">, whenever it has sufficient </w:t>
      </w:r>
      <w:r w:rsidRPr="006E1DA8">
        <w:rPr>
          <w:kern w:val="2"/>
          <w:sz w:val="20"/>
        </w:rPr>
        <w:t>“</w:t>
      </w:r>
      <w:r w:rsidR="00DF488B" w:rsidRPr="006E1DA8">
        <w:rPr>
          <w:kern w:val="2"/>
          <w:sz w:val="20"/>
        </w:rPr>
        <w:t>control</w:t>
      </w:r>
      <w:r w:rsidRPr="006E1DA8">
        <w:rPr>
          <w:kern w:val="2"/>
          <w:sz w:val="20"/>
        </w:rPr>
        <w:t>”</w:t>
      </w:r>
      <w:r w:rsidR="00DF488B" w:rsidRPr="006E1DA8">
        <w:rPr>
          <w:kern w:val="2"/>
          <w:sz w:val="20"/>
        </w:rPr>
        <w:t xml:space="preserve">, whether formally or in fact, over the subsidiary’s operations or conduct. Whenever such an </w:t>
      </w:r>
      <w:r w:rsidRPr="006E1DA8">
        <w:rPr>
          <w:kern w:val="2"/>
          <w:sz w:val="20"/>
        </w:rPr>
        <w:t>“</w:t>
      </w:r>
      <w:r w:rsidR="00DF488B" w:rsidRPr="006E1DA8">
        <w:rPr>
          <w:kern w:val="2"/>
          <w:sz w:val="20"/>
        </w:rPr>
        <w:t>agency relationship</w:t>
      </w:r>
      <w:r w:rsidRPr="006E1DA8">
        <w:rPr>
          <w:kern w:val="2"/>
          <w:sz w:val="20"/>
        </w:rPr>
        <w:t>”</w:t>
      </w:r>
      <w:r w:rsidR="00DF488B" w:rsidRPr="006E1DA8">
        <w:rPr>
          <w:kern w:val="2"/>
          <w:sz w:val="20"/>
        </w:rPr>
        <w:t xml:space="preserve"> arises, the </w:t>
      </w:r>
      <w:r w:rsidRPr="006E1DA8">
        <w:rPr>
          <w:kern w:val="2"/>
          <w:sz w:val="20"/>
        </w:rPr>
        <w:t>“</w:t>
      </w:r>
      <w:r w:rsidR="00DF488B" w:rsidRPr="006E1DA8">
        <w:rPr>
          <w:kern w:val="2"/>
          <w:sz w:val="20"/>
        </w:rPr>
        <w:t>subsidiary’s actions and knowledge</w:t>
      </w:r>
      <w:r w:rsidRPr="006E1DA8">
        <w:rPr>
          <w:kern w:val="2"/>
          <w:sz w:val="20"/>
        </w:rPr>
        <w:t>”</w:t>
      </w:r>
      <w:r w:rsidR="00DF488B" w:rsidRPr="006E1DA8">
        <w:rPr>
          <w:kern w:val="2"/>
          <w:sz w:val="20"/>
        </w:rPr>
        <w:t xml:space="preserve"> can trigger criminal or other liability for the parent company.</w:t>
      </w:r>
    </w:p>
    <w:p w14:paraId="6E4F6262" w14:textId="3960DA31" w:rsidR="00DF488B" w:rsidRPr="006E1DA8" w:rsidRDefault="00321984" w:rsidP="009D3B31">
      <w:pPr>
        <w:pStyle w:val="BlockQuote"/>
        <w:numPr>
          <w:ilvl w:val="0"/>
          <w:numId w:val="27"/>
        </w:numPr>
        <w:spacing w:before="60"/>
        <w:jc w:val="left"/>
        <w:rPr>
          <w:kern w:val="2"/>
          <w:sz w:val="20"/>
        </w:rPr>
      </w:pPr>
      <w:r w:rsidRPr="006E1DA8">
        <w:rPr>
          <w:b/>
          <w:i/>
          <w:kern w:val="2"/>
          <w:sz w:val="20"/>
        </w:rPr>
        <w:t>“</w:t>
      </w:r>
      <w:r w:rsidR="00DF488B" w:rsidRPr="006E1DA8">
        <w:rPr>
          <w:b/>
          <w:i/>
          <w:kern w:val="2"/>
          <w:sz w:val="20"/>
        </w:rPr>
        <w:t>For the benefit of</w:t>
      </w:r>
      <w:r w:rsidRPr="006E1DA8">
        <w:rPr>
          <w:b/>
          <w:i/>
          <w:kern w:val="2"/>
          <w:sz w:val="20"/>
        </w:rPr>
        <w:t>”</w:t>
      </w:r>
      <w:r w:rsidR="00DF488B" w:rsidRPr="006E1DA8">
        <w:rPr>
          <w:b/>
          <w:i/>
          <w:kern w:val="2"/>
          <w:sz w:val="20"/>
        </w:rPr>
        <w:t>.</w:t>
      </w:r>
      <w:r w:rsidR="00DF488B" w:rsidRPr="006E1DA8">
        <w:rPr>
          <w:kern w:val="2"/>
          <w:sz w:val="20"/>
        </w:rPr>
        <w:t xml:space="preserve"> According to Slovenia, a parent company can be held liable if it </w:t>
      </w:r>
      <w:r w:rsidRPr="006E1DA8">
        <w:rPr>
          <w:kern w:val="2"/>
          <w:sz w:val="20"/>
        </w:rPr>
        <w:t>“</w:t>
      </w:r>
      <w:r w:rsidR="00DF488B" w:rsidRPr="006E1DA8">
        <w:rPr>
          <w:kern w:val="2"/>
          <w:sz w:val="20"/>
        </w:rPr>
        <w:t>benefited from the bribe given by subsidiary</w:t>
      </w:r>
      <w:r w:rsidRPr="006E1DA8">
        <w:rPr>
          <w:kern w:val="2"/>
          <w:sz w:val="20"/>
        </w:rPr>
        <w:t>”</w:t>
      </w:r>
      <w:r w:rsidR="00DF488B" w:rsidRPr="006E1DA8">
        <w:rPr>
          <w:kern w:val="2"/>
          <w:sz w:val="20"/>
        </w:rPr>
        <w:t xml:space="preserve">. Such approaches potentially go beyond the </w:t>
      </w:r>
      <w:r w:rsidRPr="006E1DA8">
        <w:rPr>
          <w:kern w:val="2"/>
          <w:sz w:val="20"/>
        </w:rPr>
        <w:t>“</w:t>
      </w:r>
      <w:r w:rsidR="00DF488B" w:rsidRPr="006E1DA8">
        <w:rPr>
          <w:kern w:val="2"/>
          <w:sz w:val="20"/>
        </w:rPr>
        <w:t>agency</w:t>
      </w:r>
      <w:r w:rsidRPr="006E1DA8">
        <w:rPr>
          <w:kern w:val="2"/>
          <w:sz w:val="20"/>
        </w:rPr>
        <w:t>”</w:t>
      </w:r>
      <w:r w:rsidR="00DF488B" w:rsidRPr="006E1DA8">
        <w:rPr>
          <w:kern w:val="2"/>
          <w:sz w:val="20"/>
        </w:rPr>
        <w:t xml:space="preserve"> model to encompass wrongdoing that objectively benefits a parent company, even though the subsidiary that committed the offence may not be controlled by, or otherwise acting for, the parent company at the time of the offence.</w:t>
      </w:r>
    </w:p>
    <w:p w14:paraId="148DB25F" w14:textId="64B89826" w:rsidR="00DF488B" w:rsidRPr="006E1DA8" w:rsidRDefault="00DF488B" w:rsidP="009D3B31">
      <w:pPr>
        <w:pStyle w:val="BlockQuote"/>
        <w:numPr>
          <w:ilvl w:val="0"/>
          <w:numId w:val="27"/>
        </w:numPr>
        <w:spacing w:before="60"/>
        <w:jc w:val="left"/>
        <w:rPr>
          <w:kern w:val="2"/>
          <w:sz w:val="20"/>
        </w:rPr>
      </w:pPr>
      <w:r w:rsidRPr="006E1DA8">
        <w:rPr>
          <w:b/>
          <w:i/>
          <w:kern w:val="2"/>
          <w:sz w:val="20"/>
        </w:rPr>
        <w:t>Corporate Groups</w:t>
      </w:r>
      <w:r w:rsidRPr="006E1DA8">
        <w:rPr>
          <w:kern w:val="2"/>
          <w:sz w:val="20"/>
        </w:rPr>
        <w:t xml:space="preserve">. Brazil’s corporate liability regime notably holds </w:t>
      </w:r>
      <w:r w:rsidR="00321984" w:rsidRPr="006E1DA8">
        <w:rPr>
          <w:kern w:val="2"/>
          <w:sz w:val="20"/>
        </w:rPr>
        <w:t>“</w:t>
      </w:r>
      <w:r w:rsidRPr="006E1DA8">
        <w:rPr>
          <w:kern w:val="2"/>
          <w:sz w:val="20"/>
        </w:rPr>
        <w:t>parent, controlled or affiliated companies … jointly liable for the perpetration of acts</w:t>
      </w:r>
      <w:r w:rsidR="00321984" w:rsidRPr="006E1DA8">
        <w:rPr>
          <w:kern w:val="2"/>
          <w:sz w:val="20"/>
        </w:rPr>
        <w:t>”</w:t>
      </w:r>
      <w:r w:rsidRPr="006E1DA8">
        <w:rPr>
          <w:kern w:val="2"/>
          <w:sz w:val="20"/>
        </w:rPr>
        <w:t xml:space="preserve"> covered by the law. Perhaps in recognition of the broad scope of this liability, Brazil limits such liability to </w:t>
      </w:r>
      <w:r w:rsidR="00321984" w:rsidRPr="006E1DA8">
        <w:rPr>
          <w:kern w:val="2"/>
          <w:sz w:val="20"/>
        </w:rPr>
        <w:t>“</w:t>
      </w:r>
      <w:r w:rsidRPr="006E1DA8">
        <w:rPr>
          <w:kern w:val="2"/>
          <w:sz w:val="20"/>
        </w:rPr>
        <w:t>applicable fines</w:t>
      </w:r>
      <w:r w:rsidR="00321984" w:rsidRPr="006E1DA8">
        <w:rPr>
          <w:kern w:val="2"/>
          <w:sz w:val="20"/>
        </w:rPr>
        <w:t>”</w:t>
      </w:r>
      <w:r w:rsidRPr="006E1DA8">
        <w:rPr>
          <w:kern w:val="2"/>
          <w:sz w:val="20"/>
        </w:rPr>
        <w:t xml:space="preserve"> and the </w:t>
      </w:r>
      <w:r w:rsidR="00321984" w:rsidRPr="006E1DA8">
        <w:rPr>
          <w:kern w:val="2"/>
          <w:sz w:val="20"/>
        </w:rPr>
        <w:t>“</w:t>
      </w:r>
      <w:r w:rsidRPr="006E1DA8">
        <w:rPr>
          <w:kern w:val="2"/>
          <w:sz w:val="20"/>
        </w:rPr>
        <w:t>full compensation</w:t>
      </w:r>
      <w:r w:rsidR="00321984" w:rsidRPr="006E1DA8">
        <w:rPr>
          <w:kern w:val="2"/>
          <w:sz w:val="20"/>
        </w:rPr>
        <w:t>”</w:t>
      </w:r>
      <w:r w:rsidRPr="006E1DA8">
        <w:rPr>
          <w:kern w:val="2"/>
          <w:sz w:val="20"/>
        </w:rPr>
        <w:t xml:space="preserve"> for damages caused</w:t>
      </w:r>
      <w:r w:rsidR="0091478E" w:rsidRPr="006E1DA8">
        <w:rPr>
          <w:kern w:val="2"/>
          <w:sz w:val="20"/>
        </w:rPr>
        <w:t>. [footnotes omitted]</w:t>
      </w:r>
    </w:p>
    <w:p w14:paraId="7A67DE43" w14:textId="48B0DE83" w:rsidR="00DF488B" w:rsidRPr="006E1DA8" w:rsidRDefault="00DF488B" w:rsidP="00DF488B">
      <w:pPr>
        <w:ind w:right="855"/>
        <w:rPr>
          <w:rFonts w:eastAsia="Times New Roman" w:cs="Times New Roman"/>
          <w:kern w:val="2"/>
          <w:sz w:val="20"/>
        </w:rPr>
      </w:pPr>
      <w:r w:rsidRPr="006E1DA8">
        <w:rPr>
          <w:rFonts w:eastAsia="Times New Roman" w:cs="Times New Roman"/>
          <w:kern w:val="2"/>
          <w:sz w:val="20"/>
        </w:rPr>
        <w:t xml:space="preserve">In regard to unrelated </w:t>
      </w:r>
      <w:r w:rsidR="00D50CF1" w:rsidRPr="006E1DA8">
        <w:rPr>
          <w:rFonts w:eastAsia="Times New Roman" w:cs="Times New Roman"/>
          <w:kern w:val="2"/>
          <w:sz w:val="20"/>
        </w:rPr>
        <w:t>intermediaries the report notes:</w:t>
      </w:r>
      <w:r w:rsidR="009B5824" w:rsidRPr="006E1DA8">
        <w:rPr>
          <w:rStyle w:val="FootnoteReference"/>
          <w:rFonts w:eastAsia="Times New Roman" w:cs="Times New Roman"/>
          <w:kern w:val="2"/>
          <w:sz w:val="20"/>
          <w:szCs w:val="21"/>
        </w:rPr>
        <w:footnoteReference w:id="73"/>
      </w:r>
    </w:p>
    <w:p w14:paraId="49D53F4C" w14:textId="77777777" w:rsidR="00144931" w:rsidRPr="006E1DA8" w:rsidRDefault="00F8790F" w:rsidP="00770B3E">
      <w:pPr>
        <w:pStyle w:val="BlockQuote"/>
        <w:rPr>
          <w:kern w:val="2"/>
          <w:sz w:val="20"/>
        </w:rPr>
      </w:pPr>
      <w:r w:rsidRPr="006E1DA8">
        <w:rPr>
          <w:kern w:val="2"/>
          <w:sz w:val="20"/>
        </w:rPr>
        <w:t>Table 9 explores whether and how the Parties can hold legal persons liable for the acts of unaffiliated business partners or other third parties. It shows that at least 31 countries (76%) have laws that would allow them to hold companies liable for the unlawful acts of unrelated intermediaries under certain conditions</w:t>
      </w:r>
      <w:r w:rsidR="00144931" w:rsidRPr="006E1DA8">
        <w:rPr>
          <w:kern w:val="2"/>
          <w:sz w:val="20"/>
        </w:rPr>
        <w:t xml:space="preserve">. </w:t>
      </w:r>
    </w:p>
    <w:p w14:paraId="5BB3AE30" w14:textId="14EA179C" w:rsidR="00196FB1" w:rsidRPr="006E1DA8" w:rsidRDefault="00144931" w:rsidP="00770B3E">
      <w:pPr>
        <w:pStyle w:val="BlockQuote"/>
        <w:rPr>
          <w:kern w:val="2"/>
          <w:sz w:val="20"/>
        </w:rPr>
      </w:pPr>
      <w:r w:rsidRPr="006E1DA8">
        <w:rPr>
          <w:kern w:val="2"/>
          <w:sz w:val="20"/>
        </w:rPr>
        <w:t>…</w:t>
      </w:r>
      <w:r w:rsidR="00F8790F" w:rsidRPr="006E1DA8">
        <w:rPr>
          <w:kern w:val="2"/>
          <w:sz w:val="20"/>
        </w:rPr>
        <w:t xml:space="preserve"> </w:t>
      </w:r>
    </w:p>
    <w:p w14:paraId="226097FA" w14:textId="04802663" w:rsidR="00196FB1" w:rsidRPr="006E1DA8" w:rsidRDefault="00F8790F" w:rsidP="00770B3E">
      <w:pPr>
        <w:pStyle w:val="BlockQuote"/>
        <w:rPr>
          <w:kern w:val="2"/>
          <w:sz w:val="20"/>
        </w:rPr>
      </w:pPr>
      <w:r w:rsidRPr="006E1DA8">
        <w:rPr>
          <w:kern w:val="2"/>
          <w:sz w:val="20"/>
        </w:rPr>
        <w:t xml:space="preserve">The most common reason identified by the WGB for holding a legal person liable for an offence committed by an unrelated entity or </w:t>
      </w:r>
      <w:r w:rsidR="00201DCC" w:rsidRPr="006E1DA8">
        <w:rPr>
          <w:kern w:val="2"/>
          <w:sz w:val="20"/>
        </w:rPr>
        <w:t>third party</w:t>
      </w:r>
      <w:r w:rsidRPr="006E1DA8">
        <w:rPr>
          <w:kern w:val="2"/>
          <w:sz w:val="20"/>
        </w:rPr>
        <w:t xml:space="preserve"> agent is that the legal person in fact participated in, or directed, the unlawful act. Based on WGB findings and supplemental information provided by the Parties, this </w:t>
      </w:r>
      <w:r w:rsidR="00144931" w:rsidRPr="006E1DA8">
        <w:rPr>
          <w:kern w:val="2"/>
          <w:sz w:val="20"/>
        </w:rPr>
        <w:t>was true in 27 countries (66%).</w:t>
      </w:r>
    </w:p>
    <w:p w14:paraId="6846ABE9" w14:textId="630F7648" w:rsidR="00144931" w:rsidRPr="006E1DA8" w:rsidRDefault="00144931" w:rsidP="00770B3E">
      <w:pPr>
        <w:pStyle w:val="BlockQuote"/>
        <w:rPr>
          <w:kern w:val="2"/>
          <w:sz w:val="20"/>
        </w:rPr>
      </w:pPr>
      <w:r w:rsidRPr="006E1DA8">
        <w:rPr>
          <w:kern w:val="2"/>
          <w:sz w:val="20"/>
        </w:rPr>
        <w:t>…</w:t>
      </w:r>
    </w:p>
    <w:p w14:paraId="0F0B8FDA" w14:textId="77777777" w:rsidR="006A6474" w:rsidRPr="006E1DA8" w:rsidRDefault="00F8790F" w:rsidP="00770B3E">
      <w:pPr>
        <w:pStyle w:val="BlockQuote"/>
        <w:rPr>
          <w:kern w:val="2"/>
          <w:sz w:val="20"/>
        </w:rPr>
      </w:pPr>
      <w:r w:rsidRPr="006E1DA8">
        <w:rPr>
          <w:kern w:val="2"/>
          <w:sz w:val="20"/>
        </w:rPr>
        <w:t xml:space="preserve">Agency principles provided the second most frequent ground for imposing liability on a legal person for the acts of its unrelated business partners. At least seven countries (17%) can hold a legal person liable for bribery committed by a third party authorised to act on the legal person’s behalf. These are Denmark, Estonia, Iceland, Korea, Slovenia, Turkey and the United States. </w:t>
      </w:r>
    </w:p>
    <w:p w14:paraId="4909014C" w14:textId="36BFE0BF" w:rsidR="00196FB1" w:rsidRPr="006E1DA8" w:rsidRDefault="00144931" w:rsidP="00770B3E">
      <w:pPr>
        <w:pStyle w:val="BlockQuote"/>
        <w:rPr>
          <w:kern w:val="2"/>
          <w:sz w:val="20"/>
        </w:rPr>
      </w:pPr>
      <w:r w:rsidRPr="006E1DA8">
        <w:rPr>
          <w:kern w:val="2"/>
          <w:sz w:val="20"/>
        </w:rPr>
        <w:t>…</w:t>
      </w:r>
    </w:p>
    <w:p w14:paraId="2D18D3C5" w14:textId="434D672D" w:rsidR="00196FB1" w:rsidRPr="006E1DA8" w:rsidRDefault="00F8790F" w:rsidP="00770B3E">
      <w:pPr>
        <w:pStyle w:val="BlockQuote"/>
        <w:rPr>
          <w:kern w:val="2"/>
          <w:sz w:val="20"/>
        </w:rPr>
      </w:pPr>
      <w:r w:rsidRPr="006E1DA8">
        <w:rPr>
          <w:kern w:val="2"/>
          <w:sz w:val="20"/>
        </w:rPr>
        <w:t xml:space="preserve">At least 10 countries (24%) can hold a legal person liable on a theory other than complicity or agency. For example, the WGB found that at least one country, Portugal, can impose liability on a legal person that ratifies or approves the unlawful conduct of an unrelated intermediary after the fact. One other country, Canada, provided supplemental information indicating that it can also hold an LP liable on this basis. Examples of other techniques for holding legal persons liable for the unlawful acts of their business partners, include: </w:t>
      </w:r>
    </w:p>
    <w:p w14:paraId="3BD48122" w14:textId="7F613717" w:rsidR="002A720F" w:rsidRPr="006E1DA8" w:rsidRDefault="00F8790F" w:rsidP="009D3B31">
      <w:pPr>
        <w:pStyle w:val="BlockQuote"/>
        <w:numPr>
          <w:ilvl w:val="0"/>
          <w:numId w:val="28"/>
        </w:numPr>
        <w:spacing w:before="60"/>
        <w:jc w:val="left"/>
        <w:rPr>
          <w:kern w:val="2"/>
          <w:sz w:val="20"/>
        </w:rPr>
      </w:pPr>
      <w:r w:rsidRPr="006E1DA8">
        <w:rPr>
          <w:b/>
          <w:i/>
          <w:kern w:val="2"/>
          <w:sz w:val="20"/>
        </w:rPr>
        <w:t>Associated persons.</w:t>
      </w:r>
      <w:r w:rsidRPr="006E1DA8">
        <w:rPr>
          <w:kern w:val="2"/>
          <w:sz w:val="20"/>
        </w:rPr>
        <w:t xml:space="preserve"> The Section 7 of the United Kingdom’s Bribery Act 2010 makes certain companies liable for the acts of any </w:t>
      </w:r>
      <w:r w:rsidR="00321984" w:rsidRPr="006E1DA8">
        <w:rPr>
          <w:kern w:val="2"/>
          <w:sz w:val="20"/>
        </w:rPr>
        <w:t>“</w:t>
      </w:r>
      <w:r w:rsidRPr="006E1DA8">
        <w:rPr>
          <w:kern w:val="2"/>
          <w:sz w:val="20"/>
        </w:rPr>
        <w:t>associated</w:t>
      </w:r>
      <w:r w:rsidR="00321984" w:rsidRPr="006E1DA8">
        <w:rPr>
          <w:kern w:val="2"/>
          <w:sz w:val="20"/>
        </w:rPr>
        <w:t>”</w:t>
      </w:r>
      <w:r w:rsidRPr="006E1DA8">
        <w:rPr>
          <w:kern w:val="2"/>
          <w:sz w:val="20"/>
        </w:rPr>
        <w:t xml:space="preserve"> person who </w:t>
      </w:r>
      <w:r w:rsidR="00321984" w:rsidRPr="006E1DA8">
        <w:rPr>
          <w:kern w:val="2"/>
          <w:sz w:val="20"/>
        </w:rPr>
        <w:t>“</w:t>
      </w:r>
      <w:r w:rsidRPr="006E1DA8">
        <w:rPr>
          <w:kern w:val="2"/>
          <w:sz w:val="20"/>
        </w:rPr>
        <w:t>performs services</w:t>
      </w:r>
      <w:r w:rsidR="00321984" w:rsidRPr="006E1DA8">
        <w:rPr>
          <w:kern w:val="2"/>
          <w:sz w:val="20"/>
        </w:rPr>
        <w:t>”</w:t>
      </w:r>
      <w:r w:rsidRPr="006E1DA8">
        <w:rPr>
          <w:kern w:val="2"/>
          <w:sz w:val="20"/>
        </w:rPr>
        <w:t xml:space="preserve"> for them. Section 8(2) of the UK Bribery Act specifies that </w:t>
      </w:r>
      <w:r w:rsidR="00321984" w:rsidRPr="006E1DA8">
        <w:rPr>
          <w:kern w:val="2"/>
          <w:sz w:val="20"/>
        </w:rPr>
        <w:t>“</w:t>
      </w:r>
      <w:r w:rsidRPr="006E1DA8">
        <w:rPr>
          <w:kern w:val="2"/>
          <w:sz w:val="20"/>
        </w:rPr>
        <w:t>the capacity in which [the associated person] performs services for or on behalf of [the legal person] does not matter</w:t>
      </w:r>
      <w:r w:rsidR="00321984" w:rsidRPr="006E1DA8">
        <w:rPr>
          <w:kern w:val="2"/>
          <w:sz w:val="20"/>
        </w:rPr>
        <w:t>”</w:t>
      </w:r>
      <w:r w:rsidRPr="006E1DA8">
        <w:rPr>
          <w:kern w:val="2"/>
          <w:sz w:val="20"/>
        </w:rPr>
        <w:t>.</w:t>
      </w:r>
    </w:p>
    <w:p w14:paraId="62DE4751" w14:textId="1492F7F1" w:rsidR="002A720F" w:rsidRPr="006E1DA8" w:rsidRDefault="00F8790F" w:rsidP="009D3B31">
      <w:pPr>
        <w:pStyle w:val="BlockQuote"/>
        <w:numPr>
          <w:ilvl w:val="0"/>
          <w:numId w:val="28"/>
        </w:numPr>
        <w:spacing w:before="60"/>
        <w:jc w:val="left"/>
        <w:rPr>
          <w:kern w:val="2"/>
          <w:sz w:val="20"/>
        </w:rPr>
      </w:pPr>
      <w:r w:rsidRPr="006E1DA8">
        <w:rPr>
          <w:b/>
          <w:i/>
          <w:kern w:val="2"/>
          <w:sz w:val="20"/>
        </w:rPr>
        <w:t>Consortium or Joint Venture Members.</w:t>
      </w:r>
      <w:r w:rsidRPr="006E1DA8">
        <w:rPr>
          <w:kern w:val="2"/>
          <w:sz w:val="20"/>
        </w:rPr>
        <w:t xml:space="preserve"> Brazil’s corporate liability regime holds companies that are members of a consortium liable for the unlawful acts committed by other consortium member </w:t>
      </w:r>
      <w:r w:rsidR="00321984" w:rsidRPr="006E1DA8">
        <w:rPr>
          <w:kern w:val="2"/>
          <w:sz w:val="20"/>
        </w:rPr>
        <w:t>“</w:t>
      </w:r>
      <w:r w:rsidRPr="006E1DA8">
        <w:rPr>
          <w:kern w:val="2"/>
          <w:sz w:val="20"/>
        </w:rPr>
        <w:t>within the scope of their respective consortium agreement</w:t>
      </w:r>
      <w:r w:rsidR="00321984" w:rsidRPr="006E1DA8">
        <w:rPr>
          <w:kern w:val="2"/>
          <w:sz w:val="20"/>
        </w:rPr>
        <w:t>”</w:t>
      </w:r>
      <w:r w:rsidRPr="006E1DA8">
        <w:rPr>
          <w:kern w:val="2"/>
          <w:sz w:val="20"/>
        </w:rPr>
        <w:t>.</w:t>
      </w:r>
      <w:r w:rsidR="002A720F" w:rsidRPr="006E1DA8">
        <w:rPr>
          <w:kern w:val="2"/>
          <w:sz w:val="20"/>
        </w:rPr>
        <w:t xml:space="preserve"> </w:t>
      </w:r>
      <w:r w:rsidRPr="006E1DA8">
        <w:rPr>
          <w:kern w:val="2"/>
          <w:sz w:val="20"/>
        </w:rPr>
        <w:t xml:space="preserve">As with its rules for attributing liability within corporate groups, Brazil limits liability for consortium members to </w:t>
      </w:r>
      <w:r w:rsidR="00321984" w:rsidRPr="006E1DA8">
        <w:rPr>
          <w:kern w:val="2"/>
          <w:sz w:val="20"/>
        </w:rPr>
        <w:t>“</w:t>
      </w:r>
      <w:r w:rsidRPr="006E1DA8">
        <w:rPr>
          <w:kern w:val="2"/>
          <w:sz w:val="20"/>
        </w:rPr>
        <w:t>applicable fines</w:t>
      </w:r>
      <w:r w:rsidR="00321984" w:rsidRPr="006E1DA8">
        <w:rPr>
          <w:kern w:val="2"/>
          <w:sz w:val="20"/>
        </w:rPr>
        <w:t>”</w:t>
      </w:r>
      <w:r w:rsidRPr="006E1DA8">
        <w:rPr>
          <w:kern w:val="2"/>
          <w:sz w:val="20"/>
        </w:rPr>
        <w:t xml:space="preserve"> and the </w:t>
      </w:r>
      <w:r w:rsidR="00321984" w:rsidRPr="006E1DA8">
        <w:rPr>
          <w:kern w:val="2"/>
          <w:sz w:val="20"/>
        </w:rPr>
        <w:t>“</w:t>
      </w:r>
      <w:r w:rsidRPr="006E1DA8">
        <w:rPr>
          <w:kern w:val="2"/>
          <w:sz w:val="20"/>
        </w:rPr>
        <w:t>full compensation</w:t>
      </w:r>
      <w:r w:rsidR="00321984" w:rsidRPr="006E1DA8">
        <w:rPr>
          <w:kern w:val="2"/>
          <w:sz w:val="20"/>
        </w:rPr>
        <w:t>”</w:t>
      </w:r>
      <w:r w:rsidRPr="006E1DA8">
        <w:rPr>
          <w:kern w:val="2"/>
          <w:sz w:val="20"/>
        </w:rPr>
        <w:t xml:space="preserve"> for damages caused. Poland has a similar provision holding a legal person liable for the acts of its joint venture partners, provided that the legal person had </w:t>
      </w:r>
      <w:r w:rsidR="00321984" w:rsidRPr="006E1DA8">
        <w:rPr>
          <w:kern w:val="2"/>
          <w:sz w:val="20"/>
        </w:rPr>
        <w:t>“</w:t>
      </w:r>
      <w:r w:rsidRPr="006E1DA8">
        <w:rPr>
          <w:kern w:val="2"/>
          <w:sz w:val="20"/>
        </w:rPr>
        <w:t>knowledge</w:t>
      </w:r>
      <w:r w:rsidR="00321984" w:rsidRPr="006E1DA8">
        <w:rPr>
          <w:kern w:val="2"/>
          <w:sz w:val="20"/>
        </w:rPr>
        <w:t>”</w:t>
      </w:r>
      <w:r w:rsidRPr="006E1DA8">
        <w:rPr>
          <w:kern w:val="2"/>
          <w:sz w:val="20"/>
        </w:rPr>
        <w:t xml:space="preserve"> of the act or </w:t>
      </w:r>
      <w:r w:rsidR="00321984" w:rsidRPr="006E1DA8">
        <w:rPr>
          <w:kern w:val="2"/>
          <w:sz w:val="20"/>
        </w:rPr>
        <w:t>“</w:t>
      </w:r>
      <w:r w:rsidRPr="006E1DA8">
        <w:rPr>
          <w:kern w:val="2"/>
          <w:sz w:val="20"/>
        </w:rPr>
        <w:t>consents</w:t>
      </w:r>
      <w:r w:rsidR="00321984" w:rsidRPr="006E1DA8">
        <w:rPr>
          <w:kern w:val="2"/>
          <w:sz w:val="20"/>
        </w:rPr>
        <w:t>”</w:t>
      </w:r>
      <w:r w:rsidRPr="006E1DA8">
        <w:rPr>
          <w:kern w:val="2"/>
          <w:sz w:val="20"/>
        </w:rPr>
        <w:t xml:space="preserve"> to it.</w:t>
      </w:r>
    </w:p>
    <w:p w14:paraId="699A1C97" w14:textId="1C37EA0A" w:rsidR="002C1FE5" w:rsidRPr="006E1DA8" w:rsidRDefault="00F8790F" w:rsidP="009D3B31">
      <w:pPr>
        <w:pStyle w:val="BlockQuote"/>
        <w:numPr>
          <w:ilvl w:val="0"/>
          <w:numId w:val="28"/>
        </w:numPr>
        <w:spacing w:before="60"/>
        <w:jc w:val="left"/>
        <w:rPr>
          <w:kern w:val="2"/>
          <w:sz w:val="20"/>
        </w:rPr>
      </w:pPr>
      <w:r w:rsidRPr="006E1DA8">
        <w:rPr>
          <w:b/>
          <w:i/>
          <w:kern w:val="2"/>
          <w:sz w:val="20"/>
        </w:rPr>
        <w:t>Negligence offence.</w:t>
      </w:r>
      <w:r w:rsidRPr="006E1DA8">
        <w:rPr>
          <w:kern w:val="2"/>
          <w:sz w:val="20"/>
        </w:rPr>
        <w:t xml:space="preserve"> Parties have widely different approaches to determining whether the requisite </w:t>
      </w:r>
      <w:r w:rsidR="00321984" w:rsidRPr="006E1DA8">
        <w:rPr>
          <w:kern w:val="2"/>
          <w:sz w:val="20"/>
        </w:rPr>
        <w:t>“</w:t>
      </w:r>
      <w:r w:rsidRPr="006E1DA8">
        <w:rPr>
          <w:kern w:val="2"/>
          <w:sz w:val="20"/>
        </w:rPr>
        <w:t>fault</w:t>
      </w:r>
      <w:r w:rsidR="00321984" w:rsidRPr="006E1DA8">
        <w:rPr>
          <w:kern w:val="2"/>
          <w:sz w:val="20"/>
        </w:rPr>
        <w:t>”</w:t>
      </w:r>
      <w:r w:rsidRPr="006E1DA8">
        <w:rPr>
          <w:kern w:val="2"/>
          <w:sz w:val="20"/>
        </w:rPr>
        <w:t xml:space="preserve"> or </w:t>
      </w:r>
      <w:r w:rsidR="00321984" w:rsidRPr="006E1DA8">
        <w:rPr>
          <w:kern w:val="2"/>
          <w:sz w:val="20"/>
        </w:rPr>
        <w:t>“</w:t>
      </w:r>
      <w:r w:rsidRPr="006E1DA8">
        <w:rPr>
          <w:kern w:val="2"/>
          <w:sz w:val="20"/>
        </w:rPr>
        <w:t>intent</w:t>
      </w:r>
      <w:r w:rsidR="00321984" w:rsidRPr="006E1DA8">
        <w:rPr>
          <w:kern w:val="2"/>
          <w:sz w:val="20"/>
        </w:rPr>
        <w:t>”</w:t>
      </w:r>
      <w:r w:rsidRPr="006E1DA8">
        <w:rPr>
          <w:kern w:val="2"/>
          <w:sz w:val="20"/>
        </w:rPr>
        <w:t xml:space="preserve"> (often referred to as </w:t>
      </w:r>
      <w:proofErr w:type="spellStart"/>
      <w:r w:rsidRPr="006E1DA8">
        <w:rPr>
          <w:i/>
          <w:kern w:val="2"/>
          <w:sz w:val="20"/>
        </w:rPr>
        <w:t>dol</w:t>
      </w:r>
      <w:proofErr w:type="spellEnd"/>
      <w:r w:rsidRPr="006E1DA8">
        <w:rPr>
          <w:kern w:val="2"/>
          <w:sz w:val="20"/>
        </w:rPr>
        <w:t xml:space="preserve"> in civil law traditions or as the </w:t>
      </w:r>
      <w:proofErr w:type="spellStart"/>
      <w:r w:rsidRPr="006E1DA8">
        <w:rPr>
          <w:i/>
          <w:kern w:val="2"/>
          <w:sz w:val="20"/>
        </w:rPr>
        <w:t>mens</w:t>
      </w:r>
      <w:proofErr w:type="spellEnd"/>
      <w:r w:rsidRPr="006E1DA8">
        <w:rPr>
          <w:i/>
          <w:kern w:val="2"/>
          <w:sz w:val="20"/>
        </w:rPr>
        <w:t xml:space="preserve"> rea</w:t>
      </w:r>
      <w:r w:rsidRPr="006E1DA8">
        <w:rPr>
          <w:kern w:val="2"/>
          <w:sz w:val="20"/>
        </w:rPr>
        <w:t xml:space="preserve"> element in the common law world) has been established within the compa</w:t>
      </w:r>
      <w:r w:rsidR="00FA5B0F" w:rsidRPr="006E1DA8">
        <w:rPr>
          <w:kern w:val="2"/>
          <w:sz w:val="20"/>
        </w:rPr>
        <w:t xml:space="preserve">ny-intermediary relationship. </w:t>
      </w:r>
      <w:r w:rsidRPr="006E1DA8">
        <w:rPr>
          <w:kern w:val="2"/>
          <w:sz w:val="20"/>
        </w:rPr>
        <w:t xml:space="preserve">Some countries have attempted to side-step the difficulty of proving intent by holding legal persons liable for negligence. For example, Sweden has enacted a </w:t>
      </w:r>
      <w:r w:rsidR="00321984" w:rsidRPr="006E1DA8">
        <w:rPr>
          <w:kern w:val="2"/>
          <w:sz w:val="20"/>
        </w:rPr>
        <w:t>“</w:t>
      </w:r>
      <w:r w:rsidRPr="006E1DA8">
        <w:rPr>
          <w:kern w:val="2"/>
          <w:sz w:val="20"/>
        </w:rPr>
        <w:t>negligent financing</w:t>
      </w:r>
      <w:r w:rsidR="00321984" w:rsidRPr="006E1DA8">
        <w:rPr>
          <w:kern w:val="2"/>
          <w:sz w:val="20"/>
        </w:rPr>
        <w:t>”</w:t>
      </w:r>
      <w:r w:rsidRPr="006E1DA8">
        <w:rPr>
          <w:kern w:val="2"/>
          <w:sz w:val="20"/>
        </w:rPr>
        <w:t xml:space="preserve"> offence, whereby a legal person can be sanctioned for providing money in a </w:t>
      </w:r>
      <w:r w:rsidR="00321984" w:rsidRPr="006E1DA8">
        <w:rPr>
          <w:kern w:val="2"/>
          <w:sz w:val="20"/>
        </w:rPr>
        <w:t>“</w:t>
      </w:r>
      <w:r w:rsidRPr="006E1DA8">
        <w:rPr>
          <w:kern w:val="2"/>
          <w:sz w:val="20"/>
        </w:rPr>
        <w:t>grossly negligent</w:t>
      </w:r>
      <w:r w:rsidR="00321984" w:rsidRPr="006E1DA8">
        <w:rPr>
          <w:kern w:val="2"/>
          <w:sz w:val="20"/>
        </w:rPr>
        <w:t>”</w:t>
      </w:r>
      <w:r w:rsidRPr="006E1DA8">
        <w:rPr>
          <w:kern w:val="2"/>
          <w:sz w:val="20"/>
        </w:rPr>
        <w:t xml:space="preserve"> manner to an intermediary who then uses it for bribery</w:t>
      </w:r>
      <w:r w:rsidR="00EF1915" w:rsidRPr="006E1DA8">
        <w:rPr>
          <w:kern w:val="2"/>
          <w:sz w:val="20"/>
        </w:rPr>
        <w:t>. [footnotes omitted]</w:t>
      </w:r>
    </w:p>
    <w:p w14:paraId="293EC65D" w14:textId="77777777" w:rsidR="00AB4F47" w:rsidRPr="006E1DA8" w:rsidRDefault="00AB4F47" w:rsidP="00770B3E">
      <w:pPr>
        <w:pStyle w:val="Heading3"/>
        <w:rPr>
          <w:kern w:val="2"/>
          <w:sz w:val="22"/>
        </w:rPr>
      </w:pPr>
      <w:r w:rsidRPr="006E1DA8">
        <w:rPr>
          <w:kern w:val="2"/>
          <w:sz w:val="22"/>
        </w:rPr>
        <w:t>Successor Liability</w:t>
      </w:r>
    </w:p>
    <w:p w14:paraId="046D99C5" w14:textId="5B49BE06" w:rsidR="000E79B8" w:rsidRPr="006E1DA8" w:rsidRDefault="002C1FE5" w:rsidP="00097AF6">
      <w:pPr>
        <w:rPr>
          <w:kern w:val="2"/>
          <w:sz w:val="20"/>
        </w:rPr>
      </w:pPr>
      <w:r w:rsidRPr="006E1DA8">
        <w:rPr>
          <w:kern w:val="2"/>
          <w:sz w:val="20"/>
        </w:rPr>
        <w:t>The report explains the importance of robust successor liability principles to the effective enforcement and sanctioning of corruption offences:</w:t>
      </w:r>
      <w:r w:rsidR="003F7884" w:rsidRPr="006E1DA8">
        <w:rPr>
          <w:rStyle w:val="FootnoteReference"/>
          <w:rFonts w:eastAsia="Times New Roman"/>
          <w:kern w:val="2"/>
          <w:sz w:val="20"/>
          <w:szCs w:val="21"/>
        </w:rPr>
        <w:footnoteReference w:id="74"/>
      </w:r>
    </w:p>
    <w:p w14:paraId="48617325" w14:textId="6B4A0998" w:rsidR="002C1FE5" w:rsidRPr="006E1DA8" w:rsidRDefault="000E79B8" w:rsidP="00D665D3">
      <w:pPr>
        <w:pStyle w:val="BlockQuote"/>
        <w:rPr>
          <w:kern w:val="2"/>
          <w:sz w:val="20"/>
        </w:rPr>
      </w:pPr>
      <w:r w:rsidRPr="006E1DA8">
        <w:rPr>
          <w:kern w:val="2"/>
          <w:sz w:val="20"/>
        </w:rPr>
        <w:t>In a corporate law context, when a legal person merges with or acquires another entity, the successor or acquiring legal person can, in certain circumstances, assume the predecessor entity’s liabilities. Successor liability in the context of foreign bribery refers to whether and under what conditions LP liability for the offence is affected by changes in company identity and ownership. Without it, a legal person may avoid liability by reorganising or otherwise altering its corporate identity. In some legal systems, however, successor liability is viewed as problematic in the criminal law context because it is viewed as conflicting with the fundamental notion that no one can be punished for the act of another</w:t>
      </w:r>
      <w:r w:rsidR="00DE5909" w:rsidRPr="006E1DA8">
        <w:rPr>
          <w:kern w:val="2"/>
          <w:sz w:val="20"/>
        </w:rPr>
        <w:t>. [</w:t>
      </w:r>
      <w:proofErr w:type="gramStart"/>
      <w:r w:rsidR="00DE5909" w:rsidRPr="006E1DA8">
        <w:rPr>
          <w:kern w:val="2"/>
          <w:sz w:val="20"/>
        </w:rPr>
        <w:t>footnotes</w:t>
      </w:r>
      <w:proofErr w:type="gramEnd"/>
      <w:r w:rsidR="00DE5909" w:rsidRPr="006E1DA8">
        <w:rPr>
          <w:kern w:val="2"/>
          <w:sz w:val="20"/>
        </w:rPr>
        <w:t xml:space="preserve"> omitted]</w:t>
      </w:r>
    </w:p>
    <w:p w14:paraId="3FD33D5A" w14:textId="140C86D0" w:rsidR="00A2049F" w:rsidRPr="006E1DA8" w:rsidRDefault="00A2049F" w:rsidP="00097AF6">
      <w:pPr>
        <w:ind w:right="4"/>
        <w:rPr>
          <w:rFonts w:eastAsia="Times New Roman"/>
          <w:kern w:val="2"/>
          <w:sz w:val="20"/>
          <w:szCs w:val="21"/>
        </w:rPr>
      </w:pPr>
      <w:r w:rsidRPr="006E1DA8">
        <w:rPr>
          <w:rFonts w:eastAsia="Times New Roman"/>
          <w:kern w:val="2"/>
          <w:sz w:val="20"/>
          <w:szCs w:val="21"/>
        </w:rPr>
        <w:t>Ne</w:t>
      </w:r>
      <w:r w:rsidR="0010538D" w:rsidRPr="006E1DA8">
        <w:rPr>
          <w:rFonts w:eastAsia="Times New Roman"/>
          <w:kern w:val="2"/>
          <w:sz w:val="20"/>
          <w:szCs w:val="21"/>
        </w:rPr>
        <w:t>ither the OECD Anti-Bribery Convention, nor the 2009 Recommendation, specifically refer to successor liability. The report also notes</w:t>
      </w:r>
      <w:r w:rsidR="00D50CF1" w:rsidRPr="006E1DA8">
        <w:rPr>
          <w:rFonts w:eastAsia="Times New Roman"/>
          <w:kern w:val="2"/>
          <w:sz w:val="20"/>
          <w:szCs w:val="21"/>
        </w:rPr>
        <w:t>:</w:t>
      </w:r>
      <w:r w:rsidR="003F7884" w:rsidRPr="006E1DA8">
        <w:rPr>
          <w:rStyle w:val="FootnoteReference"/>
          <w:rFonts w:eastAsia="Times New Roman" w:cs="Times New Roman"/>
          <w:kern w:val="2"/>
          <w:sz w:val="20"/>
          <w:szCs w:val="21"/>
        </w:rPr>
        <w:footnoteReference w:id="75"/>
      </w:r>
    </w:p>
    <w:p w14:paraId="3E35AAA1" w14:textId="77777777" w:rsidR="0010538D" w:rsidRPr="006E1DA8" w:rsidRDefault="0010538D" w:rsidP="00D665D3">
      <w:pPr>
        <w:pStyle w:val="BlockQuote"/>
        <w:rPr>
          <w:kern w:val="2"/>
          <w:sz w:val="20"/>
        </w:rPr>
      </w:pPr>
      <w:r w:rsidRPr="006E1DA8">
        <w:rPr>
          <w:kern w:val="2"/>
          <w:sz w:val="20"/>
        </w:rPr>
        <w:t xml:space="preserve">Among the Parties, at least 18 countries (44%) have some form of successor liability for foreign bribery or other criminal offences. </w:t>
      </w:r>
    </w:p>
    <w:p w14:paraId="136017D8" w14:textId="77777777" w:rsidR="0010538D" w:rsidRPr="006E1DA8" w:rsidRDefault="0010538D" w:rsidP="006A6474">
      <w:pPr>
        <w:pStyle w:val="BlockQuote"/>
        <w:rPr>
          <w:kern w:val="2"/>
          <w:sz w:val="20"/>
        </w:rPr>
      </w:pPr>
      <w:r w:rsidRPr="006E1DA8">
        <w:rPr>
          <w:kern w:val="2"/>
          <w:sz w:val="20"/>
        </w:rPr>
        <w:t>Table 10 also reports the types of transactions or reorganizations that can trigger successor liability, including name change or reincorporation (at least 12 countries, or 29%), merger/acquisition (at least 16 countries, or 39%), division or divestiture (at least 11 countries, or 27%) and dissolution (7 countries, or 17%).</w:t>
      </w:r>
    </w:p>
    <w:p w14:paraId="69A2E6C6" w14:textId="77777777" w:rsidR="006A6474" w:rsidRPr="006E1DA8" w:rsidRDefault="0010538D" w:rsidP="006A6474">
      <w:pPr>
        <w:pStyle w:val="BlockQuote"/>
        <w:rPr>
          <w:kern w:val="2"/>
          <w:sz w:val="20"/>
        </w:rPr>
      </w:pPr>
      <w:r w:rsidRPr="006E1DA8">
        <w:rPr>
          <w:kern w:val="2"/>
          <w:sz w:val="20"/>
        </w:rPr>
        <w:t xml:space="preserve">A striking feature of Table 10 is the large number of unknowns indicated by question marks. </w:t>
      </w:r>
    </w:p>
    <w:p w14:paraId="782BAA6A" w14:textId="1DB9CA17" w:rsidR="0010538D" w:rsidRPr="006E1DA8" w:rsidRDefault="00DD3B3B" w:rsidP="006A6474">
      <w:pPr>
        <w:pStyle w:val="BlockQuote"/>
        <w:rPr>
          <w:kern w:val="2"/>
          <w:sz w:val="20"/>
        </w:rPr>
      </w:pPr>
      <w:r w:rsidRPr="006E1DA8">
        <w:rPr>
          <w:kern w:val="2"/>
          <w:sz w:val="20"/>
        </w:rPr>
        <w:t>…</w:t>
      </w:r>
      <w:r w:rsidR="0010538D" w:rsidRPr="006E1DA8">
        <w:rPr>
          <w:kern w:val="2"/>
          <w:sz w:val="20"/>
        </w:rPr>
        <w:t xml:space="preserve"> </w:t>
      </w:r>
    </w:p>
    <w:p w14:paraId="186F8E2A" w14:textId="77777777" w:rsidR="0010538D" w:rsidRPr="006E1DA8" w:rsidRDefault="0010538D" w:rsidP="00D665D3">
      <w:pPr>
        <w:pStyle w:val="BlockQuote"/>
        <w:rPr>
          <w:kern w:val="2"/>
          <w:sz w:val="20"/>
        </w:rPr>
      </w:pPr>
      <w:r w:rsidRPr="006E1DA8">
        <w:rPr>
          <w:kern w:val="2"/>
          <w:sz w:val="20"/>
        </w:rPr>
        <w:t xml:space="preserve">Although the issue has not been fully explored in the WGB reports, some of the Parties’ legal frameworks and practices concerning successor liability deserve special attention: </w:t>
      </w:r>
    </w:p>
    <w:p w14:paraId="61B97F69" w14:textId="678094D3" w:rsidR="00097AF6" w:rsidRPr="006E1DA8" w:rsidRDefault="0010538D" w:rsidP="009D3B31">
      <w:pPr>
        <w:pStyle w:val="BlockQuote"/>
        <w:numPr>
          <w:ilvl w:val="0"/>
          <w:numId w:val="29"/>
        </w:numPr>
        <w:spacing w:before="60" w:after="0"/>
        <w:jc w:val="left"/>
        <w:rPr>
          <w:kern w:val="2"/>
          <w:sz w:val="20"/>
        </w:rPr>
      </w:pPr>
      <w:r w:rsidRPr="006E1DA8">
        <w:rPr>
          <w:b/>
          <w:i/>
          <w:kern w:val="2"/>
          <w:sz w:val="20"/>
        </w:rPr>
        <w:t>Comprehensive statutory frameworks.</w:t>
      </w:r>
      <w:r w:rsidRPr="006E1DA8">
        <w:rPr>
          <w:kern w:val="2"/>
          <w:sz w:val="20"/>
        </w:rPr>
        <w:t xml:space="preserve"> In some countries, the legislature has clearly adopted a set of provisions that comprehensively address successor liability. </w:t>
      </w:r>
      <w:r w:rsidR="00DD3B3B" w:rsidRPr="006E1DA8">
        <w:rPr>
          <w:kern w:val="2"/>
          <w:sz w:val="20"/>
        </w:rPr>
        <w:t xml:space="preserve">… </w:t>
      </w:r>
      <w:r w:rsidRPr="006E1DA8">
        <w:rPr>
          <w:kern w:val="2"/>
          <w:sz w:val="20"/>
        </w:rPr>
        <w:t>Other countries, such as the United States rely on well-established jurisprudence or other legal principles to ensure successor liability.</w:t>
      </w:r>
    </w:p>
    <w:p w14:paraId="21B412A9" w14:textId="3579EF77" w:rsidR="00097AF6" w:rsidRPr="006E1DA8" w:rsidRDefault="002512AB" w:rsidP="009D3B31">
      <w:pPr>
        <w:pStyle w:val="BlockQuote"/>
        <w:numPr>
          <w:ilvl w:val="0"/>
          <w:numId w:val="29"/>
        </w:numPr>
        <w:spacing w:before="60" w:after="0"/>
        <w:jc w:val="left"/>
        <w:rPr>
          <w:kern w:val="2"/>
          <w:sz w:val="20"/>
        </w:rPr>
      </w:pPr>
      <w:r w:rsidRPr="006E1DA8">
        <w:rPr>
          <w:b/>
          <w:i/>
          <w:kern w:val="2"/>
          <w:sz w:val="20"/>
        </w:rPr>
        <w:t>Limits on sanctions.</w:t>
      </w:r>
      <w:r w:rsidRPr="006E1DA8">
        <w:rPr>
          <w:kern w:val="2"/>
          <w:sz w:val="20"/>
        </w:rPr>
        <w:t xml:space="preserve"> Brazil limits the type sanctions that may be imposed on successor companies to the payment of fines and compensation for damage. </w:t>
      </w:r>
      <w:r w:rsidR="00DD3B3B" w:rsidRPr="006E1DA8">
        <w:rPr>
          <w:kern w:val="2"/>
          <w:sz w:val="20"/>
        </w:rPr>
        <w:t>…</w:t>
      </w:r>
      <w:r w:rsidRPr="006E1DA8">
        <w:rPr>
          <w:kern w:val="2"/>
          <w:sz w:val="20"/>
        </w:rPr>
        <w:t xml:space="preserve"> The WGB expressed concern that limiting the ability to confiscate the profits of foreign bribery from successor companies </w:t>
      </w:r>
      <w:r w:rsidR="00321984" w:rsidRPr="006E1DA8">
        <w:rPr>
          <w:kern w:val="2"/>
          <w:sz w:val="20"/>
        </w:rPr>
        <w:t>“</w:t>
      </w:r>
      <w:r w:rsidRPr="006E1DA8">
        <w:rPr>
          <w:kern w:val="2"/>
          <w:sz w:val="20"/>
        </w:rPr>
        <w:t>deprives the administration of one of the most serious deterrents to foreign bribery</w:t>
      </w:r>
      <w:r w:rsidR="00321984" w:rsidRPr="006E1DA8">
        <w:rPr>
          <w:kern w:val="2"/>
          <w:sz w:val="20"/>
        </w:rPr>
        <w:t>”</w:t>
      </w:r>
      <w:r w:rsidRPr="006E1DA8">
        <w:rPr>
          <w:kern w:val="2"/>
          <w:sz w:val="20"/>
        </w:rPr>
        <w:t xml:space="preserve">. </w:t>
      </w:r>
    </w:p>
    <w:p w14:paraId="3ED43B38" w14:textId="57251549" w:rsidR="00097AF6" w:rsidRPr="006E1DA8" w:rsidRDefault="002512AB" w:rsidP="009D3B31">
      <w:pPr>
        <w:pStyle w:val="BlockQuote"/>
        <w:numPr>
          <w:ilvl w:val="0"/>
          <w:numId w:val="29"/>
        </w:numPr>
        <w:spacing w:before="60" w:after="0"/>
        <w:jc w:val="left"/>
        <w:rPr>
          <w:kern w:val="2"/>
          <w:sz w:val="20"/>
        </w:rPr>
      </w:pPr>
      <w:r w:rsidRPr="006E1DA8">
        <w:rPr>
          <w:b/>
          <w:i/>
          <w:kern w:val="2"/>
          <w:sz w:val="20"/>
        </w:rPr>
        <w:t>Mechanisms to prevent the extinction of a legal person</w:t>
      </w:r>
      <w:r w:rsidRPr="006E1DA8">
        <w:rPr>
          <w:kern w:val="2"/>
          <w:sz w:val="20"/>
        </w:rPr>
        <w:t xml:space="preserve">. </w:t>
      </w:r>
      <w:r w:rsidR="00DD3B3B" w:rsidRPr="006E1DA8">
        <w:rPr>
          <w:kern w:val="2"/>
          <w:sz w:val="20"/>
        </w:rPr>
        <w:t>…</w:t>
      </w:r>
      <w:r w:rsidRPr="006E1DA8">
        <w:rPr>
          <w:kern w:val="2"/>
          <w:sz w:val="20"/>
        </w:rPr>
        <w:t xml:space="preserve"> For instance, under Belgium’s 1999 Act establishing LP liability, a judge may, after finding </w:t>
      </w:r>
      <w:r w:rsidR="00321984" w:rsidRPr="006E1DA8">
        <w:rPr>
          <w:kern w:val="2"/>
          <w:sz w:val="20"/>
        </w:rPr>
        <w:t>“</w:t>
      </w:r>
      <w:r w:rsidRPr="006E1DA8">
        <w:rPr>
          <w:kern w:val="2"/>
          <w:sz w:val="20"/>
        </w:rPr>
        <w:t>serious indications of guilt on the part of a legal person</w:t>
      </w:r>
      <w:r w:rsidR="00321984" w:rsidRPr="006E1DA8">
        <w:rPr>
          <w:kern w:val="2"/>
          <w:sz w:val="20"/>
        </w:rPr>
        <w:t>”</w:t>
      </w:r>
      <w:r w:rsidRPr="006E1DA8">
        <w:rPr>
          <w:kern w:val="2"/>
          <w:sz w:val="20"/>
        </w:rPr>
        <w:t xml:space="preserve">, impose a provisional measure to suspend </w:t>
      </w:r>
      <w:r w:rsidR="00321984" w:rsidRPr="006E1DA8">
        <w:rPr>
          <w:kern w:val="2"/>
          <w:sz w:val="20"/>
        </w:rPr>
        <w:t>“</w:t>
      </w:r>
      <w:r w:rsidRPr="006E1DA8">
        <w:rPr>
          <w:kern w:val="2"/>
          <w:sz w:val="20"/>
        </w:rPr>
        <w:t>any proceedings to dissolve or wind up the legal entity</w:t>
      </w:r>
      <w:r w:rsidR="00321984" w:rsidRPr="006E1DA8">
        <w:rPr>
          <w:kern w:val="2"/>
          <w:sz w:val="20"/>
        </w:rPr>
        <w:t>”</w:t>
      </w:r>
      <w:r w:rsidRPr="006E1DA8">
        <w:rPr>
          <w:kern w:val="2"/>
          <w:sz w:val="20"/>
        </w:rPr>
        <w:t xml:space="preserve"> or block any transfers of assets that </w:t>
      </w:r>
      <w:r w:rsidR="00321984" w:rsidRPr="006E1DA8">
        <w:rPr>
          <w:kern w:val="2"/>
          <w:sz w:val="20"/>
        </w:rPr>
        <w:t>“</w:t>
      </w:r>
      <w:r w:rsidRPr="006E1DA8">
        <w:rPr>
          <w:kern w:val="2"/>
          <w:sz w:val="20"/>
        </w:rPr>
        <w:t>could result in the legal entity becoming insolvent</w:t>
      </w:r>
      <w:r w:rsidR="00714858" w:rsidRPr="006E1DA8">
        <w:rPr>
          <w:kern w:val="2"/>
          <w:sz w:val="20"/>
        </w:rPr>
        <w:t>.</w:t>
      </w:r>
      <w:r w:rsidR="00321984" w:rsidRPr="006E1DA8">
        <w:rPr>
          <w:kern w:val="2"/>
          <w:sz w:val="20"/>
        </w:rPr>
        <w:t>”</w:t>
      </w:r>
      <w:r w:rsidR="003B4AFC" w:rsidRPr="006E1DA8">
        <w:rPr>
          <w:kern w:val="2"/>
          <w:sz w:val="20"/>
        </w:rPr>
        <w:t xml:space="preserve"> [footnotes omitted]</w:t>
      </w:r>
    </w:p>
    <w:p w14:paraId="2B0A6C28" w14:textId="5D9B5B6E" w:rsidR="00AB4F47" w:rsidRPr="006E1DA8" w:rsidRDefault="00AB4F47" w:rsidP="00D665D3">
      <w:pPr>
        <w:pStyle w:val="Heading3"/>
        <w:rPr>
          <w:kern w:val="2"/>
          <w:sz w:val="22"/>
        </w:rPr>
      </w:pPr>
      <w:r w:rsidRPr="006E1DA8">
        <w:rPr>
          <w:kern w:val="2"/>
          <w:sz w:val="22"/>
        </w:rPr>
        <w:t>Jurisdiction over Legal Persons and their Nationality</w:t>
      </w:r>
      <w:r w:rsidR="00827F7D" w:rsidRPr="006E1DA8">
        <w:rPr>
          <w:kern w:val="2"/>
          <w:sz w:val="22"/>
        </w:rPr>
        <w:t xml:space="preserve">   </w:t>
      </w:r>
    </w:p>
    <w:p w14:paraId="45B73100" w14:textId="66B5473B" w:rsidR="004870E1" w:rsidRPr="006E1DA8" w:rsidRDefault="004870E1" w:rsidP="004870E1">
      <w:pPr>
        <w:rPr>
          <w:rFonts w:cs="Times New Roman"/>
          <w:kern w:val="2"/>
          <w:sz w:val="20"/>
        </w:rPr>
      </w:pPr>
      <w:r w:rsidRPr="006E1DA8">
        <w:rPr>
          <w:rFonts w:cs="Times New Roman"/>
          <w:kern w:val="2"/>
          <w:sz w:val="20"/>
        </w:rPr>
        <w:t xml:space="preserve">Both of these topics are analyzed in the report. That analysis is included in </w:t>
      </w:r>
      <w:r w:rsidRPr="00A2774F">
        <w:rPr>
          <w:rFonts w:cs="Times New Roman"/>
          <w:kern w:val="2"/>
          <w:sz w:val="20"/>
          <w:highlight w:val="cyan"/>
        </w:rPr>
        <w:t>Chapter 3, Section 1</w:t>
      </w:r>
      <w:r w:rsidRPr="006E1DA8">
        <w:rPr>
          <w:rFonts w:cs="Times New Roman"/>
          <w:kern w:val="2"/>
          <w:sz w:val="20"/>
        </w:rPr>
        <w:t>.</w:t>
      </w:r>
    </w:p>
    <w:p w14:paraId="6B498F15" w14:textId="49E3FC3E" w:rsidR="00827F7D" w:rsidRPr="006E1DA8" w:rsidRDefault="00827F7D" w:rsidP="00D665D3">
      <w:pPr>
        <w:pStyle w:val="Heading2"/>
        <w:rPr>
          <w:kern w:val="2"/>
          <w:sz w:val="24"/>
        </w:rPr>
      </w:pPr>
      <w:r w:rsidRPr="006E1DA8">
        <w:rPr>
          <w:kern w:val="2"/>
          <w:sz w:val="24"/>
        </w:rPr>
        <w:t>US Law</w:t>
      </w:r>
    </w:p>
    <w:p w14:paraId="0002F804" w14:textId="71E256E2" w:rsidR="00827F7D" w:rsidRPr="006E1DA8" w:rsidRDefault="00827F7D" w:rsidP="00827F7D">
      <w:pPr>
        <w:rPr>
          <w:kern w:val="2"/>
          <w:sz w:val="20"/>
        </w:rPr>
      </w:pPr>
      <w:r w:rsidRPr="006E1DA8">
        <w:rPr>
          <w:rFonts w:cs="Times New Roman"/>
          <w:kern w:val="2"/>
          <w:sz w:val="20"/>
        </w:rPr>
        <w:t xml:space="preserve">Under the US common law doctrine of </w:t>
      </w:r>
      <w:proofErr w:type="spellStart"/>
      <w:r w:rsidRPr="006E1DA8">
        <w:rPr>
          <w:rFonts w:cs="Times New Roman"/>
          <w:i/>
          <w:iCs/>
          <w:kern w:val="2"/>
          <w:sz w:val="20"/>
        </w:rPr>
        <w:t>respondeat</w:t>
      </w:r>
      <w:proofErr w:type="spellEnd"/>
      <w:r w:rsidRPr="006E1DA8">
        <w:rPr>
          <w:rFonts w:cs="Times New Roman"/>
          <w:i/>
          <w:iCs/>
          <w:kern w:val="2"/>
          <w:sz w:val="20"/>
        </w:rPr>
        <w:t xml:space="preserve"> superior</w:t>
      </w:r>
      <w:r w:rsidRPr="006E1DA8">
        <w:rPr>
          <w:rFonts w:cs="Times New Roman"/>
          <w:kern w:val="2"/>
          <w:sz w:val="20"/>
        </w:rPr>
        <w:t>, a corporation will be vicariously liable for acts of its employees that violate</w:t>
      </w:r>
      <w:r w:rsidR="00090B09" w:rsidRPr="006E1DA8">
        <w:rPr>
          <w:rFonts w:cs="Times New Roman"/>
          <w:kern w:val="2"/>
          <w:sz w:val="20"/>
        </w:rPr>
        <w:t xml:space="preserve"> the</w:t>
      </w:r>
      <w:r w:rsidRPr="006E1DA8">
        <w:rPr>
          <w:rFonts w:cs="Times New Roman"/>
          <w:kern w:val="2"/>
          <w:sz w:val="20"/>
        </w:rPr>
        <w:t xml:space="preserve"> </w:t>
      </w:r>
      <w:r w:rsidRPr="006E1DA8">
        <w:rPr>
          <w:rFonts w:cs="Times New Roman"/>
          <w:i/>
          <w:iCs/>
          <w:kern w:val="2"/>
          <w:sz w:val="20"/>
        </w:rPr>
        <w:t xml:space="preserve">FCPA </w:t>
      </w:r>
      <w:r w:rsidRPr="006E1DA8">
        <w:rPr>
          <w:rFonts w:cs="Times New Roman"/>
          <w:kern w:val="2"/>
          <w:sz w:val="20"/>
        </w:rPr>
        <w:t>if the employee was acting within the scope of his or her authority and, at least in part, for the benefit of the company. Under this principle, even low-level employees acting in con</w:t>
      </w:r>
      <w:bookmarkStart w:id="17" w:name="_GoBack"/>
      <w:bookmarkEnd w:id="17"/>
      <w:r w:rsidRPr="006E1DA8">
        <w:rPr>
          <w:rFonts w:cs="Times New Roman"/>
          <w:kern w:val="2"/>
          <w:sz w:val="20"/>
        </w:rPr>
        <w:t>travention of an express direction not to bribe a foreign official may still trigger liability for the corporation.</w:t>
      </w:r>
      <w:r w:rsidRPr="006E1DA8">
        <w:rPr>
          <w:rStyle w:val="FootnoteReference"/>
          <w:rFonts w:cs="Times New Roman"/>
          <w:kern w:val="2"/>
          <w:sz w:val="20"/>
        </w:rPr>
        <w:footnoteReference w:id="76"/>
      </w:r>
      <w:r w:rsidRPr="006E1DA8">
        <w:rPr>
          <w:rFonts w:cs="Times New Roman"/>
          <w:kern w:val="2"/>
          <w:sz w:val="20"/>
        </w:rPr>
        <w:t xml:space="preserve"> The term </w:t>
      </w:r>
      <w:r w:rsidR="00321984" w:rsidRPr="006E1DA8">
        <w:rPr>
          <w:rFonts w:cs="Times New Roman"/>
          <w:kern w:val="2"/>
          <w:sz w:val="20"/>
        </w:rPr>
        <w:t>“</w:t>
      </w:r>
      <w:r w:rsidRPr="006E1DA8">
        <w:rPr>
          <w:rFonts w:cs="Times New Roman"/>
          <w:kern w:val="2"/>
          <w:sz w:val="20"/>
        </w:rPr>
        <w:t>scope of authority</w:t>
      </w:r>
      <w:r w:rsidR="00321984" w:rsidRPr="006E1DA8">
        <w:rPr>
          <w:rFonts w:cs="Times New Roman"/>
          <w:kern w:val="2"/>
          <w:sz w:val="20"/>
        </w:rPr>
        <w:t>”</w:t>
      </w:r>
      <w:r w:rsidRPr="006E1DA8">
        <w:rPr>
          <w:rFonts w:cs="Times New Roman"/>
          <w:kern w:val="2"/>
          <w:sz w:val="20"/>
        </w:rPr>
        <w:t xml:space="preserve"> means within the course of the employee’s ordinary duties. </w:t>
      </w:r>
      <w:proofErr w:type="spellStart"/>
      <w:r w:rsidRPr="006E1DA8">
        <w:rPr>
          <w:rFonts w:cs="Times New Roman"/>
          <w:kern w:val="2"/>
          <w:sz w:val="20"/>
        </w:rPr>
        <w:t>Tarun</w:t>
      </w:r>
      <w:proofErr w:type="spellEnd"/>
      <w:r w:rsidRPr="006E1DA8">
        <w:rPr>
          <w:rFonts w:cs="Times New Roman"/>
          <w:kern w:val="2"/>
          <w:sz w:val="20"/>
        </w:rPr>
        <w:t xml:space="preserve"> explains:</w:t>
      </w:r>
      <w:r w:rsidRPr="006E1DA8">
        <w:rPr>
          <w:rStyle w:val="FootnoteReference"/>
          <w:rFonts w:cs="Times New Roman"/>
          <w:kern w:val="2"/>
          <w:sz w:val="20"/>
        </w:rPr>
        <w:footnoteReference w:id="77"/>
      </w:r>
      <w:r w:rsidRPr="006E1DA8">
        <w:rPr>
          <w:rFonts w:cs="Times New Roman"/>
          <w:kern w:val="2"/>
          <w:sz w:val="20"/>
        </w:rPr>
        <w:t xml:space="preserve"> </w:t>
      </w:r>
    </w:p>
    <w:p w14:paraId="0CF16DC6" w14:textId="53F9F6AF" w:rsidR="00827F7D" w:rsidRPr="006E1DA8" w:rsidRDefault="00827F7D" w:rsidP="00D665D3">
      <w:pPr>
        <w:pStyle w:val="BlockQuote"/>
        <w:rPr>
          <w:kern w:val="2"/>
          <w:sz w:val="20"/>
        </w:rPr>
      </w:pPr>
      <w:r w:rsidRPr="006E1DA8">
        <w:rPr>
          <w:kern w:val="2"/>
          <w:sz w:val="20"/>
        </w:rPr>
        <w:t>For example, an international salesman agreeing to bribe a foreign official in order to obtain or retain business will be deemed to be acting within the scope of his authority. The focus is on the function delegated to the agent or employee and whether the conduct falls within that general function. So long as the agent or employee’s acts are consistent with his general employment function, his employer may be held liable for those acts, even if they were contrary to express corporate policy</w:t>
      </w:r>
      <w:r w:rsidR="00145FCC" w:rsidRPr="006E1DA8">
        <w:rPr>
          <w:kern w:val="2"/>
          <w:sz w:val="20"/>
        </w:rPr>
        <w:t>.</w:t>
      </w:r>
      <w:r w:rsidRPr="006E1DA8">
        <w:rPr>
          <w:kern w:val="2"/>
          <w:sz w:val="20"/>
        </w:rPr>
        <w:t xml:space="preserve"> [</w:t>
      </w:r>
      <w:proofErr w:type="gramStart"/>
      <w:r w:rsidRPr="006E1DA8">
        <w:rPr>
          <w:kern w:val="2"/>
          <w:sz w:val="20"/>
        </w:rPr>
        <w:t>footnotes</w:t>
      </w:r>
      <w:proofErr w:type="gramEnd"/>
      <w:r w:rsidRPr="006E1DA8">
        <w:rPr>
          <w:kern w:val="2"/>
          <w:sz w:val="20"/>
        </w:rPr>
        <w:t xml:space="preserve"> omitted]</w:t>
      </w:r>
    </w:p>
    <w:p w14:paraId="250D00E0" w14:textId="32BEAC43" w:rsidR="00827F7D" w:rsidRPr="006E1DA8" w:rsidRDefault="00827F7D" w:rsidP="00827F7D">
      <w:pPr>
        <w:rPr>
          <w:rFonts w:cs="Times New Roman"/>
          <w:kern w:val="2"/>
          <w:sz w:val="20"/>
        </w:rPr>
      </w:pPr>
      <w:r w:rsidRPr="006E1DA8">
        <w:rPr>
          <w:rFonts w:cs="Times New Roman"/>
          <w:kern w:val="2"/>
          <w:sz w:val="20"/>
        </w:rPr>
        <w:t xml:space="preserve">In addition, </w:t>
      </w:r>
      <w:r w:rsidR="00321984" w:rsidRPr="006E1DA8">
        <w:rPr>
          <w:rFonts w:cs="Times New Roman"/>
          <w:kern w:val="2"/>
          <w:sz w:val="20"/>
        </w:rPr>
        <w:t>“</w:t>
      </w:r>
      <w:r w:rsidRPr="006E1DA8">
        <w:rPr>
          <w:rFonts w:cs="Times New Roman"/>
          <w:kern w:val="2"/>
          <w:sz w:val="20"/>
        </w:rPr>
        <w:t>the benefit of the corporation</w:t>
      </w:r>
      <w:r w:rsidR="00321984" w:rsidRPr="006E1DA8">
        <w:rPr>
          <w:rFonts w:cs="Times New Roman"/>
          <w:kern w:val="2"/>
          <w:sz w:val="20"/>
        </w:rPr>
        <w:t>”</w:t>
      </w:r>
      <w:r w:rsidRPr="006E1DA8">
        <w:rPr>
          <w:rFonts w:cs="Times New Roman"/>
          <w:kern w:val="2"/>
          <w:sz w:val="20"/>
        </w:rPr>
        <w:t xml:space="preserve"> need not be the sole motivating factor behind the employee’s decision to offer a bribe</w:t>
      </w:r>
      <w:r w:rsidR="003F7884" w:rsidRPr="006E1DA8">
        <w:rPr>
          <w:rFonts w:cs="Times New Roman"/>
          <w:kern w:val="2"/>
          <w:sz w:val="20"/>
        </w:rPr>
        <w:t>:</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So long as the motive includes a direct or ancillary benefit to the corporation—either realized or unrealized—a corporation will be accountable for the agent or employee’s acts</w:t>
      </w:r>
      <w:r w:rsidR="00BA46FD"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78"/>
      </w:r>
    </w:p>
    <w:p w14:paraId="0D27D04B" w14:textId="77777777" w:rsidR="00827F7D" w:rsidRPr="006E1DA8" w:rsidRDefault="00827F7D" w:rsidP="00D665D3">
      <w:pPr>
        <w:pStyle w:val="Heading3"/>
        <w:rPr>
          <w:kern w:val="2"/>
          <w:sz w:val="22"/>
        </w:rPr>
      </w:pPr>
      <w:r w:rsidRPr="006E1DA8">
        <w:rPr>
          <w:kern w:val="2"/>
          <w:sz w:val="22"/>
        </w:rPr>
        <w:t xml:space="preserve">Corporate Criminal Liability under the </w:t>
      </w:r>
      <w:r w:rsidRPr="006E1DA8">
        <w:rPr>
          <w:i/>
          <w:iCs/>
          <w:kern w:val="2"/>
          <w:sz w:val="22"/>
        </w:rPr>
        <w:t>FCPA</w:t>
      </w:r>
      <w:r w:rsidRPr="006E1DA8">
        <w:rPr>
          <w:iCs/>
          <w:kern w:val="2"/>
          <w:sz w:val="22"/>
        </w:rPr>
        <w:t xml:space="preserve"> </w:t>
      </w:r>
      <w:r w:rsidRPr="006E1DA8">
        <w:rPr>
          <w:kern w:val="2"/>
          <w:sz w:val="22"/>
        </w:rPr>
        <w:t>Arising from the Acts of Foreign Subsidiaries</w:t>
      </w:r>
    </w:p>
    <w:p w14:paraId="68FC8E7F" w14:textId="4740A56D" w:rsidR="00827F7D" w:rsidRPr="006E1DA8" w:rsidRDefault="003B4AFC" w:rsidP="00827F7D">
      <w:pPr>
        <w:rPr>
          <w:rFonts w:cs="Times New Roman"/>
          <w:kern w:val="2"/>
          <w:sz w:val="20"/>
        </w:rPr>
      </w:pPr>
      <w:r w:rsidRPr="006E1DA8">
        <w:rPr>
          <w:rFonts w:cs="Times New Roman"/>
          <w:kern w:val="2"/>
          <w:sz w:val="20"/>
        </w:rPr>
        <w:t xml:space="preserve">According to </w:t>
      </w:r>
      <w:proofErr w:type="spellStart"/>
      <w:r w:rsidRPr="006E1DA8">
        <w:rPr>
          <w:rFonts w:cs="Times New Roman"/>
          <w:kern w:val="2"/>
          <w:sz w:val="20"/>
        </w:rPr>
        <w:t>Tarun</w:t>
      </w:r>
      <w:proofErr w:type="spellEnd"/>
      <w:r w:rsidRPr="006E1DA8">
        <w:rPr>
          <w:rFonts w:cs="Times New Roman"/>
          <w:kern w:val="2"/>
          <w:sz w:val="20"/>
        </w:rPr>
        <w:t>, w</w:t>
      </w:r>
      <w:r w:rsidR="00827F7D" w:rsidRPr="006E1DA8">
        <w:rPr>
          <w:rFonts w:cs="Times New Roman"/>
          <w:kern w:val="2"/>
          <w:sz w:val="20"/>
        </w:rPr>
        <w:t>hether US corporations are directly liable for the acts of their foreign subsidiaries is somewhat uncertain.</w:t>
      </w:r>
      <w:r w:rsidR="00827F7D" w:rsidRPr="006E1DA8">
        <w:rPr>
          <w:rStyle w:val="FootnoteReference"/>
          <w:rFonts w:cs="Times New Roman"/>
          <w:kern w:val="2"/>
          <w:sz w:val="20"/>
        </w:rPr>
        <w:t xml:space="preserve"> </w:t>
      </w:r>
      <w:r w:rsidRPr="006E1DA8">
        <w:rPr>
          <w:rFonts w:cs="Times New Roman"/>
          <w:kern w:val="2"/>
          <w:sz w:val="20"/>
        </w:rPr>
        <w:t>He</w:t>
      </w:r>
      <w:r w:rsidR="00827F7D" w:rsidRPr="006E1DA8">
        <w:rPr>
          <w:rFonts w:cs="Times New Roman"/>
          <w:kern w:val="2"/>
          <w:sz w:val="20"/>
        </w:rPr>
        <w:t xml:space="preserve"> states:</w:t>
      </w:r>
      <w:r w:rsidR="003C58D8" w:rsidRPr="006E1DA8">
        <w:rPr>
          <w:rStyle w:val="FootnoteReference"/>
          <w:rFonts w:cs="Times New Roman"/>
          <w:kern w:val="2"/>
          <w:sz w:val="20"/>
        </w:rPr>
        <w:footnoteReference w:id="79"/>
      </w:r>
    </w:p>
    <w:p w14:paraId="0C08818A" w14:textId="75A973F1" w:rsidR="00827F7D" w:rsidRPr="006E1DA8" w:rsidRDefault="00827F7D" w:rsidP="00D665D3">
      <w:pPr>
        <w:pStyle w:val="BlockQuote"/>
        <w:rPr>
          <w:kern w:val="2"/>
          <w:sz w:val="20"/>
        </w:rPr>
      </w:pPr>
      <w:r w:rsidRPr="006E1DA8">
        <w:rPr>
          <w:kern w:val="2"/>
          <w:sz w:val="20"/>
        </w:rPr>
        <w:t xml:space="preserve">While the legislative history and one case indicate that foreign subsidiaries of US companies acting on their own and not as agents of a US parent are not subject to the anti-bribery provisions </w:t>
      </w:r>
      <w:r w:rsidR="00DD3B3B" w:rsidRPr="006E1DA8">
        <w:rPr>
          <w:kern w:val="2"/>
          <w:sz w:val="20"/>
        </w:rPr>
        <w:t>…</w:t>
      </w:r>
      <w:r w:rsidRPr="006E1DA8">
        <w:rPr>
          <w:kern w:val="2"/>
          <w:sz w:val="20"/>
        </w:rPr>
        <w:t xml:space="preserve"> the Resource Guide to the US FCPA states that there are two ways in which a parent company can be liable for bribes paid by a subsidiary:</w:t>
      </w:r>
    </w:p>
    <w:p w14:paraId="3D5E4667" w14:textId="77777777" w:rsidR="00827F7D" w:rsidRPr="006E1DA8" w:rsidRDefault="00827F7D" w:rsidP="00D665D3">
      <w:pPr>
        <w:pStyle w:val="BlockQuote"/>
        <w:ind w:left="1440" w:right="1440"/>
        <w:rPr>
          <w:kern w:val="2"/>
          <w:sz w:val="20"/>
        </w:rPr>
      </w:pPr>
      <w:r w:rsidRPr="006E1DA8">
        <w:rPr>
          <w:kern w:val="2"/>
          <w:sz w:val="20"/>
        </w:rPr>
        <w:t>First, a parent may have participated sufficiently in the activity to be directly liable for the conduct – as, for example when it directed its subsidiary’s misconduct or otherwise directly participated in the bribe scheme. Second, a parent may be held liable for its subsidiary’s conduct under traditional agency principles.</w:t>
      </w:r>
    </w:p>
    <w:p w14:paraId="64BFAAE4" w14:textId="77777777" w:rsidR="00827F7D" w:rsidRPr="006E1DA8" w:rsidRDefault="00827F7D" w:rsidP="00827F7D">
      <w:pPr>
        <w:pStyle w:val="BlockText"/>
        <w:ind w:left="0" w:right="0"/>
        <w:rPr>
          <w:rFonts w:cs="Times New Roman"/>
          <w:kern w:val="2"/>
        </w:rPr>
      </w:pPr>
      <w:r w:rsidRPr="006E1DA8">
        <w:rPr>
          <w:rFonts w:cs="Times New Roman"/>
          <w:kern w:val="2"/>
        </w:rPr>
        <w:t xml:space="preserve">According to the </w:t>
      </w:r>
      <w:r w:rsidRPr="006E1DA8">
        <w:rPr>
          <w:rFonts w:cs="Times New Roman"/>
          <w:i/>
          <w:kern w:val="2"/>
        </w:rPr>
        <w:t>Resource Guide</w:t>
      </w:r>
      <w:r w:rsidRPr="006E1DA8">
        <w:rPr>
          <w:rFonts w:cs="Times New Roman"/>
          <w:kern w:val="2"/>
        </w:rPr>
        <w:t xml:space="preserve">, control over the subsidiary, both general and in terms of the specific transaction, is the key factor in determining whether an agency relationship exists. If the relationship exists, the subsidiary’s actions and knowledge are imputed to the parent. </w:t>
      </w:r>
    </w:p>
    <w:p w14:paraId="280BE5FD" w14:textId="132C0288" w:rsidR="00827F7D" w:rsidRPr="006E1DA8" w:rsidRDefault="00827F7D" w:rsidP="00827F7D">
      <w:pPr>
        <w:rPr>
          <w:kern w:val="2"/>
          <w:sz w:val="20"/>
        </w:rPr>
      </w:pPr>
      <w:proofErr w:type="spellStart"/>
      <w:r w:rsidRPr="006E1DA8">
        <w:rPr>
          <w:rFonts w:cs="Times New Roman"/>
          <w:kern w:val="2"/>
          <w:sz w:val="20"/>
        </w:rPr>
        <w:t>Tarun</w:t>
      </w:r>
      <w:proofErr w:type="spellEnd"/>
      <w:r w:rsidRPr="006E1DA8">
        <w:rPr>
          <w:rFonts w:cs="Times New Roman"/>
          <w:kern w:val="2"/>
          <w:sz w:val="20"/>
        </w:rPr>
        <w:t xml:space="preserve"> states that although </w:t>
      </w:r>
      <w:r w:rsidR="00090B09" w:rsidRPr="006E1DA8">
        <w:rPr>
          <w:rFonts w:cs="Times New Roman"/>
          <w:kern w:val="2"/>
          <w:sz w:val="20"/>
        </w:rPr>
        <w:t xml:space="preserve">the </w:t>
      </w:r>
      <w:r w:rsidRPr="006E1DA8">
        <w:rPr>
          <w:rFonts w:cs="Times New Roman"/>
          <w:i/>
          <w:iCs/>
          <w:kern w:val="2"/>
          <w:sz w:val="20"/>
        </w:rPr>
        <w:t xml:space="preserve">FCPA </w:t>
      </w:r>
      <w:r w:rsidRPr="006E1DA8">
        <w:rPr>
          <w:rFonts w:cs="Times New Roman"/>
          <w:kern w:val="2"/>
          <w:sz w:val="20"/>
        </w:rPr>
        <w:t xml:space="preserve">does not specifically address liability arising from the behaviour of foreign subsidiaries, there are </w:t>
      </w:r>
      <w:r w:rsidR="00321984" w:rsidRPr="006E1DA8">
        <w:rPr>
          <w:rFonts w:cs="Times New Roman"/>
          <w:kern w:val="2"/>
          <w:sz w:val="20"/>
        </w:rPr>
        <w:t>“</w:t>
      </w:r>
      <w:r w:rsidRPr="006E1DA8">
        <w:rPr>
          <w:rFonts w:cs="Times New Roman"/>
          <w:kern w:val="2"/>
          <w:sz w:val="20"/>
        </w:rPr>
        <w:t>at least five</w:t>
      </w:r>
      <w:r w:rsidR="00321984" w:rsidRPr="006E1DA8">
        <w:rPr>
          <w:rFonts w:cs="Times New Roman"/>
          <w:kern w:val="2"/>
          <w:sz w:val="20"/>
        </w:rPr>
        <w:t>”</w:t>
      </w:r>
      <w:r w:rsidRPr="006E1DA8">
        <w:rPr>
          <w:rFonts w:cs="Times New Roman"/>
          <w:kern w:val="2"/>
          <w:sz w:val="20"/>
        </w:rPr>
        <w:t xml:space="preserve"> bases in American law under which a parent corporation could be liable for acts of bribery undertaken by its foreign subsidiaries:</w:t>
      </w:r>
    </w:p>
    <w:p w14:paraId="6B82E9BB" w14:textId="5D56DC66" w:rsidR="00827F7D" w:rsidRPr="006E1DA8" w:rsidRDefault="00827F7D" w:rsidP="00E05852">
      <w:pPr>
        <w:pStyle w:val="BlockQuote"/>
        <w:rPr>
          <w:kern w:val="2"/>
          <w:sz w:val="20"/>
        </w:rPr>
      </w:pPr>
      <w:r w:rsidRPr="006E1DA8">
        <w:rPr>
          <w:kern w:val="2"/>
          <w:sz w:val="20"/>
        </w:rPr>
        <w:t xml:space="preserve">First, a US company may be liable for bribery under agency principles if it had knowledge of or was willfully blind to the misconduct of its subsidiary. Second, a US parent corporation that authorizes, directs, or controls the wayward acts of a foreign subsidiary may be liable. Third a US company may be held liable under principles of </w:t>
      </w:r>
      <w:proofErr w:type="spellStart"/>
      <w:r w:rsidRPr="006E1DA8">
        <w:rPr>
          <w:kern w:val="2"/>
          <w:sz w:val="20"/>
        </w:rPr>
        <w:t>respondeat</w:t>
      </w:r>
      <w:proofErr w:type="spellEnd"/>
      <w:r w:rsidRPr="006E1DA8">
        <w:rPr>
          <w:kern w:val="2"/>
          <w:sz w:val="20"/>
        </w:rPr>
        <w:t xml:space="preserve"> superior where its corporate veil can be pierced. Fourth, a US Company that takes actions abroad in furtherance of a bribery scheme may be found liable under the Act’s 1998 alternative theory of nationality jurisdiction. Fifth, foreign subsidiaries may be liable if any act in furtherance of an illegal bribe took place in the United States territory.</w:t>
      </w:r>
      <w:r w:rsidR="008F5EB3" w:rsidRPr="006E1DA8">
        <w:rPr>
          <w:rStyle w:val="FootnoteReference"/>
          <w:rFonts w:cs="Times New Roman"/>
          <w:kern w:val="2"/>
          <w:sz w:val="20"/>
        </w:rPr>
        <w:footnoteReference w:id="80"/>
      </w:r>
    </w:p>
    <w:p w14:paraId="184DAE6F" w14:textId="1A69DA93" w:rsidR="00827F7D" w:rsidRPr="006E1DA8" w:rsidRDefault="00827F7D" w:rsidP="00827F7D">
      <w:pPr>
        <w:rPr>
          <w:rFonts w:cs="Times New Roman"/>
          <w:kern w:val="2"/>
          <w:sz w:val="20"/>
        </w:rPr>
      </w:pPr>
      <w:r w:rsidRPr="006E1DA8">
        <w:rPr>
          <w:rFonts w:cs="Times New Roman"/>
          <w:kern w:val="2"/>
          <w:sz w:val="20"/>
        </w:rPr>
        <w:t xml:space="preserve">In addition, under the accounting provisions of </w:t>
      </w:r>
      <w:r w:rsidR="00090B09" w:rsidRPr="006E1DA8">
        <w:rPr>
          <w:rFonts w:cs="Times New Roman"/>
          <w:kern w:val="2"/>
          <w:sz w:val="20"/>
        </w:rPr>
        <w:t xml:space="preserve">the </w:t>
      </w:r>
      <w:r w:rsidRPr="006E1DA8">
        <w:rPr>
          <w:rFonts w:cs="Times New Roman"/>
          <w:i/>
          <w:iCs/>
          <w:kern w:val="2"/>
          <w:sz w:val="20"/>
        </w:rPr>
        <w:t>FCPA</w:t>
      </w:r>
      <w:r w:rsidRPr="006E1DA8">
        <w:rPr>
          <w:rFonts w:cs="Times New Roman"/>
          <w:kern w:val="2"/>
          <w:sz w:val="20"/>
        </w:rPr>
        <w:t>, if the records of the parent and the subsidiary are consolidated for the purposes of filing documents pursuant to the SEC’s mandatory reporting requirements, a parent company may be liable for the accounting violations of a foreign subsidiary.</w:t>
      </w:r>
      <w:bookmarkStart w:id="18" w:name="_Toc287029832"/>
    </w:p>
    <w:p w14:paraId="1462D56B" w14:textId="77777777" w:rsidR="00827F7D" w:rsidRPr="006E1DA8" w:rsidRDefault="00827F7D" w:rsidP="00E05852">
      <w:pPr>
        <w:pStyle w:val="Heading3"/>
        <w:rPr>
          <w:kern w:val="2"/>
          <w:sz w:val="22"/>
        </w:rPr>
      </w:pPr>
      <w:r w:rsidRPr="006E1DA8">
        <w:rPr>
          <w:kern w:val="2"/>
          <w:sz w:val="22"/>
        </w:rPr>
        <w:t>Successor Liability</w:t>
      </w:r>
    </w:p>
    <w:p w14:paraId="1C6F2F74" w14:textId="282B5D44" w:rsidR="00827F7D" w:rsidRPr="006E1DA8" w:rsidRDefault="00827F7D" w:rsidP="00827F7D">
      <w:pPr>
        <w:rPr>
          <w:rFonts w:cs="Times New Roman"/>
          <w:kern w:val="2"/>
          <w:sz w:val="20"/>
        </w:rPr>
      </w:pPr>
      <w:r w:rsidRPr="006E1DA8">
        <w:rPr>
          <w:rFonts w:cs="Times New Roman"/>
          <w:kern w:val="2"/>
          <w:sz w:val="20"/>
        </w:rPr>
        <w:t>After a merger or acquisition, the successor company assumes the predecessor company’s liabilities, including those arising under</w:t>
      </w:r>
      <w:r w:rsidR="00090B09" w:rsidRPr="006E1DA8">
        <w:rPr>
          <w:rFonts w:cs="Times New Roman"/>
          <w:kern w:val="2"/>
          <w:sz w:val="20"/>
        </w:rPr>
        <w:t xml:space="preserve"> the</w:t>
      </w:r>
      <w:r w:rsidRPr="006E1DA8">
        <w:rPr>
          <w:rFonts w:cs="Times New Roman"/>
          <w:kern w:val="2"/>
          <w:sz w:val="20"/>
        </w:rPr>
        <w:t xml:space="preserve"> </w:t>
      </w:r>
      <w:r w:rsidRPr="006E1DA8">
        <w:rPr>
          <w:rFonts w:cs="Times New Roman"/>
          <w:i/>
          <w:kern w:val="2"/>
          <w:sz w:val="20"/>
        </w:rPr>
        <w:t>FCPA</w:t>
      </w:r>
      <w:r w:rsidRPr="006E1DA8">
        <w:rPr>
          <w:rFonts w:cs="Times New Roman"/>
          <w:kern w:val="2"/>
          <w:sz w:val="20"/>
        </w:rPr>
        <w:t xml:space="preserve">. No liability will be created where there was none before, however; for example, if the predecessor was outside </w:t>
      </w:r>
      <w:r w:rsidRPr="006E1DA8">
        <w:rPr>
          <w:rFonts w:cs="Times New Roman"/>
          <w:i/>
          <w:kern w:val="2"/>
          <w:sz w:val="20"/>
        </w:rPr>
        <w:t xml:space="preserve">FCPA </w:t>
      </w:r>
      <w:r w:rsidRPr="006E1DA8">
        <w:rPr>
          <w:rFonts w:cs="Times New Roman"/>
          <w:kern w:val="2"/>
          <w:sz w:val="20"/>
        </w:rPr>
        <w:t>jurisdiction, it will not be retroactively subject to</w:t>
      </w:r>
      <w:r w:rsidR="00090B09" w:rsidRPr="006E1DA8">
        <w:rPr>
          <w:rFonts w:cs="Times New Roman"/>
          <w:kern w:val="2"/>
          <w:sz w:val="20"/>
        </w:rPr>
        <w:t xml:space="preserve"> the</w:t>
      </w:r>
      <w:r w:rsidRPr="006E1DA8">
        <w:rPr>
          <w:rFonts w:cs="Times New Roman"/>
          <w:kern w:val="2"/>
          <w:sz w:val="20"/>
        </w:rPr>
        <w:t xml:space="preserve"> </w:t>
      </w:r>
      <w:r w:rsidRPr="006E1DA8">
        <w:rPr>
          <w:rFonts w:cs="Times New Roman"/>
          <w:i/>
          <w:kern w:val="2"/>
          <w:sz w:val="20"/>
        </w:rPr>
        <w:t xml:space="preserve">FCPA </w:t>
      </w:r>
      <w:r w:rsidRPr="006E1DA8">
        <w:rPr>
          <w:rFonts w:cs="Times New Roman"/>
          <w:kern w:val="2"/>
          <w:sz w:val="20"/>
        </w:rPr>
        <w:t xml:space="preserve">after acquisition. Generally, the DOJ will only pursue </w:t>
      </w:r>
      <w:r w:rsidRPr="006E1DA8">
        <w:rPr>
          <w:rFonts w:cs="Times New Roman"/>
          <w:i/>
          <w:kern w:val="2"/>
          <w:sz w:val="20"/>
        </w:rPr>
        <w:t xml:space="preserve">FCPA </w:t>
      </w:r>
      <w:r w:rsidRPr="006E1DA8">
        <w:rPr>
          <w:rFonts w:cs="Times New Roman"/>
          <w:kern w:val="2"/>
          <w:sz w:val="20"/>
        </w:rPr>
        <w:t>actions against successor companies in extreme, egregious scenarios, such as the continuation of violations by the successor company.</w:t>
      </w:r>
      <w:r w:rsidRPr="006E1DA8">
        <w:rPr>
          <w:rStyle w:val="FootnoteReference"/>
          <w:rFonts w:cs="Times New Roman"/>
          <w:kern w:val="2"/>
          <w:sz w:val="20"/>
        </w:rPr>
        <w:footnoteReference w:id="81"/>
      </w:r>
      <w:r w:rsidRPr="006E1DA8">
        <w:rPr>
          <w:rFonts w:cs="Times New Roman"/>
          <w:kern w:val="2"/>
          <w:sz w:val="20"/>
        </w:rPr>
        <w:t xml:space="preserve"> </w:t>
      </w:r>
    </w:p>
    <w:p w14:paraId="6A3418C5" w14:textId="021767FD" w:rsidR="00827F7D" w:rsidRPr="006E1DA8" w:rsidRDefault="00827F7D" w:rsidP="00E05852">
      <w:pPr>
        <w:pStyle w:val="Heading2"/>
        <w:rPr>
          <w:kern w:val="2"/>
          <w:sz w:val="24"/>
        </w:rPr>
      </w:pPr>
      <w:r w:rsidRPr="006E1DA8">
        <w:rPr>
          <w:kern w:val="2"/>
          <w:sz w:val="24"/>
        </w:rPr>
        <w:t>UK Law</w:t>
      </w:r>
      <w:bookmarkEnd w:id="18"/>
    </w:p>
    <w:p w14:paraId="07479F48" w14:textId="062702B8" w:rsidR="00827F7D" w:rsidRPr="006E1DA8" w:rsidRDefault="00FD0E44" w:rsidP="00827F7D">
      <w:pPr>
        <w:rPr>
          <w:rFonts w:cs="Times New Roman"/>
          <w:i/>
          <w:kern w:val="2"/>
          <w:sz w:val="20"/>
        </w:rPr>
      </w:pPr>
      <w:r w:rsidRPr="006E1DA8">
        <w:rPr>
          <w:rFonts w:cs="Times New Roman"/>
          <w:kern w:val="2"/>
          <w:sz w:val="20"/>
        </w:rPr>
        <w:t>According to the traditional principles of corporate criminal liability in the UK</w:t>
      </w:r>
      <w:r w:rsidR="00090B09" w:rsidRPr="006E1DA8">
        <w:rPr>
          <w:rFonts w:cs="Times New Roman"/>
          <w:kern w:val="2"/>
          <w:sz w:val="20"/>
        </w:rPr>
        <w:t>,</w:t>
      </w:r>
      <w:r w:rsidRPr="006E1DA8">
        <w:rPr>
          <w:rFonts w:cs="Times New Roman"/>
          <w:kern w:val="2"/>
          <w:sz w:val="20"/>
        </w:rPr>
        <w:t xml:space="preserve"> c</w:t>
      </w:r>
      <w:r w:rsidR="00827F7D" w:rsidRPr="006E1DA8">
        <w:rPr>
          <w:rFonts w:cs="Times New Roman"/>
          <w:kern w:val="2"/>
          <w:sz w:val="20"/>
        </w:rPr>
        <w:t xml:space="preserve">orporations, partnerships and unincorporated bodies may be held criminally liable for </w:t>
      </w:r>
      <w:r w:rsidR="006D3537" w:rsidRPr="006E1DA8">
        <w:rPr>
          <w:rFonts w:cs="Times New Roman"/>
          <w:kern w:val="2"/>
          <w:sz w:val="20"/>
        </w:rPr>
        <w:t xml:space="preserve">offences under </w:t>
      </w:r>
      <w:r w:rsidR="00827F7D" w:rsidRPr="006E1DA8">
        <w:rPr>
          <w:rFonts w:cs="Times New Roman"/>
          <w:kern w:val="2"/>
          <w:sz w:val="20"/>
        </w:rPr>
        <w:t xml:space="preserve">section 1, 2 and 6 </w:t>
      </w:r>
      <w:r w:rsidR="006D3537" w:rsidRPr="006E1DA8">
        <w:rPr>
          <w:rFonts w:cs="Times New Roman"/>
          <w:kern w:val="2"/>
          <w:sz w:val="20"/>
        </w:rPr>
        <w:t xml:space="preserve">of the </w:t>
      </w:r>
      <w:r w:rsidR="00827F7D" w:rsidRPr="006E1DA8">
        <w:rPr>
          <w:rFonts w:cs="Times New Roman"/>
          <w:i/>
          <w:iCs/>
          <w:kern w:val="2"/>
          <w:sz w:val="20"/>
        </w:rPr>
        <w:t>Bribery Act</w:t>
      </w:r>
      <w:r w:rsidR="00827F7D" w:rsidRPr="006E1DA8">
        <w:rPr>
          <w:rFonts w:cs="Times New Roman"/>
          <w:kern w:val="2"/>
          <w:sz w:val="20"/>
        </w:rPr>
        <w:t>.</w:t>
      </w:r>
      <w:r w:rsidR="00827F7D" w:rsidRPr="006E1DA8">
        <w:rPr>
          <w:rStyle w:val="FootnoteReference"/>
          <w:rFonts w:cs="Times New Roman"/>
          <w:kern w:val="2"/>
          <w:sz w:val="20"/>
        </w:rPr>
        <w:footnoteReference w:id="82"/>
      </w:r>
      <w:r w:rsidR="00827F7D" w:rsidRPr="006E1DA8">
        <w:rPr>
          <w:rFonts w:cs="Times New Roman"/>
          <w:kern w:val="2"/>
          <w:sz w:val="20"/>
        </w:rPr>
        <w:t xml:space="preserve"> Under UK law, a corporation is its own legal entity with its own legal personality. This means that the corporation, separately from the natural persons who perform the activities of the corporation, can be involved in a corrupt transaction. The corporation may be involved in corrupt transactions either as an offender or as a victim. A corporation can be convicted of common law and statutory offences, including offences which require </w:t>
      </w:r>
      <w:proofErr w:type="spellStart"/>
      <w:r w:rsidR="00827F7D" w:rsidRPr="006E1DA8">
        <w:rPr>
          <w:rFonts w:cs="Times New Roman"/>
          <w:i/>
          <w:kern w:val="2"/>
          <w:sz w:val="20"/>
        </w:rPr>
        <w:t>mens</w:t>
      </w:r>
      <w:proofErr w:type="spellEnd"/>
      <w:r w:rsidR="00827F7D" w:rsidRPr="006E1DA8">
        <w:rPr>
          <w:rFonts w:cs="Times New Roman"/>
          <w:i/>
          <w:kern w:val="2"/>
          <w:sz w:val="20"/>
        </w:rPr>
        <w:t xml:space="preserve"> rea.</w:t>
      </w:r>
      <w:r w:rsidR="00827F7D" w:rsidRPr="006E1DA8">
        <w:rPr>
          <w:rStyle w:val="FootnoteReference"/>
          <w:rFonts w:cs="Times New Roman"/>
          <w:kern w:val="2"/>
          <w:sz w:val="20"/>
        </w:rPr>
        <w:footnoteReference w:id="83"/>
      </w:r>
    </w:p>
    <w:p w14:paraId="268CE787" w14:textId="1D914598" w:rsidR="00827F7D" w:rsidRPr="006E1DA8" w:rsidRDefault="00193C3D" w:rsidP="00827F7D">
      <w:pPr>
        <w:rPr>
          <w:rFonts w:cs="Times New Roman"/>
          <w:kern w:val="2"/>
          <w:sz w:val="20"/>
        </w:rPr>
      </w:pPr>
      <w:r w:rsidRPr="006E1DA8">
        <w:rPr>
          <w:rFonts w:cs="Times New Roman"/>
          <w:kern w:val="2"/>
          <w:sz w:val="20"/>
        </w:rPr>
        <w:t>There are a few</w:t>
      </w:r>
      <w:r w:rsidR="00827F7D" w:rsidRPr="006E1DA8">
        <w:rPr>
          <w:rFonts w:cs="Times New Roman"/>
          <w:kern w:val="2"/>
          <w:sz w:val="20"/>
        </w:rPr>
        <w:t xml:space="preserve"> ways in which a corporation may be held criminally liable in the UK. If the offence is strict liability and requires no </w:t>
      </w:r>
      <w:proofErr w:type="spellStart"/>
      <w:r w:rsidR="00827F7D" w:rsidRPr="006E1DA8">
        <w:rPr>
          <w:rFonts w:cs="Times New Roman"/>
          <w:i/>
          <w:kern w:val="2"/>
          <w:sz w:val="20"/>
        </w:rPr>
        <w:t>mens</w:t>
      </w:r>
      <w:proofErr w:type="spellEnd"/>
      <w:r w:rsidR="00827F7D" w:rsidRPr="006E1DA8">
        <w:rPr>
          <w:rFonts w:cs="Times New Roman"/>
          <w:i/>
          <w:kern w:val="2"/>
          <w:sz w:val="20"/>
        </w:rPr>
        <w:t xml:space="preserve"> rea</w:t>
      </w:r>
      <w:r w:rsidR="00827F7D" w:rsidRPr="006E1DA8">
        <w:rPr>
          <w:rFonts w:cs="Times New Roman"/>
          <w:kern w:val="2"/>
          <w:sz w:val="20"/>
        </w:rPr>
        <w:t xml:space="preserve">, there is no problem attributing liability to a corporation. A corporation can also be held vicariously liable for the acts of its employees or agents in situations where a natural person would also be vicariously liable, for example, where a statute imposes vicarious liability. This means </w:t>
      </w:r>
      <w:r w:rsidR="001F01D6" w:rsidRPr="006E1DA8">
        <w:rPr>
          <w:rFonts w:cs="Times New Roman"/>
          <w:kern w:val="2"/>
          <w:sz w:val="20"/>
        </w:rPr>
        <w:t xml:space="preserve">that </w:t>
      </w:r>
      <w:r w:rsidR="00827F7D" w:rsidRPr="006E1DA8">
        <w:rPr>
          <w:rFonts w:cs="Times New Roman"/>
          <w:kern w:val="2"/>
          <w:sz w:val="20"/>
        </w:rPr>
        <w:t>the acts and state of mind of employees or agents are attributed to the corporate body.</w:t>
      </w:r>
      <w:r w:rsidR="00827F7D" w:rsidRPr="006E1DA8">
        <w:rPr>
          <w:rStyle w:val="FootnoteReference"/>
          <w:rFonts w:cs="Times New Roman"/>
          <w:kern w:val="2"/>
          <w:sz w:val="20"/>
        </w:rPr>
        <w:footnoteReference w:id="84"/>
      </w:r>
      <w:r w:rsidR="00827F7D" w:rsidRPr="006E1DA8">
        <w:rPr>
          <w:rFonts w:cs="Times New Roman"/>
          <w:kern w:val="2"/>
          <w:sz w:val="20"/>
        </w:rPr>
        <w:t xml:space="preserve"> </w:t>
      </w:r>
    </w:p>
    <w:p w14:paraId="069AEAC2" w14:textId="77777777" w:rsidR="00827F7D" w:rsidRPr="006E1DA8" w:rsidRDefault="00827F7D" w:rsidP="00827F7D">
      <w:pPr>
        <w:rPr>
          <w:rFonts w:cs="Times New Roman"/>
          <w:i/>
          <w:kern w:val="2"/>
          <w:sz w:val="20"/>
        </w:rPr>
      </w:pPr>
      <w:r w:rsidRPr="006E1DA8">
        <w:rPr>
          <w:rFonts w:cs="Times New Roman"/>
          <w:kern w:val="2"/>
          <w:sz w:val="20"/>
        </w:rPr>
        <w:t xml:space="preserve">For offences that require </w:t>
      </w:r>
      <w:proofErr w:type="spellStart"/>
      <w:r w:rsidRPr="006E1DA8">
        <w:rPr>
          <w:rFonts w:cs="Times New Roman"/>
          <w:i/>
          <w:kern w:val="2"/>
          <w:sz w:val="20"/>
        </w:rPr>
        <w:t>mens</w:t>
      </w:r>
      <w:proofErr w:type="spellEnd"/>
      <w:r w:rsidRPr="006E1DA8">
        <w:rPr>
          <w:rFonts w:cs="Times New Roman"/>
          <w:i/>
          <w:kern w:val="2"/>
          <w:sz w:val="20"/>
        </w:rPr>
        <w:t xml:space="preserve"> rea </w:t>
      </w:r>
      <w:r w:rsidRPr="006E1DA8">
        <w:rPr>
          <w:rFonts w:cs="Times New Roman"/>
          <w:kern w:val="2"/>
          <w:sz w:val="20"/>
        </w:rPr>
        <w:t xml:space="preserve">and do not allow vicarious liability, corporate liability depends on the identification principle. If the offence is committed by an officer who is senior enough to be part of the directing mind and will of the company, and if the offence was committed within the scope of the offender’s authority as a corporate officer, the offender’s acts and state of mind will be deemed those of the company itself. The corporation can be convicted of an offence without a natural person being prosecuted for that offence. The identification principle is used to determine corporate liability for offences under sections 1, 2 and 6 of the </w:t>
      </w:r>
      <w:r w:rsidRPr="006E1DA8">
        <w:rPr>
          <w:rFonts w:cs="Times New Roman"/>
          <w:i/>
          <w:kern w:val="2"/>
          <w:sz w:val="20"/>
        </w:rPr>
        <w:t>Bribery Act</w:t>
      </w:r>
      <w:r w:rsidRPr="006E1DA8">
        <w:rPr>
          <w:rFonts w:cs="Times New Roman"/>
          <w:kern w:val="2"/>
          <w:sz w:val="20"/>
        </w:rPr>
        <w:t xml:space="preserve"> as well as the false accounting offences under the </w:t>
      </w:r>
      <w:r w:rsidRPr="006E1DA8">
        <w:rPr>
          <w:rFonts w:cs="Times New Roman"/>
          <w:i/>
          <w:kern w:val="2"/>
          <w:sz w:val="20"/>
        </w:rPr>
        <w:t>Theft Act.</w:t>
      </w:r>
    </w:p>
    <w:p w14:paraId="4E7EAA27" w14:textId="520FDE71" w:rsidR="00827F7D" w:rsidRPr="006E1DA8" w:rsidRDefault="00827F7D" w:rsidP="00827F7D">
      <w:pPr>
        <w:rPr>
          <w:rFonts w:cs="Times New Roman"/>
          <w:kern w:val="2"/>
          <w:sz w:val="20"/>
        </w:rPr>
      </w:pPr>
      <w:r w:rsidRPr="006E1DA8">
        <w:rPr>
          <w:rFonts w:cs="Times New Roman"/>
          <w:kern w:val="2"/>
          <w:sz w:val="20"/>
        </w:rPr>
        <w:t xml:space="preserve">Because of the need </w:t>
      </w:r>
      <w:r w:rsidR="005551A5" w:rsidRPr="006E1DA8">
        <w:rPr>
          <w:rFonts w:cs="Times New Roman"/>
          <w:kern w:val="2"/>
          <w:sz w:val="20"/>
        </w:rPr>
        <w:t>to find subjective fault (</w:t>
      </w:r>
      <w:proofErr w:type="spellStart"/>
      <w:r w:rsidR="005551A5" w:rsidRPr="006E1DA8">
        <w:rPr>
          <w:rFonts w:cs="Times New Roman"/>
          <w:i/>
          <w:kern w:val="2"/>
          <w:sz w:val="20"/>
        </w:rPr>
        <w:t>mens</w:t>
      </w:r>
      <w:proofErr w:type="spellEnd"/>
      <w:r w:rsidR="005551A5" w:rsidRPr="006E1DA8">
        <w:rPr>
          <w:rFonts w:cs="Times New Roman"/>
          <w:i/>
          <w:kern w:val="2"/>
          <w:sz w:val="20"/>
        </w:rPr>
        <w:t xml:space="preserve"> rea</w:t>
      </w:r>
      <w:r w:rsidR="005551A5" w:rsidRPr="006E1DA8">
        <w:rPr>
          <w:rFonts w:cs="Times New Roman"/>
          <w:kern w:val="2"/>
          <w:sz w:val="20"/>
        </w:rPr>
        <w:t xml:space="preserve">) in one of the company’s </w:t>
      </w:r>
      <w:r w:rsidRPr="006E1DA8">
        <w:rPr>
          <w:rFonts w:cs="Times New Roman"/>
          <w:kern w:val="2"/>
          <w:sz w:val="20"/>
        </w:rPr>
        <w:t>directing mind</w:t>
      </w:r>
      <w:r w:rsidR="00061CFA" w:rsidRPr="006E1DA8">
        <w:rPr>
          <w:rFonts w:cs="Times New Roman"/>
          <w:kern w:val="2"/>
          <w:sz w:val="20"/>
        </w:rPr>
        <w:t>s</w:t>
      </w:r>
      <w:r w:rsidRPr="006E1DA8">
        <w:rPr>
          <w:rFonts w:cs="Times New Roman"/>
          <w:kern w:val="2"/>
          <w:sz w:val="20"/>
        </w:rPr>
        <w:t>, the identification doctrine is often ineffective in establishing corporate liability. Firstly, identifying the directing mind</w:t>
      </w:r>
      <w:r w:rsidR="00061CFA" w:rsidRPr="006E1DA8">
        <w:rPr>
          <w:rFonts w:cs="Times New Roman"/>
          <w:kern w:val="2"/>
          <w:sz w:val="20"/>
        </w:rPr>
        <w:t>s</w:t>
      </w:r>
      <w:r w:rsidRPr="006E1DA8">
        <w:rPr>
          <w:rFonts w:cs="Times New Roman"/>
          <w:kern w:val="2"/>
          <w:sz w:val="20"/>
        </w:rPr>
        <w:t xml:space="preserve"> of a large multinational corporation can be a challenge. Even when the directing mind</w:t>
      </w:r>
      <w:r w:rsidR="00061CFA" w:rsidRPr="006E1DA8">
        <w:rPr>
          <w:rFonts w:cs="Times New Roman"/>
          <w:kern w:val="2"/>
          <w:sz w:val="20"/>
        </w:rPr>
        <w:t>s</w:t>
      </w:r>
      <w:r w:rsidRPr="006E1DA8">
        <w:rPr>
          <w:rFonts w:cs="Times New Roman"/>
          <w:kern w:val="2"/>
          <w:sz w:val="20"/>
        </w:rPr>
        <w:t xml:space="preserve"> can be identified, attributing fault to senior officers presents difficulties. Ashworth explains that the doctrine </w:t>
      </w:r>
      <w:r w:rsidR="00321984" w:rsidRPr="006E1DA8">
        <w:rPr>
          <w:rFonts w:cs="Times New Roman"/>
          <w:kern w:val="2"/>
          <w:sz w:val="20"/>
        </w:rPr>
        <w:t>“</w:t>
      </w:r>
      <w:r w:rsidRPr="006E1DA8">
        <w:rPr>
          <w:rFonts w:cs="Times New Roman"/>
          <w:kern w:val="2"/>
          <w:sz w:val="20"/>
        </w:rPr>
        <w:t>allows large companies to disassociate themselves from the conduct of their local managers, and thus to avoid criminal liability. Moreover, where a large national or multi-national company is prosecuted, the identification principle requires the prosecution to establish that one of the directors or top managers had the required knowledge or culpability. Managers at such a high level tend to</w:t>
      </w:r>
      <w:r w:rsidRPr="006E1DA8" w:rsidDel="009777B1">
        <w:rPr>
          <w:rFonts w:cs="Times New Roman"/>
          <w:kern w:val="2"/>
          <w:sz w:val="20"/>
        </w:rPr>
        <w:t xml:space="preserve"> </w:t>
      </w:r>
      <w:r w:rsidRPr="006E1DA8">
        <w:rPr>
          <w:rFonts w:cs="Times New Roman"/>
          <w:kern w:val="2"/>
          <w:sz w:val="20"/>
        </w:rPr>
        <w:t>focus on broader policy issues, not working practices.</w:t>
      </w:r>
      <w:r w:rsidR="00321984" w:rsidRPr="006E1DA8">
        <w:rPr>
          <w:rFonts w:cs="Times New Roman"/>
          <w:kern w:val="2"/>
          <w:sz w:val="20"/>
        </w:rPr>
        <w:t>”</w:t>
      </w:r>
      <w:r w:rsidRPr="006E1DA8">
        <w:rPr>
          <w:rStyle w:val="FootnoteReference"/>
          <w:rFonts w:cs="Times New Roman"/>
          <w:kern w:val="2"/>
          <w:sz w:val="20"/>
        </w:rPr>
        <w:footnoteReference w:id="85"/>
      </w:r>
      <w:r w:rsidRPr="006E1DA8">
        <w:rPr>
          <w:rFonts w:cs="Times New Roman"/>
          <w:kern w:val="2"/>
          <w:sz w:val="20"/>
        </w:rPr>
        <w:t xml:space="preserve"> As a result, in cases of bribery committed by a foreign agent in a foreign country to secure business for a company, it can be very difficult to prove that a senior officer of that company was the directing mind behind the bribery offence. The identification doctrine also fails to establish liability for corporate culture, which can develop independently from senior officers at the highest levels. Further, English law does not allow aggregation of the states of mind of more than one person in the corporation in order to satisfy </w:t>
      </w:r>
      <w:proofErr w:type="spellStart"/>
      <w:r w:rsidRPr="006E1DA8">
        <w:rPr>
          <w:rFonts w:cs="Times New Roman"/>
          <w:i/>
          <w:kern w:val="2"/>
          <w:sz w:val="20"/>
        </w:rPr>
        <w:t>mens</w:t>
      </w:r>
      <w:proofErr w:type="spellEnd"/>
      <w:r w:rsidRPr="006E1DA8">
        <w:rPr>
          <w:rFonts w:cs="Times New Roman"/>
          <w:i/>
          <w:kern w:val="2"/>
          <w:sz w:val="20"/>
        </w:rPr>
        <w:t xml:space="preserve"> rea </w:t>
      </w:r>
      <w:r w:rsidRPr="006E1DA8">
        <w:rPr>
          <w:rFonts w:cs="Times New Roman"/>
          <w:kern w:val="2"/>
          <w:sz w:val="20"/>
        </w:rPr>
        <w:t>requirements. Thus, historically it was very difficult for corporations to be convicted of bribery offences.</w:t>
      </w:r>
      <w:r w:rsidR="0064047D" w:rsidRPr="006E1DA8">
        <w:rPr>
          <w:rFonts w:cs="Times New Roman"/>
          <w:kern w:val="2"/>
          <w:sz w:val="20"/>
        </w:rPr>
        <w:t xml:space="preserve"> Indeed, </w:t>
      </w:r>
      <w:proofErr w:type="spellStart"/>
      <w:r w:rsidR="0064047D" w:rsidRPr="006E1DA8">
        <w:rPr>
          <w:rFonts w:cs="Times New Roman"/>
          <w:kern w:val="2"/>
          <w:sz w:val="20"/>
        </w:rPr>
        <w:t>Maton</w:t>
      </w:r>
      <w:proofErr w:type="spellEnd"/>
      <w:r w:rsidR="0064047D" w:rsidRPr="006E1DA8">
        <w:rPr>
          <w:rFonts w:cs="Times New Roman"/>
          <w:kern w:val="2"/>
          <w:sz w:val="20"/>
        </w:rPr>
        <w:t xml:space="preserve"> says </w:t>
      </w:r>
      <w:r w:rsidR="00321984" w:rsidRPr="006E1DA8">
        <w:rPr>
          <w:rFonts w:cs="Times New Roman"/>
          <w:kern w:val="2"/>
          <w:sz w:val="20"/>
        </w:rPr>
        <w:t>“</w:t>
      </w:r>
      <w:r w:rsidR="0064047D" w:rsidRPr="006E1DA8">
        <w:rPr>
          <w:rFonts w:cs="Times New Roman"/>
          <w:kern w:val="2"/>
          <w:sz w:val="20"/>
        </w:rPr>
        <w:t>there has never been a successful prosecution in England of a company for bribery.</w:t>
      </w:r>
      <w:r w:rsidR="00321984" w:rsidRPr="006E1DA8">
        <w:rPr>
          <w:rFonts w:cs="Times New Roman"/>
          <w:kern w:val="2"/>
          <w:sz w:val="20"/>
        </w:rPr>
        <w:t>”</w:t>
      </w:r>
      <w:r w:rsidR="0064047D" w:rsidRPr="006E1DA8">
        <w:rPr>
          <w:rStyle w:val="FootnoteReference"/>
          <w:rFonts w:cs="Times New Roman"/>
          <w:kern w:val="2"/>
          <w:sz w:val="20"/>
        </w:rPr>
        <w:footnoteReference w:id="86"/>
      </w:r>
    </w:p>
    <w:p w14:paraId="77C264A1" w14:textId="74D9472C" w:rsidR="002216C7" w:rsidRPr="006E1DA8" w:rsidRDefault="00827F7D" w:rsidP="007E3524">
      <w:pPr>
        <w:rPr>
          <w:rFonts w:cs="Times New Roman"/>
          <w:kern w:val="2"/>
          <w:sz w:val="20"/>
        </w:rPr>
      </w:pPr>
      <w:r w:rsidRPr="006E1DA8">
        <w:rPr>
          <w:rFonts w:cs="Times New Roman"/>
          <w:kern w:val="2"/>
          <w:sz w:val="20"/>
        </w:rPr>
        <w:t>The difficulty of attributing liability to corporations, especially large multinational corporations, prompted criticism in Phase 1 and Phase 2 Evaluations of the UK by the OECD Working Group. The UK has addressed the difficulties of the identification doctrine by creating offences that impose a duty on companies, for example</w:t>
      </w:r>
      <w:r w:rsidR="00E9090D" w:rsidRPr="006E1DA8">
        <w:rPr>
          <w:rFonts w:cs="Times New Roman"/>
          <w:kern w:val="2"/>
          <w:sz w:val="20"/>
        </w:rPr>
        <w:t>,</w:t>
      </w:r>
      <w:r w:rsidRPr="006E1DA8">
        <w:rPr>
          <w:rFonts w:cs="Times New Roman"/>
          <w:kern w:val="2"/>
          <w:sz w:val="20"/>
        </w:rPr>
        <w:t xml:space="preserve"> in the </w:t>
      </w:r>
      <w:r w:rsidRPr="006E1DA8">
        <w:rPr>
          <w:rFonts w:cs="Times New Roman"/>
          <w:i/>
          <w:kern w:val="2"/>
          <w:sz w:val="20"/>
        </w:rPr>
        <w:t>Corporate Manslaughter and Corporate Homicide Act</w:t>
      </w:r>
      <w:r w:rsidRPr="006E1DA8">
        <w:rPr>
          <w:rFonts w:cs="Times New Roman"/>
          <w:kern w:val="2"/>
          <w:sz w:val="20"/>
        </w:rPr>
        <w:t xml:space="preserve"> </w:t>
      </w:r>
      <w:r w:rsidR="00061CFA" w:rsidRPr="006E1DA8">
        <w:rPr>
          <w:rFonts w:cs="Times New Roman"/>
          <w:kern w:val="2"/>
          <w:sz w:val="20"/>
        </w:rPr>
        <w:t>of</w:t>
      </w:r>
      <w:r w:rsidRPr="006E1DA8">
        <w:rPr>
          <w:rFonts w:cs="Times New Roman"/>
          <w:kern w:val="2"/>
          <w:sz w:val="20"/>
        </w:rPr>
        <w:t xml:space="preserve"> 2007. The imposition of a corporate duty bypasses the difficulty of establishing culpability on the part of a controlling mind in the company. Section 7 of the </w:t>
      </w:r>
      <w:r w:rsidRPr="006E1DA8">
        <w:rPr>
          <w:rFonts w:cs="Times New Roman"/>
          <w:i/>
          <w:kern w:val="2"/>
          <w:sz w:val="20"/>
        </w:rPr>
        <w:t xml:space="preserve">Bribery Act </w:t>
      </w:r>
      <w:r w:rsidRPr="006E1DA8">
        <w:rPr>
          <w:rFonts w:cs="Times New Roman"/>
          <w:kern w:val="2"/>
          <w:sz w:val="20"/>
        </w:rPr>
        <w:t xml:space="preserve">is another example of this form of corporate liability. </w:t>
      </w:r>
    </w:p>
    <w:p w14:paraId="5DE304DC" w14:textId="77777777" w:rsidR="00827F7D" w:rsidRPr="006E1DA8" w:rsidRDefault="00827F7D" w:rsidP="00E05852">
      <w:pPr>
        <w:pStyle w:val="Heading3"/>
        <w:rPr>
          <w:kern w:val="2"/>
          <w:sz w:val="22"/>
        </w:rPr>
      </w:pPr>
      <w:r w:rsidRPr="006E1DA8">
        <w:rPr>
          <w:i/>
          <w:kern w:val="2"/>
          <w:sz w:val="22"/>
        </w:rPr>
        <w:t>Bribery Act</w:t>
      </w:r>
      <w:r w:rsidRPr="006E1DA8">
        <w:rPr>
          <w:kern w:val="2"/>
          <w:sz w:val="22"/>
        </w:rPr>
        <w:t xml:space="preserve"> Section 7</w:t>
      </w:r>
    </w:p>
    <w:p w14:paraId="693E44A3" w14:textId="6CE3CC85" w:rsidR="00827F7D" w:rsidRPr="006E1DA8" w:rsidRDefault="00827F7D" w:rsidP="00827F7D">
      <w:pPr>
        <w:rPr>
          <w:rFonts w:cs="Times New Roman"/>
          <w:kern w:val="2"/>
          <w:sz w:val="20"/>
        </w:rPr>
      </w:pPr>
      <w:r w:rsidRPr="006E1DA8">
        <w:rPr>
          <w:rFonts w:cs="Times New Roman"/>
          <w:kern w:val="2"/>
          <w:sz w:val="20"/>
        </w:rPr>
        <w:t xml:space="preserve">Section 7 creates a new strict liability offence of failure of a commercial organization to prevent bribery. It is triggered when a person associated with a </w:t>
      </w:r>
      <w:r w:rsidR="00321984" w:rsidRPr="006E1DA8">
        <w:rPr>
          <w:rFonts w:cs="Times New Roman"/>
          <w:kern w:val="2"/>
          <w:sz w:val="20"/>
        </w:rPr>
        <w:t>“</w:t>
      </w:r>
      <w:r w:rsidRPr="006E1DA8">
        <w:rPr>
          <w:rFonts w:cs="Times New Roman"/>
          <w:kern w:val="2"/>
          <w:sz w:val="20"/>
        </w:rPr>
        <w:t>relevant commercial organization</w:t>
      </w:r>
      <w:r w:rsidR="00321984" w:rsidRPr="006E1DA8">
        <w:rPr>
          <w:rFonts w:cs="Times New Roman"/>
          <w:kern w:val="2"/>
          <w:sz w:val="20"/>
        </w:rPr>
        <w:t>”</w:t>
      </w:r>
      <w:r w:rsidRPr="006E1DA8">
        <w:rPr>
          <w:rFonts w:cs="Times New Roman"/>
          <w:kern w:val="2"/>
          <w:sz w:val="20"/>
        </w:rPr>
        <w:t xml:space="preserve"> (bodies corporate or partnerships) bribes another person for the benefit of the commercial organization. A conviction under section 7 does not require a conviction for a section 1, 2 or 6 offence, but there must be sufficient evidence that the act of bribery did occur. </w:t>
      </w:r>
    </w:p>
    <w:p w14:paraId="14DBFD74" w14:textId="77777777" w:rsidR="00827F7D" w:rsidRPr="006E1DA8" w:rsidRDefault="00827F7D" w:rsidP="00827F7D">
      <w:pPr>
        <w:rPr>
          <w:rFonts w:cs="Times New Roman"/>
          <w:kern w:val="2"/>
          <w:sz w:val="20"/>
        </w:rPr>
      </w:pPr>
      <w:r w:rsidRPr="006E1DA8">
        <w:rPr>
          <w:rFonts w:cs="Times New Roman"/>
          <w:kern w:val="2"/>
          <w:sz w:val="20"/>
        </w:rPr>
        <w:t>A codified defence to the charge exists. The organization is exonerated if it can prove, on a balance of probabilities, that notwithstanding the actions of the associated person, it had adequate procedures in place to prevent such persons from engaging in bribery.</w:t>
      </w:r>
    </w:p>
    <w:p w14:paraId="7D253D5D" w14:textId="77777777" w:rsidR="00827F7D" w:rsidRPr="006E1DA8" w:rsidRDefault="00827F7D" w:rsidP="00827F7D">
      <w:pPr>
        <w:rPr>
          <w:rFonts w:cs="Times New Roman"/>
          <w:kern w:val="2"/>
          <w:sz w:val="20"/>
        </w:rPr>
      </w:pPr>
      <w:r w:rsidRPr="006E1DA8">
        <w:rPr>
          <w:rFonts w:cs="Times New Roman"/>
          <w:kern w:val="2"/>
          <w:sz w:val="20"/>
        </w:rPr>
        <w:t xml:space="preserve">Section 7 defines the scope of this new offence in the following words: </w:t>
      </w:r>
    </w:p>
    <w:p w14:paraId="36C9D2F0" w14:textId="45E11B4C" w:rsidR="00827F7D" w:rsidRPr="006E1DA8" w:rsidRDefault="00827F7D" w:rsidP="009D3B31">
      <w:pPr>
        <w:pStyle w:val="BlockQuote"/>
        <w:numPr>
          <w:ilvl w:val="0"/>
          <w:numId w:val="30"/>
        </w:numPr>
        <w:jc w:val="left"/>
        <w:rPr>
          <w:kern w:val="2"/>
          <w:sz w:val="20"/>
        </w:rPr>
      </w:pPr>
      <w:r w:rsidRPr="006E1DA8">
        <w:rPr>
          <w:kern w:val="2"/>
          <w:sz w:val="20"/>
        </w:rPr>
        <w:t>A relevant commercial organisation (</w:t>
      </w:r>
      <w:r w:rsidR="00321984" w:rsidRPr="006E1DA8">
        <w:rPr>
          <w:kern w:val="2"/>
          <w:sz w:val="20"/>
        </w:rPr>
        <w:t>“</w:t>
      </w:r>
      <w:r w:rsidRPr="006E1DA8">
        <w:rPr>
          <w:kern w:val="2"/>
          <w:sz w:val="20"/>
        </w:rPr>
        <w:t>C</w:t>
      </w:r>
      <w:r w:rsidR="00321984" w:rsidRPr="006E1DA8">
        <w:rPr>
          <w:kern w:val="2"/>
          <w:sz w:val="20"/>
        </w:rPr>
        <w:t>”</w:t>
      </w:r>
      <w:r w:rsidRPr="006E1DA8">
        <w:rPr>
          <w:kern w:val="2"/>
          <w:sz w:val="20"/>
        </w:rPr>
        <w:t>) is guilty of an offence under this section if a person (</w:t>
      </w:r>
      <w:r w:rsidR="00321984" w:rsidRPr="006E1DA8">
        <w:rPr>
          <w:kern w:val="2"/>
          <w:sz w:val="20"/>
        </w:rPr>
        <w:t>“</w:t>
      </w:r>
      <w:r w:rsidRPr="006E1DA8">
        <w:rPr>
          <w:kern w:val="2"/>
          <w:sz w:val="20"/>
        </w:rPr>
        <w:t>A</w:t>
      </w:r>
      <w:r w:rsidR="00321984" w:rsidRPr="006E1DA8">
        <w:rPr>
          <w:kern w:val="2"/>
          <w:sz w:val="20"/>
        </w:rPr>
        <w:t>”</w:t>
      </w:r>
      <w:r w:rsidRPr="006E1DA8">
        <w:rPr>
          <w:kern w:val="2"/>
          <w:sz w:val="20"/>
        </w:rPr>
        <w:t xml:space="preserve">) associated with C bribes another person intending— </w:t>
      </w:r>
    </w:p>
    <w:p w14:paraId="77AE05F8" w14:textId="237227AD" w:rsidR="00827F7D" w:rsidRPr="006E1DA8" w:rsidRDefault="00827F7D" w:rsidP="009D3B31">
      <w:pPr>
        <w:pStyle w:val="BlockQuote"/>
        <w:numPr>
          <w:ilvl w:val="0"/>
          <w:numId w:val="31"/>
        </w:numPr>
        <w:spacing w:before="60" w:after="0"/>
        <w:jc w:val="left"/>
        <w:rPr>
          <w:kern w:val="2"/>
          <w:sz w:val="20"/>
        </w:rPr>
      </w:pPr>
      <w:r w:rsidRPr="006E1DA8">
        <w:rPr>
          <w:kern w:val="2"/>
          <w:sz w:val="20"/>
        </w:rPr>
        <w:t xml:space="preserve">to obtain or retain business for C, or </w:t>
      </w:r>
    </w:p>
    <w:p w14:paraId="6A27F18E" w14:textId="4916BA5D" w:rsidR="00827F7D" w:rsidRPr="006E1DA8" w:rsidRDefault="00827F7D" w:rsidP="009D3B31">
      <w:pPr>
        <w:pStyle w:val="BlockQuote"/>
        <w:numPr>
          <w:ilvl w:val="0"/>
          <w:numId w:val="31"/>
        </w:numPr>
        <w:spacing w:before="60" w:after="0"/>
        <w:jc w:val="left"/>
        <w:rPr>
          <w:kern w:val="2"/>
          <w:sz w:val="20"/>
        </w:rPr>
      </w:pPr>
      <w:r w:rsidRPr="006E1DA8">
        <w:rPr>
          <w:kern w:val="2"/>
          <w:sz w:val="20"/>
        </w:rPr>
        <w:t>to obtain or retain an advantage in the conduct of business for C.</w:t>
      </w:r>
      <w:r w:rsidRPr="006E1DA8">
        <w:rPr>
          <w:rStyle w:val="FootnoteReference"/>
          <w:rFonts w:cs="Times New Roman"/>
          <w:kern w:val="2"/>
          <w:sz w:val="20"/>
          <w:szCs w:val="21"/>
        </w:rPr>
        <w:footnoteReference w:id="87"/>
      </w:r>
      <w:r w:rsidRPr="006E1DA8">
        <w:rPr>
          <w:kern w:val="2"/>
          <w:sz w:val="20"/>
        </w:rPr>
        <w:t xml:space="preserve">  </w:t>
      </w:r>
    </w:p>
    <w:p w14:paraId="2DB511A2" w14:textId="66D30C27" w:rsidR="00827F7D" w:rsidRPr="006E1DA8" w:rsidRDefault="00827F7D" w:rsidP="00827F7D">
      <w:pPr>
        <w:rPr>
          <w:rFonts w:cs="Times New Roman"/>
          <w:kern w:val="2"/>
          <w:sz w:val="20"/>
        </w:rPr>
      </w:pPr>
      <w:r w:rsidRPr="006E1DA8">
        <w:rPr>
          <w:rFonts w:cs="Times New Roman"/>
          <w:kern w:val="2"/>
          <w:sz w:val="20"/>
        </w:rPr>
        <w:t>Under section 7, a commercial organization may be found guilty of an offence if anyone associated with the company’s business participates in bribery, unless the organization has adequate procedures in place to prevent the bribery. The offence can be made out even if the controlling minds of the organization were completely</w:t>
      </w:r>
      <w:r w:rsidR="00EA0618" w:rsidRPr="006E1DA8">
        <w:rPr>
          <w:rFonts w:cs="Times New Roman"/>
          <w:kern w:val="2"/>
          <w:sz w:val="20"/>
        </w:rPr>
        <w:t xml:space="preserve"> unaware of the bribery. To be </w:t>
      </w:r>
      <w:r w:rsidR="00321984" w:rsidRPr="006E1DA8">
        <w:rPr>
          <w:rFonts w:cs="Times New Roman"/>
          <w:kern w:val="2"/>
          <w:sz w:val="20"/>
        </w:rPr>
        <w:t>“</w:t>
      </w:r>
      <w:r w:rsidR="00EA0618" w:rsidRPr="006E1DA8">
        <w:rPr>
          <w:rFonts w:cs="Times New Roman"/>
          <w:kern w:val="2"/>
          <w:sz w:val="20"/>
        </w:rPr>
        <w:t>associated</w:t>
      </w:r>
      <w:r w:rsidR="00321984" w:rsidRPr="006E1DA8">
        <w:rPr>
          <w:rFonts w:cs="Times New Roman"/>
          <w:kern w:val="2"/>
          <w:sz w:val="20"/>
        </w:rPr>
        <w:t>”</w:t>
      </w:r>
      <w:r w:rsidRPr="006E1DA8">
        <w:rPr>
          <w:rFonts w:cs="Times New Roman"/>
          <w:kern w:val="2"/>
          <w:sz w:val="20"/>
        </w:rPr>
        <w:t xml:space="preserve"> with the organization, person A must be a </w:t>
      </w:r>
      <w:r w:rsidR="00321984" w:rsidRPr="006E1DA8">
        <w:rPr>
          <w:rFonts w:cs="Times New Roman"/>
          <w:kern w:val="2"/>
          <w:sz w:val="20"/>
        </w:rPr>
        <w:t>“</w:t>
      </w:r>
      <w:r w:rsidRPr="006E1DA8">
        <w:rPr>
          <w:rFonts w:cs="Times New Roman"/>
          <w:kern w:val="2"/>
          <w:sz w:val="20"/>
        </w:rPr>
        <w:t>person who performs services for or on behalf of</w:t>
      </w:r>
      <w:r w:rsidR="00321984" w:rsidRPr="006E1DA8">
        <w:rPr>
          <w:rFonts w:cs="Times New Roman"/>
          <w:kern w:val="2"/>
          <w:sz w:val="20"/>
        </w:rPr>
        <w:t>”</w:t>
      </w:r>
      <w:r w:rsidRPr="006E1DA8">
        <w:rPr>
          <w:rFonts w:cs="Times New Roman"/>
          <w:kern w:val="2"/>
          <w:sz w:val="20"/>
        </w:rPr>
        <w:t xml:space="preserve"> the organization. The capacity in which he or she performs these services does not matter; for example, person A may be an employee, agent or subsidiary, and there need not be a formal contract or in fact any degree of control. Person A does not need to have a close connection with the UK and may be an individual, a body corporate or a partnership. If person A is a subsidiary, the parent company will only be liable if the subsidiary acts in the parent’s interest. If the subsidiary bribes in its own interests, the parent will not be liable, even if the subsidiary is wholly owned by that parent.</w:t>
      </w:r>
      <w:r w:rsidRPr="006E1DA8">
        <w:rPr>
          <w:rStyle w:val="FootnoteReference"/>
          <w:rFonts w:cs="Times New Roman"/>
          <w:kern w:val="2"/>
          <w:sz w:val="20"/>
        </w:rPr>
        <w:footnoteReference w:id="88"/>
      </w:r>
      <w:r w:rsidRPr="006E1DA8">
        <w:rPr>
          <w:rFonts w:cs="Times New Roman"/>
          <w:kern w:val="2"/>
          <w:sz w:val="20"/>
        </w:rPr>
        <w:t xml:space="preserve"> </w:t>
      </w:r>
    </w:p>
    <w:p w14:paraId="3632FDFB" w14:textId="03B1B632" w:rsidR="00827F7D" w:rsidRPr="006E1DA8" w:rsidRDefault="00827F7D" w:rsidP="00827F7D">
      <w:pPr>
        <w:rPr>
          <w:rFonts w:cs="Times New Roman"/>
          <w:kern w:val="2"/>
          <w:sz w:val="20"/>
        </w:rPr>
      </w:pPr>
      <w:r w:rsidRPr="006E1DA8">
        <w:rPr>
          <w:rFonts w:cs="Times New Roman"/>
          <w:kern w:val="2"/>
          <w:sz w:val="20"/>
        </w:rPr>
        <w:t>The phrase</w:t>
      </w:r>
      <w:r w:rsidR="00EA0618" w:rsidRPr="006E1DA8">
        <w:rPr>
          <w:rFonts w:cs="Times New Roman"/>
          <w:kern w:val="2"/>
          <w:sz w:val="20"/>
        </w:rPr>
        <w:t xml:space="preserve"> </w:t>
      </w:r>
      <w:r w:rsidR="00321984" w:rsidRPr="006E1DA8">
        <w:rPr>
          <w:rFonts w:cs="Times New Roman"/>
          <w:kern w:val="2"/>
          <w:sz w:val="20"/>
        </w:rPr>
        <w:t>“</w:t>
      </w:r>
      <w:r w:rsidR="00EA0618" w:rsidRPr="006E1DA8">
        <w:rPr>
          <w:rFonts w:cs="Times New Roman"/>
          <w:kern w:val="2"/>
          <w:sz w:val="20"/>
        </w:rPr>
        <w:t>bribes another person</w:t>
      </w:r>
      <w:r w:rsidR="00321984" w:rsidRPr="006E1DA8">
        <w:rPr>
          <w:rFonts w:cs="Times New Roman"/>
          <w:kern w:val="2"/>
          <w:sz w:val="20"/>
        </w:rPr>
        <w:t>”</w:t>
      </w:r>
      <w:r w:rsidRPr="006E1DA8">
        <w:rPr>
          <w:rFonts w:cs="Times New Roman"/>
          <w:kern w:val="2"/>
          <w:sz w:val="20"/>
        </w:rPr>
        <w:t xml:space="preserve"> means that person A is or would be guilty of an offence under sections 1 or 6, whether prosecuted or not, or would be guilty of such an offence if section 12(2</w:t>
      </w:r>
      <w:proofErr w:type="gramStart"/>
      <w:r w:rsidRPr="006E1DA8">
        <w:rPr>
          <w:rFonts w:cs="Times New Roman"/>
          <w:kern w:val="2"/>
          <w:sz w:val="20"/>
        </w:rPr>
        <w:t>)(</w:t>
      </w:r>
      <w:proofErr w:type="gramEnd"/>
      <w:r w:rsidRPr="006E1DA8">
        <w:rPr>
          <w:rFonts w:cs="Times New Roman"/>
          <w:kern w:val="2"/>
          <w:sz w:val="20"/>
        </w:rPr>
        <w:t>c) and (4) dealing with jurisdiction to prosecute were omitted.</w:t>
      </w:r>
      <w:r w:rsidRPr="006E1DA8">
        <w:rPr>
          <w:rStyle w:val="FootnoteReference"/>
          <w:rFonts w:cs="Times New Roman"/>
          <w:kern w:val="2"/>
          <w:sz w:val="20"/>
        </w:rPr>
        <w:footnoteReference w:id="89"/>
      </w:r>
      <w:r w:rsidRPr="006E1DA8">
        <w:rPr>
          <w:rFonts w:cs="Times New Roman"/>
          <w:kern w:val="2"/>
          <w:sz w:val="20"/>
        </w:rPr>
        <w:t xml:space="preserve"> Furthermore, the person will be deemed to have committed the offence if his or her conduct amounted to aiding, abetting, counselling or procuring the offence.</w:t>
      </w:r>
      <w:r w:rsidRPr="006E1DA8">
        <w:rPr>
          <w:rStyle w:val="FootnoteReference"/>
          <w:rFonts w:cs="Times New Roman"/>
          <w:kern w:val="2"/>
          <w:sz w:val="20"/>
        </w:rPr>
        <w:footnoteReference w:id="90"/>
      </w:r>
      <w:r w:rsidRPr="006E1DA8">
        <w:rPr>
          <w:rFonts w:cs="Times New Roman"/>
          <w:kern w:val="2"/>
          <w:sz w:val="20"/>
        </w:rPr>
        <w:t xml:space="preserve"> </w:t>
      </w:r>
    </w:p>
    <w:p w14:paraId="6C41017E" w14:textId="0432CA4F" w:rsidR="00827F7D" w:rsidRPr="006E1DA8" w:rsidRDefault="00827F7D" w:rsidP="00827F7D">
      <w:pPr>
        <w:rPr>
          <w:rFonts w:cs="Times New Roman"/>
          <w:kern w:val="2"/>
          <w:sz w:val="20"/>
        </w:rPr>
      </w:pPr>
      <w:r w:rsidRPr="006E1DA8">
        <w:rPr>
          <w:rFonts w:cs="Times New Roman"/>
          <w:kern w:val="2"/>
          <w:sz w:val="20"/>
        </w:rPr>
        <w:t xml:space="preserve">Section 7 applies to </w:t>
      </w:r>
      <w:r w:rsidR="00321984" w:rsidRPr="006E1DA8">
        <w:rPr>
          <w:rFonts w:cs="Times New Roman"/>
          <w:kern w:val="2"/>
          <w:sz w:val="20"/>
        </w:rPr>
        <w:t>“</w:t>
      </w:r>
      <w:r w:rsidRPr="006E1DA8">
        <w:rPr>
          <w:rFonts w:cs="Times New Roman"/>
          <w:kern w:val="2"/>
          <w:sz w:val="20"/>
        </w:rPr>
        <w:t>relevant commercial organisations</w:t>
      </w:r>
      <w:r w:rsidR="00656953"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that is, companies incorporated in the UK or partnerships formed in the UK, as well as to bodies corporate and partnerships incorporated or formed anywhere and carrying on a business or part of a business in the UK. As Gentle </w:t>
      </w:r>
      <w:r w:rsidR="00EA0618" w:rsidRPr="006E1DA8">
        <w:rPr>
          <w:rFonts w:cs="Times New Roman"/>
          <w:kern w:val="2"/>
          <w:sz w:val="20"/>
        </w:rPr>
        <w:t xml:space="preserve">notes, the careful drafting of </w:t>
      </w:r>
      <w:r w:rsidR="00321984" w:rsidRPr="006E1DA8">
        <w:rPr>
          <w:rFonts w:cs="Times New Roman"/>
          <w:kern w:val="2"/>
          <w:sz w:val="20"/>
        </w:rPr>
        <w:t>“</w:t>
      </w:r>
      <w:r w:rsidR="00EA0618" w:rsidRPr="006E1DA8">
        <w:rPr>
          <w:rFonts w:cs="Times New Roman"/>
          <w:kern w:val="2"/>
          <w:sz w:val="20"/>
        </w:rPr>
        <w:t>carries on a business</w:t>
      </w:r>
      <w:r w:rsidR="009649F1" w:rsidRPr="006E1DA8">
        <w:rPr>
          <w:rFonts w:cs="Times New Roman"/>
          <w:kern w:val="2"/>
          <w:sz w:val="20"/>
        </w:rPr>
        <w:t>,</w:t>
      </w:r>
      <w:r w:rsidR="00321984" w:rsidRPr="006E1DA8">
        <w:rPr>
          <w:rFonts w:cs="Times New Roman"/>
          <w:kern w:val="2"/>
          <w:sz w:val="20"/>
        </w:rPr>
        <w:t>”</w:t>
      </w:r>
      <w:r w:rsidR="00EA0618" w:rsidRPr="006E1DA8">
        <w:rPr>
          <w:rFonts w:cs="Times New Roman"/>
          <w:kern w:val="2"/>
          <w:sz w:val="20"/>
        </w:rPr>
        <w:t xml:space="preserve"> rather than simply </w:t>
      </w:r>
      <w:r w:rsidR="00321984" w:rsidRPr="006E1DA8">
        <w:rPr>
          <w:rFonts w:cs="Times New Roman"/>
          <w:kern w:val="2"/>
          <w:sz w:val="20"/>
        </w:rPr>
        <w:t>“</w:t>
      </w:r>
      <w:r w:rsidR="00EA0618" w:rsidRPr="006E1DA8">
        <w:rPr>
          <w:rFonts w:cs="Times New Roman"/>
          <w:kern w:val="2"/>
          <w:sz w:val="20"/>
        </w:rPr>
        <w:t>carries on business</w:t>
      </w:r>
      <w:r w:rsidR="00321984" w:rsidRPr="006E1DA8">
        <w:rPr>
          <w:rFonts w:cs="Times New Roman"/>
          <w:kern w:val="2"/>
          <w:sz w:val="20"/>
        </w:rPr>
        <w:t>”</w:t>
      </w:r>
      <w:r w:rsidR="00EA0618" w:rsidRPr="006E1DA8">
        <w:rPr>
          <w:rFonts w:cs="Times New Roman"/>
          <w:kern w:val="2"/>
          <w:sz w:val="20"/>
        </w:rPr>
        <w:t>,</w:t>
      </w:r>
      <w:r w:rsidRPr="006E1DA8">
        <w:rPr>
          <w:rFonts w:cs="Times New Roman"/>
          <w:kern w:val="2"/>
          <w:sz w:val="20"/>
        </w:rPr>
        <w:t xml:space="preserve"> is reflective of the wide jurisdiction of the offence. The mere business presence of an overseas entity in the UK, irrespective of whether business is actually carried out in the UK, is enough to fulfill the jurisdictional requirements of the offence.</w:t>
      </w:r>
      <w:r w:rsidRPr="006E1DA8">
        <w:rPr>
          <w:rStyle w:val="FootnoteReference"/>
          <w:rFonts w:cs="Times New Roman"/>
          <w:kern w:val="2"/>
          <w:sz w:val="20"/>
        </w:rPr>
        <w:footnoteReference w:id="91"/>
      </w:r>
      <w:r w:rsidRPr="006E1DA8">
        <w:rPr>
          <w:rFonts w:cs="Times New Roman"/>
          <w:kern w:val="2"/>
          <w:sz w:val="20"/>
        </w:rPr>
        <w:t xml:space="preserve"> That being </w:t>
      </w:r>
      <w:r w:rsidR="00EA0618" w:rsidRPr="006E1DA8">
        <w:rPr>
          <w:rFonts w:cs="Times New Roman"/>
          <w:kern w:val="2"/>
          <w:sz w:val="20"/>
        </w:rPr>
        <w:t xml:space="preserve">said, the Government intends a </w:t>
      </w:r>
      <w:r w:rsidR="00321984" w:rsidRPr="006E1DA8">
        <w:rPr>
          <w:rFonts w:cs="Times New Roman"/>
          <w:kern w:val="2"/>
          <w:sz w:val="20"/>
        </w:rPr>
        <w:t>“</w:t>
      </w:r>
      <w:r w:rsidR="00EA0618" w:rsidRPr="006E1DA8">
        <w:rPr>
          <w:rFonts w:cs="Times New Roman"/>
          <w:kern w:val="2"/>
          <w:sz w:val="20"/>
        </w:rPr>
        <w:t>common sense approach</w:t>
      </w:r>
      <w:r w:rsidR="00321984" w:rsidRPr="006E1DA8">
        <w:rPr>
          <w:rFonts w:cs="Times New Roman"/>
          <w:kern w:val="2"/>
          <w:sz w:val="20"/>
        </w:rPr>
        <w:t>”</w:t>
      </w:r>
      <w:r w:rsidRPr="006E1DA8">
        <w:rPr>
          <w:rFonts w:cs="Times New Roman"/>
          <w:kern w:val="2"/>
          <w:sz w:val="20"/>
        </w:rPr>
        <w:t xml:space="preserve"> and has suggeste</w:t>
      </w:r>
      <w:r w:rsidR="00EA0618" w:rsidRPr="006E1DA8">
        <w:rPr>
          <w:rFonts w:cs="Times New Roman"/>
          <w:kern w:val="2"/>
          <w:sz w:val="20"/>
        </w:rPr>
        <w:t xml:space="preserve">d that organizations without a </w:t>
      </w:r>
      <w:r w:rsidR="00321984" w:rsidRPr="006E1DA8">
        <w:rPr>
          <w:rFonts w:cs="Times New Roman"/>
          <w:kern w:val="2"/>
          <w:sz w:val="20"/>
        </w:rPr>
        <w:t>“</w:t>
      </w:r>
      <w:r w:rsidRPr="006E1DA8">
        <w:rPr>
          <w:rFonts w:cs="Times New Roman"/>
          <w:kern w:val="2"/>
          <w:sz w:val="20"/>
        </w:rPr>
        <w:t>demonstrable business</w:t>
      </w:r>
      <w:r w:rsidR="00EA0618" w:rsidRPr="006E1DA8">
        <w:rPr>
          <w:rFonts w:cs="Times New Roman"/>
          <w:kern w:val="2"/>
          <w:sz w:val="20"/>
        </w:rPr>
        <w:t xml:space="preserve"> presence in the United Kingdom</w:t>
      </w:r>
      <w:r w:rsidR="00321984" w:rsidRPr="006E1DA8">
        <w:rPr>
          <w:rFonts w:cs="Times New Roman"/>
          <w:kern w:val="2"/>
          <w:sz w:val="20"/>
        </w:rPr>
        <w:t>”</w:t>
      </w:r>
      <w:r w:rsidRPr="006E1DA8">
        <w:rPr>
          <w:rFonts w:cs="Times New Roman"/>
          <w:kern w:val="2"/>
          <w:sz w:val="20"/>
        </w:rPr>
        <w:t xml:space="preserve"> will not be caught by this section.</w:t>
      </w:r>
      <w:r w:rsidRPr="006E1DA8">
        <w:rPr>
          <w:rStyle w:val="FootnoteReference"/>
          <w:rFonts w:cs="Times New Roman"/>
          <w:kern w:val="2"/>
          <w:sz w:val="20"/>
        </w:rPr>
        <w:footnoteReference w:id="92"/>
      </w:r>
      <w:r w:rsidRPr="006E1DA8">
        <w:rPr>
          <w:rFonts w:cs="Times New Roman"/>
          <w:kern w:val="2"/>
          <w:sz w:val="20"/>
        </w:rPr>
        <w:t xml:space="preserve"> </w:t>
      </w:r>
    </w:p>
    <w:p w14:paraId="6A86EA80" w14:textId="77777777" w:rsidR="00827F7D" w:rsidRPr="006E1DA8" w:rsidRDefault="00827F7D" w:rsidP="00827F7D">
      <w:pPr>
        <w:rPr>
          <w:rFonts w:cs="Times New Roman"/>
          <w:kern w:val="2"/>
          <w:sz w:val="20"/>
        </w:rPr>
      </w:pPr>
      <w:r w:rsidRPr="006E1DA8">
        <w:rPr>
          <w:rFonts w:cs="Times New Roman"/>
          <w:kern w:val="2"/>
          <w:sz w:val="20"/>
        </w:rPr>
        <w:t xml:space="preserve">It should be noted that the </w:t>
      </w:r>
      <w:r w:rsidRPr="006E1DA8">
        <w:rPr>
          <w:rFonts w:cs="Times New Roman"/>
          <w:i/>
          <w:kern w:val="2"/>
          <w:sz w:val="20"/>
        </w:rPr>
        <w:t>Bribery Act</w:t>
      </w:r>
      <w:r w:rsidRPr="006E1DA8">
        <w:rPr>
          <w:rFonts w:cs="Times New Roman"/>
          <w:kern w:val="2"/>
          <w:sz w:val="20"/>
        </w:rPr>
        <w:t xml:space="preserve"> contains no provision specifically insulating person A from secondary liability in respect to the offence under section 7 (in contrast to, for example, the offence in the UK of corporate manslaughter).</w:t>
      </w:r>
      <w:r w:rsidRPr="006E1DA8">
        <w:rPr>
          <w:rStyle w:val="FootnoteReference"/>
          <w:rFonts w:cs="Times New Roman"/>
          <w:kern w:val="2"/>
          <w:sz w:val="20"/>
        </w:rPr>
        <w:footnoteReference w:id="93"/>
      </w:r>
      <w:r w:rsidRPr="006E1DA8">
        <w:rPr>
          <w:rFonts w:cs="Times New Roman"/>
          <w:kern w:val="2"/>
          <w:sz w:val="20"/>
        </w:rPr>
        <w:t xml:space="preserve"> However, person A is already guilty of the intentional offence of bribery under sections 1 or 6, so it would be somewhat pointless to also charge or convict person A of the strict liability offence under section 7 where person A’s conduct of aiding and abetting the section 7 offence is exactly the same conduct that constitutes the section 1 or section 6 offence. </w:t>
      </w:r>
    </w:p>
    <w:p w14:paraId="0DC18494" w14:textId="24525024" w:rsidR="00827F7D" w:rsidRPr="006E1DA8" w:rsidRDefault="00827F7D" w:rsidP="00827F7D">
      <w:pPr>
        <w:rPr>
          <w:rFonts w:cs="Times New Roman"/>
          <w:kern w:val="2"/>
          <w:sz w:val="20"/>
        </w:rPr>
      </w:pPr>
      <w:r w:rsidRPr="006E1DA8">
        <w:rPr>
          <w:rFonts w:cs="Times New Roman"/>
          <w:kern w:val="2"/>
          <w:sz w:val="20"/>
        </w:rPr>
        <w:t xml:space="preserve">Section 7(2) states that a full defence to the charge is available if the company can prove on a balance of probabilities that it had adequate procedures in place and followed those procedures at the time the bribery occurred in order to prevent associated persons from engaging in bribery. For more information on the adequate procedures defence, refer to </w:t>
      </w:r>
      <w:r w:rsidR="00EA0618" w:rsidRPr="006E1DA8">
        <w:rPr>
          <w:rFonts w:cs="Times New Roman"/>
          <w:kern w:val="2"/>
          <w:sz w:val="20"/>
        </w:rPr>
        <w:t>Section</w:t>
      </w:r>
      <w:r w:rsidRPr="006E1DA8">
        <w:rPr>
          <w:rFonts w:cs="Times New Roman"/>
          <w:kern w:val="2"/>
          <w:sz w:val="20"/>
        </w:rPr>
        <w:t xml:space="preserve"> 2.4.3(</w:t>
      </w:r>
      <w:proofErr w:type="spellStart"/>
      <w:r w:rsidRPr="006E1DA8">
        <w:rPr>
          <w:rFonts w:cs="Times New Roman"/>
          <w:kern w:val="2"/>
          <w:sz w:val="20"/>
        </w:rPr>
        <w:t>i</w:t>
      </w:r>
      <w:proofErr w:type="spellEnd"/>
      <w:r w:rsidRPr="006E1DA8">
        <w:rPr>
          <w:rFonts w:cs="Times New Roman"/>
          <w:kern w:val="2"/>
          <w:sz w:val="20"/>
        </w:rPr>
        <w:t>)</w:t>
      </w:r>
      <w:r w:rsidR="00C90AB6" w:rsidRPr="006E1DA8">
        <w:rPr>
          <w:rFonts w:cs="Times New Roman"/>
          <w:kern w:val="2"/>
          <w:sz w:val="20"/>
        </w:rPr>
        <w:t xml:space="preserve"> of Chapter 2</w:t>
      </w:r>
      <w:r w:rsidRPr="006E1DA8">
        <w:rPr>
          <w:rFonts w:cs="Times New Roman"/>
          <w:kern w:val="2"/>
          <w:sz w:val="20"/>
        </w:rPr>
        <w:t xml:space="preserve">. </w:t>
      </w:r>
    </w:p>
    <w:p w14:paraId="4E413E07" w14:textId="466CB858" w:rsidR="00827F7D" w:rsidRPr="006E1DA8" w:rsidRDefault="00827F7D" w:rsidP="00827F7D">
      <w:pPr>
        <w:rPr>
          <w:rFonts w:cs="Times New Roman"/>
          <w:kern w:val="2"/>
          <w:sz w:val="20"/>
        </w:rPr>
      </w:pPr>
      <w:r w:rsidRPr="006E1DA8">
        <w:rPr>
          <w:rFonts w:cs="Times New Roman"/>
          <w:kern w:val="2"/>
          <w:sz w:val="20"/>
        </w:rPr>
        <w:t xml:space="preserve">According to Wells, the significance of this new offence to UK law </w:t>
      </w:r>
      <w:r w:rsidR="00321984" w:rsidRPr="006E1DA8">
        <w:rPr>
          <w:rFonts w:cs="Times New Roman"/>
          <w:kern w:val="2"/>
          <w:sz w:val="20"/>
        </w:rPr>
        <w:t>“</w:t>
      </w:r>
      <w:r w:rsidRPr="006E1DA8">
        <w:rPr>
          <w:rFonts w:cs="Times New Roman"/>
          <w:kern w:val="2"/>
          <w:sz w:val="20"/>
        </w:rPr>
        <w:t>cannot be over emphasized</w:t>
      </w:r>
      <w:r w:rsidR="00041425"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94"/>
      </w:r>
      <w:r w:rsidRPr="006E1DA8">
        <w:rPr>
          <w:rFonts w:cs="Times New Roman"/>
          <w:kern w:val="2"/>
          <w:sz w:val="20"/>
        </w:rPr>
        <w:t xml:space="preserve">  The provision places important obligations on companies to proactively prevent corruption within their organization. Wells views the provision as key to ensuring corporate accountability for bribery. However, the OECD Working Group on Bribery’s </w:t>
      </w:r>
      <w:r w:rsidRPr="006E1DA8">
        <w:rPr>
          <w:rFonts w:cs="Times New Roman"/>
          <w:i/>
          <w:iCs/>
          <w:kern w:val="2"/>
          <w:sz w:val="20"/>
        </w:rPr>
        <w:t xml:space="preserve">Phase 3 Report </w:t>
      </w:r>
      <w:r w:rsidRPr="006E1DA8">
        <w:rPr>
          <w:rFonts w:cs="Times New Roman"/>
          <w:kern w:val="2"/>
          <w:sz w:val="20"/>
        </w:rPr>
        <w:t>(March 2012) notes that the section 7 offence does not completely eliminate the limitations of the UK’s narrow identification doctrine.</w:t>
      </w:r>
      <w:r w:rsidR="003C58D8" w:rsidRPr="006E1DA8">
        <w:rPr>
          <w:rStyle w:val="FootnoteReference"/>
          <w:rFonts w:cs="Times New Roman"/>
          <w:kern w:val="2"/>
          <w:sz w:val="20"/>
        </w:rPr>
        <w:footnoteReference w:id="95"/>
      </w:r>
      <w:r w:rsidRPr="006E1DA8">
        <w:rPr>
          <w:rFonts w:cs="Times New Roman"/>
          <w:kern w:val="2"/>
          <w:sz w:val="20"/>
        </w:rPr>
        <w:t xml:space="preserve"> If the </w:t>
      </w:r>
      <w:r w:rsidR="00321984" w:rsidRPr="006E1DA8">
        <w:rPr>
          <w:rFonts w:cs="Times New Roman"/>
          <w:kern w:val="2"/>
          <w:sz w:val="20"/>
        </w:rPr>
        <w:t>“</w:t>
      </w:r>
      <w:r w:rsidRPr="006E1DA8">
        <w:rPr>
          <w:rFonts w:cs="Times New Roman"/>
          <w:kern w:val="2"/>
          <w:sz w:val="20"/>
        </w:rPr>
        <w:t>associated person</w:t>
      </w:r>
      <w:r w:rsidR="00321984" w:rsidRPr="006E1DA8">
        <w:rPr>
          <w:rFonts w:cs="Times New Roman"/>
          <w:kern w:val="2"/>
          <w:sz w:val="20"/>
        </w:rPr>
        <w:t>”</w:t>
      </w:r>
      <w:r w:rsidRPr="006E1DA8">
        <w:rPr>
          <w:rFonts w:cs="Times New Roman"/>
          <w:kern w:val="2"/>
          <w:sz w:val="20"/>
        </w:rPr>
        <w:t xml:space="preserve"> is a subsidiary or another company, the identification doctrine is still necessary to determine whether the associated person committed bribery. </w:t>
      </w:r>
    </w:p>
    <w:p w14:paraId="5DDE56AD" w14:textId="0BA9797A" w:rsidR="00827F7D" w:rsidRPr="006E1DA8" w:rsidRDefault="00827F7D" w:rsidP="00827F7D">
      <w:pPr>
        <w:rPr>
          <w:rFonts w:cs="Times New Roman"/>
          <w:kern w:val="2"/>
          <w:sz w:val="20"/>
        </w:rPr>
      </w:pPr>
      <w:r w:rsidRPr="006E1DA8">
        <w:rPr>
          <w:rFonts w:cs="Times New Roman"/>
          <w:kern w:val="2"/>
          <w:sz w:val="20"/>
        </w:rPr>
        <w:t xml:space="preserve">The provision has also received criticism for being overly broad. Jordan, a Senior Investigations Counsel with the Foreign Corrupt Practices Unit of the US SEC, believes the </w:t>
      </w:r>
      <w:r w:rsidR="00321984" w:rsidRPr="006E1DA8">
        <w:rPr>
          <w:rFonts w:cs="Times New Roman"/>
          <w:kern w:val="2"/>
          <w:sz w:val="20"/>
        </w:rPr>
        <w:t>“</w:t>
      </w:r>
      <w:r w:rsidRPr="006E1DA8">
        <w:rPr>
          <w:rFonts w:cs="Times New Roman"/>
          <w:kern w:val="2"/>
          <w:sz w:val="20"/>
        </w:rPr>
        <w:t>provision is both revolutionary and dangerous</w:t>
      </w:r>
      <w:r w:rsidR="00EE7EC8"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96"/>
      </w:r>
      <w:r w:rsidRPr="006E1DA8">
        <w:rPr>
          <w:rFonts w:cs="Times New Roman"/>
          <w:kern w:val="2"/>
          <w:sz w:val="20"/>
        </w:rPr>
        <w:t xml:space="preserve"> Bean and </w:t>
      </w:r>
      <w:proofErr w:type="spellStart"/>
      <w:r w:rsidRPr="006E1DA8">
        <w:rPr>
          <w:rFonts w:cs="Times New Roman"/>
          <w:kern w:val="2"/>
          <w:sz w:val="20"/>
        </w:rPr>
        <w:t>MacGuidwin</w:t>
      </w:r>
      <w:proofErr w:type="spellEnd"/>
      <w:r w:rsidRPr="006E1DA8">
        <w:rPr>
          <w:rFonts w:cs="Times New Roman"/>
          <w:kern w:val="2"/>
          <w:sz w:val="20"/>
        </w:rPr>
        <w:t xml:space="preserve"> refer to it as </w:t>
      </w:r>
      <w:r w:rsidR="00321984" w:rsidRPr="006E1DA8">
        <w:rPr>
          <w:rFonts w:cs="Times New Roman"/>
          <w:kern w:val="2"/>
          <w:sz w:val="20"/>
        </w:rPr>
        <w:t>“</w:t>
      </w:r>
      <w:r w:rsidRPr="006E1DA8">
        <w:rPr>
          <w:rFonts w:cs="Times New Roman"/>
          <w:kern w:val="2"/>
          <w:sz w:val="20"/>
        </w:rPr>
        <w:t>by far the most outrageously overreaching aspect of the Act</w:t>
      </w:r>
      <w:r w:rsidR="00696C1E"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97"/>
      </w:r>
      <w:r w:rsidRPr="006E1DA8">
        <w:rPr>
          <w:rFonts w:cs="Times New Roman"/>
          <w:kern w:val="2"/>
          <w:sz w:val="20"/>
        </w:rPr>
        <w:t xml:space="preserve"> </w:t>
      </w:r>
      <w:r w:rsidR="00C46524" w:rsidRPr="006E1DA8">
        <w:rPr>
          <w:rFonts w:cs="Times New Roman"/>
          <w:kern w:val="2"/>
          <w:sz w:val="20"/>
        </w:rPr>
        <w:t>They</w:t>
      </w:r>
      <w:r w:rsidRPr="006E1DA8">
        <w:rPr>
          <w:rFonts w:cs="Times New Roman"/>
          <w:kern w:val="2"/>
          <w:sz w:val="20"/>
        </w:rPr>
        <w:t xml:space="preserve"> question the usefulness of the </w:t>
      </w:r>
      <w:r w:rsidR="00321984" w:rsidRPr="006E1DA8">
        <w:rPr>
          <w:rFonts w:cs="Times New Roman"/>
          <w:kern w:val="2"/>
          <w:sz w:val="20"/>
        </w:rPr>
        <w:t>“</w:t>
      </w:r>
      <w:r w:rsidRPr="006E1DA8">
        <w:rPr>
          <w:rFonts w:cs="Times New Roman"/>
          <w:kern w:val="2"/>
          <w:sz w:val="20"/>
        </w:rPr>
        <w:t>adequate procedures</w:t>
      </w:r>
      <w:r w:rsidR="00321984" w:rsidRPr="006E1DA8">
        <w:rPr>
          <w:rFonts w:cs="Times New Roman"/>
          <w:kern w:val="2"/>
          <w:sz w:val="20"/>
        </w:rPr>
        <w:t>”</w:t>
      </w:r>
      <w:r w:rsidRPr="006E1DA8">
        <w:rPr>
          <w:rFonts w:cs="Times New Roman"/>
          <w:kern w:val="2"/>
          <w:sz w:val="20"/>
        </w:rPr>
        <w:t xml:space="preserve"> defence, since the occurrence of bribery indicates that the procedures in place were not sufficient to prevent the instance of bribery.</w:t>
      </w:r>
      <w:r w:rsidR="00061CFA" w:rsidRPr="006E1DA8">
        <w:rPr>
          <w:rFonts w:cs="Times New Roman"/>
          <w:kern w:val="2"/>
          <w:sz w:val="20"/>
        </w:rPr>
        <w:t xml:space="preserve"> </w:t>
      </w:r>
      <w:r w:rsidRPr="006E1DA8">
        <w:rPr>
          <w:rFonts w:cs="Times New Roman"/>
          <w:kern w:val="2"/>
          <w:sz w:val="20"/>
        </w:rPr>
        <w:t xml:space="preserve">In the Ministry of Justice’s </w:t>
      </w:r>
      <w:r w:rsidRPr="006E1DA8">
        <w:rPr>
          <w:rFonts w:cs="Times New Roman"/>
          <w:i/>
          <w:iCs/>
          <w:kern w:val="2"/>
          <w:sz w:val="20"/>
        </w:rPr>
        <w:t xml:space="preserve">Guidance </w:t>
      </w:r>
      <w:r w:rsidRPr="006E1DA8">
        <w:rPr>
          <w:rFonts w:cs="Times New Roman"/>
          <w:kern w:val="2"/>
          <w:sz w:val="20"/>
        </w:rPr>
        <w:t>document, the Ministry listed six principles that should inform a corporate compliance program, but these principles are fairly general and are not binding on a court.</w:t>
      </w:r>
      <w:r w:rsidR="00061CFA" w:rsidRPr="006E1DA8">
        <w:rPr>
          <w:rFonts w:cs="Times New Roman"/>
          <w:kern w:val="2"/>
          <w:sz w:val="20"/>
        </w:rPr>
        <w:t xml:space="preserve"> These principles of good corporate compliance programs are discussed in Chapter 8 of this book. </w:t>
      </w:r>
      <w:r w:rsidRPr="006E1DA8">
        <w:rPr>
          <w:rFonts w:cs="Times New Roman"/>
          <w:kern w:val="2"/>
          <w:sz w:val="20"/>
        </w:rPr>
        <w:t xml:space="preserve"> </w:t>
      </w:r>
    </w:p>
    <w:p w14:paraId="1D72ADA6" w14:textId="04BBD620" w:rsidR="000272A3" w:rsidRPr="006E1DA8" w:rsidRDefault="004666A1" w:rsidP="00827F7D">
      <w:pPr>
        <w:rPr>
          <w:rFonts w:cs="Times New Roman"/>
          <w:kern w:val="2"/>
          <w:sz w:val="20"/>
        </w:rPr>
      </w:pPr>
      <w:r w:rsidRPr="006E1DA8">
        <w:rPr>
          <w:rFonts w:cs="Times New Roman"/>
          <w:kern w:val="2"/>
          <w:sz w:val="20"/>
        </w:rPr>
        <w:t xml:space="preserve">In December 2016, </w:t>
      </w:r>
      <w:proofErr w:type="spellStart"/>
      <w:r w:rsidRPr="006E1DA8">
        <w:rPr>
          <w:rFonts w:cs="Times New Roman"/>
          <w:kern w:val="2"/>
          <w:sz w:val="20"/>
        </w:rPr>
        <w:t>Sweett</w:t>
      </w:r>
      <w:proofErr w:type="spellEnd"/>
      <w:r w:rsidRPr="006E1DA8">
        <w:rPr>
          <w:rFonts w:cs="Times New Roman"/>
          <w:kern w:val="2"/>
          <w:sz w:val="20"/>
        </w:rPr>
        <w:t xml:space="preserve"> Group PLC pleaded guilty to failing to prevent an act of bribery committed by its subsidiary, Cyril </w:t>
      </w:r>
      <w:proofErr w:type="spellStart"/>
      <w:r w:rsidRPr="006E1DA8">
        <w:rPr>
          <w:rFonts w:cs="Times New Roman"/>
          <w:kern w:val="2"/>
          <w:sz w:val="20"/>
        </w:rPr>
        <w:t>Sweett</w:t>
      </w:r>
      <w:proofErr w:type="spellEnd"/>
      <w:r w:rsidRPr="006E1DA8">
        <w:rPr>
          <w:rFonts w:cs="Times New Roman"/>
          <w:kern w:val="2"/>
          <w:sz w:val="20"/>
        </w:rPr>
        <w:t xml:space="preserve"> </w:t>
      </w:r>
      <w:proofErr w:type="spellStart"/>
      <w:r w:rsidRPr="006E1DA8">
        <w:rPr>
          <w:rFonts w:cs="Times New Roman"/>
          <w:kern w:val="2"/>
          <w:sz w:val="20"/>
        </w:rPr>
        <w:t>Interntional</w:t>
      </w:r>
      <w:proofErr w:type="spellEnd"/>
      <w:r w:rsidRPr="006E1DA8">
        <w:rPr>
          <w:rFonts w:cs="Times New Roman"/>
          <w:kern w:val="2"/>
          <w:sz w:val="20"/>
        </w:rPr>
        <w:t xml:space="preserve"> Limited, in order to secure a contract with Al Ain </w:t>
      </w:r>
      <w:proofErr w:type="spellStart"/>
      <w:r w:rsidRPr="006E1DA8">
        <w:rPr>
          <w:rFonts w:cs="Times New Roman"/>
          <w:kern w:val="2"/>
          <w:sz w:val="20"/>
        </w:rPr>
        <w:t>Ahlia</w:t>
      </w:r>
      <w:proofErr w:type="spellEnd"/>
      <w:r w:rsidRPr="006E1DA8">
        <w:rPr>
          <w:rFonts w:cs="Times New Roman"/>
          <w:kern w:val="2"/>
          <w:sz w:val="20"/>
        </w:rPr>
        <w:t xml:space="preserve"> Insurance Company (AAAI) for the building of the Rotana Hotel in Abu Dhabi.</w:t>
      </w:r>
      <w:r w:rsidRPr="006E1DA8">
        <w:rPr>
          <w:rStyle w:val="FootnoteReference"/>
          <w:rFonts w:cs="Times New Roman"/>
          <w:kern w:val="2"/>
          <w:sz w:val="20"/>
        </w:rPr>
        <w:footnoteReference w:id="98"/>
      </w:r>
      <w:r w:rsidR="00C82664" w:rsidRPr="006E1DA8">
        <w:rPr>
          <w:rFonts w:cs="Times New Roman"/>
          <w:kern w:val="2"/>
          <w:sz w:val="20"/>
        </w:rPr>
        <w:t xml:space="preserve"> In February 2016, </w:t>
      </w:r>
      <w:proofErr w:type="spellStart"/>
      <w:r w:rsidR="00C82664" w:rsidRPr="006E1DA8">
        <w:rPr>
          <w:rFonts w:cs="Times New Roman"/>
          <w:kern w:val="2"/>
          <w:sz w:val="20"/>
        </w:rPr>
        <w:t>Sweett</w:t>
      </w:r>
      <w:proofErr w:type="spellEnd"/>
      <w:r w:rsidR="00C82664" w:rsidRPr="006E1DA8">
        <w:rPr>
          <w:rFonts w:cs="Times New Roman"/>
          <w:kern w:val="2"/>
          <w:sz w:val="20"/>
        </w:rPr>
        <w:t xml:space="preserve"> Group PLC was sentenced and ordered to pay £2.25 million, thus becoming the first company to be fined under section 7 of the </w:t>
      </w:r>
      <w:r w:rsidR="00C82664" w:rsidRPr="006E1DA8">
        <w:rPr>
          <w:rFonts w:cs="Times New Roman"/>
          <w:i/>
          <w:kern w:val="2"/>
          <w:sz w:val="20"/>
        </w:rPr>
        <w:t>Bribery Act</w:t>
      </w:r>
      <w:r w:rsidR="00C82664" w:rsidRPr="006E1DA8">
        <w:rPr>
          <w:rFonts w:cs="Times New Roman"/>
          <w:kern w:val="2"/>
          <w:sz w:val="20"/>
        </w:rPr>
        <w:t>.</w:t>
      </w:r>
      <w:r w:rsidR="003C58D8" w:rsidRPr="006E1DA8">
        <w:rPr>
          <w:rStyle w:val="FootnoteReference"/>
          <w:rFonts w:cs="Times New Roman"/>
          <w:kern w:val="2"/>
          <w:sz w:val="20"/>
        </w:rPr>
        <w:footnoteReference w:id="99"/>
      </w:r>
      <w:r w:rsidR="00C82664" w:rsidRPr="006E1DA8">
        <w:rPr>
          <w:rFonts w:cs="Times New Roman"/>
          <w:kern w:val="2"/>
          <w:sz w:val="20"/>
        </w:rPr>
        <w:t xml:space="preserve"> The SFO’s successful prosecution of </w:t>
      </w:r>
      <w:proofErr w:type="spellStart"/>
      <w:r w:rsidR="00C82664" w:rsidRPr="006E1DA8">
        <w:rPr>
          <w:rFonts w:cs="Times New Roman"/>
          <w:kern w:val="2"/>
          <w:sz w:val="20"/>
        </w:rPr>
        <w:t>Sweett</w:t>
      </w:r>
      <w:proofErr w:type="spellEnd"/>
      <w:r w:rsidR="00C82664" w:rsidRPr="006E1DA8">
        <w:rPr>
          <w:rFonts w:cs="Times New Roman"/>
          <w:kern w:val="2"/>
          <w:sz w:val="20"/>
        </w:rPr>
        <w:t xml:space="preserve"> Group speaks to the importance of implementing an adequate anti-corruption compliance program.</w:t>
      </w:r>
    </w:p>
    <w:p w14:paraId="4D982086" w14:textId="147830CE" w:rsidR="00827F7D" w:rsidRPr="006E1DA8" w:rsidRDefault="00827F7D" w:rsidP="001E5383">
      <w:pPr>
        <w:rPr>
          <w:rFonts w:eastAsia="Calibri" w:cs="Times New Roman"/>
          <w:b/>
          <w:bCs/>
          <w:kern w:val="2"/>
          <w:sz w:val="20"/>
        </w:rPr>
      </w:pPr>
      <w:r w:rsidRPr="006E1DA8">
        <w:rPr>
          <w:rFonts w:cs="Times New Roman"/>
          <w:kern w:val="2"/>
          <w:sz w:val="20"/>
        </w:rPr>
        <w:t xml:space="preserve">Notably, the US also considered codifying this type of compliance defence but ultimately rejected this approach. Instead, the US </w:t>
      </w:r>
      <w:r w:rsidRPr="006E1DA8">
        <w:rPr>
          <w:rFonts w:cs="Times New Roman"/>
          <w:i/>
          <w:iCs/>
          <w:kern w:val="2"/>
          <w:sz w:val="20"/>
        </w:rPr>
        <w:t xml:space="preserve">FCPA </w:t>
      </w:r>
      <w:r w:rsidRPr="006E1DA8">
        <w:rPr>
          <w:rFonts w:cs="Times New Roman"/>
          <w:kern w:val="2"/>
          <w:sz w:val="20"/>
        </w:rPr>
        <w:t xml:space="preserve">places positive obligations on companies to make and keep accurate books and records and </w:t>
      </w:r>
      <w:r w:rsidR="00C90F4A" w:rsidRPr="006E1DA8">
        <w:rPr>
          <w:rFonts w:cs="Times New Roman"/>
          <w:kern w:val="2"/>
          <w:sz w:val="20"/>
        </w:rPr>
        <w:t xml:space="preserve">to </w:t>
      </w:r>
      <w:r w:rsidRPr="006E1DA8">
        <w:rPr>
          <w:rFonts w:cs="Times New Roman"/>
          <w:kern w:val="2"/>
          <w:sz w:val="20"/>
        </w:rPr>
        <w:t xml:space="preserve">maintain a system of internal accounting controls. </w:t>
      </w:r>
      <w:r w:rsidR="00C90F4A" w:rsidRPr="006E1DA8">
        <w:rPr>
          <w:rFonts w:cs="Times New Roman"/>
          <w:kern w:val="2"/>
          <w:sz w:val="20"/>
        </w:rPr>
        <w:t xml:space="preserve">In </w:t>
      </w:r>
      <w:proofErr w:type="spellStart"/>
      <w:r w:rsidRPr="006E1DA8">
        <w:rPr>
          <w:rFonts w:cs="Times New Roman"/>
          <w:kern w:val="2"/>
          <w:sz w:val="20"/>
        </w:rPr>
        <w:t>Skinnider’s</w:t>
      </w:r>
      <w:proofErr w:type="spellEnd"/>
      <w:r w:rsidRPr="006E1DA8">
        <w:rPr>
          <w:rFonts w:cs="Times New Roman"/>
          <w:kern w:val="2"/>
          <w:sz w:val="20"/>
        </w:rPr>
        <w:t xml:space="preserve"> paper, </w:t>
      </w:r>
      <w:r w:rsidR="00321984" w:rsidRPr="006E1DA8">
        <w:rPr>
          <w:rFonts w:cs="Times New Roman"/>
          <w:kern w:val="2"/>
          <w:sz w:val="20"/>
        </w:rPr>
        <w:t>“</w:t>
      </w:r>
      <w:r w:rsidRPr="006E1DA8">
        <w:rPr>
          <w:rFonts w:cs="Times New Roman"/>
          <w:iCs/>
          <w:kern w:val="2"/>
          <w:sz w:val="20"/>
        </w:rPr>
        <w:t>Corruption in Canada: Reviewing Practices from Abroad to Improve Our Response</w:t>
      </w:r>
      <w:r w:rsidR="007C7893" w:rsidRPr="006E1DA8">
        <w:rPr>
          <w:rFonts w:cs="Times New Roman"/>
          <w:iCs/>
          <w:kern w:val="2"/>
          <w:sz w:val="20"/>
        </w:rPr>
        <w:t>,</w:t>
      </w:r>
      <w:r w:rsidR="00321984" w:rsidRPr="006E1DA8">
        <w:rPr>
          <w:rFonts w:cs="Times New Roman"/>
          <w:iCs/>
          <w:kern w:val="2"/>
          <w:sz w:val="20"/>
        </w:rPr>
        <w:t>”</w:t>
      </w:r>
      <w:r w:rsidR="00C90F4A" w:rsidRPr="006E1DA8">
        <w:rPr>
          <w:rFonts w:cs="Times New Roman"/>
          <w:i/>
          <w:iCs/>
          <w:kern w:val="2"/>
          <w:sz w:val="20"/>
        </w:rPr>
        <w:t xml:space="preserve"> </w:t>
      </w:r>
      <w:r w:rsidR="00C90F4A" w:rsidRPr="006E1DA8">
        <w:rPr>
          <w:rFonts w:cs="Times New Roman"/>
          <w:iCs/>
          <w:kern w:val="2"/>
          <w:sz w:val="20"/>
        </w:rPr>
        <w:t>the compliance defence is described as follows</w:t>
      </w:r>
      <w:r w:rsidRPr="006E1DA8">
        <w:rPr>
          <w:rFonts w:cs="Times New Roman"/>
          <w:kern w:val="2"/>
          <w:sz w:val="20"/>
        </w:rPr>
        <w:t>:</w:t>
      </w:r>
      <w:r w:rsidR="006929A9" w:rsidRPr="006E1DA8">
        <w:rPr>
          <w:rStyle w:val="FootnoteReference"/>
          <w:rFonts w:cs="Times New Roman"/>
          <w:kern w:val="2"/>
          <w:sz w:val="20"/>
        </w:rPr>
        <w:footnoteReference w:id="100"/>
      </w:r>
    </w:p>
    <w:p w14:paraId="602497F5" w14:textId="2D98F4D1" w:rsidR="00827F7D" w:rsidRPr="006E1DA8" w:rsidRDefault="00827F7D" w:rsidP="009D3B31">
      <w:pPr>
        <w:pStyle w:val="BlockQuote"/>
        <w:keepNext/>
        <w:numPr>
          <w:ilvl w:val="0"/>
          <w:numId w:val="32"/>
        </w:numPr>
        <w:ind w:left="1077" w:hanging="357"/>
        <w:rPr>
          <w:kern w:val="2"/>
          <w:sz w:val="20"/>
        </w:rPr>
      </w:pPr>
      <w:r w:rsidRPr="006E1DA8">
        <w:rPr>
          <w:kern w:val="2"/>
          <w:sz w:val="20"/>
        </w:rPr>
        <w:t>The Affirmative Compliance Defences</w:t>
      </w:r>
    </w:p>
    <w:p w14:paraId="76E685B1" w14:textId="5C39EFAD" w:rsidR="00827F7D" w:rsidRPr="006E1DA8" w:rsidRDefault="00827F7D" w:rsidP="001E5383">
      <w:pPr>
        <w:pStyle w:val="BlockQuote"/>
        <w:ind w:left="1080"/>
        <w:rPr>
          <w:kern w:val="2"/>
          <w:sz w:val="20"/>
        </w:rPr>
      </w:pPr>
      <w:r w:rsidRPr="006E1DA8">
        <w:rPr>
          <w:kern w:val="2"/>
          <w:sz w:val="20"/>
        </w:rPr>
        <w:t xml:space="preserve">The compliance defence provides that corporations will not be held vicariously liable for a violation of the foreign corruption act by its employees or agents if the company established procedures reasonably designed to prevent and detect such violations by employees and agents. Generally this refers to employees and not officers or directors. Such a defence is an affirmative defence for corporations faced with possible criminal charges if the corporation can present </w:t>
      </w:r>
      <w:r w:rsidR="00321984" w:rsidRPr="006E1DA8">
        <w:rPr>
          <w:kern w:val="2"/>
          <w:sz w:val="20"/>
        </w:rPr>
        <w:t>“</w:t>
      </w:r>
      <w:r w:rsidRPr="006E1DA8">
        <w:rPr>
          <w:kern w:val="2"/>
          <w:sz w:val="20"/>
        </w:rPr>
        <w:t>good faith efforts</w:t>
      </w:r>
      <w:r w:rsidR="00321984" w:rsidRPr="006E1DA8">
        <w:rPr>
          <w:kern w:val="2"/>
          <w:sz w:val="20"/>
        </w:rPr>
        <w:t>”</w:t>
      </w:r>
      <w:r w:rsidRPr="006E1DA8">
        <w:rPr>
          <w:kern w:val="2"/>
          <w:sz w:val="20"/>
        </w:rPr>
        <w:t xml:space="preserve"> to achieve compliance with the laws, usually demonstrated by corporate compliance programmes. This defence recognises that despite best efforts and with the utmost diligence, corporations can still find themselves the subject of criminal prosecutions. [</w:t>
      </w:r>
      <w:proofErr w:type="gramStart"/>
      <w:r w:rsidRPr="006E1DA8">
        <w:rPr>
          <w:kern w:val="2"/>
          <w:sz w:val="20"/>
        </w:rPr>
        <w:t>footnotes</w:t>
      </w:r>
      <w:proofErr w:type="gramEnd"/>
      <w:r w:rsidRPr="006E1DA8">
        <w:rPr>
          <w:kern w:val="2"/>
          <w:sz w:val="20"/>
        </w:rPr>
        <w:t xml:space="preserve"> omitted]</w:t>
      </w:r>
      <w:bookmarkStart w:id="19" w:name="_Toc287029835"/>
      <w:r w:rsidR="00616AC4" w:rsidRPr="006E1DA8">
        <w:rPr>
          <w:rStyle w:val="FootnoteReference"/>
          <w:rFonts w:cs="Times New Roman"/>
          <w:kern w:val="2"/>
          <w:sz w:val="20"/>
        </w:rPr>
        <w:t xml:space="preserve"> </w:t>
      </w:r>
    </w:p>
    <w:p w14:paraId="04A3C287" w14:textId="28E04675" w:rsidR="00827F7D" w:rsidRPr="006E1DA8" w:rsidRDefault="00827F7D" w:rsidP="001E5383">
      <w:pPr>
        <w:pStyle w:val="Heading2"/>
        <w:rPr>
          <w:kern w:val="2"/>
          <w:sz w:val="24"/>
        </w:rPr>
      </w:pPr>
      <w:r w:rsidRPr="006E1DA8">
        <w:rPr>
          <w:kern w:val="2"/>
          <w:sz w:val="24"/>
        </w:rPr>
        <w:t>Canadian Law</w:t>
      </w:r>
      <w:bookmarkEnd w:id="19"/>
    </w:p>
    <w:p w14:paraId="21D10CA5" w14:textId="4C0C0E14" w:rsidR="00827F7D" w:rsidRPr="006E1DA8" w:rsidRDefault="00827F7D" w:rsidP="00827F7D">
      <w:pPr>
        <w:rPr>
          <w:kern w:val="2"/>
          <w:sz w:val="20"/>
        </w:rPr>
      </w:pPr>
      <w:r w:rsidRPr="006E1DA8">
        <w:rPr>
          <w:rFonts w:cs="Times New Roman"/>
          <w:kern w:val="2"/>
          <w:sz w:val="20"/>
        </w:rPr>
        <w:t xml:space="preserve">Pursuant to section 2 of </w:t>
      </w:r>
      <w:r w:rsidRPr="006E1DA8">
        <w:rPr>
          <w:rFonts w:cs="Times New Roman"/>
          <w:i/>
          <w:iCs/>
          <w:kern w:val="2"/>
          <w:sz w:val="20"/>
        </w:rPr>
        <w:t>CFPOA</w:t>
      </w:r>
      <w:r w:rsidRPr="006E1DA8">
        <w:rPr>
          <w:rFonts w:cs="Times New Roman"/>
          <w:kern w:val="2"/>
          <w:sz w:val="20"/>
        </w:rPr>
        <w:t xml:space="preserve">, the offence </w:t>
      </w:r>
      <w:r w:rsidR="00DD3B3B" w:rsidRPr="006E1DA8">
        <w:rPr>
          <w:rFonts w:cs="Times New Roman"/>
          <w:kern w:val="2"/>
          <w:sz w:val="20"/>
        </w:rPr>
        <w:t xml:space="preserve">provisions </w:t>
      </w:r>
      <w:r w:rsidR="00DD3B3B" w:rsidRPr="006E1DA8">
        <w:rPr>
          <w:rFonts w:cs="Times New Roman"/>
          <w:i/>
          <w:iCs/>
          <w:kern w:val="2"/>
          <w:sz w:val="20"/>
        </w:rPr>
        <w:t>apply</w:t>
      </w:r>
      <w:r w:rsidRPr="006E1DA8">
        <w:rPr>
          <w:rFonts w:cs="Times New Roman"/>
          <w:kern w:val="2"/>
          <w:sz w:val="20"/>
        </w:rPr>
        <w:t xml:space="preserve"> to </w:t>
      </w:r>
      <w:r w:rsidR="00321984" w:rsidRPr="006E1DA8">
        <w:rPr>
          <w:rFonts w:cs="Times New Roman"/>
          <w:kern w:val="2"/>
          <w:sz w:val="20"/>
        </w:rPr>
        <w:t>“</w:t>
      </w:r>
      <w:r w:rsidRPr="006E1DA8">
        <w:rPr>
          <w:rFonts w:cs="Times New Roman"/>
          <w:kern w:val="2"/>
          <w:sz w:val="20"/>
        </w:rPr>
        <w:t>persons</w:t>
      </w:r>
      <w:r w:rsidR="00F43D6B"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as defined in section 2 of the </w:t>
      </w:r>
      <w:r w:rsidRPr="006E1DA8">
        <w:rPr>
          <w:rFonts w:cs="Times New Roman"/>
          <w:i/>
          <w:iCs/>
          <w:kern w:val="2"/>
          <w:sz w:val="20"/>
        </w:rPr>
        <w:t>Criminal Code</w:t>
      </w:r>
      <w:r w:rsidR="00090039" w:rsidRPr="006E1DA8">
        <w:rPr>
          <w:rFonts w:cs="Times New Roman"/>
          <w:kern w:val="2"/>
          <w:sz w:val="20"/>
        </w:rPr>
        <w:t>. S</w:t>
      </w:r>
      <w:r w:rsidRPr="006E1DA8">
        <w:rPr>
          <w:rFonts w:cs="Times New Roman"/>
          <w:kern w:val="2"/>
          <w:sz w:val="20"/>
        </w:rPr>
        <w:t xml:space="preserve">ection 2 of the </w:t>
      </w:r>
      <w:r w:rsidRPr="006E1DA8">
        <w:rPr>
          <w:rFonts w:cs="Times New Roman"/>
          <w:i/>
          <w:iCs/>
          <w:kern w:val="2"/>
          <w:sz w:val="20"/>
        </w:rPr>
        <w:t>Criminal Code</w:t>
      </w:r>
      <w:r w:rsidR="00090039" w:rsidRPr="006E1DA8">
        <w:rPr>
          <w:rFonts w:cs="Times New Roman"/>
          <w:kern w:val="2"/>
          <w:sz w:val="20"/>
        </w:rPr>
        <w:t xml:space="preserve"> states that</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pe</w:t>
      </w:r>
      <w:r w:rsidR="00090039" w:rsidRPr="006E1DA8">
        <w:rPr>
          <w:rFonts w:cs="Times New Roman"/>
          <w:kern w:val="2"/>
          <w:sz w:val="20"/>
        </w:rPr>
        <w:t>rson</w:t>
      </w:r>
      <w:r w:rsidR="00321984" w:rsidRPr="006E1DA8">
        <w:rPr>
          <w:rFonts w:cs="Times New Roman"/>
          <w:kern w:val="2"/>
          <w:sz w:val="20"/>
        </w:rPr>
        <w:t>”</w:t>
      </w:r>
      <w:r w:rsidR="00090039" w:rsidRPr="006E1DA8">
        <w:rPr>
          <w:rFonts w:cs="Times New Roman"/>
          <w:kern w:val="2"/>
          <w:sz w:val="20"/>
        </w:rPr>
        <w:t xml:space="preserve"> includes an organization, which is defined </w:t>
      </w:r>
      <w:r w:rsidRPr="006E1DA8">
        <w:rPr>
          <w:rFonts w:cs="Times New Roman"/>
          <w:kern w:val="2"/>
          <w:sz w:val="20"/>
        </w:rPr>
        <w:t>as:</w:t>
      </w:r>
    </w:p>
    <w:p w14:paraId="6BDEEA3C" w14:textId="02B89EBC" w:rsidR="00827F7D" w:rsidRPr="006E1DA8" w:rsidRDefault="00827F7D" w:rsidP="009D3B31">
      <w:pPr>
        <w:pStyle w:val="BlockQuote"/>
        <w:numPr>
          <w:ilvl w:val="0"/>
          <w:numId w:val="33"/>
        </w:numPr>
        <w:spacing w:before="60" w:after="0"/>
        <w:jc w:val="left"/>
        <w:rPr>
          <w:kern w:val="2"/>
          <w:sz w:val="20"/>
        </w:rPr>
      </w:pPr>
      <w:r w:rsidRPr="006E1DA8">
        <w:rPr>
          <w:kern w:val="2"/>
          <w:sz w:val="20"/>
        </w:rPr>
        <w:t>a public body, body corporate, society, company, firm, partnership, trade union or municipality, or</w:t>
      </w:r>
    </w:p>
    <w:p w14:paraId="61CCE6E5" w14:textId="7FAE5189" w:rsidR="00827F7D" w:rsidRPr="006E1DA8" w:rsidRDefault="00827F7D" w:rsidP="009D3B31">
      <w:pPr>
        <w:pStyle w:val="BlockQuote"/>
        <w:numPr>
          <w:ilvl w:val="0"/>
          <w:numId w:val="33"/>
        </w:numPr>
        <w:spacing w:before="60" w:after="0"/>
        <w:jc w:val="left"/>
        <w:rPr>
          <w:b/>
          <w:kern w:val="2"/>
          <w:sz w:val="20"/>
        </w:rPr>
      </w:pPr>
      <w:r w:rsidRPr="006E1DA8">
        <w:rPr>
          <w:kern w:val="2"/>
          <w:sz w:val="20"/>
        </w:rPr>
        <w:t>an association of persons that</w:t>
      </w:r>
    </w:p>
    <w:p w14:paraId="0CC2DD00" w14:textId="5087BE9C" w:rsidR="00827F7D" w:rsidRPr="006E1DA8" w:rsidRDefault="00827F7D" w:rsidP="009D3B31">
      <w:pPr>
        <w:pStyle w:val="BlockQuote"/>
        <w:numPr>
          <w:ilvl w:val="0"/>
          <w:numId w:val="34"/>
        </w:numPr>
        <w:spacing w:before="60" w:after="0"/>
        <w:jc w:val="left"/>
        <w:rPr>
          <w:b/>
          <w:kern w:val="2"/>
          <w:sz w:val="20"/>
        </w:rPr>
      </w:pPr>
      <w:r w:rsidRPr="006E1DA8">
        <w:rPr>
          <w:kern w:val="2"/>
          <w:sz w:val="20"/>
        </w:rPr>
        <w:t>is created for a common purpose,</w:t>
      </w:r>
    </w:p>
    <w:p w14:paraId="2AA4FB81" w14:textId="692AC051" w:rsidR="00827F7D" w:rsidRPr="006E1DA8" w:rsidRDefault="00827F7D" w:rsidP="009D3B31">
      <w:pPr>
        <w:pStyle w:val="BlockQuote"/>
        <w:numPr>
          <w:ilvl w:val="0"/>
          <w:numId w:val="34"/>
        </w:numPr>
        <w:spacing w:before="60" w:after="0"/>
        <w:jc w:val="left"/>
        <w:rPr>
          <w:b/>
          <w:kern w:val="2"/>
          <w:sz w:val="20"/>
        </w:rPr>
      </w:pPr>
      <w:r w:rsidRPr="006E1DA8">
        <w:rPr>
          <w:kern w:val="2"/>
          <w:sz w:val="20"/>
        </w:rPr>
        <w:t>has an operational structure, and</w:t>
      </w:r>
    </w:p>
    <w:p w14:paraId="165147AD" w14:textId="53495B0E" w:rsidR="00827F7D" w:rsidRPr="006E1DA8" w:rsidRDefault="00827F7D" w:rsidP="009D3B31">
      <w:pPr>
        <w:pStyle w:val="BlockQuote"/>
        <w:numPr>
          <w:ilvl w:val="0"/>
          <w:numId w:val="34"/>
        </w:numPr>
        <w:spacing w:before="60" w:after="0"/>
        <w:jc w:val="left"/>
        <w:rPr>
          <w:b/>
          <w:kern w:val="2"/>
          <w:sz w:val="20"/>
        </w:rPr>
      </w:pPr>
      <w:proofErr w:type="gramStart"/>
      <w:r w:rsidRPr="006E1DA8">
        <w:rPr>
          <w:kern w:val="2"/>
          <w:sz w:val="20"/>
        </w:rPr>
        <w:t>holds</w:t>
      </w:r>
      <w:proofErr w:type="gramEnd"/>
      <w:r w:rsidRPr="006E1DA8">
        <w:rPr>
          <w:kern w:val="2"/>
          <w:sz w:val="20"/>
        </w:rPr>
        <w:t xml:space="preserve"> itself out to the public as an association of persons</w:t>
      </w:r>
      <w:r w:rsidR="00304958" w:rsidRPr="006E1DA8">
        <w:rPr>
          <w:kern w:val="2"/>
          <w:sz w:val="20"/>
        </w:rPr>
        <w:t>.</w:t>
      </w:r>
    </w:p>
    <w:p w14:paraId="47377A16" w14:textId="28A2D5AE" w:rsidR="00827F7D" w:rsidRPr="006E1DA8" w:rsidRDefault="00827F7D" w:rsidP="00827F7D">
      <w:pPr>
        <w:rPr>
          <w:rFonts w:cs="Times New Roman"/>
          <w:kern w:val="2"/>
          <w:sz w:val="20"/>
        </w:rPr>
      </w:pPr>
      <w:r w:rsidRPr="006E1DA8">
        <w:rPr>
          <w:rFonts w:cs="Times New Roman"/>
          <w:kern w:val="2"/>
          <w:sz w:val="20"/>
        </w:rPr>
        <w:t>Therefore</w:t>
      </w:r>
      <w:r w:rsidR="00E41409" w:rsidRPr="006E1DA8">
        <w:rPr>
          <w:rFonts w:cs="Times New Roman"/>
          <w:kern w:val="2"/>
          <w:sz w:val="20"/>
        </w:rPr>
        <w:t>,</w:t>
      </w:r>
      <w:r w:rsidRPr="006E1DA8">
        <w:rPr>
          <w:rFonts w:cs="Times New Roman"/>
          <w:kern w:val="2"/>
          <w:sz w:val="20"/>
        </w:rPr>
        <w:t xml:space="preserve"> companies and other organizations are considered </w:t>
      </w:r>
      <w:r w:rsidR="00321984" w:rsidRPr="006E1DA8">
        <w:rPr>
          <w:rFonts w:cs="Times New Roman"/>
          <w:kern w:val="2"/>
          <w:sz w:val="20"/>
        </w:rPr>
        <w:t>“</w:t>
      </w:r>
      <w:r w:rsidRPr="006E1DA8">
        <w:rPr>
          <w:rFonts w:cs="Times New Roman"/>
          <w:kern w:val="2"/>
          <w:sz w:val="20"/>
        </w:rPr>
        <w:t>persons</w:t>
      </w:r>
      <w:r w:rsidR="00321984" w:rsidRPr="006E1DA8">
        <w:rPr>
          <w:rFonts w:cs="Times New Roman"/>
          <w:kern w:val="2"/>
          <w:sz w:val="20"/>
        </w:rPr>
        <w:t>”</w:t>
      </w:r>
      <w:r w:rsidRPr="006E1DA8">
        <w:rPr>
          <w:rFonts w:cs="Times New Roman"/>
          <w:kern w:val="2"/>
          <w:sz w:val="20"/>
        </w:rPr>
        <w:t xml:space="preserve"> </w:t>
      </w:r>
      <w:r w:rsidR="004D2291" w:rsidRPr="006E1DA8">
        <w:rPr>
          <w:rFonts w:cs="Times New Roman"/>
          <w:kern w:val="2"/>
          <w:sz w:val="20"/>
        </w:rPr>
        <w:t xml:space="preserve">under </w:t>
      </w:r>
      <w:r w:rsidR="004D2291" w:rsidRPr="006E1DA8">
        <w:rPr>
          <w:rFonts w:cs="Times New Roman"/>
          <w:i/>
          <w:kern w:val="2"/>
          <w:sz w:val="20"/>
        </w:rPr>
        <w:t xml:space="preserve">CFPOA </w:t>
      </w:r>
      <w:r w:rsidR="004D2291" w:rsidRPr="006E1DA8">
        <w:rPr>
          <w:rFonts w:cs="Times New Roman"/>
          <w:kern w:val="2"/>
          <w:sz w:val="20"/>
        </w:rPr>
        <w:t xml:space="preserve">and the </w:t>
      </w:r>
      <w:r w:rsidR="004D2291" w:rsidRPr="006E1DA8">
        <w:rPr>
          <w:rFonts w:cs="Times New Roman"/>
          <w:i/>
          <w:kern w:val="2"/>
          <w:sz w:val="20"/>
        </w:rPr>
        <w:t xml:space="preserve">Criminal Code </w:t>
      </w:r>
      <w:r w:rsidR="004D2291" w:rsidRPr="006E1DA8">
        <w:rPr>
          <w:rFonts w:cs="Times New Roman"/>
          <w:kern w:val="2"/>
          <w:sz w:val="20"/>
        </w:rPr>
        <w:t xml:space="preserve">and may be prosecuted for </w:t>
      </w:r>
      <w:r w:rsidR="004D2291" w:rsidRPr="006E1DA8">
        <w:rPr>
          <w:rFonts w:cs="Times New Roman"/>
          <w:i/>
          <w:kern w:val="2"/>
          <w:sz w:val="20"/>
        </w:rPr>
        <w:t xml:space="preserve">CFPOA </w:t>
      </w:r>
      <w:r w:rsidR="00090039" w:rsidRPr="006E1DA8">
        <w:rPr>
          <w:rFonts w:cs="Times New Roman"/>
          <w:kern w:val="2"/>
          <w:sz w:val="20"/>
        </w:rPr>
        <w:t xml:space="preserve">and </w:t>
      </w:r>
      <w:r w:rsidR="00090039" w:rsidRPr="006E1DA8">
        <w:rPr>
          <w:rFonts w:cs="Times New Roman"/>
          <w:i/>
          <w:kern w:val="2"/>
          <w:sz w:val="20"/>
        </w:rPr>
        <w:t xml:space="preserve">Criminal Code </w:t>
      </w:r>
      <w:r w:rsidR="004D2291" w:rsidRPr="006E1DA8">
        <w:rPr>
          <w:rFonts w:cs="Times New Roman"/>
          <w:kern w:val="2"/>
          <w:sz w:val="20"/>
        </w:rPr>
        <w:t>offences</w:t>
      </w:r>
      <w:r w:rsidR="00304958" w:rsidRPr="006E1DA8">
        <w:rPr>
          <w:rFonts w:cs="Times New Roman"/>
          <w:i/>
          <w:kern w:val="2"/>
          <w:sz w:val="20"/>
        </w:rPr>
        <w:t xml:space="preserve">. </w:t>
      </w:r>
      <w:r w:rsidR="00304958" w:rsidRPr="006E1DA8">
        <w:rPr>
          <w:rFonts w:cs="Times New Roman"/>
          <w:kern w:val="2"/>
          <w:sz w:val="20"/>
        </w:rPr>
        <w:t xml:space="preserve">It should also be noted that </w:t>
      </w:r>
      <w:r w:rsidR="00E87B08" w:rsidRPr="006E1DA8">
        <w:rPr>
          <w:rFonts w:cs="Times New Roman"/>
          <w:kern w:val="2"/>
          <w:sz w:val="20"/>
        </w:rPr>
        <w:t xml:space="preserve">by knowingly engaging in corruption offences on three or more occasions, companies meet the definition of </w:t>
      </w:r>
      <w:r w:rsidR="00321984" w:rsidRPr="006E1DA8">
        <w:rPr>
          <w:rFonts w:cs="Times New Roman"/>
          <w:kern w:val="2"/>
          <w:sz w:val="20"/>
        </w:rPr>
        <w:t>“</w:t>
      </w:r>
      <w:r w:rsidR="005E17F5" w:rsidRPr="006E1DA8">
        <w:rPr>
          <w:rFonts w:cs="Times New Roman"/>
          <w:kern w:val="2"/>
          <w:sz w:val="20"/>
        </w:rPr>
        <w:t>criminal organization</w:t>
      </w:r>
      <w:r w:rsidR="00321984" w:rsidRPr="006E1DA8">
        <w:rPr>
          <w:rFonts w:cs="Times New Roman"/>
          <w:kern w:val="2"/>
          <w:sz w:val="20"/>
        </w:rPr>
        <w:t>”</w:t>
      </w:r>
      <w:r w:rsidR="00E87B08" w:rsidRPr="006E1DA8">
        <w:rPr>
          <w:rFonts w:cs="Times New Roman"/>
          <w:kern w:val="2"/>
          <w:sz w:val="20"/>
        </w:rPr>
        <w:t xml:space="preserve"> under section 467.1</w:t>
      </w:r>
      <w:r w:rsidR="008478EB" w:rsidRPr="006E1DA8">
        <w:rPr>
          <w:rFonts w:cs="Times New Roman"/>
          <w:kern w:val="2"/>
          <w:sz w:val="20"/>
        </w:rPr>
        <w:t>,</w:t>
      </w:r>
      <w:r w:rsidR="00E87B08" w:rsidRPr="006E1DA8">
        <w:rPr>
          <w:rFonts w:cs="Times New Roman"/>
          <w:kern w:val="2"/>
          <w:sz w:val="20"/>
        </w:rPr>
        <w:t xml:space="preserve"> and can </w:t>
      </w:r>
      <w:r w:rsidR="009B06EA" w:rsidRPr="006E1DA8">
        <w:rPr>
          <w:rFonts w:cs="Times New Roman"/>
          <w:kern w:val="2"/>
          <w:sz w:val="20"/>
        </w:rPr>
        <w:t xml:space="preserve">therefore </w:t>
      </w:r>
      <w:r w:rsidR="00E87B08" w:rsidRPr="006E1DA8">
        <w:rPr>
          <w:rFonts w:cs="Times New Roman"/>
          <w:kern w:val="2"/>
          <w:sz w:val="20"/>
        </w:rPr>
        <w:t>be prosecuted for the additional criminal organization offences</w:t>
      </w:r>
      <w:r w:rsidR="00304958" w:rsidRPr="006E1DA8">
        <w:rPr>
          <w:rFonts w:cs="Times New Roman"/>
          <w:kern w:val="2"/>
          <w:sz w:val="20"/>
        </w:rPr>
        <w:t xml:space="preserve"> in the </w:t>
      </w:r>
      <w:r w:rsidR="00304958" w:rsidRPr="006E1DA8">
        <w:rPr>
          <w:rFonts w:cs="Times New Roman"/>
          <w:i/>
          <w:kern w:val="2"/>
          <w:sz w:val="20"/>
        </w:rPr>
        <w:t>Criminal Code</w:t>
      </w:r>
      <w:r w:rsidR="004D2291" w:rsidRPr="006E1DA8">
        <w:rPr>
          <w:rFonts w:cs="Times New Roman"/>
          <w:i/>
          <w:kern w:val="2"/>
          <w:sz w:val="20"/>
        </w:rPr>
        <w:t>.</w:t>
      </w:r>
      <w:r w:rsidRPr="006E1DA8">
        <w:rPr>
          <w:rFonts w:cs="Times New Roman"/>
          <w:kern w:val="2"/>
          <w:sz w:val="20"/>
        </w:rPr>
        <w:t xml:space="preserve"> Notably, the </w:t>
      </w:r>
      <w:r w:rsidR="00304958" w:rsidRPr="006E1DA8">
        <w:rPr>
          <w:rFonts w:cs="Times New Roman"/>
          <w:kern w:val="2"/>
          <w:sz w:val="20"/>
        </w:rPr>
        <w:t xml:space="preserve">broad </w:t>
      </w:r>
      <w:r w:rsidRPr="006E1DA8">
        <w:rPr>
          <w:rFonts w:cs="Times New Roman"/>
          <w:kern w:val="2"/>
          <w:sz w:val="20"/>
        </w:rPr>
        <w:t xml:space="preserve">definition </w:t>
      </w:r>
      <w:r w:rsidR="00304958" w:rsidRPr="006E1DA8">
        <w:rPr>
          <w:rFonts w:cs="Times New Roman"/>
          <w:kern w:val="2"/>
          <w:sz w:val="20"/>
        </w:rPr>
        <w:t xml:space="preserve">of </w:t>
      </w:r>
      <w:r w:rsidR="00321984" w:rsidRPr="006E1DA8">
        <w:rPr>
          <w:rFonts w:cs="Times New Roman"/>
          <w:kern w:val="2"/>
          <w:sz w:val="20"/>
        </w:rPr>
        <w:t>“</w:t>
      </w:r>
      <w:r w:rsidR="00304958" w:rsidRPr="006E1DA8">
        <w:rPr>
          <w:rFonts w:cs="Times New Roman"/>
          <w:kern w:val="2"/>
          <w:sz w:val="20"/>
        </w:rPr>
        <w:t>organization</w:t>
      </w:r>
      <w:r w:rsidR="00321984" w:rsidRPr="006E1DA8">
        <w:rPr>
          <w:rFonts w:cs="Times New Roman"/>
          <w:kern w:val="2"/>
          <w:sz w:val="20"/>
        </w:rPr>
        <w:t>”</w:t>
      </w:r>
      <w:r w:rsidR="00304958" w:rsidRPr="006E1DA8">
        <w:rPr>
          <w:rFonts w:cs="Times New Roman"/>
          <w:kern w:val="2"/>
          <w:sz w:val="20"/>
        </w:rPr>
        <w:t xml:space="preserve"> </w:t>
      </w:r>
      <w:r w:rsidRPr="006E1DA8">
        <w:rPr>
          <w:rFonts w:cs="Times New Roman"/>
          <w:kern w:val="2"/>
          <w:sz w:val="20"/>
        </w:rPr>
        <w:t>extends liability to types of organizations</w:t>
      </w:r>
      <w:r w:rsidR="00E87B08" w:rsidRPr="006E1DA8">
        <w:rPr>
          <w:rFonts w:cs="Times New Roman"/>
          <w:kern w:val="2"/>
          <w:sz w:val="20"/>
        </w:rPr>
        <w:t xml:space="preserve"> that do not have the status of</w:t>
      </w:r>
      <w:r w:rsidRPr="006E1DA8">
        <w:rPr>
          <w:rFonts w:cs="Times New Roman"/>
          <w:kern w:val="2"/>
          <w:sz w:val="20"/>
        </w:rPr>
        <w:t xml:space="preserve"> legal persons</w:t>
      </w:r>
      <w:r w:rsidR="00304958" w:rsidRPr="006E1DA8">
        <w:rPr>
          <w:rFonts w:cs="Times New Roman"/>
          <w:kern w:val="2"/>
          <w:sz w:val="20"/>
        </w:rPr>
        <w:t xml:space="preserve"> in the same way that corporations do</w:t>
      </w:r>
      <w:r w:rsidRPr="006E1DA8">
        <w:rPr>
          <w:rFonts w:cs="Times New Roman"/>
          <w:kern w:val="2"/>
          <w:sz w:val="20"/>
        </w:rPr>
        <w:t>.</w:t>
      </w:r>
    </w:p>
    <w:p w14:paraId="38B09481" w14:textId="6573EF4D" w:rsidR="00827F7D" w:rsidRPr="006E1DA8" w:rsidRDefault="00090039" w:rsidP="00827F7D">
      <w:pPr>
        <w:rPr>
          <w:rFonts w:cs="Times New Roman"/>
          <w:kern w:val="2"/>
          <w:sz w:val="20"/>
        </w:rPr>
      </w:pPr>
      <w:r w:rsidRPr="006E1DA8">
        <w:rPr>
          <w:rFonts w:cs="Times New Roman"/>
          <w:kern w:val="2"/>
          <w:sz w:val="20"/>
        </w:rPr>
        <w:t xml:space="preserve">Prior to 2004, corporate criminal liability was based on the common law principle of the directing mind. In 2003, the Canadian Government amended the </w:t>
      </w:r>
      <w:r w:rsidR="00827F7D" w:rsidRPr="006E1DA8">
        <w:rPr>
          <w:rFonts w:cs="Times New Roman"/>
          <w:i/>
          <w:iCs/>
          <w:kern w:val="2"/>
          <w:sz w:val="20"/>
        </w:rPr>
        <w:t>Criminal Code</w:t>
      </w:r>
      <w:r w:rsidR="00827F7D" w:rsidRPr="006E1DA8">
        <w:rPr>
          <w:rFonts w:cs="Times New Roman"/>
          <w:kern w:val="2"/>
          <w:sz w:val="20"/>
        </w:rPr>
        <w:t xml:space="preserve"> and replaced the common law </w:t>
      </w:r>
      <w:r w:rsidR="00321984" w:rsidRPr="006E1DA8">
        <w:rPr>
          <w:rFonts w:cs="Times New Roman"/>
          <w:kern w:val="2"/>
          <w:sz w:val="20"/>
        </w:rPr>
        <w:t>“</w:t>
      </w:r>
      <w:r w:rsidR="00827F7D" w:rsidRPr="006E1DA8">
        <w:rPr>
          <w:rFonts w:cs="Times New Roman"/>
          <w:kern w:val="2"/>
          <w:sz w:val="20"/>
        </w:rPr>
        <w:t>directing minds</w:t>
      </w:r>
      <w:r w:rsidR="00321984" w:rsidRPr="006E1DA8">
        <w:rPr>
          <w:rFonts w:cs="Times New Roman"/>
          <w:kern w:val="2"/>
          <w:sz w:val="20"/>
        </w:rPr>
        <w:t>”</w:t>
      </w:r>
      <w:r w:rsidR="00827F7D" w:rsidRPr="006E1DA8">
        <w:rPr>
          <w:rFonts w:cs="Times New Roman"/>
          <w:kern w:val="2"/>
          <w:sz w:val="20"/>
        </w:rPr>
        <w:t xml:space="preserve"> doctrine with a statutory scheme for corporate criminal liability. </w:t>
      </w:r>
      <w:r w:rsidRPr="006E1DA8">
        <w:rPr>
          <w:rFonts w:cs="Times New Roman"/>
          <w:kern w:val="2"/>
          <w:sz w:val="20"/>
        </w:rPr>
        <w:t xml:space="preserve">This new statutory scheme uses a much broader and more flexible definition of </w:t>
      </w:r>
      <w:r w:rsidR="00E41409" w:rsidRPr="006E1DA8">
        <w:rPr>
          <w:rFonts w:cs="Times New Roman"/>
          <w:kern w:val="2"/>
          <w:sz w:val="20"/>
        </w:rPr>
        <w:t>which</w:t>
      </w:r>
      <w:r w:rsidRPr="006E1DA8">
        <w:rPr>
          <w:rFonts w:cs="Times New Roman"/>
          <w:kern w:val="2"/>
          <w:sz w:val="20"/>
        </w:rPr>
        <w:t xml:space="preserve"> officials in a corporation are to be </w:t>
      </w:r>
      <w:r w:rsidR="00321984" w:rsidRPr="006E1DA8">
        <w:rPr>
          <w:rFonts w:cs="Times New Roman"/>
          <w:kern w:val="2"/>
          <w:sz w:val="20"/>
        </w:rPr>
        <w:t>“</w:t>
      </w:r>
      <w:r w:rsidRPr="006E1DA8">
        <w:rPr>
          <w:rFonts w:cs="Times New Roman"/>
          <w:kern w:val="2"/>
          <w:sz w:val="20"/>
        </w:rPr>
        <w:t>identified</w:t>
      </w:r>
      <w:r w:rsidR="00321984" w:rsidRPr="006E1DA8">
        <w:rPr>
          <w:rFonts w:cs="Times New Roman"/>
          <w:kern w:val="2"/>
          <w:sz w:val="20"/>
        </w:rPr>
        <w:t>”</w:t>
      </w:r>
      <w:r w:rsidRPr="006E1DA8">
        <w:rPr>
          <w:rFonts w:cs="Times New Roman"/>
          <w:kern w:val="2"/>
          <w:sz w:val="20"/>
        </w:rPr>
        <w:t xml:space="preserve"> as the corporation in respect to their acts, omissions and states of mind. </w:t>
      </w:r>
      <w:r w:rsidR="00827F7D" w:rsidRPr="006E1DA8">
        <w:rPr>
          <w:rFonts w:cs="Times New Roman"/>
          <w:kern w:val="2"/>
          <w:sz w:val="20"/>
        </w:rPr>
        <w:t xml:space="preserve">Via section 34(2) of the federal </w:t>
      </w:r>
      <w:r w:rsidR="00827F7D" w:rsidRPr="006E1DA8">
        <w:rPr>
          <w:rFonts w:cs="Times New Roman"/>
          <w:i/>
          <w:iCs/>
          <w:kern w:val="2"/>
          <w:sz w:val="20"/>
        </w:rPr>
        <w:t>Interpretation Act</w:t>
      </w:r>
      <w:r w:rsidR="00827F7D" w:rsidRPr="006E1DA8">
        <w:rPr>
          <w:rFonts w:cs="Times New Roman"/>
          <w:kern w:val="2"/>
          <w:sz w:val="20"/>
        </w:rPr>
        <w:t xml:space="preserve">, </w:t>
      </w:r>
      <w:r w:rsidRPr="006E1DA8">
        <w:rPr>
          <w:rFonts w:cs="Times New Roman"/>
          <w:kern w:val="2"/>
          <w:sz w:val="20"/>
        </w:rPr>
        <w:t xml:space="preserve">the new </w:t>
      </w:r>
      <w:r w:rsidRPr="006E1DA8">
        <w:rPr>
          <w:rFonts w:cs="Times New Roman"/>
          <w:i/>
          <w:kern w:val="2"/>
          <w:sz w:val="20"/>
        </w:rPr>
        <w:t xml:space="preserve">Criminal Code </w:t>
      </w:r>
      <w:r w:rsidRPr="006E1DA8">
        <w:rPr>
          <w:rFonts w:cs="Times New Roman"/>
          <w:kern w:val="2"/>
          <w:sz w:val="20"/>
        </w:rPr>
        <w:t xml:space="preserve">corporate liability scheme also applies to </w:t>
      </w:r>
      <w:r w:rsidRPr="006E1DA8">
        <w:rPr>
          <w:rFonts w:cs="Times New Roman"/>
          <w:i/>
          <w:kern w:val="2"/>
          <w:sz w:val="20"/>
        </w:rPr>
        <w:t xml:space="preserve">CFPOA </w:t>
      </w:r>
      <w:r w:rsidRPr="006E1DA8">
        <w:rPr>
          <w:rFonts w:cs="Times New Roman"/>
          <w:kern w:val="2"/>
          <w:sz w:val="20"/>
        </w:rPr>
        <w:t xml:space="preserve">offences. </w:t>
      </w:r>
      <w:r w:rsidR="00827F7D" w:rsidRPr="006E1DA8">
        <w:rPr>
          <w:rFonts w:cs="Times New Roman"/>
          <w:kern w:val="2"/>
          <w:sz w:val="20"/>
        </w:rPr>
        <w:t xml:space="preserve">Section 22.1 of the </w:t>
      </w:r>
      <w:r w:rsidR="00827F7D" w:rsidRPr="006E1DA8">
        <w:rPr>
          <w:rFonts w:cs="Times New Roman"/>
          <w:i/>
          <w:kern w:val="2"/>
          <w:sz w:val="20"/>
        </w:rPr>
        <w:t>Criminal Code</w:t>
      </w:r>
      <w:r w:rsidR="00827F7D" w:rsidRPr="006E1DA8">
        <w:rPr>
          <w:rFonts w:cs="Times New Roman"/>
          <w:kern w:val="2"/>
          <w:sz w:val="20"/>
        </w:rPr>
        <w:t xml:space="preserve"> widens the scope of corporate criminal liability in the context of </w:t>
      </w:r>
      <w:r w:rsidRPr="006E1DA8">
        <w:rPr>
          <w:rFonts w:cs="Times New Roman"/>
          <w:kern w:val="2"/>
          <w:sz w:val="20"/>
        </w:rPr>
        <w:t xml:space="preserve">criminal and penal </w:t>
      </w:r>
      <w:r w:rsidR="00827F7D" w:rsidRPr="006E1DA8">
        <w:rPr>
          <w:rFonts w:cs="Times New Roman"/>
          <w:kern w:val="2"/>
          <w:sz w:val="20"/>
        </w:rPr>
        <w:t>negligence offences</w:t>
      </w:r>
      <w:r w:rsidR="00E41409" w:rsidRPr="006E1DA8">
        <w:rPr>
          <w:rFonts w:cs="Times New Roman"/>
          <w:kern w:val="2"/>
          <w:sz w:val="20"/>
        </w:rPr>
        <w:t>,</w:t>
      </w:r>
      <w:r w:rsidR="00827F7D" w:rsidRPr="006E1DA8">
        <w:rPr>
          <w:rFonts w:cs="Times New Roman"/>
          <w:kern w:val="2"/>
          <w:sz w:val="20"/>
        </w:rPr>
        <w:t xml:space="preserve"> and section 22.2 </w:t>
      </w:r>
      <w:r w:rsidRPr="006E1DA8">
        <w:rPr>
          <w:rFonts w:cs="Times New Roman"/>
          <w:kern w:val="2"/>
          <w:sz w:val="20"/>
        </w:rPr>
        <w:t xml:space="preserve">provides the test for other </w:t>
      </w:r>
      <w:proofErr w:type="spellStart"/>
      <w:r w:rsidR="00827F7D" w:rsidRPr="006E1DA8">
        <w:rPr>
          <w:rFonts w:cs="Times New Roman"/>
          <w:i/>
          <w:kern w:val="2"/>
          <w:sz w:val="20"/>
        </w:rPr>
        <w:t>mens</w:t>
      </w:r>
      <w:proofErr w:type="spellEnd"/>
      <w:r w:rsidR="00827F7D" w:rsidRPr="006E1DA8">
        <w:rPr>
          <w:rFonts w:cs="Times New Roman"/>
          <w:i/>
          <w:kern w:val="2"/>
          <w:sz w:val="20"/>
        </w:rPr>
        <w:t xml:space="preserve"> rea</w:t>
      </w:r>
      <w:r w:rsidR="00827F7D" w:rsidRPr="006E1DA8">
        <w:rPr>
          <w:rFonts w:cs="Times New Roman"/>
          <w:kern w:val="2"/>
          <w:sz w:val="20"/>
        </w:rPr>
        <w:t xml:space="preserve">-based offences. Section 22.2 is the relevant section of the </w:t>
      </w:r>
      <w:r w:rsidR="00827F7D" w:rsidRPr="006E1DA8">
        <w:rPr>
          <w:rFonts w:cs="Times New Roman"/>
          <w:i/>
          <w:iCs/>
          <w:kern w:val="2"/>
          <w:sz w:val="20"/>
        </w:rPr>
        <w:t>Criminal Code</w:t>
      </w:r>
      <w:r w:rsidR="00827F7D" w:rsidRPr="006E1DA8">
        <w:rPr>
          <w:rFonts w:cs="Times New Roman"/>
          <w:kern w:val="2"/>
          <w:sz w:val="20"/>
        </w:rPr>
        <w:t xml:space="preserve"> for determining corporate liability </w:t>
      </w:r>
      <w:r w:rsidR="0038299C" w:rsidRPr="006E1DA8">
        <w:rPr>
          <w:rFonts w:cs="Times New Roman"/>
          <w:kern w:val="2"/>
          <w:sz w:val="20"/>
        </w:rPr>
        <w:t xml:space="preserve">for offences </w:t>
      </w:r>
      <w:r w:rsidR="00827F7D" w:rsidRPr="006E1DA8">
        <w:rPr>
          <w:rFonts w:cs="Times New Roman"/>
          <w:kern w:val="2"/>
          <w:sz w:val="20"/>
        </w:rPr>
        <w:t xml:space="preserve">under the </w:t>
      </w:r>
      <w:r w:rsidR="00827F7D" w:rsidRPr="006E1DA8">
        <w:rPr>
          <w:rFonts w:cs="Times New Roman"/>
          <w:i/>
          <w:iCs/>
          <w:kern w:val="2"/>
          <w:sz w:val="20"/>
        </w:rPr>
        <w:t>CFPOA</w:t>
      </w:r>
      <w:r w:rsidR="0038299C" w:rsidRPr="006E1DA8">
        <w:rPr>
          <w:rFonts w:cs="Times New Roman"/>
          <w:iCs/>
          <w:kern w:val="2"/>
          <w:sz w:val="20"/>
        </w:rPr>
        <w:t xml:space="preserve"> </w:t>
      </w:r>
      <w:r w:rsidR="00737150" w:rsidRPr="006E1DA8">
        <w:rPr>
          <w:rFonts w:cs="Times New Roman"/>
          <w:iCs/>
          <w:kern w:val="2"/>
          <w:sz w:val="20"/>
        </w:rPr>
        <w:t xml:space="preserve">since those offences </w:t>
      </w:r>
      <w:r w:rsidR="0038299C" w:rsidRPr="006E1DA8">
        <w:rPr>
          <w:rFonts w:cs="Times New Roman"/>
          <w:iCs/>
          <w:kern w:val="2"/>
          <w:sz w:val="20"/>
        </w:rPr>
        <w:t>require the prosecutor to prove subjective fault</w:t>
      </w:r>
      <w:r w:rsidR="00827F7D" w:rsidRPr="006E1DA8">
        <w:rPr>
          <w:rFonts w:cs="Times New Roman"/>
          <w:i/>
          <w:iCs/>
          <w:kern w:val="2"/>
          <w:sz w:val="20"/>
        </w:rPr>
        <w:t xml:space="preserve">. </w:t>
      </w:r>
      <w:r w:rsidR="00827F7D" w:rsidRPr="006E1DA8">
        <w:rPr>
          <w:rFonts w:cs="Times New Roman"/>
          <w:iCs/>
          <w:kern w:val="2"/>
          <w:sz w:val="20"/>
        </w:rPr>
        <w:t xml:space="preserve">It </w:t>
      </w:r>
      <w:r w:rsidR="00827F7D" w:rsidRPr="006E1DA8">
        <w:rPr>
          <w:rFonts w:cs="Times New Roman"/>
          <w:kern w:val="2"/>
          <w:sz w:val="20"/>
        </w:rPr>
        <w:t>reads as follows:</w:t>
      </w:r>
    </w:p>
    <w:p w14:paraId="06670E28" w14:textId="77777777" w:rsidR="00827F7D" w:rsidRPr="006E1DA8" w:rsidRDefault="00827F7D" w:rsidP="00D40254">
      <w:pPr>
        <w:pStyle w:val="BlockQuote"/>
        <w:rPr>
          <w:kern w:val="2"/>
          <w:sz w:val="20"/>
        </w:rPr>
      </w:pPr>
      <w:r w:rsidRPr="006E1DA8">
        <w:rPr>
          <w:rStyle w:val="srnumbold"/>
          <w:rFonts w:cs="Times New Roman"/>
          <w:kern w:val="2"/>
          <w:sz w:val="20"/>
          <w:szCs w:val="21"/>
        </w:rPr>
        <w:t>22.2</w:t>
      </w:r>
      <w:r w:rsidRPr="006E1DA8">
        <w:rPr>
          <w:kern w:val="2"/>
          <w:sz w:val="20"/>
        </w:rPr>
        <w:t xml:space="preserve"> In respect of an offence that requires the prosecution to prove fault—other than negligence—an organization is a party to the offence if, with the intent at least in part to benefit the organization, one of its senior officers</w:t>
      </w:r>
    </w:p>
    <w:p w14:paraId="3A96C16A" w14:textId="435F5347" w:rsidR="00827F7D" w:rsidRPr="006E1DA8" w:rsidRDefault="00827F7D" w:rsidP="009D3B31">
      <w:pPr>
        <w:pStyle w:val="BlockQuote"/>
        <w:numPr>
          <w:ilvl w:val="0"/>
          <w:numId w:val="35"/>
        </w:numPr>
        <w:spacing w:before="60" w:after="0"/>
        <w:jc w:val="left"/>
        <w:rPr>
          <w:kern w:val="2"/>
          <w:sz w:val="20"/>
        </w:rPr>
      </w:pPr>
      <w:bookmarkStart w:id="20" w:name="statreg_5999_para2423854"/>
      <w:bookmarkStart w:id="21" w:name="statreg_5999_22.2(a)"/>
      <w:bookmarkEnd w:id="20"/>
      <w:bookmarkEnd w:id="21"/>
      <w:r w:rsidRPr="006E1DA8">
        <w:rPr>
          <w:kern w:val="2"/>
          <w:sz w:val="20"/>
        </w:rPr>
        <w:t>acting within the scope of their authority, is a party to the offence;</w:t>
      </w:r>
    </w:p>
    <w:p w14:paraId="4486D1C7" w14:textId="3B0A95DF" w:rsidR="00827F7D" w:rsidRPr="006E1DA8" w:rsidRDefault="00827F7D" w:rsidP="009D3B31">
      <w:pPr>
        <w:pStyle w:val="BlockQuote"/>
        <w:numPr>
          <w:ilvl w:val="0"/>
          <w:numId w:val="35"/>
        </w:numPr>
        <w:spacing w:before="60" w:after="0"/>
        <w:jc w:val="left"/>
        <w:rPr>
          <w:kern w:val="2"/>
          <w:sz w:val="20"/>
        </w:rPr>
      </w:pPr>
      <w:bookmarkStart w:id="22" w:name="statreg_5999_para2423855"/>
      <w:bookmarkStart w:id="23" w:name="statreg_5999_22.2(b)"/>
      <w:bookmarkEnd w:id="22"/>
      <w:bookmarkEnd w:id="23"/>
      <w:r w:rsidRPr="006E1DA8">
        <w:rPr>
          <w:kern w:val="2"/>
          <w:sz w:val="20"/>
        </w:rPr>
        <w:t>having the mental state required to be a party to the offence and acting within the scope of their authority, directs the work of other representatives of the organization so that they do the act or make the omission specified in the offence; or</w:t>
      </w:r>
    </w:p>
    <w:p w14:paraId="032AAA12" w14:textId="20246601" w:rsidR="00827F7D" w:rsidRPr="006E1DA8" w:rsidRDefault="00827F7D" w:rsidP="009D3B31">
      <w:pPr>
        <w:pStyle w:val="BlockQuote"/>
        <w:numPr>
          <w:ilvl w:val="0"/>
          <w:numId w:val="35"/>
        </w:numPr>
        <w:spacing w:before="60" w:after="0"/>
        <w:jc w:val="left"/>
        <w:rPr>
          <w:kern w:val="2"/>
          <w:sz w:val="20"/>
        </w:rPr>
      </w:pPr>
      <w:bookmarkStart w:id="24" w:name="statreg_5999_para2423856"/>
      <w:bookmarkStart w:id="25" w:name="statreg_5999_22.2(c)"/>
      <w:bookmarkEnd w:id="24"/>
      <w:bookmarkEnd w:id="25"/>
      <w:proofErr w:type="gramStart"/>
      <w:r w:rsidRPr="006E1DA8">
        <w:rPr>
          <w:kern w:val="2"/>
          <w:sz w:val="20"/>
        </w:rPr>
        <w:t>knowing</w:t>
      </w:r>
      <w:proofErr w:type="gramEnd"/>
      <w:r w:rsidRPr="006E1DA8">
        <w:rPr>
          <w:kern w:val="2"/>
          <w:sz w:val="20"/>
        </w:rPr>
        <w:t xml:space="preserve"> that a representative of the organization is or is about to be a party to the offence, does not take all reasonable measures to stop them from being a party to the offence.</w:t>
      </w:r>
    </w:p>
    <w:p w14:paraId="16CB21CC" w14:textId="5342204B" w:rsidR="00827F7D" w:rsidRPr="006E1DA8" w:rsidRDefault="00827F7D" w:rsidP="00D40254">
      <w:pPr>
        <w:pStyle w:val="srse3"/>
        <w:rPr>
          <w:rFonts w:ascii="Palatino Linotype" w:hAnsi="Palatino Linotype"/>
          <w:kern w:val="2"/>
          <w:sz w:val="20"/>
        </w:rPr>
      </w:pPr>
      <w:r w:rsidRPr="006E1DA8">
        <w:rPr>
          <w:rFonts w:ascii="Palatino Linotype" w:hAnsi="Palatino Linotype"/>
          <w:kern w:val="2"/>
          <w:sz w:val="20"/>
        </w:rPr>
        <w:t>This statutory scheme for</w:t>
      </w:r>
      <w:r w:rsidR="00D14A5F" w:rsidRPr="006E1DA8">
        <w:rPr>
          <w:rFonts w:ascii="Palatino Linotype" w:hAnsi="Palatino Linotype"/>
          <w:kern w:val="2"/>
          <w:sz w:val="20"/>
        </w:rPr>
        <w:t xml:space="preserve"> corporate liability for</w:t>
      </w:r>
      <w:r w:rsidRPr="006E1DA8">
        <w:rPr>
          <w:rFonts w:ascii="Palatino Linotype" w:hAnsi="Palatino Linotype"/>
          <w:kern w:val="2"/>
          <w:sz w:val="20"/>
        </w:rPr>
        <w:t xml:space="preserve"> crimes which require subjective fault still relies on the identification theory. However</w:t>
      </w:r>
      <w:r w:rsidR="00E41409" w:rsidRPr="006E1DA8">
        <w:rPr>
          <w:rFonts w:ascii="Palatino Linotype" w:hAnsi="Palatino Linotype"/>
          <w:kern w:val="2"/>
          <w:sz w:val="20"/>
        </w:rPr>
        <w:t>,</w:t>
      </w:r>
      <w:r w:rsidRPr="006E1DA8">
        <w:rPr>
          <w:rFonts w:ascii="Palatino Linotype" w:hAnsi="Palatino Linotype"/>
          <w:kern w:val="2"/>
          <w:sz w:val="20"/>
        </w:rPr>
        <w:t xml:space="preserve"> the common law concept of </w:t>
      </w:r>
      <w:r w:rsidR="00321984" w:rsidRPr="006E1DA8">
        <w:rPr>
          <w:rFonts w:ascii="Palatino Linotype" w:hAnsi="Palatino Linotype"/>
          <w:kern w:val="2"/>
          <w:sz w:val="20"/>
        </w:rPr>
        <w:t>“</w:t>
      </w:r>
      <w:r w:rsidRPr="006E1DA8">
        <w:rPr>
          <w:rFonts w:ascii="Palatino Linotype" w:hAnsi="Palatino Linotype"/>
          <w:kern w:val="2"/>
          <w:sz w:val="20"/>
        </w:rPr>
        <w:t>directing minds</w:t>
      </w:r>
      <w:r w:rsidR="00321984" w:rsidRPr="006E1DA8">
        <w:rPr>
          <w:rFonts w:ascii="Palatino Linotype" w:hAnsi="Palatino Linotype"/>
          <w:kern w:val="2"/>
          <w:sz w:val="20"/>
        </w:rPr>
        <w:t>”</w:t>
      </w:r>
      <w:r w:rsidRPr="006E1DA8">
        <w:rPr>
          <w:rFonts w:ascii="Palatino Linotype" w:hAnsi="Palatino Linotype"/>
          <w:kern w:val="2"/>
          <w:sz w:val="20"/>
        </w:rPr>
        <w:t xml:space="preserve"> has been replaced with the broader concept of </w:t>
      </w:r>
      <w:r w:rsidR="00321984" w:rsidRPr="006E1DA8">
        <w:rPr>
          <w:rFonts w:ascii="Palatino Linotype" w:hAnsi="Palatino Linotype"/>
          <w:kern w:val="2"/>
          <w:sz w:val="20"/>
        </w:rPr>
        <w:t>“</w:t>
      </w:r>
      <w:r w:rsidRPr="006E1DA8">
        <w:rPr>
          <w:rFonts w:ascii="Palatino Linotype" w:hAnsi="Palatino Linotype"/>
          <w:kern w:val="2"/>
          <w:sz w:val="20"/>
        </w:rPr>
        <w:t>senior officers</w:t>
      </w:r>
      <w:r w:rsidR="00C9296A" w:rsidRPr="006E1DA8">
        <w:rPr>
          <w:rFonts w:ascii="Palatino Linotype" w:hAnsi="Palatino Linotype"/>
          <w:kern w:val="2"/>
          <w:sz w:val="20"/>
        </w:rPr>
        <w:t>.</w:t>
      </w:r>
      <w:r w:rsidR="00321984" w:rsidRPr="006E1DA8">
        <w:rPr>
          <w:rFonts w:ascii="Palatino Linotype" w:hAnsi="Palatino Linotype"/>
          <w:kern w:val="2"/>
          <w:sz w:val="20"/>
        </w:rPr>
        <w:t>”</w:t>
      </w:r>
      <w:r w:rsidRPr="006E1DA8">
        <w:rPr>
          <w:rFonts w:ascii="Palatino Linotype" w:hAnsi="Palatino Linotype"/>
          <w:kern w:val="2"/>
          <w:sz w:val="20"/>
        </w:rPr>
        <w:t xml:space="preserve"> </w:t>
      </w:r>
      <w:r w:rsidR="001310EE" w:rsidRPr="006E1DA8">
        <w:rPr>
          <w:rFonts w:ascii="Palatino Linotype" w:hAnsi="Palatino Linotype"/>
          <w:kern w:val="2"/>
          <w:sz w:val="20"/>
        </w:rPr>
        <w:t xml:space="preserve">A </w:t>
      </w:r>
      <w:r w:rsidR="00321984" w:rsidRPr="006E1DA8">
        <w:rPr>
          <w:rFonts w:ascii="Palatino Linotype" w:hAnsi="Palatino Linotype"/>
          <w:kern w:val="2"/>
          <w:sz w:val="20"/>
        </w:rPr>
        <w:t>“</w:t>
      </w:r>
      <w:r w:rsidR="001310EE" w:rsidRPr="006E1DA8">
        <w:rPr>
          <w:rFonts w:ascii="Palatino Linotype" w:hAnsi="Palatino Linotype"/>
          <w:kern w:val="2"/>
          <w:sz w:val="20"/>
        </w:rPr>
        <w:t>senior officer</w:t>
      </w:r>
      <w:r w:rsidR="00321984" w:rsidRPr="006E1DA8">
        <w:rPr>
          <w:rFonts w:ascii="Palatino Linotype" w:hAnsi="Palatino Linotype"/>
          <w:kern w:val="2"/>
          <w:sz w:val="20"/>
        </w:rPr>
        <w:t>”</w:t>
      </w:r>
      <w:r w:rsidRPr="006E1DA8">
        <w:rPr>
          <w:rFonts w:ascii="Palatino Linotype" w:hAnsi="Palatino Linotype"/>
          <w:kern w:val="2"/>
          <w:sz w:val="20"/>
        </w:rPr>
        <w:t xml:space="preserve"> is defined in the </w:t>
      </w:r>
      <w:r w:rsidRPr="006E1DA8">
        <w:rPr>
          <w:rFonts w:ascii="Palatino Linotype" w:hAnsi="Palatino Linotype"/>
          <w:i/>
          <w:iCs/>
          <w:kern w:val="2"/>
          <w:sz w:val="20"/>
        </w:rPr>
        <w:t xml:space="preserve">Criminal Code </w:t>
      </w:r>
      <w:r w:rsidRPr="006E1DA8">
        <w:rPr>
          <w:rFonts w:ascii="Palatino Linotype" w:hAnsi="Palatino Linotype"/>
          <w:kern w:val="2"/>
          <w:sz w:val="20"/>
        </w:rPr>
        <w:t>as follows:</w:t>
      </w:r>
    </w:p>
    <w:p w14:paraId="09DC5DDD" w14:textId="5A55153D" w:rsidR="00827F7D" w:rsidRPr="006E1DA8" w:rsidRDefault="00827F7D" w:rsidP="00D40254">
      <w:pPr>
        <w:pStyle w:val="BlockQuote"/>
        <w:rPr>
          <w:kern w:val="2"/>
          <w:sz w:val="20"/>
        </w:rPr>
      </w:pPr>
      <w:proofErr w:type="gramStart"/>
      <w:r w:rsidRPr="006E1DA8">
        <w:rPr>
          <w:kern w:val="2"/>
          <w:sz w:val="20"/>
        </w:rPr>
        <w:t>a</w:t>
      </w:r>
      <w:proofErr w:type="gramEnd"/>
      <w:r w:rsidRPr="006E1DA8">
        <w:rPr>
          <w:kern w:val="2"/>
          <w:sz w:val="20"/>
        </w:rPr>
        <w:t xml:space="preserve"> representative who plays an important role in the establishment of an organization’s policies or is responsible for managing an important aspect of the organization’s activities and, in the case of a body corporate, includes a director, its chief executive officer and its chief financial officer</w:t>
      </w:r>
      <w:r w:rsidR="001310EE" w:rsidRPr="006E1DA8">
        <w:rPr>
          <w:kern w:val="2"/>
          <w:sz w:val="20"/>
        </w:rPr>
        <w:t>.</w:t>
      </w:r>
    </w:p>
    <w:p w14:paraId="6609AE17" w14:textId="34E0BEE4" w:rsidR="00827F7D" w:rsidRPr="006E1DA8" w:rsidRDefault="00321984" w:rsidP="00827F7D">
      <w:pPr>
        <w:rPr>
          <w:rFonts w:cs="Times New Roman"/>
          <w:kern w:val="2"/>
          <w:sz w:val="20"/>
        </w:rPr>
      </w:pPr>
      <w:r w:rsidRPr="006E1DA8">
        <w:rPr>
          <w:rFonts w:cs="Times New Roman"/>
          <w:kern w:val="2"/>
          <w:sz w:val="20"/>
        </w:rPr>
        <w:t>“</w:t>
      </w:r>
      <w:r w:rsidR="00827F7D" w:rsidRPr="006E1DA8">
        <w:rPr>
          <w:rFonts w:cs="Times New Roman"/>
          <w:kern w:val="2"/>
          <w:sz w:val="20"/>
        </w:rPr>
        <w:t>Representative</w:t>
      </w:r>
      <w:r w:rsidRPr="006E1DA8">
        <w:rPr>
          <w:rFonts w:cs="Times New Roman"/>
          <w:kern w:val="2"/>
          <w:sz w:val="20"/>
        </w:rPr>
        <w:t>”</w:t>
      </w:r>
      <w:r w:rsidR="00827F7D" w:rsidRPr="006E1DA8">
        <w:rPr>
          <w:rFonts w:cs="Times New Roman"/>
          <w:kern w:val="2"/>
          <w:sz w:val="20"/>
        </w:rPr>
        <w:t xml:space="preserve"> is defined to mean </w:t>
      </w:r>
      <w:r w:rsidRPr="006E1DA8">
        <w:rPr>
          <w:rFonts w:cs="Times New Roman"/>
          <w:kern w:val="2"/>
          <w:sz w:val="20"/>
        </w:rPr>
        <w:t>“</w:t>
      </w:r>
      <w:r w:rsidR="00827F7D" w:rsidRPr="006E1DA8">
        <w:rPr>
          <w:rFonts w:cs="Times New Roman"/>
          <w:kern w:val="2"/>
          <w:sz w:val="20"/>
        </w:rPr>
        <w:t>a director, partner, employee, member, agent or contractor of the organization</w:t>
      </w:r>
      <w:r w:rsidR="003D5D8B" w:rsidRPr="006E1DA8">
        <w:rPr>
          <w:rFonts w:cs="Times New Roman"/>
          <w:kern w:val="2"/>
          <w:sz w:val="20"/>
        </w:rPr>
        <w:t>.</w:t>
      </w:r>
      <w:r w:rsidRPr="006E1DA8">
        <w:rPr>
          <w:rFonts w:cs="Times New Roman"/>
          <w:kern w:val="2"/>
          <w:sz w:val="20"/>
        </w:rPr>
        <w:t>”</w:t>
      </w:r>
    </w:p>
    <w:p w14:paraId="09DBB681" w14:textId="27A87E6B" w:rsidR="001D1DCD" w:rsidRPr="006E1DA8" w:rsidRDefault="00827F7D" w:rsidP="00827F7D">
      <w:pPr>
        <w:rPr>
          <w:rFonts w:cs="Times New Roman"/>
          <w:kern w:val="2"/>
          <w:sz w:val="20"/>
        </w:rPr>
      </w:pPr>
      <w:r w:rsidRPr="006E1DA8">
        <w:rPr>
          <w:rFonts w:cs="Times New Roman"/>
          <w:kern w:val="2"/>
          <w:sz w:val="20"/>
        </w:rPr>
        <w:t xml:space="preserve">The term </w:t>
      </w:r>
      <w:r w:rsidR="00321984" w:rsidRPr="006E1DA8">
        <w:rPr>
          <w:rFonts w:cs="Times New Roman"/>
          <w:kern w:val="2"/>
          <w:sz w:val="20"/>
        </w:rPr>
        <w:t>“</w:t>
      </w:r>
      <w:r w:rsidRPr="006E1DA8">
        <w:rPr>
          <w:rFonts w:cs="Times New Roman"/>
          <w:kern w:val="2"/>
          <w:sz w:val="20"/>
        </w:rPr>
        <w:t>senior officer</w:t>
      </w:r>
      <w:r w:rsidR="00321984" w:rsidRPr="006E1DA8">
        <w:rPr>
          <w:rFonts w:cs="Times New Roman"/>
          <w:kern w:val="2"/>
          <w:sz w:val="20"/>
        </w:rPr>
        <w:t>”</w:t>
      </w:r>
      <w:r w:rsidRPr="006E1DA8">
        <w:rPr>
          <w:rFonts w:cs="Times New Roman"/>
          <w:kern w:val="2"/>
          <w:sz w:val="20"/>
        </w:rPr>
        <w:t xml:space="preserve"> is broader than the common law directing minds concept as it includes persons who are responsible for managing an important aspect of the company’s activities. Under the old test, in order for a person to be considered a directing mind, he or she had to</w:t>
      </w:r>
      <w:r w:rsidR="00D14A5F" w:rsidRPr="006E1DA8">
        <w:rPr>
          <w:rFonts w:cs="Times New Roman"/>
          <w:kern w:val="2"/>
          <w:sz w:val="20"/>
        </w:rPr>
        <w:t xml:space="preserve"> be more than a manager of an important aspect of the company’</w:t>
      </w:r>
      <w:r w:rsidR="00FA500A" w:rsidRPr="006E1DA8">
        <w:rPr>
          <w:rFonts w:cs="Times New Roman"/>
          <w:kern w:val="2"/>
          <w:sz w:val="20"/>
        </w:rPr>
        <w:t>s activities; he or she</w:t>
      </w:r>
      <w:r w:rsidR="00D14A5F" w:rsidRPr="006E1DA8">
        <w:rPr>
          <w:rFonts w:cs="Times New Roman"/>
          <w:kern w:val="2"/>
          <w:sz w:val="20"/>
        </w:rPr>
        <w:t xml:space="preserve"> also had to</w:t>
      </w:r>
      <w:r w:rsidRPr="006E1DA8">
        <w:rPr>
          <w:rFonts w:cs="Times New Roman"/>
          <w:kern w:val="2"/>
          <w:sz w:val="20"/>
        </w:rPr>
        <w:t xml:space="preserve"> have the authority to design or implement corporate policy. In practice, this made establishing corporate criminal liability very difficult.</w:t>
      </w:r>
      <w:r w:rsidRPr="006E1DA8">
        <w:rPr>
          <w:rStyle w:val="FootnoteReference"/>
          <w:rFonts w:cs="Times New Roman"/>
          <w:kern w:val="2"/>
          <w:sz w:val="20"/>
        </w:rPr>
        <w:footnoteReference w:id="101"/>
      </w:r>
      <w:r w:rsidR="0030612A" w:rsidRPr="006E1DA8">
        <w:rPr>
          <w:rFonts w:cs="Times New Roman"/>
          <w:kern w:val="2"/>
          <w:sz w:val="20"/>
        </w:rPr>
        <w:t xml:space="preserve"> </w:t>
      </w:r>
    </w:p>
    <w:p w14:paraId="7414BEC4" w14:textId="4716D5F1" w:rsidR="00827F7D" w:rsidRPr="006E1DA8" w:rsidRDefault="0030612A" w:rsidP="00827F7D">
      <w:pPr>
        <w:rPr>
          <w:rFonts w:cs="Times New Roman"/>
          <w:kern w:val="2"/>
          <w:sz w:val="20"/>
        </w:rPr>
      </w:pPr>
      <w:r w:rsidRPr="006E1DA8">
        <w:rPr>
          <w:rFonts w:cs="Times New Roman"/>
          <w:kern w:val="2"/>
          <w:sz w:val="20"/>
        </w:rPr>
        <w:t xml:space="preserve">In the new definition of </w:t>
      </w:r>
      <w:r w:rsidR="00321984" w:rsidRPr="006E1DA8">
        <w:rPr>
          <w:rFonts w:cs="Times New Roman"/>
          <w:kern w:val="2"/>
          <w:sz w:val="20"/>
        </w:rPr>
        <w:t>“</w:t>
      </w:r>
      <w:r w:rsidRPr="006E1DA8">
        <w:rPr>
          <w:rFonts w:cs="Times New Roman"/>
          <w:kern w:val="2"/>
          <w:sz w:val="20"/>
        </w:rPr>
        <w:t>senior officer</w:t>
      </w:r>
      <w:r w:rsidR="006218A8" w:rsidRPr="006E1DA8">
        <w:rPr>
          <w:rFonts w:cs="Times New Roman"/>
          <w:kern w:val="2"/>
          <w:sz w:val="20"/>
        </w:rPr>
        <w:t>,</w:t>
      </w:r>
      <w:r w:rsidR="00321984" w:rsidRPr="006E1DA8">
        <w:rPr>
          <w:rFonts w:cs="Times New Roman"/>
          <w:kern w:val="2"/>
          <w:sz w:val="20"/>
        </w:rPr>
        <w:t>”</w:t>
      </w:r>
      <w:r w:rsidR="00AC1E51" w:rsidRPr="006E1DA8">
        <w:rPr>
          <w:rFonts w:cs="Times New Roman"/>
          <w:kern w:val="2"/>
          <w:sz w:val="20"/>
        </w:rPr>
        <w:t xml:space="preserve"> </w:t>
      </w:r>
      <w:r w:rsidR="001D1DCD" w:rsidRPr="006E1DA8">
        <w:rPr>
          <w:rFonts w:cs="Times New Roman"/>
          <w:kern w:val="2"/>
          <w:sz w:val="20"/>
        </w:rPr>
        <w:t>the terms</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managing</w:t>
      </w:r>
      <w:r w:rsidR="00321984" w:rsidRPr="006E1DA8">
        <w:rPr>
          <w:rFonts w:cs="Times New Roman"/>
          <w:kern w:val="2"/>
          <w:sz w:val="20"/>
        </w:rPr>
        <w:t>”</w:t>
      </w:r>
      <w:r w:rsidRPr="006E1DA8">
        <w:rPr>
          <w:rFonts w:cs="Times New Roman"/>
          <w:kern w:val="2"/>
          <w:sz w:val="20"/>
        </w:rPr>
        <w:t xml:space="preserve"> and </w:t>
      </w:r>
      <w:r w:rsidR="00321984" w:rsidRPr="006E1DA8">
        <w:rPr>
          <w:rFonts w:cs="Times New Roman"/>
          <w:kern w:val="2"/>
          <w:sz w:val="20"/>
        </w:rPr>
        <w:t>“</w:t>
      </w:r>
      <w:r w:rsidRPr="006E1DA8">
        <w:rPr>
          <w:rFonts w:cs="Times New Roman"/>
          <w:kern w:val="2"/>
          <w:sz w:val="20"/>
        </w:rPr>
        <w:t>an important aspect of the organization’s activities</w:t>
      </w:r>
      <w:r w:rsidR="00321984" w:rsidRPr="006E1DA8">
        <w:rPr>
          <w:rFonts w:cs="Times New Roman"/>
          <w:kern w:val="2"/>
          <w:sz w:val="20"/>
        </w:rPr>
        <w:t>”</w:t>
      </w:r>
      <w:r w:rsidRPr="006E1DA8">
        <w:rPr>
          <w:rFonts w:cs="Times New Roman"/>
          <w:kern w:val="2"/>
          <w:sz w:val="20"/>
        </w:rPr>
        <w:t xml:space="preserve"> require further definitio</w:t>
      </w:r>
      <w:r w:rsidR="00AC1E51" w:rsidRPr="006E1DA8">
        <w:rPr>
          <w:rFonts w:cs="Times New Roman"/>
          <w:kern w:val="2"/>
          <w:sz w:val="20"/>
        </w:rPr>
        <w:t xml:space="preserve">n. So far, </w:t>
      </w:r>
      <w:r w:rsidR="00F06454" w:rsidRPr="006E1DA8">
        <w:rPr>
          <w:rFonts w:cs="Times New Roman"/>
          <w:kern w:val="2"/>
          <w:sz w:val="20"/>
        </w:rPr>
        <w:t>there have been very few cases that</w:t>
      </w:r>
      <w:r w:rsidRPr="006E1DA8">
        <w:rPr>
          <w:rFonts w:cs="Times New Roman"/>
          <w:kern w:val="2"/>
          <w:sz w:val="20"/>
        </w:rPr>
        <w:t xml:space="preserve"> have interpreted these key parts of the definition of </w:t>
      </w:r>
      <w:r w:rsidR="00321984" w:rsidRPr="006E1DA8">
        <w:rPr>
          <w:rFonts w:cs="Times New Roman"/>
          <w:kern w:val="2"/>
          <w:sz w:val="20"/>
        </w:rPr>
        <w:t>“</w:t>
      </w:r>
      <w:r w:rsidRPr="006E1DA8">
        <w:rPr>
          <w:rFonts w:cs="Times New Roman"/>
          <w:kern w:val="2"/>
          <w:sz w:val="20"/>
        </w:rPr>
        <w:t>senior officer</w:t>
      </w:r>
      <w:r w:rsidR="006218A8" w:rsidRPr="006E1DA8">
        <w:rPr>
          <w:rFonts w:cs="Times New Roman"/>
          <w:kern w:val="2"/>
          <w:sz w:val="20"/>
        </w:rPr>
        <w:t>.</w:t>
      </w:r>
      <w:r w:rsidR="00F06454" w:rsidRPr="006E1DA8">
        <w:rPr>
          <w:rStyle w:val="FootnoteReference"/>
          <w:rFonts w:cs="Times New Roman"/>
          <w:kern w:val="2"/>
          <w:sz w:val="20"/>
        </w:rPr>
        <w:footnoteReference w:id="102"/>
      </w:r>
      <w:r w:rsidR="00AC1E51" w:rsidRPr="006E1DA8">
        <w:rPr>
          <w:rFonts w:cs="Times New Roman"/>
          <w:kern w:val="2"/>
          <w:sz w:val="20"/>
        </w:rPr>
        <w:t xml:space="preserve"> </w:t>
      </w:r>
      <w:r w:rsidRPr="006E1DA8">
        <w:rPr>
          <w:rFonts w:cs="Times New Roman"/>
          <w:kern w:val="2"/>
          <w:sz w:val="20"/>
        </w:rPr>
        <w:t xml:space="preserve">In </w:t>
      </w:r>
      <w:r w:rsidR="00827F7D" w:rsidRPr="006E1DA8">
        <w:rPr>
          <w:rFonts w:cs="Times New Roman"/>
          <w:i/>
          <w:kern w:val="2"/>
          <w:sz w:val="20"/>
        </w:rPr>
        <w:t xml:space="preserve">R v </w:t>
      </w:r>
      <w:proofErr w:type="spellStart"/>
      <w:r w:rsidR="00827F7D" w:rsidRPr="006E1DA8">
        <w:rPr>
          <w:rFonts w:cs="Times New Roman"/>
          <w:i/>
          <w:kern w:val="2"/>
          <w:sz w:val="20"/>
        </w:rPr>
        <w:t>Metron</w:t>
      </w:r>
      <w:proofErr w:type="spellEnd"/>
      <w:r w:rsidR="00827F7D" w:rsidRPr="006E1DA8">
        <w:rPr>
          <w:rFonts w:cs="Times New Roman"/>
          <w:i/>
          <w:kern w:val="2"/>
          <w:sz w:val="20"/>
        </w:rPr>
        <w:t xml:space="preserve"> Construction Corporation</w:t>
      </w:r>
      <w:r w:rsidRPr="006E1DA8">
        <w:rPr>
          <w:rFonts w:cs="Times New Roman"/>
          <w:kern w:val="2"/>
          <w:sz w:val="20"/>
        </w:rPr>
        <w:t>,</w:t>
      </w:r>
      <w:r w:rsidR="00827F7D" w:rsidRPr="006E1DA8">
        <w:rPr>
          <w:rFonts w:cs="Times New Roman"/>
          <w:kern w:val="2"/>
          <w:sz w:val="20"/>
        </w:rPr>
        <w:t xml:space="preserve"> the Ontario Court of Appeal imposed a fine of $750,000 on the accused corporation for criminal negligence</w:t>
      </w:r>
      <w:r w:rsidR="001D1DCD" w:rsidRPr="006E1DA8">
        <w:rPr>
          <w:rFonts w:cs="Times New Roman"/>
          <w:kern w:val="2"/>
          <w:sz w:val="20"/>
        </w:rPr>
        <w:t xml:space="preserve"> causing death contrary to s</w:t>
      </w:r>
      <w:r w:rsidR="00660227" w:rsidRPr="006E1DA8">
        <w:rPr>
          <w:rFonts w:cs="Times New Roman"/>
          <w:kern w:val="2"/>
          <w:sz w:val="20"/>
        </w:rPr>
        <w:t>ection</w:t>
      </w:r>
      <w:r w:rsidR="001D1DCD" w:rsidRPr="006E1DA8">
        <w:rPr>
          <w:rFonts w:cs="Times New Roman"/>
          <w:kern w:val="2"/>
          <w:sz w:val="20"/>
        </w:rPr>
        <w:t xml:space="preserve"> 221 of the </w:t>
      </w:r>
      <w:r w:rsidR="001D1DCD" w:rsidRPr="006E1DA8">
        <w:rPr>
          <w:rFonts w:cs="Times New Roman"/>
          <w:i/>
          <w:kern w:val="2"/>
          <w:sz w:val="20"/>
        </w:rPr>
        <w:t>Criminal Code</w:t>
      </w:r>
      <w:r w:rsidR="00827F7D" w:rsidRPr="006E1DA8">
        <w:rPr>
          <w:rFonts w:cs="Times New Roman"/>
          <w:kern w:val="2"/>
          <w:sz w:val="20"/>
        </w:rPr>
        <w:t>.</w:t>
      </w:r>
      <w:r w:rsidR="000D6548" w:rsidRPr="006E1DA8">
        <w:rPr>
          <w:rStyle w:val="FootnoteReference"/>
          <w:rFonts w:cs="Times New Roman"/>
          <w:kern w:val="2"/>
          <w:sz w:val="20"/>
        </w:rPr>
        <w:footnoteReference w:id="103"/>
      </w:r>
      <w:r w:rsidR="00827F7D" w:rsidRPr="006E1DA8">
        <w:rPr>
          <w:rFonts w:cs="Times New Roman"/>
          <w:kern w:val="2"/>
          <w:sz w:val="20"/>
        </w:rPr>
        <w:t xml:space="preserve"> The negligence charge arose out of a workplace accident caused primarily by serious negligence on the part of the site supervisor</w:t>
      </w:r>
      <w:r w:rsidR="00660227" w:rsidRPr="006E1DA8">
        <w:rPr>
          <w:rFonts w:cs="Times New Roman"/>
          <w:kern w:val="2"/>
          <w:sz w:val="20"/>
        </w:rPr>
        <w:t xml:space="preserve"> and the foreman. </w:t>
      </w:r>
      <w:r w:rsidR="00003C8D" w:rsidRPr="006E1DA8">
        <w:rPr>
          <w:rFonts w:cs="Times New Roman"/>
          <w:kern w:val="2"/>
          <w:sz w:val="20"/>
        </w:rPr>
        <w:t xml:space="preserve">The foreman died in the accident along with three other workers. </w:t>
      </w:r>
      <w:proofErr w:type="spellStart"/>
      <w:r w:rsidR="00660227" w:rsidRPr="006E1DA8">
        <w:rPr>
          <w:rFonts w:cs="Times New Roman"/>
          <w:kern w:val="2"/>
          <w:sz w:val="20"/>
        </w:rPr>
        <w:t>Metron</w:t>
      </w:r>
      <w:proofErr w:type="spellEnd"/>
      <w:r w:rsidR="00660227" w:rsidRPr="006E1DA8">
        <w:rPr>
          <w:rFonts w:cs="Times New Roman"/>
          <w:kern w:val="2"/>
          <w:sz w:val="20"/>
        </w:rPr>
        <w:t xml:space="preserve"> Construction plead guilty to one count of criminal negligence causing death under section 221 of the </w:t>
      </w:r>
      <w:r w:rsidR="00660227" w:rsidRPr="006E1DA8">
        <w:rPr>
          <w:rFonts w:cs="Times New Roman"/>
          <w:i/>
          <w:kern w:val="2"/>
          <w:sz w:val="20"/>
        </w:rPr>
        <w:t>Criminal Code</w:t>
      </w:r>
      <w:r w:rsidR="00660227" w:rsidRPr="006E1DA8">
        <w:rPr>
          <w:rFonts w:cs="Times New Roman"/>
          <w:kern w:val="2"/>
          <w:sz w:val="20"/>
        </w:rPr>
        <w:t>. No doubt the guilty plea was premised on the conclusion that if they disputed criminal liability at trial, they would be convicted on the basis of the new test for c</w:t>
      </w:r>
      <w:r w:rsidR="00ED16FD" w:rsidRPr="006E1DA8">
        <w:rPr>
          <w:rFonts w:cs="Times New Roman"/>
          <w:kern w:val="2"/>
          <w:sz w:val="20"/>
        </w:rPr>
        <w:t>riminal liability under section</w:t>
      </w:r>
      <w:r w:rsidR="00660227" w:rsidRPr="006E1DA8">
        <w:rPr>
          <w:rFonts w:cs="Times New Roman"/>
          <w:kern w:val="2"/>
          <w:sz w:val="20"/>
        </w:rPr>
        <w:t xml:space="preserve"> 22.1</w:t>
      </w:r>
      <w:r w:rsidR="00ED16FD" w:rsidRPr="006E1DA8">
        <w:rPr>
          <w:rFonts w:cs="Times New Roman"/>
          <w:kern w:val="2"/>
          <w:sz w:val="20"/>
        </w:rPr>
        <w:t xml:space="preserve"> and the new duty in section 217.1 of the </w:t>
      </w:r>
      <w:r w:rsidR="00ED16FD" w:rsidRPr="006E1DA8">
        <w:rPr>
          <w:rFonts w:cs="Times New Roman"/>
          <w:i/>
          <w:kern w:val="2"/>
          <w:sz w:val="20"/>
        </w:rPr>
        <w:t>Criminal Code</w:t>
      </w:r>
      <w:r w:rsidR="00ED16FD" w:rsidRPr="006E1DA8">
        <w:rPr>
          <w:rFonts w:cs="Times New Roman"/>
          <w:kern w:val="2"/>
          <w:sz w:val="20"/>
        </w:rPr>
        <w:t xml:space="preserve">, which requires persons who have the authority to direct the work of others </w:t>
      </w:r>
      <w:r w:rsidR="00321984" w:rsidRPr="006E1DA8">
        <w:rPr>
          <w:rFonts w:cs="Times New Roman"/>
          <w:kern w:val="2"/>
          <w:sz w:val="20"/>
        </w:rPr>
        <w:t>“</w:t>
      </w:r>
      <w:r w:rsidR="00ED16FD" w:rsidRPr="006E1DA8">
        <w:rPr>
          <w:rFonts w:cs="Times New Roman"/>
          <w:kern w:val="2"/>
          <w:sz w:val="20"/>
        </w:rPr>
        <w:t>to take all reasonable steps to prevent bodily harm</w:t>
      </w:r>
      <w:r w:rsidR="00321984" w:rsidRPr="006E1DA8">
        <w:rPr>
          <w:rFonts w:cs="Times New Roman"/>
          <w:kern w:val="2"/>
          <w:sz w:val="20"/>
        </w:rPr>
        <w:t>”</w:t>
      </w:r>
      <w:r w:rsidR="00ED16FD" w:rsidRPr="006E1DA8">
        <w:rPr>
          <w:rFonts w:cs="Times New Roman"/>
          <w:kern w:val="2"/>
          <w:sz w:val="20"/>
        </w:rPr>
        <w:t xml:space="preserve"> to those persons. In a subsequent trial, the site supervisor was found guilty of four counts of criminal negligence causing death.</w:t>
      </w:r>
      <w:r w:rsidR="00ED16FD" w:rsidRPr="006E1DA8">
        <w:rPr>
          <w:rStyle w:val="FootnoteReference"/>
          <w:rFonts w:cs="Times New Roman"/>
          <w:kern w:val="2"/>
          <w:sz w:val="20"/>
        </w:rPr>
        <w:footnoteReference w:id="104"/>
      </w:r>
      <w:r w:rsidR="00ED16FD" w:rsidRPr="006E1DA8">
        <w:rPr>
          <w:rFonts w:cs="Times New Roman"/>
          <w:kern w:val="2"/>
          <w:sz w:val="20"/>
        </w:rPr>
        <w:t xml:space="preserve"> </w:t>
      </w:r>
      <w:r w:rsidR="008A74BD" w:rsidRPr="006E1DA8">
        <w:rPr>
          <w:rFonts w:cs="Times New Roman"/>
          <w:kern w:val="2"/>
          <w:sz w:val="20"/>
        </w:rPr>
        <w:t>As noted, h</w:t>
      </w:r>
      <w:r w:rsidR="00ED16FD" w:rsidRPr="006E1DA8">
        <w:rPr>
          <w:rFonts w:cs="Times New Roman"/>
          <w:kern w:val="2"/>
          <w:sz w:val="20"/>
        </w:rPr>
        <w:t xml:space="preserve">ad </w:t>
      </w:r>
      <w:proofErr w:type="spellStart"/>
      <w:r w:rsidR="00ED16FD" w:rsidRPr="006E1DA8">
        <w:rPr>
          <w:rFonts w:cs="Times New Roman"/>
          <w:kern w:val="2"/>
          <w:sz w:val="20"/>
        </w:rPr>
        <w:t>Metron</w:t>
      </w:r>
      <w:proofErr w:type="spellEnd"/>
      <w:r w:rsidR="00ED16FD" w:rsidRPr="006E1DA8">
        <w:rPr>
          <w:rFonts w:cs="Times New Roman"/>
          <w:kern w:val="2"/>
          <w:sz w:val="20"/>
        </w:rPr>
        <w:t xml:space="preserve"> plead not guilty, undoubtedly the court would have held that the site supervisor was a </w:t>
      </w:r>
      <w:r w:rsidR="00321984" w:rsidRPr="006E1DA8">
        <w:rPr>
          <w:rFonts w:cs="Times New Roman"/>
          <w:kern w:val="2"/>
          <w:sz w:val="20"/>
        </w:rPr>
        <w:t>“</w:t>
      </w:r>
      <w:r w:rsidR="00ED16FD" w:rsidRPr="006E1DA8">
        <w:rPr>
          <w:rFonts w:cs="Times New Roman"/>
          <w:kern w:val="2"/>
          <w:sz w:val="20"/>
        </w:rPr>
        <w:t>senior officer</w:t>
      </w:r>
      <w:r w:rsidR="00321984" w:rsidRPr="006E1DA8">
        <w:rPr>
          <w:rFonts w:cs="Times New Roman"/>
          <w:kern w:val="2"/>
          <w:sz w:val="20"/>
        </w:rPr>
        <w:t>”</w:t>
      </w:r>
      <w:r w:rsidR="00ED16FD" w:rsidRPr="006E1DA8">
        <w:rPr>
          <w:rFonts w:cs="Times New Roman"/>
          <w:kern w:val="2"/>
          <w:sz w:val="20"/>
        </w:rPr>
        <w:t xml:space="preserve"> and therefore the senior officer’s criminal neglige</w:t>
      </w:r>
      <w:r w:rsidR="00E41409" w:rsidRPr="006E1DA8">
        <w:rPr>
          <w:rFonts w:cs="Times New Roman"/>
          <w:kern w:val="2"/>
          <w:sz w:val="20"/>
        </w:rPr>
        <w:t xml:space="preserve">nce was also </w:t>
      </w:r>
      <w:proofErr w:type="spellStart"/>
      <w:r w:rsidR="00E41409" w:rsidRPr="006E1DA8">
        <w:rPr>
          <w:rFonts w:cs="Times New Roman"/>
          <w:kern w:val="2"/>
          <w:sz w:val="20"/>
        </w:rPr>
        <w:t>Metron’s</w:t>
      </w:r>
      <w:proofErr w:type="spellEnd"/>
      <w:r w:rsidR="00E41409" w:rsidRPr="006E1DA8">
        <w:rPr>
          <w:rFonts w:cs="Times New Roman"/>
          <w:kern w:val="2"/>
          <w:sz w:val="20"/>
        </w:rPr>
        <w:t xml:space="preserve"> criminal n</w:t>
      </w:r>
      <w:r w:rsidR="00ED16FD" w:rsidRPr="006E1DA8">
        <w:rPr>
          <w:rFonts w:cs="Times New Roman"/>
          <w:kern w:val="2"/>
          <w:sz w:val="20"/>
        </w:rPr>
        <w:t xml:space="preserve">egligence. Under the narrower </w:t>
      </w:r>
      <w:r w:rsidR="00321984" w:rsidRPr="006E1DA8">
        <w:rPr>
          <w:rFonts w:cs="Times New Roman"/>
          <w:kern w:val="2"/>
          <w:sz w:val="20"/>
        </w:rPr>
        <w:t>“</w:t>
      </w:r>
      <w:r w:rsidR="00ED16FD" w:rsidRPr="006E1DA8">
        <w:rPr>
          <w:rFonts w:cs="Times New Roman"/>
          <w:kern w:val="2"/>
          <w:sz w:val="20"/>
        </w:rPr>
        <w:t>directing minds</w:t>
      </w:r>
      <w:r w:rsidR="00321984" w:rsidRPr="006E1DA8">
        <w:rPr>
          <w:rFonts w:cs="Times New Roman"/>
          <w:kern w:val="2"/>
          <w:sz w:val="20"/>
        </w:rPr>
        <w:t>”</w:t>
      </w:r>
      <w:r w:rsidR="00ED16FD" w:rsidRPr="006E1DA8">
        <w:rPr>
          <w:rFonts w:cs="Times New Roman"/>
          <w:kern w:val="2"/>
          <w:sz w:val="20"/>
        </w:rPr>
        <w:t xml:space="preserve"> test applied in Canada before the 2004 amendments, it is highly unlikely that the site supervisor would have been held to be a directing mind of </w:t>
      </w:r>
      <w:proofErr w:type="spellStart"/>
      <w:r w:rsidR="00ED16FD" w:rsidRPr="006E1DA8">
        <w:rPr>
          <w:rFonts w:cs="Times New Roman"/>
          <w:kern w:val="2"/>
          <w:sz w:val="20"/>
        </w:rPr>
        <w:t>Metron</w:t>
      </w:r>
      <w:proofErr w:type="spellEnd"/>
      <w:r w:rsidR="00ED16FD" w:rsidRPr="006E1DA8">
        <w:rPr>
          <w:rFonts w:cs="Times New Roman"/>
          <w:kern w:val="2"/>
          <w:sz w:val="20"/>
        </w:rPr>
        <w:t xml:space="preserve"> since he had not been delegated </w:t>
      </w:r>
      <w:r w:rsidR="00321984" w:rsidRPr="006E1DA8">
        <w:rPr>
          <w:rFonts w:cs="Times New Roman"/>
          <w:kern w:val="2"/>
          <w:sz w:val="20"/>
        </w:rPr>
        <w:t>“</w:t>
      </w:r>
      <w:r w:rsidR="00ED16FD" w:rsidRPr="006E1DA8">
        <w:rPr>
          <w:rFonts w:cs="Times New Roman"/>
          <w:kern w:val="2"/>
          <w:sz w:val="20"/>
        </w:rPr>
        <w:t>governing executive authority</w:t>
      </w:r>
      <w:r w:rsidR="00321984" w:rsidRPr="006E1DA8">
        <w:rPr>
          <w:rFonts w:cs="Times New Roman"/>
          <w:kern w:val="2"/>
          <w:sz w:val="20"/>
        </w:rPr>
        <w:t>”</w:t>
      </w:r>
      <w:r w:rsidR="00ED16FD" w:rsidRPr="006E1DA8">
        <w:rPr>
          <w:rFonts w:cs="Times New Roman"/>
          <w:kern w:val="2"/>
          <w:sz w:val="20"/>
        </w:rPr>
        <w:t xml:space="preserve"> over a part of the company business.</w:t>
      </w:r>
      <w:r w:rsidR="00ED16FD" w:rsidRPr="006E1DA8">
        <w:rPr>
          <w:rStyle w:val="FootnoteReference"/>
          <w:rFonts w:cs="Times New Roman"/>
          <w:kern w:val="2"/>
          <w:sz w:val="20"/>
        </w:rPr>
        <w:footnoteReference w:id="105"/>
      </w:r>
      <w:r w:rsidR="00ED16FD" w:rsidRPr="006E1DA8">
        <w:rPr>
          <w:rFonts w:cs="Times New Roman"/>
          <w:kern w:val="2"/>
          <w:sz w:val="20"/>
        </w:rPr>
        <w:t xml:space="preserve"> </w:t>
      </w:r>
      <w:r w:rsidR="00827F7D" w:rsidRPr="006E1DA8">
        <w:rPr>
          <w:rFonts w:cs="Times New Roman"/>
          <w:kern w:val="2"/>
          <w:sz w:val="20"/>
        </w:rPr>
        <w:t xml:space="preserve">As Warning, Edwards and Todd note, the case demonstrates how sections 22.1 and 22.2 of the </w:t>
      </w:r>
      <w:r w:rsidR="00827F7D" w:rsidRPr="006E1DA8">
        <w:rPr>
          <w:rFonts w:cs="Times New Roman"/>
          <w:i/>
          <w:kern w:val="2"/>
          <w:sz w:val="20"/>
        </w:rPr>
        <w:t>Criminal Code</w:t>
      </w:r>
      <w:r w:rsidR="00827F7D" w:rsidRPr="006E1DA8">
        <w:rPr>
          <w:rFonts w:cs="Times New Roman"/>
          <w:kern w:val="2"/>
          <w:sz w:val="20"/>
        </w:rPr>
        <w:t xml:space="preserve"> expand the criminal liability of corporations in Canada to include criminal conduct by employees who are not in an executive management position but nevertheless hold a significant amount of </w:t>
      </w:r>
      <w:r w:rsidR="00321984" w:rsidRPr="006E1DA8">
        <w:rPr>
          <w:rFonts w:cs="Times New Roman"/>
          <w:kern w:val="2"/>
          <w:sz w:val="20"/>
        </w:rPr>
        <w:t>“</w:t>
      </w:r>
      <w:r w:rsidR="00827F7D" w:rsidRPr="006E1DA8">
        <w:rPr>
          <w:rFonts w:cs="Times New Roman"/>
          <w:kern w:val="2"/>
          <w:sz w:val="20"/>
        </w:rPr>
        <w:t>localized responsibility</w:t>
      </w:r>
      <w:r w:rsidR="00321984" w:rsidRPr="006E1DA8">
        <w:rPr>
          <w:rFonts w:cs="Times New Roman"/>
          <w:kern w:val="2"/>
          <w:sz w:val="20"/>
        </w:rPr>
        <w:t>”</w:t>
      </w:r>
      <w:r w:rsidR="00827F7D" w:rsidRPr="006E1DA8">
        <w:rPr>
          <w:rFonts w:cs="Times New Roman"/>
          <w:kern w:val="2"/>
          <w:sz w:val="20"/>
        </w:rPr>
        <w:t xml:space="preserve"> within the corporation.</w:t>
      </w:r>
      <w:r w:rsidR="00827F7D" w:rsidRPr="006E1DA8">
        <w:rPr>
          <w:rStyle w:val="FootnoteReference"/>
          <w:rFonts w:cs="Times New Roman"/>
          <w:kern w:val="2"/>
          <w:sz w:val="20"/>
        </w:rPr>
        <w:footnoteReference w:id="106"/>
      </w:r>
      <w:r w:rsidR="00827F7D" w:rsidRPr="006E1DA8">
        <w:rPr>
          <w:rFonts w:cs="Times New Roman"/>
          <w:kern w:val="2"/>
          <w:sz w:val="20"/>
        </w:rPr>
        <w:t xml:space="preserve"> As a result, if a company </w:t>
      </w:r>
      <w:proofErr w:type="gramStart"/>
      <w:r w:rsidR="00827F7D" w:rsidRPr="006E1DA8">
        <w:rPr>
          <w:rFonts w:cs="Times New Roman"/>
          <w:kern w:val="2"/>
          <w:sz w:val="20"/>
        </w:rPr>
        <w:t>delegates</w:t>
      </w:r>
      <w:proofErr w:type="gramEnd"/>
      <w:r w:rsidR="00827F7D" w:rsidRPr="006E1DA8">
        <w:rPr>
          <w:rFonts w:cs="Times New Roman"/>
          <w:kern w:val="2"/>
          <w:sz w:val="20"/>
        </w:rPr>
        <w:t xml:space="preserve"> responsibility to a foreign agent</w:t>
      </w:r>
      <w:r w:rsidR="00FA500A" w:rsidRPr="006E1DA8">
        <w:rPr>
          <w:rFonts w:cs="Times New Roman"/>
          <w:kern w:val="2"/>
          <w:sz w:val="20"/>
        </w:rPr>
        <w:t xml:space="preserve"> to engage in an important aspect of the company’s business</w:t>
      </w:r>
      <w:r w:rsidR="00827F7D" w:rsidRPr="006E1DA8">
        <w:rPr>
          <w:rFonts w:cs="Times New Roman"/>
          <w:kern w:val="2"/>
          <w:sz w:val="20"/>
        </w:rPr>
        <w:t xml:space="preserve">, the agent </w:t>
      </w:r>
      <w:r w:rsidR="00003C8D" w:rsidRPr="006E1DA8">
        <w:rPr>
          <w:rFonts w:cs="Times New Roman"/>
          <w:kern w:val="2"/>
          <w:sz w:val="20"/>
        </w:rPr>
        <w:t xml:space="preserve">is likely to </w:t>
      </w:r>
      <w:r w:rsidR="001D1DCD" w:rsidRPr="006E1DA8">
        <w:rPr>
          <w:rFonts w:cs="Times New Roman"/>
          <w:kern w:val="2"/>
          <w:sz w:val="20"/>
        </w:rPr>
        <w:t xml:space="preserve">be </w:t>
      </w:r>
      <w:r w:rsidR="00002BC5" w:rsidRPr="006E1DA8">
        <w:rPr>
          <w:rFonts w:cs="Times New Roman"/>
          <w:kern w:val="2"/>
          <w:sz w:val="20"/>
        </w:rPr>
        <w:t>deemed a senior officer and his or her</w:t>
      </w:r>
      <w:r w:rsidR="00426D53" w:rsidRPr="006E1DA8">
        <w:rPr>
          <w:rFonts w:cs="Times New Roman"/>
          <w:kern w:val="2"/>
          <w:sz w:val="20"/>
        </w:rPr>
        <w:t xml:space="preserve"> bribery could</w:t>
      </w:r>
      <w:r w:rsidR="001D1DCD" w:rsidRPr="006E1DA8">
        <w:rPr>
          <w:rFonts w:cs="Times New Roman"/>
          <w:kern w:val="2"/>
          <w:sz w:val="20"/>
        </w:rPr>
        <w:t xml:space="preserve"> be imputed to the company</w:t>
      </w:r>
      <w:r w:rsidR="00827F7D" w:rsidRPr="006E1DA8">
        <w:rPr>
          <w:rFonts w:cs="Times New Roman"/>
          <w:kern w:val="2"/>
          <w:sz w:val="20"/>
        </w:rPr>
        <w:t>, even if no one else in the company knew the foreign agent was bribing officials.</w:t>
      </w:r>
      <w:r w:rsidR="00827F7D" w:rsidRPr="006E1DA8">
        <w:rPr>
          <w:rStyle w:val="FootnoteReference"/>
          <w:rFonts w:cs="Times New Roman"/>
          <w:kern w:val="2"/>
          <w:sz w:val="20"/>
        </w:rPr>
        <w:footnoteReference w:id="107"/>
      </w:r>
    </w:p>
    <w:p w14:paraId="0667E549" w14:textId="33D25744" w:rsidR="00426D53" w:rsidRPr="006E1DA8" w:rsidRDefault="00426D53" w:rsidP="00827F7D">
      <w:pPr>
        <w:rPr>
          <w:rFonts w:cs="Times New Roman"/>
          <w:kern w:val="2"/>
          <w:sz w:val="20"/>
        </w:rPr>
      </w:pPr>
      <w:r w:rsidRPr="006E1DA8">
        <w:rPr>
          <w:rFonts w:cs="Times New Roman"/>
          <w:kern w:val="2"/>
          <w:sz w:val="20"/>
        </w:rPr>
        <w:t xml:space="preserve">In </w:t>
      </w:r>
      <w:r w:rsidRPr="006E1DA8">
        <w:rPr>
          <w:rFonts w:cs="Times New Roman"/>
          <w:i/>
          <w:kern w:val="2"/>
          <w:sz w:val="20"/>
        </w:rPr>
        <w:t xml:space="preserve">R c </w:t>
      </w:r>
      <w:proofErr w:type="spellStart"/>
      <w:r w:rsidRPr="006E1DA8">
        <w:rPr>
          <w:rFonts w:cs="Times New Roman"/>
          <w:i/>
          <w:kern w:val="2"/>
          <w:sz w:val="20"/>
        </w:rPr>
        <w:t>P</w:t>
      </w:r>
      <w:r w:rsidRPr="006E1DA8">
        <w:rPr>
          <w:rFonts w:cs="Times New Roman"/>
          <w:i/>
          <w:color w:val="000000"/>
          <w:kern w:val="2"/>
          <w:sz w:val="20"/>
          <w:shd w:val="clear" w:color="auto" w:fill="FFFFFF"/>
        </w:rPr>
        <w:t>é</w:t>
      </w:r>
      <w:r w:rsidR="0048784E" w:rsidRPr="006E1DA8">
        <w:rPr>
          <w:rFonts w:cs="Times New Roman"/>
          <w:i/>
          <w:kern w:val="2"/>
          <w:sz w:val="20"/>
        </w:rPr>
        <w:t>troles</w:t>
      </w:r>
      <w:proofErr w:type="spellEnd"/>
      <w:r w:rsidR="0048784E" w:rsidRPr="006E1DA8">
        <w:rPr>
          <w:rFonts w:cs="Times New Roman"/>
          <w:i/>
          <w:kern w:val="2"/>
          <w:sz w:val="20"/>
        </w:rPr>
        <w:t xml:space="preserve"> Global I</w:t>
      </w:r>
      <w:r w:rsidRPr="006E1DA8">
        <w:rPr>
          <w:rFonts w:cs="Times New Roman"/>
          <w:i/>
          <w:kern w:val="2"/>
          <w:sz w:val="20"/>
        </w:rPr>
        <w:t>nc.,</w:t>
      </w:r>
      <w:r w:rsidRPr="006E1DA8">
        <w:rPr>
          <w:rStyle w:val="FootnoteReference"/>
          <w:rFonts w:cs="Times New Roman"/>
          <w:kern w:val="2"/>
          <w:sz w:val="20"/>
        </w:rPr>
        <w:footnoteReference w:id="108"/>
      </w:r>
      <w:r w:rsidRPr="006E1DA8">
        <w:rPr>
          <w:rFonts w:cs="Times New Roman"/>
          <w:kern w:val="2"/>
          <w:sz w:val="20"/>
        </w:rPr>
        <w:t xml:space="preserve"> the accused company was convicted of price-fixing under the federal </w:t>
      </w:r>
      <w:r w:rsidRPr="006E1DA8">
        <w:rPr>
          <w:rFonts w:cs="Times New Roman"/>
          <w:i/>
          <w:kern w:val="2"/>
          <w:sz w:val="20"/>
        </w:rPr>
        <w:t>Competition Act.</w:t>
      </w:r>
      <w:r w:rsidRPr="006E1DA8">
        <w:rPr>
          <w:rStyle w:val="FootnoteReference"/>
          <w:rFonts w:cs="Times New Roman"/>
          <w:kern w:val="2"/>
          <w:sz w:val="20"/>
        </w:rPr>
        <w:footnoteReference w:id="109"/>
      </w:r>
      <w:r w:rsidRPr="006E1DA8">
        <w:rPr>
          <w:rFonts w:cs="Times New Roman"/>
          <w:kern w:val="2"/>
          <w:sz w:val="20"/>
        </w:rPr>
        <w:t xml:space="preserve"> </w:t>
      </w:r>
      <w:r w:rsidR="00A5495A" w:rsidRPr="006E1DA8">
        <w:rPr>
          <w:rFonts w:cs="Times New Roman"/>
          <w:kern w:val="2"/>
          <w:sz w:val="20"/>
        </w:rPr>
        <w:t xml:space="preserve">The </w:t>
      </w:r>
      <w:r w:rsidRPr="006E1DA8">
        <w:rPr>
          <w:rFonts w:cs="Times New Roman"/>
          <w:kern w:val="2"/>
          <w:sz w:val="20"/>
        </w:rPr>
        <w:t>company operated 317 gas stations in Ontario, Quebec and New Brunswick. A regional manager (Payette) managed over 200 gas stations in Quebec and New Brunswick and six subordinate territory managers who were responsible for their portion of those 200 stations. The regional manager and two of the territorial managers were involv</w:t>
      </w:r>
      <w:r w:rsidR="00A5495A" w:rsidRPr="006E1DA8">
        <w:rPr>
          <w:rFonts w:cs="Times New Roman"/>
          <w:kern w:val="2"/>
          <w:sz w:val="20"/>
        </w:rPr>
        <w:t xml:space="preserve">ed in the price fixing. At the </w:t>
      </w:r>
      <w:r w:rsidRPr="006E1DA8">
        <w:rPr>
          <w:rFonts w:cs="Times New Roman"/>
          <w:kern w:val="2"/>
          <w:sz w:val="20"/>
        </w:rPr>
        <w:t xml:space="preserve">preliminary inquiry, the judge held that all three were </w:t>
      </w:r>
      <w:r w:rsidR="00321984" w:rsidRPr="006E1DA8">
        <w:rPr>
          <w:rFonts w:cs="Times New Roman"/>
          <w:kern w:val="2"/>
          <w:sz w:val="20"/>
        </w:rPr>
        <w:t>“</w:t>
      </w:r>
      <w:r w:rsidRPr="006E1DA8">
        <w:rPr>
          <w:rFonts w:cs="Times New Roman"/>
          <w:kern w:val="2"/>
          <w:sz w:val="20"/>
        </w:rPr>
        <w:t>senior officers</w:t>
      </w:r>
      <w:r w:rsidR="00321984" w:rsidRPr="006E1DA8">
        <w:rPr>
          <w:rFonts w:cs="Times New Roman"/>
          <w:kern w:val="2"/>
          <w:sz w:val="20"/>
        </w:rPr>
        <w:t>”</w:t>
      </w:r>
      <w:r w:rsidRPr="006E1DA8">
        <w:rPr>
          <w:rFonts w:cs="Times New Roman"/>
          <w:kern w:val="2"/>
          <w:sz w:val="20"/>
        </w:rPr>
        <w:t xml:space="preserve"> on the ground that each of them managed an </w:t>
      </w:r>
      <w:r w:rsidR="00321984" w:rsidRPr="006E1DA8">
        <w:rPr>
          <w:rFonts w:cs="Times New Roman"/>
          <w:kern w:val="2"/>
          <w:sz w:val="20"/>
        </w:rPr>
        <w:t>“</w:t>
      </w:r>
      <w:r w:rsidRPr="006E1DA8">
        <w:rPr>
          <w:rFonts w:cs="Times New Roman"/>
          <w:kern w:val="2"/>
          <w:sz w:val="20"/>
        </w:rPr>
        <w:t xml:space="preserve">important aspect of the company’s </w:t>
      </w:r>
      <w:r w:rsidR="00A5495A" w:rsidRPr="006E1DA8">
        <w:rPr>
          <w:rFonts w:cs="Times New Roman"/>
          <w:kern w:val="2"/>
          <w:sz w:val="20"/>
        </w:rPr>
        <w:t>activities</w:t>
      </w:r>
      <w:r w:rsidRPr="006E1DA8">
        <w:rPr>
          <w:rFonts w:cs="Times New Roman"/>
          <w:kern w:val="2"/>
          <w:sz w:val="20"/>
        </w:rPr>
        <w:t>.</w:t>
      </w:r>
      <w:r w:rsidR="00321984" w:rsidRPr="006E1DA8">
        <w:rPr>
          <w:rFonts w:cs="Times New Roman"/>
          <w:kern w:val="2"/>
          <w:sz w:val="20"/>
        </w:rPr>
        <w:t>”</w:t>
      </w:r>
      <w:r w:rsidR="00A5495A" w:rsidRPr="006E1DA8">
        <w:rPr>
          <w:rStyle w:val="FootnoteReference"/>
          <w:rFonts w:cs="Times New Roman"/>
          <w:kern w:val="2"/>
          <w:sz w:val="20"/>
        </w:rPr>
        <w:footnoteReference w:id="110"/>
      </w:r>
      <w:r w:rsidRPr="006E1DA8">
        <w:rPr>
          <w:rFonts w:cs="Times New Roman"/>
          <w:kern w:val="2"/>
          <w:sz w:val="20"/>
        </w:rPr>
        <w:t xml:space="preserve"> </w:t>
      </w:r>
      <w:r w:rsidR="002139AE" w:rsidRPr="006E1DA8">
        <w:rPr>
          <w:rFonts w:cs="Times New Roman"/>
          <w:kern w:val="2"/>
          <w:sz w:val="20"/>
        </w:rPr>
        <w:t xml:space="preserve">At trial, Justice </w:t>
      </w:r>
      <w:proofErr w:type="spellStart"/>
      <w:r w:rsidR="002139AE" w:rsidRPr="006E1DA8">
        <w:rPr>
          <w:rFonts w:cs="Times New Roman"/>
          <w:kern w:val="2"/>
          <w:sz w:val="20"/>
        </w:rPr>
        <w:t>Toth</w:t>
      </w:r>
      <w:proofErr w:type="spellEnd"/>
      <w:r w:rsidR="002139AE" w:rsidRPr="006E1DA8">
        <w:rPr>
          <w:rFonts w:cs="Times New Roman"/>
          <w:kern w:val="2"/>
          <w:sz w:val="20"/>
        </w:rPr>
        <w:t xml:space="preserve"> found that the regional manager was definitely a senior officer and therefore his actions and state of mind were the actions and state of mind of the company. Justice </w:t>
      </w:r>
      <w:proofErr w:type="spellStart"/>
      <w:r w:rsidR="002139AE" w:rsidRPr="006E1DA8">
        <w:rPr>
          <w:rFonts w:cs="Times New Roman"/>
          <w:kern w:val="2"/>
          <w:sz w:val="20"/>
        </w:rPr>
        <w:t>Toth</w:t>
      </w:r>
      <w:proofErr w:type="spellEnd"/>
      <w:r w:rsidR="002139AE" w:rsidRPr="006E1DA8">
        <w:rPr>
          <w:rFonts w:cs="Times New Roman"/>
          <w:kern w:val="2"/>
          <w:sz w:val="20"/>
        </w:rPr>
        <w:t xml:space="preserve"> held that it was therefore unnecessary to decide whether the two territorial managers were also </w:t>
      </w:r>
      <w:r w:rsidR="00321984" w:rsidRPr="006E1DA8">
        <w:rPr>
          <w:rFonts w:cs="Times New Roman"/>
          <w:kern w:val="2"/>
          <w:sz w:val="20"/>
        </w:rPr>
        <w:t>“</w:t>
      </w:r>
      <w:r w:rsidR="002139AE" w:rsidRPr="006E1DA8">
        <w:rPr>
          <w:rFonts w:cs="Times New Roman"/>
          <w:kern w:val="2"/>
          <w:sz w:val="20"/>
        </w:rPr>
        <w:t>senior officers</w:t>
      </w:r>
      <w:r w:rsidR="00321984" w:rsidRPr="006E1DA8">
        <w:rPr>
          <w:rFonts w:cs="Times New Roman"/>
          <w:kern w:val="2"/>
          <w:sz w:val="20"/>
        </w:rPr>
        <w:t>”</w:t>
      </w:r>
      <w:r w:rsidR="002139AE" w:rsidRPr="006E1DA8">
        <w:rPr>
          <w:rFonts w:cs="Times New Roman"/>
          <w:kern w:val="2"/>
          <w:sz w:val="20"/>
        </w:rPr>
        <w:t xml:space="preserve"> and he expressly declined to rule on that issue. Justice </w:t>
      </w:r>
      <w:proofErr w:type="spellStart"/>
      <w:r w:rsidR="002139AE" w:rsidRPr="006E1DA8">
        <w:rPr>
          <w:rFonts w:cs="Times New Roman"/>
          <w:kern w:val="2"/>
          <w:sz w:val="20"/>
        </w:rPr>
        <w:t>Toth</w:t>
      </w:r>
      <w:proofErr w:type="spellEnd"/>
      <w:r w:rsidR="002139AE" w:rsidRPr="006E1DA8">
        <w:rPr>
          <w:rFonts w:cs="Times New Roman"/>
          <w:kern w:val="2"/>
          <w:sz w:val="20"/>
        </w:rPr>
        <w:t xml:space="preserve"> did note that the definition of senior officer involves a functional analysis that goes beyond the mere title </w:t>
      </w:r>
      <w:r w:rsidR="00321984" w:rsidRPr="006E1DA8">
        <w:rPr>
          <w:rFonts w:cs="Times New Roman"/>
          <w:kern w:val="2"/>
          <w:sz w:val="20"/>
        </w:rPr>
        <w:t>“</w:t>
      </w:r>
      <w:r w:rsidR="002139AE" w:rsidRPr="006E1DA8">
        <w:rPr>
          <w:rFonts w:cs="Times New Roman"/>
          <w:kern w:val="2"/>
          <w:sz w:val="20"/>
        </w:rPr>
        <w:t>manager</w:t>
      </w:r>
      <w:r w:rsidR="009B1D75" w:rsidRPr="006E1DA8">
        <w:rPr>
          <w:rFonts w:cs="Times New Roman"/>
          <w:kern w:val="2"/>
          <w:sz w:val="20"/>
        </w:rPr>
        <w:t>.</w:t>
      </w:r>
      <w:r w:rsidR="00321984" w:rsidRPr="006E1DA8">
        <w:rPr>
          <w:rFonts w:cs="Times New Roman"/>
          <w:kern w:val="2"/>
          <w:sz w:val="20"/>
        </w:rPr>
        <w:t>”</w:t>
      </w:r>
      <w:r w:rsidR="002139AE" w:rsidRPr="006E1DA8">
        <w:rPr>
          <w:rFonts w:cs="Times New Roman"/>
          <w:kern w:val="2"/>
          <w:sz w:val="20"/>
        </w:rPr>
        <w:t xml:space="preserve"> The management under consideration must involve an important aspect of the company’s activities. </w:t>
      </w:r>
    </w:p>
    <w:p w14:paraId="7B692A3F" w14:textId="567D8E20" w:rsidR="00827F7D" w:rsidRPr="006E1DA8" w:rsidRDefault="00827F7D" w:rsidP="00827F7D">
      <w:pPr>
        <w:rPr>
          <w:rFonts w:cs="Times New Roman"/>
          <w:kern w:val="2"/>
          <w:sz w:val="20"/>
        </w:rPr>
      </w:pPr>
      <w:r w:rsidRPr="006E1DA8">
        <w:rPr>
          <w:rFonts w:cs="Times New Roman"/>
          <w:kern w:val="2"/>
          <w:sz w:val="20"/>
        </w:rPr>
        <w:t>Under section 22.2(a)</w:t>
      </w:r>
      <w:r w:rsidR="008A74BD" w:rsidRPr="006E1DA8">
        <w:rPr>
          <w:rFonts w:cs="Times New Roman"/>
          <w:kern w:val="2"/>
          <w:sz w:val="20"/>
        </w:rPr>
        <w:t>,</w:t>
      </w:r>
      <w:r w:rsidR="00003C8D" w:rsidRPr="006E1DA8">
        <w:rPr>
          <w:rFonts w:cs="Times New Roman"/>
          <w:kern w:val="2"/>
          <w:sz w:val="20"/>
        </w:rPr>
        <w:t xml:space="preserve"> quoted above</w:t>
      </w:r>
      <w:r w:rsidRPr="006E1DA8">
        <w:rPr>
          <w:rFonts w:cs="Times New Roman"/>
          <w:kern w:val="2"/>
          <w:sz w:val="20"/>
        </w:rPr>
        <w:t xml:space="preserve">, a corporation may be criminally liable if a senior officer acting within the scope of his or her authority is a party to a </w:t>
      </w:r>
      <w:r w:rsidRPr="006E1DA8">
        <w:rPr>
          <w:rFonts w:cs="Times New Roman"/>
          <w:i/>
          <w:iCs/>
          <w:kern w:val="2"/>
          <w:sz w:val="20"/>
        </w:rPr>
        <w:t xml:space="preserve">CFPOA </w:t>
      </w:r>
      <w:r w:rsidRPr="006E1DA8">
        <w:rPr>
          <w:rFonts w:cs="Times New Roman"/>
          <w:kern w:val="2"/>
          <w:sz w:val="20"/>
        </w:rPr>
        <w:t xml:space="preserve">offence (this would include situations where the senior officer is a party to an offence by virtue of aiding or abetting another in the commission of an offence). In addition, the acts of the senior officer must have been done with the intention, at least </w:t>
      </w:r>
      <w:r w:rsidR="0081556E" w:rsidRPr="006E1DA8">
        <w:rPr>
          <w:rFonts w:cs="Times New Roman"/>
          <w:kern w:val="2"/>
          <w:sz w:val="20"/>
        </w:rPr>
        <w:t xml:space="preserve">in </w:t>
      </w:r>
      <w:r w:rsidRPr="006E1DA8">
        <w:rPr>
          <w:rFonts w:cs="Times New Roman"/>
          <w:kern w:val="2"/>
          <w:sz w:val="20"/>
        </w:rPr>
        <w:t>part, of benefiting t</w:t>
      </w:r>
      <w:r w:rsidR="008A74BD" w:rsidRPr="006E1DA8">
        <w:rPr>
          <w:rFonts w:cs="Times New Roman"/>
          <w:kern w:val="2"/>
          <w:sz w:val="20"/>
        </w:rPr>
        <w:t>he corporation. Section 22.2(b), quoted above,</w:t>
      </w:r>
      <w:r w:rsidR="0081556E" w:rsidRPr="006E1DA8">
        <w:rPr>
          <w:rFonts w:cs="Times New Roman"/>
          <w:kern w:val="2"/>
          <w:sz w:val="20"/>
        </w:rPr>
        <w:t xml:space="preserve"> </w:t>
      </w:r>
      <w:proofErr w:type="gramStart"/>
      <w:r w:rsidRPr="006E1DA8">
        <w:rPr>
          <w:rFonts w:cs="Times New Roman"/>
          <w:kern w:val="2"/>
          <w:sz w:val="20"/>
        </w:rPr>
        <w:t>does</w:t>
      </w:r>
      <w:proofErr w:type="gramEnd"/>
      <w:r w:rsidRPr="006E1DA8">
        <w:rPr>
          <w:rFonts w:cs="Times New Roman"/>
          <w:kern w:val="2"/>
          <w:sz w:val="20"/>
        </w:rPr>
        <w:t xml:space="preserve"> not appear to expand the liability of corporations beyond the combined effect of section 22.2(a) and the common law</w:t>
      </w:r>
      <w:r w:rsidR="005D7DE5" w:rsidRPr="006E1DA8">
        <w:rPr>
          <w:rFonts w:cs="Times New Roman"/>
          <w:kern w:val="2"/>
          <w:sz w:val="20"/>
        </w:rPr>
        <w:t xml:space="preserve"> doctrine of innocent agents.</w:t>
      </w:r>
      <w:r w:rsidRPr="006E1DA8">
        <w:rPr>
          <w:rStyle w:val="FootnoteReference"/>
          <w:rFonts w:cs="Times New Roman"/>
          <w:kern w:val="2"/>
          <w:sz w:val="20"/>
        </w:rPr>
        <w:footnoteReference w:id="111"/>
      </w:r>
    </w:p>
    <w:p w14:paraId="133CE6D8" w14:textId="5A7A37C1" w:rsidR="00827F7D" w:rsidRPr="006E1DA8" w:rsidRDefault="00827F7D" w:rsidP="00502502">
      <w:pPr>
        <w:rPr>
          <w:rFonts w:cs="Times New Roman"/>
          <w:kern w:val="2"/>
          <w:sz w:val="20"/>
        </w:rPr>
      </w:pPr>
      <w:r w:rsidRPr="006E1DA8">
        <w:rPr>
          <w:rFonts w:cs="Times New Roman"/>
          <w:kern w:val="2"/>
          <w:sz w:val="20"/>
        </w:rPr>
        <w:t xml:space="preserve">Section 22.2(c), however, does significantly expand the law. Under the common law directing minds doctrine, </w:t>
      </w:r>
      <w:r w:rsidR="005D7DE5" w:rsidRPr="006E1DA8">
        <w:rPr>
          <w:rFonts w:cs="Times New Roman"/>
          <w:kern w:val="2"/>
          <w:sz w:val="20"/>
        </w:rPr>
        <w:t xml:space="preserve">it was not clear to what extent, if any, a company could be held liable for its omission to take action to prevent bribery. </w:t>
      </w:r>
      <w:r w:rsidRPr="006E1DA8">
        <w:rPr>
          <w:rFonts w:cs="Times New Roman"/>
          <w:kern w:val="2"/>
          <w:sz w:val="20"/>
        </w:rPr>
        <w:t xml:space="preserve">However, this is no longer the case under section 22.2(c). </w:t>
      </w:r>
      <w:r w:rsidR="003F7C46" w:rsidRPr="006E1DA8">
        <w:rPr>
          <w:rFonts w:cs="Times New Roman"/>
          <w:kern w:val="2"/>
          <w:sz w:val="20"/>
        </w:rPr>
        <w:t>A</w:t>
      </w:r>
      <w:r w:rsidR="005D7DE5" w:rsidRPr="006E1DA8">
        <w:rPr>
          <w:rFonts w:cs="Times New Roman"/>
          <w:kern w:val="2"/>
          <w:sz w:val="20"/>
        </w:rPr>
        <w:t xml:space="preserve"> senior officer’s</w:t>
      </w:r>
      <w:r w:rsidRPr="006E1DA8">
        <w:rPr>
          <w:rFonts w:cs="Times New Roman"/>
          <w:kern w:val="2"/>
          <w:sz w:val="20"/>
        </w:rPr>
        <w:t xml:space="preserve"> failure to </w:t>
      </w:r>
      <w:r w:rsidR="005D7DE5" w:rsidRPr="006E1DA8">
        <w:rPr>
          <w:rFonts w:cs="Times New Roman"/>
          <w:kern w:val="2"/>
          <w:sz w:val="20"/>
        </w:rPr>
        <w:t>take reasonable steps to stop an employee’s offence can now</w:t>
      </w:r>
      <w:r w:rsidRPr="006E1DA8">
        <w:rPr>
          <w:rFonts w:cs="Times New Roman"/>
          <w:kern w:val="2"/>
          <w:sz w:val="20"/>
        </w:rPr>
        <w:t xml:space="preserve"> attach liability to the corporation</w:t>
      </w:r>
      <w:r w:rsidR="005D7DE5" w:rsidRPr="006E1DA8">
        <w:rPr>
          <w:rFonts w:cs="Times New Roman"/>
          <w:kern w:val="2"/>
          <w:sz w:val="20"/>
        </w:rPr>
        <w:t xml:space="preserve"> for that offence</w:t>
      </w:r>
      <w:r w:rsidRPr="006E1DA8">
        <w:rPr>
          <w:rFonts w:cs="Times New Roman"/>
          <w:kern w:val="2"/>
          <w:sz w:val="20"/>
        </w:rPr>
        <w:t xml:space="preserve">. </w:t>
      </w:r>
      <w:r w:rsidR="005D7DE5" w:rsidRPr="006E1DA8">
        <w:rPr>
          <w:rFonts w:cs="Times New Roman"/>
          <w:kern w:val="2"/>
          <w:sz w:val="20"/>
        </w:rPr>
        <w:t>Under the Canadian criminal law, citizen</w:t>
      </w:r>
      <w:r w:rsidR="003F7C46" w:rsidRPr="006E1DA8">
        <w:rPr>
          <w:rFonts w:cs="Times New Roman"/>
          <w:kern w:val="2"/>
          <w:sz w:val="20"/>
        </w:rPr>
        <w:t>s</w:t>
      </w:r>
      <w:r w:rsidR="005D7DE5" w:rsidRPr="006E1DA8">
        <w:rPr>
          <w:rFonts w:cs="Times New Roman"/>
          <w:kern w:val="2"/>
          <w:sz w:val="20"/>
        </w:rPr>
        <w:t xml:space="preserve"> are not guilty of an offence for failing to try to stop it or failing to report it, unless the law places a specific duty on specific people in specific circumstances to take reasonable steps to stop the commission of the crime. </w:t>
      </w:r>
      <w:r w:rsidRPr="006E1DA8">
        <w:rPr>
          <w:rFonts w:cs="Times New Roman"/>
          <w:kern w:val="2"/>
          <w:sz w:val="20"/>
        </w:rPr>
        <w:t>Section 22.2(c) places obligations on company managers and other senior officers to take all reasonable measures to stop others connected with the organization from being parties to an offence when they are aware that an offence is occurring or is about to occur. This requires a significant level of cooperation among senior officers and encourages timely reporting of any violations. As Macpherson notes, if a senior officer of one department became aware that a representative reporting to another department intended to offer a bribe to a foreign public official, the fact that the senior officer might have no managerial powers within that department is irrelevant; the corporation will be criminally liable unless the senior officer takes all reasonable measures to stop the bribery.</w:t>
      </w:r>
      <w:r w:rsidRPr="006E1DA8">
        <w:rPr>
          <w:rStyle w:val="FootnoteReference"/>
          <w:rFonts w:cs="Times New Roman"/>
          <w:kern w:val="2"/>
          <w:sz w:val="20"/>
        </w:rPr>
        <w:footnoteReference w:id="112"/>
      </w:r>
      <w:r w:rsidRPr="006E1DA8">
        <w:rPr>
          <w:rFonts w:cs="Times New Roman"/>
          <w:kern w:val="2"/>
          <w:sz w:val="20"/>
        </w:rPr>
        <w:t xml:space="preserve"> Macpherson suggests that reporting up the chain of command, rather than requiring outside reporting to police, should satisfy the </w:t>
      </w:r>
      <w:r w:rsidR="00321984" w:rsidRPr="006E1DA8">
        <w:rPr>
          <w:rFonts w:cs="Times New Roman"/>
          <w:kern w:val="2"/>
          <w:sz w:val="20"/>
        </w:rPr>
        <w:t>“</w:t>
      </w:r>
      <w:r w:rsidRPr="006E1DA8">
        <w:rPr>
          <w:rFonts w:cs="Times New Roman"/>
          <w:kern w:val="2"/>
          <w:sz w:val="20"/>
        </w:rPr>
        <w:t>all reasonable measures</w:t>
      </w:r>
      <w:r w:rsidR="00321984" w:rsidRPr="006E1DA8">
        <w:rPr>
          <w:rFonts w:cs="Times New Roman"/>
          <w:kern w:val="2"/>
          <w:sz w:val="20"/>
        </w:rPr>
        <w:t>”</w:t>
      </w:r>
      <w:r w:rsidRPr="006E1DA8">
        <w:rPr>
          <w:rFonts w:cs="Times New Roman"/>
          <w:kern w:val="2"/>
          <w:sz w:val="20"/>
        </w:rPr>
        <w:t xml:space="preserve"> requirement; otherwise some senior officers may be placed in conflicts of interest. However, whether the law requires external reporting is not clear.</w:t>
      </w:r>
      <w:r w:rsidRPr="006E1DA8">
        <w:rPr>
          <w:rStyle w:val="FootnoteReference"/>
          <w:rFonts w:cs="Times New Roman"/>
          <w:kern w:val="2"/>
          <w:sz w:val="20"/>
        </w:rPr>
        <w:footnoteReference w:id="113"/>
      </w:r>
      <w:r w:rsidRPr="006E1DA8">
        <w:rPr>
          <w:rFonts w:cs="Times New Roman"/>
          <w:kern w:val="2"/>
          <w:sz w:val="20"/>
        </w:rPr>
        <w:t xml:space="preserve"> When determining whether a senior officer took all reasonable measures, courts will also likely consider factors relevant to the due diligence defence, such as industry standards and risk management techniques.</w:t>
      </w:r>
      <w:r w:rsidRPr="006E1DA8">
        <w:rPr>
          <w:rStyle w:val="FootnoteReference"/>
          <w:rFonts w:cs="Times New Roman"/>
          <w:kern w:val="2"/>
          <w:sz w:val="20"/>
        </w:rPr>
        <w:footnoteReference w:id="114"/>
      </w:r>
    </w:p>
    <w:p w14:paraId="6359C730" w14:textId="307E91F4" w:rsidR="00924A66" w:rsidRPr="006E1DA8" w:rsidRDefault="00827F7D" w:rsidP="00827F7D">
      <w:pPr>
        <w:rPr>
          <w:rFonts w:cs="Times New Roman"/>
          <w:kern w:val="2"/>
          <w:sz w:val="20"/>
        </w:rPr>
      </w:pPr>
      <w:r w:rsidRPr="006E1DA8">
        <w:rPr>
          <w:rFonts w:cs="Times New Roman"/>
          <w:kern w:val="2"/>
          <w:sz w:val="20"/>
        </w:rPr>
        <w:t xml:space="preserve">Unlike section 7 of the UK </w:t>
      </w:r>
      <w:r w:rsidRPr="006E1DA8">
        <w:rPr>
          <w:rFonts w:cs="Times New Roman"/>
          <w:i/>
          <w:iCs/>
          <w:kern w:val="2"/>
          <w:sz w:val="20"/>
        </w:rPr>
        <w:t xml:space="preserve">Bribery </w:t>
      </w:r>
      <w:r w:rsidRPr="006E1DA8">
        <w:rPr>
          <w:rFonts w:cs="Times New Roman"/>
          <w:i/>
          <w:kern w:val="2"/>
          <w:sz w:val="20"/>
        </w:rPr>
        <w:t>Act</w:t>
      </w:r>
      <w:r w:rsidRPr="006E1DA8">
        <w:rPr>
          <w:rFonts w:cs="Times New Roman"/>
          <w:kern w:val="2"/>
          <w:sz w:val="20"/>
        </w:rPr>
        <w:t xml:space="preserve">, section 22.2(c) stops short of prescribing positive obligations to prevent wrongdoing on behalf of company representatives. Section 22.2(c) is only implicated when a senior officer </w:t>
      </w:r>
      <w:r w:rsidR="00321984" w:rsidRPr="006E1DA8">
        <w:rPr>
          <w:rFonts w:cs="Times New Roman"/>
          <w:kern w:val="2"/>
          <w:sz w:val="20"/>
        </w:rPr>
        <w:t>“</w:t>
      </w:r>
      <w:r w:rsidRPr="006E1DA8">
        <w:rPr>
          <w:rFonts w:cs="Times New Roman"/>
          <w:kern w:val="2"/>
          <w:sz w:val="20"/>
        </w:rPr>
        <w:t>knows</w:t>
      </w:r>
      <w:r w:rsidR="00321984" w:rsidRPr="006E1DA8">
        <w:rPr>
          <w:rFonts w:cs="Times New Roman"/>
          <w:kern w:val="2"/>
          <w:sz w:val="20"/>
        </w:rPr>
        <w:t>”</w:t>
      </w:r>
      <w:r w:rsidRPr="006E1DA8">
        <w:rPr>
          <w:rFonts w:cs="Times New Roman"/>
          <w:kern w:val="2"/>
          <w:sz w:val="20"/>
        </w:rPr>
        <w:t xml:space="preserve"> the representative is or is about to become a party to an offence or </w:t>
      </w:r>
      <w:r w:rsidR="003F7C46" w:rsidRPr="006E1DA8">
        <w:rPr>
          <w:rFonts w:cs="Times New Roman"/>
          <w:kern w:val="2"/>
          <w:sz w:val="20"/>
        </w:rPr>
        <w:t xml:space="preserve">when the senior officer </w:t>
      </w:r>
      <w:r w:rsidRPr="006E1DA8">
        <w:rPr>
          <w:rFonts w:cs="Times New Roman"/>
          <w:kern w:val="2"/>
          <w:sz w:val="20"/>
        </w:rPr>
        <w:t>is willfully blind to this. It does not include instances when a senior officer is recklessly or negligently unaware that bribery or false accounting is taking place within the corporation</w:t>
      </w:r>
      <w:r w:rsidR="00924A66" w:rsidRPr="006E1DA8">
        <w:rPr>
          <w:rFonts w:cs="Times New Roman"/>
          <w:kern w:val="2"/>
          <w:sz w:val="20"/>
        </w:rPr>
        <w:t>.</w:t>
      </w:r>
    </w:p>
    <w:p w14:paraId="6DB75CE2" w14:textId="24394315" w:rsidR="00622318" w:rsidRPr="006E1DA8" w:rsidRDefault="00622318" w:rsidP="00860530">
      <w:pPr>
        <w:pStyle w:val="Heading1"/>
        <w:rPr>
          <w:sz w:val="28"/>
        </w:rPr>
      </w:pPr>
      <w:bookmarkStart w:id="26" w:name="_Toc510097638"/>
      <w:r w:rsidRPr="006E1DA8">
        <w:rPr>
          <w:sz w:val="28"/>
        </w:rPr>
        <w:t>Party or Accomplice Liability</w:t>
      </w:r>
      <w:bookmarkEnd w:id="26"/>
    </w:p>
    <w:p w14:paraId="16EDEFFC" w14:textId="2586DAC2" w:rsidR="00622318" w:rsidRPr="006E1DA8" w:rsidRDefault="00622318" w:rsidP="00622318">
      <w:pPr>
        <w:rPr>
          <w:rFonts w:cs="Times New Roman"/>
          <w:kern w:val="2"/>
          <w:sz w:val="20"/>
        </w:rPr>
      </w:pPr>
      <w:r w:rsidRPr="006E1DA8">
        <w:rPr>
          <w:rFonts w:cs="Times New Roman"/>
          <w:kern w:val="2"/>
          <w:sz w:val="20"/>
        </w:rPr>
        <w:t xml:space="preserve">In most legal systems, the person who gives a bribe and the person who receives a bribe are referred to as the principal offenders. But most legal systems also criminalize the conduct of persons who aid (assist), abet (encourage) or counsel (solicit, incite or procure) the principal offender in the commission of the offence. These persons are referred to as parties, accomplices or secondary parties to an offence. In the US, the UK and Canada, these secondary parties are deemed guilty of the same offence as the principal offender. They are also liable for the same punishments as the principal offender. The actual sentence imposed will depend on the degree of involvement and the degree of responsibility of each offender. Some civil law countries treat secondary parties differently. German law, for instance, punishes a person who incites an offence (a solicitor) in the same way as </w:t>
      </w:r>
      <w:r w:rsidR="003F7C46" w:rsidRPr="006E1DA8">
        <w:rPr>
          <w:rFonts w:cs="Times New Roman"/>
          <w:kern w:val="2"/>
          <w:sz w:val="20"/>
        </w:rPr>
        <w:t xml:space="preserve">it punishes </w:t>
      </w:r>
      <w:r w:rsidRPr="006E1DA8">
        <w:rPr>
          <w:rFonts w:cs="Times New Roman"/>
          <w:kern w:val="2"/>
          <w:sz w:val="20"/>
        </w:rPr>
        <w:t>a perpetrator of the offence if he or she intentionally induces the perpetrator to commit the offence. A person who intentionally assists the principal (a facilitator) in the commission of the offence is criminally liable</w:t>
      </w:r>
      <w:r w:rsidR="003F7C46" w:rsidRPr="006E1DA8">
        <w:rPr>
          <w:rFonts w:cs="Times New Roman"/>
          <w:kern w:val="2"/>
          <w:sz w:val="20"/>
        </w:rPr>
        <w:t>,</w:t>
      </w:r>
      <w:r w:rsidRPr="006E1DA8">
        <w:rPr>
          <w:rFonts w:cs="Times New Roman"/>
          <w:kern w:val="2"/>
          <w:sz w:val="20"/>
        </w:rPr>
        <w:t xml:space="preserve"> but his or her sentence will be less severe than that of a principal.</w:t>
      </w:r>
      <w:r w:rsidRPr="006E1DA8">
        <w:rPr>
          <w:rStyle w:val="FootnoteReference"/>
          <w:rFonts w:cs="Times New Roman"/>
          <w:kern w:val="2"/>
          <w:sz w:val="20"/>
        </w:rPr>
        <w:footnoteReference w:id="115"/>
      </w:r>
      <w:r w:rsidRPr="006E1DA8">
        <w:rPr>
          <w:rFonts w:cs="Times New Roman"/>
          <w:kern w:val="2"/>
          <w:sz w:val="20"/>
        </w:rPr>
        <w:t xml:space="preserve">  While virtually all countries criminalize some form of accomplice liability, there are both significant and subtle differences between legal systems with respect to accomplice liability.    </w:t>
      </w:r>
    </w:p>
    <w:p w14:paraId="411C4C0C" w14:textId="710ABAB9" w:rsidR="00622318" w:rsidRPr="006E1DA8" w:rsidRDefault="00622318" w:rsidP="009D3B31">
      <w:pPr>
        <w:pStyle w:val="Heading2"/>
        <w:rPr>
          <w:sz w:val="24"/>
        </w:rPr>
      </w:pPr>
      <w:bookmarkStart w:id="27" w:name="_Toc502845893"/>
      <w:bookmarkStart w:id="28" w:name="_Toc287029822"/>
      <w:bookmarkEnd w:id="27"/>
      <w:r w:rsidRPr="006E1DA8">
        <w:rPr>
          <w:sz w:val="24"/>
        </w:rPr>
        <w:t>UNCAC</w:t>
      </w:r>
      <w:bookmarkEnd w:id="28"/>
    </w:p>
    <w:p w14:paraId="519844A2" w14:textId="77777777" w:rsidR="00622318" w:rsidRPr="006E1DA8" w:rsidRDefault="00622318" w:rsidP="00622318">
      <w:pPr>
        <w:rPr>
          <w:rFonts w:cs="Times New Roman"/>
          <w:kern w:val="2"/>
          <w:sz w:val="20"/>
        </w:rPr>
      </w:pPr>
      <w:r w:rsidRPr="006E1DA8">
        <w:rPr>
          <w:rFonts w:cs="Times New Roman"/>
          <w:kern w:val="2"/>
          <w:sz w:val="20"/>
        </w:rPr>
        <w:t>UNCAC requires State Parties to criminalize acts of secondary participation in the offences set out in UNCAC in accordance with the State Party’s domestic criminal law. Party liability is addressed in Article 27(1), which states:</w:t>
      </w:r>
    </w:p>
    <w:p w14:paraId="30EBDE8F" w14:textId="77777777" w:rsidR="00622318" w:rsidRPr="006E1DA8" w:rsidRDefault="00622318" w:rsidP="003F643B">
      <w:pPr>
        <w:pStyle w:val="BlockQuote"/>
        <w:rPr>
          <w:kern w:val="2"/>
          <w:sz w:val="20"/>
        </w:rPr>
      </w:pPr>
      <w:r w:rsidRPr="006E1DA8">
        <w:rPr>
          <w:kern w:val="2"/>
          <w:sz w:val="20"/>
        </w:rPr>
        <w:t>Each State Party shall adopt such legislative and other measures as may be necessary to establish as a criminal offence, in accordance with its domestic law, participation in any capacity such as an accomplice, assistant or instigator in an offence established in accordance with this Convention.</w:t>
      </w:r>
    </w:p>
    <w:p w14:paraId="3C096701" w14:textId="0FF6C6E0" w:rsidR="00622318" w:rsidRPr="006E1DA8" w:rsidRDefault="00622318" w:rsidP="00622318">
      <w:pPr>
        <w:rPr>
          <w:rFonts w:cs="Times New Roman"/>
          <w:kern w:val="2"/>
          <w:sz w:val="20"/>
        </w:rPr>
      </w:pPr>
      <w:r w:rsidRPr="006E1DA8">
        <w:rPr>
          <w:rFonts w:cs="Times New Roman"/>
          <w:kern w:val="2"/>
          <w:sz w:val="20"/>
        </w:rPr>
        <w:t xml:space="preserve">Note that Article 27(1) is a mandatory requirement for state parties and that it requires criminalization of </w:t>
      </w:r>
      <w:r w:rsidR="00321984" w:rsidRPr="006E1DA8">
        <w:rPr>
          <w:rFonts w:cs="Times New Roman"/>
          <w:kern w:val="2"/>
          <w:sz w:val="20"/>
        </w:rPr>
        <w:t>“</w:t>
      </w:r>
      <w:r w:rsidRPr="006E1DA8">
        <w:rPr>
          <w:rFonts w:cs="Times New Roman"/>
          <w:kern w:val="2"/>
          <w:sz w:val="20"/>
        </w:rPr>
        <w:t>participation in any capacity</w:t>
      </w:r>
      <w:r w:rsidR="00703056"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w:t>
      </w:r>
    </w:p>
    <w:p w14:paraId="4FC156D2" w14:textId="6DBA40EF" w:rsidR="00622318" w:rsidRPr="006E1DA8" w:rsidRDefault="00622318" w:rsidP="003F643B">
      <w:pPr>
        <w:pStyle w:val="Heading2"/>
        <w:rPr>
          <w:kern w:val="2"/>
          <w:sz w:val="24"/>
        </w:rPr>
      </w:pPr>
      <w:bookmarkStart w:id="29" w:name="_Toc287029823"/>
      <w:r w:rsidRPr="006E1DA8">
        <w:rPr>
          <w:kern w:val="2"/>
          <w:sz w:val="24"/>
        </w:rPr>
        <w:t>OECD Convention</w:t>
      </w:r>
      <w:bookmarkEnd w:id="29"/>
    </w:p>
    <w:p w14:paraId="15D29A72" w14:textId="6DF3D7A5" w:rsidR="00622318" w:rsidRPr="006E1DA8" w:rsidRDefault="00622318" w:rsidP="00622318">
      <w:pPr>
        <w:rPr>
          <w:rFonts w:cs="Times New Roman"/>
          <w:kern w:val="2"/>
          <w:sz w:val="20"/>
        </w:rPr>
      </w:pPr>
      <w:r w:rsidRPr="006E1DA8">
        <w:rPr>
          <w:rFonts w:cs="Times New Roman"/>
          <w:kern w:val="2"/>
          <w:sz w:val="20"/>
        </w:rPr>
        <w:t xml:space="preserve">Similarly, the OECD Convention mandates that those who are complicit in the act of bribing a foreign public official must be held liable. Article 1(2) requires that each State Party take necessary measures </w:t>
      </w:r>
      <w:r w:rsidR="00321984" w:rsidRPr="006E1DA8">
        <w:rPr>
          <w:rFonts w:cs="Times New Roman"/>
          <w:kern w:val="2"/>
          <w:sz w:val="20"/>
        </w:rPr>
        <w:t>“</w:t>
      </w:r>
      <w:r w:rsidRPr="006E1DA8">
        <w:rPr>
          <w:rFonts w:cs="Times New Roman"/>
          <w:kern w:val="2"/>
          <w:sz w:val="20"/>
        </w:rPr>
        <w:t>to establish that complicity in, including incitement, aiding and abetting, or authorization of an act of bribery of a foreign public official shall be a criminal offence.</w:t>
      </w:r>
      <w:r w:rsidR="00321984" w:rsidRPr="006E1DA8">
        <w:rPr>
          <w:rFonts w:cs="Times New Roman"/>
          <w:kern w:val="2"/>
          <w:sz w:val="20"/>
        </w:rPr>
        <w:t>”</w:t>
      </w:r>
    </w:p>
    <w:p w14:paraId="4B7BBC77" w14:textId="1D5A0A83" w:rsidR="00622318" w:rsidRPr="006E1DA8" w:rsidRDefault="00622318" w:rsidP="003F643B">
      <w:pPr>
        <w:pStyle w:val="Heading2"/>
        <w:rPr>
          <w:kern w:val="2"/>
          <w:sz w:val="24"/>
        </w:rPr>
      </w:pPr>
      <w:bookmarkStart w:id="30" w:name="_Toc287029824"/>
      <w:r w:rsidRPr="006E1DA8">
        <w:rPr>
          <w:kern w:val="2"/>
          <w:sz w:val="24"/>
        </w:rPr>
        <w:t>US Law</w:t>
      </w:r>
      <w:bookmarkEnd w:id="30"/>
    </w:p>
    <w:p w14:paraId="62D74D97" w14:textId="521A535E" w:rsidR="00622318" w:rsidRPr="006E1DA8" w:rsidRDefault="00622318" w:rsidP="00622318">
      <w:pPr>
        <w:rPr>
          <w:rFonts w:cs="Times New Roman"/>
          <w:kern w:val="2"/>
          <w:sz w:val="20"/>
        </w:rPr>
      </w:pPr>
      <w:r w:rsidRPr="006E1DA8">
        <w:rPr>
          <w:rFonts w:cs="Times New Roman"/>
          <w:kern w:val="2"/>
          <w:sz w:val="20"/>
        </w:rPr>
        <w:t xml:space="preserve">Under </w:t>
      </w:r>
      <w:r w:rsidR="003F7C46" w:rsidRPr="006E1DA8">
        <w:rPr>
          <w:rFonts w:cs="Times New Roman"/>
          <w:kern w:val="2"/>
          <w:sz w:val="20"/>
        </w:rPr>
        <w:t>section</w:t>
      </w:r>
      <w:r w:rsidRPr="006E1DA8">
        <w:rPr>
          <w:rFonts w:cs="Times New Roman"/>
          <w:kern w:val="2"/>
          <w:sz w:val="20"/>
        </w:rPr>
        <w:t xml:space="preserve"> 2 of US Federal Criminal Law (18 USC. § 2), an individual, corporation or other legal entity who </w:t>
      </w:r>
      <w:r w:rsidR="00321984" w:rsidRPr="006E1DA8">
        <w:rPr>
          <w:rFonts w:cs="Times New Roman"/>
          <w:kern w:val="2"/>
          <w:sz w:val="20"/>
        </w:rPr>
        <w:t>“</w:t>
      </w:r>
      <w:r w:rsidRPr="006E1DA8">
        <w:rPr>
          <w:rFonts w:cs="Times New Roman"/>
          <w:kern w:val="2"/>
          <w:sz w:val="20"/>
        </w:rPr>
        <w:t>aids, abets, counsels, commands, induces or procu</w:t>
      </w:r>
      <w:r w:rsidR="00CB6E4A" w:rsidRPr="006E1DA8">
        <w:rPr>
          <w:rFonts w:cs="Times New Roman"/>
          <w:kern w:val="2"/>
          <w:sz w:val="20"/>
        </w:rPr>
        <w:t>res</w:t>
      </w:r>
      <w:r w:rsidR="00321984" w:rsidRPr="006E1DA8">
        <w:rPr>
          <w:rFonts w:cs="Times New Roman"/>
          <w:kern w:val="2"/>
          <w:sz w:val="20"/>
        </w:rPr>
        <w:t>”</w:t>
      </w:r>
      <w:r w:rsidR="00CB6E4A" w:rsidRPr="006E1DA8">
        <w:rPr>
          <w:rFonts w:cs="Times New Roman"/>
          <w:kern w:val="2"/>
          <w:sz w:val="20"/>
        </w:rPr>
        <w:t xml:space="preserve"> the commission of an offens</w:t>
      </w:r>
      <w:r w:rsidRPr="006E1DA8">
        <w:rPr>
          <w:rFonts w:cs="Times New Roman"/>
          <w:kern w:val="2"/>
          <w:sz w:val="20"/>
        </w:rPr>
        <w:t xml:space="preserve">e or </w:t>
      </w:r>
      <w:r w:rsidR="00321984" w:rsidRPr="006E1DA8">
        <w:rPr>
          <w:rFonts w:cs="Times New Roman"/>
          <w:kern w:val="2"/>
          <w:sz w:val="20"/>
        </w:rPr>
        <w:t>“</w:t>
      </w:r>
      <w:r w:rsidRPr="006E1DA8">
        <w:rPr>
          <w:rFonts w:cs="Times New Roman"/>
          <w:kern w:val="2"/>
          <w:sz w:val="20"/>
        </w:rPr>
        <w:t>willfully causes an act to be done which if directly performed by him or another would be an offense</w:t>
      </w:r>
      <w:r w:rsidR="00321984" w:rsidRPr="006E1DA8">
        <w:rPr>
          <w:rFonts w:cs="Times New Roman"/>
          <w:kern w:val="2"/>
          <w:sz w:val="20"/>
        </w:rPr>
        <w:t>”</w:t>
      </w:r>
      <w:r w:rsidRPr="006E1DA8">
        <w:rPr>
          <w:rFonts w:cs="Times New Roman"/>
          <w:kern w:val="2"/>
          <w:sz w:val="20"/>
        </w:rPr>
        <w:t xml:space="preserve"> is guilty of that offence and </w:t>
      </w:r>
      <w:r w:rsidR="00321984" w:rsidRPr="006E1DA8">
        <w:rPr>
          <w:rFonts w:cs="Times New Roman"/>
          <w:kern w:val="2"/>
          <w:sz w:val="20"/>
        </w:rPr>
        <w:t>“</w:t>
      </w:r>
      <w:r w:rsidRPr="006E1DA8">
        <w:rPr>
          <w:rFonts w:cs="Times New Roman"/>
          <w:kern w:val="2"/>
          <w:sz w:val="20"/>
        </w:rPr>
        <w:t>is punishable as a principal.</w:t>
      </w:r>
      <w:r w:rsidR="00321984" w:rsidRPr="006E1DA8">
        <w:rPr>
          <w:rFonts w:cs="Times New Roman"/>
          <w:kern w:val="2"/>
          <w:sz w:val="20"/>
        </w:rPr>
        <w:t>”</w:t>
      </w:r>
      <w:r w:rsidRPr="006E1DA8">
        <w:rPr>
          <w:rFonts w:cs="Times New Roman"/>
          <w:kern w:val="2"/>
          <w:sz w:val="20"/>
        </w:rPr>
        <w:t xml:space="preserve"> In this sense</w:t>
      </w:r>
      <w:r w:rsidR="003F7C46" w:rsidRPr="006E1DA8">
        <w:rPr>
          <w:rFonts w:cs="Times New Roman"/>
          <w:kern w:val="2"/>
          <w:sz w:val="20"/>
        </w:rPr>
        <w:t>,</w:t>
      </w:r>
      <w:r w:rsidRPr="006E1DA8">
        <w:rPr>
          <w:rFonts w:cs="Times New Roman"/>
          <w:kern w:val="2"/>
          <w:sz w:val="20"/>
        </w:rPr>
        <w:t xml:space="preserve"> the liability of the aider, abettor, etc.</w:t>
      </w:r>
      <w:r w:rsidR="00703056" w:rsidRPr="006E1DA8">
        <w:rPr>
          <w:rFonts w:cs="Times New Roman"/>
          <w:kern w:val="2"/>
          <w:sz w:val="20"/>
        </w:rPr>
        <w:t>,</w:t>
      </w:r>
      <w:r w:rsidRPr="006E1DA8">
        <w:rPr>
          <w:rFonts w:cs="Times New Roman"/>
          <w:kern w:val="2"/>
          <w:sz w:val="20"/>
        </w:rPr>
        <w:t xml:space="preserve"> is deri</w:t>
      </w:r>
      <w:r w:rsidR="00CB6E4A" w:rsidRPr="006E1DA8">
        <w:rPr>
          <w:rFonts w:cs="Times New Roman"/>
          <w:kern w:val="2"/>
          <w:sz w:val="20"/>
        </w:rPr>
        <w:t>vative—it is based on the offens</w:t>
      </w:r>
      <w:r w:rsidRPr="006E1DA8">
        <w:rPr>
          <w:rFonts w:cs="Times New Roman"/>
          <w:kern w:val="2"/>
          <w:sz w:val="20"/>
        </w:rPr>
        <w:t>e committed by the principal offender. The aider, abettor, etc.</w:t>
      </w:r>
      <w:r w:rsidR="00703056" w:rsidRPr="006E1DA8">
        <w:rPr>
          <w:rFonts w:cs="Times New Roman"/>
          <w:kern w:val="2"/>
          <w:sz w:val="20"/>
        </w:rPr>
        <w:t>,</w:t>
      </w:r>
      <w:r w:rsidRPr="006E1DA8">
        <w:rPr>
          <w:rFonts w:cs="Times New Roman"/>
          <w:kern w:val="2"/>
          <w:sz w:val="20"/>
        </w:rPr>
        <w:t xml:space="preserve"> is sometimes referred to as a secondary party to distinguish him or her from the principal offender; but</w:t>
      </w:r>
      <w:r w:rsidR="003F7C46" w:rsidRPr="006E1DA8">
        <w:rPr>
          <w:rFonts w:cs="Times New Roman"/>
          <w:kern w:val="2"/>
          <w:sz w:val="20"/>
        </w:rPr>
        <w:t>,</w:t>
      </w:r>
      <w:r w:rsidRPr="006E1DA8">
        <w:rPr>
          <w:rFonts w:cs="Times New Roman"/>
          <w:kern w:val="2"/>
          <w:sz w:val="20"/>
        </w:rPr>
        <w:t xml:space="preserve"> in law the principal offender and the secondary offender are guilty of the same offence. </w:t>
      </w:r>
      <w:r w:rsidR="003F7C46" w:rsidRPr="006E1DA8">
        <w:rPr>
          <w:rFonts w:cs="Times New Roman"/>
          <w:kern w:val="2"/>
          <w:sz w:val="20"/>
        </w:rPr>
        <w:t>Section</w:t>
      </w:r>
      <w:r w:rsidRPr="006E1DA8">
        <w:rPr>
          <w:rFonts w:cs="Times New Roman"/>
          <w:kern w:val="2"/>
          <w:sz w:val="20"/>
        </w:rPr>
        <w:t xml:space="preserve"> 2 of the US Co</w:t>
      </w:r>
      <w:r w:rsidR="00CB6E4A" w:rsidRPr="006E1DA8">
        <w:rPr>
          <w:rFonts w:cs="Times New Roman"/>
          <w:kern w:val="2"/>
          <w:sz w:val="20"/>
        </w:rPr>
        <w:t>de applies to all federal offens</w:t>
      </w:r>
      <w:r w:rsidRPr="006E1DA8">
        <w:rPr>
          <w:rFonts w:cs="Times New Roman"/>
          <w:kern w:val="2"/>
          <w:sz w:val="20"/>
        </w:rPr>
        <w:t>es including the bribery offences in</w:t>
      </w:r>
      <w:r w:rsidR="00450B90" w:rsidRPr="006E1DA8">
        <w:rPr>
          <w:rFonts w:cs="Times New Roman"/>
          <w:kern w:val="2"/>
          <w:sz w:val="20"/>
        </w:rPr>
        <w:t xml:space="preserve"> the</w:t>
      </w:r>
      <w:r w:rsidRPr="006E1DA8">
        <w:rPr>
          <w:rFonts w:cs="Times New Roman"/>
          <w:kern w:val="2"/>
          <w:sz w:val="20"/>
        </w:rPr>
        <w:t xml:space="preserve"> </w:t>
      </w:r>
      <w:r w:rsidRPr="006E1DA8">
        <w:rPr>
          <w:rFonts w:cs="Times New Roman"/>
          <w:i/>
          <w:kern w:val="2"/>
          <w:sz w:val="20"/>
        </w:rPr>
        <w:t>FCPA</w:t>
      </w:r>
      <w:r w:rsidRPr="006E1DA8">
        <w:rPr>
          <w:rFonts w:cs="Times New Roman"/>
          <w:kern w:val="2"/>
          <w:sz w:val="20"/>
        </w:rPr>
        <w:t>.</w:t>
      </w:r>
      <w:r w:rsidR="00CB6E4A" w:rsidRPr="006E1DA8">
        <w:rPr>
          <w:rFonts w:cs="Times New Roman"/>
          <w:kern w:val="2"/>
          <w:sz w:val="20"/>
        </w:rPr>
        <w:t xml:space="preserve"> </w:t>
      </w:r>
      <w:r w:rsidR="00A34FE5" w:rsidRPr="006E1DA8">
        <w:rPr>
          <w:rFonts w:cs="Times New Roman"/>
          <w:kern w:val="2"/>
          <w:sz w:val="20"/>
        </w:rPr>
        <w:t xml:space="preserve">For further discussion of corporations as </w:t>
      </w:r>
      <w:r w:rsidR="00B709FD" w:rsidRPr="006E1DA8">
        <w:rPr>
          <w:rFonts w:cs="Times New Roman"/>
          <w:kern w:val="2"/>
          <w:sz w:val="20"/>
        </w:rPr>
        <w:t>principal offender or aider, abetto</w:t>
      </w:r>
      <w:r w:rsidR="00070ABE" w:rsidRPr="006E1DA8">
        <w:rPr>
          <w:rFonts w:cs="Times New Roman"/>
          <w:kern w:val="2"/>
          <w:sz w:val="20"/>
        </w:rPr>
        <w:t xml:space="preserve">r or counsellor, see Section </w:t>
      </w:r>
      <w:r w:rsidR="00450B90" w:rsidRPr="006E1DA8">
        <w:rPr>
          <w:rFonts w:cs="Times New Roman"/>
          <w:kern w:val="2"/>
          <w:sz w:val="20"/>
        </w:rPr>
        <w:t>2</w:t>
      </w:r>
      <w:r w:rsidR="00070ABE" w:rsidRPr="006E1DA8">
        <w:rPr>
          <w:rFonts w:cs="Times New Roman"/>
          <w:kern w:val="2"/>
          <w:sz w:val="20"/>
        </w:rPr>
        <w:t>.5</w:t>
      </w:r>
      <w:r w:rsidR="00B709FD" w:rsidRPr="006E1DA8">
        <w:rPr>
          <w:rFonts w:cs="Times New Roman"/>
          <w:kern w:val="2"/>
          <w:sz w:val="20"/>
        </w:rPr>
        <w:t>.</w:t>
      </w:r>
    </w:p>
    <w:p w14:paraId="423B4996" w14:textId="0F147FE6" w:rsidR="00622318" w:rsidRPr="006E1DA8" w:rsidRDefault="00622318" w:rsidP="00622318">
      <w:pPr>
        <w:rPr>
          <w:rFonts w:cs="Times New Roman"/>
          <w:kern w:val="2"/>
          <w:sz w:val="20"/>
        </w:rPr>
      </w:pPr>
      <w:r w:rsidRPr="006E1DA8">
        <w:rPr>
          <w:rFonts w:cs="Times New Roman"/>
          <w:kern w:val="2"/>
          <w:sz w:val="20"/>
        </w:rPr>
        <w:t xml:space="preserve">While accomplice liability is usually based on </w:t>
      </w:r>
      <w:r w:rsidRPr="006E1DA8">
        <w:rPr>
          <w:rFonts w:cs="Times New Roman"/>
          <w:i/>
          <w:kern w:val="2"/>
          <w:sz w:val="20"/>
        </w:rPr>
        <w:t>acts</w:t>
      </w:r>
      <w:r w:rsidRPr="006E1DA8">
        <w:rPr>
          <w:rFonts w:cs="Times New Roman"/>
          <w:kern w:val="2"/>
          <w:sz w:val="20"/>
        </w:rPr>
        <w:t xml:space="preserve">, an </w:t>
      </w:r>
      <w:r w:rsidRPr="006E1DA8">
        <w:rPr>
          <w:rFonts w:cs="Times New Roman"/>
          <w:i/>
          <w:kern w:val="2"/>
          <w:sz w:val="20"/>
        </w:rPr>
        <w:t>omission</w:t>
      </w:r>
      <w:r w:rsidRPr="006E1DA8">
        <w:rPr>
          <w:rFonts w:cs="Times New Roman"/>
          <w:kern w:val="2"/>
          <w:sz w:val="20"/>
        </w:rPr>
        <w:t xml:space="preserve"> to act may actually assist or encourage the commission of an offence. In the US, there is generally no accomplice liability for omissions to act (e.g.</w:t>
      </w:r>
      <w:r w:rsidR="00703056" w:rsidRPr="006E1DA8">
        <w:rPr>
          <w:rFonts w:cs="Times New Roman"/>
          <w:kern w:val="2"/>
          <w:sz w:val="20"/>
        </w:rPr>
        <w:t>,</w:t>
      </w:r>
      <w:r w:rsidRPr="006E1DA8">
        <w:rPr>
          <w:rFonts w:cs="Times New Roman"/>
          <w:kern w:val="2"/>
          <w:sz w:val="20"/>
        </w:rPr>
        <w:t xml:space="preserve"> failure to report or stop an act of bribery) unless the law has placed a specific legal duty on that person to act. Accomplice liability in the US also extend</w:t>
      </w:r>
      <w:r w:rsidR="00B709FD" w:rsidRPr="006E1DA8">
        <w:rPr>
          <w:rFonts w:cs="Times New Roman"/>
          <w:kern w:val="2"/>
          <w:sz w:val="20"/>
        </w:rPr>
        <w:t>s in general to ancillary offens</w:t>
      </w:r>
      <w:r w:rsidRPr="006E1DA8">
        <w:rPr>
          <w:rFonts w:cs="Times New Roman"/>
          <w:kern w:val="2"/>
          <w:sz w:val="20"/>
        </w:rPr>
        <w:t>es which are a natural and probable consequence of</w:t>
      </w:r>
      <w:r w:rsidR="00B709FD" w:rsidRPr="006E1DA8">
        <w:rPr>
          <w:rFonts w:cs="Times New Roman"/>
          <w:kern w:val="2"/>
          <w:sz w:val="20"/>
        </w:rPr>
        <w:t xml:space="preserve"> committing the principal offens</w:t>
      </w:r>
      <w:r w:rsidRPr="006E1DA8">
        <w:rPr>
          <w:rFonts w:cs="Times New Roman"/>
          <w:kern w:val="2"/>
          <w:sz w:val="20"/>
        </w:rPr>
        <w:t>e. If A agrees to assist P to commit bribery and as part of the bribery scheme P threatens V with violence, then</w:t>
      </w:r>
      <w:r w:rsidR="00B709FD" w:rsidRPr="006E1DA8">
        <w:rPr>
          <w:rFonts w:cs="Times New Roman"/>
          <w:kern w:val="2"/>
          <w:sz w:val="20"/>
        </w:rPr>
        <w:t xml:space="preserve"> A is also liable for the offens</w:t>
      </w:r>
      <w:r w:rsidRPr="006E1DA8">
        <w:rPr>
          <w:rFonts w:cs="Times New Roman"/>
          <w:kern w:val="2"/>
          <w:sz w:val="20"/>
        </w:rPr>
        <w:t xml:space="preserve">e of making threats of violence, if such threats were a natural and probable consequence of carrying out the bribery scheme. For a detailed analysis of party liability in the US, see </w:t>
      </w:r>
      <w:proofErr w:type="spellStart"/>
      <w:r w:rsidRPr="006E1DA8">
        <w:rPr>
          <w:rFonts w:cs="Times New Roman"/>
          <w:kern w:val="2"/>
          <w:sz w:val="20"/>
        </w:rPr>
        <w:t>LaFave’s</w:t>
      </w:r>
      <w:proofErr w:type="spellEnd"/>
      <w:r w:rsidRPr="006E1DA8">
        <w:rPr>
          <w:rFonts w:cs="Times New Roman"/>
          <w:kern w:val="2"/>
          <w:sz w:val="20"/>
        </w:rPr>
        <w:t xml:space="preserve"> book </w:t>
      </w:r>
      <w:r w:rsidRPr="006E1DA8">
        <w:rPr>
          <w:rFonts w:cs="Times New Roman"/>
          <w:i/>
          <w:kern w:val="2"/>
          <w:sz w:val="20"/>
        </w:rPr>
        <w:t>Substantive Criminal Law</w:t>
      </w:r>
      <w:r w:rsidRPr="006E1DA8">
        <w:rPr>
          <w:rFonts w:cs="Times New Roman"/>
          <w:kern w:val="2"/>
          <w:sz w:val="20"/>
        </w:rPr>
        <w:t>.</w:t>
      </w:r>
      <w:r w:rsidRPr="006E1DA8">
        <w:rPr>
          <w:rStyle w:val="FootnoteReference"/>
          <w:rFonts w:cs="Times New Roman"/>
          <w:kern w:val="2"/>
          <w:sz w:val="20"/>
        </w:rPr>
        <w:footnoteReference w:id="116"/>
      </w:r>
      <w:r w:rsidRPr="006E1DA8">
        <w:rPr>
          <w:rFonts w:cs="Times New Roman"/>
          <w:kern w:val="2"/>
          <w:sz w:val="20"/>
        </w:rPr>
        <w:t xml:space="preserve">   </w:t>
      </w:r>
    </w:p>
    <w:p w14:paraId="7782E71D" w14:textId="0412C71A" w:rsidR="00622318" w:rsidRPr="006E1DA8" w:rsidRDefault="00622318" w:rsidP="003F643B">
      <w:pPr>
        <w:pStyle w:val="Heading2"/>
        <w:rPr>
          <w:kern w:val="2"/>
          <w:sz w:val="24"/>
        </w:rPr>
      </w:pPr>
      <w:bookmarkStart w:id="31" w:name="_Toc287029825"/>
      <w:r w:rsidRPr="006E1DA8">
        <w:rPr>
          <w:kern w:val="2"/>
          <w:sz w:val="24"/>
        </w:rPr>
        <w:t>UK Law</w:t>
      </w:r>
      <w:bookmarkEnd w:id="31"/>
    </w:p>
    <w:p w14:paraId="580C0DA5" w14:textId="521FFB11" w:rsidR="00622318" w:rsidRPr="006E1DA8" w:rsidRDefault="00622318" w:rsidP="00622318">
      <w:pPr>
        <w:rPr>
          <w:rFonts w:cs="Times New Roman"/>
          <w:kern w:val="2"/>
          <w:sz w:val="20"/>
        </w:rPr>
      </w:pPr>
      <w:r w:rsidRPr="006E1DA8">
        <w:rPr>
          <w:rFonts w:cs="Times New Roman"/>
          <w:kern w:val="2"/>
          <w:sz w:val="20"/>
        </w:rPr>
        <w:t xml:space="preserve">Section 8 of the </w:t>
      </w:r>
      <w:r w:rsidRPr="006E1DA8">
        <w:rPr>
          <w:rFonts w:cs="Times New Roman"/>
          <w:i/>
          <w:iCs/>
          <w:kern w:val="2"/>
          <w:sz w:val="20"/>
        </w:rPr>
        <w:t>Accessories and Abettors Act 1861</w:t>
      </w:r>
      <w:r w:rsidRPr="006E1DA8">
        <w:rPr>
          <w:rFonts w:cs="Times New Roman"/>
          <w:iCs/>
          <w:kern w:val="2"/>
          <w:sz w:val="20"/>
        </w:rPr>
        <w:t xml:space="preserve">, as amended by the </w:t>
      </w:r>
      <w:r w:rsidRPr="006E1DA8">
        <w:rPr>
          <w:rFonts w:cs="Times New Roman"/>
          <w:i/>
          <w:iCs/>
          <w:kern w:val="2"/>
          <w:sz w:val="20"/>
        </w:rPr>
        <w:t>Criminal Law Act 1977</w:t>
      </w:r>
      <w:r w:rsidRPr="006E1DA8">
        <w:rPr>
          <w:rFonts w:cs="Times New Roman"/>
          <w:iCs/>
          <w:kern w:val="2"/>
          <w:sz w:val="20"/>
        </w:rPr>
        <w:t>,</w:t>
      </w:r>
      <w:r w:rsidRPr="006E1DA8">
        <w:rPr>
          <w:rFonts w:cs="Times New Roman"/>
          <w:i/>
          <w:iCs/>
          <w:kern w:val="2"/>
          <w:sz w:val="20"/>
        </w:rPr>
        <w:t xml:space="preserve"> </w:t>
      </w:r>
      <w:r w:rsidRPr="006E1DA8">
        <w:rPr>
          <w:rFonts w:cs="Times New Roman"/>
          <w:kern w:val="2"/>
          <w:sz w:val="20"/>
        </w:rPr>
        <w:t xml:space="preserve">provides that anyone </w:t>
      </w:r>
      <w:r w:rsidR="00321984" w:rsidRPr="006E1DA8">
        <w:rPr>
          <w:rFonts w:cs="Times New Roman"/>
          <w:kern w:val="2"/>
          <w:sz w:val="20"/>
        </w:rPr>
        <w:t>“</w:t>
      </w:r>
      <w:r w:rsidRPr="006E1DA8">
        <w:rPr>
          <w:rFonts w:cs="Times New Roman"/>
          <w:kern w:val="2"/>
          <w:sz w:val="20"/>
        </w:rPr>
        <w:t>who aids, abets, counsels or procures</w:t>
      </w:r>
      <w:r w:rsidR="00321984" w:rsidRPr="006E1DA8">
        <w:rPr>
          <w:rFonts w:cs="Times New Roman"/>
          <w:kern w:val="2"/>
          <w:sz w:val="20"/>
        </w:rPr>
        <w:t>”</w:t>
      </w:r>
      <w:r w:rsidRPr="006E1DA8">
        <w:rPr>
          <w:rFonts w:cs="Times New Roman"/>
          <w:kern w:val="2"/>
          <w:sz w:val="20"/>
        </w:rPr>
        <w:t xml:space="preserve"> the commission of any indictable UK offence is liable and punishable for that offence as a principal offender. Therefore, anyone who, by an act or omission of a legal duty, assists or encourages the commission of an offence under the </w:t>
      </w:r>
      <w:r w:rsidRPr="006E1DA8">
        <w:rPr>
          <w:rFonts w:cs="Times New Roman"/>
          <w:i/>
          <w:iCs/>
          <w:kern w:val="2"/>
          <w:sz w:val="20"/>
        </w:rPr>
        <w:t xml:space="preserve">Bribery Act </w:t>
      </w:r>
      <w:r w:rsidRPr="006E1DA8">
        <w:rPr>
          <w:rFonts w:cs="Times New Roman"/>
          <w:kern w:val="2"/>
          <w:sz w:val="20"/>
        </w:rPr>
        <w:t xml:space="preserve">will be punished in the same way as the principal offender. The accessory must intend to assist the principal offender and must have knowledge of the essential elements of the principal offender’s offence. Voluntary attendance at the scene of the crime and a failure to stop the crime </w:t>
      </w:r>
      <w:r w:rsidR="0005677E" w:rsidRPr="006E1DA8">
        <w:rPr>
          <w:rFonts w:cs="Times New Roman"/>
          <w:kern w:val="2"/>
          <w:sz w:val="20"/>
        </w:rPr>
        <w:t>are</w:t>
      </w:r>
      <w:r w:rsidRPr="006E1DA8">
        <w:rPr>
          <w:rFonts w:cs="Times New Roman"/>
          <w:kern w:val="2"/>
          <w:sz w:val="20"/>
        </w:rPr>
        <w:t xml:space="preserve"> not necessarily sufficient to constitute an act of assistance.</w:t>
      </w:r>
      <w:r w:rsidRPr="006E1DA8">
        <w:rPr>
          <w:rStyle w:val="FootnoteReference"/>
          <w:rFonts w:cs="Times New Roman"/>
          <w:kern w:val="2"/>
          <w:sz w:val="20"/>
        </w:rPr>
        <w:footnoteReference w:id="117"/>
      </w:r>
      <w:r w:rsidRPr="006E1DA8">
        <w:rPr>
          <w:rFonts w:cs="Times New Roman"/>
          <w:kern w:val="2"/>
          <w:sz w:val="20"/>
        </w:rPr>
        <w:t xml:space="preserve"> </w:t>
      </w:r>
    </w:p>
    <w:p w14:paraId="61744762" w14:textId="77777777" w:rsidR="00622318" w:rsidRPr="006E1DA8" w:rsidRDefault="00622318" w:rsidP="00622318">
      <w:pPr>
        <w:rPr>
          <w:rFonts w:cs="Times New Roman"/>
          <w:kern w:val="2"/>
          <w:sz w:val="20"/>
        </w:rPr>
      </w:pPr>
      <w:r w:rsidRPr="006E1DA8">
        <w:rPr>
          <w:rFonts w:cs="Times New Roman"/>
          <w:kern w:val="2"/>
          <w:sz w:val="20"/>
        </w:rPr>
        <w:t>English criminal law also extends liability to all persons who belong to a common unlawful purpose (sometimes called a joint venture) for further offences that are committed by one member of that group in carrying out the common unlawful purpose, provided these further offences are a reasonably foreseeable consequence of carrying out the unlawful purpose. Thus if A, B and C have a common unlawful purpose to bribe a foreign minister in hopes of obtaining a government contract and A, in carrying out the common purpose, forges an official document, then B and C are guilty of forgery if that forgery was a reasonably foreseeable consequence of carrying out the bribery scheme. This form of liability is sometimes referred to as joint enterprise liability or parasitic liability.</w:t>
      </w:r>
      <w:r w:rsidRPr="006E1DA8">
        <w:rPr>
          <w:rStyle w:val="FootnoteReference"/>
          <w:rFonts w:cs="Times New Roman"/>
          <w:kern w:val="2"/>
          <w:sz w:val="20"/>
        </w:rPr>
        <w:footnoteReference w:id="118"/>
      </w:r>
    </w:p>
    <w:p w14:paraId="44E36FA4" w14:textId="0F99635E" w:rsidR="00622318" w:rsidRPr="006E1DA8" w:rsidRDefault="00622318" w:rsidP="00622318">
      <w:pPr>
        <w:rPr>
          <w:rFonts w:cs="Times New Roman"/>
          <w:kern w:val="2"/>
          <w:sz w:val="20"/>
        </w:rPr>
      </w:pPr>
      <w:r w:rsidRPr="006E1DA8">
        <w:rPr>
          <w:rFonts w:cs="Times New Roman"/>
          <w:kern w:val="2"/>
          <w:sz w:val="20"/>
        </w:rPr>
        <w:t>A secondary party can be convicted even if the principal is acquitted</w:t>
      </w:r>
      <w:r w:rsidR="0005677E" w:rsidRPr="006E1DA8">
        <w:rPr>
          <w:rFonts w:cs="Times New Roman"/>
          <w:kern w:val="2"/>
          <w:sz w:val="20"/>
        </w:rPr>
        <w:t>, provided there is admissible evidence at the secondary party’s trial to establish that the offence was committed and that the accused assisted or encouraged the commission of the offence</w:t>
      </w:r>
      <w:r w:rsidRPr="006E1DA8">
        <w:rPr>
          <w:rFonts w:cs="Times New Roman"/>
          <w:kern w:val="2"/>
          <w:sz w:val="20"/>
        </w:rPr>
        <w:t>. However, if the secondary party withdraws unequivocally from the common purpose and communicates this in time, he or she will have a defence (in contrast to conspiracy, which offers no defence for withdrawal from an agreement)</w:t>
      </w:r>
      <w:r w:rsidR="00450B90" w:rsidRPr="006E1DA8">
        <w:rPr>
          <w:rFonts w:cs="Times New Roman"/>
          <w:kern w:val="2"/>
          <w:sz w:val="20"/>
        </w:rPr>
        <w:t xml:space="preserve"> to any offences committed after the withdrawal by other members of the common purpose</w:t>
      </w:r>
      <w:r w:rsidRPr="006E1DA8">
        <w:rPr>
          <w:rFonts w:cs="Times New Roman"/>
          <w:kern w:val="2"/>
          <w:sz w:val="20"/>
        </w:rPr>
        <w:t>.</w:t>
      </w:r>
      <w:r w:rsidRPr="006E1DA8">
        <w:rPr>
          <w:rStyle w:val="FootnoteReference"/>
          <w:rFonts w:cs="Times New Roman"/>
          <w:kern w:val="2"/>
          <w:sz w:val="20"/>
        </w:rPr>
        <w:footnoteReference w:id="119"/>
      </w:r>
    </w:p>
    <w:p w14:paraId="643EB5C7" w14:textId="181BA947" w:rsidR="00622318" w:rsidRPr="006E1DA8" w:rsidRDefault="00622318" w:rsidP="00622318">
      <w:pPr>
        <w:rPr>
          <w:kern w:val="2"/>
          <w:sz w:val="20"/>
        </w:rPr>
      </w:pPr>
      <w:r w:rsidRPr="006E1DA8">
        <w:rPr>
          <w:rFonts w:cs="Times New Roman"/>
          <w:kern w:val="2"/>
          <w:sz w:val="20"/>
        </w:rPr>
        <w:t xml:space="preserve">Pursuant to section 14, the </w:t>
      </w:r>
      <w:r w:rsidRPr="006E1DA8">
        <w:rPr>
          <w:rFonts w:cs="Times New Roman"/>
          <w:i/>
          <w:iCs/>
          <w:kern w:val="2"/>
          <w:sz w:val="20"/>
        </w:rPr>
        <w:t xml:space="preserve">Bribery Act </w:t>
      </w:r>
      <w:r w:rsidRPr="006E1DA8">
        <w:rPr>
          <w:rFonts w:cs="Times New Roman"/>
          <w:kern w:val="2"/>
          <w:sz w:val="20"/>
        </w:rPr>
        <w:t xml:space="preserve">also establishes liability for senior company officers, such as directors, managers, company secretaries or those purporting to act in such a capacity, who </w:t>
      </w:r>
      <w:r w:rsidR="00321984" w:rsidRPr="006E1DA8">
        <w:rPr>
          <w:rFonts w:cs="Times New Roman"/>
          <w:kern w:val="2"/>
          <w:sz w:val="20"/>
        </w:rPr>
        <w:t>“</w:t>
      </w:r>
      <w:r w:rsidRPr="006E1DA8">
        <w:rPr>
          <w:rFonts w:cs="Times New Roman"/>
          <w:kern w:val="2"/>
          <w:sz w:val="20"/>
        </w:rPr>
        <w:t>consent or connive</w:t>
      </w:r>
      <w:r w:rsidR="00321984" w:rsidRPr="006E1DA8">
        <w:rPr>
          <w:rFonts w:cs="Times New Roman"/>
          <w:kern w:val="2"/>
          <w:sz w:val="20"/>
        </w:rPr>
        <w:t>”</w:t>
      </w:r>
      <w:r w:rsidRPr="006E1DA8">
        <w:rPr>
          <w:rFonts w:cs="Times New Roman"/>
          <w:kern w:val="2"/>
          <w:sz w:val="20"/>
        </w:rPr>
        <w:t xml:space="preserve"> in the commission of a </w:t>
      </w:r>
      <w:r w:rsidRPr="006E1DA8">
        <w:rPr>
          <w:rFonts w:cs="Times New Roman"/>
          <w:i/>
          <w:iCs/>
          <w:kern w:val="2"/>
          <w:sz w:val="20"/>
        </w:rPr>
        <w:t xml:space="preserve">Bribery Act </w:t>
      </w:r>
      <w:r w:rsidRPr="006E1DA8">
        <w:rPr>
          <w:rFonts w:cs="Times New Roman"/>
          <w:kern w:val="2"/>
          <w:sz w:val="20"/>
        </w:rPr>
        <w:t>offence under sections 1, 2 or 6 by a legal entity</w:t>
      </w:r>
      <w:r w:rsidR="004D1766" w:rsidRPr="006E1DA8">
        <w:rPr>
          <w:rFonts w:cs="Times New Roman"/>
          <w:kern w:val="2"/>
          <w:sz w:val="20"/>
        </w:rPr>
        <w:t xml:space="preserve"> (see Chapter 2, </w:t>
      </w:r>
      <w:r w:rsidR="002B4379" w:rsidRPr="006E1DA8">
        <w:rPr>
          <w:rFonts w:cs="Times New Roman"/>
          <w:kern w:val="2"/>
          <w:sz w:val="20"/>
        </w:rPr>
        <w:t>Section</w:t>
      </w:r>
      <w:r w:rsidR="004D1766" w:rsidRPr="006E1DA8">
        <w:rPr>
          <w:rFonts w:cs="Times New Roman"/>
          <w:kern w:val="2"/>
          <w:sz w:val="20"/>
        </w:rPr>
        <w:t xml:space="preserve"> 2.4.2(iv))</w:t>
      </w:r>
      <w:r w:rsidRPr="006E1DA8">
        <w:rPr>
          <w:rFonts w:cs="Times New Roman"/>
          <w:kern w:val="2"/>
          <w:sz w:val="20"/>
        </w:rPr>
        <w:t xml:space="preserve">. It has been suggested that the concept of </w:t>
      </w:r>
      <w:r w:rsidR="00321984" w:rsidRPr="006E1DA8">
        <w:rPr>
          <w:rFonts w:cs="Times New Roman"/>
          <w:kern w:val="2"/>
          <w:sz w:val="20"/>
        </w:rPr>
        <w:t>“</w:t>
      </w:r>
      <w:r w:rsidRPr="006E1DA8">
        <w:rPr>
          <w:rFonts w:cs="Times New Roman"/>
          <w:kern w:val="2"/>
          <w:sz w:val="20"/>
        </w:rPr>
        <w:t>consent and connivance</w:t>
      </w:r>
      <w:r w:rsidR="00321984" w:rsidRPr="006E1DA8">
        <w:rPr>
          <w:rFonts w:cs="Times New Roman"/>
          <w:kern w:val="2"/>
          <w:sz w:val="20"/>
        </w:rPr>
        <w:t>”</w:t>
      </w:r>
      <w:r w:rsidRPr="006E1DA8">
        <w:rPr>
          <w:rFonts w:cs="Times New Roman"/>
          <w:kern w:val="2"/>
          <w:sz w:val="20"/>
        </w:rPr>
        <w:t xml:space="preserve"> is wider and more flexible</w:t>
      </w:r>
      <w:r w:rsidR="001310EE" w:rsidRPr="006E1DA8">
        <w:rPr>
          <w:rFonts w:cs="Times New Roman"/>
          <w:kern w:val="2"/>
          <w:sz w:val="20"/>
        </w:rPr>
        <w:t xml:space="preserve"> than accomplice liability.</w:t>
      </w:r>
      <w:r w:rsidRPr="006E1DA8">
        <w:rPr>
          <w:rStyle w:val="FootnoteReference"/>
          <w:rFonts w:cs="Times New Roman"/>
          <w:kern w:val="2"/>
          <w:sz w:val="20"/>
        </w:rPr>
        <w:footnoteReference w:id="120"/>
      </w:r>
      <w:r w:rsidRPr="006E1DA8">
        <w:rPr>
          <w:rFonts w:cs="Times New Roman"/>
          <w:kern w:val="2"/>
          <w:sz w:val="20"/>
        </w:rPr>
        <w:t xml:space="preserve"> The concept does not necessarily require that aid be given intentionally; it could also criminalize reckless behaviour. It likely also captures instances where a senior officer knows the bribery offence is occurring</w:t>
      </w:r>
      <w:r w:rsidR="00ED17BD" w:rsidRPr="006E1DA8">
        <w:rPr>
          <w:rFonts w:cs="Times New Roman"/>
          <w:kern w:val="2"/>
          <w:sz w:val="20"/>
        </w:rPr>
        <w:t>,</w:t>
      </w:r>
      <w:r w:rsidRPr="006E1DA8">
        <w:rPr>
          <w:rFonts w:cs="Times New Roman"/>
          <w:kern w:val="2"/>
          <w:sz w:val="20"/>
        </w:rPr>
        <w:t xml:space="preserve"> but does nothing to stop it even if the senior officer did not actually aid or encourage the offence’s commission. Senior officers can also face party liability if they consent or connive in the commission of false accounting provisions under the </w:t>
      </w:r>
      <w:r w:rsidRPr="006E1DA8">
        <w:rPr>
          <w:rFonts w:cs="Times New Roman"/>
          <w:i/>
          <w:kern w:val="2"/>
          <w:sz w:val="20"/>
        </w:rPr>
        <w:t>Theft Act.</w:t>
      </w:r>
    </w:p>
    <w:p w14:paraId="5AEEE369" w14:textId="5F6CD54F" w:rsidR="00622318" w:rsidRPr="006E1DA8" w:rsidRDefault="00622318" w:rsidP="003F643B">
      <w:pPr>
        <w:pStyle w:val="Heading2"/>
        <w:rPr>
          <w:kern w:val="2"/>
          <w:sz w:val="24"/>
        </w:rPr>
      </w:pPr>
      <w:r w:rsidRPr="006E1DA8">
        <w:rPr>
          <w:kern w:val="2"/>
          <w:sz w:val="24"/>
        </w:rPr>
        <w:t>Canadian Law</w:t>
      </w:r>
    </w:p>
    <w:p w14:paraId="54A2FCA8" w14:textId="75C7E3AD" w:rsidR="00622318" w:rsidRPr="006E1DA8" w:rsidRDefault="00622318" w:rsidP="00622318">
      <w:pPr>
        <w:rPr>
          <w:rFonts w:cs="Times New Roman"/>
          <w:kern w:val="2"/>
          <w:sz w:val="20"/>
        </w:rPr>
      </w:pPr>
      <w:r w:rsidRPr="006E1DA8">
        <w:rPr>
          <w:rFonts w:cs="Times New Roman"/>
          <w:kern w:val="2"/>
          <w:sz w:val="20"/>
        </w:rPr>
        <w:t xml:space="preserve">The </w:t>
      </w:r>
      <w:r w:rsidRPr="006E1DA8">
        <w:rPr>
          <w:rFonts w:cs="Times New Roman"/>
          <w:i/>
          <w:iCs/>
          <w:kern w:val="2"/>
          <w:sz w:val="20"/>
        </w:rPr>
        <w:t xml:space="preserve">CFPOA </w:t>
      </w:r>
      <w:r w:rsidRPr="006E1DA8">
        <w:rPr>
          <w:rFonts w:cs="Times New Roman"/>
          <w:kern w:val="2"/>
          <w:sz w:val="20"/>
        </w:rPr>
        <w:t xml:space="preserve">does not explicitly mention secondary parties to the indictable offence of bribery of foreign public officials. However, via section 34(2) of the federal </w:t>
      </w:r>
      <w:r w:rsidRPr="006E1DA8">
        <w:rPr>
          <w:rFonts w:cs="Times New Roman"/>
          <w:i/>
          <w:iCs/>
          <w:kern w:val="2"/>
          <w:sz w:val="20"/>
        </w:rPr>
        <w:t>Interpretation Act</w:t>
      </w:r>
      <w:r w:rsidRPr="006E1DA8">
        <w:rPr>
          <w:rFonts w:cs="Times New Roman"/>
          <w:kern w:val="2"/>
          <w:sz w:val="20"/>
        </w:rPr>
        <w:t>,</w:t>
      </w:r>
      <w:r w:rsidR="002B4379" w:rsidRPr="006E1DA8">
        <w:rPr>
          <w:rStyle w:val="FootnoteReference"/>
          <w:rFonts w:cs="Times New Roman"/>
          <w:kern w:val="2"/>
          <w:sz w:val="20"/>
        </w:rPr>
        <w:footnoteReference w:id="121"/>
      </w:r>
      <w:r w:rsidRPr="006E1DA8">
        <w:rPr>
          <w:rFonts w:cs="Times New Roman"/>
          <w:kern w:val="2"/>
          <w:sz w:val="20"/>
        </w:rPr>
        <w:t xml:space="preserve"> all the provisions of the </w:t>
      </w:r>
      <w:r w:rsidRPr="006E1DA8">
        <w:rPr>
          <w:rFonts w:cs="Times New Roman"/>
          <w:i/>
          <w:iCs/>
          <w:kern w:val="2"/>
          <w:sz w:val="20"/>
        </w:rPr>
        <w:t xml:space="preserve">Criminal Code </w:t>
      </w:r>
      <w:r w:rsidRPr="006E1DA8">
        <w:rPr>
          <w:rFonts w:cs="Times New Roman"/>
          <w:kern w:val="2"/>
          <w:sz w:val="20"/>
        </w:rPr>
        <w:t>that relate to indictable offences also apply to bribery of foreign public officials.</w:t>
      </w:r>
      <w:r w:rsidRPr="006E1DA8">
        <w:rPr>
          <w:rStyle w:val="FootnoteReference"/>
          <w:rFonts w:cs="Times New Roman"/>
          <w:kern w:val="2"/>
          <w:sz w:val="20"/>
        </w:rPr>
        <w:footnoteReference w:id="122"/>
      </w:r>
      <w:r w:rsidRPr="006E1DA8">
        <w:rPr>
          <w:rFonts w:cs="Times New Roman"/>
          <w:kern w:val="2"/>
          <w:sz w:val="20"/>
        </w:rPr>
        <w:t xml:space="preserve"> Sections 21 and 22 of the </w:t>
      </w:r>
      <w:r w:rsidRPr="006E1DA8">
        <w:rPr>
          <w:rFonts w:cs="Times New Roman"/>
          <w:i/>
          <w:iCs/>
          <w:kern w:val="2"/>
          <w:sz w:val="20"/>
        </w:rPr>
        <w:t xml:space="preserve">Criminal Code </w:t>
      </w:r>
      <w:r w:rsidRPr="006E1DA8">
        <w:rPr>
          <w:rFonts w:cs="Times New Roman"/>
          <w:kern w:val="2"/>
          <w:sz w:val="20"/>
        </w:rPr>
        <w:t xml:space="preserve">address secondary party liability. Section 21(1) of the </w:t>
      </w:r>
      <w:r w:rsidRPr="006E1DA8">
        <w:rPr>
          <w:rFonts w:cs="Times New Roman"/>
          <w:i/>
          <w:iCs/>
          <w:kern w:val="2"/>
          <w:sz w:val="20"/>
        </w:rPr>
        <w:t>Criminal Code</w:t>
      </w:r>
      <w:r w:rsidRPr="006E1DA8">
        <w:rPr>
          <w:rFonts w:cs="Times New Roman"/>
          <w:kern w:val="2"/>
          <w:sz w:val="20"/>
        </w:rPr>
        <w:t xml:space="preserve"> criminalizes the actions (or omissions of legal duties) of anyone who aids in the commission of an offence or abets any person in committing an offence. Pursuant to section 21(1), aiders, abettors and principal offenders who actually commit the offence are all guilty of the same offence and subject to the same penalties set out for that offence. As well, pursuant to section 21(2), when two or more people form a common unlawful purpose to commit an offence and during the course of that unlawful purpose one of them commits an ancillary offence, they are all parties to that offence if they knew or ought to have known that the commission of the ancillary offence was a probable consequence of carrying out the common unlawful purpose. </w:t>
      </w:r>
      <w:r w:rsidR="003C7F67" w:rsidRPr="006E1DA8">
        <w:rPr>
          <w:rFonts w:cs="Times New Roman"/>
          <w:kern w:val="2"/>
          <w:sz w:val="20"/>
        </w:rPr>
        <w:t>A corporation or other organization can also be a member of a conspiracy if the requirements of s</w:t>
      </w:r>
      <w:r w:rsidR="003B7A75" w:rsidRPr="006E1DA8">
        <w:rPr>
          <w:rFonts w:cs="Times New Roman"/>
          <w:kern w:val="2"/>
          <w:sz w:val="20"/>
        </w:rPr>
        <w:t>ections</w:t>
      </w:r>
      <w:r w:rsidR="003C7F67" w:rsidRPr="006E1DA8">
        <w:rPr>
          <w:rFonts w:cs="Times New Roman"/>
          <w:kern w:val="2"/>
          <w:sz w:val="20"/>
        </w:rPr>
        <w:t xml:space="preserve"> 22.1 or 22.2 of the </w:t>
      </w:r>
      <w:r w:rsidR="003C7F67" w:rsidRPr="006E1DA8">
        <w:rPr>
          <w:rFonts w:cs="Times New Roman"/>
          <w:i/>
          <w:kern w:val="2"/>
          <w:sz w:val="20"/>
        </w:rPr>
        <w:t xml:space="preserve">Criminal Code </w:t>
      </w:r>
      <w:r w:rsidR="003C7F67" w:rsidRPr="006E1DA8">
        <w:rPr>
          <w:rFonts w:cs="Times New Roman"/>
          <w:kern w:val="2"/>
          <w:sz w:val="20"/>
        </w:rPr>
        <w:t xml:space="preserve">are met (further discussed in </w:t>
      </w:r>
      <w:r w:rsidR="003B7A75" w:rsidRPr="006E1DA8">
        <w:rPr>
          <w:rFonts w:cs="Times New Roman"/>
          <w:kern w:val="2"/>
          <w:sz w:val="20"/>
        </w:rPr>
        <w:t>Section</w:t>
      </w:r>
      <w:r w:rsidR="004304A0" w:rsidRPr="006E1DA8">
        <w:rPr>
          <w:rFonts w:cs="Times New Roman"/>
          <w:kern w:val="2"/>
          <w:sz w:val="20"/>
        </w:rPr>
        <w:t xml:space="preserve"> 2.7</w:t>
      </w:r>
      <w:r w:rsidR="003C7F67" w:rsidRPr="006E1DA8">
        <w:rPr>
          <w:rFonts w:cs="Times New Roman"/>
          <w:kern w:val="2"/>
          <w:sz w:val="20"/>
        </w:rPr>
        <w:t xml:space="preserve"> above).</w:t>
      </w:r>
    </w:p>
    <w:p w14:paraId="685F2CC2" w14:textId="77777777" w:rsidR="00622318" w:rsidRPr="006E1DA8" w:rsidRDefault="00622318" w:rsidP="00622318">
      <w:pPr>
        <w:rPr>
          <w:rFonts w:cs="Times New Roman"/>
          <w:kern w:val="2"/>
          <w:sz w:val="20"/>
        </w:rPr>
      </w:pPr>
      <w:r w:rsidRPr="006E1DA8">
        <w:rPr>
          <w:rFonts w:cs="Times New Roman"/>
          <w:kern w:val="2"/>
          <w:sz w:val="20"/>
        </w:rPr>
        <w:t xml:space="preserve">Section 22(1) of the </w:t>
      </w:r>
      <w:r w:rsidRPr="006E1DA8">
        <w:rPr>
          <w:rFonts w:cs="Times New Roman"/>
          <w:i/>
          <w:kern w:val="2"/>
          <w:sz w:val="20"/>
        </w:rPr>
        <w:t>Criminal Code</w:t>
      </w:r>
      <w:r w:rsidRPr="006E1DA8">
        <w:rPr>
          <w:rFonts w:cs="Times New Roman"/>
          <w:kern w:val="2"/>
          <w:sz w:val="20"/>
        </w:rPr>
        <w:t xml:space="preserve"> makes those who counsel an offence liable for that offence if that offence is committed. If the offence is counselled but not committed, the counsellor is liable for a separate inchoate offence of incitement under section 464 of the </w:t>
      </w:r>
      <w:r w:rsidRPr="006E1DA8">
        <w:rPr>
          <w:rFonts w:cs="Times New Roman"/>
          <w:i/>
          <w:kern w:val="2"/>
          <w:sz w:val="20"/>
        </w:rPr>
        <w:t>Criminal Code</w:t>
      </w:r>
      <w:r w:rsidRPr="006E1DA8">
        <w:rPr>
          <w:rFonts w:cs="Times New Roman"/>
          <w:kern w:val="2"/>
          <w:sz w:val="20"/>
        </w:rPr>
        <w:t>; that offence is subject to the same punishment as an attempt to commit the offence that was counselled. Section 22(2) creates party liability for the counsellor for all reasonably foreseeable ancillary offences committed by the person counselled. For a more detailed analysis of party liability, see a standard Canadian criminal law textbook.</w:t>
      </w:r>
      <w:r w:rsidRPr="006E1DA8">
        <w:rPr>
          <w:rStyle w:val="FootnoteReference"/>
          <w:rFonts w:cs="Times New Roman"/>
          <w:kern w:val="2"/>
          <w:sz w:val="20"/>
        </w:rPr>
        <w:footnoteReference w:id="123"/>
      </w:r>
    </w:p>
    <w:p w14:paraId="07D51D3A" w14:textId="23BA5517" w:rsidR="00622318" w:rsidRPr="006E1DA8" w:rsidRDefault="00622318" w:rsidP="00860530">
      <w:pPr>
        <w:pStyle w:val="Heading1"/>
        <w:rPr>
          <w:sz w:val="28"/>
        </w:rPr>
      </w:pPr>
      <w:bookmarkStart w:id="32" w:name="_Toc510097639"/>
      <w:r w:rsidRPr="006E1DA8">
        <w:rPr>
          <w:sz w:val="28"/>
        </w:rPr>
        <w:t>Inchoate Offences</w:t>
      </w:r>
      <w:bookmarkEnd w:id="32"/>
    </w:p>
    <w:p w14:paraId="3FE3355E" w14:textId="5928D235" w:rsidR="00622318" w:rsidRPr="006E1DA8" w:rsidRDefault="00622318" w:rsidP="00622318">
      <w:pPr>
        <w:rPr>
          <w:rFonts w:cs="Times New Roman"/>
          <w:kern w:val="2"/>
          <w:sz w:val="20"/>
        </w:rPr>
      </w:pPr>
      <w:r w:rsidRPr="006E1DA8">
        <w:rPr>
          <w:rFonts w:cs="Times New Roman"/>
          <w:kern w:val="2"/>
          <w:sz w:val="20"/>
        </w:rPr>
        <w:t xml:space="preserve">Certain offences are described as inchoate (or uncompleted) crimes, as opposed to </w:t>
      </w:r>
      <w:r w:rsidR="00321984" w:rsidRPr="006E1DA8">
        <w:rPr>
          <w:rFonts w:cs="Times New Roman"/>
          <w:kern w:val="2"/>
          <w:sz w:val="20"/>
        </w:rPr>
        <w:t>“</w:t>
      </w:r>
      <w:r w:rsidRPr="006E1DA8">
        <w:rPr>
          <w:rFonts w:cs="Times New Roman"/>
          <w:kern w:val="2"/>
          <w:sz w:val="20"/>
        </w:rPr>
        <w:t>full or complete crimes</w:t>
      </w:r>
      <w:r w:rsidR="00F80628"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The major inchoate crimes are attempt and conspiracy. Many common law legal systems (including the UK and Canada) also criminalize the inchoate offence of counselling an offence which is not committed (sometimes termed incitement). Although referred to as inchoate or incomplete, these offences are nonetheless distinct crimes on their own. Generally, common law states are more willing to punish inchoate crimes than civil law countries. Sweden, for example only punishes attempts for certain crimes, attempted bribery not being one of them.</w:t>
      </w:r>
      <w:r w:rsidRPr="006E1DA8">
        <w:rPr>
          <w:rStyle w:val="FootnoteReference"/>
          <w:rFonts w:cs="Times New Roman"/>
          <w:kern w:val="2"/>
          <w:sz w:val="20"/>
        </w:rPr>
        <w:footnoteReference w:id="124"/>
      </w:r>
      <w:r w:rsidRPr="006E1DA8">
        <w:rPr>
          <w:rFonts w:cs="Times New Roman"/>
          <w:kern w:val="2"/>
          <w:sz w:val="20"/>
        </w:rPr>
        <w:t xml:space="preserve"> In this section, the UNCAC and OECD provisions on each of these three forms of inchoate offences will be examined, followed by a description of how the law in the US, UK and Canada deals with each offence.</w:t>
      </w:r>
    </w:p>
    <w:p w14:paraId="0A832022" w14:textId="7DF03337" w:rsidR="00622318" w:rsidRPr="006E1DA8" w:rsidRDefault="00622318" w:rsidP="003F643B">
      <w:pPr>
        <w:pStyle w:val="Heading2"/>
        <w:rPr>
          <w:kern w:val="2"/>
          <w:sz w:val="24"/>
        </w:rPr>
      </w:pPr>
      <w:bookmarkStart w:id="33" w:name="_Toc502845895"/>
      <w:bookmarkEnd w:id="33"/>
      <w:r w:rsidRPr="006E1DA8">
        <w:rPr>
          <w:kern w:val="2"/>
          <w:sz w:val="24"/>
        </w:rPr>
        <w:t>Attempts</w:t>
      </w:r>
    </w:p>
    <w:p w14:paraId="03E0BB20" w14:textId="7CAB72DF" w:rsidR="00622318" w:rsidRPr="006E1DA8" w:rsidRDefault="00622318" w:rsidP="00622318">
      <w:pPr>
        <w:rPr>
          <w:rFonts w:cs="Times New Roman"/>
          <w:kern w:val="2"/>
          <w:sz w:val="20"/>
        </w:rPr>
      </w:pPr>
      <w:r w:rsidRPr="006E1DA8">
        <w:rPr>
          <w:rFonts w:cs="Times New Roman"/>
          <w:kern w:val="2"/>
          <w:sz w:val="20"/>
        </w:rPr>
        <w:t xml:space="preserve">Countries around the world treat attempts to commit an offence in different ways. Some countries, such as Japan and Korea, do not criminalize attempts at all. In countries that do punish attempts, there is general agreement that the criminal law should not punish criminal thoughts alone; attempts are not committed until the offender engages in </w:t>
      </w:r>
      <w:r w:rsidRPr="006E1DA8">
        <w:rPr>
          <w:rFonts w:cs="Times New Roman"/>
          <w:i/>
          <w:kern w:val="2"/>
          <w:sz w:val="20"/>
        </w:rPr>
        <w:t>some acts</w:t>
      </w:r>
      <w:r w:rsidRPr="006E1DA8">
        <w:rPr>
          <w:rFonts w:cs="Times New Roman"/>
          <w:kern w:val="2"/>
          <w:sz w:val="20"/>
        </w:rPr>
        <w:t xml:space="preserve"> for the purpose of committing the crime. But do </w:t>
      </w:r>
      <w:r w:rsidRPr="006E1DA8">
        <w:rPr>
          <w:rFonts w:cs="Times New Roman"/>
          <w:i/>
          <w:kern w:val="2"/>
          <w:sz w:val="20"/>
        </w:rPr>
        <w:t xml:space="preserve">all </w:t>
      </w:r>
      <w:r w:rsidRPr="006E1DA8">
        <w:rPr>
          <w:rFonts w:cs="Times New Roman"/>
          <w:kern w:val="2"/>
          <w:sz w:val="20"/>
        </w:rPr>
        <w:t xml:space="preserve">acts engaged in for the purpose of committing the offence in question constitute the offence of an attempt? In some countries, certain preliminary acts are classified as mere acts of preparation rather than an attempt, but at a certain point, acts will cross the line from preparation to attempt. Most common and civil law countries do not punish preparatory acts until they have reached the threshold of an </w:t>
      </w:r>
      <w:r w:rsidR="00321984" w:rsidRPr="006E1DA8">
        <w:rPr>
          <w:rFonts w:cs="Times New Roman"/>
          <w:kern w:val="2"/>
          <w:sz w:val="20"/>
        </w:rPr>
        <w:t>“</w:t>
      </w:r>
      <w:r w:rsidRPr="006E1DA8">
        <w:rPr>
          <w:rFonts w:cs="Times New Roman"/>
          <w:kern w:val="2"/>
          <w:sz w:val="20"/>
        </w:rPr>
        <w:t>attempt</w:t>
      </w:r>
      <w:r w:rsidR="001776A2"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However, there are some European states that do consider preparatory acts in respect to at least some criminal offences to be a crime. These countries include the Czech Republic (s</w:t>
      </w:r>
      <w:r w:rsidR="003B7A75" w:rsidRPr="006E1DA8">
        <w:rPr>
          <w:rFonts w:cs="Times New Roman"/>
          <w:kern w:val="2"/>
          <w:sz w:val="20"/>
        </w:rPr>
        <w:t>ection</w:t>
      </w:r>
      <w:r w:rsidRPr="006E1DA8">
        <w:rPr>
          <w:rFonts w:cs="Times New Roman"/>
          <w:kern w:val="2"/>
          <w:sz w:val="20"/>
        </w:rPr>
        <w:t xml:space="preserve"> 8 of the </w:t>
      </w:r>
      <w:r w:rsidRPr="006E1DA8">
        <w:rPr>
          <w:rFonts w:cs="Times New Roman"/>
          <w:i/>
          <w:iCs/>
          <w:kern w:val="2"/>
          <w:sz w:val="20"/>
        </w:rPr>
        <w:t>Criminal Code</w:t>
      </w:r>
      <w:r w:rsidRPr="006E1DA8">
        <w:rPr>
          <w:rFonts w:cs="Times New Roman"/>
          <w:kern w:val="2"/>
          <w:sz w:val="20"/>
        </w:rPr>
        <w:t xml:space="preserve">), Poland (Article 16 of the </w:t>
      </w:r>
      <w:r w:rsidRPr="006E1DA8">
        <w:rPr>
          <w:rFonts w:cs="Times New Roman"/>
          <w:i/>
          <w:iCs/>
          <w:kern w:val="2"/>
          <w:sz w:val="20"/>
        </w:rPr>
        <w:t>Criminal Code</w:t>
      </w:r>
      <w:r w:rsidRPr="006E1DA8">
        <w:rPr>
          <w:rFonts w:cs="Times New Roman"/>
          <w:kern w:val="2"/>
          <w:sz w:val="20"/>
        </w:rPr>
        <w:t>) and Russia (s</w:t>
      </w:r>
      <w:r w:rsidR="003B7A75" w:rsidRPr="006E1DA8">
        <w:rPr>
          <w:rFonts w:cs="Times New Roman"/>
          <w:kern w:val="2"/>
          <w:sz w:val="20"/>
        </w:rPr>
        <w:t>ection</w:t>
      </w:r>
      <w:r w:rsidRPr="006E1DA8">
        <w:rPr>
          <w:rFonts w:cs="Times New Roman"/>
          <w:kern w:val="2"/>
          <w:sz w:val="20"/>
        </w:rPr>
        <w:t xml:space="preserve"> 66 of the </w:t>
      </w:r>
      <w:r w:rsidRPr="006E1DA8">
        <w:rPr>
          <w:rFonts w:cs="Times New Roman"/>
          <w:i/>
          <w:iCs/>
          <w:kern w:val="2"/>
          <w:sz w:val="20"/>
        </w:rPr>
        <w:t>Criminal Code</w:t>
      </w:r>
      <w:r w:rsidRPr="006E1DA8">
        <w:rPr>
          <w:rFonts w:cs="Times New Roman"/>
          <w:kern w:val="2"/>
          <w:sz w:val="20"/>
        </w:rPr>
        <w:t>).</w:t>
      </w:r>
    </w:p>
    <w:p w14:paraId="00E7CE3B" w14:textId="402E60A1" w:rsidR="00622318" w:rsidRPr="006E1DA8" w:rsidRDefault="00622318" w:rsidP="00622318">
      <w:pPr>
        <w:rPr>
          <w:rFonts w:cs="Times New Roman"/>
          <w:kern w:val="2"/>
          <w:sz w:val="20"/>
        </w:rPr>
      </w:pPr>
      <w:r w:rsidRPr="006E1DA8">
        <w:rPr>
          <w:rFonts w:cs="Times New Roman"/>
          <w:kern w:val="2"/>
          <w:sz w:val="20"/>
        </w:rPr>
        <w:t xml:space="preserve">In practice, the distinction between mere preparatory acts and actual attempts is often difficult to draw, and the line between them is unclear in many states. Germany, France and a number of other European countries consider the point at which preparation becomes an attempt to be </w:t>
      </w:r>
      <w:r w:rsidR="00321984" w:rsidRPr="006E1DA8">
        <w:rPr>
          <w:rFonts w:cs="Times New Roman"/>
          <w:kern w:val="2"/>
          <w:sz w:val="20"/>
        </w:rPr>
        <w:t>“</w:t>
      </w:r>
      <w:r w:rsidRPr="006E1DA8">
        <w:rPr>
          <w:rFonts w:cs="Times New Roman"/>
          <w:kern w:val="2"/>
          <w:sz w:val="20"/>
        </w:rPr>
        <w:t>with the act which immediately precedes the execution of the full offence</w:t>
      </w:r>
      <w:r w:rsidR="001E1889"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125"/>
      </w:r>
      <w:r w:rsidRPr="006E1DA8">
        <w:rPr>
          <w:rFonts w:cs="Times New Roman"/>
          <w:kern w:val="2"/>
          <w:sz w:val="20"/>
        </w:rPr>
        <w:t xml:space="preserve"> In other words, attempted offences are not committed until the offender is very close to executing or completing the full offence.  On the other hand, in many common law countries, including the UK, the US and Canada, the threshold of an attempt is reached earlier, before the perpetrator has reached the </w:t>
      </w:r>
      <w:r w:rsidR="00321984" w:rsidRPr="006E1DA8">
        <w:rPr>
          <w:rFonts w:cs="Times New Roman"/>
          <w:kern w:val="2"/>
          <w:sz w:val="20"/>
        </w:rPr>
        <w:t>“</w:t>
      </w:r>
      <w:r w:rsidRPr="006E1DA8">
        <w:rPr>
          <w:rFonts w:cs="Times New Roman"/>
          <w:kern w:val="2"/>
          <w:sz w:val="20"/>
        </w:rPr>
        <w:t>last act</w:t>
      </w:r>
      <w:r w:rsidR="00321984" w:rsidRPr="006E1DA8">
        <w:rPr>
          <w:rFonts w:cs="Times New Roman"/>
          <w:kern w:val="2"/>
          <w:sz w:val="20"/>
        </w:rPr>
        <w:t>”</w:t>
      </w:r>
      <w:r w:rsidRPr="006E1DA8">
        <w:rPr>
          <w:rFonts w:cs="Times New Roman"/>
          <w:kern w:val="2"/>
          <w:sz w:val="20"/>
        </w:rPr>
        <w:t xml:space="preserve"> stage. </w:t>
      </w:r>
      <w:proofErr w:type="spellStart"/>
      <w:r w:rsidRPr="006E1DA8">
        <w:rPr>
          <w:rFonts w:cs="Times New Roman"/>
          <w:kern w:val="2"/>
          <w:sz w:val="20"/>
        </w:rPr>
        <w:t>Matis</w:t>
      </w:r>
      <w:proofErr w:type="spellEnd"/>
      <w:r w:rsidRPr="006E1DA8">
        <w:rPr>
          <w:rFonts w:cs="Times New Roman"/>
          <w:kern w:val="2"/>
          <w:sz w:val="20"/>
        </w:rPr>
        <w:t xml:space="preserve"> characterizes the English criminal law approach as a </w:t>
      </w:r>
      <w:r w:rsidR="00321984" w:rsidRPr="006E1DA8">
        <w:rPr>
          <w:rFonts w:cs="Times New Roman"/>
          <w:kern w:val="2"/>
          <w:sz w:val="20"/>
        </w:rPr>
        <w:t>“</w:t>
      </w:r>
      <w:r w:rsidRPr="006E1DA8">
        <w:rPr>
          <w:rFonts w:cs="Times New Roman"/>
          <w:kern w:val="2"/>
          <w:sz w:val="20"/>
        </w:rPr>
        <w:t>midway course</w:t>
      </w:r>
      <w:r w:rsidR="00321984" w:rsidRPr="006E1DA8">
        <w:rPr>
          <w:rFonts w:cs="Times New Roman"/>
          <w:kern w:val="2"/>
          <w:sz w:val="20"/>
        </w:rPr>
        <w:t>”</w:t>
      </w:r>
      <w:r w:rsidRPr="006E1DA8">
        <w:rPr>
          <w:rFonts w:cs="Times New Roman"/>
          <w:kern w:val="2"/>
          <w:sz w:val="20"/>
        </w:rPr>
        <w:t xml:space="preserve"> between the point of mere preparation and the last act stage.</w:t>
      </w:r>
      <w:r w:rsidRPr="006E1DA8">
        <w:rPr>
          <w:rStyle w:val="FootnoteReference"/>
          <w:rFonts w:cs="Times New Roman"/>
          <w:kern w:val="2"/>
          <w:sz w:val="20"/>
        </w:rPr>
        <w:footnoteReference w:id="126"/>
      </w:r>
      <w:r w:rsidRPr="006E1DA8">
        <w:rPr>
          <w:rFonts w:cs="Times New Roman"/>
          <w:kern w:val="2"/>
          <w:sz w:val="20"/>
        </w:rPr>
        <w:t xml:space="preserve"> In the US, the Model Penal Code suggests that an attempt begins when the offender has taken </w:t>
      </w:r>
      <w:r w:rsidR="00321984" w:rsidRPr="006E1DA8">
        <w:rPr>
          <w:rFonts w:cs="Times New Roman"/>
          <w:kern w:val="2"/>
          <w:sz w:val="20"/>
        </w:rPr>
        <w:t>“</w:t>
      </w:r>
      <w:r w:rsidRPr="006E1DA8">
        <w:rPr>
          <w:rFonts w:cs="Times New Roman"/>
          <w:kern w:val="2"/>
          <w:sz w:val="20"/>
        </w:rPr>
        <w:t>a substantial step</w:t>
      </w:r>
      <w:r w:rsidR="00321984" w:rsidRPr="006E1DA8">
        <w:rPr>
          <w:rFonts w:cs="Times New Roman"/>
          <w:kern w:val="2"/>
          <w:sz w:val="20"/>
        </w:rPr>
        <w:t>”</w:t>
      </w:r>
      <w:r w:rsidRPr="006E1DA8">
        <w:rPr>
          <w:rFonts w:cs="Times New Roman"/>
          <w:kern w:val="2"/>
          <w:sz w:val="20"/>
        </w:rPr>
        <w:t xml:space="preserve"> towards the commission of the substantive offence. The point at which countries draw the line between an act of preparation and an attempt is often influenced by the rationale which that country relies upon in criminalizing an attempt. There are three possible rationales:</w:t>
      </w:r>
    </w:p>
    <w:p w14:paraId="2CA47E34" w14:textId="58740CFF" w:rsidR="00622318" w:rsidRPr="006E1DA8" w:rsidRDefault="00622318" w:rsidP="009D3B31">
      <w:pPr>
        <w:pStyle w:val="ListParagraph"/>
        <w:numPr>
          <w:ilvl w:val="0"/>
          <w:numId w:val="38"/>
        </w:numPr>
        <w:rPr>
          <w:kern w:val="2"/>
          <w:sz w:val="20"/>
        </w:rPr>
      </w:pPr>
      <w:r w:rsidRPr="006E1DA8">
        <w:rPr>
          <w:i/>
          <w:kern w:val="2"/>
          <w:sz w:val="20"/>
        </w:rPr>
        <w:t>Prevention</w:t>
      </w:r>
      <w:r w:rsidRPr="006E1DA8">
        <w:rPr>
          <w:kern w:val="2"/>
          <w:sz w:val="20"/>
        </w:rPr>
        <w:t xml:space="preserve">: If </w:t>
      </w:r>
      <w:r w:rsidR="003C7F67" w:rsidRPr="006E1DA8">
        <w:rPr>
          <w:kern w:val="2"/>
          <w:sz w:val="20"/>
        </w:rPr>
        <w:t xml:space="preserve">there is no offence until the crime is committed </w:t>
      </w:r>
      <w:r w:rsidRPr="006E1DA8">
        <w:rPr>
          <w:kern w:val="2"/>
          <w:sz w:val="20"/>
        </w:rPr>
        <w:t>(therefore removing police power to intervene before the crime is committed), crime prevention would be thwarted and harm would unnecessarily be caused to victims.</w:t>
      </w:r>
    </w:p>
    <w:p w14:paraId="3D8A54ED" w14:textId="77777777" w:rsidR="00622318" w:rsidRPr="006E1DA8" w:rsidRDefault="00622318" w:rsidP="009D3B31">
      <w:pPr>
        <w:pStyle w:val="ListParagraph"/>
        <w:numPr>
          <w:ilvl w:val="0"/>
          <w:numId w:val="38"/>
        </w:numPr>
        <w:rPr>
          <w:kern w:val="2"/>
          <w:sz w:val="20"/>
        </w:rPr>
      </w:pPr>
      <w:r w:rsidRPr="006E1DA8">
        <w:rPr>
          <w:i/>
          <w:kern w:val="2"/>
          <w:sz w:val="20"/>
        </w:rPr>
        <w:t>Moral fault</w:t>
      </w:r>
      <w:r w:rsidRPr="006E1DA8">
        <w:rPr>
          <w:kern w:val="2"/>
          <w:sz w:val="20"/>
        </w:rPr>
        <w:t>: People who attempt to commit crimes demonstrate a criminal disposition and deserve to be punished. Their state of mind is as morally blameworthy as persons who are successful in completing the crime.</w:t>
      </w:r>
    </w:p>
    <w:p w14:paraId="7EE8DF3C" w14:textId="77777777" w:rsidR="00622318" w:rsidRPr="006E1DA8" w:rsidRDefault="00622318" w:rsidP="009D3B31">
      <w:pPr>
        <w:pStyle w:val="ListParagraph"/>
        <w:numPr>
          <w:ilvl w:val="0"/>
          <w:numId w:val="38"/>
        </w:numPr>
        <w:rPr>
          <w:kern w:val="2"/>
          <w:sz w:val="20"/>
        </w:rPr>
      </w:pPr>
      <w:r w:rsidRPr="006E1DA8">
        <w:rPr>
          <w:i/>
          <w:kern w:val="2"/>
          <w:sz w:val="20"/>
        </w:rPr>
        <w:t>Deterrence</w:t>
      </w:r>
      <w:r w:rsidRPr="006E1DA8">
        <w:rPr>
          <w:kern w:val="2"/>
          <w:sz w:val="20"/>
        </w:rPr>
        <w:t>: Punishing attempts may be necessary to deter others who may be contemplating the commission of a similar crime.</w:t>
      </w:r>
    </w:p>
    <w:p w14:paraId="46C90A84" w14:textId="23CEF4E7" w:rsidR="00622318" w:rsidRPr="006E1DA8" w:rsidRDefault="00622318" w:rsidP="00622318">
      <w:pPr>
        <w:rPr>
          <w:rFonts w:cs="Times New Roman"/>
          <w:kern w:val="2"/>
          <w:sz w:val="20"/>
        </w:rPr>
      </w:pPr>
      <w:r w:rsidRPr="006E1DA8">
        <w:rPr>
          <w:rFonts w:cs="Times New Roman"/>
          <w:kern w:val="2"/>
          <w:sz w:val="20"/>
        </w:rPr>
        <w:t>The law of attempts also raises the issue of whether voluntary withdrawal from an attempt forms a defence. Withdrawal, or voluntary desistance, refers to instances where the perpetrator has reached the stage of attempt</w:t>
      </w:r>
      <w:r w:rsidR="002C2F3E" w:rsidRPr="006E1DA8">
        <w:rPr>
          <w:rFonts w:cs="Times New Roman"/>
          <w:kern w:val="2"/>
          <w:sz w:val="20"/>
        </w:rPr>
        <w:t>,</w:t>
      </w:r>
      <w:r w:rsidRPr="006E1DA8">
        <w:rPr>
          <w:rFonts w:cs="Times New Roman"/>
          <w:kern w:val="2"/>
          <w:sz w:val="20"/>
        </w:rPr>
        <w:t xml:space="preserve"> but has a change of heart before the full offence is completed. France, Germany and Norway accept a defence of voluntary withdrawal</w:t>
      </w:r>
      <w:r w:rsidR="002C2F3E" w:rsidRPr="006E1DA8">
        <w:rPr>
          <w:rFonts w:cs="Times New Roman"/>
          <w:kern w:val="2"/>
          <w:sz w:val="20"/>
        </w:rPr>
        <w:t>,</w:t>
      </w:r>
      <w:r w:rsidRPr="006E1DA8">
        <w:rPr>
          <w:rFonts w:cs="Times New Roman"/>
          <w:kern w:val="2"/>
          <w:sz w:val="20"/>
        </w:rPr>
        <w:t xml:space="preserve"> while other countries like Australia have rejected this notion.</w:t>
      </w:r>
      <w:r w:rsidRPr="006E1DA8">
        <w:rPr>
          <w:rStyle w:val="FootnoteReference"/>
          <w:rFonts w:cs="Times New Roman"/>
          <w:kern w:val="2"/>
          <w:sz w:val="20"/>
        </w:rPr>
        <w:footnoteReference w:id="127"/>
      </w:r>
      <w:r w:rsidRPr="006E1DA8">
        <w:rPr>
          <w:rFonts w:cs="Times New Roman"/>
          <w:kern w:val="2"/>
          <w:sz w:val="20"/>
        </w:rPr>
        <w:tab/>
      </w:r>
    </w:p>
    <w:p w14:paraId="29A53E66" w14:textId="77777777" w:rsidR="00622318" w:rsidRPr="006E1DA8" w:rsidRDefault="00622318" w:rsidP="003F643B">
      <w:pPr>
        <w:pStyle w:val="Heading3"/>
        <w:rPr>
          <w:i/>
          <w:kern w:val="2"/>
          <w:sz w:val="22"/>
        </w:rPr>
      </w:pPr>
      <w:r w:rsidRPr="006E1DA8">
        <w:rPr>
          <w:kern w:val="2"/>
          <w:sz w:val="22"/>
        </w:rPr>
        <w:t>UNCAC</w:t>
      </w:r>
    </w:p>
    <w:p w14:paraId="134ADE23" w14:textId="17C40031" w:rsidR="00622318" w:rsidRPr="006E1DA8" w:rsidRDefault="00622318" w:rsidP="00622318">
      <w:pPr>
        <w:rPr>
          <w:rFonts w:cs="Times New Roman"/>
          <w:kern w:val="2"/>
          <w:sz w:val="20"/>
        </w:rPr>
      </w:pPr>
      <w:r w:rsidRPr="006E1DA8">
        <w:rPr>
          <w:rFonts w:cs="Times New Roman"/>
          <w:kern w:val="2"/>
          <w:sz w:val="20"/>
        </w:rPr>
        <w:t xml:space="preserve">In consideration of the different approaches to the criminalization of attempts among the international community, UNCAC does not impose mandatory obligations on states to criminalize attempts or other types of preparatory actions in regard to most corruption-related offences.  Article 27(2) provides a State Party </w:t>
      </w:r>
      <w:r w:rsidR="00321984" w:rsidRPr="006E1DA8">
        <w:rPr>
          <w:rFonts w:cs="Times New Roman"/>
          <w:kern w:val="2"/>
          <w:sz w:val="20"/>
        </w:rPr>
        <w:t>“</w:t>
      </w:r>
      <w:r w:rsidRPr="006E1DA8">
        <w:rPr>
          <w:rFonts w:cs="Times New Roman"/>
          <w:kern w:val="2"/>
          <w:sz w:val="20"/>
        </w:rPr>
        <w:t>may</w:t>
      </w:r>
      <w:r w:rsidR="00321984" w:rsidRPr="006E1DA8">
        <w:rPr>
          <w:rFonts w:cs="Times New Roman"/>
          <w:kern w:val="2"/>
          <w:sz w:val="20"/>
        </w:rPr>
        <w:t>”</w:t>
      </w:r>
      <w:r w:rsidRPr="006E1DA8">
        <w:rPr>
          <w:rFonts w:cs="Times New Roman"/>
          <w:kern w:val="2"/>
          <w:sz w:val="20"/>
        </w:rPr>
        <w:t xml:space="preserve"> create an offence of attempted bribery. Article 27(3) provides that a State Party </w:t>
      </w:r>
      <w:r w:rsidR="00321984" w:rsidRPr="006E1DA8">
        <w:rPr>
          <w:rFonts w:cs="Times New Roman"/>
          <w:kern w:val="2"/>
          <w:sz w:val="20"/>
        </w:rPr>
        <w:t>“</w:t>
      </w:r>
      <w:r w:rsidRPr="006E1DA8">
        <w:rPr>
          <w:rFonts w:cs="Times New Roman"/>
          <w:kern w:val="2"/>
          <w:sz w:val="20"/>
        </w:rPr>
        <w:t>may</w:t>
      </w:r>
      <w:r w:rsidR="00321984" w:rsidRPr="006E1DA8">
        <w:rPr>
          <w:rFonts w:cs="Times New Roman"/>
          <w:kern w:val="2"/>
          <w:sz w:val="20"/>
        </w:rPr>
        <w:t>”</w:t>
      </w:r>
      <w:r w:rsidRPr="006E1DA8">
        <w:rPr>
          <w:rFonts w:cs="Times New Roman"/>
          <w:kern w:val="2"/>
          <w:sz w:val="20"/>
        </w:rPr>
        <w:t xml:space="preserve"> create an offence for engaging in preparatory acts to commit bribery.  Articles 27(2) and (3) state</w:t>
      </w:r>
      <w:r w:rsidR="006E6952" w:rsidRPr="006E1DA8">
        <w:rPr>
          <w:rFonts w:cs="Times New Roman"/>
          <w:kern w:val="2"/>
          <w:sz w:val="20"/>
        </w:rPr>
        <w:t>:</w:t>
      </w:r>
      <w:r w:rsidRPr="006E1DA8">
        <w:rPr>
          <w:rFonts w:cs="Times New Roman"/>
          <w:kern w:val="2"/>
          <w:sz w:val="20"/>
        </w:rPr>
        <w:t xml:space="preserve"> </w:t>
      </w:r>
    </w:p>
    <w:p w14:paraId="282AC1DD" w14:textId="08797DCE" w:rsidR="00622318" w:rsidRPr="006E1DA8" w:rsidRDefault="00622318" w:rsidP="009D3B31">
      <w:pPr>
        <w:pStyle w:val="BlockQuote"/>
        <w:numPr>
          <w:ilvl w:val="0"/>
          <w:numId w:val="39"/>
        </w:numPr>
        <w:spacing w:before="60" w:after="0"/>
        <w:jc w:val="left"/>
        <w:rPr>
          <w:kern w:val="2"/>
          <w:sz w:val="20"/>
        </w:rPr>
      </w:pPr>
      <w:r w:rsidRPr="006E1DA8">
        <w:rPr>
          <w:kern w:val="2"/>
          <w:sz w:val="20"/>
        </w:rPr>
        <w:t>Each State Party may adopt such legislative and other measures as may be necessary to establish as a criminal offence, in accordance with its domestic law, any attempt to commit an offence established in accordance with this Convention.</w:t>
      </w:r>
    </w:p>
    <w:p w14:paraId="0B5BFAAE" w14:textId="37DBFC96" w:rsidR="00622318" w:rsidRPr="006E1DA8" w:rsidRDefault="00622318" w:rsidP="009D3B31">
      <w:pPr>
        <w:pStyle w:val="BlockQuote"/>
        <w:numPr>
          <w:ilvl w:val="0"/>
          <w:numId w:val="39"/>
        </w:numPr>
        <w:spacing w:before="60" w:after="0"/>
        <w:jc w:val="left"/>
        <w:rPr>
          <w:kern w:val="2"/>
          <w:sz w:val="20"/>
        </w:rPr>
      </w:pPr>
      <w:r w:rsidRPr="006E1DA8">
        <w:rPr>
          <w:kern w:val="2"/>
          <w:sz w:val="20"/>
        </w:rPr>
        <w:t>Each State Party may adopt such legislative and other measures as may be necessary to establish as a criminal offence, in accordance with its domestic law, the preparation for an offence established in accordance with this Convention.</w:t>
      </w:r>
    </w:p>
    <w:p w14:paraId="62AC8BF2" w14:textId="20DDB753" w:rsidR="00622318" w:rsidRPr="006E1DA8" w:rsidRDefault="00622318" w:rsidP="00622318">
      <w:pPr>
        <w:rPr>
          <w:rFonts w:cs="Times New Roman"/>
          <w:kern w:val="2"/>
          <w:sz w:val="20"/>
        </w:rPr>
      </w:pPr>
      <w:r w:rsidRPr="006E1DA8">
        <w:rPr>
          <w:rFonts w:cs="Times New Roman"/>
          <w:kern w:val="2"/>
          <w:sz w:val="20"/>
        </w:rPr>
        <w:t>It is interesting to note that UNCAC is more prescriptive w</w:t>
      </w:r>
      <w:r w:rsidR="00364AF3" w:rsidRPr="006E1DA8">
        <w:rPr>
          <w:rFonts w:cs="Times New Roman"/>
          <w:kern w:val="2"/>
          <w:sz w:val="20"/>
        </w:rPr>
        <w:t>ith regard to money laundering.</w:t>
      </w:r>
      <w:r w:rsidRPr="006E1DA8">
        <w:rPr>
          <w:rFonts w:cs="Times New Roman"/>
          <w:kern w:val="2"/>
          <w:sz w:val="20"/>
        </w:rPr>
        <w:t xml:space="preserve"> Article 23(1) provides that State Parties </w:t>
      </w:r>
      <w:r w:rsidR="00321984" w:rsidRPr="006E1DA8">
        <w:rPr>
          <w:rFonts w:cs="Times New Roman"/>
          <w:kern w:val="2"/>
          <w:sz w:val="20"/>
        </w:rPr>
        <w:t>“</w:t>
      </w:r>
      <w:r w:rsidRPr="006E1DA8">
        <w:rPr>
          <w:rFonts w:cs="Times New Roman"/>
          <w:kern w:val="2"/>
          <w:sz w:val="20"/>
        </w:rPr>
        <w:t xml:space="preserve">shall, subject to the basic concepts of its legal </w:t>
      </w:r>
      <w:r w:rsidR="00A504D6" w:rsidRPr="006E1DA8">
        <w:rPr>
          <w:rFonts w:cs="Times New Roman"/>
          <w:kern w:val="2"/>
          <w:sz w:val="20"/>
        </w:rPr>
        <w:t>system … establish</w:t>
      </w:r>
      <w:r w:rsidRPr="006E1DA8">
        <w:rPr>
          <w:rFonts w:cs="Times New Roman"/>
          <w:kern w:val="2"/>
          <w:sz w:val="20"/>
        </w:rPr>
        <w:t xml:space="preserve"> criminal offences</w:t>
      </w:r>
      <w:r w:rsidR="00321984" w:rsidRPr="006E1DA8">
        <w:rPr>
          <w:rFonts w:cs="Times New Roman"/>
          <w:kern w:val="2"/>
          <w:sz w:val="20"/>
        </w:rPr>
        <w:t>”</w:t>
      </w:r>
      <w:r w:rsidRPr="006E1DA8">
        <w:rPr>
          <w:rFonts w:cs="Times New Roman"/>
          <w:kern w:val="2"/>
          <w:sz w:val="20"/>
        </w:rPr>
        <w:t xml:space="preserve"> in respect to </w:t>
      </w:r>
      <w:r w:rsidR="00321984" w:rsidRPr="006E1DA8">
        <w:rPr>
          <w:rFonts w:cs="Times New Roman"/>
          <w:kern w:val="2"/>
          <w:sz w:val="20"/>
        </w:rPr>
        <w:t>“</w:t>
      </w:r>
      <w:r w:rsidRPr="006E1DA8">
        <w:rPr>
          <w:rFonts w:cs="Times New Roman"/>
          <w:kern w:val="2"/>
          <w:sz w:val="20"/>
        </w:rPr>
        <w:t>attempts to commit</w:t>
      </w:r>
      <w:r w:rsidR="00321984" w:rsidRPr="006E1DA8">
        <w:rPr>
          <w:rFonts w:cs="Times New Roman"/>
          <w:kern w:val="2"/>
          <w:sz w:val="20"/>
        </w:rPr>
        <w:t>”</w:t>
      </w:r>
      <w:r w:rsidRPr="006E1DA8">
        <w:rPr>
          <w:rFonts w:cs="Times New Roman"/>
          <w:kern w:val="2"/>
          <w:sz w:val="20"/>
        </w:rPr>
        <w:t xml:space="preserve"> any of the money laundering offences listed in Article 23.   </w:t>
      </w:r>
    </w:p>
    <w:p w14:paraId="1081BF99" w14:textId="77777777" w:rsidR="00622318" w:rsidRPr="006E1DA8" w:rsidRDefault="00622318" w:rsidP="003F643B">
      <w:pPr>
        <w:pStyle w:val="Heading3"/>
        <w:rPr>
          <w:i/>
          <w:kern w:val="2"/>
          <w:sz w:val="22"/>
        </w:rPr>
      </w:pPr>
      <w:r w:rsidRPr="006E1DA8">
        <w:rPr>
          <w:kern w:val="2"/>
          <w:sz w:val="22"/>
        </w:rPr>
        <w:t>OECD Convention</w:t>
      </w:r>
    </w:p>
    <w:p w14:paraId="03387492" w14:textId="52058B87" w:rsidR="00622318" w:rsidRPr="006E1DA8" w:rsidRDefault="00622318" w:rsidP="003F643B">
      <w:pPr>
        <w:rPr>
          <w:kern w:val="2"/>
          <w:sz w:val="20"/>
        </w:rPr>
      </w:pPr>
      <w:r w:rsidRPr="006E1DA8">
        <w:rPr>
          <w:kern w:val="2"/>
          <w:sz w:val="20"/>
        </w:rPr>
        <w:t xml:space="preserve">The OECD Convention also respects the fact that countries take different approaches to the criminalization of inchoate offences. Article 1(2) states that an </w:t>
      </w:r>
      <w:r w:rsidR="00321984" w:rsidRPr="006E1DA8">
        <w:rPr>
          <w:kern w:val="2"/>
          <w:sz w:val="20"/>
        </w:rPr>
        <w:t>“</w:t>
      </w:r>
      <w:r w:rsidRPr="006E1DA8">
        <w:rPr>
          <w:kern w:val="2"/>
          <w:sz w:val="20"/>
        </w:rPr>
        <w:t>[a]</w:t>
      </w:r>
      <w:proofErr w:type="spellStart"/>
      <w:r w:rsidRPr="006E1DA8">
        <w:rPr>
          <w:kern w:val="2"/>
          <w:sz w:val="20"/>
        </w:rPr>
        <w:t>ttempt</w:t>
      </w:r>
      <w:proofErr w:type="spellEnd"/>
      <w:r w:rsidR="00364AF3" w:rsidRPr="006E1DA8">
        <w:rPr>
          <w:kern w:val="2"/>
          <w:sz w:val="20"/>
        </w:rPr>
        <w:t xml:space="preserve"> ... </w:t>
      </w:r>
      <w:r w:rsidRPr="006E1DA8">
        <w:rPr>
          <w:kern w:val="2"/>
          <w:sz w:val="20"/>
        </w:rPr>
        <w:t>to bribe a foreign public official shall be a criminal offence t</w:t>
      </w:r>
      <w:r w:rsidR="00364AF3" w:rsidRPr="006E1DA8">
        <w:rPr>
          <w:kern w:val="2"/>
          <w:sz w:val="20"/>
        </w:rPr>
        <w:t xml:space="preserve">o the same extent as an attempt ... </w:t>
      </w:r>
      <w:r w:rsidRPr="006E1DA8">
        <w:rPr>
          <w:kern w:val="2"/>
          <w:sz w:val="20"/>
        </w:rPr>
        <w:t>to bribe a public official is an offence</w:t>
      </w:r>
      <w:r w:rsidR="00321984" w:rsidRPr="006E1DA8">
        <w:rPr>
          <w:kern w:val="2"/>
          <w:sz w:val="20"/>
        </w:rPr>
        <w:t>”</w:t>
      </w:r>
      <w:r w:rsidRPr="006E1DA8">
        <w:rPr>
          <w:kern w:val="2"/>
          <w:sz w:val="20"/>
        </w:rPr>
        <w:t xml:space="preserve"> in one’s own country. The </w:t>
      </w:r>
      <w:r w:rsidRPr="006E1DA8">
        <w:rPr>
          <w:i/>
          <w:iCs/>
          <w:kern w:val="2"/>
          <w:sz w:val="20"/>
        </w:rPr>
        <w:t xml:space="preserve">Commentaries on the OECD Convention </w:t>
      </w:r>
      <w:r w:rsidRPr="006E1DA8">
        <w:rPr>
          <w:kern w:val="2"/>
          <w:sz w:val="20"/>
        </w:rPr>
        <w:t>accompanying the Convention clarify that:</w:t>
      </w:r>
    </w:p>
    <w:p w14:paraId="27DCC1A8" w14:textId="77777777" w:rsidR="00622318" w:rsidRPr="006E1DA8" w:rsidRDefault="00622318" w:rsidP="003F643B">
      <w:pPr>
        <w:pStyle w:val="BlockQuote"/>
        <w:rPr>
          <w:kern w:val="2"/>
          <w:sz w:val="20"/>
        </w:rPr>
      </w:pPr>
      <w:r w:rsidRPr="006E1DA8">
        <w:rPr>
          <w:kern w:val="2"/>
          <w:sz w:val="20"/>
        </w:rPr>
        <w:t>The offences set out in paragraph 2 are understood in terms of their normal content in national legal systems. Accordingly, if authorisation, incitement, or one of the other listed acts, which does not lead to further action, is not itself punishable under a Party’s  legal system, then the Party would not be required to make it punishable with respect to bribery of a foreign public official.</w:t>
      </w:r>
      <w:r w:rsidRPr="006E1DA8">
        <w:rPr>
          <w:rStyle w:val="FootnoteReference"/>
          <w:rFonts w:cs="Times New Roman"/>
          <w:kern w:val="2"/>
          <w:sz w:val="20"/>
          <w:szCs w:val="21"/>
        </w:rPr>
        <w:footnoteReference w:id="128"/>
      </w:r>
      <w:r w:rsidRPr="006E1DA8">
        <w:rPr>
          <w:kern w:val="2"/>
          <w:sz w:val="20"/>
        </w:rPr>
        <w:t xml:space="preserve"> </w:t>
      </w:r>
    </w:p>
    <w:p w14:paraId="5AFE21D9" w14:textId="7116BA22" w:rsidR="00622318" w:rsidRPr="006E1DA8" w:rsidRDefault="00622318" w:rsidP="00622318">
      <w:pPr>
        <w:rPr>
          <w:rFonts w:cs="Times New Roman"/>
          <w:kern w:val="2"/>
          <w:sz w:val="20"/>
        </w:rPr>
      </w:pPr>
      <w:r w:rsidRPr="006E1DA8">
        <w:rPr>
          <w:rFonts w:cs="Times New Roman"/>
          <w:kern w:val="2"/>
          <w:sz w:val="20"/>
        </w:rPr>
        <w:t>Consequently, the OECD Working Group on Bribery does not look unfavourably on the legal systems of states that do not punish attempted bribery, such as Sweden, Japan and Korea.</w:t>
      </w:r>
      <w:r w:rsidRPr="006E1DA8">
        <w:rPr>
          <w:rStyle w:val="FootnoteReference"/>
          <w:rFonts w:cs="Times New Roman"/>
          <w:kern w:val="2"/>
          <w:sz w:val="20"/>
        </w:rPr>
        <w:footnoteReference w:id="129"/>
      </w:r>
      <w:r w:rsidRPr="006E1DA8">
        <w:rPr>
          <w:rFonts w:cs="Times New Roman"/>
          <w:kern w:val="2"/>
          <w:sz w:val="20"/>
        </w:rPr>
        <w:t xml:space="preserve"> It is also worth noting that the offence of attempted bribery of a foreign official would likely only cover a narrow ambit of behaviour, since offering or promising a bribe to a foreign public official is treated as part of the offence of bribery under the OECD Convention. </w:t>
      </w:r>
      <w:proofErr w:type="spellStart"/>
      <w:r w:rsidRPr="006E1DA8">
        <w:rPr>
          <w:rFonts w:cs="Times New Roman"/>
          <w:kern w:val="2"/>
          <w:sz w:val="20"/>
        </w:rPr>
        <w:t>Zerbes</w:t>
      </w:r>
      <w:proofErr w:type="spellEnd"/>
      <w:r w:rsidRPr="006E1DA8">
        <w:rPr>
          <w:rFonts w:cs="Times New Roman"/>
          <w:kern w:val="2"/>
          <w:sz w:val="20"/>
        </w:rPr>
        <w:t xml:space="preserve"> notes that in some countries the offer to bribe is considered complete before the offer reaches the foreign public official</w:t>
      </w:r>
      <w:r w:rsidR="00F10D59" w:rsidRPr="006E1DA8">
        <w:rPr>
          <w:rFonts w:cs="Times New Roman"/>
          <w:kern w:val="2"/>
          <w:sz w:val="20"/>
        </w:rPr>
        <w:t>:</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A mere attempt to commit bribery is not envisaged by</w:t>
      </w:r>
      <w:r w:rsidR="00450B90" w:rsidRPr="006E1DA8">
        <w:rPr>
          <w:rFonts w:cs="Times New Roman"/>
          <w:kern w:val="2"/>
          <w:sz w:val="20"/>
        </w:rPr>
        <w:t xml:space="preserve"> the</w:t>
      </w:r>
      <w:r w:rsidRPr="006E1DA8">
        <w:rPr>
          <w:rFonts w:cs="Times New Roman"/>
          <w:kern w:val="2"/>
          <w:sz w:val="20"/>
        </w:rPr>
        <w:t xml:space="preserve"> </w:t>
      </w:r>
      <w:r w:rsidRPr="006E1DA8">
        <w:rPr>
          <w:rFonts w:cs="Times New Roman"/>
          <w:i/>
          <w:kern w:val="2"/>
          <w:sz w:val="20"/>
        </w:rPr>
        <w:t>FCPA</w:t>
      </w:r>
      <w:r w:rsidRPr="006E1DA8">
        <w:rPr>
          <w:rFonts w:cs="Times New Roman"/>
          <w:kern w:val="2"/>
          <w:sz w:val="20"/>
        </w:rPr>
        <w:t>, nor by Belgian, Finnish, French, Hungarian, or Spanish law, given the fact that they all regard the full offence as having been committed when someone seeks to induce a public servant</w:t>
      </w:r>
      <w:r w:rsidR="00375C7E" w:rsidRPr="006E1DA8">
        <w:rPr>
          <w:rFonts w:cs="Times New Roman"/>
          <w:kern w:val="2"/>
          <w:sz w:val="20"/>
        </w:rPr>
        <w:t>.</w:t>
      </w:r>
      <w:r w:rsidR="00321984" w:rsidRPr="006E1DA8">
        <w:rPr>
          <w:rFonts w:cs="Times New Roman"/>
          <w:kern w:val="2"/>
          <w:sz w:val="20"/>
        </w:rPr>
        <w:t>”</w:t>
      </w:r>
      <w:r w:rsidRPr="006E1DA8">
        <w:rPr>
          <w:rStyle w:val="FootnoteReference"/>
          <w:rFonts w:cs="Times New Roman"/>
          <w:kern w:val="2"/>
          <w:sz w:val="20"/>
        </w:rPr>
        <w:footnoteReference w:id="130"/>
      </w:r>
    </w:p>
    <w:p w14:paraId="6840A736" w14:textId="4458726F" w:rsidR="00622318" w:rsidRPr="006E1DA8" w:rsidRDefault="00622318" w:rsidP="00622318">
      <w:pPr>
        <w:rPr>
          <w:rFonts w:cs="Times New Roman"/>
          <w:kern w:val="2"/>
          <w:sz w:val="20"/>
        </w:rPr>
      </w:pPr>
      <w:r w:rsidRPr="006E1DA8">
        <w:rPr>
          <w:rFonts w:cs="Times New Roman"/>
          <w:kern w:val="2"/>
          <w:sz w:val="20"/>
        </w:rPr>
        <w:t xml:space="preserve"> The Convention also does not address other points of difference among states, such as how severely attempts are punished or whether attempts to commit offences that are factually impossible are criminalized.</w:t>
      </w:r>
      <w:r w:rsidRPr="006E1DA8">
        <w:rPr>
          <w:rStyle w:val="FootnoteReference"/>
          <w:rFonts w:cs="Times New Roman"/>
          <w:kern w:val="2"/>
          <w:sz w:val="20"/>
        </w:rPr>
        <w:footnoteReference w:id="131"/>
      </w:r>
      <w:r w:rsidRPr="006E1DA8">
        <w:rPr>
          <w:rFonts w:cs="Times New Roman"/>
          <w:kern w:val="2"/>
          <w:sz w:val="20"/>
        </w:rPr>
        <w:t xml:space="preserve"> </w:t>
      </w:r>
    </w:p>
    <w:p w14:paraId="135BADEB" w14:textId="77777777" w:rsidR="00622318" w:rsidRPr="006E1DA8" w:rsidRDefault="00622318" w:rsidP="003F643B">
      <w:pPr>
        <w:pStyle w:val="Heading3"/>
        <w:rPr>
          <w:i/>
          <w:kern w:val="2"/>
          <w:sz w:val="22"/>
        </w:rPr>
      </w:pPr>
      <w:r w:rsidRPr="006E1DA8">
        <w:rPr>
          <w:kern w:val="2"/>
          <w:sz w:val="22"/>
        </w:rPr>
        <w:t>US Law</w:t>
      </w:r>
    </w:p>
    <w:p w14:paraId="0DA62644" w14:textId="34AFE61F" w:rsidR="00622318" w:rsidRPr="006E1DA8" w:rsidRDefault="00622318" w:rsidP="00622318">
      <w:pPr>
        <w:rPr>
          <w:rFonts w:cs="Times New Roman"/>
          <w:kern w:val="2"/>
          <w:sz w:val="20"/>
        </w:rPr>
      </w:pPr>
      <w:r w:rsidRPr="006E1DA8">
        <w:rPr>
          <w:rFonts w:cs="Times New Roman"/>
          <w:kern w:val="2"/>
          <w:sz w:val="20"/>
        </w:rPr>
        <w:t>Most state penal codes and the US Model Penal Code have a provision in their general part which makes it an offen</w:t>
      </w:r>
      <w:r w:rsidR="00F10D59" w:rsidRPr="006E1DA8">
        <w:rPr>
          <w:rFonts w:cs="Times New Roman"/>
          <w:kern w:val="2"/>
          <w:sz w:val="20"/>
        </w:rPr>
        <w:t>s</w:t>
      </w:r>
      <w:r w:rsidRPr="006E1DA8">
        <w:rPr>
          <w:rFonts w:cs="Times New Roman"/>
          <w:kern w:val="2"/>
          <w:sz w:val="20"/>
        </w:rPr>
        <w:t>e to attempt any offen</w:t>
      </w:r>
      <w:r w:rsidR="00F10D59" w:rsidRPr="006E1DA8">
        <w:rPr>
          <w:rFonts w:cs="Times New Roman"/>
          <w:kern w:val="2"/>
          <w:sz w:val="20"/>
        </w:rPr>
        <w:t>s</w:t>
      </w:r>
      <w:r w:rsidRPr="006E1DA8">
        <w:rPr>
          <w:rFonts w:cs="Times New Roman"/>
          <w:kern w:val="2"/>
          <w:sz w:val="20"/>
        </w:rPr>
        <w:t>e. Some state penal codes and the US Code only penalize attempts within the context of specific offen</w:t>
      </w:r>
      <w:r w:rsidR="00F10D59" w:rsidRPr="006E1DA8">
        <w:rPr>
          <w:rFonts w:cs="Times New Roman"/>
          <w:kern w:val="2"/>
          <w:sz w:val="20"/>
        </w:rPr>
        <w:t>s</w:t>
      </w:r>
      <w:r w:rsidRPr="006E1DA8">
        <w:rPr>
          <w:rFonts w:cs="Times New Roman"/>
          <w:kern w:val="2"/>
          <w:sz w:val="20"/>
        </w:rPr>
        <w:t>es.</w:t>
      </w:r>
      <w:r w:rsidRPr="006E1DA8">
        <w:rPr>
          <w:rStyle w:val="FootnoteReference"/>
          <w:rFonts w:cs="Times New Roman"/>
          <w:kern w:val="2"/>
          <w:sz w:val="20"/>
        </w:rPr>
        <w:footnoteReference w:id="132"/>
      </w:r>
      <w:r w:rsidRPr="006E1DA8">
        <w:rPr>
          <w:rFonts w:cs="Times New Roman"/>
          <w:kern w:val="2"/>
          <w:sz w:val="20"/>
        </w:rPr>
        <w:t xml:space="preserve"> In US law, a key point is whether the conduct of the accused has gone beyond mere acts of preparation and entered the realm of attempts. The details of the US law of attempts can be found in any standard American textbook of criminal law.</w:t>
      </w:r>
      <w:r w:rsidRPr="006E1DA8">
        <w:rPr>
          <w:rStyle w:val="FootnoteReference"/>
          <w:rFonts w:cs="Times New Roman"/>
          <w:kern w:val="2"/>
          <w:sz w:val="20"/>
        </w:rPr>
        <w:footnoteReference w:id="133"/>
      </w:r>
      <w:r w:rsidRPr="006E1DA8">
        <w:rPr>
          <w:rFonts w:cs="Times New Roman"/>
          <w:kern w:val="2"/>
          <w:sz w:val="20"/>
        </w:rPr>
        <w:t xml:space="preserve"> Voluntary abandonment of an attempt (i.e.</w:t>
      </w:r>
      <w:r w:rsidR="00375C7E" w:rsidRPr="006E1DA8">
        <w:rPr>
          <w:rFonts w:cs="Times New Roman"/>
          <w:kern w:val="2"/>
          <w:sz w:val="20"/>
        </w:rPr>
        <w:t>,</w:t>
      </w:r>
      <w:r w:rsidRPr="006E1DA8">
        <w:rPr>
          <w:rFonts w:cs="Times New Roman"/>
          <w:kern w:val="2"/>
          <w:sz w:val="20"/>
        </w:rPr>
        <w:t xml:space="preserve"> the plan to commit an offen</w:t>
      </w:r>
      <w:r w:rsidR="00A87773" w:rsidRPr="006E1DA8">
        <w:rPr>
          <w:rFonts w:cs="Times New Roman"/>
          <w:kern w:val="2"/>
          <w:sz w:val="20"/>
        </w:rPr>
        <w:t>s</w:t>
      </w:r>
      <w:r w:rsidRPr="006E1DA8">
        <w:rPr>
          <w:rFonts w:cs="Times New Roman"/>
          <w:kern w:val="2"/>
          <w:sz w:val="20"/>
        </w:rPr>
        <w:t>e) is recognized as a defen</w:t>
      </w:r>
      <w:r w:rsidR="00A87773" w:rsidRPr="006E1DA8">
        <w:rPr>
          <w:rFonts w:cs="Times New Roman"/>
          <w:kern w:val="2"/>
          <w:sz w:val="20"/>
        </w:rPr>
        <w:t>s</w:t>
      </w:r>
      <w:r w:rsidRPr="006E1DA8">
        <w:rPr>
          <w:rFonts w:cs="Times New Roman"/>
          <w:kern w:val="2"/>
          <w:sz w:val="20"/>
        </w:rPr>
        <w:t>e under the Model Penal Code and under many state penal codes.</w:t>
      </w:r>
      <w:r w:rsidRPr="006E1DA8">
        <w:rPr>
          <w:rStyle w:val="FootnoteReference"/>
          <w:rFonts w:cs="Times New Roman"/>
          <w:kern w:val="2"/>
          <w:sz w:val="20"/>
        </w:rPr>
        <w:footnoteReference w:id="134"/>
      </w:r>
      <w:r w:rsidRPr="006E1DA8">
        <w:rPr>
          <w:rFonts w:cs="Times New Roman"/>
          <w:kern w:val="2"/>
          <w:sz w:val="20"/>
        </w:rPr>
        <w:t xml:space="preserve"> Because the offen</w:t>
      </w:r>
      <w:r w:rsidR="00F10D59" w:rsidRPr="006E1DA8">
        <w:rPr>
          <w:rFonts w:cs="Times New Roman"/>
          <w:kern w:val="2"/>
          <w:sz w:val="20"/>
        </w:rPr>
        <w:t>s</w:t>
      </w:r>
      <w:r w:rsidRPr="006E1DA8">
        <w:rPr>
          <w:rFonts w:cs="Times New Roman"/>
          <w:kern w:val="2"/>
          <w:sz w:val="20"/>
        </w:rPr>
        <w:t xml:space="preserve">e of bribery is broadly stated in </w:t>
      </w:r>
      <w:r w:rsidR="00F10D59" w:rsidRPr="006E1DA8">
        <w:rPr>
          <w:rFonts w:cs="Times New Roman"/>
          <w:kern w:val="2"/>
          <w:sz w:val="20"/>
        </w:rPr>
        <w:t>section</w:t>
      </w:r>
      <w:r w:rsidRPr="006E1DA8">
        <w:rPr>
          <w:rFonts w:cs="Times New Roman"/>
          <w:kern w:val="2"/>
          <w:sz w:val="20"/>
        </w:rPr>
        <w:t xml:space="preserve"> 78dd-1, it is not generally necessary to resort to attempted bribery. In </w:t>
      </w:r>
      <w:r w:rsidR="00F10D59" w:rsidRPr="006E1DA8">
        <w:rPr>
          <w:rFonts w:cs="Times New Roman"/>
          <w:kern w:val="2"/>
          <w:sz w:val="20"/>
        </w:rPr>
        <w:t>section</w:t>
      </w:r>
      <w:r w:rsidRPr="006E1DA8">
        <w:rPr>
          <w:rFonts w:cs="Times New Roman"/>
          <w:kern w:val="2"/>
          <w:sz w:val="20"/>
        </w:rPr>
        <w:t xml:space="preserve"> 78dd-1, bribery includes not only the completed offen</w:t>
      </w:r>
      <w:r w:rsidR="00F10D59" w:rsidRPr="006E1DA8">
        <w:rPr>
          <w:rFonts w:cs="Times New Roman"/>
          <w:kern w:val="2"/>
          <w:sz w:val="20"/>
        </w:rPr>
        <w:t>s</w:t>
      </w:r>
      <w:r w:rsidRPr="006E1DA8">
        <w:rPr>
          <w:rFonts w:cs="Times New Roman"/>
          <w:kern w:val="2"/>
          <w:sz w:val="20"/>
        </w:rPr>
        <w:t xml:space="preserve">e </w:t>
      </w:r>
      <w:r w:rsidR="00321984" w:rsidRPr="006E1DA8">
        <w:rPr>
          <w:rFonts w:cs="Times New Roman"/>
          <w:kern w:val="2"/>
          <w:sz w:val="20"/>
        </w:rPr>
        <w:t>“</w:t>
      </w:r>
      <w:r w:rsidRPr="006E1DA8">
        <w:rPr>
          <w:rFonts w:cs="Times New Roman"/>
          <w:kern w:val="2"/>
          <w:sz w:val="20"/>
        </w:rPr>
        <w:t>of paying the bribe and receiving the benefit</w:t>
      </w:r>
      <w:r w:rsidR="00375C7E"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but also the </w:t>
      </w:r>
      <w:r w:rsidR="00321984" w:rsidRPr="006E1DA8">
        <w:rPr>
          <w:rFonts w:cs="Times New Roman"/>
          <w:kern w:val="2"/>
          <w:sz w:val="20"/>
        </w:rPr>
        <w:t>“</w:t>
      </w:r>
      <w:r w:rsidRPr="006E1DA8">
        <w:rPr>
          <w:rFonts w:cs="Times New Roman"/>
          <w:kern w:val="2"/>
          <w:sz w:val="20"/>
        </w:rPr>
        <w:t>uncompleted</w:t>
      </w:r>
      <w:r w:rsidR="00321984" w:rsidRPr="006E1DA8">
        <w:rPr>
          <w:rFonts w:cs="Times New Roman"/>
          <w:kern w:val="2"/>
          <w:sz w:val="20"/>
        </w:rPr>
        <w:t>”</w:t>
      </w:r>
      <w:r w:rsidRPr="006E1DA8">
        <w:rPr>
          <w:rFonts w:cs="Times New Roman"/>
          <w:kern w:val="2"/>
          <w:sz w:val="20"/>
        </w:rPr>
        <w:t xml:space="preserve"> offen</w:t>
      </w:r>
      <w:r w:rsidR="00A87773" w:rsidRPr="006E1DA8">
        <w:rPr>
          <w:rFonts w:cs="Times New Roman"/>
          <w:kern w:val="2"/>
          <w:sz w:val="20"/>
        </w:rPr>
        <w:t>s</w:t>
      </w:r>
      <w:r w:rsidRPr="006E1DA8">
        <w:rPr>
          <w:rFonts w:cs="Times New Roman"/>
          <w:kern w:val="2"/>
          <w:sz w:val="20"/>
        </w:rPr>
        <w:t xml:space="preserve">es of </w:t>
      </w:r>
      <w:r w:rsidR="00321984" w:rsidRPr="006E1DA8">
        <w:rPr>
          <w:rFonts w:cs="Times New Roman"/>
          <w:kern w:val="2"/>
          <w:sz w:val="20"/>
        </w:rPr>
        <w:t>“</w:t>
      </w:r>
      <w:r w:rsidRPr="006E1DA8">
        <w:rPr>
          <w:rFonts w:cs="Times New Roman"/>
          <w:kern w:val="2"/>
          <w:sz w:val="20"/>
        </w:rPr>
        <w:t>offering, authorizing or promising</w:t>
      </w:r>
      <w:r w:rsidR="00321984" w:rsidRPr="006E1DA8">
        <w:rPr>
          <w:rFonts w:cs="Times New Roman"/>
          <w:kern w:val="2"/>
          <w:sz w:val="20"/>
        </w:rPr>
        <w:t>”</w:t>
      </w:r>
      <w:r w:rsidRPr="006E1DA8">
        <w:rPr>
          <w:rFonts w:cs="Times New Roman"/>
          <w:kern w:val="2"/>
          <w:sz w:val="20"/>
        </w:rPr>
        <w:t xml:space="preserve"> to pay a bribe, even if nothing further happens in regard to the actual payment of the bribe. Thus</w:t>
      </w:r>
      <w:r w:rsidR="00A87773" w:rsidRPr="006E1DA8">
        <w:rPr>
          <w:rFonts w:cs="Times New Roman"/>
          <w:kern w:val="2"/>
          <w:sz w:val="20"/>
        </w:rPr>
        <w:t>,</w:t>
      </w:r>
      <w:r w:rsidRPr="006E1DA8">
        <w:rPr>
          <w:rFonts w:cs="Times New Roman"/>
          <w:kern w:val="2"/>
          <w:sz w:val="20"/>
        </w:rPr>
        <w:t xml:space="preserve"> attempts to bribe a foreign official will be caught in the full offen</w:t>
      </w:r>
      <w:r w:rsidR="00A87773" w:rsidRPr="006E1DA8">
        <w:rPr>
          <w:rFonts w:cs="Times New Roman"/>
          <w:kern w:val="2"/>
          <w:sz w:val="20"/>
        </w:rPr>
        <w:t>s</w:t>
      </w:r>
      <w:r w:rsidRPr="006E1DA8">
        <w:rPr>
          <w:rFonts w:cs="Times New Roman"/>
          <w:kern w:val="2"/>
          <w:sz w:val="20"/>
        </w:rPr>
        <w:t xml:space="preserve">e of bribery as defined in </w:t>
      </w:r>
      <w:r w:rsidR="00F10D59" w:rsidRPr="006E1DA8">
        <w:rPr>
          <w:rFonts w:cs="Times New Roman"/>
          <w:kern w:val="2"/>
          <w:sz w:val="20"/>
        </w:rPr>
        <w:t>section</w:t>
      </w:r>
      <w:r w:rsidRPr="006E1DA8">
        <w:rPr>
          <w:rFonts w:cs="Times New Roman"/>
          <w:kern w:val="2"/>
          <w:sz w:val="20"/>
        </w:rPr>
        <w:t xml:space="preserve"> 78dd-1. </w:t>
      </w:r>
    </w:p>
    <w:p w14:paraId="3A16B121" w14:textId="77777777" w:rsidR="00622318" w:rsidRPr="006E1DA8" w:rsidRDefault="00622318" w:rsidP="003F643B">
      <w:pPr>
        <w:pStyle w:val="Heading3"/>
        <w:rPr>
          <w:i/>
          <w:kern w:val="2"/>
          <w:sz w:val="22"/>
        </w:rPr>
      </w:pPr>
      <w:r w:rsidRPr="006E1DA8">
        <w:rPr>
          <w:kern w:val="2"/>
          <w:sz w:val="22"/>
        </w:rPr>
        <w:t>UK Law</w:t>
      </w:r>
    </w:p>
    <w:p w14:paraId="01AA9E87" w14:textId="2AA04AEE" w:rsidR="00622318" w:rsidRPr="006E1DA8" w:rsidRDefault="00622318" w:rsidP="00622318">
      <w:pPr>
        <w:rPr>
          <w:rFonts w:cs="Times New Roman"/>
          <w:kern w:val="2"/>
          <w:sz w:val="20"/>
        </w:rPr>
      </w:pPr>
      <w:r w:rsidRPr="006E1DA8">
        <w:rPr>
          <w:rFonts w:cs="Times New Roman"/>
          <w:kern w:val="2"/>
          <w:sz w:val="20"/>
        </w:rPr>
        <w:t xml:space="preserve">Under section 1 of the </w:t>
      </w:r>
      <w:r w:rsidRPr="006E1DA8">
        <w:rPr>
          <w:rFonts w:cs="Times New Roman"/>
          <w:i/>
          <w:iCs/>
          <w:kern w:val="2"/>
          <w:sz w:val="20"/>
        </w:rPr>
        <w:t xml:space="preserve">Criminal Attempts Act 1981, </w:t>
      </w:r>
      <w:r w:rsidRPr="006E1DA8">
        <w:rPr>
          <w:rFonts w:cs="Times New Roman"/>
          <w:kern w:val="2"/>
          <w:sz w:val="20"/>
        </w:rPr>
        <w:t xml:space="preserve">it is an offence to attempt to commit any offences that are indictable in England and Wales. Section 1(4) stipulates that it is not an offence to attempt to commit conspiracy or to attempt to aid, abet or counsel a substantive offence. Under section 1(1), a person is guilty of attempting to commit an offence if, with the intention of committing an applicable offence, </w:t>
      </w:r>
      <w:r w:rsidR="00321984" w:rsidRPr="006E1DA8">
        <w:rPr>
          <w:rFonts w:cs="Times New Roman"/>
          <w:kern w:val="2"/>
          <w:sz w:val="20"/>
        </w:rPr>
        <w:t>“</w:t>
      </w:r>
      <w:r w:rsidRPr="006E1DA8">
        <w:rPr>
          <w:rFonts w:cs="Times New Roman"/>
          <w:kern w:val="2"/>
          <w:sz w:val="20"/>
        </w:rPr>
        <w:t>a person does an act which is more than merely preparatory to the commission of the offence</w:t>
      </w:r>
      <w:r w:rsidR="00813704"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Once a person’s actions have reached the stage of attempting an offence, the attempt is complete. It is not a defence if the perpetrator voluntarily withdraws from the attempt, although voluntary desistance may be evidence that the accused never really had the requisite intent to commit the substantive offence to begin with.</w:t>
      </w:r>
      <w:r w:rsidRPr="006E1DA8">
        <w:rPr>
          <w:rStyle w:val="FootnoteReference"/>
          <w:rFonts w:cs="Times New Roman"/>
          <w:kern w:val="2"/>
          <w:sz w:val="20"/>
        </w:rPr>
        <w:footnoteReference w:id="135"/>
      </w:r>
      <w:r w:rsidRPr="006E1DA8">
        <w:rPr>
          <w:rFonts w:cs="Times New Roman"/>
          <w:kern w:val="2"/>
          <w:sz w:val="20"/>
        </w:rPr>
        <w:t xml:space="preserve"> Historically, UK courts applied the </w:t>
      </w:r>
      <w:r w:rsidR="00321984" w:rsidRPr="006E1DA8">
        <w:rPr>
          <w:rFonts w:cs="Times New Roman"/>
          <w:kern w:val="2"/>
          <w:sz w:val="20"/>
        </w:rPr>
        <w:t>“</w:t>
      </w:r>
      <w:r w:rsidRPr="006E1DA8">
        <w:rPr>
          <w:rFonts w:cs="Times New Roman"/>
          <w:kern w:val="2"/>
          <w:sz w:val="20"/>
        </w:rPr>
        <w:t>last step</w:t>
      </w:r>
      <w:r w:rsidR="00321984" w:rsidRPr="006E1DA8">
        <w:rPr>
          <w:rFonts w:cs="Times New Roman"/>
          <w:kern w:val="2"/>
          <w:sz w:val="20"/>
        </w:rPr>
        <w:t>”</w:t>
      </w:r>
      <w:r w:rsidRPr="006E1DA8">
        <w:rPr>
          <w:rFonts w:cs="Times New Roman"/>
          <w:kern w:val="2"/>
          <w:sz w:val="20"/>
        </w:rPr>
        <w:t xml:space="preserve"> test (i.e.</w:t>
      </w:r>
      <w:r w:rsidR="00813704" w:rsidRPr="006E1DA8">
        <w:rPr>
          <w:rFonts w:cs="Times New Roman"/>
          <w:kern w:val="2"/>
          <w:sz w:val="20"/>
        </w:rPr>
        <w:t>,</w:t>
      </w:r>
      <w:r w:rsidRPr="006E1DA8">
        <w:rPr>
          <w:rFonts w:cs="Times New Roman"/>
          <w:kern w:val="2"/>
          <w:sz w:val="20"/>
        </w:rPr>
        <w:t xml:space="preserve"> to be classified as an attempt the accused’s conduct must have reached the last step before completion of the full offence). More recent case law suggests that the offender does not need to have commenced the last act before the completion of the substantive offence, but the precise line between merely preparatory acts and actual attempts is still unclear. As with US law, the law of attempts is not frequently resorted to for </w:t>
      </w:r>
      <w:r w:rsidRPr="006E1DA8">
        <w:rPr>
          <w:rFonts w:cs="Times New Roman"/>
          <w:i/>
          <w:kern w:val="2"/>
          <w:sz w:val="20"/>
        </w:rPr>
        <w:t>Bribery Act</w:t>
      </w:r>
      <w:r w:rsidRPr="006E1DA8">
        <w:rPr>
          <w:rFonts w:cs="Times New Roman"/>
          <w:kern w:val="2"/>
          <w:sz w:val="20"/>
        </w:rPr>
        <w:t xml:space="preserve"> offences since the offences of bribery in that </w:t>
      </w:r>
      <w:r w:rsidRPr="006E1DA8">
        <w:rPr>
          <w:rFonts w:cs="Times New Roman"/>
          <w:i/>
          <w:kern w:val="2"/>
          <w:sz w:val="20"/>
        </w:rPr>
        <w:t>Act</w:t>
      </w:r>
      <w:r w:rsidRPr="006E1DA8">
        <w:rPr>
          <w:rFonts w:cs="Times New Roman"/>
          <w:kern w:val="2"/>
          <w:sz w:val="20"/>
        </w:rPr>
        <w:t xml:space="preserve"> involve not only giving or receiving a bribe</w:t>
      </w:r>
      <w:r w:rsidR="00813704" w:rsidRPr="006E1DA8">
        <w:rPr>
          <w:rFonts w:cs="Times New Roman"/>
          <w:kern w:val="2"/>
          <w:sz w:val="20"/>
        </w:rPr>
        <w:t>,</w:t>
      </w:r>
      <w:r w:rsidRPr="006E1DA8">
        <w:rPr>
          <w:rFonts w:cs="Times New Roman"/>
          <w:kern w:val="2"/>
          <w:sz w:val="20"/>
        </w:rPr>
        <w:t xml:space="preserve"> but also offering to give or promising to give, or requesting or agreeing to receive, a bribe.</w:t>
      </w:r>
    </w:p>
    <w:p w14:paraId="22E51FE5" w14:textId="77777777" w:rsidR="00622318" w:rsidRPr="006E1DA8" w:rsidRDefault="00622318" w:rsidP="003F643B">
      <w:pPr>
        <w:pStyle w:val="Heading3"/>
        <w:rPr>
          <w:i/>
          <w:kern w:val="2"/>
          <w:sz w:val="22"/>
        </w:rPr>
      </w:pPr>
      <w:r w:rsidRPr="006E1DA8">
        <w:rPr>
          <w:kern w:val="2"/>
          <w:sz w:val="22"/>
        </w:rPr>
        <w:t>Canadian Law</w:t>
      </w:r>
    </w:p>
    <w:p w14:paraId="29978360" w14:textId="2B7CC705" w:rsidR="00622318" w:rsidRPr="006E1DA8" w:rsidRDefault="00622318" w:rsidP="00622318">
      <w:pPr>
        <w:rPr>
          <w:rFonts w:cs="Times New Roman"/>
          <w:kern w:val="2"/>
          <w:sz w:val="20"/>
        </w:rPr>
      </w:pPr>
      <w:r w:rsidRPr="006E1DA8">
        <w:rPr>
          <w:rFonts w:cs="Times New Roman"/>
          <w:kern w:val="2"/>
          <w:sz w:val="20"/>
        </w:rPr>
        <w:t xml:space="preserve">Section 34(2) of the federal </w:t>
      </w:r>
      <w:r w:rsidRPr="006E1DA8">
        <w:rPr>
          <w:rFonts w:cs="Times New Roman"/>
          <w:i/>
          <w:iCs/>
          <w:kern w:val="2"/>
          <w:sz w:val="20"/>
        </w:rPr>
        <w:t xml:space="preserve">Interpretation Act </w:t>
      </w:r>
      <w:r w:rsidRPr="006E1DA8">
        <w:rPr>
          <w:rFonts w:cs="Times New Roman"/>
          <w:iCs/>
          <w:kern w:val="2"/>
          <w:sz w:val="20"/>
        </w:rPr>
        <w:t>states that</w:t>
      </w:r>
      <w:r w:rsidRPr="006E1DA8">
        <w:rPr>
          <w:rFonts w:cs="Times New Roman"/>
          <w:kern w:val="2"/>
          <w:sz w:val="20"/>
        </w:rPr>
        <w:t xml:space="preserve"> all the provisions of the </w:t>
      </w:r>
      <w:r w:rsidRPr="006E1DA8">
        <w:rPr>
          <w:rFonts w:cs="Times New Roman"/>
          <w:i/>
          <w:iCs/>
          <w:kern w:val="2"/>
          <w:sz w:val="20"/>
        </w:rPr>
        <w:t xml:space="preserve">Criminal Code </w:t>
      </w:r>
      <w:r w:rsidRPr="006E1DA8">
        <w:rPr>
          <w:rFonts w:cs="Times New Roman"/>
          <w:kern w:val="2"/>
          <w:sz w:val="20"/>
        </w:rPr>
        <w:t>that relate to indictable offences also apply to the offence provisions of other federal statutes.</w:t>
      </w:r>
      <w:r w:rsidR="005A167C" w:rsidRPr="006E1DA8">
        <w:rPr>
          <w:rStyle w:val="FootnoteReference"/>
          <w:rFonts w:cs="Times New Roman"/>
          <w:iCs/>
          <w:kern w:val="2"/>
          <w:sz w:val="20"/>
        </w:rPr>
        <w:footnoteReference w:id="136"/>
      </w:r>
      <w:r w:rsidRPr="006E1DA8">
        <w:rPr>
          <w:rFonts w:cs="Times New Roman"/>
          <w:kern w:val="2"/>
          <w:sz w:val="20"/>
        </w:rPr>
        <w:t xml:space="preserve"> Therefore, although not explicitly noted in </w:t>
      </w:r>
      <w:r w:rsidRPr="006E1DA8">
        <w:rPr>
          <w:rFonts w:cs="Times New Roman"/>
          <w:i/>
          <w:iCs/>
          <w:kern w:val="2"/>
          <w:sz w:val="20"/>
        </w:rPr>
        <w:t>CFPOA</w:t>
      </w:r>
      <w:r w:rsidRPr="006E1DA8">
        <w:rPr>
          <w:rFonts w:cs="Times New Roman"/>
          <w:kern w:val="2"/>
          <w:sz w:val="20"/>
        </w:rPr>
        <w:t xml:space="preserve">, the three major inchoate offences in Canada (counselling a crime not committed, attempt and conspiracy) apply to </w:t>
      </w:r>
      <w:r w:rsidRPr="006E1DA8">
        <w:rPr>
          <w:rFonts w:cs="Times New Roman"/>
          <w:i/>
          <w:iCs/>
          <w:kern w:val="2"/>
          <w:sz w:val="20"/>
        </w:rPr>
        <w:t xml:space="preserve">CFPOA </w:t>
      </w:r>
      <w:r w:rsidRPr="006E1DA8">
        <w:rPr>
          <w:rFonts w:cs="Times New Roman"/>
          <w:kern w:val="2"/>
          <w:sz w:val="20"/>
        </w:rPr>
        <w:t xml:space="preserve">offences of bribing a foreign public official and falsifying books and records. These inchoate offences also apply to domestic corruption offences, which are found in the </w:t>
      </w:r>
      <w:r w:rsidRPr="006E1DA8">
        <w:rPr>
          <w:rFonts w:cs="Times New Roman"/>
          <w:i/>
          <w:iCs/>
          <w:kern w:val="2"/>
          <w:sz w:val="20"/>
        </w:rPr>
        <w:t>Criminal Code</w:t>
      </w:r>
      <w:r w:rsidRPr="006E1DA8">
        <w:rPr>
          <w:rFonts w:cs="Times New Roman"/>
          <w:kern w:val="2"/>
          <w:sz w:val="20"/>
        </w:rPr>
        <w:t>.</w:t>
      </w:r>
    </w:p>
    <w:p w14:paraId="3B9153F8" w14:textId="7DB90443" w:rsidR="00622318" w:rsidRPr="006E1DA8" w:rsidRDefault="00622318" w:rsidP="00622318">
      <w:pPr>
        <w:rPr>
          <w:rFonts w:cs="Times New Roman"/>
          <w:kern w:val="2"/>
          <w:sz w:val="20"/>
        </w:rPr>
      </w:pPr>
      <w:r w:rsidRPr="006E1DA8">
        <w:rPr>
          <w:rFonts w:cs="Times New Roman"/>
          <w:kern w:val="2"/>
          <w:sz w:val="20"/>
        </w:rPr>
        <w:t xml:space="preserve">Pursuant to section 24(1) of the Canadian </w:t>
      </w:r>
      <w:r w:rsidRPr="006E1DA8">
        <w:rPr>
          <w:rFonts w:cs="Times New Roman"/>
          <w:i/>
          <w:iCs/>
          <w:kern w:val="2"/>
          <w:sz w:val="20"/>
        </w:rPr>
        <w:t>Criminal Code</w:t>
      </w:r>
      <w:r w:rsidRPr="006E1DA8">
        <w:rPr>
          <w:rFonts w:cs="Times New Roman"/>
          <w:kern w:val="2"/>
          <w:sz w:val="20"/>
        </w:rPr>
        <w:t xml:space="preserve">, anyone who, with the intention to commit an offence, </w:t>
      </w:r>
      <w:r w:rsidR="00321984" w:rsidRPr="006E1DA8">
        <w:rPr>
          <w:rFonts w:cs="Times New Roman"/>
          <w:kern w:val="2"/>
          <w:sz w:val="20"/>
        </w:rPr>
        <w:t>“</w:t>
      </w:r>
      <w:r w:rsidRPr="006E1DA8">
        <w:rPr>
          <w:rFonts w:cs="Times New Roman"/>
          <w:kern w:val="2"/>
          <w:sz w:val="20"/>
        </w:rPr>
        <w:t>does or omits to do anything for the purpose of carrying out his intention is guilty of an attempt to commit the offence whether or not it was possible under the circumstances to commit the offence.</w:t>
      </w:r>
      <w:r w:rsidR="00321984" w:rsidRPr="006E1DA8">
        <w:rPr>
          <w:rFonts w:cs="Times New Roman"/>
          <w:kern w:val="2"/>
          <w:sz w:val="20"/>
        </w:rPr>
        <w:t>”</w:t>
      </w:r>
      <w:r w:rsidRPr="006E1DA8">
        <w:rPr>
          <w:rFonts w:cs="Times New Roman"/>
          <w:kern w:val="2"/>
          <w:sz w:val="20"/>
        </w:rPr>
        <w:t xml:space="preserve"> However, section 24(2) clarifies that mere preparation to commit an offence is not considered an attempt.</w:t>
      </w:r>
    </w:p>
    <w:p w14:paraId="6476ECC5" w14:textId="4977E25C" w:rsidR="00622318" w:rsidRPr="006E1DA8" w:rsidRDefault="00622318" w:rsidP="00622318">
      <w:pPr>
        <w:rPr>
          <w:kern w:val="2"/>
          <w:sz w:val="20"/>
        </w:rPr>
      </w:pPr>
      <w:r w:rsidRPr="006E1DA8">
        <w:rPr>
          <w:rFonts w:cs="Times New Roman"/>
          <w:kern w:val="2"/>
          <w:sz w:val="20"/>
        </w:rPr>
        <w:t xml:space="preserve">Like other legal systems, Canadian courts have struggled with the distinction between preparatory acts and attempts. </w:t>
      </w:r>
      <w:r w:rsidR="003D0C17" w:rsidRPr="006E1DA8">
        <w:rPr>
          <w:rFonts w:cs="Times New Roman"/>
          <w:kern w:val="2"/>
          <w:sz w:val="20"/>
        </w:rPr>
        <w:t>In</w:t>
      </w:r>
      <w:r w:rsidRPr="006E1DA8">
        <w:rPr>
          <w:rFonts w:cs="Times New Roman"/>
          <w:kern w:val="2"/>
          <w:sz w:val="20"/>
        </w:rPr>
        <w:t xml:space="preserve"> the 1986 Supreme Court of Canada decision in </w:t>
      </w:r>
      <w:r w:rsidRPr="006E1DA8">
        <w:rPr>
          <w:rFonts w:cs="Times New Roman"/>
          <w:i/>
          <w:iCs/>
          <w:kern w:val="2"/>
          <w:sz w:val="20"/>
        </w:rPr>
        <w:t>R v Deutsch</w:t>
      </w:r>
      <w:r w:rsidR="003D0C17" w:rsidRPr="006E1DA8">
        <w:rPr>
          <w:rFonts w:cs="Times New Roman"/>
          <w:kern w:val="2"/>
          <w:sz w:val="20"/>
        </w:rPr>
        <w:t>,</w:t>
      </w:r>
      <w:r w:rsidRPr="006E1DA8">
        <w:rPr>
          <w:rFonts w:cs="Times New Roman"/>
          <w:kern w:val="2"/>
          <w:sz w:val="20"/>
        </w:rPr>
        <w:t xml:space="preserve"> </w:t>
      </w:r>
      <w:r w:rsidR="003D0C17" w:rsidRPr="006E1DA8">
        <w:rPr>
          <w:rFonts w:cs="Times New Roman"/>
          <w:kern w:val="2"/>
          <w:sz w:val="20"/>
        </w:rPr>
        <w:t>t</w:t>
      </w:r>
      <w:r w:rsidRPr="006E1DA8">
        <w:rPr>
          <w:rFonts w:cs="Times New Roman"/>
          <w:kern w:val="2"/>
          <w:sz w:val="20"/>
        </w:rPr>
        <w:t>he Court held that there is no general rule for distinguishing between preparation and an attempt and that the distinction should be left to the common sense of the trial judge.</w:t>
      </w:r>
      <w:r w:rsidR="005A167C" w:rsidRPr="006E1DA8">
        <w:rPr>
          <w:rStyle w:val="FootnoteReference"/>
          <w:rFonts w:cs="Times New Roman"/>
          <w:kern w:val="2"/>
          <w:sz w:val="20"/>
        </w:rPr>
        <w:footnoteReference w:id="137"/>
      </w:r>
      <w:r w:rsidRPr="006E1DA8">
        <w:rPr>
          <w:rFonts w:cs="Times New Roman"/>
          <w:kern w:val="2"/>
          <w:sz w:val="20"/>
        </w:rPr>
        <w:t xml:space="preserve"> Writing for the majority, Justice Le Dain went on to state</w:t>
      </w:r>
      <w:r w:rsidR="006E6952" w:rsidRPr="006E1DA8">
        <w:rPr>
          <w:rFonts w:cs="Times New Roman"/>
          <w:kern w:val="2"/>
          <w:sz w:val="20"/>
        </w:rPr>
        <w:t>:</w:t>
      </w:r>
    </w:p>
    <w:p w14:paraId="41663C86" w14:textId="3AE542D7" w:rsidR="00622318" w:rsidRPr="006E1DA8" w:rsidRDefault="00622318" w:rsidP="003F643B">
      <w:pPr>
        <w:pStyle w:val="BlockQuote"/>
        <w:rPr>
          <w:kern w:val="2"/>
          <w:sz w:val="20"/>
        </w:rPr>
      </w:pPr>
      <w:r w:rsidRPr="006E1DA8">
        <w:rPr>
          <w:kern w:val="2"/>
          <w:sz w:val="20"/>
        </w:rPr>
        <w:t>In my opinion the distinction between preparation and attempt is essentially a qualitative one, involving the relationship between the nature and quality of the act in question and the nature of the complete offence, although consideration must necessarily be given, in making that qualitative distinction, to the relative proximity of the act in question to what would have been the completed offence, in terms of time, location and acts under the control of the accused remaining to be accomplished.</w:t>
      </w:r>
      <w:r w:rsidR="00D13071" w:rsidRPr="006E1DA8">
        <w:rPr>
          <w:rStyle w:val="FootnoteReference"/>
          <w:rFonts w:cs="Times New Roman"/>
          <w:kern w:val="2"/>
          <w:sz w:val="20"/>
          <w:szCs w:val="21"/>
        </w:rPr>
        <w:footnoteReference w:id="138"/>
      </w:r>
    </w:p>
    <w:p w14:paraId="0A2CBD4B" w14:textId="77777777" w:rsidR="00622318" w:rsidRPr="006E1DA8" w:rsidRDefault="00622318" w:rsidP="00622318">
      <w:pPr>
        <w:rPr>
          <w:rFonts w:cs="Times New Roman"/>
          <w:kern w:val="2"/>
          <w:sz w:val="20"/>
        </w:rPr>
      </w:pPr>
      <w:r w:rsidRPr="006E1DA8">
        <w:rPr>
          <w:rFonts w:cs="Times New Roman"/>
          <w:kern w:val="2"/>
          <w:sz w:val="20"/>
        </w:rPr>
        <w:t xml:space="preserve">The Court’s failure to express a clear test to determine whether particular acts fulfill the </w:t>
      </w:r>
      <w:r w:rsidRPr="006E1DA8">
        <w:rPr>
          <w:rFonts w:cs="Times New Roman"/>
          <w:i/>
          <w:iCs/>
          <w:kern w:val="2"/>
          <w:sz w:val="20"/>
        </w:rPr>
        <w:t xml:space="preserve">actus </w:t>
      </w:r>
      <w:proofErr w:type="spellStart"/>
      <w:proofErr w:type="gramStart"/>
      <w:r w:rsidRPr="006E1DA8">
        <w:rPr>
          <w:rFonts w:cs="Times New Roman"/>
          <w:i/>
          <w:iCs/>
          <w:kern w:val="2"/>
          <w:sz w:val="20"/>
        </w:rPr>
        <w:t>reus</w:t>
      </w:r>
      <w:proofErr w:type="spellEnd"/>
      <w:proofErr w:type="gramEnd"/>
      <w:r w:rsidRPr="006E1DA8">
        <w:rPr>
          <w:rFonts w:cs="Times New Roman"/>
          <w:i/>
          <w:iCs/>
          <w:kern w:val="2"/>
          <w:sz w:val="20"/>
        </w:rPr>
        <w:t xml:space="preserve"> </w:t>
      </w:r>
      <w:r w:rsidRPr="006E1DA8">
        <w:rPr>
          <w:rFonts w:cs="Times New Roman"/>
          <w:kern w:val="2"/>
          <w:sz w:val="20"/>
        </w:rPr>
        <w:t xml:space="preserve">requirement of an attempt offence remains troubling to some commentators, who argue that criminal law principles demand that a more clear formulation of the </w:t>
      </w:r>
      <w:r w:rsidRPr="006E1DA8">
        <w:rPr>
          <w:rFonts w:cs="Times New Roman"/>
          <w:i/>
          <w:iCs/>
          <w:kern w:val="2"/>
          <w:sz w:val="20"/>
        </w:rPr>
        <w:t xml:space="preserve">actus </w:t>
      </w:r>
      <w:proofErr w:type="spellStart"/>
      <w:r w:rsidRPr="006E1DA8">
        <w:rPr>
          <w:rFonts w:cs="Times New Roman"/>
          <w:i/>
          <w:iCs/>
          <w:kern w:val="2"/>
          <w:sz w:val="20"/>
        </w:rPr>
        <w:t>reus</w:t>
      </w:r>
      <w:proofErr w:type="spellEnd"/>
      <w:r w:rsidRPr="006E1DA8">
        <w:rPr>
          <w:rFonts w:cs="Times New Roman"/>
          <w:i/>
          <w:iCs/>
          <w:kern w:val="2"/>
          <w:sz w:val="20"/>
        </w:rPr>
        <w:t xml:space="preserve"> </w:t>
      </w:r>
      <w:r w:rsidRPr="006E1DA8">
        <w:rPr>
          <w:rFonts w:cs="Times New Roman"/>
          <w:kern w:val="2"/>
          <w:sz w:val="20"/>
        </w:rPr>
        <w:t>of attempt offences be available to the public.</w:t>
      </w:r>
      <w:r w:rsidRPr="006E1DA8">
        <w:rPr>
          <w:rStyle w:val="FootnoteReference"/>
          <w:rFonts w:cs="Times New Roman"/>
          <w:kern w:val="2"/>
          <w:sz w:val="20"/>
        </w:rPr>
        <w:footnoteReference w:id="139"/>
      </w:r>
      <w:r w:rsidRPr="006E1DA8">
        <w:rPr>
          <w:rFonts w:cs="Times New Roman"/>
          <w:kern w:val="2"/>
          <w:sz w:val="20"/>
        </w:rPr>
        <w:t xml:space="preserve"> The issue of whether voluntary withdrawal is a defence to an attempt charge has not been fully considered in Canada.</w:t>
      </w:r>
      <w:r w:rsidRPr="006E1DA8">
        <w:rPr>
          <w:rStyle w:val="FootnoteReference"/>
          <w:rFonts w:cs="Times New Roman"/>
          <w:kern w:val="2"/>
          <w:sz w:val="20"/>
        </w:rPr>
        <w:footnoteReference w:id="140"/>
      </w:r>
      <w:r w:rsidRPr="006E1DA8">
        <w:rPr>
          <w:rFonts w:cs="Times New Roman"/>
          <w:kern w:val="2"/>
          <w:sz w:val="20"/>
        </w:rPr>
        <w:t xml:space="preserve"> </w:t>
      </w:r>
    </w:p>
    <w:p w14:paraId="0B0F7E42" w14:textId="77777777" w:rsidR="00622318" w:rsidRPr="006E1DA8" w:rsidRDefault="00622318" w:rsidP="00622318">
      <w:pPr>
        <w:rPr>
          <w:kern w:val="2"/>
          <w:sz w:val="20"/>
        </w:rPr>
      </w:pPr>
      <w:r w:rsidRPr="006E1DA8">
        <w:rPr>
          <w:rFonts w:cs="Times New Roman"/>
          <w:kern w:val="2"/>
          <w:sz w:val="20"/>
        </w:rPr>
        <w:t xml:space="preserve">The maximum penalty under section 463 of the </w:t>
      </w:r>
      <w:r w:rsidRPr="006E1DA8">
        <w:rPr>
          <w:rFonts w:cs="Times New Roman"/>
          <w:i/>
          <w:kern w:val="2"/>
          <w:sz w:val="20"/>
        </w:rPr>
        <w:t>Criminal Code</w:t>
      </w:r>
      <w:r w:rsidRPr="006E1DA8">
        <w:rPr>
          <w:rFonts w:cs="Times New Roman"/>
          <w:kern w:val="2"/>
          <w:sz w:val="20"/>
        </w:rPr>
        <w:t xml:space="preserve"> for attempts to commit indictable offences other than those punishable by life in prison is half the maximum penalty that would have been available had the attempt succeeded.</w:t>
      </w:r>
    </w:p>
    <w:p w14:paraId="6C6B5FD9" w14:textId="102ADA67" w:rsidR="00622318" w:rsidRPr="006E1DA8" w:rsidRDefault="00622318" w:rsidP="003F643B">
      <w:pPr>
        <w:pStyle w:val="Heading2"/>
        <w:rPr>
          <w:kern w:val="2"/>
          <w:sz w:val="24"/>
        </w:rPr>
      </w:pPr>
      <w:r w:rsidRPr="006E1DA8">
        <w:rPr>
          <w:kern w:val="2"/>
          <w:sz w:val="24"/>
        </w:rPr>
        <w:t>Conspiracy</w:t>
      </w:r>
    </w:p>
    <w:p w14:paraId="0078CD9B" w14:textId="694736C3" w:rsidR="00622318" w:rsidRPr="006E1DA8" w:rsidRDefault="00622318" w:rsidP="00622318">
      <w:pPr>
        <w:rPr>
          <w:rFonts w:cs="Times New Roman"/>
          <w:kern w:val="2"/>
          <w:sz w:val="20"/>
        </w:rPr>
      </w:pPr>
      <w:r w:rsidRPr="006E1DA8">
        <w:rPr>
          <w:rFonts w:cs="Times New Roman"/>
          <w:kern w:val="2"/>
          <w:sz w:val="20"/>
        </w:rPr>
        <w:t>The offence of conspiracy involves at its core an agreement between two or more persons to commit an offence. Many civil law countries only criminalize conspiracy to commit a limited number of very serious crimes, which generally do not include bribery. Most common law countries criminalize conspiracy to commit a broader range of offences, including the offence of bribery.</w:t>
      </w:r>
      <w:r w:rsidRPr="006E1DA8">
        <w:rPr>
          <w:rStyle w:val="FootnoteReference"/>
          <w:rFonts w:cs="Times New Roman"/>
          <w:kern w:val="2"/>
          <w:sz w:val="20"/>
        </w:rPr>
        <w:footnoteReference w:id="141"/>
      </w:r>
      <w:r w:rsidRPr="006E1DA8">
        <w:rPr>
          <w:rFonts w:cs="Times New Roman"/>
          <w:kern w:val="2"/>
          <w:sz w:val="20"/>
        </w:rPr>
        <w:t xml:space="preserve"> Unlike the law of attempts, conspirators may be convicted when no concrete steps beyond reaching the agreement have been taken. The criminalization of conspiracy is more controversial than the criminalization of attempts. Conspiracy occurs well before an attempt to commit an offence</w:t>
      </w:r>
      <w:r w:rsidR="00A55061" w:rsidRPr="006E1DA8">
        <w:rPr>
          <w:rFonts w:cs="Times New Roman"/>
          <w:kern w:val="2"/>
          <w:sz w:val="20"/>
        </w:rPr>
        <w:t>,</w:t>
      </w:r>
      <w:r w:rsidRPr="006E1DA8">
        <w:rPr>
          <w:rFonts w:cs="Times New Roman"/>
          <w:kern w:val="2"/>
          <w:sz w:val="20"/>
        </w:rPr>
        <w:t xml:space="preserve"> and its criminalization can lead to a form of collective guilt that may unfairly punish individuals for the wrongdoing of others. In the past, the criminalization of conspiracy has also been used to suppress political dissent. However, the availability of an offence of conspiracy to commit corruption offences allows enforcement agencies to arrest perpetrators before harm has occurred and can be an effective weapon against organized crime.</w:t>
      </w:r>
      <w:r w:rsidRPr="006E1DA8">
        <w:rPr>
          <w:rStyle w:val="FootnoteReference"/>
          <w:rFonts w:cs="Times New Roman"/>
          <w:kern w:val="2"/>
          <w:sz w:val="20"/>
        </w:rPr>
        <w:footnoteReference w:id="142"/>
      </w:r>
    </w:p>
    <w:p w14:paraId="3574752C" w14:textId="77777777" w:rsidR="00622318" w:rsidRPr="006E1DA8" w:rsidRDefault="00622318" w:rsidP="003F643B">
      <w:pPr>
        <w:pStyle w:val="Heading3"/>
        <w:rPr>
          <w:i/>
          <w:kern w:val="2"/>
          <w:sz w:val="22"/>
        </w:rPr>
      </w:pPr>
      <w:r w:rsidRPr="006E1DA8">
        <w:rPr>
          <w:kern w:val="2"/>
          <w:sz w:val="22"/>
        </w:rPr>
        <w:t>UNCAC</w:t>
      </w:r>
    </w:p>
    <w:p w14:paraId="0FE21C2A" w14:textId="15584B7D" w:rsidR="00622318" w:rsidRPr="006E1DA8" w:rsidRDefault="00622318" w:rsidP="003F643B">
      <w:pPr>
        <w:rPr>
          <w:kern w:val="2"/>
          <w:sz w:val="20"/>
        </w:rPr>
      </w:pPr>
      <w:r w:rsidRPr="006E1DA8">
        <w:rPr>
          <w:kern w:val="2"/>
          <w:sz w:val="20"/>
        </w:rPr>
        <w:t xml:space="preserve">While Article 27 of UNCAC specifically references the adoption of provisions criminalizing parties to bribery and attempts to commit bribery, UNCAC is silent on conspiracy to commit bribery. However, Article 23 states that </w:t>
      </w:r>
      <w:r w:rsidR="00321984" w:rsidRPr="006E1DA8">
        <w:rPr>
          <w:kern w:val="2"/>
          <w:sz w:val="20"/>
        </w:rPr>
        <w:t>“</w:t>
      </w:r>
      <w:r w:rsidRPr="006E1DA8">
        <w:rPr>
          <w:kern w:val="2"/>
          <w:sz w:val="20"/>
        </w:rPr>
        <w:t>subject to the basic concepts of its legal system, State Parties shall establish a criminal offence for conspiracy to commit</w:t>
      </w:r>
      <w:r w:rsidR="00321984" w:rsidRPr="006E1DA8">
        <w:rPr>
          <w:kern w:val="2"/>
          <w:sz w:val="20"/>
        </w:rPr>
        <w:t>”</w:t>
      </w:r>
      <w:r w:rsidRPr="006E1DA8">
        <w:rPr>
          <w:kern w:val="2"/>
          <w:sz w:val="20"/>
        </w:rPr>
        <w:t xml:space="preserve"> any of the money laundering offences in Article 23.  </w:t>
      </w:r>
    </w:p>
    <w:p w14:paraId="705F38AB" w14:textId="77777777" w:rsidR="00622318" w:rsidRPr="006E1DA8" w:rsidRDefault="00622318" w:rsidP="003F643B">
      <w:pPr>
        <w:pStyle w:val="Heading3"/>
        <w:rPr>
          <w:i/>
          <w:kern w:val="2"/>
          <w:sz w:val="22"/>
        </w:rPr>
      </w:pPr>
      <w:r w:rsidRPr="006E1DA8">
        <w:rPr>
          <w:kern w:val="2"/>
          <w:sz w:val="22"/>
        </w:rPr>
        <w:t>OECD Convention</w:t>
      </w:r>
    </w:p>
    <w:p w14:paraId="0086D627" w14:textId="77777777" w:rsidR="00622318" w:rsidRPr="006E1DA8" w:rsidRDefault="00622318" w:rsidP="003F643B">
      <w:pPr>
        <w:rPr>
          <w:kern w:val="2"/>
          <w:sz w:val="20"/>
        </w:rPr>
      </w:pPr>
      <w:r w:rsidRPr="006E1DA8">
        <w:rPr>
          <w:kern w:val="2"/>
          <w:sz w:val="20"/>
        </w:rPr>
        <w:t xml:space="preserve">As with attempts, rather than mandating a globally consistent approach, Article 1(2) focuses on consistency within the domestic context when dealing with criminalization of conspiracy. A conspiracy or an attempt to bribe a </w:t>
      </w:r>
      <w:r w:rsidRPr="006E1DA8">
        <w:rPr>
          <w:i/>
          <w:kern w:val="2"/>
          <w:sz w:val="20"/>
        </w:rPr>
        <w:t xml:space="preserve">foreign </w:t>
      </w:r>
      <w:r w:rsidRPr="006E1DA8">
        <w:rPr>
          <w:kern w:val="2"/>
          <w:sz w:val="20"/>
        </w:rPr>
        <w:t xml:space="preserve">official must be penalized in the same way (if any) as conspiracies or attempts to bribe </w:t>
      </w:r>
      <w:r w:rsidRPr="006E1DA8">
        <w:rPr>
          <w:i/>
          <w:kern w:val="2"/>
          <w:sz w:val="20"/>
        </w:rPr>
        <w:t xml:space="preserve">domestic </w:t>
      </w:r>
      <w:r w:rsidRPr="006E1DA8">
        <w:rPr>
          <w:kern w:val="2"/>
          <w:sz w:val="20"/>
        </w:rPr>
        <w:t>public officials.</w:t>
      </w:r>
    </w:p>
    <w:p w14:paraId="4FD236FC" w14:textId="77777777" w:rsidR="00622318" w:rsidRPr="006E1DA8" w:rsidRDefault="00622318" w:rsidP="003F643B">
      <w:pPr>
        <w:pStyle w:val="Heading3"/>
        <w:rPr>
          <w:i/>
          <w:kern w:val="2"/>
          <w:sz w:val="22"/>
        </w:rPr>
      </w:pPr>
      <w:r w:rsidRPr="006E1DA8">
        <w:rPr>
          <w:kern w:val="2"/>
          <w:sz w:val="22"/>
        </w:rPr>
        <w:t>US Law</w:t>
      </w:r>
    </w:p>
    <w:p w14:paraId="2AED3D1D" w14:textId="0FEF914E" w:rsidR="00622318" w:rsidRPr="006E1DA8" w:rsidRDefault="00622318" w:rsidP="00D16438">
      <w:pPr>
        <w:rPr>
          <w:kern w:val="2"/>
          <w:sz w:val="20"/>
        </w:rPr>
      </w:pPr>
      <w:r w:rsidRPr="006E1DA8">
        <w:rPr>
          <w:kern w:val="2"/>
          <w:sz w:val="20"/>
        </w:rPr>
        <w:t xml:space="preserve">The US criminalizes conspiracies to bribe foreign public officials. Charges under </w:t>
      </w:r>
      <w:r w:rsidR="00450B90" w:rsidRPr="006E1DA8">
        <w:rPr>
          <w:kern w:val="2"/>
          <w:sz w:val="20"/>
        </w:rPr>
        <w:t xml:space="preserve">the </w:t>
      </w:r>
      <w:r w:rsidRPr="006E1DA8">
        <w:rPr>
          <w:i/>
          <w:iCs/>
          <w:kern w:val="2"/>
          <w:sz w:val="20"/>
        </w:rPr>
        <w:t xml:space="preserve">FCPA </w:t>
      </w:r>
      <w:r w:rsidRPr="006E1DA8">
        <w:rPr>
          <w:kern w:val="2"/>
          <w:sz w:val="20"/>
        </w:rPr>
        <w:t>will often be accompanied by a charge under the federal general conspiracy statute (18 USC § 371), which makes it a crime to conspire to commit an offen</w:t>
      </w:r>
      <w:r w:rsidR="00A55061" w:rsidRPr="006E1DA8">
        <w:rPr>
          <w:kern w:val="2"/>
          <w:sz w:val="20"/>
        </w:rPr>
        <w:t>s</w:t>
      </w:r>
      <w:r w:rsidRPr="006E1DA8">
        <w:rPr>
          <w:kern w:val="2"/>
          <w:sz w:val="20"/>
        </w:rPr>
        <w:t>e against the US or to conspire to defraud the US. The applicable punishment is either a fine or a prison term of up to five years (unless the object of the conspiracy is a misdemeanor offen</w:t>
      </w:r>
      <w:r w:rsidR="00A55061" w:rsidRPr="006E1DA8">
        <w:rPr>
          <w:kern w:val="2"/>
          <w:sz w:val="20"/>
        </w:rPr>
        <w:t>s</w:t>
      </w:r>
      <w:r w:rsidRPr="006E1DA8">
        <w:rPr>
          <w:kern w:val="2"/>
          <w:sz w:val="20"/>
        </w:rPr>
        <w:t>e, in which case the punishment shall not exceed the maximum punishment for that offen</w:t>
      </w:r>
      <w:r w:rsidR="00A55061" w:rsidRPr="006E1DA8">
        <w:rPr>
          <w:kern w:val="2"/>
          <w:sz w:val="20"/>
        </w:rPr>
        <w:t>s</w:t>
      </w:r>
      <w:r w:rsidRPr="006E1DA8">
        <w:rPr>
          <w:kern w:val="2"/>
          <w:sz w:val="20"/>
        </w:rPr>
        <w:t>e). The elements of the offen</w:t>
      </w:r>
      <w:r w:rsidR="00A55061" w:rsidRPr="006E1DA8">
        <w:rPr>
          <w:kern w:val="2"/>
          <w:sz w:val="20"/>
        </w:rPr>
        <w:t>s</w:t>
      </w:r>
      <w:r w:rsidRPr="006E1DA8">
        <w:rPr>
          <w:kern w:val="2"/>
          <w:sz w:val="20"/>
        </w:rPr>
        <w:t xml:space="preserve">e of conspiracy to commit bribery can be found in </w:t>
      </w:r>
      <w:proofErr w:type="spellStart"/>
      <w:r w:rsidRPr="006E1DA8">
        <w:rPr>
          <w:kern w:val="2"/>
          <w:sz w:val="20"/>
        </w:rPr>
        <w:t>Tarun’s</w:t>
      </w:r>
      <w:proofErr w:type="spellEnd"/>
      <w:r w:rsidRPr="006E1DA8">
        <w:rPr>
          <w:kern w:val="2"/>
          <w:sz w:val="20"/>
        </w:rPr>
        <w:t xml:space="preserve"> book </w:t>
      </w:r>
      <w:r w:rsidRPr="006E1DA8">
        <w:rPr>
          <w:i/>
          <w:kern w:val="2"/>
          <w:sz w:val="20"/>
        </w:rPr>
        <w:t>The</w:t>
      </w:r>
      <w:r w:rsidRPr="006E1DA8">
        <w:rPr>
          <w:kern w:val="2"/>
          <w:sz w:val="20"/>
        </w:rPr>
        <w:t xml:space="preserve"> </w:t>
      </w:r>
      <w:r w:rsidRPr="006E1DA8">
        <w:rPr>
          <w:i/>
          <w:kern w:val="2"/>
          <w:sz w:val="20"/>
        </w:rPr>
        <w:t>Foreign Corrupt Practices</w:t>
      </w:r>
      <w:r w:rsidRPr="006E1DA8">
        <w:rPr>
          <w:kern w:val="2"/>
          <w:sz w:val="20"/>
        </w:rPr>
        <w:t xml:space="preserve"> </w:t>
      </w:r>
      <w:r w:rsidRPr="006E1DA8">
        <w:rPr>
          <w:i/>
          <w:kern w:val="2"/>
          <w:sz w:val="20"/>
        </w:rPr>
        <w:t>Act Handbook</w:t>
      </w:r>
      <w:r w:rsidRPr="006E1DA8">
        <w:rPr>
          <w:kern w:val="2"/>
          <w:sz w:val="20"/>
        </w:rPr>
        <w:t>.</w:t>
      </w:r>
      <w:r w:rsidRPr="006E1DA8">
        <w:rPr>
          <w:rStyle w:val="FootnoteReference"/>
          <w:rFonts w:cs="Times New Roman"/>
          <w:kern w:val="2"/>
          <w:sz w:val="20"/>
        </w:rPr>
        <w:footnoteReference w:id="143"/>
      </w:r>
      <w:r w:rsidRPr="006E1DA8">
        <w:rPr>
          <w:kern w:val="2"/>
          <w:sz w:val="20"/>
        </w:rPr>
        <w:t xml:space="preserve"> He lists the four elements of a federal conspiracy as follows: </w:t>
      </w:r>
    </w:p>
    <w:p w14:paraId="5B679FCC" w14:textId="27B5568F" w:rsidR="00622318" w:rsidRPr="006E1DA8" w:rsidRDefault="00622318" w:rsidP="009D3B31">
      <w:pPr>
        <w:pStyle w:val="ListParagraph"/>
        <w:numPr>
          <w:ilvl w:val="0"/>
          <w:numId w:val="40"/>
        </w:numPr>
        <w:rPr>
          <w:kern w:val="2"/>
          <w:sz w:val="20"/>
        </w:rPr>
      </w:pPr>
      <w:r w:rsidRPr="006E1DA8">
        <w:rPr>
          <w:kern w:val="2"/>
          <w:sz w:val="20"/>
        </w:rPr>
        <w:t>An agreement by two or more persons,</w:t>
      </w:r>
    </w:p>
    <w:p w14:paraId="316A2A14" w14:textId="1E8FC515" w:rsidR="00622318" w:rsidRPr="006E1DA8" w:rsidRDefault="00622318" w:rsidP="009D3B31">
      <w:pPr>
        <w:pStyle w:val="ListParagraph"/>
        <w:numPr>
          <w:ilvl w:val="0"/>
          <w:numId w:val="40"/>
        </w:numPr>
        <w:rPr>
          <w:kern w:val="2"/>
          <w:sz w:val="20"/>
        </w:rPr>
      </w:pPr>
      <w:r w:rsidRPr="006E1DA8">
        <w:rPr>
          <w:kern w:val="2"/>
          <w:sz w:val="20"/>
        </w:rPr>
        <w:t>To commit the unlawful object of the conspiracy,</w:t>
      </w:r>
    </w:p>
    <w:p w14:paraId="50DD1A5B" w14:textId="0CBE207E" w:rsidR="00622318" w:rsidRPr="006E1DA8" w:rsidRDefault="00622318" w:rsidP="009D3B31">
      <w:pPr>
        <w:pStyle w:val="ListParagraph"/>
        <w:numPr>
          <w:ilvl w:val="0"/>
          <w:numId w:val="40"/>
        </w:numPr>
        <w:rPr>
          <w:kern w:val="2"/>
          <w:sz w:val="20"/>
        </w:rPr>
      </w:pPr>
      <w:r w:rsidRPr="006E1DA8">
        <w:rPr>
          <w:kern w:val="2"/>
          <w:sz w:val="20"/>
        </w:rPr>
        <w:t>With knowledge of the conspiracy and with actual participation in the conspiracy, and</w:t>
      </w:r>
    </w:p>
    <w:p w14:paraId="4D48EDC6" w14:textId="7855069F" w:rsidR="00622318" w:rsidRPr="006E1DA8" w:rsidRDefault="00622318" w:rsidP="009D3B31">
      <w:pPr>
        <w:pStyle w:val="ListParagraph"/>
        <w:numPr>
          <w:ilvl w:val="0"/>
          <w:numId w:val="40"/>
        </w:numPr>
        <w:rPr>
          <w:kern w:val="2"/>
          <w:sz w:val="20"/>
        </w:rPr>
      </w:pPr>
      <w:r w:rsidRPr="006E1DA8">
        <w:rPr>
          <w:kern w:val="2"/>
          <w:sz w:val="20"/>
        </w:rPr>
        <w:t xml:space="preserve">The commission of an overt act in furtherance of the conspiracy by at least one co-conspirator. </w:t>
      </w:r>
    </w:p>
    <w:p w14:paraId="01D6A12C" w14:textId="484607C3" w:rsidR="00622318" w:rsidRPr="006E1DA8" w:rsidRDefault="00622318" w:rsidP="00D16438">
      <w:pPr>
        <w:rPr>
          <w:kern w:val="2"/>
          <w:sz w:val="20"/>
        </w:rPr>
      </w:pPr>
      <w:r w:rsidRPr="006E1DA8">
        <w:rPr>
          <w:kern w:val="2"/>
          <w:sz w:val="20"/>
        </w:rPr>
        <w:t>It is important to note that the conspiracy offen</w:t>
      </w:r>
      <w:r w:rsidR="00A55061" w:rsidRPr="006E1DA8">
        <w:rPr>
          <w:kern w:val="2"/>
          <w:sz w:val="20"/>
        </w:rPr>
        <w:t>s</w:t>
      </w:r>
      <w:r w:rsidRPr="006E1DA8">
        <w:rPr>
          <w:kern w:val="2"/>
          <w:sz w:val="20"/>
        </w:rPr>
        <w:t>e is not complete until one of the co-conspirators commits an overt act in furtherance of the conspiracy. This does not have to be a criminal act in its own right</w:t>
      </w:r>
      <w:r w:rsidR="005F0632" w:rsidRPr="006E1DA8">
        <w:rPr>
          <w:kern w:val="2"/>
          <w:sz w:val="20"/>
        </w:rPr>
        <w:t>,</w:t>
      </w:r>
      <w:r w:rsidRPr="006E1DA8">
        <w:rPr>
          <w:kern w:val="2"/>
          <w:sz w:val="20"/>
        </w:rPr>
        <w:t xml:space="preserve"> but can be a non-criminal preparatory act, such as opening a bank account that is to be used as a part of the bribery scheme. By contrast, the </w:t>
      </w:r>
      <w:r w:rsidR="00450B90" w:rsidRPr="006E1DA8">
        <w:rPr>
          <w:kern w:val="2"/>
          <w:sz w:val="20"/>
        </w:rPr>
        <w:t xml:space="preserve">offence </w:t>
      </w:r>
      <w:r w:rsidRPr="006E1DA8">
        <w:rPr>
          <w:kern w:val="2"/>
          <w:sz w:val="20"/>
        </w:rPr>
        <w:t xml:space="preserve">of conspiracy in the UK and Canada does not require any overt acts in furtherance of the conspiracy. The law of conspiracy in the US is set out in detail in </w:t>
      </w:r>
      <w:proofErr w:type="spellStart"/>
      <w:r w:rsidRPr="006E1DA8">
        <w:rPr>
          <w:kern w:val="2"/>
          <w:sz w:val="20"/>
        </w:rPr>
        <w:t>LaFave’s</w:t>
      </w:r>
      <w:proofErr w:type="spellEnd"/>
      <w:r w:rsidRPr="006E1DA8">
        <w:rPr>
          <w:kern w:val="2"/>
          <w:sz w:val="20"/>
        </w:rPr>
        <w:t xml:space="preserve"> book </w:t>
      </w:r>
      <w:r w:rsidRPr="006E1DA8">
        <w:rPr>
          <w:i/>
          <w:kern w:val="2"/>
          <w:sz w:val="20"/>
        </w:rPr>
        <w:t>Substantive Criminal Law.</w:t>
      </w:r>
      <w:r w:rsidRPr="006E1DA8">
        <w:rPr>
          <w:rStyle w:val="FootnoteReference"/>
          <w:rFonts w:cs="Times New Roman"/>
          <w:kern w:val="2"/>
          <w:sz w:val="20"/>
        </w:rPr>
        <w:footnoteReference w:id="144"/>
      </w:r>
      <w:r w:rsidR="00502502" w:rsidRPr="006E1DA8">
        <w:rPr>
          <w:i/>
          <w:kern w:val="2"/>
          <w:sz w:val="20"/>
        </w:rPr>
        <w:t xml:space="preserve"> </w:t>
      </w:r>
    </w:p>
    <w:p w14:paraId="5156E30D" w14:textId="36A5C860" w:rsidR="00622318" w:rsidRPr="006E1DA8" w:rsidRDefault="00622318" w:rsidP="00D16438">
      <w:pPr>
        <w:rPr>
          <w:kern w:val="2"/>
          <w:sz w:val="20"/>
        </w:rPr>
      </w:pPr>
      <w:proofErr w:type="spellStart"/>
      <w:r w:rsidRPr="006E1DA8">
        <w:rPr>
          <w:kern w:val="2"/>
          <w:sz w:val="20"/>
        </w:rPr>
        <w:t>Tarun</w:t>
      </w:r>
      <w:proofErr w:type="spellEnd"/>
      <w:r w:rsidRPr="006E1DA8">
        <w:rPr>
          <w:kern w:val="2"/>
          <w:sz w:val="20"/>
        </w:rPr>
        <w:t xml:space="preserve"> notes that charging individuals or corporations with both a general conspiracy offen</w:t>
      </w:r>
      <w:r w:rsidR="005F0632" w:rsidRPr="006E1DA8">
        <w:rPr>
          <w:kern w:val="2"/>
          <w:sz w:val="20"/>
        </w:rPr>
        <w:t>c</w:t>
      </w:r>
      <w:r w:rsidRPr="006E1DA8">
        <w:rPr>
          <w:kern w:val="2"/>
          <w:sz w:val="20"/>
        </w:rPr>
        <w:t xml:space="preserve">e and a substantive </w:t>
      </w:r>
      <w:r w:rsidRPr="006E1DA8">
        <w:rPr>
          <w:i/>
          <w:kern w:val="2"/>
          <w:sz w:val="20"/>
        </w:rPr>
        <w:t xml:space="preserve">FCPA </w:t>
      </w:r>
      <w:r w:rsidRPr="006E1DA8">
        <w:rPr>
          <w:kern w:val="2"/>
          <w:sz w:val="20"/>
        </w:rPr>
        <w:t>offen</w:t>
      </w:r>
      <w:r w:rsidR="005F0632" w:rsidRPr="006E1DA8">
        <w:rPr>
          <w:kern w:val="2"/>
          <w:sz w:val="20"/>
        </w:rPr>
        <w:t>c</w:t>
      </w:r>
      <w:r w:rsidRPr="006E1DA8">
        <w:rPr>
          <w:kern w:val="2"/>
          <w:sz w:val="20"/>
        </w:rPr>
        <w:t>e offers several advantages to the prosecution. In this regard, he states</w:t>
      </w:r>
      <w:r w:rsidR="006E6952" w:rsidRPr="006E1DA8">
        <w:rPr>
          <w:kern w:val="2"/>
          <w:sz w:val="20"/>
        </w:rPr>
        <w:t>:</w:t>
      </w:r>
      <w:r w:rsidR="001255FE" w:rsidRPr="006E1DA8">
        <w:rPr>
          <w:rStyle w:val="FootnoteReference"/>
          <w:rFonts w:cs="Times New Roman"/>
          <w:kern w:val="2"/>
          <w:sz w:val="20"/>
          <w:szCs w:val="21"/>
        </w:rPr>
        <w:footnoteReference w:id="145"/>
      </w:r>
    </w:p>
    <w:p w14:paraId="051A94A3" w14:textId="348352DD" w:rsidR="00622318" w:rsidRPr="006E1DA8" w:rsidRDefault="00622318" w:rsidP="00CA6B42">
      <w:pPr>
        <w:pStyle w:val="BlockQuote"/>
        <w:rPr>
          <w:kern w:val="2"/>
          <w:sz w:val="20"/>
        </w:rPr>
      </w:pPr>
      <w:r w:rsidRPr="006E1DA8">
        <w:rPr>
          <w:kern w:val="2"/>
          <w:sz w:val="20"/>
        </w:rPr>
        <w:t>First, the ongoing nature of conspiracy lends itself to expansive drafting, particularly in temporal terms. Conspiracies frequently are alleged to have continued for years and occasionally decades. Second, the breadth and vagueness of a conspiracy count allow the admission of much proof that might otherwise be inadmissible. Third, a conspiracy count enables the government to broadly join persons and allegations. A conspiracy can allege an agreement to defraud multiple entities, individuals, and companies or both the government (e.g., the Securities and Exchange Commission) and private entities and individuals. Fourth evidentiary rules with respect to co-conspirator declarations enlarge the admissibility of often-damaging statements in conspiracy trials [Under the US Federal Rules of Evidence, out of court statements made by a co-conspirator in furtherance of the conspiracy may be admitted against the accused]. Fifth, because the conspiracy is a continuing crime, its five-year statu</w:t>
      </w:r>
      <w:r w:rsidR="007D496A" w:rsidRPr="006E1DA8">
        <w:rPr>
          <w:kern w:val="2"/>
          <w:sz w:val="20"/>
        </w:rPr>
        <w:t>t</w:t>
      </w:r>
      <w:r w:rsidRPr="006E1DA8">
        <w:rPr>
          <w:kern w:val="2"/>
          <w:sz w:val="20"/>
        </w:rPr>
        <w:t>e of limitations does not begin to run until either the conspiracy’s objectives are met, the conspiracy is abandoned, its members affirmatively withdraw, or the last overt act committed in furtherance of the conspiracy occurs</w:t>
      </w:r>
      <w:r w:rsidR="00BF359A" w:rsidRPr="006E1DA8">
        <w:rPr>
          <w:kern w:val="2"/>
          <w:sz w:val="20"/>
        </w:rPr>
        <w:t>.</w:t>
      </w:r>
      <w:r w:rsidR="00356571" w:rsidRPr="006E1DA8">
        <w:rPr>
          <w:kern w:val="2"/>
          <w:sz w:val="20"/>
        </w:rPr>
        <w:t xml:space="preserve"> </w:t>
      </w:r>
      <w:r w:rsidR="001741D8" w:rsidRPr="006E1DA8">
        <w:rPr>
          <w:kern w:val="2"/>
          <w:sz w:val="20"/>
        </w:rPr>
        <w:t>[</w:t>
      </w:r>
      <w:proofErr w:type="gramStart"/>
      <w:r w:rsidR="001741D8" w:rsidRPr="006E1DA8">
        <w:rPr>
          <w:kern w:val="2"/>
          <w:sz w:val="20"/>
        </w:rPr>
        <w:t>footnotes</w:t>
      </w:r>
      <w:proofErr w:type="gramEnd"/>
      <w:r w:rsidR="001741D8" w:rsidRPr="006E1DA8">
        <w:rPr>
          <w:kern w:val="2"/>
          <w:sz w:val="20"/>
        </w:rPr>
        <w:t xml:space="preserve"> omitted]</w:t>
      </w:r>
      <w:r w:rsidRPr="006E1DA8">
        <w:rPr>
          <w:rStyle w:val="FootnoteReference"/>
          <w:rFonts w:cs="Times New Roman"/>
          <w:kern w:val="2"/>
          <w:sz w:val="20"/>
          <w:szCs w:val="21"/>
        </w:rPr>
        <w:t xml:space="preserve"> </w:t>
      </w:r>
    </w:p>
    <w:p w14:paraId="67C4F6D2" w14:textId="77777777" w:rsidR="00622318" w:rsidRPr="006E1DA8" w:rsidRDefault="00622318" w:rsidP="00CA6B42">
      <w:pPr>
        <w:pStyle w:val="Heading3"/>
        <w:rPr>
          <w:i/>
          <w:kern w:val="2"/>
          <w:sz w:val="22"/>
        </w:rPr>
      </w:pPr>
      <w:r w:rsidRPr="006E1DA8">
        <w:rPr>
          <w:kern w:val="2"/>
          <w:sz w:val="22"/>
        </w:rPr>
        <w:t>UK Law</w:t>
      </w:r>
    </w:p>
    <w:p w14:paraId="7FE1E262" w14:textId="6A726035" w:rsidR="00622318" w:rsidRPr="006E1DA8" w:rsidRDefault="00622318" w:rsidP="00622318">
      <w:pPr>
        <w:rPr>
          <w:rFonts w:cs="Times New Roman"/>
          <w:kern w:val="2"/>
          <w:sz w:val="20"/>
        </w:rPr>
      </w:pPr>
      <w:r w:rsidRPr="006E1DA8">
        <w:rPr>
          <w:rFonts w:cs="Times New Roman"/>
          <w:kern w:val="2"/>
          <w:sz w:val="20"/>
        </w:rPr>
        <w:t xml:space="preserve">For the purposes of most corruption-related offences, the old common law offence of conspiracy has been replaced with the </w:t>
      </w:r>
      <w:r w:rsidRPr="006E1DA8">
        <w:rPr>
          <w:rFonts w:cs="Times New Roman"/>
          <w:i/>
          <w:iCs/>
          <w:kern w:val="2"/>
          <w:sz w:val="20"/>
        </w:rPr>
        <w:t>Criminal Law Act 1977</w:t>
      </w:r>
      <w:r w:rsidRPr="006E1DA8">
        <w:rPr>
          <w:rFonts w:cs="Times New Roman"/>
          <w:kern w:val="2"/>
          <w:sz w:val="20"/>
        </w:rPr>
        <w:t>.</w:t>
      </w:r>
      <w:r w:rsidR="00D16438" w:rsidRPr="006E1DA8">
        <w:rPr>
          <w:rStyle w:val="FootnoteReference"/>
          <w:rFonts w:cs="Times New Roman"/>
          <w:kern w:val="2"/>
          <w:sz w:val="20"/>
        </w:rPr>
        <w:footnoteReference w:id="146"/>
      </w:r>
      <w:r w:rsidR="00D16438" w:rsidRPr="006E1DA8">
        <w:rPr>
          <w:rFonts w:cs="Times New Roman"/>
          <w:kern w:val="2"/>
          <w:sz w:val="20"/>
        </w:rPr>
        <w:t xml:space="preserve"> </w:t>
      </w:r>
      <w:r w:rsidRPr="006E1DA8">
        <w:rPr>
          <w:rFonts w:cs="Times New Roman"/>
          <w:kern w:val="2"/>
          <w:sz w:val="20"/>
        </w:rPr>
        <w:t xml:space="preserve"> Section 1(1) of the </w:t>
      </w:r>
      <w:r w:rsidRPr="006E1DA8">
        <w:rPr>
          <w:rFonts w:cs="Times New Roman"/>
          <w:i/>
          <w:kern w:val="2"/>
          <w:sz w:val="20"/>
        </w:rPr>
        <w:t>Act</w:t>
      </w:r>
      <w:r w:rsidRPr="006E1DA8">
        <w:rPr>
          <w:rFonts w:cs="Times New Roman"/>
          <w:kern w:val="2"/>
          <w:sz w:val="20"/>
        </w:rPr>
        <w:t xml:space="preserve"> provides that a person is liable for conspiring to commit an offence if that person agrees with at least one other person to pursue a course of conduct that, if carried out according to plan, would necessarily involve the commission of any offence. The key element is the agreement. Evidence of negotiations without proof of an agreement is insufficient.</w:t>
      </w:r>
      <w:r w:rsidRPr="006E1DA8">
        <w:rPr>
          <w:rStyle w:val="FootnoteReference"/>
          <w:rFonts w:cs="Times New Roman"/>
          <w:kern w:val="2"/>
          <w:sz w:val="20"/>
        </w:rPr>
        <w:footnoteReference w:id="147"/>
      </w:r>
      <w:r w:rsidRPr="006E1DA8">
        <w:rPr>
          <w:rFonts w:cs="Times New Roman"/>
          <w:kern w:val="2"/>
          <w:sz w:val="20"/>
        </w:rPr>
        <w:t xml:space="preserve"> To be convicted, the defendant must have intended to enter the agreement</w:t>
      </w:r>
      <w:r w:rsidR="00A55061" w:rsidRPr="006E1DA8">
        <w:rPr>
          <w:rFonts w:cs="Times New Roman"/>
          <w:kern w:val="2"/>
          <w:sz w:val="20"/>
        </w:rPr>
        <w:t xml:space="preserve">, </w:t>
      </w:r>
      <w:r w:rsidRPr="006E1DA8">
        <w:rPr>
          <w:rFonts w:cs="Times New Roman"/>
          <w:kern w:val="2"/>
          <w:sz w:val="20"/>
        </w:rPr>
        <w:t>intended that the purpose of the agreement be carried out, and had knowledge of the relevant circumstances.</w:t>
      </w:r>
      <w:r w:rsidRPr="006E1DA8">
        <w:rPr>
          <w:rStyle w:val="FootnoteReference"/>
          <w:rFonts w:cs="Times New Roman"/>
          <w:kern w:val="2"/>
          <w:sz w:val="20"/>
        </w:rPr>
        <w:footnoteReference w:id="148"/>
      </w:r>
      <w:r w:rsidRPr="006E1DA8">
        <w:rPr>
          <w:rFonts w:cs="Times New Roman"/>
          <w:kern w:val="2"/>
          <w:sz w:val="20"/>
        </w:rPr>
        <w:t xml:space="preserve"> Recklessness rather than actual knowledge of these circumstances is insufficient.</w:t>
      </w:r>
      <w:r w:rsidRPr="006E1DA8">
        <w:rPr>
          <w:rStyle w:val="FootnoteReference"/>
          <w:rFonts w:cs="Times New Roman"/>
          <w:kern w:val="2"/>
          <w:sz w:val="20"/>
        </w:rPr>
        <w:footnoteReference w:id="149"/>
      </w:r>
      <w:r w:rsidRPr="006E1DA8">
        <w:rPr>
          <w:rFonts w:cs="Times New Roman"/>
          <w:kern w:val="2"/>
          <w:sz w:val="20"/>
        </w:rPr>
        <w:t xml:space="preserve"> If a defendant withdraws from a conspiracy immediately after entering the agreement, this does not provide a defence, but may be used to mitigate the sentence.</w:t>
      </w:r>
      <w:r w:rsidRPr="006E1DA8">
        <w:rPr>
          <w:rStyle w:val="FootnoteReference"/>
          <w:rFonts w:cs="Times New Roman"/>
          <w:kern w:val="2"/>
          <w:sz w:val="20"/>
        </w:rPr>
        <w:footnoteReference w:id="150"/>
      </w:r>
      <w:r w:rsidRPr="006E1DA8">
        <w:rPr>
          <w:rFonts w:cs="Times New Roman"/>
          <w:kern w:val="2"/>
          <w:sz w:val="20"/>
        </w:rPr>
        <w:t xml:space="preserve"> A company may be a party to a conspiracy if an officer forming part of its directing mind enters the agreement on the company’s behalf.</w:t>
      </w:r>
      <w:r w:rsidRPr="006E1DA8">
        <w:rPr>
          <w:rStyle w:val="FootnoteReference"/>
          <w:rFonts w:cs="Times New Roman"/>
          <w:kern w:val="2"/>
          <w:sz w:val="20"/>
        </w:rPr>
        <w:footnoteReference w:id="151"/>
      </w:r>
      <w:r w:rsidRPr="006E1DA8">
        <w:rPr>
          <w:rFonts w:cs="Times New Roman"/>
          <w:kern w:val="2"/>
          <w:sz w:val="20"/>
        </w:rPr>
        <w:t xml:space="preserve"> </w:t>
      </w:r>
    </w:p>
    <w:p w14:paraId="17B6CC21" w14:textId="77777777" w:rsidR="00622318" w:rsidRPr="006E1DA8" w:rsidRDefault="00622318" w:rsidP="00622318">
      <w:pPr>
        <w:rPr>
          <w:rFonts w:cs="Times New Roman"/>
          <w:kern w:val="2"/>
          <w:sz w:val="20"/>
        </w:rPr>
      </w:pPr>
      <w:r w:rsidRPr="006E1DA8">
        <w:rPr>
          <w:rFonts w:cs="Times New Roman"/>
          <w:kern w:val="2"/>
          <w:sz w:val="20"/>
        </w:rPr>
        <w:t>The courts discourage the charging of both conspiracy and the substantive crime that the parties conspired to commit due to the length and complexity of resulting trials and the unfairness of convicting accused persons for two separate crimes for what constitutes one continuous transaction. However, charging both offences can provide the prosecution with evidentiary advantages.</w:t>
      </w:r>
      <w:r w:rsidRPr="006E1DA8">
        <w:rPr>
          <w:rStyle w:val="FootnoteReference"/>
          <w:rFonts w:cs="Times New Roman"/>
          <w:kern w:val="2"/>
          <w:sz w:val="20"/>
        </w:rPr>
        <w:footnoteReference w:id="152"/>
      </w:r>
      <w:r w:rsidRPr="006E1DA8">
        <w:rPr>
          <w:rFonts w:cs="Times New Roman"/>
          <w:kern w:val="2"/>
          <w:sz w:val="20"/>
        </w:rPr>
        <w:t xml:space="preserve">  </w:t>
      </w:r>
    </w:p>
    <w:p w14:paraId="5AC1D1A6" w14:textId="03F5416C" w:rsidR="00622318" w:rsidRPr="006E1DA8" w:rsidRDefault="00622318" w:rsidP="00622318">
      <w:pPr>
        <w:rPr>
          <w:rFonts w:cs="Times New Roman"/>
          <w:kern w:val="2"/>
          <w:sz w:val="20"/>
        </w:rPr>
      </w:pPr>
      <w:r w:rsidRPr="006E1DA8">
        <w:rPr>
          <w:rFonts w:cs="Times New Roman"/>
          <w:kern w:val="2"/>
          <w:sz w:val="20"/>
        </w:rPr>
        <w:t>English courts will have jurisdiction over a conspiracy offence if the agreement is made in England or Wales to commit an offence abroad or if an agreement was made abroad to commit an offence in England or Wales, regardless of an absence of acts done in furtherance of the agreement in England or Wales.</w:t>
      </w:r>
      <w:r w:rsidRPr="006E1DA8">
        <w:rPr>
          <w:rStyle w:val="FootnoteReference"/>
          <w:rFonts w:cs="Times New Roman"/>
          <w:kern w:val="2"/>
          <w:sz w:val="20"/>
        </w:rPr>
        <w:footnoteReference w:id="153"/>
      </w:r>
      <w:r w:rsidRPr="006E1DA8">
        <w:rPr>
          <w:rFonts w:cs="Times New Roman"/>
          <w:kern w:val="2"/>
          <w:sz w:val="20"/>
        </w:rPr>
        <w:t xml:space="preserve">  </w:t>
      </w:r>
    </w:p>
    <w:p w14:paraId="5894A7F7" w14:textId="77777777" w:rsidR="00622318" w:rsidRPr="006E1DA8" w:rsidRDefault="00622318" w:rsidP="0054499B">
      <w:pPr>
        <w:pStyle w:val="Heading3"/>
        <w:rPr>
          <w:i/>
          <w:kern w:val="2"/>
          <w:sz w:val="22"/>
        </w:rPr>
      </w:pPr>
      <w:r w:rsidRPr="006E1DA8">
        <w:rPr>
          <w:kern w:val="2"/>
          <w:sz w:val="22"/>
        </w:rPr>
        <w:t>Canadian Law</w:t>
      </w:r>
    </w:p>
    <w:p w14:paraId="576FD98D" w14:textId="30477D08" w:rsidR="00622318" w:rsidRPr="006E1DA8" w:rsidRDefault="007D496A" w:rsidP="00D16438">
      <w:pPr>
        <w:rPr>
          <w:kern w:val="2"/>
          <w:sz w:val="20"/>
        </w:rPr>
      </w:pPr>
      <w:r w:rsidRPr="006E1DA8">
        <w:rPr>
          <w:kern w:val="2"/>
          <w:sz w:val="20"/>
        </w:rPr>
        <w:t xml:space="preserve">In </w:t>
      </w:r>
      <w:r w:rsidRPr="006E1DA8">
        <w:rPr>
          <w:i/>
          <w:kern w:val="2"/>
          <w:sz w:val="20"/>
        </w:rPr>
        <w:t xml:space="preserve">R v </w:t>
      </w:r>
      <w:proofErr w:type="spellStart"/>
      <w:r w:rsidRPr="006E1DA8">
        <w:rPr>
          <w:i/>
          <w:kern w:val="2"/>
          <w:sz w:val="20"/>
        </w:rPr>
        <w:t>Karigar</w:t>
      </w:r>
      <w:proofErr w:type="spellEnd"/>
      <w:r w:rsidRPr="006E1DA8">
        <w:rPr>
          <w:kern w:val="2"/>
          <w:sz w:val="20"/>
        </w:rPr>
        <w:t xml:space="preserve">, the court noted that section 3 of the </w:t>
      </w:r>
      <w:r w:rsidRPr="006E1DA8">
        <w:rPr>
          <w:i/>
          <w:kern w:val="2"/>
          <w:sz w:val="20"/>
        </w:rPr>
        <w:t xml:space="preserve">CPFOA </w:t>
      </w:r>
      <w:r w:rsidRPr="006E1DA8">
        <w:rPr>
          <w:kern w:val="2"/>
          <w:sz w:val="20"/>
        </w:rPr>
        <w:t xml:space="preserve">incorporates the idea of conspiracy. As stated by the court, </w:t>
      </w:r>
      <w:r w:rsidR="00321984" w:rsidRPr="006E1DA8">
        <w:rPr>
          <w:kern w:val="2"/>
          <w:sz w:val="20"/>
        </w:rPr>
        <w:t>“</w:t>
      </w:r>
      <w:r w:rsidRPr="006E1DA8">
        <w:rPr>
          <w:kern w:val="2"/>
          <w:sz w:val="20"/>
        </w:rPr>
        <w:t xml:space="preserve">a conspiracy or agreement to bribe foreign public officials is a violation of the </w:t>
      </w:r>
      <w:r w:rsidRPr="006E1DA8">
        <w:rPr>
          <w:i/>
          <w:kern w:val="2"/>
          <w:sz w:val="20"/>
        </w:rPr>
        <w:t>Act</w:t>
      </w:r>
      <w:r w:rsidR="00322D82" w:rsidRPr="006E1DA8">
        <w:rPr>
          <w:kern w:val="2"/>
          <w:sz w:val="20"/>
        </w:rPr>
        <w:t>.</w:t>
      </w:r>
      <w:r w:rsidR="00D16438" w:rsidRPr="006E1DA8">
        <w:rPr>
          <w:kern w:val="2"/>
          <w:sz w:val="20"/>
        </w:rPr>
        <w:t xml:space="preserve"> </w:t>
      </w:r>
      <w:r w:rsidR="00322D82" w:rsidRPr="006E1DA8">
        <w:rPr>
          <w:kern w:val="2"/>
          <w:sz w:val="20"/>
        </w:rPr>
        <w:t>…</w:t>
      </w:r>
      <w:r w:rsidR="00D16438" w:rsidRPr="006E1DA8">
        <w:rPr>
          <w:kern w:val="2"/>
          <w:sz w:val="20"/>
        </w:rPr>
        <w:t xml:space="preserve"> </w:t>
      </w:r>
      <w:proofErr w:type="gramStart"/>
      <w:r w:rsidRPr="006E1DA8">
        <w:rPr>
          <w:kern w:val="2"/>
          <w:sz w:val="20"/>
        </w:rPr>
        <w:t>the</w:t>
      </w:r>
      <w:proofErr w:type="gramEnd"/>
      <w:r w:rsidRPr="006E1DA8">
        <w:rPr>
          <w:kern w:val="2"/>
          <w:sz w:val="20"/>
        </w:rPr>
        <w:t xml:space="preserve"> use of the term ‘agrees’ imports the concept of conspiracy</w:t>
      </w:r>
      <w:r w:rsidR="00223DF3" w:rsidRPr="006E1DA8">
        <w:rPr>
          <w:kern w:val="2"/>
          <w:sz w:val="20"/>
        </w:rPr>
        <w:t>.</w:t>
      </w:r>
      <w:r w:rsidR="00321984" w:rsidRPr="006E1DA8">
        <w:rPr>
          <w:kern w:val="2"/>
          <w:sz w:val="20"/>
        </w:rPr>
        <w:t>”</w:t>
      </w:r>
      <w:r w:rsidRPr="006E1DA8">
        <w:rPr>
          <w:rStyle w:val="FootnoteReference"/>
          <w:rFonts w:cs="Times New Roman"/>
          <w:kern w:val="2"/>
          <w:sz w:val="20"/>
        </w:rPr>
        <w:footnoteReference w:id="154"/>
      </w:r>
      <w:r w:rsidRPr="006E1DA8">
        <w:rPr>
          <w:kern w:val="2"/>
          <w:sz w:val="20"/>
        </w:rPr>
        <w:t xml:space="preserve"> The court further elaborated that the agreement need not be between the giver and receiver of the bribe. Even if the word </w:t>
      </w:r>
      <w:r w:rsidR="00321984" w:rsidRPr="006E1DA8">
        <w:rPr>
          <w:kern w:val="2"/>
          <w:sz w:val="20"/>
        </w:rPr>
        <w:t>“</w:t>
      </w:r>
      <w:r w:rsidRPr="006E1DA8">
        <w:rPr>
          <w:kern w:val="2"/>
          <w:sz w:val="20"/>
        </w:rPr>
        <w:t>agrees</w:t>
      </w:r>
      <w:r w:rsidR="00321984" w:rsidRPr="006E1DA8">
        <w:rPr>
          <w:kern w:val="2"/>
          <w:sz w:val="20"/>
        </w:rPr>
        <w:t>”</w:t>
      </w:r>
      <w:r w:rsidRPr="006E1DA8">
        <w:rPr>
          <w:kern w:val="2"/>
          <w:sz w:val="20"/>
        </w:rPr>
        <w:t xml:space="preserve"> in section 3 of the </w:t>
      </w:r>
      <w:r w:rsidRPr="006E1DA8">
        <w:rPr>
          <w:i/>
          <w:kern w:val="2"/>
          <w:sz w:val="20"/>
        </w:rPr>
        <w:t xml:space="preserve">CFPOA </w:t>
      </w:r>
      <w:r w:rsidRPr="006E1DA8">
        <w:rPr>
          <w:kern w:val="2"/>
          <w:sz w:val="20"/>
        </w:rPr>
        <w:t>does not import the concept of conspiracy</w:t>
      </w:r>
      <w:r w:rsidR="002857D5" w:rsidRPr="006E1DA8">
        <w:rPr>
          <w:kern w:val="2"/>
          <w:sz w:val="20"/>
        </w:rPr>
        <w:t xml:space="preserve">, </w:t>
      </w:r>
      <w:r w:rsidR="00502502" w:rsidRPr="006E1DA8">
        <w:rPr>
          <w:kern w:val="2"/>
          <w:sz w:val="20"/>
        </w:rPr>
        <w:t>the</w:t>
      </w:r>
      <w:r w:rsidR="00622318" w:rsidRPr="006E1DA8">
        <w:rPr>
          <w:kern w:val="2"/>
          <w:sz w:val="20"/>
        </w:rPr>
        <w:t xml:space="preserve"> </w:t>
      </w:r>
      <w:r w:rsidR="00622318" w:rsidRPr="006E1DA8">
        <w:rPr>
          <w:i/>
          <w:kern w:val="2"/>
          <w:sz w:val="20"/>
        </w:rPr>
        <w:t>Criminal Code</w:t>
      </w:r>
      <w:r w:rsidR="00622318" w:rsidRPr="006E1DA8">
        <w:rPr>
          <w:kern w:val="2"/>
          <w:sz w:val="20"/>
        </w:rPr>
        <w:t xml:space="preserve"> provisions on conspiracy also apply to the bribery offences in the </w:t>
      </w:r>
      <w:r w:rsidR="00622318" w:rsidRPr="006E1DA8">
        <w:rPr>
          <w:i/>
          <w:kern w:val="2"/>
          <w:sz w:val="20"/>
        </w:rPr>
        <w:t>CFPOA</w:t>
      </w:r>
      <w:r w:rsidR="00622318" w:rsidRPr="006E1DA8">
        <w:rPr>
          <w:kern w:val="2"/>
          <w:sz w:val="20"/>
        </w:rPr>
        <w:t>.</w:t>
      </w:r>
      <w:r w:rsidR="00622318" w:rsidRPr="006E1DA8">
        <w:rPr>
          <w:rStyle w:val="FootnoteReference"/>
          <w:rFonts w:cs="Times New Roman"/>
          <w:kern w:val="2"/>
          <w:sz w:val="20"/>
        </w:rPr>
        <w:footnoteReference w:id="155"/>
      </w:r>
      <w:r w:rsidR="00622318" w:rsidRPr="006E1DA8">
        <w:rPr>
          <w:kern w:val="2"/>
          <w:sz w:val="20"/>
        </w:rPr>
        <w:t xml:space="preserve">  Conspiracy to commit an indictable offence is set out under section 465(1</w:t>
      </w:r>
      <w:proofErr w:type="gramStart"/>
      <w:r w:rsidR="00622318" w:rsidRPr="006E1DA8">
        <w:rPr>
          <w:kern w:val="2"/>
          <w:sz w:val="20"/>
        </w:rPr>
        <w:t>)(</w:t>
      </w:r>
      <w:proofErr w:type="gramEnd"/>
      <w:r w:rsidR="00622318" w:rsidRPr="006E1DA8">
        <w:rPr>
          <w:kern w:val="2"/>
          <w:sz w:val="20"/>
        </w:rPr>
        <w:t xml:space="preserve">c) of the </w:t>
      </w:r>
      <w:r w:rsidR="00622318" w:rsidRPr="006E1DA8">
        <w:rPr>
          <w:i/>
          <w:iCs/>
          <w:kern w:val="2"/>
          <w:sz w:val="20"/>
        </w:rPr>
        <w:t xml:space="preserve">Criminal Code </w:t>
      </w:r>
      <w:r w:rsidR="00622318" w:rsidRPr="006E1DA8">
        <w:rPr>
          <w:iCs/>
          <w:kern w:val="2"/>
          <w:sz w:val="20"/>
        </w:rPr>
        <w:t>as follows</w:t>
      </w:r>
      <w:r w:rsidR="00622318" w:rsidRPr="006E1DA8">
        <w:rPr>
          <w:kern w:val="2"/>
          <w:sz w:val="20"/>
        </w:rPr>
        <w:t>:</w:t>
      </w:r>
    </w:p>
    <w:p w14:paraId="78F9E7F6" w14:textId="5B85AD88" w:rsidR="00622318" w:rsidRPr="006E1DA8" w:rsidRDefault="00622318" w:rsidP="0054499B">
      <w:pPr>
        <w:pStyle w:val="BlockQuote"/>
        <w:rPr>
          <w:kern w:val="2"/>
          <w:sz w:val="20"/>
        </w:rPr>
      </w:pPr>
      <w:proofErr w:type="gramStart"/>
      <w:r w:rsidRPr="006E1DA8">
        <w:rPr>
          <w:kern w:val="2"/>
          <w:sz w:val="20"/>
        </w:rPr>
        <w:t>every</w:t>
      </w:r>
      <w:proofErr w:type="gramEnd"/>
      <w:r w:rsidRPr="006E1DA8">
        <w:rPr>
          <w:kern w:val="2"/>
          <w:sz w:val="20"/>
        </w:rPr>
        <w:t xml:space="preserve"> one who conspires with any one to commit an indictable offence</w:t>
      </w:r>
      <w:r w:rsidR="00673FA7" w:rsidRPr="006E1DA8">
        <w:rPr>
          <w:kern w:val="2"/>
          <w:sz w:val="20"/>
        </w:rPr>
        <w:t xml:space="preserve"> ..</w:t>
      </w:r>
      <w:r w:rsidR="001C6966" w:rsidRPr="006E1DA8">
        <w:rPr>
          <w:kern w:val="2"/>
          <w:sz w:val="20"/>
        </w:rPr>
        <w:t xml:space="preserve">. </w:t>
      </w:r>
      <w:r w:rsidRPr="006E1DA8">
        <w:rPr>
          <w:kern w:val="2"/>
          <w:sz w:val="20"/>
        </w:rPr>
        <w:t>is guilty of an indictable offence and liable to the same punishment as that to which an accused who is guilty of that offence would, on conviction, be liable</w:t>
      </w:r>
      <w:r w:rsidR="00FA417D" w:rsidRPr="006E1DA8">
        <w:rPr>
          <w:kern w:val="2"/>
          <w:sz w:val="20"/>
        </w:rPr>
        <w:t>.</w:t>
      </w:r>
    </w:p>
    <w:p w14:paraId="00223986" w14:textId="77777777" w:rsidR="00DB5D28" w:rsidRPr="006E1DA8" w:rsidRDefault="00622318" w:rsidP="00D16438">
      <w:pPr>
        <w:rPr>
          <w:kern w:val="2"/>
          <w:sz w:val="20"/>
        </w:rPr>
      </w:pPr>
      <w:r w:rsidRPr="006E1DA8">
        <w:rPr>
          <w:kern w:val="2"/>
          <w:sz w:val="20"/>
        </w:rPr>
        <w:t xml:space="preserve">The essence of the offence consists of an agreement between two or more persons to commit an indictable offence. There must be a common agreement between the parties to work together to commit the offence(s). Unlike the US conspiracy offence, there is no requirement that one of the co-conspirators take any action in furtherance of the conspiracy. The offence is complete the moment the agreement is reached. Like in the US, hearsay evidence spoken by a co-conspirator is admissible against the other conspirators, although there must be independent evidence of a conspiracy before this information may be used in court. Because of this permissive evidence rule, the conspiracy charge is sometimes referred to as </w:t>
      </w:r>
      <w:r w:rsidR="00321984" w:rsidRPr="006E1DA8">
        <w:rPr>
          <w:kern w:val="2"/>
          <w:sz w:val="20"/>
        </w:rPr>
        <w:t>“</w:t>
      </w:r>
      <w:r w:rsidRPr="006E1DA8">
        <w:rPr>
          <w:kern w:val="2"/>
          <w:sz w:val="20"/>
        </w:rPr>
        <w:t>the prosecutor’s darling</w:t>
      </w:r>
      <w:r w:rsidR="005F0632" w:rsidRPr="006E1DA8">
        <w:rPr>
          <w:kern w:val="2"/>
          <w:sz w:val="20"/>
        </w:rPr>
        <w:t>.</w:t>
      </w:r>
      <w:r w:rsidR="00321984" w:rsidRPr="006E1DA8">
        <w:rPr>
          <w:kern w:val="2"/>
          <w:sz w:val="20"/>
        </w:rPr>
        <w:t>”</w:t>
      </w:r>
      <w:r w:rsidRPr="006E1DA8">
        <w:rPr>
          <w:rStyle w:val="FootnoteReference"/>
          <w:rFonts w:cs="Times New Roman"/>
          <w:kern w:val="2"/>
          <w:sz w:val="20"/>
        </w:rPr>
        <w:footnoteReference w:id="156"/>
      </w:r>
      <w:r w:rsidRPr="006E1DA8">
        <w:rPr>
          <w:kern w:val="2"/>
          <w:sz w:val="20"/>
        </w:rPr>
        <w:t xml:space="preserve"> The criminalization of conspiracy is generally justified by the principle that two people with a plan to commit an offence are more dangerous than one person plotting alone. This justification has been questioned</w:t>
      </w:r>
      <w:r w:rsidR="001C6966" w:rsidRPr="006E1DA8">
        <w:rPr>
          <w:kern w:val="2"/>
          <w:sz w:val="20"/>
        </w:rPr>
        <w:t>,</w:t>
      </w:r>
      <w:r w:rsidRPr="006E1DA8">
        <w:rPr>
          <w:kern w:val="2"/>
          <w:sz w:val="20"/>
        </w:rPr>
        <w:t xml:space="preserve"> and numerous commentators and organizations have called on the Canadian government to narrow the offence of conspiracy.</w:t>
      </w:r>
      <w:r w:rsidRPr="006E1DA8">
        <w:rPr>
          <w:rStyle w:val="FootnoteReference"/>
          <w:rFonts w:cs="Times New Roman"/>
          <w:kern w:val="2"/>
          <w:sz w:val="20"/>
        </w:rPr>
        <w:footnoteReference w:id="157"/>
      </w:r>
      <w:r w:rsidR="00DB5D28" w:rsidRPr="006E1DA8">
        <w:rPr>
          <w:kern w:val="2"/>
          <w:sz w:val="20"/>
        </w:rPr>
        <w:t xml:space="preserve"> </w:t>
      </w:r>
    </w:p>
    <w:p w14:paraId="36E59C77" w14:textId="3C05699A" w:rsidR="00622318" w:rsidRPr="006E1DA8" w:rsidRDefault="00622318" w:rsidP="00D16438">
      <w:pPr>
        <w:rPr>
          <w:kern w:val="2"/>
          <w:sz w:val="20"/>
        </w:rPr>
      </w:pPr>
      <w:r w:rsidRPr="006E1DA8">
        <w:rPr>
          <w:kern w:val="2"/>
          <w:sz w:val="20"/>
        </w:rPr>
        <w:t>Canadian courts have territorial jurisdiction over defendants who conspire in Canada to commit an act abroad that constitutes an offence both in Canada and the foreign country. Further, Canada will have jurisdiction if the defendant conspires elsewhere to commit any act in Canada that is an offence in Canada.</w:t>
      </w:r>
      <w:r w:rsidRPr="006E1DA8">
        <w:rPr>
          <w:rStyle w:val="FootnoteReference"/>
          <w:rFonts w:cs="Times New Roman"/>
          <w:kern w:val="2"/>
          <w:sz w:val="20"/>
        </w:rPr>
        <w:footnoteReference w:id="158"/>
      </w:r>
    </w:p>
    <w:p w14:paraId="0707032E" w14:textId="7A28B7B6" w:rsidR="00622318" w:rsidRPr="006E1DA8" w:rsidRDefault="00622318" w:rsidP="0054499B">
      <w:pPr>
        <w:pStyle w:val="Heading2"/>
        <w:rPr>
          <w:kern w:val="2"/>
          <w:sz w:val="24"/>
        </w:rPr>
      </w:pPr>
      <w:r w:rsidRPr="006E1DA8">
        <w:rPr>
          <w:kern w:val="2"/>
          <w:sz w:val="24"/>
        </w:rPr>
        <w:t>Incitement (or Solicitation)</w:t>
      </w:r>
    </w:p>
    <w:p w14:paraId="4691EC18" w14:textId="794930F2" w:rsidR="00622318" w:rsidRPr="006E1DA8" w:rsidRDefault="00622318" w:rsidP="00622318">
      <w:pPr>
        <w:rPr>
          <w:rFonts w:cs="Times New Roman"/>
          <w:bCs/>
          <w:color w:val="FF0000"/>
          <w:kern w:val="2"/>
          <w:sz w:val="20"/>
        </w:rPr>
      </w:pPr>
      <w:r w:rsidRPr="006E1DA8">
        <w:rPr>
          <w:rFonts w:cs="Times New Roman"/>
          <w:kern w:val="2"/>
          <w:sz w:val="20"/>
        </w:rPr>
        <w:t xml:space="preserve">Inciting or counselling an offence </w:t>
      </w:r>
      <w:r w:rsidR="001C6966" w:rsidRPr="006E1DA8">
        <w:rPr>
          <w:rFonts w:cs="Times New Roman"/>
          <w:kern w:val="2"/>
          <w:sz w:val="20"/>
        </w:rPr>
        <w:t>that</w:t>
      </w:r>
      <w:r w:rsidRPr="006E1DA8">
        <w:rPr>
          <w:rFonts w:cs="Times New Roman"/>
          <w:kern w:val="2"/>
          <w:sz w:val="20"/>
        </w:rPr>
        <w:t xml:space="preserve"> is later committed by the person who was counselled makes the </w:t>
      </w:r>
      <w:proofErr w:type="spellStart"/>
      <w:r w:rsidRPr="006E1DA8">
        <w:rPr>
          <w:rFonts w:cs="Times New Roman"/>
          <w:kern w:val="2"/>
          <w:sz w:val="20"/>
        </w:rPr>
        <w:t>incitor</w:t>
      </w:r>
      <w:proofErr w:type="spellEnd"/>
      <w:r w:rsidRPr="006E1DA8">
        <w:rPr>
          <w:rFonts w:cs="Times New Roman"/>
          <w:kern w:val="2"/>
          <w:sz w:val="20"/>
        </w:rPr>
        <w:t xml:space="preserve"> or counsellor a party to, and therefore guilty of, the offence committed. But suppose a person incites or counsels another person to commit an offence, but that other person does not commit it. The </w:t>
      </w:r>
      <w:proofErr w:type="spellStart"/>
      <w:r w:rsidRPr="006E1DA8">
        <w:rPr>
          <w:rFonts w:cs="Times New Roman"/>
          <w:kern w:val="2"/>
          <w:sz w:val="20"/>
        </w:rPr>
        <w:t>incitor</w:t>
      </w:r>
      <w:proofErr w:type="spellEnd"/>
      <w:r w:rsidRPr="006E1DA8">
        <w:rPr>
          <w:rFonts w:cs="Times New Roman"/>
          <w:kern w:val="2"/>
          <w:sz w:val="20"/>
        </w:rPr>
        <w:t xml:space="preserve"> or counsellor cannot be a party to the offence counselled because that offence was never committed and his or her acts of counselling or inciting are too preliminary to convict the person of an attempt to commit the offence. Some countries have created a separate inchoate offence for counselling an offence that is not committed, which is called incitement in the UK and Canada and solicitation in the US. </w:t>
      </w:r>
    </w:p>
    <w:p w14:paraId="671B3826" w14:textId="77777777" w:rsidR="00622318" w:rsidRPr="006E1DA8" w:rsidRDefault="00622318" w:rsidP="0054499B">
      <w:pPr>
        <w:pStyle w:val="Heading3"/>
        <w:rPr>
          <w:i/>
          <w:kern w:val="2"/>
          <w:sz w:val="22"/>
        </w:rPr>
      </w:pPr>
      <w:r w:rsidRPr="006E1DA8">
        <w:rPr>
          <w:kern w:val="2"/>
          <w:sz w:val="22"/>
        </w:rPr>
        <w:t>UNCAC and the OECD Convention</w:t>
      </w:r>
    </w:p>
    <w:p w14:paraId="0671A029" w14:textId="63806E97" w:rsidR="00622318" w:rsidRPr="006E1DA8" w:rsidRDefault="00622318" w:rsidP="00622318">
      <w:pPr>
        <w:rPr>
          <w:rFonts w:cs="Times New Roman"/>
          <w:kern w:val="2"/>
          <w:sz w:val="20"/>
        </w:rPr>
      </w:pPr>
      <w:r w:rsidRPr="006E1DA8">
        <w:rPr>
          <w:rFonts w:cs="Times New Roman"/>
          <w:kern w:val="2"/>
          <w:sz w:val="20"/>
        </w:rPr>
        <w:t xml:space="preserve">The inchoate offence of incitement is not specifically mentioned in either UNCAC or the OECD Convention. But there is no pressing need for this type of separate inchoate offence, since the definition of bribery under both conventions includes conduct such as </w:t>
      </w:r>
      <w:r w:rsidR="00321984" w:rsidRPr="006E1DA8">
        <w:rPr>
          <w:rFonts w:cs="Times New Roman"/>
          <w:kern w:val="2"/>
          <w:sz w:val="20"/>
        </w:rPr>
        <w:t>“</w:t>
      </w:r>
      <w:r w:rsidRPr="006E1DA8">
        <w:rPr>
          <w:rFonts w:cs="Times New Roman"/>
          <w:kern w:val="2"/>
          <w:sz w:val="20"/>
        </w:rPr>
        <w:t>requesting a bribe</w:t>
      </w:r>
      <w:r w:rsidR="002D0E6D"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regardless of whether the bribe is paid, or </w:t>
      </w:r>
      <w:r w:rsidR="00321984" w:rsidRPr="006E1DA8">
        <w:rPr>
          <w:rFonts w:cs="Times New Roman"/>
          <w:kern w:val="2"/>
          <w:sz w:val="20"/>
        </w:rPr>
        <w:t>“</w:t>
      </w:r>
      <w:r w:rsidRPr="006E1DA8">
        <w:rPr>
          <w:rFonts w:cs="Times New Roman"/>
          <w:kern w:val="2"/>
          <w:sz w:val="20"/>
        </w:rPr>
        <w:t>offering a bribe</w:t>
      </w:r>
      <w:r w:rsidR="002D0E6D" w:rsidRPr="006E1DA8">
        <w:rPr>
          <w:rFonts w:cs="Times New Roman"/>
          <w:kern w:val="2"/>
          <w:sz w:val="20"/>
        </w:rPr>
        <w:t>,</w:t>
      </w:r>
      <w:r w:rsidR="00321984" w:rsidRPr="006E1DA8">
        <w:rPr>
          <w:rFonts w:cs="Times New Roman"/>
          <w:kern w:val="2"/>
          <w:sz w:val="20"/>
        </w:rPr>
        <w:t>”</w:t>
      </w:r>
      <w:r w:rsidRPr="006E1DA8">
        <w:rPr>
          <w:rFonts w:cs="Times New Roman"/>
          <w:kern w:val="2"/>
          <w:sz w:val="20"/>
        </w:rPr>
        <w:t xml:space="preserve"> regardless of whether the bribe is accepted or not.</w:t>
      </w:r>
    </w:p>
    <w:p w14:paraId="5019F659" w14:textId="77777777" w:rsidR="00622318" w:rsidRPr="006E1DA8" w:rsidRDefault="00622318" w:rsidP="0054499B">
      <w:pPr>
        <w:pStyle w:val="Heading3"/>
        <w:rPr>
          <w:i/>
          <w:kern w:val="2"/>
          <w:sz w:val="22"/>
        </w:rPr>
      </w:pPr>
      <w:r w:rsidRPr="006E1DA8">
        <w:rPr>
          <w:kern w:val="2"/>
          <w:sz w:val="22"/>
        </w:rPr>
        <w:t>US Law</w:t>
      </w:r>
    </w:p>
    <w:p w14:paraId="6F0A876A" w14:textId="4698AD3E" w:rsidR="00622318" w:rsidRPr="006E1DA8" w:rsidRDefault="00622318" w:rsidP="00622318">
      <w:pPr>
        <w:rPr>
          <w:kern w:val="2"/>
          <w:sz w:val="20"/>
        </w:rPr>
      </w:pPr>
      <w:r w:rsidRPr="006E1DA8">
        <w:rPr>
          <w:rFonts w:cs="Times New Roman"/>
          <w:kern w:val="2"/>
          <w:sz w:val="20"/>
        </w:rPr>
        <w:t>The inchoate offen</w:t>
      </w:r>
      <w:r w:rsidR="00B73A4E" w:rsidRPr="006E1DA8">
        <w:rPr>
          <w:rFonts w:cs="Times New Roman"/>
          <w:kern w:val="2"/>
          <w:sz w:val="20"/>
        </w:rPr>
        <w:t>c</w:t>
      </w:r>
      <w:r w:rsidRPr="006E1DA8">
        <w:rPr>
          <w:rFonts w:cs="Times New Roman"/>
          <w:kern w:val="2"/>
          <w:sz w:val="20"/>
        </w:rPr>
        <w:t>e of incitement (which includes counselling, encouraging, instigating or soliciting) is referred to as the offen</w:t>
      </w:r>
      <w:r w:rsidR="00B73A4E" w:rsidRPr="006E1DA8">
        <w:rPr>
          <w:rFonts w:cs="Times New Roman"/>
          <w:kern w:val="2"/>
          <w:sz w:val="20"/>
        </w:rPr>
        <w:t>c</w:t>
      </w:r>
      <w:r w:rsidRPr="006E1DA8">
        <w:rPr>
          <w:rFonts w:cs="Times New Roman"/>
          <w:kern w:val="2"/>
          <w:sz w:val="20"/>
        </w:rPr>
        <w:t>e of solicitation in the US. The elements of this inchoate offen</w:t>
      </w:r>
      <w:r w:rsidR="00B73A4E" w:rsidRPr="006E1DA8">
        <w:rPr>
          <w:rFonts w:cs="Times New Roman"/>
          <w:kern w:val="2"/>
          <w:sz w:val="20"/>
        </w:rPr>
        <w:t>c</w:t>
      </w:r>
      <w:r w:rsidRPr="006E1DA8">
        <w:rPr>
          <w:rFonts w:cs="Times New Roman"/>
          <w:kern w:val="2"/>
          <w:sz w:val="20"/>
        </w:rPr>
        <w:t>e can be found in a standard American textbook on criminal law.</w:t>
      </w:r>
      <w:r w:rsidRPr="006E1DA8">
        <w:rPr>
          <w:rStyle w:val="FootnoteReference"/>
          <w:rFonts w:cs="Times New Roman"/>
          <w:kern w:val="2"/>
          <w:sz w:val="20"/>
        </w:rPr>
        <w:footnoteReference w:id="159"/>
      </w:r>
      <w:r w:rsidRPr="006E1DA8">
        <w:rPr>
          <w:rFonts w:cs="Times New Roman"/>
          <w:kern w:val="2"/>
          <w:sz w:val="20"/>
        </w:rPr>
        <w:t xml:space="preserve"> However, because of the expanded definition of the offen</w:t>
      </w:r>
      <w:r w:rsidR="001C6966" w:rsidRPr="006E1DA8">
        <w:rPr>
          <w:rFonts w:cs="Times New Roman"/>
          <w:kern w:val="2"/>
          <w:sz w:val="20"/>
        </w:rPr>
        <w:t>s</w:t>
      </w:r>
      <w:r w:rsidRPr="006E1DA8">
        <w:rPr>
          <w:rFonts w:cs="Times New Roman"/>
          <w:kern w:val="2"/>
          <w:sz w:val="20"/>
        </w:rPr>
        <w:t xml:space="preserve">e of bribery in </w:t>
      </w:r>
      <w:r w:rsidR="001C6966" w:rsidRPr="006E1DA8">
        <w:rPr>
          <w:rFonts w:cs="Times New Roman"/>
          <w:kern w:val="2"/>
          <w:sz w:val="20"/>
        </w:rPr>
        <w:t>section</w:t>
      </w:r>
      <w:r w:rsidRPr="006E1DA8">
        <w:rPr>
          <w:rFonts w:cs="Times New Roman"/>
          <w:kern w:val="2"/>
          <w:sz w:val="20"/>
        </w:rPr>
        <w:t xml:space="preserve"> 78 dd-1, there is little or no need to use the offen</w:t>
      </w:r>
      <w:r w:rsidR="00B73A4E" w:rsidRPr="006E1DA8">
        <w:rPr>
          <w:rFonts w:cs="Times New Roman"/>
          <w:kern w:val="2"/>
          <w:sz w:val="20"/>
        </w:rPr>
        <w:t>c</w:t>
      </w:r>
      <w:r w:rsidRPr="006E1DA8">
        <w:rPr>
          <w:rFonts w:cs="Times New Roman"/>
          <w:kern w:val="2"/>
          <w:sz w:val="20"/>
        </w:rPr>
        <w:t>e of solicitation in respect to bribery offen</w:t>
      </w:r>
      <w:r w:rsidR="00D6477D" w:rsidRPr="006E1DA8">
        <w:rPr>
          <w:rFonts w:cs="Times New Roman"/>
          <w:kern w:val="2"/>
          <w:sz w:val="20"/>
        </w:rPr>
        <w:t>s</w:t>
      </w:r>
      <w:r w:rsidRPr="006E1DA8">
        <w:rPr>
          <w:rFonts w:cs="Times New Roman"/>
          <w:kern w:val="2"/>
          <w:sz w:val="20"/>
        </w:rPr>
        <w:t>es.</w:t>
      </w:r>
    </w:p>
    <w:p w14:paraId="01F9D7FC" w14:textId="77777777" w:rsidR="00622318" w:rsidRPr="006E1DA8" w:rsidRDefault="00622318" w:rsidP="0054499B">
      <w:pPr>
        <w:pStyle w:val="Heading3"/>
        <w:rPr>
          <w:kern w:val="2"/>
          <w:sz w:val="22"/>
        </w:rPr>
      </w:pPr>
      <w:r w:rsidRPr="006E1DA8">
        <w:rPr>
          <w:kern w:val="2"/>
          <w:sz w:val="22"/>
        </w:rPr>
        <w:t>UK Law</w:t>
      </w:r>
    </w:p>
    <w:p w14:paraId="68DF965E" w14:textId="5B11998D" w:rsidR="00622318" w:rsidRPr="006E1DA8" w:rsidRDefault="00622318" w:rsidP="00622318">
      <w:pPr>
        <w:rPr>
          <w:rFonts w:cs="Times New Roman"/>
          <w:kern w:val="2"/>
          <w:sz w:val="20"/>
        </w:rPr>
      </w:pPr>
      <w:r w:rsidRPr="006E1DA8">
        <w:rPr>
          <w:rFonts w:cs="Times New Roman"/>
          <w:kern w:val="2"/>
          <w:sz w:val="20"/>
        </w:rPr>
        <w:t>In the UK, the common law offence of incitement was recognized by at least 1769.</w:t>
      </w:r>
      <w:r w:rsidRPr="006E1DA8">
        <w:rPr>
          <w:rStyle w:val="FootnoteReference"/>
          <w:rFonts w:cs="Times New Roman"/>
          <w:kern w:val="2"/>
          <w:sz w:val="20"/>
        </w:rPr>
        <w:footnoteReference w:id="160"/>
      </w:r>
      <w:r w:rsidRPr="006E1DA8">
        <w:rPr>
          <w:rFonts w:cs="Times New Roman"/>
          <w:kern w:val="2"/>
          <w:sz w:val="20"/>
        </w:rPr>
        <w:t xml:space="preserve"> It has now been replaced by section 44 of the </w:t>
      </w:r>
      <w:r w:rsidRPr="006E1DA8">
        <w:rPr>
          <w:rFonts w:cs="Times New Roman"/>
          <w:i/>
          <w:iCs/>
          <w:kern w:val="2"/>
          <w:sz w:val="20"/>
        </w:rPr>
        <w:t>Serious Crimes Act 2007</w:t>
      </w:r>
      <w:r w:rsidRPr="006E1DA8">
        <w:rPr>
          <w:rFonts w:cs="Times New Roman"/>
          <w:kern w:val="2"/>
          <w:sz w:val="20"/>
        </w:rPr>
        <w:t>. Under this section, those that intentionally commit acts that are capable of encouraging or assisting in the commission of an offence are themselves committing an offence, regardless of whether the substantive offence is carried out and regardless of whether their acts actually encourage or assist the principal offender. In order for the offence to be made out, the person doing the encouraging or assisting (D1) must intend to assist or encourage the substantive offence, or must believe that the substantive offence will be committed and that their acts will encourage or assist its commission. Section 65 clarifies that acts reducing the risk of criminal proceedings for the principal offender are considered to be capable of assisting or encouraging the commission of an offence.</w:t>
      </w:r>
      <w:r w:rsidRPr="006E1DA8">
        <w:rPr>
          <w:rStyle w:val="FootnoteReference"/>
          <w:rFonts w:cs="Times New Roman"/>
          <w:kern w:val="2"/>
          <w:sz w:val="20"/>
        </w:rPr>
        <w:footnoteReference w:id="161"/>
      </w:r>
    </w:p>
    <w:p w14:paraId="64987A5A" w14:textId="28E2B6E2" w:rsidR="00622318" w:rsidRPr="006E1DA8" w:rsidRDefault="00622318" w:rsidP="00622318">
      <w:pPr>
        <w:rPr>
          <w:rFonts w:cs="Times New Roman"/>
          <w:kern w:val="2"/>
          <w:sz w:val="20"/>
        </w:rPr>
      </w:pPr>
      <w:r w:rsidRPr="006E1DA8">
        <w:rPr>
          <w:rFonts w:cs="Times New Roman"/>
          <w:kern w:val="2"/>
          <w:sz w:val="20"/>
        </w:rPr>
        <w:t>English courts have jurisdiction if the defendant knew or believed that the substantive offence would be committed in England or Wales, regardless of where the acts of encouragement or assistance took place. English courts also have jurisdiction if the encouragement or assistance took place in England or Wales, but the defendant knew or believed the substantive offence would take place abroad so long as the defendant knew the offence was illegal both in the UK and in the country of the substantive offence.</w:t>
      </w:r>
      <w:r w:rsidRPr="006E1DA8">
        <w:rPr>
          <w:rStyle w:val="FootnoteReference"/>
          <w:rFonts w:cs="Times New Roman"/>
          <w:kern w:val="2"/>
          <w:sz w:val="20"/>
        </w:rPr>
        <w:footnoteReference w:id="162"/>
      </w:r>
    </w:p>
    <w:p w14:paraId="489AB63F" w14:textId="77777777" w:rsidR="00622318" w:rsidRPr="006E1DA8" w:rsidRDefault="00622318" w:rsidP="0054499B">
      <w:pPr>
        <w:pStyle w:val="Heading3"/>
        <w:rPr>
          <w:i/>
          <w:kern w:val="2"/>
          <w:sz w:val="22"/>
        </w:rPr>
      </w:pPr>
      <w:r w:rsidRPr="006E1DA8">
        <w:rPr>
          <w:kern w:val="2"/>
          <w:sz w:val="22"/>
        </w:rPr>
        <w:t>Canadian Law</w:t>
      </w:r>
    </w:p>
    <w:p w14:paraId="453CB76E" w14:textId="78F14932" w:rsidR="00622318" w:rsidRPr="006E1DA8" w:rsidRDefault="00622318" w:rsidP="00622318">
      <w:pPr>
        <w:rPr>
          <w:rFonts w:cs="Times New Roman"/>
          <w:kern w:val="2"/>
          <w:sz w:val="20"/>
        </w:rPr>
      </w:pPr>
      <w:r w:rsidRPr="006E1DA8">
        <w:rPr>
          <w:rFonts w:cs="Times New Roman"/>
          <w:kern w:val="2"/>
          <w:sz w:val="20"/>
        </w:rPr>
        <w:t xml:space="preserve">A person who counsels another person to commit an offence </w:t>
      </w:r>
      <w:r w:rsidR="00D6477D" w:rsidRPr="006E1DA8">
        <w:rPr>
          <w:rFonts w:cs="Times New Roman"/>
          <w:kern w:val="2"/>
          <w:sz w:val="20"/>
        </w:rPr>
        <w:t xml:space="preserve">that </w:t>
      </w:r>
      <w:r w:rsidRPr="006E1DA8">
        <w:rPr>
          <w:rFonts w:cs="Times New Roman"/>
          <w:kern w:val="2"/>
          <w:sz w:val="20"/>
        </w:rPr>
        <w:t>is later committed is considered a party to that offence (s</w:t>
      </w:r>
      <w:r w:rsidR="00D6477D" w:rsidRPr="006E1DA8">
        <w:rPr>
          <w:rFonts w:cs="Times New Roman"/>
          <w:kern w:val="2"/>
          <w:sz w:val="20"/>
        </w:rPr>
        <w:t>ection</w:t>
      </w:r>
      <w:r w:rsidRPr="006E1DA8">
        <w:rPr>
          <w:rFonts w:cs="Times New Roman"/>
          <w:kern w:val="2"/>
          <w:sz w:val="20"/>
        </w:rPr>
        <w:t xml:space="preserve"> 22 of the </w:t>
      </w:r>
      <w:r w:rsidRPr="006E1DA8">
        <w:rPr>
          <w:rFonts w:cs="Times New Roman"/>
          <w:i/>
          <w:kern w:val="2"/>
          <w:sz w:val="20"/>
        </w:rPr>
        <w:t>Criminal Code</w:t>
      </w:r>
      <w:r w:rsidRPr="006E1DA8">
        <w:rPr>
          <w:rFonts w:cs="Times New Roman"/>
          <w:kern w:val="2"/>
          <w:sz w:val="20"/>
        </w:rPr>
        <w:t xml:space="preserve">). However, a person who counsels another to commit an offence </w:t>
      </w:r>
      <w:r w:rsidR="00EE57DC" w:rsidRPr="006E1DA8">
        <w:rPr>
          <w:rFonts w:cs="Times New Roman"/>
          <w:kern w:val="2"/>
          <w:sz w:val="20"/>
        </w:rPr>
        <w:t>that is not committed is guilty of a different</w:t>
      </w:r>
      <w:r w:rsidRPr="006E1DA8">
        <w:rPr>
          <w:rFonts w:cs="Times New Roman"/>
          <w:kern w:val="2"/>
          <w:sz w:val="20"/>
        </w:rPr>
        <w:t xml:space="preserve"> offence</w:t>
      </w:r>
      <w:r w:rsidR="002857D5" w:rsidRPr="006E1DA8">
        <w:rPr>
          <w:rFonts w:cs="Times New Roman"/>
          <w:kern w:val="2"/>
          <w:sz w:val="20"/>
        </w:rPr>
        <w:t xml:space="preserve"> </w:t>
      </w:r>
      <w:r w:rsidR="00EE57DC" w:rsidRPr="006E1DA8">
        <w:rPr>
          <w:rFonts w:cs="Times New Roman"/>
          <w:kern w:val="2"/>
          <w:sz w:val="20"/>
        </w:rPr>
        <w:t xml:space="preserve">that is sometimes referred to as the offence of incitement. </w:t>
      </w:r>
      <w:r w:rsidRPr="006E1DA8">
        <w:rPr>
          <w:rFonts w:cs="Times New Roman"/>
          <w:kern w:val="2"/>
          <w:sz w:val="20"/>
        </w:rPr>
        <w:t xml:space="preserve">Section 464 of the </w:t>
      </w:r>
      <w:r w:rsidRPr="006E1DA8">
        <w:rPr>
          <w:rFonts w:cs="Times New Roman"/>
          <w:i/>
          <w:iCs/>
          <w:kern w:val="2"/>
          <w:sz w:val="20"/>
        </w:rPr>
        <w:t>Criminal Code</w:t>
      </w:r>
      <w:r w:rsidRPr="006E1DA8">
        <w:rPr>
          <w:rFonts w:cs="Times New Roman"/>
          <w:kern w:val="2"/>
          <w:sz w:val="20"/>
        </w:rPr>
        <w:t xml:space="preserve"> states</w:t>
      </w:r>
      <w:r w:rsidR="00412366" w:rsidRPr="006E1DA8">
        <w:rPr>
          <w:rFonts w:cs="Times New Roman"/>
          <w:kern w:val="2"/>
          <w:sz w:val="20"/>
        </w:rPr>
        <w:t>:</w:t>
      </w:r>
    </w:p>
    <w:p w14:paraId="0B00FA13" w14:textId="7AC39DF8" w:rsidR="00622318" w:rsidRPr="006E1DA8" w:rsidRDefault="003E3D21" w:rsidP="003E3D21">
      <w:pPr>
        <w:pStyle w:val="BlockQuote"/>
        <w:rPr>
          <w:kern w:val="2"/>
          <w:sz w:val="20"/>
        </w:rPr>
      </w:pPr>
      <w:r w:rsidRPr="006E1DA8">
        <w:rPr>
          <w:kern w:val="2"/>
          <w:sz w:val="20"/>
        </w:rPr>
        <w:t xml:space="preserve">464. </w:t>
      </w:r>
      <w:r w:rsidR="00622318" w:rsidRPr="006E1DA8">
        <w:rPr>
          <w:kern w:val="2"/>
          <w:sz w:val="20"/>
        </w:rPr>
        <w:t>Except where otherwise expressly provided by law, the following provisions apply in respect of persons who counsel other persons to commit offences, namely,</w:t>
      </w:r>
    </w:p>
    <w:p w14:paraId="22DF29E4" w14:textId="75DAD0FA" w:rsidR="00622318" w:rsidRPr="006E1DA8" w:rsidRDefault="00622318" w:rsidP="009D3B31">
      <w:pPr>
        <w:pStyle w:val="BlockQuote"/>
        <w:numPr>
          <w:ilvl w:val="0"/>
          <w:numId w:val="41"/>
        </w:numPr>
        <w:spacing w:before="60" w:after="0"/>
        <w:jc w:val="left"/>
        <w:rPr>
          <w:kern w:val="2"/>
          <w:sz w:val="20"/>
        </w:rPr>
      </w:pPr>
      <w:r w:rsidRPr="006E1DA8">
        <w:rPr>
          <w:kern w:val="2"/>
          <w:sz w:val="20"/>
        </w:rPr>
        <w:t>every one who counsels another person to commit an indictable offence is, if the offence is not committed, guilty of an indictable offence and liable to the same punishment to which a person who attempts to commit that offence is liable; and</w:t>
      </w:r>
    </w:p>
    <w:p w14:paraId="2E8B9F97" w14:textId="6690078C" w:rsidR="00622318" w:rsidRPr="006E1DA8" w:rsidRDefault="00622318" w:rsidP="009D3B31">
      <w:pPr>
        <w:pStyle w:val="BlockQuote"/>
        <w:numPr>
          <w:ilvl w:val="0"/>
          <w:numId w:val="41"/>
        </w:numPr>
        <w:spacing w:before="60" w:after="0"/>
        <w:jc w:val="left"/>
        <w:rPr>
          <w:kern w:val="2"/>
          <w:sz w:val="20"/>
        </w:rPr>
      </w:pPr>
      <w:proofErr w:type="gramStart"/>
      <w:r w:rsidRPr="006E1DA8">
        <w:rPr>
          <w:kern w:val="2"/>
          <w:sz w:val="20"/>
        </w:rPr>
        <w:t>every</w:t>
      </w:r>
      <w:proofErr w:type="gramEnd"/>
      <w:r w:rsidRPr="006E1DA8">
        <w:rPr>
          <w:kern w:val="2"/>
          <w:sz w:val="20"/>
        </w:rPr>
        <w:t xml:space="preserve"> one who counsels another person to commit an offence punishable on summary conviction is, if the offence is not committed, guilty of an offence punishable on summary conviction.</w:t>
      </w:r>
    </w:p>
    <w:p w14:paraId="075F4D47" w14:textId="129F1E52" w:rsidR="006D6C86" w:rsidRPr="006E1DA8" w:rsidRDefault="00622318" w:rsidP="00666470">
      <w:pPr>
        <w:rPr>
          <w:kern w:val="2"/>
          <w:sz w:val="20"/>
        </w:rPr>
      </w:pPr>
      <w:r w:rsidRPr="006E1DA8">
        <w:rPr>
          <w:rFonts w:cs="Times New Roman"/>
          <w:kern w:val="2"/>
          <w:sz w:val="20"/>
        </w:rPr>
        <w:t xml:space="preserve">The term </w:t>
      </w:r>
      <w:r w:rsidR="00321984" w:rsidRPr="006E1DA8">
        <w:rPr>
          <w:rFonts w:cs="Times New Roman"/>
          <w:kern w:val="2"/>
          <w:sz w:val="20"/>
        </w:rPr>
        <w:t>“</w:t>
      </w:r>
      <w:r w:rsidRPr="006E1DA8">
        <w:rPr>
          <w:rFonts w:cs="Times New Roman"/>
          <w:kern w:val="2"/>
          <w:sz w:val="20"/>
        </w:rPr>
        <w:t>counselling</w:t>
      </w:r>
      <w:r w:rsidR="00321984" w:rsidRPr="006E1DA8">
        <w:rPr>
          <w:rFonts w:cs="Times New Roman"/>
          <w:kern w:val="2"/>
          <w:sz w:val="20"/>
        </w:rPr>
        <w:t>”</w:t>
      </w:r>
      <w:r w:rsidRPr="006E1DA8">
        <w:rPr>
          <w:rFonts w:cs="Times New Roman"/>
          <w:kern w:val="2"/>
          <w:sz w:val="20"/>
        </w:rPr>
        <w:t xml:space="preserve"> is wide and, pursuant to section 22(3) of the </w:t>
      </w:r>
      <w:r w:rsidRPr="006E1DA8">
        <w:rPr>
          <w:rFonts w:cs="Times New Roman"/>
          <w:i/>
          <w:kern w:val="2"/>
          <w:sz w:val="20"/>
        </w:rPr>
        <w:t>Criminal Code</w:t>
      </w:r>
      <w:r w:rsidRPr="006E1DA8">
        <w:rPr>
          <w:rFonts w:cs="Times New Roman"/>
          <w:kern w:val="2"/>
          <w:sz w:val="20"/>
        </w:rPr>
        <w:t xml:space="preserve">, </w:t>
      </w:r>
      <w:r w:rsidR="00321984" w:rsidRPr="006E1DA8">
        <w:rPr>
          <w:rFonts w:cs="Times New Roman"/>
          <w:kern w:val="2"/>
          <w:sz w:val="20"/>
        </w:rPr>
        <w:t>“</w:t>
      </w:r>
      <w:r w:rsidRPr="006E1DA8">
        <w:rPr>
          <w:rFonts w:cs="Times New Roman"/>
          <w:kern w:val="2"/>
          <w:sz w:val="20"/>
        </w:rPr>
        <w:t>includes procuring, soliciting or inciting.</w:t>
      </w:r>
      <w:r w:rsidR="00321984" w:rsidRPr="006E1DA8">
        <w:rPr>
          <w:rFonts w:cs="Times New Roman"/>
          <w:kern w:val="2"/>
          <w:sz w:val="20"/>
        </w:rPr>
        <w:t>”</w:t>
      </w:r>
      <w:r w:rsidRPr="006E1DA8">
        <w:rPr>
          <w:rFonts w:cs="Times New Roman"/>
          <w:kern w:val="2"/>
          <w:sz w:val="20"/>
        </w:rPr>
        <w:t xml:space="preserve"> The </w:t>
      </w:r>
      <w:proofErr w:type="spellStart"/>
      <w:r w:rsidRPr="006E1DA8">
        <w:rPr>
          <w:rFonts w:cs="Times New Roman"/>
          <w:i/>
          <w:iCs/>
          <w:kern w:val="2"/>
          <w:sz w:val="20"/>
        </w:rPr>
        <w:t>mens</w:t>
      </w:r>
      <w:proofErr w:type="spellEnd"/>
      <w:r w:rsidRPr="006E1DA8">
        <w:rPr>
          <w:rFonts w:cs="Times New Roman"/>
          <w:i/>
          <w:iCs/>
          <w:kern w:val="2"/>
          <w:sz w:val="20"/>
        </w:rPr>
        <w:t xml:space="preserve"> rea</w:t>
      </w:r>
      <w:r w:rsidRPr="006E1DA8">
        <w:rPr>
          <w:rFonts w:cs="Times New Roman"/>
          <w:kern w:val="2"/>
          <w:sz w:val="20"/>
        </w:rPr>
        <w:t xml:space="preserve"> of the offence requires an intention that the counselled offence be committed or recklessness in the sense of a conscious disregard for a substantial and unjustified risk that the offence counselled was likely to be committed.</w:t>
      </w:r>
      <w:r w:rsidRPr="006E1DA8">
        <w:rPr>
          <w:rStyle w:val="FootnoteReference"/>
          <w:rFonts w:cs="Times New Roman"/>
          <w:kern w:val="2"/>
          <w:sz w:val="20"/>
        </w:rPr>
        <w:footnoteReference w:id="163"/>
      </w:r>
      <w:r w:rsidR="00EE57DC" w:rsidRPr="006E1DA8">
        <w:rPr>
          <w:rFonts w:cs="Times New Roman"/>
          <w:kern w:val="2"/>
          <w:sz w:val="20"/>
        </w:rPr>
        <w:t xml:space="preserve"> The offence of incitement under section 464 has not been used in Canada so far to prosecute a person who counsels bribery </w:t>
      </w:r>
      <w:r w:rsidR="00017705" w:rsidRPr="006E1DA8">
        <w:rPr>
          <w:rFonts w:cs="Times New Roman"/>
          <w:kern w:val="2"/>
          <w:sz w:val="20"/>
        </w:rPr>
        <w:t xml:space="preserve">that was not actually committed. It could have been used in the prosecution of Wallace and three other Canadians in respect to the alleged bribe offer in the Padma River Bridge project in Bangladesh (see </w:t>
      </w:r>
      <w:r w:rsidR="00017705" w:rsidRPr="006E1DA8">
        <w:rPr>
          <w:rFonts w:cs="Times New Roman"/>
          <w:kern w:val="2"/>
          <w:sz w:val="20"/>
          <w:highlight w:val="cyan"/>
        </w:rPr>
        <w:t>Section 1.1 of Chapter 1</w:t>
      </w:r>
      <w:r w:rsidR="00017705" w:rsidRPr="006E1DA8">
        <w:rPr>
          <w:rFonts w:cs="Times New Roman"/>
          <w:kern w:val="2"/>
          <w:sz w:val="20"/>
        </w:rPr>
        <w:t>).</w:t>
      </w:r>
    </w:p>
    <w:sectPr w:rsidR="006D6C86" w:rsidRPr="006E1DA8" w:rsidSect="003A19AD">
      <w:headerReference w:type="even" r:id="rId9"/>
      <w:headerReference w:type="default" r:id="rId10"/>
      <w:footerReference w:type="even" r:id="rId11"/>
      <w:footerReference w:type="default" r:id="rId12"/>
      <w:headerReference w:type="first" r:id="rId13"/>
      <w:footerReference w:type="first" r:id="rId14"/>
      <w:pgSz w:w="10801" w:h="15122" w:code="1"/>
      <w:pgMar w:top="1440" w:right="1077" w:bottom="1440" w:left="1077" w:header="567" w:footer="567" w:gutter="567"/>
      <w:pgNumType w:start="235"/>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F6774" w14:textId="77777777" w:rsidR="006E4ED9" w:rsidRDefault="006E4ED9" w:rsidP="00827F7D">
      <w:r>
        <w:separator/>
      </w:r>
    </w:p>
  </w:endnote>
  <w:endnote w:type="continuationSeparator" w:id="0">
    <w:p w14:paraId="335C14E9" w14:textId="77777777" w:rsidR="006E4ED9" w:rsidRDefault="006E4ED9" w:rsidP="00827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55 Roman">
    <w:charset w:val="00"/>
    <w:family w:val="auto"/>
    <w:pitch w:val="variable"/>
    <w:sig w:usb0="800000AF" w:usb1="5000204A" w:usb2="00000000" w:usb3="00000000" w:csb0="0000009B" w:csb1="00000000"/>
  </w:font>
  <w:font w:name="Garamond Premr Pro">
    <w:panose1 w:val="02020402060506020403"/>
    <w:charset w:val="00"/>
    <w:family w:val="roman"/>
    <w:notTrueType/>
    <w:pitch w:val="variable"/>
    <w:sig w:usb0="E00002BF" w:usb1="5000E07B" w:usb2="00000000" w:usb3="00000000" w:csb0="0000019F" w:csb1="00000000"/>
  </w:font>
  <w:font w:name="Bliss 2 Light">
    <w:altName w:val="Arial"/>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553534529"/>
      <w:docPartObj>
        <w:docPartGallery w:val="Page Numbers (Bottom of Page)"/>
        <w:docPartUnique/>
      </w:docPartObj>
    </w:sdtPr>
    <w:sdtEndPr>
      <w:rPr>
        <w:noProof/>
      </w:rPr>
    </w:sdtEndPr>
    <w:sdtContent>
      <w:sdt>
        <w:sdtPr>
          <w:rPr>
            <w:rFonts w:eastAsia="Calibri" w:cs="Times New Roman"/>
          </w:rPr>
          <w:id w:val="1883675029"/>
          <w:docPartObj>
            <w:docPartGallery w:val="Page Numbers (Bottom of Page)"/>
            <w:docPartUnique/>
          </w:docPartObj>
        </w:sdtPr>
        <w:sdtEndPr>
          <w:rPr>
            <w:noProof/>
            <w:sz w:val="18"/>
          </w:rPr>
        </w:sdtEndPr>
        <w:sdtContent>
          <w:p w14:paraId="5D960941" w14:textId="02125FDB" w:rsidR="006E4ED9" w:rsidRPr="00492A3B" w:rsidRDefault="006E4ED9" w:rsidP="00617B91">
            <w:pPr>
              <w:tabs>
                <w:tab w:val="center" w:pos="4680"/>
              </w:tabs>
              <w:spacing w:before="0" w:after="0"/>
              <w:ind w:left="-283" w:right="-283"/>
              <w:rPr>
                <w:rFonts w:eastAsia="Calibri" w:cs="Times New Roman"/>
              </w:rPr>
            </w:pPr>
            <w:r w:rsidRPr="00D5587E">
              <w:rPr>
                <w:rFonts w:eastAsia="Calibri" w:cs="Times New Roman"/>
              </w:rPr>
              <w:fldChar w:fldCharType="begin"/>
            </w:r>
            <w:r w:rsidRPr="00D5587E">
              <w:rPr>
                <w:rFonts w:eastAsia="Calibri" w:cs="Times New Roman"/>
              </w:rPr>
              <w:instrText xml:space="preserve"> PAGE   \* MERGEFORMAT </w:instrText>
            </w:r>
            <w:r w:rsidRPr="00D5587E">
              <w:rPr>
                <w:rFonts w:eastAsia="Calibri" w:cs="Times New Roman"/>
              </w:rPr>
              <w:fldChar w:fldCharType="separate"/>
            </w:r>
            <w:r w:rsidR="00A2774F">
              <w:rPr>
                <w:rFonts w:eastAsia="Calibri" w:cs="Times New Roman"/>
                <w:noProof/>
              </w:rPr>
              <w:t>278</w:t>
            </w:r>
            <w:r w:rsidRPr="00D5587E">
              <w:rPr>
                <w:rFonts w:eastAsia="Calibri" w:cs="Times New Roman"/>
                <w:noProof/>
              </w:rPr>
              <w:fldChar w:fldCharType="end"/>
            </w:r>
            <w:r w:rsidRPr="00D5587E">
              <w:rPr>
                <w:rFonts w:eastAsia="Calibri" w:cs="Times New Roman"/>
              </w:rPr>
              <w:tab/>
            </w:r>
            <w:r w:rsidRPr="00D5587E">
              <w:rPr>
                <w:rFonts w:eastAsia="Calibri" w:cs="Times New Roman"/>
              </w:rPr>
              <w:tab/>
            </w:r>
            <w:r w:rsidRPr="00D5587E">
              <w:rPr>
                <w:rFonts w:eastAsia="Calibri" w:cs="Times New Roman"/>
              </w:rPr>
              <w:tab/>
            </w:r>
            <w:r w:rsidRPr="00D5587E">
              <w:rPr>
                <w:rFonts w:eastAsia="Calibri" w:cs="Times New Roman"/>
              </w:rPr>
              <w:tab/>
            </w:r>
            <w:r w:rsidRPr="00D5587E">
              <w:rPr>
                <w:rFonts w:eastAsia="Calibri" w:cs="Times New Roman"/>
                <w:sz w:val="18"/>
              </w:rPr>
              <w:t xml:space="preserve">            </w:t>
            </w:r>
            <w:r w:rsidR="00B97145">
              <w:rPr>
                <w:rFonts w:eastAsia="Calibri" w:cs="Times New Roman"/>
                <w:sz w:val="18"/>
              </w:rPr>
              <w:t xml:space="preserve">        </w:t>
            </w:r>
            <w:r w:rsidR="00901EF3">
              <w:rPr>
                <w:rFonts w:eastAsia="Calibri" w:cs="Times New Roman"/>
                <w:sz w:val="18"/>
              </w:rPr>
              <w:t xml:space="preserve">   </w:t>
            </w:r>
            <w:r w:rsidR="00B97145">
              <w:rPr>
                <w:rFonts w:eastAsia="Calibri" w:cs="Times New Roman"/>
                <w:smallCaps/>
                <w:sz w:val="18"/>
              </w:rPr>
              <w:t>April</w:t>
            </w:r>
            <w:r w:rsidRPr="00D5587E">
              <w:rPr>
                <w:rFonts w:eastAsia="Calibri" w:cs="Times New Roman"/>
                <w:sz w:val="18"/>
              </w:rPr>
              <w:t xml:space="preserve"> 2018</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376588576"/>
      <w:docPartObj>
        <w:docPartGallery w:val="Page Numbers (Bottom of Page)"/>
        <w:docPartUnique/>
      </w:docPartObj>
    </w:sdtPr>
    <w:sdtEndPr>
      <w:rPr>
        <w:noProof/>
      </w:rPr>
    </w:sdtEndPr>
    <w:sdtContent>
      <w:p w14:paraId="46735A4B" w14:textId="36B68A7D" w:rsidR="006E4ED9" w:rsidRPr="00617B91" w:rsidRDefault="00B97145" w:rsidP="00617B91">
        <w:pPr>
          <w:tabs>
            <w:tab w:val="center" w:pos="4680"/>
            <w:tab w:val="right" w:pos="9639"/>
          </w:tabs>
          <w:spacing w:before="0" w:after="0"/>
          <w:ind w:left="-283" w:right="-283"/>
          <w:jc w:val="left"/>
          <w:rPr>
            <w:rFonts w:eastAsia="Calibri" w:cs="Times New Roman"/>
          </w:rPr>
        </w:pPr>
        <w:r>
          <w:rPr>
            <w:rFonts w:eastAsia="Calibri" w:cs="Times New Roman"/>
            <w:smallCaps/>
            <w:sz w:val="18"/>
          </w:rPr>
          <w:t>April</w:t>
        </w:r>
        <w:r w:rsidR="006E4ED9" w:rsidRPr="00617B91">
          <w:rPr>
            <w:rFonts w:eastAsia="Calibri" w:cs="Times New Roman"/>
            <w:smallCaps/>
            <w:sz w:val="18"/>
          </w:rPr>
          <w:t xml:space="preserve"> 2018</w:t>
        </w:r>
        <w:r w:rsidR="006E4ED9" w:rsidRPr="00617B91">
          <w:rPr>
            <w:rFonts w:eastAsia="Calibri" w:cs="Times New Roman"/>
          </w:rPr>
          <w:tab/>
        </w:r>
        <w:r w:rsidR="006E4ED9" w:rsidRPr="00617B91">
          <w:rPr>
            <w:rFonts w:eastAsia="Calibri" w:cs="Times New Roman"/>
          </w:rPr>
          <w:tab/>
        </w:r>
        <w:r w:rsidR="006E4ED9" w:rsidRPr="00617B91">
          <w:rPr>
            <w:rFonts w:eastAsia="Calibri" w:cs="Times New Roman"/>
          </w:rPr>
          <w:fldChar w:fldCharType="begin"/>
        </w:r>
        <w:r w:rsidR="006E4ED9" w:rsidRPr="00617B91">
          <w:rPr>
            <w:rFonts w:eastAsia="Calibri" w:cs="Times New Roman"/>
          </w:rPr>
          <w:instrText xml:space="preserve"> PAGE   \* MERGEFORMAT </w:instrText>
        </w:r>
        <w:r w:rsidR="006E4ED9" w:rsidRPr="00617B91">
          <w:rPr>
            <w:rFonts w:eastAsia="Calibri" w:cs="Times New Roman"/>
          </w:rPr>
          <w:fldChar w:fldCharType="separate"/>
        </w:r>
        <w:r w:rsidR="00A2774F">
          <w:rPr>
            <w:rFonts w:eastAsia="Calibri" w:cs="Times New Roman"/>
            <w:noProof/>
          </w:rPr>
          <w:t>277</w:t>
        </w:r>
        <w:r w:rsidR="006E4ED9" w:rsidRPr="00617B91">
          <w:rPr>
            <w:rFonts w:eastAsia="Calibri" w:cs="Times New Roman"/>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44422" w14:textId="77777777" w:rsidR="00B97145" w:rsidRDefault="00B971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74C49" w14:textId="77777777" w:rsidR="006E4ED9" w:rsidRDefault="006E4ED9" w:rsidP="00F80771">
      <w:pPr>
        <w:spacing w:before="0" w:after="0"/>
      </w:pPr>
      <w:r>
        <w:separator/>
      </w:r>
    </w:p>
  </w:footnote>
  <w:footnote w:type="continuationSeparator" w:id="0">
    <w:p w14:paraId="43AB9EA2" w14:textId="77777777" w:rsidR="006E4ED9" w:rsidRDefault="006E4ED9" w:rsidP="00827F7D">
      <w:r>
        <w:continuationSeparator/>
      </w:r>
    </w:p>
  </w:footnote>
  <w:footnote w:id="1">
    <w:p w14:paraId="228E3F2D" w14:textId="77777777" w:rsidR="006E4ED9" w:rsidRPr="006E1DA8" w:rsidRDefault="006E4ED9" w:rsidP="0083748E">
      <w:pPr>
        <w:pStyle w:val="FootnoteText"/>
      </w:pPr>
      <w:r w:rsidRPr="006E1DA8">
        <w:rPr>
          <w:rStyle w:val="FootnoteReference"/>
          <w:szCs w:val="18"/>
        </w:rPr>
        <w:footnoteRef/>
      </w:r>
      <w:r w:rsidRPr="006E1DA8">
        <w:t xml:space="preserve"> </w:t>
      </w:r>
      <w:r w:rsidRPr="006E1DA8">
        <w:rPr>
          <w:i/>
        </w:rPr>
        <w:t xml:space="preserve">R v </w:t>
      </w:r>
      <w:proofErr w:type="spellStart"/>
      <w:r w:rsidRPr="006E1DA8">
        <w:rPr>
          <w:i/>
        </w:rPr>
        <w:t>Hape</w:t>
      </w:r>
      <w:proofErr w:type="spellEnd"/>
      <w:r w:rsidRPr="006E1DA8">
        <w:rPr>
          <w:i/>
        </w:rPr>
        <w:t xml:space="preserve">, </w:t>
      </w:r>
      <w:r w:rsidRPr="006E1DA8">
        <w:t>[2007] 2 SCR 292 at para 58.</w:t>
      </w:r>
    </w:p>
  </w:footnote>
  <w:footnote w:id="2">
    <w:p w14:paraId="348ABF2E" w14:textId="2ECCE39A" w:rsidR="006E4ED9" w:rsidRPr="006E1DA8" w:rsidRDefault="006E4ED9" w:rsidP="0083748E">
      <w:pPr>
        <w:pStyle w:val="FootnoteText"/>
      </w:pPr>
      <w:r w:rsidRPr="006E1DA8">
        <w:rPr>
          <w:rStyle w:val="FootnoteReference"/>
          <w:szCs w:val="18"/>
        </w:rPr>
        <w:footnoteRef/>
      </w:r>
      <w:r w:rsidRPr="006E1DA8">
        <w:t xml:space="preserve"> The International Bar Association, </w:t>
      </w:r>
      <w:r w:rsidRPr="006E1DA8">
        <w:rPr>
          <w:i/>
        </w:rPr>
        <w:t>Report of the Task Force on Extraterritorial Jurisdiction</w:t>
      </w:r>
      <w:r w:rsidRPr="006E1DA8">
        <w:t xml:space="preserve"> (2009) online: &lt;</w:t>
      </w:r>
      <w:hyperlink r:id="rId1" w:history="1">
        <w:r w:rsidRPr="006E1DA8">
          <w:rPr>
            <w:rStyle w:val="Hyperlink"/>
            <w:rFonts w:cs="Times New Roman"/>
            <w:szCs w:val="18"/>
          </w:rPr>
          <w:t>http://www.ibanet.org/Document/Default.aspx?DocumentUid=ECF39839-A217-4B3D-8106-DAB716B34F1E</w:t>
        </w:r>
      </w:hyperlink>
      <w:r w:rsidRPr="006E1DA8">
        <w:t>&gt;.</w:t>
      </w:r>
    </w:p>
  </w:footnote>
  <w:footnote w:id="3">
    <w:p w14:paraId="49D5176F" w14:textId="4688F5EC" w:rsidR="006E4ED9" w:rsidRPr="006E1DA8" w:rsidRDefault="006E4ED9" w:rsidP="0083748E">
      <w:pPr>
        <w:pStyle w:val="FootnoteText"/>
      </w:pPr>
      <w:r w:rsidRPr="006E1DA8">
        <w:rPr>
          <w:rStyle w:val="FootnoteReference"/>
          <w:szCs w:val="18"/>
        </w:rPr>
        <w:footnoteRef/>
      </w:r>
      <w:r w:rsidRPr="006E1DA8">
        <w:t xml:space="preserve"> H Lowell Brown, “The Extraterritorial Reach of the US Government’s Campaign against International Bribery” (1998-1999) 22 Hastings Intl &amp; Comp L Rev 407 at 419.</w:t>
      </w:r>
    </w:p>
  </w:footnote>
  <w:footnote w:id="4">
    <w:p w14:paraId="2CD05317" w14:textId="77777777" w:rsidR="006E4ED9" w:rsidRPr="006E1DA8" w:rsidRDefault="006E4ED9" w:rsidP="0083748E">
      <w:pPr>
        <w:pStyle w:val="FootnoteText"/>
      </w:pPr>
      <w:r w:rsidRPr="006E1DA8">
        <w:rPr>
          <w:rStyle w:val="FootnoteReference"/>
          <w:szCs w:val="18"/>
        </w:rPr>
        <w:footnoteRef/>
      </w:r>
      <w:r w:rsidRPr="006E1DA8">
        <w:t xml:space="preserve"> Jennifer </w:t>
      </w:r>
      <w:proofErr w:type="spellStart"/>
      <w:r w:rsidRPr="006E1DA8">
        <w:t>Zerk</w:t>
      </w:r>
      <w:proofErr w:type="spellEnd"/>
      <w:r w:rsidRPr="006E1DA8">
        <w:t xml:space="preserve">, </w:t>
      </w:r>
      <w:r w:rsidRPr="006E1DA8">
        <w:rPr>
          <w:i/>
          <w:iCs/>
        </w:rPr>
        <w:t xml:space="preserve">Extraterritorial Jurisdiction: Lessons for the Business and Human Rights Sphere from Six Regulatory Areas </w:t>
      </w:r>
      <w:r w:rsidRPr="006E1DA8">
        <w:rPr>
          <w:iCs/>
        </w:rPr>
        <w:t xml:space="preserve">(2010) </w:t>
      </w:r>
      <w:r w:rsidRPr="006E1DA8">
        <w:t>Harvard Corporate Social Responsibility Initiative Working Paper No 59 at 19, online: &lt;</w:t>
      </w:r>
      <w:hyperlink r:id="rId2" w:history="1">
        <w:r w:rsidRPr="006E1DA8">
          <w:rPr>
            <w:rStyle w:val="Hyperlink"/>
            <w:rFonts w:cs="Times New Roman"/>
            <w:szCs w:val="18"/>
          </w:rPr>
          <w:t>https://www.hks.harvard.edu/m-rcbg/CSRI/publications/workingpaper_59_zerk.pdf</w:t>
        </w:r>
      </w:hyperlink>
      <w:r w:rsidRPr="006E1DA8">
        <w:t xml:space="preserve">&gt;. </w:t>
      </w:r>
    </w:p>
  </w:footnote>
  <w:footnote w:id="5">
    <w:p w14:paraId="67DF3C22"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p>
  </w:footnote>
  <w:footnote w:id="6">
    <w:p w14:paraId="4F85BFFB" w14:textId="77777777" w:rsidR="006E4ED9" w:rsidRPr="006E1DA8" w:rsidRDefault="006E4ED9" w:rsidP="0083748E">
      <w:pPr>
        <w:pStyle w:val="FootnoteText"/>
      </w:pPr>
      <w:r w:rsidRPr="006E1DA8">
        <w:rPr>
          <w:rStyle w:val="FootnoteReference"/>
        </w:rPr>
        <w:footnoteRef/>
      </w:r>
      <w:r w:rsidRPr="006E1DA8">
        <w:t xml:space="preserve"> Evan </w:t>
      </w:r>
      <w:proofErr w:type="spellStart"/>
      <w:r w:rsidRPr="006E1DA8">
        <w:t>Lestelle</w:t>
      </w:r>
      <w:proofErr w:type="spellEnd"/>
      <w:r w:rsidRPr="006E1DA8">
        <w:t xml:space="preserve">, “The Foreign Corrupt Practices Act, International Norms of Foreign Public Bribery, and Extraterritorial Jurisdiction” (2008-2009) 83 </w:t>
      </w:r>
      <w:proofErr w:type="spellStart"/>
      <w:r w:rsidRPr="006E1DA8">
        <w:t>Tul</w:t>
      </w:r>
      <w:proofErr w:type="spellEnd"/>
      <w:r w:rsidRPr="006E1DA8">
        <w:t xml:space="preserve"> L Rev 527.</w:t>
      </w:r>
    </w:p>
  </w:footnote>
  <w:footnote w:id="7">
    <w:p w14:paraId="18D07FD7"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541.</w:t>
      </w:r>
    </w:p>
  </w:footnote>
  <w:footnote w:id="8">
    <w:p w14:paraId="2938482C" w14:textId="72A2B715" w:rsidR="006E4ED9" w:rsidRPr="006E1DA8" w:rsidRDefault="006E4ED9" w:rsidP="0083748E">
      <w:pPr>
        <w:pStyle w:val="FootnoteText"/>
      </w:pPr>
      <w:r w:rsidRPr="006E1DA8">
        <w:rPr>
          <w:rStyle w:val="FootnoteReference"/>
          <w:szCs w:val="18"/>
        </w:rPr>
        <w:footnoteRef/>
      </w:r>
      <w:r w:rsidRPr="006E1DA8">
        <w:t xml:space="preserve"> United Nations Office on Drugs and Crime, </w:t>
      </w:r>
      <w:r w:rsidRPr="006E1DA8">
        <w:rPr>
          <w:rFonts w:eastAsia="Times New Roman"/>
          <w:i/>
        </w:rPr>
        <w:t>Legislative Guide for the Implementation of the United Nations Convention against Corruption</w:t>
      </w:r>
      <w:r w:rsidRPr="006E1DA8">
        <w:rPr>
          <w:rFonts w:eastAsia="Times New Roman"/>
        </w:rPr>
        <w:t xml:space="preserve"> </w:t>
      </w:r>
      <w:r w:rsidRPr="006E1DA8">
        <w:t>[Legislative Guide (2012)],</w:t>
      </w:r>
      <w:r w:rsidRPr="006E1DA8">
        <w:rPr>
          <w:rFonts w:eastAsia="Times New Roman"/>
        </w:rPr>
        <w:t xml:space="preserve"> 2nd </w:t>
      </w:r>
      <w:proofErr w:type="spellStart"/>
      <w:r w:rsidRPr="006E1DA8">
        <w:rPr>
          <w:rFonts w:eastAsia="Times New Roman"/>
        </w:rPr>
        <w:t>ed</w:t>
      </w:r>
      <w:proofErr w:type="spellEnd"/>
      <w:r w:rsidRPr="006E1DA8">
        <w:rPr>
          <w:rFonts w:eastAsia="Times New Roman"/>
          <w:i/>
        </w:rPr>
        <w:t xml:space="preserve"> </w:t>
      </w:r>
      <w:r w:rsidRPr="006E1DA8">
        <w:rPr>
          <w:rFonts w:eastAsia="Times New Roman"/>
        </w:rPr>
        <w:t>(United Nations, 2012)</w:t>
      </w:r>
      <w:r w:rsidRPr="006E1DA8">
        <w:t>, at 134 online: &lt;</w:t>
      </w:r>
      <w:hyperlink r:id="rId3" w:history="1">
        <w:r w:rsidR="006D5889" w:rsidRPr="00F66E5E">
          <w:rPr>
            <w:rStyle w:val="Hyperlink"/>
            <w:rFonts w:cs="Times New Roman"/>
            <w:szCs w:val="18"/>
          </w:rPr>
          <w:t>https://www.unodc.org/documents/treaties/UNCAC/Publications/LegislativeGuide/</w:t>
        </w:r>
        <w:r w:rsidR="006D5889" w:rsidRPr="00F66E5E">
          <w:rPr>
            <w:rStyle w:val="Hyperlink"/>
            <w:rFonts w:cs="Times New Roman"/>
            <w:szCs w:val="18"/>
          </w:rPr>
          <w:br/>
          <w:t>UNCAC_Legislative_Guide_E.pdf</w:t>
        </w:r>
      </w:hyperlink>
      <w:r w:rsidRPr="006E1DA8">
        <w:t xml:space="preserve">&gt;. </w:t>
      </w:r>
    </w:p>
  </w:footnote>
  <w:footnote w:id="9">
    <w:p w14:paraId="6F358A29" w14:textId="098C409B" w:rsidR="006E4ED9" w:rsidRPr="006E1DA8" w:rsidRDefault="006E4ED9" w:rsidP="0083748E">
      <w:pPr>
        <w:pStyle w:val="FootnoteText"/>
      </w:pPr>
      <w:r w:rsidRPr="006E1DA8">
        <w:rPr>
          <w:rStyle w:val="FootnoteReference"/>
          <w:szCs w:val="18"/>
        </w:rPr>
        <w:footnoteRef/>
      </w:r>
      <w:r w:rsidRPr="006E1DA8">
        <w:t xml:space="preserve"> </w:t>
      </w:r>
      <w:proofErr w:type="spellStart"/>
      <w:r w:rsidRPr="006E1DA8">
        <w:t>Lestelle</w:t>
      </w:r>
      <w:proofErr w:type="spellEnd"/>
      <w:r w:rsidRPr="006E1DA8">
        <w:t xml:space="preserve"> (2008-2009) at 552.</w:t>
      </w:r>
    </w:p>
  </w:footnote>
  <w:footnote w:id="10">
    <w:p w14:paraId="7402405A" w14:textId="7D9C4AB1" w:rsidR="006E4ED9" w:rsidRPr="006E1DA8" w:rsidRDefault="006E4ED9" w:rsidP="0083748E">
      <w:pPr>
        <w:pStyle w:val="FootnoteText"/>
      </w:pPr>
      <w:r w:rsidRPr="006E1DA8">
        <w:rPr>
          <w:rStyle w:val="FootnoteReference"/>
          <w:szCs w:val="18"/>
        </w:rPr>
        <w:footnoteRef/>
      </w:r>
      <w:r w:rsidRPr="006E1DA8">
        <w:t xml:space="preserve"> </w:t>
      </w:r>
      <w:r w:rsidRPr="006E1DA8">
        <w:rPr>
          <w:spacing w:val="-1"/>
        </w:rPr>
        <w:t xml:space="preserve">For further information on the negotiation and development of Article 4, see Mark </w:t>
      </w:r>
      <w:proofErr w:type="spellStart"/>
      <w:r w:rsidRPr="006E1DA8">
        <w:rPr>
          <w:spacing w:val="-1"/>
        </w:rPr>
        <w:t>Pieth</w:t>
      </w:r>
      <w:proofErr w:type="spellEnd"/>
      <w:r w:rsidRPr="006E1DA8">
        <w:rPr>
          <w:spacing w:val="-1"/>
        </w:rPr>
        <w:t xml:space="preserve">, “Article 4 - Jurisdiction” in Mark </w:t>
      </w:r>
      <w:proofErr w:type="spellStart"/>
      <w:r w:rsidRPr="006E1DA8">
        <w:rPr>
          <w:spacing w:val="-1"/>
        </w:rPr>
        <w:t>Pieth</w:t>
      </w:r>
      <w:proofErr w:type="spellEnd"/>
      <w:r w:rsidRPr="006E1DA8">
        <w:rPr>
          <w:spacing w:val="-1"/>
        </w:rPr>
        <w:t xml:space="preserve">, Lucinda A Low &amp; Peter J Cullen, </w:t>
      </w:r>
      <w:proofErr w:type="spellStart"/>
      <w:r w:rsidRPr="006E1DA8">
        <w:rPr>
          <w:spacing w:val="-1"/>
        </w:rPr>
        <w:t>eds</w:t>
      </w:r>
      <w:proofErr w:type="spellEnd"/>
      <w:r w:rsidRPr="006E1DA8">
        <w:rPr>
          <w:spacing w:val="-1"/>
        </w:rPr>
        <w:t xml:space="preserve">, </w:t>
      </w:r>
      <w:r w:rsidRPr="006E1DA8">
        <w:rPr>
          <w:i/>
          <w:iCs/>
          <w:spacing w:val="-1"/>
        </w:rPr>
        <w:t xml:space="preserve">The OECD Convention on Bribery: A Commentary </w:t>
      </w:r>
      <w:r w:rsidRPr="006E1DA8">
        <w:rPr>
          <w:spacing w:val="-1"/>
        </w:rPr>
        <w:t>(Cambridge University Press, 2007).</w:t>
      </w:r>
    </w:p>
  </w:footnote>
  <w:footnote w:id="11">
    <w:p w14:paraId="1C2C55DE" w14:textId="77777777" w:rsidR="006E4ED9" w:rsidRPr="006E1DA8" w:rsidRDefault="006E4ED9" w:rsidP="0083748E">
      <w:pPr>
        <w:pStyle w:val="FootnoteText"/>
      </w:pPr>
      <w:r w:rsidRPr="006E1DA8">
        <w:rPr>
          <w:rStyle w:val="FootnoteReference"/>
          <w:szCs w:val="18"/>
        </w:rPr>
        <w:footnoteRef/>
      </w:r>
      <w:r w:rsidRPr="006E1DA8">
        <w:t xml:space="preserve"> </w:t>
      </w:r>
      <w:proofErr w:type="spellStart"/>
      <w:r w:rsidRPr="006E1DA8">
        <w:t>Zerk</w:t>
      </w:r>
      <w:proofErr w:type="spellEnd"/>
      <w:r w:rsidRPr="006E1DA8">
        <w:t xml:space="preserve"> </w:t>
      </w:r>
      <w:r w:rsidRPr="006E1DA8">
        <w:rPr>
          <w:iCs/>
        </w:rPr>
        <w:t xml:space="preserve">(2010) </w:t>
      </w:r>
      <w:r w:rsidRPr="006E1DA8">
        <w:t>at 55-56.</w:t>
      </w:r>
    </w:p>
  </w:footnote>
  <w:footnote w:id="12">
    <w:p w14:paraId="35FCD376" w14:textId="77777777"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OECD, </w:t>
      </w:r>
      <w:r w:rsidRPr="006E1DA8">
        <w:rPr>
          <w:rFonts w:cs="Times New Roman"/>
          <w:i/>
          <w:szCs w:val="18"/>
        </w:rPr>
        <w:t>Liability of Legal Persons for Foreign Bribery: A Stocktaking Report</w:t>
      </w:r>
      <w:r w:rsidRPr="006E1DA8">
        <w:rPr>
          <w:rFonts w:cs="Times New Roman"/>
          <w:szCs w:val="18"/>
        </w:rPr>
        <w:t xml:space="preserve"> [OECD Stocktaking (2016)], (OECD, 2016) at 112-13, online: &lt;</w:t>
      </w:r>
      <w:hyperlink r:id="rId4" w:history="1">
        <w:r w:rsidRPr="006E1DA8">
          <w:rPr>
            <w:rStyle w:val="Hyperlink"/>
            <w:rFonts w:cs="Times New Roman"/>
            <w:szCs w:val="18"/>
          </w:rPr>
          <w:t>https://www.oecd.org/daf/anti-bribery/Liability-Legal-Persons-Foreign-Bribery-Stocktaking.pdf</w:t>
        </w:r>
      </w:hyperlink>
      <w:r w:rsidRPr="006E1DA8">
        <w:rPr>
          <w:rFonts w:cs="Times New Roman"/>
          <w:szCs w:val="18"/>
        </w:rPr>
        <w:t>&gt;.</w:t>
      </w:r>
    </w:p>
  </w:footnote>
  <w:footnote w:id="13">
    <w:p w14:paraId="0006F5C3"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124.</w:t>
      </w:r>
    </w:p>
  </w:footnote>
  <w:footnote w:id="14">
    <w:p w14:paraId="5E047A4A" w14:textId="53C0A731" w:rsidR="006E4ED9" w:rsidRPr="006E1DA8" w:rsidRDefault="006E4ED9" w:rsidP="0083748E">
      <w:pPr>
        <w:pStyle w:val="FootnoteText"/>
      </w:pPr>
      <w:r w:rsidRPr="006E1DA8">
        <w:rPr>
          <w:rStyle w:val="FootnoteReference"/>
          <w:szCs w:val="18"/>
        </w:rPr>
        <w:footnoteRef/>
      </w:r>
      <w:r w:rsidRPr="006E1DA8">
        <w:t xml:space="preserve"> Robert W </w:t>
      </w:r>
      <w:proofErr w:type="spellStart"/>
      <w:r w:rsidRPr="006E1DA8">
        <w:t>Tarun</w:t>
      </w:r>
      <w:proofErr w:type="spellEnd"/>
      <w:r w:rsidRPr="006E1DA8">
        <w:t xml:space="preserve">, </w:t>
      </w:r>
      <w:r w:rsidRPr="006E1DA8">
        <w:rPr>
          <w:i/>
        </w:rPr>
        <w:t>The Foreign Corrupt Practices Handbook: A Practical Guide for Multinational General Counsel, Transactional Lawyers and White Collar Criminal Practitioners</w:t>
      </w:r>
      <w:r w:rsidRPr="006E1DA8">
        <w:t xml:space="preserve">, 3rd </w:t>
      </w:r>
      <w:proofErr w:type="spellStart"/>
      <w:proofErr w:type="gramStart"/>
      <w:r w:rsidRPr="006E1DA8">
        <w:t>ed</w:t>
      </w:r>
      <w:proofErr w:type="spellEnd"/>
      <w:proofErr w:type="gramEnd"/>
      <w:r w:rsidRPr="006E1DA8">
        <w:t xml:space="preserve"> (American Bar Association, 2013) at 57-63.</w:t>
      </w:r>
    </w:p>
  </w:footnote>
  <w:footnote w:id="15">
    <w:p w14:paraId="6CD43E99" w14:textId="73942E8D" w:rsidR="006E4ED9" w:rsidRPr="006E1DA8" w:rsidRDefault="006E4ED9" w:rsidP="0083748E">
      <w:pPr>
        <w:pStyle w:val="FootnoteText"/>
        <w:rPr>
          <w:rFonts w:cs="Times New Roman"/>
        </w:rPr>
      </w:pPr>
      <w:r w:rsidRPr="006E1DA8">
        <w:rPr>
          <w:rStyle w:val="FootnoteReference"/>
          <w:szCs w:val="18"/>
        </w:rPr>
        <w:footnoteRef/>
      </w:r>
      <w:r w:rsidRPr="006E1DA8">
        <w:t xml:space="preserve"> </w:t>
      </w:r>
      <w:r w:rsidRPr="006E1DA8">
        <w:rPr>
          <w:rFonts w:cs="Times New Roman"/>
        </w:rPr>
        <w:t xml:space="preserve">Department of Justice and Security Exchange Commission, </w:t>
      </w:r>
      <w:r w:rsidRPr="006E1DA8">
        <w:rPr>
          <w:rFonts w:cs="Times New Roman"/>
          <w:i/>
        </w:rPr>
        <w:t xml:space="preserve">A Resource Guide to the U.S. Foreign Corrupt Practices Act </w:t>
      </w:r>
      <w:r w:rsidRPr="006E1DA8">
        <w:rPr>
          <w:rFonts w:cs="Times New Roman"/>
        </w:rPr>
        <w:t>(2012), [DJSEC Resource Guide (2012)], online: &lt;</w:t>
      </w:r>
      <w:hyperlink r:id="rId5" w:history="1">
        <w:r w:rsidRPr="006E1DA8">
          <w:rPr>
            <w:rStyle w:val="Hyperlink"/>
            <w:rFonts w:cs="Times New Roman"/>
            <w:szCs w:val="18"/>
          </w:rPr>
          <w:t>http://www.justice.gov/criminal/fraud/fcpa/guidance/guide.pdf</w:t>
        </w:r>
      </w:hyperlink>
      <w:r w:rsidRPr="006E1DA8">
        <w:rPr>
          <w:rFonts w:cs="Times New Roman"/>
        </w:rPr>
        <w:t>&gt;.</w:t>
      </w:r>
    </w:p>
    <w:p w14:paraId="25726BFE" w14:textId="77777777" w:rsidR="006E4ED9" w:rsidRPr="006E1DA8" w:rsidRDefault="006E4ED9" w:rsidP="0083748E">
      <w:pPr>
        <w:pStyle w:val="FootnoteText"/>
      </w:pPr>
    </w:p>
  </w:footnote>
  <w:footnote w:id="16">
    <w:p w14:paraId="6A20E80D" w14:textId="77777777" w:rsidR="006E4ED9" w:rsidRPr="006E1DA8" w:rsidRDefault="006E4ED9" w:rsidP="0083748E">
      <w:pPr>
        <w:pStyle w:val="FootnoteText"/>
      </w:pPr>
      <w:r w:rsidRPr="006E1DA8">
        <w:rPr>
          <w:rStyle w:val="FootnoteReference"/>
        </w:rPr>
        <w:footnoteRef/>
      </w:r>
      <w:r w:rsidRPr="006E1DA8">
        <w:t xml:space="preserve"> Stuart H Deming, </w:t>
      </w:r>
      <w:r w:rsidRPr="006E1DA8">
        <w:rPr>
          <w:i/>
        </w:rPr>
        <w:t>Anti-Bribery Laws in Common Law Jurisdictions</w:t>
      </w:r>
      <w:r w:rsidRPr="006E1DA8">
        <w:t xml:space="preserve"> (Oxford University Press, 2014) at 181.</w:t>
      </w:r>
    </w:p>
  </w:footnote>
  <w:footnote w:id="17">
    <w:p w14:paraId="3F8BB5EF" w14:textId="2B409295" w:rsidR="006E4ED9" w:rsidRPr="006E1DA8" w:rsidRDefault="006E4ED9" w:rsidP="0083748E">
      <w:pPr>
        <w:pStyle w:val="FootnoteText"/>
      </w:pPr>
      <w:r w:rsidRPr="006E1DA8">
        <w:rPr>
          <w:rStyle w:val="FootnoteReference"/>
        </w:rPr>
        <w:footnoteRef/>
      </w:r>
      <w:r w:rsidRPr="006E1DA8">
        <w:t xml:space="preserve"> </w:t>
      </w:r>
      <w:proofErr w:type="spellStart"/>
      <w:r w:rsidRPr="006E1DA8">
        <w:t>Tarun</w:t>
      </w:r>
      <w:proofErr w:type="spellEnd"/>
      <w:r w:rsidRPr="006E1DA8">
        <w:t xml:space="preserve"> (2013) at 58–59.</w:t>
      </w:r>
    </w:p>
  </w:footnote>
  <w:footnote w:id="18">
    <w:p w14:paraId="6DCF5B54"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63.</w:t>
      </w:r>
    </w:p>
  </w:footnote>
  <w:footnote w:id="19">
    <w:p w14:paraId="7E01C83D" w14:textId="77777777" w:rsidR="006E4ED9" w:rsidRPr="006E1DA8" w:rsidRDefault="006E4ED9" w:rsidP="0083748E">
      <w:pPr>
        <w:pStyle w:val="FootnoteText"/>
      </w:pPr>
      <w:r w:rsidRPr="006E1DA8">
        <w:rPr>
          <w:rStyle w:val="FootnoteReference"/>
          <w:szCs w:val="18"/>
        </w:rPr>
        <w:footnoteRef/>
      </w:r>
      <w:r w:rsidRPr="006E1DA8">
        <w:t xml:space="preserve"> DJSEC Resource Guide (2012) at 34.</w:t>
      </w:r>
    </w:p>
  </w:footnote>
  <w:footnote w:id="20">
    <w:p w14:paraId="46EF869F" w14:textId="167C41B4" w:rsidR="006E4ED9" w:rsidRPr="006E1DA8" w:rsidRDefault="006E4ED9" w:rsidP="0083748E">
      <w:pPr>
        <w:pStyle w:val="FootnoteText"/>
      </w:pPr>
      <w:r w:rsidRPr="006E1DA8">
        <w:rPr>
          <w:rStyle w:val="FootnoteReference"/>
          <w:szCs w:val="18"/>
        </w:rPr>
        <w:footnoteRef/>
      </w:r>
      <w:r w:rsidRPr="006E1DA8">
        <w:t xml:space="preserve"> Jan </w:t>
      </w:r>
      <w:proofErr w:type="spellStart"/>
      <w:r w:rsidRPr="006E1DA8">
        <w:t>Wouters</w:t>
      </w:r>
      <w:proofErr w:type="spellEnd"/>
      <w:r w:rsidRPr="006E1DA8">
        <w:t xml:space="preserve">, Cedric </w:t>
      </w:r>
      <w:proofErr w:type="spellStart"/>
      <w:r w:rsidRPr="006E1DA8">
        <w:t>Ryngaert</w:t>
      </w:r>
      <w:proofErr w:type="spellEnd"/>
      <w:r w:rsidRPr="006E1DA8">
        <w:t xml:space="preserve"> &amp; Ann </w:t>
      </w:r>
      <w:proofErr w:type="spellStart"/>
      <w:r w:rsidRPr="006E1DA8">
        <w:t>Sofie</w:t>
      </w:r>
      <w:proofErr w:type="spellEnd"/>
      <w:r w:rsidRPr="006E1DA8">
        <w:t xml:space="preserve"> </w:t>
      </w:r>
      <w:proofErr w:type="spellStart"/>
      <w:r w:rsidRPr="006E1DA8">
        <w:t>Cloots</w:t>
      </w:r>
      <w:proofErr w:type="spellEnd"/>
      <w:r w:rsidRPr="006E1DA8">
        <w:t>, “The International Legal Framework against Corruption: Achievements and Challenges” (2013) 14 Melbourne J Intl L 1 at 49, online: &lt;</w:t>
      </w:r>
      <w:hyperlink r:id="rId6" w:history="1">
        <w:r w:rsidRPr="006E1DA8">
          <w:rPr>
            <w:rStyle w:val="Hyperlink"/>
            <w:rFonts w:cs="Times New Roman"/>
            <w:szCs w:val="18"/>
          </w:rPr>
          <w:t>http://law.unimelb.edu.au/__data/assets/pdf_file/0008/1687445/08Wouters,-Ryngaert-and-Cloots1.pdf</w:t>
        </w:r>
      </w:hyperlink>
      <w:r w:rsidRPr="006E1DA8">
        <w:t>&gt;.</w:t>
      </w:r>
    </w:p>
  </w:footnote>
  <w:footnote w:id="21">
    <w:p w14:paraId="6E0C6B2F" w14:textId="7588DFB4" w:rsidR="006E4ED9" w:rsidRPr="006E1DA8" w:rsidRDefault="006E4ED9" w:rsidP="0083748E">
      <w:pPr>
        <w:pStyle w:val="FootnoteText"/>
      </w:pPr>
      <w:r w:rsidRPr="006E1DA8">
        <w:rPr>
          <w:rStyle w:val="FootnoteReference"/>
        </w:rPr>
        <w:footnoteRef/>
      </w:r>
      <w:r w:rsidRPr="006E1DA8">
        <w:t xml:space="preserve"> Sean Hecker &amp; Margot </w:t>
      </w:r>
      <w:proofErr w:type="spellStart"/>
      <w:r w:rsidRPr="006E1DA8">
        <w:t>Laporte</w:t>
      </w:r>
      <w:proofErr w:type="spellEnd"/>
      <w:r w:rsidRPr="006E1DA8">
        <w:t>, “Should FCPA ‘Territorial’ Jurisdiction Reach Extraterritorial Proportions?” (2013) 42 Intl Law News 7.</w:t>
      </w:r>
    </w:p>
  </w:footnote>
  <w:footnote w:id="22">
    <w:p w14:paraId="6D78D9B7"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8.</w:t>
      </w:r>
    </w:p>
  </w:footnote>
  <w:footnote w:id="23">
    <w:p w14:paraId="50453432" w14:textId="6F11A7F0" w:rsidR="006E4ED9" w:rsidRPr="006E1DA8" w:rsidRDefault="006E4ED9" w:rsidP="0083748E">
      <w:pPr>
        <w:pStyle w:val="FootnoteText"/>
      </w:pPr>
      <w:r w:rsidRPr="006E1DA8">
        <w:rPr>
          <w:rStyle w:val="FootnoteReference"/>
        </w:rPr>
        <w:footnoteRef/>
      </w:r>
      <w:r w:rsidRPr="006E1DA8">
        <w:t xml:space="preserve"> “The World’s Lawyer: Why America, and Not </w:t>
      </w:r>
      <w:proofErr w:type="gramStart"/>
      <w:r w:rsidRPr="006E1DA8">
        <w:t>Another</w:t>
      </w:r>
      <w:proofErr w:type="gramEnd"/>
      <w:r w:rsidRPr="006E1DA8">
        <w:t xml:space="preserve"> Country, Is Going after FIFA”, </w:t>
      </w:r>
      <w:r w:rsidRPr="006E1DA8">
        <w:rPr>
          <w:i/>
        </w:rPr>
        <w:t xml:space="preserve">The Economist </w:t>
      </w:r>
      <w:r w:rsidRPr="006E1DA8">
        <w:t>(6 June 2015).</w:t>
      </w:r>
    </w:p>
  </w:footnote>
  <w:footnote w:id="24">
    <w:p w14:paraId="09F03F9A" w14:textId="66D79D2E" w:rsidR="006E4ED9" w:rsidRPr="006E1DA8" w:rsidRDefault="006E4ED9" w:rsidP="0083748E">
      <w:pPr>
        <w:pStyle w:val="FootnoteText"/>
      </w:pPr>
      <w:r w:rsidRPr="006E1DA8">
        <w:rPr>
          <w:rStyle w:val="FootnoteReference"/>
        </w:rPr>
        <w:footnoteRef/>
      </w:r>
      <w:r w:rsidRPr="006E1DA8">
        <w:t xml:space="preserve"> Mike Koehler, </w:t>
      </w:r>
      <w:proofErr w:type="gramStart"/>
      <w:r w:rsidRPr="006E1DA8">
        <w:rPr>
          <w:i/>
        </w:rPr>
        <w:t>The</w:t>
      </w:r>
      <w:proofErr w:type="gramEnd"/>
      <w:r w:rsidRPr="006E1DA8">
        <w:rPr>
          <w:i/>
        </w:rPr>
        <w:t xml:space="preserve"> Foreign Corrupt Practices Act in a New Era </w:t>
      </w:r>
      <w:r w:rsidRPr="006E1DA8">
        <w:t>(Edward Elgar, 2014) at 114.</w:t>
      </w:r>
    </w:p>
  </w:footnote>
  <w:footnote w:id="25">
    <w:p w14:paraId="60C4BDD3" w14:textId="2C394E62" w:rsidR="006E4ED9" w:rsidRPr="006E1DA8" w:rsidRDefault="006E4ED9" w:rsidP="0083748E">
      <w:pPr>
        <w:pStyle w:val="FootnoteText"/>
      </w:pPr>
      <w:r w:rsidRPr="006E1DA8">
        <w:rPr>
          <w:rStyle w:val="FootnoteReference"/>
        </w:rPr>
        <w:footnoteRef/>
      </w:r>
      <w:r w:rsidRPr="006E1DA8">
        <w:t xml:space="preserve"> </w:t>
      </w:r>
      <w:r w:rsidRPr="006E1DA8">
        <w:rPr>
          <w:i/>
        </w:rPr>
        <w:t xml:space="preserve">US v Patel, </w:t>
      </w:r>
      <w:r w:rsidRPr="006E1DA8">
        <w:t>No l</w:t>
      </w:r>
      <w:proofErr w:type="gramStart"/>
      <w:r w:rsidRPr="006E1DA8">
        <w:t>:09</w:t>
      </w:r>
      <w:proofErr w:type="gramEnd"/>
      <w:r w:rsidRPr="006E1DA8">
        <w:t xml:space="preserve">-cr-00335, Trial </w:t>
      </w:r>
      <w:proofErr w:type="spellStart"/>
      <w:r w:rsidRPr="006E1DA8">
        <w:t>Tr</w:t>
      </w:r>
      <w:proofErr w:type="spellEnd"/>
      <w:r w:rsidRPr="006E1DA8">
        <w:t xml:space="preserve"> 5:11-14, 7:17-8:2 (DDC June 6, 2011).</w:t>
      </w:r>
    </w:p>
  </w:footnote>
  <w:footnote w:id="26">
    <w:p w14:paraId="089C8C9B" w14:textId="5A1D896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Annalisa </w:t>
      </w:r>
      <w:proofErr w:type="spellStart"/>
      <w:r w:rsidRPr="006E1DA8">
        <w:rPr>
          <w:rFonts w:cs="Times New Roman"/>
        </w:rPr>
        <w:t>Leibold</w:t>
      </w:r>
      <w:proofErr w:type="spellEnd"/>
      <w:r w:rsidRPr="006E1DA8">
        <w:rPr>
          <w:rFonts w:cs="Times New Roman"/>
        </w:rPr>
        <w:t>, “Extraterritorial Application of the FCPA under International Law” (2015) 51 Willamette L Rev 225 at 253-259, online: &lt;</w:t>
      </w:r>
      <w:hyperlink r:id="rId7" w:history="1">
        <w:r w:rsidRPr="006E1DA8">
          <w:rPr>
            <w:rStyle w:val="Hyperlink"/>
            <w:rFonts w:cs="Times New Roman"/>
          </w:rPr>
          <w:t>https://ssrn.com/abstract=2489675</w:t>
        </w:r>
      </w:hyperlink>
      <w:r w:rsidRPr="006E1DA8">
        <w:rPr>
          <w:rFonts w:cs="Times New Roman"/>
        </w:rPr>
        <w:t>&gt;.</w:t>
      </w:r>
    </w:p>
  </w:footnote>
  <w:footnote w:id="27">
    <w:p w14:paraId="78CADA7D" w14:textId="7777777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w:t>
      </w:r>
      <w:r w:rsidRPr="006E1DA8">
        <w:rPr>
          <w:rFonts w:cs="Times New Roman"/>
          <w:i/>
        </w:rPr>
        <w:t>Ibid</w:t>
      </w:r>
      <w:r w:rsidRPr="006E1DA8">
        <w:rPr>
          <w:rFonts w:cs="Times New Roman"/>
        </w:rPr>
        <w:t xml:space="preserve"> at 238.</w:t>
      </w:r>
    </w:p>
  </w:footnote>
  <w:footnote w:id="28">
    <w:p w14:paraId="192CF8DB" w14:textId="7777777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w:t>
      </w:r>
      <w:r w:rsidRPr="006E1DA8">
        <w:rPr>
          <w:rFonts w:cs="Times New Roman"/>
          <w:i/>
        </w:rPr>
        <w:t>Ibid</w:t>
      </w:r>
      <w:r w:rsidRPr="006E1DA8">
        <w:rPr>
          <w:rFonts w:cs="Times New Roman"/>
        </w:rPr>
        <w:t xml:space="preserve"> at 227, 259-260.</w:t>
      </w:r>
    </w:p>
  </w:footnote>
  <w:footnote w:id="29">
    <w:p w14:paraId="6D539E61" w14:textId="7777777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w:t>
      </w:r>
      <w:r w:rsidRPr="006E1DA8">
        <w:rPr>
          <w:rFonts w:cs="Times New Roman"/>
          <w:i/>
        </w:rPr>
        <w:t>Ibid</w:t>
      </w:r>
      <w:r w:rsidRPr="006E1DA8">
        <w:rPr>
          <w:rFonts w:cs="Times New Roman"/>
        </w:rPr>
        <w:t xml:space="preserve"> at 262.</w:t>
      </w:r>
    </w:p>
  </w:footnote>
  <w:footnote w:id="30">
    <w:p w14:paraId="3BEFF19D" w14:textId="0137C69E"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Mateo J de la Torre, “The Foreign Corrupt Practices Act: Imposing an American Definition of Corruption on Global Markets” (2016) 49 Cornell Intl LJ 469 at 470.</w:t>
      </w:r>
    </w:p>
  </w:footnote>
  <w:footnote w:id="31">
    <w:p w14:paraId="4F7F4343" w14:textId="7777777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w:t>
      </w:r>
      <w:r w:rsidRPr="006E1DA8">
        <w:rPr>
          <w:rFonts w:cs="Times New Roman"/>
          <w:i/>
        </w:rPr>
        <w:t>Ibid</w:t>
      </w:r>
      <w:r w:rsidRPr="006E1DA8">
        <w:rPr>
          <w:rFonts w:cs="Times New Roman"/>
        </w:rPr>
        <w:t xml:space="preserve"> at 481.</w:t>
      </w:r>
    </w:p>
  </w:footnote>
  <w:footnote w:id="32">
    <w:p w14:paraId="6146F86D" w14:textId="77777777" w:rsidR="006E4ED9" w:rsidRPr="006E1DA8" w:rsidRDefault="006E4ED9" w:rsidP="0083748E">
      <w:pPr>
        <w:pStyle w:val="FootnoteText"/>
        <w:rPr>
          <w:rFonts w:cs="Times New Roman"/>
        </w:rPr>
      </w:pPr>
      <w:r w:rsidRPr="006E1DA8">
        <w:rPr>
          <w:rStyle w:val="FootnoteReference"/>
          <w:rFonts w:cs="Times New Roman"/>
        </w:rPr>
        <w:footnoteRef/>
      </w:r>
      <w:r w:rsidRPr="006E1DA8">
        <w:rPr>
          <w:rFonts w:cs="Times New Roman"/>
        </w:rPr>
        <w:t xml:space="preserve"> </w:t>
      </w:r>
      <w:r w:rsidRPr="006E1DA8">
        <w:rPr>
          <w:rFonts w:cs="Times New Roman"/>
          <w:i/>
        </w:rPr>
        <w:t>Ibid</w:t>
      </w:r>
      <w:r w:rsidRPr="006E1DA8">
        <w:rPr>
          <w:rFonts w:cs="Times New Roman"/>
        </w:rPr>
        <w:t xml:space="preserve"> at 494-495.</w:t>
      </w:r>
    </w:p>
  </w:footnote>
  <w:footnote w:id="33">
    <w:p w14:paraId="7D1BCF5C" w14:textId="77777777" w:rsidR="006E4ED9" w:rsidRPr="006E1DA8" w:rsidRDefault="006E4ED9" w:rsidP="0083748E">
      <w:pPr>
        <w:pStyle w:val="FootnoteText"/>
      </w:pPr>
      <w:r w:rsidRPr="006E1DA8">
        <w:rPr>
          <w:rStyle w:val="FootnoteReference"/>
          <w:szCs w:val="18"/>
        </w:rPr>
        <w:footnoteRef/>
      </w:r>
      <w:r w:rsidRPr="006E1DA8">
        <w:t xml:space="preserve"> James D Painter, “The New UK </w:t>
      </w:r>
      <w:r w:rsidRPr="006E1DA8">
        <w:rPr>
          <w:i/>
        </w:rPr>
        <w:t>Bribery Act</w:t>
      </w:r>
      <w:r w:rsidRPr="006E1DA8">
        <w:t>—What US Lawyers Need to Know” (2011) 82 Pennsylvania Bar Association Quarterly 173 at 174.</w:t>
      </w:r>
    </w:p>
  </w:footnote>
  <w:footnote w:id="34">
    <w:p w14:paraId="55E1395A" w14:textId="12DEC01F" w:rsidR="006E4ED9" w:rsidRPr="006E1DA8" w:rsidRDefault="006E4ED9" w:rsidP="0083748E">
      <w:pPr>
        <w:pStyle w:val="FootnoteText"/>
      </w:pPr>
      <w:r w:rsidRPr="006E1DA8">
        <w:rPr>
          <w:rStyle w:val="FootnoteReference"/>
          <w:szCs w:val="18"/>
        </w:rPr>
        <w:footnoteRef/>
      </w:r>
      <w:r w:rsidRPr="006E1DA8">
        <w:t xml:space="preserve"> Jessica </w:t>
      </w:r>
      <w:proofErr w:type="spellStart"/>
      <w:r w:rsidRPr="006E1DA8">
        <w:t>Lordi</w:t>
      </w:r>
      <w:proofErr w:type="spellEnd"/>
      <w:r w:rsidRPr="006E1DA8">
        <w:t xml:space="preserve">, “The UK </w:t>
      </w:r>
      <w:r w:rsidRPr="006E1DA8">
        <w:rPr>
          <w:i/>
        </w:rPr>
        <w:t>Bribery Act</w:t>
      </w:r>
      <w:r w:rsidRPr="006E1DA8">
        <w:t>: Endless Jurisdictional Liability on Corporate Violators” (2012) 44 Case W Res J Intl L 955 at 972.</w:t>
      </w:r>
    </w:p>
  </w:footnote>
  <w:footnote w:id="35">
    <w:p w14:paraId="3C62143A" w14:textId="2D100CCD" w:rsidR="006E4ED9" w:rsidRPr="006E1DA8" w:rsidRDefault="006E4ED9" w:rsidP="0083748E">
      <w:pPr>
        <w:pStyle w:val="FootnoteText"/>
      </w:pPr>
      <w:r w:rsidRPr="006E1DA8">
        <w:rPr>
          <w:rStyle w:val="FootnoteReference"/>
          <w:szCs w:val="18"/>
        </w:rPr>
        <w:footnoteRef/>
      </w:r>
      <w:r w:rsidRPr="006E1DA8">
        <w:t xml:space="preserve"> J </w:t>
      </w:r>
      <w:proofErr w:type="spellStart"/>
      <w:r w:rsidRPr="006E1DA8">
        <w:t>Warin</w:t>
      </w:r>
      <w:proofErr w:type="spellEnd"/>
      <w:r w:rsidRPr="006E1DA8">
        <w:t xml:space="preserve">, C Falconer &amp; M </w:t>
      </w:r>
      <w:proofErr w:type="spellStart"/>
      <w:r w:rsidRPr="006E1DA8">
        <w:t>Diamant</w:t>
      </w:r>
      <w:proofErr w:type="spellEnd"/>
      <w:r w:rsidRPr="006E1DA8">
        <w:t>, “The British are Coming</w:t>
      </w:r>
      <w:proofErr w:type="gramStart"/>
      <w:r w:rsidRPr="006E1DA8">
        <w:t>!:</w:t>
      </w:r>
      <w:proofErr w:type="gramEnd"/>
      <w:r w:rsidRPr="006E1DA8">
        <w:t xml:space="preserve"> Britain Changes its Law on Foreign Bribery and Joins the International Fight Against Corruption” (2010-2011) 46 </w:t>
      </w:r>
      <w:proofErr w:type="spellStart"/>
      <w:r w:rsidRPr="006E1DA8">
        <w:t>Tex</w:t>
      </w:r>
      <w:proofErr w:type="spellEnd"/>
      <w:r w:rsidRPr="006E1DA8">
        <w:t xml:space="preserve"> Intl LJ 1 at 28.</w:t>
      </w:r>
    </w:p>
  </w:footnote>
  <w:footnote w:id="36">
    <w:p w14:paraId="19AEC971" w14:textId="266FC180" w:rsidR="006E4ED9" w:rsidRPr="006E1DA8" w:rsidRDefault="006E4ED9" w:rsidP="0083748E">
      <w:pPr>
        <w:pStyle w:val="FootnoteText"/>
        <w:rPr>
          <w:rFonts w:cs="Times New Roman"/>
        </w:rPr>
      </w:pPr>
      <w:r w:rsidRPr="006E1DA8">
        <w:rPr>
          <w:rStyle w:val="FootnoteReference"/>
          <w:szCs w:val="18"/>
        </w:rPr>
        <w:footnoteRef/>
      </w:r>
      <w:r w:rsidRPr="006E1DA8">
        <w:t xml:space="preserve"> </w:t>
      </w:r>
      <w:r w:rsidRPr="006E1DA8">
        <w:rPr>
          <w:rFonts w:cs="Times New Roman"/>
        </w:rPr>
        <w:t xml:space="preserve">United Kingdom, Minister of Justice, </w:t>
      </w:r>
      <w:proofErr w:type="gramStart"/>
      <w:r w:rsidRPr="006E1DA8">
        <w:rPr>
          <w:rFonts w:cs="Times New Roman"/>
          <w:i/>
        </w:rPr>
        <w:t>The</w:t>
      </w:r>
      <w:proofErr w:type="gramEnd"/>
      <w:r w:rsidRPr="006E1DA8">
        <w:rPr>
          <w:rFonts w:cs="Times New Roman"/>
          <w:i/>
        </w:rPr>
        <w:t xml:space="preserve"> Bribery Act 2010: Guidance</w:t>
      </w:r>
      <w:r w:rsidRPr="006E1DA8">
        <w:rPr>
          <w:rFonts w:cs="Times New Roman"/>
        </w:rPr>
        <w:t>, online: &lt;</w:t>
      </w:r>
      <w:hyperlink r:id="rId8" w:history="1">
        <w:r w:rsidRPr="006E1DA8">
          <w:rPr>
            <w:rStyle w:val="Hyperlink"/>
            <w:rFonts w:cs="Times New Roman"/>
            <w:szCs w:val="18"/>
          </w:rPr>
          <w:t>https://www.justice.gov.uk/downloads/legislation/bribery-act-2010-guidance.pdf</w:t>
        </w:r>
      </w:hyperlink>
      <w:r w:rsidRPr="006E1DA8">
        <w:rPr>
          <w:rFonts w:cs="Times New Roman"/>
        </w:rPr>
        <w:t xml:space="preserve">&gt;. </w:t>
      </w:r>
    </w:p>
  </w:footnote>
  <w:footnote w:id="37">
    <w:p w14:paraId="6172BBC1" w14:textId="77777777" w:rsidR="006E4ED9" w:rsidRPr="006E1DA8" w:rsidRDefault="006E4ED9" w:rsidP="0083748E">
      <w:pPr>
        <w:pStyle w:val="FootnoteText"/>
      </w:pPr>
      <w:r w:rsidRPr="006E1DA8">
        <w:rPr>
          <w:rStyle w:val="FootnoteReference"/>
          <w:szCs w:val="18"/>
        </w:rPr>
        <w:footnoteRef/>
      </w:r>
      <w:r w:rsidRPr="006E1DA8">
        <w:rPr>
          <w:i/>
        </w:rPr>
        <w:t xml:space="preserve"> Ibid</w:t>
      </w:r>
      <w:r w:rsidRPr="006E1DA8">
        <w:t xml:space="preserve"> at 16.</w:t>
      </w:r>
    </w:p>
  </w:footnote>
  <w:footnote w:id="38">
    <w:p w14:paraId="0999D4CD" w14:textId="77777777" w:rsidR="006E4ED9" w:rsidRPr="006E1DA8" w:rsidRDefault="006E4ED9" w:rsidP="0083748E">
      <w:pPr>
        <w:pStyle w:val="FootnoteText"/>
      </w:pPr>
      <w:r w:rsidRPr="006E1DA8">
        <w:rPr>
          <w:rStyle w:val="FootnoteReference"/>
        </w:rPr>
        <w:footnoteRef/>
      </w:r>
      <w:r w:rsidRPr="006E1DA8">
        <w:t xml:space="preserve"> Jaqueline </w:t>
      </w:r>
      <w:proofErr w:type="spellStart"/>
      <w:r w:rsidRPr="006E1DA8">
        <w:t>Bonneau</w:t>
      </w:r>
      <w:proofErr w:type="spellEnd"/>
      <w:r w:rsidRPr="006E1DA8">
        <w:t xml:space="preserve">, “Combating Foreign Bribery: Legislative Reform in the United Kingdom and Prospects for Increased Global Enforcement” (2010-2011) 49 Colum J </w:t>
      </w:r>
      <w:proofErr w:type="spellStart"/>
      <w:r w:rsidRPr="006E1DA8">
        <w:t>Transnat’l</w:t>
      </w:r>
      <w:proofErr w:type="spellEnd"/>
      <w:r w:rsidRPr="006E1DA8">
        <w:t xml:space="preserve"> L 365.</w:t>
      </w:r>
    </w:p>
  </w:footnote>
  <w:footnote w:id="39">
    <w:p w14:paraId="1A55BB4B" w14:textId="2E0051ED" w:rsidR="006E4ED9" w:rsidRPr="006E1DA8" w:rsidRDefault="006E4ED9" w:rsidP="0083748E">
      <w:pPr>
        <w:pStyle w:val="FootnoteText"/>
      </w:pPr>
      <w:r w:rsidRPr="006E1DA8">
        <w:rPr>
          <w:rStyle w:val="FootnoteReference"/>
        </w:rPr>
        <w:footnoteRef/>
      </w:r>
      <w:r w:rsidRPr="006E1DA8">
        <w:t xml:space="preserve"> For a fuller list and a discussion of extraterritoriality, see S Penney, V </w:t>
      </w:r>
      <w:proofErr w:type="spellStart"/>
      <w:r w:rsidRPr="006E1DA8">
        <w:t>Rondinelli</w:t>
      </w:r>
      <w:proofErr w:type="spellEnd"/>
      <w:r w:rsidRPr="006E1DA8">
        <w:t xml:space="preserve"> and J </w:t>
      </w:r>
      <w:proofErr w:type="spellStart"/>
      <w:r w:rsidRPr="006E1DA8">
        <w:t>Stribopolous</w:t>
      </w:r>
      <w:proofErr w:type="spellEnd"/>
      <w:r w:rsidRPr="006E1DA8">
        <w:t xml:space="preserve">, </w:t>
      </w:r>
      <w:r w:rsidRPr="006E1DA8">
        <w:rPr>
          <w:i/>
        </w:rPr>
        <w:t xml:space="preserve">Criminal Procedure in Canada </w:t>
      </w:r>
      <w:r w:rsidRPr="006E1DA8">
        <w:t>(LexisNexis, 2011) at 601-605.</w:t>
      </w:r>
    </w:p>
  </w:footnote>
  <w:footnote w:id="40">
    <w:p w14:paraId="6D856F59" w14:textId="77777777" w:rsidR="006E4ED9" w:rsidRPr="006E1DA8" w:rsidRDefault="006E4ED9" w:rsidP="0083748E">
      <w:pPr>
        <w:pStyle w:val="FootnoteText"/>
      </w:pPr>
      <w:r w:rsidRPr="006E1DA8">
        <w:rPr>
          <w:rStyle w:val="FootnoteReference"/>
        </w:rPr>
        <w:footnoteRef/>
      </w:r>
      <w:r w:rsidRPr="006E1DA8">
        <w:t xml:space="preserve"> </w:t>
      </w:r>
      <w:proofErr w:type="spellStart"/>
      <w:r w:rsidRPr="006E1DA8">
        <w:rPr>
          <w:i/>
        </w:rPr>
        <w:t>Libman</w:t>
      </w:r>
      <w:proofErr w:type="spellEnd"/>
      <w:r w:rsidRPr="006E1DA8">
        <w:rPr>
          <w:i/>
        </w:rPr>
        <w:t xml:space="preserve"> v the Queen, </w:t>
      </w:r>
      <w:r w:rsidRPr="006E1DA8">
        <w:t>[1985] 2 SCR 178.</w:t>
      </w:r>
    </w:p>
  </w:footnote>
  <w:footnote w:id="41">
    <w:p w14:paraId="747C3BF5" w14:textId="77777777"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i/>
          <w:szCs w:val="18"/>
        </w:rPr>
        <w:t xml:space="preserve">R v </w:t>
      </w:r>
      <w:proofErr w:type="spellStart"/>
      <w:r w:rsidRPr="006E1DA8">
        <w:rPr>
          <w:i/>
          <w:szCs w:val="18"/>
        </w:rPr>
        <w:t>Karigar</w:t>
      </w:r>
      <w:proofErr w:type="spellEnd"/>
      <w:r w:rsidRPr="006E1DA8">
        <w:rPr>
          <w:i/>
          <w:szCs w:val="18"/>
        </w:rPr>
        <w:t xml:space="preserve">, </w:t>
      </w:r>
      <w:r w:rsidRPr="006E1DA8">
        <w:rPr>
          <w:szCs w:val="18"/>
        </w:rPr>
        <w:t>2013 ONSC 2199.</w:t>
      </w:r>
    </w:p>
  </w:footnote>
  <w:footnote w:id="42">
    <w:p w14:paraId="39FD892A" w14:textId="3D8F669C" w:rsidR="006E4ED9" w:rsidRPr="006E1DA8" w:rsidRDefault="006E4ED9" w:rsidP="0083748E">
      <w:pPr>
        <w:pStyle w:val="FootnoteText"/>
        <w:rPr>
          <w:rFonts w:cs="Times New Roman"/>
          <w:szCs w:val="18"/>
        </w:rPr>
      </w:pPr>
      <w:r w:rsidRPr="006E1DA8">
        <w:rPr>
          <w:rStyle w:val="FootnoteReference"/>
          <w:szCs w:val="18"/>
        </w:rPr>
        <w:footnoteRef/>
      </w:r>
      <w:r w:rsidRPr="006E1DA8">
        <w:rPr>
          <w:szCs w:val="18"/>
        </w:rPr>
        <w:t xml:space="preserve"> </w:t>
      </w:r>
      <w:r w:rsidRPr="006E1DA8">
        <w:rPr>
          <w:rFonts w:cs="Times New Roman"/>
          <w:szCs w:val="18"/>
        </w:rPr>
        <w:t>OECD, “The OECD Anti-Bribery Convention and the Working Group on Bribery”, online: &lt;</w:t>
      </w:r>
      <w:hyperlink r:id="rId9" w:history="1">
        <w:r w:rsidRPr="006E1DA8">
          <w:rPr>
            <w:rStyle w:val="Hyperlink"/>
            <w:rFonts w:cs="Times New Roman"/>
            <w:szCs w:val="18"/>
          </w:rPr>
          <w:t>http://www.oecd.org/daf/anti-bribery/anti-briberyconvention/Anti-Bribery_Convention_and_Working_Group</w:t>
        </w:r>
        <w:r w:rsidRPr="006E1DA8">
          <w:rPr>
            <w:rStyle w:val="Hyperlink"/>
            <w:rFonts w:cs="Times New Roman"/>
            <w:szCs w:val="18"/>
          </w:rPr>
          <w:br/>
          <w:t>_Brief_ENG.pdf</w:t>
        </w:r>
      </w:hyperlink>
      <w:r w:rsidRPr="006E1DA8">
        <w:rPr>
          <w:rFonts w:cs="Times New Roman"/>
          <w:szCs w:val="18"/>
        </w:rPr>
        <w:t>&gt;.</w:t>
      </w:r>
    </w:p>
  </w:footnote>
  <w:footnote w:id="43">
    <w:p w14:paraId="4437A908" w14:textId="77777777" w:rsidR="006E4ED9" w:rsidRPr="006E1DA8" w:rsidRDefault="006E4ED9" w:rsidP="0083748E">
      <w:pPr>
        <w:pStyle w:val="FootnoteText"/>
      </w:pPr>
      <w:r w:rsidRPr="006E1DA8">
        <w:rPr>
          <w:rStyle w:val="FootnoteReference"/>
          <w:szCs w:val="18"/>
        </w:rPr>
        <w:footnoteRef/>
      </w:r>
      <w:r w:rsidRPr="006E1DA8">
        <w:rPr>
          <w:szCs w:val="18"/>
        </w:rPr>
        <w:t xml:space="preserve"> </w:t>
      </w:r>
      <w:r w:rsidRPr="006E1DA8">
        <w:rPr>
          <w:i/>
          <w:szCs w:val="18"/>
        </w:rPr>
        <w:t xml:space="preserve">Chowdhury v HMQ, </w:t>
      </w:r>
      <w:r w:rsidRPr="006E1DA8">
        <w:rPr>
          <w:szCs w:val="18"/>
        </w:rPr>
        <w:t>2014 ONSC 2635.</w:t>
      </w:r>
    </w:p>
  </w:footnote>
  <w:footnote w:id="44">
    <w:p w14:paraId="21B591EB" w14:textId="026EDE23" w:rsidR="006E4ED9" w:rsidRPr="006E1DA8" w:rsidRDefault="006E4ED9" w:rsidP="0083748E">
      <w:pPr>
        <w:pStyle w:val="FootnoteText"/>
      </w:pPr>
      <w:r w:rsidRPr="006E1DA8">
        <w:rPr>
          <w:rStyle w:val="FootnoteReference"/>
        </w:rPr>
        <w:footnoteRef/>
      </w:r>
      <w:r w:rsidRPr="006E1DA8">
        <w:t xml:space="preserve">  Eileen </w:t>
      </w:r>
      <w:proofErr w:type="spellStart"/>
      <w:r w:rsidRPr="006E1DA8">
        <w:t>Skinnider</w:t>
      </w:r>
      <w:proofErr w:type="spellEnd"/>
      <w:r w:rsidRPr="006E1DA8">
        <w:t xml:space="preserve">, </w:t>
      </w:r>
      <w:r w:rsidRPr="006E1DA8">
        <w:rPr>
          <w:i/>
        </w:rPr>
        <w:t xml:space="preserve">Corruption in Canada: Reviewing Practices from Abroad to Improve Our Response </w:t>
      </w:r>
      <w:r w:rsidRPr="006E1DA8">
        <w:t xml:space="preserve">(International Centre for Criminal Law Reform and Criminal Justice Policy, University of British Columbia, 2012) at 12–13. See also updated version by </w:t>
      </w:r>
      <w:proofErr w:type="spellStart"/>
      <w:r w:rsidRPr="006E1DA8">
        <w:t>Skinnider</w:t>
      </w:r>
      <w:proofErr w:type="spellEnd"/>
      <w:r w:rsidRPr="006E1DA8">
        <w:t xml:space="preserve"> and Ferguson (2017), online: &lt;</w:t>
      </w:r>
      <w:hyperlink r:id="rId10" w:history="1">
        <w:r w:rsidRPr="006E1DA8">
          <w:rPr>
            <w:rStyle w:val="Hyperlink"/>
          </w:rPr>
          <w:t>https://icclr.law.ubc.ca/publication/test-publication/</w:t>
        </w:r>
      </w:hyperlink>
      <w:r w:rsidRPr="006E1DA8">
        <w:t>&gt;.</w:t>
      </w:r>
    </w:p>
  </w:footnote>
  <w:footnote w:id="45">
    <w:p w14:paraId="7E58015F" w14:textId="77777777" w:rsidR="006E4ED9" w:rsidRPr="006E1DA8" w:rsidRDefault="006E4ED9" w:rsidP="0083748E">
      <w:pPr>
        <w:pStyle w:val="FootnoteText"/>
        <w:rPr>
          <w:rFonts w:eastAsia="Calibri" w:cs="Times New Roman"/>
          <w:szCs w:val="18"/>
        </w:rPr>
      </w:pPr>
      <w:r w:rsidRPr="006E1DA8">
        <w:rPr>
          <w:rStyle w:val="FootnoteReference"/>
          <w:rFonts w:cs="Times New Roman"/>
          <w:szCs w:val="18"/>
        </w:rPr>
        <w:footnoteRef/>
      </w:r>
      <w:r w:rsidRPr="006E1DA8">
        <w:rPr>
          <w:rFonts w:cs="Times New Roman"/>
          <w:szCs w:val="18"/>
        </w:rPr>
        <w:t xml:space="preserve"> [79] </w:t>
      </w:r>
      <w:r w:rsidRPr="006E1DA8">
        <w:rPr>
          <w:rFonts w:eastAsia="Calibri" w:cs="Times New Roman"/>
          <w:spacing w:val="1"/>
          <w:szCs w:val="18"/>
        </w:rPr>
        <w:t>W</w:t>
      </w:r>
      <w:r w:rsidRPr="006E1DA8">
        <w:rPr>
          <w:rFonts w:eastAsia="Calibri" w:cs="Times New Roman"/>
          <w:spacing w:val="-1"/>
          <w:szCs w:val="18"/>
        </w:rPr>
        <w:t>orki</w:t>
      </w:r>
      <w:r w:rsidRPr="006E1DA8">
        <w:rPr>
          <w:rFonts w:eastAsia="Calibri" w:cs="Times New Roman"/>
          <w:szCs w:val="18"/>
        </w:rPr>
        <w:t>ng</w:t>
      </w:r>
      <w:r w:rsidRPr="006E1DA8">
        <w:rPr>
          <w:rFonts w:eastAsia="Calibri" w:cs="Times New Roman"/>
          <w:spacing w:val="1"/>
          <w:szCs w:val="18"/>
        </w:rPr>
        <w:t xml:space="preserve"> </w:t>
      </w:r>
      <w:r w:rsidRPr="006E1DA8">
        <w:rPr>
          <w:rFonts w:eastAsia="Calibri" w:cs="Times New Roman"/>
          <w:spacing w:val="-1"/>
          <w:szCs w:val="18"/>
        </w:rPr>
        <w:t>Gro</w:t>
      </w:r>
      <w:r w:rsidRPr="006E1DA8">
        <w:rPr>
          <w:rFonts w:eastAsia="Calibri" w:cs="Times New Roman"/>
          <w:szCs w:val="18"/>
        </w:rPr>
        <w:t>up</w:t>
      </w:r>
      <w:r w:rsidRPr="006E1DA8">
        <w:rPr>
          <w:rFonts w:eastAsia="Calibri" w:cs="Times New Roman"/>
          <w:spacing w:val="-1"/>
          <w:szCs w:val="18"/>
        </w:rPr>
        <w:t xml:space="preserve"> o</w:t>
      </w:r>
      <w:r w:rsidRPr="006E1DA8">
        <w:rPr>
          <w:rFonts w:eastAsia="Calibri" w:cs="Times New Roman"/>
          <w:szCs w:val="18"/>
        </w:rPr>
        <w:t>n</w:t>
      </w:r>
      <w:r w:rsidRPr="006E1DA8">
        <w:rPr>
          <w:rFonts w:eastAsia="Calibri" w:cs="Times New Roman"/>
          <w:spacing w:val="-1"/>
          <w:szCs w:val="18"/>
        </w:rPr>
        <w:t xml:space="preserve"> B</w:t>
      </w:r>
      <w:r w:rsidRPr="006E1DA8">
        <w:rPr>
          <w:rFonts w:eastAsia="Calibri" w:cs="Times New Roman"/>
          <w:spacing w:val="1"/>
          <w:szCs w:val="18"/>
        </w:rPr>
        <w:t>r</w:t>
      </w:r>
      <w:r w:rsidRPr="006E1DA8">
        <w:rPr>
          <w:rFonts w:eastAsia="Calibri" w:cs="Times New Roman"/>
          <w:spacing w:val="-1"/>
          <w:szCs w:val="18"/>
        </w:rPr>
        <w:t>i</w:t>
      </w:r>
      <w:r w:rsidRPr="006E1DA8">
        <w:rPr>
          <w:rFonts w:eastAsia="Calibri" w:cs="Times New Roman"/>
          <w:szCs w:val="18"/>
        </w:rPr>
        <w:t>b</w:t>
      </w:r>
      <w:r w:rsidRPr="006E1DA8">
        <w:rPr>
          <w:rFonts w:eastAsia="Calibri" w:cs="Times New Roman"/>
          <w:spacing w:val="-1"/>
          <w:szCs w:val="18"/>
        </w:rPr>
        <w:t>er</w:t>
      </w:r>
      <w:r w:rsidRPr="006E1DA8">
        <w:rPr>
          <w:rFonts w:eastAsia="Calibri" w:cs="Times New Roman"/>
          <w:szCs w:val="18"/>
        </w:rPr>
        <w:t>y</w:t>
      </w:r>
      <w:r w:rsidRPr="006E1DA8">
        <w:rPr>
          <w:rFonts w:eastAsia="Calibri" w:cs="Times New Roman"/>
          <w:spacing w:val="-1"/>
          <w:szCs w:val="18"/>
        </w:rPr>
        <w:t xml:space="preserve"> </w:t>
      </w:r>
      <w:r w:rsidRPr="006E1DA8">
        <w:rPr>
          <w:rFonts w:eastAsia="Calibri" w:cs="Times New Roman"/>
          <w:szCs w:val="18"/>
        </w:rPr>
        <w:t>Co</w:t>
      </w:r>
      <w:r w:rsidRPr="006E1DA8">
        <w:rPr>
          <w:rFonts w:eastAsia="Calibri" w:cs="Times New Roman"/>
          <w:spacing w:val="-1"/>
          <w:szCs w:val="18"/>
        </w:rPr>
        <w:t>n</w:t>
      </w:r>
      <w:r w:rsidRPr="006E1DA8">
        <w:rPr>
          <w:rFonts w:eastAsia="Calibri" w:cs="Times New Roman"/>
          <w:szCs w:val="18"/>
        </w:rPr>
        <w:t>s</w:t>
      </w:r>
      <w:r w:rsidRPr="006E1DA8">
        <w:rPr>
          <w:rFonts w:eastAsia="Calibri" w:cs="Times New Roman"/>
          <w:spacing w:val="-1"/>
          <w:szCs w:val="18"/>
        </w:rPr>
        <w:t>u</w:t>
      </w:r>
      <w:r w:rsidRPr="006E1DA8">
        <w:rPr>
          <w:rFonts w:eastAsia="Calibri" w:cs="Times New Roman"/>
          <w:spacing w:val="1"/>
          <w:szCs w:val="18"/>
        </w:rPr>
        <w:t>l</w:t>
      </w:r>
      <w:r w:rsidRPr="006E1DA8">
        <w:rPr>
          <w:rFonts w:eastAsia="Calibri" w:cs="Times New Roman"/>
          <w:spacing w:val="-1"/>
          <w:szCs w:val="18"/>
        </w:rPr>
        <w:t>t</w:t>
      </w:r>
      <w:r w:rsidRPr="006E1DA8">
        <w:rPr>
          <w:rFonts w:eastAsia="Calibri" w:cs="Times New Roman"/>
          <w:szCs w:val="18"/>
        </w:rPr>
        <w:t>a</w:t>
      </w:r>
      <w:r w:rsidRPr="006E1DA8">
        <w:rPr>
          <w:rFonts w:eastAsia="Calibri" w:cs="Times New Roman"/>
          <w:spacing w:val="-1"/>
          <w:szCs w:val="18"/>
        </w:rPr>
        <w:t>t</w:t>
      </w:r>
      <w:r w:rsidRPr="006E1DA8">
        <w:rPr>
          <w:rFonts w:eastAsia="Calibri" w:cs="Times New Roman"/>
          <w:spacing w:val="1"/>
          <w:szCs w:val="18"/>
        </w:rPr>
        <w:t>i</w:t>
      </w:r>
      <w:r w:rsidRPr="006E1DA8">
        <w:rPr>
          <w:rFonts w:eastAsia="Calibri" w:cs="Times New Roman"/>
          <w:spacing w:val="-1"/>
          <w:szCs w:val="18"/>
        </w:rPr>
        <w:t>o</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zCs w:val="18"/>
        </w:rPr>
        <w:t>w</w:t>
      </w:r>
      <w:r w:rsidRPr="006E1DA8">
        <w:rPr>
          <w:rFonts w:eastAsia="Calibri" w:cs="Times New Roman"/>
          <w:spacing w:val="-1"/>
          <w:szCs w:val="18"/>
        </w:rPr>
        <w:t>it</w:t>
      </w:r>
      <w:r w:rsidRPr="006E1DA8">
        <w:rPr>
          <w:rFonts w:eastAsia="Calibri" w:cs="Times New Roman"/>
          <w:szCs w:val="18"/>
        </w:rPr>
        <w:t>h</w:t>
      </w:r>
      <w:r w:rsidRPr="006E1DA8">
        <w:rPr>
          <w:rFonts w:eastAsia="Calibri" w:cs="Times New Roman"/>
          <w:spacing w:val="-1"/>
          <w:szCs w:val="18"/>
        </w:rPr>
        <w:t xml:space="preserve"> t</w:t>
      </w:r>
      <w:r w:rsidRPr="006E1DA8">
        <w:rPr>
          <w:rFonts w:eastAsia="Calibri" w:cs="Times New Roman"/>
          <w:szCs w:val="18"/>
        </w:rPr>
        <w:t>he</w:t>
      </w:r>
      <w:r w:rsidRPr="006E1DA8">
        <w:rPr>
          <w:rFonts w:eastAsia="Calibri" w:cs="Times New Roman"/>
          <w:spacing w:val="-1"/>
          <w:szCs w:val="18"/>
        </w:rPr>
        <w:t xml:space="preserve"> </w:t>
      </w:r>
      <w:r w:rsidRPr="006E1DA8">
        <w:rPr>
          <w:rFonts w:eastAsia="Calibri" w:cs="Times New Roman"/>
          <w:szCs w:val="18"/>
        </w:rPr>
        <w:t>P</w:t>
      </w:r>
      <w:r w:rsidRPr="006E1DA8">
        <w:rPr>
          <w:rFonts w:eastAsia="Calibri" w:cs="Times New Roman"/>
          <w:spacing w:val="-1"/>
          <w:szCs w:val="18"/>
        </w:rPr>
        <w:t>riv</w:t>
      </w:r>
      <w:r w:rsidRPr="006E1DA8">
        <w:rPr>
          <w:rFonts w:eastAsia="Calibri" w:cs="Times New Roman"/>
          <w:spacing w:val="2"/>
          <w:szCs w:val="18"/>
        </w:rPr>
        <w:t>a</w:t>
      </w:r>
      <w:r w:rsidRPr="006E1DA8">
        <w:rPr>
          <w:rFonts w:eastAsia="Calibri" w:cs="Times New Roman"/>
          <w:spacing w:val="-1"/>
          <w:szCs w:val="18"/>
        </w:rPr>
        <w:t>t</w:t>
      </w:r>
      <w:r w:rsidRPr="006E1DA8">
        <w:rPr>
          <w:rFonts w:eastAsia="Calibri" w:cs="Times New Roman"/>
          <w:szCs w:val="18"/>
        </w:rPr>
        <w:t>e</w:t>
      </w:r>
      <w:r w:rsidRPr="006E1DA8">
        <w:rPr>
          <w:rFonts w:eastAsia="Calibri" w:cs="Times New Roman"/>
          <w:spacing w:val="-1"/>
          <w:szCs w:val="18"/>
        </w:rPr>
        <w:t xml:space="preserve"> </w:t>
      </w:r>
      <w:r w:rsidRPr="006E1DA8">
        <w:rPr>
          <w:rFonts w:eastAsia="Calibri" w:cs="Times New Roman"/>
          <w:szCs w:val="18"/>
        </w:rPr>
        <w:t>S</w:t>
      </w:r>
      <w:r w:rsidRPr="006E1DA8">
        <w:rPr>
          <w:rFonts w:eastAsia="Calibri" w:cs="Times New Roman"/>
          <w:spacing w:val="-1"/>
          <w:szCs w:val="18"/>
        </w:rPr>
        <w:t>ect</w:t>
      </w:r>
      <w:r w:rsidRPr="006E1DA8">
        <w:rPr>
          <w:rFonts w:eastAsia="Calibri" w:cs="Times New Roman"/>
          <w:spacing w:val="1"/>
          <w:szCs w:val="18"/>
        </w:rPr>
        <w:t>o</w:t>
      </w:r>
      <w:r w:rsidRPr="006E1DA8">
        <w:rPr>
          <w:rFonts w:eastAsia="Calibri" w:cs="Times New Roman"/>
          <w:szCs w:val="18"/>
        </w:rPr>
        <w:t>r</w:t>
      </w:r>
      <w:r w:rsidRPr="006E1DA8">
        <w:rPr>
          <w:rFonts w:eastAsia="Calibri" w:cs="Times New Roman"/>
          <w:spacing w:val="-1"/>
          <w:szCs w:val="18"/>
        </w:rPr>
        <w:t xml:space="preserve"> a</w:t>
      </w:r>
      <w:r w:rsidRPr="006E1DA8">
        <w:rPr>
          <w:rFonts w:eastAsia="Calibri" w:cs="Times New Roman"/>
          <w:szCs w:val="18"/>
        </w:rPr>
        <w:t>nd</w:t>
      </w:r>
      <w:r w:rsidRPr="006E1DA8">
        <w:rPr>
          <w:rFonts w:eastAsia="Calibri" w:cs="Times New Roman"/>
          <w:spacing w:val="-1"/>
          <w:szCs w:val="18"/>
        </w:rPr>
        <w:t xml:space="preserve"> </w:t>
      </w:r>
      <w:r w:rsidRPr="006E1DA8">
        <w:rPr>
          <w:rFonts w:eastAsia="Calibri" w:cs="Times New Roman"/>
          <w:szCs w:val="18"/>
        </w:rPr>
        <w:t>C</w:t>
      </w:r>
      <w:r w:rsidRPr="006E1DA8">
        <w:rPr>
          <w:rFonts w:eastAsia="Calibri" w:cs="Times New Roman"/>
          <w:spacing w:val="-1"/>
          <w:szCs w:val="18"/>
        </w:rPr>
        <w:t>ivi</w:t>
      </w:r>
      <w:r w:rsidRPr="006E1DA8">
        <w:rPr>
          <w:rFonts w:eastAsia="Calibri" w:cs="Times New Roman"/>
          <w:szCs w:val="18"/>
        </w:rPr>
        <w:t>l</w:t>
      </w:r>
      <w:r w:rsidRPr="006E1DA8">
        <w:rPr>
          <w:rFonts w:eastAsia="Calibri" w:cs="Times New Roman"/>
          <w:spacing w:val="-1"/>
          <w:szCs w:val="18"/>
        </w:rPr>
        <w:t xml:space="preserve"> </w:t>
      </w:r>
      <w:r w:rsidRPr="006E1DA8">
        <w:rPr>
          <w:rFonts w:eastAsia="Calibri" w:cs="Times New Roman"/>
          <w:spacing w:val="2"/>
          <w:szCs w:val="18"/>
        </w:rPr>
        <w:t>S</w:t>
      </w:r>
      <w:r w:rsidRPr="006E1DA8">
        <w:rPr>
          <w:rFonts w:eastAsia="Calibri" w:cs="Times New Roman"/>
          <w:spacing w:val="-1"/>
          <w:szCs w:val="18"/>
        </w:rPr>
        <w:t>ociet</w:t>
      </w:r>
      <w:r w:rsidRPr="006E1DA8">
        <w:rPr>
          <w:rFonts w:eastAsia="Calibri" w:cs="Times New Roman"/>
          <w:szCs w:val="18"/>
        </w:rPr>
        <w:t>y</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pacing w:val="1"/>
          <w:szCs w:val="18"/>
        </w:rPr>
        <w:t>E</w:t>
      </w:r>
      <w:r w:rsidRPr="006E1DA8">
        <w:rPr>
          <w:rFonts w:eastAsia="Calibri" w:cs="Times New Roman"/>
          <w:szCs w:val="18"/>
        </w:rPr>
        <w:t>C</w:t>
      </w:r>
      <w:r w:rsidRPr="006E1DA8">
        <w:rPr>
          <w:rFonts w:eastAsia="Calibri" w:cs="Times New Roman"/>
          <w:spacing w:val="-1"/>
          <w:szCs w:val="18"/>
        </w:rPr>
        <w:t>D</w:t>
      </w:r>
      <w:r w:rsidRPr="006E1DA8">
        <w:rPr>
          <w:rFonts w:eastAsia="Calibri" w:cs="Times New Roman"/>
          <w:szCs w:val="18"/>
        </w:rPr>
        <w:t>,</w:t>
      </w:r>
      <w:r w:rsidRPr="006E1DA8">
        <w:rPr>
          <w:rFonts w:eastAsia="Calibri" w:cs="Times New Roman"/>
          <w:spacing w:val="1"/>
          <w:szCs w:val="18"/>
        </w:rPr>
        <w:t xml:space="preserve"> </w:t>
      </w:r>
      <w:r w:rsidRPr="006E1DA8">
        <w:rPr>
          <w:rFonts w:eastAsia="Calibri" w:cs="Times New Roman"/>
          <w:spacing w:val="-1"/>
          <w:szCs w:val="18"/>
        </w:rPr>
        <w:t>Octo</w:t>
      </w:r>
      <w:r w:rsidRPr="006E1DA8">
        <w:rPr>
          <w:rFonts w:eastAsia="Calibri" w:cs="Times New Roman"/>
          <w:szCs w:val="18"/>
        </w:rPr>
        <w:t>b</w:t>
      </w:r>
      <w:r w:rsidRPr="006E1DA8">
        <w:rPr>
          <w:rFonts w:eastAsia="Calibri" w:cs="Times New Roman"/>
          <w:spacing w:val="-1"/>
          <w:szCs w:val="18"/>
        </w:rPr>
        <w:t>e</w:t>
      </w:r>
      <w:r w:rsidRPr="006E1DA8">
        <w:rPr>
          <w:rFonts w:eastAsia="Calibri" w:cs="Times New Roman"/>
          <w:szCs w:val="18"/>
        </w:rPr>
        <w:t>r</w:t>
      </w:r>
      <w:r w:rsidRPr="006E1DA8">
        <w:rPr>
          <w:rFonts w:eastAsia="Calibri" w:cs="Times New Roman"/>
          <w:spacing w:val="-1"/>
          <w:szCs w:val="18"/>
        </w:rPr>
        <w:t xml:space="preserve"> </w:t>
      </w:r>
      <w:r w:rsidRPr="006E1DA8">
        <w:rPr>
          <w:rFonts w:eastAsia="Calibri" w:cs="Times New Roman"/>
          <w:szCs w:val="18"/>
        </w:rPr>
        <w:t>2011</w:t>
      </w:r>
      <w:r w:rsidRPr="006E1DA8">
        <w:rPr>
          <w:rFonts w:eastAsia="Calibri" w:cs="Times New Roman"/>
          <w:spacing w:val="-1"/>
          <w:szCs w:val="18"/>
        </w:rPr>
        <w:t>)</w:t>
      </w:r>
      <w:r w:rsidRPr="006E1DA8">
        <w:rPr>
          <w:rFonts w:eastAsia="Calibri" w:cs="Times New Roman"/>
          <w:szCs w:val="18"/>
        </w:rPr>
        <w:t>,</w:t>
      </w:r>
      <w:r w:rsidRPr="006E1DA8">
        <w:rPr>
          <w:rFonts w:eastAsia="Calibri" w:cs="Times New Roman"/>
          <w:spacing w:val="1"/>
          <w:szCs w:val="18"/>
        </w:rPr>
        <w:t xml:space="preserve"> </w:t>
      </w:r>
      <w:r w:rsidRPr="006E1DA8">
        <w:rPr>
          <w:rFonts w:eastAsia="Calibri" w:cs="Times New Roman"/>
          <w:spacing w:val="-1"/>
          <w:szCs w:val="18"/>
        </w:rPr>
        <w:t>retr</w:t>
      </w:r>
      <w:r w:rsidRPr="006E1DA8">
        <w:rPr>
          <w:rFonts w:eastAsia="Calibri" w:cs="Times New Roman"/>
          <w:spacing w:val="1"/>
          <w:szCs w:val="18"/>
        </w:rPr>
        <w:t>i</w:t>
      </w:r>
      <w:r w:rsidRPr="006E1DA8">
        <w:rPr>
          <w:rFonts w:eastAsia="Calibri" w:cs="Times New Roman"/>
          <w:spacing w:val="-1"/>
          <w:szCs w:val="18"/>
        </w:rPr>
        <w:t>ev</w:t>
      </w:r>
      <w:r w:rsidRPr="006E1DA8">
        <w:rPr>
          <w:rFonts w:eastAsia="Calibri" w:cs="Times New Roman"/>
          <w:spacing w:val="1"/>
          <w:szCs w:val="18"/>
        </w:rPr>
        <w:t>e</w:t>
      </w:r>
      <w:r w:rsidRPr="006E1DA8">
        <w:rPr>
          <w:rFonts w:eastAsia="Calibri" w:cs="Times New Roman"/>
          <w:szCs w:val="18"/>
        </w:rPr>
        <w:t>d</w:t>
      </w:r>
      <w:r w:rsidRPr="006E1DA8">
        <w:rPr>
          <w:rFonts w:eastAsia="Calibri" w:cs="Times New Roman"/>
          <w:spacing w:val="-1"/>
          <w:szCs w:val="18"/>
        </w:rPr>
        <w:t xml:space="preserve"> fro</w:t>
      </w:r>
      <w:r w:rsidRPr="006E1DA8">
        <w:rPr>
          <w:rFonts w:eastAsia="Calibri" w:cs="Times New Roman"/>
          <w:szCs w:val="18"/>
        </w:rPr>
        <w:t xml:space="preserve">m </w:t>
      </w:r>
      <w:hyperlink r:id="rId11" w:history="1">
        <w:r w:rsidRPr="006E1DA8">
          <w:rPr>
            <w:rStyle w:val="Hyperlink"/>
            <w:rFonts w:eastAsia="Calibri" w:cs="Times New Roman"/>
            <w:szCs w:val="18"/>
            <w:u w:color="0000FF"/>
          </w:rPr>
          <w:t>h</w:t>
        </w:r>
        <w:r w:rsidRPr="006E1DA8">
          <w:rPr>
            <w:rStyle w:val="Hyperlink"/>
            <w:rFonts w:eastAsia="Calibri" w:cs="Times New Roman"/>
            <w:spacing w:val="-1"/>
            <w:szCs w:val="18"/>
            <w:u w:color="0000FF"/>
          </w:rPr>
          <w:t>tt</w:t>
        </w:r>
        <w:r w:rsidRPr="006E1DA8">
          <w:rPr>
            <w:rStyle w:val="Hyperlink"/>
            <w:rFonts w:eastAsia="Calibri" w:cs="Times New Roman"/>
            <w:szCs w:val="18"/>
            <w:u w:color="0000FF"/>
          </w:rPr>
          <w:t>p://www</w:t>
        </w:r>
        <w:r w:rsidRPr="006E1DA8">
          <w:rPr>
            <w:rStyle w:val="Hyperlink"/>
            <w:rFonts w:eastAsia="Calibri" w:cs="Times New Roman"/>
            <w:spacing w:val="1"/>
            <w:szCs w:val="18"/>
            <w:u w:color="0000FF"/>
          </w:rPr>
          <w:t>.</w:t>
        </w:r>
        <w:r w:rsidRPr="006E1DA8">
          <w:rPr>
            <w:rStyle w:val="Hyperlink"/>
            <w:rFonts w:eastAsia="Calibri" w:cs="Times New Roman"/>
            <w:spacing w:val="-1"/>
            <w:szCs w:val="18"/>
            <w:u w:color="0000FF"/>
          </w:rPr>
          <w:t>oec</w:t>
        </w:r>
        <w:r w:rsidRPr="006E1DA8">
          <w:rPr>
            <w:rStyle w:val="Hyperlink"/>
            <w:rFonts w:eastAsia="Calibri" w:cs="Times New Roman"/>
            <w:szCs w:val="18"/>
            <w:u w:color="0000FF"/>
          </w:rPr>
          <w:t>d.</w:t>
        </w:r>
        <w:r w:rsidRPr="006E1DA8">
          <w:rPr>
            <w:rStyle w:val="Hyperlink"/>
            <w:rFonts w:eastAsia="Calibri" w:cs="Times New Roman"/>
            <w:spacing w:val="-1"/>
            <w:szCs w:val="18"/>
            <w:u w:color="0000FF"/>
          </w:rPr>
          <w:t>or</w:t>
        </w:r>
        <w:r w:rsidRPr="006E1DA8">
          <w:rPr>
            <w:rStyle w:val="Hyperlink"/>
            <w:rFonts w:eastAsia="Calibri" w:cs="Times New Roman"/>
            <w:spacing w:val="1"/>
            <w:szCs w:val="18"/>
            <w:u w:color="0000FF"/>
          </w:rPr>
          <w:t>g</w:t>
        </w:r>
        <w:r w:rsidRPr="006E1DA8">
          <w:rPr>
            <w:rStyle w:val="Hyperlink"/>
            <w:rFonts w:eastAsia="Calibri" w:cs="Times New Roman"/>
            <w:szCs w:val="18"/>
            <w:u w:color="0000FF"/>
          </w:rPr>
          <w:t>/da</w:t>
        </w:r>
        <w:r w:rsidRPr="006E1DA8">
          <w:rPr>
            <w:rStyle w:val="Hyperlink"/>
            <w:rFonts w:eastAsia="Calibri" w:cs="Times New Roman"/>
            <w:spacing w:val="-1"/>
            <w:szCs w:val="18"/>
            <w:u w:color="0000FF"/>
          </w:rPr>
          <w:t>t</w:t>
        </w:r>
        <w:r w:rsidRPr="006E1DA8">
          <w:rPr>
            <w:rStyle w:val="Hyperlink"/>
            <w:rFonts w:eastAsia="Calibri" w:cs="Times New Roman"/>
            <w:szCs w:val="18"/>
            <w:u w:color="0000FF"/>
          </w:rPr>
          <w:t>a</w:t>
        </w:r>
        <w:r w:rsidRPr="006E1DA8">
          <w:rPr>
            <w:rStyle w:val="Hyperlink"/>
            <w:rFonts w:eastAsia="Calibri" w:cs="Times New Roman"/>
            <w:spacing w:val="-1"/>
            <w:szCs w:val="18"/>
            <w:u w:color="0000FF"/>
          </w:rPr>
          <w:t>oec</w:t>
        </w:r>
        <w:r w:rsidRPr="006E1DA8">
          <w:rPr>
            <w:rStyle w:val="Hyperlink"/>
            <w:rFonts w:eastAsia="Calibri" w:cs="Times New Roman"/>
            <w:szCs w:val="18"/>
            <w:u w:color="0000FF"/>
          </w:rPr>
          <w:t>d/2/</w:t>
        </w:r>
        <w:r w:rsidRPr="006E1DA8">
          <w:rPr>
            <w:rStyle w:val="Hyperlink"/>
            <w:rFonts w:eastAsia="Calibri" w:cs="Times New Roman"/>
            <w:spacing w:val="-2"/>
            <w:szCs w:val="18"/>
            <w:u w:color="0000FF"/>
          </w:rPr>
          <w:t>31</w:t>
        </w:r>
        <w:r w:rsidRPr="006E1DA8">
          <w:rPr>
            <w:rStyle w:val="Hyperlink"/>
            <w:rFonts w:eastAsia="Calibri" w:cs="Times New Roman"/>
            <w:szCs w:val="18"/>
            <w:u w:color="0000FF"/>
          </w:rPr>
          <w:t>/49040</w:t>
        </w:r>
        <w:r w:rsidRPr="006E1DA8">
          <w:rPr>
            <w:rStyle w:val="Hyperlink"/>
            <w:rFonts w:eastAsia="Calibri" w:cs="Times New Roman"/>
            <w:spacing w:val="-2"/>
            <w:szCs w:val="18"/>
            <w:u w:color="0000FF"/>
          </w:rPr>
          <w:t>7</w:t>
        </w:r>
        <w:r w:rsidRPr="006E1DA8">
          <w:rPr>
            <w:rStyle w:val="Hyperlink"/>
            <w:rFonts w:eastAsia="Calibri" w:cs="Times New Roman"/>
            <w:szCs w:val="18"/>
            <w:u w:color="0000FF"/>
          </w:rPr>
          <w:t>60.pdf</w:t>
        </w:r>
      </w:hyperlink>
      <w:r w:rsidRPr="006E1DA8">
        <w:rPr>
          <w:rFonts w:eastAsia="Calibri" w:cs="Times New Roman"/>
          <w:szCs w:val="18"/>
        </w:rPr>
        <w:t>.</w:t>
      </w:r>
    </w:p>
  </w:footnote>
  <w:footnote w:id="46">
    <w:p w14:paraId="11398FFA" w14:textId="77777777" w:rsidR="006E4ED9" w:rsidRPr="006E1DA8" w:rsidRDefault="006E4ED9" w:rsidP="0083748E">
      <w:pPr>
        <w:pStyle w:val="FootnoteText"/>
        <w:rPr>
          <w:szCs w:val="18"/>
        </w:rPr>
      </w:pPr>
      <w:r w:rsidRPr="006E1DA8">
        <w:rPr>
          <w:rStyle w:val="FootnoteReference"/>
          <w:rFonts w:eastAsiaTheme="minorEastAsia"/>
          <w:szCs w:val="18"/>
        </w:rPr>
        <w:footnoteRef/>
      </w:r>
      <w:r w:rsidRPr="006E1DA8">
        <w:rPr>
          <w:szCs w:val="18"/>
        </w:rPr>
        <w:t xml:space="preserve"> [80] </w:t>
      </w:r>
      <w:r w:rsidRPr="006E1DA8">
        <w:rPr>
          <w:rFonts w:eastAsia="Calibri"/>
          <w:i/>
          <w:szCs w:val="18"/>
        </w:rPr>
        <w:t>I</w:t>
      </w:r>
      <w:r w:rsidRPr="006E1DA8">
        <w:rPr>
          <w:rFonts w:eastAsia="Calibri"/>
          <w:i/>
          <w:spacing w:val="-1"/>
          <w:szCs w:val="18"/>
        </w:rPr>
        <w:t>bid</w:t>
      </w:r>
      <w:r w:rsidRPr="006E1DA8">
        <w:rPr>
          <w:rFonts w:eastAsia="Calibri"/>
          <w:szCs w:val="18"/>
        </w:rPr>
        <w:t>.</w:t>
      </w:r>
    </w:p>
  </w:footnote>
  <w:footnote w:id="47">
    <w:p w14:paraId="6855240A" w14:textId="77777777" w:rsidR="006E4ED9" w:rsidRPr="006E1DA8" w:rsidRDefault="006E4ED9" w:rsidP="0083748E">
      <w:pPr>
        <w:pStyle w:val="FootnoteText"/>
        <w:rPr>
          <w:rFonts w:eastAsia="Times New Roman" w:cs="Times New Roman"/>
          <w:sz w:val="20"/>
        </w:rPr>
      </w:pPr>
      <w:r w:rsidRPr="006E1DA8">
        <w:rPr>
          <w:rStyle w:val="FootnoteReference"/>
          <w:rFonts w:eastAsiaTheme="minorEastAsia"/>
          <w:szCs w:val="18"/>
        </w:rPr>
        <w:footnoteRef/>
      </w:r>
      <w:r w:rsidRPr="006E1DA8">
        <w:rPr>
          <w:szCs w:val="18"/>
        </w:rPr>
        <w:t xml:space="preserve"> </w:t>
      </w:r>
      <w:r w:rsidRPr="006E1DA8">
        <w:rPr>
          <w:rFonts w:cs="Times New Roman"/>
          <w:szCs w:val="18"/>
        </w:rPr>
        <w:t xml:space="preserve">[81] </w:t>
      </w:r>
      <w:r w:rsidRPr="006E1DA8">
        <w:rPr>
          <w:rFonts w:eastAsia="Times New Roman" w:cs="Times New Roman"/>
          <w:szCs w:val="18"/>
        </w:rPr>
        <w:t>International Bar Association “Report of the Task Force on Extra-Territorial Jurisdiction” Chapter 4: Bribery and Corruption, February 6, 2009 at p. 202.</w:t>
      </w:r>
    </w:p>
  </w:footnote>
  <w:footnote w:id="48">
    <w:p w14:paraId="255472A5" w14:textId="77777777" w:rsidR="006E4ED9" w:rsidRPr="006E1DA8" w:rsidRDefault="006E4ED9" w:rsidP="0083748E">
      <w:pPr>
        <w:pStyle w:val="FootnoteText"/>
        <w:rPr>
          <w:rFonts w:eastAsia="Calibri" w:cs="Times New Roman"/>
          <w:szCs w:val="18"/>
        </w:rPr>
      </w:pPr>
      <w:r w:rsidRPr="006E1DA8">
        <w:rPr>
          <w:rStyle w:val="FootnoteReference"/>
          <w:rFonts w:cs="Times New Roman"/>
          <w:szCs w:val="18"/>
        </w:rPr>
        <w:footnoteRef/>
      </w:r>
      <w:r w:rsidRPr="006E1DA8">
        <w:rPr>
          <w:rFonts w:cs="Times New Roman"/>
          <w:szCs w:val="18"/>
        </w:rPr>
        <w:t xml:space="preserve"> [82] </w:t>
      </w:r>
      <w:r w:rsidRPr="006E1DA8">
        <w:rPr>
          <w:rFonts w:eastAsia="Calibri" w:cs="Times New Roman"/>
          <w:spacing w:val="1"/>
          <w:szCs w:val="18"/>
        </w:rPr>
        <w:t>T</w:t>
      </w:r>
      <w:r w:rsidRPr="006E1DA8">
        <w:rPr>
          <w:rFonts w:eastAsia="Calibri" w:cs="Times New Roman"/>
          <w:szCs w:val="18"/>
        </w:rPr>
        <w:t>he</w:t>
      </w:r>
      <w:r w:rsidRPr="006E1DA8">
        <w:rPr>
          <w:rFonts w:eastAsia="Calibri" w:cs="Times New Roman"/>
          <w:spacing w:val="-1"/>
          <w:szCs w:val="18"/>
        </w:rPr>
        <w:t xml:space="preserve"> </w:t>
      </w:r>
      <w:r w:rsidRPr="006E1DA8">
        <w:rPr>
          <w:rFonts w:eastAsia="Calibri" w:cs="Times New Roman"/>
          <w:szCs w:val="18"/>
        </w:rPr>
        <w:t>Ta</w:t>
      </w:r>
      <w:r w:rsidRPr="006E1DA8">
        <w:rPr>
          <w:rFonts w:eastAsia="Calibri" w:cs="Times New Roman"/>
          <w:spacing w:val="-1"/>
          <w:szCs w:val="18"/>
        </w:rPr>
        <w:t>s</w:t>
      </w:r>
      <w:r w:rsidRPr="006E1DA8">
        <w:rPr>
          <w:rFonts w:eastAsia="Calibri" w:cs="Times New Roman"/>
          <w:szCs w:val="18"/>
        </w:rPr>
        <w:t>k</w:t>
      </w:r>
      <w:r w:rsidRPr="006E1DA8">
        <w:rPr>
          <w:rFonts w:eastAsia="Calibri" w:cs="Times New Roman"/>
          <w:spacing w:val="-1"/>
          <w:szCs w:val="18"/>
        </w:rPr>
        <w:t xml:space="preserve"> </w:t>
      </w:r>
      <w:r w:rsidRPr="006E1DA8">
        <w:rPr>
          <w:rFonts w:eastAsia="Calibri" w:cs="Times New Roman"/>
          <w:szCs w:val="18"/>
        </w:rPr>
        <w:t>F</w:t>
      </w:r>
      <w:r w:rsidRPr="006E1DA8">
        <w:rPr>
          <w:rFonts w:eastAsia="Calibri" w:cs="Times New Roman"/>
          <w:spacing w:val="-1"/>
          <w:szCs w:val="18"/>
        </w:rPr>
        <w:t>orc</w:t>
      </w:r>
      <w:r w:rsidRPr="006E1DA8">
        <w:rPr>
          <w:rFonts w:eastAsia="Calibri" w:cs="Times New Roman"/>
          <w:szCs w:val="18"/>
        </w:rPr>
        <w:t>e</w:t>
      </w:r>
      <w:r w:rsidRPr="006E1DA8">
        <w:rPr>
          <w:rFonts w:eastAsia="Calibri" w:cs="Times New Roman"/>
          <w:spacing w:val="-1"/>
          <w:szCs w:val="18"/>
        </w:rPr>
        <w:t xml:space="preserve"> reco</w:t>
      </w:r>
      <w:r w:rsidRPr="006E1DA8">
        <w:rPr>
          <w:rFonts w:eastAsia="Calibri" w:cs="Times New Roman"/>
          <w:spacing w:val="1"/>
          <w:szCs w:val="18"/>
        </w:rPr>
        <w:t>mm</w:t>
      </w:r>
      <w:r w:rsidRPr="006E1DA8">
        <w:rPr>
          <w:rFonts w:eastAsia="Calibri" w:cs="Times New Roman"/>
          <w:spacing w:val="-1"/>
          <w:szCs w:val="18"/>
        </w:rPr>
        <w:t>e</w:t>
      </w:r>
      <w:r w:rsidRPr="006E1DA8">
        <w:rPr>
          <w:rFonts w:eastAsia="Calibri" w:cs="Times New Roman"/>
          <w:szCs w:val="18"/>
        </w:rPr>
        <w:t>n</w:t>
      </w:r>
      <w:r w:rsidRPr="006E1DA8">
        <w:rPr>
          <w:rFonts w:eastAsia="Calibri" w:cs="Times New Roman"/>
          <w:spacing w:val="-1"/>
          <w:szCs w:val="18"/>
        </w:rPr>
        <w:t>d</w:t>
      </w:r>
      <w:r w:rsidRPr="006E1DA8">
        <w:rPr>
          <w:rFonts w:eastAsia="Calibri" w:cs="Times New Roman"/>
          <w:szCs w:val="18"/>
        </w:rPr>
        <w:t>s</w:t>
      </w:r>
      <w:r w:rsidRPr="006E1DA8">
        <w:rPr>
          <w:rFonts w:eastAsia="Calibri" w:cs="Times New Roman"/>
          <w:spacing w:val="-1"/>
          <w:szCs w:val="18"/>
        </w:rPr>
        <w:t xml:space="preserve"> co</w:t>
      </w:r>
      <w:r w:rsidRPr="006E1DA8">
        <w:rPr>
          <w:rFonts w:eastAsia="Calibri" w:cs="Times New Roman"/>
          <w:szCs w:val="18"/>
        </w:rPr>
        <w:t>n</w:t>
      </w:r>
      <w:r w:rsidRPr="006E1DA8">
        <w:rPr>
          <w:rFonts w:eastAsia="Calibri" w:cs="Times New Roman"/>
          <w:spacing w:val="-1"/>
          <w:szCs w:val="18"/>
        </w:rPr>
        <w:t>si</w:t>
      </w:r>
      <w:r w:rsidRPr="006E1DA8">
        <w:rPr>
          <w:rFonts w:eastAsia="Calibri" w:cs="Times New Roman"/>
          <w:szCs w:val="18"/>
        </w:rPr>
        <w:t>d</w:t>
      </w:r>
      <w:r w:rsidRPr="006E1DA8">
        <w:rPr>
          <w:rFonts w:eastAsia="Calibri" w:cs="Times New Roman"/>
          <w:spacing w:val="1"/>
          <w:szCs w:val="18"/>
        </w:rPr>
        <w:t>e</w:t>
      </w:r>
      <w:r w:rsidRPr="006E1DA8">
        <w:rPr>
          <w:rFonts w:eastAsia="Calibri" w:cs="Times New Roman"/>
          <w:spacing w:val="-1"/>
          <w:szCs w:val="18"/>
        </w:rPr>
        <w:t>r</w:t>
      </w:r>
      <w:r w:rsidRPr="006E1DA8">
        <w:rPr>
          <w:rFonts w:eastAsia="Calibri" w:cs="Times New Roman"/>
          <w:szCs w:val="18"/>
        </w:rPr>
        <w:t>a</w:t>
      </w:r>
      <w:r w:rsidRPr="006E1DA8">
        <w:rPr>
          <w:rFonts w:eastAsia="Calibri" w:cs="Times New Roman"/>
          <w:spacing w:val="-1"/>
          <w:szCs w:val="18"/>
        </w:rPr>
        <w:t>tio</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f</w:t>
      </w:r>
      <w:r w:rsidRPr="006E1DA8">
        <w:rPr>
          <w:rFonts w:eastAsia="Calibri" w:cs="Times New Roman"/>
          <w:spacing w:val="-1"/>
          <w:szCs w:val="18"/>
        </w:rPr>
        <w:t xml:space="preserve"> t</w:t>
      </w:r>
      <w:r w:rsidRPr="006E1DA8">
        <w:rPr>
          <w:rFonts w:eastAsia="Calibri" w:cs="Times New Roman"/>
          <w:szCs w:val="18"/>
        </w:rPr>
        <w:t>he</w:t>
      </w:r>
      <w:r w:rsidRPr="006E1DA8">
        <w:rPr>
          <w:rFonts w:eastAsia="Calibri" w:cs="Times New Roman"/>
          <w:spacing w:val="-1"/>
          <w:szCs w:val="18"/>
        </w:rPr>
        <w:t xml:space="preserve"> d</w:t>
      </w:r>
      <w:r w:rsidRPr="006E1DA8">
        <w:rPr>
          <w:rFonts w:eastAsia="Calibri" w:cs="Times New Roman"/>
          <w:spacing w:val="1"/>
          <w:szCs w:val="18"/>
        </w:rPr>
        <w:t>e</w:t>
      </w:r>
      <w:r w:rsidRPr="006E1DA8">
        <w:rPr>
          <w:rFonts w:eastAsia="Calibri" w:cs="Times New Roman"/>
          <w:spacing w:val="-1"/>
          <w:szCs w:val="18"/>
        </w:rPr>
        <w:t>velo</w:t>
      </w:r>
      <w:r w:rsidRPr="006E1DA8">
        <w:rPr>
          <w:rFonts w:eastAsia="Calibri" w:cs="Times New Roman"/>
          <w:szCs w:val="18"/>
        </w:rPr>
        <w:t>pm</w:t>
      </w:r>
      <w:r w:rsidRPr="006E1DA8">
        <w:rPr>
          <w:rFonts w:eastAsia="Calibri" w:cs="Times New Roman"/>
          <w:spacing w:val="-1"/>
          <w:szCs w:val="18"/>
        </w:rPr>
        <w:t>e</w:t>
      </w:r>
      <w:r w:rsidRPr="006E1DA8">
        <w:rPr>
          <w:rFonts w:eastAsia="Calibri" w:cs="Times New Roman"/>
          <w:szCs w:val="18"/>
        </w:rPr>
        <w:t>nt</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f</w:t>
      </w:r>
      <w:r w:rsidRPr="006E1DA8">
        <w:rPr>
          <w:rFonts w:eastAsia="Calibri" w:cs="Times New Roman"/>
          <w:spacing w:val="-1"/>
          <w:szCs w:val="18"/>
        </w:rPr>
        <w:t xml:space="preserve"> </w:t>
      </w:r>
      <w:r w:rsidRPr="006E1DA8">
        <w:rPr>
          <w:rFonts w:eastAsia="Calibri" w:cs="Times New Roman"/>
          <w:szCs w:val="18"/>
        </w:rPr>
        <w:t xml:space="preserve">a </w:t>
      </w:r>
      <w:r w:rsidRPr="006E1DA8">
        <w:rPr>
          <w:rFonts w:eastAsia="Calibri" w:cs="Times New Roman"/>
          <w:spacing w:val="-1"/>
          <w:szCs w:val="18"/>
        </w:rPr>
        <w:t>pro</w:t>
      </w:r>
      <w:r w:rsidRPr="006E1DA8">
        <w:rPr>
          <w:rFonts w:eastAsia="Calibri" w:cs="Times New Roman"/>
          <w:spacing w:val="1"/>
          <w:szCs w:val="18"/>
        </w:rPr>
        <w:t>to</w:t>
      </w:r>
      <w:r w:rsidRPr="006E1DA8">
        <w:rPr>
          <w:rFonts w:eastAsia="Calibri" w:cs="Times New Roman"/>
          <w:spacing w:val="-1"/>
          <w:szCs w:val="18"/>
        </w:rPr>
        <w:t>co</w:t>
      </w:r>
      <w:r w:rsidRPr="006E1DA8">
        <w:rPr>
          <w:rFonts w:eastAsia="Calibri" w:cs="Times New Roman"/>
          <w:szCs w:val="18"/>
        </w:rPr>
        <w:t>l</w:t>
      </w:r>
      <w:r w:rsidRPr="006E1DA8">
        <w:rPr>
          <w:rFonts w:eastAsia="Calibri" w:cs="Times New Roman"/>
          <w:spacing w:val="-1"/>
          <w:szCs w:val="18"/>
        </w:rPr>
        <w:t xml:space="preserve"> t</w:t>
      </w:r>
      <w:r w:rsidRPr="006E1DA8">
        <w:rPr>
          <w:rFonts w:eastAsia="Calibri" w:cs="Times New Roman"/>
          <w:szCs w:val="18"/>
        </w:rPr>
        <w:t>o</w:t>
      </w:r>
      <w:r w:rsidRPr="006E1DA8">
        <w:rPr>
          <w:rFonts w:eastAsia="Calibri" w:cs="Times New Roman"/>
          <w:spacing w:val="1"/>
          <w:szCs w:val="18"/>
        </w:rPr>
        <w:t xml:space="preserve"> </w:t>
      </w:r>
      <w:r w:rsidRPr="006E1DA8">
        <w:rPr>
          <w:rFonts w:eastAsia="Calibri" w:cs="Times New Roman"/>
          <w:spacing w:val="-1"/>
          <w:szCs w:val="18"/>
        </w:rPr>
        <w:t>t</w:t>
      </w:r>
      <w:r w:rsidRPr="006E1DA8">
        <w:rPr>
          <w:rFonts w:eastAsia="Calibri" w:cs="Times New Roman"/>
          <w:szCs w:val="18"/>
        </w:rPr>
        <w:t>he</w:t>
      </w:r>
      <w:r w:rsidRPr="006E1DA8">
        <w:rPr>
          <w:rFonts w:eastAsia="Calibri" w:cs="Times New Roman"/>
          <w:spacing w:val="-1"/>
          <w:szCs w:val="18"/>
        </w:rPr>
        <w:t xml:space="preserve"> O</w:t>
      </w:r>
      <w:r w:rsidRPr="006E1DA8">
        <w:rPr>
          <w:rFonts w:eastAsia="Calibri" w:cs="Times New Roman"/>
          <w:spacing w:val="1"/>
          <w:szCs w:val="18"/>
        </w:rPr>
        <w:t>E</w:t>
      </w:r>
      <w:r w:rsidRPr="006E1DA8">
        <w:rPr>
          <w:rFonts w:eastAsia="Calibri" w:cs="Times New Roman"/>
          <w:szCs w:val="18"/>
        </w:rPr>
        <w:t>CD Co</w:t>
      </w:r>
      <w:r w:rsidRPr="006E1DA8">
        <w:rPr>
          <w:rFonts w:eastAsia="Calibri" w:cs="Times New Roman"/>
          <w:spacing w:val="-1"/>
          <w:szCs w:val="18"/>
        </w:rPr>
        <w:t>nve</w:t>
      </w:r>
      <w:r w:rsidRPr="006E1DA8">
        <w:rPr>
          <w:rFonts w:eastAsia="Calibri" w:cs="Times New Roman"/>
          <w:szCs w:val="18"/>
        </w:rPr>
        <w:t>n</w:t>
      </w:r>
      <w:r w:rsidRPr="006E1DA8">
        <w:rPr>
          <w:rFonts w:eastAsia="Calibri" w:cs="Times New Roman"/>
          <w:spacing w:val="-2"/>
          <w:szCs w:val="18"/>
        </w:rPr>
        <w:t>t</w:t>
      </w:r>
      <w:r w:rsidRPr="006E1DA8">
        <w:rPr>
          <w:rFonts w:eastAsia="Calibri" w:cs="Times New Roman"/>
          <w:spacing w:val="-1"/>
          <w:szCs w:val="18"/>
        </w:rPr>
        <w:t>io</w:t>
      </w:r>
      <w:r w:rsidRPr="006E1DA8">
        <w:rPr>
          <w:rFonts w:eastAsia="Calibri" w:cs="Times New Roman"/>
          <w:szCs w:val="18"/>
        </w:rPr>
        <w:t>n</w:t>
      </w:r>
      <w:r w:rsidRPr="006E1DA8">
        <w:rPr>
          <w:rFonts w:eastAsia="Calibri" w:cs="Times New Roman"/>
          <w:spacing w:val="2"/>
          <w:szCs w:val="18"/>
        </w:rPr>
        <w:t xml:space="preserve"> </w:t>
      </w:r>
      <w:r w:rsidRPr="006E1DA8">
        <w:rPr>
          <w:rFonts w:eastAsia="Calibri" w:cs="Times New Roman"/>
          <w:spacing w:val="-1"/>
          <w:szCs w:val="18"/>
        </w:rPr>
        <w:t>t</w:t>
      </w:r>
      <w:r w:rsidRPr="006E1DA8">
        <w:rPr>
          <w:rFonts w:eastAsia="Calibri" w:cs="Times New Roman"/>
          <w:szCs w:val="18"/>
        </w:rPr>
        <w:t>h</w:t>
      </w:r>
      <w:r w:rsidRPr="006E1DA8">
        <w:rPr>
          <w:rFonts w:eastAsia="Calibri" w:cs="Times New Roman"/>
          <w:spacing w:val="-1"/>
          <w:szCs w:val="18"/>
        </w:rPr>
        <w:t>a</w:t>
      </w:r>
      <w:r w:rsidRPr="006E1DA8">
        <w:rPr>
          <w:rFonts w:eastAsia="Calibri" w:cs="Times New Roman"/>
          <w:szCs w:val="18"/>
        </w:rPr>
        <w:t>t</w:t>
      </w:r>
      <w:r w:rsidRPr="006E1DA8">
        <w:rPr>
          <w:rFonts w:eastAsia="Calibri" w:cs="Times New Roman"/>
          <w:spacing w:val="-1"/>
          <w:szCs w:val="18"/>
        </w:rPr>
        <w:t xml:space="preserve"> </w:t>
      </w:r>
      <w:r w:rsidRPr="006E1DA8">
        <w:rPr>
          <w:rFonts w:eastAsia="Calibri" w:cs="Times New Roman"/>
          <w:szCs w:val="18"/>
        </w:rPr>
        <w:t>w</w:t>
      </w:r>
      <w:r w:rsidRPr="006E1DA8">
        <w:rPr>
          <w:rFonts w:eastAsia="Calibri" w:cs="Times New Roman"/>
          <w:spacing w:val="-1"/>
          <w:szCs w:val="18"/>
        </w:rPr>
        <w:t>o</w:t>
      </w:r>
      <w:r w:rsidRPr="006E1DA8">
        <w:rPr>
          <w:rFonts w:eastAsia="Calibri" w:cs="Times New Roman"/>
          <w:spacing w:val="2"/>
          <w:szCs w:val="18"/>
        </w:rPr>
        <w:t>u</w:t>
      </w:r>
      <w:r w:rsidRPr="006E1DA8">
        <w:rPr>
          <w:rFonts w:eastAsia="Calibri" w:cs="Times New Roman"/>
          <w:spacing w:val="-1"/>
          <w:szCs w:val="18"/>
        </w:rPr>
        <w:t>l</w:t>
      </w:r>
      <w:r w:rsidRPr="006E1DA8">
        <w:rPr>
          <w:rFonts w:eastAsia="Calibri" w:cs="Times New Roman"/>
          <w:szCs w:val="18"/>
        </w:rPr>
        <w:t>d</w:t>
      </w:r>
      <w:r w:rsidRPr="006E1DA8">
        <w:rPr>
          <w:rFonts w:eastAsia="Calibri" w:cs="Times New Roman"/>
          <w:spacing w:val="-1"/>
          <w:szCs w:val="18"/>
        </w:rPr>
        <w:t xml:space="preserve"> </w:t>
      </w:r>
      <w:r w:rsidRPr="006E1DA8">
        <w:rPr>
          <w:rFonts w:eastAsia="Calibri" w:cs="Times New Roman"/>
          <w:szCs w:val="18"/>
        </w:rPr>
        <w:t>s</w:t>
      </w:r>
      <w:r w:rsidRPr="006E1DA8">
        <w:rPr>
          <w:rFonts w:eastAsia="Calibri" w:cs="Times New Roman"/>
          <w:spacing w:val="-1"/>
          <w:szCs w:val="18"/>
        </w:rPr>
        <w:t>pel</w:t>
      </w:r>
      <w:r w:rsidRPr="006E1DA8">
        <w:rPr>
          <w:rFonts w:eastAsia="Calibri" w:cs="Times New Roman"/>
          <w:szCs w:val="18"/>
        </w:rPr>
        <w:t>l</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ut</w:t>
      </w:r>
      <w:r w:rsidRPr="006E1DA8">
        <w:rPr>
          <w:rFonts w:eastAsia="Calibri" w:cs="Times New Roman"/>
          <w:spacing w:val="-1"/>
          <w:szCs w:val="18"/>
        </w:rPr>
        <w:t xml:space="preserve"> t</w:t>
      </w:r>
      <w:r w:rsidRPr="006E1DA8">
        <w:rPr>
          <w:rFonts w:eastAsia="Calibri" w:cs="Times New Roman"/>
          <w:szCs w:val="18"/>
        </w:rPr>
        <w:t>he</w:t>
      </w:r>
      <w:r w:rsidRPr="006E1DA8">
        <w:rPr>
          <w:rFonts w:eastAsia="Calibri" w:cs="Times New Roman"/>
          <w:spacing w:val="1"/>
          <w:szCs w:val="18"/>
        </w:rPr>
        <w:t xml:space="preserve"> </w:t>
      </w:r>
      <w:r w:rsidRPr="006E1DA8">
        <w:rPr>
          <w:rFonts w:eastAsia="Calibri" w:cs="Times New Roman"/>
          <w:spacing w:val="-1"/>
          <w:szCs w:val="18"/>
        </w:rPr>
        <w:t>rel</w:t>
      </w:r>
      <w:r w:rsidRPr="006E1DA8">
        <w:rPr>
          <w:rFonts w:eastAsia="Calibri" w:cs="Times New Roman"/>
          <w:spacing w:val="7"/>
          <w:szCs w:val="18"/>
        </w:rPr>
        <w:t>e</w:t>
      </w:r>
      <w:r w:rsidRPr="006E1DA8">
        <w:rPr>
          <w:rFonts w:eastAsia="Calibri" w:cs="Times New Roman"/>
          <w:spacing w:val="-1"/>
          <w:szCs w:val="18"/>
        </w:rPr>
        <w:t>v</w:t>
      </w:r>
      <w:r w:rsidRPr="006E1DA8">
        <w:rPr>
          <w:rFonts w:eastAsia="Calibri" w:cs="Times New Roman"/>
          <w:szCs w:val="18"/>
        </w:rPr>
        <w:t>a</w:t>
      </w:r>
      <w:r w:rsidRPr="006E1DA8">
        <w:rPr>
          <w:rFonts w:eastAsia="Calibri" w:cs="Times New Roman"/>
          <w:spacing w:val="-1"/>
          <w:szCs w:val="18"/>
        </w:rPr>
        <w:t>n</w:t>
      </w:r>
      <w:r w:rsidRPr="006E1DA8">
        <w:rPr>
          <w:rFonts w:eastAsia="Calibri" w:cs="Times New Roman"/>
          <w:szCs w:val="18"/>
        </w:rPr>
        <w:t>t</w:t>
      </w:r>
      <w:r w:rsidRPr="006E1DA8">
        <w:rPr>
          <w:rFonts w:eastAsia="Calibri" w:cs="Times New Roman"/>
          <w:spacing w:val="-1"/>
          <w:szCs w:val="18"/>
        </w:rPr>
        <w:t xml:space="preserve"> f</w:t>
      </w:r>
      <w:r w:rsidRPr="006E1DA8">
        <w:rPr>
          <w:rFonts w:eastAsia="Calibri" w:cs="Times New Roman"/>
          <w:szCs w:val="18"/>
        </w:rPr>
        <w:t>a</w:t>
      </w:r>
      <w:r w:rsidRPr="006E1DA8">
        <w:rPr>
          <w:rFonts w:eastAsia="Calibri" w:cs="Times New Roman"/>
          <w:spacing w:val="1"/>
          <w:szCs w:val="18"/>
        </w:rPr>
        <w:t>c</w:t>
      </w:r>
      <w:r w:rsidRPr="006E1DA8">
        <w:rPr>
          <w:rFonts w:eastAsia="Calibri" w:cs="Times New Roman"/>
          <w:spacing w:val="-1"/>
          <w:szCs w:val="18"/>
        </w:rPr>
        <w:t>tor</w:t>
      </w:r>
      <w:r w:rsidRPr="006E1DA8">
        <w:rPr>
          <w:rFonts w:eastAsia="Calibri" w:cs="Times New Roman"/>
          <w:szCs w:val="18"/>
        </w:rPr>
        <w:t>s</w:t>
      </w:r>
      <w:r w:rsidRPr="006E1DA8">
        <w:rPr>
          <w:rFonts w:eastAsia="Calibri" w:cs="Times New Roman"/>
          <w:spacing w:val="2"/>
          <w:szCs w:val="18"/>
        </w:rPr>
        <w:t xml:space="preserve"> </w:t>
      </w:r>
      <w:r w:rsidRPr="006E1DA8">
        <w:rPr>
          <w:rFonts w:eastAsia="Calibri" w:cs="Times New Roman"/>
          <w:spacing w:val="-1"/>
          <w:szCs w:val="18"/>
        </w:rPr>
        <w:t>t</w:t>
      </w:r>
      <w:r w:rsidRPr="006E1DA8">
        <w:rPr>
          <w:rFonts w:eastAsia="Calibri" w:cs="Times New Roman"/>
          <w:szCs w:val="18"/>
        </w:rPr>
        <w:t>h</w:t>
      </w:r>
      <w:r w:rsidRPr="006E1DA8">
        <w:rPr>
          <w:rFonts w:eastAsia="Calibri" w:cs="Times New Roman"/>
          <w:spacing w:val="-1"/>
          <w:szCs w:val="18"/>
        </w:rPr>
        <w:t>a</w:t>
      </w:r>
      <w:r w:rsidRPr="006E1DA8">
        <w:rPr>
          <w:rFonts w:eastAsia="Calibri" w:cs="Times New Roman"/>
          <w:szCs w:val="18"/>
        </w:rPr>
        <w:t xml:space="preserve">t </w:t>
      </w:r>
      <w:r w:rsidRPr="006E1DA8">
        <w:rPr>
          <w:rFonts w:eastAsia="Calibri" w:cs="Times New Roman"/>
          <w:spacing w:val="-1"/>
          <w:szCs w:val="18"/>
        </w:rPr>
        <w:t>co</w:t>
      </w:r>
      <w:r w:rsidRPr="006E1DA8">
        <w:rPr>
          <w:rFonts w:eastAsia="Calibri" w:cs="Times New Roman"/>
          <w:szCs w:val="18"/>
        </w:rPr>
        <w:t>u</w:t>
      </w:r>
      <w:r w:rsidRPr="006E1DA8">
        <w:rPr>
          <w:rFonts w:eastAsia="Calibri" w:cs="Times New Roman"/>
          <w:spacing w:val="-1"/>
          <w:szCs w:val="18"/>
        </w:rPr>
        <w:t>ntri</w:t>
      </w:r>
      <w:r w:rsidRPr="006E1DA8">
        <w:rPr>
          <w:rFonts w:eastAsia="Calibri" w:cs="Times New Roman"/>
          <w:spacing w:val="1"/>
          <w:szCs w:val="18"/>
        </w:rPr>
        <w:t>e</w:t>
      </w:r>
      <w:r w:rsidRPr="006E1DA8">
        <w:rPr>
          <w:rFonts w:eastAsia="Calibri" w:cs="Times New Roman"/>
          <w:szCs w:val="18"/>
        </w:rPr>
        <w:t>s</w:t>
      </w:r>
      <w:r w:rsidRPr="006E1DA8">
        <w:rPr>
          <w:rFonts w:eastAsia="Calibri" w:cs="Times New Roman"/>
          <w:spacing w:val="-1"/>
          <w:szCs w:val="18"/>
        </w:rPr>
        <w:t xml:space="preserve"> </w:t>
      </w:r>
      <w:r w:rsidRPr="006E1DA8">
        <w:rPr>
          <w:rFonts w:eastAsia="Calibri" w:cs="Times New Roman"/>
          <w:szCs w:val="18"/>
        </w:rPr>
        <w:t>s</w:t>
      </w:r>
      <w:r w:rsidRPr="006E1DA8">
        <w:rPr>
          <w:rFonts w:eastAsia="Calibri" w:cs="Times New Roman"/>
          <w:spacing w:val="-1"/>
          <w:szCs w:val="18"/>
        </w:rPr>
        <w:t>ho</w:t>
      </w:r>
      <w:r w:rsidRPr="006E1DA8">
        <w:rPr>
          <w:rFonts w:eastAsia="Calibri" w:cs="Times New Roman"/>
          <w:szCs w:val="18"/>
        </w:rPr>
        <w:t>u</w:t>
      </w:r>
      <w:r w:rsidRPr="006E1DA8">
        <w:rPr>
          <w:rFonts w:eastAsia="Calibri" w:cs="Times New Roman"/>
          <w:spacing w:val="-1"/>
          <w:szCs w:val="18"/>
        </w:rPr>
        <w:t>l</w:t>
      </w:r>
      <w:r w:rsidRPr="006E1DA8">
        <w:rPr>
          <w:rFonts w:eastAsia="Calibri" w:cs="Times New Roman"/>
          <w:szCs w:val="18"/>
        </w:rPr>
        <w:t>d</w:t>
      </w:r>
      <w:r w:rsidRPr="006E1DA8">
        <w:rPr>
          <w:rFonts w:eastAsia="Calibri" w:cs="Times New Roman"/>
          <w:spacing w:val="2"/>
          <w:szCs w:val="18"/>
        </w:rPr>
        <w:t xml:space="preserve"> </w:t>
      </w:r>
      <w:r w:rsidRPr="006E1DA8">
        <w:rPr>
          <w:rFonts w:eastAsia="Calibri" w:cs="Times New Roman"/>
          <w:spacing w:val="-1"/>
          <w:szCs w:val="18"/>
        </w:rPr>
        <w:t>t</w:t>
      </w:r>
      <w:r w:rsidRPr="006E1DA8">
        <w:rPr>
          <w:rFonts w:eastAsia="Calibri" w:cs="Times New Roman"/>
          <w:szCs w:val="18"/>
        </w:rPr>
        <w:t>a</w:t>
      </w:r>
      <w:r w:rsidRPr="006E1DA8">
        <w:rPr>
          <w:rFonts w:eastAsia="Calibri" w:cs="Times New Roman"/>
          <w:spacing w:val="-1"/>
          <w:szCs w:val="18"/>
        </w:rPr>
        <w:t>k</w:t>
      </w:r>
      <w:r w:rsidRPr="006E1DA8">
        <w:rPr>
          <w:rFonts w:eastAsia="Calibri" w:cs="Times New Roman"/>
          <w:szCs w:val="18"/>
        </w:rPr>
        <w:t>e</w:t>
      </w:r>
      <w:r w:rsidRPr="006E1DA8">
        <w:rPr>
          <w:rFonts w:eastAsia="Calibri" w:cs="Times New Roman"/>
          <w:spacing w:val="-1"/>
          <w:szCs w:val="18"/>
        </w:rPr>
        <w:t xml:space="preserve"> i</w:t>
      </w:r>
      <w:r w:rsidRPr="006E1DA8">
        <w:rPr>
          <w:rFonts w:eastAsia="Calibri" w:cs="Times New Roman"/>
          <w:spacing w:val="2"/>
          <w:szCs w:val="18"/>
        </w:rPr>
        <w:t>n</w:t>
      </w:r>
      <w:r w:rsidRPr="006E1DA8">
        <w:rPr>
          <w:rFonts w:eastAsia="Calibri" w:cs="Times New Roman"/>
          <w:spacing w:val="-1"/>
          <w:szCs w:val="18"/>
        </w:rPr>
        <w:t>t</w:t>
      </w:r>
      <w:r w:rsidRPr="006E1DA8">
        <w:rPr>
          <w:rFonts w:eastAsia="Calibri" w:cs="Times New Roman"/>
          <w:szCs w:val="18"/>
        </w:rPr>
        <w:t>o</w:t>
      </w:r>
      <w:r w:rsidRPr="006E1DA8">
        <w:rPr>
          <w:rFonts w:eastAsia="Calibri" w:cs="Times New Roman"/>
          <w:spacing w:val="-1"/>
          <w:szCs w:val="18"/>
        </w:rPr>
        <w:t xml:space="preserve"> acc</w:t>
      </w:r>
      <w:r w:rsidRPr="006E1DA8">
        <w:rPr>
          <w:rFonts w:eastAsia="Calibri" w:cs="Times New Roman"/>
          <w:spacing w:val="1"/>
          <w:szCs w:val="18"/>
        </w:rPr>
        <w:t>o</w:t>
      </w:r>
      <w:r w:rsidRPr="006E1DA8">
        <w:rPr>
          <w:rFonts w:eastAsia="Calibri" w:cs="Times New Roman"/>
          <w:szCs w:val="18"/>
        </w:rPr>
        <w:t>u</w:t>
      </w:r>
      <w:r w:rsidRPr="006E1DA8">
        <w:rPr>
          <w:rFonts w:eastAsia="Calibri" w:cs="Times New Roman"/>
          <w:spacing w:val="-1"/>
          <w:szCs w:val="18"/>
        </w:rPr>
        <w:t>n</w:t>
      </w:r>
      <w:r w:rsidRPr="006E1DA8">
        <w:rPr>
          <w:rFonts w:eastAsia="Calibri" w:cs="Times New Roman"/>
          <w:szCs w:val="18"/>
        </w:rPr>
        <w:t>t</w:t>
      </w:r>
      <w:r w:rsidRPr="006E1DA8">
        <w:rPr>
          <w:rFonts w:eastAsia="Calibri" w:cs="Times New Roman"/>
          <w:spacing w:val="-1"/>
          <w:szCs w:val="18"/>
        </w:rPr>
        <w:t xml:space="preserve"> i</w:t>
      </w:r>
      <w:r w:rsidRPr="006E1DA8">
        <w:rPr>
          <w:rFonts w:eastAsia="Calibri" w:cs="Times New Roman"/>
          <w:szCs w:val="18"/>
        </w:rPr>
        <w:t>n</w:t>
      </w:r>
      <w:r w:rsidRPr="006E1DA8">
        <w:rPr>
          <w:rFonts w:eastAsia="Calibri" w:cs="Times New Roman"/>
          <w:spacing w:val="2"/>
          <w:szCs w:val="18"/>
        </w:rPr>
        <w:t xml:space="preserve"> </w:t>
      </w:r>
      <w:r w:rsidRPr="006E1DA8">
        <w:rPr>
          <w:rFonts w:eastAsia="Calibri" w:cs="Times New Roman"/>
          <w:spacing w:val="-1"/>
          <w:szCs w:val="18"/>
        </w:rPr>
        <w:t>t</w:t>
      </w:r>
      <w:r w:rsidRPr="006E1DA8">
        <w:rPr>
          <w:rFonts w:eastAsia="Calibri" w:cs="Times New Roman"/>
          <w:szCs w:val="18"/>
        </w:rPr>
        <w:t>h</w:t>
      </w:r>
      <w:r w:rsidRPr="006E1DA8">
        <w:rPr>
          <w:rFonts w:eastAsia="Calibri" w:cs="Times New Roman"/>
          <w:spacing w:val="-1"/>
          <w:szCs w:val="18"/>
        </w:rPr>
        <w:t>ei</w:t>
      </w:r>
      <w:r w:rsidRPr="006E1DA8">
        <w:rPr>
          <w:rFonts w:eastAsia="Calibri" w:cs="Times New Roman"/>
          <w:szCs w:val="18"/>
        </w:rPr>
        <w:t>r</w:t>
      </w:r>
      <w:r w:rsidRPr="006E1DA8">
        <w:rPr>
          <w:rFonts w:eastAsia="Calibri" w:cs="Times New Roman"/>
          <w:spacing w:val="-1"/>
          <w:szCs w:val="18"/>
        </w:rPr>
        <w:t xml:space="preserve"> </w:t>
      </w:r>
      <w:r w:rsidRPr="006E1DA8">
        <w:rPr>
          <w:rFonts w:eastAsia="Calibri" w:cs="Times New Roman"/>
          <w:spacing w:val="1"/>
          <w:szCs w:val="18"/>
        </w:rPr>
        <w:t>c</w:t>
      </w:r>
      <w:r w:rsidRPr="006E1DA8">
        <w:rPr>
          <w:rFonts w:eastAsia="Calibri" w:cs="Times New Roman"/>
          <w:spacing w:val="-1"/>
          <w:szCs w:val="18"/>
        </w:rPr>
        <w:t>o</w:t>
      </w:r>
      <w:r w:rsidRPr="006E1DA8">
        <w:rPr>
          <w:rFonts w:eastAsia="Calibri" w:cs="Times New Roman"/>
          <w:szCs w:val="18"/>
        </w:rPr>
        <w:t>n</w:t>
      </w:r>
      <w:r w:rsidRPr="006E1DA8">
        <w:rPr>
          <w:rFonts w:eastAsia="Calibri" w:cs="Times New Roman"/>
          <w:spacing w:val="-1"/>
          <w:szCs w:val="18"/>
        </w:rPr>
        <w:t>s</w:t>
      </w:r>
      <w:r w:rsidRPr="006E1DA8">
        <w:rPr>
          <w:rFonts w:eastAsia="Calibri" w:cs="Times New Roman"/>
          <w:szCs w:val="18"/>
        </w:rPr>
        <w:t>u</w:t>
      </w:r>
      <w:r w:rsidRPr="006E1DA8">
        <w:rPr>
          <w:rFonts w:eastAsia="Calibri" w:cs="Times New Roman"/>
          <w:spacing w:val="-1"/>
          <w:szCs w:val="18"/>
        </w:rPr>
        <w:t>lt</w:t>
      </w:r>
      <w:r w:rsidRPr="006E1DA8">
        <w:rPr>
          <w:rFonts w:eastAsia="Calibri" w:cs="Times New Roman"/>
          <w:spacing w:val="2"/>
          <w:szCs w:val="18"/>
        </w:rPr>
        <w:t>a</w:t>
      </w:r>
      <w:r w:rsidRPr="006E1DA8">
        <w:rPr>
          <w:rFonts w:eastAsia="Calibri" w:cs="Times New Roman"/>
          <w:spacing w:val="-1"/>
          <w:szCs w:val="18"/>
        </w:rPr>
        <w:t>tio</w:t>
      </w:r>
      <w:r w:rsidRPr="006E1DA8">
        <w:rPr>
          <w:rFonts w:eastAsia="Calibri" w:cs="Times New Roman"/>
          <w:szCs w:val="18"/>
        </w:rPr>
        <w:t>ns</w:t>
      </w:r>
      <w:r w:rsidRPr="006E1DA8">
        <w:rPr>
          <w:rFonts w:eastAsia="Calibri" w:cs="Times New Roman"/>
          <w:spacing w:val="-1"/>
          <w:szCs w:val="18"/>
        </w:rPr>
        <w:t xml:space="preserve"> </w:t>
      </w:r>
      <w:r w:rsidRPr="006E1DA8">
        <w:rPr>
          <w:rFonts w:eastAsia="Calibri" w:cs="Times New Roman"/>
          <w:spacing w:val="1"/>
          <w:szCs w:val="18"/>
        </w:rPr>
        <w:t>r</w:t>
      </w:r>
      <w:r w:rsidRPr="006E1DA8">
        <w:rPr>
          <w:rFonts w:eastAsia="Calibri" w:cs="Times New Roman"/>
          <w:spacing w:val="-1"/>
          <w:szCs w:val="18"/>
        </w:rPr>
        <w:t>e</w:t>
      </w:r>
      <w:r w:rsidRPr="006E1DA8">
        <w:rPr>
          <w:rFonts w:eastAsia="Calibri" w:cs="Times New Roman"/>
          <w:spacing w:val="1"/>
          <w:szCs w:val="18"/>
        </w:rPr>
        <w:t>g</w:t>
      </w:r>
      <w:r w:rsidRPr="006E1DA8">
        <w:rPr>
          <w:rFonts w:eastAsia="Calibri" w:cs="Times New Roman"/>
          <w:szCs w:val="18"/>
        </w:rPr>
        <w:t>a</w:t>
      </w:r>
      <w:r w:rsidRPr="006E1DA8">
        <w:rPr>
          <w:rFonts w:eastAsia="Calibri" w:cs="Times New Roman"/>
          <w:spacing w:val="-1"/>
          <w:szCs w:val="18"/>
        </w:rPr>
        <w:t>r</w:t>
      </w:r>
      <w:r w:rsidRPr="006E1DA8">
        <w:rPr>
          <w:rFonts w:eastAsia="Calibri" w:cs="Times New Roman"/>
          <w:szCs w:val="18"/>
        </w:rPr>
        <w:t>d</w:t>
      </w:r>
      <w:r w:rsidRPr="006E1DA8">
        <w:rPr>
          <w:rFonts w:eastAsia="Calibri" w:cs="Times New Roman"/>
          <w:spacing w:val="-1"/>
          <w:szCs w:val="18"/>
        </w:rPr>
        <w:t>i</w:t>
      </w:r>
      <w:r w:rsidRPr="006E1DA8">
        <w:rPr>
          <w:rFonts w:eastAsia="Calibri" w:cs="Times New Roman"/>
          <w:szCs w:val="18"/>
        </w:rPr>
        <w:t>ng</w:t>
      </w:r>
      <w:r w:rsidRPr="006E1DA8">
        <w:rPr>
          <w:rFonts w:eastAsia="Calibri" w:cs="Times New Roman"/>
          <w:spacing w:val="1"/>
          <w:szCs w:val="18"/>
        </w:rPr>
        <w:t xml:space="preserve"> </w:t>
      </w:r>
      <w:r w:rsidRPr="006E1DA8">
        <w:rPr>
          <w:rFonts w:eastAsia="Calibri" w:cs="Times New Roman"/>
          <w:spacing w:val="-1"/>
          <w:szCs w:val="18"/>
        </w:rPr>
        <w:t>t</w:t>
      </w:r>
      <w:r w:rsidRPr="006E1DA8">
        <w:rPr>
          <w:rFonts w:eastAsia="Calibri" w:cs="Times New Roman"/>
          <w:szCs w:val="18"/>
        </w:rPr>
        <w:t>he</w:t>
      </w:r>
      <w:r w:rsidRPr="006E1DA8">
        <w:rPr>
          <w:rFonts w:eastAsia="Calibri" w:cs="Times New Roman"/>
          <w:spacing w:val="-1"/>
          <w:szCs w:val="18"/>
        </w:rPr>
        <w:t xml:space="preserve"> </w:t>
      </w:r>
      <w:r w:rsidRPr="006E1DA8">
        <w:rPr>
          <w:rFonts w:eastAsia="Calibri" w:cs="Times New Roman"/>
          <w:spacing w:val="1"/>
          <w:szCs w:val="18"/>
        </w:rPr>
        <w:t>m</w:t>
      </w:r>
      <w:r w:rsidRPr="006E1DA8">
        <w:rPr>
          <w:rFonts w:eastAsia="Calibri" w:cs="Times New Roman"/>
          <w:spacing w:val="-1"/>
          <w:szCs w:val="18"/>
        </w:rPr>
        <w:t>o</w:t>
      </w:r>
      <w:r w:rsidRPr="006E1DA8">
        <w:rPr>
          <w:rFonts w:eastAsia="Calibri" w:cs="Times New Roman"/>
          <w:szCs w:val="18"/>
        </w:rPr>
        <w:t>st</w:t>
      </w:r>
      <w:r w:rsidRPr="006E1DA8">
        <w:rPr>
          <w:rFonts w:eastAsia="Calibri" w:cs="Times New Roman"/>
          <w:spacing w:val="-1"/>
          <w:szCs w:val="18"/>
        </w:rPr>
        <w:t xml:space="preserve"> ef</w:t>
      </w:r>
      <w:r w:rsidRPr="006E1DA8">
        <w:rPr>
          <w:rFonts w:eastAsia="Calibri" w:cs="Times New Roman"/>
          <w:spacing w:val="1"/>
          <w:szCs w:val="18"/>
        </w:rPr>
        <w:t>f</w:t>
      </w:r>
      <w:r w:rsidRPr="006E1DA8">
        <w:rPr>
          <w:rFonts w:eastAsia="Calibri" w:cs="Times New Roman"/>
          <w:spacing w:val="-1"/>
          <w:szCs w:val="18"/>
        </w:rPr>
        <w:t>icie</w:t>
      </w:r>
      <w:r w:rsidRPr="006E1DA8">
        <w:rPr>
          <w:rFonts w:eastAsia="Calibri" w:cs="Times New Roman"/>
          <w:spacing w:val="2"/>
          <w:szCs w:val="18"/>
        </w:rPr>
        <w:t>n</w:t>
      </w:r>
      <w:r w:rsidRPr="006E1DA8">
        <w:rPr>
          <w:rFonts w:eastAsia="Calibri" w:cs="Times New Roman"/>
          <w:szCs w:val="18"/>
        </w:rPr>
        <w:t>t</w:t>
      </w:r>
      <w:r w:rsidRPr="006E1DA8">
        <w:rPr>
          <w:rFonts w:eastAsia="Calibri" w:cs="Times New Roman"/>
          <w:spacing w:val="-1"/>
          <w:szCs w:val="18"/>
        </w:rPr>
        <w:t xml:space="preserve"> </w:t>
      </w:r>
      <w:r w:rsidRPr="006E1DA8">
        <w:rPr>
          <w:rFonts w:eastAsia="Calibri" w:cs="Times New Roman"/>
          <w:szCs w:val="18"/>
        </w:rPr>
        <w:t>j</w:t>
      </w:r>
      <w:r w:rsidRPr="006E1DA8">
        <w:rPr>
          <w:rFonts w:eastAsia="Calibri" w:cs="Times New Roman"/>
          <w:spacing w:val="-1"/>
          <w:szCs w:val="18"/>
        </w:rPr>
        <w:t>uri</w:t>
      </w:r>
      <w:r w:rsidRPr="006E1DA8">
        <w:rPr>
          <w:rFonts w:eastAsia="Calibri" w:cs="Times New Roman"/>
          <w:szCs w:val="18"/>
        </w:rPr>
        <w:t>s</w:t>
      </w:r>
      <w:r w:rsidRPr="006E1DA8">
        <w:rPr>
          <w:rFonts w:eastAsia="Calibri" w:cs="Times New Roman"/>
          <w:spacing w:val="1"/>
          <w:szCs w:val="18"/>
        </w:rPr>
        <w:t>d</w:t>
      </w:r>
      <w:r w:rsidRPr="006E1DA8">
        <w:rPr>
          <w:rFonts w:eastAsia="Calibri" w:cs="Times New Roman"/>
          <w:spacing w:val="-1"/>
          <w:szCs w:val="18"/>
        </w:rPr>
        <w:t>ict</w:t>
      </w:r>
      <w:r w:rsidRPr="006E1DA8">
        <w:rPr>
          <w:rFonts w:eastAsia="Calibri" w:cs="Times New Roman"/>
          <w:spacing w:val="1"/>
          <w:szCs w:val="18"/>
        </w:rPr>
        <w:t>i</w:t>
      </w:r>
      <w:r w:rsidRPr="006E1DA8">
        <w:rPr>
          <w:rFonts w:eastAsia="Calibri" w:cs="Times New Roman"/>
          <w:spacing w:val="-1"/>
          <w:szCs w:val="18"/>
        </w:rPr>
        <w:t>o</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zCs w:val="18"/>
        </w:rPr>
        <w:t>as w</w:t>
      </w:r>
      <w:r w:rsidRPr="006E1DA8">
        <w:rPr>
          <w:rFonts w:eastAsia="Calibri" w:cs="Times New Roman"/>
          <w:spacing w:val="-1"/>
          <w:szCs w:val="18"/>
        </w:rPr>
        <w:t>el</w:t>
      </w:r>
      <w:r w:rsidRPr="006E1DA8">
        <w:rPr>
          <w:rFonts w:eastAsia="Calibri" w:cs="Times New Roman"/>
          <w:szCs w:val="18"/>
        </w:rPr>
        <w:t>l</w:t>
      </w:r>
      <w:r w:rsidRPr="006E1DA8">
        <w:rPr>
          <w:rFonts w:eastAsia="Calibri" w:cs="Times New Roman"/>
          <w:spacing w:val="-1"/>
          <w:szCs w:val="18"/>
        </w:rPr>
        <w:t xml:space="preserve"> a</w:t>
      </w:r>
      <w:r w:rsidRPr="006E1DA8">
        <w:rPr>
          <w:rFonts w:eastAsia="Calibri" w:cs="Times New Roman"/>
          <w:szCs w:val="18"/>
        </w:rPr>
        <w:t>s</w:t>
      </w:r>
      <w:r w:rsidRPr="006E1DA8">
        <w:rPr>
          <w:rFonts w:eastAsia="Calibri" w:cs="Times New Roman"/>
          <w:spacing w:val="-1"/>
          <w:szCs w:val="18"/>
        </w:rPr>
        <w:t xml:space="preserve"> </w:t>
      </w:r>
      <w:r w:rsidRPr="006E1DA8">
        <w:rPr>
          <w:rFonts w:eastAsia="Calibri" w:cs="Times New Roman"/>
          <w:szCs w:val="18"/>
        </w:rPr>
        <w:t>p</w:t>
      </w:r>
      <w:r w:rsidRPr="006E1DA8">
        <w:rPr>
          <w:rFonts w:eastAsia="Calibri" w:cs="Times New Roman"/>
          <w:spacing w:val="1"/>
          <w:szCs w:val="18"/>
        </w:rPr>
        <w:t>u</w:t>
      </w:r>
      <w:r w:rsidRPr="006E1DA8">
        <w:rPr>
          <w:rFonts w:eastAsia="Calibri" w:cs="Times New Roman"/>
          <w:spacing w:val="-1"/>
          <w:szCs w:val="18"/>
        </w:rPr>
        <w:t>tt</w:t>
      </w:r>
      <w:r w:rsidRPr="006E1DA8">
        <w:rPr>
          <w:rFonts w:eastAsia="Calibri" w:cs="Times New Roman"/>
          <w:spacing w:val="1"/>
          <w:szCs w:val="18"/>
        </w:rPr>
        <w:t>i</w:t>
      </w:r>
      <w:r w:rsidRPr="006E1DA8">
        <w:rPr>
          <w:rFonts w:eastAsia="Calibri" w:cs="Times New Roman"/>
          <w:szCs w:val="18"/>
        </w:rPr>
        <w:t>ng</w:t>
      </w:r>
      <w:r w:rsidRPr="006E1DA8">
        <w:rPr>
          <w:rFonts w:eastAsia="Calibri" w:cs="Times New Roman"/>
          <w:spacing w:val="1"/>
          <w:szCs w:val="18"/>
        </w:rPr>
        <w:t xml:space="preserve"> </w:t>
      </w:r>
      <w:r w:rsidRPr="006E1DA8">
        <w:rPr>
          <w:rFonts w:eastAsia="Calibri" w:cs="Times New Roman"/>
          <w:spacing w:val="-1"/>
          <w:szCs w:val="18"/>
        </w:rPr>
        <w:t>fort</w:t>
      </w:r>
      <w:r w:rsidRPr="006E1DA8">
        <w:rPr>
          <w:rFonts w:eastAsia="Calibri" w:cs="Times New Roman"/>
          <w:szCs w:val="18"/>
        </w:rPr>
        <w:t>h</w:t>
      </w:r>
      <w:r w:rsidRPr="006E1DA8">
        <w:rPr>
          <w:rFonts w:eastAsia="Calibri" w:cs="Times New Roman"/>
          <w:spacing w:val="5"/>
          <w:szCs w:val="18"/>
        </w:rPr>
        <w:t xml:space="preserve"> </w:t>
      </w:r>
      <w:r w:rsidRPr="006E1DA8">
        <w:rPr>
          <w:rFonts w:eastAsia="Calibri" w:cs="Times New Roman"/>
          <w:spacing w:val="-1"/>
          <w:szCs w:val="18"/>
        </w:rPr>
        <w:t>t</w:t>
      </w:r>
      <w:r w:rsidRPr="006E1DA8">
        <w:rPr>
          <w:rFonts w:eastAsia="Calibri" w:cs="Times New Roman"/>
          <w:szCs w:val="18"/>
        </w:rPr>
        <w:t>he</w:t>
      </w:r>
      <w:r w:rsidRPr="006E1DA8">
        <w:rPr>
          <w:rFonts w:eastAsia="Calibri" w:cs="Times New Roman"/>
          <w:spacing w:val="-1"/>
          <w:szCs w:val="18"/>
        </w:rPr>
        <w:t xml:space="preserve"> p</w:t>
      </w:r>
      <w:r w:rsidRPr="006E1DA8">
        <w:rPr>
          <w:rFonts w:eastAsia="Calibri" w:cs="Times New Roman"/>
          <w:spacing w:val="1"/>
          <w:szCs w:val="18"/>
        </w:rPr>
        <w:t>o</w:t>
      </w:r>
      <w:r w:rsidRPr="006E1DA8">
        <w:rPr>
          <w:rFonts w:eastAsia="Calibri" w:cs="Times New Roman"/>
          <w:szCs w:val="18"/>
        </w:rPr>
        <w:t>s</w:t>
      </w:r>
      <w:r w:rsidRPr="006E1DA8">
        <w:rPr>
          <w:rFonts w:eastAsia="Calibri" w:cs="Times New Roman"/>
          <w:spacing w:val="-1"/>
          <w:szCs w:val="18"/>
        </w:rPr>
        <w:t>si</w:t>
      </w:r>
      <w:r w:rsidRPr="006E1DA8">
        <w:rPr>
          <w:rFonts w:eastAsia="Calibri" w:cs="Times New Roman"/>
          <w:szCs w:val="18"/>
        </w:rPr>
        <w:t>b</w:t>
      </w:r>
      <w:r w:rsidRPr="006E1DA8">
        <w:rPr>
          <w:rFonts w:eastAsia="Calibri" w:cs="Times New Roman"/>
          <w:spacing w:val="1"/>
          <w:szCs w:val="18"/>
        </w:rPr>
        <w:t>i</w:t>
      </w:r>
      <w:r w:rsidRPr="006E1DA8">
        <w:rPr>
          <w:rFonts w:eastAsia="Calibri" w:cs="Times New Roman"/>
          <w:spacing w:val="-1"/>
          <w:szCs w:val="18"/>
        </w:rPr>
        <w:t>lit</w:t>
      </w:r>
      <w:r w:rsidRPr="006E1DA8">
        <w:rPr>
          <w:rFonts w:eastAsia="Calibri" w:cs="Times New Roman"/>
          <w:szCs w:val="18"/>
        </w:rPr>
        <w:t>y</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f</w:t>
      </w:r>
      <w:r w:rsidRPr="006E1DA8">
        <w:rPr>
          <w:rFonts w:eastAsia="Calibri" w:cs="Times New Roman"/>
          <w:spacing w:val="-1"/>
          <w:szCs w:val="18"/>
        </w:rPr>
        <w:t xml:space="preserve"> dev</w:t>
      </w:r>
      <w:r w:rsidRPr="006E1DA8">
        <w:rPr>
          <w:rFonts w:eastAsia="Calibri" w:cs="Times New Roman"/>
          <w:spacing w:val="1"/>
          <w:szCs w:val="18"/>
        </w:rPr>
        <w:t>e</w:t>
      </w:r>
      <w:r w:rsidRPr="006E1DA8">
        <w:rPr>
          <w:rFonts w:eastAsia="Calibri" w:cs="Times New Roman"/>
          <w:spacing w:val="-1"/>
          <w:szCs w:val="18"/>
        </w:rPr>
        <w:t>lo</w:t>
      </w:r>
      <w:r w:rsidRPr="006E1DA8">
        <w:rPr>
          <w:rFonts w:eastAsia="Calibri" w:cs="Times New Roman"/>
          <w:szCs w:val="18"/>
        </w:rPr>
        <w:t>p</w:t>
      </w:r>
      <w:r w:rsidRPr="006E1DA8">
        <w:rPr>
          <w:rFonts w:eastAsia="Calibri" w:cs="Times New Roman"/>
          <w:spacing w:val="-1"/>
          <w:szCs w:val="18"/>
        </w:rPr>
        <w:t>i</w:t>
      </w:r>
      <w:r w:rsidRPr="006E1DA8">
        <w:rPr>
          <w:rFonts w:eastAsia="Calibri" w:cs="Times New Roman"/>
          <w:szCs w:val="18"/>
        </w:rPr>
        <w:t>ng</w:t>
      </w:r>
      <w:r w:rsidRPr="006E1DA8">
        <w:rPr>
          <w:rFonts w:eastAsia="Calibri" w:cs="Times New Roman"/>
          <w:spacing w:val="3"/>
          <w:szCs w:val="18"/>
        </w:rPr>
        <w:t xml:space="preserve"> </w:t>
      </w:r>
      <w:r w:rsidRPr="006E1DA8">
        <w:rPr>
          <w:rFonts w:eastAsia="Calibri" w:cs="Times New Roman"/>
          <w:szCs w:val="18"/>
        </w:rPr>
        <w:t xml:space="preserve">a </w:t>
      </w:r>
      <w:r w:rsidRPr="006E1DA8">
        <w:rPr>
          <w:rFonts w:eastAsia="Calibri" w:cs="Times New Roman"/>
          <w:spacing w:val="-1"/>
          <w:szCs w:val="18"/>
        </w:rPr>
        <w:t>co</w:t>
      </w:r>
      <w:r w:rsidRPr="006E1DA8">
        <w:rPr>
          <w:rFonts w:eastAsia="Calibri" w:cs="Times New Roman"/>
          <w:szCs w:val="18"/>
        </w:rPr>
        <w:t>n</w:t>
      </w:r>
      <w:r w:rsidRPr="006E1DA8">
        <w:rPr>
          <w:rFonts w:eastAsia="Calibri" w:cs="Times New Roman"/>
          <w:spacing w:val="-1"/>
          <w:szCs w:val="18"/>
        </w:rPr>
        <w:t>ce</w:t>
      </w:r>
      <w:r w:rsidRPr="006E1DA8">
        <w:rPr>
          <w:rFonts w:eastAsia="Calibri" w:cs="Times New Roman"/>
          <w:szCs w:val="18"/>
        </w:rPr>
        <w:t>pt</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f</w:t>
      </w:r>
      <w:r w:rsidRPr="006E1DA8">
        <w:rPr>
          <w:rFonts w:eastAsia="Calibri" w:cs="Times New Roman"/>
          <w:spacing w:val="-1"/>
          <w:szCs w:val="18"/>
        </w:rPr>
        <w:t xml:space="preserve"> si</w:t>
      </w:r>
      <w:r w:rsidRPr="006E1DA8">
        <w:rPr>
          <w:rFonts w:eastAsia="Calibri" w:cs="Times New Roman"/>
          <w:szCs w:val="18"/>
        </w:rPr>
        <w:t>ng</w:t>
      </w:r>
      <w:r w:rsidRPr="006E1DA8">
        <w:rPr>
          <w:rFonts w:eastAsia="Calibri" w:cs="Times New Roman"/>
          <w:spacing w:val="-1"/>
          <w:szCs w:val="18"/>
        </w:rPr>
        <w:t>l</w:t>
      </w:r>
      <w:r w:rsidRPr="006E1DA8">
        <w:rPr>
          <w:rFonts w:eastAsia="Calibri" w:cs="Times New Roman"/>
          <w:szCs w:val="18"/>
        </w:rPr>
        <w:t>e</w:t>
      </w:r>
      <w:r w:rsidRPr="006E1DA8">
        <w:rPr>
          <w:rFonts w:eastAsia="Calibri" w:cs="Times New Roman"/>
          <w:spacing w:val="-1"/>
          <w:szCs w:val="18"/>
        </w:rPr>
        <w:t xml:space="preserve"> </w:t>
      </w:r>
      <w:r w:rsidRPr="006E1DA8">
        <w:rPr>
          <w:rFonts w:eastAsia="Calibri" w:cs="Times New Roman"/>
          <w:szCs w:val="18"/>
        </w:rPr>
        <w:t>j</w:t>
      </w:r>
      <w:r w:rsidRPr="006E1DA8">
        <w:rPr>
          <w:rFonts w:eastAsia="Calibri" w:cs="Times New Roman"/>
          <w:spacing w:val="-1"/>
          <w:szCs w:val="18"/>
        </w:rPr>
        <w:t>u</w:t>
      </w:r>
      <w:r w:rsidRPr="006E1DA8">
        <w:rPr>
          <w:rFonts w:eastAsia="Calibri" w:cs="Times New Roman"/>
          <w:spacing w:val="1"/>
          <w:szCs w:val="18"/>
        </w:rPr>
        <w:t>r</w:t>
      </w:r>
      <w:r w:rsidRPr="006E1DA8">
        <w:rPr>
          <w:rFonts w:eastAsia="Calibri" w:cs="Times New Roman"/>
          <w:spacing w:val="-1"/>
          <w:szCs w:val="18"/>
        </w:rPr>
        <w:t>i</w:t>
      </w:r>
      <w:r w:rsidRPr="006E1DA8">
        <w:rPr>
          <w:rFonts w:eastAsia="Calibri" w:cs="Times New Roman"/>
          <w:szCs w:val="18"/>
        </w:rPr>
        <w:t>s</w:t>
      </w:r>
      <w:r w:rsidRPr="006E1DA8">
        <w:rPr>
          <w:rFonts w:eastAsia="Calibri" w:cs="Times New Roman"/>
          <w:spacing w:val="-1"/>
          <w:szCs w:val="18"/>
        </w:rPr>
        <w:t>di</w:t>
      </w:r>
      <w:r w:rsidRPr="006E1DA8">
        <w:rPr>
          <w:rFonts w:eastAsia="Calibri" w:cs="Times New Roman"/>
          <w:spacing w:val="1"/>
          <w:szCs w:val="18"/>
        </w:rPr>
        <w:t>c</w:t>
      </w:r>
      <w:r w:rsidRPr="006E1DA8">
        <w:rPr>
          <w:rFonts w:eastAsia="Calibri" w:cs="Times New Roman"/>
          <w:spacing w:val="-1"/>
          <w:szCs w:val="18"/>
        </w:rPr>
        <w:t>tio</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pacing w:val="-1"/>
          <w:szCs w:val="18"/>
        </w:rPr>
        <w:t>Re</w:t>
      </w:r>
      <w:r w:rsidRPr="006E1DA8">
        <w:rPr>
          <w:rFonts w:eastAsia="Calibri" w:cs="Times New Roman"/>
          <w:spacing w:val="2"/>
          <w:szCs w:val="18"/>
        </w:rPr>
        <w:t>p</w:t>
      </w:r>
      <w:r w:rsidRPr="006E1DA8">
        <w:rPr>
          <w:rFonts w:eastAsia="Calibri" w:cs="Times New Roman"/>
          <w:spacing w:val="-1"/>
          <w:szCs w:val="18"/>
        </w:rPr>
        <w:t>or</w:t>
      </w:r>
      <w:r w:rsidRPr="006E1DA8">
        <w:rPr>
          <w:rFonts w:eastAsia="Calibri" w:cs="Times New Roman"/>
          <w:szCs w:val="18"/>
        </w:rPr>
        <w:t>t</w:t>
      </w:r>
      <w:r w:rsidRPr="006E1DA8">
        <w:rPr>
          <w:rFonts w:eastAsia="Calibri" w:cs="Times New Roman"/>
          <w:spacing w:val="1"/>
          <w:szCs w:val="18"/>
        </w:rPr>
        <w:t xml:space="preserve"> </w:t>
      </w:r>
      <w:r w:rsidRPr="006E1DA8">
        <w:rPr>
          <w:rFonts w:eastAsia="Calibri" w:cs="Times New Roman"/>
          <w:spacing w:val="-1"/>
          <w:szCs w:val="18"/>
        </w:rPr>
        <w:t>o</w:t>
      </w:r>
      <w:r w:rsidRPr="006E1DA8">
        <w:rPr>
          <w:rFonts w:eastAsia="Calibri" w:cs="Times New Roman"/>
          <w:szCs w:val="18"/>
        </w:rPr>
        <w:t>n</w:t>
      </w:r>
      <w:r w:rsidRPr="006E1DA8">
        <w:rPr>
          <w:rFonts w:eastAsia="Calibri" w:cs="Times New Roman"/>
          <w:spacing w:val="-1"/>
          <w:szCs w:val="18"/>
        </w:rPr>
        <w:t xml:space="preserve"> t</w:t>
      </w:r>
      <w:r w:rsidRPr="006E1DA8">
        <w:rPr>
          <w:rFonts w:eastAsia="Calibri" w:cs="Times New Roman"/>
          <w:szCs w:val="18"/>
        </w:rPr>
        <w:t>he</w:t>
      </w:r>
      <w:r w:rsidRPr="006E1DA8">
        <w:rPr>
          <w:rFonts w:eastAsia="Calibri" w:cs="Times New Roman"/>
          <w:spacing w:val="-1"/>
          <w:szCs w:val="18"/>
        </w:rPr>
        <w:t xml:space="preserve"> </w:t>
      </w:r>
      <w:r w:rsidRPr="006E1DA8">
        <w:rPr>
          <w:rFonts w:eastAsia="Calibri" w:cs="Times New Roman"/>
          <w:szCs w:val="18"/>
        </w:rPr>
        <w:t>Ta</w:t>
      </w:r>
      <w:r w:rsidRPr="006E1DA8">
        <w:rPr>
          <w:rFonts w:eastAsia="Calibri" w:cs="Times New Roman"/>
          <w:spacing w:val="-1"/>
          <w:szCs w:val="18"/>
        </w:rPr>
        <w:t>s</w:t>
      </w:r>
      <w:r w:rsidRPr="006E1DA8">
        <w:rPr>
          <w:rFonts w:eastAsia="Calibri" w:cs="Times New Roman"/>
          <w:szCs w:val="18"/>
        </w:rPr>
        <w:t>k</w:t>
      </w:r>
      <w:r w:rsidRPr="006E1DA8">
        <w:rPr>
          <w:rFonts w:eastAsia="Calibri" w:cs="Times New Roman"/>
          <w:spacing w:val="-1"/>
          <w:szCs w:val="18"/>
        </w:rPr>
        <w:t xml:space="preserve"> </w:t>
      </w:r>
      <w:r w:rsidRPr="006E1DA8">
        <w:rPr>
          <w:rFonts w:eastAsia="Calibri" w:cs="Times New Roman"/>
          <w:szCs w:val="18"/>
        </w:rPr>
        <w:t>F</w:t>
      </w:r>
      <w:r w:rsidRPr="006E1DA8">
        <w:rPr>
          <w:rFonts w:eastAsia="Calibri" w:cs="Times New Roman"/>
          <w:spacing w:val="-1"/>
          <w:szCs w:val="18"/>
        </w:rPr>
        <w:t>orc</w:t>
      </w:r>
      <w:r w:rsidRPr="006E1DA8">
        <w:rPr>
          <w:rFonts w:eastAsia="Calibri" w:cs="Times New Roman"/>
          <w:szCs w:val="18"/>
        </w:rPr>
        <w:t>e</w:t>
      </w:r>
      <w:r w:rsidRPr="006E1DA8">
        <w:rPr>
          <w:rFonts w:eastAsia="Calibri" w:cs="Times New Roman"/>
          <w:spacing w:val="-1"/>
          <w:szCs w:val="18"/>
        </w:rPr>
        <w:t xml:space="preserve"> o</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pacing w:val="1"/>
          <w:szCs w:val="18"/>
        </w:rPr>
        <w:t>E</w:t>
      </w:r>
      <w:r w:rsidRPr="006E1DA8">
        <w:rPr>
          <w:rFonts w:eastAsia="Calibri" w:cs="Times New Roman"/>
          <w:szCs w:val="18"/>
        </w:rPr>
        <w:t>x</w:t>
      </w:r>
      <w:r w:rsidRPr="006E1DA8">
        <w:rPr>
          <w:rFonts w:eastAsia="Calibri" w:cs="Times New Roman"/>
          <w:spacing w:val="-1"/>
          <w:szCs w:val="18"/>
        </w:rPr>
        <w:t>tr</w:t>
      </w:r>
      <w:r w:rsidRPr="006E1DA8">
        <w:rPr>
          <w:rFonts w:eastAsia="Calibri" w:cs="Times New Roman"/>
          <w:spacing w:val="1"/>
          <w:szCs w:val="18"/>
        </w:rPr>
        <w:t>a-</w:t>
      </w:r>
      <w:r w:rsidRPr="006E1DA8">
        <w:rPr>
          <w:rFonts w:eastAsia="Calibri" w:cs="Times New Roman"/>
          <w:spacing w:val="-1"/>
          <w:szCs w:val="18"/>
        </w:rPr>
        <w:t>t</w:t>
      </w:r>
      <w:r w:rsidRPr="006E1DA8">
        <w:rPr>
          <w:rFonts w:eastAsia="Calibri" w:cs="Times New Roman"/>
          <w:spacing w:val="1"/>
          <w:szCs w:val="18"/>
        </w:rPr>
        <w:t>e</w:t>
      </w:r>
      <w:r w:rsidRPr="006E1DA8">
        <w:rPr>
          <w:rFonts w:eastAsia="Calibri" w:cs="Times New Roman"/>
          <w:spacing w:val="-1"/>
          <w:szCs w:val="18"/>
        </w:rPr>
        <w:t>rri</w:t>
      </w:r>
      <w:r w:rsidRPr="006E1DA8">
        <w:rPr>
          <w:rFonts w:eastAsia="Calibri" w:cs="Times New Roman"/>
          <w:spacing w:val="1"/>
          <w:szCs w:val="18"/>
        </w:rPr>
        <w:t>t</w:t>
      </w:r>
      <w:r w:rsidRPr="006E1DA8">
        <w:rPr>
          <w:rFonts w:eastAsia="Calibri" w:cs="Times New Roman"/>
          <w:spacing w:val="-1"/>
          <w:szCs w:val="18"/>
        </w:rPr>
        <w:t>ori</w:t>
      </w:r>
      <w:r w:rsidRPr="006E1DA8">
        <w:rPr>
          <w:rFonts w:eastAsia="Calibri" w:cs="Times New Roman"/>
          <w:szCs w:val="18"/>
        </w:rPr>
        <w:t>al</w:t>
      </w:r>
      <w:r w:rsidRPr="006E1DA8">
        <w:rPr>
          <w:rFonts w:eastAsia="Calibri" w:cs="Times New Roman"/>
          <w:spacing w:val="1"/>
          <w:szCs w:val="18"/>
        </w:rPr>
        <w:t xml:space="preserve"> </w:t>
      </w:r>
      <w:r w:rsidRPr="006E1DA8">
        <w:rPr>
          <w:rFonts w:eastAsia="Calibri" w:cs="Times New Roman"/>
          <w:spacing w:val="-1"/>
          <w:szCs w:val="18"/>
        </w:rPr>
        <w:t>J</w:t>
      </w:r>
      <w:r w:rsidRPr="006E1DA8">
        <w:rPr>
          <w:rFonts w:eastAsia="Calibri" w:cs="Times New Roman"/>
          <w:szCs w:val="18"/>
        </w:rPr>
        <w:t>u</w:t>
      </w:r>
      <w:r w:rsidRPr="006E1DA8">
        <w:rPr>
          <w:rFonts w:eastAsia="Calibri" w:cs="Times New Roman"/>
          <w:spacing w:val="-1"/>
          <w:szCs w:val="18"/>
        </w:rPr>
        <w:t>r</w:t>
      </w:r>
      <w:r w:rsidRPr="006E1DA8">
        <w:rPr>
          <w:rFonts w:eastAsia="Calibri" w:cs="Times New Roman"/>
          <w:szCs w:val="18"/>
        </w:rPr>
        <w:t>is</w:t>
      </w:r>
      <w:r w:rsidRPr="006E1DA8">
        <w:rPr>
          <w:rFonts w:eastAsia="Calibri" w:cs="Times New Roman"/>
          <w:spacing w:val="-1"/>
          <w:szCs w:val="18"/>
        </w:rPr>
        <w:t>di</w:t>
      </w:r>
      <w:r w:rsidRPr="006E1DA8">
        <w:rPr>
          <w:rFonts w:eastAsia="Calibri" w:cs="Times New Roman"/>
          <w:spacing w:val="1"/>
          <w:szCs w:val="18"/>
        </w:rPr>
        <w:t>c</w:t>
      </w:r>
      <w:r w:rsidRPr="006E1DA8">
        <w:rPr>
          <w:rFonts w:eastAsia="Calibri" w:cs="Times New Roman"/>
          <w:spacing w:val="-1"/>
          <w:szCs w:val="18"/>
        </w:rPr>
        <w:t>tio</w:t>
      </w:r>
      <w:r w:rsidRPr="006E1DA8">
        <w:rPr>
          <w:rFonts w:eastAsia="Calibri" w:cs="Times New Roman"/>
          <w:szCs w:val="18"/>
        </w:rPr>
        <w:t xml:space="preserve">n. </w:t>
      </w:r>
      <w:r w:rsidRPr="006E1DA8">
        <w:rPr>
          <w:rFonts w:eastAsia="Calibri" w:cs="Times New Roman"/>
          <w:spacing w:val="1"/>
          <w:szCs w:val="18"/>
        </w:rPr>
        <w:t>O</w:t>
      </w:r>
      <w:r w:rsidRPr="006E1DA8">
        <w:rPr>
          <w:rFonts w:eastAsia="Calibri" w:cs="Times New Roman"/>
          <w:spacing w:val="-1"/>
          <w:szCs w:val="18"/>
        </w:rPr>
        <w:t>t</w:t>
      </w:r>
      <w:r w:rsidRPr="006E1DA8">
        <w:rPr>
          <w:rFonts w:eastAsia="Calibri" w:cs="Times New Roman"/>
          <w:szCs w:val="18"/>
        </w:rPr>
        <w:t>h</w:t>
      </w:r>
      <w:r w:rsidRPr="006E1DA8">
        <w:rPr>
          <w:rFonts w:eastAsia="Calibri" w:cs="Times New Roman"/>
          <w:spacing w:val="-1"/>
          <w:szCs w:val="18"/>
        </w:rPr>
        <w:t>er</w:t>
      </w:r>
      <w:r w:rsidRPr="006E1DA8">
        <w:rPr>
          <w:rFonts w:eastAsia="Calibri" w:cs="Times New Roman"/>
          <w:szCs w:val="18"/>
        </w:rPr>
        <w:t>s</w:t>
      </w:r>
      <w:r w:rsidRPr="006E1DA8">
        <w:rPr>
          <w:rFonts w:eastAsia="Calibri" w:cs="Times New Roman"/>
          <w:spacing w:val="-1"/>
          <w:szCs w:val="18"/>
        </w:rPr>
        <w:t xml:space="preserve"> c</w:t>
      </w:r>
      <w:r w:rsidRPr="006E1DA8">
        <w:rPr>
          <w:rFonts w:eastAsia="Calibri" w:cs="Times New Roman"/>
          <w:spacing w:val="2"/>
          <w:szCs w:val="18"/>
        </w:rPr>
        <w:t>a</w:t>
      </w:r>
      <w:r w:rsidRPr="006E1DA8">
        <w:rPr>
          <w:rFonts w:eastAsia="Calibri" w:cs="Times New Roman"/>
          <w:spacing w:val="-1"/>
          <w:szCs w:val="18"/>
        </w:rPr>
        <w:t>l</w:t>
      </w:r>
      <w:r w:rsidRPr="006E1DA8">
        <w:rPr>
          <w:rFonts w:eastAsia="Calibri" w:cs="Times New Roman"/>
          <w:szCs w:val="18"/>
        </w:rPr>
        <w:t>l</w:t>
      </w:r>
      <w:r w:rsidRPr="006E1DA8">
        <w:rPr>
          <w:rFonts w:eastAsia="Calibri" w:cs="Times New Roman"/>
          <w:spacing w:val="-1"/>
          <w:szCs w:val="18"/>
        </w:rPr>
        <w:t xml:space="preserve"> </w:t>
      </w:r>
      <w:r w:rsidRPr="006E1DA8">
        <w:rPr>
          <w:rFonts w:eastAsia="Calibri" w:cs="Times New Roman"/>
          <w:spacing w:val="1"/>
          <w:szCs w:val="18"/>
        </w:rPr>
        <w:t>f</w:t>
      </w:r>
      <w:r w:rsidRPr="006E1DA8">
        <w:rPr>
          <w:rFonts w:eastAsia="Calibri" w:cs="Times New Roman"/>
          <w:spacing w:val="-1"/>
          <w:szCs w:val="18"/>
        </w:rPr>
        <w:t>o</w:t>
      </w:r>
      <w:r w:rsidRPr="006E1DA8">
        <w:rPr>
          <w:rFonts w:eastAsia="Calibri" w:cs="Times New Roman"/>
          <w:szCs w:val="18"/>
        </w:rPr>
        <w:t>r</w:t>
      </w:r>
      <w:r w:rsidRPr="006E1DA8">
        <w:rPr>
          <w:rFonts w:eastAsia="Calibri" w:cs="Times New Roman"/>
          <w:spacing w:val="-1"/>
          <w:szCs w:val="18"/>
        </w:rPr>
        <w:t xml:space="preserve"> h</w:t>
      </w:r>
      <w:r w:rsidRPr="006E1DA8">
        <w:rPr>
          <w:rFonts w:eastAsia="Calibri" w:cs="Times New Roman"/>
          <w:szCs w:val="18"/>
        </w:rPr>
        <w:t>a</w:t>
      </w:r>
      <w:r w:rsidRPr="006E1DA8">
        <w:rPr>
          <w:rFonts w:eastAsia="Calibri" w:cs="Times New Roman"/>
          <w:spacing w:val="-1"/>
          <w:szCs w:val="18"/>
        </w:rPr>
        <w:t>r</w:t>
      </w:r>
      <w:r w:rsidRPr="006E1DA8">
        <w:rPr>
          <w:rFonts w:eastAsia="Calibri" w:cs="Times New Roman"/>
          <w:spacing w:val="1"/>
          <w:szCs w:val="18"/>
        </w:rPr>
        <w:t>m</w:t>
      </w:r>
      <w:r w:rsidRPr="006E1DA8">
        <w:rPr>
          <w:rFonts w:eastAsia="Calibri" w:cs="Times New Roman"/>
          <w:spacing w:val="-1"/>
          <w:szCs w:val="18"/>
        </w:rPr>
        <w:t>o</w:t>
      </w:r>
      <w:r w:rsidRPr="006E1DA8">
        <w:rPr>
          <w:rFonts w:eastAsia="Calibri" w:cs="Times New Roman"/>
          <w:szCs w:val="18"/>
        </w:rPr>
        <w:t>n</w:t>
      </w:r>
      <w:r w:rsidRPr="006E1DA8">
        <w:rPr>
          <w:rFonts w:eastAsia="Calibri" w:cs="Times New Roman"/>
          <w:spacing w:val="-1"/>
          <w:szCs w:val="18"/>
        </w:rPr>
        <w:t>i</w:t>
      </w:r>
      <w:r w:rsidRPr="006E1DA8">
        <w:rPr>
          <w:rFonts w:eastAsia="Calibri" w:cs="Times New Roman"/>
          <w:spacing w:val="1"/>
          <w:szCs w:val="18"/>
        </w:rPr>
        <w:t>z</w:t>
      </w:r>
      <w:r w:rsidRPr="006E1DA8">
        <w:rPr>
          <w:rFonts w:eastAsia="Calibri" w:cs="Times New Roman"/>
          <w:szCs w:val="18"/>
        </w:rPr>
        <w:t>a</w:t>
      </w:r>
      <w:r w:rsidRPr="006E1DA8">
        <w:rPr>
          <w:rFonts w:eastAsia="Calibri" w:cs="Times New Roman"/>
          <w:spacing w:val="-1"/>
          <w:szCs w:val="18"/>
        </w:rPr>
        <w:t>tio</w:t>
      </w:r>
      <w:r w:rsidRPr="006E1DA8">
        <w:rPr>
          <w:rFonts w:eastAsia="Calibri" w:cs="Times New Roman"/>
          <w:szCs w:val="18"/>
        </w:rPr>
        <w:t xml:space="preserve">n, </w:t>
      </w:r>
      <w:r w:rsidRPr="006E1DA8">
        <w:rPr>
          <w:rFonts w:eastAsia="Calibri" w:cs="Times New Roman"/>
          <w:spacing w:val="-1"/>
          <w:szCs w:val="18"/>
        </w:rPr>
        <w:t>s</w:t>
      </w:r>
      <w:r w:rsidRPr="006E1DA8">
        <w:rPr>
          <w:rFonts w:eastAsia="Calibri" w:cs="Times New Roman"/>
          <w:szCs w:val="18"/>
        </w:rPr>
        <w:t>u</w:t>
      </w:r>
      <w:r w:rsidRPr="006E1DA8">
        <w:rPr>
          <w:rFonts w:eastAsia="Calibri" w:cs="Times New Roman"/>
          <w:spacing w:val="-1"/>
          <w:szCs w:val="18"/>
        </w:rPr>
        <w:t>c</w:t>
      </w:r>
      <w:r w:rsidRPr="006E1DA8">
        <w:rPr>
          <w:rFonts w:eastAsia="Calibri" w:cs="Times New Roman"/>
          <w:szCs w:val="18"/>
        </w:rPr>
        <w:t>h</w:t>
      </w:r>
      <w:r w:rsidRPr="006E1DA8">
        <w:rPr>
          <w:rFonts w:eastAsia="Calibri" w:cs="Times New Roman"/>
          <w:spacing w:val="-1"/>
          <w:szCs w:val="18"/>
        </w:rPr>
        <w:t xml:space="preserve"> </w:t>
      </w:r>
      <w:r w:rsidRPr="006E1DA8">
        <w:rPr>
          <w:rFonts w:eastAsia="Calibri" w:cs="Times New Roman"/>
          <w:szCs w:val="18"/>
        </w:rPr>
        <w:t>as</w:t>
      </w:r>
      <w:r w:rsidRPr="006E1DA8">
        <w:rPr>
          <w:rFonts w:eastAsia="Calibri" w:cs="Times New Roman"/>
          <w:spacing w:val="1"/>
          <w:szCs w:val="18"/>
        </w:rPr>
        <w:t xml:space="preserve"> T</w:t>
      </w:r>
      <w:r w:rsidRPr="006E1DA8">
        <w:rPr>
          <w:rFonts w:eastAsia="Calibri" w:cs="Times New Roman"/>
          <w:szCs w:val="18"/>
        </w:rPr>
        <w:t>h</w:t>
      </w:r>
      <w:r w:rsidRPr="006E1DA8">
        <w:rPr>
          <w:rFonts w:eastAsia="Calibri" w:cs="Times New Roman"/>
          <w:spacing w:val="-1"/>
          <w:szCs w:val="18"/>
        </w:rPr>
        <w:t>o</w:t>
      </w:r>
      <w:r w:rsidRPr="006E1DA8">
        <w:rPr>
          <w:rFonts w:eastAsia="Calibri" w:cs="Times New Roman"/>
          <w:spacing w:val="1"/>
          <w:szCs w:val="18"/>
        </w:rPr>
        <w:t>m</w:t>
      </w:r>
      <w:r w:rsidRPr="006E1DA8">
        <w:rPr>
          <w:rFonts w:eastAsia="Calibri" w:cs="Times New Roman"/>
          <w:szCs w:val="18"/>
        </w:rPr>
        <w:t>as Sn</w:t>
      </w:r>
      <w:r w:rsidRPr="006E1DA8">
        <w:rPr>
          <w:rFonts w:eastAsia="Calibri" w:cs="Times New Roman"/>
          <w:spacing w:val="-1"/>
          <w:szCs w:val="18"/>
        </w:rPr>
        <w:t>i</w:t>
      </w:r>
      <w:r w:rsidRPr="006E1DA8">
        <w:rPr>
          <w:rFonts w:eastAsia="Calibri" w:cs="Times New Roman"/>
          <w:szCs w:val="18"/>
        </w:rPr>
        <w:t>d</w:t>
      </w:r>
      <w:r w:rsidRPr="006E1DA8">
        <w:rPr>
          <w:rFonts w:eastAsia="Calibri" w:cs="Times New Roman"/>
          <w:spacing w:val="-1"/>
          <w:szCs w:val="18"/>
        </w:rPr>
        <w:t>e</w:t>
      </w:r>
      <w:r w:rsidRPr="006E1DA8">
        <w:rPr>
          <w:rFonts w:eastAsia="Calibri" w:cs="Times New Roman"/>
          <w:szCs w:val="18"/>
        </w:rPr>
        <w:t>r</w:t>
      </w:r>
      <w:r w:rsidRPr="006E1DA8">
        <w:rPr>
          <w:rFonts w:eastAsia="Calibri" w:cs="Times New Roman"/>
          <w:spacing w:val="-1"/>
          <w:szCs w:val="18"/>
        </w:rPr>
        <w:t xml:space="preserve"> a</w:t>
      </w:r>
      <w:r w:rsidRPr="006E1DA8">
        <w:rPr>
          <w:rFonts w:eastAsia="Calibri" w:cs="Times New Roman"/>
          <w:szCs w:val="18"/>
        </w:rPr>
        <w:t>nd</w:t>
      </w:r>
      <w:r w:rsidRPr="006E1DA8">
        <w:rPr>
          <w:rFonts w:eastAsia="Calibri" w:cs="Times New Roman"/>
          <w:spacing w:val="-1"/>
          <w:szCs w:val="18"/>
        </w:rPr>
        <w:t xml:space="preserve"> </w:t>
      </w:r>
      <w:r w:rsidRPr="006E1DA8">
        <w:rPr>
          <w:rFonts w:eastAsia="Calibri" w:cs="Times New Roman"/>
          <w:szCs w:val="18"/>
        </w:rPr>
        <w:t>W</w:t>
      </w:r>
      <w:r w:rsidRPr="006E1DA8">
        <w:rPr>
          <w:rFonts w:eastAsia="Calibri" w:cs="Times New Roman"/>
          <w:spacing w:val="-1"/>
          <w:szCs w:val="18"/>
        </w:rPr>
        <w:t>o</w:t>
      </w:r>
      <w:r w:rsidRPr="006E1DA8">
        <w:rPr>
          <w:rFonts w:eastAsia="Calibri" w:cs="Times New Roman"/>
          <w:szCs w:val="18"/>
        </w:rPr>
        <w:t xml:space="preserve">n </w:t>
      </w:r>
      <w:proofErr w:type="spellStart"/>
      <w:r w:rsidRPr="006E1DA8">
        <w:rPr>
          <w:rFonts w:eastAsia="Calibri" w:cs="Times New Roman"/>
          <w:szCs w:val="18"/>
        </w:rPr>
        <w:t>K</w:t>
      </w:r>
      <w:r w:rsidRPr="006E1DA8">
        <w:rPr>
          <w:rFonts w:eastAsia="Calibri" w:cs="Times New Roman"/>
          <w:spacing w:val="-1"/>
          <w:szCs w:val="18"/>
        </w:rPr>
        <w:t>i</w:t>
      </w:r>
      <w:r w:rsidRPr="006E1DA8">
        <w:rPr>
          <w:rFonts w:eastAsia="Calibri" w:cs="Times New Roman"/>
          <w:szCs w:val="18"/>
        </w:rPr>
        <w:t>d</w:t>
      </w:r>
      <w:r w:rsidRPr="006E1DA8">
        <w:rPr>
          <w:rFonts w:eastAsia="Calibri" w:cs="Times New Roman"/>
          <w:spacing w:val="-1"/>
          <w:szCs w:val="18"/>
        </w:rPr>
        <w:t>a</w:t>
      </w:r>
      <w:r w:rsidRPr="006E1DA8">
        <w:rPr>
          <w:rFonts w:eastAsia="Calibri" w:cs="Times New Roman"/>
          <w:szCs w:val="18"/>
        </w:rPr>
        <w:t>ne</w:t>
      </w:r>
      <w:proofErr w:type="spellEnd"/>
      <w:r w:rsidRPr="006E1DA8">
        <w:rPr>
          <w:rFonts w:eastAsia="Calibri" w:cs="Times New Roman"/>
          <w:spacing w:val="-1"/>
          <w:szCs w:val="18"/>
        </w:rPr>
        <w:t xml:space="preserve"> </w:t>
      </w:r>
      <w:r w:rsidRPr="006E1DA8">
        <w:rPr>
          <w:rFonts w:eastAsia="Calibri" w:cs="Times New Roman"/>
          <w:szCs w:val="18"/>
        </w:rPr>
        <w:t>“Comb</w:t>
      </w:r>
      <w:r w:rsidRPr="006E1DA8">
        <w:rPr>
          <w:rFonts w:eastAsia="Calibri" w:cs="Times New Roman"/>
          <w:spacing w:val="-1"/>
          <w:szCs w:val="18"/>
        </w:rPr>
        <w:t>ati</w:t>
      </w:r>
      <w:r w:rsidRPr="006E1DA8">
        <w:rPr>
          <w:rFonts w:eastAsia="Calibri" w:cs="Times New Roman"/>
          <w:szCs w:val="18"/>
        </w:rPr>
        <w:t>ng</w:t>
      </w:r>
      <w:r w:rsidRPr="006E1DA8">
        <w:rPr>
          <w:rFonts w:eastAsia="Calibri" w:cs="Times New Roman"/>
          <w:spacing w:val="1"/>
          <w:szCs w:val="18"/>
        </w:rPr>
        <w:t xml:space="preserve"> </w:t>
      </w:r>
      <w:r w:rsidRPr="006E1DA8">
        <w:rPr>
          <w:rFonts w:eastAsia="Calibri" w:cs="Times New Roman"/>
          <w:szCs w:val="18"/>
        </w:rPr>
        <w:t>Co</w:t>
      </w:r>
      <w:r w:rsidRPr="006E1DA8">
        <w:rPr>
          <w:rFonts w:eastAsia="Calibri" w:cs="Times New Roman"/>
          <w:spacing w:val="-1"/>
          <w:szCs w:val="18"/>
        </w:rPr>
        <w:t>rr</w:t>
      </w:r>
      <w:r w:rsidRPr="006E1DA8">
        <w:rPr>
          <w:rFonts w:eastAsia="Calibri" w:cs="Times New Roman"/>
          <w:szCs w:val="18"/>
        </w:rPr>
        <w:t>u</w:t>
      </w:r>
      <w:r w:rsidRPr="006E1DA8">
        <w:rPr>
          <w:rFonts w:eastAsia="Calibri" w:cs="Times New Roman"/>
          <w:spacing w:val="-1"/>
          <w:szCs w:val="18"/>
        </w:rPr>
        <w:t>ptio</w:t>
      </w:r>
      <w:r w:rsidRPr="006E1DA8">
        <w:rPr>
          <w:rFonts w:eastAsia="Calibri" w:cs="Times New Roman"/>
          <w:szCs w:val="18"/>
        </w:rPr>
        <w:t xml:space="preserve">n </w:t>
      </w:r>
      <w:r w:rsidRPr="006E1DA8">
        <w:rPr>
          <w:rFonts w:eastAsia="Calibri" w:cs="Times New Roman"/>
          <w:spacing w:val="-1"/>
          <w:szCs w:val="18"/>
        </w:rPr>
        <w:t>t</w:t>
      </w:r>
      <w:r w:rsidRPr="006E1DA8">
        <w:rPr>
          <w:rFonts w:eastAsia="Calibri" w:cs="Times New Roman"/>
          <w:szCs w:val="18"/>
        </w:rPr>
        <w:t>h</w:t>
      </w:r>
      <w:r w:rsidRPr="006E1DA8">
        <w:rPr>
          <w:rFonts w:eastAsia="Calibri" w:cs="Times New Roman"/>
          <w:spacing w:val="-1"/>
          <w:szCs w:val="18"/>
        </w:rPr>
        <w:t>ro</w:t>
      </w:r>
      <w:r w:rsidRPr="006E1DA8">
        <w:rPr>
          <w:rFonts w:eastAsia="Calibri" w:cs="Times New Roman"/>
          <w:spacing w:val="2"/>
          <w:szCs w:val="18"/>
        </w:rPr>
        <w:t>u</w:t>
      </w:r>
      <w:r w:rsidRPr="006E1DA8">
        <w:rPr>
          <w:rFonts w:eastAsia="Calibri" w:cs="Times New Roman"/>
          <w:spacing w:val="1"/>
          <w:szCs w:val="18"/>
        </w:rPr>
        <w:t>g</w:t>
      </w:r>
      <w:r w:rsidRPr="006E1DA8">
        <w:rPr>
          <w:rFonts w:eastAsia="Calibri" w:cs="Times New Roman"/>
          <w:szCs w:val="18"/>
        </w:rPr>
        <w:t>h</w:t>
      </w:r>
      <w:r w:rsidRPr="006E1DA8">
        <w:rPr>
          <w:rFonts w:eastAsia="Calibri" w:cs="Times New Roman"/>
          <w:spacing w:val="-1"/>
          <w:szCs w:val="18"/>
        </w:rPr>
        <w:t xml:space="preserve"> </w:t>
      </w:r>
      <w:r w:rsidRPr="006E1DA8">
        <w:rPr>
          <w:rFonts w:eastAsia="Calibri" w:cs="Times New Roman"/>
          <w:szCs w:val="18"/>
        </w:rPr>
        <w:t>In</w:t>
      </w:r>
      <w:r w:rsidRPr="006E1DA8">
        <w:rPr>
          <w:rFonts w:eastAsia="Calibri" w:cs="Times New Roman"/>
          <w:spacing w:val="-1"/>
          <w:szCs w:val="18"/>
        </w:rPr>
        <w:t>ter</w:t>
      </w:r>
      <w:r w:rsidRPr="006E1DA8">
        <w:rPr>
          <w:rFonts w:eastAsia="Calibri" w:cs="Times New Roman"/>
          <w:szCs w:val="18"/>
        </w:rPr>
        <w:t>n</w:t>
      </w:r>
      <w:r w:rsidRPr="006E1DA8">
        <w:rPr>
          <w:rFonts w:eastAsia="Calibri" w:cs="Times New Roman"/>
          <w:spacing w:val="-1"/>
          <w:szCs w:val="18"/>
        </w:rPr>
        <w:t>atio</w:t>
      </w:r>
      <w:r w:rsidRPr="006E1DA8">
        <w:rPr>
          <w:rFonts w:eastAsia="Calibri" w:cs="Times New Roman"/>
          <w:szCs w:val="18"/>
        </w:rPr>
        <w:t>n</w:t>
      </w:r>
      <w:r w:rsidRPr="006E1DA8">
        <w:rPr>
          <w:rFonts w:eastAsia="Calibri" w:cs="Times New Roman"/>
          <w:spacing w:val="-1"/>
          <w:szCs w:val="18"/>
        </w:rPr>
        <w:t>a</w:t>
      </w:r>
      <w:r w:rsidRPr="006E1DA8">
        <w:rPr>
          <w:rFonts w:eastAsia="Calibri" w:cs="Times New Roman"/>
          <w:szCs w:val="18"/>
        </w:rPr>
        <w:t>l</w:t>
      </w:r>
      <w:r w:rsidRPr="006E1DA8">
        <w:rPr>
          <w:rFonts w:eastAsia="Calibri" w:cs="Times New Roman"/>
          <w:spacing w:val="-1"/>
          <w:szCs w:val="18"/>
        </w:rPr>
        <w:t xml:space="preserve"> L</w:t>
      </w:r>
      <w:r w:rsidRPr="006E1DA8">
        <w:rPr>
          <w:rFonts w:eastAsia="Calibri" w:cs="Times New Roman"/>
          <w:szCs w:val="18"/>
        </w:rPr>
        <w:t xml:space="preserve">aw </w:t>
      </w:r>
      <w:r w:rsidRPr="006E1DA8">
        <w:rPr>
          <w:rFonts w:eastAsia="Calibri" w:cs="Times New Roman"/>
          <w:spacing w:val="-1"/>
          <w:szCs w:val="18"/>
        </w:rPr>
        <w:t>i</w:t>
      </w:r>
      <w:r w:rsidRPr="006E1DA8">
        <w:rPr>
          <w:rFonts w:eastAsia="Calibri" w:cs="Times New Roman"/>
          <w:szCs w:val="18"/>
        </w:rPr>
        <w:t>n</w:t>
      </w:r>
      <w:r w:rsidRPr="006E1DA8">
        <w:rPr>
          <w:rFonts w:eastAsia="Calibri" w:cs="Times New Roman"/>
          <w:spacing w:val="-1"/>
          <w:szCs w:val="18"/>
        </w:rPr>
        <w:t xml:space="preserve"> </w:t>
      </w:r>
      <w:r w:rsidRPr="006E1DA8">
        <w:rPr>
          <w:rFonts w:eastAsia="Calibri" w:cs="Times New Roman"/>
          <w:szCs w:val="18"/>
        </w:rPr>
        <w:t>A</w:t>
      </w:r>
      <w:r w:rsidRPr="006E1DA8">
        <w:rPr>
          <w:rFonts w:eastAsia="Calibri" w:cs="Times New Roman"/>
          <w:spacing w:val="-1"/>
          <w:szCs w:val="18"/>
        </w:rPr>
        <w:t>f</w:t>
      </w:r>
      <w:r w:rsidRPr="006E1DA8">
        <w:rPr>
          <w:rFonts w:eastAsia="Calibri" w:cs="Times New Roman"/>
          <w:spacing w:val="1"/>
          <w:szCs w:val="18"/>
        </w:rPr>
        <w:t>r</w:t>
      </w:r>
      <w:r w:rsidRPr="006E1DA8">
        <w:rPr>
          <w:rFonts w:eastAsia="Calibri" w:cs="Times New Roman"/>
          <w:spacing w:val="-1"/>
          <w:szCs w:val="18"/>
        </w:rPr>
        <w:t>ic</w:t>
      </w:r>
      <w:r w:rsidRPr="006E1DA8">
        <w:rPr>
          <w:rFonts w:eastAsia="Calibri" w:cs="Times New Roman"/>
          <w:szCs w:val="18"/>
        </w:rPr>
        <w:t>a: A C</w:t>
      </w:r>
      <w:r w:rsidRPr="006E1DA8">
        <w:rPr>
          <w:rFonts w:eastAsia="Calibri" w:cs="Times New Roman"/>
          <w:spacing w:val="1"/>
          <w:szCs w:val="18"/>
        </w:rPr>
        <w:t>o</w:t>
      </w:r>
      <w:r w:rsidRPr="006E1DA8">
        <w:rPr>
          <w:rFonts w:eastAsia="Calibri" w:cs="Times New Roman"/>
          <w:spacing w:val="-1"/>
          <w:szCs w:val="18"/>
        </w:rPr>
        <w:t>m</w:t>
      </w:r>
      <w:r w:rsidRPr="006E1DA8">
        <w:rPr>
          <w:rFonts w:eastAsia="Calibri" w:cs="Times New Roman"/>
          <w:szCs w:val="18"/>
        </w:rPr>
        <w:t>p</w:t>
      </w:r>
      <w:r w:rsidRPr="006E1DA8">
        <w:rPr>
          <w:rFonts w:eastAsia="Calibri" w:cs="Times New Roman"/>
          <w:spacing w:val="-1"/>
          <w:szCs w:val="18"/>
        </w:rPr>
        <w:t>ar</w:t>
      </w:r>
      <w:r w:rsidRPr="006E1DA8">
        <w:rPr>
          <w:rFonts w:eastAsia="Calibri" w:cs="Times New Roman"/>
          <w:szCs w:val="18"/>
        </w:rPr>
        <w:t>a</w:t>
      </w:r>
      <w:r w:rsidRPr="006E1DA8">
        <w:rPr>
          <w:rFonts w:eastAsia="Calibri" w:cs="Times New Roman"/>
          <w:spacing w:val="-1"/>
          <w:szCs w:val="18"/>
        </w:rPr>
        <w:t>tiv</w:t>
      </w:r>
      <w:r w:rsidRPr="006E1DA8">
        <w:rPr>
          <w:rFonts w:eastAsia="Calibri" w:cs="Times New Roman"/>
          <w:szCs w:val="18"/>
        </w:rPr>
        <w:t>e</w:t>
      </w:r>
      <w:r w:rsidRPr="006E1DA8">
        <w:rPr>
          <w:rFonts w:eastAsia="Calibri" w:cs="Times New Roman"/>
          <w:spacing w:val="-1"/>
          <w:szCs w:val="18"/>
        </w:rPr>
        <w:t xml:space="preserve"> </w:t>
      </w:r>
      <w:r w:rsidRPr="006E1DA8">
        <w:rPr>
          <w:rFonts w:eastAsia="Calibri" w:cs="Times New Roman"/>
          <w:szCs w:val="18"/>
        </w:rPr>
        <w:t>Ana</w:t>
      </w:r>
      <w:r w:rsidRPr="006E1DA8">
        <w:rPr>
          <w:rFonts w:eastAsia="Calibri" w:cs="Times New Roman"/>
          <w:spacing w:val="-1"/>
          <w:szCs w:val="18"/>
        </w:rPr>
        <w:t>ly</w:t>
      </w:r>
      <w:r w:rsidRPr="006E1DA8">
        <w:rPr>
          <w:rFonts w:eastAsia="Calibri" w:cs="Times New Roman"/>
          <w:spacing w:val="2"/>
          <w:szCs w:val="18"/>
        </w:rPr>
        <w:t>s</w:t>
      </w:r>
      <w:r w:rsidRPr="006E1DA8">
        <w:rPr>
          <w:rFonts w:eastAsia="Calibri" w:cs="Times New Roman"/>
          <w:spacing w:val="-1"/>
          <w:szCs w:val="18"/>
        </w:rPr>
        <w:t>i</w:t>
      </w:r>
      <w:r w:rsidRPr="006E1DA8">
        <w:rPr>
          <w:rFonts w:eastAsia="Calibri" w:cs="Times New Roman"/>
          <w:szCs w:val="18"/>
        </w:rPr>
        <w:t xml:space="preserve">s” </w:t>
      </w:r>
      <w:r w:rsidRPr="006E1DA8">
        <w:rPr>
          <w:rFonts w:eastAsia="Calibri" w:cs="Times New Roman"/>
          <w:spacing w:val="-1"/>
          <w:szCs w:val="18"/>
        </w:rPr>
        <w:t>(</w:t>
      </w:r>
      <w:r w:rsidRPr="006E1DA8">
        <w:rPr>
          <w:rFonts w:eastAsia="Calibri" w:cs="Times New Roman"/>
          <w:szCs w:val="18"/>
        </w:rPr>
        <w:t>2007)</w:t>
      </w:r>
      <w:r w:rsidRPr="006E1DA8">
        <w:rPr>
          <w:rFonts w:eastAsia="Calibri" w:cs="Times New Roman"/>
          <w:spacing w:val="-1"/>
          <w:szCs w:val="18"/>
        </w:rPr>
        <w:t xml:space="preserve"> </w:t>
      </w:r>
      <w:r w:rsidRPr="006E1DA8">
        <w:rPr>
          <w:rFonts w:eastAsia="Calibri" w:cs="Times New Roman"/>
          <w:szCs w:val="18"/>
        </w:rPr>
        <w:t>40 C</w:t>
      </w:r>
      <w:r w:rsidRPr="006E1DA8">
        <w:rPr>
          <w:rFonts w:eastAsia="Calibri" w:cs="Times New Roman"/>
          <w:spacing w:val="-1"/>
          <w:szCs w:val="18"/>
        </w:rPr>
        <w:t>or</w:t>
      </w:r>
      <w:r w:rsidRPr="006E1DA8">
        <w:rPr>
          <w:rFonts w:eastAsia="Calibri" w:cs="Times New Roman"/>
          <w:szCs w:val="18"/>
        </w:rPr>
        <w:t>n</w:t>
      </w:r>
      <w:r w:rsidRPr="006E1DA8">
        <w:rPr>
          <w:rFonts w:eastAsia="Calibri" w:cs="Times New Roman"/>
          <w:spacing w:val="-1"/>
          <w:szCs w:val="18"/>
        </w:rPr>
        <w:t>el</w:t>
      </w:r>
      <w:r w:rsidRPr="006E1DA8">
        <w:rPr>
          <w:rFonts w:eastAsia="Calibri" w:cs="Times New Roman"/>
          <w:szCs w:val="18"/>
        </w:rPr>
        <w:t xml:space="preserve">l </w:t>
      </w:r>
      <w:r w:rsidRPr="006E1DA8">
        <w:rPr>
          <w:rFonts w:eastAsia="Calibri" w:cs="Times New Roman"/>
          <w:spacing w:val="3"/>
          <w:szCs w:val="18"/>
        </w:rPr>
        <w:t>I</w:t>
      </w:r>
      <w:r w:rsidRPr="006E1DA8">
        <w:rPr>
          <w:rFonts w:eastAsia="Calibri" w:cs="Times New Roman"/>
          <w:szCs w:val="18"/>
        </w:rPr>
        <w:t>n</w:t>
      </w:r>
      <w:r w:rsidRPr="006E1DA8">
        <w:rPr>
          <w:rFonts w:eastAsia="Calibri" w:cs="Times New Roman"/>
          <w:spacing w:val="-1"/>
          <w:szCs w:val="18"/>
        </w:rPr>
        <w:t>t</w:t>
      </w:r>
      <w:r w:rsidRPr="006E1DA8">
        <w:rPr>
          <w:rFonts w:eastAsia="Calibri" w:cs="Times New Roman"/>
          <w:szCs w:val="18"/>
        </w:rPr>
        <w:t>’l</w:t>
      </w:r>
      <w:r w:rsidRPr="006E1DA8">
        <w:rPr>
          <w:rFonts w:eastAsia="Calibri" w:cs="Times New Roman"/>
          <w:spacing w:val="-1"/>
          <w:szCs w:val="18"/>
        </w:rPr>
        <w:t xml:space="preserve"> L</w:t>
      </w:r>
      <w:r w:rsidRPr="006E1DA8">
        <w:rPr>
          <w:rFonts w:eastAsia="Calibri" w:cs="Times New Roman"/>
          <w:szCs w:val="18"/>
        </w:rPr>
        <w:t>.</w:t>
      </w:r>
      <w:r w:rsidRPr="006E1DA8">
        <w:rPr>
          <w:rFonts w:eastAsia="Calibri" w:cs="Times New Roman"/>
          <w:spacing w:val="-1"/>
          <w:szCs w:val="18"/>
        </w:rPr>
        <w:t>J</w:t>
      </w:r>
      <w:r w:rsidRPr="006E1DA8">
        <w:rPr>
          <w:rFonts w:eastAsia="Calibri" w:cs="Times New Roman"/>
          <w:szCs w:val="18"/>
        </w:rPr>
        <w:t>. 714.</w:t>
      </w:r>
    </w:p>
  </w:footnote>
  <w:footnote w:id="49">
    <w:p w14:paraId="33BEE3B5" w14:textId="77777777" w:rsidR="006E4ED9" w:rsidRPr="006E1DA8" w:rsidRDefault="006E4ED9" w:rsidP="0083748E">
      <w:pPr>
        <w:pStyle w:val="FootnoteText"/>
        <w:rPr>
          <w:rFonts w:eastAsia="Times New Roman" w:cs="Times New Roman"/>
          <w:szCs w:val="18"/>
        </w:rPr>
      </w:pPr>
      <w:r w:rsidRPr="006E1DA8">
        <w:rPr>
          <w:rStyle w:val="FootnoteReference"/>
          <w:rFonts w:eastAsiaTheme="minorEastAsia" w:cs="Times New Roman"/>
          <w:szCs w:val="18"/>
        </w:rPr>
        <w:footnoteRef/>
      </w:r>
      <w:r w:rsidRPr="006E1DA8">
        <w:rPr>
          <w:rFonts w:cs="Times New Roman"/>
          <w:szCs w:val="18"/>
        </w:rPr>
        <w:t xml:space="preserve"> [83]</w:t>
      </w:r>
      <w:r w:rsidRPr="006E1DA8">
        <w:rPr>
          <w:rFonts w:eastAsia="Times New Roman" w:cs="Times New Roman"/>
          <w:szCs w:val="18"/>
        </w:rPr>
        <w:t xml:space="preserve"> International Bar Association “Report of the Task Force on Extra-Territorial Jurisdiction” Chapter 4: Bribery and Corruption, February 6, 2009 at p. 202.</w:t>
      </w:r>
    </w:p>
  </w:footnote>
  <w:footnote w:id="50">
    <w:p w14:paraId="3D326056" w14:textId="77777777" w:rsidR="006E4ED9" w:rsidRPr="006E1DA8" w:rsidRDefault="006E4ED9" w:rsidP="0083748E">
      <w:pPr>
        <w:pStyle w:val="FootnoteText"/>
        <w:rPr>
          <w:rFonts w:cs="Times New Roman"/>
          <w:szCs w:val="18"/>
        </w:rPr>
      </w:pPr>
      <w:r w:rsidRPr="006E1DA8">
        <w:rPr>
          <w:rStyle w:val="FootnoteReference"/>
          <w:rFonts w:eastAsiaTheme="minorEastAsia" w:cs="Times New Roman"/>
          <w:szCs w:val="18"/>
        </w:rPr>
        <w:footnoteRef/>
      </w:r>
      <w:r w:rsidRPr="006E1DA8">
        <w:rPr>
          <w:rFonts w:cs="Times New Roman"/>
          <w:szCs w:val="18"/>
        </w:rPr>
        <w:t xml:space="preserve"> [84] UNODC, Technical Guide to the United Nations Convention Against Corruption (UN, 2009),</w:t>
      </w:r>
    </w:p>
    <w:p w14:paraId="50A684F4" w14:textId="77777777" w:rsidR="006E4ED9" w:rsidRPr="006E1DA8" w:rsidRDefault="006E4ED9" w:rsidP="0083748E">
      <w:pPr>
        <w:pStyle w:val="FootnoteText"/>
        <w:rPr>
          <w:rFonts w:cs="Times New Roman"/>
          <w:szCs w:val="18"/>
        </w:rPr>
      </w:pPr>
      <w:proofErr w:type="gramStart"/>
      <w:r w:rsidRPr="006E1DA8">
        <w:rPr>
          <w:rFonts w:cs="Times New Roman"/>
          <w:szCs w:val="18"/>
        </w:rPr>
        <w:t>retrieved</w:t>
      </w:r>
      <w:proofErr w:type="gramEnd"/>
      <w:r w:rsidRPr="006E1DA8">
        <w:rPr>
          <w:rFonts w:cs="Times New Roman"/>
          <w:szCs w:val="18"/>
        </w:rPr>
        <w:t xml:space="preserve"> from </w:t>
      </w:r>
      <w:hyperlink r:id="rId12" w:history="1">
        <w:r w:rsidRPr="006E1DA8">
          <w:rPr>
            <w:rStyle w:val="Hyperlink"/>
            <w:rFonts w:cs="Times New Roman"/>
            <w:szCs w:val="18"/>
          </w:rPr>
          <w:t>http://www.unodc.org/documents/corruption/Technical_Guide_UNCAC.pdf</w:t>
        </w:r>
      </w:hyperlink>
      <w:r w:rsidRPr="006E1DA8">
        <w:rPr>
          <w:rFonts w:cs="Times New Roman"/>
          <w:szCs w:val="18"/>
        </w:rPr>
        <w:t>.</w:t>
      </w:r>
    </w:p>
  </w:footnote>
  <w:footnote w:id="51">
    <w:p w14:paraId="1F4769F2" w14:textId="77777777" w:rsidR="006E4ED9" w:rsidRPr="006E1DA8" w:rsidRDefault="006E4ED9" w:rsidP="0083748E">
      <w:pPr>
        <w:pStyle w:val="FootnoteText"/>
        <w:rPr>
          <w:i/>
        </w:rPr>
      </w:pPr>
      <w:r w:rsidRPr="006E1DA8">
        <w:rPr>
          <w:rStyle w:val="FootnoteReference"/>
          <w:rFonts w:eastAsiaTheme="minorEastAsia" w:cs="Times New Roman"/>
          <w:szCs w:val="18"/>
        </w:rPr>
        <w:footnoteRef/>
      </w:r>
      <w:r w:rsidRPr="006E1DA8">
        <w:t xml:space="preserve"> [85] </w:t>
      </w:r>
      <w:r w:rsidRPr="006E1DA8">
        <w:rPr>
          <w:i/>
        </w:rPr>
        <w:t>Ibid.</w:t>
      </w:r>
    </w:p>
  </w:footnote>
  <w:footnote w:id="52">
    <w:p w14:paraId="6278D3B8" w14:textId="732E0FF3" w:rsidR="006E4ED9" w:rsidRPr="006E1DA8" w:rsidRDefault="006E4ED9" w:rsidP="0083748E">
      <w:pPr>
        <w:pStyle w:val="FootnoteText"/>
        <w:rPr>
          <w:rFonts w:eastAsia="Times New Roman"/>
        </w:rPr>
      </w:pPr>
      <w:r w:rsidRPr="006E1DA8">
        <w:rPr>
          <w:rStyle w:val="FootnoteReference"/>
          <w:rFonts w:eastAsiaTheme="minorEastAsia" w:cs="Times New Roman"/>
          <w:szCs w:val="18"/>
        </w:rPr>
        <w:footnoteRef/>
      </w:r>
      <w:r w:rsidRPr="006E1DA8">
        <w:t xml:space="preserve"> [86] </w:t>
      </w:r>
      <w:r w:rsidRPr="006E1DA8">
        <w:rPr>
          <w:rFonts w:eastAsia="Times New Roman"/>
        </w:rPr>
        <w:t xml:space="preserve">2 OECD Working Group on Bribery in International Business Transactions “Consultation Paper: Review of the OECD Instruments Combating Bribery of Foreign Public Officials in International Business Transactions Ten Years after Adoption” (OECD, Jan 2008), retrieved from </w:t>
      </w:r>
      <w:hyperlink r:id="rId13" w:history="1">
        <w:r w:rsidRPr="006E1DA8">
          <w:rPr>
            <w:rStyle w:val="Hyperlink"/>
            <w:rFonts w:eastAsia="Times New Roman" w:cs="Times New Roman"/>
            <w:szCs w:val="18"/>
          </w:rPr>
          <w:t>http://www.oecd.org/dataoecd/18/25/39882963.pdf</w:t>
        </w:r>
      </w:hyperlink>
      <w:r w:rsidRPr="006E1DA8">
        <w:rPr>
          <w:rFonts w:eastAsia="Times New Roman"/>
        </w:rPr>
        <w:t>.</w:t>
      </w:r>
    </w:p>
  </w:footnote>
  <w:footnote w:id="53">
    <w:p w14:paraId="5BAB6474" w14:textId="77777777" w:rsidR="006E4ED9" w:rsidRPr="006E1DA8" w:rsidRDefault="006E4ED9" w:rsidP="009B5824">
      <w:pPr>
        <w:pStyle w:val="FootnoteText"/>
      </w:pPr>
      <w:r w:rsidRPr="006E1DA8">
        <w:rPr>
          <w:rStyle w:val="FootnoteReference"/>
        </w:rPr>
        <w:footnoteRef/>
      </w:r>
      <w:r w:rsidRPr="006E1DA8">
        <w:t xml:space="preserve"> In a 2007 study of international business organizations, almost 70,000 multinational parent companies operated through nearly 700,000 foreign affiliates and the largest 100 companies had an average of 187 subsidiaries per group: PI </w:t>
      </w:r>
      <w:proofErr w:type="spellStart"/>
      <w:r w:rsidRPr="006E1DA8">
        <w:t>Blumgerg</w:t>
      </w:r>
      <w:proofErr w:type="spellEnd"/>
      <w:r w:rsidRPr="006E1DA8">
        <w:t xml:space="preserve"> et al, </w:t>
      </w:r>
      <w:r w:rsidRPr="006E1DA8">
        <w:rPr>
          <w:i/>
        </w:rPr>
        <w:t xml:space="preserve">The Law of Corporate Groups: Jurisdiction, Practice and Procedure </w:t>
      </w:r>
      <w:r w:rsidRPr="006E1DA8">
        <w:t>(Aspen Publishers Online, 2007), cited in OECD Stocktaking (2016) at 11, n 4.</w:t>
      </w:r>
    </w:p>
  </w:footnote>
  <w:footnote w:id="54">
    <w:p w14:paraId="260B947C" w14:textId="3634999D" w:rsidR="006E4ED9" w:rsidRPr="006E1DA8" w:rsidRDefault="006E4ED9" w:rsidP="0083748E">
      <w:pPr>
        <w:pStyle w:val="FootnoteText"/>
      </w:pPr>
      <w:r w:rsidRPr="006E1DA8">
        <w:rPr>
          <w:rStyle w:val="FootnoteReference"/>
        </w:rPr>
        <w:footnoteRef/>
      </w:r>
      <w:r w:rsidRPr="006E1DA8">
        <w:t xml:space="preserve"> Mark </w:t>
      </w:r>
      <w:proofErr w:type="spellStart"/>
      <w:r w:rsidRPr="006E1DA8">
        <w:t>Pieth</w:t>
      </w:r>
      <w:proofErr w:type="spellEnd"/>
      <w:r w:rsidRPr="006E1DA8">
        <w:t xml:space="preserve">, “Article 2. The Responsibility of Legal Persons” in Mark </w:t>
      </w:r>
      <w:proofErr w:type="spellStart"/>
      <w:r w:rsidRPr="006E1DA8">
        <w:t>Pieth</w:t>
      </w:r>
      <w:proofErr w:type="spellEnd"/>
      <w:r w:rsidRPr="006E1DA8">
        <w:t xml:space="preserve">, Lucinda </w:t>
      </w:r>
      <w:proofErr w:type="gramStart"/>
      <w:r w:rsidRPr="006E1DA8">
        <w:t>A</w:t>
      </w:r>
      <w:proofErr w:type="gramEnd"/>
      <w:r w:rsidRPr="006E1DA8">
        <w:t xml:space="preserve"> Low &amp; Nicola </w:t>
      </w:r>
      <w:proofErr w:type="spellStart"/>
      <w:r w:rsidRPr="006E1DA8">
        <w:t>Bonucci</w:t>
      </w:r>
      <w:proofErr w:type="spellEnd"/>
      <w:r w:rsidRPr="006E1DA8">
        <w:t xml:space="preserve">, </w:t>
      </w:r>
      <w:proofErr w:type="spellStart"/>
      <w:r w:rsidRPr="006E1DA8">
        <w:t>eds</w:t>
      </w:r>
      <w:proofErr w:type="spellEnd"/>
      <w:r w:rsidRPr="006E1DA8">
        <w:t xml:space="preserve">, </w:t>
      </w:r>
      <w:r w:rsidRPr="006E1DA8">
        <w:rPr>
          <w:i/>
        </w:rPr>
        <w:t>The OECD Convention: A Commentary</w:t>
      </w:r>
      <w:r w:rsidRPr="006E1DA8">
        <w:t>, 2</w:t>
      </w:r>
      <w:r w:rsidRPr="006E1DA8">
        <w:rPr>
          <w:vertAlign w:val="superscript"/>
        </w:rPr>
        <w:t>nd</w:t>
      </w:r>
      <w:r w:rsidRPr="006E1DA8">
        <w:t xml:space="preserve"> </w:t>
      </w:r>
      <w:proofErr w:type="spellStart"/>
      <w:r w:rsidRPr="006E1DA8">
        <w:t>ed</w:t>
      </w:r>
      <w:proofErr w:type="spellEnd"/>
      <w:r w:rsidRPr="006E1DA8">
        <w:rPr>
          <w:i/>
        </w:rPr>
        <w:t xml:space="preserve"> </w:t>
      </w:r>
      <w:r w:rsidRPr="006E1DA8">
        <w:t>(Cambridge University Press, 2014) at 212-51.</w:t>
      </w:r>
    </w:p>
  </w:footnote>
  <w:footnote w:id="55">
    <w:p w14:paraId="6E68A1B3" w14:textId="77777777" w:rsidR="006E4ED9" w:rsidRPr="006E1DA8" w:rsidRDefault="006E4ED9" w:rsidP="0083748E">
      <w:pPr>
        <w:pStyle w:val="FootnoteText"/>
      </w:pPr>
      <w:r w:rsidRPr="006E1DA8">
        <w:rPr>
          <w:rStyle w:val="FootnoteReference"/>
        </w:rPr>
        <w:footnoteRef/>
      </w:r>
      <w:r w:rsidRPr="006E1DA8">
        <w:t xml:space="preserve"> Mark </w:t>
      </w:r>
      <w:proofErr w:type="spellStart"/>
      <w:r w:rsidRPr="006E1DA8">
        <w:t>Pieth</w:t>
      </w:r>
      <w:proofErr w:type="spellEnd"/>
      <w:r w:rsidRPr="006E1DA8">
        <w:t xml:space="preserve"> &amp; </w:t>
      </w:r>
      <w:proofErr w:type="spellStart"/>
      <w:r w:rsidRPr="006E1DA8">
        <w:t>Radha</w:t>
      </w:r>
      <w:proofErr w:type="spellEnd"/>
      <w:r w:rsidRPr="006E1DA8">
        <w:t xml:space="preserve"> Ivory “Emergence and Convergence: Corporate Criminal Liability Principles in Overview” in M </w:t>
      </w:r>
      <w:proofErr w:type="spellStart"/>
      <w:r w:rsidRPr="006E1DA8">
        <w:t>Pieth</w:t>
      </w:r>
      <w:proofErr w:type="spellEnd"/>
      <w:r w:rsidRPr="006E1DA8">
        <w:t xml:space="preserve"> &amp; R Ivory, </w:t>
      </w:r>
      <w:proofErr w:type="spellStart"/>
      <w:proofErr w:type="gramStart"/>
      <w:r w:rsidRPr="006E1DA8">
        <w:t>eds</w:t>
      </w:r>
      <w:proofErr w:type="spellEnd"/>
      <w:proofErr w:type="gramEnd"/>
      <w:r w:rsidRPr="006E1DA8">
        <w:t xml:space="preserve">, </w:t>
      </w:r>
      <w:r w:rsidRPr="006E1DA8">
        <w:rPr>
          <w:i/>
          <w:iCs/>
        </w:rPr>
        <w:t xml:space="preserve">Corporate Criminal Liability Emergence, Convergence and Risk </w:t>
      </w:r>
      <w:r w:rsidRPr="006E1DA8">
        <w:t>(Springer, 2011) at 21–22.</w:t>
      </w:r>
    </w:p>
  </w:footnote>
  <w:footnote w:id="56">
    <w:p w14:paraId="766E89F6"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p>
  </w:footnote>
  <w:footnote w:id="57">
    <w:p w14:paraId="09AFA86B" w14:textId="53890143" w:rsidR="006E4ED9" w:rsidRPr="006E1DA8" w:rsidRDefault="006E4ED9" w:rsidP="0083748E">
      <w:pPr>
        <w:pStyle w:val="FootnoteText"/>
      </w:pPr>
      <w:r w:rsidRPr="006E1DA8">
        <w:rPr>
          <w:rStyle w:val="FootnoteReference"/>
        </w:rPr>
        <w:footnoteRef/>
      </w:r>
      <w:r w:rsidRPr="006E1DA8">
        <w:t xml:space="preserve"> Clifford Chance LLP, </w:t>
      </w:r>
      <w:r w:rsidRPr="006E1DA8">
        <w:rPr>
          <w:i/>
          <w:iCs/>
        </w:rPr>
        <w:t>Corporate Liability in Europe</w:t>
      </w:r>
      <w:r w:rsidRPr="006E1DA8">
        <w:t xml:space="preserve"> (Clifford Chance, 2012), online: &lt;</w:t>
      </w:r>
      <w:hyperlink r:id="rId14" w:history="1">
        <w:r w:rsidRPr="006E1DA8">
          <w:rPr>
            <w:rStyle w:val="Hyperlink"/>
          </w:rPr>
          <w:t>http://www.cliffordchance.com/content/dam/cliffordchance/PDFs/Corporate_Liability_in_Europe.pdf</w:t>
        </w:r>
      </w:hyperlink>
      <w:r w:rsidRPr="006E1DA8">
        <w:rPr>
          <w:rStyle w:val="Hyperlink"/>
        </w:rPr>
        <w:t>&gt;</w:t>
      </w:r>
      <w:r w:rsidRPr="006E1DA8">
        <w:t>.</w:t>
      </w:r>
    </w:p>
  </w:footnote>
  <w:footnote w:id="58">
    <w:p w14:paraId="7683806A" w14:textId="6D93AF46"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OECD Stocktaking (2016).</w:t>
      </w:r>
    </w:p>
  </w:footnote>
  <w:footnote w:id="59">
    <w:p w14:paraId="32DCC2B3" w14:textId="1E1006C0" w:rsidR="006E4ED9" w:rsidRPr="006E1DA8" w:rsidRDefault="006E4ED9" w:rsidP="0083748E">
      <w:pPr>
        <w:pStyle w:val="FootnoteText"/>
      </w:pPr>
      <w:r w:rsidRPr="006E1DA8">
        <w:rPr>
          <w:rStyle w:val="FootnoteReference"/>
        </w:rPr>
        <w:footnoteRef/>
      </w:r>
      <w:r w:rsidRPr="006E1DA8">
        <w:t xml:space="preserve"> Mark </w:t>
      </w:r>
      <w:proofErr w:type="spellStart"/>
      <w:r w:rsidRPr="006E1DA8">
        <w:t>Pieth</w:t>
      </w:r>
      <w:proofErr w:type="spellEnd"/>
      <w:r w:rsidRPr="006E1DA8">
        <w:t xml:space="preserve"> &amp; </w:t>
      </w:r>
      <w:proofErr w:type="spellStart"/>
      <w:r w:rsidRPr="006E1DA8">
        <w:t>Radha</w:t>
      </w:r>
      <w:proofErr w:type="spellEnd"/>
      <w:r w:rsidRPr="006E1DA8">
        <w:t xml:space="preserve"> Ivory “Emergence and Convergence: Corporate Criminal Liability Principles in Overview” in </w:t>
      </w:r>
      <w:proofErr w:type="spellStart"/>
      <w:r w:rsidRPr="006E1DA8">
        <w:rPr>
          <w:rFonts w:cs="Times New Roman"/>
          <w:szCs w:val="18"/>
        </w:rPr>
        <w:t>Pieth</w:t>
      </w:r>
      <w:proofErr w:type="spellEnd"/>
      <w:r w:rsidRPr="006E1DA8">
        <w:rPr>
          <w:rFonts w:cs="Times New Roman"/>
          <w:szCs w:val="18"/>
        </w:rPr>
        <w:t xml:space="preserve"> &amp; Ivory, </w:t>
      </w:r>
      <w:proofErr w:type="spellStart"/>
      <w:proofErr w:type="gramStart"/>
      <w:r w:rsidRPr="006E1DA8">
        <w:rPr>
          <w:rFonts w:cs="Times New Roman"/>
          <w:szCs w:val="18"/>
        </w:rPr>
        <w:t>eds</w:t>
      </w:r>
      <w:proofErr w:type="spellEnd"/>
      <w:proofErr w:type="gramEnd"/>
      <w:r w:rsidRPr="006E1DA8">
        <w:rPr>
          <w:rFonts w:cs="Times New Roman"/>
          <w:szCs w:val="18"/>
        </w:rPr>
        <w:t>, (2011).</w:t>
      </w:r>
    </w:p>
  </w:footnote>
  <w:footnote w:id="60">
    <w:p w14:paraId="79B19F1E" w14:textId="58874E23"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OECD Stocktaking (2016).</w:t>
      </w:r>
    </w:p>
  </w:footnote>
  <w:footnote w:id="61">
    <w:p w14:paraId="5A261ED9" w14:textId="2DE43662"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Legislative Guide (2012),</w:t>
      </w:r>
      <w:r w:rsidRPr="006E1DA8">
        <w:rPr>
          <w:rFonts w:eastAsia="Times New Roman" w:cs="Times New Roman"/>
          <w:szCs w:val="18"/>
        </w:rPr>
        <w:t xml:space="preserve"> </w:t>
      </w:r>
      <w:r w:rsidRPr="006E1DA8">
        <w:rPr>
          <w:rFonts w:cs="Times New Roman"/>
          <w:szCs w:val="18"/>
        </w:rPr>
        <w:t xml:space="preserve">at paras 333-339. </w:t>
      </w:r>
      <w:r w:rsidRPr="006E1DA8">
        <w:rPr>
          <w:rFonts w:eastAsia="Times New Roman" w:cs="Times New Roman"/>
          <w:szCs w:val="18"/>
        </w:rPr>
        <w:t>Reprinted with the permission of the United Nations.</w:t>
      </w:r>
    </w:p>
  </w:footnote>
  <w:footnote w:id="62">
    <w:p w14:paraId="037A522A" w14:textId="5749B249" w:rsidR="006E4ED9" w:rsidRPr="006E1DA8" w:rsidRDefault="006E4ED9" w:rsidP="0083748E">
      <w:pPr>
        <w:pStyle w:val="FootnoteText"/>
      </w:pPr>
      <w:r w:rsidRPr="006E1DA8">
        <w:rPr>
          <w:rStyle w:val="FootnoteReference"/>
          <w:szCs w:val="18"/>
        </w:rPr>
        <w:footnoteRef/>
      </w:r>
      <w:r w:rsidRPr="006E1DA8">
        <w:t xml:space="preserve"> Mark </w:t>
      </w:r>
      <w:proofErr w:type="spellStart"/>
      <w:r w:rsidRPr="006E1DA8">
        <w:t>Pieth</w:t>
      </w:r>
      <w:proofErr w:type="spellEnd"/>
      <w:r w:rsidRPr="006E1DA8">
        <w:t xml:space="preserve">, “Article 2. The Responsibility of Legal Persons” in </w:t>
      </w:r>
      <w:proofErr w:type="spellStart"/>
      <w:r w:rsidRPr="006E1DA8">
        <w:rPr>
          <w:rFonts w:cs="Times New Roman"/>
        </w:rPr>
        <w:t>Pieth</w:t>
      </w:r>
      <w:proofErr w:type="spellEnd"/>
      <w:r w:rsidRPr="006E1DA8">
        <w:rPr>
          <w:rFonts w:cs="Times New Roman"/>
        </w:rPr>
        <w:t xml:space="preserve">, Low &amp; </w:t>
      </w:r>
      <w:proofErr w:type="spellStart"/>
      <w:r w:rsidRPr="006E1DA8">
        <w:rPr>
          <w:rFonts w:cs="Times New Roman"/>
        </w:rPr>
        <w:t>Bonucci</w:t>
      </w:r>
      <w:proofErr w:type="spellEnd"/>
      <w:r w:rsidRPr="006E1DA8">
        <w:rPr>
          <w:rFonts w:cs="Times New Roman"/>
        </w:rPr>
        <w:t xml:space="preserve">, </w:t>
      </w:r>
      <w:proofErr w:type="spellStart"/>
      <w:proofErr w:type="gramStart"/>
      <w:r w:rsidRPr="006E1DA8">
        <w:rPr>
          <w:rFonts w:cs="Times New Roman"/>
        </w:rPr>
        <w:t>eds</w:t>
      </w:r>
      <w:proofErr w:type="spellEnd"/>
      <w:proofErr w:type="gramEnd"/>
      <w:r w:rsidRPr="006E1DA8">
        <w:rPr>
          <w:rFonts w:cs="Times New Roman"/>
        </w:rPr>
        <w:t>, (2014).</w:t>
      </w:r>
    </w:p>
  </w:footnote>
  <w:footnote w:id="63">
    <w:p w14:paraId="06AEB4E2"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199.</w:t>
      </w:r>
    </w:p>
  </w:footnote>
  <w:footnote w:id="64">
    <w:p w14:paraId="6ECA4B3F"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p>
  </w:footnote>
  <w:footnote w:id="65">
    <w:p w14:paraId="72A7C107"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202.</w:t>
      </w:r>
    </w:p>
  </w:footnote>
  <w:footnote w:id="66">
    <w:p w14:paraId="1CDFEE72"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p>
  </w:footnote>
  <w:footnote w:id="67">
    <w:p w14:paraId="3166BAF4" w14:textId="0C11CB1F"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OECD Stocktaking (2016).</w:t>
      </w:r>
    </w:p>
  </w:footnote>
  <w:footnote w:id="68">
    <w:p w14:paraId="19BC17D5"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14-15.</w:t>
      </w:r>
    </w:p>
  </w:footnote>
  <w:footnote w:id="69">
    <w:p w14:paraId="7E401524"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27-28.</w:t>
      </w:r>
    </w:p>
  </w:footnote>
  <w:footnote w:id="70">
    <w:p w14:paraId="33F94DF4" w14:textId="6D159E1B"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46-47.</w:t>
      </w:r>
    </w:p>
  </w:footnote>
  <w:footnote w:id="71">
    <w:p w14:paraId="25139CAC" w14:textId="77777777" w:rsidR="006E4ED9" w:rsidRPr="006E1DA8" w:rsidRDefault="006E4ED9" w:rsidP="009B5824">
      <w:pPr>
        <w:pStyle w:val="FootnoteText"/>
      </w:pPr>
      <w:r w:rsidRPr="006E1DA8">
        <w:rPr>
          <w:rStyle w:val="FootnoteReference"/>
        </w:rPr>
        <w:footnoteRef/>
      </w:r>
      <w:r w:rsidRPr="006E1DA8">
        <w:t xml:space="preserve"> </w:t>
      </w:r>
      <w:r w:rsidRPr="006E1DA8">
        <w:rPr>
          <w:i/>
        </w:rPr>
        <w:t xml:space="preserve">Ibid </w:t>
      </w:r>
      <w:r w:rsidRPr="006E1DA8">
        <w:t>at 53-54.</w:t>
      </w:r>
    </w:p>
  </w:footnote>
  <w:footnote w:id="72">
    <w:p w14:paraId="4DDAF767" w14:textId="01B8335E" w:rsidR="006E4ED9" w:rsidRPr="006E1DA8" w:rsidRDefault="006E4ED9">
      <w:pPr>
        <w:pStyle w:val="FootnoteText"/>
      </w:pPr>
      <w:r w:rsidRPr="006E1DA8">
        <w:rPr>
          <w:rStyle w:val="FootnoteReference"/>
        </w:rPr>
        <w:footnoteRef/>
      </w:r>
      <w:r w:rsidRPr="006E1DA8">
        <w:t xml:space="preserve"> </w:t>
      </w:r>
      <w:r w:rsidRPr="006E1DA8">
        <w:rPr>
          <w:i/>
        </w:rPr>
        <w:t>Ibid</w:t>
      </w:r>
      <w:r w:rsidRPr="006E1DA8">
        <w:t xml:space="preserve"> at 80-81.</w:t>
      </w:r>
    </w:p>
  </w:footnote>
  <w:footnote w:id="73">
    <w:p w14:paraId="189C625D" w14:textId="77777777" w:rsidR="006E4ED9" w:rsidRPr="006E1DA8" w:rsidRDefault="006E4ED9" w:rsidP="009B5824">
      <w:pPr>
        <w:pStyle w:val="FootnoteText"/>
      </w:pPr>
      <w:r w:rsidRPr="006E1DA8">
        <w:rPr>
          <w:rStyle w:val="FootnoteReference"/>
        </w:rPr>
        <w:footnoteRef/>
      </w:r>
      <w:r w:rsidRPr="006E1DA8">
        <w:t xml:space="preserve"> </w:t>
      </w:r>
      <w:r w:rsidRPr="006E1DA8">
        <w:rPr>
          <w:i/>
        </w:rPr>
        <w:t xml:space="preserve">Ibid </w:t>
      </w:r>
      <w:r w:rsidRPr="006E1DA8">
        <w:t>at 91-92.</w:t>
      </w:r>
    </w:p>
  </w:footnote>
  <w:footnote w:id="74">
    <w:p w14:paraId="6EEA7C64"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101.</w:t>
      </w:r>
    </w:p>
  </w:footnote>
  <w:footnote w:id="75">
    <w:p w14:paraId="4477C160"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102-103.</w:t>
      </w:r>
    </w:p>
  </w:footnote>
  <w:footnote w:id="76">
    <w:p w14:paraId="20CAE367" w14:textId="3EBF664F" w:rsidR="006E4ED9" w:rsidRPr="006E1DA8" w:rsidRDefault="006E4ED9" w:rsidP="0083748E">
      <w:pPr>
        <w:pStyle w:val="FootnoteText"/>
      </w:pPr>
      <w:r w:rsidRPr="006E1DA8">
        <w:rPr>
          <w:rStyle w:val="FootnoteReference"/>
        </w:rPr>
        <w:footnoteRef/>
      </w:r>
      <w:r w:rsidRPr="006E1DA8">
        <w:t xml:space="preserve"> </w:t>
      </w:r>
      <w:proofErr w:type="spellStart"/>
      <w:r w:rsidRPr="006E1DA8">
        <w:rPr>
          <w:rFonts w:cs="Times New Roman"/>
          <w:szCs w:val="18"/>
        </w:rPr>
        <w:t>Tarun</w:t>
      </w:r>
      <w:proofErr w:type="spellEnd"/>
      <w:r w:rsidRPr="006E1DA8">
        <w:rPr>
          <w:rFonts w:cs="Times New Roman"/>
          <w:szCs w:val="18"/>
        </w:rPr>
        <w:t xml:space="preserve"> (2013) at 48.</w:t>
      </w:r>
    </w:p>
  </w:footnote>
  <w:footnote w:id="77">
    <w:p w14:paraId="228298D9"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w:t>
      </w:r>
    </w:p>
  </w:footnote>
  <w:footnote w:id="78">
    <w:p w14:paraId="072E79AD"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49.</w:t>
      </w:r>
    </w:p>
  </w:footnote>
  <w:footnote w:id="79">
    <w:p w14:paraId="3EC40763"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p>
  </w:footnote>
  <w:footnote w:id="80">
    <w:p w14:paraId="0B9EF37B" w14:textId="77777777" w:rsidR="006E4ED9" w:rsidRPr="006E1DA8" w:rsidRDefault="006E4ED9" w:rsidP="0083748E">
      <w:pPr>
        <w:pStyle w:val="FootnoteText"/>
      </w:pPr>
      <w:r w:rsidRPr="006E1DA8">
        <w:rPr>
          <w:rStyle w:val="FootnoteReference"/>
          <w:szCs w:val="18"/>
        </w:rPr>
        <w:footnoteRef/>
      </w:r>
      <w:r w:rsidRPr="006E1DA8">
        <w:t xml:space="preserve"> </w:t>
      </w:r>
      <w:r w:rsidRPr="006E1DA8">
        <w:rPr>
          <w:i/>
        </w:rPr>
        <w:t>Ibid</w:t>
      </w:r>
      <w:r w:rsidRPr="006E1DA8">
        <w:t>.</w:t>
      </w:r>
    </w:p>
  </w:footnote>
  <w:footnote w:id="81">
    <w:p w14:paraId="23334E7E" w14:textId="2CAED093" w:rsidR="006E4ED9" w:rsidRPr="006E1DA8" w:rsidRDefault="006E4ED9" w:rsidP="0083748E">
      <w:pPr>
        <w:pStyle w:val="FootnoteText"/>
      </w:pPr>
      <w:r w:rsidRPr="006E1DA8">
        <w:rPr>
          <w:rStyle w:val="FootnoteReference"/>
          <w:szCs w:val="18"/>
        </w:rPr>
        <w:footnoteRef/>
      </w:r>
      <w:r w:rsidRPr="006E1DA8">
        <w:t xml:space="preserve"> </w:t>
      </w:r>
      <w:r w:rsidRPr="006E1DA8">
        <w:rPr>
          <w:rFonts w:cs="Times New Roman"/>
        </w:rPr>
        <w:t>DJSEC Resource Guide (2012) at 28-29.</w:t>
      </w:r>
    </w:p>
  </w:footnote>
  <w:footnote w:id="82">
    <w:p w14:paraId="0256F166" w14:textId="0B10E4B8" w:rsidR="006E4ED9" w:rsidRPr="006E1DA8" w:rsidRDefault="006E4ED9" w:rsidP="0083748E">
      <w:pPr>
        <w:pStyle w:val="FootnoteText"/>
      </w:pPr>
      <w:r w:rsidRPr="006E1DA8">
        <w:rPr>
          <w:rStyle w:val="FootnoteReference"/>
        </w:rPr>
        <w:footnoteRef/>
      </w:r>
      <w:r w:rsidRPr="006E1DA8">
        <w:t xml:space="preserve"> For further detail concerning corporate criminal liability in the UK see: A Pinto and M Evans, </w:t>
      </w:r>
      <w:r w:rsidRPr="006E1DA8">
        <w:rPr>
          <w:i/>
        </w:rPr>
        <w:t>Corporate Criminal Liability</w:t>
      </w:r>
      <w:r w:rsidRPr="006E1DA8">
        <w:t>, 3</w:t>
      </w:r>
      <w:r w:rsidRPr="006E1DA8">
        <w:rPr>
          <w:vertAlign w:val="superscript"/>
        </w:rPr>
        <w:t>rd</w:t>
      </w:r>
      <w:r w:rsidRPr="006E1DA8">
        <w:t xml:space="preserve"> </w:t>
      </w:r>
      <w:proofErr w:type="spellStart"/>
      <w:proofErr w:type="gramStart"/>
      <w:r w:rsidRPr="006E1DA8">
        <w:t>ed</w:t>
      </w:r>
      <w:proofErr w:type="spellEnd"/>
      <w:proofErr w:type="gramEnd"/>
      <w:r w:rsidRPr="006E1DA8">
        <w:t xml:space="preserve"> (Sweet &amp; Maxwell, 2013) and Celia Wells, “Corporate Criminal Liability in England and Wales: Past, Present, and Future” in </w:t>
      </w:r>
      <w:proofErr w:type="spellStart"/>
      <w:r w:rsidRPr="006E1DA8">
        <w:rPr>
          <w:rFonts w:cs="Times New Roman"/>
        </w:rPr>
        <w:t>Pieth</w:t>
      </w:r>
      <w:proofErr w:type="spellEnd"/>
      <w:r w:rsidRPr="006E1DA8">
        <w:rPr>
          <w:rFonts w:cs="Times New Roman"/>
        </w:rPr>
        <w:t xml:space="preserve"> &amp; Ivory, </w:t>
      </w:r>
      <w:proofErr w:type="spellStart"/>
      <w:r w:rsidRPr="006E1DA8">
        <w:rPr>
          <w:rFonts w:cs="Times New Roman"/>
        </w:rPr>
        <w:t>eds</w:t>
      </w:r>
      <w:proofErr w:type="spellEnd"/>
      <w:r w:rsidRPr="006E1DA8">
        <w:rPr>
          <w:rFonts w:cs="Times New Roman"/>
        </w:rPr>
        <w:t>, (2011) at 91.</w:t>
      </w:r>
    </w:p>
  </w:footnote>
  <w:footnote w:id="83">
    <w:p w14:paraId="5C777D51" w14:textId="5EEE9DE7" w:rsidR="006E4ED9" w:rsidRPr="006E1DA8" w:rsidRDefault="006E4ED9" w:rsidP="0083748E">
      <w:pPr>
        <w:pStyle w:val="FootnoteText"/>
      </w:pPr>
      <w:r w:rsidRPr="006E1DA8">
        <w:rPr>
          <w:rStyle w:val="FootnoteReference"/>
        </w:rPr>
        <w:footnoteRef/>
      </w:r>
      <w:r w:rsidRPr="006E1DA8">
        <w:t xml:space="preserve"> Nicholls et al, </w:t>
      </w:r>
      <w:r w:rsidRPr="006E1DA8">
        <w:rPr>
          <w:i/>
        </w:rPr>
        <w:t>Corruption and Misuse of Public Office</w:t>
      </w:r>
      <w:r w:rsidRPr="006E1DA8">
        <w:t xml:space="preserve">, 2nd </w:t>
      </w:r>
      <w:proofErr w:type="spellStart"/>
      <w:proofErr w:type="gramStart"/>
      <w:r w:rsidRPr="006E1DA8">
        <w:t>ed</w:t>
      </w:r>
      <w:proofErr w:type="spellEnd"/>
      <w:proofErr w:type="gramEnd"/>
      <w:r w:rsidRPr="006E1DA8">
        <w:t xml:space="preserve"> (Oxford University Press, 2011) at 39.</w:t>
      </w:r>
    </w:p>
  </w:footnote>
  <w:footnote w:id="84">
    <w:p w14:paraId="6F0F6D28" w14:textId="707DD554" w:rsidR="006E4ED9" w:rsidRPr="006E1DA8" w:rsidRDefault="006E4ED9" w:rsidP="0083748E">
      <w:pPr>
        <w:pStyle w:val="FootnoteText"/>
      </w:pPr>
      <w:r w:rsidRPr="006E1DA8">
        <w:rPr>
          <w:rStyle w:val="FootnoteReference"/>
        </w:rPr>
        <w:footnoteRef/>
      </w:r>
      <w:r w:rsidRPr="006E1DA8">
        <w:t xml:space="preserve"> David </w:t>
      </w:r>
      <w:proofErr w:type="spellStart"/>
      <w:r w:rsidRPr="006E1DA8">
        <w:t>Ormerod</w:t>
      </w:r>
      <w:proofErr w:type="spellEnd"/>
      <w:r w:rsidRPr="006E1DA8">
        <w:t xml:space="preserve">, </w:t>
      </w:r>
      <w:r w:rsidRPr="006E1DA8">
        <w:rPr>
          <w:i/>
        </w:rPr>
        <w:t>Smith and Hogan’s Criminal Law</w:t>
      </w:r>
      <w:r w:rsidRPr="006E1DA8">
        <w:t>, 13</w:t>
      </w:r>
      <w:r w:rsidRPr="006E1DA8">
        <w:rPr>
          <w:vertAlign w:val="superscript"/>
        </w:rPr>
        <w:t>th</w:t>
      </w:r>
      <w:r w:rsidRPr="006E1DA8">
        <w:t xml:space="preserve"> </w:t>
      </w:r>
      <w:proofErr w:type="spellStart"/>
      <w:proofErr w:type="gramStart"/>
      <w:r w:rsidRPr="006E1DA8">
        <w:t>ed</w:t>
      </w:r>
      <w:proofErr w:type="spellEnd"/>
      <w:proofErr w:type="gramEnd"/>
      <w:r w:rsidRPr="006E1DA8">
        <w:t xml:space="preserve"> (Oxford University Press, 2011) at 258–260.</w:t>
      </w:r>
    </w:p>
  </w:footnote>
  <w:footnote w:id="85">
    <w:p w14:paraId="3DDB9B7B" w14:textId="5D0DBDDA" w:rsidR="006E4ED9" w:rsidRPr="006E1DA8" w:rsidRDefault="006E4ED9" w:rsidP="0083748E">
      <w:pPr>
        <w:pStyle w:val="FootnoteText"/>
      </w:pPr>
      <w:r w:rsidRPr="006E1DA8">
        <w:rPr>
          <w:rStyle w:val="FootnoteReference"/>
        </w:rPr>
        <w:footnoteRef/>
      </w:r>
      <w:r w:rsidRPr="006E1DA8">
        <w:t xml:space="preserve"> Andrew Ashworth, </w:t>
      </w:r>
      <w:r w:rsidRPr="006E1DA8">
        <w:rPr>
          <w:i/>
        </w:rPr>
        <w:t>Principles of Criminal Law</w:t>
      </w:r>
      <w:r w:rsidRPr="006E1DA8">
        <w:t>, 6</w:t>
      </w:r>
      <w:r w:rsidRPr="006E1DA8">
        <w:rPr>
          <w:vertAlign w:val="superscript"/>
        </w:rPr>
        <w:t>th</w:t>
      </w:r>
      <w:r w:rsidRPr="006E1DA8">
        <w:t xml:space="preserve"> </w:t>
      </w:r>
      <w:proofErr w:type="spellStart"/>
      <w:proofErr w:type="gramStart"/>
      <w:r w:rsidRPr="006E1DA8">
        <w:t>ed</w:t>
      </w:r>
      <w:proofErr w:type="spellEnd"/>
      <w:proofErr w:type="gramEnd"/>
      <w:r w:rsidRPr="006E1DA8">
        <w:t xml:space="preserve"> (Oxford University Press, 2009) at 150.</w:t>
      </w:r>
    </w:p>
  </w:footnote>
  <w:footnote w:id="86">
    <w:p w14:paraId="1B8AEF30" w14:textId="109EB765" w:rsidR="006E4ED9" w:rsidRPr="006E1DA8" w:rsidRDefault="006E4ED9" w:rsidP="0083748E">
      <w:pPr>
        <w:pStyle w:val="FootnoteText"/>
      </w:pPr>
      <w:r w:rsidRPr="006E1DA8">
        <w:rPr>
          <w:rStyle w:val="FootnoteReference"/>
        </w:rPr>
        <w:footnoteRef/>
      </w:r>
      <w:r w:rsidRPr="006E1DA8">
        <w:t xml:space="preserve"> James </w:t>
      </w:r>
      <w:proofErr w:type="spellStart"/>
      <w:r w:rsidRPr="006E1DA8">
        <w:t>Maton</w:t>
      </w:r>
      <w:proofErr w:type="spellEnd"/>
      <w:r w:rsidRPr="006E1DA8">
        <w:t xml:space="preserve">, “The UK </w:t>
      </w:r>
      <w:r w:rsidRPr="006E1DA8">
        <w:rPr>
          <w:i/>
        </w:rPr>
        <w:t>Bribery Act 2010</w:t>
      </w:r>
      <w:r w:rsidRPr="006E1DA8">
        <w:t>”</w:t>
      </w:r>
      <w:r w:rsidRPr="006E1DA8">
        <w:rPr>
          <w:i/>
        </w:rPr>
        <w:t xml:space="preserve"> </w:t>
      </w:r>
      <w:r w:rsidRPr="006E1DA8">
        <w:t xml:space="preserve">(2010) 36:3 Employee </w:t>
      </w:r>
      <w:proofErr w:type="spellStart"/>
      <w:r w:rsidRPr="006E1DA8">
        <w:t>Rel</w:t>
      </w:r>
      <w:proofErr w:type="spellEnd"/>
      <w:r w:rsidRPr="006E1DA8">
        <w:t xml:space="preserve"> LJ 37 at 40. Furthermore, English case law has generally defined “directing mind” quite narrowly: See </w:t>
      </w:r>
      <w:r w:rsidRPr="006E1DA8">
        <w:rPr>
          <w:i/>
        </w:rPr>
        <w:t xml:space="preserve">Tesco Supermarkets Ltd v </w:t>
      </w:r>
      <w:proofErr w:type="spellStart"/>
      <w:r w:rsidRPr="006E1DA8">
        <w:rPr>
          <w:i/>
        </w:rPr>
        <w:t>Nattras</w:t>
      </w:r>
      <w:proofErr w:type="spellEnd"/>
      <w:r w:rsidRPr="006E1DA8">
        <w:t xml:space="preserve">, [1972] AC 153 (HL); </w:t>
      </w:r>
      <w:r w:rsidRPr="006E1DA8">
        <w:rPr>
          <w:i/>
        </w:rPr>
        <w:t>Director General of Fair Trading v Pioneer Concrete (UK) Ltd</w:t>
      </w:r>
      <w:r w:rsidRPr="006E1DA8">
        <w:t xml:space="preserve">, [1995] 1 AC 456; and </w:t>
      </w:r>
      <w:r w:rsidRPr="006E1DA8">
        <w:rPr>
          <w:i/>
        </w:rPr>
        <w:t>Meridian Global Funds Management Asia Ltd v Securities Commission</w:t>
      </w:r>
      <w:r w:rsidRPr="006E1DA8">
        <w:t xml:space="preserve">, [1995] 2 AC 500. While M Jefferson, “Corporate Criminal Liability in the 1990s” (2000) 64 J </w:t>
      </w:r>
      <w:proofErr w:type="spellStart"/>
      <w:r w:rsidRPr="006E1DA8">
        <w:t>Crim</w:t>
      </w:r>
      <w:proofErr w:type="spellEnd"/>
      <w:r w:rsidRPr="006E1DA8">
        <w:t xml:space="preserve"> L 106 argues that there has been some expansion of the directing mind test, E </w:t>
      </w:r>
      <w:proofErr w:type="spellStart"/>
      <w:r w:rsidRPr="006E1DA8">
        <w:t>Ferran</w:t>
      </w:r>
      <w:proofErr w:type="spellEnd"/>
      <w:r w:rsidRPr="006E1DA8">
        <w:t xml:space="preserve">, “Corporate Attribution and the Directing Mind and Will” (2011) 127 Law Q Rev 239 suggests the wider </w:t>
      </w:r>
      <w:r w:rsidRPr="006E1DA8">
        <w:rPr>
          <w:i/>
        </w:rPr>
        <w:t xml:space="preserve">Meridian </w:t>
      </w:r>
      <w:r w:rsidRPr="006E1DA8">
        <w:t xml:space="preserve">test is not always applied. </w:t>
      </w:r>
    </w:p>
  </w:footnote>
  <w:footnote w:id="87">
    <w:p w14:paraId="2CE89294" w14:textId="77777777" w:rsidR="006E4ED9" w:rsidRPr="006E1DA8" w:rsidRDefault="006E4ED9" w:rsidP="0083748E">
      <w:pPr>
        <w:pStyle w:val="FootnoteText"/>
      </w:pPr>
      <w:r w:rsidRPr="006E1DA8">
        <w:rPr>
          <w:rStyle w:val="FootnoteReference"/>
        </w:rPr>
        <w:footnoteRef/>
      </w:r>
      <w:r w:rsidRPr="006E1DA8">
        <w:t xml:space="preserve"> Interestingly, there is no corresponding offence of failure to prevent the taking of a bribe.</w:t>
      </w:r>
    </w:p>
  </w:footnote>
  <w:footnote w:id="88">
    <w:p w14:paraId="714C09E2" w14:textId="12E67B22" w:rsidR="006E4ED9" w:rsidRPr="006E1DA8" w:rsidRDefault="006E4ED9" w:rsidP="0083748E">
      <w:pPr>
        <w:pStyle w:val="FootnoteText"/>
      </w:pPr>
      <w:r w:rsidRPr="006E1DA8">
        <w:rPr>
          <w:rStyle w:val="FootnoteReference"/>
        </w:rPr>
        <w:footnoteRef/>
      </w:r>
      <w:r w:rsidRPr="006E1DA8">
        <w:t xml:space="preserve"> Bob Sullivan, “Reformulating Bribery: A Legal Critique of the Bribery Act 2010” in Jeremy </w:t>
      </w:r>
      <w:proofErr w:type="spellStart"/>
      <w:r w:rsidRPr="006E1DA8">
        <w:t>Horder</w:t>
      </w:r>
      <w:proofErr w:type="spellEnd"/>
      <w:r w:rsidRPr="006E1DA8">
        <w:t xml:space="preserve"> and Peter </w:t>
      </w:r>
      <w:proofErr w:type="spellStart"/>
      <w:r w:rsidRPr="006E1DA8">
        <w:t>Alldridge</w:t>
      </w:r>
      <w:proofErr w:type="spellEnd"/>
      <w:r w:rsidRPr="006E1DA8">
        <w:t xml:space="preserve">, </w:t>
      </w:r>
      <w:proofErr w:type="spellStart"/>
      <w:r w:rsidRPr="006E1DA8">
        <w:t>eds</w:t>
      </w:r>
      <w:proofErr w:type="spellEnd"/>
      <w:r w:rsidRPr="006E1DA8">
        <w:t xml:space="preserve">, </w:t>
      </w:r>
      <w:r w:rsidRPr="006E1DA8">
        <w:rPr>
          <w:i/>
        </w:rPr>
        <w:t xml:space="preserve">Modern Bribery Law </w:t>
      </w:r>
      <w:r w:rsidRPr="006E1DA8">
        <w:t>(Cambridge University Press, 2013) 13 at 30.</w:t>
      </w:r>
    </w:p>
  </w:footnote>
  <w:footnote w:id="89">
    <w:p w14:paraId="0D24264E" w14:textId="394B144A" w:rsidR="006E4ED9" w:rsidRPr="006E1DA8" w:rsidRDefault="006E4ED9" w:rsidP="0083748E">
      <w:pPr>
        <w:pStyle w:val="FootnoteText"/>
      </w:pPr>
      <w:r w:rsidRPr="006E1DA8">
        <w:rPr>
          <w:rStyle w:val="FootnoteReference"/>
        </w:rPr>
        <w:footnoteRef/>
      </w:r>
      <w:r w:rsidRPr="006E1DA8">
        <w:t xml:space="preserve"> Section 12 deals with the territorial application of the </w:t>
      </w:r>
      <w:r w:rsidRPr="006E1DA8">
        <w:rPr>
          <w:i/>
        </w:rPr>
        <w:t>Bribery Act</w:t>
      </w:r>
      <w:r w:rsidRPr="006E1DA8">
        <w:t>. If the offence takes place outside the UK but would constitute an offence if committed within the UK, and the individual in question has a close connection with the UK, the person may still be charged under sections 1, 2 and 6. Sections 12(2</w:t>
      </w:r>
      <w:proofErr w:type="gramStart"/>
      <w:r w:rsidRPr="006E1DA8">
        <w:t>)(</w:t>
      </w:r>
      <w:proofErr w:type="gramEnd"/>
      <w:r w:rsidRPr="006E1DA8">
        <w:t>c) and 12(4) deal with the "close connection to the UK"; therefore persons associated with commercial organisations can be found to be "bribing another person" for the purposes of the organisation failing to prevent bribery, even if the activity took place outside of the UK and the individual had no close connection with the UK, so long as the organisation fell within the definition of a commercial organisation.</w:t>
      </w:r>
    </w:p>
  </w:footnote>
  <w:footnote w:id="90">
    <w:p w14:paraId="3EDE33E9" w14:textId="42C34558"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Nicholls et al (2011) at para 4.110.</w:t>
      </w:r>
    </w:p>
  </w:footnote>
  <w:footnote w:id="91">
    <w:p w14:paraId="6D7A469C" w14:textId="548EF363" w:rsidR="006E4ED9" w:rsidRPr="006E1DA8" w:rsidRDefault="006E4ED9" w:rsidP="0083748E">
      <w:pPr>
        <w:pStyle w:val="FootnoteText"/>
        <w:rPr>
          <w:rFonts w:cs="Times New Roman"/>
          <w:szCs w:val="18"/>
        </w:rPr>
      </w:pPr>
      <w:r w:rsidRPr="006E1DA8">
        <w:rPr>
          <w:rStyle w:val="FootnoteReference"/>
          <w:rFonts w:cs="Times New Roman"/>
          <w:szCs w:val="18"/>
        </w:rPr>
        <w:footnoteRef/>
      </w:r>
      <w:r w:rsidRPr="006E1DA8">
        <w:rPr>
          <w:rFonts w:cs="Times New Roman"/>
          <w:szCs w:val="18"/>
        </w:rPr>
        <w:t xml:space="preserve"> Stephen Gentle, "The </w:t>
      </w:r>
      <w:r w:rsidRPr="006E1DA8">
        <w:rPr>
          <w:rFonts w:cs="Times New Roman"/>
          <w:i/>
          <w:szCs w:val="18"/>
        </w:rPr>
        <w:t>Bribery Act</w:t>
      </w:r>
      <w:r w:rsidRPr="006E1DA8">
        <w:rPr>
          <w:rFonts w:cs="Times New Roman"/>
          <w:szCs w:val="18"/>
        </w:rPr>
        <w:t xml:space="preserve"> 2010: (2) </w:t>
      </w:r>
      <w:proofErr w:type="gramStart"/>
      <w:r w:rsidRPr="006E1DA8">
        <w:rPr>
          <w:rFonts w:cs="Times New Roman"/>
          <w:szCs w:val="18"/>
        </w:rPr>
        <w:t>The</w:t>
      </w:r>
      <w:proofErr w:type="gramEnd"/>
      <w:r w:rsidRPr="006E1DA8">
        <w:rPr>
          <w:rFonts w:cs="Times New Roman"/>
          <w:szCs w:val="18"/>
        </w:rPr>
        <w:t xml:space="preserve"> Corporate Offence" (2011) 2 </w:t>
      </w:r>
      <w:proofErr w:type="spellStart"/>
      <w:r w:rsidRPr="006E1DA8">
        <w:rPr>
          <w:rFonts w:cs="Times New Roman"/>
          <w:szCs w:val="18"/>
        </w:rPr>
        <w:t>Crim</w:t>
      </w:r>
      <w:proofErr w:type="spellEnd"/>
      <w:r w:rsidRPr="006E1DA8">
        <w:rPr>
          <w:rFonts w:cs="Times New Roman"/>
          <w:szCs w:val="18"/>
        </w:rPr>
        <w:t xml:space="preserve"> L Rev 101 at 105.</w:t>
      </w:r>
    </w:p>
  </w:footnote>
  <w:footnote w:id="92">
    <w:p w14:paraId="06F3CE21" w14:textId="1E6D259A" w:rsidR="006E4ED9" w:rsidRPr="006E1DA8" w:rsidRDefault="006E4ED9" w:rsidP="0083748E">
      <w:pPr>
        <w:pStyle w:val="FootnoteText"/>
        <w:rPr>
          <w:rFonts w:cs="Times New Roman"/>
          <w:szCs w:val="18"/>
        </w:rPr>
      </w:pPr>
      <w:r w:rsidRPr="006E1DA8">
        <w:rPr>
          <w:rStyle w:val="FootnoteReference"/>
          <w:rFonts w:cs="Times New Roman"/>
          <w:szCs w:val="18"/>
        </w:rPr>
        <w:footnoteRef/>
      </w:r>
      <w:r w:rsidRPr="006E1DA8">
        <w:rPr>
          <w:rFonts w:cs="Times New Roman"/>
          <w:szCs w:val="18"/>
        </w:rPr>
        <w:t xml:space="preserve"> United Kingdom, Minister of Justice, </w:t>
      </w:r>
      <w:proofErr w:type="gramStart"/>
      <w:r w:rsidRPr="006E1DA8">
        <w:rPr>
          <w:rFonts w:cs="Times New Roman"/>
          <w:i/>
          <w:szCs w:val="18"/>
        </w:rPr>
        <w:t>The</w:t>
      </w:r>
      <w:proofErr w:type="gramEnd"/>
      <w:r w:rsidRPr="006E1DA8">
        <w:rPr>
          <w:rFonts w:cs="Times New Roman"/>
          <w:i/>
          <w:szCs w:val="18"/>
        </w:rPr>
        <w:t xml:space="preserve"> Bribery Act 2010: Guidance </w:t>
      </w:r>
      <w:r w:rsidRPr="006E1DA8">
        <w:rPr>
          <w:rFonts w:cs="Times New Roman"/>
          <w:szCs w:val="18"/>
        </w:rPr>
        <w:t>(2011) at para 36, online: &lt;</w:t>
      </w:r>
      <w:hyperlink r:id="rId15" w:history="1">
        <w:r w:rsidRPr="006E1DA8">
          <w:rPr>
            <w:rStyle w:val="Hyperlink"/>
            <w:rFonts w:cs="Times New Roman"/>
            <w:szCs w:val="18"/>
          </w:rPr>
          <w:t>https://www.justice.gov.uk/downloads/legislation/bribery-act-2010-guidance.pdf</w:t>
        </w:r>
      </w:hyperlink>
      <w:r w:rsidRPr="006E1DA8">
        <w:rPr>
          <w:rFonts w:cs="Times New Roman"/>
          <w:szCs w:val="18"/>
        </w:rPr>
        <w:t xml:space="preserve">&gt;. </w:t>
      </w:r>
    </w:p>
  </w:footnote>
  <w:footnote w:id="93">
    <w:p w14:paraId="52377A6A" w14:textId="57922600" w:rsidR="006E4ED9" w:rsidRPr="006E1DA8" w:rsidRDefault="006E4ED9" w:rsidP="0083748E">
      <w:pPr>
        <w:pStyle w:val="FootnoteText"/>
        <w:rPr>
          <w:rFonts w:cs="Times New Roman"/>
          <w:szCs w:val="18"/>
        </w:rPr>
      </w:pPr>
      <w:r w:rsidRPr="006E1DA8">
        <w:rPr>
          <w:rStyle w:val="FootnoteReference"/>
          <w:rFonts w:cs="Times New Roman"/>
          <w:szCs w:val="18"/>
        </w:rPr>
        <w:footnoteRef/>
      </w:r>
      <w:r w:rsidRPr="006E1DA8">
        <w:rPr>
          <w:rFonts w:cs="Times New Roman"/>
          <w:szCs w:val="18"/>
        </w:rPr>
        <w:t xml:space="preserve"> GR Sullivan, "The </w:t>
      </w:r>
      <w:r w:rsidRPr="006E1DA8">
        <w:rPr>
          <w:rFonts w:cs="Times New Roman"/>
          <w:i/>
          <w:szCs w:val="18"/>
        </w:rPr>
        <w:t>Bribery Act</w:t>
      </w:r>
      <w:r w:rsidRPr="006E1DA8">
        <w:rPr>
          <w:rFonts w:cs="Times New Roman"/>
          <w:szCs w:val="18"/>
        </w:rPr>
        <w:t xml:space="preserve"> 2010: (1) </w:t>
      </w:r>
      <w:proofErr w:type="gramStart"/>
      <w:r w:rsidRPr="006E1DA8">
        <w:rPr>
          <w:rFonts w:cs="Times New Roman"/>
          <w:szCs w:val="18"/>
        </w:rPr>
        <w:t>An</w:t>
      </w:r>
      <w:proofErr w:type="gramEnd"/>
      <w:r w:rsidRPr="006E1DA8">
        <w:rPr>
          <w:rFonts w:cs="Times New Roman"/>
          <w:szCs w:val="18"/>
        </w:rPr>
        <w:t xml:space="preserve"> Overview" (2011) 2 </w:t>
      </w:r>
      <w:proofErr w:type="spellStart"/>
      <w:r w:rsidRPr="006E1DA8">
        <w:rPr>
          <w:rFonts w:cs="Times New Roman"/>
          <w:szCs w:val="18"/>
        </w:rPr>
        <w:t>Crim</w:t>
      </w:r>
      <w:proofErr w:type="spellEnd"/>
      <w:r w:rsidRPr="006E1DA8">
        <w:rPr>
          <w:rFonts w:cs="Times New Roman"/>
          <w:szCs w:val="18"/>
        </w:rPr>
        <w:t xml:space="preserve"> L Rev 87 at 95.</w:t>
      </w:r>
    </w:p>
  </w:footnote>
  <w:footnote w:id="94">
    <w:p w14:paraId="356017B7" w14:textId="77777777" w:rsidR="006E4ED9" w:rsidRPr="006E1DA8" w:rsidRDefault="006E4ED9" w:rsidP="0083748E">
      <w:pPr>
        <w:pStyle w:val="FootnoteText"/>
      </w:pPr>
      <w:r w:rsidRPr="006E1DA8">
        <w:rPr>
          <w:rStyle w:val="FootnoteReference"/>
          <w:rFonts w:cs="Times New Roman"/>
          <w:szCs w:val="18"/>
        </w:rPr>
        <w:footnoteRef/>
      </w:r>
      <w:r w:rsidRPr="006E1DA8">
        <w:t xml:space="preserve"> Celia Wells, “Corporate Criminal Liability in England and Wales: Past, Present, and Future” in </w:t>
      </w:r>
      <w:r w:rsidRPr="006E1DA8">
        <w:rPr>
          <w:i/>
        </w:rPr>
        <w:t xml:space="preserve">Corporate Criminal Liability: Emergence, Convergence and Risk </w:t>
      </w:r>
      <w:r w:rsidRPr="006E1DA8">
        <w:t>(Springer Netherlands, 2011) at 107.</w:t>
      </w:r>
    </w:p>
  </w:footnote>
  <w:footnote w:id="95">
    <w:p w14:paraId="2CCB59D3" w14:textId="65FA9A4C" w:rsidR="006E4ED9" w:rsidRPr="006E1DA8" w:rsidRDefault="006E4ED9" w:rsidP="0083748E">
      <w:pPr>
        <w:pStyle w:val="FootnoteText"/>
      </w:pPr>
      <w:r w:rsidRPr="006E1DA8">
        <w:rPr>
          <w:rStyle w:val="FootnoteReference"/>
          <w:rFonts w:cs="Times New Roman"/>
          <w:szCs w:val="18"/>
        </w:rPr>
        <w:footnoteRef/>
      </w:r>
      <w:r w:rsidRPr="006E1DA8">
        <w:t xml:space="preserve"> OECD, </w:t>
      </w:r>
      <w:r w:rsidRPr="006E1DA8">
        <w:rPr>
          <w:i/>
        </w:rPr>
        <w:t>United Kingdom - OECD Anti-Bribery Convention</w:t>
      </w:r>
      <w:r w:rsidRPr="006E1DA8">
        <w:t>, online: &lt;</w:t>
      </w:r>
      <w:hyperlink r:id="rId16" w:history="1">
        <w:r w:rsidRPr="006E1DA8">
          <w:rPr>
            <w:rStyle w:val="Hyperlink"/>
            <w:rFonts w:cs="Times New Roman"/>
            <w:szCs w:val="18"/>
          </w:rPr>
          <w:t>http://www.oecd.org/daf/anti-bribery/unitedkingdom-oecdanti-briberyconvention.htm</w:t>
        </w:r>
      </w:hyperlink>
      <w:r w:rsidRPr="006E1DA8">
        <w:t xml:space="preserve">&gt;. </w:t>
      </w:r>
    </w:p>
  </w:footnote>
  <w:footnote w:id="96">
    <w:p w14:paraId="72A03A15" w14:textId="46E5C4F9" w:rsidR="006E4ED9" w:rsidRPr="006E1DA8" w:rsidRDefault="006E4ED9" w:rsidP="0083748E">
      <w:pPr>
        <w:pStyle w:val="FootnoteText"/>
      </w:pPr>
      <w:r w:rsidRPr="006E1DA8">
        <w:rPr>
          <w:rStyle w:val="FootnoteReference"/>
          <w:rFonts w:cs="Times New Roman"/>
          <w:szCs w:val="18"/>
        </w:rPr>
        <w:footnoteRef/>
      </w:r>
      <w:r w:rsidRPr="006E1DA8">
        <w:t xml:space="preserve"> Jon Jordan, “Recent Developments in the </w:t>
      </w:r>
      <w:r w:rsidRPr="006E1DA8">
        <w:rPr>
          <w:i/>
          <w:iCs/>
        </w:rPr>
        <w:t xml:space="preserve">Foreign Corrupt Practices Act </w:t>
      </w:r>
      <w:r w:rsidRPr="006E1DA8">
        <w:t xml:space="preserve">and the New UK </w:t>
      </w:r>
      <w:r w:rsidRPr="006E1DA8">
        <w:rPr>
          <w:i/>
          <w:iCs/>
        </w:rPr>
        <w:t>Bribery Act</w:t>
      </w:r>
      <w:r w:rsidRPr="006E1DA8">
        <w:rPr>
          <w:iCs/>
        </w:rPr>
        <w:t xml:space="preserve">: A Global Trend </w:t>
      </w:r>
      <w:proofErr w:type="gramStart"/>
      <w:r w:rsidRPr="006E1DA8">
        <w:rPr>
          <w:iCs/>
        </w:rPr>
        <w:t>Towards</w:t>
      </w:r>
      <w:proofErr w:type="gramEnd"/>
      <w:r w:rsidRPr="006E1DA8">
        <w:rPr>
          <w:iCs/>
        </w:rPr>
        <w:t xml:space="preserve"> Greater Accountability in the Prevention of Foreign Bribery</w:t>
      </w:r>
      <w:r w:rsidRPr="006E1DA8">
        <w:t>” (2011) 7 NYU Journal of Law &amp; Business 845 at 865.</w:t>
      </w:r>
    </w:p>
  </w:footnote>
  <w:footnote w:id="97">
    <w:p w14:paraId="07E134B0" w14:textId="62A7E5E1" w:rsidR="006E4ED9" w:rsidRPr="006E1DA8" w:rsidRDefault="006E4ED9" w:rsidP="0083748E">
      <w:pPr>
        <w:pStyle w:val="FootnoteText"/>
      </w:pPr>
      <w:r w:rsidRPr="006E1DA8">
        <w:rPr>
          <w:rStyle w:val="FootnoteReference"/>
          <w:rFonts w:cs="Times New Roman"/>
          <w:szCs w:val="18"/>
        </w:rPr>
        <w:footnoteRef/>
      </w:r>
      <w:r w:rsidRPr="006E1DA8">
        <w:t xml:space="preserve"> Bruce Bean &amp; Emma </w:t>
      </w:r>
      <w:proofErr w:type="spellStart"/>
      <w:r w:rsidRPr="006E1DA8">
        <w:t>MacGuidwin</w:t>
      </w:r>
      <w:proofErr w:type="spellEnd"/>
      <w:r w:rsidRPr="006E1DA8">
        <w:t xml:space="preserve">, “Expansive Reach, Useless Guidance: An Introduction to the UK </w:t>
      </w:r>
      <w:r w:rsidRPr="006E1DA8">
        <w:rPr>
          <w:i/>
          <w:iCs/>
        </w:rPr>
        <w:t>Bribery Act 2010</w:t>
      </w:r>
      <w:r w:rsidRPr="006E1DA8">
        <w:t>” (2012) 18 ILSA J Intl &amp; Comp L 323 at 339.</w:t>
      </w:r>
    </w:p>
  </w:footnote>
  <w:footnote w:id="98">
    <w:p w14:paraId="559C75DA" w14:textId="376A948D" w:rsidR="006E4ED9" w:rsidRPr="006E1DA8" w:rsidRDefault="006E4ED9" w:rsidP="0083748E">
      <w:pPr>
        <w:pStyle w:val="FootnoteText"/>
      </w:pPr>
      <w:r w:rsidRPr="006E1DA8">
        <w:rPr>
          <w:rStyle w:val="FootnoteReference"/>
          <w:szCs w:val="18"/>
        </w:rPr>
        <w:footnoteRef/>
      </w:r>
      <w:r w:rsidRPr="006E1DA8">
        <w:t xml:space="preserve"> UK Serious Fraud Office, “</w:t>
      </w:r>
      <w:proofErr w:type="spellStart"/>
      <w:r w:rsidRPr="006E1DA8">
        <w:t>Sweett</w:t>
      </w:r>
      <w:proofErr w:type="spellEnd"/>
      <w:r w:rsidRPr="006E1DA8">
        <w:t xml:space="preserve"> Group PLC Pleads Guilty to Bribery Offence” (18 December 2015), online: &lt;</w:t>
      </w:r>
      <w:hyperlink r:id="rId17" w:history="1">
        <w:r w:rsidRPr="006E1DA8">
          <w:rPr>
            <w:rStyle w:val="Hyperlink"/>
            <w:szCs w:val="18"/>
          </w:rPr>
          <w:t>https://www.sfo.gov.uk/2015/12/18/sweett-group-plc-pleads-guilty-to-bribery-offence/</w:t>
        </w:r>
      </w:hyperlink>
      <w:r w:rsidRPr="006E1DA8">
        <w:t xml:space="preserve">&gt;. </w:t>
      </w:r>
    </w:p>
  </w:footnote>
  <w:footnote w:id="99">
    <w:p w14:paraId="48041BC7" w14:textId="77777777" w:rsidR="006E4ED9" w:rsidRPr="006E1DA8" w:rsidRDefault="006E4ED9" w:rsidP="0083748E">
      <w:pPr>
        <w:pStyle w:val="FootnoteText"/>
      </w:pPr>
      <w:r w:rsidRPr="006E1DA8">
        <w:rPr>
          <w:rStyle w:val="FootnoteReference"/>
          <w:szCs w:val="18"/>
        </w:rPr>
        <w:footnoteRef/>
      </w:r>
      <w:r w:rsidRPr="006E1DA8">
        <w:t xml:space="preserve"> UK Serious Fraud Office, “</w:t>
      </w:r>
      <w:proofErr w:type="spellStart"/>
      <w:r w:rsidRPr="006E1DA8">
        <w:t>Sweett</w:t>
      </w:r>
      <w:proofErr w:type="spellEnd"/>
      <w:r w:rsidRPr="006E1DA8">
        <w:t xml:space="preserve"> Group PLC Sentenced and Ordered to </w:t>
      </w:r>
      <w:proofErr w:type="gramStart"/>
      <w:r w:rsidRPr="006E1DA8">
        <w:t>Pay</w:t>
      </w:r>
      <w:proofErr w:type="gramEnd"/>
      <w:r w:rsidRPr="006E1DA8">
        <w:t xml:space="preserve"> £2.25 million after Bribery Act Conviction” (19 February 2016), online: &lt;</w:t>
      </w:r>
      <w:hyperlink r:id="rId18" w:history="1">
        <w:r w:rsidRPr="006E1DA8">
          <w:rPr>
            <w:rStyle w:val="Hyperlink"/>
            <w:rFonts w:cs="Times New Roman"/>
            <w:szCs w:val="18"/>
          </w:rPr>
          <w:t>https://www.sfo.gov.uk/2016/02/19/sweett-group-plc-sentenced-and-ordered-to-pay-2-3-million-after-bribery-act-conviction/</w:t>
        </w:r>
      </w:hyperlink>
      <w:r w:rsidRPr="006E1DA8">
        <w:t xml:space="preserve">&gt;. </w:t>
      </w:r>
    </w:p>
  </w:footnote>
  <w:footnote w:id="100">
    <w:p w14:paraId="767F3663" w14:textId="6DA097FA" w:rsidR="006E4ED9" w:rsidRPr="006E1DA8" w:rsidRDefault="006E4ED9" w:rsidP="0083748E">
      <w:pPr>
        <w:pStyle w:val="FootnoteText"/>
      </w:pPr>
      <w:r w:rsidRPr="006E1DA8">
        <w:rPr>
          <w:rStyle w:val="FootnoteReference"/>
          <w:szCs w:val="18"/>
        </w:rPr>
        <w:footnoteRef/>
      </w:r>
      <w:r w:rsidRPr="006E1DA8">
        <w:t xml:space="preserve"> </w:t>
      </w:r>
      <w:proofErr w:type="spellStart"/>
      <w:r w:rsidRPr="006E1DA8">
        <w:t>Skinnider</w:t>
      </w:r>
      <w:proofErr w:type="spellEnd"/>
      <w:r w:rsidRPr="006E1DA8">
        <w:t xml:space="preserve"> (2012) at 15–17. See also updated version by </w:t>
      </w:r>
      <w:proofErr w:type="spellStart"/>
      <w:r w:rsidRPr="006E1DA8">
        <w:t>Skinnider</w:t>
      </w:r>
      <w:proofErr w:type="spellEnd"/>
      <w:r w:rsidRPr="006E1DA8">
        <w:t xml:space="preserve"> and Ferguson (2017). </w:t>
      </w:r>
    </w:p>
  </w:footnote>
  <w:footnote w:id="101">
    <w:p w14:paraId="05422494" w14:textId="61C36E4A" w:rsidR="006E4ED9" w:rsidRPr="006E1DA8" w:rsidRDefault="006E4ED9" w:rsidP="0083748E">
      <w:pPr>
        <w:pStyle w:val="FootnoteText"/>
        <w:rPr>
          <w:spacing w:val="-1"/>
        </w:rPr>
      </w:pPr>
      <w:r w:rsidRPr="006E1DA8">
        <w:rPr>
          <w:rStyle w:val="FootnoteReference"/>
          <w:spacing w:val="-1"/>
        </w:rPr>
        <w:footnoteRef/>
      </w:r>
      <w:r w:rsidRPr="006E1DA8">
        <w:rPr>
          <w:spacing w:val="-1"/>
        </w:rPr>
        <w:t xml:space="preserve"> See Gerry Ferguson, “The Basis for Criminal Responsibility of Collective Entities in Canada” in A </w:t>
      </w:r>
      <w:proofErr w:type="spellStart"/>
      <w:r w:rsidRPr="006E1DA8">
        <w:rPr>
          <w:spacing w:val="-1"/>
        </w:rPr>
        <w:t>Eser</w:t>
      </w:r>
      <w:proofErr w:type="spellEnd"/>
      <w:r w:rsidRPr="006E1DA8">
        <w:rPr>
          <w:spacing w:val="-1"/>
        </w:rPr>
        <w:t xml:space="preserve">, G Heine &amp; B Huber, </w:t>
      </w:r>
      <w:proofErr w:type="spellStart"/>
      <w:proofErr w:type="gramStart"/>
      <w:r w:rsidRPr="006E1DA8">
        <w:rPr>
          <w:spacing w:val="-1"/>
        </w:rPr>
        <w:t>eds</w:t>
      </w:r>
      <w:proofErr w:type="spellEnd"/>
      <w:proofErr w:type="gramEnd"/>
      <w:r w:rsidRPr="006E1DA8">
        <w:rPr>
          <w:spacing w:val="-1"/>
        </w:rPr>
        <w:t xml:space="preserve">, </w:t>
      </w:r>
      <w:r w:rsidRPr="006E1DA8">
        <w:rPr>
          <w:i/>
          <w:spacing w:val="-1"/>
        </w:rPr>
        <w:t xml:space="preserve">Criminal Responsibility of Legal and Collective Entities </w:t>
      </w:r>
      <w:r w:rsidRPr="006E1DA8">
        <w:rPr>
          <w:spacing w:val="-1"/>
        </w:rPr>
        <w:t xml:space="preserve">(Max-Planck Institute, 1999) at 153-180. See also Kent Roach, </w:t>
      </w:r>
      <w:r w:rsidRPr="006E1DA8">
        <w:rPr>
          <w:i/>
          <w:iCs/>
          <w:spacing w:val="-1"/>
        </w:rPr>
        <w:t>Criminal Law,</w:t>
      </w:r>
      <w:r w:rsidRPr="006E1DA8">
        <w:rPr>
          <w:spacing w:val="-1"/>
        </w:rPr>
        <w:t xml:space="preserve"> 6</w:t>
      </w:r>
      <w:r w:rsidRPr="006E1DA8">
        <w:rPr>
          <w:spacing w:val="-1"/>
          <w:vertAlign w:val="superscript"/>
        </w:rPr>
        <w:t>th</w:t>
      </w:r>
      <w:r w:rsidRPr="006E1DA8">
        <w:rPr>
          <w:spacing w:val="-1"/>
        </w:rPr>
        <w:t xml:space="preserve"> </w:t>
      </w:r>
      <w:proofErr w:type="spellStart"/>
      <w:proofErr w:type="gramStart"/>
      <w:r w:rsidRPr="006E1DA8">
        <w:rPr>
          <w:spacing w:val="-1"/>
        </w:rPr>
        <w:t>ed</w:t>
      </w:r>
      <w:proofErr w:type="spellEnd"/>
      <w:proofErr w:type="gramEnd"/>
      <w:r w:rsidRPr="006E1DA8">
        <w:rPr>
          <w:spacing w:val="-1"/>
        </w:rPr>
        <w:t xml:space="preserve"> (Irwin Law, 2015) at 237-238. More recently, see Paul </w:t>
      </w:r>
      <w:proofErr w:type="spellStart"/>
      <w:r w:rsidRPr="006E1DA8">
        <w:rPr>
          <w:spacing w:val="-1"/>
        </w:rPr>
        <w:t>Blyschak</w:t>
      </w:r>
      <w:proofErr w:type="spellEnd"/>
      <w:r w:rsidRPr="006E1DA8">
        <w:rPr>
          <w:spacing w:val="-1"/>
        </w:rPr>
        <w:t>, “Corporate Liability for Foreign Corrupt Practices under Canadian Law” (2014) 59:3 McGill LJ 655.</w:t>
      </w:r>
    </w:p>
  </w:footnote>
  <w:footnote w:id="102">
    <w:p w14:paraId="31F72EB5" w14:textId="443041FB" w:rsidR="006E4ED9" w:rsidRPr="006E1DA8" w:rsidRDefault="006E4ED9" w:rsidP="0083748E">
      <w:pPr>
        <w:pStyle w:val="FootnoteText"/>
      </w:pPr>
      <w:r w:rsidRPr="006E1DA8">
        <w:rPr>
          <w:rStyle w:val="FootnoteReference"/>
          <w:spacing w:val="-1"/>
        </w:rPr>
        <w:footnoteRef/>
      </w:r>
      <w:r w:rsidRPr="006E1DA8">
        <w:rPr>
          <w:spacing w:val="-1"/>
        </w:rPr>
        <w:t xml:space="preserve"> In </w:t>
      </w:r>
      <w:r w:rsidRPr="006E1DA8">
        <w:rPr>
          <w:i/>
          <w:spacing w:val="-1"/>
        </w:rPr>
        <w:t>R v Ontario Power Generation</w:t>
      </w:r>
      <w:r w:rsidRPr="006E1DA8">
        <w:rPr>
          <w:spacing w:val="-1"/>
        </w:rPr>
        <w:t>, [2006] OJ No 4659 (</w:t>
      </w:r>
      <w:proofErr w:type="spellStart"/>
      <w:r w:rsidRPr="006E1DA8">
        <w:rPr>
          <w:spacing w:val="-1"/>
        </w:rPr>
        <w:t>Ont</w:t>
      </w:r>
      <w:proofErr w:type="spellEnd"/>
      <w:r w:rsidRPr="006E1DA8">
        <w:rPr>
          <w:spacing w:val="-1"/>
        </w:rPr>
        <w:t xml:space="preserve"> CJ), </w:t>
      </w:r>
      <w:r w:rsidRPr="006E1DA8">
        <w:rPr>
          <w:i/>
          <w:spacing w:val="-1"/>
        </w:rPr>
        <w:t>R v Tri-</w:t>
      </w:r>
      <w:proofErr w:type="spellStart"/>
      <w:r w:rsidRPr="006E1DA8">
        <w:rPr>
          <w:i/>
          <w:spacing w:val="-1"/>
        </w:rPr>
        <w:t>Tex</w:t>
      </w:r>
      <w:proofErr w:type="spellEnd"/>
      <w:r w:rsidRPr="006E1DA8">
        <w:rPr>
          <w:i/>
          <w:spacing w:val="-1"/>
        </w:rPr>
        <w:t xml:space="preserve"> Sales &amp; Services Ltd</w:t>
      </w:r>
      <w:r w:rsidRPr="006E1DA8">
        <w:rPr>
          <w:spacing w:val="-1"/>
        </w:rPr>
        <w:t xml:space="preserve">, [2006] NJ No 230 (NL </w:t>
      </w:r>
      <w:proofErr w:type="spellStart"/>
      <w:r w:rsidRPr="006E1DA8">
        <w:rPr>
          <w:spacing w:val="-1"/>
        </w:rPr>
        <w:t>Prov</w:t>
      </w:r>
      <w:proofErr w:type="spellEnd"/>
      <w:r w:rsidRPr="006E1DA8">
        <w:rPr>
          <w:spacing w:val="-1"/>
        </w:rPr>
        <w:t xml:space="preserve"> Ct), and </w:t>
      </w:r>
      <w:r w:rsidRPr="006E1DA8">
        <w:rPr>
          <w:i/>
          <w:spacing w:val="-1"/>
        </w:rPr>
        <w:t xml:space="preserve">R v ACS Public Sector Solutions </w:t>
      </w:r>
      <w:proofErr w:type="spellStart"/>
      <w:r w:rsidRPr="006E1DA8">
        <w:rPr>
          <w:i/>
          <w:spacing w:val="-1"/>
        </w:rPr>
        <w:t>Inc</w:t>
      </w:r>
      <w:proofErr w:type="spellEnd"/>
      <w:r w:rsidRPr="006E1DA8">
        <w:rPr>
          <w:spacing w:val="-1"/>
        </w:rPr>
        <w:t xml:space="preserve">, [2007] AJ No 1310 (Alta </w:t>
      </w:r>
      <w:proofErr w:type="spellStart"/>
      <w:r w:rsidRPr="006E1DA8">
        <w:rPr>
          <w:spacing w:val="-1"/>
        </w:rPr>
        <w:t>Prov</w:t>
      </w:r>
      <w:proofErr w:type="spellEnd"/>
      <w:r w:rsidRPr="006E1DA8">
        <w:rPr>
          <w:spacing w:val="-1"/>
        </w:rPr>
        <w:t xml:space="preserve"> Ct), the courts did not apply sections 22.1 or 22.2 since the alleged offences occurred before Bill C-45 came into force on April 1, 2004. In </w:t>
      </w:r>
      <w:r w:rsidRPr="006E1DA8">
        <w:rPr>
          <w:i/>
          <w:spacing w:val="-1"/>
        </w:rPr>
        <w:t xml:space="preserve">R v Watts and Hydro </w:t>
      </w:r>
      <w:proofErr w:type="spellStart"/>
      <w:r w:rsidRPr="006E1DA8">
        <w:rPr>
          <w:i/>
          <w:spacing w:val="-1"/>
        </w:rPr>
        <w:t>Kleen</w:t>
      </w:r>
      <w:proofErr w:type="spellEnd"/>
      <w:r w:rsidRPr="006E1DA8">
        <w:rPr>
          <w:i/>
          <w:spacing w:val="-1"/>
        </w:rPr>
        <w:t xml:space="preserve"> Services</w:t>
      </w:r>
      <w:r w:rsidRPr="006E1DA8">
        <w:rPr>
          <w:spacing w:val="-1"/>
        </w:rPr>
        <w:t xml:space="preserve">, [2005] AJ No 568, </w:t>
      </w:r>
      <w:r w:rsidRPr="006E1DA8">
        <w:rPr>
          <w:i/>
          <w:spacing w:val="-1"/>
        </w:rPr>
        <w:t>R v Niko Resources Ltd</w:t>
      </w:r>
      <w:r w:rsidRPr="006E1DA8">
        <w:rPr>
          <w:spacing w:val="-1"/>
        </w:rPr>
        <w:t xml:space="preserve">, 2011 </w:t>
      </w:r>
      <w:proofErr w:type="spellStart"/>
      <w:r w:rsidRPr="006E1DA8">
        <w:rPr>
          <w:spacing w:val="-1"/>
        </w:rPr>
        <w:t>CarswellAlta</w:t>
      </w:r>
      <w:proofErr w:type="spellEnd"/>
      <w:r w:rsidRPr="006E1DA8">
        <w:rPr>
          <w:spacing w:val="-1"/>
        </w:rPr>
        <w:t xml:space="preserve"> 2521 (Alta QB), and </w:t>
      </w:r>
      <w:r w:rsidRPr="006E1DA8">
        <w:rPr>
          <w:i/>
          <w:spacing w:val="-1"/>
        </w:rPr>
        <w:t>R v Griffiths Energy International</w:t>
      </w:r>
      <w:r w:rsidRPr="006E1DA8">
        <w:rPr>
          <w:spacing w:val="-1"/>
        </w:rPr>
        <w:t xml:space="preserve">, 2013 AJ No 412 (QB), all three companies plead guilty. The acts of bribery in those three cases all came from the very top officers of the companies, and therefore the companies would have been convicted on the basis of section 22.1 of the </w:t>
      </w:r>
      <w:r w:rsidRPr="006E1DA8">
        <w:rPr>
          <w:i/>
          <w:spacing w:val="-1"/>
        </w:rPr>
        <w:t xml:space="preserve">Criminal Code </w:t>
      </w:r>
      <w:r w:rsidRPr="006E1DA8">
        <w:rPr>
          <w:spacing w:val="-1"/>
        </w:rPr>
        <w:t>had the companies not plead guilty.</w:t>
      </w:r>
    </w:p>
  </w:footnote>
  <w:footnote w:id="103">
    <w:p w14:paraId="4FE24CF4"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R v </w:t>
      </w:r>
      <w:proofErr w:type="spellStart"/>
      <w:r w:rsidRPr="006E1DA8">
        <w:rPr>
          <w:i/>
        </w:rPr>
        <w:t>Metron</w:t>
      </w:r>
      <w:proofErr w:type="spellEnd"/>
      <w:r w:rsidRPr="006E1DA8">
        <w:rPr>
          <w:i/>
        </w:rPr>
        <w:t xml:space="preserve"> Construction Corporation</w:t>
      </w:r>
      <w:r w:rsidRPr="006E1DA8">
        <w:t>, 2013 ONCA 541.</w:t>
      </w:r>
    </w:p>
  </w:footnote>
  <w:footnote w:id="104">
    <w:p w14:paraId="52CA9527" w14:textId="481BEEB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R v </w:t>
      </w:r>
      <w:proofErr w:type="spellStart"/>
      <w:r w:rsidRPr="006E1DA8">
        <w:rPr>
          <w:i/>
        </w:rPr>
        <w:t>Kazenelson</w:t>
      </w:r>
      <w:proofErr w:type="spellEnd"/>
      <w:r w:rsidRPr="006E1DA8">
        <w:t>, 2015 ONSC 3639.</w:t>
      </w:r>
    </w:p>
  </w:footnote>
  <w:footnote w:id="105">
    <w:p w14:paraId="42F169EC" w14:textId="37923B1E" w:rsidR="006E4ED9" w:rsidRPr="006E1DA8" w:rsidRDefault="006E4ED9" w:rsidP="0083748E">
      <w:pPr>
        <w:pStyle w:val="FootnoteText"/>
      </w:pPr>
      <w:r w:rsidRPr="006E1DA8">
        <w:rPr>
          <w:rStyle w:val="FootnoteReference"/>
        </w:rPr>
        <w:footnoteRef/>
      </w:r>
      <w:r w:rsidRPr="006E1DA8">
        <w:t xml:space="preserve"> The directing mind test in </w:t>
      </w:r>
      <w:r w:rsidRPr="006E1DA8">
        <w:rPr>
          <w:i/>
        </w:rPr>
        <w:t>Canadian Dredge &amp; Dock Co</w:t>
      </w:r>
      <w:r w:rsidRPr="006E1DA8">
        <w:t xml:space="preserve">, [1985] 1 SCR 662, was narrowly interpreted in the subsequent cases of </w:t>
      </w:r>
      <w:r w:rsidRPr="006E1DA8">
        <w:rPr>
          <w:i/>
        </w:rPr>
        <w:t>The Rh</w:t>
      </w:r>
      <w:r w:rsidRPr="006E1DA8">
        <w:rPr>
          <w:bCs/>
          <w:i/>
        </w:rPr>
        <w:t>ô</w:t>
      </w:r>
      <w:r w:rsidRPr="006E1DA8">
        <w:rPr>
          <w:i/>
        </w:rPr>
        <w:t>ne v The Peter AB Widener</w:t>
      </w:r>
      <w:r w:rsidRPr="006E1DA8">
        <w:t xml:space="preserve">, [1993] 1 SCR 497, and </w:t>
      </w:r>
      <w:r w:rsidRPr="006E1DA8">
        <w:rPr>
          <w:i/>
        </w:rPr>
        <w:t xml:space="preserve">R v Safety </w:t>
      </w:r>
      <w:proofErr w:type="spellStart"/>
      <w:r w:rsidRPr="006E1DA8">
        <w:rPr>
          <w:i/>
        </w:rPr>
        <w:t>Kleen</w:t>
      </w:r>
      <w:proofErr w:type="spellEnd"/>
      <w:r w:rsidRPr="006E1DA8">
        <w:rPr>
          <w:i/>
        </w:rPr>
        <w:t xml:space="preserve"> Canada </w:t>
      </w:r>
      <w:r w:rsidR="00C1727B" w:rsidRPr="006E1DA8">
        <w:rPr>
          <w:i/>
        </w:rPr>
        <w:t>Inc.</w:t>
      </w:r>
      <w:r w:rsidRPr="006E1DA8">
        <w:t xml:space="preserve"> (1997)</w:t>
      </w:r>
      <w:r w:rsidR="00C1727B" w:rsidRPr="006E1DA8">
        <w:t>,</w:t>
      </w:r>
      <w:r w:rsidRPr="006E1DA8">
        <w:t xml:space="preserve"> 16 CR (5</w:t>
      </w:r>
      <w:r w:rsidRPr="006E1DA8">
        <w:rPr>
          <w:vertAlign w:val="superscript"/>
        </w:rPr>
        <w:t>th</w:t>
      </w:r>
      <w:r w:rsidRPr="006E1DA8">
        <w:t>) 90 (</w:t>
      </w:r>
      <w:proofErr w:type="spellStart"/>
      <w:r w:rsidRPr="006E1DA8">
        <w:t>Ont</w:t>
      </w:r>
      <w:proofErr w:type="spellEnd"/>
      <w:r w:rsidRPr="006E1DA8">
        <w:t xml:space="preserve"> CA), where the concept of “executive governing authority” was emphasized as an essential requirement for holding an employee, agent or manager to be a “directing mind” of the corporation.</w:t>
      </w:r>
    </w:p>
  </w:footnote>
  <w:footnote w:id="106">
    <w:p w14:paraId="76B2914B" w14:textId="21F7A0AE" w:rsidR="006E4ED9" w:rsidRPr="006E1DA8" w:rsidRDefault="006E4ED9" w:rsidP="0083748E">
      <w:pPr>
        <w:pStyle w:val="FootnoteText"/>
      </w:pPr>
      <w:r w:rsidRPr="006E1DA8">
        <w:rPr>
          <w:rStyle w:val="FootnoteReference"/>
        </w:rPr>
        <w:footnoteRef/>
      </w:r>
      <w:r w:rsidRPr="006E1DA8">
        <w:t xml:space="preserve"> Jeremy Warning, Cheryl Edwards &amp; Shane D Todd, “Canada: After </w:t>
      </w:r>
      <w:proofErr w:type="spellStart"/>
      <w:r w:rsidRPr="006E1DA8">
        <w:t>Metron</w:t>
      </w:r>
      <w:proofErr w:type="spellEnd"/>
      <w:r w:rsidRPr="006E1DA8">
        <w:t xml:space="preserve">: The Corporate Criminal Liability Landscape in Canada”, </w:t>
      </w:r>
      <w:proofErr w:type="spellStart"/>
      <w:r w:rsidRPr="006E1DA8">
        <w:rPr>
          <w:i/>
        </w:rPr>
        <w:t>Mondaq</w:t>
      </w:r>
      <w:proofErr w:type="spellEnd"/>
      <w:r w:rsidRPr="006E1DA8">
        <w:t xml:space="preserve"> (20 August 2012).</w:t>
      </w:r>
    </w:p>
  </w:footnote>
  <w:footnote w:id="107">
    <w:p w14:paraId="3B7CEE7F" w14:textId="52374B75" w:rsidR="006E4ED9" w:rsidRPr="006E1DA8" w:rsidRDefault="006E4ED9" w:rsidP="0083748E">
      <w:pPr>
        <w:pStyle w:val="FootnoteText"/>
      </w:pPr>
      <w:r w:rsidRPr="006E1DA8">
        <w:rPr>
          <w:rStyle w:val="FootnoteReference"/>
        </w:rPr>
        <w:footnoteRef/>
      </w:r>
      <w:r w:rsidRPr="006E1DA8">
        <w:t xml:space="preserve"> Todd L Archibald, Kenneth E Jull &amp; Kent W Roach, </w:t>
      </w:r>
      <w:r w:rsidRPr="006E1DA8">
        <w:rPr>
          <w:i/>
        </w:rPr>
        <w:t xml:space="preserve">Regulatory and Corporate Liability: From Due Diligence to Risk Management </w:t>
      </w:r>
      <w:r w:rsidRPr="006E1DA8">
        <w:t>(Thomson Reuters Canada, 2017</w:t>
      </w:r>
      <w:r w:rsidRPr="006E1DA8">
        <w:rPr>
          <w:color w:val="000000" w:themeColor="text1"/>
        </w:rPr>
        <w:t>) at 17-35.</w:t>
      </w:r>
    </w:p>
  </w:footnote>
  <w:footnote w:id="108">
    <w:p w14:paraId="6D485403" w14:textId="7AFE1604" w:rsidR="006E4ED9" w:rsidRPr="006E1DA8" w:rsidRDefault="006E4ED9" w:rsidP="0083748E">
      <w:pPr>
        <w:pStyle w:val="FootnoteText"/>
      </w:pPr>
      <w:r w:rsidRPr="006E1DA8">
        <w:rPr>
          <w:rStyle w:val="FootnoteReference"/>
        </w:rPr>
        <w:footnoteRef/>
      </w:r>
      <w:r w:rsidRPr="006E1DA8">
        <w:t xml:space="preserve"> </w:t>
      </w:r>
      <w:r w:rsidRPr="006E1DA8">
        <w:rPr>
          <w:i/>
        </w:rPr>
        <w:t xml:space="preserve">R c </w:t>
      </w:r>
      <w:proofErr w:type="spellStart"/>
      <w:r w:rsidRPr="006E1DA8">
        <w:rPr>
          <w:rFonts w:cs="Times New Roman"/>
          <w:i/>
        </w:rPr>
        <w:t>P</w:t>
      </w:r>
      <w:r w:rsidRPr="006E1DA8">
        <w:rPr>
          <w:rFonts w:cs="Times New Roman"/>
          <w:i/>
          <w:color w:val="000000"/>
          <w:shd w:val="clear" w:color="auto" w:fill="FFFFFF"/>
        </w:rPr>
        <w:t>é</w:t>
      </w:r>
      <w:r w:rsidRPr="006E1DA8">
        <w:rPr>
          <w:rFonts w:cs="Times New Roman"/>
          <w:i/>
        </w:rPr>
        <w:t>troles</w:t>
      </w:r>
      <w:proofErr w:type="spellEnd"/>
      <w:r w:rsidRPr="006E1DA8">
        <w:rPr>
          <w:rFonts w:cs="Times New Roman"/>
          <w:i/>
        </w:rPr>
        <w:t xml:space="preserve"> </w:t>
      </w:r>
      <w:r w:rsidRPr="006E1DA8">
        <w:rPr>
          <w:i/>
        </w:rPr>
        <w:t xml:space="preserve">Global </w:t>
      </w:r>
      <w:proofErr w:type="spellStart"/>
      <w:r w:rsidRPr="006E1DA8">
        <w:rPr>
          <w:i/>
        </w:rPr>
        <w:t>inc.</w:t>
      </w:r>
      <w:proofErr w:type="spellEnd"/>
      <w:r w:rsidRPr="006E1DA8">
        <w:rPr>
          <w:i/>
        </w:rPr>
        <w:t xml:space="preserve">, </w:t>
      </w:r>
      <w:r w:rsidRPr="006E1DA8">
        <w:t>2012 QCCQ 5749 (QC) (preliminary inquiry), 2013 QCCS 4262 (trial decision).</w:t>
      </w:r>
    </w:p>
  </w:footnote>
  <w:footnote w:id="109">
    <w:p w14:paraId="192FDA8B" w14:textId="2AF4915C"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SC 2009, c 2, s 45(1). It is a “true crime”, and therefore the presumption of full subjective </w:t>
      </w:r>
      <w:proofErr w:type="spellStart"/>
      <w:r w:rsidRPr="006E1DA8">
        <w:rPr>
          <w:rFonts w:cs="Times New Roman"/>
          <w:i/>
          <w:szCs w:val="18"/>
        </w:rPr>
        <w:t>mens</w:t>
      </w:r>
      <w:proofErr w:type="spellEnd"/>
      <w:r w:rsidRPr="006E1DA8">
        <w:rPr>
          <w:rFonts w:cs="Times New Roman"/>
          <w:i/>
          <w:szCs w:val="18"/>
        </w:rPr>
        <w:t xml:space="preserve"> rea </w:t>
      </w:r>
      <w:r w:rsidRPr="006E1DA8">
        <w:rPr>
          <w:rFonts w:cs="Times New Roman"/>
          <w:szCs w:val="18"/>
        </w:rPr>
        <w:t xml:space="preserve">applies to it (i.e. intent, recklessness or wilful blindness): </w:t>
      </w:r>
      <w:r w:rsidRPr="006E1DA8">
        <w:rPr>
          <w:rFonts w:cs="Times New Roman"/>
          <w:i/>
          <w:szCs w:val="18"/>
        </w:rPr>
        <w:t>R v H (AD)</w:t>
      </w:r>
      <w:r w:rsidRPr="006E1DA8">
        <w:rPr>
          <w:rFonts w:cs="Times New Roman"/>
          <w:szCs w:val="18"/>
        </w:rPr>
        <w:t xml:space="preserve">, 2013 SCC 28. See also </w:t>
      </w:r>
      <w:proofErr w:type="spellStart"/>
      <w:r w:rsidRPr="006E1DA8">
        <w:rPr>
          <w:rFonts w:cs="Times New Roman"/>
          <w:szCs w:val="18"/>
        </w:rPr>
        <w:t>Blyschak</w:t>
      </w:r>
      <w:proofErr w:type="spellEnd"/>
      <w:r w:rsidRPr="006E1DA8">
        <w:rPr>
          <w:rFonts w:cs="Times New Roman"/>
          <w:szCs w:val="18"/>
        </w:rPr>
        <w:t>, (2014).</w:t>
      </w:r>
    </w:p>
  </w:footnote>
  <w:footnote w:id="110">
    <w:p w14:paraId="52057FCE" w14:textId="2586CAD2" w:rsidR="006E4ED9" w:rsidRPr="006E1DA8" w:rsidRDefault="006E4ED9" w:rsidP="0083748E">
      <w:pPr>
        <w:pStyle w:val="FootnoteText"/>
      </w:pPr>
      <w:r w:rsidRPr="006E1DA8">
        <w:rPr>
          <w:rStyle w:val="FootnoteReference"/>
        </w:rPr>
        <w:footnoteRef/>
      </w:r>
      <w:r w:rsidRPr="006E1DA8">
        <w:t xml:space="preserve"> The case is only reported in French. This summary is based on a summary of the case in </w:t>
      </w:r>
      <w:r w:rsidRPr="006E1DA8">
        <w:rPr>
          <w:rFonts w:cs="Times New Roman"/>
          <w:szCs w:val="18"/>
        </w:rPr>
        <w:t xml:space="preserve">Archibald, Jull &amp; Roach, (2017) </w:t>
      </w:r>
      <w:r w:rsidRPr="006E1DA8">
        <w:t>at 5:40:50.</w:t>
      </w:r>
    </w:p>
  </w:footnote>
  <w:footnote w:id="111">
    <w:p w14:paraId="31B54D49" w14:textId="15F83B29" w:rsidR="006E4ED9" w:rsidRPr="006E1DA8" w:rsidRDefault="006E4ED9" w:rsidP="0083748E">
      <w:pPr>
        <w:pStyle w:val="FootnoteText"/>
        <w:keepNext/>
        <w:spacing w:after="60"/>
      </w:pPr>
      <w:r w:rsidRPr="006E1DA8">
        <w:rPr>
          <w:rStyle w:val="FootnoteReference"/>
        </w:rPr>
        <w:footnoteRef/>
      </w:r>
      <w:r w:rsidRPr="006E1DA8">
        <w:t xml:space="preserve"> This same point is made in Darcy Macpherson, “Extending Corporate Criminal Liability: Some Thoughts on Bill C-45” (2004) 30 Man LJ 253 at 262. He explains the redundant nature of section 22.2(b) as follows: </w:t>
      </w:r>
    </w:p>
    <w:p w14:paraId="1362BBDE" w14:textId="37F288DC" w:rsidR="006E4ED9" w:rsidRPr="006E1DA8" w:rsidRDefault="006E4ED9" w:rsidP="0083748E">
      <w:pPr>
        <w:pStyle w:val="NoSpacing"/>
        <w:keepLines/>
        <w:ind w:left="851" w:right="856"/>
        <w:rPr>
          <w:rFonts w:ascii="Palatino Linotype" w:hAnsi="Palatino Linotype"/>
          <w:sz w:val="18"/>
          <w:szCs w:val="18"/>
        </w:rPr>
      </w:pPr>
      <w:r w:rsidRPr="006E1DA8">
        <w:rPr>
          <w:rFonts w:ascii="Palatino Linotype" w:hAnsi="Palatino Linotype"/>
          <w:sz w:val="18"/>
          <w:szCs w:val="18"/>
        </w:rPr>
        <w:t xml:space="preserve">In the end, I believe that paragraph 22.2(b) is redundant. If the senior officer directs another representative to commit the </w:t>
      </w:r>
      <w:r w:rsidRPr="006E1DA8">
        <w:rPr>
          <w:rFonts w:ascii="Palatino Linotype" w:hAnsi="Palatino Linotype"/>
          <w:i/>
          <w:sz w:val="18"/>
          <w:szCs w:val="18"/>
        </w:rPr>
        <w:t xml:space="preserve">actus </w:t>
      </w:r>
      <w:proofErr w:type="spellStart"/>
      <w:proofErr w:type="gramStart"/>
      <w:r w:rsidRPr="006E1DA8">
        <w:rPr>
          <w:rFonts w:ascii="Palatino Linotype" w:hAnsi="Palatino Linotype"/>
          <w:i/>
          <w:sz w:val="18"/>
          <w:szCs w:val="18"/>
        </w:rPr>
        <w:t>reus</w:t>
      </w:r>
      <w:proofErr w:type="spellEnd"/>
      <w:proofErr w:type="gramEnd"/>
      <w:r w:rsidRPr="006E1DA8">
        <w:rPr>
          <w:rFonts w:ascii="Palatino Linotype" w:hAnsi="Palatino Linotype"/>
          <w:sz w:val="18"/>
          <w:szCs w:val="18"/>
        </w:rPr>
        <w:t xml:space="preserve">, and the other representative does so with the requisite fault element, then the other representative commits the offence and the senior officer abets the other representative. Both are parties to the offence and are thus liable. As long as the senior officer acts within the scope of his or her authority, paragraph 22.2(a) is satisfied and there is no need to resort to paragraph 22.2(b). If, on the other hand, the senior officer directs another representative to commit the </w:t>
      </w:r>
      <w:r w:rsidRPr="006E1DA8">
        <w:rPr>
          <w:rFonts w:ascii="Palatino Linotype" w:hAnsi="Palatino Linotype"/>
          <w:i/>
          <w:sz w:val="18"/>
          <w:szCs w:val="18"/>
        </w:rPr>
        <w:t xml:space="preserve">actus </w:t>
      </w:r>
      <w:proofErr w:type="spellStart"/>
      <w:proofErr w:type="gramStart"/>
      <w:r w:rsidRPr="006E1DA8">
        <w:rPr>
          <w:rFonts w:ascii="Palatino Linotype" w:hAnsi="Palatino Linotype"/>
          <w:i/>
          <w:sz w:val="18"/>
          <w:szCs w:val="18"/>
        </w:rPr>
        <w:t>reus</w:t>
      </w:r>
      <w:proofErr w:type="spellEnd"/>
      <w:proofErr w:type="gramEnd"/>
      <w:r w:rsidRPr="006E1DA8">
        <w:rPr>
          <w:rFonts w:ascii="Palatino Linotype" w:hAnsi="Palatino Linotype"/>
          <w:sz w:val="18"/>
          <w:szCs w:val="18"/>
        </w:rPr>
        <w:t xml:space="preserve"> and the other representative does so </w:t>
      </w:r>
      <w:r w:rsidRPr="006E1DA8">
        <w:rPr>
          <w:rFonts w:ascii="Palatino Linotype" w:hAnsi="Palatino Linotype"/>
          <w:i/>
          <w:sz w:val="18"/>
          <w:szCs w:val="18"/>
        </w:rPr>
        <w:t xml:space="preserve">without </w:t>
      </w:r>
      <w:r w:rsidRPr="006E1DA8">
        <w:rPr>
          <w:rFonts w:ascii="Palatino Linotype" w:hAnsi="Palatino Linotype"/>
          <w:sz w:val="18"/>
          <w:szCs w:val="18"/>
        </w:rPr>
        <w:t xml:space="preserve">the requisite fault element, then the other representative is an “innocent agent”. The innocent agent is ignored for the purposes of the </w:t>
      </w:r>
      <w:r w:rsidRPr="006E1DA8">
        <w:rPr>
          <w:rFonts w:ascii="Palatino Linotype" w:hAnsi="Palatino Linotype"/>
          <w:i/>
          <w:sz w:val="18"/>
          <w:szCs w:val="18"/>
        </w:rPr>
        <w:t xml:space="preserve">actus </w:t>
      </w:r>
      <w:proofErr w:type="spellStart"/>
      <w:proofErr w:type="gramStart"/>
      <w:r w:rsidRPr="006E1DA8">
        <w:rPr>
          <w:rFonts w:ascii="Palatino Linotype" w:hAnsi="Palatino Linotype"/>
          <w:i/>
          <w:sz w:val="18"/>
          <w:szCs w:val="18"/>
        </w:rPr>
        <w:t>reus</w:t>
      </w:r>
      <w:proofErr w:type="spellEnd"/>
      <w:proofErr w:type="gramEnd"/>
      <w:r w:rsidRPr="006E1DA8">
        <w:rPr>
          <w:rFonts w:ascii="Palatino Linotype" w:hAnsi="Palatino Linotype"/>
          <w:sz w:val="18"/>
          <w:szCs w:val="18"/>
        </w:rPr>
        <w:t xml:space="preserve">, and the senior officer would commit the offence. In either case, subsection 21(1) of the </w:t>
      </w:r>
      <w:r w:rsidRPr="006E1DA8">
        <w:rPr>
          <w:rFonts w:ascii="Palatino Linotype" w:hAnsi="Palatino Linotype"/>
          <w:i/>
          <w:sz w:val="18"/>
          <w:szCs w:val="18"/>
        </w:rPr>
        <w:t xml:space="preserve">Code </w:t>
      </w:r>
      <w:r w:rsidRPr="006E1DA8">
        <w:rPr>
          <w:rFonts w:ascii="Palatino Linotype" w:hAnsi="Palatino Linotype"/>
          <w:sz w:val="18"/>
          <w:szCs w:val="18"/>
        </w:rPr>
        <w:t>would make the senior officer a party to the offence (by virtue of paragraph 21(1</w:t>
      </w:r>
      <w:proofErr w:type="gramStart"/>
      <w:r w:rsidRPr="006E1DA8">
        <w:rPr>
          <w:rFonts w:ascii="Palatino Linotype" w:hAnsi="Palatino Linotype"/>
          <w:sz w:val="18"/>
          <w:szCs w:val="18"/>
        </w:rPr>
        <w:t>)(</w:t>
      </w:r>
      <w:proofErr w:type="gramEnd"/>
      <w:r w:rsidRPr="006E1DA8">
        <w:rPr>
          <w:rFonts w:ascii="Palatino Linotype" w:hAnsi="Palatino Linotype"/>
          <w:sz w:val="18"/>
          <w:szCs w:val="18"/>
        </w:rPr>
        <w:t xml:space="preserve">c) in the former case, or by virtue of paragraph 21(1)(a) in the latter). In my view, paragraph 22.2(b) does not expand the conditions for corporate criminal liability. </w:t>
      </w:r>
    </w:p>
  </w:footnote>
  <w:footnote w:id="112">
    <w:p w14:paraId="31A9BE22"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263.</w:t>
      </w:r>
    </w:p>
  </w:footnote>
  <w:footnote w:id="113">
    <w:p w14:paraId="57EFFCAF"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264-265.</w:t>
      </w:r>
    </w:p>
  </w:footnote>
  <w:footnote w:id="114">
    <w:p w14:paraId="2CBDB9B7" w14:textId="79F587A1"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Archibald, Jull &amp; Roach (2017) </w:t>
      </w:r>
      <w:r w:rsidRPr="006E1DA8">
        <w:t>at 17-25.</w:t>
      </w:r>
    </w:p>
  </w:footnote>
  <w:footnote w:id="115">
    <w:p w14:paraId="2645101B" w14:textId="45368EBF" w:rsidR="006E4ED9" w:rsidRPr="006E1DA8" w:rsidRDefault="006E4ED9" w:rsidP="0083748E">
      <w:pPr>
        <w:pStyle w:val="FootnoteText"/>
      </w:pPr>
      <w:r w:rsidRPr="006E1DA8">
        <w:rPr>
          <w:rStyle w:val="FootnoteReference"/>
          <w:szCs w:val="18"/>
        </w:rPr>
        <w:footnoteRef/>
      </w:r>
      <w:r w:rsidRPr="006E1DA8">
        <w:t xml:space="preserve"> For a comparison of the criminalization of secondary liability in the German and American legal systems, see Markus </w:t>
      </w:r>
      <w:proofErr w:type="spellStart"/>
      <w:r w:rsidRPr="006E1DA8">
        <w:t>Dubber</w:t>
      </w:r>
      <w:proofErr w:type="spellEnd"/>
      <w:r w:rsidRPr="006E1DA8">
        <w:t xml:space="preserve">, </w:t>
      </w:r>
      <w:r w:rsidRPr="006E1DA8">
        <w:rPr>
          <w:i/>
          <w:iCs/>
        </w:rPr>
        <w:t>Criminalizing Complicity: a Comparative Analysis</w:t>
      </w:r>
      <w:r w:rsidRPr="006E1DA8">
        <w:t xml:space="preserve"> (2007) 5 Journal of International Criminal Justice 977.</w:t>
      </w:r>
    </w:p>
    <w:p w14:paraId="4287986D" w14:textId="77777777" w:rsidR="006E4ED9" w:rsidRPr="006E1DA8" w:rsidRDefault="006E4ED9" w:rsidP="0083748E">
      <w:pPr>
        <w:pStyle w:val="FootnoteText"/>
      </w:pPr>
    </w:p>
  </w:footnote>
  <w:footnote w:id="116">
    <w:p w14:paraId="66EF6569" w14:textId="7BB6EDC9" w:rsidR="006E4ED9" w:rsidRPr="006E1DA8" w:rsidRDefault="006E4ED9" w:rsidP="0083748E">
      <w:pPr>
        <w:pStyle w:val="FootnoteText"/>
      </w:pPr>
      <w:r w:rsidRPr="006E1DA8">
        <w:rPr>
          <w:rStyle w:val="FootnoteReference"/>
        </w:rPr>
        <w:footnoteRef/>
      </w:r>
      <w:r w:rsidRPr="006E1DA8">
        <w:t xml:space="preserve"> Wayne R </w:t>
      </w:r>
      <w:proofErr w:type="spellStart"/>
      <w:r w:rsidRPr="006E1DA8">
        <w:t>LaFave</w:t>
      </w:r>
      <w:proofErr w:type="spellEnd"/>
      <w:r w:rsidRPr="006E1DA8">
        <w:t xml:space="preserve">, </w:t>
      </w:r>
      <w:r w:rsidRPr="006E1DA8">
        <w:rPr>
          <w:i/>
        </w:rPr>
        <w:t>Substantive Criminal Law,</w:t>
      </w:r>
      <w:r w:rsidRPr="006E1DA8">
        <w:t xml:space="preserve"> </w:t>
      </w:r>
      <w:proofErr w:type="spellStart"/>
      <w:r w:rsidRPr="006E1DA8">
        <w:t>vol</w:t>
      </w:r>
      <w:proofErr w:type="spellEnd"/>
      <w:r w:rsidRPr="006E1DA8">
        <w:t xml:space="preserve"> 2,</w:t>
      </w:r>
      <w:r w:rsidRPr="006E1DA8">
        <w:rPr>
          <w:i/>
        </w:rPr>
        <w:t xml:space="preserve"> </w:t>
      </w:r>
      <w:r w:rsidRPr="006E1DA8">
        <w:t>2</w:t>
      </w:r>
      <w:r w:rsidRPr="006E1DA8">
        <w:rPr>
          <w:vertAlign w:val="superscript"/>
        </w:rPr>
        <w:t>nd</w:t>
      </w:r>
      <w:r w:rsidRPr="006E1DA8">
        <w:t xml:space="preserve"> </w:t>
      </w:r>
      <w:proofErr w:type="spellStart"/>
      <w:proofErr w:type="gramStart"/>
      <w:r w:rsidRPr="006E1DA8">
        <w:t>ed</w:t>
      </w:r>
      <w:proofErr w:type="spellEnd"/>
      <w:proofErr w:type="gramEnd"/>
      <w:r w:rsidRPr="006E1DA8">
        <w:t xml:space="preserve"> (Thomson/West, 2003) at 325-413.</w:t>
      </w:r>
    </w:p>
  </w:footnote>
  <w:footnote w:id="117">
    <w:p w14:paraId="091268DB" w14:textId="2A140EE1"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Ashworth (2009) at 409.</w:t>
      </w:r>
    </w:p>
  </w:footnote>
  <w:footnote w:id="118">
    <w:p w14:paraId="224D48C4" w14:textId="00C3BE31" w:rsidR="006E4ED9" w:rsidRPr="006E1DA8" w:rsidRDefault="006E4ED9" w:rsidP="0083748E">
      <w:pPr>
        <w:pStyle w:val="FootnoteText"/>
      </w:pPr>
      <w:r w:rsidRPr="006E1DA8">
        <w:rPr>
          <w:rStyle w:val="FootnoteReference"/>
        </w:rPr>
        <w:footnoteRef/>
      </w:r>
      <w:r w:rsidRPr="006E1DA8">
        <w:t xml:space="preserve"> </w:t>
      </w:r>
      <w:proofErr w:type="spellStart"/>
      <w:r w:rsidRPr="006E1DA8">
        <w:rPr>
          <w:rFonts w:cs="Times New Roman"/>
          <w:szCs w:val="18"/>
        </w:rPr>
        <w:t>Ormerod</w:t>
      </w:r>
      <w:proofErr w:type="spellEnd"/>
      <w:r w:rsidRPr="006E1DA8">
        <w:rPr>
          <w:rFonts w:cs="Times New Roman"/>
          <w:szCs w:val="18"/>
        </w:rPr>
        <w:t xml:space="preserve"> (2011) at 213–218.</w:t>
      </w:r>
    </w:p>
  </w:footnote>
  <w:footnote w:id="119">
    <w:p w14:paraId="09ED4B51"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231.</w:t>
      </w:r>
    </w:p>
  </w:footnote>
  <w:footnote w:id="120">
    <w:p w14:paraId="6F6F1A2B" w14:textId="6D036BF5" w:rsidR="006E4ED9" w:rsidRPr="006E1DA8" w:rsidRDefault="006E4ED9" w:rsidP="0083748E">
      <w:pPr>
        <w:pStyle w:val="FootnoteText"/>
      </w:pPr>
      <w:r w:rsidRPr="006E1DA8">
        <w:rPr>
          <w:rStyle w:val="FootnoteReference"/>
        </w:rPr>
        <w:footnoteRef/>
      </w:r>
      <w:r w:rsidRPr="006E1DA8">
        <w:t xml:space="preserve"> </w:t>
      </w:r>
      <w:proofErr w:type="spellStart"/>
      <w:r w:rsidRPr="006E1DA8">
        <w:rPr>
          <w:rFonts w:cs="Times New Roman"/>
          <w:szCs w:val="18"/>
        </w:rPr>
        <w:t>Tarun</w:t>
      </w:r>
      <w:proofErr w:type="spellEnd"/>
      <w:r w:rsidRPr="006E1DA8">
        <w:rPr>
          <w:rFonts w:cs="Times New Roman"/>
          <w:szCs w:val="18"/>
        </w:rPr>
        <w:t xml:space="preserve"> (2013) at 562-564, quoting from M Raphael, </w:t>
      </w:r>
      <w:r w:rsidRPr="006E1DA8">
        <w:rPr>
          <w:rFonts w:cs="Times New Roman"/>
          <w:i/>
          <w:szCs w:val="18"/>
        </w:rPr>
        <w:t>Blackstone’s Guide to the Bribery Act</w:t>
      </w:r>
      <w:r w:rsidRPr="006E1DA8">
        <w:rPr>
          <w:rFonts w:cs="Times New Roman"/>
          <w:szCs w:val="18"/>
        </w:rPr>
        <w:t>, 2010 Oxford University Press, 2010).</w:t>
      </w:r>
    </w:p>
  </w:footnote>
  <w:footnote w:id="121">
    <w:p w14:paraId="2489D4D0" w14:textId="12368FA7"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i/>
          <w:iCs/>
        </w:rPr>
        <w:t>Interpretation Act</w:t>
      </w:r>
      <w:r w:rsidRPr="006E1DA8">
        <w:rPr>
          <w:rFonts w:cs="Times New Roman"/>
        </w:rPr>
        <w:t>, RSC 1985, c I-21.</w:t>
      </w:r>
    </w:p>
  </w:footnote>
  <w:footnote w:id="122">
    <w:p w14:paraId="144BE939" w14:textId="78A8659F" w:rsidR="006E4ED9" w:rsidRPr="006E1DA8" w:rsidRDefault="006E4ED9" w:rsidP="0083748E">
      <w:pPr>
        <w:pStyle w:val="FootnoteText"/>
        <w:rPr>
          <w:rFonts w:cs="Arial"/>
        </w:rPr>
      </w:pPr>
      <w:r w:rsidRPr="006E1DA8">
        <w:rPr>
          <w:rStyle w:val="FootnoteReference"/>
          <w:rFonts w:cs="Arial"/>
        </w:rPr>
        <w:footnoteRef/>
      </w:r>
      <w:r w:rsidRPr="006E1DA8">
        <w:rPr>
          <w:rFonts w:cs="Arial"/>
        </w:rPr>
        <w:t xml:space="preserve"> Despite some contrary views, this includes the </w:t>
      </w:r>
      <w:r w:rsidRPr="006E1DA8">
        <w:rPr>
          <w:rFonts w:cs="Arial"/>
          <w:i/>
          <w:iCs/>
        </w:rPr>
        <w:t xml:space="preserve">Criminal Code </w:t>
      </w:r>
      <w:r w:rsidRPr="006E1DA8">
        <w:rPr>
          <w:rFonts w:cs="Arial"/>
        </w:rPr>
        <w:t xml:space="preserve">provisions that criminalize complicity in the committal of an indictable offence. In </w:t>
      </w:r>
      <w:proofErr w:type="spellStart"/>
      <w:r w:rsidRPr="006E1DA8">
        <w:rPr>
          <w:rFonts w:cs="Arial"/>
          <w:i/>
          <w:iCs/>
        </w:rPr>
        <w:t>Naglingam</w:t>
      </w:r>
      <w:proofErr w:type="spellEnd"/>
      <w:r w:rsidRPr="006E1DA8">
        <w:rPr>
          <w:rFonts w:cs="Arial"/>
          <w:i/>
          <w:iCs/>
        </w:rPr>
        <w:t xml:space="preserve"> v Canada (Minister of Citizenship &amp; Immigration), </w:t>
      </w:r>
      <w:r w:rsidRPr="006E1DA8">
        <w:rPr>
          <w:rFonts w:cs="Arial"/>
        </w:rPr>
        <w:t xml:space="preserve">2008 FCA 153, the Court reasoned that pursuant to section 34(2) of the federal </w:t>
      </w:r>
      <w:r w:rsidRPr="006E1DA8">
        <w:rPr>
          <w:rFonts w:cs="Arial"/>
          <w:i/>
          <w:iCs/>
        </w:rPr>
        <w:t>Interpretation Act</w:t>
      </w:r>
      <w:r w:rsidRPr="006E1DA8">
        <w:rPr>
          <w:rFonts w:cs="Arial"/>
        </w:rPr>
        <w:t xml:space="preserve">, a refugee can be removed from Canada if he or she was a secondary party to one of the serious offences set out in the </w:t>
      </w:r>
      <w:r w:rsidRPr="006E1DA8">
        <w:rPr>
          <w:rFonts w:cs="Arial"/>
          <w:i/>
          <w:iCs/>
        </w:rPr>
        <w:t>Immigration and Refugee Protection Act</w:t>
      </w:r>
      <w:r w:rsidRPr="006E1DA8">
        <w:rPr>
          <w:rFonts w:cs="Arial"/>
        </w:rPr>
        <w:t xml:space="preserve"> (see Fanny Lafontaine, “Parties to Offences under the Canadian </w:t>
      </w:r>
      <w:r w:rsidRPr="006E1DA8">
        <w:rPr>
          <w:rFonts w:cs="Arial"/>
          <w:i/>
          <w:iCs/>
        </w:rPr>
        <w:t>Crimes against Humanity and War Crimes Act</w:t>
      </w:r>
      <w:r w:rsidRPr="006E1DA8">
        <w:rPr>
          <w:rFonts w:cs="Arial"/>
        </w:rPr>
        <w:t>: An Analysis of Principal Liability and Complicity” (2009) C de D 967 at 982).</w:t>
      </w:r>
    </w:p>
  </w:footnote>
  <w:footnote w:id="123">
    <w:p w14:paraId="3F3EDE17" w14:textId="0C4D6194"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rPr>
        <w:t xml:space="preserve">Don Stuart, </w:t>
      </w:r>
      <w:r w:rsidRPr="006E1DA8">
        <w:rPr>
          <w:rFonts w:cs="Times New Roman"/>
          <w:i/>
          <w:iCs/>
        </w:rPr>
        <w:t>Canadian Criminal Law, Student Edition</w:t>
      </w:r>
      <w:r w:rsidRPr="006E1DA8">
        <w:rPr>
          <w:rFonts w:cs="Times New Roman"/>
          <w:iCs/>
        </w:rPr>
        <w:t>,</w:t>
      </w:r>
      <w:r w:rsidRPr="006E1DA8">
        <w:rPr>
          <w:rFonts w:cs="Times New Roman"/>
          <w:i/>
          <w:iCs/>
        </w:rPr>
        <w:t xml:space="preserve"> </w:t>
      </w:r>
      <w:r w:rsidRPr="006E1DA8">
        <w:rPr>
          <w:rFonts w:cs="Times New Roman"/>
        </w:rPr>
        <w:t>7</w:t>
      </w:r>
      <w:r w:rsidRPr="006E1DA8">
        <w:rPr>
          <w:rFonts w:cs="Times New Roman"/>
          <w:vertAlign w:val="superscript"/>
        </w:rPr>
        <w:t>th</w:t>
      </w:r>
      <w:r w:rsidRPr="006E1DA8">
        <w:rPr>
          <w:rFonts w:cs="Times New Roman"/>
        </w:rPr>
        <w:t xml:space="preserve"> </w:t>
      </w:r>
      <w:proofErr w:type="spellStart"/>
      <w:r w:rsidRPr="006E1DA8">
        <w:rPr>
          <w:rFonts w:cs="Times New Roman"/>
        </w:rPr>
        <w:t>ed</w:t>
      </w:r>
      <w:proofErr w:type="spellEnd"/>
      <w:r w:rsidRPr="006E1DA8">
        <w:rPr>
          <w:rFonts w:cs="Times New Roman"/>
        </w:rPr>
        <w:t xml:space="preserve"> (Carswell, 2014) at</w:t>
      </w:r>
      <w:r w:rsidRPr="006E1DA8">
        <w:t xml:space="preserve"> 751-765; E Colvin &amp; S </w:t>
      </w:r>
      <w:proofErr w:type="spellStart"/>
      <w:r w:rsidRPr="006E1DA8">
        <w:t>Anand</w:t>
      </w:r>
      <w:proofErr w:type="spellEnd"/>
      <w:r w:rsidRPr="006E1DA8">
        <w:t xml:space="preserve">, </w:t>
      </w:r>
      <w:r w:rsidRPr="006E1DA8">
        <w:rPr>
          <w:i/>
        </w:rPr>
        <w:t>Principles of Criminal Law,</w:t>
      </w:r>
      <w:r w:rsidRPr="006E1DA8">
        <w:t xml:space="preserve"> 3</w:t>
      </w:r>
      <w:r w:rsidRPr="006E1DA8">
        <w:rPr>
          <w:vertAlign w:val="superscript"/>
        </w:rPr>
        <w:t>rd</w:t>
      </w:r>
      <w:r w:rsidRPr="006E1DA8">
        <w:t xml:space="preserve"> </w:t>
      </w:r>
      <w:proofErr w:type="spellStart"/>
      <w:r w:rsidRPr="006E1DA8">
        <w:t>ed</w:t>
      </w:r>
      <w:proofErr w:type="spellEnd"/>
      <w:r w:rsidRPr="006E1DA8">
        <w:t xml:space="preserve"> (Carswell, 2007) at 553-584; and M Manning &amp; P </w:t>
      </w:r>
      <w:proofErr w:type="spellStart"/>
      <w:r w:rsidRPr="006E1DA8">
        <w:t>Sankoff</w:t>
      </w:r>
      <w:proofErr w:type="spellEnd"/>
      <w:r w:rsidRPr="006E1DA8">
        <w:t xml:space="preserve">, </w:t>
      </w:r>
      <w:r w:rsidRPr="006E1DA8">
        <w:rPr>
          <w:i/>
        </w:rPr>
        <w:t>Criminal Law</w:t>
      </w:r>
      <w:r w:rsidRPr="006E1DA8">
        <w:t>, 5</w:t>
      </w:r>
      <w:r w:rsidRPr="006E1DA8">
        <w:rPr>
          <w:vertAlign w:val="superscript"/>
        </w:rPr>
        <w:t>th</w:t>
      </w:r>
      <w:r w:rsidRPr="006E1DA8">
        <w:t xml:space="preserve"> </w:t>
      </w:r>
      <w:proofErr w:type="spellStart"/>
      <w:r w:rsidRPr="006E1DA8">
        <w:t>ed</w:t>
      </w:r>
      <w:proofErr w:type="spellEnd"/>
      <w:r w:rsidRPr="006E1DA8">
        <w:t xml:space="preserve"> (LexisNexis, 2015) at 306-332.</w:t>
      </w:r>
    </w:p>
  </w:footnote>
  <w:footnote w:id="124">
    <w:p w14:paraId="717C16BF" w14:textId="5AD2FC01"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Ingeborg </w:t>
      </w:r>
      <w:proofErr w:type="spellStart"/>
      <w:r w:rsidRPr="006E1DA8">
        <w:rPr>
          <w:rFonts w:cs="Times New Roman"/>
          <w:szCs w:val="18"/>
        </w:rPr>
        <w:t>Zerbes</w:t>
      </w:r>
      <w:proofErr w:type="spellEnd"/>
      <w:r w:rsidRPr="006E1DA8">
        <w:rPr>
          <w:rFonts w:cs="Times New Roman"/>
          <w:szCs w:val="18"/>
        </w:rPr>
        <w:t xml:space="preserve">, “Article 1–The Offence of Bribery of Foreign Public Officials” in </w:t>
      </w:r>
      <w:proofErr w:type="spellStart"/>
      <w:r w:rsidRPr="006E1DA8">
        <w:rPr>
          <w:rFonts w:cs="Times New Roman"/>
          <w:szCs w:val="18"/>
        </w:rPr>
        <w:t>Pieth</w:t>
      </w:r>
      <w:proofErr w:type="spellEnd"/>
      <w:r w:rsidRPr="006E1DA8">
        <w:rPr>
          <w:rFonts w:cs="Times New Roman"/>
          <w:szCs w:val="18"/>
        </w:rPr>
        <w:t xml:space="preserve">, Low &amp; </w:t>
      </w:r>
      <w:proofErr w:type="spellStart"/>
      <w:r w:rsidRPr="006E1DA8">
        <w:rPr>
          <w:rFonts w:cs="Times New Roman"/>
          <w:szCs w:val="18"/>
        </w:rPr>
        <w:t>Bonucci</w:t>
      </w:r>
      <w:proofErr w:type="spellEnd"/>
      <w:r w:rsidRPr="006E1DA8">
        <w:rPr>
          <w:rFonts w:cs="Times New Roman"/>
          <w:szCs w:val="18"/>
        </w:rPr>
        <w:t xml:space="preserve">, </w:t>
      </w:r>
      <w:proofErr w:type="spellStart"/>
      <w:proofErr w:type="gramStart"/>
      <w:r w:rsidRPr="006E1DA8">
        <w:rPr>
          <w:rFonts w:cs="Times New Roman"/>
          <w:szCs w:val="18"/>
        </w:rPr>
        <w:t>eds</w:t>
      </w:r>
      <w:proofErr w:type="spellEnd"/>
      <w:proofErr w:type="gramEnd"/>
      <w:r w:rsidRPr="006E1DA8">
        <w:rPr>
          <w:rFonts w:cs="Times New Roman"/>
          <w:szCs w:val="18"/>
        </w:rPr>
        <w:t>, (2014) 59 at 205.</w:t>
      </w:r>
    </w:p>
  </w:footnote>
  <w:footnote w:id="125">
    <w:p w14:paraId="40819F63"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167.</w:t>
      </w:r>
    </w:p>
  </w:footnote>
  <w:footnote w:id="126">
    <w:p w14:paraId="47CC7880" w14:textId="373EE526" w:rsidR="006E4ED9" w:rsidRPr="006E1DA8" w:rsidRDefault="006E4ED9" w:rsidP="0083748E">
      <w:pPr>
        <w:pStyle w:val="FootnoteText"/>
      </w:pPr>
      <w:r w:rsidRPr="006E1DA8">
        <w:rPr>
          <w:rStyle w:val="FootnoteReference"/>
        </w:rPr>
        <w:footnoteRef/>
      </w:r>
      <w:r w:rsidRPr="006E1DA8">
        <w:t xml:space="preserve"> Stephen </w:t>
      </w:r>
      <w:proofErr w:type="spellStart"/>
      <w:r w:rsidRPr="006E1DA8">
        <w:t>Matis</w:t>
      </w:r>
      <w:proofErr w:type="spellEnd"/>
      <w:r w:rsidRPr="006E1DA8">
        <w:t>, “Criminal Attempts and the Subjectivism/Objectivism Debate” (2004) 17 Ratio Juris 328 at 333.</w:t>
      </w:r>
    </w:p>
  </w:footnote>
  <w:footnote w:id="127">
    <w:p w14:paraId="0A3790AF" w14:textId="3E2AE926" w:rsidR="006E4ED9" w:rsidRPr="006E1DA8" w:rsidRDefault="006E4ED9" w:rsidP="0083748E">
      <w:pPr>
        <w:pStyle w:val="FootnoteText"/>
      </w:pPr>
      <w:r w:rsidRPr="006E1DA8">
        <w:rPr>
          <w:rStyle w:val="FootnoteReference"/>
          <w:rFonts w:cs="Times New Roman"/>
        </w:rPr>
        <w:footnoteRef/>
      </w:r>
      <w:r w:rsidRPr="006E1DA8">
        <w:rPr>
          <w:rFonts w:cs="Times New Roman"/>
        </w:rPr>
        <w:t xml:space="preserve"> </w:t>
      </w:r>
      <w:r w:rsidRPr="006E1DA8">
        <w:rPr>
          <w:rFonts w:cs="Times New Roman"/>
          <w:szCs w:val="18"/>
        </w:rPr>
        <w:t>Stuart (2014) at 712–713.</w:t>
      </w:r>
    </w:p>
  </w:footnote>
  <w:footnote w:id="128">
    <w:p w14:paraId="10B6364F" w14:textId="6150EAD7" w:rsidR="006E4ED9" w:rsidRPr="006E1DA8" w:rsidRDefault="006E4ED9" w:rsidP="0083748E">
      <w:pPr>
        <w:pStyle w:val="FootnoteText"/>
      </w:pPr>
      <w:r w:rsidRPr="006E1DA8">
        <w:rPr>
          <w:rStyle w:val="FootnoteReference"/>
        </w:rPr>
        <w:footnoteRef/>
      </w:r>
      <w:r w:rsidRPr="006E1DA8">
        <w:t xml:space="preserve"> </w:t>
      </w:r>
      <w:r w:rsidRPr="006E1DA8">
        <w:rPr>
          <w:i/>
        </w:rPr>
        <w:t>Commentaries on the OECD Convention</w:t>
      </w:r>
      <w:r w:rsidRPr="006E1DA8">
        <w:t xml:space="preserve"> (1997), appended to the Convention at 15, para 11.  </w:t>
      </w:r>
    </w:p>
  </w:footnote>
  <w:footnote w:id="129">
    <w:p w14:paraId="394E3909" w14:textId="6029D8A8" w:rsidR="006E4ED9" w:rsidRPr="006E1DA8" w:rsidRDefault="006E4ED9" w:rsidP="0083748E">
      <w:pPr>
        <w:pStyle w:val="FootnoteText"/>
      </w:pPr>
      <w:r w:rsidRPr="006E1DA8">
        <w:rPr>
          <w:rStyle w:val="FootnoteReference"/>
        </w:rPr>
        <w:footnoteRef/>
      </w:r>
      <w:r w:rsidRPr="006E1DA8">
        <w:t xml:space="preserve"> </w:t>
      </w:r>
      <w:proofErr w:type="spellStart"/>
      <w:r w:rsidRPr="006E1DA8">
        <w:rPr>
          <w:rFonts w:cs="Times New Roman"/>
          <w:szCs w:val="18"/>
        </w:rPr>
        <w:t>Zerbe</w:t>
      </w:r>
      <w:r w:rsidR="00C55323" w:rsidRPr="006E1DA8">
        <w:rPr>
          <w:rFonts w:cs="Times New Roman"/>
          <w:szCs w:val="18"/>
        </w:rPr>
        <w:t>s</w:t>
      </w:r>
      <w:proofErr w:type="spellEnd"/>
      <w:r w:rsidR="00C55323" w:rsidRPr="006E1DA8">
        <w:rPr>
          <w:rFonts w:cs="Times New Roman"/>
          <w:szCs w:val="18"/>
        </w:rPr>
        <w:t xml:space="preserve">, in </w:t>
      </w:r>
      <w:proofErr w:type="spellStart"/>
      <w:r w:rsidR="00C55323" w:rsidRPr="006E1DA8">
        <w:rPr>
          <w:rFonts w:cs="Times New Roman"/>
          <w:szCs w:val="18"/>
        </w:rPr>
        <w:t>Pieth</w:t>
      </w:r>
      <w:proofErr w:type="spellEnd"/>
      <w:r w:rsidR="00C55323" w:rsidRPr="006E1DA8">
        <w:rPr>
          <w:rFonts w:cs="Times New Roman"/>
          <w:szCs w:val="18"/>
        </w:rPr>
        <w:t xml:space="preserve">, Low &amp; </w:t>
      </w:r>
      <w:proofErr w:type="spellStart"/>
      <w:r w:rsidR="00C55323" w:rsidRPr="006E1DA8">
        <w:rPr>
          <w:rFonts w:cs="Times New Roman"/>
          <w:szCs w:val="18"/>
        </w:rPr>
        <w:t>Bonucci</w:t>
      </w:r>
      <w:proofErr w:type="spellEnd"/>
      <w:r w:rsidR="00C55323" w:rsidRPr="006E1DA8">
        <w:rPr>
          <w:rFonts w:cs="Times New Roman"/>
          <w:szCs w:val="18"/>
        </w:rPr>
        <w:t>, eds.</w:t>
      </w:r>
      <w:r w:rsidRPr="006E1DA8">
        <w:rPr>
          <w:rFonts w:cs="Times New Roman"/>
          <w:szCs w:val="18"/>
        </w:rPr>
        <w:t xml:space="preserve"> (2014) 59 at 205.</w:t>
      </w:r>
    </w:p>
  </w:footnote>
  <w:footnote w:id="130">
    <w:p w14:paraId="08EEDAED" w14:textId="29331D48"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While the US Code, which includes offences of bribery, does not have a general provision on attempts, the Code does penalize attempts of some offences, as discussed below, including attempts to commit bribery through the mails.</w:t>
      </w:r>
    </w:p>
  </w:footnote>
  <w:footnote w:id="131">
    <w:p w14:paraId="4E51629B"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170.</w:t>
      </w:r>
    </w:p>
  </w:footnote>
  <w:footnote w:id="132">
    <w:p w14:paraId="2340AA1B" w14:textId="77777777" w:rsidR="006E4ED9" w:rsidRPr="006E1DA8" w:rsidRDefault="006E4ED9" w:rsidP="0083748E">
      <w:pPr>
        <w:pStyle w:val="FootnoteText"/>
        <w:rPr>
          <w:sz w:val="20"/>
        </w:rPr>
      </w:pPr>
      <w:r w:rsidRPr="006E1DA8">
        <w:rPr>
          <w:rStyle w:val="FootnoteReference"/>
        </w:rPr>
        <w:footnoteRef/>
      </w:r>
      <w:r w:rsidRPr="006E1DA8">
        <w:t xml:space="preserve"> See e.g. the offences of attempts and conspiracy to commit bribery through the use of the mail, </w:t>
      </w:r>
      <w:r w:rsidRPr="006E1DA8">
        <w:rPr>
          <w:color w:val="545454"/>
          <w:shd w:val="clear" w:color="auto" w:fill="FFFFFF"/>
        </w:rPr>
        <w:t>§</w:t>
      </w:r>
      <w:r w:rsidRPr="006E1DA8">
        <w:rPr>
          <w:color w:val="545454"/>
        </w:rPr>
        <w:t> </w:t>
      </w:r>
      <w:r w:rsidRPr="006E1DA8">
        <w:t>1349, 18 USC.</w:t>
      </w:r>
    </w:p>
  </w:footnote>
  <w:footnote w:id="133">
    <w:p w14:paraId="02CA8077" w14:textId="66DE3F1C"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See, e.g. </w:t>
      </w:r>
      <w:proofErr w:type="spellStart"/>
      <w:r w:rsidRPr="006E1DA8">
        <w:rPr>
          <w:rFonts w:cs="Times New Roman"/>
          <w:szCs w:val="18"/>
        </w:rPr>
        <w:t>LaFave</w:t>
      </w:r>
      <w:proofErr w:type="spellEnd"/>
      <w:r w:rsidRPr="006E1DA8">
        <w:rPr>
          <w:rFonts w:cs="Times New Roman"/>
          <w:szCs w:val="18"/>
        </w:rPr>
        <w:t>, (2003) at 204-252.</w:t>
      </w:r>
    </w:p>
  </w:footnote>
  <w:footnote w:id="134">
    <w:p w14:paraId="2DAF009E" w14:textId="11C40EE6"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i/>
          <w:szCs w:val="18"/>
        </w:rPr>
        <w:t>Ibid</w:t>
      </w:r>
      <w:r w:rsidRPr="006E1DA8">
        <w:rPr>
          <w:rFonts w:cs="Times New Roman"/>
          <w:szCs w:val="18"/>
        </w:rPr>
        <w:t xml:space="preserve"> at 242-249.</w:t>
      </w:r>
    </w:p>
  </w:footnote>
  <w:footnote w:id="135">
    <w:p w14:paraId="2DB76766" w14:textId="4F4598F5" w:rsidR="006E4ED9" w:rsidRPr="006E1DA8" w:rsidRDefault="006E4ED9" w:rsidP="0083748E">
      <w:pPr>
        <w:pStyle w:val="FootnoteText"/>
      </w:pPr>
      <w:r w:rsidRPr="006E1DA8">
        <w:rPr>
          <w:rStyle w:val="FootnoteReference"/>
        </w:rPr>
        <w:footnoteRef/>
      </w:r>
      <w:r w:rsidRPr="006E1DA8">
        <w:t xml:space="preserve"> D Baker and G Williams, </w:t>
      </w:r>
      <w:r w:rsidRPr="006E1DA8">
        <w:rPr>
          <w:i/>
          <w:iCs/>
        </w:rPr>
        <w:t>Textbook on Criminal Law</w:t>
      </w:r>
      <w:r w:rsidRPr="006E1DA8">
        <w:rPr>
          <w:iCs/>
        </w:rPr>
        <w:t>,</w:t>
      </w:r>
      <w:r w:rsidRPr="006E1DA8">
        <w:rPr>
          <w:i/>
          <w:iCs/>
        </w:rPr>
        <w:t xml:space="preserve"> </w:t>
      </w:r>
      <w:r w:rsidRPr="006E1DA8">
        <w:t xml:space="preserve">3 </w:t>
      </w:r>
      <w:proofErr w:type="spellStart"/>
      <w:proofErr w:type="gramStart"/>
      <w:r w:rsidRPr="006E1DA8">
        <w:t>ed</w:t>
      </w:r>
      <w:proofErr w:type="spellEnd"/>
      <w:proofErr w:type="gramEnd"/>
      <w:r w:rsidRPr="006E1DA8">
        <w:t xml:space="preserve"> (Sweet &amp; Maxwell, 2012) at 547.</w:t>
      </w:r>
    </w:p>
  </w:footnote>
  <w:footnote w:id="136">
    <w:p w14:paraId="4EB51829" w14:textId="77777777" w:rsidR="006E4ED9" w:rsidRPr="006E1DA8" w:rsidRDefault="006E4ED9" w:rsidP="0083748E">
      <w:pPr>
        <w:pStyle w:val="FootnoteText"/>
      </w:pPr>
      <w:r w:rsidRPr="006E1DA8">
        <w:rPr>
          <w:rStyle w:val="FootnoteReference"/>
        </w:rPr>
        <w:footnoteRef/>
      </w:r>
      <w:r w:rsidRPr="006E1DA8">
        <w:t xml:space="preserve"> RSC, 1985 c I-21.</w:t>
      </w:r>
    </w:p>
  </w:footnote>
  <w:footnote w:id="137">
    <w:p w14:paraId="43EE0F61"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R v Deutsch</w:t>
      </w:r>
      <w:r w:rsidRPr="006E1DA8">
        <w:t>,</w:t>
      </w:r>
      <w:r w:rsidRPr="006E1DA8">
        <w:rPr>
          <w:i/>
        </w:rPr>
        <w:t xml:space="preserve"> </w:t>
      </w:r>
      <w:r w:rsidRPr="006E1DA8">
        <w:t>[1986] 2 SCR 2.</w:t>
      </w:r>
    </w:p>
  </w:footnote>
  <w:footnote w:id="138">
    <w:p w14:paraId="1BF4D192"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Ibid</w:t>
      </w:r>
      <w:r w:rsidRPr="006E1DA8">
        <w:t xml:space="preserve"> at para 30.</w:t>
      </w:r>
    </w:p>
  </w:footnote>
  <w:footnote w:id="139">
    <w:p w14:paraId="7C34C4CB" w14:textId="2C19D3BE"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Stuart (2014) at 707.</w:t>
      </w:r>
    </w:p>
  </w:footnote>
  <w:footnote w:id="140">
    <w:p w14:paraId="0F6E916A"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Ibid </w:t>
      </w:r>
      <w:r w:rsidRPr="006E1DA8">
        <w:t>at 706.</w:t>
      </w:r>
    </w:p>
  </w:footnote>
  <w:footnote w:id="141">
    <w:p w14:paraId="1FCD581E" w14:textId="3FECE59F" w:rsidR="006E4ED9" w:rsidRPr="006E1DA8" w:rsidRDefault="006E4ED9" w:rsidP="0083748E">
      <w:pPr>
        <w:pStyle w:val="FootnoteText"/>
      </w:pPr>
      <w:r w:rsidRPr="006E1DA8">
        <w:rPr>
          <w:rStyle w:val="FootnoteReference"/>
        </w:rPr>
        <w:footnoteRef/>
      </w:r>
      <w:r w:rsidRPr="006E1DA8">
        <w:t xml:space="preserve"> </w:t>
      </w:r>
      <w:r w:rsidRPr="006E1DA8">
        <w:rPr>
          <w:rFonts w:cs="Times New Roman"/>
          <w:szCs w:val="18"/>
        </w:rPr>
        <w:t xml:space="preserve">Ingeborg </w:t>
      </w:r>
      <w:proofErr w:type="spellStart"/>
      <w:r w:rsidRPr="006E1DA8">
        <w:rPr>
          <w:rFonts w:cs="Times New Roman"/>
          <w:szCs w:val="18"/>
        </w:rPr>
        <w:t>Zerbes</w:t>
      </w:r>
      <w:proofErr w:type="spellEnd"/>
      <w:r w:rsidRPr="006E1DA8">
        <w:rPr>
          <w:rFonts w:cs="Times New Roman"/>
          <w:szCs w:val="18"/>
        </w:rPr>
        <w:t xml:space="preserve">, “Article 1 – The Offence of Bribery of Foreign Public Officials” in </w:t>
      </w:r>
      <w:proofErr w:type="spellStart"/>
      <w:r w:rsidRPr="006E1DA8">
        <w:rPr>
          <w:rFonts w:cs="Times New Roman"/>
          <w:szCs w:val="18"/>
        </w:rPr>
        <w:t>Pieth</w:t>
      </w:r>
      <w:proofErr w:type="spellEnd"/>
      <w:r w:rsidRPr="006E1DA8">
        <w:rPr>
          <w:rFonts w:cs="Times New Roman"/>
          <w:szCs w:val="18"/>
        </w:rPr>
        <w:t xml:space="preserve">, Low &amp; </w:t>
      </w:r>
      <w:proofErr w:type="spellStart"/>
      <w:r w:rsidRPr="006E1DA8">
        <w:rPr>
          <w:rFonts w:cs="Times New Roman"/>
          <w:szCs w:val="18"/>
        </w:rPr>
        <w:t>Bonucci</w:t>
      </w:r>
      <w:proofErr w:type="spellEnd"/>
      <w:r w:rsidRPr="006E1DA8">
        <w:rPr>
          <w:rFonts w:cs="Times New Roman"/>
          <w:szCs w:val="18"/>
        </w:rPr>
        <w:t xml:space="preserve">, </w:t>
      </w:r>
      <w:proofErr w:type="spellStart"/>
      <w:proofErr w:type="gramStart"/>
      <w:r w:rsidRPr="006E1DA8">
        <w:rPr>
          <w:rFonts w:cs="Times New Roman"/>
          <w:szCs w:val="18"/>
        </w:rPr>
        <w:t>eds</w:t>
      </w:r>
      <w:proofErr w:type="spellEnd"/>
      <w:proofErr w:type="gramEnd"/>
      <w:r w:rsidRPr="006E1DA8">
        <w:rPr>
          <w:rFonts w:cs="Times New Roman"/>
          <w:szCs w:val="18"/>
        </w:rPr>
        <w:t>, (2014) 59 at 208.</w:t>
      </w:r>
    </w:p>
  </w:footnote>
  <w:footnote w:id="142">
    <w:p w14:paraId="23BA2AC0" w14:textId="4F63F4BC" w:rsidR="006E4ED9" w:rsidRPr="006E1DA8" w:rsidRDefault="006E4ED9" w:rsidP="0083748E">
      <w:pPr>
        <w:pStyle w:val="FootnoteText"/>
      </w:pPr>
      <w:r w:rsidRPr="006E1DA8">
        <w:rPr>
          <w:rStyle w:val="FootnoteReference"/>
        </w:rPr>
        <w:footnoteRef/>
      </w:r>
      <w:r w:rsidRPr="006E1DA8">
        <w:t xml:space="preserve"> For a discussion of the arguments for and against the criminalization of conspiracy see Aaron </w:t>
      </w:r>
      <w:proofErr w:type="spellStart"/>
      <w:r w:rsidRPr="006E1DA8">
        <w:t>Fichtelberg</w:t>
      </w:r>
      <w:proofErr w:type="spellEnd"/>
      <w:r w:rsidRPr="006E1DA8">
        <w:t xml:space="preserve">, “Conspiracy and International Criminal Justice” (2006) 17 </w:t>
      </w:r>
      <w:proofErr w:type="spellStart"/>
      <w:r w:rsidRPr="006E1DA8">
        <w:t>Crim</w:t>
      </w:r>
      <w:proofErr w:type="spellEnd"/>
      <w:r w:rsidRPr="006E1DA8">
        <w:t xml:space="preserve"> LF 149.</w:t>
      </w:r>
    </w:p>
  </w:footnote>
  <w:footnote w:id="143">
    <w:p w14:paraId="3806D5E7" w14:textId="4749DA0D" w:rsidR="006E4ED9" w:rsidRPr="006E1DA8" w:rsidRDefault="006E4ED9" w:rsidP="0083748E">
      <w:pPr>
        <w:pStyle w:val="FootnoteText"/>
      </w:pPr>
      <w:r w:rsidRPr="006E1DA8">
        <w:rPr>
          <w:rStyle w:val="FootnoteReference"/>
        </w:rPr>
        <w:footnoteRef/>
      </w:r>
      <w:r w:rsidRPr="006E1DA8">
        <w:t xml:space="preserve"> </w:t>
      </w:r>
      <w:proofErr w:type="spellStart"/>
      <w:r w:rsidRPr="006E1DA8">
        <w:t>Tarun</w:t>
      </w:r>
      <w:proofErr w:type="spellEnd"/>
      <w:r w:rsidRPr="006E1DA8">
        <w:t xml:space="preserve"> (2013) at 26-27.</w:t>
      </w:r>
    </w:p>
  </w:footnote>
  <w:footnote w:id="144">
    <w:p w14:paraId="7948C3B3" w14:textId="5C6366F6" w:rsidR="006E4ED9" w:rsidRPr="006E1DA8" w:rsidRDefault="006E4ED9" w:rsidP="0083748E">
      <w:pPr>
        <w:pStyle w:val="FootnoteText"/>
      </w:pPr>
      <w:r w:rsidRPr="006E1DA8">
        <w:rPr>
          <w:rStyle w:val="FootnoteReference"/>
          <w:szCs w:val="18"/>
        </w:rPr>
        <w:footnoteRef/>
      </w:r>
      <w:r w:rsidRPr="006E1DA8">
        <w:t xml:space="preserve"> </w:t>
      </w:r>
      <w:proofErr w:type="spellStart"/>
      <w:r w:rsidRPr="006E1DA8">
        <w:t>LaFave</w:t>
      </w:r>
      <w:proofErr w:type="spellEnd"/>
      <w:r w:rsidRPr="006E1DA8">
        <w:t xml:space="preserve"> (2003) at 253-324. For more details concerning the law of conspiracy in the United States, see Neal Kumar </w:t>
      </w:r>
      <w:proofErr w:type="spellStart"/>
      <w:r w:rsidRPr="006E1DA8">
        <w:t>Katyal</w:t>
      </w:r>
      <w:proofErr w:type="spellEnd"/>
      <w:r w:rsidRPr="006E1DA8">
        <w:t>, “Conspiracy Theory” (2003) 112 Yale LJ 1307, online: &lt;</w:t>
      </w:r>
      <w:hyperlink r:id="rId19" w:history="1">
        <w:r w:rsidRPr="006E1DA8">
          <w:rPr>
            <w:rStyle w:val="Hyperlink"/>
            <w:rFonts w:cs="Times New Roman"/>
            <w:szCs w:val="18"/>
          </w:rPr>
          <w:t>http://www.yalelawjournal.org/article/conspiracy-theory</w:t>
        </w:r>
      </w:hyperlink>
      <w:r w:rsidRPr="006E1DA8">
        <w:t xml:space="preserve">&gt;, and Paul Marcus, “The Crime of Conspiracy Thrives in Decisions of the United States Supreme Court” (2015) 64 U </w:t>
      </w:r>
      <w:proofErr w:type="spellStart"/>
      <w:r w:rsidRPr="006E1DA8">
        <w:t>Kan</w:t>
      </w:r>
      <w:proofErr w:type="spellEnd"/>
      <w:r w:rsidRPr="006E1DA8">
        <w:t xml:space="preserve"> L Rev 373, online: &lt;</w:t>
      </w:r>
      <w:hyperlink r:id="rId20" w:history="1">
        <w:r w:rsidRPr="006E1DA8">
          <w:rPr>
            <w:rStyle w:val="Hyperlink"/>
            <w:rFonts w:cs="Times New Roman"/>
            <w:szCs w:val="18"/>
          </w:rPr>
          <w:t>http://scholarship.law.wm.edu/facpubs/1797/</w:t>
        </w:r>
      </w:hyperlink>
      <w:r w:rsidRPr="006E1DA8">
        <w:t>&gt;.</w:t>
      </w:r>
    </w:p>
  </w:footnote>
  <w:footnote w:id="145">
    <w:p w14:paraId="295369B2" w14:textId="3717F906" w:rsidR="006E4ED9" w:rsidRPr="006E1DA8" w:rsidRDefault="006E4ED9" w:rsidP="0083748E">
      <w:pPr>
        <w:pStyle w:val="FootnoteText"/>
      </w:pPr>
      <w:r w:rsidRPr="006E1DA8">
        <w:rPr>
          <w:rStyle w:val="FootnoteReference"/>
        </w:rPr>
        <w:footnoteRef/>
      </w:r>
      <w:r w:rsidRPr="006E1DA8">
        <w:t xml:space="preserve"> </w:t>
      </w:r>
      <w:proofErr w:type="spellStart"/>
      <w:r w:rsidRPr="006E1DA8">
        <w:t>Tarun</w:t>
      </w:r>
      <w:proofErr w:type="spellEnd"/>
      <w:r w:rsidRPr="006E1DA8">
        <w:t xml:space="preserve"> (2013) at 26.</w:t>
      </w:r>
    </w:p>
  </w:footnote>
  <w:footnote w:id="146">
    <w:p w14:paraId="72628D50" w14:textId="7908BAAB" w:rsidR="006E4ED9" w:rsidRPr="006E1DA8" w:rsidRDefault="006E4ED9" w:rsidP="00D16438">
      <w:pPr>
        <w:pStyle w:val="FootnoteText"/>
      </w:pPr>
      <w:r w:rsidRPr="006E1DA8">
        <w:rPr>
          <w:rStyle w:val="FootnoteReference"/>
        </w:rPr>
        <w:footnoteRef/>
      </w:r>
      <w:r w:rsidRPr="006E1DA8">
        <w:t xml:space="preserve"> </w:t>
      </w:r>
      <w:r w:rsidRPr="006E1DA8">
        <w:rPr>
          <w:rFonts w:cs="Times New Roman"/>
          <w:szCs w:val="18"/>
        </w:rPr>
        <w:t xml:space="preserve">Note that the common law offence of conspiracy to defraud remains in force: Baker &amp; Williams, (2012) at 568. For more on common law conspiracy, see </w:t>
      </w:r>
      <w:proofErr w:type="spellStart"/>
      <w:r w:rsidRPr="006E1DA8">
        <w:rPr>
          <w:rFonts w:cs="Times New Roman"/>
          <w:szCs w:val="18"/>
        </w:rPr>
        <w:t>Ormerod</w:t>
      </w:r>
      <w:proofErr w:type="spellEnd"/>
      <w:r w:rsidRPr="006E1DA8">
        <w:rPr>
          <w:rFonts w:cs="Times New Roman"/>
          <w:szCs w:val="18"/>
        </w:rPr>
        <w:t xml:space="preserve"> (2011) at 447–456.</w:t>
      </w:r>
    </w:p>
  </w:footnote>
  <w:footnote w:id="147">
    <w:p w14:paraId="3F15DE5C" w14:textId="0230743C"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rFonts w:cs="Times New Roman"/>
          <w:szCs w:val="18"/>
        </w:rPr>
        <w:t>Baker &amp; Williams, (2012) at 570.</w:t>
      </w:r>
    </w:p>
  </w:footnote>
  <w:footnote w:id="148">
    <w:p w14:paraId="45003627" w14:textId="77777777"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i/>
          <w:szCs w:val="18"/>
        </w:rPr>
        <w:t>Ibid</w:t>
      </w:r>
      <w:r w:rsidRPr="006E1DA8">
        <w:rPr>
          <w:szCs w:val="18"/>
        </w:rPr>
        <w:t xml:space="preserve"> at 580.</w:t>
      </w:r>
    </w:p>
  </w:footnote>
  <w:footnote w:id="149">
    <w:p w14:paraId="342A61FE" w14:textId="77777777"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i/>
          <w:szCs w:val="18"/>
        </w:rPr>
        <w:t xml:space="preserve">Ibid </w:t>
      </w:r>
      <w:r w:rsidRPr="006E1DA8">
        <w:rPr>
          <w:szCs w:val="18"/>
        </w:rPr>
        <w:t>at 586.</w:t>
      </w:r>
    </w:p>
  </w:footnote>
  <w:footnote w:id="150">
    <w:p w14:paraId="58FE0F5C" w14:textId="1A038424"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proofErr w:type="spellStart"/>
      <w:r w:rsidRPr="006E1DA8">
        <w:rPr>
          <w:rFonts w:cs="Times New Roman"/>
          <w:szCs w:val="18"/>
        </w:rPr>
        <w:t>Ormerod</w:t>
      </w:r>
      <w:proofErr w:type="spellEnd"/>
      <w:r w:rsidRPr="006E1DA8">
        <w:rPr>
          <w:rFonts w:cs="Times New Roman"/>
          <w:szCs w:val="18"/>
        </w:rPr>
        <w:t xml:space="preserve"> (2011) at 424.</w:t>
      </w:r>
    </w:p>
  </w:footnote>
  <w:footnote w:id="151">
    <w:p w14:paraId="25A01E35" w14:textId="4170CE78"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AP </w:t>
      </w:r>
      <w:proofErr w:type="spellStart"/>
      <w:r w:rsidRPr="006E1DA8">
        <w:rPr>
          <w:szCs w:val="18"/>
        </w:rPr>
        <w:t>Simester</w:t>
      </w:r>
      <w:proofErr w:type="spellEnd"/>
      <w:r w:rsidRPr="006E1DA8">
        <w:rPr>
          <w:szCs w:val="18"/>
        </w:rPr>
        <w:t xml:space="preserve"> et al, </w:t>
      </w:r>
      <w:proofErr w:type="spellStart"/>
      <w:r w:rsidRPr="006E1DA8">
        <w:rPr>
          <w:i/>
          <w:szCs w:val="18"/>
        </w:rPr>
        <w:t>Simester</w:t>
      </w:r>
      <w:proofErr w:type="spellEnd"/>
      <w:r w:rsidRPr="006E1DA8">
        <w:rPr>
          <w:i/>
          <w:szCs w:val="18"/>
        </w:rPr>
        <w:t xml:space="preserve"> and Sullivan’s Criminal Law: Theory and Doctrine</w:t>
      </w:r>
      <w:r w:rsidRPr="006E1DA8">
        <w:rPr>
          <w:szCs w:val="18"/>
        </w:rPr>
        <w:t>, 4</w:t>
      </w:r>
      <w:r w:rsidRPr="006E1DA8">
        <w:rPr>
          <w:szCs w:val="18"/>
          <w:vertAlign w:val="superscript"/>
        </w:rPr>
        <w:t>th</w:t>
      </w:r>
      <w:r w:rsidRPr="006E1DA8">
        <w:rPr>
          <w:szCs w:val="18"/>
        </w:rPr>
        <w:t xml:space="preserve"> </w:t>
      </w:r>
      <w:proofErr w:type="spellStart"/>
      <w:proofErr w:type="gramStart"/>
      <w:r w:rsidRPr="006E1DA8">
        <w:rPr>
          <w:szCs w:val="18"/>
        </w:rPr>
        <w:t>ed</w:t>
      </w:r>
      <w:proofErr w:type="spellEnd"/>
      <w:proofErr w:type="gramEnd"/>
      <w:r w:rsidRPr="006E1DA8">
        <w:rPr>
          <w:szCs w:val="18"/>
        </w:rPr>
        <w:t xml:space="preserve"> (Oxford: Hart, 2010) at 324.</w:t>
      </w:r>
    </w:p>
  </w:footnote>
  <w:footnote w:id="152">
    <w:p w14:paraId="0AB38C4F" w14:textId="2A3B18BD"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proofErr w:type="spellStart"/>
      <w:r w:rsidRPr="006E1DA8">
        <w:rPr>
          <w:rFonts w:cs="Times New Roman"/>
          <w:szCs w:val="18"/>
        </w:rPr>
        <w:t>Ormerod</w:t>
      </w:r>
      <w:proofErr w:type="spellEnd"/>
      <w:r w:rsidRPr="006E1DA8">
        <w:rPr>
          <w:rFonts w:cs="Times New Roman"/>
          <w:szCs w:val="18"/>
        </w:rPr>
        <w:t xml:space="preserve"> (2011) at 445.</w:t>
      </w:r>
    </w:p>
  </w:footnote>
  <w:footnote w:id="153">
    <w:p w14:paraId="251A56E4" w14:textId="77777777"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i/>
          <w:szCs w:val="18"/>
        </w:rPr>
        <w:t>Ibid</w:t>
      </w:r>
      <w:r w:rsidRPr="006E1DA8">
        <w:rPr>
          <w:szCs w:val="18"/>
        </w:rPr>
        <w:t xml:space="preserve"> at 446–447. </w:t>
      </w:r>
    </w:p>
  </w:footnote>
  <w:footnote w:id="154">
    <w:p w14:paraId="328C84A3" w14:textId="77777777" w:rsidR="006E4ED9" w:rsidRPr="006E1DA8" w:rsidRDefault="006E4ED9" w:rsidP="0083748E">
      <w:pPr>
        <w:pStyle w:val="FootnoteText"/>
      </w:pPr>
      <w:r w:rsidRPr="006E1DA8">
        <w:rPr>
          <w:rStyle w:val="FootnoteReference"/>
        </w:rPr>
        <w:footnoteRef/>
      </w:r>
      <w:r w:rsidRPr="006E1DA8">
        <w:t xml:space="preserve"> </w:t>
      </w:r>
      <w:r w:rsidRPr="006E1DA8">
        <w:rPr>
          <w:i/>
        </w:rPr>
        <w:t xml:space="preserve">R v </w:t>
      </w:r>
      <w:proofErr w:type="spellStart"/>
      <w:r w:rsidRPr="006E1DA8">
        <w:rPr>
          <w:i/>
        </w:rPr>
        <w:t>Karigar</w:t>
      </w:r>
      <w:proofErr w:type="spellEnd"/>
      <w:r w:rsidRPr="006E1DA8">
        <w:rPr>
          <w:i/>
        </w:rPr>
        <w:t xml:space="preserve">, </w:t>
      </w:r>
      <w:r w:rsidRPr="006E1DA8">
        <w:t>2013 ONSC 5199 at para 28.</w:t>
      </w:r>
    </w:p>
  </w:footnote>
  <w:footnote w:id="155">
    <w:p w14:paraId="7E843866" w14:textId="76319F03"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Section 32(4) of the </w:t>
      </w:r>
      <w:r w:rsidRPr="006E1DA8">
        <w:rPr>
          <w:i/>
          <w:szCs w:val="18"/>
        </w:rPr>
        <w:t>Interpretation Act</w:t>
      </w:r>
      <w:r w:rsidRPr="006E1DA8">
        <w:rPr>
          <w:szCs w:val="18"/>
        </w:rPr>
        <w:t>, RSC 1985, C I-21.</w:t>
      </w:r>
    </w:p>
  </w:footnote>
  <w:footnote w:id="156">
    <w:p w14:paraId="31749D83" w14:textId="353E7D6B"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rFonts w:cs="Times New Roman"/>
          <w:szCs w:val="18"/>
        </w:rPr>
        <w:t>Stuart (2014) at 724.</w:t>
      </w:r>
    </w:p>
  </w:footnote>
  <w:footnote w:id="157">
    <w:p w14:paraId="61CB7930" w14:textId="77777777" w:rsidR="006E4ED9" w:rsidRPr="006E1DA8" w:rsidRDefault="006E4ED9" w:rsidP="0083748E">
      <w:pPr>
        <w:pStyle w:val="FootnoteText"/>
      </w:pPr>
      <w:r w:rsidRPr="006E1DA8">
        <w:rPr>
          <w:rStyle w:val="FootnoteReference"/>
          <w:rFonts w:cs="Times New Roman"/>
          <w:szCs w:val="18"/>
        </w:rPr>
        <w:footnoteRef/>
      </w:r>
      <w:r w:rsidRPr="006E1DA8">
        <w:t xml:space="preserve"> </w:t>
      </w:r>
      <w:r w:rsidRPr="006E1DA8">
        <w:rPr>
          <w:i/>
        </w:rPr>
        <w:t>Ibid</w:t>
      </w:r>
      <w:r w:rsidRPr="006E1DA8">
        <w:t xml:space="preserve"> at 733-734.</w:t>
      </w:r>
    </w:p>
  </w:footnote>
  <w:footnote w:id="158">
    <w:p w14:paraId="3634B1A4" w14:textId="59416C4F" w:rsidR="006E4ED9" w:rsidRPr="006E1DA8" w:rsidRDefault="006E4ED9" w:rsidP="0083748E">
      <w:pPr>
        <w:pStyle w:val="FootnoteText"/>
      </w:pPr>
      <w:r w:rsidRPr="006E1DA8">
        <w:rPr>
          <w:rStyle w:val="FootnoteReference"/>
        </w:rPr>
        <w:footnoteRef/>
      </w:r>
      <w:r w:rsidRPr="006E1DA8">
        <w:t xml:space="preserve"> Deming (2014) at 51.</w:t>
      </w:r>
    </w:p>
  </w:footnote>
  <w:footnote w:id="159">
    <w:p w14:paraId="1E8FC356" w14:textId="4B1702EC" w:rsidR="006E4ED9" w:rsidRPr="006E1DA8" w:rsidRDefault="006E4ED9" w:rsidP="0083748E">
      <w:pPr>
        <w:pStyle w:val="FootnoteText"/>
      </w:pPr>
      <w:r w:rsidRPr="006E1DA8">
        <w:rPr>
          <w:rStyle w:val="FootnoteReference"/>
        </w:rPr>
        <w:footnoteRef/>
      </w:r>
      <w:r w:rsidRPr="006E1DA8">
        <w:t xml:space="preserve"> </w:t>
      </w:r>
      <w:proofErr w:type="spellStart"/>
      <w:r w:rsidRPr="006E1DA8">
        <w:t>LaFave</w:t>
      </w:r>
      <w:proofErr w:type="spellEnd"/>
      <w:r w:rsidRPr="006E1DA8">
        <w:t xml:space="preserve"> (2003) at 188-204.  </w:t>
      </w:r>
    </w:p>
  </w:footnote>
  <w:footnote w:id="160">
    <w:p w14:paraId="0C457D28" w14:textId="4FBFEF7E" w:rsidR="006E4ED9" w:rsidRPr="006E1DA8" w:rsidRDefault="006E4ED9" w:rsidP="0083748E">
      <w:pPr>
        <w:pStyle w:val="FootnoteText"/>
      </w:pPr>
      <w:r w:rsidRPr="006E1DA8">
        <w:rPr>
          <w:rStyle w:val="FootnoteReference"/>
        </w:rPr>
        <w:footnoteRef/>
      </w:r>
      <w:r w:rsidRPr="006E1DA8">
        <w:t xml:space="preserve"> </w:t>
      </w:r>
      <w:r w:rsidRPr="006E1DA8">
        <w:rPr>
          <w:i/>
        </w:rPr>
        <w:t>R v Vaughan</w:t>
      </w:r>
      <w:r w:rsidRPr="006E1DA8">
        <w:t xml:space="preserve">, 98 ER 308 (1769).  See also </w:t>
      </w:r>
      <w:r w:rsidRPr="006E1DA8">
        <w:rPr>
          <w:i/>
        </w:rPr>
        <w:t>R v Higgins</w:t>
      </w:r>
      <w:r w:rsidRPr="006E1DA8">
        <w:t>, 102 E.R. 269 (1801).</w:t>
      </w:r>
    </w:p>
  </w:footnote>
  <w:footnote w:id="161">
    <w:p w14:paraId="60DF22DF" w14:textId="0DDBF011" w:rsidR="006E4ED9" w:rsidRPr="006E1DA8" w:rsidRDefault="006E4ED9" w:rsidP="0083748E">
      <w:pPr>
        <w:pStyle w:val="FootnoteText"/>
      </w:pPr>
      <w:r w:rsidRPr="006E1DA8">
        <w:rPr>
          <w:rStyle w:val="FootnoteReference"/>
        </w:rPr>
        <w:footnoteRef/>
      </w:r>
      <w:r w:rsidRPr="006E1DA8">
        <w:t xml:space="preserve"> </w:t>
      </w:r>
      <w:proofErr w:type="spellStart"/>
      <w:r w:rsidRPr="006E1DA8">
        <w:t>Ormerod</w:t>
      </w:r>
      <w:proofErr w:type="spellEnd"/>
      <w:r w:rsidRPr="006E1DA8">
        <w:t xml:space="preserve"> (2011) at 465.</w:t>
      </w:r>
    </w:p>
  </w:footnote>
  <w:footnote w:id="162">
    <w:p w14:paraId="6B49BFD1" w14:textId="778CF1D1" w:rsidR="006E4ED9" w:rsidRPr="006E1DA8" w:rsidRDefault="006E4ED9" w:rsidP="0083748E">
      <w:pPr>
        <w:pStyle w:val="FootnoteText"/>
      </w:pPr>
      <w:r w:rsidRPr="006E1DA8">
        <w:rPr>
          <w:rStyle w:val="FootnoteReference"/>
        </w:rPr>
        <w:footnoteRef/>
      </w:r>
      <w:r w:rsidRPr="006E1DA8">
        <w:t xml:space="preserve"> </w:t>
      </w:r>
      <w:proofErr w:type="spellStart"/>
      <w:r w:rsidRPr="006E1DA8">
        <w:rPr>
          <w:rFonts w:cs="Times New Roman"/>
          <w:szCs w:val="18"/>
        </w:rPr>
        <w:t>Simester</w:t>
      </w:r>
      <w:proofErr w:type="spellEnd"/>
      <w:r w:rsidRPr="006E1DA8">
        <w:rPr>
          <w:rFonts w:cs="Times New Roman"/>
          <w:szCs w:val="18"/>
        </w:rPr>
        <w:t xml:space="preserve"> et al (2010) at 357.</w:t>
      </w:r>
    </w:p>
  </w:footnote>
  <w:footnote w:id="163">
    <w:p w14:paraId="0750A9F8" w14:textId="3CE29020" w:rsidR="006E4ED9" w:rsidRPr="006E1DA8" w:rsidRDefault="006E4ED9" w:rsidP="0083748E">
      <w:pPr>
        <w:pStyle w:val="FootnoteText"/>
        <w:rPr>
          <w:szCs w:val="18"/>
        </w:rPr>
      </w:pPr>
      <w:r w:rsidRPr="006E1DA8">
        <w:rPr>
          <w:rStyle w:val="FootnoteReference"/>
          <w:szCs w:val="18"/>
        </w:rPr>
        <w:footnoteRef/>
      </w:r>
      <w:r w:rsidRPr="006E1DA8">
        <w:rPr>
          <w:szCs w:val="18"/>
        </w:rPr>
        <w:t xml:space="preserve"> </w:t>
      </w:r>
      <w:r w:rsidRPr="006E1DA8">
        <w:rPr>
          <w:i/>
          <w:szCs w:val="18"/>
        </w:rPr>
        <w:t>R v Hamilton</w:t>
      </w:r>
      <w:r w:rsidRPr="006E1DA8">
        <w:rPr>
          <w:szCs w:val="18"/>
        </w:rPr>
        <w:t>, [2005] 2 SCR 432.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D5877" w14:textId="37ED4C35" w:rsidR="006E4ED9" w:rsidRPr="00492A3B" w:rsidRDefault="006E4ED9" w:rsidP="00CB4161">
    <w:pPr>
      <w:tabs>
        <w:tab w:val="center" w:pos="4680"/>
        <w:tab w:val="right" w:pos="9360"/>
      </w:tabs>
      <w:spacing w:before="0" w:after="0"/>
      <w:ind w:left="-283"/>
      <w:jc w:val="left"/>
      <w:rPr>
        <w:rFonts w:eastAsia="Calibri" w:cs="Times New Roman"/>
        <w:smallCaps/>
      </w:rPr>
    </w:pPr>
    <w:r w:rsidRPr="00492A3B">
      <w:rPr>
        <w:rFonts w:eastAsia="Calibri"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E0D46" w14:textId="535D63B9" w:rsidR="006E4ED9" w:rsidRPr="0081411F" w:rsidRDefault="006E4ED9" w:rsidP="0081411F">
    <w:pPr>
      <w:spacing w:before="0" w:after="0"/>
      <w:ind w:right="-283"/>
      <w:jc w:val="right"/>
      <w:rPr>
        <w:rFonts w:eastAsia="Calibri" w:cs="Times New Roman"/>
        <w:smallCaps/>
      </w:rPr>
    </w:pPr>
    <w:r>
      <w:rPr>
        <w:rFonts w:eastAsia="Calibri" w:cs="Times New Roman"/>
        <w:smallCaps/>
      </w:rPr>
      <w:t>Ch</w:t>
    </w:r>
    <w:r w:rsidR="00CF4ECB">
      <w:rPr>
        <w:rFonts w:eastAsia="Calibri" w:cs="Times New Roman"/>
        <w:smallCaps/>
      </w:rPr>
      <w:t>apter</w:t>
    </w:r>
    <w:r>
      <w:rPr>
        <w:rFonts w:eastAsia="Calibri" w:cs="Times New Roman"/>
        <w:smallCaps/>
      </w:rPr>
      <w:t xml:space="preserve"> 3</w:t>
    </w:r>
    <w:r w:rsidR="00C37F7F">
      <w:rPr>
        <w:rFonts w:eastAsia="Calibri" w:cs="Times New Roman"/>
        <w:smallCaps/>
      </w:rPr>
      <w:t xml:space="preserve"> </w:t>
    </w:r>
    <w:r w:rsidR="006E1DA8">
      <w:rPr>
        <w:rFonts w:eastAsia="Calibri" w:cs="Times New Roman"/>
        <w:smallCaps/>
      </w:rPr>
      <w:sym w:font="Webdings" w:char="F07C"/>
    </w:r>
    <w:r>
      <w:rPr>
        <w:rFonts w:eastAsia="Calibri" w:cs="Times New Roman"/>
        <w:smallCaps/>
      </w:rPr>
      <w:t xml:space="preserve"> General Principles Affecting the Scope of</w:t>
    </w:r>
    <w:r w:rsidRPr="0081411F">
      <w:rPr>
        <w:rFonts w:eastAsia="Calibri" w:cs="Times New Roman"/>
        <w:smallCaps/>
      </w:rPr>
      <w:t xml:space="preserve"> Corruption Offences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0F50A" w14:textId="77777777" w:rsidR="006E4ED9" w:rsidRDefault="006E4ED9" w:rsidP="002C2796">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0593D"/>
    <w:multiLevelType w:val="hybridMultilevel"/>
    <w:tmpl w:val="9AA084AC"/>
    <w:lvl w:ilvl="0" w:tplc="F7CACB8E">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2B32AA"/>
    <w:multiLevelType w:val="hybridMultilevel"/>
    <w:tmpl w:val="B4E8D160"/>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15:restartNumberingAfterBreak="0">
    <w:nsid w:val="0EE170A2"/>
    <w:multiLevelType w:val="hybridMultilevel"/>
    <w:tmpl w:val="AFD2878C"/>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 w15:restartNumberingAfterBreak="0">
    <w:nsid w:val="11907C86"/>
    <w:multiLevelType w:val="hybridMultilevel"/>
    <w:tmpl w:val="E640E1AE"/>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15:restartNumberingAfterBreak="0">
    <w:nsid w:val="136F32C5"/>
    <w:multiLevelType w:val="hybridMultilevel"/>
    <w:tmpl w:val="D80AAF8E"/>
    <w:lvl w:ilvl="0" w:tplc="31A4BAC2">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6155B69"/>
    <w:multiLevelType w:val="hybridMultilevel"/>
    <w:tmpl w:val="16B809B4"/>
    <w:lvl w:ilvl="0" w:tplc="ED7C4B10">
      <w:start w:val="12"/>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98D6387"/>
    <w:multiLevelType w:val="hybridMultilevel"/>
    <w:tmpl w:val="0DEED78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D2A126C"/>
    <w:multiLevelType w:val="multilevel"/>
    <w:tmpl w:val="CFF21246"/>
    <w:styleLink w:val="Style1"/>
    <w:lvl w:ilvl="0">
      <w:start w:val="1"/>
      <w:numFmt w:val="decimal"/>
      <w:lvlText w:val="%1."/>
      <w:lvlJc w:val="left"/>
      <w:pPr>
        <w:ind w:left="432" w:hanging="432"/>
      </w:pPr>
      <w:rPr>
        <w:rFonts w:ascii="Times New Roman" w:hAnsi="Times New Roman" w:hint="default"/>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D404E68"/>
    <w:multiLevelType w:val="hybridMultilevel"/>
    <w:tmpl w:val="B0BA3B42"/>
    <w:lvl w:ilvl="0" w:tplc="08F284DA">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EAA2667"/>
    <w:multiLevelType w:val="hybridMultilevel"/>
    <w:tmpl w:val="F30E1DCC"/>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 w15:restartNumberingAfterBreak="0">
    <w:nsid w:val="227925B1"/>
    <w:multiLevelType w:val="hybridMultilevel"/>
    <w:tmpl w:val="CED08610"/>
    <w:lvl w:ilvl="0" w:tplc="BC92E34A">
      <w:start w:val="1"/>
      <w:numFmt w:val="lowerRoman"/>
      <w:lvlText w:val="(%1)"/>
      <w:lvlJc w:val="left"/>
      <w:pPr>
        <w:ind w:left="1440" w:hanging="360"/>
      </w:pPr>
      <w:rPr>
        <w:rFonts w:hint="default"/>
        <w:b w:val="0"/>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23715087"/>
    <w:multiLevelType w:val="multilevel"/>
    <w:tmpl w:val="CFF21246"/>
    <w:numStyleLink w:val="Style1"/>
  </w:abstractNum>
  <w:abstractNum w:abstractNumId="12" w15:restartNumberingAfterBreak="0">
    <w:nsid w:val="24464539"/>
    <w:multiLevelType w:val="hybridMultilevel"/>
    <w:tmpl w:val="DE4A35DA"/>
    <w:lvl w:ilvl="0" w:tplc="C2420F38">
      <w:start w:val="3"/>
      <w:numFmt w:val="decimal"/>
      <w:lvlText w:val="(%1)"/>
      <w:lvlJc w:val="left"/>
      <w:pPr>
        <w:ind w:left="108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24CE2456"/>
    <w:multiLevelType w:val="hybridMultilevel"/>
    <w:tmpl w:val="4E9059D4"/>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4" w15:restartNumberingAfterBreak="0">
    <w:nsid w:val="27AA4DE9"/>
    <w:multiLevelType w:val="hybridMultilevel"/>
    <w:tmpl w:val="72B60D00"/>
    <w:lvl w:ilvl="0" w:tplc="E066300A">
      <w:start w:val="2"/>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83660D2"/>
    <w:multiLevelType w:val="hybridMultilevel"/>
    <w:tmpl w:val="5E485FE0"/>
    <w:lvl w:ilvl="0" w:tplc="DA743D0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2AF8361C"/>
    <w:multiLevelType w:val="hybridMultilevel"/>
    <w:tmpl w:val="4268F916"/>
    <w:lvl w:ilvl="0" w:tplc="0E120D36">
      <w:start w:val="3"/>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E261101"/>
    <w:multiLevelType w:val="multilevel"/>
    <w:tmpl w:val="FF981042"/>
    <w:styleLink w:val="TOCBodyText"/>
    <w:lvl w:ilvl="0">
      <w:start w:val="1"/>
      <w:numFmt w:val="decimal"/>
      <w:lvlText w:val="%1."/>
      <w:lvlJc w:val="left"/>
      <w:pPr>
        <w:ind w:left="1170" w:hanging="360"/>
      </w:pPr>
      <w:rPr>
        <w:rFonts w:ascii="Times New Roman" w:hAnsi="Times New Roman" w:cs="Times New Roman" w:hint="default"/>
        <w:b/>
        <w:bCs/>
        <w:i w:val="0"/>
        <w:iCs w:val="0"/>
        <w:caps w:val="0"/>
        <w:smallCaps/>
        <w:strike w:val="0"/>
        <w:dstrike w:val="0"/>
        <w:noProof w:val="0"/>
        <w:vanish w:val="0"/>
        <w:color w:val="000000"/>
        <w:spacing w:val="0"/>
        <w:kern w:val="0"/>
        <w:position w:val="0"/>
        <w:sz w:val="28"/>
        <w:u w:val="none"/>
        <w:effect w:val="none"/>
        <w:vertAlign w:val="baseline"/>
        <w:em w:val="none"/>
        <w:specVanish w:val="0"/>
      </w:rPr>
    </w:lvl>
    <w:lvl w:ilvl="1">
      <w:start w:val="1"/>
      <w:numFmt w:val="decimal"/>
      <w:lvlText w:val="%1.%2"/>
      <w:lvlJc w:val="left"/>
      <w:pPr>
        <w:ind w:left="1651" w:hanging="360"/>
      </w:pPr>
      <w:rPr>
        <w:rFonts w:ascii="Times New Roman" w:hAnsi="Times New Roman" w:hint="default"/>
        <w:b/>
        <w:bCs w:val="0"/>
        <w:i w:val="0"/>
        <w:caps w:val="0"/>
        <w:smallCaps w:val="0"/>
        <w:sz w:val="24"/>
      </w:rPr>
    </w:lvl>
    <w:lvl w:ilvl="2">
      <w:start w:val="1"/>
      <w:numFmt w:val="decimal"/>
      <w:lvlText w:val="%1.%2.%3"/>
      <w:lvlJc w:val="left"/>
      <w:pPr>
        <w:tabs>
          <w:tab w:val="num" w:pos="2028"/>
        </w:tabs>
        <w:ind w:left="1894" w:hanging="360"/>
      </w:pPr>
      <w:rPr>
        <w:rFonts w:ascii="Times New Roman" w:hAnsi="Times New Roman" w:hint="default"/>
        <w:b w:val="0"/>
        <w:bCs/>
        <w:sz w:val="24"/>
      </w:rPr>
    </w:lvl>
    <w:lvl w:ilvl="3">
      <w:start w:val="1"/>
      <w:numFmt w:val="decimal"/>
      <w:lvlText w:val="(%4)"/>
      <w:lvlJc w:val="left"/>
      <w:pPr>
        <w:ind w:left="2254" w:hanging="360"/>
      </w:pPr>
      <w:rPr>
        <w:rFonts w:hint="default"/>
        <w:b w:val="0"/>
      </w:rPr>
    </w:lvl>
    <w:lvl w:ilvl="4">
      <w:start w:val="1"/>
      <w:numFmt w:val="lowerLetter"/>
      <w:lvlText w:val="(%5)"/>
      <w:lvlJc w:val="left"/>
      <w:pPr>
        <w:ind w:left="2614" w:hanging="360"/>
      </w:pPr>
      <w:rPr>
        <w:rFonts w:hint="default"/>
      </w:rPr>
    </w:lvl>
    <w:lvl w:ilvl="5">
      <w:start w:val="1"/>
      <w:numFmt w:val="lowerRoman"/>
      <w:lvlText w:val="(%6)"/>
      <w:lvlJc w:val="left"/>
      <w:pPr>
        <w:ind w:left="1678" w:firstLine="936"/>
      </w:pPr>
      <w:rPr>
        <w:rFonts w:hint="default"/>
      </w:rPr>
    </w:lvl>
    <w:lvl w:ilvl="6">
      <w:start w:val="1"/>
      <w:numFmt w:val="decimal"/>
      <w:lvlText w:val="%7."/>
      <w:lvlJc w:val="left"/>
      <w:pPr>
        <w:ind w:left="3334" w:hanging="360"/>
      </w:pPr>
      <w:rPr>
        <w:rFonts w:hint="default"/>
      </w:rPr>
    </w:lvl>
    <w:lvl w:ilvl="7">
      <w:start w:val="1"/>
      <w:numFmt w:val="lowerLetter"/>
      <w:lvlText w:val="%8."/>
      <w:lvlJc w:val="left"/>
      <w:pPr>
        <w:ind w:left="3694" w:hanging="360"/>
      </w:pPr>
      <w:rPr>
        <w:rFonts w:hint="default"/>
      </w:rPr>
    </w:lvl>
    <w:lvl w:ilvl="8">
      <w:start w:val="1"/>
      <w:numFmt w:val="lowerRoman"/>
      <w:lvlText w:val="%9."/>
      <w:lvlJc w:val="left"/>
      <w:pPr>
        <w:ind w:left="4054" w:hanging="360"/>
      </w:pPr>
      <w:rPr>
        <w:rFonts w:hint="default"/>
      </w:rPr>
    </w:lvl>
  </w:abstractNum>
  <w:abstractNum w:abstractNumId="18" w15:restartNumberingAfterBreak="0">
    <w:nsid w:val="32633016"/>
    <w:multiLevelType w:val="multilevel"/>
    <w:tmpl w:val="7ECE2826"/>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sz w:val="24"/>
        <w:szCs w:val="28"/>
      </w:rPr>
    </w:lvl>
    <w:lvl w:ilvl="2">
      <w:start w:val="1"/>
      <w:numFmt w:val="decimal"/>
      <w:pStyle w:val="Heading3"/>
      <w:lvlText w:val="%1.%2.%3"/>
      <w:lvlJc w:val="left"/>
      <w:pPr>
        <w:ind w:left="720" w:hanging="720"/>
      </w:pPr>
      <w:rPr>
        <w:rFonts w:hint="default"/>
        <w:i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357F184E"/>
    <w:multiLevelType w:val="hybridMultilevel"/>
    <w:tmpl w:val="54BC20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5832159"/>
    <w:multiLevelType w:val="hybridMultilevel"/>
    <w:tmpl w:val="196484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7A15D77"/>
    <w:multiLevelType w:val="hybridMultilevel"/>
    <w:tmpl w:val="41EAF890"/>
    <w:lvl w:ilvl="0" w:tplc="DA24553C">
      <w:start w:val="2"/>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15:restartNumberingAfterBreak="0">
    <w:nsid w:val="39B341E5"/>
    <w:multiLevelType w:val="hybridMultilevel"/>
    <w:tmpl w:val="54B28C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2865BB8"/>
    <w:multiLevelType w:val="hybridMultilevel"/>
    <w:tmpl w:val="E878E7DA"/>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4" w15:restartNumberingAfterBreak="0">
    <w:nsid w:val="48011E82"/>
    <w:multiLevelType w:val="hybridMultilevel"/>
    <w:tmpl w:val="20F23E86"/>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5" w15:restartNumberingAfterBreak="0">
    <w:nsid w:val="49D24176"/>
    <w:multiLevelType w:val="hybridMultilevel"/>
    <w:tmpl w:val="34F62D3A"/>
    <w:lvl w:ilvl="0" w:tplc="963043D4">
      <w:start w:val="1"/>
      <w:numFmt w:val="lowerLetter"/>
      <w:lvlText w:val="(%1)"/>
      <w:lvlJc w:val="lef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15:restartNumberingAfterBreak="0">
    <w:nsid w:val="4A542C5F"/>
    <w:multiLevelType w:val="hybridMultilevel"/>
    <w:tmpl w:val="0D6671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AFE3017"/>
    <w:multiLevelType w:val="hybridMultilevel"/>
    <w:tmpl w:val="2086304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15:restartNumberingAfterBreak="0">
    <w:nsid w:val="54F80381"/>
    <w:multiLevelType w:val="hybridMultilevel"/>
    <w:tmpl w:val="3B9409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7647258"/>
    <w:multiLevelType w:val="hybridMultilevel"/>
    <w:tmpl w:val="6DE8E96E"/>
    <w:lvl w:ilvl="0" w:tplc="467E9BDC">
      <w:start w:val="5"/>
      <w:numFmt w:val="decimal"/>
      <w:lvlText w:val="(%1)"/>
      <w:lvlJc w:val="left"/>
      <w:pPr>
        <w:ind w:left="108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15:restartNumberingAfterBreak="0">
    <w:nsid w:val="57BA5210"/>
    <w:multiLevelType w:val="multilevel"/>
    <w:tmpl w:val="83FA9BAE"/>
    <w:styleLink w:val="Style3"/>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8F85B81"/>
    <w:multiLevelType w:val="hybridMultilevel"/>
    <w:tmpl w:val="38AEBC6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2" w15:restartNumberingAfterBreak="0">
    <w:nsid w:val="5AA22FC0"/>
    <w:multiLevelType w:val="hybridMultilevel"/>
    <w:tmpl w:val="1518770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15:restartNumberingAfterBreak="0">
    <w:nsid w:val="5B7D1EC8"/>
    <w:multiLevelType w:val="multilevel"/>
    <w:tmpl w:val="2ACC58D2"/>
    <w:styleLink w:val="Style4"/>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24A7D89"/>
    <w:multiLevelType w:val="hybridMultilevel"/>
    <w:tmpl w:val="709EE3DE"/>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5" w15:restartNumberingAfterBreak="0">
    <w:nsid w:val="6852598E"/>
    <w:multiLevelType w:val="hybridMultilevel"/>
    <w:tmpl w:val="CB702324"/>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6" w15:restartNumberingAfterBreak="0">
    <w:nsid w:val="6C1B0FA2"/>
    <w:multiLevelType w:val="hybridMultilevel"/>
    <w:tmpl w:val="B776B246"/>
    <w:lvl w:ilvl="0" w:tplc="3B10202E">
      <w:start w:val="4"/>
      <w:numFmt w:val="decimal"/>
      <w:lvlText w:val="(%1)"/>
      <w:lvlJc w:val="left"/>
      <w:pPr>
        <w:ind w:left="108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7" w15:restartNumberingAfterBreak="0">
    <w:nsid w:val="6CD8714F"/>
    <w:multiLevelType w:val="hybridMultilevel"/>
    <w:tmpl w:val="8640C46C"/>
    <w:lvl w:ilvl="0" w:tplc="10090001">
      <w:start w:val="1"/>
      <w:numFmt w:val="bullet"/>
      <w:lvlText w:val=""/>
      <w:lvlJc w:val="left"/>
      <w:pPr>
        <w:ind w:left="1080" w:hanging="360"/>
      </w:pPr>
      <w:rPr>
        <w:rFonts w:ascii="Symbol" w:hAnsi="Symbol" w:hint="default"/>
      </w:rPr>
    </w:lvl>
    <w:lvl w:ilvl="1" w:tplc="E7069552">
      <w:start w:val="8"/>
      <w:numFmt w:val="bullet"/>
      <w:lvlText w:val="—"/>
      <w:lvlJc w:val="left"/>
      <w:pPr>
        <w:ind w:left="1800" w:hanging="360"/>
      </w:pPr>
      <w:rPr>
        <w:rFonts w:ascii="Calibri" w:eastAsiaTheme="minorHAnsi" w:hAnsi="Calibri" w:cstheme="minorBidi"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8" w15:restartNumberingAfterBreak="0">
    <w:nsid w:val="70E24B17"/>
    <w:multiLevelType w:val="hybridMultilevel"/>
    <w:tmpl w:val="E098C12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9" w15:restartNumberingAfterBreak="0">
    <w:nsid w:val="75A931A9"/>
    <w:multiLevelType w:val="multilevel"/>
    <w:tmpl w:val="8244F302"/>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DF7F70"/>
    <w:multiLevelType w:val="hybridMultilevel"/>
    <w:tmpl w:val="A42E0A1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CE816FD"/>
    <w:multiLevelType w:val="hybridMultilevel"/>
    <w:tmpl w:val="439C27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7"/>
  </w:num>
  <w:num w:numId="2">
    <w:abstractNumId w:val="18"/>
  </w:num>
  <w:num w:numId="3">
    <w:abstractNumId w:val="21"/>
  </w:num>
  <w:num w:numId="4">
    <w:abstractNumId w:val="9"/>
  </w:num>
  <w:num w:numId="5">
    <w:abstractNumId w:val="19"/>
  </w:num>
  <w:num w:numId="6">
    <w:abstractNumId w:val="26"/>
  </w:num>
  <w:num w:numId="7">
    <w:abstractNumId w:val="15"/>
  </w:num>
  <w:num w:numId="8">
    <w:abstractNumId w:val="5"/>
  </w:num>
  <w:num w:numId="9">
    <w:abstractNumId w:val="8"/>
  </w:num>
  <w:num w:numId="10">
    <w:abstractNumId w:val="2"/>
  </w:num>
  <w:num w:numId="11">
    <w:abstractNumId w:val="12"/>
  </w:num>
  <w:num w:numId="12">
    <w:abstractNumId w:val="13"/>
  </w:num>
  <w:num w:numId="13">
    <w:abstractNumId w:val="36"/>
  </w:num>
  <w:num w:numId="14">
    <w:abstractNumId w:val="24"/>
  </w:num>
  <w:num w:numId="15">
    <w:abstractNumId w:val="29"/>
  </w:num>
  <w:num w:numId="16">
    <w:abstractNumId w:val="3"/>
  </w:num>
  <w:num w:numId="17">
    <w:abstractNumId w:val="7"/>
  </w:num>
  <w:num w:numId="18">
    <w:abstractNumId w:val="11"/>
    <w:lvlOverride w:ilvl="0">
      <w:lvl w:ilvl="0">
        <w:start w:val="1"/>
        <w:numFmt w:val="decimal"/>
        <w:lvlText w:val="%1."/>
        <w:lvlJc w:val="left"/>
        <w:pPr>
          <w:ind w:left="432" w:hanging="432"/>
        </w:pPr>
        <w:rPr>
          <w:rFonts w:ascii="Times New Roman" w:hAnsi="Times New Roman" w:hint="default"/>
          <w:color w:val="auto"/>
        </w:rPr>
      </w:lvl>
    </w:lvlOverride>
  </w:num>
  <w:num w:numId="19">
    <w:abstractNumId w:val="39"/>
  </w:num>
  <w:num w:numId="20">
    <w:abstractNumId w:val="41"/>
  </w:num>
  <w:num w:numId="21">
    <w:abstractNumId w:val="20"/>
  </w:num>
  <w:num w:numId="22">
    <w:abstractNumId w:val="32"/>
  </w:num>
  <w:num w:numId="23">
    <w:abstractNumId w:val="35"/>
  </w:num>
  <w:num w:numId="24">
    <w:abstractNumId w:val="37"/>
  </w:num>
  <w:num w:numId="25">
    <w:abstractNumId w:val="28"/>
  </w:num>
  <w:num w:numId="26">
    <w:abstractNumId w:val="6"/>
  </w:num>
  <w:num w:numId="27">
    <w:abstractNumId w:val="27"/>
  </w:num>
  <w:num w:numId="28">
    <w:abstractNumId w:val="31"/>
  </w:num>
  <w:num w:numId="29">
    <w:abstractNumId w:val="38"/>
  </w:num>
  <w:num w:numId="30">
    <w:abstractNumId w:val="4"/>
  </w:num>
  <w:num w:numId="31">
    <w:abstractNumId w:val="23"/>
  </w:num>
  <w:num w:numId="32">
    <w:abstractNumId w:val="16"/>
  </w:num>
  <w:num w:numId="33">
    <w:abstractNumId w:val="25"/>
  </w:num>
  <w:num w:numId="34">
    <w:abstractNumId w:val="10"/>
  </w:num>
  <w:num w:numId="35">
    <w:abstractNumId w:val="1"/>
  </w:num>
  <w:num w:numId="36">
    <w:abstractNumId w:val="30"/>
  </w:num>
  <w:num w:numId="37">
    <w:abstractNumId w:val="33"/>
  </w:num>
  <w:num w:numId="38">
    <w:abstractNumId w:val="22"/>
  </w:num>
  <w:num w:numId="39">
    <w:abstractNumId w:val="14"/>
  </w:num>
  <w:num w:numId="40">
    <w:abstractNumId w:val="40"/>
  </w:num>
  <w:num w:numId="41">
    <w:abstractNumId w:val="34"/>
  </w:num>
  <w:num w:numId="42">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evenAndOddHeaders/>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F7D"/>
    <w:rsid w:val="00002BC5"/>
    <w:rsid w:val="00003C8D"/>
    <w:rsid w:val="00011793"/>
    <w:rsid w:val="0001322B"/>
    <w:rsid w:val="00014883"/>
    <w:rsid w:val="00014E3E"/>
    <w:rsid w:val="00017705"/>
    <w:rsid w:val="00025638"/>
    <w:rsid w:val="000272A3"/>
    <w:rsid w:val="000361D9"/>
    <w:rsid w:val="0004120C"/>
    <w:rsid w:val="00041425"/>
    <w:rsid w:val="00042B0A"/>
    <w:rsid w:val="000547A0"/>
    <w:rsid w:val="0005677E"/>
    <w:rsid w:val="00060FCD"/>
    <w:rsid w:val="00061B4C"/>
    <w:rsid w:val="00061CFA"/>
    <w:rsid w:val="000658D6"/>
    <w:rsid w:val="00070ABE"/>
    <w:rsid w:val="000715E4"/>
    <w:rsid w:val="00072E0D"/>
    <w:rsid w:val="00075024"/>
    <w:rsid w:val="00075E8D"/>
    <w:rsid w:val="00076960"/>
    <w:rsid w:val="000867E0"/>
    <w:rsid w:val="00086D91"/>
    <w:rsid w:val="00090039"/>
    <w:rsid w:val="00090B09"/>
    <w:rsid w:val="000940B9"/>
    <w:rsid w:val="00095271"/>
    <w:rsid w:val="00097AF6"/>
    <w:rsid w:val="000A363C"/>
    <w:rsid w:val="000C3543"/>
    <w:rsid w:val="000C6D2C"/>
    <w:rsid w:val="000D6548"/>
    <w:rsid w:val="000E1DFF"/>
    <w:rsid w:val="000E426D"/>
    <w:rsid w:val="000E6701"/>
    <w:rsid w:val="000E764C"/>
    <w:rsid w:val="000E79B8"/>
    <w:rsid w:val="00100A83"/>
    <w:rsid w:val="0010443E"/>
    <w:rsid w:val="00104876"/>
    <w:rsid w:val="00104F96"/>
    <w:rsid w:val="0010538D"/>
    <w:rsid w:val="0010646A"/>
    <w:rsid w:val="001213D7"/>
    <w:rsid w:val="001255FE"/>
    <w:rsid w:val="001310EE"/>
    <w:rsid w:val="00131FFC"/>
    <w:rsid w:val="0013357E"/>
    <w:rsid w:val="0014440B"/>
    <w:rsid w:val="00144931"/>
    <w:rsid w:val="00145B2D"/>
    <w:rsid w:val="00145FCC"/>
    <w:rsid w:val="0014663A"/>
    <w:rsid w:val="00147593"/>
    <w:rsid w:val="001475C9"/>
    <w:rsid w:val="00151D5F"/>
    <w:rsid w:val="0015694D"/>
    <w:rsid w:val="00160EF3"/>
    <w:rsid w:val="00164087"/>
    <w:rsid w:val="00167A33"/>
    <w:rsid w:val="001741D8"/>
    <w:rsid w:val="001776A2"/>
    <w:rsid w:val="00180987"/>
    <w:rsid w:val="0019108D"/>
    <w:rsid w:val="0019399B"/>
    <w:rsid w:val="00193C3D"/>
    <w:rsid w:val="001953C1"/>
    <w:rsid w:val="00196437"/>
    <w:rsid w:val="00196FB1"/>
    <w:rsid w:val="001A00A8"/>
    <w:rsid w:val="001A11D0"/>
    <w:rsid w:val="001A6D93"/>
    <w:rsid w:val="001A795F"/>
    <w:rsid w:val="001B162F"/>
    <w:rsid w:val="001C2B65"/>
    <w:rsid w:val="001C6966"/>
    <w:rsid w:val="001C7C6E"/>
    <w:rsid w:val="001D04EE"/>
    <w:rsid w:val="001D1DCD"/>
    <w:rsid w:val="001D3D08"/>
    <w:rsid w:val="001D4ACF"/>
    <w:rsid w:val="001D70F6"/>
    <w:rsid w:val="001E10E6"/>
    <w:rsid w:val="001E1889"/>
    <w:rsid w:val="001E5383"/>
    <w:rsid w:val="001E625E"/>
    <w:rsid w:val="001F01D6"/>
    <w:rsid w:val="001F072E"/>
    <w:rsid w:val="001F2819"/>
    <w:rsid w:val="001F647A"/>
    <w:rsid w:val="00201DCC"/>
    <w:rsid w:val="002121DD"/>
    <w:rsid w:val="002139AE"/>
    <w:rsid w:val="00220975"/>
    <w:rsid w:val="002216C7"/>
    <w:rsid w:val="00223DF3"/>
    <w:rsid w:val="00227D9C"/>
    <w:rsid w:val="002354E4"/>
    <w:rsid w:val="0023639F"/>
    <w:rsid w:val="00237369"/>
    <w:rsid w:val="00237AA6"/>
    <w:rsid w:val="00241B2B"/>
    <w:rsid w:val="00245498"/>
    <w:rsid w:val="002512AB"/>
    <w:rsid w:val="00252611"/>
    <w:rsid w:val="0025475B"/>
    <w:rsid w:val="002549FA"/>
    <w:rsid w:val="0025508D"/>
    <w:rsid w:val="00260DA2"/>
    <w:rsid w:val="0026203C"/>
    <w:rsid w:val="00264372"/>
    <w:rsid w:val="00267207"/>
    <w:rsid w:val="002765E6"/>
    <w:rsid w:val="0028029D"/>
    <w:rsid w:val="002857D5"/>
    <w:rsid w:val="002A4E4A"/>
    <w:rsid w:val="002A720F"/>
    <w:rsid w:val="002A742C"/>
    <w:rsid w:val="002B0CD0"/>
    <w:rsid w:val="002B1A34"/>
    <w:rsid w:val="002B4379"/>
    <w:rsid w:val="002B5216"/>
    <w:rsid w:val="002B6181"/>
    <w:rsid w:val="002B723B"/>
    <w:rsid w:val="002B7CC1"/>
    <w:rsid w:val="002C0709"/>
    <w:rsid w:val="002C170C"/>
    <w:rsid w:val="002C1FE5"/>
    <w:rsid w:val="002C2331"/>
    <w:rsid w:val="002C2796"/>
    <w:rsid w:val="002C2F3E"/>
    <w:rsid w:val="002D0E6D"/>
    <w:rsid w:val="002D13AF"/>
    <w:rsid w:val="002D2F73"/>
    <w:rsid w:val="002E0186"/>
    <w:rsid w:val="002E2821"/>
    <w:rsid w:val="00303ED5"/>
    <w:rsid w:val="00304958"/>
    <w:rsid w:val="00305CDF"/>
    <w:rsid w:val="0030612A"/>
    <w:rsid w:val="00306952"/>
    <w:rsid w:val="00307D7B"/>
    <w:rsid w:val="003123CE"/>
    <w:rsid w:val="00313BA1"/>
    <w:rsid w:val="00314236"/>
    <w:rsid w:val="003156E2"/>
    <w:rsid w:val="0032091E"/>
    <w:rsid w:val="00321984"/>
    <w:rsid w:val="00322D82"/>
    <w:rsid w:val="00326E8B"/>
    <w:rsid w:val="00335318"/>
    <w:rsid w:val="003357C1"/>
    <w:rsid w:val="0033593D"/>
    <w:rsid w:val="00337B16"/>
    <w:rsid w:val="00341388"/>
    <w:rsid w:val="00343FCC"/>
    <w:rsid w:val="00344768"/>
    <w:rsid w:val="00351CD6"/>
    <w:rsid w:val="0035273A"/>
    <w:rsid w:val="00352B40"/>
    <w:rsid w:val="0035439F"/>
    <w:rsid w:val="003547C9"/>
    <w:rsid w:val="00356571"/>
    <w:rsid w:val="003579AF"/>
    <w:rsid w:val="00364AF3"/>
    <w:rsid w:val="00366782"/>
    <w:rsid w:val="00370637"/>
    <w:rsid w:val="003739E1"/>
    <w:rsid w:val="00375C7E"/>
    <w:rsid w:val="00376301"/>
    <w:rsid w:val="00377DCE"/>
    <w:rsid w:val="0038299C"/>
    <w:rsid w:val="00387355"/>
    <w:rsid w:val="003878C2"/>
    <w:rsid w:val="00391203"/>
    <w:rsid w:val="00396A7D"/>
    <w:rsid w:val="00397B6B"/>
    <w:rsid w:val="003A1219"/>
    <w:rsid w:val="003A19AD"/>
    <w:rsid w:val="003A6F0D"/>
    <w:rsid w:val="003B0D9A"/>
    <w:rsid w:val="003B378D"/>
    <w:rsid w:val="003B4AFC"/>
    <w:rsid w:val="003B7A75"/>
    <w:rsid w:val="003C1E23"/>
    <w:rsid w:val="003C4355"/>
    <w:rsid w:val="003C4F58"/>
    <w:rsid w:val="003C5308"/>
    <w:rsid w:val="003C58D8"/>
    <w:rsid w:val="003C62BB"/>
    <w:rsid w:val="003C7F67"/>
    <w:rsid w:val="003D0C17"/>
    <w:rsid w:val="003D5D8B"/>
    <w:rsid w:val="003E3D21"/>
    <w:rsid w:val="003F643B"/>
    <w:rsid w:val="003F7884"/>
    <w:rsid w:val="003F7C46"/>
    <w:rsid w:val="00400BFA"/>
    <w:rsid w:val="00406FDA"/>
    <w:rsid w:val="00407337"/>
    <w:rsid w:val="00407A76"/>
    <w:rsid w:val="00412366"/>
    <w:rsid w:val="0041279A"/>
    <w:rsid w:val="00420B61"/>
    <w:rsid w:val="004216C3"/>
    <w:rsid w:val="00426D53"/>
    <w:rsid w:val="004304A0"/>
    <w:rsid w:val="00433C58"/>
    <w:rsid w:val="004429BE"/>
    <w:rsid w:val="00442C62"/>
    <w:rsid w:val="004463B1"/>
    <w:rsid w:val="0044661E"/>
    <w:rsid w:val="00446979"/>
    <w:rsid w:val="00450B90"/>
    <w:rsid w:val="00453312"/>
    <w:rsid w:val="00454DBA"/>
    <w:rsid w:val="00455BBD"/>
    <w:rsid w:val="004567AD"/>
    <w:rsid w:val="0045768B"/>
    <w:rsid w:val="00465010"/>
    <w:rsid w:val="004666A1"/>
    <w:rsid w:val="00467F9B"/>
    <w:rsid w:val="00473214"/>
    <w:rsid w:val="00473D36"/>
    <w:rsid w:val="004754E1"/>
    <w:rsid w:val="00476E07"/>
    <w:rsid w:val="00481DBE"/>
    <w:rsid w:val="00482AA0"/>
    <w:rsid w:val="004851DD"/>
    <w:rsid w:val="00486643"/>
    <w:rsid w:val="004866B2"/>
    <w:rsid w:val="004870E1"/>
    <w:rsid w:val="004877C9"/>
    <w:rsid w:val="0048784E"/>
    <w:rsid w:val="004907FB"/>
    <w:rsid w:val="00491181"/>
    <w:rsid w:val="00492A3B"/>
    <w:rsid w:val="004948B1"/>
    <w:rsid w:val="004950B4"/>
    <w:rsid w:val="004958B8"/>
    <w:rsid w:val="004A3F4C"/>
    <w:rsid w:val="004B21F5"/>
    <w:rsid w:val="004B730E"/>
    <w:rsid w:val="004C3293"/>
    <w:rsid w:val="004C585B"/>
    <w:rsid w:val="004D13A4"/>
    <w:rsid w:val="004D1766"/>
    <w:rsid w:val="004D2291"/>
    <w:rsid w:val="004D3462"/>
    <w:rsid w:val="004D3795"/>
    <w:rsid w:val="004E4752"/>
    <w:rsid w:val="004E5D8C"/>
    <w:rsid w:val="004F0063"/>
    <w:rsid w:val="004F6277"/>
    <w:rsid w:val="004F6EF8"/>
    <w:rsid w:val="00502502"/>
    <w:rsid w:val="0051320B"/>
    <w:rsid w:val="0051387B"/>
    <w:rsid w:val="0051778D"/>
    <w:rsid w:val="00517F6F"/>
    <w:rsid w:val="005200F2"/>
    <w:rsid w:val="00521CF0"/>
    <w:rsid w:val="0052405B"/>
    <w:rsid w:val="005271B5"/>
    <w:rsid w:val="005334D9"/>
    <w:rsid w:val="0054127A"/>
    <w:rsid w:val="00541DD6"/>
    <w:rsid w:val="0054499B"/>
    <w:rsid w:val="005454BB"/>
    <w:rsid w:val="005534A1"/>
    <w:rsid w:val="00554AF1"/>
    <w:rsid w:val="005551A5"/>
    <w:rsid w:val="00561EA7"/>
    <w:rsid w:val="005632DF"/>
    <w:rsid w:val="00572F3E"/>
    <w:rsid w:val="0057400E"/>
    <w:rsid w:val="00580DA6"/>
    <w:rsid w:val="005830EF"/>
    <w:rsid w:val="005923F3"/>
    <w:rsid w:val="0059469D"/>
    <w:rsid w:val="005950CC"/>
    <w:rsid w:val="0059516D"/>
    <w:rsid w:val="005A0D3C"/>
    <w:rsid w:val="005A167C"/>
    <w:rsid w:val="005A3A50"/>
    <w:rsid w:val="005A3DC9"/>
    <w:rsid w:val="005B01E2"/>
    <w:rsid w:val="005B2073"/>
    <w:rsid w:val="005B3ADE"/>
    <w:rsid w:val="005B62B5"/>
    <w:rsid w:val="005B666B"/>
    <w:rsid w:val="005B7913"/>
    <w:rsid w:val="005C0736"/>
    <w:rsid w:val="005C223B"/>
    <w:rsid w:val="005C6AF4"/>
    <w:rsid w:val="005D7CF3"/>
    <w:rsid w:val="005D7DE5"/>
    <w:rsid w:val="005E0D52"/>
    <w:rsid w:val="005E17F5"/>
    <w:rsid w:val="005E54CD"/>
    <w:rsid w:val="005E6FF0"/>
    <w:rsid w:val="005F0632"/>
    <w:rsid w:val="005F5A60"/>
    <w:rsid w:val="00600FE5"/>
    <w:rsid w:val="00604670"/>
    <w:rsid w:val="00613785"/>
    <w:rsid w:val="00616AC4"/>
    <w:rsid w:val="00617B91"/>
    <w:rsid w:val="006202CE"/>
    <w:rsid w:val="0062049F"/>
    <w:rsid w:val="006218A8"/>
    <w:rsid w:val="00622318"/>
    <w:rsid w:val="006241D8"/>
    <w:rsid w:val="00625009"/>
    <w:rsid w:val="00631B48"/>
    <w:rsid w:val="00634014"/>
    <w:rsid w:val="006354E6"/>
    <w:rsid w:val="006373E4"/>
    <w:rsid w:val="0064047D"/>
    <w:rsid w:val="00641F43"/>
    <w:rsid w:val="006529AD"/>
    <w:rsid w:val="00655753"/>
    <w:rsid w:val="00656953"/>
    <w:rsid w:val="00660227"/>
    <w:rsid w:val="006636C9"/>
    <w:rsid w:val="00666470"/>
    <w:rsid w:val="006702C1"/>
    <w:rsid w:val="00673FA7"/>
    <w:rsid w:val="006774DB"/>
    <w:rsid w:val="00686F58"/>
    <w:rsid w:val="0069263C"/>
    <w:rsid w:val="006929A9"/>
    <w:rsid w:val="00695B3E"/>
    <w:rsid w:val="00696C1E"/>
    <w:rsid w:val="006A0F63"/>
    <w:rsid w:val="006A32E7"/>
    <w:rsid w:val="006A6474"/>
    <w:rsid w:val="006A67F0"/>
    <w:rsid w:val="006A6A3F"/>
    <w:rsid w:val="006B08B9"/>
    <w:rsid w:val="006B45AF"/>
    <w:rsid w:val="006B57DC"/>
    <w:rsid w:val="006B5D62"/>
    <w:rsid w:val="006C0E19"/>
    <w:rsid w:val="006C1DD6"/>
    <w:rsid w:val="006D082E"/>
    <w:rsid w:val="006D3537"/>
    <w:rsid w:val="006D5889"/>
    <w:rsid w:val="006D6C86"/>
    <w:rsid w:val="006E02CD"/>
    <w:rsid w:val="006E1DA8"/>
    <w:rsid w:val="006E205A"/>
    <w:rsid w:val="006E4ED9"/>
    <w:rsid w:val="006E6952"/>
    <w:rsid w:val="006F7496"/>
    <w:rsid w:val="007008FB"/>
    <w:rsid w:val="00700E04"/>
    <w:rsid w:val="00703056"/>
    <w:rsid w:val="007031DB"/>
    <w:rsid w:val="00714858"/>
    <w:rsid w:val="00726CD9"/>
    <w:rsid w:val="00731841"/>
    <w:rsid w:val="00732161"/>
    <w:rsid w:val="00737150"/>
    <w:rsid w:val="00742A13"/>
    <w:rsid w:val="00743BB7"/>
    <w:rsid w:val="00746DB4"/>
    <w:rsid w:val="007473A8"/>
    <w:rsid w:val="007534D6"/>
    <w:rsid w:val="00754C73"/>
    <w:rsid w:val="0075650E"/>
    <w:rsid w:val="00763AD2"/>
    <w:rsid w:val="00770B3E"/>
    <w:rsid w:val="00770E2D"/>
    <w:rsid w:val="00774558"/>
    <w:rsid w:val="00775F6E"/>
    <w:rsid w:val="00776641"/>
    <w:rsid w:val="00783139"/>
    <w:rsid w:val="00790753"/>
    <w:rsid w:val="007945B8"/>
    <w:rsid w:val="00794A30"/>
    <w:rsid w:val="007A0E02"/>
    <w:rsid w:val="007A1272"/>
    <w:rsid w:val="007A427A"/>
    <w:rsid w:val="007A42D8"/>
    <w:rsid w:val="007C2F54"/>
    <w:rsid w:val="007C5553"/>
    <w:rsid w:val="007C7893"/>
    <w:rsid w:val="007D496A"/>
    <w:rsid w:val="007E3524"/>
    <w:rsid w:val="007E4E80"/>
    <w:rsid w:val="007F1575"/>
    <w:rsid w:val="00801B9B"/>
    <w:rsid w:val="008102F9"/>
    <w:rsid w:val="00813247"/>
    <w:rsid w:val="00813704"/>
    <w:rsid w:val="0081411F"/>
    <w:rsid w:val="0081556E"/>
    <w:rsid w:val="00817B1C"/>
    <w:rsid w:val="0082070E"/>
    <w:rsid w:val="00823618"/>
    <w:rsid w:val="00824B01"/>
    <w:rsid w:val="00827F7D"/>
    <w:rsid w:val="0083748E"/>
    <w:rsid w:val="0084778D"/>
    <w:rsid w:val="008478EB"/>
    <w:rsid w:val="00847966"/>
    <w:rsid w:val="00850A66"/>
    <w:rsid w:val="00854FBC"/>
    <w:rsid w:val="00855CAA"/>
    <w:rsid w:val="00860530"/>
    <w:rsid w:val="00866AC3"/>
    <w:rsid w:val="008744BC"/>
    <w:rsid w:val="00884B20"/>
    <w:rsid w:val="00884B65"/>
    <w:rsid w:val="0088582B"/>
    <w:rsid w:val="00890C84"/>
    <w:rsid w:val="00893312"/>
    <w:rsid w:val="008952D0"/>
    <w:rsid w:val="008952E0"/>
    <w:rsid w:val="008A35BF"/>
    <w:rsid w:val="008A3D75"/>
    <w:rsid w:val="008A5534"/>
    <w:rsid w:val="008A5B72"/>
    <w:rsid w:val="008A6240"/>
    <w:rsid w:val="008A64A2"/>
    <w:rsid w:val="008A74BD"/>
    <w:rsid w:val="008B0B2B"/>
    <w:rsid w:val="008B1A8A"/>
    <w:rsid w:val="008B40AF"/>
    <w:rsid w:val="008B557C"/>
    <w:rsid w:val="008B618E"/>
    <w:rsid w:val="008C207F"/>
    <w:rsid w:val="008C2888"/>
    <w:rsid w:val="008C5E70"/>
    <w:rsid w:val="008D24CE"/>
    <w:rsid w:val="008D4A7D"/>
    <w:rsid w:val="008E2F29"/>
    <w:rsid w:val="008E3DB5"/>
    <w:rsid w:val="008F0930"/>
    <w:rsid w:val="008F5EB3"/>
    <w:rsid w:val="008F5FCE"/>
    <w:rsid w:val="00900C0C"/>
    <w:rsid w:val="00901230"/>
    <w:rsid w:val="00901EF3"/>
    <w:rsid w:val="00902D66"/>
    <w:rsid w:val="0090634A"/>
    <w:rsid w:val="00914590"/>
    <w:rsid w:val="0091478E"/>
    <w:rsid w:val="009149F4"/>
    <w:rsid w:val="00924510"/>
    <w:rsid w:val="00924A66"/>
    <w:rsid w:val="009251C7"/>
    <w:rsid w:val="00927310"/>
    <w:rsid w:val="00934B43"/>
    <w:rsid w:val="00935162"/>
    <w:rsid w:val="0095163F"/>
    <w:rsid w:val="00954FA8"/>
    <w:rsid w:val="00961F0F"/>
    <w:rsid w:val="0096472E"/>
    <w:rsid w:val="009649F1"/>
    <w:rsid w:val="0096575C"/>
    <w:rsid w:val="009657C8"/>
    <w:rsid w:val="00971915"/>
    <w:rsid w:val="00972431"/>
    <w:rsid w:val="0097262D"/>
    <w:rsid w:val="009906D7"/>
    <w:rsid w:val="00997B2A"/>
    <w:rsid w:val="009A5009"/>
    <w:rsid w:val="009A5344"/>
    <w:rsid w:val="009B06EA"/>
    <w:rsid w:val="009B1D75"/>
    <w:rsid w:val="009B5824"/>
    <w:rsid w:val="009B59C3"/>
    <w:rsid w:val="009B7906"/>
    <w:rsid w:val="009C3E2E"/>
    <w:rsid w:val="009C7927"/>
    <w:rsid w:val="009D302C"/>
    <w:rsid w:val="009D3B31"/>
    <w:rsid w:val="009E769F"/>
    <w:rsid w:val="00A02E68"/>
    <w:rsid w:val="00A0388C"/>
    <w:rsid w:val="00A06DDE"/>
    <w:rsid w:val="00A11415"/>
    <w:rsid w:val="00A172F0"/>
    <w:rsid w:val="00A2049F"/>
    <w:rsid w:val="00A22FA7"/>
    <w:rsid w:val="00A231D0"/>
    <w:rsid w:val="00A2774F"/>
    <w:rsid w:val="00A332B3"/>
    <w:rsid w:val="00A34FE5"/>
    <w:rsid w:val="00A367DD"/>
    <w:rsid w:val="00A438C7"/>
    <w:rsid w:val="00A448C6"/>
    <w:rsid w:val="00A44E1C"/>
    <w:rsid w:val="00A504D6"/>
    <w:rsid w:val="00A5495A"/>
    <w:rsid w:val="00A55061"/>
    <w:rsid w:val="00A606C0"/>
    <w:rsid w:val="00A719E7"/>
    <w:rsid w:val="00A7265C"/>
    <w:rsid w:val="00A74239"/>
    <w:rsid w:val="00A743FC"/>
    <w:rsid w:val="00A856D0"/>
    <w:rsid w:val="00A85FD7"/>
    <w:rsid w:val="00A86E3A"/>
    <w:rsid w:val="00A87773"/>
    <w:rsid w:val="00A975A5"/>
    <w:rsid w:val="00AA1285"/>
    <w:rsid w:val="00AA642C"/>
    <w:rsid w:val="00AB0423"/>
    <w:rsid w:val="00AB0C34"/>
    <w:rsid w:val="00AB4F47"/>
    <w:rsid w:val="00AB5C95"/>
    <w:rsid w:val="00AB6458"/>
    <w:rsid w:val="00AB7648"/>
    <w:rsid w:val="00AC0B32"/>
    <w:rsid w:val="00AC0D5D"/>
    <w:rsid w:val="00AC161C"/>
    <w:rsid w:val="00AC1E51"/>
    <w:rsid w:val="00AC23E6"/>
    <w:rsid w:val="00AC376C"/>
    <w:rsid w:val="00AC3C2D"/>
    <w:rsid w:val="00AC3F41"/>
    <w:rsid w:val="00AC4944"/>
    <w:rsid w:val="00AD0C4D"/>
    <w:rsid w:val="00AD1828"/>
    <w:rsid w:val="00AD2481"/>
    <w:rsid w:val="00AD3768"/>
    <w:rsid w:val="00AD3985"/>
    <w:rsid w:val="00AD6FAA"/>
    <w:rsid w:val="00AE1AFC"/>
    <w:rsid w:val="00AF02E8"/>
    <w:rsid w:val="00B07D25"/>
    <w:rsid w:val="00B109D2"/>
    <w:rsid w:val="00B126B1"/>
    <w:rsid w:val="00B177FD"/>
    <w:rsid w:val="00B2418F"/>
    <w:rsid w:val="00B25B04"/>
    <w:rsid w:val="00B36F6E"/>
    <w:rsid w:val="00B379D0"/>
    <w:rsid w:val="00B445D2"/>
    <w:rsid w:val="00B4560B"/>
    <w:rsid w:val="00B47620"/>
    <w:rsid w:val="00B47A9A"/>
    <w:rsid w:val="00B552B5"/>
    <w:rsid w:val="00B56EF4"/>
    <w:rsid w:val="00B61B14"/>
    <w:rsid w:val="00B709FD"/>
    <w:rsid w:val="00B73A4E"/>
    <w:rsid w:val="00B7638A"/>
    <w:rsid w:val="00B76729"/>
    <w:rsid w:val="00B77C01"/>
    <w:rsid w:val="00B81940"/>
    <w:rsid w:val="00B81CF3"/>
    <w:rsid w:val="00B84AA6"/>
    <w:rsid w:val="00B874A9"/>
    <w:rsid w:val="00B908A9"/>
    <w:rsid w:val="00B94DC0"/>
    <w:rsid w:val="00B97145"/>
    <w:rsid w:val="00BA3DAE"/>
    <w:rsid w:val="00BA46FD"/>
    <w:rsid w:val="00BA6736"/>
    <w:rsid w:val="00BB217B"/>
    <w:rsid w:val="00BB3384"/>
    <w:rsid w:val="00BB3D24"/>
    <w:rsid w:val="00BB585E"/>
    <w:rsid w:val="00BB6DDF"/>
    <w:rsid w:val="00BB7FA9"/>
    <w:rsid w:val="00BC5F37"/>
    <w:rsid w:val="00BC63D2"/>
    <w:rsid w:val="00BC6C51"/>
    <w:rsid w:val="00BD047E"/>
    <w:rsid w:val="00BE60A2"/>
    <w:rsid w:val="00BE67A2"/>
    <w:rsid w:val="00BF0227"/>
    <w:rsid w:val="00BF0988"/>
    <w:rsid w:val="00BF09B1"/>
    <w:rsid w:val="00BF359A"/>
    <w:rsid w:val="00BF6FEB"/>
    <w:rsid w:val="00BF725A"/>
    <w:rsid w:val="00C04E58"/>
    <w:rsid w:val="00C11C86"/>
    <w:rsid w:val="00C1727B"/>
    <w:rsid w:val="00C233A4"/>
    <w:rsid w:val="00C244E2"/>
    <w:rsid w:val="00C37F7F"/>
    <w:rsid w:val="00C424E0"/>
    <w:rsid w:val="00C46524"/>
    <w:rsid w:val="00C514B4"/>
    <w:rsid w:val="00C55323"/>
    <w:rsid w:val="00C55C61"/>
    <w:rsid w:val="00C604B7"/>
    <w:rsid w:val="00C61982"/>
    <w:rsid w:val="00C63EAD"/>
    <w:rsid w:val="00C74000"/>
    <w:rsid w:val="00C7477C"/>
    <w:rsid w:val="00C77981"/>
    <w:rsid w:val="00C82664"/>
    <w:rsid w:val="00C85FCC"/>
    <w:rsid w:val="00C90AB6"/>
    <w:rsid w:val="00C90F4A"/>
    <w:rsid w:val="00C915D7"/>
    <w:rsid w:val="00C916BD"/>
    <w:rsid w:val="00C9296A"/>
    <w:rsid w:val="00C97F66"/>
    <w:rsid w:val="00CA02D0"/>
    <w:rsid w:val="00CA181F"/>
    <w:rsid w:val="00CA1F7F"/>
    <w:rsid w:val="00CA36E5"/>
    <w:rsid w:val="00CA65CC"/>
    <w:rsid w:val="00CA6B42"/>
    <w:rsid w:val="00CB4066"/>
    <w:rsid w:val="00CB4161"/>
    <w:rsid w:val="00CB6E4A"/>
    <w:rsid w:val="00CC347B"/>
    <w:rsid w:val="00CC44C5"/>
    <w:rsid w:val="00CC5FF5"/>
    <w:rsid w:val="00CC6BA7"/>
    <w:rsid w:val="00CD4E28"/>
    <w:rsid w:val="00CD5DBE"/>
    <w:rsid w:val="00CE1469"/>
    <w:rsid w:val="00CF06B6"/>
    <w:rsid w:val="00CF1748"/>
    <w:rsid w:val="00CF4ECB"/>
    <w:rsid w:val="00CF6767"/>
    <w:rsid w:val="00CF7170"/>
    <w:rsid w:val="00CF76F6"/>
    <w:rsid w:val="00D00A13"/>
    <w:rsid w:val="00D013CB"/>
    <w:rsid w:val="00D02746"/>
    <w:rsid w:val="00D07E53"/>
    <w:rsid w:val="00D13071"/>
    <w:rsid w:val="00D13A6C"/>
    <w:rsid w:val="00D14A5F"/>
    <w:rsid w:val="00D16438"/>
    <w:rsid w:val="00D214ED"/>
    <w:rsid w:val="00D220B9"/>
    <w:rsid w:val="00D23568"/>
    <w:rsid w:val="00D27289"/>
    <w:rsid w:val="00D32E47"/>
    <w:rsid w:val="00D35E20"/>
    <w:rsid w:val="00D360E9"/>
    <w:rsid w:val="00D360FD"/>
    <w:rsid w:val="00D40254"/>
    <w:rsid w:val="00D4162C"/>
    <w:rsid w:val="00D44726"/>
    <w:rsid w:val="00D47C23"/>
    <w:rsid w:val="00D50170"/>
    <w:rsid w:val="00D50827"/>
    <w:rsid w:val="00D50CF1"/>
    <w:rsid w:val="00D56AC1"/>
    <w:rsid w:val="00D57AFD"/>
    <w:rsid w:val="00D61A74"/>
    <w:rsid w:val="00D62730"/>
    <w:rsid w:val="00D6361A"/>
    <w:rsid w:val="00D6477D"/>
    <w:rsid w:val="00D6608A"/>
    <w:rsid w:val="00D665D3"/>
    <w:rsid w:val="00D72F20"/>
    <w:rsid w:val="00D856CB"/>
    <w:rsid w:val="00D97B41"/>
    <w:rsid w:val="00DA0BF1"/>
    <w:rsid w:val="00DA36C0"/>
    <w:rsid w:val="00DA39CF"/>
    <w:rsid w:val="00DA5D0C"/>
    <w:rsid w:val="00DA6128"/>
    <w:rsid w:val="00DA6BE0"/>
    <w:rsid w:val="00DB53BB"/>
    <w:rsid w:val="00DB5483"/>
    <w:rsid w:val="00DB5D28"/>
    <w:rsid w:val="00DB64E1"/>
    <w:rsid w:val="00DC085C"/>
    <w:rsid w:val="00DC31E1"/>
    <w:rsid w:val="00DD0772"/>
    <w:rsid w:val="00DD0CD3"/>
    <w:rsid w:val="00DD1311"/>
    <w:rsid w:val="00DD191B"/>
    <w:rsid w:val="00DD2BEE"/>
    <w:rsid w:val="00DD362D"/>
    <w:rsid w:val="00DD3B3B"/>
    <w:rsid w:val="00DD4DDD"/>
    <w:rsid w:val="00DE12A1"/>
    <w:rsid w:val="00DE54A7"/>
    <w:rsid w:val="00DE5909"/>
    <w:rsid w:val="00DE72DC"/>
    <w:rsid w:val="00DE7549"/>
    <w:rsid w:val="00DF053F"/>
    <w:rsid w:val="00DF252E"/>
    <w:rsid w:val="00DF488B"/>
    <w:rsid w:val="00E0286A"/>
    <w:rsid w:val="00E05852"/>
    <w:rsid w:val="00E05EA9"/>
    <w:rsid w:val="00E1047D"/>
    <w:rsid w:val="00E11EE0"/>
    <w:rsid w:val="00E14411"/>
    <w:rsid w:val="00E22425"/>
    <w:rsid w:val="00E243C4"/>
    <w:rsid w:val="00E32386"/>
    <w:rsid w:val="00E35177"/>
    <w:rsid w:val="00E37302"/>
    <w:rsid w:val="00E41409"/>
    <w:rsid w:val="00E4696B"/>
    <w:rsid w:val="00E576EA"/>
    <w:rsid w:val="00E61C98"/>
    <w:rsid w:val="00E64732"/>
    <w:rsid w:val="00E70225"/>
    <w:rsid w:val="00E75C74"/>
    <w:rsid w:val="00E85C2E"/>
    <w:rsid w:val="00E87B08"/>
    <w:rsid w:val="00E9090D"/>
    <w:rsid w:val="00E93C79"/>
    <w:rsid w:val="00EA0618"/>
    <w:rsid w:val="00EA0A6F"/>
    <w:rsid w:val="00EA1343"/>
    <w:rsid w:val="00EA54CA"/>
    <w:rsid w:val="00EA7152"/>
    <w:rsid w:val="00EB27DC"/>
    <w:rsid w:val="00EB33E2"/>
    <w:rsid w:val="00EB4C22"/>
    <w:rsid w:val="00ED16FD"/>
    <w:rsid w:val="00ED17BD"/>
    <w:rsid w:val="00EE1F05"/>
    <w:rsid w:val="00EE2981"/>
    <w:rsid w:val="00EE44F3"/>
    <w:rsid w:val="00EE57DC"/>
    <w:rsid w:val="00EE7EC8"/>
    <w:rsid w:val="00EF02ED"/>
    <w:rsid w:val="00EF03B4"/>
    <w:rsid w:val="00EF0DBB"/>
    <w:rsid w:val="00EF1915"/>
    <w:rsid w:val="00EF4C61"/>
    <w:rsid w:val="00EF6491"/>
    <w:rsid w:val="00F00AA7"/>
    <w:rsid w:val="00F012C0"/>
    <w:rsid w:val="00F06454"/>
    <w:rsid w:val="00F10D59"/>
    <w:rsid w:val="00F23BB6"/>
    <w:rsid w:val="00F3604A"/>
    <w:rsid w:val="00F40628"/>
    <w:rsid w:val="00F41D91"/>
    <w:rsid w:val="00F43D6B"/>
    <w:rsid w:val="00F46233"/>
    <w:rsid w:val="00F51811"/>
    <w:rsid w:val="00F5345B"/>
    <w:rsid w:val="00F546AB"/>
    <w:rsid w:val="00F61D84"/>
    <w:rsid w:val="00F665AB"/>
    <w:rsid w:val="00F70431"/>
    <w:rsid w:val="00F726C3"/>
    <w:rsid w:val="00F72A43"/>
    <w:rsid w:val="00F73B25"/>
    <w:rsid w:val="00F74143"/>
    <w:rsid w:val="00F80628"/>
    <w:rsid w:val="00F80771"/>
    <w:rsid w:val="00F8790F"/>
    <w:rsid w:val="00F9014A"/>
    <w:rsid w:val="00F904C3"/>
    <w:rsid w:val="00F931F3"/>
    <w:rsid w:val="00F9729A"/>
    <w:rsid w:val="00FA2C7C"/>
    <w:rsid w:val="00FA2E3A"/>
    <w:rsid w:val="00FA417D"/>
    <w:rsid w:val="00FA500A"/>
    <w:rsid w:val="00FA5B0F"/>
    <w:rsid w:val="00FA61D7"/>
    <w:rsid w:val="00FA7940"/>
    <w:rsid w:val="00FB3B06"/>
    <w:rsid w:val="00FB3EDF"/>
    <w:rsid w:val="00FB5BB6"/>
    <w:rsid w:val="00FC546E"/>
    <w:rsid w:val="00FD0233"/>
    <w:rsid w:val="00FD0E44"/>
    <w:rsid w:val="00FD18EF"/>
    <w:rsid w:val="00FD29EC"/>
    <w:rsid w:val="00FE1401"/>
    <w:rsid w:val="00FE15C6"/>
    <w:rsid w:val="00FE7F57"/>
    <w:rsid w:val="00FF1AEB"/>
    <w:rsid w:val="00FF3E16"/>
    <w:rsid w:val="00FF409F"/>
    <w:rsid w:val="00FF6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4236FE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D66"/>
    <w:pPr>
      <w:spacing w:before="240" w:after="240"/>
      <w:jc w:val="both"/>
    </w:pPr>
    <w:rPr>
      <w:rFonts w:ascii="Palatino Linotype" w:eastAsiaTheme="minorHAnsi" w:hAnsi="Palatino Linotype"/>
      <w:sz w:val="22"/>
      <w:szCs w:val="22"/>
      <w:lang w:val="en-CA"/>
    </w:rPr>
  </w:style>
  <w:style w:type="paragraph" w:styleId="Heading1">
    <w:name w:val="heading 1"/>
    <w:basedOn w:val="Normal"/>
    <w:next w:val="Normal"/>
    <w:link w:val="Heading1Char"/>
    <w:uiPriority w:val="9"/>
    <w:qFormat/>
    <w:rsid w:val="009D3B31"/>
    <w:pPr>
      <w:keepNext/>
      <w:keepLines/>
      <w:numPr>
        <w:numId w:val="2"/>
      </w:numPr>
      <w:spacing w:before="480" w:after="360"/>
      <w:ind w:left="567" w:hanging="567"/>
      <w:contextualSpacing/>
      <w:jc w:val="left"/>
      <w:outlineLvl w:val="0"/>
    </w:pPr>
    <w:rPr>
      <w:rFonts w:eastAsiaTheme="majorEastAsia" w:cs="Times New Roman"/>
      <w:b/>
      <w:smallCaps/>
      <w:spacing w:val="4"/>
      <w:sz w:val="32"/>
      <w:szCs w:val="26"/>
    </w:rPr>
  </w:style>
  <w:style w:type="paragraph" w:styleId="Heading2">
    <w:name w:val="heading 2"/>
    <w:basedOn w:val="Normal"/>
    <w:next w:val="Normal"/>
    <w:link w:val="Heading2Char"/>
    <w:uiPriority w:val="9"/>
    <w:unhideWhenUsed/>
    <w:qFormat/>
    <w:rsid w:val="009D3B31"/>
    <w:pPr>
      <w:keepNext/>
      <w:keepLines/>
      <w:numPr>
        <w:ilvl w:val="1"/>
        <w:numId w:val="2"/>
      </w:numPr>
      <w:spacing w:before="360"/>
      <w:ind w:left="567" w:hanging="567"/>
      <w:contextualSpacing/>
      <w:jc w:val="left"/>
      <w:outlineLvl w:val="1"/>
    </w:pPr>
    <w:rPr>
      <w:rFonts w:eastAsiaTheme="majorEastAsia" w:cs="Times New Roman"/>
      <w:b/>
      <w:sz w:val="28"/>
    </w:rPr>
  </w:style>
  <w:style w:type="paragraph" w:styleId="Heading3">
    <w:name w:val="heading 3"/>
    <w:basedOn w:val="Normal"/>
    <w:next w:val="Normal"/>
    <w:link w:val="Heading3Char"/>
    <w:uiPriority w:val="9"/>
    <w:unhideWhenUsed/>
    <w:qFormat/>
    <w:rsid w:val="009D3B31"/>
    <w:pPr>
      <w:keepNext/>
      <w:keepLines/>
      <w:numPr>
        <w:ilvl w:val="2"/>
        <w:numId w:val="2"/>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9D3B31"/>
    <w:pPr>
      <w:keepNext/>
      <w:keepLines/>
      <w:numPr>
        <w:ilvl w:val="3"/>
        <w:numId w:val="2"/>
      </w:numPr>
      <w:ind w:left="2098" w:hanging="851"/>
      <w:contextualSpacing/>
      <w:jc w:val="left"/>
      <w:outlineLvl w:val="3"/>
    </w:pPr>
    <w:rPr>
      <w:rFonts w:eastAsiaTheme="majorEastAsia" w:cstheme="majorBidi"/>
      <w:b/>
      <w:iCs/>
      <w:sz w:val="24"/>
    </w:rPr>
  </w:style>
  <w:style w:type="paragraph" w:styleId="Heading5">
    <w:name w:val="heading 5"/>
    <w:basedOn w:val="Normal"/>
    <w:next w:val="Normal"/>
    <w:link w:val="Heading5Char"/>
    <w:uiPriority w:val="9"/>
    <w:unhideWhenUsed/>
    <w:rsid w:val="00827F7D"/>
    <w:pPr>
      <w:numPr>
        <w:ilvl w:val="4"/>
        <w:numId w:val="2"/>
      </w:numPr>
      <w:spacing w:after="60"/>
      <w:outlineLvl w:val="4"/>
    </w:pPr>
    <w:rPr>
      <w:rFonts w:asciiTheme="minorHAnsi" w:eastAsiaTheme="minorEastAsia" w:hAnsiTheme="minorHAnsi"/>
      <w:b/>
      <w:bCs/>
      <w:i/>
      <w:iCs/>
      <w:sz w:val="26"/>
      <w:szCs w:val="26"/>
    </w:rPr>
  </w:style>
  <w:style w:type="paragraph" w:styleId="Heading6">
    <w:name w:val="heading 6"/>
    <w:basedOn w:val="Normal"/>
    <w:link w:val="Heading6Char"/>
    <w:rsid w:val="00827F7D"/>
    <w:pPr>
      <w:numPr>
        <w:ilvl w:val="5"/>
        <w:numId w:val="2"/>
      </w:numPr>
      <w:spacing w:before="100" w:beforeAutospacing="1" w:after="100" w:afterAutospacing="1"/>
      <w:outlineLvl w:val="5"/>
    </w:pPr>
    <w:rPr>
      <w:rFonts w:ascii="Arial" w:eastAsia="Times New Roman" w:hAnsi="Arial" w:cs="Times New Roman"/>
      <w:b/>
      <w:bCs/>
      <w:sz w:val="15"/>
      <w:szCs w:val="15"/>
    </w:rPr>
  </w:style>
  <w:style w:type="paragraph" w:styleId="Heading7">
    <w:name w:val="heading 7"/>
    <w:basedOn w:val="Normal"/>
    <w:next w:val="Normal"/>
    <w:link w:val="Heading7Char"/>
    <w:uiPriority w:val="9"/>
    <w:unhideWhenUsed/>
    <w:rsid w:val="00827F7D"/>
    <w:pPr>
      <w:numPr>
        <w:ilvl w:val="6"/>
        <w:numId w:val="2"/>
      </w:numPr>
      <w:spacing w:after="60"/>
      <w:outlineLvl w:val="6"/>
    </w:pPr>
    <w:rPr>
      <w:rFonts w:asciiTheme="minorHAnsi" w:eastAsiaTheme="minorEastAsia" w:hAnsiTheme="minorHAnsi"/>
    </w:rPr>
  </w:style>
  <w:style w:type="paragraph" w:styleId="Heading8">
    <w:name w:val="heading 8"/>
    <w:basedOn w:val="Normal"/>
    <w:next w:val="Normal"/>
    <w:link w:val="Heading8Char"/>
    <w:uiPriority w:val="9"/>
    <w:unhideWhenUsed/>
    <w:rsid w:val="00827F7D"/>
    <w:pPr>
      <w:numPr>
        <w:ilvl w:val="7"/>
        <w:numId w:val="2"/>
      </w:numPr>
      <w:spacing w:after="60"/>
      <w:outlineLvl w:val="7"/>
    </w:pPr>
    <w:rPr>
      <w:rFonts w:asciiTheme="minorHAnsi" w:eastAsiaTheme="minorEastAsia" w:hAnsiTheme="minorHAnsi"/>
      <w:i/>
      <w:iCs/>
    </w:rPr>
  </w:style>
  <w:style w:type="paragraph" w:styleId="Heading9">
    <w:name w:val="heading 9"/>
    <w:basedOn w:val="Normal"/>
    <w:next w:val="Normal"/>
    <w:link w:val="Heading9Char"/>
    <w:uiPriority w:val="9"/>
    <w:unhideWhenUsed/>
    <w:rsid w:val="00827F7D"/>
    <w:pPr>
      <w:numPr>
        <w:ilvl w:val="8"/>
        <w:numId w:val="2"/>
      </w:numPr>
      <w:spacing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B31"/>
    <w:rPr>
      <w:rFonts w:ascii="Palatino Linotype" w:eastAsiaTheme="majorEastAsia" w:hAnsi="Palatino Linotype" w:cs="Times New Roman"/>
      <w:b/>
      <w:smallCaps/>
      <w:spacing w:val="4"/>
      <w:sz w:val="32"/>
      <w:szCs w:val="26"/>
      <w:lang w:val="en-CA"/>
    </w:rPr>
  </w:style>
  <w:style w:type="character" w:customStyle="1" w:styleId="Heading2Char">
    <w:name w:val="Heading 2 Char"/>
    <w:basedOn w:val="DefaultParagraphFont"/>
    <w:link w:val="Heading2"/>
    <w:uiPriority w:val="9"/>
    <w:rsid w:val="009D3B31"/>
    <w:rPr>
      <w:rFonts w:ascii="Palatino Linotype" w:eastAsiaTheme="majorEastAsia" w:hAnsi="Palatino Linotype" w:cs="Times New Roman"/>
      <w:b/>
      <w:sz w:val="28"/>
      <w:szCs w:val="22"/>
      <w:lang w:val="en-CA"/>
    </w:rPr>
  </w:style>
  <w:style w:type="character" w:customStyle="1" w:styleId="Heading3Char">
    <w:name w:val="Heading 3 Char"/>
    <w:basedOn w:val="DefaultParagraphFont"/>
    <w:link w:val="Heading3"/>
    <w:uiPriority w:val="9"/>
    <w:rsid w:val="009D3B31"/>
    <w:rPr>
      <w:rFonts w:ascii="Palatino Linotype" w:eastAsiaTheme="majorEastAsia" w:hAnsi="Palatino Linotype" w:cstheme="majorBidi"/>
      <w:b/>
      <w:lang w:val="en-CA"/>
    </w:rPr>
  </w:style>
  <w:style w:type="character" w:customStyle="1" w:styleId="Heading4Char">
    <w:name w:val="Heading 4 Char"/>
    <w:basedOn w:val="DefaultParagraphFont"/>
    <w:link w:val="Heading4"/>
    <w:uiPriority w:val="9"/>
    <w:rsid w:val="009D3B31"/>
    <w:rPr>
      <w:rFonts w:ascii="Palatino Linotype" w:eastAsiaTheme="majorEastAsia" w:hAnsi="Palatino Linotype" w:cstheme="majorBidi"/>
      <w:b/>
      <w:iCs/>
      <w:szCs w:val="22"/>
      <w:lang w:val="en-CA"/>
    </w:rPr>
  </w:style>
  <w:style w:type="character" w:customStyle="1" w:styleId="Heading5Char">
    <w:name w:val="Heading 5 Char"/>
    <w:basedOn w:val="DefaultParagraphFont"/>
    <w:link w:val="Heading5"/>
    <w:uiPriority w:val="9"/>
    <w:rsid w:val="00827F7D"/>
    <w:rPr>
      <w:b/>
      <w:bCs/>
      <w:i/>
      <w:iCs/>
      <w:sz w:val="26"/>
      <w:szCs w:val="26"/>
      <w:lang w:val="en-CA"/>
    </w:rPr>
  </w:style>
  <w:style w:type="character" w:customStyle="1" w:styleId="Heading6Char">
    <w:name w:val="Heading 6 Char"/>
    <w:basedOn w:val="DefaultParagraphFont"/>
    <w:link w:val="Heading6"/>
    <w:rsid w:val="00827F7D"/>
    <w:rPr>
      <w:rFonts w:ascii="Arial" w:eastAsia="Times New Roman" w:hAnsi="Arial" w:cs="Times New Roman"/>
      <w:b/>
      <w:bCs/>
      <w:sz w:val="15"/>
      <w:szCs w:val="15"/>
      <w:lang w:val="en-CA"/>
    </w:rPr>
  </w:style>
  <w:style w:type="character" w:customStyle="1" w:styleId="Heading7Char">
    <w:name w:val="Heading 7 Char"/>
    <w:basedOn w:val="DefaultParagraphFont"/>
    <w:link w:val="Heading7"/>
    <w:uiPriority w:val="9"/>
    <w:rsid w:val="00827F7D"/>
    <w:rPr>
      <w:sz w:val="22"/>
      <w:szCs w:val="22"/>
      <w:lang w:val="en-CA"/>
    </w:rPr>
  </w:style>
  <w:style w:type="character" w:customStyle="1" w:styleId="Heading8Char">
    <w:name w:val="Heading 8 Char"/>
    <w:basedOn w:val="DefaultParagraphFont"/>
    <w:link w:val="Heading8"/>
    <w:uiPriority w:val="9"/>
    <w:rsid w:val="00827F7D"/>
    <w:rPr>
      <w:i/>
      <w:iCs/>
      <w:sz w:val="22"/>
      <w:szCs w:val="22"/>
      <w:lang w:val="en-CA"/>
    </w:rPr>
  </w:style>
  <w:style w:type="character" w:customStyle="1" w:styleId="Heading9Char">
    <w:name w:val="Heading 9 Char"/>
    <w:basedOn w:val="DefaultParagraphFont"/>
    <w:link w:val="Heading9"/>
    <w:uiPriority w:val="9"/>
    <w:rsid w:val="00827F7D"/>
    <w:rPr>
      <w:rFonts w:asciiTheme="majorHAnsi" w:eastAsiaTheme="majorEastAsia" w:hAnsiTheme="majorHAnsi" w:cstheme="majorBidi"/>
      <w:sz w:val="22"/>
      <w:szCs w:val="22"/>
      <w:lang w:val="en-CA"/>
    </w:rPr>
  </w:style>
  <w:style w:type="paragraph" w:styleId="TOCHeading">
    <w:name w:val="TOC Heading"/>
    <w:basedOn w:val="Heading1"/>
    <w:next w:val="Normal"/>
    <w:uiPriority w:val="39"/>
    <w:unhideWhenUsed/>
    <w:qFormat/>
    <w:rsid w:val="00827F7D"/>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qFormat/>
    <w:rsid w:val="00492A3B"/>
    <w:pPr>
      <w:tabs>
        <w:tab w:val="left" w:pos="720"/>
        <w:tab w:val="right" w:leader="dot" w:pos="9350"/>
      </w:tabs>
      <w:spacing w:after="100"/>
      <w:ind w:left="567" w:hanging="567"/>
    </w:pPr>
    <w:rPr>
      <w:b/>
      <w:smallCaps/>
    </w:rPr>
  </w:style>
  <w:style w:type="paragraph" w:styleId="TOC2">
    <w:name w:val="toc 2"/>
    <w:basedOn w:val="Normal"/>
    <w:next w:val="Normal"/>
    <w:autoRedefine/>
    <w:uiPriority w:val="39"/>
    <w:unhideWhenUsed/>
    <w:rsid w:val="00827F7D"/>
    <w:pPr>
      <w:ind w:left="240"/>
    </w:pPr>
    <w:rPr>
      <w:b/>
    </w:rPr>
  </w:style>
  <w:style w:type="paragraph" w:styleId="TOC3">
    <w:name w:val="toc 3"/>
    <w:basedOn w:val="Normal"/>
    <w:next w:val="Normal"/>
    <w:autoRedefine/>
    <w:uiPriority w:val="39"/>
    <w:unhideWhenUsed/>
    <w:rsid w:val="00827F7D"/>
    <w:pPr>
      <w:tabs>
        <w:tab w:val="right" w:leader="dot" w:pos="8630"/>
      </w:tabs>
      <w:ind w:left="284"/>
    </w:pPr>
  </w:style>
  <w:style w:type="paragraph" w:styleId="TOC4">
    <w:name w:val="toc 4"/>
    <w:basedOn w:val="Normal"/>
    <w:next w:val="Normal"/>
    <w:autoRedefine/>
    <w:uiPriority w:val="39"/>
    <w:unhideWhenUsed/>
    <w:rsid w:val="00827F7D"/>
    <w:pPr>
      <w:ind w:left="720"/>
    </w:pPr>
    <w:rPr>
      <w:sz w:val="20"/>
      <w:szCs w:val="20"/>
    </w:rPr>
  </w:style>
  <w:style w:type="paragraph" w:styleId="TOC5">
    <w:name w:val="toc 5"/>
    <w:basedOn w:val="Normal"/>
    <w:next w:val="Normal"/>
    <w:autoRedefine/>
    <w:uiPriority w:val="39"/>
    <w:unhideWhenUsed/>
    <w:rsid w:val="00827F7D"/>
    <w:pPr>
      <w:ind w:left="960"/>
    </w:pPr>
    <w:rPr>
      <w:sz w:val="20"/>
      <w:szCs w:val="20"/>
    </w:rPr>
  </w:style>
  <w:style w:type="paragraph" w:styleId="TOC6">
    <w:name w:val="toc 6"/>
    <w:basedOn w:val="Normal"/>
    <w:next w:val="Normal"/>
    <w:autoRedefine/>
    <w:uiPriority w:val="39"/>
    <w:unhideWhenUsed/>
    <w:rsid w:val="00827F7D"/>
    <w:pPr>
      <w:ind w:left="1200"/>
    </w:pPr>
    <w:rPr>
      <w:sz w:val="20"/>
      <w:szCs w:val="20"/>
    </w:rPr>
  </w:style>
  <w:style w:type="paragraph" w:styleId="TOC7">
    <w:name w:val="toc 7"/>
    <w:basedOn w:val="Normal"/>
    <w:next w:val="Normal"/>
    <w:autoRedefine/>
    <w:uiPriority w:val="39"/>
    <w:unhideWhenUsed/>
    <w:rsid w:val="00827F7D"/>
    <w:pPr>
      <w:ind w:left="1440"/>
    </w:pPr>
    <w:rPr>
      <w:sz w:val="20"/>
      <w:szCs w:val="20"/>
    </w:rPr>
  </w:style>
  <w:style w:type="paragraph" w:styleId="TOC8">
    <w:name w:val="toc 8"/>
    <w:basedOn w:val="Normal"/>
    <w:next w:val="Normal"/>
    <w:autoRedefine/>
    <w:uiPriority w:val="39"/>
    <w:unhideWhenUsed/>
    <w:rsid w:val="00827F7D"/>
    <w:pPr>
      <w:ind w:left="1680"/>
    </w:pPr>
    <w:rPr>
      <w:sz w:val="20"/>
      <w:szCs w:val="20"/>
    </w:rPr>
  </w:style>
  <w:style w:type="paragraph" w:styleId="TOC9">
    <w:name w:val="toc 9"/>
    <w:basedOn w:val="Normal"/>
    <w:next w:val="Normal"/>
    <w:autoRedefine/>
    <w:uiPriority w:val="39"/>
    <w:unhideWhenUsed/>
    <w:rsid w:val="00827F7D"/>
    <w:pPr>
      <w:ind w:left="1920"/>
    </w:pPr>
    <w:rPr>
      <w:sz w:val="20"/>
      <w:szCs w:val="20"/>
    </w:rPr>
  </w:style>
  <w:style w:type="paragraph" w:styleId="ListParagraph">
    <w:name w:val="List Paragraph"/>
    <w:basedOn w:val="Normal"/>
    <w:uiPriority w:val="34"/>
    <w:qFormat/>
    <w:rsid w:val="0083748E"/>
    <w:pPr>
      <w:spacing w:before="60" w:after="0"/>
      <w:ind w:left="720"/>
      <w:jc w:val="left"/>
    </w:pPr>
  </w:style>
  <w:style w:type="table" w:styleId="TableGrid">
    <w:name w:val="Table Grid"/>
    <w:basedOn w:val="TableNormal"/>
    <w:rsid w:val="00827F7D"/>
    <w:rPr>
      <w:rFonts w:ascii="Times New Roman" w:eastAsiaTheme="minorHAnsi" w:hAnsi="Times New Roman"/>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lockText">
    <w:name w:val="Block Text"/>
    <w:basedOn w:val="Normal"/>
    <w:rsid w:val="00827F7D"/>
    <w:pPr>
      <w:spacing w:after="200"/>
      <w:ind w:left="1152" w:right="1152"/>
    </w:pPr>
    <w:rPr>
      <w:rFonts w:eastAsiaTheme="minorEastAsia"/>
      <w:iCs/>
      <w:sz w:val="20"/>
    </w:rPr>
  </w:style>
  <w:style w:type="paragraph" w:styleId="FootnoteText">
    <w:name w:val="footnote text"/>
    <w:basedOn w:val="Normal"/>
    <w:link w:val="FootnoteTextChar"/>
    <w:uiPriority w:val="99"/>
    <w:qFormat/>
    <w:rsid w:val="00F80771"/>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F80771"/>
    <w:rPr>
      <w:rFonts w:ascii="Times New Roman" w:eastAsiaTheme="minorHAnsi" w:hAnsi="Times New Roman"/>
      <w:sz w:val="18"/>
      <w:szCs w:val="20"/>
      <w:lang w:val="en-CA"/>
    </w:rPr>
  </w:style>
  <w:style w:type="character" w:styleId="FootnoteReference">
    <w:name w:val="footnote reference"/>
    <w:basedOn w:val="DefaultParagraphFont"/>
    <w:uiPriority w:val="99"/>
    <w:unhideWhenUsed/>
    <w:qFormat/>
    <w:rsid w:val="00072E0D"/>
    <w:rPr>
      <w:rFonts w:ascii="Palatino Linotype" w:hAnsi="Palatino Linotype"/>
      <w:vertAlign w:val="superscript"/>
    </w:rPr>
  </w:style>
  <w:style w:type="paragraph" w:customStyle="1" w:styleId="TOC3rd">
    <w:name w:val="TOC 3rd"/>
    <w:basedOn w:val="TOCHeading"/>
    <w:rsid w:val="00827F7D"/>
    <w:pPr>
      <w:keepNext w:val="0"/>
      <w:keepLines w:val="0"/>
      <w:tabs>
        <w:tab w:val="num" w:pos="2028"/>
      </w:tabs>
      <w:spacing w:before="0" w:after="200"/>
      <w:ind w:left="1225" w:hanging="505"/>
    </w:pPr>
    <w:rPr>
      <w:rFonts w:ascii="Arial" w:eastAsiaTheme="minorEastAsia" w:hAnsi="Arial"/>
      <w:color w:val="auto"/>
      <w:sz w:val="22"/>
    </w:rPr>
  </w:style>
  <w:style w:type="paragraph" w:customStyle="1" w:styleId="TOC2ndLevel">
    <w:name w:val="TOC 2nd Level"/>
    <w:basedOn w:val="TOC3rd"/>
    <w:rsid w:val="00827F7D"/>
    <w:pPr>
      <w:tabs>
        <w:tab w:val="clear" w:pos="2028"/>
      </w:tabs>
      <w:ind w:left="792" w:hanging="432"/>
    </w:pPr>
  </w:style>
  <w:style w:type="numbering" w:customStyle="1" w:styleId="TOCBodyText">
    <w:name w:val="TOC Body Text"/>
    <w:uiPriority w:val="99"/>
    <w:rsid w:val="00827F7D"/>
    <w:pPr>
      <w:numPr>
        <w:numId w:val="1"/>
      </w:numPr>
    </w:pPr>
  </w:style>
  <w:style w:type="character" w:styleId="Hyperlink">
    <w:name w:val="Hyperlink"/>
    <w:basedOn w:val="DefaultParagraphFont"/>
    <w:uiPriority w:val="99"/>
    <w:unhideWhenUsed/>
    <w:rsid w:val="00827F7D"/>
    <w:rPr>
      <w:color w:val="0000FF" w:themeColor="hyperlink"/>
      <w:u w:val="single"/>
    </w:rPr>
  </w:style>
  <w:style w:type="paragraph" w:styleId="BodyText2">
    <w:name w:val="Body Text 2"/>
    <w:basedOn w:val="Normal"/>
    <w:link w:val="BodyText2Char"/>
    <w:rsid w:val="00827F7D"/>
    <w:pPr>
      <w:spacing w:after="200"/>
    </w:pPr>
    <w:rPr>
      <w:rFonts w:eastAsiaTheme="minorEastAsia"/>
    </w:rPr>
  </w:style>
  <w:style w:type="character" w:customStyle="1" w:styleId="BodyText2Char">
    <w:name w:val="Body Text 2 Char"/>
    <w:basedOn w:val="DefaultParagraphFont"/>
    <w:link w:val="BodyText2"/>
    <w:rsid w:val="00827F7D"/>
    <w:rPr>
      <w:rFonts w:ascii="Times New Roman" w:hAnsi="Times New Roman"/>
      <w:sz w:val="22"/>
      <w:szCs w:val="22"/>
    </w:rPr>
  </w:style>
  <w:style w:type="character" w:styleId="CommentReference">
    <w:name w:val="annotation reference"/>
    <w:basedOn w:val="DefaultParagraphFont"/>
    <w:uiPriority w:val="99"/>
    <w:unhideWhenUsed/>
    <w:rsid w:val="00827F7D"/>
    <w:rPr>
      <w:sz w:val="16"/>
      <w:szCs w:val="16"/>
    </w:rPr>
  </w:style>
  <w:style w:type="paragraph" w:styleId="CommentText">
    <w:name w:val="annotation text"/>
    <w:basedOn w:val="Normal"/>
    <w:link w:val="CommentTextChar"/>
    <w:uiPriority w:val="99"/>
    <w:unhideWhenUsed/>
    <w:rsid w:val="00827F7D"/>
    <w:pPr>
      <w:spacing w:after="200"/>
    </w:pPr>
    <w:rPr>
      <w:rFonts w:ascii="Arial" w:eastAsiaTheme="minorEastAsia" w:hAnsi="Arial"/>
      <w:sz w:val="20"/>
      <w:szCs w:val="20"/>
    </w:rPr>
  </w:style>
  <w:style w:type="character" w:customStyle="1" w:styleId="CommentTextChar">
    <w:name w:val="Comment Text Char"/>
    <w:basedOn w:val="DefaultParagraphFont"/>
    <w:link w:val="CommentText"/>
    <w:uiPriority w:val="99"/>
    <w:rsid w:val="00827F7D"/>
    <w:rPr>
      <w:rFonts w:ascii="Arial" w:hAnsi="Arial"/>
      <w:sz w:val="20"/>
      <w:szCs w:val="20"/>
    </w:rPr>
  </w:style>
  <w:style w:type="paragraph" w:styleId="BalloonText">
    <w:name w:val="Balloon Text"/>
    <w:basedOn w:val="Normal"/>
    <w:link w:val="BalloonTextChar"/>
    <w:uiPriority w:val="99"/>
    <w:unhideWhenUsed/>
    <w:rsid w:val="00827F7D"/>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827F7D"/>
    <w:rPr>
      <w:rFonts w:ascii="Tahoma" w:hAnsi="Tahoma" w:cs="Tahoma"/>
      <w:sz w:val="16"/>
      <w:szCs w:val="16"/>
    </w:rPr>
  </w:style>
  <w:style w:type="paragraph" w:styleId="CommentSubject">
    <w:name w:val="annotation subject"/>
    <w:basedOn w:val="CommentText"/>
    <w:next w:val="CommentText"/>
    <w:link w:val="CommentSubjectChar"/>
    <w:uiPriority w:val="99"/>
    <w:unhideWhenUsed/>
    <w:rsid w:val="00827F7D"/>
    <w:rPr>
      <w:b/>
      <w:bCs/>
    </w:rPr>
  </w:style>
  <w:style w:type="character" w:customStyle="1" w:styleId="CommentSubjectChar">
    <w:name w:val="Comment Subject Char"/>
    <w:basedOn w:val="CommentTextChar"/>
    <w:link w:val="CommentSubject"/>
    <w:uiPriority w:val="99"/>
    <w:rsid w:val="00827F7D"/>
    <w:rPr>
      <w:rFonts w:ascii="Arial" w:hAnsi="Arial"/>
      <w:b/>
      <w:bCs/>
      <w:sz w:val="20"/>
      <w:szCs w:val="20"/>
    </w:rPr>
  </w:style>
  <w:style w:type="paragraph" w:customStyle="1" w:styleId="Default">
    <w:name w:val="Default"/>
    <w:rsid w:val="00827F7D"/>
    <w:pPr>
      <w:autoSpaceDE w:val="0"/>
      <w:autoSpaceDN w:val="0"/>
      <w:adjustRightInd w:val="0"/>
    </w:pPr>
    <w:rPr>
      <w:rFonts w:ascii="Times New Roman" w:hAnsi="Times New Roman" w:cs="Times New Roman"/>
      <w:color w:val="000000"/>
      <w:sz w:val="22"/>
      <w:szCs w:val="22"/>
    </w:rPr>
  </w:style>
  <w:style w:type="paragraph" w:customStyle="1" w:styleId="paragraph">
    <w:name w:val="paragraph"/>
    <w:basedOn w:val="Normal"/>
    <w:rsid w:val="00827F7D"/>
    <w:pPr>
      <w:spacing w:before="100" w:beforeAutospacing="1" w:after="100" w:afterAutospacing="1"/>
    </w:pPr>
    <w:rPr>
      <w:rFonts w:ascii="Arial" w:eastAsia="Times New Roman" w:hAnsi="Arial" w:cs="Times New Roman"/>
    </w:rPr>
  </w:style>
  <w:style w:type="character" w:styleId="Emphasis">
    <w:name w:val="Emphasis"/>
    <w:basedOn w:val="DefaultParagraphFont"/>
    <w:uiPriority w:val="20"/>
    <w:rsid w:val="00827F7D"/>
    <w:rPr>
      <w:i/>
      <w:iCs/>
    </w:rPr>
  </w:style>
  <w:style w:type="paragraph" w:styleId="Header">
    <w:name w:val="header"/>
    <w:basedOn w:val="Normal"/>
    <w:link w:val="HeaderChar"/>
    <w:uiPriority w:val="99"/>
    <w:unhideWhenUsed/>
    <w:rsid w:val="00827F7D"/>
    <w:pPr>
      <w:tabs>
        <w:tab w:val="center" w:pos="4680"/>
        <w:tab w:val="right" w:pos="9360"/>
      </w:tabs>
    </w:pPr>
    <w:rPr>
      <w:rFonts w:ascii="Arial" w:eastAsiaTheme="minorEastAsia" w:hAnsi="Arial"/>
    </w:rPr>
  </w:style>
  <w:style w:type="character" w:customStyle="1" w:styleId="HeaderChar">
    <w:name w:val="Header Char"/>
    <w:basedOn w:val="DefaultParagraphFont"/>
    <w:link w:val="Header"/>
    <w:uiPriority w:val="99"/>
    <w:rsid w:val="00827F7D"/>
    <w:rPr>
      <w:rFonts w:ascii="Arial" w:hAnsi="Arial"/>
      <w:sz w:val="22"/>
      <w:szCs w:val="22"/>
    </w:rPr>
  </w:style>
  <w:style w:type="paragraph" w:styleId="Footer">
    <w:name w:val="footer"/>
    <w:basedOn w:val="Normal"/>
    <w:link w:val="FooterChar"/>
    <w:uiPriority w:val="99"/>
    <w:unhideWhenUsed/>
    <w:rsid w:val="00827F7D"/>
    <w:pPr>
      <w:tabs>
        <w:tab w:val="center" w:pos="4680"/>
        <w:tab w:val="right" w:pos="9360"/>
      </w:tabs>
    </w:pPr>
    <w:rPr>
      <w:rFonts w:ascii="Arial" w:eastAsiaTheme="minorEastAsia" w:hAnsi="Arial"/>
    </w:rPr>
  </w:style>
  <w:style w:type="character" w:customStyle="1" w:styleId="FooterChar">
    <w:name w:val="Footer Char"/>
    <w:basedOn w:val="DefaultParagraphFont"/>
    <w:link w:val="Footer"/>
    <w:uiPriority w:val="99"/>
    <w:rsid w:val="00827F7D"/>
    <w:rPr>
      <w:rFonts w:ascii="Arial" w:hAnsi="Arial"/>
      <w:sz w:val="22"/>
      <w:szCs w:val="22"/>
    </w:rPr>
  </w:style>
  <w:style w:type="character" w:styleId="HTMLCite">
    <w:name w:val="HTML Cite"/>
    <w:basedOn w:val="DefaultParagraphFont"/>
    <w:uiPriority w:val="99"/>
    <w:unhideWhenUsed/>
    <w:rsid w:val="00827F7D"/>
    <w:rPr>
      <w:i/>
      <w:iCs/>
    </w:rPr>
  </w:style>
  <w:style w:type="character" w:styleId="FollowedHyperlink">
    <w:name w:val="FollowedHyperlink"/>
    <w:basedOn w:val="DefaultParagraphFont"/>
    <w:uiPriority w:val="99"/>
    <w:unhideWhenUsed/>
    <w:rsid w:val="00827F7D"/>
    <w:rPr>
      <w:color w:val="800080" w:themeColor="followedHyperlink"/>
      <w:u w:val="single"/>
    </w:rPr>
  </w:style>
  <w:style w:type="paragraph" w:customStyle="1" w:styleId="Pa22">
    <w:name w:val="Pa22"/>
    <w:basedOn w:val="Default"/>
    <w:next w:val="Default"/>
    <w:uiPriority w:val="99"/>
    <w:rsid w:val="00827F7D"/>
    <w:pPr>
      <w:spacing w:line="181" w:lineRule="atLeast"/>
    </w:pPr>
    <w:rPr>
      <w:rFonts w:ascii="Avenir LT Std 55 Roman" w:hAnsi="Avenir LT Std 55 Roman" w:cstheme="minorBidi"/>
      <w:color w:val="auto"/>
    </w:rPr>
  </w:style>
  <w:style w:type="paragraph" w:customStyle="1" w:styleId="Pa2">
    <w:name w:val="Pa2"/>
    <w:basedOn w:val="Default"/>
    <w:next w:val="Default"/>
    <w:uiPriority w:val="99"/>
    <w:rsid w:val="00827F7D"/>
    <w:pPr>
      <w:spacing w:line="201" w:lineRule="atLeast"/>
    </w:pPr>
    <w:rPr>
      <w:rFonts w:ascii="Avenir LT Std 55 Roman" w:hAnsi="Avenir LT Std 55 Roman" w:cstheme="minorBidi"/>
      <w:color w:val="auto"/>
    </w:rPr>
  </w:style>
  <w:style w:type="character" w:customStyle="1" w:styleId="A10">
    <w:name w:val="A10"/>
    <w:uiPriority w:val="99"/>
    <w:rsid w:val="00827F7D"/>
    <w:rPr>
      <w:rFonts w:cs="Garamond Premr Pro"/>
      <w:color w:val="000000"/>
      <w:sz w:val="11"/>
      <w:szCs w:val="11"/>
    </w:rPr>
  </w:style>
  <w:style w:type="paragraph" w:styleId="NormalWeb">
    <w:name w:val="Normal (Web)"/>
    <w:basedOn w:val="Normal"/>
    <w:unhideWhenUsed/>
    <w:rsid w:val="00827F7D"/>
    <w:pPr>
      <w:spacing w:before="100" w:beforeAutospacing="1" w:after="100" w:afterAutospacing="1"/>
    </w:pPr>
    <w:rPr>
      <w:rFonts w:ascii="Arial" w:eastAsia="Times New Roman" w:hAnsi="Arial" w:cs="Times New Roman"/>
    </w:rPr>
  </w:style>
  <w:style w:type="paragraph" w:customStyle="1" w:styleId="srse1">
    <w:name w:val="sr_se1"/>
    <w:basedOn w:val="Normal"/>
    <w:rsid w:val="00827F7D"/>
    <w:pPr>
      <w:spacing w:before="100" w:beforeAutospacing="1" w:after="100" w:afterAutospacing="1"/>
    </w:pPr>
    <w:rPr>
      <w:rFonts w:ascii="Arial" w:eastAsia="Times New Roman" w:hAnsi="Arial" w:cs="Times New Roman"/>
    </w:rPr>
  </w:style>
  <w:style w:type="character" w:customStyle="1" w:styleId="srnumbold">
    <w:name w:val="sr_num_bold"/>
    <w:basedOn w:val="DefaultParagraphFont"/>
    <w:rsid w:val="00827F7D"/>
  </w:style>
  <w:style w:type="paragraph" w:customStyle="1" w:styleId="srse3">
    <w:name w:val="sr_se3"/>
    <w:basedOn w:val="Normal"/>
    <w:rsid w:val="00827F7D"/>
    <w:pPr>
      <w:spacing w:before="100" w:beforeAutospacing="1" w:after="100" w:afterAutospacing="1"/>
    </w:pPr>
    <w:rPr>
      <w:rFonts w:ascii="Arial" w:eastAsia="Times New Roman" w:hAnsi="Arial" w:cs="Times New Roman"/>
    </w:rPr>
  </w:style>
  <w:style w:type="character" w:styleId="HTMLDefinition">
    <w:name w:val="HTML Definition"/>
    <w:basedOn w:val="DefaultParagraphFont"/>
    <w:uiPriority w:val="99"/>
    <w:unhideWhenUsed/>
    <w:rsid w:val="00827F7D"/>
    <w:rPr>
      <w:i/>
      <w:iCs/>
    </w:rPr>
  </w:style>
  <w:style w:type="character" w:customStyle="1" w:styleId="A8">
    <w:name w:val="A8"/>
    <w:uiPriority w:val="99"/>
    <w:rsid w:val="00827F7D"/>
    <w:rPr>
      <w:rFonts w:cs="Bliss 2 Light"/>
      <w:color w:val="000000"/>
      <w:sz w:val="14"/>
      <w:szCs w:val="14"/>
    </w:rPr>
  </w:style>
  <w:style w:type="paragraph" w:customStyle="1" w:styleId="subsection">
    <w:name w:val="subsection"/>
    <w:basedOn w:val="Normal"/>
    <w:rsid w:val="00827F7D"/>
    <w:pPr>
      <w:spacing w:before="100" w:beforeAutospacing="1" w:after="100" w:afterAutospacing="1"/>
    </w:pPr>
    <w:rPr>
      <w:rFonts w:ascii="Arial" w:eastAsia="Times New Roman" w:hAnsi="Arial" w:cs="Times New Roman"/>
    </w:rPr>
  </w:style>
  <w:style w:type="character" w:customStyle="1" w:styleId="wb-invisible">
    <w:name w:val="wb-invisible"/>
    <w:basedOn w:val="DefaultParagraphFont"/>
    <w:rsid w:val="00827F7D"/>
  </w:style>
  <w:style w:type="character" w:styleId="PageNumber">
    <w:name w:val="page number"/>
    <w:basedOn w:val="DefaultParagraphFont"/>
    <w:uiPriority w:val="99"/>
    <w:unhideWhenUsed/>
    <w:rsid w:val="00827F7D"/>
  </w:style>
  <w:style w:type="numbering" w:customStyle="1" w:styleId="NoList1">
    <w:name w:val="No List1"/>
    <w:next w:val="NoList"/>
    <w:uiPriority w:val="99"/>
    <w:semiHidden/>
    <w:unhideWhenUsed/>
    <w:rsid w:val="00827F7D"/>
  </w:style>
  <w:style w:type="paragraph" w:customStyle="1" w:styleId="Level3">
    <w:name w:val="Level 3"/>
    <w:basedOn w:val="Heading3"/>
    <w:rsid w:val="00827F7D"/>
    <w:pPr>
      <w:keepNext w:val="0"/>
      <w:keepLines w:val="0"/>
      <w:spacing w:before="0" w:after="200"/>
      <w:ind w:left="1440"/>
    </w:pPr>
    <w:rPr>
      <w:rFonts w:ascii="Arial" w:eastAsiaTheme="minorEastAsia" w:hAnsi="Arial" w:cstheme="minorBidi"/>
      <w:bCs/>
      <w:u w:val="single"/>
    </w:rPr>
  </w:style>
  <w:style w:type="paragraph" w:customStyle="1" w:styleId="TIMESUNDERLINEBOLD">
    <w:name w:val="TIMESUNDERLINEBOLD"/>
    <w:basedOn w:val="Heading3"/>
    <w:autoRedefine/>
    <w:rsid w:val="00827F7D"/>
    <w:pPr>
      <w:keepNext w:val="0"/>
      <w:keepLines w:val="0"/>
      <w:spacing w:before="0" w:after="200"/>
      <w:ind w:left="1440"/>
    </w:pPr>
    <w:rPr>
      <w:rFonts w:ascii="Arial" w:eastAsiaTheme="minorEastAsia" w:hAnsi="Arial" w:cstheme="minorBidi"/>
      <w:bCs/>
      <w:u w:val="single"/>
    </w:rPr>
  </w:style>
  <w:style w:type="character" w:customStyle="1" w:styleId="subfielddata">
    <w:name w:val="subfielddata"/>
    <w:basedOn w:val="DefaultParagraphFont"/>
    <w:rsid w:val="00827F7D"/>
  </w:style>
  <w:style w:type="paragraph" w:styleId="BodyText3">
    <w:name w:val="Body Text 3"/>
    <w:basedOn w:val="Normal"/>
    <w:link w:val="BodyText3Char"/>
    <w:rsid w:val="00827F7D"/>
    <w:pPr>
      <w:spacing w:after="200"/>
      <w:ind w:left="567" w:right="567"/>
    </w:pPr>
    <w:rPr>
      <w:rFonts w:ascii="Gill Sans MT" w:eastAsiaTheme="minorEastAsia" w:hAnsi="Gill Sans MT"/>
      <w:szCs w:val="16"/>
    </w:rPr>
  </w:style>
  <w:style w:type="character" w:customStyle="1" w:styleId="BodyText3Char">
    <w:name w:val="Body Text 3 Char"/>
    <w:basedOn w:val="DefaultParagraphFont"/>
    <w:link w:val="BodyText3"/>
    <w:rsid w:val="00827F7D"/>
    <w:rPr>
      <w:rFonts w:ascii="Gill Sans MT" w:hAnsi="Gill Sans MT"/>
      <w:sz w:val="22"/>
      <w:szCs w:val="16"/>
    </w:rPr>
  </w:style>
  <w:style w:type="paragraph" w:styleId="Revision">
    <w:name w:val="Revision"/>
    <w:hidden/>
    <w:rsid w:val="00827F7D"/>
    <w:rPr>
      <w:rFonts w:ascii="Arial" w:hAnsi="Arial"/>
      <w:sz w:val="22"/>
      <w:szCs w:val="22"/>
    </w:rPr>
  </w:style>
  <w:style w:type="character" w:customStyle="1" w:styleId="legds">
    <w:name w:val="legds"/>
    <w:basedOn w:val="DefaultParagraphFont"/>
    <w:rsid w:val="00827F7D"/>
  </w:style>
  <w:style w:type="paragraph" w:customStyle="1" w:styleId="legclearfix">
    <w:name w:val="legclearfix"/>
    <w:basedOn w:val="Normal"/>
    <w:rsid w:val="00827F7D"/>
    <w:pPr>
      <w:spacing w:before="100" w:beforeAutospacing="1" w:after="100" w:afterAutospacing="1"/>
    </w:pPr>
    <w:rPr>
      <w:rFonts w:eastAsia="Times New Roman" w:cs="Times New Roman"/>
      <w:lang w:eastAsia="en-CA"/>
    </w:rPr>
  </w:style>
  <w:style w:type="character" w:customStyle="1" w:styleId="legterm">
    <w:name w:val="legterm"/>
    <w:basedOn w:val="DefaultParagraphFont"/>
    <w:rsid w:val="00827F7D"/>
  </w:style>
  <w:style w:type="character" w:customStyle="1" w:styleId="counderline">
    <w:name w:val="co_underline"/>
    <w:basedOn w:val="DefaultParagraphFont"/>
    <w:rsid w:val="00827F7D"/>
  </w:style>
  <w:style w:type="character" w:customStyle="1" w:styleId="apple-converted-space">
    <w:name w:val="apple-converted-space"/>
    <w:basedOn w:val="DefaultParagraphFont"/>
    <w:rsid w:val="00827F7D"/>
  </w:style>
  <w:style w:type="paragraph" w:styleId="NoSpacing">
    <w:name w:val="No Spacing"/>
    <w:uiPriority w:val="1"/>
    <w:rsid w:val="005D7DE5"/>
    <w:rPr>
      <w:rFonts w:ascii="Times New Roman" w:eastAsiaTheme="minorHAnsi" w:hAnsi="Times New Roman"/>
      <w:sz w:val="22"/>
      <w:szCs w:val="22"/>
    </w:rPr>
  </w:style>
  <w:style w:type="paragraph" w:customStyle="1" w:styleId="BlockQuote">
    <w:name w:val="Block Quote"/>
    <w:basedOn w:val="Normal"/>
    <w:link w:val="BlockQuoteChar"/>
    <w:qFormat/>
    <w:rsid w:val="00F80771"/>
    <w:pPr>
      <w:spacing w:before="120" w:after="120"/>
      <w:ind w:left="720" w:right="720"/>
    </w:pPr>
    <w:rPr>
      <w:sz w:val="21"/>
    </w:rPr>
  </w:style>
  <w:style w:type="character" w:customStyle="1" w:styleId="BlockQuoteChar">
    <w:name w:val="Block Quote Char"/>
    <w:basedOn w:val="DefaultParagraphFont"/>
    <w:link w:val="BlockQuote"/>
    <w:rsid w:val="00F80771"/>
    <w:rPr>
      <w:rFonts w:ascii="Times New Roman" w:eastAsiaTheme="minorHAnsi" w:hAnsi="Times New Roman"/>
      <w:sz w:val="21"/>
      <w:szCs w:val="22"/>
      <w:lang w:val="en-CA"/>
    </w:rPr>
  </w:style>
  <w:style w:type="paragraph" w:customStyle="1" w:styleId="ExcerptMarker">
    <w:name w:val="Excerpt Marker"/>
    <w:basedOn w:val="Normal"/>
    <w:link w:val="ExcerptMarkerChar"/>
    <w:qFormat/>
    <w:rsid w:val="00D6361A"/>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D6361A"/>
    <w:rPr>
      <w:rFonts w:ascii="Times New Roman" w:hAnsi="Times New Roman" w:cs="Times New Roman"/>
      <w:smallCaps/>
      <w:sz w:val="18"/>
      <w:szCs w:val="22"/>
      <w:lang w:eastAsia="zh-CN"/>
    </w:rPr>
  </w:style>
  <w:style w:type="paragraph" w:customStyle="1" w:styleId="TitlePgChTitle">
    <w:name w:val="Title Pg Ch. Title"/>
    <w:basedOn w:val="Normal"/>
    <w:link w:val="TitlePgChTitleChar"/>
    <w:qFormat/>
    <w:rsid w:val="00D6361A"/>
    <w:pPr>
      <w:jc w:val="center"/>
    </w:pPr>
    <w:rPr>
      <w:b/>
      <w:smallCaps/>
      <w:spacing w:val="10"/>
      <w:sz w:val="36"/>
    </w:rPr>
  </w:style>
  <w:style w:type="character" w:customStyle="1" w:styleId="TitlePgChTitleChar">
    <w:name w:val="Title Pg Ch. Title Char"/>
    <w:basedOn w:val="DefaultParagraphFont"/>
    <w:link w:val="TitlePgChTitle"/>
    <w:rsid w:val="00D6361A"/>
    <w:rPr>
      <w:rFonts w:ascii="Times New Roman" w:eastAsiaTheme="minorHAnsi" w:hAnsi="Times New Roman"/>
      <w:b/>
      <w:smallCaps/>
      <w:spacing w:val="10"/>
      <w:sz w:val="36"/>
      <w:szCs w:val="22"/>
      <w:lang w:val="en-CA"/>
    </w:rPr>
  </w:style>
  <w:style w:type="paragraph" w:customStyle="1" w:styleId="TitlePgCh">
    <w:name w:val="Title Pg Ch.#"/>
    <w:basedOn w:val="Normal"/>
    <w:link w:val="TitlePgChChar"/>
    <w:qFormat/>
    <w:rsid w:val="00F80771"/>
    <w:pPr>
      <w:spacing w:after="480"/>
      <w:jc w:val="center"/>
    </w:pPr>
    <w:rPr>
      <w:b/>
      <w:smallCaps/>
      <w:spacing w:val="20"/>
      <w:sz w:val="28"/>
    </w:rPr>
  </w:style>
  <w:style w:type="character" w:customStyle="1" w:styleId="TitlePgChChar">
    <w:name w:val="Title Pg Ch.# Char"/>
    <w:basedOn w:val="DefaultParagraphFont"/>
    <w:link w:val="TitlePgCh"/>
    <w:rsid w:val="00F80771"/>
    <w:rPr>
      <w:rFonts w:ascii="Times New Roman" w:eastAsiaTheme="minorHAnsi" w:hAnsi="Times New Roman"/>
      <w:b/>
      <w:smallCaps/>
      <w:spacing w:val="20"/>
      <w:sz w:val="28"/>
      <w:szCs w:val="22"/>
      <w:lang w:val="en-CA"/>
    </w:rPr>
  </w:style>
  <w:style w:type="paragraph" w:customStyle="1" w:styleId="TOCHeading1">
    <w:name w:val="TOC Heading1"/>
    <w:basedOn w:val="Normal"/>
    <w:link w:val="ToCHeadingChar"/>
    <w:autoRedefine/>
    <w:qFormat/>
    <w:rsid w:val="00D6361A"/>
    <w:pPr>
      <w:jc w:val="left"/>
    </w:pPr>
    <w:rPr>
      <w:b/>
      <w:smallCaps/>
      <w:spacing w:val="4"/>
      <w:sz w:val="32"/>
    </w:rPr>
  </w:style>
  <w:style w:type="character" w:customStyle="1" w:styleId="ToCHeadingChar">
    <w:name w:val="ToC Heading Char"/>
    <w:basedOn w:val="DefaultParagraphFont"/>
    <w:link w:val="TOCHeading1"/>
    <w:rsid w:val="00D6361A"/>
    <w:rPr>
      <w:rFonts w:ascii="Times New Roman" w:eastAsiaTheme="minorHAnsi" w:hAnsi="Times New Roman"/>
      <w:b/>
      <w:smallCaps/>
      <w:spacing w:val="4"/>
      <w:sz w:val="32"/>
      <w:szCs w:val="22"/>
      <w:lang w:val="en-CA"/>
    </w:rPr>
  </w:style>
  <w:style w:type="numbering" w:customStyle="1" w:styleId="Style1">
    <w:name w:val="Style1"/>
    <w:uiPriority w:val="99"/>
    <w:rsid w:val="001A11D0"/>
    <w:pPr>
      <w:numPr>
        <w:numId w:val="17"/>
      </w:numPr>
    </w:pPr>
  </w:style>
  <w:style w:type="numbering" w:customStyle="1" w:styleId="Style2">
    <w:name w:val="Style2"/>
    <w:uiPriority w:val="99"/>
    <w:rsid w:val="001A11D0"/>
    <w:pPr>
      <w:numPr>
        <w:numId w:val="19"/>
      </w:numPr>
    </w:pPr>
  </w:style>
  <w:style w:type="numbering" w:customStyle="1" w:styleId="Style3">
    <w:name w:val="Style3"/>
    <w:uiPriority w:val="99"/>
    <w:rsid w:val="00D40254"/>
    <w:pPr>
      <w:numPr>
        <w:numId w:val="36"/>
      </w:numPr>
    </w:pPr>
  </w:style>
  <w:style w:type="numbering" w:customStyle="1" w:styleId="Style4">
    <w:name w:val="Style4"/>
    <w:uiPriority w:val="99"/>
    <w:rsid w:val="003F643B"/>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9662">
      <w:bodyDiv w:val="1"/>
      <w:marLeft w:val="0"/>
      <w:marRight w:val="0"/>
      <w:marTop w:val="0"/>
      <w:marBottom w:val="0"/>
      <w:divBdr>
        <w:top w:val="none" w:sz="0" w:space="0" w:color="auto"/>
        <w:left w:val="none" w:sz="0" w:space="0" w:color="auto"/>
        <w:bottom w:val="none" w:sz="0" w:space="0" w:color="auto"/>
        <w:right w:val="none" w:sz="0" w:space="0" w:color="auto"/>
      </w:divBdr>
    </w:div>
    <w:div w:id="94522714">
      <w:bodyDiv w:val="1"/>
      <w:marLeft w:val="0"/>
      <w:marRight w:val="0"/>
      <w:marTop w:val="0"/>
      <w:marBottom w:val="0"/>
      <w:divBdr>
        <w:top w:val="none" w:sz="0" w:space="0" w:color="auto"/>
        <w:left w:val="none" w:sz="0" w:space="0" w:color="auto"/>
        <w:bottom w:val="none" w:sz="0" w:space="0" w:color="auto"/>
        <w:right w:val="none" w:sz="0" w:space="0" w:color="auto"/>
      </w:divBdr>
    </w:div>
    <w:div w:id="142621062">
      <w:bodyDiv w:val="1"/>
      <w:marLeft w:val="0"/>
      <w:marRight w:val="0"/>
      <w:marTop w:val="0"/>
      <w:marBottom w:val="0"/>
      <w:divBdr>
        <w:top w:val="none" w:sz="0" w:space="0" w:color="auto"/>
        <w:left w:val="none" w:sz="0" w:space="0" w:color="auto"/>
        <w:bottom w:val="none" w:sz="0" w:space="0" w:color="auto"/>
        <w:right w:val="none" w:sz="0" w:space="0" w:color="auto"/>
      </w:divBdr>
    </w:div>
    <w:div w:id="165365519">
      <w:bodyDiv w:val="1"/>
      <w:marLeft w:val="0"/>
      <w:marRight w:val="0"/>
      <w:marTop w:val="0"/>
      <w:marBottom w:val="0"/>
      <w:divBdr>
        <w:top w:val="none" w:sz="0" w:space="0" w:color="auto"/>
        <w:left w:val="none" w:sz="0" w:space="0" w:color="auto"/>
        <w:bottom w:val="none" w:sz="0" w:space="0" w:color="auto"/>
        <w:right w:val="none" w:sz="0" w:space="0" w:color="auto"/>
      </w:divBdr>
    </w:div>
    <w:div w:id="200947284">
      <w:bodyDiv w:val="1"/>
      <w:marLeft w:val="0"/>
      <w:marRight w:val="0"/>
      <w:marTop w:val="0"/>
      <w:marBottom w:val="0"/>
      <w:divBdr>
        <w:top w:val="none" w:sz="0" w:space="0" w:color="auto"/>
        <w:left w:val="none" w:sz="0" w:space="0" w:color="auto"/>
        <w:bottom w:val="none" w:sz="0" w:space="0" w:color="auto"/>
        <w:right w:val="none" w:sz="0" w:space="0" w:color="auto"/>
      </w:divBdr>
    </w:div>
    <w:div w:id="290980640">
      <w:bodyDiv w:val="1"/>
      <w:marLeft w:val="0"/>
      <w:marRight w:val="0"/>
      <w:marTop w:val="0"/>
      <w:marBottom w:val="0"/>
      <w:divBdr>
        <w:top w:val="none" w:sz="0" w:space="0" w:color="auto"/>
        <w:left w:val="none" w:sz="0" w:space="0" w:color="auto"/>
        <w:bottom w:val="none" w:sz="0" w:space="0" w:color="auto"/>
        <w:right w:val="none" w:sz="0" w:space="0" w:color="auto"/>
      </w:divBdr>
    </w:div>
    <w:div w:id="309094938">
      <w:bodyDiv w:val="1"/>
      <w:marLeft w:val="0"/>
      <w:marRight w:val="0"/>
      <w:marTop w:val="0"/>
      <w:marBottom w:val="0"/>
      <w:divBdr>
        <w:top w:val="none" w:sz="0" w:space="0" w:color="auto"/>
        <w:left w:val="none" w:sz="0" w:space="0" w:color="auto"/>
        <w:bottom w:val="none" w:sz="0" w:space="0" w:color="auto"/>
        <w:right w:val="none" w:sz="0" w:space="0" w:color="auto"/>
      </w:divBdr>
    </w:div>
    <w:div w:id="415980968">
      <w:bodyDiv w:val="1"/>
      <w:marLeft w:val="0"/>
      <w:marRight w:val="0"/>
      <w:marTop w:val="0"/>
      <w:marBottom w:val="0"/>
      <w:divBdr>
        <w:top w:val="none" w:sz="0" w:space="0" w:color="auto"/>
        <w:left w:val="none" w:sz="0" w:space="0" w:color="auto"/>
        <w:bottom w:val="none" w:sz="0" w:space="0" w:color="auto"/>
        <w:right w:val="none" w:sz="0" w:space="0" w:color="auto"/>
      </w:divBdr>
    </w:div>
    <w:div w:id="456997119">
      <w:bodyDiv w:val="1"/>
      <w:marLeft w:val="0"/>
      <w:marRight w:val="0"/>
      <w:marTop w:val="0"/>
      <w:marBottom w:val="0"/>
      <w:divBdr>
        <w:top w:val="none" w:sz="0" w:space="0" w:color="auto"/>
        <w:left w:val="none" w:sz="0" w:space="0" w:color="auto"/>
        <w:bottom w:val="none" w:sz="0" w:space="0" w:color="auto"/>
        <w:right w:val="none" w:sz="0" w:space="0" w:color="auto"/>
      </w:divBdr>
    </w:div>
    <w:div w:id="469983878">
      <w:bodyDiv w:val="1"/>
      <w:marLeft w:val="0"/>
      <w:marRight w:val="0"/>
      <w:marTop w:val="0"/>
      <w:marBottom w:val="0"/>
      <w:divBdr>
        <w:top w:val="none" w:sz="0" w:space="0" w:color="auto"/>
        <w:left w:val="none" w:sz="0" w:space="0" w:color="auto"/>
        <w:bottom w:val="none" w:sz="0" w:space="0" w:color="auto"/>
        <w:right w:val="none" w:sz="0" w:space="0" w:color="auto"/>
      </w:divBdr>
    </w:div>
    <w:div w:id="470442060">
      <w:bodyDiv w:val="1"/>
      <w:marLeft w:val="0"/>
      <w:marRight w:val="0"/>
      <w:marTop w:val="0"/>
      <w:marBottom w:val="0"/>
      <w:divBdr>
        <w:top w:val="none" w:sz="0" w:space="0" w:color="auto"/>
        <w:left w:val="none" w:sz="0" w:space="0" w:color="auto"/>
        <w:bottom w:val="none" w:sz="0" w:space="0" w:color="auto"/>
        <w:right w:val="none" w:sz="0" w:space="0" w:color="auto"/>
      </w:divBdr>
    </w:div>
    <w:div w:id="657197537">
      <w:bodyDiv w:val="1"/>
      <w:marLeft w:val="0"/>
      <w:marRight w:val="0"/>
      <w:marTop w:val="0"/>
      <w:marBottom w:val="0"/>
      <w:divBdr>
        <w:top w:val="none" w:sz="0" w:space="0" w:color="auto"/>
        <w:left w:val="none" w:sz="0" w:space="0" w:color="auto"/>
        <w:bottom w:val="none" w:sz="0" w:space="0" w:color="auto"/>
        <w:right w:val="none" w:sz="0" w:space="0" w:color="auto"/>
      </w:divBdr>
    </w:div>
    <w:div w:id="739063731">
      <w:bodyDiv w:val="1"/>
      <w:marLeft w:val="0"/>
      <w:marRight w:val="0"/>
      <w:marTop w:val="0"/>
      <w:marBottom w:val="0"/>
      <w:divBdr>
        <w:top w:val="none" w:sz="0" w:space="0" w:color="auto"/>
        <w:left w:val="none" w:sz="0" w:space="0" w:color="auto"/>
        <w:bottom w:val="none" w:sz="0" w:space="0" w:color="auto"/>
        <w:right w:val="none" w:sz="0" w:space="0" w:color="auto"/>
      </w:divBdr>
    </w:div>
    <w:div w:id="776103015">
      <w:bodyDiv w:val="1"/>
      <w:marLeft w:val="0"/>
      <w:marRight w:val="0"/>
      <w:marTop w:val="0"/>
      <w:marBottom w:val="0"/>
      <w:divBdr>
        <w:top w:val="none" w:sz="0" w:space="0" w:color="auto"/>
        <w:left w:val="none" w:sz="0" w:space="0" w:color="auto"/>
        <w:bottom w:val="none" w:sz="0" w:space="0" w:color="auto"/>
        <w:right w:val="none" w:sz="0" w:space="0" w:color="auto"/>
      </w:divBdr>
    </w:div>
    <w:div w:id="820270356">
      <w:bodyDiv w:val="1"/>
      <w:marLeft w:val="0"/>
      <w:marRight w:val="0"/>
      <w:marTop w:val="0"/>
      <w:marBottom w:val="0"/>
      <w:divBdr>
        <w:top w:val="none" w:sz="0" w:space="0" w:color="auto"/>
        <w:left w:val="none" w:sz="0" w:space="0" w:color="auto"/>
        <w:bottom w:val="none" w:sz="0" w:space="0" w:color="auto"/>
        <w:right w:val="none" w:sz="0" w:space="0" w:color="auto"/>
      </w:divBdr>
    </w:div>
    <w:div w:id="919945325">
      <w:bodyDiv w:val="1"/>
      <w:marLeft w:val="0"/>
      <w:marRight w:val="0"/>
      <w:marTop w:val="0"/>
      <w:marBottom w:val="0"/>
      <w:divBdr>
        <w:top w:val="none" w:sz="0" w:space="0" w:color="auto"/>
        <w:left w:val="none" w:sz="0" w:space="0" w:color="auto"/>
        <w:bottom w:val="none" w:sz="0" w:space="0" w:color="auto"/>
        <w:right w:val="none" w:sz="0" w:space="0" w:color="auto"/>
      </w:divBdr>
    </w:div>
    <w:div w:id="937254313">
      <w:bodyDiv w:val="1"/>
      <w:marLeft w:val="0"/>
      <w:marRight w:val="0"/>
      <w:marTop w:val="0"/>
      <w:marBottom w:val="0"/>
      <w:divBdr>
        <w:top w:val="none" w:sz="0" w:space="0" w:color="auto"/>
        <w:left w:val="none" w:sz="0" w:space="0" w:color="auto"/>
        <w:bottom w:val="none" w:sz="0" w:space="0" w:color="auto"/>
        <w:right w:val="none" w:sz="0" w:space="0" w:color="auto"/>
      </w:divBdr>
    </w:div>
    <w:div w:id="1086994776">
      <w:bodyDiv w:val="1"/>
      <w:marLeft w:val="0"/>
      <w:marRight w:val="0"/>
      <w:marTop w:val="0"/>
      <w:marBottom w:val="0"/>
      <w:divBdr>
        <w:top w:val="none" w:sz="0" w:space="0" w:color="auto"/>
        <w:left w:val="none" w:sz="0" w:space="0" w:color="auto"/>
        <w:bottom w:val="none" w:sz="0" w:space="0" w:color="auto"/>
        <w:right w:val="none" w:sz="0" w:space="0" w:color="auto"/>
      </w:divBdr>
    </w:div>
    <w:div w:id="1133248949">
      <w:bodyDiv w:val="1"/>
      <w:marLeft w:val="0"/>
      <w:marRight w:val="0"/>
      <w:marTop w:val="0"/>
      <w:marBottom w:val="0"/>
      <w:divBdr>
        <w:top w:val="none" w:sz="0" w:space="0" w:color="auto"/>
        <w:left w:val="none" w:sz="0" w:space="0" w:color="auto"/>
        <w:bottom w:val="none" w:sz="0" w:space="0" w:color="auto"/>
        <w:right w:val="none" w:sz="0" w:space="0" w:color="auto"/>
      </w:divBdr>
    </w:div>
    <w:div w:id="1202130839">
      <w:bodyDiv w:val="1"/>
      <w:marLeft w:val="0"/>
      <w:marRight w:val="0"/>
      <w:marTop w:val="0"/>
      <w:marBottom w:val="0"/>
      <w:divBdr>
        <w:top w:val="none" w:sz="0" w:space="0" w:color="auto"/>
        <w:left w:val="none" w:sz="0" w:space="0" w:color="auto"/>
        <w:bottom w:val="none" w:sz="0" w:space="0" w:color="auto"/>
        <w:right w:val="none" w:sz="0" w:space="0" w:color="auto"/>
      </w:divBdr>
    </w:div>
    <w:div w:id="1224633530">
      <w:bodyDiv w:val="1"/>
      <w:marLeft w:val="0"/>
      <w:marRight w:val="0"/>
      <w:marTop w:val="0"/>
      <w:marBottom w:val="0"/>
      <w:divBdr>
        <w:top w:val="none" w:sz="0" w:space="0" w:color="auto"/>
        <w:left w:val="none" w:sz="0" w:space="0" w:color="auto"/>
        <w:bottom w:val="none" w:sz="0" w:space="0" w:color="auto"/>
        <w:right w:val="none" w:sz="0" w:space="0" w:color="auto"/>
      </w:divBdr>
    </w:div>
    <w:div w:id="1225290971">
      <w:bodyDiv w:val="1"/>
      <w:marLeft w:val="0"/>
      <w:marRight w:val="0"/>
      <w:marTop w:val="0"/>
      <w:marBottom w:val="0"/>
      <w:divBdr>
        <w:top w:val="none" w:sz="0" w:space="0" w:color="auto"/>
        <w:left w:val="none" w:sz="0" w:space="0" w:color="auto"/>
        <w:bottom w:val="none" w:sz="0" w:space="0" w:color="auto"/>
        <w:right w:val="none" w:sz="0" w:space="0" w:color="auto"/>
      </w:divBdr>
    </w:div>
    <w:div w:id="1280139783">
      <w:bodyDiv w:val="1"/>
      <w:marLeft w:val="0"/>
      <w:marRight w:val="0"/>
      <w:marTop w:val="0"/>
      <w:marBottom w:val="0"/>
      <w:divBdr>
        <w:top w:val="none" w:sz="0" w:space="0" w:color="auto"/>
        <w:left w:val="none" w:sz="0" w:space="0" w:color="auto"/>
        <w:bottom w:val="none" w:sz="0" w:space="0" w:color="auto"/>
        <w:right w:val="none" w:sz="0" w:space="0" w:color="auto"/>
      </w:divBdr>
    </w:div>
    <w:div w:id="1288589347">
      <w:bodyDiv w:val="1"/>
      <w:marLeft w:val="0"/>
      <w:marRight w:val="0"/>
      <w:marTop w:val="0"/>
      <w:marBottom w:val="0"/>
      <w:divBdr>
        <w:top w:val="none" w:sz="0" w:space="0" w:color="auto"/>
        <w:left w:val="none" w:sz="0" w:space="0" w:color="auto"/>
        <w:bottom w:val="none" w:sz="0" w:space="0" w:color="auto"/>
        <w:right w:val="none" w:sz="0" w:space="0" w:color="auto"/>
      </w:divBdr>
    </w:div>
    <w:div w:id="1326588398">
      <w:bodyDiv w:val="1"/>
      <w:marLeft w:val="0"/>
      <w:marRight w:val="0"/>
      <w:marTop w:val="0"/>
      <w:marBottom w:val="0"/>
      <w:divBdr>
        <w:top w:val="none" w:sz="0" w:space="0" w:color="auto"/>
        <w:left w:val="none" w:sz="0" w:space="0" w:color="auto"/>
        <w:bottom w:val="none" w:sz="0" w:space="0" w:color="auto"/>
        <w:right w:val="none" w:sz="0" w:space="0" w:color="auto"/>
      </w:divBdr>
    </w:div>
    <w:div w:id="1358116285">
      <w:bodyDiv w:val="1"/>
      <w:marLeft w:val="0"/>
      <w:marRight w:val="0"/>
      <w:marTop w:val="0"/>
      <w:marBottom w:val="0"/>
      <w:divBdr>
        <w:top w:val="none" w:sz="0" w:space="0" w:color="auto"/>
        <w:left w:val="none" w:sz="0" w:space="0" w:color="auto"/>
        <w:bottom w:val="none" w:sz="0" w:space="0" w:color="auto"/>
        <w:right w:val="none" w:sz="0" w:space="0" w:color="auto"/>
      </w:divBdr>
    </w:div>
    <w:div w:id="1428380645">
      <w:bodyDiv w:val="1"/>
      <w:marLeft w:val="0"/>
      <w:marRight w:val="0"/>
      <w:marTop w:val="0"/>
      <w:marBottom w:val="0"/>
      <w:divBdr>
        <w:top w:val="none" w:sz="0" w:space="0" w:color="auto"/>
        <w:left w:val="none" w:sz="0" w:space="0" w:color="auto"/>
        <w:bottom w:val="none" w:sz="0" w:space="0" w:color="auto"/>
        <w:right w:val="none" w:sz="0" w:space="0" w:color="auto"/>
      </w:divBdr>
    </w:div>
    <w:div w:id="1500197688">
      <w:bodyDiv w:val="1"/>
      <w:marLeft w:val="0"/>
      <w:marRight w:val="0"/>
      <w:marTop w:val="0"/>
      <w:marBottom w:val="0"/>
      <w:divBdr>
        <w:top w:val="none" w:sz="0" w:space="0" w:color="auto"/>
        <w:left w:val="none" w:sz="0" w:space="0" w:color="auto"/>
        <w:bottom w:val="none" w:sz="0" w:space="0" w:color="auto"/>
        <w:right w:val="none" w:sz="0" w:space="0" w:color="auto"/>
      </w:divBdr>
    </w:div>
    <w:div w:id="1572157542">
      <w:bodyDiv w:val="1"/>
      <w:marLeft w:val="0"/>
      <w:marRight w:val="0"/>
      <w:marTop w:val="0"/>
      <w:marBottom w:val="0"/>
      <w:divBdr>
        <w:top w:val="none" w:sz="0" w:space="0" w:color="auto"/>
        <w:left w:val="none" w:sz="0" w:space="0" w:color="auto"/>
        <w:bottom w:val="none" w:sz="0" w:space="0" w:color="auto"/>
        <w:right w:val="none" w:sz="0" w:space="0" w:color="auto"/>
      </w:divBdr>
    </w:div>
    <w:div w:id="1573345165">
      <w:bodyDiv w:val="1"/>
      <w:marLeft w:val="0"/>
      <w:marRight w:val="0"/>
      <w:marTop w:val="0"/>
      <w:marBottom w:val="0"/>
      <w:divBdr>
        <w:top w:val="none" w:sz="0" w:space="0" w:color="auto"/>
        <w:left w:val="none" w:sz="0" w:space="0" w:color="auto"/>
        <w:bottom w:val="none" w:sz="0" w:space="0" w:color="auto"/>
        <w:right w:val="none" w:sz="0" w:space="0" w:color="auto"/>
      </w:divBdr>
    </w:div>
    <w:div w:id="1583878224">
      <w:bodyDiv w:val="1"/>
      <w:marLeft w:val="0"/>
      <w:marRight w:val="0"/>
      <w:marTop w:val="0"/>
      <w:marBottom w:val="0"/>
      <w:divBdr>
        <w:top w:val="none" w:sz="0" w:space="0" w:color="auto"/>
        <w:left w:val="none" w:sz="0" w:space="0" w:color="auto"/>
        <w:bottom w:val="none" w:sz="0" w:space="0" w:color="auto"/>
        <w:right w:val="none" w:sz="0" w:space="0" w:color="auto"/>
      </w:divBdr>
    </w:div>
    <w:div w:id="1618368665">
      <w:bodyDiv w:val="1"/>
      <w:marLeft w:val="0"/>
      <w:marRight w:val="0"/>
      <w:marTop w:val="0"/>
      <w:marBottom w:val="0"/>
      <w:divBdr>
        <w:top w:val="none" w:sz="0" w:space="0" w:color="auto"/>
        <w:left w:val="none" w:sz="0" w:space="0" w:color="auto"/>
        <w:bottom w:val="none" w:sz="0" w:space="0" w:color="auto"/>
        <w:right w:val="none" w:sz="0" w:space="0" w:color="auto"/>
      </w:divBdr>
    </w:div>
    <w:div w:id="1792089102">
      <w:bodyDiv w:val="1"/>
      <w:marLeft w:val="0"/>
      <w:marRight w:val="0"/>
      <w:marTop w:val="0"/>
      <w:marBottom w:val="0"/>
      <w:divBdr>
        <w:top w:val="none" w:sz="0" w:space="0" w:color="auto"/>
        <w:left w:val="none" w:sz="0" w:space="0" w:color="auto"/>
        <w:bottom w:val="none" w:sz="0" w:space="0" w:color="auto"/>
        <w:right w:val="none" w:sz="0" w:space="0" w:color="auto"/>
      </w:divBdr>
    </w:div>
    <w:div w:id="1792360315">
      <w:bodyDiv w:val="1"/>
      <w:marLeft w:val="0"/>
      <w:marRight w:val="0"/>
      <w:marTop w:val="0"/>
      <w:marBottom w:val="0"/>
      <w:divBdr>
        <w:top w:val="none" w:sz="0" w:space="0" w:color="auto"/>
        <w:left w:val="none" w:sz="0" w:space="0" w:color="auto"/>
        <w:bottom w:val="none" w:sz="0" w:space="0" w:color="auto"/>
        <w:right w:val="none" w:sz="0" w:space="0" w:color="auto"/>
      </w:divBdr>
    </w:div>
    <w:div w:id="1805851603">
      <w:bodyDiv w:val="1"/>
      <w:marLeft w:val="0"/>
      <w:marRight w:val="0"/>
      <w:marTop w:val="0"/>
      <w:marBottom w:val="0"/>
      <w:divBdr>
        <w:top w:val="none" w:sz="0" w:space="0" w:color="auto"/>
        <w:left w:val="none" w:sz="0" w:space="0" w:color="auto"/>
        <w:bottom w:val="none" w:sz="0" w:space="0" w:color="auto"/>
        <w:right w:val="none" w:sz="0" w:space="0" w:color="auto"/>
      </w:divBdr>
    </w:div>
    <w:div w:id="1841965816">
      <w:bodyDiv w:val="1"/>
      <w:marLeft w:val="0"/>
      <w:marRight w:val="0"/>
      <w:marTop w:val="0"/>
      <w:marBottom w:val="0"/>
      <w:divBdr>
        <w:top w:val="none" w:sz="0" w:space="0" w:color="auto"/>
        <w:left w:val="none" w:sz="0" w:space="0" w:color="auto"/>
        <w:bottom w:val="none" w:sz="0" w:space="0" w:color="auto"/>
        <w:right w:val="none" w:sz="0" w:space="0" w:color="auto"/>
      </w:divBdr>
    </w:div>
    <w:div w:id="2020572606">
      <w:bodyDiv w:val="1"/>
      <w:marLeft w:val="0"/>
      <w:marRight w:val="0"/>
      <w:marTop w:val="0"/>
      <w:marBottom w:val="0"/>
      <w:divBdr>
        <w:top w:val="none" w:sz="0" w:space="0" w:color="auto"/>
        <w:left w:val="none" w:sz="0" w:space="0" w:color="auto"/>
        <w:bottom w:val="none" w:sz="0" w:space="0" w:color="auto"/>
        <w:right w:val="none" w:sz="0" w:space="0" w:color="auto"/>
      </w:divBdr>
    </w:div>
    <w:div w:id="20462530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xtcanada.westlaw.com/Link/Document/FullText?findType=Y&amp;serNum=1971023306&amp;originationContext=document&amp;transitionType=Document&amp;contextData=%28sc.UserEnteredCitation%2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justice.gov.uk/downloads/legislation/bribery-act-2010-guidance.pdf" TargetMode="External"/><Relationship Id="rId13" Type="http://schemas.openxmlformats.org/officeDocument/2006/relationships/hyperlink" Target="http://www.oecd.org/dataoecd/18/25/39882963.pdf" TargetMode="External"/><Relationship Id="rId18" Type="http://schemas.openxmlformats.org/officeDocument/2006/relationships/hyperlink" Target="https://www.sfo.gov.uk/2016/02/19/sweett-group-plc-sentenced-and-ordered-to-pay-2-3-million-after-bribery-act-conviction/" TargetMode="External"/><Relationship Id="rId3" Type="http://schemas.openxmlformats.org/officeDocument/2006/relationships/hyperlink" Target="https://www.unodc.org/documents/treaties/UNCAC/Publications/LegislativeGuide/UNCAC_Legislative_Guide_E.pdf" TargetMode="External"/><Relationship Id="rId7" Type="http://schemas.openxmlformats.org/officeDocument/2006/relationships/hyperlink" Target="https://ssrn.com/abstract=2489675" TargetMode="External"/><Relationship Id="rId12" Type="http://schemas.openxmlformats.org/officeDocument/2006/relationships/hyperlink" Target="http://www.unodc.org/documents/corruption/Technical_Guide_UNCAC.pdf" TargetMode="External"/><Relationship Id="rId17" Type="http://schemas.openxmlformats.org/officeDocument/2006/relationships/hyperlink" Target="https://www.sfo.gov.uk/2015/12/18/sweett-group-plc-pleads-guilty-to-bribery-offence/" TargetMode="External"/><Relationship Id="rId2" Type="http://schemas.openxmlformats.org/officeDocument/2006/relationships/hyperlink" Target="https://www.hks.harvard.edu/m-rcbg/CSRI/publications/workingpaper_59_zerk.pdf" TargetMode="External"/><Relationship Id="rId16" Type="http://schemas.openxmlformats.org/officeDocument/2006/relationships/hyperlink" Target="http://www.oecd.org/daf/anti-bribery/unitedkingdom-oecdanti-briberyconvention.htm" TargetMode="External"/><Relationship Id="rId20" Type="http://schemas.openxmlformats.org/officeDocument/2006/relationships/hyperlink" Target="http://scholarship.law.wm.edu/facpubs/1797/" TargetMode="External"/><Relationship Id="rId1" Type="http://schemas.openxmlformats.org/officeDocument/2006/relationships/hyperlink" Target="http://www.ibanet.org/Document/Default.aspx?DocumentUid=ECF39839-A217-4B3D-8106-DAB716B34F1E" TargetMode="External"/><Relationship Id="rId6" Type="http://schemas.openxmlformats.org/officeDocument/2006/relationships/hyperlink" Target="http://law.unimelb.edu.au/__data/assets/pdf_file/0008/1687445/08Wouters,-Ryngaert-and-Cloots1.pdf" TargetMode="External"/><Relationship Id="rId11" Type="http://schemas.openxmlformats.org/officeDocument/2006/relationships/hyperlink" Target="http://www.oecd.org/dataoecd/2/31/49040760.pdf" TargetMode="External"/><Relationship Id="rId5" Type="http://schemas.openxmlformats.org/officeDocument/2006/relationships/hyperlink" Target="http://www.justice.gov/criminal/fraud/fcpa/guidance/guide.pdf" TargetMode="External"/><Relationship Id="rId15" Type="http://schemas.openxmlformats.org/officeDocument/2006/relationships/hyperlink" Target="https://www.justice.gov.uk/downloads/legislation/bribery-act-2010-guidance.pdf" TargetMode="External"/><Relationship Id="rId10" Type="http://schemas.openxmlformats.org/officeDocument/2006/relationships/hyperlink" Target="https://icclr.law.ubc.ca/publication/test-publication/" TargetMode="External"/><Relationship Id="rId19" Type="http://schemas.openxmlformats.org/officeDocument/2006/relationships/hyperlink" Target="http://www.yalelawjournal.org/article/conspiracy-theory" TargetMode="External"/><Relationship Id="rId4" Type="http://schemas.openxmlformats.org/officeDocument/2006/relationships/hyperlink" Target="https://www.oecd.org/daf/anti-bribery/Liability-Legal-Persons-Foreign-Bribery-Stocktaking.pdf" TargetMode="External"/><Relationship Id="rId9" Type="http://schemas.openxmlformats.org/officeDocument/2006/relationships/hyperlink" Target="http://www.oecd.org/daf/anti-bribery/anti-briberyconvention/Anti-Bribery_Convention_and_Working_Group_Brief_ENG.pdf" TargetMode="External"/><Relationship Id="rId14" Type="http://schemas.openxmlformats.org/officeDocument/2006/relationships/hyperlink" Target="http://www.cliffordchance.com/content/dam/cliffordchance/PDFs/Corporate_Liability_in_Euro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572AB-F6AE-4082-A0C2-42DD6AD3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69</Pages>
  <Words>24816</Words>
  <Characters>141456</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
    </vt:vector>
  </TitlesOfParts>
  <Company>SFU</Company>
  <LinksUpToDate>false</LinksUpToDate>
  <CharactersWithSpaces>165941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MacDonald</dc:creator>
  <cp:lastModifiedBy>Yenny Lim</cp:lastModifiedBy>
  <cp:revision>18</cp:revision>
  <dcterms:created xsi:type="dcterms:W3CDTF">2018-04-03T20:06:00Z</dcterms:created>
  <dcterms:modified xsi:type="dcterms:W3CDTF">2018-04-17T21:49:00Z</dcterms:modified>
</cp:coreProperties>
</file>