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7A9244" w14:textId="240A3EFC" w:rsidR="009767F2" w:rsidRPr="006F29F5" w:rsidRDefault="00ED562A" w:rsidP="00B83FF8">
      <w:pPr>
        <w:pStyle w:val="TitlePgCh"/>
        <w:rPr>
          <w:sz w:val="24"/>
        </w:rPr>
      </w:pPr>
      <w:r w:rsidRPr="006F29F5">
        <w:rPr>
          <w:sz w:val="24"/>
        </w:rPr>
        <w:t>Chapter</w:t>
      </w:r>
      <w:r w:rsidR="003132E9" w:rsidRPr="006F29F5">
        <w:rPr>
          <w:sz w:val="24"/>
        </w:rPr>
        <w:t xml:space="preserve"> </w:t>
      </w:r>
      <w:r w:rsidR="00F476AD" w:rsidRPr="006F29F5">
        <w:rPr>
          <w:sz w:val="24"/>
        </w:rPr>
        <w:t>5</w:t>
      </w:r>
    </w:p>
    <w:p w14:paraId="16BE63F4" w14:textId="529E4E43" w:rsidR="00B75EB2" w:rsidRPr="006F29F5" w:rsidRDefault="009767F2" w:rsidP="00B83FF8">
      <w:pPr>
        <w:pStyle w:val="TitlePgChTitle"/>
        <w:rPr>
          <w:rFonts w:cs="Times New Roman"/>
          <w:b w:val="0"/>
          <w:smallCaps w:val="0"/>
          <w:sz w:val="28"/>
          <w:szCs w:val="28"/>
        </w:rPr>
      </w:pPr>
      <w:r w:rsidRPr="006F29F5">
        <w:rPr>
          <w:sz w:val="32"/>
        </w:rPr>
        <w:t>Asset Recovery</w:t>
      </w:r>
      <w:r w:rsidR="00F81C2C" w:rsidRPr="006F29F5">
        <w:rPr>
          <w:sz w:val="32"/>
        </w:rPr>
        <w:t xml:space="preserve"> and Mutual Legal Assistance</w:t>
      </w:r>
      <w:bookmarkStart w:id="0" w:name="_Toc420329353"/>
      <w:bookmarkStart w:id="1" w:name="_Toc489961981"/>
      <w:r w:rsidR="00B75EB2" w:rsidRPr="006F29F5">
        <w:rPr>
          <w:sz w:val="32"/>
        </w:rPr>
        <w:br w:type="page"/>
      </w:r>
    </w:p>
    <w:p w14:paraId="21B2059A" w14:textId="0855D264" w:rsidR="00FC2408" w:rsidRPr="006F29F5" w:rsidRDefault="00FC2408" w:rsidP="00FC2408">
      <w:pPr>
        <w:pStyle w:val="TOCHeading"/>
        <w:numPr>
          <w:ilvl w:val="0"/>
          <w:numId w:val="0"/>
        </w:numPr>
        <w:ind w:left="360" w:hanging="360"/>
        <w:rPr>
          <w:spacing w:val="0"/>
          <w:kern w:val="2"/>
          <w:sz w:val="28"/>
        </w:rPr>
      </w:pPr>
      <w:r w:rsidRPr="006F29F5">
        <w:rPr>
          <w:spacing w:val="0"/>
          <w:kern w:val="2"/>
          <w:sz w:val="28"/>
        </w:rPr>
        <w:lastRenderedPageBreak/>
        <w:t>Contents</w:t>
      </w:r>
    </w:p>
    <w:p w14:paraId="0AD1752F" w14:textId="77777777" w:rsidR="00C37AB1" w:rsidRPr="006F29F5" w:rsidRDefault="006C3908">
      <w:pPr>
        <w:pStyle w:val="TOC1"/>
        <w:rPr>
          <w:rFonts w:eastAsiaTheme="minorEastAsia"/>
          <w:b w:val="0"/>
          <w:smallCaps w:val="0"/>
          <w:noProof/>
          <w:kern w:val="2"/>
          <w:sz w:val="20"/>
          <w:lang w:eastAsia="en-CA"/>
        </w:rPr>
      </w:pPr>
      <w:r w:rsidRPr="006F29F5">
        <w:rPr>
          <w:kern w:val="2"/>
          <w:sz w:val="20"/>
        </w:rPr>
        <w:fldChar w:fldCharType="begin"/>
      </w:r>
      <w:r w:rsidRPr="006F29F5">
        <w:rPr>
          <w:kern w:val="2"/>
          <w:sz w:val="20"/>
        </w:rPr>
        <w:instrText xml:space="preserve"> TOC \o "1-1" \n \p " " \h \z \u </w:instrText>
      </w:r>
      <w:r w:rsidRPr="006F29F5">
        <w:rPr>
          <w:kern w:val="2"/>
          <w:sz w:val="20"/>
        </w:rPr>
        <w:fldChar w:fldCharType="separate"/>
      </w:r>
      <w:hyperlink w:anchor="_Toc505351640" w:history="1">
        <w:r w:rsidR="00C37AB1" w:rsidRPr="006F29F5">
          <w:rPr>
            <w:rStyle w:val="Hyperlink"/>
            <w:noProof/>
            <w:kern w:val="2"/>
            <w:sz w:val="20"/>
          </w:rPr>
          <w:t>1.</w:t>
        </w:r>
        <w:r w:rsidR="00C37AB1" w:rsidRPr="006F29F5">
          <w:rPr>
            <w:rFonts w:eastAsiaTheme="minorEastAsia"/>
            <w:b w:val="0"/>
            <w:smallCaps w:val="0"/>
            <w:noProof/>
            <w:kern w:val="2"/>
            <w:sz w:val="20"/>
            <w:lang w:eastAsia="en-CA"/>
          </w:rPr>
          <w:tab/>
        </w:r>
        <w:r w:rsidR="00C37AB1" w:rsidRPr="006F29F5">
          <w:rPr>
            <w:rStyle w:val="Hyperlink"/>
            <w:noProof/>
            <w:kern w:val="2"/>
            <w:sz w:val="20"/>
          </w:rPr>
          <w:t>Introduction</w:t>
        </w:r>
      </w:hyperlink>
    </w:p>
    <w:p w14:paraId="208934FD" w14:textId="77777777" w:rsidR="00C37AB1" w:rsidRPr="006F29F5" w:rsidRDefault="001E47B9">
      <w:pPr>
        <w:pStyle w:val="TOC1"/>
        <w:rPr>
          <w:rFonts w:eastAsiaTheme="minorEastAsia"/>
          <w:b w:val="0"/>
          <w:smallCaps w:val="0"/>
          <w:noProof/>
          <w:kern w:val="2"/>
          <w:sz w:val="20"/>
          <w:lang w:eastAsia="en-CA"/>
        </w:rPr>
      </w:pPr>
      <w:hyperlink w:anchor="_Toc505351641" w:history="1">
        <w:r w:rsidR="00C37AB1" w:rsidRPr="006F29F5">
          <w:rPr>
            <w:rStyle w:val="Hyperlink"/>
            <w:noProof/>
            <w:kern w:val="2"/>
            <w:sz w:val="20"/>
          </w:rPr>
          <w:t>2.</w:t>
        </w:r>
        <w:r w:rsidR="00C37AB1" w:rsidRPr="006F29F5">
          <w:rPr>
            <w:rFonts w:eastAsiaTheme="minorEastAsia"/>
            <w:b w:val="0"/>
            <w:smallCaps w:val="0"/>
            <w:noProof/>
            <w:kern w:val="2"/>
            <w:sz w:val="20"/>
            <w:lang w:eastAsia="en-CA"/>
          </w:rPr>
          <w:tab/>
        </w:r>
        <w:r w:rsidR="00C37AB1" w:rsidRPr="006F29F5">
          <w:rPr>
            <w:rStyle w:val="Hyperlink"/>
            <w:noProof/>
            <w:kern w:val="2"/>
            <w:sz w:val="20"/>
          </w:rPr>
          <w:t>Asset Recovery Concepts and Tools</w:t>
        </w:r>
      </w:hyperlink>
    </w:p>
    <w:p w14:paraId="4AC28821" w14:textId="77777777" w:rsidR="00C37AB1" w:rsidRPr="006F29F5" w:rsidRDefault="001E47B9">
      <w:pPr>
        <w:pStyle w:val="TOC1"/>
        <w:rPr>
          <w:rFonts w:eastAsiaTheme="minorEastAsia"/>
          <w:b w:val="0"/>
          <w:smallCaps w:val="0"/>
          <w:noProof/>
          <w:kern w:val="2"/>
          <w:sz w:val="20"/>
          <w:lang w:eastAsia="en-CA"/>
        </w:rPr>
      </w:pPr>
      <w:hyperlink w:anchor="_Toc505351642" w:history="1">
        <w:r w:rsidR="00C37AB1" w:rsidRPr="006F29F5">
          <w:rPr>
            <w:rStyle w:val="Hyperlink"/>
            <w:noProof/>
            <w:kern w:val="2"/>
            <w:sz w:val="20"/>
          </w:rPr>
          <w:t>3.</w:t>
        </w:r>
        <w:r w:rsidR="00C37AB1" w:rsidRPr="006F29F5">
          <w:rPr>
            <w:rFonts w:eastAsiaTheme="minorEastAsia"/>
            <w:b w:val="0"/>
            <w:smallCaps w:val="0"/>
            <w:noProof/>
            <w:kern w:val="2"/>
            <w:sz w:val="20"/>
            <w:lang w:eastAsia="en-CA"/>
          </w:rPr>
          <w:tab/>
        </w:r>
        <w:r w:rsidR="00C37AB1" w:rsidRPr="006F29F5">
          <w:rPr>
            <w:rStyle w:val="Hyperlink"/>
            <w:noProof/>
            <w:kern w:val="2"/>
            <w:sz w:val="20"/>
          </w:rPr>
          <w:t>International Convention Obligations</w:t>
        </w:r>
      </w:hyperlink>
    </w:p>
    <w:p w14:paraId="23ED3900" w14:textId="77777777" w:rsidR="00C37AB1" w:rsidRPr="006F29F5" w:rsidRDefault="001E47B9">
      <w:pPr>
        <w:pStyle w:val="TOC1"/>
        <w:rPr>
          <w:rFonts w:eastAsiaTheme="minorEastAsia"/>
          <w:b w:val="0"/>
          <w:smallCaps w:val="0"/>
          <w:noProof/>
          <w:kern w:val="2"/>
          <w:sz w:val="20"/>
          <w:lang w:eastAsia="en-CA"/>
        </w:rPr>
      </w:pPr>
      <w:hyperlink w:anchor="_Toc505351643" w:history="1">
        <w:r w:rsidR="00C37AB1" w:rsidRPr="006F29F5">
          <w:rPr>
            <w:rStyle w:val="Hyperlink"/>
            <w:noProof/>
            <w:kern w:val="2"/>
            <w:sz w:val="20"/>
          </w:rPr>
          <w:t>4.</w:t>
        </w:r>
        <w:r w:rsidR="00C37AB1" w:rsidRPr="006F29F5">
          <w:rPr>
            <w:rFonts w:eastAsiaTheme="minorEastAsia"/>
            <w:b w:val="0"/>
            <w:smallCaps w:val="0"/>
            <w:noProof/>
            <w:kern w:val="2"/>
            <w:sz w:val="20"/>
            <w:lang w:eastAsia="en-CA"/>
          </w:rPr>
          <w:tab/>
        </w:r>
        <w:r w:rsidR="00C37AB1" w:rsidRPr="006F29F5">
          <w:rPr>
            <w:rStyle w:val="Hyperlink"/>
            <w:noProof/>
            <w:kern w:val="2"/>
            <w:sz w:val="20"/>
          </w:rPr>
          <w:t>State-Level Asset Recovery Regimes</w:t>
        </w:r>
      </w:hyperlink>
    </w:p>
    <w:p w14:paraId="5EB074C3" w14:textId="77777777" w:rsidR="00C37AB1" w:rsidRPr="006F29F5" w:rsidRDefault="001E47B9">
      <w:pPr>
        <w:pStyle w:val="TOC1"/>
        <w:rPr>
          <w:rFonts w:eastAsiaTheme="minorEastAsia"/>
          <w:b w:val="0"/>
          <w:smallCaps w:val="0"/>
          <w:noProof/>
          <w:kern w:val="2"/>
          <w:sz w:val="20"/>
          <w:lang w:eastAsia="en-CA"/>
        </w:rPr>
      </w:pPr>
      <w:hyperlink w:anchor="_Toc505351644" w:history="1">
        <w:r w:rsidR="00C37AB1" w:rsidRPr="006F29F5">
          <w:rPr>
            <w:rStyle w:val="Hyperlink"/>
            <w:noProof/>
            <w:kern w:val="2"/>
            <w:sz w:val="20"/>
          </w:rPr>
          <w:t>5.</w:t>
        </w:r>
        <w:r w:rsidR="00C37AB1" w:rsidRPr="006F29F5">
          <w:rPr>
            <w:rFonts w:eastAsiaTheme="minorEastAsia"/>
            <w:b w:val="0"/>
            <w:smallCaps w:val="0"/>
            <w:noProof/>
            <w:kern w:val="2"/>
            <w:sz w:val="20"/>
            <w:lang w:eastAsia="en-CA"/>
          </w:rPr>
          <w:tab/>
        </w:r>
        <w:r w:rsidR="00C37AB1" w:rsidRPr="006F29F5">
          <w:rPr>
            <w:rStyle w:val="Hyperlink"/>
            <w:noProof/>
            <w:kern w:val="2"/>
            <w:sz w:val="20"/>
          </w:rPr>
          <w:t>Effectiveness of Asset Recovery Regimes</w:t>
        </w:r>
      </w:hyperlink>
    </w:p>
    <w:p w14:paraId="327C4CC9" w14:textId="77777777" w:rsidR="00C37AB1" w:rsidRPr="006F29F5" w:rsidRDefault="001E47B9">
      <w:pPr>
        <w:pStyle w:val="TOC1"/>
        <w:rPr>
          <w:rFonts w:eastAsiaTheme="minorEastAsia"/>
          <w:b w:val="0"/>
          <w:smallCaps w:val="0"/>
          <w:noProof/>
          <w:kern w:val="2"/>
          <w:sz w:val="20"/>
          <w:lang w:eastAsia="en-CA"/>
        </w:rPr>
      </w:pPr>
      <w:hyperlink w:anchor="_Toc505351645" w:history="1">
        <w:r w:rsidR="00C37AB1" w:rsidRPr="006F29F5">
          <w:rPr>
            <w:rStyle w:val="Hyperlink"/>
            <w:noProof/>
            <w:kern w:val="2"/>
            <w:sz w:val="20"/>
          </w:rPr>
          <w:t>6.</w:t>
        </w:r>
        <w:r w:rsidR="00C37AB1" w:rsidRPr="006F29F5">
          <w:rPr>
            <w:rFonts w:eastAsiaTheme="minorEastAsia"/>
            <w:b w:val="0"/>
            <w:smallCaps w:val="0"/>
            <w:noProof/>
            <w:kern w:val="2"/>
            <w:sz w:val="20"/>
            <w:lang w:eastAsia="en-CA"/>
          </w:rPr>
          <w:tab/>
        </w:r>
        <w:r w:rsidR="00C37AB1" w:rsidRPr="006F29F5">
          <w:rPr>
            <w:rStyle w:val="Hyperlink"/>
            <w:noProof/>
            <w:kern w:val="2"/>
            <w:sz w:val="20"/>
          </w:rPr>
          <w:t>International Mutual Legal Assistance Agreements</w:t>
        </w:r>
      </w:hyperlink>
    </w:p>
    <w:p w14:paraId="56D3E365" w14:textId="378FAA60" w:rsidR="004477D8" w:rsidRPr="006F29F5" w:rsidRDefault="006C3908" w:rsidP="00BD3FB5">
      <w:pPr>
        <w:pStyle w:val="Heading1"/>
        <w:rPr>
          <w:sz w:val="20"/>
        </w:rPr>
      </w:pPr>
      <w:r w:rsidRPr="006F29F5">
        <w:rPr>
          <w:rFonts w:eastAsiaTheme="minorHAnsi" w:cstheme="minorBidi"/>
          <w:sz w:val="20"/>
          <w:szCs w:val="22"/>
        </w:rPr>
        <w:fldChar w:fldCharType="end"/>
      </w:r>
      <w:bookmarkStart w:id="2" w:name="_Toc505351640"/>
      <w:r w:rsidR="007D1741" w:rsidRPr="006F29F5">
        <w:rPr>
          <w:sz w:val="28"/>
        </w:rPr>
        <w:t>Introduction</w:t>
      </w:r>
      <w:bookmarkEnd w:id="0"/>
      <w:bookmarkEnd w:id="1"/>
      <w:bookmarkEnd w:id="2"/>
    </w:p>
    <w:p w14:paraId="1038D570" w14:textId="3BB152F9" w:rsidR="00E32643" w:rsidRPr="006F29F5" w:rsidRDefault="0065737F" w:rsidP="00B75EB2">
      <w:pPr>
        <w:rPr>
          <w:kern w:val="2"/>
          <w:sz w:val="20"/>
        </w:rPr>
      </w:pPr>
      <w:r w:rsidRPr="006F29F5">
        <w:rPr>
          <w:kern w:val="2"/>
          <w:sz w:val="20"/>
        </w:rPr>
        <w:t>The World Bank estimates th</w:t>
      </w:r>
      <w:r w:rsidR="0057611E" w:rsidRPr="006F29F5">
        <w:rPr>
          <w:kern w:val="2"/>
          <w:sz w:val="20"/>
        </w:rPr>
        <w:t xml:space="preserve">at </w:t>
      </w:r>
      <w:r w:rsidR="00F560F4" w:rsidRPr="006F29F5">
        <w:rPr>
          <w:kern w:val="2"/>
          <w:sz w:val="20"/>
        </w:rPr>
        <w:t>US</w:t>
      </w:r>
      <w:r w:rsidR="00D76C0A" w:rsidRPr="006F29F5">
        <w:rPr>
          <w:kern w:val="2"/>
          <w:sz w:val="20"/>
        </w:rPr>
        <w:t>$</w:t>
      </w:r>
      <w:r w:rsidR="0057611E" w:rsidRPr="006F29F5">
        <w:rPr>
          <w:kern w:val="2"/>
          <w:sz w:val="20"/>
        </w:rPr>
        <w:t xml:space="preserve">20 billion to 40 billion </w:t>
      </w:r>
      <w:r w:rsidRPr="006F29F5">
        <w:rPr>
          <w:kern w:val="2"/>
          <w:sz w:val="20"/>
        </w:rPr>
        <w:t xml:space="preserve">is stolen </w:t>
      </w:r>
      <w:r w:rsidR="00DE652E" w:rsidRPr="006F29F5">
        <w:rPr>
          <w:kern w:val="2"/>
          <w:sz w:val="20"/>
        </w:rPr>
        <w:t xml:space="preserve">every year </w:t>
      </w:r>
      <w:r w:rsidR="0053782C" w:rsidRPr="006F29F5">
        <w:rPr>
          <w:kern w:val="2"/>
          <w:sz w:val="20"/>
        </w:rPr>
        <w:t xml:space="preserve">through high-level corruption </w:t>
      </w:r>
      <w:r w:rsidRPr="006F29F5">
        <w:rPr>
          <w:kern w:val="2"/>
          <w:sz w:val="20"/>
        </w:rPr>
        <w:t>f</w:t>
      </w:r>
      <w:r w:rsidR="00F825D8" w:rsidRPr="006F29F5">
        <w:rPr>
          <w:kern w:val="2"/>
          <w:sz w:val="20"/>
        </w:rPr>
        <w:t xml:space="preserve">rom developing countries </w:t>
      </w:r>
      <w:r w:rsidR="0057611E" w:rsidRPr="006F29F5">
        <w:rPr>
          <w:kern w:val="2"/>
          <w:sz w:val="20"/>
        </w:rPr>
        <w:t>and hidden overseas</w:t>
      </w:r>
      <w:r w:rsidR="00411A3A" w:rsidRPr="006F29F5">
        <w:rPr>
          <w:kern w:val="2"/>
          <w:sz w:val="20"/>
        </w:rPr>
        <w:t>,</w:t>
      </w:r>
      <w:r w:rsidR="00F825D8" w:rsidRPr="006F29F5">
        <w:rPr>
          <w:kern w:val="2"/>
          <w:sz w:val="20"/>
        </w:rPr>
        <w:t xml:space="preserve"> and that these stolen assets are equivalent to 20-40% of official development assistance</w:t>
      </w:r>
      <w:r w:rsidR="00F622DE" w:rsidRPr="006F29F5">
        <w:rPr>
          <w:kern w:val="2"/>
          <w:sz w:val="20"/>
        </w:rPr>
        <w:t>.</w:t>
      </w:r>
      <w:r w:rsidR="008E7217" w:rsidRPr="006F29F5">
        <w:rPr>
          <w:rStyle w:val="FootnoteReference"/>
          <w:rFonts w:cs="Times New Roman"/>
          <w:kern w:val="2"/>
          <w:sz w:val="20"/>
        </w:rPr>
        <w:footnoteReference w:id="1"/>
      </w:r>
      <w:r w:rsidR="00F622DE" w:rsidRPr="006F29F5">
        <w:rPr>
          <w:kern w:val="2"/>
          <w:sz w:val="20"/>
        </w:rPr>
        <w:t xml:space="preserve"> </w:t>
      </w:r>
      <w:r w:rsidRPr="006F29F5">
        <w:rPr>
          <w:kern w:val="2"/>
          <w:sz w:val="20"/>
        </w:rPr>
        <w:t xml:space="preserve">The Stolen Asset Recovery Initiative </w:t>
      </w:r>
      <w:r w:rsidR="007C774D" w:rsidRPr="006F29F5">
        <w:rPr>
          <w:kern w:val="2"/>
          <w:sz w:val="20"/>
        </w:rPr>
        <w:t>(</w:t>
      </w:r>
      <w:proofErr w:type="spellStart"/>
      <w:r w:rsidR="007C774D" w:rsidRPr="006F29F5">
        <w:rPr>
          <w:kern w:val="2"/>
          <w:sz w:val="20"/>
        </w:rPr>
        <w:t>StAR</w:t>
      </w:r>
      <w:proofErr w:type="spellEnd"/>
      <w:r w:rsidR="007C774D" w:rsidRPr="006F29F5">
        <w:rPr>
          <w:kern w:val="2"/>
          <w:sz w:val="20"/>
        </w:rPr>
        <w:t xml:space="preserve">) </w:t>
      </w:r>
      <w:r w:rsidR="00A272BC" w:rsidRPr="006F29F5">
        <w:rPr>
          <w:kern w:val="2"/>
          <w:sz w:val="20"/>
        </w:rPr>
        <w:t>estimates that only</w:t>
      </w:r>
      <w:r w:rsidR="0061591F" w:rsidRPr="006F29F5">
        <w:rPr>
          <w:kern w:val="2"/>
          <w:sz w:val="20"/>
        </w:rPr>
        <w:t xml:space="preserve"> </w:t>
      </w:r>
      <w:r w:rsidRPr="006F29F5">
        <w:rPr>
          <w:kern w:val="2"/>
          <w:sz w:val="20"/>
        </w:rPr>
        <w:t>5</w:t>
      </w:r>
      <w:r w:rsidR="0061591F" w:rsidRPr="006F29F5">
        <w:rPr>
          <w:kern w:val="2"/>
          <w:sz w:val="20"/>
        </w:rPr>
        <w:t xml:space="preserve"> billion </w:t>
      </w:r>
      <w:r w:rsidR="009C0D79" w:rsidRPr="006F29F5">
        <w:rPr>
          <w:kern w:val="2"/>
          <w:sz w:val="20"/>
        </w:rPr>
        <w:t>was</w:t>
      </w:r>
      <w:r w:rsidR="0061591F" w:rsidRPr="006F29F5">
        <w:rPr>
          <w:kern w:val="2"/>
          <w:sz w:val="20"/>
        </w:rPr>
        <w:t xml:space="preserve"> recovered </w:t>
      </w:r>
      <w:r w:rsidRPr="006F29F5">
        <w:rPr>
          <w:kern w:val="2"/>
          <w:sz w:val="20"/>
        </w:rPr>
        <w:t>in</w:t>
      </w:r>
      <w:r w:rsidR="0063652D" w:rsidRPr="006F29F5">
        <w:rPr>
          <w:kern w:val="2"/>
          <w:sz w:val="20"/>
        </w:rPr>
        <w:t xml:space="preserve"> the</w:t>
      </w:r>
      <w:r w:rsidRPr="006F29F5">
        <w:rPr>
          <w:kern w:val="2"/>
          <w:sz w:val="20"/>
        </w:rPr>
        <w:t xml:space="preserve"> </w:t>
      </w:r>
      <w:r w:rsidR="0061591F" w:rsidRPr="006F29F5">
        <w:rPr>
          <w:kern w:val="2"/>
          <w:sz w:val="20"/>
        </w:rPr>
        <w:t xml:space="preserve">past 15 </w:t>
      </w:r>
      <w:r w:rsidR="0057611E" w:rsidRPr="006F29F5">
        <w:rPr>
          <w:kern w:val="2"/>
          <w:sz w:val="20"/>
        </w:rPr>
        <w:t xml:space="preserve">years </w:t>
      </w:r>
      <w:r w:rsidR="00B05FD1" w:rsidRPr="006F29F5">
        <w:rPr>
          <w:kern w:val="2"/>
          <w:sz w:val="20"/>
        </w:rPr>
        <w:t>(between 0.8% and 1.6% of stolen assets)</w:t>
      </w:r>
      <w:r w:rsidR="00A272BC" w:rsidRPr="006F29F5">
        <w:rPr>
          <w:kern w:val="2"/>
          <w:sz w:val="20"/>
        </w:rPr>
        <w:t>.</w:t>
      </w:r>
      <w:r w:rsidR="008E7217" w:rsidRPr="006F29F5">
        <w:rPr>
          <w:rStyle w:val="FootnoteReference"/>
          <w:rFonts w:cs="Times New Roman"/>
          <w:kern w:val="2"/>
          <w:sz w:val="20"/>
        </w:rPr>
        <w:footnoteReference w:id="2"/>
      </w:r>
      <w:r w:rsidR="008565E1" w:rsidRPr="006F29F5">
        <w:rPr>
          <w:kern w:val="2"/>
          <w:sz w:val="20"/>
        </w:rPr>
        <w:t xml:space="preserve"> </w:t>
      </w:r>
      <w:proofErr w:type="spellStart"/>
      <w:r w:rsidR="004069CF" w:rsidRPr="006F29F5">
        <w:rPr>
          <w:kern w:val="2"/>
          <w:sz w:val="20"/>
        </w:rPr>
        <w:t>StAR</w:t>
      </w:r>
      <w:proofErr w:type="spellEnd"/>
      <w:r w:rsidR="004069CF" w:rsidRPr="006F29F5">
        <w:rPr>
          <w:kern w:val="2"/>
          <w:sz w:val="20"/>
        </w:rPr>
        <w:t xml:space="preserve"> estimates that $1 trillion to $1.6 trillion in global proceeds from criminal activities, corruption and tax evasion crosses borders every year.</w:t>
      </w:r>
      <w:r w:rsidR="008E7217" w:rsidRPr="006F29F5">
        <w:rPr>
          <w:rStyle w:val="FootnoteReference"/>
          <w:rFonts w:cs="Times New Roman"/>
          <w:kern w:val="2"/>
          <w:sz w:val="20"/>
        </w:rPr>
        <w:footnoteReference w:id="3"/>
      </w:r>
      <w:r w:rsidR="004069CF" w:rsidRPr="006F29F5">
        <w:rPr>
          <w:kern w:val="2"/>
          <w:sz w:val="20"/>
        </w:rPr>
        <w:t xml:space="preserve"> </w:t>
      </w:r>
    </w:p>
    <w:p w14:paraId="70CF7469" w14:textId="53FCF4D4" w:rsidR="00C15C6B" w:rsidRPr="006F29F5" w:rsidRDefault="00BD77BC" w:rsidP="00C81ED8">
      <w:pPr>
        <w:rPr>
          <w:rFonts w:cs="Times New Roman"/>
          <w:kern w:val="2"/>
          <w:sz w:val="20"/>
        </w:rPr>
      </w:pPr>
      <w:r w:rsidRPr="006F29F5">
        <w:rPr>
          <w:rFonts w:cs="Times New Roman"/>
          <w:kern w:val="2"/>
          <w:sz w:val="20"/>
        </w:rPr>
        <w:t>Asset recovery</w:t>
      </w:r>
      <w:r w:rsidR="003D3D07" w:rsidRPr="006F29F5">
        <w:rPr>
          <w:rFonts w:cs="Times New Roman"/>
          <w:kern w:val="2"/>
          <w:sz w:val="20"/>
        </w:rPr>
        <w:t xml:space="preserve"> in corruption cases</w:t>
      </w:r>
      <w:r w:rsidRPr="006F29F5">
        <w:rPr>
          <w:rFonts w:cs="Times New Roman"/>
          <w:kern w:val="2"/>
          <w:sz w:val="20"/>
        </w:rPr>
        <w:t xml:space="preserve"> </w:t>
      </w:r>
      <w:r w:rsidR="003D3D07" w:rsidRPr="006F29F5">
        <w:rPr>
          <w:rFonts w:cs="Times New Roman"/>
          <w:kern w:val="2"/>
          <w:sz w:val="20"/>
        </w:rPr>
        <w:t xml:space="preserve">includes </w:t>
      </w:r>
      <w:r w:rsidR="0047326B" w:rsidRPr="006F29F5">
        <w:rPr>
          <w:rFonts w:cs="Times New Roman"/>
          <w:kern w:val="2"/>
          <w:sz w:val="20"/>
        </w:rPr>
        <w:t>the uncovering of corruption and the tracing, freezing</w:t>
      </w:r>
      <w:r w:rsidR="003D3D07" w:rsidRPr="006F29F5">
        <w:rPr>
          <w:rFonts w:cs="Times New Roman"/>
          <w:kern w:val="2"/>
          <w:sz w:val="20"/>
        </w:rPr>
        <w:t xml:space="preserve">, confiscating and returning of funds obtained through corrupt activities. It </w:t>
      </w:r>
      <w:r w:rsidRPr="006F29F5">
        <w:rPr>
          <w:rFonts w:cs="Times New Roman"/>
          <w:kern w:val="2"/>
          <w:sz w:val="20"/>
        </w:rPr>
        <w:t xml:space="preserve">is particularly vital for developing countries that see their national wealth </w:t>
      </w:r>
      <w:r w:rsidR="00D442A6" w:rsidRPr="006F29F5">
        <w:rPr>
          <w:rFonts w:cs="Times New Roman"/>
          <w:kern w:val="2"/>
          <w:sz w:val="20"/>
        </w:rPr>
        <w:t>corruptly</w:t>
      </w:r>
      <w:r w:rsidR="00766DEA" w:rsidRPr="006F29F5">
        <w:rPr>
          <w:rFonts w:cs="Times New Roman"/>
          <w:kern w:val="2"/>
          <w:sz w:val="20"/>
        </w:rPr>
        <w:t xml:space="preserve"> </w:t>
      </w:r>
      <w:r w:rsidRPr="006F29F5">
        <w:rPr>
          <w:rFonts w:cs="Times New Roman"/>
          <w:kern w:val="2"/>
          <w:sz w:val="20"/>
        </w:rPr>
        <w:t xml:space="preserve">exported. </w:t>
      </w:r>
      <w:r w:rsidR="00EA2E7C" w:rsidRPr="006F29F5">
        <w:rPr>
          <w:rFonts w:cs="Times New Roman"/>
          <w:kern w:val="2"/>
          <w:sz w:val="20"/>
        </w:rPr>
        <w:t xml:space="preserve">There are several </w:t>
      </w:r>
      <w:r w:rsidR="008448EA" w:rsidRPr="006F29F5">
        <w:rPr>
          <w:rFonts w:cs="Times New Roman"/>
          <w:kern w:val="2"/>
          <w:sz w:val="20"/>
        </w:rPr>
        <w:t xml:space="preserve">barriers to asset recovery. </w:t>
      </w:r>
      <w:r w:rsidR="007C774D" w:rsidRPr="006F29F5">
        <w:rPr>
          <w:rFonts w:cs="Times New Roman"/>
          <w:kern w:val="2"/>
          <w:sz w:val="20"/>
        </w:rPr>
        <w:t xml:space="preserve">Once </w:t>
      </w:r>
      <w:r w:rsidR="00EF0F03" w:rsidRPr="006F29F5">
        <w:rPr>
          <w:rFonts w:cs="Times New Roman"/>
          <w:kern w:val="2"/>
          <w:sz w:val="20"/>
        </w:rPr>
        <w:t xml:space="preserve">stolen assets are transferred abroad, </w:t>
      </w:r>
      <w:r w:rsidR="007C774D" w:rsidRPr="006F29F5">
        <w:rPr>
          <w:rFonts w:cs="Times New Roman"/>
          <w:kern w:val="2"/>
          <w:sz w:val="20"/>
        </w:rPr>
        <w:t xml:space="preserve">recovery </w:t>
      </w:r>
      <w:r w:rsidR="008565E1" w:rsidRPr="006F29F5">
        <w:rPr>
          <w:rFonts w:cs="Times New Roman"/>
          <w:kern w:val="2"/>
          <w:sz w:val="20"/>
        </w:rPr>
        <w:t>is extremely</w:t>
      </w:r>
      <w:r w:rsidR="00EF0F03" w:rsidRPr="006F29F5">
        <w:rPr>
          <w:rFonts w:cs="Times New Roman"/>
          <w:kern w:val="2"/>
          <w:sz w:val="20"/>
        </w:rPr>
        <w:t xml:space="preserve"> </w:t>
      </w:r>
      <w:r w:rsidR="007C774D" w:rsidRPr="006F29F5">
        <w:rPr>
          <w:rFonts w:cs="Times New Roman"/>
          <w:kern w:val="2"/>
          <w:sz w:val="20"/>
        </w:rPr>
        <w:t xml:space="preserve">difficult. </w:t>
      </w:r>
      <w:r w:rsidR="0057611E" w:rsidRPr="006F29F5">
        <w:rPr>
          <w:rFonts w:cs="Times New Roman"/>
          <w:kern w:val="2"/>
          <w:sz w:val="20"/>
        </w:rPr>
        <w:t>In developing countries,</w:t>
      </w:r>
      <w:r w:rsidR="00EF0F03" w:rsidRPr="006F29F5">
        <w:rPr>
          <w:rFonts w:cs="Times New Roman"/>
          <w:kern w:val="2"/>
          <w:sz w:val="20"/>
        </w:rPr>
        <w:t xml:space="preserve"> </w:t>
      </w:r>
      <w:r w:rsidR="0057611E" w:rsidRPr="006F29F5">
        <w:rPr>
          <w:rFonts w:cs="Times New Roman"/>
          <w:kern w:val="2"/>
          <w:sz w:val="20"/>
        </w:rPr>
        <w:t xml:space="preserve">this difficulty results from </w:t>
      </w:r>
      <w:r w:rsidR="00EF0F03" w:rsidRPr="006F29F5">
        <w:rPr>
          <w:rFonts w:cs="Times New Roman"/>
          <w:kern w:val="2"/>
          <w:sz w:val="20"/>
        </w:rPr>
        <w:t>limited legal, investigative and judicial capacity</w:t>
      </w:r>
      <w:r w:rsidR="00830B7F" w:rsidRPr="006F29F5">
        <w:rPr>
          <w:rFonts w:cs="Times New Roman"/>
          <w:kern w:val="2"/>
          <w:sz w:val="20"/>
        </w:rPr>
        <w:t>,</w:t>
      </w:r>
      <w:r w:rsidR="00EF0F03" w:rsidRPr="006F29F5">
        <w:rPr>
          <w:rFonts w:cs="Times New Roman"/>
          <w:kern w:val="2"/>
          <w:sz w:val="20"/>
        </w:rPr>
        <w:t xml:space="preserve"> as well as inadequate resources. Further, the lack of resources </w:t>
      </w:r>
      <w:r w:rsidR="008565E1" w:rsidRPr="006F29F5">
        <w:rPr>
          <w:rFonts w:cs="Times New Roman"/>
          <w:kern w:val="2"/>
          <w:sz w:val="20"/>
        </w:rPr>
        <w:t>a</w:t>
      </w:r>
      <w:r w:rsidR="0087756D" w:rsidRPr="006F29F5">
        <w:rPr>
          <w:rFonts w:cs="Times New Roman"/>
          <w:kern w:val="2"/>
          <w:sz w:val="20"/>
        </w:rPr>
        <w:t>ffect</w:t>
      </w:r>
      <w:r w:rsidR="008448EA" w:rsidRPr="006F29F5">
        <w:rPr>
          <w:rFonts w:cs="Times New Roman"/>
          <w:kern w:val="2"/>
          <w:sz w:val="20"/>
        </w:rPr>
        <w:t>s</w:t>
      </w:r>
      <w:r w:rsidR="0087756D" w:rsidRPr="006F29F5">
        <w:rPr>
          <w:rFonts w:cs="Times New Roman"/>
          <w:kern w:val="2"/>
          <w:sz w:val="20"/>
        </w:rPr>
        <w:t xml:space="preserve"> the</w:t>
      </w:r>
      <w:r w:rsidR="00EF0F03" w:rsidRPr="006F29F5">
        <w:rPr>
          <w:rFonts w:cs="Times New Roman"/>
          <w:kern w:val="2"/>
          <w:sz w:val="20"/>
        </w:rPr>
        <w:t xml:space="preserve"> ability </w:t>
      </w:r>
      <w:r w:rsidR="00EA2E7C" w:rsidRPr="006F29F5">
        <w:rPr>
          <w:rFonts w:cs="Times New Roman"/>
          <w:kern w:val="2"/>
          <w:sz w:val="20"/>
        </w:rPr>
        <w:t xml:space="preserve">of a state </w:t>
      </w:r>
      <w:r w:rsidR="00EF0F03" w:rsidRPr="006F29F5">
        <w:rPr>
          <w:rFonts w:cs="Times New Roman"/>
          <w:kern w:val="2"/>
          <w:sz w:val="20"/>
        </w:rPr>
        <w:t xml:space="preserve">to make requests to countries holding the stolen assets. </w:t>
      </w:r>
      <w:r w:rsidR="0087756D" w:rsidRPr="006F29F5">
        <w:rPr>
          <w:rFonts w:cs="Times New Roman"/>
          <w:kern w:val="2"/>
          <w:sz w:val="20"/>
        </w:rPr>
        <w:t>Th</w:t>
      </w:r>
      <w:r w:rsidR="00C67012" w:rsidRPr="006F29F5">
        <w:rPr>
          <w:rFonts w:cs="Times New Roman"/>
          <w:kern w:val="2"/>
          <w:sz w:val="20"/>
        </w:rPr>
        <w:t>e</w:t>
      </w:r>
      <w:r w:rsidR="0087756D" w:rsidRPr="006F29F5">
        <w:rPr>
          <w:rFonts w:cs="Times New Roman"/>
          <w:kern w:val="2"/>
          <w:sz w:val="20"/>
        </w:rPr>
        <w:t xml:space="preserve"> p</w:t>
      </w:r>
      <w:r w:rsidR="00EF0F03" w:rsidRPr="006F29F5">
        <w:rPr>
          <w:rFonts w:cs="Times New Roman"/>
          <w:kern w:val="2"/>
          <w:sz w:val="20"/>
        </w:rPr>
        <w:t>roblem is exacerbated in developed cou</w:t>
      </w:r>
      <w:r w:rsidR="0087756D" w:rsidRPr="006F29F5">
        <w:rPr>
          <w:rFonts w:cs="Times New Roman"/>
          <w:kern w:val="2"/>
          <w:sz w:val="20"/>
        </w:rPr>
        <w:t xml:space="preserve">ntries where assets are hidden or where </w:t>
      </w:r>
      <w:r w:rsidR="00EF0F03" w:rsidRPr="006F29F5">
        <w:rPr>
          <w:rFonts w:cs="Times New Roman"/>
          <w:kern w:val="2"/>
          <w:sz w:val="20"/>
        </w:rPr>
        <w:t>necessary laws may be lacking to respond to requests for legal assistance</w:t>
      </w:r>
      <w:r w:rsidR="00E32643" w:rsidRPr="006F29F5">
        <w:rPr>
          <w:rFonts w:cs="Times New Roman"/>
          <w:kern w:val="2"/>
          <w:sz w:val="20"/>
        </w:rPr>
        <w:t>.</w:t>
      </w:r>
      <w:r w:rsidR="00E32643" w:rsidRPr="006F29F5">
        <w:rPr>
          <w:rStyle w:val="FootnoteReference"/>
          <w:rFonts w:cs="Times New Roman"/>
          <w:kern w:val="2"/>
          <w:sz w:val="20"/>
        </w:rPr>
        <w:footnoteReference w:id="4"/>
      </w:r>
      <w:r w:rsidR="00E32643" w:rsidRPr="006F29F5">
        <w:rPr>
          <w:rFonts w:cs="Times New Roman"/>
          <w:kern w:val="2"/>
          <w:sz w:val="20"/>
        </w:rPr>
        <w:t xml:space="preserve"> </w:t>
      </w:r>
      <w:r w:rsidR="008448EA" w:rsidRPr="006F29F5">
        <w:rPr>
          <w:rFonts w:cs="Times New Roman"/>
          <w:kern w:val="2"/>
          <w:sz w:val="20"/>
        </w:rPr>
        <w:t>Moreover, t</w:t>
      </w:r>
      <w:r w:rsidR="00EF0F03" w:rsidRPr="006F29F5">
        <w:rPr>
          <w:rFonts w:cs="Times New Roman"/>
          <w:kern w:val="2"/>
          <w:sz w:val="20"/>
        </w:rPr>
        <w:t>he lack of non-conviction based asset forfeiture laws</w:t>
      </w:r>
      <w:r w:rsidR="00675626" w:rsidRPr="006F29F5">
        <w:rPr>
          <w:rFonts w:cs="Times New Roman"/>
          <w:kern w:val="2"/>
          <w:sz w:val="20"/>
        </w:rPr>
        <w:t xml:space="preserve"> in some countries</w:t>
      </w:r>
      <w:r w:rsidR="00EF0F03" w:rsidRPr="006F29F5">
        <w:rPr>
          <w:rFonts w:cs="Times New Roman"/>
          <w:kern w:val="2"/>
          <w:sz w:val="20"/>
        </w:rPr>
        <w:t xml:space="preserve"> make</w:t>
      </w:r>
      <w:r w:rsidR="006D0AF9" w:rsidRPr="006F29F5">
        <w:rPr>
          <w:rFonts w:cs="Times New Roman"/>
          <w:kern w:val="2"/>
          <w:sz w:val="20"/>
        </w:rPr>
        <w:t>s</w:t>
      </w:r>
      <w:r w:rsidR="00EF0F03" w:rsidRPr="006F29F5">
        <w:rPr>
          <w:rFonts w:cs="Times New Roman"/>
          <w:kern w:val="2"/>
          <w:sz w:val="20"/>
        </w:rPr>
        <w:t xml:space="preserve"> it difficult when the officials engaged in stealing assets hav</w:t>
      </w:r>
      <w:r w:rsidR="00751181" w:rsidRPr="006F29F5">
        <w:rPr>
          <w:rFonts w:cs="Times New Roman"/>
          <w:kern w:val="2"/>
          <w:sz w:val="20"/>
        </w:rPr>
        <w:t>e died, fled or have immunity.</w:t>
      </w:r>
      <w:r w:rsidR="00A244A1" w:rsidRPr="006F29F5">
        <w:rPr>
          <w:rFonts w:cs="Times New Roman"/>
          <w:kern w:val="2"/>
          <w:sz w:val="20"/>
        </w:rPr>
        <w:t xml:space="preserve"> </w:t>
      </w:r>
      <w:r w:rsidR="00C15C6B" w:rsidRPr="006F29F5">
        <w:rPr>
          <w:rFonts w:cs="Times New Roman"/>
          <w:kern w:val="2"/>
          <w:sz w:val="20"/>
        </w:rPr>
        <w:t xml:space="preserve">The United Nations and other relevant organizations attach a high priority to the problem of cross-border </w:t>
      </w:r>
      <w:r w:rsidR="00C15C6B" w:rsidRPr="006F29F5">
        <w:rPr>
          <w:rFonts w:cs="Times New Roman"/>
          <w:kern w:val="2"/>
          <w:sz w:val="20"/>
        </w:rPr>
        <w:lastRenderedPageBreak/>
        <w:t xml:space="preserve">transfers of illicitly obtained funds and the return of such funds. </w:t>
      </w:r>
      <w:r w:rsidR="004C5F03" w:rsidRPr="006F29F5">
        <w:rPr>
          <w:rFonts w:cs="Times New Roman"/>
          <w:kern w:val="2"/>
          <w:sz w:val="20"/>
        </w:rPr>
        <w:t xml:space="preserve">Confiscating </w:t>
      </w:r>
      <w:r w:rsidR="00C15C6B" w:rsidRPr="006F29F5">
        <w:rPr>
          <w:rFonts w:cs="Times New Roman"/>
          <w:kern w:val="2"/>
          <w:sz w:val="20"/>
        </w:rPr>
        <w:t>assets</w:t>
      </w:r>
      <w:r w:rsidR="004C5F03" w:rsidRPr="006F29F5">
        <w:rPr>
          <w:rFonts w:cs="Times New Roman"/>
          <w:kern w:val="2"/>
          <w:sz w:val="20"/>
        </w:rPr>
        <w:t xml:space="preserve"> is </w:t>
      </w:r>
      <w:r w:rsidR="00A244A1" w:rsidRPr="006F29F5">
        <w:rPr>
          <w:rFonts w:cs="Times New Roman"/>
          <w:kern w:val="2"/>
          <w:sz w:val="20"/>
        </w:rPr>
        <w:t>an important</w:t>
      </w:r>
      <w:r w:rsidR="004C5F03" w:rsidRPr="006F29F5">
        <w:rPr>
          <w:rFonts w:cs="Times New Roman"/>
          <w:kern w:val="2"/>
          <w:sz w:val="20"/>
        </w:rPr>
        <w:t xml:space="preserve"> tool in the </w:t>
      </w:r>
      <w:r w:rsidR="00FD60A1" w:rsidRPr="006F29F5">
        <w:rPr>
          <w:rFonts w:cs="Times New Roman"/>
          <w:kern w:val="2"/>
          <w:sz w:val="20"/>
        </w:rPr>
        <w:t>fight</w:t>
      </w:r>
      <w:r w:rsidR="004C5F03" w:rsidRPr="006F29F5">
        <w:rPr>
          <w:rFonts w:cs="Times New Roman"/>
          <w:kern w:val="2"/>
          <w:sz w:val="20"/>
        </w:rPr>
        <w:t xml:space="preserve"> against corruption. </w:t>
      </w:r>
      <w:r w:rsidR="00613E5B" w:rsidRPr="006F29F5">
        <w:rPr>
          <w:rFonts w:cs="Times New Roman"/>
          <w:kern w:val="2"/>
          <w:sz w:val="20"/>
        </w:rPr>
        <w:t>It</w:t>
      </w:r>
      <w:r w:rsidR="00C15C6B" w:rsidRPr="006F29F5">
        <w:rPr>
          <w:rFonts w:cs="Times New Roman"/>
          <w:kern w:val="2"/>
          <w:sz w:val="20"/>
        </w:rPr>
        <w:t xml:space="preserve"> s</w:t>
      </w:r>
      <w:r w:rsidR="00934722" w:rsidRPr="006F29F5">
        <w:rPr>
          <w:rFonts w:cs="Times New Roman"/>
          <w:kern w:val="2"/>
          <w:sz w:val="20"/>
        </w:rPr>
        <w:t>erves as both a sanction</w:t>
      </w:r>
      <w:r w:rsidR="00C15C6B" w:rsidRPr="006F29F5">
        <w:rPr>
          <w:rFonts w:cs="Times New Roman"/>
          <w:kern w:val="2"/>
          <w:sz w:val="20"/>
        </w:rPr>
        <w:t xml:space="preserve"> for improper, dishonest</w:t>
      </w:r>
      <w:r w:rsidR="00FE33DC" w:rsidRPr="006F29F5">
        <w:rPr>
          <w:rFonts w:cs="Times New Roman"/>
          <w:kern w:val="2"/>
          <w:sz w:val="20"/>
        </w:rPr>
        <w:t>,</w:t>
      </w:r>
      <w:r w:rsidR="00C15C6B" w:rsidRPr="006F29F5">
        <w:rPr>
          <w:rFonts w:cs="Times New Roman"/>
          <w:kern w:val="2"/>
          <w:sz w:val="20"/>
        </w:rPr>
        <w:t xml:space="preserve"> and corrupt behaviours</w:t>
      </w:r>
      <w:r w:rsidR="00934722" w:rsidRPr="006F29F5">
        <w:rPr>
          <w:rFonts w:cs="Times New Roman"/>
          <w:kern w:val="2"/>
          <w:sz w:val="20"/>
        </w:rPr>
        <w:t xml:space="preserve"> and a deterrent</w:t>
      </w:r>
      <w:r w:rsidR="004C5F03" w:rsidRPr="006F29F5">
        <w:rPr>
          <w:rFonts w:cs="Times New Roman"/>
          <w:kern w:val="2"/>
          <w:sz w:val="20"/>
        </w:rPr>
        <w:t xml:space="preserve"> as</w:t>
      </w:r>
      <w:r w:rsidR="00C15C6B" w:rsidRPr="006F29F5">
        <w:rPr>
          <w:rFonts w:cs="Times New Roman"/>
          <w:kern w:val="2"/>
          <w:sz w:val="20"/>
        </w:rPr>
        <w:t xml:space="preserve"> the</w:t>
      </w:r>
      <w:r w:rsidR="004C5F03" w:rsidRPr="006F29F5">
        <w:rPr>
          <w:rFonts w:cs="Times New Roman"/>
          <w:kern w:val="2"/>
          <w:sz w:val="20"/>
        </w:rPr>
        <w:t xml:space="preserve"> incentive to commit corruption </w:t>
      </w:r>
      <w:r w:rsidR="008448EA" w:rsidRPr="006F29F5">
        <w:rPr>
          <w:rFonts w:cs="Times New Roman"/>
          <w:kern w:val="2"/>
          <w:sz w:val="20"/>
        </w:rPr>
        <w:t>is</w:t>
      </w:r>
      <w:r w:rsidR="004C5F03" w:rsidRPr="006F29F5">
        <w:rPr>
          <w:rFonts w:cs="Times New Roman"/>
          <w:kern w:val="2"/>
          <w:sz w:val="20"/>
        </w:rPr>
        <w:t xml:space="preserve"> </w:t>
      </w:r>
      <w:r w:rsidR="00C15C6B" w:rsidRPr="006F29F5">
        <w:rPr>
          <w:rFonts w:cs="Times New Roman"/>
          <w:kern w:val="2"/>
          <w:sz w:val="20"/>
        </w:rPr>
        <w:t>removed.</w:t>
      </w:r>
      <w:r w:rsidR="004C5F03" w:rsidRPr="006F29F5">
        <w:rPr>
          <w:rFonts w:cs="Times New Roman"/>
          <w:kern w:val="2"/>
          <w:sz w:val="20"/>
        </w:rPr>
        <w:t xml:space="preserve"> </w:t>
      </w:r>
      <w:r w:rsidR="00C15C6B" w:rsidRPr="006F29F5">
        <w:rPr>
          <w:rFonts w:cs="Times New Roman"/>
          <w:kern w:val="2"/>
          <w:sz w:val="20"/>
        </w:rPr>
        <w:t>Further, it incapacitates the offenders by depriving them of their assets and instruments of misconduct. It also repairs the damage don</w:t>
      </w:r>
      <w:r w:rsidR="006D0AF9" w:rsidRPr="006F29F5">
        <w:rPr>
          <w:rFonts w:cs="Times New Roman"/>
          <w:kern w:val="2"/>
          <w:sz w:val="20"/>
        </w:rPr>
        <w:t>e to victim populations when</w:t>
      </w:r>
      <w:r w:rsidR="00C15C6B" w:rsidRPr="006F29F5">
        <w:rPr>
          <w:rFonts w:cs="Times New Roman"/>
          <w:kern w:val="2"/>
          <w:sz w:val="20"/>
        </w:rPr>
        <w:t xml:space="preserve"> financia</w:t>
      </w:r>
      <w:r w:rsidR="00A14F9D" w:rsidRPr="006F29F5">
        <w:rPr>
          <w:rFonts w:cs="Times New Roman"/>
          <w:kern w:val="2"/>
          <w:sz w:val="20"/>
        </w:rPr>
        <w:t>l resources are</w:t>
      </w:r>
      <w:r w:rsidR="00C15C6B" w:rsidRPr="006F29F5">
        <w:rPr>
          <w:rFonts w:cs="Times New Roman"/>
          <w:kern w:val="2"/>
          <w:sz w:val="20"/>
        </w:rPr>
        <w:t xml:space="preserve"> </w:t>
      </w:r>
      <w:r w:rsidR="0061591F" w:rsidRPr="006F29F5">
        <w:rPr>
          <w:rFonts w:cs="Times New Roman"/>
          <w:kern w:val="2"/>
          <w:sz w:val="20"/>
        </w:rPr>
        <w:t>confiscated</w:t>
      </w:r>
      <w:r w:rsidR="00C15C6B" w:rsidRPr="006F29F5">
        <w:rPr>
          <w:rFonts w:cs="Times New Roman"/>
          <w:kern w:val="2"/>
          <w:sz w:val="20"/>
        </w:rPr>
        <w:t xml:space="preserve"> from the offenders and </w:t>
      </w:r>
      <w:r w:rsidR="00244E06" w:rsidRPr="006F29F5">
        <w:rPr>
          <w:rFonts w:cs="Times New Roman"/>
          <w:kern w:val="2"/>
          <w:sz w:val="20"/>
        </w:rPr>
        <w:t xml:space="preserve">ideally </w:t>
      </w:r>
      <w:r w:rsidR="00613E5B" w:rsidRPr="006F29F5">
        <w:rPr>
          <w:rFonts w:cs="Times New Roman"/>
          <w:kern w:val="2"/>
          <w:sz w:val="20"/>
        </w:rPr>
        <w:t xml:space="preserve">are </w:t>
      </w:r>
      <w:r w:rsidR="00244E06" w:rsidRPr="006F29F5">
        <w:rPr>
          <w:rFonts w:cs="Times New Roman"/>
          <w:kern w:val="2"/>
          <w:sz w:val="20"/>
        </w:rPr>
        <w:t>directed toward</w:t>
      </w:r>
      <w:r w:rsidR="00C15C6B" w:rsidRPr="006F29F5">
        <w:rPr>
          <w:rFonts w:cs="Times New Roman"/>
          <w:kern w:val="2"/>
          <w:sz w:val="20"/>
        </w:rPr>
        <w:t xml:space="preserve"> </w:t>
      </w:r>
      <w:r w:rsidR="00244E06" w:rsidRPr="006F29F5">
        <w:rPr>
          <w:rFonts w:cs="Times New Roman"/>
          <w:kern w:val="2"/>
          <w:sz w:val="20"/>
        </w:rPr>
        <w:t>economic</w:t>
      </w:r>
      <w:r w:rsidR="00C15C6B" w:rsidRPr="006F29F5">
        <w:rPr>
          <w:rFonts w:cs="Times New Roman"/>
          <w:kern w:val="2"/>
          <w:sz w:val="20"/>
        </w:rPr>
        <w:t xml:space="preserve"> dev</w:t>
      </w:r>
      <w:r w:rsidR="00CA5A89" w:rsidRPr="006F29F5">
        <w:rPr>
          <w:rFonts w:cs="Times New Roman"/>
          <w:kern w:val="2"/>
          <w:sz w:val="20"/>
        </w:rPr>
        <w:t xml:space="preserve">elopment and growth </w:t>
      </w:r>
      <w:r w:rsidR="004349B9" w:rsidRPr="006F29F5">
        <w:rPr>
          <w:rFonts w:cs="Times New Roman"/>
          <w:kern w:val="2"/>
          <w:sz w:val="20"/>
        </w:rPr>
        <w:t>in that country</w:t>
      </w:r>
      <w:r w:rsidR="00244E06" w:rsidRPr="006F29F5">
        <w:rPr>
          <w:rFonts w:cs="Times New Roman"/>
          <w:kern w:val="2"/>
          <w:sz w:val="20"/>
        </w:rPr>
        <w:t>.</w:t>
      </w:r>
      <w:r w:rsidR="0086315E" w:rsidRPr="006F29F5">
        <w:rPr>
          <w:rFonts w:cs="Times New Roman"/>
          <w:kern w:val="2"/>
          <w:sz w:val="20"/>
        </w:rPr>
        <w:t xml:space="preserve"> Finally, asset recovery promotes</w:t>
      </w:r>
      <w:r w:rsidR="0061591F" w:rsidRPr="006F29F5">
        <w:rPr>
          <w:rFonts w:cs="Times New Roman"/>
          <w:kern w:val="2"/>
          <w:sz w:val="20"/>
        </w:rPr>
        <w:t xml:space="preserve"> accountability and positively a</w:t>
      </w:r>
      <w:r w:rsidR="0086315E" w:rsidRPr="006F29F5">
        <w:rPr>
          <w:rFonts w:cs="Times New Roman"/>
          <w:kern w:val="2"/>
          <w:sz w:val="20"/>
        </w:rPr>
        <w:t xml:space="preserve">ffects the rule of law. </w:t>
      </w:r>
      <w:r w:rsidR="008D2B16" w:rsidRPr="006F29F5">
        <w:rPr>
          <w:rFonts w:cs="Times New Roman"/>
          <w:kern w:val="2"/>
          <w:sz w:val="20"/>
        </w:rPr>
        <w:t xml:space="preserve">The asset recovery process </w:t>
      </w:r>
      <w:r w:rsidR="004A5BF2" w:rsidRPr="006F29F5">
        <w:rPr>
          <w:rFonts w:cs="Times New Roman"/>
          <w:kern w:val="2"/>
          <w:sz w:val="20"/>
        </w:rPr>
        <w:t xml:space="preserve">involves four steps: </w:t>
      </w:r>
      <w:r w:rsidR="00766DEA" w:rsidRPr="006F29F5">
        <w:rPr>
          <w:rFonts w:cs="Times New Roman"/>
          <w:kern w:val="2"/>
          <w:sz w:val="20"/>
        </w:rPr>
        <w:t xml:space="preserve">(1) </w:t>
      </w:r>
      <w:r w:rsidR="004A5BF2" w:rsidRPr="006F29F5">
        <w:rPr>
          <w:rFonts w:cs="Times New Roman"/>
          <w:kern w:val="2"/>
          <w:sz w:val="20"/>
        </w:rPr>
        <w:t>identification;</w:t>
      </w:r>
      <w:r w:rsidR="00766DEA" w:rsidRPr="006F29F5">
        <w:rPr>
          <w:rFonts w:cs="Times New Roman"/>
          <w:kern w:val="2"/>
          <w:sz w:val="20"/>
        </w:rPr>
        <w:t xml:space="preserve"> (2)</w:t>
      </w:r>
      <w:r w:rsidR="004A5BF2" w:rsidRPr="006F29F5">
        <w:rPr>
          <w:rFonts w:cs="Times New Roman"/>
          <w:kern w:val="2"/>
          <w:sz w:val="20"/>
        </w:rPr>
        <w:t xml:space="preserve"> investigation, tracing, freezing and seizing; </w:t>
      </w:r>
      <w:r w:rsidR="00766DEA" w:rsidRPr="006F29F5">
        <w:rPr>
          <w:rFonts w:cs="Times New Roman"/>
          <w:kern w:val="2"/>
          <w:sz w:val="20"/>
        </w:rPr>
        <w:t xml:space="preserve">(3) </w:t>
      </w:r>
      <w:r w:rsidR="004A5BF2" w:rsidRPr="006F29F5">
        <w:rPr>
          <w:rFonts w:cs="Times New Roman"/>
          <w:kern w:val="2"/>
          <w:sz w:val="20"/>
        </w:rPr>
        <w:t xml:space="preserve">confiscation or forfeiture; and </w:t>
      </w:r>
      <w:r w:rsidR="00766DEA" w:rsidRPr="006F29F5">
        <w:rPr>
          <w:rFonts w:cs="Times New Roman"/>
          <w:kern w:val="2"/>
          <w:sz w:val="20"/>
        </w:rPr>
        <w:t xml:space="preserve">(4) </w:t>
      </w:r>
      <w:r w:rsidR="004A5BF2" w:rsidRPr="006F29F5">
        <w:rPr>
          <w:rFonts w:cs="Times New Roman"/>
          <w:kern w:val="2"/>
          <w:sz w:val="20"/>
        </w:rPr>
        <w:t>return</w:t>
      </w:r>
      <w:r w:rsidR="00B05FD1" w:rsidRPr="006F29F5">
        <w:rPr>
          <w:rFonts w:cs="Times New Roman"/>
          <w:kern w:val="2"/>
          <w:sz w:val="20"/>
        </w:rPr>
        <w:t xml:space="preserve"> of the stolen assets to the owner</w:t>
      </w:r>
      <w:r w:rsidR="004A5BF2" w:rsidRPr="006F29F5">
        <w:rPr>
          <w:rFonts w:cs="Times New Roman"/>
          <w:kern w:val="2"/>
          <w:sz w:val="20"/>
        </w:rPr>
        <w:t>.</w:t>
      </w:r>
    </w:p>
    <w:p w14:paraId="25F18615" w14:textId="77777777" w:rsidR="00E237C0" w:rsidRPr="006F29F5" w:rsidRDefault="008448EA" w:rsidP="00C81ED8">
      <w:pPr>
        <w:rPr>
          <w:rFonts w:cs="Times New Roman"/>
          <w:kern w:val="2"/>
          <w:sz w:val="20"/>
        </w:rPr>
      </w:pPr>
      <w:r w:rsidRPr="006F29F5">
        <w:rPr>
          <w:rFonts w:cs="Times New Roman"/>
          <w:kern w:val="2"/>
          <w:sz w:val="20"/>
        </w:rPr>
        <w:t>This chapter discusses the international and domestic obligations to facilitate</w:t>
      </w:r>
      <w:r w:rsidR="002055ED" w:rsidRPr="006F29F5">
        <w:rPr>
          <w:rFonts w:cs="Times New Roman"/>
          <w:kern w:val="2"/>
          <w:sz w:val="20"/>
        </w:rPr>
        <w:t xml:space="preserve"> the recovery of </w:t>
      </w:r>
      <w:r w:rsidR="006D0AF9" w:rsidRPr="006F29F5">
        <w:rPr>
          <w:rFonts w:cs="Times New Roman"/>
          <w:kern w:val="2"/>
          <w:sz w:val="20"/>
        </w:rPr>
        <w:t>stolen assets</w:t>
      </w:r>
      <w:r w:rsidR="00766DEA" w:rsidRPr="006F29F5">
        <w:rPr>
          <w:rFonts w:cs="Times New Roman"/>
          <w:kern w:val="2"/>
          <w:sz w:val="20"/>
        </w:rPr>
        <w:t xml:space="preserve"> through UNCAC, OECD and other</w:t>
      </w:r>
      <w:r w:rsidR="002055ED" w:rsidRPr="006F29F5">
        <w:rPr>
          <w:rFonts w:cs="Times New Roman"/>
          <w:kern w:val="2"/>
          <w:sz w:val="20"/>
        </w:rPr>
        <w:t xml:space="preserve"> </w:t>
      </w:r>
      <w:r w:rsidR="00E15922" w:rsidRPr="006F29F5">
        <w:rPr>
          <w:rFonts w:cs="Times New Roman"/>
          <w:kern w:val="2"/>
          <w:sz w:val="20"/>
        </w:rPr>
        <w:t>multilateral</w:t>
      </w:r>
      <w:r w:rsidR="002055ED" w:rsidRPr="006F29F5">
        <w:rPr>
          <w:rFonts w:cs="Times New Roman"/>
          <w:kern w:val="2"/>
          <w:sz w:val="20"/>
        </w:rPr>
        <w:t xml:space="preserve"> agreements. </w:t>
      </w:r>
      <w:r w:rsidRPr="006F29F5">
        <w:rPr>
          <w:rFonts w:cs="Times New Roman"/>
          <w:kern w:val="2"/>
          <w:sz w:val="20"/>
        </w:rPr>
        <w:t xml:space="preserve">It </w:t>
      </w:r>
      <w:r w:rsidR="00125064" w:rsidRPr="006F29F5">
        <w:rPr>
          <w:rFonts w:cs="Times New Roman"/>
          <w:kern w:val="2"/>
          <w:sz w:val="20"/>
        </w:rPr>
        <w:t xml:space="preserve">then discusses </w:t>
      </w:r>
      <w:proofErr w:type="spellStart"/>
      <w:r w:rsidR="00125064" w:rsidRPr="006F29F5">
        <w:rPr>
          <w:rFonts w:cs="Times New Roman"/>
          <w:kern w:val="2"/>
          <w:sz w:val="20"/>
        </w:rPr>
        <w:t>StAR</w:t>
      </w:r>
      <w:proofErr w:type="spellEnd"/>
      <w:r w:rsidR="00125064" w:rsidRPr="006F29F5">
        <w:rPr>
          <w:rFonts w:cs="Times New Roman"/>
          <w:kern w:val="2"/>
          <w:sz w:val="20"/>
        </w:rPr>
        <w:t xml:space="preserve"> and </w:t>
      </w:r>
      <w:r w:rsidR="006D0AF9" w:rsidRPr="006F29F5">
        <w:rPr>
          <w:rFonts w:cs="Times New Roman"/>
          <w:kern w:val="2"/>
          <w:sz w:val="20"/>
        </w:rPr>
        <w:t>the role of FIUs</w:t>
      </w:r>
      <w:r w:rsidR="00125064" w:rsidRPr="006F29F5">
        <w:rPr>
          <w:rFonts w:cs="Times New Roman"/>
          <w:kern w:val="2"/>
          <w:sz w:val="20"/>
        </w:rPr>
        <w:t xml:space="preserve"> in facilitating recovery of stolen and corrupt</w:t>
      </w:r>
      <w:r w:rsidR="006D0AF9" w:rsidRPr="006F29F5">
        <w:rPr>
          <w:rFonts w:cs="Times New Roman"/>
          <w:kern w:val="2"/>
          <w:sz w:val="20"/>
        </w:rPr>
        <w:t xml:space="preserve"> assets before moving on to the </w:t>
      </w:r>
      <w:r w:rsidR="00125064" w:rsidRPr="006F29F5">
        <w:rPr>
          <w:rFonts w:cs="Times New Roman"/>
          <w:kern w:val="2"/>
          <w:sz w:val="20"/>
        </w:rPr>
        <w:t xml:space="preserve">various legal approaches to the freezing, confiscation and ultimate return of assets obtained by corruption. </w:t>
      </w:r>
    </w:p>
    <w:p w14:paraId="7EE60F14" w14:textId="5DDE044C" w:rsidR="006058ED" w:rsidRPr="006F29F5" w:rsidRDefault="006058ED" w:rsidP="00BD3FB5">
      <w:pPr>
        <w:pStyle w:val="Heading1"/>
        <w:rPr>
          <w:sz w:val="28"/>
        </w:rPr>
      </w:pPr>
      <w:bookmarkStart w:id="3" w:name="_Toc420329354"/>
      <w:bookmarkStart w:id="4" w:name="_Toc489961982"/>
      <w:bookmarkStart w:id="5" w:name="_Toc505351641"/>
      <w:r w:rsidRPr="006F29F5">
        <w:rPr>
          <w:sz w:val="28"/>
        </w:rPr>
        <w:t>Asset Recovery Concepts and Tools</w:t>
      </w:r>
      <w:bookmarkEnd w:id="3"/>
      <w:bookmarkEnd w:id="4"/>
      <w:bookmarkEnd w:id="5"/>
    </w:p>
    <w:p w14:paraId="73970C3A" w14:textId="2671FF6E" w:rsidR="00763FA6" w:rsidRPr="006F29F5" w:rsidRDefault="00763FA6" w:rsidP="00C81ED8">
      <w:pPr>
        <w:rPr>
          <w:rFonts w:cs="Times New Roman"/>
          <w:kern w:val="2"/>
          <w:sz w:val="20"/>
        </w:rPr>
      </w:pPr>
      <w:r w:rsidRPr="006F29F5">
        <w:rPr>
          <w:rFonts w:cs="Times New Roman"/>
          <w:kern w:val="2"/>
          <w:sz w:val="20"/>
        </w:rPr>
        <w:t xml:space="preserve">The following sections summarize the asset recovery process, identify the important agencies involved and describe the legal tools used for asset recovery. An important resource for these sections, and the chapter as a whole, is the 2011 </w:t>
      </w:r>
      <w:proofErr w:type="spellStart"/>
      <w:r w:rsidRPr="006F29F5">
        <w:rPr>
          <w:rFonts w:cs="Times New Roman"/>
          <w:kern w:val="2"/>
          <w:sz w:val="20"/>
        </w:rPr>
        <w:t>StAR</w:t>
      </w:r>
      <w:proofErr w:type="spellEnd"/>
      <w:r w:rsidRPr="006F29F5">
        <w:rPr>
          <w:rFonts w:cs="Times New Roman"/>
          <w:kern w:val="2"/>
          <w:sz w:val="20"/>
        </w:rPr>
        <w:t xml:space="preserve">/World Bank publication </w:t>
      </w:r>
      <w:r w:rsidRPr="006F29F5">
        <w:rPr>
          <w:rFonts w:cs="Times New Roman"/>
          <w:i/>
          <w:kern w:val="2"/>
          <w:sz w:val="20"/>
        </w:rPr>
        <w:t>Asset Recovery Handbook: A Guide for Practitioners</w:t>
      </w:r>
      <w:r w:rsidRPr="006F29F5">
        <w:rPr>
          <w:rFonts w:cs="Times New Roman"/>
          <w:kern w:val="2"/>
          <w:sz w:val="20"/>
        </w:rPr>
        <w:t>.</w:t>
      </w:r>
      <w:r w:rsidRPr="006F29F5">
        <w:rPr>
          <w:rStyle w:val="FootnoteReference"/>
          <w:rFonts w:cs="Times New Roman"/>
          <w:kern w:val="2"/>
          <w:sz w:val="20"/>
        </w:rPr>
        <w:footnoteReference w:id="5"/>
      </w:r>
      <w:r w:rsidRPr="006F29F5">
        <w:rPr>
          <w:rFonts w:cs="Times New Roman"/>
          <w:kern w:val="2"/>
          <w:sz w:val="20"/>
        </w:rPr>
        <w:t xml:space="preserve"> This </w:t>
      </w:r>
      <w:r w:rsidR="00BE2B9F" w:rsidRPr="006F29F5">
        <w:rPr>
          <w:rFonts w:cs="Times New Roman"/>
          <w:kern w:val="2"/>
          <w:sz w:val="20"/>
        </w:rPr>
        <w:t xml:space="preserve">guide </w:t>
      </w:r>
      <w:r w:rsidRPr="006F29F5">
        <w:rPr>
          <w:rFonts w:cs="Times New Roman"/>
          <w:kern w:val="2"/>
          <w:sz w:val="20"/>
        </w:rPr>
        <w:t>provides a detailed description of the entire asset recovery process.</w:t>
      </w:r>
      <w:r w:rsidR="00F2599B" w:rsidRPr="006F29F5">
        <w:rPr>
          <w:rFonts w:cs="Times New Roman"/>
          <w:kern w:val="2"/>
          <w:sz w:val="20"/>
        </w:rPr>
        <w:t xml:space="preserve"> However, it is worth noting at thi</w:t>
      </w:r>
      <w:r w:rsidR="001474CA" w:rsidRPr="006F29F5">
        <w:rPr>
          <w:rFonts w:cs="Times New Roman"/>
          <w:kern w:val="2"/>
          <w:sz w:val="20"/>
        </w:rPr>
        <w:t xml:space="preserve">s stage, as discussed in </w:t>
      </w:r>
      <w:r w:rsidR="001474CA" w:rsidRPr="006F29F5">
        <w:rPr>
          <w:rFonts w:cs="Times New Roman"/>
          <w:kern w:val="2"/>
          <w:sz w:val="20"/>
          <w:highlight w:val="cyan"/>
        </w:rPr>
        <w:t>Section</w:t>
      </w:r>
      <w:r w:rsidR="00F2599B" w:rsidRPr="006F29F5">
        <w:rPr>
          <w:rFonts w:cs="Times New Roman"/>
          <w:kern w:val="2"/>
          <w:sz w:val="20"/>
          <w:highlight w:val="cyan"/>
        </w:rPr>
        <w:t xml:space="preserve"> 5.2</w:t>
      </w:r>
      <w:r w:rsidR="00F2599B" w:rsidRPr="006F29F5">
        <w:rPr>
          <w:rFonts w:cs="Times New Roman"/>
          <w:kern w:val="2"/>
          <w:sz w:val="20"/>
        </w:rPr>
        <w:t xml:space="preserve">, that some commentators are not enamoured with the policies and practices of the World Bank and </w:t>
      </w:r>
      <w:proofErr w:type="spellStart"/>
      <w:r w:rsidR="00F2599B" w:rsidRPr="006F29F5">
        <w:rPr>
          <w:rFonts w:cs="Times New Roman"/>
          <w:kern w:val="2"/>
          <w:sz w:val="20"/>
        </w:rPr>
        <w:t>StAR</w:t>
      </w:r>
      <w:proofErr w:type="spellEnd"/>
      <w:r w:rsidR="00F2599B" w:rsidRPr="006F29F5">
        <w:rPr>
          <w:rFonts w:cs="Times New Roman"/>
          <w:kern w:val="2"/>
          <w:sz w:val="20"/>
        </w:rPr>
        <w:t xml:space="preserve">. </w:t>
      </w:r>
    </w:p>
    <w:p w14:paraId="321D6350" w14:textId="17A13225" w:rsidR="006058ED" w:rsidRPr="006F29F5" w:rsidRDefault="006058ED" w:rsidP="003426EA">
      <w:pPr>
        <w:pStyle w:val="Heading2"/>
        <w:rPr>
          <w:kern w:val="2"/>
          <w:sz w:val="24"/>
        </w:rPr>
      </w:pPr>
      <w:bookmarkStart w:id="6" w:name="_Toc420329355"/>
      <w:bookmarkStart w:id="7" w:name="_Toc489961983"/>
      <w:r w:rsidRPr="006F29F5">
        <w:rPr>
          <w:kern w:val="2"/>
          <w:sz w:val="24"/>
        </w:rPr>
        <w:t>Asset Recovery Steps</w:t>
      </w:r>
      <w:bookmarkEnd w:id="6"/>
      <w:bookmarkEnd w:id="7"/>
    </w:p>
    <w:p w14:paraId="61F55EED" w14:textId="7D55092D" w:rsidR="001034B3" w:rsidRPr="006F29F5" w:rsidRDefault="00700C28" w:rsidP="00E629C6">
      <w:pPr>
        <w:pStyle w:val="Heading3"/>
        <w:rPr>
          <w:kern w:val="2"/>
          <w:sz w:val="22"/>
        </w:rPr>
      </w:pPr>
      <w:bookmarkStart w:id="8" w:name="_Toc420329356"/>
      <w:r w:rsidRPr="006F29F5">
        <w:rPr>
          <w:kern w:val="2"/>
          <w:sz w:val="22"/>
        </w:rPr>
        <w:t>The General Process for Asset Recovery</w:t>
      </w:r>
      <w:bookmarkEnd w:id="8"/>
    </w:p>
    <w:p w14:paraId="71CD3CB5" w14:textId="4F54AB0E" w:rsidR="00D31A49" w:rsidRDefault="006D0AF9" w:rsidP="00DF6023">
      <w:r w:rsidRPr="006F29F5">
        <w:rPr>
          <w:rFonts w:cs="Times New Roman"/>
          <w:kern w:val="2"/>
          <w:sz w:val="20"/>
        </w:rPr>
        <w:t>The following e</w:t>
      </w:r>
      <w:r w:rsidR="00D31A49" w:rsidRPr="006F29F5">
        <w:rPr>
          <w:rFonts w:cs="Times New Roman"/>
          <w:kern w:val="2"/>
          <w:sz w:val="20"/>
        </w:rPr>
        <w:t xml:space="preserve">xcerpt </w:t>
      </w:r>
      <w:r w:rsidRPr="006F29F5">
        <w:rPr>
          <w:rFonts w:cs="Times New Roman"/>
          <w:kern w:val="2"/>
          <w:sz w:val="20"/>
        </w:rPr>
        <w:t xml:space="preserve">is </w:t>
      </w:r>
      <w:r w:rsidR="00D31A49" w:rsidRPr="006F29F5">
        <w:rPr>
          <w:rFonts w:cs="Times New Roman"/>
          <w:kern w:val="2"/>
          <w:sz w:val="20"/>
        </w:rPr>
        <w:t xml:space="preserve">from </w:t>
      </w:r>
      <w:r w:rsidR="007435A1" w:rsidRPr="006F29F5">
        <w:rPr>
          <w:rFonts w:cs="Times New Roman"/>
          <w:kern w:val="2"/>
          <w:sz w:val="20"/>
        </w:rPr>
        <w:t xml:space="preserve">the </w:t>
      </w:r>
      <w:r w:rsidR="00D31A49" w:rsidRPr="006F29F5">
        <w:rPr>
          <w:rFonts w:cs="Times New Roman"/>
          <w:i/>
          <w:kern w:val="2"/>
          <w:sz w:val="20"/>
        </w:rPr>
        <w:t>Asset Recovery Handbook: A Guide for Practitioners</w:t>
      </w:r>
      <w:r w:rsidR="00D31A49" w:rsidRPr="006F29F5">
        <w:rPr>
          <w:rFonts w:cs="Times New Roman"/>
          <w:kern w:val="2"/>
          <w:sz w:val="20"/>
        </w:rPr>
        <w:t xml:space="preserve"> (2011):</w:t>
      </w:r>
      <w:r w:rsidR="00931134" w:rsidRPr="006F29F5">
        <w:rPr>
          <w:rStyle w:val="FootnoteReference"/>
          <w:rFonts w:cs="Times New Roman"/>
          <w:kern w:val="2"/>
          <w:sz w:val="20"/>
        </w:rPr>
        <w:t xml:space="preserve"> </w:t>
      </w:r>
      <w:r w:rsidR="00931134" w:rsidRPr="006F29F5">
        <w:rPr>
          <w:rStyle w:val="FootnoteReference"/>
          <w:rFonts w:cs="Times New Roman"/>
          <w:kern w:val="2"/>
          <w:sz w:val="20"/>
        </w:rPr>
        <w:footnoteReference w:id="6"/>
      </w:r>
    </w:p>
    <w:tbl>
      <w:tblPr>
        <w:tblStyle w:val="TableGrid"/>
        <w:tblW w:w="808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E629C6" w:rsidRPr="006F29F5" w14:paraId="19561BC6" w14:textId="77777777" w:rsidTr="00821724">
        <w:tc>
          <w:tcPr>
            <w:tcW w:w="8080" w:type="dxa"/>
            <w:shd w:val="clear" w:color="auto" w:fill="D9D9D9" w:themeFill="background1" w:themeFillShade="D9"/>
          </w:tcPr>
          <w:p w14:paraId="44941ADB" w14:textId="77777777" w:rsidR="003B728A" w:rsidRPr="006F29F5" w:rsidRDefault="003B728A" w:rsidP="00821724">
            <w:pPr>
              <w:pStyle w:val="ExcerptMarker"/>
              <w:spacing w:before="0" w:after="0"/>
              <w:rPr>
                <w:kern w:val="2"/>
                <w:sz w:val="16"/>
              </w:rPr>
            </w:pPr>
            <w:r w:rsidRPr="006F29F5">
              <w:rPr>
                <w:kern w:val="2"/>
                <w:sz w:val="16"/>
              </w:rPr>
              <w:lastRenderedPageBreak/>
              <w:t>Beginning of Excerpt</w:t>
            </w:r>
          </w:p>
          <w:p w14:paraId="00D70BA5" w14:textId="77777777" w:rsidR="003B728A" w:rsidRPr="006F29F5" w:rsidRDefault="003B728A" w:rsidP="00821724">
            <w:pPr>
              <w:widowControl w:val="0"/>
              <w:autoSpaceDE w:val="0"/>
              <w:autoSpaceDN w:val="0"/>
              <w:adjustRightInd w:val="0"/>
              <w:rPr>
                <w:rFonts w:cs="Times New Roman"/>
                <w:b/>
                <w:bCs/>
                <w:iCs/>
                <w:kern w:val="2"/>
                <w:sz w:val="20"/>
              </w:rPr>
            </w:pPr>
            <w:r w:rsidRPr="006F29F5">
              <w:rPr>
                <w:rFonts w:cs="Times New Roman"/>
                <w:b/>
                <w:bCs/>
                <w:iCs/>
                <w:kern w:val="2"/>
                <w:sz w:val="20"/>
              </w:rPr>
              <w:t xml:space="preserve">1.1.1 Collection of Intelligence and Evidence and Tracing Assets </w:t>
            </w:r>
          </w:p>
          <w:p w14:paraId="13B885F7" w14:textId="42D19A40" w:rsidR="00E629C6" w:rsidRDefault="00E629C6" w:rsidP="00821724">
            <w:pPr>
              <w:widowControl w:val="0"/>
              <w:autoSpaceDE w:val="0"/>
              <w:autoSpaceDN w:val="0"/>
              <w:adjustRightInd w:val="0"/>
              <w:rPr>
                <w:rFonts w:cs="Times New Roman"/>
                <w:kern w:val="2"/>
                <w:sz w:val="20"/>
              </w:rPr>
            </w:pPr>
            <w:r w:rsidRPr="006F29F5">
              <w:rPr>
                <w:rFonts w:cs="Times New Roman"/>
                <w:kern w:val="2"/>
                <w:sz w:val="20"/>
              </w:rPr>
              <w:t xml:space="preserve">Evidence is gathered and assets are traced by law enforcement officers under the supervision of or in close cooperation with prosecutors or investigating magistrates, or by private investigators or other interested parties in private civil actions. In addition to gathering publicly available information and intelligence from law enforcement or other government agency databases, law enforcement can employ special investigative techniques. Some techniques may require authorization by a prosecutor or judge (for example, electronic surveillance, search and seizure orders, production orders, or account monitoring orders), but others may not (for example, physical surveillance, information from public sources, and witness interviews). Private investigators do not have the powers granted to law enforcement; however; they will be able to use publicly available sources and apply to the court for some civil orders (such as production orders, on-site review of records, </w:t>
            </w:r>
            <w:proofErr w:type="spellStart"/>
            <w:r w:rsidRPr="006F29F5">
              <w:rPr>
                <w:rFonts w:cs="Times New Roman"/>
                <w:kern w:val="2"/>
                <w:sz w:val="20"/>
              </w:rPr>
              <w:t>prefiling</w:t>
            </w:r>
            <w:proofErr w:type="spellEnd"/>
            <w:r w:rsidRPr="006F29F5">
              <w:rPr>
                <w:rFonts w:cs="Times New Roman"/>
                <w:kern w:val="2"/>
                <w:sz w:val="20"/>
              </w:rPr>
              <w:t xml:space="preserve"> testimony, or expert reports)</w:t>
            </w:r>
            <w:r w:rsidR="003B728A">
              <w:rPr>
                <w:rFonts w:cs="Times New Roman"/>
                <w:kern w:val="2"/>
                <w:sz w:val="20"/>
              </w:rPr>
              <w:t>.</w:t>
            </w:r>
          </w:p>
          <w:p w14:paraId="7E1765DC" w14:textId="7430002A" w:rsidR="003B728A" w:rsidRPr="006F29F5" w:rsidRDefault="003B728A" w:rsidP="00821724">
            <w:pPr>
              <w:widowControl w:val="0"/>
              <w:autoSpaceDE w:val="0"/>
              <w:autoSpaceDN w:val="0"/>
              <w:adjustRightInd w:val="0"/>
              <w:rPr>
                <w:rFonts w:cs="Times New Roman"/>
                <w:kern w:val="2"/>
                <w:sz w:val="20"/>
              </w:rPr>
            </w:pPr>
            <w:r>
              <w:rPr>
                <w:rFonts w:cs="Times New Roman"/>
                <w:kern w:val="2"/>
                <w:sz w:val="20"/>
              </w:rPr>
              <w:t xml:space="preserve">… </w:t>
            </w:r>
          </w:p>
          <w:p w14:paraId="28F800CA" w14:textId="77777777" w:rsidR="00E629C6" w:rsidRPr="006F29F5" w:rsidRDefault="00E629C6" w:rsidP="00821724">
            <w:pPr>
              <w:widowControl w:val="0"/>
              <w:autoSpaceDE w:val="0"/>
              <w:autoSpaceDN w:val="0"/>
              <w:adjustRightInd w:val="0"/>
              <w:rPr>
                <w:rFonts w:cs="Times New Roman"/>
                <w:b/>
                <w:bCs/>
                <w:iCs/>
                <w:kern w:val="2"/>
                <w:sz w:val="20"/>
              </w:rPr>
            </w:pPr>
            <w:r w:rsidRPr="006F29F5">
              <w:rPr>
                <w:rFonts w:cs="Times New Roman"/>
                <w:b/>
                <w:bCs/>
                <w:iCs/>
                <w:kern w:val="2"/>
                <w:sz w:val="20"/>
              </w:rPr>
              <w:t xml:space="preserve">1.1.2 Securing the Assets </w:t>
            </w:r>
          </w:p>
          <w:p w14:paraId="4D4317BB" w14:textId="17266190" w:rsidR="00E629C6" w:rsidRPr="006F29F5" w:rsidRDefault="00E629C6" w:rsidP="00821724">
            <w:pPr>
              <w:widowControl w:val="0"/>
              <w:autoSpaceDE w:val="0"/>
              <w:autoSpaceDN w:val="0"/>
              <w:adjustRightInd w:val="0"/>
              <w:rPr>
                <w:rFonts w:cs="Times New Roman"/>
                <w:kern w:val="2"/>
                <w:sz w:val="20"/>
              </w:rPr>
            </w:pPr>
            <w:r w:rsidRPr="006F29F5">
              <w:rPr>
                <w:rFonts w:cs="Times New Roman"/>
                <w:kern w:val="2"/>
                <w:sz w:val="20"/>
              </w:rPr>
              <w:t>During the investigation process, proceeds and instrumentalities subject to confiscation must be secured to avoid dissipation, movement, or destruction. In certain civil law jurisdictions, the power to order the restraint or seizure of assets subject to confiscation may be granted to prosecutors, investigating magistrates, or law enforcement agencies. In other civil law jurisdictions, judicial authorization is required. In common law jurisdictions, an order to restrain or seize assets generally requires judicial authorization, with some exceptions in seizure cases</w:t>
            </w:r>
            <w:r w:rsidR="0078337B" w:rsidRPr="006F29F5">
              <w:rPr>
                <w:rFonts w:cs="Times New Roman"/>
                <w:kern w:val="2"/>
                <w:sz w:val="20"/>
              </w:rPr>
              <w:t>…</w:t>
            </w:r>
            <w:r w:rsidRPr="006F29F5">
              <w:rPr>
                <w:rFonts w:cs="Times New Roman"/>
                <w:kern w:val="2"/>
                <w:sz w:val="20"/>
              </w:rPr>
              <w:t>. Systems to manage asset</w:t>
            </w:r>
            <w:r w:rsidR="003B728A">
              <w:rPr>
                <w:rFonts w:cs="Times New Roman"/>
                <w:kern w:val="2"/>
                <w:sz w:val="20"/>
              </w:rPr>
              <w:t>s will also need to be in place….</w:t>
            </w:r>
          </w:p>
          <w:p w14:paraId="21F22C50" w14:textId="77777777" w:rsidR="00E629C6" w:rsidRPr="006F29F5" w:rsidRDefault="00E629C6" w:rsidP="00821724">
            <w:pPr>
              <w:widowControl w:val="0"/>
              <w:autoSpaceDE w:val="0"/>
              <w:autoSpaceDN w:val="0"/>
              <w:adjustRightInd w:val="0"/>
              <w:rPr>
                <w:rFonts w:cs="Times New Roman"/>
                <w:b/>
                <w:bCs/>
                <w:iCs/>
                <w:kern w:val="2"/>
                <w:sz w:val="20"/>
              </w:rPr>
            </w:pPr>
            <w:r w:rsidRPr="006F29F5">
              <w:rPr>
                <w:rFonts w:cs="Times New Roman"/>
                <w:b/>
                <w:bCs/>
                <w:iCs/>
                <w:kern w:val="2"/>
                <w:sz w:val="20"/>
              </w:rPr>
              <w:t xml:space="preserve">1.1.3 International Cooperation </w:t>
            </w:r>
          </w:p>
          <w:p w14:paraId="7D9AE07B" w14:textId="2E644AC2" w:rsidR="00E629C6" w:rsidRDefault="00E629C6" w:rsidP="00821724">
            <w:pPr>
              <w:widowControl w:val="0"/>
              <w:autoSpaceDE w:val="0"/>
              <w:autoSpaceDN w:val="0"/>
              <w:adjustRightInd w:val="0"/>
              <w:spacing w:before="120"/>
              <w:rPr>
                <w:rFonts w:cs="Times New Roman"/>
                <w:kern w:val="2"/>
                <w:sz w:val="20"/>
              </w:rPr>
            </w:pPr>
            <w:r w:rsidRPr="006F29F5">
              <w:rPr>
                <w:rFonts w:cs="Times New Roman"/>
                <w:kern w:val="2"/>
                <w:sz w:val="20"/>
              </w:rPr>
              <w:t xml:space="preserve">International cooperation is essential for the successful recovery of assets that have been transferred to or hidden in foreign jurisdictions. It will be required for the gathering of evidence, the implementation of provisional measures, and the eventual confiscation of the proceeds and instrumentalities of corruption. And when the assets are confiscated, cooperation is critical for their return. International cooperation includes </w:t>
            </w:r>
            <w:r w:rsidR="00CC1E13" w:rsidRPr="006F29F5">
              <w:rPr>
                <w:rFonts w:cs="Times New Roman"/>
                <w:kern w:val="2"/>
                <w:sz w:val="20"/>
              </w:rPr>
              <w:t>“</w:t>
            </w:r>
            <w:r w:rsidRPr="006F29F5">
              <w:rPr>
                <w:rFonts w:cs="Times New Roman"/>
                <w:kern w:val="2"/>
                <w:sz w:val="20"/>
              </w:rPr>
              <w:t>informal assistance,</w:t>
            </w:r>
            <w:r w:rsidR="00CC1E13" w:rsidRPr="006F29F5">
              <w:rPr>
                <w:rFonts w:cs="Times New Roman"/>
                <w:kern w:val="2"/>
                <w:sz w:val="20"/>
              </w:rPr>
              <w:t>”</w:t>
            </w:r>
            <w:r w:rsidRPr="006F29F5">
              <w:rPr>
                <w:rFonts w:cs="Times New Roman"/>
                <w:kern w:val="2"/>
                <w:sz w:val="20"/>
              </w:rPr>
              <w:t xml:space="preserve"> mutual legal assistance (MLA) requests, and extradition.</w:t>
            </w:r>
            <w:r w:rsidRPr="006F29F5">
              <w:rPr>
                <w:rStyle w:val="FootnoteReference"/>
                <w:rFonts w:cs="Times New Roman"/>
                <w:kern w:val="2"/>
                <w:sz w:val="20"/>
              </w:rPr>
              <w:footnoteReference w:id="7"/>
            </w:r>
            <w:r w:rsidRPr="006F29F5">
              <w:rPr>
                <w:rFonts w:cs="Times New Roman"/>
                <w:kern w:val="2"/>
                <w:position w:val="10"/>
                <w:sz w:val="20"/>
              </w:rPr>
              <w:t xml:space="preserve"> </w:t>
            </w:r>
            <w:r w:rsidRPr="006F29F5">
              <w:rPr>
                <w:rFonts w:cs="Times New Roman"/>
                <w:kern w:val="2"/>
                <w:sz w:val="20"/>
              </w:rPr>
              <w:t xml:space="preserve">Informal assistance is often used among counterpart agencies to gather information and intelligence to assist in the investigation and to align strategies and forthcoming procedures for recovery of assets. An MLA request is normally a written request used to gather evidence (involving coercive measures that include investigative techniques), obtain provisional measures, and seek enforcement of </w:t>
            </w:r>
            <w:r w:rsidRPr="006F29F5">
              <w:rPr>
                <w:rFonts w:cs="Times New Roman"/>
                <w:kern w:val="2"/>
                <w:sz w:val="20"/>
              </w:rPr>
              <w:lastRenderedPageBreak/>
              <w:t>domestic orders in a foreign jurisdiction</w:t>
            </w:r>
            <w:r w:rsidR="00821724">
              <w:rPr>
                <w:rFonts w:cs="Times New Roman"/>
                <w:kern w:val="2"/>
                <w:sz w:val="20"/>
              </w:rPr>
              <w:t>.</w:t>
            </w:r>
          </w:p>
          <w:p w14:paraId="5894B357" w14:textId="094478FE" w:rsidR="00821724" w:rsidRDefault="00821724" w:rsidP="00821724">
            <w:pPr>
              <w:widowControl w:val="0"/>
              <w:autoSpaceDE w:val="0"/>
              <w:autoSpaceDN w:val="0"/>
              <w:adjustRightInd w:val="0"/>
              <w:rPr>
                <w:rFonts w:cs="Times New Roman"/>
                <w:kern w:val="2"/>
                <w:sz w:val="20"/>
              </w:rPr>
            </w:pPr>
            <w:r>
              <w:rPr>
                <w:rFonts w:cs="Times New Roman"/>
                <w:kern w:val="2"/>
                <w:sz w:val="20"/>
              </w:rPr>
              <w:t xml:space="preserve">… </w:t>
            </w:r>
          </w:p>
          <w:p w14:paraId="55BF2D0B" w14:textId="77777777" w:rsidR="0075069B" w:rsidRPr="006F29F5" w:rsidRDefault="0075069B" w:rsidP="00821724">
            <w:pPr>
              <w:widowControl w:val="0"/>
              <w:autoSpaceDE w:val="0"/>
              <w:autoSpaceDN w:val="0"/>
              <w:adjustRightInd w:val="0"/>
              <w:rPr>
                <w:rFonts w:cs="Times New Roman"/>
                <w:b/>
                <w:bCs/>
                <w:iCs/>
                <w:kern w:val="2"/>
                <w:sz w:val="20"/>
              </w:rPr>
            </w:pPr>
            <w:r w:rsidRPr="006F29F5">
              <w:rPr>
                <w:rFonts w:cs="Times New Roman"/>
                <w:b/>
                <w:bCs/>
                <w:iCs/>
                <w:kern w:val="2"/>
                <w:sz w:val="20"/>
              </w:rPr>
              <w:t xml:space="preserve">1.1.4 Court Proceedings </w:t>
            </w:r>
          </w:p>
          <w:p w14:paraId="783AB625" w14:textId="77777777" w:rsidR="00821724" w:rsidRDefault="0075069B" w:rsidP="00821724">
            <w:pPr>
              <w:widowControl w:val="0"/>
              <w:autoSpaceDE w:val="0"/>
              <w:autoSpaceDN w:val="0"/>
              <w:adjustRightInd w:val="0"/>
              <w:rPr>
                <w:rFonts w:cs="Times New Roman"/>
                <w:kern w:val="2"/>
                <w:sz w:val="20"/>
              </w:rPr>
            </w:pPr>
            <w:r w:rsidRPr="006F29F5">
              <w:rPr>
                <w:rFonts w:cs="Times New Roman"/>
                <w:kern w:val="2"/>
                <w:sz w:val="20"/>
              </w:rPr>
              <w:t>Court proceedings may involve criminal or NCB [non-conviction based] confiscation or private civil actions (each described below and in subsequent chapters); and will achieve the recovery of assets through orders of confiscation, compensation, damages, or fines. Confiscation may be property based or value based. Property-based systems (also referred to as “tainted property” systems) allow the confiscation of assets found to be the proceeds or instrumentalities of crime—requiring a link between the asset and the offense (a requirement that is frequently difficult to prove when assets have been laundered, converted, or transferred to conceal or disguise their illegal origin). Value-based systems (also referred to as “benefit” systems) allow the determination of the value of the benefits derived from crime and the confiscation of an equivalent value of assets that may be untainted. Some jurisdictions use enhanced confiscation techniques, such as substitute asset provisions or legislative presumptions to assist i</w:t>
            </w:r>
            <w:r w:rsidR="00821724">
              <w:rPr>
                <w:rFonts w:cs="Times New Roman"/>
                <w:kern w:val="2"/>
                <w:sz w:val="20"/>
              </w:rPr>
              <w:t>n meeting the standard of proof</w:t>
            </w:r>
            <w:r w:rsidRPr="006F29F5">
              <w:rPr>
                <w:rFonts w:cs="Times New Roman"/>
                <w:kern w:val="2"/>
                <w:sz w:val="20"/>
              </w:rPr>
              <w:t>.</w:t>
            </w:r>
          </w:p>
          <w:p w14:paraId="222FEC8B" w14:textId="5E129CAC" w:rsidR="0075069B" w:rsidRPr="006F29F5" w:rsidRDefault="00821724" w:rsidP="00821724">
            <w:pPr>
              <w:widowControl w:val="0"/>
              <w:autoSpaceDE w:val="0"/>
              <w:autoSpaceDN w:val="0"/>
              <w:adjustRightInd w:val="0"/>
              <w:rPr>
                <w:rFonts w:cs="Times New Roman"/>
                <w:kern w:val="2"/>
                <w:sz w:val="20"/>
              </w:rPr>
            </w:pPr>
            <w:r>
              <w:rPr>
                <w:rFonts w:cs="Times New Roman"/>
                <w:kern w:val="2"/>
                <w:sz w:val="20"/>
              </w:rPr>
              <w:t>…</w:t>
            </w:r>
            <w:r w:rsidR="0075069B" w:rsidRPr="006F29F5">
              <w:rPr>
                <w:rFonts w:cs="Times New Roman"/>
                <w:kern w:val="2"/>
                <w:sz w:val="20"/>
              </w:rPr>
              <w:t xml:space="preserve"> </w:t>
            </w:r>
          </w:p>
          <w:p w14:paraId="23925967" w14:textId="77777777" w:rsidR="0075069B" w:rsidRPr="006F29F5" w:rsidRDefault="0075069B" w:rsidP="00821724">
            <w:pPr>
              <w:widowControl w:val="0"/>
              <w:autoSpaceDE w:val="0"/>
              <w:autoSpaceDN w:val="0"/>
              <w:adjustRightInd w:val="0"/>
              <w:rPr>
                <w:rFonts w:cs="Times New Roman"/>
                <w:b/>
                <w:bCs/>
                <w:iCs/>
                <w:kern w:val="2"/>
                <w:sz w:val="20"/>
              </w:rPr>
            </w:pPr>
            <w:r w:rsidRPr="006F29F5">
              <w:rPr>
                <w:rFonts w:cs="Times New Roman"/>
                <w:b/>
                <w:bCs/>
                <w:iCs/>
                <w:kern w:val="2"/>
                <w:sz w:val="20"/>
              </w:rPr>
              <w:t>1.1.5 Enforcement of Orders</w:t>
            </w:r>
          </w:p>
          <w:p w14:paraId="407C9424" w14:textId="77777777" w:rsidR="0075069B" w:rsidRPr="006F29F5" w:rsidRDefault="0075069B" w:rsidP="00821724">
            <w:pPr>
              <w:widowControl w:val="0"/>
              <w:autoSpaceDE w:val="0"/>
              <w:autoSpaceDN w:val="0"/>
              <w:adjustRightInd w:val="0"/>
              <w:rPr>
                <w:rFonts w:cs="Times New Roman"/>
                <w:kern w:val="2"/>
                <w:sz w:val="20"/>
              </w:rPr>
            </w:pPr>
            <w:r w:rsidRPr="006F29F5">
              <w:rPr>
                <w:rFonts w:cs="Times New Roman"/>
                <w:kern w:val="2"/>
                <w:sz w:val="20"/>
              </w:rPr>
              <w:t>When a court has ordered the restraint, seizure, or confiscation of assets, steps must be taken to enforce the order. If assets are located in a foreign jurisdiction, an MLA request must be submitted. The order may then be enforced by authorities in the foreign jurisdiction through either (1) directly registering and enforcing the order of the requesting jurisdiction in a domestic court (direct enforcement) or (2) obtaining a domestic order based on the facts (or order) provided by the requesting jurisdiction (indirect enforcement).</w:t>
            </w:r>
            <w:r w:rsidRPr="006F29F5">
              <w:rPr>
                <w:rStyle w:val="FootnoteReference"/>
                <w:rFonts w:cs="Times New Roman"/>
                <w:kern w:val="2"/>
                <w:sz w:val="20"/>
              </w:rPr>
              <w:footnoteReference w:id="8"/>
            </w:r>
            <w:r w:rsidRPr="006F29F5">
              <w:rPr>
                <w:rFonts w:cs="Times New Roman"/>
                <w:kern w:val="2"/>
                <w:position w:val="10"/>
                <w:sz w:val="20"/>
              </w:rPr>
              <w:t xml:space="preserve"> </w:t>
            </w:r>
            <w:r w:rsidRPr="006F29F5">
              <w:rPr>
                <w:rFonts w:cs="Times New Roman"/>
                <w:kern w:val="2"/>
                <w:sz w:val="20"/>
              </w:rPr>
              <w:t xml:space="preserve">This will be accomplished through the mutual legal assistance process… Similarly, private civil judgments for damages or compensation will need to be enforced using the same procedures as for other civil judgments. </w:t>
            </w:r>
          </w:p>
          <w:p w14:paraId="064C0D1C" w14:textId="77777777" w:rsidR="0075069B" w:rsidRPr="006F29F5" w:rsidRDefault="0075069B" w:rsidP="00821724">
            <w:pPr>
              <w:widowControl w:val="0"/>
              <w:autoSpaceDE w:val="0"/>
              <w:autoSpaceDN w:val="0"/>
              <w:adjustRightInd w:val="0"/>
              <w:rPr>
                <w:rFonts w:cs="Times New Roman"/>
                <w:b/>
                <w:bCs/>
                <w:iCs/>
                <w:kern w:val="2"/>
                <w:sz w:val="20"/>
              </w:rPr>
            </w:pPr>
            <w:r w:rsidRPr="006F29F5">
              <w:rPr>
                <w:rFonts w:cs="Times New Roman"/>
                <w:b/>
                <w:bCs/>
                <w:iCs/>
                <w:kern w:val="2"/>
                <w:sz w:val="20"/>
              </w:rPr>
              <w:t xml:space="preserve">1.1.6 Asset Return </w:t>
            </w:r>
          </w:p>
          <w:p w14:paraId="2E9FB175" w14:textId="77777777" w:rsidR="0075069B" w:rsidRPr="006F29F5" w:rsidRDefault="0075069B" w:rsidP="00821724">
            <w:pPr>
              <w:widowControl w:val="0"/>
              <w:autoSpaceDE w:val="0"/>
              <w:autoSpaceDN w:val="0"/>
              <w:adjustRightInd w:val="0"/>
              <w:rPr>
                <w:rFonts w:cs="Times New Roman"/>
                <w:kern w:val="2"/>
                <w:sz w:val="20"/>
              </w:rPr>
            </w:pPr>
            <w:r w:rsidRPr="006F29F5">
              <w:rPr>
                <w:rFonts w:cs="Times New Roman"/>
                <w:kern w:val="2"/>
                <w:sz w:val="20"/>
              </w:rPr>
              <w:t>The enforcement of the confiscation order in the requested jurisdiction often results in the confiscated assets being transferred to the general treasury or confiscation fund of the requested jurisdiction (not directly returned to the requesting jurisdiction).</w:t>
            </w:r>
            <w:r w:rsidRPr="006F29F5">
              <w:rPr>
                <w:rStyle w:val="FootnoteReference"/>
                <w:rFonts w:cs="Times New Roman"/>
                <w:kern w:val="2"/>
                <w:sz w:val="20"/>
              </w:rPr>
              <w:footnoteReference w:id="9"/>
            </w:r>
            <w:r w:rsidRPr="006F29F5">
              <w:rPr>
                <w:rFonts w:cs="Times New Roman"/>
                <w:kern w:val="2"/>
                <w:position w:val="10"/>
                <w:sz w:val="20"/>
              </w:rPr>
              <w:t xml:space="preserve"> </w:t>
            </w:r>
            <w:r w:rsidRPr="006F29F5">
              <w:rPr>
                <w:rFonts w:cs="Times New Roman"/>
                <w:kern w:val="2"/>
                <w:sz w:val="20"/>
              </w:rPr>
              <w:t>As a result, another mechanism will be needed to arrange for the return of the assets. If UNCAC is applicable, the requested party will be obliged under article 57 to return the confiscated assets to the requesting party in cases of embezzlement of public funds or laundering of such funds, or when the requesting party reasonably establishes prior ownership. If UNCAC is not applicable, the return or sharing of confiscated assets will depend on domestic legislation, other international conventions, MLA treaties, or special agreements (for example, asset sharing agreements). In all cases, total recovery may be reduced to compensate the requested jurisdiction for its expenses in restraining, maintaining, and disposing of the confiscated assets and the legal and living expenses of the claimant. Assets may also be returned directly to victims, including a foreign jurisdiction, through the order of a court (referred to as “direct recovery”).</w:t>
            </w:r>
            <w:r w:rsidRPr="006F29F5">
              <w:rPr>
                <w:rStyle w:val="FootnoteReference"/>
                <w:rFonts w:cs="Times New Roman"/>
                <w:kern w:val="2"/>
                <w:sz w:val="20"/>
              </w:rPr>
              <w:footnoteReference w:id="10"/>
            </w:r>
            <w:r w:rsidRPr="006F29F5">
              <w:rPr>
                <w:rFonts w:cs="Times New Roman"/>
                <w:kern w:val="2"/>
                <w:position w:val="10"/>
                <w:sz w:val="20"/>
              </w:rPr>
              <w:t xml:space="preserve"> </w:t>
            </w:r>
            <w:r w:rsidRPr="006F29F5">
              <w:rPr>
                <w:rFonts w:cs="Times New Roman"/>
                <w:kern w:val="2"/>
                <w:sz w:val="20"/>
              </w:rPr>
              <w:t xml:space="preserve">A court may order compensation or damages directly to a foreign jurisdiction in a private civil action. A court may also order compensation or restitution directly to a foreign jurisdiction in a criminal or NCB case. Finally, when deciding on confiscation, some courts have the authority to recognize a foreign jurisdiction’s claim as the legitimate owner of the assets. </w:t>
            </w:r>
          </w:p>
          <w:p w14:paraId="3F679784" w14:textId="2ED37635" w:rsidR="0075069B" w:rsidRDefault="0075069B" w:rsidP="00821724">
            <w:pPr>
              <w:widowControl w:val="0"/>
              <w:autoSpaceDE w:val="0"/>
              <w:autoSpaceDN w:val="0"/>
              <w:adjustRightInd w:val="0"/>
              <w:rPr>
                <w:rFonts w:cs="Times New Roman"/>
                <w:kern w:val="2"/>
                <w:sz w:val="20"/>
              </w:rPr>
            </w:pPr>
            <w:r w:rsidRPr="006F29F5">
              <w:rPr>
                <w:rFonts w:cs="Times New Roman"/>
                <w:kern w:val="2"/>
                <w:sz w:val="20"/>
              </w:rPr>
              <w:t>If the perpetrator of the criminal action is bankrupt (or companies used by the perpetrator are insolvent), formal insolvency procedures may</w:t>
            </w:r>
            <w:r w:rsidR="00821724">
              <w:rPr>
                <w:rFonts w:cs="Times New Roman"/>
                <w:kern w:val="2"/>
                <w:sz w:val="20"/>
              </w:rPr>
              <w:t xml:space="preserve"> assist in the recovery process</w:t>
            </w:r>
            <w:r w:rsidRPr="006F29F5">
              <w:rPr>
                <w:rFonts w:cs="Times New Roman"/>
                <w:kern w:val="2"/>
                <w:sz w:val="20"/>
              </w:rPr>
              <w:t>.</w:t>
            </w:r>
          </w:p>
          <w:p w14:paraId="016A8D39" w14:textId="6540C940" w:rsidR="00821724" w:rsidRPr="006F29F5" w:rsidRDefault="00821724" w:rsidP="00821724">
            <w:pPr>
              <w:widowControl w:val="0"/>
              <w:autoSpaceDE w:val="0"/>
              <w:autoSpaceDN w:val="0"/>
              <w:adjustRightInd w:val="0"/>
              <w:rPr>
                <w:rFonts w:cs="Times New Roman"/>
                <w:kern w:val="2"/>
                <w:sz w:val="20"/>
              </w:rPr>
            </w:pPr>
            <w:r>
              <w:rPr>
                <w:rFonts w:cs="Times New Roman"/>
                <w:kern w:val="2"/>
                <w:sz w:val="20"/>
              </w:rPr>
              <w:t>…</w:t>
            </w:r>
          </w:p>
          <w:p w14:paraId="042C7DC5" w14:textId="77777777" w:rsidR="0075069B" w:rsidRPr="006F29F5" w:rsidRDefault="0075069B" w:rsidP="00821724">
            <w:pPr>
              <w:widowControl w:val="0"/>
              <w:autoSpaceDE w:val="0"/>
              <w:autoSpaceDN w:val="0"/>
              <w:adjustRightInd w:val="0"/>
              <w:rPr>
                <w:rFonts w:cs="Times New Roman"/>
                <w:kern w:val="2"/>
                <w:sz w:val="20"/>
              </w:rPr>
            </w:pPr>
            <w:r w:rsidRPr="006F29F5">
              <w:rPr>
                <w:rFonts w:cs="Times New Roman"/>
                <w:kern w:val="2"/>
                <w:sz w:val="20"/>
              </w:rPr>
              <w:t>A number of policy issues are likely to arise during any efforts to recover assets in corruption cases. Requested jurisdictions may be concerned that the funds will be siphoned off again through continued or renewed corruption in the requesting jurisdictions, especially if the corrupt official is still in power or holds significant influence. Moreover, requesting jurisdictions may object to a requested country’s attempts to impose conditions and other views on how the confiscated assets should be used. In some cases, international organizations such as the World Bank and civil society organizations have been used to facilitate the return and monitoring of recovered funds.</w:t>
            </w:r>
            <w:r w:rsidRPr="006F29F5">
              <w:rPr>
                <w:rStyle w:val="FootnoteReference"/>
                <w:rFonts w:cs="Times New Roman"/>
                <w:kern w:val="2"/>
                <w:sz w:val="20"/>
              </w:rPr>
              <w:footnoteReference w:id="11"/>
            </w:r>
          </w:p>
          <w:p w14:paraId="46BE9B3C" w14:textId="39E1A7BD" w:rsidR="0075069B" w:rsidRPr="006F29F5" w:rsidRDefault="0075069B" w:rsidP="00821724">
            <w:pPr>
              <w:pStyle w:val="ExcerptMarker"/>
              <w:spacing w:before="0"/>
              <w:rPr>
                <w:sz w:val="20"/>
              </w:rPr>
            </w:pPr>
            <w:r w:rsidRPr="006F29F5">
              <w:t>End of Excerpt</w:t>
            </w:r>
          </w:p>
        </w:tc>
      </w:tr>
    </w:tbl>
    <w:p w14:paraId="6257CB97" w14:textId="71AC3F15" w:rsidR="00F64430" w:rsidRPr="006F29F5" w:rsidRDefault="00157F16" w:rsidP="00B61F2C">
      <w:pPr>
        <w:spacing w:after="480"/>
        <w:rPr>
          <w:rFonts w:cs="Times New Roman"/>
          <w:color w:val="000000" w:themeColor="text1"/>
          <w:kern w:val="2"/>
          <w:sz w:val="20"/>
        </w:rPr>
      </w:pPr>
      <w:r w:rsidRPr="006F29F5">
        <w:rPr>
          <w:rFonts w:cs="Times New Roman"/>
          <w:color w:val="000000" w:themeColor="text1"/>
          <w:kern w:val="2"/>
          <w:sz w:val="20"/>
        </w:rPr>
        <w:lastRenderedPageBreak/>
        <w:t>Judges in the United States and the United Kingdom have, in a number of cases, made orders directing corrupt public officials and money launderers</w:t>
      </w:r>
      <w:r w:rsidR="00192C02" w:rsidRPr="006F29F5">
        <w:rPr>
          <w:rFonts w:cs="Times New Roman"/>
          <w:color w:val="000000" w:themeColor="text1"/>
          <w:kern w:val="2"/>
          <w:sz w:val="20"/>
        </w:rPr>
        <w:t>,</w:t>
      </w:r>
      <w:r w:rsidRPr="006F29F5">
        <w:rPr>
          <w:rFonts w:cs="Times New Roman"/>
          <w:color w:val="000000" w:themeColor="text1"/>
          <w:kern w:val="2"/>
          <w:sz w:val="20"/>
        </w:rPr>
        <w:t xml:space="preserve"> as well as corporations and their agents involved in bribery of public officials to pay compensation or damages to a State that has been harmed by corruption offences.</w:t>
      </w:r>
      <w:r w:rsidRPr="006F29F5">
        <w:rPr>
          <w:rStyle w:val="FootnoteReference"/>
          <w:rFonts w:cs="Times New Roman"/>
          <w:color w:val="000000" w:themeColor="text1"/>
          <w:kern w:val="2"/>
          <w:sz w:val="20"/>
        </w:rPr>
        <w:footnoteReference w:id="12"/>
      </w:r>
      <w:r w:rsidRPr="006F29F5">
        <w:rPr>
          <w:rFonts w:cs="Times New Roman"/>
          <w:color w:val="000000" w:themeColor="text1"/>
          <w:kern w:val="2"/>
          <w:sz w:val="20"/>
        </w:rPr>
        <w:t xml:space="preserve"> For instance, when the British construction and engineering firm Mabey &amp; Johnson disclosed to the </w:t>
      </w:r>
      <w:r w:rsidR="00AB13A5" w:rsidRPr="006F29F5">
        <w:rPr>
          <w:rFonts w:cs="Times New Roman"/>
          <w:color w:val="000000" w:themeColor="text1"/>
          <w:kern w:val="2"/>
          <w:sz w:val="20"/>
        </w:rPr>
        <w:t>UK</w:t>
      </w:r>
      <w:r w:rsidRPr="006F29F5">
        <w:rPr>
          <w:rFonts w:cs="Times New Roman"/>
          <w:color w:val="000000" w:themeColor="text1"/>
          <w:kern w:val="2"/>
          <w:sz w:val="20"/>
        </w:rPr>
        <w:t xml:space="preserve"> Serious Fraud Office that it had paid bribes in several jurisdictions, it was ordered to make reparations of about £658,000 to Ghana, £618,000 to Iraq and £139,000 to Jamaica.</w:t>
      </w:r>
      <w:r w:rsidRPr="006F29F5">
        <w:rPr>
          <w:rStyle w:val="FootnoteReference"/>
          <w:rFonts w:cs="Times New Roman"/>
          <w:color w:val="000000" w:themeColor="text1"/>
          <w:kern w:val="2"/>
          <w:sz w:val="20"/>
        </w:rPr>
        <w:footnoteReference w:id="13"/>
      </w:r>
      <w:r w:rsidRPr="006F29F5">
        <w:rPr>
          <w:rFonts w:cs="Times New Roman"/>
          <w:color w:val="000000" w:themeColor="text1"/>
          <w:kern w:val="2"/>
          <w:sz w:val="20"/>
        </w:rPr>
        <w:t xml:space="preserve"> In the United States, Robert Antoine, director of operations for Haiti’s State-owned telecommunications entity, and executives of the telecommunications companies</w:t>
      </w:r>
      <w:r w:rsidR="00C918FF" w:rsidRPr="006F29F5">
        <w:rPr>
          <w:rFonts w:cs="Times New Roman"/>
          <w:color w:val="000000" w:themeColor="text1"/>
          <w:kern w:val="2"/>
          <w:sz w:val="20"/>
        </w:rPr>
        <w:t>,</w:t>
      </w:r>
      <w:r w:rsidRPr="006F29F5">
        <w:rPr>
          <w:rFonts w:cs="Times New Roman"/>
          <w:color w:val="000000" w:themeColor="text1"/>
          <w:kern w:val="2"/>
          <w:sz w:val="20"/>
        </w:rPr>
        <w:t xml:space="preserve"> who bribed him were jointly ordered to pay $2.2 million in restitution to the government of Haiti. Similarly, </w:t>
      </w:r>
      <w:r w:rsidR="001F02E2" w:rsidRPr="006F29F5">
        <w:rPr>
          <w:rFonts w:cs="Times New Roman"/>
          <w:color w:val="000000" w:themeColor="text1"/>
          <w:kern w:val="2"/>
          <w:sz w:val="20"/>
        </w:rPr>
        <w:t xml:space="preserve">the United States court ordered the </w:t>
      </w:r>
      <w:r w:rsidRPr="006F29F5">
        <w:rPr>
          <w:rFonts w:cs="Times New Roman"/>
          <w:color w:val="000000" w:themeColor="text1"/>
          <w:kern w:val="2"/>
          <w:sz w:val="20"/>
        </w:rPr>
        <w:t>three co-defendants of Steve Ferguson, head of the</w:t>
      </w:r>
      <w:r w:rsidR="00F64430" w:rsidRPr="006F29F5">
        <w:rPr>
          <w:rFonts w:cs="Times New Roman"/>
          <w:color w:val="000000" w:themeColor="text1"/>
          <w:kern w:val="2"/>
          <w:sz w:val="20"/>
        </w:rPr>
        <w:t xml:space="preserve"> N</w:t>
      </w:r>
      <w:r w:rsidRPr="006F29F5">
        <w:rPr>
          <w:rFonts w:cs="Times New Roman"/>
          <w:color w:val="000000" w:themeColor="text1"/>
          <w:kern w:val="2"/>
          <w:sz w:val="20"/>
        </w:rPr>
        <w:t>ational Gas Company of Trinidad and Tobago, to make restitution to the government of Trinidad and Tobago in the amount</w:t>
      </w:r>
      <w:r w:rsidR="00D30C98" w:rsidRPr="006F29F5">
        <w:rPr>
          <w:rFonts w:cs="Times New Roman"/>
          <w:color w:val="000000" w:themeColor="text1"/>
          <w:kern w:val="2"/>
          <w:sz w:val="20"/>
        </w:rPr>
        <w:t>s</w:t>
      </w:r>
      <w:r w:rsidRPr="006F29F5">
        <w:rPr>
          <w:rFonts w:cs="Times New Roman"/>
          <w:color w:val="000000" w:themeColor="text1"/>
          <w:kern w:val="2"/>
          <w:sz w:val="20"/>
        </w:rPr>
        <w:t xml:space="preserve"> of $4 million, $2 million and $100,000 respectively.</w:t>
      </w:r>
      <w:r w:rsidRPr="006F29F5">
        <w:rPr>
          <w:rStyle w:val="FootnoteReference"/>
          <w:rFonts w:cs="Times New Roman"/>
          <w:color w:val="000000" w:themeColor="text1"/>
          <w:kern w:val="2"/>
          <w:sz w:val="20"/>
        </w:rPr>
        <w:footnoteReference w:id="14"/>
      </w:r>
    </w:p>
    <w:tbl>
      <w:tblPr>
        <w:tblStyle w:val="TableGrid"/>
        <w:tblpPr w:leftFromText="180" w:rightFromText="180" w:vertAnchor="text" w:horzAnchor="margin" w:tblpY="50"/>
        <w:tblOverlap w:val="never"/>
        <w:tblW w:w="0" w:type="auto"/>
        <w:tblCellMar>
          <w:top w:w="142" w:type="dxa"/>
          <w:left w:w="284" w:type="dxa"/>
          <w:bottom w:w="142" w:type="dxa"/>
          <w:right w:w="284" w:type="dxa"/>
        </w:tblCellMar>
        <w:tblLook w:val="04A0" w:firstRow="1" w:lastRow="0" w:firstColumn="1" w:lastColumn="0" w:noHBand="0" w:noVBand="1"/>
      </w:tblPr>
      <w:tblGrid>
        <w:gridCol w:w="8070"/>
      </w:tblGrid>
      <w:tr w:rsidR="00F64430" w:rsidRPr="006F29F5" w14:paraId="740B905C" w14:textId="77777777" w:rsidTr="00F64430">
        <w:tc>
          <w:tcPr>
            <w:tcW w:w="9350" w:type="dxa"/>
          </w:tcPr>
          <w:p w14:paraId="4383F26B" w14:textId="77777777" w:rsidR="00F64430" w:rsidRPr="006F29F5" w:rsidRDefault="00F64430" w:rsidP="00F64430">
            <w:pPr>
              <w:spacing w:before="120" w:after="120"/>
              <w:rPr>
                <w:rFonts w:cs="Times New Roman"/>
                <w:b/>
                <w:color w:val="000000" w:themeColor="text1"/>
                <w:kern w:val="2"/>
                <w:sz w:val="20"/>
              </w:rPr>
            </w:pPr>
            <w:r w:rsidRPr="006F29F5">
              <w:rPr>
                <w:rFonts w:cs="Times New Roman"/>
                <w:b/>
                <w:color w:val="000000" w:themeColor="text1"/>
                <w:kern w:val="2"/>
                <w:sz w:val="20"/>
              </w:rPr>
              <w:t>Further Reading</w:t>
            </w:r>
          </w:p>
          <w:p w14:paraId="37F7C25F" w14:textId="77777777" w:rsidR="00F64430" w:rsidRPr="006F29F5" w:rsidRDefault="00F64430" w:rsidP="00F64430">
            <w:pPr>
              <w:spacing w:before="0" w:after="0"/>
              <w:rPr>
                <w:rFonts w:cs="Times New Roman"/>
                <w:color w:val="000000" w:themeColor="text1"/>
                <w:kern w:val="2"/>
                <w:sz w:val="20"/>
              </w:rPr>
            </w:pPr>
            <w:r w:rsidRPr="006F29F5">
              <w:rPr>
                <w:rFonts w:cs="Times New Roman"/>
                <w:color w:val="000000" w:themeColor="text1"/>
                <w:kern w:val="2"/>
                <w:sz w:val="20"/>
              </w:rPr>
              <w:t xml:space="preserve">For more on the use of anti-money laundering framework in asset tracing, see </w:t>
            </w:r>
            <w:proofErr w:type="spellStart"/>
            <w:r w:rsidRPr="006F29F5">
              <w:rPr>
                <w:rFonts w:cs="Times New Roman"/>
                <w:color w:val="000000" w:themeColor="text1"/>
                <w:kern w:val="2"/>
                <w:sz w:val="20"/>
              </w:rPr>
              <w:t>Hounta</w:t>
            </w:r>
            <w:proofErr w:type="spellEnd"/>
            <w:r w:rsidRPr="006F29F5">
              <w:rPr>
                <w:rFonts w:cs="Times New Roman"/>
                <w:color w:val="000000" w:themeColor="text1"/>
                <w:kern w:val="2"/>
                <w:sz w:val="20"/>
              </w:rPr>
              <w:t xml:space="preserve"> &amp; Lehmann, “Using the Anti-Money Laundering Framework in Asset Tracing” in </w:t>
            </w:r>
            <w:r w:rsidRPr="006F29F5">
              <w:rPr>
                <w:rFonts w:cs="Times New Roman"/>
                <w:i/>
                <w:color w:val="000000" w:themeColor="text1"/>
                <w:kern w:val="2"/>
                <w:sz w:val="20"/>
              </w:rPr>
              <w:t xml:space="preserve">Tracing Illegal Assets: A Practitioner’s Guide </w:t>
            </w:r>
            <w:r w:rsidRPr="006F29F5">
              <w:rPr>
                <w:rFonts w:cs="Times New Roman"/>
                <w:color w:val="000000" w:themeColor="text1"/>
                <w:kern w:val="2"/>
                <w:sz w:val="20"/>
              </w:rPr>
              <w:t>(Basel Institute on Governance, International Centre for Asset Recovery, 2015) at 69-91, online:</w:t>
            </w:r>
          </w:p>
          <w:p w14:paraId="36E885A3" w14:textId="77777777" w:rsidR="00F64430" w:rsidRPr="006F29F5" w:rsidRDefault="00F64430" w:rsidP="00F64430">
            <w:pPr>
              <w:spacing w:before="0" w:after="0"/>
              <w:rPr>
                <w:rFonts w:cs="Times New Roman"/>
                <w:kern w:val="2"/>
                <w:sz w:val="20"/>
              </w:rPr>
            </w:pPr>
            <w:r w:rsidRPr="006F29F5">
              <w:rPr>
                <w:rFonts w:cs="Times New Roman"/>
                <w:kern w:val="2"/>
                <w:sz w:val="20"/>
              </w:rPr>
              <w:t>&lt;</w:t>
            </w:r>
            <w:r w:rsidRPr="006F29F5">
              <w:rPr>
                <w:rFonts w:cs="Times New Roman"/>
                <w:kern w:val="2"/>
                <w:sz w:val="20"/>
              </w:rPr>
              <w:fldChar w:fldCharType="begin"/>
            </w:r>
            <w:r w:rsidRPr="006F29F5">
              <w:rPr>
                <w:rFonts w:cs="Times New Roman"/>
                <w:kern w:val="2"/>
                <w:sz w:val="20"/>
              </w:rPr>
              <w:instrText xml:space="preserve"> HYPERLINK "https://forum.assetrecovery.org/sites/collective.localhost/files/publications/</w:instrText>
            </w:r>
          </w:p>
          <w:p w14:paraId="115B90DD" w14:textId="77777777" w:rsidR="00F64430" w:rsidRPr="006F29F5" w:rsidRDefault="00F64430" w:rsidP="00F64430">
            <w:pPr>
              <w:spacing w:before="0" w:after="0"/>
              <w:rPr>
                <w:rStyle w:val="Hyperlink"/>
                <w:rFonts w:cs="Times New Roman"/>
                <w:kern w:val="2"/>
                <w:sz w:val="20"/>
              </w:rPr>
            </w:pPr>
            <w:r w:rsidRPr="006F29F5">
              <w:rPr>
                <w:rFonts w:cs="Times New Roman"/>
                <w:kern w:val="2"/>
                <w:sz w:val="20"/>
              </w:rPr>
              <w:instrText xml:space="preserve">tracing_illegal_assets_manuscript_final_online.pdf" </w:instrText>
            </w:r>
            <w:r w:rsidRPr="006F29F5">
              <w:rPr>
                <w:rFonts w:cs="Times New Roman"/>
                <w:kern w:val="2"/>
                <w:sz w:val="20"/>
              </w:rPr>
              <w:fldChar w:fldCharType="separate"/>
            </w:r>
            <w:r w:rsidRPr="006F29F5">
              <w:rPr>
                <w:rStyle w:val="Hyperlink"/>
                <w:rFonts w:cs="Times New Roman"/>
                <w:kern w:val="2"/>
                <w:sz w:val="20"/>
              </w:rPr>
              <w:t>https://forum.assetrecovery.org/sites/collective.localhost/files/publications/</w:t>
            </w:r>
          </w:p>
          <w:p w14:paraId="00D12F2D" w14:textId="77777777" w:rsidR="00F64430" w:rsidRPr="006F29F5" w:rsidRDefault="00F64430" w:rsidP="00F64430">
            <w:pPr>
              <w:spacing w:before="0" w:after="120"/>
              <w:rPr>
                <w:rFonts w:cs="Times New Roman"/>
                <w:color w:val="000000" w:themeColor="text1"/>
                <w:kern w:val="2"/>
                <w:sz w:val="20"/>
              </w:rPr>
            </w:pPr>
            <w:r w:rsidRPr="006F29F5">
              <w:rPr>
                <w:rStyle w:val="Hyperlink"/>
                <w:rFonts w:cs="Times New Roman"/>
                <w:kern w:val="2"/>
                <w:sz w:val="20"/>
              </w:rPr>
              <w:t>tracing_illegal_assets_manuscript_final_online.pdf</w:t>
            </w:r>
            <w:r w:rsidRPr="006F29F5">
              <w:rPr>
                <w:rFonts w:cs="Times New Roman"/>
                <w:kern w:val="2"/>
                <w:sz w:val="20"/>
              </w:rPr>
              <w:fldChar w:fldCharType="end"/>
            </w:r>
            <w:r w:rsidRPr="006F29F5">
              <w:rPr>
                <w:rFonts w:cs="Times New Roman"/>
                <w:kern w:val="2"/>
                <w:sz w:val="20"/>
              </w:rPr>
              <w:t>&gt;.</w:t>
            </w:r>
            <w:r w:rsidRPr="006F29F5">
              <w:rPr>
                <w:rFonts w:cs="Times New Roman"/>
                <w:color w:val="000000" w:themeColor="text1"/>
                <w:kern w:val="2"/>
                <w:sz w:val="20"/>
              </w:rPr>
              <w:t xml:space="preserve"> </w:t>
            </w:r>
          </w:p>
        </w:tc>
      </w:tr>
    </w:tbl>
    <w:p w14:paraId="34B78058" w14:textId="1D9387C1" w:rsidR="00B61F2C" w:rsidRPr="006F29F5" w:rsidRDefault="00B61F2C" w:rsidP="00B61F2C">
      <w:pPr>
        <w:pStyle w:val="Heading3"/>
        <w:spacing w:before="600"/>
        <w:rPr>
          <w:sz w:val="22"/>
        </w:rPr>
      </w:pPr>
      <w:r w:rsidRPr="006F29F5">
        <w:rPr>
          <w:sz w:val="22"/>
        </w:rPr>
        <w:t>Management of Seized Assets</w:t>
      </w:r>
    </w:p>
    <w:p w14:paraId="56AC715B" w14:textId="5899C125" w:rsidR="00F64430" w:rsidRDefault="00B61F2C" w:rsidP="00B61F2C">
      <w:pPr>
        <w:rPr>
          <w:rFonts w:cs="Times New Roman"/>
          <w:kern w:val="2"/>
          <w:sz w:val="20"/>
        </w:rPr>
      </w:pPr>
      <w:r w:rsidRPr="006F29F5">
        <w:rPr>
          <w:rFonts w:cs="Times New Roman"/>
          <w:kern w:val="2"/>
          <w:sz w:val="20"/>
        </w:rPr>
        <w:t xml:space="preserve">Below is an excerpt from International Centre for Asset Recovery/Basel Institute on Governance publication entitled </w:t>
      </w:r>
      <w:r w:rsidRPr="006F29F5">
        <w:rPr>
          <w:rFonts w:cs="Times New Roman"/>
          <w:i/>
          <w:kern w:val="2"/>
          <w:sz w:val="20"/>
        </w:rPr>
        <w:t>Development Assistance, Asset Recovery and Money Laundering: Making the Connection</w:t>
      </w:r>
      <w:r w:rsidRPr="006F29F5">
        <w:rPr>
          <w:rFonts w:cs="Times New Roman"/>
          <w:kern w:val="2"/>
          <w:sz w:val="20"/>
        </w:rPr>
        <w:t xml:space="preserve"> (2011):</w:t>
      </w:r>
      <w:r w:rsidRPr="006F29F5">
        <w:rPr>
          <w:rStyle w:val="FootnoteReference"/>
          <w:rFonts w:cs="Times New Roman"/>
          <w:kern w:val="2"/>
          <w:sz w:val="20"/>
        </w:rPr>
        <w:footnoteReference w:id="15"/>
      </w:r>
    </w:p>
    <w:tbl>
      <w:tblPr>
        <w:tblStyle w:val="TableGrid"/>
        <w:tblW w:w="0" w:type="auto"/>
        <w:tblCellMar>
          <w:top w:w="284" w:type="dxa"/>
          <w:left w:w="284" w:type="dxa"/>
          <w:bottom w:w="284" w:type="dxa"/>
          <w:right w:w="284" w:type="dxa"/>
        </w:tblCellMar>
        <w:tblLook w:val="04A0" w:firstRow="1" w:lastRow="0" w:firstColumn="1" w:lastColumn="0" w:noHBand="0" w:noVBand="1"/>
      </w:tblPr>
      <w:tblGrid>
        <w:gridCol w:w="8070"/>
      </w:tblGrid>
      <w:tr w:rsidR="00047444" w14:paraId="273A812F" w14:textId="77777777" w:rsidTr="00FA7171">
        <w:tc>
          <w:tcPr>
            <w:tcW w:w="8070" w:type="dxa"/>
            <w:tcBorders>
              <w:top w:val="nil"/>
              <w:left w:val="nil"/>
              <w:bottom w:val="nil"/>
              <w:right w:val="nil"/>
            </w:tcBorders>
            <w:shd w:val="clear" w:color="auto" w:fill="D9D9D9" w:themeFill="background1" w:themeFillShade="D9"/>
          </w:tcPr>
          <w:p w14:paraId="510ADB1F" w14:textId="77777777" w:rsidR="00047444" w:rsidRPr="006F29F5" w:rsidRDefault="00047444" w:rsidP="00047444">
            <w:pPr>
              <w:pStyle w:val="ExcerptMarker"/>
              <w:spacing w:before="0"/>
              <w:rPr>
                <w:kern w:val="2"/>
                <w:sz w:val="16"/>
              </w:rPr>
            </w:pPr>
            <w:r w:rsidRPr="006F29F5">
              <w:rPr>
                <w:kern w:val="2"/>
                <w:sz w:val="16"/>
              </w:rPr>
              <w:t>Beginning of Excerpt</w:t>
            </w:r>
          </w:p>
          <w:p w14:paraId="2885075C" w14:textId="77777777" w:rsidR="00047444" w:rsidRPr="006F29F5" w:rsidRDefault="00047444" w:rsidP="00047444">
            <w:pPr>
              <w:autoSpaceDE w:val="0"/>
              <w:autoSpaceDN w:val="0"/>
              <w:adjustRightInd w:val="0"/>
              <w:rPr>
                <w:rFonts w:cs="Times New Roman"/>
                <w:b/>
                <w:bCs/>
                <w:kern w:val="2"/>
                <w:sz w:val="20"/>
              </w:rPr>
            </w:pPr>
            <w:r w:rsidRPr="006F29F5">
              <w:rPr>
                <w:rFonts w:cs="Times New Roman"/>
                <w:b/>
                <w:bCs/>
                <w:kern w:val="2"/>
                <w:sz w:val="20"/>
              </w:rPr>
              <w:t>Asset Recovery, Management of Seized Assets and the Monitoring the Use of Returned Assets</w:t>
            </w:r>
          </w:p>
          <w:p w14:paraId="127818C2" w14:textId="77777777" w:rsidR="00047444" w:rsidRPr="006F29F5" w:rsidRDefault="00047444" w:rsidP="00047444">
            <w:pPr>
              <w:autoSpaceDE w:val="0"/>
              <w:autoSpaceDN w:val="0"/>
              <w:adjustRightInd w:val="0"/>
              <w:rPr>
                <w:rFonts w:cs="Times New Roman"/>
                <w:kern w:val="2"/>
                <w:sz w:val="20"/>
              </w:rPr>
            </w:pPr>
            <w:r w:rsidRPr="006F29F5">
              <w:rPr>
                <w:rFonts w:cs="Times New Roman"/>
                <w:kern w:val="2"/>
                <w:sz w:val="20"/>
              </w:rPr>
              <w:t>Two additional elements should be considered in the asset recovery process: the management of assets that have been seized and that are pending confiscation, and the monitoring of assets that are repatriated by the recipient country to the victim country.</w:t>
            </w:r>
            <w:r w:rsidRPr="006F29F5">
              <w:rPr>
                <w:rStyle w:val="FootnoteReference"/>
                <w:rFonts w:cs="Times New Roman"/>
                <w:kern w:val="2"/>
                <w:sz w:val="20"/>
              </w:rPr>
              <w:footnoteReference w:id="16"/>
            </w:r>
            <w:r w:rsidRPr="006F29F5">
              <w:rPr>
                <w:rFonts w:cs="Times New Roman"/>
                <w:kern w:val="2"/>
                <w:sz w:val="20"/>
              </w:rPr>
              <w:t xml:space="preserve"> </w:t>
            </w:r>
          </w:p>
          <w:p w14:paraId="7C3C0FE3" w14:textId="219FB51A" w:rsidR="00047444" w:rsidRDefault="00047444" w:rsidP="00FA7171">
            <w:pPr>
              <w:autoSpaceDE w:val="0"/>
              <w:autoSpaceDN w:val="0"/>
              <w:adjustRightInd w:val="0"/>
              <w:spacing w:after="0"/>
              <w:rPr>
                <w:rFonts w:cs="Times New Roman"/>
                <w:kern w:val="2"/>
                <w:sz w:val="20"/>
              </w:rPr>
            </w:pPr>
            <w:r w:rsidRPr="006F29F5">
              <w:rPr>
                <w:rFonts w:cs="Times New Roman"/>
                <w:kern w:val="2"/>
                <w:sz w:val="20"/>
              </w:rPr>
              <w:t>Both national and international authorities often overlook the management of seized assets that are pending a confiscation order. Some of the problems include the cost of maintenance of the property – whether the taxes that are due during the seizure or the cost of up-keeping it in storage – while the seizure is pending a confiscation order, and the depreciation that the asset may have during its storage. To overcome such a situation, it is useful to analyse how some jurisdictions deal with the challenges, varying from the anticipated sale of the seized assets, such as in the United States and several Eastern European countries, or the promise from the person that committed the corrupt or other criminal act before a court that he/she will not sell the asset and will maintain it in good condition,</w:t>
            </w:r>
            <w:r>
              <w:rPr>
                <w:rFonts w:cs="Times New Roman"/>
                <w:kern w:val="2"/>
                <w:sz w:val="20"/>
              </w:rPr>
              <w:t xml:space="preserve"> such as in the United Kingdom.</w:t>
            </w:r>
          </w:p>
        </w:tc>
      </w:tr>
    </w:tbl>
    <w:p w14:paraId="69EA36BE" w14:textId="13487F79" w:rsidR="00FA7171" w:rsidRDefault="00FA7171" w:rsidP="00B61F2C">
      <w:pPr>
        <w:rPr>
          <w:rFonts w:cs="Times New Roman"/>
          <w:kern w:val="2"/>
          <w:sz w:val="20"/>
        </w:rPr>
      </w:pPr>
    </w:p>
    <w:p w14:paraId="5F4EEED7" w14:textId="77777777" w:rsidR="00FA7171" w:rsidRDefault="00FA7171">
      <w:pPr>
        <w:spacing w:before="0" w:after="200" w:line="276" w:lineRule="auto"/>
        <w:jc w:val="left"/>
        <w:rPr>
          <w:rFonts w:cs="Times New Roman"/>
          <w:kern w:val="2"/>
          <w:sz w:val="20"/>
        </w:rPr>
      </w:pPr>
      <w:r>
        <w:rPr>
          <w:rFonts w:cs="Times New Roman"/>
          <w:kern w:val="2"/>
          <w:sz w:val="20"/>
        </w:rPr>
        <w:br w:type="page"/>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284" w:type="dxa"/>
          <w:left w:w="284" w:type="dxa"/>
          <w:bottom w:w="284" w:type="dxa"/>
          <w:right w:w="284" w:type="dxa"/>
        </w:tblCellMar>
        <w:tblLook w:val="06A0" w:firstRow="1" w:lastRow="0" w:firstColumn="1" w:lastColumn="0" w:noHBand="1" w:noVBand="1"/>
      </w:tblPr>
      <w:tblGrid>
        <w:gridCol w:w="8080"/>
      </w:tblGrid>
      <w:tr w:rsidR="007B33B6" w:rsidRPr="006F29F5" w14:paraId="75333DF1" w14:textId="77777777" w:rsidTr="00047444">
        <w:trPr>
          <w:jc w:val="center"/>
        </w:trPr>
        <w:tc>
          <w:tcPr>
            <w:tcW w:w="8080" w:type="dxa"/>
            <w:shd w:val="clear" w:color="auto" w:fill="D9D9D9" w:themeFill="background1" w:themeFillShade="D9"/>
          </w:tcPr>
          <w:p w14:paraId="1063E648" w14:textId="3FF7093D" w:rsidR="007B33B6" w:rsidRPr="006F29F5" w:rsidRDefault="007B33B6" w:rsidP="00FA7171">
            <w:pPr>
              <w:autoSpaceDE w:val="0"/>
              <w:autoSpaceDN w:val="0"/>
              <w:adjustRightInd w:val="0"/>
              <w:spacing w:before="0"/>
              <w:rPr>
                <w:rFonts w:cs="Times New Roman"/>
                <w:kern w:val="2"/>
                <w:sz w:val="20"/>
              </w:rPr>
            </w:pPr>
            <w:r w:rsidRPr="006F29F5">
              <w:rPr>
                <w:rFonts w:cs="Times New Roman"/>
                <w:kern w:val="2"/>
                <w:sz w:val="20"/>
              </w:rPr>
              <w:t>Whatever the option chosen, if at all since many countries do not yet have regulations in place to adequately address the management of seized assets, countries must bear in mind the fact that the anticipated sale of assets must be properly introduced into a legal system, so as to avoid any conflicts with the right to property of persons who may have a legitimate claim to the assets. Furthermore, an adequate database of seized assets must be put in place so as to ensure transparency and security in the management of such assets.</w:t>
            </w:r>
          </w:p>
          <w:p w14:paraId="2BB4F247" w14:textId="27B68D78" w:rsidR="007B33B6" w:rsidRPr="006F29F5" w:rsidRDefault="007B33B6" w:rsidP="00047444">
            <w:pPr>
              <w:autoSpaceDE w:val="0"/>
              <w:autoSpaceDN w:val="0"/>
              <w:adjustRightInd w:val="0"/>
              <w:rPr>
                <w:rFonts w:cs="Times New Roman"/>
                <w:kern w:val="2"/>
                <w:sz w:val="20"/>
              </w:rPr>
            </w:pPr>
            <w:r w:rsidRPr="006F29F5">
              <w:rPr>
                <w:rFonts w:cs="Times New Roman"/>
                <w:kern w:val="2"/>
                <w:sz w:val="20"/>
              </w:rPr>
              <w:t>On the other hand, the monitoring of returned assets is a much debated topic in the asset recovery field. Some countries returning assets have in the past requested or conditioned the return of proceeds of corruption and other criminal acts to spending on specific projects or areas mutually determined by both countries. The argument used by returning countries is that this is an attempt to avoid the returned assets being recycled out of the country again through further corruption or other criminal acts.</w:t>
            </w:r>
            <w:r w:rsidR="00220AC9" w:rsidRPr="006F29F5">
              <w:rPr>
                <w:rFonts w:cs="Times New Roman"/>
                <w:kern w:val="2"/>
                <w:sz w:val="20"/>
              </w:rPr>
              <w:t xml:space="preserve"> </w:t>
            </w:r>
            <w:r w:rsidRPr="006F29F5">
              <w:rPr>
                <w:rFonts w:cs="Times New Roman"/>
                <w:kern w:val="2"/>
                <w:sz w:val="20"/>
              </w:rPr>
              <w:t>Many victim countries, in turn, argue that such imposition and conditioning of the returned assets is a violation of their sovereign right to decide how to spend or invest returned money.</w:t>
            </w:r>
          </w:p>
          <w:p w14:paraId="57BF6994" w14:textId="77777777" w:rsidR="007B33B6" w:rsidRPr="006F29F5" w:rsidRDefault="007B33B6" w:rsidP="00047444">
            <w:pPr>
              <w:autoSpaceDE w:val="0"/>
              <w:autoSpaceDN w:val="0"/>
              <w:adjustRightInd w:val="0"/>
              <w:rPr>
                <w:rFonts w:cs="Times New Roman"/>
                <w:kern w:val="2"/>
                <w:sz w:val="20"/>
              </w:rPr>
            </w:pPr>
            <w:r w:rsidRPr="006F29F5">
              <w:rPr>
                <w:rFonts w:cs="Times New Roman"/>
                <w:kern w:val="2"/>
                <w:sz w:val="20"/>
              </w:rPr>
              <w:t>The monitoring of returned assets must be mutually decided upon both the recipient and victim countries in a case-by-case scenario, ensuring transparency and dialogue in the process. In past cases, there have been examples countries using independent third parties, such as civil-society organisations from both countries to monitor the process.</w:t>
            </w:r>
            <w:r w:rsidRPr="006F29F5">
              <w:rPr>
                <w:rStyle w:val="FootnoteReference"/>
                <w:rFonts w:cs="Times New Roman"/>
                <w:kern w:val="2"/>
                <w:sz w:val="20"/>
              </w:rPr>
              <w:footnoteReference w:id="17"/>
            </w:r>
          </w:p>
          <w:p w14:paraId="2B3D996A" w14:textId="65424029" w:rsidR="007B33B6" w:rsidRPr="006F29F5" w:rsidRDefault="007B33B6" w:rsidP="00047444">
            <w:pPr>
              <w:pStyle w:val="ExcerptMarker"/>
              <w:spacing w:after="0"/>
              <w:rPr>
                <w:kern w:val="2"/>
                <w:sz w:val="16"/>
              </w:rPr>
            </w:pPr>
            <w:r w:rsidRPr="006F29F5">
              <w:rPr>
                <w:kern w:val="2"/>
                <w:sz w:val="16"/>
              </w:rPr>
              <w:t>End of Excerpt</w:t>
            </w:r>
          </w:p>
        </w:tc>
      </w:tr>
    </w:tbl>
    <w:p w14:paraId="67B867CC" w14:textId="1134FA89" w:rsidR="009207A0" w:rsidRPr="006F29F5" w:rsidRDefault="00401497" w:rsidP="00DF6023">
      <w:pPr>
        <w:rPr>
          <w:rFonts w:cs="Times New Roman"/>
          <w:kern w:val="2"/>
          <w:sz w:val="20"/>
        </w:rPr>
      </w:pPr>
      <w:r w:rsidRPr="006F29F5">
        <w:rPr>
          <w:rFonts w:cs="Times New Roman"/>
          <w:kern w:val="2"/>
          <w:sz w:val="20"/>
        </w:rPr>
        <w:t xml:space="preserve">In regard to the somewhat controversial issue of monitoring returned assets, </w:t>
      </w:r>
      <w:r w:rsidR="00274D65" w:rsidRPr="006F29F5">
        <w:rPr>
          <w:rFonts w:cs="Times New Roman"/>
          <w:kern w:val="2"/>
          <w:sz w:val="20"/>
        </w:rPr>
        <w:t xml:space="preserve">Article 57(5) of UNCAC stipulates that state parties may </w:t>
      </w:r>
      <w:r w:rsidR="00CC1E13" w:rsidRPr="006F29F5">
        <w:rPr>
          <w:rFonts w:cs="Times New Roman"/>
          <w:kern w:val="2"/>
          <w:sz w:val="20"/>
        </w:rPr>
        <w:t>“</w:t>
      </w:r>
      <w:r w:rsidR="00274D65" w:rsidRPr="006F29F5">
        <w:rPr>
          <w:rFonts w:cs="Times New Roman"/>
          <w:kern w:val="2"/>
          <w:sz w:val="20"/>
        </w:rPr>
        <w:t>give special consideration to concluding agreements or mutually acceptable arrangements on a case-by-case basis, for the final disposal of confiscated property.</w:t>
      </w:r>
      <w:r w:rsidR="00CC1E13" w:rsidRPr="006F29F5">
        <w:rPr>
          <w:rFonts w:cs="Times New Roman"/>
          <w:kern w:val="2"/>
          <w:sz w:val="20"/>
        </w:rPr>
        <w:t>”</w:t>
      </w:r>
      <w:r w:rsidR="00274D65" w:rsidRPr="006F29F5">
        <w:rPr>
          <w:rFonts w:cs="Times New Roman"/>
          <w:kern w:val="2"/>
          <w:sz w:val="20"/>
        </w:rPr>
        <w:t xml:space="preserve"> This vague provision attempts to ensure that return of property </w:t>
      </w:r>
      <w:r w:rsidR="00D61CA7" w:rsidRPr="006F29F5">
        <w:rPr>
          <w:rFonts w:cs="Times New Roman"/>
          <w:kern w:val="2"/>
          <w:sz w:val="20"/>
        </w:rPr>
        <w:t>to</w:t>
      </w:r>
      <w:r w:rsidR="00274D65" w:rsidRPr="006F29F5">
        <w:rPr>
          <w:rFonts w:cs="Times New Roman"/>
          <w:kern w:val="2"/>
          <w:sz w:val="20"/>
        </w:rPr>
        <w:t xml:space="preserve"> fragile, corrupt recipient states</w:t>
      </w:r>
      <w:r w:rsidR="00D61CA7" w:rsidRPr="006F29F5">
        <w:rPr>
          <w:rFonts w:cs="Times New Roman"/>
          <w:kern w:val="2"/>
          <w:sz w:val="20"/>
        </w:rPr>
        <w:t xml:space="preserve"> can have anti-corruption safeguards attached to the agreement to return</w:t>
      </w:r>
      <w:r w:rsidR="00274D65" w:rsidRPr="006F29F5">
        <w:rPr>
          <w:rFonts w:cs="Times New Roman"/>
          <w:kern w:val="2"/>
          <w:sz w:val="20"/>
        </w:rPr>
        <w:t>. Aside from objections relating to the erosion of the recipient’s sovereignty, monitoring may pose its own challenges, such as expense and technical difficulties.</w:t>
      </w:r>
      <w:r w:rsidR="00274D65" w:rsidRPr="006F29F5">
        <w:rPr>
          <w:rStyle w:val="FootnoteReference"/>
          <w:rFonts w:cs="Times New Roman"/>
          <w:kern w:val="2"/>
          <w:sz w:val="20"/>
        </w:rPr>
        <w:footnoteReference w:id="18"/>
      </w:r>
    </w:p>
    <w:p w14:paraId="54943AE7" w14:textId="3BF2804B" w:rsidR="00E55D4A" w:rsidRPr="006F29F5" w:rsidRDefault="00713E79" w:rsidP="00C81ED8">
      <w:pPr>
        <w:rPr>
          <w:rFonts w:cs="Times New Roman"/>
          <w:kern w:val="2"/>
          <w:sz w:val="20"/>
        </w:rPr>
      </w:pPr>
      <w:r w:rsidRPr="006F29F5">
        <w:rPr>
          <w:rFonts w:cs="Times New Roman"/>
          <w:kern w:val="2"/>
          <w:sz w:val="20"/>
        </w:rPr>
        <w:t xml:space="preserve">The BOTA Foundation in Kazakhstan provides an example of a successful agreement to facilitate the return of assets. </w:t>
      </w:r>
      <w:r w:rsidR="004303DD" w:rsidRPr="006F29F5">
        <w:rPr>
          <w:rFonts w:cs="Times New Roman"/>
          <w:kern w:val="2"/>
          <w:sz w:val="20"/>
        </w:rPr>
        <w:t>In 2007, the US DOJ</w:t>
      </w:r>
      <w:r w:rsidRPr="006F29F5">
        <w:rPr>
          <w:rFonts w:cs="Times New Roman"/>
          <w:kern w:val="2"/>
          <w:sz w:val="20"/>
        </w:rPr>
        <w:t xml:space="preserve"> brought a civil forfeiture action against $84 million held in a Swiss bank account</w:t>
      </w:r>
      <w:r w:rsidR="00A93BAC" w:rsidRPr="006F29F5">
        <w:rPr>
          <w:rFonts w:cs="Times New Roman"/>
          <w:kern w:val="2"/>
          <w:sz w:val="20"/>
        </w:rPr>
        <w:t>—t</w:t>
      </w:r>
      <w:r w:rsidRPr="006F29F5">
        <w:rPr>
          <w:rFonts w:cs="Times New Roman"/>
          <w:kern w:val="2"/>
          <w:sz w:val="20"/>
        </w:rPr>
        <w:t xml:space="preserve">he money was tied to unlawful bribery transactions between oil and gas companies and Kazakh officials. </w:t>
      </w:r>
      <w:r w:rsidR="008B45D6" w:rsidRPr="006F29F5">
        <w:rPr>
          <w:rFonts w:cs="Times New Roman"/>
          <w:kern w:val="2"/>
          <w:sz w:val="20"/>
        </w:rPr>
        <w:t>In 2007, a</w:t>
      </w:r>
      <w:r w:rsidRPr="006F29F5">
        <w:rPr>
          <w:rFonts w:cs="Times New Roman"/>
          <w:kern w:val="2"/>
          <w:sz w:val="20"/>
        </w:rPr>
        <w:t xml:space="preserve"> memorandum of understanding between the governments of Kazakhstan, the US and Switzerland </w:t>
      </w:r>
      <w:r w:rsidR="009B5B60" w:rsidRPr="006F29F5">
        <w:rPr>
          <w:rFonts w:cs="Times New Roman"/>
          <w:kern w:val="2"/>
          <w:sz w:val="20"/>
        </w:rPr>
        <w:t>created</w:t>
      </w:r>
      <w:r w:rsidR="00074DE2" w:rsidRPr="006F29F5">
        <w:rPr>
          <w:rFonts w:cs="Times New Roman"/>
          <w:kern w:val="2"/>
          <w:sz w:val="20"/>
        </w:rPr>
        <w:t xml:space="preserve"> </w:t>
      </w:r>
      <w:r w:rsidR="00524C30" w:rsidRPr="006F29F5">
        <w:rPr>
          <w:rFonts w:cs="Times New Roman"/>
          <w:kern w:val="2"/>
          <w:sz w:val="20"/>
        </w:rPr>
        <w:t>the BOTA Foundation</w:t>
      </w:r>
      <w:r w:rsidR="00AD6087" w:rsidRPr="006F29F5">
        <w:rPr>
          <w:rFonts w:cs="Times New Roman"/>
          <w:kern w:val="2"/>
          <w:sz w:val="20"/>
        </w:rPr>
        <w:t xml:space="preserve"> (BOTA)</w:t>
      </w:r>
      <w:r w:rsidR="009B5B60" w:rsidRPr="006F29F5">
        <w:rPr>
          <w:rFonts w:cs="Times New Roman"/>
          <w:kern w:val="2"/>
          <w:sz w:val="20"/>
        </w:rPr>
        <w:t xml:space="preserve"> to</w:t>
      </w:r>
      <w:r w:rsidR="00074DE2" w:rsidRPr="006F29F5">
        <w:rPr>
          <w:rFonts w:cs="Times New Roman"/>
          <w:kern w:val="2"/>
          <w:sz w:val="20"/>
        </w:rPr>
        <w:t xml:space="preserve"> ensure funds w</w:t>
      </w:r>
      <w:r w:rsidR="004303DD" w:rsidRPr="006F29F5">
        <w:rPr>
          <w:rFonts w:cs="Times New Roman"/>
          <w:kern w:val="2"/>
          <w:sz w:val="20"/>
        </w:rPr>
        <w:t>ere used to benefit disadvantaged citizens in Kazakhstan</w:t>
      </w:r>
      <w:r w:rsidRPr="006F29F5">
        <w:rPr>
          <w:rFonts w:cs="Times New Roman"/>
          <w:kern w:val="2"/>
          <w:sz w:val="20"/>
        </w:rPr>
        <w:t xml:space="preserve">. The MOU </w:t>
      </w:r>
      <w:r w:rsidR="00524C30" w:rsidRPr="006F29F5">
        <w:rPr>
          <w:rFonts w:cs="Times New Roman"/>
          <w:kern w:val="2"/>
          <w:sz w:val="20"/>
        </w:rPr>
        <w:t xml:space="preserve">stipulated </w:t>
      </w:r>
      <w:r w:rsidR="008B45D6" w:rsidRPr="006F29F5">
        <w:rPr>
          <w:rFonts w:cs="Times New Roman"/>
          <w:kern w:val="2"/>
          <w:sz w:val="20"/>
        </w:rPr>
        <w:t>that the F</w:t>
      </w:r>
      <w:r w:rsidR="00524C30" w:rsidRPr="006F29F5">
        <w:rPr>
          <w:rFonts w:cs="Times New Roman"/>
          <w:kern w:val="2"/>
          <w:sz w:val="20"/>
        </w:rPr>
        <w:t>oundation</w:t>
      </w:r>
      <w:r w:rsidRPr="006F29F5">
        <w:rPr>
          <w:rFonts w:cs="Times New Roman"/>
          <w:kern w:val="2"/>
          <w:sz w:val="20"/>
        </w:rPr>
        <w:t xml:space="preserve"> be independent from the Kazakh government, its officials and their associates. The Foundation was also monitored by the US and Switzerland</w:t>
      </w:r>
      <w:r w:rsidR="00DF2A1A" w:rsidRPr="006F29F5">
        <w:rPr>
          <w:rFonts w:cs="Times New Roman"/>
          <w:kern w:val="2"/>
          <w:sz w:val="20"/>
        </w:rPr>
        <w:t xml:space="preserve"> and supervised by the World Bank. In order to continue receiving BOTA</w:t>
      </w:r>
      <w:r w:rsidR="004303DD" w:rsidRPr="006F29F5">
        <w:rPr>
          <w:rFonts w:cs="Times New Roman"/>
          <w:kern w:val="2"/>
          <w:sz w:val="20"/>
        </w:rPr>
        <w:t xml:space="preserve">’s funds, Kazakhstan </w:t>
      </w:r>
      <w:r w:rsidR="00DF2A1A" w:rsidRPr="006F29F5">
        <w:rPr>
          <w:rFonts w:cs="Times New Roman"/>
          <w:kern w:val="2"/>
          <w:sz w:val="20"/>
        </w:rPr>
        <w:t xml:space="preserve">had to participate in a program to improve budget accountability and increase transparency of oil and gas revenues. </w:t>
      </w:r>
      <w:r w:rsidR="008B45D6" w:rsidRPr="006F29F5">
        <w:rPr>
          <w:rFonts w:cs="Times New Roman"/>
          <w:kern w:val="2"/>
          <w:sz w:val="20"/>
        </w:rPr>
        <w:t>According to Aaron Bornstein</w:t>
      </w:r>
      <w:r w:rsidR="00524C30" w:rsidRPr="006F29F5">
        <w:rPr>
          <w:rFonts w:cs="Times New Roman"/>
          <w:kern w:val="2"/>
          <w:sz w:val="20"/>
        </w:rPr>
        <w:t xml:space="preserve">, the executive director of BOTA until it closed in 2014, the </w:t>
      </w:r>
      <w:r w:rsidR="00273D3E" w:rsidRPr="006F29F5">
        <w:rPr>
          <w:rFonts w:cs="Times New Roman"/>
          <w:kern w:val="2"/>
          <w:sz w:val="20"/>
        </w:rPr>
        <w:t>f</w:t>
      </w:r>
      <w:r w:rsidR="00524C30" w:rsidRPr="006F29F5">
        <w:rPr>
          <w:rFonts w:cs="Times New Roman"/>
          <w:kern w:val="2"/>
          <w:sz w:val="20"/>
        </w:rPr>
        <w:t>oundation used the $115 million from t</w:t>
      </w:r>
      <w:r w:rsidR="00E55D4A" w:rsidRPr="006F29F5">
        <w:rPr>
          <w:rFonts w:cs="Times New Roman"/>
          <w:kern w:val="2"/>
          <w:sz w:val="20"/>
        </w:rPr>
        <w:t>he bank account and</w:t>
      </w:r>
      <w:r w:rsidR="00524C30" w:rsidRPr="006F29F5">
        <w:rPr>
          <w:rFonts w:cs="Times New Roman"/>
          <w:kern w:val="2"/>
          <w:sz w:val="20"/>
        </w:rPr>
        <w:t xml:space="preserve"> interest to help 200</w:t>
      </w:r>
      <w:r w:rsidR="00C11E63" w:rsidRPr="006F29F5">
        <w:rPr>
          <w:rFonts w:cs="Times New Roman"/>
          <w:kern w:val="2"/>
          <w:sz w:val="20"/>
        </w:rPr>
        <w:t>,</w:t>
      </w:r>
      <w:r w:rsidR="00524C30" w:rsidRPr="006F29F5">
        <w:rPr>
          <w:rFonts w:cs="Times New Roman"/>
          <w:kern w:val="2"/>
          <w:sz w:val="20"/>
        </w:rPr>
        <w:t>000 poor children, youth and their families.</w:t>
      </w:r>
      <w:r w:rsidR="008B45D6" w:rsidRPr="006F29F5">
        <w:rPr>
          <w:rStyle w:val="FootnoteReference"/>
          <w:rFonts w:cs="Times New Roman"/>
          <w:kern w:val="2"/>
          <w:sz w:val="20"/>
        </w:rPr>
        <w:footnoteReference w:id="19"/>
      </w:r>
      <w:r w:rsidR="00524C30" w:rsidRPr="006F29F5">
        <w:rPr>
          <w:rFonts w:cs="Times New Roman"/>
          <w:kern w:val="2"/>
          <w:sz w:val="20"/>
        </w:rPr>
        <w:t xml:space="preserve"> The Foundation disbursed $80 million directly to families and also funded various programs</w:t>
      </w:r>
      <w:r w:rsidR="00D35ECF" w:rsidRPr="006F29F5">
        <w:rPr>
          <w:rFonts w:cs="Times New Roman"/>
          <w:kern w:val="2"/>
          <w:sz w:val="20"/>
        </w:rPr>
        <w:t>, including</w:t>
      </w:r>
      <w:r w:rsidR="00524C30" w:rsidRPr="006F29F5">
        <w:rPr>
          <w:rFonts w:cs="Times New Roman"/>
          <w:kern w:val="2"/>
          <w:sz w:val="20"/>
        </w:rPr>
        <w:t xml:space="preserve"> a tuition assistance program</w:t>
      </w:r>
      <w:r w:rsidR="00E55D4A" w:rsidRPr="006F29F5">
        <w:rPr>
          <w:rFonts w:cs="Times New Roman"/>
          <w:kern w:val="2"/>
          <w:sz w:val="20"/>
        </w:rPr>
        <w:t xml:space="preserve">. </w:t>
      </w:r>
      <w:r w:rsidR="00226977" w:rsidRPr="006F29F5">
        <w:rPr>
          <w:rFonts w:cs="Times New Roman"/>
          <w:kern w:val="2"/>
          <w:sz w:val="20"/>
        </w:rPr>
        <w:t>As a result</w:t>
      </w:r>
      <w:r w:rsidR="00E55D4A" w:rsidRPr="006F29F5">
        <w:rPr>
          <w:rFonts w:cs="Times New Roman"/>
          <w:kern w:val="2"/>
          <w:sz w:val="20"/>
        </w:rPr>
        <w:t xml:space="preserve"> of BOTA’s success, discussions are currently underway to set up a similar </w:t>
      </w:r>
      <w:r w:rsidR="008B45D6" w:rsidRPr="006F29F5">
        <w:rPr>
          <w:rFonts w:cs="Times New Roman"/>
          <w:kern w:val="2"/>
          <w:sz w:val="20"/>
        </w:rPr>
        <w:t>arrangement</w:t>
      </w:r>
      <w:r w:rsidR="00E55D4A" w:rsidRPr="006F29F5">
        <w:rPr>
          <w:rFonts w:cs="Times New Roman"/>
          <w:kern w:val="2"/>
          <w:sz w:val="20"/>
        </w:rPr>
        <w:t xml:space="preserve"> in the Ukraine. However, recovering the proceeds of corruption is often impossible. </w:t>
      </w:r>
      <w:r w:rsidR="00226977" w:rsidRPr="006F29F5">
        <w:rPr>
          <w:rFonts w:cs="Times New Roman"/>
          <w:kern w:val="2"/>
          <w:sz w:val="20"/>
        </w:rPr>
        <w:t>C</w:t>
      </w:r>
      <w:r w:rsidR="00E55D4A" w:rsidRPr="006F29F5">
        <w:rPr>
          <w:rFonts w:cs="Times New Roman"/>
          <w:kern w:val="2"/>
          <w:sz w:val="20"/>
        </w:rPr>
        <w:t xml:space="preserve">ivil society organizations and transparency advocates argue that money from </w:t>
      </w:r>
      <w:r w:rsidR="00E55D4A" w:rsidRPr="006F29F5">
        <w:rPr>
          <w:rFonts w:cs="Times New Roman"/>
          <w:i/>
          <w:kern w:val="2"/>
          <w:sz w:val="20"/>
        </w:rPr>
        <w:t xml:space="preserve">FCPA </w:t>
      </w:r>
      <w:r w:rsidR="00E55D4A" w:rsidRPr="006F29F5">
        <w:rPr>
          <w:rFonts w:cs="Times New Roman"/>
          <w:kern w:val="2"/>
          <w:sz w:val="20"/>
        </w:rPr>
        <w:t>settlem</w:t>
      </w:r>
      <w:r w:rsidR="004303DD" w:rsidRPr="006F29F5">
        <w:rPr>
          <w:rFonts w:cs="Times New Roman"/>
          <w:kern w:val="2"/>
          <w:sz w:val="20"/>
        </w:rPr>
        <w:t>ents should</w:t>
      </w:r>
      <w:r w:rsidR="009B5B60" w:rsidRPr="006F29F5">
        <w:rPr>
          <w:rFonts w:cs="Times New Roman"/>
          <w:kern w:val="2"/>
          <w:sz w:val="20"/>
        </w:rPr>
        <w:t xml:space="preserve"> also</w:t>
      </w:r>
      <w:r w:rsidR="004303DD" w:rsidRPr="006F29F5">
        <w:rPr>
          <w:rFonts w:cs="Times New Roman"/>
          <w:kern w:val="2"/>
          <w:sz w:val="20"/>
        </w:rPr>
        <w:t xml:space="preserve"> be</w:t>
      </w:r>
      <w:r w:rsidR="008B45D6" w:rsidRPr="006F29F5">
        <w:rPr>
          <w:rFonts w:cs="Times New Roman"/>
          <w:kern w:val="2"/>
          <w:sz w:val="20"/>
        </w:rPr>
        <w:t xml:space="preserve"> used to compensate victims, </w:t>
      </w:r>
      <w:r w:rsidR="004303DD" w:rsidRPr="006F29F5">
        <w:rPr>
          <w:rFonts w:cs="Times New Roman"/>
          <w:kern w:val="2"/>
          <w:sz w:val="20"/>
        </w:rPr>
        <w:t>just as</w:t>
      </w:r>
      <w:r w:rsidR="008B45D6" w:rsidRPr="006F29F5">
        <w:rPr>
          <w:rFonts w:cs="Times New Roman"/>
          <w:kern w:val="2"/>
          <w:sz w:val="20"/>
        </w:rPr>
        <w:t xml:space="preserve"> settlements in environmental cases</w:t>
      </w:r>
      <w:r w:rsidR="004303DD" w:rsidRPr="006F29F5">
        <w:rPr>
          <w:rFonts w:cs="Times New Roman"/>
          <w:kern w:val="2"/>
          <w:sz w:val="20"/>
        </w:rPr>
        <w:t xml:space="preserve"> often go towards affected communities</w:t>
      </w:r>
      <w:r w:rsidR="00E55D4A" w:rsidRPr="006F29F5">
        <w:rPr>
          <w:rFonts w:cs="Times New Roman"/>
          <w:kern w:val="2"/>
          <w:sz w:val="20"/>
        </w:rPr>
        <w:t>.</w:t>
      </w:r>
      <w:r w:rsidR="008B45D6" w:rsidRPr="006F29F5">
        <w:rPr>
          <w:rStyle w:val="FootnoteReference"/>
          <w:rFonts w:cs="Times New Roman"/>
          <w:kern w:val="2"/>
          <w:sz w:val="20"/>
        </w:rPr>
        <w:footnoteReference w:id="20"/>
      </w:r>
      <w:r w:rsidR="00E55D4A" w:rsidRPr="006F29F5">
        <w:rPr>
          <w:rFonts w:cs="Times New Roman"/>
          <w:kern w:val="2"/>
          <w:sz w:val="20"/>
        </w:rPr>
        <w:t xml:space="preserve"> </w:t>
      </w:r>
      <w:proofErr w:type="spellStart"/>
      <w:r w:rsidR="00982B93" w:rsidRPr="006F29F5">
        <w:rPr>
          <w:rFonts w:cs="Times New Roman"/>
          <w:kern w:val="2"/>
          <w:sz w:val="20"/>
        </w:rPr>
        <w:t>StAR</w:t>
      </w:r>
      <w:proofErr w:type="spellEnd"/>
      <w:r w:rsidR="00982B93" w:rsidRPr="006F29F5">
        <w:rPr>
          <w:rFonts w:cs="Times New Roman"/>
          <w:kern w:val="2"/>
          <w:sz w:val="20"/>
        </w:rPr>
        <w:t xml:space="preserve"> echoes this argument, encouraging countries to consider legislation allowing third parties to be included in settlement agreements </w:t>
      </w:r>
      <w:r w:rsidR="00747B14" w:rsidRPr="006F29F5">
        <w:rPr>
          <w:rFonts w:cs="Times New Roman"/>
          <w:kern w:val="2"/>
          <w:sz w:val="20"/>
        </w:rPr>
        <w:t xml:space="preserve">for </w:t>
      </w:r>
      <w:r w:rsidR="00982B93" w:rsidRPr="006F29F5">
        <w:rPr>
          <w:rFonts w:cs="Times New Roman"/>
          <w:kern w:val="2"/>
          <w:sz w:val="20"/>
        </w:rPr>
        <w:t>foreign bribery cases.</w:t>
      </w:r>
      <w:r w:rsidR="00982B93" w:rsidRPr="006F29F5">
        <w:rPr>
          <w:rStyle w:val="FootnoteReference"/>
          <w:rFonts w:cs="Times New Roman"/>
          <w:kern w:val="2"/>
          <w:sz w:val="20"/>
        </w:rPr>
        <w:footnoteReference w:id="21"/>
      </w:r>
    </w:p>
    <w:p w14:paraId="39E60FF3" w14:textId="0F012A2B" w:rsidR="006058ED" w:rsidRPr="006F29F5" w:rsidRDefault="00BC5002" w:rsidP="003426EA">
      <w:pPr>
        <w:pStyle w:val="Heading2"/>
        <w:rPr>
          <w:kern w:val="2"/>
          <w:sz w:val="24"/>
        </w:rPr>
      </w:pPr>
      <w:bookmarkStart w:id="9" w:name="_Toc420329358"/>
      <w:bookmarkStart w:id="10" w:name="_Toc489961984"/>
      <w:r w:rsidRPr="006F29F5">
        <w:rPr>
          <w:kern w:val="2"/>
          <w:sz w:val="24"/>
        </w:rPr>
        <w:t xml:space="preserve">International </w:t>
      </w:r>
      <w:r w:rsidR="006058ED" w:rsidRPr="006F29F5">
        <w:rPr>
          <w:kern w:val="2"/>
          <w:sz w:val="24"/>
        </w:rPr>
        <w:t>Asset Recovery Agencies</w:t>
      </w:r>
      <w:bookmarkEnd w:id="9"/>
      <w:bookmarkEnd w:id="10"/>
    </w:p>
    <w:p w14:paraId="0009D1ED" w14:textId="657D593E" w:rsidR="004441E6" w:rsidRPr="006F29F5" w:rsidRDefault="004441E6" w:rsidP="00C81ED8">
      <w:pPr>
        <w:rPr>
          <w:rFonts w:cs="Times New Roman"/>
          <w:kern w:val="2"/>
          <w:sz w:val="20"/>
        </w:rPr>
      </w:pPr>
      <w:r w:rsidRPr="006F29F5">
        <w:rPr>
          <w:rFonts w:cs="Times New Roman"/>
          <w:kern w:val="2"/>
          <w:sz w:val="20"/>
        </w:rPr>
        <w:t>The World Bank in partnership with UNODC launched the Stolen Asset Recovery Initiative (</w:t>
      </w:r>
      <w:proofErr w:type="spellStart"/>
      <w:r w:rsidRPr="006F29F5">
        <w:rPr>
          <w:rFonts w:cs="Times New Roman"/>
          <w:kern w:val="2"/>
          <w:sz w:val="20"/>
        </w:rPr>
        <w:t>StAR</w:t>
      </w:r>
      <w:proofErr w:type="spellEnd"/>
      <w:r w:rsidRPr="006F29F5">
        <w:rPr>
          <w:rFonts w:cs="Times New Roman"/>
          <w:kern w:val="2"/>
          <w:sz w:val="20"/>
        </w:rPr>
        <w:t xml:space="preserve">) in 2007 for the international support of asset recovery. The </w:t>
      </w:r>
      <w:proofErr w:type="spellStart"/>
      <w:r w:rsidRPr="006F29F5">
        <w:rPr>
          <w:rFonts w:cs="Times New Roman"/>
          <w:kern w:val="2"/>
          <w:sz w:val="20"/>
        </w:rPr>
        <w:t>StAR</w:t>
      </w:r>
      <w:proofErr w:type="spellEnd"/>
      <w:r w:rsidRPr="006F29F5">
        <w:rPr>
          <w:rFonts w:cs="Times New Roman"/>
          <w:kern w:val="2"/>
          <w:sz w:val="20"/>
        </w:rPr>
        <w:t xml:space="preserve"> Initiative </w:t>
      </w:r>
      <w:r w:rsidR="007606B2" w:rsidRPr="006F29F5">
        <w:rPr>
          <w:rFonts w:cs="Times New Roman"/>
          <w:kern w:val="2"/>
          <w:sz w:val="20"/>
        </w:rPr>
        <w:t xml:space="preserve">was </w:t>
      </w:r>
      <w:r w:rsidR="001E47C7" w:rsidRPr="006F29F5">
        <w:rPr>
          <w:rFonts w:cs="Times New Roman"/>
          <w:kern w:val="2"/>
          <w:sz w:val="20"/>
        </w:rPr>
        <w:t>designed</w:t>
      </w:r>
      <w:r w:rsidRPr="006F29F5">
        <w:rPr>
          <w:rFonts w:cs="Times New Roman"/>
          <w:kern w:val="2"/>
          <w:sz w:val="20"/>
        </w:rPr>
        <w:t xml:space="preserve"> to do the following:</w:t>
      </w:r>
    </w:p>
    <w:p w14:paraId="5BB2F77A" w14:textId="2CC6388D" w:rsidR="004441E6" w:rsidRPr="006F29F5" w:rsidRDefault="004441E6" w:rsidP="00911900">
      <w:pPr>
        <w:pStyle w:val="ListParagraph"/>
        <w:numPr>
          <w:ilvl w:val="0"/>
          <w:numId w:val="30"/>
        </w:numPr>
        <w:rPr>
          <w:rFonts w:cs="Times New Roman"/>
          <w:b w:val="0"/>
          <w:kern w:val="2"/>
          <w:sz w:val="20"/>
          <w:szCs w:val="28"/>
        </w:rPr>
      </w:pPr>
      <w:r w:rsidRPr="006F29F5">
        <w:rPr>
          <w:rFonts w:cs="Times New Roman"/>
          <w:b w:val="0"/>
          <w:kern w:val="2"/>
          <w:sz w:val="20"/>
          <w:szCs w:val="28"/>
        </w:rPr>
        <w:t>urge countries to ratify UNCAC and apply the framework</w:t>
      </w:r>
      <w:r w:rsidR="004765CD" w:rsidRPr="006F29F5">
        <w:rPr>
          <w:rFonts w:cs="Times New Roman"/>
          <w:b w:val="0"/>
          <w:kern w:val="2"/>
          <w:sz w:val="20"/>
          <w:szCs w:val="28"/>
        </w:rPr>
        <w:t>,</w:t>
      </w:r>
    </w:p>
    <w:p w14:paraId="7BCCECAF" w14:textId="4B745370" w:rsidR="004441E6" w:rsidRPr="006F29F5" w:rsidRDefault="004441E6" w:rsidP="00911900">
      <w:pPr>
        <w:pStyle w:val="ListParagraph"/>
        <w:numPr>
          <w:ilvl w:val="0"/>
          <w:numId w:val="30"/>
        </w:numPr>
        <w:rPr>
          <w:rFonts w:cs="Times New Roman"/>
          <w:b w:val="0"/>
          <w:kern w:val="2"/>
          <w:sz w:val="20"/>
          <w:szCs w:val="28"/>
        </w:rPr>
      </w:pPr>
      <w:r w:rsidRPr="006F29F5">
        <w:rPr>
          <w:rFonts w:cs="Times New Roman"/>
          <w:b w:val="0"/>
          <w:kern w:val="2"/>
          <w:sz w:val="20"/>
          <w:szCs w:val="28"/>
        </w:rPr>
        <w:t>lower the barriers to asset recovery</w:t>
      </w:r>
      <w:r w:rsidR="004765CD" w:rsidRPr="006F29F5">
        <w:rPr>
          <w:rFonts w:cs="Times New Roman"/>
          <w:b w:val="0"/>
          <w:kern w:val="2"/>
          <w:sz w:val="20"/>
          <w:szCs w:val="28"/>
        </w:rPr>
        <w:t>,</w:t>
      </w:r>
    </w:p>
    <w:p w14:paraId="7FA0FCBE" w14:textId="48B1BDD6" w:rsidR="004441E6" w:rsidRPr="006F29F5" w:rsidRDefault="004441E6" w:rsidP="00911900">
      <w:pPr>
        <w:pStyle w:val="ListParagraph"/>
        <w:numPr>
          <w:ilvl w:val="0"/>
          <w:numId w:val="30"/>
        </w:numPr>
        <w:rPr>
          <w:rFonts w:cs="Times New Roman"/>
          <w:b w:val="0"/>
          <w:kern w:val="2"/>
          <w:sz w:val="20"/>
          <w:szCs w:val="28"/>
        </w:rPr>
      </w:pPr>
      <w:r w:rsidRPr="006F29F5">
        <w:rPr>
          <w:rFonts w:cs="Times New Roman"/>
          <w:b w:val="0"/>
          <w:kern w:val="2"/>
          <w:sz w:val="20"/>
          <w:szCs w:val="28"/>
        </w:rPr>
        <w:t>build technical capacity to facilitate asset recovery</w:t>
      </w:r>
      <w:r w:rsidR="004765CD" w:rsidRPr="006F29F5">
        <w:rPr>
          <w:rFonts w:cs="Times New Roman"/>
          <w:b w:val="0"/>
          <w:kern w:val="2"/>
          <w:sz w:val="20"/>
          <w:szCs w:val="28"/>
        </w:rPr>
        <w:t>,</w:t>
      </w:r>
    </w:p>
    <w:p w14:paraId="5E0CF8F0" w14:textId="65CCA5E3" w:rsidR="004441E6" w:rsidRPr="006F29F5" w:rsidRDefault="004441E6" w:rsidP="00911900">
      <w:pPr>
        <w:pStyle w:val="ListParagraph"/>
        <w:numPr>
          <w:ilvl w:val="0"/>
          <w:numId w:val="30"/>
        </w:numPr>
        <w:rPr>
          <w:rFonts w:cs="Times New Roman"/>
          <w:b w:val="0"/>
          <w:kern w:val="2"/>
          <w:sz w:val="20"/>
          <w:szCs w:val="28"/>
        </w:rPr>
      </w:pPr>
      <w:r w:rsidRPr="006F29F5">
        <w:rPr>
          <w:rFonts w:cs="Times New Roman"/>
          <w:b w:val="0"/>
          <w:kern w:val="2"/>
          <w:sz w:val="20"/>
          <w:szCs w:val="28"/>
        </w:rPr>
        <w:t>help to deter such flows and eliminate safe havens for corruption</w:t>
      </w:r>
      <w:r w:rsidR="004765CD" w:rsidRPr="006F29F5">
        <w:rPr>
          <w:rFonts w:cs="Times New Roman"/>
          <w:b w:val="0"/>
          <w:kern w:val="2"/>
          <w:sz w:val="20"/>
          <w:szCs w:val="28"/>
        </w:rPr>
        <w:t>,</w:t>
      </w:r>
      <w:r w:rsidRPr="006F29F5">
        <w:rPr>
          <w:rFonts w:cs="Times New Roman"/>
          <w:b w:val="0"/>
          <w:kern w:val="2"/>
          <w:sz w:val="20"/>
          <w:szCs w:val="28"/>
        </w:rPr>
        <w:t xml:space="preserve"> </w:t>
      </w:r>
    </w:p>
    <w:p w14:paraId="32B6E907" w14:textId="7704EBEC" w:rsidR="004441E6" w:rsidRPr="006F29F5" w:rsidRDefault="004441E6" w:rsidP="00911900">
      <w:pPr>
        <w:pStyle w:val="ListParagraph"/>
        <w:numPr>
          <w:ilvl w:val="0"/>
          <w:numId w:val="30"/>
        </w:numPr>
        <w:rPr>
          <w:rFonts w:cs="Times New Roman"/>
          <w:b w:val="0"/>
          <w:kern w:val="2"/>
          <w:sz w:val="20"/>
          <w:szCs w:val="28"/>
        </w:rPr>
      </w:pPr>
      <w:r w:rsidRPr="006F29F5">
        <w:rPr>
          <w:rFonts w:cs="Times New Roman"/>
          <w:b w:val="0"/>
          <w:kern w:val="2"/>
          <w:sz w:val="20"/>
          <w:szCs w:val="28"/>
        </w:rPr>
        <w:t>generate and disseminate knowledge on asset recovery</w:t>
      </w:r>
      <w:r w:rsidR="004765CD" w:rsidRPr="006F29F5">
        <w:rPr>
          <w:rFonts w:cs="Times New Roman"/>
          <w:b w:val="0"/>
          <w:kern w:val="2"/>
          <w:sz w:val="20"/>
          <w:szCs w:val="28"/>
        </w:rPr>
        <w:t>,</w:t>
      </w:r>
      <w:r w:rsidRPr="006F29F5">
        <w:rPr>
          <w:rFonts w:cs="Times New Roman"/>
          <w:b w:val="0"/>
          <w:kern w:val="2"/>
          <w:sz w:val="20"/>
          <w:szCs w:val="28"/>
        </w:rPr>
        <w:t xml:space="preserve"> </w:t>
      </w:r>
    </w:p>
    <w:p w14:paraId="2E168337" w14:textId="12DBC39C" w:rsidR="004441E6" w:rsidRPr="006F29F5" w:rsidRDefault="004441E6" w:rsidP="00911900">
      <w:pPr>
        <w:pStyle w:val="ListParagraph"/>
        <w:numPr>
          <w:ilvl w:val="0"/>
          <w:numId w:val="30"/>
        </w:numPr>
        <w:rPr>
          <w:rFonts w:cs="Times New Roman"/>
          <w:b w:val="0"/>
          <w:kern w:val="2"/>
          <w:sz w:val="20"/>
          <w:szCs w:val="28"/>
        </w:rPr>
      </w:pPr>
      <w:r w:rsidRPr="006F29F5">
        <w:rPr>
          <w:rFonts w:cs="Times New Roman"/>
          <w:b w:val="0"/>
          <w:kern w:val="2"/>
          <w:sz w:val="20"/>
          <w:szCs w:val="28"/>
        </w:rPr>
        <w:t>advocate for implementation of measures that reduce barriers to asset recovery</w:t>
      </w:r>
      <w:r w:rsidR="004765CD" w:rsidRPr="006F29F5">
        <w:rPr>
          <w:rFonts w:cs="Times New Roman"/>
          <w:b w:val="0"/>
          <w:kern w:val="2"/>
          <w:sz w:val="20"/>
          <w:szCs w:val="28"/>
        </w:rPr>
        <w:t>,</w:t>
      </w:r>
    </w:p>
    <w:p w14:paraId="30B4AE5F" w14:textId="13EBE95A" w:rsidR="004441E6" w:rsidRPr="006F29F5" w:rsidRDefault="004441E6" w:rsidP="00911900">
      <w:pPr>
        <w:pStyle w:val="ListParagraph"/>
        <w:numPr>
          <w:ilvl w:val="0"/>
          <w:numId w:val="30"/>
        </w:numPr>
        <w:rPr>
          <w:rFonts w:cs="Times New Roman"/>
          <w:b w:val="0"/>
          <w:kern w:val="2"/>
          <w:sz w:val="20"/>
          <w:szCs w:val="28"/>
        </w:rPr>
      </w:pPr>
      <w:r w:rsidRPr="006F29F5">
        <w:rPr>
          <w:rFonts w:cs="Times New Roman"/>
          <w:b w:val="0"/>
          <w:kern w:val="2"/>
          <w:sz w:val="20"/>
          <w:szCs w:val="28"/>
        </w:rPr>
        <w:t>support national efforts to build institutional capacity for asset recovery</w:t>
      </w:r>
      <w:r w:rsidR="004765CD" w:rsidRPr="006F29F5">
        <w:rPr>
          <w:rFonts w:cs="Times New Roman"/>
          <w:b w:val="0"/>
          <w:kern w:val="2"/>
          <w:sz w:val="20"/>
          <w:szCs w:val="28"/>
        </w:rPr>
        <w:t>, and</w:t>
      </w:r>
    </w:p>
    <w:p w14:paraId="6BCA5E69" w14:textId="2D9A1107" w:rsidR="004441E6" w:rsidRPr="006F29F5" w:rsidRDefault="004441E6" w:rsidP="00911900">
      <w:pPr>
        <w:pStyle w:val="ListParagraph"/>
        <w:numPr>
          <w:ilvl w:val="0"/>
          <w:numId w:val="30"/>
        </w:numPr>
        <w:rPr>
          <w:rFonts w:cs="Times New Roman"/>
          <w:b w:val="0"/>
          <w:kern w:val="2"/>
          <w:sz w:val="20"/>
          <w:szCs w:val="28"/>
        </w:rPr>
      </w:pPr>
      <w:proofErr w:type="gramStart"/>
      <w:r w:rsidRPr="006F29F5">
        <w:rPr>
          <w:rFonts w:cs="Times New Roman"/>
          <w:b w:val="0"/>
          <w:kern w:val="2"/>
          <w:sz w:val="20"/>
          <w:szCs w:val="28"/>
        </w:rPr>
        <w:t>monitor</w:t>
      </w:r>
      <w:proofErr w:type="gramEnd"/>
      <w:r w:rsidRPr="006F29F5">
        <w:rPr>
          <w:rFonts w:cs="Times New Roman"/>
          <w:b w:val="0"/>
          <w:kern w:val="2"/>
          <w:sz w:val="20"/>
          <w:szCs w:val="28"/>
        </w:rPr>
        <w:t xml:space="preserve"> recovered funds if requested</w:t>
      </w:r>
      <w:r w:rsidR="004765CD" w:rsidRPr="006F29F5">
        <w:rPr>
          <w:rFonts w:cs="Times New Roman"/>
          <w:b w:val="0"/>
          <w:kern w:val="2"/>
          <w:sz w:val="20"/>
          <w:szCs w:val="28"/>
        </w:rPr>
        <w:t>.</w:t>
      </w:r>
      <w:r w:rsidRPr="006F29F5">
        <w:rPr>
          <w:rFonts w:cs="Times New Roman"/>
          <w:b w:val="0"/>
          <w:kern w:val="2"/>
          <w:sz w:val="20"/>
          <w:szCs w:val="28"/>
        </w:rPr>
        <w:t xml:space="preserve"> </w:t>
      </w:r>
    </w:p>
    <w:p w14:paraId="4D94D47C" w14:textId="6D50B231" w:rsidR="004441E6" w:rsidRPr="006F29F5" w:rsidRDefault="004441E6" w:rsidP="00C81ED8">
      <w:pPr>
        <w:rPr>
          <w:rFonts w:cs="Times New Roman"/>
          <w:kern w:val="2"/>
          <w:sz w:val="20"/>
        </w:rPr>
      </w:pPr>
      <w:r w:rsidRPr="006F29F5">
        <w:rPr>
          <w:rFonts w:cs="Times New Roman"/>
          <w:kern w:val="2"/>
          <w:sz w:val="20"/>
        </w:rPr>
        <w:t xml:space="preserve">Each country maintains its own asset recovery system. In </w:t>
      </w:r>
      <w:r w:rsidR="00FC0A18" w:rsidRPr="006F29F5">
        <w:rPr>
          <w:rFonts w:cs="Times New Roman"/>
          <w:kern w:val="2"/>
          <w:sz w:val="20"/>
        </w:rPr>
        <w:t xml:space="preserve">2010, </w:t>
      </w:r>
      <w:r w:rsidRPr="006F29F5">
        <w:rPr>
          <w:rFonts w:cs="Times New Roman"/>
          <w:kern w:val="2"/>
          <w:sz w:val="20"/>
        </w:rPr>
        <w:t xml:space="preserve">the </w:t>
      </w:r>
      <w:r w:rsidR="00181450" w:rsidRPr="006F29F5">
        <w:rPr>
          <w:rFonts w:cs="Times New Roman"/>
          <w:kern w:val="2"/>
          <w:sz w:val="20"/>
        </w:rPr>
        <w:t>UK</w:t>
      </w:r>
      <w:r w:rsidR="00FC0A18" w:rsidRPr="006F29F5">
        <w:rPr>
          <w:rFonts w:cs="Times New Roman"/>
          <w:kern w:val="2"/>
          <w:sz w:val="20"/>
        </w:rPr>
        <w:t xml:space="preserve"> created</w:t>
      </w:r>
      <w:r w:rsidRPr="006F29F5">
        <w:rPr>
          <w:rFonts w:cs="Times New Roman"/>
          <w:kern w:val="2"/>
          <w:sz w:val="20"/>
        </w:rPr>
        <w:t xml:space="preserve"> the National Crime Agency to fight serious and orga</w:t>
      </w:r>
      <w:r w:rsidR="007609B9" w:rsidRPr="006F29F5">
        <w:rPr>
          <w:rFonts w:cs="Times New Roman"/>
          <w:kern w:val="2"/>
          <w:sz w:val="20"/>
        </w:rPr>
        <w:t xml:space="preserve">nized crime. </w:t>
      </w:r>
      <w:r w:rsidR="00893F58" w:rsidRPr="006F29F5">
        <w:rPr>
          <w:rFonts w:cs="Times New Roman"/>
          <w:kern w:val="2"/>
          <w:sz w:val="20"/>
        </w:rPr>
        <w:t>Within this agency, the</w:t>
      </w:r>
      <w:r w:rsidR="007609B9" w:rsidRPr="006F29F5">
        <w:rPr>
          <w:rFonts w:cs="Times New Roman"/>
          <w:kern w:val="2"/>
          <w:sz w:val="20"/>
        </w:rPr>
        <w:t xml:space="preserve"> Economic Crime </w:t>
      </w:r>
      <w:r w:rsidRPr="006F29F5">
        <w:rPr>
          <w:rFonts w:cs="Times New Roman"/>
          <w:kern w:val="2"/>
          <w:sz w:val="20"/>
        </w:rPr>
        <w:t>Command deal</w:t>
      </w:r>
      <w:r w:rsidR="003A7CD1" w:rsidRPr="006F29F5">
        <w:rPr>
          <w:rFonts w:cs="Times New Roman"/>
          <w:kern w:val="2"/>
          <w:sz w:val="20"/>
        </w:rPr>
        <w:t>s</w:t>
      </w:r>
      <w:r w:rsidRPr="006F29F5">
        <w:rPr>
          <w:rFonts w:cs="Times New Roman"/>
          <w:kern w:val="2"/>
          <w:sz w:val="20"/>
        </w:rPr>
        <w:t xml:space="preserve"> with economic crime and the Organized Crime Command deals with serious and organized crime. </w:t>
      </w:r>
      <w:r w:rsidR="00264D8B" w:rsidRPr="006F29F5">
        <w:rPr>
          <w:rFonts w:cs="Times New Roman"/>
          <w:kern w:val="2"/>
          <w:sz w:val="20"/>
        </w:rPr>
        <w:t>T</w:t>
      </w:r>
      <w:r w:rsidRPr="006F29F5">
        <w:rPr>
          <w:rFonts w:cs="Times New Roman"/>
          <w:kern w:val="2"/>
          <w:sz w:val="20"/>
        </w:rPr>
        <w:t xml:space="preserve">he Asset and Forfeiture and Money Laundering Section of the Department of Justice is the </w:t>
      </w:r>
      <w:r w:rsidR="00264D8B" w:rsidRPr="006F29F5">
        <w:rPr>
          <w:rFonts w:cs="Times New Roman"/>
          <w:kern w:val="2"/>
          <w:sz w:val="20"/>
        </w:rPr>
        <w:t xml:space="preserve">US </w:t>
      </w:r>
      <w:r w:rsidRPr="006F29F5">
        <w:rPr>
          <w:rFonts w:cs="Times New Roman"/>
          <w:kern w:val="2"/>
          <w:sz w:val="20"/>
        </w:rPr>
        <w:t xml:space="preserve">government body </w:t>
      </w:r>
      <w:r w:rsidR="00264D8B" w:rsidRPr="006F29F5">
        <w:rPr>
          <w:rFonts w:cs="Times New Roman"/>
          <w:kern w:val="2"/>
          <w:sz w:val="20"/>
        </w:rPr>
        <w:t xml:space="preserve">dealing with </w:t>
      </w:r>
      <w:r w:rsidRPr="006F29F5">
        <w:rPr>
          <w:rFonts w:cs="Times New Roman"/>
          <w:kern w:val="2"/>
          <w:sz w:val="20"/>
        </w:rPr>
        <w:t>asset forfeiture and anti-money laundering enforcement efforts.</w:t>
      </w:r>
      <w:r w:rsidRPr="006F29F5">
        <w:rPr>
          <w:rStyle w:val="FootnoteReference"/>
          <w:rFonts w:cs="Times New Roman"/>
          <w:kern w:val="2"/>
          <w:sz w:val="20"/>
        </w:rPr>
        <w:footnoteReference w:id="22"/>
      </w:r>
      <w:r w:rsidRPr="006F29F5">
        <w:rPr>
          <w:rFonts w:cs="Times New Roman"/>
          <w:kern w:val="2"/>
          <w:sz w:val="20"/>
        </w:rPr>
        <w:t xml:space="preserve"> </w:t>
      </w:r>
      <w:r w:rsidR="00B83AE1" w:rsidRPr="006F29F5">
        <w:rPr>
          <w:rFonts w:cs="Times New Roman"/>
          <w:kern w:val="2"/>
          <w:sz w:val="20"/>
        </w:rPr>
        <w:t>A</w:t>
      </w:r>
      <w:r w:rsidRPr="006F29F5">
        <w:rPr>
          <w:rFonts w:cs="Times New Roman"/>
          <w:kern w:val="2"/>
          <w:sz w:val="20"/>
        </w:rPr>
        <w:t xml:space="preserve">n </w:t>
      </w:r>
      <w:r w:rsidR="005F217E" w:rsidRPr="006F29F5">
        <w:rPr>
          <w:rFonts w:cs="Times New Roman"/>
          <w:kern w:val="2"/>
          <w:sz w:val="20"/>
        </w:rPr>
        <w:t>i</w:t>
      </w:r>
      <w:r w:rsidRPr="006F29F5">
        <w:rPr>
          <w:rFonts w:cs="Times New Roman"/>
          <w:kern w:val="2"/>
          <w:sz w:val="20"/>
        </w:rPr>
        <w:t xml:space="preserve">nternational </w:t>
      </w:r>
      <w:r w:rsidR="005F217E" w:rsidRPr="006F29F5">
        <w:rPr>
          <w:rFonts w:cs="Times New Roman"/>
          <w:kern w:val="2"/>
          <w:sz w:val="20"/>
        </w:rPr>
        <w:t>u</w:t>
      </w:r>
      <w:r w:rsidR="00363FB1" w:rsidRPr="006F29F5">
        <w:rPr>
          <w:rFonts w:cs="Times New Roman"/>
          <w:kern w:val="2"/>
          <w:sz w:val="20"/>
        </w:rPr>
        <w:t>nit assists prosecutors in the restraint</w:t>
      </w:r>
      <w:r w:rsidRPr="006F29F5">
        <w:rPr>
          <w:rFonts w:cs="Times New Roman"/>
          <w:kern w:val="2"/>
          <w:sz w:val="20"/>
        </w:rPr>
        <w:t xml:space="preserve"> and forfeiture of assets located abroad and assists foreign governments seeking restraint and forfeiture of assets held in the United States. The </w:t>
      </w:r>
      <w:proofErr w:type="spellStart"/>
      <w:r w:rsidRPr="006F29F5">
        <w:rPr>
          <w:rFonts w:cs="Times New Roman"/>
          <w:kern w:val="2"/>
          <w:sz w:val="20"/>
        </w:rPr>
        <w:t>Kleptocracy</w:t>
      </w:r>
      <w:proofErr w:type="spellEnd"/>
      <w:r w:rsidRPr="006F29F5">
        <w:rPr>
          <w:rFonts w:cs="Times New Roman"/>
          <w:kern w:val="2"/>
          <w:sz w:val="20"/>
        </w:rPr>
        <w:t xml:space="preserve"> Team investigates and litigates to recover proceeds of foreign official corruption. The </w:t>
      </w:r>
      <w:r w:rsidR="009B0DEA" w:rsidRPr="006F29F5">
        <w:rPr>
          <w:rFonts w:cs="Times New Roman"/>
          <w:kern w:val="2"/>
          <w:sz w:val="20"/>
        </w:rPr>
        <w:t>US</w:t>
      </w:r>
      <w:r w:rsidRPr="006F29F5">
        <w:rPr>
          <w:rFonts w:cs="Times New Roman"/>
          <w:kern w:val="2"/>
          <w:sz w:val="20"/>
        </w:rPr>
        <w:t xml:space="preserve"> manages the Consolidated Assets Tracking System</w:t>
      </w:r>
      <w:r w:rsidR="003621E2" w:rsidRPr="006F29F5">
        <w:rPr>
          <w:kern w:val="2"/>
          <w:sz w:val="20"/>
        </w:rPr>
        <w:t>—</w:t>
      </w:r>
      <w:r w:rsidRPr="006F29F5">
        <w:rPr>
          <w:rFonts w:cs="Times New Roman"/>
          <w:kern w:val="2"/>
          <w:sz w:val="20"/>
        </w:rPr>
        <w:t xml:space="preserve">a database for managing the approximately $2 billion in assets seized. </w:t>
      </w:r>
    </w:p>
    <w:p w14:paraId="176033B9" w14:textId="08DBB61D" w:rsidR="004441E6" w:rsidRPr="006F29F5" w:rsidRDefault="004441E6" w:rsidP="00C81ED8">
      <w:pPr>
        <w:rPr>
          <w:rFonts w:cs="Times New Roman"/>
          <w:kern w:val="2"/>
          <w:sz w:val="20"/>
        </w:rPr>
      </w:pPr>
      <w:r w:rsidRPr="006F29F5">
        <w:rPr>
          <w:rFonts w:cs="Times New Roman"/>
          <w:kern w:val="2"/>
          <w:sz w:val="20"/>
        </w:rPr>
        <w:t>Many jurisdictions</w:t>
      </w:r>
      <w:r w:rsidR="00DE66C4" w:rsidRPr="006F29F5">
        <w:rPr>
          <w:rFonts w:cs="Times New Roman"/>
          <w:kern w:val="2"/>
          <w:sz w:val="20"/>
        </w:rPr>
        <w:t>,</w:t>
      </w:r>
      <w:r w:rsidRPr="006F29F5">
        <w:rPr>
          <w:rFonts w:cs="Times New Roman"/>
          <w:kern w:val="2"/>
          <w:sz w:val="20"/>
        </w:rPr>
        <w:t xml:space="preserve"> </w:t>
      </w:r>
      <w:r w:rsidR="00DE66C4" w:rsidRPr="006F29F5">
        <w:rPr>
          <w:rFonts w:cs="Times New Roman"/>
          <w:kern w:val="2"/>
          <w:sz w:val="20"/>
        </w:rPr>
        <w:t>such as Canada, Australia, Italy, the US</w:t>
      </w:r>
      <w:r w:rsidR="000100BD" w:rsidRPr="006F29F5">
        <w:rPr>
          <w:rFonts w:cs="Times New Roman"/>
          <w:kern w:val="2"/>
          <w:sz w:val="20"/>
        </w:rPr>
        <w:t>,</w:t>
      </w:r>
      <w:r w:rsidR="00DE66C4" w:rsidRPr="006F29F5">
        <w:rPr>
          <w:rFonts w:cs="Times New Roman"/>
          <w:kern w:val="2"/>
          <w:sz w:val="20"/>
        </w:rPr>
        <w:t xml:space="preserve"> and South Africa, </w:t>
      </w:r>
      <w:r w:rsidRPr="006F29F5">
        <w:rPr>
          <w:rFonts w:cs="Times New Roman"/>
          <w:kern w:val="2"/>
          <w:sz w:val="20"/>
        </w:rPr>
        <w:t>main</w:t>
      </w:r>
      <w:r w:rsidR="00DE66C4" w:rsidRPr="006F29F5">
        <w:rPr>
          <w:rFonts w:cs="Times New Roman"/>
          <w:kern w:val="2"/>
          <w:sz w:val="20"/>
        </w:rPr>
        <w:t>tain asset forfeiture funds to</w:t>
      </w:r>
      <w:r w:rsidRPr="006F29F5">
        <w:rPr>
          <w:rFonts w:cs="Times New Roman"/>
          <w:kern w:val="2"/>
          <w:sz w:val="20"/>
        </w:rPr>
        <w:t xml:space="preserve"> ensure adequ</w:t>
      </w:r>
      <w:r w:rsidR="00DE66C4" w:rsidRPr="006F29F5">
        <w:rPr>
          <w:rFonts w:cs="Times New Roman"/>
          <w:kern w:val="2"/>
          <w:sz w:val="20"/>
        </w:rPr>
        <w:t>ate funding for asset recovery</w:t>
      </w:r>
      <w:r w:rsidRPr="006F29F5">
        <w:rPr>
          <w:rFonts w:cs="Times New Roman"/>
          <w:kern w:val="2"/>
          <w:sz w:val="20"/>
        </w:rPr>
        <w:t xml:space="preserve">. Confiscation laws may require confiscated assets be liquidated and the proceeds </w:t>
      </w:r>
      <w:r w:rsidR="00DE66C4" w:rsidRPr="006F29F5">
        <w:rPr>
          <w:rFonts w:cs="Times New Roman"/>
          <w:kern w:val="2"/>
          <w:sz w:val="20"/>
        </w:rPr>
        <w:t>paid into these accounts. Canada</w:t>
      </w:r>
      <w:r w:rsidR="007323C1" w:rsidRPr="006F29F5">
        <w:rPr>
          <w:rFonts w:cs="Times New Roman"/>
          <w:kern w:val="2"/>
          <w:sz w:val="20"/>
        </w:rPr>
        <w:t xml:space="preserve"> identifies its</w:t>
      </w:r>
      <w:r w:rsidR="00DE66C4" w:rsidRPr="006F29F5">
        <w:rPr>
          <w:rFonts w:cs="Times New Roman"/>
          <w:kern w:val="2"/>
          <w:sz w:val="20"/>
        </w:rPr>
        <w:t xml:space="preserve"> fund</w:t>
      </w:r>
      <w:r w:rsidRPr="006F29F5">
        <w:rPr>
          <w:rFonts w:cs="Times New Roman"/>
          <w:kern w:val="2"/>
          <w:sz w:val="20"/>
        </w:rPr>
        <w:t xml:space="preserve"> as the Seized Property Proceed</w:t>
      </w:r>
      <w:r w:rsidR="00DE66C4" w:rsidRPr="006F29F5">
        <w:rPr>
          <w:rFonts w:cs="Times New Roman"/>
          <w:kern w:val="2"/>
          <w:sz w:val="20"/>
        </w:rPr>
        <w:t xml:space="preserve">s Account, South Africa </w:t>
      </w:r>
      <w:r w:rsidR="00F55A65" w:rsidRPr="006F29F5">
        <w:rPr>
          <w:rFonts w:cs="Times New Roman"/>
          <w:kern w:val="2"/>
          <w:sz w:val="20"/>
        </w:rPr>
        <w:t xml:space="preserve">has </w:t>
      </w:r>
      <w:r w:rsidR="00DE66C4" w:rsidRPr="006F29F5">
        <w:rPr>
          <w:rFonts w:cs="Times New Roman"/>
          <w:kern w:val="2"/>
          <w:sz w:val="20"/>
        </w:rPr>
        <w:t>the Criminal Assets Recovery Account</w:t>
      </w:r>
      <w:r w:rsidR="005F7539" w:rsidRPr="006F29F5">
        <w:rPr>
          <w:rFonts w:cs="Times New Roman"/>
          <w:kern w:val="2"/>
          <w:sz w:val="20"/>
        </w:rPr>
        <w:t>,</w:t>
      </w:r>
      <w:r w:rsidR="00DE66C4" w:rsidRPr="006F29F5">
        <w:rPr>
          <w:rStyle w:val="FootnoteReference"/>
          <w:rFonts w:cs="Times New Roman"/>
          <w:kern w:val="2"/>
          <w:sz w:val="20"/>
        </w:rPr>
        <w:footnoteReference w:id="23"/>
      </w:r>
      <w:r w:rsidR="004A1B5F" w:rsidRPr="006F29F5">
        <w:rPr>
          <w:rFonts w:cs="Times New Roman"/>
          <w:kern w:val="2"/>
          <w:sz w:val="20"/>
        </w:rPr>
        <w:t xml:space="preserve"> </w:t>
      </w:r>
      <w:r w:rsidR="005F7539" w:rsidRPr="006F29F5">
        <w:rPr>
          <w:rFonts w:cs="Times New Roman"/>
          <w:kern w:val="2"/>
          <w:sz w:val="20"/>
        </w:rPr>
        <w:t xml:space="preserve">while </w:t>
      </w:r>
      <w:r w:rsidR="00DE66C4" w:rsidRPr="006F29F5">
        <w:rPr>
          <w:rFonts w:cs="Times New Roman"/>
          <w:kern w:val="2"/>
          <w:sz w:val="20"/>
        </w:rPr>
        <w:t xml:space="preserve">the US has the </w:t>
      </w:r>
      <w:r w:rsidRPr="006F29F5">
        <w:rPr>
          <w:rFonts w:cs="Times New Roman"/>
          <w:kern w:val="2"/>
          <w:sz w:val="20"/>
        </w:rPr>
        <w:t>Assets Forfeiture Fund.</w:t>
      </w:r>
      <w:r w:rsidRPr="006F29F5">
        <w:rPr>
          <w:rStyle w:val="FootnoteReference"/>
          <w:rFonts w:cs="Times New Roman"/>
          <w:kern w:val="2"/>
          <w:sz w:val="20"/>
        </w:rPr>
        <w:footnoteReference w:id="24"/>
      </w:r>
      <w:r w:rsidRPr="006F29F5">
        <w:rPr>
          <w:rFonts w:cs="Times New Roman"/>
          <w:kern w:val="2"/>
          <w:sz w:val="20"/>
        </w:rPr>
        <w:t xml:space="preserve"> </w:t>
      </w:r>
    </w:p>
    <w:p w14:paraId="2EE84A69" w14:textId="338EEE7F" w:rsidR="004441E6" w:rsidRPr="006F29F5" w:rsidRDefault="004441E6" w:rsidP="00E508AB">
      <w:pPr>
        <w:pStyle w:val="Heading2"/>
        <w:rPr>
          <w:kern w:val="2"/>
          <w:sz w:val="24"/>
        </w:rPr>
      </w:pPr>
      <w:bookmarkStart w:id="11" w:name="_Toc288130759"/>
      <w:bookmarkStart w:id="12" w:name="_Toc420329359"/>
      <w:bookmarkStart w:id="13" w:name="_Toc489961985"/>
      <w:r w:rsidRPr="006F29F5">
        <w:rPr>
          <w:kern w:val="2"/>
          <w:sz w:val="24"/>
        </w:rPr>
        <w:t>State-Level Financial Intelligence Units (FIUs)</w:t>
      </w:r>
      <w:bookmarkEnd w:id="11"/>
      <w:bookmarkEnd w:id="12"/>
      <w:bookmarkEnd w:id="13"/>
    </w:p>
    <w:p w14:paraId="4C06DE6F" w14:textId="6D09C3D0" w:rsidR="004441E6" w:rsidRPr="006F29F5" w:rsidRDefault="004441E6" w:rsidP="00C81ED8">
      <w:pPr>
        <w:rPr>
          <w:rFonts w:cs="Times New Roman"/>
          <w:kern w:val="2"/>
          <w:sz w:val="20"/>
        </w:rPr>
      </w:pPr>
      <w:r w:rsidRPr="006F29F5">
        <w:rPr>
          <w:rFonts w:cs="Times New Roman"/>
          <w:kern w:val="2"/>
          <w:sz w:val="20"/>
        </w:rPr>
        <w:t>Financial Intelligence Units (FIUs) are responsible for co</w:t>
      </w:r>
      <w:r w:rsidR="003C45D1" w:rsidRPr="006F29F5">
        <w:rPr>
          <w:rFonts w:cs="Times New Roman"/>
          <w:kern w:val="2"/>
          <w:sz w:val="20"/>
        </w:rPr>
        <w:t>llecting suspicious transaction</w:t>
      </w:r>
      <w:r w:rsidRPr="006F29F5">
        <w:rPr>
          <w:rFonts w:cs="Times New Roman"/>
          <w:kern w:val="2"/>
          <w:sz w:val="20"/>
        </w:rPr>
        <w:t xml:space="preserve"> reports from financial and some non-financial organizations</w:t>
      </w:r>
      <w:r w:rsidR="003C45D1" w:rsidRPr="006F29F5">
        <w:rPr>
          <w:rFonts w:cs="Times New Roman"/>
          <w:kern w:val="2"/>
          <w:sz w:val="20"/>
        </w:rPr>
        <w:t xml:space="preserve"> in order to combat money</w:t>
      </w:r>
      <w:r w:rsidR="005A2AAD" w:rsidRPr="006F29F5">
        <w:rPr>
          <w:rFonts w:cs="Times New Roman"/>
          <w:kern w:val="2"/>
          <w:sz w:val="20"/>
        </w:rPr>
        <w:t xml:space="preserve"> </w:t>
      </w:r>
      <w:r w:rsidR="00DE66C4" w:rsidRPr="006F29F5">
        <w:rPr>
          <w:rFonts w:cs="Times New Roman"/>
          <w:kern w:val="2"/>
          <w:sz w:val="20"/>
        </w:rPr>
        <w:t>laundering</w:t>
      </w:r>
      <w:r w:rsidRPr="006F29F5">
        <w:rPr>
          <w:rFonts w:cs="Times New Roman"/>
          <w:kern w:val="2"/>
          <w:sz w:val="20"/>
        </w:rPr>
        <w:t>. An FIU is defined as a central, national agency responsible for receiving (and</w:t>
      </w:r>
      <w:r w:rsidR="005A2AAD" w:rsidRPr="006F29F5">
        <w:rPr>
          <w:rFonts w:cs="Times New Roman"/>
          <w:kern w:val="2"/>
          <w:sz w:val="20"/>
        </w:rPr>
        <w:t>,</w:t>
      </w:r>
      <w:r w:rsidRPr="006F29F5">
        <w:rPr>
          <w:rFonts w:cs="Times New Roman"/>
          <w:kern w:val="2"/>
          <w:sz w:val="20"/>
        </w:rPr>
        <w:t xml:space="preserve"> a</w:t>
      </w:r>
      <w:r w:rsidR="00DE66C4" w:rsidRPr="006F29F5">
        <w:rPr>
          <w:rFonts w:cs="Times New Roman"/>
          <w:kern w:val="2"/>
          <w:sz w:val="20"/>
        </w:rPr>
        <w:t>s permitted, requesting), analyz</w:t>
      </w:r>
      <w:r w:rsidRPr="006F29F5">
        <w:rPr>
          <w:rFonts w:cs="Times New Roman"/>
          <w:kern w:val="2"/>
          <w:sz w:val="20"/>
        </w:rPr>
        <w:t>ing and d</w:t>
      </w:r>
      <w:r w:rsidR="00DE66C4" w:rsidRPr="006F29F5">
        <w:rPr>
          <w:rFonts w:cs="Times New Roman"/>
          <w:kern w:val="2"/>
          <w:sz w:val="20"/>
        </w:rPr>
        <w:t>isseminating disclosures of financial information involving the proceeds of crime to the authorities</w:t>
      </w:r>
      <w:r w:rsidRPr="006F29F5">
        <w:rPr>
          <w:rFonts w:cs="Times New Roman"/>
          <w:kern w:val="2"/>
          <w:sz w:val="20"/>
        </w:rPr>
        <w:t xml:space="preserve"> as required by nat</w:t>
      </w:r>
      <w:r w:rsidR="003C45D1" w:rsidRPr="006F29F5">
        <w:rPr>
          <w:rFonts w:cs="Times New Roman"/>
          <w:kern w:val="2"/>
          <w:sz w:val="20"/>
        </w:rPr>
        <w:t>ional legislation or regulation</w:t>
      </w:r>
      <w:r w:rsidRPr="006F29F5">
        <w:rPr>
          <w:rFonts w:cs="Times New Roman"/>
          <w:kern w:val="2"/>
          <w:sz w:val="20"/>
        </w:rPr>
        <w:t xml:space="preserve">. FIUs </w:t>
      </w:r>
      <w:r w:rsidR="00E33EEB" w:rsidRPr="006F29F5">
        <w:rPr>
          <w:rFonts w:cs="Times New Roman"/>
          <w:kern w:val="2"/>
          <w:sz w:val="20"/>
        </w:rPr>
        <w:t>may conduct</w:t>
      </w:r>
      <w:r w:rsidRPr="006F29F5">
        <w:rPr>
          <w:rFonts w:cs="Times New Roman"/>
          <w:kern w:val="2"/>
          <w:sz w:val="20"/>
        </w:rPr>
        <w:t xml:space="preserve"> investigat</w:t>
      </w:r>
      <w:r w:rsidR="00E33EEB" w:rsidRPr="006F29F5">
        <w:rPr>
          <w:rFonts w:cs="Times New Roman"/>
          <w:kern w:val="2"/>
          <w:sz w:val="20"/>
        </w:rPr>
        <w:t>ions</w:t>
      </w:r>
      <w:r w:rsidRPr="006F29F5">
        <w:rPr>
          <w:rFonts w:cs="Times New Roman"/>
          <w:kern w:val="2"/>
          <w:sz w:val="20"/>
        </w:rPr>
        <w:t xml:space="preserve"> based on the reports received and disseminate results to local law enforcement. </w:t>
      </w:r>
    </w:p>
    <w:p w14:paraId="3B83EB08" w14:textId="31B47FD3" w:rsidR="004441E6" w:rsidRPr="006F29F5" w:rsidRDefault="004441E6" w:rsidP="00C81ED8">
      <w:pPr>
        <w:rPr>
          <w:rFonts w:cs="Times New Roman"/>
          <w:kern w:val="2"/>
          <w:sz w:val="20"/>
        </w:rPr>
      </w:pPr>
      <w:r w:rsidRPr="006F29F5">
        <w:rPr>
          <w:rFonts w:cs="Times New Roman"/>
          <w:kern w:val="2"/>
          <w:sz w:val="20"/>
        </w:rPr>
        <w:t>FIUs are essential in the fight to prevent or reduce the laundering of proceeds of cor</w:t>
      </w:r>
      <w:r w:rsidR="003C45D1" w:rsidRPr="006F29F5">
        <w:rPr>
          <w:rFonts w:cs="Times New Roman"/>
          <w:kern w:val="2"/>
          <w:sz w:val="20"/>
        </w:rPr>
        <w:t>ruption and other crimes. Anti-</w:t>
      </w:r>
      <w:r w:rsidRPr="006F29F5">
        <w:rPr>
          <w:rFonts w:cs="Times New Roman"/>
          <w:kern w:val="2"/>
          <w:sz w:val="20"/>
        </w:rPr>
        <w:t>money laundering legislation requires many financial and non-financial organizations to file activity or suspicious transaction reports, known as STRs</w:t>
      </w:r>
      <w:r w:rsidR="00213793" w:rsidRPr="006F29F5">
        <w:rPr>
          <w:rFonts w:cs="Times New Roman"/>
          <w:kern w:val="2"/>
          <w:sz w:val="20"/>
        </w:rPr>
        <w:t>,</w:t>
      </w:r>
      <w:r w:rsidR="003C45D1" w:rsidRPr="006F29F5">
        <w:rPr>
          <w:rFonts w:cs="Times New Roman"/>
          <w:kern w:val="2"/>
          <w:sz w:val="20"/>
        </w:rPr>
        <w:t xml:space="preserve"> with </w:t>
      </w:r>
      <w:r w:rsidRPr="006F29F5">
        <w:rPr>
          <w:rFonts w:cs="Times New Roman"/>
          <w:kern w:val="2"/>
          <w:sz w:val="20"/>
        </w:rPr>
        <w:t xml:space="preserve">FIUs. Some </w:t>
      </w:r>
      <w:r w:rsidR="003C45D1" w:rsidRPr="006F29F5">
        <w:rPr>
          <w:rFonts w:cs="Times New Roman"/>
          <w:kern w:val="2"/>
          <w:sz w:val="20"/>
        </w:rPr>
        <w:t xml:space="preserve">FIUs </w:t>
      </w:r>
      <w:r w:rsidRPr="006F29F5">
        <w:rPr>
          <w:rFonts w:cs="Times New Roman"/>
          <w:kern w:val="2"/>
          <w:sz w:val="20"/>
        </w:rPr>
        <w:t>also collect currency transaction reports (CTRs). Organizations include financial institutions, regulatory authorities and professio</w:t>
      </w:r>
      <w:r w:rsidR="00172D66" w:rsidRPr="006F29F5">
        <w:rPr>
          <w:rFonts w:cs="Times New Roman"/>
          <w:kern w:val="2"/>
          <w:sz w:val="20"/>
        </w:rPr>
        <w:t>ns such as lawyers, accountants</w:t>
      </w:r>
      <w:r w:rsidRPr="006F29F5">
        <w:rPr>
          <w:rFonts w:cs="Times New Roman"/>
          <w:kern w:val="2"/>
          <w:sz w:val="20"/>
        </w:rPr>
        <w:t xml:space="preserve"> and trust company providers. The local FIU may also </w:t>
      </w:r>
      <w:r w:rsidR="00172D66" w:rsidRPr="006F29F5">
        <w:rPr>
          <w:rFonts w:cs="Times New Roman"/>
          <w:kern w:val="2"/>
          <w:sz w:val="20"/>
        </w:rPr>
        <w:t>give</w:t>
      </w:r>
      <w:r w:rsidRPr="006F29F5">
        <w:rPr>
          <w:rFonts w:cs="Times New Roman"/>
          <w:kern w:val="2"/>
          <w:sz w:val="20"/>
        </w:rPr>
        <w:t xml:space="preserve"> information to the Egmont Group, the informal ass</w:t>
      </w:r>
      <w:r w:rsidR="00172D66" w:rsidRPr="006F29F5">
        <w:rPr>
          <w:rFonts w:cs="Times New Roman"/>
          <w:kern w:val="2"/>
          <w:sz w:val="20"/>
        </w:rPr>
        <w:t>ociation of FIUS, which can then pass</w:t>
      </w:r>
      <w:r w:rsidRPr="006F29F5">
        <w:rPr>
          <w:rFonts w:cs="Times New Roman"/>
          <w:kern w:val="2"/>
          <w:sz w:val="20"/>
        </w:rPr>
        <w:t xml:space="preserve"> information to foreign FIUs.</w:t>
      </w:r>
      <w:r w:rsidR="00CF2A1F" w:rsidRPr="006F29F5">
        <w:rPr>
          <w:rStyle w:val="FootnoteReference"/>
          <w:rFonts w:cs="Times New Roman"/>
          <w:kern w:val="2"/>
          <w:sz w:val="20"/>
        </w:rPr>
        <w:footnoteReference w:id="25"/>
      </w:r>
      <w:r w:rsidRPr="006F29F5">
        <w:rPr>
          <w:rFonts w:cs="Times New Roman"/>
          <w:kern w:val="2"/>
          <w:sz w:val="20"/>
        </w:rPr>
        <w:t xml:space="preserve"> </w:t>
      </w:r>
    </w:p>
    <w:p w14:paraId="5DCC7EEF" w14:textId="2A54DD51" w:rsidR="004441E6" w:rsidRPr="006F29F5" w:rsidRDefault="00490D2E" w:rsidP="00C81ED8">
      <w:pPr>
        <w:rPr>
          <w:rFonts w:cs="Times New Roman"/>
          <w:kern w:val="2"/>
          <w:sz w:val="20"/>
        </w:rPr>
      </w:pPr>
      <w:r w:rsidRPr="006F29F5">
        <w:rPr>
          <w:rFonts w:cs="Times New Roman"/>
          <w:kern w:val="2"/>
          <w:sz w:val="20"/>
        </w:rPr>
        <w:t>The</w:t>
      </w:r>
      <w:r w:rsidR="00432956" w:rsidRPr="006F29F5">
        <w:rPr>
          <w:rFonts w:cs="Times New Roman"/>
          <w:kern w:val="2"/>
          <w:sz w:val="20"/>
        </w:rPr>
        <w:t xml:space="preserve"> </w:t>
      </w:r>
      <w:r w:rsidR="004D2B2F" w:rsidRPr="006F29F5">
        <w:rPr>
          <w:rFonts w:cs="Times New Roman"/>
          <w:kern w:val="2"/>
          <w:sz w:val="20"/>
        </w:rPr>
        <w:t>US</w:t>
      </w:r>
      <w:r w:rsidRPr="006F29F5">
        <w:rPr>
          <w:rFonts w:cs="Times New Roman"/>
          <w:kern w:val="2"/>
          <w:sz w:val="20"/>
        </w:rPr>
        <w:t xml:space="preserve"> </w:t>
      </w:r>
      <w:r w:rsidR="00432956" w:rsidRPr="006F29F5">
        <w:rPr>
          <w:rFonts w:cs="Times New Roman"/>
          <w:kern w:val="2"/>
          <w:sz w:val="20"/>
        </w:rPr>
        <w:t>FIU is</w:t>
      </w:r>
      <w:r w:rsidR="00FF2D4A" w:rsidRPr="006F29F5">
        <w:rPr>
          <w:rFonts w:cs="Times New Roman"/>
          <w:kern w:val="2"/>
          <w:sz w:val="20"/>
        </w:rPr>
        <w:t xml:space="preserve"> </w:t>
      </w:r>
      <w:r w:rsidRPr="006F29F5">
        <w:rPr>
          <w:rFonts w:cs="Times New Roman"/>
          <w:kern w:val="2"/>
          <w:sz w:val="20"/>
        </w:rPr>
        <w:t>known as the</w:t>
      </w:r>
      <w:r w:rsidR="00432956" w:rsidRPr="006F29F5">
        <w:rPr>
          <w:rFonts w:cs="Times New Roman"/>
          <w:kern w:val="2"/>
          <w:sz w:val="20"/>
        </w:rPr>
        <w:t xml:space="preserve"> Financial Crimes Enforcement Network (</w:t>
      </w:r>
      <w:proofErr w:type="spellStart"/>
      <w:r w:rsidR="00432956" w:rsidRPr="006F29F5">
        <w:rPr>
          <w:rFonts w:cs="Times New Roman"/>
          <w:kern w:val="2"/>
          <w:sz w:val="20"/>
        </w:rPr>
        <w:t>FinCEN</w:t>
      </w:r>
      <w:proofErr w:type="spellEnd"/>
      <w:r w:rsidR="00432956" w:rsidRPr="006F29F5">
        <w:rPr>
          <w:rFonts w:cs="Times New Roman"/>
          <w:kern w:val="2"/>
          <w:sz w:val="20"/>
        </w:rPr>
        <w:t xml:space="preserve">), while the </w:t>
      </w:r>
      <w:r w:rsidR="004D2B2F" w:rsidRPr="006F29F5">
        <w:rPr>
          <w:rFonts w:cs="Times New Roman"/>
          <w:kern w:val="2"/>
          <w:sz w:val="20"/>
        </w:rPr>
        <w:t>UK</w:t>
      </w:r>
      <w:r w:rsidR="00432956" w:rsidRPr="006F29F5">
        <w:rPr>
          <w:rFonts w:cs="Times New Roman"/>
          <w:kern w:val="2"/>
          <w:sz w:val="20"/>
        </w:rPr>
        <w:t xml:space="preserve"> simply called </w:t>
      </w:r>
      <w:r w:rsidR="000C48E4" w:rsidRPr="006F29F5">
        <w:rPr>
          <w:rFonts w:cs="Times New Roman"/>
          <w:kern w:val="2"/>
          <w:sz w:val="20"/>
        </w:rPr>
        <w:t xml:space="preserve">it </w:t>
      </w:r>
      <w:r w:rsidR="00432956" w:rsidRPr="006F29F5">
        <w:rPr>
          <w:rFonts w:cs="Times New Roman"/>
          <w:kern w:val="2"/>
          <w:sz w:val="20"/>
        </w:rPr>
        <w:t xml:space="preserve">UKFIU. </w:t>
      </w:r>
      <w:r w:rsidR="004441E6" w:rsidRPr="006F29F5">
        <w:rPr>
          <w:rFonts w:cs="Times New Roman"/>
          <w:kern w:val="2"/>
          <w:sz w:val="20"/>
        </w:rPr>
        <w:t xml:space="preserve">Canada </w:t>
      </w:r>
      <w:r w:rsidR="001B7634" w:rsidRPr="006F29F5">
        <w:rPr>
          <w:rFonts w:cs="Times New Roman"/>
          <w:kern w:val="2"/>
          <w:sz w:val="20"/>
        </w:rPr>
        <w:t xml:space="preserve">created </w:t>
      </w:r>
      <w:r w:rsidR="004441E6" w:rsidRPr="006F29F5">
        <w:rPr>
          <w:rFonts w:cs="Times New Roman"/>
          <w:kern w:val="2"/>
          <w:sz w:val="20"/>
        </w:rPr>
        <w:t>the</w:t>
      </w:r>
      <w:r w:rsidR="000C48E4" w:rsidRPr="006F29F5">
        <w:rPr>
          <w:rFonts w:cs="Times New Roman"/>
          <w:kern w:val="2"/>
          <w:sz w:val="20"/>
        </w:rPr>
        <w:t xml:space="preserve"> </w:t>
      </w:r>
      <w:r w:rsidR="004441E6" w:rsidRPr="006F29F5">
        <w:rPr>
          <w:rFonts w:cs="Times New Roman"/>
          <w:kern w:val="2"/>
          <w:sz w:val="20"/>
        </w:rPr>
        <w:t xml:space="preserve">Financial Transactions and Reports Analysis Centre (FINTRAC) </w:t>
      </w:r>
      <w:r w:rsidR="00172D66" w:rsidRPr="006F29F5">
        <w:rPr>
          <w:rFonts w:cs="Times New Roman"/>
          <w:kern w:val="2"/>
          <w:sz w:val="20"/>
        </w:rPr>
        <w:t>in 2000. FINTRAC</w:t>
      </w:r>
      <w:r w:rsidR="00BB2F72" w:rsidRPr="006F29F5">
        <w:rPr>
          <w:rFonts w:cs="Times New Roman"/>
          <w:kern w:val="2"/>
          <w:sz w:val="20"/>
        </w:rPr>
        <w:t xml:space="preserve"> </w:t>
      </w:r>
      <w:r w:rsidR="004441E6" w:rsidRPr="006F29F5">
        <w:rPr>
          <w:rFonts w:cs="Times New Roman"/>
          <w:kern w:val="2"/>
          <w:sz w:val="20"/>
        </w:rPr>
        <w:t>joined the Egmont Group in 2002. UNCAC does no</w:t>
      </w:r>
      <w:r w:rsidR="00057186" w:rsidRPr="006F29F5">
        <w:rPr>
          <w:rFonts w:cs="Times New Roman"/>
          <w:kern w:val="2"/>
          <w:sz w:val="20"/>
        </w:rPr>
        <w:t>t require an FIU be established</w:t>
      </w:r>
      <w:r w:rsidR="00172D66" w:rsidRPr="006F29F5">
        <w:rPr>
          <w:rFonts w:cs="Times New Roman"/>
          <w:kern w:val="2"/>
          <w:sz w:val="20"/>
        </w:rPr>
        <w:t>,</w:t>
      </w:r>
      <w:r w:rsidR="004441E6" w:rsidRPr="006F29F5">
        <w:rPr>
          <w:rFonts w:cs="Times New Roman"/>
          <w:kern w:val="2"/>
          <w:sz w:val="20"/>
        </w:rPr>
        <w:t xml:space="preserve"> but Article 58 states that parties shall </w:t>
      </w:r>
      <w:r w:rsidR="00172D66" w:rsidRPr="006F29F5">
        <w:rPr>
          <w:rFonts w:cs="Times New Roman"/>
          <w:kern w:val="2"/>
          <w:sz w:val="20"/>
        </w:rPr>
        <w:t>cooperate to prevent the transfer of the proceeds of Convention offences and to promote recovery of such proceeds. To that end, Article 58 requires state parties to consider establishing an FIU</w:t>
      </w:r>
      <w:r w:rsidR="004441E6" w:rsidRPr="006F29F5">
        <w:rPr>
          <w:rFonts w:cs="Times New Roman"/>
          <w:kern w:val="2"/>
          <w:sz w:val="20"/>
        </w:rPr>
        <w:t>.</w:t>
      </w:r>
    </w:p>
    <w:p w14:paraId="1ECC9672" w14:textId="472B52FC" w:rsidR="004441E6" w:rsidRDefault="004C5983" w:rsidP="00DF6023">
      <w:pPr>
        <w:rPr>
          <w:rFonts w:cs="Times New Roman"/>
          <w:kern w:val="2"/>
          <w:sz w:val="20"/>
        </w:rPr>
      </w:pPr>
      <w:r w:rsidRPr="006F29F5">
        <w:rPr>
          <w:rFonts w:cs="Times New Roman"/>
          <w:kern w:val="2"/>
          <w:sz w:val="20"/>
        </w:rPr>
        <w:t>Below is an e</w:t>
      </w:r>
      <w:r w:rsidR="004441E6" w:rsidRPr="006F29F5">
        <w:rPr>
          <w:rFonts w:cs="Times New Roman"/>
          <w:kern w:val="2"/>
          <w:sz w:val="20"/>
        </w:rPr>
        <w:t>xcerpt fr</w:t>
      </w:r>
      <w:r w:rsidR="005A2AAD" w:rsidRPr="006F29F5">
        <w:rPr>
          <w:rFonts w:cs="Times New Roman"/>
          <w:kern w:val="2"/>
          <w:sz w:val="20"/>
        </w:rPr>
        <w:t xml:space="preserve">om a 2010 </w:t>
      </w:r>
      <w:proofErr w:type="spellStart"/>
      <w:r w:rsidR="005A2AAD" w:rsidRPr="006F29F5">
        <w:rPr>
          <w:rFonts w:cs="Times New Roman"/>
          <w:kern w:val="2"/>
          <w:sz w:val="20"/>
        </w:rPr>
        <w:t>StAR</w:t>
      </w:r>
      <w:proofErr w:type="spellEnd"/>
      <w:r w:rsidR="005A2AAD" w:rsidRPr="006F29F5">
        <w:rPr>
          <w:rFonts w:cs="Times New Roman"/>
          <w:kern w:val="2"/>
          <w:sz w:val="20"/>
        </w:rPr>
        <w:t xml:space="preserve"> report entitled </w:t>
      </w:r>
      <w:r w:rsidR="004441E6" w:rsidRPr="006F29F5">
        <w:rPr>
          <w:rFonts w:cs="Times New Roman"/>
          <w:i/>
          <w:kern w:val="2"/>
          <w:sz w:val="20"/>
        </w:rPr>
        <w:t>Towards a Global Architecture for Asset Recovery</w:t>
      </w:r>
      <w:r w:rsidR="005A2AAD" w:rsidRPr="006F29F5">
        <w:rPr>
          <w:rFonts w:cs="Times New Roman"/>
          <w:kern w:val="2"/>
          <w:sz w:val="20"/>
        </w:rPr>
        <w:t>:</w:t>
      </w:r>
    </w:p>
    <w:tbl>
      <w:tblPr>
        <w:tblStyle w:val="TableGrid"/>
        <w:tblW w:w="0" w:type="auto"/>
        <w:tblCellMar>
          <w:top w:w="284" w:type="dxa"/>
          <w:left w:w="284" w:type="dxa"/>
          <w:bottom w:w="284" w:type="dxa"/>
          <w:right w:w="284" w:type="dxa"/>
        </w:tblCellMar>
        <w:tblLook w:val="04A0" w:firstRow="1" w:lastRow="0" w:firstColumn="1" w:lastColumn="0" w:noHBand="0" w:noVBand="1"/>
      </w:tblPr>
      <w:tblGrid>
        <w:gridCol w:w="8070"/>
      </w:tblGrid>
      <w:tr w:rsidR="00627622" w14:paraId="23C3B240" w14:textId="77777777" w:rsidTr="00627622">
        <w:tc>
          <w:tcPr>
            <w:tcW w:w="8070" w:type="dxa"/>
            <w:tcBorders>
              <w:top w:val="nil"/>
              <w:left w:val="nil"/>
              <w:bottom w:val="nil"/>
              <w:right w:val="nil"/>
            </w:tcBorders>
            <w:shd w:val="clear" w:color="auto" w:fill="D9D9D9" w:themeFill="background1" w:themeFillShade="D9"/>
          </w:tcPr>
          <w:p w14:paraId="442297B2" w14:textId="77777777" w:rsidR="00627622" w:rsidRPr="006F29F5" w:rsidRDefault="00627622" w:rsidP="00627622">
            <w:pPr>
              <w:pStyle w:val="ExcerptMarker"/>
              <w:spacing w:before="0"/>
              <w:rPr>
                <w:kern w:val="2"/>
                <w:sz w:val="16"/>
              </w:rPr>
            </w:pPr>
            <w:r w:rsidRPr="006F29F5">
              <w:rPr>
                <w:kern w:val="2"/>
                <w:sz w:val="16"/>
              </w:rPr>
              <w:t>Beginning of Excerpt</w:t>
            </w:r>
          </w:p>
          <w:p w14:paraId="049029E9" w14:textId="77777777" w:rsidR="00627622" w:rsidRDefault="00627622" w:rsidP="00627622">
            <w:pPr>
              <w:autoSpaceDE w:val="0"/>
              <w:autoSpaceDN w:val="0"/>
              <w:adjustRightInd w:val="0"/>
              <w:spacing w:after="0"/>
              <w:rPr>
                <w:rFonts w:cs="Times New Roman"/>
                <w:kern w:val="2"/>
                <w:sz w:val="20"/>
              </w:rPr>
            </w:pPr>
            <w:r w:rsidRPr="006F29F5">
              <w:rPr>
                <w:rFonts w:cs="Times New Roman"/>
                <w:kern w:val="2"/>
                <w:sz w:val="20"/>
              </w:rPr>
              <w:t>123. Financial intermediaries, including banks, other financial service providers and gatekeepers – including lawyers, notaries, company formation and real estate agents – are the first line of defense against money laundering. Intermediaries are required to monitor the transactions and behavior of their clients and prospective clients with due diligence and report su</w:t>
            </w:r>
            <w:r>
              <w:rPr>
                <w:rFonts w:cs="Times New Roman"/>
                <w:kern w:val="2"/>
                <w:sz w:val="20"/>
              </w:rPr>
              <w:t>spicious activities to the FIU.</w:t>
            </w:r>
          </w:p>
          <w:p w14:paraId="4EBC2AD3" w14:textId="2F87496F" w:rsidR="00627622" w:rsidRPr="00627622" w:rsidRDefault="00627622" w:rsidP="00627622">
            <w:pPr>
              <w:autoSpaceDE w:val="0"/>
              <w:autoSpaceDN w:val="0"/>
              <w:adjustRightInd w:val="0"/>
              <w:spacing w:after="0"/>
              <w:rPr>
                <w:rFonts w:cs="Times New Roman"/>
                <w:kern w:val="2"/>
                <w:sz w:val="2"/>
              </w:rPr>
            </w:pPr>
            <w:r w:rsidRPr="006F29F5">
              <w:rPr>
                <w:rFonts w:cs="Times New Roman"/>
                <w:kern w:val="2"/>
                <w:sz w:val="20"/>
              </w:rPr>
              <w:t>124. FIUs centralize and analyze information regarding suspected money laundering activity. Their broader responsibilities vary between jurisdictions. Administrative FIUs are independent bodies which receive, process and then transmit information to the judicial or law enforcement authorities for investigation. FIUs established within</w:t>
            </w:r>
            <w:r>
              <w:rPr>
                <w:rFonts w:cs="Times New Roman"/>
                <w:kern w:val="2"/>
                <w:sz w:val="20"/>
              </w:rPr>
              <w:br/>
            </w:r>
          </w:p>
        </w:tc>
      </w:tr>
    </w:tbl>
    <w:p w14:paraId="0944EC1A" w14:textId="77777777" w:rsidR="00627622" w:rsidRDefault="00627622" w:rsidP="00627622">
      <w:pPr>
        <w:spacing w:before="0" w:after="0" w:line="276" w:lineRule="auto"/>
        <w:jc w:val="left"/>
        <w:rPr>
          <w:rFonts w:cs="Times New Roman"/>
          <w:kern w:val="2"/>
          <w:sz w:val="20"/>
        </w:rPr>
      </w:pPr>
      <w:r>
        <w:rPr>
          <w:rFonts w:cs="Times New Roman"/>
          <w:kern w:val="2"/>
          <w:sz w:val="20"/>
        </w:rPr>
        <w:br w:type="page"/>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CE3368" w:rsidRPr="006F29F5" w14:paraId="61A633F8" w14:textId="77777777" w:rsidTr="00627622">
        <w:trPr>
          <w:jc w:val="center"/>
        </w:trPr>
        <w:tc>
          <w:tcPr>
            <w:tcW w:w="8080" w:type="dxa"/>
            <w:shd w:val="clear" w:color="auto" w:fill="D9D9D9" w:themeFill="background1" w:themeFillShade="D9"/>
          </w:tcPr>
          <w:p w14:paraId="40F85A48" w14:textId="23E3C6D5" w:rsidR="00CE3368" w:rsidRPr="006F29F5" w:rsidRDefault="00CE3368" w:rsidP="00627622">
            <w:pPr>
              <w:autoSpaceDE w:val="0"/>
              <w:autoSpaceDN w:val="0"/>
              <w:adjustRightInd w:val="0"/>
              <w:spacing w:before="0"/>
              <w:rPr>
                <w:rFonts w:cs="Times New Roman"/>
                <w:kern w:val="2"/>
                <w:sz w:val="20"/>
              </w:rPr>
            </w:pPr>
            <w:proofErr w:type="gramStart"/>
            <w:r w:rsidRPr="006F29F5">
              <w:rPr>
                <w:rFonts w:cs="Times New Roman"/>
                <w:kern w:val="2"/>
                <w:sz w:val="20"/>
              </w:rPr>
              <w:t>law</w:t>
            </w:r>
            <w:proofErr w:type="gramEnd"/>
            <w:r w:rsidRPr="006F29F5">
              <w:rPr>
                <w:rFonts w:cs="Times New Roman"/>
                <w:kern w:val="2"/>
                <w:sz w:val="20"/>
              </w:rPr>
              <w:t xml:space="preserve"> enforcement agencies will have a proactive role in and may even lead the money laundering investigations. FIUs within the judicial branch, may have authority to order coercive and preventative measures in support investigations. In 2007, when Egmont had 101 members, there were 66 administrative FIUs, 29 law enforcement FIUs and 6 hybrids.</w:t>
            </w:r>
          </w:p>
          <w:p w14:paraId="12AC4F1B" w14:textId="77777777" w:rsidR="00CE3368" w:rsidRPr="006F29F5" w:rsidRDefault="00CE3368" w:rsidP="00FA7171">
            <w:pPr>
              <w:autoSpaceDE w:val="0"/>
              <w:autoSpaceDN w:val="0"/>
              <w:adjustRightInd w:val="0"/>
              <w:rPr>
                <w:rFonts w:cs="Times New Roman"/>
                <w:kern w:val="2"/>
                <w:sz w:val="20"/>
              </w:rPr>
            </w:pPr>
            <w:r w:rsidRPr="006F29F5">
              <w:rPr>
                <w:rFonts w:cs="Times New Roman"/>
                <w:kern w:val="2"/>
                <w:sz w:val="20"/>
              </w:rPr>
              <w:t>125. Suspicious activity reports (SARs) constitute an important source of leads identifying potential corruption and asset recovery cases. Most countries have reported a steady increase in both the quantity and quality of the STRs as financial intermediates gain experience and confidence. However, there is very little official data available on the proportion SARs where the suspicion relates to corruption. The Swiss mutual evaluation report suggests that about seven percent of SARs are corruption related, though about forty percent are unclassified. This seems to be a somewhat higher proportion than seen in other jurisdictions; the Isle of Man, for instance, reports that between one and a half to two percent of SARs were related to PEPs or suspected corruption in the period 2004-08, while Singapore reports that just over one percent of SARs referred for further investigation were corruption-related. Interviews with FIUs in major financial centers tend to confirm that the proportion of PEPs and corruption-related SARs is generally around one percent, though the FIUs are quick to point out that this probably underestimates the amount of corruption-related money laundering. Suspected corrupt activity may not be reported: for example, the financial intermediary refuses a customer but does not file a SAR. Alternatively, the corrupt activity is reported for unrelated reasons: the proceeds of corruption may be indistinguishable from the proceeds of other crimes and are often reported to the FIU because of the suspicious nature of the transaction rather than concerns regarding the origin of the funds.</w:t>
            </w:r>
          </w:p>
          <w:p w14:paraId="77637534" w14:textId="77777777" w:rsidR="00CE3368" w:rsidRPr="006F29F5" w:rsidRDefault="00CE3368" w:rsidP="00FA7171">
            <w:pPr>
              <w:autoSpaceDE w:val="0"/>
              <w:autoSpaceDN w:val="0"/>
              <w:adjustRightInd w:val="0"/>
              <w:rPr>
                <w:rFonts w:cs="Times New Roman"/>
                <w:kern w:val="2"/>
                <w:sz w:val="20"/>
              </w:rPr>
            </w:pPr>
            <w:r w:rsidRPr="006F29F5">
              <w:rPr>
                <w:rFonts w:cs="Times New Roman"/>
                <w:kern w:val="2"/>
                <w:sz w:val="20"/>
              </w:rPr>
              <w:t>126. Coordination with the institutions that are engaged in corruption on a regular basis, such as the audit authority and anti-corruption agencies, could be expected to improve understanding of risks and help identify red flags. This would enhance the FIUs ability to detect corruption related money laundering. Greater awareness of money laundering aspects of corruption would assist the audit authority and anti-corruption agencies engage with the FIU at an early stage in the investigation to assist in tracing.</w:t>
            </w:r>
          </w:p>
          <w:p w14:paraId="3D944726" w14:textId="3BC05D8E" w:rsidR="00CE3368" w:rsidRPr="006F29F5" w:rsidRDefault="00CE3368" w:rsidP="00FA7171">
            <w:pPr>
              <w:autoSpaceDE w:val="0"/>
              <w:autoSpaceDN w:val="0"/>
              <w:adjustRightInd w:val="0"/>
              <w:rPr>
                <w:rFonts w:cs="Times New Roman"/>
                <w:kern w:val="2"/>
                <w:sz w:val="20"/>
              </w:rPr>
            </w:pPr>
            <w:r w:rsidRPr="006F29F5">
              <w:rPr>
                <w:rFonts w:cs="Times New Roman"/>
                <w:kern w:val="2"/>
                <w:sz w:val="20"/>
              </w:rPr>
              <w:t xml:space="preserve">127. There is little evidence that this coordination is taking place. A study by ESMAALG (the East and Southern Africa FATF-style regional body) of twelve member countries concludes </w:t>
            </w:r>
            <w:r w:rsidR="00CC1E13" w:rsidRPr="006F29F5">
              <w:rPr>
                <w:rFonts w:cs="Times New Roman"/>
                <w:kern w:val="2"/>
                <w:sz w:val="20"/>
              </w:rPr>
              <w:t>“</w:t>
            </w:r>
            <w:r w:rsidRPr="006F29F5">
              <w:rPr>
                <w:rFonts w:cs="Times New Roman"/>
                <w:kern w:val="2"/>
                <w:sz w:val="20"/>
              </w:rPr>
              <w:t>in most member countries, corruption and money laundering are investigated by agencies that are separate, distinct and have little interaction. This results in a regrettable dissipation of resources and unhealthy competition</w:t>
            </w:r>
            <w:r w:rsidR="00CC1E13" w:rsidRPr="006F29F5">
              <w:rPr>
                <w:rFonts w:cs="Times New Roman"/>
                <w:kern w:val="2"/>
                <w:sz w:val="20"/>
              </w:rPr>
              <w:t>”</w:t>
            </w:r>
            <w:r w:rsidRPr="006F29F5">
              <w:rPr>
                <w:rFonts w:cs="Times New Roman"/>
                <w:kern w:val="2"/>
                <w:sz w:val="20"/>
              </w:rPr>
              <w:t>. Upcoming research by the World Bank of an additional thirteen countries in several regions comes to similar conclusions. There is little understanding of how money laundering and anti-corruption regimes interact and little incentive for countries to these relationships.</w:t>
            </w:r>
          </w:p>
          <w:p w14:paraId="7C7A4EFF" w14:textId="641B57C3" w:rsidR="00CE3368" w:rsidRPr="006F29F5" w:rsidRDefault="00CE3368" w:rsidP="00FA7171">
            <w:pPr>
              <w:autoSpaceDE w:val="0"/>
              <w:autoSpaceDN w:val="0"/>
              <w:adjustRightInd w:val="0"/>
              <w:rPr>
                <w:rFonts w:cs="Times New Roman"/>
                <w:kern w:val="2"/>
                <w:sz w:val="20"/>
              </w:rPr>
            </w:pPr>
            <w:r w:rsidRPr="006F29F5">
              <w:rPr>
                <w:rFonts w:cs="Times New Roman"/>
                <w:kern w:val="2"/>
                <w:sz w:val="20"/>
              </w:rPr>
              <w:t>128. Clearly, if progress is to be made in tackling the proceeds of corruption these coordination issues will have to be addressed. This can be done at various levels.</w:t>
            </w:r>
            <w:r w:rsidR="005C2419" w:rsidRPr="006F29F5">
              <w:rPr>
                <w:rStyle w:val="FootnoteReference"/>
                <w:rFonts w:cs="Times New Roman"/>
                <w:kern w:val="2"/>
                <w:sz w:val="20"/>
              </w:rPr>
              <w:footnoteReference w:id="26"/>
            </w:r>
          </w:p>
          <w:p w14:paraId="00A55478" w14:textId="7B3596CD" w:rsidR="00CE3368" w:rsidRPr="006F29F5" w:rsidRDefault="00CE3368" w:rsidP="00FA7171">
            <w:pPr>
              <w:pStyle w:val="ExcerptMarker"/>
              <w:spacing w:after="0"/>
              <w:rPr>
                <w:kern w:val="2"/>
                <w:sz w:val="16"/>
              </w:rPr>
            </w:pPr>
            <w:r w:rsidRPr="006F29F5">
              <w:rPr>
                <w:kern w:val="2"/>
                <w:sz w:val="16"/>
              </w:rPr>
              <w:t>End of Excerpt</w:t>
            </w:r>
          </w:p>
        </w:tc>
      </w:tr>
    </w:tbl>
    <w:p w14:paraId="10B7501F" w14:textId="4336ACCB" w:rsidR="00176956" w:rsidRDefault="004C5983" w:rsidP="00DF6023">
      <w:pPr>
        <w:autoSpaceDE w:val="0"/>
        <w:autoSpaceDN w:val="0"/>
        <w:adjustRightInd w:val="0"/>
        <w:rPr>
          <w:rFonts w:cs="Times New Roman"/>
          <w:kern w:val="2"/>
          <w:sz w:val="20"/>
        </w:rPr>
      </w:pPr>
      <w:r w:rsidRPr="006F29F5">
        <w:rPr>
          <w:rFonts w:cs="Times New Roman"/>
          <w:kern w:val="2"/>
          <w:sz w:val="20"/>
        </w:rPr>
        <w:t>The following is an e</w:t>
      </w:r>
      <w:r w:rsidR="004441E6" w:rsidRPr="006F29F5">
        <w:rPr>
          <w:rFonts w:cs="Times New Roman"/>
          <w:kern w:val="2"/>
          <w:sz w:val="20"/>
        </w:rPr>
        <w:t>xcerpt from a 2009 publication by the Basel I</w:t>
      </w:r>
      <w:r w:rsidRPr="006F29F5">
        <w:rPr>
          <w:rFonts w:cs="Times New Roman"/>
          <w:kern w:val="2"/>
          <w:sz w:val="20"/>
        </w:rPr>
        <w:t>nstitute on Governance entitled</w:t>
      </w:r>
      <w:r w:rsidR="004441E6" w:rsidRPr="006F29F5">
        <w:rPr>
          <w:rFonts w:cs="Times New Roman"/>
          <w:kern w:val="2"/>
          <w:sz w:val="20"/>
        </w:rPr>
        <w:t xml:space="preserve"> </w:t>
      </w:r>
      <w:r w:rsidR="004441E6" w:rsidRPr="006F29F5">
        <w:rPr>
          <w:rFonts w:cs="Times New Roman"/>
          <w:i/>
          <w:kern w:val="2"/>
          <w:sz w:val="20"/>
        </w:rPr>
        <w:t>Tracing Stolen Assets: A Practitioner's Handbook</w:t>
      </w:r>
      <w:r w:rsidR="00F40F50" w:rsidRPr="006F29F5">
        <w:rPr>
          <w:rFonts w:cs="Times New Roman"/>
          <w:kern w:val="2"/>
          <w:sz w:val="20"/>
        </w:rPr>
        <w:t>:</w:t>
      </w:r>
      <w:r w:rsidR="004441E6" w:rsidRPr="006F29F5">
        <w:rPr>
          <w:rStyle w:val="FootnoteReference"/>
          <w:rFonts w:cs="Times New Roman"/>
          <w:kern w:val="2"/>
          <w:sz w:val="20"/>
        </w:rPr>
        <w:footnoteReference w:id="27"/>
      </w:r>
    </w:p>
    <w:tbl>
      <w:tblPr>
        <w:tblStyle w:val="TableGrid"/>
        <w:tblW w:w="0" w:type="auto"/>
        <w:tblCellMar>
          <w:top w:w="284" w:type="dxa"/>
          <w:left w:w="284" w:type="dxa"/>
          <w:bottom w:w="284" w:type="dxa"/>
          <w:right w:w="284" w:type="dxa"/>
        </w:tblCellMar>
        <w:tblLook w:val="04A0" w:firstRow="1" w:lastRow="0" w:firstColumn="1" w:lastColumn="0" w:noHBand="0" w:noVBand="1"/>
      </w:tblPr>
      <w:tblGrid>
        <w:gridCol w:w="8070"/>
      </w:tblGrid>
      <w:tr w:rsidR="00BC7B16" w14:paraId="2213EA90" w14:textId="77777777" w:rsidTr="00BC7B16">
        <w:tc>
          <w:tcPr>
            <w:tcW w:w="8070" w:type="dxa"/>
            <w:tcBorders>
              <w:top w:val="nil"/>
              <w:left w:val="nil"/>
              <w:bottom w:val="nil"/>
              <w:right w:val="nil"/>
            </w:tcBorders>
            <w:shd w:val="clear" w:color="auto" w:fill="D9D9D9" w:themeFill="background1" w:themeFillShade="D9"/>
          </w:tcPr>
          <w:p w14:paraId="3EF125D6" w14:textId="77777777" w:rsidR="00BC7B16" w:rsidRPr="006F29F5" w:rsidRDefault="00BC7B16" w:rsidP="00BC7B16">
            <w:pPr>
              <w:pStyle w:val="ExcerptMarker"/>
              <w:spacing w:before="0"/>
              <w:rPr>
                <w:kern w:val="2"/>
                <w:sz w:val="16"/>
              </w:rPr>
            </w:pPr>
            <w:r w:rsidRPr="006F29F5">
              <w:rPr>
                <w:kern w:val="2"/>
                <w:sz w:val="16"/>
              </w:rPr>
              <w:t>Beginning of Excerpt</w:t>
            </w:r>
          </w:p>
          <w:p w14:paraId="43D616F2" w14:textId="77777777" w:rsidR="00BC7B16" w:rsidRDefault="00BC7B16" w:rsidP="00BC7B16">
            <w:pPr>
              <w:autoSpaceDE w:val="0"/>
              <w:autoSpaceDN w:val="0"/>
              <w:adjustRightInd w:val="0"/>
              <w:spacing w:after="0"/>
              <w:rPr>
                <w:rFonts w:cs="Times New Roman"/>
                <w:kern w:val="2"/>
                <w:sz w:val="20"/>
              </w:rPr>
            </w:pPr>
            <w:r w:rsidRPr="006F29F5">
              <w:rPr>
                <w:rFonts w:cs="Times New Roman"/>
                <w:kern w:val="2"/>
                <w:sz w:val="20"/>
              </w:rPr>
              <w:t>Probably the most interesting tool for an investigator in tracing assets, especially assets stashed away in financial centres, is the requirement obliging financial institutions and DNFBPs [designated non-financial businesses and professions] to report suspicious transactions to the national FIU. In most financial centres, financial institutions and DNFBPs have to file a suspicious activity report (SAR) if the assets the suspect entrusted to them originate from a predicate offence.</w:t>
            </w:r>
            <w:r w:rsidRPr="006F29F5">
              <w:rPr>
                <w:rStyle w:val="FootnoteReference"/>
                <w:rFonts w:cs="Times New Roman"/>
                <w:kern w:val="2"/>
                <w:sz w:val="20"/>
              </w:rPr>
              <w:footnoteReference w:id="28"/>
            </w:r>
            <w:r w:rsidRPr="006F29F5">
              <w:rPr>
                <w:rFonts w:cs="Times New Roman"/>
                <w:kern w:val="2"/>
                <w:sz w:val="20"/>
              </w:rPr>
              <w:t xml:space="preserve"> Corruption offences are mandatory predicate offences to money laundering. What does that mean for a Police Officer, Magistrate or Prosecutor investigating corruption, who believes that the suspect has stashed away the proceeds of the corruptive act in a particular financial centre? Most often, the investigator will not know which financial institution is involved. In Switzerland alone, there are 400 banks and nearly 10,000 non-banking financial institutions. A request for information from the Swiss MLA authorities without being able to name the financial institution involved would be considered as a ‘fishing expedition’, and returned to the </w:t>
            </w:r>
            <w:r>
              <w:rPr>
                <w:rFonts w:cs="Times New Roman"/>
                <w:kern w:val="2"/>
                <w:sz w:val="20"/>
              </w:rPr>
              <w:t>sender.</w:t>
            </w:r>
          </w:p>
          <w:p w14:paraId="0568D72F" w14:textId="69E033B9" w:rsidR="00BC7B16" w:rsidRPr="00BC7B16" w:rsidRDefault="00BC7B16" w:rsidP="00BC7B16">
            <w:pPr>
              <w:autoSpaceDE w:val="0"/>
              <w:autoSpaceDN w:val="0"/>
              <w:adjustRightInd w:val="0"/>
              <w:spacing w:after="0"/>
              <w:rPr>
                <w:rFonts w:cs="Times New Roman"/>
                <w:kern w:val="2"/>
                <w:sz w:val="2"/>
              </w:rPr>
            </w:pPr>
            <w:r w:rsidRPr="006F29F5">
              <w:rPr>
                <w:rFonts w:cs="Times New Roman"/>
                <w:kern w:val="2"/>
                <w:sz w:val="20"/>
              </w:rPr>
              <w:t>How can we overcome this obstacle? Once again, the AML [anti-money laundering] framework may prove to be of assistance: A bank is likely to file a SAR in respect of a client if the information reaches the bank that the bank’s client is under investigation for a predicate offence to money laundering. Once the SAR is with the FIU in</w:t>
            </w:r>
            <w:r>
              <w:rPr>
                <w:rFonts w:cs="Times New Roman"/>
                <w:kern w:val="2"/>
                <w:sz w:val="20"/>
              </w:rPr>
              <w:t xml:space="preserve"> the</w:t>
            </w:r>
            <w:r>
              <w:rPr>
                <w:rFonts w:cs="Times New Roman"/>
                <w:kern w:val="2"/>
                <w:sz w:val="20"/>
              </w:rPr>
              <w:br/>
            </w:r>
          </w:p>
        </w:tc>
      </w:tr>
    </w:tbl>
    <w:p w14:paraId="475A5C47" w14:textId="77777777" w:rsidR="00BC7B16" w:rsidRPr="006F29F5" w:rsidRDefault="00BC7B16" w:rsidP="00DF6023">
      <w:pPr>
        <w:autoSpaceDE w:val="0"/>
        <w:autoSpaceDN w:val="0"/>
        <w:adjustRightInd w:val="0"/>
        <w:rPr>
          <w:rFonts w:cs="Times New Roman"/>
          <w:kern w:val="2"/>
          <w:sz w:val="20"/>
        </w:rPr>
      </w:pPr>
    </w:p>
    <w:tbl>
      <w:tblPr>
        <w:tblStyle w:val="TableGrid"/>
        <w:tblW w:w="0" w:type="auto"/>
        <w:jc w:val="center"/>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176956" w:rsidRPr="006F29F5" w14:paraId="1BB7FE38" w14:textId="77777777" w:rsidTr="00BC7B16">
        <w:trPr>
          <w:jc w:val="center"/>
        </w:trPr>
        <w:tc>
          <w:tcPr>
            <w:tcW w:w="9360" w:type="dxa"/>
            <w:tcBorders>
              <w:top w:val="nil"/>
              <w:left w:val="nil"/>
              <w:bottom w:val="nil"/>
              <w:right w:val="nil"/>
            </w:tcBorders>
            <w:shd w:val="clear" w:color="auto" w:fill="D9D9D9" w:themeFill="background1" w:themeFillShade="D9"/>
          </w:tcPr>
          <w:p w14:paraId="563911C5" w14:textId="47C84A89" w:rsidR="00176956" w:rsidRPr="006F29F5" w:rsidRDefault="00176956" w:rsidP="00BC7B16">
            <w:pPr>
              <w:autoSpaceDE w:val="0"/>
              <w:autoSpaceDN w:val="0"/>
              <w:adjustRightInd w:val="0"/>
              <w:spacing w:before="0"/>
              <w:rPr>
                <w:rFonts w:cs="Times New Roman"/>
                <w:kern w:val="2"/>
                <w:sz w:val="20"/>
              </w:rPr>
            </w:pPr>
            <w:proofErr w:type="gramStart"/>
            <w:r w:rsidRPr="006F29F5">
              <w:rPr>
                <w:rFonts w:cs="Times New Roman"/>
                <w:kern w:val="2"/>
                <w:sz w:val="20"/>
              </w:rPr>
              <w:t>financial</w:t>
            </w:r>
            <w:proofErr w:type="gramEnd"/>
            <w:r w:rsidRPr="006F29F5">
              <w:rPr>
                <w:rFonts w:cs="Times New Roman"/>
                <w:kern w:val="2"/>
                <w:sz w:val="20"/>
              </w:rPr>
              <w:t xml:space="preserve"> centre concerned, this FIU can share information with its counterpart FIU in the country where the predicate offence took place. Under certain conditions, this information can be made available to the investigator in the country where the predicate offence occurred (normally as intelligence only, not as evidence). This allows the investigator in question to locate the stolen assets and submit a tailor-made MLA request to his or her counterpart in the financial centre and avoid the problematic ‘fishing expedition’.</w:t>
            </w:r>
          </w:p>
          <w:p w14:paraId="498E4594" w14:textId="77777777" w:rsidR="00176956" w:rsidRPr="006F29F5" w:rsidRDefault="00176956" w:rsidP="00BC7B16">
            <w:pPr>
              <w:autoSpaceDE w:val="0"/>
              <w:autoSpaceDN w:val="0"/>
              <w:adjustRightInd w:val="0"/>
              <w:rPr>
                <w:rFonts w:cs="Times New Roman"/>
                <w:kern w:val="2"/>
                <w:sz w:val="20"/>
              </w:rPr>
            </w:pPr>
            <w:r w:rsidRPr="006F29F5">
              <w:rPr>
                <w:rFonts w:cs="Times New Roman"/>
                <w:kern w:val="2"/>
                <w:sz w:val="20"/>
              </w:rPr>
              <w:t>However, to prompt an SAR, the financial institution in the financial centre must learn about the predicate offence in the country of origin of the crime in some way. In corruption cases, the country of origin is very often a developing or transition country with limited law enforcement capacities. Financial institutions will not regularly access news from developing or transition countries. Only a few major banks’ compliance officers would systematically read newspapers and screen them for potential allegations against clients. So, the information on an ongoing investigation must somehow be spread and reach the financial institutions in financial centres. There are various mechanisms for ensuring this information can be spread, either by using existing contacts in the financial centre – networking is of crucial importance for successful asset tracing – or the international media in cases of high profile investigations. Or else specialists can be found in financial centres that target major financial institutions, and provided with case related information that is not confidential but sufficient for the financial institution to consider filing an SAR.</w:t>
            </w:r>
          </w:p>
          <w:p w14:paraId="17D9DB1F" w14:textId="1778FA88" w:rsidR="00176956" w:rsidRPr="006F29F5" w:rsidRDefault="00DF6023" w:rsidP="00BC7B16">
            <w:pPr>
              <w:pStyle w:val="ExcerptMarker"/>
              <w:spacing w:after="0"/>
              <w:rPr>
                <w:kern w:val="2"/>
                <w:sz w:val="16"/>
              </w:rPr>
            </w:pPr>
            <w:r w:rsidRPr="006F29F5">
              <w:rPr>
                <w:kern w:val="2"/>
                <w:sz w:val="16"/>
              </w:rPr>
              <w:t>End of Excerpt</w:t>
            </w:r>
          </w:p>
        </w:tc>
      </w:tr>
    </w:tbl>
    <w:p w14:paraId="0E40EBFA" w14:textId="77777777" w:rsidR="00090EF0" w:rsidRPr="006F29F5" w:rsidRDefault="00090EF0" w:rsidP="00090EF0">
      <w:pPr>
        <w:spacing w:before="0" w:after="0"/>
        <w:rPr>
          <w:sz w:val="20"/>
        </w:rPr>
      </w:pPr>
      <w:bookmarkStart w:id="14" w:name="_Toc292981639"/>
      <w:bookmarkStart w:id="15" w:name="_Toc420329360"/>
      <w:bookmarkStart w:id="16" w:name="_Toc489961986"/>
    </w:p>
    <w:tbl>
      <w:tblPr>
        <w:tblStyle w:val="TableGrid"/>
        <w:tblpPr w:leftFromText="180" w:rightFromText="180" w:vertAnchor="text" w:tblpXSpec="center" w:tblpY="1"/>
        <w:tblOverlap w:val="never"/>
        <w:tblW w:w="0" w:type="auto"/>
        <w:jc w:val="center"/>
        <w:tblCellMar>
          <w:top w:w="284" w:type="dxa"/>
          <w:left w:w="284" w:type="dxa"/>
          <w:bottom w:w="284" w:type="dxa"/>
          <w:right w:w="284" w:type="dxa"/>
        </w:tblCellMar>
        <w:tblLook w:val="04A0" w:firstRow="1" w:lastRow="0" w:firstColumn="1" w:lastColumn="0" w:noHBand="0" w:noVBand="1"/>
      </w:tblPr>
      <w:tblGrid>
        <w:gridCol w:w="8070"/>
      </w:tblGrid>
      <w:tr w:rsidR="00090EF0" w:rsidRPr="006F29F5" w14:paraId="19C9F047" w14:textId="77777777" w:rsidTr="00090EF0">
        <w:trPr>
          <w:jc w:val="center"/>
        </w:trPr>
        <w:tc>
          <w:tcPr>
            <w:tcW w:w="9350" w:type="dxa"/>
          </w:tcPr>
          <w:p w14:paraId="277311B7" w14:textId="0BA86922" w:rsidR="00090EF0" w:rsidRPr="006F29F5" w:rsidRDefault="00090EF0" w:rsidP="00090EF0">
            <w:pPr>
              <w:tabs>
                <w:tab w:val="left" w:pos="6999"/>
              </w:tabs>
              <w:spacing w:before="0"/>
              <w:rPr>
                <w:b/>
                <w:sz w:val="20"/>
              </w:rPr>
            </w:pPr>
            <w:r w:rsidRPr="006F29F5">
              <w:rPr>
                <w:b/>
                <w:sz w:val="20"/>
              </w:rPr>
              <w:t>Further Reading</w:t>
            </w:r>
            <w:r w:rsidRPr="006F29F5">
              <w:rPr>
                <w:b/>
                <w:sz w:val="20"/>
              </w:rPr>
              <w:tab/>
            </w:r>
          </w:p>
          <w:p w14:paraId="065F86FB" w14:textId="047B5CEB" w:rsidR="00090EF0" w:rsidRPr="006F29F5" w:rsidRDefault="00090EF0" w:rsidP="00090EF0">
            <w:pPr>
              <w:spacing w:after="0"/>
              <w:rPr>
                <w:sz w:val="20"/>
              </w:rPr>
            </w:pPr>
            <w:r w:rsidRPr="006F29F5">
              <w:rPr>
                <w:sz w:val="20"/>
              </w:rPr>
              <w:t xml:space="preserve">For a discussion of the potential of FIUs and their ideal use in asset recovery, see </w:t>
            </w:r>
            <w:proofErr w:type="spellStart"/>
            <w:r w:rsidRPr="006F29F5">
              <w:rPr>
                <w:sz w:val="20"/>
              </w:rPr>
              <w:t>Thelesklaf</w:t>
            </w:r>
            <w:proofErr w:type="spellEnd"/>
            <w:r w:rsidRPr="006F29F5">
              <w:rPr>
                <w:sz w:val="20"/>
              </w:rPr>
              <w:t xml:space="preserve"> &amp; </w:t>
            </w:r>
            <w:proofErr w:type="spellStart"/>
            <w:r w:rsidRPr="006F29F5">
              <w:rPr>
                <w:sz w:val="20"/>
              </w:rPr>
              <w:t>Salihodzic</w:t>
            </w:r>
            <w:proofErr w:type="spellEnd"/>
            <w:r w:rsidRPr="006F29F5">
              <w:rPr>
                <w:sz w:val="20"/>
              </w:rPr>
              <w:t xml:space="preserve">, “The Role of Financial Intelligence Units in Fighting Corruption and Asset Recovery” in </w:t>
            </w:r>
            <w:proofErr w:type="spellStart"/>
            <w:r w:rsidRPr="006F29F5">
              <w:rPr>
                <w:sz w:val="20"/>
              </w:rPr>
              <w:t>Zinkernagel</w:t>
            </w:r>
            <w:proofErr w:type="spellEnd"/>
            <w:r w:rsidRPr="006F29F5">
              <w:rPr>
                <w:sz w:val="20"/>
              </w:rPr>
              <w:t xml:space="preserve">, </w:t>
            </w:r>
            <w:proofErr w:type="spellStart"/>
            <w:r w:rsidRPr="006F29F5">
              <w:rPr>
                <w:sz w:val="20"/>
              </w:rPr>
              <w:t>Monteith</w:t>
            </w:r>
            <w:proofErr w:type="spellEnd"/>
            <w:r w:rsidRPr="006F29F5">
              <w:rPr>
                <w:sz w:val="20"/>
              </w:rPr>
              <w:t xml:space="preserve"> &amp; Pereira, </w:t>
            </w:r>
            <w:proofErr w:type="spellStart"/>
            <w:r w:rsidRPr="006F29F5">
              <w:rPr>
                <w:sz w:val="20"/>
              </w:rPr>
              <w:t>eds</w:t>
            </w:r>
            <w:proofErr w:type="spellEnd"/>
            <w:r w:rsidRPr="006F29F5">
              <w:rPr>
                <w:sz w:val="20"/>
              </w:rPr>
              <w:t xml:space="preserve">, </w:t>
            </w:r>
            <w:proofErr w:type="gramStart"/>
            <w:r w:rsidRPr="006F29F5">
              <w:rPr>
                <w:i/>
                <w:sz w:val="20"/>
              </w:rPr>
              <w:t>Emerging</w:t>
            </w:r>
            <w:proofErr w:type="gramEnd"/>
            <w:r w:rsidRPr="006F29F5">
              <w:rPr>
                <w:i/>
                <w:sz w:val="20"/>
              </w:rPr>
              <w:t xml:space="preserve"> Trends in Asset Recovery</w:t>
            </w:r>
            <w:r w:rsidRPr="006F29F5">
              <w:rPr>
                <w:sz w:val="20"/>
              </w:rPr>
              <w:t xml:space="preserve"> (Peter Lang AG, International Academic Publishers, 2013).</w:t>
            </w:r>
          </w:p>
        </w:tc>
      </w:tr>
    </w:tbl>
    <w:p w14:paraId="0A1376B7" w14:textId="0D60428D" w:rsidR="006058ED" w:rsidRPr="006F29F5" w:rsidRDefault="006058ED" w:rsidP="00E508AB">
      <w:pPr>
        <w:pStyle w:val="Heading2"/>
        <w:rPr>
          <w:kern w:val="2"/>
          <w:sz w:val="24"/>
        </w:rPr>
      </w:pPr>
      <w:r w:rsidRPr="006F29F5">
        <w:rPr>
          <w:kern w:val="2"/>
          <w:sz w:val="24"/>
        </w:rPr>
        <w:t>Types of Tools for Asset Recovery</w:t>
      </w:r>
      <w:bookmarkEnd w:id="14"/>
      <w:bookmarkEnd w:id="15"/>
      <w:bookmarkEnd w:id="16"/>
    </w:p>
    <w:p w14:paraId="5AAF278D" w14:textId="6649E3CD" w:rsidR="00AC37A9" w:rsidRPr="006F29F5" w:rsidRDefault="00641C28" w:rsidP="00C81ED8">
      <w:pPr>
        <w:rPr>
          <w:rFonts w:cs="Times New Roman"/>
          <w:kern w:val="2"/>
          <w:sz w:val="20"/>
        </w:rPr>
      </w:pPr>
      <w:r w:rsidRPr="006F29F5">
        <w:rPr>
          <w:rFonts w:cs="Times New Roman"/>
          <w:kern w:val="2"/>
          <w:sz w:val="20"/>
        </w:rPr>
        <w:t>The following sections briefly describe the statutory and private law remedies that can be used for asset recovery</w:t>
      </w:r>
      <w:r w:rsidR="00A434DC" w:rsidRPr="006F29F5">
        <w:rPr>
          <w:rFonts w:cs="Times New Roman"/>
          <w:kern w:val="2"/>
          <w:sz w:val="20"/>
        </w:rPr>
        <w:t>,</w:t>
      </w:r>
      <w:r w:rsidRPr="006F29F5">
        <w:rPr>
          <w:rFonts w:cs="Times New Roman"/>
          <w:kern w:val="2"/>
          <w:sz w:val="20"/>
        </w:rPr>
        <w:t xml:space="preserve"> as well as the ways in which they interact and their limitations. </w:t>
      </w:r>
    </w:p>
    <w:p w14:paraId="74D3C97D" w14:textId="569B81EE" w:rsidR="006058ED" w:rsidRPr="006F29F5" w:rsidRDefault="006058ED" w:rsidP="00E508AB">
      <w:pPr>
        <w:pStyle w:val="Heading3"/>
        <w:rPr>
          <w:kern w:val="2"/>
          <w:sz w:val="22"/>
        </w:rPr>
      </w:pPr>
      <w:bookmarkStart w:id="17" w:name="_Toc420329361"/>
      <w:r w:rsidRPr="006F29F5">
        <w:rPr>
          <w:kern w:val="2"/>
          <w:sz w:val="22"/>
        </w:rPr>
        <w:t>Criminal Forfeiture</w:t>
      </w:r>
      <w:bookmarkEnd w:id="17"/>
    </w:p>
    <w:p w14:paraId="4B19B7AD" w14:textId="5607FF83" w:rsidR="00225980" w:rsidRPr="006F29F5" w:rsidRDefault="00FB007F" w:rsidP="00C81ED8">
      <w:pPr>
        <w:rPr>
          <w:rFonts w:cs="Times New Roman"/>
          <w:kern w:val="2"/>
          <w:sz w:val="20"/>
        </w:rPr>
      </w:pPr>
      <w:r w:rsidRPr="006F29F5">
        <w:rPr>
          <w:rFonts w:cs="Times New Roman"/>
          <w:kern w:val="2"/>
          <w:sz w:val="20"/>
        </w:rPr>
        <w:t>Confiscation (or forfeiture) is a means of redress for authorities seeking to recover stolen assets. Confiscation is an order by which a person is permanently deprived of assets without compensation. As a result, title is acquired by the state. The rationale for confiscating proceeds of corruption is both to compensate victims and to provide deterrence by removing the enjoyment of the illegal gains. Criminal confiscation takes place after a criminal conviction has been made (at trial or by a guilty plea). The forfeiture order follows as part of the sentencing process</w:t>
      </w:r>
      <w:r w:rsidR="00D8163D" w:rsidRPr="006F29F5">
        <w:rPr>
          <w:rFonts w:cs="Times New Roman"/>
          <w:kern w:val="2"/>
          <w:sz w:val="20"/>
        </w:rPr>
        <w:t xml:space="preserve">. Guilt must be proven at trial </w:t>
      </w:r>
      <w:r w:rsidR="00CC1E13" w:rsidRPr="006F29F5">
        <w:rPr>
          <w:rFonts w:cs="Times New Roman"/>
          <w:kern w:val="2"/>
          <w:sz w:val="20"/>
        </w:rPr>
        <w:t>“</w:t>
      </w:r>
      <w:r w:rsidR="00D8163D" w:rsidRPr="006F29F5">
        <w:rPr>
          <w:rFonts w:cs="Times New Roman"/>
          <w:kern w:val="2"/>
          <w:sz w:val="20"/>
        </w:rPr>
        <w:t>beyond a reasonable doubt</w:t>
      </w:r>
      <w:r w:rsidR="00CC1E13" w:rsidRPr="006F29F5">
        <w:rPr>
          <w:rFonts w:cs="Times New Roman"/>
          <w:kern w:val="2"/>
          <w:sz w:val="20"/>
        </w:rPr>
        <w:t>”</w:t>
      </w:r>
      <w:r w:rsidRPr="006F29F5">
        <w:rPr>
          <w:rFonts w:cs="Times New Roman"/>
          <w:kern w:val="2"/>
          <w:sz w:val="20"/>
        </w:rPr>
        <w:t xml:space="preserve"> in common law regimes, or the judge</w:t>
      </w:r>
      <w:r w:rsidR="00D8163D" w:rsidRPr="006F29F5">
        <w:rPr>
          <w:rFonts w:cs="Times New Roman"/>
          <w:kern w:val="2"/>
          <w:sz w:val="20"/>
        </w:rPr>
        <w:t xml:space="preserve"> must be </w:t>
      </w:r>
      <w:r w:rsidR="00CC1E13" w:rsidRPr="006F29F5">
        <w:rPr>
          <w:rFonts w:cs="Times New Roman"/>
          <w:kern w:val="2"/>
          <w:sz w:val="20"/>
        </w:rPr>
        <w:t>“</w:t>
      </w:r>
      <w:r w:rsidR="00D8163D" w:rsidRPr="006F29F5">
        <w:rPr>
          <w:rFonts w:cs="Times New Roman"/>
          <w:kern w:val="2"/>
          <w:sz w:val="20"/>
        </w:rPr>
        <w:t>intimately convinced</w:t>
      </w:r>
      <w:r w:rsidR="00CC1E13" w:rsidRPr="006F29F5">
        <w:rPr>
          <w:rFonts w:cs="Times New Roman"/>
          <w:kern w:val="2"/>
          <w:sz w:val="20"/>
        </w:rPr>
        <w:t>”</w:t>
      </w:r>
      <w:r w:rsidRPr="006F29F5">
        <w:rPr>
          <w:rFonts w:cs="Times New Roman"/>
          <w:kern w:val="2"/>
          <w:sz w:val="20"/>
        </w:rPr>
        <w:t xml:space="preserve"> in civil law regimes. Once a conviction is obtained</w:t>
      </w:r>
      <w:r w:rsidR="0085106A" w:rsidRPr="006F29F5">
        <w:rPr>
          <w:rFonts w:cs="Times New Roman"/>
          <w:kern w:val="2"/>
          <w:sz w:val="20"/>
        </w:rPr>
        <w:t>,</w:t>
      </w:r>
      <w:r w:rsidRPr="006F29F5">
        <w:rPr>
          <w:rFonts w:cs="Times New Roman"/>
          <w:kern w:val="2"/>
          <w:sz w:val="20"/>
        </w:rPr>
        <w:t xml:space="preserve"> the court can order confiscation. In most jurisdictions, the standa</w:t>
      </w:r>
      <w:r w:rsidR="00D8163D" w:rsidRPr="006F29F5">
        <w:rPr>
          <w:rFonts w:cs="Times New Roman"/>
          <w:kern w:val="2"/>
          <w:sz w:val="20"/>
        </w:rPr>
        <w:t>rd of proof for establishing that</w:t>
      </w:r>
      <w:r w:rsidRPr="006F29F5">
        <w:rPr>
          <w:rFonts w:cs="Times New Roman"/>
          <w:kern w:val="2"/>
          <w:sz w:val="20"/>
        </w:rPr>
        <w:t xml:space="preserve"> </w:t>
      </w:r>
      <w:r w:rsidR="00D8163D" w:rsidRPr="006F29F5">
        <w:rPr>
          <w:rFonts w:cs="Times New Roman"/>
          <w:kern w:val="2"/>
          <w:sz w:val="20"/>
        </w:rPr>
        <w:t>certain assets are derived</w:t>
      </w:r>
      <w:r w:rsidRPr="006F29F5">
        <w:rPr>
          <w:rFonts w:cs="Times New Roman"/>
          <w:kern w:val="2"/>
          <w:sz w:val="20"/>
        </w:rPr>
        <w:t xml:space="preserve"> from criminal activities is lowered to a </w:t>
      </w:r>
      <w:r w:rsidR="00CC1E13" w:rsidRPr="006F29F5">
        <w:rPr>
          <w:rFonts w:cs="Times New Roman"/>
          <w:kern w:val="2"/>
          <w:sz w:val="20"/>
        </w:rPr>
        <w:t>“</w:t>
      </w:r>
      <w:r w:rsidRPr="006F29F5">
        <w:rPr>
          <w:rFonts w:cs="Times New Roman"/>
          <w:kern w:val="2"/>
          <w:sz w:val="20"/>
        </w:rPr>
        <w:t>balance of probabilities</w:t>
      </w:r>
      <w:r w:rsidR="0085106A" w:rsidRPr="006F29F5">
        <w:rPr>
          <w:rFonts w:cs="Times New Roman"/>
          <w:kern w:val="2"/>
          <w:sz w:val="20"/>
        </w:rPr>
        <w:t>.</w:t>
      </w:r>
      <w:r w:rsidR="00CC1E13" w:rsidRPr="006F29F5">
        <w:rPr>
          <w:rFonts w:cs="Times New Roman"/>
          <w:kern w:val="2"/>
          <w:sz w:val="20"/>
        </w:rPr>
        <w:t>”</w:t>
      </w:r>
      <w:r w:rsidR="00220AC9" w:rsidRPr="006F29F5">
        <w:rPr>
          <w:rFonts w:cs="Times New Roman"/>
          <w:kern w:val="2"/>
          <w:sz w:val="20"/>
        </w:rPr>
        <w:t xml:space="preserve"> </w:t>
      </w:r>
    </w:p>
    <w:p w14:paraId="1224290E" w14:textId="3B76C620" w:rsidR="006058ED" w:rsidRPr="006F29F5" w:rsidRDefault="006058ED" w:rsidP="00E508AB">
      <w:pPr>
        <w:pStyle w:val="Heading3"/>
        <w:rPr>
          <w:kern w:val="2"/>
          <w:sz w:val="22"/>
        </w:rPr>
      </w:pPr>
      <w:bookmarkStart w:id="18" w:name="_Toc420329362"/>
      <w:r w:rsidRPr="006F29F5">
        <w:rPr>
          <w:kern w:val="2"/>
          <w:sz w:val="22"/>
        </w:rPr>
        <w:t xml:space="preserve">Civil </w:t>
      </w:r>
      <w:r w:rsidR="00B05FD1" w:rsidRPr="006F29F5">
        <w:rPr>
          <w:kern w:val="2"/>
          <w:sz w:val="22"/>
        </w:rPr>
        <w:t xml:space="preserve">(Non-Criminal Based) </w:t>
      </w:r>
      <w:r w:rsidRPr="006F29F5">
        <w:rPr>
          <w:kern w:val="2"/>
          <w:sz w:val="22"/>
        </w:rPr>
        <w:t>Forfeiture</w:t>
      </w:r>
      <w:bookmarkEnd w:id="18"/>
    </w:p>
    <w:p w14:paraId="1C21839E" w14:textId="75D1007C" w:rsidR="0057274B" w:rsidRPr="006F29F5" w:rsidRDefault="001E47C7" w:rsidP="00C81ED8">
      <w:pPr>
        <w:rPr>
          <w:rFonts w:cs="Times New Roman"/>
          <w:kern w:val="2"/>
          <w:sz w:val="20"/>
        </w:rPr>
      </w:pPr>
      <w:r w:rsidRPr="006F29F5">
        <w:rPr>
          <w:rFonts w:cs="Times New Roman"/>
          <w:kern w:val="2"/>
          <w:sz w:val="20"/>
        </w:rPr>
        <w:t>Another</w:t>
      </w:r>
      <w:r w:rsidR="00FB007F" w:rsidRPr="006F29F5">
        <w:rPr>
          <w:rFonts w:cs="Times New Roman"/>
          <w:kern w:val="2"/>
          <w:sz w:val="20"/>
        </w:rPr>
        <w:t xml:space="preserve"> form of forfeiture is non-conviction based (NCB) forfeiture. Criminal forfeiture and NCB forfeiture share the same objective</w:t>
      </w:r>
      <w:r w:rsidR="005A69C6" w:rsidRPr="006F29F5">
        <w:rPr>
          <w:rFonts w:cs="Times New Roman"/>
          <w:kern w:val="2"/>
          <w:sz w:val="20"/>
        </w:rPr>
        <w:t>,</w:t>
      </w:r>
      <w:r w:rsidR="00FB007F" w:rsidRPr="006F29F5">
        <w:rPr>
          <w:rFonts w:cs="Times New Roman"/>
          <w:kern w:val="2"/>
          <w:sz w:val="20"/>
        </w:rPr>
        <w:t xml:space="preserve"> but their procedures are different. Criminal confiscation </w:t>
      </w:r>
      <w:r w:rsidR="00497428" w:rsidRPr="006F29F5">
        <w:rPr>
          <w:rFonts w:cs="Times New Roman"/>
          <w:kern w:val="2"/>
          <w:sz w:val="20"/>
        </w:rPr>
        <w:t>can only occur after</w:t>
      </w:r>
      <w:r w:rsidR="00FB007F" w:rsidRPr="006F29F5">
        <w:rPr>
          <w:rFonts w:cs="Times New Roman"/>
          <w:kern w:val="2"/>
          <w:sz w:val="20"/>
        </w:rPr>
        <w:t xml:space="preserve"> a criminal conviction. NCB forfeiture, on the other hand, can operate separate</w:t>
      </w:r>
      <w:r w:rsidR="00D8163D" w:rsidRPr="006F29F5">
        <w:rPr>
          <w:rFonts w:cs="Times New Roman"/>
          <w:kern w:val="2"/>
          <w:sz w:val="20"/>
        </w:rPr>
        <w:t>ly</w:t>
      </w:r>
      <w:r w:rsidR="00FB007F" w:rsidRPr="006F29F5">
        <w:rPr>
          <w:rFonts w:cs="Times New Roman"/>
          <w:kern w:val="2"/>
          <w:sz w:val="20"/>
        </w:rPr>
        <w:t xml:space="preserve"> from the criminal justic</w:t>
      </w:r>
      <w:r w:rsidR="00D8163D" w:rsidRPr="006F29F5">
        <w:rPr>
          <w:rFonts w:cs="Times New Roman"/>
          <w:kern w:val="2"/>
          <w:sz w:val="20"/>
        </w:rPr>
        <w:t>e system or alongside it, and</w:t>
      </w:r>
      <w:r w:rsidR="00FB007F" w:rsidRPr="006F29F5">
        <w:rPr>
          <w:rFonts w:cs="Times New Roman"/>
          <w:kern w:val="2"/>
          <w:sz w:val="20"/>
        </w:rPr>
        <w:t xml:space="preserve"> </w:t>
      </w:r>
      <w:r w:rsidR="00D8163D" w:rsidRPr="006F29F5">
        <w:rPr>
          <w:rFonts w:cs="Times New Roman"/>
          <w:kern w:val="2"/>
          <w:sz w:val="20"/>
        </w:rPr>
        <w:t xml:space="preserve">it </w:t>
      </w:r>
      <w:r w:rsidR="00FB007F" w:rsidRPr="006F29F5">
        <w:rPr>
          <w:rFonts w:cs="Times New Roman"/>
          <w:kern w:val="2"/>
          <w:sz w:val="20"/>
        </w:rPr>
        <w:t>allows for the restraint, seizure and forfeiture of s</w:t>
      </w:r>
      <w:r w:rsidR="00D8163D" w:rsidRPr="006F29F5">
        <w:rPr>
          <w:rFonts w:cs="Times New Roman"/>
          <w:kern w:val="2"/>
          <w:sz w:val="20"/>
        </w:rPr>
        <w:t>tolen assets without</w:t>
      </w:r>
      <w:r w:rsidR="00FB007F" w:rsidRPr="006F29F5">
        <w:rPr>
          <w:rFonts w:cs="Times New Roman"/>
          <w:kern w:val="2"/>
          <w:sz w:val="20"/>
        </w:rPr>
        <w:t xml:space="preserve"> a finding of guilt in the criminal context. NCB forfeiture only requires a finding </w:t>
      </w:r>
      <w:r w:rsidR="00D8163D" w:rsidRPr="006F29F5">
        <w:rPr>
          <w:rFonts w:cs="Times New Roman"/>
          <w:kern w:val="2"/>
          <w:sz w:val="20"/>
        </w:rPr>
        <w:t xml:space="preserve">that the property is tainted, </w:t>
      </w:r>
      <w:r w:rsidR="00FB007F" w:rsidRPr="006F29F5">
        <w:rPr>
          <w:rFonts w:cs="Times New Roman"/>
          <w:kern w:val="2"/>
          <w:sz w:val="20"/>
        </w:rPr>
        <w:t xml:space="preserve">either </w:t>
      </w:r>
      <w:r w:rsidR="00D8163D" w:rsidRPr="006F29F5">
        <w:rPr>
          <w:rFonts w:cs="Times New Roman"/>
          <w:kern w:val="2"/>
          <w:sz w:val="20"/>
        </w:rPr>
        <w:t xml:space="preserve">as the </w:t>
      </w:r>
      <w:r w:rsidR="00FB007F" w:rsidRPr="006F29F5">
        <w:rPr>
          <w:rFonts w:cs="Times New Roman"/>
          <w:kern w:val="2"/>
          <w:sz w:val="20"/>
        </w:rPr>
        <w:t xml:space="preserve">proceeds of a crime or </w:t>
      </w:r>
      <w:r w:rsidR="00D8163D" w:rsidRPr="006F29F5">
        <w:rPr>
          <w:rFonts w:cs="Times New Roman"/>
          <w:kern w:val="2"/>
          <w:sz w:val="20"/>
        </w:rPr>
        <w:t xml:space="preserve">as </w:t>
      </w:r>
      <w:r w:rsidR="00FB007F" w:rsidRPr="006F29F5">
        <w:rPr>
          <w:rFonts w:cs="Times New Roman"/>
          <w:kern w:val="2"/>
          <w:sz w:val="20"/>
        </w:rPr>
        <w:t xml:space="preserve">an instrument of criminal activity. </w:t>
      </w:r>
    </w:p>
    <w:p w14:paraId="58CC746E" w14:textId="5EAC542F" w:rsidR="00FB007F" w:rsidRPr="006F29F5" w:rsidRDefault="0057274B" w:rsidP="009403A8">
      <w:pPr>
        <w:rPr>
          <w:rFonts w:cs="Times New Roman"/>
          <w:kern w:val="2"/>
          <w:sz w:val="20"/>
        </w:rPr>
      </w:pPr>
      <w:r w:rsidRPr="006F29F5">
        <w:rPr>
          <w:rFonts w:cs="Times New Roman"/>
          <w:kern w:val="2"/>
          <w:sz w:val="20"/>
        </w:rPr>
        <w:t>NCB forfeiture is an action against the asset itself (e.g.</w:t>
      </w:r>
      <w:r w:rsidR="00AC324C" w:rsidRPr="006F29F5">
        <w:rPr>
          <w:rFonts w:cs="Times New Roman"/>
          <w:kern w:val="2"/>
          <w:sz w:val="20"/>
        </w:rPr>
        <w:t>,</w:t>
      </w:r>
      <w:r w:rsidRPr="006F29F5">
        <w:rPr>
          <w:rFonts w:cs="Times New Roman"/>
          <w:kern w:val="2"/>
          <w:sz w:val="20"/>
        </w:rPr>
        <w:t xml:space="preserve"> money, property, etc.), not the person. After an NCB forfeiture order, the defendant forfeits the thing itself subject to any innocent owners. </w:t>
      </w:r>
      <w:r w:rsidR="00FB007F" w:rsidRPr="006F29F5">
        <w:rPr>
          <w:rFonts w:cs="Times New Roman"/>
          <w:kern w:val="2"/>
          <w:sz w:val="20"/>
        </w:rPr>
        <w:t>T</w:t>
      </w:r>
      <w:r w:rsidR="00CF780C" w:rsidRPr="006F29F5">
        <w:rPr>
          <w:rFonts w:cs="Times New Roman"/>
          <w:kern w:val="2"/>
          <w:sz w:val="20"/>
        </w:rPr>
        <w:t>here are generally three</w:t>
      </w:r>
      <w:r w:rsidR="00D8163D" w:rsidRPr="006F29F5">
        <w:rPr>
          <w:rFonts w:cs="Times New Roman"/>
          <w:kern w:val="2"/>
          <w:sz w:val="20"/>
        </w:rPr>
        <w:t xml:space="preserve"> ways NCB forfeiture is available. First, it can form</w:t>
      </w:r>
      <w:r w:rsidR="00CF780C" w:rsidRPr="006F29F5">
        <w:rPr>
          <w:rFonts w:cs="Times New Roman"/>
          <w:kern w:val="2"/>
          <w:sz w:val="20"/>
        </w:rPr>
        <w:t xml:space="preserve"> part</w:t>
      </w:r>
      <w:r w:rsidR="00FB007F" w:rsidRPr="006F29F5">
        <w:rPr>
          <w:rFonts w:cs="Times New Roman"/>
          <w:kern w:val="2"/>
          <w:sz w:val="20"/>
        </w:rPr>
        <w:t xml:space="preserve"> of criminal proceedings </w:t>
      </w:r>
      <w:r w:rsidR="00213793" w:rsidRPr="006F29F5">
        <w:rPr>
          <w:rFonts w:cs="Times New Roman"/>
          <w:kern w:val="2"/>
          <w:sz w:val="20"/>
        </w:rPr>
        <w:t xml:space="preserve">without </w:t>
      </w:r>
      <w:r w:rsidR="00FB007F" w:rsidRPr="006F29F5">
        <w:rPr>
          <w:rFonts w:cs="Times New Roman"/>
          <w:kern w:val="2"/>
          <w:sz w:val="20"/>
        </w:rPr>
        <w:t>requiring a final conviction or fi</w:t>
      </w:r>
      <w:r w:rsidR="00CF780C" w:rsidRPr="006F29F5">
        <w:rPr>
          <w:rFonts w:cs="Times New Roman"/>
          <w:kern w:val="2"/>
          <w:sz w:val="20"/>
        </w:rPr>
        <w:t>nding of guilt. In this regard,</w:t>
      </w:r>
      <w:r w:rsidR="00FB007F" w:rsidRPr="006F29F5">
        <w:rPr>
          <w:rFonts w:cs="Times New Roman"/>
          <w:kern w:val="2"/>
          <w:sz w:val="20"/>
        </w:rPr>
        <w:t xml:space="preserve"> NCB confiscat</w:t>
      </w:r>
      <w:r w:rsidR="00CF780C" w:rsidRPr="006F29F5">
        <w:rPr>
          <w:rFonts w:cs="Times New Roman"/>
          <w:kern w:val="2"/>
          <w:sz w:val="20"/>
        </w:rPr>
        <w:t xml:space="preserve">ion tools are incorporated into criminal legislation. The second method </w:t>
      </w:r>
      <w:r w:rsidR="00FB007F" w:rsidRPr="006F29F5">
        <w:rPr>
          <w:rFonts w:cs="Times New Roman"/>
          <w:kern w:val="2"/>
          <w:sz w:val="20"/>
        </w:rPr>
        <w:t xml:space="preserve">is through a separate proceeding normally governed by the rules of civil procedure and can occur independently or parallel to criminal proceedings. The final method is administrative confiscation, which can occur in some jurisdictions and does not require a judicial determination. </w:t>
      </w:r>
    </w:p>
    <w:p w14:paraId="515B7283" w14:textId="49778014" w:rsidR="0057274B" w:rsidRPr="006F29F5" w:rsidRDefault="0057274B" w:rsidP="00C81ED8">
      <w:pPr>
        <w:rPr>
          <w:rFonts w:cs="Times New Roman"/>
          <w:kern w:val="2"/>
          <w:sz w:val="20"/>
        </w:rPr>
      </w:pPr>
      <w:r w:rsidRPr="006F29F5">
        <w:rPr>
          <w:rFonts w:cs="Times New Roman"/>
          <w:kern w:val="2"/>
          <w:sz w:val="20"/>
        </w:rPr>
        <w:t>An acquittal from criminal charges does not bar NCB forfeiture proceedings.</w:t>
      </w:r>
      <w:r w:rsidRPr="006F29F5">
        <w:rPr>
          <w:rStyle w:val="FootnoteReference"/>
          <w:rFonts w:cs="Times New Roman"/>
          <w:kern w:val="2"/>
          <w:sz w:val="20"/>
        </w:rPr>
        <w:footnoteReference w:id="29"/>
      </w:r>
      <w:r w:rsidRPr="006F29F5">
        <w:rPr>
          <w:rFonts w:cs="Times New Roman"/>
          <w:kern w:val="2"/>
          <w:sz w:val="20"/>
        </w:rPr>
        <w:t xml:space="preserve"> Article 54 of UNCAC requires all State Parties to consider forfeiting the proceeds of crime without a conviction. It also obliges State Parties to enable domestic authorities to recognize and act on an order of confiscation issued by a court of another State Party. This is broadly worded and could include NCB forfeiture orders. Further, it obliges State Parties to permit competent authorities to order the confiscation of property of foreign origin acquired through Convention offences. Again, this is broadly worded and could include NCB forfeiture orders. However, many jurisdictions have yet to put in place procedures allowing NCB forfeiture.</w:t>
      </w:r>
    </w:p>
    <w:p w14:paraId="4B6B5F04" w14:textId="48F09823" w:rsidR="00FB007F" w:rsidRPr="006F29F5" w:rsidRDefault="0057274B" w:rsidP="009403A8">
      <w:pPr>
        <w:rPr>
          <w:rFonts w:cs="Times New Roman"/>
          <w:kern w:val="2"/>
          <w:sz w:val="20"/>
        </w:rPr>
      </w:pPr>
      <w:r w:rsidRPr="006F29F5">
        <w:rPr>
          <w:rFonts w:cs="Times New Roman"/>
          <w:kern w:val="2"/>
          <w:sz w:val="20"/>
        </w:rPr>
        <w:t xml:space="preserve">NCB forfeiture </w:t>
      </w:r>
      <w:r w:rsidR="00FB007F" w:rsidRPr="006F29F5">
        <w:rPr>
          <w:rFonts w:cs="Times New Roman"/>
          <w:kern w:val="2"/>
          <w:sz w:val="20"/>
        </w:rPr>
        <w:t>is particularly important for asset recovery in circumstances when there is a lack of evidence to support a criminal conviction (beyond a reasonable doubt)</w:t>
      </w:r>
      <w:r w:rsidR="005B13C8" w:rsidRPr="006F29F5">
        <w:rPr>
          <w:rFonts w:cs="Times New Roman"/>
          <w:kern w:val="2"/>
          <w:sz w:val="20"/>
        </w:rPr>
        <w:t>.</w:t>
      </w:r>
      <w:r w:rsidR="00FB007F" w:rsidRPr="006F29F5">
        <w:rPr>
          <w:rFonts w:cs="Times New Roman"/>
          <w:kern w:val="2"/>
          <w:sz w:val="20"/>
        </w:rPr>
        <w:t xml:space="preserve"> </w:t>
      </w:r>
      <w:r w:rsidR="005B13C8" w:rsidRPr="006F29F5">
        <w:rPr>
          <w:rFonts w:cs="Times New Roman"/>
          <w:kern w:val="2"/>
          <w:sz w:val="20"/>
        </w:rPr>
        <w:t xml:space="preserve">For example, </w:t>
      </w:r>
      <w:r w:rsidR="00FB007F" w:rsidRPr="006F29F5">
        <w:rPr>
          <w:rFonts w:cs="Times New Roman"/>
          <w:kern w:val="2"/>
          <w:sz w:val="20"/>
        </w:rPr>
        <w:t>when the offender is dead (bringing to an end criminal proceedings), has fled the jurisdiction, is immune from prosecution, is unknown, or the property is held by a third party who is aware (or wilfully blind) that the property is tainted. For these reasons, the Stolen Asset Recovery (</w:t>
      </w:r>
      <w:proofErr w:type="spellStart"/>
      <w:r w:rsidR="00FB007F" w:rsidRPr="006F29F5">
        <w:rPr>
          <w:rFonts w:cs="Times New Roman"/>
          <w:kern w:val="2"/>
          <w:sz w:val="20"/>
        </w:rPr>
        <w:t>StAR</w:t>
      </w:r>
      <w:proofErr w:type="spellEnd"/>
      <w:r w:rsidR="00FB007F" w:rsidRPr="006F29F5">
        <w:rPr>
          <w:rFonts w:cs="Times New Roman"/>
          <w:kern w:val="2"/>
          <w:sz w:val="20"/>
        </w:rPr>
        <w:t xml:space="preserve">) Initiative </w:t>
      </w:r>
      <w:r w:rsidR="009C7E1F" w:rsidRPr="006F29F5">
        <w:rPr>
          <w:rFonts w:cs="Times New Roman"/>
          <w:kern w:val="2"/>
          <w:sz w:val="20"/>
        </w:rPr>
        <w:t>views NCB</w:t>
      </w:r>
      <w:r w:rsidR="00FB007F" w:rsidRPr="006F29F5">
        <w:rPr>
          <w:rFonts w:cs="Times New Roman"/>
          <w:kern w:val="2"/>
          <w:sz w:val="20"/>
        </w:rPr>
        <w:t xml:space="preserve"> forfeiture as a </w:t>
      </w:r>
      <w:r w:rsidR="00CC1E13" w:rsidRPr="006F29F5">
        <w:rPr>
          <w:rFonts w:cs="Times New Roman"/>
          <w:kern w:val="2"/>
          <w:sz w:val="20"/>
        </w:rPr>
        <w:t>“</w:t>
      </w:r>
      <w:r w:rsidR="00FB007F" w:rsidRPr="006F29F5">
        <w:rPr>
          <w:rFonts w:cs="Times New Roman"/>
          <w:kern w:val="2"/>
          <w:sz w:val="20"/>
        </w:rPr>
        <w:t>critical tool for recovering the proceeds and instrumentalities of corruption</w:t>
      </w:r>
      <w:r w:rsidR="0085106A" w:rsidRPr="006F29F5">
        <w:rPr>
          <w:rFonts w:cs="Times New Roman"/>
          <w:kern w:val="2"/>
          <w:sz w:val="20"/>
        </w:rPr>
        <w:t>.</w:t>
      </w:r>
      <w:r w:rsidR="00CC1E13" w:rsidRPr="006F29F5">
        <w:rPr>
          <w:rFonts w:cs="Times New Roman"/>
          <w:kern w:val="2"/>
          <w:sz w:val="20"/>
        </w:rPr>
        <w:t>”</w:t>
      </w:r>
    </w:p>
    <w:p w14:paraId="4C6EE20E" w14:textId="5317E7ED" w:rsidR="00FB007F" w:rsidRPr="006F29F5" w:rsidRDefault="00FB007F" w:rsidP="00C81ED8">
      <w:pPr>
        <w:rPr>
          <w:rFonts w:cs="Times New Roman"/>
          <w:kern w:val="2"/>
          <w:sz w:val="20"/>
        </w:rPr>
      </w:pPr>
      <w:r w:rsidRPr="006F29F5">
        <w:rPr>
          <w:rFonts w:cs="Times New Roman"/>
          <w:kern w:val="2"/>
          <w:sz w:val="20"/>
        </w:rPr>
        <w:t>Confiscation can be either property-base</w:t>
      </w:r>
      <w:r w:rsidR="00D773B5" w:rsidRPr="006F29F5">
        <w:rPr>
          <w:rFonts w:cs="Times New Roman"/>
          <w:kern w:val="2"/>
          <w:sz w:val="20"/>
        </w:rPr>
        <w:t>d</w:t>
      </w:r>
      <w:r w:rsidRPr="006F29F5">
        <w:rPr>
          <w:rFonts w:cs="Times New Roman"/>
          <w:kern w:val="2"/>
          <w:sz w:val="20"/>
        </w:rPr>
        <w:t xml:space="preserve"> or value-based. In a property-based order, assets linked to illicit activities are specifically targeted for confiscation. In a value-based order, a monetary amount is</w:t>
      </w:r>
      <w:r w:rsidR="008A62AE" w:rsidRPr="006F29F5">
        <w:rPr>
          <w:rFonts w:cs="Times New Roman"/>
          <w:kern w:val="2"/>
          <w:sz w:val="20"/>
        </w:rPr>
        <w:t xml:space="preserve"> </w:t>
      </w:r>
      <w:r w:rsidRPr="006F29F5">
        <w:rPr>
          <w:rFonts w:cs="Times New Roman"/>
          <w:kern w:val="2"/>
          <w:sz w:val="20"/>
        </w:rPr>
        <w:t>calculated based on the value of the benefit, advantages</w:t>
      </w:r>
      <w:r w:rsidR="005B13C8" w:rsidRPr="006F29F5">
        <w:rPr>
          <w:rFonts w:cs="Times New Roman"/>
          <w:kern w:val="2"/>
          <w:sz w:val="20"/>
        </w:rPr>
        <w:t>,</w:t>
      </w:r>
      <w:r w:rsidRPr="006F29F5">
        <w:rPr>
          <w:rFonts w:cs="Times New Roman"/>
          <w:kern w:val="2"/>
          <w:sz w:val="20"/>
        </w:rPr>
        <w:t xml:space="preserve"> and profits a person gained from illicit activities.</w:t>
      </w:r>
    </w:p>
    <w:p w14:paraId="6D632BAA" w14:textId="1C4DBBF6" w:rsidR="00FB007F" w:rsidRPr="006F29F5" w:rsidRDefault="00FB007F" w:rsidP="00C81ED8">
      <w:pPr>
        <w:rPr>
          <w:rFonts w:cs="Times New Roman"/>
          <w:kern w:val="2"/>
          <w:sz w:val="20"/>
        </w:rPr>
      </w:pPr>
      <w:r w:rsidRPr="006F29F5">
        <w:rPr>
          <w:rFonts w:cs="Times New Roman"/>
          <w:kern w:val="2"/>
          <w:sz w:val="20"/>
        </w:rPr>
        <w:t xml:space="preserve">Criminal proceedings and NCB forfeiture operate together to achieve the best results. </w:t>
      </w:r>
      <w:r w:rsidR="00226E4C" w:rsidRPr="006F29F5">
        <w:rPr>
          <w:rFonts w:cs="Times New Roman"/>
          <w:kern w:val="2"/>
          <w:sz w:val="20"/>
        </w:rPr>
        <w:t>B</w:t>
      </w:r>
      <w:r w:rsidRPr="006F29F5">
        <w:rPr>
          <w:rFonts w:cs="Times New Roman"/>
          <w:kern w:val="2"/>
          <w:sz w:val="20"/>
        </w:rPr>
        <w:t>oth procedures can occur without violating double jeopardy because NCB forfeiture is not considered a punishment or a criminal proceeding</w:t>
      </w:r>
      <w:r w:rsidR="0057274B" w:rsidRPr="006F29F5">
        <w:rPr>
          <w:rFonts w:cs="Times New Roman"/>
          <w:kern w:val="2"/>
          <w:sz w:val="20"/>
        </w:rPr>
        <w:t>.</w:t>
      </w:r>
      <w:r w:rsidR="0057274B" w:rsidRPr="006F29F5">
        <w:rPr>
          <w:rStyle w:val="FootnoteReference"/>
          <w:rFonts w:cs="Times New Roman"/>
          <w:kern w:val="2"/>
          <w:sz w:val="20"/>
        </w:rPr>
        <w:footnoteReference w:id="30"/>
      </w:r>
      <w:r w:rsidRPr="006F29F5">
        <w:rPr>
          <w:rFonts w:cs="Times New Roman"/>
          <w:kern w:val="2"/>
          <w:sz w:val="20"/>
        </w:rPr>
        <w:t xml:space="preserve"> In both methods, it must be established that the targeted assets derived directly or indirectly from the commission of the crime. Tracing assets can be extremely difficult as they can quickly change form, location and ownership, and complicated legal vehicles are used to hide assets abroad. Fortunately, </w:t>
      </w:r>
      <w:r w:rsidR="00CC1E13" w:rsidRPr="006F29F5">
        <w:rPr>
          <w:rFonts w:cs="Times New Roman"/>
          <w:kern w:val="2"/>
          <w:sz w:val="20"/>
        </w:rPr>
        <w:t>“</w:t>
      </w:r>
      <w:r w:rsidRPr="006F29F5">
        <w:rPr>
          <w:rFonts w:cs="Times New Roman"/>
          <w:kern w:val="2"/>
          <w:sz w:val="20"/>
        </w:rPr>
        <w:t>know-your-customer</w:t>
      </w:r>
      <w:r w:rsidR="00CC1E13" w:rsidRPr="006F29F5">
        <w:rPr>
          <w:rFonts w:cs="Times New Roman"/>
          <w:kern w:val="2"/>
          <w:sz w:val="20"/>
        </w:rPr>
        <w:t>”</w:t>
      </w:r>
      <w:r w:rsidRPr="006F29F5">
        <w:rPr>
          <w:rFonts w:cs="Times New Roman"/>
          <w:kern w:val="2"/>
          <w:sz w:val="20"/>
        </w:rPr>
        <w:t xml:space="preserve"> pol</w:t>
      </w:r>
      <w:r w:rsidR="005741D4" w:rsidRPr="006F29F5">
        <w:rPr>
          <w:rFonts w:cs="Times New Roman"/>
          <w:kern w:val="2"/>
          <w:sz w:val="20"/>
        </w:rPr>
        <w:t>icies and procedures imposed by</w:t>
      </w:r>
      <w:r w:rsidRPr="006F29F5">
        <w:rPr>
          <w:rFonts w:cs="Times New Roman"/>
          <w:kern w:val="2"/>
          <w:sz w:val="20"/>
        </w:rPr>
        <w:t xml:space="preserve"> international treaties can assist in the asset tracing proce</w:t>
      </w:r>
      <w:r w:rsidR="005A3A22" w:rsidRPr="006F29F5">
        <w:rPr>
          <w:rFonts w:cs="Times New Roman"/>
          <w:kern w:val="2"/>
          <w:sz w:val="20"/>
        </w:rPr>
        <w:t xml:space="preserve">ss. </w:t>
      </w:r>
      <w:r w:rsidRPr="006F29F5">
        <w:rPr>
          <w:rFonts w:cs="Times New Roman"/>
          <w:kern w:val="2"/>
          <w:sz w:val="20"/>
        </w:rPr>
        <w:t>Further</w:t>
      </w:r>
      <w:r w:rsidR="00155C69" w:rsidRPr="006F29F5">
        <w:rPr>
          <w:rFonts w:cs="Times New Roman"/>
          <w:kern w:val="2"/>
          <w:sz w:val="20"/>
        </w:rPr>
        <w:t xml:space="preserve">, </w:t>
      </w:r>
      <w:r w:rsidR="00370B47" w:rsidRPr="006F29F5">
        <w:rPr>
          <w:rFonts w:cs="Times New Roman"/>
          <w:kern w:val="2"/>
          <w:sz w:val="20"/>
        </w:rPr>
        <w:t>FIU</w:t>
      </w:r>
      <w:r w:rsidR="00155C69" w:rsidRPr="006F29F5">
        <w:rPr>
          <w:rFonts w:cs="Times New Roman"/>
          <w:kern w:val="2"/>
          <w:sz w:val="20"/>
        </w:rPr>
        <w:t xml:space="preserve">s </w:t>
      </w:r>
      <w:r w:rsidRPr="006F29F5">
        <w:rPr>
          <w:rFonts w:cs="Times New Roman"/>
          <w:kern w:val="2"/>
          <w:sz w:val="20"/>
        </w:rPr>
        <w:t xml:space="preserve">can also provide helpful information in </w:t>
      </w:r>
      <w:r w:rsidR="0057274B" w:rsidRPr="006F29F5">
        <w:rPr>
          <w:rFonts w:cs="Times New Roman"/>
          <w:kern w:val="2"/>
          <w:sz w:val="20"/>
        </w:rPr>
        <w:t>an</w:t>
      </w:r>
      <w:r w:rsidRPr="006F29F5">
        <w:rPr>
          <w:rFonts w:cs="Times New Roman"/>
          <w:kern w:val="2"/>
          <w:sz w:val="20"/>
        </w:rPr>
        <w:t xml:space="preserve"> asset tracing investigation. </w:t>
      </w:r>
    </w:p>
    <w:p w14:paraId="462D27CF" w14:textId="4460F015" w:rsidR="005D6AE6" w:rsidRPr="006F29F5" w:rsidRDefault="005D6AE6" w:rsidP="00C81ED8">
      <w:pPr>
        <w:rPr>
          <w:rFonts w:cs="Times New Roman"/>
          <w:kern w:val="2"/>
          <w:sz w:val="20"/>
        </w:rPr>
      </w:pPr>
      <w:r w:rsidRPr="006F29F5">
        <w:rPr>
          <w:rFonts w:cs="Times New Roman"/>
          <w:kern w:val="2"/>
          <w:sz w:val="20"/>
        </w:rPr>
        <w:t>For both criminal and NCB forfeiture, confiscated proceeds go to the prosecuting state treasury, unless compensation for victims is ordered as well.</w:t>
      </w:r>
      <w:r w:rsidRPr="006F29F5">
        <w:rPr>
          <w:rStyle w:val="FootnoteReference"/>
          <w:rFonts w:cs="Times New Roman"/>
          <w:kern w:val="2"/>
          <w:sz w:val="20"/>
        </w:rPr>
        <w:footnoteReference w:id="31"/>
      </w:r>
    </w:p>
    <w:p w14:paraId="6BB2D737" w14:textId="2689DE26" w:rsidR="00226E4C" w:rsidRPr="006F29F5" w:rsidRDefault="00226E4C" w:rsidP="00C81ED8">
      <w:pPr>
        <w:rPr>
          <w:rFonts w:cs="Times New Roman"/>
          <w:i/>
          <w:kern w:val="2"/>
          <w:sz w:val="20"/>
        </w:rPr>
      </w:pPr>
      <w:r w:rsidRPr="006F29F5">
        <w:rPr>
          <w:rFonts w:cs="Times New Roman"/>
          <w:kern w:val="2"/>
          <w:sz w:val="20"/>
        </w:rPr>
        <w:t>For non-conviction based forfeiture statu</w:t>
      </w:r>
      <w:r w:rsidR="00B05FD1" w:rsidRPr="006F29F5">
        <w:rPr>
          <w:rFonts w:cs="Times New Roman"/>
          <w:kern w:val="2"/>
          <w:sz w:val="20"/>
        </w:rPr>
        <w:t>t</w:t>
      </w:r>
      <w:r w:rsidRPr="006F29F5">
        <w:rPr>
          <w:rFonts w:cs="Times New Roman"/>
          <w:kern w:val="2"/>
          <w:sz w:val="20"/>
        </w:rPr>
        <w:t xml:space="preserve">es in Canada, see provincial statutes such as the </w:t>
      </w:r>
      <w:r w:rsidRPr="006F29F5">
        <w:rPr>
          <w:rFonts w:cs="Times New Roman"/>
          <w:i/>
          <w:kern w:val="2"/>
          <w:sz w:val="20"/>
        </w:rPr>
        <w:t>Civil Forfeiture Act</w:t>
      </w:r>
      <w:r w:rsidR="0085106A" w:rsidRPr="006F29F5">
        <w:rPr>
          <w:rFonts w:cs="Times New Roman"/>
          <w:kern w:val="2"/>
          <w:sz w:val="20"/>
        </w:rPr>
        <w:t>, SBC 2005, c</w:t>
      </w:r>
      <w:r w:rsidRPr="006F29F5">
        <w:rPr>
          <w:rFonts w:cs="Times New Roman"/>
          <w:kern w:val="2"/>
          <w:sz w:val="20"/>
        </w:rPr>
        <w:t xml:space="preserve"> 29 and</w:t>
      </w:r>
      <w:r w:rsidRPr="006F29F5">
        <w:rPr>
          <w:rFonts w:cs="Times New Roman"/>
          <w:i/>
          <w:kern w:val="2"/>
          <w:sz w:val="20"/>
        </w:rPr>
        <w:t xml:space="preserve"> Remedies for Organized Crime and Other Unlawful Activities Act, 2001</w:t>
      </w:r>
      <w:r w:rsidR="0085106A" w:rsidRPr="006F29F5">
        <w:rPr>
          <w:rFonts w:cs="Times New Roman"/>
          <w:kern w:val="2"/>
          <w:sz w:val="20"/>
        </w:rPr>
        <w:t>, SO</w:t>
      </w:r>
      <w:r w:rsidRPr="006F29F5">
        <w:rPr>
          <w:rFonts w:cs="Times New Roman"/>
          <w:kern w:val="2"/>
          <w:sz w:val="20"/>
        </w:rPr>
        <w:t xml:space="preserve"> 2001, c 28.</w:t>
      </w:r>
      <w:r w:rsidRPr="006F29F5">
        <w:rPr>
          <w:rFonts w:cs="Times New Roman"/>
          <w:i/>
          <w:kern w:val="2"/>
          <w:sz w:val="20"/>
        </w:rPr>
        <w:t xml:space="preserve"> </w:t>
      </w:r>
    </w:p>
    <w:p w14:paraId="244832FC" w14:textId="5DB65803" w:rsidR="00650469" w:rsidRPr="006F29F5" w:rsidRDefault="00650469" w:rsidP="00E508AB">
      <w:pPr>
        <w:pStyle w:val="Heading3"/>
        <w:rPr>
          <w:kern w:val="2"/>
          <w:sz w:val="22"/>
        </w:rPr>
      </w:pPr>
      <w:bookmarkStart w:id="19" w:name="_Toc420329363"/>
      <w:r w:rsidRPr="006F29F5">
        <w:rPr>
          <w:kern w:val="2"/>
          <w:sz w:val="22"/>
        </w:rPr>
        <w:t>Administrative Freezing and Confiscation Measures</w:t>
      </w:r>
    </w:p>
    <w:p w14:paraId="76EE86CE" w14:textId="0B71A8C2" w:rsidR="00650469" w:rsidRPr="006F29F5" w:rsidRDefault="00650469" w:rsidP="00AC6744">
      <w:pPr>
        <w:rPr>
          <w:kern w:val="2"/>
          <w:sz w:val="20"/>
        </w:rPr>
      </w:pPr>
      <w:r w:rsidRPr="006F29F5">
        <w:rPr>
          <w:kern w:val="2"/>
          <w:sz w:val="20"/>
        </w:rPr>
        <w:t xml:space="preserve">Administrative orders to freeze or confiscate assets are issued by a government rather than the judiciary and can bypass mutual legal assistance requests from foreign countries in cases of urgency. For example, after the Arab Spring, administrative measures were implemented to facilitate the rapid freezing of assets of corrupt former leaders in the Arab world. Canada, the US, Switzerland and the EU introduced legislation </w:t>
      </w:r>
      <w:r w:rsidR="00581867" w:rsidRPr="006F29F5">
        <w:rPr>
          <w:kern w:val="2"/>
          <w:sz w:val="20"/>
        </w:rPr>
        <w:t>allowing their governments to order financial institutions to freeze assets</w:t>
      </w:r>
      <w:r w:rsidRPr="006F29F5">
        <w:rPr>
          <w:kern w:val="2"/>
          <w:sz w:val="20"/>
        </w:rPr>
        <w:t xml:space="preserve"> without a judicial order or mutual legal assistance request from the corrupt officials’ countries.</w:t>
      </w:r>
      <w:r w:rsidRPr="006F29F5">
        <w:rPr>
          <w:rStyle w:val="FootnoteReference"/>
          <w:kern w:val="2"/>
          <w:sz w:val="20"/>
        </w:rPr>
        <w:footnoteReference w:id="32"/>
      </w:r>
      <w:r w:rsidRPr="006F29F5">
        <w:rPr>
          <w:kern w:val="2"/>
          <w:sz w:val="20"/>
        </w:rPr>
        <w:t xml:space="preserve"> </w:t>
      </w:r>
    </w:p>
    <w:p w14:paraId="4BBBBE05" w14:textId="481160AB" w:rsidR="00FB0FDB" w:rsidRPr="006F29F5" w:rsidRDefault="00FB0FDB" w:rsidP="00E508AB">
      <w:pPr>
        <w:pStyle w:val="Heading3"/>
        <w:rPr>
          <w:kern w:val="2"/>
          <w:sz w:val="22"/>
        </w:rPr>
      </w:pPr>
      <w:r w:rsidRPr="006F29F5">
        <w:rPr>
          <w:kern w:val="2"/>
          <w:sz w:val="22"/>
        </w:rPr>
        <w:t>Fines</w:t>
      </w:r>
      <w:r w:rsidR="00314294" w:rsidRPr="006F29F5">
        <w:rPr>
          <w:kern w:val="2"/>
          <w:sz w:val="22"/>
        </w:rPr>
        <w:t xml:space="preserve"> that Correspond to the Value of the Benefit</w:t>
      </w:r>
      <w:bookmarkEnd w:id="19"/>
    </w:p>
    <w:p w14:paraId="05E6DCD8" w14:textId="09ACBCDA" w:rsidR="00FB007F" w:rsidRPr="006F29F5" w:rsidRDefault="00FB007F" w:rsidP="00C81ED8">
      <w:pPr>
        <w:rPr>
          <w:rFonts w:cs="Times New Roman"/>
          <w:kern w:val="2"/>
          <w:sz w:val="20"/>
        </w:rPr>
      </w:pPr>
      <w:r w:rsidRPr="006F29F5">
        <w:rPr>
          <w:rFonts w:cs="Times New Roman"/>
          <w:kern w:val="2"/>
          <w:sz w:val="20"/>
        </w:rPr>
        <w:t xml:space="preserve">Fines can also be imposed on individuals or corporations that are equal to </w:t>
      </w:r>
      <w:r w:rsidR="0026292B" w:rsidRPr="006F29F5">
        <w:rPr>
          <w:rFonts w:cs="Times New Roman"/>
          <w:kern w:val="2"/>
          <w:sz w:val="20"/>
        </w:rPr>
        <w:t>or greater than</w:t>
      </w:r>
      <w:r w:rsidR="002C62B5" w:rsidRPr="006F29F5">
        <w:rPr>
          <w:rFonts w:cs="Times New Roman"/>
          <w:kern w:val="2"/>
          <w:sz w:val="20"/>
        </w:rPr>
        <w:t xml:space="preserve"> </w:t>
      </w:r>
      <w:r w:rsidRPr="006F29F5">
        <w:rPr>
          <w:rFonts w:cs="Times New Roman"/>
          <w:kern w:val="2"/>
          <w:sz w:val="20"/>
        </w:rPr>
        <w:t xml:space="preserve">the value of benefits derived from the inappropriate conduct. The judgment may be enforceable as a fine or a debt. </w:t>
      </w:r>
      <w:r w:rsidR="0026292B" w:rsidRPr="006F29F5">
        <w:rPr>
          <w:rFonts w:cs="Times New Roman"/>
          <w:kern w:val="2"/>
          <w:sz w:val="20"/>
        </w:rPr>
        <w:t>Derived</w:t>
      </w:r>
      <w:r w:rsidRPr="006F29F5">
        <w:rPr>
          <w:rFonts w:cs="Times New Roman"/>
          <w:kern w:val="2"/>
          <w:sz w:val="20"/>
        </w:rPr>
        <w:t xml:space="preserve"> benefits </w:t>
      </w:r>
      <w:r w:rsidR="0026292B" w:rsidRPr="006F29F5">
        <w:rPr>
          <w:rFonts w:cs="Times New Roman"/>
          <w:kern w:val="2"/>
          <w:sz w:val="20"/>
        </w:rPr>
        <w:t>include all assets and profits</w:t>
      </w:r>
      <w:r w:rsidRPr="006F29F5">
        <w:rPr>
          <w:rFonts w:cs="Times New Roman"/>
          <w:kern w:val="2"/>
          <w:sz w:val="20"/>
        </w:rPr>
        <w:t xml:space="preserve"> that can be reasonably linked to the offences forming the offender’s criminal convictio</w:t>
      </w:r>
      <w:r w:rsidR="00FA3A16" w:rsidRPr="006F29F5">
        <w:rPr>
          <w:rFonts w:cs="Times New Roman"/>
          <w:kern w:val="2"/>
          <w:sz w:val="20"/>
        </w:rPr>
        <w:t xml:space="preserve">n. This is also referred to as </w:t>
      </w:r>
      <w:r w:rsidR="00CC1E13" w:rsidRPr="006F29F5">
        <w:rPr>
          <w:rFonts w:cs="Times New Roman"/>
          <w:kern w:val="2"/>
          <w:sz w:val="20"/>
        </w:rPr>
        <w:t>“</w:t>
      </w:r>
      <w:r w:rsidRPr="006F29F5">
        <w:rPr>
          <w:rFonts w:cs="Times New Roman"/>
          <w:kern w:val="2"/>
          <w:sz w:val="20"/>
        </w:rPr>
        <w:t>value-based confiscation</w:t>
      </w:r>
      <w:r w:rsidR="00FA3A16" w:rsidRPr="006F29F5">
        <w:rPr>
          <w:rFonts w:cs="Times New Roman"/>
          <w:kern w:val="2"/>
          <w:sz w:val="20"/>
        </w:rPr>
        <w:t>,</w:t>
      </w:r>
      <w:r w:rsidR="00CC1E13" w:rsidRPr="006F29F5">
        <w:rPr>
          <w:rFonts w:cs="Times New Roman"/>
          <w:kern w:val="2"/>
          <w:sz w:val="20"/>
        </w:rPr>
        <w:t>”</w:t>
      </w:r>
      <w:r w:rsidRPr="006F29F5">
        <w:rPr>
          <w:rFonts w:cs="Times New Roman"/>
          <w:kern w:val="2"/>
          <w:sz w:val="20"/>
        </w:rPr>
        <w:t xml:space="preserve"> as the person is ordered to pay an amount of money equivalent to </w:t>
      </w:r>
      <w:r w:rsidR="00D146E6" w:rsidRPr="006F29F5">
        <w:rPr>
          <w:rFonts w:cs="Times New Roman"/>
          <w:kern w:val="2"/>
          <w:sz w:val="20"/>
        </w:rPr>
        <w:t>or great</w:t>
      </w:r>
      <w:r w:rsidR="00213793" w:rsidRPr="006F29F5">
        <w:rPr>
          <w:rFonts w:cs="Times New Roman"/>
          <w:kern w:val="2"/>
          <w:sz w:val="20"/>
        </w:rPr>
        <w:t>er</w:t>
      </w:r>
      <w:r w:rsidR="00D146E6" w:rsidRPr="006F29F5">
        <w:rPr>
          <w:rFonts w:cs="Times New Roman"/>
          <w:kern w:val="2"/>
          <w:sz w:val="20"/>
        </w:rPr>
        <w:t xml:space="preserve"> than </w:t>
      </w:r>
      <w:r w:rsidRPr="006F29F5">
        <w:rPr>
          <w:rFonts w:cs="Times New Roman"/>
          <w:kern w:val="2"/>
          <w:sz w:val="20"/>
        </w:rPr>
        <w:t xml:space="preserve">his/her criminal benefit. </w:t>
      </w:r>
      <w:r w:rsidR="0003589A" w:rsidRPr="006F29F5">
        <w:rPr>
          <w:rFonts w:cs="Times New Roman"/>
          <w:kern w:val="2"/>
          <w:sz w:val="20"/>
        </w:rPr>
        <w:t>Fines are generally paid into the treasury of the prosecuting jurisdiction.</w:t>
      </w:r>
      <w:r w:rsidR="0003589A" w:rsidRPr="006F29F5">
        <w:rPr>
          <w:rStyle w:val="FootnoteReference"/>
          <w:rFonts w:cs="Times New Roman"/>
          <w:kern w:val="2"/>
          <w:sz w:val="20"/>
        </w:rPr>
        <w:footnoteReference w:id="33"/>
      </w:r>
    </w:p>
    <w:p w14:paraId="6012F21D" w14:textId="05854469" w:rsidR="00FB007F" w:rsidRDefault="00213793" w:rsidP="00DF6023">
      <w:pPr>
        <w:rPr>
          <w:rFonts w:cs="Times New Roman"/>
          <w:kern w:val="2"/>
          <w:sz w:val="20"/>
        </w:rPr>
      </w:pPr>
      <w:r w:rsidRPr="006F29F5">
        <w:rPr>
          <w:rFonts w:cs="Times New Roman"/>
          <w:kern w:val="2"/>
          <w:sz w:val="20"/>
        </w:rPr>
        <w:t>T</w:t>
      </w:r>
      <w:r w:rsidR="00AC7259" w:rsidRPr="006F29F5">
        <w:rPr>
          <w:rFonts w:cs="Times New Roman"/>
          <w:kern w:val="2"/>
          <w:sz w:val="20"/>
        </w:rPr>
        <w:t>he</w:t>
      </w:r>
      <w:r w:rsidR="00FB007F" w:rsidRPr="006F29F5">
        <w:rPr>
          <w:rFonts w:cs="Times New Roman"/>
          <w:kern w:val="2"/>
          <w:sz w:val="20"/>
        </w:rPr>
        <w:t xml:space="preserve"> OECD/World Bank publication entitled, </w:t>
      </w:r>
      <w:r w:rsidR="00FB007F" w:rsidRPr="006F29F5">
        <w:rPr>
          <w:rFonts w:cs="Times New Roman"/>
          <w:i/>
          <w:kern w:val="2"/>
          <w:sz w:val="20"/>
        </w:rPr>
        <w:t>Identification and Quantification of the Proceeds of Bribery</w:t>
      </w:r>
      <w:r w:rsidR="00C5481B" w:rsidRPr="006F29F5">
        <w:rPr>
          <w:rFonts w:cs="Times New Roman"/>
          <w:kern w:val="2"/>
          <w:sz w:val="20"/>
        </w:rPr>
        <w:t xml:space="preserve"> gives examples of how various countries use fines and value-based forfeiture orders to remove any </w:t>
      </w:r>
      <w:r w:rsidR="00CC1E13" w:rsidRPr="006F29F5">
        <w:rPr>
          <w:rFonts w:cs="Times New Roman"/>
          <w:kern w:val="2"/>
          <w:sz w:val="20"/>
        </w:rPr>
        <w:t>“</w:t>
      </w:r>
      <w:r w:rsidR="00C5481B" w:rsidRPr="006F29F5">
        <w:rPr>
          <w:rFonts w:cs="Times New Roman"/>
          <w:kern w:val="2"/>
          <w:sz w:val="20"/>
        </w:rPr>
        <w:t>criminal</w:t>
      </w:r>
      <w:r w:rsidR="005C63AB" w:rsidRPr="006F29F5">
        <w:rPr>
          <w:rFonts w:cs="Times New Roman"/>
          <w:kern w:val="2"/>
          <w:sz w:val="20"/>
        </w:rPr>
        <w:t xml:space="preserve"> benefits</w:t>
      </w:r>
      <w:r w:rsidR="00CC1E13" w:rsidRPr="006F29F5">
        <w:rPr>
          <w:rFonts w:cs="Times New Roman"/>
          <w:kern w:val="2"/>
          <w:sz w:val="20"/>
        </w:rPr>
        <w:t>”</w:t>
      </w:r>
      <w:r w:rsidR="005C63AB" w:rsidRPr="006F29F5">
        <w:rPr>
          <w:rFonts w:cs="Times New Roman"/>
          <w:kern w:val="2"/>
          <w:sz w:val="20"/>
        </w:rPr>
        <w:t>:</w:t>
      </w:r>
      <w:r w:rsidR="00BA42DA" w:rsidRPr="006F29F5">
        <w:rPr>
          <w:rStyle w:val="FootnoteReference"/>
          <w:rFonts w:cs="Times New Roman"/>
          <w:kern w:val="2"/>
          <w:sz w:val="20"/>
        </w:rPr>
        <w:footnoteReference w:id="34"/>
      </w:r>
    </w:p>
    <w:tbl>
      <w:tblPr>
        <w:tblStyle w:val="TableGrid"/>
        <w:tblW w:w="0" w:type="auto"/>
        <w:tblCellMar>
          <w:top w:w="284" w:type="dxa"/>
          <w:left w:w="284" w:type="dxa"/>
          <w:bottom w:w="284" w:type="dxa"/>
          <w:right w:w="284" w:type="dxa"/>
        </w:tblCellMar>
        <w:tblLook w:val="04A0" w:firstRow="1" w:lastRow="0" w:firstColumn="1" w:lastColumn="0" w:noHBand="0" w:noVBand="1"/>
      </w:tblPr>
      <w:tblGrid>
        <w:gridCol w:w="8070"/>
      </w:tblGrid>
      <w:tr w:rsidR="00C12FEC" w14:paraId="7ACE757A" w14:textId="77777777" w:rsidTr="00C12FEC">
        <w:tc>
          <w:tcPr>
            <w:tcW w:w="8070" w:type="dxa"/>
            <w:tcBorders>
              <w:top w:val="nil"/>
              <w:left w:val="nil"/>
              <w:bottom w:val="nil"/>
              <w:right w:val="nil"/>
            </w:tcBorders>
            <w:shd w:val="clear" w:color="auto" w:fill="D9D9D9" w:themeFill="background1" w:themeFillShade="D9"/>
          </w:tcPr>
          <w:p w14:paraId="4A88043E" w14:textId="77777777" w:rsidR="00C12FEC" w:rsidRPr="006F29F5" w:rsidRDefault="00C12FEC" w:rsidP="00C12FEC">
            <w:pPr>
              <w:pStyle w:val="ExcerptMarker"/>
              <w:spacing w:before="0"/>
              <w:rPr>
                <w:kern w:val="2"/>
                <w:sz w:val="16"/>
              </w:rPr>
            </w:pPr>
            <w:r w:rsidRPr="006F29F5">
              <w:rPr>
                <w:kern w:val="2"/>
                <w:sz w:val="16"/>
              </w:rPr>
              <w:t>Beginning of Excerpt</w:t>
            </w:r>
          </w:p>
          <w:p w14:paraId="5F179E81" w14:textId="77777777" w:rsidR="00C12FEC" w:rsidRPr="006F29F5" w:rsidRDefault="00C12FEC" w:rsidP="00C12FEC">
            <w:pPr>
              <w:autoSpaceDE w:val="0"/>
              <w:autoSpaceDN w:val="0"/>
              <w:adjustRightInd w:val="0"/>
              <w:rPr>
                <w:rFonts w:cs="Times New Roman"/>
                <w:kern w:val="2"/>
                <w:sz w:val="20"/>
              </w:rPr>
            </w:pPr>
            <w:r w:rsidRPr="006F29F5">
              <w:rPr>
                <w:rFonts w:cs="Times New Roman"/>
                <w:kern w:val="2"/>
                <w:sz w:val="20"/>
              </w:rPr>
              <w:t>The term “benefits” is usually broadly defined to include the full value of cash or non-cash benefits received by a defendant (or a third party, at the defendant’s direction) directly or indirectly as a result of the offence. Benefits will usually cover more than the rewards of a financial nature. Some examples include:</w:t>
            </w:r>
          </w:p>
          <w:p w14:paraId="2828AEDB" w14:textId="77777777" w:rsidR="00C12FEC" w:rsidRPr="006F29F5" w:rsidRDefault="00C12FEC" w:rsidP="00C12FEC">
            <w:pPr>
              <w:pStyle w:val="ListParagraph"/>
              <w:numPr>
                <w:ilvl w:val="0"/>
                <w:numId w:val="47"/>
              </w:numPr>
              <w:autoSpaceDE w:val="0"/>
              <w:autoSpaceDN w:val="0"/>
              <w:adjustRightInd w:val="0"/>
              <w:rPr>
                <w:rFonts w:cs="Times New Roman"/>
                <w:b w:val="0"/>
                <w:kern w:val="2"/>
                <w:sz w:val="20"/>
              </w:rPr>
            </w:pPr>
            <w:r w:rsidRPr="006F29F5">
              <w:rPr>
                <w:rFonts w:cs="Times New Roman"/>
                <w:b w:val="0"/>
                <w:kern w:val="2"/>
                <w:sz w:val="20"/>
              </w:rPr>
              <w:t>the value of money or assets actually received as the result of committing an offence (for example, the revenues from an initial contract obtained by bribery);</w:t>
            </w:r>
          </w:p>
          <w:p w14:paraId="3679D433" w14:textId="2D86AA56" w:rsidR="00C12FEC" w:rsidRPr="00C12FEC" w:rsidRDefault="00C12FEC" w:rsidP="00DF6023">
            <w:pPr>
              <w:pStyle w:val="ListParagraph"/>
              <w:numPr>
                <w:ilvl w:val="0"/>
                <w:numId w:val="47"/>
              </w:numPr>
              <w:autoSpaceDE w:val="0"/>
              <w:autoSpaceDN w:val="0"/>
              <w:adjustRightInd w:val="0"/>
              <w:rPr>
                <w:rFonts w:cs="Times New Roman"/>
                <w:b w:val="0"/>
                <w:kern w:val="2"/>
                <w:sz w:val="20"/>
              </w:rPr>
            </w:pPr>
            <w:r w:rsidRPr="006F29F5">
              <w:rPr>
                <w:rFonts w:cs="Times New Roman"/>
                <w:b w:val="0"/>
                <w:kern w:val="2"/>
                <w:sz w:val="20"/>
              </w:rPr>
              <w:t>the value of assets derived or realized (by either the defendant or a third party at the direction of the defendant) directly or indirectly from the offence (for example, supplemental work obtained in the context of that same contract); and</w:t>
            </w:r>
          </w:p>
        </w:tc>
      </w:tr>
    </w:tbl>
    <w:p w14:paraId="2EF9B443" w14:textId="77777777" w:rsidR="00C12FEC" w:rsidRPr="006F29F5" w:rsidRDefault="00C12FEC" w:rsidP="00DF6023">
      <w:pPr>
        <w:rPr>
          <w:rFonts w:cs="Times New Roman"/>
          <w:kern w:val="2"/>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CE3368" w:rsidRPr="006F29F5" w14:paraId="6469BF40" w14:textId="77777777" w:rsidTr="00C12FEC">
        <w:trPr>
          <w:jc w:val="center"/>
        </w:trPr>
        <w:tc>
          <w:tcPr>
            <w:tcW w:w="9576" w:type="dxa"/>
            <w:shd w:val="clear" w:color="auto" w:fill="D9D9D9" w:themeFill="background1" w:themeFillShade="D9"/>
          </w:tcPr>
          <w:p w14:paraId="3A73295A" w14:textId="4DFFE065" w:rsidR="00CE3368" w:rsidRPr="006F29F5" w:rsidRDefault="00CE3368" w:rsidP="00C12FEC">
            <w:pPr>
              <w:pStyle w:val="ListParagraph"/>
              <w:numPr>
                <w:ilvl w:val="0"/>
                <w:numId w:val="47"/>
              </w:numPr>
              <w:autoSpaceDE w:val="0"/>
              <w:autoSpaceDN w:val="0"/>
              <w:adjustRightInd w:val="0"/>
              <w:rPr>
                <w:rFonts w:cs="Times New Roman"/>
                <w:b w:val="0"/>
                <w:kern w:val="2"/>
                <w:sz w:val="20"/>
              </w:rPr>
            </w:pPr>
            <w:proofErr w:type="gramStart"/>
            <w:r w:rsidRPr="006F29F5">
              <w:rPr>
                <w:rFonts w:cs="Times New Roman"/>
                <w:b w:val="0"/>
                <w:kern w:val="2"/>
                <w:sz w:val="20"/>
              </w:rPr>
              <w:t>t</w:t>
            </w:r>
            <w:r w:rsidR="00AB00CD" w:rsidRPr="006F29F5">
              <w:rPr>
                <w:rFonts w:cs="Times New Roman"/>
                <w:b w:val="0"/>
                <w:kern w:val="2"/>
                <w:sz w:val="20"/>
              </w:rPr>
              <w:t>he</w:t>
            </w:r>
            <w:proofErr w:type="gramEnd"/>
            <w:r w:rsidR="00AB00CD" w:rsidRPr="006F29F5">
              <w:rPr>
                <w:rFonts w:cs="Times New Roman"/>
                <w:b w:val="0"/>
                <w:kern w:val="2"/>
                <w:sz w:val="20"/>
              </w:rPr>
              <w:t xml:space="preserve"> value of benefits, services </w:t>
            </w:r>
            <w:r w:rsidRPr="006F29F5">
              <w:rPr>
                <w:rFonts w:cs="Times New Roman"/>
                <w:b w:val="0"/>
                <w:kern w:val="2"/>
                <w:sz w:val="20"/>
              </w:rPr>
              <w:t xml:space="preserve">or advantages accrued (to the defendant or a third party at the direction of the defendant) directly or indirectly as a result of the offense (for example, </w:t>
            </w:r>
            <w:r w:rsidR="00AB00CD" w:rsidRPr="006F29F5">
              <w:rPr>
                <w:rFonts w:cs="Times New Roman"/>
                <w:b w:val="0"/>
                <w:kern w:val="2"/>
                <w:sz w:val="20"/>
              </w:rPr>
              <w:t>the possibility to obtain future contracts based on the experience gained through that initial contract obtained through bribery).</w:t>
            </w:r>
          </w:p>
          <w:p w14:paraId="59B73004" w14:textId="6EC5D9F6" w:rsidR="00CE3368" w:rsidRPr="006F29F5" w:rsidRDefault="00340B97" w:rsidP="00C12FEC">
            <w:pPr>
              <w:autoSpaceDE w:val="0"/>
              <w:autoSpaceDN w:val="0"/>
              <w:adjustRightInd w:val="0"/>
              <w:spacing w:after="120"/>
              <w:rPr>
                <w:rFonts w:cs="Times New Roman"/>
                <w:kern w:val="2"/>
                <w:sz w:val="20"/>
              </w:rPr>
            </w:pPr>
            <w:r w:rsidRPr="006F29F5">
              <w:rPr>
                <w:rFonts w:cs="Times New Roman"/>
                <w:kern w:val="2"/>
                <w:sz w:val="20"/>
              </w:rPr>
              <w:t>…</w:t>
            </w:r>
          </w:p>
          <w:p w14:paraId="63B9DDE5" w14:textId="07AB289B" w:rsidR="00CE3368" w:rsidRPr="006F29F5" w:rsidRDefault="00CE3368" w:rsidP="00C12FEC">
            <w:pPr>
              <w:autoSpaceDE w:val="0"/>
              <w:autoSpaceDN w:val="0"/>
              <w:adjustRightInd w:val="0"/>
              <w:rPr>
                <w:rFonts w:cs="Times New Roman"/>
                <w:kern w:val="2"/>
                <w:sz w:val="20"/>
              </w:rPr>
            </w:pPr>
            <w:r w:rsidRPr="006F29F5">
              <w:rPr>
                <w:rFonts w:cs="Times New Roman"/>
                <w:kern w:val="2"/>
                <w:sz w:val="20"/>
              </w:rPr>
              <w:t xml:space="preserve">Examples of fines calculated from benefits include Australia, Greece, Hungary and Korea. For instance, in Australia, the maximum penalty for a corporation will be the greater of AUD 11 million or three times the value of any benefit that the corporation has directly or indirectly obtained that is reasonably attributable to the conduct constituting the offence (including the conduct of any related corporation). If the court cannot determine the value of that benefit, it may be estimated at 10% of the annual turnover of the corporation during the 12 months preceding the offence. In Greece, the corporate liability legislation imposes an administrative fine of up to three times the value of the </w:t>
            </w:r>
            <w:r w:rsidR="00CC1E13" w:rsidRPr="006F29F5">
              <w:rPr>
                <w:rFonts w:cs="Times New Roman"/>
                <w:kern w:val="2"/>
                <w:sz w:val="20"/>
              </w:rPr>
              <w:t>“</w:t>
            </w:r>
            <w:r w:rsidRPr="006F29F5">
              <w:rPr>
                <w:rFonts w:cs="Times New Roman"/>
                <w:kern w:val="2"/>
                <w:sz w:val="20"/>
              </w:rPr>
              <w:t>benefit</w:t>
            </w:r>
            <w:r w:rsidR="00CC1E13" w:rsidRPr="006F29F5">
              <w:rPr>
                <w:rFonts w:cs="Times New Roman"/>
                <w:kern w:val="2"/>
                <w:sz w:val="20"/>
              </w:rPr>
              <w:t>”</w:t>
            </w:r>
            <w:r w:rsidRPr="006F29F5">
              <w:rPr>
                <w:rFonts w:cs="Times New Roman"/>
                <w:kern w:val="2"/>
                <w:sz w:val="20"/>
              </w:rPr>
              <w:t xml:space="preserve"> against legal persons who are responsible for foreign bribery. In Hungary, fines for legal persons can be of a maximum of three times the financial advantage gained or intended to be gained, and at least HUF 500 000. In Korea, the maximum fine for a legal person is KRW 1 billion, but if the profit obtained through the offence exceeds a total of KRW 500 million, the legal person shall be subject to a fine up to twice the amount of the profit.</w:t>
            </w:r>
            <w:r w:rsidR="00AB00CD" w:rsidRPr="006F29F5">
              <w:rPr>
                <w:rFonts w:cs="Times New Roman"/>
                <w:kern w:val="2"/>
                <w:sz w:val="20"/>
              </w:rPr>
              <w:t xml:space="preserve"> [footnotes omitted]</w:t>
            </w:r>
          </w:p>
          <w:p w14:paraId="49628A8A" w14:textId="6C828F3A" w:rsidR="00CE3368" w:rsidRPr="006F29F5" w:rsidRDefault="00CE3368" w:rsidP="00C12FEC">
            <w:pPr>
              <w:pStyle w:val="ExcerptMarker"/>
              <w:spacing w:after="0"/>
              <w:rPr>
                <w:kern w:val="2"/>
                <w:sz w:val="16"/>
              </w:rPr>
            </w:pPr>
            <w:r w:rsidRPr="006F29F5">
              <w:rPr>
                <w:kern w:val="2"/>
                <w:sz w:val="16"/>
              </w:rPr>
              <w:t>End of Excerpt</w:t>
            </w:r>
          </w:p>
        </w:tc>
      </w:tr>
    </w:tbl>
    <w:p w14:paraId="378B0222" w14:textId="7D7D396F" w:rsidR="006A6406" w:rsidRPr="006F29F5" w:rsidRDefault="00790734" w:rsidP="00672FBF">
      <w:pPr>
        <w:pStyle w:val="Heading3"/>
        <w:rPr>
          <w:kern w:val="2"/>
          <w:sz w:val="22"/>
        </w:rPr>
      </w:pPr>
      <w:bookmarkStart w:id="20" w:name="_Toc420329364"/>
      <w:r w:rsidRPr="006F29F5">
        <w:rPr>
          <w:kern w:val="2"/>
          <w:sz w:val="22"/>
        </w:rPr>
        <w:t>Civil Actions and Remedies</w:t>
      </w:r>
      <w:bookmarkStart w:id="21" w:name="_Toc420329365"/>
      <w:bookmarkEnd w:id="20"/>
    </w:p>
    <w:p w14:paraId="79F44E38" w14:textId="77777777" w:rsidR="00672FBF" w:rsidRPr="006F29F5" w:rsidRDefault="00672FBF" w:rsidP="00F20986">
      <w:pPr>
        <w:pStyle w:val="ListParagraph"/>
        <w:keepNext/>
        <w:keepLines/>
        <w:numPr>
          <w:ilvl w:val="0"/>
          <w:numId w:val="5"/>
        </w:numPr>
        <w:outlineLvl w:val="3"/>
        <w:rPr>
          <w:rFonts w:eastAsiaTheme="majorEastAsia" w:cstheme="majorBidi"/>
          <w:iCs/>
          <w:vanish/>
          <w:kern w:val="2"/>
          <w:szCs w:val="22"/>
        </w:rPr>
      </w:pPr>
    </w:p>
    <w:p w14:paraId="6CD07981" w14:textId="77777777" w:rsidR="00672FBF" w:rsidRPr="006F29F5" w:rsidRDefault="00672FBF" w:rsidP="00F20986">
      <w:pPr>
        <w:pStyle w:val="ListParagraph"/>
        <w:keepNext/>
        <w:keepLines/>
        <w:numPr>
          <w:ilvl w:val="0"/>
          <w:numId w:val="5"/>
        </w:numPr>
        <w:outlineLvl w:val="3"/>
        <w:rPr>
          <w:rFonts w:eastAsiaTheme="majorEastAsia" w:cstheme="majorBidi"/>
          <w:iCs/>
          <w:vanish/>
          <w:kern w:val="2"/>
          <w:szCs w:val="22"/>
        </w:rPr>
      </w:pPr>
    </w:p>
    <w:p w14:paraId="5FA48033" w14:textId="77777777" w:rsidR="00672FBF" w:rsidRPr="006F29F5" w:rsidRDefault="00672FBF" w:rsidP="00F20986">
      <w:pPr>
        <w:pStyle w:val="ListParagraph"/>
        <w:keepNext/>
        <w:keepLines/>
        <w:numPr>
          <w:ilvl w:val="1"/>
          <w:numId w:val="5"/>
        </w:numPr>
        <w:outlineLvl w:val="3"/>
        <w:rPr>
          <w:rFonts w:eastAsiaTheme="majorEastAsia" w:cstheme="majorBidi"/>
          <w:iCs/>
          <w:vanish/>
          <w:kern w:val="2"/>
          <w:szCs w:val="22"/>
        </w:rPr>
      </w:pPr>
    </w:p>
    <w:p w14:paraId="077BC73A" w14:textId="77777777" w:rsidR="00672FBF" w:rsidRPr="006F29F5" w:rsidRDefault="00672FBF" w:rsidP="00F20986">
      <w:pPr>
        <w:pStyle w:val="ListParagraph"/>
        <w:keepNext/>
        <w:keepLines/>
        <w:numPr>
          <w:ilvl w:val="1"/>
          <w:numId w:val="5"/>
        </w:numPr>
        <w:outlineLvl w:val="3"/>
        <w:rPr>
          <w:rFonts w:eastAsiaTheme="majorEastAsia" w:cstheme="majorBidi"/>
          <w:iCs/>
          <w:vanish/>
          <w:kern w:val="2"/>
          <w:szCs w:val="22"/>
        </w:rPr>
      </w:pPr>
    </w:p>
    <w:p w14:paraId="5CC79DC7" w14:textId="77777777" w:rsidR="00672FBF" w:rsidRPr="006F29F5" w:rsidRDefault="00672FBF" w:rsidP="00F20986">
      <w:pPr>
        <w:pStyle w:val="ListParagraph"/>
        <w:keepNext/>
        <w:keepLines/>
        <w:numPr>
          <w:ilvl w:val="1"/>
          <w:numId w:val="5"/>
        </w:numPr>
        <w:outlineLvl w:val="3"/>
        <w:rPr>
          <w:rFonts w:eastAsiaTheme="majorEastAsia" w:cstheme="majorBidi"/>
          <w:iCs/>
          <w:vanish/>
          <w:kern w:val="2"/>
          <w:szCs w:val="22"/>
        </w:rPr>
      </w:pPr>
    </w:p>
    <w:p w14:paraId="2975CE42" w14:textId="77777777" w:rsidR="00672FBF" w:rsidRPr="006F29F5" w:rsidRDefault="00672FBF" w:rsidP="00F20986">
      <w:pPr>
        <w:pStyle w:val="ListParagraph"/>
        <w:keepNext/>
        <w:keepLines/>
        <w:numPr>
          <w:ilvl w:val="1"/>
          <w:numId w:val="5"/>
        </w:numPr>
        <w:outlineLvl w:val="3"/>
        <w:rPr>
          <w:rFonts w:eastAsiaTheme="majorEastAsia" w:cstheme="majorBidi"/>
          <w:iCs/>
          <w:vanish/>
          <w:kern w:val="2"/>
          <w:szCs w:val="22"/>
        </w:rPr>
      </w:pPr>
    </w:p>
    <w:p w14:paraId="09346012" w14:textId="77777777" w:rsidR="00672FBF" w:rsidRPr="006F29F5" w:rsidRDefault="00672FBF" w:rsidP="00F20986">
      <w:pPr>
        <w:pStyle w:val="ListParagraph"/>
        <w:keepNext/>
        <w:keepLines/>
        <w:numPr>
          <w:ilvl w:val="2"/>
          <w:numId w:val="5"/>
        </w:numPr>
        <w:outlineLvl w:val="3"/>
        <w:rPr>
          <w:rFonts w:eastAsiaTheme="majorEastAsia" w:cstheme="majorBidi"/>
          <w:iCs/>
          <w:vanish/>
          <w:kern w:val="2"/>
          <w:szCs w:val="22"/>
        </w:rPr>
      </w:pPr>
    </w:p>
    <w:p w14:paraId="3CC06506" w14:textId="77777777" w:rsidR="00672FBF" w:rsidRPr="006F29F5" w:rsidRDefault="00672FBF" w:rsidP="00F20986">
      <w:pPr>
        <w:pStyle w:val="ListParagraph"/>
        <w:keepNext/>
        <w:keepLines/>
        <w:numPr>
          <w:ilvl w:val="2"/>
          <w:numId w:val="5"/>
        </w:numPr>
        <w:outlineLvl w:val="3"/>
        <w:rPr>
          <w:rFonts w:eastAsiaTheme="majorEastAsia" w:cstheme="majorBidi"/>
          <w:iCs/>
          <w:vanish/>
          <w:kern w:val="2"/>
          <w:szCs w:val="22"/>
        </w:rPr>
      </w:pPr>
    </w:p>
    <w:p w14:paraId="116EE707" w14:textId="77777777" w:rsidR="00672FBF" w:rsidRPr="006F29F5" w:rsidRDefault="00672FBF" w:rsidP="00F20986">
      <w:pPr>
        <w:pStyle w:val="ListParagraph"/>
        <w:keepNext/>
        <w:keepLines/>
        <w:numPr>
          <w:ilvl w:val="2"/>
          <w:numId w:val="5"/>
        </w:numPr>
        <w:outlineLvl w:val="3"/>
        <w:rPr>
          <w:rFonts w:eastAsiaTheme="majorEastAsia" w:cstheme="majorBidi"/>
          <w:iCs/>
          <w:vanish/>
          <w:kern w:val="2"/>
          <w:szCs w:val="22"/>
        </w:rPr>
      </w:pPr>
    </w:p>
    <w:p w14:paraId="639DAB50" w14:textId="77777777" w:rsidR="00672FBF" w:rsidRPr="006F29F5" w:rsidRDefault="00672FBF" w:rsidP="00F20986">
      <w:pPr>
        <w:pStyle w:val="ListParagraph"/>
        <w:keepNext/>
        <w:keepLines/>
        <w:numPr>
          <w:ilvl w:val="2"/>
          <w:numId w:val="5"/>
        </w:numPr>
        <w:outlineLvl w:val="3"/>
        <w:rPr>
          <w:rFonts w:eastAsiaTheme="majorEastAsia" w:cstheme="majorBidi"/>
          <w:iCs/>
          <w:vanish/>
          <w:kern w:val="2"/>
          <w:szCs w:val="22"/>
        </w:rPr>
      </w:pPr>
    </w:p>
    <w:p w14:paraId="59FD02CF" w14:textId="77777777" w:rsidR="00672FBF" w:rsidRPr="006F29F5" w:rsidRDefault="00672FBF" w:rsidP="00F20986">
      <w:pPr>
        <w:pStyle w:val="ListParagraph"/>
        <w:keepNext/>
        <w:keepLines/>
        <w:numPr>
          <w:ilvl w:val="2"/>
          <w:numId w:val="5"/>
        </w:numPr>
        <w:outlineLvl w:val="3"/>
        <w:rPr>
          <w:rFonts w:eastAsiaTheme="majorEastAsia" w:cstheme="majorBidi"/>
          <w:iCs/>
          <w:vanish/>
          <w:kern w:val="2"/>
          <w:szCs w:val="22"/>
        </w:rPr>
      </w:pPr>
    </w:p>
    <w:p w14:paraId="3E0FB944" w14:textId="32C2106D" w:rsidR="00790734" w:rsidRPr="006F29F5" w:rsidRDefault="00790734" w:rsidP="00F17516">
      <w:pPr>
        <w:pStyle w:val="Heading4"/>
        <w:rPr>
          <w:kern w:val="2"/>
          <w:sz w:val="22"/>
        </w:rPr>
      </w:pPr>
      <w:r w:rsidRPr="006F29F5">
        <w:rPr>
          <w:kern w:val="2"/>
          <w:sz w:val="22"/>
        </w:rPr>
        <w:t>Introduction</w:t>
      </w:r>
      <w:bookmarkEnd w:id="21"/>
    </w:p>
    <w:p w14:paraId="4BF7F51C" w14:textId="29CAEDB4" w:rsidR="00093B2A" w:rsidRPr="006F29F5" w:rsidRDefault="00093B2A" w:rsidP="00D96F95">
      <w:pPr>
        <w:rPr>
          <w:rFonts w:eastAsia="Calibri" w:cs="Times New Roman"/>
          <w:kern w:val="2"/>
          <w:sz w:val="20"/>
          <w:szCs w:val="24"/>
        </w:rPr>
      </w:pPr>
      <w:r w:rsidRPr="006F29F5">
        <w:rPr>
          <w:rFonts w:eastAsia="Calibri" w:cs="Times New Roman"/>
          <w:kern w:val="2"/>
          <w:sz w:val="20"/>
          <w:szCs w:val="24"/>
        </w:rPr>
        <w:t>Civil remedies provide another tool in recovering the proceeds of corruption and can complement criminal proceedings. Civil actions are not limited to asset recovery purposes</w:t>
      </w:r>
      <w:r w:rsidR="00E43D1D" w:rsidRPr="006F29F5">
        <w:rPr>
          <w:rFonts w:eastAsia="Calibri" w:cs="Times New Roman"/>
          <w:kern w:val="2"/>
          <w:sz w:val="20"/>
          <w:szCs w:val="24"/>
        </w:rPr>
        <w:t>,</w:t>
      </w:r>
      <w:r w:rsidRPr="006F29F5">
        <w:rPr>
          <w:rFonts w:eastAsia="Calibri" w:cs="Times New Roman"/>
          <w:kern w:val="2"/>
          <w:sz w:val="20"/>
          <w:szCs w:val="24"/>
        </w:rPr>
        <w:t xml:space="preserve"> but also achieve ant</w:t>
      </w:r>
      <w:r w:rsidR="003A14A6" w:rsidRPr="006F29F5">
        <w:rPr>
          <w:rFonts w:eastAsia="Calibri" w:cs="Times New Roman"/>
          <w:kern w:val="2"/>
          <w:sz w:val="20"/>
          <w:szCs w:val="24"/>
        </w:rPr>
        <w:t>i-</w:t>
      </w:r>
      <w:r w:rsidRPr="006F29F5">
        <w:rPr>
          <w:rFonts w:eastAsia="Calibri" w:cs="Times New Roman"/>
          <w:kern w:val="2"/>
          <w:sz w:val="20"/>
          <w:szCs w:val="24"/>
        </w:rPr>
        <w:t xml:space="preserve">corruption goals more generally by </w:t>
      </w:r>
      <w:r w:rsidR="00B43387" w:rsidRPr="006F29F5">
        <w:rPr>
          <w:rFonts w:eastAsia="Calibri" w:cs="Times New Roman"/>
          <w:kern w:val="2"/>
          <w:sz w:val="20"/>
          <w:szCs w:val="24"/>
        </w:rPr>
        <w:t xml:space="preserve">sanctioning wrongdoing and </w:t>
      </w:r>
      <w:r w:rsidRPr="006F29F5">
        <w:rPr>
          <w:rFonts w:eastAsia="Calibri" w:cs="Times New Roman"/>
          <w:kern w:val="2"/>
          <w:sz w:val="20"/>
          <w:szCs w:val="24"/>
        </w:rPr>
        <w:t>allowing injured parties to bring suits. All civil actions related to corruption will be discussed in this section, including those not specifically related to asset recovery.</w:t>
      </w:r>
    </w:p>
    <w:p w14:paraId="02832225" w14:textId="77777777" w:rsidR="00093B2A" w:rsidRPr="006F29F5" w:rsidRDefault="00093B2A" w:rsidP="004B6B32">
      <w:pPr>
        <w:rPr>
          <w:rFonts w:eastAsia="Calibri" w:cs="Times New Roman"/>
          <w:kern w:val="2"/>
          <w:sz w:val="20"/>
          <w:szCs w:val="24"/>
        </w:rPr>
      </w:pPr>
      <w:r w:rsidRPr="006F29F5">
        <w:rPr>
          <w:rFonts w:eastAsia="Calibri" w:cs="Times New Roman"/>
          <w:kern w:val="2"/>
          <w:sz w:val="20"/>
          <w:szCs w:val="24"/>
        </w:rPr>
        <w:t>Article 35 of UNCAC creates an international obligation to provide private actors with the right to initiate civil proceedings:</w:t>
      </w:r>
    </w:p>
    <w:p w14:paraId="7BC1994A" w14:textId="77777777" w:rsidR="00093B2A" w:rsidRPr="006F29F5" w:rsidRDefault="00093B2A" w:rsidP="00D05EED">
      <w:pPr>
        <w:pStyle w:val="BlockQuote"/>
        <w:rPr>
          <w:kern w:val="2"/>
          <w:sz w:val="20"/>
        </w:rPr>
      </w:pPr>
      <w:r w:rsidRPr="006F29F5">
        <w:rPr>
          <w:kern w:val="2"/>
          <w:sz w:val="20"/>
        </w:rPr>
        <w:t xml:space="preserve">Each State Party shall take such measures as may be necessary, in accordance with principles of its domestic law, to ensure that entities or persons who have suffered damage as a result of an act of corruption have the right to initiate legal proceedings against those responsible for that damage in order to obtain compensation. </w:t>
      </w:r>
    </w:p>
    <w:p w14:paraId="4D22A066" w14:textId="7CF6A905" w:rsidR="00093B2A" w:rsidRPr="006F29F5" w:rsidRDefault="00093B2A" w:rsidP="004B6B32">
      <w:pPr>
        <w:rPr>
          <w:rFonts w:eastAsia="Calibri" w:cs="Times New Roman"/>
          <w:kern w:val="2"/>
          <w:sz w:val="20"/>
          <w:szCs w:val="24"/>
        </w:rPr>
      </w:pPr>
      <w:r w:rsidRPr="006F29F5">
        <w:rPr>
          <w:rFonts w:eastAsia="Calibri" w:cs="Times New Roman"/>
          <w:kern w:val="2"/>
          <w:sz w:val="20"/>
          <w:szCs w:val="24"/>
        </w:rPr>
        <w:t>However, Article 35 does not provide special standing or a special right of action for private litigants and is subject to sovereignty and domestic</w:t>
      </w:r>
      <w:r w:rsidR="00FA3A16" w:rsidRPr="006F29F5">
        <w:rPr>
          <w:rFonts w:eastAsia="Calibri" w:cs="Times New Roman"/>
          <w:kern w:val="2"/>
          <w:sz w:val="20"/>
          <w:szCs w:val="24"/>
        </w:rPr>
        <w:t xml:space="preserve"> law. As pointed out by </w:t>
      </w:r>
      <w:proofErr w:type="spellStart"/>
      <w:r w:rsidRPr="006F29F5">
        <w:rPr>
          <w:rFonts w:eastAsia="Calibri" w:cs="Times New Roman"/>
          <w:kern w:val="2"/>
          <w:sz w:val="20"/>
          <w:szCs w:val="24"/>
        </w:rPr>
        <w:t>Makinwa</w:t>
      </w:r>
      <w:proofErr w:type="spellEnd"/>
      <w:r w:rsidRPr="006F29F5">
        <w:rPr>
          <w:rFonts w:eastAsia="Calibri" w:cs="Times New Roman"/>
          <w:kern w:val="2"/>
          <w:sz w:val="20"/>
          <w:szCs w:val="24"/>
        </w:rPr>
        <w:t xml:space="preserve"> in </w:t>
      </w:r>
      <w:r w:rsidRPr="006F29F5">
        <w:rPr>
          <w:rFonts w:eastAsia="Calibri" w:cs="Times New Roman"/>
          <w:i/>
          <w:kern w:val="2"/>
          <w:sz w:val="20"/>
          <w:szCs w:val="24"/>
        </w:rPr>
        <w:t>Private Remedies for Corruption,</w:t>
      </w:r>
      <w:r w:rsidRPr="006F29F5">
        <w:rPr>
          <w:rFonts w:eastAsia="Calibri" w:cs="Times New Roman"/>
          <w:kern w:val="2"/>
          <w:sz w:val="20"/>
          <w:szCs w:val="24"/>
        </w:rPr>
        <w:t xml:space="preserve"> this means that private rights of action </w:t>
      </w:r>
      <w:r w:rsidR="00CC1E13" w:rsidRPr="006F29F5">
        <w:rPr>
          <w:rFonts w:eastAsia="Calibri" w:cs="Times New Roman"/>
          <w:kern w:val="2"/>
          <w:sz w:val="20"/>
          <w:szCs w:val="24"/>
        </w:rPr>
        <w:t>“</w:t>
      </w:r>
      <w:r w:rsidRPr="006F29F5">
        <w:rPr>
          <w:rFonts w:eastAsia="Calibri" w:cs="Times New Roman"/>
          <w:kern w:val="2"/>
          <w:sz w:val="20"/>
          <w:szCs w:val="24"/>
        </w:rPr>
        <w:t>exist only to the extent provided under domestic laws and processes.</w:t>
      </w:r>
      <w:r w:rsidR="00CC1E13" w:rsidRPr="006F29F5">
        <w:rPr>
          <w:rFonts w:eastAsia="Calibri" w:cs="Times New Roman"/>
          <w:kern w:val="2"/>
          <w:sz w:val="20"/>
          <w:szCs w:val="24"/>
        </w:rPr>
        <w:t>”</w:t>
      </w:r>
      <w:r w:rsidRPr="006F29F5">
        <w:rPr>
          <w:rFonts w:eastAsia="Calibri" w:cs="Times New Roman"/>
          <w:kern w:val="2"/>
          <w:sz w:val="20"/>
          <w:szCs w:val="24"/>
          <w:vertAlign w:val="superscript"/>
        </w:rPr>
        <w:footnoteReference w:id="35"/>
      </w:r>
      <w:r w:rsidRPr="006F29F5">
        <w:rPr>
          <w:rFonts w:eastAsia="Calibri" w:cs="Times New Roman"/>
          <w:kern w:val="2"/>
          <w:sz w:val="20"/>
          <w:szCs w:val="24"/>
        </w:rPr>
        <w:t xml:space="preserve"> </w:t>
      </w:r>
      <w:proofErr w:type="spellStart"/>
      <w:r w:rsidRPr="006F29F5">
        <w:rPr>
          <w:rFonts w:eastAsia="Calibri" w:cs="Times New Roman"/>
          <w:kern w:val="2"/>
          <w:sz w:val="20"/>
          <w:szCs w:val="24"/>
        </w:rPr>
        <w:t>Makinwa</w:t>
      </w:r>
      <w:proofErr w:type="spellEnd"/>
      <w:r w:rsidRPr="006F29F5">
        <w:rPr>
          <w:rFonts w:eastAsia="Calibri" w:cs="Times New Roman"/>
          <w:kern w:val="2"/>
          <w:sz w:val="20"/>
          <w:szCs w:val="24"/>
        </w:rPr>
        <w:t xml:space="preserve"> also points out that Article 35 applies only where a causal link exists between the claimant and the wrongdoing.</w:t>
      </w:r>
      <w:r w:rsidRPr="006F29F5">
        <w:rPr>
          <w:rFonts w:eastAsia="Calibri" w:cs="Times New Roman"/>
          <w:kern w:val="2"/>
          <w:sz w:val="20"/>
          <w:szCs w:val="24"/>
          <w:vertAlign w:val="superscript"/>
        </w:rPr>
        <w:footnoteReference w:id="36"/>
      </w:r>
      <w:r w:rsidRPr="006F29F5">
        <w:rPr>
          <w:rFonts w:eastAsia="Calibri" w:cs="Times New Roman"/>
          <w:kern w:val="2"/>
          <w:sz w:val="20"/>
          <w:szCs w:val="24"/>
        </w:rPr>
        <w:t xml:space="preserve"> As a result, Article 35 on its own </w:t>
      </w:r>
      <w:r w:rsidR="00CC1E13" w:rsidRPr="006F29F5">
        <w:rPr>
          <w:rFonts w:eastAsia="Calibri" w:cs="Times New Roman"/>
          <w:kern w:val="2"/>
          <w:sz w:val="20"/>
          <w:szCs w:val="24"/>
        </w:rPr>
        <w:t>“</w:t>
      </w:r>
      <w:r w:rsidRPr="006F29F5">
        <w:rPr>
          <w:rFonts w:eastAsia="Calibri" w:cs="Times New Roman"/>
          <w:kern w:val="2"/>
          <w:sz w:val="20"/>
          <w:szCs w:val="24"/>
        </w:rPr>
        <w:t>gives a very limited right of redress to only a very particular group of people.</w:t>
      </w:r>
      <w:r w:rsidR="00CC1E13" w:rsidRPr="006F29F5">
        <w:rPr>
          <w:rFonts w:eastAsia="Calibri" w:cs="Times New Roman"/>
          <w:kern w:val="2"/>
          <w:sz w:val="20"/>
          <w:szCs w:val="24"/>
        </w:rPr>
        <w:t>”</w:t>
      </w:r>
      <w:r w:rsidRPr="006F29F5">
        <w:rPr>
          <w:rFonts w:eastAsia="Calibri" w:cs="Times New Roman"/>
          <w:kern w:val="2"/>
          <w:sz w:val="20"/>
          <w:szCs w:val="24"/>
          <w:vertAlign w:val="superscript"/>
        </w:rPr>
        <w:footnoteReference w:id="37"/>
      </w:r>
      <w:r w:rsidRPr="006F29F5">
        <w:rPr>
          <w:rFonts w:eastAsia="Calibri" w:cs="Times New Roman"/>
          <w:kern w:val="2"/>
          <w:sz w:val="20"/>
          <w:szCs w:val="24"/>
        </w:rPr>
        <w:t xml:space="preserve"> </w:t>
      </w:r>
    </w:p>
    <w:p w14:paraId="447044D8" w14:textId="42CC45F0" w:rsidR="00093B2A" w:rsidRPr="006F29F5" w:rsidRDefault="00093B2A" w:rsidP="004B6B32">
      <w:pPr>
        <w:rPr>
          <w:rFonts w:eastAsia="Calibri" w:cs="Times New Roman"/>
          <w:kern w:val="2"/>
          <w:sz w:val="20"/>
          <w:szCs w:val="24"/>
        </w:rPr>
      </w:pPr>
      <w:r w:rsidRPr="006F29F5">
        <w:rPr>
          <w:rFonts w:eastAsia="Calibri" w:cs="Times New Roman"/>
          <w:kern w:val="2"/>
          <w:sz w:val="20"/>
          <w:szCs w:val="24"/>
        </w:rPr>
        <w:t xml:space="preserve">A foreign court is competent to hear a civil suit if the defendant lives in or is incorporated in the court’s jurisdiction, if assets are located in or </w:t>
      </w:r>
      <w:r w:rsidR="00B43387" w:rsidRPr="006F29F5">
        <w:rPr>
          <w:rFonts w:eastAsia="Calibri" w:cs="Times New Roman"/>
          <w:kern w:val="2"/>
          <w:sz w:val="20"/>
          <w:szCs w:val="24"/>
        </w:rPr>
        <w:t xml:space="preserve">have </w:t>
      </w:r>
      <w:r w:rsidRPr="006F29F5">
        <w:rPr>
          <w:rFonts w:eastAsia="Calibri" w:cs="Times New Roman"/>
          <w:kern w:val="2"/>
          <w:sz w:val="20"/>
          <w:szCs w:val="24"/>
        </w:rPr>
        <w:t>passed through the jurisdiction, or if an act of corruption or money laundering was committed in the jurisdiction.</w:t>
      </w:r>
      <w:r w:rsidRPr="006F29F5">
        <w:rPr>
          <w:rFonts w:eastAsia="Calibri" w:cs="Times New Roman"/>
          <w:kern w:val="2"/>
          <w:sz w:val="20"/>
          <w:szCs w:val="24"/>
          <w:vertAlign w:val="superscript"/>
        </w:rPr>
        <w:footnoteReference w:id="38"/>
      </w:r>
      <w:r w:rsidRPr="006F29F5">
        <w:rPr>
          <w:rFonts w:eastAsia="Calibri" w:cs="Times New Roman"/>
          <w:kern w:val="2"/>
          <w:sz w:val="20"/>
          <w:szCs w:val="24"/>
        </w:rPr>
        <w:t xml:space="preserve"> In some countries, civil and criminal proceedings can be run simultaneously. </w:t>
      </w:r>
      <w:r w:rsidRPr="006F29F5">
        <w:rPr>
          <w:rFonts w:eastAsia="Calibri" w:cs="Times New Roman"/>
          <w:kern w:val="2"/>
          <w:sz w:val="20"/>
        </w:rPr>
        <w:t xml:space="preserve">In </w:t>
      </w:r>
      <w:r w:rsidRPr="006F29F5">
        <w:rPr>
          <w:rFonts w:eastAsia="Calibri" w:cs="Times New Roman"/>
          <w:i/>
          <w:kern w:val="2"/>
          <w:sz w:val="20"/>
        </w:rPr>
        <w:t>Attorney General of Zambia</w:t>
      </w:r>
      <w:r w:rsidR="00FA3A16" w:rsidRPr="006F29F5">
        <w:rPr>
          <w:rFonts w:eastAsia="Calibri" w:cs="Times New Roman"/>
          <w:i/>
          <w:kern w:val="2"/>
          <w:sz w:val="20"/>
          <w:szCs w:val="24"/>
        </w:rPr>
        <w:t xml:space="preserve"> v</w:t>
      </w:r>
      <w:r w:rsidRPr="006F29F5">
        <w:rPr>
          <w:rFonts w:eastAsia="Calibri" w:cs="Times New Roman"/>
          <w:i/>
          <w:kern w:val="2"/>
          <w:sz w:val="20"/>
          <w:szCs w:val="24"/>
        </w:rPr>
        <w:t xml:space="preserve"> Meer, Care &amp; Desai and Others </w:t>
      </w:r>
      <w:r w:rsidRPr="006F29F5">
        <w:rPr>
          <w:rFonts w:eastAsia="Calibri" w:cs="Times New Roman"/>
          <w:kern w:val="2"/>
          <w:sz w:val="20"/>
          <w:szCs w:val="24"/>
        </w:rPr>
        <w:t>(2007) (</w:t>
      </w:r>
      <w:r w:rsidR="00CC1E13" w:rsidRPr="006F29F5">
        <w:rPr>
          <w:rFonts w:eastAsia="Calibri" w:cs="Times New Roman"/>
          <w:kern w:val="2"/>
          <w:sz w:val="20"/>
          <w:szCs w:val="24"/>
        </w:rPr>
        <w:t>“</w:t>
      </w:r>
      <w:r w:rsidRPr="006F29F5">
        <w:rPr>
          <w:rFonts w:eastAsia="Calibri" w:cs="Times New Roman"/>
          <w:i/>
          <w:kern w:val="2"/>
          <w:sz w:val="20"/>
          <w:szCs w:val="24"/>
        </w:rPr>
        <w:t>Attorney General of Zambia</w:t>
      </w:r>
      <w:r w:rsidR="00CC1E13" w:rsidRPr="006F29F5">
        <w:rPr>
          <w:rFonts w:eastAsia="Calibri" w:cs="Times New Roman"/>
          <w:kern w:val="2"/>
          <w:sz w:val="20"/>
          <w:szCs w:val="24"/>
        </w:rPr>
        <w:t>”</w:t>
      </w:r>
      <w:r w:rsidRPr="006F29F5">
        <w:rPr>
          <w:rFonts w:eastAsia="Calibri" w:cs="Times New Roman"/>
          <w:kern w:val="2"/>
          <w:sz w:val="20"/>
          <w:szCs w:val="24"/>
        </w:rPr>
        <w:t>)</w:t>
      </w:r>
      <w:r w:rsidRPr="006F29F5">
        <w:rPr>
          <w:rFonts w:eastAsia="Calibri" w:cs="Times New Roman"/>
          <w:kern w:val="2"/>
          <w:sz w:val="20"/>
        </w:rPr>
        <w:t>,</w:t>
      </w:r>
      <w:r w:rsidRPr="006F29F5">
        <w:rPr>
          <w:rFonts w:eastAsia="Calibri" w:cs="Times New Roman"/>
          <w:kern w:val="2"/>
          <w:sz w:val="20"/>
          <w:vertAlign w:val="superscript"/>
        </w:rPr>
        <w:footnoteReference w:id="39"/>
      </w:r>
      <w:r w:rsidRPr="006F29F5">
        <w:rPr>
          <w:rFonts w:eastAsia="Calibri" w:cs="Times New Roman"/>
          <w:kern w:val="2"/>
          <w:sz w:val="20"/>
        </w:rPr>
        <w:t xml:space="preserve"> the court found that civil proceedings can run parallel to criminal proceedings, subject to the civil proceedings and evidence being </w:t>
      </w:r>
      <w:r w:rsidR="00CC1E13" w:rsidRPr="006F29F5">
        <w:rPr>
          <w:rFonts w:eastAsia="Calibri" w:cs="Times New Roman"/>
          <w:kern w:val="2"/>
          <w:sz w:val="20"/>
        </w:rPr>
        <w:t>“</w:t>
      </w:r>
      <w:r w:rsidRPr="006F29F5">
        <w:rPr>
          <w:rFonts w:eastAsia="Calibri" w:cs="Times New Roman"/>
          <w:kern w:val="2"/>
          <w:sz w:val="20"/>
        </w:rPr>
        <w:t>ring fenced</w:t>
      </w:r>
      <w:r w:rsidR="00CC1E13" w:rsidRPr="006F29F5">
        <w:rPr>
          <w:rFonts w:eastAsia="Calibri" w:cs="Times New Roman"/>
          <w:kern w:val="2"/>
          <w:sz w:val="20"/>
        </w:rPr>
        <w:t>”</w:t>
      </w:r>
      <w:r w:rsidRPr="006F29F5">
        <w:rPr>
          <w:rFonts w:eastAsia="Calibri" w:cs="Times New Roman"/>
          <w:kern w:val="2"/>
          <w:sz w:val="20"/>
        </w:rPr>
        <w:t xml:space="preserve"> to prevent self-incrimination in the criminal trial.</w:t>
      </w:r>
      <w:r w:rsidRPr="006F29F5">
        <w:rPr>
          <w:rFonts w:eastAsia="Calibri" w:cs="Times New Roman"/>
          <w:kern w:val="2"/>
          <w:sz w:val="20"/>
          <w:vertAlign w:val="superscript"/>
        </w:rPr>
        <w:footnoteReference w:id="40"/>
      </w:r>
    </w:p>
    <w:p w14:paraId="220DD981" w14:textId="6C376808" w:rsidR="00093B2A" w:rsidRPr="006F29F5" w:rsidRDefault="00093B2A" w:rsidP="004B6B32">
      <w:pPr>
        <w:rPr>
          <w:rFonts w:eastAsia="Calibri" w:cs="Times New Roman"/>
          <w:kern w:val="2"/>
          <w:sz w:val="20"/>
          <w:szCs w:val="24"/>
        </w:rPr>
      </w:pPr>
      <w:r w:rsidRPr="006F29F5">
        <w:rPr>
          <w:rFonts w:eastAsia="Calibri" w:cs="Times New Roman"/>
          <w:kern w:val="2"/>
          <w:sz w:val="20"/>
          <w:szCs w:val="24"/>
        </w:rPr>
        <w:t>State parties, local public entities like municipalities and state-owned companies can initiate civil proceedings in foreign or domestic courts in the same manner as private citizens, although legal standing may be denied if the public entity has no direct and personal interest in the case.</w:t>
      </w:r>
      <w:r w:rsidRPr="006F29F5">
        <w:rPr>
          <w:rFonts w:eastAsia="Calibri" w:cs="Times New Roman"/>
          <w:kern w:val="2"/>
          <w:sz w:val="20"/>
          <w:szCs w:val="24"/>
          <w:vertAlign w:val="superscript"/>
        </w:rPr>
        <w:footnoteReference w:id="41"/>
      </w:r>
      <w:r w:rsidRPr="006F29F5">
        <w:rPr>
          <w:rFonts w:eastAsia="Calibri" w:cs="Times New Roman"/>
          <w:kern w:val="2"/>
          <w:sz w:val="20"/>
          <w:szCs w:val="24"/>
        </w:rPr>
        <w:t xml:space="preserve"> Article 43 of UNCAC requires all State Parties </w:t>
      </w:r>
      <w:r w:rsidRPr="006F29F5">
        <w:rPr>
          <w:rFonts w:eastAsia="Calibri" w:cs="Times New Roman"/>
          <w:i/>
          <w:kern w:val="2"/>
          <w:sz w:val="20"/>
          <w:szCs w:val="24"/>
        </w:rPr>
        <w:t>consider</w:t>
      </w:r>
      <w:r w:rsidRPr="006F29F5">
        <w:rPr>
          <w:rFonts w:eastAsia="Calibri" w:cs="Times New Roman"/>
          <w:kern w:val="2"/>
          <w:sz w:val="20"/>
          <w:szCs w:val="24"/>
        </w:rPr>
        <w:t xml:space="preserve"> assisting each other in investigations and proceedings in civil and administrative matters relating to corruption. Article 53 requires each State Party take necessary measures to: </w:t>
      </w:r>
    </w:p>
    <w:p w14:paraId="085DE4D6" w14:textId="77777777" w:rsidR="00093B2A" w:rsidRPr="006F29F5" w:rsidRDefault="00093B2A" w:rsidP="00911900">
      <w:pPr>
        <w:pStyle w:val="ListParagraph"/>
        <w:numPr>
          <w:ilvl w:val="0"/>
          <w:numId w:val="48"/>
        </w:numPr>
        <w:rPr>
          <w:b w:val="0"/>
          <w:kern w:val="2"/>
          <w:sz w:val="20"/>
        </w:rPr>
      </w:pPr>
      <w:r w:rsidRPr="006F29F5">
        <w:rPr>
          <w:b w:val="0"/>
          <w:kern w:val="2"/>
          <w:sz w:val="20"/>
        </w:rPr>
        <w:t xml:space="preserve">ensure that other States may make civil claims in its courts to establish ownership of property acquired through a Convention offence; </w:t>
      </w:r>
    </w:p>
    <w:p w14:paraId="15209759" w14:textId="77777777" w:rsidR="00093B2A" w:rsidRPr="006F29F5" w:rsidRDefault="00093B2A" w:rsidP="00911900">
      <w:pPr>
        <w:pStyle w:val="ListParagraph"/>
        <w:numPr>
          <w:ilvl w:val="0"/>
          <w:numId w:val="48"/>
        </w:numPr>
        <w:rPr>
          <w:b w:val="0"/>
          <w:kern w:val="2"/>
          <w:sz w:val="20"/>
        </w:rPr>
      </w:pPr>
      <w:r w:rsidRPr="006F29F5">
        <w:rPr>
          <w:b w:val="0"/>
          <w:kern w:val="2"/>
          <w:sz w:val="20"/>
        </w:rPr>
        <w:t xml:space="preserve">ensure that courts have the power to order the payment of damages to another State Party; and </w:t>
      </w:r>
    </w:p>
    <w:p w14:paraId="45C7CA7B" w14:textId="77777777" w:rsidR="00A92D91" w:rsidRPr="006F29F5" w:rsidRDefault="00093B2A" w:rsidP="00911900">
      <w:pPr>
        <w:pStyle w:val="ListParagraph"/>
        <w:numPr>
          <w:ilvl w:val="0"/>
          <w:numId w:val="48"/>
        </w:numPr>
        <w:rPr>
          <w:b w:val="0"/>
          <w:kern w:val="2"/>
          <w:sz w:val="20"/>
        </w:rPr>
      </w:pPr>
      <w:proofErr w:type="gramStart"/>
      <w:r w:rsidRPr="006F29F5">
        <w:rPr>
          <w:b w:val="0"/>
          <w:kern w:val="2"/>
          <w:sz w:val="20"/>
        </w:rPr>
        <w:t>ensure</w:t>
      </w:r>
      <w:proofErr w:type="gramEnd"/>
      <w:r w:rsidRPr="006F29F5">
        <w:rPr>
          <w:b w:val="0"/>
          <w:kern w:val="2"/>
          <w:sz w:val="20"/>
        </w:rPr>
        <w:t xml:space="preserve"> that courts considering criminal confiscation also take into consideration the civil claims of other countries. </w:t>
      </w:r>
    </w:p>
    <w:p w14:paraId="2172DA94" w14:textId="221EAED4" w:rsidR="00093B2A" w:rsidRPr="006F29F5" w:rsidRDefault="00093B2A" w:rsidP="00A92D91">
      <w:pPr>
        <w:rPr>
          <w:kern w:val="2"/>
          <w:sz w:val="20"/>
        </w:rPr>
      </w:pPr>
      <w:r w:rsidRPr="006F29F5">
        <w:rPr>
          <w:kern w:val="2"/>
          <w:sz w:val="20"/>
        </w:rPr>
        <w:t xml:space="preserve">Domestic statutes, such as the US </w:t>
      </w:r>
      <w:r w:rsidRPr="006F29F5">
        <w:rPr>
          <w:i/>
          <w:kern w:val="2"/>
          <w:sz w:val="20"/>
        </w:rPr>
        <w:t>Racketeering Influenced and Corrupt Organizations Act</w:t>
      </w:r>
      <w:r w:rsidRPr="006F29F5">
        <w:rPr>
          <w:kern w:val="2"/>
          <w:sz w:val="20"/>
        </w:rPr>
        <w:t xml:space="preserve"> (</w:t>
      </w:r>
      <w:r w:rsidRPr="006F29F5">
        <w:rPr>
          <w:i/>
          <w:kern w:val="2"/>
          <w:sz w:val="20"/>
        </w:rPr>
        <w:t>RICO</w:t>
      </w:r>
      <w:r w:rsidRPr="006F29F5">
        <w:rPr>
          <w:kern w:val="2"/>
          <w:sz w:val="20"/>
        </w:rPr>
        <w:t xml:space="preserve">), </w:t>
      </w:r>
      <w:r w:rsidR="00741E25" w:rsidRPr="006F29F5">
        <w:rPr>
          <w:kern w:val="2"/>
          <w:sz w:val="20"/>
        </w:rPr>
        <w:t xml:space="preserve">sometimes </w:t>
      </w:r>
      <w:r w:rsidRPr="006F29F5">
        <w:rPr>
          <w:kern w:val="2"/>
          <w:sz w:val="20"/>
        </w:rPr>
        <w:t>recognize the right of foreign states to sue. Another option for victims of corruption is to</w:t>
      </w:r>
      <w:r w:rsidR="00A92D91" w:rsidRPr="006F29F5">
        <w:rPr>
          <w:kern w:val="2"/>
          <w:sz w:val="20"/>
        </w:rPr>
        <w:t xml:space="preserve"> </w:t>
      </w:r>
      <w:r w:rsidRPr="006F29F5">
        <w:rPr>
          <w:kern w:val="2"/>
          <w:sz w:val="20"/>
        </w:rPr>
        <w:t>bring an action domestical</w:t>
      </w:r>
      <w:r w:rsidR="00BF6685" w:rsidRPr="006F29F5">
        <w:rPr>
          <w:kern w:val="2"/>
          <w:sz w:val="20"/>
        </w:rPr>
        <w:t>ly and seek to enforce the judg</w:t>
      </w:r>
      <w:r w:rsidRPr="006F29F5">
        <w:rPr>
          <w:kern w:val="2"/>
          <w:sz w:val="20"/>
        </w:rPr>
        <w:t>ment in the foreign jurisdiction in which assets are located.</w:t>
      </w:r>
      <w:r w:rsidRPr="006F29F5">
        <w:rPr>
          <w:kern w:val="2"/>
          <w:sz w:val="20"/>
          <w:vertAlign w:val="superscript"/>
        </w:rPr>
        <w:footnoteReference w:id="42"/>
      </w:r>
      <w:r w:rsidRPr="006F29F5">
        <w:rPr>
          <w:kern w:val="2"/>
          <w:sz w:val="20"/>
        </w:rPr>
        <w:t xml:space="preserve"> </w:t>
      </w:r>
    </w:p>
    <w:p w14:paraId="2751F9B2" w14:textId="6D920CC3" w:rsidR="00074E3F" w:rsidRPr="006F29F5" w:rsidRDefault="00074E3F" w:rsidP="00A92D91">
      <w:pPr>
        <w:keepLines/>
        <w:rPr>
          <w:rFonts w:cs="Times New Roman"/>
          <w:color w:val="000000" w:themeColor="text1"/>
          <w:kern w:val="2"/>
          <w:sz w:val="20"/>
        </w:rPr>
      </w:pPr>
      <w:r w:rsidRPr="006F29F5">
        <w:rPr>
          <w:rFonts w:cs="Times New Roman"/>
          <w:color w:val="000000" w:themeColor="text1"/>
          <w:kern w:val="2"/>
          <w:sz w:val="20"/>
        </w:rPr>
        <w:t xml:space="preserve">In general, to be enforceable in Canada, a judgment </w:t>
      </w:r>
      <w:r w:rsidR="00CC1E13" w:rsidRPr="006F29F5">
        <w:rPr>
          <w:rFonts w:cs="Times New Roman"/>
          <w:color w:val="000000" w:themeColor="text1"/>
          <w:kern w:val="2"/>
          <w:sz w:val="20"/>
        </w:rPr>
        <w:t>“</w:t>
      </w:r>
      <w:r w:rsidRPr="006F29F5">
        <w:rPr>
          <w:rFonts w:cs="Times New Roman"/>
          <w:color w:val="000000" w:themeColor="text1"/>
          <w:kern w:val="2"/>
          <w:sz w:val="20"/>
        </w:rPr>
        <w:t>must have been rendered by a court of competent jurisdiction and must be final, and it must be of a nature that the principle of comity requires the domestic court to enforce.</w:t>
      </w:r>
      <w:r w:rsidR="00CC1E13" w:rsidRPr="006F29F5">
        <w:rPr>
          <w:rFonts w:cs="Times New Roman"/>
          <w:color w:val="000000" w:themeColor="text1"/>
          <w:kern w:val="2"/>
          <w:sz w:val="20"/>
        </w:rPr>
        <w:t>”</w:t>
      </w:r>
      <w:r w:rsidRPr="006F29F5">
        <w:rPr>
          <w:rStyle w:val="FootnoteReference"/>
          <w:rFonts w:cs="Times New Roman"/>
          <w:color w:val="000000" w:themeColor="text1"/>
          <w:kern w:val="2"/>
          <w:sz w:val="20"/>
        </w:rPr>
        <w:footnoteReference w:id="43"/>
      </w:r>
      <w:r w:rsidRPr="006F29F5">
        <w:rPr>
          <w:rFonts w:cs="Times New Roman"/>
          <w:color w:val="000000" w:themeColor="text1"/>
          <w:kern w:val="2"/>
          <w:sz w:val="20"/>
        </w:rPr>
        <w:t xml:space="preserve"> The defences to enforcement of a foreign judgment include fraud, public policy and lack of natural justice.</w:t>
      </w:r>
      <w:r w:rsidRPr="006F29F5">
        <w:rPr>
          <w:rStyle w:val="FootnoteReference"/>
          <w:rFonts w:cs="Times New Roman"/>
          <w:color w:val="000000" w:themeColor="text1"/>
          <w:kern w:val="2"/>
          <w:sz w:val="20"/>
        </w:rPr>
        <w:footnoteReference w:id="44"/>
      </w:r>
      <w:r w:rsidRPr="006F29F5">
        <w:rPr>
          <w:rFonts w:cs="Times New Roman"/>
          <w:color w:val="000000" w:themeColor="text1"/>
          <w:kern w:val="2"/>
          <w:sz w:val="20"/>
        </w:rPr>
        <w:t xml:space="preserve"> Overall, Canadian courts have adopted a </w:t>
      </w:r>
      <w:r w:rsidR="00CC1E13" w:rsidRPr="006F29F5">
        <w:rPr>
          <w:rFonts w:cs="Times New Roman"/>
          <w:color w:val="000000" w:themeColor="text1"/>
          <w:kern w:val="2"/>
          <w:sz w:val="20"/>
        </w:rPr>
        <w:t>“</w:t>
      </w:r>
      <w:r w:rsidRPr="006F29F5">
        <w:rPr>
          <w:rFonts w:cs="Times New Roman"/>
          <w:color w:val="000000" w:themeColor="text1"/>
          <w:kern w:val="2"/>
          <w:sz w:val="20"/>
        </w:rPr>
        <w:t>generous and liberal</w:t>
      </w:r>
      <w:r w:rsidR="00CC1E13" w:rsidRPr="006F29F5">
        <w:rPr>
          <w:rFonts w:cs="Times New Roman"/>
          <w:color w:val="000000" w:themeColor="text1"/>
          <w:kern w:val="2"/>
          <w:sz w:val="20"/>
        </w:rPr>
        <w:t>”</w:t>
      </w:r>
      <w:r w:rsidRPr="006F29F5">
        <w:rPr>
          <w:rFonts w:cs="Times New Roman"/>
          <w:color w:val="000000" w:themeColor="text1"/>
          <w:kern w:val="2"/>
          <w:sz w:val="20"/>
        </w:rPr>
        <w:t xml:space="preserve"> approach to the enforcement of foreign judgments, but the recent case against Chevron</w:t>
      </w:r>
      <w:r w:rsidR="00220AC9" w:rsidRPr="006F29F5">
        <w:rPr>
          <w:rFonts w:cs="Times New Roman"/>
          <w:color w:val="000000" w:themeColor="text1"/>
          <w:kern w:val="2"/>
          <w:sz w:val="20"/>
        </w:rPr>
        <w:t xml:space="preserve"> </w:t>
      </w:r>
      <w:r w:rsidRPr="006F29F5">
        <w:rPr>
          <w:rFonts w:cs="Times New Roman"/>
          <w:color w:val="000000" w:themeColor="text1"/>
          <w:kern w:val="2"/>
          <w:sz w:val="20"/>
        </w:rPr>
        <w:t>demonstrates that enforcement of foreign judgments in complex disputes may involve years of litigation in multiple jurisdictions.</w:t>
      </w:r>
      <w:r w:rsidR="0031558F" w:rsidRPr="006F29F5">
        <w:rPr>
          <w:rStyle w:val="FootnoteReference"/>
          <w:rFonts w:cs="Times New Roman"/>
          <w:color w:val="000000" w:themeColor="text1"/>
          <w:kern w:val="2"/>
          <w:sz w:val="20"/>
        </w:rPr>
        <w:footnoteReference w:id="45"/>
      </w:r>
    </w:p>
    <w:tbl>
      <w:tblPr>
        <w:tblStyle w:val="TableGrid"/>
        <w:tblW w:w="0" w:type="auto"/>
        <w:jc w:val="center"/>
        <w:tblCellMar>
          <w:top w:w="142" w:type="dxa"/>
          <w:left w:w="284" w:type="dxa"/>
          <w:bottom w:w="142" w:type="dxa"/>
          <w:right w:w="284" w:type="dxa"/>
        </w:tblCellMar>
        <w:tblLook w:val="04A0" w:firstRow="1" w:lastRow="0" w:firstColumn="1" w:lastColumn="0" w:noHBand="0" w:noVBand="1"/>
      </w:tblPr>
      <w:tblGrid>
        <w:gridCol w:w="8070"/>
      </w:tblGrid>
      <w:tr w:rsidR="00335E55" w:rsidRPr="006F29F5" w14:paraId="3BA272E5" w14:textId="77777777" w:rsidTr="00335E55">
        <w:trPr>
          <w:jc w:val="center"/>
        </w:trPr>
        <w:tc>
          <w:tcPr>
            <w:tcW w:w="9350" w:type="dxa"/>
          </w:tcPr>
          <w:p w14:paraId="3E55E77A" w14:textId="77777777" w:rsidR="00335E55" w:rsidRPr="006F29F5" w:rsidRDefault="00335E55" w:rsidP="00335E55">
            <w:pPr>
              <w:spacing w:before="120" w:after="120"/>
              <w:rPr>
                <w:rFonts w:eastAsia="Calibri" w:cs="Times New Roman"/>
                <w:b/>
                <w:kern w:val="2"/>
                <w:sz w:val="20"/>
              </w:rPr>
            </w:pPr>
            <w:r w:rsidRPr="006F29F5">
              <w:rPr>
                <w:rFonts w:eastAsia="Calibri" w:cs="Times New Roman"/>
                <w:b/>
                <w:kern w:val="2"/>
                <w:sz w:val="20"/>
              </w:rPr>
              <w:t>An Example of a Complex Enforcement of a Foreign Judgment Case</w:t>
            </w:r>
          </w:p>
          <w:p w14:paraId="7FE6283C" w14:textId="7604CF1D" w:rsidR="00335E55" w:rsidRPr="006F29F5" w:rsidRDefault="00335E55" w:rsidP="003C279E">
            <w:pPr>
              <w:spacing w:before="120" w:after="120"/>
              <w:rPr>
                <w:rFonts w:eastAsia="Calibri" w:cs="Times New Roman"/>
                <w:kern w:val="2"/>
                <w:sz w:val="20"/>
                <w:highlight w:val="yellow"/>
              </w:rPr>
            </w:pPr>
            <w:r w:rsidRPr="006F29F5">
              <w:rPr>
                <w:rFonts w:eastAsia="Calibri" w:cs="Times New Roman"/>
                <w:kern w:val="2"/>
                <w:sz w:val="20"/>
              </w:rPr>
              <w:t>In the Chevron case, in 2011, after a seven-year-long trial process, a provincial court in Ecuador issued a judgment ordering California-based oil company Chevron to pay $8.6 billion in environmental damages and $8.6 billion in punitive damages to the plaintiffs representing around 30,000 Ecuadorian indigenous villagers. In November 2013, Ecuador’s Court of Cassation reduced the total amount to $9.5 billion. In May 2012, the plaintiffs sought recognition and enforcement of the Ecuadorian judgment against Chevron and its Canadian subsidiary in the Ontario Superior Court of Justice. The dispute ultimately reached the Supreme Court of Canada, which held that the only prerequisite to recognize and enforce a foreign judgment is that the foreign court had a real and substantial connection with the litigants or with the subject matter of the dispute, or that the traditional bases of jurisdiction (the defendant’s presence in the jurisdiction or consent to submit to the court’s jurisdiction) were satisfied.</w:t>
            </w:r>
            <w:r w:rsidR="003C279E" w:rsidRPr="006F29F5">
              <w:rPr>
                <w:rStyle w:val="FootnoteReference"/>
                <w:rFonts w:eastAsia="Calibri" w:cs="Times New Roman"/>
                <w:kern w:val="2"/>
                <w:sz w:val="20"/>
              </w:rPr>
              <w:footnoteReference w:id="46"/>
            </w:r>
            <w:r w:rsidR="003C279E" w:rsidRPr="006F29F5">
              <w:rPr>
                <w:rFonts w:eastAsia="Calibri" w:cs="Times New Roman"/>
                <w:kern w:val="2"/>
                <w:sz w:val="20"/>
              </w:rPr>
              <w:t xml:space="preserve"> </w:t>
            </w:r>
            <w:r w:rsidRPr="006F29F5">
              <w:rPr>
                <w:rFonts w:eastAsia="Calibri" w:cs="Times New Roman"/>
                <w:kern w:val="2"/>
                <w:sz w:val="20"/>
              </w:rPr>
              <w:t xml:space="preserve">There is no need to prove that a </w:t>
            </w:r>
            <w:r w:rsidR="00CC1E13" w:rsidRPr="006F29F5">
              <w:rPr>
                <w:rFonts w:eastAsia="Calibri" w:cs="Times New Roman"/>
                <w:kern w:val="2"/>
                <w:sz w:val="20"/>
              </w:rPr>
              <w:t>“</w:t>
            </w:r>
            <w:r w:rsidRPr="006F29F5">
              <w:rPr>
                <w:rFonts w:eastAsia="Calibri" w:cs="Times New Roman"/>
                <w:kern w:val="2"/>
                <w:sz w:val="20"/>
              </w:rPr>
              <w:t>real and substantial connection</w:t>
            </w:r>
            <w:r w:rsidR="00CC1E13" w:rsidRPr="006F29F5">
              <w:rPr>
                <w:rFonts w:eastAsia="Calibri" w:cs="Times New Roman"/>
                <w:kern w:val="2"/>
                <w:sz w:val="20"/>
              </w:rPr>
              <w:t>”</w:t>
            </w:r>
            <w:r w:rsidRPr="006F29F5">
              <w:rPr>
                <w:rFonts w:eastAsia="Calibri" w:cs="Times New Roman"/>
                <w:kern w:val="2"/>
                <w:sz w:val="20"/>
              </w:rPr>
              <w:t xml:space="preserve"> exists between the enforcing forum and the judgment debtor or the dispute, or that that the foreign debtor has </w:t>
            </w:r>
            <w:r w:rsidR="003C279E" w:rsidRPr="006F29F5">
              <w:rPr>
                <w:rFonts w:eastAsia="Calibri" w:cs="Times New Roman"/>
                <w:kern w:val="2"/>
                <w:sz w:val="20"/>
              </w:rPr>
              <w:t>assets in the enforcing forum.</w:t>
            </w:r>
            <w:r w:rsidR="003C279E" w:rsidRPr="006F29F5">
              <w:rPr>
                <w:rStyle w:val="FootnoteReference"/>
                <w:rFonts w:eastAsia="Calibri" w:cs="Times New Roman"/>
                <w:kern w:val="2"/>
                <w:sz w:val="20"/>
              </w:rPr>
              <w:footnoteReference w:id="47"/>
            </w:r>
            <w:r w:rsidR="003C279E" w:rsidRPr="006F29F5">
              <w:rPr>
                <w:rFonts w:eastAsia="Calibri" w:cs="Times New Roman"/>
                <w:kern w:val="2"/>
                <w:sz w:val="20"/>
              </w:rPr>
              <w:t xml:space="preserve"> </w:t>
            </w:r>
            <w:r w:rsidRPr="006F29F5">
              <w:rPr>
                <w:rFonts w:eastAsia="Calibri" w:cs="Times New Roman"/>
                <w:kern w:val="2"/>
                <w:sz w:val="20"/>
              </w:rPr>
              <w:t>However, the fact that a court in Canada has jurisdiction in an enforcement proceeding does not mean that the judgment will be enforced because the debtor may still raise any of the available defences (i.e. fraud, denial of natural justice or public policy).</w:t>
            </w:r>
            <w:r w:rsidR="003C279E" w:rsidRPr="006F29F5">
              <w:rPr>
                <w:rStyle w:val="FootnoteReference"/>
                <w:rFonts w:eastAsia="Calibri" w:cs="Times New Roman"/>
                <w:kern w:val="2"/>
                <w:sz w:val="20"/>
              </w:rPr>
              <w:footnoteReference w:id="48"/>
            </w:r>
            <w:r w:rsidRPr="006F29F5">
              <w:rPr>
                <w:rFonts w:eastAsia="Calibri" w:cs="Times New Roman"/>
                <w:kern w:val="2"/>
                <w:sz w:val="20"/>
              </w:rPr>
              <w:t xml:space="preserve"> Here Chevron instituted legal proceedings in the United States alleging that the plaintiffs’ American lawyer Steven </w:t>
            </w:r>
            <w:proofErr w:type="spellStart"/>
            <w:r w:rsidRPr="006F29F5">
              <w:rPr>
                <w:rFonts w:eastAsia="Calibri" w:cs="Times New Roman"/>
                <w:kern w:val="2"/>
                <w:sz w:val="20"/>
              </w:rPr>
              <w:t>Donziger</w:t>
            </w:r>
            <w:proofErr w:type="spellEnd"/>
            <w:r w:rsidRPr="006F29F5">
              <w:rPr>
                <w:rFonts w:eastAsia="Calibri" w:cs="Times New Roman"/>
                <w:kern w:val="2"/>
                <w:sz w:val="20"/>
              </w:rPr>
              <w:t xml:space="preserve"> and his team corrupted the Ecuadorian proceedings by offering a bribe of $500,000 to the trial judge and </w:t>
            </w:r>
            <w:r w:rsidR="00CC1E13" w:rsidRPr="006F29F5">
              <w:rPr>
                <w:rFonts w:eastAsia="Calibri" w:cs="Times New Roman"/>
                <w:kern w:val="2"/>
                <w:sz w:val="20"/>
              </w:rPr>
              <w:t>“</w:t>
            </w:r>
            <w:r w:rsidRPr="006F29F5">
              <w:rPr>
                <w:rFonts w:eastAsia="Calibri" w:cs="Times New Roman"/>
                <w:kern w:val="2"/>
                <w:sz w:val="20"/>
              </w:rPr>
              <w:t>ghost-writing</w:t>
            </w:r>
            <w:r w:rsidR="00CC1E13" w:rsidRPr="006F29F5">
              <w:rPr>
                <w:rFonts w:eastAsia="Calibri" w:cs="Times New Roman"/>
                <w:kern w:val="2"/>
                <w:sz w:val="20"/>
              </w:rPr>
              <w:t>”</w:t>
            </w:r>
            <w:r w:rsidRPr="006F29F5">
              <w:rPr>
                <w:rFonts w:eastAsia="Calibri" w:cs="Times New Roman"/>
                <w:kern w:val="2"/>
                <w:sz w:val="20"/>
              </w:rPr>
              <w:t xml:space="preserve"> the judgment. In 2011, Judge Kaplan of the US District Court for the Southern District of New York granted Chevron a global anti-enforcement injunction with respect to the Ecuadorian judgment.</w:t>
            </w:r>
            <w:r w:rsidR="003C279E" w:rsidRPr="006F29F5">
              <w:rPr>
                <w:rStyle w:val="FootnoteReference"/>
                <w:rFonts w:eastAsia="Calibri" w:cs="Times New Roman"/>
                <w:kern w:val="2"/>
                <w:sz w:val="20"/>
              </w:rPr>
              <w:footnoteReference w:id="49"/>
            </w:r>
            <w:r w:rsidRPr="006F29F5">
              <w:rPr>
                <w:rFonts w:eastAsia="Calibri" w:cs="Times New Roman"/>
                <w:kern w:val="2"/>
                <w:sz w:val="20"/>
              </w:rPr>
              <w:t xml:space="preserve"> In 2014, Judge Kaplan held that the Ecuadorian judgment had been procured by fraud.</w:t>
            </w:r>
            <w:r w:rsidR="003C279E" w:rsidRPr="006F29F5">
              <w:rPr>
                <w:rStyle w:val="FootnoteReference"/>
                <w:rFonts w:eastAsia="Calibri" w:cs="Times New Roman"/>
                <w:kern w:val="2"/>
                <w:sz w:val="20"/>
              </w:rPr>
              <w:footnoteReference w:id="50"/>
            </w:r>
            <w:r w:rsidRPr="006F29F5">
              <w:rPr>
                <w:rFonts w:eastAsia="Calibri" w:cs="Times New Roman"/>
                <w:kern w:val="2"/>
                <w:sz w:val="20"/>
              </w:rPr>
              <w:t xml:space="preserve"> In Canada, the case is currently back before the Ontario Superior Court of Justice where Chevron argues that the Ecuadorian judgment was fraudulently obtained and may not be enforced against Chevron’s Canadian subsidiary.</w:t>
            </w:r>
            <w:r w:rsidR="003C279E" w:rsidRPr="006F29F5">
              <w:rPr>
                <w:rStyle w:val="FootnoteReference"/>
                <w:rFonts w:eastAsia="Calibri" w:cs="Times New Roman"/>
                <w:kern w:val="2"/>
                <w:sz w:val="20"/>
              </w:rPr>
              <w:footnoteReference w:id="51"/>
            </w:r>
          </w:p>
        </w:tc>
      </w:tr>
    </w:tbl>
    <w:p w14:paraId="4E3824A0" w14:textId="234162E0" w:rsidR="00093B2A" w:rsidRPr="006F29F5" w:rsidRDefault="00093B2A" w:rsidP="00335E55">
      <w:pPr>
        <w:rPr>
          <w:rFonts w:eastAsia="Calibri" w:cs="Times New Roman"/>
          <w:kern w:val="2"/>
          <w:sz w:val="20"/>
        </w:rPr>
      </w:pPr>
      <w:r w:rsidRPr="006F29F5">
        <w:rPr>
          <w:rFonts w:eastAsia="Calibri" w:cs="Times New Roman"/>
          <w:kern w:val="2"/>
          <w:sz w:val="20"/>
        </w:rPr>
        <w:t xml:space="preserve">Civil actions in corruption cases may benefit private interests or public interests. In this respect, </w:t>
      </w:r>
      <w:proofErr w:type="spellStart"/>
      <w:r w:rsidRPr="006F29F5">
        <w:rPr>
          <w:rFonts w:eastAsia="Calibri" w:cs="Times New Roman"/>
          <w:kern w:val="2"/>
          <w:sz w:val="20"/>
        </w:rPr>
        <w:t>Makinwa</w:t>
      </w:r>
      <w:proofErr w:type="spellEnd"/>
      <w:r w:rsidRPr="006F29F5">
        <w:rPr>
          <w:rFonts w:eastAsia="Calibri" w:cs="Times New Roman"/>
          <w:kern w:val="2"/>
          <w:sz w:val="20"/>
        </w:rPr>
        <w:t xml:space="preserve"> divides claims for damage into two categories. The first </w:t>
      </w:r>
      <w:r w:rsidR="00E36E06" w:rsidRPr="006F29F5">
        <w:rPr>
          <w:rFonts w:eastAsia="Calibri" w:cs="Times New Roman"/>
          <w:kern w:val="2"/>
          <w:sz w:val="20"/>
        </w:rPr>
        <w:t xml:space="preserve">involves </w:t>
      </w:r>
      <w:r w:rsidRPr="006F29F5">
        <w:rPr>
          <w:rFonts w:eastAsia="Calibri" w:cs="Times New Roman"/>
          <w:kern w:val="2"/>
          <w:sz w:val="20"/>
        </w:rPr>
        <w:t xml:space="preserve">claims for damage to private interests. Claimants in this category are direct parties to a corruption-tainted transaction, such as shareholders or losing competitors in a bidding process. States or public entities can be included in this category if they are party to a tainted contract. Remedies for damaged private interests are found in tort law, principles of fiduciary duty, or securities and antitrust litigation. The second category </w:t>
      </w:r>
      <w:r w:rsidR="00E36E06" w:rsidRPr="006F29F5">
        <w:rPr>
          <w:rFonts w:eastAsia="Calibri" w:cs="Times New Roman"/>
          <w:kern w:val="2"/>
          <w:sz w:val="20"/>
        </w:rPr>
        <w:t>of</w:t>
      </w:r>
      <w:r w:rsidRPr="006F29F5">
        <w:rPr>
          <w:rFonts w:eastAsia="Calibri" w:cs="Times New Roman"/>
          <w:kern w:val="2"/>
          <w:sz w:val="20"/>
        </w:rPr>
        <w:t xml:space="preserve"> claims </w:t>
      </w:r>
      <w:r w:rsidR="006642D3" w:rsidRPr="006F29F5">
        <w:rPr>
          <w:rFonts w:eastAsia="Calibri" w:cs="Times New Roman"/>
          <w:kern w:val="2"/>
          <w:sz w:val="20"/>
        </w:rPr>
        <w:t xml:space="preserve">is </w:t>
      </w:r>
      <w:r w:rsidRPr="006F29F5">
        <w:rPr>
          <w:rFonts w:eastAsia="Calibri" w:cs="Times New Roman"/>
          <w:kern w:val="2"/>
          <w:sz w:val="20"/>
        </w:rPr>
        <w:t xml:space="preserve">for damage to public interests. Claimants in this category are indirect victims of corruption, or states and civil society groups claiming on behalf of indirect victims. Because obtaining legal standing and establishing a cause of action is challenging for indirect victims, they </w:t>
      </w:r>
      <w:r w:rsidR="00CC1E13" w:rsidRPr="006F29F5">
        <w:rPr>
          <w:rFonts w:eastAsia="Calibri" w:cs="Times New Roman"/>
          <w:kern w:val="2"/>
          <w:sz w:val="20"/>
        </w:rPr>
        <w:t>“</w:t>
      </w:r>
      <w:r w:rsidRPr="006F29F5">
        <w:rPr>
          <w:rFonts w:eastAsia="Calibri" w:cs="Times New Roman"/>
          <w:kern w:val="2"/>
          <w:sz w:val="20"/>
        </w:rPr>
        <w:t xml:space="preserve">do not have as clear a path to redress as compared with the methods available to direct victims such as principals, shareholders and third parties affected by </w:t>
      </w:r>
      <w:proofErr w:type="spellStart"/>
      <w:r w:rsidRPr="006F29F5">
        <w:rPr>
          <w:rFonts w:eastAsia="Calibri" w:cs="Times New Roman"/>
          <w:kern w:val="2"/>
          <w:sz w:val="20"/>
        </w:rPr>
        <w:t>noncompetitive</w:t>
      </w:r>
      <w:proofErr w:type="spellEnd"/>
      <w:r w:rsidRPr="006F29F5">
        <w:rPr>
          <w:rFonts w:eastAsia="Calibri" w:cs="Times New Roman"/>
          <w:kern w:val="2"/>
          <w:sz w:val="20"/>
        </w:rPr>
        <w:t xml:space="preserve"> behavior.</w:t>
      </w:r>
      <w:r w:rsidR="00CC1E13" w:rsidRPr="006F29F5">
        <w:rPr>
          <w:rFonts w:eastAsia="Calibri" w:cs="Times New Roman"/>
          <w:kern w:val="2"/>
          <w:sz w:val="20"/>
        </w:rPr>
        <w:t>”</w:t>
      </w:r>
      <w:r w:rsidRPr="006F29F5">
        <w:rPr>
          <w:rFonts w:eastAsia="Calibri" w:cs="Times New Roman"/>
          <w:kern w:val="2"/>
          <w:sz w:val="20"/>
          <w:vertAlign w:val="superscript"/>
        </w:rPr>
        <w:footnoteReference w:id="52"/>
      </w:r>
      <w:r w:rsidRPr="006F29F5">
        <w:rPr>
          <w:rFonts w:eastAsia="Calibri" w:cs="Times New Roman"/>
          <w:kern w:val="2"/>
          <w:sz w:val="20"/>
        </w:rPr>
        <w:t xml:space="preserve"> </w:t>
      </w:r>
      <w:proofErr w:type="spellStart"/>
      <w:r w:rsidRPr="006F29F5">
        <w:rPr>
          <w:rFonts w:eastAsia="Calibri" w:cs="Times New Roman"/>
          <w:kern w:val="2"/>
          <w:sz w:val="20"/>
        </w:rPr>
        <w:t>Makinwa</w:t>
      </w:r>
      <w:proofErr w:type="spellEnd"/>
      <w:r w:rsidR="00E36E06" w:rsidRPr="006F29F5">
        <w:rPr>
          <w:rFonts w:eastAsia="Calibri" w:cs="Times New Roman"/>
          <w:kern w:val="2"/>
          <w:sz w:val="20"/>
        </w:rPr>
        <w:t>, however,</w:t>
      </w:r>
      <w:r w:rsidRPr="006F29F5">
        <w:rPr>
          <w:rFonts w:eastAsia="Calibri" w:cs="Times New Roman"/>
          <w:kern w:val="2"/>
          <w:sz w:val="20"/>
        </w:rPr>
        <w:t xml:space="preserve"> lists some strategies used in past cases involving damage to the public interest:</w:t>
      </w:r>
    </w:p>
    <w:p w14:paraId="5AE1E531" w14:textId="05818BE5" w:rsidR="00093B2A" w:rsidRPr="006F29F5" w:rsidRDefault="00093B2A" w:rsidP="00863577">
      <w:pPr>
        <w:pStyle w:val="BlockQuote"/>
        <w:rPr>
          <w:kern w:val="2"/>
          <w:sz w:val="20"/>
        </w:rPr>
      </w:pPr>
      <w:r w:rsidRPr="006F29F5">
        <w:rPr>
          <w:kern w:val="2"/>
          <w:sz w:val="20"/>
        </w:rPr>
        <w:t xml:space="preserve">[Examples include] a state government using private law processes to protect the </w:t>
      </w:r>
      <w:r w:rsidRPr="006F29F5">
        <w:rPr>
          <w:i/>
          <w:kern w:val="2"/>
          <w:sz w:val="20"/>
        </w:rPr>
        <w:t>interest of the state and people;</w:t>
      </w:r>
      <w:r w:rsidRPr="006F29F5">
        <w:rPr>
          <w:kern w:val="2"/>
          <w:sz w:val="20"/>
        </w:rPr>
        <w:t xml:space="preserve"> a state company seeking redress for international corrupt activity affecting its officials; and a succeeding government using the processes of private law to seek remedies for corrupt actions. Other examples show attempts by NGOs and private citizens to seek redress on behalf of the general citizenry for damage caused by a corrupt activity.</w:t>
      </w:r>
      <w:r w:rsidR="002D5B4E" w:rsidRPr="006F29F5">
        <w:rPr>
          <w:rFonts w:eastAsia="Calibri" w:cs="Times New Roman"/>
          <w:kern w:val="2"/>
          <w:sz w:val="20"/>
          <w:vertAlign w:val="superscript"/>
        </w:rPr>
        <w:footnoteReference w:id="53"/>
      </w:r>
      <w:r w:rsidRPr="006F29F5">
        <w:rPr>
          <w:kern w:val="2"/>
          <w:sz w:val="20"/>
        </w:rPr>
        <w:t xml:space="preserve"> </w:t>
      </w:r>
    </w:p>
    <w:p w14:paraId="20C6E884" w14:textId="26F7CB74" w:rsidR="00093B2A" w:rsidRPr="006F29F5" w:rsidRDefault="00093B2A" w:rsidP="004B6B32">
      <w:pPr>
        <w:rPr>
          <w:rFonts w:eastAsia="Calibri" w:cs="Times New Roman"/>
          <w:kern w:val="2"/>
          <w:sz w:val="20"/>
          <w:szCs w:val="24"/>
        </w:rPr>
      </w:pPr>
      <w:r w:rsidRPr="006F29F5">
        <w:rPr>
          <w:rFonts w:eastAsia="Calibri" w:cs="Times New Roman"/>
          <w:kern w:val="2"/>
          <w:sz w:val="20"/>
          <w:szCs w:val="24"/>
        </w:rPr>
        <w:t>Recovery in civil proceedings can take the form of compensation for damages, return of property acquired through corruption to the legitimate owner, or restitution of the rewards of unjust enrichment. As mentioned above, civil remedies in corruption cases do not always further the goals of asset recovery and instead might be related to sanctioning wrongdoing and compensating individuals for harm arising from corrupt conduct. The following sections will explore various claims and remedies related to anti</w:t>
      </w:r>
      <w:r w:rsidR="003A14A6" w:rsidRPr="006F29F5">
        <w:rPr>
          <w:rFonts w:eastAsia="Calibri" w:cs="Times New Roman"/>
          <w:kern w:val="2"/>
          <w:sz w:val="20"/>
          <w:szCs w:val="24"/>
        </w:rPr>
        <w:t>-</w:t>
      </w:r>
      <w:r w:rsidRPr="006F29F5">
        <w:rPr>
          <w:rFonts w:eastAsia="Calibri" w:cs="Times New Roman"/>
          <w:kern w:val="2"/>
          <w:sz w:val="20"/>
          <w:szCs w:val="24"/>
        </w:rPr>
        <w:t>corruption and asset recovery goals.</w:t>
      </w:r>
    </w:p>
    <w:p w14:paraId="3AACFBA5" w14:textId="4014D75E" w:rsidR="00093B2A" w:rsidRPr="006F29F5" w:rsidRDefault="00093B2A" w:rsidP="00F17516">
      <w:pPr>
        <w:pStyle w:val="Heading4"/>
        <w:rPr>
          <w:kern w:val="2"/>
          <w:sz w:val="22"/>
        </w:rPr>
      </w:pPr>
      <w:r w:rsidRPr="006F29F5">
        <w:rPr>
          <w:kern w:val="2"/>
          <w:sz w:val="22"/>
        </w:rPr>
        <w:t>Personal Claims and Remedies</w:t>
      </w:r>
    </w:p>
    <w:p w14:paraId="1492E90F" w14:textId="25C8F1A1" w:rsidR="00093B2A" w:rsidRPr="006F29F5" w:rsidRDefault="00093B2A" w:rsidP="004B6B32">
      <w:pPr>
        <w:rPr>
          <w:rFonts w:eastAsia="Calibri" w:cs="Times New Roman"/>
          <w:kern w:val="2"/>
          <w:sz w:val="20"/>
        </w:rPr>
      </w:pPr>
      <w:r w:rsidRPr="006F29F5">
        <w:rPr>
          <w:rFonts w:eastAsia="Calibri" w:cs="Times New Roman"/>
          <w:kern w:val="2"/>
          <w:sz w:val="20"/>
          <w:szCs w:val="24"/>
        </w:rPr>
        <w:t xml:space="preserve">Victims of corruption can bring claims against other persons to seek redress for damage caused by corruption. For example, a victim might bring an action in tort for monetary damages to compensate for economic losses caused by corruption. Possible plaintiffs include governments that pay excessive amounts for goods or services due to bribes paid to their officials or harmed individuals like consumers and unsuccessful </w:t>
      </w:r>
      <w:r w:rsidRPr="006F29F5">
        <w:rPr>
          <w:rFonts w:eastAsia="Calibri" w:cs="Times New Roman"/>
          <w:kern w:val="2"/>
          <w:sz w:val="20"/>
        </w:rPr>
        <w:t xml:space="preserve">bidders. </w:t>
      </w:r>
    </w:p>
    <w:p w14:paraId="6303AAF4" w14:textId="77777777" w:rsidR="00093B2A" w:rsidRPr="006F29F5" w:rsidRDefault="00093B2A" w:rsidP="00F20986">
      <w:pPr>
        <w:numPr>
          <w:ilvl w:val="0"/>
          <w:numId w:val="6"/>
        </w:numPr>
        <w:spacing w:line="259" w:lineRule="auto"/>
        <w:contextualSpacing/>
        <w:rPr>
          <w:rFonts w:eastAsia="Calibri" w:cs="Times New Roman"/>
          <w:b/>
          <w:kern w:val="2"/>
          <w:sz w:val="20"/>
        </w:rPr>
      </w:pPr>
      <w:r w:rsidRPr="006F29F5">
        <w:rPr>
          <w:rFonts w:eastAsia="Calibri" w:cs="Times New Roman"/>
          <w:b/>
          <w:kern w:val="2"/>
          <w:sz w:val="20"/>
        </w:rPr>
        <w:t>Actions for compensation for damages in tort</w:t>
      </w:r>
    </w:p>
    <w:p w14:paraId="1EC24FEC" w14:textId="77777777" w:rsidR="00093B2A" w:rsidRPr="006F29F5" w:rsidRDefault="00093B2A" w:rsidP="00093B2A">
      <w:pPr>
        <w:spacing w:line="259" w:lineRule="auto"/>
        <w:contextualSpacing/>
        <w:rPr>
          <w:rFonts w:eastAsia="Calibri" w:cs="Times New Roman"/>
          <w:b/>
          <w:kern w:val="2"/>
          <w:sz w:val="20"/>
          <w:u w:val="single"/>
        </w:rPr>
      </w:pPr>
    </w:p>
    <w:p w14:paraId="1F80DF30" w14:textId="77777777" w:rsidR="00093B2A" w:rsidRPr="006F29F5" w:rsidRDefault="00093B2A" w:rsidP="004B6B32">
      <w:pPr>
        <w:rPr>
          <w:rFonts w:eastAsia="Calibri" w:cs="Times New Roman"/>
          <w:kern w:val="2"/>
          <w:sz w:val="20"/>
        </w:rPr>
      </w:pPr>
      <w:r w:rsidRPr="006F29F5">
        <w:rPr>
          <w:rFonts w:eastAsia="Calibri" w:cs="Times New Roman"/>
          <w:kern w:val="2"/>
          <w:sz w:val="20"/>
        </w:rPr>
        <w:t xml:space="preserve">In tort-based actions, the plaintiff is compensated for losses caused by a defendant’s breach of duty. In the case of bribery, the giver and the receiver of the bribe will likely be joint </w:t>
      </w:r>
      <w:proofErr w:type="spellStart"/>
      <w:r w:rsidRPr="006F29F5">
        <w:rPr>
          <w:rFonts w:eastAsia="Calibri" w:cs="Times New Roman"/>
          <w:kern w:val="2"/>
          <w:sz w:val="20"/>
        </w:rPr>
        <w:t>tortfeasors</w:t>
      </w:r>
      <w:proofErr w:type="spellEnd"/>
      <w:r w:rsidRPr="006F29F5">
        <w:rPr>
          <w:rFonts w:eastAsia="Calibri" w:cs="Times New Roman"/>
          <w:kern w:val="2"/>
          <w:sz w:val="20"/>
        </w:rPr>
        <w:t>, since both act wrongfully towards the plaintiff.</w:t>
      </w:r>
      <w:r w:rsidRPr="006F29F5">
        <w:rPr>
          <w:rFonts w:eastAsia="Calibri" w:cs="Times New Roman"/>
          <w:kern w:val="2"/>
          <w:sz w:val="20"/>
          <w:vertAlign w:val="superscript"/>
        </w:rPr>
        <w:footnoteReference w:id="54"/>
      </w:r>
      <w:r w:rsidRPr="006F29F5">
        <w:rPr>
          <w:rFonts w:eastAsia="Calibri" w:cs="Times New Roman"/>
          <w:kern w:val="2"/>
          <w:sz w:val="20"/>
        </w:rPr>
        <w:t xml:space="preserve"> Causes of action useful to asset recovery and corruption include civil fraud, tortious interference, conspiracy and misfeasance in public office.</w:t>
      </w:r>
      <w:r w:rsidRPr="006F29F5">
        <w:rPr>
          <w:rFonts w:eastAsia="Calibri" w:cs="Times New Roman"/>
          <w:kern w:val="2"/>
          <w:sz w:val="20"/>
          <w:vertAlign w:val="superscript"/>
        </w:rPr>
        <w:footnoteReference w:id="55"/>
      </w:r>
      <w:r w:rsidRPr="006F29F5">
        <w:rPr>
          <w:rFonts w:eastAsia="Calibri" w:cs="Times New Roman"/>
          <w:kern w:val="2"/>
          <w:sz w:val="20"/>
        </w:rPr>
        <w:t xml:space="preserve"> Tort claims are sometimes hindered by the need to establish intent on the part of the defendant and causation between the corrupt act and the loss.</w:t>
      </w:r>
    </w:p>
    <w:p w14:paraId="2DFEEEBC" w14:textId="573D79C7" w:rsidR="00093B2A" w:rsidRPr="006F29F5" w:rsidRDefault="00093B2A" w:rsidP="004B6B32">
      <w:pPr>
        <w:rPr>
          <w:rFonts w:eastAsia="Calibri" w:cs="Times New Roman"/>
          <w:i/>
          <w:kern w:val="2"/>
          <w:sz w:val="20"/>
          <w:szCs w:val="24"/>
        </w:rPr>
      </w:pPr>
      <w:r w:rsidRPr="006F29F5">
        <w:rPr>
          <w:rFonts w:eastAsia="Calibri" w:cs="Times New Roman"/>
          <w:kern w:val="2"/>
          <w:sz w:val="20"/>
        </w:rPr>
        <w:t>Tortious interference is relevant when the private interests of parties to a transaction are damaged, such as when bribery taints a bidding process. The interfering conduct must be unlawful, like bribery, in order to provide a foundation for the tort. I</w:t>
      </w:r>
      <w:r w:rsidRPr="006F29F5">
        <w:rPr>
          <w:rFonts w:eastAsia="Calibri" w:cs="Times New Roman"/>
          <w:kern w:val="2"/>
          <w:sz w:val="20"/>
          <w:szCs w:val="24"/>
        </w:rPr>
        <w:t xml:space="preserve">n </w:t>
      </w:r>
      <w:r w:rsidR="00FA3A16" w:rsidRPr="006F29F5">
        <w:rPr>
          <w:rFonts w:eastAsia="Calibri" w:cs="Times New Roman"/>
          <w:i/>
          <w:kern w:val="2"/>
          <w:sz w:val="20"/>
          <w:szCs w:val="24"/>
        </w:rPr>
        <w:t>Korea Supply Co (KSC) v</w:t>
      </w:r>
      <w:r w:rsidRPr="006F29F5">
        <w:rPr>
          <w:rFonts w:eastAsia="Calibri" w:cs="Times New Roman"/>
          <w:i/>
          <w:kern w:val="2"/>
          <w:sz w:val="20"/>
          <w:szCs w:val="24"/>
        </w:rPr>
        <w:t xml:space="preserve"> Lockheed Martin Corp </w:t>
      </w:r>
      <w:r w:rsidRPr="006F29F5">
        <w:rPr>
          <w:rFonts w:eastAsia="Calibri" w:cs="Times New Roman"/>
          <w:kern w:val="2"/>
          <w:sz w:val="20"/>
          <w:szCs w:val="24"/>
        </w:rPr>
        <w:t>(2003)</w:t>
      </w:r>
      <w:r w:rsidRPr="006F29F5">
        <w:rPr>
          <w:rFonts w:eastAsia="Calibri" w:cs="Times New Roman"/>
          <w:i/>
          <w:kern w:val="2"/>
          <w:sz w:val="20"/>
          <w:szCs w:val="24"/>
        </w:rPr>
        <w:t>,</w:t>
      </w:r>
      <w:r w:rsidRPr="006F29F5">
        <w:rPr>
          <w:rFonts w:eastAsia="Calibri" w:cs="Times New Roman"/>
          <w:i/>
          <w:kern w:val="2"/>
          <w:sz w:val="20"/>
          <w:szCs w:val="24"/>
          <w:vertAlign w:val="superscript"/>
        </w:rPr>
        <w:footnoteReference w:id="56"/>
      </w:r>
      <w:r w:rsidRPr="006F29F5">
        <w:rPr>
          <w:rFonts w:eastAsia="Calibri" w:cs="Times New Roman"/>
          <w:i/>
          <w:kern w:val="2"/>
          <w:sz w:val="20"/>
          <w:szCs w:val="24"/>
        </w:rPr>
        <w:t xml:space="preserve"> </w:t>
      </w:r>
      <w:r w:rsidRPr="006F29F5">
        <w:rPr>
          <w:rFonts w:eastAsia="Calibri" w:cs="Times New Roman"/>
          <w:kern w:val="2"/>
          <w:sz w:val="20"/>
          <w:szCs w:val="24"/>
        </w:rPr>
        <w:t xml:space="preserve">KSC succeeded in recovering damages based on the tort of interference with prospective economic advantage. KSC stood to gain a hefty commission if it secured a contract for another company. The defendant, another bidder, bribed a public official and was awarded the contract instead. </w:t>
      </w:r>
    </w:p>
    <w:p w14:paraId="281961EA" w14:textId="7A8206B0" w:rsidR="00093B2A" w:rsidRPr="006F29F5" w:rsidRDefault="00093B2A" w:rsidP="004B6B32">
      <w:pPr>
        <w:spacing w:after="160"/>
        <w:rPr>
          <w:rFonts w:eastAsia="Calibri" w:cs="Times New Roman"/>
          <w:kern w:val="2"/>
          <w:sz w:val="20"/>
        </w:rPr>
      </w:pPr>
      <w:r w:rsidRPr="006F29F5">
        <w:rPr>
          <w:rFonts w:eastAsia="Calibri" w:cs="Times New Roman"/>
          <w:kern w:val="2"/>
          <w:sz w:val="20"/>
        </w:rPr>
        <w:t xml:space="preserve">The tort of misfeasance in public office holds potential to assist in asset recovery, as demonstrated by the successful claim for compensation in </w:t>
      </w:r>
      <w:r w:rsidR="00FA3A16" w:rsidRPr="006F29F5">
        <w:rPr>
          <w:rFonts w:eastAsia="Calibri" w:cs="Times New Roman"/>
          <w:i/>
          <w:kern w:val="2"/>
          <w:sz w:val="20"/>
        </w:rPr>
        <w:t>Marin and Coye v</w:t>
      </w:r>
      <w:r w:rsidRPr="006F29F5">
        <w:rPr>
          <w:rFonts w:eastAsia="Calibri" w:cs="Times New Roman"/>
          <w:i/>
          <w:kern w:val="2"/>
          <w:sz w:val="20"/>
        </w:rPr>
        <w:t xml:space="preserve"> Attorney General of Belize</w:t>
      </w:r>
      <w:r w:rsidRPr="006F29F5">
        <w:rPr>
          <w:rFonts w:eastAsia="Calibri" w:cs="Times New Roman"/>
          <w:kern w:val="2"/>
          <w:sz w:val="20"/>
        </w:rPr>
        <w:t xml:space="preserve"> (2011).</w:t>
      </w:r>
      <w:r w:rsidRPr="006F29F5">
        <w:rPr>
          <w:rFonts w:eastAsia="Calibri" w:cs="Times New Roman"/>
          <w:kern w:val="2"/>
          <w:sz w:val="20"/>
          <w:vertAlign w:val="superscript"/>
        </w:rPr>
        <w:footnoteReference w:id="57"/>
      </w:r>
      <w:r w:rsidRPr="006F29F5">
        <w:rPr>
          <w:rFonts w:eastAsia="Calibri" w:cs="Times New Roman"/>
          <w:kern w:val="2"/>
          <w:sz w:val="20"/>
        </w:rPr>
        <w:t xml:space="preserve"> The state was allowed to bring an action for misfeasance against its own officials, who sold state land to a company beneficially owned by themselves.</w:t>
      </w:r>
      <w:r w:rsidRPr="006F29F5">
        <w:rPr>
          <w:rFonts w:eastAsia="Calibri" w:cs="Times New Roman"/>
          <w:kern w:val="2"/>
          <w:sz w:val="20"/>
          <w:vertAlign w:val="superscript"/>
        </w:rPr>
        <w:footnoteReference w:id="58"/>
      </w:r>
      <w:r w:rsidRPr="006F29F5">
        <w:rPr>
          <w:rFonts w:eastAsia="Calibri" w:cs="Times New Roman"/>
          <w:kern w:val="2"/>
          <w:sz w:val="20"/>
        </w:rPr>
        <w:t xml:space="preserve"> However, </w:t>
      </w:r>
      <w:proofErr w:type="spellStart"/>
      <w:r w:rsidRPr="006F29F5">
        <w:rPr>
          <w:rFonts w:eastAsia="Calibri" w:cs="Times New Roman"/>
          <w:kern w:val="2"/>
          <w:sz w:val="20"/>
        </w:rPr>
        <w:t>Makinwa</w:t>
      </w:r>
      <w:proofErr w:type="spellEnd"/>
      <w:r w:rsidRPr="006F29F5">
        <w:rPr>
          <w:rFonts w:eastAsia="Calibri" w:cs="Times New Roman"/>
          <w:kern w:val="2"/>
          <w:sz w:val="20"/>
        </w:rPr>
        <w:t xml:space="preserve"> warns that claims of misfeasance in public office are often unfeasible due to the requirement of establishing intent to cause loss.</w:t>
      </w:r>
      <w:r w:rsidRPr="006F29F5">
        <w:rPr>
          <w:rFonts w:eastAsia="Calibri" w:cs="Times New Roman"/>
          <w:kern w:val="2"/>
          <w:sz w:val="20"/>
          <w:vertAlign w:val="superscript"/>
        </w:rPr>
        <w:footnoteReference w:id="59"/>
      </w:r>
      <w:r w:rsidRPr="006F29F5">
        <w:rPr>
          <w:rFonts w:eastAsia="Calibri" w:cs="Times New Roman"/>
          <w:kern w:val="2"/>
          <w:sz w:val="20"/>
        </w:rPr>
        <w:t xml:space="preserve"> </w:t>
      </w:r>
    </w:p>
    <w:p w14:paraId="70CE09A6" w14:textId="77777777" w:rsidR="00093B2A" w:rsidRPr="006F29F5" w:rsidRDefault="00093B2A" w:rsidP="004B6B32">
      <w:pPr>
        <w:spacing w:after="160"/>
        <w:rPr>
          <w:rFonts w:eastAsia="Calibri" w:cs="Times New Roman"/>
          <w:kern w:val="2"/>
          <w:sz w:val="20"/>
          <w:szCs w:val="24"/>
        </w:rPr>
      </w:pPr>
      <w:r w:rsidRPr="006F29F5">
        <w:rPr>
          <w:rFonts w:eastAsia="Calibri" w:cs="Times New Roman"/>
          <w:kern w:val="2"/>
          <w:sz w:val="20"/>
          <w:szCs w:val="24"/>
        </w:rPr>
        <w:t xml:space="preserve">In </w:t>
      </w:r>
      <w:r w:rsidRPr="006F29F5">
        <w:rPr>
          <w:rFonts w:eastAsia="Calibri" w:cs="Times New Roman"/>
          <w:i/>
          <w:kern w:val="2"/>
          <w:sz w:val="20"/>
          <w:szCs w:val="24"/>
        </w:rPr>
        <w:t>Attorney General of Zambia</w:t>
      </w:r>
      <w:r w:rsidRPr="006F29F5">
        <w:rPr>
          <w:rFonts w:eastAsia="Calibri" w:cs="Times New Roman"/>
          <w:kern w:val="2"/>
          <w:sz w:val="20"/>
          <w:szCs w:val="24"/>
        </w:rPr>
        <w:t>,</w:t>
      </w:r>
      <w:r w:rsidRPr="006F29F5">
        <w:rPr>
          <w:rFonts w:eastAsia="Calibri" w:cs="Times New Roman"/>
          <w:i/>
          <w:kern w:val="2"/>
          <w:sz w:val="20"/>
          <w:szCs w:val="24"/>
        </w:rPr>
        <w:t xml:space="preserve"> </w:t>
      </w:r>
      <w:r w:rsidRPr="006F29F5">
        <w:rPr>
          <w:rFonts w:eastAsia="Calibri" w:cs="Times New Roman"/>
          <w:kern w:val="2"/>
          <w:sz w:val="20"/>
          <w:szCs w:val="24"/>
        </w:rPr>
        <w:t xml:space="preserve">the Attorney General of Zambia sought the recovery of millions of dollars based on the tort of conspiracy. The money was siphoned from state coffers by ex-president Frederick </w:t>
      </w:r>
      <w:proofErr w:type="spellStart"/>
      <w:r w:rsidRPr="006F29F5">
        <w:rPr>
          <w:rFonts w:eastAsia="Calibri" w:cs="Times New Roman"/>
          <w:kern w:val="2"/>
          <w:sz w:val="20"/>
          <w:szCs w:val="24"/>
        </w:rPr>
        <w:t>Chiluba</w:t>
      </w:r>
      <w:proofErr w:type="spellEnd"/>
      <w:r w:rsidRPr="006F29F5">
        <w:rPr>
          <w:rFonts w:eastAsia="Calibri" w:cs="Times New Roman"/>
          <w:kern w:val="2"/>
          <w:sz w:val="20"/>
          <w:szCs w:val="24"/>
        </w:rPr>
        <w:t xml:space="preserve"> and his cronies under the pretext of payments for bogus security projects. The court found that </w:t>
      </w:r>
      <w:proofErr w:type="spellStart"/>
      <w:r w:rsidRPr="006F29F5">
        <w:rPr>
          <w:rFonts w:eastAsia="Calibri" w:cs="Times New Roman"/>
          <w:kern w:val="2"/>
          <w:sz w:val="20"/>
          <w:szCs w:val="24"/>
        </w:rPr>
        <w:t>Chiluba</w:t>
      </w:r>
      <w:proofErr w:type="spellEnd"/>
      <w:r w:rsidRPr="006F29F5">
        <w:rPr>
          <w:rFonts w:eastAsia="Calibri" w:cs="Times New Roman"/>
          <w:kern w:val="2"/>
          <w:sz w:val="20"/>
          <w:szCs w:val="24"/>
        </w:rPr>
        <w:t xml:space="preserve"> and other officials committed the tort of conspiracy to misappropriate funds and breached their fiduciary duties. They were liable for the value of the misappropriated assets. </w:t>
      </w:r>
    </w:p>
    <w:p w14:paraId="2B5515A0" w14:textId="6A799733" w:rsidR="00093B2A" w:rsidRPr="006F29F5" w:rsidRDefault="00093B2A" w:rsidP="00241EE6">
      <w:pPr>
        <w:rPr>
          <w:rFonts w:eastAsia="Calibri" w:cs="Times New Roman"/>
          <w:kern w:val="2"/>
          <w:sz w:val="20"/>
          <w:szCs w:val="24"/>
        </w:rPr>
      </w:pPr>
      <w:r w:rsidRPr="006F29F5">
        <w:rPr>
          <w:rFonts w:eastAsia="Calibri" w:cs="Times New Roman"/>
          <w:kern w:val="2"/>
          <w:sz w:val="20"/>
          <w:szCs w:val="24"/>
        </w:rPr>
        <w:t xml:space="preserve">Recent developments surrounding the case against SNC-Lavalin Group Inc. provide another example of a civil action for damages in the context of corruption. SNC-Lavalin </w:t>
      </w:r>
      <w:r w:rsidR="00483A5E" w:rsidRPr="006F29F5">
        <w:rPr>
          <w:rFonts w:eastAsia="Calibri" w:cs="Times New Roman"/>
          <w:kern w:val="2"/>
          <w:sz w:val="20"/>
          <w:szCs w:val="24"/>
        </w:rPr>
        <w:t>was</w:t>
      </w:r>
      <w:r w:rsidRPr="006F29F5">
        <w:rPr>
          <w:rFonts w:eastAsia="Calibri" w:cs="Times New Roman"/>
          <w:kern w:val="2"/>
          <w:sz w:val="20"/>
          <w:szCs w:val="24"/>
        </w:rPr>
        <w:t xml:space="preserve"> charged with corruption and fraud in relation to alleged bribery in Libya and is now suing two former executives for financial losses and reputational damage. SNC-Lavalin claims it was unaware that one of the executives was the beneficial owner of a shell consultancy company, which the executives used as a pretext for siphoning funds.</w:t>
      </w:r>
      <w:r w:rsidRPr="006F29F5">
        <w:rPr>
          <w:rFonts w:eastAsia="Calibri" w:cs="Times New Roman"/>
          <w:kern w:val="2"/>
          <w:sz w:val="20"/>
          <w:vertAlign w:val="superscript"/>
        </w:rPr>
        <w:footnoteReference w:id="60"/>
      </w:r>
      <w:r w:rsidRPr="006F29F5">
        <w:rPr>
          <w:rFonts w:eastAsia="Calibri" w:cs="Times New Roman"/>
          <w:kern w:val="2"/>
          <w:sz w:val="20"/>
          <w:szCs w:val="24"/>
        </w:rPr>
        <w:t xml:space="preserve"> </w:t>
      </w:r>
    </w:p>
    <w:p w14:paraId="7A2B5963" w14:textId="77777777" w:rsidR="00093B2A" w:rsidRPr="006F29F5" w:rsidRDefault="00093B2A" w:rsidP="00F20986">
      <w:pPr>
        <w:numPr>
          <w:ilvl w:val="0"/>
          <w:numId w:val="6"/>
        </w:numPr>
        <w:spacing w:line="259" w:lineRule="auto"/>
        <w:rPr>
          <w:rFonts w:eastAsia="Calibri" w:cs="Times New Roman"/>
          <w:b/>
          <w:kern w:val="2"/>
          <w:sz w:val="20"/>
          <w:szCs w:val="24"/>
        </w:rPr>
      </w:pPr>
      <w:r w:rsidRPr="006F29F5">
        <w:rPr>
          <w:rFonts w:eastAsia="Calibri" w:cs="Times New Roman"/>
          <w:b/>
          <w:kern w:val="2"/>
          <w:sz w:val="20"/>
          <w:szCs w:val="24"/>
        </w:rPr>
        <w:t>Actions for contractual invalidity, contractual damages and contractual restitution</w:t>
      </w:r>
    </w:p>
    <w:p w14:paraId="6C1128FE" w14:textId="70F44488" w:rsidR="00093B2A" w:rsidRPr="006F29F5" w:rsidRDefault="00093B2A" w:rsidP="00241EE6">
      <w:pPr>
        <w:rPr>
          <w:rFonts w:eastAsia="Calibri" w:cs="Times New Roman"/>
          <w:kern w:val="2"/>
          <w:sz w:val="20"/>
        </w:rPr>
      </w:pPr>
      <w:proofErr w:type="spellStart"/>
      <w:r w:rsidRPr="006F29F5">
        <w:rPr>
          <w:rFonts w:eastAsia="Calibri" w:cs="Times New Roman"/>
          <w:kern w:val="2"/>
          <w:sz w:val="20"/>
        </w:rPr>
        <w:t>Makinwa</w:t>
      </w:r>
      <w:proofErr w:type="spellEnd"/>
      <w:r w:rsidRPr="006F29F5">
        <w:rPr>
          <w:rFonts w:eastAsia="Calibri" w:cs="Times New Roman"/>
          <w:kern w:val="2"/>
          <w:sz w:val="20"/>
        </w:rPr>
        <w:t xml:space="preserve"> outlines two different contracts involved in cases of bribery: the primary contract, which consists of offer and acceptance of the bribe, and the secondary contract, which comes into being because of the bribe.</w:t>
      </w:r>
      <w:r w:rsidRPr="006F29F5">
        <w:rPr>
          <w:rFonts w:eastAsia="Calibri" w:cs="Times New Roman"/>
          <w:kern w:val="2"/>
          <w:sz w:val="20"/>
          <w:vertAlign w:val="superscript"/>
        </w:rPr>
        <w:footnoteReference w:id="61"/>
      </w:r>
      <w:r w:rsidRPr="006F29F5">
        <w:rPr>
          <w:rFonts w:eastAsia="Calibri" w:cs="Times New Roman"/>
          <w:kern w:val="2"/>
          <w:sz w:val="20"/>
        </w:rPr>
        <w:t xml:space="preserve"> </w:t>
      </w:r>
      <w:r w:rsidR="00510C79" w:rsidRPr="006F29F5">
        <w:rPr>
          <w:rFonts w:eastAsia="Calibri" w:cs="Times New Roman"/>
          <w:kern w:val="2"/>
          <w:sz w:val="20"/>
        </w:rPr>
        <w:t xml:space="preserve">The author </w:t>
      </w:r>
      <w:r w:rsidRPr="006F29F5">
        <w:rPr>
          <w:rFonts w:eastAsia="Calibri" w:cs="Times New Roman"/>
          <w:kern w:val="2"/>
          <w:sz w:val="20"/>
        </w:rPr>
        <w:t xml:space="preserve">notes that international consensus exists as to the unenforceability of the primary contract, since it evidences criminally prohibited behaviour. Therefore, a court will not interfere with disputes over the primary contract, but rather will leave the parties as is. </w:t>
      </w:r>
    </w:p>
    <w:p w14:paraId="695E8631" w14:textId="77777777" w:rsidR="00093B2A" w:rsidRPr="006F29F5" w:rsidRDefault="00093B2A" w:rsidP="00241EE6">
      <w:pPr>
        <w:rPr>
          <w:rFonts w:eastAsia="Calibri" w:cs="Times New Roman"/>
          <w:kern w:val="2"/>
          <w:sz w:val="20"/>
        </w:rPr>
      </w:pPr>
      <w:r w:rsidRPr="006F29F5">
        <w:rPr>
          <w:rFonts w:eastAsia="Calibri" w:cs="Times New Roman"/>
          <w:kern w:val="2"/>
          <w:sz w:val="20"/>
        </w:rPr>
        <w:t xml:space="preserve">The secondary contract will generally be void or, particularly in common law jurisdictions, voidable at the instance of the betrayed principal. This unenforceability is based on public policy. If the secondary contract is invalidated, a court might order restitution of money paid by the victim under the contract. Restitution might include all sums paid by the victim or, in other cases, the expenses incurred by the defendant under the contract might be subtracted from the victim’s recovery. If the contract is voidable and the betrayed principal wishes to rescind the contract and escape their obligations, the principal might need to show that they would have refused the contract in the absence of wrongdoing. </w:t>
      </w:r>
    </w:p>
    <w:p w14:paraId="6A4EF19F" w14:textId="28EA86E1" w:rsidR="00093B2A" w:rsidRPr="006F29F5" w:rsidRDefault="00093B2A" w:rsidP="00241EE6">
      <w:pPr>
        <w:rPr>
          <w:rFonts w:eastAsia="Calibri" w:cs="Times New Roman"/>
          <w:kern w:val="2"/>
          <w:sz w:val="20"/>
        </w:rPr>
      </w:pPr>
      <w:r w:rsidRPr="006F29F5">
        <w:rPr>
          <w:rFonts w:eastAsia="Calibri" w:cs="Times New Roman"/>
          <w:kern w:val="2"/>
          <w:sz w:val="20"/>
        </w:rPr>
        <w:t xml:space="preserve">If the principal decides not to rescind, the court may award compensation for damages resulting from entering a contract with unfavourable terms. </w:t>
      </w:r>
      <w:r w:rsidRPr="006F29F5">
        <w:rPr>
          <w:rFonts w:eastAsia="Calibri" w:cs="Times New Roman"/>
          <w:kern w:val="2"/>
          <w:sz w:val="20"/>
          <w:szCs w:val="24"/>
        </w:rPr>
        <w:t>For example, if a government buys goods from a company that has bribed a public official, a court might find that the true price of the goods has been inflated by the amount of the bribe. This allows the government to recover the amount of the bribe as well as any other losses it can show.</w:t>
      </w:r>
      <w:r w:rsidRPr="006F29F5">
        <w:rPr>
          <w:rFonts w:eastAsia="Calibri" w:cs="Times New Roman"/>
          <w:kern w:val="2"/>
          <w:sz w:val="20"/>
          <w:vertAlign w:val="superscript"/>
        </w:rPr>
        <w:footnoteReference w:id="62"/>
      </w:r>
      <w:r w:rsidRPr="006F29F5">
        <w:rPr>
          <w:rFonts w:eastAsia="Calibri" w:cs="Times New Roman"/>
          <w:kern w:val="2"/>
          <w:sz w:val="20"/>
        </w:rPr>
        <w:t xml:space="preserve"> </w:t>
      </w:r>
    </w:p>
    <w:p w14:paraId="71984936" w14:textId="6A137CE1" w:rsidR="00093B2A" w:rsidRPr="006F29F5" w:rsidRDefault="00093B2A" w:rsidP="00241EE6">
      <w:pPr>
        <w:rPr>
          <w:rFonts w:eastAsia="Calibri" w:cs="Times New Roman"/>
          <w:kern w:val="2"/>
          <w:sz w:val="20"/>
          <w:szCs w:val="24"/>
        </w:rPr>
      </w:pPr>
      <w:r w:rsidRPr="006F29F5">
        <w:rPr>
          <w:rFonts w:eastAsia="Calibri" w:cs="Times New Roman"/>
          <w:kern w:val="2"/>
          <w:sz w:val="20"/>
          <w:szCs w:val="24"/>
        </w:rPr>
        <w:t xml:space="preserve">Damages are also available for breach of contract. Breaches might include defective or shoddy performance, or </w:t>
      </w:r>
      <w:r w:rsidR="002D5B4E" w:rsidRPr="006F29F5">
        <w:rPr>
          <w:rFonts w:eastAsia="Calibri" w:cs="Times New Roman"/>
          <w:kern w:val="2"/>
          <w:sz w:val="20"/>
          <w:szCs w:val="24"/>
        </w:rPr>
        <w:t>breach</w:t>
      </w:r>
      <w:r w:rsidRPr="006F29F5">
        <w:rPr>
          <w:rFonts w:eastAsia="Calibri" w:cs="Times New Roman"/>
          <w:kern w:val="2"/>
          <w:sz w:val="20"/>
          <w:szCs w:val="24"/>
        </w:rPr>
        <w:t xml:space="preserve"> of a term in the contract stipulating that the defendant would not induce public officials.</w:t>
      </w:r>
      <w:r w:rsidRPr="006F29F5">
        <w:rPr>
          <w:rFonts w:eastAsia="Calibri" w:cs="Times New Roman"/>
          <w:kern w:val="2"/>
          <w:sz w:val="20"/>
          <w:szCs w:val="24"/>
          <w:vertAlign w:val="superscript"/>
        </w:rPr>
        <w:footnoteReference w:id="63"/>
      </w:r>
      <w:r w:rsidRPr="006F29F5">
        <w:rPr>
          <w:rFonts w:eastAsia="Calibri" w:cs="Times New Roman"/>
          <w:kern w:val="2"/>
          <w:sz w:val="20"/>
          <w:szCs w:val="24"/>
        </w:rPr>
        <w:t xml:space="preserve"> A betrayed principal might also seek damages from a corrupt agent for breach of the duty of good faith and loyalty in employment or agency contracts. </w:t>
      </w:r>
    </w:p>
    <w:p w14:paraId="7664DBFB" w14:textId="5FF877E7" w:rsidR="00241EE6" w:rsidRPr="006F29F5" w:rsidRDefault="00093B2A" w:rsidP="00241EE6">
      <w:pPr>
        <w:autoSpaceDE w:val="0"/>
        <w:autoSpaceDN w:val="0"/>
        <w:adjustRightInd w:val="0"/>
        <w:rPr>
          <w:rFonts w:eastAsia="Calibri" w:cs="Times New Roman"/>
          <w:kern w:val="2"/>
          <w:sz w:val="20"/>
          <w:szCs w:val="24"/>
        </w:rPr>
      </w:pPr>
      <w:r w:rsidRPr="006F29F5">
        <w:rPr>
          <w:rFonts w:eastAsia="Calibri" w:cs="Times New Roman"/>
          <w:kern w:val="2"/>
          <w:sz w:val="20"/>
          <w:szCs w:val="24"/>
        </w:rPr>
        <w:t>Usually damages are calculated by determining the plaintiff’s loss. H</w:t>
      </w:r>
      <w:r w:rsidR="00741E25" w:rsidRPr="006F29F5">
        <w:rPr>
          <w:rFonts w:eastAsia="Calibri" w:cs="Times New Roman"/>
          <w:kern w:val="2"/>
          <w:sz w:val="20"/>
          <w:szCs w:val="24"/>
        </w:rPr>
        <w:t>owever, in some jurisdictions, the</w:t>
      </w:r>
      <w:r w:rsidRPr="006F29F5">
        <w:rPr>
          <w:rFonts w:eastAsia="Calibri" w:cs="Times New Roman"/>
          <w:kern w:val="2"/>
          <w:sz w:val="20"/>
          <w:szCs w:val="24"/>
        </w:rPr>
        <w:t xml:space="preserve"> defendant in a suit for contractual breach might be obliged to disgorge the profits of corruption instead of, or even in addition to, compensating the plaintiff for losses.</w:t>
      </w:r>
      <w:r w:rsidR="00220AC9" w:rsidRPr="006F29F5">
        <w:rPr>
          <w:rFonts w:eastAsia="Calibri" w:cs="Times New Roman"/>
          <w:kern w:val="2"/>
          <w:sz w:val="20"/>
          <w:szCs w:val="24"/>
        </w:rPr>
        <w:t xml:space="preserve"> </w:t>
      </w:r>
      <w:r w:rsidRPr="006F29F5">
        <w:rPr>
          <w:rFonts w:eastAsia="Calibri" w:cs="Times New Roman"/>
          <w:kern w:val="2"/>
          <w:sz w:val="20"/>
          <w:szCs w:val="24"/>
        </w:rPr>
        <w:t>The rationale behind this alternative measure of damages is that bribery is not only a breach of contract, but also a wrongful act.</w:t>
      </w:r>
      <w:r w:rsidRPr="006F29F5">
        <w:rPr>
          <w:rFonts w:eastAsia="Calibri" w:cs="Times New Roman"/>
          <w:kern w:val="2"/>
          <w:sz w:val="20"/>
          <w:szCs w:val="24"/>
          <w:vertAlign w:val="superscript"/>
        </w:rPr>
        <w:footnoteReference w:id="64"/>
      </w:r>
      <w:r w:rsidRPr="006F29F5">
        <w:rPr>
          <w:rFonts w:eastAsia="Calibri" w:cs="Times New Roman"/>
          <w:kern w:val="2"/>
          <w:sz w:val="20"/>
          <w:szCs w:val="24"/>
        </w:rPr>
        <w:t xml:space="preserve"> </w:t>
      </w:r>
    </w:p>
    <w:p w14:paraId="2426EA8B" w14:textId="77777777" w:rsidR="00093B2A" w:rsidRPr="006F29F5" w:rsidRDefault="00093B2A" w:rsidP="00F20986">
      <w:pPr>
        <w:numPr>
          <w:ilvl w:val="0"/>
          <w:numId w:val="6"/>
        </w:numPr>
        <w:spacing w:line="259" w:lineRule="auto"/>
        <w:rPr>
          <w:rFonts w:eastAsia="Times New Roman" w:cs="Times New Roman"/>
          <w:b/>
          <w:bCs/>
          <w:kern w:val="2"/>
          <w:sz w:val="20"/>
          <w:szCs w:val="24"/>
        </w:rPr>
      </w:pPr>
      <w:r w:rsidRPr="006F29F5">
        <w:rPr>
          <w:rFonts w:eastAsia="Times New Roman" w:cs="Times New Roman"/>
          <w:b/>
          <w:bCs/>
          <w:kern w:val="2"/>
          <w:sz w:val="20"/>
          <w:szCs w:val="24"/>
        </w:rPr>
        <w:t>Unjust enrichment and disgorgement of profits</w:t>
      </w:r>
    </w:p>
    <w:p w14:paraId="0400A819" w14:textId="77777777" w:rsidR="00093B2A" w:rsidRPr="006F29F5" w:rsidRDefault="00093B2A" w:rsidP="00241EE6">
      <w:pPr>
        <w:rPr>
          <w:rFonts w:eastAsia="Calibri" w:cs="Times New Roman"/>
          <w:kern w:val="2"/>
          <w:sz w:val="20"/>
          <w:szCs w:val="24"/>
        </w:rPr>
      </w:pPr>
      <w:r w:rsidRPr="006F29F5">
        <w:rPr>
          <w:rFonts w:eastAsia="Calibri" w:cs="Times New Roman"/>
          <w:kern w:val="2"/>
          <w:sz w:val="20"/>
          <w:szCs w:val="24"/>
        </w:rPr>
        <w:t>Unjust enrichment is available as a non-tortious, non-contractual cause of action. An action for unjust enrichment generally requires that one party acquire and retain a benefit at the expense of another. However, in the context of agents, such as public officials, who retain secret profits through corruption, retention of the benefit need not be at the principal’s expense. The principal is not obliged to establish loss in order to seek restitution of secret profits because harm is considered to flow from the breach of fiduciary duty alone.</w:t>
      </w:r>
      <w:r w:rsidRPr="006F29F5">
        <w:rPr>
          <w:rFonts w:eastAsia="Calibri" w:cs="Times New Roman"/>
          <w:kern w:val="2"/>
          <w:sz w:val="20"/>
          <w:szCs w:val="24"/>
          <w:vertAlign w:val="superscript"/>
        </w:rPr>
        <w:footnoteReference w:id="65"/>
      </w:r>
      <w:r w:rsidRPr="006F29F5">
        <w:rPr>
          <w:rFonts w:eastAsia="Calibri" w:cs="Times New Roman"/>
          <w:kern w:val="2"/>
          <w:sz w:val="20"/>
          <w:szCs w:val="24"/>
        </w:rPr>
        <w:t xml:space="preserve"> </w:t>
      </w:r>
    </w:p>
    <w:p w14:paraId="283D7324" w14:textId="33DD70C6" w:rsidR="00093B2A" w:rsidRPr="006F29F5" w:rsidRDefault="00093B2A" w:rsidP="00241EE6">
      <w:pPr>
        <w:rPr>
          <w:rFonts w:eastAsia="Calibri" w:cs="Times New Roman"/>
          <w:kern w:val="2"/>
          <w:sz w:val="20"/>
          <w:szCs w:val="24"/>
        </w:rPr>
      </w:pPr>
      <w:r w:rsidRPr="006F29F5">
        <w:rPr>
          <w:rFonts w:eastAsia="Calibri" w:cs="Times New Roman"/>
          <w:kern w:val="2"/>
          <w:sz w:val="20"/>
          <w:szCs w:val="24"/>
        </w:rPr>
        <w:t xml:space="preserve">Disgorgement of profits is an equitable remedy in common law systems based on notions of unjust enrichment. In the enforcement of the US </w:t>
      </w:r>
      <w:r w:rsidRPr="006F29F5">
        <w:rPr>
          <w:rFonts w:eastAsia="Calibri" w:cs="Times New Roman"/>
          <w:i/>
          <w:kern w:val="2"/>
          <w:sz w:val="20"/>
          <w:szCs w:val="24"/>
        </w:rPr>
        <w:t>FCPA</w:t>
      </w:r>
      <w:r w:rsidRPr="006F29F5">
        <w:rPr>
          <w:rFonts w:eastAsia="Calibri" w:cs="Times New Roman"/>
          <w:kern w:val="2"/>
          <w:sz w:val="20"/>
          <w:szCs w:val="24"/>
        </w:rPr>
        <w:t>, the Securities Exchange Commission (SEC) considers disgorgement to be an essential element of any S</w:t>
      </w:r>
      <w:r w:rsidR="001474CA" w:rsidRPr="006F29F5">
        <w:rPr>
          <w:rFonts w:eastAsia="Calibri" w:cs="Times New Roman"/>
          <w:kern w:val="2"/>
          <w:sz w:val="20"/>
          <w:szCs w:val="24"/>
        </w:rPr>
        <w:t>EC settlement for bribery offens</w:t>
      </w:r>
      <w:r w:rsidRPr="006F29F5">
        <w:rPr>
          <w:rFonts w:eastAsia="Calibri" w:cs="Times New Roman"/>
          <w:kern w:val="2"/>
          <w:sz w:val="20"/>
          <w:szCs w:val="24"/>
        </w:rPr>
        <w:t>es. Foreign companies that trade on the US Stock Exchanges (currently about 1600 multi-national companies) are subject to SEC penalties and disgorgement actions.</w:t>
      </w:r>
      <w:r w:rsidRPr="006F29F5">
        <w:rPr>
          <w:rFonts w:eastAsia="Calibri" w:cs="Times New Roman"/>
          <w:kern w:val="2"/>
          <w:sz w:val="20"/>
          <w:szCs w:val="24"/>
          <w:vertAlign w:val="superscript"/>
        </w:rPr>
        <w:footnoteReference w:id="66"/>
      </w:r>
    </w:p>
    <w:p w14:paraId="5876FE6C" w14:textId="616852CE" w:rsidR="00093B2A" w:rsidRPr="006F29F5" w:rsidRDefault="00093B2A" w:rsidP="00241EE6">
      <w:pPr>
        <w:rPr>
          <w:rFonts w:eastAsia="Calibri" w:cs="Times New Roman"/>
          <w:kern w:val="2"/>
          <w:sz w:val="20"/>
          <w:szCs w:val="24"/>
        </w:rPr>
      </w:pPr>
      <w:r w:rsidRPr="006F29F5">
        <w:rPr>
          <w:rFonts w:eastAsia="Calibri" w:cs="Times New Roman"/>
          <w:kern w:val="2"/>
          <w:sz w:val="20"/>
          <w:szCs w:val="24"/>
        </w:rPr>
        <w:t xml:space="preserve">In the </w:t>
      </w:r>
      <w:proofErr w:type="spellStart"/>
      <w:r w:rsidR="00741E25" w:rsidRPr="006F29F5">
        <w:rPr>
          <w:rFonts w:eastAsia="Calibri" w:cs="Times New Roman"/>
          <w:kern w:val="2"/>
          <w:sz w:val="20"/>
          <w:szCs w:val="24"/>
        </w:rPr>
        <w:t>StAR</w:t>
      </w:r>
      <w:proofErr w:type="spellEnd"/>
      <w:r w:rsidR="00741E25" w:rsidRPr="006F29F5">
        <w:rPr>
          <w:rFonts w:eastAsia="Calibri" w:cs="Times New Roman"/>
          <w:kern w:val="2"/>
          <w:sz w:val="20"/>
          <w:szCs w:val="24"/>
        </w:rPr>
        <w:t>/World Bank report entitled</w:t>
      </w:r>
      <w:r w:rsidRPr="006F29F5">
        <w:rPr>
          <w:rFonts w:eastAsia="Calibri" w:cs="Times New Roman"/>
          <w:kern w:val="2"/>
          <w:sz w:val="20"/>
          <w:szCs w:val="24"/>
        </w:rPr>
        <w:t xml:space="preserve"> </w:t>
      </w:r>
      <w:r w:rsidRPr="006F29F5">
        <w:rPr>
          <w:rFonts w:eastAsia="Calibri" w:cs="Times New Roman"/>
          <w:i/>
          <w:kern w:val="2"/>
          <w:sz w:val="20"/>
          <w:szCs w:val="24"/>
        </w:rPr>
        <w:t>Asset Recovery Handbook: A Guide for Practitioners</w:t>
      </w:r>
      <w:r w:rsidRPr="006F29F5">
        <w:rPr>
          <w:rFonts w:eastAsia="Calibri" w:cs="Times New Roman"/>
          <w:kern w:val="2"/>
          <w:sz w:val="20"/>
          <w:szCs w:val="24"/>
        </w:rPr>
        <w:t xml:space="preserve"> (2011), the </w:t>
      </w:r>
      <w:proofErr w:type="gramStart"/>
      <w:r w:rsidRPr="006F29F5">
        <w:rPr>
          <w:rFonts w:eastAsia="Calibri" w:cs="Times New Roman"/>
          <w:kern w:val="2"/>
          <w:sz w:val="20"/>
          <w:szCs w:val="24"/>
        </w:rPr>
        <w:t>authors</w:t>
      </w:r>
      <w:proofErr w:type="gramEnd"/>
      <w:r w:rsidRPr="006F29F5">
        <w:rPr>
          <w:rFonts w:eastAsia="Calibri" w:cs="Times New Roman"/>
          <w:kern w:val="2"/>
          <w:sz w:val="20"/>
          <w:szCs w:val="24"/>
        </w:rPr>
        <w:t xml:space="preserve"> state</w:t>
      </w:r>
      <w:r w:rsidR="001074B8" w:rsidRPr="006F29F5">
        <w:rPr>
          <w:rFonts w:eastAsia="Calibri" w:cs="Times New Roman"/>
          <w:kern w:val="2"/>
          <w:sz w:val="20"/>
          <w:szCs w:val="24"/>
        </w:rPr>
        <w:t>:</w:t>
      </w:r>
    </w:p>
    <w:p w14:paraId="7A0BA3A5" w14:textId="1796A3F8" w:rsidR="00093B2A" w:rsidRPr="006F29F5" w:rsidRDefault="00093B2A" w:rsidP="00672FBF">
      <w:pPr>
        <w:pStyle w:val="BlockQuote"/>
        <w:rPr>
          <w:kern w:val="2"/>
          <w:sz w:val="20"/>
          <w:vertAlign w:val="superscript"/>
        </w:rPr>
      </w:pPr>
      <w:r w:rsidRPr="006F29F5">
        <w:rPr>
          <w:kern w:val="2"/>
          <w:sz w:val="20"/>
        </w:rPr>
        <w:t>In the United States, disgorgement of profits is frequently sought by the Securities and Exchange Commission and the Department of Justice in civil or criminal actions to enforce the FCPA. Settlements often include recovery of the benefits of wrongful acts or illicit enrichment. In cases where a government contract was awarded as a result of bribery, the illicit enrichment is normally calculated by deducting direct and legitimate expenses linked to the contract from the gross revenue. The amount of the bribe and the taxes are generally not considered deductible expenses. In other civil actions brought by parties as private plaintiffs, U.S. courts have ruled that an employer or buyer is entitled to recover the amount of the bribe received by an employee even if the goods or services were exactly what the employer was seeking and even if the price was reasonable (Sears, Roebuck &amp; Co. v. American Plumbing &amp; Supply Co., 19 F.R.D. 334, 339 (</w:t>
      </w:r>
      <w:proofErr w:type="spellStart"/>
      <w:r w:rsidRPr="006F29F5">
        <w:rPr>
          <w:kern w:val="2"/>
          <w:sz w:val="20"/>
        </w:rPr>
        <w:t>E.D.Wis</w:t>
      </w:r>
      <w:proofErr w:type="spellEnd"/>
      <w:r w:rsidRPr="006F29F5">
        <w:rPr>
          <w:kern w:val="2"/>
          <w:sz w:val="20"/>
        </w:rPr>
        <w:t>., 1956) (U.S.)</w:t>
      </w:r>
      <w:r w:rsidR="002D5B4E" w:rsidRPr="006F29F5">
        <w:rPr>
          <w:kern w:val="2"/>
          <w:sz w:val="20"/>
        </w:rPr>
        <w:t>).</w:t>
      </w:r>
      <w:r w:rsidR="002D5B4E" w:rsidRPr="006F29F5">
        <w:rPr>
          <w:rFonts w:eastAsia="Calibri" w:cs="Times New Roman"/>
          <w:kern w:val="2"/>
          <w:sz w:val="20"/>
          <w:szCs w:val="21"/>
          <w:vertAlign w:val="superscript"/>
        </w:rPr>
        <w:footnoteReference w:id="67"/>
      </w:r>
      <w:r w:rsidRPr="006F29F5">
        <w:rPr>
          <w:kern w:val="2"/>
          <w:sz w:val="20"/>
          <w:vertAlign w:val="superscript"/>
        </w:rPr>
        <w:t xml:space="preserve"> </w:t>
      </w:r>
    </w:p>
    <w:p w14:paraId="59677746" w14:textId="49DBBAD9" w:rsidR="007E7834" w:rsidRPr="006F29F5" w:rsidRDefault="00093B2A" w:rsidP="00F17516">
      <w:pPr>
        <w:pStyle w:val="Heading4"/>
        <w:rPr>
          <w:kern w:val="2"/>
          <w:sz w:val="22"/>
        </w:rPr>
      </w:pPr>
      <w:r w:rsidRPr="006F29F5">
        <w:rPr>
          <w:kern w:val="2"/>
          <w:sz w:val="22"/>
        </w:rPr>
        <w:t>Proprietary Claims and Remedies</w:t>
      </w:r>
    </w:p>
    <w:p w14:paraId="3A6E60DD" w14:textId="1762F4BF" w:rsidR="007E7834" w:rsidRPr="006F29F5" w:rsidRDefault="007E7834" w:rsidP="00241EE6">
      <w:pPr>
        <w:rPr>
          <w:rFonts w:eastAsia="Calibri" w:cs="Times New Roman"/>
          <w:kern w:val="2"/>
          <w:sz w:val="20"/>
          <w:szCs w:val="24"/>
        </w:rPr>
      </w:pPr>
      <w:r w:rsidRPr="006F29F5">
        <w:rPr>
          <w:rFonts w:eastAsia="Calibri" w:cs="Times New Roman"/>
          <w:kern w:val="2"/>
          <w:sz w:val="20"/>
          <w:szCs w:val="24"/>
        </w:rPr>
        <w:t xml:space="preserve">Proprietary claims are for specific assets, as opposed to personal claims against another party for damages. In a property-based action, the state or another party claims to be the rightful owner of assets, or the state claims on behalf of the rightful owners that assets have been taken by theft, fraud, embezzlement or other wrongdoing. For example, in </w:t>
      </w:r>
      <w:r w:rsidR="007B2B55" w:rsidRPr="006F29F5">
        <w:rPr>
          <w:rFonts w:eastAsia="Calibri" w:cs="Times New Roman"/>
          <w:i/>
          <w:kern w:val="2"/>
          <w:sz w:val="20"/>
          <w:szCs w:val="24"/>
        </w:rPr>
        <w:t xml:space="preserve">Federal Republic of Nigeria v </w:t>
      </w:r>
      <w:proofErr w:type="spellStart"/>
      <w:r w:rsidR="007B2B55" w:rsidRPr="006F29F5">
        <w:rPr>
          <w:rFonts w:eastAsia="Calibri" w:cs="Times New Roman"/>
          <w:i/>
          <w:kern w:val="2"/>
          <w:sz w:val="20"/>
          <w:szCs w:val="24"/>
        </w:rPr>
        <w:t>Santolina</w:t>
      </w:r>
      <w:proofErr w:type="spellEnd"/>
      <w:r w:rsidR="007B2B55" w:rsidRPr="006F29F5">
        <w:rPr>
          <w:rFonts w:eastAsia="Calibri" w:cs="Times New Roman"/>
          <w:i/>
          <w:kern w:val="2"/>
          <w:sz w:val="20"/>
          <w:szCs w:val="24"/>
        </w:rPr>
        <w:t xml:space="preserve"> Investment Corp</w:t>
      </w:r>
      <w:r w:rsidRPr="006F29F5">
        <w:rPr>
          <w:rFonts w:eastAsia="Calibri" w:cs="Times New Roman"/>
          <w:i/>
          <w:kern w:val="2"/>
          <w:sz w:val="20"/>
          <w:szCs w:val="24"/>
        </w:rPr>
        <w:t xml:space="preserve"> </w:t>
      </w:r>
      <w:r w:rsidRPr="006F29F5">
        <w:rPr>
          <w:rFonts w:eastAsia="Calibri" w:cs="Times New Roman"/>
          <w:kern w:val="2"/>
          <w:sz w:val="20"/>
          <w:szCs w:val="24"/>
        </w:rPr>
        <w:t>(2007), the London High Court of Justice found Nigeria to be the true owner of several bank accounts and properties in London, which were the proceeds of bribery accepted by a corrupt Nigerian official.</w:t>
      </w:r>
      <w:r w:rsidR="0031558F" w:rsidRPr="006F29F5">
        <w:rPr>
          <w:rFonts w:eastAsia="Calibri" w:cs="Times New Roman"/>
          <w:kern w:val="2"/>
          <w:sz w:val="20"/>
          <w:szCs w:val="24"/>
          <w:vertAlign w:val="superscript"/>
        </w:rPr>
        <w:footnoteReference w:id="68"/>
      </w:r>
      <w:r w:rsidRPr="006F29F5">
        <w:rPr>
          <w:rFonts w:eastAsia="Calibri" w:cs="Times New Roman"/>
          <w:kern w:val="2"/>
          <w:sz w:val="20"/>
          <w:szCs w:val="24"/>
        </w:rPr>
        <w:t xml:space="preserve"> Over $17.7 million were recovered and repatriated. </w:t>
      </w:r>
    </w:p>
    <w:p w14:paraId="3786C013" w14:textId="07445743" w:rsidR="007E7834" w:rsidRPr="006F29F5" w:rsidRDefault="007E7834" w:rsidP="00241EE6">
      <w:pPr>
        <w:rPr>
          <w:rFonts w:eastAsia="Calibri" w:cs="Times New Roman"/>
          <w:kern w:val="2"/>
          <w:sz w:val="20"/>
          <w:szCs w:val="24"/>
        </w:rPr>
      </w:pPr>
      <w:r w:rsidRPr="006F29F5">
        <w:rPr>
          <w:rFonts w:eastAsia="Calibri" w:cs="Times New Roman"/>
          <w:kern w:val="2"/>
          <w:sz w:val="20"/>
          <w:szCs w:val="24"/>
        </w:rPr>
        <w:t xml:space="preserve">Article 53 of UNCAC requires </w:t>
      </w:r>
      <w:r w:rsidR="00C32C6B" w:rsidRPr="006F29F5">
        <w:rPr>
          <w:rFonts w:eastAsia="Calibri" w:cs="Times New Roman"/>
          <w:kern w:val="2"/>
          <w:sz w:val="20"/>
          <w:szCs w:val="24"/>
        </w:rPr>
        <w:t>S</w:t>
      </w:r>
      <w:r w:rsidRPr="006F29F5">
        <w:rPr>
          <w:rFonts w:eastAsia="Calibri" w:cs="Times New Roman"/>
          <w:kern w:val="2"/>
          <w:sz w:val="20"/>
          <w:szCs w:val="24"/>
        </w:rPr>
        <w:t>tates to permit the initiation of civil actions by other State Parties to establish ownership of property acquired through corrup</w:t>
      </w:r>
      <w:r w:rsidR="007B2B55" w:rsidRPr="006F29F5">
        <w:rPr>
          <w:rFonts w:eastAsia="Calibri" w:cs="Times New Roman"/>
          <w:kern w:val="2"/>
          <w:sz w:val="20"/>
          <w:szCs w:val="24"/>
        </w:rPr>
        <w:t>tion</w:t>
      </w:r>
      <w:r w:rsidRPr="006F29F5">
        <w:rPr>
          <w:rFonts w:eastAsia="Calibri" w:cs="Times New Roman"/>
          <w:kern w:val="2"/>
          <w:sz w:val="20"/>
          <w:szCs w:val="24"/>
        </w:rPr>
        <w:t xml:space="preserve"> and to recognize another state’s claim as the true owner. Unlike personal claims in tort and contract, a successful claimant in a property-based action will have priority over the defendant’s other creditors.</w:t>
      </w:r>
      <w:r w:rsidRPr="006F29F5">
        <w:rPr>
          <w:rFonts w:eastAsia="Calibri" w:cs="Times New Roman"/>
          <w:kern w:val="2"/>
          <w:sz w:val="20"/>
          <w:szCs w:val="24"/>
          <w:vertAlign w:val="superscript"/>
        </w:rPr>
        <w:footnoteReference w:id="69"/>
      </w:r>
      <w:r w:rsidRPr="006F29F5">
        <w:rPr>
          <w:rFonts w:eastAsia="Calibri" w:cs="Times New Roman"/>
          <w:kern w:val="2"/>
          <w:sz w:val="20"/>
          <w:szCs w:val="24"/>
        </w:rPr>
        <w:t xml:space="preserve"> </w:t>
      </w:r>
    </w:p>
    <w:p w14:paraId="47835ECF" w14:textId="13AA9329" w:rsidR="007E7834" w:rsidRPr="006F29F5" w:rsidRDefault="007E7834" w:rsidP="00241EE6">
      <w:pPr>
        <w:rPr>
          <w:rFonts w:eastAsia="Calibri" w:cs="Times New Roman"/>
          <w:kern w:val="2"/>
          <w:sz w:val="20"/>
          <w:szCs w:val="24"/>
        </w:rPr>
      </w:pPr>
      <w:r w:rsidRPr="006F29F5">
        <w:rPr>
          <w:rFonts w:eastAsia="Calibri" w:cs="Times New Roman"/>
          <w:kern w:val="2"/>
          <w:sz w:val="20"/>
          <w:szCs w:val="24"/>
        </w:rPr>
        <w:t>In common law jurisdictions, claimants can use constructive trust</w:t>
      </w:r>
      <w:r w:rsidR="007B2B55" w:rsidRPr="006F29F5">
        <w:rPr>
          <w:rFonts w:eastAsia="Calibri" w:cs="Times New Roman"/>
          <w:kern w:val="2"/>
          <w:sz w:val="20"/>
          <w:szCs w:val="24"/>
        </w:rPr>
        <w:t>s</w:t>
      </w:r>
      <w:r w:rsidRPr="006F29F5">
        <w:rPr>
          <w:rFonts w:eastAsia="Calibri" w:cs="Times New Roman"/>
          <w:kern w:val="2"/>
          <w:sz w:val="20"/>
          <w:szCs w:val="24"/>
        </w:rPr>
        <w:t xml:space="preserve"> to recover beneficial ownership of assets acquired through breach of trust or fiduciary duty. When public funds or property are embezzled or misappropriated, the </w:t>
      </w:r>
      <w:r w:rsidR="00C41DAE" w:rsidRPr="006F29F5">
        <w:rPr>
          <w:rFonts w:eastAsia="Calibri" w:cs="Times New Roman"/>
          <w:kern w:val="2"/>
          <w:sz w:val="20"/>
          <w:szCs w:val="24"/>
        </w:rPr>
        <w:t>S</w:t>
      </w:r>
      <w:r w:rsidRPr="006F29F5">
        <w:rPr>
          <w:rFonts w:eastAsia="Calibri" w:cs="Times New Roman"/>
          <w:kern w:val="2"/>
          <w:sz w:val="20"/>
          <w:szCs w:val="24"/>
        </w:rPr>
        <w:t xml:space="preserve">tate will be the beneficial owner of the stolen property, any profits derived from it, or any property into which the stolen property is converted. The </w:t>
      </w:r>
      <w:r w:rsidR="00C41DAE" w:rsidRPr="006F29F5">
        <w:rPr>
          <w:rFonts w:eastAsia="Calibri" w:cs="Times New Roman"/>
          <w:kern w:val="2"/>
          <w:sz w:val="20"/>
          <w:szCs w:val="24"/>
        </w:rPr>
        <w:t>S</w:t>
      </w:r>
      <w:r w:rsidRPr="006F29F5">
        <w:rPr>
          <w:rFonts w:eastAsia="Calibri" w:cs="Times New Roman"/>
          <w:kern w:val="2"/>
          <w:sz w:val="20"/>
          <w:szCs w:val="24"/>
        </w:rPr>
        <w:t xml:space="preserve">tate’s beneficial ownership will stick to the asset as it goes through successive transactions, unless there is a bona fide purchaser for value without notice of the breach of trust. For example, </w:t>
      </w:r>
      <w:proofErr w:type="spellStart"/>
      <w:r w:rsidRPr="006F29F5">
        <w:rPr>
          <w:rFonts w:eastAsia="Calibri" w:cs="Times New Roman"/>
          <w:kern w:val="2"/>
          <w:sz w:val="20"/>
          <w:szCs w:val="24"/>
        </w:rPr>
        <w:t>Saadi</w:t>
      </w:r>
      <w:proofErr w:type="spellEnd"/>
      <w:r w:rsidRPr="006F29F5">
        <w:rPr>
          <w:rFonts w:eastAsia="Calibri" w:cs="Times New Roman"/>
          <w:kern w:val="2"/>
          <w:sz w:val="20"/>
          <w:szCs w:val="24"/>
        </w:rPr>
        <w:t xml:space="preserve"> </w:t>
      </w:r>
      <w:proofErr w:type="spellStart"/>
      <w:r w:rsidRPr="006F29F5">
        <w:rPr>
          <w:rFonts w:eastAsia="Calibri" w:cs="Times New Roman"/>
          <w:kern w:val="2"/>
          <w:sz w:val="20"/>
          <w:szCs w:val="24"/>
        </w:rPr>
        <w:t>Qadafi</w:t>
      </w:r>
      <w:proofErr w:type="spellEnd"/>
      <w:r w:rsidRPr="006F29F5">
        <w:rPr>
          <w:rFonts w:eastAsia="Calibri" w:cs="Times New Roman"/>
          <w:kern w:val="2"/>
          <w:sz w:val="20"/>
          <w:szCs w:val="24"/>
        </w:rPr>
        <w:t xml:space="preserve"> used funds belonging to the State of Libya to purchase a $10 million house in London. Ownership of the house was easily traceable to </w:t>
      </w:r>
      <w:proofErr w:type="spellStart"/>
      <w:r w:rsidRPr="006F29F5">
        <w:rPr>
          <w:rFonts w:eastAsia="Calibri" w:cs="Times New Roman"/>
          <w:kern w:val="2"/>
          <w:sz w:val="20"/>
          <w:szCs w:val="24"/>
        </w:rPr>
        <w:t>Qadafi</w:t>
      </w:r>
      <w:proofErr w:type="spellEnd"/>
      <w:r w:rsidRPr="006F29F5">
        <w:rPr>
          <w:rFonts w:eastAsia="Calibri" w:cs="Times New Roman"/>
          <w:kern w:val="2"/>
          <w:sz w:val="20"/>
          <w:szCs w:val="24"/>
        </w:rPr>
        <w:t>, since it was o</w:t>
      </w:r>
      <w:r w:rsidR="00291181" w:rsidRPr="006F29F5">
        <w:rPr>
          <w:rFonts w:eastAsia="Calibri" w:cs="Times New Roman"/>
          <w:kern w:val="2"/>
          <w:sz w:val="20"/>
          <w:szCs w:val="24"/>
        </w:rPr>
        <w:t>wned by a shell company of which he was the beneficial owner</w:t>
      </w:r>
      <w:r w:rsidRPr="006F29F5">
        <w:rPr>
          <w:rFonts w:eastAsia="Calibri" w:cs="Times New Roman"/>
          <w:kern w:val="2"/>
          <w:sz w:val="20"/>
          <w:szCs w:val="24"/>
        </w:rPr>
        <w:t xml:space="preserve">. The court found that </w:t>
      </w:r>
      <w:proofErr w:type="spellStart"/>
      <w:r w:rsidRPr="006F29F5">
        <w:rPr>
          <w:rFonts w:eastAsia="Calibri" w:cs="Times New Roman"/>
          <w:kern w:val="2"/>
          <w:sz w:val="20"/>
          <w:szCs w:val="24"/>
        </w:rPr>
        <w:t>Qadafi</w:t>
      </w:r>
      <w:proofErr w:type="spellEnd"/>
      <w:r w:rsidRPr="006F29F5">
        <w:rPr>
          <w:rFonts w:eastAsia="Calibri" w:cs="Times New Roman"/>
          <w:kern w:val="2"/>
          <w:sz w:val="20"/>
          <w:szCs w:val="24"/>
        </w:rPr>
        <w:t xml:space="preserve"> </w:t>
      </w:r>
      <w:r w:rsidR="00396CDD" w:rsidRPr="006F29F5">
        <w:rPr>
          <w:rFonts w:eastAsia="Calibri" w:cs="Times New Roman"/>
          <w:kern w:val="2"/>
          <w:sz w:val="20"/>
          <w:szCs w:val="24"/>
        </w:rPr>
        <w:t>held beneficial ownership of</w:t>
      </w:r>
      <w:r w:rsidRPr="006F29F5">
        <w:rPr>
          <w:rFonts w:eastAsia="Calibri" w:cs="Times New Roman"/>
          <w:kern w:val="2"/>
          <w:sz w:val="20"/>
          <w:szCs w:val="24"/>
        </w:rPr>
        <w:t xml:space="preserve"> the house in constructive trust for Libya, allowing the </w:t>
      </w:r>
      <w:r w:rsidR="002B59BD" w:rsidRPr="006F29F5">
        <w:rPr>
          <w:rFonts w:eastAsia="Calibri" w:cs="Times New Roman"/>
          <w:kern w:val="2"/>
          <w:sz w:val="20"/>
          <w:szCs w:val="24"/>
        </w:rPr>
        <w:t xml:space="preserve">transfer of the </w:t>
      </w:r>
      <w:r w:rsidRPr="006F29F5">
        <w:rPr>
          <w:rFonts w:eastAsia="Calibri" w:cs="Times New Roman"/>
          <w:kern w:val="2"/>
          <w:sz w:val="20"/>
          <w:szCs w:val="24"/>
        </w:rPr>
        <w:t xml:space="preserve">house to the </w:t>
      </w:r>
      <w:r w:rsidR="00C41DAE" w:rsidRPr="006F29F5">
        <w:rPr>
          <w:rFonts w:eastAsia="Calibri" w:cs="Times New Roman"/>
          <w:kern w:val="2"/>
          <w:sz w:val="20"/>
          <w:szCs w:val="24"/>
        </w:rPr>
        <w:t>S</w:t>
      </w:r>
      <w:r w:rsidRPr="006F29F5">
        <w:rPr>
          <w:rFonts w:eastAsia="Calibri" w:cs="Times New Roman"/>
          <w:kern w:val="2"/>
          <w:sz w:val="20"/>
          <w:szCs w:val="24"/>
        </w:rPr>
        <w:t>tate of Libya.</w:t>
      </w:r>
      <w:r w:rsidRPr="006F29F5">
        <w:rPr>
          <w:rFonts w:eastAsia="Calibri" w:cs="Times New Roman"/>
          <w:kern w:val="2"/>
          <w:sz w:val="20"/>
          <w:szCs w:val="24"/>
          <w:vertAlign w:val="superscript"/>
        </w:rPr>
        <w:footnoteReference w:id="70"/>
      </w:r>
      <w:r w:rsidRPr="006F29F5">
        <w:rPr>
          <w:rFonts w:eastAsia="Calibri" w:cs="Times New Roman"/>
          <w:kern w:val="2"/>
          <w:sz w:val="20"/>
          <w:szCs w:val="24"/>
        </w:rPr>
        <w:t xml:space="preserve"> </w:t>
      </w:r>
    </w:p>
    <w:p w14:paraId="15D91719" w14:textId="77DDB914" w:rsidR="007E7834" w:rsidRPr="006F29F5" w:rsidRDefault="007E7834" w:rsidP="00241EE6">
      <w:pPr>
        <w:rPr>
          <w:rFonts w:eastAsia="Calibri" w:cs="Times New Roman"/>
          <w:kern w:val="2"/>
          <w:sz w:val="20"/>
        </w:rPr>
      </w:pPr>
      <w:r w:rsidRPr="006F29F5">
        <w:rPr>
          <w:rFonts w:eastAsia="Calibri" w:cs="Times New Roman"/>
          <w:kern w:val="2"/>
          <w:sz w:val="20"/>
          <w:szCs w:val="24"/>
        </w:rPr>
        <w:t xml:space="preserve">The same logic of constructive trust has been extended to situations where a </w:t>
      </w:r>
      <w:r w:rsidR="00F73AD9" w:rsidRPr="006F29F5">
        <w:rPr>
          <w:rFonts w:eastAsia="Calibri" w:cs="Times New Roman"/>
          <w:kern w:val="2"/>
          <w:sz w:val="20"/>
          <w:szCs w:val="24"/>
        </w:rPr>
        <w:t>S</w:t>
      </w:r>
      <w:r w:rsidRPr="006F29F5">
        <w:rPr>
          <w:rFonts w:eastAsia="Calibri" w:cs="Times New Roman"/>
          <w:kern w:val="2"/>
          <w:sz w:val="20"/>
          <w:szCs w:val="24"/>
        </w:rPr>
        <w:t xml:space="preserve">tate or other principal claims a proprietary interest in a bribe accepted by an agent. A successful proprietary claim allows the principal to recover the bribe and any increases in its value. </w:t>
      </w:r>
      <w:r w:rsidR="007B2B55" w:rsidRPr="006F29F5">
        <w:rPr>
          <w:rFonts w:eastAsia="Calibri" w:cs="Times New Roman"/>
          <w:i/>
          <w:kern w:val="2"/>
          <w:sz w:val="20"/>
          <w:szCs w:val="24"/>
        </w:rPr>
        <w:t xml:space="preserve">Kartika </w:t>
      </w:r>
      <w:proofErr w:type="spellStart"/>
      <w:r w:rsidR="007B2B55" w:rsidRPr="006F29F5">
        <w:rPr>
          <w:rFonts w:eastAsia="Calibri" w:cs="Times New Roman"/>
          <w:i/>
          <w:kern w:val="2"/>
          <w:sz w:val="20"/>
          <w:szCs w:val="24"/>
        </w:rPr>
        <w:t>Ratna</w:t>
      </w:r>
      <w:proofErr w:type="spellEnd"/>
      <w:r w:rsidR="007B2B55" w:rsidRPr="006F29F5">
        <w:rPr>
          <w:rFonts w:eastAsia="Calibri" w:cs="Times New Roman"/>
          <w:i/>
          <w:kern w:val="2"/>
          <w:sz w:val="20"/>
          <w:szCs w:val="24"/>
        </w:rPr>
        <w:t xml:space="preserve"> </w:t>
      </w:r>
      <w:proofErr w:type="spellStart"/>
      <w:r w:rsidR="007B2B55" w:rsidRPr="006F29F5">
        <w:rPr>
          <w:rFonts w:eastAsia="Calibri" w:cs="Times New Roman"/>
          <w:i/>
          <w:kern w:val="2"/>
          <w:sz w:val="20"/>
          <w:szCs w:val="24"/>
        </w:rPr>
        <w:t>Thahir</w:t>
      </w:r>
      <w:proofErr w:type="spellEnd"/>
      <w:r w:rsidR="007B2B55" w:rsidRPr="006F29F5">
        <w:rPr>
          <w:rFonts w:eastAsia="Calibri" w:cs="Times New Roman"/>
          <w:i/>
          <w:kern w:val="2"/>
          <w:sz w:val="20"/>
          <w:szCs w:val="24"/>
        </w:rPr>
        <w:t xml:space="preserve"> v</w:t>
      </w:r>
      <w:r w:rsidRPr="006F29F5">
        <w:rPr>
          <w:rFonts w:eastAsia="Calibri" w:cs="Times New Roman"/>
          <w:i/>
          <w:kern w:val="2"/>
          <w:sz w:val="20"/>
          <w:szCs w:val="24"/>
        </w:rPr>
        <w:t xml:space="preserve"> </w:t>
      </w:r>
      <w:proofErr w:type="spellStart"/>
      <w:r w:rsidRPr="006F29F5">
        <w:rPr>
          <w:rFonts w:eastAsia="Calibri" w:cs="Times New Roman"/>
          <w:i/>
          <w:kern w:val="2"/>
          <w:sz w:val="20"/>
          <w:szCs w:val="24"/>
        </w:rPr>
        <w:t>Pertamina</w:t>
      </w:r>
      <w:proofErr w:type="spellEnd"/>
      <w:r w:rsidRPr="006F29F5">
        <w:rPr>
          <w:rFonts w:eastAsia="Calibri" w:cs="Times New Roman"/>
          <w:i/>
          <w:kern w:val="2"/>
          <w:sz w:val="20"/>
          <w:szCs w:val="24"/>
        </w:rPr>
        <w:t xml:space="preserve"> </w:t>
      </w:r>
      <w:r w:rsidRPr="006F29F5">
        <w:rPr>
          <w:rFonts w:eastAsia="Calibri" w:cs="Times New Roman"/>
          <w:kern w:val="2"/>
          <w:sz w:val="20"/>
          <w:szCs w:val="24"/>
        </w:rPr>
        <w:t>(1994) provides an example of the use of constructive trust to return a bribe to the bribe-taker’s principal.</w:t>
      </w:r>
      <w:r w:rsidR="0031558F" w:rsidRPr="006F29F5">
        <w:rPr>
          <w:rFonts w:eastAsia="Calibri" w:cs="Times New Roman"/>
          <w:kern w:val="2"/>
          <w:sz w:val="20"/>
          <w:szCs w:val="24"/>
          <w:vertAlign w:val="superscript"/>
        </w:rPr>
        <w:footnoteReference w:id="71"/>
      </w:r>
      <w:r w:rsidRPr="006F29F5">
        <w:rPr>
          <w:rFonts w:eastAsia="Calibri" w:cs="Times New Roman"/>
          <w:kern w:val="2"/>
          <w:sz w:val="20"/>
          <w:szCs w:val="24"/>
        </w:rPr>
        <w:t xml:space="preserve"> </w:t>
      </w:r>
      <w:proofErr w:type="spellStart"/>
      <w:r w:rsidRPr="006F29F5">
        <w:rPr>
          <w:rFonts w:eastAsia="Calibri" w:cs="Times New Roman"/>
          <w:kern w:val="2"/>
          <w:sz w:val="20"/>
          <w:szCs w:val="24"/>
        </w:rPr>
        <w:t>Pertamina</w:t>
      </w:r>
      <w:proofErr w:type="spellEnd"/>
      <w:r w:rsidRPr="006F29F5">
        <w:rPr>
          <w:rFonts w:eastAsia="Calibri" w:cs="Times New Roman"/>
          <w:kern w:val="2"/>
          <w:sz w:val="20"/>
          <w:szCs w:val="24"/>
        </w:rPr>
        <w:t xml:space="preserve">, a state-owned oil and gas company, discovered that one of its executives had accepted bribes from contractors seeking preferential treatment. The court held that the executive breached his fiduciary </w:t>
      </w:r>
      <w:r w:rsidRPr="006F29F5">
        <w:rPr>
          <w:rFonts w:eastAsia="Calibri" w:cs="Times New Roman"/>
          <w:kern w:val="2"/>
          <w:sz w:val="20"/>
        </w:rPr>
        <w:t>duty by accepting the bribe</w:t>
      </w:r>
      <w:r w:rsidR="007B2B55" w:rsidRPr="006F29F5">
        <w:rPr>
          <w:rFonts w:eastAsia="Calibri" w:cs="Times New Roman"/>
          <w:kern w:val="2"/>
          <w:sz w:val="20"/>
        </w:rPr>
        <w:t>,</w:t>
      </w:r>
      <w:r w:rsidRPr="006F29F5">
        <w:rPr>
          <w:rFonts w:eastAsia="Calibri" w:cs="Times New Roman"/>
          <w:kern w:val="2"/>
          <w:sz w:val="20"/>
        </w:rPr>
        <w:t xml:space="preserve"> and therefore the bribe was held in trust for </w:t>
      </w:r>
      <w:proofErr w:type="spellStart"/>
      <w:r w:rsidRPr="006F29F5">
        <w:rPr>
          <w:rFonts w:eastAsia="Calibri" w:cs="Times New Roman"/>
          <w:kern w:val="2"/>
          <w:sz w:val="20"/>
        </w:rPr>
        <w:t>Pertamina</w:t>
      </w:r>
      <w:proofErr w:type="spellEnd"/>
      <w:r w:rsidRPr="006F29F5">
        <w:rPr>
          <w:rFonts w:eastAsia="Calibri" w:cs="Times New Roman"/>
          <w:kern w:val="2"/>
          <w:sz w:val="20"/>
        </w:rPr>
        <w:t xml:space="preserve">. </w:t>
      </w:r>
    </w:p>
    <w:p w14:paraId="1659A99E" w14:textId="27B656E6" w:rsidR="006E4FCC" w:rsidRPr="006F29F5" w:rsidRDefault="006E4FCC" w:rsidP="006E4FCC">
      <w:pPr>
        <w:rPr>
          <w:rFonts w:cs="Times New Roman"/>
          <w:color w:val="000000" w:themeColor="text1"/>
          <w:kern w:val="2"/>
          <w:sz w:val="20"/>
        </w:rPr>
      </w:pPr>
      <w:r w:rsidRPr="006F29F5">
        <w:rPr>
          <w:rFonts w:cs="Times New Roman"/>
          <w:color w:val="000000" w:themeColor="text1"/>
          <w:kern w:val="2"/>
          <w:sz w:val="20"/>
        </w:rPr>
        <w:t xml:space="preserve">As the Privy Council of the </w:t>
      </w:r>
      <w:r w:rsidR="00FA1BCF" w:rsidRPr="006F29F5">
        <w:rPr>
          <w:rFonts w:cs="Times New Roman"/>
          <w:color w:val="000000" w:themeColor="text1"/>
          <w:kern w:val="2"/>
          <w:sz w:val="20"/>
        </w:rPr>
        <w:t>UK</w:t>
      </w:r>
      <w:r w:rsidRPr="006F29F5">
        <w:rPr>
          <w:rFonts w:cs="Times New Roman"/>
          <w:color w:val="000000" w:themeColor="text1"/>
          <w:kern w:val="2"/>
          <w:sz w:val="20"/>
        </w:rPr>
        <w:t xml:space="preserve"> House of </w:t>
      </w:r>
      <w:r w:rsidR="001074B8" w:rsidRPr="006F29F5">
        <w:rPr>
          <w:rFonts w:cs="Times New Roman"/>
          <w:color w:val="000000" w:themeColor="text1"/>
          <w:kern w:val="2"/>
          <w:sz w:val="20"/>
        </w:rPr>
        <w:t>Lords stated in an earlier case:</w:t>
      </w:r>
    </w:p>
    <w:p w14:paraId="3C2D63E8" w14:textId="335549B2" w:rsidR="00EC1F69" w:rsidRPr="006F29F5" w:rsidRDefault="006E4FCC" w:rsidP="00E2056E">
      <w:pPr>
        <w:pStyle w:val="BlockQuote"/>
        <w:rPr>
          <w:kern w:val="2"/>
          <w:sz w:val="20"/>
        </w:rPr>
      </w:pPr>
      <w:r w:rsidRPr="006F29F5">
        <w:rPr>
          <w:kern w:val="2"/>
          <w:sz w:val="20"/>
        </w:rPr>
        <w:t>When a bribe is accepted by a fiduciary in breach of his duty then he holds that bribe in trust for the person to whom the duty was owed. If the property representing the bribe decreases in value the fiduciary must pay the difference between that value and the initial amount of the bribe because he should not have accepted the bribe or incurred the risk of loss. If the property increases in value, the fiduciary is not entitled to any surplus in excess of the initial value of the bribe because he is not allowed by any means to make a profit out of a breach of duty.</w:t>
      </w:r>
      <w:r w:rsidRPr="006F29F5">
        <w:rPr>
          <w:rStyle w:val="FootnoteReference"/>
          <w:color w:val="000000" w:themeColor="text1"/>
          <w:kern w:val="2"/>
          <w:sz w:val="20"/>
        </w:rPr>
        <w:footnoteReference w:id="72"/>
      </w:r>
    </w:p>
    <w:p w14:paraId="17988021" w14:textId="505297AC" w:rsidR="007E7834" w:rsidRPr="006F29F5" w:rsidRDefault="00D4557F" w:rsidP="00241EE6">
      <w:pPr>
        <w:rPr>
          <w:rFonts w:eastAsia="Calibri" w:cs="Times New Roman"/>
          <w:kern w:val="2"/>
          <w:sz w:val="20"/>
          <w:szCs w:val="24"/>
        </w:rPr>
      </w:pPr>
      <w:r w:rsidRPr="006F29F5">
        <w:rPr>
          <w:rFonts w:eastAsia="Calibri" w:cs="Times New Roman"/>
          <w:kern w:val="2"/>
          <w:sz w:val="20"/>
          <w:szCs w:val="24"/>
        </w:rPr>
        <w:t>C</w:t>
      </w:r>
      <w:r w:rsidR="007E7834" w:rsidRPr="006F29F5">
        <w:rPr>
          <w:rFonts w:eastAsia="Calibri" w:cs="Times New Roman"/>
          <w:kern w:val="2"/>
          <w:sz w:val="20"/>
          <w:szCs w:val="24"/>
        </w:rPr>
        <w:t xml:space="preserve">urrently the law is unclear as to whether principals can still claim a proprietary interest in bribes accepted by their agents. One line of authority supports the idea that all traceable proceeds of a fiduciary’s corruption belong to the victim in equity. However, according to </w:t>
      </w:r>
      <w:r w:rsidR="007E7834" w:rsidRPr="006F29F5">
        <w:rPr>
          <w:rFonts w:eastAsia="Calibri" w:cs="Times New Roman"/>
          <w:i/>
          <w:kern w:val="2"/>
          <w:sz w:val="20"/>
          <w:szCs w:val="24"/>
        </w:rPr>
        <w:t xml:space="preserve">Sinclair Investments (UK) v Versailles Trade Finance Ltd </w:t>
      </w:r>
      <w:r w:rsidR="007E7834" w:rsidRPr="006F29F5">
        <w:rPr>
          <w:rFonts w:eastAsia="Calibri" w:cs="Times New Roman"/>
          <w:kern w:val="2"/>
          <w:sz w:val="20"/>
          <w:szCs w:val="24"/>
        </w:rPr>
        <w:t>(2011),</w:t>
      </w:r>
      <w:r w:rsidR="00396CDD" w:rsidRPr="006F29F5">
        <w:rPr>
          <w:rStyle w:val="FootnoteReference"/>
          <w:rFonts w:eastAsia="Calibri" w:cs="Times New Roman"/>
          <w:kern w:val="2"/>
          <w:sz w:val="20"/>
          <w:szCs w:val="24"/>
        </w:rPr>
        <w:footnoteReference w:id="73"/>
      </w:r>
      <w:r w:rsidR="007E7834" w:rsidRPr="006F29F5">
        <w:rPr>
          <w:rFonts w:eastAsia="Calibri" w:cs="Times New Roman"/>
          <w:kern w:val="2"/>
          <w:sz w:val="20"/>
          <w:szCs w:val="24"/>
        </w:rPr>
        <w:t xml:space="preserve"> claimants can only acquire a proprietary interest in a fiduciary’s wrongfully acquired property if the property belongs or belonged to the claimant or if the fiduciary took advantage of a right belonging to the claimant.</w:t>
      </w:r>
      <w:r w:rsidR="007E7834" w:rsidRPr="006F29F5">
        <w:rPr>
          <w:rFonts w:eastAsia="Calibri" w:cs="Times New Roman"/>
          <w:kern w:val="2"/>
          <w:sz w:val="20"/>
          <w:szCs w:val="24"/>
          <w:vertAlign w:val="superscript"/>
        </w:rPr>
        <w:footnoteReference w:id="74"/>
      </w:r>
      <w:r w:rsidR="007E7834" w:rsidRPr="006F29F5">
        <w:rPr>
          <w:rFonts w:eastAsia="Calibri" w:cs="Times New Roman"/>
          <w:kern w:val="2"/>
          <w:sz w:val="20"/>
          <w:szCs w:val="24"/>
        </w:rPr>
        <w:t xml:space="preserve"> This suggests that betrayed principals cannot claim a proprietary interest in a bribe.</w:t>
      </w:r>
      <w:r w:rsidR="007E7834" w:rsidRPr="006F29F5">
        <w:rPr>
          <w:rFonts w:eastAsia="Calibri" w:cs="Times New Roman"/>
          <w:kern w:val="2"/>
          <w:sz w:val="20"/>
          <w:szCs w:val="24"/>
          <w:vertAlign w:val="superscript"/>
        </w:rPr>
        <w:footnoteReference w:id="75"/>
      </w:r>
      <w:r w:rsidR="007E7834" w:rsidRPr="006F29F5">
        <w:rPr>
          <w:rFonts w:eastAsia="Calibri" w:cs="Times New Roman"/>
          <w:kern w:val="2"/>
          <w:sz w:val="20"/>
          <w:szCs w:val="24"/>
        </w:rPr>
        <w:t xml:space="preserve"> </w:t>
      </w:r>
    </w:p>
    <w:p w14:paraId="0D90E459" w14:textId="63FCF149" w:rsidR="007E7834" w:rsidRPr="006F29F5" w:rsidRDefault="007E7834" w:rsidP="00F17516">
      <w:pPr>
        <w:pStyle w:val="Heading4"/>
        <w:rPr>
          <w:kern w:val="2"/>
          <w:sz w:val="22"/>
        </w:rPr>
      </w:pPr>
      <w:r w:rsidRPr="006F29F5">
        <w:rPr>
          <w:kern w:val="2"/>
          <w:sz w:val="22"/>
        </w:rPr>
        <w:t>Other Civil Claims, Remedies and Tools</w:t>
      </w:r>
    </w:p>
    <w:p w14:paraId="2A35F80A" w14:textId="067639F6" w:rsidR="00E2056E" w:rsidRPr="006F29F5" w:rsidRDefault="00E2056E" w:rsidP="00E650A1">
      <w:pPr>
        <w:pStyle w:val="ListParagraph"/>
        <w:keepNext/>
        <w:numPr>
          <w:ilvl w:val="0"/>
          <w:numId w:val="9"/>
        </w:numPr>
        <w:ind w:left="357" w:hanging="357"/>
        <w:rPr>
          <w:rFonts w:eastAsia="Calibri" w:cs="Times New Roman"/>
          <w:kern w:val="2"/>
          <w:sz w:val="20"/>
        </w:rPr>
      </w:pPr>
      <w:r w:rsidRPr="006F29F5">
        <w:rPr>
          <w:kern w:val="2"/>
          <w:sz w:val="20"/>
          <w:lang w:eastAsia="zh-CN"/>
        </w:rPr>
        <w:t>Actio</w:t>
      </w:r>
      <w:r w:rsidR="007E7834" w:rsidRPr="006F29F5">
        <w:rPr>
          <w:rFonts w:eastAsia="Calibri" w:cs="Times New Roman"/>
          <w:kern w:val="2"/>
          <w:sz w:val="20"/>
        </w:rPr>
        <w:t xml:space="preserve">ns based on </w:t>
      </w:r>
      <w:r w:rsidR="007E7834" w:rsidRPr="006F29F5">
        <w:rPr>
          <w:rFonts w:eastAsia="Calibri" w:cs="Times New Roman"/>
          <w:i/>
          <w:kern w:val="2"/>
          <w:sz w:val="20"/>
        </w:rPr>
        <w:t>FCPA</w:t>
      </w:r>
      <w:r w:rsidR="007E7834" w:rsidRPr="006F29F5">
        <w:rPr>
          <w:rFonts w:eastAsia="Calibri" w:cs="Times New Roman"/>
          <w:kern w:val="2"/>
          <w:sz w:val="20"/>
        </w:rPr>
        <w:t xml:space="preserve"> violations</w:t>
      </w:r>
    </w:p>
    <w:p w14:paraId="565C2D18" w14:textId="6E49F961" w:rsidR="00241EE6" w:rsidRPr="006F29F5" w:rsidRDefault="007E7834" w:rsidP="00241EE6">
      <w:pPr>
        <w:rPr>
          <w:rFonts w:eastAsia="Calibri" w:cs="Times New Roman"/>
          <w:color w:val="FF0000"/>
          <w:kern w:val="2"/>
          <w:sz w:val="20"/>
          <w:szCs w:val="24"/>
        </w:rPr>
      </w:pPr>
      <w:r w:rsidRPr="006F29F5">
        <w:rPr>
          <w:rFonts w:eastAsia="Calibri" w:cs="Times New Roman"/>
          <w:i/>
          <w:kern w:val="2"/>
          <w:sz w:val="20"/>
          <w:szCs w:val="24"/>
        </w:rPr>
        <w:t>FCPA</w:t>
      </w:r>
      <w:r w:rsidRPr="006F29F5">
        <w:rPr>
          <w:rFonts w:eastAsia="Calibri" w:cs="Times New Roman"/>
          <w:kern w:val="2"/>
          <w:sz w:val="20"/>
          <w:szCs w:val="24"/>
        </w:rPr>
        <w:t xml:space="preserve"> violations can provide the basis for civil actions under other statutes including securities laws, antitrust laws, or the </w:t>
      </w:r>
      <w:r w:rsidRPr="006F29F5">
        <w:rPr>
          <w:rFonts w:eastAsia="Calibri" w:cs="Times New Roman"/>
          <w:i/>
          <w:kern w:val="2"/>
          <w:sz w:val="20"/>
          <w:szCs w:val="24"/>
        </w:rPr>
        <w:t>Racketeering Influenced and Corrupt Organizations Act</w:t>
      </w:r>
      <w:r w:rsidRPr="006F29F5">
        <w:rPr>
          <w:rFonts w:eastAsia="Calibri" w:cs="Times New Roman"/>
          <w:kern w:val="2"/>
          <w:sz w:val="20"/>
          <w:szCs w:val="24"/>
        </w:rPr>
        <w:t xml:space="preserve"> (</w:t>
      </w:r>
      <w:r w:rsidRPr="006F29F5">
        <w:rPr>
          <w:rFonts w:eastAsia="Calibri" w:cs="Times New Roman"/>
          <w:i/>
          <w:kern w:val="2"/>
          <w:sz w:val="20"/>
          <w:szCs w:val="24"/>
        </w:rPr>
        <w:t>RICO</w:t>
      </w:r>
      <w:r w:rsidRPr="006F29F5">
        <w:rPr>
          <w:rFonts w:eastAsia="Calibri" w:cs="Times New Roman"/>
          <w:kern w:val="2"/>
          <w:sz w:val="20"/>
          <w:szCs w:val="24"/>
        </w:rPr>
        <w:t>).</w:t>
      </w:r>
      <w:r w:rsidR="00B9623B" w:rsidRPr="006F29F5">
        <w:rPr>
          <w:rStyle w:val="FootnoteReference"/>
          <w:rFonts w:eastAsia="Calibri" w:cs="Times New Roman"/>
          <w:kern w:val="2"/>
          <w:sz w:val="20"/>
          <w:szCs w:val="24"/>
        </w:rPr>
        <w:footnoteReference w:id="76"/>
      </w:r>
      <w:r w:rsidRPr="006F29F5">
        <w:rPr>
          <w:rFonts w:eastAsia="Calibri" w:cs="Times New Roman"/>
          <w:kern w:val="2"/>
          <w:sz w:val="20"/>
          <w:szCs w:val="24"/>
        </w:rPr>
        <w:t xml:space="preserve"> For </w:t>
      </w:r>
      <w:r w:rsidR="00D4557F" w:rsidRPr="006F29F5">
        <w:rPr>
          <w:rFonts w:eastAsia="Calibri" w:cs="Times New Roman"/>
          <w:kern w:val="2"/>
          <w:sz w:val="20"/>
          <w:szCs w:val="24"/>
        </w:rPr>
        <w:t>instance</w:t>
      </w:r>
      <w:r w:rsidRPr="006F29F5">
        <w:rPr>
          <w:rFonts w:eastAsia="Calibri" w:cs="Times New Roman"/>
          <w:kern w:val="2"/>
          <w:sz w:val="20"/>
          <w:szCs w:val="24"/>
        </w:rPr>
        <w:t>, if a violation adversely affects competition between companies, a civil action can be brought under state or federal antitrust laws.</w:t>
      </w:r>
      <w:r w:rsidRPr="006F29F5">
        <w:rPr>
          <w:rFonts w:eastAsia="Calibri" w:cs="Times New Roman"/>
          <w:kern w:val="2"/>
          <w:sz w:val="20"/>
          <w:szCs w:val="24"/>
          <w:vertAlign w:val="superscript"/>
        </w:rPr>
        <w:footnoteReference w:id="77"/>
      </w:r>
      <w:r w:rsidRPr="006F29F5">
        <w:rPr>
          <w:rFonts w:eastAsia="Calibri" w:cs="Times New Roman"/>
          <w:kern w:val="2"/>
          <w:sz w:val="20"/>
          <w:szCs w:val="24"/>
        </w:rPr>
        <w:t xml:space="preserve"> Shareholders can also bring claims based on </w:t>
      </w:r>
      <w:r w:rsidRPr="006F29F5">
        <w:rPr>
          <w:rFonts w:eastAsia="Calibri" w:cs="Times New Roman"/>
          <w:i/>
          <w:kern w:val="2"/>
          <w:sz w:val="20"/>
          <w:szCs w:val="24"/>
        </w:rPr>
        <w:t>FCPA</w:t>
      </w:r>
      <w:r w:rsidRPr="006F29F5">
        <w:rPr>
          <w:rFonts w:eastAsia="Calibri" w:cs="Times New Roman"/>
          <w:kern w:val="2"/>
          <w:sz w:val="20"/>
          <w:szCs w:val="24"/>
        </w:rPr>
        <w:t xml:space="preserve"> violations in order to obtain compensation for damages. For example, shareholders might bring a class action for damage caused by false and misleading information about a company’s bribery activities that led to a fall in share prices</w:t>
      </w:r>
      <w:r w:rsidRPr="006F29F5">
        <w:rPr>
          <w:rFonts w:eastAsia="Calibri" w:cs="Times New Roman"/>
          <w:color w:val="000000" w:themeColor="text1"/>
          <w:kern w:val="2"/>
          <w:sz w:val="20"/>
          <w:szCs w:val="24"/>
        </w:rPr>
        <w:t>.</w:t>
      </w:r>
      <w:r w:rsidRPr="006F29F5">
        <w:rPr>
          <w:rFonts w:eastAsia="Calibri" w:cs="Times New Roman"/>
          <w:color w:val="000000" w:themeColor="text1"/>
          <w:kern w:val="2"/>
          <w:sz w:val="20"/>
          <w:szCs w:val="24"/>
          <w:vertAlign w:val="superscript"/>
        </w:rPr>
        <w:footnoteReference w:id="78"/>
      </w:r>
      <w:r w:rsidRPr="006F29F5">
        <w:rPr>
          <w:rFonts w:eastAsia="Calibri" w:cs="Times New Roman"/>
          <w:color w:val="000000" w:themeColor="text1"/>
          <w:kern w:val="2"/>
          <w:sz w:val="20"/>
          <w:szCs w:val="24"/>
        </w:rPr>
        <w:t xml:space="preserve"> </w:t>
      </w:r>
      <w:r w:rsidR="00F931C7" w:rsidRPr="006F29F5">
        <w:rPr>
          <w:rFonts w:eastAsia="Calibri" w:cs="Times New Roman"/>
          <w:color w:val="000000" w:themeColor="text1"/>
          <w:kern w:val="2"/>
          <w:sz w:val="20"/>
          <w:szCs w:val="24"/>
        </w:rPr>
        <w:t xml:space="preserve">For example, Avon Products Inc. (Avon) was sued by a group of shareholders in a derivative class action lawsuit alleging securities fraud. Avon conceded the fact that </w:t>
      </w:r>
      <w:r w:rsidR="007B2B55" w:rsidRPr="006F29F5">
        <w:rPr>
          <w:rFonts w:eastAsia="Calibri" w:cs="Times New Roman"/>
          <w:color w:val="000000" w:themeColor="text1"/>
          <w:kern w:val="2"/>
          <w:sz w:val="20"/>
          <w:szCs w:val="24"/>
        </w:rPr>
        <w:t>it</w:t>
      </w:r>
      <w:r w:rsidR="00F931C7" w:rsidRPr="006F29F5">
        <w:rPr>
          <w:rFonts w:eastAsia="Calibri" w:cs="Times New Roman"/>
          <w:color w:val="000000" w:themeColor="text1"/>
          <w:kern w:val="2"/>
          <w:sz w:val="20"/>
          <w:szCs w:val="24"/>
        </w:rPr>
        <w:t xml:space="preserve"> had bribed Chinese government officials to boost sales revenues. In December 2014, Avon paid $135 million </w:t>
      </w:r>
      <w:r w:rsidR="001474CA" w:rsidRPr="006F29F5">
        <w:rPr>
          <w:rFonts w:eastAsia="Calibri" w:cs="Times New Roman"/>
          <w:color w:val="000000" w:themeColor="text1"/>
          <w:kern w:val="2"/>
          <w:sz w:val="20"/>
          <w:szCs w:val="24"/>
        </w:rPr>
        <w:t xml:space="preserve">in fines for SEC and </w:t>
      </w:r>
      <w:r w:rsidR="001474CA" w:rsidRPr="006F29F5">
        <w:rPr>
          <w:rFonts w:eastAsia="Calibri" w:cs="Times New Roman"/>
          <w:i/>
          <w:color w:val="000000" w:themeColor="text1"/>
          <w:kern w:val="2"/>
          <w:sz w:val="20"/>
          <w:szCs w:val="24"/>
        </w:rPr>
        <w:t>FCPA</w:t>
      </w:r>
      <w:r w:rsidR="001474CA" w:rsidRPr="006F29F5">
        <w:rPr>
          <w:rFonts w:eastAsia="Calibri" w:cs="Times New Roman"/>
          <w:kern w:val="2"/>
          <w:sz w:val="20"/>
          <w:szCs w:val="24"/>
        </w:rPr>
        <w:t xml:space="preserve"> offens</w:t>
      </w:r>
      <w:r w:rsidR="00F931C7" w:rsidRPr="006F29F5">
        <w:rPr>
          <w:rFonts w:eastAsia="Calibri" w:cs="Times New Roman"/>
          <w:kern w:val="2"/>
          <w:sz w:val="20"/>
          <w:szCs w:val="24"/>
        </w:rPr>
        <w:t xml:space="preserve">es </w:t>
      </w:r>
      <w:r w:rsidR="00F931C7" w:rsidRPr="006F29F5">
        <w:rPr>
          <w:rFonts w:eastAsia="Calibri" w:cs="Times New Roman"/>
          <w:color w:val="000000" w:themeColor="text1"/>
          <w:kern w:val="2"/>
          <w:sz w:val="20"/>
          <w:szCs w:val="24"/>
        </w:rPr>
        <w:t xml:space="preserve">as part of a DPA, which included the appointing of an independent monitor for 18 months to review Avon’s </w:t>
      </w:r>
      <w:r w:rsidR="00F931C7" w:rsidRPr="006F29F5">
        <w:rPr>
          <w:rFonts w:eastAsia="Calibri" w:cs="Times New Roman"/>
          <w:i/>
          <w:color w:val="000000" w:themeColor="text1"/>
          <w:kern w:val="2"/>
          <w:sz w:val="20"/>
          <w:szCs w:val="24"/>
        </w:rPr>
        <w:t>FCPA</w:t>
      </w:r>
      <w:r w:rsidR="00F931C7" w:rsidRPr="006F29F5">
        <w:rPr>
          <w:rFonts w:eastAsia="Calibri" w:cs="Times New Roman"/>
          <w:color w:val="000000" w:themeColor="text1"/>
          <w:kern w:val="2"/>
          <w:sz w:val="20"/>
          <w:szCs w:val="24"/>
        </w:rPr>
        <w:t xml:space="preserve"> compliance program. In August 2015, Avon settled the shareholder class action with a $62 million settlement</w:t>
      </w:r>
      <w:r w:rsidR="007F2E5C" w:rsidRPr="006F29F5">
        <w:rPr>
          <w:rFonts w:eastAsia="Calibri" w:cs="Times New Roman"/>
          <w:color w:val="000000" w:themeColor="text1"/>
          <w:kern w:val="2"/>
          <w:sz w:val="20"/>
          <w:szCs w:val="24"/>
        </w:rPr>
        <w:t>.</w:t>
      </w:r>
      <w:r w:rsidR="0064264E" w:rsidRPr="006F29F5">
        <w:rPr>
          <w:rFonts w:eastAsia="Calibri" w:cs="Times New Roman"/>
          <w:color w:val="000000" w:themeColor="text1"/>
          <w:kern w:val="2"/>
          <w:sz w:val="20"/>
          <w:szCs w:val="24"/>
          <w:vertAlign w:val="superscript"/>
        </w:rPr>
        <w:footnoteReference w:id="79"/>
      </w:r>
      <w:r w:rsidR="0064264E" w:rsidRPr="006F29F5">
        <w:rPr>
          <w:rFonts w:eastAsia="Calibri" w:cs="Times New Roman"/>
          <w:color w:val="000000" w:themeColor="text1"/>
          <w:kern w:val="2"/>
          <w:sz w:val="20"/>
          <w:szCs w:val="24"/>
        </w:rPr>
        <w:t xml:space="preserve"> </w:t>
      </w:r>
      <w:r w:rsidR="007F2E5C" w:rsidRPr="006F29F5">
        <w:rPr>
          <w:rFonts w:eastAsia="Calibri" w:cs="Times New Roman"/>
          <w:color w:val="000000" w:themeColor="text1"/>
          <w:kern w:val="2"/>
          <w:sz w:val="20"/>
          <w:szCs w:val="24"/>
        </w:rPr>
        <w:t>S</w:t>
      </w:r>
      <w:r w:rsidR="0064264E" w:rsidRPr="006F29F5">
        <w:rPr>
          <w:rFonts w:eastAsia="Calibri" w:cs="Times New Roman"/>
          <w:color w:val="000000" w:themeColor="text1"/>
          <w:kern w:val="2"/>
          <w:sz w:val="20"/>
          <w:szCs w:val="24"/>
        </w:rPr>
        <w:t>imilar securities class actions against Petrobras</w:t>
      </w:r>
      <w:r w:rsidR="0064264E" w:rsidRPr="006F29F5">
        <w:rPr>
          <w:rFonts w:eastAsia="Calibri" w:cs="Times New Roman"/>
          <w:color w:val="000000" w:themeColor="text1"/>
          <w:kern w:val="2"/>
          <w:sz w:val="20"/>
          <w:szCs w:val="24"/>
          <w:vertAlign w:val="superscript"/>
        </w:rPr>
        <w:footnoteReference w:id="80"/>
      </w:r>
      <w:r w:rsidR="0064264E" w:rsidRPr="006F29F5">
        <w:rPr>
          <w:rFonts w:eastAsia="Calibri" w:cs="Times New Roman"/>
          <w:color w:val="000000" w:themeColor="text1"/>
          <w:kern w:val="2"/>
          <w:sz w:val="20"/>
          <w:szCs w:val="24"/>
        </w:rPr>
        <w:t xml:space="preserve"> and Wal-Mart</w:t>
      </w:r>
      <w:r w:rsidR="0064264E" w:rsidRPr="006F29F5">
        <w:rPr>
          <w:rFonts w:eastAsia="Calibri" w:cs="Times New Roman"/>
          <w:color w:val="000000" w:themeColor="text1"/>
          <w:kern w:val="2"/>
          <w:sz w:val="20"/>
          <w:szCs w:val="24"/>
          <w:vertAlign w:val="superscript"/>
        </w:rPr>
        <w:footnoteReference w:id="81"/>
      </w:r>
      <w:r w:rsidR="0064264E" w:rsidRPr="006F29F5">
        <w:rPr>
          <w:rFonts w:eastAsia="Calibri" w:cs="Times New Roman"/>
          <w:color w:val="000000" w:themeColor="text1"/>
          <w:kern w:val="2"/>
          <w:sz w:val="20"/>
          <w:szCs w:val="24"/>
        </w:rPr>
        <w:t xml:space="preserve"> were certified in 2016. Corporations may face foreign corrupt practices-related class actions in Canada as well. For example, SNC-Lavalin is currently defending securities class proceedings in Ontario and Quebec based on material misrepresentations in its disclosure of internal investigations of bribery in Bangladesh and elsewhere.</w:t>
      </w:r>
      <w:r w:rsidR="0064264E" w:rsidRPr="006F29F5">
        <w:rPr>
          <w:rFonts w:eastAsia="Calibri" w:cs="Times New Roman"/>
          <w:color w:val="000000" w:themeColor="text1"/>
          <w:kern w:val="2"/>
          <w:sz w:val="20"/>
          <w:szCs w:val="24"/>
          <w:vertAlign w:val="superscript"/>
        </w:rPr>
        <w:footnoteReference w:id="82"/>
      </w:r>
      <w:r w:rsidR="00457696" w:rsidRPr="006F29F5">
        <w:rPr>
          <w:rFonts w:eastAsia="Calibri" w:cs="Times New Roman"/>
          <w:color w:val="000000" w:themeColor="text1"/>
          <w:kern w:val="2"/>
          <w:sz w:val="20"/>
          <w:szCs w:val="24"/>
        </w:rPr>
        <w:t xml:space="preserve"> </w:t>
      </w:r>
    </w:p>
    <w:p w14:paraId="152AAA73" w14:textId="47C1DE98" w:rsidR="007E7834" w:rsidRPr="006F29F5" w:rsidRDefault="00BE4FBE" w:rsidP="00E650A1">
      <w:pPr>
        <w:pStyle w:val="ListParagraph"/>
        <w:numPr>
          <w:ilvl w:val="0"/>
          <w:numId w:val="9"/>
        </w:numPr>
        <w:autoSpaceDE w:val="0"/>
        <w:autoSpaceDN w:val="0"/>
        <w:adjustRightInd w:val="0"/>
        <w:spacing w:line="259" w:lineRule="auto"/>
        <w:ind w:right="720"/>
        <w:rPr>
          <w:rFonts w:eastAsia="Calibri" w:cs="Times New Roman"/>
          <w:kern w:val="2"/>
          <w:sz w:val="20"/>
        </w:rPr>
      </w:pPr>
      <w:r w:rsidRPr="006F29F5">
        <w:rPr>
          <w:rFonts w:eastAsia="Calibri" w:cs="Times New Roman"/>
          <w:kern w:val="2"/>
          <w:sz w:val="20"/>
        </w:rPr>
        <w:t>Social d</w:t>
      </w:r>
      <w:r w:rsidR="007E7834" w:rsidRPr="006F29F5">
        <w:rPr>
          <w:rFonts w:eastAsia="Calibri" w:cs="Times New Roman"/>
          <w:kern w:val="2"/>
          <w:sz w:val="20"/>
        </w:rPr>
        <w:t>amages</w:t>
      </w:r>
    </w:p>
    <w:p w14:paraId="20D9AE2F" w14:textId="56BD6D5D" w:rsidR="007E7834" w:rsidRPr="006F29F5" w:rsidRDefault="007E7834" w:rsidP="00241EE6">
      <w:pPr>
        <w:rPr>
          <w:rFonts w:eastAsia="Calibri" w:cs="Times New Roman"/>
          <w:kern w:val="2"/>
          <w:sz w:val="20"/>
          <w:szCs w:val="24"/>
        </w:rPr>
      </w:pPr>
      <w:r w:rsidRPr="006F29F5">
        <w:rPr>
          <w:rFonts w:eastAsia="Calibri" w:cs="Times New Roman"/>
          <w:kern w:val="2"/>
          <w:sz w:val="20"/>
          <w:szCs w:val="24"/>
        </w:rPr>
        <w:t xml:space="preserve">The concept of social damage is an emerging tool in obtaining compensation for damages to the public interest. Costa Rican law, </w:t>
      </w:r>
      <w:r w:rsidR="006014E7" w:rsidRPr="006F29F5">
        <w:rPr>
          <w:rFonts w:eastAsia="Calibri" w:cs="Times New Roman"/>
          <w:kern w:val="2"/>
          <w:sz w:val="20"/>
          <w:szCs w:val="24"/>
        </w:rPr>
        <w:t xml:space="preserve">for example, </w:t>
      </w:r>
      <w:r w:rsidRPr="006F29F5">
        <w:rPr>
          <w:rFonts w:eastAsia="Calibri" w:cs="Times New Roman"/>
          <w:kern w:val="2"/>
          <w:sz w:val="20"/>
          <w:szCs w:val="24"/>
        </w:rPr>
        <w:t xml:space="preserve">allows the Attorney General to bring a civil action for compensation when conduct causes damage to society. Costa Rica successfully used this tool to obtain compensation in a 2010 settlement after corruption was uncovered in a bidding process for telephone service providers in Costa Rica. As explained by </w:t>
      </w:r>
      <w:proofErr w:type="spellStart"/>
      <w:r w:rsidRPr="006F29F5">
        <w:rPr>
          <w:rFonts w:eastAsia="Calibri" w:cs="Times New Roman"/>
          <w:kern w:val="2"/>
          <w:sz w:val="20"/>
          <w:szCs w:val="24"/>
        </w:rPr>
        <w:t>Makinwa</w:t>
      </w:r>
      <w:proofErr w:type="spellEnd"/>
      <w:r w:rsidRPr="006F29F5">
        <w:rPr>
          <w:rFonts w:eastAsia="Calibri" w:cs="Times New Roman"/>
          <w:kern w:val="2"/>
          <w:sz w:val="20"/>
          <w:szCs w:val="24"/>
        </w:rPr>
        <w:t xml:space="preserve">, </w:t>
      </w:r>
      <w:r w:rsidR="00CC1E13" w:rsidRPr="006F29F5">
        <w:rPr>
          <w:rFonts w:eastAsia="Calibri" w:cs="Times New Roman"/>
          <w:kern w:val="2"/>
          <w:sz w:val="20"/>
          <w:szCs w:val="24"/>
        </w:rPr>
        <w:t>“</w:t>
      </w:r>
      <w:r w:rsidRPr="006F29F5">
        <w:rPr>
          <w:rFonts w:eastAsia="Calibri" w:cs="Times New Roman"/>
          <w:kern w:val="2"/>
          <w:sz w:val="20"/>
          <w:szCs w:val="24"/>
        </w:rPr>
        <w:t>[t]he action filed by the government of Costa Rica under the Criminal Procedural Rules in Costa Rica, to seek pecuniary compensation for damage suffered by the collective interests of the state and peoples of Costa Rica, illustrates a resort to private law notions of compensation for damage suffered as a result of corrupt activity.</w:t>
      </w:r>
      <w:r w:rsidR="00CC1E13" w:rsidRPr="006F29F5">
        <w:rPr>
          <w:rFonts w:eastAsia="Calibri" w:cs="Times New Roman"/>
          <w:kern w:val="2"/>
          <w:sz w:val="20"/>
          <w:szCs w:val="24"/>
        </w:rPr>
        <w:t>”</w:t>
      </w:r>
      <w:r w:rsidRPr="006F29F5">
        <w:rPr>
          <w:rFonts w:eastAsia="Calibri" w:cs="Times New Roman"/>
          <w:kern w:val="2"/>
          <w:sz w:val="20"/>
          <w:vertAlign w:val="superscript"/>
        </w:rPr>
        <w:footnoteReference w:id="83"/>
      </w:r>
      <w:r w:rsidRPr="006F29F5">
        <w:rPr>
          <w:rFonts w:eastAsia="Calibri" w:cs="Times New Roman"/>
          <w:kern w:val="2"/>
          <w:sz w:val="20"/>
          <w:szCs w:val="24"/>
        </w:rPr>
        <w:t xml:space="preserve"> </w:t>
      </w:r>
    </w:p>
    <w:p w14:paraId="38A78949" w14:textId="4F5C1FF2" w:rsidR="007E7834" w:rsidRPr="006F29F5" w:rsidRDefault="00BE4FBE" w:rsidP="00E650A1">
      <w:pPr>
        <w:keepNext/>
        <w:numPr>
          <w:ilvl w:val="0"/>
          <w:numId w:val="9"/>
        </w:numPr>
        <w:spacing w:before="60" w:after="0" w:line="259" w:lineRule="auto"/>
        <w:ind w:left="357" w:hanging="357"/>
        <w:rPr>
          <w:rFonts w:eastAsia="Calibri" w:cs="Times New Roman"/>
          <w:b/>
          <w:kern w:val="2"/>
          <w:sz w:val="20"/>
        </w:rPr>
      </w:pPr>
      <w:r w:rsidRPr="006F29F5">
        <w:rPr>
          <w:rFonts w:eastAsia="Calibri" w:cs="Times New Roman"/>
          <w:b/>
          <w:kern w:val="2"/>
          <w:sz w:val="20"/>
        </w:rPr>
        <w:t>Insolvency p</w:t>
      </w:r>
      <w:r w:rsidR="007E7834" w:rsidRPr="006F29F5">
        <w:rPr>
          <w:rFonts w:eastAsia="Calibri" w:cs="Times New Roman"/>
          <w:b/>
          <w:kern w:val="2"/>
          <w:sz w:val="20"/>
        </w:rPr>
        <w:t>roceedings</w:t>
      </w:r>
      <w:r w:rsidR="007E7834" w:rsidRPr="006F29F5">
        <w:rPr>
          <w:rFonts w:eastAsia="Calibri" w:cs="Times New Roman"/>
          <w:b/>
          <w:kern w:val="2"/>
          <w:sz w:val="18"/>
        </w:rPr>
        <w:t xml:space="preserve"> </w:t>
      </w:r>
    </w:p>
    <w:p w14:paraId="33D5C065" w14:textId="26F0F9A6" w:rsidR="007E7834" w:rsidRPr="006F29F5" w:rsidRDefault="007E7834" w:rsidP="004733CF">
      <w:pPr>
        <w:rPr>
          <w:rFonts w:eastAsia="Calibri" w:cs="Times New Roman"/>
          <w:kern w:val="2"/>
          <w:sz w:val="20"/>
        </w:rPr>
      </w:pPr>
      <w:proofErr w:type="spellStart"/>
      <w:r w:rsidRPr="006F29F5">
        <w:rPr>
          <w:rFonts w:eastAsia="Calibri" w:cs="Times New Roman"/>
          <w:kern w:val="2"/>
          <w:sz w:val="20"/>
        </w:rPr>
        <w:t>Brun</w:t>
      </w:r>
      <w:proofErr w:type="spellEnd"/>
      <w:r w:rsidRPr="006F29F5">
        <w:rPr>
          <w:rFonts w:eastAsia="Calibri" w:cs="Times New Roman"/>
          <w:kern w:val="2"/>
          <w:sz w:val="20"/>
        </w:rPr>
        <w:t xml:space="preserve"> et al</w:t>
      </w:r>
      <w:r w:rsidRPr="006F29F5">
        <w:rPr>
          <w:rFonts w:eastAsia="Calibri" w:cs="Times New Roman"/>
          <w:i/>
          <w:kern w:val="2"/>
          <w:sz w:val="20"/>
        </w:rPr>
        <w:t xml:space="preserve">. </w:t>
      </w:r>
      <w:r w:rsidRPr="006F29F5">
        <w:rPr>
          <w:rFonts w:eastAsia="Calibri" w:cs="Times New Roman"/>
          <w:kern w:val="2"/>
          <w:sz w:val="20"/>
        </w:rPr>
        <w:t xml:space="preserve">point out that insolvency and receivership proceedings provide another tool in tracing and recovering assets. They summarize the advantages and disadvantages of using insolvency proceedings in asset recovery: </w:t>
      </w:r>
    </w:p>
    <w:p w14:paraId="2A42A18F" w14:textId="77777777" w:rsidR="007E7834" w:rsidRPr="006F29F5" w:rsidRDefault="007E7834" w:rsidP="00E2056E">
      <w:pPr>
        <w:pStyle w:val="BlockQuote"/>
        <w:rPr>
          <w:kern w:val="2"/>
          <w:sz w:val="20"/>
        </w:rPr>
      </w:pPr>
      <w:r w:rsidRPr="006F29F5">
        <w:rPr>
          <w:kern w:val="2"/>
          <w:sz w:val="20"/>
        </w:rPr>
        <w:t>Insolvency or receivership may present opportunities because the receiver (or other insolvency office holder) enjoys increased powers over assets. In such proceedings, the state claimant may be able to recover property simply by showing that it owns it. It is also easier to reclaim assets that have been transferred away, for example, by fraud. The insolvency office holder has the power to access information and demand testimony and has proved powerful and pivotal in large asset recovery cases. Within an insolvency proceeding, an insolvency office holder can compel the testimony of witnesses, including the directors or managers who may have been culpable in hiding assets. Refusal to cooperate can lead to imprisonment, which may motivate testimony that helps the office holder to locate and subsequently recover substantial assets.</w:t>
      </w:r>
    </w:p>
    <w:p w14:paraId="593CADA2" w14:textId="54225D6E" w:rsidR="007E7834" w:rsidRPr="006F29F5" w:rsidRDefault="007E7834" w:rsidP="004B3A35">
      <w:pPr>
        <w:pStyle w:val="BlockQuote"/>
        <w:spacing w:after="240"/>
        <w:rPr>
          <w:kern w:val="2"/>
          <w:sz w:val="20"/>
        </w:rPr>
      </w:pPr>
      <w:r w:rsidRPr="006F29F5">
        <w:rPr>
          <w:kern w:val="2"/>
          <w:sz w:val="20"/>
        </w:rPr>
        <w:t>Formal insolvency processes are complex to implement internationally. Generally, in pursuing assets across borders, a plaintiff or creditor will need to pursue the assets under the insolvency laws of that country. Moreover, insolvency judgements are not easily recognized in foreign courts, unless certain regulations, conventions, or model laws apply. Therefore, the insolvency laws of the country where the assets are located will influence the effectiveness of approaching asset recovery through insolvency [footnotes omitted]</w:t>
      </w:r>
      <w:r w:rsidR="007B2B55" w:rsidRPr="006F29F5">
        <w:rPr>
          <w:kern w:val="2"/>
          <w:sz w:val="20"/>
        </w:rPr>
        <w:t>.</w:t>
      </w:r>
      <w:r w:rsidR="00C32C6B" w:rsidRPr="006F29F5">
        <w:rPr>
          <w:rFonts w:eastAsia="Calibri" w:cs="Times New Roman"/>
          <w:kern w:val="2"/>
          <w:sz w:val="20"/>
          <w:vertAlign w:val="superscript"/>
        </w:rPr>
        <w:footnoteReference w:id="84"/>
      </w:r>
    </w:p>
    <w:p w14:paraId="07DE1305" w14:textId="1BE8758A" w:rsidR="007E7834" w:rsidRPr="006F29F5" w:rsidRDefault="00BE4FBE" w:rsidP="004733CF">
      <w:pPr>
        <w:pStyle w:val="ListParagraph"/>
        <w:numPr>
          <w:ilvl w:val="0"/>
          <w:numId w:val="9"/>
        </w:numPr>
        <w:spacing w:line="259" w:lineRule="auto"/>
        <w:rPr>
          <w:rFonts w:eastAsia="Calibri" w:cs="Times New Roman"/>
          <w:i/>
          <w:kern w:val="2"/>
          <w:sz w:val="20"/>
        </w:rPr>
      </w:pPr>
      <w:proofErr w:type="spellStart"/>
      <w:r w:rsidRPr="006F29F5">
        <w:rPr>
          <w:rFonts w:eastAsia="Calibri" w:cs="Times New Roman"/>
          <w:i/>
          <w:kern w:val="2"/>
          <w:sz w:val="20"/>
        </w:rPr>
        <w:t>Partie</w:t>
      </w:r>
      <w:proofErr w:type="spellEnd"/>
      <w:r w:rsidRPr="006F29F5">
        <w:rPr>
          <w:rFonts w:eastAsia="Calibri" w:cs="Times New Roman"/>
          <w:i/>
          <w:kern w:val="2"/>
          <w:sz w:val="20"/>
        </w:rPr>
        <w:t xml:space="preserve"> </w:t>
      </w:r>
      <w:proofErr w:type="spellStart"/>
      <w:r w:rsidRPr="006F29F5">
        <w:rPr>
          <w:rFonts w:eastAsia="Calibri" w:cs="Times New Roman"/>
          <w:i/>
          <w:kern w:val="2"/>
          <w:sz w:val="20"/>
        </w:rPr>
        <w:t>c</w:t>
      </w:r>
      <w:r w:rsidR="007E7834" w:rsidRPr="006F29F5">
        <w:rPr>
          <w:rFonts w:eastAsia="Calibri" w:cs="Times New Roman"/>
          <w:i/>
          <w:kern w:val="2"/>
          <w:sz w:val="20"/>
        </w:rPr>
        <w:t>ivile</w:t>
      </w:r>
      <w:proofErr w:type="spellEnd"/>
    </w:p>
    <w:p w14:paraId="6D8C6142" w14:textId="336F4528" w:rsidR="007E7834" w:rsidRPr="006F29F5" w:rsidRDefault="007E7834" w:rsidP="004733CF">
      <w:pPr>
        <w:rPr>
          <w:rFonts w:eastAsia="Calibri" w:cs="Times New Roman"/>
          <w:kern w:val="2"/>
          <w:sz w:val="20"/>
        </w:rPr>
      </w:pPr>
      <w:r w:rsidRPr="006F29F5">
        <w:rPr>
          <w:rFonts w:eastAsia="Calibri" w:cs="Times New Roman"/>
          <w:kern w:val="2"/>
          <w:sz w:val="20"/>
        </w:rPr>
        <w:t xml:space="preserve">Victims of corruption can participate in criminal proceedings for corruption-related offences as a </w:t>
      </w:r>
      <w:proofErr w:type="spellStart"/>
      <w:r w:rsidRPr="006F29F5">
        <w:rPr>
          <w:rFonts w:eastAsia="Calibri" w:cs="Times New Roman"/>
          <w:i/>
          <w:kern w:val="2"/>
          <w:sz w:val="20"/>
        </w:rPr>
        <w:t>partie</w:t>
      </w:r>
      <w:proofErr w:type="spellEnd"/>
      <w:r w:rsidRPr="006F29F5">
        <w:rPr>
          <w:rFonts w:eastAsia="Calibri" w:cs="Times New Roman"/>
          <w:i/>
          <w:kern w:val="2"/>
          <w:sz w:val="20"/>
        </w:rPr>
        <w:t xml:space="preserve"> </w:t>
      </w:r>
      <w:proofErr w:type="spellStart"/>
      <w:r w:rsidRPr="006F29F5">
        <w:rPr>
          <w:rFonts w:eastAsia="Calibri" w:cs="Times New Roman"/>
          <w:i/>
          <w:kern w:val="2"/>
          <w:sz w:val="20"/>
        </w:rPr>
        <w:t>civile</w:t>
      </w:r>
      <w:proofErr w:type="spellEnd"/>
      <w:r w:rsidRPr="006F29F5">
        <w:rPr>
          <w:rFonts w:eastAsia="Calibri" w:cs="Times New Roman"/>
          <w:i/>
          <w:kern w:val="2"/>
          <w:sz w:val="20"/>
        </w:rPr>
        <w:t xml:space="preserve"> </w:t>
      </w:r>
      <w:r w:rsidRPr="006F29F5">
        <w:rPr>
          <w:rFonts w:eastAsia="Calibri" w:cs="Times New Roman"/>
          <w:kern w:val="2"/>
          <w:sz w:val="20"/>
        </w:rPr>
        <w:t xml:space="preserve">in civil law jurisdictions. The victim must establish that they suffered direct and personal harm as a result of the criminal </w:t>
      </w:r>
      <w:r w:rsidR="00BE4FBE" w:rsidRPr="006F29F5">
        <w:rPr>
          <w:rFonts w:eastAsia="Calibri" w:cs="Times New Roman"/>
          <w:kern w:val="2"/>
          <w:sz w:val="20"/>
        </w:rPr>
        <w:t xml:space="preserve">offence. This allows claims </w:t>
      </w:r>
      <w:r w:rsidRPr="006F29F5">
        <w:rPr>
          <w:rFonts w:eastAsia="Calibri" w:cs="Times New Roman"/>
          <w:kern w:val="2"/>
          <w:sz w:val="20"/>
        </w:rPr>
        <w:t xml:space="preserve">for damages to be assessed within a criminal trial and awarded if there is a conviction. For example, in 2007, Nigeria was awarded €150,000 for non-pecuniary damages after a French court convicted a former Nigerian energy minister </w:t>
      </w:r>
      <w:r w:rsidR="009916E1" w:rsidRPr="006F29F5">
        <w:rPr>
          <w:rFonts w:eastAsia="Calibri" w:cs="Times New Roman"/>
          <w:kern w:val="2"/>
          <w:sz w:val="20"/>
        </w:rPr>
        <w:t xml:space="preserve">for </w:t>
      </w:r>
      <w:r w:rsidRPr="006F29F5">
        <w:rPr>
          <w:rFonts w:eastAsia="Calibri" w:cs="Times New Roman"/>
          <w:kern w:val="2"/>
          <w:sz w:val="20"/>
        </w:rPr>
        <w:t xml:space="preserve">money laundering. Disadvantages of the </w:t>
      </w:r>
      <w:proofErr w:type="spellStart"/>
      <w:r w:rsidRPr="006F29F5">
        <w:rPr>
          <w:rFonts w:eastAsia="Calibri" w:cs="Times New Roman"/>
          <w:i/>
          <w:kern w:val="2"/>
          <w:sz w:val="20"/>
        </w:rPr>
        <w:t>partie</w:t>
      </w:r>
      <w:proofErr w:type="spellEnd"/>
      <w:r w:rsidRPr="006F29F5">
        <w:rPr>
          <w:rFonts w:eastAsia="Calibri" w:cs="Times New Roman"/>
          <w:i/>
          <w:kern w:val="2"/>
          <w:sz w:val="20"/>
        </w:rPr>
        <w:t xml:space="preserve"> </w:t>
      </w:r>
      <w:proofErr w:type="spellStart"/>
      <w:r w:rsidRPr="006F29F5">
        <w:rPr>
          <w:rFonts w:eastAsia="Calibri" w:cs="Times New Roman"/>
          <w:i/>
          <w:kern w:val="2"/>
          <w:sz w:val="20"/>
        </w:rPr>
        <w:t>civile</w:t>
      </w:r>
      <w:proofErr w:type="spellEnd"/>
      <w:r w:rsidRPr="006F29F5">
        <w:rPr>
          <w:rFonts w:eastAsia="Calibri" w:cs="Times New Roman"/>
          <w:i/>
          <w:kern w:val="2"/>
          <w:sz w:val="20"/>
        </w:rPr>
        <w:t xml:space="preserve"> </w:t>
      </w:r>
      <w:r w:rsidRPr="006F29F5">
        <w:rPr>
          <w:rFonts w:eastAsia="Calibri" w:cs="Times New Roman"/>
          <w:kern w:val="2"/>
          <w:sz w:val="20"/>
        </w:rPr>
        <w:t xml:space="preserve">approach include the victim state’s lack of control over criminal proceedings and the fact that prosecutors may engage in plea bargaining without consideration of the </w:t>
      </w:r>
      <w:proofErr w:type="spellStart"/>
      <w:r w:rsidRPr="006F29F5">
        <w:rPr>
          <w:rFonts w:eastAsia="Calibri" w:cs="Times New Roman"/>
          <w:i/>
          <w:kern w:val="2"/>
          <w:sz w:val="20"/>
        </w:rPr>
        <w:t>partie</w:t>
      </w:r>
      <w:proofErr w:type="spellEnd"/>
      <w:r w:rsidRPr="006F29F5">
        <w:rPr>
          <w:rFonts w:eastAsia="Calibri" w:cs="Times New Roman"/>
          <w:i/>
          <w:kern w:val="2"/>
          <w:sz w:val="20"/>
        </w:rPr>
        <w:t xml:space="preserve"> </w:t>
      </w:r>
      <w:proofErr w:type="spellStart"/>
      <w:r w:rsidRPr="006F29F5">
        <w:rPr>
          <w:rFonts w:eastAsia="Calibri" w:cs="Times New Roman"/>
          <w:i/>
          <w:kern w:val="2"/>
          <w:sz w:val="20"/>
        </w:rPr>
        <w:t>civile</w:t>
      </w:r>
      <w:proofErr w:type="spellEnd"/>
      <w:r w:rsidRPr="006F29F5">
        <w:rPr>
          <w:rFonts w:eastAsia="Calibri" w:cs="Times New Roman"/>
          <w:kern w:val="2"/>
          <w:sz w:val="20"/>
        </w:rPr>
        <w:t>.</w:t>
      </w:r>
      <w:r w:rsidRPr="006F29F5">
        <w:rPr>
          <w:rFonts w:eastAsia="Calibri" w:cs="Times New Roman"/>
          <w:kern w:val="2"/>
          <w:sz w:val="20"/>
          <w:vertAlign w:val="superscript"/>
        </w:rPr>
        <w:footnoteReference w:id="85"/>
      </w:r>
      <w:r w:rsidRPr="006F29F5">
        <w:rPr>
          <w:rFonts w:eastAsia="Calibri" w:cs="Times New Roman"/>
          <w:kern w:val="2"/>
          <w:sz w:val="20"/>
        </w:rPr>
        <w:t xml:space="preserve"> </w:t>
      </w:r>
    </w:p>
    <w:p w14:paraId="35E3FAF6" w14:textId="11EA671B" w:rsidR="00B32E69" w:rsidRPr="006F29F5" w:rsidRDefault="009C69C7" w:rsidP="00B876FB">
      <w:pPr>
        <w:pStyle w:val="Heading3"/>
        <w:rPr>
          <w:kern w:val="2"/>
          <w:sz w:val="22"/>
        </w:rPr>
      </w:pPr>
      <w:bookmarkStart w:id="22" w:name="_Toc420329369"/>
      <w:r w:rsidRPr="006F29F5">
        <w:rPr>
          <w:kern w:val="2"/>
          <w:sz w:val="22"/>
        </w:rPr>
        <w:t>Limitations</w:t>
      </w:r>
      <w:r w:rsidR="002F7FDB" w:rsidRPr="006F29F5">
        <w:rPr>
          <w:kern w:val="2"/>
          <w:sz w:val="22"/>
        </w:rPr>
        <w:t xml:space="preserve"> </w:t>
      </w:r>
      <w:r w:rsidR="007E7834" w:rsidRPr="006F29F5">
        <w:rPr>
          <w:kern w:val="2"/>
          <w:sz w:val="22"/>
        </w:rPr>
        <w:t>and Advantages of</w:t>
      </w:r>
      <w:r w:rsidR="00EC261C" w:rsidRPr="006F29F5">
        <w:rPr>
          <w:kern w:val="2"/>
          <w:sz w:val="22"/>
        </w:rPr>
        <w:t xml:space="preserve"> Criminal and</w:t>
      </w:r>
      <w:r w:rsidR="002F7FDB" w:rsidRPr="006F29F5">
        <w:rPr>
          <w:kern w:val="2"/>
          <w:sz w:val="22"/>
        </w:rPr>
        <w:t xml:space="preserve"> Civil Proceedings</w:t>
      </w:r>
      <w:bookmarkEnd w:id="22"/>
    </w:p>
    <w:p w14:paraId="1C0E8075" w14:textId="20DF35E7" w:rsidR="00B32E69" w:rsidRPr="006F29F5" w:rsidRDefault="00B32E69" w:rsidP="00241EE6">
      <w:pPr>
        <w:spacing w:after="160"/>
        <w:rPr>
          <w:rFonts w:eastAsia="Calibri" w:cs="Times New Roman"/>
          <w:kern w:val="2"/>
          <w:sz w:val="20"/>
        </w:rPr>
      </w:pPr>
      <w:r w:rsidRPr="006F29F5">
        <w:rPr>
          <w:rFonts w:eastAsia="Calibri" w:cs="Times New Roman"/>
          <w:kern w:val="2"/>
          <w:sz w:val="20"/>
        </w:rPr>
        <w:t xml:space="preserve">Both criminal and civil proceedings have their advantages and limitations. Civil actions are limited in terms of access to information and investigative powers. Criminal proceedings provide investigators with privileged access to information at the national and international level and allow </w:t>
      </w:r>
      <w:r w:rsidR="00E053F9" w:rsidRPr="006F29F5">
        <w:rPr>
          <w:rFonts w:eastAsia="Calibri" w:cs="Times New Roman"/>
          <w:kern w:val="2"/>
          <w:sz w:val="20"/>
        </w:rPr>
        <w:t xml:space="preserve">them </w:t>
      </w:r>
      <w:r w:rsidRPr="006F29F5">
        <w:rPr>
          <w:rFonts w:eastAsia="Calibri" w:cs="Times New Roman"/>
          <w:kern w:val="2"/>
          <w:sz w:val="20"/>
        </w:rPr>
        <w:t>to overcome bank secrecy and obtain freezing orders more easily. Further, the assistance and cooperation between states provided by mutual legal assistance (MLA) in criminal proceedings is not mandator</w:t>
      </w:r>
      <w:r w:rsidR="00BE4FBE" w:rsidRPr="006F29F5">
        <w:rPr>
          <w:rFonts w:eastAsia="Calibri" w:cs="Times New Roman"/>
          <w:kern w:val="2"/>
          <w:sz w:val="20"/>
        </w:rPr>
        <w:t>y in civil cases (see UNCAC Article</w:t>
      </w:r>
      <w:r w:rsidRPr="006F29F5">
        <w:rPr>
          <w:rFonts w:eastAsia="Calibri" w:cs="Times New Roman"/>
          <w:kern w:val="2"/>
          <w:sz w:val="20"/>
        </w:rPr>
        <w:t xml:space="preserve"> 43). For example, in </w:t>
      </w:r>
      <w:r w:rsidRPr="006F29F5">
        <w:rPr>
          <w:rFonts w:eastAsia="Calibri" w:cs="Times New Roman"/>
          <w:i/>
          <w:kern w:val="2"/>
          <w:sz w:val="20"/>
        </w:rPr>
        <w:t xml:space="preserve">Attorney General of Zambia, </w:t>
      </w:r>
      <w:r w:rsidRPr="006F29F5">
        <w:rPr>
          <w:rFonts w:eastAsia="Calibri" w:cs="Times New Roman"/>
          <w:kern w:val="2"/>
          <w:sz w:val="20"/>
        </w:rPr>
        <w:t>the Zambian government was obliged to hire a private firm specializing in the tracing of assets due to the absence of MLA in civil actions.</w:t>
      </w:r>
      <w:r w:rsidRPr="006F29F5">
        <w:rPr>
          <w:rFonts w:eastAsia="Calibri" w:cs="Times New Roman"/>
          <w:kern w:val="2"/>
          <w:sz w:val="20"/>
          <w:vertAlign w:val="superscript"/>
        </w:rPr>
        <w:footnoteReference w:id="86"/>
      </w:r>
      <w:r w:rsidRPr="006F29F5">
        <w:rPr>
          <w:rFonts w:eastAsia="Calibri" w:cs="Times New Roman"/>
          <w:kern w:val="2"/>
          <w:sz w:val="20"/>
        </w:rPr>
        <w:t xml:space="preserve"> </w:t>
      </w:r>
    </w:p>
    <w:p w14:paraId="7362B6BB" w14:textId="1F24330C" w:rsidR="00B32E69" w:rsidRPr="006F29F5" w:rsidRDefault="00B32E69" w:rsidP="00241EE6">
      <w:pPr>
        <w:spacing w:after="160"/>
        <w:rPr>
          <w:rFonts w:eastAsia="Calibri" w:cs="Times New Roman"/>
          <w:kern w:val="2"/>
          <w:sz w:val="20"/>
        </w:rPr>
      </w:pPr>
      <w:r w:rsidRPr="006F29F5">
        <w:rPr>
          <w:rFonts w:eastAsia="Calibri" w:cs="Times New Roman"/>
          <w:kern w:val="2"/>
          <w:sz w:val="20"/>
        </w:rPr>
        <w:t xml:space="preserve">Benefits of civil litigation, aside from the lower burden of proof, include the possibility of action against third parties like facilitators (parties who knowingly facilitated the transfer of proceeds or received illicit assets). For example, a whole range of defendants were included in </w:t>
      </w:r>
      <w:r w:rsidRPr="006F29F5">
        <w:rPr>
          <w:rFonts w:eastAsia="Calibri" w:cs="Times New Roman"/>
          <w:i/>
          <w:kern w:val="2"/>
          <w:sz w:val="20"/>
        </w:rPr>
        <w:t>Attorney General of Zambia</w:t>
      </w:r>
      <w:r w:rsidRPr="006F29F5">
        <w:rPr>
          <w:rFonts w:eastAsia="Calibri" w:cs="Times New Roman"/>
          <w:kern w:val="2"/>
          <w:sz w:val="20"/>
        </w:rPr>
        <w:t>, including lawyers and other third parties.</w:t>
      </w:r>
      <w:r w:rsidRPr="006F29F5">
        <w:rPr>
          <w:rFonts w:eastAsia="Calibri" w:cs="Times New Roman"/>
          <w:kern w:val="2"/>
          <w:sz w:val="20"/>
          <w:vertAlign w:val="superscript"/>
        </w:rPr>
        <w:footnoteReference w:id="87"/>
      </w:r>
      <w:r w:rsidRPr="006F29F5">
        <w:rPr>
          <w:rFonts w:eastAsia="Calibri" w:cs="Times New Roman"/>
          <w:kern w:val="2"/>
          <w:sz w:val="20"/>
        </w:rPr>
        <w:t xml:space="preserve"> However, plaintiffs might be required to establish dishonesty on the part of third parties, since incompetence is not always sufficient to ground liability.</w:t>
      </w:r>
      <w:r w:rsidR="00220AC9" w:rsidRPr="006F29F5">
        <w:rPr>
          <w:rFonts w:eastAsia="Calibri" w:cs="Times New Roman"/>
          <w:kern w:val="2"/>
          <w:sz w:val="20"/>
        </w:rPr>
        <w:t xml:space="preserve"> </w:t>
      </w:r>
    </w:p>
    <w:p w14:paraId="2D0926E9" w14:textId="0E6D2E5E" w:rsidR="00B32E69" w:rsidRPr="006F29F5" w:rsidRDefault="00B32E69" w:rsidP="00241EE6">
      <w:pPr>
        <w:spacing w:after="160"/>
        <w:rPr>
          <w:rFonts w:eastAsia="Calibri" w:cs="Times New Roman"/>
          <w:kern w:val="2"/>
          <w:sz w:val="20"/>
        </w:rPr>
      </w:pPr>
      <w:r w:rsidRPr="006F29F5">
        <w:rPr>
          <w:rFonts w:eastAsia="Calibri" w:cs="Times New Roman"/>
          <w:kern w:val="2"/>
          <w:sz w:val="20"/>
        </w:rPr>
        <w:t>Another advantage of civil actions is the possibility of the inclusion of moral and punitive damages in compensation. Further, plaintiffs can choose the jurisdiction in which recovery is pursued. Civil remedies also provide a foreign state with greater control over the proceedings, whereas the harmed jurisdiction has no control over criminal proceedings in another jurisdiction. Prosecution must follow pre-set jurisdictional conditions</w:t>
      </w:r>
      <w:r w:rsidR="006C7C8F" w:rsidRPr="006F29F5">
        <w:rPr>
          <w:rFonts w:eastAsia="Calibri" w:cs="Times New Roman"/>
          <w:kern w:val="2"/>
          <w:sz w:val="20"/>
        </w:rPr>
        <w:t>.</w:t>
      </w:r>
      <w:r w:rsidRPr="006F29F5">
        <w:rPr>
          <w:rFonts w:eastAsia="Calibri" w:cs="Times New Roman"/>
          <w:kern w:val="2"/>
          <w:sz w:val="20"/>
        </w:rPr>
        <w:t xml:space="preserve"> </w:t>
      </w:r>
      <w:r w:rsidR="006C7C8F" w:rsidRPr="006F29F5">
        <w:rPr>
          <w:rFonts w:eastAsia="Calibri" w:cs="Times New Roman"/>
          <w:kern w:val="2"/>
          <w:sz w:val="20"/>
        </w:rPr>
        <w:t>C</w:t>
      </w:r>
      <w:r w:rsidRPr="006F29F5">
        <w:rPr>
          <w:rFonts w:eastAsia="Calibri" w:cs="Times New Roman"/>
          <w:kern w:val="2"/>
          <w:sz w:val="20"/>
        </w:rPr>
        <w:t>ivil recovery</w:t>
      </w:r>
      <w:r w:rsidR="00D726B3" w:rsidRPr="006F29F5">
        <w:rPr>
          <w:rFonts w:eastAsia="Calibri" w:cs="Times New Roman"/>
          <w:kern w:val="2"/>
          <w:sz w:val="20"/>
        </w:rPr>
        <w:t>, on the other hand,</w:t>
      </w:r>
      <w:r w:rsidRPr="006F29F5">
        <w:rPr>
          <w:rFonts w:eastAsia="Calibri" w:cs="Times New Roman"/>
          <w:kern w:val="2"/>
          <w:sz w:val="20"/>
        </w:rPr>
        <w:t xml:space="preserve"> can be pursued almost anywhere and in several jurisdictions at once. </w:t>
      </w:r>
    </w:p>
    <w:p w14:paraId="44221D7F" w14:textId="34C2D209" w:rsidR="00241EE6" w:rsidRPr="006F29F5" w:rsidRDefault="00B32E69" w:rsidP="00241EE6">
      <w:pPr>
        <w:rPr>
          <w:rFonts w:eastAsia="Calibri" w:cs="Times New Roman"/>
          <w:kern w:val="2"/>
          <w:sz w:val="20"/>
          <w:szCs w:val="24"/>
        </w:rPr>
      </w:pPr>
      <w:r w:rsidRPr="006F29F5">
        <w:rPr>
          <w:rFonts w:eastAsia="Calibri" w:cs="Times New Roman"/>
          <w:kern w:val="2"/>
          <w:sz w:val="20"/>
          <w:szCs w:val="24"/>
        </w:rPr>
        <w:t xml:space="preserve">As pointed out by </w:t>
      </w:r>
      <w:proofErr w:type="spellStart"/>
      <w:r w:rsidRPr="006F29F5">
        <w:rPr>
          <w:rFonts w:eastAsia="Calibri" w:cs="Times New Roman"/>
          <w:kern w:val="2"/>
          <w:sz w:val="20"/>
          <w:szCs w:val="24"/>
        </w:rPr>
        <w:t>Makinwa</w:t>
      </w:r>
      <w:proofErr w:type="spellEnd"/>
      <w:r w:rsidRPr="006F29F5">
        <w:rPr>
          <w:rFonts w:eastAsia="Calibri" w:cs="Times New Roman"/>
          <w:kern w:val="2"/>
          <w:sz w:val="20"/>
          <w:szCs w:val="24"/>
        </w:rPr>
        <w:t xml:space="preserve">, civil actions can be pursued independently of the state, which is an advantage when states are unwilling to pursue criminal proceedings. </w:t>
      </w:r>
      <w:proofErr w:type="spellStart"/>
      <w:r w:rsidRPr="006F29F5">
        <w:rPr>
          <w:rFonts w:eastAsia="Calibri" w:cs="Times New Roman"/>
          <w:kern w:val="2"/>
          <w:sz w:val="20"/>
          <w:szCs w:val="24"/>
        </w:rPr>
        <w:t>Makinwa</w:t>
      </w:r>
      <w:proofErr w:type="spellEnd"/>
      <w:r w:rsidRPr="006F29F5">
        <w:rPr>
          <w:rFonts w:eastAsia="Calibri" w:cs="Times New Roman"/>
          <w:kern w:val="2"/>
          <w:sz w:val="20"/>
          <w:szCs w:val="24"/>
        </w:rPr>
        <w:t xml:space="preserve"> also points out that private suits deter corrupt transactions through the introduction of </w:t>
      </w:r>
      <w:r w:rsidR="00CC1E13" w:rsidRPr="006F29F5">
        <w:rPr>
          <w:rFonts w:eastAsia="Calibri" w:cs="Times New Roman"/>
          <w:kern w:val="2"/>
          <w:sz w:val="20"/>
          <w:szCs w:val="24"/>
        </w:rPr>
        <w:t>“</w:t>
      </w:r>
      <w:r w:rsidRPr="006F29F5">
        <w:rPr>
          <w:rFonts w:eastAsia="Calibri" w:cs="Times New Roman"/>
          <w:kern w:val="2"/>
          <w:sz w:val="20"/>
          <w:szCs w:val="24"/>
        </w:rPr>
        <w:t>an element of uncertainty in terms of the number, duration and costs (both financial and reputational) of potential private suits that may be filed by a variety of claimants. The criminal process is much more predictable as fines and punishment are pre-determined and can be more easily factored into the decision whether or not to give a bribe.</w:t>
      </w:r>
      <w:r w:rsidR="00CC1E13" w:rsidRPr="006F29F5">
        <w:rPr>
          <w:rFonts w:eastAsia="Calibri" w:cs="Times New Roman"/>
          <w:kern w:val="2"/>
          <w:sz w:val="20"/>
          <w:szCs w:val="24"/>
        </w:rPr>
        <w:t>”</w:t>
      </w:r>
      <w:r w:rsidRPr="006F29F5">
        <w:rPr>
          <w:rFonts w:eastAsia="Calibri" w:cs="Times New Roman"/>
          <w:kern w:val="2"/>
          <w:sz w:val="20"/>
          <w:szCs w:val="24"/>
          <w:vertAlign w:val="superscript"/>
        </w:rPr>
        <w:footnoteReference w:id="88"/>
      </w:r>
      <w:r w:rsidRPr="006F29F5">
        <w:rPr>
          <w:rFonts w:eastAsia="Calibri" w:cs="Times New Roman"/>
          <w:kern w:val="2"/>
          <w:sz w:val="20"/>
          <w:szCs w:val="24"/>
        </w:rPr>
        <w:t xml:space="preserve"> </w:t>
      </w:r>
    </w:p>
    <w:tbl>
      <w:tblPr>
        <w:tblStyle w:val="TableGrid"/>
        <w:tblW w:w="0" w:type="auto"/>
        <w:jc w:val="center"/>
        <w:tblCellMar>
          <w:top w:w="142" w:type="dxa"/>
          <w:left w:w="284" w:type="dxa"/>
          <w:bottom w:w="142" w:type="dxa"/>
          <w:right w:w="284" w:type="dxa"/>
        </w:tblCellMar>
        <w:tblLook w:val="04A0" w:firstRow="1" w:lastRow="0" w:firstColumn="1" w:lastColumn="0" w:noHBand="0" w:noVBand="1"/>
      </w:tblPr>
      <w:tblGrid>
        <w:gridCol w:w="8070"/>
      </w:tblGrid>
      <w:tr w:rsidR="00DC332D" w:rsidRPr="006F29F5" w14:paraId="01C4ABA3" w14:textId="77777777" w:rsidTr="00DC332D">
        <w:trPr>
          <w:jc w:val="center"/>
        </w:trPr>
        <w:tc>
          <w:tcPr>
            <w:tcW w:w="9350" w:type="dxa"/>
          </w:tcPr>
          <w:p w14:paraId="7426F97D" w14:textId="77777777" w:rsidR="00DC332D" w:rsidRPr="006F29F5" w:rsidRDefault="00DC332D" w:rsidP="00DC332D">
            <w:pPr>
              <w:spacing w:before="120" w:after="120"/>
              <w:rPr>
                <w:rFonts w:eastAsia="Calibri" w:cs="Times New Roman"/>
                <w:b/>
                <w:kern w:val="2"/>
                <w:sz w:val="20"/>
                <w:szCs w:val="24"/>
              </w:rPr>
            </w:pPr>
            <w:r w:rsidRPr="006F29F5">
              <w:rPr>
                <w:rFonts w:eastAsia="Calibri" w:cs="Times New Roman"/>
                <w:b/>
                <w:kern w:val="2"/>
                <w:sz w:val="20"/>
                <w:szCs w:val="24"/>
              </w:rPr>
              <w:t>Further Reading</w:t>
            </w:r>
          </w:p>
          <w:p w14:paraId="163E3509" w14:textId="606F5A11" w:rsidR="00DC332D" w:rsidRPr="006F29F5" w:rsidRDefault="00DC332D" w:rsidP="00DC332D">
            <w:pPr>
              <w:spacing w:before="120" w:after="120"/>
              <w:rPr>
                <w:rFonts w:eastAsia="Calibri" w:cs="Times New Roman"/>
                <w:kern w:val="2"/>
                <w:sz w:val="20"/>
                <w:szCs w:val="24"/>
              </w:rPr>
            </w:pPr>
            <w:r w:rsidRPr="006F29F5">
              <w:rPr>
                <w:rFonts w:eastAsia="Calibri" w:cs="Times New Roman"/>
                <w:kern w:val="2"/>
                <w:sz w:val="20"/>
                <w:szCs w:val="24"/>
              </w:rPr>
              <w:t xml:space="preserve">For a detailed discussion of civil actions and remedies available in asset recovery proceedings in both common law and civil law jurisdictions, see </w:t>
            </w:r>
            <w:r w:rsidRPr="006F29F5">
              <w:rPr>
                <w:kern w:val="2"/>
                <w:sz w:val="20"/>
              </w:rPr>
              <w:t xml:space="preserve">van der Does de </w:t>
            </w:r>
            <w:proofErr w:type="spellStart"/>
            <w:r w:rsidRPr="006F29F5">
              <w:rPr>
                <w:kern w:val="2"/>
                <w:sz w:val="20"/>
              </w:rPr>
              <w:t>Willebois</w:t>
            </w:r>
            <w:proofErr w:type="spellEnd"/>
            <w:r w:rsidRPr="006F29F5">
              <w:rPr>
                <w:kern w:val="2"/>
                <w:sz w:val="20"/>
              </w:rPr>
              <w:t xml:space="preserve"> &amp; </w:t>
            </w:r>
            <w:proofErr w:type="spellStart"/>
            <w:r w:rsidRPr="006F29F5">
              <w:rPr>
                <w:kern w:val="2"/>
                <w:sz w:val="20"/>
              </w:rPr>
              <w:t>Brun</w:t>
            </w:r>
            <w:proofErr w:type="spellEnd"/>
            <w:r w:rsidRPr="006F29F5">
              <w:rPr>
                <w:kern w:val="2"/>
                <w:sz w:val="20"/>
              </w:rPr>
              <w:t xml:space="preserve">, </w:t>
            </w:r>
            <w:r w:rsidR="00CC1E13" w:rsidRPr="006F29F5">
              <w:rPr>
                <w:kern w:val="2"/>
                <w:sz w:val="20"/>
              </w:rPr>
              <w:t>“</w:t>
            </w:r>
            <w:r w:rsidRPr="006F29F5">
              <w:rPr>
                <w:kern w:val="2"/>
                <w:sz w:val="20"/>
              </w:rPr>
              <w:t>Using Civil Remedies in Corruption and Asset Recovery Cases</w:t>
            </w:r>
            <w:r w:rsidR="00CC1E13" w:rsidRPr="006F29F5">
              <w:rPr>
                <w:kern w:val="2"/>
                <w:sz w:val="20"/>
              </w:rPr>
              <w:t>”</w:t>
            </w:r>
            <w:r w:rsidRPr="006F29F5">
              <w:rPr>
                <w:kern w:val="2"/>
                <w:sz w:val="20"/>
              </w:rPr>
              <w:t xml:space="preserve"> (2012) 45:3 Case W Res J Intl L 615</w:t>
            </w:r>
            <w:r w:rsidRPr="006F29F5">
              <w:rPr>
                <w:i/>
                <w:kern w:val="2"/>
                <w:sz w:val="20"/>
              </w:rPr>
              <w:t>.</w:t>
            </w:r>
          </w:p>
          <w:p w14:paraId="2F7CB288" w14:textId="77777777" w:rsidR="009F1187" w:rsidRPr="006F29F5" w:rsidRDefault="00DC332D" w:rsidP="00B61F2C">
            <w:pPr>
              <w:spacing w:before="120" w:after="0"/>
              <w:rPr>
                <w:rFonts w:eastAsia="Calibri" w:cs="Times New Roman"/>
                <w:kern w:val="2"/>
                <w:sz w:val="20"/>
                <w:szCs w:val="24"/>
              </w:rPr>
            </w:pPr>
            <w:r w:rsidRPr="006F29F5">
              <w:rPr>
                <w:rFonts w:eastAsia="Calibri" w:cs="Times New Roman"/>
                <w:kern w:val="2"/>
                <w:sz w:val="20"/>
                <w:szCs w:val="24"/>
              </w:rPr>
              <w:t xml:space="preserve">For a recent guide to navigating civil actions in asset recovery, see the following </w:t>
            </w:r>
            <w:proofErr w:type="spellStart"/>
            <w:r w:rsidRPr="006F29F5">
              <w:rPr>
                <w:rFonts w:eastAsia="Calibri" w:cs="Times New Roman"/>
                <w:kern w:val="2"/>
                <w:sz w:val="20"/>
                <w:szCs w:val="24"/>
              </w:rPr>
              <w:t>StAR</w:t>
            </w:r>
            <w:proofErr w:type="spellEnd"/>
            <w:r w:rsidRPr="006F29F5">
              <w:rPr>
                <w:rFonts w:eastAsia="Calibri" w:cs="Times New Roman"/>
                <w:kern w:val="2"/>
                <w:sz w:val="20"/>
                <w:szCs w:val="24"/>
              </w:rPr>
              <w:t xml:space="preserve"> publication: </w:t>
            </w:r>
            <w:proofErr w:type="spellStart"/>
            <w:r w:rsidRPr="006F29F5">
              <w:rPr>
                <w:rFonts w:eastAsia="Calibri" w:cs="Times New Roman"/>
                <w:kern w:val="2"/>
                <w:sz w:val="20"/>
                <w:szCs w:val="24"/>
              </w:rPr>
              <w:t>Brun</w:t>
            </w:r>
            <w:proofErr w:type="spellEnd"/>
            <w:r w:rsidRPr="006F29F5">
              <w:rPr>
                <w:rFonts w:eastAsia="Calibri" w:cs="Times New Roman"/>
                <w:kern w:val="2"/>
                <w:sz w:val="20"/>
                <w:szCs w:val="24"/>
              </w:rPr>
              <w:t xml:space="preserve"> et al</w:t>
            </w:r>
            <w:r w:rsidR="00660991" w:rsidRPr="006F29F5">
              <w:rPr>
                <w:rFonts w:eastAsia="Calibri" w:cs="Times New Roman"/>
                <w:kern w:val="2"/>
                <w:sz w:val="20"/>
                <w:szCs w:val="24"/>
              </w:rPr>
              <w:t>.</w:t>
            </w:r>
            <w:r w:rsidRPr="006F29F5">
              <w:rPr>
                <w:rFonts w:eastAsia="Calibri" w:cs="Times New Roman"/>
                <w:kern w:val="2"/>
                <w:sz w:val="20"/>
                <w:szCs w:val="24"/>
              </w:rPr>
              <w:t xml:space="preserve">, </w:t>
            </w:r>
            <w:r w:rsidRPr="006F29F5">
              <w:rPr>
                <w:rFonts w:eastAsia="Calibri" w:cs="Times New Roman"/>
                <w:i/>
                <w:kern w:val="2"/>
                <w:sz w:val="20"/>
                <w:szCs w:val="24"/>
              </w:rPr>
              <w:t>Public Wrongs</w:t>
            </w:r>
            <w:r w:rsidRPr="006F29F5">
              <w:rPr>
                <w:rFonts w:eastAsia="Calibri" w:cs="Times New Roman"/>
                <w:kern w:val="2"/>
                <w:sz w:val="20"/>
                <w:szCs w:val="24"/>
              </w:rPr>
              <w:t xml:space="preserve">, </w:t>
            </w:r>
            <w:r w:rsidRPr="006F29F5">
              <w:rPr>
                <w:rFonts w:eastAsia="Calibri" w:cs="Times New Roman"/>
                <w:i/>
                <w:kern w:val="2"/>
                <w:sz w:val="20"/>
                <w:szCs w:val="24"/>
              </w:rPr>
              <w:t>Private Actions: Civil Lawsuits to Recover Stolen Assets</w:t>
            </w:r>
            <w:r w:rsidRPr="006F29F5">
              <w:rPr>
                <w:rFonts w:eastAsia="Calibri" w:cs="Times New Roman"/>
                <w:kern w:val="2"/>
                <w:sz w:val="20"/>
                <w:szCs w:val="24"/>
              </w:rPr>
              <w:t xml:space="preserve"> (The World Bank, 2015), online: </w:t>
            </w:r>
          </w:p>
          <w:p w14:paraId="0DD6BAB0" w14:textId="5DD9DBCE" w:rsidR="00DC332D" w:rsidRPr="006F29F5" w:rsidRDefault="00DC332D" w:rsidP="009F1187">
            <w:pPr>
              <w:spacing w:before="0" w:after="120"/>
              <w:rPr>
                <w:rFonts w:eastAsia="Calibri" w:cs="Times New Roman"/>
                <w:kern w:val="2"/>
                <w:sz w:val="20"/>
                <w:szCs w:val="24"/>
              </w:rPr>
            </w:pPr>
            <w:r w:rsidRPr="006F29F5">
              <w:rPr>
                <w:rFonts w:eastAsia="Calibri" w:cs="Times New Roman"/>
                <w:kern w:val="2"/>
                <w:sz w:val="20"/>
                <w:szCs w:val="24"/>
              </w:rPr>
              <w:t>&lt;</w:t>
            </w:r>
            <w:hyperlink r:id="rId8" w:history="1">
              <w:r w:rsidRPr="006F29F5">
                <w:rPr>
                  <w:rFonts w:eastAsia="Calibri" w:cs="Times New Roman"/>
                  <w:color w:val="0563C1"/>
                  <w:kern w:val="2"/>
                  <w:sz w:val="20"/>
                  <w:szCs w:val="24"/>
                  <w:u w:val="single"/>
                </w:rPr>
                <w:t>https://star.worldbank.org/star/publication/public-wrongs-private-actions</w:t>
              </w:r>
            </w:hyperlink>
            <w:r w:rsidRPr="006F29F5">
              <w:rPr>
                <w:rFonts w:eastAsia="Calibri" w:cs="Times New Roman"/>
                <w:kern w:val="2"/>
                <w:sz w:val="20"/>
                <w:szCs w:val="24"/>
              </w:rPr>
              <w:t xml:space="preserve">&gt;. </w:t>
            </w:r>
          </w:p>
        </w:tc>
      </w:tr>
    </w:tbl>
    <w:p w14:paraId="7AEC4743" w14:textId="68823705" w:rsidR="002F7FDB" w:rsidRPr="006F29F5" w:rsidRDefault="002F7FDB" w:rsidP="00B876FB">
      <w:pPr>
        <w:pStyle w:val="Heading3"/>
        <w:rPr>
          <w:kern w:val="2"/>
          <w:sz w:val="22"/>
        </w:rPr>
      </w:pPr>
      <w:bookmarkStart w:id="23" w:name="_Toc420329370"/>
      <w:r w:rsidRPr="006F29F5">
        <w:rPr>
          <w:kern w:val="2"/>
          <w:sz w:val="22"/>
        </w:rPr>
        <w:t>Interaction between Remedies</w:t>
      </w:r>
      <w:bookmarkEnd w:id="23"/>
    </w:p>
    <w:p w14:paraId="0FD74384" w14:textId="4CB17FA3" w:rsidR="00D9752E" w:rsidRDefault="00FF7E9B" w:rsidP="00E2056E">
      <w:pPr>
        <w:spacing w:before="60"/>
        <w:rPr>
          <w:rFonts w:cs="Times New Roman"/>
          <w:kern w:val="2"/>
          <w:sz w:val="20"/>
        </w:rPr>
      </w:pPr>
      <w:r w:rsidRPr="006F29F5">
        <w:rPr>
          <w:rFonts w:cs="Times New Roman"/>
          <w:kern w:val="2"/>
          <w:sz w:val="20"/>
        </w:rPr>
        <w:t>The following is an e</w:t>
      </w:r>
      <w:r w:rsidR="007B2B55" w:rsidRPr="006F29F5">
        <w:rPr>
          <w:rFonts w:cs="Times New Roman"/>
          <w:kern w:val="2"/>
          <w:sz w:val="20"/>
        </w:rPr>
        <w:t>xcerpt from</w:t>
      </w:r>
      <w:r w:rsidR="008F2115" w:rsidRPr="006F29F5">
        <w:rPr>
          <w:rFonts w:cs="Times New Roman"/>
          <w:kern w:val="2"/>
          <w:sz w:val="20"/>
        </w:rPr>
        <w:t xml:space="preserve"> OECD</w:t>
      </w:r>
      <w:r w:rsidRPr="006F29F5">
        <w:rPr>
          <w:rFonts w:cs="Times New Roman"/>
          <w:kern w:val="2"/>
          <w:sz w:val="20"/>
        </w:rPr>
        <w:t>/The World Bank report entitled</w:t>
      </w:r>
      <w:r w:rsidR="008F2115" w:rsidRPr="006F29F5">
        <w:rPr>
          <w:rFonts w:cs="Times New Roman"/>
          <w:kern w:val="2"/>
          <w:sz w:val="20"/>
        </w:rPr>
        <w:t xml:space="preserve"> </w:t>
      </w:r>
      <w:r w:rsidR="008F2115" w:rsidRPr="006F29F5">
        <w:rPr>
          <w:rFonts w:cs="Times New Roman"/>
          <w:i/>
          <w:kern w:val="2"/>
          <w:sz w:val="20"/>
        </w:rPr>
        <w:t>Identification and Quantification of the Proceeds of Bribery</w:t>
      </w:r>
      <w:r w:rsidR="007B2B55" w:rsidRPr="006F29F5">
        <w:rPr>
          <w:rFonts w:cs="Times New Roman"/>
          <w:kern w:val="2"/>
          <w:sz w:val="20"/>
        </w:rPr>
        <w:t>:</w:t>
      </w:r>
      <w:r w:rsidR="00A035C9" w:rsidRPr="006F29F5">
        <w:rPr>
          <w:rStyle w:val="FootnoteReference"/>
          <w:rFonts w:cs="Times New Roman"/>
          <w:kern w:val="2"/>
          <w:sz w:val="20"/>
        </w:rPr>
        <w:footnoteReference w:id="89"/>
      </w:r>
    </w:p>
    <w:tbl>
      <w:tblPr>
        <w:tblStyle w:val="TableGrid"/>
        <w:tblpPr w:leftFromText="180" w:rightFromText="180" w:vertAnchor="text" w:tblpXSpec="center" w:tblpY="1"/>
        <w:tblOverlap w:val="never"/>
        <w:tblW w:w="0" w:type="auto"/>
        <w:jc w:val="center"/>
        <w:tblCellMar>
          <w:top w:w="284" w:type="dxa"/>
          <w:left w:w="284" w:type="dxa"/>
          <w:bottom w:w="284" w:type="dxa"/>
          <w:right w:w="284" w:type="dxa"/>
        </w:tblCellMar>
        <w:tblLook w:val="04A0" w:firstRow="1" w:lastRow="0" w:firstColumn="1" w:lastColumn="0" w:noHBand="0" w:noVBand="1"/>
      </w:tblPr>
      <w:tblGrid>
        <w:gridCol w:w="8070"/>
      </w:tblGrid>
      <w:tr w:rsidR="004E7E4C" w14:paraId="23446840" w14:textId="77777777" w:rsidTr="004E7E4C">
        <w:trPr>
          <w:jc w:val="center"/>
        </w:trPr>
        <w:tc>
          <w:tcPr>
            <w:tcW w:w="8070" w:type="dxa"/>
            <w:tcBorders>
              <w:top w:val="nil"/>
              <w:left w:val="nil"/>
              <w:bottom w:val="nil"/>
              <w:right w:val="nil"/>
            </w:tcBorders>
            <w:shd w:val="clear" w:color="auto" w:fill="D9D9D9" w:themeFill="background1" w:themeFillShade="D9"/>
          </w:tcPr>
          <w:p w14:paraId="78E78729" w14:textId="77777777" w:rsidR="004E7E4C" w:rsidRPr="006F29F5" w:rsidRDefault="004E7E4C" w:rsidP="004E7E4C">
            <w:pPr>
              <w:pStyle w:val="ExcerptMarker"/>
              <w:spacing w:before="0"/>
              <w:rPr>
                <w:kern w:val="2"/>
                <w:sz w:val="16"/>
              </w:rPr>
            </w:pPr>
            <w:r w:rsidRPr="006F29F5">
              <w:rPr>
                <w:kern w:val="2"/>
                <w:sz w:val="16"/>
              </w:rPr>
              <w:t>Beginning of Excerpt</w:t>
            </w:r>
          </w:p>
          <w:p w14:paraId="653920BC" w14:textId="77777777" w:rsidR="004E7E4C" w:rsidRPr="006F29F5" w:rsidRDefault="004E7E4C" w:rsidP="004E7E4C">
            <w:pPr>
              <w:autoSpaceDE w:val="0"/>
              <w:autoSpaceDN w:val="0"/>
              <w:adjustRightInd w:val="0"/>
              <w:rPr>
                <w:rFonts w:cs="Times New Roman"/>
                <w:b/>
                <w:kern w:val="2"/>
                <w:sz w:val="20"/>
                <w:szCs w:val="21"/>
              </w:rPr>
            </w:pPr>
            <w:r w:rsidRPr="006F29F5">
              <w:rPr>
                <w:rFonts w:cs="Times New Roman"/>
                <w:b/>
                <w:kern w:val="2"/>
                <w:sz w:val="20"/>
                <w:szCs w:val="21"/>
              </w:rPr>
              <w:t>1. Interaction between confiscation, disgorgement, and fines</w:t>
            </w:r>
          </w:p>
          <w:p w14:paraId="3F89C481" w14:textId="603A98DF" w:rsidR="004E7E4C" w:rsidRPr="004E7E4C" w:rsidRDefault="004E7E4C" w:rsidP="004E7E4C">
            <w:pPr>
              <w:spacing w:before="60" w:after="0"/>
              <w:rPr>
                <w:rFonts w:cs="Times New Roman"/>
                <w:kern w:val="2"/>
                <w:sz w:val="2"/>
              </w:rPr>
            </w:pPr>
            <w:r w:rsidRPr="006F29F5">
              <w:rPr>
                <w:rFonts w:cs="Times New Roman"/>
                <w:kern w:val="2"/>
                <w:sz w:val="20"/>
                <w:szCs w:val="21"/>
              </w:rPr>
              <w:t xml:space="preserve">Disgorgement and confiscation serve similar purposes, as noted above. Both seek to remove ill-gotten gains. However, disgorgement and confiscation can be computed </w:t>
            </w:r>
            <w:r>
              <w:rPr>
                <w:rFonts w:cs="Times New Roman"/>
                <w:kern w:val="2"/>
                <w:sz w:val="20"/>
                <w:szCs w:val="21"/>
              </w:rPr>
              <w:br/>
            </w:r>
          </w:p>
        </w:tc>
      </w:tr>
    </w:tbl>
    <w:p w14:paraId="7F912FD6" w14:textId="77777777" w:rsidR="004E7E4C" w:rsidRPr="006F29F5" w:rsidRDefault="004E7E4C" w:rsidP="00E2056E">
      <w:pPr>
        <w:spacing w:before="60"/>
        <w:rPr>
          <w:rFonts w:cs="Times New Roman"/>
          <w:kern w:val="2"/>
          <w:sz w:val="20"/>
        </w:rPr>
      </w:pPr>
    </w:p>
    <w:tbl>
      <w:tblPr>
        <w:tblStyle w:val="TableGrid"/>
        <w:tblW w:w="0" w:type="auto"/>
        <w:tblCellMar>
          <w:top w:w="142" w:type="dxa"/>
          <w:left w:w="284" w:type="dxa"/>
          <w:bottom w:w="142" w:type="dxa"/>
          <w:right w:w="284" w:type="dxa"/>
        </w:tblCellMar>
        <w:tblLook w:val="04A0" w:firstRow="1" w:lastRow="0" w:firstColumn="1" w:lastColumn="0" w:noHBand="0" w:noVBand="1"/>
      </w:tblPr>
      <w:tblGrid>
        <w:gridCol w:w="8080"/>
      </w:tblGrid>
      <w:tr w:rsidR="006D75C2" w:rsidRPr="006F29F5" w14:paraId="6452EBF7" w14:textId="77777777" w:rsidTr="004E7E4C">
        <w:tc>
          <w:tcPr>
            <w:tcW w:w="9576" w:type="dxa"/>
            <w:tcBorders>
              <w:top w:val="nil"/>
              <w:left w:val="nil"/>
              <w:bottom w:val="nil"/>
              <w:right w:val="nil"/>
            </w:tcBorders>
            <w:shd w:val="clear" w:color="auto" w:fill="D9D9D9" w:themeFill="background1" w:themeFillShade="D9"/>
          </w:tcPr>
          <w:p w14:paraId="778FAF3A" w14:textId="71157BC8" w:rsidR="006D75C2" w:rsidRPr="006F29F5" w:rsidRDefault="004E7E4C" w:rsidP="004E7E4C">
            <w:pPr>
              <w:autoSpaceDE w:val="0"/>
              <w:autoSpaceDN w:val="0"/>
              <w:adjustRightInd w:val="0"/>
              <w:spacing w:before="0"/>
              <w:rPr>
                <w:rFonts w:cs="Times New Roman"/>
                <w:kern w:val="2"/>
                <w:sz w:val="20"/>
                <w:szCs w:val="21"/>
              </w:rPr>
            </w:pPr>
            <w:proofErr w:type="gramStart"/>
            <w:r w:rsidRPr="006F29F5">
              <w:rPr>
                <w:rFonts w:cs="Times New Roman"/>
                <w:kern w:val="2"/>
                <w:sz w:val="20"/>
                <w:szCs w:val="21"/>
              </w:rPr>
              <w:t>based</w:t>
            </w:r>
            <w:proofErr w:type="gramEnd"/>
            <w:r w:rsidRPr="006F29F5">
              <w:rPr>
                <w:rFonts w:cs="Times New Roman"/>
                <w:kern w:val="2"/>
                <w:sz w:val="20"/>
                <w:szCs w:val="21"/>
              </w:rPr>
              <w:t xml:space="preserve"> on different factors depending on the specific facts and circumstances of the bribery scheme and the relevant jurisdiction. Thus, it is possible to have both </w:t>
            </w:r>
            <w:r w:rsidR="006D75C2" w:rsidRPr="006F29F5">
              <w:rPr>
                <w:rFonts w:cs="Times New Roman"/>
                <w:kern w:val="2"/>
                <w:sz w:val="20"/>
                <w:szCs w:val="21"/>
              </w:rPr>
              <w:t xml:space="preserve">disgorgement and confiscation used in the same case. In the United States, disgorgement and restitution are quite similar and are unlikely to be used simultaneously. In the United States, if the SEC has already sought civil disgorgement of profits, generally the DOJ would exercise its discretion not to seek the same funds as a criminal restitution or forfeiture order. Unlike confiscation and disgorgement, the purpose of fines is to punish the offender, and not to remove the benefits of crime per se. In the U.S., the authorities frequently seek a criminal fine and/or a civil penalty in addition to disgorgement and forfeiture. In the United Kingdom, case law makes clear that a fine is to serve as a deterrent and that </w:t>
            </w:r>
            <w:r w:rsidR="00CC1E13" w:rsidRPr="006F29F5">
              <w:rPr>
                <w:rFonts w:cs="Times New Roman"/>
                <w:kern w:val="2"/>
                <w:sz w:val="20"/>
                <w:szCs w:val="21"/>
              </w:rPr>
              <w:t>“</w:t>
            </w:r>
            <w:r w:rsidR="006D75C2" w:rsidRPr="006F29F5">
              <w:rPr>
                <w:rFonts w:cs="Times New Roman"/>
                <w:kern w:val="2"/>
                <w:sz w:val="20"/>
                <w:szCs w:val="21"/>
              </w:rPr>
              <w:t>offending itself must be severely punished quite irrespective of whether it has produced a benefit.</w:t>
            </w:r>
            <w:r w:rsidR="00CC1E13" w:rsidRPr="006F29F5">
              <w:rPr>
                <w:rFonts w:cs="Times New Roman"/>
                <w:kern w:val="2"/>
                <w:sz w:val="20"/>
                <w:szCs w:val="21"/>
              </w:rPr>
              <w:t>”</w:t>
            </w:r>
            <w:r w:rsidR="006D75C2" w:rsidRPr="006F29F5">
              <w:rPr>
                <w:rFonts w:cs="Times New Roman"/>
                <w:kern w:val="2"/>
                <w:sz w:val="20"/>
                <w:szCs w:val="21"/>
              </w:rPr>
              <w:t xml:space="preserve"> If a defendant is in a position to pay both a fine and have the benefits confiscated, both may be ordered. In other cases, if the defendant does not have sufficient resources to pay both, confiscation will take primacy over a fine.</w:t>
            </w:r>
          </w:p>
          <w:p w14:paraId="5E424984" w14:textId="4A4A3CD2" w:rsidR="006D75C2" w:rsidRPr="006F29F5" w:rsidRDefault="0078337B" w:rsidP="004E7E4C">
            <w:pPr>
              <w:autoSpaceDE w:val="0"/>
              <w:autoSpaceDN w:val="0"/>
              <w:adjustRightInd w:val="0"/>
              <w:rPr>
                <w:rFonts w:cs="Times New Roman"/>
                <w:kern w:val="2"/>
                <w:sz w:val="20"/>
                <w:szCs w:val="21"/>
              </w:rPr>
            </w:pPr>
            <w:r w:rsidRPr="006F29F5">
              <w:rPr>
                <w:rFonts w:cs="Times New Roman"/>
                <w:kern w:val="2"/>
                <w:sz w:val="20"/>
                <w:szCs w:val="21"/>
              </w:rPr>
              <w:t>…</w:t>
            </w:r>
          </w:p>
          <w:p w14:paraId="300B3A20" w14:textId="77777777" w:rsidR="006D75C2" w:rsidRPr="006F29F5" w:rsidRDefault="006D75C2" w:rsidP="004E7E4C">
            <w:pPr>
              <w:autoSpaceDE w:val="0"/>
              <w:autoSpaceDN w:val="0"/>
              <w:adjustRightInd w:val="0"/>
              <w:rPr>
                <w:rFonts w:cs="Times New Roman"/>
                <w:b/>
                <w:kern w:val="2"/>
                <w:sz w:val="20"/>
                <w:szCs w:val="21"/>
              </w:rPr>
            </w:pPr>
            <w:r w:rsidRPr="006F29F5">
              <w:rPr>
                <w:rFonts w:cs="Times New Roman"/>
                <w:b/>
                <w:kern w:val="2"/>
                <w:sz w:val="20"/>
                <w:szCs w:val="21"/>
              </w:rPr>
              <w:t>2. Interaction between confiscation and compensation for damages</w:t>
            </w:r>
          </w:p>
          <w:p w14:paraId="39C1AA0D" w14:textId="77777777" w:rsidR="006D75C2" w:rsidRPr="006F29F5" w:rsidRDefault="006D75C2" w:rsidP="004E7E4C">
            <w:pPr>
              <w:autoSpaceDE w:val="0"/>
              <w:autoSpaceDN w:val="0"/>
              <w:adjustRightInd w:val="0"/>
              <w:rPr>
                <w:rFonts w:cs="Times New Roman"/>
                <w:kern w:val="2"/>
                <w:sz w:val="20"/>
                <w:szCs w:val="21"/>
              </w:rPr>
            </w:pPr>
            <w:r w:rsidRPr="006F29F5">
              <w:rPr>
                <w:rFonts w:cs="Times New Roman"/>
                <w:kern w:val="2"/>
                <w:sz w:val="20"/>
                <w:szCs w:val="21"/>
              </w:rPr>
              <w:t>Compensation is based on the existence of damages suffered by the victim and may be awarded even in cases where bribery did not generate any profit or benefit for the briber. However, bribes are generally intended to, and often do, ensure that the briber makes a profit. In certain instances, the profit may be greater than the damage suffered by the victim. There are various remedies that can be sought in this instance – the government enforcing anti-bribery laws can seek confiscation and the victim of the bribery can seek compensation for damages.</w:t>
            </w:r>
          </w:p>
          <w:p w14:paraId="55A5990D" w14:textId="48914924" w:rsidR="006D75C2" w:rsidRPr="006F29F5" w:rsidRDefault="0078337B" w:rsidP="004E7E4C">
            <w:pPr>
              <w:autoSpaceDE w:val="0"/>
              <w:autoSpaceDN w:val="0"/>
              <w:adjustRightInd w:val="0"/>
              <w:rPr>
                <w:rFonts w:cs="Times New Roman"/>
                <w:kern w:val="2"/>
                <w:sz w:val="20"/>
                <w:szCs w:val="21"/>
              </w:rPr>
            </w:pPr>
            <w:r w:rsidRPr="006F29F5">
              <w:rPr>
                <w:rFonts w:cs="Times New Roman"/>
                <w:kern w:val="2"/>
                <w:sz w:val="20"/>
                <w:szCs w:val="21"/>
              </w:rPr>
              <w:t>…</w:t>
            </w:r>
          </w:p>
          <w:p w14:paraId="4CED69E1" w14:textId="77777777" w:rsidR="006D75C2" w:rsidRPr="006F29F5" w:rsidRDefault="006D75C2" w:rsidP="004E7E4C">
            <w:pPr>
              <w:autoSpaceDE w:val="0"/>
              <w:autoSpaceDN w:val="0"/>
              <w:adjustRightInd w:val="0"/>
              <w:rPr>
                <w:rFonts w:cs="Times New Roman"/>
                <w:b/>
                <w:kern w:val="2"/>
                <w:sz w:val="20"/>
                <w:szCs w:val="21"/>
              </w:rPr>
            </w:pPr>
            <w:r w:rsidRPr="006F29F5">
              <w:rPr>
                <w:rFonts w:cs="Times New Roman"/>
                <w:b/>
                <w:kern w:val="2"/>
                <w:sz w:val="20"/>
                <w:szCs w:val="21"/>
              </w:rPr>
              <w:t>3. Interaction between confiscation and contractual restitutions</w:t>
            </w:r>
          </w:p>
          <w:p w14:paraId="4B03B4A1" w14:textId="77777777" w:rsidR="006D75C2" w:rsidRPr="006F29F5" w:rsidRDefault="006D75C2" w:rsidP="004E7E4C">
            <w:pPr>
              <w:autoSpaceDE w:val="0"/>
              <w:autoSpaceDN w:val="0"/>
              <w:adjustRightInd w:val="0"/>
              <w:rPr>
                <w:rFonts w:cs="Times New Roman"/>
                <w:kern w:val="2"/>
                <w:sz w:val="20"/>
                <w:szCs w:val="21"/>
              </w:rPr>
            </w:pPr>
            <w:r w:rsidRPr="006F29F5">
              <w:rPr>
                <w:rFonts w:cs="Times New Roman"/>
                <w:kern w:val="2"/>
                <w:sz w:val="20"/>
                <w:szCs w:val="21"/>
              </w:rPr>
              <w:t xml:space="preserve">In some jurisdictions government agencies have the authority to declare void or invalidate contracts awarded by or through bribed officials. In such instances, the government harmed by the bribery may seek recovery of all the amounts expended and the property transferred under the terms of the tainted contracts. In this situation, contractual restitutions could be as high as the proceeds of crime confiscated by the government enforcing the </w:t>
            </w:r>
            <w:proofErr w:type="spellStart"/>
            <w:r w:rsidRPr="006F29F5">
              <w:rPr>
                <w:rFonts w:cs="Times New Roman"/>
                <w:kern w:val="2"/>
                <w:sz w:val="20"/>
                <w:szCs w:val="21"/>
              </w:rPr>
              <w:t>antibribery</w:t>
            </w:r>
            <w:proofErr w:type="spellEnd"/>
            <w:r w:rsidRPr="006F29F5">
              <w:rPr>
                <w:rFonts w:cs="Times New Roman"/>
                <w:kern w:val="2"/>
                <w:sz w:val="20"/>
                <w:szCs w:val="21"/>
              </w:rPr>
              <w:t xml:space="preserve"> laws.</w:t>
            </w:r>
          </w:p>
          <w:p w14:paraId="683560CC" w14:textId="5B57E170" w:rsidR="006D75C2" w:rsidRPr="006F29F5" w:rsidRDefault="0078337B" w:rsidP="004E7E4C">
            <w:pPr>
              <w:autoSpaceDE w:val="0"/>
              <w:autoSpaceDN w:val="0"/>
              <w:adjustRightInd w:val="0"/>
              <w:rPr>
                <w:rFonts w:cs="Times New Roman"/>
                <w:kern w:val="2"/>
                <w:sz w:val="20"/>
                <w:szCs w:val="21"/>
              </w:rPr>
            </w:pPr>
            <w:r w:rsidRPr="006F29F5">
              <w:rPr>
                <w:rFonts w:cs="Times New Roman"/>
                <w:kern w:val="2"/>
                <w:sz w:val="20"/>
                <w:szCs w:val="21"/>
              </w:rPr>
              <w:t>…</w:t>
            </w:r>
          </w:p>
          <w:p w14:paraId="07DA7F51" w14:textId="5B13A4C4" w:rsidR="006D75C2" w:rsidRPr="006F29F5" w:rsidRDefault="006D75C2" w:rsidP="001D64F7">
            <w:pPr>
              <w:pStyle w:val="ExcerptMarker"/>
              <w:spacing w:after="0"/>
              <w:jc w:val="both"/>
              <w:rPr>
                <w:kern w:val="2"/>
                <w:sz w:val="16"/>
              </w:rPr>
            </w:pPr>
          </w:p>
        </w:tc>
      </w:tr>
      <w:tr w:rsidR="001D64F7" w:rsidRPr="006F29F5" w14:paraId="470085F5" w14:textId="77777777" w:rsidTr="004E7E4C">
        <w:tc>
          <w:tcPr>
            <w:tcW w:w="9576" w:type="dxa"/>
            <w:tcBorders>
              <w:top w:val="nil"/>
              <w:left w:val="nil"/>
              <w:bottom w:val="nil"/>
              <w:right w:val="nil"/>
            </w:tcBorders>
            <w:shd w:val="clear" w:color="auto" w:fill="D9D9D9" w:themeFill="background1" w:themeFillShade="D9"/>
          </w:tcPr>
          <w:p w14:paraId="1BA4DCDB" w14:textId="77777777" w:rsidR="001D64F7" w:rsidRPr="006F29F5" w:rsidRDefault="001D64F7" w:rsidP="001D64F7">
            <w:pPr>
              <w:autoSpaceDE w:val="0"/>
              <w:autoSpaceDN w:val="0"/>
              <w:adjustRightInd w:val="0"/>
              <w:rPr>
                <w:rFonts w:cs="Times New Roman"/>
                <w:b/>
                <w:kern w:val="2"/>
                <w:sz w:val="20"/>
                <w:szCs w:val="21"/>
              </w:rPr>
            </w:pPr>
            <w:r w:rsidRPr="006F29F5">
              <w:rPr>
                <w:rFonts w:cs="Times New Roman"/>
                <w:b/>
                <w:kern w:val="2"/>
                <w:sz w:val="20"/>
                <w:szCs w:val="21"/>
              </w:rPr>
              <w:t>4. Interaction between remedies applied in foreign or multiple jurisdictions</w:t>
            </w:r>
          </w:p>
          <w:p w14:paraId="1EB97562" w14:textId="77777777" w:rsidR="001D64F7" w:rsidRPr="006F29F5" w:rsidRDefault="001D64F7" w:rsidP="001D64F7">
            <w:pPr>
              <w:autoSpaceDE w:val="0"/>
              <w:autoSpaceDN w:val="0"/>
              <w:adjustRightInd w:val="0"/>
              <w:rPr>
                <w:rFonts w:cs="Times New Roman"/>
                <w:kern w:val="2"/>
                <w:sz w:val="20"/>
                <w:szCs w:val="21"/>
              </w:rPr>
            </w:pPr>
            <w:r w:rsidRPr="006F29F5">
              <w:rPr>
                <w:rFonts w:cs="Times New Roman"/>
                <w:kern w:val="2"/>
                <w:sz w:val="20"/>
                <w:szCs w:val="21"/>
              </w:rPr>
              <w:t>Courts may take into account confiscation decisions or settlements with the same effect in foreign jurisdictions to avoid unfair duplication. …</w:t>
            </w:r>
          </w:p>
          <w:p w14:paraId="4BD8F071" w14:textId="77777777" w:rsidR="001D64F7" w:rsidRPr="006F29F5" w:rsidRDefault="001D64F7" w:rsidP="001D64F7">
            <w:pPr>
              <w:autoSpaceDE w:val="0"/>
              <w:autoSpaceDN w:val="0"/>
              <w:adjustRightInd w:val="0"/>
              <w:rPr>
                <w:rFonts w:cs="Times New Roman"/>
                <w:kern w:val="2"/>
                <w:sz w:val="20"/>
                <w:szCs w:val="21"/>
              </w:rPr>
            </w:pPr>
            <w:r w:rsidRPr="006F29F5">
              <w:rPr>
                <w:rFonts w:cs="Times New Roman"/>
                <w:kern w:val="2"/>
                <w:sz w:val="20"/>
                <w:szCs w:val="21"/>
              </w:rPr>
              <w:t>Similarly, in the resolution of the Johnson &amp; Johnson (J&amp;J)/</w:t>
            </w:r>
            <w:proofErr w:type="spellStart"/>
            <w:r w:rsidRPr="006F29F5">
              <w:rPr>
                <w:rFonts w:cs="Times New Roman"/>
                <w:kern w:val="2"/>
                <w:sz w:val="20"/>
                <w:szCs w:val="21"/>
              </w:rPr>
              <w:t>DePuy</w:t>
            </w:r>
            <w:proofErr w:type="spellEnd"/>
            <w:r w:rsidRPr="006F29F5">
              <w:rPr>
                <w:rFonts w:cs="Times New Roman"/>
                <w:kern w:val="2"/>
                <w:sz w:val="20"/>
                <w:szCs w:val="21"/>
              </w:rPr>
              <w:t xml:space="preserve"> case, the United States and the United Kingdom simultaneously resolved investigations into some of the same misconduct. In the U.S., J&amp;J’s criminal fine was reduced by 25%, in part in light of anticipated fines in the U.K. and Greece, noting in the deferred prosecution agreement, “J&amp;J and the Department agree that this fine is appropriate given […] penalties related to the same conduct in the United Kingdom and Greece […].” J&amp;J was also required to disgorge profits from the conduct in a settlement with the SEC. </w:t>
            </w:r>
            <w:proofErr w:type="spellStart"/>
            <w:r w:rsidRPr="006F29F5">
              <w:rPr>
                <w:rFonts w:cs="Times New Roman"/>
                <w:kern w:val="2"/>
                <w:sz w:val="20"/>
                <w:szCs w:val="21"/>
              </w:rPr>
              <w:t>DePuy</w:t>
            </w:r>
            <w:proofErr w:type="spellEnd"/>
            <w:r w:rsidRPr="006F29F5">
              <w:rPr>
                <w:rFonts w:cs="Times New Roman"/>
                <w:kern w:val="2"/>
                <w:sz w:val="20"/>
                <w:szCs w:val="21"/>
              </w:rPr>
              <w:t xml:space="preserve"> settled the U.K. charges by agreeing to financial penalties under a civil recovery order. In reaching the settlement, the U.K. Serious Fraud Office also took the multijurisdictional nature of the settlement into account, stating that it had “taken particular note of the fact of disgorgement and recovery in more than one jurisdiction for the same underlying unlawful conduct. […] The Serious Fraud Office has considered the matter from a global perspective. It has worked to achieve a sanction in this jurisdiction which will form part of a global settlement that removes all of the traceable unlawful property and at the same time imposes a penalty.”</w:t>
            </w:r>
          </w:p>
          <w:p w14:paraId="6DB1546B" w14:textId="5C8CEF99" w:rsidR="001D64F7" w:rsidRPr="006F29F5" w:rsidRDefault="001D64F7" w:rsidP="001D64F7">
            <w:pPr>
              <w:pStyle w:val="ExcerptMarker"/>
              <w:rPr>
                <w:sz w:val="20"/>
                <w:szCs w:val="21"/>
              </w:rPr>
            </w:pPr>
            <w:r w:rsidRPr="006F29F5">
              <w:t>End of Excerpt</w:t>
            </w:r>
          </w:p>
        </w:tc>
      </w:tr>
    </w:tbl>
    <w:p w14:paraId="27D63E50" w14:textId="2C07497F" w:rsidR="008E3FFD" w:rsidRPr="006F29F5" w:rsidRDefault="007D1741" w:rsidP="0079178D">
      <w:pPr>
        <w:pStyle w:val="Heading1"/>
        <w:rPr>
          <w:sz w:val="28"/>
        </w:rPr>
      </w:pPr>
      <w:bookmarkStart w:id="24" w:name="_Toc420329371"/>
      <w:bookmarkStart w:id="25" w:name="_Toc489961987"/>
      <w:bookmarkStart w:id="26" w:name="_Toc505351642"/>
      <w:r w:rsidRPr="006F29F5">
        <w:rPr>
          <w:sz w:val="28"/>
        </w:rPr>
        <w:t xml:space="preserve">International </w:t>
      </w:r>
      <w:r w:rsidR="006058ED" w:rsidRPr="006F29F5">
        <w:rPr>
          <w:sz w:val="28"/>
        </w:rPr>
        <w:t>Convention Obligations</w:t>
      </w:r>
      <w:bookmarkEnd w:id="24"/>
      <w:bookmarkEnd w:id="25"/>
      <w:bookmarkEnd w:id="26"/>
    </w:p>
    <w:p w14:paraId="72A6E15D" w14:textId="5BEC5599" w:rsidR="00D155DE" w:rsidRPr="006F29F5" w:rsidRDefault="004C5F03" w:rsidP="00672FBF">
      <w:pPr>
        <w:pStyle w:val="Heading2"/>
        <w:rPr>
          <w:kern w:val="2"/>
          <w:sz w:val="24"/>
        </w:rPr>
      </w:pPr>
      <w:bookmarkStart w:id="27" w:name="_Toc420329372"/>
      <w:bookmarkStart w:id="28" w:name="_Toc489961988"/>
      <w:r w:rsidRPr="006F29F5">
        <w:rPr>
          <w:kern w:val="2"/>
          <w:sz w:val="24"/>
        </w:rPr>
        <w:t>UNCAC</w:t>
      </w:r>
      <w:bookmarkEnd w:id="27"/>
      <w:bookmarkEnd w:id="28"/>
      <w:r w:rsidRPr="006F29F5">
        <w:rPr>
          <w:kern w:val="2"/>
          <w:sz w:val="24"/>
        </w:rPr>
        <w:t xml:space="preserve"> </w:t>
      </w:r>
    </w:p>
    <w:p w14:paraId="5646BD60" w14:textId="5585760D" w:rsidR="00C255FE" w:rsidRPr="006F29F5" w:rsidRDefault="0087756D" w:rsidP="00C81ED8">
      <w:pPr>
        <w:rPr>
          <w:rFonts w:cs="Times New Roman"/>
          <w:kern w:val="2"/>
          <w:sz w:val="20"/>
        </w:rPr>
      </w:pPr>
      <w:r w:rsidRPr="006F29F5">
        <w:rPr>
          <w:rFonts w:cs="Times New Roman"/>
          <w:kern w:val="2"/>
          <w:sz w:val="20"/>
        </w:rPr>
        <w:t>International cooperat</w:t>
      </w:r>
      <w:r w:rsidR="008E3FFD" w:rsidRPr="006F29F5">
        <w:rPr>
          <w:rFonts w:cs="Times New Roman"/>
          <w:kern w:val="2"/>
          <w:sz w:val="20"/>
        </w:rPr>
        <w:t>ion</w:t>
      </w:r>
      <w:r w:rsidRPr="006F29F5">
        <w:rPr>
          <w:rFonts w:cs="Times New Roman"/>
          <w:kern w:val="2"/>
          <w:sz w:val="20"/>
        </w:rPr>
        <w:t xml:space="preserve"> </w:t>
      </w:r>
      <w:r w:rsidR="000030D4" w:rsidRPr="006F29F5">
        <w:rPr>
          <w:rFonts w:cs="Times New Roman"/>
          <w:kern w:val="2"/>
          <w:sz w:val="20"/>
        </w:rPr>
        <w:t>is</w:t>
      </w:r>
      <w:r w:rsidRPr="006F29F5">
        <w:rPr>
          <w:rFonts w:cs="Times New Roman"/>
          <w:kern w:val="2"/>
          <w:sz w:val="20"/>
        </w:rPr>
        <w:t xml:space="preserve"> extremely important for successful </w:t>
      </w:r>
      <w:r w:rsidR="00766DEA" w:rsidRPr="006F29F5">
        <w:rPr>
          <w:rFonts w:cs="Times New Roman"/>
          <w:kern w:val="2"/>
          <w:sz w:val="20"/>
        </w:rPr>
        <w:t xml:space="preserve">foreign </w:t>
      </w:r>
      <w:r w:rsidRPr="006F29F5">
        <w:rPr>
          <w:rFonts w:cs="Times New Roman"/>
          <w:kern w:val="2"/>
          <w:sz w:val="20"/>
        </w:rPr>
        <w:t xml:space="preserve">recovery of </w:t>
      </w:r>
      <w:r w:rsidR="00272938" w:rsidRPr="006F29F5">
        <w:rPr>
          <w:rFonts w:cs="Times New Roman"/>
          <w:kern w:val="2"/>
          <w:sz w:val="20"/>
        </w:rPr>
        <w:t xml:space="preserve">corrupt </w:t>
      </w:r>
      <w:r w:rsidRPr="006F29F5">
        <w:rPr>
          <w:rFonts w:cs="Times New Roman"/>
          <w:kern w:val="2"/>
          <w:sz w:val="20"/>
        </w:rPr>
        <w:t xml:space="preserve">assets. Most corruption cases require asset recovery efforts beyond domestic borders. </w:t>
      </w:r>
      <w:r w:rsidR="00573EC7" w:rsidRPr="006F29F5">
        <w:rPr>
          <w:rFonts w:cs="Times New Roman"/>
          <w:kern w:val="2"/>
          <w:sz w:val="20"/>
        </w:rPr>
        <w:t>For instance, t</w:t>
      </w:r>
      <w:r w:rsidR="000864DA" w:rsidRPr="006F29F5">
        <w:rPr>
          <w:rFonts w:cs="Times New Roman"/>
          <w:kern w:val="2"/>
          <w:sz w:val="20"/>
        </w:rPr>
        <w:t xml:space="preserve">he assets </w:t>
      </w:r>
      <w:r w:rsidR="00820AAD" w:rsidRPr="006F29F5">
        <w:rPr>
          <w:rFonts w:cs="Times New Roman"/>
          <w:kern w:val="2"/>
          <w:sz w:val="20"/>
        </w:rPr>
        <w:t>may be</w:t>
      </w:r>
      <w:r w:rsidR="000864DA" w:rsidRPr="006F29F5">
        <w:rPr>
          <w:rFonts w:cs="Times New Roman"/>
          <w:kern w:val="2"/>
          <w:sz w:val="20"/>
        </w:rPr>
        <w:t xml:space="preserve"> held in one jurisdiction</w:t>
      </w:r>
      <w:r w:rsidR="00820AAD" w:rsidRPr="006F29F5">
        <w:rPr>
          <w:rFonts w:cs="Times New Roman"/>
          <w:kern w:val="2"/>
          <w:sz w:val="20"/>
        </w:rPr>
        <w:t xml:space="preserve"> </w:t>
      </w:r>
      <w:r w:rsidR="00573EC7" w:rsidRPr="006F29F5">
        <w:rPr>
          <w:rFonts w:cs="Times New Roman"/>
          <w:kern w:val="2"/>
          <w:sz w:val="20"/>
        </w:rPr>
        <w:t>and then</w:t>
      </w:r>
      <w:r w:rsidR="00820AAD" w:rsidRPr="006F29F5">
        <w:rPr>
          <w:rFonts w:cs="Times New Roman"/>
          <w:kern w:val="2"/>
          <w:sz w:val="20"/>
        </w:rPr>
        <w:t xml:space="preserve"> laundered to another jurisdiction</w:t>
      </w:r>
      <w:r w:rsidR="000864DA" w:rsidRPr="006F29F5">
        <w:rPr>
          <w:rFonts w:cs="Times New Roman"/>
          <w:kern w:val="2"/>
          <w:sz w:val="20"/>
        </w:rPr>
        <w:t xml:space="preserve">, </w:t>
      </w:r>
      <w:r w:rsidR="00FF7E9B" w:rsidRPr="006F29F5">
        <w:rPr>
          <w:rFonts w:cs="Times New Roman"/>
          <w:kern w:val="2"/>
          <w:sz w:val="20"/>
        </w:rPr>
        <w:t>with</w:t>
      </w:r>
      <w:r w:rsidR="00573EC7" w:rsidRPr="006F29F5">
        <w:rPr>
          <w:rFonts w:cs="Times New Roman"/>
          <w:kern w:val="2"/>
          <w:sz w:val="20"/>
        </w:rPr>
        <w:t xml:space="preserve"> </w:t>
      </w:r>
      <w:r w:rsidR="00FF7E9B" w:rsidRPr="006F29F5">
        <w:rPr>
          <w:rFonts w:cs="Times New Roman"/>
          <w:kern w:val="2"/>
          <w:sz w:val="20"/>
        </w:rPr>
        <w:t>the offence</w:t>
      </w:r>
      <w:r w:rsidR="00573EC7" w:rsidRPr="006F29F5">
        <w:rPr>
          <w:rFonts w:cs="Times New Roman"/>
          <w:kern w:val="2"/>
          <w:sz w:val="20"/>
        </w:rPr>
        <w:t xml:space="preserve"> </w:t>
      </w:r>
      <w:r w:rsidR="00820AAD" w:rsidRPr="006F29F5">
        <w:rPr>
          <w:rFonts w:cs="Times New Roman"/>
          <w:kern w:val="2"/>
          <w:sz w:val="20"/>
        </w:rPr>
        <w:t xml:space="preserve">committed in a </w:t>
      </w:r>
      <w:r w:rsidR="00766DEA" w:rsidRPr="006F29F5">
        <w:rPr>
          <w:rFonts w:cs="Times New Roman"/>
          <w:kern w:val="2"/>
          <w:sz w:val="20"/>
        </w:rPr>
        <w:t>third</w:t>
      </w:r>
      <w:r w:rsidR="00820AAD" w:rsidRPr="006F29F5">
        <w:rPr>
          <w:rFonts w:cs="Times New Roman"/>
          <w:kern w:val="2"/>
          <w:sz w:val="20"/>
        </w:rPr>
        <w:t xml:space="preserve"> jurisdiction</w:t>
      </w:r>
      <w:r w:rsidR="00573EC7" w:rsidRPr="006F29F5">
        <w:rPr>
          <w:rFonts w:cs="Times New Roman"/>
          <w:kern w:val="2"/>
          <w:sz w:val="20"/>
        </w:rPr>
        <w:t xml:space="preserve"> and</w:t>
      </w:r>
      <w:r w:rsidR="000864DA" w:rsidRPr="006F29F5">
        <w:rPr>
          <w:rFonts w:cs="Times New Roman"/>
          <w:kern w:val="2"/>
          <w:sz w:val="20"/>
        </w:rPr>
        <w:t xml:space="preserve"> the company responsible for paying bribes</w:t>
      </w:r>
      <w:r w:rsidR="00FF7E9B" w:rsidRPr="006F29F5">
        <w:rPr>
          <w:rFonts w:cs="Times New Roman"/>
          <w:kern w:val="2"/>
          <w:sz w:val="20"/>
        </w:rPr>
        <w:t xml:space="preserve"> </w:t>
      </w:r>
      <w:r w:rsidR="000864DA" w:rsidRPr="006F29F5">
        <w:rPr>
          <w:rFonts w:cs="Times New Roman"/>
          <w:kern w:val="2"/>
          <w:sz w:val="20"/>
        </w:rPr>
        <w:t>headquartered</w:t>
      </w:r>
      <w:r w:rsidR="00820AAD" w:rsidRPr="006F29F5">
        <w:rPr>
          <w:rFonts w:cs="Times New Roman"/>
          <w:kern w:val="2"/>
          <w:sz w:val="20"/>
        </w:rPr>
        <w:t xml:space="preserve"> in </w:t>
      </w:r>
      <w:r w:rsidR="00766DEA" w:rsidRPr="006F29F5">
        <w:rPr>
          <w:rFonts w:cs="Times New Roman"/>
          <w:kern w:val="2"/>
          <w:sz w:val="20"/>
        </w:rPr>
        <w:t xml:space="preserve">a fourth </w:t>
      </w:r>
      <w:r w:rsidR="00C221DD" w:rsidRPr="006F29F5">
        <w:rPr>
          <w:rFonts w:cs="Times New Roman"/>
          <w:kern w:val="2"/>
          <w:sz w:val="20"/>
        </w:rPr>
        <w:t>jurisdiction</w:t>
      </w:r>
      <w:r w:rsidR="00820AAD" w:rsidRPr="006F29F5">
        <w:rPr>
          <w:rFonts w:cs="Times New Roman"/>
          <w:kern w:val="2"/>
          <w:sz w:val="20"/>
        </w:rPr>
        <w:t xml:space="preserve">. </w:t>
      </w:r>
      <w:r w:rsidR="001E1028" w:rsidRPr="006F29F5">
        <w:rPr>
          <w:rFonts w:cs="Times New Roman"/>
          <w:kern w:val="2"/>
          <w:sz w:val="20"/>
        </w:rPr>
        <w:t>Further, money can</w:t>
      </w:r>
      <w:r w:rsidR="00941497" w:rsidRPr="006F29F5">
        <w:rPr>
          <w:rFonts w:cs="Times New Roman"/>
          <w:kern w:val="2"/>
          <w:sz w:val="20"/>
        </w:rPr>
        <w:t xml:space="preserve"> be moved very quickly through </w:t>
      </w:r>
      <w:r w:rsidR="001E1028" w:rsidRPr="006F29F5">
        <w:rPr>
          <w:rFonts w:cs="Times New Roman"/>
          <w:kern w:val="2"/>
          <w:sz w:val="20"/>
        </w:rPr>
        <w:t>computers, mobile devices and wire transfers.</w:t>
      </w:r>
      <w:r w:rsidR="00220AC9" w:rsidRPr="006F29F5">
        <w:rPr>
          <w:rFonts w:cs="Times New Roman"/>
          <w:kern w:val="2"/>
          <w:sz w:val="20"/>
        </w:rPr>
        <w:t xml:space="preserve"> </w:t>
      </w:r>
    </w:p>
    <w:p w14:paraId="72DBE4D0" w14:textId="37FD6BF9" w:rsidR="004C5F03" w:rsidRPr="006F29F5" w:rsidRDefault="00EB5578" w:rsidP="00C81ED8">
      <w:pPr>
        <w:rPr>
          <w:rFonts w:cs="Times New Roman"/>
          <w:kern w:val="2"/>
          <w:sz w:val="20"/>
        </w:rPr>
      </w:pPr>
      <w:r w:rsidRPr="006F29F5">
        <w:rPr>
          <w:rFonts w:cs="Times New Roman"/>
          <w:kern w:val="2"/>
          <w:sz w:val="20"/>
        </w:rPr>
        <w:t>As corrupt</w:t>
      </w:r>
      <w:r w:rsidR="00766DEA" w:rsidRPr="006F29F5">
        <w:rPr>
          <w:rFonts w:cs="Times New Roman"/>
          <w:kern w:val="2"/>
          <w:sz w:val="20"/>
        </w:rPr>
        <w:t xml:space="preserve"> activities</w:t>
      </w:r>
      <w:r w:rsidR="00C255FE" w:rsidRPr="006F29F5">
        <w:rPr>
          <w:rFonts w:cs="Times New Roman"/>
          <w:kern w:val="2"/>
          <w:sz w:val="20"/>
        </w:rPr>
        <w:t xml:space="preserve"> often involve several borders, international cooperation is emphasised in UNCAC. Chapter </w:t>
      </w:r>
      <w:r w:rsidR="00743E5E" w:rsidRPr="006F29F5">
        <w:rPr>
          <w:rFonts w:cs="Times New Roman"/>
          <w:kern w:val="2"/>
          <w:sz w:val="20"/>
        </w:rPr>
        <w:t>V</w:t>
      </w:r>
      <w:r w:rsidR="00766DEA" w:rsidRPr="006F29F5">
        <w:rPr>
          <w:rFonts w:cs="Times New Roman"/>
          <w:kern w:val="2"/>
          <w:sz w:val="20"/>
        </w:rPr>
        <w:t xml:space="preserve"> of UNCAC</w:t>
      </w:r>
      <w:r w:rsidR="00C255FE" w:rsidRPr="006F29F5">
        <w:rPr>
          <w:rFonts w:cs="Times New Roman"/>
          <w:kern w:val="2"/>
          <w:sz w:val="20"/>
        </w:rPr>
        <w:t xml:space="preserve"> provides</w:t>
      </w:r>
      <w:r w:rsidR="0061591F" w:rsidRPr="006F29F5">
        <w:rPr>
          <w:rFonts w:cs="Times New Roman"/>
          <w:kern w:val="2"/>
          <w:sz w:val="20"/>
        </w:rPr>
        <w:t xml:space="preserve"> a framework </w:t>
      </w:r>
      <w:r w:rsidR="00264B8B" w:rsidRPr="006F29F5">
        <w:rPr>
          <w:rFonts w:cs="Times New Roman"/>
          <w:kern w:val="2"/>
          <w:sz w:val="20"/>
        </w:rPr>
        <w:t>to</w:t>
      </w:r>
      <w:r w:rsidR="007D1741" w:rsidRPr="006F29F5">
        <w:rPr>
          <w:rFonts w:cs="Times New Roman"/>
          <w:kern w:val="2"/>
          <w:sz w:val="20"/>
        </w:rPr>
        <w:t xml:space="preserve"> facilitate the recovery of stolen asset</w:t>
      </w:r>
      <w:r w:rsidR="00C255FE" w:rsidRPr="006F29F5">
        <w:rPr>
          <w:rFonts w:cs="Times New Roman"/>
          <w:kern w:val="2"/>
          <w:sz w:val="20"/>
        </w:rPr>
        <w:t xml:space="preserve">s. The </w:t>
      </w:r>
      <w:r w:rsidR="007D1741" w:rsidRPr="006F29F5">
        <w:rPr>
          <w:rFonts w:cs="Times New Roman"/>
          <w:kern w:val="2"/>
          <w:sz w:val="20"/>
        </w:rPr>
        <w:t>first provision</w:t>
      </w:r>
      <w:r w:rsidR="00C255FE" w:rsidRPr="006F29F5">
        <w:rPr>
          <w:rFonts w:cs="Times New Roman"/>
          <w:kern w:val="2"/>
          <w:sz w:val="20"/>
        </w:rPr>
        <w:t xml:space="preserve"> of Chapter </w:t>
      </w:r>
      <w:r w:rsidR="00743E5E" w:rsidRPr="006F29F5">
        <w:rPr>
          <w:rFonts w:cs="Times New Roman"/>
          <w:kern w:val="2"/>
          <w:sz w:val="20"/>
        </w:rPr>
        <w:t>V</w:t>
      </w:r>
      <w:r w:rsidR="007D1741" w:rsidRPr="006F29F5">
        <w:rPr>
          <w:rFonts w:cs="Times New Roman"/>
          <w:kern w:val="2"/>
          <w:sz w:val="20"/>
        </w:rPr>
        <w:t xml:space="preserve">, Article 51, </w:t>
      </w:r>
      <w:r w:rsidR="00A14F9D" w:rsidRPr="006F29F5">
        <w:rPr>
          <w:rFonts w:cs="Times New Roman"/>
          <w:kern w:val="2"/>
          <w:sz w:val="20"/>
        </w:rPr>
        <w:t xml:space="preserve">declares </w:t>
      </w:r>
      <w:r w:rsidR="00FF7E9B" w:rsidRPr="006F29F5">
        <w:rPr>
          <w:rFonts w:cs="Times New Roman"/>
          <w:kern w:val="2"/>
          <w:sz w:val="20"/>
        </w:rPr>
        <w:t xml:space="preserve">that </w:t>
      </w:r>
      <w:r w:rsidR="00A14F9D" w:rsidRPr="006F29F5">
        <w:rPr>
          <w:rFonts w:cs="Times New Roman"/>
          <w:kern w:val="2"/>
          <w:sz w:val="20"/>
        </w:rPr>
        <w:t>asset recov</w:t>
      </w:r>
      <w:r w:rsidR="00766DEA" w:rsidRPr="006F29F5">
        <w:rPr>
          <w:rFonts w:cs="Times New Roman"/>
          <w:kern w:val="2"/>
          <w:sz w:val="20"/>
        </w:rPr>
        <w:t>ery is</w:t>
      </w:r>
      <w:r w:rsidR="0086315E" w:rsidRPr="006F29F5">
        <w:rPr>
          <w:rFonts w:cs="Times New Roman"/>
          <w:kern w:val="2"/>
          <w:sz w:val="20"/>
        </w:rPr>
        <w:t xml:space="preserve"> </w:t>
      </w:r>
      <w:r w:rsidR="00C255FE" w:rsidRPr="006F29F5">
        <w:rPr>
          <w:rFonts w:cs="Times New Roman"/>
          <w:kern w:val="2"/>
          <w:sz w:val="20"/>
        </w:rPr>
        <w:t>a</w:t>
      </w:r>
      <w:r w:rsidR="0086315E" w:rsidRPr="006F29F5">
        <w:rPr>
          <w:rFonts w:cs="Times New Roman"/>
          <w:kern w:val="2"/>
          <w:sz w:val="20"/>
        </w:rPr>
        <w:t xml:space="preserve"> </w:t>
      </w:r>
      <w:r w:rsidR="00CC1E13" w:rsidRPr="006F29F5">
        <w:rPr>
          <w:rFonts w:cs="Times New Roman"/>
          <w:kern w:val="2"/>
          <w:sz w:val="20"/>
        </w:rPr>
        <w:t>“</w:t>
      </w:r>
      <w:r w:rsidR="0086315E" w:rsidRPr="006F29F5">
        <w:rPr>
          <w:rFonts w:cs="Times New Roman"/>
          <w:kern w:val="2"/>
          <w:sz w:val="20"/>
        </w:rPr>
        <w:t>fundamental principle</w:t>
      </w:r>
      <w:r w:rsidR="00CC1E13" w:rsidRPr="006F29F5">
        <w:rPr>
          <w:rFonts w:cs="Times New Roman"/>
          <w:kern w:val="2"/>
          <w:sz w:val="20"/>
        </w:rPr>
        <w:t>”</w:t>
      </w:r>
      <w:r w:rsidR="00766DEA" w:rsidRPr="006F29F5">
        <w:rPr>
          <w:rFonts w:cs="Times New Roman"/>
          <w:kern w:val="2"/>
          <w:sz w:val="20"/>
        </w:rPr>
        <w:t xml:space="preserve"> of the Convention</w:t>
      </w:r>
      <w:r w:rsidR="00FF7E9B" w:rsidRPr="006F29F5">
        <w:rPr>
          <w:rFonts w:cs="Times New Roman"/>
          <w:kern w:val="2"/>
          <w:sz w:val="20"/>
        </w:rPr>
        <w:t>:</w:t>
      </w:r>
    </w:p>
    <w:p w14:paraId="513DDAA3" w14:textId="7E41C616" w:rsidR="00CB32FB" w:rsidRPr="006F29F5" w:rsidRDefault="007D1741" w:rsidP="00E2056E">
      <w:pPr>
        <w:pStyle w:val="BlockQuote"/>
        <w:rPr>
          <w:kern w:val="2"/>
          <w:sz w:val="20"/>
        </w:rPr>
      </w:pPr>
      <w:r w:rsidRPr="006F29F5">
        <w:rPr>
          <w:kern w:val="2"/>
          <w:sz w:val="20"/>
        </w:rPr>
        <w:t xml:space="preserve">The return of assets pursuant to this chapter is a fundamental principle of this Convention, and States Parties shall afford one another the widest measure of cooperation and assistance in this regard. </w:t>
      </w:r>
    </w:p>
    <w:p w14:paraId="28500E05" w14:textId="28BC26F3" w:rsidR="006764ED" w:rsidRPr="006F29F5" w:rsidRDefault="00766DEA" w:rsidP="00C81ED8">
      <w:pPr>
        <w:rPr>
          <w:rFonts w:cs="Times New Roman"/>
          <w:kern w:val="2"/>
          <w:sz w:val="20"/>
        </w:rPr>
      </w:pPr>
      <w:r w:rsidRPr="006F29F5">
        <w:rPr>
          <w:rFonts w:cs="Times New Roman"/>
          <w:kern w:val="2"/>
          <w:sz w:val="20"/>
        </w:rPr>
        <w:t xml:space="preserve">Article 51 makes cooperation and assistance mandatory. </w:t>
      </w:r>
      <w:r w:rsidR="00C255FE" w:rsidRPr="006F29F5">
        <w:rPr>
          <w:rFonts w:cs="Times New Roman"/>
          <w:kern w:val="2"/>
          <w:sz w:val="20"/>
        </w:rPr>
        <w:t>Procedures and conditions for</w:t>
      </w:r>
      <w:r w:rsidR="003B7F23" w:rsidRPr="006F29F5">
        <w:rPr>
          <w:rFonts w:cs="Times New Roman"/>
          <w:kern w:val="2"/>
          <w:sz w:val="20"/>
        </w:rPr>
        <w:t xml:space="preserve"> </w:t>
      </w:r>
      <w:r w:rsidR="00C255FE" w:rsidRPr="006F29F5">
        <w:rPr>
          <w:rFonts w:cs="Times New Roman"/>
          <w:kern w:val="2"/>
          <w:sz w:val="20"/>
        </w:rPr>
        <w:t xml:space="preserve">asset recovery in </w:t>
      </w:r>
      <w:r w:rsidR="00795137" w:rsidRPr="006F29F5">
        <w:rPr>
          <w:rFonts w:cs="Times New Roman"/>
          <w:kern w:val="2"/>
          <w:sz w:val="20"/>
        </w:rPr>
        <w:t xml:space="preserve">Chapter V </w:t>
      </w:r>
      <w:r w:rsidR="0086315E" w:rsidRPr="006F29F5">
        <w:rPr>
          <w:rFonts w:cs="Times New Roman"/>
          <w:kern w:val="2"/>
          <w:sz w:val="20"/>
        </w:rPr>
        <w:t>include</w:t>
      </w:r>
      <w:r w:rsidR="003B7F23" w:rsidRPr="006F29F5">
        <w:rPr>
          <w:rFonts w:cs="Times New Roman"/>
          <w:kern w:val="2"/>
          <w:sz w:val="20"/>
        </w:rPr>
        <w:t xml:space="preserve"> facilitating civil and administrative actions (Article 53), recognizing and taking action on the basis of foreign confiscat</w:t>
      </w:r>
      <w:r w:rsidR="005F53DF" w:rsidRPr="006F29F5">
        <w:rPr>
          <w:rFonts w:cs="Times New Roman"/>
          <w:kern w:val="2"/>
          <w:sz w:val="20"/>
        </w:rPr>
        <w:t>ion orders (Articles 54 and 55),</w:t>
      </w:r>
      <w:r w:rsidR="003B7F23" w:rsidRPr="006F29F5">
        <w:rPr>
          <w:rFonts w:cs="Times New Roman"/>
          <w:kern w:val="2"/>
          <w:sz w:val="20"/>
        </w:rPr>
        <w:t xml:space="preserve"> returning property to request</w:t>
      </w:r>
      <w:r w:rsidR="005F53DF" w:rsidRPr="006F29F5">
        <w:rPr>
          <w:rFonts w:cs="Times New Roman"/>
          <w:kern w:val="2"/>
          <w:sz w:val="20"/>
        </w:rPr>
        <w:t>ing</w:t>
      </w:r>
      <w:r w:rsidR="003B7F23" w:rsidRPr="006F29F5">
        <w:rPr>
          <w:rFonts w:cs="Times New Roman"/>
          <w:kern w:val="2"/>
          <w:sz w:val="20"/>
        </w:rPr>
        <w:t xml:space="preserve"> States in cases of embezzled public funds or other corruption offences</w:t>
      </w:r>
      <w:r w:rsidR="0006608F" w:rsidRPr="006F29F5">
        <w:rPr>
          <w:rFonts w:cs="Times New Roman"/>
          <w:kern w:val="2"/>
          <w:sz w:val="20"/>
        </w:rPr>
        <w:t>,</w:t>
      </w:r>
      <w:r w:rsidR="00EA5682" w:rsidRPr="006F29F5">
        <w:rPr>
          <w:rFonts w:cs="Times New Roman"/>
          <w:kern w:val="2"/>
          <w:sz w:val="20"/>
        </w:rPr>
        <w:t xml:space="preserve"> and returning property to its legitimate owners (Article 57). </w:t>
      </w:r>
      <w:r w:rsidR="00922249" w:rsidRPr="006F29F5">
        <w:rPr>
          <w:rFonts w:cs="Times New Roman"/>
          <w:kern w:val="2"/>
          <w:sz w:val="20"/>
        </w:rPr>
        <w:t xml:space="preserve">UNCAC </w:t>
      </w:r>
      <w:r w:rsidR="006764ED" w:rsidRPr="006F29F5">
        <w:rPr>
          <w:rFonts w:cs="Times New Roman"/>
          <w:kern w:val="2"/>
          <w:sz w:val="20"/>
        </w:rPr>
        <w:t xml:space="preserve">provides a direct method of recovery in requiring </w:t>
      </w:r>
      <w:r w:rsidR="00C255FE" w:rsidRPr="006F29F5">
        <w:rPr>
          <w:rFonts w:cs="Times New Roman"/>
          <w:kern w:val="2"/>
          <w:sz w:val="20"/>
        </w:rPr>
        <w:t>State P</w:t>
      </w:r>
      <w:r w:rsidR="006764ED" w:rsidRPr="006F29F5">
        <w:rPr>
          <w:rFonts w:cs="Times New Roman"/>
          <w:kern w:val="2"/>
          <w:sz w:val="20"/>
        </w:rPr>
        <w:t>arties to permit civil suits by other</w:t>
      </w:r>
      <w:r w:rsidR="00922249" w:rsidRPr="006F29F5">
        <w:rPr>
          <w:rFonts w:cs="Times New Roman"/>
          <w:kern w:val="2"/>
          <w:sz w:val="20"/>
        </w:rPr>
        <w:t xml:space="preserve"> state parties in their courts and </w:t>
      </w:r>
      <w:r w:rsidR="006764ED" w:rsidRPr="006F29F5">
        <w:rPr>
          <w:rFonts w:cs="Times New Roman"/>
          <w:kern w:val="2"/>
          <w:sz w:val="20"/>
        </w:rPr>
        <w:t xml:space="preserve">requires that </w:t>
      </w:r>
      <w:r w:rsidR="00922249" w:rsidRPr="006F29F5">
        <w:rPr>
          <w:rFonts w:cs="Times New Roman"/>
          <w:kern w:val="2"/>
          <w:sz w:val="20"/>
        </w:rPr>
        <w:t>S</w:t>
      </w:r>
      <w:r w:rsidR="006764ED" w:rsidRPr="006F29F5">
        <w:rPr>
          <w:rFonts w:cs="Times New Roman"/>
          <w:kern w:val="2"/>
          <w:sz w:val="20"/>
        </w:rPr>
        <w:t xml:space="preserve">tate </w:t>
      </w:r>
      <w:r w:rsidR="00922249" w:rsidRPr="006F29F5">
        <w:rPr>
          <w:rFonts w:cs="Times New Roman"/>
          <w:kern w:val="2"/>
          <w:sz w:val="20"/>
        </w:rPr>
        <w:t>P</w:t>
      </w:r>
      <w:r w:rsidR="006764ED" w:rsidRPr="006F29F5">
        <w:rPr>
          <w:rFonts w:cs="Times New Roman"/>
          <w:kern w:val="2"/>
          <w:sz w:val="20"/>
        </w:rPr>
        <w:t xml:space="preserve">arties recognize the judgments of other state party courts. </w:t>
      </w:r>
    </w:p>
    <w:p w14:paraId="2236AD8F" w14:textId="2D7B2E44" w:rsidR="007D1741" w:rsidRPr="006F29F5" w:rsidRDefault="00EA5682" w:rsidP="00C81ED8">
      <w:pPr>
        <w:rPr>
          <w:rFonts w:cs="Times New Roman"/>
          <w:kern w:val="2"/>
          <w:sz w:val="20"/>
        </w:rPr>
      </w:pPr>
      <w:r w:rsidRPr="006F29F5">
        <w:rPr>
          <w:rFonts w:cs="Times New Roman"/>
          <w:kern w:val="2"/>
          <w:sz w:val="20"/>
        </w:rPr>
        <w:t xml:space="preserve">Article 52 calls for </w:t>
      </w:r>
      <w:r w:rsidR="00CC1E13" w:rsidRPr="006F29F5">
        <w:rPr>
          <w:rFonts w:cs="Times New Roman"/>
          <w:kern w:val="2"/>
          <w:sz w:val="20"/>
        </w:rPr>
        <w:t>“</w:t>
      </w:r>
      <w:r w:rsidRPr="006F29F5">
        <w:rPr>
          <w:rFonts w:cs="Times New Roman"/>
          <w:kern w:val="2"/>
          <w:sz w:val="20"/>
        </w:rPr>
        <w:t>know your customer</w:t>
      </w:r>
      <w:r w:rsidR="00CC1E13" w:rsidRPr="006F29F5">
        <w:rPr>
          <w:rFonts w:cs="Times New Roman"/>
          <w:kern w:val="2"/>
          <w:sz w:val="20"/>
        </w:rPr>
        <w:t>”</w:t>
      </w:r>
      <w:r w:rsidRPr="006F29F5">
        <w:rPr>
          <w:rFonts w:cs="Times New Roman"/>
          <w:kern w:val="2"/>
          <w:sz w:val="20"/>
        </w:rPr>
        <w:t xml:space="preserve"> policies in financial institutions. It requires each State Party to take measures requiring financial institutions to verify </w:t>
      </w:r>
      <w:r w:rsidR="005F53DF" w:rsidRPr="006F29F5">
        <w:rPr>
          <w:rFonts w:cs="Times New Roman"/>
          <w:kern w:val="2"/>
          <w:sz w:val="20"/>
        </w:rPr>
        <w:t xml:space="preserve">the </w:t>
      </w:r>
      <w:r w:rsidRPr="006F29F5">
        <w:rPr>
          <w:rFonts w:cs="Times New Roman"/>
          <w:kern w:val="2"/>
          <w:sz w:val="20"/>
        </w:rPr>
        <w:t>identity of customers</w:t>
      </w:r>
      <w:r w:rsidR="005F53DF" w:rsidRPr="006F29F5">
        <w:rPr>
          <w:rFonts w:cs="Times New Roman"/>
          <w:kern w:val="2"/>
          <w:sz w:val="20"/>
        </w:rPr>
        <w:t xml:space="preserve"> and</w:t>
      </w:r>
      <w:r w:rsidRPr="006F29F5">
        <w:rPr>
          <w:rFonts w:cs="Times New Roman"/>
          <w:kern w:val="2"/>
          <w:sz w:val="20"/>
        </w:rPr>
        <w:t xml:space="preserve"> beneficial owners of funds and conduct enhanced scrutiny of accounts sought or maintained by or on behalf of individuals who are or have been entrusted with prominent public functions</w:t>
      </w:r>
      <w:r w:rsidR="005F53DF" w:rsidRPr="006F29F5">
        <w:rPr>
          <w:rFonts w:cs="Times New Roman"/>
          <w:kern w:val="2"/>
          <w:sz w:val="20"/>
        </w:rPr>
        <w:t>, along with</w:t>
      </w:r>
      <w:r w:rsidRPr="006F29F5">
        <w:rPr>
          <w:rFonts w:cs="Times New Roman"/>
          <w:kern w:val="2"/>
          <w:sz w:val="20"/>
        </w:rPr>
        <w:t xml:space="preserve"> their family members and close associates. </w:t>
      </w:r>
      <w:r w:rsidR="007D1741" w:rsidRPr="006F29F5">
        <w:rPr>
          <w:rFonts w:cs="Times New Roman"/>
          <w:kern w:val="2"/>
          <w:sz w:val="20"/>
        </w:rPr>
        <w:t>This applies to public officials not just of the government of the jurisdiction where the surveillance takes place but other countries</w:t>
      </w:r>
      <w:r w:rsidRPr="006F29F5">
        <w:rPr>
          <w:rFonts w:cs="Times New Roman"/>
          <w:kern w:val="2"/>
          <w:sz w:val="20"/>
        </w:rPr>
        <w:t>.</w:t>
      </w:r>
      <w:r w:rsidR="007E0E5D" w:rsidRPr="006F29F5">
        <w:rPr>
          <w:rFonts w:cs="Times New Roman"/>
          <w:kern w:val="2"/>
          <w:sz w:val="20"/>
        </w:rPr>
        <w:t xml:space="preserve"> State Parties must require their financial institutions to report suspicious transactions, issue advisories and maintain adequate records. </w:t>
      </w:r>
      <w:r w:rsidR="005F53DF" w:rsidRPr="006F29F5">
        <w:rPr>
          <w:rFonts w:cs="Times New Roman"/>
          <w:kern w:val="2"/>
          <w:sz w:val="20"/>
        </w:rPr>
        <w:t>State</w:t>
      </w:r>
      <w:r w:rsidR="007E0E5D" w:rsidRPr="006F29F5">
        <w:rPr>
          <w:rFonts w:cs="Times New Roman"/>
          <w:kern w:val="2"/>
          <w:sz w:val="20"/>
        </w:rPr>
        <w:t xml:space="preserve"> </w:t>
      </w:r>
      <w:r w:rsidR="005F53DF" w:rsidRPr="006F29F5">
        <w:rPr>
          <w:rFonts w:cs="Times New Roman"/>
          <w:kern w:val="2"/>
          <w:sz w:val="20"/>
        </w:rPr>
        <w:t>P</w:t>
      </w:r>
      <w:r w:rsidR="007E0E5D" w:rsidRPr="006F29F5">
        <w:rPr>
          <w:rFonts w:cs="Times New Roman"/>
          <w:kern w:val="2"/>
          <w:sz w:val="20"/>
        </w:rPr>
        <w:t xml:space="preserve">arties must </w:t>
      </w:r>
      <w:r w:rsidR="005F53DF" w:rsidRPr="006F29F5">
        <w:rPr>
          <w:rFonts w:cs="Times New Roman"/>
          <w:kern w:val="2"/>
          <w:sz w:val="20"/>
        </w:rPr>
        <w:t xml:space="preserve">also </w:t>
      </w:r>
      <w:r w:rsidR="007E0E5D" w:rsidRPr="006F29F5">
        <w:rPr>
          <w:rFonts w:cs="Times New Roman"/>
          <w:kern w:val="2"/>
          <w:sz w:val="20"/>
        </w:rPr>
        <w:t xml:space="preserve">prevent the establishment of banks </w:t>
      </w:r>
      <w:r w:rsidR="008041C4" w:rsidRPr="006F29F5">
        <w:rPr>
          <w:rFonts w:cs="Times New Roman"/>
          <w:kern w:val="2"/>
          <w:sz w:val="20"/>
        </w:rPr>
        <w:t xml:space="preserve">known as </w:t>
      </w:r>
      <w:r w:rsidR="00CC1E13" w:rsidRPr="006F29F5">
        <w:rPr>
          <w:rFonts w:cs="Times New Roman"/>
          <w:kern w:val="2"/>
          <w:sz w:val="20"/>
        </w:rPr>
        <w:t>“</w:t>
      </w:r>
      <w:r w:rsidR="008041C4" w:rsidRPr="006F29F5">
        <w:rPr>
          <w:rFonts w:cs="Times New Roman"/>
          <w:kern w:val="2"/>
          <w:sz w:val="20"/>
        </w:rPr>
        <w:t>shell banks,</w:t>
      </w:r>
      <w:r w:rsidR="00CC1E13" w:rsidRPr="006F29F5">
        <w:rPr>
          <w:rFonts w:cs="Times New Roman"/>
          <w:kern w:val="2"/>
          <w:sz w:val="20"/>
        </w:rPr>
        <w:t>”</w:t>
      </w:r>
      <w:r w:rsidR="008041C4" w:rsidRPr="006F29F5">
        <w:rPr>
          <w:rFonts w:cs="Times New Roman"/>
          <w:kern w:val="2"/>
          <w:sz w:val="20"/>
        </w:rPr>
        <w:t xml:space="preserve"> which</w:t>
      </w:r>
      <w:r w:rsidR="007E0E5D" w:rsidRPr="006F29F5">
        <w:rPr>
          <w:rFonts w:cs="Times New Roman"/>
          <w:kern w:val="2"/>
          <w:sz w:val="20"/>
        </w:rPr>
        <w:t xml:space="preserve"> have no physical presence and are not affiliated wi</w:t>
      </w:r>
      <w:r w:rsidR="00200A4D" w:rsidRPr="006F29F5">
        <w:rPr>
          <w:rFonts w:cs="Times New Roman"/>
          <w:kern w:val="2"/>
          <w:sz w:val="20"/>
        </w:rPr>
        <w:t>th a regulated financial group</w:t>
      </w:r>
      <w:r w:rsidR="008041C4" w:rsidRPr="006F29F5">
        <w:rPr>
          <w:rFonts w:cs="Times New Roman"/>
          <w:kern w:val="2"/>
          <w:sz w:val="20"/>
        </w:rPr>
        <w:t>.</w:t>
      </w:r>
    </w:p>
    <w:p w14:paraId="26AD1553" w14:textId="0C5816BD" w:rsidR="00200A4D" w:rsidRPr="006F29F5" w:rsidRDefault="00200A4D" w:rsidP="00C81ED8">
      <w:pPr>
        <w:rPr>
          <w:rFonts w:cs="Times New Roman"/>
          <w:kern w:val="2"/>
          <w:sz w:val="20"/>
        </w:rPr>
      </w:pPr>
      <w:r w:rsidRPr="006F29F5">
        <w:rPr>
          <w:rFonts w:cs="Times New Roman"/>
          <w:kern w:val="2"/>
          <w:sz w:val="20"/>
        </w:rPr>
        <w:t xml:space="preserve">Article 53 requires each State Party </w:t>
      </w:r>
      <w:r w:rsidR="0054527E" w:rsidRPr="006F29F5">
        <w:rPr>
          <w:rFonts w:cs="Times New Roman"/>
          <w:kern w:val="2"/>
          <w:sz w:val="20"/>
        </w:rPr>
        <w:t xml:space="preserve">to have a legal regime allowing another </w:t>
      </w:r>
      <w:r w:rsidR="005F53DF" w:rsidRPr="006F29F5">
        <w:rPr>
          <w:rFonts w:cs="Times New Roman"/>
          <w:kern w:val="2"/>
          <w:sz w:val="20"/>
        </w:rPr>
        <w:t>S</w:t>
      </w:r>
      <w:r w:rsidR="0054527E" w:rsidRPr="006F29F5">
        <w:rPr>
          <w:rFonts w:cs="Times New Roman"/>
          <w:kern w:val="2"/>
          <w:sz w:val="20"/>
        </w:rPr>
        <w:t xml:space="preserve">tate </w:t>
      </w:r>
      <w:r w:rsidR="005F53DF" w:rsidRPr="006F29F5">
        <w:rPr>
          <w:rFonts w:cs="Times New Roman"/>
          <w:kern w:val="2"/>
          <w:sz w:val="20"/>
        </w:rPr>
        <w:t>P</w:t>
      </w:r>
      <w:r w:rsidR="0054527E" w:rsidRPr="006F29F5">
        <w:rPr>
          <w:rFonts w:cs="Times New Roman"/>
          <w:kern w:val="2"/>
          <w:sz w:val="20"/>
        </w:rPr>
        <w:t xml:space="preserve">arty to initiate civil litigation for asset recovery in its jurisdiction or to intervene or appear in proceedings to enforce their claim for compensation. </w:t>
      </w:r>
      <w:r w:rsidR="005F53DF" w:rsidRPr="006F29F5">
        <w:rPr>
          <w:rFonts w:cs="Times New Roman"/>
          <w:kern w:val="2"/>
          <w:sz w:val="20"/>
        </w:rPr>
        <w:t>S</w:t>
      </w:r>
      <w:r w:rsidR="0054527E" w:rsidRPr="006F29F5">
        <w:rPr>
          <w:rFonts w:cs="Times New Roman"/>
          <w:kern w:val="2"/>
          <w:sz w:val="20"/>
        </w:rPr>
        <w:t xml:space="preserve">tate </w:t>
      </w:r>
      <w:r w:rsidR="005F53DF" w:rsidRPr="006F29F5">
        <w:rPr>
          <w:rFonts w:cs="Times New Roman"/>
          <w:kern w:val="2"/>
          <w:sz w:val="20"/>
        </w:rPr>
        <w:t>P</w:t>
      </w:r>
      <w:r w:rsidR="0054527E" w:rsidRPr="006F29F5">
        <w:rPr>
          <w:rFonts w:cs="Times New Roman"/>
          <w:kern w:val="2"/>
          <w:sz w:val="20"/>
        </w:rPr>
        <w:t xml:space="preserve">arties are required </w:t>
      </w:r>
      <w:r w:rsidRPr="006F29F5">
        <w:rPr>
          <w:rFonts w:cs="Times New Roman"/>
          <w:kern w:val="2"/>
          <w:sz w:val="20"/>
        </w:rPr>
        <w:t xml:space="preserve">to take measures to </w:t>
      </w:r>
      <w:r w:rsidR="0054527E" w:rsidRPr="006F29F5">
        <w:rPr>
          <w:rFonts w:cs="Times New Roman"/>
          <w:kern w:val="2"/>
          <w:sz w:val="20"/>
        </w:rPr>
        <w:t>(</w:t>
      </w:r>
      <w:proofErr w:type="spellStart"/>
      <w:r w:rsidR="0054527E" w:rsidRPr="006F29F5">
        <w:rPr>
          <w:rFonts w:cs="Times New Roman"/>
          <w:kern w:val="2"/>
          <w:sz w:val="20"/>
        </w:rPr>
        <w:t>i</w:t>
      </w:r>
      <w:proofErr w:type="spellEnd"/>
      <w:r w:rsidR="0054527E" w:rsidRPr="006F29F5">
        <w:rPr>
          <w:rFonts w:cs="Times New Roman"/>
          <w:kern w:val="2"/>
          <w:sz w:val="20"/>
        </w:rPr>
        <w:t>)</w:t>
      </w:r>
      <w:r w:rsidR="005F53DF" w:rsidRPr="006F29F5">
        <w:rPr>
          <w:rFonts w:cs="Times New Roman"/>
          <w:kern w:val="2"/>
          <w:sz w:val="20"/>
        </w:rPr>
        <w:t xml:space="preserve"> permit</w:t>
      </w:r>
      <w:r w:rsidR="0054527E" w:rsidRPr="006F29F5">
        <w:rPr>
          <w:rFonts w:cs="Times New Roman"/>
          <w:kern w:val="2"/>
          <w:sz w:val="20"/>
        </w:rPr>
        <w:t xml:space="preserve"> </w:t>
      </w:r>
      <w:r w:rsidRPr="006F29F5">
        <w:rPr>
          <w:rFonts w:cs="Times New Roman"/>
          <w:kern w:val="2"/>
          <w:sz w:val="20"/>
        </w:rPr>
        <w:t>another State Party to initiate a civil action in its courts to establish title to or ownership of property acquired through the comm</w:t>
      </w:r>
      <w:r w:rsidR="0054527E" w:rsidRPr="006F29F5">
        <w:rPr>
          <w:rFonts w:cs="Times New Roman"/>
          <w:kern w:val="2"/>
          <w:sz w:val="20"/>
        </w:rPr>
        <w:t xml:space="preserve">ission of a Convention offence, (ii) </w:t>
      </w:r>
      <w:r w:rsidR="005F53DF" w:rsidRPr="006F29F5">
        <w:rPr>
          <w:rFonts w:cs="Times New Roman"/>
          <w:kern w:val="2"/>
          <w:sz w:val="20"/>
        </w:rPr>
        <w:t xml:space="preserve">permit </w:t>
      </w:r>
      <w:r w:rsidR="0054527E" w:rsidRPr="006F29F5">
        <w:rPr>
          <w:rFonts w:cs="Times New Roman"/>
          <w:kern w:val="2"/>
          <w:sz w:val="20"/>
        </w:rPr>
        <w:t xml:space="preserve">its courts to order those who have committed offences to pay compensation or damages to another </w:t>
      </w:r>
      <w:r w:rsidR="005F53DF" w:rsidRPr="006F29F5">
        <w:rPr>
          <w:rFonts w:cs="Times New Roman"/>
          <w:kern w:val="2"/>
          <w:sz w:val="20"/>
        </w:rPr>
        <w:t>S</w:t>
      </w:r>
      <w:r w:rsidR="0054527E" w:rsidRPr="006F29F5">
        <w:rPr>
          <w:rFonts w:cs="Times New Roman"/>
          <w:kern w:val="2"/>
          <w:sz w:val="20"/>
        </w:rPr>
        <w:t xml:space="preserve">tate </w:t>
      </w:r>
      <w:r w:rsidR="005F53DF" w:rsidRPr="006F29F5">
        <w:rPr>
          <w:rFonts w:cs="Times New Roman"/>
          <w:kern w:val="2"/>
          <w:sz w:val="20"/>
        </w:rPr>
        <w:t>P</w:t>
      </w:r>
      <w:r w:rsidR="0054527E" w:rsidRPr="006F29F5">
        <w:rPr>
          <w:rFonts w:cs="Times New Roman"/>
          <w:kern w:val="2"/>
          <w:sz w:val="20"/>
        </w:rPr>
        <w:t xml:space="preserve">arty that has been harmed, </w:t>
      </w:r>
      <w:r w:rsidR="005F53DF" w:rsidRPr="006F29F5">
        <w:rPr>
          <w:rFonts w:cs="Times New Roman"/>
          <w:kern w:val="2"/>
          <w:sz w:val="20"/>
        </w:rPr>
        <w:t xml:space="preserve">and </w:t>
      </w:r>
      <w:r w:rsidR="0054527E" w:rsidRPr="006F29F5">
        <w:rPr>
          <w:rFonts w:cs="Times New Roman"/>
          <w:kern w:val="2"/>
          <w:sz w:val="20"/>
        </w:rPr>
        <w:t>(</w:t>
      </w:r>
      <w:r w:rsidR="00D57095" w:rsidRPr="006F29F5">
        <w:rPr>
          <w:rFonts w:cs="Times New Roman"/>
          <w:kern w:val="2"/>
          <w:sz w:val="20"/>
        </w:rPr>
        <w:t>iii</w:t>
      </w:r>
      <w:r w:rsidR="0054527E" w:rsidRPr="006F29F5">
        <w:rPr>
          <w:rFonts w:cs="Times New Roman"/>
          <w:kern w:val="2"/>
          <w:sz w:val="20"/>
        </w:rPr>
        <w:t xml:space="preserve">) </w:t>
      </w:r>
      <w:r w:rsidR="005F53DF" w:rsidRPr="006F29F5">
        <w:rPr>
          <w:rFonts w:cs="Times New Roman"/>
          <w:kern w:val="2"/>
          <w:sz w:val="20"/>
        </w:rPr>
        <w:t xml:space="preserve">allow </w:t>
      </w:r>
      <w:r w:rsidR="0054527E" w:rsidRPr="006F29F5">
        <w:rPr>
          <w:rFonts w:cs="Times New Roman"/>
          <w:kern w:val="2"/>
          <w:sz w:val="20"/>
        </w:rPr>
        <w:t xml:space="preserve">its courts or authorities to recognize another </w:t>
      </w:r>
      <w:r w:rsidR="005F53DF" w:rsidRPr="006F29F5">
        <w:rPr>
          <w:rFonts w:cs="Times New Roman"/>
          <w:kern w:val="2"/>
          <w:sz w:val="20"/>
        </w:rPr>
        <w:t>S</w:t>
      </w:r>
      <w:r w:rsidR="0054527E" w:rsidRPr="006F29F5">
        <w:rPr>
          <w:rFonts w:cs="Times New Roman"/>
          <w:kern w:val="2"/>
          <w:sz w:val="20"/>
        </w:rPr>
        <w:t xml:space="preserve">tate </w:t>
      </w:r>
      <w:r w:rsidR="005F53DF" w:rsidRPr="006F29F5">
        <w:rPr>
          <w:rFonts w:cs="Times New Roman"/>
          <w:kern w:val="2"/>
          <w:sz w:val="20"/>
        </w:rPr>
        <w:t>P</w:t>
      </w:r>
      <w:r w:rsidR="0054527E" w:rsidRPr="006F29F5">
        <w:rPr>
          <w:rFonts w:cs="Times New Roman"/>
          <w:kern w:val="2"/>
          <w:sz w:val="20"/>
        </w:rPr>
        <w:t xml:space="preserve">arty’s claims as legitimate owner of property acquired through the commission of an offence. </w:t>
      </w:r>
    </w:p>
    <w:p w14:paraId="5917EAD7" w14:textId="77777777" w:rsidR="00147926" w:rsidRPr="006F29F5" w:rsidRDefault="00550D36" w:rsidP="00C81ED8">
      <w:pPr>
        <w:rPr>
          <w:rFonts w:cs="Times New Roman"/>
          <w:kern w:val="2"/>
          <w:sz w:val="20"/>
        </w:rPr>
      </w:pPr>
      <w:r w:rsidRPr="006F29F5">
        <w:rPr>
          <w:rFonts w:cs="Times New Roman"/>
          <w:kern w:val="2"/>
          <w:sz w:val="20"/>
        </w:rPr>
        <w:t xml:space="preserve">UNCAC </w:t>
      </w:r>
      <w:r w:rsidR="00B235CE" w:rsidRPr="006F29F5">
        <w:rPr>
          <w:rFonts w:cs="Times New Roman"/>
          <w:kern w:val="2"/>
          <w:sz w:val="20"/>
        </w:rPr>
        <w:t>sets forth procedures for international cooperation in confiscation matters in Articles 54 and 55. These Articles create a basic</w:t>
      </w:r>
      <w:r w:rsidRPr="006F29F5">
        <w:rPr>
          <w:rFonts w:cs="Times New Roman"/>
          <w:kern w:val="2"/>
          <w:sz w:val="20"/>
        </w:rPr>
        <w:t xml:space="preserve"> regime for domestic freezing, seizure and confiscation. </w:t>
      </w:r>
      <w:r w:rsidR="007B4F21" w:rsidRPr="006F29F5">
        <w:rPr>
          <w:rFonts w:cs="Times New Roman"/>
          <w:kern w:val="2"/>
          <w:sz w:val="20"/>
        </w:rPr>
        <w:t>Article 54 provides that each State Party must take measures to</w:t>
      </w:r>
      <w:r w:rsidR="00147926" w:rsidRPr="006F29F5">
        <w:rPr>
          <w:rFonts w:cs="Times New Roman"/>
          <w:kern w:val="2"/>
          <w:sz w:val="20"/>
        </w:rPr>
        <w:t>:</w:t>
      </w:r>
    </w:p>
    <w:p w14:paraId="05992435" w14:textId="7E9922FE" w:rsidR="00147926" w:rsidRPr="006F29F5" w:rsidRDefault="007B4F21" w:rsidP="00C81ED8">
      <w:pPr>
        <w:pStyle w:val="ListParagraph"/>
        <w:numPr>
          <w:ilvl w:val="0"/>
          <w:numId w:val="1"/>
        </w:numPr>
        <w:ind w:right="720"/>
        <w:rPr>
          <w:rFonts w:cs="Times New Roman"/>
          <w:b w:val="0"/>
          <w:kern w:val="2"/>
          <w:sz w:val="20"/>
        </w:rPr>
      </w:pPr>
      <w:r w:rsidRPr="006F29F5">
        <w:rPr>
          <w:rFonts w:cs="Times New Roman"/>
          <w:b w:val="0"/>
          <w:kern w:val="2"/>
          <w:sz w:val="20"/>
        </w:rPr>
        <w:t xml:space="preserve">permit its authorities to </w:t>
      </w:r>
      <w:r w:rsidR="00205505" w:rsidRPr="006F29F5">
        <w:rPr>
          <w:rFonts w:cs="Times New Roman"/>
          <w:b w:val="0"/>
          <w:kern w:val="2"/>
          <w:sz w:val="20"/>
        </w:rPr>
        <w:t>give effect to an order of confiscation</w:t>
      </w:r>
      <w:r w:rsidR="006A4D47" w:rsidRPr="006F29F5">
        <w:rPr>
          <w:rFonts w:cs="Times New Roman"/>
          <w:b w:val="0"/>
          <w:kern w:val="2"/>
          <w:sz w:val="20"/>
        </w:rPr>
        <w:t xml:space="preserve"> issued</w:t>
      </w:r>
      <w:r w:rsidR="00147926" w:rsidRPr="006F29F5">
        <w:rPr>
          <w:rFonts w:cs="Times New Roman"/>
          <w:b w:val="0"/>
          <w:kern w:val="2"/>
          <w:sz w:val="20"/>
        </w:rPr>
        <w:t xml:space="preserve"> by</w:t>
      </w:r>
      <w:r w:rsidR="00EE227D" w:rsidRPr="006F29F5">
        <w:rPr>
          <w:rFonts w:cs="Times New Roman"/>
          <w:b w:val="0"/>
          <w:kern w:val="2"/>
          <w:sz w:val="20"/>
        </w:rPr>
        <w:t xml:space="preserve"> a court of another </w:t>
      </w:r>
      <w:r w:rsidR="005F53DF" w:rsidRPr="006F29F5">
        <w:rPr>
          <w:rFonts w:cs="Times New Roman"/>
          <w:b w:val="0"/>
          <w:kern w:val="2"/>
          <w:sz w:val="20"/>
        </w:rPr>
        <w:t>S</w:t>
      </w:r>
      <w:r w:rsidR="00EE227D" w:rsidRPr="006F29F5">
        <w:rPr>
          <w:rFonts w:cs="Times New Roman"/>
          <w:b w:val="0"/>
          <w:kern w:val="2"/>
          <w:sz w:val="20"/>
        </w:rPr>
        <w:t xml:space="preserve">tate </w:t>
      </w:r>
      <w:r w:rsidR="005F53DF" w:rsidRPr="006F29F5">
        <w:rPr>
          <w:rFonts w:cs="Times New Roman"/>
          <w:b w:val="0"/>
          <w:kern w:val="2"/>
          <w:sz w:val="20"/>
        </w:rPr>
        <w:t>P</w:t>
      </w:r>
      <w:r w:rsidR="00EE227D" w:rsidRPr="006F29F5">
        <w:rPr>
          <w:rFonts w:cs="Times New Roman"/>
          <w:b w:val="0"/>
          <w:kern w:val="2"/>
          <w:sz w:val="20"/>
        </w:rPr>
        <w:t>arty;</w:t>
      </w:r>
    </w:p>
    <w:p w14:paraId="5F0EC085" w14:textId="48169471" w:rsidR="00585079" w:rsidRPr="006F29F5" w:rsidRDefault="00205505" w:rsidP="00C81ED8">
      <w:pPr>
        <w:pStyle w:val="ListParagraph"/>
        <w:numPr>
          <w:ilvl w:val="0"/>
          <w:numId w:val="1"/>
        </w:numPr>
        <w:ind w:right="720"/>
        <w:rPr>
          <w:rFonts w:cs="Times New Roman"/>
          <w:b w:val="0"/>
          <w:kern w:val="2"/>
          <w:sz w:val="20"/>
        </w:rPr>
      </w:pPr>
      <w:r w:rsidRPr="006F29F5">
        <w:rPr>
          <w:rFonts w:cs="Times New Roman"/>
          <w:b w:val="0"/>
          <w:kern w:val="2"/>
          <w:sz w:val="20"/>
        </w:rPr>
        <w:t xml:space="preserve">order </w:t>
      </w:r>
      <w:r w:rsidR="00656E14" w:rsidRPr="006F29F5">
        <w:rPr>
          <w:rFonts w:cs="Times New Roman"/>
          <w:b w:val="0"/>
          <w:kern w:val="2"/>
          <w:sz w:val="20"/>
        </w:rPr>
        <w:t>confiscation</w:t>
      </w:r>
      <w:r w:rsidR="007B4F21" w:rsidRPr="006F29F5">
        <w:rPr>
          <w:rFonts w:cs="Times New Roman"/>
          <w:b w:val="0"/>
          <w:kern w:val="2"/>
          <w:sz w:val="20"/>
        </w:rPr>
        <w:t xml:space="preserve"> by adjudication of an offence</w:t>
      </w:r>
      <w:r w:rsidR="00BA2F0D" w:rsidRPr="006F29F5">
        <w:rPr>
          <w:rFonts w:cs="Times New Roman"/>
          <w:b w:val="0"/>
          <w:kern w:val="2"/>
          <w:sz w:val="20"/>
        </w:rPr>
        <w:t xml:space="preserve"> (must also </w:t>
      </w:r>
      <w:r w:rsidR="00BA2F0D" w:rsidRPr="006F29F5">
        <w:rPr>
          <w:rFonts w:cs="Times New Roman"/>
          <w:b w:val="0"/>
          <w:i/>
          <w:kern w:val="2"/>
          <w:sz w:val="20"/>
        </w:rPr>
        <w:t xml:space="preserve">consider </w:t>
      </w:r>
      <w:r w:rsidR="00BA2F0D" w:rsidRPr="006F29F5">
        <w:rPr>
          <w:rFonts w:cs="Times New Roman"/>
          <w:b w:val="0"/>
          <w:kern w:val="2"/>
          <w:sz w:val="20"/>
        </w:rPr>
        <w:t>allowing confiscation of property without a criminal conviction when the offence cannot be prosecut</w:t>
      </w:r>
      <w:r w:rsidR="005F53DF" w:rsidRPr="006F29F5">
        <w:rPr>
          <w:rFonts w:cs="Times New Roman"/>
          <w:b w:val="0"/>
          <w:kern w:val="2"/>
          <w:sz w:val="20"/>
        </w:rPr>
        <w:t>ed</w:t>
      </w:r>
      <w:r w:rsidR="00EE227D" w:rsidRPr="006F29F5">
        <w:rPr>
          <w:rFonts w:cs="Times New Roman"/>
          <w:b w:val="0"/>
          <w:kern w:val="2"/>
          <w:sz w:val="20"/>
        </w:rPr>
        <w:t xml:space="preserve"> by reason of death or flight);</w:t>
      </w:r>
    </w:p>
    <w:p w14:paraId="53FCA228" w14:textId="411D2865" w:rsidR="00BA2F0D" w:rsidRPr="006F29F5" w:rsidRDefault="00BA2F0D" w:rsidP="00C81ED8">
      <w:pPr>
        <w:pStyle w:val="ListParagraph"/>
        <w:numPr>
          <w:ilvl w:val="0"/>
          <w:numId w:val="1"/>
        </w:numPr>
        <w:ind w:right="720"/>
        <w:rPr>
          <w:rFonts w:cs="Times New Roman"/>
          <w:b w:val="0"/>
          <w:kern w:val="2"/>
          <w:sz w:val="20"/>
        </w:rPr>
      </w:pPr>
      <w:r w:rsidRPr="006F29F5">
        <w:rPr>
          <w:rFonts w:cs="Times New Roman"/>
          <w:b w:val="0"/>
          <w:kern w:val="2"/>
          <w:sz w:val="20"/>
        </w:rPr>
        <w:t xml:space="preserve">permit its authorities to freeze or seize property upon an order issued by an authority of a requesting </w:t>
      </w:r>
      <w:r w:rsidR="005F53DF" w:rsidRPr="006F29F5">
        <w:rPr>
          <w:rFonts w:cs="Times New Roman"/>
          <w:b w:val="0"/>
          <w:kern w:val="2"/>
          <w:sz w:val="20"/>
        </w:rPr>
        <w:t>S</w:t>
      </w:r>
      <w:r w:rsidRPr="006F29F5">
        <w:rPr>
          <w:rFonts w:cs="Times New Roman"/>
          <w:b w:val="0"/>
          <w:kern w:val="2"/>
          <w:sz w:val="20"/>
        </w:rPr>
        <w:t xml:space="preserve">tate </w:t>
      </w:r>
      <w:r w:rsidR="005F53DF" w:rsidRPr="006F29F5">
        <w:rPr>
          <w:rFonts w:cs="Times New Roman"/>
          <w:b w:val="0"/>
          <w:kern w:val="2"/>
          <w:sz w:val="20"/>
        </w:rPr>
        <w:t>P</w:t>
      </w:r>
      <w:r w:rsidRPr="006F29F5">
        <w:rPr>
          <w:rFonts w:cs="Times New Roman"/>
          <w:b w:val="0"/>
          <w:kern w:val="2"/>
          <w:sz w:val="20"/>
        </w:rPr>
        <w:t>arty concerning property eventually subject to confiscation</w:t>
      </w:r>
      <w:r w:rsidR="00EE227D" w:rsidRPr="006F29F5">
        <w:rPr>
          <w:rFonts w:cs="Times New Roman"/>
          <w:b w:val="0"/>
          <w:kern w:val="2"/>
          <w:sz w:val="20"/>
        </w:rPr>
        <w:t>; and</w:t>
      </w:r>
    </w:p>
    <w:p w14:paraId="22A7D817" w14:textId="6283283C" w:rsidR="00EA1105" w:rsidRPr="006F29F5" w:rsidRDefault="00BA2F0D" w:rsidP="00E2056E">
      <w:pPr>
        <w:pStyle w:val="ListParagraph"/>
        <w:numPr>
          <w:ilvl w:val="0"/>
          <w:numId w:val="1"/>
        </w:numPr>
        <w:ind w:right="720"/>
        <w:rPr>
          <w:rFonts w:cs="Times New Roman"/>
          <w:b w:val="0"/>
          <w:kern w:val="2"/>
          <w:sz w:val="20"/>
        </w:rPr>
      </w:pPr>
      <w:proofErr w:type="gramStart"/>
      <w:r w:rsidRPr="006F29F5">
        <w:rPr>
          <w:rFonts w:cs="Times New Roman"/>
          <w:b w:val="0"/>
          <w:kern w:val="2"/>
          <w:sz w:val="20"/>
        </w:rPr>
        <w:t>permit</w:t>
      </w:r>
      <w:proofErr w:type="gramEnd"/>
      <w:r w:rsidRPr="006F29F5">
        <w:rPr>
          <w:rFonts w:cs="Times New Roman"/>
          <w:b w:val="0"/>
          <w:kern w:val="2"/>
          <w:sz w:val="20"/>
        </w:rPr>
        <w:t xml:space="preserve"> its authorities to freeze or seize property upon request when there are sufficient grounds for taking such actions regarding property eventually subject to confiscation</w:t>
      </w:r>
      <w:r w:rsidR="00EE227D" w:rsidRPr="006F29F5">
        <w:rPr>
          <w:rFonts w:cs="Times New Roman"/>
          <w:b w:val="0"/>
          <w:kern w:val="2"/>
          <w:sz w:val="20"/>
        </w:rPr>
        <w:t>.</w:t>
      </w:r>
    </w:p>
    <w:p w14:paraId="0CC54FE5" w14:textId="37274EE0" w:rsidR="00EA1105" w:rsidRPr="006F29F5" w:rsidRDefault="00205505" w:rsidP="00C81ED8">
      <w:pPr>
        <w:rPr>
          <w:rFonts w:cs="Times New Roman"/>
          <w:kern w:val="2"/>
          <w:sz w:val="20"/>
        </w:rPr>
      </w:pPr>
      <w:r w:rsidRPr="006F29F5">
        <w:rPr>
          <w:rFonts w:cs="Times New Roman"/>
          <w:kern w:val="2"/>
          <w:sz w:val="20"/>
        </w:rPr>
        <w:t xml:space="preserve">Article 55 </w:t>
      </w:r>
      <w:r w:rsidR="00776BCC" w:rsidRPr="006F29F5">
        <w:rPr>
          <w:rFonts w:cs="Times New Roman"/>
          <w:kern w:val="2"/>
          <w:sz w:val="20"/>
        </w:rPr>
        <w:t>implements mutual legal assistance</w:t>
      </w:r>
      <w:r w:rsidR="00147926" w:rsidRPr="006F29F5">
        <w:rPr>
          <w:rFonts w:cs="Times New Roman"/>
          <w:kern w:val="2"/>
          <w:sz w:val="20"/>
        </w:rPr>
        <w:t xml:space="preserve"> between each </w:t>
      </w:r>
      <w:r w:rsidR="005F53DF" w:rsidRPr="006F29F5">
        <w:rPr>
          <w:rFonts w:cs="Times New Roman"/>
          <w:kern w:val="2"/>
          <w:sz w:val="20"/>
        </w:rPr>
        <w:t>State P</w:t>
      </w:r>
      <w:r w:rsidR="00147926" w:rsidRPr="006F29F5">
        <w:rPr>
          <w:rFonts w:cs="Times New Roman"/>
          <w:kern w:val="2"/>
          <w:sz w:val="20"/>
        </w:rPr>
        <w:t xml:space="preserve">arty by providing a mechanism </w:t>
      </w:r>
      <w:r w:rsidR="00BA2F0D" w:rsidRPr="006F29F5">
        <w:rPr>
          <w:rFonts w:cs="Times New Roman"/>
          <w:kern w:val="2"/>
          <w:sz w:val="20"/>
        </w:rPr>
        <w:t xml:space="preserve">for responding to orders and requests from </w:t>
      </w:r>
      <w:r w:rsidR="005F53DF" w:rsidRPr="006F29F5">
        <w:rPr>
          <w:rFonts w:cs="Times New Roman"/>
          <w:kern w:val="2"/>
          <w:sz w:val="20"/>
        </w:rPr>
        <w:t>S</w:t>
      </w:r>
      <w:r w:rsidR="00BA2F0D" w:rsidRPr="006F29F5">
        <w:rPr>
          <w:rFonts w:cs="Times New Roman"/>
          <w:kern w:val="2"/>
          <w:sz w:val="20"/>
        </w:rPr>
        <w:t xml:space="preserve">tate </w:t>
      </w:r>
      <w:r w:rsidR="005F53DF" w:rsidRPr="006F29F5">
        <w:rPr>
          <w:rFonts w:cs="Times New Roman"/>
          <w:kern w:val="2"/>
          <w:sz w:val="20"/>
        </w:rPr>
        <w:t>P</w:t>
      </w:r>
      <w:r w:rsidR="00BA2F0D" w:rsidRPr="006F29F5">
        <w:rPr>
          <w:rFonts w:cs="Times New Roman"/>
          <w:kern w:val="2"/>
          <w:sz w:val="20"/>
        </w:rPr>
        <w:t xml:space="preserve">arties. </w:t>
      </w:r>
      <w:r w:rsidR="00776BCC" w:rsidRPr="006F29F5">
        <w:rPr>
          <w:rFonts w:cs="Times New Roman"/>
          <w:kern w:val="2"/>
          <w:sz w:val="20"/>
        </w:rPr>
        <w:t xml:space="preserve">It </w:t>
      </w:r>
      <w:r w:rsidR="005F53DF" w:rsidRPr="006F29F5">
        <w:rPr>
          <w:rFonts w:cs="Times New Roman"/>
          <w:kern w:val="2"/>
          <w:sz w:val="20"/>
        </w:rPr>
        <w:t>requires each state p</w:t>
      </w:r>
      <w:r w:rsidRPr="006F29F5">
        <w:rPr>
          <w:rFonts w:cs="Times New Roman"/>
          <w:kern w:val="2"/>
          <w:sz w:val="20"/>
        </w:rPr>
        <w:t>arty to</w:t>
      </w:r>
      <w:r w:rsidR="00E2056E" w:rsidRPr="006F29F5">
        <w:rPr>
          <w:rFonts w:cs="Times New Roman"/>
          <w:kern w:val="2"/>
          <w:sz w:val="20"/>
        </w:rPr>
        <w:t>:</w:t>
      </w:r>
    </w:p>
    <w:p w14:paraId="55E3DABE" w14:textId="60A8578A" w:rsidR="00BA2F0D" w:rsidRPr="006F29F5" w:rsidRDefault="00BA2F0D" w:rsidP="00C81ED8">
      <w:pPr>
        <w:pStyle w:val="ListParagraph"/>
        <w:numPr>
          <w:ilvl w:val="0"/>
          <w:numId w:val="2"/>
        </w:numPr>
        <w:ind w:right="720"/>
        <w:rPr>
          <w:rFonts w:cs="Times New Roman"/>
          <w:b w:val="0"/>
          <w:kern w:val="2"/>
          <w:sz w:val="20"/>
        </w:rPr>
      </w:pPr>
      <w:r w:rsidRPr="006F29F5">
        <w:rPr>
          <w:rFonts w:cs="Times New Roman"/>
          <w:b w:val="0"/>
          <w:kern w:val="2"/>
          <w:sz w:val="20"/>
        </w:rPr>
        <w:t>submit the request for confiscation over corruption offences to its authorities</w:t>
      </w:r>
      <w:r w:rsidR="00EA0964" w:rsidRPr="006F29F5">
        <w:rPr>
          <w:rFonts w:cs="Times New Roman"/>
          <w:b w:val="0"/>
          <w:kern w:val="2"/>
          <w:sz w:val="20"/>
        </w:rPr>
        <w:t>;</w:t>
      </w:r>
    </w:p>
    <w:p w14:paraId="214B7C66" w14:textId="6F29EA95" w:rsidR="00BA2F0D" w:rsidRPr="006F29F5" w:rsidRDefault="00BA2F0D" w:rsidP="00C81ED8">
      <w:pPr>
        <w:pStyle w:val="ListParagraph"/>
        <w:numPr>
          <w:ilvl w:val="0"/>
          <w:numId w:val="2"/>
        </w:numPr>
        <w:ind w:right="720"/>
        <w:rPr>
          <w:rFonts w:cs="Times New Roman"/>
          <w:b w:val="0"/>
          <w:kern w:val="2"/>
          <w:sz w:val="20"/>
        </w:rPr>
      </w:pPr>
      <w:r w:rsidRPr="006F29F5">
        <w:rPr>
          <w:rFonts w:cs="Times New Roman"/>
          <w:b w:val="0"/>
          <w:kern w:val="2"/>
          <w:sz w:val="20"/>
        </w:rPr>
        <w:t>submit the order of confiscation issued by a cour</w:t>
      </w:r>
      <w:r w:rsidR="005F53DF" w:rsidRPr="006F29F5">
        <w:rPr>
          <w:rFonts w:cs="Times New Roman"/>
          <w:b w:val="0"/>
          <w:kern w:val="2"/>
          <w:sz w:val="20"/>
        </w:rPr>
        <w:t>t of the requesting state p</w:t>
      </w:r>
      <w:r w:rsidR="00EA0964" w:rsidRPr="006F29F5">
        <w:rPr>
          <w:rFonts w:cs="Times New Roman"/>
          <w:b w:val="0"/>
          <w:kern w:val="2"/>
          <w:sz w:val="20"/>
        </w:rPr>
        <w:t>arty; and</w:t>
      </w:r>
    </w:p>
    <w:p w14:paraId="0896B845" w14:textId="0EB805B9" w:rsidR="00EA1105" w:rsidRPr="006F29F5" w:rsidRDefault="00BA2F0D" w:rsidP="00E2056E">
      <w:pPr>
        <w:pStyle w:val="ListParagraph"/>
        <w:numPr>
          <w:ilvl w:val="0"/>
          <w:numId w:val="2"/>
        </w:numPr>
        <w:ind w:right="720"/>
        <w:rPr>
          <w:rFonts w:cs="Times New Roman"/>
          <w:b w:val="0"/>
          <w:kern w:val="2"/>
          <w:sz w:val="20"/>
        </w:rPr>
      </w:pPr>
      <w:proofErr w:type="gramStart"/>
      <w:r w:rsidRPr="006F29F5">
        <w:rPr>
          <w:rFonts w:cs="Times New Roman"/>
          <w:b w:val="0"/>
          <w:kern w:val="2"/>
          <w:sz w:val="20"/>
        </w:rPr>
        <w:t>take</w:t>
      </w:r>
      <w:proofErr w:type="gramEnd"/>
      <w:r w:rsidRPr="006F29F5">
        <w:rPr>
          <w:rFonts w:cs="Times New Roman"/>
          <w:b w:val="0"/>
          <w:kern w:val="2"/>
          <w:sz w:val="20"/>
        </w:rPr>
        <w:t xml:space="preserve"> measures to identify, trace and freeze or seize proceeds of crime, property, etc., for </w:t>
      </w:r>
      <w:r w:rsidR="005F53DF" w:rsidRPr="006F29F5">
        <w:rPr>
          <w:rFonts w:cs="Times New Roman"/>
          <w:b w:val="0"/>
          <w:kern w:val="2"/>
          <w:sz w:val="20"/>
        </w:rPr>
        <w:t>confiscation by the requesting S</w:t>
      </w:r>
      <w:r w:rsidRPr="006F29F5">
        <w:rPr>
          <w:rFonts w:cs="Times New Roman"/>
          <w:b w:val="0"/>
          <w:kern w:val="2"/>
          <w:sz w:val="20"/>
        </w:rPr>
        <w:t xml:space="preserve">tate or by themselves. </w:t>
      </w:r>
    </w:p>
    <w:p w14:paraId="1927EBC3" w14:textId="32A8BE0C" w:rsidR="00EA1105" w:rsidRPr="006F29F5" w:rsidRDefault="00867641" w:rsidP="00C81ED8">
      <w:pPr>
        <w:rPr>
          <w:rFonts w:cs="Times New Roman"/>
          <w:kern w:val="2"/>
          <w:sz w:val="20"/>
        </w:rPr>
      </w:pPr>
      <w:r w:rsidRPr="006F29F5">
        <w:rPr>
          <w:rFonts w:cs="Times New Roman"/>
          <w:kern w:val="2"/>
          <w:sz w:val="20"/>
        </w:rPr>
        <w:t xml:space="preserve">Article 55 also sets out the requirements for making a request for assistance. </w:t>
      </w:r>
      <w:r w:rsidR="00776BCC" w:rsidRPr="006F29F5">
        <w:rPr>
          <w:rFonts w:cs="Times New Roman"/>
          <w:kern w:val="2"/>
          <w:sz w:val="20"/>
        </w:rPr>
        <w:t>When a State Party receives a request for confiscation of proceeds of crime</w:t>
      </w:r>
      <w:r w:rsidR="00244E8B" w:rsidRPr="006F29F5">
        <w:rPr>
          <w:rFonts w:cs="Times New Roman"/>
          <w:kern w:val="2"/>
          <w:sz w:val="20"/>
        </w:rPr>
        <w:t>, the State Party must submit the request to its authorities for the purpose of obt</w:t>
      </w:r>
      <w:r w:rsidR="00147926" w:rsidRPr="006F29F5">
        <w:rPr>
          <w:rFonts w:cs="Times New Roman"/>
          <w:kern w:val="2"/>
          <w:sz w:val="20"/>
        </w:rPr>
        <w:t>aining an order of confiscation and</w:t>
      </w:r>
      <w:r w:rsidR="00244E8B" w:rsidRPr="006F29F5">
        <w:rPr>
          <w:rFonts w:cs="Times New Roman"/>
          <w:kern w:val="2"/>
          <w:sz w:val="20"/>
        </w:rPr>
        <w:t xml:space="preserve"> shall take measures to identify, trace and freeze or seize </w:t>
      </w:r>
      <w:r w:rsidR="005F53DF" w:rsidRPr="006F29F5">
        <w:rPr>
          <w:rFonts w:cs="Times New Roman"/>
          <w:kern w:val="2"/>
          <w:sz w:val="20"/>
        </w:rPr>
        <w:t>the</w:t>
      </w:r>
      <w:r w:rsidR="00244E8B" w:rsidRPr="006F29F5">
        <w:rPr>
          <w:rFonts w:cs="Times New Roman"/>
          <w:kern w:val="2"/>
          <w:sz w:val="20"/>
        </w:rPr>
        <w:t xml:space="preserve"> property</w:t>
      </w:r>
      <w:r w:rsidR="00B235CE" w:rsidRPr="006F29F5">
        <w:rPr>
          <w:rFonts w:cs="Times New Roman"/>
          <w:kern w:val="2"/>
          <w:sz w:val="20"/>
        </w:rPr>
        <w:t>. The request must include</w:t>
      </w:r>
      <w:r w:rsidR="00E2056E" w:rsidRPr="006F29F5">
        <w:rPr>
          <w:rFonts w:cs="Times New Roman"/>
          <w:kern w:val="2"/>
          <w:sz w:val="20"/>
        </w:rPr>
        <w:t>:</w:t>
      </w:r>
    </w:p>
    <w:p w14:paraId="65EB1500" w14:textId="78675AF7" w:rsidR="007E6250" w:rsidRPr="006F29F5" w:rsidRDefault="00B235CE" w:rsidP="00807290">
      <w:pPr>
        <w:pStyle w:val="ListParagraph"/>
        <w:numPr>
          <w:ilvl w:val="0"/>
          <w:numId w:val="3"/>
        </w:numPr>
        <w:ind w:left="1440" w:right="720"/>
        <w:rPr>
          <w:rFonts w:cs="Times New Roman"/>
          <w:b w:val="0"/>
          <w:kern w:val="2"/>
          <w:sz w:val="20"/>
        </w:rPr>
      </w:pPr>
      <w:r w:rsidRPr="006F29F5">
        <w:rPr>
          <w:rFonts w:cs="Times New Roman"/>
          <w:b w:val="0"/>
          <w:kern w:val="2"/>
          <w:sz w:val="20"/>
        </w:rPr>
        <w:t>a description of the property to be confiscated including the location if possible and the estimated value of the property and a statement of the facts relied upon by the requesting State Party sufficient to enable the requested State Party to seek t</w:t>
      </w:r>
      <w:r w:rsidR="007E6250" w:rsidRPr="006F29F5">
        <w:rPr>
          <w:rFonts w:cs="Times New Roman"/>
          <w:b w:val="0"/>
          <w:kern w:val="2"/>
          <w:sz w:val="20"/>
        </w:rPr>
        <w:t>he order under its domestic law;</w:t>
      </w:r>
      <w:r w:rsidR="000A58BC" w:rsidRPr="006F29F5">
        <w:rPr>
          <w:rFonts w:cs="Times New Roman"/>
          <w:b w:val="0"/>
          <w:kern w:val="2"/>
          <w:sz w:val="20"/>
        </w:rPr>
        <w:t xml:space="preserve"> and</w:t>
      </w:r>
    </w:p>
    <w:p w14:paraId="553C406F" w14:textId="4DBC6B33" w:rsidR="00BA7222" w:rsidRPr="006F29F5" w:rsidRDefault="007E6250" w:rsidP="00807290">
      <w:pPr>
        <w:pStyle w:val="ListParagraph"/>
        <w:numPr>
          <w:ilvl w:val="0"/>
          <w:numId w:val="3"/>
        </w:numPr>
        <w:ind w:left="1440" w:right="720"/>
        <w:rPr>
          <w:rFonts w:cs="Times New Roman"/>
          <w:b w:val="0"/>
          <w:kern w:val="2"/>
          <w:sz w:val="20"/>
        </w:rPr>
      </w:pPr>
      <w:proofErr w:type="gramStart"/>
      <w:r w:rsidRPr="006F29F5">
        <w:rPr>
          <w:rFonts w:cs="Times New Roman"/>
          <w:b w:val="0"/>
          <w:kern w:val="2"/>
          <w:sz w:val="20"/>
        </w:rPr>
        <w:t>i</w:t>
      </w:r>
      <w:r w:rsidR="00B235CE" w:rsidRPr="006F29F5">
        <w:rPr>
          <w:rFonts w:cs="Times New Roman"/>
          <w:b w:val="0"/>
          <w:kern w:val="2"/>
          <w:sz w:val="20"/>
        </w:rPr>
        <w:t>f</w:t>
      </w:r>
      <w:proofErr w:type="gramEnd"/>
      <w:r w:rsidR="00B235CE" w:rsidRPr="006F29F5">
        <w:rPr>
          <w:rFonts w:cs="Times New Roman"/>
          <w:b w:val="0"/>
          <w:kern w:val="2"/>
          <w:sz w:val="20"/>
        </w:rPr>
        <w:t xml:space="preserve"> the request is based on a confiscation order, the requesting party must include a copy of the order, statement of facts and information, statement specifying the measures taken by the requesting party to provide adequate notification to bona fide third parties and to ensure due process and a statement that the confiscation order is final. </w:t>
      </w:r>
    </w:p>
    <w:p w14:paraId="1BEAC70A" w14:textId="3945D424" w:rsidR="00B235CE" w:rsidRPr="006F29F5" w:rsidRDefault="00B235CE" w:rsidP="00D70E79">
      <w:pPr>
        <w:rPr>
          <w:rFonts w:cs="Times New Roman"/>
          <w:kern w:val="2"/>
          <w:sz w:val="20"/>
        </w:rPr>
      </w:pPr>
      <w:r w:rsidRPr="006F29F5">
        <w:rPr>
          <w:rFonts w:cs="Times New Roman"/>
          <w:kern w:val="2"/>
          <w:sz w:val="20"/>
        </w:rPr>
        <w:t xml:space="preserve">The </w:t>
      </w:r>
      <w:r w:rsidR="00FA09E4" w:rsidRPr="006F29F5">
        <w:rPr>
          <w:rFonts w:cs="Times New Roman"/>
          <w:kern w:val="2"/>
          <w:sz w:val="20"/>
        </w:rPr>
        <w:t xml:space="preserve">assistance sought by the </w:t>
      </w:r>
      <w:r w:rsidR="007E6250" w:rsidRPr="006F29F5">
        <w:rPr>
          <w:rFonts w:cs="Times New Roman"/>
          <w:kern w:val="2"/>
          <w:sz w:val="20"/>
        </w:rPr>
        <w:t xml:space="preserve">requesting </w:t>
      </w:r>
      <w:r w:rsidRPr="006F29F5">
        <w:rPr>
          <w:rFonts w:cs="Times New Roman"/>
          <w:kern w:val="2"/>
          <w:sz w:val="20"/>
        </w:rPr>
        <w:t xml:space="preserve">State Party may </w:t>
      </w:r>
      <w:r w:rsidR="007E6250" w:rsidRPr="006F29F5">
        <w:rPr>
          <w:rFonts w:cs="Times New Roman"/>
          <w:kern w:val="2"/>
          <w:sz w:val="20"/>
        </w:rPr>
        <w:t xml:space="preserve">be </w:t>
      </w:r>
      <w:r w:rsidRPr="006F29F5">
        <w:rPr>
          <w:rFonts w:cs="Times New Roman"/>
          <w:kern w:val="2"/>
          <w:sz w:val="20"/>
        </w:rPr>
        <w:t xml:space="preserve">refused if the </w:t>
      </w:r>
      <w:r w:rsidR="007E6250" w:rsidRPr="006F29F5">
        <w:rPr>
          <w:rFonts w:cs="Times New Roman"/>
          <w:kern w:val="2"/>
          <w:sz w:val="20"/>
        </w:rPr>
        <w:t xml:space="preserve">requested State </w:t>
      </w:r>
      <w:r w:rsidRPr="006F29F5">
        <w:rPr>
          <w:rFonts w:cs="Times New Roman"/>
          <w:kern w:val="2"/>
          <w:sz w:val="20"/>
        </w:rPr>
        <w:t xml:space="preserve">Party does not receive sufficient and timely evidence or if the property is of </w:t>
      </w:r>
      <w:r w:rsidRPr="006F29F5">
        <w:rPr>
          <w:rFonts w:cs="Times New Roman"/>
          <w:i/>
          <w:kern w:val="2"/>
          <w:sz w:val="20"/>
        </w:rPr>
        <w:t xml:space="preserve">de </w:t>
      </w:r>
      <w:proofErr w:type="spellStart"/>
      <w:r w:rsidRPr="006F29F5">
        <w:rPr>
          <w:rFonts w:cs="Times New Roman"/>
          <w:i/>
          <w:kern w:val="2"/>
          <w:sz w:val="20"/>
        </w:rPr>
        <w:t>minim</w:t>
      </w:r>
      <w:r w:rsidR="000825F6" w:rsidRPr="006F29F5">
        <w:rPr>
          <w:rFonts w:cs="Times New Roman"/>
          <w:i/>
          <w:kern w:val="2"/>
          <w:sz w:val="20"/>
        </w:rPr>
        <w:t>i</w:t>
      </w:r>
      <w:r w:rsidRPr="006F29F5">
        <w:rPr>
          <w:rFonts w:cs="Times New Roman"/>
          <w:i/>
          <w:kern w:val="2"/>
          <w:sz w:val="20"/>
        </w:rPr>
        <w:t>s</w:t>
      </w:r>
      <w:proofErr w:type="spellEnd"/>
      <w:r w:rsidRPr="006F29F5">
        <w:rPr>
          <w:rFonts w:cs="Times New Roman"/>
          <w:i/>
          <w:kern w:val="2"/>
          <w:sz w:val="20"/>
        </w:rPr>
        <w:t xml:space="preserve"> </w:t>
      </w:r>
      <w:r w:rsidRPr="006F29F5">
        <w:rPr>
          <w:rFonts w:cs="Times New Roman"/>
          <w:kern w:val="2"/>
          <w:sz w:val="20"/>
        </w:rPr>
        <w:t xml:space="preserve">value. </w:t>
      </w:r>
    </w:p>
    <w:p w14:paraId="6972412C" w14:textId="2B28BAAD" w:rsidR="00B71EFA" w:rsidRPr="006F29F5" w:rsidRDefault="008066F8" w:rsidP="00C81ED8">
      <w:pPr>
        <w:rPr>
          <w:rFonts w:cs="Times New Roman"/>
          <w:kern w:val="2"/>
          <w:sz w:val="20"/>
        </w:rPr>
      </w:pPr>
      <w:r w:rsidRPr="006F29F5">
        <w:rPr>
          <w:rFonts w:cs="Times New Roman"/>
          <w:kern w:val="2"/>
          <w:sz w:val="20"/>
        </w:rPr>
        <w:t xml:space="preserve">The </w:t>
      </w:r>
      <w:r w:rsidR="00F45DCC" w:rsidRPr="006F29F5">
        <w:rPr>
          <w:rFonts w:cs="Times New Roman"/>
          <w:kern w:val="2"/>
          <w:sz w:val="20"/>
        </w:rPr>
        <w:t xml:space="preserve">United Nations Convention </w:t>
      </w:r>
      <w:r w:rsidR="000825F6" w:rsidRPr="006F29F5">
        <w:rPr>
          <w:rFonts w:cs="Times New Roman"/>
          <w:kern w:val="2"/>
          <w:sz w:val="20"/>
        </w:rPr>
        <w:t>against</w:t>
      </w:r>
      <w:r w:rsidR="00F45DCC" w:rsidRPr="006F29F5">
        <w:rPr>
          <w:rFonts w:cs="Times New Roman"/>
          <w:kern w:val="2"/>
          <w:sz w:val="20"/>
        </w:rPr>
        <w:t xml:space="preserve"> Transnational Organized Crime </w:t>
      </w:r>
      <w:r w:rsidR="00766DEA" w:rsidRPr="006F29F5">
        <w:rPr>
          <w:rFonts w:cs="Times New Roman"/>
          <w:kern w:val="2"/>
          <w:sz w:val="20"/>
        </w:rPr>
        <w:t xml:space="preserve">(UNTOC) </w:t>
      </w:r>
      <w:r w:rsidR="00F45DCC" w:rsidRPr="006F29F5">
        <w:rPr>
          <w:rFonts w:cs="Times New Roman"/>
          <w:kern w:val="2"/>
          <w:sz w:val="20"/>
        </w:rPr>
        <w:t xml:space="preserve">also imposes international obligations on the signatories. Article 13(1) </w:t>
      </w:r>
      <w:r w:rsidRPr="006F29F5">
        <w:rPr>
          <w:rFonts w:cs="Times New Roman"/>
          <w:kern w:val="2"/>
          <w:sz w:val="20"/>
        </w:rPr>
        <w:t>re</w:t>
      </w:r>
      <w:r w:rsidR="00F45DCC" w:rsidRPr="006F29F5">
        <w:rPr>
          <w:rFonts w:cs="Times New Roman"/>
          <w:kern w:val="2"/>
          <w:sz w:val="20"/>
        </w:rPr>
        <w:t>quires a State to act in response to reques</w:t>
      </w:r>
      <w:r w:rsidRPr="006F29F5">
        <w:rPr>
          <w:rFonts w:cs="Times New Roman"/>
          <w:kern w:val="2"/>
          <w:sz w:val="20"/>
        </w:rPr>
        <w:t>ts for confiscation from other S</w:t>
      </w:r>
      <w:r w:rsidR="00F45DCC" w:rsidRPr="006F29F5">
        <w:rPr>
          <w:rFonts w:cs="Times New Roman"/>
          <w:kern w:val="2"/>
          <w:sz w:val="20"/>
        </w:rPr>
        <w:t xml:space="preserve">tates to the </w:t>
      </w:r>
      <w:r w:rsidR="00CC1E13" w:rsidRPr="006F29F5">
        <w:rPr>
          <w:rFonts w:cs="Times New Roman"/>
          <w:kern w:val="2"/>
          <w:sz w:val="20"/>
        </w:rPr>
        <w:t>“</w:t>
      </w:r>
      <w:r w:rsidR="00F45DCC" w:rsidRPr="006F29F5">
        <w:rPr>
          <w:rFonts w:cs="Times New Roman"/>
          <w:kern w:val="2"/>
          <w:sz w:val="20"/>
        </w:rPr>
        <w:t>greatest extent possible within its domestic legal system</w:t>
      </w:r>
      <w:r w:rsidR="00AA4C6D" w:rsidRPr="006F29F5">
        <w:rPr>
          <w:rFonts w:cs="Times New Roman"/>
          <w:kern w:val="2"/>
          <w:sz w:val="20"/>
        </w:rPr>
        <w:t>.</w:t>
      </w:r>
      <w:r w:rsidR="00CC1E13" w:rsidRPr="006F29F5">
        <w:rPr>
          <w:rFonts w:cs="Times New Roman"/>
          <w:kern w:val="2"/>
          <w:sz w:val="20"/>
        </w:rPr>
        <w:t>”</w:t>
      </w:r>
      <w:r w:rsidR="00F45DCC" w:rsidRPr="006F29F5">
        <w:rPr>
          <w:rFonts w:cs="Times New Roman"/>
          <w:kern w:val="2"/>
          <w:sz w:val="20"/>
        </w:rPr>
        <w:t xml:space="preserve"> </w:t>
      </w:r>
      <w:r w:rsidR="00746A87" w:rsidRPr="006F29F5">
        <w:rPr>
          <w:rFonts w:cs="Times New Roman"/>
          <w:kern w:val="2"/>
          <w:sz w:val="20"/>
        </w:rPr>
        <w:t xml:space="preserve">Note that the obligations </w:t>
      </w:r>
      <w:r w:rsidRPr="006F29F5">
        <w:rPr>
          <w:rFonts w:cs="Times New Roman"/>
          <w:kern w:val="2"/>
          <w:sz w:val="20"/>
        </w:rPr>
        <w:t xml:space="preserve">under this convention </w:t>
      </w:r>
      <w:r w:rsidR="00746A87" w:rsidRPr="006F29F5">
        <w:rPr>
          <w:rFonts w:cs="Times New Roman"/>
          <w:kern w:val="2"/>
          <w:sz w:val="20"/>
        </w:rPr>
        <w:t>apply only if the criminal act</w:t>
      </w:r>
      <w:r w:rsidRPr="006F29F5">
        <w:rPr>
          <w:rFonts w:cs="Times New Roman"/>
          <w:kern w:val="2"/>
          <w:sz w:val="20"/>
        </w:rPr>
        <w:t xml:space="preserve"> is </w:t>
      </w:r>
      <w:r w:rsidR="00746A87" w:rsidRPr="006F29F5">
        <w:rPr>
          <w:rFonts w:cs="Times New Roman"/>
          <w:kern w:val="2"/>
          <w:sz w:val="20"/>
        </w:rPr>
        <w:t xml:space="preserve">carried out by an organized criminal group within the definition under Article 2(1). Article 14(2) requires the return of assets in order to </w:t>
      </w:r>
      <w:r w:rsidR="00CC1E13" w:rsidRPr="006F29F5">
        <w:rPr>
          <w:rFonts w:cs="Times New Roman"/>
          <w:kern w:val="2"/>
          <w:sz w:val="20"/>
        </w:rPr>
        <w:t>“</w:t>
      </w:r>
      <w:r w:rsidR="00746A87" w:rsidRPr="006F29F5">
        <w:rPr>
          <w:rFonts w:cs="Times New Roman"/>
          <w:kern w:val="2"/>
          <w:sz w:val="20"/>
        </w:rPr>
        <w:t>give compensation to the victims of crime or return such proceeds of crime to their legitimate owners</w:t>
      </w:r>
      <w:r w:rsidR="008041C4" w:rsidRPr="006F29F5">
        <w:rPr>
          <w:rFonts w:cs="Times New Roman"/>
          <w:kern w:val="2"/>
          <w:sz w:val="20"/>
        </w:rPr>
        <w:t>.</w:t>
      </w:r>
      <w:r w:rsidR="00CC1E13" w:rsidRPr="006F29F5">
        <w:rPr>
          <w:rFonts w:cs="Times New Roman"/>
          <w:kern w:val="2"/>
          <w:sz w:val="20"/>
        </w:rPr>
        <w:t>”</w:t>
      </w:r>
      <w:r w:rsidR="00746A87" w:rsidRPr="006F29F5">
        <w:rPr>
          <w:rFonts w:cs="Times New Roman"/>
          <w:kern w:val="2"/>
          <w:sz w:val="20"/>
        </w:rPr>
        <w:t xml:space="preserve"> </w:t>
      </w:r>
    </w:p>
    <w:p w14:paraId="1E1A6DC7" w14:textId="009B0284" w:rsidR="00D70E79" w:rsidRPr="006F29F5" w:rsidRDefault="00D70E79" w:rsidP="00D70E79">
      <w:pPr>
        <w:pStyle w:val="CommentText"/>
        <w:rPr>
          <w:rFonts w:cs="Times New Roman"/>
          <w:kern w:val="2"/>
          <w:sz w:val="20"/>
        </w:rPr>
      </w:pPr>
      <w:r w:rsidRPr="006F29F5">
        <w:rPr>
          <w:rFonts w:cs="Times New Roman"/>
          <w:kern w:val="2"/>
          <w:sz w:val="20"/>
        </w:rPr>
        <w:t xml:space="preserve">Daniel and </w:t>
      </w:r>
      <w:proofErr w:type="spellStart"/>
      <w:r w:rsidRPr="006F29F5">
        <w:rPr>
          <w:rFonts w:cs="Times New Roman"/>
          <w:kern w:val="2"/>
          <w:sz w:val="20"/>
        </w:rPr>
        <w:t>Maton</w:t>
      </w:r>
      <w:proofErr w:type="spellEnd"/>
      <w:r w:rsidRPr="006F29F5">
        <w:rPr>
          <w:rFonts w:cs="Times New Roman"/>
          <w:kern w:val="2"/>
          <w:sz w:val="20"/>
        </w:rPr>
        <w:t xml:space="preserve"> point out that UNCAC’s asset recovery provisions are based on the assumpt</w:t>
      </w:r>
      <w:r w:rsidR="00ED20B7" w:rsidRPr="006F29F5">
        <w:rPr>
          <w:rFonts w:cs="Times New Roman"/>
          <w:kern w:val="2"/>
          <w:sz w:val="20"/>
        </w:rPr>
        <w:t>ion that victim states will attempt</w:t>
      </w:r>
      <w:r w:rsidRPr="006F29F5">
        <w:rPr>
          <w:rFonts w:cs="Times New Roman"/>
          <w:kern w:val="2"/>
          <w:sz w:val="20"/>
        </w:rPr>
        <w:t xml:space="preserve"> </w:t>
      </w:r>
      <w:r w:rsidR="00595FC0" w:rsidRPr="006F29F5">
        <w:rPr>
          <w:rFonts w:cs="Times New Roman"/>
          <w:kern w:val="2"/>
          <w:sz w:val="20"/>
        </w:rPr>
        <w:t>to recover</w:t>
      </w:r>
      <w:r w:rsidR="00ED20B7" w:rsidRPr="006F29F5">
        <w:rPr>
          <w:rFonts w:cs="Times New Roman"/>
          <w:kern w:val="2"/>
          <w:sz w:val="20"/>
        </w:rPr>
        <w:t xml:space="preserve"> assets</w:t>
      </w:r>
      <w:r w:rsidRPr="006F29F5">
        <w:rPr>
          <w:rFonts w:cs="Times New Roman"/>
          <w:kern w:val="2"/>
          <w:sz w:val="20"/>
        </w:rPr>
        <w:t>.</w:t>
      </w:r>
      <w:r w:rsidR="00D543AC" w:rsidRPr="006F29F5">
        <w:rPr>
          <w:rStyle w:val="FootnoteReference"/>
          <w:rFonts w:cs="Times New Roman"/>
          <w:kern w:val="2"/>
          <w:sz w:val="20"/>
        </w:rPr>
        <w:t xml:space="preserve"> </w:t>
      </w:r>
      <w:r w:rsidR="00D543AC" w:rsidRPr="006F29F5">
        <w:rPr>
          <w:rStyle w:val="FootnoteReference"/>
          <w:rFonts w:cs="Times New Roman"/>
          <w:kern w:val="2"/>
          <w:sz w:val="20"/>
        </w:rPr>
        <w:footnoteReference w:id="90"/>
      </w:r>
      <w:r w:rsidRPr="006F29F5">
        <w:rPr>
          <w:rFonts w:cs="Times New Roman"/>
          <w:kern w:val="2"/>
          <w:sz w:val="20"/>
        </w:rPr>
        <w:t xml:space="preserve"> Daniel and </w:t>
      </w:r>
      <w:proofErr w:type="spellStart"/>
      <w:r w:rsidRPr="006F29F5">
        <w:rPr>
          <w:rFonts w:cs="Times New Roman"/>
          <w:kern w:val="2"/>
          <w:sz w:val="20"/>
        </w:rPr>
        <w:t>Maton</w:t>
      </w:r>
      <w:proofErr w:type="spellEnd"/>
      <w:r w:rsidRPr="006F29F5">
        <w:rPr>
          <w:rFonts w:cs="Times New Roman"/>
          <w:kern w:val="2"/>
          <w:sz w:val="20"/>
        </w:rPr>
        <w:t xml:space="preserve"> see this as a fundamental flaw. </w:t>
      </w:r>
      <w:r w:rsidR="00166411" w:rsidRPr="006F29F5">
        <w:rPr>
          <w:rFonts w:cs="Times New Roman"/>
          <w:kern w:val="2"/>
          <w:sz w:val="20"/>
        </w:rPr>
        <w:t>Fear, lack of political will</w:t>
      </w:r>
      <w:r w:rsidRPr="006F29F5">
        <w:rPr>
          <w:rFonts w:cs="Times New Roman"/>
          <w:kern w:val="2"/>
          <w:sz w:val="20"/>
        </w:rPr>
        <w:t xml:space="preserve">, </w:t>
      </w:r>
      <w:r w:rsidR="00166411" w:rsidRPr="006F29F5">
        <w:rPr>
          <w:rFonts w:cs="Times New Roman"/>
          <w:kern w:val="2"/>
          <w:sz w:val="20"/>
        </w:rPr>
        <w:t>breakdo</w:t>
      </w:r>
      <w:r w:rsidR="007F76C0" w:rsidRPr="006F29F5">
        <w:rPr>
          <w:rFonts w:cs="Times New Roman"/>
          <w:kern w:val="2"/>
          <w:sz w:val="20"/>
        </w:rPr>
        <w:t xml:space="preserve">wn of political systems, </w:t>
      </w:r>
      <w:r w:rsidRPr="006F29F5">
        <w:rPr>
          <w:rFonts w:cs="Times New Roman"/>
          <w:kern w:val="2"/>
          <w:sz w:val="20"/>
        </w:rPr>
        <w:t>or the corruption of current leaders in victim countries can easily frustrate UNCAC’</w:t>
      </w:r>
      <w:r w:rsidR="007F76C0" w:rsidRPr="006F29F5">
        <w:rPr>
          <w:rFonts w:cs="Times New Roman"/>
          <w:kern w:val="2"/>
          <w:sz w:val="20"/>
        </w:rPr>
        <w:t>s</w:t>
      </w:r>
      <w:r w:rsidR="00595FC0" w:rsidRPr="006F29F5">
        <w:rPr>
          <w:rFonts w:cs="Times New Roman"/>
          <w:kern w:val="2"/>
          <w:sz w:val="20"/>
        </w:rPr>
        <w:t xml:space="preserve"> asset recovery</w:t>
      </w:r>
      <w:r w:rsidR="007F76C0" w:rsidRPr="006F29F5">
        <w:rPr>
          <w:rFonts w:cs="Times New Roman"/>
          <w:kern w:val="2"/>
          <w:sz w:val="20"/>
        </w:rPr>
        <w:t xml:space="preserve"> goals</w:t>
      </w:r>
      <w:r w:rsidR="00595FC0" w:rsidRPr="006F29F5">
        <w:rPr>
          <w:rFonts w:cs="Times New Roman"/>
          <w:kern w:val="2"/>
          <w:sz w:val="20"/>
        </w:rPr>
        <w:t xml:space="preserve"> by preventing requests from victim countries</w:t>
      </w:r>
      <w:r w:rsidR="007F76C0" w:rsidRPr="006F29F5">
        <w:rPr>
          <w:rFonts w:cs="Times New Roman"/>
          <w:kern w:val="2"/>
          <w:sz w:val="20"/>
        </w:rPr>
        <w:t xml:space="preserve">. For example, after </w:t>
      </w:r>
      <w:r w:rsidR="00ED20B7" w:rsidRPr="006F29F5">
        <w:rPr>
          <w:rFonts w:cs="Times New Roman"/>
          <w:kern w:val="2"/>
          <w:sz w:val="20"/>
        </w:rPr>
        <w:t xml:space="preserve">the death of </w:t>
      </w:r>
      <w:r w:rsidR="007F76C0" w:rsidRPr="006F29F5">
        <w:rPr>
          <w:rFonts w:cs="Times New Roman"/>
          <w:kern w:val="2"/>
          <w:sz w:val="20"/>
        </w:rPr>
        <w:t xml:space="preserve">Zaire’s </w:t>
      </w:r>
      <w:proofErr w:type="spellStart"/>
      <w:r w:rsidR="007F76C0" w:rsidRPr="006F29F5">
        <w:rPr>
          <w:rFonts w:cs="Times New Roman"/>
          <w:kern w:val="2"/>
          <w:sz w:val="20"/>
        </w:rPr>
        <w:t>kleptocratic</w:t>
      </w:r>
      <w:proofErr w:type="spellEnd"/>
      <w:r w:rsidR="007F76C0" w:rsidRPr="006F29F5">
        <w:rPr>
          <w:rFonts w:cs="Times New Roman"/>
          <w:kern w:val="2"/>
          <w:sz w:val="20"/>
        </w:rPr>
        <w:t xml:space="preserve"> president, Mobutu </w:t>
      </w:r>
      <w:proofErr w:type="spellStart"/>
      <w:r w:rsidR="007F76C0" w:rsidRPr="006F29F5">
        <w:rPr>
          <w:rFonts w:cs="Times New Roman"/>
          <w:kern w:val="2"/>
          <w:sz w:val="20"/>
        </w:rPr>
        <w:t>Sese</w:t>
      </w:r>
      <w:proofErr w:type="spellEnd"/>
      <w:r w:rsidR="007F76C0" w:rsidRPr="006F29F5">
        <w:rPr>
          <w:rFonts w:cs="Times New Roman"/>
          <w:kern w:val="2"/>
          <w:sz w:val="20"/>
        </w:rPr>
        <w:t xml:space="preserve"> </w:t>
      </w:r>
      <w:proofErr w:type="spellStart"/>
      <w:r w:rsidR="007F76C0" w:rsidRPr="006F29F5">
        <w:rPr>
          <w:rFonts w:cs="Times New Roman"/>
          <w:kern w:val="2"/>
          <w:sz w:val="20"/>
        </w:rPr>
        <w:t>Seko</w:t>
      </w:r>
      <w:proofErr w:type="spellEnd"/>
      <w:r w:rsidR="007F76C0" w:rsidRPr="006F29F5">
        <w:rPr>
          <w:rFonts w:cs="Times New Roman"/>
          <w:kern w:val="2"/>
          <w:sz w:val="20"/>
        </w:rPr>
        <w:t>, the Swiss authorities froze Mobutu’</w:t>
      </w:r>
      <w:r w:rsidR="00ED20B7" w:rsidRPr="006F29F5">
        <w:rPr>
          <w:rFonts w:cs="Times New Roman"/>
          <w:kern w:val="2"/>
          <w:sz w:val="20"/>
        </w:rPr>
        <w:t xml:space="preserve">s Swiss bank accounts. </w:t>
      </w:r>
      <w:r w:rsidR="007F76C0" w:rsidRPr="006F29F5">
        <w:rPr>
          <w:rFonts w:cs="Times New Roman"/>
          <w:kern w:val="2"/>
          <w:sz w:val="20"/>
        </w:rPr>
        <w:t xml:space="preserve">However, </w:t>
      </w:r>
      <w:r w:rsidR="00ED20B7" w:rsidRPr="006F29F5">
        <w:rPr>
          <w:rFonts w:cs="Times New Roman"/>
          <w:kern w:val="2"/>
          <w:sz w:val="20"/>
        </w:rPr>
        <w:t xml:space="preserve">Zaire, by now </w:t>
      </w:r>
      <w:r w:rsidR="007F76C0" w:rsidRPr="006F29F5">
        <w:rPr>
          <w:rFonts w:cs="Times New Roman"/>
          <w:kern w:val="2"/>
          <w:sz w:val="20"/>
        </w:rPr>
        <w:t>the Democratic Republic of Congo</w:t>
      </w:r>
      <w:r w:rsidR="00ED20B7" w:rsidRPr="006F29F5">
        <w:rPr>
          <w:rFonts w:cs="Times New Roman"/>
          <w:kern w:val="2"/>
          <w:sz w:val="20"/>
        </w:rPr>
        <w:t>,</w:t>
      </w:r>
      <w:r w:rsidR="007F76C0" w:rsidRPr="006F29F5">
        <w:rPr>
          <w:rFonts w:cs="Times New Roman"/>
          <w:kern w:val="2"/>
          <w:sz w:val="20"/>
        </w:rPr>
        <w:t xml:space="preserve"> failed to request repatriation of the stolen funds, which allowe</w:t>
      </w:r>
      <w:r w:rsidR="00ED20B7" w:rsidRPr="006F29F5">
        <w:rPr>
          <w:rFonts w:cs="Times New Roman"/>
          <w:kern w:val="2"/>
          <w:sz w:val="20"/>
        </w:rPr>
        <w:t>d the money</w:t>
      </w:r>
      <w:r w:rsidR="007F76C0" w:rsidRPr="006F29F5">
        <w:rPr>
          <w:rFonts w:cs="Times New Roman"/>
          <w:kern w:val="2"/>
          <w:sz w:val="20"/>
        </w:rPr>
        <w:t xml:space="preserve"> to be recovered by Mobutu’s family.</w:t>
      </w:r>
      <w:r w:rsidR="00595FC0" w:rsidRPr="006F29F5">
        <w:rPr>
          <w:rFonts w:cs="Times New Roman"/>
          <w:kern w:val="2"/>
          <w:sz w:val="20"/>
        </w:rPr>
        <w:t xml:space="preserve"> Similarly, Haiti failed to claim funds from a member of Haiti’s </w:t>
      </w:r>
      <w:proofErr w:type="spellStart"/>
      <w:r w:rsidR="00595FC0" w:rsidRPr="006F29F5">
        <w:rPr>
          <w:rFonts w:cs="Times New Roman"/>
          <w:kern w:val="2"/>
          <w:sz w:val="20"/>
        </w:rPr>
        <w:t>kleptocratic</w:t>
      </w:r>
      <w:proofErr w:type="spellEnd"/>
      <w:r w:rsidR="00595FC0" w:rsidRPr="006F29F5">
        <w:rPr>
          <w:rFonts w:cs="Times New Roman"/>
          <w:kern w:val="2"/>
          <w:sz w:val="20"/>
        </w:rPr>
        <w:t xml:space="preserve"> Duvalier family </w:t>
      </w:r>
      <w:r w:rsidR="00166411" w:rsidRPr="006F29F5">
        <w:rPr>
          <w:rFonts w:cs="Times New Roman"/>
          <w:kern w:val="2"/>
          <w:sz w:val="20"/>
        </w:rPr>
        <w:t>during litigation</w:t>
      </w:r>
      <w:r w:rsidR="00595FC0" w:rsidRPr="006F29F5">
        <w:rPr>
          <w:rFonts w:cs="Times New Roman"/>
          <w:kern w:val="2"/>
          <w:sz w:val="20"/>
        </w:rPr>
        <w:t xml:space="preserve"> in Switzerland.</w:t>
      </w:r>
      <w:r w:rsidR="00166411" w:rsidRPr="006F29F5">
        <w:rPr>
          <w:rFonts w:cs="Times New Roman"/>
          <w:kern w:val="2"/>
          <w:sz w:val="20"/>
        </w:rPr>
        <w:t xml:space="preserve"> However, the</w:t>
      </w:r>
      <w:r w:rsidR="00595FC0" w:rsidRPr="006F29F5">
        <w:rPr>
          <w:rFonts w:cs="Times New Roman"/>
          <w:kern w:val="2"/>
          <w:sz w:val="20"/>
        </w:rPr>
        <w:t xml:space="preserve"> day after a Swiss court ruled that the money would be remitted to </w:t>
      </w:r>
      <w:r w:rsidR="00CC1E13" w:rsidRPr="006F29F5">
        <w:rPr>
          <w:rFonts w:cs="Times New Roman"/>
          <w:kern w:val="2"/>
          <w:sz w:val="20"/>
        </w:rPr>
        <w:t>“</w:t>
      </w:r>
      <w:r w:rsidR="00595FC0" w:rsidRPr="006F29F5">
        <w:rPr>
          <w:rFonts w:cs="Times New Roman"/>
          <w:kern w:val="2"/>
          <w:sz w:val="20"/>
        </w:rPr>
        <w:t>Baby Doc</w:t>
      </w:r>
      <w:r w:rsidR="00CC1E13" w:rsidRPr="006F29F5">
        <w:rPr>
          <w:rFonts w:cs="Times New Roman"/>
          <w:kern w:val="2"/>
          <w:sz w:val="20"/>
        </w:rPr>
        <w:t>”</w:t>
      </w:r>
      <w:r w:rsidR="00595FC0" w:rsidRPr="006F29F5">
        <w:rPr>
          <w:rFonts w:cs="Times New Roman"/>
          <w:kern w:val="2"/>
          <w:sz w:val="20"/>
        </w:rPr>
        <w:t xml:space="preserve"> Duvalier, Haiti experienced its 2010 earthquake. The Swiss government prevented the return of the money to Duvalier by passing</w:t>
      </w:r>
      <w:r w:rsidR="00A55462" w:rsidRPr="006F29F5">
        <w:rPr>
          <w:rFonts w:cs="Times New Roman"/>
          <w:kern w:val="2"/>
          <w:sz w:val="20"/>
        </w:rPr>
        <w:t xml:space="preserve"> a law that allows</w:t>
      </w:r>
      <w:r w:rsidR="00595FC0" w:rsidRPr="006F29F5">
        <w:rPr>
          <w:rFonts w:cs="Times New Roman"/>
          <w:kern w:val="2"/>
          <w:sz w:val="20"/>
        </w:rPr>
        <w:t xml:space="preserve"> Switzerland to freeze assets if </w:t>
      </w:r>
      <w:r w:rsidR="00A55462" w:rsidRPr="006F29F5">
        <w:rPr>
          <w:rFonts w:cs="Times New Roman"/>
          <w:kern w:val="2"/>
          <w:sz w:val="20"/>
        </w:rPr>
        <w:t>the rule of law has broken down in a</w:t>
      </w:r>
      <w:r w:rsidR="00595FC0" w:rsidRPr="006F29F5">
        <w:rPr>
          <w:rFonts w:cs="Times New Roman"/>
          <w:kern w:val="2"/>
          <w:sz w:val="20"/>
        </w:rPr>
        <w:t xml:space="preserve"> victim country</w:t>
      </w:r>
      <w:r w:rsidR="00A55462" w:rsidRPr="006F29F5">
        <w:rPr>
          <w:rFonts w:cs="Times New Roman"/>
          <w:kern w:val="2"/>
          <w:sz w:val="20"/>
        </w:rPr>
        <w:t>, incapacitating the victim</w:t>
      </w:r>
      <w:r w:rsidR="00ED20B7" w:rsidRPr="006F29F5">
        <w:rPr>
          <w:rFonts w:cs="Times New Roman"/>
          <w:kern w:val="2"/>
          <w:sz w:val="20"/>
        </w:rPr>
        <w:t xml:space="preserve"> state’s ability to make requests</w:t>
      </w:r>
      <w:r w:rsidR="00595FC0" w:rsidRPr="006F29F5">
        <w:rPr>
          <w:rFonts w:cs="Times New Roman"/>
          <w:kern w:val="2"/>
          <w:sz w:val="20"/>
        </w:rPr>
        <w:t xml:space="preserve"> (known as the </w:t>
      </w:r>
      <w:r w:rsidR="00CC1E13" w:rsidRPr="006F29F5">
        <w:rPr>
          <w:rFonts w:cs="Times New Roman"/>
          <w:kern w:val="2"/>
          <w:sz w:val="20"/>
        </w:rPr>
        <w:t>“</w:t>
      </w:r>
      <w:r w:rsidR="00595FC0" w:rsidRPr="006F29F5">
        <w:rPr>
          <w:rFonts w:cs="Times New Roman"/>
          <w:kern w:val="2"/>
          <w:sz w:val="20"/>
        </w:rPr>
        <w:t>Duvalier law</w:t>
      </w:r>
      <w:r w:rsidR="00CC1E13" w:rsidRPr="006F29F5">
        <w:rPr>
          <w:rFonts w:cs="Times New Roman"/>
          <w:kern w:val="2"/>
          <w:sz w:val="20"/>
        </w:rPr>
        <w:t>”</w:t>
      </w:r>
      <w:r w:rsidR="00595FC0" w:rsidRPr="006F29F5">
        <w:rPr>
          <w:rFonts w:cs="Times New Roman"/>
          <w:kern w:val="2"/>
          <w:sz w:val="20"/>
        </w:rPr>
        <w:t>). Because of UNCAC’s reliance on action by victim states, Switze</w:t>
      </w:r>
      <w:r w:rsidR="00166411" w:rsidRPr="006F29F5">
        <w:rPr>
          <w:rFonts w:cs="Times New Roman"/>
          <w:kern w:val="2"/>
          <w:sz w:val="20"/>
        </w:rPr>
        <w:t xml:space="preserve">rland was obliged to pass a new domestic </w:t>
      </w:r>
      <w:r w:rsidR="00595FC0" w:rsidRPr="006F29F5">
        <w:rPr>
          <w:rFonts w:cs="Times New Roman"/>
          <w:kern w:val="2"/>
          <w:sz w:val="20"/>
        </w:rPr>
        <w:t>law to circumvent the retention of stolen funds by the Duvalier family.</w:t>
      </w:r>
      <w:r w:rsidR="00166411" w:rsidRPr="006F29F5">
        <w:rPr>
          <w:rStyle w:val="FootnoteReference"/>
          <w:rFonts w:cs="Times New Roman"/>
          <w:kern w:val="2"/>
          <w:sz w:val="20"/>
        </w:rPr>
        <w:footnoteReference w:id="91"/>
      </w:r>
    </w:p>
    <w:tbl>
      <w:tblPr>
        <w:tblStyle w:val="TableGrid"/>
        <w:tblpPr w:leftFromText="180" w:rightFromText="180" w:vertAnchor="text" w:horzAnchor="margin" w:tblpXSpec="center" w:tblpY="129"/>
        <w:tblOverlap w:val="never"/>
        <w:tblW w:w="0" w:type="auto"/>
        <w:jc w:val="center"/>
        <w:tblCellMar>
          <w:top w:w="142" w:type="dxa"/>
          <w:left w:w="284" w:type="dxa"/>
          <w:bottom w:w="142" w:type="dxa"/>
          <w:right w:w="284" w:type="dxa"/>
        </w:tblCellMar>
        <w:tblLook w:val="04A0" w:firstRow="1" w:lastRow="0" w:firstColumn="1" w:lastColumn="0" w:noHBand="0" w:noVBand="1"/>
      </w:tblPr>
      <w:tblGrid>
        <w:gridCol w:w="8070"/>
      </w:tblGrid>
      <w:tr w:rsidR="002B7AFC" w:rsidRPr="006F29F5" w14:paraId="23D5A075" w14:textId="77777777" w:rsidTr="002B7AFC">
        <w:trPr>
          <w:jc w:val="center"/>
        </w:trPr>
        <w:tc>
          <w:tcPr>
            <w:tcW w:w="9350" w:type="dxa"/>
          </w:tcPr>
          <w:p w14:paraId="2C31CD54" w14:textId="77777777" w:rsidR="002B7AFC" w:rsidRPr="006F29F5" w:rsidRDefault="002B7AFC" w:rsidP="002B7AFC">
            <w:pPr>
              <w:pStyle w:val="CommentText"/>
              <w:spacing w:before="120" w:after="120"/>
              <w:rPr>
                <w:rFonts w:cs="Times New Roman"/>
                <w:b/>
                <w:kern w:val="2"/>
                <w:sz w:val="20"/>
              </w:rPr>
            </w:pPr>
            <w:r w:rsidRPr="006F29F5">
              <w:rPr>
                <w:rFonts w:cs="Times New Roman"/>
                <w:b/>
                <w:kern w:val="2"/>
                <w:sz w:val="20"/>
              </w:rPr>
              <w:t>Further Reading</w:t>
            </w:r>
          </w:p>
          <w:p w14:paraId="0D9EE576" w14:textId="77777777" w:rsidR="002B7AFC" w:rsidRPr="006F29F5" w:rsidRDefault="002B7AFC" w:rsidP="002B7AFC">
            <w:pPr>
              <w:pStyle w:val="CommentText"/>
              <w:spacing w:before="120" w:after="120"/>
              <w:rPr>
                <w:rFonts w:cs="Times New Roman"/>
                <w:kern w:val="2"/>
                <w:sz w:val="20"/>
              </w:rPr>
            </w:pPr>
            <w:r w:rsidRPr="006F29F5">
              <w:rPr>
                <w:rFonts w:cs="Times New Roman"/>
                <w:kern w:val="2"/>
                <w:sz w:val="20"/>
              </w:rPr>
              <w:t xml:space="preserve">For an analysis of obstacles surrounding UNCAC’s asset recovery provisions, as well as the potential of the provisions if used well, see </w:t>
            </w:r>
            <w:proofErr w:type="spellStart"/>
            <w:r w:rsidRPr="006F29F5">
              <w:rPr>
                <w:rFonts w:cs="Times New Roman"/>
                <w:kern w:val="2"/>
                <w:sz w:val="20"/>
              </w:rPr>
              <w:t>Vlassis</w:t>
            </w:r>
            <w:proofErr w:type="spellEnd"/>
            <w:r w:rsidRPr="006F29F5">
              <w:rPr>
                <w:rFonts w:cs="Times New Roman"/>
                <w:kern w:val="2"/>
                <w:sz w:val="20"/>
              </w:rPr>
              <w:t xml:space="preserve">, </w:t>
            </w:r>
            <w:proofErr w:type="spellStart"/>
            <w:r w:rsidRPr="006F29F5">
              <w:rPr>
                <w:rFonts w:cs="Times New Roman"/>
                <w:kern w:val="2"/>
                <w:sz w:val="20"/>
              </w:rPr>
              <w:t>Gottwald</w:t>
            </w:r>
            <w:proofErr w:type="spellEnd"/>
            <w:r w:rsidRPr="006F29F5">
              <w:rPr>
                <w:rFonts w:cs="Times New Roman"/>
                <w:kern w:val="2"/>
                <w:sz w:val="20"/>
              </w:rPr>
              <w:t xml:space="preserve"> &amp; Ji Won Park, “Chapter V of UNCAC: Five Years on Experiences, Obstacles and Reforms on Asset Recovery” in </w:t>
            </w:r>
            <w:proofErr w:type="spellStart"/>
            <w:r w:rsidRPr="006F29F5">
              <w:rPr>
                <w:rFonts w:cs="Times New Roman"/>
                <w:kern w:val="2"/>
                <w:sz w:val="20"/>
              </w:rPr>
              <w:t>Zinkernagel</w:t>
            </w:r>
            <w:proofErr w:type="spellEnd"/>
            <w:r w:rsidRPr="006F29F5">
              <w:rPr>
                <w:rFonts w:cs="Times New Roman"/>
                <w:kern w:val="2"/>
                <w:sz w:val="20"/>
              </w:rPr>
              <w:t xml:space="preserve">, </w:t>
            </w:r>
            <w:proofErr w:type="spellStart"/>
            <w:r w:rsidRPr="006F29F5">
              <w:rPr>
                <w:rFonts w:cs="Times New Roman"/>
                <w:kern w:val="2"/>
                <w:sz w:val="20"/>
              </w:rPr>
              <w:t>Monteith</w:t>
            </w:r>
            <w:proofErr w:type="spellEnd"/>
            <w:r w:rsidRPr="006F29F5">
              <w:rPr>
                <w:rFonts w:cs="Times New Roman"/>
                <w:kern w:val="2"/>
                <w:sz w:val="20"/>
              </w:rPr>
              <w:t xml:space="preserve"> &amp; Pereira, </w:t>
            </w:r>
            <w:proofErr w:type="spellStart"/>
            <w:r w:rsidRPr="006F29F5">
              <w:rPr>
                <w:rFonts w:cs="Times New Roman"/>
                <w:kern w:val="2"/>
                <w:sz w:val="20"/>
              </w:rPr>
              <w:t>eds</w:t>
            </w:r>
            <w:proofErr w:type="spellEnd"/>
            <w:r w:rsidRPr="006F29F5">
              <w:rPr>
                <w:rFonts w:cs="Times New Roman"/>
                <w:kern w:val="2"/>
                <w:sz w:val="20"/>
              </w:rPr>
              <w:t xml:space="preserve">, </w:t>
            </w:r>
            <w:r w:rsidRPr="006F29F5">
              <w:rPr>
                <w:rFonts w:cs="Times New Roman"/>
                <w:i/>
                <w:kern w:val="2"/>
                <w:sz w:val="20"/>
              </w:rPr>
              <w:t xml:space="preserve">Emerging Trends in Asset Recovery </w:t>
            </w:r>
            <w:r w:rsidRPr="006F29F5">
              <w:rPr>
                <w:rFonts w:cs="Times New Roman"/>
                <w:kern w:val="2"/>
                <w:sz w:val="20"/>
              </w:rPr>
              <w:t xml:space="preserve">(Peter Lang AG, International Academic Publisher, 2013) 161–172. </w:t>
            </w:r>
          </w:p>
        </w:tc>
      </w:tr>
    </w:tbl>
    <w:p w14:paraId="4948C07A" w14:textId="77777777" w:rsidR="002B7AFC" w:rsidRPr="006F29F5" w:rsidRDefault="002B7AFC" w:rsidP="00D70E79">
      <w:pPr>
        <w:pStyle w:val="CommentText"/>
        <w:rPr>
          <w:rFonts w:cs="Times New Roman"/>
          <w:kern w:val="2"/>
          <w:sz w:val="2"/>
          <w:szCs w:val="16"/>
        </w:rPr>
      </w:pPr>
    </w:p>
    <w:p w14:paraId="06FF3057" w14:textId="6685AE34" w:rsidR="005A1CE1" w:rsidRPr="006F29F5" w:rsidRDefault="004C5F03" w:rsidP="002B7AFC">
      <w:pPr>
        <w:pStyle w:val="Heading2"/>
        <w:rPr>
          <w:kern w:val="2"/>
          <w:sz w:val="24"/>
        </w:rPr>
      </w:pPr>
      <w:bookmarkStart w:id="29" w:name="_Toc420329373"/>
      <w:bookmarkStart w:id="30" w:name="_Toc489961989"/>
      <w:r w:rsidRPr="006F29F5">
        <w:rPr>
          <w:kern w:val="2"/>
          <w:sz w:val="24"/>
        </w:rPr>
        <w:t>OECD Anti-Bribery Convention</w:t>
      </w:r>
      <w:bookmarkEnd w:id="29"/>
      <w:bookmarkEnd w:id="30"/>
    </w:p>
    <w:p w14:paraId="261445A6" w14:textId="2CC6AEB9" w:rsidR="00E7124C" w:rsidRPr="006F29F5" w:rsidRDefault="00DA0DBA" w:rsidP="00C81ED8">
      <w:pPr>
        <w:rPr>
          <w:rFonts w:cs="Times New Roman"/>
          <w:kern w:val="2"/>
          <w:sz w:val="20"/>
        </w:rPr>
      </w:pPr>
      <w:r w:rsidRPr="006F29F5">
        <w:rPr>
          <w:rFonts w:cs="Times New Roman"/>
          <w:kern w:val="2"/>
          <w:sz w:val="20"/>
        </w:rPr>
        <w:t xml:space="preserve">Parties to the OECD Convention </w:t>
      </w:r>
      <w:r w:rsidR="00766DEA" w:rsidRPr="006F29F5">
        <w:rPr>
          <w:rFonts w:cs="Times New Roman"/>
          <w:kern w:val="2"/>
          <w:sz w:val="20"/>
        </w:rPr>
        <w:t>on Combating Bribery of Foreign Public Officials in International Business Transactions</w:t>
      </w:r>
      <w:r w:rsidR="00766DEA" w:rsidRPr="006F29F5">
        <w:rPr>
          <w:rFonts w:cs="Times New Roman"/>
          <w:i/>
          <w:kern w:val="2"/>
          <w:sz w:val="20"/>
        </w:rPr>
        <w:t xml:space="preserve"> </w:t>
      </w:r>
      <w:r w:rsidRPr="006F29F5">
        <w:rPr>
          <w:rFonts w:cs="Times New Roman"/>
          <w:kern w:val="2"/>
          <w:sz w:val="20"/>
        </w:rPr>
        <w:t xml:space="preserve">are required to provide mutual </w:t>
      </w:r>
      <w:r w:rsidR="00382F3C" w:rsidRPr="006F29F5">
        <w:rPr>
          <w:rFonts w:cs="Times New Roman"/>
          <w:kern w:val="2"/>
          <w:sz w:val="20"/>
        </w:rPr>
        <w:t xml:space="preserve">legal assistance to </w:t>
      </w:r>
      <w:r w:rsidR="000825F6" w:rsidRPr="006F29F5">
        <w:rPr>
          <w:rFonts w:cs="Times New Roman"/>
          <w:kern w:val="2"/>
          <w:sz w:val="20"/>
        </w:rPr>
        <w:t xml:space="preserve">other jurisdictions investigating </w:t>
      </w:r>
      <w:r w:rsidR="00382F3C" w:rsidRPr="006F29F5">
        <w:rPr>
          <w:rFonts w:cs="Times New Roman"/>
          <w:kern w:val="2"/>
          <w:sz w:val="20"/>
        </w:rPr>
        <w:t xml:space="preserve">offences involving the </w:t>
      </w:r>
      <w:r w:rsidRPr="006F29F5">
        <w:rPr>
          <w:rFonts w:cs="Times New Roman"/>
          <w:kern w:val="2"/>
          <w:sz w:val="20"/>
        </w:rPr>
        <w:t>br</w:t>
      </w:r>
      <w:r w:rsidR="008066F8" w:rsidRPr="006F29F5">
        <w:rPr>
          <w:rFonts w:cs="Times New Roman"/>
          <w:kern w:val="2"/>
          <w:sz w:val="20"/>
        </w:rPr>
        <w:t xml:space="preserve">ibery of public officials. Article 3 states that each Party shall take such measures as may be necessary to provide that the bribe and the proceeds of the bribery of a foreign public official, or property the value of which corresponds to that of such proceeds, are subject to seizure and confiscation or that monetary sanctions of comparable effect are applicable. Proceeds are defined as the </w:t>
      </w:r>
      <w:r w:rsidR="00CC1E13" w:rsidRPr="006F29F5">
        <w:rPr>
          <w:rFonts w:cs="Times New Roman"/>
          <w:kern w:val="2"/>
          <w:sz w:val="20"/>
        </w:rPr>
        <w:t>“</w:t>
      </w:r>
      <w:r w:rsidR="008066F8" w:rsidRPr="006F29F5">
        <w:rPr>
          <w:rFonts w:cs="Times New Roman"/>
          <w:kern w:val="2"/>
          <w:sz w:val="20"/>
        </w:rPr>
        <w:t>profits or other benefits derived by the briber from the transaction or other improper advantage obtained or retained through bribery</w:t>
      </w:r>
      <w:r w:rsidR="00AF377E" w:rsidRPr="006F29F5">
        <w:rPr>
          <w:rFonts w:cs="Times New Roman"/>
          <w:kern w:val="2"/>
          <w:sz w:val="20"/>
        </w:rPr>
        <w:t>.</w:t>
      </w:r>
      <w:r w:rsidR="00CC1E13" w:rsidRPr="006F29F5">
        <w:rPr>
          <w:rFonts w:cs="Times New Roman"/>
          <w:kern w:val="2"/>
          <w:sz w:val="20"/>
        </w:rPr>
        <w:t>”</w:t>
      </w:r>
      <w:r w:rsidR="008066F8" w:rsidRPr="006F29F5">
        <w:rPr>
          <w:rFonts w:cs="Times New Roman"/>
          <w:kern w:val="2"/>
          <w:sz w:val="20"/>
        </w:rPr>
        <w:t xml:space="preserve"> </w:t>
      </w:r>
    </w:p>
    <w:p w14:paraId="2C658694" w14:textId="58374138" w:rsidR="0070308C" w:rsidRPr="006F29F5" w:rsidRDefault="00062405" w:rsidP="00C81ED8">
      <w:pPr>
        <w:rPr>
          <w:rFonts w:cs="Times New Roman"/>
          <w:kern w:val="2"/>
          <w:sz w:val="20"/>
        </w:rPr>
      </w:pPr>
      <w:r w:rsidRPr="006F29F5">
        <w:rPr>
          <w:rFonts w:cs="Times New Roman"/>
          <w:kern w:val="2"/>
          <w:sz w:val="20"/>
        </w:rPr>
        <w:t xml:space="preserve">The implementation of the OECD </w:t>
      </w:r>
      <w:r w:rsidR="00766DEA" w:rsidRPr="006F29F5">
        <w:rPr>
          <w:rFonts w:cs="Times New Roman"/>
          <w:kern w:val="2"/>
          <w:sz w:val="20"/>
        </w:rPr>
        <w:t xml:space="preserve">Anti-Bribery </w:t>
      </w:r>
      <w:r w:rsidR="00970AE8" w:rsidRPr="006F29F5">
        <w:rPr>
          <w:rFonts w:cs="Times New Roman"/>
          <w:kern w:val="2"/>
          <w:sz w:val="20"/>
        </w:rPr>
        <w:t xml:space="preserve">Convention </w:t>
      </w:r>
      <w:r w:rsidRPr="006F29F5">
        <w:rPr>
          <w:rFonts w:cs="Times New Roman"/>
          <w:kern w:val="2"/>
          <w:sz w:val="20"/>
        </w:rPr>
        <w:t xml:space="preserve">is monitored by the </w:t>
      </w:r>
      <w:r w:rsidR="00382F3C" w:rsidRPr="006F29F5">
        <w:rPr>
          <w:rFonts w:cs="Times New Roman"/>
          <w:kern w:val="2"/>
          <w:sz w:val="20"/>
        </w:rPr>
        <w:t xml:space="preserve">OECD Working Group on Bribery, composed of members of all State Parties. </w:t>
      </w:r>
      <w:r w:rsidR="00DE5E86" w:rsidRPr="006F29F5">
        <w:rPr>
          <w:rFonts w:cs="Times New Roman"/>
          <w:kern w:val="2"/>
          <w:sz w:val="20"/>
        </w:rPr>
        <w:t>T</w:t>
      </w:r>
      <w:r w:rsidR="00766DEA" w:rsidRPr="006F29F5">
        <w:rPr>
          <w:rFonts w:cs="Times New Roman"/>
          <w:kern w:val="2"/>
          <w:sz w:val="20"/>
        </w:rPr>
        <w:t xml:space="preserve">he Working Group </w:t>
      </w:r>
      <w:r w:rsidR="00DE5E86" w:rsidRPr="006F29F5">
        <w:rPr>
          <w:rFonts w:cs="Times New Roman"/>
          <w:kern w:val="2"/>
          <w:sz w:val="20"/>
        </w:rPr>
        <w:t xml:space="preserve">compiled recommendations for State Parties </w:t>
      </w:r>
      <w:r w:rsidR="00766DEA" w:rsidRPr="006F29F5">
        <w:rPr>
          <w:rFonts w:cs="Times New Roman"/>
          <w:kern w:val="2"/>
          <w:sz w:val="20"/>
        </w:rPr>
        <w:t xml:space="preserve">published </w:t>
      </w:r>
      <w:r w:rsidR="00DE5E86" w:rsidRPr="006F29F5">
        <w:rPr>
          <w:rFonts w:cs="Times New Roman"/>
          <w:kern w:val="2"/>
          <w:sz w:val="20"/>
        </w:rPr>
        <w:t xml:space="preserve">in the 2009 </w:t>
      </w:r>
      <w:r w:rsidR="00DE5E86" w:rsidRPr="006F29F5">
        <w:rPr>
          <w:rFonts w:cs="Times New Roman"/>
          <w:i/>
          <w:kern w:val="2"/>
          <w:sz w:val="20"/>
        </w:rPr>
        <w:t>Recommendation of the Council for Further Combating Bribery of Foreign Public Officials in Inter</w:t>
      </w:r>
      <w:r w:rsidR="00AB23D4" w:rsidRPr="006F29F5">
        <w:rPr>
          <w:rFonts w:cs="Times New Roman"/>
          <w:i/>
          <w:kern w:val="2"/>
          <w:sz w:val="20"/>
        </w:rPr>
        <w:t>national Business Transactions</w:t>
      </w:r>
      <w:r w:rsidR="00AB23D4" w:rsidRPr="006F29F5">
        <w:rPr>
          <w:rFonts w:cs="Times New Roman"/>
          <w:kern w:val="2"/>
          <w:sz w:val="20"/>
        </w:rPr>
        <w:t xml:space="preserve">. </w:t>
      </w:r>
      <w:r w:rsidR="003052AD" w:rsidRPr="006F29F5">
        <w:rPr>
          <w:rFonts w:cs="Times New Roman"/>
          <w:kern w:val="2"/>
          <w:sz w:val="20"/>
        </w:rPr>
        <w:t xml:space="preserve">Recommendation XIII </w:t>
      </w:r>
      <w:r w:rsidR="00AB23D4" w:rsidRPr="006F29F5">
        <w:rPr>
          <w:rFonts w:cs="Times New Roman"/>
          <w:kern w:val="2"/>
          <w:sz w:val="20"/>
        </w:rPr>
        <w:t>asks State Parties to</w:t>
      </w:r>
      <w:r w:rsidRPr="006F29F5">
        <w:rPr>
          <w:rFonts w:cs="Times New Roman"/>
          <w:kern w:val="2"/>
          <w:sz w:val="20"/>
        </w:rPr>
        <w:t xml:space="preserve"> consult and co-operate with authorities in other countries in investigations and other legal proceedings concerning specific cases of bribery, through such means as the sharing of informatio</w:t>
      </w:r>
      <w:r w:rsidR="00103BCA" w:rsidRPr="006F29F5">
        <w:rPr>
          <w:rFonts w:cs="Times New Roman"/>
          <w:kern w:val="2"/>
          <w:sz w:val="20"/>
        </w:rPr>
        <w:t>n spontaneously or upon request, provision of evidence, extradition and the identification, freezing, seizure, confiscation and recovery of the proceeds of brib</w:t>
      </w:r>
      <w:r w:rsidR="00766DEA" w:rsidRPr="006F29F5">
        <w:rPr>
          <w:rFonts w:cs="Times New Roman"/>
          <w:kern w:val="2"/>
          <w:sz w:val="20"/>
        </w:rPr>
        <w:t>ery of foreign public officials</w:t>
      </w:r>
      <w:r w:rsidR="000825F6" w:rsidRPr="006F29F5">
        <w:rPr>
          <w:rFonts w:cs="Times New Roman"/>
          <w:kern w:val="2"/>
          <w:sz w:val="20"/>
        </w:rPr>
        <w:t>.</w:t>
      </w:r>
      <w:r w:rsidR="000825F6" w:rsidRPr="006F29F5">
        <w:rPr>
          <w:rStyle w:val="FootnoteReference"/>
          <w:rFonts w:cs="Times New Roman"/>
          <w:kern w:val="2"/>
          <w:sz w:val="20"/>
        </w:rPr>
        <w:footnoteReference w:id="92"/>
      </w:r>
    </w:p>
    <w:p w14:paraId="24701D26" w14:textId="3178F69B" w:rsidR="00300982" w:rsidRPr="006F29F5" w:rsidRDefault="004C5F03" w:rsidP="00672FBF">
      <w:pPr>
        <w:pStyle w:val="Heading2"/>
        <w:rPr>
          <w:kern w:val="2"/>
          <w:sz w:val="24"/>
        </w:rPr>
      </w:pPr>
      <w:bookmarkStart w:id="31" w:name="_Toc420329374"/>
      <w:bookmarkStart w:id="32" w:name="_Toc489961990"/>
      <w:r w:rsidRPr="006F29F5">
        <w:rPr>
          <w:kern w:val="2"/>
          <w:sz w:val="24"/>
        </w:rPr>
        <w:t xml:space="preserve">Other </w:t>
      </w:r>
      <w:r w:rsidR="007B089C" w:rsidRPr="006F29F5">
        <w:rPr>
          <w:kern w:val="2"/>
          <w:sz w:val="24"/>
        </w:rPr>
        <w:t>Instruments</w:t>
      </w:r>
      <w:bookmarkEnd w:id="31"/>
      <w:bookmarkEnd w:id="32"/>
    </w:p>
    <w:p w14:paraId="72C0AC32" w14:textId="2EBFB332" w:rsidR="00E7124C" w:rsidRPr="006F29F5" w:rsidRDefault="00F66431" w:rsidP="00C81ED8">
      <w:pPr>
        <w:rPr>
          <w:rFonts w:cs="Times New Roman"/>
          <w:kern w:val="2"/>
          <w:sz w:val="20"/>
        </w:rPr>
      </w:pPr>
      <w:r w:rsidRPr="006F29F5">
        <w:rPr>
          <w:rFonts w:cs="Times New Roman"/>
          <w:kern w:val="2"/>
          <w:sz w:val="20"/>
        </w:rPr>
        <w:t>There are several other conventions and agencies that</w:t>
      </w:r>
      <w:r w:rsidR="008456DD" w:rsidRPr="006F29F5">
        <w:rPr>
          <w:rFonts w:cs="Times New Roman"/>
          <w:kern w:val="2"/>
          <w:sz w:val="20"/>
        </w:rPr>
        <w:t xml:space="preserve"> place asset recovery obligations on convention</w:t>
      </w:r>
      <w:r w:rsidR="0037214C" w:rsidRPr="006F29F5">
        <w:rPr>
          <w:rFonts w:cs="Times New Roman"/>
          <w:kern w:val="2"/>
          <w:sz w:val="20"/>
        </w:rPr>
        <w:t xml:space="preserve"> signatories and </w:t>
      </w:r>
      <w:r w:rsidR="008456DD" w:rsidRPr="006F29F5">
        <w:rPr>
          <w:rFonts w:cs="Times New Roman"/>
          <w:kern w:val="2"/>
          <w:sz w:val="20"/>
        </w:rPr>
        <w:t xml:space="preserve">agency </w:t>
      </w:r>
      <w:r w:rsidR="0037214C" w:rsidRPr="006F29F5">
        <w:rPr>
          <w:rFonts w:cs="Times New Roman"/>
          <w:kern w:val="2"/>
          <w:sz w:val="20"/>
        </w:rPr>
        <w:t>members. For example:</w:t>
      </w:r>
    </w:p>
    <w:p w14:paraId="649AF186" w14:textId="6102D8D4" w:rsidR="00E7124C" w:rsidRPr="006F29F5" w:rsidRDefault="00751181" w:rsidP="00F20986">
      <w:pPr>
        <w:pStyle w:val="ListParagraph"/>
        <w:numPr>
          <w:ilvl w:val="0"/>
          <w:numId w:val="4"/>
        </w:numPr>
        <w:rPr>
          <w:rFonts w:cs="Times New Roman"/>
          <w:b w:val="0"/>
          <w:kern w:val="2"/>
          <w:sz w:val="20"/>
        </w:rPr>
      </w:pPr>
      <w:r w:rsidRPr="006F29F5">
        <w:rPr>
          <w:rFonts w:cs="Times New Roman"/>
          <w:b w:val="0"/>
          <w:kern w:val="2"/>
          <w:sz w:val="20"/>
        </w:rPr>
        <w:t>The Arab Forum on Asset Recovery (AFAR)</w:t>
      </w:r>
      <w:r w:rsidR="00891C36" w:rsidRPr="006F29F5">
        <w:rPr>
          <w:rFonts w:cs="Times New Roman"/>
          <w:b w:val="0"/>
          <w:kern w:val="2"/>
          <w:sz w:val="20"/>
        </w:rPr>
        <w:t xml:space="preserve">, established in 2012, is an initiative supporting asset recovery efforts of Arab countries. </w:t>
      </w:r>
      <w:r w:rsidR="00A23D77" w:rsidRPr="006F29F5">
        <w:rPr>
          <w:rFonts w:cs="Times New Roman"/>
          <w:b w:val="0"/>
          <w:kern w:val="2"/>
          <w:sz w:val="20"/>
        </w:rPr>
        <w:t>It brings together the G</w:t>
      </w:r>
      <w:r w:rsidR="00B16DA1" w:rsidRPr="006F29F5">
        <w:rPr>
          <w:rFonts w:cs="Times New Roman"/>
          <w:b w:val="0"/>
          <w:kern w:val="2"/>
          <w:sz w:val="20"/>
        </w:rPr>
        <w:t>8</w:t>
      </w:r>
      <w:r w:rsidR="00891C36" w:rsidRPr="006F29F5">
        <w:rPr>
          <w:rFonts w:cs="Times New Roman"/>
          <w:b w:val="0"/>
          <w:kern w:val="2"/>
          <w:sz w:val="20"/>
        </w:rPr>
        <w:t xml:space="preserve">, the Deauville Partnership and Arab countries for the return of stolen assets. The Deauville Partnership </w:t>
      </w:r>
      <w:r w:rsidR="00B16DA1" w:rsidRPr="006F29F5">
        <w:rPr>
          <w:rFonts w:cs="Times New Roman"/>
          <w:b w:val="0"/>
          <w:kern w:val="2"/>
          <w:sz w:val="20"/>
        </w:rPr>
        <w:t>was launched</w:t>
      </w:r>
      <w:r w:rsidR="00A23D77" w:rsidRPr="006F29F5">
        <w:rPr>
          <w:rFonts w:cs="Times New Roman"/>
          <w:b w:val="0"/>
          <w:kern w:val="2"/>
          <w:sz w:val="20"/>
        </w:rPr>
        <w:t xml:space="preserve"> </w:t>
      </w:r>
      <w:r w:rsidR="00C45592" w:rsidRPr="006F29F5">
        <w:rPr>
          <w:rFonts w:cs="Times New Roman"/>
          <w:b w:val="0"/>
          <w:kern w:val="2"/>
          <w:sz w:val="20"/>
        </w:rPr>
        <w:t xml:space="preserve">in 2011 </w:t>
      </w:r>
      <w:r w:rsidR="00A23D77" w:rsidRPr="006F29F5">
        <w:rPr>
          <w:rFonts w:cs="Times New Roman"/>
          <w:b w:val="0"/>
          <w:kern w:val="2"/>
          <w:sz w:val="20"/>
        </w:rPr>
        <w:t>by the G</w:t>
      </w:r>
      <w:r w:rsidR="00B16DA1" w:rsidRPr="006F29F5">
        <w:rPr>
          <w:rFonts w:cs="Times New Roman"/>
          <w:b w:val="0"/>
          <w:kern w:val="2"/>
          <w:sz w:val="20"/>
        </w:rPr>
        <w:t xml:space="preserve">8 in Deauville, France to support transition efforts of Arab countries. </w:t>
      </w:r>
      <w:r w:rsidR="00A23D77" w:rsidRPr="006F29F5">
        <w:rPr>
          <w:rFonts w:cs="Times New Roman"/>
          <w:b w:val="0"/>
          <w:kern w:val="2"/>
          <w:sz w:val="20"/>
        </w:rPr>
        <w:t xml:space="preserve">In May 2012, the G8 adopted an </w:t>
      </w:r>
      <w:r w:rsidR="00CC1E13" w:rsidRPr="006F29F5">
        <w:rPr>
          <w:rFonts w:cs="Times New Roman"/>
          <w:b w:val="0"/>
          <w:kern w:val="2"/>
          <w:sz w:val="20"/>
        </w:rPr>
        <w:t>“</w:t>
      </w:r>
      <w:r w:rsidR="00A23D77" w:rsidRPr="006F29F5">
        <w:rPr>
          <w:rFonts w:cs="Times New Roman"/>
          <w:b w:val="0"/>
          <w:kern w:val="2"/>
          <w:sz w:val="20"/>
        </w:rPr>
        <w:t>Action Plan on Asset Recovery</w:t>
      </w:r>
      <w:r w:rsidR="00CC1E13" w:rsidRPr="006F29F5">
        <w:rPr>
          <w:rFonts w:cs="Times New Roman"/>
          <w:b w:val="0"/>
          <w:kern w:val="2"/>
          <w:sz w:val="20"/>
        </w:rPr>
        <w:t>”</w:t>
      </w:r>
      <w:r w:rsidR="00A23D77" w:rsidRPr="006F29F5">
        <w:rPr>
          <w:rFonts w:cs="Times New Roman"/>
          <w:b w:val="0"/>
          <w:kern w:val="2"/>
          <w:sz w:val="20"/>
        </w:rPr>
        <w:t xml:space="preserve"> as part of the Deauville Partnership. The partnership countries purport to commit to </w:t>
      </w:r>
      <w:r w:rsidR="00CC1E13" w:rsidRPr="006F29F5">
        <w:rPr>
          <w:rFonts w:cs="Times New Roman"/>
          <w:b w:val="0"/>
          <w:kern w:val="2"/>
          <w:sz w:val="20"/>
        </w:rPr>
        <w:t>“</w:t>
      </w:r>
      <w:r w:rsidR="00A23D77" w:rsidRPr="006F29F5">
        <w:rPr>
          <w:rFonts w:cs="Times New Roman"/>
          <w:b w:val="0"/>
          <w:kern w:val="2"/>
          <w:sz w:val="20"/>
        </w:rPr>
        <w:t xml:space="preserve">a comprehensive </w:t>
      </w:r>
      <w:r w:rsidR="00720182" w:rsidRPr="006F29F5">
        <w:rPr>
          <w:rFonts w:cs="Times New Roman"/>
          <w:b w:val="0"/>
          <w:kern w:val="2"/>
          <w:sz w:val="20"/>
        </w:rPr>
        <w:t>list of actio</w:t>
      </w:r>
      <w:r w:rsidR="00946646" w:rsidRPr="006F29F5">
        <w:rPr>
          <w:rFonts w:cs="Times New Roman"/>
          <w:b w:val="0"/>
          <w:kern w:val="2"/>
          <w:sz w:val="20"/>
        </w:rPr>
        <w:t>ns aimed to promote cooperation, capacity building efforts and technical assistance in support of the efforts of Arab countries in transition in recovering assets diverted by past regimes</w:t>
      </w:r>
      <w:r w:rsidR="00CC1E13" w:rsidRPr="006F29F5">
        <w:rPr>
          <w:rFonts w:cs="Times New Roman"/>
          <w:b w:val="0"/>
          <w:kern w:val="2"/>
          <w:sz w:val="20"/>
        </w:rPr>
        <w:t>”</w:t>
      </w:r>
      <w:r w:rsidR="00B60D92" w:rsidRPr="006F29F5">
        <w:rPr>
          <w:rFonts w:cs="Times New Roman"/>
          <w:b w:val="0"/>
          <w:kern w:val="2"/>
          <w:sz w:val="20"/>
        </w:rPr>
        <w:t xml:space="preserve">: </w:t>
      </w:r>
      <w:r w:rsidR="00F312E7" w:rsidRPr="006F29F5">
        <w:rPr>
          <w:rFonts w:cs="Times New Roman"/>
          <w:b w:val="0"/>
          <w:kern w:val="2"/>
          <w:sz w:val="20"/>
        </w:rPr>
        <w:t>&lt;</w:t>
      </w:r>
      <w:hyperlink r:id="rId9" w:history="1">
        <w:r w:rsidR="009F1187" w:rsidRPr="006F29F5">
          <w:rPr>
            <w:rStyle w:val="Hyperlink"/>
            <w:rFonts w:cs="Times New Roman"/>
            <w:b w:val="0"/>
            <w:kern w:val="2"/>
            <w:sz w:val="20"/>
          </w:rPr>
          <w:t>http://star.worldbank.org/star/ArabForum/About</w:t>
        </w:r>
      </w:hyperlink>
      <w:r w:rsidR="00F312E7" w:rsidRPr="006F29F5">
        <w:rPr>
          <w:rFonts w:cs="Times New Roman"/>
          <w:b w:val="0"/>
          <w:kern w:val="2"/>
          <w:sz w:val="20"/>
        </w:rPr>
        <w:t>&gt;</w:t>
      </w:r>
      <w:r w:rsidR="00946646" w:rsidRPr="006F29F5">
        <w:rPr>
          <w:rFonts w:cs="Times New Roman"/>
          <w:b w:val="0"/>
          <w:kern w:val="2"/>
          <w:sz w:val="20"/>
        </w:rPr>
        <w:t xml:space="preserve">. </w:t>
      </w:r>
      <w:r w:rsidR="002166C5" w:rsidRPr="006F29F5">
        <w:rPr>
          <w:rFonts w:cs="Times New Roman"/>
          <w:b w:val="0"/>
          <w:kern w:val="2"/>
          <w:sz w:val="20"/>
        </w:rPr>
        <w:t>At the Arab Forum on Asset Recovery in 2013, the United States announced that it would appoint two Department of Justice attorneys to specialize in the recovery of illicitly acquired assets in the Arab region.</w:t>
      </w:r>
      <w:r w:rsidR="00220AC9" w:rsidRPr="006F29F5">
        <w:rPr>
          <w:rFonts w:cs="Times New Roman"/>
          <w:b w:val="0"/>
          <w:kern w:val="2"/>
          <w:sz w:val="20"/>
        </w:rPr>
        <w:t xml:space="preserve"> </w:t>
      </w:r>
    </w:p>
    <w:p w14:paraId="49E26117" w14:textId="70EE3E30" w:rsidR="00F075C7" w:rsidRPr="006F29F5" w:rsidRDefault="00BA7CE8" w:rsidP="00F20986">
      <w:pPr>
        <w:pStyle w:val="ListParagraph"/>
        <w:numPr>
          <w:ilvl w:val="0"/>
          <w:numId w:val="4"/>
        </w:numPr>
        <w:rPr>
          <w:rFonts w:cs="Times New Roman"/>
          <w:b w:val="0"/>
          <w:kern w:val="2"/>
          <w:sz w:val="20"/>
        </w:rPr>
      </w:pPr>
      <w:r w:rsidRPr="006F29F5">
        <w:rPr>
          <w:rFonts w:cs="Times New Roman"/>
          <w:b w:val="0"/>
          <w:kern w:val="2"/>
          <w:sz w:val="20"/>
        </w:rPr>
        <w:t xml:space="preserve">The </w:t>
      </w:r>
      <w:r w:rsidR="00AB23D4" w:rsidRPr="006F29F5">
        <w:rPr>
          <w:rFonts w:cs="Times New Roman"/>
          <w:b w:val="0"/>
          <w:kern w:val="2"/>
          <w:sz w:val="20"/>
        </w:rPr>
        <w:t xml:space="preserve">Busan Partnership for </w:t>
      </w:r>
      <w:r w:rsidRPr="006F29F5">
        <w:rPr>
          <w:rFonts w:cs="Times New Roman"/>
          <w:b w:val="0"/>
          <w:kern w:val="2"/>
          <w:sz w:val="20"/>
        </w:rPr>
        <w:t>Effecti</w:t>
      </w:r>
      <w:r w:rsidR="009C2C40" w:rsidRPr="006F29F5">
        <w:rPr>
          <w:rFonts w:cs="Times New Roman"/>
          <w:b w:val="0"/>
          <w:kern w:val="2"/>
          <w:sz w:val="20"/>
        </w:rPr>
        <w:t>ve Development Cooperation</w:t>
      </w:r>
      <w:r w:rsidR="00070FC8" w:rsidRPr="006F29F5">
        <w:rPr>
          <w:rFonts w:cs="Times New Roman"/>
          <w:b w:val="0"/>
          <w:kern w:val="2"/>
          <w:sz w:val="20"/>
        </w:rPr>
        <w:t>, created in 2011</w:t>
      </w:r>
      <w:r w:rsidR="009C2C40" w:rsidRPr="006F29F5">
        <w:rPr>
          <w:rFonts w:cs="Times New Roman"/>
          <w:b w:val="0"/>
          <w:kern w:val="2"/>
          <w:sz w:val="20"/>
        </w:rPr>
        <w:t xml:space="preserve"> under the auspices of the OECD</w:t>
      </w:r>
      <w:r w:rsidR="00070FC8" w:rsidRPr="006F29F5">
        <w:rPr>
          <w:rFonts w:cs="Times New Roman"/>
          <w:b w:val="0"/>
          <w:kern w:val="2"/>
          <w:sz w:val="20"/>
        </w:rPr>
        <w:t xml:space="preserve">, committed </w:t>
      </w:r>
      <w:r w:rsidR="00AB23D4" w:rsidRPr="006F29F5">
        <w:rPr>
          <w:rFonts w:cs="Times New Roman"/>
          <w:b w:val="0"/>
          <w:kern w:val="2"/>
          <w:sz w:val="20"/>
        </w:rPr>
        <w:t xml:space="preserve">signatories </w:t>
      </w:r>
      <w:r w:rsidR="00B60D92" w:rsidRPr="006F29F5">
        <w:rPr>
          <w:rFonts w:cs="Times New Roman"/>
          <w:b w:val="0"/>
          <w:kern w:val="2"/>
          <w:sz w:val="20"/>
        </w:rPr>
        <w:t xml:space="preserve">to </w:t>
      </w:r>
      <w:r w:rsidR="00070FC8" w:rsidRPr="006F29F5">
        <w:rPr>
          <w:rFonts w:cs="Times New Roman"/>
          <w:b w:val="0"/>
          <w:kern w:val="2"/>
          <w:sz w:val="20"/>
        </w:rPr>
        <w:t>strengthening</w:t>
      </w:r>
      <w:r w:rsidR="00AB23D4" w:rsidRPr="006F29F5">
        <w:rPr>
          <w:rFonts w:cs="Times New Roman"/>
          <w:b w:val="0"/>
          <w:kern w:val="2"/>
          <w:sz w:val="20"/>
        </w:rPr>
        <w:t xml:space="preserve"> </w:t>
      </w:r>
      <w:r w:rsidR="00070FC8" w:rsidRPr="006F29F5">
        <w:rPr>
          <w:rFonts w:cs="Times New Roman"/>
          <w:b w:val="0"/>
          <w:kern w:val="2"/>
          <w:sz w:val="20"/>
        </w:rPr>
        <w:t>process</w:t>
      </w:r>
      <w:r w:rsidR="00B60D92" w:rsidRPr="006F29F5">
        <w:rPr>
          <w:rFonts w:cs="Times New Roman"/>
          <w:b w:val="0"/>
          <w:kern w:val="2"/>
          <w:sz w:val="20"/>
        </w:rPr>
        <w:t>es</w:t>
      </w:r>
      <w:r w:rsidR="00070FC8" w:rsidRPr="006F29F5">
        <w:rPr>
          <w:rFonts w:cs="Times New Roman"/>
          <w:b w:val="0"/>
          <w:kern w:val="2"/>
          <w:sz w:val="20"/>
        </w:rPr>
        <w:t xml:space="preserve"> for the</w:t>
      </w:r>
      <w:r w:rsidR="00AB23D4" w:rsidRPr="006F29F5">
        <w:rPr>
          <w:rFonts w:cs="Times New Roman"/>
          <w:b w:val="0"/>
          <w:kern w:val="2"/>
          <w:sz w:val="20"/>
        </w:rPr>
        <w:t xml:space="preserve"> tracing, freezing and </w:t>
      </w:r>
      <w:r w:rsidR="00070FC8" w:rsidRPr="006F29F5">
        <w:rPr>
          <w:rFonts w:cs="Times New Roman"/>
          <w:b w:val="0"/>
          <w:kern w:val="2"/>
          <w:sz w:val="20"/>
        </w:rPr>
        <w:t>recovery of illegal assets.</w:t>
      </w:r>
    </w:p>
    <w:p w14:paraId="621F0029" w14:textId="0CD8DD76" w:rsidR="009053D0" w:rsidRPr="006F29F5" w:rsidRDefault="00B57901" w:rsidP="00F20986">
      <w:pPr>
        <w:pStyle w:val="ListParagraph"/>
        <w:numPr>
          <w:ilvl w:val="0"/>
          <w:numId w:val="4"/>
        </w:numPr>
        <w:rPr>
          <w:rFonts w:cs="Times New Roman"/>
          <w:b w:val="0"/>
          <w:kern w:val="2"/>
          <w:sz w:val="20"/>
        </w:rPr>
      </w:pPr>
      <w:r w:rsidRPr="006F29F5">
        <w:rPr>
          <w:rFonts w:cs="Times New Roman"/>
          <w:b w:val="0"/>
          <w:kern w:val="2"/>
          <w:sz w:val="20"/>
          <w:szCs w:val="28"/>
        </w:rPr>
        <w:t xml:space="preserve">The Financial Action Task Force is a policy-making body established to </w:t>
      </w:r>
      <w:r w:rsidR="00CC1E13" w:rsidRPr="006F29F5">
        <w:rPr>
          <w:rFonts w:cs="Times New Roman"/>
          <w:b w:val="0"/>
          <w:kern w:val="2"/>
          <w:sz w:val="20"/>
          <w:szCs w:val="28"/>
        </w:rPr>
        <w:t>“</w:t>
      </w:r>
      <w:r w:rsidRPr="006F29F5">
        <w:rPr>
          <w:rFonts w:cs="Times New Roman"/>
          <w:b w:val="0"/>
          <w:kern w:val="2"/>
          <w:sz w:val="20"/>
          <w:szCs w:val="28"/>
        </w:rPr>
        <w:t>set standards and pro</w:t>
      </w:r>
      <w:r w:rsidR="0078337B" w:rsidRPr="006F29F5">
        <w:rPr>
          <w:rFonts w:cs="Times New Roman"/>
          <w:b w:val="0"/>
          <w:kern w:val="2"/>
          <w:sz w:val="20"/>
          <w:szCs w:val="28"/>
        </w:rPr>
        <w:t>-</w:t>
      </w:r>
      <w:r w:rsidRPr="006F29F5">
        <w:rPr>
          <w:rFonts w:cs="Times New Roman"/>
          <w:b w:val="0"/>
          <w:kern w:val="2"/>
          <w:sz w:val="20"/>
          <w:szCs w:val="28"/>
        </w:rPr>
        <w:t>mote effective implementation of legal, regulatory and operational measures for combating money laundering, terrorist financing and other related threats to the integrity of the international financial system</w:t>
      </w:r>
      <w:r w:rsidR="00CC1E13" w:rsidRPr="006F29F5">
        <w:rPr>
          <w:rFonts w:cs="Times New Roman"/>
          <w:b w:val="0"/>
          <w:kern w:val="2"/>
          <w:sz w:val="20"/>
          <w:szCs w:val="28"/>
        </w:rPr>
        <w:t>”</w:t>
      </w:r>
      <w:r w:rsidR="00B60D92" w:rsidRPr="006F29F5">
        <w:rPr>
          <w:rFonts w:cs="Times New Roman"/>
          <w:b w:val="0"/>
          <w:kern w:val="2"/>
          <w:sz w:val="20"/>
          <w:szCs w:val="28"/>
        </w:rPr>
        <w:t>:</w:t>
      </w:r>
      <w:r w:rsidR="00F312E7" w:rsidRPr="006F29F5">
        <w:rPr>
          <w:rFonts w:cs="Times New Roman"/>
          <w:b w:val="0"/>
          <w:kern w:val="2"/>
          <w:sz w:val="20"/>
          <w:szCs w:val="28"/>
        </w:rPr>
        <w:t xml:space="preserve"> &lt;</w:t>
      </w:r>
      <w:hyperlink r:id="rId10" w:history="1">
        <w:r w:rsidR="00BA67DD" w:rsidRPr="006F29F5">
          <w:rPr>
            <w:rStyle w:val="Hyperlink"/>
            <w:rFonts w:cs="Times New Roman"/>
            <w:b w:val="0"/>
            <w:kern w:val="2"/>
            <w:sz w:val="20"/>
            <w:szCs w:val="28"/>
          </w:rPr>
          <w:t>http://www.fatf-gafi.org/about/</w:t>
        </w:r>
      </w:hyperlink>
      <w:r w:rsidR="00F312E7" w:rsidRPr="006F29F5">
        <w:rPr>
          <w:rFonts w:cs="Times New Roman"/>
          <w:b w:val="0"/>
          <w:kern w:val="2"/>
          <w:sz w:val="20"/>
          <w:szCs w:val="28"/>
        </w:rPr>
        <w:t>&gt;</w:t>
      </w:r>
      <w:r w:rsidR="00C1403C" w:rsidRPr="006F29F5">
        <w:rPr>
          <w:rFonts w:cs="Times New Roman"/>
          <w:b w:val="0"/>
          <w:kern w:val="2"/>
          <w:sz w:val="20"/>
          <w:szCs w:val="28"/>
        </w:rPr>
        <w:t xml:space="preserve">. </w:t>
      </w:r>
      <w:r w:rsidR="00C134C7" w:rsidRPr="006F29F5">
        <w:rPr>
          <w:rFonts w:cs="Times New Roman"/>
          <w:b w:val="0"/>
          <w:kern w:val="2"/>
          <w:sz w:val="20"/>
          <w:szCs w:val="28"/>
        </w:rPr>
        <w:t xml:space="preserve">The FATF develops recommendations </w:t>
      </w:r>
      <w:r w:rsidR="00AA61CB" w:rsidRPr="006F29F5">
        <w:rPr>
          <w:rFonts w:cs="Times New Roman"/>
          <w:b w:val="0"/>
          <w:kern w:val="2"/>
          <w:sz w:val="20"/>
          <w:szCs w:val="28"/>
        </w:rPr>
        <w:t xml:space="preserve">and monitors the progress of its </w:t>
      </w:r>
      <w:r w:rsidR="00E672AD" w:rsidRPr="006F29F5">
        <w:rPr>
          <w:rFonts w:cs="Times New Roman"/>
          <w:b w:val="0"/>
          <w:kern w:val="2"/>
          <w:sz w:val="20"/>
          <w:szCs w:val="28"/>
        </w:rPr>
        <w:t xml:space="preserve">36 </w:t>
      </w:r>
      <w:r w:rsidR="00AA61CB" w:rsidRPr="006F29F5">
        <w:rPr>
          <w:rFonts w:cs="Times New Roman"/>
          <w:b w:val="0"/>
          <w:kern w:val="2"/>
          <w:sz w:val="20"/>
          <w:szCs w:val="28"/>
        </w:rPr>
        <w:t xml:space="preserve">members. </w:t>
      </w:r>
    </w:p>
    <w:p w14:paraId="61B69C0B" w14:textId="08F8DA87" w:rsidR="00795465" w:rsidRPr="006F29F5" w:rsidRDefault="00B76426" w:rsidP="00F20986">
      <w:pPr>
        <w:pStyle w:val="ListParagraph"/>
        <w:numPr>
          <w:ilvl w:val="0"/>
          <w:numId w:val="4"/>
        </w:numPr>
        <w:rPr>
          <w:rFonts w:cs="Times New Roman"/>
          <w:b w:val="0"/>
          <w:kern w:val="2"/>
          <w:sz w:val="20"/>
        </w:rPr>
      </w:pPr>
      <w:r w:rsidRPr="006F29F5">
        <w:rPr>
          <w:rFonts w:cs="Times New Roman"/>
          <w:b w:val="0"/>
          <w:kern w:val="2"/>
          <w:sz w:val="20"/>
          <w:szCs w:val="28"/>
        </w:rPr>
        <w:t xml:space="preserve">The </w:t>
      </w:r>
      <w:r w:rsidR="00795465" w:rsidRPr="006F29F5">
        <w:rPr>
          <w:rFonts w:cs="Times New Roman"/>
          <w:b w:val="0"/>
          <w:kern w:val="2"/>
          <w:sz w:val="20"/>
          <w:szCs w:val="28"/>
        </w:rPr>
        <w:t>Council of European Union Decision Concerning Cooperat</w:t>
      </w:r>
      <w:r w:rsidR="00F500D8" w:rsidRPr="006F29F5">
        <w:rPr>
          <w:rFonts w:cs="Times New Roman"/>
          <w:b w:val="0"/>
          <w:kern w:val="2"/>
          <w:sz w:val="20"/>
          <w:szCs w:val="28"/>
        </w:rPr>
        <w:t>ion</w:t>
      </w:r>
      <w:r w:rsidR="00795465" w:rsidRPr="006F29F5">
        <w:rPr>
          <w:rFonts w:cs="Times New Roman"/>
          <w:b w:val="0"/>
          <w:kern w:val="2"/>
          <w:sz w:val="20"/>
          <w:szCs w:val="28"/>
        </w:rPr>
        <w:t xml:space="preserve"> Between Asset Recovery Offices of the Member States in the Field of Tracing and Identification of Proceeds from, or Other Property Related to, Crime </w:t>
      </w:r>
      <w:r w:rsidRPr="006F29F5">
        <w:rPr>
          <w:rFonts w:cs="Times New Roman"/>
          <w:b w:val="0"/>
          <w:kern w:val="2"/>
          <w:sz w:val="20"/>
          <w:szCs w:val="28"/>
        </w:rPr>
        <w:t xml:space="preserve">(2007) </w:t>
      </w:r>
      <w:r w:rsidR="00795465" w:rsidRPr="006F29F5">
        <w:rPr>
          <w:rFonts w:cs="Times New Roman"/>
          <w:b w:val="0"/>
          <w:kern w:val="2"/>
          <w:sz w:val="20"/>
          <w:szCs w:val="28"/>
        </w:rPr>
        <w:t>requires member states set up a National Asset Recovery Office and cooperate with the reco</w:t>
      </w:r>
      <w:r w:rsidR="00F312E7" w:rsidRPr="006F29F5">
        <w:rPr>
          <w:rFonts w:cs="Times New Roman"/>
          <w:b w:val="0"/>
          <w:kern w:val="2"/>
          <w:sz w:val="20"/>
          <w:szCs w:val="28"/>
        </w:rPr>
        <w:t>very offices of member states: &lt;</w:t>
      </w:r>
      <w:hyperlink r:id="rId11" w:history="1">
        <w:r w:rsidR="00AA5A4E" w:rsidRPr="002A64EA">
          <w:rPr>
            <w:rStyle w:val="Hyperlink"/>
            <w:rFonts w:cs="Times New Roman"/>
            <w:b w:val="0"/>
            <w:kern w:val="2"/>
            <w:sz w:val="20"/>
            <w:szCs w:val="28"/>
          </w:rPr>
          <w:t>http://ec.europa.eu/dgs/home-affairs/e-library/documents/</w:t>
        </w:r>
        <w:r w:rsidR="00AA5A4E" w:rsidRPr="002A64EA">
          <w:rPr>
            <w:rStyle w:val="Hyperlink"/>
            <w:rFonts w:cs="Times New Roman"/>
            <w:b w:val="0"/>
            <w:kern w:val="2"/>
            <w:sz w:val="20"/>
            <w:szCs w:val="28"/>
          </w:rPr>
          <w:br/>
          <w:t>policies/organized-crime-and-human-trafficking/confiscation-and-asset-recovery/index_en.htm</w:t>
        </w:r>
      </w:hyperlink>
      <w:r w:rsidR="00F312E7" w:rsidRPr="006F29F5">
        <w:rPr>
          <w:rFonts w:cs="Times New Roman"/>
          <w:b w:val="0"/>
          <w:kern w:val="2"/>
          <w:sz w:val="20"/>
          <w:szCs w:val="28"/>
        </w:rPr>
        <w:t>&gt;</w:t>
      </w:r>
      <w:r w:rsidR="00795465" w:rsidRPr="006F29F5">
        <w:rPr>
          <w:rFonts w:cs="Times New Roman"/>
          <w:b w:val="0"/>
          <w:kern w:val="2"/>
          <w:sz w:val="20"/>
          <w:szCs w:val="28"/>
        </w:rPr>
        <w:t>.</w:t>
      </w:r>
    </w:p>
    <w:p w14:paraId="3CAE8561" w14:textId="277D2E80" w:rsidR="00795465" w:rsidRPr="006F29F5" w:rsidRDefault="009B1C6F" w:rsidP="00F20986">
      <w:pPr>
        <w:pStyle w:val="ListParagraph"/>
        <w:numPr>
          <w:ilvl w:val="0"/>
          <w:numId w:val="4"/>
        </w:numPr>
        <w:rPr>
          <w:rFonts w:cs="Times New Roman"/>
          <w:b w:val="0"/>
          <w:kern w:val="2"/>
          <w:sz w:val="20"/>
        </w:rPr>
      </w:pPr>
      <w:r w:rsidRPr="006F29F5">
        <w:rPr>
          <w:rFonts w:cs="Times New Roman"/>
          <w:b w:val="0"/>
          <w:kern w:val="2"/>
          <w:sz w:val="20"/>
          <w:szCs w:val="28"/>
        </w:rPr>
        <w:t xml:space="preserve">The </w:t>
      </w:r>
      <w:r w:rsidR="00795465" w:rsidRPr="006F29F5">
        <w:rPr>
          <w:rFonts w:cs="Times New Roman"/>
          <w:b w:val="0"/>
          <w:kern w:val="2"/>
          <w:sz w:val="20"/>
          <w:szCs w:val="28"/>
        </w:rPr>
        <w:t xml:space="preserve">Council of the European Union Framework Decision on the Recognition and execution of Confiscation Orders </w:t>
      </w:r>
      <w:r w:rsidRPr="006F29F5">
        <w:rPr>
          <w:rFonts w:cs="Times New Roman"/>
          <w:b w:val="0"/>
          <w:kern w:val="2"/>
          <w:sz w:val="20"/>
          <w:szCs w:val="28"/>
        </w:rPr>
        <w:t xml:space="preserve">(2006) </w:t>
      </w:r>
      <w:r w:rsidR="00795465" w:rsidRPr="006F29F5">
        <w:rPr>
          <w:rFonts w:cs="Times New Roman"/>
          <w:b w:val="0"/>
          <w:kern w:val="2"/>
          <w:sz w:val="20"/>
          <w:szCs w:val="28"/>
        </w:rPr>
        <w:t xml:space="preserve">purports to enable judicial decisions of European Union countries to be recognized </w:t>
      </w:r>
      <w:r w:rsidR="00F312E7" w:rsidRPr="006F29F5">
        <w:rPr>
          <w:rFonts w:cs="Times New Roman"/>
          <w:b w:val="0"/>
          <w:kern w:val="2"/>
          <w:sz w:val="20"/>
          <w:szCs w:val="28"/>
        </w:rPr>
        <w:t>and executed within deadlines: &lt;</w:t>
      </w:r>
      <w:hyperlink r:id="rId12" w:history="1">
        <w:r w:rsidR="00AA5A4E" w:rsidRPr="002A64EA">
          <w:rPr>
            <w:rStyle w:val="Hyperlink"/>
            <w:rFonts w:cs="Times New Roman"/>
            <w:b w:val="0"/>
            <w:kern w:val="2"/>
            <w:sz w:val="20"/>
            <w:szCs w:val="28"/>
          </w:rPr>
          <w:t>http://eur-lex.europa.eu/legal-content/EN/TXT/PDF/?uri=CELEX:32006F0783&amp;</w:t>
        </w:r>
        <w:r w:rsidR="00AA5A4E" w:rsidRPr="002A64EA">
          <w:rPr>
            <w:rStyle w:val="Hyperlink"/>
            <w:rFonts w:cs="Times New Roman"/>
            <w:b w:val="0"/>
            <w:kern w:val="2"/>
            <w:sz w:val="20"/>
            <w:szCs w:val="28"/>
          </w:rPr>
          <w:br/>
          <w:t>from=EN</w:t>
        </w:r>
      </w:hyperlink>
      <w:r w:rsidR="00F312E7" w:rsidRPr="006F29F5">
        <w:rPr>
          <w:rFonts w:cs="Times New Roman"/>
          <w:b w:val="0"/>
          <w:kern w:val="2"/>
          <w:sz w:val="20"/>
          <w:szCs w:val="28"/>
        </w:rPr>
        <w:t>&gt;</w:t>
      </w:r>
      <w:r w:rsidR="00795465" w:rsidRPr="006F29F5">
        <w:rPr>
          <w:rFonts w:cs="Times New Roman"/>
          <w:b w:val="0"/>
          <w:kern w:val="2"/>
          <w:sz w:val="20"/>
          <w:szCs w:val="28"/>
        </w:rPr>
        <w:t>.</w:t>
      </w:r>
    </w:p>
    <w:p w14:paraId="3B242F54" w14:textId="14975E57" w:rsidR="000943B4" w:rsidRPr="006F29F5" w:rsidRDefault="00091085" w:rsidP="006924E4">
      <w:pPr>
        <w:pStyle w:val="ListParagraph"/>
        <w:numPr>
          <w:ilvl w:val="0"/>
          <w:numId w:val="4"/>
        </w:numPr>
        <w:rPr>
          <w:rFonts w:cs="Times New Roman"/>
          <w:b w:val="0"/>
          <w:kern w:val="2"/>
          <w:sz w:val="20"/>
          <w:szCs w:val="28"/>
        </w:rPr>
      </w:pPr>
      <w:r w:rsidRPr="006F29F5">
        <w:rPr>
          <w:rFonts w:cs="Times New Roman"/>
          <w:b w:val="0"/>
          <w:kern w:val="2"/>
          <w:sz w:val="20"/>
          <w:szCs w:val="28"/>
        </w:rPr>
        <w:t xml:space="preserve">The </w:t>
      </w:r>
      <w:r w:rsidR="00795465" w:rsidRPr="006F29F5">
        <w:rPr>
          <w:rFonts w:cs="Times New Roman"/>
          <w:b w:val="0"/>
          <w:kern w:val="2"/>
          <w:sz w:val="20"/>
          <w:szCs w:val="28"/>
        </w:rPr>
        <w:t xml:space="preserve">Council of Europe Convention on Laundering, Search, Seizure and Confiscation of the Proceeds of Crime and on the Financing of Terrorism </w:t>
      </w:r>
      <w:r w:rsidRPr="006F29F5">
        <w:rPr>
          <w:rFonts w:cs="Times New Roman"/>
          <w:b w:val="0"/>
          <w:kern w:val="2"/>
          <w:sz w:val="20"/>
          <w:szCs w:val="28"/>
        </w:rPr>
        <w:t xml:space="preserve">(2005) </w:t>
      </w:r>
      <w:r w:rsidR="00795465" w:rsidRPr="006F29F5">
        <w:rPr>
          <w:rFonts w:cs="Times New Roman"/>
          <w:b w:val="0"/>
          <w:kern w:val="2"/>
          <w:sz w:val="20"/>
          <w:szCs w:val="28"/>
        </w:rPr>
        <w:t>requir</w:t>
      </w:r>
      <w:r w:rsidR="000943B4" w:rsidRPr="006F29F5">
        <w:rPr>
          <w:rFonts w:cs="Times New Roman"/>
          <w:b w:val="0"/>
          <w:kern w:val="2"/>
          <w:sz w:val="20"/>
          <w:szCs w:val="28"/>
        </w:rPr>
        <w:t xml:space="preserve">es parties to enable themselves </w:t>
      </w:r>
      <w:r w:rsidR="00795465" w:rsidRPr="006F29F5">
        <w:rPr>
          <w:rFonts w:cs="Times New Roman"/>
          <w:b w:val="0"/>
          <w:kern w:val="2"/>
          <w:sz w:val="20"/>
          <w:szCs w:val="28"/>
        </w:rPr>
        <w:t>to freeze, seize and</w:t>
      </w:r>
      <w:r w:rsidR="000943B4" w:rsidRPr="006F29F5">
        <w:rPr>
          <w:rFonts w:cs="Times New Roman"/>
          <w:b w:val="0"/>
          <w:kern w:val="2"/>
          <w:sz w:val="20"/>
          <w:szCs w:val="28"/>
        </w:rPr>
        <w:t xml:space="preserve"> confiscate proceeds of crime: </w:t>
      </w:r>
      <w:r w:rsidR="00F312E7" w:rsidRPr="006F29F5">
        <w:rPr>
          <w:rFonts w:cs="Times New Roman"/>
          <w:b w:val="0"/>
          <w:kern w:val="2"/>
          <w:sz w:val="20"/>
          <w:szCs w:val="28"/>
        </w:rPr>
        <w:t>&lt;</w:t>
      </w:r>
      <w:hyperlink r:id="rId13" w:history="1">
        <w:r w:rsidR="00AA5A4E" w:rsidRPr="002A64EA">
          <w:rPr>
            <w:rStyle w:val="Hyperlink"/>
            <w:rFonts w:cs="Times New Roman"/>
            <w:b w:val="0"/>
            <w:kern w:val="2"/>
            <w:sz w:val="20"/>
            <w:szCs w:val="28"/>
          </w:rPr>
          <w:t>https://www.coe.int/en/web/conventions/full-list/-/conventions/treaty/</w:t>
        </w:r>
        <w:r w:rsidR="00AA5A4E" w:rsidRPr="002A64EA">
          <w:rPr>
            <w:rStyle w:val="Hyperlink"/>
            <w:rFonts w:cs="Times New Roman"/>
            <w:b w:val="0"/>
            <w:kern w:val="2"/>
            <w:sz w:val="20"/>
            <w:szCs w:val="28"/>
          </w:rPr>
          <w:br/>
          <w:t>198</w:t>
        </w:r>
      </w:hyperlink>
      <w:r w:rsidR="00F312E7" w:rsidRPr="006F29F5">
        <w:rPr>
          <w:rFonts w:cs="Times New Roman"/>
          <w:b w:val="0"/>
          <w:kern w:val="2"/>
          <w:sz w:val="20"/>
          <w:szCs w:val="28"/>
        </w:rPr>
        <w:t>&gt;</w:t>
      </w:r>
      <w:r w:rsidR="00795465" w:rsidRPr="006F29F5">
        <w:rPr>
          <w:rFonts w:cs="Times New Roman"/>
          <w:b w:val="0"/>
          <w:kern w:val="2"/>
          <w:sz w:val="20"/>
          <w:szCs w:val="28"/>
        </w:rPr>
        <w:t>.</w:t>
      </w:r>
    </w:p>
    <w:p w14:paraId="3CE1F0EE" w14:textId="0E41F4F5" w:rsidR="00795465" w:rsidRPr="006F29F5" w:rsidRDefault="00C447EC" w:rsidP="006924E4">
      <w:pPr>
        <w:pStyle w:val="ListParagraph"/>
        <w:numPr>
          <w:ilvl w:val="0"/>
          <w:numId w:val="4"/>
        </w:numPr>
        <w:rPr>
          <w:rFonts w:cs="Times New Roman"/>
          <w:b w:val="0"/>
          <w:kern w:val="2"/>
          <w:sz w:val="20"/>
        </w:rPr>
      </w:pPr>
      <w:r w:rsidRPr="006F29F5">
        <w:rPr>
          <w:rFonts w:cs="Times New Roman"/>
          <w:b w:val="0"/>
          <w:kern w:val="2"/>
          <w:sz w:val="20"/>
          <w:szCs w:val="28"/>
        </w:rPr>
        <w:t xml:space="preserve">The </w:t>
      </w:r>
      <w:r w:rsidR="00795465" w:rsidRPr="006F29F5">
        <w:rPr>
          <w:rFonts w:cs="Times New Roman"/>
          <w:b w:val="0"/>
          <w:kern w:val="2"/>
          <w:sz w:val="20"/>
          <w:szCs w:val="28"/>
        </w:rPr>
        <w:t>Council of the European Union Framework Decision on the Execution in the European Union of Orders Freezing Property or Evidence</w:t>
      </w:r>
      <w:r w:rsidRPr="006F29F5">
        <w:rPr>
          <w:rFonts w:cs="Times New Roman"/>
          <w:b w:val="0"/>
          <w:kern w:val="2"/>
          <w:sz w:val="20"/>
          <w:szCs w:val="28"/>
        </w:rPr>
        <w:t xml:space="preserve"> (2003)</w:t>
      </w:r>
      <w:r w:rsidR="00795465" w:rsidRPr="006F29F5">
        <w:rPr>
          <w:rFonts w:cs="Times New Roman"/>
          <w:b w:val="0"/>
          <w:kern w:val="2"/>
          <w:sz w:val="20"/>
          <w:szCs w:val="28"/>
        </w:rPr>
        <w:t xml:space="preserve"> purports to establish rules under which a Member State is to recognize and execute in its territory a freezing order issue</w:t>
      </w:r>
      <w:r w:rsidR="000825F6" w:rsidRPr="006F29F5">
        <w:rPr>
          <w:rFonts w:cs="Times New Roman"/>
          <w:b w:val="0"/>
          <w:kern w:val="2"/>
          <w:sz w:val="20"/>
          <w:szCs w:val="28"/>
        </w:rPr>
        <w:t>d</w:t>
      </w:r>
      <w:r w:rsidR="00795465" w:rsidRPr="006F29F5">
        <w:rPr>
          <w:rFonts w:cs="Times New Roman"/>
          <w:b w:val="0"/>
          <w:kern w:val="2"/>
          <w:sz w:val="20"/>
          <w:szCs w:val="28"/>
        </w:rPr>
        <w:t xml:space="preserve"> by another Member State in the framework of criminal proceeding</w:t>
      </w:r>
      <w:r w:rsidR="00F312E7" w:rsidRPr="006F29F5">
        <w:rPr>
          <w:rFonts w:cs="Times New Roman"/>
          <w:b w:val="0"/>
          <w:kern w:val="2"/>
          <w:sz w:val="20"/>
          <w:szCs w:val="28"/>
        </w:rPr>
        <w:t>s: &lt;</w:t>
      </w:r>
      <w:hyperlink r:id="rId14" w:history="1">
        <w:r w:rsidR="00AA5A4E" w:rsidRPr="002A64EA">
          <w:rPr>
            <w:rStyle w:val="Hyperlink"/>
            <w:rFonts w:cs="Times New Roman"/>
            <w:b w:val="0"/>
            <w:kern w:val="2"/>
            <w:sz w:val="20"/>
            <w:szCs w:val="28"/>
          </w:rPr>
          <w:t>http://eur-lex.europa.eu/legal-content/EN/TXT/</w:t>
        </w:r>
        <w:r w:rsidR="00AA5A4E" w:rsidRPr="002A64EA">
          <w:rPr>
            <w:rStyle w:val="Hyperlink"/>
            <w:rFonts w:cs="Times New Roman"/>
            <w:b w:val="0"/>
            <w:kern w:val="2"/>
            <w:sz w:val="20"/>
            <w:szCs w:val="28"/>
          </w:rPr>
          <w:br/>
          <w:t>?</w:t>
        </w:r>
        <w:proofErr w:type="spellStart"/>
        <w:r w:rsidR="00AA5A4E" w:rsidRPr="002A64EA">
          <w:rPr>
            <w:rStyle w:val="Hyperlink"/>
            <w:rFonts w:cs="Times New Roman"/>
            <w:b w:val="0"/>
            <w:kern w:val="2"/>
            <w:sz w:val="20"/>
            <w:szCs w:val="28"/>
          </w:rPr>
          <w:t>uri</w:t>
        </w:r>
        <w:proofErr w:type="spellEnd"/>
        <w:r w:rsidR="00AA5A4E" w:rsidRPr="002A64EA">
          <w:rPr>
            <w:rStyle w:val="Hyperlink"/>
            <w:rFonts w:cs="Times New Roman"/>
            <w:b w:val="0"/>
            <w:kern w:val="2"/>
            <w:sz w:val="20"/>
            <w:szCs w:val="28"/>
          </w:rPr>
          <w:t>=CELEX%3A32003F0577</w:t>
        </w:r>
      </w:hyperlink>
      <w:r w:rsidR="00F312E7" w:rsidRPr="006F29F5">
        <w:rPr>
          <w:rFonts w:cs="Times New Roman"/>
          <w:b w:val="0"/>
          <w:kern w:val="2"/>
          <w:sz w:val="20"/>
          <w:szCs w:val="28"/>
        </w:rPr>
        <w:t>&gt;</w:t>
      </w:r>
      <w:r w:rsidR="00795465" w:rsidRPr="006F29F5">
        <w:rPr>
          <w:rFonts w:cs="Times New Roman"/>
          <w:b w:val="0"/>
          <w:kern w:val="2"/>
          <w:sz w:val="20"/>
          <w:szCs w:val="28"/>
        </w:rPr>
        <w:t>.</w:t>
      </w:r>
    </w:p>
    <w:p w14:paraId="0D1F8BE1" w14:textId="41F28398" w:rsidR="000943B4" w:rsidRPr="006F29F5" w:rsidRDefault="00DB0186" w:rsidP="00F20986">
      <w:pPr>
        <w:pStyle w:val="ListParagraph"/>
        <w:numPr>
          <w:ilvl w:val="0"/>
          <w:numId w:val="4"/>
        </w:numPr>
        <w:ind w:left="714" w:hanging="357"/>
        <w:rPr>
          <w:rFonts w:cs="Times New Roman"/>
          <w:b w:val="0"/>
          <w:kern w:val="2"/>
          <w:sz w:val="20"/>
          <w:szCs w:val="28"/>
        </w:rPr>
      </w:pPr>
      <w:r w:rsidRPr="006F29F5">
        <w:rPr>
          <w:rFonts w:cs="Times New Roman"/>
          <w:b w:val="0"/>
          <w:kern w:val="2"/>
          <w:sz w:val="20"/>
          <w:szCs w:val="28"/>
        </w:rPr>
        <w:t xml:space="preserve">The </w:t>
      </w:r>
      <w:r w:rsidR="00795465" w:rsidRPr="006F29F5">
        <w:rPr>
          <w:rFonts w:cs="Times New Roman"/>
          <w:b w:val="0"/>
          <w:kern w:val="2"/>
          <w:sz w:val="20"/>
          <w:szCs w:val="28"/>
        </w:rPr>
        <w:t>Council of Europe Criminal Convention</w:t>
      </w:r>
      <w:r w:rsidRPr="006F29F5">
        <w:rPr>
          <w:rFonts w:cs="Times New Roman"/>
          <w:b w:val="0"/>
          <w:kern w:val="2"/>
          <w:sz w:val="20"/>
          <w:szCs w:val="28"/>
        </w:rPr>
        <w:t xml:space="preserve"> (1999)</w:t>
      </w:r>
      <w:r w:rsidR="00795465" w:rsidRPr="006F29F5">
        <w:rPr>
          <w:rFonts w:cs="Times New Roman"/>
          <w:b w:val="0"/>
          <w:kern w:val="2"/>
          <w:sz w:val="20"/>
          <w:szCs w:val="28"/>
        </w:rPr>
        <w:t xml:space="preserve"> provides some support mechanisms for tracing, seizi</w:t>
      </w:r>
      <w:r w:rsidR="00F312E7" w:rsidRPr="006F29F5">
        <w:rPr>
          <w:rFonts w:cs="Times New Roman"/>
          <w:b w:val="0"/>
          <w:kern w:val="2"/>
          <w:sz w:val="20"/>
          <w:szCs w:val="28"/>
        </w:rPr>
        <w:t>ng and freezing assets: &lt;</w:t>
      </w:r>
      <w:hyperlink r:id="rId15" w:history="1">
        <w:r w:rsidR="009F1187" w:rsidRPr="006F29F5">
          <w:rPr>
            <w:rStyle w:val="Hyperlink"/>
            <w:rFonts w:cs="Times New Roman"/>
            <w:b w:val="0"/>
            <w:kern w:val="2"/>
            <w:sz w:val="20"/>
            <w:szCs w:val="28"/>
          </w:rPr>
          <w:t>https://www.coe.int/en/web/conventions/full-list/-/conventions/treaty/173</w:t>
        </w:r>
      </w:hyperlink>
      <w:r w:rsidR="00F312E7" w:rsidRPr="006F29F5">
        <w:rPr>
          <w:rFonts w:cs="Times New Roman"/>
          <w:b w:val="0"/>
          <w:kern w:val="2"/>
          <w:sz w:val="20"/>
          <w:szCs w:val="28"/>
        </w:rPr>
        <w:t>&gt;</w:t>
      </w:r>
      <w:r w:rsidR="00795465" w:rsidRPr="006F29F5">
        <w:rPr>
          <w:rFonts w:cs="Times New Roman"/>
          <w:b w:val="0"/>
          <w:kern w:val="2"/>
          <w:sz w:val="20"/>
          <w:szCs w:val="28"/>
        </w:rPr>
        <w:t xml:space="preserve">. </w:t>
      </w:r>
    </w:p>
    <w:p w14:paraId="1224B9E1" w14:textId="7801EA5D" w:rsidR="00795465" w:rsidRPr="006F29F5" w:rsidRDefault="00DB0186" w:rsidP="006924E4">
      <w:pPr>
        <w:pStyle w:val="ListParagraph"/>
        <w:numPr>
          <w:ilvl w:val="0"/>
          <w:numId w:val="4"/>
        </w:numPr>
        <w:rPr>
          <w:rFonts w:cs="Times New Roman"/>
          <w:b w:val="0"/>
          <w:kern w:val="2"/>
          <w:sz w:val="20"/>
        </w:rPr>
      </w:pPr>
      <w:r w:rsidRPr="006F29F5">
        <w:rPr>
          <w:rFonts w:cs="Times New Roman"/>
          <w:b w:val="0"/>
          <w:kern w:val="2"/>
          <w:sz w:val="20"/>
          <w:szCs w:val="28"/>
        </w:rPr>
        <w:t xml:space="preserve">The </w:t>
      </w:r>
      <w:r w:rsidR="00795465" w:rsidRPr="006F29F5">
        <w:rPr>
          <w:rFonts w:cs="Times New Roman"/>
          <w:b w:val="0"/>
          <w:kern w:val="2"/>
          <w:sz w:val="20"/>
          <w:szCs w:val="28"/>
        </w:rPr>
        <w:t xml:space="preserve">Council of Europe Civil Convention </w:t>
      </w:r>
      <w:r w:rsidRPr="006F29F5">
        <w:rPr>
          <w:rFonts w:cs="Times New Roman"/>
          <w:b w:val="0"/>
          <w:kern w:val="2"/>
          <w:sz w:val="20"/>
          <w:szCs w:val="28"/>
        </w:rPr>
        <w:t xml:space="preserve">(1999) </w:t>
      </w:r>
      <w:r w:rsidR="00795465" w:rsidRPr="006F29F5">
        <w:rPr>
          <w:rFonts w:cs="Times New Roman"/>
          <w:b w:val="0"/>
          <w:kern w:val="2"/>
          <w:sz w:val="20"/>
          <w:szCs w:val="28"/>
        </w:rPr>
        <w:t>allows the payment of damages for bribery and similar offences recovered against anyone who has committed or authorized an act of corruption or failed to take reasonable</w:t>
      </w:r>
      <w:r w:rsidR="00F312E7" w:rsidRPr="006F29F5">
        <w:rPr>
          <w:rFonts w:cs="Times New Roman"/>
          <w:b w:val="0"/>
          <w:kern w:val="2"/>
          <w:sz w:val="20"/>
          <w:szCs w:val="28"/>
        </w:rPr>
        <w:t xml:space="preserve"> steps to prevent such an act: &lt;</w:t>
      </w:r>
      <w:hyperlink r:id="rId16" w:history="1">
        <w:r w:rsidR="00AA5A4E" w:rsidRPr="002A64EA">
          <w:rPr>
            <w:rStyle w:val="Hyperlink"/>
            <w:rFonts w:cs="Times New Roman"/>
            <w:b w:val="0"/>
            <w:kern w:val="2"/>
            <w:sz w:val="20"/>
            <w:szCs w:val="28"/>
          </w:rPr>
          <w:t>https://www.coe.int/en/web/conventions/full-list/-/conventions/treaty/</w:t>
        </w:r>
        <w:r w:rsidR="00AA5A4E" w:rsidRPr="002A64EA">
          <w:rPr>
            <w:rStyle w:val="Hyperlink"/>
            <w:rFonts w:cs="Times New Roman"/>
            <w:b w:val="0"/>
            <w:kern w:val="2"/>
            <w:sz w:val="20"/>
            <w:szCs w:val="28"/>
          </w:rPr>
          <w:br/>
          <w:t>174</w:t>
        </w:r>
      </w:hyperlink>
      <w:r w:rsidR="00F312E7" w:rsidRPr="006F29F5">
        <w:rPr>
          <w:rFonts w:cs="Times New Roman"/>
          <w:b w:val="0"/>
          <w:kern w:val="2"/>
          <w:sz w:val="20"/>
          <w:szCs w:val="28"/>
        </w:rPr>
        <w:t>&gt;</w:t>
      </w:r>
      <w:r w:rsidR="00795465" w:rsidRPr="006F29F5">
        <w:rPr>
          <w:rFonts w:cs="Times New Roman"/>
          <w:b w:val="0"/>
          <w:kern w:val="2"/>
          <w:sz w:val="20"/>
          <w:szCs w:val="28"/>
        </w:rPr>
        <w:t xml:space="preserve">. </w:t>
      </w:r>
    </w:p>
    <w:p w14:paraId="45320221" w14:textId="3E85525B" w:rsidR="00795465" w:rsidRPr="006F29F5" w:rsidRDefault="008930F1" w:rsidP="006924E4">
      <w:pPr>
        <w:pStyle w:val="ListParagraph"/>
        <w:numPr>
          <w:ilvl w:val="0"/>
          <w:numId w:val="4"/>
        </w:numPr>
        <w:rPr>
          <w:rFonts w:cs="Times New Roman"/>
          <w:b w:val="0"/>
          <w:kern w:val="2"/>
          <w:sz w:val="20"/>
        </w:rPr>
      </w:pPr>
      <w:r w:rsidRPr="006F29F5">
        <w:rPr>
          <w:rFonts w:cs="Times New Roman"/>
          <w:b w:val="0"/>
          <w:kern w:val="2"/>
          <w:sz w:val="20"/>
          <w:szCs w:val="28"/>
        </w:rPr>
        <w:t xml:space="preserve">The </w:t>
      </w:r>
      <w:r w:rsidR="00795465" w:rsidRPr="006F29F5">
        <w:rPr>
          <w:rFonts w:cs="Times New Roman"/>
          <w:b w:val="0"/>
          <w:kern w:val="2"/>
          <w:sz w:val="20"/>
          <w:szCs w:val="28"/>
        </w:rPr>
        <w:t>European Convention on Mutual Assistance in Criminal Matters</w:t>
      </w:r>
      <w:r w:rsidRPr="006F29F5">
        <w:rPr>
          <w:rFonts w:cs="Times New Roman"/>
          <w:b w:val="0"/>
          <w:kern w:val="2"/>
          <w:sz w:val="20"/>
          <w:szCs w:val="28"/>
        </w:rPr>
        <w:t xml:space="preserve"> (1959) </w:t>
      </w:r>
      <w:r w:rsidR="00795465" w:rsidRPr="006F29F5">
        <w:rPr>
          <w:rFonts w:cs="Times New Roman"/>
          <w:b w:val="0"/>
          <w:kern w:val="2"/>
          <w:sz w:val="20"/>
          <w:szCs w:val="28"/>
        </w:rPr>
        <w:t>contains a framework for mutual legal assistanc</w:t>
      </w:r>
      <w:r w:rsidR="00F312E7" w:rsidRPr="006F29F5">
        <w:rPr>
          <w:rFonts w:cs="Times New Roman"/>
          <w:b w:val="0"/>
          <w:kern w:val="2"/>
          <w:sz w:val="20"/>
          <w:szCs w:val="28"/>
        </w:rPr>
        <w:t>e in European Union countries: &lt;</w:t>
      </w:r>
      <w:hyperlink r:id="rId17" w:history="1">
        <w:r w:rsidR="00795465" w:rsidRPr="006F29F5">
          <w:rPr>
            <w:rStyle w:val="Hyperlink"/>
            <w:rFonts w:cs="Times New Roman"/>
            <w:b w:val="0"/>
            <w:kern w:val="2"/>
            <w:sz w:val="20"/>
            <w:szCs w:val="28"/>
          </w:rPr>
          <w:t>http://conventions.coe.int/</w:t>
        </w:r>
        <w:r w:rsidR="00481987" w:rsidRPr="006F29F5">
          <w:rPr>
            <w:rStyle w:val="Hyperlink"/>
            <w:rFonts w:cs="Times New Roman"/>
            <w:b w:val="0"/>
            <w:kern w:val="2"/>
            <w:sz w:val="20"/>
            <w:szCs w:val="28"/>
          </w:rPr>
          <w:t xml:space="preserve"> </w:t>
        </w:r>
        <w:r w:rsidR="00F312E7" w:rsidRPr="006F29F5">
          <w:rPr>
            <w:rStyle w:val="Hyperlink"/>
            <w:rFonts w:cs="Times New Roman"/>
            <w:b w:val="0"/>
            <w:kern w:val="2"/>
            <w:sz w:val="20"/>
            <w:szCs w:val="28"/>
          </w:rPr>
          <w:t>Treaty/</w:t>
        </w:r>
        <w:proofErr w:type="spellStart"/>
        <w:r w:rsidR="00F312E7" w:rsidRPr="006F29F5">
          <w:rPr>
            <w:rStyle w:val="Hyperlink"/>
            <w:rFonts w:cs="Times New Roman"/>
            <w:b w:val="0"/>
            <w:kern w:val="2"/>
            <w:sz w:val="20"/>
            <w:szCs w:val="28"/>
          </w:rPr>
          <w:t>en</w:t>
        </w:r>
        <w:proofErr w:type="spellEnd"/>
        <w:r w:rsidR="00F312E7" w:rsidRPr="006F29F5">
          <w:rPr>
            <w:rStyle w:val="Hyperlink"/>
            <w:rFonts w:cs="Times New Roman"/>
            <w:b w:val="0"/>
            <w:kern w:val="2"/>
            <w:sz w:val="20"/>
            <w:szCs w:val="28"/>
          </w:rPr>
          <w:t>/Treaties/Html/030.htm</w:t>
        </w:r>
      </w:hyperlink>
      <w:r w:rsidR="00F312E7" w:rsidRPr="006F29F5">
        <w:rPr>
          <w:rFonts w:cs="Times New Roman"/>
          <w:b w:val="0"/>
          <w:kern w:val="2"/>
          <w:sz w:val="20"/>
          <w:szCs w:val="28"/>
        </w:rPr>
        <w:t>&gt;</w:t>
      </w:r>
      <w:r w:rsidR="00795465" w:rsidRPr="006F29F5">
        <w:rPr>
          <w:rFonts w:cs="Times New Roman"/>
          <w:b w:val="0"/>
          <w:kern w:val="2"/>
          <w:sz w:val="20"/>
          <w:szCs w:val="28"/>
        </w:rPr>
        <w:t>.</w:t>
      </w:r>
    </w:p>
    <w:p w14:paraId="4DA8BD09" w14:textId="5E1E8DBD" w:rsidR="00795465" w:rsidRPr="006F29F5" w:rsidRDefault="00795465" w:rsidP="00F20986">
      <w:pPr>
        <w:pStyle w:val="ListParagraph"/>
        <w:numPr>
          <w:ilvl w:val="0"/>
          <w:numId w:val="4"/>
        </w:numPr>
        <w:rPr>
          <w:rFonts w:cs="Times New Roman"/>
          <w:b w:val="0"/>
          <w:kern w:val="2"/>
          <w:sz w:val="20"/>
        </w:rPr>
      </w:pPr>
      <w:r w:rsidRPr="006F29F5">
        <w:rPr>
          <w:rFonts w:cs="Times New Roman"/>
          <w:b w:val="0"/>
          <w:kern w:val="2"/>
          <w:sz w:val="20"/>
          <w:szCs w:val="28"/>
        </w:rPr>
        <w:t>Commonwealth states have signed the Commonwealth of Independent States Conventions on Legal Assistance and Legal Relationship in Civil, Family and Criminal Matters</w:t>
      </w:r>
      <w:r w:rsidR="008930F1" w:rsidRPr="006F29F5">
        <w:rPr>
          <w:rFonts w:cs="Times New Roman"/>
          <w:b w:val="0"/>
          <w:kern w:val="2"/>
          <w:sz w:val="20"/>
          <w:szCs w:val="28"/>
        </w:rPr>
        <w:t xml:space="preserve"> (2002)</w:t>
      </w:r>
      <w:r w:rsidRPr="006F29F5">
        <w:rPr>
          <w:rFonts w:cs="Times New Roman"/>
          <w:b w:val="0"/>
          <w:kern w:val="2"/>
          <w:sz w:val="20"/>
          <w:szCs w:val="28"/>
        </w:rPr>
        <w:t>. These two multilateral conventions regulate criminal prosecution, extraditio</w:t>
      </w:r>
      <w:r w:rsidR="00F312E7" w:rsidRPr="006F29F5">
        <w:rPr>
          <w:rFonts w:cs="Times New Roman"/>
          <w:b w:val="0"/>
          <w:kern w:val="2"/>
          <w:sz w:val="20"/>
          <w:szCs w:val="28"/>
        </w:rPr>
        <w:t>n and mutual legal assistance: &lt;</w:t>
      </w:r>
      <w:hyperlink r:id="rId18" w:history="1">
        <w:r w:rsidR="00AA5A4E" w:rsidRPr="002A64EA">
          <w:rPr>
            <w:rStyle w:val="Hyperlink"/>
            <w:rFonts w:cs="Times New Roman"/>
            <w:b w:val="0"/>
            <w:kern w:val="2"/>
            <w:sz w:val="20"/>
            <w:szCs w:val="28"/>
          </w:rPr>
          <w:t>http://cis-legislation.com/document.fwx?rgn=26119</w:t>
        </w:r>
      </w:hyperlink>
      <w:r w:rsidR="00F312E7" w:rsidRPr="006F29F5">
        <w:rPr>
          <w:rFonts w:cs="Times New Roman"/>
          <w:b w:val="0"/>
          <w:kern w:val="2"/>
          <w:sz w:val="20"/>
          <w:szCs w:val="28"/>
        </w:rPr>
        <w:t>&gt;</w:t>
      </w:r>
      <w:r w:rsidRPr="006F29F5">
        <w:rPr>
          <w:rFonts w:cs="Times New Roman"/>
          <w:b w:val="0"/>
          <w:kern w:val="2"/>
          <w:sz w:val="20"/>
          <w:szCs w:val="28"/>
        </w:rPr>
        <w:t>.</w:t>
      </w:r>
    </w:p>
    <w:p w14:paraId="320A4539" w14:textId="1214C308" w:rsidR="009053D0" w:rsidRPr="006F29F5" w:rsidRDefault="00384D1A" w:rsidP="00F20986">
      <w:pPr>
        <w:pStyle w:val="ListParagraph"/>
        <w:numPr>
          <w:ilvl w:val="0"/>
          <w:numId w:val="4"/>
        </w:numPr>
        <w:rPr>
          <w:rFonts w:cs="Times New Roman"/>
          <w:b w:val="0"/>
          <w:kern w:val="2"/>
          <w:sz w:val="20"/>
        </w:rPr>
      </w:pPr>
      <w:r w:rsidRPr="006F29F5">
        <w:rPr>
          <w:rFonts w:cs="Times New Roman"/>
          <w:b w:val="0"/>
          <w:kern w:val="2"/>
          <w:sz w:val="20"/>
          <w:szCs w:val="28"/>
        </w:rPr>
        <w:t xml:space="preserve">The </w:t>
      </w:r>
      <w:r w:rsidR="00422307" w:rsidRPr="006F29F5">
        <w:rPr>
          <w:rFonts w:cs="Times New Roman"/>
          <w:b w:val="0"/>
          <w:kern w:val="2"/>
          <w:sz w:val="20"/>
          <w:szCs w:val="28"/>
        </w:rPr>
        <w:t>Southeast Asian Mutual Legal Assi</w:t>
      </w:r>
      <w:r w:rsidR="00B5792E" w:rsidRPr="006F29F5">
        <w:rPr>
          <w:rFonts w:cs="Times New Roman"/>
          <w:b w:val="0"/>
          <w:kern w:val="2"/>
          <w:sz w:val="20"/>
          <w:szCs w:val="28"/>
        </w:rPr>
        <w:t>s</w:t>
      </w:r>
      <w:r w:rsidR="00422307" w:rsidRPr="006F29F5">
        <w:rPr>
          <w:rFonts w:cs="Times New Roman"/>
          <w:b w:val="0"/>
          <w:kern w:val="2"/>
          <w:sz w:val="20"/>
          <w:szCs w:val="28"/>
        </w:rPr>
        <w:t>ta</w:t>
      </w:r>
      <w:r w:rsidR="004249BD" w:rsidRPr="006F29F5">
        <w:rPr>
          <w:rFonts w:cs="Times New Roman"/>
          <w:b w:val="0"/>
          <w:kern w:val="2"/>
          <w:sz w:val="20"/>
          <w:szCs w:val="28"/>
        </w:rPr>
        <w:t>nce in Criminal Matters Treaty</w:t>
      </w:r>
      <w:r w:rsidR="00B5792E" w:rsidRPr="006F29F5">
        <w:rPr>
          <w:rFonts w:cs="Times New Roman"/>
          <w:b w:val="0"/>
          <w:kern w:val="2"/>
          <w:sz w:val="20"/>
          <w:szCs w:val="28"/>
        </w:rPr>
        <w:t xml:space="preserve"> signed in 2004</w:t>
      </w:r>
      <w:r w:rsidR="00D107AE" w:rsidRPr="006F29F5">
        <w:rPr>
          <w:rFonts w:cs="Times New Roman"/>
          <w:b w:val="0"/>
          <w:kern w:val="2"/>
          <w:sz w:val="20"/>
          <w:szCs w:val="28"/>
        </w:rPr>
        <w:t xml:space="preserve"> is </w:t>
      </w:r>
      <w:r w:rsidR="00CC1E13" w:rsidRPr="006F29F5">
        <w:rPr>
          <w:rFonts w:cs="Times New Roman"/>
          <w:b w:val="0"/>
          <w:kern w:val="2"/>
          <w:sz w:val="20"/>
          <w:szCs w:val="28"/>
        </w:rPr>
        <w:t>“</w:t>
      </w:r>
      <w:r w:rsidR="00D107AE" w:rsidRPr="006F29F5">
        <w:rPr>
          <w:rFonts w:cs="Times New Roman"/>
          <w:b w:val="0"/>
          <w:kern w:val="2"/>
          <w:sz w:val="20"/>
          <w:szCs w:val="28"/>
        </w:rPr>
        <w:t>aimed at improving the effectiveness of the law enforcement authorities of the Parties to the MLA Treaty in the prevention, investigation and prosecution</w:t>
      </w:r>
      <w:r w:rsidR="009B148A" w:rsidRPr="006F29F5">
        <w:rPr>
          <w:rFonts w:cs="Times New Roman"/>
          <w:b w:val="0"/>
          <w:kern w:val="2"/>
          <w:sz w:val="20"/>
          <w:szCs w:val="28"/>
        </w:rPr>
        <w:t xml:space="preserve"> of offences through cooperation</w:t>
      </w:r>
      <w:r w:rsidR="00D107AE" w:rsidRPr="006F29F5">
        <w:rPr>
          <w:rFonts w:cs="Times New Roman"/>
          <w:b w:val="0"/>
          <w:kern w:val="2"/>
          <w:sz w:val="20"/>
          <w:szCs w:val="28"/>
        </w:rPr>
        <w:t xml:space="preserve"> and mutual legal assistance in criminal matters</w:t>
      </w:r>
      <w:r w:rsidR="00F312E7" w:rsidRPr="006F29F5">
        <w:rPr>
          <w:rFonts w:cs="Times New Roman"/>
          <w:b w:val="0"/>
          <w:kern w:val="2"/>
          <w:sz w:val="20"/>
          <w:szCs w:val="28"/>
        </w:rPr>
        <w:t>.</w:t>
      </w:r>
      <w:r w:rsidR="00CC1E13" w:rsidRPr="006F29F5">
        <w:rPr>
          <w:rFonts w:cs="Times New Roman"/>
          <w:b w:val="0"/>
          <w:kern w:val="2"/>
          <w:sz w:val="20"/>
          <w:szCs w:val="28"/>
        </w:rPr>
        <w:t>”</w:t>
      </w:r>
      <w:r w:rsidR="00F312E7" w:rsidRPr="006F29F5">
        <w:rPr>
          <w:rFonts w:cs="Times New Roman"/>
          <w:b w:val="0"/>
          <w:kern w:val="2"/>
          <w:sz w:val="20"/>
          <w:szCs w:val="28"/>
        </w:rPr>
        <w:t xml:space="preserve"> </w:t>
      </w:r>
      <w:r w:rsidR="009B148A" w:rsidRPr="006F29F5">
        <w:rPr>
          <w:rFonts w:cs="Times New Roman"/>
          <w:b w:val="0"/>
          <w:kern w:val="2"/>
          <w:sz w:val="20"/>
          <w:szCs w:val="28"/>
        </w:rPr>
        <w:t>This treaty is a multilateral instrument and provides for many f</w:t>
      </w:r>
      <w:r w:rsidR="00F312E7" w:rsidRPr="006F29F5">
        <w:rPr>
          <w:rFonts w:cs="Times New Roman"/>
          <w:b w:val="0"/>
          <w:kern w:val="2"/>
          <w:sz w:val="20"/>
          <w:szCs w:val="28"/>
        </w:rPr>
        <w:t>orms of mutual legal assistance: &lt;</w:t>
      </w:r>
      <w:hyperlink r:id="rId19" w:history="1">
        <w:r w:rsidR="0078337B" w:rsidRPr="006F29F5">
          <w:rPr>
            <w:rStyle w:val="Hyperlink"/>
            <w:rFonts w:cs="Times New Roman"/>
            <w:b w:val="0"/>
            <w:kern w:val="2"/>
            <w:sz w:val="20"/>
            <w:szCs w:val="28"/>
          </w:rPr>
          <w:t>http://www.asean.org/storage/images/archive/17363.pdf</w:t>
        </w:r>
      </w:hyperlink>
      <w:r w:rsidR="00F312E7" w:rsidRPr="006F29F5">
        <w:rPr>
          <w:rFonts w:cs="Times New Roman"/>
          <w:b w:val="0"/>
          <w:kern w:val="2"/>
          <w:sz w:val="20"/>
          <w:szCs w:val="28"/>
        </w:rPr>
        <w:t>&gt;</w:t>
      </w:r>
      <w:r w:rsidR="00622DFD" w:rsidRPr="006F29F5">
        <w:rPr>
          <w:rFonts w:cs="Times New Roman"/>
          <w:b w:val="0"/>
          <w:kern w:val="2"/>
          <w:sz w:val="20"/>
          <w:szCs w:val="28"/>
        </w:rPr>
        <w:t xml:space="preserve"> </w:t>
      </w:r>
    </w:p>
    <w:p w14:paraId="70AD5E06" w14:textId="090F4FCB" w:rsidR="00795465" w:rsidRPr="006F29F5" w:rsidRDefault="008930F1" w:rsidP="006924E4">
      <w:pPr>
        <w:pStyle w:val="ListParagraph"/>
        <w:numPr>
          <w:ilvl w:val="0"/>
          <w:numId w:val="4"/>
        </w:numPr>
        <w:rPr>
          <w:rFonts w:cs="Times New Roman"/>
          <w:b w:val="0"/>
          <w:kern w:val="2"/>
          <w:sz w:val="20"/>
        </w:rPr>
      </w:pPr>
      <w:r w:rsidRPr="006F29F5">
        <w:rPr>
          <w:rFonts w:cs="Times New Roman"/>
          <w:b w:val="0"/>
          <w:kern w:val="2"/>
          <w:sz w:val="20"/>
          <w:szCs w:val="28"/>
        </w:rPr>
        <w:t xml:space="preserve">The </w:t>
      </w:r>
      <w:r w:rsidR="00795465" w:rsidRPr="006F29F5">
        <w:rPr>
          <w:rFonts w:cs="Times New Roman"/>
          <w:b w:val="0"/>
          <w:kern w:val="2"/>
          <w:sz w:val="20"/>
          <w:szCs w:val="28"/>
        </w:rPr>
        <w:t xml:space="preserve">African Union Convention on Preventing and Combating Corruption and Related Offences </w:t>
      </w:r>
      <w:r w:rsidRPr="006F29F5">
        <w:rPr>
          <w:rFonts w:cs="Times New Roman"/>
          <w:b w:val="0"/>
          <w:kern w:val="2"/>
          <w:sz w:val="20"/>
          <w:szCs w:val="28"/>
        </w:rPr>
        <w:t xml:space="preserve">(2003) </w:t>
      </w:r>
      <w:r w:rsidR="00795465" w:rsidRPr="006F29F5">
        <w:rPr>
          <w:rFonts w:cs="Times New Roman"/>
          <w:b w:val="0"/>
          <w:kern w:val="2"/>
          <w:sz w:val="20"/>
          <w:szCs w:val="28"/>
        </w:rPr>
        <w:t>contains measures for mutual legal assi</w:t>
      </w:r>
      <w:r w:rsidR="00F312E7" w:rsidRPr="006F29F5">
        <w:rPr>
          <w:rFonts w:cs="Times New Roman"/>
          <w:b w:val="0"/>
          <w:kern w:val="2"/>
          <w:sz w:val="20"/>
          <w:szCs w:val="28"/>
        </w:rPr>
        <w:t>stance and recovery of assets: &lt;</w:t>
      </w:r>
      <w:hyperlink r:id="rId20" w:history="1">
        <w:r w:rsidR="00622DFD" w:rsidRPr="006F29F5">
          <w:rPr>
            <w:rStyle w:val="Hyperlink"/>
            <w:rFonts w:cs="Times New Roman"/>
            <w:b w:val="0"/>
            <w:kern w:val="2"/>
            <w:sz w:val="20"/>
            <w:szCs w:val="28"/>
          </w:rPr>
          <w:t>http://www.eods.eu/library/AU_Convention on Combating Corruption_2003_EN.pdf</w:t>
        </w:r>
      </w:hyperlink>
      <w:r w:rsidR="00F312E7" w:rsidRPr="006F29F5">
        <w:rPr>
          <w:rFonts w:cs="Times New Roman"/>
          <w:b w:val="0"/>
          <w:kern w:val="2"/>
          <w:sz w:val="20"/>
          <w:szCs w:val="28"/>
        </w:rPr>
        <w:t>&gt;</w:t>
      </w:r>
      <w:r w:rsidR="00795465" w:rsidRPr="006F29F5">
        <w:rPr>
          <w:rFonts w:cs="Times New Roman"/>
          <w:b w:val="0"/>
          <w:kern w:val="2"/>
          <w:sz w:val="20"/>
          <w:szCs w:val="28"/>
        </w:rPr>
        <w:t>.</w:t>
      </w:r>
    </w:p>
    <w:p w14:paraId="3B136F98" w14:textId="77777777" w:rsidR="000A7C55" w:rsidRPr="006F29F5" w:rsidRDefault="00795465" w:rsidP="006924E4">
      <w:pPr>
        <w:pStyle w:val="ListParagraph"/>
        <w:numPr>
          <w:ilvl w:val="0"/>
          <w:numId w:val="4"/>
        </w:numPr>
        <w:spacing w:before="120"/>
        <w:rPr>
          <w:kern w:val="2"/>
          <w:sz w:val="20"/>
        </w:rPr>
      </w:pPr>
      <w:r w:rsidRPr="006F29F5">
        <w:rPr>
          <w:rFonts w:cs="Times New Roman"/>
          <w:b w:val="0"/>
          <w:kern w:val="2"/>
          <w:sz w:val="20"/>
          <w:szCs w:val="28"/>
        </w:rPr>
        <w:t xml:space="preserve"> </w:t>
      </w:r>
      <w:r w:rsidR="003F0188" w:rsidRPr="006F29F5">
        <w:rPr>
          <w:rFonts w:cs="Times New Roman"/>
          <w:b w:val="0"/>
          <w:kern w:val="2"/>
          <w:sz w:val="20"/>
          <w:szCs w:val="28"/>
        </w:rPr>
        <w:t xml:space="preserve">The </w:t>
      </w:r>
      <w:r w:rsidR="0037214C" w:rsidRPr="006F29F5">
        <w:rPr>
          <w:rFonts w:cs="Times New Roman"/>
          <w:b w:val="0"/>
          <w:kern w:val="2"/>
          <w:sz w:val="20"/>
          <w:szCs w:val="28"/>
        </w:rPr>
        <w:t xml:space="preserve">Southern African Development Community Protocol </w:t>
      </w:r>
      <w:proofErr w:type="gramStart"/>
      <w:r w:rsidR="0037214C" w:rsidRPr="006F29F5">
        <w:rPr>
          <w:rFonts w:cs="Times New Roman"/>
          <w:b w:val="0"/>
          <w:kern w:val="2"/>
          <w:sz w:val="20"/>
          <w:szCs w:val="28"/>
        </w:rPr>
        <w:t>Against</w:t>
      </w:r>
      <w:proofErr w:type="gramEnd"/>
      <w:r w:rsidR="0037214C" w:rsidRPr="006F29F5">
        <w:rPr>
          <w:rFonts w:cs="Times New Roman"/>
          <w:b w:val="0"/>
          <w:kern w:val="2"/>
          <w:sz w:val="20"/>
          <w:szCs w:val="28"/>
        </w:rPr>
        <w:t xml:space="preserve"> Corruption</w:t>
      </w:r>
      <w:r w:rsidR="003F0188" w:rsidRPr="006F29F5">
        <w:rPr>
          <w:rFonts w:cs="Times New Roman"/>
          <w:b w:val="0"/>
          <w:kern w:val="2"/>
          <w:sz w:val="20"/>
          <w:szCs w:val="28"/>
        </w:rPr>
        <w:t xml:space="preserve"> (2001) </w:t>
      </w:r>
      <w:r w:rsidR="0037214C" w:rsidRPr="006F29F5">
        <w:rPr>
          <w:rFonts w:cs="Times New Roman"/>
          <w:b w:val="0"/>
          <w:kern w:val="2"/>
          <w:sz w:val="20"/>
          <w:szCs w:val="28"/>
        </w:rPr>
        <w:t xml:space="preserve">requires State Parties to seize, confiscate, provide mutual legal assistance and </w:t>
      </w:r>
      <w:r w:rsidR="00F312E7" w:rsidRPr="006F29F5">
        <w:rPr>
          <w:rFonts w:cs="Times New Roman"/>
          <w:b w:val="0"/>
          <w:kern w:val="2"/>
          <w:sz w:val="20"/>
          <w:szCs w:val="28"/>
        </w:rPr>
        <w:t xml:space="preserve">judicial cooperation: </w:t>
      </w:r>
      <w:r w:rsidR="00241EE6" w:rsidRPr="006F29F5">
        <w:rPr>
          <w:rFonts w:cs="Times New Roman"/>
          <w:b w:val="0"/>
          <w:kern w:val="2"/>
          <w:sz w:val="20"/>
          <w:szCs w:val="28"/>
        </w:rPr>
        <w:t>&lt;</w:t>
      </w:r>
      <w:hyperlink r:id="rId21" w:history="1">
        <w:r w:rsidR="00241EE6" w:rsidRPr="006F29F5">
          <w:rPr>
            <w:rStyle w:val="Hyperlink"/>
            <w:rFonts w:cs="Times New Roman"/>
            <w:b w:val="0"/>
            <w:kern w:val="2"/>
            <w:sz w:val="20"/>
            <w:szCs w:val="28"/>
          </w:rPr>
          <w:t>http://www.sadc.int/documents-publications/show/</w:t>
        </w:r>
      </w:hyperlink>
      <w:r w:rsidR="00241EE6" w:rsidRPr="006F29F5">
        <w:rPr>
          <w:rFonts w:cs="Times New Roman"/>
          <w:b w:val="0"/>
          <w:kern w:val="2"/>
          <w:sz w:val="20"/>
          <w:szCs w:val="28"/>
        </w:rPr>
        <w:t>&gt;.</w:t>
      </w:r>
      <w:bookmarkStart w:id="33" w:name="_Toc420329375"/>
      <w:bookmarkStart w:id="34" w:name="_Toc489961991"/>
    </w:p>
    <w:p w14:paraId="489227F1" w14:textId="73ACEA17" w:rsidR="00AA017C" w:rsidRPr="006F29F5" w:rsidRDefault="004F5235" w:rsidP="00BD3FB5">
      <w:pPr>
        <w:pStyle w:val="Heading1"/>
        <w:rPr>
          <w:sz w:val="28"/>
        </w:rPr>
      </w:pPr>
      <w:bookmarkStart w:id="35" w:name="_Toc505351643"/>
      <w:r w:rsidRPr="006F29F5">
        <w:rPr>
          <w:sz w:val="28"/>
        </w:rPr>
        <w:t>State-Level Asset Recovery Regimes</w:t>
      </w:r>
      <w:bookmarkEnd w:id="33"/>
      <w:bookmarkEnd w:id="34"/>
      <w:bookmarkEnd w:id="35"/>
    </w:p>
    <w:p w14:paraId="115FD9F7" w14:textId="0F7124AF" w:rsidR="00923832" w:rsidRPr="006F29F5" w:rsidRDefault="00923832" w:rsidP="00F52549">
      <w:pPr>
        <w:pStyle w:val="Heading2"/>
        <w:rPr>
          <w:kern w:val="2"/>
          <w:sz w:val="24"/>
        </w:rPr>
      </w:pPr>
      <w:bookmarkStart w:id="36" w:name="_Toc420329376"/>
      <w:bookmarkStart w:id="37" w:name="_Toc489961992"/>
      <w:r w:rsidRPr="006F29F5">
        <w:rPr>
          <w:kern w:val="2"/>
          <w:sz w:val="24"/>
        </w:rPr>
        <w:t>U</w:t>
      </w:r>
      <w:bookmarkEnd w:id="36"/>
      <w:r w:rsidR="00AF45B4" w:rsidRPr="006F29F5">
        <w:rPr>
          <w:kern w:val="2"/>
          <w:sz w:val="24"/>
        </w:rPr>
        <w:t>S</w:t>
      </w:r>
      <w:bookmarkEnd w:id="37"/>
    </w:p>
    <w:p w14:paraId="5C8C72FA" w14:textId="40BDB8AF" w:rsidR="005D6B91" w:rsidRDefault="009E574F" w:rsidP="00241EE6">
      <w:pPr>
        <w:widowControl w:val="0"/>
        <w:autoSpaceDE w:val="0"/>
        <w:autoSpaceDN w:val="0"/>
        <w:adjustRightInd w:val="0"/>
        <w:rPr>
          <w:rFonts w:cs="Times New Roman"/>
          <w:kern w:val="2"/>
          <w:sz w:val="20"/>
        </w:rPr>
      </w:pPr>
      <w:r w:rsidRPr="006F29F5">
        <w:rPr>
          <w:rFonts w:cs="Times New Roman"/>
          <w:kern w:val="2"/>
          <w:sz w:val="20"/>
        </w:rPr>
        <w:t>The following excerpt</w:t>
      </w:r>
      <w:r w:rsidR="00923832" w:rsidRPr="006F29F5">
        <w:rPr>
          <w:rFonts w:cs="Times New Roman"/>
          <w:kern w:val="2"/>
          <w:sz w:val="20"/>
        </w:rPr>
        <w:t xml:space="preserve"> from </w:t>
      </w:r>
      <w:r w:rsidR="00DA5CEB" w:rsidRPr="006F29F5">
        <w:rPr>
          <w:rFonts w:cs="Times New Roman"/>
          <w:kern w:val="2"/>
          <w:sz w:val="20"/>
        </w:rPr>
        <w:t>a 2011</w:t>
      </w:r>
      <w:r w:rsidR="00923832" w:rsidRPr="006F29F5">
        <w:rPr>
          <w:rFonts w:cs="Times New Roman"/>
          <w:kern w:val="2"/>
          <w:sz w:val="20"/>
        </w:rPr>
        <w:t xml:space="preserve"> </w:t>
      </w:r>
      <w:proofErr w:type="spellStart"/>
      <w:r w:rsidR="00923832" w:rsidRPr="006F29F5">
        <w:rPr>
          <w:rFonts w:cs="Times New Roman"/>
          <w:kern w:val="2"/>
          <w:sz w:val="20"/>
        </w:rPr>
        <w:t>StAR</w:t>
      </w:r>
      <w:proofErr w:type="spellEnd"/>
      <w:r w:rsidR="00923832" w:rsidRPr="006F29F5">
        <w:rPr>
          <w:rFonts w:cs="Times New Roman"/>
          <w:kern w:val="2"/>
          <w:sz w:val="20"/>
        </w:rPr>
        <w:t>/Wo</w:t>
      </w:r>
      <w:r w:rsidR="00D16F3C" w:rsidRPr="006F29F5">
        <w:rPr>
          <w:rFonts w:cs="Times New Roman"/>
          <w:kern w:val="2"/>
          <w:sz w:val="20"/>
        </w:rPr>
        <w:t>rld Bank publication</w:t>
      </w:r>
      <w:r w:rsidRPr="006F29F5">
        <w:rPr>
          <w:rFonts w:cs="Times New Roman"/>
          <w:kern w:val="2"/>
          <w:sz w:val="20"/>
        </w:rPr>
        <w:t>, entitled</w:t>
      </w:r>
      <w:r w:rsidR="00D16F3C" w:rsidRPr="006F29F5">
        <w:rPr>
          <w:rFonts w:cs="Times New Roman"/>
          <w:kern w:val="2"/>
          <w:sz w:val="20"/>
        </w:rPr>
        <w:t xml:space="preserve"> </w:t>
      </w:r>
      <w:r w:rsidR="00923832" w:rsidRPr="006F29F5">
        <w:rPr>
          <w:rFonts w:cs="Times New Roman"/>
          <w:i/>
          <w:kern w:val="2"/>
          <w:sz w:val="20"/>
        </w:rPr>
        <w:t xml:space="preserve">Barriers to </w:t>
      </w:r>
      <w:r w:rsidR="005D6A5A" w:rsidRPr="006F29F5">
        <w:rPr>
          <w:rFonts w:cs="Times New Roman"/>
          <w:i/>
          <w:kern w:val="2"/>
          <w:sz w:val="20"/>
        </w:rPr>
        <w:t>Asset</w:t>
      </w:r>
      <w:r w:rsidR="00923832" w:rsidRPr="006F29F5">
        <w:rPr>
          <w:rFonts w:cs="Times New Roman"/>
          <w:i/>
          <w:kern w:val="2"/>
          <w:sz w:val="20"/>
        </w:rPr>
        <w:t xml:space="preserve"> Recover</w:t>
      </w:r>
      <w:r w:rsidR="005D6A5A" w:rsidRPr="006F29F5">
        <w:rPr>
          <w:rFonts w:cs="Times New Roman"/>
          <w:i/>
          <w:kern w:val="2"/>
          <w:sz w:val="20"/>
        </w:rPr>
        <w:t>y</w:t>
      </w:r>
      <w:r w:rsidR="00923832" w:rsidRPr="006F29F5">
        <w:rPr>
          <w:rFonts w:cs="Times New Roman"/>
          <w:i/>
          <w:kern w:val="2"/>
          <w:sz w:val="20"/>
        </w:rPr>
        <w:t>: An Analysis of the Key Barriers and Recommendations for Action</w:t>
      </w:r>
      <w:r w:rsidR="00AF45B4" w:rsidRPr="006F29F5">
        <w:rPr>
          <w:rFonts w:cs="Times New Roman"/>
          <w:kern w:val="2"/>
          <w:sz w:val="20"/>
        </w:rPr>
        <w:t>,</w:t>
      </w:r>
      <w:r w:rsidR="009C7007" w:rsidRPr="006F29F5">
        <w:rPr>
          <w:rFonts w:cs="Times New Roman"/>
          <w:kern w:val="2"/>
          <w:sz w:val="20"/>
        </w:rPr>
        <w:t xml:space="preserve"> starts wi</w:t>
      </w:r>
      <w:r w:rsidR="00C25D2B" w:rsidRPr="006F29F5">
        <w:rPr>
          <w:rFonts w:cs="Times New Roman"/>
          <w:kern w:val="2"/>
          <w:sz w:val="20"/>
        </w:rPr>
        <w:t>th a summary of mutual legal assistance</w:t>
      </w:r>
      <w:r w:rsidR="009C7007" w:rsidRPr="006F29F5">
        <w:rPr>
          <w:rFonts w:cs="Times New Roman"/>
          <w:kern w:val="2"/>
          <w:sz w:val="20"/>
        </w:rPr>
        <w:t xml:space="preserve"> provisions in the US</w:t>
      </w:r>
      <w:r w:rsidR="00C25D2B" w:rsidRPr="006F29F5">
        <w:rPr>
          <w:rFonts w:cs="Times New Roman"/>
          <w:kern w:val="2"/>
          <w:sz w:val="20"/>
        </w:rPr>
        <w:t>,</w:t>
      </w:r>
      <w:r w:rsidR="009C7007" w:rsidRPr="006F29F5">
        <w:rPr>
          <w:rFonts w:cs="Times New Roman"/>
          <w:kern w:val="2"/>
          <w:sz w:val="20"/>
        </w:rPr>
        <w:t xml:space="preserve"> since MLA is usually essential</w:t>
      </w:r>
      <w:r w:rsidR="00C25D2B" w:rsidRPr="006F29F5">
        <w:rPr>
          <w:rFonts w:cs="Times New Roman"/>
          <w:kern w:val="2"/>
          <w:sz w:val="20"/>
        </w:rPr>
        <w:t xml:space="preserve"> to the pursuit of asset recovery in large-scale corruption cases</w:t>
      </w:r>
      <w:r w:rsidR="009C7007" w:rsidRPr="006F29F5">
        <w:rPr>
          <w:rFonts w:cs="Times New Roman"/>
          <w:kern w:val="2"/>
          <w:sz w:val="20"/>
        </w:rPr>
        <w:t>.</w:t>
      </w:r>
      <w:r w:rsidR="00D543AC" w:rsidRPr="006F29F5">
        <w:rPr>
          <w:rStyle w:val="FootnoteReference"/>
          <w:rFonts w:cs="Times New Roman"/>
          <w:kern w:val="2"/>
          <w:sz w:val="20"/>
        </w:rPr>
        <w:footnoteReference w:id="93"/>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3D0153" w14:paraId="1CB7CAB3" w14:textId="77777777" w:rsidTr="003D0153">
        <w:tc>
          <w:tcPr>
            <w:tcW w:w="8070" w:type="dxa"/>
            <w:tcBorders>
              <w:top w:val="nil"/>
              <w:left w:val="nil"/>
              <w:bottom w:val="nil"/>
              <w:right w:val="nil"/>
            </w:tcBorders>
            <w:shd w:val="clear" w:color="auto" w:fill="D9D9D9" w:themeFill="background1" w:themeFillShade="D9"/>
          </w:tcPr>
          <w:p w14:paraId="2D04084B" w14:textId="77777777" w:rsidR="003D0153" w:rsidRPr="003D0153" w:rsidRDefault="003D0153" w:rsidP="003D0153">
            <w:pPr>
              <w:pStyle w:val="ExcerptMarker"/>
              <w:spacing w:before="0"/>
              <w:rPr>
                <w:kern w:val="2"/>
                <w:sz w:val="16"/>
              </w:rPr>
            </w:pPr>
            <w:r w:rsidRPr="003D0153">
              <w:rPr>
                <w:kern w:val="2"/>
                <w:sz w:val="16"/>
              </w:rPr>
              <w:t>Beginning of Excerpt</w:t>
            </w:r>
          </w:p>
          <w:p w14:paraId="0EBEE503" w14:textId="77777777" w:rsidR="003D0153" w:rsidRPr="003D0153" w:rsidRDefault="003D0153" w:rsidP="003D0153">
            <w:pPr>
              <w:autoSpaceDE w:val="0"/>
              <w:autoSpaceDN w:val="0"/>
              <w:adjustRightInd w:val="0"/>
              <w:rPr>
                <w:rFonts w:cs="Times New Roman"/>
                <w:b/>
                <w:bCs/>
                <w:kern w:val="2"/>
                <w:sz w:val="20"/>
              </w:rPr>
            </w:pPr>
            <w:r w:rsidRPr="003D0153">
              <w:rPr>
                <w:rFonts w:cs="Times New Roman"/>
                <w:b/>
                <w:bCs/>
                <w:kern w:val="2"/>
                <w:sz w:val="20"/>
              </w:rPr>
              <w:t>United States</w:t>
            </w:r>
          </w:p>
          <w:p w14:paraId="4C646DAB" w14:textId="77777777" w:rsidR="003D0153" w:rsidRPr="003D0153" w:rsidRDefault="003D0153" w:rsidP="003D0153">
            <w:pPr>
              <w:autoSpaceDE w:val="0"/>
              <w:autoSpaceDN w:val="0"/>
              <w:adjustRightInd w:val="0"/>
              <w:rPr>
                <w:rFonts w:cs="Times New Roman"/>
                <w:b/>
                <w:bCs/>
                <w:iCs/>
                <w:kern w:val="2"/>
                <w:sz w:val="20"/>
              </w:rPr>
            </w:pPr>
            <w:r w:rsidRPr="003D0153">
              <w:rPr>
                <w:rFonts w:cs="Times New Roman"/>
                <w:b/>
                <w:bCs/>
                <w:iCs/>
                <w:kern w:val="2"/>
                <w:sz w:val="20"/>
              </w:rPr>
              <w:t>A. MLA Legal Framework and Preconditions to Cooperation (General)</w:t>
            </w:r>
          </w:p>
          <w:p w14:paraId="43D02132" w14:textId="77777777" w:rsidR="003D0153" w:rsidRPr="006F29F5" w:rsidRDefault="003D0153" w:rsidP="003D0153">
            <w:pPr>
              <w:autoSpaceDE w:val="0"/>
              <w:autoSpaceDN w:val="0"/>
              <w:adjustRightInd w:val="0"/>
              <w:ind w:left="720"/>
              <w:rPr>
                <w:rFonts w:cs="Times New Roman"/>
                <w:b/>
                <w:bCs/>
                <w:kern w:val="2"/>
                <w:sz w:val="20"/>
              </w:rPr>
            </w:pPr>
            <w:r w:rsidRPr="003D0153">
              <w:rPr>
                <w:rFonts w:cs="Times New Roman"/>
                <w:b/>
                <w:bCs/>
                <w:kern w:val="2"/>
                <w:sz w:val="20"/>
              </w:rPr>
              <w:t>A.1. Relevant Laws, Treaties, and Conventions Dealing with or Including a Component Relevant for MLA and Asset Recovery</w:t>
            </w:r>
          </w:p>
          <w:p w14:paraId="66D88D76" w14:textId="7263A708" w:rsidR="003D0153" w:rsidRPr="003D0153" w:rsidRDefault="003D0153" w:rsidP="003D0153">
            <w:pPr>
              <w:pStyle w:val="ListParagraph"/>
              <w:numPr>
                <w:ilvl w:val="0"/>
                <w:numId w:val="49"/>
              </w:numPr>
              <w:rPr>
                <w:b w:val="0"/>
                <w:kern w:val="2"/>
                <w:sz w:val="20"/>
              </w:rPr>
            </w:pPr>
            <w:r w:rsidRPr="006F29F5">
              <w:rPr>
                <w:b w:val="0"/>
                <w:kern w:val="2"/>
                <w:sz w:val="20"/>
              </w:rPr>
              <w:t xml:space="preserve">The United States provides assistance directly based on bilateral and multilateral treaties, letters of request, and letters </w:t>
            </w:r>
            <w:proofErr w:type="spellStart"/>
            <w:r w:rsidRPr="006F29F5">
              <w:rPr>
                <w:b w:val="0"/>
                <w:kern w:val="2"/>
                <w:sz w:val="20"/>
              </w:rPr>
              <w:t>rogatory</w:t>
            </w:r>
            <w:proofErr w:type="spellEnd"/>
            <w:r w:rsidRPr="006F29F5">
              <w:rPr>
                <w:b w:val="0"/>
                <w:kern w:val="2"/>
                <w:sz w:val="20"/>
              </w:rPr>
              <w:t>. The types of assistance available are very broad but, with regard to asset recovery, depend on the provisions of the applicable treaty or convention to a specific case.</w:t>
            </w:r>
          </w:p>
        </w:tc>
      </w:tr>
    </w:tbl>
    <w:tbl>
      <w:tblPr>
        <w:tblStyle w:val="TableGrid"/>
        <w:tblW w:w="0" w:type="auto"/>
        <w:jc w:val="center"/>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5D6B91" w:rsidRPr="006F29F5" w14:paraId="5AAF0A11" w14:textId="77777777" w:rsidTr="003D0153">
        <w:trPr>
          <w:jc w:val="center"/>
        </w:trPr>
        <w:tc>
          <w:tcPr>
            <w:tcW w:w="8080" w:type="dxa"/>
            <w:tcBorders>
              <w:top w:val="nil"/>
              <w:left w:val="nil"/>
              <w:bottom w:val="nil"/>
              <w:right w:val="nil"/>
            </w:tcBorders>
            <w:shd w:val="clear" w:color="auto" w:fill="D9D9D9" w:themeFill="background1" w:themeFillShade="D9"/>
          </w:tcPr>
          <w:p w14:paraId="138ACCD1" w14:textId="77777777" w:rsidR="005D6B91" w:rsidRPr="006F29F5" w:rsidRDefault="005D6B91" w:rsidP="003D0153">
            <w:pPr>
              <w:pStyle w:val="ListParagraph"/>
              <w:numPr>
                <w:ilvl w:val="0"/>
                <w:numId w:val="49"/>
              </w:numPr>
              <w:rPr>
                <w:b w:val="0"/>
                <w:kern w:val="2"/>
                <w:sz w:val="20"/>
              </w:rPr>
            </w:pPr>
            <w:r w:rsidRPr="006F29F5">
              <w:rPr>
                <w:b w:val="0"/>
                <w:kern w:val="2"/>
                <w:sz w:val="20"/>
              </w:rPr>
              <w:t xml:space="preserve">The United States has entered into bilateral MLA treaties with more than 70 jurisdictions, namely: Anguilla; Antigua and Barbuda; Argentina; Aruba; Australia; Austria; the Bahamas; Barbados; Belgium; Belize; Brazil; British Virgin Islands; Bulgaria; Canada; Cayman Islands; China; Colombia, Cyprus; Czech Republic; Denmark; Dominica; Arab Republic of Egypt; Estonia; Finland; France; Germany; Greece; Grenada; Guadeloupe; Hong Kong SAR, China; Hungary; India; Ireland; Israel; Italy; Jamaica; Japan; Republic of Korea; Latvia; Liechtenstein; Lithuania; Luxembourg; Malaysia; Malta; Martinique; Montserrat; Mexico; Morocco; Netherlands; Netherlands Antilles; Nigeria; Panama; the Philippines; Poland; Romania; Russian Federation; Singapore; Slovak Republic; St. Kitts and Nevis; St. Lucia; St. Vincent and the Grenadines; Slovenia; South Africa; Spain; Sweden; Switzerland; Thailand; Trinidad and Tobago; Turkey; Turks and Caicos Islands; Ukraine; United Kingdom; Uruguay; and </w:t>
            </w:r>
            <w:proofErr w:type="spellStart"/>
            <w:r w:rsidRPr="006F29F5">
              <w:rPr>
                <w:b w:val="0"/>
                <w:kern w:val="2"/>
                <w:sz w:val="20"/>
              </w:rPr>
              <w:t>República</w:t>
            </w:r>
            <w:proofErr w:type="spellEnd"/>
            <w:r w:rsidRPr="006F29F5">
              <w:rPr>
                <w:b w:val="0"/>
                <w:kern w:val="2"/>
                <w:sz w:val="20"/>
              </w:rPr>
              <w:t xml:space="preserve"> de </w:t>
            </w:r>
            <w:proofErr w:type="spellStart"/>
            <w:r w:rsidRPr="006F29F5">
              <w:rPr>
                <w:b w:val="0"/>
                <w:kern w:val="2"/>
                <w:sz w:val="20"/>
              </w:rPr>
              <w:t>Bolivariana</w:t>
            </w:r>
            <w:proofErr w:type="spellEnd"/>
            <w:r w:rsidRPr="006F29F5">
              <w:rPr>
                <w:b w:val="0"/>
                <w:kern w:val="2"/>
                <w:sz w:val="20"/>
              </w:rPr>
              <w:t xml:space="preserve"> Venezuela. An agreement was also entered into on June 25, 2003, between the United States and the European Union concerning mutual legal assistance that, among other things, provides a mechanism for more quickly exchanging information regarding bank accounts held by suspects in criminal investigations.</w:t>
            </w:r>
          </w:p>
          <w:p w14:paraId="0734C0AE" w14:textId="77777777" w:rsidR="005D6B91" w:rsidRPr="006F29F5" w:rsidRDefault="005D6B91" w:rsidP="003D0153">
            <w:pPr>
              <w:pStyle w:val="ListParagraph"/>
              <w:numPr>
                <w:ilvl w:val="0"/>
                <w:numId w:val="49"/>
              </w:numPr>
              <w:rPr>
                <w:b w:val="0"/>
                <w:kern w:val="2"/>
                <w:sz w:val="20"/>
              </w:rPr>
            </w:pPr>
            <w:r w:rsidRPr="006F29F5">
              <w:rPr>
                <w:b w:val="0"/>
                <w:kern w:val="2"/>
                <w:sz w:val="20"/>
              </w:rPr>
              <w:t xml:space="preserve">The United States has ratified the Merida Convention and may therefore grant MLA directly based on the provisions of the convention. The United States has also ratified the Inter-American Convention on Mutual Legal Assistance of the Organization of American States; the Vienna, Palermo, and the Financing of Terrorism conventions; the Inter-American Convention against Terrorism; the Inter-American Convention on Letters </w:t>
            </w:r>
            <w:proofErr w:type="spellStart"/>
            <w:r w:rsidRPr="006F29F5">
              <w:rPr>
                <w:b w:val="0"/>
                <w:kern w:val="2"/>
                <w:sz w:val="20"/>
              </w:rPr>
              <w:t>Rogatory</w:t>
            </w:r>
            <w:proofErr w:type="spellEnd"/>
            <w:r w:rsidRPr="006F29F5">
              <w:rPr>
                <w:b w:val="0"/>
                <w:kern w:val="2"/>
                <w:sz w:val="20"/>
              </w:rPr>
              <w:t xml:space="preserve"> and the Additional Protocol to the Convention; the OECD Convention on Combating Bribery of Foreign Public Officials in International Business Transactions; and the Inter-American Convention against Corruption.</w:t>
            </w:r>
          </w:p>
          <w:p w14:paraId="1495168F" w14:textId="77777777" w:rsidR="005D6B91" w:rsidRPr="006F29F5" w:rsidRDefault="005D6B91" w:rsidP="003D0153">
            <w:pPr>
              <w:pStyle w:val="ListParagraph"/>
              <w:numPr>
                <w:ilvl w:val="0"/>
                <w:numId w:val="49"/>
              </w:numPr>
              <w:rPr>
                <w:kern w:val="2"/>
                <w:sz w:val="20"/>
              </w:rPr>
            </w:pPr>
            <w:r w:rsidRPr="006F29F5">
              <w:rPr>
                <w:b w:val="0"/>
                <w:kern w:val="2"/>
                <w:sz w:val="20"/>
              </w:rPr>
              <w:t xml:space="preserve">The United States responds to requests in the form of letters of requests and letters </w:t>
            </w:r>
            <w:proofErr w:type="spellStart"/>
            <w:r w:rsidRPr="006F29F5">
              <w:rPr>
                <w:b w:val="0"/>
                <w:kern w:val="2"/>
                <w:sz w:val="20"/>
              </w:rPr>
              <w:t>rogatory</w:t>
            </w:r>
            <w:proofErr w:type="spellEnd"/>
            <w:r w:rsidRPr="006F29F5">
              <w:rPr>
                <w:b w:val="0"/>
                <w:kern w:val="2"/>
                <w:sz w:val="20"/>
              </w:rPr>
              <w:t>, as well as to MLA requests, pursuant to US Code Title 28 Section 1782 and US Code Title 18 Section 3512 even in the absence of a treaty relationship. The United States is able to provide broad assistance in response to requests from foreign authorities.</w:t>
            </w:r>
          </w:p>
          <w:p w14:paraId="2E674B3C" w14:textId="77777777" w:rsidR="005D6B91" w:rsidRPr="006F29F5" w:rsidRDefault="005D6B91" w:rsidP="003D0153">
            <w:pPr>
              <w:autoSpaceDE w:val="0"/>
              <w:autoSpaceDN w:val="0"/>
              <w:adjustRightInd w:val="0"/>
              <w:ind w:left="720"/>
              <w:rPr>
                <w:rFonts w:cs="Times New Roman"/>
                <w:b/>
                <w:bCs/>
                <w:kern w:val="2"/>
                <w:sz w:val="20"/>
              </w:rPr>
            </w:pPr>
            <w:r w:rsidRPr="006F29F5">
              <w:rPr>
                <w:rFonts w:cs="Times New Roman"/>
                <w:b/>
                <w:bCs/>
                <w:kern w:val="2"/>
                <w:sz w:val="20"/>
              </w:rPr>
              <w:t>A.2. Legal Preconditions for the Provision of MLA</w:t>
            </w:r>
          </w:p>
          <w:p w14:paraId="51E83164" w14:textId="77777777" w:rsidR="005D6B91" w:rsidRPr="006F29F5" w:rsidRDefault="005D6B91" w:rsidP="003D0153">
            <w:pPr>
              <w:pStyle w:val="ListParagraph"/>
              <w:numPr>
                <w:ilvl w:val="0"/>
                <w:numId w:val="50"/>
              </w:numPr>
              <w:rPr>
                <w:b w:val="0"/>
                <w:kern w:val="2"/>
                <w:sz w:val="20"/>
              </w:rPr>
            </w:pPr>
            <w:r w:rsidRPr="006F29F5">
              <w:rPr>
                <w:b w:val="0"/>
                <w:kern w:val="2"/>
                <w:sz w:val="20"/>
              </w:rPr>
              <w:t>Most bilateral MLA treaties do not generally require dual criminality. Some but not all of them require dual criminality with respect to coercive measures. When dual criminality is required, technical differences between the categorization of the crime in the United States and requesting state do not affect the provision of the requested assistance because the qualification of the offense is irrelevant, as long as the underlying acts are punishable in both states.</w:t>
            </w:r>
          </w:p>
          <w:p w14:paraId="63E4D275" w14:textId="77777777" w:rsidR="005D6B91" w:rsidRPr="006F29F5" w:rsidRDefault="005D6B91" w:rsidP="003D0153">
            <w:pPr>
              <w:pStyle w:val="ListParagraph"/>
              <w:numPr>
                <w:ilvl w:val="0"/>
                <w:numId w:val="50"/>
              </w:numPr>
              <w:rPr>
                <w:kern w:val="2"/>
                <w:sz w:val="20"/>
              </w:rPr>
            </w:pPr>
            <w:r w:rsidRPr="006F29F5">
              <w:rPr>
                <w:b w:val="0"/>
                <w:kern w:val="2"/>
                <w:sz w:val="20"/>
              </w:rPr>
              <w:t xml:space="preserve">Many forms of assistance based on letters of request or letters </w:t>
            </w:r>
            <w:proofErr w:type="spellStart"/>
            <w:r w:rsidRPr="006F29F5">
              <w:rPr>
                <w:b w:val="0"/>
                <w:kern w:val="2"/>
                <w:sz w:val="20"/>
              </w:rPr>
              <w:t>rogatory</w:t>
            </w:r>
            <w:proofErr w:type="spellEnd"/>
            <w:r w:rsidRPr="006F29F5">
              <w:rPr>
                <w:b w:val="0"/>
                <w:kern w:val="2"/>
                <w:sz w:val="20"/>
              </w:rPr>
              <w:t>, including the issuance of compulsory measures, do not require dual criminality.</w:t>
            </w:r>
          </w:p>
          <w:p w14:paraId="089281E5" w14:textId="77777777" w:rsidR="005D6B91" w:rsidRPr="006F29F5" w:rsidRDefault="005D6B91" w:rsidP="003D0153">
            <w:pPr>
              <w:autoSpaceDE w:val="0"/>
              <w:autoSpaceDN w:val="0"/>
              <w:adjustRightInd w:val="0"/>
              <w:ind w:left="720"/>
              <w:rPr>
                <w:rFonts w:cs="Times New Roman"/>
                <w:b/>
                <w:bCs/>
                <w:kern w:val="2"/>
                <w:sz w:val="20"/>
              </w:rPr>
            </w:pPr>
            <w:r w:rsidRPr="006F29F5">
              <w:rPr>
                <w:rFonts w:cs="Times New Roman"/>
                <w:b/>
                <w:bCs/>
                <w:kern w:val="2"/>
                <w:sz w:val="20"/>
              </w:rPr>
              <w:t>A.3. Grounds for Refusal of MLA</w:t>
            </w:r>
          </w:p>
          <w:p w14:paraId="1B281700" w14:textId="77777777" w:rsidR="005D6B91" w:rsidRPr="006F29F5" w:rsidRDefault="005D6B91" w:rsidP="003D0153">
            <w:pPr>
              <w:pStyle w:val="ListParagraph"/>
              <w:numPr>
                <w:ilvl w:val="0"/>
                <w:numId w:val="51"/>
              </w:numPr>
              <w:rPr>
                <w:b w:val="0"/>
                <w:kern w:val="2"/>
                <w:sz w:val="20"/>
              </w:rPr>
            </w:pPr>
            <w:r w:rsidRPr="006F29F5">
              <w:rPr>
                <w:b w:val="0"/>
                <w:kern w:val="2"/>
                <w:sz w:val="20"/>
              </w:rPr>
              <w:t>Grounds for refusals are set out in the applicable bilateral and multilateral agreements, such as Article 7 of the Vienna Convention, Article 18 of the Palermo Convention, and Article 46 of the Merida Convention.</w:t>
            </w:r>
          </w:p>
          <w:p w14:paraId="6710A0FD" w14:textId="77777777" w:rsidR="005D6B91" w:rsidRPr="006F29F5" w:rsidRDefault="005D6B91" w:rsidP="003D0153">
            <w:pPr>
              <w:autoSpaceDE w:val="0"/>
              <w:autoSpaceDN w:val="0"/>
              <w:adjustRightInd w:val="0"/>
              <w:rPr>
                <w:rFonts w:cs="Times New Roman"/>
                <w:b/>
                <w:bCs/>
                <w:iCs/>
                <w:kern w:val="2"/>
                <w:sz w:val="20"/>
              </w:rPr>
            </w:pPr>
            <w:r w:rsidRPr="006F29F5">
              <w:rPr>
                <w:rFonts w:cs="Times New Roman"/>
                <w:b/>
                <w:bCs/>
                <w:iCs/>
                <w:kern w:val="2"/>
                <w:sz w:val="20"/>
              </w:rPr>
              <w:t>B. MLA General Procedures</w:t>
            </w:r>
          </w:p>
          <w:p w14:paraId="0298A0E3" w14:textId="33F59678" w:rsidR="005D6B91" w:rsidRPr="006F29F5" w:rsidRDefault="005D6B91" w:rsidP="003D0153">
            <w:pPr>
              <w:autoSpaceDE w:val="0"/>
              <w:autoSpaceDN w:val="0"/>
              <w:adjustRightInd w:val="0"/>
              <w:ind w:left="720"/>
              <w:rPr>
                <w:rFonts w:cs="Times New Roman"/>
                <w:b/>
                <w:bCs/>
                <w:kern w:val="2"/>
                <w:sz w:val="20"/>
              </w:rPr>
            </w:pPr>
            <w:r w:rsidRPr="006F29F5">
              <w:rPr>
                <w:rFonts w:cs="Times New Roman"/>
                <w:b/>
                <w:bCs/>
                <w:kern w:val="2"/>
                <w:sz w:val="20"/>
              </w:rPr>
              <w:t>B.1. Central Authority Competent to Receive, Process, and Implement MLA</w:t>
            </w:r>
            <w:r w:rsidR="00714572" w:rsidRPr="006F29F5">
              <w:rPr>
                <w:rFonts w:cs="Times New Roman"/>
                <w:b/>
                <w:bCs/>
                <w:kern w:val="2"/>
                <w:sz w:val="20"/>
              </w:rPr>
              <w:t xml:space="preserve"> </w:t>
            </w:r>
            <w:r w:rsidRPr="006F29F5">
              <w:rPr>
                <w:rFonts w:cs="Times New Roman"/>
                <w:b/>
                <w:bCs/>
                <w:kern w:val="2"/>
                <w:sz w:val="20"/>
              </w:rPr>
              <w:t>Requests in Criminal Matters</w:t>
            </w:r>
          </w:p>
          <w:p w14:paraId="045152D2" w14:textId="77777777" w:rsidR="005D6B91" w:rsidRPr="006F29F5" w:rsidRDefault="005D6B91" w:rsidP="003D0153">
            <w:pPr>
              <w:pStyle w:val="ListParagraph"/>
              <w:numPr>
                <w:ilvl w:val="0"/>
                <w:numId w:val="51"/>
              </w:numPr>
              <w:rPr>
                <w:b w:val="0"/>
                <w:kern w:val="2"/>
                <w:sz w:val="20"/>
              </w:rPr>
            </w:pPr>
            <w:r w:rsidRPr="006F29F5">
              <w:rPr>
                <w:b w:val="0"/>
                <w:kern w:val="2"/>
                <w:sz w:val="20"/>
              </w:rPr>
              <w:t>The Office of International Affairs of the Department of Justice (OIA) is the U.S. central authority for all requests for MLA and coordinates all international evidence gathering.</w:t>
            </w:r>
          </w:p>
          <w:p w14:paraId="24CFE84F" w14:textId="77777777" w:rsidR="005D6B91" w:rsidRPr="006F29F5" w:rsidRDefault="005D6B91" w:rsidP="003D0153">
            <w:pPr>
              <w:pStyle w:val="ListParagraph"/>
              <w:numPr>
                <w:ilvl w:val="0"/>
                <w:numId w:val="51"/>
              </w:numPr>
              <w:rPr>
                <w:b w:val="0"/>
                <w:kern w:val="2"/>
                <w:sz w:val="20"/>
              </w:rPr>
            </w:pPr>
            <w:r w:rsidRPr="006F29F5">
              <w:rPr>
                <w:b w:val="0"/>
                <w:kern w:val="2"/>
                <w:sz w:val="20"/>
              </w:rPr>
              <w:t>OIA has attorneys and support staff with responsibilities and expertise in various parts of the world and in different substantive areas. The OIA executes MLA requests through competent law enforcement authorities, such as the United States Attorney’s Offices, ICE (Immigration and Customs Enforcement), USSS (United States Secret Service), FBI (Federal Bureau of Investigation), the USMS (United States Marshall’s Service), Interpol, and others. Requests for freezing, seizing, or confiscation of assets are executed in close cooperation with the Department of Justice’s Asset Forfeiture Money Laundering Section.</w:t>
            </w:r>
          </w:p>
          <w:p w14:paraId="15385770" w14:textId="77777777" w:rsidR="005D6B91" w:rsidRPr="006F29F5" w:rsidRDefault="005D6B91" w:rsidP="003D0153">
            <w:pPr>
              <w:autoSpaceDE w:val="0"/>
              <w:autoSpaceDN w:val="0"/>
              <w:adjustRightInd w:val="0"/>
              <w:ind w:left="720"/>
              <w:rPr>
                <w:rFonts w:cs="Times New Roman"/>
                <w:b/>
                <w:bCs/>
                <w:kern w:val="2"/>
                <w:sz w:val="20"/>
              </w:rPr>
            </w:pPr>
            <w:r w:rsidRPr="006F29F5">
              <w:rPr>
                <w:rFonts w:cs="Times New Roman"/>
                <w:b/>
                <w:bCs/>
                <w:kern w:val="2"/>
                <w:sz w:val="20"/>
              </w:rPr>
              <w:t>B.2. Language Requirements</w:t>
            </w:r>
          </w:p>
          <w:p w14:paraId="7EBCC288" w14:textId="77777777" w:rsidR="005D6B91" w:rsidRPr="006F29F5" w:rsidRDefault="005D6B91" w:rsidP="003D0153">
            <w:pPr>
              <w:pStyle w:val="ListParagraph"/>
              <w:numPr>
                <w:ilvl w:val="0"/>
                <w:numId w:val="52"/>
              </w:numPr>
              <w:rPr>
                <w:b w:val="0"/>
                <w:kern w:val="2"/>
                <w:sz w:val="20"/>
              </w:rPr>
            </w:pPr>
            <w:r w:rsidRPr="006F29F5">
              <w:rPr>
                <w:b w:val="0"/>
                <w:kern w:val="2"/>
                <w:sz w:val="20"/>
              </w:rPr>
              <w:t>English is the preferred language for requests. Requesting jurisdictions could incur translation costs if the request is submitted in any other language.</w:t>
            </w:r>
          </w:p>
          <w:p w14:paraId="04EDCEDF" w14:textId="77777777" w:rsidR="005D6B91" w:rsidRPr="006F29F5" w:rsidRDefault="005D6B91" w:rsidP="003D0153">
            <w:pPr>
              <w:autoSpaceDE w:val="0"/>
              <w:autoSpaceDN w:val="0"/>
              <w:adjustRightInd w:val="0"/>
              <w:rPr>
                <w:rFonts w:cs="Times New Roman"/>
                <w:b/>
                <w:bCs/>
                <w:iCs/>
                <w:kern w:val="2"/>
                <w:sz w:val="20"/>
              </w:rPr>
            </w:pPr>
            <w:r w:rsidRPr="006F29F5">
              <w:rPr>
                <w:rFonts w:cs="Times New Roman"/>
                <w:b/>
                <w:bCs/>
                <w:iCs/>
                <w:kern w:val="2"/>
                <w:sz w:val="20"/>
              </w:rPr>
              <w:t>C. Asset Recovery Specific</w:t>
            </w:r>
          </w:p>
          <w:p w14:paraId="77183A72" w14:textId="77777777" w:rsidR="005D6B91" w:rsidRPr="006F29F5" w:rsidRDefault="005D6B91" w:rsidP="003D0153">
            <w:pPr>
              <w:autoSpaceDE w:val="0"/>
              <w:autoSpaceDN w:val="0"/>
              <w:adjustRightInd w:val="0"/>
              <w:ind w:left="720"/>
              <w:rPr>
                <w:rFonts w:cs="Times New Roman"/>
                <w:b/>
                <w:bCs/>
                <w:kern w:val="2"/>
                <w:sz w:val="20"/>
              </w:rPr>
            </w:pPr>
            <w:r w:rsidRPr="006F29F5">
              <w:rPr>
                <w:rFonts w:cs="Times New Roman"/>
                <w:b/>
                <w:bCs/>
                <w:kern w:val="2"/>
                <w:sz w:val="20"/>
              </w:rPr>
              <w:t>C.1. Stage of Proceedings at Which Assistance may be Requested</w:t>
            </w:r>
          </w:p>
          <w:p w14:paraId="181E7D87" w14:textId="77777777" w:rsidR="005D6B91" w:rsidRPr="006F29F5" w:rsidRDefault="005D6B91" w:rsidP="003D0153">
            <w:pPr>
              <w:pStyle w:val="ListParagraph"/>
              <w:numPr>
                <w:ilvl w:val="0"/>
                <w:numId w:val="52"/>
              </w:numPr>
              <w:rPr>
                <w:b w:val="0"/>
                <w:kern w:val="2"/>
                <w:sz w:val="20"/>
              </w:rPr>
            </w:pPr>
            <w:r w:rsidRPr="006F29F5">
              <w:rPr>
                <w:b w:val="0"/>
                <w:kern w:val="2"/>
                <w:sz w:val="20"/>
              </w:rPr>
              <w:t>Most bilateral treaties allow for the provision of MLA during the investigative stage. Equally, OIA may apply to the courts for a production order or a search, freezing, or seizing warrant once an investigation has commenced in the requesting country, depending on the provisions of the MLA treaty or convention at issue.</w:t>
            </w:r>
          </w:p>
          <w:p w14:paraId="11EBB53A" w14:textId="77777777" w:rsidR="005D6B91" w:rsidRPr="006F29F5" w:rsidRDefault="005D6B91" w:rsidP="003D0153">
            <w:pPr>
              <w:autoSpaceDE w:val="0"/>
              <w:autoSpaceDN w:val="0"/>
              <w:adjustRightInd w:val="0"/>
              <w:rPr>
                <w:rFonts w:cs="Times New Roman"/>
                <w:b/>
                <w:bCs/>
                <w:iCs/>
                <w:kern w:val="2"/>
                <w:sz w:val="20"/>
              </w:rPr>
            </w:pPr>
            <w:r w:rsidRPr="006F29F5">
              <w:rPr>
                <w:rFonts w:cs="Times New Roman"/>
                <w:b/>
                <w:bCs/>
                <w:iCs/>
                <w:kern w:val="2"/>
                <w:sz w:val="20"/>
              </w:rPr>
              <w:t>Tracing</w:t>
            </w:r>
          </w:p>
          <w:p w14:paraId="44035468" w14:textId="77777777" w:rsidR="005D6B91" w:rsidRPr="006F29F5" w:rsidRDefault="005D6B91" w:rsidP="003D0153">
            <w:pPr>
              <w:autoSpaceDE w:val="0"/>
              <w:autoSpaceDN w:val="0"/>
              <w:adjustRightInd w:val="0"/>
              <w:ind w:left="720"/>
              <w:rPr>
                <w:rFonts w:cs="Times New Roman"/>
                <w:b/>
                <w:bCs/>
                <w:kern w:val="2"/>
                <w:sz w:val="20"/>
              </w:rPr>
            </w:pPr>
            <w:r w:rsidRPr="006F29F5">
              <w:rPr>
                <w:rFonts w:cs="Times New Roman"/>
                <w:b/>
                <w:bCs/>
                <w:kern w:val="2"/>
                <w:sz w:val="20"/>
              </w:rPr>
              <w:t>C.2. Available Tracing Mechanisms</w:t>
            </w:r>
          </w:p>
          <w:p w14:paraId="3396F7D1" w14:textId="77777777" w:rsidR="005D6B91" w:rsidRPr="006F29F5" w:rsidRDefault="005D6B91" w:rsidP="003D0153">
            <w:pPr>
              <w:pStyle w:val="ListParagraph"/>
              <w:numPr>
                <w:ilvl w:val="0"/>
                <w:numId w:val="52"/>
              </w:numPr>
              <w:rPr>
                <w:b w:val="0"/>
                <w:kern w:val="2"/>
                <w:sz w:val="20"/>
              </w:rPr>
            </w:pPr>
            <w:r w:rsidRPr="006F29F5">
              <w:rPr>
                <w:b w:val="0"/>
                <w:kern w:val="2"/>
                <w:sz w:val="20"/>
              </w:rPr>
              <w:t>The types of measures available with respect to MLA requests by a specific country and with respect to a specific offense depend on the provisions of the applicable multilateral and bilateral treaties. In general, bilateral treaties allow for a substantial range of measures, including taking the testimony or statements of persons; providing documents, records, and other items; locating or identifying persons or items; serving documents; transferring persons in custody for testimony or other purposes; executing searches and seizures; assisting in proceedings related to immobilization and forfeiture of assets and restitution; collection of fines; and any other form of assistance not prohibited by the laws of the requested state.</w:t>
            </w:r>
          </w:p>
          <w:p w14:paraId="4444A3DD" w14:textId="77777777" w:rsidR="005D6B91" w:rsidRPr="006F29F5" w:rsidRDefault="005D6B91" w:rsidP="003D0153">
            <w:pPr>
              <w:pStyle w:val="ListParagraph"/>
              <w:numPr>
                <w:ilvl w:val="0"/>
                <w:numId w:val="52"/>
              </w:numPr>
              <w:rPr>
                <w:b w:val="0"/>
                <w:kern w:val="2"/>
                <w:sz w:val="20"/>
              </w:rPr>
            </w:pPr>
            <w:r w:rsidRPr="006F29F5">
              <w:rPr>
                <w:b w:val="0"/>
                <w:kern w:val="2"/>
                <w:sz w:val="20"/>
              </w:rPr>
              <w:t xml:space="preserve">For requests based on letters of request or letters </w:t>
            </w:r>
            <w:proofErr w:type="spellStart"/>
            <w:r w:rsidRPr="006F29F5">
              <w:rPr>
                <w:b w:val="0"/>
                <w:kern w:val="2"/>
                <w:sz w:val="20"/>
              </w:rPr>
              <w:t>rogatory</w:t>
            </w:r>
            <w:proofErr w:type="spellEnd"/>
            <w:r w:rsidRPr="006F29F5">
              <w:rPr>
                <w:b w:val="0"/>
                <w:kern w:val="2"/>
                <w:sz w:val="20"/>
              </w:rPr>
              <w:t>, OIA, based on US Code Title 18 Section 3512 or Title 28 Section 1782, may request the district court to order any person to give a testimony or statement or to produce a document or other thing for use in proceedings in a foreign tribunal, including in the course of criminal investigations conducted before the filing of formal accusations. Furthermore, OIA may apply to a federal judge for issuance of search warrants and other compulsory measures.</w:t>
            </w:r>
          </w:p>
          <w:p w14:paraId="2F264370" w14:textId="77777777" w:rsidR="005D6B91" w:rsidRPr="006F29F5" w:rsidRDefault="005D6B91" w:rsidP="003D0153">
            <w:pPr>
              <w:autoSpaceDE w:val="0"/>
              <w:autoSpaceDN w:val="0"/>
              <w:adjustRightInd w:val="0"/>
              <w:ind w:left="720"/>
              <w:rPr>
                <w:rFonts w:cs="Times New Roman"/>
                <w:b/>
                <w:bCs/>
                <w:kern w:val="2"/>
                <w:sz w:val="20"/>
              </w:rPr>
            </w:pPr>
            <w:r w:rsidRPr="006F29F5">
              <w:rPr>
                <w:rFonts w:cs="Times New Roman"/>
                <w:b/>
                <w:bCs/>
                <w:kern w:val="2"/>
                <w:sz w:val="20"/>
              </w:rPr>
              <w:t>C.3. Access to Information Covered by Banking or Professional Secrecy</w:t>
            </w:r>
          </w:p>
          <w:p w14:paraId="1BCBC938" w14:textId="77777777" w:rsidR="005D6B91" w:rsidRPr="006F29F5" w:rsidRDefault="005D6B91" w:rsidP="003D0153">
            <w:pPr>
              <w:pStyle w:val="ListParagraph"/>
              <w:numPr>
                <w:ilvl w:val="0"/>
                <w:numId w:val="53"/>
              </w:numPr>
              <w:rPr>
                <w:b w:val="0"/>
                <w:kern w:val="2"/>
                <w:sz w:val="20"/>
              </w:rPr>
            </w:pPr>
            <w:r w:rsidRPr="006F29F5">
              <w:rPr>
                <w:b w:val="0"/>
                <w:kern w:val="2"/>
                <w:sz w:val="20"/>
              </w:rPr>
              <w:t>Information covered by financial secrecy may be provided, if necessary by a court order.</w:t>
            </w:r>
          </w:p>
          <w:p w14:paraId="51E7677A" w14:textId="77777777" w:rsidR="005D6B91" w:rsidRPr="006F29F5" w:rsidRDefault="005D6B91" w:rsidP="003D0153">
            <w:pPr>
              <w:pStyle w:val="ListParagraph"/>
              <w:numPr>
                <w:ilvl w:val="0"/>
                <w:numId w:val="53"/>
              </w:numPr>
              <w:rPr>
                <w:b w:val="0"/>
                <w:kern w:val="2"/>
                <w:sz w:val="20"/>
              </w:rPr>
            </w:pPr>
            <w:r w:rsidRPr="006F29F5">
              <w:rPr>
                <w:b w:val="0"/>
                <w:kern w:val="2"/>
                <w:sz w:val="20"/>
              </w:rPr>
              <w:t>Information subject to professional legal privilege is protected from disclosure.</w:t>
            </w:r>
          </w:p>
          <w:p w14:paraId="294FE184" w14:textId="77777777" w:rsidR="00D543AC" w:rsidRPr="006F29F5" w:rsidRDefault="00D543AC" w:rsidP="003D0153">
            <w:pPr>
              <w:pStyle w:val="ListParagraph"/>
              <w:numPr>
                <w:ilvl w:val="0"/>
                <w:numId w:val="0"/>
              </w:numPr>
              <w:ind w:left="360"/>
              <w:rPr>
                <w:b w:val="0"/>
                <w:kern w:val="2"/>
                <w:sz w:val="20"/>
              </w:rPr>
            </w:pPr>
          </w:p>
          <w:p w14:paraId="12EFB228" w14:textId="77777777" w:rsidR="005D6B91" w:rsidRPr="006F29F5" w:rsidRDefault="005D6B91" w:rsidP="003D0153">
            <w:pPr>
              <w:autoSpaceDE w:val="0"/>
              <w:autoSpaceDN w:val="0"/>
              <w:adjustRightInd w:val="0"/>
              <w:rPr>
                <w:rFonts w:cs="Times New Roman"/>
                <w:b/>
                <w:bCs/>
                <w:iCs/>
                <w:kern w:val="2"/>
                <w:sz w:val="20"/>
              </w:rPr>
            </w:pPr>
            <w:r w:rsidRPr="006F29F5">
              <w:rPr>
                <w:rFonts w:cs="Times New Roman"/>
                <w:b/>
                <w:bCs/>
                <w:iCs/>
                <w:kern w:val="2"/>
                <w:sz w:val="20"/>
              </w:rPr>
              <w:t>Provisional Measures (Freezing, Seizing, and Restraint Orders)</w:t>
            </w:r>
          </w:p>
          <w:p w14:paraId="5AA9C158" w14:textId="77777777" w:rsidR="005D6B91" w:rsidRPr="006F29F5" w:rsidRDefault="005D6B91" w:rsidP="003D0153">
            <w:pPr>
              <w:autoSpaceDE w:val="0"/>
              <w:autoSpaceDN w:val="0"/>
              <w:adjustRightInd w:val="0"/>
              <w:ind w:left="720"/>
              <w:rPr>
                <w:rFonts w:cs="Times New Roman"/>
                <w:b/>
                <w:bCs/>
                <w:kern w:val="2"/>
                <w:sz w:val="20"/>
              </w:rPr>
            </w:pPr>
            <w:r w:rsidRPr="006F29F5">
              <w:rPr>
                <w:rFonts w:cs="Times New Roman"/>
                <w:b/>
                <w:bCs/>
                <w:kern w:val="2"/>
                <w:sz w:val="20"/>
              </w:rPr>
              <w:t>C.4. Direct Enforcement of Foreign Freezing and Seizing Orders</w:t>
            </w:r>
          </w:p>
          <w:p w14:paraId="556E85D5" w14:textId="77777777" w:rsidR="005D6B91" w:rsidRPr="006F29F5" w:rsidRDefault="005D6B91" w:rsidP="003D0153">
            <w:pPr>
              <w:pStyle w:val="ListParagraph"/>
              <w:numPr>
                <w:ilvl w:val="0"/>
                <w:numId w:val="54"/>
              </w:numPr>
              <w:rPr>
                <w:b w:val="0"/>
                <w:kern w:val="2"/>
                <w:sz w:val="20"/>
              </w:rPr>
            </w:pPr>
            <w:r w:rsidRPr="006F29F5">
              <w:rPr>
                <w:b w:val="0"/>
                <w:kern w:val="2"/>
                <w:sz w:val="20"/>
              </w:rPr>
              <w:t>For requests based on a treaty or agreement that provides for assistance in forfeiture (for example, the Merida Convention), US Code Title 28 Section 2467 allows for the registration and subsequent direct enforcement of foreign restraining orders to preserve property that is or may become subject to forfeiture or confiscation. Recent case law has called into question the viability of this option in the prejudgment context, and the Department of Justice is considering the need for a statutory amendment to clarify the congressional intent to enforce foreign prejudgment restraining orders.</w:t>
            </w:r>
          </w:p>
          <w:p w14:paraId="07BEE650" w14:textId="77777777" w:rsidR="005D6B91" w:rsidRPr="006F29F5" w:rsidRDefault="005D6B91" w:rsidP="003D0153">
            <w:pPr>
              <w:pStyle w:val="ListParagraph"/>
              <w:numPr>
                <w:ilvl w:val="0"/>
                <w:numId w:val="54"/>
              </w:numPr>
              <w:rPr>
                <w:b w:val="0"/>
                <w:kern w:val="2"/>
                <w:sz w:val="20"/>
              </w:rPr>
            </w:pPr>
            <w:r w:rsidRPr="006F29F5">
              <w:rPr>
                <w:b w:val="0"/>
                <w:kern w:val="2"/>
                <w:sz w:val="20"/>
              </w:rPr>
              <w:t>Requests for enforcement of foreign orders have to be submitted, along with a certified copy of the foreign order, to the U.S. attorney general, who will make a final decision on whether to grant the request.</w:t>
            </w:r>
          </w:p>
          <w:p w14:paraId="399FA030" w14:textId="77777777" w:rsidR="005D6B91" w:rsidRPr="006F29F5" w:rsidRDefault="005D6B91" w:rsidP="003D0153">
            <w:pPr>
              <w:autoSpaceDE w:val="0"/>
              <w:autoSpaceDN w:val="0"/>
              <w:adjustRightInd w:val="0"/>
              <w:spacing w:before="0"/>
              <w:ind w:left="720"/>
              <w:jc w:val="left"/>
              <w:rPr>
                <w:rFonts w:cs="Times New Roman"/>
                <w:b/>
                <w:bCs/>
                <w:kern w:val="2"/>
                <w:sz w:val="20"/>
              </w:rPr>
            </w:pPr>
            <w:r w:rsidRPr="006F29F5">
              <w:rPr>
                <w:rFonts w:cs="Times New Roman"/>
                <w:b/>
                <w:bCs/>
                <w:kern w:val="2"/>
                <w:sz w:val="20"/>
              </w:rPr>
              <w:t>C.5. Issuance of Domestic Provisional Measures upon Request by a Foreign Jurisdiction</w:t>
            </w:r>
          </w:p>
          <w:p w14:paraId="61E65AEE" w14:textId="77777777" w:rsidR="005D6B91" w:rsidRPr="006F29F5" w:rsidRDefault="005D6B91" w:rsidP="003D0153">
            <w:pPr>
              <w:pStyle w:val="ListParagraph"/>
              <w:numPr>
                <w:ilvl w:val="0"/>
                <w:numId w:val="55"/>
              </w:numPr>
              <w:rPr>
                <w:b w:val="0"/>
                <w:kern w:val="2"/>
                <w:sz w:val="20"/>
              </w:rPr>
            </w:pPr>
            <w:r w:rsidRPr="006F29F5">
              <w:rPr>
                <w:kern w:val="2"/>
                <w:sz w:val="20"/>
              </w:rPr>
              <w:t>Legal basis:</w:t>
            </w:r>
            <w:r w:rsidRPr="006F29F5">
              <w:rPr>
                <w:b w:val="0"/>
                <w:kern w:val="2"/>
                <w:sz w:val="20"/>
              </w:rPr>
              <w:t xml:space="preserve"> US Code Title 28 Section 2467</w:t>
            </w:r>
          </w:p>
          <w:p w14:paraId="45AFE1D9" w14:textId="77777777" w:rsidR="005D6B91" w:rsidRPr="006F29F5" w:rsidRDefault="005D6B91" w:rsidP="003D0153">
            <w:pPr>
              <w:pStyle w:val="ListParagraph"/>
              <w:numPr>
                <w:ilvl w:val="0"/>
                <w:numId w:val="55"/>
              </w:numPr>
              <w:rPr>
                <w:b w:val="0"/>
                <w:kern w:val="2"/>
                <w:sz w:val="20"/>
              </w:rPr>
            </w:pPr>
            <w:r w:rsidRPr="006F29F5">
              <w:rPr>
                <w:kern w:val="2"/>
                <w:sz w:val="20"/>
              </w:rPr>
              <w:t>Procedure:</w:t>
            </w:r>
            <w:r w:rsidRPr="006F29F5">
              <w:rPr>
                <w:b w:val="0"/>
                <w:kern w:val="2"/>
                <w:sz w:val="20"/>
              </w:rPr>
              <w:t xml:space="preserve"> OIA, often in conjunction with the Asset Forfeiture and Money Laundering Section, may apply to the courts for issuance of a restraining order on behalf of the requesting country.</w:t>
            </w:r>
          </w:p>
          <w:p w14:paraId="2712186A" w14:textId="77777777" w:rsidR="005D6B91" w:rsidRPr="006F29F5" w:rsidRDefault="005D6B91" w:rsidP="003D0153">
            <w:pPr>
              <w:pStyle w:val="ListParagraph"/>
              <w:numPr>
                <w:ilvl w:val="0"/>
                <w:numId w:val="55"/>
              </w:numPr>
              <w:rPr>
                <w:b w:val="0"/>
                <w:kern w:val="2"/>
                <w:sz w:val="20"/>
              </w:rPr>
            </w:pPr>
            <w:r w:rsidRPr="006F29F5">
              <w:rPr>
                <w:kern w:val="2"/>
                <w:sz w:val="20"/>
              </w:rPr>
              <w:t>Evidentiary requirements:</w:t>
            </w:r>
            <w:r w:rsidRPr="006F29F5">
              <w:rPr>
                <w:b w:val="0"/>
                <w:kern w:val="2"/>
                <w:sz w:val="20"/>
              </w:rPr>
              <w:t xml:space="preserve"> The United States may initiate domestic seizing proceedings if the requesting country can establish through written affidavit that an investigation or proceeding is under way and that there are reasonable grounds to believe that the property to be restrained will be confiscated at the conclusion of such proceedings. The request has to be made pursuant to a treaty or agreement that provides for mutual assistance in forfeiture, and the foreign offenses that give rise to confiscation also have to give rise to confiscation under U.S. federal law.</w:t>
            </w:r>
          </w:p>
          <w:p w14:paraId="27E3DD14" w14:textId="77777777" w:rsidR="005D6B91" w:rsidRPr="006F29F5" w:rsidRDefault="005D6B91" w:rsidP="003D0153">
            <w:pPr>
              <w:pStyle w:val="ListParagraph"/>
              <w:numPr>
                <w:ilvl w:val="0"/>
                <w:numId w:val="55"/>
              </w:numPr>
              <w:rPr>
                <w:b w:val="0"/>
                <w:kern w:val="2"/>
                <w:sz w:val="20"/>
              </w:rPr>
            </w:pPr>
            <w:r w:rsidRPr="006F29F5">
              <w:rPr>
                <w:kern w:val="2"/>
                <w:sz w:val="20"/>
              </w:rPr>
              <w:t>Time limit:</w:t>
            </w:r>
            <w:r w:rsidRPr="006F29F5">
              <w:rPr>
                <w:b w:val="0"/>
                <w:kern w:val="2"/>
                <w:sz w:val="20"/>
              </w:rPr>
              <w:t xml:space="preserve"> None, if a permanent restraining order was issued in foreign state. If the requesting country has arrested or charged somebody, property that might become subject to confiscation may be restrained for 30 days even without the requirement to establish probable cause, but upon the expectation the United States will file its own </w:t>
            </w:r>
            <w:r w:rsidRPr="006F29F5">
              <w:rPr>
                <w:b w:val="0"/>
                <w:i/>
                <w:iCs/>
                <w:kern w:val="2"/>
                <w:sz w:val="20"/>
              </w:rPr>
              <w:t xml:space="preserve">in rem </w:t>
            </w:r>
            <w:r w:rsidRPr="006F29F5">
              <w:rPr>
                <w:b w:val="0"/>
                <w:kern w:val="2"/>
                <w:sz w:val="20"/>
              </w:rPr>
              <w:t xml:space="preserve">confiscation action against the proceeds or instrumentalities of foreign crime based upon probable cause evidence that will be provided by the requesting state at a later date. This 30-day order can be extended for </w:t>
            </w:r>
            <w:proofErr w:type="gramStart"/>
            <w:r w:rsidRPr="006F29F5">
              <w:rPr>
                <w:b w:val="0"/>
                <w:kern w:val="2"/>
                <w:sz w:val="20"/>
              </w:rPr>
              <w:t>cause</w:t>
            </w:r>
            <w:proofErr w:type="gramEnd"/>
            <w:r w:rsidRPr="006F29F5">
              <w:rPr>
                <w:b w:val="0"/>
                <w:kern w:val="2"/>
                <w:sz w:val="20"/>
              </w:rPr>
              <w:t xml:space="preserve"> shown, for example, a delay in gathering or translating the foreign evidence.</w:t>
            </w:r>
          </w:p>
          <w:p w14:paraId="34576E51" w14:textId="77777777" w:rsidR="005D6B91" w:rsidRPr="006F29F5" w:rsidRDefault="005D6B91" w:rsidP="003D0153">
            <w:pPr>
              <w:autoSpaceDE w:val="0"/>
              <w:autoSpaceDN w:val="0"/>
              <w:adjustRightInd w:val="0"/>
              <w:rPr>
                <w:rFonts w:cs="Times New Roman"/>
                <w:b/>
                <w:bCs/>
                <w:iCs/>
                <w:kern w:val="2"/>
                <w:sz w:val="20"/>
              </w:rPr>
            </w:pPr>
            <w:r w:rsidRPr="006F29F5">
              <w:rPr>
                <w:rFonts w:cs="Times New Roman"/>
                <w:b/>
                <w:bCs/>
                <w:iCs/>
                <w:kern w:val="2"/>
                <w:sz w:val="20"/>
              </w:rPr>
              <w:t>Confiscation</w:t>
            </w:r>
          </w:p>
          <w:p w14:paraId="5CEDE7E5" w14:textId="77777777" w:rsidR="005D6B91" w:rsidRPr="006F29F5" w:rsidRDefault="005D6B91" w:rsidP="003D0153">
            <w:pPr>
              <w:autoSpaceDE w:val="0"/>
              <w:autoSpaceDN w:val="0"/>
              <w:adjustRightInd w:val="0"/>
              <w:ind w:left="720"/>
              <w:rPr>
                <w:rFonts w:cs="Times New Roman"/>
                <w:b/>
                <w:bCs/>
                <w:i/>
                <w:iCs/>
                <w:kern w:val="2"/>
                <w:sz w:val="20"/>
              </w:rPr>
            </w:pPr>
            <w:r w:rsidRPr="006F29F5">
              <w:rPr>
                <w:rFonts w:cs="Times New Roman"/>
                <w:b/>
                <w:bCs/>
                <w:kern w:val="2"/>
                <w:sz w:val="20"/>
              </w:rPr>
              <w:t>C.6. Enforcement of Foreign Confiscation Orders</w:t>
            </w:r>
          </w:p>
          <w:p w14:paraId="70DC2C13" w14:textId="77777777" w:rsidR="005D6B91" w:rsidRPr="006F29F5" w:rsidRDefault="005D6B91" w:rsidP="003D0153">
            <w:pPr>
              <w:pStyle w:val="ListParagraph"/>
              <w:numPr>
                <w:ilvl w:val="0"/>
                <w:numId w:val="56"/>
              </w:numPr>
              <w:rPr>
                <w:b w:val="0"/>
                <w:kern w:val="2"/>
                <w:sz w:val="20"/>
              </w:rPr>
            </w:pPr>
            <w:r w:rsidRPr="006F29F5">
              <w:rPr>
                <w:kern w:val="2"/>
                <w:sz w:val="20"/>
              </w:rPr>
              <w:t>Legal basis:</w:t>
            </w:r>
            <w:r w:rsidRPr="006F29F5">
              <w:rPr>
                <w:b w:val="0"/>
                <w:kern w:val="2"/>
                <w:sz w:val="20"/>
              </w:rPr>
              <w:t xml:space="preserve"> US Code Title 28 Section 2467.</w:t>
            </w:r>
          </w:p>
          <w:p w14:paraId="43586D1D" w14:textId="77777777" w:rsidR="005D6B91" w:rsidRPr="006F29F5" w:rsidRDefault="005D6B91" w:rsidP="003D0153">
            <w:pPr>
              <w:pStyle w:val="ListParagraph"/>
              <w:numPr>
                <w:ilvl w:val="0"/>
                <w:numId w:val="56"/>
              </w:numPr>
              <w:rPr>
                <w:b w:val="0"/>
                <w:kern w:val="2"/>
                <w:sz w:val="20"/>
              </w:rPr>
            </w:pPr>
            <w:r w:rsidRPr="006F29F5">
              <w:rPr>
                <w:kern w:val="2"/>
                <w:sz w:val="20"/>
              </w:rPr>
              <w:t>Procedure:</w:t>
            </w:r>
            <w:r w:rsidRPr="006F29F5">
              <w:rPr>
                <w:b w:val="0"/>
                <w:kern w:val="2"/>
                <w:sz w:val="20"/>
              </w:rPr>
              <w:t xml:space="preserve"> Requests for enforcement of foreign orders, including a copy of the foreign order, have to be submitted to the U.S. attorney general, who will in turn make a final decision on whether the request should be granted. If the request is granted, the attorney general may apply to the district court for enforcement.</w:t>
            </w:r>
          </w:p>
          <w:p w14:paraId="78C41E05" w14:textId="77777777" w:rsidR="005D6B91" w:rsidRPr="006F29F5" w:rsidRDefault="005D6B91" w:rsidP="003D0153">
            <w:pPr>
              <w:pStyle w:val="ListParagraph"/>
              <w:numPr>
                <w:ilvl w:val="0"/>
                <w:numId w:val="56"/>
              </w:numPr>
              <w:rPr>
                <w:kern w:val="2"/>
                <w:sz w:val="20"/>
              </w:rPr>
            </w:pPr>
            <w:r w:rsidRPr="006F29F5">
              <w:rPr>
                <w:kern w:val="2"/>
                <w:sz w:val="20"/>
              </w:rPr>
              <w:t>Evidentiary requirements:</w:t>
            </w:r>
            <w:r w:rsidRPr="006F29F5">
              <w:rPr>
                <w:b w:val="0"/>
                <w:kern w:val="2"/>
                <w:sz w:val="20"/>
              </w:rPr>
              <w:t xml:space="preserve"> The requested state must provide a certified copy of the judgment and submit an affidavit or sworn statement by a person familiar with the underlying confiscation proceedings setting forth a summary of the facts of the case and a description of the proceedings that resulted in the confiscation judgment, as well as showing that the jurisdiction in question, in accordance with the principles of due process, provided notice to all persons with an interest in the property in sufficient time to enable such persons to defend against the confiscation and that the judgment rendered is in force and is not subject to appeal.</w:t>
            </w:r>
          </w:p>
          <w:p w14:paraId="75E4D40C" w14:textId="77777777" w:rsidR="005D6B91" w:rsidRPr="006F29F5" w:rsidRDefault="005D6B91" w:rsidP="003D0153">
            <w:pPr>
              <w:autoSpaceDE w:val="0"/>
              <w:autoSpaceDN w:val="0"/>
              <w:adjustRightInd w:val="0"/>
              <w:spacing w:before="280" w:after="280"/>
              <w:ind w:left="720"/>
              <w:rPr>
                <w:rFonts w:cs="Times New Roman"/>
                <w:b/>
                <w:bCs/>
                <w:kern w:val="2"/>
                <w:sz w:val="20"/>
              </w:rPr>
            </w:pPr>
            <w:r w:rsidRPr="006F29F5">
              <w:rPr>
                <w:rFonts w:cs="Times New Roman"/>
                <w:b/>
                <w:bCs/>
                <w:kern w:val="2"/>
                <w:sz w:val="20"/>
              </w:rPr>
              <w:t>C.7. Applicability of Non-Conviction Based Asset Forfeiture Orders</w:t>
            </w:r>
          </w:p>
          <w:p w14:paraId="4F5D919B" w14:textId="77777777" w:rsidR="005D6B91" w:rsidRPr="006F29F5" w:rsidRDefault="005D6B91" w:rsidP="003D0153">
            <w:pPr>
              <w:pStyle w:val="ListParagraph"/>
              <w:numPr>
                <w:ilvl w:val="0"/>
                <w:numId w:val="57"/>
              </w:numPr>
              <w:rPr>
                <w:b w:val="0"/>
                <w:kern w:val="2"/>
                <w:sz w:val="20"/>
              </w:rPr>
            </w:pPr>
            <w:r w:rsidRPr="006F29F5">
              <w:rPr>
                <w:b w:val="0"/>
                <w:kern w:val="2"/>
                <w:sz w:val="20"/>
              </w:rPr>
              <w:t>The United States can seek the registration and enforcement of a foreign forfeiture judgment whether it is for specific property or an order to pay a sum of money, whether conviction based or non-conviction based.</w:t>
            </w:r>
          </w:p>
          <w:p w14:paraId="6910994A" w14:textId="77777777" w:rsidR="005D6B91" w:rsidRPr="006F29F5" w:rsidRDefault="005D6B91" w:rsidP="003D0153">
            <w:pPr>
              <w:autoSpaceDE w:val="0"/>
              <w:autoSpaceDN w:val="0"/>
              <w:adjustRightInd w:val="0"/>
              <w:spacing w:before="280" w:after="280"/>
              <w:ind w:left="720"/>
              <w:rPr>
                <w:rFonts w:cs="Times New Roman"/>
                <w:b/>
                <w:bCs/>
                <w:kern w:val="2"/>
                <w:sz w:val="20"/>
              </w:rPr>
            </w:pPr>
            <w:r w:rsidRPr="006F29F5">
              <w:rPr>
                <w:rFonts w:cs="Times New Roman"/>
                <w:b/>
                <w:bCs/>
                <w:kern w:val="2"/>
                <w:sz w:val="20"/>
              </w:rPr>
              <w:t>C.8. Confiscation of Legitimate Assets Equivalent in Value to Illicit Proceeds</w:t>
            </w:r>
          </w:p>
          <w:p w14:paraId="68FE9EC7" w14:textId="77777777" w:rsidR="005D6B91" w:rsidRPr="006F29F5" w:rsidRDefault="005D6B91" w:rsidP="003D0153">
            <w:pPr>
              <w:pStyle w:val="ListParagraph"/>
              <w:numPr>
                <w:ilvl w:val="0"/>
                <w:numId w:val="57"/>
              </w:numPr>
              <w:rPr>
                <w:b w:val="0"/>
                <w:kern w:val="2"/>
                <w:sz w:val="20"/>
              </w:rPr>
            </w:pPr>
            <w:r w:rsidRPr="006F29F5">
              <w:rPr>
                <w:b w:val="0"/>
                <w:kern w:val="2"/>
                <w:sz w:val="20"/>
              </w:rPr>
              <w:t>Both domestic and foreign confiscation orders may be executed toward legitimate assets of equivalent value to proceeds or instrumentalities of crime.</w:t>
            </w:r>
          </w:p>
          <w:p w14:paraId="205EDDD7" w14:textId="77777777" w:rsidR="005D6B91" w:rsidRPr="006F29F5" w:rsidRDefault="005D6B91" w:rsidP="003D0153">
            <w:pPr>
              <w:autoSpaceDE w:val="0"/>
              <w:autoSpaceDN w:val="0"/>
              <w:adjustRightInd w:val="0"/>
              <w:spacing w:before="280" w:after="280"/>
              <w:rPr>
                <w:rFonts w:cs="Times New Roman"/>
                <w:b/>
                <w:bCs/>
                <w:iCs/>
                <w:kern w:val="2"/>
                <w:sz w:val="20"/>
              </w:rPr>
            </w:pPr>
            <w:r w:rsidRPr="006F29F5">
              <w:rPr>
                <w:rFonts w:cs="Times New Roman"/>
                <w:b/>
                <w:bCs/>
                <w:iCs/>
                <w:kern w:val="2"/>
                <w:sz w:val="20"/>
              </w:rPr>
              <w:t>D. Types of Informal Assistance</w:t>
            </w:r>
          </w:p>
          <w:p w14:paraId="7BDB6B38" w14:textId="7F526B33" w:rsidR="005D6B91" w:rsidRPr="006F29F5" w:rsidRDefault="005D6B91" w:rsidP="003D0153">
            <w:pPr>
              <w:pStyle w:val="ListParagraph"/>
              <w:numPr>
                <w:ilvl w:val="0"/>
                <w:numId w:val="57"/>
              </w:numPr>
              <w:spacing w:after="100"/>
              <w:rPr>
                <w:b w:val="0"/>
                <w:kern w:val="2"/>
                <w:sz w:val="20"/>
              </w:rPr>
            </w:pPr>
            <w:r w:rsidRPr="006F29F5">
              <w:rPr>
                <w:b w:val="0"/>
                <w:kern w:val="2"/>
                <w:sz w:val="20"/>
              </w:rPr>
              <w:t>Assistance may be provided by the Financial Crimes Enforcement Network (Fin-C</w:t>
            </w:r>
            <w:r w:rsidR="00714572" w:rsidRPr="006F29F5">
              <w:rPr>
                <w:b w:val="0"/>
                <w:kern w:val="2"/>
                <w:sz w:val="20"/>
              </w:rPr>
              <w:t>EN) (</w:t>
            </w:r>
            <w:hyperlink r:id="rId22" w:history="1">
              <w:r w:rsidR="00714572" w:rsidRPr="006F29F5">
                <w:rPr>
                  <w:rStyle w:val="Hyperlink"/>
                  <w:b w:val="0"/>
                  <w:kern w:val="2"/>
                  <w:sz w:val="20"/>
                </w:rPr>
                <w:t>http://www.fi</w:t>
              </w:r>
              <w:r w:rsidRPr="006F29F5">
                <w:rPr>
                  <w:rStyle w:val="Hyperlink"/>
                  <w:b w:val="0"/>
                  <w:kern w:val="2"/>
                  <w:sz w:val="20"/>
                </w:rPr>
                <w:t>ncen.gov/</w:t>
              </w:r>
            </w:hyperlink>
            <w:r w:rsidRPr="006F29F5">
              <w:rPr>
                <w:b w:val="0"/>
                <w:kern w:val="2"/>
                <w:sz w:val="20"/>
              </w:rPr>
              <w:t>), as well as U.S. regulatory, supervisory, and law enforcement authorities. However, all requests have to be channeled through Fin-CEN, which serves as the primary portal through which information may be shared.</w:t>
            </w:r>
          </w:p>
          <w:p w14:paraId="3202183A" w14:textId="7605513A" w:rsidR="005D6B91" w:rsidRPr="006F29F5" w:rsidRDefault="005D6B91" w:rsidP="003D0153">
            <w:pPr>
              <w:pStyle w:val="ListParagraph"/>
              <w:numPr>
                <w:ilvl w:val="0"/>
                <w:numId w:val="57"/>
              </w:numPr>
              <w:spacing w:after="240"/>
              <w:rPr>
                <w:b w:val="0"/>
                <w:kern w:val="2"/>
                <w:sz w:val="20"/>
              </w:rPr>
            </w:pPr>
            <w:r w:rsidRPr="006F29F5">
              <w:rPr>
                <w:b w:val="0"/>
                <w:kern w:val="2"/>
                <w:sz w:val="20"/>
              </w:rPr>
              <w:t>The United States does maintain and use law enforcement attaché offices in foreign jurisdictions primarily by the FBI, ICE, and DEA. The FBI has over 75 offices serving 200 countries. F</w:t>
            </w:r>
            <w:r w:rsidR="00714572" w:rsidRPr="006F29F5">
              <w:rPr>
                <w:b w:val="0"/>
                <w:kern w:val="2"/>
                <w:sz w:val="20"/>
              </w:rPr>
              <w:t xml:space="preserve">or details, visit </w:t>
            </w:r>
            <w:hyperlink r:id="rId23" w:history="1">
              <w:r w:rsidR="00714572" w:rsidRPr="006F29F5">
                <w:rPr>
                  <w:rStyle w:val="Hyperlink"/>
                  <w:b w:val="0"/>
                  <w:kern w:val="2"/>
                  <w:sz w:val="20"/>
                </w:rPr>
                <w:t>http://www.fb</w:t>
              </w:r>
              <w:r w:rsidRPr="006F29F5">
                <w:rPr>
                  <w:rStyle w:val="Hyperlink"/>
                  <w:b w:val="0"/>
                  <w:kern w:val="2"/>
                  <w:sz w:val="20"/>
                </w:rPr>
                <w:t>i.gov/contact/legat/legat.htm</w:t>
              </w:r>
            </w:hyperlink>
            <w:r w:rsidRPr="006F29F5">
              <w:rPr>
                <w:b w:val="0"/>
                <w:kern w:val="2"/>
                <w:sz w:val="20"/>
              </w:rPr>
              <w:t xml:space="preserve">. ICE has offices serving over 40 countries: Argentina; Austria; Brazil; Canada; Caribbean; China; Colombia; Denmark; Dominican Republic; Ecuador; Arab Republic of Egypt; El Salvador; France; Germany; Greece; Guatemala; Honduras; Hong Kong SAR, China; India; Italy; Jamaica; Japan; Jordan; Republic of Korea; Mexico; Morocco; Netherlands; Pakistan; Panama; the Philippines; Russian Federation; Saudi Arabia; Singapore; South Africa; Spain; Switzerland; Thailand; United Arab Emirates, United Kingdom; </w:t>
            </w:r>
            <w:proofErr w:type="spellStart"/>
            <w:r w:rsidRPr="006F29F5">
              <w:rPr>
                <w:b w:val="0"/>
                <w:kern w:val="2"/>
                <w:sz w:val="20"/>
              </w:rPr>
              <w:t>República</w:t>
            </w:r>
            <w:proofErr w:type="spellEnd"/>
            <w:r w:rsidRPr="006F29F5">
              <w:rPr>
                <w:b w:val="0"/>
                <w:kern w:val="2"/>
                <w:sz w:val="20"/>
              </w:rPr>
              <w:t xml:space="preserve"> </w:t>
            </w:r>
            <w:proofErr w:type="spellStart"/>
            <w:r w:rsidRPr="006F29F5">
              <w:rPr>
                <w:b w:val="0"/>
                <w:kern w:val="2"/>
                <w:sz w:val="20"/>
              </w:rPr>
              <w:t>Bolivariana</w:t>
            </w:r>
            <w:proofErr w:type="spellEnd"/>
            <w:r w:rsidRPr="006F29F5">
              <w:rPr>
                <w:b w:val="0"/>
                <w:kern w:val="2"/>
                <w:sz w:val="20"/>
              </w:rPr>
              <w:t xml:space="preserve"> de Venezuela; and Vietnam. For details, see </w:t>
            </w:r>
            <w:hyperlink r:id="rId24" w:history="1">
              <w:r w:rsidRPr="006F29F5">
                <w:rPr>
                  <w:rStyle w:val="Hyperlink"/>
                  <w:b w:val="0"/>
                  <w:kern w:val="2"/>
                  <w:sz w:val="20"/>
                </w:rPr>
                <w:t>http:</w:t>
              </w:r>
              <w:r w:rsidR="00714572" w:rsidRPr="006F29F5">
                <w:rPr>
                  <w:rStyle w:val="Hyperlink"/>
                  <w:b w:val="0"/>
                  <w:kern w:val="2"/>
                  <w:sz w:val="20"/>
                </w:rPr>
                <w:t>//www.ice.gov/international-aff</w:t>
              </w:r>
              <w:r w:rsidRPr="006F29F5">
                <w:rPr>
                  <w:rStyle w:val="Hyperlink"/>
                  <w:b w:val="0"/>
                  <w:kern w:val="2"/>
                  <w:sz w:val="20"/>
                </w:rPr>
                <w:t>airs/</w:t>
              </w:r>
            </w:hyperlink>
            <w:r w:rsidRPr="006F29F5">
              <w:rPr>
                <w:b w:val="0"/>
                <w:kern w:val="2"/>
                <w:sz w:val="20"/>
              </w:rPr>
              <w:t>.</w:t>
            </w:r>
            <w:r w:rsidRPr="006F29F5">
              <w:rPr>
                <w:rStyle w:val="FootnoteReference"/>
                <w:rFonts w:cs="Times New Roman"/>
                <w:b w:val="0"/>
                <w:kern w:val="2"/>
                <w:sz w:val="20"/>
              </w:rPr>
              <w:footnoteReference w:id="94"/>
            </w:r>
          </w:p>
          <w:p w14:paraId="78EDED21" w14:textId="4578146C" w:rsidR="005D6B91" w:rsidRPr="006F29F5" w:rsidRDefault="005D6B91" w:rsidP="003D0153">
            <w:pPr>
              <w:pStyle w:val="ExcerptMarker"/>
              <w:spacing w:before="240" w:after="0"/>
              <w:rPr>
                <w:kern w:val="2"/>
                <w:sz w:val="16"/>
              </w:rPr>
            </w:pPr>
            <w:r w:rsidRPr="006F29F5">
              <w:rPr>
                <w:kern w:val="2"/>
                <w:sz w:val="16"/>
              </w:rPr>
              <w:t>End of Excerpt</w:t>
            </w:r>
          </w:p>
        </w:tc>
      </w:tr>
    </w:tbl>
    <w:p w14:paraId="5C85BDA1" w14:textId="4378D656" w:rsidR="00F735AF" w:rsidRDefault="0002194B" w:rsidP="00DE39BE">
      <w:pPr>
        <w:keepNext/>
        <w:rPr>
          <w:rFonts w:cs="Times New Roman"/>
          <w:kern w:val="2"/>
          <w:sz w:val="20"/>
        </w:rPr>
      </w:pPr>
      <w:r w:rsidRPr="006F29F5">
        <w:rPr>
          <w:rFonts w:cs="Times New Roman"/>
          <w:kern w:val="2"/>
          <w:sz w:val="20"/>
        </w:rPr>
        <w:t>The following</w:t>
      </w:r>
      <w:r w:rsidR="009E574F" w:rsidRPr="006F29F5">
        <w:rPr>
          <w:rFonts w:cs="Times New Roman"/>
          <w:kern w:val="2"/>
          <w:sz w:val="20"/>
        </w:rPr>
        <w:t xml:space="preserve"> e</w:t>
      </w:r>
      <w:r w:rsidR="00E615F4" w:rsidRPr="006F29F5">
        <w:rPr>
          <w:rFonts w:cs="Times New Roman"/>
          <w:kern w:val="2"/>
          <w:sz w:val="20"/>
        </w:rPr>
        <w:t xml:space="preserve">xcerpt </w:t>
      </w:r>
      <w:r w:rsidRPr="006F29F5">
        <w:rPr>
          <w:rFonts w:cs="Times New Roman"/>
          <w:kern w:val="2"/>
          <w:sz w:val="20"/>
        </w:rPr>
        <w:t xml:space="preserve">is </w:t>
      </w:r>
      <w:r w:rsidR="00E615F4" w:rsidRPr="006F29F5">
        <w:rPr>
          <w:rFonts w:cs="Times New Roman"/>
          <w:kern w:val="2"/>
          <w:sz w:val="20"/>
        </w:rPr>
        <w:t xml:space="preserve">from </w:t>
      </w:r>
      <w:r w:rsidR="000248FF" w:rsidRPr="006F29F5">
        <w:rPr>
          <w:rFonts w:cs="Times New Roman"/>
          <w:kern w:val="2"/>
          <w:sz w:val="20"/>
        </w:rPr>
        <w:t xml:space="preserve">a 2011 paper by </w:t>
      </w:r>
      <w:r w:rsidR="00F735AF" w:rsidRPr="006F29F5">
        <w:rPr>
          <w:rFonts w:cs="Times New Roman"/>
          <w:kern w:val="2"/>
          <w:sz w:val="20"/>
        </w:rPr>
        <w:t xml:space="preserve">Weld entitled </w:t>
      </w:r>
      <w:r w:rsidR="00CC1E13" w:rsidRPr="006F29F5">
        <w:rPr>
          <w:rFonts w:cs="Times New Roman"/>
          <w:kern w:val="2"/>
          <w:sz w:val="20"/>
        </w:rPr>
        <w:t>“</w:t>
      </w:r>
      <w:r w:rsidR="00E615F4" w:rsidRPr="006F29F5">
        <w:rPr>
          <w:rFonts w:cs="Times New Roman"/>
          <w:kern w:val="2"/>
          <w:sz w:val="20"/>
        </w:rPr>
        <w:t>Forfeiture Laws and Procedures in the United States of America</w:t>
      </w:r>
      <w:r w:rsidR="00CC1E13" w:rsidRPr="006F29F5">
        <w:rPr>
          <w:rFonts w:cs="Times New Roman"/>
          <w:kern w:val="2"/>
          <w:sz w:val="20"/>
        </w:rPr>
        <w:t>”</w:t>
      </w:r>
      <w:r w:rsidR="00647238" w:rsidRPr="006F29F5">
        <w:rPr>
          <w:rFonts w:cs="Times New Roman"/>
          <w:kern w:val="2"/>
          <w:sz w:val="20"/>
        </w:rPr>
        <w:t>:</w:t>
      </w:r>
      <w:r w:rsidR="00F735AF" w:rsidRPr="006F29F5">
        <w:rPr>
          <w:rStyle w:val="FootnoteReference"/>
          <w:rFonts w:cs="Times New Roman"/>
          <w:kern w:val="2"/>
          <w:sz w:val="20"/>
        </w:rPr>
        <w:footnoteReference w:id="95"/>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3D0153" w14:paraId="02ECA407" w14:textId="77777777" w:rsidTr="003D0153">
        <w:tc>
          <w:tcPr>
            <w:tcW w:w="8070" w:type="dxa"/>
            <w:tcBorders>
              <w:top w:val="nil"/>
              <w:left w:val="nil"/>
              <w:bottom w:val="nil"/>
              <w:right w:val="nil"/>
            </w:tcBorders>
            <w:shd w:val="clear" w:color="auto" w:fill="D9D9D9" w:themeFill="background1" w:themeFillShade="D9"/>
          </w:tcPr>
          <w:p w14:paraId="087D275F" w14:textId="77777777" w:rsidR="003D0153" w:rsidRPr="006F29F5" w:rsidRDefault="003D0153" w:rsidP="003D0153">
            <w:pPr>
              <w:pStyle w:val="ExcerptMarker"/>
              <w:spacing w:before="0"/>
              <w:rPr>
                <w:kern w:val="2"/>
                <w:sz w:val="16"/>
              </w:rPr>
            </w:pPr>
            <w:r w:rsidRPr="006F29F5">
              <w:rPr>
                <w:kern w:val="2"/>
                <w:sz w:val="16"/>
              </w:rPr>
              <w:t>Beginning of Excerpt</w:t>
            </w:r>
          </w:p>
          <w:p w14:paraId="445C20C2" w14:textId="77777777" w:rsidR="003D0153" w:rsidRPr="006F29F5" w:rsidRDefault="003D0153" w:rsidP="003D0153">
            <w:pPr>
              <w:autoSpaceDE w:val="0"/>
              <w:autoSpaceDN w:val="0"/>
              <w:adjustRightInd w:val="0"/>
              <w:rPr>
                <w:rFonts w:cs="Times New Roman"/>
                <w:b/>
                <w:bCs/>
                <w:kern w:val="2"/>
                <w:sz w:val="20"/>
              </w:rPr>
            </w:pPr>
            <w:r w:rsidRPr="006F29F5">
              <w:rPr>
                <w:rFonts w:cs="Times New Roman"/>
                <w:b/>
                <w:bCs/>
                <w:kern w:val="2"/>
                <w:sz w:val="20"/>
              </w:rPr>
              <w:t>III. Overview of Current U.S. Forfeiture Processes</w:t>
            </w:r>
          </w:p>
          <w:p w14:paraId="1D6183A0" w14:textId="77777777" w:rsidR="003D0153" w:rsidRPr="006F29F5" w:rsidRDefault="003D0153" w:rsidP="003D0153">
            <w:pPr>
              <w:autoSpaceDE w:val="0"/>
              <w:autoSpaceDN w:val="0"/>
              <w:adjustRightInd w:val="0"/>
              <w:ind w:left="720"/>
              <w:rPr>
                <w:rFonts w:cs="Times New Roman"/>
                <w:b/>
                <w:bCs/>
                <w:kern w:val="2"/>
                <w:sz w:val="20"/>
              </w:rPr>
            </w:pPr>
            <w:r w:rsidRPr="006F29F5">
              <w:rPr>
                <w:rFonts w:cs="Times New Roman"/>
                <w:b/>
                <w:bCs/>
                <w:kern w:val="2"/>
                <w:sz w:val="20"/>
              </w:rPr>
              <w:t>A. Preference for Administrative Forfeiture</w:t>
            </w:r>
          </w:p>
          <w:p w14:paraId="4103601A" w14:textId="77777777" w:rsidR="003D0153" w:rsidRPr="006F29F5" w:rsidRDefault="003D0153" w:rsidP="003D0153">
            <w:pPr>
              <w:autoSpaceDE w:val="0"/>
              <w:autoSpaceDN w:val="0"/>
              <w:adjustRightInd w:val="0"/>
              <w:rPr>
                <w:rFonts w:cs="Times New Roman"/>
                <w:kern w:val="2"/>
                <w:sz w:val="20"/>
              </w:rPr>
            </w:pPr>
            <w:r w:rsidRPr="006F29F5">
              <w:rPr>
                <w:rFonts w:cs="Times New Roman"/>
                <w:kern w:val="2"/>
                <w:sz w:val="20"/>
              </w:rPr>
              <w:t xml:space="preserve">Each year, the majority, generally over 60 percent, of federal forfeitures in the U.S. are obtained through administrative forfeiture. The reason is that most seizures are not contested. This may seem strange at first, but when one considers that most of the property seized for forfeiture in the U.S. constitutes large bundles of cash, it is readily apparent why many seizures are not challenged, particularly if the person from whom the cash was seized is not arrested or later indicted. No one really wants to come forward to swear that he or she has an interest in such large amounts of generally quite unexplained U.S. currency. </w:t>
            </w:r>
          </w:p>
          <w:p w14:paraId="556E06D8" w14:textId="77777777" w:rsidR="003D0153" w:rsidRDefault="003D0153" w:rsidP="003D0153">
            <w:pPr>
              <w:autoSpaceDE w:val="0"/>
              <w:autoSpaceDN w:val="0"/>
              <w:adjustRightInd w:val="0"/>
              <w:rPr>
                <w:rFonts w:cs="Times New Roman"/>
                <w:kern w:val="2"/>
                <w:sz w:val="20"/>
              </w:rPr>
            </w:pPr>
            <w:r w:rsidRPr="006F29F5">
              <w:rPr>
                <w:rFonts w:cs="Times New Roman"/>
                <w:kern w:val="2"/>
                <w:sz w:val="20"/>
              </w:rPr>
              <w:t>Administrative forfeiture is not used for real property or businesses. Since 1990, the Customs laws (19 U.S.C. § 1607, et seq.) have permitted administrative forfeiture of currency and monetary instruments</w:t>
            </w:r>
            <w:r w:rsidRPr="006F29F5">
              <w:rPr>
                <w:rStyle w:val="FootnoteReference"/>
                <w:rFonts w:cs="Times New Roman"/>
                <w:kern w:val="2"/>
                <w:sz w:val="20"/>
              </w:rPr>
              <w:footnoteReference w:id="96"/>
            </w:r>
            <w:r w:rsidRPr="006F29F5">
              <w:rPr>
                <w:rFonts w:cs="Times New Roman"/>
                <w:kern w:val="2"/>
                <w:sz w:val="20"/>
              </w:rPr>
              <w:t xml:space="preserve"> without limit, and of other personal property up to a value of $500,000.</w:t>
            </w:r>
          </w:p>
          <w:p w14:paraId="4D02E3DE" w14:textId="4A84EA82" w:rsidR="003D0153" w:rsidRPr="003D0153" w:rsidRDefault="003D0153" w:rsidP="003D0153">
            <w:pPr>
              <w:autoSpaceDE w:val="0"/>
              <w:autoSpaceDN w:val="0"/>
              <w:adjustRightInd w:val="0"/>
              <w:spacing w:after="0"/>
              <w:rPr>
                <w:rFonts w:cs="Times New Roman"/>
                <w:kern w:val="2"/>
                <w:sz w:val="2"/>
              </w:rPr>
            </w:pPr>
            <w:r w:rsidRPr="006F29F5">
              <w:rPr>
                <w:rFonts w:cs="Times New Roman"/>
                <w:kern w:val="2"/>
                <w:sz w:val="20"/>
              </w:rPr>
              <w:t>An administrative forfeiture usually begins when a federal law enforcement agency seizes an asset identified during the course of a criminal investigation.</w:t>
            </w:r>
            <w:r w:rsidRPr="006F29F5">
              <w:rPr>
                <w:rStyle w:val="FootnoteReference"/>
                <w:rFonts w:cs="Times New Roman"/>
                <w:kern w:val="2"/>
                <w:sz w:val="20"/>
              </w:rPr>
              <w:footnoteReference w:id="97"/>
            </w:r>
            <w:r w:rsidRPr="006F29F5">
              <w:rPr>
                <w:rFonts w:cs="Times New Roman"/>
                <w:kern w:val="2"/>
                <w:sz w:val="20"/>
                <w:vertAlign w:val="superscript"/>
              </w:rPr>
              <w:t xml:space="preserve"> </w:t>
            </w:r>
            <w:r w:rsidRPr="006F29F5">
              <w:rPr>
                <w:rFonts w:cs="Times New Roman"/>
                <w:kern w:val="2"/>
                <w:sz w:val="20"/>
              </w:rPr>
              <w:t xml:space="preserve">The investigation may be a purely federal one, or may be a task force which also involves state and/or local law enforcement agencies. The asset seizure must be based upon “probable cause” to believe that the property is subject to forfeiture. Once the asset is seized, attorneys for the seizing agency are required by CAFRA [Civil Asset Forfeiture Reform Act of 2000] to send notice to any persons whom the government has reason </w:t>
            </w:r>
            <w:r>
              <w:rPr>
                <w:rFonts w:cs="Times New Roman"/>
                <w:kern w:val="2"/>
                <w:sz w:val="20"/>
              </w:rPr>
              <w:br/>
            </w:r>
          </w:p>
        </w:tc>
      </w:tr>
    </w:tbl>
    <w:tbl>
      <w:tblPr>
        <w:tblStyle w:val="TableGrid"/>
        <w:tblW w:w="0" w:type="auto"/>
        <w:jc w:val="center"/>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AA09C5" w:rsidRPr="006F29F5" w14:paraId="70306943" w14:textId="77777777" w:rsidTr="003D0153">
        <w:trPr>
          <w:jc w:val="center"/>
        </w:trPr>
        <w:tc>
          <w:tcPr>
            <w:tcW w:w="8080" w:type="dxa"/>
            <w:tcBorders>
              <w:top w:val="nil"/>
              <w:left w:val="nil"/>
              <w:bottom w:val="nil"/>
              <w:right w:val="nil"/>
            </w:tcBorders>
            <w:shd w:val="clear" w:color="auto" w:fill="D9D9D9" w:themeFill="background1" w:themeFillShade="D9"/>
          </w:tcPr>
          <w:p w14:paraId="58A9F126" w14:textId="7BF733EE" w:rsidR="00AA09C5" w:rsidRPr="00E011EF" w:rsidRDefault="003D0153" w:rsidP="003D0153">
            <w:pPr>
              <w:autoSpaceDE w:val="0"/>
              <w:autoSpaceDN w:val="0"/>
              <w:adjustRightInd w:val="0"/>
              <w:spacing w:before="0"/>
              <w:rPr>
                <w:rFonts w:cs="Times New Roman"/>
                <w:spacing w:val="2"/>
                <w:kern w:val="2"/>
                <w:sz w:val="20"/>
              </w:rPr>
            </w:pPr>
            <w:proofErr w:type="gramStart"/>
            <w:r w:rsidRPr="00E011EF">
              <w:rPr>
                <w:rFonts w:cs="Times New Roman"/>
                <w:spacing w:val="2"/>
                <w:kern w:val="2"/>
                <w:sz w:val="20"/>
              </w:rPr>
              <w:t>to</w:t>
            </w:r>
            <w:proofErr w:type="gramEnd"/>
            <w:r w:rsidRPr="00E011EF">
              <w:rPr>
                <w:rFonts w:cs="Times New Roman"/>
                <w:spacing w:val="2"/>
                <w:kern w:val="2"/>
                <w:sz w:val="20"/>
              </w:rPr>
              <w:t xml:space="preserve"> believe may have an interest in the property. Such notice must be sent within 60 days of the seizure if a federal agent seized the property. An administrative forfeiture can also be based upon an “adoptive seizure,” where a state or local officer has seized the property under the authority of state or local law, but then transfers it to federal custody for forfeiture. In that case, the federal adopting agency has 90 days after the seizure within which to send notice. Notice is usually sent by Certified Mail or Federal Express, so that the agency has proof of delivery. The agency must also publish its intent to forfeit for three successive weeks in a newspaper of general circulation in the area where the property was seized, or via a government internet publication website. A person receiving notice has 30 days within which to file a sworn claim with the seizing agency, asking for one of two types of relief: (1) the opportunity to challenge the forfeiture in court; or (2) remission or mitigation from the forfeiture. In the second option, the property owner is basically acknowledging the forfeiture, but claiming </w:t>
            </w:r>
            <w:r w:rsidR="00AA09C5" w:rsidRPr="00E011EF">
              <w:rPr>
                <w:rFonts w:cs="Times New Roman"/>
                <w:spacing w:val="2"/>
                <w:kern w:val="2"/>
                <w:sz w:val="20"/>
              </w:rPr>
              <w:t>some mitigating circumstance. If a timely claim is filed under the first option, the seizing agency refers the matter to the appropriate U.S. Attorney’s Office to file a judicial forfeiture action in the case. If no one files a claim after the deadlines provided in the notice and publication expire, the property is summarily forfeited to the United States. Remission or mitigation may be provided if certain guidelines are met.</w:t>
            </w:r>
          </w:p>
          <w:p w14:paraId="14218C27" w14:textId="77777777" w:rsidR="00AA09C5" w:rsidRPr="00E011EF" w:rsidRDefault="00AA09C5" w:rsidP="003D0153">
            <w:pPr>
              <w:autoSpaceDE w:val="0"/>
              <w:autoSpaceDN w:val="0"/>
              <w:adjustRightInd w:val="0"/>
              <w:rPr>
                <w:rFonts w:cs="Times New Roman"/>
                <w:b/>
                <w:bCs/>
                <w:spacing w:val="2"/>
                <w:kern w:val="2"/>
                <w:sz w:val="20"/>
              </w:rPr>
            </w:pPr>
            <w:r w:rsidRPr="00E011EF">
              <w:rPr>
                <w:rFonts w:cs="Times New Roman"/>
                <w:b/>
                <w:bCs/>
                <w:spacing w:val="2"/>
                <w:kern w:val="2"/>
                <w:sz w:val="20"/>
              </w:rPr>
              <w:t>B. Civil (Non-Conviction Based) Judicial Forfeiture in the U.S.</w:t>
            </w:r>
          </w:p>
          <w:p w14:paraId="38A9F171" w14:textId="1A3A0712" w:rsidR="00AA09C5" w:rsidRPr="00E011EF" w:rsidRDefault="00AA09C5" w:rsidP="003D0153">
            <w:pPr>
              <w:widowControl w:val="0"/>
              <w:autoSpaceDE w:val="0"/>
              <w:autoSpaceDN w:val="0"/>
              <w:adjustRightInd w:val="0"/>
              <w:rPr>
                <w:rFonts w:cs="Times New Roman"/>
                <w:spacing w:val="2"/>
                <w:kern w:val="2"/>
                <w:sz w:val="20"/>
              </w:rPr>
            </w:pPr>
            <w:r w:rsidRPr="00E011EF">
              <w:rPr>
                <w:rFonts w:cs="Times New Roman"/>
                <w:spacing w:val="2"/>
                <w:kern w:val="2"/>
                <w:sz w:val="20"/>
              </w:rPr>
              <w:t>In the United States, non-conviction based (</w:t>
            </w:r>
            <w:r w:rsidR="00CC1E13" w:rsidRPr="00E011EF">
              <w:rPr>
                <w:rFonts w:cs="Times New Roman"/>
                <w:spacing w:val="2"/>
                <w:kern w:val="2"/>
                <w:sz w:val="20"/>
              </w:rPr>
              <w:t>“</w:t>
            </w:r>
            <w:r w:rsidRPr="00E011EF">
              <w:rPr>
                <w:rFonts w:cs="Times New Roman"/>
                <w:spacing w:val="2"/>
                <w:kern w:val="2"/>
                <w:sz w:val="20"/>
              </w:rPr>
              <w:t>NCB</w:t>
            </w:r>
            <w:r w:rsidR="00CC1E13" w:rsidRPr="00E011EF">
              <w:rPr>
                <w:rFonts w:cs="Times New Roman"/>
                <w:spacing w:val="2"/>
                <w:kern w:val="2"/>
                <w:sz w:val="20"/>
              </w:rPr>
              <w:t>”</w:t>
            </w:r>
            <w:r w:rsidRPr="00E011EF">
              <w:rPr>
                <w:rFonts w:cs="Times New Roman"/>
                <w:spacing w:val="2"/>
                <w:kern w:val="2"/>
                <w:sz w:val="20"/>
              </w:rPr>
              <w:t xml:space="preserve">) forfeiture is known as </w:t>
            </w:r>
            <w:r w:rsidR="00CC1E13" w:rsidRPr="00E011EF">
              <w:rPr>
                <w:rFonts w:cs="Times New Roman"/>
                <w:spacing w:val="2"/>
                <w:kern w:val="2"/>
                <w:sz w:val="20"/>
              </w:rPr>
              <w:t>“</w:t>
            </w:r>
            <w:r w:rsidRPr="00E011EF">
              <w:rPr>
                <w:rFonts w:cs="Times New Roman"/>
                <w:spacing w:val="2"/>
                <w:kern w:val="2"/>
                <w:sz w:val="20"/>
              </w:rPr>
              <w:t>civil forfeiture.</w:t>
            </w:r>
            <w:r w:rsidR="00CC1E13" w:rsidRPr="00E011EF">
              <w:rPr>
                <w:rFonts w:cs="Times New Roman"/>
                <w:spacing w:val="2"/>
                <w:kern w:val="2"/>
                <w:sz w:val="20"/>
              </w:rPr>
              <w:t>”</w:t>
            </w:r>
            <w:r w:rsidRPr="00E011EF">
              <w:rPr>
                <w:rFonts w:cs="Times New Roman"/>
                <w:spacing w:val="2"/>
                <w:kern w:val="2"/>
                <w:sz w:val="20"/>
              </w:rPr>
              <w:t xml:space="preserve"> This judicial process may be brought at any time prior to or after criminal charges are filed, or even if criminal charges are never filed. It is an action filed in court against a property, not against a person.</w:t>
            </w:r>
            <w:r w:rsidRPr="00E011EF">
              <w:rPr>
                <w:rStyle w:val="FootnoteReference"/>
                <w:rFonts w:cs="Times New Roman"/>
                <w:spacing w:val="2"/>
                <w:kern w:val="2"/>
                <w:sz w:val="20"/>
              </w:rPr>
              <w:footnoteReference w:id="98"/>
            </w:r>
            <w:r w:rsidRPr="00E011EF">
              <w:rPr>
                <w:rFonts w:cs="Times New Roman"/>
                <w:spacing w:val="2"/>
                <w:kern w:val="2"/>
                <w:sz w:val="20"/>
              </w:rPr>
              <w:t xml:space="preserve"> Once the U.S. Attorney’s Office receives a referral from a seizing agency of a seized asset case, that office has 90 days to either file a civil judicial case or include the seized asset in a criminal indictment and name it for criminal forfeiture. 18 U.S.C. § 983(a</w:t>
            </w:r>
            <w:proofErr w:type="gramStart"/>
            <w:r w:rsidRPr="00E011EF">
              <w:rPr>
                <w:rFonts w:cs="Times New Roman"/>
                <w:spacing w:val="2"/>
                <w:kern w:val="2"/>
                <w:sz w:val="20"/>
              </w:rPr>
              <w:t>)(</w:t>
            </w:r>
            <w:proofErr w:type="gramEnd"/>
            <w:r w:rsidRPr="00E011EF">
              <w:rPr>
                <w:rFonts w:cs="Times New Roman"/>
                <w:spacing w:val="2"/>
                <w:kern w:val="2"/>
                <w:sz w:val="20"/>
              </w:rPr>
              <w:t xml:space="preserve">3)(A). If a civil case is not filed within those 90 days, the CAFRA </w:t>
            </w:r>
            <w:r w:rsidR="00CC1E13" w:rsidRPr="00E011EF">
              <w:rPr>
                <w:rFonts w:cs="Times New Roman"/>
                <w:spacing w:val="2"/>
                <w:kern w:val="2"/>
                <w:sz w:val="20"/>
              </w:rPr>
              <w:t>“</w:t>
            </w:r>
            <w:r w:rsidRPr="00E011EF">
              <w:rPr>
                <w:rFonts w:cs="Times New Roman"/>
                <w:spacing w:val="2"/>
                <w:kern w:val="2"/>
                <w:sz w:val="20"/>
              </w:rPr>
              <w:t>death penalty</w:t>
            </w:r>
            <w:r w:rsidR="00CC1E13" w:rsidRPr="00E011EF">
              <w:rPr>
                <w:rFonts w:cs="Times New Roman"/>
                <w:spacing w:val="2"/>
                <w:kern w:val="2"/>
                <w:sz w:val="20"/>
              </w:rPr>
              <w:t>”</w:t>
            </w:r>
            <w:r w:rsidRPr="00E011EF">
              <w:rPr>
                <w:rFonts w:cs="Times New Roman"/>
                <w:spacing w:val="2"/>
                <w:kern w:val="2"/>
                <w:sz w:val="20"/>
              </w:rPr>
              <w:t xml:space="preserve"> will prevent the United States from ever filing a civil forfeiture case. 18 U.S.C. § 983(a</w:t>
            </w:r>
            <w:proofErr w:type="gramStart"/>
            <w:r w:rsidRPr="00E011EF">
              <w:rPr>
                <w:rFonts w:cs="Times New Roman"/>
                <w:spacing w:val="2"/>
                <w:kern w:val="2"/>
                <w:sz w:val="20"/>
              </w:rPr>
              <w:t>)(</w:t>
            </w:r>
            <w:proofErr w:type="gramEnd"/>
            <w:r w:rsidRPr="00E011EF">
              <w:rPr>
                <w:rFonts w:cs="Times New Roman"/>
                <w:spacing w:val="2"/>
                <w:kern w:val="2"/>
                <w:sz w:val="20"/>
              </w:rPr>
              <w:t xml:space="preserve">3)(B). If the asset is included in an indictment and the defendant is later acquitted or has a conviction reversed on appeal, the property cannot be forfeited. For this reason, many U.S. prosecutors choose to file a timely civil forfeiture action and include the property for criminal forfeiture in an indictment. The law also allows the prosecutor or the claimant to obtain a </w:t>
            </w:r>
            <w:r w:rsidR="00CC1E13" w:rsidRPr="00E011EF">
              <w:rPr>
                <w:rFonts w:cs="Times New Roman"/>
                <w:spacing w:val="2"/>
                <w:kern w:val="2"/>
                <w:sz w:val="20"/>
              </w:rPr>
              <w:t>“</w:t>
            </w:r>
            <w:r w:rsidRPr="00E011EF">
              <w:rPr>
                <w:rFonts w:cs="Times New Roman"/>
                <w:spacing w:val="2"/>
                <w:kern w:val="2"/>
                <w:sz w:val="20"/>
              </w:rPr>
              <w:t>stay</w:t>
            </w:r>
            <w:r w:rsidR="00CC1E13" w:rsidRPr="00E011EF">
              <w:rPr>
                <w:rFonts w:cs="Times New Roman"/>
                <w:spacing w:val="2"/>
                <w:kern w:val="2"/>
                <w:sz w:val="20"/>
              </w:rPr>
              <w:t>”</w:t>
            </w:r>
            <w:r w:rsidRPr="00E011EF">
              <w:rPr>
                <w:rFonts w:cs="Times New Roman"/>
                <w:spacing w:val="2"/>
                <w:kern w:val="2"/>
                <w:sz w:val="20"/>
              </w:rPr>
              <w:t xml:space="preserve"> of the civil forfeiture case while a criminal investigation is pending. Thus, if the defendant is convicted of an offence which will give rise to the forfeiture, the forfeiture may be obtained more easily in the criminal case, although it will not be final until all appeals are exhausted.</w:t>
            </w:r>
          </w:p>
          <w:p w14:paraId="6AA04A0D" w14:textId="723488A7" w:rsidR="00AA09C5" w:rsidRPr="006F29F5" w:rsidRDefault="00AA09C5" w:rsidP="003D0153">
            <w:pPr>
              <w:autoSpaceDE w:val="0"/>
              <w:autoSpaceDN w:val="0"/>
              <w:adjustRightInd w:val="0"/>
              <w:rPr>
                <w:rFonts w:cs="Times New Roman"/>
                <w:kern w:val="2"/>
                <w:sz w:val="20"/>
              </w:rPr>
            </w:pPr>
            <w:r w:rsidRPr="006F29F5">
              <w:rPr>
                <w:rFonts w:cs="Times New Roman"/>
                <w:kern w:val="2"/>
                <w:sz w:val="20"/>
              </w:rPr>
              <w:t xml:space="preserve">Because civil forfeiture does not depend upon a conviction, it may be filed at any time. Often the case will be filed under seal before criminal charges are brought, providing for Warrants of Arrest in Rem to be issued for the assets which may be served by the law enforcement officers at any time. These warrants are similar to seizure warrants, and are issued by the presiding judge in the civil forfeiture case. Rule </w:t>
            </w:r>
            <w:proofErr w:type="gramStart"/>
            <w:r w:rsidRPr="006F29F5">
              <w:rPr>
                <w:rFonts w:cs="Times New Roman"/>
                <w:kern w:val="2"/>
                <w:sz w:val="20"/>
              </w:rPr>
              <w:t>G(</w:t>
            </w:r>
            <w:proofErr w:type="gramEnd"/>
            <w:r w:rsidRPr="006F29F5">
              <w:rPr>
                <w:rFonts w:cs="Times New Roman"/>
                <w:kern w:val="2"/>
                <w:sz w:val="20"/>
              </w:rPr>
              <w:t>8) of the Supplemental Rules for Certain Admiralty and Maritime Claims (</w:t>
            </w:r>
            <w:r w:rsidR="00CC1E13" w:rsidRPr="006F29F5">
              <w:rPr>
                <w:rFonts w:cs="Times New Roman"/>
                <w:kern w:val="2"/>
                <w:sz w:val="20"/>
              </w:rPr>
              <w:t>“</w:t>
            </w:r>
            <w:r w:rsidRPr="006F29F5">
              <w:rPr>
                <w:rFonts w:cs="Times New Roman"/>
                <w:kern w:val="2"/>
                <w:sz w:val="20"/>
              </w:rPr>
              <w:t>Rule G(8)</w:t>
            </w:r>
            <w:r w:rsidR="00CC1E13" w:rsidRPr="006F29F5">
              <w:rPr>
                <w:rFonts w:cs="Times New Roman"/>
                <w:kern w:val="2"/>
                <w:sz w:val="20"/>
              </w:rPr>
              <w:t>”</w:t>
            </w:r>
            <w:r w:rsidRPr="006F29F5">
              <w:rPr>
                <w:rFonts w:cs="Times New Roman"/>
                <w:kern w:val="2"/>
                <w:sz w:val="20"/>
              </w:rPr>
              <w:t xml:space="preserve">) prescribes the procedures which must be followed in a civil forfeiture action, which include: (1) notice to all potential claimants, even if notice was already provided in an administrative process; and (2) full publication notice by either newspaper or internet. Claimants have 30 days from when they are notified to submit a sworn claim indicating the basis for asserting an interest in the property (even if a claim was already submitted in an administrative case), and must, within 20 days after a Claim is filed, file an Answer with the court directly responding to the allegations in the prosecutor’s judicial complaint. If those deadlines are not met, the prosecutor can seek a </w:t>
            </w:r>
            <w:r w:rsidR="00CC1E13" w:rsidRPr="006F29F5">
              <w:rPr>
                <w:rFonts w:cs="Times New Roman"/>
                <w:kern w:val="2"/>
                <w:sz w:val="20"/>
              </w:rPr>
              <w:t>“</w:t>
            </w:r>
            <w:r w:rsidRPr="006F29F5">
              <w:rPr>
                <w:rFonts w:cs="Times New Roman"/>
                <w:kern w:val="2"/>
                <w:sz w:val="20"/>
              </w:rPr>
              <w:t>default</w:t>
            </w:r>
            <w:r w:rsidR="00CC1E13" w:rsidRPr="006F29F5">
              <w:rPr>
                <w:rFonts w:cs="Times New Roman"/>
                <w:kern w:val="2"/>
                <w:sz w:val="20"/>
              </w:rPr>
              <w:t>”</w:t>
            </w:r>
            <w:r w:rsidRPr="006F29F5">
              <w:rPr>
                <w:rFonts w:cs="Times New Roman"/>
                <w:kern w:val="2"/>
                <w:sz w:val="20"/>
              </w:rPr>
              <w:t xml:space="preserve"> judgment of forfeiture, which will generally be granted, particularly if the claimant is represented by counsel who blew the deadlines!</w:t>
            </w:r>
          </w:p>
          <w:p w14:paraId="66C7F62A" w14:textId="63E3FDC3" w:rsidR="00AA09C5" w:rsidRPr="006F29F5" w:rsidRDefault="00AA09C5" w:rsidP="003D0153">
            <w:pPr>
              <w:autoSpaceDE w:val="0"/>
              <w:autoSpaceDN w:val="0"/>
              <w:adjustRightInd w:val="0"/>
              <w:rPr>
                <w:rFonts w:cs="Times New Roman"/>
                <w:kern w:val="2"/>
                <w:sz w:val="20"/>
              </w:rPr>
            </w:pPr>
            <w:r w:rsidRPr="006F29F5">
              <w:rPr>
                <w:rFonts w:cs="Times New Roman"/>
                <w:kern w:val="2"/>
                <w:sz w:val="20"/>
              </w:rPr>
              <w:t xml:space="preserve">If a timely claim is filed, the case will follow the Federal Rules of Civil Procedure in U.S. District Court. Civil discovery in the nature of interrogatories and depositions may take place. Prior to discovery, either side may file for a judgment on the pleadings. Following discovery, either side may file for summary judgment on legal issues supported by uncontested facts. If the case survives this </w:t>
            </w:r>
            <w:r w:rsidR="00CC1E13" w:rsidRPr="006F29F5">
              <w:rPr>
                <w:rFonts w:cs="Times New Roman"/>
                <w:kern w:val="2"/>
                <w:sz w:val="20"/>
              </w:rPr>
              <w:t>“</w:t>
            </w:r>
            <w:r w:rsidRPr="006F29F5">
              <w:rPr>
                <w:rFonts w:cs="Times New Roman"/>
                <w:kern w:val="2"/>
                <w:sz w:val="20"/>
              </w:rPr>
              <w:t>motions practice,</w:t>
            </w:r>
            <w:r w:rsidR="00CC1E13" w:rsidRPr="006F29F5">
              <w:rPr>
                <w:rFonts w:cs="Times New Roman"/>
                <w:kern w:val="2"/>
                <w:sz w:val="20"/>
              </w:rPr>
              <w:t>”</w:t>
            </w:r>
            <w:r w:rsidRPr="006F29F5">
              <w:rPr>
                <w:rFonts w:cs="Times New Roman"/>
                <w:kern w:val="2"/>
                <w:sz w:val="20"/>
              </w:rPr>
              <w:t xml:space="preserve"> either side may request a trial by civil jury of nine persons, of whom a majority must agree on a verdict of forfeiture in order for the property to be civilly forfeited to the United States. The government has to prove by a </w:t>
            </w:r>
            <w:r w:rsidR="00CC1E13" w:rsidRPr="006F29F5">
              <w:rPr>
                <w:rFonts w:cs="Times New Roman"/>
                <w:kern w:val="2"/>
                <w:sz w:val="20"/>
              </w:rPr>
              <w:t>“</w:t>
            </w:r>
            <w:r w:rsidRPr="006F29F5">
              <w:rPr>
                <w:rFonts w:cs="Times New Roman"/>
                <w:kern w:val="2"/>
                <w:sz w:val="20"/>
              </w:rPr>
              <w:t>preponderance of the evidence</w:t>
            </w:r>
            <w:r w:rsidR="00CC1E13" w:rsidRPr="006F29F5">
              <w:rPr>
                <w:rFonts w:cs="Times New Roman"/>
                <w:kern w:val="2"/>
                <w:sz w:val="20"/>
              </w:rPr>
              <w:t>”</w:t>
            </w:r>
            <w:r w:rsidRPr="006F29F5">
              <w:rPr>
                <w:rFonts w:cs="Times New Roman"/>
                <w:kern w:val="2"/>
                <w:sz w:val="20"/>
              </w:rPr>
              <w:t xml:space="preserve"> that the property is linked to the underlying crime as alleged.</w:t>
            </w:r>
            <w:r w:rsidRPr="006F29F5">
              <w:rPr>
                <w:rStyle w:val="FootnoteReference"/>
                <w:rFonts w:cs="Times New Roman"/>
                <w:kern w:val="2"/>
                <w:sz w:val="20"/>
              </w:rPr>
              <w:footnoteReference w:id="99"/>
            </w:r>
            <w:r w:rsidRPr="006F29F5">
              <w:rPr>
                <w:rFonts w:cs="Times New Roman"/>
                <w:kern w:val="2"/>
                <w:sz w:val="20"/>
              </w:rPr>
              <w:t xml:space="preserve"> In the United States, civil forfeiture is not available for any type of </w:t>
            </w:r>
            <w:r w:rsidR="00CC1E13" w:rsidRPr="006F29F5">
              <w:rPr>
                <w:rFonts w:cs="Times New Roman"/>
                <w:kern w:val="2"/>
                <w:sz w:val="20"/>
              </w:rPr>
              <w:t>“</w:t>
            </w:r>
            <w:r w:rsidRPr="006F29F5">
              <w:rPr>
                <w:rFonts w:cs="Times New Roman"/>
                <w:kern w:val="2"/>
                <w:sz w:val="20"/>
              </w:rPr>
              <w:t>value-based</w:t>
            </w:r>
            <w:r w:rsidR="00CC1E13" w:rsidRPr="006F29F5">
              <w:rPr>
                <w:rFonts w:cs="Times New Roman"/>
                <w:kern w:val="2"/>
                <w:sz w:val="20"/>
              </w:rPr>
              <w:t>”</w:t>
            </w:r>
            <w:r w:rsidRPr="006F29F5">
              <w:rPr>
                <w:rFonts w:cs="Times New Roman"/>
                <w:kern w:val="2"/>
                <w:sz w:val="20"/>
              </w:rPr>
              <w:t xml:space="preserve"> forfeiture judgment, money judgment, or property which is equivalent to the criminally-derived or involved property. Such forfeitures require that the defendant be bound by in </w:t>
            </w:r>
            <w:proofErr w:type="spellStart"/>
            <w:r w:rsidRPr="006F29F5">
              <w:rPr>
                <w:rFonts w:cs="Times New Roman"/>
                <w:kern w:val="2"/>
                <w:sz w:val="20"/>
              </w:rPr>
              <w:t>personam</w:t>
            </w:r>
            <w:proofErr w:type="spellEnd"/>
            <w:r w:rsidRPr="006F29F5">
              <w:rPr>
                <w:rFonts w:cs="Times New Roman"/>
                <w:kern w:val="2"/>
                <w:sz w:val="20"/>
              </w:rPr>
              <w:t xml:space="preserve"> jurisdiction. Because the jurisdiction in civil forfeiture is in rem, U.S. law requires a </w:t>
            </w:r>
            <w:r w:rsidR="00CC1E13" w:rsidRPr="006F29F5">
              <w:rPr>
                <w:rFonts w:cs="Times New Roman"/>
                <w:kern w:val="2"/>
                <w:sz w:val="20"/>
              </w:rPr>
              <w:t>“</w:t>
            </w:r>
            <w:r w:rsidRPr="006F29F5">
              <w:rPr>
                <w:rFonts w:cs="Times New Roman"/>
                <w:kern w:val="2"/>
                <w:sz w:val="20"/>
              </w:rPr>
              <w:t>nexus</w:t>
            </w:r>
            <w:r w:rsidR="00CC1E13" w:rsidRPr="006F29F5">
              <w:rPr>
                <w:rFonts w:cs="Times New Roman"/>
                <w:kern w:val="2"/>
                <w:sz w:val="20"/>
              </w:rPr>
              <w:t>”</w:t>
            </w:r>
            <w:r w:rsidRPr="006F29F5">
              <w:rPr>
                <w:rFonts w:cs="Times New Roman"/>
                <w:kern w:val="2"/>
                <w:sz w:val="20"/>
              </w:rPr>
              <w:t xml:space="preserve"> to the crime – either as proceeds or instrumentality, or – in the case of money laundering – an </w:t>
            </w:r>
            <w:r w:rsidR="00CC1E13" w:rsidRPr="006F29F5">
              <w:rPr>
                <w:rFonts w:cs="Times New Roman"/>
                <w:kern w:val="2"/>
                <w:sz w:val="20"/>
              </w:rPr>
              <w:t>“</w:t>
            </w:r>
            <w:r w:rsidRPr="006F29F5">
              <w:rPr>
                <w:rFonts w:cs="Times New Roman"/>
                <w:kern w:val="2"/>
                <w:sz w:val="20"/>
              </w:rPr>
              <w:t>involvement in</w:t>
            </w:r>
            <w:r w:rsidR="00CC1E13" w:rsidRPr="006F29F5">
              <w:rPr>
                <w:rFonts w:cs="Times New Roman"/>
                <w:kern w:val="2"/>
                <w:sz w:val="20"/>
              </w:rPr>
              <w:t>”</w:t>
            </w:r>
            <w:r w:rsidRPr="006F29F5">
              <w:rPr>
                <w:rFonts w:cs="Times New Roman"/>
                <w:kern w:val="2"/>
                <w:sz w:val="20"/>
              </w:rPr>
              <w:t xml:space="preserve"> the crime in some manner.</w:t>
            </w:r>
          </w:p>
          <w:p w14:paraId="27043D8A" w14:textId="126D49D5" w:rsidR="00AA09C5" w:rsidRPr="006F29F5" w:rsidRDefault="00AA09C5" w:rsidP="003D0153">
            <w:pPr>
              <w:autoSpaceDE w:val="0"/>
              <w:autoSpaceDN w:val="0"/>
              <w:adjustRightInd w:val="0"/>
              <w:rPr>
                <w:rFonts w:cs="Times New Roman"/>
                <w:kern w:val="2"/>
                <w:sz w:val="20"/>
              </w:rPr>
            </w:pPr>
            <w:r w:rsidRPr="006F29F5">
              <w:rPr>
                <w:rFonts w:cs="Times New Roman"/>
                <w:kern w:val="2"/>
                <w:sz w:val="20"/>
              </w:rPr>
              <w:t xml:space="preserve">A Claimant in a civil forfeiture case may take one or both of two approaches to defending a forfeiture: (1) he or she may challenge the government’s ability to sustain its burden to prove the property has a </w:t>
            </w:r>
            <w:r w:rsidR="00CC1E13" w:rsidRPr="006F29F5">
              <w:rPr>
                <w:rFonts w:cs="Times New Roman"/>
                <w:kern w:val="2"/>
                <w:sz w:val="20"/>
              </w:rPr>
              <w:t>“</w:t>
            </w:r>
            <w:r w:rsidRPr="006F29F5">
              <w:rPr>
                <w:rFonts w:cs="Times New Roman"/>
                <w:kern w:val="2"/>
                <w:sz w:val="20"/>
              </w:rPr>
              <w:t>nexus</w:t>
            </w:r>
            <w:r w:rsidR="00CC1E13" w:rsidRPr="006F29F5">
              <w:rPr>
                <w:rFonts w:cs="Times New Roman"/>
                <w:kern w:val="2"/>
                <w:sz w:val="20"/>
              </w:rPr>
              <w:t>”</w:t>
            </w:r>
            <w:r w:rsidRPr="006F29F5">
              <w:rPr>
                <w:rFonts w:cs="Times New Roman"/>
                <w:kern w:val="2"/>
                <w:sz w:val="20"/>
              </w:rPr>
              <w:t xml:space="preserve"> to the crime; and/or (2) he or she may assert an </w:t>
            </w:r>
            <w:r w:rsidR="00CC1E13" w:rsidRPr="006F29F5">
              <w:rPr>
                <w:rFonts w:cs="Times New Roman"/>
                <w:kern w:val="2"/>
                <w:sz w:val="20"/>
              </w:rPr>
              <w:t>“</w:t>
            </w:r>
            <w:r w:rsidRPr="006F29F5">
              <w:rPr>
                <w:rFonts w:cs="Times New Roman"/>
                <w:kern w:val="2"/>
                <w:sz w:val="20"/>
              </w:rPr>
              <w:t>innocent owner</w:t>
            </w:r>
            <w:r w:rsidR="00CC1E13" w:rsidRPr="006F29F5">
              <w:rPr>
                <w:rFonts w:cs="Times New Roman"/>
                <w:kern w:val="2"/>
                <w:sz w:val="20"/>
              </w:rPr>
              <w:t>”</w:t>
            </w:r>
            <w:r w:rsidRPr="006F29F5">
              <w:rPr>
                <w:rFonts w:cs="Times New Roman"/>
                <w:kern w:val="2"/>
                <w:sz w:val="20"/>
              </w:rPr>
              <w:t xml:space="preserve"> status which would deny forfeiture even if the government proves </w:t>
            </w:r>
            <w:proofErr w:type="spellStart"/>
            <w:r w:rsidRPr="006F29F5">
              <w:rPr>
                <w:rFonts w:cs="Times New Roman"/>
                <w:kern w:val="2"/>
                <w:sz w:val="20"/>
              </w:rPr>
              <w:t>forfeitability</w:t>
            </w:r>
            <w:proofErr w:type="spellEnd"/>
            <w:r w:rsidRPr="006F29F5">
              <w:rPr>
                <w:rFonts w:cs="Times New Roman"/>
                <w:kern w:val="2"/>
                <w:sz w:val="20"/>
              </w:rPr>
              <w:t xml:space="preserve">. If the Claimant asserts </w:t>
            </w:r>
            <w:r w:rsidR="00CC1E13" w:rsidRPr="006F29F5">
              <w:rPr>
                <w:rFonts w:cs="Times New Roman"/>
                <w:kern w:val="2"/>
                <w:sz w:val="20"/>
              </w:rPr>
              <w:t>“</w:t>
            </w:r>
            <w:r w:rsidRPr="006F29F5">
              <w:rPr>
                <w:rFonts w:cs="Times New Roman"/>
                <w:kern w:val="2"/>
                <w:sz w:val="20"/>
              </w:rPr>
              <w:t>innocent owner</w:t>
            </w:r>
            <w:r w:rsidR="00CC1E13" w:rsidRPr="006F29F5">
              <w:rPr>
                <w:rFonts w:cs="Times New Roman"/>
                <w:kern w:val="2"/>
                <w:sz w:val="20"/>
              </w:rPr>
              <w:t>”</w:t>
            </w:r>
            <w:r w:rsidRPr="006F29F5">
              <w:rPr>
                <w:rFonts w:cs="Times New Roman"/>
                <w:kern w:val="2"/>
                <w:sz w:val="20"/>
              </w:rPr>
              <w:t xml:space="preserve"> status, he or she has the burden to prove that defence by a </w:t>
            </w:r>
            <w:r w:rsidR="00CC1E13" w:rsidRPr="006F29F5">
              <w:rPr>
                <w:rFonts w:cs="Times New Roman"/>
                <w:kern w:val="2"/>
                <w:sz w:val="20"/>
              </w:rPr>
              <w:t>“</w:t>
            </w:r>
            <w:r w:rsidRPr="006F29F5">
              <w:rPr>
                <w:rFonts w:cs="Times New Roman"/>
                <w:kern w:val="2"/>
                <w:sz w:val="20"/>
              </w:rPr>
              <w:t>preponderance of the evidence</w:t>
            </w:r>
            <w:r w:rsidR="00CC1E13" w:rsidRPr="006F29F5">
              <w:rPr>
                <w:rFonts w:cs="Times New Roman"/>
                <w:kern w:val="2"/>
                <w:sz w:val="20"/>
              </w:rPr>
              <w:t>”</w:t>
            </w:r>
            <w:r w:rsidRPr="006F29F5">
              <w:rPr>
                <w:rFonts w:cs="Times New Roman"/>
                <w:kern w:val="2"/>
                <w:sz w:val="20"/>
              </w:rPr>
              <w:t xml:space="preserve">. A civil forfeiture judgment may be appealed from the U.S. District Court to the U.S. Court of Appeals of that federal circuit. The appeal is first heard by a three judge panel; and, the losing party may seek rehearing by the panel or by the entire </w:t>
            </w:r>
            <w:proofErr w:type="spellStart"/>
            <w:r w:rsidRPr="006F29F5">
              <w:rPr>
                <w:rFonts w:cs="Times New Roman"/>
                <w:kern w:val="2"/>
                <w:sz w:val="20"/>
              </w:rPr>
              <w:t>en</w:t>
            </w:r>
            <w:proofErr w:type="spellEnd"/>
            <w:r w:rsidRPr="006F29F5">
              <w:rPr>
                <w:rFonts w:cs="Times New Roman"/>
                <w:kern w:val="2"/>
                <w:sz w:val="20"/>
              </w:rPr>
              <w:t xml:space="preserve"> banc panel of the circuit’s appellate judges. If the case involves a novel issue or one which has created a conflict between any of the eleven federal circuits, then certiorari may be granted by the U.S. Supreme Court.</w:t>
            </w:r>
          </w:p>
          <w:p w14:paraId="33EA131C" w14:textId="77777777" w:rsidR="00AA09C5" w:rsidRPr="006F29F5" w:rsidRDefault="00AA09C5" w:rsidP="003D0153">
            <w:pPr>
              <w:autoSpaceDE w:val="0"/>
              <w:autoSpaceDN w:val="0"/>
              <w:adjustRightInd w:val="0"/>
              <w:rPr>
                <w:rFonts w:cs="Times New Roman"/>
                <w:b/>
                <w:bCs/>
                <w:kern w:val="2"/>
                <w:sz w:val="20"/>
              </w:rPr>
            </w:pPr>
            <w:r w:rsidRPr="006F29F5">
              <w:rPr>
                <w:rFonts w:cs="Times New Roman"/>
                <w:b/>
                <w:bCs/>
                <w:kern w:val="2"/>
                <w:sz w:val="20"/>
              </w:rPr>
              <w:t>C. Ease of Criminal Judicial Forfeiture in the U.S.</w:t>
            </w:r>
          </w:p>
          <w:p w14:paraId="344754C2" w14:textId="77777777" w:rsidR="00AA09C5" w:rsidRPr="006F29F5" w:rsidRDefault="00AA09C5" w:rsidP="003D0153">
            <w:pPr>
              <w:autoSpaceDE w:val="0"/>
              <w:autoSpaceDN w:val="0"/>
              <w:adjustRightInd w:val="0"/>
              <w:rPr>
                <w:rFonts w:cs="Times New Roman"/>
                <w:kern w:val="2"/>
                <w:sz w:val="20"/>
              </w:rPr>
            </w:pPr>
            <w:r w:rsidRPr="006F29F5">
              <w:rPr>
                <w:rFonts w:cs="Times New Roman"/>
                <w:kern w:val="2"/>
                <w:sz w:val="20"/>
              </w:rPr>
              <w:t>As previously noted and as in most countries providing for criminal forfeiture, criminal forfeiture in the United States is dependent upon a conviction of a defendant for a crime which provides a basis for the forfeiture. For example, if a defendant is charged with securities fraud and income tax evasion, and is convicted of the tax evasion charges, but not the fraud offences, there can be no forfeiture because U.S. law does not provide for forfeiture based upon tax evasion. Over the years, United States criminal forfeiture laws have gradually expanded, and in 2000, CAFRA added 28 U.S.C. § 2461(c) which provides that if any law provides for civil forfeiture, then the prosecutor may also include a criminal forfeiture for the property in a criminal indictment. Now prosecutors often seek parallel civil and criminal proceedings against the same property.</w:t>
            </w:r>
          </w:p>
          <w:p w14:paraId="139D0263" w14:textId="4F5EF9F9" w:rsidR="00AA09C5" w:rsidRPr="006F29F5" w:rsidRDefault="00AA09C5" w:rsidP="003D0153">
            <w:pPr>
              <w:autoSpaceDE w:val="0"/>
              <w:autoSpaceDN w:val="0"/>
              <w:adjustRightInd w:val="0"/>
              <w:rPr>
                <w:rFonts w:cs="Times New Roman"/>
                <w:kern w:val="2"/>
                <w:sz w:val="20"/>
              </w:rPr>
            </w:pPr>
            <w:r w:rsidRPr="006F29F5">
              <w:rPr>
                <w:rFonts w:cs="Times New Roman"/>
                <w:kern w:val="2"/>
                <w:sz w:val="20"/>
              </w:rPr>
              <w:t xml:space="preserve">Criminal forfeiture is in </w:t>
            </w:r>
            <w:proofErr w:type="spellStart"/>
            <w:r w:rsidRPr="006F29F5">
              <w:rPr>
                <w:rFonts w:cs="Times New Roman"/>
                <w:kern w:val="2"/>
                <w:sz w:val="20"/>
              </w:rPr>
              <w:t>personam</w:t>
            </w:r>
            <w:proofErr w:type="spellEnd"/>
            <w:r w:rsidRPr="006F29F5">
              <w:rPr>
                <w:rFonts w:cs="Times New Roman"/>
                <w:kern w:val="2"/>
                <w:sz w:val="20"/>
              </w:rPr>
              <w:t xml:space="preserve">, against the defendant. One drawback to this type of forfeiture under U.S. law is that only property in which the defendant has a true interest may be forfeited criminally. Property which is held by </w:t>
            </w:r>
            <w:r w:rsidR="00CC1E13" w:rsidRPr="006F29F5">
              <w:rPr>
                <w:rFonts w:cs="Times New Roman"/>
                <w:kern w:val="2"/>
                <w:sz w:val="20"/>
              </w:rPr>
              <w:t>“</w:t>
            </w:r>
            <w:r w:rsidRPr="006F29F5">
              <w:rPr>
                <w:rFonts w:cs="Times New Roman"/>
                <w:kern w:val="2"/>
                <w:sz w:val="20"/>
              </w:rPr>
              <w:t>nominees</w:t>
            </w:r>
            <w:r w:rsidR="00CC1E13" w:rsidRPr="006F29F5">
              <w:rPr>
                <w:rFonts w:cs="Times New Roman"/>
                <w:kern w:val="2"/>
                <w:sz w:val="20"/>
              </w:rPr>
              <w:t>”</w:t>
            </w:r>
            <w:r w:rsidRPr="006F29F5">
              <w:rPr>
                <w:rFonts w:cs="Times New Roman"/>
                <w:kern w:val="2"/>
                <w:sz w:val="20"/>
              </w:rPr>
              <w:t xml:space="preserve"> or straw owners on behalf of the defendant may be forfeited criminally, but the government must prove that the defendant is the true owner. Any property which is truly owned by other parties who are not convicted as part of the criminal case, such as a spouse or other family member or business partners, may not be forfeited criminally. Such property may be forfeited only in an in rem civil action.</w:t>
            </w:r>
          </w:p>
          <w:p w14:paraId="57AB4970" w14:textId="4235CEB6" w:rsidR="00AA09C5" w:rsidRPr="006F29F5" w:rsidRDefault="00AA09C5" w:rsidP="003D0153">
            <w:pPr>
              <w:autoSpaceDE w:val="0"/>
              <w:autoSpaceDN w:val="0"/>
              <w:adjustRightInd w:val="0"/>
              <w:rPr>
                <w:rFonts w:cs="Times New Roman"/>
                <w:kern w:val="2"/>
                <w:sz w:val="20"/>
              </w:rPr>
            </w:pPr>
            <w:r w:rsidRPr="006F29F5">
              <w:rPr>
                <w:rFonts w:cs="Times New Roman"/>
                <w:kern w:val="2"/>
                <w:sz w:val="20"/>
              </w:rPr>
              <w:t xml:space="preserve">The greatest advantage which criminal forfeiture holds for prosecutors in the U.S. is that it affords the possibility of a money judgment for the amount of the proceeds of the crime, and property involved in the crime. If that property – for example, the direct proceeds obtained by a fraudulent scheme or the mansion which was used to store narcotics – is no longer owned by or in the possession of the defendant, the government can get a judgment against the defendant for an amount equivalent to the value of that property. Rule 32.2 of the Federal Rules of Criminal Procedure permits the government to seek forfeiture of </w:t>
            </w:r>
            <w:r w:rsidR="00CC1E13" w:rsidRPr="006F29F5">
              <w:rPr>
                <w:rFonts w:cs="Times New Roman"/>
                <w:kern w:val="2"/>
                <w:sz w:val="20"/>
              </w:rPr>
              <w:t>“</w:t>
            </w:r>
            <w:r w:rsidRPr="006F29F5">
              <w:rPr>
                <w:rFonts w:cs="Times New Roman"/>
                <w:kern w:val="2"/>
                <w:sz w:val="20"/>
              </w:rPr>
              <w:t>substitute assets</w:t>
            </w:r>
            <w:r w:rsidR="00CC1E13" w:rsidRPr="006F29F5">
              <w:rPr>
                <w:rFonts w:cs="Times New Roman"/>
                <w:kern w:val="2"/>
                <w:sz w:val="20"/>
              </w:rPr>
              <w:t>”</w:t>
            </w:r>
            <w:r w:rsidRPr="006F29F5">
              <w:rPr>
                <w:rFonts w:cs="Times New Roman"/>
                <w:kern w:val="2"/>
                <w:sz w:val="20"/>
              </w:rPr>
              <w:t xml:space="preserve"> belonging to the defendant. The procedure for obtaining criminal forfeiture is a bifurcated process. First, the defendant must be found guilty by proof </w:t>
            </w:r>
            <w:r w:rsidR="00CC1E13" w:rsidRPr="006F29F5">
              <w:rPr>
                <w:rFonts w:cs="Times New Roman"/>
                <w:kern w:val="2"/>
                <w:sz w:val="20"/>
              </w:rPr>
              <w:t>“</w:t>
            </w:r>
            <w:r w:rsidRPr="006F29F5">
              <w:rPr>
                <w:rFonts w:cs="Times New Roman"/>
                <w:kern w:val="2"/>
                <w:sz w:val="20"/>
              </w:rPr>
              <w:t>beyond a reasonable doubt</w:t>
            </w:r>
            <w:r w:rsidR="00CC1E13" w:rsidRPr="006F29F5">
              <w:rPr>
                <w:rFonts w:cs="Times New Roman"/>
                <w:kern w:val="2"/>
                <w:sz w:val="20"/>
              </w:rPr>
              <w:t>”</w:t>
            </w:r>
            <w:r w:rsidRPr="006F29F5">
              <w:rPr>
                <w:rFonts w:cs="Times New Roman"/>
                <w:kern w:val="2"/>
                <w:sz w:val="20"/>
              </w:rPr>
              <w:t xml:space="preserve"> by either a judge (if the defendant elects) or by a unanimous twelve person jury. Or the defendant may decide to plead guilty to the charged crimes. Following the entry of a guilty verdict or plea which will support forfeiture, the judge or jury will consider whether the government has shown the required </w:t>
            </w:r>
            <w:r w:rsidR="00CC1E13" w:rsidRPr="006F29F5">
              <w:rPr>
                <w:rFonts w:cs="Times New Roman"/>
                <w:kern w:val="2"/>
                <w:sz w:val="20"/>
              </w:rPr>
              <w:t>“</w:t>
            </w:r>
            <w:r w:rsidRPr="006F29F5">
              <w:rPr>
                <w:rFonts w:cs="Times New Roman"/>
                <w:kern w:val="2"/>
                <w:sz w:val="20"/>
              </w:rPr>
              <w:t>nexus</w:t>
            </w:r>
            <w:r w:rsidR="00CC1E13" w:rsidRPr="006F29F5">
              <w:rPr>
                <w:rFonts w:cs="Times New Roman"/>
                <w:kern w:val="2"/>
                <w:sz w:val="20"/>
              </w:rPr>
              <w:t>”</w:t>
            </w:r>
            <w:r w:rsidRPr="006F29F5">
              <w:rPr>
                <w:rFonts w:cs="Times New Roman"/>
                <w:kern w:val="2"/>
                <w:sz w:val="20"/>
              </w:rPr>
              <w:t xml:space="preserve"> between the property named for forfeiture and the crime of conviction. If forfeiture is ordered, a Preliminary Order of Forfeiture is entered against the defendant, which becomes final at sentencing. This order may be appealed, along with the defendant’s convictions. Appeal is taken to the court of appeals for the relevant circuit, and beyond that to the U.S. Supreme Court if the issues are sufficiently important.</w:t>
            </w:r>
          </w:p>
          <w:p w14:paraId="205FE908" w14:textId="4459AE1F" w:rsidR="00AA09C5" w:rsidRPr="006F29F5" w:rsidRDefault="00AA09C5" w:rsidP="003D0153">
            <w:pPr>
              <w:autoSpaceDE w:val="0"/>
              <w:autoSpaceDN w:val="0"/>
              <w:adjustRightInd w:val="0"/>
              <w:rPr>
                <w:rFonts w:cs="Times New Roman"/>
                <w:kern w:val="2"/>
                <w:sz w:val="20"/>
              </w:rPr>
            </w:pPr>
            <w:r w:rsidRPr="006F29F5">
              <w:rPr>
                <w:rFonts w:cs="Times New Roman"/>
                <w:kern w:val="2"/>
                <w:sz w:val="20"/>
              </w:rPr>
              <w:t xml:space="preserve">The Preliminary Order of Forfeiture must be served on anyone whom the prosecutor has reason to believe may have an interest in the property, and must be published unless it is a money judgment alone. Any interests asserted by third parties are heard in a separate part of the criminal case called an </w:t>
            </w:r>
            <w:r w:rsidR="00CC1E13" w:rsidRPr="006F29F5">
              <w:rPr>
                <w:rFonts w:cs="Times New Roman"/>
                <w:kern w:val="2"/>
                <w:sz w:val="20"/>
              </w:rPr>
              <w:t>“</w:t>
            </w:r>
            <w:r w:rsidRPr="006F29F5">
              <w:rPr>
                <w:rFonts w:cs="Times New Roman"/>
                <w:kern w:val="2"/>
                <w:sz w:val="20"/>
              </w:rPr>
              <w:t>ancillary proceeding,</w:t>
            </w:r>
            <w:r w:rsidR="00CC1E13" w:rsidRPr="006F29F5">
              <w:rPr>
                <w:rFonts w:cs="Times New Roman"/>
                <w:kern w:val="2"/>
                <w:sz w:val="20"/>
              </w:rPr>
              <w:t>”</w:t>
            </w:r>
            <w:r w:rsidRPr="006F29F5">
              <w:rPr>
                <w:rFonts w:cs="Times New Roman"/>
                <w:kern w:val="2"/>
                <w:sz w:val="20"/>
              </w:rPr>
              <w:t xml:space="preserve"> which is held after a guilty verdict or plea against the defendant. To the extent that any third party proves by a preponderance of the evidence that he or she has an interest in the forfeited property which is superior to the defendant’s, the court must carve out that interest from the final order of forfeiture.</w:t>
            </w:r>
          </w:p>
          <w:p w14:paraId="11D29270" w14:textId="77777777" w:rsidR="00AA09C5" w:rsidRPr="006F29F5" w:rsidRDefault="00AA09C5" w:rsidP="003D0153">
            <w:pPr>
              <w:autoSpaceDE w:val="0"/>
              <w:autoSpaceDN w:val="0"/>
              <w:adjustRightInd w:val="0"/>
              <w:rPr>
                <w:rFonts w:cs="Times New Roman"/>
                <w:b/>
                <w:bCs/>
                <w:kern w:val="2"/>
                <w:sz w:val="20"/>
              </w:rPr>
            </w:pPr>
            <w:r w:rsidRPr="006F29F5">
              <w:rPr>
                <w:rFonts w:cs="Times New Roman"/>
                <w:b/>
                <w:bCs/>
                <w:kern w:val="2"/>
                <w:sz w:val="20"/>
              </w:rPr>
              <w:t>D. Strategy of Using Criminal vs. Civil Forfeiture Processes</w:t>
            </w:r>
          </w:p>
          <w:p w14:paraId="3A270A36" w14:textId="77777777" w:rsidR="00AA09C5" w:rsidRPr="006F29F5" w:rsidRDefault="00AA09C5" w:rsidP="003D0153">
            <w:pPr>
              <w:autoSpaceDE w:val="0"/>
              <w:autoSpaceDN w:val="0"/>
              <w:adjustRightInd w:val="0"/>
              <w:rPr>
                <w:rFonts w:cs="Times New Roman"/>
                <w:kern w:val="2"/>
                <w:sz w:val="20"/>
              </w:rPr>
            </w:pPr>
            <w:r w:rsidRPr="006F29F5">
              <w:rPr>
                <w:rFonts w:cs="Times New Roman"/>
                <w:kern w:val="2"/>
                <w:sz w:val="20"/>
              </w:rPr>
              <w:t>1. Pros and Cons of Civil Forfeiture</w:t>
            </w:r>
          </w:p>
          <w:p w14:paraId="7D71EDB8" w14:textId="77777777" w:rsidR="00AA09C5" w:rsidRPr="006F29F5" w:rsidRDefault="00AA09C5" w:rsidP="003D0153">
            <w:pPr>
              <w:autoSpaceDE w:val="0"/>
              <w:autoSpaceDN w:val="0"/>
              <w:adjustRightInd w:val="0"/>
              <w:spacing w:after="120"/>
              <w:rPr>
                <w:rFonts w:cs="Times New Roman"/>
                <w:kern w:val="2"/>
                <w:sz w:val="20"/>
              </w:rPr>
            </w:pPr>
            <w:r w:rsidRPr="006F29F5">
              <w:rPr>
                <w:rFonts w:cs="Times New Roman"/>
                <w:kern w:val="2"/>
                <w:sz w:val="20"/>
              </w:rPr>
              <w:t>(</w:t>
            </w:r>
            <w:proofErr w:type="spellStart"/>
            <w:r w:rsidRPr="006F29F5">
              <w:rPr>
                <w:rFonts w:cs="Times New Roman"/>
                <w:kern w:val="2"/>
                <w:sz w:val="20"/>
              </w:rPr>
              <w:t>i</w:t>
            </w:r>
            <w:proofErr w:type="spellEnd"/>
            <w:r w:rsidRPr="006F29F5">
              <w:rPr>
                <w:rFonts w:cs="Times New Roman"/>
                <w:kern w:val="2"/>
                <w:sz w:val="20"/>
              </w:rPr>
              <w:t>) Pro: Lower standard of proof of the crime and no need for conviction.</w:t>
            </w:r>
          </w:p>
          <w:p w14:paraId="68A32137" w14:textId="7A6CC9CE" w:rsidR="00AA09C5" w:rsidRPr="006F29F5" w:rsidRDefault="00AA09C5" w:rsidP="003D0153">
            <w:pPr>
              <w:autoSpaceDE w:val="0"/>
              <w:autoSpaceDN w:val="0"/>
              <w:adjustRightInd w:val="0"/>
              <w:spacing w:before="120"/>
              <w:rPr>
                <w:rFonts w:cs="Times New Roman"/>
                <w:kern w:val="2"/>
                <w:sz w:val="20"/>
              </w:rPr>
            </w:pPr>
            <w:r w:rsidRPr="006F29F5">
              <w:rPr>
                <w:rFonts w:cs="Times New Roman"/>
                <w:kern w:val="2"/>
                <w:sz w:val="20"/>
              </w:rPr>
              <w:t xml:space="preserve">The entire case in a civil forfeiture proceeding need be proven only by a </w:t>
            </w:r>
            <w:r w:rsidR="00CC1E13" w:rsidRPr="006F29F5">
              <w:rPr>
                <w:rFonts w:cs="Times New Roman"/>
                <w:kern w:val="2"/>
                <w:sz w:val="20"/>
              </w:rPr>
              <w:t>“</w:t>
            </w:r>
            <w:r w:rsidRPr="006F29F5">
              <w:rPr>
                <w:rFonts w:cs="Times New Roman"/>
                <w:kern w:val="2"/>
                <w:sz w:val="20"/>
              </w:rPr>
              <w:t>preponderance of the evidence</w:t>
            </w:r>
            <w:r w:rsidR="00CC1E13" w:rsidRPr="006F29F5">
              <w:rPr>
                <w:rFonts w:cs="Times New Roman"/>
                <w:kern w:val="2"/>
                <w:sz w:val="20"/>
              </w:rPr>
              <w:t>”</w:t>
            </w:r>
            <w:r w:rsidRPr="006F29F5">
              <w:rPr>
                <w:rFonts w:cs="Times New Roman"/>
                <w:kern w:val="2"/>
                <w:sz w:val="20"/>
              </w:rPr>
              <w:t xml:space="preserve"> to a majority of a jury of nine. Thus, if there are proof problems which may make it difficult to prove the criminal conduct beyond a reasonable doubt to a unanimous jury of twelve, a civil proceeding may be the best venue for the forfeiture. If there are other impediments to obtaining a criminal conviction, such as the absence, death or incapacity of the defendant, a civil forfeiture proceeding will permit the forfeiture of the criminally linked property. This mechanism is exceedingly important in seizures of property, such as currency, where often the prosecutor cannot prove the exact crime which may have generated the unusual amount of cash, but has some evidence of criminal activity – such as a canine alert or ion scan</w:t>
            </w:r>
            <w:r w:rsidRPr="006F29F5">
              <w:rPr>
                <w:rStyle w:val="FootnoteReference"/>
                <w:rFonts w:cs="Times New Roman"/>
                <w:kern w:val="2"/>
                <w:sz w:val="20"/>
              </w:rPr>
              <w:footnoteReference w:id="100"/>
            </w:r>
            <w:r w:rsidRPr="006F29F5">
              <w:rPr>
                <w:rFonts w:cs="Times New Roman"/>
                <w:kern w:val="2"/>
                <w:sz w:val="20"/>
              </w:rPr>
              <w:t xml:space="preserve"> positive hit for the presence of narcotic solvent or drugs on the money, and perhaps previous criminal activity by the property owner which may explain the cash. Because of the lower burden of proof, forfeiture may be available in these cases. Also, if a criminal conviction is reversed on appeal, a civil forfeiture proceeding (which may have been stayed during the course of the criminal case) may rescue the forfeiture.</w:t>
            </w:r>
          </w:p>
          <w:p w14:paraId="4CC80A65" w14:textId="77777777" w:rsidR="00AA09C5" w:rsidRPr="006F29F5" w:rsidRDefault="00AA09C5" w:rsidP="003D0153">
            <w:pPr>
              <w:autoSpaceDE w:val="0"/>
              <w:autoSpaceDN w:val="0"/>
              <w:adjustRightInd w:val="0"/>
              <w:spacing w:after="120"/>
              <w:rPr>
                <w:rFonts w:cs="Times New Roman"/>
                <w:kern w:val="2"/>
                <w:sz w:val="20"/>
              </w:rPr>
            </w:pPr>
            <w:r w:rsidRPr="006F29F5">
              <w:rPr>
                <w:rFonts w:cs="Times New Roman"/>
                <w:kern w:val="2"/>
                <w:sz w:val="20"/>
              </w:rPr>
              <w:t>(ii) Pro: Property belonging to non-defendant parties may be forfeited</w:t>
            </w:r>
          </w:p>
          <w:p w14:paraId="11C6017F" w14:textId="66E4519E" w:rsidR="00E16DF3" w:rsidRPr="006F29F5" w:rsidRDefault="00AA09C5" w:rsidP="003D0153">
            <w:pPr>
              <w:autoSpaceDE w:val="0"/>
              <w:autoSpaceDN w:val="0"/>
              <w:adjustRightInd w:val="0"/>
              <w:spacing w:before="120" w:after="120"/>
              <w:rPr>
                <w:rFonts w:cs="Times New Roman"/>
                <w:kern w:val="2"/>
                <w:sz w:val="20"/>
              </w:rPr>
            </w:pPr>
            <w:r w:rsidRPr="006F29F5">
              <w:rPr>
                <w:rFonts w:cs="Times New Roman"/>
                <w:kern w:val="2"/>
                <w:sz w:val="20"/>
              </w:rPr>
              <w:t xml:space="preserve">In a civil case, the prosecutor does not have to prove that the property owner committed or participated in the commission of the underlying criminal activity. As long as there is proof that the property is sufficiently linked to a crime, and the owner cannot satisfy the test for </w:t>
            </w:r>
            <w:r w:rsidR="00CC1E13" w:rsidRPr="006F29F5">
              <w:rPr>
                <w:rFonts w:cs="Times New Roman"/>
                <w:kern w:val="2"/>
                <w:sz w:val="20"/>
              </w:rPr>
              <w:t>“</w:t>
            </w:r>
            <w:r w:rsidRPr="006F29F5">
              <w:rPr>
                <w:rFonts w:cs="Times New Roman"/>
                <w:kern w:val="2"/>
                <w:sz w:val="20"/>
              </w:rPr>
              <w:t>innocent owner</w:t>
            </w:r>
            <w:r w:rsidR="00CC1E13" w:rsidRPr="006F29F5">
              <w:rPr>
                <w:rFonts w:cs="Times New Roman"/>
                <w:kern w:val="2"/>
                <w:sz w:val="20"/>
              </w:rPr>
              <w:t>”</w:t>
            </w:r>
            <w:r w:rsidRPr="006F29F5">
              <w:rPr>
                <w:rFonts w:cs="Times New Roman"/>
                <w:kern w:val="2"/>
                <w:sz w:val="20"/>
              </w:rPr>
              <w:t xml:space="preserve"> by a preponderance of the evidence, the property may be forfeited. </w:t>
            </w:r>
          </w:p>
          <w:p w14:paraId="1DB552B1" w14:textId="586402A6" w:rsidR="00AA09C5" w:rsidRPr="006F29F5" w:rsidRDefault="00AA09C5" w:rsidP="003D0153">
            <w:pPr>
              <w:autoSpaceDE w:val="0"/>
              <w:autoSpaceDN w:val="0"/>
              <w:adjustRightInd w:val="0"/>
              <w:spacing w:before="120"/>
              <w:rPr>
                <w:rFonts w:cs="Times New Roman"/>
                <w:kern w:val="2"/>
                <w:sz w:val="20"/>
              </w:rPr>
            </w:pPr>
            <w:r w:rsidRPr="006F29F5">
              <w:rPr>
                <w:rFonts w:cs="Times New Roman"/>
                <w:kern w:val="2"/>
                <w:sz w:val="20"/>
              </w:rPr>
              <w:t xml:space="preserve">The </w:t>
            </w:r>
            <w:r w:rsidR="00CC1E13" w:rsidRPr="006F29F5">
              <w:rPr>
                <w:rFonts w:cs="Times New Roman"/>
                <w:kern w:val="2"/>
                <w:sz w:val="20"/>
              </w:rPr>
              <w:t>“</w:t>
            </w:r>
            <w:r w:rsidRPr="006F29F5">
              <w:rPr>
                <w:rFonts w:cs="Times New Roman"/>
                <w:kern w:val="2"/>
                <w:sz w:val="20"/>
              </w:rPr>
              <w:t>innocent owner</w:t>
            </w:r>
            <w:r w:rsidR="00CC1E13" w:rsidRPr="006F29F5">
              <w:rPr>
                <w:rFonts w:cs="Times New Roman"/>
                <w:kern w:val="2"/>
                <w:sz w:val="20"/>
              </w:rPr>
              <w:t>”</w:t>
            </w:r>
            <w:r w:rsidRPr="006F29F5">
              <w:rPr>
                <w:rFonts w:cs="Times New Roman"/>
                <w:kern w:val="2"/>
                <w:sz w:val="20"/>
              </w:rPr>
              <w:t xml:space="preserve"> definition in the U.S. code depends upon when the owner acquired an interest in the property. For persons having an interest in the property at the time the crime was committed, the claimant must show that he or she did not know of the criminal conduct or upon learning of it </w:t>
            </w:r>
            <w:r w:rsidR="00CC1E13" w:rsidRPr="006F29F5">
              <w:rPr>
                <w:rFonts w:cs="Times New Roman"/>
                <w:kern w:val="2"/>
                <w:sz w:val="20"/>
              </w:rPr>
              <w:t>“</w:t>
            </w:r>
            <w:r w:rsidRPr="006F29F5">
              <w:rPr>
                <w:rFonts w:cs="Times New Roman"/>
                <w:kern w:val="2"/>
                <w:sz w:val="20"/>
              </w:rPr>
              <w:t>did all that reasonably could be expected under the circumstances to terminate such use of the property.</w:t>
            </w:r>
            <w:r w:rsidR="00CC1E13" w:rsidRPr="006F29F5">
              <w:rPr>
                <w:rFonts w:cs="Times New Roman"/>
                <w:kern w:val="2"/>
                <w:sz w:val="20"/>
              </w:rPr>
              <w:t>”</w:t>
            </w:r>
            <w:r w:rsidRPr="006F29F5">
              <w:rPr>
                <w:rStyle w:val="FootnoteReference"/>
                <w:rFonts w:cs="Times New Roman"/>
                <w:kern w:val="2"/>
                <w:sz w:val="20"/>
              </w:rPr>
              <w:footnoteReference w:id="101"/>
            </w:r>
            <w:r w:rsidRPr="006F29F5">
              <w:rPr>
                <w:rFonts w:cs="Times New Roman"/>
                <w:kern w:val="2"/>
                <w:sz w:val="20"/>
              </w:rPr>
              <w:t xml:space="preserve"> For property which is acquired after the crime occurred (for example, proceeds of the crime), he or she must prove by a preponderance that he or she : (1) was a bona fide purchaser for value; and (2) did not know or was reasonably without cause to believe that the property was subject to forfeiture. 18 U.S.C. § 983(d</w:t>
            </w:r>
            <w:proofErr w:type="gramStart"/>
            <w:r w:rsidRPr="006F29F5">
              <w:rPr>
                <w:rFonts w:cs="Times New Roman"/>
                <w:kern w:val="2"/>
                <w:sz w:val="20"/>
              </w:rPr>
              <w:t>)(</w:t>
            </w:r>
            <w:proofErr w:type="gramEnd"/>
            <w:r w:rsidRPr="006F29F5">
              <w:rPr>
                <w:rFonts w:cs="Times New Roman"/>
                <w:kern w:val="2"/>
                <w:sz w:val="20"/>
              </w:rPr>
              <w:t>A).</w:t>
            </w:r>
            <w:r w:rsidR="00E16DF3" w:rsidRPr="006F29F5">
              <w:rPr>
                <w:rFonts w:cs="Times New Roman"/>
                <w:kern w:val="2"/>
                <w:sz w:val="20"/>
              </w:rPr>
              <w:t xml:space="preserve"> </w:t>
            </w:r>
            <w:r w:rsidRPr="006F29F5">
              <w:rPr>
                <w:rFonts w:cs="Times New Roman"/>
                <w:kern w:val="2"/>
                <w:sz w:val="20"/>
              </w:rPr>
              <w:t>A hardship provision is included which guarantees that third parties will retain a minimum shelter needed for survival as long as the property was not criminal proceeds. Only a bona fide purchaser for value without notice or knowledge can defeat a civil forfeiture of criminal proceeds.</w:t>
            </w:r>
          </w:p>
          <w:p w14:paraId="2D4B727D" w14:textId="77777777" w:rsidR="00AA09C5" w:rsidRPr="006F29F5" w:rsidRDefault="00AA09C5" w:rsidP="003D0153">
            <w:pPr>
              <w:autoSpaceDE w:val="0"/>
              <w:autoSpaceDN w:val="0"/>
              <w:adjustRightInd w:val="0"/>
              <w:spacing w:after="120"/>
              <w:rPr>
                <w:rFonts w:cs="Times New Roman"/>
                <w:kern w:val="2"/>
                <w:sz w:val="20"/>
              </w:rPr>
            </w:pPr>
            <w:r w:rsidRPr="006F29F5">
              <w:rPr>
                <w:rFonts w:cs="Times New Roman"/>
                <w:kern w:val="2"/>
                <w:sz w:val="20"/>
              </w:rPr>
              <w:t>(iii) Cons: Deadlines, duplicated resources, and liability for attorney’s fees</w:t>
            </w:r>
          </w:p>
          <w:p w14:paraId="736DD5F3" w14:textId="293F4733" w:rsidR="00AA09C5" w:rsidRPr="006F29F5" w:rsidRDefault="00AA09C5" w:rsidP="003D0153">
            <w:pPr>
              <w:autoSpaceDE w:val="0"/>
              <w:autoSpaceDN w:val="0"/>
              <w:adjustRightInd w:val="0"/>
              <w:spacing w:before="120"/>
              <w:rPr>
                <w:rFonts w:cs="Times New Roman"/>
                <w:kern w:val="2"/>
                <w:sz w:val="20"/>
              </w:rPr>
            </w:pPr>
            <w:r w:rsidRPr="006F29F5">
              <w:rPr>
                <w:rFonts w:cs="Times New Roman"/>
                <w:kern w:val="2"/>
                <w:sz w:val="20"/>
              </w:rPr>
              <w:t xml:space="preserve">The CAFRA </w:t>
            </w:r>
            <w:r w:rsidR="00CC1E13" w:rsidRPr="006F29F5">
              <w:rPr>
                <w:rFonts w:cs="Times New Roman"/>
                <w:kern w:val="2"/>
                <w:sz w:val="20"/>
              </w:rPr>
              <w:t>“</w:t>
            </w:r>
            <w:r w:rsidRPr="006F29F5">
              <w:rPr>
                <w:rFonts w:cs="Times New Roman"/>
                <w:kern w:val="2"/>
                <w:sz w:val="20"/>
              </w:rPr>
              <w:t>death penalty</w:t>
            </w:r>
            <w:r w:rsidR="00CC1E13" w:rsidRPr="006F29F5">
              <w:rPr>
                <w:rFonts w:cs="Times New Roman"/>
                <w:kern w:val="2"/>
                <w:sz w:val="20"/>
              </w:rPr>
              <w:t>”</w:t>
            </w:r>
            <w:r w:rsidRPr="006F29F5">
              <w:rPr>
                <w:rFonts w:cs="Times New Roman"/>
                <w:kern w:val="2"/>
                <w:sz w:val="20"/>
              </w:rPr>
              <w:t xml:space="preserve"> mentioned earlier means that if any of the filing deadlines are missed for a seizing agency giving notice, and the prosecutor filing an action, a civil forfeiture action is forever barred. Criminal forfeitures are not subject to any deadlines. If a stay is not granted on the civil case, the discovery and motions practice can create not only extra work for the prosecutor’s office, but also potentially interfere with the criminal prosecution which is proceeding along a different time frame, under different rules of court procedure. Finally, as noted before, if a claimant succeeds at having property released in a civil judicial proceeding, the government may have to pay the claimant’s reasonable attorney’s fee.</w:t>
            </w:r>
          </w:p>
          <w:p w14:paraId="73B965F3" w14:textId="77777777" w:rsidR="00AA09C5" w:rsidRPr="006F29F5" w:rsidRDefault="00AA09C5" w:rsidP="003D0153">
            <w:pPr>
              <w:autoSpaceDE w:val="0"/>
              <w:autoSpaceDN w:val="0"/>
              <w:adjustRightInd w:val="0"/>
              <w:rPr>
                <w:rFonts w:cs="Times New Roman"/>
                <w:kern w:val="2"/>
                <w:sz w:val="20"/>
              </w:rPr>
            </w:pPr>
            <w:r w:rsidRPr="006F29F5">
              <w:rPr>
                <w:rFonts w:cs="Times New Roman"/>
                <w:kern w:val="2"/>
                <w:sz w:val="20"/>
              </w:rPr>
              <w:t>2. Pros and Cons of Criminal Forfeiture</w:t>
            </w:r>
          </w:p>
          <w:p w14:paraId="65DF52CF" w14:textId="77777777" w:rsidR="00AA09C5" w:rsidRPr="006F29F5" w:rsidRDefault="00AA09C5" w:rsidP="003D0153">
            <w:pPr>
              <w:autoSpaceDE w:val="0"/>
              <w:autoSpaceDN w:val="0"/>
              <w:adjustRightInd w:val="0"/>
              <w:spacing w:after="120"/>
              <w:rPr>
                <w:rFonts w:cs="Times New Roman"/>
                <w:kern w:val="2"/>
                <w:sz w:val="20"/>
              </w:rPr>
            </w:pPr>
            <w:r w:rsidRPr="006F29F5">
              <w:rPr>
                <w:rFonts w:cs="Times New Roman"/>
                <w:kern w:val="2"/>
                <w:sz w:val="20"/>
              </w:rPr>
              <w:t>(</w:t>
            </w:r>
            <w:proofErr w:type="spellStart"/>
            <w:r w:rsidRPr="006F29F5">
              <w:rPr>
                <w:rFonts w:cs="Times New Roman"/>
                <w:kern w:val="2"/>
                <w:sz w:val="20"/>
              </w:rPr>
              <w:t>i</w:t>
            </w:r>
            <w:proofErr w:type="spellEnd"/>
            <w:r w:rsidRPr="006F29F5">
              <w:rPr>
                <w:rFonts w:cs="Times New Roman"/>
                <w:kern w:val="2"/>
                <w:sz w:val="20"/>
              </w:rPr>
              <w:t>) Pro: Forfeiture is addressed as part of the same proceeding as the criminal offence</w:t>
            </w:r>
          </w:p>
          <w:p w14:paraId="0ADF296F" w14:textId="7163C265" w:rsidR="00AA09C5" w:rsidRPr="006F29F5" w:rsidRDefault="00AA09C5" w:rsidP="003D0153">
            <w:pPr>
              <w:autoSpaceDE w:val="0"/>
              <w:autoSpaceDN w:val="0"/>
              <w:adjustRightInd w:val="0"/>
              <w:spacing w:before="120"/>
              <w:rPr>
                <w:rFonts w:cs="Times New Roman"/>
                <w:kern w:val="2"/>
                <w:sz w:val="20"/>
              </w:rPr>
            </w:pPr>
            <w:r w:rsidRPr="006F29F5">
              <w:rPr>
                <w:rFonts w:cs="Times New Roman"/>
                <w:kern w:val="2"/>
                <w:sz w:val="20"/>
              </w:rPr>
              <w:t xml:space="preserve">Successfully obtaining forfeiture of all of the property sought for forfeiture in the criminal case saves an enormous amount of prosecutorial and judicial resources. Quite often, the court in the civil case will grant a </w:t>
            </w:r>
            <w:r w:rsidR="00CC1E13" w:rsidRPr="006F29F5">
              <w:rPr>
                <w:rFonts w:cs="Times New Roman"/>
                <w:kern w:val="2"/>
                <w:sz w:val="20"/>
              </w:rPr>
              <w:t>“</w:t>
            </w:r>
            <w:r w:rsidRPr="006F29F5">
              <w:rPr>
                <w:rFonts w:cs="Times New Roman"/>
                <w:kern w:val="2"/>
                <w:sz w:val="20"/>
              </w:rPr>
              <w:t>stay</w:t>
            </w:r>
            <w:r w:rsidR="00CC1E13" w:rsidRPr="006F29F5">
              <w:rPr>
                <w:rFonts w:cs="Times New Roman"/>
                <w:kern w:val="2"/>
                <w:sz w:val="20"/>
              </w:rPr>
              <w:t>”</w:t>
            </w:r>
            <w:r w:rsidRPr="006F29F5">
              <w:rPr>
                <w:rFonts w:cs="Times New Roman"/>
                <w:kern w:val="2"/>
                <w:sz w:val="20"/>
              </w:rPr>
              <w:t xml:space="preserve"> while the criminal case proceeds. If the defendant reaches a point in the criminal prosecution of entering into an agreement to plead guilty to any of the criminal charges, the prosecutor will obtain – as part of that agreement – an agreement which addresses all of the assets sought for forfeiture. If a plea agreement is not reached and the case proceeds to trial, a criminal forfeiture judgment (including a money judgment) may be obtained based upon the same evidence as produced in the criminal case. Thus, there is no need for extra witnesses, or another court proceeding or another trial in order to obtain the forfeiture. In drug cases, 21 U.S.C. § 853(d) provides a presumption that any unexplained wealth accumulated during the course of a drug crime (which can include a multiple-year conspiracy), combined with a lack of legitimate income may be considered forfeitable drug proceeds.</w:t>
            </w:r>
          </w:p>
          <w:p w14:paraId="2F470F28" w14:textId="77777777" w:rsidR="00AA09C5" w:rsidRPr="006F29F5" w:rsidRDefault="00AA09C5" w:rsidP="003D0153">
            <w:pPr>
              <w:autoSpaceDE w:val="0"/>
              <w:autoSpaceDN w:val="0"/>
              <w:adjustRightInd w:val="0"/>
              <w:spacing w:after="120"/>
              <w:rPr>
                <w:rFonts w:cs="Times New Roman"/>
                <w:kern w:val="2"/>
                <w:sz w:val="20"/>
              </w:rPr>
            </w:pPr>
            <w:r w:rsidRPr="006F29F5">
              <w:rPr>
                <w:rFonts w:cs="Times New Roman"/>
                <w:kern w:val="2"/>
                <w:sz w:val="20"/>
              </w:rPr>
              <w:t xml:space="preserve">(ii) Pro: A money judgment forfeiture is available and no attorney fees </w:t>
            </w:r>
          </w:p>
          <w:p w14:paraId="05FECC25" w14:textId="77777777" w:rsidR="00E16DF3" w:rsidRPr="006F29F5" w:rsidRDefault="00AA09C5" w:rsidP="003D0153">
            <w:pPr>
              <w:autoSpaceDE w:val="0"/>
              <w:autoSpaceDN w:val="0"/>
              <w:adjustRightInd w:val="0"/>
              <w:spacing w:before="120" w:after="120"/>
              <w:rPr>
                <w:rFonts w:cs="Times New Roman"/>
                <w:kern w:val="2"/>
                <w:sz w:val="20"/>
              </w:rPr>
            </w:pPr>
            <w:r w:rsidRPr="006F29F5">
              <w:rPr>
                <w:rFonts w:cs="Times New Roman"/>
                <w:kern w:val="2"/>
                <w:sz w:val="20"/>
              </w:rPr>
              <w:t>Most significantly, if the property generated from the crime or used to commit the crime is no longer available for forfeiture, the prosecutor may request that the judge or jury enter a money judgment which may be collected against the untainted ass</w:t>
            </w:r>
            <w:r w:rsidR="00E16DF3" w:rsidRPr="006F29F5">
              <w:rPr>
                <w:rFonts w:cs="Times New Roman"/>
                <w:kern w:val="2"/>
                <w:sz w:val="20"/>
              </w:rPr>
              <w:t>ets belonging to the defendant.</w:t>
            </w:r>
          </w:p>
          <w:p w14:paraId="019C7BCD" w14:textId="3395698B" w:rsidR="00AA09C5" w:rsidRPr="006F29F5" w:rsidRDefault="00AA09C5" w:rsidP="003D0153">
            <w:pPr>
              <w:autoSpaceDE w:val="0"/>
              <w:autoSpaceDN w:val="0"/>
              <w:adjustRightInd w:val="0"/>
              <w:spacing w:before="120"/>
              <w:rPr>
                <w:rFonts w:cs="Times New Roman"/>
                <w:kern w:val="2"/>
                <w:sz w:val="20"/>
              </w:rPr>
            </w:pPr>
            <w:r w:rsidRPr="006F29F5">
              <w:rPr>
                <w:rFonts w:cs="Times New Roman"/>
                <w:kern w:val="2"/>
                <w:sz w:val="20"/>
              </w:rPr>
              <w:t>This money judgment is available for collection for years after the criminal case concludes. Finally, if criminal forfeiture is not successful – either because the defendant is acquitted or because a third party succeeds in obtaining release of the property – the government is not liable for anyone’s attorney’s fees.</w:t>
            </w:r>
          </w:p>
          <w:p w14:paraId="7C3F858A" w14:textId="77777777" w:rsidR="00AA09C5" w:rsidRPr="006F29F5" w:rsidRDefault="00AA09C5" w:rsidP="003D0153">
            <w:pPr>
              <w:autoSpaceDE w:val="0"/>
              <w:autoSpaceDN w:val="0"/>
              <w:adjustRightInd w:val="0"/>
              <w:spacing w:after="120"/>
              <w:rPr>
                <w:rFonts w:cs="Times New Roman"/>
                <w:kern w:val="2"/>
                <w:sz w:val="20"/>
              </w:rPr>
            </w:pPr>
            <w:r w:rsidRPr="006F29F5">
              <w:rPr>
                <w:rFonts w:cs="Times New Roman"/>
                <w:kern w:val="2"/>
                <w:sz w:val="20"/>
              </w:rPr>
              <w:t>(iii) Con: Only the defendant’s property may be forfeited</w:t>
            </w:r>
          </w:p>
          <w:p w14:paraId="155EC821" w14:textId="76CBC139" w:rsidR="00EE529E" w:rsidRPr="00EE529E" w:rsidRDefault="00AA09C5" w:rsidP="00EE529E">
            <w:pPr>
              <w:autoSpaceDE w:val="0"/>
              <w:autoSpaceDN w:val="0"/>
              <w:adjustRightInd w:val="0"/>
              <w:spacing w:before="120" w:after="0"/>
              <w:rPr>
                <w:rFonts w:cs="Times New Roman"/>
                <w:kern w:val="2"/>
                <w:sz w:val="20"/>
              </w:rPr>
            </w:pPr>
            <w:r w:rsidRPr="006F29F5">
              <w:rPr>
                <w:rFonts w:cs="Times New Roman"/>
                <w:kern w:val="2"/>
                <w:sz w:val="20"/>
              </w:rPr>
              <w:t>Because of this limitation, any legally recognized superior interest by a third party – even if that person knew of the criminal nature of the property – must be forfeited in a parallel civil forfeiture case, or it cannot be forfeited. Thus, often both proceedings are required in order to obtain the maximum forfe</w:t>
            </w:r>
            <w:r w:rsidR="00EE529E">
              <w:rPr>
                <w:rFonts w:cs="Times New Roman"/>
                <w:kern w:val="2"/>
                <w:sz w:val="20"/>
              </w:rPr>
              <w:t>iture potential under U.S. law.</w:t>
            </w:r>
          </w:p>
        </w:tc>
      </w:tr>
    </w:tbl>
    <w:p w14:paraId="611B7E5E" w14:textId="77777777" w:rsidR="00EE529E" w:rsidRDefault="00EE529E">
      <w:r>
        <w:br w:type="page"/>
      </w:r>
    </w:p>
    <w:tbl>
      <w:tblPr>
        <w:tblStyle w:val="TableGrid"/>
        <w:tblW w:w="0" w:type="auto"/>
        <w:jc w:val="center"/>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EE529E" w:rsidRPr="006F29F5" w14:paraId="3233563B" w14:textId="77777777" w:rsidTr="003D0153">
        <w:trPr>
          <w:jc w:val="center"/>
        </w:trPr>
        <w:tc>
          <w:tcPr>
            <w:tcW w:w="8080" w:type="dxa"/>
            <w:tcBorders>
              <w:top w:val="nil"/>
              <w:left w:val="nil"/>
              <w:bottom w:val="nil"/>
              <w:right w:val="nil"/>
            </w:tcBorders>
            <w:shd w:val="clear" w:color="auto" w:fill="D9D9D9" w:themeFill="background1" w:themeFillShade="D9"/>
          </w:tcPr>
          <w:p w14:paraId="13817ED7" w14:textId="2321C1FB" w:rsidR="00EE529E" w:rsidRPr="006F29F5" w:rsidRDefault="00EE529E" w:rsidP="00EE529E">
            <w:pPr>
              <w:autoSpaceDE w:val="0"/>
              <w:autoSpaceDN w:val="0"/>
              <w:adjustRightInd w:val="0"/>
              <w:spacing w:before="0"/>
              <w:rPr>
                <w:rFonts w:cs="Times New Roman"/>
                <w:b/>
                <w:bCs/>
                <w:kern w:val="2"/>
                <w:sz w:val="20"/>
              </w:rPr>
            </w:pPr>
            <w:r w:rsidRPr="006F29F5">
              <w:rPr>
                <w:rFonts w:cs="Times New Roman"/>
                <w:b/>
                <w:bCs/>
                <w:kern w:val="2"/>
                <w:sz w:val="20"/>
              </w:rPr>
              <w:t xml:space="preserve">IV. </w:t>
            </w:r>
            <w:r w:rsidRPr="006F29F5">
              <w:rPr>
                <w:rFonts w:cs="Times New Roman"/>
                <w:b/>
                <w:bCs/>
                <w:smallCaps/>
                <w:kern w:val="2"/>
                <w:sz w:val="20"/>
              </w:rPr>
              <w:t>Property Subject to Forfeiture Under U.S. Law</w:t>
            </w:r>
          </w:p>
          <w:p w14:paraId="69EBA6F0" w14:textId="77777777" w:rsidR="00EE529E" w:rsidRPr="006F29F5" w:rsidRDefault="00EE529E" w:rsidP="00EE529E">
            <w:pPr>
              <w:autoSpaceDE w:val="0"/>
              <w:autoSpaceDN w:val="0"/>
              <w:adjustRightInd w:val="0"/>
              <w:rPr>
                <w:rFonts w:cs="Times New Roman"/>
                <w:b/>
                <w:bCs/>
                <w:kern w:val="2"/>
                <w:sz w:val="20"/>
              </w:rPr>
            </w:pPr>
            <w:r w:rsidRPr="006F29F5">
              <w:rPr>
                <w:rFonts w:cs="Times New Roman"/>
                <w:b/>
                <w:bCs/>
                <w:kern w:val="2"/>
                <w:sz w:val="20"/>
              </w:rPr>
              <w:t>A. Proceeds Forfeitures</w:t>
            </w:r>
          </w:p>
          <w:p w14:paraId="1070452B"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Although the U.S. forfeiture system provides robust measures which may be used to deprive criminals of their ill-gotten gains, and U.S. prosecutors aggressively use this system to its best advantage, the truth is that it is overly complicated even for American prosecutors and judges. Most countries have enacted generic asset forfeiture laws, such as the Proceeds of Crime Acts (“POCAs”) found in many Commonwealth countries and threshold crimes forfeiture systems enacted in many civil law countries. In the United States, property which can be forfeited either civilly or criminally varies greatly from one offense to another. For some crimes, only the proceeds can be forfeited; for others, only instrumentalities and for others, property “involved in” the offense. There are still many felony crimes for which forfeiture is not provided. Yet, all property owned by individuals or organizations involved in any crime related to terrorism may be forfeited. 18 U.S.C. § 981(a</w:t>
            </w:r>
            <w:proofErr w:type="gramStart"/>
            <w:r w:rsidRPr="006F29F5">
              <w:rPr>
                <w:rFonts w:cs="Times New Roman"/>
                <w:kern w:val="2"/>
                <w:sz w:val="20"/>
              </w:rPr>
              <w:t>)(</w:t>
            </w:r>
            <w:proofErr w:type="gramEnd"/>
            <w:r w:rsidRPr="006F29F5">
              <w:rPr>
                <w:rFonts w:cs="Times New Roman"/>
                <w:kern w:val="2"/>
                <w:sz w:val="20"/>
              </w:rPr>
              <w:t xml:space="preserve">1)(G). The Department of Justice has attempted several times to obtain passage of an all crimes approach with the introduction of Proceeds of Crime Act legislation. However, the bill has generally been dead-on-arrival in Congress because there is no apparent urgent need to obtain such a complete overhaul and because of general political ambivalence toward forfeiture. So, we work with our hodgepodge of statutes the best we can. </w:t>
            </w:r>
          </w:p>
          <w:p w14:paraId="3E1A3F63"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The closest to an “all crimes” approach to forfeiture of proceeds in the United States is 18 U.S.C. § 981(a</w:t>
            </w:r>
            <w:proofErr w:type="gramStart"/>
            <w:r w:rsidRPr="006F29F5">
              <w:rPr>
                <w:rFonts w:cs="Times New Roman"/>
                <w:kern w:val="2"/>
                <w:sz w:val="20"/>
              </w:rPr>
              <w:t>)(</w:t>
            </w:r>
            <w:proofErr w:type="gramEnd"/>
            <w:r w:rsidRPr="006F29F5">
              <w:rPr>
                <w:rFonts w:cs="Times New Roman"/>
                <w:kern w:val="2"/>
                <w:sz w:val="20"/>
              </w:rPr>
              <w:t>1)(C) which authorizes the forfeiture of the proceeds of over 200 state and federal offences. Most of these are subject to forfeiture because they are “specified unlawful activities” (“SUAs”) within the definition of 18 U.S.C. § 1956(c</w:t>
            </w:r>
            <w:proofErr w:type="gramStart"/>
            <w:r w:rsidRPr="006F29F5">
              <w:rPr>
                <w:rFonts w:cs="Times New Roman"/>
                <w:kern w:val="2"/>
                <w:sz w:val="20"/>
              </w:rPr>
              <w:t>)(</w:t>
            </w:r>
            <w:proofErr w:type="gramEnd"/>
            <w:r w:rsidRPr="006F29F5">
              <w:rPr>
                <w:rFonts w:cs="Times New Roman"/>
                <w:kern w:val="2"/>
                <w:sz w:val="20"/>
              </w:rPr>
              <w:t>7). All of the UN Convention required crimes are included, such as terrorist financing, money laundering, arms smuggling, drug crimes, most varieties of fraud (except tax fraud), corruption, human trafficking, smuggling, counterfeiting, securities violations, violent crimes, and environmental crimes. Others are linked through cross-referencing the RICO law (18 U.S.C. § 1961) to state crimes such as gambling, arson, kidnapping, murder, obscenity and nearly all types of theft. U.S. courts have regarded “proceeds” as including any property, real or personal, tangible or intangible, which would not have been obtained “but for” the commission of the crime. The civil forfeiture law defines “proceeds” in several ways: (1) in cases involving illegal goods, illegal services, unlawful activities, and telemarketing and health care fraud schemes, the term “proceeds” means property of any kind obtained directly or indirectly, as the result of the commission of the offence giving rise to forfeiture, and any property traceable thereto, and is not limited to the net gain or profit realized from the offence; (2) in cases involving lawful goods or lawful services that are sold or provided in an illegal manner, “proceeds” includes the amount of money acquired through the illegal transactions resulting in the forfeiture, less the direct costs incurred in providing the goods or services; and (3) in cases involving bank or other financial fraud, “proceeds” for forfeiture purposes excludes any amount of fraudulent obligation which was repaid.</w:t>
            </w:r>
          </w:p>
          <w:p w14:paraId="0FFE9EB9"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Under U.S. law, “proceeds” will also include any increase in value which has occurred to property generated from criminal activity. For example, if a house bought with drug proceeds increases in value 100 percent in ten years, the entire house is subject to forfeiture. “Proceeds” may also include the value of services and benefits received from criminal activity, such as human trafficking or forced labour, even if the defendant does not actually receive payment for those services. “Proceeds” forfeitures are strong medicine; however, they do require that the police and prosecutors trace the property obtained from the criminal activity, and in today’s era of transnational criminal activity, that endeavour can be difficult, if not impossible, in many cases.</w:t>
            </w:r>
          </w:p>
          <w:p w14:paraId="361BC5F2" w14:textId="77777777" w:rsidR="00EE529E" w:rsidRPr="006F29F5" w:rsidRDefault="00EE529E" w:rsidP="00EE529E">
            <w:pPr>
              <w:autoSpaceDE w:val="0"/>
              <w:autoSpaceDN w:val="0"/>
              <w:adjustRightInd w:val="0"/>
              <w:rPr>
                <w:rFonts w:cs="Times New Roman"/>
                <w:b/>
                <w:bCs/>
                <w:kern w:val="2"/>
                <w:sz w:val="20"/>
              </w:rPr>
            </w:pPr>
            <w:r w:rsidRPr="006F29F5">
              <w:rPr>
                <w:rFonts w:cs="Times New Roman"/>
                <w:b/>
                <w:bCs/>
                <w:kern w:val="2"/>
                <w:sz w:val="20"/>
              </w:rPr>
              <w:t>B. Facilitating Property Forfeitures</w:t>
            </w:r>
          </w:p>
          <w:p w14:paraId="6285AB3B"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“Facilitating property” is considered to be any property which makes the criminal activity more likely to occur. This term is the United States’ version of an “instrumentalities” of crime confiscation. Criminal and civil forfeiture of facilitating property has long been permitted in drug cases. Most of the forfeitures permitted under the more generic criminal forfeiture law, 18 U.S.C. § 982, and civil forfeiture law, 18 U.S.C. § 981, apply only to criminal proceeds. Immigration, telemarketing, identity theft, child pornography and alien smuggling are exceptions.</w:t>
            </w:r>
          </w:p>
          <w:p w14:paraId="3D06D9DD"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CAFRA added the requirement that in “facilitating property forfeitures”, the prosecutor must prove, by a preponderance of the evidence, that the property had a “substantial connection” to the underlying offence. This test has been held to prohibit forfeiture of an entire residence based upon one telephone call from the property, or a vehicle which is used to transport someone to a meeting to discuss the crime. Such uses would be considered “incidental” and not “substantially connected” to the criminal activity.</w:t>
            </w:r>
          </w:p>
          <w:p w14:paraId="4AE0CE8C" w14:textId="77777777" w:rsidR="00EE529E" w:rsidRPr="006F29F5" w:rsidRDefault="00EE529E" w:rsidP="00EE529E">
            <w:pPr>
              <w:autoSpaceDE w:val="0"/>
              <w:autoSpaceDN w:val="0"/>
              <w:adjustRightInd w:val="0"/>
              <w:rPr>
                <w:rFonts w:cs="Times New Roman"/>
                <w:b/>
                <w:bCs/>
                <w:kern w:val="2"/>
                <w:sz w:val="20"/>
              </w:rPr>
            </w:pPr>
            <w:r w:rsidRPr="006F29F5">
              <w:rPr>
                <w:rFonts w:cs="Times New Roman"/>
                <w:b/>
                <w:bCs/>
                <w:kern w:val="2"/>
                <w:sz w:val="20"/>
              </w:rPr>
              <w:t>C. Property “Involved In” Money Laundering</w:t>
            </w:r>
          </w:p>
          <w:p w14:paraId="2D60B3D7"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U.S. forfeiture law allows the criminal or civil forfeiture of any property which is “involved in” a money laundering offence. 18 U.S.C. §§ 981(a</w:t>
            </w:r>
            <w:proofErr w:type="gramStart"/>
            <w:r w:rsidRPr="006F29F5">
              <w:rPr>
                <w:rFonts w:cs="Times New Roman"/>
                <w:kern w:val="2"/>
                <w:sz w:val="20"/>
              </w:rPr>
              <w:t>)(</w:t>
            </w:r>
            <w:proofErr w:type="gramEnd"/>
            <w:r w:rsidRPr="006F29F5">
              <w:rPr>
                <w:rFonts w:cs="Times New Roman"/>
                <w:kern w:val="2"/>
                <w:sz w:val="20"/>
              </w:rPr>
              <w:t xml:space="preserve">1)(A) and 982(a)(1). This concept reaches further than “facilitating” or instrumentality property primarily because it allows the prosecutor to forfeit also untainted property which has been commingled with the criminally-related property. For example, if someone uses criminal proceeds to purchase real property in the name of a nominee family member, but half of the purchase price is paid for with legitimate funds, the entire property becomes subject to forfeiture. If tainted funds are used to purchase a business by one partner, but another partner uses untainted funds, the entire business becomes subject to forfeiture if the business partner cannot establish that he was a bona fide purchaser for value. The money laundering forfeiture provision is a popular one among U.S. prosecutors. </w:t>
            </w:r>
          </w:p>
          <w:p w14:paraId="71E016EB"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 xml:space="preserve">The primary limitation to its use is the assertion of the 8th Amendment defence of “excessive fines and penalties.” The 8th Amendment to the U.S. Constitution prohibits the government from imposing an excessive fine or penalty. In </w:t>
            </w:r>
            <w:r w:rsidRPr="006F29F5">
              <w:rPr>
                <w:rFonts w:cs="Times New Roman"/>
                <w:i/>
                <w:kern w:val="2"/>
                <w:sz w:val="20"/>
              </w:rPr>
              <w:t>Austin v. United States</w:t>
            </w:r>
            <w:r w:rsidRPr="006F29F5">
              <w:rPr>
                <w:rFonts w:cs="Times New Roman"/>
                <w:kern w:val="2"/>
                <w:sz w:val="20"/>
              </w:rPr>
              <w:t>, 509 U.S. 602, 622 (1993), the Supreme Court applied the 8th Amendment to civil forfeiture cases, determining that such forfeitures must be limited to property which is, in some way, “proportional” to the underlying crime committed. Such a measure is often difficult. Many courts have applied the test of comparing the value of the property sought to be forfeited to the maximum fine which Congress authorized for the underlying crime; however, this has not been adopted as a conclusive measure, and courts generally look to the entire circumstances of a case to determine what is grossly disproportional to the crime, and what is not, for forfeiture purposes.</w:t>
            </w:r>
          </w:p>
          <w:p w14:paraId="3CDC3114" w14:textId="77777777" w:rsidR="00EE529E" w:rsidRPr="006F29F5" w:rsidRDefault="00EE529E" w:rsidP="00EE529E">
            <w:pPr>
              <w:autoSpaceDE w:val="0"/>
              <w:autoSpaceDN w:val="0"/>
              <w:adjustRightInd w:val="0"/>
              <w:rPr>
                <w:rFonts w:cs="Times New Roman"/>
                <w:b/>
                <w:bCs/>
                <w:kern w:val="2"/>
                <w:sz w:val="20"/>
              </w:rPr>
            </w:pPr>
            <w:r w:rsidRPr="006F29F5">
              <w:rPr>
                <w:rFonts w:cs="Times New Roman"/>
                <w:b/>
                <w:bCs/>
                <w:kern w:val="2"/>
                <w:sz w:val="20"/>
              </w:rPr>
              <w:t xml:space="preserve">V. </w:t>
            </w:r>
            <w:r w:rsidRPr="006F29F5">
              <w:rPr>
                <w:rFonts w:cs="Times New Roman"/>
                <w:b/>
                <w:bCs/>
                <w:smallCaps/>
                <w:kern w:val="2"/>
                <w:sz w:val="20"/>
              </w:rPr>
              <w:t>Provisional Restraint of Property Under U.S. Law</w:t>
            </w:r>
          </w:p>
          <w:p w14:paraId="6653A1E8"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Prosecutors in the U.S. must generally determine whether they will seek to seize or restrain assets prior to the initiation of either a criminal or civil forfeiture proceeding. A seizure always precedes an administrative forfeiture proceeding. The law recognizes the obvious principle that if property can effectively be restrained during the pendency of a forfeiture case, restraint is generally preferable to an actual seizure, which often requires significant expenditure of maintenance and storage fees.</w:t>
            </w:r>
          </w:p>
          <w:p w14:paraId="317732B9" w14:textId="77777777" w:rsidR="00EE529E" w:rsidRPr="006F29F5" w:rsidRDefault="00EE529E" w:rsidP="00EE529E">
            <w:pPr>
              <w:autoSpaceDE w:val="0"/>
              <w:autoSpaceDN w:val="0"/>
              <w:adjustRightInd w:val="0"/>
              <w:rPr>
                <w:rFonts w:cs="Times New Roman"/>
                <w:b/>
                <w:bCs/>
                <w:kern w:val="2"/>
                <w:sz w:val="20"/>
              </w:rPr>
            </w:pPr>
            <w:r w:rsidRPr="006F29F5">
              <w:rPr>
                <w:rFonts w:cs="Times New Roman"/>
                <w:b/>
                <w:bCs/>
                <w:kern w:val="2"/>
                <w:sz w:val="20"/>
              </w:rPr>
              <w:t>A. Restraining Orders</w:t>
            </w:r>
          </w:p>
          <w:p w14:paraId="44E1BD32"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U.S. laws provide a three-stage procedure for obtaining restraining orders against assets sought for either civil or criminal forfeiture. Prior to the initiation of criminal charges, a temporary restraining order (“TRO”) may be obtained for 14 days upon an ex parte application and without prior notice to anyone with an interest in the property. The prosecutor must establish in the application that there is probable cause to believe that the property is subject to forfeiture and that providing notice would jeopardize the availability of the property. The 14 day period may be extended upon good cause shown, permitting serial TRO’s until law enforcement agents have completed their “take down” of a criminal operation. Prior to the expiration of the initial TRO, the prosecutor must serve the order upon any potential parties in interest.</w:t>
            </w:r>
          </w:p>
          <w:p w14:paraId="232406C6"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After affected parties have received notice and been given an opportunity to request a hearing, the prosecutor must demonstrate that: (1) there is a substantial probability that the U.S. will prevail on forfeiture and that failure to enter the order could result in the property’s becoming unavailable; and (2) the need to preserve the property outweighs hardship to the affected parties. The court may then grant a 90-day restraining order, which can be extended upon good cause.</w:t>
            </w:r>
          </w:p>
          <w:p w14:paraId="3824AB14"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Once a criminal indictment or a civil forfeiture complaint is filed, the prosecutor may obtain a permanent pre-trial restraining order. The reason for this provision is that in either case, an independent entity has found probable cause to believe that the property will be forfeited, thus satisfying possible judicial concerns about violations of the U.S. Constitution’s 4th Amendment protections against unreasonable searches and seizures. In a civil forfeiture, the judge makes that determination based on the civil complaint; in a criminal forfeiture, the grand jury makes the determination based upon allegations in the indictment. Except for a request to pay attorney’s fees (which is not permitted in the U.S. from tainted property), no one is entitled to a hearing on a restraining order issued after an indictment or civil forfeiture complaint has been filed.</w:t>
            </w:r>
          </w:p>
          <w:p w14:paraId="71C3ED3D" w14:textId="77777777" w:rsidR="00EE529E" w:rsidRPr="006F29F5" w:rsidRDefault="00EE529E" w:rsidP="00EE529E">
            <w:pPr>
              <w:autoSpaceDE w:val="0"/>
              <w:autoSpaceDN w:val="0"/>
              <w:adjustRightInd w:val="0"/>
              <w:rPr>
                <w:rFonts w:cs="Times New Roman"/>
                <w:b/>
                <w:bCs/>
                <w:kern w:val="2"/>
                <w:sz w:val="20"/>
              </w:rPr>
            </w:pPr>
            <w:r w:rsidRPr="006F29F5">
              <w:rPr>
                <w:rFonts w:cs="Times New Roman"/>
                <w:b/>
                <w:bCs/>
                <w:kern w:val="2"/>
                <w:sz w:val="20"/>
              </w:rPr>
              <w:t>B. Seizure Warrants</w:t>
            </w:r>
          </w:p>
          <w:p w14:paraId="0471283D"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Civil and criminal seizure warrants are both available, with slightly different standards. A civil seizure warrant may be issued by the court upon probable cause to believe the property is subject to forfeiture (18 U.S.C. § 981(b)), which is usually accomplished by an affidavit sworn to by a law enforcement officer. This seizure warrant is used for most administrative seizures.</w:t>
            </w:r>
          </w:p>
          <w:p w14:paraId="04214F01"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A criminal seizure warrant requires not only a showing of probable cause for forfeiture, but also that a restraining order is insufficient to maintain the property (or its value) for forfeiture. This provision confirms that restraint during the course of a forfeiture proceeding is preferable; but if the government learns that property is being transferred, damaged, or destroyed, a criminal seizure warrant would be available.</w:t>
            </w:r>
          </w:p>
          <w:p w14:paraId="0CE09E9A" w14:textId="77777777" w:rsidR="00EE529E" w:rsidRPr="006F29F5" w:rsidRDefault="00EE529E" w:rsidP="00EE529E">
            <w:pPr>
              <w:autoSpaceDE w:val="0"/>
              <w:autoSpaceDN w:val="0"/>
              <w:adjustRightInd w:val="0"/>
              <w:rPr>
                <w:rFonts w:cs="Times New Roman"/>
                <w:b/>
                <w:bCs/>
                <w:kern w:val="2"/>
                <w:sz w:val="20"/>
              </w:rPr>
            </w:pPr>
            <w:r w:rsidRPr="006F29F5">
              <w:rPr>
                <w:rFonts w:cs="Times New Roman"/>
                <w:b/>
                <w:bCs/>
                <w:kern w:val="2"/>
                <w:sz w:val="20"/>
              </w:rPr>
              <w:t>C. Management of Restrained or Seized Assets</w:t>
            </w:r>
          </w:p>
          <w:p w14:paraId="20312721"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Though somewhat beyond the scope of this paper, issues of asset management should be considered when deciding whether and when to restrain or seize property subject to forfeiture. For example, most vehicles and other modes of transportation, such as boats, motorcycles, and recreational vehicles, are generally seized because of the depreciation in their value through continued use. Prior to seizure, a computation should be undertaken as to whether the overall costs of seizing, storing and maintaining the asset will be less than the anticipated sales price.</w:t>
            </w:r>
          </w:p>
          <w:p w14:paraId="18B6E4C6"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 xml:space="preserve">Real property and businesses present special challenges. A net equity computation of real property is essential, taking into account any liens or mortgages upon the property. As for business forfeitures, the U.S. Marshal’s Service has a team of professionals who advise prosecutors on whether – and how best to – seek forfeiture of a business. U.S. law prohibits the seizure of real property before a final forfeiture judgment unless the prosecutor shows the attempted sale, destruction or unlawful use of the property; however, the filing of a </w:t>
            </w:r>
            <w:proofErr w:type="spellStart"/>
            <w:r w:rsidRPr="006F29F5">
              <w:rPr>
                <w:rFonts w:cs="Times New Roman"/>
                <w:kern w:val="2"/>
                <w:sz w:val="20"/>
              </w:rPr>
              <w:t>lis</w:t>
            </w:r>
            <w:proofErr w:type="spellEnd"/>
            <w:r w:rsidRPr="006F29F5">
              <w:rPr>
                <w:rFonts w:cs="Times New Roman"/>
                <w:kern w:val="2"/>
                <w:sz w:val="20"/>
              </w:rPr>
              <w:t xml:space="preserve"> </w:t>
            </w:r>
            <w:proofErr w:type="spellStart"/>
            <w:r w:rsidRPr="006F29F5">
              <w:rPr>
                <w:rFonts w:cs="Times New Roman"/>
                <w:kern w:val="2"/>
                <w:sz w:val="20"/>
              </w:rPr>
              <w:t>pendens</w:t>
            </w:r>
            <w:proofErr w:type="spellEnd"/>
            <w:r w:rsidRPr="006F29F5">
              <w:rPr>
                <w:rFonts w:cs="Times New Roman"/>
                <w:kern w:val="2"/>
                <w:sz w:val="20"/>
              </w:rPr>
              <w:t xml:space="preserve"> in the public land records office is permitted, as is a restraining order setting forth certain conditions for continued occupancy of the property by its owners. Likewise, restraining orders are most useful in connection with preserving the value of most businesses until a final judgment is entered. If seizure is required, a business manager or receiver can be appointed by the court.</w:t>
            </w:r>
          </w:p>
          <w:p w14:paraId="3B7333DB"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Most financial accounts should generally be simply restrained pending the outcome of the proceeding. Some investment accounts may need to be liquidated or converted with court approval to maintain their value.</w:t>
            </w:r>
          </w:p>
          <w:p w14:paraId="4D992DAD" w14:textId="77777777" w:rsidR="00EE529E" w:rsidRPr="006F29F5" w:rsidRDefault="00EE529E" w:rsidP="00EE529E">
            <w:pPr>
              <w:autoSpaceDE w:val="0"/>
              <w:autoSpaceDN w:val="0"/>
              <w:adjustRightInd w:val="0"/>
              <w:rPr>
                <w:rFonts w:cs="Times New Roman"/>
                <w:b/>
                <w:bCs/>
                <w:kern w:val="2"/>
                <w:sz w:val="20"/>
              </w:rPr>
            </w:pPr>
            <w:r w:rsidRPr="006F29F5">
              <w:rPr>
                <w:rFonts w:cs="Times New Roman"/>
                <w:b/>
                <w:bCs/>
                <w:kern w:val="2"/>
                <w:sz w:val="20"/>
              </w:rPr>
              <w:t>D. Provisional Restraint of Assets Overseas</w:t>
            </w:r>
          </w:p>
          <w:p w14:paraId="087A2CE1" w14:textId="77777777" w:rsidR="00EE529E" w:rsidRPr="006F29F5" w:rsidRDefault="00EE529E" w:rsidP="00EE529E">
            <w:pPr>
              <w:autoSpaceDE w:val="0"/>
              <w:autoSpaceDN w:val="0"/>
              <w:adjustRightInd w:val="0"/>
              <w:rPr>
                <w:rFonts w:cs="Times New Roman"/>
                <w:kern w:val="2"/>
                <w:sz w:val="20"/>
              </w:rPr>
            </w:pPr>
            <w:r w:rsidRPr="006F29F5">
              <w:rPr>
                <w:rFonts w:cs="Times New Roman"/>
                <w:kern w:val="2"/>
                <w:sz w:val="20"/>
              </w:rPr>
              <w:t>U.S. courts have extraterritorial jurisdiction over assets which are named in either a civil forfeiture action or a criminal indictment. The court may order a criminal defendant to “repatriate” any property named for criminal forfeiture. 18 U.S.C. §853(e</w:t>
            </w:r>
            <w:proofErr w:type="gramStart"/>
            <w:r w:rsidRPr="006F29F5">
              <w:rPr>
                <w:rFonts w:cs="Times New Roman"/>
                <w:kern w:val="2"/>
                <w:sz w:val="20"/>
              </w:rPr>
              <w:t>)(</w:t>
            </w:r>
            <w:proofErr w:type="gramEnd"/>
            <w:r w:rsidRPr="006F29F5">
              <w:rPr>
                <w:rFonts w:cs="Times New Roman"/>
                <w:kern w:val="2"/>
                <w:sz w:val="20"/>
              </w:rPr>
              <w:t>4). Penalties for a failure to comply with a repatriation order can include a finding of contempt and/or a sentencing enhancement to the defendant for obstruction of justice. Civil forfeiture provisions do not have a repatriation option, but the court can take “any action to seize, secure …” the availability of property subject to civil forfeiture, which would include ordering any claimants to the case to take action with respect to foreign assets.</w:t>
            </w:r>
            <w:r w:rsidRPr="006F29F5">
              <w:rPr>
                <w:rStyle w:val="FootnoteReference"/>
                <w:rFonts w:cs="Times New Roman"/>
                <w:kern w:val="2"/>
                <w:sz w:val="20"/>
              </w:rPr>
              <w:footnoteReference w:id="102"/>
            </w:r>
          </w:p>
          <w:p w14:paraId="65FCE6E9" w14:textId="52185DD9" w:rsidR="00EE529E" w:rsidRPr="00E011EF" w:rsidRDefault="00EE529E" w:rsidP="00936B3A">
            <w:pPr>
              <w:pStyle w:val="ExcerptMarker"/>
              <w:spacing w:after="0"/>
              <w:rPr>
                <w:spacing w:val="2"/>
                <w:sz w:val="20"/>
              </w:rPr>
            </w:pPr>
            <w:r w:rsidRPr="006F29F5">
              <w:t>End of Excerpt</w:t>
            </w:r>
          </w:p>
        </w:tc>
      </w:tr>
    </w:tbl>
    <w:p w14:paraId="357BA272" w14:textId="5BCC744E" w:rsidR="00B23FBE" w:rsidRPr="006F29F5" w:rsidRDefault="00B23FBE" w:rsidP="00391347">
      <w:pPr>
        <w:rPr>
          <w:rFonts w:cs="Times New Roman"/>
          <w:color w:val="000000" w:themeColor="text1"/>
          <w:kern w:val="2"/>
          <w:sz w:val="20"/>
        </w:rPr>
      </w:pPr>
      <w:r w:rsidRPr="006F29F5">
        <w:rPr>
          <w:rFonts w:cs="Times New Roman"/>
          <w:color w:val="000000" w:themeColor="text1"/>
          <w:kern w:val="2"/>
          <w:sz w:val="20"/>
        </w:rPr>
        <w:t xml:space="preserve">The 2016 FATF Mutual Evaluation Report assessing anti-money laundering and combating the financing of terrorism (AML/CFT) in the </w:t>
      </w:r>
      <w:r w:rsidR="00D4638B" w:rsidRPr="006F29F5">
        <w:rPr>
          <w:rFonts w:cs="Times New Roman"/>
          <w:color w:val="000000" w:themeColor="text1"/>
          <w:kern w:val="2"/>
          <w:sz w:val="20"/>
        </w:rPr>
        <w:t>US</w:t>
      </w:r>
      <w:r w:rsidRPr="006F29F5">
        <w:rPr>
          <w:rFonts w:cs="Times New Roman"/>
          <w:color w:val="000000" w:themeColor="text1"/>
          <w:kern w:val="2"/>
          <w:sz w:val="20"/>
        </w:rPr>
        <w:t xml:space="preserve"> regime notes that the federal authorities aggressively pursue high-value confiscation in large and complex cases and in respect of assets located both domestically and abroad.</w:t>
      </w:r>
      <w:r w:rsidRPr="006F29F5">
        <w:rPr>
          <w:rStyle w:val="FootnoteReference"/>
          <w:rFonts w:cs="Times New Roman"/>
          <w:color w:val="000000" w:themeColor="text1"/>
          <w:kern w:val="2"/>
          <w:sz w:val="20"/>
        </w:rPr>
        <w:footnoteReference w:id="103"/>
      </w:r>
      <w:r w:rsidRPr="006F29F5">
        <w:rPr>
          <w:rFonts w:cs="Times New Roman"/>
          <w:color w:val="000000" w:themeColor="text1"/>
          <w:kern w:val="2"/>
          <w:sz w:val="20"/>
        </w:rPr>
        <w:t xml:space="preserve"> The law enforcement agencies at the federal level give high priority to both criminal and civil forfeiture and seek orders forfeiting property of equivalent value as a policy objective.</w:t>
      </w:r>
      <w:r w:rsidRPr="006F29F5">
        <w:rPr>
          <w:rStyle w:val="FootnoteReference"/>
          <w:rFonts w:cs="Times New Roman"/>
          <w:color w:val="000000" w:themeColor="text1"/>
          <w:kern w:val="2"/>
          <w:sz w:val="20"/>
        </w:rPr>
        <w:footnoteReference w:id="104"/>
      </w:r>
      <w:r w:rsidRPr="006F29F5">
        <w:rPr>
          <w:rFonts w:cs="Times New Roman"/>
          <w:color w:val="000000" w:themeColor="text1"/>
          <w:kern w:val="2"/>
          <w:sz w:val="20"/>
        </w:rPr>
        <w:t xml:space="preserve"> In 2014, the federal authorities recovered over $4.4 billion.</w:t>
      </w:r>
      <w:r w:rsidRPr="006F29F5">
        <w:rPr>
          <w:rStyle w:val="FootnoteReference"/>
          <w:rFonts w:cs="Times New Roman"/>
          <w:color w:val="000000" w:themeColor="text1"/>
          <w:kern w:val="2"/>
          <w:sz w:val="20"/>
        </w:rPr>
        <w:footnoteReference w:id="105"/>
      </w:r>
      <w:r w:rsidRPr="006F29F5">
        <w:rPr>
          <w:rFonts w:cs="Times New Roman"/>
          <w:color w:val="000000" w:themeColor="text1"/>
          <w:kern w:val="2"/>
          <w:sz w:val="20"/>
        </w:rPr>
        <w:t xml:space="preserve"> Although there is not much information available at state and local levels, it appears that civil forfeiture is actively pursued by some states.</w:t>
      </w:r>
      <w:r w:rsidRPr="006F29F5">
        <w:rPr>
          <w:rStyle w:val="FootnoteReference"/>
          <w:rFonts w:cs="Times New Roman"/>
          <w:color w:val="000000" w:themeColor="text1"/>
          <w:kern w:val="2"/>
          <w:sz w:val="20"/>
        </w:rPr>
        <w:footnoteReference w:id="106"/>
      </w:r>
    </w:p>
    <w:p w14:paraId="6313C4AE" w14:textId="6418BE55" w:rsidR="00B23FBE" w:rsidRPr="006F29F5" w:rsidRDefault="00B23FBE" w:rsidP="00B23FBE">
      <w:pPr>
        <w:rPr>
          <w:rFonts w:cs="Times New Roman"/>
          <w:color w:val="000000" w:themeColor="text1"/>
          <w:kern w:val="2"/>
          <w:sz w:val="20"/>
        </w:rPr>
      </w:pPr>
      <w:r w:rsidRPr="006F29F5">
        <w:rPr>
          <w:rFonts w:cs="Times New Roman"/>
          <w:color w:val="000000" w:themeColor="text1"/>
          <w:kern w:val="2"/>
          <w:sz w:val="20"/>
        </w:rPr>
        <w:t xml:space="preserve">In the </w:t>
      </w:r>
      <w:r w:rsidR="00D4638B" w:rsidRPr="006F29F5">
        <w:rPr>
          <w:rFonts w:cs="Times New Roman"/>
          <w:color w:val="000000" w:themeColor="text1"/>
          <w:kern w:val="2"/>
          <w:sz w:val="20"/>
        </w:rPr>
        <w:t>US</w:t>
      </w:r>
      <w:r w:rsidRPr="006F29F5">
        <w:rPr>
          <w:rFonts w:cs="Times New Roman"/>
          <w:color w:val="000000" w:themeColor="text1"/>
          <w:kern w:val="2"/>
          <w:sz w:val="20"/>
        </w:rPr>
        <w:t>, domestic asset repatriation and restitution are managed at the federal level by the Department of Justice Asset Forfeiture Funds (DOJ-AFF) and the Treasury Forfeiture Fund (TFF). In the 2014 fiscal year, the combined value of assets in the DOJ-AFF and the TFF was about $4.6 billion,</w:t>
      </w:r>
      <w:r w:rsidRPr="006F29F5">
        <w:rPr>
          <w:rStyle w:val="FootnoteReference"/>
          <w:rFonts w:cs="Times New Roman"/>
          <w:color w:val="000000" w:themeColor="text1"/>
          <w:kern w:val="2"/>
          <w:sz w:val="20"/>
        </w:rPr>
        <w:footnoteReference w:id="107"/>
      </w:r>
      <w:r w:rsidRPr="006F29F5">
        <w:rPr>
          <w:rFonts w:cs="Times New Roman"/>
          <w:color w:val="000000" w:themeColor="text1"/>
          <w:kern w:val="2"/>
          <w:sz w:val="20"/>
        </w:rPr>
        <w:t xml:space="preserve"> and between fiscal years 2010 and 2015, $2.9 billion in forfeited assets was distributed to victims from the DOJ-AFF.</w:t>
      </w:r>
      <w:r w:rsidRPr="006F29F5">
        <w:rPr>
          <w:rStyle w:val="FootnoteReference"/>
          <w:rFonts w:cs="Times New Roman"/>
          <w:color w:val="000000" w:themeColor="text1"/>
          <w:kern w:val="2"/>
          <w:sz w:val="20"/>
        </w:rPr>
        <w:footnoteReference w:id="108"/>
      </w:r>
      <w:r w:rsidRPr="006F29F5">
        <w:rPr>
          <w:rFonts w:cs="Times New Roman"/>
          <w:color w:val="000000" w:themeColor="text1"/>
          <w:kern w:val="2"/>
          <w:sz w:val="20"/>
        </w:rPr>
        <w:t xml:space="preserve"> During the 2014 fiscal year, the TFF paid $93.3 million in restitution to victims and shared $68.5 million with other authorities and $921,000 with foreign countries.</w:t>
      </w:r>
      <w:r w:rsidRPr="006F29F5">
        <w:rPr>
          <w:rStyle w:val="FootnoteReference"/>
          <w:rFonts w:cs="Times New Roman"/>
          <w:color w:val="000000" w:themeColor="text1"/>
          <w:kern w:val="2"/>
          <w:sz w:val="20"/>
        </w:rPr>
        <w:footnoteReference w:id="109"/>
      </w:r>
      <w:r w:rsidRPr="006F29F5">
        <w:rPr>
          <w:rFonts w:cs="Times New Roman"/>
          <w:color w:val="000000" w:themeColor="text1"/>
          <w:kern w:val="2"/>
          <w:sz w:val="20"/>
        </w:rPr>
        <w:t xml:space="preserve"> Asset recovery is facilitated by specialized units within the Department of Justice</w:t>
      </w:r>
      <w:r w:rsidR="002B19F3" w:rsidRPr="006F29F5">
        <w:rPr>
          <w:rFonts w:cs="Times New Roman"/>
          <w:color w:val="000000" w:themeColor="text1"/>
          <w:kern w:val="2"/>
          <w:sz w:val="20"/>
        </w:rPr>
        <w:t>,</w:t>
      </w:r>
      <w:r w:rsidRPr="006F29F5">
        <w:rPr>
          <w:rFonts w:cs="Times New Roman"/>
          <w:color w:val="000000" w:themeColor="text1"/>
          <w:kern w:val="2"/>
          <w:sz w:val="20"/>
        </w:rPr>
        <w:t xml:space="preserve"> such as the Asset Forfeiture and Money Laundering Section (AFMLS), the </w:t>
      </w:r>
      <w:proofErr w:type="spellStart"/>
      <w:r w:rsidRPr="006F29F5">
        <w:rPr>
          <w:rFonts w:cs="Times New Roman"/>
          <w:color w:val="000000" w:themeColor="text1"/>
          <w:kern w:val="2"/>
          <w:sz w:val="20"/>
        </w:rPr>
        <w:t>Kleptocracy</w:t>
      </w:r>
      <w:proofErr w:type="spellEnd"/>
      <w:r w:rsidRPr="006F29F5">
        <w:rPr>
          <w:rFonts w:cs="Times New Roman"/>
          <w:color w:val="000000" w:themeColor="text1"/>
          <w:kern w:val="2"/>
          <w:sz w:val="20"/>
        </w:rPr>
        <w:t xml:space="preserve"> Asset Recovery Initiative</w:t>
      </w:r>
      <w:r w:rsidR="007B4C6C" w:rsidRPr="006F29F5">
        <w:rPr>
          <w:rFonts w:cs="Times New Roman"/>
          <w:color w:val="000000" w:themeColor="text1"/>
          <w:kern w:val="2"/>
          <w:sz w:val="20"/>
        </w:rPr>
        <w:t>,</w:t>
      </w:r>
      <w:r w:rsidRPr="006F29F5">
        <w:rPr>
          <w:rFonts w:cs="Times New Roman"/>
          <w:color w:val="000000" w:themeColor="text1"/>
          <w:kern w:val="2"/>
          <w:sz w:val="20"/>
        </w:rPr>
        <w:t xml:space="preserve"> and the Organized Crime Drug Enforcement Task Force (OCDETF) Proactive Asset Targeting Team (PATT).</w:t>
      </w:r>
      <w:r w:rsidRPr="006F29F5">
        <w:rPr>
          <w:rStyle w:val="FootnoteReference"/>
          <w:rFonts w:cs="Times New Roman"/>
          <w:color w:val="000000" w:themeColor="text1"/>
          <w:kern w:val="2"/>
          <w:sz w:val="20"/>
        </w:rPr>
        <w:footnoteReference w:id="110"/>
      </w:r>
    </w:p>
    <w:p w14:paraId="1A96F892" w14:textId="3402B2B9" w:rsidR="00051AA7" w:rsidRPr="006F29F5" w:rsidRDefault="0086611E" w:rsidP="00324A2E">
      <w:pPr>
        <w:keepNext/>
        <w:spacing w:before="360" w:after="0"/>
        <w:rPr>
          <w:rFonts w:cs="Times New Roman"/>
          <w:kern w:val="2"/>
          <w:sz w:val="20"/>
        </w:rPr>
      </w:pPr>
      <w:r w:rsidRPr="006F29F5">
        <w:rPr>
          <w:rFonts w:cs="Times New Roman"/>
          <w:b/>
          <w:kern w:val="2"/>
          <w:sz w:val="20"/>
        </w:rPr>
        <w:t xml:space="preserve">Table </w:t>
      </w:r>
      <w:r w:rsidR="00391347" w:rsidRPr="006F29F5">
        <w:rPr>
          <w:rFonts w:cs="Times New Roman"/>
          <w:b/>
          <w:kern w:val="2"/>
          <w:sz w:val="20"/>
        </w:rPr>
        <w:t>5.1</w:t>
      </w:r>
      <w:r w:rsidR="006F6105" w:rsidRPr="006F29F5">
        <w:rPr>
          <w:rFonts w:cs="Times New Roman"/>
          <w:kern w:val="2"/>
          <w:sz w:val="20"/>
        </w:rPr>
        <w:t xml:space="preserve"> </w:t>
      </w:r>
      <w:r w:rsidR="00391347" w:rsidRPr="006F29F5">
        <w:rPr>
          <w:rFonts w:cs="Times New Roman"/>
          <w:kern w:val="2"/>
          <w:sz w:val="20"/>
        </w:rPr>
        <w:t>Total</w:t>
      </w:r>
      <w:r w:rsidRPr="006F29F5">
        <w:rPr>
          <w:rFonts w:cs="Times New Roman"/>
          <w:kern w:val="2"/>
          <w:sz w:val="20"/>
        </w:rPr>
        <w:t xml:space="preserve"> Net Deposits to the Two Federal Forfeiture Funds, FY2012-2014 (in USD)</w:t>
      </w:r>
    </w:p>
    <w:p w14:paraId="6C74BF23" w14:textId="084D84A6" w:rsidR="00B23FBE" w:rsidRPr="006F29F5" w:rsidRDefault="00051AA7" w:rsidP="0032121A">
      <w:pPr>
        <w:spacing w:before="120" w:after="120"/>
        <w:rPr>
          <w:rFonts w:cs="Times New Roman"/>
          <w:b/>
          <w:color w:val="FF0000"/>
          <w:kern w:val="2"/>
          <w:sz w:val="20"/>
        </w:rPr>
      </w:pPr>
      <w:r w:rsidRPr="006F29F5">
        <w:rPr>
          <w:rFonts w:cs="Times New Roman"/>
          <w:noProof/>
          <w:color w:val="FF0000"/>
          <w:kern w:val="2"/>
          <w:sz w:val="20"/>
          <w:lang w:eastAsia="en-CA"/>
        </w:rPr>
        <w:drawing>
          <wp:inline distT="0" distB="0" distL="0" distR="0" wp14:anchorId="648796D9" wp14:editId="0577BF22">
            <wp:extent cx="5086994" cy="847815"/>
            <wp:effectExtent l="38100" t="38100" r="37465" b="476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e 9.jpg"/>
                    <pic:cNvPicPr/>
                  </pic:nvPicPr>
                  <pic:blipFill rotWithShape="1">
                    <a:blip r:embed="rId25">
                      <a:extLst>
                        <a:ext uri="{28A0092B-C50C-407E-A947-70E740481C1C}">
                          <a14:useLocalDpi xmlns:a14="http://schemas.microsoft.com/office/drawing/2010/main" val="0"/>
                        </a:ext>
                      </a:extLst>
                    </a:blip>
                    <a:srcRect l="1869" t="20327" r="1629" b="7292"/>
                    <a:stretch/>
                  </pic:blipFill>
                  <pic:spPr bwMode="auto">
                    <a:xfrm>
                      <a:off x="0" y="0"/>
                      <a:ext cx="5145765" cy="857610"/>
                    </a:xfrm>
                    <a:prstGeom prst="rect">
                      <a:avLst/>
                    </a:prstGeom>
                    <a:ln w="28575">
                      <a:solidFill>
                        <a:schemeClr val="accent5">
                          <a:lumMod val="60000"/>
                          <a:lumOff val="40000"/>
                        </a:schemeClr>
                      </a:solidFill>
                    </a:ln>
                    <a:extLst>
                      <a:ext uri="{53640926-AAD7-44D8-BBD7-CCE9431645EC}">
                        <a14:shadowObscured xmlns:a14="http://schemas.microsoft.com/office/drawing/2010/main"/>
                      </a:ext>
                    </a:extLst>
                  </pic:spPr>
                </pic:pic>
              </a:graphicData>
            </a:graphic>
          </wp:inline>
        </w:drawing>
      </w:r>
    </w:p>
    <w:p w14:paraId="10CB2662" w14:textId="77777777" w:rsidR="00D00CE0" w:rsidRPr="006F29F5" w:rsidRDefault="00B23FBE" w:rsidP="00D00CE0">
      <w:pPr>
        <w:spacing w:before="120" w:after="0"/>
        <w:rPr>
          <w:noProof/>
          <w:kern w:val="2"/>
          <w:sz w:val="18"/>
          <w:lang w:eastAsia="en-CA"/>
        </w:rPr>
      </w:pPr>
      <w:r w:rsidRPr="006F29F5">
        <w:rPr>
          <w:kern w:val="2"/>
          <w:sz w:val="18"/>
        </w:rPr>
        <w:t xml:space="preserve">Source: </w:t>
      </w:r>
      <w:r w:rsidRPr="006F29F5">
        <w:rPr>
          <w:noProof/>
          <w:kern w:val="2"/>
          <w:sz w:val="18"/>
          <w:lang w:eastAsia="en-CA"/>
        </w:rPr>
        <w:t xml:space="preserve">Financial Action Task Force, </w:t>
      </w:r>
      <w:r w:rsidR="00F77E7F" w:rsidRPr="006F29F5">
        <w:rPr>
          <w:i/>
          <w:kern w:val="2"/>
          <w:sz w:val="18"/>
        </w:rPr>
        <w:t>Anti-M</w:t>
      </w:r>
      <w:r w:rsidRPr="006F29F5">
        <w:rPr>
          <w:i/>
          <w:kern w:val="2"/>
          <w:sz w:val="18"/>
        </w:rPr>
        <w:t>one</w:t>
      </w:r>
      <w:r w:rsidR="00F77E7F" w:rsidRPr="006F29F5">
        <w:rPr>
          <w:i/>
          <w:kern w:val="2"/>
          <w:sz w:val="18"/>
        </w:rPr>
        <w:t>y Laundering and Counter-Terrorist Financing M</w:t>
      </w:r>
      <w:r w:rsidRPr="006F29F5">
        <w:rPr>
          <w:i/>
          <w:kern w:val="2"/>
          <w:sz w:val="18"/>
        </w:rPr>
        <w:t>easures – United States</w:t>
      </w:r>
      <w:r w:rsidRPr="006F29F5">
        <w:rPr>
          <w:kern w:val="2"/>
          <w:sz w:val="18"/>
        </w:rPr>
        <w:t>, Fourth Round Mutual Evalua</w:t>
      </w:r>
      <w:r w:rsidR="00F77E7F" w:rsidRPr="006F29F5">
        <w:rPr>
          <w:kern w:val="2"/>
          <w:sz w:val="18"/>
        </w:rPr>
        <w:t>tion Report (FATF, 2016)</w:t>
      </w:r>
      <w:r w:rsidRPr="006F29F5">
        <w:rPr>
          <w:kern w:val="2"/>
          <w:sz w:val="18"/>
        </w:rPr>
        <w:t xml:space="preserve"> at 79, </w:t>
      </w:r>
      <w:r w:rsidR="00C109CD" w:rsidRPr="006F29F5">
        <w:rPr>
          <w:kern w:val="2"/>
          <w:sz w:val="18"/>
        </w:rPr>
        <w:t xml:space="preserve">[Mutual Evaluation Report (2016)] </w:t>
      </w:r>
      <w:r w:rsidRPr="006F29F5">
        <w:rPr>
          <w:noProof/>
          <w:kern w:val="2"/>
          <w:sz w:val="18"/>
          <w:lang w:eastAsia="en-CA"/>
        </w:rPr>
        <w:t xml:space="preserve">online: </w:t>
      </w:r>
    </w:p>
    <w:p w14:paraId="67ABCDD1" w14:textId="5C8C4754" w:rsidR="00391347" w:rsidRPr="006F29F5" w:rsidRDefault="00B23FBE" w:rsidP="00D00CE0">
      <w:pPr>
        <w:spacing w:before="0" w:after="480"/>
        <w:rPr>
          <w:noProof/>
          <w:kern w:val="2"/>
          <w:sz w:val="18"/>
          <w:lang w:eastAsia="en-CA"/>
        </w:rPr>
      </w:pPr>
      <w:r w:rsidRPr="006F29F5">
        <w:rPr>
          <w:noProof/>
          <w:kern w:val="2"/>
          <w:sz w:val="18"/>
          <w:lang w:eastAsia="en-CA"/>
        </w:rPr>
        <w:t>&lt;</w:t>
      </w:r>
      <w:hyperlink r:id="rId26" w:history="1">
        <w:r w:rsidRPr="006F29F5">
          <w:rPr>
            <w:rStyle w:val="Hyperlink"/>
            <w:rFonts w:cs="Times New Roman"/>
            <w:noProof/>
            <w:kern w:val="2"/>
            <w:sz w:val="18"/>
            <w:lang w:eastAsia="en-CA"/>
          </w:rPr>
          <w:t>http://www.fatf-gafi.org/media/fatf/documents/reports/mer4/MER-United-States-2016.pdf</w:t>
        </w:r>
      </w:hyperlink>
      <w:r w:rsidRPr="006F29F5">
        <w:rPr>
          <w:noProof/>
          <w:kern w:val="2"/>
          <w:sz w:val="18"/>
          <w:lang w:eastAsia="en-CA"/>
        </w:rPr>
        <w:t>&gt;</w:t>
      </w:r>
      <w:r w:rsidR="00F77E7F" w:rsidRPr="006F29F5">
        <w:rPr>
          <w:noProof/>
          <w:kern w:val="2"/>
          <w:sz w:val="18"/>
          <w:lang w:eastAsia="en-CA"/>
        </w:rPr>
        <w:t>.</w:t>
      </w:r>
    </w:p>
    <w:p w14:paraId="2D1DFE24" w14:textId="136A1937" w:rsidR="003C2F88" w:rsidRPr="006F29F5" w:rsidRDefault="003C2F88" w:rsidP="006F6105">
      <w:pPr>
        <w:keepNext/>
        <w:spacing w:after="0"/>
        <w:rPr>
          <w:rFonts w:cs="Times New Roman"/>
          <w:noProof/>
          <w:color w:val="000000" w:themeColor="text1"/>
          <w:kern w:val="2"/>
          <w:sz w:val="20"/>
          <w:lang w:eastAsia="en-CA"/>
        </w:rPr>
      </w:pPr>
      <w:r w:rsidRPr="006F29F5">
        <w:rPr>
          <w:rFonts w:cs="Times New Roman"/>
          <w:b/>
          <w:noProof/>
          <w:color w:val="000000" w:themeColor="text1"/>
          <w:kern w:val="2"/>
          <w:sz w:val="20"/>
          <w:lang w:eastAsia="en-CA"/>
        </w:rPr>
        <w:t>Table 5.2</w:t>
      </w:r>
      <w:r w:rsidR="006F6105" w:rsidRPr="006F29F5">
        <w:rPr>
          <w:rFonts w:cs="Times New Roman"/>
          <w:noProof/>
          <w:color w:val="000000" w:themeColor="text1"/>
          <w:kern w:val="2"/>
          <w:sz w:val="20"/>
          <w:lang w:eastAsia="en-CA"/>
        </w:rPr>
        <w:t xml:space="preserve"> </w:t>
      </w:r>
      <w:r w:rsidRPr="006F29F5">
        <w:rPr>
          <w:rFonts w:cs="Times New Roman"/>
          <w:noProof/>
          <w:color w:val="000000" w:themeColor="text1"/>
          <w:kern w:val="2"/>
          <w:sz w:val="20"/>
          <w:lang w:eastAsia="en-CA"/>
        </w:rPr>
        <w:t xml:space="preserve">DOJ-AFF- Distributions and Deposits </w:t>
      </w:r>
      <w:r w:rsidR="006D2516" w:rsidRPr="006F29F5">
        <w:rPr>
          <w:rFonts w:cs="Times New Roman"/>
          <w:noProof/>
          <w:color w:val="000000" w:themeColor="text1"/>
          <w:kern w:val="2"/>
          <w:sz w:val="20"/>
          <w:lang w:eastAsia="en-CA"/>
        </w:rPr>
        <w:t>(</w:t>
      </w:r>
      <w:r w:rsidRPr="006F29F5">
        <w:rPr>
          <w:rFonts w:cs="Times New Roman"/>
          <w:noProof/>
          <w:color w:val="000000" w:themeColor="text1"/>
          <w:kern w:val="2"/>
          <w:sz w:val="20"/>
          <w:lang w:eastAsia="en-CA"/>
        </w:rPr>
        <w:t>in USD</w:t>
      </w:r>
      <w:r w:rsidR="006D2516" w:rsidRPr="006F29F5">
        <w:rPr>
          <w:rFonts w:cs="Times New Roman"/>
          <w:noProof/>
          <w:color w:val="000000" w:themeColor="text1"/>
          <w:kern w:val="2"/>
          <w:sz w:val="20"/>
          <w:lang w:eastAsia="en-CA"/>
        </w:rPr>
        <w:t>)</w:t>
      </w:r>
    </w:p>
    <w:p w14:paraId="5E2ED580" w14:textId="77777777" w:rsidR="00B23FBE" w:rsidRPr="006F29F5" w:rsidRDefault="00B23FBE" w:rsidP="006F6105">
      <w:pPr>
        <w:spacing w:before="120" w:after="0"/>
        <w:rPr>
          <w:rFonts w:cs="Times New Roman"/>
          <w:color w:val="FF0000"/>
          <w:kern w:val="2"/>
          <w:sz w:val="20"/>
        </w:rPr>
      </w:pPr>
      <w:r w:rsidRPr="006F29F5">
        <w:rPr>
          <w:rFonts w:cs="Times New Roman"/>
          <w:noProof/>
          <w:color w:val="FF0000"/>
          <w:kern w:val="2"/>
          <w:sz w:val="20"/>
          <w:lang w:eastAsia="en-CA"/>
        </w:rPr>
        <w:drawing>
          <wp:inline distT="0" distB="0" distL="0" distR="0" wp14:anchorId="77C16CB5" wp14:editId="7345C928">
            <wp:extent cx="5100294" cy="2683823"/>
            <wp:effectExtent l="38100" t="38100" r="43815" b="406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e 11.jpg"/>
                    <pic:cNvPicPr/>
                  </pic:nvPicPr>
                  <pic:blipFill rotWithShape="1">
                    <a:blip r:embed="rId27">
                      <a:extLst>
                        <a:ext uri="{28A0092B-C50C-407E-A947-70E740481C1C}">
                          <a14:useLocalDpi xmlns:a14="http://schemas.microsoft.com/office/drawing/2010/main" val="0"/>
                        </a:ext>
                      </a:extLst>
                    </a:blip>
                    <a:srcRect l="1245" t="7210" r="1167" b="1276"/>
                    <a:stretch/>
                  </pic:blipFill>
                  <pic:spPr bwMode="auto">
                    <a:xfrm>
                      <a:off x="0" y="0"/>
                      <a:ext cx="5122628" cy="2695575"/>
                    </a:xfrm>
                    <a:prstGeom prst="rect">
                      <a:avLst/>
                    </a:prstGeom>
                    <a:ln w="28575">
                      <a:solidFill>
                        <a:schemeClr val="accent5">
                          <a:lumMod val="60000"/>
                          <a:lumOff val="40000"/>
                        </a:schemeClr>
                      </a:solidFill>
                    </a:ln>
                    <a:extLst>
                      <a:ext uri="{53640926-AAD7-44D8-BBD7-CCE9431645EC}">
                        <a14:shadowObscured xmlns:a14="http://schemas.microsoft.com/office/drawing/2010/main"/>
                      </a:ext>
                    </a:extLst>
                  </pic:spPr>
                </pic:pic>
              </a:graphicData>
            </a:graphic>
          </wp:inline>
        </w:drawing>
      </w:r>
    </w:p>
    <w:p w14:paraId="45C17241" w14:textId="52B72F65" w:rsidR="00B23FBE" w:rsidRPr="006F29F5" w:rsidRDefault="00B23FBE" w:rsidP="006F6105">
      <w:pPr>
        <w:spacing w:before="120" w:after="360"/>
        <w:ind w:right="850"/>
        <w:rPr>
          <w:rFonts w:cs="Times New Roman"/>
          <w:noProof/>
          <w:color w:val="000000" w:themeColor="text1"/>
          <w:kern w:val="2"/>
          <w:sz w:val="18"/>
          <w:lang w:eastAsia="en-CA"/>
        </w:rPr>
      </w:pPr>
      <w:r w:rsidRPr="006F29F5">
        <w:rPr>
          <w:rFonts w:cs="Times New Roman"/>
          <w:color w:val="000000" w:themeColor="text1"/>
          <w:kern w:val="2"/>
          <w:sz w:val="18"/>
        </w:rPr>
        <w:t xml:space="preserve">Source: Mutual Evaluation Report </w:t>
      </w:r>
      <w:r w:rsidR="006820E3" w:rsidRPr="006F29F5">
        <w:rPr>
          <w:rFonts w:cs="Times New Roman"/>
          <w:color w:val="000000" w:themeColor="text1"/>
          <w:kern w:val="2"/>
          <w:sz w:val="18"/>
        </w:rPr>
        <w:t>(2</w:t>
      </w:r>
      <w:r w:rsidRPr="006F29F5">
        <w:rPr>
          <w:rFonts w:cs="Times New Roman"/>
          <w:color w:val="000000" w:themeColor="text1"/>
          <w:kern w:val="2"/>
          <w:sz w:val="18"/>
        </w:rPr>
        <w:t>016</w:t>
      </w:r>
      <w:r w:rsidR="00F77E7F" w:rsidRPr="006F29F5">
        <w:rPr>
          <w:rFonts w:cs="Times New Roman"/>
          <w:color w:val="000000" w:themeColor="text1"/>
          <w:kern w:val="2"/>
          <w:sz w:val="18"/>
        </w:rPr>
        <w:t>)</w:t>
      </w:r>
      <w:r w:rsidRPr="006F29F5">
        <w:rPr>
          <w:rFonts w:cs="Times New Roman"/>
          <w:color w:val="000000" w:themeColor="text1"/>
          <w:kern w:val="2"/>
          <w:sz w:val="18"/>
        </w:rPr>
        <w:t xml:space="preserve"> at 81</w:t>
      </w:r>
      <w:r w:rsidR="006820E3" w:rsidRPr="006F29F5">
        <w:rPr>
          <w:rFonts w:cs="Times New Roman"/>
          <w:color w:val="000000" w:themeColor="text1"/>
          <w:kern w:val="2"/>
          <w:sz w:val="18"/>
        </w:rPr>
        <w:t>.</w:t>
      </w:r>
    </w:p>
    <w:p w14:paraId="2BE85F2C" w14:textId="348FF2AF" w:rsidR="00B23FBE" w:rsidRPr="006F29F5" w:rsidRDefault="00B23FBE" w:rsidP="00B23FBE">
      <w:pPr>
        <w:rPr>
          <w:rFonts w:cs="Times New Roman"/>
          <w:color w:val="000000" w:themeColor="text1"/>
          <w:kern w:val="2"/>
          <w:sz w:val="20"/>
        </w:rPr>
      </w:pPr>
      <w:r w:rsidRPr="006F29F5">
        <w:rPr>
          <w:rFonts w:cs="Times New Roman"/>
          <w:color w:val="000000" w:themeColor="text1"/>
          <w:kern w:val="2"/>
          <w:sz w:val="20"/>
        </w:rPr>
        <w:t xml:space="preserve">The gaps in the </w:t>
      </w:r>
      <w:r w:rsidR="00A721B3" w:rsidRPr="006F29F5">
        <w:rPr>
          <w:rFonts w:cs="Times New Roman"/>
          <w:color w:val="000000" w:themeColor="text1"/>
          <w:kern w:val="2"/>
          <w:sz w:val="20"/>
        </w:rPr>
        <w:t>US</w:t>
      </w:r>
      <w:r w:rsidRPr="006F29F5">
        <w:rPr>
          <w:rFonts w:cs="Times New Roman"/>
          <w:color w:val="000000" w:themeColor="text1"/>
          <w:kern w:val="2"/>
          <w:sz w:val="20"/>
        </w:rPr>
        <w:t xml:space="preserve"> asset recovery legal framework include the fact that not all predicate offenses include the power to forfeit instrumentalities</w:t>
      </w:r>
      <w:r w:rsidR="00DE3861" w:rsidRPr="006F29F5">
        <w:rPr>
          <w:rFonts w:cs="Times New Roman"/>
          <w:color w:val="000000" w:themeColor="text1"/>
          <w:kern w:val="2"/>
          <w:sz w:val="20"/>
        </w:rPr>
        <w:t>,</w:t>
      </w:r>
      <w:r w:rsidRPr="006F29F5">
        <w:rPr>
          <w:rFonts w:cs="Times New Roman"/>
          <w:color w:val="000000" w:themeColor="text1"/>
          <w:kern w:val="2"/>
          <w:sz w:val="20"/>
        </w:rPr>
        <w:t xml:space="preserve"> as well as the lack of general power to obtain an order to seize or freeze property of corresponding/equivalent value which may become subject to a value-based forfeiture order.</w:t>
      </w:r>
      <w:r w:rsidRPr="006F29F5">
        <w:rPr>
          <w:rStyle w:val="FootnoteReference"/>
          <w:rFonts w:cs="Times New Roman"/>
          <w:color w:val="000000" w:themeColor="text1"/>
          <w:kern w:val="2"/>
          <w:sz w:val="20"/>
        </w:rPr>
        <w:footnoteReference w:id="111"/>
      </w:r>
      <w:r w:rsidRPr="006F29F5">
        <w:rPr>
          <w:rFonts w:cs="Times New Roman"/>
          <w:color w:val="000000" w:themeColor="text1"/>
          <w:kern w:val="2"/>
          <w:sz w:val="20"/>
        </w:rPr>
        <w:t xml:space="preserve"> The Report recommends ensuring that all predicate offenses include the power to forfeit instrumentalities; the law enforcement authorities are able to seize and freeze pre-conviction</w:t>
      </w:r>
      <w:r w:rsidR="00F77E7F" w:rsidRPr="006F29F5">
        <w:rPr>
          <w:rFonts w:cs="Times New Roman"/>
          <w:color w:val="000000" w:themeColor="text1"/>
          <w:kern w:val="2"/>
          <w:sz w:val="20"/>
        </w:rPr>
        <w:t>,</w:t>
      </w:r>
      <w:r w:rsidRPr="006F29F5">
        <w:rPr>
          <w:rFonts w:cs="Times New Roman"/>
          <w:color w:val="000000" w:themeColor="text1"/>
          <w:kern w:val="2"/>
          <w:sz w:val="20"/>
        </w:rPr>
        <w:t xml:space="preserve"> non-tainted assets that are likely to be required to satisfy a value-based forfeiture order in criminal proceedings; and the anti-money-laundering proceeds recovery activities and statistics at the state level are more widely available.</w:t>
      </w:r>
      <w:r w:rsidRPr="006F29F5">
        <w:rPr>
          <w:rStyle w:val="FootnoteReference"/>
          <w:rFonts w:cs="Times New Roman"/>
          <w:color w:val="000000" w:themeColor="text1"/>
          <w:kern w:val="2"/>
          <w:sz w:val="20"/>
        </w:rPr>
        <w:footnoteReference w:id="112"/>
      </w:r>
    </w:p>
    <w:p w14:paraId="49AE6599" w14:textId="4165E94D" w:rsidR="00D9752E" w:rsidRPr="006F29F5" w:rsidRDefault="006969A7" w:rsidP="00AC6744">
      <w:pPr>
        <w:autoSpaceDE w:val="0"/>
        <w:autoSpaceDN w:val="0"/>
        <w:adjustRightInd w:val="0"/>
        <w:rPr>
          <w:rFonts w:cs="Times New Roman"/>
          <w:kern w:val="2"/>
          <w:sz w:val="20"/>
        </w:rPr>
      </w:pPr>
      <w:r w:rsidRPr="006F29F5">
        <w:rPr>
          <w:rFonts w:cs="Times New Roman"/>
          <w:kern w:val="2"/>
          <w:sz w:val="20"/>
        </w:rPr>
        <w:t xml:space="preserve">The case of Teodoro </w:t>
      </w:r>
      <w:proofErr w:type="spellStart"/>
      <w:r w:rsidRPr="006F29F5">
        <w:rPr>
          <w:rFonts w:cs="Times New Roman"/>
          <w:kern w:val="2"/>
          <w:sz w:val="20"/>
        </w:rPr>
        <w:t>Obiang</w:t>
      </w:r>
      <w:proofErr w:type="spellEnd"/>
      <w:r w:rsidRPr="006F29F5">
        <w:rPr>
          <w:rFonts w:cs="Times New Roman"/>
          <w:kern w:val="2"/>
          <w:sz w:val="20"/>
        </w:rPr>
        <w:t xml:space="preserve">, </w:t>
      </w:r>
      <w:r w:rsidR="00A1531F" w:rsidRPr="006F29F5">
        <w:rPr>
          <w:rFonts w:cs="Times New Roman"/>
          <w:kern w:val="2"/>
          <w:sz w:val="20"/>
        </w:rPr>
        <w:t>Second Vice President of Equatorial Guinea</w:t>
      </w:r>
      <w:r w:rsidRPr="006F29F5">
        <w:rPr>
          <w:rFonts w:cs="Times New Roman"/>
          <w:kern w:val="2"/>
          <w:sz w:val="20"/>
        </w:rPr>
        <w:t xml:space="preserve">, provides an example of successful asset recovery by the US Department of Justice. </w:t>
      </w:r>
      <w:r w:rsidR="00A1531F" w:rsidRPr="006F29F5">
        <w:rPr>
          <w:rFonts w:cs="Times New Roman"/>
          <w:kern w:val="2"/>
          <w:sz w:val="20"/>
        </w:rPr>
        <w:t>Civil forfeiture actions against various assets in the US were settled in October 2014. Under the settlem</w:t>
      </w:r>
      <w:r w:rsidR="00CD0FB5" w:rsidRPr="006F29F5">
        <w:rPr>
          <w:rFonts w:cs="Times New Roman"/>
          <w:kern w:val="2"/>
          <w:sz w:val="20"/>
        </w:rPr>
        <w:t xml:space="preserve">ent, </w:t>
      </w:r>
      <w:proofErr w:type="spellStart"/>
      <w:r w:rsidR="00CD0FB5" w:rsidRPr="006F29F5">
        <w:rPr>
          <w:rFonts w:cs="Times New Roman"/>
          <w:kern w:val="2"/>
          <w:sz w:val="20"/>
        </w:rPr>
        <w:t>Obiang</w:t>
      </w:r>
      <w:proofErr w:type="spellEnd"/>
      <w:r w:rsidR="00CD0FB5" w:rsidRPr="006F29F5">
        <w:rPr>
          <w:rFonts w:cs="Times New Roman"/>
          <w:kern w:val="2"/>
          <w:sz w:val="20"/>
        </w:rPr>
        <w:t xml:space="preserve"> was required to forfeit</w:t>
      </w:r>
      <w:r w:rsidR="00A1531F" w:rsidRPr="006F29F5">
        <w:rPr>
          <w:rFonts w:cs="Times New Roman"/>
          <w:kern w:val="2"/>
          <w:sz w:val="20"/>
        </w:rPr>
        <w:t xml:space="preserve"> a</w:t>
      </w:r>
      <w:r w:rsidR="00B75FEE" w:rsidRPr="006F29F5">
        <w:rPr>
          <w:rFonts w:cs="Times New Roman"/>
          <w:kern w:val="2"/>
          <w:sz w:val="20"/>
        </w:rPr>
        <w:t xml:space="preserve"> house in California,</w:t>
      </w:r>
      <w:r w:rsidR="00CD0FB5" w:rsidRPr="006F29F5">
        <w:rPr>
          <w:rFonts w:cs="Times New Roman"/>
          <w:kern w:val="2"/>
          <w:sz w:val="20"/>
        </w:rPr>
        <w:t xml:space="preserve"> Michael Jackson memorabilia</w:t>
      </w:r>
      <w:r w:rsidR="00B75FEE" w:rsidRPr="006F29F5">
        <w:rPr>
          <w:rFonts w:cs="Times New Roman"/>
          <w:kern w:val="2"/>
          <w:sz w:val="20"/>
        </w:rPr>
        <w:t xml:space="preserve"> and a Ferrari</w:t>
      </w:r>
      <w:r w:rsidR="00CD0FB5" w:rsidRPr="006F29F5">
        <w:rPr>
          <w:rFonts w:cs="Times New Roman"/>
          <w:kern w:val="2"/>
          <w:sz w:val="20"/>
        </w:rPr>
        <w:t>, collectively worth over</w:t>
      </w:r>
      <w:r w:rsidR="00A1531F" w:rsidRPr="006F29F5">
        <w:rPr>
          <w:rFonts w:cs="Times New Roman"/>
          <w:kern w:val="2"/>
          <w:sz w:val="20"/>
        </w:rPr>
        <w:t xml:space="preserve"> $30 million.</w:t>
      </w:r>
      <w:r w:rsidR="00CD0FB5" w:rsidRPr="006F29F5">
        <w:rPr>
          <w:rFonts w:cs="Times New Roman"/>
          <w:kern w:val="2"/>
          <w:sz w:val="20"/>
        </w:rPr>
        <w:t xml:space="preserve"> The case was brought under the </w:t>
      </w:r>
      <w:proofErr w:type="spellStart"/>
      <w:r w:rsidR="00CD0FB5" w:rsidRPr="006F29F5">
        <w:rPr>
          <w:rFonts w:cs="Times New Roman"/>
          <w:kern w:val="2"/>
          <w:sz w:val="20"/>
        </w:rPr>
        <w:t>Kleptocracy</w:t>
      </w:r>
      <w:proofErr w:type="spellEnd"/>
      <w:r w:rsidR="00CD0FB5" w:rsidRPr="006F29F5">
        <w:rPr>
          <w:rFonts w:cs="Times New Roman"/>
          <w:kern w:val="2"/>
          <w:sz w:val="20"/>
        </w:rPr>
        <w:t xml:space="preserve"> Asset Recovery Initiative, </w:t>
      </w:r>
      <w:r w:rsidR="00FB6F66" w:rsidRPr="006F29F5">
        <w:rPr>
          <w:rFonts w:cs="Times New Roman"/>
          <w:kern w:val="2"/>
          <w:sz w:val="20"/>
        </w:rPr>
        <w:t xml:space="preserve">which was </w:t>
      </w:r>
      <w:r w:rsidR="00CD0FB5" w:rsidRPr="006F29F5">
        <w:rPr>
          <w:rFonts w:cs="Times New Roman"/>
          <w:kern w:val="2"/>
          <w:sz w:val="20"/>
        </w:rPr>
        <w:t>launched by the DOJ in 2010</w:t>
      </w:r>
      <w:r w:rsidR="00FB6F66" w:rsidRPr="006F29F5">
        <w:rPr>
          <w:rFonts w:cs="Times New Roman"/>
          <w:kern w:val="2"/>
          <w:sz w:val="20"/>
        </w:rPr>
        <w:t xml:space="preserve"> and established a dedicated team of prosecutors, investigator</w:t>
      </w:r>
      <w:r w:rsidR="00FA2140" w:rsidRPr="006F29F5">
        <w:rPr>
          <w:rFonts w:cs="Times New Roman"/>
          <w:kern w:val="2"/>
          <w:sz w:val="20"/>
        </w:rPr>
        <w:t>s and financial analysts for</w:t>
      </w:r>
      <w:r w:rsidR="00FB6F66" w:rsidRPr="006F29F5">
        <w:rPr>
          <w:rFonts w:cs="Times New Roman"/>
          <w:kern w:val="2"/>
          <w:sz w:val="20"/>
        </w:rPr>
        <w:t xml:space="preserve"> </w:t>
      </w:r>
      <w:r w:rsidR="00B75FEE" w:rsidRPr="006F29F5">
        <w:rPr>
          <w:rFonts w:cs="Times New Roman"/>
          <w:kern w:val="2"/>
          <w:sz w:val="20"/>
        </w:rPr>
        <w:t>investigation</w:t>
      </w:r>
      <w:r w:rsidR="00FB6F66" w:rsidRPr="006F29F5">
        <w:rPr>
          <w:rFonts w:cs="Times New Roman"/>
          <w:kern w:val="2"/>
          <w:sz w:val="20"/>
        </w:rPr>
        <w:t xml:space="preserve"> and prosecution in asset recovery cases</w:t>
      </w:r>
      <w:r w:rsidR="00CD0FB5" w:rsidRPr="006F29F5">
        <w:rPr>
          <w:rFonts w:cs="Times New Roman"/>
          <w:kern w:val="2"/>
          <w:sz w:val="20"/>
        </w:rPr>
        <w:t xml:space="preserve">. In accordance with the Initiative’s goals, the recovered funds </w:t>
      </w:r>
      <w:r w:rsidR="00DB19CC" w:rsidRPr="006F29F5">
        <w:rPr>
          <w:rFonts w:cs="Times New Roman"/>
          <w:kern w:val="2"/>
          <w:sz w:val="20"/>
        </w:rPr>
        <w:t xml:space="preserve">were </w:t>
      </w:r>
      <w:r w:rsidR="00CD0FB5" w:rsidRPr="006F29F5">
        <w:rPr>
          <w:rFonts w:cs="Times New Roman"/>
          <w:kern w:val="2"/>
          <w:sz w:val="20"/>
        </w:rPr>
        <w:t>to be used for the benefit of the citizens of</w:t>
      </w:r>
      <w:r w:rsidR="00B75FEE" w:rsidRPr="006F29F5">
        <w:rPr>
          <w:rFonts w:cs="Times New Roman"/>
          <w:kern w:val="2"/>
          <w:sz w:val="20"/>
        </w:rPr>
        <w:t xml:space="preserve"> Equatorial Guinea. $20 million </w:t>
      </w:r>
      <w:r w:rsidR="008A0840" w:rsidRPr="006F29F5">
        <w:rPr>
          <w:rFonts w:cs="Times New Roman"/>
          <w:kern w:val="2"/>
          <w:sz w:val="20"/>
        </w:rPr>
        <w:t xml:space="preserve">was </w:t>
      </w:r>
      <w:r w:rsidR="00B75FEE" w:rsidRPr="006F29F5">
        <w:rPr>
          <w:rFonts w:cs="Times New Roman"/>
          <w:kern w:val="2"/>
          <w:sz w:val="20"/>
        </w:rPr>
        <w:t>set aside for</w:t>
      </w:r>
      <w:r w:rsidR="00CD0FB5" w:rsidRPr="006F29F5">
        <w:rPr>
          <w:rFonts w:cs="Times New Roman"/>
          <w:kern w:val="2"/>
          <w:sz w:val="20"/>
        </w:rPr>
        <w:t xml:space="preserve"> a private charitable organization in Equatorial Guinea, while $10 million </w:t>
      </w:r>
      <w:r w:rsidR="008A0840" w:rsidRPr="006F29F5">
        <w:rPr>
          <w:rFonts w:cs="Times New Roman"/>
          <w:kern w:val="2"/>
          <w:sz w:val="20"/>
        </w:rPr>
        <w:t xml:space="preserve">was </w:t>
      </w:r>
      <w:r w:rsidR="00CD0FB5" w:rsidRPr="006F29F5">
        <w:rPr>
          <w:rFonts w:cs="Times New Roman"/>
          <w:kern w:val="2"/>
          <w:sz w:val="20"/>
        </w:rPr>
        <w:t>to be forfeited to the US and used for the benefit of the people of Equatorial Guinea to the extent permitted by law.</w:t>
      </w:r>
      <w:r w:rsidR="00B75FEE" w:rsidRPr="006F29F5">
        <w:rPr>
          <w:rStyle w:val="FootnoteReference"/>
          <w:rFonts w:cs="Times New Roman"/>
          <w:kern w:val="2"/>
          <w:sz w:val="20"/>
        </w:rPr>
        <w:footnoteReference w:id="113"/>
      </w:r>
      <w:r w:rsidR="00CD0FB5" w:rsidRPr="006F29F5">
        <w:rPr>
          <w:rFonts w:cs="Times New Roman"/>
          <w:kern w:val="2"/>
          <w:sz w:val="20"/>
        </w:rPr>
        <w:t xml:space="preserve"> </w:t>
      </w:r>
    </w:p>
    <w:p w14:paraId="563A3149" w14:textId="34535692" w:rsidR="00C374D5" w:rsidRPr="006F29F5" w:rsidRDefault="00C374D5" w:rsidP="0086611E">
      <w:pPr>
        <w:pStyle w:val="Heading2"/>
        <w:rPr>
          <w:kern w:val="2"/>
          <w:sz w:val="24"/>
        </w:rPr>
      </w:pPr>
      <w:bookmarkStart w:id="38" w:name="_Toc420329377"/>
      <w:bookmarkStart w:id="39" w:name="_Toc489961993"/>
      <w:r w:rsidRPr="006F29F5">
        <w:rPr>
          <w:kern w:val="2"/>
          <w:sz w:val="24"/>
        </w:rPr>
        <w:t>UK</w:t>
      </w:r>
      <w:bookmarkEnd w:id="38"/>
      <w:bookmarkEnd w:id="39"/>
    </w:p>
    <w:p w14:paraId="1AA970CB" w14:textId="680FE833" w:rsidR="00B246DA" w:rsidRPr="006F29F5" w:rsidRDefault="00B246DA" w:rsidP="006969A7">
      <w:pPr>
        <w:spacing w:after="160"/>
        <w:rPr>
          <w:rFonts w:eastAsia="Calibri" w:cs="Times New Roman"/>
          <w:kern w:val="2"/>
          <w:sz w:val="20"/>
        </w:rPr>
      </w:pPr>
      <w:r w:rsidRPr="006F29F5">
        <w:rPr>
          <w:rFonts w:eastAsia="Calibri" w:cs="Times New Roman"/>
          <w:kern w:val="2"/>
          <w:sz w:val="20"/>
        </w:rPr>
        <w:t xml:space="preserve">In their book </w:t>
      </w:r>
      <w:r w:rsidRPr="006F29F5">
        <w:rPr>
          <w:rFonts w:eastAsia="Calibri" w:cs="Times New Roman"/>
          <w:i/>
          <w:kern w:val="2"/>
          <w:sz w:val="20"/>
        </w:rPr>
        <w:t>Corruption and Misuse of Public Office</w:t>
      </w:r>
      <w:r w:rsidRPr="006F29F5">
        <w:rPr>
          <w:rFonts w:eastAsia="Calibri" w:cs="Times New Roman"/>
          <w:kern w:val="2"/>
          <w:sz w:val="20"/>
        </w:rPr>
        <w:t>, Nicholls et al</w:t>
      </w:r>
      <w:r w:rsidRPr="006F29F5">
        <w:rPr>
          <w:rFonts w:eastAsia="Calibri" w:cs="Times New Roman"/>
          <w:i/>
          <w:kern w:val="2"/>
          <w:sz w:val="20"/>
        </w:rPr>
        <w:t xml:space="preserve">. </w:t>
      </w:r>
      <w:r w:rsidRPr="006F29F5">
        <w:rPr>
          <w:rFonts w:eastAsia="Calibri" w:cs="Times New Roman"/>
          <w:kern w:val="2"/>
          <w:sz w:val="20"/>
        </w:rPr>
        <w:t xml:space="preserve">summarize the various options </w:t>
      </w:r>
      <w:r w:rsidR="00114133" w:rsidRPr="006F29F5">
        <w:rPr>
          <w:rFonts w:eastAsia="Calibri" w:cs="Times New Roman"/>
          <w:kern w:val="2"/>
          <w:sz w:val="20"/>
        </w:rPr>
        <w:t xml:space="preserve">for </w:t>
      </w:r>
      <w:r w:rsidRPr="006F29F5">
        <w:rPr>
          <w:rFonts w:eastAsia="Calibri" w:cs="Times New Roman"/>
          <w:kern w:val="2"/>
          <w:sz w:val="20"/>
        </w:rPr>
        <w:t>restrain</w:t>
      </w:r>
      <w:r w:rsidR="00114133" w:rsidRPr="006F29F5">
        <w:rPr>
          <w:rFonts w:eastAsia="Calibri" w:cs="Times New Roman"/>
          <w:kern w:val="2"/>
          <w:sz w:val="20"/>
        </w:rPr>
        <w:t>ing</w:t>
      </w:r>
      <w:r w:rsidRPr="006F29F5">
        <w:rPr>
          <w:rFonts w:eastAsia="Calibri" w:cs="Times New Roman"/>
          <w:kern w:val="2"/>
          <w:sz w:val="20"/>
        </w:rPr>
        <w:t xml:space="preserve"> and recover</w:t>
      </w:r>
      <w:r w:rsidR="00114133" w:rsidRPr="006F29F5">
        <w:rPr>
          <w:rFonts w:eastAsia="Calibri" w:cs="Times New Roman"/>
          <w:kern w:val="2"/>
          <w:sz w:val="20"/>
        </w:rPr>
        <w:t>i</w:t>
      </w:r>
      <w:r w:rsidR="00354DD3" w:rsidRPr="006F29F5">
        <w:rPr>
          <w:rFonts w:eastAsia="Calibri" w:cs="Times New Roman"/>
          <w:kern w:val="2"/>
          <w:sz w:val="20"/>
        </w:rPr>
        <w:t>ng</w:t>
      </w:r>
      <w:r w:rsidRPr="006F29F5">
        <w:rPr>
          <w:rFonts w:eastAsia="Calibri" w:cs="Times New Roman"/>
          <w:kern w:val="2"/>
          <w:sz w:val="20"/>
        </w:rPr>
        <w:t xml:space="preserve"> the proceeds of crime in the UK in both the criminal and civil realms. The following is a summary based on their book.</w:t>
      </w:r>
      <w:r w:rsidR="00324A2E" w:rsidRPr="006F29F5">
        <w:rPr>
          <w:rFonts w:eastAsia="Calibri" w:cs="Times New Roman"/>
          <w:kern w:val="2"/>
          <w:sz w:val="20"/>
          <w:vertAlign w:val="superscript"/>
        </w:rPr>
        <w:footnoteReference w:id="114"/>
      </w:r>
    </w:p>
    <w:p w14:paraId="7158E5D9" w14:textId="77777777" w:rsidR="00B246DA" w:rsidRPr="006F29F5" w:rsidRDefault="00B246DA" w:rsidP="006969A7">
      <w:pPr>
        <w:spacing w:after="160"/>
        <w:rPr>
          <w:rFonts w:eastAsia="Calibri" w:cs="Times New Roman"/>
          <w:kern w:val="2"/>
          <w:sz w:val="20"/>
        </w:rPr>
      </w:pPr>
      <w:r w:rsidRPr="006F29F5">
        <w:rPr>
          <w:rFonts w:eastAsia="Calibri" w:cs="Times New Roman"/>
          <w:kern w:val="2"/>
          <w:sz w:val="20"/>
        </w:rPr>
        <w:t xml:space="preserve">Criminal confiscation and restraint orders are used to assist asset recovery in criminal proceedings. The Crown Court exercises confiscation powers under </w:t>
      </w:r>
      <w:r w:rsidRPr="006F29F5">
        <w:rPr>
          <w:rFonts w:eastAsia="Calibri" w:cs="Times New Roman"/>
          <w:i/>
          <w:kern w:val="2"/>
          <w:sz w:val="20"/>
        </w:rPr>
        <w:t xml:space="preserve">POCA 2003. </w:t>
      </w:r>
      <w:r w:rsidRPr="006F29F5">
        <w:rPr>
          <w:rFonts w:eastAsia="Calibri" w:cs="Times New Roman"/>
          <w:kern w:val="2"/>
          <w:sz w:val="20"/>
        </w:rPr>
        <w:t xml:space="preserve">Confiscation in the UK is value-based, meaning a defendant must pay a sum equal to the value of the benefits accrued through criminal conduct. The prosecution might also request a compensation order for victims, since otherwise confiscated assets are forfeited to the Crown. The court may also decline to make a confiscation order if the victim intends to pursue proceedings against the defendant. </w:t>
      </w:r>
    </w:p>
    <w:p w14:paraId="7A76A852" w14:textId="389CDB85" w:rsidR="00B246DA" w:rsidRPr="006F29F5" w:rsidRDefault="00B246DA">
      <w:pPr>
        <w:spacing w:after="160"/>
        <w:rPr>
          <w:rFonts w:eastAsia="Calibri" w:cs="Times New Roman"/>
          <w:kern w:val="2"/>
          <w:sz w:val="20"/>
        </w:rPr>
      </w:pPr>
      <w:r w:rsidRPr="006F29F5">
        <w:rPr>
          <w:rFonts w:eastAsia="Calibri" w:cs="Times New Roman"/>
          <w:kern w:val="2"/>
          <w:sz w:val="20"/>
        </w:rPr>
        <w:t xml:space="preserve">In confiscation proceedings, the court will consider whether the defendant has a criminal lifestyle, which reverses the burden of proof, requiring the defendant show that assets were acquired legitimately. A defendant will have a criminal lifestyle if they are convicted of offences in Schedule 3 of </w:t>
      </w:r>
      <w:r w:rsidRPr="006F29F5">
        <w:rPr>
          <w:rFonts w:eastAsia="Calibri" w:cs="Times New Roman"/>
          <w:i/>
          <w:kern w:val="2"/>
          <w:sz w:val="20"/>
        </w:rPr>
        <w:t xml:space="preserve">POCA </w:t>
      </w:r>
      <w:r w:rsidRPr="006F29F5">
        <w:rPr>
          <w:rFonts w:eastAsia="Calibri" w:cs="Times New Roman"/>
          <w:kern w:val="2"/>
          <w:sz w:val="20"/>
        </w:rPr>
        <w:t xml:space="preserve">(money laundering offences are included, but bribery offences are not), have committed an offence over a period of at least six months and benefitted from it, or have been convicted of a combination of offences that comprise a </w:t>
      </w:r>
      <w:r w:rsidR="00CC1E13" w:rsidRPr="006F29F5">
        <w:rPr>
          <w:rFonts w:eastAsia="Calibri" w:cs="Times New Roman"/>
          <w:kern w:val="2"/>
          <w:sz w:val="20"/>
        </w:rPr>
        <w:t>“</w:t>
      </w:r>
      <w:r w:rsidRPr="006F29F5">
        <w:rPr>
          <w:rFonts w:eastAsia="Calibri" w:cs="Times New Roman"/>
          <w:kern w:val="2"/>
          <w:sz w:val="20"/>
        </w:rPr>
        <w:t>course of criminal activity.</w:t>
      </w:r>
      <w:r w:rsidR="00CC1E13" w:rsidRPr="006F29F5">
        <w:rPr>
          <w:rFonts w:eastAsia="Calibri" w:cs="Times New Roman"/>
          <w:kern w:val="2"/>
          <w:sz w:val="20"/>
        </w:rPr>
        <w:t>”</w:t>
      </w:r>
      <w:r w:rsidRPr="006F29F5">
        <w:rPr>
          <w:rFonts w:eastAsia="Calibri" w:cs="Times New Roman"/>
          <w:kern w:val="2"/>
          <w:sz w:val="20"/>
        </w:rPr>
        <w:t xml:space="preserve"> If the defendant does not have a criminal lifestyle, the court will consider whether he or she benefited from particular criminal conduct when determining the recoverable amount. </w:t>
      </w:r>
    </w:p>
    <w:p w14:paraId="3524409C" w14:textId="77777777" w:rsidR="00B246DA" w:rsidRPr="006F29F5" w:rsidRDefault="00B246DA">
      <w:pPr>
        <w:spacing w:after="160"/>
        <w:rPr>
          <w:rFonts w:eastAsia="Calibri" w:cs="Times New Roman"/>
          <w:kern w:val="2"/>
          <w:sz w:val="20"/>
        </w:rPr>
      </w:pPr>
      <w:r w:rsidRPr="006F29F5">
        <w:rPr>
          <w:rFonts w:eastAsia="Calibri" w:cs="Times New Roman"/>
          <w:kern w:val="2"/>
          <w:sz w:val="20"/>
        </w:rPr>
        <w:t xml:space="preserve">Restraint orders are a key pre-confiscation tool that prevent dissipation of assets during criminal proceedings. Any property in which the defendant has a legal or beneficial interest, including jointly held property, will be targeted, as will tainted gifts to third parties. Reasonable living expenses are allowed for the defendant. Restraint orders may be accompanied by disclosure orders and repatriation orders, which may require, for example, repatriation of money in offshore accounts. </w:t>
      </w:r>
    </w:p>
    <w:p w14:paraId="4ACF6D06" w14:textId="36919841" w:rsidR="00B246DA" w:rsidRPr="006F29F5" w:rsidRDefault="00B246DA">
      <w:pPr>
        <w:spacing w:after="160"/>
        <w:rPr>
          <w:rFonts w:eastAsia="Calibri" w:cs="Times New Roman"/>
          <w:kern w:val="2"/>
          <w:sz w:val="20"/>
        </w:rPr>
      </w:pPr>
      <w:r w:rsidRPr="006F29F5">
        <w:rPr>
          <w:rFonts w:eastAsia="Calibri" w:cs="Times New Roman"/>
          <w:i/>
          <w:kern w:val="2"/>
          <w:sz w:val="20"/>
        </w:rPr>
        <w:t xml:space="preserve">POCA </w:t>
      </w:r>
      <w:r w:rsidRPr="006F29F5">
        <w:rPr>
          <w:rFonts w:eastAsia="Calibri" w:cs="Times New Roman"/>
          <w:kern w:val="2"/>
          <w:sz w:val="20"/>
        </w:rPr>
        <w:t>also provides for non-conviction based forfeiture. The applicant must prove on a balance of probabilities that the assets were obtained through unlawful conduct, including conduct occurring abroad, and that the property is in fact held by the defendant. However, NCB forfeiture</w:t>
      </w:r>
      <w:r w:rsidR="004F6AEA" w:rsidRPr="006F29F5">
        <w:rPr>
          <w:rFonts w:eastAsia="Calibri" w:cs="Times New Roman"/>
          <w:kern w:val="2"/>
          <w:sz w:val="20"/>
        </w:rPr>
        <w:t>, unlike confiscation,</w:t>
      </w:r>
      <w:r w:rsidRPr="006F29F5">
        <w:rPr>
          <w:rFonts w:eastAsia="Calibri" w:cs="Times New Roman"/>
          <w:kern w:val="2"/>
          <w:sz w:val="20"/>
        </w:rPr>
        <w:t xml:space="preserve"> does not have a mechanism for compensation orders for victims. However, a victim can claim a legitimate interest in recovered property, as claimed by Nigerian government in order to recover one million pounds in the </w:t>
      </w:r>
      <w:proofErr w:type="spellStart"/>
      <w:r w:rsidRPr="006F29F5">
        <w:rPr>
          <w:rFonts w:eastAsia="Calibri" w:cs="Times New Roman"/>
          <w:i/>
          <w:kern w:val="2"/>
          <w:sz w:val="20"/>
        </w:rPr>
        <w:t>Alamieseigha</w:t>
      </w:r>
      <w:proofErr w:type="spellEnd"/>
      <w:r w:rsidRPr="006F29F5">
        <w:rPr>
          <w:rFonts w:eastAsia="Calibri" w:cs="Times New Roman"/>
          <w:i/>
          <w:kern w:val="2"/>
          <w:sz w:val="20"/>
        </w:rPr>
        <w:t xml:space="preserve"> </w:t>
      </w:r>
      <w:r w:rsidRPr="006F29F5">
        <w:rPr>
          <w:rFonts w:eastAsia="Calibri" w:cs="Times New Roman"/>
          <w:kern w:val="2"/>
          <w:sz w:val="20"/>
        </w:rPr>
        <w:t xml:space="preserve">case in 2007. </w:t>
      </w:r>
    </w:p>
    <w:p w14:paraId="12965C8B" w14:textId="06257CC8" w:rsidR="00B246DA" w:rsidRPr="006F29F5" w:rsidRDefault="00B246DA">
      <w:pPr>
        <w:spacing w:after="160"/>
        <w:rPr>
          <w:rFonts w:eastAsia="Calibri" w:cs="Times New Roman"/>
          <w:kern w:val="2"/>
          <w:sz w:val="20"/>
        </w:rPr>
      </w:pPr>
      <w:r w:rsidRPr="006F29F5">
        <w:rPr>
          <w:rFonts w:eastAsia="Calibri" w:cs="Times New Roman"/>
          <w:kern w:val="2"/>
          <w:sz w:val="20"/>
        </w:rPr>
        <w:t>In private actions, claimants have a variety of options to assist in the tracing and preservation of assets during proceedings. The most important is the freezing injunction, discussed in more detail below. Claimants can also apply for search and seizure orders, which will be carried out by the claimant’s counsel and an independent solicitor, as well as bankers’ books orders, which allow the claimant’s legal team to inspect bank records without notice to the defendant. Finally, claimants in private actions can also seek injunctions to preserve assets and evidence.</w:t>
      </w:r>
    </w:p>
    <w:p w14:paraId="427C7340" w14:textId="7E1FDE06" w:rsidR="00D9752E" w:rsidRDefault="00B246DA">
      <w:pPr>
        <w:spacing w:after="160"/>
        <w:rPr>
          <w:rFonts w:eastAsia="Calibri" w:cs="Times New Roman"/>
          <w:kern w:val="2"/>
          <w:sz w:val="20"/>
        </w:rPr>
      </w:pPr>
      <w:r w:rsidRPr="00610DAE">
        <w:rPr>
          <w:rFonts w:eastAsia="Calibri" w:cs="Times New Roman"/>
          <w:kern w:val="2"/>
          <w:sz w:val="20"/>
        </w:rPr>
        <w:t xml:space="preserve">The following excerpt from the 2011 </w:t>
      </w:r>
      <w:proofErr w:type="spellStart"/>
      <w:r w:rsidRPr="00610DAE">
        <w:rPr>
          <w:rFonts w:eastAsia="Calibri" w:cs="Times New Roman"/>
          <w:kern w:val="2"/>
          <w:sz w:val="20"/>
        </w:rPr>
        <w:t>StAR</w:t>
      </w:r>
      <w:proofErr w:type="spellEnd"/>
      <w:r w:rsidRPr="00610DAE">
        <w:rPr>
          <w:rFonts w:eastAsia="Calibri" w:cs="Times New Roman"/>
          <w:kern w:val="2"/>
          <w:sz w:val="20"/>
        </w:rPr>
        <w:t xml:space="preserve">/World Bank publication entitled </w:t>
      </w:r>
      <w:r w:rsidRPr="00610DAE">
        <w:rPr>
          <w:rFonts w:eastAsia="Calibri" w:cs="Times New Roman"/>
          <w:i/>
          <w:kern w:val="2"/>
          <w:sz w:val="20"/>
        </w:rPr>
        <w:t>Barriers to Asset Recovery: An Analysis of the Key Barriers and Recommendations for Action</w:t>
      </w:r>
      <w:r w:rsidRPr="00610DAE">
        <w:rPr>
          <w:rFonts w:eastAsia="Calibri" w:cs="Times New Roman"/>
          <w:kern w:val="2"/>
          <w:sz w:val="20"/>
        </w:rPr>
        <w:t xml:space="preserve"> describes the use of restraint and recovery mechanisms when foreign jurisdictions are involved, with a focus on MLA procedures.</w:t>
      </w:r>
      <w:r w:rsidR="00324A2E" w:rsidRPr="00610DAE">
        <w:rPr>
          <w:rFonts w:eastAsia="Calibri" w:cs="Times New Roman"/>
          <w:kern w:val="2"/>
          <w:sz w:val="20"/>
          <w:vertAlign w:val="superscript"/>
        </w:rPr>
        <w:footnoteReference w:id="115"/>
      </w:r>
      <w:r w:rsidRPr="006F29F5">
        <w:rPr>
          <w:rFonts w:eastAsia="Calibri" w:cs="Times New Roman"/>
          <w:kern w:val="2"/>
          <w:sz w:val="20"/>
        </w:rPr>
        <w:t xml:space="preserve"> </w:t>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041541" w14:paraId="27BC7E17" w14:textId="77777777" w:rsidTr="00610DAE">
        <w:tc>
          <w:tcPr>
            <w:tcW w:w="8070" w:type="dxa"/>
            <w:tcBorders>
              <w:top w:val="nil"/>
              <w:left w:val="nil"/>
              <w:bottom w:val="nil"/>
              <w:right w:val="nil"/>
            </w:tcBorders>
            <w:shd w:val="clear" w:color="auto" w:fill="D9D9D9" w:themeFill="background1" w:themeFillShade="D9"/>
          </w:tcPr>
          <w:p w14:paraId="41749CE9" w14:textId="77777777" w:rsidR="00041541" w:rsidRPr="006F29F5" w:rsidRDefault="00041541" w:rsidP="00610DAE">
            <w:pPr>
              <w:pStyle w:val="ExcerptMarker"/>
              <w:spacing w:before="0"/>
              <w:rPr>
                <w:kern w:val="2"/>
                <w:sz w:val="16"/>
              </w:rPr>
            </w:pPr>
            <w:r w:rsidRPr="006F29F5">
              <w:rPr>
                <w:kern w:val="2"/>
                <w:sz w:val="16"/>
              </w:rPr>
              <w:t>Beginning of Excerpt</w:t>
            </w:r>
          </w:p>
          <w:p w14:paraId="31B473C8" w14:textId="77777777" w:rsidR="00041541" w:rsidRPr="006F29F5" w:rsidRDefault="00041541" w:rsidP="00610DAE">
            <w:pPr>
              <w:autoSpaceDE w:val="0"/>
              <w:autoSpaceDN w:val="0"/>
              <w:adjustRightInd w:val="0"/>
              <w:rPr>
                <w:rFonts w:cs="Times New Roman"/>
                <w:b/>
                <w:bCs/>
                <w:kern w:val="2"/>
                <w:sz w:val="20"/>
              </w:rPr>
            </w:pPr>
            <w:r w:rsidRPr="006F29F5">
              <w:rPr>
                <w:rFonts w:cs="Times New Roman"/>
                <w:b/>
                <w:bCs/>
                <w:kern w:val="2"/>
                <w:sz w:val="20"/>
              </w:rPr>
              <w:t>United Kingdom</w:t>
            </w:r>
          </w:p>
          <w:p w14:paraId="72CA9107" w14:textId="77777777" w:rsidR="00041541" w:rsidRPr="006F29F5" w:rsidRDefault="00041541" w:rsidP="00610DAE">
            <w:pPr>
              <w:autoSpaceDE w:val="0"/>
              <w:autoSpaceDN w:val="0"/>
              <w:adjustRightInd w:val="0"/>
              <w:rPr>
                <w:rFonts w:cs="Times New Roman"/>
                <w:b/>
                <w:bCs/>
                <w:iCs/>
                <w:kern w:val="2"/>
                <w:sz w:val="20"/>
              </w:rPr>
            </w:pPr>
            <w:r w:rsidRPr="006F29F5">
              <w:rPr>
                <w:rFonts w:cs="Times New Roman"/>
                <w:b/>
                <w:bCs/>
                <w:iCs/>
                <w:kern w:val="2"/>
                <w:sz w:val="20"/>
              </w:rPr>
              <w:t>A. MLA Legal Framework and Preconditions to Cooperation (General)</w:t>
            </w:r>
          </w:p>
          <w:p w14:paraId="602A9D6C" w14:textId="77777777" w:rsidR="00041541" w:rsidRPr="006F29F5" w:rsidRDefault="00041541" w:rsidP="00610DAE">
            <w:pPr>
              <w:autoSpaceDE w:val="0"/>
              <w:autoSpaceDN w:val="0"/>
              <w:adjustRightInd w:val="0"/>
              <w:ind w:left="720"/>
              <w:rPr>
                <w:rFonts w:cs="Times New Roman"/>
                <w:b/>
                <w:bCs/>
                <w:kern w:val="2"/>
                <w:sz w:val="20"/>
              </w:rPr>
            </w:pPr>
            <w:r w:rsidRPr="006F29F5">
              <w:rPr>
                <w:rFonts w:cs="Times New Roman"/>
                <w:b/>
                <w:bCs/>
                <w:kern w:val="2"/>
                <w:sz w:val="20"/>
              </w:rPr>
              <w:t>A.1. Relevant Laws, Treaties, and Conventions Dealing with or Including a Component Relevant for MLA and Asset Recovery</w:t>
            </w:r>
          </w:p>
          <w:p w14:paraId="5DE61704" w14:textId="77777777" w:rsidR="00041541" w:rsidRPr="006F29F5" w:rsidRDefault="00041541" w:rsidP="00610DAE">
            <w:pPr>
              <w:pStyle w:val="ListParagraph"/>
              <w:numPr>
                <w:ilvl w:val="0"/>
                <w:numId w:val="10"/>
              </w:numPr>
              <w:rPr>
                <w:b w:val="0"/>
                <w:kern w:val="2"/>
                <w:sz w:val="20"/>
              </w:rPr>
            </w:pPr>
            <w:r w:rsidRPr="006F29F5">
              <w:rPr>
                <w:b w:val="0"/>
                <w:kern w:val="2"/>
                <w:sz w:val="20"/>
              </w:rPr>
              <w:t xml:space="preserve">The </w:t>
            </w:r>
            <w:r w:rsidRPr="006F29F5">
              <w:rPr>
                <w:b w:val="0"/>
                <w:i/>
                <w:iCs/>
                <w:kern w:val="2"/>
                <w:sz w:val="20"/>
              </w:rPr>
              <w:t xml:space="preserve">Crime (International Co-operation) Act </w:t>
            </w:r>
            <w:r w:rsidRPr="006F29F5">
              <w:rPr>
                <w:b w:val="0"/>
                <w:kern w:val="2"/>
                <w:sz w:val="20"/>
              </w:rPr>
              <w:t xml:space="preserve">(CICA) [updated link: </w:t>
            </w:r>
            <w:r w:rsidRPr="006F29F5">
              <w:rPr>
                <w:kern w:val="2"/>
                <w:sz w:val="20"/>
              </w:rPr>
              <w:t xml:space="preserve"> </w:t>
            </w:r>
            <w:hyperlink r:id="rId28" w:history="1">
              <w:r w:rsidRPr="006F29F5">
                <w:rPr>
                  <w:rStyle w:val="Hyperlink"/>
                  <w:b w:val="0"/>
                  <w:kern w:val="2"/>
                  <w:sz w:val="20"/>
                </w:rPr>
                <w:t>http://www.legislation.gov.uk/ukpga/2003/32/contents</w:t>
              </w:r>
            </w:hyperlink>
            <w:r w:rsidRPr="006F29F5">
              <w:rPr>
                <w:b w:val="0"/>
                <w:kern w:val="2"/>
                <w:sz w:val="20"/>
              </w:rPr>
              <w:t>] allows for the provision of mutual legal assistance to any country.</w:t>
            </w:r>
          </w:p>
          <w:p w14:paraId="464A3412" w14:textId="0D759F29" w:rsidR="00041541" w:rsidRPr="00610DAE" w:rsidRDefault="00041541" w:rsidP="00610DAE">
            <w:pPr>
              <w:pStyle w:val="ListParagraph"/>
              <w:numPr>
                <w:ilvl w:val="0"/>
                <w:numId w:val="10"/>
              </w:numPr>
              <w:rPr>
                <w:b w:val="0"/>
                <w:kern w:val="2"/>
                <w:sz w:val="20"/>
              </w:rPr>
            </w:pPr>
            <w:r w:rsidRPr="006F29F5">
              <w:rPr>
                <w:b w:val="0"/>
                <w:kern w:val="2"/>
                <w:sz w:val="20"/>
              </w:rPr>
              <w:t xml:space="preserve">The </w:t>
            </w:r>
            <w:r w:rsidRPr="006F29F5">
              <w:rPr>
                <w:b w:val="0"/>
                <w:i/>
                <w:iCs/>
                <w:kern w:val="2"/>
                <w:sz w:val="20"/>
              </w:rPr>
              <w:t xml:space="preserve">Proceeds of Crime Act 2002 (External Requests and Orders) Order 2005 </w:t>
            </w:r>
            <w:r w:rsidRPr="006F29F5">
              <w:rPr>
                <w:b w:val="0"/>
                <w:kern w:val="2"/>
                <w:sz w:val="20"/>
              </w:rPr>
              <w:t xml:space="preserve">(POC) [updated link: </w:t>
            </w:r>
            <w:r w:rsidRPr="006F29F5">
              <w:rPr>
                <w:kern w:val="2"/>
                <w:sz w:val="20"/>
              </w:rPr>
              <w:t xml:space="preserve"> </w:t>
            </w:r>
            <w:hyperlink r:id="rId29" w:history="1">
              <w:r w:rsidRPr="006F29F5">
                <w:rPr>
                  <w:rStyle w:val="Hyperlink"/>
                  <w:b w:val="0"/>
                  <w:kern w:val="2"/>
                  <w:sz w:val="20"/>
                </w:rPr>
                <w:t>http://www.legislation.gov.uk/uksi/2008/302/contents/made</w:t>
              </w:r>
            </w:hyperlink>
            <w:r w:rsidRPr="006F29F5">
              <w:rPr>
                <w:b w:val="0"/>
                <w:kern w:val="2"/>
                <w:sz w:val="20"/>
              </w:rPr>
              <w:t>] allows for the issuance of restraint warrants and the confiscation of assets upon request or based on an order issued by a foreign country in both conviction based and non-conviction based proceedings.</w:t>
            </w:r>
          </w:p>
        </w:tc>
      </w:tr>
    </w:tbl>
    <w:p w14:paraId="75DE0EC6" w14:textId="77777777" w:rsidR="00041541" w:rsidRPr="006F29F5" w:rsidRDefault="00041541">
      <w:pPr>
        <w:spacing w:after="160"/>
        <w:rPr>
          <w:rFonts w:eastAsia="Calibri" w:cs="Times New Roman"/>
          <w:kern w:val="2"/>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177C4A" w:rsidRPr="006F29F5" w14:paraId="28E33F88" w14:textId="77777777" w:rsidTr="00041541">
        <w:trPr>
          <w:jc w:val="center"/>
        </w:trPr>
        <w:tc>
          <w:tcPr>
            <w:tcW w:w="9576" w:type="dxa"/>
            <w:shd w:val="clear" w:color="auto" w:fill="D9D9D9" w:themeFill="background1" w:themeFillShade="D9"/>
          </w:tcPr>
          <w:p w14:paraId="36754F14" w14:textId="77777777" w:rsidR="00610DAE" w:rsidRPr="006F29F5" w:rsidRDefault="00610DAE" w:rsidP="00610DAE">
            <w:pPr>
              <w:pStyle w:val="ListParagraph"/>
              <w:numPr>
                <w:ilvl w:val="0"/>
                <w:numId w:val="10"/>
              </w:numPr>
              <w:rPr>
                <w:b w:val="0"/>
                <w:i/>
                <w:iCs/>
                <w:kern w:val="2"/>
                <w:sz w:val="20"/>
              </w:rPr>
            </w:pPr>
            <w:r w:rsidRPr="006F29F5">
              <w:rPr>
                <w:b w:val="0"/>
                <w:kern w:val="2"/>
                <w:sz w:val="20"/>
              </w:rPr>
              <w:t xml:space="preserve">The </w:t>
            </w:r>
            <w:r w:rsidRPr="006F29F5">
              <w:rPr>
                <w:b w:val="0"/>
                <w:i/>
                <w:iCs/>
                <w:kern w:val="2"/>
                <w:sz w:val="20"/>
              </w:rPr>
              <w:t xml:space="preserve">Criminal Justice (International Cooperation) Act 1990 (Enforcement of Overseas Forfeitures) Order </w:t>
            </w:r>
            <w:r w:rsidRPr="006F29F5">
              <w:rPr>
                <w:b w:val="0"/>
                <w:kern w:val="2"/>
                <w:sz w:val="20"/>
              </w:rPr>
              <w:t xml:space="preserve">(CRIJICA) </w:t>
            </w:r>
            <w:r>
              <w:rPr>
                <w:b w:val="0"/>
                <w:kern w:val="2"/>
                <w:sz w:val="20"/>
              </w:rPr>
              <w:t xml:space="preserve">[updated link: </w:t>
            </w:r>
            <w:hyperlink r:id="rId30" w:history="1">
              <w:r w:rsidRPr="00C65330">
                <w:rPr>
                  <w:rStyle w:val="Hyperlink"/>
                  <w:b w:val="0"/>
                  <w:kern w:val="2"/>
                  <w:sz w:val="20"/>
                </w:rPr>
                <w:t>http://www.legislation.gov.uk/ukpga/1990/5/contents</w:t>
              </w:r>
            </w:hyperlink>
            <w:r w:rsidRPr="006F29F5">
              <w:rPr>
                <w:b w:val="0"/>
                <w:kern w:val="2"/>
                <w:sz w:val="20"/>
              </w:rPr>
              <w:t>] regulates the restraining and forfeiture of the instrumentalities of crime upon request or based on an order issued by a foreign country.</w:t>
            </w:r>
          </w:p>
          <w:p w14:paraId="41A138C4" w14:textId="77777777" w:rsidR="00177C4A" w:rsidRPr="006F29F5" w:rsidRDefault="00177C4A" w:rsidP="00041541">
            <w:pPr>
              <w:pStyle w:val="ListParagraph"/>
              <w:numPr>
                <w:ilvl w:val="0"/>
                <w:numId w:val="10"/>
              </w:numPr>
              <w:rPr>
                <w:b w:val="0"/>
                <w:kern w:val="2"/>
                <w:sz w:val="20"/>
              </w:rPr>
            </w:pPr>
            <w:r w:rsidRPr="006F29F5">
              <w:rPr>
                <w:b w:val="0"/>
                <w:kern w:val="2"/>
                <w:sz w:val="20"/>
              </w:rPr>
              <w:t>The United Kingdom has entered into 32 bilateral MLA agreements with Antigua and Barbuda; Argentina; Australia; Bahamas; Bahrain; Barbados; Bolivia; Canada; Chile; Colombia; Ecuador; Grenada; Guyana; Hong Kong SAR, China; India, Ireland; Italy; Malaysia; Mexico; Netherlands; Nigeria; Panama; Paraguay; Romania; Saudi Arabia; Spain; Sweden; Thailand, Trinidad and Tobago; Ukraine; United States; and Uruguay.</w:t>
            </w:r>
          </w:p>
          <w:p w14:paraId="12949282" w14:textId="77777777" w:rsidR="00177C4A" w:rsidRPr="006F29F5" w:rsidRDefault="00177C4A" w:rsidP="00041541">
            <w:pPr>
              <w:pStyle w:val="ListParagraph"/>
              <w:numPr>
                <w:ilvl w:val="0"/>
                <w:numId w:val="10"/>
              </w:numPr>
              <w:rPr>
                <w:b w:val="0"/>
                <w:kern w:val="2"/>
                <w:sz w:val="20"/>
              </w:rPr>
            </w:pPr>
            <w:r w:rsidRPr="006F29F5">
              <w:rPr>
                <w:b w:val="0"/>
                <w:kern w:val="2"/>
                <w:sz w:val="20"/>
              </w:rPr>
              <w:t>The United Kingdom is a party to the following multilateral agreements, which include provisions on mutual legal assistance: the Merida, Vienna, and Palermo conventions; the European Convention on Mutual Legal Assistance in Criminal Matters and Additional Protocol; the Council of Europe Convention on Laundering, Search, Seizure and Confiscation of the Proceeds of Crime; the Convention on Mutual Assistance in Criminal Matters between the Member States of the European Union and Protocol to the Convention on Mutual Assistance in Criminal Matters between Member States of the European Union; and the Harare Scheme. However, the United Kingdom may provide MLA directly based only on domestic law and not on international treaties.</w:t>
            </w:r>
          </w:p>
          <w:p w14:paraId="73E3231E" w14:textId="77777777" w:rsidR="00177C4A" w:rsidRPr="006F29F5" w:rsidRDefault="00177C4A" w:rsidP="00041541">
            <w:pPr>
              <w:autoSpaceDE w:val="0"/>
              <w:autoSpaceDN w:val="0"/>
              <w:adjustRightInd w:val="0"/>
              <w:ind w:left="720"/>
              <w:rPr>
                <w:rFonts w:cs="Times New Roman"/>
                <w:b/>
                <w:bCs/>
                <w:kern w:val="2"/>
                <w:sz w:val="20"/>
              </w:rPr>
            </w:pPr>
            <w:r w:rsidRPr="006F29F5">
              <w:rPr>
                <w:rFonts w:cs="Times New Roman"/>
                <w:b/>
                <w:bCs/>
                <w:kern w:val="2"/>
                <w:sz w:val="20"/>
              </w:rPr>
              <w:t>A.2. Legal Preconditions for the Provision of MLA</w:t>
            </w:r>
          </w:p>
          <w:p w14:paraId="51515933" w14:textId="77777777" w:rsidR="00177C4A" w:rsidRPr="006F29F5" w:rsidRDefault="00177C4A" w:rsidP="00041541">
            <w:pPr>
              <w:pStyle w:val="ListParagraph"/>
              <w:numPr>
                <w:ilvl w:val="0"/>
                <w:numId w:val="11"/>
              </w:numPr>
              <w:ind w:left="360"/>
              <w:rPr>
                <w:b w:val="0"/>
                <w:kern w:val="2"/>
                <w:sz w:val="20"/>
              </w:rPr>
            </w:pPr>
            <w:r w:rsidRPr="006F29F5">
              <w:rPr>
                <w:b w:val="0"/>
                <w:kern w:val="2"/>
                <w:sz w:val="20"/>
              </w:rPr>
              <w:t>Reciprocity is generally not required for the provision of MLA.</w:t>
            </w:r>
          </w:p>
          <w:p w14:paraId="4A9B1168" w14:textId="77777777" w:rsidR="00177C4A" w:rsidRPr="006F29F5" w:rsidRDefault="00177C4A" w:rsidP="00041541">
            <w:pPr>
              <w:pStyle w:val="ListParagraph"/>
              <w:numPr>
                <w:ilvl w:val="0"/>
                <w:numId w:val="11"/>
              </w:numPr>
              <w:ind w:left="360"/>
              <w:rPr>
                <w:b w:val="0"/>
                <w:kern w:val="2"/>
                <w:sz w:val="20"/>
              </w:rPr>
            </w:pPr>
            <w:r w:rsidRPr="006F29F5">
              <w:rPr>
                <w:b w:val="0"/>
                <w:kern w:val="2"/>
                <w:sz w:val="20"/>
              </w:rPr>
              <w:t>Dual criminality is not required for most measures under the CICA. However, requests for search and seizure for evidentiary reasons as well as restraint and confiscation of assets are subject to dual criminality; that is, they cannot be executed unless the underlying criminal conduct would be an offense under U.K. law.</w:t>
            </w:r>
          </w:p>
          <w:p w14:paraId="6C098861" w14:textId="77777777" w:rsidR="00177C4A" w:rsidRPr="006F29F5" w:rsidRDefault="00177C4A" w:rsidP="00041541">
            <w:pPr>
              <w:autoSpaceDE w:val="0"/>
              <w:autoSpaceDN w:val="0"/>
              <w:adjustRightInd w:val="0"/>
              <w:ind w:left="720"/>
              <w:rPr>
                <w:rFonts w:cs="Times New Roman"/>
                <w:b/>
                <w:bCs/>
                <w:kern w:val="2"/>
                <w:sz w:val="20"/>
              </w:rPr>
            </w:pPr>
            <w:r w:rsidRPr="006F29F5">
              <w:rPr>
                <w:rFonts w:cs="Times New Roman"/>
                <w:b/>
                <w:bCs/>
                <w:kern w:val="2"/>
                <w:sz w:val="20"/>
              </w:rPr>
              <w:t>A.3. Grounds for Refusal of MLA</w:t>
            </w:r>
          </w:p>
          <w:p w14:paraId="5C4A70F9" w14:textId="77777777" w:rsidR="00177C4A" w:rsidRPr="006F29F5" w:rsidRDefault="00177C4A" w:rsidP="00041541">
            <w:pPr>
              <w:pStyle w:val="ListParagraph"/>
              <w:numPr>
                <w:ilvl w:val="0"/>
                <w:numId w:val="12"/>
              </w:numPr>
              <w:ind w:left="360"/>
              <w:rPr>
                <w:b w:val="0"/>
                <w:kern w:val="2"/>
                <w:sz w:val="20"/>
              </w:rPr>
            </w:pPr>
            <w:r w:rsidRPr="006F29F5">
              <w:rPr>
                <w:b w:val="0"/>
                <w:kern w:val="2"/>
                <w:sz w:val="20"/>
              </w:rPr>
              <w:t>Requests involving double jeopardy will not be executed.</w:t>
            </w:r>
          </w:p>
          <w:p w14:paraId="6BEB6D8B" w14:textId="77777777" w:rsidR="00177C4A" w:rsidRPr="006F29F5" w:rsidRDefault="00177C4A" w:rsidP="00041541">
            <w:pPr>
              <w:pStyle w:val="ListParagraph"/>
              <w:numPr>
                <w:ilvl w:val="0"/>
                <w:numId w:val="12"/>
              </w:numPr>
              <w:ind w:left="360"/>
              <w:rPr>
                <w:b w:val="0"/>
                <w:kern w:val="2"/>
                <w:sz w:val="20"/>
              </w:rPr>
            </w:pPr>
            <w:r w:rsidRPr="006F29F5">
              <w:rPr>
                <w:b w:val="0"/>
                <w:kern w:val="2"/>
                <w:sz w:val="20"/>
              </w:rPr>
              <w:t>Requests relating to offenses punishable with the death penalty or relating to trivial offense may be refused.</w:t>
            </w:r>
          </w:p>
          <w:p w14:paraId="1D0D78E2" w14:textId="00F248E0" w:rsidR="00177C4A" w:rsidRPr="00610DAE" w:rsidRDefault="00177C4A" w:rsidP="00610DAE">
            <w:pPr>
              <w:pStyle w:val="ListParagraph"/>
              <w:numPr>
                <w:ilvl w:val="0"/>
                <w:numId w:val="12"/>
              </w:numPr>
              <w:ind w:left="360"/>
              <w:rPr>
                <w:b w:val="0"/>
                <w:kern w:val="2"/>
                <w:sz w:val="20"/>
              </w:rPr>
            </w:pPr>
            <w:r w:rsidRPr="006F29F5">
              <w:rPr>
                <w:b w:val="0"/>
                <w:kern w:val="2"/>
                <w:sz w:val="20"/>
              </w:rPr>
              <w:t>Requests that affect the U.K. national security or other U.K. essential interests may be declined.</w:t>
            </w:r>
          </w:p>
        </w:tc>
      </w:tr>
      <w:tr w:rsidR="00610DAE" w:rsidRPr="006F29F5" w14:paraId="07A0DE85" w14:textId="77777777" w:rsidTr="00041541">
        <w:trPr>
          <w:jc w:val="center"/>
        </w:trPr>
        <w:tc>
          <w:tcPr>
            <w:tcW w:w="9576" w:type="dxa"/>
            <w:shd w:val="clear" w:color="auto" w:fill="D9D9D9" w:themeFill="background1" w:themeFillShade="D9"/>
          </w:tcPr>
          <w:p w14:paraId="71BFE773" w14:textId="77777777" w:rsidR="00610DAE" w:rsidRPr="006F29F5" w:rsidRDefault="00610DAE" w:rsidP="00610DAE">
            <w:pPr>
              <w:autoSpaceDE w:val="0"/>
              <w:autoSpaceDN w:val="0"/>
              <w:adjustRightInd w:val="0"/>
              <w:spacing w:before="120"/>
              <w:rPr>
                <w:rFonts w:cs="Times New Roman"/>
                <w:b/>
                <w:bCs/>
                <w:iCs/>
                <w:kern w:val="2"/>
                <w:sz w:val="20"/>
              </w:rPr>
            </w:pPr>
            <w:r w:rsidRPr="006F29F5">
              <w:rPr>
                <w:rFonts w:cs="Times New Roman"/>
                <w:b/>
                <w:bCs/>
                <w:iCs/>
                <w:kern w:val="2"/>
                <w:sz w:val="20"/>
              </w:rPr>
              <w:t>B. MLA General Procedures</w:t>
            </w:r>
          </w:p>
          <w:p w14:paraId="6A1F2481" w14:textId="77777777" w:rsidR="00610DAE" w:rsidRPr="006F29F5" w:rsidRDefault="00610DAE" w:rsidP="00610DAE">
            <w:pPr>
              <w:autoSpaceDE w:val="0"/>
              <w:autoSpaceDN w:val="0"/>
              <w:adjustRightInd w:val="0"/>
              <w:ind w:left="720"/>
              <w:jc w:val="left"/>
              <w:rPr>
                <w:rFonts w:cs="Times New Roman"/>
                <w:b/>
                <w:bCs/>
                <w:kern w:val="2"/>
                <w:sz w:val="20"/>
              </w:rPr>
            </w:pPr>
            <w:r w:rsidRPr="006F29F5">
              <w:rPr>
                <w:rFonts w:cs="Times New Roman"/>
                <w:b/>
                <w:bCs/>
                <w:kern w:val="2"/>
                <w:sz w:val="20"/>
              </w:rPr>
              <w:t>B.1. Central Authority Competent to Receive, Process, and Implement MLA Requests in Criminal Matters</w:t>
            </w:r>
          </w:p>
          <w:p w14:paraId="47C86146" w14:textId="77777777" w:rsidR="00610DAE" w:rsidRPr="006F29F5" w:rsidRDefault="00610DAE" w:rsidP="00610DAE">
            <w:pPr>
              <w:pStyle w:val="ListParagraph"/>
              <w:numPr>
                <w:ilvl w:val="0"/>
                <w:numId w:val="13"/>
              </w:numPr>
              <w:ind w:left="360"/>
              <w:rPr>
                <w:b w:val="0"/>
                <w:kern w:val="2"/>
                <w:sz w:val="20"/>
              </w:rPr>
            </w:pPr>
            <w:r w:rsidRPr="006F29F5">
              <w:rPr>
                <w:b w:val="0"/>
                <w:kern w:val="2"/>
                <w:sz w:val="20"/>
              </w:rPr>
              <w:t>For assistance in England, Wales, and Northern Ireland, the U.K. Home Office, Judicial Cooperation Unit, is the central authority to receive all requests for MLA.</w:t>
            </w:r>
          </w:p>
          <w:p w14:paraId="6D48904C" w14:textId="77777777" w:rsidR="00610DAE" w:rsidRPr="006F29F5" w:rsidRDefault="00610DAE" w:rsidP="00610DAE">
            <w:pPr>
              <w:pStyle w:val="ListParagraph"/>
              <w:numPr>
                <w:ilvl w:val="0"/>
                <w:numId w:val="13"/>
              </w:numPr>
              <w:ind w:left="360"/>
              <w:rPr>
                <w:b w:val="0"/>
                <w:kern w:val="2"/>
                <w:sz w:val="20"/>
              </w:rPr>
            </w:pPr>
            <w:r w:rsidRPr="006F29F5">
              <w:rPr>
                <w:b w:val="0"/>
                <w:kern w:val="2"/>
                <w:sz w:val="20"/>
              </w:rPr>
              <w:t>For assistance in Scotland, the Crown Office, International Cooperation Unit, is the central authority to receive MLA requests.</w:t>
            </w:r>
          </w:p>
          <w:p w14:paraId="13D49398" w14:textId="77777777" w:rsidR="00610DAE" w:rsidRPr="006F29F5" w:rsidRDefault="00610DAE" w:rsidP="00610DAE">
            <w:pPr>
              <w:pStyle w:val="ListParagraph"/>
              <w:numPr>
                <w:ilvl w:val="0"/>
                <w:numId w:val="13"/>
              </w:numPr>
              <w:ind w:left="360"/>
              <w:rPr>
                <w:b w:val="0"/>
                <w:kern w:val="2"/>
                <w:sz w:val="20"/>
              </w:rPr>
            </w:pPr>
            <w:r w:rsidRPr="006F29F5">
              <w:rPr>
                <w:b w:val="0"/>
                <w:kern w:val="2"/>
                <w:sz w:val="20"/>
              </w:rPr>
              <w:t>The central authorities ensure that requests meet the form requirements and the requirements under U.K. law and subsequently disseminate requests to the relevant domestic authorities for implementation.</w:t>
            </w:r>
          </w:p>
          <w:p w14:paraId="5D2EFBEB" w14:textId="77777777" w:rsidR="00610DAE" w:rsidRPr="006F29F5" w:rsidRDefault="00610DAE" w:rsidP="00610DAE">
            <w:pPr>
              <w:autoSpaceDE w:val="0"/>
              <w:autoSpaceDN w:val="0"/>
              <w:adjustRightInd w:val="0"/>
              <w:ind w:left="720"/>
              <w:rPr>
                <w:rFonts w:cs="Times New Roman"/>
                <w:b/>
                <w:bCs/>
                <w:kern w:val="2"/>
                <w:sz w:val="20"/>
              </w:rPr>
            </w:pPr>
            <w:r w:rsidRPr="006F29F5">
              <w:rPr>
                <w:rFonts w:cs="Times New Roman"/>
                <w:b/>
                <w:bCs/>
                <w:kern w:val="2"/>
                <w:sz w:val="20"/>
              </w:rPr>
              <w:t>B.2. Language Requirements</w:t>
            </w:r>
          </w:p>
          <w:p w14:paraId="6E834E12" w14:textId="77777777" w:rsidR="00610DAE" w:rsidRPr="006F29F5" w:rsidRDefault="00610DAE" w:rsidP="00610DAE">
            <w:pPr>
              <w:pStyle w:val="ListParagraph"/>
              <w:numPr>
                <w:ilvl w:val="0"/>
                <w:numId w:val="14"/>
              </w:numPr>
              <w:ind w:left="360"/>
              <w:rPr>
                <w:b w:val="0"/>
                <w:kern w:val="2"/>
                <w:sz w:val="20"/>
              </w:rPr>
            </w:pPr>
            <w:r w:rsidRPr="006F29F5">
              <w:rPr>
                <w:b w:val="0"/>
                <w:kern w:val="2"/>
                <w:sz w:val="20"/>
              </w:rPr>
              <w:t>Requests must be made in writing in English or be submitted with an English translation. If no translation is provided, the central authorities will ask for one, and the request will remain unexecuted until the translation is received.</w:t>
            </w:r>
          </w:p>
          <w:p w14:paraId="3E56F15D" w14:textId="77777777" w:rsidR="00610DAE" w:rsidRPr="006F29F5" w:rsidRDefault="00610DAE" w:rsidP="00610DAE">
            <w:pPr>
              <w:autoSpaceDE w:val="0"/>
              <w:autoSpaceDN w:val="0"/>
              <w:adjustRightInd w:val="0"/>
              <w:rPr>
                <w:rFonts w:cs="Times New Roman"/>
                <w:b/>
                <w:bCs/>
                <w:iCs/>
                <w:kern w:val="2"/>
                <w:sz w:val="20"/>
              </w:rPr>
            </w:pPr>
            <w:r w:rsidRPr="006F29F5">
              <w:rPr>
                <w:rFonts w:cs="Times New Roman"/>
                <w:b/>
                <w:bCs/>
                <w:iCs/>
                <w:kern w:val="2"/>
                <w:sz w:val="20"/>
              </w:rPr>
              <w:t>C. Asset Recovery Specific</w:t>
            </w:r>
          </w:p>
          <w:p w14:paraId="28765B1F" w14:textId="77777777" w:rsidR="00610DAE" w:rsidRPr="006F29F5" w:rsidRDefault="00610DAE" w:rsidP="00610DAE">
            <w:pPr>
              <w:autoSpaceDE w:val="0"/>
              <w:autoSpaceDN w:val="0"/>
              <w:adjustRightInd w:val="0"/>
              <w:ind w:left="720"/>
              <w:rPr>
                <w:rFonts w:cs="Times New Roman"/>
                <w:b/>
                <w:bCs/>
                <w:kern w:val="2"/>
                <w:sz w:val="20"/>
              </w:rPr>
            </w:pPr>
            <w:r w:rsidRPr="006F29F5">
              <w:rPr>
                <w:rFonts w:cs="Times New Roman"/>
                <w:b/>
                <w:bCs/>
                <w:kern w:val="2"/>
                <w:sz w:val="20"/>
              </w:rPr>
              <w:t>C.1. Stage of Proceedings at Which Assistance may be Requested</w:t>
            </w:r>
          </w:p>
          <w:p w14:paraId="5F928209" w14:textId="77777777" w:rsidR="00610DAE" w:rsidRPr="006F29F5" w:rsidRDefault="00610DAE" w:rsidP="00610DAE">
            <w:pPr>
              <w:pStyle w:val="ListParagraph"/>
              <w:numPr>
                <w:ilvl w:val="0"/>
                <w:numId w:val="14"/>
              </w:numPr>
              <w:ind w:left="360"/>
              <w:rPr>
                <w:b w:val="0"/>
                <w:kern w:val="2"/>
                <w:sz w:val="20"/>
              </w:rPr>
            </w:pPr>
            <w:r w:rsidRPr="006F29F5">
              <w:rPr>
                <w:b w:val="0"/>
                <w:kern w:val="2"/>
                <w:sz w:val="20"/>
              </w:rPr>
              <w:t>Measures pursuant to CICA Sections 13–15 as well as account and customer information orders may be issued as soon as an investigation for an offense has been initiated in the requesting country.</w:t>
            </w:r>
          </w:p>
          <w:p w14:paraId="129381F1" w14:textId="77777777" w:rsidR="00610DAE" w:rsidRPr="006F29F5" w:rsidRDefault="00610DAE" w:rsidP="00610DAE">
            <w:pPr>
              <w:pStyle w:val="ListParagraph"/>
              <w:numPr>
                <w:ilvl w:val="0"/>
                <w:numId w:val="14"/>
              </w:numPr>
              <w:ind w:left="360"/>
              <w:rPr>
                <w:b w:val="0"/>
                <w:kern w:val="2"/>
                <w:sz w:val="20"/>
              </w:rPr>
            </w:pPr>
            <w:r w:rsidRPr="006F29F5">
              <w:rPr>
                <w:b w:val="0"/>
                <w:kern w:val="2"/>
                <w:sz w:val="20"/>
              </w:rPr>
              <w:t>In Scotland, search and seizing warrants may be issued as soon as there are reasonable grounds to suspect that an offense under the law of the requesting country has been committed.</w:t>
            </w:r>
          </w:p>
          <w:p w14:paraId="3FECB8E4" w14:textId="77777777" w:rsidR="00610DAE" w:rsidRPr="006F29F5" w:rsidRDefault="00610DAE" w:rsidP="00610DAE">
            <w:pPr>
              <w:pStyle w:val="ListParagraph"/>
              <w:numPr>
                <w:ilvl w:val="0"/>
                <w:numId w:val="14"/>
              </w:numPr>
              <w:ind w:left="360"/>
              <w:rPr>
                <w:b w:val="0"/>
                <w:kern w:val="2"/>
                <w:sz w:val="20"/>
              </w:rPr>
            </w:pPr>
            <w:r w:rsidRPr="006F29F5">
              <w:rPr>
                <w:b w:val="0"/>
                <w:kern w:val="2"/>
                <w:sz w:val="20"/>
              </w:rPr>
              <w:t>Search and seizing orders in England, Wales, and Northern Ireland (CICA Section 17) may be taken only if criminal proceedings have been instituted or an arrest been made in the requesting country.</w:t>
            </w:r>
          </w:p>
          <w:p w14:paraId="777DE176" w14:textId="77777777" w:rsidR="00610DAE" w:rsidRPr="006F29F5" w:rsidRDefault="00610DAE" w:rsidP="00610DAE">
            <w:pPr>
              <w:autoSpaceDE w:val="0"/>
              <w:autoSpaceDN w:val="0"/>
              <w:adjustRightInd w:val="0"/>
              <w:rPr>
                <w:rFonts w:cs="Times New Roman"/>
                <w:b/>
                <w:bCs/>
                <w:iCs/>
                <w:kern w:val="2"/>
                <w:sz w:val="20"/>
              </w:rPr>
            </w:pPr>
            <w:r w:rsidRPr="006F29F5">
              <w:rPr>
                <w:rFonts w:cs="Times New Roman"/>
                <w:b/>
                <w:bCs/>
                <w:iCs/>
                <w:kern w:val="2"/>
                <w:sz w:val="20"/>
              </w:rPr>
              <w:t>Tracing</w:t>
            </w:r>
          </w:p>
          <w:p w14:paraId="333F5584" w14:textId="77777777" w:rsidR="00610DAE" w:rsidRPr="006F29F5" w:rsidRDefault="00610DAE" w:rsidP="00610DAE">
            <w:pPr>
              <w:autoSpaceDE w:val="0"/>
              <w:autoSpaceDN w:val="0"/>
              <w:adjustRightInd w:val="0"/>
              <w:ind w:left="720"/>
              <w:rPr>
                <w:rFonts w:cs="Times New Roman"/>
                <w:b/>
                <w:bCs/>
                <w:kern w:val="2"/>
                <w:sz w:val="20"/>
              </w:rPr>
            </w:pPr>
            <w:r w:rsidRPr="006F29F5">
              <w:rPr>
                <w:rFonts w:cs="Times New Roman"/>
                <w:b/>
                <w:bCs/>
                <w:kern w:val="2"/>
                <w:sz w:val="20"/>
              </w:rPr>
              <w:t>C.2. Available Tracing Mechanisms</w:t>
            </w:r>
          </w:p>
          <w:p w14:paraId="1FC0874A" w14:textId="77777777" w:rsidR="00610DAE" w:rsidRPr="006F29F5" w:rsidRDefault="00610DAE" w:rsidP="00610DAE">
            <w:pPr>
              <w:pStyle w:val="ListParagraph"/>
              <w:numPr>
                <w:ilvl w:val="0"/>
                <w:numId w:val="15"/>
              </w:numPr>
              <w:ind w:left="360"/>
              <w:rPr>
                <w:b w:val="0"/>
                <w:kern w:val="2"/>
                <w:sz w:val="20"/>
              </w:rPr>
            </w:pPr>
            <w:r w:rsidRPr="006F29F5">
              <w:rPr>
                <w:b w:val="0"/>
                <w:kern w:val="2"/>
                <w:sz w:val="20"/>
              </w:rPr>
              <w:t>Obtaining of Evidence (CICA Sections 13–15): Evidence gathering orders may be issued if a request is made in connection with criminal proceedings or a criminal investigation in the requesting state. In England, Wales, and Northern Ireland, suspects cannot be compelled to attend court or be coerced to provide evidence under oath for the purposes of MLA. In Scotland, both suspects and witnesses can be compelled to attend the court, but suspects cannot be compelled to provide evidence.</w:t>
            </w:r>
          </w:p>
          <w:p w14:paraId="3812EFA9" w14:textId="77777777" w:rsidR="00610DAE" w:rsidRPr="006F29F5" w:rsidRDefault="00610DAE" w:rsidP="00610DAE">
            <w:pPr>
              <w:pStyle w:val="ListParagraph"/>
              <w:numPr>
                <w:ilvl w:val="0"/>
                <w:numId w:val="15"/>
              </w:numPr>
              <w:ind w:left="360"/>
              <w:rPr>
                <w:b w:val="0"/>
                <w:kern w:val="2"/>
                <w:sz w:val="20"/>
              </w:rPr>
            </w:pPr>
            <w:r w:rsidRPr="006F29F5">
              <w:rPr>
                <w:b w:val="0"/>
                <w:kern w:val="2"/>
                <w:sz w:val="20"/>
              </w:rPr>
              <w:t xml:space="preserve">CICA Section 17: Search and seizing warrants for England, Wales, and Northern Ireland may be issued if criminal proceedings have been instituted or an arrest has been made in the requesting country; if the conduct in question would constitute an </w:t>
            </w:r>
            <w:proofErr w:type="spellStart"/>
            <w:r w:rsidRPr="006F29F5">
              <w:rPr>
                <w:b w:val="0"/>
                <w:kern w:val="2"/>
                <w:sz w:val="20"/>
              </w:rPr>
              <w:t>arrestable</w:t>
            </w:r>
            <w:proofErr w:type="spellEnd"/>
            <w:r w:rsidRPr="006F29F5">
              <w:rPr>
                <w:b w:val="0"/>
                <w:kern w:val="2"/>
                <w:sz w:val="20"/>
              </w:rPr>
              <w:t xml:space="preserve"> offense had it been committed in the United Kingdom; and if there are reasonable grounds to suspect that evidence is in the United Kingdom relating to the offense. In Scotland, such warrants may be issued if there are reasonable grounds to suspect that an offense under the law of the requesting country has been committed and if the offense would be punishable with imprisonment under Scottish law had the conduct occurred domestically. Warrants may not be issued with respect to items or documents subject to professional legal privilege.</w:t>
            </w:r>
          </w:p>
          <w:p w14:paraId="4980EEB3" w14:textId="77777777" w:rsidR="00610DAE" w:rsidRPr="006F29F5" w:rsidRDefault="00610DAE" w:rsidP="00610DAE">
            <w:pPr>
              <w:pStyle w:val="ListParagraph"/>
              <w:numPr>
                <w:ilvl w:val="0"/>
                <w:numId w:val="15"/>
              </w:numPr>
              <w:ind w:left="360"/>
              <w:rPr>
                <w:b w:val="0"/>
                <w:kern w:val="2"/>
                <w:sz w:val="20"/>
              </w:rPr>
            </w:pPr>
            <w:r w:rsidRPr="006F29F5">
              <w:rPr>
                <w:b w:val="0"/>
                <w:kern w:val="2"/>
                <w:sz w:val="20"/>
              </w:rPr>
              <w:t>Customer Information Orders (CICA Sections 32 and 37): Orders may be issued requiring a financial institution to provide any customer information it has relating to the person specified in the order if the specified person is subject to an investigation in the requesting country, if the investigation concerns serious criminal conduct, if the conduct meets dual criminality, and if the order is sought for the purposes of the investigation. A customer information order has effect regardless of any restrictions on the disclosure of information that would otherwise apply.</w:t>
            </w:r>
          </w:p>
          <w:p w14:paraId="72522DBA" w14:textId="77777777" w:rsidR="00610DAE" w:rsidRPr="006F29F5" w:rsidRDefault="00610DAE" w:rsidP="00610DAE">
            <w:pPr>
              <w:pStyle w:val="ListParagraph"/>
              <w:numPr>
                <w:ilvl w:val="0"/>
                <w:numId w:val="15"/>
              </w:numPr>
              <w:ind w:left="360"/>
              <w:rPr>
                <w:b w:val="0"/>
                <w:kern w:val="2"/>
                <w:sz w:val="20"/>
              </w:rPr>
            </w:pPr>
            <w:r w:rsidRPr="006F29F5">
              <w:rPr>
                <w:b w:val="0"/>
                <w:kern w:val="2"/>
                <w:sz w:val="20"/>
              </w:rPr>
              <w:t>Account Monitoring Orders (CICA Sections 35 and 40): Orders may be issued requiring a financial institution specified in the application to provide account information of the description specified in the order and at the time and in the manner specified if there is a criminal investigation in the requesting country and if the order is sought for the purposes of the investigation. It is an offense under U.K. law to tip off customers that an account monitoring order has been received by a financial institution. The monitoring period may not exceed 90 days.</w:t>
            </w:r>
          </w:p>
          <w:p w14:paraId="55B13D91" w14:textId="77777777" w:rsidR="00610DAE" w:rsidRPr="006F29F5" w:rsidRDefault="00610DAE" w:rsidP="00610DAE">
            <w:pPr>
              <w:pStyle w:val="ListParagraph"/>
              <w:numPr>
                <w:ilvl w:val="0"/>
                <w:numId w:val="15"/>
              </w:numPr>
              <w:ind w:left="360"/>
              <w:rPr>
                <w:b w:val="0"/>
                <w:kern w:val="2"/>
                <w:sz w:val="20"/>
              </w:rPr>
            </w:pPr>
            <w:r w:rsidRPr="006F29F5">
              <w:rPr>
                <w:b w:val="0"/>
                <w:kern w:val="2"/>
                <w:sz w:val="20"/>
              </w:rPr>
              <w:t>Interception of Telecommunication: This measure is available only to parties of the EU Convention on Mutual Legal Assistance in Criminal Matters.</w:t>
            </w:r>
          </w:p>
          <w:p w14:paraId="0B93CD67" w14:textId="77777777" w:rsidR="00610DAE" w:rsidRPr="006F29F5" w:rsidRDefault="00610DAE" w:rsidP="00610DAE">
            <w:pPr>
              <w:autoSpaceDE w:val="0"/>
              <w:autoSpaceDN w:val="0"/>
              <w:adjustRightInd w:val="0"/>
              <w:ind w:left="720"/>
              <w:rPr>
                <w:rFonts w:cs="Times New Roman"/>
                <w:b/>
                <w:bCs/>
                <w:kern w:val="2"/>
                <w:sz w:val="20"/>
              </w:rPr>
            </w:pPr>
            <w:r w:rsidRPr="006F29F5">
              <w:rPr>
                <w:rFonts w:cs="Times New Roman"/>
                <w:b/>
                <w:bCs/>
                <w:kern w:val="2"/>
                <w:sz w:val="20"/>
              </w:rPr>
              <w:t>C.3. Access to Information Covered by Banking or Professional Secrecy</w:t>
            </w:r>
          </w:p>
          <w:p w14:paraId="403BA735" w14:textId="77777777" w:rsidR="00610DAE" w:rsidRPr="006F29F5" w:rsidRDefault="00610DAE" w:rsidP="00610DAE">
            <w:pPr>
              <w:pStyle w:val="ListParagraph"/>
              <w:numPr>
                <w:ilvl w:val="0"/>
                <w:numId w:val="16"/>
              </w:numPr>
              <w:ind w:left="360"/>
              <w:rPr>
                <w:b w:val="0"/>
                <w:kern w:val="2"/>
                <w:sz w:val="20"/>
              </w:rPr>
            </w:pPr>
            <w:r w:rsidRPr="006F29F5">
              <w:rPr>
                <w:b w:val="0"/>
                <w:kern w:val="2"/>
                <w:sz w:val="20"/>
              </w:rPr>
              <w:t>Customer or account information orders pursuant to CICA Sections 32, 37, 35, and 40 have effect regardless of any restrictions on the disclosure of information that would otherwise apply. Therefore, they may also be used to obtain information covered by banking secrecy.</w:t>
            </w:r>
          </w:p>
          <w:p w14:paraId="7548DF06" w14:textId="1FBF777B" w:rsidR="00610DAE" w:rsidRPr="00610DAE" w:rsidRDefault="00610DAE" w:rsidP="00610DAE">
            <w:pPr>
              <w:pStyle w:val="ListParagraph"/>
              <w:numPr>
                <w:ilvl w:val="0"/>
                <w:numId w:val="16"/>
              </w:numPr>
              <w:ind w:left="360"/>
              <w:rPr>
                <w:b w:val="0"/>
                <w:kern w:val="2"/>
                <w:sz w:val="20"/>
              </w:rPr>
            </w:pPr>
            <w:r w:rsidRPr="006F29F5">
              <w:rPr>
                <w:b w:val="0"/>
                <w:kern w:val="2"/>
                <w:sz w:val="20"/>
              </w:rPr>
              <w:t>Information covered by legal privilege is protected and may not be subject to search and seizing warrants.</w:t>
            </w:r>
          </w:p>
        </w:tc>
      </w:tr>
      <w:tr w:rsidR="004837E4" w:rsidRPr="006F29F5" w14:paraId="3D673DC6" w14:textId="77777777" w:rsidTr="00041541">
        <w:trPr>
          <w:jc w:val="center"/>
        </w:trPr>
        <w:tc>
          <w:tcPr>
            <w:tcW w:w="9576" w:type="dxa"/>
            <w:shd w:val="clear" w:color="auto" w:fill="D9D9D9" w:themeFill="background1" w:themeFillShade="D9"/>
          </w:tcPr>
          <w:p w14:paraId="25F9FC2E" w14:textId="77777777" w:rsidR="004837E4" w:rsidRPr="006F29F5" w:rsidRDefault="004837E4" w:rsidP="00041541">
            <w:pPr>
              <w:autoSpaceDE w:val="0"/>
              <w:autoSpaceDN w:val="0"/>
              <w:adjustRightInd w:val="0"/>
              <w:spacing w:before="120"/>
              <w:rPr>
                <w:rFonts w:cs="Times New Roman"/>
                <w:b/>
                <w:bCs/>
                <w:iCs/>
                <w:kern w:val="2"/>
                <w:sz w:val="20"/>
              </w:rPr>
            </w:pPr>
            <w:r w:rsidRPr="006F29F5">
              <w:rPr>
                <w:rFonts w:cs="Times New Roman"/>
                <w:b/>
                <w:bCs/>
                <w:iCs/>
                <w:kern w:val="2"/>
                <w:sz w:val="20"/>
              </w:rPr>
              <w:t>Provisional Measures (Freezing, Seizing, and Restraint Orders)</w:t>
            </w:r>
          </w:p>
          <w:p w14:paraId="024C276A" w14:textId="77777777" w:rsidR="004837E4" w:rsidRPr="006F29F5" w:rsidRDefault="004837E4" w:rsidP="00041541">
            <w:pPr>
              <w:autoSpaceDE w:val="0"/>
              <w:autoSpaceDN w:val="0"/>
              <w:adjustRightInd w:val="0"/>
              <w:ind w:left="720"/>
              <w:rPr>
                <w:rFonts w:cs="Times New Roman"/>
                <w:b/>
                <w:bCs/>
                <w:kern w:val="2"/>
                <w:sz w:val="20"/>
              </w:rPr>
            </w:pPr>
            <w:r w:rsidRPr="006F29F5">
              <w:rPr>
                <w:rFonts w:cs="Times New Roman"/>
                <w:b/>
                <w:bCs/>
                <w:kern w:val="2"/>
                <w:sz w:val="20"/>
              </w:rPr>
              <w:t>C.4. Direct Enforcement of Foreign Freezing and Seizing Orders</w:t>
            </w:r>
          </w:p>
          <w:p w14:paraId="3E90B18C" w14:textId="77777777" w:rsidR="004837E4" w:rsidRPr="006F29F5" w:rsidRDefault="004837E4" w:rsidP="00041541">
            <w:pPr>
              <w:pStyle w:val="ListParagraph"/>
              <w:numPr>
                <w:ilvl w:val="0"/>
                <w:numId w:val="17"/>
              </w:numPr>
              <w:ind w:left="360"/>
              <w:rPr>
                <w:b w:val="0"/>
                <w:kern w:val="2"/>
                <w:sz w:val="20"/>
              </w:rPr>
            </w:pPr>
            <w:r w:rsidRPr="006F29F5">
              <w:rPr>
                <w:kern w:val="2"/>
                <w:sz w:val="20"/>
              </w:rPr>
              <w:t>Legal basis:</w:t>
            </w:r>
            <w:r w:rsidRPr="006F29F5">
              <w:rPr>
                <w:b w:val="0"/>
                <w:kern w:val="2"/>
                <w:sz w:val="20"/>
              </w:rPr>
              <w:t xml:space="preserve"> Foreign freezing orders are executed through CICA Sections 17 and 18.</w:t>
            </w:r>
          </w:p>
          <w:p w14:paraId="4FF82FDD" w14:textId="77777777" w:rsidR="004837E4" w:rsidRPr="006F29F5" w:rsidRDefault="004837E4" w:rsidP="00041541">
            <w:pPr>
              <w:pStyle w:val="ListParagraph"/>
              <w:numPr>
                <w:ilvl w:val="0"/>
                <w:numId w:val="17"/>
              </w:numPr>
              <w:ind w:left="360"/>
              <w:rPr>
                <w:b w:val="0"/>
                <w:kern w:val="2"/>
                <w:sz w:val="20"/>
              </w:rPr>
            </w:pPr>
            <w:r w:rsidRPr="006F29F5">
              <w:rPr>
                <w:kern w:val="2"/>
                <w:sz w:val="20"/>
              </w:rPr>
              <w:t>Procedure:</w:t>
            </w:r>
            <w:r w:rsidRPr="006F29F5">
              <w:rPr>
                <w:b w:val="0"/>
                <w:kern w:val="2"/>
                <w:sz w:val="20"/>
              </w:rPr>
              <w:t xml:space="preserve"> Direct application of foreign freezing orders through a decision by the territorial authority for the part of the United Kingdom in which the evidence to which the order relates is situated. Only orders relating to criminal proceedings or investigations for an offense listed in the CICA may be directly applicable. The court may decide not to give effect to a foreign freezing order that would be incompatible with the rights under the Human Rights Act 1998 or if the person whose conduct is in question, if he was charged under the law of the requesting state or the United Kingdom, would be entitled to be discharged based on a previous acquittal or conviction.</w:t>
            </w:r>
          </w:p>
          <w:p w14:paraId="7F510042" w14:textId="77777777" w:rsidR="004837E4" w:rsidRPr="006F29F5" w:rsidRDefault="004837E4" w:rsidP="00041541">
            <w:pPr>
              <w:autoSpaceDE w:val="0"/>
              <w:autoSpaceDN w:val="0"/>
              <w:adjustRightInd w:val="0"/>
              <w:spacing w:before="0"/>
              <w:ind w:left="720"/>
              <w:jc w:val="left"/>
              <w:rPr>
                <w:rFonts w:cs="Times New Roman"/>
                <w:b/>
                <w:bCs/>
                <w:kern w:val="2"/>
                <w:sz w:val="20"/>
              </w:rPr>
            </w:pPr>
            <w:r w:rsidRPr="006F29F5">
              <w:rPr>
                <w:rFonts w:cs="Times New Roman"/>
                <w:b/>
                <w:bCs/>
                <w:kern w:val="2"/>
                <w:sz w:val="20"/>
              </w:rPr>
              <w:t>C.5. Issuance of Domestic Provisional Measures upon Request by a Foreign Jurisdiction</w:t>
            </w:r>
          </w:p>
          <w:p w14:paraId="6183CF0C" w14:textId="77777777" w:rsidR="004837E4" w:rsidRPr="006F29F5" w:rsidRDefault="004837E4" w:rsidP="00041541">
            <w:pPr>
              <w:pStyle w:val="ListParagraph"/>
              <w:numPr>
                <w:ilvl w:val="0"/>
                <w:numId w:val="18"/>
              </w:numPr>
              <w:ind w:left="360"/>
              <w:rPr>
                <w:b w:val="0"/>
                <w:kern w:val="2"/>
                <w:sz w:val="20"/>
              </w:rPr>
            </w:pPr>
            <w:r w:rsidRPr="006F29F5">
              <w:rPr>
                <w:kern w:val="2"/>
                <w:sz w:val="20"/>
              </w:rPr>
              <w:t>Legal basis:</w:t>
            </w:r>
            <w:r w:rsidRPr="006F29F5">
              <w:rPr>
                <w:b w:val="0"/>
                <w:kern w:val="2"/>
                <w:sz w:val="20"/>
              </w:rPr>
              <w:t xml:space="preserve"> POC Articles 8, 58, and 95.</w:t>
            </w:r>
          </w:p>
          <w:p w14:paraId="18AAEEEE" w14:textId="77777777" w:rsidR="004837E4" w:rsidRPr="006F29F5" w:rsidRDefault="004837E4" w:rsidP="00041541">
            <w:pPr>
              <w:pStyle w:val="ListParagraph"/>
              <w:numPr>
                <w:ilvl w:val="0"/>
                <w:numId w:val="18"/>
              </w:numPr>
              <w:ind w:left="360"/>
              <w:rPr>
                <w:b w:val="0"/>
                <w:kern w:val="2"/>
                <w:sz w:val="20"/>
              </w:rPr>
            </w:pPr>
            <w:r w:rsidRPr="006F29F5">
              <w:rPr>
                <w:kern w:val="2"/>
                <w:sz w:val="20"/>
              </w:rPr>
              <w:t>Procedure:</w:t>
            </w:r>
            <w:r w:rsidRPr="006F29F5">
              <w:rPr>
                <w:b w:val="0"/>
                <w:kern w:val="2"/>
                <w:sz w:val="20"/>
              </w:rPr>
              <w:t xml:space="preserve"> Countries may apply for issuance of a restraint order by the Crown Court.</w:t>
            </w:r>
          </w:p>
          <w:p w14:paraId="709CE5B1" w14:textId="77777777" w:rsidR="004837E4" w:rsidRPr="006F29F5" w:rsidRDefault="004837E4" w:rsidP="00041541">
            <w:pPr>
              <w:pStyle w:val="ListParagraph"/>
              <w:numPr>
                <w:ilvl w:val="0"/>
                <w:numId w:val="18"/>
              </w:numPr>
              <w:ind w:left="360"/>
              <w:rPr>
                <w:b w:val="0"/>
                <w:kern w:val="2"/>
                <w:sz w:val="20"/>
              </w:rPr>
            </w:pPr>
            <w:r w:rsidRPr="006F29F5">
              <w:rPr>
                <w:kern w:val="2"/>
                <w:sz w:val="20"/>
              </w:rPr>
              <w:t>Evidentiary requirements:</w:t>
            </w:r>
            <w:r w:rsidRPr="006F29F5">
              <w:rPr>
                <w:b w:val="0"/>
                <w:kern w:val="2"/>
                <w:sz w:val="20"/>
              </w:rPr>
              <w:t xml:space="preserve"> An order may be issued if a criminal investigation has been started in the requesting country or proceedings for an offense have been initiated and not concluded in the requesting country and if there is reasonable cause to believe that the alleged off ender named in the request has benefited from his criminal conduct. The POC provides for the seizing order to extend to any “realizable property,” which is defined to include any free property held by the defendant or by the recipient of a tainted gift.</w:t>
            </w:r>
          </w:p>
          <w:p w14:paraId="4E24B135" w14:textId="77777777" w:rsidR="004837E4" w:rsidRPr="006F29F5" w:rsidRDefault="004837E4" w:rsidP="00041541">
            <w:pPr>
              <w:pStyle w:val="ListParagraph"/>
              <w:numPr>
                <w:ilvl w:val="0"/>
                <w:numId w:val="18"/>
              </w:numPr>
              <w:ind w:left="360"/>
              <w:rPr>
                <w:b w:val="0"/>
                <w:kern w:val="2"/>
                <w:sz w:val="20"/>
              </w:rPr>
            </w:pPr>
            <w:r w:rsidRPr="006F29F5">
              <w:rPr>
                <w:bCs/>
                <w:kern w:val="2"/>
                <w:sz w:val="20"/>
              </w:rPr>
              <w:t>Time limit:</w:t>
            </w:r>
            <w:r w:rsidRPr="006F29F5">
              <w:rPr>
                <w:b w:val="0"/>
                <w:bCs/>
                <w:kern w:val="2"/>
                <w:sz w:val="20"/>
              </w:rPr>
              <w:t xml:space="preserve"> </w:t>
            </w:r>
            <w:r w:rsidRPr="006F29F5">
              <w:rPr>
                <w:b w:val="0"/>
                <w:kern w:val="2"/>
                <w:sz w:val="20"/>
              </w:rPr>
              <w:t>A restraint order remains in force until it is discharged by a further order of the court on the application of either the U.K. authorities or any person affected by the order. The court must discharge the order if at the conclusion of the foreign proceedings no external confiscation order is made or if the external order is not registered for enforcement within a reasonable time.</w:t>
            </w:r>
          </w:p>
          <w:p w14:paraId="70AF2C79" w14:textId="77777777" w:rsidR="004837E4" w:rsidRPr="006F29F5" w:rsidRDefault="004837E4" w:rsidP="00041541">
            <w:pPr>
              <w:autoSpaceDE w:val="0"/>
              <w:autoSpaceDN w:val="0"/>
              <w:adjustRightInd w:val="0"/>
              <w:rPr>
                <w:rFonts w:cs="Times New Roman"/>
                <w:b/>
                <w:bCs/>
                <w:iCs/>
                <w:kern w:val="2"/>
                <w:sz w:val="20"/>
              </w:rPr>
            </w:pPr>
            <w:r w:rsidRPr="006F29F5">
              <w:rPr>
                <w:rFonts w:cs="Times New Roman"/>
                <w:b/>
                <w:bCs/>
                <w:iCs/>
                <w:kern w:val="2"/>
                <w:sz w:val="20"/>
              </w:rPr>
              <w:t>Confiscation</w:t>
            </w:r>
          </w:p>
          <w:p w14:paraId="0B49FF38" w14:textId="77777777" w:rsidR="004837E4" w:rsidRPr="006F29F5" w:rsidRDefault="004837E4" w:rsidP="00041541">
            <w:pPr>
              <w:autoSpaceDE w:val="0"/>
              <w:autoSpaceDN w:val="0"/>
              <w:adjustRightInd w:val="0"/>
              <w:ind w:left="720"/>
              <w:rPr>
                <w:rFonts w:cs="Times New Roman"/>
                <w:b/>
                <w:bCs/>
                <w:kern w:val="2"/>
                <w:sz w:val="20"/>
              </w:rPr>
            </w:pPr>
            <w:r w:rsidRPr="006F29F5">
              <w:rPr>
                <w:rFonts w:cs="Times New Roman"/>
                <w:b/>
                <w:bCs/>
                <w:kern w:val="2"/>
                <w:sz w:val="20"/>
              </w:rPr>
              <w:t>C.6. Enforcement of Foreign Confiscation Orders</w:t>
            </w:r>
          </w:p>
          <w:p w14:paraId="30D0B221" w14:textId="77777777" w:rsidR="004837E4" w:rsidRPr="006F29F5" w:rsidRDefault="004837E4" w:rsidP="00041541">
            <w:pPr>
              <w:pStyle w:val="ListParagraph"/>
              <w:numPr>
                <w:ilvl w:val="0"/>
                <w:numId w:val="19"/>
              </w:numPr>
              <w:ind w:left="360"/>
              <w:rPr>
                <w:b w:val="0"/>
                <w:kern w:val="2"/>
                <w:sz w:val="20"/>
              </w:rPr>
            </w:pPr>
            <w:r w:rsidRPr="006F29F5">
              <w:rPr>
                <w:kern w:val="2"/>
                <w:sz w:val="20"/>
              </w:rPr>
              <w:t>Legal basis:</w:t>
            </w:r>
            <w:r w:rsidRPr="006F29F5">
              <w:rPr>
                <w:b w:val="0"/>
                <w:kern w:val="2"/>
                <w:sz w:val="20"/>
              </w:rPr>
              <w:t xml:space="preserve"> POC Articles 21, 68, and 107.</w:t>
            </w:r>
          </w:p>
          <w:p w14:paraId="514E6AF6" w14:textId="77777777" w:rsidR="004837E4" w:rsidRPr="006F29F5" w:rsidRDefault="004837E4" w:rsidP="00041541">
            <w:pPr>
              <w:pStyle w:val="ListParagraph"/>
              <w:numPr>
                <w:ilvl w:val="0"/>
                <w:numId w:val="19"/>
              </w:numPr>
              <w:ind w:left="360"/>
              <w:rPr>
                <w:b w:val="0"/>
                <w:kern w:val="2"/>
                <w:sz w:val="20"/>
              </w:rPr>
            </w:pPr>
            <w:r w:rsidRPr="006F29F5">
              <w:rPr>
                <w:kern w:val="2"/>
                <w:sz w:val="20"/>
              </w:rPr>
              <w:t>Procedure:</w:t>
            </w:r>
            <w:r w:rsidRPr="006F29F5">
              <w:rPr>
                <w:b w:val="0"/>
                <w:kern w:val="2"/>
                <w:sz w:val="20"/>
              </w:rPr>
              <w:t xml:space="preserve"> Foreign conviction-based confiscation orders may be registered and subsequently directly enforced in the United Kingdom if the Crown Court is satisfied that the conditions of the POC are met.</w:t>
            </w:r>
          </w:p>
          <w:p w14:paraId="486A4A71" w14:textId="77777777" w:rsidR="004837E4" w:rsidRPr="006F29F5" w:rsidRDefault="004837E4" w:rsidP="00041541">
            <w:pPr>
              <w:pStyle w:val="ListParagraph"/>
              <w:numPr>
                <w:ilvl w:val="0"/>
                <w:numId w:val="19"/>
              </w:numPr>
              <w:ind w:left="360"/>
              <w:rPr>
                <w:b w:val="0"/>
                <w:kern w:val="2"/>
                <w:sz w:val="20"/>
              </w:rPr>
            </w:pPr>
            <w:r w:rsidRPr="006F29F5">
              <w:rPr>
                <w:kern w:val="2"/>
                <w:sz w:val="20"/>
              </w:rPr>
              <w:t>Evidentiary requirements:</w:t>
            </w:r>
            <w:r w:rsidRPr="006F29F5">
              <w:rPr>
                <w:b w:val="0"/>
                <w:kern w:val="2"/>
                <w:sz w:val="20"/>
              </w:rPr>
              <w:t xml:space="preserve"> A foreign confiscation order may be executed if it was made based on a conviction, if it is in force and final, if giving effect to the order will not violate any rights of the Human Rights Act of 1998, and if the property specified in the order is not subject to a charge under U.K. law.</w:t>
            </w:r>
          </w:p>
          <w:p w14:paraId="30B69A2F" w14:textId="77777777" w:rsidR="004837E4" w:rsidRPr="006F29F5" w:rsidRDefault="004837E4" w:rsidP="00041541">
            <w:pPr>
              <w:autoSpaceDE w:val="0"/>
              <w:autoSpaceDN w:val="0"/>
              <w:adjustRightInd w:val="0"/>
              <w:ind w:left="720"/>
              <w:rPr>
                <w:rFonts w:cs="Times New Roman"/>
                <w:b/>
                <w:bCs/>
                <w:kern w:val="2"/>
                <w:sz w:val="20"/>
              </w:rPr>
            </w:pPr>
            <w:r w:rsidRPr="006F29F5">
              <w:rPr>
                <w:rFonts w:cs="Times New Roman"/>
                <w:b/>
                <w:bCs/>
                <w:kern w:val="2"/>
                <w:sz w:val="20"/>
              </w:rPr>
              <w:t>C.7. Applicability of Non-Conviction Based Asset Forfeiture Orders</w:t>
            </w:r>
          </w:p>
          <w:p w14:paraId="6845BB56" w14:textId="77777777" w:rsidR="004837E4" w:rsidRPr="006F29F5" w:rsidRDefault="004837E4" w:rsidP="00041541">
            <w:pPr>
              <w:pStyle w:val="ListParagraph"/>
              <w:numPr>
                <w:ilvl w:val="0"/>
                <w:numId w:val="20"/>
              </w:numPr>
              <w:ind w:left="360"/>
              <w:rPr>
                <w:b w:val="0"/>
                <w:kern w:val="2"/>
                <w:sz w:val="20"/>
              </w:rPr>
            </w:pPr>
            <w:r w:rsidRPr="006F29F5">
              <w:rPr>
                <w:b w:val="0"/>
                <w:kern w:val="2"/>
                <w:sz w:val="20"/>
              </w:rPr>
              <w:t>POC Articles 143 ff. allow for the registration and implementation of (civil) forfeiture orders. Article 147 permits an application for a property freezing order to preserve property so that it is available to satisfy an external order enforced in the United Kingdom by means of civil recovery.</w:t>
            </w:r>
          </w:p>
          <w:p w14:paraId="5630D045" w14:textId="77777777" w:rsidR="004837E4" w:rsidRPr="006F29F5" w:rsidRDefault="004837E4" w:rsidP="00041541">
            <w:pPr>
              <w:autoSpaceDE w:val="0"/>
              <w:autoSpaceDN w:val="0"/>
              <w:adjustRightInd w:val="0"/>
              <w:ind w:left="720"/>
              <w:rPr>
                <w:rFonts w:cs="Times New Roman"/>
                <w:b/>
                <w:bCs/>
                <w:kern w:val="2"/>
                <w:sz w:val="20"/>
              </w:rPr>
            </w:pPr>
            <w:r w:rsidRPr="006F29F5">
              <w:rPr>
                <w:rFonts w:cs="Times New Roman"/>
                <w:b/>
                <w:bCs/>
                <w:kern w:val="2"/>
                <w:sz w:val="20"/>
              </w:rPr>
              <w:t>C.8. Confiscation of Legitimate Assets Equivalent in Value to Illicit Proceeds</w:t>
            </w:r>
          </w:p>
          <w:p w14:paraId="29B2D4D7" w14:textId="77777777" w:rsidR="004837E4" w:rsidRPr="006F29F5" w:rsidRDefault="004837E4" w:rsidP="00041541">
            <w:pPr>
              <w:pStyle w:val="ListParagraph"/>
              <w:numPr>
                <w:ilvl w:val="0"/>
                <w:numId w:val="20"/>
              </w:numPr>
              <w:ind w:left="360"/>
              <w:rPr>
                <w:b w:val="0"/>
                <w:kern w:val="2"/>
                <w:sz w:val="20"/>
              </w:rPr>
            </w:pPr>
            <w:r w:rsidRPr="006F29F5">
              <w:rPr>
                <w:b w:val="0"/>
                <w:kern w:val="2"/>
                <w:sz w:val="20"/>
              </w:rPr>
              <w:t>Criminal confiscation in the United Kingdom is value-based, that is, the defendant’s proceeds of crime are calculated as a value and the defendant is then ordered to pay that amount. There-fore, equivalent-value confiscation is possible.</w:t>
            </w:r>
          </w:p>
          <w:p w14:paraId="4C9BF38D" w14:textId="77777777" w:rsidR="004837E4" w:rsidRPr="006F29F5" w:rsidRDefault="004837E4" w:rsidP="00041541">
            <w:pPr>
              <w:autoSpaceDE w:val="0"/>
              <w:autoSpaceDN w:val="0"/>
              <w:adjustRightInd w:val="0"/>
              <w:rPr>
                <w:rFonts w:cs="Times New Roman"/>
                <w:b/>
                <w:bCs/>
                <w:iCs/>
                <w:kern w:val="2"/>
                <w:sz w:val="20"/>
              </w:rPr>
            </w:pPr>
            <w:r w:rsidRPr="006F29F5">
              <w:rPr>
                <w:rFonts w:cs="Times New Roman"/>
                <w:b/>
                <w:bCs/>
                <w:iCs/>
                <w:kern w:val="2"/>
                <w:sz w:val="20"/>
              </w:rPr>
              <w:t>D. Types of Informal Assistance</w:t>
            </w:r>
          </w:p>
          <w:p w14:paraId="15DB51F3" w14:textId="77777777" w:rsidR="004837E4" w:rsidRPr="006F29F5" w:rsidRDefault="004837E4" w:rsidP="00041541">
            <w:pPr>
              <w:pStyle w:val="ListParagraph"/>
              <w:numPr>
                <w:ilvl w:val="0"/>
                <w:numId w:val="20"/>
              </w:numPr>
              <w:rPr>
                <w:b w:val="0"/>
                <w:kern w:val="2"/>
                <w:sz w:val="20"/>
              </w:rPr>
            </w:pPr>
            <w:r w:rsidRPr="006F29F5">
              <w:rPr>
                <w:b w:val="0"/>
                <w:kern w:val="2"/>
                <w:sz w:val="20"/>
              </w:rPr>
              <w:t>Informal assistance may be provided by the police; the Serious Organized Crime Agency (FIU) (</w:t>
            </w:r>
            <w:hyperlink r:id="rId31" w:history="1">
              <w:r w:rsidRPr="006F29F5">
                <w:rPr>
                  <w:rStyle w:val="Hyperlink"/>
                  <w:b w:val="0"/>
                  <w:kern w:val="2"/>
                  <w:sz w:val="20"/>
                </w:rPr>
                <w:t>http://www.soca.gov.uk/</w:t>
              </w:r>
            </w:hyperlink>
            <w:r w:rsidRPr="006F29F5">
              <w:rPr>
                <w:b w:val="0"/>
                <w:kern w:val="2"/>
                <w:sz w:val="20"/>
              </w:rPr>
              <w:t>), and the Financial Services Authority (</w:t>
            </w:r>
            <w:hyperlink r:id="rId32" w:history="1">
              <w:r w:rsidRPr="006F29F5">
                <w:rPr>
                  <w:rStyle w:val="Hyperlink"/>
                  <w:b w:val="0"/>
                  <w:kern w:val="2"/>
                  <w:sz w:val="20"/>
                </w:rPr>
                <w:t>http://www.fsa.gov.uk/</w:t>
              </w:r>
            </w:hyperlink>
            <w:r w:rsidRPr="006F29F5">
              <w:rPr>
                <w:b w:val="0"/>
                <w:kern w:val="2"/>
                <w:sz w:val="20"/>
              </w:rPr>
              <w:t>).</w:t>
            </w:r>
          </w:p>
          <w:p w14:paraId="19E39612" w14:textId="77777777" w:rsidR="004837E4" w:rsidRPr="006F29F5" w:rsidRDefault="004837E4" w:rsidP="00610DAE">
            <w:pPr>
              <w:pStyle w:val="ListParagraph"/>
              <w:numPr>
                <w:ilvl w:val="0"/>
                <w:numId w:val="20"/>
              </w:numPr>
              <w:spacing w:after="240"/>
              <w:rPr>
                <w:b w:val="0"/>
                <w:kern w:val="2"/>
                <w:sz w:val="20"/>
              </w:rPr>
            </w:pPr>
            <w:r w:rsidRPr="006F29F5">
              <w:rPr>
                <w:b w:val="0"/>
                <w:kern w:val="2"/>
                <w:sz w:val="20"/>
              </w:rPr>
              <w:t>The United Kingdom has attaché offices in France, Italy, Pakistan, Spain, and the United States.</w:t>
            </w:r>
            <w:r w:rsidRPr="006F29F5">
              <w:rPr>
                <w:rStyle w:val="FootnoteReference"/>
                <w:rFonts w:cs="Times New Roman"/>
                <w:b w:val="0"/>
                <w:kern w:val="2"/>
                <w:sz w:val="20"/>
              </w:rPr>
              <w:footnoteReference w:id="116"/>
            </w:r>
          </w:p>
          <w:p w14:paraId="1354F5D2" w14:textId="4B00EC42" w:rsidR="004837E4" w:rsidRPr="006F29F5" w:rsidRDefault="004837E4" w:rsidP="00610DAE">
            <w:pPr>
              <w:pStyle w:val="ExcerptMarker"/>
              <w:spacing w:before="0" w:after="0"/>
              <w:rPr>
                <w:kern w:val="2"/>
                <w:sz w:val="16"/>
              </w:rPr>
            </w:pPr>
            <w:r w:rsidRPr="006F29F5">
              <w:rPr>
                <w:kern w:val="2"/>
                <w:sz w:val="16"/>
              </w:rPr>
              <w:t>End of Excerpt</w:t>
            </w:r>
          </w:p>
        </w:tc>
      </w:tr>
    </w:tbl>
    <w:p w14:paraId="6593472B" w14:textId="77777777" w:rsidR="004837E4" w:rsidRPr="006F29F5" w:rsidRDefault="004837E4" w:rsidP="00211034">
      <w:pPr>
        <w:autoSpaceDE w:val="0"/>
        <w:autoSpaceDN w:val="0"/>
        <w:adjustRightInd w:val="0"/>
        <w:rPr>
          <w:rFonts w:cs="Times New Roman"/>
          <w:kern w:val="2"/>
          <w:sz w:val="20"/>
        </w:rPr>
      </w:pPr>
    </w:p>
    <w:p w14:paraId="47D9CA4B" w14:textId="77777777" w:rsidR="004837E4" w:rsidRPr="006F29F5" w:rsidRDefault="004837E4">
      <w:pPr>
        <w:spacing w:before="0" w:after="200" w:line="276" w:lineRule="auto"/>
        <w:jc w:val="left"/>
        <w:rPr>
          <w:rFonts w:cs="Times New Roman"/>
          <w:kern w:val="2"/>
          <w:sz w:val="20"/>
        </w:rPr>
      </w:pPr>
      <w:r w:rsidRPr="006F29F5">
        <w:rPr>
          <w:rFonts w:cs="Times New Roman"/>
          <w:kern w:val="2"/>
          <w:sz w:val="20"/>
        </w:rPr>
        <w:br w:type="page"/>
      </w:r>
    </w:p>
    <w:p w14:paraId="308D1DFB" w14:textId="5E1E34BB" w:rsidR="004C664D" w:rsidRDefault="009E574F" w:rsidP="00211034">
      <w:pPr>
        <w:autoSpaceDE w:val="0"/>
        <w:autoSpaceDN w:val="0"/>
        <w:adjustRightInd w:val="0"/>
        <w:rPr>
          <w:rFonts w:cs="Times New Roman"/>
          <w:kern w:val="2"/>
          <w:sz w:val="20"/>
        </w:rPr>
      </w:pPr>
      <w:r w:rsidRPr="006F29F5">
        <w:rPr>
          <w:rFonts w:cs="Times New Roman"/>
          <w:kern w:val="2"/>
          <w:sz w:val="20"/>
        </w:rPr>
        <w:t>The following is an e</w:t>
      </w:r>
      <w:r w:rsidR="004C664D" w:rsidRPr="006F29F5">
        <w:rPr>
          <w:rFonts w:cs="Times New Roman"/>
          <w:kern w:val="2"/>
          <w:sz w:val="20"/>
        </w:rPr>
        <w:t>xcerpt from a 2009 publication by the Basel I</w:t>
      </w:r>
      <w:r w:rsidRPr="006F29F5">
        <w:rPr>
          <w:rFonts w:cs="Times New Roman"/>
          <w:kern w:val="2"/>
          <w:sz w:val="20"/>
        </w:rPr>
        <w:t>nstitute on Governance entitled</w:t>
      </w:r>
      <w:r w:rsidR="004C664D" w:rsidRPr="006F29F5">
        <w:rPr>
          <w:rFonts w:cs="Times New Roman"/>
          <w:kern w:val="2"/>
          <w:sz w:val="20"/>
        </w:rPr>
        <w:t xml:space="preserve"> </w:t>
      </w:r>
      <w:r w:rsidR="004C664D" w:rsidRPr="006F29F5">
        <w:rPr>
          <w:rFonts w:cs="Times New Roman"/>
          <w:i/>
          <w:kern w:val="2"/>
          <w:sz w:val="20"/>
        </w:rPr>
        <w:t>Tracing Stolen Assets: A Practitioner's Handbook</w:t>
      </w:r>
      <w:r w:rsidR="00F77E7F" w:rsidRPr="006F29F5">
        <w:rPr>
          <w:rFonts w:cs="Times New Roman"/>
          <w:kern w:val="2"/>
          <w:sz w:val="20"/>
        </w:rPr>
        <w:t>:</w:t>
      </w:r>
      <w:r w:rsidR="004C664D" w:rsidRPr="006F29F5">
        <w:rPr>
          <w:rStyle w:val="FootnoteReference"/>
          <w:rFonts w:cs="Times New Roman"/>
          <w:kern w:val="2"/>
          <w:sz w:val="20"/>
        </w:rPr>
        <w:footnoteReference w:id="117"/>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D76103" w14:paraId="54BF4241" w14:textId="77777777" w:rsidTr="00D76103">
        <w:tc>
          <w:tcPr>
            <w:tcW w:w="8070" w:type="dxa"/>
            <w:tcBorders>
              <w:top w:val="nil"/>
              <w:left w:val="nil"/>
              <w:bottom w:val="nil"/>
              <w:right w:val="nil"/>
            </w:tcBorders>
            <w:shd w:val="clear" w:color="auto" w:fill="D9D9D9" w:themeFill="background1" w:themeFillShade="D9"/>
          </w:tcPr>
          <w:p w14:paraId="1223219E" w14:textId="77777777" w:rsidR="00D76103" w:rsidRPr="006F29F5" w:rsidRDefault="00D76103" w:rsidP="00D76103">
            <w:pPr>
              <w:pStyle w:val="ExcerptMarker"/>
              <w:spacing w:before="0"/>
              <w:rPr>
                <w:kern w:val="2"/>
                <w:sz w:val="16"/>
              </w:rPr>
            </w:pPr>
            <w:r w:rsidRPr="006F29F5">
              <w:rPr>
                <w:kern w:val="2"/>
                <w:sz w:val="16"/>
              </w:rPr>
              <w:t>Beginning of Excerpt</w:t>
            </w:r>
          </w:p>
          <w:p w14:paraId="68CD55A1" w14:textId="77777777" w:rsidR="00D76103" w:rsidRPr="006F29F5" w:rsidRDefault="00D76103" w:rsidP="00D76103">
            <w:pPr>
              <w:autoSpaceDE w:val="0"/>
              <w:autoSpaceDN w:val="0"/>
              <w:adjustRightInd w:val="0"/>
              <w:rPr>
                <w:rFonts w:cs="Times New Roman"/>
                <w:b/>
                <w:bCs/>
                <w:kern w:val="2"/>
                <w:sz w:val="20"/>
              </w:rPr>
            </w:pPr>
            <w:r w:rsidRPr="006F29F5">
              <w:rPr>
                <w:rFonts w:cs="Times New Roman"/>
                <w:b/>
                <w:bCs/>
                <w:kern w:val="2"/>
                <w:sz w:val="20"/>
              </w:rPr>
              <w:t xml:space="preserve">II. </w:t>
            </w:r>
            <w:r w:rsidRPr="006F29F5">
              <w:rPr>
                <w:rFonts w:cs="Times New Roman"/>
                <w:b/>
                <w:bCs/>
                <w:smallCaps/>
                <w:kern w:val="2"/>
                <w:sz w:val="20"/>
              </w:rPr>
              <w:t>Freezing Orders</w:t>
            </w:r>
          </w:p>
          <w:p w14:paraId="285AFA46" w14:textId="77777777" w:rsidR="00D76103" w:rsidRPr="006F29F5" w:rsidRDefault="00D76103" w:rsidP="00D76103">
            <w:pPr>
              <w:autoSpaceDE w:val="0"/>
              <w:autoSpaceDN w:val="0"/>
              <w:adjustRightInd w:val="0"/>
              <w:rPr>
                <w:rFonts w:cs="Times New Roman"/>
                <w:b/>
                <w:bCs/>
                <w:kern w:val="2"/>
                <w:sz w:val="20"/>
              </w:rPr>
            </w:pPr>
            <w:r w:rsidRPr="006F29F5">
              <w:rPr>
                <w:rFonts w:cs="Times New Roman"/>
                <w:b/>
                <w:bCs/>
                <w:kern w:val="2"/>
                <w:sz w:val="20"/>
              </w:rPr>
              <w:t>1. Background</w:t>
            </w:r>
          </w:p>
          <w:p w14:paraId="454021C7" w14:textId="77777777" w:rsidR="00D76103" w:rsidRPr="006F29F5" w:rsidRDefault="00D76103" w:rsidP="00D76103">
            <w:pPr>
              <w:autoSpaceDE w:val="0"/>
              <w:autoSpaceDN w:val="0"/>
              <w:adjustRightInd w:val="0"/>
              <w:rPr>
                <w:rFonts w:cs="Times New Roman"/>
                <w:i/>
                <w:iCs/>
                <w:kern w:val="2"/>
                <w:sz w:val="20"/>
              </w:rPr>
            </w:pPr>
            <w:r w:rsidRPr="006F29F5">
              <w:rPr>
                <w:rFonts w:cs="Times New Roman"/>
                <w:kern w:val="2"/>
                <w:sz w:val="20"/>
              </w:rPr>
              <w:t xml:space="preserve">The order takes its name from </w:t>
            </w:r>
            <w:proofErr w:type="spellStart"/>
            <w:r w:rsidRPr="006F29F5">
              <w:rPr>
                <w:rFonts w:cs="Times New Roman"/>
                <w:i/>
                <w:iCs/>
                <w:kern w:val="2"/>
                <w:sz w:val="20"/>
              </w:rPr>
              <w:t>Mareva</w:t>
            </w:r>
            <w:proofErr w:type="spellEnd"/>
            <w:r w:rsidRPr="006F29F5">
              <w:rPr>
                <w:rFonts w:cs="Times New Roman"/>
                <w:i/>
                <w:iCs/>
                <w:kern w:val="2"/>
                <w:sz w:val="20"/>
              </w:rPr>
              <w:t xml:space="preserve"> </w:t>
            </w:r>
            <w:proofErr w:type="spellStart"/>
            <w:r w:rsidRPr="006F29F5">
              <w:rPr>
                <w:rFonts w:cs="Times New Roman"/>
                <w:i/>
                <w:iCs/>
                <w:kern w:val="2"/>
                <w:sz w:val="20"/>
              </w:rPr>
              <w:t>Compania</w:t>
            </w:r>
            <w:proofErr w:type="spellEnd"/>
            <w:r w:rsidRPr="006F29F5">
              <w:rPr>
                <w:rFonts w:cs="Times New Roman"/>
                <w:i/>
                <w:iCs/>
                <w:kern w:val="2"/>
                <w:sz w:val="20"/>
              </w:rPr>
              <w:t xml:space="preserve"> </w:t>
            </w:r>
            <w:proofErr w:type="spellStart"/>
            <w:r w:rsidRPr="006F29F5">
              <w:rPr>
                <w:rFonts w:cs="Times New Roman"/>
                <w:i/>
                <w:iCs/>
                <w:kern w:val="2"/>
                <w:sz w:val="20"/>
              </w:rPr>
              <w:t>Naviera</w:t>
            </w:r>
            <w:proofErr w:type="spellEnd"/>
            <w:r w:rsidRPr="006F29F5">
              <w:rPr>
                <w:rFonts w:cs="Times New Roman"/>
                <w:i/>
                <w:iCs/>
                <w:kern w:val="2"/>
                <w:sz w:val="20"/>
              </w:rPr>
              <w:t xml:space="preserve"> S.A. v International </w:t>
            </w:r>
            <w:proofErr w:type="spellStart"/>
            <w:r w:rsidRPr="006F29F5">
              <w:rPr>
                <w:rFonts w:cs="Times New Roman"/>
                <w:i/>
                <w:iCs/>
                <w:kern w:val="2"/>
                <w:sz w:val="20"/>
              </w:rPr>
              <w:t>Bulkcarriers</w:t>
            </w:r>
            <w:proofErr w:type="spellEnd"/>
            <w:r w:rsidRPr="006F29F5">
              <w:rPr>
                <w:rFonts w:cs="Times New Roman"/>
                <w:i/>
                <w:iCs/>
                <w:kern w:val="2"/>
                <w:sz w:val="20"/>
              </w:rPr>
              <w:t xml:space="preserve"> S.A. </w:t>
            </w:r>
            <w:r w:rsidRPr="006F29F5">
              <w:rPr>
                <w:rFonts w:cs="Times New Roman"/>
                <w:kern w:val="2"/>
                <w:sz w:val="20"/>
              </w:rPr>
              <w:t>[1975] 2 Lloyd’s Rep. 509. The Civil Procedure Rules now refer to it as a freezing injunction (CPR 25.1(1</w:t>
            </w:r>
            <w:proofErr w:type="gramStart"/>
            <w:r w:rsidRPr="006F29F5">
              <w:rPr>
                <w:rFonts w:cs="Times New Roman"/>
                <w:kern w:val="2"/>
                <w:sz w:val="20"/>
              </w:rPr>
              <w:t>)(</w:t>
            </w:r>
            <w:proofErr w:type="gramEnd"/>
            <w:r w:rsidRPr="006F29F5">
              <w:rPr>
                <w:rFonts w:cs="Times New Roman"/>
                <w:kern w:val="2"/>
                <w:sz w:val="20"/>
              </w:rPr>
              <w:t>f)). It developed as a form of recourse against foreign-based defendants with assets within the UK and consequently the early authorities assumed that the injunction was not available against English-based defendants. In the same vein an early judicial guideline for the grant of the order required claimants to establish a risk of the removal of assets from the jurisdiction.</w:t>
            </w:r>
          </w:p>
          <w:p w14:paraId="485C9AAC" w14:textId="77777777" w:rsidR="00D76103" w:rsidRPr="006F29F5" w:rsidRDefault="00D76103" w:rsidP="00D76103">
            <w:pPr>
              <w:autoSpaceDE w:val="0"/>
              <w:autoSpaceDN w:val="0"/>
              <w:adjustRightInd w:val="0"/>
              <w:rPr>
                <w:rFonts w:cs="Times New Roman"/>
                <w:kern w:val="2"/>
                <w:sz w:val="20"/>
              </w:rPr>
            </w:pPr>
            <w:r w:rsidRPr="006F29F5">
              <w:rPr>
                <w:rFonts w:cs="Times New Roman"/>
                <w:kern w:val="2"/>
                <w:sz w:val="20"/>
              </w:rPr>
              <w:t xml:space="preserve">Section 37(3) of the Supreme Court Act 1981 now provides that the injunction may be granted to prevent defendants from removing from the jurisdiction ‘or otherwise dealing with’ the assets. Section 37 forms the basis of the jurisdiction for granting freezing injunctions ‘in all cases in which it appears to the court to be just and convenient to do so’. The Court of Appeal held in </w:t>
            </w:r>
            <w:proofErr w:type="spellStart"/>
            <w:r w:rsidRPr="006F29F5">
              <w:rPr>
                <w:rFonts w:cs="Times New Roman"/>
                <w:i/>
                <w:iCs/>
                <w:kern w:val="2"/>
                <w:sz w:val="20"/>
              </w:rPr>
              <w:t>Babanaft</w:t>
            </w:r>
            <w:proofErr w:type="spellEnd"/>
            <w:r w:rsidRPr="006F29F5">
              <w:rPr>
                <w:rFonts w:cs="Times New Roman"/>
                <w:i/>
                <w:iCs/>
                <w:kern w:val="2"/>
                <w:sz w:val="20"/>
              </w:rPr>
              <w:t xml:space="preserve"> International Co. S.A. v</w:t>
            </w:r>
            <w:r w:rsidRPr="006F29F5">
              <w:rPr>
                <w:rFonts w:cs="Times New Roman"/>
                <w:kern w:val="2"/>
                <w:sz w:val="20"/>
              </w:rPr>
              <w:t xml:space="preserve"> </w:t>
            </w:r>
            <w:proofErr w:type="spellStart"/>
            <w:r w:rsidRPr="006F29F5">
              <w:rPr>
                <w:rFonts w:cs="Times New Roman"/>
                <w:i/>
                <w:iCs/>
                <w:kern w:val="2"/>
                <w:sz w:val="20"/>
              </w:rPr>
              <w:t>Bassatne</w:t>
            </w:r>
            <w:proofErr w:type="spellEnd"/>
            <w:r w:rsidRPr="006F29F5">
              <w:rPr>
                <w:rFonts w:cs="Times New Roman"/>
                <w:i/>
                <w:iCs/>
                <w:kern w:val="2"/>
                <w:sz w:val="20"/>
              </w:rPr>
              <w:t xml:space="preserve"> </w:t>
            </w:r>
            <w:r w:rsidRPr="006F29F5">
              <w:rPr>
                <w:rFonts w:cs="Times New Roman"/>
                <w:kern w:val="2"/>
                <w:sz w:val="20"/>
              </w:rPr>
              <w:t>[1990] Ch. 13 that the wording of subsection 3 did not restrict the scope, geographical or otherwise, of s.37(1). The Civil Procedure Rules currently provide that the injunction may be granted in relation to assets ‘whether located within the jurisdiction or not’ (CPR 25.1(1</w:t>
            </w:r>
            <w:proofErr w:type="gramStart"/>
            <w:r w:rsidRPr="006F29F5">
              <w:rPr>
                <w:rFonts w:cs="Times New Roman"/>
                <w:kern w:val="2"/>
                <w:sz w:val="20"/>
              </w:rPr>
              <w:t>)(</w:t>
            </w:r>
            <w:proofErr w:type="gramEnd"/>
            <w:r w:rsidRPr="006F29F5">
              <w:rPr>
                <w:rFonts w:cs="Times New Roman"/>
                <w:kern w:val="2"/>
                <w:sz w:val="20"/>
              </w:rPr>
              <w:t>f)).</w:t>
            </w:r>
          </w:p>
          <w:p w14:paraId="12A5264B" w14:textId="77777777" w:rsidR="00D76103" w:rsidRPr="006F29F5" w:rsidRDefault="00D76103" w:rsidP="00D76103">
            <w:pPr>
              <w:autoSpaceDE w:val="0"/>
              <w:autoSpaceDN w:val="0"/>
              <w:adjustRightInd w:val="0"/>
              <w:rPr>
                <w:rFonts w:cs="Times New Roman"/>
                <w:b/>
                <w:bCs/>
                <w:kern w:val="2"/>
                <w:sz w:val="20"/>
              </w:rPr>
            </w:pPr>
            <w:r w:rsidRPr="006F29F5">
              <w:rPr>
                <w:rFonts w:cs="Times New Roman"/>
                <w:b/>
                <w:bCs/>
                <w:kern w:val="2"/>
                <w:sz w:val="20"/>
              </w:rPr>
              <w:t>2. Purpose and effect</w:t>
            </w:r>
          </w:p>
          <w:p w14:paraId="12A811CB" w14:textId="2844F736" w:rsidR="00D76103" w:rsidRDefault="00D76103" w:rsidP="00D76103">
            <w:pPr>
              <w:autoSpaceDE w:val="0"/>
              <w:autoSpaceDN w:val="0"/>
              <w:adjustRightInd w:val="0"/>
              <w:spacing w:after="0"/>
              <w:rPr>
                <w:rFonts w:cs="Times New Roman"/>
                <w:kern w:val="2"/>
                <w:sz w:val="20"/>
              </w:rPr>
            </w:pPr>
            <w:r w:rsidRPr="006F29F5">
              <w:rPr>
                <w:rFonts w:cs="Times New Roman"/>
                <w:kern w:val="2"/>
                <w:sz w:val="20"/>
              </w:rPr>
              <w:t>A freezing order prohibits D from unjustifiably dissipating his assets within the jurisdiction so that there are insufficient or no assets left to satisfy a judgment against him. To preserve assets pending enforcement, a freezing order can also be obtained post-judgment. If D has insufficient assets within the jurisdiction to meet the quantum of C’s claim, the court can gr</w:t>
            </w:r>
            <w:r>
              <w:rPr>
                <w:rFonts w:cs="Times New Roman"/>
                <w:kern w:val="2"/>
                <w:sz w:val="20"/>
              </w:rPr>
              <w:t>ant a worldwide freezing order.</w:t>
            </w:r>
          </w:p>
        </w:tc>
      </w:tr>
    </w:tbl>
    <w:p w14:paraId="70955E49" w14:textId="77777777" w:rsidR="00D76103" w:rsidRPr="006F29F5" w:rsidRDefault="00D76103" w:rsidP="00211034">
      <w:pPr>
        <w:autoSpaceDE w:val="0"/>
        <w:autoSpaceDN w:val="0"/>
        <w:adjustRightInd w:val="0"/>
        <w:rPr>
          <w:rFonts w:cs="Times New Roman"/>
          <w:kern w:val="2"/>
          <w:sz w:val="20"/>
        </w:rPr>
      </w:pP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80"/>
      </w:tblGrid>
      <w:tr w:rsidR="00051AA7" w:rsidRPr="006F29F5" w14:paraId="533D896E" w14:textId="77777777" w:rsidTr="00D76103">
        <w:trPr>
          <w:jc w:val="center"/>
        </w:trPr>
        <w:tc>
          <w:tcPr>
            <w:tcW w:w="9360" w:type="dxa"/>
            <w:tcBorders>
              <w:top w:val="nil"/>
              <w:left w:val="nil"/>
              <w:bottom w:val="nil"/>
              <w:right w:val="nil"/>
            </w:tcBorders>
            <w:shd w:val="clear" w:color="auto" w:fill="D9D9D9" w:themeFill="background1" w:themeFillShade="D9"/>
          </w:tcPr>
          <w:p w14:paraId="6B45F6D1" w14:textId="77777777" w:rsidR="00051AA7" w:rsidRPr="006F29F5" w:rsidRDefault="00051AA7" w:rsidP="00D76103">
            <w:pPr>
              <w:autoSpaceDE w:val="0"/>
              <w:autoSpaceDN w:val="0"/>
              <w:adjustRightInd w:val="0"/>
              <w:spacing w:before="0"/>
              <w:rPr>
                <w:rFonts w:cs="Times New Roman"/>
                <w:b/>
                <w:bCs/>
                <w:kern w:val="2"/>
                <w:sz w:val="20"/>
              </w:rPr>
            </w:pPr>
            <w:r w:rsidRPr="006F29F5">
              <w:rPr>
                <w:rFonts w:cs="Times New Roman"/>
                <w:b/>
                <w:bCs/>
                <w:kern w:val="2"/>
                <w:sz w:val="20"/>
              </w:rPr>
              <w:t>3. Penal notice</w:t>
            </w:r>
          </w:p>
          <w:p w14:paraId="761AAD34" w14:textId="77777777" w:rsidR="00051AA7" w:rsidRPr="006F29F5" w:rsidRDefault="00051AA7" w:rsidP="00D76103">
            <w:pPr>
              <w:autoSpaceDE w:val="0"/>
              <w:autoSpaceDN w:val="0"/>
              <w:adjustRightInd w:val="0"/>
              <w:rPr>
                <w:rFonts w:cs="Times New Roman"/>
                <w:kern w:val="2"/>
                <w:sz w:val="20"/>
              </w:rPr>
            </w:pPr>
            <w:r w:rsidRPr="006F29F5">
              <w:rPr>
                <w:rFonts w:cs="Times New Roman"/>
                <w:kern w:val="2"/>
                <w:sz w:val="20"/>
              </w:rPr>
              <w:t>Freezing orders, as well as search orders, are endorsed with a Penal Notice, which warns that disobedience of it may be regarded as contempt of court the penalty for which may be imprisonment, a fine or seizure of assets. Contempt may extend to any third parties who are notified of the order and do anything which helps or permits a breach its terms. However, since the English court has no jurisdiction over third parties located abroad, the worldwide order has to be recognised, registered or enforced by the relevant foreign courts to be effective. This process is often described as ‘domesticating’ the English order.</w:t>
            </w:r>
          </w:p>
          <w:p w14:paraId="787398B3" w14:textId="77777777" w:rsidR="00051AA7" w:rsidRPr="006F29F5" w:rsidRDefault="00051AA7" w:rsidP="00D76103">
            <w:pPr>
              <w:autoSpaceDE w:val="0"/>
              <w:autoSpaceDN w:val="0"/>
              <w:adjustRightInd w:val="0"/>
              <w:rPr>
                <w:rFonts w:cs="Times New Roman"/>
                <w:kern w:val="2"/>
                <w:sz w:val="20"/>
              </w:rPr>
            </w:pPr>
            <w:r w:rsidRPr="006F29F5">
              <w:rPr>
                <w:rFonts w:cs="Times New Roman"/>
                <w:kern w:val="2"/>
                <w:sz w:val="20"/>
              </w:rPr>
              <w:t>The orders usually freeze assets up to a financial limit, calculated according the value of C’s claim with likely legal costs and interest taken in to account. D can deal with any ‘</w:t>
            </w:r>
            <w:r w:rsidRPr="006F29F5">
              <w:rPr>
                <w:rFonts w:cs="Times New Roman"/>
                <w:i/>
                <w:iCs/>
                <w:kern w:val="2"/>
                <w:sz w:val="20"/>
              </w:rPr>
              <w:t>surplus</w:t>
            </w:r>
            <w:r w:rsidRPr="006F29F5">
              <w:rPr>
                <w:rFonts w:cs="Times New Roman"/>
                <w:kern w:val="2"/>
                <w:sz w:val="20"/>
              </w:rPr>
              <w:t>’ assets that exceed the limit of the order as he sees fit. In addition payment of a sum equal to the value of the limit into court or providing security in that sum can discharge the freezing order.</w:t>
            </w:r>
          </w:p>
          <w:p w14:paraId="05B61220" w14:textId="77777777" w:rsidR="00051AA7" w:rsidRPr="006F29F5" w:rsidRDefault="00051AA7" w:rsidP="00D76103">
            <w:pPr>
              <w:autoSpaceDE w:val="0"/>
              <w:autoSpaceDN w:val="0"/>
              <w:adjustRightInd w:val="0"/>
              <w:rPr>
                <w:rFonts w:cs="Times New Roman"/>
                <w:kern w:val="2"/>
                <w:sz w:val="20"/>
              </w:rPr>
            </w:pPr>
            <w:r w:rsidRPr="006F29F5">
              <w:rPr>
                <w:rFonts w:cs="Times New Roman"/>
                <w:kern w:val="2"/>
                <w:sz w:val="20"/>
              </w:rPr>
              <w:t>A freezing order bites on the individual not his assets (</w:t>
            </w:r>
            <w:r w:rsidRPr="006F29F5">
              <w:rPr>
                <w:rFonts w:cs="Times New Roman"/>
                <w:i/>
                <w:iCs/>
                <w:kern w:val="2"/>
                <w:sz w:val="20"/>
              </w:rPr>
              <w:t xml:space="preserve">in </w:t>
            </w:r>
            <w:proofErr w:type="spellStart"/>
            <w:r w:rsidRPr="006F29F5">
              <w:rPr>
                <w:rFonts w:cs="Times New Roman"/>
                <w:i/>
                <w:iCs/>
                <w:kern w:val="2"/>
                <w:sz w:val="20"/>
              </w:rPr>
              <w:t>personam</w:t>
            </w:r>
            <w:proofErr w:type="spellEnd"/>
            <w:r w:rsidRPr="006F29F5">
              <w:rPr>
                <w:rFonts w:cs="Times New Roman"/>
                <w:kern w:val="2"/>
                <w:sz w:val="20"/>
              </w:rPr>
              <w:t>) and as such it does not grant any proprietary rights over the assets of D. It therefore does not confer on C any advantage in the event of D’s insolvency. However, the position is different where proprietary rights are claimed over frozen assets (see Proprietary Injunctions below). A freezing order is an interim measure and therefore the standard form of order permits D to draw on frozen assets to pay a ‘</w:t>
            </w:r>
            <w:r w:rsidRPr="006F29F5">
              <w:rPr>
                <w:rFonts w:cs="Times New Roman"/>
                <w:i/>
                <w:iCs/>
                <w:kern w:val="2"/>
                <w:sz w:val="20"/>
              </w:rPr>
              <w:t>reasonable sum</w:t>
            </w:r>
            <w:r w:rsidRPr="006F29F5">
              <w:rPr>
                <w:rFonts w:cs="Times New Roman"/>
                <w:kern w:val="2"/>
                <w:sz w:val="20"/>
              </w:rPr>
              <w:t>’ for legal expenses and to pay a pre-set sum (fixed by the court) to meet ordinary living expenses. C is given a measure of control over any increases in expenses in order to prevent D from depleting his assets improperly. For example any increase in expenses has to be agreed with C, or in the absence of agreement, approved by the court.</w:t>
            </w:r>
          </w:p>
          <w:p w14:paraId="34E21C49" w14:textId="77777777" w:rsidR="00051AA7" w:rsidRPr="006F29F5" w:rsidRDefault="00051AA7" w:rsidP="00D76103">
            <w:pPr>
              <w:autoSpaceDE w:val="0"/>
              <w:autoSpaceDN w:val="0"/>
              <w:adjustRightInd w:val="0"/>
              <w:rPr>
                <w:rFonts w:cs="Times New Roman"/>
                <w:b/>
                <w:bCs/>
                <w:kern w:val="2"/>
                <w:sz w:val="20"/>
              </w:rPr>
            </w:pPr>
            <w:r w:rsidRPr="006F29F5">
              <w:rPr>
                <w:rFonts w:cs="Times New Roman"/>
                <w:b/>
                <w:bCs/>
                <w:kern w:val="2"/>
                <w:sz w:val="20"/>
              </w:rPr>
              <w:t>4. Asset disclosure</w:t>
            </w:r>
          </w:p>
          <w:p w14:paraId="6163DB02" w14:textId="77777777" w:rsidR="00051AA7" w:rsidRPr="006F29F5" w:rsidRDefault="00051AA7" w:rsidP="00D76103">
            <w:pPr>
              <w:autoSpaceDE w:val="0"/>
              <w:autoSpaceDN w:val="0"/>
              <w:adjustRightInd w:val="0"/>
              <w:rPr>
                <w:rFonts w:cs="Times New Roman"/>
                <w:kern w:val="2"/>
                <w:sz w:val="20"/>
              </w:rPr>
            </w:pPr>
            <w:r w:rsidRPr="006F29F5">
              <w:rPr>
                <w:rFonts w:cs="Times New Roman"/>
                <w:kern w:val="2"/>
                <w:sz w:val="20"/>
              </w:rPr>
              <w:t xml:space="preserve">The standard freezing order requires D to give details of the value, location and details of assets within the jurisdiction or elsewhere, for a worldwide freezing order. This enables C to identify the whereabouts of the assets and notify third parties of the freezing order. D may refuse to provide some or all of this information if in providing it, he is likely to incriminate himself. The assertion of </w:t>
            </w:r>
            <w:proofErr w:type="spellStart"/>
            <w:r w:rsidRPr="006F29F5">
              <w:rPr>
                <w:rFonts w:cs="Times New Roman"/>
                <w:kern w:val="2"/>
                <w:sz w:val="20"/>
              </w:rPr>
              <w:t>self incrimination</w:t>
            </w:r>
            <w:proofErr w:type="spellEnd"/>
            <w:r w:rsidRPr="006F29F5">
              <w:rPr>
                <w:rFonts w:cs="Times New Roman"/>
                <w:kern w:val="2"/>
                <w:sz w:val="20"/>
              </w:rPr>
              <w:t xml:space="preserve"> privilege has been much curtailed in the United Kingdom (UK) by the Fraud Act 2006 – and in practical terms by the fact that reliance on the privilege is generally regarded as in effect an admission of liability. Forcing the fraudster defendant into an assertion of </w:t>
            </w:r>
            <w:proofErr w:type="spellStart"/>
            <w:r w:rsidRPr="006F29F5">
              <w:rPr>
                <w:rFonts w:cs="Times New Roman"/>
                <w:kern w:val="2"/>
                <w:sz w:val="20"/>
              </w:rPr>
              <w:t>self incrimination</w:t>
            </w:r>
            <w:proofErr w:type="spellEnd"/>
            <w:r w:rsidRPr="006F29F5">
              <w:rPr>
                <w:rFonts w:cs="Times New Roman"/>
                <w:kern w:val="2"/>
                <w:sz w:val="20"/>
              </w:rPr>
              <w:t xml:space="preserve"> privilege can be the first stage in victory for the claimant victim. Where there are concerns about the completeness of D’s disclosure on affidavit, C can apply to have D cross examined in relation to those assets. In addition, the court can grant orders requiring third parties (e.g., banks) to assist in identifying and locating assets and other relevant information.</w:t>
            </w:r>
          </w:p>
          <w:p w14:paraId="4ED5C84C" w14:textId="77777777" w:rsidR="00051AA7" w:rsidRPr="006F29F5" w:rsidRDefault="00051AA7" w:rsidP="00D76103">
            <w:pPr>
              <w:autoSpaceDE w:val="0"/>
              <w:autoSpaceDN w:val="0"/>
              <w:adjustRightInd w:val="0"/>
              <w:rPr>
                <w:rFonts w:cs="Times New Roman"/>
                <w:b/>
                <w:bCs/>
                <w:kern w:val="2"/>
                <w:sz w:val="20"/>
              </w:rPr>
            </w:pPr>
            <w:r w:rsidRPr="006F29F5">
              <w:rPr>
                <w:rFonts w:cs="Times New Roman"/>
                <w:b/>
                <w:bCs/>
                <w:kern w:val="2"/>
                <w:sz w:val="20"/>
              </w:rPr>
              <w:t>5. Application and requirements</w:t>
            </w:r>
          </w:p>
          <w:p w14:paraId="7A71ED03" w14:textId="77777777" w:rsidR="00051AA7" w:rsidRPr="006F29F5" w:rsidRDefault="00051AA7" w:rsidP="00D76103">
            <w:pPr>
              <w:autoSpaceDE w:val="0"/>
              <w:autoSpaceDN w:val="0"/>
              <w:adjustRightInd w:val="0"/>
              <w:rPr>
                <w:rFonts w:cs="Times New Roman"/>
                <w:kern w:val="2"/>
                <w:sz w:val="20"/>
              </w:rPr>
            </w:pPr>
            <w:r w:rsidRPr="006F29F5">
              <w:rPr>
                <w:rFonts w:cs="Times New Roman"/>
                <w:kern w:val="2"/>
                <w:sz w:val="20"/>
              </w:rPr>
              <w:t xml:space="preserve">The application to the court for a freezing order, as well as a search order, is almost invariably made </w:t>
            </w:r>
            <w:r w:rsidRPr="006F29F5">
              <w:rPr>
                <w:rFonts w:cs="Times New Roman"/>
                <w:i/>
                <w:iCs/>
                <w:kern w:val="2"/>
                <w:sz w:val="20"/>
              </w:rPr>
              <w:t xml:space="preserve">without notice </w:t>
            </w:r>
            <w:r w:rsidRPr="006F29F5">
              <w:rPr>
                <w:rFonts w:cs="Times New Roman"/>
                <w:kern w:val="2"/>
                <w:sz w:val="20"/>
              </w:rPr>
              <w:t>to D (</w:t>
            </w:r>
            <w:r w:rsidRPr="006F29F5">
              <w:rPr>
                <w:rFonts w:cs="Times New Roman"/>
                <w:i/>
                <w:iCs/>
                <w:kern w:val="2"/>
                <w:sz w:val="20"/>
              </w:rPr>
              <w:t>ex parte</w:t>
            </w:r>
            <w:r w:rsidRPr="006F29F5">
              <w:rPr>
                <w:rFonts w:cs="Times New Roman"/>
                <w:kern w:val="2"/>
                <w:sz w:val="20"/>
              </w:rPr>
              <w:t>). The first time that D learns about the order should be when he is personally served with it (see below for more detail about Service). This is done so as not to ‘</w:t>
            </w:r>
            <w:r w:rsidRPr="006F29F5">
              <w:rPr>
                <w:rFonts w:cs="Times New Roman"/>
                <w:i/>
                <w:iCs/>
                <w:kern w:val="2"/>
                <w:sz w:val="20"/>
              </w:rPr>
              <w:t>tip off</w:t>
            </w:r>
            <w:r w:rsidRPr="006F29F5">
              <w:rPr>
                <w:rFonts w:cs="Times New Roman"/>
                <w:kern w:val="2"/>
                <w:sz w:val="20"/>
              </w:rPr>
              <w:t>’ D and T about C’s intention to commence proceedings or to take any legal steps to secure assets and/or evidence. The court may decide not to grant a freezing order if D has had notice of C’s intentions because ‘</w:t>
            </w:r>
            <w:r w:rsidRPr="006F29F5">
              <w:rPr>
                <w:rFonts w:cs="Times New Roman"/>
                <w:i/>
                <w:iCs/>
                <w:kern w:val="2"/>
                <w:sz w:val="20"/>
              </w:rPr>
              <w:t>the</w:t>
            </w:r>
            <w:r w:rsidRPr="006F29F5">
              <w:rPr>
                <w:rFonts w:cs="Times New Roman"/>
                <w:kern w:val="2"/>
                <w:sz w:val="20"/>
              </w:rPr>
              <w:t xml:space="preserve"> </w:t>
            </w:r>
            <w:r w:rsidRPr="006F29F5">
              <w:rPr>
                <w:rFonts w:cs="Times New Roman"/>
                <w:i/>
                <w:iCs/>
                <w:kern w:val="2"/>
                <w:sz w:val="20"/>
              </w:rPr>
              <w:t>court is unlikely to make orders which are futile</w:t>
            </w:r>
            <w:r w:rsidRPr="006F29F5">
              <w:rPr>
                <w:rFonts w:cs="Times New Roman"/>
                <w:kern w:val="2"/>
                <w:sz w:val="20"/>
              </w:rPr>
              <w:t>’ (</w:t>
            </w:r>
            <w:r w:rsidRPr="006F29F5">
              <w:rPr>
                <w:rFonts w:cs="Times New Roman"/>
                <w:i/>
                <w:iCs/>
                <w:kern w:val="2"/>
                <w:sz w:val="20"/>
              </w:rPr>
              <w:t>Oaktree Financial Services v</w:t>
            </w:r>
            <w:r w:rsidRPr="006F29F5">
              <w:rPr>
                <w:rFonts w:cs="Times New Roman"/>
                <w:kern w:val="2"/>
                <w:sz w:val="20"/>
              </w:rPr>
              <w:t xml:space="preserve"> </w:t>
            </w:r>
            <w:proofErr w:type="spellStart"/>
            <w:r w:rsidRPr="006F29F5">
              <w:rPr>
                <w:rFonts w:cs="Times New Roman"/>
                <w:i/>
                <w:iCs/>
                <w:kern w:val="2"/>
                <w:sz w:val="20"/>
              </w:rPr>
              <w:t>Higham</w:t>
            </w:r>
            <w:proofErr w:type="spellEnd"/>
            <w:r w:rsidRPr="006F29F5">
              <w:rPr>
                <w:rFonts w:cs="Times New Roman"/>
                <w:i/>
                <w:iCs/>
                <w:kern w:val="2"/>
                <w:sz w:val="20"/>
              </w:rPr>
              <w:t xml:space="preserve"> </w:t>
            </w:r>
            <w:r w:rsidRPr="006F29F5">
              <w:rPr>
                <w:rFonts w:cs="Times New Roman"/>
                <w:kern w:val="2"/>
                <w:sz w:val="20"/>
              </w:rPr>
              <w:t xml:space="preserve">[2004] EWHC 2098 </w:t>
            </w:r>
            <w:proofErr w:type="spellStart"/>
            <w:r w:rsidRPr="006F29F5">
              <w:rPr>
                <w:rFonts w:cs="Times New Roman"/>
                <w:kern w:val="2"/>
                <w:sz w:val="20"/>
              </w:rPr>
              <w:t>Ch</w:t>
            </w:r>
            <w:proofErr w:type="spellEnd"/>
            <w:r w:rsidRPr="006F29F5">
              <w:rPr>
                <w:rFonts w:cs="Times New Roman"/>
                <w:kern w:val="2"/>
                <w:sz w:val="20"/>
              </w:rPr>
              <w:t xml:space="preserve"> [10]).</w:t>
            </w:r>
          </w:p>
          <w:p w14:paraId="7F9E9162" w14:textId="77777777" w:rsidR="00051AA7" w:rsidRPr="006F29F5" w:rsidRDefault="00051AA7" w:rsidP="00D76103">
            <w:pPr>
              <w:autoSpaceDE w:val="0"/>
              <w:autoSpaceDN w:val="0"/>
              <w:adjustRightInd w:val="0"/>
              <w:rPr>
                <w:rFonts w:cs="Times New Roman"/>
                <w:b/>
                <w:bCs/>
                <w:kern w:val="2"/>
                <w:sz w:val="20"/>
              </w:rPr>
            </w:pPr>
            <w:r w:rsidRPr="006F29F5">
              <w:rPr>
                <w:rFonts w:cs="Times New Roman"/>
                <w:b/>
                <w:bCs/>
                <w:kern w:val="2"/>
                <w:sz w:val="20"/>
              </w:rPr>
              <w:t>6. Grounds</w:t>
            </w:r>
          </w:p>
          <w:p w14:paraId="013C6234" w14:textId="77777777" w:rsidR="00051AA7" w:rsidRPr="006F29F5" w:rsidRDefault="00051AA7" w:rsidP="00D76103">
            <w:pPr>
              <w:autoSpaceDE w:val="0"/>
              <w:autoSpaceDN w:val="0"/>
              <w:adjustRightInd w:val="0"/>
              <w:rPr>
                <w:rFonts w:cs="Times New Roman"/>
                <w:kern w:val="2"/>
                <w:sz w:val="20"/>
              </w:rPr>
            </w:pPr>
            <w:r w:rsidRPr="006F29F5">
              <w:rPr>
                <w:rFonts w:cs="Times New Roman"/>
                <w:kern w:val="2"/>
                <w:sz w:val="20"/>
              </w:rPr>
              <w:t>In order to obtain a freezing order, C needs to show:</w:t>
            </w:r>
          </w:p>
          <w:p w14:paraId="04901346" w14:textId="77777777" w:rsidR="00051AA7" w:rsidRPr="006F29F5" w:rsidRDefault="00051AA7" w:rsidP="00D76103">
            <w:pPr>
              <w:pStyle w:val="ListParagraph"/>
              <w:numPr>
                <w:ilvl w:val="0"/>
                <w:numId w:val="28"/>
              </w:numPr>
              <w:autoSpaceDE w:val="0"/>
              <w:autoSpaceDN w:val="0"/>
              <w:adjustRightInd w:val="0"/>
              <w:rPr>
                <w:rFonts w:cs="Times New Roman"/>
                <w:b w:val="0"/>
                <w:kern w:val="2"/>
                <w:sz w:val="20"/>
              </w:rPr>
            </w:pPr>
            <w:r w:rsidRPr="006F29F5">
              <w:rPr>
                <w:rFonts w:cs="Times New Roman"/>
                <w:b w:val="0"/>
                <w:kern w:val="2"/>
                <w:sz w:val="20"/>
              </w:rPr>
              <w:t>A good arguable case; and</w:t>
            </w:r>
          </w:p>
          <w:p w14:paraId="2640289E" w14:textId="77777777" w:rsidR="00051AA7" w:rsidRPr="006F29F5" w:rsidRDefault="00051AA7" w:rsidP="00D76103">
            <w:pPr>
              <w:pStyle w:val="ListParagraph"/>
              <w:numPr>
                <w:ilvl w:val="0"/>
                <w:numId w:val="28"/>
              </w:numPr>
              <w:autoSpaceDE w:val="0"/>
              <w:autoSpaceDN w:val="0"/>
              <w:adjustRightInd w:val="0"/>
              <w:rPr>
                <w:rFonts w:cs="Times New Roman"/>
                <w:b w:val="0"/>
                <w:kern w:val="2"/>
                <w:sz w:val="20"/>
              </w:rPr>
            </w:pPr>
            <w:r w:rsidRPr="006F29F5">
              <w:rPr>
                <w:rFonts w:cs="Times New Roman"/>
                <w:b w:val="0"/>
                <w:kern w:val="2"/>
                <w:sz w:val="20"/>
              </w:rPr>
              <w:t>A real risk of unjustifiable dissipation of assets; and</w:t>
            </w:r>
          </w:p>
          <w:p w14:paraId="0662FF9D" w14:textId="77777777" w:rsidR="00051AA7" w:rsidRPr="006F29F5" w:rsidRDefault="00051AA7" w:rsidP="00D76103">
            <w:pPr>
              <w:pStyle w:val="ListParagraph"/>
              <w:numPr>
                <w:ilvl w:val="0"/>
                <w:numId w:val="28"/>
              </w:numPr>
              <w:autoSpaceDE w:val="0"/>
              <w:autoSpaceDN w:val="0"/>
              <w:adjustRightInd w:val="0"/>
              <w:rPr>
                <w:rFonts w:cs="Times New Roman"/>
                <w:b w:val="0"/>
                <w:kern w:val="2"/>
                <w:sz w:val="20"/>
              </w:rPr>
            </w:pPr>
            <w:r w:rsidRPr="006F29F5">
              <w:rPr>
                <w:rFonts w:cs="Times New Roman"/>
                <w:b w:val="0"/>
                <w:kern w:val="2"/>
                <w:sz w:val="20"/>
              </w:rPr>
              <w:t>That the order is just and convenient in all the circumstances</w:t>
            </w:r>
          </w:p>
          <w:p w14:paraId="1EF4E5CB" w14:textId="77777777" w:rsidR="00051AA7" w:rsidRPr="006F29F5" w:rsidRDefault="00051AA7" w:rsidP="00D76103">
            <w:pPr>
              <w:autoSpaceDE w:val="0"/>
              <w:autoSpaceDN w:val="0"/>
              <w:adjustRightInd w:val="0"/>
              <w:rPr>
                <w:rFonts w:cs="Times New Roman"/>
                <w:kern w:val="2"/>
                <w:sz w:val="20"/>
              </w:rPr>
            </w:pPr>
            <w:r w:rsidRPr="006F29F5">
              <w:rPr>
                <w:rFonts w:cs="Times New Roman"/>
                <w:kern w:val="2"/>
                <w:sz w:val="20"/>
              </w:rPr>
              <w:t>The court will not automatically conclude that because D is alleged to be dishonest he cannot be trusted not to dissipate his assets. Careful consideration should therefore be given in the evidence to the profile and background of D.</w:t>
            </w:r>
          </w:p>
          <w:p w14:paraId="34205DF9" w14:textId="77777777" w:rsidR="00051AA7" w:rsidRPr="006F29F5" w:rsidRDefault="00051AA7" w:rsidP="00D76103">
            <w:pPr>
              <w:autoSpaceDE w:val="0"/>
              <w:autoSpaceDN w:val="0"/>
              <w:adjustRightInd w:val="0"/>
              <w:rPr>
                <w:rFonts w:cs="Times New Roman"/>
                <w:b/>
                <w:bCs/>
                <w:kern w:val="2"/>
                <w:sz w:val="20"/>
              </w:rPr>
            </w:pPr>
            <w:r w:rsidRPr="006F29F5">
              <w:rPr>
                <w:rFonts w:cs="Times New Roman"/>
                <w:b/>
                <w:bCs/>
                <w:kern w:val="2"/>
                <w:sz w:val="20"/>
              </w:rPr>
              <w:t>7. Cross-undertaking in damages</w:t>
            </w:r>
          </w:p>
          <w:p w14:paraId="58C1E4A5" w14:textId="77777777" w:rsidR="00051AA7" w:rsidRPr="006F29F5" w:rsidRDefault="00051AA7" w:rsidP="00D76103">
            <w:pPr>
              <w:autoSpaceDE w:val="0"/>
              <w:autoSpaceDN w:val="0"/>
              <w:adjustRightInd w:val="0"/>
              <w:rPr>
                <w:rFonts w:cs="Times New Roman"/>
                <w:kern w:val="2"/>
                <w:sz w:val="20"/>
              </w:rPr>
            </w:pPr>
            <w:r w:rsidRPr="006F29F5">
              <w:rPr>
                <w:rFonts w:cs="Times New Roman"/>
                <w:kern w:val="2"/>
                <w:sz w:val="20"/>
              </w:rPr>
              <w:t>The court will require C to give a ‘cross-undertaking in damages’ which is a promise to comply with any order that it may make if it decides that the freezing order caused loss to D and that D should be compensated for that loss. This may include provision of security to fortify the cross-undertaking in damages.</w:t>
            </w:r>
          </w:p>
          <w:p w14:paraId="216D8591" w14:textId="77777777" w:rsidR="00051AA7" w:rsidRPr="006F29F5" w:rsidRDefault="00051AA7" w:rsidP="00D76103">
            <w:pPr>
              <w:autoSpaceDE w:val="0"/>
              <w:autoSpaceDN w:val="0"/>
              <w:adjustRightInd w:val="0"/>
              <w:rPr>
                <w:rFonts w:cs="Times New Roman"/>
                <w:b/>
                <w:bCs/>
                <w:kern w:val="2"/>
                <w:sz w:val="20"/>
              </w:rPr>
            </w:pPr>
            <w:r w:rsidRPr="006F29F5">
              <w:rPr>
                <w:rFonts w:cs="Times New Roman"/>
                <w:b/>
                <w:bCs/>
                <w:kern w:val="2"/>
                <w:sz w:val="20"/>
              </w:rPr>
              <w:t>8. Full and frank disclosure</w:t>
            </w:r>
          </w:p>
          <w:p w14:paraId="758F982F" w14:textId="1F779612" w:rsidR="00051AA7" w:rsidRPr="00D76103" w:rsidRDefault="00051AA7" w:rsidP="00D76103">
            <w:pPr>
              <w:autoSpaceDE w:val="0"/>
              <w:autoSpaceDN w:val="0"/>
              <w:adjustRightInd w:val="0"/>
              <w:spacing w:after="0"/>
              <w:rPr>
                <w:rFonts w:cs="Times New Roman"/>
                <w:kern w:val="2"/>
                <w:sz w:val="20"/>
              </w:rPr>
            </w:pPr>
            <w:r w:rsidRPr="006F29F5">
              <w:rPr>
                <w:rFonts w:cs="Times New Roman"/>
                <w:kern w:val="2"/>
                <w:sz w:val="20"/>
              </w:rPr>
              <w:t xml:space="preserve">On a </w:t>
            </w:r>
            <w:r w:rsidRPr="006F29F5">
              <w:rPr>
                <w:rFonts w:cs="Times New Roman"/>
                <w:i/>
                <w:iCs/>
                <w:kern w:val="2"/>
                <w:sz w:val="20"/>
              </w:rPr>
              <w:t xml:space="preserve">without notice </w:t>
            </w:r>
            <w:r w:rsidRPr="006F29F5">
              <w:rPr>
                <w:rFonts w:cs="Times New Roman"/>
                <w:kern w:val="2"/>
                <w:sz w:val="20"/>
              </w:rPr>
              <w:t xml:space="preserve">application the court is being asked to grant a hugely intrusive order against D who has not had a chance to be heard. Therefore C and his lawyers must give full and fair disclosure of all the material facts, including what D is likely to argue in his defence, or against C, or any facts likely to be relied upon. If there has not been full and frank disclosure, there is a real risk that the </w:t>
            </w:r>
            <w:r w:rsidR="00D76103">
              <w:rPr>
                <w:rFonts w:cs="Times New Roman"/>
                <w:kern w:val="2"/>
                <w:sz w:val="20"/>
              </w:rPr>
              <w:t>court will set aside the order.</w:t>
            </w:r>
          </w:p>
        </w:tc>
      </w:tr>
      <w:tr w:rsidR="004837E4" w:rsidRPr="006F29F5" w14:paraId="2182001C" w14:textId="77777777" w:rsidTr="00D76103">
        <w:trPr>
          <w:jc w:val="center"/>
        </w:trPr>
        <w:tc>
          <w:tcPr>
            <w:tcW w:w="9360" w:type="dxa"/>
            <w:tcBorders>
              <w:top w:val="nil"/>
              <w:left w:val="nil"/>
              <w:bottom w:val="nil"/>
              <w:right w:val="nil"/>
            </w:tcBorders>
            <w:shd w:val="clear" w:color="auto" w:fill="D9D9D9" w:themeFill="background1" w:themeFillShade="D9"/>
          </w:tcPr>
          <w:p w14:paraId="5B75E2CF" w14:textId="77777777" w:rsidR="00D76103" w:rsidRPr="006F29F5" w:rsidRDefault="00D76103" w:rsidP="00D76103">
            <w:pPr>
              <w:autoSpaceDE w:val="0"/>
              <w:autoSpaceDN w:val="0"/>
              <w:adjustRightInd w:val="0"/>
              <w:spacing w:before="0"/>
              <w:rPr>
                <w:rFonts w:cs="Times New Roman"/>
                <w:b/>
                <w:bCs/>
                <w:kern w:val="2"/>
                <w:sz w:val="20"/>
              </w:rPr>
            </w:pPr>
            <w:r w:rsidRPr="006F29F5">
              <w:rPr>
                <w:rFonts w:cs="Times New Roman"/>
                <w:b/>
                <w:bCs/>
                <w:kern w:val="2"/>
                <w:sz w:val="20"/>
              </w:rPr>
              <w:t>9. Service</w:t>
            </w:r>
          </w:p>
          <w:p w14:paraId="548B0853" w14:textId="77777777" w:rsidR="00D76103" w:rsidRPr="006F29F5" w:rsidRDefault="00D76103" w:rsidP="00D76103">
            <w:pPr>
              <w:autoSpaceDE w:val="0"/>
              <w:autoSpaceDN w:val="0"/>
              <w:adjustRightInd w:val="0"/>
              <w:rPr>
                <w:rFonts w:cs="Times New Roman"/>
                <w:kern w:val="2"/>
                <w:sz w:val="20"/>
              </w:rPr>
            </w:pPr>
            <w:r w:rsidRPr="006F29F5">
              <w:rPr>
                <w:rFonts w:cs="Times New Roman"/>
                <w:kern w:val="2"/>
                <w:sz w:val="20"/>
              </w:rPr>
              <w:t>Personal service is usually a precondition to committal for contempt of court for a breach of an order endorsed with a penal notice. However, the court does have an inherent discretion to vary the requirements for personal service (RSC Order 45.7(7)).</w:t>
            </w:r>
          </w:p>
          <w:p w14:paraId="3160D96C" w14:textId="77777777" w:rsidR="00D76103" w:rsidRDefault="00D76103" w:rsidP="00D76103">
            <w:pPr>
              <w:autoSpaceDE w:val="0"/>
              <w:autoSpaceDN w:val="0"/>
              <w:adjustRightInd w:val="0"/>
              <w:rPr>
                <w:rFonts w:cs="Times New Roman"/>
                <w:kern w:val="2"/>
                <w:sz w:val="20"/>
              </w:rPr>
            </w:pPr>
            <w:r w:rsidRPr="006F29F5">
              <w:rPr>
                <w:rFonts w:cs="Times New Roman"/>
                <w:kern w:val="2"/>
                <w:sz w:val="20"/>
              </w:rPr>
              <w:t>Where relevant and possible, service should be effected simultaneously on D and the third party asset holders.</w:t>
            </w:r>
          </w:p>
          <w:p w14:paraId="42A16593" w14:textId="6B81D23B" w:rsidR="004837E4" w:rsidRPr="006F29F5" w:rsidRDefault="004837E4" w:rsidP="00D76103">
            <w:pPr>
              <w:autoSpaceDE w:val="0"/>
              <w:autoSpaceDN w:val="0"/>
              <w:adjustRightInd w:val="0"/>
              <w:rPr>
                <w:rFonts w:cs="Times New Roman"/>
                <w:b/>
                <w:bCs/>
                <w:kern w:val="2"/>
                <w:sz w:val="20"/>
              </w:rPr>
            </w:pPr>
            <w:r w:rsidRPr="006F29F5">
              <w:rPr>
                <w:rFonts w:cs="Times New Roman"/>
                <w:b/>
                <w:bCs/>
                <w:kern w:val="2"/>
                <w:sz w:val="20"/>
              </w:rPr>
              <w:t xml:space="preserve">III. </w:t>
            </w:r>
            <w:r w:rsidRPr="006F29F5">
              <w:rPr>
                <w:rFonts w:cs="Times New Roman"/>
                <w:b/>
                <w:bCs/>
                <w:smallCaps/>
                <w:kern w:val="2"/>
                <w:sz w:val="20"/>
              </w:rPr>
              <w:t>Proprietary injunctions</w:t>
            </w:r>
          </w:p>
          <w:p w14:paraId="44C280EF" w14:textId="77777777" w:rsidR="004837E4" w:rsidRPr="006F29F5" w:rsidRDefault="004837E4" w:rsidP="00D76103">
            <w:pPr>
              <w:autoSpaceDE w:val="0"/>
              <w:autoSpaceDN w:val="0"/>
              <w:adjustRightInd w:val="0"/>
              <w:rPr>
                <w:rFonts w:cs="Times New Roman"/>
                <w:kern w:val="2"/>
                <w:sz w:val="20"/>
              </w:rPr>
            </w:pPr>
            <w:r w:rsidRPr="006F29F5">
              <w:rPr>
                <w:rFonts w:cs="Times New Roman"/>
                <w:kern w:val="2"/>
                <w:sz w:val="20"/>
              </w:rPr>
              <w:t>If C contends that D is holding C’s property (which can include cash) or the traceable proceeds of his property (the ‘</w:t>
            </w:r>
            <w:r w:rsidRPr="006F29F5">
              <w:rPr>
                <w:rFonts w:cs="Times New Roman"/>
                <w:i/>
                <w:iCs/>
                <w:kern w:val="2"/>
                <w:sz w:val="20"/>
              </w:rPr>
              <w:t>proprietary assets</w:t>
            </w:r>
            <w:r w:rsidRPr="006F29F5">
              <w:rPr>
                <w:rFonts w:cs="Times New Roman"/>
                <w:kern w:val="2"/>
                <w:sz w:val="20"/>
              </w:rPr>
              <w:t>’) then the court can grant a proprietary freezing injunction. Its terms are typically more draconian than a standard (non-proprietary) freezing order and can restrain any dealings with the proprietary assets so that D cannot use them to pay for living or legal expenses. When applying for a proprietary injunction, C needs to show a good arguable case and that it is just and convenient that the order be granted. He does not need to establish a risk of dissipation, because the nature of C’s claim is that D is holding his assets or the proceeds of those assets. As a result the proprietary injunction does give C priority over D’s creditors on the asset pool.</w:t>
            </w:r>
          </w:p>
          <w:p w14:paraId="74D92411" w14:textId="77777777" w:rsidR="004837E4" w:rsidRPr="006F29F5" w:rsidRDefault="004837E4" w:rsidP="00D76103">
            <w:pPr>
              <w:autoSpaceDE w:val="0"/>
              <w:autoSpaceDN w:val="0"/>
              <w:adjustRightInd w:val="0"/>
              <w:rPr>
                <w:rFonts w:cs="Times New Roman"/>
                <w:b/>
                <w:bCs/>
                <w:kern w:val="2"/>
                <w:sz w:val="20"/>
              </w:rPr>
            </w:pPr>
            <w:r w:rsidRPr="006F29F5">
              <w:rPr>
                <w:rFonts w:cs="Times New Roman"/>
                <w:b/>
                <w:bCs/>
                <w:kern w:val="2"/>
                <w:sz w:val="20"/>
              </w:rPr>
              <w:t xml:space="preserve">IV. </w:t>
            </w:r>
            <w:r w:rsidRPr="006F29F5">
              <w:rPr>
                <w:rFonts w:cs="Times New Roman"/>
                <w:b/>
                <w:bCs/>
                <w:smallCaps/>
                <w:kern w:val="2"/>
                <w:sz w:val="20"/>
              </w:rPr>
              <w:t>Ancillary orders</w:t>
            </w:r>
          </w:p>
          <w:p w14:paraId="494998CF" w14:textId="77777777" w:rsidR="004837E4" w:rsidRPr="006F29F5" w:rsidRDefault="004837E4" w:rsidP="00D76103">
            <w:pPr>
              <w:autoSpaceDE w:val="0"/>
              <w:autoSpaceDN w:val="0"/>
              <w:adjustRightInd w:val="0"/>
              <w:rPr>
                <w:rFonts w:cs="Times New Roman"/>
                <w:kern w:val="2"/>
                <w:sz w:val="20"/>
              </w:rPr>
            </w:pPr>
            <w:r w:rsidRPr="006F29F5">
              <w:rPr>
                <w:rFonts w:cs="Times New Roman"/>
                <w:kern w:val="2"/>
                <w:sz w:val="20"/>
              </w:rPr>
              <w:t>The English courts have developed a number of orders to assist victims of fraud and corruption in their fight against those who attempt to delay and obfuscate. These include specific disclosure orders, which require disclosure of particular documents to help identify the nature and location of assets or passport orders requiring delivery up of all travel documents and prohibiting D from leaving the jurisdiction. A fraudster</w:t>
            </w:r>
            <w:r w:rsidRPr="006F29F5">
              <w:rPr>
                <w:rStyle w:val="FootnoteReference"/>
                <w:rFonts w:cs="Times New Roman"/>
                <w:kern w:val="2"/>
                <w:sz w:val="20"/>
              </w:rPr>
              <w:footnoteReference w:id="118"/>
            </w:r>
            <w:r w:rsidRPr="006F29F5">
              <w:rPr>
                <w:rFonts w:cs="Times New Roman"/>
                <w:kern w:val="2"/>
                <w:sz w:val="20"/>
              </w:rPr>
              <w:t xml:space="preserve"> suddenly deprived of the means of travel internationally is inevitably shocked by the severity of the civil court’s powers and it immediately impacts particularly if he is an overseas national who cannot return home or leave the UK during the currency of the asset disclosure process. Third party disclosure (</w:t>
            </w:r>
            <w:r w:rsidRPr="006F29F5">
              <w:rPr>
                <w:rFonts w:cs="Times New Roman"/>
                <w:i/>
                <w:iCs/>
                <w:kern w:val="2"/>
                <w:sz w:val="20"/>
              </w:rPr>
              <w:t xml:space="preserve">Norwich </w:t>
            </w:r>
            <w:proofErr w:type="spellStart"/>
            <w:r w:rsidRPr="006F29F5">
              <w:rPr>
                <w:rFonts w:cs="Times New Roman"/>
                <w:i/>
                <w:iCs/>
                <w:kern w:val="2"/>
                <w:sz w:val="20"/>
              </w:rPr>
              <w:t>Pharmacal</w:t>
            </w:r>
            <w:proofErr w:type="spellEnd"/>
            <w:r w:rsidRPr="006F29F5">
              <w:rPr>
                <w:rFonts w:cs="Times New Roman"/>
                <w:kern w:val="2"/>
                <w:sz w:val="20"/>
              </w:rPr>
              <w:t>) orders require third parties who are mixed up in the wrongdoing (whether innocently or not) to disclose information that will assist in the identification of wrongdoers, allow assets to be traced and to establish the validity of proprietary claims against third parties or tracing assets into the hands of third parties. Banks through which stolen funds are believed to have passed are an obvious target for such orders.</w:t>
            </w:r>
          </w:p>
          <w:p w14:paraId="27782820" w14:textId="77777777" w:rsidR="004837E4" w:rsidRPr="006F29F5" w:rsidRDefault="004837E4" w:rsidP="00D76103">
            <w:pPr>
              <w:autoSpaceDE w:val="0"/>
              <w:autoSpaceDN w:val="0"/>
              <w:adjustRightInd w:val="0"/>
              <w:rPr>
                <w:rFonts w:cs="Times New Roman"/>
                <w:kern w:val="2"/>
                <w:sz w:val="20"/>
              </w:rPr>
            </w:pPr>
            <w:r w:rsidRPr="006F29F5">
              <w:rPr>
                <w:rFonts w:cs="Times New Roman"/>
                <w:kern w:val="2"/>
                <w:sz w:val="20"/>
              </w:rPr>
              <w:t xml:space="preserve">In addition, third party freezing orders can be obtained against third parties but only where there is good reason for believing that assets ostensibly held by third parties are in reality D’s assets. This is known as the </w:t>
            </w:r>
            <w:proofErr w:type="spellStart"/>
            <w:r w:rsidRPr="006F29F5">
              <w:rPr>
                <w:rFonts w:cs="Times New Roman"/>
                <w:i/>
                <w:iCs/>
                <w:kern w:val="2"/>
                <w:sz w:val="20"/>
              </w:rPr>
              <w:t>Chabra</w:t>
            </w:r>
            <w:proofErr w:type="spellEnd"/>
            <w:r w:rsidRPr="006F29F5">
              <w:rPr>
                <w:rFonts w:cs="Times New Roman"/>
                <w:i/>
                <w:iCs/>
                <w:kern w:val="2"/>
                <w:sz w:val="20"/>
              </w:rPr>
              <w:t xml:space="preserve"> </w:t>
            </w:r>
            <w:r w:rsidRPr="006F29F5">
              <w:rPr>
                <w:rFonts w:cs="Times New Roman"/>
                <w:kern w:val="2"/>
                <w:sz w:val="20"/>
              </w:rPr>
              <w:t>jurisdiction. These orders are particularly useful where D has structured his affairs through sham trusts or other opaque vehicles so as to give the impression that he has no interest in the assets in question.</w:t>
            </w:r>
          </w:p>
          <w:p w14:paraId="47A80ED1" w14:textId="77777777" w:rsidR="004837E4" w:rsidRPr="006F29F5" w:rsidRDefault="004837E4" w:rsidP="00D76103">
            <w:pPr>
              <w:autoSpaceDE w:val="0"/>
              <w:autoSpaceDN w:val="0"/>
              <w:adjustRightInd w:val="0"/>
              <w:rPr>
                <w:rFonts w:cs="Times New Roman"/>
                <w:kern w:val="2"/>
                <w:sz w:val="20"/>
              </w:rPr>
            </w:pPr>
            <w:r w:rsidRPr="006F29F5">
              <w:rPr>
                <w:rFonts w:cs="Times New Roman"/>
                <w:kern w:val="2"/>
                <w:sz w:val="20"/>
              </w:rPr>
              <w:t>A critical weapon for the claimants is to be found in section 25 of the Civil Jurisdiction and Judgments Act 1982. Section 25 allows an English court to grant interim relief in aid of proceedings elsewhere. These are commonly invoked where assets are located in England, but D is located outside the jurisdiction, in the place where the substantive proceedings are being conducted. It is not necessary for foreign proceedings to have been commenced as long as they will be commenced. One can obtain relief in England – subject to demonstrating a sufficient geographical nexus – which cannot be obtained in the location of the substantive action.</w:t>
            </w:r>
          </w:p>
          <w:p w14:paraId="154D54CD" w14:textId="77777777" w:rsidR="004837E4" w:rsidRPr="006F29F5" w:rsidRDefault="004837E4" w:rsidP="00D76103">
            <w:pPr>
              <w:autoSpaceDE w:val="0"/>
              <w:autoSpaceDN w:val="0"/>
              <w:adjustRightInd w:val="0"/>
              <w:rPr>
                <w:rFonts w:cs="Times New Roman"/>
                <w:bCs/>
                <w:kern w:val="2"/>
                <w:sz w:val="20"/>
              </w:rPr>
            </w:pPr>
            <w:r w:rsidRPr="006F29F5">
              <w:rPr>
                <w:rFonts w:cs="Times New Roman"/>
                <w:bCs/>
                <w:kern w:val="2"/>
                <w:sz w:val="20"/>
              </w:rPr>
              <w:t>…</w:t>
            </w:r>
          </w:p>
          <w:p w14:paraId="52BAED06" w14:textId="77777777" w:rsidR="004837E4" w:rsidRPr="006F29F5" w:rsidRDefault="004837E4" w:rsidP="00D76103">
            <w:pPr>
              <w:autoSpaceDE w:val="0"/>
              <w:autoSpaceDN w:val="0"/>
              <w:adjustRightInd w:val="0"/>
              <w:rPr>
                <w:rFonts w:cs="Times New Roman"/>
                <w:b/>
                <w:bCs/>
                <w:kern w:val="2"/>
                <w:sz w:val="20"/>
              </w:rPr>
            </w:pPr>
            <w:r w:rsidRPr="006F29F5">
              <w:rPr>
                <w:rFonts w:cs="Times New Roman"/>
                <w:b/>
                <w:bCs/>
                <w:kern w:val="2"/>
                <w:sz w:val="20"/>
              </w:rPr>
              <w:t>3. General</w:t>
            </w:r>
          </w:p>
          <w:p w14:paraId="6823F3FE" w14:textId="77777777" w:rsidR="004837E4" w:rsidRPr="006F29F5" w:rsidRDefault="004837E4" w:rsidP="00D76103">
            <w:pPr>
              <w:autoSpaceDE w:val="0"/>
              <w:autoSpaceDN w:val="0"/>
              <w:adjustRightInd w:val="0"/>
              <w:rPr>
                <w:rFonts w:cs="Times New Roman"/>
                <w:kern w:val="2"/>
                <w:sz w:val="20"/>
              </w:rPr>
            </w:pPr>
            <w:r w:rsidRPr="006F29F5">
              <w:rPr>
                <w:rFonts w:cs="Times New Roman"/>
                <w:kern w:val="2"/>
                <w:sz w:val="20"/>
              </w:rPr>
              <w:t xml:space="preserve">As technology advances daily, the English Courts have shown themselves, time and again, to be adept and creative in assisting the victim claimant to recover the proceeds of fraud and corruption. The last years have seen an explosion of applications made under Section 25 Civil Jurisdiction and Judgment Acts (see section IV, last paragraph) – this enables the Courts on application without notice by the victim to utilise the panoply of weaponry available to the Court to assist a foreigner with jurisdiction in its pursuit of the fraudster or corrupt official. The dictator, the businessman, the ex-politician or the 419 crook against whom proceedings have been started or are about to be started in a host domestic state – wherever in the world that may be – can find themselves the subject of International Freezing and Tracing Order relief where proceedings are commenced in England on the basis that there is sufficient nexus with England and Wales to justify it. The nexus can be in terms of the location of property, perhaps a small shareholding in an operating company in which the defendant has a claimed beneficial interest, even if owned offshore but beneficially by him, or by the simple expedient of him being present in England and Wales at a particular time so that service upon him, </w:t>
            </w:r>
            <w:r w:rsidRPr="006F29F5">
              <w:rPr>
                <w:rFonts w:cs="Times New Roman"/>
                <w:i/>
                <w:iCs/>
                <w:kern w:val="2"/>
                <w:sz w:val="20"/>
              </w:rPr>
              <w:t xml:space="preserve">in </w:t>
            </w:r>
            <w:proofErr w:type="spellStart"/>
            <w:r w:rsidRPr="006F29F5">
              <w:rPr>
                <w:rFonts w:cs="Times New Roman"/>
                <w:i/>
                <w:iCs/>
                <w:kern w:val="2"/>
                <w:sz w:val="20"/>
              </w:rPr>
              <w:t>personam</w:t>
            </w:r>
            <w:proofErr w:type="spellEnd"/>
            <w:r w:rsidRPr="006F29F5">
              <w:rPr>
                <w:rFonts w:cs="Times New Roman"/>
                <w:kern w:val="2"/>
                <w:sz w:val="20"/>
              </w:rPr>
              <w:t>, can be effected.</w:t>
            </w:r>
          </w:p>
          <w:p w14:paraId="465437EE" w14:textId="77777777" w:rsidR="004837E4" w:rsidRPr="006F29F5" w:rsidRDefault="004837E4" w:rsidP="00D76103">
            <w:pPr>
              <w:autoSpaceDE w:val="0"/>
              <w:autoSpaceDN w:val="0"/>
              <w:adjustRightInd w:val="0"/>
              <w:rPr>
                <w:rFonts w:cs="Times New Roman"/>
                <w:kern w:val="2"/>
                <w:sz w:val="20"/>
              </w:rPr>
            </w:pPr>
            <w:r w:rsidRPr="006F29F5">
              <w:rPr>
                <w:rFonts w:cs="Times New Roman"/>
                <w:kern w:val="2"/>
                <w:sz w:val="20"/>
              </w:rPr>
              <w:t xml:space="preserve">The Section 25 jurisdiction is far reaching and often causes amazement to those unaware of its implications – witness for example a defendant with no apparent connection with England who is served with a freezing order requiring the worldwide disclosure of his assets issued by an English Court in ancillary support of proceedings in an European Union country relating to his alleged breach of duty while the director of an international conglomerate. Failure to make worldwide disclosure of his assets to an English Court, even though the subject matter of the fraud or corruption arose in a different jurisdiction, represents a contempt of Court punishable by imprisonment or segregation of assets. This where the subject matter of the alleged fraud or corruption has nothing whatsoever to do with England. The jurisdiction is secured by the expedience of property or </w:t>
            </w:r>
            <w:r w:rsidRPr="006F29F5">
              <w:rPr>
                <w:rFonts w:cs="Times New Roman"/>
                <w:i/>
                <w:iCs/>
                <w:kern w:val="2"/>
                <w:sz w:val="20"/>
              </w:rPr>
              <w:t xml:space="preserve">in </w:t>
            </w:r>
            <w:proofErr w:type="spellStart"/>
            <w:r w:rsidRPr="006F29F5">
              <w:rPr>
                <w:rFonts w:cs="Times New Roman"/>
                <w:i/>
                <w:iCs/>
                <w:kern w:val="2"/>
                <w:sz w:val="20"/>
              </w:rPr>
              <w:t>personam</w:t>
            </w:r>
            <w:proofErr w:type="spellEnd"/>
            <w:r w:rsidRPr="006F29F5">
              <w:rPr>
                <w:rFonts w:cs="Times New Roman"/>
                <w:i/>
                <w:iCs/>
                <w:kern w:val="2"/>
                <w:sz w:val="20"/>
              </w:rPr>
              <w:t xml:space="preserve"> </w:t>
            </w:r>
            <w:r w:rsidRPr="006F29F5">
              <w:rPr>
                <w:rFonts w:cs="Times New Roman"/>
                <w:kern w:val="2"/>
                <w:sz w:val="20"/>
              </w:rPr>
              <w:t>jurisdiction.</w:t>
            </w:r>
          </w:p>
          <w:p w14:paraId="27F28B71" w14:textId="77777777" w:rsidR="004837E4" w:rsidRPr="006F29F5" w:rsidRDefault="004837E4" w:rsidP="00D76103">
            <w:pPr>
              <w:autoSpaceDE w:val="0"/>
              <w:autoSpaceDN w:val="0"/>
              <w:adjustRightInd w:val="0"/>
              <w:rPr>
                <w:rFonts w:cs="Times New Roman"/>
                <w:kern w:val="2"/>
                <w:sz w:val="20"/>
              </w:rPr>
            </w:pPr>
            <w:r w:rsidRPr="006F29F5">
              <w:rPr>
                <w:rFonts w:cs="Times New Roman"/>
                <w:kern w:val="2"/>
                <w:sz w:val="20"/>
              </w:rPr>
              <w:t xml:space="preserve">Technological advance in future years will doubtless enable the Courts to devise orders directed at the recovery of proprietary information held by internet servers providers and mobile phone operators (so that SMS messages can be retrieved aside from e-mail). Aside from the fund flows through the banking systems, developments of this kind enable the claimant lawyer to steal yet another march on the misapplication of laundered funds by the criminal – and this a civil process, though one that co-exists and operates very effectively as we have seen in the Banco </w:t>
            </w:r>
            <w:proofErr w:type="spellStart"/>
            <w:r w:rsidRPr="006F29F5">
              <w:rPr>
                <w:rFonts w:cs="Times New Roman"/>
                <w:kern w:val="2"/>
                <w:sz w:val="20"/>
              </w:rPr>
              <w:t>Noroeste</w:t>
            </w:r>
            <w:proofErr w:type="spellEnd"/>
            <w:r w:rsidRPr="006F29F5">
              <w:rPr>
                <w:rFonts w:cs="Times New Roman"/>
                <w:kern w:val="2"/>
                <w:sz w:val="20"/>
              </w:rPr>
              <w:t xml:space="preserve"> case with a parallel criminal investigation, prosecution and jail for the wrongdoer.</w:t>
            </w:r>
          </w:p>
          <w:p w14:paraId="6E006DD2" w14:textId="1EDC29B2" w:rsidR="004837E4" w:rsidRPr="006F29F5" w:rsidRDefault="004837E4" w:rsidP="00BF404D">
            <w:pPr>
              <w:pStyle w:val="ExcerptMarker"/>
              <w:spacing w:before="0" w:after="0"/>
              <w:rPr>
                <w:kern w:val="2"/>
                <w:sz w:val="16"/>
              </w:rPr>
            </w:pPr>
            <w:r w:rsidRPr="006F29F5">
              <w:rPr>
                <w:kern w:val="2"/>
                <w:sz w:val="16"/>
              </w:rPr>
              <w:t>End of Excerpt</w:t>
            </w:r>
          </w:p>
        </w:tc>
      </w:tr>
    </w:tbl>
    <w:p w14:paraId="67CF6C49" w14:textId="436026D1" w:rsidR="004146C7" w:rsidRPr="006F29F5" w:rsidRDefault="004146C7" w:rsidP="00330902">
      <w:pPr>
        <w:rPr>
          <w:rFonts w:cs="Times New Roman"/>
          <w:color w:val="000000" w:themeColor="text1"/>
          <w:kern w:val="2"/>
          <w:sz w:val="20"/>
        </w:rPr>
      </w:pPr>
      <w:r w:rsidRPr="006F29F5">
        <w:rPr>
          <w:rFonts w:cs="Times New Roman"/>
          <w:color w:val="000000" w:themeColor="text1"/>
          <w:kern w:val="2"/>
          <w:sz w:val="20"/>
        </w:rPr>
        <w:t>In 1980,</w:t>
      </w:r>
      <w:r w:rsidR="007A78B3" w:rsidRPr="006F29F5">
        <w:rPr>
          <w:rFonts w:cs="Times New Roman"/>
          <w:color w:val="000000" w:themeColor="text1"/>
          <w:kern w:val="2"/>
          <w:sz w:val="20"/>
        </w:rPr>
        <w:t xml:space="preserve"> the</w:t>
      </w:r>
      <w:r w:rsidRPr="006F29F5">
        <w:rPr>
          <w:rFonts w:cs="Times New Roman"/>
          <w:color w:val="000000" w:themeColor="text1"/>
          <w:kern w:val="2"/>
          <w:sz w:val="20"/>
        </w:rPr>
        <w:t xml:space="preserve"> </w:t>
      </w:r>
      <w:r w:rsidRPr="006F29F5">
        <w:rPr>
          <w:rFonts w:cs="Times New Roman"/>
          <w:i/>
          <w:color w:val="000000" w:themeColor="text1"/>
          <w:kern w:val="2"/>
          <w:sz w:val="20"/>
        </w:rPr>
        <w:t xml:space="preserve">Bankers Trust </w:t>
      </w:r>
      <w:r w:rsidRPr="006F29F5">
        <w:rPr>
          <w:rFonts w:cs="Times New Roman"/>
          <w:color w:val="000000" w:themeColor="text1"/>
          <w:kern w:val="2"/>
          <w:sz w:val="20"/>
        </w:rPr>
        <w:t>case</w:t>
      </w:r>
      <w:r w:rsidRPr="006F29F5">
        <w:rPr>
          <w:rFonts w:cs="Times New Roman"/>
          <w:color w:val="000000" w:themeColor="text1"/>
          <w:kern w:val="2"/>
          <w:sz w:val="20"/>
          <w:vertAlign w:val="superscript"/>
        </w:rPr>
        <w:footnoteReference w:id="119"/>
      </w:r>
      <w:r w:rsidRPr="006F29F5">
        <w:rPr>
          <w:rFonts w:cs="Times New Roman"/>
          <w:color w:val="000000" w:themeColor="text1"/>
          <w:kern w:val="2"/>
          <w:sz w:val="20"/>
        </w:rPr>
        <w:t xml:space="preserve"> introduced a new type of disclosure order which requires a bank to furnish information about assets and transactions normally protected by the bank’s duty of confidentiality. In the case involving Nigeria’s last military dictator General Sani Abacha, a UK court was requested to issue a Bankers Trust order requiring named banks to disclose copies of bank statements, account opening forms, customer information, debit and credit notes, as well as internal bank memoranda regarding the operation of the accounts.</w:t>
      </w:r>
      <w:r w:rsidRPr="006F29F5">
        <w:rPr>
          <w:rFonts w:cs="Times New Roman"/>
          <w:color w:val="000000" w:themeColor="text1"/>
          <w:kern w:val="2"/>
          <w:sz w:val="20"/>
          <w:vertAlign w:val="superscript"/>
        </w:rPr>
        <w:footnoteReference w:id="120"/>
      </w:r>
      <w:r w:rsidRPr="006F29F5">
        <w:rPr>
          <w:rFonts w:cs="Times New Roman"/>
          <w:color w:val="000000" w:themeColor="text1"/>
          <w:kern w:val="2"/>
          <w:sz w:val="20"/>
        </w:rPr>
        <w:t xml:space="preserve"> As a result, disclosure was obtained from about twenty banks on approximately 100 Abacha family members, associates and corporate entities.</w:t>
      </w:r>
      <w:r w:rsidRPr="006F29F5">
        <w:rPr>
          <w:rFonts w:cs="Times New Roman"/>
          <w:color w:val="000000" w:themeColor="text1"/>
          <w:kern w:val="2"/>
          <w:sz w:val="20"/>
          <w:vertAlign w:val="superscript"/>
        </w:rPr>
        <w:footnoteReference w:id="121"/>
      </w:r>
    </w:p>
    <w:p w14:paraId="1FA13D51" w14:textId="42BF27AC" w:rsidR="00DF4459" w:rsidRDefault="00330902" w:rsidP="00DF4459">
      <w:pPr>
        <w:rPr>
          <w:rFonts w:cs="Times New Roman"/>
          <w:color w:val="000000" w:themeColor="text1"/>
          <w:kern w:val="2"/>
          <w:sz w:val="20"/>
        </w:rPr>
      </w:pPr>
      <w:r w:rsidRPr="006F29F5">
        <w:rPr>
          <w:rFonts w:cs="Times New Roman"/>
          <w:color w:val="000000" w:themeColor="text1"/>
          <w:kern w:val="2"/>
          <w:sz w:val="20"/>
        </w:rPr>
        <w:t>The following</w:t>
      </w:r>
      <w:r w:rsidR="004146C7" w:rsidRPr="006F29F5">
        <w:rPr>
          <w:rFonts w:cs="Times New Roman"/>
          <w:color w:val="000000" w:themeColor="text1"/>
          <w:kern w:val="2"/>
          <w:sz w:val="20"/>
        </w:rPr>
        <w:t xml:space="preserve"> is an excerpt from a 2009 </w:t>
      </w:r>
      <w:proofErr w:type="spellStart"/>
      <w:r w:rsidR="004146C7" w:rsidRPr="006F29F5">
        <w:rPr>
          <w:rFonts w:cs="Times New Roman"/>
          <w:color w:val="000000" w:themeColor="text1"/>
          <w:kern w:val="2"/>
          <w:sz w:val="20"/>
        </w:rPr>
        <w:t>StAR</w:t>
      </w:r>
      <w:proofErr w:type="spellEnd"/>
      <w:r w:rsidR="004146C7" w:rsidRPr="006F29F5">
        <w:rPr>
          <w:rFonts w:cs="Times New Roman"/>
          <w:color w:val="000000" w:themeColor="text1"/>
          <w:kern w:val="2"/>
          <w:sz w:val="20"/>
        </w:rPr>
        <w:t xml:space="preserve">/ World Bank publication entitled </w:t>
      </w:r>
      <w:r w:rsidR="004146C7" w:rsidRPr="006F29F5">
        <w:rPr>
          <w:rFonts w:cs="Times New Roman"/>
          <w:i/>
          <w:color w:val="000000" w:themeColor="text1"/>
          <w:kern w:val="2"/>
          <w:sz w:val="20"/>
        </w:rPr>
        <w:t>Stolen Asset Recovery: A Good Practices Guide for Non-Conviction Based Asset Forfeiture</w:t>
      </w:r>
      <w:r w:rsidR="004146C7" w:rsidRPr="006F29F5">
        <w:rPr>
          <w:rFonts w:cs="Times New Roman"/>
          <w:color w:val="000000" w:themeColor="text1"/>
          <w:kern w:val="2"/>
          <w:sz w:val="20"/>
        </w:rPr>
        <w:t>:</w:t>
      </w:r>
      <w:r w:rsidR="004146C7" w:rsidRPr="006F29F5">
        <w:rPr>
          <w:rFonts w:cs="Times New Roman"/>
          <w:color w:val="000000" w:themeColor="text1"/>
          <w:kern w:val="2"/>
          <w:sz w:val="20"/>
          <w:vertAlign w:val="superscript"/>
        </w:rPr>
        <w:footnoteReference w:id="122"/>
      </w:r>
    </w:p>
    <w:p w14:paraId="3A61C0D6" w14:textId="77777777" w:rsidR="00DF4459" w:rsidRDefault="00DF4459">
      <w:pPr>
        <w:spacing w:before="0" w:after="200" w:line="276" w:lineRule="auto"/>
        <w:jc w:val="left"/>
        <w:rPr>
          <w:rFonts w:cs="Times New Roman"/>
          <w:color w:val="000000" w:themeColor="text1"/>
          <w:kern w:val="2"/>
          <w:sz w:val="20"/>
        </w:rPr>
      </w:pPr>
      <w:r>
        <w:rPr>
          <w:rFonts w:cs="Times New Roman"/>
          <w:color w:val="000000" w:themeColor="text1"/>
          <w:kern w:val="2"/>
          <w:sz w:val="20"/>
        </w:rPr>
        <w:br w:type="page"/>
      </w:r>
    </w:p>
    <w:tbl>
      <w:tblPr>
        <w:tblStyle w:val="TableGrid"/>
        <w:tblW w:w="0" w:type="auto"/>
        <w:tblCellMar>
          <w:top w:w="284" w:type="dxa"/>
          <w:left w:w="284" w:type="dxa"/>
          <w:bottom w:w="284" w:type="dxa"/>
          <w:right w:w="284" w:type="dxa"/>
        </w:tblCellMar>
        <w:tblLook w:val="04A0" w:firstRow="1" w:lastRow="0" w:firstColumn="1" w:lastColumn="0" w:noHBand="0" w:noVBand="1"/>
      </w:tblPr>
      <w:tblGrid>
        <w:gridCol w:w="8080"/>
      </w:tblGrid>
      <w:tr w:rsidR="00330902" w:rsidRPr="006F29F5" w14:paraId="38A7FA21" w14:textId="77777777" w:rsidTr="00DF4459">
        <w:tc>
          <w:tcPr>
            <w:tcW w:w="8080" w:type="dxa"/>
            <w:tcBorders>
              <w:top w:val="nil"/>
              <w:left w:val="nil"/>
              <w:bottom w:val="nil"/>
              <w:right w:val="nil"/>
            </w:tcBorders>
            <w:shd w:val="clear" w:color="auto" w:fill="D9D9D9" w:themeFill="background1" w:themeFillShade="D9"/>
          </w:tcPr>
          <w:p w14:paraId="4E068B0F" w14:textId="77777777" w:rsidR="00330902" w:rsidRPr="006F29F5" w:rsidRDefault="00330902" w:rsidP="00DF4459">
            <w:pPr>
              <w:pStyle w:val="ExcerptMarker"/>
              <w:keepNext w:val="0"/>
              <w:spacing w:before="0"/>
              <w:rPr>
                <w:kern w:val="2"/>
                <w:sz w:val="16"/>
              </w:rPr>
            </w:pPr>
            <w:r w:rsidRPr="006F29F5">
              <w:rPr>
                <w:kern w:val="2"/>
                <w:sz w:val="16"/>
              </w:rPr>
              <w:t>Beginning of Excerpt</w:t>
            </w:r>
          </w:p>
          <w:p w14:paraId="6C11A4B9" w14:textId="77777777" w:rsidR="00330902" w:rsidRPr="006F29F5" w:rsidRDefault="00330902" w:rsidP="00DF4459">
            <w:pPr>
              <w:autoSpaceDE w:val="0"/>
              <w:autoSpaceDN w:val="0"/>
              <w:adjustRightInd w:val="0"/>
              <w:rPr>
                <w:rFonts w:cs="Times New Roman"/>
                <w:b/>
                <w:kern w:val="2"/>
                <w:sz w:val="20"/>
              </w:rPr>
            </w:pPr>
            <w:r w:rsidRPr="006F29F5">
              <w:rPr>
                <w:rFonts w:cs="Times New Roman"/>
                <w:b/>
                <w:kern w:val="2"/>
                <w:sz w:val="20"/>
              </w:rPr>
              <w:t>The Assistance of U.K. Law Enforcement</w:t>
            </w:r>
          </w:p>
          <w:p w14:paraId="7BE94B15" w14:textId="77777777" w:rsidR="00330902" w:rsidRPr="006F29F5" w:rsidRDefault="00330902" w:rsidP="00DF4459">
            <w:pPr>
              <w:autoSpaceDE w:val="0"/>
              <w:autoSpaceDN w:val="0"/>
              <w:adjustRightInd w:val="0"/>
              <w:rPr>
                <w:rFonts w:cs="Times New Roman"/>
                <w:kern w:val="2"/>
                <w:sz w:val="20"/>
              </w:rPr>
            </w:pPr>
            <w:r w:rsidRPr="006F29F5">
              <w:rPr>
                <w:rFonts w:cs="Times New Roman"/>
                <w:kern w:val="2"/>
                <w:sz w:val="20"/>
              </w:rPr>
              <w:t>When trying to trace, freeze, and recover the illicit gains of a corrupt official found either to be in or to have been laundered through the United Kingdom, a foreign state may do one of the following:</w:t>
            </w:r>
          </w:p>
          <w:p w14:paraId="3FF26AD3" w14:textId="77777777" w:rsidR="00330902" w:rsidRPr="006F29F5" w:rsidRDefault="00330902" w:rsidP="00DF4459">
            <w:pPr>
              <w:pStyle w:val="ListParagraph"/>
              <w:numPr>
                <w:ilvl w:val="0"/>
                <w:numId w:val="32"/>
              </w:numPr>
              <w:autoSpaceDE w:val="0"/>
              <w:autoSpaceDN w:val="0"/>
              <w:adjustRightInd w:val="0"/>
              <w:ind w:left="720"/>
              <w:rPr>
                <w:rFonts w:cs="Times New Roman"/>
                <w:b w:val="0"/>
                <w:kern w:val="2"/>
                <w:sz w:val="20"/>
              </w:rPr>
            </w:pPr>
            <w:r w:rsidRPr="006F29F5">
              <w:rPr>
                <w:rFonts w:cs="Times New Roman"/>
                <w:b w:val="0"/>
                <w:kern w:val="2"/>
                <w:sz w:val="20"/>
              </w:rPr>
              <w:t>Invoke the mechanism of mutual legal assistance, and working with a U.K. law enforcement agency either</w:t>
            </w:r>
          </w:p>
          <w:p w14:paraId="51F906C7" w14:textId="77777777" w:rsidR="00330902" w:rsidRPr="006F29F5" w:rsidRDefault="00330902" w:rsidP="00DF4459">
            <w:pPr>
              <w:pStyle w:val="ListParagraph"/>
              <w:numPr>
                <w:ilvl w:val="0"/>
                <w:numId w:val="34"/>
              </w:numPr>
              <w:autoSpaceDE w:val="0"/>
              <w:autoSpaceDN w:val="0"/>
              <w:adjustRightInd w:val="0"/>
              <w:ind w:left="1080"/>
              <w:rPr>
                <w:rFonts w:cs="Times New Roman"/>
                <w:b w:val="0"/>
                <w:kern w:val="2"/>
                <w:sz w:val="20"/>
              </w:rPr>
            </w:pPr>
            <w:r w:rsidRPr="006F29F5">
              <w:rPr>
                <w:rFonts w:cs="Times New Roman"/>
                <w:b w:val="0"/>
                <w:kern w:val="2"/>
                <w:sz w:val="20"/>
              </w:rPr>
              <w:t>restrain assets</w:t>
            </w:r>
            <w:r w:rsidRPr="006F29F5">
              <w:rPr>
                <w:rStyle w:val="FootnoteReference"/>
                <w:rFonts w:cs="Times New Roman"/>
                <w:b w:val="0"/>
                <w:kern w:val="2"/>
                <w:sz w:val="20"/>
              </w:rPr>
              <w:footnoteReference w:id="123"/>
            </w:r>
            <w:r w:rsidRPr="006F29F5">
              <w:rPr>
                <w:rFonts w:cs="Times New Roman"/>
                <w:b w:val="0"/>
                <w:kern w:val="2"/>
                <w:sz w:val="20"/>
              </w:rPr>
              <w:t xml:space="preserve"> (during a criminal investigation) and having obtained a criminal conviction in the foreign state, enforce its own recovery order in England and Wales</w:t>
            </w:r>
            <w:r w:rsidRPr="006F29F5">
              <w:rPr>
                <w:rStyle w:val="FootnoteReference"/>
                <w:rFonts w:cs="Times New Roman"/>
                <w:b w:val="0"/>
                <w:kern w:val="2"/>
                <w:sz w:val="20"/>
              </w:rPr>
              <w:footnoteReference w:id="124"/>
            </w:r>
            <w:r w:rsidRPr="006F29F5">
              <w:rPr>
                <w:rFonts w:cs="Times New Roman"/>
                <w:b w:val="0"/>
                <w:kern w:val="2"/>
                <w:sz w:val="20"/>
              </w:rPr>
              <w:t>; or</w:t>
            </w:r>
          </w:p>
          <w:p w14:paraId="5985F03C" w14:textId="77777777" w:rsidR="00330902" w:rsidRPr="006F29F5" w:rsidRDefault="00330902" w:rsidP="00DF4459">
            <w:pPr>
              <w:pStyle w:val="ListParagraph"/>
              <w:numPr>
                <w:ilvl w:val="0"/>
                <w:numId w:val="34"/>
              </w:numPr>
              <w:autoSpaceDE w:val="0"/>
              <w:autoSpaceDN w:val="0"/>
              <w:adjustRightInd w:val="0"/>
              <w:ind w:left="1080"/>
              <w:rPr>
                <w:rFonts w:cs="Times New Roman"/>
                <w:b w:val="0"/>
                <w:kern w:val="2"/>
                <w:sz w:val="20"/>
              </w:rPr>
            </w:pPr>
            <w:r w:rsidRPr="006F29F5">
              <w:rPr>
                <w:rFonts w:cs="Times New Roman"/>
                <w:b w:val="0"/>
                <w:kern w:val="2"/>
                <w:sz w:val="20"/>
              </w:rPr>
              <w:t>freeze assets and having obtained either an NCB or conviction based asset recovery order in the foreign state, give effect to that order by means of an NCB asset forfeiture order in England and Wales (known in the United Kingdom as civil recovery).</w:t>
            </w:r>
            <w:r w:rsidRPr="006F29F5">
              <w:rPr>
                <w:rStyle w:val="FootnoteReference"/>
                <w:rFonts w:cs="Times New Roman"/>
                <w:b w:val="0"/>
                <w:kern w:val="2"/>
                <w:sz w:val="20"/>
              </w:rPr>
              <w:footnoteReference w:id="125"/>
            </w:r>
          </w:p>
          <w:p w14:paraId="025E15E0" w14:textId="77777777" w:rsidR="00330902" w:rsidRPr="006F29F5" w:rsidRDefault="00330902" w:rsidP="00DF4459">
            <w:pPr>
              <w:pStyle w:val="ListParagraph"/>
              <w:numPr>
                <w:ilvl w:val="0"/>
                <w:numId w:val="33"/>
              </w:numPr>
              <w:autoSpaceDE w:val="0"/>
              <w:autoSpaceDN w:val="0"/>
              <w:adjustRightInd w:val="0"/>
              <w:ind w:left="720"/>
              <w:rPr>
                <w:rFonts w:cs="Times New Roman"/>
                <w:b w:val="0"/>
                <w:kern w:val="2"/>
                <w:sz w:val="20"/>
              </w:rPr>
            </w:pPr>
            <w:r w:rsidRPr="006F29F5">
              <w:rPr>
                <w:rFonts w:cs="Times New Roman"/>
                <w:b w:val="0"/>
                <w:kern w:val="2"/>
                <w:sz w:val="20"/>
              </w:rPr>
              <w:t>Invite a U.K. law enforcement agency to adopt the case for investigation with a view to bringing in England and Wales</w:t>
            </w:r>
          </w:p>
          <w:p w14:paraId="6E79F150" w14:textId="77777777" w:rsidR="00330902" w:rsidRPr="006F29F5" w:rsidRDefault="00330902" w:rsidP="00DF4459">
            <w:pPr>
              <w:pStyle w:val="ListParagraph"/>
              <w:numPr>
                <w:ilvl w:val="0"/>
                <w:numId w:val="35"/>
              </w:numPr>
              <w:autoSpaceDE w:val="0"/>
              <w:autoSpaceDN w:val="0"/>
              <w:adjustRightInd w:val="0"/>
              <w:ind w:left="1080"/>
              <w:rPr>
                <w:rFonts w:cs="Times New Roman"/>
                <w:b w:val="0"/>
                <w:kern w:val="2"/>
                <w:sz w:val="20"/>
              </w:rPr>
            </w:pPr>
            <w:r w:rsidRPr="006F29F5">
              <w:rPr>
                <w:rFonts w:cs="Times New Roman"/>
                <w:b w:val="0"/>
                <w:kern w:val="2"/>
                <w:sz w:val="20"/>
              </w:rPr>
              <w:t>a criminal prosecution in the United Kingdom (if that is feasible) and if a conviction is obtained, seek a criminal confiscation order;</w:t>
            </w:r>
          </w:p>
          <w:p w14:paraId="572B7A15" w14:textId="77777777" w:rsidR="00330902" w:rsidRPr="006F29F5" w:rsidRDefault="00330902" w:rsidP="00DF4459">
            <w:pPr>
              <w:pStyle w:val="ListParagraph"/>
              <w:numPr>
                <w:ilvl w:val="0"/>
                <w:numId w:val="35"/>
              </w:numPr>
              <w:autoSpaceDE w:val="0"/>
              <w:autoSpaceDN w:val="0"/>
              <w:adjustRightInd w:val="0"/>
              <w:ind w:left="1080"/>
              <w:rPr>
                <w:rFonts w:cs="Times New Roman"/>
                <w:b w:val="0"/>
                <w:kern w:val="2"/>
                <w:sz w:val="20"/>
              </w:rPr>
            </w:pPr>
            <w:r w:rsidRPr="006F29F5">
              <w:rPr>
                <w:rFonts w:cs="Times New Roman"/>
                <w:b w:val="0"/>
                <w:kern w:val="2"/>
                <w:sz w:val="20"/>
              </w:rPr>
              <w:t>cash detention and forfeiture (if applicable); or</w:t>
            </w:r>
          </w:p>
          <w:p w14:paraId="39F75750" w14:textId="77777777" w:rsidR="00330902" w:rsidRPr="006F29F5" w:rsidRDefault="00330902" w:rsidP="00DF4459">
            <w:pPr>
              <w:pStyle w:val="ListParagraph"/>
              <w:numPr>
                <w:ilvl w:val="0"/>
                <w:numId w:val="35"/>
              </w:numPr>
              <w:autoSpaceDE w:val="0"/>
              <w:autoSpaceDN w:val="0"/>
              <w:adjustRightInd w:val="0"/>
              <w:ind w:left="1080"/>
              <w:rPr>
                <w:rFonts w:cs="Times New Roman"/>
                <w:b w:val="0"/>
                <w:kern w:val="2"/>
                <w:sz w:val="20"/>
              </w:rPr>
            </w:pPr>
            <w:r w:rsidRPr="006F29F5">
              <w:rPr>
                <w:rFonts w:cs="Times New Roman"/>
                <w:b w:val="0"/>
                <w:kern w:val="2"/>
                <w:sz w:val="20"/>
              </w:rPr>
              <w:t>NCB asset forfeiture proceedings (civil recovery) and seek a civil recovery order.</w:t>
            </w:r>
          </w:p>
          <w:p w14:paraId="60DD702D" w14:textId="77777777" w:rsidR="00330902" w:rsidRPr="006F29F5" w:rsidRDefault="00330902" w:rsidP="00DF4459">
            <w:pPr>
              <w:autoSpaceDE w:val="0"/>
              <w:autoSpaceDN w:val="0"/>
              <w:adjustRightInd w:val="0"/>
              <w:rPr>
                <w:rFonts w:cs="Times New Roman"/>
                <w:kern w:val="2"/>
                <w:sz w:val="20"/>
              </w:rPr>
            </w:pPr>
            <w:r w:rsidRPr="006F29F5">
              <w:rPr>
                <w:rFonts w:cs="Times New Roman"/>
                <w:kern w:val="2"/>
                <w:sz w:val="20"/>
              </w:rPr>
              <w:t>If a criminal confiscation order is obtained, a compensation order (in favor of a victim) may also be made in the same case. A foreign state may also, therefore, intervene in criminal confiscation proceedings and seek a compensation order. A criminal confiscation order requires the defendant to pay back the value of the benefit from a given crime (the proceeds).</w:t>
            </w:r>
            <w:r w:rsidRPr="006F29F5">
              <w:rPr>
                <w:rStyle w:val="FootnoteReference"/>
                <w:rFonts w:cs="Times New Roman"/>
                <w:kern w:val="2"/>
                <w:sz w:val="20"/>
              </w:rPr>
              <w:footnoteReference w:id="126"/>
            </w:r>
            <w:r w:rsidRPr="006F29F5">
              <w:rPr>
                <w:rFonts w:cs="Times New Roman"/>
                <w:kern w:val="2"/>
                <w:sz w:val="20"/>
              </w:rPr>
              <w:t xml:space="preserve"> If there are insufficient funds with which to fulfill both a criminal confiscation order and a compensation order, the court can require a proportion of the realized assets under the criminal forfeiture order to be used to discharge the compensation order.</w:t>
            </w:r>
            <w:r w:rsidRPr="006F29F5">
              <w:rPr>
                <w:rStyle w:val="FootnoteReference"/>
                <w:rFonts w:cs="Times New Roman"/>
                <w:kern w:val="2"/>
                <w:sz w:val="20"/>
              </w:rPr>
              <w:footnoteReference w:id="127"/>
            </w:r>
            <w:r w:rsidRPr="006F29F5">
              <w:rPr>
                <w:rFonts w:cs="Times New Roman"/>
                <w:kern w:val="2"/>
                <w:sz w:val="20"/>
              </w:rPr>
              <w:t xml:space="preserve"> A detailed consideration of this area is outside the scope of this contribution.</w:t>
            </w:r>
          </w:p>
          <w:p w14:paraId="2A255F91" w14:textId="77777777" w:rsidR="00330902" w:rsidRPr="006F29F5" w:rsidRDefault="00330902" w:rsidP="00DF4459">
            <w:pPr>
              <w:autoSpaceDE w:val="0"/>
              <w:autoSpaceDN w:val="0"/>
              <w:adjustRightInd w:val="0"/>
              <w:rPr>
                <w:rFonts w:cs="Times New Roman"/>
                <w:kern w:val="2"/>
                <w:sz w:val="20"/>
              </w:rPr>
            </w:pPr>
            <w:r w:rsidRPr="006F29F5">
              <w:rPr>
                <w:rFonts w:cs="Times New Roman"/>
                <w:kern w:val="2"/>
                <w:sz w:val="20"/>
              </w:rPr>
              <w:t>In proceedings for NCB asset forfeiture, the true owner of property is entitled to seek a declaration from the civil court that he has a valid claim to the property (or property which it represents) because it was unlawfully taken from him.</w:t>
            </w:r>
            <w:r w:rsidRPr="006F29F5">
              <w:rPr>
                <w:rStyle w:val="FootnoteReference"/>
                <w:rFonts w:cs="Times New Roman"/>
                <w:kern w:val="2"/>
                <w:sz w:val="20"/>
              </w:rPr>
              <w:footnoteReference w:id="128"/>
            </w:r>
          </w:p>
          <w:p w14:paraId="76D002C2" w14:textId="77777777" w:rsidR="00330902" w:rsidRPr="006F29F5" w:rsidRDefault="00330902" w:rsidP="00DF4459">
            <w:pPr>
              <w:autoSpaceDE w:val="0"/>
              <w:autoSpaceDN w:val="0"/>
              <w:adjustRightInd w:val="0"/>
              <w:rPr>
                <w:rFonts w:cs="Times New Roman"/>
                <w:kern w:val="2"/>
                <w:sz w:val="20"/>
              </w:rPr>
            </w:pPr>
            <w:r w:rsidRPr="006F29F5">
              <w:rPr>
                <w:rFonts w:cs="Times New Roman"/>
                <w:kern w:val="2"/>
                <w:sz w:val="20"/>
              </w:rPr>
              <w:t>If either a conviction based confiscation or NCB asset forfeiture order is registered and enforced in England, the recovered property (or money equivalent) is not automatically transmitted to the foreign state and the English court has no power with which to remit the property to the foreign jurisdiction. Instead, the proceeds of the recovered property (or money equivalent) are placed in the U.K. Government’s Consolidated Fund. Some countries have entered into asset-sharing agreements with the United Kingdom in respect of conviction based confiscation cases. These, however, are not thought to apply to NCB asset forfeiture. The United Kingdom is taking steps to enter into either bilateral treaties or memoranda of understanding with foreign states with regard to NCB asset forfeiture. Asset sharing agreements may also be entered into on a case-by-case basis. With respect to corruption cases, the United Kingdom has ratified UNCAC, and as such is mindful of its obligations under that Convention.</w:t>
            </w:r>
          </w:p>
          <w:p w14:paraId="0A09E522" w14:textId="2506B873" w:rsidR="00330902" w:rsidRPr="006F29F5" w:rsidRDefault="00330902" w:rsidP="00DF4459">
            <w:pPr>
              <w:pStyle w:val="ExcerptMarker"/>
              <w:spacing w:after="0"/>
              <w:rPr>
                <w:color w:val="000000" w:themeColor="text1"/>
                <w:kern w:val="2"/>
                <w:sz w:val="16"/>
              </w:rPr>
            </w:pPr>
            <w:r w:rsidRPr="006F29F5">
              <w:rPr>
                <w:kern w:val="2"/>
                <w:sz w:val="16"/>
              </w:rPr>
              <w:t>End of Excerpt</w:t>
            </w:r>
          </w:p>
        </w:tc>
      </w:tr>
    </w:tbl>
    <w:p w14:paraId="254D50FF" w14:textId="0C9C2FD6" w:rsidR="00DF4459" w:rsidRDefault="00DF4459" w:rsidP="002B3DF6">
      <w:pPr>
        <w:spacing w:before="0" w:after="0"/>
        <w:rPr>
          <w:b/>
          <w:kern w:val="2"/>
          <w:sz w:val="20"/>
        </w:rPr>
      </w:pPr>
      <w:bookmarkStart w:id="40" w:name="_Toc420329378"/>
      <w:bookmarkStart w:id="41" w:name="_Toc489961994"/>
    </w:p>
    <w:p w14:paraId="5EE3EACC" w14:textId="77777777" w:rsidR="00DF4459" w:rsidRDefault="00DF4459">
      <w:pPr>
        <w:spacing w:before="0" w:after="200" w:line="276" w:lineRule="auto"/>
        <w:jc w:val="left"/>
        <w:rPr>
          <w:b/>
          <w:kern w:val="2"/>
          <w:sz w:val="20"/>
        </w:rPr>
      </w:pPr>
      <w:r>
        <w:rPr>
          <w:b/>
          <w:kern w:val="2"/>
          <w:sz w:val="20"/>
        </w:rPr>
        <w:br w:type="page"/>
      </w:r>
    </w:p>
    <w:tbl>
      <w:tblPr>
        <w:tblStyle w:val="TableGrid"/>
        <w:tblW w:w="0" w:type="auto"/>
        <w:tblCellMar>
          <w:top w:w="142" w:type="dxa"/>
          <w:left w:w="284" w:type="dxa"/>
          <w:bottom w:w="142" w:type="dxa"/>
          <w:right w:w="284" w:type="dxa"/>
        </w:tblCellMar>
        <w:tblLook w:val="04A0" w:firstRow="1" w:lastRow="0" w:firstColumn="1" w:lastColumn="0" w:noHBand="0" w:noVBand="1"/>
      </w:tblPr>
      <w:tblGrid>
        <w:gridCol w:w="8070"/>
      </w:tblGrid>
      <w:tr w:rsidR="002B3DF6" w:rsidRPr="006F29F5" w14:paraId="2D256CBA" w14:textId="77777777" w:rsidTr="00DF4459">
        <w:tc>
          <w:tcPr>
            <w:tcW w:w="8070" w:type="dxa"/>
          </w:tcPr>
          <w:p w14:paraId="1685DFEC" w14:textId="77777777" w:rsidR="002B3DF6" w:rsidRPr="006F29F5" w:rsidRDefault="002B3DF6" w:rsidP="002B3DF6">
            <w:pPr>
              <w:spacing w:before="120" w:after="120"/>
              <w:rPr>
                <w:b/>
                <w:kern w:val="2"/>
                <w:sz w:val="20"/>
              </w:rPr>
            </w:pPr>
            <w:r w:rsidRPr="006F29F5">
              <w:rPr>
                <w:b/>
                <w:kern w:val="2"/>
                <w:sz w:val="20"/>
              </w:rPr>
              <w:t>Further Reading</w:t>
            </w:r>
          </w:p>
          <w:p w14:paraId="28EC27C5" w14:textId="77777777" w:rsidR="002B3DF6" w:rsidRPr="006F29F5" w:rsidRDefault="002B3DF6" w:rsidP="002B3DF6">
            <w:pPr>
              <w:spacing w:before="120" w:after="120"/>
              <w:jc w:val="left"/>
              <w:rPr>
                <w:kern w:val="2"/>
                <w:sz w:val="20"/>
              </w:rPr>
            </w:pPr>
            <w:r w:rsidRPr="006F29F5">
              <w:rPr>
                <w:kern w:val="2"/>
                <w:sz w:val="20"/>
              </w:rPr>
              <w:t>For more on the UK, see: &lt;</w:t>
            </w:r>
            <w:hyperlink r:id="rId33" w:history="1">
              <w:r w:rsidRPr="006F29F5">
                <w:rPr>
                  <w:rStyle w:val="Hyperlink"/>
                  <w:rFonts w:cs="Times New Roman"/>
                  <w:kern w:val="2"/>
                  <w:sz w:val="20"/>
                </w:rPr>
                <w:t>http://star.worldbank.org/star/sites/star/files/UK-Guide-to-Asset-Recovery.pdf</w:t>
              </w:r>
            </w:hyperlink>
            <w:r w:rsidRPr="006F29F5">
              <w:rPr>
                <w:kern w:val="2"/>
                <w:sz w:val="20"/>
              </w:rPr>
              <w:t>&gt;.</w:t>
            </w:r>
          </w:p>
          <w:p w14:paraId="48C0F28A" w14:textId="52303EBC" w:rsidR="002B3DF6" w:rsidRPr="006F29F5" w:rsidRDefault="002B3DF6" w:rsidP="002B3DF6">
            <w:pPr>
              <w:rPr>
                <w:kern w:val="2"/>
                <w:sz w:val="20"/>
              </w:rPr>
            </w:pPr>
            <w:r w:rsidRPr="006F29F5">
              <w:rPr>
                <w:kern w:val="2"/>
                <w:sz w:val="20"/>
              </w:rPr>
              <w:t xml:space="preserve">For recent updates on and evaluation of confiscation and civil recovery law in the UK, see Peter </w:t>
            </w:r>
            <w:proofErr w:type="spellStart"/>
            <w:r w:rsidRPr="006F29F5">
              <w:rPr>
                <w:kern w:val="2"/>
                <w:sz w:val="20"/>
              </w:rPr>
              <w:t>Alldridge</w:t>
            </w:r>
            <w:proofErr w:type="spellEnd"/>
            <w:r w:rsidRPr="006F29F5">
              <w:rPr>
                <w:kern w:val="2"/>
                <w:sz w:val="20"/>
              </w:rPr>
              <w:t xml:space="preserve">, “Proceeds of Crime Law since 2003 – Two Key Areas” (2014) </w:t>
            </w:r>
            <w:proofErr w:type="spellStart"/>
            <w:r w:rsidRPr="006F29F5">
              <w:rPr>
                <w:kern w:val="2"/>
                <w:sz w:val="20"/>
              </w:rPr>
              <w:t>Crim</w:t>
            </w:r>
            <w:proofErr w:type="spellEnd"/>
            <w:r w:rsidRPr="006F29F5">
              <w:rPr>
                <w:kern w:val="2"/>
                <w:sz w:val="20"/>
              </w:rPr>
              <w:t xml:space="preserve"> L Rev</w:t>
            </w:r>
            <w:r w:rsidRPr="006F29F5">
              <w:rPr>
                <w:i/>
                <w:kern w:val="2"/>
                <w:sz w:val="20"/>
              </w:rPr>
              <w:t xml:space="preserve"> </w:t>
            </w:r>
            <w:r w:rsidRPr="006F29F5">
              <w:rPr>
                <w:kern w:val="2"/>
                <w:sz w:val="20"/>
              </w:rPr>
              <w:t>171.</w:t>
            </w:r>
          </w:p>
        </w:tc>
        <w:bookmarkStart w:id="42" w:name="_GoBack"/>
        <w:bookmarkEnd w:id="42"/>
      </w:tr>
    </w:tbl>
    <w:p w14:paraId="0262EC4E" w14:textId="67B092E1" w:rsidR="00590FE6" w:rsidRPr="006F29F5" w:rsidRDefault="00590FE6" w:rsidP="008A7BF4">
      <w:pPr>
        <w:pStyle w:val="Heading2"/>
        <w:rPr>
          <w:kern w:val="2"/>
          <w:sz w:val="24"/>
        </w:rPr>
      </w:pPr>
      <w:r w:rsidRPr="006F29F5">
        <w:rPr>
          <w:kern w:val="2"/>
          <w:sz w:val="24"/>
        </w:rPr>
        <w:t>Canada</w:t>
      </w:r>
      <w:bookmarkEnd w:id="40"/>
      <w:bookmarkEnd w:id="41"/>
    </w:p>
    <w:p w14:paraId="7A262A1B" w14:textId="673FFE17" w:rsidR="00CF2742" w:rsidRDefault="004872C0" w:rsidP="00C81ED8">
      <w:pPr>
        <w:widowControl w:val="0"/>
        <w:autoSpaceDE w:val="0"/>
        <w:autoSpaceDN w:val="0"/>
        <w:adjustRightInd w:val="0"/>
        <w:rPr>
          <w:rFonts w:cs="Times New Roman"/>
          <w:kern w:val="2"/>
          <w:sz w:val="20"/>
        </w:rPr>
      </w:pPr>
      <w:r w:rsidRPr="006F29F5">
        <w:rPr>
          <w:rFonts w:cs="Times New Roman"/>
          <w:kern w:val="2"/>
          <w:sz w:val="20"/>
        </w:rPr>
        <w:t>The following e</w:t>
      </w:r>
      <w:r w:rsidR="00A03053" w:rsidRPr="006F29F5">
        <w:rPr>
          <w:rFonts w:cs="Times New Roman"/>
          <w:kern w:val="2"/>
          <w:sz w:val="20"/>
        </w:rPr>
        <w:t xml:space="preserve">xcerpt from a 2011 </w:t>
      </w:r>
      <w:proofErr w:type="spellStart"/>
      <w:r w:rsidR="00A03053" w:rsidRPr="006F29F5">
        <w:rPr>
          <w:rFonts w:cs="Times New Roman"/>
          <w:kern w:val="2"/>
          <w:sz w:val="20"/>
        </w:rPr>
        <w:t>StAR</w:t>
      </w:r>
      <w:proofErr w:type="spellEnd"/>
      <w:r w:rsidR="00A03053" w:rsidRPr="006F29F5">
        <w:rPr>
          <w:rFonts w:cs="Times New Roman"/>
          <w:kern w:val="2"/>
          <w:sz w:val="20"/>
        </w:rPr>
        <w:t>/World Bank publication</w:t>
      </w:r>
      <w:r w:rsidRPr="006F29F5">
        <w:rPr>
          <w:rFonts w:cs="Times New Roman"/>
          <w:kern w:val="2"/>
          <w:sz w:val="20"/>
        </w:rPr>
        <w:t>, entitled</w:t>
      </w:r>
      <w:r w:rsidR="00A03053" w:rsidRPr="006F29F5">
        <w:rPr>
          <w:rFonts w:cs="Times New Roman"/>
          <w:kern w:val="2"/>
          <w:sz w:val="20"/>
        </w:rPr>
        <w:t xml:space="preserve"> </w:t>
      </w:r>
      <w:r w:rsidR="00A03053" w:rsidRPr="006F29F5">
        <w:rPr>
          <w:rFonts w:cs="Times New Roman"/>
          <w:i/>
          <w:kern w:val="2"/>
          <w:sz w:val="20"/>
        </w:rPr>
        <w:t>Barriers to Asset Recovery: An Analysis of the Key Barriers and Recommendations for Action</w:t>
      </w:r>
      <w:r w:rsidR="00567E41" w:rsidRPr="006F29F5">
        <w:rPr>
          <w:rFonts w:cs="Times New Roman"/>
          <w:kern w:val="2"/>
          <w:sz w:val="20"/>
        </w:rPr>
        <w:t>,</w:t>
      </w:r>
      <w:r w:rsidR="00040C4F" w:rsidRPr="006F29F5">
        <w:rPr>
          <w:rFonts w:cs="Times New Roman"/>
          <w:kern w:val="2"/>
          <w:sz w:val="20"/>
        </w:rPr>
        <w:t xml:space="preserve"> starts with a summary of mutual legal assistance provisions in </w:t>
      </w:r>
      <w:r w:rsidR="007D545E" w:rsidRPr="006F29F5">
        <w:rPr>
          <w:rFonts w:cs="Times New Roman"/>
          <w:kern w:val="2"/>
          <w:sz w:val="20"/>
        </w:rPr>
        <w:t>Canada</w:t>
      </w:r>
      <w:r w:rsidRPr="006F29F5">
        <w:rPr>
          <w:rFonts w:cs="Times New Roman"/>
          <w:kern w:val="2"/>
          <w:sz w:val="20"/>
        </w:rPr>
        <w:t>,</w:t>
      </w:r>
      <w:r w:rsidR="007D545E" w:rsidRPr="006F29F5">
        <w:rPr>
          <w:rFonts w:cs="Times New Roman"/>
          <w:kern w:val="2"/>
          <w:sz w:val="20"/>
        </w:rPr>
        <w:t xml:space="preserve"> </w:t>
      </w:r>
      <w:r w:rsidR="00040C4F" w:rsidRPr="006F29F5">
        <w:rPr>
          <w:rFonts w:cs="Times New Roman"/>
          <w:kern w:val="2"/>
          <w:sz w:val="20"/>
        </w:rPr>
        <w:t>since MLA is usually essential to the pursuit of asset recovery</w:t>
      </w:r>
      <w:r w:rsidR="003D193E" w:rsidRPr="006F29F5">
        <w:rPr>
          <w:rFonts w:cs="Times New Roman"/>
          <w:kern w:val="2"/>
          <w:sz w:val="20"/>
        </w:rPr>
        <w:t xml:space="preserve"> in large-scale corruption cases</w:t>
      </w:r>
      <w:r w:rsidR="00A03053" w:rsidRPr="006F29F5">
        <w:rPr>
          <w:rFonts w:cs="Times New Roman"/>
          <w:kern w:val="2"/>
          <w:sz w:val="20"/>
        </w:rPr>
        <w:t>:</w:t>
      </w:r>
      <w:r w:rsidR="0025078B" w:rsidRPr="006F29F5">
        <w:rPr>
          <w:rStyle w:val="FootnoteReference"/>
          <w:rFonts w:cs="Times New Roman"/>
          <w:kern w:val="2"/>
          <w:sz w:val="20"/>
        </w:rPr>
        <w:footnoteReference w:id="129"/>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DF4459" w14:paraId="3D89B6EE" w14:textId="77777777" w:rsidTr="00DF4459">
        <w:tc>
          <w:tcPr>
            <w:tcW w:w="8070" w:type="dxa"/>
            <w:tcBorders>
              <w:top w:val="nil"/>
              <w:left w:val="nil"/>
              <w:bottom w:val="nil"/>
              <w:right w:val="nil"/>
            </w:tcBorders>
            <w:shd w:val="clear" w:color="auto" w:fill="D9D9D9" w:themeFill="background1" w:themeFillShade="D9"/>
          </w:tcPr>
          <w:p w14:paraId="0AE21308" w14:textId="77777777" w:rsidR="00DF4459" w:rsidRPr="006F29F5" w:rsidRDefault="00DF4459" w:rsidP="00DF4459">
            <w:pPr>
              <w:pStyle w:val="ExcerptMarker"/>
              <w:spacing w:before="0"/>
              <w:rPr>
                <w:kern w:val="2"/>
                <w:sz w:val="16"/>
              </w:rPr>
            </w:pPr>
            <w:r w:rsidRPr="006F29F5">
              <w:rPr>
                <w:kern w:val="2"/>
                <w:sz w:val="16"/>
              </w:rPr>
              <w:t>Beginning of Excerpt</w:t>
            </w:r>
          </w:p>
          <w:p w14:paraId="1E00CD16" w14:textId="77777777" w:rsidR="00DF4459" w:rsidRPr="006F29F5" w:rsidRDefault="00DF4459" w:rsidP="00DF4459">
            <w:pPr>
              <w:autoSpaceDE w:val="0"/>
              <w:autoSpaceDN w:val="0"/>
              <w:adjustRightInd w:val="0"/>
              <w:rPr>
                <w:rFonts w:cs="Times New Roman"/>
                <w:b/>
                <w:bCs/>
                <w:kern w:val="2"/>
                <w:sz w:val="20"/>
              </w:rPr>
            </w:pPr>
            <w:r w:rsidRPr="006F29F5">
              <w:rPr>
                <w:rFonts w:cs="Times New Roman"/>
                <w:b/>
                <w:bCs/>
                <w:kern w:val="2"/>
                <w:sz w:val="20"/>
              </w:rPr>
              <w:t>Canada</w:t>
            </w:r>
          </w:p>
          <w:p w14:paraId="1FC87ACB" w14:textId="77777777" w:rsidR="00DF4459" w:rsidRPr="006F29F5" w:rsidRDefault="00DF4459" w:rsidP="00DF4459">
            <w:pPr>
              <w:autoSpaceDE w:val="0"/>
              <w:autoSpaceDN w:val="0"/>
              <w:adjustRightInd w:val="0"/>
              <w:rPr>
                <w:rFonts w:cs="Times New Roman"/>
                <w:b/>
                <w:bCs/>
                <w:iCs/>
                <w:kern w:val="2"/>
                <w:sz w:val="20"/>
              </w:rPr>
            </w:pPr>
            <w:r w:rsidRPr="006F29F5">
              <w:rPr>
                <w:rFonts w:cs="Times New Roman"/>
                <w:b/>
                <w:bCs/>
                <w:iCs/>
                <w:kern w:val="2"/>
                <w:sz w:val="20"/>
              </w:rPr>
              <w:t>A. MLA Legal Framework and Preconditions to Cooperation (General)</w:t>
            </w:r>
          </w:p>
          <w:p w14:paraId="691B8141" w14:textId="77777777" w:rsidR="00DF4459" w:rsidRPr="006F29F5" w:rsidRDefault="00DF4459" w:rsidP="00DF4459">
            <w:pPr>
              <w:autoSpaceDE w:val="0"/>
              <w:autoSpaceDN w:val="0"/>
              <w:adjustRightInd w:val="0"/>
              <w:ind w:left="720"/>
              <w:rPr>
                <w:rFonts w:cs="Times New Roman"/>
                <w:b/>
                <w:bCs/>
                <w:kern w:val="2"/>
                <w:sz w:val="20"/>
              </w:rPr>
            </w:pPr>
            <w:r w:rsidRPr="006F29F5">
              <w:rPr>
                <w:rFonts w:cs="Times New Roman"/>
                <w:b/>
                <w:bCs/>
                <w:kern w:val="2"/>
                <w:sz w:val="20"/>
              </w:rPr>
              <w:t>A.1. Relevant Laws, Treaties, and Conventions Dealing with or Including a Component Relevant for MLA and Asset Recovery</w:t>
            </w:r>
          </w:p>
          <w:p w14:paraId="5F3A8DB4" w14:textId="77777777" w:rsidR="00DF4459" w:rsidRPr="006F29F5" w:rsidRDefault="00DF4459" w:rsidP="00DF4459">
            <w:pPr>
              <w:pStyle w:val="ListParagraph"/>
              <w:numPr>
                <w:ilvl w:val="0"/>
                <w:numId w:val="36"/>
              </w:numPr>
              <w:autoSpaceDE w:val="0"/>
              <w:autoSpaceDN w:val="0"/>
              <w:adjustRightInd w:val="0"/>
              <w:rPr>
                <w:rFonts w:cs="Times New Roman"/>
                <w:b w:val="0"/>
                <w:bCs/>
                <w:kern w:val="2"/>
                <w:sz w:val="20"/>
              </w:rPr>
            </w:pPr>
            <w:r w:rsidRPr="006F29F5">
              <w:rPr>
                <w:rFonts w:cs="Times New Roman"/>
                <w:b w:val="0"/>
                <w:kern w:val="2"/>
                <w:sz w:val="20"/>
              </w:rPr>
              <w:t xml:space="preserve">The </w:t>
            </w:r>
            <w:r w:rsidRPr="006F29F5">
              <w:rPr>
                <w:rFonts w:cs="Times New Roman"/>
                <w:b w:val="0"/>
                <w:i/>
                <w:iCs/>
                <w:kern w:val="2"/>
                <w:sz w:val="20"/>
              </w:rPr>
              <w:t xml:space="preserve">Mutual Legal Assistance in Criminal Matters Act </w:t>
            </w:r>
            <w:r w:rsidRPr="006F29F5">
              <w:rPr>
                <w:rFonts w:cs="Times New Roman"/>
                <w:b w:val="0"/>
                <w:kern w:val="2"/>
                <w:sz w:val="20"/>
              </w:rPr>
              <w:t xml:space="preserve">(MLACMA) [updated link: </w:t>
            </w:r>
            <w:r w:rsidRPr="006F29F5">
              <w:rPr>
                <w:kern w:val="2"/>
                <w:sz w:val="20"/>
              </w:rPr>
              <w:t xml:space="preserve"> </w:t>
            </w:r>
            <w:hyperlink r:id="rId34" w:history="1">
              <w:r w:rsidRPr="006F29F5">
                <w:rPr>
                  <w:rStyle w:val="Hyperlink"/>
                  <w:rFonts w:cs="Times New Roman"/>
                  <w:b w:val="0"/>
                  <w:kern w:val="2"/>
                  <w:sz w:val="20"/>
                </w:rPr>
                <w:t>http://laws-lois.justice.gc.ca/eng/acts/M-13.6/</w:t>
              </w:r>
            </w:hyperlink>
            <w:r w:rsidRPr="006F29F5">
              <w:rPr>
                <w:rFonts w:cs="Times New Roman"/>
                <w:b w:val="0"/>
                <w:kern w:val="2"/>
                <w:sz w:val="20"/>
              </w:rPr>
              <w:t xml:space="preserve">] [as amended </w:t>
            </w:r>
            <w:r w:rsidRPr="006F29F5">
              <w:rPr>
                <w:rFonts w:cs="Times New Roman"/>
                <w:b w:val="0"/>
                <w:i/>
                <w:kern w:val="2"/>
                <w:sz w:val="20"/>
              </w:rPr>
              <w:t xml:space="preserve">Protecting Canadians from Online Crime </w:t>
            </w:r>
            <w:r w:rsidRPr="006F29F5">
              <w:rPr>
                <w:rFonts w:cs="Times New Roman"/>
                <w:b w:val="0"/>
                <w:kern w:val="2"/>
                <w:sz w:val="20"/>
              </w:rPr>
              <w:t>Act</w:t>
            </w:r>
            <w:r w:rsidRPr="006F29F5">
              <w:rPr>
                <w:rStyle w:val="FootnoteReference"/>
                <w:rFonts w:cs="Times New Roman"/>
                <w:b w:val="0"/>
                <w:kern w:val="2"/>
                <w:sz w:val="20"/>
              </w:rPr>
              <w:footnoteReference w:id="130"/>
            </w:r>
            <w:r w:rsidRPr="006F29F5">
              <w:rPr>
                <w:rFonts w:cs="Times New Roman"/>
                <w:b w:val="0"/>
                <w:kern w:val="2"/>
                <w:sz w:val="20"/>
              </w:rPr>
              <w:t>] allows for the provision of MLA. Canada may not provide MLA directly based on multilateral conventions but only pursuant to the provisions of the MLACM.</w:t>
            </w:r>
          </w:p>
          <w:p w14:paraId="40F2CC05" w14:textId="3EAE6352" w:rsidR="00DF4459" w:rsidRPr="00DF4459" w:rsidRDefault="00DF4459" w:rsidP="00DF4459">
            <w:pPr>
              <w:pStyle w:val="ListParagraph"/>
              <w:numPr>
                <w:ilvl w:val="0"/>
                <w:numId w:val="36"/>
              </w:numPr>
              <w:autoSpaceDE w:val="0"/>
              <w:autoSpaceDN w:val="0"/>
              <w:adjustRightInd w:val="0"/>
              <w:rPr>
                <w:rFonts w:cs="Times New Roman"/>
                <w:b w:val="0"/>
                <w:kern w:val="2"/>
                <w:sz w:val="20"/>
              </w:rPr>
            </w:pPr>
            <w:r w:rsidRPr="006F29F5">
              <w:rPr>
                <w:rFonts w:cs="Times New Roman"/>
                <w:b w:val="0"/>
                <w:kern w:val="2"/>
                <w:sz w:val="20"/>
              </w:rPr>
              <w:t xml:space="preserve">The </w:t>
            </w:r>
            <w:r w:rsidRPr="006F29F5">
              <w:rPr>
                <w:rFonts w:cs="Times New Roman"/>
                <w:b w:val="0"/>
                <w:i/>
                <w:iCs/>
                <w:kern w:val="2"/>
                <w:sz w:val="20"/>
              </w:rPr>
              <w:t xml:space="preserve">Canada Evidence Act </w:t>
            </w:r>
            <w:r w:rsidRPr="006F29F5">
              <w:rPr>
                <w:rFonts w:cs="Times New Roman"/>
                <w:b w:val="0"/>
                <w:kern w:val="2"/>
                <w:sz w:val="20"/>
              </w:rPr>
              <w:t xml:space="preserve">(EA) [updated link: </w:t>
            </w:r>
            <w:r w:rsidRPr="006F29F5">
              <w:rPr>
                <w:kern w:val="2"/>
                <w:sz w:val="20"/>
              </w:rPr>
              <w:t xml:space="preserve"> </w:t>
            </w:r>
            <w:hyperlink r:id="rId35" w:history="1">
              <w:r w:rsidRPr="006F29F5">
                <w:rPr>
                  <w:rStyle w:val="Hyperlink"/>
                  <w:rFonts w:cs="Times New Roman"/>
                  <w:b w:val="0"/>
                  <w:kern w:val="2"/>
                  <w:sz w:val="20"/>
                </w:rPr>
                <w:t>http://laws-lois.justice.gc.ca/eng/acts/C-5/</w:t>
              </w:r>
            </w:hyperlink>
            <w:r w:rsidRPr="006F29F5">
              <w:rPr>
                <w:rFonts w:cs="Times New Roman"/>
                <w:b w:val="0"/>
                <w:kern w:val="2"/>
                <w:sz w:val="20"/>
              </w:rPr>
              <w:t xml:space="preserve">] Section 46 allows for the provision of certain forms of MLA, including certain coercive measures, based on letters </w:t>
            </w:r>
            <w:proofErr w:type="spellStart"/>
            <w:r w:rsidRPr="006F29F5">
              <w:rPr>
                <w:rFonts w:cs="Times New Roman"/>
                <w:b w:val="0"/>
                <w:kern w:val="2"/>
                <w:sz w:val="20"/>
              </w:rPr>
              <w:t>rogatory</w:t>
            </w:r>
            <w:proofErr w:type="spellEnd"/>
            <w:r w:rsidRPr="006F29F5">
              <w:rPr>
                <w:rFonts w:cs="Times New Roman"/>
                <w:b w:val="0"/>
                <w:kern w:val="2"/>
                <w:sz w:val="20"/>
              </w:rPr>
              <w:t xml:space="preserve"> if criminal proceedings are pending abroad.</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CF2742" w:rsidRPr="006F29F5" w14:paraId="78083089" w14:textId="77777777" w:rsidTr="00DF4459">
        <w:trPr>
          <w:jc w:val="center"/>
        </w:trPr>
        <w:tc>
          <w:tcPr>
            <w:tcW w:w="8080" w:type="dxa"/>
            <w:shd w:val="clear" w:color="auto" w:fill="D9D9D9" w:themeFill="background1" w:themeFillShade="D9"/>
          </w:tcPr>
          <w:p w14:paraId="79EE87C8" w14:textId="77777777" w:rsidR="00CF2742" w:rsidRPr="006F29F5" w:rsidRDefault="00CF2742" w:rsidP="00DF4459">
            <w:pPr>
              <w:pStyle w:val="ListParagraph"/>
              <w:numPr>
                <w:ilvl w:val="0"/>
                <w:numId w:val="36"/>
              </w:numPr>
              <w:autoSpaceDE w:val="0"/>
              <w:autoSpaceDN w:val="0"/>
              <w:adjustRightInd w:val="0"/>
              <w:spacing w:before="0"/>
              <w:rPr>
                <w:rFonts w:cs="Times New Roman"/>
                <w:b w:val="0"/>
                <w:kern w:val="2"/>
                <w:sz w:val="20"/>
              </w:rPr>
            </w:pPr>
            <w:r w:rsidRPr="006F29F5">
              <w:rPr>
                <w:rFonts w:cs="Times New Roman"/>
                <w:b w:val="0"/>
                <w:kern w:val="2"/>
                <w:sz w:val="20"/>
              </w:rPr>
              <w:t>Canada has entered into bilateral treaties with 33 countries, namely Argentina; Austria; Australia; Bahamas; Belgium; China; Czech Republic; France; Greece; Hong Kong SAR, China; Hungary; India; Israel; Italy; Republic of Korea; Mexico; Netherlands; Norway; Peru; Poland; Romania; Russian Federation; South Africa; Spain; Sweden; Switzerland; Thailand; Trinidad and Tobago; Ukraine; United Kingdom; United States; and Uruguay.</w:t>
            </w:r>
          </w:p>
          <w:p w14:paraId="4EDBFA1E" w14:textId="77777777" w:rsidR="00CF2742" w:rsidRPr="006F29F5" w:rsidRDefault="00CF2742" w:rsidP="00DF4459">
            <w:pPr>
              <w:pStyle w:val="ListParagraph"/>
              <w:numPr>
                <w:ilvl w:val="0"/>
                <w:numId w:val="36"/>
              </w:numPr>
              <w:autoSpaceDE w:val="0"/>
              <w:autoSpaceDN w:val="0"/>
              <w:adjustRightInd w:val="0"/>
              <w:rPr>
                <w:rFonts w:cs="Times New Roman"/>
                <w:b w:val="0"/>
                <w:kern w:val="2"/>
                <w:sz w:val="20"/>
              </w:rPr>
            </w:pPr>
            <w:r w:rsidRPr="006F29F5">
              <w:rPr>
                <w:rFonts w:cs="Times New Roman"/>
                <w:b w:val="0"/>
                <w:kern w:val="2"/>
                <w:sz w:val="20"/>
              </w:rPr>
              <w:t>Canada has ratified the Merida Convention, the Inter-American Convention on Mutual Legal Assistance in Criminal Matters, the Vienna and Palermo Conventions, the Organization of American States Inter-American Convention on Mutual Assistance in Criminal Matters, and the Organisation for Economic Co-operation and Development’s Convention on Combating Bribery of Foreign Public Officials in International Business Transactions.</w:t>
            </w:r>
          </w:p>
          <w:p w14:paraId="6817317B" w14:textId="77777777" w:rsidR="00CF2742" w:rsidRPr="006F29F5" w:rsidRDefault="00CF2742" w:rsidP="00DF4459">
            <w:pPr>
              <w:autoSpaceDE w:val="0"/>
              <w:autoSpaceDN w:val="0"/>
              <w:adjustRightInd w:val="0"/>
              <w:ind w:left="720"/>
              <w:rPr>
                <w:rFonts w:cs="Times New Roman"/>
                <w:b/>
                <w:bCs/>
                <w:kern w:val="2"/>
                <w:sz w:val="20"/>
              </w:rPr>
            </w:pPr>
            <w:r w:rsidRPr="006F29F5">
              <w:rPr>
                <w:rFonts w:cs="Times New Roman"/>
                <w:b/>
                <w:bCs/>
                <w:kern w:val="2"/>
                <w:sz w:val="20"/>
              </w:rPr>
              <w:t>A.2. Legal Preconditions for the Provision of MLA</w:t>
            </w:r>
          </w:p>
          <w:p w14:paraId="5CD21AB1" w14:textId="77777777" w:rsidR="00CF2742" w:rsidRPr="006F29F5" w:rsidRDefault="00CF2742" w:rsidP="00DF4459">
            <w:pPr>
              <w:pStyle w:val="ListParagraph"/>
              <w:numPr>
                <w:ilvl w:val="0"/>
                <w:numId w:val="37"/>
              </w:numPr>
              <w:autoSpaceDE w:val="0"/>
              <w:autoSpaceDN w:val="0"/>
              <w:adjustRightInd w:val="0"/>
              <w:ind w:left="360"/>
              <w:rPr>
                <w:rFonts w:cs="Times New Roman"/>
                <w:b w:val="0"/>
                <w:kern w:val="2"/>
                <w:sz w:val="20"/>
              </w:rPr>
            </w:pPr>
            <w:r w:rsidRPr="006F29F5">
              <w:rPr>
                <w:rFonts w:cs="Times New Roman"/>
                <w:b w:val="0"/>
                <w:kern w:val="2"/>
                <w:sz w:val="20"/>
              </w:rPr>
              <w:t>Dual criminality is generally not required for requests based on bilateral or multilateral treaties. Administrative agreements with non-treaty states may be concluded only for indictable offenses under Canadian law and thus require dual criminality.</w:t>
            </w:r>
          </w:p>
          <w:p w14:paraId="0356DE6F" w14:textId="77777777" w:rsidR="00CF2742" w:rsidRPr="006F29F5" w:rsidRDefault="00CF2742" w:rsidP="00DF4459">
            <w:pPr>
              <w:pStyle w:val="ListParagraph"/>
              <w:numPr>
                <w:ilvl w:val="0"/>
                <w:numId w:val="37"/>
              </w:numPr>
              <w:autoSpaceDE w:val="0"/>
              <w:autoSpaceDN w:val="0"/>
              <w:adjustRightInd w:val="0"/>
              <w:ind w:left="360"/>
              <w:rPr>
                <w:rFonts w:cs="Times New Roman"/>
                <w:b w:val="0"/>
                <w:kern w:val="2"/>
                <w:sz w:val="20"/>
              </w:rPr>
            </w:pPr>
            <w:r w:rsidRPr="006F29F5">
              <w:rPr>
                <w:rFonts w:cs="Times New Roman"/>
                <w:b w:val="0"/>
                <w:kern w:val="2"/>
                <w:sz w:val="20"/>
              </w:rPr>
              <w:t>Foreign restraint and seizing orders may be enforced directly in Canada only if they relate to an indictable offense under Canadian law.</w:t>
            </w:r>
          </w:p>
          <w:p w14:paraId="369FEB8B" w14:textId="77777777" w:rsidR="00CF2742" w:rsidRPr="006F29F5" w:rsidRDefault="00CF2742" w:rsidP="00DF4459">
            <w:pPr>
              <w:pStyle w:val="ListParagraph"/>
              <w:numPr>
                <w:ilvl w:val="0"/>
                <w:numId w:val="37"/>
              </w:numPr>
              <w:autoSpaceDE w:val="0"/>
              <w:autoSpaceDN w:val="0"/>
              <w:adjustRightInd w:val="0"/>
              <w:ind w:left="360"/>
              <w:rPr>
                <w:rFonts w:cs="Times New Roman"/>
                <w:b w:val="0"/>
                <w:kern w:val="2"/>
                <w:sz w:val="20"/>
              </w:rPr>
            </w:pPr>
            <w:r w:rsidRPr="006F29F5">
              <w:rPr>
                <w:rFonts w:cs="Times New Roman"/>
                <w:b w:val="0"/>
                <w:kern w:val="2"/>
                <w:sz w:val="20"/>
              </w:rPr>
              <w:t>Reciprocity is required and assumed for countries that have signed a relevant treaty, convention, or administrative agreement with Canada. Administrative agreements may be entered into for specific cases and in the absence of an applicable treaty.</w:t>
            </w:r>
          </w:p>
          <w:p w14:paraId="301BF536" w14:textId="77777777" w:rsidR="00CF2742" w:rsidRPr="006F29F5" w:rsidRDefault="00CF2742" w:rsidP="00DF4459">
            <w:pPr>
              <w:autoSpaceDE w:val="0"/>
              <w:autoSpaceDN w:val="0"/>
              <w:adjustRightInd w:val="0"/>
              <w:ind w:left="720"/>
              <w:rPr>
                <w:rFonts w:cs="Times New Roman"/>
                <w:b/>
                <w:bCs/>
                <w:kern w:val="2"/>
                <w:sz w:val="20"/>
              </w:rPr>
            </w:pPr>
            <w:r w:rsidRPr="006F29F5">
              <w:rPr>
                <w:rFonts w:cs="Times New Roman"/>
                <w:b/>
                <w:bCs/>
                <w:kern w:val="2"/>
                <w:sz w:val="20"/>
              </w:rPr>
              <w:t>A.3. Grounds for Refusal of MLA</w:t>
            </w:r>
          </w:p>
          <w:p w14:paraId="3B9AD78F" w14:textId="77777777" w:rsidR="00CF2742" w:rsidRPr="006F29F5" w:rsidRDefault="00CF2742" w:rsidP="00DF4459">
            <w:pPr>
              <w:autoSpaceDE w:val="0"/>
              <w:autoSpaceDN w:val="0"/>
              <w:adjustRightInd w:val="0"/>
              <w:ind w:left="431" w:hanging="431"/>
              <w:rPr>
                <w:rFonts w:cs="Times New Roman"/>
                <w:kern w:val="2"/>
                <w:sz w:val="20"/>
              </w:rPr>
            </w:pPr>
            <w:r w:rsidRPr="006F29F5">
              <w:rPr>
                <w:rFonts w:cs="Times New Roman"/>
                <w:kern w:val="2"/>
                <w:sz w:val="20"/>
              </w:rPr>
              <w:t>Pursuant to MLACMA Section 9.4, the minister of justice must refuse requests if there are:</w:t>
            </w:r>
          </w:p>
          <w:p w14:paraId="3E4C529B" w14:textId="77777777" w:rsidR="00CF2742" w:rsidRPr="006F29F5" w:rsidRDefault="00CF2742" w:rsidP="00DF4459">
            <w:pPr>
              <w:pStyle w:val="ListParagraph"/>
              <w:numPr>
                <w:ilvl w:val="0"/>
                <w:numId w:val="38"/>
              </w:numPr>
              <w:autoSpaceDE w:val="0"/>
              <w:autoSpaceDN w:val="0"/>
              <w:adjustRightInd w:val="0"/>
              <w:rPr>
                <w:rFonts w:cs="Times New Roman"/>
                <w:b w:val="0"/>
                <w:kern w:val="2"/>
                <w:sz w:val="20"/>
              </w:rPr>
            </w:pPr>
            <w:r w:rsidRPr="006F29F5">
              <w:rPr>
                <w:rFonts w:cs="Times New Roman"/>
                <w:b w:val="0"/>
                <w:kern w:val="2"/>
                <w:sz w:val="20"/>
              </w:rPr>
              <w:t>Reasonable grounds to believe that the request has been made for the purpose of punishing a person by reason of his or her race, sex, sexual orientation, religion, nationality, ethnic origin, language, color, age, mental or physical disability, or political opinion.</w:t>
            </w:r>
          </w:p>
          <w:p w14:paraId="1109CCFE" w14:textId="081D8B59" w:rsidR="00CF2742" w:rsidRPr="006F29F5" w:rsidRDefault="00CF2742" w:rsidP="00DF4459">
            <w:pPr>
              <w:pStyle w:val="ListParagraph"/>
              <w:numPr>
                <w:ilvl w:val="0"/>
                <w:numId w:val="38"/>
              </w:numPr>
              <w:autoSpaceDE w:val="0"/>
              <w:autoSpaceDN w:val="0"/>
              <w:adjustRightInd w:val="0"/>
              <w:rPr>
                <w:rFonts w:cs="Times New Roman"/>
                <w:b w:val="0"/>
                <w:kern w:val="2"/>
                <w:sz w:val="20"/>
              </w:rPr>
            </w:pPr>
            <w:r w:rsidRPr="006F29F5">
              <w:rPr>
                <w:rFonts w:cs="Times New Roman"/>
                <w:b w:val="0"/>
                <w:kern w:val="2"/>
                <w:sz w:val="20"/>
              </w:rPr>
              <w:t>Enforcement of the order would prejudice an ongoing proceeding or investigation.</w:t>
            </w:r>
          </w:p>
          <w:p w14:paraId="4009E718" w14:textId="09243CB2" w:rsidR="00CF2742" w:rsidRPr="006F29F5" w:rsidRDefault="00CF2742" w:rsidP="00DF4459">
            <w:pPr>
              <w:pStyle w:val="ListParagraph"/>
              <w:numPr>
                <w:ilvl w:val="0"/>
                <w:numId w:val="38"/>
              </w:numPr>
              <w:autoSpaceDE w:val="0"/>
              <w:autoSpaceDN w:val="0"/>
              <w:adjustRightInd w:val="0"/>
              <w:rPr>
                <w:rFonts w:cs="Times New Roman"/>
                <w:b w:val="0"/>
                <w:kern w:val="2"/>
                <w:sz w:val="20"/>
              </w:rPr>
            </w:pPr>
            <w:r w:rsidRPr="006F29F5">
              <w:rPr>
                <w:rFonts w:cs="Times New Roman"/>
                <w:b w:val="0"/>
                <w:kern w:val="2"/>
                <w:sz w:val="20"/>
              </w:rPr>
              <w:t>Enforcement of the order would impose an excessive burden on the resources of federal, provincial, or territorial authorities.</w:t>
            </w:r>
            <w:r w:rsidR="00220AC9" w:rsidRPr="006F29F5">
              <w:rPr>
                <w:rFonts w:cs="Times New Roman"/>
                <w:b w:val="0"/>
                <w:kern w:val="2"/>
                <w:sz w:val="20"/>
              </w:rPr>
              <w:t xml:space="preserve"> </w:t>
            </w:r>
          </w:p>
          <w:p w14:paraId="56F34DBF" w14:textId="77777777" w:rsidR="00CF2742" w:rsidRPr="006F29F5" w:rsidRDefault="00CF2742" w:rsidP="00DF4459">
            <w:pPr>
              <w:pStyle w:val="ListParagraph"/>
              <w:numPr>
                <w:ilvl w:val="0"/>
                <w:numId w:val="38"/>
              </w:numPr>
              <w:autoSpaceDE w:val="0"/>
              <w:autoSpaceDN w:val="0"/>
              <w:adjustRightInd w:val="0"/>
              <w:rPr>
                <w:rFonts w:cs="Times New Roman"/>
                <w:b w:val="0"/>
                <w:kern w:val="2"/>
                <w:sz w:val="20"/>
              </w:rPr>
            </w:pPr>
            <w:r w:rsidRPr="006F29F5">
              <w:rPr>
                <w:rFonts w:cs="Times New Roman"/>
                <w:b w:val="0"/>
                <w:kern w:val="2"/>
                <w:sz w:val="20"/>
              </w:rPr>
              <w:t>Enforcement of the order might prejudice Canada’s security, national interest, or sovereignty.</w:t>
            </w:r>
          </w:p>
          <w:p w14:paraId="4EFA83E9" w14:textId="77777777" w:rsidR="00CF2742" w:rsidRPr="006F29F5" w:rsidRDefault="00CF2742" w:rsidP="00DF4459">
            <w:pPr>
              <w:pStyle w:val="ListParagraph"/>
              <w:numPr>
                <w:ilvl w:val="0"/>
                <w:numId w:val="38"/>
              </w:numPr>
              <w:autoSpaceDE w:val="0"/>
              <w:autoSpaceDN w:val="0"/>
              <w:adjustRightInd w:val="0"/>
              <w:rPr>
                <w:rFonts w:cs="Times New Roman"/>
                <w:b w:val="0"/>
                <w:kern w:val="2"/>
                <w:sz w:val="20"/>
              </w:rPr>
            </w:pPr>
            <w:r w:rsidRPr="006F29F5">
              <w:rPr>
                <w:rFonts w:cs="Times New Roman"/>
                <w:b w:val="0"/>
                <w:kern w:val="2"/>
                <w:sz w:val="20"/>
              </w:rPr>
              <w:t>Refusal of the request is in the public interest.</w:t>
            </w:r>
          </w:p>
          <w:p w14:paraId="7BA34E38" w14:textId="77777777" w:rsidR="00CF2742" w:rsidRPr="006F29F5" w:rsidRDefault="00CF2742" w:rsidP="00DF4459">
            <w:pPr>
              <w:autoSpaceDE w:val="0"/>
              <w:autoSpaceDN w:val="0"/>
              <w:adjustRightInd w:val="0"/>
              <w:spacing w:before="0"/>
              <w:rPr>
                <w:rFonts w:cs="Times New Roman"/>
                <w:kern w:val="2"/>
                <w:sz w:val="20"/>
              </w:rPr>
            </w:pPr>
            <w:r w:rsidRPr="006F29F5">
              <w:rPr>
                <w:rFonts w:cs="Times New Roman"/>
                <w:kern w:val="2"/>
                <w:sz w:val="20"/>
              </w:rPr>
              <w:t>Further grounds for refusal may be contained in applicable bilateral, multilateral, or administrative agreements.</w:t>
            </w:r>
          </w:p>
          <w:p w14:paraId="42FCAC9C" w14:textId="77777777" w:rsidR="00CF2742" w:rsidRPr="006F29F5" w:rsidRDefault="00CF2742" w:rsidP="00DF4459">
            <w:pPr>
              <w:autoSpaceDE w:val="0"/>
              <w:autoSpaceDN w:val="0"/>
              <w:adjustRightInd w:val="0"/>
              <w:rPr>
                <w:rFonts w:cs="Times New Roman"/>
                <w:b/>
                <w:bCs/>
                <w:iCs/>
                <w:kern w:val="2"/>
                <w:sz w:val="20"/>
              </w:rPr>
            </w:pPr>
            <w:r w:rsidRPr="006F29F5">
              <w:rPr>
                <w:rFonts w:cs="Times New Roman"/>
                <w:b/>
                <w:bCs/>
                <w:iCs/>
                <w:kern w:val="2"/>
                <w:sz w:val="20"/>
              </w:rPr>
              <w:t>B. MLA General Procedures</w:t>
            </w:r>
          </w:p>
          <w:p w14:paraId="7276B6A8" w14:textId="77777777" w:rsidR="00CF2742" w:rsidRPr="006F29F5" w:rsidRDefault="00CF2742" w:rsidP="00DF4459">
            <w:pPr>
              <w:autoSpaceDE w:val="0"/>
              <w:autoSpaceDN w:val="0"/>
              <w:adjustRightInd w:val="0"/>
              <w:ind w:left="720"/>
              <w:jc w:val="left"/>
              <w:rPr>
                <w:rFonts w:cs="Times New Roman"/>
                <w:b/>
                <w:bCs/>
                <w:kern w:val="2"/>
                <w:sz w:val="20"/>
              </w:rPr>
            </w:pPr>
            <w:r w:rsidRPr="006F29F5">
              <w:rPr>
                <w:rFonts w:cs="Times New Roman"/>
                <w:b/>
                <w:bCs/>
                <w:kern w:val="2"/>
                <w:sz w:val="20"/>
              </w:rPr>
              <w:t>B.1. Central Authority Competent to Receive, Process, and Implement MLA Requests in Criminal Matters</w:t>
            </w:r>
          </w:p>
          <w:p w14:paraId="4F4A5101" w14:textId="77777777" w:rsidR="00CF2742" w:rsidRPr="006F29F5" w:rsidRDefault="00CF2742" w:rsidP="00DF4459">
            <w:pPr>
              <w:pStyle w:val="ListParagraph"/>
              <w:numPr>
                <w:ilvl w:val="0"/>
                <w:numId w:val="39"/>
              </w:numPr>
              <w:autoSpaceDE w:val="0"/>
              <w:autoSpaceDN w:val="0"/>
              <w:adjustRightInd w:val="0"/>
              <w:ind w:left="360"/>
              <w:rPr>
                <w:rFonts w:cs="Times New Roman"/>
                <w:b w:val="0"/>
                <w:kern w:val="2"/>
                <w:sz w:val="20"/>
              </w:rPr>
            </w:pPr>
            <w:r w:rsidRPr="006F29F5">
              <w:rPr>
                <w:rFonts w:cs="Times New Roman"/>
                <w:b w:val="0"/>
                <w:kern w:val="2"/>
                <w:sz w:val="20"/>
              </w:rPr>
              <w:t>The Ministry of Justice is the central authority to receive any requests for MLA.</w:t>
            </w:r>
          </w:p>
          <w:p w14:paraId="71126482" w14:textId="77777777" w:rsidR="00CF2742" w:rsidRPr="006F29F5" w:rsidRDefault="00CF2742" w:rsidP="00DF4459">
            <w:pPr>
              <w:pStyle w:val="ListParagraph"/>
              <w:numPr>
                <w:ilvl w:val="0"/>
                <w:numId w:val="39"/>
              </w:numPr>
              <w:autoSpaceDE w:val="0"/>
              <w:autoSpaceDN w:val="0"/>
              <w:adjustRightInd w:val="0"/>
              <w:ind w:left="360"/>
              <w:rPr>
                <w:rFonts w:cs="Times New Roman"/>
                <w:b w:val="0"/>
                <w:bCs/>
                <w:kern w:val="2"/>
                <w:sz w:val="20"/>
              </w:rPr>
            </w:pPr>
            <w:r w:rsidRPr="006F29F5">
              <w:rPr>
                <w:rFonts w:cs="Times New Roman"/>
                <w:b w:val="0"/>
                <w:kern w:val="2"/>
                <w:sz w:val="20"/>
              </w:rPr>
              <w:t>In practice, the ministry performs its function as central authority through the International Assistance Group (IAG), which reviews and coordinates the implementation of MLA requests. The IAG may receive requests either through diplomatic channels or directly from the central authority of the requested entity or state.</w:t>
            </w:r>
          </w:p>
          <w:p w14:paraId="69A6C490" w14:textId="77777777" w:rsidR="00CF2742" w:rsidRPr="006F29F5" w:rsidRDefault="00CF2742" w:rsidP="00DF4459">
            <w:pPr>
              <w:autoSpaceDE w:val="0"/>
              <w:autoSpaceDN w:val="0"/>
              <w:adjustRightInd w:val="0"/>
              <w:ind w:left="720"/>
              <w:rPr>
                <w:rFonts w:cs="Times New Roman"/>
                <w:b/>
                <w:bCs/>
                <w:kern w:val="2"/>
                <w:sz w:val="20"/>
              </w:rPr>
            </w:pPr>
            <w:r w:rsidRPr="006F29F5">
              <w:rPr>
                <w:rFonts w:cs="Times New Roman"/>
                <w:b/>
                <w:bCs/>
                <w:kern w:val="2"/>
                <w:sz w:val="20"/>
              </w:rPr>
              <w:t>B.2. Language Requirements</w:t>
            </w:r>
          </w:p>
          <w:p w14:paraId="46EDF77F" w14:textId="77777777" w:rsidR="00CF2742" w:rsidRDefault="00CF2742" w:rsidP="00DF4459">
            <w:pPr>
              <w:pStyle w:val="ListParagraph"/>
              <w:numPr>
                <w:ilvl w:val="0"/>
                <w:numId w:val="58"/>
              </w:numPr>
              <w:autoSpaceDE w:val="0"/>
              <w:autoSpaceDN w:val="0"/>
              <w:adjustRightInd w:val="0"/>
              <w:ind w:left="360"/>
              <w:rPr>
                <w:rFonts w:cs="Times New Roman"/>
                <w:b w:val="0"/>
                <w:kern w:val="2"/>
                <w:sz w:val="20"/>
              </w:rPr>
            </w:pPr>
            <w:r w:rsidRPr="006F29F5">
              <w:rPr>
                <w:rFonts w:cs="Times New Roman"/>
                <w:b w:val="0"/>
                <w:kern w:val="2"/>
                <w:sz w:val="20"/>
              </w:rPr>
              <w:t>Requests have to be submitted in English or French.</w:t>
            </w:r>
          </w:p>
          <w:p w14:paraId="05472B1D" w14:textId="77777777" w:rsidR="00DF4459" w:rsidRPr="006F29F5" w:rsidRDefault="00DF4459" w:rsidP="00DF4459">
            <w:pPr>
              <w:autoSpaceDE w:val="0"/>
              <w:autoSpaceDN w:val="0"/>
              <w:adjustRightInd w:val="0"/>
              <w:rPr>
                <w:rFonts w:cs="Times New Roman"/>
                <w:b/>
                <w:bCs/>
                <w:iCs/>
                <w:kern w:val="2"/>
                <w:sz w:val="20"/>
              </w:rPr>
            </w:pPr>
            <w:r w:rsidRPr="006F29F5">
              <w:rPr>
                <w:rFonts w:cs="Times New Roman"/>
                <w:b/>
                <w:bCs/>
                <w:iCs/>
                <w:kern w:val="2"/>
                <w:sz w:val="20"/>
              </w:rPr>
              <w:t>C. Asset Recovery Specific</w:t>
            </w:r>
          </w:p>
          <w:p w14:paraId="164DA10D" w14:textId="77777777" w:rsidR="00DF4459" w:rsidRPr="006F29F5" w:rsidRDefault="00DF4459" w:rsidP="00DF4459">
            <w:pPr>
              <w:autoSpaceDE w:val="0"/>
              <w:autoSpaceDN w:val="0"/>
              <w:adjustRightInd w:val="0"/>
              <w:ind w:left="720"/>
              <w:rPr>
                <w:rFonts w:cs="Times New Roman"/>
                <w:b/>
                <w:bCs/>
                <w:kern w:val="2"/>
                <w:sz w:val="20"/>
              </w:rPr>
            </w:pPr>
            <w:r w:rsidRPr="006F29F5">
              <w:rPr>
                <w:rFonts w:cs="Times New Roman"/>
                <w:b/>
                <w:bCs/>
                <w:kern w:val="2"/>
                <w:sz w:val="20"/>
              </w:rPr>
              <w:t>C.1. Stage of Proceedings at Which Assistance may be Requested</w:t>
            </w:r>
          </w:p>
          <w:p w14:paraId="3B282BF5" w14:textId="77777777" w:rsidR="00DF4459" w:rsidRPr="006F29F5" w:rsidRDefault="00DF4459" w:rsidP="00DF4459">
            <w:pPr>
              <w:pStyle w:val="ListParagraph"/>
              <w:numPr>
                <w:ilvl w:val="0"/>
                <w:numId w:val="40"/>
              </w:numPr>
              <w:autoSpaceDE w:val="0"/>
              <w:autoSpaceDN w:val="0"/>
              <w:adjustRightInd w:val="0"/>
              <w:ind w:left="360"/>
              <w:rPr>
                <w:rFonts w:cs="Times New Roman"/>
                <w:b w:val="0"/>
                <w:kern w:val="2"/>
                <w:sz w:val="20"/>
              </w:rPr>
            </w:pPr>
            <w:r w:rsidRPr="006F29F5">
              <w:rPr>
                <w:rFonts w:cs="Times New Roman"/>
                <w:b w:val="0"/>
                <w:kern w:val="2"/>
                <w:sz w:val="20"/>
              </w:rPr>
              <w:t>Tracing measures under the MLACM are available once a criminal investigation has been initiated in the requesting country.</w:t>
            </w:r>
          </w:p>
          <w:p w14:paraId="0F2B2219" w14:textId="77777777" w:rsidR="00DF4459" w:rsidRPr="006F29F5" w:rsidRDefault="00DF4459" w:rsidP="00DF4459">
            <w:pPr>
              <w:pStyle w:val="ListParagraph"/>
              <w:numPr>
                <w:ilvl w:val="0"/>
                <w:numId w:val="40"/>
              </w:numPr>
              <w:autoSpaceDE w:val="0"/>
              <w:autoSpaceDN w:val="0"/>
              <w:adjustRightInd w:val="0"/>
              <w:ind w:left="360"/>
              <w:rPr>
                <w:rFonts w:cs="Times New Roman"/>
                <w:b w:val="0"/>
                <w:kern w:val="2"/>
                <w:sz w:val="20"/>
              </w:rPr>
            </w:pPr>
            <w:r w:rsidRPr="006F29F5">
              <w:rPr>
                <w:rFonts w:cs="Times New Roman"/>
                <w:b w:val="0"/>
                <w:kern w:val="2"/>
                <w:sz w:val="20"/>
              </w:rPr>
              <w:t>The measures under the EA, including direct enforcement of foreign freezing and seizing orders, are available only after formal charges have been brought before a foreign court or tribunal. It is not required that a conviction has been obtained.</w:t>
            </w:r>
          </w:p>
          <w:p w14:paraId="1EDBC96C" w14:textId="77777777" w:rsidR="003F156F" w:rsidRPr="006F29F5" w:rsidRDefault="003F156F" w:rsidP="003F156F">
            <w:pPr>
              <w:autoSpaceDE w:val="0"/>
              <w:autoSpaceDN w:val="0"/>
              <w:adjustRightInd w:val="0"/>
              <w:rPr>
                <w:rFonts w:cs="Times New Roman"/>
                <w:b/>
                <w:bCs/>
                <w:iCs/>
                <w:kern w:val="2"/>
                <w:sz w:val="20"/>
              </w:rPr>
            </w:pPr>
            <w:r w:rsidRPr="006F29F5">
              <w:rPr>
                <w:rFonts w:cs="Times New Roman"/>
                <w:b/>
                <w:bCs/>
                <w:iCs/>
                <w:kern w:val="2"/>
                <w:sz w:val="20"/>
              </w:rPr>
              <w:t>Tracing</w:t>
            </w:r>
          </w:p>
          <w:p w14:paraId="70CAFBCA" w14:textId="77777777" w:rsidR="003F156F" w:rsidRPr="006F29F5" w:rsidRDefault="003F156F" w:rsidP="003F156F">
            <w:pPr>
              <w:autoSpaceDE w:val="0"/>
              <w:autoSpaceDN w:val="0"/>
              <w:adjustRightInd w:val="0"/>
              <w:ind w:left="720"/>
              <w:rPr>
                <w:rFonts w:cs="Times New Roman"/>
                <w:b/>
                <w:bCs/>
                <w:kern w:val="2"/>
                <w:sz w:val="20"/>
              </w:rPr>
            </w:pPr>
            <w:r w:rsidRPr="006F29F5">
              <w:rPr>
                <w:rFonts w:cs="Times New Roman"/>
                <w:b/>
                <w:bCs/>
                <w:kern w:val="2"/>
                <w:sz w:val="20"/>
              </w:rPr>
              <w:t>C.2. Available Tracing Mechanisms</w:t>
            </w:r>
          </w:p>
          <w:p w14:paraId="7E4E0DD0" w14:textId="77777777" w:rsidR="003F156F" w:rsidRPr="006F29F5" w:rsidRDefault="003F156F" w:rsidP="003F156F">
            <w:pPr>
              <w:pStyle w:val="ListParagraph"/>
              <w:numPr>
                <w:ilvl w:val="0"/>
                <w:numId w:val="41"/>
              </w:numPr>
              <w:autoSpaceDE w:val="0"/>
              <w:autoSpaceDN w:val="0"/>
              <w:adjustRightInd w:val="0"/>
              <w:spacing w:before="160"/>
              <w:ind w:left="360"/>
              <w:rPr>
                <w:rFonts w:cs="Times New Roman"/>
                <w:b w:val="0"/>
                <w:kern w:val="2"/>
                <w:sz w:val="20"/>
              </w:rPr>
            </w:pPr>
            <w:r w:rsidRPr="006F29F5">
              <w:rPr>
                <w:rFonts w:cs="Times New Roman"/>
                <w:b w:val="0"/>
                <w:kern w:val="2"/>
                <w:sz w:val="20"/>
              </w:rPr>
              <w:t xml:space="preserve">Under MLACMA Section 11 and 12, search warrants may be issued by a Canadian court if there are reasonable grounds to believe that an offense has been committed under the law of the requesting country, evidence of the commission of the offense or information on the whereabouts of a suspect will be found in the place to be searched, and it would not be appropriate to issue a production order. The person executing the search warrant may seize </w:t>
            </w:r>
            <w:proofErr w:type="spellStart"/>
            <w:r w:rsidRPr="006F29F5">
              <w:rPr>
                <w:rFonts w:cs="Times New Roman"/>
                <w:b w:val="0"/>
                <w:kern w:val="2"/>
                <w:sz w:val="20"/>
              </w:rPr>
              <w:t>any thing</w:t>
            </w:r>
            <w:proofErr w:type="spellEnd"/>
            <w:r w:rsidRPr="006F29F5">
              <w:rPr>
                <w:rFonts w:cs="Times New Roman"/>
                <w:b w:val="0"/>
                <w:kern w:val="2"/>
                <w:sz w:val="20"/>
              </w:rPr>
              <w:t xml:space="preserve"> he believes will afford evidence of, has been obtained by, is intended to be used, or has been used in the commission of an offense.</w:t>
            </w:r>
          </w:p>
          <w:p w14:paraId="1374CD77" w14:textId="77777777" w:rsidR="003F156F" w:rsidRPr="006F29F5" w:rsidRDefault="003F156F" w:rsidP="003F156F">
            <w:pPr>
              <w:pStyle w:val="ListParagraph"/>
              <w:numPr>
                <w:ilvl w:val="0"/>
                <w:numId w:val="41"/>
              </w:numPr>
              <w:autoSpaceDE w:val="0"/>
              <w:autoSpaceDN w:val="0"/>
              <w:adjustRightInd w:val="0"/>
              <w:spacing w:before="160"/>
              <w:ind w:left="360"/>
              <w:rPr>
                <w:rFonts w:cs="Times New Roman"/>
                <w:b w:val="0"/>
                <w:kern w:val="2"/>
                <w:sz w:val="20"/>
              </w:rPr>
            </w:pPr>
            <w:r w:rsidRPr="006F29F5">
              <w:rPr>
                <w:rFonts w:cs="Times New Roman"/>
                <w:b w:val="0"/>
                <w:kern w:val="2"/>
                <w:sz w:val="20"/>
              </w:rPr>
              <w:t>Under MLACMA Section 18, a Canadian judge may issue a production order if there are grounds to believe that an offense has been committed under the law of the requesting country, and evidence of the commission of the offense or information on the whereabouts of the suspect will be found in Canada. Items or documents subject to privilege or nondisclosure under Canadian law cannot be compelled. EA Section 46 also allows for the issuance of production orders and for the compelled testimony of witnesses by Canadian courts if criminal charges have been brought in the requesting country.</w:t>
            </w:r>
          </w:p>
          <w:p w14:paraId="02FB0D19" w14:textId="77777777" w:rsidR="003F156F" w:rsidRPr="006F29F5" w:rsidRDefault="003F156F" w:rsidP="003F156F">
            <w:pPr>
              <w:pStyle w:val="ListParagraph"/>
              <w:numPr>
                <w:ilvl w:val="0"/>
                <w:numId w:val="41"/>
              </w:numPr>
              <w:autoSpaceDE w:val="0"/>
              <w:autoSpaceDN w:val="0"/>
              <w:adjustRightInd w:val="0"/>
              <w:spacing w:before="160"/>
              <w:ind w:left="360"/>
              <w:rPr>
                <w:rFonts w:cs="Times New Roman"/>
                <w:b w:val="0"/>
                <w:kern w:val="2"/>
                <w:sz w:val="20"/>
              </w:rPr>
            </w:pPr>
            <w:r w:rsidRPr="006F29F5">
              <w:rPr>
                <w:rFonts w:cs="Times New Roman"/>
                <w:b w:val="0"/>
                <w:kern w:val="2"/>
                <w:sz w:val="20"/>
              </w:rPr>
              <w:t>Other measures provided for under the MLACMA and the EA include video or audio-link of a witness in Canada to proceedings in a foreign jurisdiction, an order for the lending of exhibits that have been tendered in Canadian court proceedings, an order for the examination of a place or site in Canada, the transfer of a sentenced prisoner to testify or assist in an investigation, and service of documents and account monitoring orders.</w:t>
            </w:r>
          </w:p>
          <w:p w14:paraId="74323AC4" w14:textId="77777777" w:rsidR="003F156F" w:rsidRPr="006F29F5" w:rsidRDefault="003F156F" w:rsidP="003F156F">
            <w:pPr>
              <w:autoSpaceDE w:val="0"/>
              <w:autoSpaceDN w:val="0"/>
              <w:adjustRightInd w:val="0"/>
              <w:ind w:left="720"/>
              <w:rPr>
                <w:rFonts w:cs="Times New Roman"/>
                <w:b/>
                <w:bCs/>
                <w:kern w:val="2"/>
                <w:sz w:val="20"/>
              </w:rPr>
            </w:pPr>
            <w:r w:rsidRPr="006F29F5">
              <w:rPr>
                <w:rFonts w:cs="Times New Roman"/>
                <w:b/>
                <w:bCs/>
                <w:kern w:val="2"/>
                <w:sz w:val="20"/>
              </w:rPr>
              <w:t>C.3. Access to Information Covered by Banking or Professional Secrecy</w:t>
            </w:r>
          </w:p>
          <w:p w14:paraId="4605645F" w14:textId="77777777" w:rsidR="003F156F" w:rsidRPr="006F29F5" w:rsidRDefault="003F156F" w:rsidP="003F156F">
            <w:pPr>
              <w:pStyle w:val="ListParagraph"/>
              <w:numPr>
                <w:ilvl w:val="0"/>
                <w:numId w:val="58"/>
              </w:numPr>
              <w:autoSpaceDE w:val="0"/>
              <w:autoSpaceDN w:val="0"/>
              <w:adjustRightInd w:val="0"/>
              <w:ind w:left="360"/>
              <w:rPr>
                <w:rFonts w:cs="Times New Roman"/>
                <w:b w:val="0"/>
                <w:kern w:val="2"/>
                <w:sz w:val="20"/>
              </w:rPr>
            </w:pPr>
            <w:r w:rsidRPr="006F29F5">
              <w:rPr>
                <w:rFonts w:cs="Times New Roman"/>
                <w:b w:val="0"/>
                <w:kern w:val="2"/>
                <w:sz w:val="20"/>
              </w:rPr>
              <w:t>Privileged information can be obtained pursuant to an MLAT search warrant if any information over which privilege is claimed is sealed and filed with the court.</w:t>
            </w:r>
          </w:p>
          <w:p w14:paraId="57E861F5" w14:textId="77777777" w:rsidR="003F156F" w:rsidRPr="006F29F5" w:rsidRDefault="003F156F" w:rsidP="003F156F">
            <w:pPr>
              <w:autoSpaceDE w:val="0"/>
              <w:autoSpaceDN w:val="0"/>
              <w:adjustRightInd w:val="0"/>
              <w:spacing w:before="120"/>
              <w:rPr>
                <w:rFonts w:cs="Times New Roman"/>
                <w:b/>
                <w:bCs/>
                <w:iCs/>
                <w:kern w:val="2"/>
                <w:sz w:val="20"/>
              </w:rPr>
            </w:pPr>
            <w:r w:rsidRPr="006F29F5">
              <w:rPr>
                <w:rFonts w:cs="Times New Roman"/>
                <w:b/>
                <w:bCs/>
                <w:iCs/>
                <w:kern w:val="2"/>
                <w:sz w:val="20"/>
              </w:rPr>
              <w:t>Provisional Measures (Freezing, Seizing, and Restraint Orders)</w:t>
            </w:r>
          </w:p>
          <w:p w14:paraId="0902DEDB" w14:textId="77777777" w:rsidR="003F156F" w:rsidRPr="006F29F5" w:rsidRDefault="003F156F" w:rsidP="003F156F">
            <w:pPr>
              <w:autoSpaceDE w:val="0"/>
              <w:autoSpaceDN w:val="0"/>
              <w:adjustRightInd w:val="0"/>
              <w:ind w:left="720"/>
              <w:rPr>
                <w:rFonts w:cs="Times New Roman"/>
                <w:b/>
                <w:bCs/>
                <w:i/>
                <w:iCs/>
                <w:kern w:val="2"/>
                <w:sz w:val="20"/>
              </w:rPr>
            </w:pPr>
            <w:r w:rsidRPr="006F29F5">
              <w:rPr>
                <w:rFonts w:cs="Times New Roman"/>
                <w:b/>
                <w:bCs/>
                <w:kern w:val="2"/>
                <w:sz w:val="20"/>
              </w:rPr>
              <w:t>C.4. Direct Enforcement of Foreign Freezing or Seizing Orders</w:t>
            </w:r>
          </w:p>
          <w:p w14:paraId="4E2C2BC8" w14:textId="77777777" w:rsidR="003F156F" w:rsidRPr="006F29F5" w:rsidRDefault="003F156F" w:rsidP="003F156F">
            <w:pPr>
              <w:pStyle w:val="ListParagraph"/>
              <w:numPr>
                <w:ilvl w:val="0"/>
                <w:numId w:val="42"/>
              </w:numPr>
              <w:autoSpaceDE w:val="0"/>
              <w:autoSpaceDN w:val="0"/>
              <w:adjustRightInd w:val="0"/>
              <w:spacing w:before="240" w:after="240"/>
              <w:ind w:left="360"/>
              <w:rPr>
                <w:rFonts w:cs="Times New Roman"/>
                <w:b w:val="0"/>
                <w:kern w:val="2"/>
                <w:sz w:val="20"/>
              </w:rPr>
            </w:pPr>
            <w:r w:rsidRPr="006F29F5">
              <w:rPr>
                <w:rFonts w:cs="Times New Roman"/>
                <w:b w:val="0"/>
                <w:kern w:val="2"/>
                <w:sz w:val="20"/>
              </w:rPr>
              <w:t>MLACMA Section 9.3 allows for the direct enforcement of foreign restraint or seizing orders if a person has been charged with an offense in the requesting jurisdiction and if the offense would be an indictable offense in Canada.</w:t>
            </w:r>
          </w:p>
          <w:p w14:paraId="0F9888A7" w14:textId="77777777" w:rsidR="003F156F" w:rsidRPr="006F29F5" w:rsidRDefault="003F156F" w:rsidP="003F156F">
            <w:pPr>
              <w:pStyle w:val="ListParagraph"/>
              <w:numPr>
                <w:ilvl w:val="0"/>
                <w:numId w:val="42"/>
              </w:numPr>
              <w:autoSpaceDE w:val="0"/>
              <w:autoSpaceDN w:val="0"/>
              <w:adjustRightInd w:val="0"/>
              <w:spacing w:before="240" w:after="240"/>
              <w:ind w:left="360"/>
              <w:rPr>
                <w:rFonts w:cs="Times New Roman"/>
                <w:b w:val="0"/>
                <w:kern w:val="2"/>
                <w:sz w:val="20"/>
              </w:rPr>
            </w:pPr>
            <w:r w:rsidRPr="006F29F5">
              <w:rPr>
                <w:rFonts w:cs="Times New Roman"/>
                <w:b w:val="0"/>
                <w:kern w:val="2"/>
                <w:sz w:val="20"/>
              </w:rPr>
              <w:t>Upon approval by the minister of justice, the attorney general may file the order with the Superior Court of Criminal Jurisdiction of the relevant province. The order is then entered as an order of that court and may be executed in Canada.</w:t>
            </w:r>
          </w:p>
          <w:p w14:paraId="69BF1ED8" w14:textId="77777777" w:rsidR="003F156F" w:rsidRPr="006F29F5" w:rsidRDefault="003F156F" w:rsidP="003F156F">
            <w:pPr>
              <w:autoSpaceDE w:val="0"/>
              <w:autoSpaceDN w:val="0"/>
              <w:adjustRightInd w:val="0"/>
              <w:ind w:left="720"/>
              <w:jc w:val="left"/>
              <w:rPr>
                <w:rFonts w:cs="Times New Roman"/>
                <w:b/>
                <w:bCs/>
                <w:kern w:val="2"/>
                <w:sz w:val="20"/>
              </w:rPr>
            </w:pPr>
            <w:r w:rsidRPr="006F29F5">
              <w:rPr>
                <w:rFonts w:cs="Times New Roman"/>
                <w:b/>
                <w:bCs/>
                <w:kern w:val="2"/>
                <w:sz w:val="20"/>
              </w:rPr>
              <w:t>C.5. Issuance of Domestic Provisional Measures upon Request by a Foreign Jurisdiction</w:t>
            </w:r>
          </w:p>
          <w:p w14:paraId="640F3CCD" w14:textId="77777777" w:rsidR="003F156F" w:rsidRPr="006F29F5" w:rsidRDefault="003F156F" w:rsidP="003F156F">
            <w:pPr>
              <w:pStyle w:val="ListParagraph"/>
              <w:numPr>
                <w:ilvl w:val="0"/>
                <w:numId w:val="43"/>
              </w:numPr>
              <w:autoSpaceDE w:val="0"/>
              <w:autoSpaceDN w:val="0"/>
              <w:adjustRightInd w:val="0"/>
              <w:spacing w:before="40"/>
              <w:ind w:left="360"/>
              <w:rPr>
                <w:rFonts w:cs="Times New Roman"/>
                <w:kern w:val="2"/>
                <w:sz w:val="20"/>
              </w:rPr>
            </w:pPr>
            <w:r w:rsidRPr="006F29F5">
              <w:rPr>
                <w:rFonts w:cs="Times New Roman"/>
                <w:bCs/>
                <w:kern w:val="2"/>
                <w:sz w:val="20"/>
              </w:rPr>
              <w:t xml:space="preserve">Legal basis: </w:t>
            </w:r>
            <w:r w:rsidRPr="006F29F5">
              <w:rPr>
                <w:rFonts w:cs="Times New Roman"/>
                <w:b w:val="0"/>
                <w:kern w:val="2"/>
                <w:sz w:val="20"/>
              </w:rPr>
              <w:t>There are no provisions that permit domestic provisional measures within the Criminal Code to be used by a foreign state.</w:t>
            </w:r>
          </w:p>
          <w:p w14:paraId="379C79BC" w14:textId="77777777" w:rsidR="003F156F" w:rsidRPr="006F29F5" w:rsidRDefault="003F156F" w:rsidP="003F156F">
            <w:pPr>
              <w:pStyle w:val="ListParagraph"/>
              <w:numPr>
                <w:ilvl w:val="0"/>
                <w:numId w:val="43"/>
              </w:numPr>
              <w:autoSpaceDE w:val="0"/>
              <w:autoSpaceDN w:val="0"/>
              <w:adjustRightInd w:val="0"/>
              <w:spacing w:before="40"/>
              <w:ind w:left="360"/>
              <w:rPr>
                <w:rFonts w:cs="Times New Roman"/>
                <w:kern w:val="2"/>
                <w:sz w:val="20"/>
              </w:rPr>
            </w:pPr>
            <w:r w:rsidRPr="006F29F5">
              <w:rPr>
                <w:rFonts w:cs="Times New Roman"/>
                <w:bCs/>
                <w:kern w:val="2"/>
                <w:sz w:val="20"/>
              </w:rPr>
              <w:t>Procedure:</w:t>
            </w:r>
          </w:p>
          <w:p w14:paraId="08F70568" w14:textId="77777777" w:rsidR="003F156F" w:rsidRPr="006F29F5" w:rsidRDefault="003F156F" w:rsidP="003F156F">
            <w:pPr>
              <w:pStyle w:val="ListParagraph"/>
              <w:numPr>
                <w:ilvl w:val="0"/>
                <w:numId w:val="43"/>
              </w:numPr>
              <w:autoSpaceDE w:val="0"/>
              <w:autoSpaceDN w:val="0"/>
              <w:adjustRightInd w:val="0"/>
              <w:spacing w:before="40"/>
              <w:ind w:left="360"/>
              <w:rPr>
                <w:rFonts w:cs="Times New Roman"/>
                <w:kern w:val="2"/>
                <w:sz w:val="20"/>
              </w:rPr>
            </w:pPr>
            <w:r w:rsidRPr="006F29F5">
              <w:rPr>
                <w:rFonts w:cs="Times New Roman"/>
                <w:bCs/>
                <w:kern w:val="2"/>
                <w:sz w:val="20"/>
              </w:rPr>
              <w:t>Evidentiary requirements:</w:t>
            </w:r>
          </w:p>
          <w:p w14:paraId="07970DAC" w14:textId="77777777" w:rsidR="003F156F" w:rsidRPr="006F29F5" w:rsidRDefault="003F156F" w:rsidP="003F156F">
            <w:pPr>
              <w:pStyle w:val="ListParagraph"/>
              <w:numPr>
                <w:ilvl w:val="0"/>
                <w:numId w:val="43"/>
              </w:numPr>
              <w:autoSpaceDE w:val="0"/>
              <w:autoSpaceDN w:val="0"/>
              <w:adjustRightInd w:val="0"/>
              <w:spacing w:before="40"/>
              <w:ind w:left="360"/>
              <w:rPr>
                <w:rFonts w:cs="Times New Roman"/>
                <w:kern w:val="2"/>
                <w:sz w:val="20"/>
              </w:rPr>
            </w:pPr>
            <w:r w:rsidRPr="006F29F5">
              <w:rPr>
                <w:rFonts w:cs="Times New Roman"/>
                <w:bCs/>
                <w:kern w:val="2"/>
                <w:sz w:val="20"/>
              </w:rPr>
              <w:t>Time limit:</w:t>
            </w:r>
          </w:p>
          <w:p w14:paraId="48F43D60" w14:textId="77777777" w:rsidR="003F156F" w:rsidRPr="006F29F5" w:rsidRDefault="003F156F" w:rsidP="003F156F">
            <w:pPr>
              <w:autoSpaceDE w:val="0"/>
              <w:autoSpaceDN w:val="0"/>
              <w:adjustRightInd w:val="0"/>
              <w:spacing w:before="120"/>
              <w:rPr>
                <w:rFonts w:cs="Times New Roman"/>
                <w:b/>
                <w:kern w:val="2"/>
                <w:sz w:val="20"/>
              </w:rPr>
            </w:pPr>
            <w:r w:rsidRPr="006F29F5">
              <w:rPr>
                <w:rFonts w:cs="Times New Roman"/>
                <w:b/>
                <w:bCs/>
                <w:iCs/>
                <w:kern w:val="2"/>
                <w:sz w:val="20"/>
              </w:rPr>
              <w:t xml:space="preserve"> Confiscation</w:t>
            </w:r>
          </w:p>
          <w:p w14:paraId="5CE36710" w14:textId="77777777" w:rsidR="003F156F" w:rsidRPr="006F29F5" w:rsidRDefault="003F156F" w:rsidP="003F156F">
            <w:pPr>
              <w:autoSpaceDE w:val="0"/>
              <w:autoSpaceDN w:val="0"/>
              <w:adjustRightInd w:val="0"/>
              <w:ind w:left="720"/>
              <w:rPr>
                <w:rFonts w:cs="Times New Roman"/>
                <w:b/>
                <w:bCs/>
                <w:kern w:val="2"/>
                <w:sz w:val="20"/>
              </w:rPr>
            </w:pPr>
            <w:r w:rsidRPr="006F29F5">
              <w:rPr>
                <w:rFonts w:cs="Times New Roman"/>
                <w:b/>
                <w:bCs/>
                <w:kern w:val="2"/>
                <w:sz w:val="20"/>
              </w:rPr>
              <w:t>C.6. Enforcement of Foreign Confiscation Orders</w:t>
            </w:r>
          </w:p>
          <w:p w14:paraId="1AF5ACD4" w14:textId="77777777" w:rsidR="003F156F" w:rsidRPr="006F29F5" w:rsidRDefault="003F156F" w:rsidP="003F156F">
            <w:pPr>
              <w:pStyle w:val="ListParagraph"/>
              <w:numPr>
                <w:ilvl w:val="0"/>
                <w:numId w:val="44"/>
              </w:numPr>
              <w:autoSpaceDE w:val="0"/>
              <w:autoSpaceDN w:val="0"/>
              <w:adjustRightInd w:val="0"/>
              <w:spacing w:before="40"/>
              <w:ind w:left="360"/>
              <w:rPr>
                <w:rFonts w:cs="Times New Roman"/>
                <w:b w:val="0"/>
                <w:kern w:val="2"/>
                <w:sz w:val="20"/>
              </w:rPr>
            </w:pPr>
            <w:r w:rsidRPr="006F29F5">
              <w:rPr>
                <w:rFonts w:cs="Times New Roman"/>
                <w:bCs/>
                <w:kern w:val="2"/>
                <w:sz w:val="20"/>
              </w:rPr>
              <w:t>Legal basis:</w:t>
            </w:r>
            <w:r w:rsidRPr="006F29F5">
              <w:rPr>
                <w:rFonts w:cs="Times New Roman"/>
                <w:b w:val="0"/>
                <w:bCs/>
                <w:kern w:val="2"/>
                <w:sz w:val="20"/>
              </w:rPr>
              <w:t xml:space="preserve"> </w:t>
            </w:r>
            <w:r w:rsidRPr="006F29F5">
              <w:rPr>
                <w:rFonts w:cs="Times New Roman"/>
                <w:b w:val="0"/>
                <w:kern w:val="2"/>
                <w:sz w:val="20"/>
              </w:rPr>
              <w:t>MLACMA Section 9.</w:t>
            </w:r>
          </w:p>
          <w:p w14:paraId="5DF3F696" w14:textId="77777777" w:rsidR="003F156F" w:rsidRPr="006F29F5" w:rsidRDefault="003F156F" w:rsidP="003F156F">
            <w:pPr>
              <w:pStyle w:val="ListParagraph"/>
              <w:numPr>
                <w:ilvl w:val="0"/>
                <w:numId w:val="44"/>
              </w:numPr>
              <w:autoSpaceDE w:val="0"/>
              <w:autoSpaceDN w:val="0"/>
              <w:adjustRightInd w:val="0"/>
              <w:spacing w:before="40"/>
              <w:ind w:left="360"/>
              <w:rPr>
                <w:rFonts w:cs="Times New Roman"/>
                <w:b w:val="0"/>
                <w:kern w:val="2"/>
                <w:sz w:val="20"/>
              </w:rPr>
            </w:pPr>
            <w:r w:rsidRPr="006F29F5">
              <w:rPr>
                <w:rFonts w:cs="Times New Roman"/>
                <w:bCs/>
                <w:kern w:val="2"/>
                <w:sz w:val="20"/>
              </w:rPr>
              <w:t>Procedure:</w:t>
            </w:r>
            <w:r w:rsidRPr="006F29F5">
              <w:rPr>
                <w:rFonts w:cs="Times New Roman"/>
                <w:b w:val="0"/>
                <w:bCs/>
                <w:kern w:val="2"/>
                <w:sz w:val="20"/>
              </w:rPr>
              <w:t xml:space="preserve"> </w:t>
            </w:r>
            <w:r w:rsidRPr="006F29F5">
              <w:rPr>
                <w:rFonts w:cs="Times New Roman"/>
                <w:b w:val="0"/>
                <w:kern w:val="2"/>
                <w:sz w:val="20"/>
              </w:rPr>
              <w:t>Subject to approval by the minister of justice, MLACMA Section 9 allows for the direct enforcement of foreign confiscation judgments in Canada. Upon approval by the minister, the attorney general may file the judgment with the Superior Court of Criminal Jurisdiction of the relevant province. The order is then entered as the judgment of that court and may be executed in Canada pursuant to domestic law.</w:t>
            </w:r>
          </w:p>
          <w:p w14:paraId="7347D3D2" w14:textId="77777777" w:rsidR="003F156F" w:rsidRPr="006F29F5" w:rsidRDefault="003F156F" w:rsidP="003F156F">
            <w:pPr>
              <w:pStyle w:val="ListParagraph"/>
              <w:numPr>
                <w:ilvl w:val="0"/>
                <w:numId w:val="44"/>
              </w:numPr>
              <w:autoSpaceDE w:val="0"/>
              <w:autoSpaceDN w:val="0"/>
              <w:adjustRightInd w:val="0"/>
              <w:spacing w:before="40"/>
              <w:ind w:left="360"/>
              <w:rPr>
                <w:rFonts w:cs="Times New Roman"/>
                <w:b w:val="0"/>
                <w:kern w:val="2"/>
                <w:sz w:val="20"/>
              </w:rPr>
            </w:pPr>
            <w:r w:rsidRPr="006F29F5">
              <w:rPr>
                <w:rFonts w:cs="Times New Roman"/>
                <w:bCs/>
                <w:kern w:val="2"/>
                <w:sz w:val="20"/>
              </w:rPr>
              <w:t>Evidentiary requirements:</w:t>
            </w:r>
            <w:r w:rsidRPr="006F29F5">
              <w:rPr>
                <w:rFonts w:cs="Times New Roman"/>
                <w:b w:val="0"/>
                <w:bCs/>
                <w:kern w:val="2"/>
                <w:sz w:val="20"/>
              </w:rPr>
              <w:t xml:space="preserve"> </w:t>
            </w:r>
            <w:r w:rsidRPr="006F29F5">
              <w:rPr>
                <w:rFonts w:cs="Times New Roman"/>
                <w:b w:val="0"/>
                <w:kern w:val="2"/>
                <w:sz w:val="20"/>
              </w:rPr>
              <w:t>Foreign confiscation judgments may be enforced in Canada if the affected person has been convicted of an offense in the requesting country, if the offense would be an indictable offense under Canadian law, and if the judgment is final. The judgment may extend to any offense-related property or any proceeds of crime.</w:t>
            </w:r>
          </w:p>
          <w:p w14:paraId="25961EBE" w14:textId="77777777" w:rsidR="003F156F" w:rsidRPr="006F29F5" w:rsidRDefault="003F156F" w:rsidP="003F156F">
            <w:pPr>
              <w:autoSpaceDE w:val="0"/>
              <w:autoSpaceDN w:val="0"/>
              <w:adjustRightInd w:val="0"/>
              <w:ind w:left="720"/>
              <w:rPr>
                <w:rFonts w:cs="Times New Roman"/>
                <w:b/>
                <w:bCs/>
                <w:kern w:val="2"/>
                <w:sz w:val="20"/>
              </w:rPr>
            </w:pPr>
            <w:r w:rsidRPr="006F29F5">
              <w:rPr>
                <w:rFonts w:cs="Times New Roman"/>
                <w:b/>
                <w:bCs/>
                <w:kern w:val="2"/>
                <w:sz w:val="20"/>
              </w:rPr>
              <w:t>C.7. Applicability of Non-Conviction Based Asset Forfeiture Orders</w:t>
            </w:r>
          </w:p>
          <w:p w14:paraId="61757444" w14:textId="0B2637D1" w:rsidR="00DF4459" w:rsidRPr="003F156F" w:rsidRDefault="003F156F" w:rsidP="003F156F">
            <w:pPr>
              <w:pStyle w:val="ListParagraph"/>
              <w:numPr>
                <w:ilvl w:val="0"/>
                <w:numId w:val="58"/>
              </w:numPr>
              <w:ind w:left="360"/>
              <w:rPr>
                <w:b w:val="0"/>
                <w:sz w:val="20"/>
              </w:rPr>
            </w:pPr>
            <w:r w:rsidRPr="003F156F">
              <w:rPr>
                <w:b w:val="0"/>
                <w:sz w:val="20"/>
              </w:rPr>
              <w:t>Some but not all provinces in Canada can enforce civil forfeiture orders.</w:t>
            </w:r>
          </w:p>
          <w:p w14:paraId="70D6A194" w14:textId="77777777" w:rsidR="003F156F" w:rsidRPr="006F29F5" w:rsidRDefault="003F156F" w:rsidP="003F156F">
            <w:pPr>
              <w:autoSpaceDE w:val="0"/>
              <w:autoSpaceDN w:val="0"/>
              <w:adjustRightInd w:val="0"/>
              <w:spacing w:after="120"/>
              <w:ind w:left="720"/>
              <w:jc w:val="left"/>
              <w:rPr>
                <w:rFonts w:cs="Times New Roman"/>
                <w:b/>
                <w:bCs/>
                <w:kern w:val="2"/>
                <w:sz w:val="20"/>
              </w:rPr>
            </w:pPr>
            <w:r w:rsidRPr="006F29F5">
              <w:rPr>
                <w:rFonts w:cs="Times New Roman"/>
                <w:b/>
                <w:bCs/>
                <w:kern w:val="2"/>
                <w:sz w:val="20"/>
              </w:rPr>
              <w:t>C.8. Confiscation of Legitimate Assets Equivalent in Value to Illicit Proceeds</w:t>
            </w:r>
          </w:p>
          <w:p w14:paraId="7501AFC3" w14:textId="77777777" w:rsidR="003F156F" w:rsidRPr="006F29F5" w:rsidRDefault="003F156F" w:rsidP="003F156F">
            <w:pPr>
              <w:pStyle w:val="ListParagraph"/>
              <w:numPr>
                <w:ilvl w:val="0"/>
                <w:numId w:val="45"/>
              </w:numPr>
              <w:autoSpaceDE w:val="0"/>
              <w:autoSpaceDN w:val="0"/>
              <w:adjustRightInd w:val="0"/>
              <w:spacing w:before="120" w:after="240"/>
              <w:ind w:left="360"/>
              <w:rPr>
                <w:rFonts w:cs="Times New Roman"/>
                <w:b w:val="0"/>
                <w:kern w:val="2"/>
                <w:sz w:val="20"/>
              </w:rPr>
            </w:pPr>
            <w:r w:rsidRPr="006F29F5">
              <w:rPr>
                <w:rFonts w:cs="Times New Roman"/>
                <w:b w:val="0"/>
                <w:kern w:val="2"/>
                <w:sz w:val="20"/>
              </w:rPr>
              <w:t>A foreign confiscation order may be enforced under MLACMA section 9 (see C.6.).</w:t>
            </w:r>
          </w:p>
          <w:p w14:paraId="620F9385" w14:textId="77777777" w:rsidR="003F156F" w:rsidRPr="006F29F5" w:rsidRDefault="003F156F" w:rsidP="003F156F">
            <w:pPr>
              <w:autoSpaceDE w:val="0"/>
              <w:autoSpaceDN w:val="0"/>
              <w:adjustRightInd w:val="0"/>
              <w:rPr>
                <w:rFonts w:cs="Times New Roman"/>
                <w:b/>
                <w:bCs/>
                <w:iCs/>
                <w:kern w:val="2"/>
                <w:sz w:val="20"/>
              </w:rPr>
            </w:pPr>
            <w:r w:rsidRPr="006F29F5">
              <w:rPr>
                <w:rFonts w:cs="Times New Roman"/>
                <w:b/>
                <w:bCs/>
                <w:iCs/>
                <w:kern w:val="2"/>
                <w:sz w:val="20"/>
              </w:rPr>
              <w:t>D. Types of Informal Assistance</w:t>
            </w:r>
          </w:p>
          <w:p w14:paraId="0A9B365A" w14:textId="77777777" w:rsidR="003F156F" w:rsidRPr="006F29F5" w:rsidRDefault="003F156F" w:rsidP="003F156F">
            <w:pPr>
              <w:pStyle w:val="ListParagraph"/>
              <w:numPr>
                <w:ilvl w:val="0"/>
                <w:numId w:val="46"/>
              </w:numPr>
              <w:autoSpaceDE w:val="0"/>
              <w:autoSpaceDN w:val="0"/>
              <w:adjustRightInd w:val="0"/>
              <w:spacing w:before="40"/>
              <w:ind w:left="360"/>
              <w:rPr>
                <w:rFonts w:cs="Times New Roman"/>
                <w:b w:val="0"/>
                <w:kern w:val="2"/>
                <w:sz w:val="20"/>
              </w:rPr>
            </w:pPr>
            <w:r w:rsidRPr="006F29F5">
              <w:rPr>
                <w:rFonts w:cs="Times New Roman"/>
                <w:b w:val="0"/>
                <w:kern w:val="2"/>
                <w:sz w:val="20"/>
              </w:rPr>
              <w:t>Informal assistance may be provided by the FINTRAC (FIU and FI Supervisor) (http://www.fi ntrac.gc.ca/), the Office of the Superintendent of Financial Institutions (http://www.infosource.gc.ca/inst/sif/fed04-eng.asp), provincial securities regulators, and the police.</w:t>
            </w:r>
          </w:p>
          <w:p w14:paraId="7F80D6C9" w14:textId="77777777" w:rsidR="003F156F" w:rsidRPr="006F29F5" w:rsidRDefault="003F156F" w:rsidP="003F156F">
            <w:pPr>
              <w:pStyle w:val="ListParagraph"/>
              <w:numPr>
                <w:ilvl w:val="0"/>
                <w:numId w:val="46"/>
              </w:numPr>
              <w:autoSpaceDE w:val="0"/>
              <w:autoSpaceDN w:val="0"/>
              <w:adjustRightInd w:val="0"/>
              <w:spacing w:before="40"/>
              <w:ind w:left="360"/>
              <w:rPr>
                <w:rFonts w:cs="Times New Roman"/>
                <w:b w:val="0"/>
                <w:kern w:val="2"/>
                <w:sz w:val="20"/>
              </w:rPr>
            </w:pPr>
            <w:r w:rsidRPr="006F29F5">
              <w:rPr>
                <w:rFonts w:cs="Times New Roman"/>
                <w:b w:val="0"/>
                <w:kern w:val="2"/>
                <w:sz w:val="20"/>
              </w:rPr>
              <w:t xml:space="preserve">MOUs are required only by FINTRAC (both as supervisor and as FIU). All other authorities are empowered to provide decentralized types of assistance also in the absence of MOUs. </w:t>
            </w:r>
          </w:p>
          <w:p w14:paraId="0CBCD0CA" w14:textId="77777777" w:rsidR="003F156F" w:rsidRPr="006F29F5" w:rsidRDefault="003F156F" w:rsidP="003F156F">
            <w:pPr>
              <w:pStyle w:val="ListParagraph"/>
              <w:numPr>
                <w:ilvl w:val="0"/>
                <w:numId w:val="46"/>
              </w:numPr>
              <w:autoSpaceDE w:val="0"/>
              <w:autoSpaceDN w:val="0"/>
              <w:adjustRightInd w:val="0"/>
              <w:spacing w:before="40" w:after="240"/>
              <w:ind w:left="360"/>
              <w:rPr>
                <w:rStyle w:val="Heading3Char"/>
                <w:rFonts w:eastAsiaTheme="minorHAnsi" w:cs="Times New Roman"/>
                <w:b/>
                <w:bCs/>
                <w:kern w:val="2"/>
                <w:sz w:val="20"/>
              </w:rPr>
            </w:pPr>
            <w:r w:rsidRPr="006F29F5">
              <w:rPr>
                <w:rFonts w:cs="Times New Roman"/>
                <w:b w:val="0"/>
                <w:kern w:val="2"/>
                <w:sz w:val="20"/>
              </w:rPr>
              <w:t>Canada maintains and uses attaché offices.</w:t>
            </w:r>
            <w:r w:rsidRPr="006F29F5">
              <w:rPr>
                <w:rStyle w:val="FootnoteReference"/>
                <w:rFonts w:cs="Times New Roman"/>
                <w:b w:val="0"/>
                <w:kern w:val="2"/>
                <w:sz w:val="20"/>
              </w:rPr>
              <w:footnoteReference w:id="131"/>
            </w:r>
          </w:p>
          <w:p w14:paraId="2E471548" w14:textId="6DEF9B72" w:rsidR="003F156F" w:rsidRPr="00DF4459" w:rsidRDefault="003F156F" w:rsidP="003F156F">
            <w:pPr>
              <w:pStyle w:val="ExcerptMarker"/>
              <w:spacing w:after="0"/>
              <w:rPr>
                <w:kern w:val="2"/>
                <w:sz w:val="20"/>
              </w:rPr>
            </w:pPr>
            <w:r w:rsidRPr="006F29F5">
              <w:t>End of Excerpt</w:t>
            </w:r>
          </w:p>
        </w:tc>
      </w:tr>
    </w:tbl>
    <w:p w14:paraId="4EBB04E6" w14:textId="5B15B495" w:rsidR="00CA4C04" w:rsidRPr="006F29F5" w:rsidRDefault="00A03053" w:rsidP="00BA1CCC">
      <w:pPr>
        <w:widowControl w:val="0"/>
        <w:autoSpaceDE w:val="0"/>
        <w:autoSpaceDN w:val="0"/>
        <w:adjustRightInd w:val="0"/>
        <w:rPr>
          <w:b/>
          <w:i/>
          <w:kern w:val="2"/>
          <w:sz w:val="20"/>
          <w:u w:val="single"/>
        </w:rPr>
      </w:pPr>
      <w:r w:rsidRPr="006F29F5">
        <w:rPr>
          <w:rFonts w:cs="Times New Roman"/>
          <w:kern w:val="2"/>
          <w:sz w:val="20"/>
        </w:rPr>
        <w:t xml:space="preserve"> </w:t>
      </w:r>
      <w:r w:rsidR="00AA0CC5" w:rsidRPr="006F29F5">
        <w:rPr>
          <w:b/>
          <w:kern w:val="2"/>
          <w:sz w:val="20"/>
        </w:rPr>
        <w:t>(1)</w:t>
      </w:r>
      <w:r w:rsidR="00AA0CC5" w:rsidRPr="006F29F5">
        <w:rPr>
          <w:b/>
          <w:i/>
          <w:kern w:val="2"/>
          <w:sz w:val="20"/>
        </w:rPr>
        <w:t xml:space="preserve"> </w:t>
      </w:r>
      <w:r w:rsidR="00885D67" w:rsidRPr="006F29F5">
        <w:rPr>
          <w:b/>
          <w:i/>
          <w:kern w:val="2"/>
          <w:sz w:val="20"/>
          <w:u w:val="single"/>
        </w:rPr>
        <w:t>Freezing Assets of Corrupt Foreign Officials Act</w:t>
      </w:r>
    </w:p>
    <w:p w14:paraId="126158B0" w14:textId="69F9BC06" w:rsidR="00885D67" w:rsidRPr="006F29F5" w:rsidRDefault="00885D67" w:rsidP="00885D67">
      <w:pPr>
        <w:rPr>
          <w:b/>
          <w:kern w:val="2"/>
          <w:sz w:val="20"/>
        </w:rPr>
      </w:pPr>
      <w:r w:rsidRPr="006F29F5">
        <w:rPr>
          <w:b/>
          <w:kern w:val="2"/>
          <w:sz w:val="20"/>
        </w:rPr>
        <w:tab/>
      </w:r>
      <w:r w:rsidR="00A17EDC" w:rsidRPr="006F29F5">
        <w:rPr>
          <w:b/>
          <w:kern w:val="2"/>
          <w:sz w:val="20"/>
        </w:rPr>
        <w:t>a)</w:t>
      </w:r>
      <w:r w:rsidRPr="006F29F5">
        <w:rPr>
          <w:b/>
          <w:kern w:val="2"/>
          <w:sz w:val="20"/>
        </w:rPr>
        <w:t xml:space="preserve"> Preconditions </w:t>
      </w:r>
      <w:r w:rsidR="00AA0CC5" w:rsidRPr="006F29F5">
        <w:rPr>
          <w:b/>
          <w:kern w:val="2"/>
          <w:sz w:val="20"/>
        </w:rPr>
        <w:t>for a Freezing</w:t>
      </w:r>
      <w:r w:rsidRPr="006F29F5">
        <w:rPr>
          <w:b/>
          <w:kern w:val="2"/>
          <w:sz w:val="20"/>
        </w:rPr>
        <w:t xml:space="preserve"> Order or Regulation</w:t>
      </w:r>
    </w:p>
    <w:p w14:paraId="3B940E1C" w14:textId="21A399DF" w:rsidR="00885D67" w:rsidRPr="006F29F5" w:rsidRDefault="00885D67" w:rsidP="00885D67">
      <w:pPr>
        <w:rPr>
          <w:kern w:val="2"/>
          <w:sz w:val="20"/>
        </w:rPr>
      </w:pPr>
      <w:r w:rsidRPr="006F29F5">
        <w:rPr>
          <w:kern w:val="2"/>
          <w:sz w:val="20"/>
        </w:rPr>
        <w:t xml:space="preserve">The </w:t>
      </w:r>
      <w:r w:rsidRPr="006F29F5">
        <w:rPr>
          <w:i/>
          <w:kern w:val="2"/>
          <w:sz w:val="20"/>
        </w:rPr>
        <w:t>Freezing Assets of Corrupt Foreign Officials Act</w:t>
      </w:r>
      <w:r w:rsidRPr="006F29F5">
        <w:rPr>
          <w:kern w:val="2"/>
          <w:sz w:val="20"/>
        </w:rPr>
        <w:t xml:space="preserve"> (</w:t>
      </w:r>
      <w:r w:rsidR="00CC1E13" w:rsidRPr="006F29F5">
        <w:rPr>
          <w:i/>
          <w:kern w:val="2"/>
          <w:sz w:val="20"/>
        </w:rPr>
        <w:t>“</w:t>
      </w:r>
      <w:r w:rsidRPr="006F29F5">
        <w:rPr>
          <w:i/>
          <w:kern w:val="2"/>
          <w:sz w:val="20"/>
        </w:rPr>
        <w:t>FACFOA</w:t>
      </w:r>
      <w:r w:rsidR="00CC1E13" w:rsidRPr="006F29F5">
        <w:rPr>
          <w:i/>
          <w:kern w:val="2"/>
          <w:sz w:val="20"/>
        </w:rPr>
        <w:t>”</w:t>
      </w:r>
      <w:r w:rsidRPr="006F29F5">
        <w:rPr>
          <w:kern w:val="2"/>
          <w:sz w:val="20"/>
        </w:rPr>
        <w:t>) was introduced in 2011 to respond to the aftermath of the fall of several dictatorships in the Middle East during the Arab Spring. The legislation allow</w:t>
      </w:r>
      <w:r w:rsidR="00D6551F" w:rsidRPr="006F29F5">
        <w:rPr>
          <w:kern w:val="2"/>
          <w:sz w:val="20"/>
        </w:rPr>
        <w:t>s</w:t>
      </w:r>
      <w:r w:rsidRPr="006F29F5">
        <w:rPr>
          <w:kern w:val="2"/>
          <w:sz w:val="20"/>
        </w:rPr>
        <w:t xml:space="preserve"> the Minister of Foreign Affairs to quickly freeze the assets of a foreign political figure upon the request of a foreign government. The law requires that a foreign </w:t>
      </w:r>
      <w:r w:rsidR="00CA4C04" w:rsidRPr="006F29F5">
        <w:rPr>
          <w:kern w:val="2"/>
          <w:sz w:val="20"/>
        </w:rPr>
        <w:t>state make a written request to</w:t>
      </w:r>
      <w:r w:rsidRPr="006F29F5">
        <w:rPr>
          <w:kern w:val="2"/>
          <w:sz w:val="20"/>
        </w:rPr>
        <w:t xml:space="preserve"> the Government of Canada to freeze the assets of an individual. The foreign state must also assert that the individual </w:t>
      </w:r>
      <w:r w:rsidR="00CC1E13" w:rsidRPr="006F29F5">
        <w:rPr>
          <w:kern w:val="2"/>
          <w:sz w:val="20"/>
        </w:rPr>
        <w:t>“</w:t>
      </w:r>
      <w:r w:rsidRPr="006F29F5">
        <w:rPr>
          <w:kern w:val="2"/>
          <w:sz w:val="20"/>
        </w:rPr>
        <w:t>has misappropriated property of the foreign state or acquired property inappropriately by virtue of their office or a personal or business relationship.</w:t>
      </w:r>
      <w:r w:rsidR="00CC1E13" w:rsidRPr="006F29F5">
        <w:rPr>
          <w:kern w:val="2"/>
          <w:sz w:val="20"/>
        </w:rPr>
        <w:t>”</w:t>
      </w:r>
      <w:r w:rsidRPr="006F29F5">
        <w:rPr>
          <w:rStyle w:val="FootnoteReference"/>
          <w:kern w:val="2"/>
          <w:sz w:val="20"/>
        </w:rPr>
        <w:footnoteReference w:id="132"/>
      </w:r>
      <w:r w:rsidRPr="006F29F5">
        <w:rPr>
          <w:kern w:val="2"/>
          <w:sz w:val="20"/>
        </w:rPr>
        <w:t xml:space="preserve"> The </w:t>
      </w:r>
      <w:r w:rsidRPr="006F29F5">
        <w:rPr>
          <w:i/>
          <w:kern w:val="2"/>
          <w:sz w:val="20"/>
        </w:rPr>
        <w:t>Act</w:t>
      </w:r>
      <w:r w:rsidRPr="006F29F5">
        <w:rPr>
          <w:kern w:val="2"/>
          <w:sz w:val="20"/>
        </w:rPr>
        <w:t xml:space="preserve"> defines a </w:t>
      </w:r>
      <w:r w:rsidR="00CC1E13" w:rsidRPr="006F29F5">
        <w:rPr>
          <w:kern w:val="2"/>
          <w:sz w:val="20"/>
        </w:rPr>
        <w:t>“</w:t>
      </w:r>
      <w:r w:rsidRPr="006F29F5">
        <w:rPr>
          <w:kern w:val="2"/>
          <w:sz w:val="20"/>
        </w:rPr>
        <w:t>foreign state</w:t>
      </w:r>
      <w:r w:rsidR="00CC1E13" w:rsidRPr="006F29F5">
        <w:rPr>
          <w:kern w:val="2"/>
          <w:sz w:val="20"/>
        </w:rPr>
        <w:t>”</w:t>
      </w:r>
      <w:r w:rsidRPr="006F29F5">
        <w:rPr>
          <w:kern w:val="2"/>
          <w:sz w:val="20"/>
        </w:rPr>
        <w:t xml:space="preserve"> as a state other than Canada and includes any government or political subdivision of the foreign state</w:t>
      </w:r>
      <w:r w:rsidR="00A12F66" w:rsidRPr="006F29F5">
        <w:rPr>
          <w:kern w:val="2"/>
          <w:sz w:val="20"/>
        </w:rPr>
        <w:t xml:space="preserve"> as well as</w:t>
      </w:r>
      <w:r w:rsidRPr="006F29F5">
        <w:rPr>
          <w:kern w:val="2"/>
          <w:sz w:val="20"/>
        </w:rPr>
        <w:t xml:space="preserve"> any agency or department of the government or political subdivision.</w:t>
      </w:r>
      <w:r w:rsidRPr="006F29F5">
        <w:rPr>
          <w:rStyle w:val="FootnoteReference"/>
          <w:kern w:val="2"/>
          <w:sz w:val="20"/>
        </w:rPr>
        <w:footnoteReference w:id="133"/>
      </w:r>
      <w:r w:rsidRPr="006F29F5">
        <w:rPr>
          <w:kern w:val="2"/>
          <w:sz w:val="20"/>
        </w:rPr>
        <w:t xml:space="preserve"> </w:t>
      </w:r>
    </w:p>
    <w:p w14:paraId="39EE2E86" w14:textId="36455B4F" w:rsidR="00885D67" w:rsidRPr="006F29F5" w:rsidRDefault="00885D67" w:rsidP="00705F47">
      <w:pPr>
        <w:rPr>
          <w:kern w:val="2"/>
          <w:sz w:val="20"/>
        </w:rPr>
      </w:pPr>
      <w:r w:rsidRPr="006F29F5">
        <w:rPr>
          <w:kern w:val="2"/>
          <w:sz w:val="20"/>
        </w:rPr>
        <w:t>Once the foreign state ha</w:t>
      </w:r>
      <w:r w:rsidR="007C237D" w:rsidRPr="006F29F5">
        <w:rPr>
          <w:kern w:val="2"/>
          <w:sz w:val="20"/>
        </w:rPr>
        <w:t>s made a request, the Governor</w:t>
      </w:r>
      <w:r w:rsidRPr="006F29F5">
        <w:rPr>
          <w:kern w:val="2"/>
          <w:sz w:val="20"/>
        </w:rPr>
        <w:t xml:space="preserve"> in Council </w:t>
      </w:r>
      <w:r w:rsidR="007C237D" w:rsidRPr="006F29F5">
        <w:rPr>
          <w:kern w:val="2"/>
          <w:sz w:val="20"/>
        </w:rPr>
        <w:t>(i.e.</w:t>
      </w:r>
      <w:r w:rsidR="00CD0EE2" w:rsidRPr="006F29F5">
        <w:rPr>
          <w:kern w:val="2"/>
          <w:sz w:val="20"/>
        </w:rPr>
        <w:t>,</w:t>
      </w:r>
      <w:r w:rsidR="007C237D" w:rsidRPr="006F29F5">
        <w:rPr>
          <w:kern w:val="2"/>
          <w:sz w:val="20"/>
        </w:rPr>
        <w:t xml:space="preserve"> the Cabinet) </w:t>
      </w:r>
      <w:r w:rsidRPr="006F29F5">
        <w:rPr>
          <w:kern w:val="2"/>
          <w:sz w:val="20"/>
        </w:rPr>
        <w:t xml:space="preserve">must ensure that three preconditions are fulfilled before making an order or regulation that freezes a person’s assets. First, the </w:t>
      </w:r>
      <w:r w:rsidR="00A12F66" w:rsidRPr="006F29F5">
        <w:rPr>
          <w:kern w:val="2"/>
          <w:sz w:val="20"/>
        </w:rPr>
        <w:t>Governor in Council</w:t>
      </w:r>
      <w:r w:rsidRPr="006F29F5">
        <w:rPr>
          <w:kern w:val="2"/>
          <w:sz w:val="20"/>
        </w:rPr>
        <w:t xml:space="preserve"> must be satisfied that any persons targeted for asset seizure qualify as </w:t>
      </w:r>
      <w:r w:rsidR="00CC1E13" w:rsidRPr="006F29F5">
        <w:rPr>
          <w:kern w:val="2"/>
          <w:sz w:val="20"/>
        </w:rPr>
        <w:t>“</w:t>
      </w:r>
      <w:r w:rsidRPr="006F29F5">
        <w:rPr>
          <w:kern w:val="2"/>
          <w:sz w:val="20"/>
        </w:rPr>
        <w:t>politically exposed</w:t>
      </w:r>
      <w:r w:rsidR="00CC1E13" w:rsidRPr="006F29F5">
        <w:rPr>
          <w:kern w:val="2"/>
          <w:sz w:val="20"/>
        </w:rPr>
        <w:t>”</w:t>
      </w:r>
      <w:r w:rsidRPr="006F29F5">
        <w:rPr>
          <w:kern w:val="2"/>
          <w:sz w:val="20"/>
        </w:rPr>
        <w:t xml:space="preserve"> foreign persons.</w:t>
      </w:r>
      <w:r w:rsidRPr="006F29F5">
        <w:rPr>
          <w:rStyle w:val="FootnoteReference"/>
          <w:kern w:val="2"/>
          <w:sz w:val="20"/>
        </w:rPr>
        <w:footnoteReference w:id="134"/>
      </w:r>
      <w:r w:rsidRPr="006F29F5">
        <w:rPr>
          <w:kern w:val="2"/>
          <w:sz w:val="20"/>
        </w:rPr>
        <w:t xml:space="preserve"> The </w:t>
      </w:r>
      <w:r w:rsidRPr="006F29F5">
        <w:rPr>
          <w:i/>
          <w:kern w:val="2"/>
          <w:sz w:val="20"/>
        </w:rPr>
        <w:t>Act</w:t>
      </w:r>
      <w:r w:rsidRPr="006F29F5">
        <w:rPr>
          <w:kern w:val="2"/>
          <w:sz w:val="20"/>
        </w:rPr>
        <w:t xml:space="preserve"> defines a </w:t>
      </w:r>
      <w:r w:rsidR="00CC1E13" w:rsidRPr="006F29F5">
        <w:rPr>
          <w:kern w:val="2"/>
          <w:sz w:val="20"/>
        </w:rPr>
        <w:t>“</w:t>
      </w:r>
      <w:r w:rsidRPr="006F29F5">
        <w:rPr>
          <w:kern w:val="2"/>
          <w:sz w:val="20"/>
        </w:rPr>
        <w:t>politically exposed foreign person</w:t>
      </w:r>
      <w:r w:rsidR="00CC1E13" w:rsidRPr="006F29F5">
        <w:rPr>
          <w:kern w:val="2"/>
          <w:sz w:val="20"/>
        </w:rPr>
        <w:t>”</w:t>
      </w:r>
      <w:r w:rsidRPr="006F29F5">
        <w:rPr>
          <w:kern w:val="2"/>
          <w:sz w:val="20"/>
        </w:rPr>
        <w:t xml:space="preserve"> as a person who holds or who has held one of several enumerated offices in a foreign state. The list includes specific offices such as </w:t>
      </w:r>
      <w:r w:rsidR="00CC1E13" w:rsidRPr="006F29F5">
        <w:rPr>
          <w:kern w:val="2"/>
          <w:sz w:val="20"/>
        </w:rPr>
        <w:t>“</w:t>
      </w:r>
      <w:r w:rsidRPr="006F29F5">
        <w:rPr>
          <w:kern w:val="2"/>
          <w:sz w:val="20"/>
        </w:rPr>
        <w:t>head of state</w:t>
      </w:r>
      <w:r w:rsidR="00CC1E13" w:rsidRPr="006F29F5">
        <w:rPr>
          <w:kern w:val="2"/>
          <w:sz w:val="20"/>
        </w:rPr>
        <w:t>”</w:t>
      </w:r>
      <w:r w:rsidRPr="006F29F5">
        <w:rPr>
          <w:kern w:val="2"/>
          <w:sz w:val="20"/>
        </w:rPr>
        <w:t xml:space="preserve"> and </w:t>
      </w:r>
      <w:r w:rsidR="00CC1E13" w:rsidRPr="006F29F5">
        <w:rPr>
          <w:kern w:val="2"/>
          <w:sz w:val="20"/>
        </w:rPr>
        <w:t>“</w:t>
      </w:r>
      <w:r w:rsidRPr="006F29F5">
        <w:rPr>
          <w:kern w:val="2"/>
          <w:sz w:val="20"/>
        </w:rPr>
        <w:t>military officer with the rank of general or above.</w:t>
      </w:r>
      <w:r w:rsidR="00CC1E13" w:rsidRPr="006F29F5">
        <w:rPr>
          <w:kern w:val="2"/>
          <w:sz w:val="20"/>
        </w:rPr>
        <w:t>”</w:t>
      </w:r>
      <w:r w:rsidRPr="006F29F5">
        <w:rPr>
          <w:kern w:val="2"/>
          <w:sz w:val="20"/>
        </w:rPr>
        <w:t xml:space="preserve"> However, the definition also includes a residual clause specifying that the </w:t>
      </w:r>
      <w:r w:rsidR="00CC1E13" w:rsidRPr="006F29F5">
        <w:rPr>
          <w:kern w:val="2"/>
          <w:sz w:val="20"/>
        </w:rPr>
        <w:t>“</w:t>
      </w:r>
      <w:r w:rsidRPr="006F29F5">
        <w:rPr>
          <w:kern w:val="2"/>
          <w:sz w:val="20"/>
        </w:rPr>
        <w:t>holder of any prescribed office or position</w:t>
      </w:r>
      <w:r w:rsidR="00CC1E13" w:rsidRPr="006F29F5">
        <w:rPr>
          <w:kern w:val="2"/>
          <w:sz w:val="20"/>
        </w:rPr>
        <w:t>”</w:t>
      </w:r>
      <w:r w:rsidRPr="006F29F5">
        <w:rPr>
          <w:kern w:val="2"/>
          <w:sz w:val="20"/>
        </w:rPr>
        <w:t xml:space="preserve"> would also fall under the definition of </w:t>
      </w:r>
      <w:r w:rsidR="00CC1E13" w:rsidRPr="006F29F5">
        <w:rPr>
          <w:kern w:val="2"/>
          <w:sz w:val="20"/>
        </w:rPr>
        <w:t>“</w:t>
      </w:r>
      <w:r w:rsidRPr="006F29F5">
        <w:rPr>
          <w:kern w:val="2"/>
          <w:sz w:val="20"/>
        </w:rPr>
        <w:t>politically exposed foreign person.</w:t>
      </w:r>
      <w:r w:rsidR="00CC1E13" w:rsidRPr="006F29F5">
        <w:rPr>
          <w:kern w:val="2"/>
          <w:sz w:val="20"/>
        </w:rPr>
        <w:t>”</w:t>
      </w:r>
      <w:r w:rsidRPr="006F29F5">
        <w:rPr>
          <w:rStyle w:val="FootnoteReference"/>
          <w:kern w:val="2"/>
          <w:sz w:val="20"/>
        </w:rPr>
        <w:footnoteReference w:id="135"/>
      </w:r>
      <w:r w:rsidRPr="006F29F5">
        <w:rPr>
          <w:kern w:val="2"/>
          <w:sz w:val="20"/>
        </w:rPr>
        <w:t xml:space="preserve"> This residual clause is important because it allows the </w:t>
      </w:r>
      <w:r w:rsidR="006149CA" w:rsidRPr="006F29F5">
        <w:rPr>
          <w:kern w:val="2"/>
          <w:sz w:val="20"/>
        </w:rPr>
        <w:t>Governor in Council</w:t>
      </w:r>
      <w:r w:rsidRPr="006F29F5">
        <w:rPr>
          <w:kern w:val="2"/>
          <w:sz w:val="20"/>
        </w:rPr>
        <w:t xml:space="preserve"> to prescribe other government positions as politically exposed foreign persons in regulations under </w:t>
      </w:r>
      <w:r w:rsidRPr="006F29F5">
        <w:rPr>
          <w:i/>
          <w:kern w:val="2"/>
          <w:sz w:val="20"/>
        </w:rPr>
        <w:t>FACFOA</w:t>
      </w:r>
      <w:r w:rsidRPr="006F29F5">
        <w:rPr>
          <w:kern w:val="2"/>
          <w:sz w:val="20"/>
        </w:rPr>
        <w:t xml:space="preserve">. This power ensures that it would be possible for </w:t>
      </w:r>
      <w:r w:rsidRPr="006F29F5">
        <w:rPr>
          <w:i/>
          <w:kern w:val="2"/>
          <w:sz w:val="20"/>
        </w:rPr>
        <w:t>FACFOA</w:t>
      </w:r>
      <w:r w:rsidRPr="006F29F5">
        <w:rPr>
          <w:kern w:val="2"/>
          <w:sz w:val="20"/>
        </w:rPr>
        <w:t xml:space="preserve"> to target corrupt officials who do not hold an enumerated title, such as former Colonel Gaddafi of Libya (</w:t>
      </w:r>
      <w:r w:rsidR="005255DD" w:rsidRPr="006F29F5">
        <w:rPr>
          <w:kern w:val="2"/>
          <w:sz w:val="20"/>
        </w:rPr>
        <w:t>although</w:t>
      </w:r>
      <w:r w:rsidRPr="006F29F5">
        <w:rPr>
          <w:kern w:val="2"/>
          <w:sz w:val="20"/>
        </w:rPr>
        <w:t xml:space="preserve"> he has never actually been the target of an order or regulation under </w:t>
      </w:r>
      <w:r w:rsidRPr="006F29F5">
        <w:rPr>
          <w:i/>
          <w:kern w:val="2"/>
          <w:sz w:val="20"/>
        </w:rPr>
        <w:t>FACFOA</w:t>
      </w:r>
      <w:r w:rsidRPr="006F29F5">
        <w:rPr>
          <w:kern w:val="2"/>
          <w:sz w:val="20"/>
        </w:rPr>
        <w:t>).</w:t>
      </w:r>
      <w:r w:rsidR="008A7BF4" w:rsidRPr="006F29F5">
        <w:rPr>
          <w:rStyle w:val="FootnoteReference"/>
          <w:kern w:val="2"/>
          <w:sz w:val="20"/>
        </w:rPr>
        <w:footnoteReference w:id="136"/>
      </w:r>
      <w:r w:rsidRPr="006F29F5">
        <w:rPr>
          <w:kern w:val="2"/>
          <w:sz w:val="20"/>
        </w:rPr>
        <w:t xml:space="preserve"> The definition of </w:t>
      </w:r>
      <w:r w:rsidR="00CC1E13" w:rsidRPr="006F29F5">
        <w:rPr>
          <w:kern w:val="2"/>
          <w:sz w:val="20"/>
        </w:rPr>
        <w:t>“</w:t>
      </w:r>
      <w:r w:rsidRPr="006F29F5">
        <w:rPr>
          <w:kern w:val="2"/>
          <w:sz w:val="20"/>
        </w:rPr>
        <w:t>politically exposed foreign person</w:t>
      </w:r>
      <w:r w:rsidR="00CC1E13" w:rsidRPr="006F29F5">
        <w:rPr>
          <w:kern w:val="2"/>
          <w:sz w:val="20"/>
        </w:rPr>
        <w:t>”</w:t>
      </w:r>
      <w:r w:rsidRPr="006F29F5">
        <w:rPr>
          <w:kern w:val="2"/>
          <w:sz w:val="20"/>
        </w:rPr>
        <w:t xml:space="preserve"> also includes </w:t>
      </w:r>
      <w:r w:rsidR="00CC1E13" w:rsidRPr="006F29F5">
        <w:rPr>
          <w:kern w:val="2"/>
          <w:sz w:val="20"/>
        </w:rPr>
        <w:t>“</w:t>
      </w:r>
      <w:r w:rsidRPr="006F29F5">
        <w:rPr>
          <w:kern w:val="2"/>
          <w:sz w:val="20"/>
        </w:rPr>
        <w:t>any person who, for personal or business reasons, is or was closely associated with such a person [a person holding an enumerated or prescribed office as defined above], including a family member.</w:t>
      </w:r>
      <w:r w:rsidR="00CC1E13" w:rsidRPr="006F29F5">
        <w:rPr>
          <w:kern w:val="2"/>
          <w:sz w:val="20"/>
        </w:rPr>
        <w:t>”</w:t>
      </w:r>
      <w:r w:rsidRPr="006F29F5">
        <w:rPr>
          <w:rStyle w:val="FootnoteReference"/>
          <w:kern w:val="2"/>
          <w:sz w:val="20"/>
        </w:rPr>
        <w:footnoteReference w:id="137"/>
      </w:r>
      <w:r w:rsidRPr="006F29F5">
        <w:rPr>
          <w:kern w:val="2"/>
          <w:sz w:val="20"/>
        </w:rPr>
        <w:t xml:space="preserve"> This language further expands the category of person who may be the subject of an order or regulation. Second, before issuing an order or regulation, the </w:t>
      </w:r>
      <w:r w:rsidR="006149CA" w:rsidRPr="006F29F5">
        <w:rPr>
          <w:kern w:val="2"/>
          <w:sz w:val="20"/>
        </w:rPr>
        <w:t>Governor in Council</w:t>
      </w:r>
      <w:r w:rsidRPr="006F29F5">
        <w:rPr>
          <w:kern w:val="2"/>
          <w:sz w:val="20"/>
        </w:rPr>
        <w:t xml:space="preserve"> must also be satisfied that </w:t>
      </w:r>
      <w:r w:rsidR="00CC1E13" w:rsidRPr="006F29F5">
        <w:rPr>
          <w:kern w:val="2"/>
          <w:sz w:val="20"/>
        </w:rPr>
        <w:t>“</w:t>
      </w:r>
      <w:r w:rsidRPr="006F29F5">
        <w:rPr>
          <w:kern w:val="2"/>
          <w:sz w:val="20"/>
        </w:rPr>
        <w:t>there is internal turmoil, or an uncertain political situation, in the foreign state.</w:t>
      </w:r>
      <w:r w:rsidR="00CC1E13" w:rsidRPr="006F29F5">
        <w:rPr>
          <w:kern w:val="2"/>
          <w:sz w:val="20"/>
        </w:rPr>
        <w:t>”</w:t>
      </w:r>
      <w:r w:rsidRPr="006F29F5">
        <w:rPr>
          <w:kern w:val="2"/>
          <w:sz w:val="20"/>
        </w:rPr>
        <w:t xml:space="preserve"> Finally, the </w:t>
      </w:r>
      <w:r w:rsidR="006149CA" w:rsidRPr="006F29F5">
        <w:rPr>
          <w:kern w:val="2"/>
          <w:sz w:val="20"/>
        </w:rPr>
        <w:t>Governor in Council</w:t>
      </w:r>
      <w:r w:rsidRPr="006F29F5">
        <w:rPr>
          <w:kern w:val="2"/>
          <w:sz w:val="20"/>
        </w:rPr>
        <w:t xml:space="preserve"> must be satisfied that </w:t>
      </w:r>
      <w:r w:rsidR="00CC1E13" w:rsidRPr="006F29F5">
        <w:rPr>
          <w:kern w:val="2"/>
          <w:sz w:val="20"/>
        </w:rPr>
        <w:t>“</w:t>
      </w:r>
      <w:r w:rsidRPr="006F29F5">
        <w:rPr>
          <w:kern w:val="2"/>
          <w:sz w:val="20"/>
        </w:rPr>
        <w:t>the making of the order or regulation is in the interest of international relations.</w:t>
      </w:r>
      <w:r w:rsidR="00CC1E13" w:rsidRPr="006F29F5">
        <w:rPr>
          <w:kern w:val="2"/>
          <w:sz w:val="20"/>
        </w:rPr>
        <w:t>”</w:t>
      </w:r>
    </w:p>
    <w:p w14:paraId="017BA92B" w14:textId="27754898" w:rsidR="00885D67" w:rsidRPr="006F29F5" w:rsidRDefault="00885D67" w:rsidP="00885D67">
      <w:pPr>
        <w:rPr>
          <w:b/>
          <w:kern w:val="2"/>
          <w:sz w:val="20"/>
        </w:rPr>
      </w:pPr>
      <w:r w:rsidRPr="006F29F5">
        <w:rPr>
          <w:b/>
          <w:kern w:val="2"/>
          <w:sz w:val="20"/>
        </w:rPr>
        <w:t>Concerns with the preco</w:t>
      </w:r>
      <w:r w:rsidR="00681E7C" w:rsidRPr="006F29F5">
        <w:rPr>
          <w:b/>
          <w:kern w:val="2"/>
          <w:sz w:val="20"/>
        </w:rPr>
        <w:t>nditions</w:t>
      </w:r>
    </w:p>
    <w:p w14:paraId="00158BF9" w14:textId="02E73FE3" w:rsidR="00885D67" w:rsidRPr="006F29F5" w:rsidRDefault="00885D67" w:rsidP="00885D67">
      <w:pPr>
        <w:rPr>
          <w:kern w:val="2"/>
          <w:sz w:val="20"/>
        </w:rPr>
      </w:pPr>
      <w:r w:rsidRPr="006F29F5">
        <w:rPr>
          <w:kern w:val="2"/>
          <w:sz w:val="20"/>
        </w:rPr>
        <w:t xml:space="preserve">The major </w:t>
      </w:r>
      <w:r w:rsidR="00F32236" w:rsidRPr="006F29F5">
        <w:rPr>
          <w:kern w:val="2"/>
          <w:sz w:val="20"/>
        </w:rPr>
        <w:t>concern</w:t>
      </w:r>
      <w:r w:rsidRPr="006F29F5">
        <w:rPr>
          <w:kern w:val="2"/>
          <w:sz w:val="20"/>
        </w:rPr>
        <w:t xml:space="preserve"> is the lack of evidence required for the </w:t>
      </w:r>
      <w:r w:rsidR="006149CA" w:rsidRPr="006F29F5">
        <w:rPr>
          <w:kern w:val="2"/>
          <w:sz w:val="20"/>
        </w:rPr>
        <w:t>Governor in Council</w:t>
      </w:r>
      <w:r w:rsidRPr="006F29F5">
        <w:rPr>
          <w:kern w:val="2"/>
          <w:sz w:val="20"/>
        </w:rPr>
        <w:t xml:space="preserve"> to make an asset seizure regulation under </w:t>
      </w:r>
      <w:r w:rsidRPr="006F29F5">
        <w:rPr>
          <w:i/>
          <w:kern w:val="2"/>
          <w:sz w:val="20"/>
        </w:rPr>
        <w:t>FACFOA.</w:t>
      </w:r>
      <w:r w:rsidRPr="006F29F5">
        <w:rPr>
          <w:kern w:val="2"/>
          <w:sz w:val="20"/>
        </w:rPr>
        <w:t xml:space="preserve"> During the review of the proposed legislation by the Standing Committee on Foreign Affairs and International Development, the Hon. Bob Rae noted that a requesting government does</w:t>
      </w:r>
      <w:r w:rsidR="000457E4" w:rsidRPr="006F29F5">
        <w:rPr>
          <w:kern w:val="2"/>
          <w:sz w:val="20"/>
        </w:rPr>
        <w:t xml:space="preserve"> not</w:t>
      </w:r>
      <w:r w:rsidRPr="006F29F5">
        <w:rPr>
          <w:kern w:val="2"/>
          <w:sz w:val="20"/>
        </w:rPr>
        <w:t xml:space="preserve"> </w:t>
      </w:r>
      <w:r w:rsidR="00CC1E13" w:rsidRPr="006F29F5">
        <w:rPr>
          <w:kern w:val="2"/>
          <w:sz w:val="20"/>
        </w:rPr>
        <w:t>“</w:t>
      </w:r>
      <w:r w:rsidRPr="006F29F5">
        <w:rPr>
          <w:kern w:val="2"/>
          <w:sz w:val="20"/>
        </w:rPr>
        <w:t xml:space="preserve">have to give you any court judgments. They don't have to give you any evidence with respect to exactly what this </w:t>
      </w:r>
      <w:r w:rsidR="00F32236" w:rsidRPr="006F29F5">
        <w:rPr>
          <w:kern w:val="2"/>
          <w:sz w:val="20"/>
        </w:rPr>
        <w:t xml:space="preserve">[person] </w:t>
      </w:r>
      <w:r w:rsidRPr="006F29F5">
        <w:rPr>
          <w:kern w:val="2"/>
          <w:sz w:val="20"/>
        </w:rPr>
        <w:t>has done. They simply have to say, ‘We're giving you a request’, and in response to that request, you can pass a regulation to seize that person's property.</w:t>
      </w:r>
      <w:r w:rsidR="00CC1E13" w:rsidRPr="006F29F5">
        <w:rPr>
          <w:kern w:val="2"/>
          <w:sz w:val="20"/>
        </w:rPr>
        <w:t>”</w:t>
      </w:r>
      <w:r w:rsidRPr="006F29F5">
        <w:rPr>
          <w:kern w:val="2"/>
          <w:sz w:val="20"/>
        </w:rPr>
        <w:t xml:space="preserve"> He also noted that the additional preconditions were vague in their wording.</w:t>
      </w:r>
      <w:r w:rsidRPr="006F29F5">
        <w:rPr>
          <w:rStyle w:val="FootnoteReference"/>
          <w:kern w:val="2"/>
          <w:sz w:val="20"/>
        </w:rPr>
        <w:footnoteReference w:id="138"/>
      </w:r>
      <w:r w:rsidRPr="006F29F5">
        <w:rPr>
          <w:kern w:val="2"/>
          <w:sz w:val="20"/>
        </w:rPr>
        <w:t xml:space="preserve"> These concerns are a</w:t>
      </w:r>
      <w:r w:rsidR="00304C5E" w:rsidRPr="006F29F5">
        <w:rPr>
          <w:kern w:val="2"/>
          <w:sz w:val="20"/>
        </w:rPr>
        <w:t xml:space="preserve"> large part of why the current five</w:t>
      </w:r>
      <w:r w:rsidRPr="006F29F5">
        <w:rPr>
          <w:kern w:val="2"/>
          <w:sz w:val="20"/>
        </w:rPr>
        <w:t xml:space="preserve">-year review </w:t>
      </w:r>
      <w:r w:rsidR="008A4E5D" w:rsidRPr="006F29F5">
        <w:rPr>
          <w:kern w:val="2"/>
          <w:sz w:val="20"/>
        </w:rPr>
        <w:t>in s</w:t>
      </w:r>
      <w:r w:rsidR="000457E4" w:rsidRPr="006F29F5">
        <w:rPr>
          <w:kern w:val="2"/>
          <w:sz w:val="20"/>
        </w:rPr>
        <w:t>ection</w:t>
      </w:r>
      <w:r w:rsidR="008A4E5D" w:rsidRPr="006F29F5">
        <w:rPr>
          <w:kern w:val="2"/>
          <w:sz w:val="20"/>
        </w:rPr>
        <w:t xml:space="preserve"> 20 of </w:t>
      </w:r>
      <w:r w:rsidRPr="006F29F5">
        <w:rPr>
          <w:i/>
          <w:kern w:val="2"/>
          <w:sz w:val="20"/>
        </w:rPr>
        <w:t>FACFOA</w:t>
      </w:r>
      <w:r w:rsidR="008A4E5D" w:rsidRPr="006F29F5">
        <w:rPr>
          <w:i/>
          <w:kern w:val="2"/>
          <w:sz w:val="20"/>
        </w:rPr>
        <w:t xml:space="preserve"> </w:t>
      </w:r>
      <w:r w:rsidR="008A4E5D" w:rsidRPr="006F29F5">
        <w:rPr>
          <w:kern w:val="2"/>
          <w:sz w:val="20"/>
        </w:rPr>
        <w:t>was added</w:t>
      </w:r>
      <w:r w:rsidRPr="006F29F5">
        <w:rPr>
          <w:i/>
          <w:kern w:val="2"/>
          <w:sz w:val="20"/>
        </w:rPr>
        <w:t>.</w:t>
      </w:r>
      <w:r w:rsidRPr="006F29F5">
        <w:rPr>
          <w:rStyle w:val="FootnoteReference"/>
          <w:kern w:val="2"/>
          <w:sz w:val="20"/>
        </w:rPr>
        <w:footnoteReference w:id="139"/>
      </w:r>
      <w:r w:rsidRPr="006F29F5">
        <w:rPr>
          <w:i/>
          <w:kern w:val="2"/>
          <w:sz w:val="20"/>
        </w:rPr>
        <w:t xml:space="preserve"> </w:t>
      </w:r>
      <w:r w:rsidRPr="006F29F5">
        <w:rPr>
          <w:kern w:val="2"/>
          <w:sz w:val="20"/>
        </w:rPr>
        <w:t xml:space="preserve">Witnesses in the current review have continued to identify the lack of evidence provided by requesting foreign governments as an issue. In particular, Ms. Maya Lester, QC, criticized both the European and Canadian frameworks for accepting the word of post-revolution regimes such as Tunisia or Egypt </w:t>
      </w:r>
      <w:r w:rsidR="00CC1E13" w:rsidRPr="006F29F5">
        <w:rPr>
          <w:kern w:val="2"/>
          <w:sz w:val="20"/>
        </w:rPr>
        <w:t>“</w:t>
      </w:r>
      <w:r w:rsidRPr="006F29F5">
        <w:rPr>
          <w:kern w:val="2"/>
          <w:sz w:val="20"/>
        </w:rPr>
        <w:t>without standards that Canada or the United Kingdom certainly would regard as complying with the rule of law.</w:t>
      </w:r>
      <w:r w:rsidR="00CC1E13" w:rsidRPr="006F29F5">
        <w:rPr>
          <w:kern w:val="2"/>
          <w:sz w:val="20"/>
        </w:rPr>
        <w:t>”</w:t>
      </w:r>
      <w:r w:rsidRPr="006F29F5">
        <w:rPr>
          <w:rStyle w:val="FootnoteReference"/>
          <w:kern w:val="2"/>
          <w:sz w:val="20"/>
        </w:rPr>
        <w:footnoteReference w:id="140"/>
      </w:r>
      <w:r w:rsidRPr="006F29F5">
        <w:rPr>
          <w:kern w:val="2"/>
          <w:sz w:val="20"/>
        </w:rPr>
        <w:t xml:space="preserve"> </w:t>
      </w:r>
    </w:p>
    <w:p w14:paraId="55A78F85" w14:textId="0B997ABC" w:rsidR="00885D67" w:rsidRPr="006F29F5" w:rsidRDefault="00885D67" w:rsidP="00885D67">
      <w:pPr>
        <w:rPr>
          <w:i/>
          <w:kern w:val="2"/>
          <w:sz w:val="20"/>
        </w:rPr>
      </w:pPr>
      <w:r w:rsidRPr="006F29F5">
        <w:rPr>
          <w:kern w:val="2"/>
          <w:sz w:val="20"/>
        </w:rPr>
        <w:t xml:space="preserve">The current act allows for persons affected by an order or regulation under </w:t>
      </w:r>
      <w:r w:rsidR="008C3A76" w:rsidRPr="006F29F5">
        <w:rPr>
          <w:kern w:val="2"/>
          <w:sz w:val="20"/>
        </w:rPr>
        <w:t>section</w:t>
      </w:r>
      <w:r w:rsidRPr="006F29F5">
        <w:rPr>
          <w:kern w:val="2"/>
          <w:sz w:val="20"/>
        </w:rPr>
        <w:t xml:space="preserve"> 4 to apply for ministerial reconsideration of their status as a </w:t>
      </w:r>
      <w:r w:rsidR="00CC1E13" w:rsidRPr="006F29F5">
        <w:rPr>
          <w:kern w:val="2"/>
          <w:sz w:val="20"/>
        </w:rPr>
        <w:t>“</w:t>
      </w:r>
      <w:r w:rsidRPr="006F29F5">
        <w:rPr>
          <w:kern w:val="2"/>
          <w:sz w:val="20"/>
        </w:rPr>
        <w:t>politically exposed person.</w:t>
      </w:r>
      <w:r w:rsidR="00CC1E13" w:rsidRPr="006F29F5">
        <w:rPr>
          <w:kern w:val="2"/>
          <w:sz w:val="20"/>
        </w:rPr>
        <w:t>”</w:t>
      </w:r>
      <w:r w:rsidRPr="006F29F5">
        <w:rPr>
          <w:rStyle w:val="FootnoteReference"/>
          <w:kern w:val="2"/>
          <w:sz w:val="20"/>
        </w:rPr>
        <w:footnoteReference w:id="141"/>
      </w:r>
      <w:r w:rsidRPr="006F29F5">
        <w:rPr>
          <w:kern w:val="2"/>
          <w:sz w:val="20"/>
        </w:rPr>
        <w:t xml:space="preserve"> However, the only way to otherwise contest the substantive or procedural validity of an order or regulation under </w:t>
      </w:r>
      <w:r w:rsidRPr="006F29F5">
        <w:rPr>
          <w:i/>
          <w:kern w:val="2"/>
          <w:sz w:val="20"/>
        </w:rPr>
        <w:t>FACFOA</w:t>
      </w:r>
      <w:r w:rsidRPr="006F29F5">
        <w:rPr>
          <w:kern w:val="2"/>
          <w:sz w:val="20"/>
        </w:rPr>
        <w:t xml:space="preserve"> is to ap</w:t>
      </w:r>
      <w:r w:rsidR="008C3A76" w:rsidRPr="006F29F5">
        <w:rPr>
          <w:kern w:val="2"/>
          <w:sz w:val="20"/>
        </w:rPr>
        <w:t xml:space="preserve">ply for judicial review under section </w:t>
      </w:r>
      <w:r w:rsidRPr="006F29F5">
        <w:rPr>
          <w:kern w:val="2"/>
          <w:sz w:val="20"/>
        </w:rPr>
        <w:t xml:space="preserve">18.1 of the </w:t>
      </w:r>
      <w:r w:rsidRPr="006F29F5">
        <w:rPr>
          <w:i/>
          <w:kern w:val="2"/>
          <w:sz w:val="20"/>
        </w:rPr>
        <w:t>Federal Courts Act</w:t>
      </w:r>
      <w:r w:rsidRPr="006F29F5">
        <w:rPr>
          <w:kern w:val="2"/>
          <w:sz w:val="20"/>
        </w:rPr>
        <w:t>.</w:t>
      </w:r>
      <w:r w:rsidRPr="006F29F5">
        <w:rPr>
          <w:rStyle w:val="FootnoteReference"/>
          <w:kern w:val="2"/>
          <w:sz w:val="20"/>
        </w:rPr>
        <w:footnoteReference w:id="142"/>
      </w:r>
    </w:p>
    <w:p w14:paraId="1839D245" w14:textId="0BA75C82" w:rsidR="00885D67" w:rsidRPr="006F29F5" w:rsidRDefault="00864172" w:rsidP="00885D67">
      <w:pPr>
        <w:ind w:firstLine="720"/>
        <w:rPr>
          <w:b/>
          <w:i/>
          <w:kern w:val="2"/>
          <w:sz w:val="20"/>
        </w:rPr>
      </w:pPr>
      <w:r w:rsidRPr="006F29F5">
        <w:rPr>
          <w:b/>
          <w:kern w:val="2"/>
          <w:sz w:val="20"/>
        </w:rPr>
        <w:t>b)</w:t>
      </w:r>
      <w:r w:rsidR="00885D67" w:rsidRPr="006F29F5">
        <w:rPr>
          <w:b/>
          <w:kern w:val="2"/>
          <w:sz w:val="20"/>
        </w:rPr>
        <w:t xml:space="preserve"> </w:t>
      </w:r>
      <w:r w:rsidR="00CC1E13" w:rsidRPr="006F29F5">
        <w:rPr>
          <w:b/>
          <w:kern w:val="2"/>
          <w:sz w:val="20"/>
        </w:rPr>
        <w:t>“</w:t>
      </w:r>
      <w:r w:rsidR="00885D67" w:rsidRPr="006F29F5">
        <w:rPr>
          <w:b/>
          <w:kern w:val="2"/>
          <w:sz w:val="20"/>
        </w:rPr>
        <w:t>Freezing</w:t>
      </w:r>
      <w:r w:rsidR="00CC1E13" w:rsidRPr="006F29F5">
        <w:rPr>
          <w:b/>
          <w:kern w:val="2"/>
          <w:sz w:val="20"/>
        </w:rPr>
        <w:t>”</w:t>
      </w:r>
      <w:r w:rsidR="00885D67" w:rsidRPr="006F29F5">
        <w:rPr>
          <w:b/>
          <w:kern w:val="2"/>
          <w:sz w:val="20"/>
        </w:rPr>
        <w:t xml:space="preserve"> Regulations under </w:t>
      </w:r>
      <w:r w:rsidR="00885D67" w:rsidRPr="006F29F5">
        <w:rPr>
          <w:b/>
          <w:i/>
          <w:kern w:val="2"/>
          <w:sz w:val="20"/>
        </w:rPr>
        <w:t>FACFOA</w:t>
      </w:r>
    </w:p>
    <w:p w14:paraId="7D44726F" w14:textId="7255A2CA" w:rsidR="00885D67" w:rsidRPr="006F29F5" w:rsidRDefault="00885D67" w:rsidP="00885D67">
      <w:pPr>
        <w:rPr>
          <w:kern w:val="2"/>
          <w:sz w:val="20"/>
        </w:rPr>
      </w:pPr>
      <w:r w:rsidRPr="006F29F5">
        <w:rPr>
          <w:kern w:val="2"/>
          <w:sz w:val="20"/>
        </w:rPr>
        <w:t xml:space="preserve">To date, there </w:t>
      </w:r>
      <w:r w:rsidR="00DA5C20" w:rsidRPr="006F29F5">
        <w:rPr>
          <w:kern w:val="2"/>
          <w:sz w:val="20"/>
        </w:rPr>
        <w:t>are</w:t>
      </w:r>
      <w:r w:rsidRPr="006F29F5">
        <w:rPr>
          <w:kern w:val="2"/>
          <w:sz w:val="20"/>
        </w:rPr>
        <w:t xml:space="preserve"> two regulations </w:t>
      </w:r>
      <w:r w:rsidR="00DA5C20" w:rsidRPr="006F29F5">
        <w:rPr>
          <w:kern w:val="2"/>
          <w:sz w:val="20"/>
        </w:rPr>
        <w:t xml:space="preserve">created </w:t>
      </w:r>
      <w:r w:rsidRPr="006F29F5">
        <w:rPr>
          <w:kern w:val="2"/>
          <w:sz w:val="20"/>
        </w:rPr>
        <w:t xml:space="preserve">to freeze assets under </w:t>
      </w:r>
      <w:r w:rsidRPr="006F29F5">
        <w:rPr>
          <w:i/>
          <w:kern w:val="2"/>
          <w:sz w:val="20"/>
        </w:rPr>
        <w:t>FACFOA.</w:t>
      </w:r>
      <w:r w:rsidRPr="006F29F5">
        <w:rPr>
          <w:kern w:val="2"/>
          <w:sz w:val="20"/>
        </w:rPr>
        <w:t xml:space="preserve"> The first regulation, in 2011, targeted foreign officials from Tunisia and Egypt,</w:t>
      </w:r>
      <w:r w:rsidRPr="006F29F5">
        <w:rPr>
          <w:rStyle w:val="FootnoteReference"/>
          <w:kern w:val="2"/>
          <w:sz w:val="20"/>
        </w:rPr>
        <w:footnoteReference w:id="143"/>
      </w:r>
      <w:r w:rsidRPr="006F29F5">
        <w:rPr>
          <w:kern w:val="2"/>
          <w:sz w:val="20"/>
        </w:rPr>
        <w:t xml:space="preserve"> and the second, in 2014, targeted foreign officials from Ukraine.</w:t>
      </w:r>
      <w:r w:rsidRPr="006F29F5">
        <w:rPr>
          <w:rStyle w:val="FootnoteReference"/>
          <w:kern w:val="2"/>
          <w:sz w:val="20"/>
        </w:rPr>
        <w:footnoteReference w:id="144"/>
      </w:r>
      <w:r w:rsidRPr="006F29F5">
        <w:rPr>
          <w:kern w:val="2"/>
          <w:sz w:val="20"/>
        </w:rPr>
        <w:t xml:space="preserve"> The original numbers of persons listed in those regulations was 123 for Tunisia, 148 for Egypt, and 18 for Ukraine. The Tunisia and Egypt regulation has been amended several times. The current numbers of listed persons are 8 for Tunisia and 18 for Ukraine.</w:t>
      </w:r>
      <w:r w:rsidRPr="006F29F5">
        <w:rPr>
          <w:rStyle w:val="FootnoteReference"/>
          <w:kern w:val="2"/>
          <w:sz w:val="20"/>
        </w:rPr>
        <w:footnoteReference w:id="145"/>
      </w:r>
      <w:r w:rsidRPr="006F29F5">
        <w:rPr>
          <w:kern w:val="2"/>
          <w:sz w:val="20"/>
        </w:rPr>
        <w:t xml:space="preserve"> According to media reports, under the Tunisia and Egypt regulation, the government targeted residential property valued at $2.55 million and bank accounts containing $122,000.</w:t>
      </w:r>
      <w:r w:rsidRPr="006F29F5">
        <w:rPr>
          <w:rStyle w:val="FootnoteReference"/>
          <w:kern w:val="2"/>
          <w:sz w:val="20"/>
        </w:rPr>
        <w:footnoteReference w:id="146"/>
      </w:r>
      <w:r w:rsidRPr="006F29F5">
        <w:rPr>
          <w:kern w:val="2"/>
          <w:sz w:val="20"/>
        </w:rPr>
        <w:t xml:space="preserve"> However, it is not clear how much of that money was returned to the people of Tunisia. The </w:t>
      </w:r>
      <w:r w:rsidRPr="006F29F5">
        <w:rPr>
          <w:i/>
          <w:kern w:val="2"/>
          <w:sz w:val="20"/>
        </w:rPr>
        <w:t xml:space="preserve">Act </w:t>
      </w:r>
      <w:r w:rsidRPr="006F29F5">
        <w:rPr>
          <w:kern w:val="2"/>
          <w:sz w:val="20"/>
        </w:rPr>
        <w:t xml:space="preserve">itself does not provide a mechanism for the return of assets. Hugh </w:t>
      </w:r>
      <w:proofErr w:type="spellStart"/>
      <w:r w:rsidRPr="006F29F5">
        <w:rPr>
          <w:kern w:val="2"/>
          <w:sz w:val="20"/>
        </w:rPr>
        <w:t>Adsett</w:t>
      </w:r>
      <w:proofErr w:type="spellEnd"/>
      <w:r w:rsidRPr="006F29F5">
        <w:rPr>
          <w:kern w:val="2"/>
          <w:sz w:val="20"/>
        </w:rPr>
        <w:t xml:space="preserve"> from the Department of Foreign Affairs, Trade and Development testified on this point before the Standing Committee in the current review, saying</w:t>
      </w:r>
      <w:r w:rsidR="00210635" w:rsidRPr="006F29F5">
        <w:rPr>
          <w:kern w:val="2"/>
          <w:sz w:val="20"/>
        </w:rPr>
        <w:t>,</w:t>
      </w:r>
      <w:r w:rsidRPr="006F29F5">
        <w:rPr>
          <w:kern w:val="2"/>
          <w:sz w:val="20"/>
        </w:rPr>
        <w:t xml:space="preserve"> </w:t>
      </w:r>
      <w:r w:rsidR="00CC1E13" w:rsidRPr="006F29F5">
        <w:rPr>
          <w:kern w:val="2"/>
          <w:sz w:val="20"/>
        </w:rPr>
        <w:t>“</w:t>
      </w:r>
      <w:proofErr w:type="gramStart"/>
      <w:r w:rsidRPr="006F29F5">
        <w:rPr>
          <w:kern w:val="2"/>
          <w:sz w:val="20"/>
        </w:rPr>
        <w:t>what</w:t>
      </w:r>
      <w:proofErr w:type="gramEnd"/>
      <w:r w:rsidRPr="006F29F5">
        <w:rPr>
          <w:kern w:val="2"/>
          <w:sz w:val="20"/>
        </w:rPr>
        <w:t xml:space="preserve"> happens under the act is that the assets are frozen. If the foreign state wishes to have the return of those assets, they need to take a further step to be able to have the assets returned. That usually will be in the nature of a mutual legal assistance request in order to have assets returned.</w:t>
      </w:r>
      <w:r w:rsidR="00CC1E13" w:rsidRPr="006F29F5">
        <w:rPr>
          <w:kern w:val="2"/>
          <w:sz w:val="20"/>
        </w:rPr>
        <w:t>”</w:t>
      </w:r>
      <w:r w:rsidRPr="006F29F5">
        <w:rPr>
          <w:rStyle w:val="FootnoteReference"/>
          <w:kern w:val="2"/>
          <w:sz w:val="20"/>
        </w:rPr>
        <w:footnoteReference w:id="147"/>
      </w:r>
    </w:p>
    <w:p w14:paraId="45E71691" w14:textId="5D60AA0A" w:rsidR="00885D67" w:rsidRPr="006F29F5" w:rsidRDefault="00864172" w:rsidP="00885D67">
      <w:pPr>
        <w:ind w:firstLine="720"/>
        <w:rPr>
          <w:b/>
          <w:kern w:val="2"/>
          <w:sz w:val="20"/>
        </w:rPr>
      </w:pPr>
      <w:r w:rsidRPr="006F29F5">
        <w:rPr>
          <w:b/>
          <w:kern w:val="2"/>
          <w:sz w:val="20"/>
        </w:rPr>
        <w:t>c)</w:t>
      </w:r>
      <w:r w:rsidR="00885D67" w:rsidRPr="006F29F5">
        <w:rPr>
          <w:b/>
          <w:kern w:val="2"/>
          <w:sz w:val="20"/>
        </w:rPr>
        <w:t xml:space="preserve"> Duties to Disclose and Offences</w:t>
      </w:r>
      <w:r w:rsidR="000457E4" w:rsidRPr="006F29F5">
        <w:rPr>
          <w:b/>
          <w:kern w:val="2"/>
          <w:sz w:val="20"/>
        </w:rPr>
        <w:t xml:space="preserve"> for Non-Disclosures</w:t>
      </w:r>
    </w:p>
    <w:p w14:paraId="4D599776" w14:textId="2757F412" w:rsidR="00885D67" w:rsidRPr="006F29F5" w:rsidRDefault="00885D67" w:rsidP="00885D67">
      <w:pPr>
        <w:rPr>
          <w:kern w:val="2"/>
          <w:sz w:val="20"/>
        </w:rPr>
      </w:pPr>
      <w:r w:rsidRPr="006F29F5">
        <w:rPr>
          <w:kern w:val="2"/>
          <w:sz w:val="20"/>
        </w:rPr>
        <w:t xml:space="preserve">Section 8 of </w:t>
      </w:r>
      <w:r w:rsidRPr="006F29F5">
        <w:rPr>
          <w:i/>
          <w:kern w:val="2"/>
          <w:sz w:val="20"/>
        </w:rPr>
        <w:t>FACFOA</w:t>
      </w:r>
      <w:r w:rsidRPr="006F29F5">
        <w:rPr>
          <w:kern w:val="2"/>
          <w:sz w:val="20"/>
        </w:rPr>
        <w:t xml:space="preserve"> imposes a duty on banks and other enumerated or prescribed entities to determine</w:t>
      </w:r>
      <w:r w:rsidR="00741189" w:rsidRPr="006F29F5">
        <w:rPr>
          <w:kern w:val="2"/>
          <w:sz w:val="20"/>
        </w:rPr>
        <w:t>, on an ongoing basis,</w:t>
      </w:r>
      <w:r w:rsidRPr="006F29F5">
        <w:rPr>
          <w:kern w:val="2"/>
          <w:sz w:val="20"/>
        </w:rPr>
        <w:t xml:space="preserve"> whether they are in possession or control of property that they have reason to believe belongs to a politically exposed foreign person who is the subject of</w:t>
      </w:r>
      <w:r w:rsidR="002E4CDE" w:rsidRPr="006F29F5">
        <w:rPr>
          <w:kern w:val="2"/>
          <w:sz w:val="20"/>
        </w:rPr>
        <w:t xml:space="preserve"> an order or regulation under section </w:t>
      </w:r>
      <w:r w:rsidRPr="006F29F5">
        <w:rPr>
          <w:kern w:val="2"/>
          <w:sz w:val="20"/>
        </w:rPr>
        <w:t xml:space="preserve">4. Section 9 of </w:t>
      </w:r>
      <w:r w:rsidRPr="006F29F5">
        <w:rPr>
          <w:i/>
          <w:kern w:val="2"/>
          <w:sz w:val="20"/>
        </w:rPr>
        <w:t>FACFOA</w:t>
      </w:r>
      <w:r w:rsidRPr="006F29F5">
        <w:rPr>
          <w:kern w:val="2"/>
          <w:sz w:val="20"/>
        </w:rPr>
        <w:t xml:space="preserve"> imposes an obligation on any Canadian or person in Canada to report any property that they know to be in their possession, or knowledge of a property transaction, that is the subject of</w:t>
      </w:r>
      <w:r w:rsidR="002E4CDE" w:rsidRPr="006F29F5">
        <w:rPr>
          <w:kern w:val="2"/>
          <w:sz w:val="20"/>
        </w:rPr>
        <w:t xml:space="preserve"> an order or regulation under section</w:t>
      </w:r>
      <w:r w:rsidR="00705F47" w:rsidRPr="006F29F5">
        <w:rPr>
          <w:kern w:val="2"/>
          <w:sz w:val="20"/>
        </w:rPr>
        <w:t xml:space="preserve"> </w:t>
      </w:r>
      <w:r w:rsidRPr="006F29F5">
        <w:rPr>
          <w:kern w:val="2"/>
          <w:sz w:val="20"/>
        </w:rPr>
        <w:t>4.</w:t>
      </w:r>
    </w:p>
    <w:p w14:paraId="01145B18" w14:textId="693C4814" w:rsidR="00885D67" w:rsidRPr="006F29F5" w:rsidRDefault="00885D67" w:rsidP="00885D67">
      <w:pPr>
        <w:rPr>
          <w:kern w:val="2"/>
          <w:sz w:val="20"/>
        </w:rPr>
      </w:pPr>
      <w:r w:rsidRPr="006F29F5">
        <w:rPr>
          <w:kern w:val="2"/>
          <w:sz w:val="20"/>
        </w:rPr>
        <w:t xml:space="preserve">Section 10 of </w:t>
      </w:r>
      <w:r w:rsidRPr="006F29F5">
        <w:rPr>
          <w:i/>
          <w:kern w:val="2"/>
          <w:sz w:val="20"/>
        </w:rPr>
        <w:t>FACFOA</w:t>
      </w:r>
      <w:r w:rsidRPr="006F29F5">
        <w:rPr>
          <w:kern w:val="2"/>
          <w:sz w:val="20"/>
        </w:rPr>
        <w:t xml:space="preserve"> creates hybrid offences for </w:t>
      </w:r>
      <w:r w:rsidR="0032680F" w:rsidRPr="006F29F5">
        <w:rPr>
          <w:kern w:val="2"/>
          <w:sz w:val="20"/>
        </w:rPr>
        <w:t>willfully</w:t>
      </w:r>
      <w:r w:rsidRPr="006F29F5">
        <w:rPr>
          <w:kern w:val="2"/>
          <w:sz w:val="20"/>
        </w:rPr>
        <w:t xml:space="preserve"> c</w:t>
      </w:r>
      <w:r w:rsidR="002E4CDE" w:rsidRPr="006F29F5">
        <w:rPr>
          <w:kern w:val="2"/>
          <w:sz w:val="20"/>
        </w:rPr>
        <w:t>ontravening orders made under section 4 or the duties imposed by sections</w:t>
      </w:r>
      <w:r w:rsidRPr="006F29F5">
        <w:rPr>
          <w:kern w:val="2"/>
          <w:sz w:val="20"/>
        </w:rPr>
        <w:t xml:space="preserve"> 8 and 9. In both cases</w:t>
      </w:r>
      <w:r w:rsidR="00210635" w:rsidRPr="006F29F5">
        <w:rPr>
          <w:kern w:val="2"/>
          <w:sz w:val="20"/>
        </w:rPr>
        <w:t>,</w:t>
      </w:r>
      <w:r w:rsidRPr="006F29F5">
        <w:rPr>
          <w:kern w:val="2"/>
          <w:sz w:val="20"/>
        </w:rPr>
        <w:t xml:space="preserve"> the maximum penalties are five years in prison for an indictable offence, or</w:t>
      </w:r>
      <w:r w:rsidR="004F6AEA" w:rsidRPr="006F29F5">
        <w:rPr>
          <w:kern w:val="2"/>
          <w:sz w:val="20"/>
        </w:rPr>
        <w:t xml:space="preserve">, for a summary conviction, </w:t>
      </w:r>
      <w:r w:rsidRPr="006F29F5">
        <w:rPr>
          <w:kern w:val="2"/>
          <w:sz w:val="20"/>
        </w:rPr>
        <w:t>a fine of $25,000 and a maximum of one year in prison.</w:t>
      </w:r>
    </w:p>
    <w:p w14:paraId="64E72907" w14:textId="0DB95AE2" w:rsidR="00003F89" w:rsidRPr="006F29F5" w:rsidRDefault="00864172" w:rsidP="00890F96">
      <w:pPr>
        <w:keepNext/>
        <w:ind w:firstLine="720"/>
        <w:rPr>
          <w:b/>
          <w:kern w:val="2"/>
          <w:sz w:val="20"/>
        </w:rPr>
      </w:pPr>
      <w:r w:rsidRPr="006F29F5">
        <w:rPr>
          <w:b/>
          <w:kern w:val="2"/>
          <w:sz w:val="20"/>
        </w:rPr>
        <w:t>d)</w:t>
      </w:r>
      <w:r w:rsidR="00885D67" w:rsidRPr="006F29F5">
        <w:rPr>
          <w:b/>
          <w:kern w:val="2"/>
          <w:sz w:val="20"/>
        </w:rPr>
        <w:t xml:space="preserve"> Economic and Logistical Costs</w:t>
      </w:r>
    </w:p>
    <w:p w14:paraId="04F7574D" w14:textId="27EC07C9" w:rsidR="00885D67" w:rsidRPr="006F29F5" w:rsidRDefault="00885D67" w:rsidP="00056823">
      <w:pPr>
        <w:rPr>
          <w:kern w:val="2"/>
          <w:sz w:val="20"/>
        </w:rPr>
      </w:pPr>
      <w:r w:rsidRPr="006F29F5">
        <w:rPr>
          <w:kern w:val="2"/>
          <w:sz w:val="20"/>
        </w:rPr>
        <w:t xml:space="preserve">Witnesses before the Standing Committee in the current </w:t>
      </w:r>
      <w:r w:rsidR="003B5579" w:rsidRPr="006F29F5">
        <w:rPr>
          <w:kern w:val="2"/>
          <w:sz w:val="20"/>
        </w:rPr>
        <w:t xml:space="preserve">five-year </w:t>
      </w:r>
      <w:r w:rsidRPr="006F29F5">
        <w:rPr>
          <w:kern w:val="2"/>
          <w:sz w:val="20"/>
        </w:rPr>
        <w:t xml:space="preserve">review expressed several concerns about the economic and logistical burdens individuals and entities face under </w:t>
      </w:r>
      <w:r w:rsidRPr="006F29F5">
        <w:rPr>
          <w:i/>
          <w:kern w:val="2"/>
          <w:sz w:val="20"/>
        </w:rPr>
        <w:t xml:space="preserve">FACFOA. </w:t>
      </w:r>
      <w:r w:rsidRPr="006F29F5">
        <w:rPr>
          <w:kern w:val="2"/>
          <w:sz w:val="20"/>
        </w:rPr>
        <w:t xml:space="preserve">Dr. </w:t>
      </w:r>
      <w:proofErr w:type="spellStart"/>
      <w:r w:rsidRPr="006F29F5">
        <w:rPr>
          <w:kern w:val="2"/>
          <w:sz w:val="20"/>
        </w:rPr>
        <w:t>Charron</w:t>
      </w:r>
      <w:proofErr w:type="spellEnd"/>
      <w:r w:rsidRPr="006F29F5">
        <w:rPr>
          <w:kern w:val="2"/>
          <w:sz w:val="20"/>
        </w:rPr>
        <w:t>, Director of the Centre for Security Intelligence and Defence Studies at Carleton University, pointed out that the complexity of Canada’s multiple legislation governing sanctions mean</w:t>
      </w:r>
      <w:r w:rsidR="00FB333A" w:rsidRPr="006F29F5">
        <w:rPr>
          <w:kern w:val="2"/>
          <w:sz w:val="20"/>
        </w:rPr>
        <w:t>s</w:t>
      </w:r>
      <w:r w:rsidRPr="006F29F5">
        <w:rPr>
          <w:kern w:val="2"/>
          <w:sz w:val="20"/>
        </w:rPr>
        <w:t xml:space="preserve"> that Canadian companies and banks have to spend a large amount of money to ensure compliance.</w:t>
      </w:r>
      <w:r w:rsidRPr="006F29F5">
        <w:rPr>
          <w:rStyle w:val="FootnoteReference"/>
          <w:kern w:val="2"/>
          <w:sz w:val="20"/>
        </w:rPr>
        <w:footnoteReference w:id="148"/>
      </w:r>
      <w:r w:rsidRPr="006F29F5">
        <w:rPr>
          <w:kern w:val="2"/>
          <w:sz w:val="20"/>
        </w:rPr>
        <w:t xml:space="preserve"> She notes</w:t>
      </w:r>
      <w:r w:rsidR="004F149B" w:rsidRPr="006F29F5">
        <w:rPr>
          <w:kern w:val="2"/>
          <w:sz w:val="20"/>
        </w:rPr>
        <w:t xml:space="preserve"> </w:t>
      </w:r>
      <w:r w:rsidRPr="006F29F5">
        <w:rPr>
          <w:kern w:val="2"/>
          <w:sz w:val="20"/>
        </w:rPr>
        <w:t xml:space="preserve">that </w:t>
      </w:r>
      <w:r w:rsidRPr="006F29F5">
        <w:rPr>
          <w:i/>
          <w:kern w:val="2"/>
          <w:sz w:val="20"/>
        </w:rPr>
        <w:t>FACFOA</w:t>
      </w:r>
      <w:r w:rsidRPr="006F29F5">
        <w:rPr>
          <w:kern w:val="2"/>
          <w:sz w:val="20"/>
        </w:rPr>
        <w:t xml:space="preserve"> applies to property within Canada and as such could impose a particularly onerous burden on companies or banks involved in domestic real estate transactions.</w:t>
      </w:r>
      <w:r w:rsidRPr="006F29F5">
        <w:rPr>
          <w:rStyle w:val="FootnoteReference"/>
          <w:kern w:val="2"/>
          <w:sz w:val="20"/>
        </w:rPr>
        <w:footnoteReference w:id="149"/>
      </w:r>
      <w:r w:rsidRPr="006F29F5">
        <w:rPr>
          <w:kern w:val="2"/>
          <w:sz w:val="20"/>
        </w:rPr>
        <w:t xml:space="preserve"> However, it is not clear how onerous the burden on companies </w:t>
      </w:r>
      <w:r w:rsidR="00F636F2" w:rsidRPr="006F29F5">
        <w:rPr>
          <w:kern w:val="2"/>
          <w:sz w:val="20"/>
        </w:rPr>
        <w:t xml:space="preserve">of tracking asset transactions of a relatively small group of individuals </w:t>
      </w:r>
      <w:r w:rsidR="001E65B1" w:rsidRPr="006F29F5">
        <w:rPr>
          <w:kern w:val="2"/>
          <w:sz w:val="20"/>
        </w:rPr>
        <w:t>really is</w:t>
      </w:r>
      <w:r w:rsidRPr="006F29F5">
        <w:rPr>
          <w:kern w:val="2"/>
          <w:sz w:val="20"/>
        </w:rPr>
        <w:t xml:space="preserve"> or whether the money banks and companies have to spend on compliance goes beyond the simple cost of doing business in a heavily-regulated industry. </w:t>
      </w:r>
    </w:p>
    <w:p w14:paraId="1FDCE590" w14:textId="5D66F2B3" w:rsidR="00885D67" w:rsidRPr="006F29F5" w:rsidRDefault="00885D67" w:rsidP="00003F89">
      <w:pPr>
        <w:rPr>
          <w:kern w:val="2"/>
          <w:sz w:val="20"/>
        </w:rPr>
      </w:pPr>
      <w:r w:rsidRPr="006F29F5">
        <w:rPr>
          <w:kern w:val="2"/>
          <w:sz w:val="20"/>
        </w:rPr>
        <w:t xml:space="preserve">Government institutions currently provide informational support to institutions affected by </w:t>
      </w:r>
      <w:r w:rsidRPr="006F29F5">
        <w:rPr>
          <w:i/>
          <w:kern w:val="2"/>
          <w:sz w:val="20"/>
        </w:rPr>
        <w:t xml:space="preserve">FACFOA. </w:t>
      </w:r>
      <w:r w:rsidRPr="006F29F5">
        <w:rPr>
          <w:kern w:val="2"/>
          <w:sz w:val="20"/>
        </w:rPr>
        <w:t xml:space="preserve">While the Office of the Superintendent of Financial Institutions does not have a legislated role under </w:t>
      </w:r>
      <w:r w:rsidRPr="006F29F5">
        <w:rPr>
          <w:i/>
          <w:kern w:val="2"/>
          <w:sz w:val="20"/>
        </w:rPr>
        <w:t>FACFOA</w:t>
      </w:r>
      <w:r w:rsidRPr="006F29F5">
        <w:rPr>
          <w:kern w:val="2"/>
          <w:sz w:val="20"/>
        </w:rPr>
        <w:t xml:space="preserve">, they provide notice and some guidance to federally regulated financial institutions about duties and expectations under incoming regulations under </w:t>
      </w:r>
      <w:r w:rsidRPr="006F29F5">
        <w:rPr>
          <w:i/>
          <w:kern w:val="2"/>
          <w:sz w:val="20"/>
        </w:rPr>
        <w:t xml:space="preserve">FACFOA. </w:t>
      </w:r>
      <w:r w:rsidRPr="006F29F5">
        <w:rPr>
          <w:kern w:val="2"/>
          <w:sz w:val="20"/>
        </w:rPr>
        <w:t xml:space="preserve">For example, they provided a notice when the Ukraine regulations were released under the </w:t>
      </w:r>
      <w:r w:rsidR="00B44990" w:rsidRPr="006F29F5">
        <w:rPr>
          <w:kern w:val="2"/>
          <w:sz w:val="20"/>
        </w:rPr>
        <w:t>Act</w:t>
      </w:r>
      <w:r w:rsidRPr="006F29F5">
        <w:rPr>
          <w:kern w:val="2"/>
          <w:sz w:val="20"/>
        </w:rPr>
        <w:t>.</w:t>
      </w:r>
      <w:r w:rsidRPr="006F29F5">
        <w:rPr>
          <w:rStyle w:val="FootnoteReference"/>
          <w:kern w:val="2"/>
          <w:sz w:val="20"/>
        </w:rPr>
        <w:footnoteReference w:id="150"/>
      </w:r>
    </w:p>
    <w:p w14:paraId="785F9A50" w14:textId="70763579" w:rsidR="00885D67" w:rsidRPr="006F29F5" w:rsidRDefault="005C4FCF" w:rsidP="00885D67">
      <w:pPr>
        <w:rPr>
          <w:b/>
          <w:i/>
          <w:kern w:val="2"/>
          <w:sz w:val="20"/>
          <w:u w:val="single"/>
        </w:rPr>
      </w:pPr>
      <w:r w:rsidRPr="006F29F5">
        <w:rPr>
          <w:b/>
          <w:kern w:val="2"/>
          <w:sz w:val="20"/>
        </w:rPr>
        <w:t>(2)</w:t>
      </w:r>
      <w:r w:rsidRPr="006F29F5">
        <w:rPr>
          <w:b/>
          <w:i/>
          <w:kern w:val="2"/>
          <w:sz w:val="20"/>
        </w:rPr>
        <w:t xml:space="preserve"> </w:t>
      </w:r>
      <w:r w:rsidR="00885D67" w:rsidRPr="006F29F5">
        <w:rPr>
          <w:b/>
          <w:i/>
          <w:kern w:val="2"/>
          <w:sz w:val="20"/>
          <w:u w:val="single"/>
        </w:rPr>
        <w:t>Special Economic Measures Act</w:t>
      </w:r>
    </w:p>
    <w:p w14:paraId="06AFD72E" w14:textId="0BDEE856" w:rsidR="00885D67" w:rsidRPr="006F29F5" w:rsidRDefault="00885D67" w:rsidP="00885D67">
      <w:pPr>
        <w:rPr>
          <w:kern w:val="2"/>
          <w:sz w:val="20"/>
        </w:rPr>
      </w:pPr>
      <w:r w:rsidRPr="006F29F5">
        <w:rPr>
          <w:kern w:val="2"/>
          <w:sz w:val="20"/>
        </w:rPr>
        <w:t xml:space="preserve">The </w:t>
      </w:r>
      <w:r w:rsidR="00210635" w:rsidRPr="006F29F5">
        <w:rPr>
          <w:i/>
          <w:kern w:val="2"/>
          <w:sz w:val="20"/>
        </w:rPr>
        <w:t xml:space="preserve">Special Economic Measures Act </w:t>
      </w:r>
      <w:r w:rsidR="00210635" w:rsidRPr="006F29F5">
        <w:rPr>
          <w:kern w:val="2"/>
          <w:sz w:val="20"/>
        </w:rPr>
        <w:t>(</w:t>
      </w:r>
      <w:r w:rsidR="00210635" w:rsidRPr="006F29F5">
        <w:rPr>
          <w:i/>
          <w:kern w:val="2"/>
          <w:sz w:val="20"/>
        </w:rPr>
        <w:t>SEMA</w:t>
      </w:r>
      <w:r w:rsidRPr="006F29F5">
        <w:rPr>
          <w:kern w:val="2"/>
          <w:sz w:val="20"/>
        </w:rPr>
        <w:t>)</w:t>
      </w:r>
      <w:r w:rsidRPr="006F29F5">
        <w:rPr>
          <w:i/>
          <w:kern w:val="2"/>
          <w:sz w:val="20"/>
        </w:rPr>
        <w:t xml:space="preserve"> </w:t>
      </w:r>
      <w:r w:rsidRPr="006F29F5">
        <w:rPr>
          <w:kern w:val="2"/>
          <w:sz w:val="20"/>
        </w:rPr>
        <w:t xml:space="preserve">allows the </w:t>
      </w:r>
      <w:r w:rsidR="00B316C7" w:rsidRPr="006F29F5">
        <w:rPr>
          <w:kern w:val="2"/>
          <w:sz w:val="20"/>
        </w:rPr>
        <w:t>Governor in Council</w:t>
      </w:r>
      <w:r w:rsidRPr="006F29F5">
        <w:rPr>
          <w:kern w:val="2"/>
          <w:sz w:val="20"/>
        </w:rPr>
        <w:t xml:space="preserve"> to make orders or regulations taking economic measures against a foreign state. The </w:t>
      </w:r>
      <w:r w:rsidR="00B316C7" w:rsidRPr="006F29F5">
        <w:rPr>
          <w:kern w:val="2"/>
          <w:sz w:val="20"/>
        </w:rPr>
        <w:t>Governor in Council</w:t>
      </w:r>
      <w:r w:rsidRPr="006F29F5">
        <w:rPr>
          <w:kern w:val="2"/>
          <w:sz w:val="20"/>
        </w:rPr>
        <w:t xml:space="preserve"> can do this in order to implement a call for sanctions from an association of states of which Canada is a member or </w:t>
      </w:r>
      <w:r w:rsidR="00CC1E13" w:rsidRPr="006F29F5">
        <w:rPr>
          <w:kern w:val="2"/>
          <w:sz w:val="20"/>
        </w:rPr>
        <w:t>“</w:t>
      </w:r>
      <w:r w:rsidRPr="006F29F5">
        <w:rPr>
          <w:kern w:val="2"/>
          <w:sz w:val="20"/>
        </w:rPr>
        <w:t>where the Governor in Council is of the opinion that a grave breach of international peace and security has occurred that has resulted or is likely to result in a serious international crisis.</w:t>
      </w:r>
      <w:r w:rsidR="00CC1E13" w:rsidRPr="006F29F5">
        <w:rPr>
          <w:kern w:val="2"/>
          <w:sz w:val="20"/>
        </w:rPr>
        <w:t>”</w:t>
      </w:r>
      <w:r w:rsidRPr="006F29F5">
        <w:rPr>
          <w:kern w:val="2"/>
          <w:sz w:val="20"/>
        </w:rPr>
        <w:t xml:space="preserve"> The </w:t>
      </w:r>
      <w:r w:rsidR="005C4FCF" w:rsidRPr="006F29F5">
        <w:rPr>
          <w:kern w:val="2"/>
          <w:sz w:val="20"/>
        </w:rPr>
        <w:t>Governor in Council</w:t>
      </w:r>
      <w:r w:rsidRPr="006F29F5">
        <w:rPr>
          <w:kern w:val="2"/>
          <w:sz w:val="20"/>
        </w:rPr>
        <w:t xml:space="preserve"> can also order the freezing or seizure of property belonging to the foreign state, to individuals in that foreign state, or to nationals of that foreign state not normally residing in Canada.</w:t>
      </w:r>
      <w:r w:rsidRPr="006F29F5">
        <w:rPr>
          <w:rStyle w:val="FootnoteReference"/>
          <w:kern w:val="2"/>
          <w:sz w:val="20"/>
        </w:rPr>
        <w:footnoteReference w:id="151"/>
      </w:r>
      <w:r w:rsidRPr="006F29F5">
        <w:rPr>
          <w:kern w:val="2"/>
          <w:sz w:val="20"/>
        </w:rPr>
        <w:t xml:space="preserve"> Whereas the function of </w:t>
      </w:r>
      <w:r w:rsidRPr="006F29F5">
        <w:rPr>
          <w:i/>
          <w:kern w:val="2"/>
          <w:sz w:val="20"/>
        </w:rPr>
        <w:t>FACFO</w:t>
      </w:r>
      <w:r w:rsidR="00A70228" w:rsidRPr="006F29F5">
        <w:rPr>
          <w:i/>
          <w:kern w:val="2"/>
          <w:sz w:val="20"/>
        </w:rPr>
        <w:t>A</w:t>
      </w:r>
      <w:r w:rsidRPr="006F29F5">
        <w:rPr>
          <w:i/>
          <w:kern w:val="2"/>
          <w:sz w:val="20"/>
        </w:rPr>
        <w:t xml:space="preserve"> </w:t>
      </w:r>
      <w:r w:rsidRPr="006F29F5">
        <w:rPr>
          <w:kern w:val="2"/>
          <w:sz w:val="20"/>
        </w:rPr>
        <w:t>is to aid foreign governments in freezing assets held by members of corrupt former regimes</w:t>
      </w:r>
      <w:r w:rsidRPr="006F29F5">
        <w:rPr>
          <w:i/>
          <w:kern w:val="2"/>
          <w:sz w:val="20"/>
        </w:rPr>
        <w:t>, SEMA</w:t>
      </w:r>
      <w:r w:rsidRPr="006F29F5">
        <w:rPr>
          <w:kern w:val="2"/>
          <w:sz w:val="20"/>
        </w:rPr>
        <w:t xml:space="preserve"> allows Canada to act on its own to further the effectiveness of multilateral sanctions.</w:t>
      </w:r>
    </w:p>
    <w:p w14:paraId="3F62D85E" w14:textId="73E04B8F" w:rsidR="00205C2A" w:rsidRPr="006F29F5" w:rsidRDefault="005C4FCF" w:rsidP="00C81ED8">
      <w:pPr>
        <w:rPr>
          <w:rFonts w:cs="Times New Roman"/>
          <w:b/>
          <w:i/>
          <w:kern w:val="2"/>
          <w:sz w:val="20"/>
          <w:u w:val="single"/>
        </w:rPr>
      </w:pPr>
      <w:r w:rsidRPr="006F29F5">
        <w:rPr>
          <w:rFonts w:cs="Times New Roman"/>
          <w:b/>
          <w:kern w:val="2"/>
          <w:sz w:val="20"/>
        </w:rPr>
        <w:t>(3)</w:t>
      </w:r>
      <w:r w:rsidRPr="006F29F5">
        <w:rPr>
          <w:rFonts w:cs="Times New Roman"/>
          <w:b/>
          <w:i/>
          <w:kern w:val="2"/>
          <w:sz w:val="20"/>
        </w:rPr>
        <w:t xml:space="preserve"> </w:t>
      </w:r>
      <w:r w:rsidR="00205C2A" w:rsidRPr="006F29F5">
        <w:rPr>
          <w:rFonts w:cs="Times New Roman"/>
          <w:b/>
          <w:i/>
          <w:kern w:val="2"/>
          <w:sz w:val="20"/>
          <w:u w:val="single"/>
        </w:rPr>
        <w:t xml:space="preserve">Sergei </w:t>
      </w:r>
      <w:proofErr w:type="spellStart"/>
      <w:r w:rsidR="00205C2A" w:rsidRPr="006F29F5">
        <w:rPr>
          <w:rFonts w:cs="Times New Roman"/>
          <w:b/>
          <w:i/>
          <w:kern w:val="2"/>
          <w:sz w:val="20"/>
          <w:u w:val="single"/>
        </w:rPr>
        <w:t>Magnitsky</w:t>
      </w:r>
      <w:proofErr w:type="spellEnd"/>
      <w:r w:rsidR="00205C2A" w:rsidRPr="006F29F5">
        <w:rPr>
          <w:rFonts w:cs="Times New Roman"/>
          <w:b/>
          <w:i/>
          <w:kern w:val="2"/>
          <w:sz w:val="20"/>
          <w:u w:val="single"/>
        </w:rPr>
        <w:t xml:space="preserve"> Law</w:t>
      </w:r>
    </w:p>
    <w:p w14:paraId="3F031242" w14:textId="6225D4E7" w:rsidR="00205C2A" w:rsidRPr="006F29F5" w:rsidRDefault="00205C2A" w:rsidP="00C81ED8">
      <w:pPr>
        <w:rPr>
          <w:rFonts w:cs="Times New Roman"/>
          <w:kern w:val="2"/>
          <w:sz w:val="20"/>
        </w:rPr>
      </w:pPr>
      <w:r w:rsidRPr="006F29F5">
        <w:rPr>
          <w:rFonts w:cs="Times New Roman"/>
          <w:kern w:val="2"/>
          <w:sz w:val="20"/>
        </w:rPr>
        <w:t xml:space="preserve">Sergei </w:t>
      </w:r>
      <w:proofErr w:type="spellStart"/>
      <w:r w:rsidRPr="006F29F5">
        <w:rPr>
          <w:rFonts w:cs="Times New Roman"/>
          <w:kern w:val="2"/>
          <w:sz w:val="20"/>
        </w:rPr>
        <w:t>Magnitsky</w:t>
      </w:r>
      <w:proofErr w:type="spellEnd"/>
      <w:r w:rsidRPr="006F29F5">
        <w:rPr>
          <w:rFonts w:cs="Times New Roman"/>
          <w:kern w:val="2"/>
          <w:sz w:val="20"/>
        </w:rPr>
        <w:t xml:space="preserve"> was a well-respected tax lawyer in Russia. Bill Browder, founder and CEO of Hermitage Capital Management LTD (the largest foreign investment fund in Russia at the time) was </w:t>
      </w:r>
      <w:proofErr w:type="spellStart"/>
      <w:r w:rsidRPr="006F29F5">
        <w:rPr>
          <w:rFonts w:cs="Times New Roman"/>
          <w:kern w:val="2"/>
          <w:sz w:val="20"/>
        </w:rPr>
        <w:t>Magnitsky’s</w:t>
      </w:r>
      <w:proofErr w:type="spellEnd"/>
      <w:r w:rsidRPr="006F29F5">
        <w:rPr>
          <w:rFonts w:cs="Times New Roman"/>
          <w:kern w:val="2"/>
          <w:sz w:val="20"/>
        </w:rPr>
        <w:t xml:space="preserve"> client. In response to the fraudulent taking of some of Browder’s assets, </w:t>
      </w:r>
      <w:proofErr w:type="spellStart"/>
      <w:r w:rsidRPr="006F29F5">
        <w:rPr>
          <w:rFonts w:cs="Times New Roman"/>
          <w:kern w:val="2"/>
          <w:sz w:val="20"/>
        </w:rPr>
        <w:t>Magnitsky</w:t>
      </w:r>
      <w:proofErr w:type="spellEnd"/>
      <w:r w:rsidRPr="006F29F5">
        <w:rPr>
          <w:rFonts w:cs="Times New Roman"/>
          <w:kern w:val="2"/>
          <w:sz w:val="20"/>
        </w:rPr>
        <w:t xml:space="preserve"> investigated and discovered a $230 million tax fraud by senior Russian officials. Once the incident became public, </w:t>
      </w:r>
      <w:proofErr w:type="spellStart"/>
      <w:r w:rsidRPr="006F29F5">
        <w:rPr>
          <w:rFonts w:cs="Times New Roman"/>
          <w:kern w:val="2"/>
          <w:sz w:val="20"/>
        </w:rPr>
        <w:t>Magnitsky</w:t>
      </w:r>
      <w:proofErr w:type="spellEnd"/>
      <w:r w:rsidRPr="006F29F5">
        <w:rPr>
          <w:rFonts w:cs="Times New Roman"/>
          <w:kern w:val="2"/>
          <w:sz w:val="20"/>
        </w:rPr>
        <w:t xml:space="preserve">, Browder and others, were investigated by Russian officials on suspicion of tax fraud. Browder and the others fled Russia before they could be arrested. But </w:t>
      </w:r>
      <w:proofErr w:type="spellStart"/>
      <w:r w:rsidRPr="006F29F5">
        <w:rPr>
          <w:rFonts w:cs="Times New Roman"/>
          <w:kern w:val="2"/>
          <w:sz w:val="20"/>
        </w:rPr>
        <w:t>Magnitsky</w:t>
      </w:r>
      <w:proofErr w:type="spellEnd"/>
      <w:r w:rsidRPr="006F29F5">
        <w:rPr>
          <w:rFonts w:cs="Times New Roman"/>
          <w:kern w:val="2"/>
          <w:sz w:val="20"/>
        </w:rPr>
        <w:t xml:space="preserve"> refused to leave Russia because he knew he had done nothing wrong, and because he wanted to have the senior Russian officials actually involved in the theft and tax fraud brought to justice. He was arrested in October 2008 and grossly tortured and maltreated until his death in prison on November 16, 2009. Why? Because he refused to recant his allegations of official corruption and falsely confess to tax evasion himself. As Browder has stated, “Sergei </w:t>
      </w:r>
      <w:proofErr w:type="spellStart"/>
      <w:r w:rsidRPr="006F29F5">
        <w:rPr>
          <w:rFonts w:cs="Times New Roman"/>
          <w:kern w:val="2"/>
          <w:sz w:val="20"/>
        </w:rPr>
        <w:t>Magnitsky</w:t>
      </w:r>
      <w:proofErr w:type="spellEnd"/>
      <w:r w:rsidRPr="006F29F5">
        <w:rPr>
          <w:rFonts w:cs="Times New Roman"/>
          <w:kern w:val="2"/>
          <w:sz w:val="20"/>
        </w:rPr>
        <w:t xml:space="preserve"> was killed for his ideals. He was killed because he believed in law. He was killed because he loved his people, and because he loved Russia.”</w:t>
      </w:r>
      <w:r w:rsidRPr="006F29F5">
        <w:rPr>
          <w:rStyle w:val="FootnoteReference"/>
          <w:rFonts w:cs="Times New Roman"/>
          <w:kern w:val="2"/>
          <w:sz w:val="20"/>
        </w:rPr>
        <w:footnoteReference w:id="152"/>
      </w:r>
    </w:p>
    <w:p w14:paraId="4893775B" w14:textId="7FE06AEF" w:rsidR="00205C2A" w:rsidRPr="006F29F5" w:rsidRDefault="00205C2A" w:rsidP="00C81ED8">
      <w:pPr>
        <w:rPr>
          <w:rFonts w:cs="Times New Roman"/>
          <w:kern w:val="2"/>
          <w:sz w:val="20"/>
        </w:rPr>
      </w:pPr>
      <w:r w:rsidRPr="006F29F5">
        <w:rPr>
          <w:rFonts w:cs="Times New Roman"/>
          <w:kern w:val="2"/>
          <w:sz w:val="20"/>
        </w:rPr>
        <w:t xml:space="preserve">Since Sergei’s death, Browder has devoted his life to getting justice for Sergei. One of those manifestations of justice has been the enactment in the US of the </w:t>
      </w:r>
      <w:r w:rsidRPr="006F29F5">
        <w:rPr>
          <w:rFonts w:cs="Times New Roman"/>
          <w:i/>
          <w:kern w:val="2"/>
          <w:sz w:val="20"/>
        </w:rPr>
        <w:t xml:space="preserve">Sergei </w:t>
      </w:r>
      <w:proofErr w:type="spellStart"/>
      <w:r w:rsidRPr="006F29F5">
        <w:rPr>
          <w:rFonts w:cs="Times New Roman"/>
          <w:i/>
          <w:kern w:val="2"/>
          <w:sz w:val="20"/>
        </w:rPr>
        <w:t>Magnitsky</w:t>
      </w:r>
      <w:proofErr w:type="spellEnd"/>
      <w:r w:rsidRPr="006F29F5">
        <w:rPr>
          <w:rFonts w:cs="Times New Roman"/>
          <w:i/>
          <w:kern w:val="2"/>
          <w:sz w:val="20"/>
        </w:rPr>
        <w:t xml:space="preserve"> Rule of Law Accountability Act of 2012</w:t>
      </w:r>
      <w:r w:rsidRPr="006F29F5">
        <w:rPr>
          <w:rFonts w:cs="Times New Roman"/>
          <w:kern w:val="2"/>
          <w:sz w:val="20"/>
        </w:rPr>
        <w:t>, which after a long and suspenseful political ride became law in December 2012.</w:t>
      </w:r>
      <w:r w:rsidRPr="006F29F5">
        <w:rPr>
          <w:rStyle w:val="FootnoteReference"/>
          <w:rFonts w:cs="Times New Roman"/>
          <w:kern w:val="2"/>
          <w:sz w:val="20"/>
        </w:rPr>
        <w:footnoteReference w:id="153"/>
      </w:r>
      <w:r w:rsidRPr="006F29F5">
        <w:rPr>
          <w:rFonts w:cs="Times New Roman"/>
          <w:kern w:val="2"/>
          <w:sz w:val="20"/>
        </w:rPr>
        <w:t xml:space="preserve"> The law authorizes the President to impose visa bans and freeze and seize the assets of Russians responsible for gross violations of human rights and significant acts of corruption. In 2016, the Act was expanded to include all foreign officials – Russian or otherwise.</w:t>
      </w:r>
      <w:r w:rsidRPr="006F29F5">
        <w:rPr>
          <w:rStyle w:val="FootnoteReference"/>
          <w:rFonts w:cs="Times New Roman"/>
          <w:kern w:val="2"/>
          <w:sz w:val="20"/>
        </w:rPr>
        <w:footnoteReference w:id="154"/>
      </w:r>
    </w:p>
    <w:p w14:paraId="4E3B7857" w14:textId="53125E2C" w:rsidR="00205C2A" w:rsidRPr="006F29F5" w:rsidRDefault="00205C2A" w:rsidP="00C81ED8">
      <w:pPr>
        <w:rPr>
          <w:rFonts w:cs="Times New Roman"/>
          <w:kern w:val="2"/>
          <w:sz w:val="20"/>
        </w:rPr>
      </w:pPr>
      <w:r w:rsidRPr="006F29F5">
        <w:rPr>
          <w:sz w:val="20"/>
          <w:lang w:val="en-US"/>
        </w:rPr>
        <w:t>In October 2017, Canada followed suit by enacting</w:t>
      </w:r>
      <w:r w:rsidR="00711849" w:rsidRPr="006F29F5">
        <w:rPr>
          <w:sz w:val="20"/>
          <w:lang w:val="en-US"/>
        </w:rPr>
        <w:t xml:space="preserve"> the</w:t>
      </w:r>
      <w:r w:rsidRPr="006F29F5">
        <w:rPr>
          <w:sz w:val="20"/>
          <w:lang w:val="en-US"/>
        </w:rPr>
        <w:t xml:space="preserve"> </w:t>
      </w:r>
      <w:r w:rsidRPr="006F29F5">
        <w:rPr>
          <w:i/>
          <w:sz w:val="20"/>
          <w:lang w:val="en-US"/>
        </w:rPr>
        <w:t xml:space="preserve">Justice for Victims of Corrupt Foreign Officials Act (Sergei </w:t>
      </w:r>
      <w:proofErr w:type="spellStart"/>
      <w:r w:rsidRPr="006F29F5">
        <w:rPr>
          <w:i/>
          <w:sz w:val="20"/>
          <w:lang w:val="en-US"/>
        </w:rPr>
        <w:t>Magnitsky</w:t>
      </w:r>
      <w:proofErr w:type="spellEnd"/>
      <w:r w:rsidRPr="006F29F5">
        <w:rPr>
          <w:i/>
          <w:sz w:val="20"/>
          <w:lang w:val="en-US"/>
        </w:rPr>
        <w:t xml:space="preserve"> Law)</w:t>
      </w:r>
      <w:r w:rsidRPr="006F29F5">
        <w:rPr>
          <w:sz w:val="20"/>
          <w:lang w:val="en-US"/>
        </w:rPr>
        <w:t>.</w:t>
      </w:r>
      <w:r w:rsidRPr="006F29F5">
        <w:rPr>
          <w:rStyle w:val="FootnoteReference"/>
          <w:sz w:val="20"/>
          <w:lang w:val="en-US"/>
        </w:rPr>
        <w:footnoteReference w:id="155"/>
      </w:r>
      <w:r w:rsidRPr="006F29F5">
        <w:rPr>
          <w:sz w:val="20"/>
          <w:lang w:val="en-US"/>
        </w:rPr>
        <w:t xml:space="preserve"> The Act authorizes visa bans and freezing and seizing of assets of foreign officials from any country who are responsible for gross human rights violations and significant corruption. In early November 2017, Canada issued its first round of sanctions listing 52 human rights violators in Russia, Venezuela, and south Sudan.</w:t>
      </w:r>
    </w:p>
    <w:p w14:paraId="01EE602B" w14:textId="5894D193" w:rsidR="005C4FCF" w:rsidRPr="006F29F5" w:rsidRDefault="00205C2A" w:rsidP="00C81ED8">
      <w:pPr>
        <w:rPr>
          <w:rFonts w:cs="Times New Roman"/>
          <w:b/>
          <w:i/>
          <w:kern w:val="2"/>
          <w:sz w:val="20"/>
          <w:u w:val="single"/>
        </w:rPr>
      </w:pPr>
      <w:r w:rsidRPr="006F29F5">
        <w:rPr>
          <w:rFonts w:cs="Times New Roman"/>
          <w:b/>
          <w:kern w:val="2"/>
          <w:sz w:val="20"/>
        </w:rPr>
        <w:t xml:space="preserve">(4) </w:t>
      </w:r>
      <w:r w:rsidR="005C4FCF" w:rsidRPr="006F29F5">
        <w:rPr>
          <w:rFonts w:cs="Times New Roman"/>
          <w:b/>
          <w:i/>
          <w:kern w:val="2"/>
          <w:sz w:val="20"/>
          <w:u w:val="single"/>
        </w:rPr>
        <w:t>Criminal Forfeiture of Proceeds of Crime</w:t>
      </w:r>
    </w:p>
    <w:p w14:paraId="74642D39" w14:textId="77777777" w:rsidR="00BB321C" w:rsidRPr="006F29F5" w:rsidRDefault="00BB321C" w:rsidP="00CD5E96">
      <w:pPr>
        <w:spacing w:after="120"/>
        <w:rPr>
          <w:rFonts w:cs="Times New Roman"/>
          <w:kern w:val="2"/>
          <w:sz w:val="20"/>
        </w:rPr>
      </w:pPr>
      <w:r w:rsidRPr="006F29F5">
        <w:rPr>
          <w:rFonts w:cs="Times New Roman"/>
          <w:kern w:val="2"/>
          <w:sz w:val="20"/>
        </w:rPr>
        <w:t xml:space="preserve">Canada's </w:t>
      </w:r>
      <w:r w:rsidRPr="006F29F5">
        <w:rPr>
          <w:rFonts w:cs="Times New Roman"/>
          <w:i/>
          <w:kern w:val="2"/>
          <w:sz w:val="20"/>
        </w:rPr>
        <w:t>Criminal Code</w:t>
      </w:r>
      <w:r w:rsidRPr="006F29F5">
        <w:rPr>
          <w:rFonts w:cs="Times New Roman"/>
          <w:kern w:val="2"/>
          <w:sz w:val="20"/>
        </w:rPr>
        <w:t xml:space="preserve"> also deals with the proceeds of crime: </w:t>
      </w:r>
    </w:p>
    <w:p w14:paraId="4227D1C7" w14:textId="77777777" w:rsidR="00BB321C" w:rsidRPr="006F29F5" w:rsidRDefault="00BB321C" w:rsidP="00CD22C9">
      <w:pPr>
        <w:pStyle w:val="ListParagraph"/>
        <w:numPr>
          <w:ilvl w:val="0"/>
          <w:numId w:val="21"/>
        </w:numPr>
        <w:rPr>
          <w:b w:val="0"/>
          <w:kern w:val="2"/>
          <w:sz w:val="20"/>
        </w:rPr>
      </w:pPr>
      <w:r w:rsidRPr="006F29F5">
        <w:rPr>
          <w:b w:val="0"/>
          <w:kern w:val="2"/>
          <w:sz w:val="20"/>
        </w:rPr>
        <w:t>Section 462.32 provides search and seizure powers of the proceeds of crime;</w:t>
      </w:r>
    </w:p>
    <w:p w14:paraId="0CA7A99F" w14:textId="48B1E91F" w:rsidR="00BB321C" w:rsidRPr="006F29F5" w:rsidRDefault="00BB321C" w:rsidP="00CD22C9">
      <w:pPr>
        <w:pStyle w:val="ListParagraph"/>
        <w:numPr>
          <w:ilvl w:val="0"/>
          <w:numId w:val="21"/>
        </w:numPr>
        <w:rPr>
          <w:b w:val="0"/>
          <w:kern w:val="2"/>
          <w:sz w:val="20"/>
        </w:rPr>
      </w:pPr>
      <w:r w:rsidRPr="006F29F5">
        <w:rPr>
          <w:b w:val="0"/>
          <w:kern w:val="2"/>
          <w:sz w:val="20"/>
        </w:rPr>
        <w:t>Section 462.33 provides for restraint and freezing of the proceeds of crime;</w:t>
      </w:r>
      <w:r w:rsidR="00726259" w:rsidRPr="006F29F5">
        <w:rPr>
          <w:b w:val="0"/>
          <w:kern w:val="2"/>
          <w:sz w:val="20"/>
        </w:rPr>
        <w:t xml:space="preserve"> and</w:t>
      </w:r>
    </w:p>
    <w:p w14:paraId="6EBEAA84" w14:textId="5A06201E" w:rsidR="00582C15" w:rsidRPr="006F29F5" w:rsidRDefault="00BB321C" w:rsidP="00CD22C9">
      <w:pPr>
        <w:pStyle w:val="ListParagraph"/>
        <w:numPr>
          <w:ilvl w:val="0"/>
          <w:numId w:val="21"/>
        </w:numPr>
        <w:rPr>
          <w:b w:val="0"/>
          <w:kern w:val="2"/>
          <w:sz w:val="20"/>
        </w:rPr>
      </w:pPr>
      <w:r w:rsidRPr="006F29F5">
        <w:rPr>
          <w:b w:val="0"/>
          <w:kern w:val="2"/>
          <w:sz w:val="20"/>
        </w:rPr>
        <w:t>Section 462.37 provides for the forfeiture of proceeds of crime.</w:t>
      </w:r>
    </w:p>
    <w:p w14:paraId="305AE284" w14:textId="08ED6AFE" w:rsidR="00BB321C" w:rsidRPr="006F29F5" w:rsidRDefault="00BB321C" w:rsidP="00C81ED8">
      <w:pPr>
        <w:rPr>
          <w:rFonts w:cs="Times New Roman"/>
          <w:kern w:val="2"/>
          <w:sz w:val="20"/>
        </w:rPr>
      </w:pPr>
      <w:r w:rsidRPr="006F29F5">
        <w:rPr>
          <w:rFonts w:cs="Times New Roman"/>
          <w:kern w:val="2"/>
          <w:sz w:val="20"/>
        </w:rPr>
        <w:t xml:space="preserve">When the property is forfeited under section 462.37, it is forfeited to the government that prosecuted the offender unless a third party has a valid and lawful interest in the property. In that case, the property would be returned to that person under section 462.41. This third party could include a requesting </w:t>
      </w:r>
      <w:r w:rsidR="008640D3" w:rsidRPr="006F29F5">
        <w:rPr>
          <w:rFonts w:cs="Times New Roman"/>
          <w:kern w:val="2"/>
          <w:sz w:val="20"/>
        </w:rPr>
        <w:t>s</w:t>
      </w:r>
      <w:r w:rsidRPr="006F29F5">
        <w:rPr>
          <w:rFonts w:cs="Times New Roman"/>
          <w:kern w:val="2"/>
          <w:sz w:val="20"/>
        </w:rPr>
        <w:t>tate in the case of corrupt</w:t>
      </w:r>
      <w:r w:rsidR="003D193E" w:rsidRPr="006F29F5">
        <w:rPr>
          <w:rFonts w:cs="Times New Roman"/>
          <w:kern w:val="2"/>
          <w:sz w:val="20"/>
        </w:rPr>
        <w:t>ion of</w:t>
      </w:r>
      <w:r w:rsidRPr="006F29F5">
        <w:rPr>
          <w:rFonts w:cs="Times New Roman"/>
          <w:kern w:val="2"/>
          <w:sz w:val="20"/>
        </w:rPr>
        <w:t xml:space="preserve"> foreign public funds. </w:t>
      </w:r>
      <w:r w:rsidR="00ED2559" w:rsidRPr="006F29F5">
        <w:rPr>
          <w:rFonts w:cs="Times New Roman"/>
          <w:kern w:val="2"/>
          <w:sz w:val="20"/>
        </w:rPr>
        <w:t>Section 462.37(2.1) can be used to issue forfeiture orders for property located outside Canada, but the order can only be enforced through a</w:t>
      </w:r>
      <w:r w:rsidR="00E064FE" w:rsidRPr="006F29F5">
        <w:rPr>
          <w:rFonts w:cs="Times New Roman"/>
          <w:kern w:val="2"/>
          <w:sz w:val="20"/>
        </w:rPr>
        <w:t xml:space="preserve"> request to the foreign state’s </w:t>
      </w:r>
      <w:r w:rsidR="00ED2559" w:rsidRPr="006F29F5">
        <w:rPr>
          <w:rFonts w:cs="Times New Roman"/>
          <w:kern w:val="2"/>
          <w:sz w:val="20"/>
        </w:rPr>
        <w:t xml:space="preserve">government. </w:t>
      </w:r>
    </w:p>
    <w:p w14:paraId="29B0B5E0" w14:textId="21F96990" w:rsidR="00BB321C" w:rsidRPr="006F29F5" w:rsidRDefault="00BB321C" w:rsidP="00C81ED8">
      <w:pPr>
        <w:rPr>
          <w:rFonts w:cs="Times New Roman"/>
          <w:kern w:val="2"/>
          <w:sz w:val="20"/>
        </w:rPr>
      </w:pPr>
      <w:r w:rsidRPr="006F29F5">
        <w:rPr>
          <w:rFonts w:cs="Times New Roman"/>
          <w:kern w:val="2"/>
          <w:sz w:val="20"/>
        </w:rPr>
        <w:t>Where the offender is convicted of an offence</w:t>
      </w:r>
      <w:r w:rsidR="004F6AEA" w:rsidRPr="006F29F5">
        <w:rPr>
          <w:rFonts w:cs="Times New Roman"/>
          <w:kern w:val="2"/>
          <w:sz w:val="20"/>
        </w:rPr>
        <w:t xml:space="preserve"> and</w:t>
      </w:r>
      <w:r w:rsidRPr="006F29F5">
        <w:rPr>
          <w:rFonts w:cs="Times New Roman"/>
          <w:kern w:val="2"/>
          <w:sz w:val="20"/>
        </w:rPr>
        <w:t xml:space="preserve"> has </w:t>
      </w:r>
      <w:r w:rsidR="004F6AEA" w:rsidRPr="006F29F5">
        <w:rPr>
          <w:rFonts w:cs="Times New Roman"/>
          <w:kern w:val="2"/>
          <w:sz w:val="20"/>
        </w:rPr>
        <w:t xml:space="preserve">subsequently </w:t>
      </w:r>
      <w:r w:rsidRPr="006F29F5">
        <w:rPr>
          <w:rFonts w:cs="Times New Roman"/>
          <w:kern w:val="2"/>
          <w:sz w:val="20"/>
        </w:rPr>
        <w:t xml:space="preserve">died, or been at large for more than six months, offence-related property can also be forfeited to the government of Canada under section 490. This property is available for return through the sharing with another State under </w:t>
      </w:r>
      <w:r w:rsidR="00A91203" w:rsidRPr="006F29F5">
        <w:rPr>
          <w:rFonts w:cs="Times New Roman"/>
          <w:kern w:val="2"/>
          <w:sz w:val="20"/>
        </w:rPr>
        <w:t xml:space="preserve">section 11 of the </w:t>
      </w:r>
      <w:r w:rsidRPr="006F29F5">
        <w:rPr>
          <w:rFonts w:cs="Times New Roman"/>
          <w:i/>
          <w:kern w:val="2"/>
          <w:sz w:val="20"/>
        </w:rPr>
        <w:t>Seized Property Management Ac</w:t>
      </w:r>
      <w:r w:rsidR="00A91203" w:rsidRPr="006F29F5">
        <w:rPr>
          <w:rFonts w:cs="Times New Roman"/>
          <w:i/>
          <w:kern w:val="2"/>
          <w:sz w:val="20"/>
        </w:rPr>
        <w:t>t</w:t>
      </w:r>
      <w:r w:rsidRPr="006F29F5">
        <w:rPr>
          <w:rFonts w:cs="Times New Roman"/>
          <w:kern w:val="2"/>
          <w:sz w:val="20"/>
        </w:rPr>
        <w:t>, provi</w:t>
      </w:r>
      <w:r w:rsidR="00A91203" w:rsidRPr="006F29F5">
        <w:rPr>
          <w:rFonts w:cs="Times New Roman"/>
          <w:kern w:val="2"/>
          <w:sz w:val="20"/>
        </w:rPr>
        <w:t>ded</w:t>
      </w:r>
      <w:r w:rsidRPr="006F29F5">
        <w:rPr>
          <w:rFonts w:cs="Times New Roman"/>
          <w:kern w:val="2"/>
          <w:sz w:val="20"/>
        </w:rPr>
        <w:t xml:space="preserve"> there is a reciprocal bilateral agreement</w:t>
      </w:r>
      <w:r w:rsidR="00A91203" w:rsidRPr="006F29F5">
        <w:rPr>
          <w:rFonts w:cs="Times New Roman"/>
          <w:kern w:val="2"/>
          <w:sz w:val="20"/>
        </w:rPr>
        <w:t>.</w:t>
      </w:r>
      <w:r w:rsidR="00E064FE" w:rsidRPr="006F29F5">
        <w:rPr>
          <w:rStyle w:val="FootnoteReference"/>
          <w:rFonts w:cs="Times New Roman"/>
          <w:kern w:val="2"/>
          <w:sz w:val="20"/>
        </w:rPr>
        <w:footnoteReference w:id="156"/>
      </w:r>
      <w:r w:rsidR="002E1106" w:rsidRPr="006F29F5">
        <w:rPr>
          <w:rFonts w:cs="Times New Roman"/>
          <w:kern w:val="2"/>
          <w:sz w:val="20"/>
        </w:rPr>
        <w:t xml:space="preserve"> For a detailed practical summary of Canada’s proceeds of crime forfeiture laws, see Justice Selwyn </w:t>
      </w:r>
      <w:proofErr w:type="spellStart"/>
      <w:r w:rsidR="002E1106" w:rsidRPr="006F29F5">
        <w:rPr>
          <w:rFonts w:cs="Times New Roman"/>
          <w:kern w:val="2"/>
          <w:sz w:val="20"/>
        </w:rPr>
        <w:t>Romilly</w:t>
      </w:r>
      <w:proofErr w:type="spellEnd"/>
      <w:r w:rsidR="002E1106" w:rsidRPr="006F29F5">
        <w:rPr>
          <w:rFonts w:cs="Times New Roman"/>
          <w:kern w:val="2"/>
          <w:sz w:val="20"/>
        </w:rPr>
        <w:t xml:space="preserve">, </w:t>
      </w:r>
      <w:r w:rsidR="00CC1E13" w:rsidRPr="006F29F5">
        <w:rPr>
          <w:rFonts w:cs="Times New Roman"/>
          <w:kern w:val="2"/>
          <w:sz w:val="20"/>
        </w:rPr>
        <w:t>“</w:t>
      </w:r>
      <w:r w:rsidR="002E1106" w:rsidRPr="006F29F5">
        <w:rPr>
          <w:rFonts w:cs="Times New Roman"/>
          <w:kern w:val="2"/>
          <w:sz w:val="20"/>
        </w:rPr>
        <w:t>Proceeds of Crime: The Basics of Part XII-2 of the Criminal Code</w:t>
      </w:r>
      <w:r w:rsidR="00CC1E13" w:rsidRPr="006F29F5">
        <w:rPr>
          <w:rFonts w:cs="Times New Roman"/>
          <w:kern w:val="2"/>
          <w:sz w:val="20"/>
        </w:rPr>
        <w:t>”</w:t>
      </w:r>
      <w:r w:rsidR="007966A3" w:rsidRPr="006F29F5">
        <w:rPr>
          <w:rFonts w:cs="Times New Roman"/>
          <w:kern w:val="2"/>
          <w:sz w:val="20"/>
        </w:rPr>
        <w:t xml:space="preserve"> in</w:t>
      </w:r>
      <w:r w:rsidR="002E1106" w:rsidRPr="006F29F5">
        <w:rPr>
          <w:rFonts w:cs="Times New Roman"/>
          <w:kern w:val="2"/>
          <w:sz w:val="20"/>
        </w:rPr>
        <w:t xml:space="preserve"> </w:t>
      </w:r>
      <w:r w:rsidR="002E1106" w:rsidRPr="006F29F5">
        <w:rPr>
          <w:rFonts w:cs="Times New Roman"/>
          <w:i/>
          <w:kern w:val="2"/>
          <w:sz w:val="20"/>
        </w:rPr>
        <w:t>Anti-Money Laundering Conference Materials</w:t>
      </w:r>
      <w:r w:rsidR="00E31A66" w:rsidRPr="006F29F5">
        <w:rPr>
          <w:rFonts w:cs="Times New Roman"/>
          <w:kern w:val="2"/>
          <w:sz w:val="20"/>
        </w:rPr>
        <w:t xml:space="preserve"> </w:t>
      </w:r>
      <w:r w:rsidR="007966A3" w:rsidRPr="006F29F5">
        <w:rPr>
          <w:rFonts w:cs="Times New Roman"/>
          <w:kern w:val="2"/>
          <w:sz w:val="20"/>
        </w:rPr>
        <w:t>(CLE BC, 27 May 2011</w:t>
      </w:r>
      <w:r w:rsidR="00E31A66" w:rsidRPr="006F29F5">
        <w:rPr>
          <w:rFonts w:cs="Times New Roman"/>
          <w:kern w:val="2"/>
          <w:sz w:val="20"/>
        </w:rPr>
        <w:t xml:space="preserve">) at Part 4, </w:t>
      </w:r>
      <w:r w:rsidR="002E1106" w:rsidRPr="006F29F5">
        <w:rPr>
          <w:rFonts w:cs="Times New Roman"/>
          <w:kern w:val="2"/>
          <w:sz w:val="20"/>
        </w:rPr>
        <w:t xml:space="preserve">1-49. </w:t>
      </w:r>
    </w:p>
    <w:p w14:paraId="7509CE41" w14:textId="5F642A86" w:rsidR="00F37C9F" w:rsidRPr="006F29F5" w:rsidRDefault="00F37C9F" w:rsidP="004A18D3">
      <w:pPr>
        <w:keepNext/>
        <w:rPr>
          <w:rFonts w:cs="Times New Roman"/>
          <w:b/>
          <w:i/>
          <w:kern w:val="2"/>
          <w:sz w:val="20"/>
          <w:u w:val="single"/>
        </w:rPr>
      </w:pPr>
      <w:r w:rsidRPr="006F29F5">
        <w:rPr>
          <w:rFonts w:cs="Times New Roman"/>
          <w:b/>
          <w:kern w:val="2"/>
          <w:sz w:val="20"/>
        </w:rPr>
        <w:t>(</w:t>
      </w:r>
      <w:r w:rsidR="00205C2A" w:rsidRPr="006F29F5">
        <w:rPr>
          <w:rFonts w:cs="Times New Roman"/>
          <w:b/>
          <w:kern w:val="2"/>
          <w:sz w:val="20"/>
        </w:rPr>
        <w:t>5</w:t>
      </w:r>
      <w:r w:rsidRPr="006F29F5">
        <w:rPr>
          <w:rFonts w:cs="Times New Roman"/>
          <w:b/>
          <w:kern w:val="2"/>
          <w:sz w:val="20"/>
        </w:rPr>
        <w:t>)</w:t>
      </w:r>
      <w:r w:rsidRPr="006F29F5">
        <w:rPr>
          <w:rFonts w:cs="Times New Roman"/>
          <w:b/>
          <w:i/>
          <w:kern w:val="2"/>
          <w:sz w:val="20"/>
        </w:rPr>
        <w:t xml:space="preserve"> </w:t>
      </w:r>
      <w:r w:rsidRPr="006F29F5">
        <w:rPr>
          <w:rFonts w:cs="Times New Roman"/>
          <w:b/>
          <w:i/>
          <w:kern w:val="2"/>
          <w:sz w:val="20"/>
          <w:u w:val="single"/>
        </w:rPr>
        <w:t>Effectiveness and Challenges</w:t>
      </w:r>
    </w:p>
    <w:p w14:paraId="769FC578" w14:textId="29050DB2" w:rsidR="001225CC" w:rsidRPr="006F29F5" w:rsidRDefault="001225CC" w:rsidP="00C81ED8">
      <w:pPr>
        <w:rPr>
          <w:rFonts w:cs="Times New Roman"/>
          <w:color w:val="000000" w:themeColor="text1"/>
          <w:kern w:val="2"/>
          <w:sz w:val="20"/>
        </w:rPr>
      </w:pPr>
      <w:r w:rsidRPr="006F29F5">
        <w:rPr>
          <w:rFonts w:cs="Times New Roman"/>
          <w:color w:val="000000" w:themeColor="text1"/>
          <w:kern w:val="2"/>
          <w:sz w:val="20"/>
        </w:rPr>
        <w:t>The 2016 FATF Mutual Evaluation Report assessing the Canadian anti-money laundering and combating the financing of terrorism (AML/CFT) regime notes that asset recovery is generally low, although some provinces, such as Quebec, seem to be more effective in recovering assets linked to crime.</w:t>
      </w:r>
      <w:r w:rsidRPr="006F29F5">
        <w:rPr>
          <w:rStyle w:val="FootnoteReference"/>
          <w:rFonts w:cs="Times New Roman"/>
          <w:color w:val="000000" w:themeColor="text1"/>
          <w:kern w:val="2"/>
          <w:sz w:val="20"/>
        </w:rPr>
        <w:footnoteReference w:id="157"/>
      </w:r>
      <w:r w:rsidRPr="006F29F5">
        <w:rPr>
          <w:rFonts w:cs="Times New Roman"/>
          <w:color w:val="000000" w:themeColor="text1"/>
          <w:kern w:val="2"/>
          <w:sz w:val="20"/>
        </w:rPr>
        <w:t xml:space="preserve"> Canada has made </w:t>
      </w:r>
      <w:r w:rsidR="00E022D7" w:rsidRPr="006F29F5">
        <w:rPr>
          <w:rFonts w:cs="Times New Roman"/>
          <w:color w:val="000000" w:themeColor="text1"/>
          <w:kern w:val="2"/>
          <w:sz w:val="20"/>
        </w:rPr>
        <w:t xml:space="preserve">some </w:t>
      </w:r>
      <w:r w:rsidRPr="006F29F5">
        <w:rPr>
          <w:rFonts w:cs="Times New Roman"/>
          <w:color w:val="000000" w:themeColor="text1"/>
          <w:kern w:val="2"/>
          <w:sz w:val="20"/>
        </w:rPr>
        <w:t>progress since its last evaluation in terms of asset recovery, but the fact that assets of equivalent value cannot be recovered hampers the recovery of proceeds of crime, and confiscation results do not adequately reflect Canada’s main money laundering risks.</w:t>
      </w:r>
      <w:r w:rsidRPr="006F29F5">
        <w:rPr>
          <w:rStyle w:val="FootnoteReference"/>
          <w:rFonts w:cs="Times New Roman"/>
          <w:color w:val="000000" w:themeColor="text1"/>
          <w:kern w:val="2"/>
          <w:sz w:val="20"/>
        </w:rPr>
        <w:footnoteReference w:id="158"/>
      </w:r>
      <w:r w:rsidRPr="006F29F5">
        <w:rPr>
          <w:rFonts w:cs="Times New Roman"/>
          <w:color w:val="000000" w:themeColor="text1"/>
          <w:kern w:val="2"/>
          <w:sz w:val="20"/>
        </w:rPr>
        <w:t xml:space="preserve"> The Report recommends</w:t>
      </w:r>
      <w:r w:rsidR="004963B1" w:rsidRPr="006F29F5">
        <w:rPr>
          <w:rFonts w:cs="Times New Roman"/>
          <w:color w:val="000000" w:themeColor="text1"/>
          <w:kern w:val="2"/>
          <w:sz w:val="20"/>
        </w:rPr>
        <w:t xml:space="preserve"> an</w:t>
      </w:r>
      <w:r w:rsidRPr="006F29F5">
        <w:rPr>
          <w:rFonts w:cs="Times New Roman"/>
          <w:color w:val="000000" w:themeColor="text1"/>
          <w:kern w:val="2"/>
          <w:sz w:val="20"/>
        </w:rPr>
        <w:t xml:space="preserve"> increase </w:t>
      </w:r>
      <w:r w:rsidR="004963B1" w:rsidRPr="006F29F5">
        <w:rPr>
          <w:rFonts w:cs="Times New Roman"/>
          <w:color w:val="000000" w:themeColor="text1"/>
          <w:kern w:val="2"/>
          <w:sz w:val="20"/>
        </w:rPr>
        <w:t xml:space="preserve">in </w:t>
      </w:r>
      <w:r w:rsidRPr="006F29F5">
        <w:rPr>
          <w:rFonts w:cs="Times New Roman"/>
          <w:color w:val="000000" w:themeColor="text1"/>
          <w:kern w:val="2"/>
          <w:sz w:val="20"/>
        </w:rPr>
        <w:t>timeliness of access by competent authorities to accurate and up-to-date beneficial ownership information; use financial intelligence to a greater extent to investigate money laundering and trace assets; ensure that asset recovery is pursued as a policy objective throughout the territory of Canada; and make a greater use of the available tools to seize and restraint proceeds of crime other than drug-related assets and cash, especially proceeds of corruption, including foreign corruption and other major asset generating crimes.</w:t>
      </w:r>
      <w:r w:rsidRPr="006F29F5">
        <w:rPr>
          <w:rStyle w:val="FootnoteReference"/>
          <w:rFonts w:cs="Times New Roman"/>
          <w:color w:val="000000" w:themeColor="text1"/>
          <w:kern w:val="2"/>
          <w:sz w:val="20"/>
        </w:rPr>
        <w:footnoteReference w:id="159"/>
      </w:r>
    </w:p>
    <w:p w14:paraId="2A6BB690" w14:textId="2505FF07" w:rsidR="001225CC" w:rsidRPr="006F29F5" w:rsidRDefault="001225CC" w:rsidP="00C81ED8">
      <w:pPr>
        <w:rPr>
          <w:rFonts w:cs="Times New Roman"/>
          <w:color w:val="000000" w:themeColor="text1"/>
          <w:kern w:val="2"/>
          <w:sz w:val="20"/>
        </w:rPr>
      </w:pPr>
      <w:r w:rsidRPr="006F29F5">
        <w:rPr>
          <w:rFonts w:cs="Times New Roman"/>
          <w:color w:val="000000" w:themeColor="text1"/>
          <w:kern w:val="2"/>
          <w:sz w:val="20"/>
        </w:rPr>
        <w:t xml:space="preserve">Transparency International released a report in 2014 outlining the difficulties in recovering assets following the Arab Spring, including problems repatriating assets after they </w:t>
      </w:r>
      <w:r w:rsidR="00AD74E5" w:rsidRPr="006F29F5">
        <w:rPr>
          <w:rFonts w:cs="Times New Roman"/>
          <w:color w:val="000000" w:themeColor="text1"/>
          <w:kern w:val="2"/>
          <w:sz w:val="20"/>
        </w:rPr>
        <w:t>were</w:t>
      </w:r>
      <w:r w:rsidRPr="006F29F5">
        <w:rPr>
          <w:rFonts w:cs="Times New Roman"/>
          <w:color w:val="000000" w:themeColor="text1"/>
          <w:kern w:val="2"/>
          <w:sz w:val="20"/>
        </w:rPr>
        <w:t xml:space="preserve"> frozen under schemes such as </w:t>
      </w:r>
      <w:r w:rsidRPr="006F29F5">
        <w:rPr>
          <w:rFonts w:cs="Times New Roman"/>
          <w:i/>
          <w:color w:val="000000" w:themeColor="text1"/>
          <w:kern w:val="2"/>
          <w:sz w:val="20"/>
        </w:rPr>
        <w:t xml:space="preserve">FACFOA </w:t>
      </w:r>
      <w:r w:rsidRPr="006F29F5">
        <w:rPr>
          <w:rFonts w:cs="Times New Roman"/>
          <w:color w:val="000000" w:themeColor="text1"/>
          <w:kern w:val="2"/>
          <w:sz w:val="20"/>
        </w:rPr>
        <w:t xml:space="preserve">in Canada. Problems include premature </w:t>
      </w:r>
      <w:r w:rsidRPr="006F29F5">
        <w:rPr>
          <w:rFonts w:cs="Times New Roman"/>
          <w:i/>
          <w:color w:val="000000" w:themeColor="text1"/>
          <w:kern w:val="2"/>
          <w:sz w:val="20"/>
        </w:rPr>
        <w:t>Mutual Legal Assistance Act</w:t>
      </w:r>
      <w:r w:rsidRPr="006F29F5">
        <w:rPr>
          <w:rFonts w:cs="Times New Roman"/>
          <w:color w:val="000000" w:themeColor="text1"/>
          <w:kern w:val="2"/>
          <w:sz w:val="20"/>
        </w:rPr>
        <w:t xml:space="preserve"> requests, lack of evidence-gathering capacity in requesting countries, and insufficient use of informal channels in requesting assistance.</w:t>
      </w:r>
      <w:r w:rsidRPr="006F29F5">
        <w:rPr>
          <w:rStyle w:val="FootnoteReference"/>
          <w:rFonts w:cs="Times New Roman"/>
          <w:color w:val="000000" w:themeColor="text1"/>
          <w:kern w:val="2"/>
          <w:sz w:val="20"/>
        </w:rPr>
        <w:footnoteReference w:id="160"/>
      </w:r>
    </w:p>
    <w:p w14:paraId="40DDDE9B" w14:textId="13A440BA" w:rsidR="001D06E9" w:rsidRPr="006F29F5" w:rsidRDefault="001D0BA0" w:rsidP="003C40A8">
      <w:pPr>
        <w:rPr>
          <w:rFonts w:cs="Times New Roman"/>
          <w:color w:val="000000" w:themeColor="text1"/>
          <w:kern w:val="2"/>
          <w:sz w:val="20"/>
        </w:rPr>
      </w:pPr>
      <w:r w:rsidRPr="006F29F5">
        <w:rPr>
          <w:rFonts w:cs="Times New Roman"/>
          <w:color w:val="000000" w:themeColor="text1"/>
          <w:kern w:val="2"/>
          <w:sz w:val="20"/>
        </w:rPr>
        <w:t>T</w:t>
      </w:r>
      <w:r w:rsidR="001D06E9" w:rsidRPr="006F29F5">
        <w:rPr>
          <w:rFonts w:cs="Times New Roman"/>
          <w:color w:val="000000" w:themeColor="text1"/>
          <w:kern w:val="2"/>
          <w:sz w:val="20"/>
        </w:rPr>
        <w:t xml:space="preserve">he 2014 </w:t>
      </w:r>
      <w:proofErr w:type="spellStart"/>
      <w:r w:rsidR="001D06E9" w:rsidRPr="006F29F5">
        <w:rPr>
          <w:rFonts w:cs="Times New Roman"/>
          <w:color w:val="000000" w:themeColor="text1"/>
          <w:kern w:val="2"/>
          <w:sz w:val="20"/>
        </w:rPr>
        <w:t>StAR</w:t>
      </w:r>
      <w:proofErr w:type="spellEnd"/>
      <w:r w:rsidR="001D06E9" w:rsidRPr="006F29F5">
        <w:rPr>
          <w:rFonts w:cs="Times New Roman"/>
          <w:color w:val="000000" w:themeColor="text1"/>
          <w:kern w:val="2"/>
          <w:sz w:val="20"/>
        </w:rPr>
        <w:t xml:space="preserve"> report </w:t>
      </w:r>
      <w:r w:rsidR="001D06E9" w:rsidRPr="006F29F5">
        <w:rPr>
          <w:rFonts w:cs="Times New Roman"/>
          <w:i/>
          <w:color w:val="000000" w:themeColor="text1"/>
          <w:kern w:val="2"/>
          <w:sz w:val="20"/>
        </w:rPr>
        <w:t>Few and Far: The Hard Facts on Stolen Asset Recovery</w:t>
      </w:r>
      <w:r w:rsidRPr="006F29F5">
        <w:rPr>
          <w:rFonts w:cs="Times New Roman"/>
          <w:color w:val="000000" w:themeColor="text1"/>
          <w:kern w:val="2"/>
          <w:sz w:val="20"/>
        </w:rPr>
        <w:t xml:space="preserve"> indicates that between the years 2006 and 2012 Canada only froze assets totaling $2.6 million and that no assets were thus far reported as returned (most likely owing to the long lag time between freezing and repatriating assets).</w:t>
      </w:r>
      <w:r w:rsidR="00E064FE" w:rsidRPr="006F29F5">
        <w:rPr>
          <w:rStyle w:val="FootnoteReference"/>
          <w:rFonts w:cs="Times New Roman"/>
          <w:color w:val="000000" w:themeColor="text1"/>
          <w:kern w:val="2"/>
          <w:sz w:val="20"/>
        </w:rPr>
        <w:footnoteReference w:id="161"/>
      </w:r>
      <w:r w:rsidRPr="006F29F5">
        <w:rPr>
          <w:rFonts w:cs="Times New Roman"/>
          <w:color w:val="000000" w:themeColor="text1"/>
          <w:kern w:val="2"/>
          <w:sz w:val="20"/>
        </w:rPr>
        <w:t xml:space="preserve"> </w:t>
      </w:r>
      <w:proofErr w:type="spellStart"/>
      <w:r w:rsidRPr="006F29F5">
        <w:rPr>
          <w:rFonts w:cs="Times New Roman"/>
          <w:color w:val="000000" w:themeColor="text1"/>
          <w:kern w:val="2"/>
          <w:sz w:val="20"/>
        </w:rPr>
        <w:t>StAR</w:t>
      </w:r>
      <w:proofErr w:type="spellEnd"/>
      <w:r w:rsidRPr="006F29F5">
        <w:rPr>
          <w:rFonts w:cs="Times New Roman"/>
          <w:color w:val="000000" w:themeColor="text1"/>
          <w:kern w:val="2"/>
          <w:sz w:val="20"/>
        </w:rPr>
        <w:t xml:space="preserve"> released another report in the same year entitled </w:t>
      </w:r>
      <w:r w:rsidRPr="006F29F5">
        <w:rPr>
          <w:rFonts w:cs="Times New Roman"/>
          <w:i/>
          <w:color w:val="000000" w:themeColor="text1"/>
          <w:kern w:val="2"/>
          <w:sz w:val="20"/>
        </w:rPr>
        <w:t>Left out of the Bargain: Settlements in Foreign Bribery Cases and Implications for Asset Recovery</w:t>
      </w:r>
      <w:r w:rsidRPr="006F29F5">
        <w:rPr>
          <w:rFonts w:cs="Times New Roman"/>
          <w:color w:val="000000" w:themeColor="text1"/>
          <w:kern w:val="2"/>
          <w:sz w:val="20"/>
        </w:rPr>
        <w:t>, which discusses the implications of cases being settled rather tha</w:t>
      </w:r>
      <w:r w:rsidR="00C6719F" w:rsidRPr="006F29F5">
        <w:rPr>
          <w:rFonts w:cs="Times New Roman"/>
          <w:color w:val="000000" w:themeColor="text1"/>
          <w:kern w:val="2"/>
          <w:sz w:val="20"/>
        </w:rPr>
        <w:t>n</w:t>
      </w:r>
      <w:r w:rsidRPr="006F29F5">
        <w:rPr>
          <w:rFonts w:cs="Times New Roman"/>
          <w:color w:val="000000" w:themeColor="text1"/>
          <w:kern w:val="2"/>
          <w:sz w:val="20"/>
        </w:rPr>
        <w:t xml:space="preserve"> proceeding to trial and whether the settlement money is returned to those harmed by the corrupt practices.</w:t>
      </w:r>
      <w:r w:rsidR="00E064FE" w:rsidRPr="006F29F5">
        <w:rPr>
          <w:rStyle w:val="FootnoteReference"/>
          <w:rFonts w:cs="Times New Roman"/>
          <w:color w:val="000000" w:themeColor="text1"/>
          <w:kern w:val="2"/>
          <w:sz w:val="20"/>
        </w:rPr>
        <w:footnoteReference w:id="162"/>
      </w:r>
      <w:r w:rsidR="00E064FE" w:rsidRPr="006F29F5">
        <w:rPr>
          <w:rFonts w:cs="Times New Roman"/>
          <w:color w:val="000000" w:themeColor="text1"/>
          <w:kern w:val="2"/>
          <w:sz w:val="20"/>
        </w:rPr>
        <w:t xml:space="preserve"> </w:t>
      </w:r>
      <w:r w:rsidRPr="006F29F5">
        <w:rPr>
          <w:rFonts w:cs="Times New Roman"/>
          <w:color w:val="000000" w:themeColor="text1"/>
          <w:kern w:val="2"/>
          <w:sz w:val="20"/>
        </w:rPr>
        <w:t xml:space="preserve"> It includes an analysis of Canada’s practices in settling bribery cases.</w:t>
      </w:r>
    </w:p>
    <w:p w14:paraId="3208F153" w14:textId="4B417680" w:rsidR="00473820" w:rsidRPr="006F29F5" w:rsidRDefault="00473820" w:rsidP="003C40A8">
      <w:pPr>
        <w:rPr>
          <w:rFonts w:cs="Times New Roman"/>
          <w:color w:val="000000" w:themeColor="text1"/>
          <w:kern w:val="2"/>
          <w:sz w:val="20"/>
        </w:rPr>
      </w:pPr>
      <w:r w:rsidRPr="006F29F5">
        <w:rPr>
          <w:rFonts w:cs="Times New Roman"/>
          <w:color w:val="000000" w:themeColor="text1"/>
          <w:kern w:val="2"/>
          <w:sz w:val="20"/>
        </w:rPr>
        <w:t>Public Safety Canada released a report in 2013 examining the use of civil forfeiture regimes internationally. The report includes an examination of whether Canada might be able to implement a law allowing for civil forfeiture pursuant to unexplained wealth orders (used in Australia), which reverse the burden of proof and force the respondent to justify the lawful origin of their property.</w:t>
      </w:r>
      <w:r w:rsidRPr="006F29F5">
        <w:rPr>
          <w:rStyle w:val="FootnoteReference"/>
          <w:rFonts w:cs="Times New Roman"/>
          <w:color w:val="000000" w:themeColor="text1"/>
          <w:kern w:val="2"/>
          <w:sz w:val="20"/>
        </w:rPr>
        <w:footnoteReference w:id="163"/>
      </w:r>
    </w:p>
    <w:tbl>
      <w:tblPr>
        <w:tblStyle w:val="TableGrid"/>
        <w:tblW w:w="0" w:type="auto"/>
        <w:jc w:val="center"/>
        <w:tblCellMar>
          <w:top w:w="284" w:type="dxa"/>
          <w:left w:w="284" w:type="dxa"/>
          <w:bottom w:w="284" w:type="dxa"/>
          <w:right w:w="284" w:type="dxa"/>
        </w:tblCellMar>
        <w:tblLook w:val="04A0" w:firstRow="1" w:lastRow="0" w:firstColumn="1" w:lastColumn="0" w:noHBand="0" w:noVBand="1"/>
      </w:tblPr>
      <w:tblGrid>
        <w:gridCol w:w="8070"/>
      </w:tblGrid>
      <w:tr w:rsidR="00CD5E96" w:rsidRPr="006F29F5" w14:paraId="4B224BE7" w14:textId="77777777" w:rsidTr="00B9337A">
        <w:trPr>
          <w:jc w:val="center"/>
        </w:trPr>
        <w:tc>
          <w:tcPr>
            <w:tcW w:w="9350" w:type="dxa"/>
          </w:tcPr>
          <w:p w14:paraId="6C9BF22C" w14:textId="77777777" w:rsidR="004E15C0" w:rsidRPr="006F29F5" w:rsidRDefault="004E15C0" w:rsidP="00B61F2C">
            <w:pPr>
              <w:spacing w:before="0" w:after="120"/>
              <w:jc w:val="left"/>
              <w:rPr>
                <w:rFonts w:cs="Times New Roman"/>
                <w:b/>
                <w:color w:val="000000" w:themeColor="text1"/>
                <w:kern w:val="2"/>
                <w:sz w:val="20"/>
                <w:lang w:val="en-US"/>
              </w:rPr>
            </w:pPr>
            <w:r w:rsidRPr="006F29F5">
              <w:rPr>
                <w:rFonts w:cs="Times New Roman"/>
                <w:b/>
                <w:color w:val="000000" w:themeColor="text1"/>
                <w:kern w:val="2"/>
                <w:sz w:val="20"/>
                <w:lang w:val="en-US"/>
              </w:rPr>
              <w:t>China Pressures Canada to Facilitate Extradition of Corrupt Officials and Return of Stolen Assets</w:t>
            </w:r>
          </w:p>
          <w:p w14:paraId="35A6693D" w14:textId="77777777" w:rsidR="004E15C0" w:rsidRPr="006F29F5" w:rsidRDefault="004E15C0" w:rsidP="004E15C0">
            <w:pPr>
              <w:spacing w:before="120" w:after="120"/>
              <w:rPr>
                <w:rFonts w:cs="Times New Roman"/>
                <w:color w:val="000000" w:themeColor="text1"/>
                <w:kern w:val="2"/>
                <w:sz w:val="20"/>
                <w:lang w:val="en-US"/>
              </w:rPr>
            </w:pPr>
            <w:r w:rsidRPr="006F29F5">
              <w:rPr>
                <w:rFonts w:cs="Times New Roman"/>
                <w:color w:val="000000" w:themeColor="text1"/>
                <w:kern w:val="2"/>
                <w:sz w:val="20"/>
                <w:lang w:val="en-US"/>
              </w:rPr>
              <w:t>It appears that Canada is one of the key destinations for fugitive Chinese corruption suspects. Of the top-100 most wanted Chinese nationals for economic crimes, Chinese authorities believe that 26 may be in Canada. From 2009 to 2015, Canada sent back home some 1,400 Chinese people but most of them for immigration law violations.</w:t>
            </w:r>
            <w:r w:rsidRPr="006F29F5">
              <w:rPr>
                <w:rFonts w:cs="Times New Roman"/>
                <w:color w:val="000000" w:themeColor="text1"/>
                <w:kern w:val="2"/>
                <w:sz w:val="20"/>
                <w:vertAlign w:val="superscript"/>
                <w:lang w:val="en-US"/>
              </w:rPr>
              <w:footnoteReference w:id="164"/>
            </w:r>
            <w:r w:rsidRPr="006F29F5">
              <w:rPr>
                <w:rFonts w:cs="Times New Roman"/>
                <w:color w:val="000000" w:themeColor="text1"/>
                <w:kern w:val="2"/>
                <w:sz w:val="20"/>
                <w:lang w:val="en-US"/>
              </w:rPr>
              <w:t xml:space="preserve"> In 1994, Canada and China concluded a treaty on mutual legal assistance in criminal matters.</w:t>
            </w:r>
            <w:r w:rsidRPr="006F29F5">
              <w:rPr>
                <w:rFonts w:cs="Times New Roman"/>
                <w:color w:val="000000" w:themeColor="text1"/>
                <w:kern w:val="2"/>
                <w:sz w:val="20"/>
                <w:vertAlign w:val="superscript"/>
                <w:lang w:val="en-US"/>
              </w:rPr>
              <w:footnoteReference w:id="165"/>
            </w:r>
            <w:r w:rsidRPr="006F29F5">
              <w:rPr>
                <w:rFonts w:cs="Times New Roman"/>
                <w:color w:val="000000" w:themeColor="text1"/>
                <w:kern w:val="2"/>
                <w:sz w:val="20"/>
                <w:lang w:val="en-US"/>
              </w:rPr>
              <w:t xml:space="preserve"> The scope of mutual legal assistance pursuant to this treaty includes measures related to the proceeds of crime and the restoration of property to victims.</w:t>
            </w:r>
            <w:r w:rsidRPr="006F29F5">
              <w:rPr>
                <w:rFonts w:cs="Times New Roman"/>
                <w:color w:val="000000" w:themeColor="text1"/>
                <w:kern w:val="2"/>
                <w:sz w:val="20"/>
                <w:vertAlign w:val="superscript"/>
                <w:lang w:val="en-US"/>
              </w:rPr>
              <w:footnoteReference w:id="166"/>
            </w:r>
            <w:r w:rsidRPr="006F29F5">
              <w:rPr>
                <w:rFonts w:cs="Times New Roman"/>
                <w:color w:val="000000" w:themeColor="text1"/>
                <w:kern w:val="2"/>
                <w:sz w:val="20"/>
                <w:lang w:val="en-US"/>
              </w:rPr>
              <w:t xml:space="preserve"> In particular, a State party may, upon request, ascertain whether any proceeds of a crime committed in the other State party are located within its jurisdiction and shall notify the other Party of the results of its inquiries.</w:t>
            </w:r>
            <w:r w:rsidRPr="006F29F5">
              <w:rPr>
                <w:rFonts w:cs="Times New Roman"/>
                <w:color w:val="000000" w:themeColor="text1"/>
                <w:kern w:val="2"/>
                <w:sz w:val="20"/>
                <w:vertAlign w:val="superscript"/>
                <w:lang w:val="en-US"/>
              </w:rPr>
              <w:footnoteReference w:id="167"/>
            </w:r>
            <w:r w:rsidRPr="006F29F5">
              <w:rPr>
                <w:rFonts w:cs="Times New Roman"/>
                <w:color w:val="000000" w:themeColor="text1"/>
                <w:kern w:val="2"/>
                <w:sz w:val="20"/>
                <w:lang w:val="en-US"/>
              </w:rPr>
              <w:t xml:space="preserve"> Where the suspected proceeds of crime are found, the requested State party shall take measures to freeze, seize and confiscate such proceeds.</w:t>
            </w:r>
            <w:r w:rsidRPr="006F29F5">
              <w:rPr>
                <w:rFonts w:cs="Times New Roman"/>
                <w:color w:val="000000" w:themeColor="text1"/>
                <w:kern w:val="2"/>
                <w:sz w:val="20"/>
                <w:vertAlign w:val="superscript"/>
                <w:lang w:val="en-US"/>
              </w:rPr>
              <w:footnoteReference w:id="168"/>
            </w:r>
            <w:r w:rsidRPr="006F29F5">
              <w:rPr>
                <w:rFonts w:cs="Times New Roman"/>
                <w:color w:val="000000" w:themeColor="text1"/>
                <w:kern w:val="2"/>
                <w:sz w:val="20"/>
                <w:lang w:val="en-US"/>
              </w:rPr>
              <w:t xml:space="preserve"> To the extent permitted by its law, the requested State party may transfer to the requesting State party such proceeds of crime, but the transfer shall not infringe upon the rights of a third party to such proceeds.</w:t>
            </w:r>
            <w:r w:rsidRPr="006F29F5">
              <w:rPr>
                <w:rFonts w:cs="Times New Roman"/>
                <w:color w:val="000000" w:themeColor="text1"/>
                <w:kern w:val="2"/>
                <w:sz w:val="20"/>
                <w:vertAlign w:val="superscript"/>
                <w:lang w:val="en-US"/>
              </w:rPr>
              <w:footnoteReference w:id="169"/>
            </w:r>
            <w:r w:rsidRPr="006F29F5">
              <w:rPr>
                <w:rFonts w:cs="Times New Roman"/>
                <w:color w:val="000000" w:themeColor="text1"/>
                <w:kern w:val="2"/>
                <w:sz w:val="20"/>
                <w:lang w:val="en-US"/>
              </w:rPr>
              <w:t xml:space="preserve"> Furthermore, the State parties shall assist each other, to the extent permitted by their respective laws, in proceedings related to restitution to the victims of crime.</w:t>
            </w:r>
            <w:r w:rsidRPr="006F29F5">
              <w:rPr>
                <w:rFonts w:cs="Times New Roman"/>
                <w:color w:val="000000" w:themeColor="text1"/>
                <w:kern w:val="2"/>
                <w:sz w:val="20"/>
                <w:vertAlign w:val="superscript"/>
                <w:lang w:val="en-US"/>
              </w:rPr>
              <w:footnoteReference w:id="170"/>
            </w:r>
            <w:r w:rsidRPr="006F29F5">
              <w:rPr>
                <w:rFonts w:cs="Times New Roman"/>
                <w:color w:val="000000" w:themeColor="text1"/>
                <w:kern w:val="2"/>
                <w:sz w:val="20"/>
                <w:lang w:val="en-US"/>
              </w:rPr>
              <w:t xml:space="preserve"> </w:t>
            </w:r>
          </w:p>
          <w:p w14:paraId="4C200853" w14:textId="77777777" w:rsidR="004E15C0" w:rsidRPr="006F29F5" w:rsidRDefault="004E15C0" w:rsidP="004E15C0">
            <w:pPr>
              <w:spacing w:before="120" w:after="120"/>
              <w:rPr>
                <w:rFonts w:cs="Times New Roman"/>
                <w:color w:val="000000" w:themeColor="text1"/>
                <w:kern w:val="2"/>
                <w:sz w:val="20"/>
                <w:lang w:val="en-US"/>
              </w:rPr>
            </w:pPr>
            <w:r w:rsidRPr="006F29F5">
              <w:rPr>
                <w:rFonts w:cs="Times New Roman"/>
                <w:color w:val="000000" w:themeColor="text1"/>
                <w:kern w:val="2"/>
                <w:sz w:val="20"/>
                <w:lang w:val="en-US"/>
              </w:rPr>
              <w:t>There is, however, no extradition treaty in force between Canada and China. The 2016 FATF Mutual Evaluation Report cites this as an indication of Canada’s particular vulnerability to laundering the proceeds of crime by Chinese officials, notably through the real estate sector in Vancouver, and the Chinese government has already listed Canada as a country that it wishes to target for recovering the proceeds of Chinese corruption.</w:t>
            </w:r>
            <w:r w:rsidRPr="006F29F5">
              <w:rPr>
                <w:rFonts w:cs="Times New Roman"/>
                <w:color w:val="000000" w:themeColor="text1"/>
                <w:kern w:val="2"/>
                <w:sz w:val="20"/>
                <w:vertAlign w:val="superscript"/>
                <w:lang w:val="en-US"/>
              </w:rPr>
              <w:footnoteReference w:id="171"/>
            </w:r>
          </w:p>
          <w:p w14:paraId="03EC36B7" w14:textId="159A089C" w:rsidR="004E15C0" w:rsidRPr="006F29F5" w:rsidRDefault="004E15C0" w:rsidP="004E15C0">
            <w:pPr>
              <w:spacing w:before="120" w:after="120"/>
              <w:rPr>
                <w:rFonts w:cs="Times New Roman"/>
                <w:color w:val="000000" w:themeColor="text1"/>
                <w:kern w:val="2"/>
                <w:sz w:val="20"/>
                <w:lang w:val="en-US"/>
              </w:rPr>
            </w:pPr>
            <w:r w:rsidRPr="006F29F5">
              <w:rPr>
                <w:rFonts w:cs="Times New Roman"/>
                <w:color w:val="000000" w:themeColor="text1"/>
                <w:kern w:val="2"/>
                <w:sz w:val="20"/>
                <w:lang w:val="en-US"/>
              </w:rPr>
              <w:t>At present, the Chinese government seems to rely on its secret agents to find fugitive suspects abroad and pressure them to return home. In particular, Operation Fox Hunt, commenced</w:t>
            </w:r>
            <w:r w:rsidR="00B44990" w:rsidRPr="006F29F5">
              <w:rPr>
                <w:rFonts w:cs="Times New Roman"/>
                <w:color w:val="000000" w:themeColor="text1"/>
                <w:kern w:val="2"/>
                <w:sz w:val="20"/>
                <w:lang w:val="en-US"/>
              </w:rPr>
              <w:t xml:space="preserve"> by China</w:t>
            </w:r>
            <w:r w:rsidRPr="006F29F5">
              <w:rPr>
                <w:rFonts w:cs="Times New Roman"/>
                <w:color w:val="000000" w:themeColor="text1"/>
                <w:kern w:val="2"/>
                <w:sz w:val="20"/>
                <w:lang w:val="en-US"/>
              </w:rPr>
              <w:t xml:space="preserve"> in 2014, resulted in the repatriation of some 700 suspected economic fugitives globally, and Operation Skynet saw the return of another 857 persons in 2015.</w:t>
            </w:r>
            <w:r w:rsidRPr="006F29F5">
              <w:rPr>
                <w:rFonts w:cs="Times New Roman"/>
                <w:color w:val="000000" w:themeColor="text1"/>
                <w:kern w:val="2"/>
                <w:sz w:val="20"/>
                <w:vertAlign w:val="superscript"/>
                <w:lang w:val="en-US"/>
              </w:rPr>
              <w:footnoteReference w:id="172"/>
            </w:r>
            <w:r w:rsidRPr="006F29F5">
              <w:rPr>
                <w:rFonts w:cs="Times New Roman"/>
                <w:color w:val="000000" w:themeColor="text1"/>
                <w:kern w:val="2"/>
                <w:sz w:val="20"/>
                <w:lang w:val="en-US"/>
              </w:rPr>
              <w:t xml:space="preserve"> Meanwhile, China seeks to conclude extradition treaties with Western democracies, including Canada. On September 12, 2016, the inaugural meeting of the Canada-China High-Level National Security and Rule of Law Dialogue was held in Beijing. The parties determined that the short-term objectives for the bilateral cooperation shall include, among others, starting discussions on an Extradition Treaty and a Transfer of Offenders Treaty, as well as finalizing negotiations of a one-year memorandum of understanding on the Pilot Project between the Canada Border Services Agency and the Bureau of Exit and Entry Administration where Chinese experts will be invited to assist in the verification of the identity of inadmissible persons from mainland China in order to facilitate their return from Canada.</w:t>
            </w:r>
            <w:r w:rsidRPr="006F29F5">
              <w:rPr>
                <w:rFonts w:cs="Times New Roman"/>
                <w:color w:val="000000" w:themeColor="text1"/>
                <w:kern w:val="2"/>
                <w:sz w:val="20"/>
                <w:vertAlign w:val="superscript"/>
                <w:lang w:val="en-US"/>
              </w:rPr>
              <w:footnoteReference w:id="173"/>
            </w:r>
            <w:r w:rsidRPr="006F29F5">
              <w:rPr>
                <w:rFonts w:cs="Times New Roman"/>
                <w:color w:val="000000" w:themeColor="text1"/>
                <w:kern w:val="2"/>
                <w:sz w:val="20"/>
                <w:lang w:val="en-US"/>
              </w:rPr>
              <w:t xml:space="preserve"> </w:t>
            </w:r>
          </w:p>
          <w:p w14:paraId="17FBC6CD" w14:textId="52E94563" w:rsidR="004E15C0" w:rsidRPr="006F29F5" w:rsidRDefault="004E15C0" w:rsidP="004E15C0">
            <w:pPr>
              <w:spacing w:before="120" w:after="120"/>
              <w:rPr>
                <w:rFonts w:cs="Times New Roman"/>
                <w:color w:val="000000" w:themeColor="text1"/>
                <w:kern w:val="2"/>
                <w:sz w:val="20"/>
                <w:lang w:val="en-US"/>
              </w:rPr>
            </w:pPr>
            <w:r w:rsidRPr="006F29F5">
              <w:rPr>
                <w:rFonts w:cs="Times New Roman"/>
                <w:color w:val="000000" w:themeColor="text1"/>
                <w:kern w:val="2"/>
                <w:sz w:val="20"/>
                <w:lang w:val="en-US"/>
              </w:rPr>
              <w:t>Some commentators, however, oppose the contemplated extradition treaty citing human rights concerns and the possibility that repatriated suspects may be subject to torture or death penalty upon their return to China.</w:t>
            </w:r>
            <w:r w:rsidRPr="006F29F5">
              <w:rPr>
                <w:rFonts w:cs="Times New Roman"/>
                <w:color w:val="000000" w:themeColor="text1"/>
                <w:kern w:val="2"/>
                <w:sz w:val="20"/>
                <w:vertAlign w:val="superscript"/>
                <w:lang w:val="en-US"/>
              </w:rPr>
              <w:footnoteReference w:id="174"/>
            </w:r>
            <w:r w:rsidRPr="006F29F5">
              <w:rPr>
                <w:rFonts w:cs="Times New Roman"/>
                <w:color w:val="000000" w:themeColor="text1"/>
                <w:kern w:val="2"/>
                <w:sz w:val="20"/>
                <w:lang w:val="en-US"/>
              </w:rPr>
              <w:t xml:space="preserve"> Others point out that Canada already has extradition treaties with the United States, Japan, Zimbabwe, Singapore and the Maldives, all of which have capital punishment, and that a treaty with China would send a clear signal that Canada is not a safe haven for money launderers.</w:t>
            </w:r>
            <w:r w:rsidRPr="006F29F5">
              <w:rPr>
                <w:rFonts w:cs="Times New Roman"/>
                <w:color w:val="000000" w:themeColor="text1"/>
                <w:kern w:val="2"/>
                <w:sz w:val="20"/>
                <w:vertAlign w:val="superscript"/>
                <w:lang w:val="en-US"/>
              </w:rPr>
              <w:footnoteReference w:id="175"/>
            </w:r>
            <w:r w:rsidRPr="006F29F5">
              <w:rPr>
                <w:rFonts w:cs="Times New Roman"/>
                <w:color w:val="000000" w:themeColor="text1"/>
                <w:kern w:val="2"/>
                <w:sz w:val="20"/>
                <w:lang w:val="en-US"/>
              </w:rPr>
              <w:t xml:space="preserve"> In any event, in October 2016, Canadian ambassador to China Guy Saint-Jacques explained that so far Canada and China have agreed only to </w:t>
            </w:r>
            <w:r w:rsidR="00CC1E13" w:rsidRPr="006F29F5">
              <w:rPr>
                <w:rFonts w:cs="Times New Roman"/>
                <w:color w:val="000000" w:themeColor="text1"/>
                <w:kern w:val="2"/>
                <w:sz w:val="20"/>
                <w:lang w:val="en-US"/>
              </w:rPr>
              <w:t>“</w:t>
            </w:r>
            <w:r w:rsidRPr="006F29F5">
              <w:rPr>
                <w:rFonts w:cs="Times New Roman"/>
                <w:color w:val="000000" w:themeColor="text1"/>
                <w:kern w:val="2"/>
                <w:sz w:val="20"/>
                <w:lang w:val="en-US"/>
              </w:rPr>
              <w:t>discussions</w:t>
            </w:r>
            <w:r w:rsidR="00CC1E13" w:rsidRPr="006F29F5">
              <w:rPr>
                <w:rFonts w:cs="Times New Roman"/>
                <w:color w:val="000000" w:themeColor="text1"/>
                <w:kern w:val="2"/>
                <w:sz w:val="20"/>
                <w:lang w:val="en-US"/>
              </w:rPr>
              <w:t>”</w:t>
            </w:r>
            <w:r w:rsidRPr="006F29F5">
              <w:rPr>
                <w:rFonts w:cs="Times New Roman"/>
                <w:color w:val="000000" w:themeColor="text1"/>
                <w:kern w:val="2"/>
                <w:sz w:val="20"/>
                <w:lang w:val="en-US"/>
              </w:rPr>
              <w:t xml:space="preserve"> on an extradition treaty, a step removed from negotiations, and </w:t>
            </w:r>
            <w:r w:rsidR="00CC1E13" w:rsidRPr="006F29F5">
              <w:rPr>
                <w:rFonts w:cs="Times New Roman"/>
                <w:color w:val="000000" w:themeColor="text1"/>
                <w:kern w:val="2"/>
                <w:sz w:val="20"/>
                <w:lang w:val="en-US"/>
              </w:rPr>
              <w:t>“</w:t>
            </w:r>
            <w:r w:rsidRPr="006F29F5">
              <w:rPr>
                <w:rFonts w:cs="Times New Roman"/>
                <w:color w:val="000000" w:themeColor="text1"/>
                <w:kern w:val="2"/>
                <w:sz w:val="20"/>
                <w:lang w:val="en-US"/>
              </w:rPr>
              <w:t>it could be years</w:t>
            </w:r>
            <w:r w:rsidR="00CC1E13" w:rsidRPr="006F29F5">
              <w:rPr>
                <w:rFonts w:cs="Times New Roman"/>
                <w:color w:val="000000" w:themeColor="text1"/>
                <w:kern w:val="2"/>
                <w:sz w:val="20"/>
                <w:lang w:val="en-US"/>
              </w:rPr>
              <w:t>”</w:t>
            </w:r>
            <w:r w:rsidRPr="006F29F5">
              <w:rPr>
                <w:rFonts w:cs="Times New Roman"/>
                <w:color w:val="000000" w:themeColor="text1"/>
                <w:kern w:val="2"/>
                <w:sz w:val="20"/>
                <w:lang w:val="en-US"/>
              </w:rPr>
              <w:t xml:space="preserve"> before formal negotiations of the treaty text begin.</w:t>
            </w:r>
            <w:r w:rsidRPr="006F29F5">
              <w:rPr>
                <w:rFonts w:cs="Times New Roman"/>
                <w:color w:val="000000" w:themeColor="text1"/>
                <w:kern w:val="2"/>
                <w:sz w:val="20"/>
                <w:vertAlign w:val="superscript"/>
                <w:lang w:val="en-US"/>
              </w:rPr>
              <w:footnoteReference w:id="176"/>
            </w:r>
          </w:p>
          <w:p w14:paraId="5ED5CCE5" w14:textId="7F2F008F" w:rsidR="00CD5E96" w:rsidRPr="006F29F5" w:rsidRDefault="004E15C0" w:rsidP="00B9337A">
            <w:pPr>
              <w:spacing w:before="120" w:after="0"/>
              <w:rPr>
                <w:rFonts w:cs="Times New Roman"/>
                <w:color w:val="000000" w:themeColor="text1"/>
                <w:kern w:val="2"/>
                <w:sz w:val="20"/>
              </w:rPr>
            </w:pPr>
            <w:r w:rsidRPr="006F29F5">
              <w:rPr>
                <w:rFonts w:cs="Times New Roman"/>
                <w:color w:val="000000" w:themeColor="text1"/>
                <w:kern w:val="2"/>
                <w:sz w:val="20"/>
                <w:lang w:val="en-US"/>
              </w:rPr>
              <w:t>China was more successful in pressuring Canada to cooperate in the recovery of stolen assets. During the official visit of the Chinese Premier Li Keqiang to Canada from September 21 to September 24, 2016, the parties signed the Agreement on Sharing and Return of Forfeited Assets as well as the Memorandum of Understanding on Cooperation in Combating Crime between the RCMP and the Ministry of Public Security of China.</w:t>
            </w:r>
            <w:r w:rsidRPr="006F29F5">
              <w:rPr>
                <w:rFonts w:cs="Times New Roman"/>
                <w:color w:val="000000" w:themeColor="text1"/>
                <w:kern w:val="2"/>
                <w:sz w:val="20"/>
                <w:vertAlign w:val="superscript"/>
                <w:lang w:val="en-US"/>
              </w:rPr>
              <w:footnoteReference w:id="177"/>
            </w:r>
            <w:r w:rsidRPr="006F29F5">
              <w:rPr>
                <w:rFonts w:cs="Times New Roman"/>
                <w:color w:val="000000" w:themeColor="text1"/>
                <w:kern w:val="2"/>
                <w:sz w:val="20"/>
                <w:lang w:val="en-US"/>
              </w:rPr>
              <w:t xml:space="preserve"> The deal on return of stolen assets is the first agreement of this kind China has signed with another country. It provides that forfeited assets are to be returned to their legitimate owners or, if the origin of such funds cannot be identified, both countries will share the assets in proportion to each country’s contribution to the investigation.</w:t>
            </w:r>
            <w:r w:rsidRPr="006F29F5">
              <w:rPr>
                <w:rFonts w:cs="Times New Roman"/>
                <w:color w:val="000000" w:themeColor="text1"/>
                <w:kern w:val="2"/>
                <w:sz w:val="20"/>
                <w:vertAlign w:val="superscript"/>
                <w:lang w:val="en-US"/>
              </w:rPr>
              <w:footnoteReference w:id="178"/>
            </w:r>
          </w:p>
        </w:tc>
      </w:tr>
    </w:tbl>
    <w:p w14:paraId="046D6FBE" w14:textId="43D28094" w:rsidR="006655E6" w:rsidRDefault="006655E6" w:rsidP="00F57540">
      <w:pPr>
        <w:spacing w:before="0" w:after="0"/>
        <w:rPr>
          <w:kern w:val="2"/>
          <w:sz w:val="20"/>
        </w:rPr>
      </w:pPr>
      <w:bookmarkStart w:id="43" w:name="_Toc420329379"/>
      <w:bookmarkStart w:id="44" w:name="_Toc489961995"/>
    </w:p>
    <w:p w14:paraId="7D9B861A" w14:textId="77777777" w:rsidR="006655E6" w:rsidRDefault="006655E6">
      <w:pPr>
        <w:spacing w:before="0" w:after="200" w:line="276" w:lineRule="auto"/>
        <w:jc w:val="left"/>
        <w:rPr>
          <w:kern w:val="2"/>
          <w:sz w:val="20"/>
        </w:rPr>
      </w:pPr>
      <w:r>
        <w:rPr>
          <w:kern w:val="2"/>
          <w:sz w:val="20"/>
        </w:rPr>
        <w:br w:type="page"/>
      </w:r>
    </w:p>
    <w:tbl>
      <w:tblPr>
        <w:tblStyle w:val="TableGrid"/>
        <w:tblW w:w="0" w:type="auto"/>
        <w:tblCellMar>
          <w:left w:w="284" w:type="dxa"/>
          <w:right w:w="284" w:type="dxa"/>
        </w:tblCellMar>
        <w:tblLook w:val="04A0" w:firstRow="1" w:lastRow="0" w:firstColumn="1" w:lastColumn="0" w:noHBand="0" w:noVBand="1"/>
      </w:tblPr>
      <w:tblGrid>
        <w:gridCol w:w="8070"/>
      </w:tblGrid>
      <w:tr w:rsidR="00F57540" w:rsidRPr="006F29F5" w14:paraId="3463A157" w14:textId="77777777" w:rsidTr="006655E6">
        <w:tc>
          <w:tcPr>
            <w:tcW w:w="8070" w:type="dxa"/>
          </w:tcPr>
          <w:p w14:paraId="23AF14E6" w14:textId="77777777" w:rsidR="00F57540" w:rsidRPr="006F29F5" w:rsidRDefault="00F57540" w:rsidP="00F57540">
            <w:pPr>
              <w:rPr>
                <w:b/>
                <w:kern w:val="2"/>
                <w:sz w:val="20"/>
              </w:rPr>
            </w:pPr>
            <w:r w:rsidRPr="006F29F5">
              <w:rPr>
                <w:b/>
                <w:kern w:val="2"/>
                <w:sz w:val="20"/>
              </w:rPr>
              <w:t>Further Reading</w:t>
            </w:r>
          </w:p>
          <w:p w14:paraId="3CFC4158" w14:textId="0EC16EBC" w:rsidR="00F57540" w:rsidRPr="006F29F5" w:rsidRDefault="00F57540" w:rsidP="009053FD">
            <w:pPr>
              <w:jc w:val="left"/>
              <w:rPr>
                <w:kern w:val="2"/>
                <w:sz w:val="20"/>
              </w:rPr>
            </w:pPr>
            <w:r w:rsidRPr="006F29F5">
              <w:rPr>
                <w:kern w:val="2"/>
                <w:sz w:val="20"/>
              </w:rPr>
              <w:t>For more on Canada, see &lt;</w:t>
            </w:r>
            <w:hyperlink r:id="rId36" w:history="1">
              <w:r w:rsidRPr="006F29F5">
                <w:rPr>
                  <w:rStyle w:val="Hyperlink"/>
                  <w:kern w:val="2"/>
                  <w:sz w:val="20"/>
                </w:rPr>
                <w:t>http://star.worldbank.org/star/sites/star/files/Canada’s-Asset-Recovery-Tools-A-Practical-Guide.pdf</w:t>
              </w:r>
            </w:hyperlink>
            <w:r w:rsidRPr="006F29F5">
              <w:rPr>
                <w:kern w:val="2"/>
                <w:sz w:val="20"/>
              </w:rPr>
              <w:t>&gt;.</w:t>
            </w:r>
          </w:p>
        </w:tc>
      </w:tr>
    </w:tbl>
    <w:p w14:paraId="6BC3C573" w14:textId="171A16C1" w:rsidR="007A44FD" w:rsidRPr="006F29F5" w:rsidRDefault="007A44FD" w:rsidP="00F57540">
      <w:pPr>
        <w:pStyle w:val="Heading2"/>
        <w:rPr>
          <w:kern w:val="2"/>
          <w:sz w:val="24"/>
        </w:rPr>
      </w:pPr>
      <w:r w:rsidRPr="006F29F5">
        <w:rPr>
          <w:kern w:val="2"/>
          <w:sz w:val="24"/>
        </w:rPr>
        <w:t>A Typical Example of the Asset Recovery Process</w:t>
      </w:r>
      <w:bookmarkEnd w:id="43"/>
      <w:bookmarkEnd w:id="44"/>
    </w:p>
    <w:p w14:paraId="6AFF9849" w14:textId="3DB1B286" w:rsidR="002F3627" w:rsidRDefault="004872C0" w:rsidP="00C81ED8">
      <w:pPr>
        <w:autoSpaceDE w:val="0"/>
        <w:autoSpaceDN w:val="0"/>
        <w:adjustRightInd w:val="0"/>
        <w:rPr>
          <w:rFonts w:cs="Times New Roman"/>
          <w:kern w:val="2"/>
          <w:sz w:val="20"/>
        </w:rPr>
      </w:pPr>
      <w:r w:rsidRPr="006F29F5">
        <w:rPr>
          <w:rFonts w:cs="Times New Roman"/>
          <w:kern w:val="2"/>
          <w:sz w:val="20"/>
        </w:rPr>
        <w:t>Below is an e</w:t>
      </w:r>
      <w:r w:rsidR="002F3627" w:rsidRPr="006F29F5">
        <w:rPr>
          <w:rFonts w:cs="Times New Roman"/>
          <w:kern w:val="2"/>
          <w:sz w:val="20"/>
        </w:rPr>
        <w:t xml:space="preserve">xcerpt from a 2009 publication by the Basel Institute on Governance entitled, </w:t>
      </w:r>
      <w:r w:rsidR="002F3627" w:rsidRPr="006F29F5">
        <w:rPr>
          <w:rFonts w:cs="Times New Roman"/>
          <w:i/>
          <w:kern w:val="2"/>
          <w:sz w:val="20"/>
        </w:rPr>
        <w:t>Tracing Stolen Assets: A Practitioner's Handbook</w:t>
      </w:r>
      <w:r w:rsidR="00ED732A" w:rsidRPr="006F29F5">
        <w:rPr>
          <w:rFonts w:cs="Times New Roman"/>
          <w:kern w:val="2"/>
          <w:sz w:val="20"/>
        </w:rPr>
        <w:t>:</w:t>
      </w:r>
      <w:r w:rsidR="002F3627" w:rsidRPr="006F29F5">
        <w:rPr>
          <w:rStyle w:val="FootnoteReference"/>
          <w:rFonts w:cs="Times New Roman"/>
          <w:kern w:val="2"/>
          <w:sz w:val="20"/>
        </w:rPr>
        <w:footnoteReference w:id="179"/>
      </w:r>
    </w:p>
    <w:tbl>
      <w:tblPr>
        <w:tblStyle w:val="TableGrid"/>
        <w:tblpPr w:leftFromText="180" w:rightFromText="180" w:vertAnchor="text" w:tblpY="1"/>
        <w:tblOverlap w:val="never"/>
        <w:tblW w:w="0" w:type="auto"/>
        <w:tblCellMar>
          <w:top w:w="284" w:type="dxa"/>
          <w:left w:w="284" w:type="dxa"/>
          <w:bottom w:w="227" w:type="dxa"/>
          <w:right w:w="284" w:type="dxa"/>
        </w:tblCellMar>
        <w:tblLook w:val="04A0" w:firstRow="1" w:lastRow="0" w:firstColumn="1" w:lastColumn="0" w:noHBand="0" w:noVBand="1"/>
      </w:tblPr>
      <w:tblGrid>
        <w:gridCol w:w="8070"/>
      </w:tblGrid>
      <w:tr w:rsidR="006655E6" w14:paraId="20106142" w14:textId="77777777" w:rsidTr="006655E6">
        <w:tc>
          <w:tcPr>
            <w:tcW w:w="8070" w:type="dxa"/>
            <w:tcBorders>
              <w:top w:val="nil"/>
              <w:left w:val="nil"/>
              <w:bottom w:val="nil"/>
              <w:right w:val="nil"/>
            </w:tcBorders>
            <w:shd w:val="clear" w:color="auto" w:fill="D9D9D9" w:themeFill="background1" w:themeFillShade="D9"/>
          </w:tcPr>
          <w:p w14:paraId="6321C968" w14:textId="77777777" w:rsidR="006655E6" w:rsidRPr="006F29F5" w:rsidRDefault="006655E6" w:rsidP="006655E6">
            <w:pPr>
              <w:pStyle w:val="ExcerptMarker"/>
              <w:spacing w:before="0"/>
              <w:rPr>
                <w:kern w:val="2"/>
                <w:sz w:val="16"/>
              </w:rPr>
            </w:pPr>
            <w:r w:rsidRPr="006F29F5">
              <w:rPr>
                <w:kern w:val="2"/>
                <w:sz w:val="16"/>
              </w:rPr>
              <w:t>Beginning of Excerpt</w:t>
            </w:r>
          </w:p>
          <w:p w14:paraId="22387F43" w14:textId="77777777" w:rsidR="006655E6" w:rsidRPr="006F29F5" w:rsidRDefault="006655E6" w:rsidP="006655E6">
            <w:pPr>
              <w:autoSpaceDE w:val="0"/>
              <w:autoSpaceDN w:val="0"/>
              <w:adjustRightInd w:val="0"/>
              <w:rPr>
                <w:rFonts w:cs="Times New Roman"/>
                <w:b/>
                <w:bCs/>
                <w:kern w:val="2"/>
                <w:sz w:val="20"/>
              </w:rPr>
            </w:pPr>
            <w:r w:rsidRPr="006F29F5">
              <w:rPr>
                <w:rFonts w:cs="Times New Roman"/>
                <w:b/>
                <w:bCs/>
                <w:kern w:val="2"/>
                <w:sz w:val="20"/>
              </w:rPr>
              <w:t>1. Suspicious Transaction Report</w:t>
            </w:r>
          </w:p>
          <w:p w14:paraId="40608205" w14:textId="77777777" w:rsidR="006655E6" w:rsidRDefault="006655E6" w:rsidP="006655E6">
            <w:pPr>
              <w:autoSpaceDE w:val="0"/>
              <w:autoSpaceDN w:val="0"/>
              <w:adjustRightInd w:val="0"/>
              <w:spacing w:before="120"/>
              <w:rPr>
                <w:rFonts w:cs="Times New Roman"/>
                <w:kern w:val="2"/>
                <w:sz w:val="20"/>
              </w:rPr>
            </w:pPr>
            <w:r w:rsidRPr="006F29F5">
              <w:rPr>
                <w:rFonts w:cs="Times New Roman"/>
                <w:kern w:val="2"/>
                <w:sz w:val="20"/>
              </w:rPr>
              <w:t>The government of country A has just received an official letter from the Swiss government advising that one of their banks has received suspicious electronic funds transfers in excess of USD 8 million to an account held by the son of country A’s Deputy Minister of Internal Development. The account was opened 14 months ago. Under the Swiss bank’s money laundering controls with regard to Politically Exposed Persons (PEP), the transaction had been flagged as suspicious and a temporary freeze put on the funds. The letter stated that no additional information concerning this account can be disclosed at this time. However, upon receipt of an official mutual legal assistance (MLA) request, the account details may be provided following disclosure proceedings. The letter indicated that the request should include the nature of any criminal investigation being conducted in country A, the potential criminal violations, a summary of the investigative efforts and all additional MLA requirements. There have been rumours for many years that the Deputy Minister lives beyond his means but no investigation has ever been undertaken.</w:t>
            </w:r>
          </w:p>
          <w:p w14:paraId="42E68CFF" w14:textId="5168D2D5" w:rsidR="006655E6" w:rsidRPr="006F29F5" w:rsidRDefault="006655E6" w:rsidP="006655E6">
            <w:pPr>
              <w:autoSpaceDE w:val="0"/>
              <w:autoSpaceDN w:val="0"/>
              <w:adjustRightInd w:val="0"/>
              <w:spacing w:before="120"/>
              <w:rPr>
                <w:rFonts w:cs="Times New Roman"/>
                <w:b/>
                <w:bCs/>
                <w:kern w:val="2"/>
                <w:sz w:val="20"/>
              </w:rPr>
            </w:pPr>
            <w:r w:rsidRPr="006F29F5">
              <w:rPr>
                <w:rFonts w:cs="Times New Roman"/>
                <w:b/>
                <w:bCs/>
                <w:kern w:val="2"/>
                <w:sz w:val="20"/>
              </w:rPr>
              <w:t>2. Investigation planning and strategy</w:t>
            </w:r>
          </w:p>
          <w:p w14:paraId="7A9E2578" w14:textId="295BBD2D" w:rsidR="006655E6" w:rsidRPr="00CE7B82" w:rsidRDefault="006655E6" w:rsidP="00CE7B82">
            <w:pPr>
              <w:autoSpaceDE w:val="0"/>
              <w:autoSpaceDN w:val="0"/>
              <w:adjustRightInd w:val="0"/>
              <w:spacing w:before="0" w:after="0"/>
              <w:rPr>
                <w:rFonts w:cs="Times New Roman"/>
                <w:kern w:val="2"/>
                <w:sz w:val="2"/>
              </w:rPr>
            </w:pPr>
            <w:r w:rsidRPr="006F29F5">
              <w:rPr>
                <w:rFonts w:cs="Times New Roman"/>
                <w:kern w:val="2"/>
                <w:sz w:val="20"/>
              </w:rPr>
              <w:t>Is the information from the Swiss government important? What should be done first? Can a MLA request immediately be filed with the Swiss government to seize the bank account? Should the Deputy Minister be placed under investigation? These are all</w:t>
            </w:r>
            <w:r w:rsidR="00CE7B82">
              <w:rPr>
                <w:rFonts w:cs="Times New Roman"/>
                <w:kern w:val="2"/>
                <w:sz w:val="20"/>
              </w:rPr>
              <w:t xml:space="preserve"> </w:t>
            </w:r>
            <w:r w:rsidR="00CE7B82" w:rsidRPr="006F29F5">
              <w:rPr>
                <w:rFonts w:cs="Times New Roman"/>
                <w:kern w:val="2"/>
                <w:sz w:val="20"/>
              </w:rPr>
              <w:t>questions that need to be answered very quickly. The facts of each case will vary, and the investigative decisions and actions will depend on the individual circumstances.</w:t>
            </w:r>
            <w:r w:rsidR="00CE7B82">
              <w:rPr>
                <w:rFonts w:cs="Times New Roman"/>
                <w:kern w:val="2"/>
                <w:sz w:val="20"/>
              </w:rPr>
              <w:br/>
            </w:r>
          </w:p>
        </w:tc>
      </w:tr>
    </w:tbl>
    <w:p w14:paraId="03C53794" w14:textId="3E052A72" w:rsidR="006655E6" w:rsidRPr="006F29F5" w:rsidRDefault="006655E6" w:rsidP="006655E6">
      <w:pPr>
        <w:spacing w:before="0" w:after="200" w:line="276" w:lineRule="auto"/>
        <w:jc w:val="left"/>
        <w:rPr>
          <w:rFonts w:cs="Times New Roman"/>
          <w:kern w:val="2"/>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D62EE7" w:rsidRPr="006F29F5" w14:paraId="109F9D53" w14:textId="77777777" w:rsidTr="00CE7B82">
        <w:trPr>
          <w:jc w:val="center"/>
        </w:trPr>
        <w:tc>
          <w:tcPr>
            <w:tcW w:w="8080" w:type="dxa"/>
            <w:shd w:val="clear" w:color="auto" w:fill="D9D9D9" w:themeFill="background1" w:themeFillShade="D9"/>
          </w:tcPr>
          <w:p w14:paraId="4A45EECC" w14:textId="3D12D1D8" w:rsidR="00D62EE7" w:rsidRPr="006F29F5" w:rsidRDefault="00D62EE7" w:rsidP="00CE7B82">
            <w:pPr>
              <w:autoSpaceDE w:val="0"/>
              <w:autoSpaceDN w:val="0"/>
              <w:adjustRightInd w:val="0"/>
              <w:spacing w:before="0"/>
              <w:rPr>
                <w:rFonts w:cs="Times New Roman"/>
                <w:kern w:val="2"/>
                <w:sz w:val="20"/>
              </w:rPr>
            </w:pPr>
            <w:r w:rsidRPr="006F29F5">
              <w:rPr>
                <w:rFonts w:cs="Times New Roman"/>
                <w:kern w:val="2"/>
                <w:sz w:val="20"/>
              </w:rPr>
              <w:t>The legal system, criminal procedures code and investigative practices for each country will, to some degree, dictate the process to follow. However, to the extent possible, the decisions, based on the facts stated above, should be made quickly and coordinated through a multi-agency approach.</w:t>
            </w:r>
          </w:p>
          <w:p w14:paraId="77E6F4D4"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 xml:space="preserve">The first question that some may ask is ‘Can we seize the money and have it returned to our country?’ This would be a mistake to attempt to seize the money at this stage. One has no information that the money was illegally obtained. If a request is sent to the Swiss government to seize the funds, it would most likely be rejected because there has been no investigation and, in fact, there are not even any allegations – only rumours – </w:t>
            </w:r>
            <w:proofErr w:type="gramStart"/>
            <w:r w:rsidRPr="006F29F5">
              <w:rPr>
                <w:rFonts w:cs="Times New Roman"/>
                <w:kern w:val="2"/>
                <w:sz w:val="20"/>
              </w:rPr>
              <w:t>that</w:t>
            </w:r>
            <w:proofErr w:type="gramEnd"/>
            <w:r w:rsidRPr="006F29F5">
              <w:rPr>
                <w:rFonts w:cs="Times New Roman"/>
                <w:kern w:val="2"/>
                <w:sz w:val="20"/>
              </w:rPr>
              <w:t xml:space="preserve"> the Deputy Minister is living beyond his means. This request would only result in the loss of valuable time.</w:t>
            </w:r>
          </w:p>
          <w:p w14:paraId="724B585B"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The letter from the Swiss government indicated that a temporary freeze had been placed on the account. The first step would be to immediately contact the sender of the letter and ask some questions to clarify a few issues. What are the issues and who should make the call? The most important issue is how long will the temporary freeze be held on the account. The second key question would be: Has the Swiss government opened an official money laundering investigation? Once one knows how long the funds will remain frozen and whether extensions are possible, then one can more accurately plan one’s investigative steps and strategy. Knowing if the Swiss government has opened an official investigation will immediately tell the investigator if he or she has a partner in this potential investigation. This will lead to a more efficient sharing of information and evidence in the months to come.</w:t>
            </w:r>
          </w:p>
          <w:p w14:paraId="4F899843"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Who should make this initial call? The answer will depend on who received the letter – the central authority for MLA, the Ministry of Justice, the Foreign Affairs Office or some other agency. The executive structure of the government will certainly dictate the answer to this question. The important point is that a decision should be made to determine the appropriate person very quickly. Time is of the essence. These funds may only be frozen for five days or possibly for 90 days but the investigator needs this information so a call must be made. In this instance, one would place the phone call and speak with the prosecutor of the Confederation or of a Canton (a Swiss administrative subdivision of the country) who sent the letter. The investigator is informed that the freeze is for 60 days; eight days have already passed; the freeze can be extended for another 60 days if additional evidence is provided through proper legal channels. The investigator also learns that the prosecutor has opened an official money laundering investigation. The prosecutor advises the investigator that he cannot provide any additional details of the account until he receives an official MLA request which contains information to the effect that country A has taken investigative steps. He further states that the request must contain new information or evidence that has been gathered in country A. Simply returning the same information that he has provided in his letter in the first instance will not suffice.</w:t>
            </w:r>
          </w:p>
          <w:p w14:paraId="6CA33042" w14:textId="77777777" w:rsidR="00D62EE7" w:rsidRPr="006F29F5" w:rsidRDefault="00D62EE7" w:rsidP="00CE7B82">
            <w:pPr>
              <w:autoSpaceDE w:val="0"/>
              <w:autoSpaceDN w:val="0"/>
              <w:adjustRightInd w:val="0"/>
              <w:rPr>
                <w:rFonts w:cs="Times New Roman"/>
                <w:b/>
                <w:bCs/>
                <w:kern w:val="2"/>
                <w:sz w:val="20"/>
              </w:rPr>
            </w:pPr>
            <w:r w:rsidRPr="006F29F5">
              <w:rPr>
                <w:rFonts w:cs="Times New Roman"/>
                <w:b/>
                <w:bCs/>
                <w:kern w:val="2"/>
                <w:sz w:val="20"/>
              </w:rPr>
              <w:t>3. Pre-investigative steps</w:t>
            </w:r>
          </w:p>
          <w:p w14:paraId="4B7F3FB9"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A preliminary investigation should now be initiated by the lead agency – possibly the anti-corruption unit or some other appropriate agency depending on the structure of the government. This lead agency should quickly gather all available information during this pre-investigative stage. This will generally include information that can be obtained without making overt investigative inquires that would alert the public. All national law enforcement and commercial databases would be checked; inquiries would be made to other government and investigative agencies; the financial intelligence unit would be queried for suspicious transactions; and limited surveillance may be conducted to determine additional property that the Deputy Minister may own. The results of these pre-investigative inquiries disclosed the following:</w:t>
            </w:r>
          </w:p>
          <w:p w14:paraId="6BBC7DD6" w14:textId="77777777" w:rsidR="00D62EE7" w:rsidRPr="006F29F5" w:rsidRDefault="00D62EE7" w:rsidP="00CE7B82">
            <w:pPr>
              <w:pStyle w:val="ListParagraph"/>
              <w:numPr>
                <w:ilvl w:val="0"/>
                <w:numId w:val="22"/>
              </w:numPr>
              <w:autoSpaceDE w:val="0"/>
              <w:autoSpaceDN w:val="0"/>
              <w:adjustRightInd w:val="0"/>
              <w:rPr>
                <w:rFonts w:cs="Times New Roman"/>
                <w:b w:val="0"/>
                <w:kern w:val="2"/>
                <w:sz w:val="20"/>
              </w:rPr>
            </w:pPr>
            <w:r w:rsidRPr="006F29F5">
              <w:rPr>
                <w:rFonts w:cs="Times New Roman"/>
                <w:b w:val="0"/>
                <w:kern w:val="2"/>
                <w:sz w:val="20"/>
              </w:rPr>
              <w:t>The Deputy Minister’s government income is approximately USD 120,000 per year.</w:t>
            </w:r>
          </w:p>
          <w:p w14:paraId="39346E95" w14:textId="77777777" w:rsidR="00D62EE7" w:rsidRPr="006F29F5" w:rsidRDefault="00D62EE7" w:rsidP="00CE7B82">
            <w:pPr>
              <w:pStyle w:val="ListParagraph"/>
              <w:numPr>
                <w:ilvl w:val="0"/>
                <w:numId w:val="22"/>
              </w:numPr>
              <w:autoSpaceDE w:val="0"/>
              <w:autoSpaceDN w:val="0"/>
              <w:adjustRightInd w:val="0"/>
              <w:rPr>
                <w:rFonts w:cs="Times New Roman"/>
                <w:b w:val="0"/>
                <w:kern w:val="2"/>
                <w:sz w:val="20"/>
              </w:rPr>
            </w:pPr>
            <w:r w:rsidRPr="006F29F5">
              <w:rPr>
                <w:rFonts w:cs="Times New Roman"/>
                <w:b w:val="0"/>
                <w:kern w:val="2"/>
                <w:sz w:val="20"/>
              </w:rPr>
              <w:t>His required wealth disclosure statement indicates that he maintains a domestic bank account in the capital city of your country.</w:t>
            </w:r>
          </w:p>
          <w:p w14:paraId="2B831D13" w14:textId="77777777" w:rsidR="00D62EE7" w:rsidRPr="006F29F5" w:rsidRDefault="00D62EE7" w:rsidP="00CE7B82">
            <w:pPr>
              <w:pStyle w:val="ListParagraph"/>
              <w:numPr>
                <w:ilvl w:val="0"/>
                <w:numId w:val="22"/>
              </w:numPr>
              <w:autoSpaceDE w:val="0"/>
              <w:autoSpaceDN w:val="0"/>
              <w:adjustRightInd w:val="0"/>
              <w:rPr>
                <w:rFonts w:cs="Times New Roman"/>
                <w:b w:val="0"/>
                <w:kern w:val="2"/>
                <w:sz w:val="20"/>
              </w:rPr>
            </w:pPr>
            <w:r w:rsidRPr="006F29F5">
              <w:rPr>
                <w:rFonts w:cs="Times New Roman"/>
                <w:b w:val="0"/>
                <w:kern w:val="2"/>
                <w:sz w:val="20"/>
              </w:rPr>
              <w:t>His wife is unemployed and drives a Mercedes valued at USD 80,000.</w:t>
            </w:r>
          </w:p>
          <w:p w14:paraId="5FFF3EA9" w14:textId="77777777" w:rsidR="00D62EE7" w:rsidRPr="006F29F5" w:rsidRDefault="00D62EE7" w:rsidP="00CE7B82">
            <w:pPr>
              <w:pStyle w:val="ListParagraph"/>
              <w:numPr>
                <w:ilvl w:val="0"/>
                <w:numId w:val="22"/>
              </w:numPr>
              <w:autoSpaceDE w:val="0"/>
              <w:autoSpaceDN w:val="0"/>
              <w:adjustRightInd w:val="0"/>
              <w:rPr>
                <w:rFonts w:cs="Times New Roman"/>
                <w:b w:val="0"/>
                <w:kern w:val="2"/>
                <w:sz w:val="20"/>
              </w:rPr>
            </w:pPr>
            <w:r w:rsidRPr="006F29F5">
              <w:rPr>
                <w:rFonts w:cs="Times New Roman"/>
                <w:b w:val="0"/>
                <w:kern w:val="2"/>
                <w:sz w:val="20"/>
              </w:rPr>
              <w:t>He resides in a house that was purchased two years ago for USD 850,000 that currently has a mortgage of USD 300,000.</w:t>
            </w:r>
          </w:p>
          <w:p w14:paraId="5E13D4A6" w14:textId="77777777" w:rsidR="00D62EE7" w:rsidRPr="006F29F5" w:rsidRDefault="00D62EE7" w:rsidP="00CE7B82">
            <w:pPr>
              <w:pStyle w:val="ListParagraph"/>
              <w:numPr>
                <w:ilvl w:val="0"/>
                <w:numId w:val="22"/>
              </w:numPr>
              <w:autoSpaceDE w:val="0"/>
              <w:autoSpaceDN w:val="0"/>
              <w:adjustRightInd w:val="0"/>
              <w:rPr>
                <w:rFonts w:cs="Times New Roman"/>
                <w:b w:val="0"/>
                <w:kern w:val="2"/>
                <w:sz w:val="20"/>
              </w:rPr>
            </w:pPr>
            <w:r w:rsidRPr="006F29F5">
              <w:rPr>
                <w:rFonts w:cs="Times New Roman"/>
                <w:b w:val="0"/>
                <w:kern w:val="2"/>
                <w:sz w:val="20"/>
              </w:rPr>
              <w:t>He has two sons who both attend universities in the United Kingdom (UK).</w:t>
            </w:r>
          </w:p>
          <w:p w14:paraId="39D1DCCA" w14:textId="77777777" w:rsidR="00D62EE7" w:rsidRPr="006F29F5" w:rsidRDefault="00D62EE7" w:rsidP="00CE7B82">
            <w:pPr>
              <w:pStyle w:val="ListParagraph"/>
              <w:numPr>
                <w:ilvl w:val="0"/>
                <w:numId w:val="22"/>
              </w:numPr>
              <w:autoSpaceDE w:val="0"/>
              <w:autoSpaceDN w:val="0"/>
              <w:adjustRightInd w:val="0"/>
              <w:rPr>
                <w:rFonts w:cs="Times New Roman"/>
                <w:b w:val="0"/>
                <w:kern w:val="2"/>
                <w:sz w:val="20"/>
              </w:rPr>
            </w:pPr>
            <w:r w:rsidRPr="006F29F5">
              <w:rPr>
                <w:rFonts w:cs="Times New Roman"/>
                <w:b w:val="0"/>
                <w:kern w:val="2"/>
                <w:sz w:val="20"/>
              </w:rPr>
              <w:t>His office has awarded 23 sole source contracts in the last three years for infrastructure development projects totally in excess of USD 195 million.</w:t>
            </w:r>
          </w:p>
          <w:p w14:paraId="43100E38"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Based on these facts, the Director of the lead agency initiates a full investigation.</w:t>
            </w:r>
          </w:p>
          <w:p w14:paraId="59FE5634" w14:textId="77777777" w:rsidR="00D62EE7" w:rsidRPr="006F29F5" w:rsidRDefault="00D62EE7" w:rsidP="00CE7B82">
            <w:pPr>
              <w:autoSpaceDE w:val="0"/>
              <w:autoSpaceDN w:val="0"/>
              <w:adjustRightInd w:val="0"/>
              <w:rPr>
                <w:rFonts w:cs="Times New Roman"/>
                <w:b/>
                <w:bCs/>
                <w:kern w:val="2"/>
                <w:sz w:val="20"/>
              </w:rPr>
            </w:pPr>
            <w:r w:rsidRPr="006F29F5">
              <w:rPr>
                <w:rFonts w:cs="Times New Roman"/>
                <w:b/>
                <w:bCs/>
                <w:kern w:val="2"/>
                <w:sz w:val="20"/>
              </w:rPr>
              <w:t>(1) Communication with foreign counterparts</w:t>
            </w:r>
          </w:p>
          <w:p w14:paraId="0D3DFD42"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The pre-investigation stage took 40 days to complete. Now that a full investigation has been authorised, what steps should be immediately taken? What is the status of the frozen funds in Switzerland? In 12 days’ time, the freeze will be lifted and the funds can be moved around the world in a matter of minutes through electronic funds transfers. The preparation of a formal MLA request, processing it through the central authority, transmitting it to the central authority of Switzerland and having it forwarded to the prosecutor will take at least one month. What options does the investigator have to prevent the freeze from being lifted and the funds disappearing? The answer is simple. It is again based on communication and developing a relationship with your foreign counterparts. The prosecutor in Switzerland had previously advised that the freeze could be extended for an additional 60 days, based on new evidence. A telephone call should be placed to the prosecutor, asking him for advice on the best way forward. The investigator then learns that the prosecutor will accept a letter stating that an investigation is underway in country A, additional information has been obtained on the Deputy Minister and that the investigator is in the process of filing a formal MLA request. He advises that once this letter is received, he can extend the freeze on the account. He also states that the freeze can be continued as more evidence is developed. This letter must now be prepared and immediately sent to the Swiss prosecutor to protect the assets from being moved.</w:t>
            </w:r>
          </w:p>
          <w:p w14:paraId="1E2983D4" w14:textId="77777777" w:rsidR="00D62EE7" w:rsidRPr="006F29F5" w:rsidRDefault="00D62EE7" w:rsidP="00CE7B82">
            <w:pPr>
              <w:autoSpaceDE w:val="0"/>
              <w:autoSpaceDN w:val="0"/>
              <w:adjustRightInd w:val="0"/>
              <w:rPr>
                <w:rFonts w:cs="Times New Roman"/>
                <w:b/>
                <w:bCs/>
                <w:kern w:val="2"/>
                <w:sz w:val="20"/>
              </w:rPr>
            </w:pPr>
            <w:r w:rsidRPr="006F29F5">
              <w:rPr>
                <w:rFonts w:cs="Times New Roman"/>
                <w:b/>
                <w:bCs/>
                <w:kern w:val="2"/>
                <w:sz w:val="20"/>
              </w:rPr>
              <w:t>(2) Compilation of MLA request</w:t>
            </w:r>
          </w:p>
          <w:p w14:paraId="39B30DFE"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At the same time, a formal MLA request must be prepared and submitted to the Swiss government. What format should be used for this request? How should it be transmitted? What actions should be requested?</w:t>
            </w:r>
          </w:p>
          <w:p w14:paraId="252CA909" w14:textId="77777777" w:rsidR="00D62EE7" w:rsidRPr="006F29F5" w:rsidRDefault="00D62EE7" w:rsidP="00CE7B82">
            <w:pPr>
              <w:autoSpaceDE w:val="0"/>
              <w:autoSpaceDN w:val="0"/>
              <w:adjustRightInd w:val="0"/>
              <w:rPr>
                <w:rFonts w:cs="Times New Roman"/>
                <w:b/>
                <w:bCs/>
                <w:kern w:val="2"/>
                <w:sz w:val="20"/>
              </w:rPr>
            </w:pPr>
            <w:r w:rsidRPr="006F29F5">
              <w:rPr>
                <w:rFonts w:cs="Times New Roman"/>
                <w:b/>
                <w:bCs/>
                <w:kern w:val="2"/>
                <w:sz w:val="20"/>
              </w:rPr>
              <w:t>Format of request</w:t>
            </w:r>
          </w:p>
          <w:p w14:paraId="3D5D76FE"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The answer to the first question is relatively easy. There are 192 member countries of the United Nations and a few other countries with limited international recognition. So how would one know what MLA format each country needs? Again, communication is the key to fast and efficient international cooperation. Prior to drafting the MLA request, place a call to the central authority of the requested country and ask for their MLA template, explain the request, seek advice and finally inquire if an advance email copy of the MLA request can be sent to them for their review. Most jurisdictions will be pleased to assist an investigator with the formatting, substantive requirements and general guidance. Without taking this very simple step, one risks losing months of valuable time if one’s MLA request is rejected and returned for corrections.</w:t>
            </w:r>
          </w:p>
          <w:p w14:paraId="45AAB501" w14:textId="77777777" w:rsidR="00D62EE7" w:rsidRPr="006F29F5" w:rsidRDefault="00D62EE7" w:rsidP="00CE7B82">
            <w:pPr>
              <w:autoSpaceDE w:val="0"/>
              <w:autoSpaceDN w:val="0"/>
              <w:adjustRightInd w:val="0"/>
              <w:rPr>
                <w:rFonts w:cs="Times New Roman"/>
                <w:b/>
                <w:bCs/>
                <w:kern w:val="2"/>
                <w:sz w:val="20"/>
              </w:rPr>
            </w:pPr>
            <w:r w:rsidRPr="006F29F5">
              <w:rPr>
                <w:rFonts w:cs="Times New Roman"/>
                <w:b/>
                <w:bCs/>
                <w:kern w:val="2"/>
                <w:sz w:val="20"/>
              </w:rPr>
              <w:t>Transmittal of request</w:t>
            </w:r>
          </w:p>
          <w:p w14:paraId="40EED32F"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The second question, namely, how should it be transmitted, is critical. The courts in many jurisdictions will not allow evidence obtained from a foreign country to be admitted unless it is obtained through the proper channels. Each country should have a central authority. This is the designated government body that is authorised to send and receive MLA requests. For example, the United Nations Convention against Corruption (UNCAC) (Article 46 paragraph 13) requires that ‘Each State Party shall designate a central authority that shall have the responsibility and power to receive requests for mutual legal assistance and either to execute them or to transmit them to the competent authorities for execution.’</w:t>
            </w:r>
          </w:p>
          <w:p w14:paraId="25289A87"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The Article continues to explain that ‘The Secretary-General of the United Nations shall be notified of the central authority designated for this purpose at the time each State Party deposits its instrument of ratification, acceptance or approval of or accession to this Convention. Requests for mutual legal assistance and any communication related thereto shall be transmitted to the central authorities designated by the States Parties.’</w:t>
            </w:r>
          </w:p>
          <w:p w14:paraId="21BCE877" w14:textId="77777777" w:rsidR="00D62EE7" w:rsidRPr="006F29F5" w:rsidRDefault="00D62EE7" w:rsidP="00CE7B82">
            <w:pPr>
              <w:autoSpaceDE w:val="0"/>
              <w:autoSpaceDN w:val="0"/>
              <w:adjustRightInd w:val="0"/>
              <w:rPr>
                <w:rFonts w:cs="Times New Roman"/>
                <w:b/>
                <w:bCs/>
                <w:kern w:val="2"/>
                <w:sz w:val="20"/>
              </w:rPr>
            </w:pPr>
            <w:r w:rsidRPr="006F29F5">
              <w:rPr>
                <w:rFonts w:cs="Times New Roman"/>
                <w:b/>
                <w:bCs/>
                <w:kern w:val="2"/>
                <w:sz w:val="20"/>
              </w:rPr>
              <w:t>Nature of requested actions</w:t>
            </w:r>
          </w:p>
          <w:p w14:paraId="672ED247"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The third question, namely, what actions should be requested, is also of great importance. The investigator knows that there is a bank account in Switzerland that is held in the name of the son; there are incoming electronic funds transfers into the account in excess of USD eight million; the Deputy Minister has two sons, both of whom are students; and the account is currently frozen. One may want to confiscate the funds in the account and have them immediately repatriated to your country but it is probably premature to request these actions. There are two main activities that one should request. Firstly, based on the limited evidence that has been gathered through one’s pre-investigation, one would like to have the freeze order extended on the account while the full-scale investigation progresses. Secondly, the records of the bank account should be requested for a specific period of time – in this case, from the opening of the account 14 months ago to the present. What records should be requested? This is a critical question. One’s request should be very specific and also provide for follow-up inquires if appropriate. When requesting the specific documentation, the investigator may want to consider using language such as ‘including but not limited to’. This gives the receiver of the request a definite list of required documents but allows them to provide additional related documents of which you may not have been aware. In this case, one will want to request items such as the following:</w:t>
            </w:r>
          </w:p>
          <w:p w14:paraId="0A45DEB7" w14:textId="77777777" w:rsidR="00D62EE7" w:rsidRPr="006F29F5" w:rsidRDefault="00D62EE7" w:rsidP="00CE7B82">
            <w:pPr>
              <w:pStyle w:val="ListParagraph"/>
              <w:numPr>
                <w:ilvl w:val="0"/>
                <w:numId w:val="23"/>
              </w:numPr>
              <w:autoSpaceDE w:val="0"/>
              <w:autoSpaceDN w:val="0"/>
              <w:adjustRightInd w:val="0"/>
              <w:rPr>
                <w:rFonts w:cs="Times New Roman"/>
                <w:b w:val="0"/>
                <w:kern w:val="2"/>
                <w:sz w:val="20"/>
              </w:rPr>
            </w:pPr>
            <w:r w:rsidRPr="006F29F5">
              <w:rPr>
                <w:rFonts w:cs="Times New Roman"/>
                <w:b w:val="0"/>
                <w:kern w:val="2"/>
                <w:sz w:val="20"/>
              </w:rPr>
              <w:t>The account opening documentation (know your customer information) and any due diligence that may have been conducted as a result of the PEP rules that are in place</w:t>
            </w:r>
          </w:p>
          <w:p w14:paraId="357DBBB1" w14:textId="77777777" w:rsidR="00D62EE7" w:rsidRPr="006F29F5" w:rsidRDefault="00D62EE7" w:rsidP="00CE7B82">
            <w:pPr>
              <w:pStyle w:val="ListParagraph"/>
              <w:numPr>
                <w:ilvl w:val="0"/>
                <w:numId w:val="23"/>
              </w:numPr>
              <w:autoSpaceDE w:val="0"/>
              <w:autoSpaceDN w:val="0"/>
              <w:adjustRightInd w:val="0"/>
              <w:rPr>
                <w:rFonts w:cs="Times New Roman"/>
                <w:b w:val="0"/>
                <w:kern w:val="2"/>
                <w:sz w:val="20"/>
              </w:rPr>
            </w:pPr>
            <w:r w:rsidRPr="006F29F5">
              <w:rPr>
                <w:rFonts w:cs="Times New Roman"/>
                <w:b w:val="0"/>
                <w:kern w:val="2"/>
                <w:sz w:val="20"/>
              </w:rPr>
              <w:t>Information from the bank explaining why the transactions were considered to be suspicious</w:t>
            </w:r>
          </w:p>
          <w:p w14:paraId="33964B65" w14:textId="77777777" w:rsidR="00D62EE7" w:rsidRPr="006F29F5" w:rsidRDefault="00D62EE7" w:rsidP="00CE7B82">
            <w:pPr>
              <w:pStyle w:val="ListParagraph"/>
              <w:numPr>
                <w:ilvl w:val="0"/>
                <w:numId w:val="23"/>
              </w:numPr>
              <w:autoSpaceDE w:val="0"/>
              <w:autoSpaceDN w:val="0"/>
              <w:adjustRightInd w:val="0"/>
              <w:rPr>
                <w:rFonts w:cs="Times New Roman"/>
                <w:b w:val="0"/>
                <w:kern w:val="2"/>
                <w:sz w:val="20"/>
              </w:rPr>
            </w:pPr>
            <w:r w:rsidRPr="006F29F5">
              <w:rPr>
                <w:rFonts w:cs="Times New Roman"/>
                <w:b w:val="0"/>
                <w:kern w:val="2"/>
                <w:sz w:val="20"/>
              </w:rPr>
              <w:t>All bank account periodic statements</w:t>
            </w:r>
          </w:p>
          <w:p w14:paraId="27D73038" w14:textId="77777777" w:rsidR="00D62EE7" w:rsidRPr="006F29F5" w:rsidRDefault="00D62EE7" w:rsidP="00CE7B82">
            <w:pPr>
              <w:pStyle w:val="ListParagraph"/>
              <w:numPr>
                <w:ilvl w:val="0"/>
                <w:numId w:val="23"/>
              </w:numPr>
              <w:autoSpaceDE w:val="0"/>
              <w:autoSpaceDN w:val="0"/>
              <w:adjustRightInd w:val="0"/>
              <w:rPr>
                <w:rFonts w:cs="Times New Roman"/>
                <w:b w:val="0"/>
                <w:kern w:val="2"/>
                <w:sz w:val="20"/>
              </w:rPr>
            </w:pPr>
            <w:r w:rsidRPr="006F29F5">
              <w:rPr>
                <w:rFonts w:cs="Times New Roman"/>
                <w:b w:val="0"/>
                <w:kern w:val="2"/>
                <w:sz w:val="20"/>
              </w:rPr>
              <w:t>The details of all items credited to the account. This would include the specifics of all electronic funds transfers, showing the original bank and account name and number. Knowing the specific source of each deposit is extremely critical</w:t>
            </w:r>
          </w:p>
          <w:p w14:paraId="0561959C" w14:textId="77777777" w:rsidR="00D62EE7" w:rsidRPr="006F29F5" w:rsidRDefault="00D62EE7" w:rsidP="00CE7B82">
            <w:pPr>
              <w:pStyle w:val="ListParagraph"/>
              <w:numPr>
                <w:ilvl w:val="0"/>
                <w:numId w:val="23"/>
              </w:numPr>
              <w:autoSpaceDE w:val="0"/>
              <w:autoSpaceDN w:val="0"/>
              <w:adjustRightInd w:val="0"/>
              <w:rPr>
                <w:rFonts w:cs="Times New Roman"/>
                <w:b w:val="0"/>
                <w:kern w:val="2"/>
                <w:sz w:val="20"/>
              </w:rPr>
            </w:pPr>
            <w:r w:rsidRPr="006F29F5">
              <w:rPr>
                <w:rFonts w:cs="Times New Roman"/>
                <w:b w:val="0"/>
                <w:kern w:val="2"/>
                <w:sz w:val="20"/>
              </w:rPr>
              <w:t>The details of all debit items. Again, this would include the ultimate beneficiary of any electronic funds transfers</w:t>
            </w:r>
          </w:p>
          <w:p w14:paraId="0BB53D2B" w14:textId="77777777" w:rsidR="00D62EE7" w:rsidRPr="006F29F5" w:rsidRDefault="00D62EE7" w:rsidP="00CE7B82">
            <w:pPr>
              <w:pStyle w:val="ListParagraph"/>
              <w:numPr>
                <w:ilvl w:val="0"/>
                <w:numId w:val="23"/>
              </w:numPr>
              <w:autoSpaceDE w:val="0"/>
              <w:autoSpaceDN w:val="0"/>
              <w:adjustRightInd w:val="0"/>
              <w:rPr>
                <w:rFonts w:cs="Times New Roman"/>
                <w:b w:val="0"/>
                <w:kern w:val="2"/>
                <w:sz w:val="20"/>
              </w:rPr>
            </w:pPr>
            <w:r w:rsidRPr="006F29F5">
              <w:rPr>
                <w:rFonts w:cs="Times New Roman"/>
                <w:b w:val="0"/>
                <w:kern w:val="2"/>
                <w:sz w:val="20"/>
              </w:rPr>
              <w:t>All correspondence files. This is often where the best evidence is obtained, particularly if an account manager is assigned to the client. Small notes or formal documentation that may have been placed in the file by the account manager could disclose personal relationships, the purpose of transactions or false statements concerning the person’s background or business. These false statements can later be used as evidence to proof the concealed purpose of the account activities</w:t>
            </w:r>
          </w:p>
          <w:p w14:paraId="42F856A4" w14:textId="77777777" w:rsidR="00D62EE7" w:rsidRPr="006F29F5" w:rsidRDefault="00D62EE7" w:rsidP="00CE7B82">
            <w:pPr>
              <w:pStyle w:val="ListParagraph"/>
              <w:numPr>
                <w:ilvl w:val="0"/>
                <w:numId w:val="23"/>
              </w:numPr>
              <w:autoSpaceDE w:val="0"/>
              <w:autoSpaceDN w:val="0"/>
              <w:adjustRightInd w:val="0"/>
              <w:rPr>
                <w:rFonts w:cs="Times New Roman"/>
                <w:b w:val="0"/>
                <w:kern w:val="2"/>
                <w:sz w:val="20"/>
              </w:rPr>
            </w:pPr>
            <w:r w:rsidRPr="006F29F5">
              <w:rPr>
                <w:rFonts w:cs="Times New Roman"/>
                <w:b w:val="0"/>
                <w:kern w:val="2"/>
                <w:sz w:val="20"/>
              </w:rPr>
              <w:t>Loan Files. This may be the source of numerous additional leads. If the person obtained a loan from the bank, there will probably be a loan application that lists the source of income, assets, personal references and other loans</w:t>
            </w:r>
          </w:p>
          <w:p w14:paraId="4C209803" w14:textId="77777777" w:rsidR="00D62EE7" w:rsidRPr="006F29F5" w:rsidRDefault="00D62EE7" w:rsidP="00CE7B82">
            <w:pPr>
              <w:pStyle w:val="ListParagraph"/>
              <w:numPr>
                <w:ilvl w:val="0"/>
                <w:numId w:val="23"/>
              </w:numPr>
              <w:autoSpaceDE w:val="0"/>
              <w:autoSpaceDN w:val="0"/>
              <w:adjustRightInd w:val="0"/>
              <w:rPr>
                <w:rFonts w:cs="Times New Roman"/>
                <w:b w:val="0"/>
                <w:kern w:val="2"/>
                <w:sz w:val="20"/>
              </w:rPr>
            </w:pPr>
            <w:r w:rsidRPr="006F29F5">
              <w:rPr>
                <w:rFonts w:cs="Times New Roman"/>
                <w:b w:val="0"/>
                <w:kern w:val="2"/>
                <w:sz w:val="20"/>
              </w:rPr>
              <w:t>Credit card statements, application and payment history. This information often needs to be requested specifically. The bank may not routinely provide credit card information when bank records are requested. The payment history on credit cards may be of particular interest. Payments on the account may originate from cash, another account or a seemingly unrelated company</w:t>
            </w:r>
          </w:p>
          <w:p w14:paraId="19747B0A"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The MLA request should also ask that any leads to other accounts, persons or entities within the country’s jurisdiction be followed. Communication is again the key to this type of extended request. Discussions with the central authority or prosecutor prior to filing the MLA request will provide the investigator with information relating to how far he or she can expand the request. It will also strengthen one’s relationship with the authorities in the foreign jurisdiction, and provide the basis for future collaboration on additional investigative action. For example, the bank information may lead to large payments being made to a person in the same country. If the MLA request covered the possibility of following leads, then an interview may be conducted with the recipient of the funds, and one could be closely involved either through the submission of a detailed list of questions or even participation in the interview if so invited by the requested country.</w:t>
            </w:r>
          </w:p>
          <w:p w14:paraId="5511FE5F" w14:textId="77777777" w:rsidR="00622C97" w:rsidRDefault="00D62EE7" w:rsidP="00622C97">
            <w:pPr>
              <w:autoSpaceDE w:val="0"/>
              <w:autoSpaceDN w:val="0"/>
              <w:adjustRightInd w:val="0"/>
              <w:spacing w:before="120"/>
              <w:rPr>
                <w:rFonts w:cs="Times New Roman"/>
                <w:b/>
                <w:bCs/>
                <w:kern w:val="2"/>
                <w:sz w:val="20"/>
              </w:rPr>
            </w:pPr>
            <w:r w:rsidRPr="006F29F5">
              <w:rPr>
                <w:rFonts w:cs="Times New Roman"/>
                <w:kern w:val="2"/>
                <w:sz w:val="20"/>
              </w:rPr>
              <w:t xml:space="preserve">Regarding the requested bank records, in most cases, the investigator will not know the volume of records contained in the account until the bank researches its files. It is usually advisable to request all possible records that may be pertinent to the case but to control the delivery of these records to the investigator as he or she assesses their relevance. For example, if the account turns out to be in respect of an active business, it may contain hundreds or thousands of records for each month, many of which may not be of interest to your investigation. If possible, start by asking the bank to provide one with only the bank statements and significant transactions such as the large electronic transfers. The bank will still be under </w:t>
            </w:r>
            <w:r w:rsidRPr="006F29F5">
              <w:rPr>
                <w:rFonts w:cs="Times New Roman"/>
                <w:i/>
                <w:iCs/>
                <w:kern w:val="2"/>
                <w:sz w:val="20"/>
              </w:rPr>
              <w:t xml:space="preserve">subpoena </w:t>
            </w:r>
            <w:r w:rsidRPr="006F29F5">
              <w:rPr>
                <w:rFonts w:cs="Times New Roman"/>
                <w:kern w:val="2"/>
                <w:sz w:val="20"/>
              </w:rPr>
              <w:t>or a compulsion order to supply all records but they will only be asked to research the records as one determines the need. This will allow the investigator to quickly study the summary records (bank statements) and make an investigative decision on what records he or she would like to review next. If one asks to receive all records at once, one may wait months for the bank to gather these records and then find out that one is in possession of thousands of documents, m</w:t>
            </w:r>
            <w:r w:rsidR="00907C06" w:rsidRPr="006F29F5">
              <w:rPr>
                <w:rFonts w:cs="Times New Roman"/>
                <w:kern w:val="2"/>
                <w:sz w:val="20"/>
              </w:rPr>
              <w:t>any of which have little value.</w:t>
            </w:r>
            <w:r w:rsidR="00622C97" w:rsidRPr="006F29F5">
              <w:rPr>
                <w:rFonts w:cs="Times New Roman"/>
                <w:b/>
                <w:bCs/>
                <w:kern w:val="2"/>
                <w:sz w:val="20"/>
              </w:rPr>
              <w:t xml:space="preserve"> </w:t>
            </w:r>
          </w:p>
          <w:p w14:paraId="462B2DE3" w14:textId="2E585E4D" w:rsidR="00622C97" w:rsidRPr="006F29F5" w:rsidRDefault="00622C97" w:rsidP="00622C97">
            <w:pPr>
              <w:autoSpaceDE w:val="0"/>
              <w:autoSpaceDN w:val="0"/>
              <w:adjustRightInd w:val="0"/>
              <w:spacing w:before="120"/>
              <w:rPr>
                <w:rFonts w:cs="Times New Roman"/>
                <w:b/>
                <w:bCs/>
                <w:kern w:val="2"/>
                <w:sz w:val="20"/>
              </w:rPr>
            </w:pPr>
            <w:r w:rsidRPr="006F29F5">
              <w:rPr>
                <w:rFonts w:cs="Times New Roman"/>
                <w:b/>
                <w:bCs/>
                <w:kern w:val="2"/>
                <w:sz w:val="20"/>
              </w:rPr>
              <w:t>(3) Prioritisation of leads</w:t>
            </w:r>
          </w:p>
          <w:p w14:paraId="018C434C" w14:textId="77777777" w:rsidR="00622C97" w:rsidRPr="006F29F5" w:rsidRDefault="00622C97" w:rsidP="00622C97">
            <w:pPr>
              <w:autoSpaceDE w:val="0"/>
              <w:autoSpaceDN w:val="0"/>
              <w:adjustRightInd w:val="0"/>
              <w:rPr>
                <w:rFonts w:cs="Times New Roman"/>
                <w:kern w:val="2"/>
                <w:sz w:val="20"/>
              </w:rPr>
            </w:pPr>
            <w:r w:rsidRPr="006F29F5">
              <w:rPr>
                <w:rFonts w:cs="Times New Roman"/>
                <w:kern w:val="2"/>
                <w:sz w:val="20"/>
              </w:rPr>
              <w:t>With the guidance of the central authority in Switzerland, the investigator has now prepared and filed a complete and accurate MLA request. What is the next investigative step that should be taken? There are a number of leads that can be followed, based on the information that was discovered during the pre-investigation stage. It would be advisable to prioritise this information and select which leads may result in the development of the most significant evidence in a timely manner.</w:t>
            </w:r>
          </w:p>
          <w:p w14:paraId="7CFE6850" w14:textId="77777777" w:rsidR="00622C97" w:rsidRPr="006F29F5" w:rsidRDefault="00622C97" w:rsidP="00622C97">
            <w:pPr>
              <w:autoSpaceDE w:val="0"/>
              <w:autoSpaceDN w:val="0"/>
              <w:adjustRightInd w:val="0"/>
              <w:rPr>
                <w:rFonts w:cs="Times New Roman"/>
                <w:b/>
                <w:bCs/>
                <w:kern w:val="2"/>
                <w:sz w:val="20"/>
              </w:rPr>
            </w:pPr>
            <w:r w:rsidRPr="006F29F5">
              <w:rPr>
                <w:rFonts w:cs="Times New Roman"/>
                <w:b/>
                <w:bCs/>
                <w:kern w:val="2"/>
                <w:sz w:val="20"/>
              </w:rPr>
              <w:t>Personal residence</w:t>
            </w:r>
          </w:p>
          <w:p w14:paraId="0F267702" w14:textId="77777777" w:rsidR="00D62EE7" w:rsidRDefault="00622C97" w:rsidP="00622C97">
            <w:pPr>
              <w:autoSpaceDE w:val="0"/>
              <w:autoSpaceDN w:val="0"/>
              <w:adjustRightInd w:val="0"/>
              <w:rPr>
                <w:rFonts w:cs="Times New Roman"/>
                <w:kern w:val="2"/>
                <w:sz w:val="20"/>
              </w:rPr>
            </w:pPr>
            <w:r w:rsidRPr="006F29F5">
              <w:rPr>
                <w:rFonts w:cs="Times New Roman"/>
                <w:kern w:val="2"/>
                <w:sz w:val="20"/>
              </w:rPr>
              <w:t>How shall the investigator now proceed? The personal residence is a very interesting situation because it was purchased just two years ago for USD 850,000 and the current loan balance is only USD 300,000. Therefore, USD 550,000 has been paid toward the purchase price of the house, either through large payments in the past two years or as a very large initial payment at the time of purchase. The detailed financial information relating to the purchase may be fairly easy to obtain because the house was purchased through a licensed Notary Public and the loan (mortgage) was obtained at a major bank. This bank may maintain detailed records of the transaction since they financed a significant amount and should have conducted due diligence which may have included the source of the initial payment. The Notary Public may also have records of the complete transaction. In some countries, it is customary to use ‘title companies’ or ‘closing agents’ that act as an escrow agent or middleman to facilitate the purchase of the property between the buyer and seller. These entities also maintain complete records of all money flows between the buyers, sellers, taxing authorities and financial institutions. The seller of the property should also be interviewed to obtain the complete details of the transaction, including the method of payment for the house.</w:t>
            </w:r>
          </w:p>
          <w:p w14:paraId="7C3472B6" w14:textId="77777777" w:rsidR="00622C97" w:rsidRPr="006F29F5" w:rsidRDefault="00622C97" w:rsidP="00622C97">
            <w:pPr>
              <w:autoSpaceDE w:val="0"/>
              <w:autoSpaceDN w:val="0"/>
              <w:adjustRightInd w:val="0"/>
              <w:rPr>
                <w:rFonts w:cs="Times New Roman"/>
                <w:b/>
                <w:bCs/>
                <w:kern w:val="2"/>
                <w:sz w:val="20"/>
              </w:rPr>
            </w:pPr>
            <w:r w:rsidRPr="006F29F5">
              <w:rPr>
                <w:rFonts w:cs="Times New Roman"/>
                <w:b/>
                <w:bCs/>
                <w:kern w:val="2"/>
                <w:sz w:val="20"/>
              </w:rPr>
              <w:t>Cash flow analysis</w:t>
            </w:r>
          </w:p>
          <w:p w14:paraId="0321AB27" w14:textId="77777777" w:rsidR="00622C97" w:rsidRPr="006F29F5" w:rsidRDefault="00622C97" w:rsidP="00622C97">
            <w:pPr>
              <w:autoSpaceDE w:val="0"/>
              <w:autoSpaceDN w:val="0"/>
              <w:adjustRightInd w:val="0"/>
              <w:rPr>
                <w:rFonts w:cs="Times New Roman"/>
                <w:kern w:val="2"/>
                <w:sz w:val="20"/>
              </w:rPr>
            </w:pPr>
            <w:r w:rsidRPr="006F29F5">
              <w:rPr>
                <w:rFonts w:cs="Times New Roman"/>
                <w:kern w:val="2"/>
                <w:sz w:val="20"/>
              </w:rPr>
              <w:t xml:space="preserve">The Deputy Minister maintains a bank account at a domestic financial institution. The records of this account should be requested very early in the investigation because it may require a significant amount of time for the bank to research the records. The same type of records should be requested for this account as was indicated for the Swiss account above. If the government salary of the Deputy Minister has been deposited into this domestic account, it will be important to perform a complete analysis to establish how his legitimate salary has been spent. A cash flow analysis relating to any cash withdrawals or deposits should also be prepared. Once these financial flows have been analysed, it will create a complete picture of the distribution of his legal funds and show how much cash was available for purchases. This may be very significant if expenditures are later identified from unknown or illegal funds. Large cash payments or purchases from unknown sources may be an important piece of evidence at trial. </w:t>
            </w:r>
          </w:p>
          <w:p w14:paraId="3DAFB489" w14:textId="77777777" w:rsidR="00622C97" w:rsidRPr="006F29F5" w:rsidRDefault="00622C97" w:rsidP="00622C97">
            <w:pPr>
              <w:autoSpaceDE w:val="0"/>
              <w:autoSpaceDN w:val="0"/>
              <w:adjustRightInd w:val="0"/>
              <w:rPr>
                <w:rFonts w:cs="Times New Roman"/>
                <w:kern w:val="2"/>
                <w:sz w:val="20"/>
              </w:rPr>
            </w:pPr>
            <w:r w:rsidRPr="006F29F5">
              <w:rPr>
                <w:rFonts w:cs="Times New Roman"/>
                <w:kern w:val="2"/>
                <w:sz w:val="20"/>
              </w:rPr>
              <w:t>Corruption cases are often difficult to prove through direct evidence because the perpetrators are skilled and devious schemers who may utilise the services of lawyers and accountants to disguise the trail of the funds. Painting the complete financial picture of the corrupt official and isolating his legal income to more clearly identify expenditures from unknown sources can be important facts when presented at trial. This type of circumstantial evidence will, of course, have to be combined with other evidence – pieces of the puzzle – to demonstrate that the money flows from unknown sources came from illegal or corrupt activities. The Organisation for Economic Cooperation and Development (OECD) has stated</w:t>
            </w:r>
          </w:p>
          <w:p w14:paraId="08D3D2F0" w14:textId="77777777" w:rsidR="00622C97" w:rsidRPr="006F29F5" w:rsidRDefault="00622C97" w:rsidP="00622C97">
            <w:pPr>
              <w:pStyle w:val="BlockQuote"/>
              <w:rPr>
                <w:kern w:val="2"/>
                <w:sz w:val="20"/>
              </w:rPr>
            </w:pPr>
            <w:r w:rsidRPr="006F29F5">
              <w:rPr>
                <w:kern w:val="2"/>
                <w:sz w:val="20"/>
              </w:rPr>
              <w:t>‘Proving the requisite intention is not always an easy task since direct evidence (e.g., a confession) is often unavailable. Indeed, bribery and trading in influence offences can be difficult to detect and prove due to their covert nature, and because both parties to the transaction do not want the offence exposed. Therefore, the offender’s mental state may have to be inferred from objective factual circumstances.’</w:t>
            </w:r>
          </w:p>
          <w:p w14:paraId="60B29D8C" w14:textId="77777777" w:rsidR="00622C97" w:rsidRPr="006F29F5" w:rsidRDefault="00622C97" w:rsidP="00622C97">
            <w:pPr>
              <w:autoSpaceDE w:val="0"/>
              <w:autoSpaceDN w:val="0"/>
              <w:adjustRightInd w:val="0"/>
              <w:rPr>
                <w:rFonts w:cs="Times New Roman"/>
                <w:b/>
                <w:bCs/>
                <w:kern w:val="2"/>
                <w:sz w:val="20"/>
              </w:rPr>
            </w:pPr>
            <w:r w:rsidRPr="006F29F5">
              <w:rPr>
                <w:rFonts w:cs="Times New Roman"/>
                <w:b/>
                <w:bCs/>
                <w:kern w:val="2"/>
                <w:sz w:val="20"/>
              </w:rPr>
              <w:t>University education</w:t>
            </w:r>
          </w:p>
          <w:p w14:paraId="3F52F081" w14:textId="77777777" w:rsidR="00622C97" w:rsidRPr="006F29F5" w:rsidRDefault="00622C97" w:rsidP="00622C97">
            <w:pPr>
              <w:autoSpaceDE w:val="0"/>
              <w:autoSpaceDN w:val="0"/>
              <w:adjustRightInd w:val="0"/>
              <w:rPr>
                <w:rFonts w:cs="Times New Roman"/>
                <w:kern w:val="2"/>
                <w:sz w:val="20"/>
              </w:rPr>
            </w:pPr>
            <w:r w:rsidRPr="006F29F5">
              <w:rPr>
                <w:rFonts w:cs="Times New Roman"/>
                <w:kern w:val="2"/>
                <w:sz w:val="20"/>
              </w:rPr>
              <w:t xml:space="preserve">Preliminary information in the case relating to the Deputy Minister indicated that he has two sons attending universities in the UK. Further </w:t>
            </w:r>
            <w:proofErr w:type="spellStart"/>
            <w:r w:rsidRPr="006F29F5">
              <w:rPr>
                <w:rFonts w:cs="Times New Roman"/>
                <w:kern w:val="2"/>
                <w:sz w:val="20"/>
              </w:rPr>
              <w:t>inquires</w:t>
            </w:r>
            <w:proofErr w:type="spellEnd"/>
            <w:r w:rsidRPr="006F29F5">
              <w:rPr>
                <w:rFonts w:cs="Times New Roman"/>
                <w:kern w:val="2"/>
                <w:sz w:val="20"/>
              </w:rPr>
              <w:t xml:space="preserve"> disclose that the oldest son attends the London School of Economics (LSE) and the younger son is a student at Oxford University. Is there further information that the investigator would want to pursue regarding the education of these boys? What investigative action would be most efficient and beneficial? There is a very good chance that the Deputy Minister is not able to afford the tuition, living expenses and travel relating to his sons’ education. The boys may be receiving scholarships and attending the universities at no cost. There is only one way to determine the true facts. The universities must be contacted, the expenditures documented and the source of payments identified.</w:t>
            </w:r>
          </w:p>
          <w:p w14:paraId="6BE16D3C" w14:textId="77777777" w:rsidR="00622C97" w:rsidRPr="006F29F5" w:rsidRDefault="00622C97" w:rsidP="00622C97">
            <w:pPr>
              <w:autoSpaceDE w:val="0"/>
              <w:autoSpaceDN w:val="0"/>
              <w:adjustRightInd w:val="0"/>
              <w:rPr>
                <w:rFonts w:cs="Times New Roman"/>
                <w:kern w:val="2"/>
                <w:sz w:val="20"/>
              </w:rPr>
            </w:pPr>
            <w:r w:rsidRPr="006F29F5">
              <w:rPr>
                <w:rFonts w:cs="Times New Roman"/>
                <w:kern w:val="2"/>
                <w:sz w:val="20"/>
              </w:rPr>
              <w:t>What is the best way to pursue this investigative inquiry at the universities? An MLA request can certainly be prepared and submitted to the central authority in the UK. This process should again begin with communication by way of a telephone call to an appropriate official in the UK. The same steps as described above with the Swiss MLA request should be followed. A telephone call to the central authority asking advice on the best way forward should be the first step. However, in this situation the investigator may want to explore other options during his or her call. It may be possible that the police, the money laundering section or the asset forfeiture unit have the ability to request the desired information from the universities on an informal basis. If they do not have this ability, one has wasted approximately two minutes asking the question. But, if the answer is that they do have this ability, then one may possibly have saved four months of valuable investigative time.</w:t>
            </w:r>
          </w:p>
          <w:p w14:paraId="01FBD906" w14:textId="77777777" w:rsidR="00622C97" w:rsidRDefault="00622C97" w:rsidP="00622C97">
            <w:pPr>
              <w:autoSpaceDE w:val="0"/>
              <w:autoSpaceDN w:val="0"/>
              <w:adjustRightInd w:val="0"/>
              <w:rPr>
                <w:rFonts w:cs="Times New Roman"/>
                <w:kern w:val="2"/>
                <w:sz w:val="20"/>
              </w:rPr>
            </w:pPr>
            <w:r w:rsidRPr="006F29F5">
              <w:rPr>
                <w:rFonts w:cs="Times New Roman"/>
                <w:kern w:val="2"/>
                <w:sz w:val="20"/>
              </w:rPr>
              <w:t>How could the investigator have saved this amount of time? Let’s explore two different possibilities. In the first scenario, the police obtain the information informally from the university as a result of their many years of working together. The payment records indicate that the tuition was paid directly from the Deputy Minister’s domestic bank account in your country. This will save one the time and effort of filing an MLA request with the UK because one has already traced the payments to the domestic account to which one has access. In the second scenario, the payment information obtained informally indicates that the tuition was paid by a subsidiary company of a corporation that was awarded a USD 35 million contract through the Deputy Minister’s office. The subsidiary company is located in a third jurisdiction. How has the investigator saved a significant amount of time? One can now file an MLA request with the UK to obtain this evidence through a formal process to assure its admissibility as evidence at trial. Simultaneously, an MLA request can be submitted to the third jurisdiction where the subsidiary company is located. Instead of waiting possibly four months for the return of the MLA request to the UK, one immediately has the information which leads one to the third jurisdiction. We will return to this scenario later to determine what evidence should be requested.</w:t>
            </w:r>
          </w:p>
          <w:p w14:paraId="5FB44513" w14:textId="77777777" w:rsidR="00167DAE" w:rsidRPr="006F29F5" w:rsidRDefault="00167DAE" w:rsidP="00167DAE">
            <w:pPr>
              <w:autoSpaceDE w:val="0"/>
              <w:autoSpaceDN w:val="0"/>
              <w:adjustRightInd w:val="0"/>
              <w:rPr>
                <w:rFonts w:cs="Times New Roman"/>
                <w:b/>
                <w:bCs/>
                <w:kern w:val="2"/>
                <w:sz w:val="20"/>
              </w:rPr>
            </w:pPr>
            <w:r w:rsidRPr="006F29F5">
              <w:rPr>
                <w:rFonts w:cs="Times New Roman"/>
                <w:b/>
                <w:bCs/>
                <w:kern w:val="2"/>
                <w:sz w:val="20"/>
              </w:rPr>
              <w:t>Vehicle ownership</w:t>
            </w:r>
          </w:p>
          <w:p w14:paraId="52FB6006" w14:textId="67CF5A5B" w:rsidR="00622C97" w:rsidRPr="006F29F5" w:rsidRDefault="00167DAE" w:rsidP="000D13DB">
            <w:pPr>
              <w:autoSpaceDE w:val="0"/>
              <w:autoSpaceDN w:val="0"/>
              <w:adjustRightInd w:val="0"/>
              <w:spacing w:after="0"/>
              <w:rPr>
                <w:rFonts w:cs="Times New Roman"/>
                <w:kern w:val="2"/>
                <w:sz w:val="20"/>
              </w:rPr>
            </w:pPr>
            <w:r w:rsidRPr="006F29F5">
              <w:rPr>
                <w:rFonts w:cs="Times New Roman"/>
                <w:kern w:val="2"/>
                <w:sz w:val="20"/>
              </w:rPr>
              <w:t>Another major lead that one has from the pre-investigation activities is the ownership of an USD 80,000 Mercedes by the wife. The fact that the Deputy Minister’s wife owns an expensive automobile is an indication that he may be living above his means. However, the more important question is how the USD 80,000 was paid. This will involve first tracing the ownership of the car to determine the prior owner. In this case, one determines that the vehicle was purchased from the local Mercedes dealership. The records of this transaction indicate that the Deputy Minister was the purchaser and the date of the purchase. Is this enough information? The answer is no. The most important piece of evidence is to establish the source of the payment. If the payment were made by bank cheque, the dealership may have a copy of the cheque. However, if the files do not contain a copy, it may be necessary to obtain this information from the dealership’s bank where the cheque was deposited. If the payment was made by cash, this is a an interesting piece of evidence since one’s cash analysis of his bank account established that he did not have available cash in the amount of USD 80,000 from his legitimate sources of income.</w:t>
            </w:r>
          </w:p>
        </w:tc>
      </w:tr>
      <w:tr w:rsidR="00D62EE7" w:rsidRPr="006F29F5" w14:paraId="4B61D8E9" w14:textId="77777777" w:rsidTr="00CE7B82">
        <w:trPr>
          <w:jc w:val="center"/>
        </w:trPr>
        <w:tc>
          <w:tcPr>
            <w:tcW w:w="8080" w:type="dxa"/>
            <w:shd w:val="clear" w:color="auto" w:fill="D9D9D9" w:themeFill="background1" w:themeFillShade="D9"/>
          </w:tcPr>
          <w:p w14:paraId="28153CAF" w14:textId="77777777" w:rsidR="00D62EE7" w:rsidRPr="006F29F5" w:rsidRDefault="00D62EE7" w:rsidP="000D13DB">
            <w:pPr>
              <w:autoSpaceDE w:val="0"/>
              <w:autoSpaceDN w:val="0"/>
              <w:adjustRightInd w:val="0"/>
              <w:spacing w:before="120" w:after="360"/>
              <w:rPr>
                <w:rFonts w:cs="Times New Roman"/>
                <w:b/>
                <w:bCs/>
                <w:kern w:val="2"/>
                <w:sz w:val="20"/>
              </w:rPr>
            </w:pPr>
            <w:r w:rsidRPr="006F29F5">
              <w:rPr>
                <w:rFonts w:cs="Times New Roman"/>
                <w:b/>
                <w:bCs/>
                <w:kern w:val="2"/>
                <w:sz w:val="20"/>
              </w:rPr>
              <w:t>Award of sole source contracts</w:t>
            </w:r>
          </w:p>
          <w:p w14:paraId="51C5C0C4"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The pre-investigation also disclosed that the Deputy Minister’s office has awarded 23 sole source contracts in the last three years for infrastructure development projects, totalling in excess of USD 195 million. The government procurement rules for country A require competitive bids on all contracts over USD 100,000 unless certain conditions are met that are provided in the exception rules which are very strict. Each of the 23 sole source contracts will need to be analysed to determine how they qualified for the exception, who approved the contracts, how other potential bidders were disqualified and the personal involvement of the Deputy Minister in each situation. This will often require employing the services of someone who is an expert in government contracting procedures to assist in the analysis of these files. If managers below the Deputy Minister’s level approved the contracts, it may be necessary to analyse their promotion history and perform a brief review of their assets. For example, if the person approving the contracts received three promotions by the Deputy Minister in the past two years, this could be an indication that he owes favours to the Deputy Minister. This situation would require further investigation. In another instance, it may be discovered that the approving official has acquired assets that are beyond the scope of his legal income. It may be fruitful to trace the purchases of these assets to determine the source of the payments. Possibly the Deputy Minister is providing funding for the subordinates’ asset acquisitions. All possibilities must be considered to determine the reason for the sole source contract awards.</w:t>
            </w:r>
          </w:p>
          <w:p w14:paraId="2A810C13" w14:textId="77777777" w:rsidR="00D62EE7" w:rsidRPr="006F29F5" w:rsidRDefault="00D62EE7" w:rsidP="00CE7B82">
            <w:pPr>
              <w:autoSpaceDE w:val="0"/>
              <w:autoSpaceDN w:val="0"/>
              <w:adjustRightInd w:val="0"/>
              <w:rPr>
                <w:rFonts w:cs="Times New Roman"/>
                <w:b/>
                <w:bCs/>
                <w:kern w:val="2"/>
                <w:sz w:val="20"/>
              </w:rPr>
            </w:pPr>
            <w:r w:rsidRPr="006F29F5">
              <w:rPr>
                <w:rFonts w:cs="Times New Roman"/>
                <w:b/>
                <w:bCs/>
                <w:kern w:val="2"/>
                <w:sz w:val="20"/>
              </w:rPr>
              <w:t>IV. Results of the investigative inquiries</w:t>
            </w:r>
          </w:p>
          <w:p w14:paraId="33B90BD2"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The Deputy Minister’s personal residence was purchased just two years ago, and he has over USD 500,000 in equity. How did this occur? The investigation has disclosed that the Deputy Minister made an initial down payment in the amount of USD 540,000 on the house. This payment was received from a lending institution in the United States (US). Did the Deputy Minister really obtain a loan from a US company? What collateral did he give for such a large loan? Further investigation through the MLA process reveals that the loan was actually guaranteed by a company that received a large contract through the office of the Deputy Minister. This company, which is located in country A, has also been making each of the monthly loan payments. What questions should be asked when the representative of this company is required to submit to an interview? One area of great importance is to determine how the company recorded these payments to the loan company in the US in its internal records. There are very few legitimate reasons why a company that was awarded a large contract through the Deputy Minister’s office is making payments on a loan for the benefit of the Deputy Minister. These payments certainly have the appearance of a potential bribe. There is a high probability that the company records will disclose a false accounting entry such as listing the payments as a ‘bonus’ or ‘research cost’ or ‘consultant fees’. Further investigation of the company records and related interviews should prove the true nature of these ‘bribe’ payments.</w:t>
            </w:r>
          </w:p>
          <w:p w14:paraId="5D0745BD"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Information from the universities in the UK also yielded interesting information. The police in London were able to obtain informal intelligence that the tuition payments were made by a subsidiary company of a corporation that was awarded a USD 35 million contract through the Deputy Minister Deputy Minister’s office. This company is located in a separate jurisdiction that will require a formal MLA request to compel testimony from the company officials and to obtain copies of their accounting records. Prior to submitting this MLA request, a preliminary call should be placed to the officials in this country to establish the communication links. It would also be advisable to ask if law enforcement officials from country A could participate in the interview with the company officials. The investigator will have the most information about the details of his or her case and is best prepared to ask follow up questions and to pursue leads developed through the answers provided. The investigator’s presence at the interview in this foreign jurisdiction will, of course, only be possible through invitation by that country.</w:t>
            </w:r>
          </w:p>
          <w:p w14:paraId="7B0B4450"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The Mercedes was purchased for USD 80,000 and the payment came from a loan company in Guernsey. Subsequent investigative efforts through MLA requests revealed that the loan company was merely a shell entity with a bank account. Deposits to this account came from another corporation that was awarded a contract by the Deputy Minister’s office.</w:t>
            </w:r>
          </w:p>
          <w:p w14:paraId="7A48BD66" w14:textId="77777777" w:rsidR="00D62EE7" w:rsidRPr="006F29F5" w:rsidRDefault="00D62EE7" w:rsidP="00CE7B82">
            <w:pPr>
              <w:autoSpaceDE w:val="0"/>
              <w:autoSpaceDN w:val="0"/>
              <w:adjustRightInd w:val="0"/>
              <w:rPr>
                <w:rFonts w:cs="Times New Roman"/>
                <w:b/>
                <w:bCs/>
                <w:kern w:val="2"/>
                <w:sz w:val="20"/>
              </w:rPr>
            </w:pPr>
            <w:r w:rsidRPr="006F29F5">
              <w:rPr>
                <w:rFonts w:cs="Times New Roman"/>
                <w:b/>
                <w:bCs/>
                <w:kern w:val="2"/>
                <w:sz w:val="20"/>
              </w:rPr>
              <w:t>V. Conclusions</w:t>
            </w:r>
          </w:p>
          <w:p w14:paraId="5396FA80"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The investigation is certainly not complete at this point. There are many additional inquiries that need to be made. All payments from companies to the benefit of the Deputy Minister must be pursued. Company officials will be interviewed, accounting records analysed and all banking transactions completely traced. This will most likely identify additional assets acquired by the Deputy Minister, many of which will be in nominee names or hidden in corporate structures. Following the money will lead the investigator to these.</w:t>
            </w:r>
          </w:p>
          <w:p w14:paraId="6214D17F" w14:textId="77777777" w:rsidR="00D62EE7" w:rsidRPr="006F29F5" w:rsidRDefault="00D62EE7" w:rsidP="00CE7B82">
            <w:pPr>
              <w:autoSpaceDE w:val="0"/>
              <w:autoSpaceDN w:val="0"/>
              <w:adjustRightInd w:val="0"/>
              <w:rPr>
                <w:rFonts w:cs="Times New Roman"/>
                <w:kern w:val="2"/>
                <w:sz w:val="20"/>
              </w:rPr>
            </w:pPr>
            <w:r w:rsidRPr="006F29F5">
              <w:rPr>
                <w:rFonts w:cs="Times New Roman"/>
                <w:kern w:val="2"/>
                <w:sz w:val="20"/>
              </w:rPr>
              <w:t>The investigation also disclosed that personal expenses for university costs were paid by similar companies. Taking further investigative steps following the money trail will yield additional evidence of apparent bribe payments. These money trails will not always lead directly from the private sector bribe giver to corrupt government officials. Sometimes, the payments will be clouded by numerous shell companies, trusts and nominees. However, the concept of following the money will usually lead to the beneficial owner of the assets and the maze of companies, trusts and nominee owners can be pierced through the complete financial investigative process. Hidden assets will generally not be identified through commercial database searches and open source information. The information that the corrupt official wants to hide will often be concealed through complex financial structures established by skilled lawyers and accountants. In most cases, the financial investigation will be the best method of identifying the proceeds of corruption and making the connection to the corrupt activity.</w:t>
            </w:r>
          </w:p>
          <w:p w14:paraId="6DDCD199" w14:textId="53B5DC89" w:rsidR="00D62EE7" w:rsidRPr="006F29F5" w:rsidRDefault="00D62EE7" w:rsidP="00CE7B82">
            <w:pPr>
              <w:pStyle w:val="ExcerptMarker"/>
              <w:spacing w:after="0"/>
              <w:rPr>
                <w:b/>
                <w:bCs/>
                <w:sz w:val="16"/>
              </w:rPr>
            </w:pPr>
            <w:r w:rsidRPr="006F29F5">
              <w:rPr>
                <w:sz w:val="16"/>
              </w:rPr>
              <w:t>End of Excerpt</w:t>
            </w:r>
          </w:p>
        </w:tc>
      </w:tr>
    </w:tbl>
    <w:p w14:paraId="3CE53EC0" w14:textId="366FD30F" w:rsidR="006E1CB8" w:rsidRPr="006F29F5" w:rsidRDefault="00337DC0" w:rsidP="00BD3FB5">
      <w:pPr>
        <w:pStyle w:val="Heading1"/>
        <w:rPr>
          <w:sz w:val="28"/>
        </w:rPr>
      </w:pPr>
      <w:bookmarkStart w:id="45" w:name="_Toc420329380"/>
      <w:bookmarkStart w:id="46" w:name="_Toc489961996"/>
      <w:bookmarkStart w:id="47" w:name="_Toc505351644"/>
      <w:r w:rsidRPr="006F29F5">
        <w:rPr>
          <w:sz w:val="28"/>
        </w:rPr>
        <w:t>Effectiveness of Asset Recovery Regi</w:t>
      </w:r>
      <w:r w:rsidR="00231259" w:rsidRPr="006F29F5">
        <w:rPr>
          <w:sz w:val="28"/>
        </w:rPr>
        <w:t>mes</w:t>
      </w:r>
      <w:bookmarkEnd w:id="45"/>
      <w:bookmarkEnd w:id="46"/>
      <w:bookmarkEnd w:id="47"/>
    </w:p>
    <w:p w14:paraId="24D5627E" w14:textId="33A68DF8" w:rsidR="00632ABC" w:rsidRPr="006F29F5" w:rsidRDefault="00337DC0" w:rsidP="00056823">
      <w:pPr>
        <w:pStyle w:val="Heading2"/>
        <w:rPr>
          <w:kern w:val="2"/>
          <w:sz w:val="24"/>
        </w:rPr>
      </w:pPr>
      <w:bookmarkStart w:id="48" w:name="_Toc420329381"/>
      <w:bookmarkStart w:id="49" w:name="_Toc489961997"/>
      <w:r w:rsidRPr="006F29F5">
        <w:rPr>
          <w:kern w:val="2"/>
          <w:sz w:val="24"/>
        </w:rPr>
        <w:t>Overview of Existing Data</w:t>
      </w:r>
      <w:bookmarkEnd w:id="48"/>
      <w:bookmarkEnd w:id="49"/>
    </w:p>
    <w:p w14:paraId="6F76323A" w14:textId="1B01CA19" w:rsidR="00963D8C" w:rsidRDefault="004872C0" w:rsidP="00673E2C">
      <w:pPr>
        <w:spacing w:before="60"/>
        <w:rPr>
          <w:rFonts w:cs="Times New Roman"/>
          <w:kern w:val="2"/>
          <w:sz w:val="20"/>
        </w:rPr>
      </w:pPr>
      <w:r w:rsidRPr="00577B30">
        <w:rPr>
          <w:rFonts w:cs="Times New Roman"/>
          <w:kern w:val="2"/>
          <w:sz w:val="20"/>
        </w:rPr>
        <w:t>The following is an e</w:t>
      </w:r>
      <w:r w:rsidR="00632ABC" w:rsidRPr="00577B30">
        <w:rPr>
          <w:rFonts w:cs="Times New Roman"/>
          <w:kern w:val="2"/>
          <w:sz w:val="20"/>
        </w:rPr>
        <w:t xml:space="preserve">xcerpt from a 2014 OECD publication entitled </w:t>
      </w:r>
      <w:r w:rsidR="00632ABC" w:rsidRPr="00577B30">
        <w:rPr>
          <w:rFonts w:cs="Times New Roman"/>
          <w:i/>
          <w:kern w:val="2"/>
          <w:sz w:val="20"/>
        </w:rPr>
        <w:t>Illicit Financial Flows from Developing Countries: Measuring OECD Responses</w:t>
      </w:r>
      <w:r w:rsidRPr="00577B30">
        <w:rPr>
          <w:rFonts w:cs="Times New Roman"/>
          <w:kern w:val="2"/>
          <w:sz w:val="20"/>
        </w:rPr>
        <w:t>:</w:t>
      </w:r>
      <w:r w:rsidR="00632ABC" w:rsidRPr="00577B30">
        <w:rPr>
          <w:rStyle w:val="FootnoteReference"/>
          <w:rFonts w:cs="Times New Roman"/>
          <w:kern w:val="2"/>
          <w:sz w:val="20"/>
        </w:rPr>
        <w:footnoteReference w:id="180"/>
      </w:r>
      <w:r w:rsidR="00632ABC" w:rsidRPr="006F29F5">
        <w:rPr>
          <w:rFonts w:cs="Times New Roman"/>
          <w:kern w:val="2"/>
          <w:sz w:val="20"/>
        </w:rPr>
        <w:t xml:space="preserve"> </w:t>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4029E1" w14:paraId="60090D99" w14:textId="77777777" w:rsidTr="004029E1">
        <w:tc>
          <w:tcPr>
            <w:tcW w:w="8070" w:type="dxa"/>
            <w:tcBorders>
              <w:top w:val="nil"/>
              <w:left w:val="nil"/>
              <w:bottom w:val="nil"/>
              <w:right w:val="nil"/>
            </w:tcBorders>
            <w:shd w:val="clear" w:color="auto" w:fill="D9D9D9" w:themeFill="background1" w:themeFillShade="D9"/>
          </w:tcPr>
          <w:p w14:paraId="2E49C5E9" w14:textId="77777777" w:rsidR="004029E1" w:rsidRPr="006F29F5" w:rsidRDefault="004029E1" w:rsidP="004029E1">
            <w:pPr>
              <w:pStyle w:val="ExcerptMarker"/>
              <w:spacing w:before="0"/>
              <w:rPr>
                <w:kern w:val="2"/>
                <w:sz w:val="16"/>
              </w:rPr>
            </w:pPr>
            <w:r w:rsidRPr="006F29F5">
              <w:rPr>
                <w:kern w:val="2"/>
                <w:sz w:val="16"/>
              </w:rPr>
              <w:t>Beginning of Excerpt</w:t>
            </w:r>
          </w:p>
          <w:p w14:paraId="5F3A5448" w14:textId="77777777" w:rsidR="004029E1" w:rsidRPr="006F29F5" w:rsidRDefault="004029E1" w:rsidP="004029E1">
            <w:pPr>
              <w:autoSpaceDE w:val="0"/>
              <w:autoSpaceDN w:val="0"/>
              <w:adjustRightInd w:val="0"/>
              <w:rPr>
                <w:rFonts w:cs="Times New Roman"/>
                <w:b/>
                <w:kern w:val="2"/>
                <w:sz w:val="20"/>
                <w:szCs w:val="21"/>
              </w:rPr>
            </w:pPr>
            <w:r w:rsidRPr="006F29F5">
              <w:rPr>
                <w:rFonts w:cs="Times New Roman"/>
                <w:b/>
                <w:kern w:val="2"/>
                <w:sz w:val="20"/>
                <w:szCs w:val="21"/>
              </w:rPr>
              <w:t xml:space="preserve">5.1 </w:t>
            </w:r>
            <w:r w:rsidRPr="006F29F5">
              <w:rPr>
                <w:rFonts w:cs="Times New Roman"/>
                <w:b/>
                <w:smallCaps/>
                <w:kern w:val="2"/>
                <w:sz w:val="20"/>
                <w:szCs w:val="21"/>
              </w:rPr>
              <w:t>Asset Recovery Efforts by OECD Member Countries: Taking Stock</w:t>
            </w:r>
          </w:p>
          <w:p w14:paraId="5BC049C9" w14:textId="77777777" w:rsidR="004029E1" w:rsidRPr="006F29F5" w:rsidRDefault="004029E1" w:rsidP="004029E1">
            <w:pPr>
              <w:autoSpaceDE w:val="0"/>
              <w:autoSpaceDN w:val="0"/>
              <w:adjustRightInd w:val="0"/>
              <w:rPr>
                <w:rFonts w:cs="Times New Roman"/>
                <w:kern w:val="2"/>
                <w:sz w:val="20"/>
                <w:szCs w:val="21"/>
              </w:rPr>
            </w:pPr>
            <w:r w:rsidRPr="006F29F5">
              <w:rPr>
                <w:rFonts w:cs="Times New Roman"/>
                <w:kern w:val="2"/>
                <w:sz w:val="20"/>
                <w:szCs w:val="21"/>
              </w:rPr>
              <w:t>In preparing for the Fourth High-Level Forum on Aid Effectiveness in Busan, Korea (December 2011), the OECD and the Stolen Asset Recovery (</w:t>
            </w:r>
            <w:proofErr w:type="spellStart"/>
            <w:r w:rsidRPr="006F29F5">
              <w:rPr>
                <w:rFonts w:cs="Times New Roman"/>
                <w:kern w:val="2"/>
                <w:sz w:val="20"/>
                <w:szCs w:val="21"/>
              </w:rPr>
              <w:t>StAR</w:t>
            </w:r>
            <w:proofErr w:type="spellEnd"/>
            <w:r w:rsidRPr="006F29F5">
              <w:rPr>
                <w:rFonts w:cs="Times New Roman"/>
                <w:kern w:val="2"/>
                <w:sz w:val="20"/>
                <w:szCs w:val="21"/>
              </w:rPr>
              <w:t xml:space="preserve">) initiative surveyed OECD countries to take stock of their commitments on asset recovery. The survey measured the amount of funds frozen and repatriated to any foreign jurisdiction between 2006 and 2009. It found that during this time, only four countries (Australia, Switzerland, the United Kingdom and the United States) had returned stolen assets, totalling USD 276 million, to a foreign jurisdiction. These countries, plus France and Luxemburg, had also frozen a total of USD 1.225 billion at the time of the survey. </w:t>
            </w:r>
          </w:p>
          <w:p w14:paraId="30EBC59E" w14:textId="7ADB98FB" w:rsidR="004029E1" w:rsidRDefault="004029E1" w:rsidP="004029E1">
            <w:pPr>
              <w:spacing w:after="0"/>
              <w:rPr>
                <w:rFonts w:cs="Times New Roman"/>
                <w:kern w:val="2"/>
                <w:sz w:val="20"/>
              </w:rPr>
            </w:pPr>
            <w:r w:rsidRPr="006F29F5">
              <w:rPr>
                <w:rFonts w:cs="Times New Roman"/>
                <w:kern w:val="2"/>
                <w:sz w:val="20"/>
                <w:szCs w:val="21"/>
              </w:rPr>
              <w:t xml:space="preserve">In 2012, the OECD and </w:t>
            </w:r>
            <w:proofErr w:type="spellStart"/>
            <w:r w:rsidRPr="006F29F5">
              <w:rPr>
                <w:rFonts w:cs="Times New Roman"/>
                <w:kern w:val="2"/>
                <w:sz w:val="20"/>
                <w:szCs w:val="21"/>
              </w:rPr>
              <w:t>StAR</w:t>
            </w:r>
            <w:proofErr w:type="spellEnd"/>
            <w:r w:rsidRPr="006F29F5">
              <w:rPr>
                <w:rFonts w:cs="Times New Roman"/>
                <w:kern w:val="2"/>
                <w:sz w:val="20"/>
                <w:szCs w:val="21"/>
              </w:rPr>
              <w:t xml:space="preserve"> launched a second survey measuring assets frozen and returned between 2010 and June 2012. In this time period, a total of approximately USD 1.4 billion of corruption-related assets had been frozen. In terms of returned assets, a total of USD 147 million were returned to a foreign jurisdiction in the 2010-June 2012 period. This is a slight decrease from the USD 276 million recorded from the last survey round.</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A8385A" w:rsidRPr="006F29F5" w14:paraId="6BF6B540" w14:textId="77777777" w:rsidTr="00191325">
        <w:trPr>
          <w:jc w:val="center"/>
        </w:trPr>
        <w:tc>
          <w:tcPr>
            <w:tcW w:w="8080" w:type="dxa"/>
            <w:shd w:val="clear" w:color="auto" w:fill="D9D9D9" w:themeFill="background1" w:themeFillShade="D9"/>
          </w:tcPr>
          <w:p w14:paraId="1EC7DE0D" w14:textId="77777777" w:rsidR="00A8385A" w:rsidRPr="006F29F5" w:rsidRDefault="00A8385A" w:rsidP="00191325">
            <w:pPr>
              <w:spacing w:before="120" w:after="120"/>
              <w:rPr>
                <w:sz w:val="20"/>
              </w:rPr>
            </w:pPr>
            <w:r w:rsidRPr="006F29F5">
              <w:rPr>
                <w:sz w:val="20"/>
              </w:rPr>
              <w:t>[</w:t>
            </w:r>
            <w:r w:rsidRPr="006F29F5">
              <w:rPr>
                <w:b/>
                <w:sz w:val="20"/>
              </w:rPr>
              <w:t>Table 5.3</w:t>
            </w:r>
            <w:r w:rsidRPr="006F29F5">
              <w:rPr>
                <w:sz w:val="20"/>
              </w:rPr>
              <w:t xml:space="preserve"> OECD Countries that Have Frozen or Recovered Stolen Assets]</w:t>
            </w:r>
          </w:p>
          <w:tbl>
            <w:tblPr>
              <w:tblStyle w:val="TableGrid"/>
              <w:tblW w:w="7452" w:type="dxa"/>
              <w:jc w:val="center"/>
              <w:tblLook w:val="04A0" w:firstRow="1" w:lastRow="0" w:firstColumn="1" w:lastColumn="0" w:noHBand="0" w:noVBand="1"/>
            </w:tblPr>
            <w:tblGrid>
              <w:gridCol w:w="1366"/>
              <w:gridCol w:w="1520"/>
              <w:gridCol w:w="1524"/>
              <w:gridCol w:w="1520"/>
              <w:gridCol w:w="1522"/>
            </w:tblGrid>
            <w:tr w:rsidR="00A8385A" w:rsidRPr="006F29F5" w14:paraId="280E2A26" w14:textId="77777777" w:rsidTr="00191325">
              <w:trPr>
                <w:trHeight w:val="66"/>
                <w:tblHeader/>
                <w:jc w:val="center"/>
              </w:trPr>
              <w:tc>
                <w:tcPr>
                  <w:tcW w:w="1182" w:type="dxa"/>
                  <w:vAlign w:val="center"/>
                </w:tcPr>
                <w:p w14:paraId="749E6765" w14:textId="77777777" w:rsidR="00A8385A" w:rsidRPr="006F29F5" w:rsidRDefault="00A8385A" w:rsidP="00191325">
                  <w:pPr>
                    <w:spacing w:before="0" w:after="0"/>
                    <w:rPr>
                      <w:b/>
                      <w:sz w:val="18"/>
                    </w:rPr>
                  </w:pPr>
                </w:p>
              </w:tc>
              <w:tc>
                <w:tcPr>
                  <w:tcW w:w="3136" w:type="dxa"/>
                  <w:gridSpan w:val="2"/>
                  <w:vAlign w:val="center"/>
                </w:tcPr>
                <w:p w14:paraId="7BF18340" w14:textId="076AA9DC" w:rsidR="00A8385A" w:rsidRPr="006F29F5" w:rsidRDefault="00A8385A" w:rsidP="00191325">
                  <w:pPr>
                    <w:spacing w:before="0" w:after="0"/>
                    <w:jc w:val="center"/>
                    <w:rPr>
                      <w:b/>
                      <w:sz w:val="18"/>
                    </w:rPr>
                  </w:pPr>
                  <w:r w:rsidRPr="006F29F5">
                    <w:rPr>
                      <w:b/>
                      <w:sz w:val="18"/>
                    </w:rPr>
                    <w:t>2006-2009</w:t>
                  </w:r>
                </w:p>
              </w:tc>
              <w:tc>
                <w:tcPr>
                  <w:tcW w:w="3134" w:type="dxa"/>
                  <w:gridSpan w:val="2"/>
                  <w:vAlign w:val="center"/>
                </w:tcPr>
                <w:p w14:paraId="7B452E4D" w14:textId="77777777" w:rsidR="00A8385A" w:rsidRPr="006F29F5" w:rsidRDefault="00A8385A" w:rsidP="00191325">
                  <w:pPr>
                    <w:spacing w:before="0" w:after="0"/>
                    <w:jc w:val="center"/>
                    <w:rPr>
                      <w:b/>
                      <w:sz w:val="18"/>
                    </w:rPr>
                  </w:pPr>
                  <w:r w:rsidRPr="006F29F5">
                    <w:rPr>
                      <w:b/>
                      <w:sz w:val="18"/>
                    </w:rPr>
                    <w:t>2010-June 2012</w:t>
                  </w:r>
                </w:p>
              </w:tc>
            </w:tr>
            <w:tr w:rsidR="00A8385A" w:rsidRPr="006F29F5" w14:paraId="3994DC07" w14:textId="77777777" w:rsidTr="00191325">
              <w:trPr>
                <w:trHeight w:val="250"/>
                <w:jc w:val="center"/>
              </w:trPr>
              <w:tc>
                <w:tcPr>
                  <w:tcW w:w="1182" w:type="dxa"/>
                  <w:vAlign w:val="center"/>
                </w:tcPr>
                <w:p w14:paraId="4273B61E" w14:textId="77777777" w:rsidR="00A8385A" w:rsidRPr="006F29F5" w:rsidRDefault="00A8385A" w:rsidP="00191325">
                  <w:pPr>
                    <w:spacing w:before="0" w:after="0"/>
                    <w:jc w:val="left"/>
                    <w:rPr>
                      <w:b/>
                      <w:sz w:val="18"/>
                    </w:rPr>
                  </w:pPr>
                  <w:r w:rsidRPr="006F29F5">
                    <w:rPr>
                      <w:b/>
                      <w:sz w:val="18"/>
                    </w:rPr>
                    <w:t>COUNTRY</w:t>
                  </w:r>
                </w:p>
              </w:tc>
              <w:tc>
                <w:tcPr>
                  <w:tcW w:w="1567" w:type="dxa"/>
                  <w:vAlign w:val="center"/>
                </w:tcPr>
                <w:p w14:paraId="6C1E6D38" w14:textId="77777777" w:rsidR="00A8385A" w:rsidRPr="006F29F5" w:rsidRDefault="00A8385A" w:rsidP="00191325">
                  <w:pPr>
                    <w:spacing w:before="0" w:after="0"/>
                    <w:jc w:val="center"/>
                    <w:rPr>
                      <w:b/>
                      <w:sz w:val="18"/>
                    </w:rPr>
                  </w:pPr>
                  <w:r w:rsidRPr="006F29F5">
                    <w:rPr>
                      <w:b/>
                      <w:sz w:val="18"/>
                    </w:rPr>
                    <w:t>Assets frozen (USD million)</w:t>
                  </w:r>
                </w:p>
              </w:tc>
              <w:tc>
                <w:tcPr>
                  <w:tcW w:w="1569" w:type="dxa"/>
                  <w:vAlign w:val="center"/>
                </w:tcPr>
                <w:p w14:paraId="6650F2C1" w14:textId="77777777" w:rsidR="00A8385A" w:rsidRPr="006F29F5" w:rsidRDefault="00A8385A" w:rsidP="00191325">
                  <w:pPr>
                    <w:spacing w:before="0" w:after="0"/>
                    <w:jc w:val="center"/>
                    <w:rPr>
                      <w:b/>
                      <w:sz w:val="18"/>
                    </w:rPr>
                  </w:pPr>
                  <w:r w:rsidRPr="006F29F5">
                    <w:rPr>
                      <w:b/>
                      <w:sz w:val="18"/>
                    </w:rPr>
                    <w:t>Assets returned (USD million)</w:t>
                  </w:r>
                </w:p>
              </w:tc>
              <w:tc>
                <w:tcPr>
                  <w:tcW w:w="1567" w:type="dxa"/>
                  <w:vAlign w:val="center"/>
                </w:tcPr>
                <w:p w14:paraId="4A7DC83B" w14:textId="77777777" w:rsidR="00A8385A" w:rsidRPr="006F29F5" w:rsidRDefault="00A8385A" w:rsidP="00191325">
                  <w:pPr>
                    <w:spacing w:before="0" w:after="0"/>
                    <w:jc w:val="center"/>
                    <w:rPr>
                      <w:b/>
                      <w:sz w:val="18"/>
                    </w:rPr>
                  </w:pPr>
                  <w:r w:rsidRPr="006F29F5">
                    <w:rPr>
                      <w:b/>
                      <w:sz w:val="18"/>
                    </w:rPr>
                    <w:t>Assets frozen (USD million)</w:t>
                  </w:r>
                </w:p>
              </w:tc>
              <w:tc>
                <w:tcPr>
                  <w:tcW w:w="1567" w:type="dxa"/>
                  <w:vAlign w:val="center"/>
                </w:tcPr>
                <w:p w14:paraId="56774B69" w14:textId="77777777" w:rsidR="00A8385A" w:rsidRPr="006F29F5" w:rsidRDefault="00A8385A" w:rsidP="00191325">
                  <w:pPr>
                    <w:spacing w:before="0" w:after="0"/>
                    <w:jc w:val="center"/>
                    <w:rPr>
                      <w:b/>
                      <w:sz w:val="18"/>
                    </w:rPr>
                  </w:pPr>
                  <w:r w:rsidRPr="006F29F5">
                    <w:rPr>
                      <w:b/>
                      <w:sz w:val="18"/>
                    </w:rPr>
                    <w:t>Assets returned (USD million)</w:t>
                  </w:r>
                </w:p>
              </w:tc>
            </w:tr>
            <w:tr w:rsidR="00A8385A" w:rsidRPr="006F29F5" w14:paraId="60F3235F" w14:textId="77777777" w:rsidTr="00191325">
              <w:trPr>
                <w:trHeight w:val="165"/>
                <w:jc w:val="center"/>
              </w:trPr>
              <w:tc>
                <w:tcPr>
                  <w:tcW w:w="1182" w:type="dxa"/>
                  <w:vAlign w:val="center"/>
                </w:tcPr>
                <w:p w14:paraId="1EC9CD10" w14:textId="77777777" w:rsidR="00A8385A" w:rsidRPr="006F29F5" w:rsidRDefault="00A8385A" w:rsidP="00191325">
                  <w:pPr>
                    <w:spacing w:before="0" w:after="0"/>
                    <w:rPr>
                      <w:sz w:val="20"/>
                      <w:szCs w:val="21"/>
                    </w:rPr>
                  </w:pPr>
                  <w:r w:rsidRPr="006F29F5">
                    <w:rPr>
                      <w:sz w:val="20"/>
                      <w:szCs w:val="21"/>
                    </w:rPr>
                    <w:t>Switzerland</w:t>
                  </w:r>
                </w:p>
              </w:tc>
              <w:tc>
                <w:tcPr>
                  <w:tcW w:w="1567" w:type="dxa"/>
                  <w:vAlign w:val="center"/>
                </w:tcPr>
                <w:p w14:paraId="3ECCB475" w14:textId="77777777" w:rsidR="00A8385A" w:rsidRPr="006F29F5" w:rsidRDefault="00A8385A" w:rsidP="00191325">
                  <w:pPr>
                    <w:spacing w:before="0" w:after="0"/>
                    <w:rPr>
                      <w:sz w:val="20"/>
                      <w:szCs w:val="21"/>
                    </w:rPr>
                  </w:pPr>
                  <w:r w:rsidRPr="006F29F5">
                    <w:rPr>
                      <w:sz w:val="20"/>
                      <w:szCs w:val="21"/>
                    </w:rPr>
                    <w:t xml:space="preserve">67 </w:t>
                  </w:r>
                </w:p>
              </w:tc>
              <w:tc>
                <w:tcPr>
                  <w:tcW w:w="1569" w:type="dxa"/>
                  <w:vAlign w:val="center"/>
                </w:tcPr>
                <w:p w14:paraId="4E33B795" w14:textId="77777777" w:rsidR="00A8385A" w:rsidRPr="006F29F5" w:rsidRDefault="00A8385A" w:rsidP="00191325">
                  <w:pPr>
                    <w:spacing w:before="0" w:after="0"/>
                    <w:rPr>
                      <w:sz w:val="20"/>
                      <w:szCs w:val="21"/>
                    </w:rPr>
                  </w:pPr>
                  <w:r w:rsidRPr="006F29F5">
                    <w:rPr>
                      <w:sz w:val="20"/>
                      <w:szCs w:val="21"/>
                    </w:rPr>
                    <w:t>146</w:t>
                  </w:r>
                </w:p>
              </w:tc>
              <w:tc>
                <w:tcPr>
                  <w:tcW w:w="1567" w:type="dxa"/>
                  <w:vAlign w:val="center"/>
                </w:tcPr>
                <w:p w14:paraId="3116A91E" w14:textId="77777777" w:rsidR="00A8385A" w:rsidRPr="006F29F5" w:rsidRDefault="00A8385A" w:rsidP="00191325">
                  <w:pPr>
                    <w:spacing w:before="0" w:after="0"/>
                    <w:rPr>
                      <w:sz w:val="20"/>
                      <w:szCs w:val="21"/>
                    </w:rPr>
                  </w:pPr>
                  <w:r w:rsidRPr="006F29F5">
                    <w:rPr>
                      <w:sz w:val="20"/>
                      <w:szCs w:val="21"/>
                    </w:rPr>
                    <w:t>786</w:t>
                  </w:r>
                </w:p>
              </w:tc>
              <w:tc>
                <w:tcPr>
                  <w:tcW w:w="1567" w:type="dxa"/>
                  <w:vAlign w:val="center"/>
                </w:tcPr>
                <w:p w14:paraId="4D62C382" w14:textId="77777777" w:rsidR="00A8385A" w:rsidRPr="006F29F5" w:rsidRDefault="00A8385A" w:rsidP="00191325">
                  <w:pPr>
                    <w:spacing w:before="0" w:after="0"/>
                    <w:rPr>
                      <w:sz w:val="20"/>
                      <w:szCs w:val="21"/>
                    </w:rPr>
                  </w:pPr>
                  <w:r w:rsidRPr="006F29F5">
                    <w:rPr>
                      <w:sz w:val="20"/>
                      <w:szCs w:val="21"/>
                    </w:rPr>
                    <w:t>20</w:t>
                  </w:r>
                </w:p>
              </w:tc>
            </w:tr>
            <w:tr w:rsidR="00A8385A" w:rsidRPr="006F29F5" w14:paraId="62CE13FD" w14:textId="77777777" w:rsidTr="00191325">
              <w:trPr>
                <w:trHeight w:val="90"/>
                <w:jc w:val="center"/>
              </w:trPr>
              <w:tc>
                <w:tcPr>
                  <w:tcW w:w="1182" w:type="dxa"/>
                  <w:vAlign w:val="center"/>
                </w:tcPr>
                <w:p w14:paraId="6AA0E8D9" w14:textId="77777777" w:rsidR="00A8385A" w:rsidRPr="006F29F5" w:rsidRDefault="00A8385A" w:rsidP="00191325">
                  <w:pPr>
                    <w:spacing w:before="0" w:after="0"/>
                    <w:rPr>
                      <w:sz w:val="20"/>
                      <w:szCs w:val="21"/>
                    </w:rPr>
                  </w:pPr>
                  <w:r w:rsidRPr="006F29F5">
                    <w:rPr>
                      <w:sz w:val="20"/>
                      <w:szCs w:val="21"/>
                    </w:rPr>
                    <w:t>UK</w:t>
                  </w:r>
                </w:p>
              </w:tc>
              <w:tc>
                <w:tcPr>
                  <w:tcW w:w="1567" w:type="dxa"/>
                  <w:vAlign w:val="center"/>
                </w:tcPr>
                <w:p w14:paraId="3A11B7E8" w14:textId="77777777" w:rsidR="00A8385A" w:rsidRPr="006F29F5" w:rsidRDefault="00A8385A" w:rsidP="00191325">
                  <w:pPr>
                    <w:spacing w:before="0" w:after="0"/>
                    <w:rPr>
                      <w:sz w:val="20"/>
                      <w:szCs w:val="21"/>
                    </w:rPr>
                  </w:pPr>
                  <w:r w:rsidRPr="006F29F5">
                    <w:rPr>
                      <w:sz w:val="20"/>
                      <w:szCs w:val="21"/>
                    </w:rPr>
                    <w:t>230</w:t>
                  </w:r>
                </w:p>
              </w:tc>
              <w:tc>
                <w:tcPr>
                  <w:tcW w:w="1569" w:type="dxa"/>
                  <w:vAlign w:val="center"/>
                </w:tcPr>
                <w:p w14:paraId="54C90869" w14:textId="77777777" w:rsidR="00A8385A" w:rsidRPr="006F29F5" w:rsidRDefault="00A8385A" w:rsidP="00191325">
                  <w:pPr>
                    <w:spacing w:before="0" w:after="0"/>
                    <w:rPr>
                      <w:sz w:val="20"/>
                      <w:szCs w:val="21"/>
                    </w:rPr>
                  </w:pPr>
                  <w:r w:rsidRPr="006F29F5">
                    <w:rPr>
                      <w:sz w:val="20"/>
                      <w:szCs w:val="21"/>
                    </w:rPr>
                    <w:t>2</w:t>
                  </w:r>
                </w:p>
              </w:tc>
              <w:tc>
                <w:tcPr>
                  <w:tcW w:w="1567" w:type="dxa"/>
                  <w:vAlign w:val="center"/>
                </w:tcPr>
                <w:p w14:paraId="3F5488C6" w14:textId="77777777" w:rsidR="00A8385A" w:rsidRPr="006F29F5" w:rsidRDefault="00A8385A" w:rsidP="00191325">
                  <w:pPr>
                    <w:spacing w:before="0" w:after="0"/>
                    <w:rPr>
                      <w:sz w:val="20"/>
                      <w:szCs w:val="21"/>
                    </w:rPr>
                  </w:pPr>
                  <w:r w:rsidRPr="006F29F5">
                    <w:rPr>
                      <w:sz w:val="20"/>
                      <w:szCs w:val="21"/>
                    </w:rPr>
                    <w:t>451</w:t>
                  </w:r>
                </w:p>
              </w:tc>
              <w:tc>
                <w:tcPr>
                  <w:tcW w:w="1567" w:type="dxa"/>
                  <w:vAlign w:val="center"/>
                </w:tcPr>
                <w:p w14:paraId="290FEB99" w14:textId="77777777" w:rsidR="00A8385A" w:rsidRPr="006F29F5" w:rsidRDefault="00A8385A" w:rsidP="00191325">
                  <w:pPr>
                    <w:spacing w:before="0" w:after="0"/>
                    <w:rPr>
                      <w:sz w:val="20"/>
                      <w:szCs w:val="21"/>
                    </w:rPr>
                  </w:pPr>
                  <w:r w:rsidRPr="006F29F5">
                    <w:rPr>
                      <w:sz w:val="20"/>
                      <w:szCs w:val="21"/>
                    </w:rPr>
                    <w:t>67</w:t>
                  </w:r>
                </w:p>
              </w:tc>
            </w:tr>
            <w:tr w:rsidR="00A8385A" w:rsidRPr="006F29F5" w14:paraId="6DE4B693" w14:textId="77777777" w:rsidTr="00191325">
              <w:trPr>
                <w:trHeight w:val="66"/>
                <w:jc w:val="center"/>
              </w:trPr>
              <w:tc>
                <w:tcPr>
                  <w:tcW w:w="1182" w:type="dxa"/>
                  <w:vAlign w:val="center"/>
                </w:tcPr>
                <w:p w14:paraId="16E1AEB9" w14:textId="77777777" w:rsidR="00A8385A" w:rsidRPr="006F29F5" w:rsidRDefault="00A8385A" w:rsidP="00191325">
                  <w:pPr>
                    <w:spacing w:before="0" w:after="0"/>
                    <w:rPr>
                      <w:sz w:val="20"/>
                      <w:szCs w:val="21"/>
                    </w:rPr>
                  </w:pPr>
                  <w:r w:rsidRPr="006F29F5">
                    <w:rPr>
                      <w:sz w:val="20"/>
                      <w:szCs w:val="21"/>
                    </w:rPr>
                    <w:t>US</w:t>
                  </w:r>
                </w:p>
              </w:tc>
              <w:tc>
                <w:tcPr>
                  <w:tcW w:w="1567" w:type="dxa"/>
                  <w:vAlign w:val="center"/>
                </w:tcPr>
                <w:p w14:paraId="6AF8B291" w14:textId="77777777" w:rsidR="00A8385A" w:rsidRPr="006F29F5" w:rsidRDefault="00A8385A" w:rsidP="00191325">
                  <w:pPr>
                    <w:spacing w:before="0" w:after="0"/>
                    <w:rPr>
                      <w:sz w:val="20"/>
                      <w:szCs w:val="21"/>
                    </w:rPr>
                  </w:pPr>
                  <w:r w:rsidRPr="006F29F5">
                    <w:rPr>
                      <w:sz w:val="20"/>
                      <w:szCs w:val="21"/>
                    </w:rPr>
                    <w:t>412</w:t>
                  </w:r>
                </w:p>
              </w:tc>
              <w:tc>
                <w:tcPr>
                  <w:tcW w:w="1569" w:type="dxa"/>
                  <w:vAlign w:val="center"/>
                </w:tcPr>
                <w:p w14:paraId="61E749D4" w14:textId="77777777" w:rsidR="00A8385A" w:rsidRPr="006F29F5" w:rsidRDefault="00A8385A" w:rsidP="00191325">
                  <w:pPr>
                    <w:spacing w:before="0" w:after="0"/>
                    <w:rPr>
                      <w:sz w:val="20"/>
                      <w:szCs w:val="21"/>
                    </w:rPr>
                  </w:pPr>
                  <w:r w:rsidRPr="006F29F5">
                    <w:rPr>
                      <w:sz w:val="20"/>
                      <w:szCs w:val="21"/>
                    </w:rPr>
                    <w:t>120</w:t>
                  </w:r>
                </w:p>
              </w:tc>
              <w:tc>
                <w:tcPr>
                  <w:tcW w:w="1567" w:type="dxa"/>
                  <w:vAlign w:val="center"/>
                </w:tcPr>
                <w:p w14:paraId="01082C40" w14:textId="77777777" w:rsidR="00A8385A" w:rsidRPr="006F29F5" w:rsidRDefault="00A8385A" w:rsidP="00191325">
                  <w:pPr>
                    <w:spacing w:before="0" w:after="0"/>
                    <w:rPr>
                      <w:sz w:val="20"/>
                      <w:szCs w:val="21"/>
                    </w:rPr>
                  </w:pPr>
                  <w:r w:rsidRPr="006F29F5">
                    <w:rPr>
                      <w:sz w:val="20"/>
                      <w:szCs w:val="21"/>
                    </w:rPr>
                    <w:t>112</w:t>
                  </w:r>
                </w:p>
              </w:tc>
              <w:tc>
                <w:tcPr>
                  <w:tcW w:w="1567" w:type="dxa"/>
                  <w:vAlign w:val="center"/>
                </w:tcPr>
                <w:p w14:paraId="31964BBF" w14:textId="77777777" w:rsidR="00A8385A" w:rsidRPr="006F29F5" w:rsidRDefault="00A8385A" w:rsidP="00191325">
                  <w:pPr>
                    <w:spacing w:before="0" w:after="0"/>
                    <w:rPr>
                      <w:sz w:val="20"/>
                      <w:szCs w:val="21"/>
                    </w:rPr>
                  </w:pPr>
                  <w:r w:rsidRPr="006F29F5">
                    <w:rPr>
                      <w:sz w:val="20"/>
                      <w:szCs w:val="21"/>
                    </w:rPr>
                    <w:t>60</w:t>
                  </w:r>
                </w:p>
              </w:tc>
            </w:tr>
            <w:tr w:rsidR="00A8385A" w:rsidRPr="006F29F5" w14:paraId="071F7C8B" w14:textId="77777777" w:rsidTr="00191325">
              <w:trPr>
                <w:trHeight w:val="66"/>
                <w:jc w:val="center"/>
              </w:trPr>
              <w:tc>
                <w:tcPr>
                  <w:tcW w:w="1182" w:type="dxa"/>
                  <w:vAlign w:val="center"/>
                </w:tcPr>
                <w:p w14:paraId="7A3D2916" w14:textId="77777777" w:rsidR="00A8385A" w:rsidRPr="006F29F5" w:rsidRDefault="00A8385A" w:rsidP="00191325">
                  <w:pPr>
                    <w:spacing w:before="0" w:after="0"/>
                    <w:rPr>
                      <w:sz w:val="20"/>
                      <w:szCs w:val="21"/>
                    </w:rPr>
                  </w:pPr>
                  <w:r w:rsidRPr="006F29F5">
                    <w:rPr>
                      <w:sz w:val="20"/>
                      <w:szCs w:val="21"/>
                    </w:rPr>
                    <w:t>Canada</w:t>
                  </w:r>
                </w:p>
              </w:tc>
              <w:tc>
                <w:tcPr>
                  <w:tcW w:w="1567" w:type="dxa"/>
                  <w:vAlign w:val="center"/>
                </w:tcPr>
                <w:p w14:paraId="175E2702" w14:textId="77777777" w:rsidR="00A8385A" w:rsidRPr="006F29F5" w:rsidRDefault="00A8385A" w:rsidP="00191325">
                  <w:pPr>
                    <w:spacing w:before="0" w:after="0"/>
                    <w:rPr>
                      <w:sz w:val="20"/>
                      <w:szCs w:val="21"/>
                    </w:rPr>
                  </w:pPr>
                  <w:r w:rsidRPr="006F29F5">
                    <w:rPr>
                      <w:sz w:val="20"/>
                      <w:szCs w:val="21"/>
                    </w:rPr>
                    <w:t>0</w:t>
                  </w:r>
                </w:p>
              </w:tc>
              <w:tc>
                <w:tcPr>
                  <w:tcW w:w="1569" w:type="dxa"/>
                  <w:vAlign w:val="center"/>
                </w:tcPr>
                <w:p w14:paraId="120B2E81" w14:textId="77777777" w:rsidR="00A8385A" w:rsidRPr="006F29F5" w:rsidRDefault="00A8385A" w:rsidP="00191325">
                  <w:pPr>
                    <w:spacing w:before="0" w:after="0"/>
                    <w:rPr>
                      <w:sz w:val="20"/>
                      <w:szCs w:val="21"/>
                    </w:rPr>
                  </w:pPr>
                  <w:r w:rsidRPr="006F29F5">
                    <w:rPr>
                      <w:sz w:val="20"/>
                      <w:szCs w:val="21"/>
                    </w:rPr>
                    <w:t>0</w:t>
                  </w:r>
                </w:p>
              </w:tc>
              <w:tc>
                <w:tcPr>
                  <w:tcW w:w="1567" w:type="dxa"/>
                  <w:vAlign w:val="center"/>
                </w:tcPr>
                <w:p w14:paraId="5203B5DF" w14:textId="77777777" w:rsidR="00A8385A" w:rsidRPr="006F29F5" w:rsidRDefault="00A8385A" w:rsidP="00191325">
                  <w:pPr>
                    <w:spacing w:before="0" w:after="0"/>
                    <w:rPr>
                      <w:sz w:val="20"/>
                      <w:szCs w:val="21"/>
                    </w:rPr>
                  </w:pPr>
                  <w:r w:rsidRPr="006F29F5">
                    <w:rPr>
                      <w:sz w:val="20"/>
                      <w:szCs w:val="21"/>
                    </w:rPr>
                    <w:t>3</w:t>
                  </w:r>
                </w:p>
              </w:tc>
              <w:tc>
                <w:tcPr>
                  <w:tcW w:w="1567" w:type="dxa"/>
                  <w:vAlign w:val="center"/>
                </w:tcPr>
                <w:p w14:paraId="73650FE3" w14:textId="77777777" w:rsidR="00A8385A" w:rsidRPr="006F29F5" w:rsidRDefault="00A8385A" w:rsidP="00191325">
                  <w:pPr>
                    <w:spacing w:before="0" w:after="0"/>
                    <w:rPr>
                      <w:sz w:val="20"/>
                      <w:szCs w:val="21"/>
                    </w:rPr>
                  </w:pPr>
                  <w:r w:rsidRPr="006F29F5">
                    <w:rPr>
                      <w:sz w:val="20"/>
                      <w:szCs w:val="21"/>
                    </w:rPr>
                    <w:t>0</w:t>
                  </w:r>
                </w:p>
              </w:tc>
            </w:tr>
            <w:tr w:rsidR="00A8385A" w:rsidRPr="006F29F5" w14:paraId="1F3C71FD" w14:textId="77777777" w:rsidTr="00191325">
              <w:trPr>
                <w:trHeight w:val="66"/>
                <w:jc w:val="center"/>
              </w:trPr>
              <w:tc>
                <w:tcPr>
                  <w:tcW w:w="1182" w:type="dxa"/>
                  <w:vAlign w:val="center"/>
                </w:tcPr>
                <w:p w14:paraId="5DF98463" w14:textId="77777777" w:rsidR="00A8385A" w:rsidRPr="006F29F5" w:rsidRDefault="00A8385A" w:rsidP="00191325">
                  <w:pPr>
                    <w:spacing w:before="0" w:after="0"/>
                    <w:rPr>
                      <w:sz w:val="20"/>
                      <w:szCs w:val="21"/>
                    </w:rPr>
                  </w:pPr>
                  <w:r w:rsidRPr="006F29F5">
                    <w:rPr>
                      <w:sz w:val="20"/>
                      <w:szCs w:val="21"/>
                    </w:rPr>
                    <w:t>Luxembourg</w:t>
                  </w:r>
                </w:p>
              </w:tc>
              <w:tc>
                <w:tcPr>
                  <w:tcW w:w="1567" w:type="dxa"/>
                  <w:vAlign w:val="center"/>
                </w:tcPr>
                <w:p w14:paraId="4858A407" w14:textId="77777777" w:rsidR="00A8385A" w:rsidRPr="006F29F5" w:rsidRDefault="00A8385A" w:rsidP="00191325">
                  <w:pPr>
                    <w:spacing w:before="0" w:after="0"/>
                    <w:rPr>
                      <w:sz w:val="20"/>
                      <w:szCs w:val="21"/>
                    </w:rPr>
                  </w:pPr>
                  <w:r w:rsidRPr="006F29F5">
                    <w:rPr>
                      <w:sz w:val="20"/>
                      <w:szCs w:val="21"/>
                    </w:rPr>
                    <w:t>508</w:t>
                  </w:r>
                </w:p>
              </w:tc>
              <w:tc>
                <w:tcPr>
                  <w:tcW w:w="1569" w:type="dxa"/>
                  <w:vAlign w:val="center"/>
                </w:tcPr>
                <w:p w14:paraId="0B998720" w14:textId="77777777" w:rsidR="00A8385A" w:rsidRPr="006F29F5" w:rsidRDefault="00A8385A" w:rsidP="00191325">
                  <w:pPr>
                    <w:spacing w:before="0" w:after="0"/>
                    <w:rPr>
                      <w:sz w:val="20"/>
                      <w:szCs w:val="21"/>
                    </w:rPr>
                  </w:pPr>
                  <w:r w:rsidRPr="006F29F5">
                    <w:rPr>
                      <w:sz w:val="20"/>
                      <w:szCs w:val="21"/>
                    </w:rPr>
                    <w:t>0</w:t>
                  </w:r>
                </w:p>
              </w:tc>
              <w:tc>
                <w:tcPr>
                  <w:tcW w:w="1567" w:type="dxa"/>
                  <w:vAlign w:val="center"/>
                </w:tcPr>
                <w:p w14:paraId="1BE17D4A" w14:textId="77777777" w:rsidR="00A8385A" w:rsidRPr="006F29F5" w:rsidRDefault="00A8385A" w:rsidP="00191325">
                  <w:pPr>
                    <w:spacing w:before="0" w:after="0"/>
                    <w:rPr>
                      <w:sz w:val="20"/>
                      <w:szCs w:val="21"/>
                    </w:rPr>
                  </w:pPr>
                  <w:r w:rsidRPr="006F29F5">
                    <w:rPr>
                      <w:sz w:val="20"/>
                      <w:szCs w:val="21"/>
                    </w:rPr>
                    <w:t>27</w:t>
                  </w:r>
                </w:p>
              </w:tc>
              <w:tc>
                <w:tcPr>
                  <w:tcW w:w="1567" w:type="dxa"/>
                  <w:vAlign w:val="center"/>
                </w:tcPr>
                <w:p w14:paraId="34904F3C" w14:textId="77777777" w:rsidR="00A8385A" w:rsidRPr="006F29F5" w:rsidRDefault="00A8385A" w:rsidP="00191325">
                  <w:pPr>
                    <w:spacing w:before="0" w:after="0"/>
                    <w:rPr>
                      <w:sz w:val="20"/>
                      <w:szCs w:val="21"/>
                    </w:rPr>
                  </w:pPr>
                  <w:r w:rsidRPr="006F29F5">
                    <w:rPr>
                      <w:sz w:val="20"/>
                      <w:szCs w:val="21"/>
                    </w:rPr>
                    <w:t>0</w:t>
                  </w:r>
                </w:p>
              </w:tc>
            </w:tr>
            <w:tr w:rsidR="00A8385A" w:rsidRPr="006F29F5" w14:paraId="14AB793E" w14:textId="77777777" w:rsidTr="00191325">
              <w:trPr>
                <w:trHeight w:val="66"/>
                <w:jc w:val="center"/>
              </w:trPr>
              <w:tc>
                <w:tcPr>
                  <w:tcW w:w="1182" w:type="dxa"/>
                  <w:vAlign w:val="center"/>
                </w:tcPr>
                <w:p w14:paraId="6CEDAB6F" w14:textId="77777777" w:rsidR="00A8385A" w:rsidRPr="006F29F5" w:rsidRDefault="00A8385A" w:rsidP="00191325">
                  <w:pPr>
                    <w:spacing w:before="0" w:after="0"/>
                    <w:rPr>
                      <w:sz w:val="20"/>
                      <w:szCs w:val="21"/>
                    </w:rPr>
                  </w:pPr>
                  <w:r w:rsidRPr="006F29F5">
                    <w:rPr>
                      <w:sz w:val="20"/>
                      <w:szCs w:val="21"/>
                    </w:rPr>
                    <w:t>Australia</w:t>
                  </w:r>
                </w:p>
              </w:tc>
              <w:tc>
                <w:tcPr>
                  <w:tcW w:w="1567" w:type="dxa"/>
                  <w:vAlign w:val="center"/>
                </w:tcPr>
                <w:p w14:paraId="74D6A7D3" w14:textId="77777777" w:rsidR="00A8385A" w:rsidRPr="006F29F5" w:rsidRDefault="00A8385A" w:rsidP="00191325">
                  <w:pPr>
                    <w:spacing w:before="0" w:after="0"/>
                    <w:rPr>
                      <w:sz w:val="20"/>
                      <w:szCs w:val="21"/>
                    </w:rPr>
                  </w:pPr>
                  <w:r w:rsidRPr="006F29F5">
                    <w:rPr>
                      <w:sz w:val="20"/>
                      <w:szCs w:val="21"/>
                    </w:rPr>
                    <w:t>7</w:t>
                  </w:r>
                </w:p>
              </w:tc>
              <w:tc>
                <w:tcPr>
                  <w:tcW w:w="1569" w:type="dxa"/>
                  <w:vAlign w:val="center"/>
                </w:tcPr>
                <w:p w14:paraId="69F13612" w14:textId="77777777" w:rsidR="00A8385A" w:rsidRPr="006F29F5" w:rsidRDefault="00A8385A" w:rsidP="00191325">
                  <w:pPr>
                    <w:spacing w:before="0" w:after="0"/>
                    <w:rPr>
                      <w:sz w:val="20"/>
                      <w:szCs w:val="21"/>
                    </w:rPr>
                  </w:pPr>
                  <w:r w:rsidRPr="006F29F5">
                    <w:rPr>
                      <w:sz w:val="20"/>
                      <w:szCs w:val="21"/>
                    </w:rPr>
                    <w:t>8</w:t>
                  </w:r>
                </w:p>
              </w:tc>
              <w:tc>
                <w:tcPr>
                  <w:tcW w:w="1567" w:type="dxa"/>
                  <w:vAlign w:val="center"/>
                </w:tcPr>
                <w:p w14:paraId="65B44A72" w14:textId="77777777" w:rsidR="00A8385A" w:rsidRPr="006F29F5" w:rsidRDefault="00A8385A" w:rsidP="00191325">
                  <w:pPr>
                    <w:spacing w:before="0" w:after="0"/>
                    <w:rPr>
                      <w:sz w:val="20"/>
                      <w:szCs w:val="21"/>
                    </w:rPr>
                  </w:pPr>
                  <w:r w:rsidRPr="006F29F5">
                    <w:rPr>
                      <w:sz w:val="20"/>
                      <w:szCs w:val="21"/>
                    </w:rPr>
                    <w:t>0</w:t>
                  </w:r>
                </w:p>
              </w:tc>
              <w:tc>
                <w:tcPr>
                  <w:tcW w:w="1567" w:type="dxa"/>
                  <w:vAlign w:val="center"/>
                </w:tcPr>
                <w:p w14:paraId="5098E58F" w14:textId="77777777" w:rsidR="00A8385A" w:rsidRPr="006F29F5" w:rsidRDefault="00A8385A" w:rsidP="00191325">
                  <w:pPr>
                    <w:spacing w:before="0" w:after="0"/>
                    <w:rPr>
                      <w:sz w:val="20"/>
                      <w:szCs w:val="21"/>
                    </w:rPr>
                  </w:pPr>
                  <w:r w:rsidRPr="006F29F5">
                    <w:rPr>
                      <w:sz w:val="20"/>
                      <w:szCs w:val="21"/>
                    </w:rPr>
                    <w:t>0</w:t>
                  </w:r>
                </w:p>
              </w:tc>
            </w:tr>
            <w:tr w:rsidR="00A8385A" w:rsidRPr="006F29F5" w14:paraId="1E2474E7" w14:textId="77777777" w:rsidTr="00191325">
              <w:trPr>
                <w:trHeight w:val="66"/>
                <w:jc w:val="center"/>
              </w:trPr>
              <w:tc>
                <w:tcPr>
                  <w:tcW w:w="1182" w:type="dxa"/>
                  <w:vAlign w:val="center"/>
                </w:tcPr>
                <w:p w14:paraId="1156EE48" w14:textId="77777777" w:rsidR="00A8385A" w:rsidRPr="006F29F5" w:rsidRDefault="00A8385A" w:rsidP="00191325">
                  <w:pPr>
                    <w:spacing w:before="0" w:after="0"/>
                    <w:rPr>
                      <w:sz w:val="20"/>
                      <w:szCs w:val="21"/>
                    </w:rPr>
                  </w:pPr>
                  <w:r w:rsidRPr="006F29F5">
                    <w:rPr>
                      <w:sz w:val="20"/>
                      <w:szCs w:val="21"/>
                    </w:rPr>
                    <w:t>France</w:t>
                  </w:r>
                </w:p>
              </w:tc>
              <w:tc>
                <w:tcPr>
                  <w:tcW w:w="1567" w:type="dxa"/>
                  <w:vAlign w:val="center"/>
                </w:tcPr>
                <w:p w14:paraId="4F0000D2" w14:textId="77777777" w:rsidR="00A8385A" w:rsidRPr="006F29F5" w:rsidRDefault="00A8385A" w:rsidP="00191325">
                  <w:pPr>
                    <w:spacing w:before="0" w:after="0"/>
                    <w:rPr>
                      <w:sz w:val="20"/>
                      <w:szCs w:val="21"/>
                    </w:rPr>
                  </w:pPr>
                  <w:r w:rsidRPr="006F29F5">
                    <w:rPr>
                      <w:sz w:val="20"/>
                      <w:szCs w:val="21"/>
                    </w:rPr>
                    <w:t>1</w:t>
                  </w:r>
                </w:p>
              </w:tc>
              <w:tc>
                <w:tcPr>
                  <w:tcW w:w="1569" w:type="dxa"/>
                  <w:vAlign w:val="center"/>
                </w:tcPr>
                <w:p w14:paraId="4E2C48C3" w14:textId="77777777" w:rsidR="00A8385A" w:rsidRPr="006F29F5" w:rsidRDefault="00A8385A" w:rsidP="00191325">
                  <w:pPr>
                    <w:spacing w:before="0" w:after="0"/>
                    <w:rPr>
                      <w:sz w:val="20"/>
                      <w:szCs w:val="21"/>
                    </w:rPr>
                  </w:pPr>
                  <w:r w:rsidRPr="006F29F5">
                    <w:rPr>
                      <w:sz w:val="20"/>
                      <w:szCs w:val="21"/>
                    </w:rPr>
                    <w:t>0</w:t>
                  </w:r>
                </w:p>
              </w:tc>
              <w:tc>
                <w:tcPr>
                  <w:tcW w:w="1567" w:type="dxa"/>
                  <w:vAlign w:val="center"/>
                </w:tcPr>
                <w:p w14:paraId="13F03DD4" w14:textId="77777777" w:rsidR="00A8385A" w:rsidRPr="006F29F5" w:rsidRDefault="00A8385A" w:rsidP="00191325">
                  <w:pPr>
                    <w:spacing w:before="0" w:after="0"/>
                    <w:rPr>
                      <w:sz w:val="20"/>
                      <w:szCs w:val="21"/>
                    </w:rPr>
                  </w:pPr>
                  <w:r w:rsidRPr="006F29F5">
                    <w:rPr>
                      <w:sz w:val="20"/>
                      <w:szCs w:val="21"/>
                    </w:rPr>
                    <w:t>0</w:t>
                  </w:r>
                </w:p>
              </w:tc>
              <w:tc>
                <w:tcPr>
                  <w:tcW w:w="1567" w:type="dxa"/>
                  <w:vAlign w:val="center"/>
                </w:tcPr>
                <w:p w14:paraId="0280B175" w14:textId="77777777" w:rsidR="00A8385A" w:rsidRPr="006F29F5" w:rsidRDefault="00A8385A" w:rsidP="00191325">
                  <w:pPr>
                    <w:spacing w:before="0" w:after="0"/>
                    <w:rPr>
                      <w:sz w:val="20"/>
                      <w:szCs w:val="21"/>
                    </w:rPr>
                  </w:pPr>
                  <w:r w:rsidRPr="006F29F5">
                    <w:rPr>
                      <w:sz w:val="20"/>
                      <w:szCs w:val="21"/>
                    </w:rPr>
                    <w:t>0</w:t>
                  </w:r>
                </w:p>
              </w:tc>
            </w:tr>
            <w:tr w:rsidR="00A8385A" w:rsidRPr="006F29F5" w14:paraId="144075A6" w14:textId="77777777" w:rsidTr="00191325">
              <w:trPr>
                <w:trHeight w:val="66"/>
                <w:jc w:val="center"/>
              </w:trPr>
              <w:tc>
                <w:tcPr>
                  <w:tcW w:w="1182" w:type="dxa"/>
                  <w:vAlign w:val="center"/>
                </w:tcPr>
                <w:p w14:paraId="77A57984" w14:textId="77777777" w:rsidR="00A8385A" w:rsidRPr="006F29F5" w:rsidRDefault="00A8385A" w:rsidP="00191325">
                  <w:pPr>
                    <w:spacing w:before="0" w:after="0"/>
                    <w:rPr>
                      <w:sz w:val="20"/>
                      <w:szCs w:val="21"/>
                    </w:rPr>
                  </w:pPr>
                  <w:r w:rsidRPr="006F29F5">
                    <w:rPr>
                      <w:sz w:val="20"/>
                      <w:szCs w:val="21"/>
                    </w:rPr>
                    <w:t>Portugal</w:t>
                  </w:r>
                </w:p>
              </w:tc>
              <w:tc>
                <w:tcPr>
                  <w:tcW w:w="1567" w:type="dxa"/>
                  <w:vAlign w:val="center"/>
                </w:tcPr>
                <w:p w14:paraId="2233A541" w14:textId="77777777" w:rsidR="00A8385A" w:rsidRPr="006F29F5" w:rsidRDefault="00A8385A" w:rsidP="00191325">
                  <w:pPr>
                    <w:spacing w:before="0" w:after="0"/>
                    <w:rPr>
                      <w:sz w:val="20"/>
                      <w:szCs w:val="21"/>
                    </w:rPr>
                  </w:pPr>
                  <w:r w:rsidRPr="006F29F5">
                    <w:rPr>
                      <w:sz w:val="20"/>
                      <w:szCs w:val="21"/>
                    </w:rPr>
                    <w:t>0</w:t>
                  </w:r>
                </w:p>
              </w:tc>
              <w:tc>
                <w:tcPr>
                  <w:tcW w:w="1569" w:type="dxa"/>
                  <w:vAlign w:val="center"/>
                </w:tcPr>
                <w:p w14:paraId="32578276" w14:textId="77777777" w:rsidR="00A8385A" w:rsidRPr="006F29F5" w:rsidRDefault="00A8385A" w:rsidP="00191325">
                  <w:pPr>
                    <w:spacing w:before="0" w:after="0"/>
                    <w:rPr>
                      <w:sz w:val="20"/>
                      <w:szCs w:val="21"/>
                    </w:rPr>
                  </w:pPr>
                  <w:r w:rsidRPr="006F29F5">
                    <w:rPr>
                      <w:sz w:val="20"/>
                      <w:szCs w:val="21"/>
                    </w:rPr>
                    <w:t>0</w:t>
                  </w:r>
                </w:p>
              </w:tc>
              <w:tc>
                <w:tcPr>
                  <w:tcW w:w="1567" w:type="dxa"/>
                  <w:vAlign w:val="center"/>
                </w:tcPr>
                <w:p w14:paraId="6234A628" w14:textId="77777777" w:rsidR="00A8385A" w:rsidRPr="006F29F5" w:rsidRDefault="00A8385A" w:rsidP="00191325">
                  <w:pPr>
                    <w:spacing w:before="0" w:after="0"/>
                    <w:rPr>
                      <w:sz w:val="20"/>
                      <w:szCs w:val="21"/>
                    </w:rPr>
                  </w:pPr>
                  <w:r w:rsidRPr="006F29F5">
                    <w:rPr>
                      <w:sz w:val="20"/>
                      <w:szCs w:val="21"/>
                    </w:rPr>
                    <w:t>18</w:t>
                  </w:r>
                </w:p>
              </w:tc>
              <w:tc>
                <w:tcPr>
                  <w:tcW w:w="1567" w:type="dxa"/>
                  <w:vAlign w:val="center"/>
                </w:tcPr>
                <w:p w14:paraId="18D73CB4" w14:textId="77777777" w:rsidR="00A8385A" w:rsidRPr="006F29F5" w:rsidRDefault="00A8385A" w:rsidP="00191325">
                  <w:pPr>
                    <w:spacing w:before="0" w:after="0"/>
                    <w:rPr>
                      <w:sz w:val="20"/>
                      <w:szCs w:val="21"/>
                    </w:rPr>
                  </w:pPr>
                  <w:r w:rsidRPr="006F29F5">
                    <w:rPr>
                      <w:sz w:val="20"/>
                      <w:szCs w:val="21"/>
                    </w:rPr>
                    <w:t>0</w:t>
                  </w:r>
                </w:p>
              </w:tc>
            </w:tr>
            <w:tr w:rsidR="00A8385A" w:rsidRPr="006F29F5" w14:paraId="0F2CEF49" w14:textId="77777777" w:rsidTr="00191325">
              <w:trPr>
                <w:trHeight w:val="66"/>
                <w:jc w:val="center"/>
              </w:trPr>
              <w:tc>
                <w:tcPr>
                  <w:tcW w:w="1182" w:type="dxa"/>
                  <w:vAlign w:val="center"/>
                </w:tcPr>
                <w:p w14:paraId="07EE13E3" w14:textId="77777777" w:rsidR="00A8385A" w:rsidRPr="006F29F5" w:rsidRDefault="00A8385A" w:rsidP="00191325">
                  <w:pPr>
                    <w:spacing w:before="0" w:after="0"/>
                    <w:rPr>
                      <w:sz w:val="20"/>
                      <w:szCs w:val="21"/>
                    </w:rPr>
                  </w:pPr>
                  <w:r w:rsidRPr="006F29F5">
                    <w:rPr>
                      <w:sz w:val="20"/>
                      <w:szCs w:val="21"/>
                    </w:rPr>
                    <w:t>Netherlands</w:t>
                  </w:r>
                </w:p>
              </w:tc>
              <w:tc>
                <w:tcPr>
                  <w:tcW w:w="1567" w:type="dxa"/>
                  <w:vAlign w:val="center"/>
                </w:tcPr>
                <w:p w14:paraId="537D8FE1" w14:textId="77777777" w:rsidR="00A8385A" w:rsidRPr="006F29F5" w:rsidRDefault="00A8385A" w:rsidP="00191325">
                  <w:pPr>
                    <w:spacing w:before="0" w:after="0"/>
                    <w:rPr>
                      <w:sz w:val="20"/>
                      <w:szCs w:val="21"/>
                    </w:rPr>
                  </w:pPr>
                  <w:r w:rsidRPr="006F29F5">
                    <w:rPr>
                      <w:sz w:val="20"/>
                      <w:szCs w:val="21"/>
                    </w:rPr>
                    <w:t>0</w:t>
                  </w:r>
                </w:p>
              </w:tc>
              <w:tc>
                <w:tcPr>
                  <w:tcW w:w="1569" w:type="dxa"/>
                  <w:vAlign w:val="center"/>
                </w:tcPr>
                <w:p w14:paraId="13058F38" w14:textId="77777777" w:rsidR="00A8385A" w:rsidRPr="006F29F5" w:rsidRDefault="00A8385A" w:rsidP="00191325">
                  <w:pPr>
                    <w:spacing w:before="0" w:after="0"/>
                    <w:rPr>
                      <w:sz w:val="20"/>
                      <w:szCs w:val="21"/>
                    </w:rPr>
                  </w:pPr>
                  <w:r w:rsidRPr="006F29F5">
                    <w:rPr>
                      <w:sz w:val="20"/>
                      <w:szCs w:val="21"/>
                    </w:rPr>
                    <w:t>0</w:t>
                  </w:r>
                </w:p>
              </w:tc>
              <w:tc>
                <w:tcPr>
                  <w:tcW w:w="1567" w:type="dxa"/>
                  <w:vAlign w:val="center"/>
                </w:tcPr>
                <w:p w14:paraId="57542112" w14:textId="77777777" w:rsidR="00A8385A" w:rsidRPr="006F29F5" w:rsidRDefault="00A8385A" w:rsidP="00191325">
                  <w:pPr>
                    <w:spacing w:before="0" w:after="0"/>
                    <w:rPr>
                      <w:sz w:val="20"/>
                      <w:szCs w:val="21"/>
                    </w:rPr>
                  </w:pPr>
                  <w:r w:rsidRPr="006F29F5">
                    <w:rPr>
                      <w:sz w:val="20"/>
                      <w:szCs w:val="21"/>
                    </w:rPr>
                    <w:t>1</w:t>
                  </w:r>
                </w:p>
              </w:tc>
              <w:tc>
                <w:tcPr>
                  <w:tcW w:w="1567" w:type="dxa"/>
                  <w:vAlign w:val="center"/>
                </w:tcPr>
                <w:p w14:paraId="5185A58D" w14:textId="77777777" w:rsidR="00A8385A" w:rsidRPr="006F29F5" w:rsidRDefault="00A8385A" w:rsidP="00191325">
                  <w:pPr>
                    <w:spacing w:before="0" w:after="0"/>
                    <w:rPr>
                      <w:sz w:val="20"/>
                      <w:szCs w:val="21"/>
                    </w:rPr>
                  </w:pPr>
                  <w:r w:rsidRPr="006F29F5">
                    <w:rPr>
                      <w:sz w:val="20"/>
                      <w:szCs w:val="21"/>
                    </w:rPr>
                    <w:t>0</w:t>
                  </w:r>
                </w:p>
              </w:tc>
            </w:tr>
            <w:tr w:rsidR="00A8385A" w:rsidRPr="006F29F5" w14:paraId="37CF5C73" w14:textId="77777777" w:rsidTr="00191325">
              <w:trPr>
                <w:trHeight w:val="66"/>
                <w:jc w:val="center"/>
              </w:trPr>
              <w:tc>
                <w:tcPr>
                  <w:tcW w:w="1182" w:type="dxa"/>
                  <w:vAlign w:val="center"/>
                </w:tcPr>
                <w:p w14:paraId="49E48DEC" w14:textId="77777777" w:rsidR="00A8385A" w:rsidRPr="006F29F5" w:rsidRDefault="00A8385A" w:rsidP="00191325">
                  <w:pPr>
                    <w:spacing w:before="0" w:after="0"/>
                    <w:rPr>
                      <w:sz w:val="20"/>
                      <w:szCs w:val="21"/>
                    </w:rPr>
                  </w:pPr>
                  <w:r w:rsidRPr="006F29F5">
                    <w:rPr>
                      <w:sz w:val="20"/>
                      <w:szCs w:val="21"/>
                    </w:rPr>
                    <w:t>Belgium</w:t>
                  </w:r>
                </w:p>
              </w:tc>
              <w:tc>
                <w:tcPr>
                  <w:tcW w:w="1567" w:type="dxa"/>
                  <w:vAlign w:val="center"/>
                </w:tcPr>
                <w:p w14:paraId="60257EBC" w14:textId="77777777" w:rsidR="00A8385A" w:rsidRPr="006F29F5" w:rsidRDefault="00A8385A" w:rsidP="00191325">
                  <w:pPr>
                    <w:spacing w:before="0" w:after="0"/>
                    <w:rPr>
                      <w:sz w:val="20"/>
                      <w:szCs w:val="21"/>
                    </w:rPr>
                  </w:pPr>
                  <w:r w:rsidRPr="006F29F5">
                    <w:rPr>
                      <w:sz w:val="20"/>
                      <w:szCs w:val="21"/>
                    </w:rPr>
                    <w:t>0</w:t>
                  </w:r>
                </w:p>
              </w:tc>
              <w:tc>
                <w:tcPr>
                  <w:tcW w:w="1569" w:type="dxa"/>
                  <w:vAlign w:val="center"/>
                </w:tcPr>
                <w:p w14:paraId="197BD0A2" w14:textId="77777777" w:rsidR="00A8385A" w:rsidRPr="006F29F5" w:rsidRDefault="00A8385A" w:rsidP="00191325">
                  <w:pPr>
                    <w:spacing w:before="0" w:after="0"/>
                    <w:rPr>
                      <w:sz w:val="20"/>
                      <w:szCs w:val="21"/>
                    </w:rPr>
                  </w:pPr>
                  <w:r w:rsidRPr="006F29F5">
                    <w:rPr>
                      <w:sz w:val="20"/>
                      <w:szCs w:val="21"/>
                    </w:rPr>
                    <w:t>0</w:t>
                  </w:r>
                </w:p>
              </w:tc>
              <w:tc>
                <w:tcPr>
                  <w:tcW w:w="1567" w:type="dxa"/>
                  <w:vAlign w:val="center"/>
                </w:tcPr>
                <w:p w14:paraId="3DFFA4A1" w14:textId="77777777" w:rsidR="00A8385A" w:rsidRPr="006F29F5" w:rsidRDefault="00A8385A" w:rsidP="00191325">
                  <w:pPr>
                    <w:spacing w:before="0" w:after="0"/>
                    <w:rPr>
                      <w:sz w:val="20"/>
                      <w:szCs w:val="21"/>
                    </w:rPr>
                  </w:pPr>
                  <w:r w:rsidRPr="006F29F5">
                    <w:rPr>
                      <w:sz w:val="20"/>
                      <w:szCs w:val="21"/>
                    </w:rPr>
                    <w:t>0.3</w:t>
                  </w:r>
                </w:p>
              </w:tc>
              <w:tc>
                <w:tcPr>
                  <w:tcW w:w="1567" w:type="dxa"/>
                  <w:vAlign w:val="center"/>
                </w:tcPr>
                <w:p w14:paraId="135B7CCC" w14:textId="77777777" w:rsidR="00A8385A" w:rsidRPr="006F29F5" w:rsidRDefault="00A8385A" w:rsidP="00191325">
                  <w:pPr>
                    <w:spacing w:before="0" w:after="0"/>
                    <w:rPr>
                      <w:sz w:val="20"/>
                      <w:szCs w:val="21"/>
                    </w:rPr>
                  </w:pPr>
                  <w:r w:rsidRPr="006F29F5">
                    <w:rPr>
                      <w:sz w:val="20"/>
                      <w:szCs w:val="21"/>
                    </w:rPr>
                    <w:t>0</w:t>
                  </w:r>
                </w:p>
              </w:tc>
            </w:tr>
            <w:tr w:rsidR="00A8385A" w:rsidRPr="006F29F5" w14:paraId="2151202F" w14:textId="77777777" w:rsidTr="00191325">
              <w:trPr>
                <w:trHeight w:val="66"/>
                <w:jc w:val="center"/>
              </w:trPr>
              <w:tc>
                <w:tcPr>
                  <w:tcW w:w="1182" w:type="dxa"/>
                  <w:vAlign w:val="center"/>
                </w:tcPr>
                <w:p w14:paraId="291A866A" w14:textId="77777777" w:rsidR="00A8385A" w:rsidRPr="006F29F5" w:rsidRDefault="00A8385A" w:rsidP="00191325">
                  <w:pPr>
                    <w:spacing w:before="0" w:after="0"/>
                    <w:rPr>
                      <w:b/>
                      <w:sz w:val="20"/>
                      <w:szCs w:val="21"/>
                    </w:rPr>
                  </w:pPr>
                  <w:r w:rsidRPr="006F29F5">
                    <w:rPr>
                      <w:b/>
                      <w:sz w:val="20"/>
                      <w:szCs w:val="21"/>
                    </w:rPr>
                    <w:t>TOTAL</w:t>
                  </w:r>
                </w:p>
              </w:tc>
              <w:tc>
                <w:tcPr>
                  <w:tcW w:w="1567" w:type="dxa"/>
                  <w:vAlign w:val="center"/>
                </w:tcPr>
                <w:p w14:paraId="79A353CA" w14:textId="77777777" w:rsidR="00A8385A" w:rsidRPr="006F29F5" w:rsidRDefault="00A8385A" w:rsidP="00191325">
                  <w:pPr>
                    <w:spacing w:before="0" w:after="0"/>
                    <w:rPr>
                      <w:sz w:val="20"/>
                      <w:szCs w:val="21"/>
                    </w:rPr>
                  </w:pPr>
                  <w:r w:rsidRPr="006F29F5">
                    <w:rPr>
                      <w:sz w:val="20"/>
                      <w:szCs w:val="21"/>
                    </w:rPr>
                    <w:t>1.225 billion</w:t>
                  </w:r>
                </w:p>
              </w:tc>
              <w:tc>
                <w:tcPr>
                  <w:tcW w:w="1569" w:type="dxa"/>
                  <w:vAlign w:val="center"/>
                </w:tcPr>
                <w:p w14:paraId="09D270EF" w14:textId="77777777" w:rsidR="00A8385A" w:rsidRPr="006F29F5" w:rsidRDefault="00A8385A" w:rsidP="00191325">
                  <w:pPr>
                    <w:spacing w:before="0" w:after="0"/>
                    <w:rPr>
                      <w:sz w:val="20"/>
                      <w:szCs w:val="21"/>
                    </w:rPr>
                  </w:pPr>
                  <w:r w:rsidRPr="006F29F5">
                    <w:rPr>
                      <w:sz w:val="20"/>
                      <w:szCs w:val="21"/>
                    </w:rPr>
                    <w:t>276 million</w:t>
                  </w:r>
                </w:p>
              </w:tc>
              <w:tc>
                <w:tcPr>
                  <w:tcW w:w="1567" w:type="dxa"/>
                  <w:vAlign w:val="center"/>
                </w:tcPr>
                <w:p w14:paraId="694340BC" w14:textId="77777777" w:rsidR="00A8385A" w:rsidRPr="006F29F5" w:rsidRDefault="00A8385A" w:rsidP="00191325">
                  <w:pPr>
                    <w:spacing w:before="0" w:after="0"/>
                    <w:rPr>
                      <w:sz w:val="20"/>
                      <w:szCs w:val="21"/>
                    </w:rPr>
                  </w:pPr>
                  <w:r w:rsidRPr="006F29F5">
                    <w:rPr>
                      <w:sz w:val="20"/>
                      <w:szCs w:val="21"/>
                    </w:rPr>
                    <w:t>1.398 billion</w:t>
                  </w:r>
                </w:p>
              </w:tc>
              <w:tc>
                <w:tcPr>
                  <w:tcW w:w="1567" w:type="dxa"/>
                  <w:vAlign w:val="center"/>
                </w:tcPr>
                <w:p w14:paraId="54176A2D" w14:textId="77777777" w:rsidR="00A8385A" w:rsidRPr="006F29F5" w:rsidRDefault="00A8385A" w:rsidP="00191325">
                  <w:pPr>
                    <w:spacing w:before="0" w:after="0"/>
                    <w:rPr>
                      <w:sz w:val="20"/>
                      <w:szCs w:val="21"/>
                    </w:rPr>
                  </w:pPr>
                  <w:r w:rsidRPr="006F29F5">
                    <w:rPr>
                      <w:sz w:val="20"/>
                      <w:szCs w:val="21"/>
                    </w:rPr>
                    <w:t>147 million</w:t>
                  </w:r>
                </w:p>
              </w:tc>
            </w:tr>
          </w:tbl>
          <w:p w14:paraId="404C6AC3" w14:textId="77777777" w:rsidR="00A8385A" w:rsidRPr="006F29F5" w:rsidRDefault="00A8385A" w:rsidP="00191325">
            <w:pPr>
              <w:spacing w:before="120"/>
              <w:rPr>
                <w:sz w:val="20"/>
              </w:rPr>
            </w:pPr>
            <w:r w:rsidRPr="006F29F5">
              <w:rPr>
                <w:sz w:val="18"/>
                <w:szCs w:val="21"/>
              </w:rPr>
              <w:t>[</w:t>
            </w:r>
            <w:r w:rsidRPr="006F29F5">
              <w:rPr>
                <w:i/>
                <w:sz w:val="18"/>
                <w:szCs w:val="21"/>
              </w:rPr>
              <w:t>Note</w:t>
            </w:r>
            <w:r w:rsidRPr="006F29F5">
              <w:rPr>
                <w:sz w:val="18"/>
                <w:szCs w:val="21"/>
              </w:rPr>
              <w:t xml:space="preserve">. </w:t>
            </w:r>
            <w:r w:rsidRPr="006F29F5">
              <w:rPr>
                <w:sz w:val="18"/>
              </w:rPr>
              <w:t>This table has been constructed by us from Figures 5.1 and 5.2 of the report]</w:t>
            </w:r>
          </w:p>
          <w:p w14:paraId="4EA8A3D0" w14:textId="77777777" w:rsidR="00A8385A" w:rsidRPr="006F29F5" w:rsidRDefault="00A8385A" w:rsidP="00191325">
            <w:pPr>
              <w:rPr>
                <w:sz w:val="20"/>
                <w:szCs w:val="21"/>
              </w:rPr>
            </w:pPr>
            <w:r w:rsidRPr="006F29F5">
              <w:rPr>
                <w:sz w:val="20"/>
                <w:szCs w:val="21"/>
              </w:rPr>
              <w:t>Also, during 2010-June 2012, the majority of returned assets and 86% of total assets frozen went to non-OECD countries while in the 2006-09 period asset recovery mainly benefited OECD countries.</w:t>
            </w:r>
          </w:p>
          <w:p w14:paraId="36A14EC3" w14:textId="77777777" w:rsidR="00A8385A" w:rsidRPr="006F29F5" w:rsidRDefault="00A8385A" w:rsidP="00191325">
            <w:pPr>
              <w:rPr>
                <w:b/>
                <w:sz w:val="20"/>
                <w:szCs w:val="21"/>
              </w:rPr>
            </w:pPr>
            <w:r w:rsidRPr="006F29F5">
              <w:rPr>
                <w:b/>
                <w:sz w:val="20"/>
                <w:szCs w:val="21"/>
              </w:rPr>
              <w:t>Freezing stolen assets</w:t>
            </w:r>
          </w:p>
          <w:p w14:paraId="65574D67" w14:textId="77777777" w:rsidR="00A8385A" w:rsidRPr="006F29F5" w:rsidRDefault="00A8385A" w:rsidP="00191325">
            <w:pPr>
              <w:rPr>
                <w:sz w:val="20"/>
                <w:szCs w:val="21"/>
              </w:rPr>
            </w:pPr>
            <w:r w:rsidRPr="006F29F5">
              <w:rPr>
                <w:sz w:val="20"/>
                <w:szCs w:val="21"/>
              </w:rPr>
              <w:t>Figure 5.1 [see table above] shows the volume of frozen assets during the two survey periods for OECD countries. During the latter period (2010-June 2012), Switzerland accounted for the largest volume of frozen assets (56%), followed by the United Kingdom (32%) and the United States (8%). These countries all have large financial centres and have made asset recovery a political priority. Belgium, Canada, Luxembourg, the Netherlands and Portugal had also frozen some assets during this period. Many OECD countries have not frozen any corruption-related assets to date. While this may be due to legal and policy obstacles, it may also be that few illicit assets had been placed in these countries to start with.</w:t>
            </w:r>
            <w:r w:rsidRPr="006F29F5">
              <w:rPr>
                <w:b/>
                <w:noProof/>
                <w:sz w:val="20"/>
                <w:szCs w:val="21"/>
                <w:lang w:eastAsia="en-CA"/>
              </w:rPr>
              <w:t xml:space="preserve"> </w:t>
            </w:r>
          </w:p>
          <w:p w14:paraId="61415BF5" w14:textId="77777777" w:rsidR="00A8385A" w:rsidRPr="006F29F5" w:rsidRDefault="00A8385A" w:rsidP="00191325">
            <w:pPr>
              <w:rPr>
                <w:b/>
                <w:sz w:val="20"/>
                <w:szCs w:val="21"/>
              </w:rPr>
            </w:pPr>
            <w:r w:rsidRPr="006F29F5">
              <w:rPr>
                <w:b/>
                <w:sz w:val="20"/>
                <w:szCs w:val="21"/>
              </w:rPr>
              <w:t>Recovered stolen assets</w:t>
            </w:r>
          </w:p>
          <w:p w14:paraId="2371A34B" w14:textId="77777777" w:rsidR="00A8385A" w:rsidRPr="006F29F5" w:rsidRDefault="00A8385A" w:rsidP="00191325">
            <w:pPr>
              <w:rPr>
                <w:sz w:val="20"/>
                <w:szCs w:val="21"/>
              </w:rPr>
            </w:pPr>
            <w:r w:rsidRPr="006F29F5">
              <w:rPr>
                <w:sz w:val="20"/>
                <w:szCs w:val="21"/>
              </w:rPr>
              <w:t>Figure 5.2 [see table above] examines the USD 147 million in stolen assets that were returned to a foreign jurisdiction between 2010 and June 2012, and the USD 276 million returned between 2006 and 2009. From 2006 to 2009, four OECD member countries reported the return of corruption-related assets. More than half, 53%, was returned by Switzerland, and another large share, 44%, by the United States, while Australia (with 3%) and the United Kingdom (with 1%) accounted for much smaller returned amounts. Only three OECD countries had returned corruption-related assets between 2010-June 2012: the United Kingdom (45% of total assets returned) followed by the United States (41%) and Switzerland (14%).</w:t>
            </w:r>
          </w:p>
          <w:p w14:paraId="59922D31" w14:textId="77777777" w:rsidR="00A8385A" w:rsidRPr="006F29F5" w:rsidRDefault="00A8385A" w:rsidP="00191325">
            <w:pPr>
              <w:rPr>
                <w:color w:val="000000"/>
                <w:sz w:val="20"/>
                <w:szCs w:val="21"/>
              </w:rPr>
            </w:pPr>
            <w:r w:rsidRPr="006F29F5">
              <w:rPr>
                <w:b/>
                <w:sz w:val="20"/>
                <w:szCs w:val="21"/>
              </w:rPr>
              <w:t xml:space="preserve">5.2 </w:t>
            </w:r>
            <w:r w:rsidRPr="006F29F5">
              <w:rPr>
                <w:b/>
                <w:smallCaps/>
                <w:sz w:val="20"/>
                <w:szCs w:val="21"/>
              </w:rPr>
              <w:t>Asset Recovery in the Context of the Arab Spring</w:t>
            </w:r>
          </w:p>
          <w:p w14:paraId="57DC8C70" w14:textId="77777777" w:rsidR="00A8385A" w:rsidRPr="006F29F5" w:rsidRDefault="00A8385A" w:rsidP="00191325">
            <w:pPr>
              <w:rPr>
                <w:color w:val="000000"/>
                <w:sz w:val="20"/>
                <w:szCs w:val="21"/>
              </w:rPr>
            </w:pPr>
            <w:r w:rsidRPr="006F29F5">
              <w:rPr>
                <w:color w:val="000000"/>
                <w:sz w:val="20"/>
                <w:szCs w:val="21"/>
              </w:rPr>
              <w:t xml:space="preserve">The Arab Spring has helped focus attention on international asset recovery. As long-standing governments began to tumble in Tunisia, Egypt and Libya in early 2011, banks and governments the world over started freezing billions of dollars held by these countries’ previous leaders and their associates. For example, a mere hour after Egypt’s ex-president Hosni Mubarak stepped down in February 2011, the Swiss government ordered its banks to freeze his assets held in Switzerland on suspicion that they were the proceeds of corruption. Other OECD member countries followed suit. The European Union ordered an EU-wide freeze of assets linked to Tunisia’s ex-president Zine El </w:t>
            </w:r>
            <w:proofErr w:type="spellStart"/>
            <w:r w:rsidRPr="006F29F5">
              <w:rPr>
                <w:color w:val="000000"/>
                <w:sz w:val="20"/>
                <w:szCs w:val="21"/>
              </w:rPr>
              <w:t>Abidine</w:t>
            </w:r>
            <w:proofErr w:type="spellEnd"/>
            <w:r w:rsidRPr="006F29F5">
              <w:rPr>
                <w:color w:val="000000"/>
                <w:sz w:val="20"/>
                <w:szCs w:val="21"/>
              </w:rPr>
              <w:t xml:space="preserve"> Ben Ali in January 2011, and of assets linked to ex-President Hosni Mubarak in March the same year. Despite the heightened attention to asset recovery following the Arab Spring, relatively few assets have to date been returned to the affected countries, and the process of recovering the stolen assets is proving to be both long and cumbersome (</w:t>
            </w:r>
            <w:proofErr w:type="spellStart"/>
            <w:r w:rsidRPr="006F29F5">
              <w:rPr>
                <w:color w:val="000000"/>
                <w:sz w:val="20"/>
                <w:szCs w:val="21"/>
              </w:rPr>
              <w:t>Cadigan</w:t>
            </w:r>
            <w:proofErr w:type="spellEnd"/>
            <w:r w:rsidRPr="006F29F5">
              <w:rPr>
                <w:color w:val="000000"/>
                <w:sz w:val="20"/>
                <w:szCs w:val="21"/>
              </w:rPr>
              <w:t xml:space="preserve"> and </w:t>
            </w:r>
            <w:proofErr w:type="spellStart"/>
            <w:r w:rsidRPr="006F29F5">
              <w:rPr>
                <w:color w:val="000000"/>
                <w:sz w:val="20"/>
                <w:szCs w:val="21"/>
              </w:rPr>
              <w:t>Prieston</w:t>
            </w:r>
            <w:proofErr w:type="spellEnd"/>
            <w:r w:rsidRPr="006F29F5">
              <w:rPr>
                <w:color w:val="000000"/>
                <w:sz w:val="20"/>
                <w:szCs w:val="21"/>
              </w:rPr>
              <w:t>, 2011). The main obstacle to returning stolen assets to these countries is being able to provide solid enough proof that the assets were gained through corruption.</w:t>
            </w:r>
          </w:p>
          <w:p w14:paraId="43048425" w14:textId="77777777" w:rsidR="00A8385A" w:rsidRPr="006F29F5" w:rsidRDefault="00A8385A" w:rsidP="00191325">
            <w:pPr>
              <w:rPr>
                <w:sz w:val="20"/>
                <w:szCs w:val="21"/>
              </w:rPr>
            </w:pPr>
            <w:r w:rsidRPr="006F29F5">
              <w:rPr>
                <w:sz w:val="20"/>
                <w:szCs w:val="21"/>
              </w:rPr>
              <w:t xml:space="preserve">As a response to these challenges, several OECD member countries have aided the process of bringing forth asset recovery cases and delivering such proof. Switzerland has sent judicial experts to both Egypt and Tunisia; US investigators and prosecutors have visited Egypt, Libya and Tunisia to work directly with their requesting country officials; and Canada has provided assistance on asset recovery to Tunisian officials. </w:t>
            </w:r>
          </w:p>
          <w:p w14:paraId="1F4E6905" w14:textId="77777777" w:rsidR="00A8385A" w:rsidRPr="006F29F5" w:rsidRDefault="00A8385A" w:rsidP="00191325">
            <w:pPr>
              <w:rPr>
                <w:rStyle w:val="Heading3Char"/>
                <w:rFonts w:eastAsiaTheme="minorHAnsi" w:cs="Times New Roman"/>
                <w:b w:val="0"/>
                <w:bCs/>
                <w:kern w:val="2"/>
                <w:sz w:val="20"/>
                <w:szCs w:val="21"/>
              </w:rPr>
            </w:pPr>
            <w:r w:rsidRPr="006F29F5">
              <w:rPr>
                <w:sz w:val="20"/>
                <w:szCs w:val="21"/>
              </w:rPr>
              <w:t>In addition, some governments have taken steps to strengthen domestic inter-agency co-operation. For example, in 2012 the United Kingdom launched a cross-government task force on asset recovery to Arab Spring countries. To date, the multi- agency task force has visited Cairo to forge links with their counterparts in the Egyptian authorities, and has posted a Crown Prosecution Service prosecutor and a Metropolitan Police Financial Investigator to Egypt. In the near future, the United Kingdom will post a regional asset recovery adviser to the region to assist the authorities in Egypt, Libya and Tunisia (United Kingdom Parliament, 2012). In November 2012, the European Union announced that its member countries had amended legislation to facilitate the return of the frozen assets formerly belonging to former presidents Mubarak and Ben Ali and their associates to Egypt and Tunisia respectively. The new legislative framework authorises EU member countries to release the frozen assets on the basis of judicial decisions recognized in EU member countries. It also facilitates the exchange of information between EU Member States and the relevant Egyptian and Tunisian authorities to assist in the recovery of assets to these countries (European Commission, 2012).</w:t>
            </w:r>
          </w:p>
          <w:p w14:paraId="5FE4EA20" w14:textId="1E1F95AC" w:rsidR="00A8385A" w:rsidRPr="006F29F5" w:rsidRDefault="00A8385A" w:rsidP="00191325">
            <w:pPr>
              <w:pStyle w:val="ExcerptMarker"/>
              <w:spacing w:after="0"/>
              <w:rPr>
                <w:b/>
                <w:sz w:val="16"/>
                <w:highlight w:val="magenta"/>
              </w:rPr>
            </w:pPr>
            <w:r w:rsidRPr="006F29F5">
              <w:rPr>
                <w:sz w:val="16"/>
              </w:rPr>
              <w:t>End of Excerpt</w:t>
            </w:r>
          </w:p>
        </w:tc>
      </w:tr>
    </w:tbl>
    <w:p w14:paraId="3ACD9BD4" w14:textId="77777777" w:rsidR="00A8385A" w:rsidRPr="006F29F5" w:rsidRDefault="00A8385A" w:rsidP="00CC1E13">
      <w:pPr>
        <w:spacing w:before="0" w:after="0" w:line="276" w:lineRule="auto"/>
        <w:jc w:val="left"/>
        <w:rPr>
          <w:rFonts w:cs="Times New Roman"/>
          <w:b/>
          <w:kern w:val="2"/>
          <w:sz w:val="20"/>
          <w:highlight w:val="magenta"/>
        </w:rPr>
      </w:pPr>
    </w:p>
    <w:tbl>
      <w:tblPr>
        <w:tblStyle w:val="TableGrid"/>
        <w:tblW w:w="0" w:type="auto"/>
        <w:jc w:val="center"/>
        <w:tblCellMar>
          <w:top w:w="142" w:type="dxa"/>
          <w:left w:w="284" w:type="dxa"/>
          <w:bottom w:w="142" w:type="dxa"/>
          <w:right w:w="284" w:type="dxa"/>
        </w:tblCellMar>
        <w:tblLook w:val="04A0" w:firstRow="1" w:lastRow="0" w:firstColumn="1" w:lastColumn="0" w:noHBand="0" w:noVBand="1"/>
      </w:tblPr>
      <w:tblGrid>
        <w:gridCol w:w="8070"/>
      </w:tblGrid>
      <w:tr w:rsidR="004239FD" w:rsidRPr="006F29F5" w14:paraId="7ECE79F7" w14:textId="77777777" w:rsidTr="00577B30">
        <w:trPr>
          <w:jc w:val="center"/>
        </w:trPr>
        <w:tc>
          <w:tcPr>
            <w:tcW w:w="8070" w:type="dxa"/>
          </w:tcPr>
          <w:p w14:paraId="4A8D6BCA" w14:textId="6A7F0BE3" w:rsidR="004239FD" w:rsidRPr="006F29F5" w:rsidRDefault="004239FD" w:rsidP="004239FD">
            <w:pPr>
              <w:spacing w:before="120" w:after="120"/>
              <w:rPr>
                <w:rFonts w:cs="Times New Roman"/>
                <w:b/>
                <w:kern w:val="2"/>
                <w:sz w:val="20"/>
              </w:rPr>
            </w:pPr>
            <w:r w:rsidRPr="006F29F5">
              <w:rPr>
                <w:rFonts w:cs="Times New Roman"/>
                <w:b/>
                <w:kern w:val="2"/>
                <w:sz w:val="20"/>
              </w:rPr>
              <w:t>Further Reading</w:t>
            </w:r>
          </w:p>
          <w:p w14:paraId="74F8908D" w14:textId="2902441E" w:rsidR="004239FD" w:rsidRPr="006F29F5" w:rsidRDefault="004239FD" w:rsidP="004239FD">
            <w:pPr>
              <w:autoSpaceDE w:val="0"/>
              <w:autoSpaceDN w:val="0"/>
              <w:adjustRightInd w:val="0"/>
              <w:spacing w:before="120" w:after="120"/>
              <w:jc w:val="left"/>
              <w:rPr>
                <w:rFonts w:cs="Times New Roman"/>
                <w:kern w:val="2"/>
                <w:sz w:val="20"/>
              </w:rPr>
            </w:pPr>
            <w:r w:rsidRPr="006F29F5">
              <w:rPr>
                <w:rFonts w:cs="Times New Roman"/>
                <w:kern w:val="2"/>
                <w:sz w:val="20"/>
              </w:rPr>
              <w:t xml:space="preserve">For a discussion of asset recovery in the context of the Arab spring, see </w:t>
            </w:r>
            <w:proofErr w:type="spellStart"/>
            <w:r w:rsidRPr="006F29F5">
              <w:rPr>
                <w:rFonts w:cs="Times New Roman"/>
                <w:kern w:val="2"/>
                <w:sz w:val="20"/>
              </w:rPr>
              <w:t>Gretta</w:t>
            </w:r>
            <w:proofErr w:type="spellEnd"/>
            <w:r w:rsidRPr="006F29F5">
              <w:rPr>
                <w:rFonts w:cs="Times New Roman"/>
                <w:kern w:val="2"/>
                <w:sz w:val="20"/>
              </w:rPr>
              <w:t xml:space="preserve"> </w:t>
            </w:r>
            <w:proofErr w:type="spellStart"/>
            <w:r w:rsidRPr="006F29F5">
              <w:rPr>
                <w:rFonts w:cs="Times New Roman"/>
                <w:kern w:val="2"/>
                <w:sz w:val="20"/>
              </w:rPr>
              <w:t>Fenner</w:t>
            </w:r>
            <w:proofErr w:type="spellEnd"/>
            <w:r w:rsidRPr="006F29F5">
              <w:rPr>
                <w:rFonts w:cs="Times New Roman"/>
                <w:kern w:val="2"/>
                <w:sz w:val="20"/>
              </w:rPr>
              <w:t xml:space="preserve"> </w:t>
            </w:r>
            <w:proofErr w:type="spellStart"/>
            <w:r w:rsidRPr="006F29F5">
              <w:rPr>
                <w:rFonts w:cs="Times New Roman"/>
                <w:kern w:val="2"/>
                <w:sz w:val="20"/>
              </w:rPr>
              <w:t>Zinkernagel</w:t>
            </w:r>
            <w:proofErr w:type="spellEnd"/>
            <w:r w:rsidRPr="006F29F5">
              <w:rPr>
                <w:rFonts w:cs="Times New Roman"/>
                <w:kern w:val="2"/>
                <w:sz w:val="20"/>
              </w:rPr>
              <w:t xml:space="preserve">, Charles </w:t>
            </w:r>
            <w:proofErr w:type="spellStart"/>
            <w:r w:rsidRPr="006F29F5">
              <w:rPr>
                <w:rFonts w:cs="Times New Roman"/>
                <w:kern w:val="2"/>
                <w:sz w:val="20"/>
              </w:rPr>
              <w:t>Monteith</w:t>
            </w:r>
            <w:proofErr w:type="spellEnd"/>
            <w:r w:rsidRPr="006F29F5">
              <w:rPr>
                <w:rFonts w:cs="Times New Roman"/>
                <w:kern w:val="2"/>
                <w:sz w:val="20"/>
              </w:rPr>
              <w:t xml:space="preserve"> &amp; Pedro Gomes Pereira, </w:t>
            </w:r>
            <w:proofErr w:type="spellStart"/>
            <w:r w:rsidRPr="006F29F5">
              <w:rPr>
                <w:rFonts w:cs="Times New Roman"/>
                <w:kern w:val="2"/>
                <w:sz w:val="20"/>
              </w:rPr>
              <w:t>eds</w:t>
            </w:r>
            <w:proofErr w:type="spellEnd"/>
            <w:r w:rsidRPr="006F29F5">
              <w:rPr>
                <w:rFonts w:cs="Times New Roman"/>
                <w:kern w:val="2"/>
                <w:sz w:val="20"/>
              </w:rPr>
              <w:t xml:space="preserve">, </w:t>
            </w:r>
            <w:r w:rsidRPr="006F29F5">
              <w:rPr>
                <w:rFonts w:cs="Times New Roman"/>
                <w:i/>
                <w:kern w:val="2"/>
                <w:sz w:val="20"/>
              </w:rPr>
              <w:t>Emerging Trends in Asset Recovery</w:t>
            </w:r>
            <w:r w:rsidRPr="006F29F5">
              <w:rPr>
                <w:rFonts w:cs="Times New Roman"/>
                <w:kern w:val="2"/>
                <w:sz w:val="20"/>
              </w:rPr>
              <w:t xml:space="preserve"> (International Academic Publishers, 2013) 3.</w:t>
            </w:r>
          </w:p>
        </w:tc>
      </w:tr>
    </w:tbl>
    <w:p w14:paraId="35FC215E" w14:textId="0D7862B0" w:rsidR="00337DC0" w:rsidRPr="006F29F5" w:rsidRDefault="009767F2" w:rsidP="00B75B2C">
      <w:pPr>
        <w:pStyle w:val="Heading2"/>
        <w:rPr>
          <w:kern w:val="2"/>
          <w:sz w:val="24"/>
        </w:rPr>
      </w:pPr>
      <w:bookmarkStart w:id="50" w:name="_Toc420329382"/>
      <w:bookmarkStart w:id="51" w:name="_Toc489961998"/>
      <w:r w:rsidRPr="006F29F5">
        <w:rPr>
          <w:kern w:val="2"/>
          <w:sz w:val="24"/>
        </w:rPr>
        <w:t>Continuing Challenges to Effective Asset Recovery</w:t>
      </w:r>
      <w:bookmarkEnd w:id="50"/>
      <w:bookmarkEnd w:id="51"/>
    </w:p>
    <w:p w14:paraId="50947F23" w14:textId="12F0098B" w:rsidR="000D06C4" w:rsidRPr="006F29F5" w:rsidRDefault="000D06C4" w:rsidP="00AC6744">
      <w:pPr>
        <w:autoSpaceDE w:val="0"/>
        <w:autoSpaceDN w:val="0"/>
        <w:adjustRightInd w:val="0"/>
        <w:rPr>
          <w:rFonts w:cs="Times New Roman"/>
          <w:kern w:val="2"/>
          <w:sz w:val="20"/>
        </w:rPr>
      </w:pPr>
      <w:r w:rsidRPr="006F29F5">
        <w:rPr>
          <w:rFonts w:cs="Times New Roman"/>
          <w:kern w:val="2"/>
          <w:sz w:val="20"/>
        </w:rPr>
        <w:t xml:space="preserve">After analyzing the data </w:t>
      </w:r>
      <w:r w:rsidR="00CA79E7" w:rsidRPr="006F29F5">
        <w:rPr>
          <w:rFonts w:cs="Times New Roman"/>
          <w:kern w:val="2"/>
          <w:sz w:val="20"/>
        </w:rPr>
        <w:t xml:space="preserve">from 2006 to 2012 </w:t>
      </w:r>
      <w:r w:rsidRPr="006F29F5">
        <w:rPr>
          <w:rFonts w:cs="Times New Roman"/>
          <w:kern w:val="2"/>
          <w:sz w:val="20"/>
        </w:rPr>
        <w:t xml:space="preserve">on asset recovery cases in OECD member countries, the </w:t>
      </w:r>
      <w:proofErr w:type="spellStart"/>
      <w:r w:rsidRPr="006F29F5">
        <w:rPr>
          <w:rFonts w:cs="Times New Roman"/>
          <w:kern w:val="2"/>
          <w:sz w:val="20"/>
        </w:rPr>
        <w:t>StAR</w:t>
      </w:r>
      <w:proofErr w:type="spellEnd"/>
      <w:r w:rsidRPr="006F29F5">
        <w:rPr>
          <w:rFonts w:cs="Times New Roman"/>
          <w:kern w:val="2"/>
          <w:sz w:val="20"/>
        </w:rPr>
        <w:t xml:space="preserve"> report </w:t>
      </w:r>
      <w:proofErr w:type="gramStart"/>
      <w:r w:rsidRPr="006F29F5">
        <w:rPr>
          <w:rFonts w:cs="Times New Roman"/>
          <w:i/>
          <w:kern w:val="2"/>
          <w:sz w:val="20"/>
        </w:rPr>
        <w:t>Few</w:t>
      </w:r>
      <w:proofErr w:type="gramEnd"/>
      <w:r w:rsidRPr="006F29F5">
        <w:rPr>
          <w:rFonts w:cs="Times New Roman"/>
          <w:i/>
          <w:kern w:val="2"/>
          <w:sz w:val="20"/>
        </w:rPr>
        <w:t xml:space="preserve"> and Far: The Hard Facts on Stolen Asset Recovery </w:t>
      </w:r>
      <w:r w:rsidRPr="006F29F5">
        <w:rPr>
          <w:rFonts w:cs="Times New Roman"/>
          <w:kern w:val="2"/>
          <w:sz w:val="20"/>
        </w:rPr>
        <w:t xml:space="preserve">concludes that </w:t>
      </w:r>
      <w:r w:rsidR="00CC1E13" w:rsidRPr="006F29F5">
        <w:rPr>
          <w:rFonts w:cs="Times New Roman"/>
          <w:kern w:val="2"/>
          <w:sz w:val="20"/>
        </w:rPr>
        <w:t>“</w:t>
      </w:r>
      <w:r w:rsidRPr="006F29F5">
        <w:rPr>
          <w:rFonts w:cs="Times New Roman"/>
          <w:kern w:val="2"/>
          <w:sz w:val="20"/>
        </w:rPr>
        <w:t>a huge gap remains between the results achieved and the billions of dollars that are estimated stolen from developing countries.</w:t>
      </w:r>
      <w:r w:rsidR="00CC1E13" w:rsidRPr="006F29F5">
        <w:rPr>
          <w:rFonts w:cs="Times New Roman"/>
          <w:kern w:val="2"/>
          <w:sz w:val="20"/>
        </w:rPr>
        <w:t>”</w:t>
      </w:r>
      <w:r w:rsidRPr="006F29F5">
        <w:rPr>
          <w:rStyle w:val="FootnoteReference"/>
          <w:rFonts w:cs="Times New Roman"/>
          <w:kern w:val="2"/>
          <w:sz w:val="20"/>
        </w:rPr>
        <w:footnoteReference w:id="181"/>
      </w:r>
      <w:r w:rsidRPr="006F29F5">
        <w:rPr>
          <w:rFonts w:cs="Times New Roman"/>
          <w:kern w:val="2"/>
          <w:sz w:val="20"/>
        </w:rPr>
        <w:t xml:space="preserve"> The report also criticizes OECD members for the </w:t>
      </w:r>
      <w:r w:rsidR="00CC1E13" w:rsidRPr="006F29F5">
        <w:rPr>
          <w:rFonts w:cs="Times New Roman"/>
          <w:kern w:val="2"/>
          <w:sz w:val="20"/>
        </w:rPr>
        <w:t>“</w:t>
      </w:r>
      <w:r w:rsidRPr="006F29F5">
        <w:rPr>
          <w:rFonts w:cs="Times New Roman"/>
          <w:kern w:val="2"/>
          <w:sz w:val="20"/>
        </w:rPr>
        <w:t>disconnect between high-level international commitments and practice at the country level</w:t>
      </w:r>
      <w:r w:rsidR="00CC1E13" w:rsidRPr="006F29F5">
        <w:rPr>
          <w:rFonts w:cs="Times New Roman"/>
          <w:kern w:val="2"/>
          <w:sz w:val="20"/>
        </w:rPr>
        <w:t>”</w:t>
      </w:r>
      <w:r w:rsidRPr="006F29F5">
        <w:rPr>
          <w:rFonts w:cs="Times New Roman"/>
          <w:kern w:val="2"/>
          <w:sz w:val="20"/>
        </w:rPr>
        <w:t xml:space="preserve"> due to lack of interest and prioritization.</w:t>
      </w:r>
      <w:r w:rsidRPr="006F29F5">
        <w:rPr>
          <w:rStyle w:val="FootnoteReference"/>
          <w:rFonts w:cs="Times New Roman"/>
          <w:kern w:val="2"/>
          <w:sz w:val="20"/>
        </w:rPr>
        <w:footnoteReference w:id="182"/>
      </w:r>
      <w:r w:rsidRPr="006F29F5">
        <w:rPr>
          <w:rFonts w:cs="Times New Roman"/>
          <w:kern w:val="2"/>
          <w:sz w:val="20"/>
        </w:rPr>
        <w:t xml:space="preserve"> According to the report, inadequate progress has been made. </w:t>
      </w:r>
    </w:p>
    <w:p w14:paraId="5A2C022C" w14:textId="70C4AC9E" w:rsidR="00DF3E61" w:rsidRPr="006F29F5" w:rsidRDefault="00DF3E61" w:rsidP="00C81ED8">
      <w:pPr>
        <w:rPr>
          <w:rFonts w:cs="Times New Roman"/>
          <w:kern w:val="2"/>
          <w:sz w:val="20"/>
        </w:rPr>
      </w:pPr>
      <w:r w:rsidRPr="006F29F5">
        <w:rPr>
          <w:rFonts w:cs="Times New Roman"/>
          <w:kern w:val="2"/>
          <w:sz w:val="20"/>
        </w:rPr>
        <w:t xml:space="preserve">In the </w:t>
      </w:r>
      <w:r w:rsidR="009253B8" w:rsidRPr="006F29F5">
        <w:rPr>
          <w:rFonts w:cs="Times New Roman"/>
          <w:kern w:val="2"/>
          <w:sz w:val="20"/>
        </w:rPr>
        <w:t>conclusion</w:t>
      </w:r>
      <w:r w:rsidR="00051498" w:rsidRPr="006F29F5">
        <w:rPr>
          <w:rFonts w:cs="Times New Roman"/>
          <w:kern w:val="2"/>
          <w:sz w:val="20"/>
        </w:rPr>
        <w:t xml:space="preserve"> to their book</w:t>
      </w:r>
      <w:r w:rsidR="009253B8" w:rsidRPr="006F29F5">
        <w:rPr>
          <w:rFonts w:cs="Times New Roman"/>
          <w:kern w:val="2"/>
          <w:sz w:val="20"/>
        </w:rPr>
        <w:t xml:space="preserve">, </w:t>
      </w:r>
      <w:proofErr w:type="spellStart"/>
      <w:r w:rsidR="009253B8" w:rsidRPr="006F29F5">
        <w:rPr>
          <w:rFonts w:cs="Times New Roman"/>
          <w:kern w:val="2"/>
          <w:sz w:val="20"/>
        </w:rPr>
        <w:t>Zinkernagel</w:t>
      </w:r>
      <w:proofErr w:type="spellEnd"/>
      <w:r w:rsidR="009253B8" w:rsidRPr="006F29F5">
        <w:rPr>
          <w:rFonts w:cs="Times New Roman"/>
          <w:kern w:val="2"/>
          <w:sz w:val="20"/>
        </w:rPr>
        <w:t xml:space="preserve">, </w:t>
      </w:r>
      <w:proofErr w:type="spellStart"/>
      <w:r w:rsidR="009253B8" w:rsidRPr="006F29F5">
        <w:rPr>
          <w:rFonts w:cs="Times New Roman"/>
          <w:kern w:val="2"/>
          <w:sz w:val="20"/>
        </w:rPr>
        <w:t>Monteith</w:t>
      </w:r>
      <w:proofErr w:type="spellEnd"/>
      <w:r w:rsidR="009253B8" w:rsidRPr="006F29F5">
        <w:rPr>
          <w:rFonts w:cs="Times New Roman"/>
          <w:kern w:val="2"/>
          <w:sz w:val="20"/>
        </w:rPr>
        <w:t xml:space="preserve"> and Pereira offer a mixed</w:t>
      </w:r>
      <w:r w:rsidR="001375F8" w:rsidRPr="006F29F5">
        <w:rPr>
          <w:rFonts w:cs="Times New Roman"/>
          <w:kern w:val="2"/>
          <w:sz w:val="20"/>
        </w:rPr>
        <w:t>,</w:t>
      </w:r>
      <w:r w:rsidR="009253B8" w:rsidRPr="006F29F5">
        <w:rPr>
          <w:rFonts w:cs="Times New Roman"/>
          <w:kern w:val="2"/>
          <w:sz w:val="20"/>
        </w:rPr>
        <w:t xml:space="preserve"> but optimistic</w:t>
      </w:r>
      <w:r w:rsidR="00E5795E" w:rsidRPr="006F29F5">
        <w:rPr>
          <w:rFonts w:cs="Times New Roman"/>
          <w:kern w:val="2"/>
          <w:sz w:val="20"/>
        </w:rPr>
        <w:t>,</w:t>
      </w:r>
      <w:r w:rsidR="009253B8" w:rsidRPr="006F29F5">
        <w:rPr>
          <w:rFonts w:cs="Times New Roman"/>
          <w:kern w:val="2"/>
          <w:sz w:val="20"/>
        </w:rPr>
        <w:t xml:space="preserve"> assessment of the progress made to date in asset recovery. They note that:</w:t>
      </w:r>
      <w:r w:rsidR="00220AC9" w:rsidRPr="006F29F5">
        <w:rPr>
          <w:rFonts w:cs="Times New Roman"/>
          <w:kern w:val="2"/>
          <w:sz w:val="20"/>
          <w:szCs w:val="21"/>
        </w:rPr>
        <w:t xml:space="preserve"> </w:t>
      </w:r>
    </w:p>
    <w:p w14:paraId="0D6F4F40" w14:textId="5A916726" w:rsidR="00B167FC" w:rsidRPr="006F29F5" w:rsidRDefault="008B09EC" w:rsidP="00673E2C">
      <w:pPr>
        <w:pStyle w:val="BlockQuote"/>
        <w:rPr>
          <w:kern w:val="2"/>
          <w:sz w:val="20"/>
        </w:rPr>
      </w:pPr>
      <w:r w:rsidRPr="006F29F5">
        <w:rPr>
          <w:kern w:val="2"/>
          <w:sz w:val="20"/>
        </w:rPr>
        <w:t>[</w:t>
      </w:r>
      <w:r w:rsidR="00CB62A9" w:rsidRPr="006F29F5">
        <w:rPr>
          <w:kern w:val="2"/>
          <w:sz w:val="20"/>
        </w:rPr>
        <w:t>T</w:t>
      </w:r>
      <w:r w:rsidRPr="006F29F5">
        <w:rPr>
          <w:kern w:val="2"/>
          <w:sz w:val="20"/>
        </w:rPr>
        <w:t>]</w:t>
      </w:r>
      <w:r w:rsidR="00691204" w:rsidRPr="006F29F5">
        <w:rPr>
          <w:kern w:val="2"/>
          <w:sz w:val="20"/>
        </w:rPr>
        <w:t xml:space="preserve">he efforts to prosecute international corruption and money laundering cases and to successfully recover stolen assets have made considerable progress over the last five years. However, not all challenges have been overcome and, apart from a handful of cases, little money has effectively been recovered, especially in international cases. This has led to frustrations among citizens at large, as in the Egypt-Mubarak cases, as well </w:t>
      </w:r>
      <w:r w:rsidR="00B167FC" w:rsidRPr="006F29F5">
        <w:rPr>
          <w:kern w:val="2"/>
          <w:sz w:val="20"/>
        </w:rPr>
        <w:t xml:space="preserve">as among concerned authorities in requesting and requested states. </w:t>
      </w:r>
    </w:p>
    <w:p w14:paraId="456BEC90" w14:textId="4C762709" w:rsidR="00DF3E61" w:rsidRPr="006F29F5" w:rsidRDefault="00B167FC" w:rsidP="00673E2C">
      <w:pPr>
        <w:pStyle w:val="BlockQuote"/>
        <w:rPr>
          <w:kern w:val="2"/>
          <w:sz w:val="20"/>
          <w:szCs w:val="21"/>
        </w:rPr>
      </w:pPr>
      <w:r w:rsidRPr="006F29F5">
        <w:rPr>
          <w:kern w:val="2"/>
          <w:sz w:val="20"/>
        </w:rPr>
        <w:t>On the other hand, we have seen a clear increase in action: cases under investigation with assets at stake have increased exponentially. Ten years ago, there were fewer than 60 foreign bribery offenses under investigation, with the vast majority of them conducted by the US (which, in these cases alone, recovered over USD 5 billion of assets and disgorged profits). Today there are over 500 ongoing investigations being conducted by over 50 different countries. By way of example, since 2008 the Serious Fraud Office of the UK has recovered nearly USD 150 million of assets, with the UK as a whole freezing over USD 150 million in 2011-2012. Germany too has recovered millions and other countries, like South Korea and Hungary, are quickly scaling up their investigations in spite of all the difficulties they encounter.</w:t>
      </w:r>
      <w:r w:rsidR="00051498" w:rsidRPr="006F29F5">
        <w:rPr>
          <w:rStyle w:val="FootnoteReference"/>
          <w:rFonts w:cs="Times New Roman"/>
          <w:kern w:val="2"/>
          <w:sz w:val="20"/>
          <w:szCs w:val="21"/>
        </w:rPr>
        <w:footnoteReference w:id="183"/>
      </w:r>
      <w:r w:rsidR="00673E2C" w:rsidRPr="006F29F5">
        <w:rPr>
          <w:kern w:val="2"/>
          <w:sz w:val="20"/>
          <w:szCs w:val="21"/>
        </w:rPr>
        <w:t xml:space="preserve"> </w:t>
      </w:r>
    </w:p>
    <w:p w14:paraId="5B609231" w14:textId="6FDD0092" w:rsidR="00014910" w:rsidRPr="006F29F5" w:rsidRDefault="00014910" w:rsidP="00BC3C01">
      <w:pPr>
        <w:keepNext/>
        <w:rPr>
          <w:rFonts w:cs="Times New Roman"/>
          <w:kern w:val="2"/>
          <w:sz w:val="20"/>
        </w:rPr>
      </w:pPr>
      <w:r w:rsidRPr="006F29F5">
        <w:rPr>
          <w:rFonts w:cs="Times New Roman"/>
          <w:kern w:val="2"/>
          <w:sz w:val="20"/>
        </w:rPr>
        <w:t xml:space="preserve">Other commentators are more critical! For example, </w:t>
      </w:r>
      <w:proofErr w:type="spellStart"/>
      <w:r w:rsidRPr="006F29F5">
        <w:rPr>
          <w:rFonts w:cs="Times New Roman"/>
          <w:kern w:val="2"/>
          <w:sz w:val="20"/>
        </w:rPr>
        <w:t>Sarlo</w:t>
      </w:r>
      <w:proofErr w:type="spellEnd"/>
      <w:r w:rsidRPr="006F29F5">
        <w:rPr>
          <w:rFonts w:cs="Times New Roman"/>
          <w:kern w:val="2"/>
          <w:sz w:val="20"/>
        </w:rPr>
        <w:t xml:space="preserve"> states</w:t>
      </w:r>
      <w:r w:rsidR="008B6571" w:rsidRPr="006F29F5">
        <w:rPr>
          <w:rFonts w:cs="Times New Roman"/>
          <w:kern w:val="2"/>
          <w:sz w:val="20"/>
        </w:rPr>
        <w:t>:</w:t>
      </w:r>
      <w:r w:rsidR="003931E6" w:rsidRPr="006F29F5">
        <w:rPr>
          <w:rStyle w:val="FootnoteReference"/>
          <w:rFonts w:cs="Times New Roman"/>
          <w:kern w:val="2"/>
          <w:sz w:val="20"/>
        </w:rPr>
        <w:footnoteReference w:id="184"/>
      </w:r>
    </w:p>
    <w:p w14:paraId="3527D05B" w14:textId="58A695B7" w:rsidR="00014910" w:rsidRPr="006F29F5" w:rsidRDefault="00014910" w:rsidP="00673E2C">
      <w:pPr>
        <w:pStyle w:val="BlockQuote"/>
        <w:rPr>
          <w:kern w:val="2"/>
          <w:sz w:val="20"/>
        </w:rPr>
      </w:pPr>
      <w:r w:rsidRPr="006F29F5">
        <w:rPr>
          <w:kern w:val="2"/>
          <w:sz w:val="20"/>
        </w:rPr>
        <w:t xml:space="preserve">In the context of anti-corruption, the role of the World Bank in </w:t>
      </w:r>
      <w:proofErr w:type="spellStart"/>
      <w:r w:rsidRPr="006F29F5">
        <w:rPr>
          <w:kern w:val="2"/>
          <w:sz w:val="20"/>
        </w:rPr>
        <w:t>StAR</w:t>
      </w:r>
      <w:proofErr w:type="spellEnd"/>
      <w:r w:rsidRPr="006F29F5">
        <w:rPr>
          <w:kern w:val="2"/>
          <w:sz w:val="20"/>
        </w:rPr>
        <w:t xml:space="preserve">, an asset-recovery program, is a continuation of its role as a lender – advice-driven and inefficacious. </w:t>
      </w:r>
      <w:r w:rsidR="00CC1E13" w:rsidRPr="006F29F5">
        <w:rPr>
          <w:kern w:val="2"/>
          <w:sz w:val="20"/>
        </w:rPr>
        <w:t>“</w:t>
      </w:r>
      <w:r w:rsidRPr="006F29F5">
        <w:rPr>
          <w:kern w:val="2"/>
          <w:sz w:val="20"/>
        </w:rPr>
        <w:t>[A]</w:t>
      </w:r>
      <w:proofErr w:type="spellStart"/>
      <w:r w:rsidRPr="006F29F5">
        <w:rPr>
          <w:kern w:val="2"/>
          <w:sz w:val="20"/>
        </w:rPr>
        <w:t>sset</w:t>
      </w:r>
      <w:proofErr w:type="spellEnd"/>
      <w:r w:rsidRPr="006F29F5">
        <w:rPr>
          <w:kern w:val="2"/>
          <w:sz w:val="20"/>
        </w:rPr>
        <w:t xml:space="preserve"> recovery is </w:t>
      </w:r>
      <w:r w:rsidRPr="006F29F5">
        <w:rPr>
          <w:i/>
          <w:iCs/>
          <w:kern w:val="2"/>
          <w:sz w:val="20"/>
        </w:rPr>
        <w:t xml:space="preserve">undertaken by states </w:t>
      </w:r>
      <w:r w:rsidRPr="006F29F5">
        <w:rPr>
          <w:kern w:val="2"/>
          <w:sz w:val="20"/>
        </w:rPr>
        <w:t xml:space="preserve">using legal procedures, which means that </w:t>
      </w:r>
      <w:proofErr w:type="spellStart"/>
      <w:r w:rsidRPr="006F29F5">
        <w:rPr>
          <w:kern w:val="2"/>
          <w:sz w:val="20"/>
        </w:rPr>
        <w:t>StAR</w:t>
      </w:r>
      <w:proofErr w:type="spellEnd"/>
      <w:r w:rsidRPr="006F29F5">
        <w:rPr>
          <w:kern w:val="2"/>
          <w:sz w:val="20"/>
        </w:rPr>
        <w:t xml:space="preserve"> does not investigate cases, prosecute cases or request mutual legal assistance.</w:t>
      </w:r>
      <w:r w:rsidR="00CC1E13" w:rsidRPr="006F29F5">
        <w:rPr>
          <w:kern w:val="2"/>
          <w:sz w:val="20"/>
        </w:rPr>
        <w:t>”</w:t>
      </w:r>
      <w:r w:rsidRPr="006F29F5">
        <w:rPr>
          <w:kern w:val="2"/>
          <w:sz w:val="20"/>
        </w:rPr>
        <w:t xml:space="preserve"> </w:t>
      </w:r>
      <w:proofErr w:type="spellStart"/>
      <w:r w:rsidRPr="006F29F5">
        <w:rPr>
          <w:kern w:val="2"/>
          <w:sz w:val="20"/>
        </w:rPr>
        <w:t>StAR</w:t>
      </w:r>
      <w:proofErr w:type="spellEnd"/>
      <w:r w:rsidRPr="006F29F5">
        <w:rPr>
          <w:kern w:val="2"/>
          <w:sz w:val="20"/>
        </w:rPr>
        <w:t xml:space="preserve"> is oxymoronic because it results in the World Bank instructing corrupt governments about how to recoup stolen loans, even though the governments themselves are probably complicit in the peculation </w:t>
      </w:r>
      <w:r w:rsidR="00267E6D" w:rsidRPr="006F29F5">
        <w:rPr>
          <w:kern w:val="2"/>
          <w:sz w:val="20"/>
        </w:rPr>
        <w:t xml:space="preserve">[theft] </w:t>
      </w:r>
      <w:r w:rsidRPr="006F29F5">
        <w:rPr>
          <w:kern w:val="2"/>
          <w:sz w:val="20"/>
        </w:rPr>
        <w:t>of the loans. The situation is like advising the fox that was in the henhouse about how later to return the eggs. Even when a government is not involved in the theft of a loan and has legitimate interest in its return, prospects for asset recovery are dim because the process is a slog, laden with formidable obstacles – twenty-nine to be exact, by the World Bank's count.</w:t>
      </w:r>
      <w:r w:rsidR="00267E6D" w:rsidRPr="006F29F5">
        <w:rPr>
          <w:rStyle w:val="FootnoteReference"/>
          <w:color w:val="000000"/>
          <w:kern w:val="2"/>
          <w:sz w:val="20"/>
        </w:rPr>
        <w:footnoteReference w:id="185"/>
      </w:r>
      <w:r w:rsidRPr="006F29F5">
        <w:rPr>
          <w:kern w:val="2"/>
          <w:sz w:val="20"/>
        </w:rPr>
        <w:t xml:space="preserve"> </w:t>
      </w:r>
      <w:r w:rsidR="00CC1E13" w:rsidRPr="006F29F5">
        <w:rPr>
          <w:kern w:val="2"/>
          <w:sz w:val="20"/>
        </w:rPr>
        <w:t>“</w:t>
      </w:r>
      <w:r w:rsidRPr="006F29F5">
        <w:rPr>
          <w:kern w:val="2"/>
          <w:sz w:val="20"/>
        </w:rPr>
        <w:t>[Asset recovery] requires hacking through thickets of international law. It cuts across criminal, civil and administrative justice. It relies on cooperation between countries (and between agencies within countries) that are often unable or unwilling to share information.</w:t>
      </w:r>
      <w:r w:rsidR="00CC1E13" w:rsidRPr="006F29F5">
        <w:rPr>
          <w:kern w:val="2"/>
          <w:sz w:val="20"/>
        </w:rPr>
        <w:t>”</w:t>
      </w:r>
      <w:r w:rsidR="00267E6D" w:rsidRPr="006F29F5">
        <w:rPr>
          <w:rStyle w:val="FootnoteReference"/>
          <w:color w:val="000000"/>
          <w:kern w:val="2"/>
          <w:sz w:val="20"/>
        </w:rPr>
        <w:footnoteReference w:id="186"/>
      </w:r>
    </w:p>
    <w:p w14:paraId="53710C4C" w14:textId="0C6BD58E" w:rsidR="00014910" w:rsidRPr="006F29F5" w:rsidRDefault="00014910" w:rsidP="00673E2C">
      <w:pPr>
        <w:pStyle w:val="BlockQuote"/>
        <w:rPr>
          <w:kern w:val="2"/>
          <w:sz w:val="20"/>
        </w:rPr>
      </w:pPr>
      <w:r w:rsidRPr="006F29F5">
        <w:rPr>
          <w:kern w:val="2"/>
          <w:sz w:val="20"/>
        </w:rPr>
        <w:t xml:space="preserve">Although, for instance, countries had frozen the funds that former Philippine president Ferdinand Marcos had stolen from the Philippines in 1986, various legal complexities prevented them from returning the money to the Philippine government until 2002. And today a dozen countries </w:t>
      </w:r>
      <w:r w:rsidR="00267E6D" w:rsidRPr="006F29F5">
        <w:rPr>
          <w:kern w:val="2"/>
          <w:sz w:val="20"/>
        </w:rPr>
        <w:t xml:space="preserve">are still hunting all over – </w:t>
      </w:r>
      <w:r w:rsidRPr="006F29F5">
        <w:rPr>
          <w:kern w:val="2"/>
          <w:sz w:val="20"/>
        </w:rPr>
        <w:t>in the United States, Antigua, a</w:t>
      </w:r>
      <w:r w:rsidR="00267E6D" w:rsidRPr="006F29F5">
        <w:rPr>
          <w:kern w:val="2"/>
          <w:sz w:val="20"/>
        </w:rPr>
        <w:t xml:space="preserve">nd Europe – </w:t>
      </w:r>
      <w:r w:rsidRPr="006F29F5">
        <w:rPr>
          <w:kern w:val="2"/>
          <w:sz w:val="20"/>
        </w:rPr>
        <w:t xml:space="preserve">for the $200 million that </w:t>
      </w:r>
      <w:proofErr w:type="spellStart"/>
      <w:r w:rsidRPr="006F29F5">
        <w:rPr>
          <w:kern w:val="2"/>
          <w:sz w:val="20"/>
        </w:rPr>
        <w:t>Pavlo</w:t>
      </w:r>
      <w:proofErr w:type="spellEnd"/>
      <w:r w:rsidRPr="006F29F5">
        <w:rPr>
          <w:kern w:val="2"/>
          <w:sz w:val="20"/>
        </w:rPr>
        <w:t xml:space="preserve"> </w:t>
      </w:r>
      <w:proofErr w:type="spellStart"/>
      <w:r w:rsidRPr="006F29F5">
        <w:rPr>
          <w:kern w:val="2"/>
          <w:sz w:val="20"/>
        </w:rPr>
        <w:t>Lazarenko</w:t>
      </w:r>
      <w:proofErr w:type="spellEnd"/>
      <w:r w:rsidRPr="006F29F5">
        <w:rPr>
          <w:kern w:val="2"/>
          <w:sz w:val="20"/>
        </w:rPr>
        <w:t xml:space="preserve">, the former prime minister of Ukraine, embezzled from his country in the </w:t>
      </w:r>
      <w:r w:rsidR="00267E6D" w:rsidRPr="006F29F5">
        <w:rPr>
          <w:kern w:val="2"/>
          <w:sz w:val="20"/>
        </w:rPr>
        <w:t>1990s.</w:t>
      </w:r>
      <w:r w:rsidRPr="006F29F5">
        <w:rPr>
          <w:kern w:val="2"/>
          <w:sz w:val="20"/>
        </w:rPr>
        <w:t xml:space="preserve"> With these impediments to asset recovery, the slogan for </w:t>
      </w:r>
      <w:proofErr w:type="spellStart"/>
      <w:r w:rsidRPr="006F29F5">
        <w:rPr>
          <w:kern w:val="2"/>
          <w:sz w:val="20"/>
        </w:rPr>
        <w:t>StAR</w:t>
      </w:r>
      <w:proofErr w:type="spellEnd"/>
      <w:r w:rsidRPr="006F29F5">
        <w:rPr>
          <w:kern w:val="2"/>
          <w:sz w:val="20"/>
        </w:rPr>
        <w:t xml:space="preserve"> should be </w:t>
      </w:r>
      <w:r w:rsidR="00CC1E13" w:rsidRPr="006F29F5">
        <w:rPr>
          <w:kern w:val="2"/>
          <w:sz w:val="20"/>
        </w:rPr>
        <w:t>“</w:t>
      </w:r>
      <w:r w:rsidRPr="006F29F5">
        <w:rPr>
          <w:kern w:val="2"/>
          <w:sz w:val="20"/>
        </w:rPr>
        <w:t>[e]</w:t>
      </w:r>
      <w:proofErr w:type="spellStart"/>
      <w:r w:rsidRPr="006F29F5">
        <w:rPr>
          <w:kern w:val="2"/>
          <w:sz w:val="20"/>
        </w:rPr>
        <w:t>asy</w:t>
      </w:r>
      <w:proofErr w:type="spellEnd"/>
      <w:r w:rsidRPr="006F29F5">
        <w:rPr>
          <w:kern w:val="2"/>
          <w:sz w:val="20"/>
        </w:rPr>
        <w:t xml:space="preserve"> </w:t>
      </w:r>
      <w:r w:rsidR="00267E6D" w:rsidRPr="006F29F5">
        <w:rPr>
          <w:kern w:val="2"/>
          <w:sz w:val="20"/>
        </w:rPr>
        <w:t>to steal, easier to keep.</w:t>
      </w:r>
      <w:r w:rsidR="00CC1E13" w:rsidRPr="006F29F5">
        <w:rPr>
          <w:kern w:val="2"/>
          <w:sz w:val="20"/>
        </w:rPr>
        <w:t>”</w:t>
      </w:r>
      <w:r w:rsidRPr="006F29F5">
        <w:rPr>
          <w:kern w:val="2"/>
          <w:sz w:val="20"/>
        </w:rPr>
        <w:t xml:space="preserve"> Although asset recovery may become less arduous in the future, countries could have to </w:t>
      </w:r>
      <w:r w:rsidR="00267E6D" w:rsidRPr="006F29F5">
        <w:rPr>
          <w:kern w:val="2"/>
          <w:sz w:val="20"/>
        </w:rPr>
        <w:t xml:space="preserve">depend on </w:t>
      </w:r>
      <w:proofErr w:type="spellStart"/>
      <w:r w:rsidR="00267E6D" w:rsidRPr="006F29F5">
        <w:rPr>
          <w:kern w:val="2"/>
          <w:sz w:val="20"/>
        </w:rPr>
        <w:t>StAR</w:t>
      </w:r>
      <w:proofErr w:type="spellEnd"/>
      <w:r w:rsidR="00267E6D" w:rsidRPr="006F29F5">
        <w:rPr>
          <w:kern w:val="2"/>
          <w:sz w:val="20"/>
        </w:rPr>
        <w:t xml:space="preserve"> –</w:t>
      </w:r>
      <w:r w:rsidRPr="006F29F5">
        <w:rPr>
          <w:kern w:val="2"/>
          <w:sz w:val="20"/>
        </w:rPr>
        <w:t xml:space="preserve"> with all its legal expenses, political red tape, and general complications </w:t>
      </w:r>
      <w:r w:rsidR="00267E6D" w:rsidRPr="006F29F5">
        <w:rPr>
          <w:kern w:val="2"/>
          <w:sz w:val="20"/>
        </w:rPr>
        <w:t>–</w:t>
      </w:r>
      <w:r w:rsidRPr="006F29F5">
        <w:rPr>
          <w:kern w:val="2"/>
          <w:sz w:val="20"/>
        </w:rPr>
        <w:t xml:space="preserve"> much less if the World Bank were to perform due diligence before making loans</w:t>
      </w:r>
      <w:r w:rsidR="00C212CE" w:rsidRPr="006F29F5">
        <w:rPr>
          <w:kern w:val="2"/>
          <w:sz w:val="20"/>
        </w:rPr>
        <w:t>.</w:t>
      </w:r>
      <w:r w:rsidR="00267E6D" w:rsidRPr="006F29F5">
        <w:rPr>
          <w:kern w:val="2"/>
          <w:sz w:val="20"/>
        </w:rPr>
        <w:t xml:space="preserve"> [</w:t>
      </w:r>
      <w:proofErr w:type="gramStart"/>
      <w:r w:rsidR="008B6571" w:rsidRPr="006F29F5">
        <w:rPr>
          <w:kern w:val="2"/>
          <w:sz w:val="20"/>
        </w:rPr>
        <w:t>some</w:t>
      </w:r>
      <w:proofErr w:type="gramEnd"/>
      <w:r w:rsidR="008B6571" w:rsidRPr="006F29F5">
        <w:rPr>
          <w:kern w:val="2"/>
          <w:sz w:val="20"/>
        </w:rPr>
        <w:t xml:space="preserve"> </w:t>
      </w:r>
      <w:r w:rsidR="00267E6D" w:rsidRPr="006F29F5">
        <w:rPr>
          <w:kern w:val="2"/>
          <w:sz w:val="20"/>
        </w:rPr>
        <w:t>footnotes omitted]</w:t>
      </w:r>
    </w:p>
    <w:p w14:paraId="58FC9B0B" w14:textId="75DA40BF" w:rsidR="008C3905" w:rsidRPr="006F29F5" w:rsidRDefault="00FD2D16" w:rsidP="00C81ED8">
      <w:pPr>
        <w:rPr>
          <w:rFonts w:cs="Times New Roman"/>
          <w:kern w:val="2"/>
          <w:sz w:val="20"/>
        </w:rPr>
      </w:pPr>
      <w:r w:rsidRPr="006F29F5">
        <w:rPr>
          <w:rFonts w:cs="Times New Roman"/>
          <w:kern w:val="2"/>
          <w:sz w:val="20"/>
        </w:rPr>
        <w:t xml:space="preserve">Two main challenges identified </w:t>
      </w:r>
      <w:r w:rsidR="00137B38" w:rsidRPr="006F29F5">
        <w:rPr>
          <w:rFonts w:cs="Times New Roman"/>
          <w:kern w:val="2"/>
          <w:sz w:val="20"/>
        </w:rPr>
        <w:t xml:space="preserve">in </w:t>
      </w:r>
      <w:r w:rsidRPr="006F29F5">
        <w:rPr>
          <w:rFonts w:cs="Times New Roman"/>
          <w:kern w:val="2"/>
          <w:sz w:val="20"/>
        </w:rPr>
        <w:t xml:space="preserve">the earlier chapters </w:t>
      </w:r>
      <w:r w:rsidR="00137B38" w:rsidRPr="006F29F5">
        <w:rPr>
          <w:rFonts w:cs="Times New Roman"/>
          <w:kern w:val="2"/>
          <w:sz w:val="20"/>
        </w:rPr>
        <w:t xml:space="preserve">of </w:t>
      </w:r>
      <w:r w:rsidRPr="006F29F5">
        <w:rPr>
          <w:rFonts w:cs="Times New Roman"/>
          <w:i/>
          <w:kern w:val="2"/>
          <w:sz w:val="20"/>
        </w:rPr>
        <w:t>Emerging Trends in Asset Recovery</w:t>
      </w:r>
      <w:r w:rsidR="008B18A8" w:rsidRPr="006F29F5">
        <w:rPr>
          <w:rFonts w:cs="Times New Roman"/>
          <w:kern w:val="2"/>
          <w:sz w:val="20"/>
        </w:rPr>
        <w:t xml:space="preserve"> </w:t>
      </w:r>
      <w:r w:rsidR="001B5C1E" w:rsidRPr="006F29F5">
        <w:rPr>
          <w:rFonts w:cs="Times New Roman"/>
          <w:kern w:val="2"/>
          <w:sz w:val="20"/>
        </w:rPr>
        <w:t>deal with</w:t>
      </w:r>
      <w:r w:rsidR="00137B38" w:rsidRPr="006F29F5">
        <w:rPr>
          <w:rFonts w:cs="Times New Roman"/>
          <w:kern w:val="2"/>
          <w:sz w:val="20"/>
        </w:rPr>
        <w:t xml:space="preserve"> </w:t>
      </w:r>
      <w:r w:rsidRPr="006F29F5">
        <w:rPr>
          <w:rFonts w:cs="Times New Roman"/>
          <w:kern w:val="2"/>
          <w:sz w:val="20"/>
        </w:rPr>
        <w:t xml:space="preserve">the </w:t>
      </w:r>
      <w:r w:rsidR="00AF2641" w:rsidRPr="006F29F5">
        <w:rPr>
          <w:rFonts w:cs="Times New Roman"/>
          <w:kern w:val="2"/>
          <w:sz w:val="20"/>
        </w:rPr>
        <w:t>complications</w:t>
      </w:r>
      <w:r w:rsidRPr="006F29F5">
        <w:rPr>
          <w:rFonts w:cs="Times New Roman"/>
          <w:kern w:val="2"/>
          <w:sz w:val="20"/>
        </w:rPr>
        <w:t xml:space="preserve"> </w:t>
      </w:r>
      <w:r w:rsidR="00AF2641" w:rsidRPr="006F29F5">
        <w:rPr>
          <w:rFonts w:cs="Times New Roman"/>
          <w:kern w:val="2"/>
          <w:sz w:val="20"/>
        </w:rPr>
        <w:t>inherent in transnational legal cooperation and the difficulties in determining the beneficial ownership of corporations and trusts. Each of these challenges is briefly discussed below.</w:t>
      </w:r>
      <w:r w:rsidR="00220AC9" w:rsidRPr="006F29F5">
        <w:rPr>
          <w:rFonts w:cs="Times New Roman"/>
          <w:kern w:val="2"/>
          <w:sz w:val="20"/>
        </w:rPr>
        <w:t xml:space="preserve"> </w:t>
      </w:r>
    </w:p>
    <w:p w14:paraId="0FFDD56E" w14:textId="6D91FBEA" w:rsidR="00EC14FD" w:rsidRPr="006F29F5" w:rsidRDefault="00895D6A" w:rsidP="00B75B2C">
      <w:pPr>
        <w:pStyle w:val="Heading3"/>
        <w:rPr>
          <w:kern w:val="2"/>
          <w:sz w:val="22"/>
        </w:rPr>
      </w:pPr>
      <w:bookmarkStart w:id="52" w:name="_Toc420329383"/>
      <w:r w:rsidRPr="006F29F5">
        <w:rPr>
          <w:kern w:val="2"/>
          <w:sz w:val="22"/>
        </w:rPr>
        <w:t>Transnational Communication and Cooperation</w:t>
      </w:r>
      <w:bookmarkEnd w:id="52"/>
    </w:p>
    <w:p w14:paraId="4600ACA0" w14:textId="4D0F2D42" w:rsidR="00D05FE9" w:rsidRPr="006F29F5" w:rsidRDefault="00812022" w:rsidP="00C81ED8">
      <w:pPr>
        <w:rPr>
          <w:rFonts w:cs="Times New Roman"/>
          <w:kern w:val="2"/>
          <w:sz w:val="20"/>
        </w:rPr>
      </w:pPr>
      <w:r w:rsidRPr="006F29F5">
        <w:rPr>
          <w:rFonts w:cs="Times New Roman"/>
          <w:kern w:val="2"/>
          <w:sz w:val="20"/>
        </w:rPr>
        <w:t>Transnational criminal law is a complex area. Successful</w:t>
      </w:r>
      <w:r w:rsidR="00D8620D" w:rsidRPr="006F29F5">
        <w:rPr>
          <w:rFonts w:cs="Times New Roman"/>
          <w:kern w:val="2"/>
          <w:sz w:val="20"/>
        </w:rPr>
        <w:t xml:space="preserve">ly prosecuting </w:t>
      </w:r>
      <w:r w:rsidR="00D8620D" w:rsidRPr="006F29F5">
        <w:rPr>
          <w:rFonts w:cs="Times New Roman"/>
          <w:color w:val="000000" w:themeColor="text1"/>
          <w:kern w:val="2"/>
          <w:sz w:val="20"/>
        </w:rPr>
        <w:t>corruption offenc</w:t>
      </w:r>
      <w:r w:rsidRPr="006F29F5">
        <w:rPr>
          <w:rFonts w:cs="Times New Roman"/>
          <w:color w:val="000000" w:themeColor="text1"/>
          <w:kern w:val="2"/>
          <w:sz w:val="20"/>
        </w:rPr>
        <w:t>es</w:t>
      </w:r>
      <w:r w:rsidR="004071E0" w:rsidRPr="006F29F5">
        <w:rPr>
          <w:rFonts w:cs="Times New Roman"/>
          <w:color w:val="000000" w:themeColor="text1"/>
          <w:kern w:val="2"/>
          <w:sz w:val="20"/>
        </w:rPr>
        <w:t>,</w:t>
      </w:r>
      <w:r w:rsidRPr="006F29F5">
        <w:rPr>
          <w:rFonts w:cs="Times New Roman"/>
          <w:color w:val="000000" w:themeColor="text1"/>
          <w:kern w:val="2"/>
          <w:sz w:val="20"/>
        </w:rPr>
        <w:t xml:space="preserve"> </w:t>
      </w:r>
      <w:r w:rsidR="0004066B" w:rsidRPr="006F29F5">
        <w:rPr>
          <w:rFonts w:cs="Times New Roman"/>
          <w:color w:val="000000" w:themeColor="text1"/>
          <w:kern w:val="2"/>
          <w:sz w:val="20"/>
        </w:rPr>
        <w:t xml:space="preserve">including money laundering </w:t>
      </w:r>
      <w:r w:rsidRPr="006F29F5">
        <w:rPr>
          <w:rFonts w:cs="Times New Roman"/>
          <w:color w:val="000000" w:themeColor="text1"/>
          <w:kern w:val="2"/>
          <w:sz w:val="20"/>
        </w:rPr>
        <w:t xml:space="preserve">and </w:t>
      </w:r>
      <w:r w:rsidRPr="006F29F5">
        <w:rPr>
          <w:rFonts w:cs="Times New Roman"/>
          <w:kern w:val="2"/>
          <w:sz w:val="20"/>
        </w:rPr>
        <w:t>recovering assets held in other jurisdictions</w:t>
      </w:r>
      <w:r w:rsidR="00B07800" w:rsidRPr="006F29F5">
        <w:rPr>
          <w:rFonts w:cs="Times New Roman"/>
          <w:kern w:val="2"/>
          <w:sz w:val="20"/>
        </w:rPr>
        <w:t>,</w:t>
      </w:r>
      <w:r w:rsidRPr="006F29F5">
        <w:rPr>
          <w:rFonts w:cs="Times New Roman"/>
          <w:kern w:val="2"/>
          <w:sz w:val="20"/>
        </w:rPr>
        <w:t xml:space="preserve"> requires efficient communication and close cooperation between all states involved. However, in a chapter entitled </w:t>
      </w:r>
      <w:r w:rsidR="00CC1E13" w:rsidRPr="006F29F5">
        <w:rPr>
          <w:rFonts w:cs="Times New Roman"/>
          <w:kern w:val="2"/>
          <w:sz w:val="20"/>
        </w:rPr>
        <w:t>“</w:t>
      </w:r>
      <w:r w:rsidRPr="006F29F5">
        <w:rPr>
          <w:rFonts w:cs="Times New Roman"/>
          <w:kern w:val="2"/>
          <w:sz w:val="20"/>
        </w:rPr>
        <w:t>Proactive cooperation within the mutual legal assistance procedure</w:t>
      </w:r>
      <w:r w:rsidR="008155B4" w:rsidRPr="006F29F5">
        <w:rPr>
          <w:rFonts w:cs="Times New Roman"/>
          <w:kern w:val="2"/>
          <w:sz w:val="20"/>
        </w:rPr>
        <w:t>,</w:t>
      </w:r>
      <w:r w:rsidR="00CC1E13" w:rsidRPr="006F29F5">
        <w:rPr>
          <w:rFonts w:cs="Times New Roman"/>
          <w:kern w:val="2"/>
          <w:sz w:val="20"/>
        </w:rPr>
        <w:t>”</w:t>
      </w:r>
      <w:r w:rsidRPr="006F29F5">
        <w:rPr>
          <w:rFonts w:cs="Times New Roman"/>
          <w:kern w:val="2"/>
          <w:sz w:val="20"/>
        </w:rPr>
        <w:t xml:space="preserve"> Wyss argues that in practice mutual legal assistance frequently falls short of this standard. </w:t>
      </w:r>
      <w:r w:rsidR="00F3532D" w:rsidRPr="006F29F5">
        <w:rPr>
          <w:rFonts w:cs="Times New Roman"/>
          <w:kern w:val="2"/>
          <w:sz w:val="20"/>
        </w:rPr>
        <w:t xml:space="preserve">Instead, </w:t>
      </w:r>
      <w:r w:rsidR="001B4EE7" w:rsidRPr="006F29F5">
        <w:rPr>
          <w:rFonts w:cs="Times New Roman"/>
          <w:kern w:val="2"/>
          <w:sz w:val="20"/>
        </w:rPr>
        <w:t xml:space="preserve">in many cases </w:t>
      </w:r>
      <w:r w:rsidR="00CC1E13" w:rsidRPr="006F29F5">
        <w:rPr>
          <w:rFonts w:cs="Times New Roman"/>
          <w:kern w:val="2"/>
          <w:sz w:val="20"/>
        </w:rPr>
        <w:t>“</w:t>
      </w:r>
      <w:r w:rsidR="00D05FE9" w:rsidRPr="006F29F5">
        <w:rPr>
          <w:rFonts w:cs="Times New Roman"/>
          <w:kern w:val="2"/>
          <w:sz w:val="20"/>
        </w:rPr>
        <w:t>a strange desire to preserve a country’s own domestic legal system coupled with a passive attitude at the beginning of MLA challenges disregard the keyword ‘assistance’ in mutual legal assistance procedures.</w:t>
      </w:r>
      <w:r w:rsidR="00CC1E13" w:rsidRPr="006F29F5">
        <w:rPr>
          <w:rFonts w:cs="Times New Roman"/>
          <w:kern w:val="2"/>
          <w:sz w:val="20"/>
        </w:rPr>
        <w:t>”</w:t>
      </w:r>
      <w:r w:rsidR="00D05FE9" w:rsidRPr="006F29F5">
        <w:rPr>
          <w:rStyle w:val="FootnoteReference"/>
          <w:rFonts w:cs="Times New Roman"/>
          <w:kern w:val="2"/>
          <w:sz w:val="20"/>
        </w:rPr>
        <w:footnoteReference w:id="187"/>
      </w:r>
      <w:r w:rsidR="001B4EE7" w:rsidRPr="006F29F5">
        <w:rPr>
          <w:rFonts w:cs="Times New Roman"/>
          <w:kern w:val="2"/>
          <w:sz w:val="20"/>
        </w:rPr>
        <w:t xml:space="preserve"> </w:t>
      </w:r>
      <w:r w:rsidRPr="006F29F5">
        <w:rPr>
          <w:rFonts w:cs="Times New Roman"/>
          <w:kern w:val="2"/>
          <w:sz w:val="20"/>
        </w:rPr>
        <w:t>Wyss explains that</w:t>
      </w:r>
      <w:r w:rsidR="00B3284C" w:rsidRPr="006F29F5">
        <w:rPr>
          <w:rFonts w:cs="Times New Roman"/>
          <w:kern w:val="2"/>
          <w:sz w:val="20"/>
        </w:rPr>
        <w:t>:</w:t>
      </w:r>
    </w:p>
    <w:p w14:paraId="21C66A64" w14:textId="29D04B1B" w:rsidR="00883493" w:rsidRPr="006F29F5" w:rsidRDefault="000F48FB" w:rsidP="00673E2C">
      <w:pPr>
        <w:pStyle w:val="BlockQuote"/>
        <w:rPr>
          <w:kern w:val="2"/>
          <w:sz w:val="20"/>
        </w:rPr>
      </w:pPr>
      <w:r w:rsidRPr="006F29F5">
        <w:rPr>
          <w:kern w:val="2"/>
          <w:sz w:val="20"/>
        </w:rPr>
        <w:t xml:space="preserve">The traditional perception of the roles of the requesting and requested States often results in a passive attitude on the part of the requested State. Some requested States do not even answer </w:t>
      </w:r>
      <w:r w:rsidR="00D05FE9" w:rsidRPr="006F29F5">
        <w:rPr>
          <w:kern w:val="2"/>
          <w:sz w:val="20"/>
        </w:rPr>
        <w:t xml:space="preserve">requests that seem at first glance to have </w:t>
      </w:r>
      <w:r w:rsidR="00632497" w:rsidRPr="006F29F5">
        <w:rPr>
          <w:kern w:val="2"/>
          <w:sz w:val="20"/>
        </w:rPr>
        <w:t>little chance of being accepted. In cases in which responses are provided to the requesting State, sometimes after a long period of time, the response usually includes a long enumeration of the missing elements in the request. Such attitudes and delays on the part of judicial authorities is in sharp contrast to the speed with which business transactions can be carried out by criminals. In a number of countries complicated channels of transmission for MLA requests are still in place. Consequently, not only is time lost before the request can reach the hands of the competent magistrates but sometimes the whole case-file is lost.</w:t>
      </w:r>
    </w:p>
    <w:p w14:paraId="50E37488" w14:textId="60813531" w:rsidR="00632497" w:rsidRPr="006F29F5" w:rsidRDefault="00632497" w:rsidP="00673E2C">
      <w:pPr>
        <w:pStyle w:val="BlockQuote"/>
        <w:rPr>
          <w:kern w:val="2"/>
          <w:sz w:val="20"/>
        </w:rPr>
      </w:pPr>
      <w:r w:rsidRPr="006F29F5">
        <w:rPr>
          <w:kern w:val="2"/>
          <w:sz w:val="20"/>
        </w:rPr>
        <w:t>Other requested countries’ practice is to send a standard model of a ‘perfect’ MLA request to the requesting magistrate who finds it difficult to understand the model, because it is written from the</w:t>
      </w:r>
      <w:r w:rsidR="006E66A7" w:rsidRPr="006F29F5">
        <w:rPr>
          <w:kern w:val="2"/>
          <w:sz w:val="20"/>
        </w:rPr>
        <w:t xml:space="preserve"> sole viewpoint of the requested State and generally does not take into account the legal differences of the requesting countries. Requesting States are bombarded with manuals, guidebooks and links to Internet pages none of which bring any further concrete assistance. From experience, these usually well-intended tools can sometimes lead instead to a great deal of confusion amongst the investigating authorities or can even discourage them from taking further steps or actions.</w:t>
      </w:r>
      <w:r w:rsidR="006E66A7" w:rsidRPr="006F29F5">
        <w:rPr>
          <w:rStyle w:val="FootnoteReference"/>
          <w:kern w:val="2"/>
          <w:sz w:val="20"/>
          <w:szCs w:val="21"/>
        </w:rPr>
        <w:footnoteReference w:id="188"/>
      </w:r>
    </w:p>
    <w:p w14:paraId="1F4F0E29" w14:textId="20393C90" w:rsidR="00B91772" w:rsidRPr="006F29F5" w:rsidRDefault="00B91772" w:rsidP="00C81ED8">
      <w:pPr>
        <w:rPr>
          <w:rFonts w:cs="Times New Roman"/>
          <w:kern w:val="2"/>
          <w:sz w:val="20"/>
        </w:rPr>
      </w:pPr>
      <w:r w:rsidRPr="006F29F5">
        <w:rPr>
          <w:rFonts w:cs="Times New Roman"/>
          <w:kern w:val="2"/>
          <w:sz w:val="20"/>
        </w:rPr>
        <w:t xml:space="preserve">Strengthening both official and informal channels of communication between states is necessary if the MLA process is to function as intended. </w:t>
      </w:r>
    </w:p>
    <w:p w14:paraId="12A8BA10" w14:textId="5CF7A336" w:rsidR="00D85949" w:rsidRPr="006F29F5" w:rsidRDefault="004F0A5F" w:rsidP="00C81ED8">
      <w:pPr>
        <w:rPr>
          <w:rFonts w:cs="Times New Roman"/>
          <w:color w:val="FF0000"/>
          <w:kern w:val="2"/>
          <w:sz w:val="20"/>
        </w:rPr>
      </w:pPr>
      <w:r w:rsidRPr="006F29F5">
        <w:rPr>
          <w:rFonts w:cs="Times New Roman"/>
          <w:color w:val="000000" w:themeColor="text1"/>
          <w:kern w:val="2"/>
          <w:sz w:val="20"/>
        </w:rPr>
        <w:t xml:space="preserve">The settlements in </w:t>
      </w:r>
      <w:r w:rsidR="00083BA9" w:rsidRPr="006F29F5">
        <w:rPr>
          <w:rFonts w:cs="Times New Roman"/>
          <w:color w:val="000000" w:themeColor="text1"/>
          <w:kern w:val="2"/>
          <w:sz w:val="20"/>
        </w:rPr>
        <w:t xml:space="preserve">the </w:t>
      </w:r>
      <w:proofErr w:type="spellStart"/>
      <w:r w:rsidRPr="006F29F5">
        <w:rPr>
          <w:rFonts w:cs="Times New Roman"/>
          <w:color w:val="000000" w:themeColor="text1"/>
          <w:kern w:val="2"/>
          <w:sz w:val="20"/>
        </w:rPr>
        <w:t>VimpelCom</w:t>
      </w:r>
      <w:proofErr w:type="spellEnd"/>
      <w:r w:rsidRPr="006F29F5">
        <w:rPr>
          <w:rFonts w:cs="Times New Roman"/>
          <w:color w:val="000000" w:themeColor="text1"/>
          <w:kern w:val="2"/>
          <w:sz w:val="20"/>
        </w:rPr>
        <w:t xml:space="preserve"> corruption scandal offer an example of successful international cooperation in a foreign bribery case. On February</w:t>
      </w:r>
      <w:r w:rsidR="005B7C59" w:rsidRPr="006F29F5">
        <w:rPr>
          <w:rFonts w:cs="Times New Roman"/>
          <w:color w:val="000000" w:themeColor="text1"/>
          <w:kern w:val="2"/>
          <w:sz w:val="20"/>
        </w:rPr>
        <w:t xml:space="preserve"> 18,</w:t>
      </w:r>
      <w:r w:rsidRPr="006F29F5">
        <w:rPr>
          <w:rFonts w:cs="Times New Roman"/>
          <w:color w:val="000000" w:themeColor="text1"/>
          <w:kern w:val="2"/>
          <w:sz w:val="20"/>
        </w:rPr>
        <w:t xml:space="preserve"> 2016, Amsterdam-based </w:t>
      </w:r>
      <w:proofErr w:type="spellStart"/>
      <w:r w:rsidRPr="006F29F5">
        <w:rPr>
          <w:rFonts w:cs="Times New Roman"/>
          <w:color w:val="000000" w:themeColor="text1"/>
          <w:kern w:val="2"/>
          <w:sz w:val="20"/>
        </w:rPr>
        <w:t>VimpelCom</w:t>
      </w:r>
      <w:proofErr w:type="spellEnd"/>
      <w:r w:rsidRPr="006F29F5">
        <w:rPr>
          <w:rFonts w:cs="Times New Roman"/>
          <w:color w:val="000000" w:themeColor="text1"/>
          <w:kern w:val="2"/>
          <w:sz w:val="20"/>
        </w:rPr>
        <w:t xml:space="preserve"> Limited, an issuer of publicly traded securities in the United States, and its wholly owned Uzbek subsidiary </w:t>
      </w:r>
      <w:proofErr w:type="spellStart"/>
      <w:r w:rsidRPr="006F29F5">
        <w:rPr>
          <w:rFonts w:cs="Times New Roman"/>
          <w:color w:val="000000" w:themeColor="text1"/>
          <w:kern w:val="2"/>
          <w:sz w:val="20"/>
        </w:rPr>
        <w:t>Unitel</w:t>
      </w:r>
      <w:proofErr w:type="spellEnd"/>
      <w:r w:rsidRPr="006F29F5">
        <w:rPr>
          <w:rFonts w:cs="Times New Roman"/>
          <w:color w:val="000000" w:themeColor="text1"/>
          <w:kern w:val="2"/>
          <w:sz w:val="20"/>
        </w:rPr>
        <w:t xml:space="preserve"> LLC</w:t>
      </w:r>
      <w:r w:rsidR="00083BA9" w:rsidRPr="006F29F5">
        <w:rPr>
          <w:rFonts w:cs="Times New Roman"/>
          <w:color w:val="000000" w:themeColor="text1"/>
          <w:kern w:val="2"/>
          <w:sz w:val="20"/>
        </w:rPr>
        <w:t>,</w:t>
      </w:r>
      <w:r w:rsidRPr="006F29F5">
        <w:rPr>
          <w:rFonts w:cs="Times New Roman"/>
          <w:color w:val="000000" w:themeColor="text1"/>
          <w:kern w:val="2"/>
          <w:sz w:val="20"/>
        </w:rPr>
        <w:t xml:space="preserve"> admitted to a conspiracy to pay more than $114 million in bribes to a government official in Uzbekistan to enable them to operate in the Uzbek telecommunications market.</w:t>
      </w:r>
      <w:r w:rsidRPr="006F29F5">
        <w:rPr>
          <w:rStyle w:val="FootnoteReference"/>
          <w:rFonts w:cs="Times New Roman"/>
          <w:color w:val="000000" w:themeColor="text1"/>
          <w:kern w:val="2"/>
          <w:sz w:val="20"/>
        </w:rPr>
        <w:footnoteReference w:id="189"/>
      </w:r>
      <w:r w:rsidRPr="006F29F5">
        <w:rPr>
          <w:rFonts w:cs="Times New Roman"/>
          <w:color w:val="000000" w:themeColor="text1"/>
          <w:kern w:val="2"/>
          <w:sz w:val="20"/>
        </w:rPr>
        <w:t xml:space="preserve"> Pursuant to its agreement with the </w:t>
      </w:r>
      <w:r w:rsidR="00682DB8" w:rsidRPr="006F29F5">
        <w:rPr>
          <w:rFonts w:cs="Times New Roman"/>
          <w:color w:val="000000" w:themeColor="text1"/>
          <w:kern w:val="2"/>
          <w:sz w:val="20"/>
        </w:rPr>
        <w:t>US</w:t>
      </w:r>
      <w:r w:rsidRPr="006F29F5">
        <w:rPr>
          <w:rFonts w:cs="Times New Roman"/>
          <w:color w:val="000000" w:themeColor="text1"/>
          <w:kern w:val="2"/>
          <w:sz w:val="20"/>
        </w:rPr>
        <w:t xml:space="preserve"> Department of Justice, </w:t>
      </w:r>
      <w:proofErr w:type="spellStart"/>
      <w:r w:rsidRPr="006F29F5">
        <w:rPr>
          <w:rFonts w:cs="Times New Roman"/>
          <w:color w:val="000000" w:themeColor="text1"/>
          <w:kern w:val="2"/>
          <w:sz w:val="20"/>
        </w:rPr>
        <w:t>VimpelCom</w:t>
      </w:r>
      <w:proofErr w:type="spellEnd"/>
      <w:r w:rsidRPr="006F29F5">
        <w:rPr>
          <w:rFonts w:cs="Times New Roman"/>
          <w:color w:val="000000" w:themeColor="text1"/>
          <w:kern w:val="2"/>
          <w:sz w:val="20"/>
        </w:rPr>
        <w:t xml:space="preserve"> agreed to pay a criminal penalty of more than $230 million to the </w:t>
      </w:r>
      <w:r w:rsidR="00682DB8" w:rsidRPr="006F29F5">
        <w:rPr>
          <w:rFonts w:cs="Times New Roman"/>
          <w:color w:val="000000" w:themeColor="text1"/>
          <w:kern w:val="2"/>
          <w:sz w:val="20"/>
        </w:rPr>
        <w:t>US</w:t>
      </w:r>
      <w:r w:rsidRPr="006F29F5">
        <w:rPr>
          <w:rFonts w:cs="Times New Roman"/>
          <w:color w:val="000000" w:themeColor="text1"/>
          <w:kern w:val="2"/>
          <w:sz w:val="20"/>
        </w:rPr>
        <w:t xml:space="preserve">, including $40 million in forfeiture. On the same day, the Department of Justice filed a civil complaint seeking forfeiture of more than $550 million held in Swiss bank accounts, which constitute bribes made to the Uzbek official or funds involved in the laundering of those payments. This action follows an earlier civil complaint filed by the Department of Justice on June </w:t>
      </w:r>
      <w:r w:rsidR="005B7C59" w:rsidRPr="006F29F5">
        <w:rPr>
          <w:rFonts w:cs="Times New Roman"/>
          <w:color w:val="000000" w:themeColor="text1"/>
          <w:kern w:val="2"/>
          <w:sz w:val="20"/>
        </w:rPr>
        <w:t xml:space="preserve">29, </w:t>
      </w:r>
      <w:r w:rsidRPr="006F29F5">
        <w:rPr>
          <w:rFonts w:cs="Times New Roman"/>
          <w:color w:val="000000" w:themeColor="text1"/>
          <w:kern w:val="2"/>
          <w:sz w:val="20"/>
        </w:rPr>
        <w:t xml:space="preserve">2015, which </w:t>
      </w:r>
      <w:r w:rsidR="00697AE0" w:rsidRPr="006F29F5">
        <w:rPr>
          <w:rFonts w:cs="Times New Roman"/>
          <w:color w:val="000000" w:themeColor="text1"/>
          <w:kern w:val="2"/>
          <w:sz w:val="20"/>
        </w:rPr>
        <w:t xml:space="preserve">sought </w:t>
      </w:r>
      <w:r w:rsidRPr="006F29F5">
        <w:rPr>
          <w:rFonts w:cs="Times New Roman"/>
          <w:color w:val="000000" w:themeColor="text1"/>
          <w:kern w:val="2"/>
          <w:sz w:val="20"/>
        </w:rPr>
        <w:t>forfeiture of more than $300 million in bank and investment accounts held in Belgium, Luxembourg</w:t>
      </w:r>
      <w:r w:rsidR="00781BF4" w:rsidRPr="006F29F5">
        <w:rPr>
          <w:rFonts w:cs="Times New Roman"/>
          <w:color w:val="000000" w:themeColor="text1"/>
          <w:kern w:val="2"/>
          <w:sz w:val="20"/>
        </w:rPr>
        <w:t>,</w:t>
      </w:r>
      <w:r w:rsidRPr="006F29F5">
        <w:rPr>
          <w:rFonts w:cs="Times New Roman"/>
          <w:color w:val="000000" w:themeColor="text1"/>
          <w:kern w:val="2"/>
          <w:sz w:val="20"/>
        </w:rPr>
        <w:t xml:space="preserve"> and Ireland. In that case the </w:t>
      </w:r>
      <w:r w:rsidR="00781BF4" w:rsidRPr="006F29F5">
        <w:rPr>
          <w:rFonts w:cs="Times New Roman"/>
          <w:color w:val="000000" w:themeColor="text1"/>
          <w:kern w:val="2"/>
          <w:sz w:val="20"/>
        </w:rPr>
        <w:t>US</w:t>
      </w:r>
      <w:r w:rsidRPr="006F29F5">
        <w:rPr>
          <w:rFonts w:cs="Times New Roman"/>
          <w:color w:val="000000" w:themeColor="text1"/>
          <w:kern w:val="2"/>
          <w:sz w:val="20"/>
        </w:rPr>
        <w:t xml:space="preserve"> District Court for the Southern District of New York entered a partial default judgment</w:t>
      </w:r>
      <w:r w:rsidR="00781BF4" w:rsidRPr="006F29F5">
        <w:rPr>
          <w:rFonts w:cs="Times New Roman"/>
          <w:color w:val="000000" w:themeColor="text1"/>
          <w:kern w:val="2"/>
          <w:sz w:val="20"/>
        </w:rPr>
        <w:t xml:space="preserve"> (on January 11, 2016)</w:t>
      </w:r>
      <w:r w:rsidRPr="006F29F5">
        <w:rPr>
          <w:rFonts w:cs="Times New Roman"/>
          <w:color w:val="000000" w:themeColor="text1"/>
          <w:kern w:val="2"/>
          <w:sz w:val="20"/>
        </w:rPr>
        <w:t xml:space="preserve"> against all potential claimants</w:t>
      </w:r>
      <w:r w:rsidR="00781BF4" w:rsidRPr="006F29F5">
        <w:rPr>
          <w:rFonts w:cs="Times New Roman"/>
          <w:color w:val="000000" w:themeColor="text1"/>
          <w:kern w:val="2"/>
          <w:sz w:val="20"/>
        </w:rPr>
        <w:t>,</w:t>
      </w:r>
      <w:r w:rsidRPr="006F29F5">
        <w:rPr>
          <w:rFonts w:cs="Times New Roman"/>
          <w:color w:val="000000" w:themeColor="text1"/>
          <w:kern w:val="2"/>
          <w:sz w:val="20"/>
        </w:rPr>
        <w:t xml:space="preserve"> other than the Republic of Uzbekistan. In its verified claim</w:t>
      </w:r>
      <w:r w:rsidRPr="006F29F5">
        <w:rPr>
          <w:rFonts w:cs="Times New Roman"/>
          <w:color w:val="000000" w:themeColor="text1"/>
          <w:kern w:val="2"/>
          <w:sz w:val="20"/>
          <w:lang w:val="ru-RU"/>
        </w:rPr>
        <w:t xml:space="preserve"> </w:t>
      </w:r>
      <w:r w:rsidRPr="006F29F5">
        <w:rPr>
          <w:rFonts w:cs="Times New Roman"/>
          <w:color w:val="000000" w:themeColor="text1"/>
          <w:kern w:val="2"/>
          <w:sz w:val="20"/>
        </w:rPr>
        <w:t xml:space="preserve">filed on January </w:t>
      </w:r>
      <w:r w:rsidR="005B7C59" w:rsidRPr="006F29F5">
        <w:rPr>
          <w:rFonts w:cs="Times New Roman"/>
          <w:color w:val="000000" w:themeColor="text1"/>
          <w:kern w:val="2"/>
          <w:sz w:val="20"/>
        </w:rPr>
        <w:t xml:space="preserve">26, </w:t>
      </w:r>
      <w:r w:rsidRPr="006F29F5">
        <w:rPr>
          <w:rFonts w:cs="Times New Roman"/>
          <w:color w:val="000000" w:themeColor="text1"/>
          <w:kern w:val="2"/>
          <w:sz w:val="20"/>
        </w:rPr>
        <w:t>2016, Uzbekistan indicated that on July</w:t>
      </w:r>
      <w:r w:rsidR="005B7C59" w:rsidRPr="006F29F5">
        <w:rPr>
          <w:rFonts w:cs="Times New Roman"/>
          <w:color w:val="000000" w:themeColor="text1"/>
          <w:kern w:val="2"/>
          <w:sz w:val="20"/>
        </w:rPr>
        <w:t xml:space="preserve"> 20,</w:t>
      </w:r>
      <w:r w:rsidRPr="006F29F5">
        <w:rPr>
          <w:rFonts w:cs="Times New Roman"/>
          <w:color w:val="000000" w:themeColor="text1"/>
          <w:kern w:val="2"/>
          <w:sz w:val="20"/>
        </w:rPr>
        <w:t xml:space="preserve"> 2015 the Tashkent</w:t>
      </w:r>
      <w:r w:rsidRPr="006F29F5">
        <w:rPr>
          <w:rFonts w:cs="Times New Roman"/>
          <w:color w:val="000000" w:themeColor="text1"/>
          <w:kern w:val="2"/>
          <w:sz w:val="20"/>
          <w:lang w:val="ru-RU"/>
        </w:rPr>
        <w:t xml:space="preserve"> </w:t>
      </w:r>
      <w:r w:rsidRPr="006F29F5">
        <w:rPr>
          <w:rFonts w:cs="Times New Roman"/>
          <w:color w:val="000000" w:themeColor="text1"/>
          <w:kern w:val="2"/>
          <w:sz w:val="20"/>
        </w:rPr>
        <w:t>Regional Criminal Court issued a</w:t>
      </w:r>
      <w:r w:rsidRPr="006F29F5">
        <w:rPr>
          <w:rFonts w:cs="Times New Roman"/>
          <w:color w:val="000000" w:themeColor="text1"/>
          <w:kern w:val="2"/>
          <w:sz w:val="20"/>
          <w:lang w:val="ru-RU"/>
        </w:rPr>
        <w:t xml:space="preserve"> </w:t>
      </w:r>
      <w:r w:rsidRPr="006F29F5">
        <w:rPr>
          <w:rFonts w:cs="Times New Roman"/>
          <w:color w:val="000000" w:themeColor="text1"/>
          <w:kern w:val="2"/>
          <w:sz w:val="20"/>
        </w:rPr>
        <w:t>final criminal judgment confirming the rightful ownership of the assets in question</w:t>
      </w:r>
      <w:r w:rsidRPr="006F29F5">
        <w:rPr>
          <w:rFonts w:cs="Times New Roman"/>
          <w:color w:val="000000" w:themeColor="text1"/>
          <w:kern w:val="2"/>
          <w:sz w:val="20"/>
          <w:lang w:val="ru-RU"/>
        </w:rPr>
        <w:t xml:space="preserve"> </w:t>
      </w:r>
      <w:r w:rsidRPr="006F29F5">
        <w:rPr>
          <w:rFonts w:cs="Times New Roman"/>
          <w:color w:val="000000" w:themeColor="text1"/>
          <w:kern w:val="2"/>
          <w:sz w:val="20"/>
        </w:rPr>
        <w:t>by Uzbekistan.</w:t>
      </w:r>
      <w:r w:rsidRPr="006F29F5">
        <w:rPr>
          <w:rStyle w:val="FootnoteReference"/>
          <w:rFonts w:cs="Times New Roman"/>
          <w:color w:val="000000" w:themeColor="text1"/>
          <w:kern w:val="2"/>
          <w:sz w:val="20"/>
        </w:rPr>
        <w:footnoteReference w:id="190"/>
      </w:r>
      <w:r w:rsidRPr="006F29F5">
        <w:rPr>
          <w:rFonts w:cs="Times New Roman"/>
          <w:color w:val="000000" w:themeColor="text1"/>
          <w:kern w:val="2"/>
          <w:sz w:val="20"/>
        </w:rPr>
        <w:t xml:space="preserve"> In its press release on the resolution of the criminal case, the </w:t>
      </w:r>
      <w:r w:rsidR="00781BF4" w:rsidRPr="006F29F5">
        <w:rPr>
          <w:rFonts w:cs="Times New Roman"/>
          <w:color w:val="000000" w:themeColor="text1"/>
          <w:kern w:val="2"/>
          <w:sz w:val="20"/>
        </w:rPr>
        <w:t>US</w:t>
      </w:r>
      <w:r w:rsidRPr="006F29F5">
        <w:rPr>
          <w:rFonts w:cs="Times New Roman"/>
          <w:color w:val="000000" w:themeColor="text1"/>
          <w:kern w:val="2"/>
          <w:sz w:val="20"/>
        </w:rPr>
        <w:t xml:space="preserve"> Department of Justice acknowledged that law enforcement professionals from the Public Prosecution Service of the Netherlands, the Swedish Prosecution Authority, the Office of the Attorney General in Switzerland and the Corruption Prevention and Combating Bureau in Latvia provided significant cooperation and assistance in this matter, </w:t>
      </w:r>
      <w:r w:rsidR="00CA69F7" w:rsidRPr="006F29F5">
        <w:rPr>
          <w:rFonts w:cs="Times New Roman"/>
          <w:color w:val="000000" w:themeColor="text1"/>
          <w:kern w:val="2"/>
          <w:sz w:val="20"/>
        </w:rPr>
        <w:t xml:space="preserve">while </w:t>
      </w:r>
      <w:r w:rsidRPr="006F29F5">
        <w:rPr>
          <w:rFonts w:cs="Times New Roman"/>
          <w:color w:val="000000" w:themeColor="text1"/>
          <w:kern w:val="2"/>
          <w:sz w:val="20"/>
        </w:rPr>
        <w:t>law enforcement colleagues in Belgium, France, Ireland, Luxembourg</w:t>
      </w:r>
      <w:r w:rsidR="009351FA" w:rsidRPr="006F29F5">
        <w:rPr>
          <w:rFonts w:cs="Times New Roman"/>
          <w:color w:val="000000" w:themeColor="text1"/>
          <w:kern w:val="2"/>
          <w:sz w:val="20"/>
        </w:rPr>
        <w:t>,</w:t>
      </w:r>
      <w:r w:rsidRPr="006F29F5">
        <w:rPr>
          <w:rFonts w:cs="Times New Roman"/>
          <w:color w:val="000000" w:themeColor="text1"/>
          <w:kern w:val="2"/>
          <w:sz w:val="20"/>
        </w:rPr>
        <w:t xml:space="preserve"> and the United Kingdom provided valuable assistance. The case is also an example of extensive domestic cooperation between law enforcement agencies in the United States, including not only the Department of Justice and the Securities and Exchange Commission, but also Immigration and Customs Enforcement’s Homeland Security Investigations and the Internal Revenue Service Criminal Investigation Division.</w:t>
      </w:r>
    </w:p>
    <w:p w14:paraId="0DCC78DB" w14:textId="4F516A4D" w:rsidR="00895D6A" w:rsidRPr="006F29F5" w:rsidRDefault="00DD53B6" w:rsidP="00B75B2C">
      <w:pPr>
        <w:pStyle w:val="Heading3"/>
        <w:rPr>
          <w:kern w:val="2"/>
          <w:sz w:val="22"/>
        </w:rPr>
      </w:pPr>
      <w:bookmarkStart w:id="53" w:name="_Toc420329384"/>
      <w:r w:rsidRPr="006F29F5">
        <w:rPr>
          <w:kern w:val="2"/>
          <w:sz w:val="22"/>
        </w:rPr>
        <w:t>The Need</w:t>
      </w:r>
      <w:r w:rsidR="005E0B5D" w:rsidRPr="006F29F5">
        <w:rPr>
          <w:kern w:val="2"/>
          <w:sz w:val="22"/>
        </w:rPr>
        <w:t xml:space="preserve"> </w:t>
      </w:r>
      <w:r w:rsidR="00550340" w:rsidRPr="006F29F5">
        <w:rPr>
          <w:kern w:val="2"/>
          <w:sz w:val="22"/>
        </w:rPr>
        <w:t>for</w:t>
      </w:r>
      <w:r w:rsidR="005E0B5D" w:rsidRPr="006F29F5">
        <w:rPr>
          <w:kern w:val="2"/>
          <w:sz w:val="22"/>
        </w:rPr>
        <w:t xml:space="preserve"> Mandatory Public Disclosure of</w:t>
      </w:r>
      <w:r w:rsidR="00895D6A" w:rsidRPr="006F29F5">
        <w:rPr>
          <w:kern w:val="2"/>
          <w:sz w:val="22"/>
        </w:rPr>
        <w:t xml:space="preserve"> Beneficial Ownership</w:t>
      </w:r>
      <w:bookmarkEnd w:id="53"/>
      <w:r w:rsidR="00895D6A" w:rsidRPr="006F29F5">
        <w:rPr>
          <w:kern w:val="2"/>
          <w:sz w:val="22"/>
        </w:rPr>
        <w:t xml:space="preserve"> </w:t>
      </w:r>
    </w:p>
    <w:p w14:paraId="4ED5264C" w14:textId="51799F1C" w:rsidR="00B91772" w:rsidRPr="006F29F5" w:rsidRDefault="00AE6B1D" w:rsidP="00C81ED8">
      <w:pPr>
        <w:rPr>
          <w:rFonts w:cs="Times New Roman"/>
          <w:kern w:val="2"/>
          <w:sz w:val="20"/>
        </w:rPr>
      </w:pPr>
      <w:r w:rsidRPr="006F29F5">
        <w:rPr>
          <w:rFonts w:cs="Times New Roman"/>
          <w:kern w:val="2"/>
          <w:sz w:val="20"/>
        </w:rPr>
        <w:t xml:space="preserve">In addition to the difficulties raised by mutual legal assistance, </w:t>
      </w:r>
      <w:r w:rsidR="005F2A37" w:rsidRPr="006F29F5">
        <w:rPr>
          <w:rFonts w:cs="Times New Roman"/>
          <w:kern w:val="2"/>
          <w:sz w:val="20"/>
        </w:rPr>
        <w:t xml:space="preserve">the international financial system creates its own challenges. </w:t>
      </w:r>
      <w:r w:rsidR="00276375" w:rsidRPr="006F29F5">
        <w:rPr>
          <w:rFonts w:cs="Times New Roman"/>
          <w:kern w:val="2"/>
          <w:sz w:val="20"/>
        </w:rPr>
        <w:t>Corrupt officials, criminals and those they employ have created many ingenious ways to disguise the beneficial ownership of illicit funds using trusts, shell companies and other vehicles</w:t>
      </w:r>
      <w:r w:rsidR="00E308AD" w:rsidRPr="006F29F5">
        <w:rPr>
          <w:rFonts w:cs="Times New Roman"/>
          <w:kern w:val="2"/>
          <w:sz w:val="20"/>
        </w:rPr>
        <w:t>. As pointed out by Sharman</w:t>
      </w:r>
      <w:r w:rsidR="0075732A" w:rsidRPr="006F29F5">
        <w:rPr>
          <w:rFonts w:cs="Times New Roman"/>
          <w:kern w:val="2"/>
          <w:sz w:val="20"/>
        </w:rPr>
        <w:t>,</w:t>
      </w:r>
      <w:r w:rsidR="00E308AD" w:rsidRPr="006F29F5">
        <w:rPr>
          <w:rFonts w:cs="Times New Roman"/>
          <w:kern w:val="2"/>
          <w:sz w:val="20"/>
        </w:rPr>
        <w:t xml:space="preserve"> shell companies </w:t>
      </w:r>
      <w:r w:rsidR="002C7DB6" w:rsidRPr="006F29F5">
        <w:rPr>
          <w:rFonts w:cs="Times New Roman"/>
          <w:kern w:val="2"/>
          <w:sz w:val="20"/>
        </w:rPr>
        <w:t xml:space="preserve">in most </w:t>
      </w:r>
      <w:r w:rsidR="00BC3C01" w:rsidRPr="006F29F5">
        <w:rPr>
          <w:rFonts w:cs="Times New Roman"/>
          <w:kern w:val="2"/>
          <w:sz w:val="20"/>
        </w:rPr>
        <w:t xml:space="preserve">countries </w:t>
      </w:r>
      <w:r w:rsidR="00E308AD" w:rsidRPr="006F29F5">
        <w:rPr>
          <w:rFonts w:cs="Times New Roman"/>
          <w:kern w:val="2"/>
          <w:sz w:val="20"/>
        </w:rPr>
        <w:t>can be set up easily and inexpensively online, without any connection required between the beneficial owner’s location and the jurisdiction of incorporation.</w:t>
      </w:r>
      <w:r w:rsidR="00957D8F" w:rsidRPr="006F29F5">
        <w:rPr>
          <w:rStyle w:val="FootnoteReference"/>
          <w:rFonts w:cs="Times New Roman"/>
          <w:kern w:val="2"/>
          <w:sz w:val="20"/>
        </w:rPr>
        <w:footnoteReference w:id="191"/>
      </w:r>
      <w:r w:rsidR="00E308AD" w:rsidRPr="006F29F5">
        <w:rPr>
          <w:rFonts w:cs="Times New Roman"/>
          <w:kern w:val="2"/>
          <w:sz w:val="20"/>
        </w:rPr>
        <w:t xml:space="preserve"> This allows </w:t>
      </w:r>
      <w:r w:rsidR="002C7DB6" w:rsidRPr="006F29F5">
        <w:rPr>
          <w:rFonts w:cs="Times New Roman"/>
          <w:kern w:val="2"/>
          <w:sz w:val="20"/>
        </w:rPr>
        <w:t xml:space="preserve">true </w:t>
      </w:r>
      <w:r w:rsidR="00E308AD" w:rsidRPr="006F29F5">
        <w:rPr>
          <w:rFonts w:cs="Times New Roman"/>
          <w:kern w:val="2"/>
          <w:sz w:val="20"/>
        </w:rPr>
        <w:t>owners</w:t>
      </w:r>
      <w:r w:rsidR="002C7DB6" w:rsidRPr="006F29F5">
        <w:rPr>
          <w:rFonts w:cs="Times New Roman"/>
          <w:kern w:val="2"/>
          <w:sz w:val="20"/>
        </w:rPr>
        <w:t xml:space="preserve"> of proceeds of crime</w:t>
      </w:r>
      <w:r w:rsidR="00E308AD" w:rsidRPr="006F29F5">
        <w:rPr>
          <w:rFonts w:cs="Times New Roman"/>
          <w:kern w:val="2"/>
          <w:sz w:val="20"/>
        </w:rPr>
        <w:t xml:space="preserve"> to frustrate investigation</w:t>
      </w:r>
      <w:r w:rsidR="002C7DB6" w:rsidRPr="006F29F5">
        <w:rPr>
          <w:rFonts w:cs="Times New Roman"/>
          <w:kern w:val="2"/>
          <w:sz w:val="20"/>
        </w:rPr>
        <w:t>s</w:t>
      </w:r>
      <w:r w:rsidR="00E308AD" w:rsidRPr="006F29F5">
        <w:rPr>
          <w:rFonts w:cs="Times New Roman"/>
          <w:kern w:val="2"/>
          <w:sz w:val="20"/>
        </w:rPr>
        <w:t xml:space="preserve"> by ensuring the corporate service provider, beneficial owner and jurisdiction of incorpora</w:t>
      </w:r>
      <w:r w:rsidR="0075732A" w:rsidRPr="006F29F5">
        <w:rPr>
          <w:rFonts w:cs="Times New Roman"/>
          <w:kern w:val="2"/>
          <w:sz w:val="20"/>
        </w:rPr>
        <w:t>tion are each in separate jurisdictions</w:t>
      </w:r>
      <w:r w:rsidR="00E308AD" w:rsidRPr="006F29F5">
        <w:rPr>
          <w:rFonts w:cs="Times New Roman"/>
          <w:kern w:val="2"/>
          <w:sz w:val="20"/>
        </w:rPr>
        <w:t>. Out of date company registries, particularly in developing countries, add further difficulty to tracing the beneficial owner</w:t>
      </w:r>
      <w:r w:rsidR="00276375" w:rsidRPr="006F29F5">
        <w:rPr>
          <w:rFonts w:cs="Times New Roman"/>
          <w:kern w:val="2"/>
          <w:sz w:val="20"/>
        </w:rPr>
        <w:t>.</w:t>
      </w:r>
      <w:r w:rsidR="00E308AD" w:rsidRPr="006F29F5">
        <w:rPr>
          <w:rStyle w:val="FootnoteReference"/>
          <w:rFonts w:cs="Times New Roman"/>
          <w:kern w:val="2"/>
          <w:sz w:val="20"/>
        </w:rPr>
        <w:footnoteReference w:id="192"/>
      </w:r>
      <w:r w:rsidR="00276375" w:rsidRPr="006F29F5">
        <w:rPr>
          <w:rFonts w:cs="Times New Roman"/>
          <w:kern w:val="2"/>
          <w:sz w:val="20"/>
        </w:rPr>
        <w:t xml:space="preserve"> </w:t>
      </w:r>
      <w:r w:rsidR="00834597" w:rsidRPr="006F29F5">
        <w:rPr>
          <w:rFonts w:cs="Times New Roman"/>
          <w:kern w:val="2"/>
          <w:sz w:val="20"/>
        </w:rPr>
        <w:t xml:space="preserve">While significant gains have been made in financial regulation, driven in part by the Financial Action Task Force, this </w:t>
      </w:r>
      <w:r w:rsidR="00051498" w:rsidRPr="006F29F5">
        <w:rPr>
          <w:rFonts w:cs="Times New Roman"/>
          <w:kern w:val="2"/>
          <w:sz w:val="20"/>
        </w:rPr>
        <w:t xml:space="preserve">greater regulation has </w:t>
      </w:r>
      <w:r w:rsidR="00834597" w:rsidRPr="006F29F5">
        <w:rPr>
          <w:rFonts w:cs="Times New Roman"/>
          <w:kern w:val="2"/>
          <w:sz w:val="20"/>
        </w:rPr>
        <w:t>sparked new innovations by criminals. As Schulz explains:</w:t>
      </w:r>
    </w:p>
    <w:p w14:paraId="1CDDDC8E" w14:textId="4FC750F3" w:rsidR="00B9391E" w:rsidRPr="006F29F5" w:rsidRDefault="00DB1DF2" w:rsidP="00673E2C">
      <w:pPr>
        <w:pStyle w:val="BlockQuote"/>
        <w:rPr>
          <w:kern w:val="2"/>
          <w:sz w:val="20"/>
        </w:rPr>
      </w:pPr>
      <w:r w:rsidRPr="006F29F5">
        <w:rPr>
          <w:kern w:val="2"/>
          <w:sz w:val="20"/>
        </w:rPr>
        <w:t>For decades, banks and financial institutions have identified beneficial owners as part of their AML [anti-money-lau</w:t>
      </w:r>
      <w:r w:rsidR="007018BE" w:rsidRPr="006F29F5">
        <w:rPr>
          <w:kern w:val="2"/>
          <w:sz w:val="20"/>
        </w:rPr>
        <w:t>ndering] program. Therefore, those years of experience should make it easy to identify beneficial owners. The challenges, however, have not much changed over the years</w:t>
      </w:r>
      <w:r w:rsidR="00BB0712" w:rsidRPr="006F29F5">
        <w:rPr>
          <w:kern w:val="2"/>
          <w:sz w:val="20"/>
        </w:rPr>
        <w:t>. If anything, it may be even harder today to identify beneficial ownerships than it was in the past. People who have something to hide, like money launderers, corrupt politicians, rogue employees and fraudsters, seek to channel illegitimate funds through the system. At the same time as banks and financial institutions have increased their efforts to make it harder to abuse the system, criminals are getting smarter at exploiting the system.</w:t>
      </w:r>
      <w:r w:rsidR="00051498" w:rsidRPr="006F29F5">
        <w:rPr>
          <w:rStyle w:val="FootnoteReference"/>
          <w:rFonts w:cs="Times New Roman"/>
          <w:kern w:val="2"/>
          <w:sz w:val="20"/>
          <w:szCs w:val="21"/>
        </w:rPr>
        <w:footnoteReference w:id="193"/>
      </w:r>
    </w:p>
    <w:p w14:paraId="05BA8190" w14:textId="071C20E1" w:rsidR="00F81C2C" w:rsidRPr="006F29F5" w:rsidRDefault="00834597" w:rsidP="00C81ED8">
      <w:pPr>
        <w:rPr>
          <w:rFonts w:cs="Times New Roman"/>
          <w:kern w:val="2"/>
          <w:sz w:val="20"/>
        </w:rPr>
      </w:pPr>
      <w:r w:rsidRPr="006F29F5">
        <w:rPr>
          <w:rFonts w:cs="Times New Roman"/>
          <w:kern w:val="2"/>
          <w:sz w:val="20"/>
        </w:rPr>
        <w:t>Schulz recommends an improved system for identifying politicall</w:t>
      </w:r>
      <w:r w:rsidR="002F18ED" w:rsidRPr="006F29F5">
        <w:rPr>
          <w:rFonts w:cs="Times New Roman"/>
          <w:kern w:val="2"/>
          <w:sz w:val="20"/>
        </w:rPr>
        <w:t>y exposed persons (PEPs) as well as regulations requiring company registers to maintain a record of beneficial ownership.</w:t>
      </w:r>
      <w:r w:rsidR="002F18ED" w:rsidRPr="006F29F5">
        <w:rPr>
          <w:rStyle w:val="FootnoteReference"/>
          <w:rFonts w:cs="Times New Roman"/>
          <w:kern w:val="2"/>
          <w:sz w:val="20"/>
        </w:rPr>
        <w:footnoteReference w:id="194"/>
      </w:r>
      <w:r w:rsidR="002F18ED" w:rsidRPr="006F29F5">
        <w:rPr>
          <w:rFonts w:cs="Times New Roman"/>
          <w:kern w:val="2"/>
          <w:sz w:val="20"/>
        </w:rPr>
        <w:t xml:space="preserve"> </w:t>
      </w:r>
      <w:r w:rsidR="00E308AD" w:rsidRPr="006F29F5">
        <w:rPr>
          <w:rFonts w:cs="Times New Roman"/>
          <w:kern w:val="2"/>
          <w:sz w:val="20"/>
        </w:rPr>
        <w:t>Sharman recommends</w:t>
      </w:r>
      <w:r w:rsidR="006616E1" w:rsidRPr="006F29F5">
        <w:rPr>
          <w:rFonts w:cs="Times New Roman"/>
          <w:kern w:val="2"/>
          <w:sz w:val="20"/>
        </w:rPr>
        <w:t xml:space="preserve"> the establishment of</w:t>
      </w:r>
      <w:r w:rsidR="00E308AD" w:rsidRPr="006F29F5">
        <w:rPr>
          <w:rFonts w:cs="Times New Roman"/>
          <w:kern w:val="2"/>
          <w:sz w:val="20"/>
        </w:rPr>
        <w:t xml:space="preserve"> </w:t>
      </w:r>
      <w:r w:rsidR="00CC1E13" w:rsidRPr="006F29F5">
        <w:rPr>
          <w:rFonts w:cs="Times New Roman"/>
          <w:kern w:val="2"/>
          <w:sz w:val="20"/>
        </w:rPr>
        <w:t>“</w:t>
      </w:r>
      <w:r w:rsidR="00E308AD" w:rsidRPr="006F29F5">
        <w:rPr>
          <w:rFonts w:cs="Times New Roman"/>
          <w:kern w:val="2"/>
          <w:sz w:val="20"/>
        </w:rPr>
        <w:t>a new global standard mandating that all registries contain the identity of all beneficial owners and that this information be publicly accessible to all.</w:t>
      </w:r>
      <w:r w:rsidR="00CC1E13" w:rsidRPr="006F29F5">
        <w:rPr>
          <w:rFonts w:cs="Times New Roman"/>
          <w:kern w:val="2"/>
          <w:sz w:val="20"/>
        </w:rPr>
        <w:t>”</w:t>
      </w:r>
      <w:r w:rsidR="00E308AD" w:rsidRPr="006F29F5">
        <w:rPr>
          <w:rStyle w:val="FootnoteReference"/>
          <w:rFonts w:cs="Times New Roman"/>
          <w:kern w:val="2"/>
          <w:sz w:val="20"/>
        </w:rPr>
        <w:footnoteReference w:id="195"/>
      </w:r>
      <w:r w:rsidR="00D4283D" w:rsidRPr="006F29F5">
        <w:rPr>
          <w:rFonts w:cs="Times New Roman"/>
          <w:kern w:val="2"/>
          <w:sz w:val="20"/>
        </w:rPr>
        <w:t xml:space="preserve"> The Global Organization of Parliamentarians </w:t>
      </w:r>
      <w:proofErr w:type="gramStart"/>
      <w:r w:rsidR="00D4283D" w:rsidRPr="006F29F5">
        <w:rPr>
          <w:rFonts w:cs="Times New Roman"/>
          <w:kern w:val="2"/>
          <w:sz w:val="20"/>
        </w:rPr>
        <w:t>Against</w:t>
      </w:r>
      <w:proofErr w:type="gramEnd"/>
      <w:r w:rsidR="00D4283D" w:rsidRPr="006F29F5">
        <w:rPr>
          <w:rFonts w:cs="Times New Roman"/>
          <w:kern w:val="2"/>
          <w:sz w:val="20"/>
        </w:rPr>
        <w:t xml:space="preserve"> Corruption (GOPAC) also advocates </w:t>
      </w:r>
      <w:r w:rsidR="0097254E" w:rsidRPr="006F29F5">
        <w:rPr>
          <w:rFonts w:cs="Times New Roman"/>
          <w:kern w:val="2"/>
          <w:sz w:val="20"/>
        </w:rPr>
        <w:t xml:space="preserve">for </w:t>
      </w:r>
      <w:r w:rsidR="00D4283D" w:rsidRPr="006F29F5">
        <w:rPr>
          <w:rFonts w:cs="Times New Roman"/>
          <w:kern w:val="2"/>
          <w:sz w:val="20"/>
        </w:rPr>
        <w:t>further transparency through</w:t>
      </w:r>
      <w:r w:rsidR="0097254E" w:rsidRPr="006F29F5">
        <w:rPr>
          <w:rFonts w:cs="Times New Roman"/>
          <w:kern w:val="2"/>
          <w:sz w:val="20"/>
        </w:rPr>
        <w:t xml:space="preserve"> </w:t>
      </w:r>
      <w:r w:rsidR="00D4283D" w:rsidRPr="006F29F5">
        <w:rPr>
          <w:rFonts w:cs="Times New Roman"/>
          <w:kern w:val="2"/>
          <w:sz w:val="20"/>
        </w:rPr>
        <w:t xml:space="preserve">the identification of beneficial owners. GOPAC recommends </w:t>
      </w:r>
      <w:r w:rsidR="0097254E" w:rsidRPr="006F29F5">
        <w:rPr>
          <w:rFonts w:cs="Times New Roman"/>
          <w:kern w:val="2"/>
          <w:sz w:val="20"/>
        </w:rPr>
        <w:t>requirements for financial institutions to demand</w:t>
      </w:r>
      <w:r w:rsidR="00D4283D" w:rsidRPr="006F29F5">
        <w:rPr>
          <w:rFonts w:cs="Times New Roman"/>
          <w:kern w:val="2"/>
          <w:sz w:val="20"/>
        </w:rPr>
        <w:t xml:space="preserve"> a declaration of beneficial ownership</w:t>
      </w:r>
      <w:r w:rsidR="0097254E" w:rsidRPr="006F29F5">
        <w:rPr>
          <w:rFonts w:cs="Times New Roman"/>
          <w:kern w:val="2"/>
          <w:sz w:val="20"/>
        </w:rPr>
        <w:t xml:space="preserve"> and impose</w:t>
      </w:r>
      <w:r w:rsidR="00D4283D" w:rsidRPr="006F29F5">
        <w:rPr>
          <w:rFonts w:cs="Times New Roman"/>
          <w:kern w:val="2"/>
          <w:sz w:val="20"/>
        </w:rPr>
        <w:t xml:space="preserve"> strict </w:t>
      </w:r>
      <w:r w:rsidR="00CC1E13" w:rsidRPr="006F29F5">
        <w:rPr>
          <w:rFonts w:cs="Times New Roman"/>
          <w:kern w:val="2"/>
          <w:sz w:val="20"/>
        </w:rPr>
        <w:t>“</w:t>
      </w:r>
      <w:r w:rsidR="00D4283D" w:rsidRPr="006F29F5">
        <w:rPr>
          <w:rFonts w:cs="Times New Roman"/>
          <w:kern w:val="2"/>
          <w:sz w:val="20"/>
        </w:rPr>
        <w:t>know your customer</w:t>
      </w:r>
      <w:r w:rsidR="00CC1E13" w:rsidRPr="006F29F5">
        <w:rPr>
          <w:rFonts w:cs="Times New Roman"/>
          <w:kern w:val="2"/>
          <w:sz w:val="20"/>
        </w:rPr>
        <w:t>”</w:t>
      </w:r>
      <w:r w:rsidR="00D4283D" w:rsidRPr="006F29F5">
        <w:rPr>
          <w:rFonts w:cs="Times New Roman"/>
          <w:kern w:val="2"/>
          <w:sz w:val="20"/>
        </w:rPr>
        <w:t xml:space="preserve"> </w:t>
      </w:r>
      <w:r w:rsidR="0097254E" w:rsidRPr="006F29F5">
        <w:rPr>
          <w:rFonts w:cs="Times New Roman"/>
          <w:kern w:val="2"/>
          <w:sz w:val="20"/>
        </w:rPr>
        <w:t>measures</w:t>
      </w:r>
      <w:r w:rsidR="00D4283D" w:rsidRPr="006F29F5">
        <w:rPr>
          <w:rFonts w:cs="Times New Roman"/>
          <w:kern w:val="2"/>
          <w:sz w:val="20"/>
        </w:rPr>
        <w:t>.</w:t>
      </w:r>
      <w:r w:rsidR="00D4283D" w:rsidRPr="006F29F5">
        <w:rPr>
          <w:rStyle w:val="FootnoteReference"/>
          <w:rFonts w:cs="Times New Roman"/>
          <w:kern w:val="2"/>
          <w:sz w:val="20"/>
        </w:rPr>
        <w:footnoteReference w:id="196"/>
      </w:r>
    </w:p>
    <w:p w14:paraId="0AEEE94A" w14:textId="3A4551CE" w:rsidR="00F57E24" w:rsidRPr="006F29F5" w:rsidRDefault="00F57E24" w:rsidP="00C81ED8">
      <w:pPr>
        <w:rPr>
          <w:rFonts w:cs="Times New Roman"/>
          <w:kern w:val="2"/>
          <w:sz w:val="20"/>
        </w:rPr>
      </w:pPr>
      <w:r w:rsidRPr="006F29F5">
        <w:rPr>
          <w:rFonts w:cs="Times New Roman"/>
          <w:kern w:val="2"/>
          <w:sz w:val="20"/>
        </w:rPr>
        <w:t xml:space="preserve">A significant development in the global movement towards mandatory disclosure of beneficial ownership </w:t>
      </w:r>
      <w:r w:rsidR="005900C7" w:rsidRPr="006F29F5">
        <w:rPr>
          <w:rFonts w:cs="Times New Roman"/>
          <w:kern w:val="2"/>
          <w:sz w:val="20"/>
        </w:rPr>
        <w:t>was implemented through</w:t>
      </w:r>
      <w:r w:rsidRPr="006F29F5">
        <w:rPr>
          <w:rFonts w:cs="Times New Roman"/>
          <w:kern w:val="2"/>
          <w:sz w:val="20"/>
        </w:rPr>
        <w:t xml:space="preserve"> the Extractive Industries Transparency Initiative (EITI)</w:t>
      </w:r>
      <w:r w:rsidR="00FC5EEF" w:rsidRPr="006F29F5">
        <w:rPr>
          <w:rFonts w:cs="Times New Roman"/>
          <w:kern w:val="2"/>
          <w:sz w:val="20"/>
        </w:rPr>
        <w:t xml:space="preserve">. EITI is briefly discussed in </w:t>
      </w:r>
      <w:r w:rsidR="00FC5EEF" w:rsidRPr="006F29F5">
        <w:rPr>
          <w:rFonts w:cs="Times New Roman"/>
          <w:kern w:val="2"/>
          <w:sz w:val="20"/>
          <w:highlight w:val="cyan"/>
        </w:rPr>
        <w:t>Chapter 8, Section 8.2.1</w:t>
      </w:r>
      <w:r w:rsidR="00957D8F" w:rsidRPr="006F29F5">
        <w:rPr>
          <w:rFonts w:cs="Times New Roman"/>
          <w:kern w:val="2"/>
          <w:sz w:val="20"/>
        </w:rPr>
        <w:t>. In December</w:t>
      </w:r>
      <w:r w:rsidR="00FC5EEF" w:rsidRPr="006F29F5">
        <w:rPr>
          <w:rFonts w:cs="Times New Roman"/>
          <w:kern w:val="2"/>
          <w:sz w:val="20"/>
        </w:rPr>
        <w:t xml:space="preserve"> 2015, the EITI Board decided that disclosure of the beneficial ownership of companies involved in the extractive industries must be mandatory.</w:t>
      </w:r>
      <w:r w:rsidR="00647797" w:rsidRPr="006F29F5">
        <w:rPr>
          <w:rStyle w:val="FootnoteReference"/>
          <w:rFonts w:cs="Times New Roman"/>
          <w:kern w:val="2"/>
          <w:sz w:val="20"/>
        </w:rPr>
        <w:footnoteReference w:id="197"/>
      </w:r>
      <w:r w:rsidR="00647797" w:rsidRPr="006F29F5">
        <w:rPr>
          <w:rFonts w:cs="Times New Roman"/>
          <w:kern w:val="2"/>
          <w:sz w:val="20"/>
        </w:rPr>
        <w:t xml:space="preserve"> The EITI Standard was reissued in February 2016 and now requires disclosure of beneficial ownership. The second requirement of the EITI Standard sets out the timeline and requirements for how the beneficial ownership disclosure will be gradually implemented beginning in 2017.</w:t>
      </w:r>
      <w:r w:rsidR="00647797" w:rsidRPr="006F29F5">
        <w:rPr>
          <w:rStyle w:val="FootnoteReference"/>
          <w:rFonts w:cs="Times New Roman"/>
          <w:kern w:val="2"/>
          <w:sz w:val="20"/>
        </w:rPr>
        <w:footnoteReference w:id="198"/>
      </w:r>
      <w:r w:rsidR="00A9143D" w:rsidRPr="006F29F5">
        <w:rPr>
          <w:rFonts w:cs="Times New Roman"/>
          <w:kern w:val="2"/>
          <w:sz w:val="20"/>
        </w:rPr>
        <w:t xml:space="preserve"> </w:t>
      </w:r>
    </w:p>
    <w:p w14:paraId="46E70EA7" w14:textId="40E0DCFA" w:rsidR="006D53F3" w:rsidRPr="006F29F5" w:rsidRDefault="00F80795" w:rsidP="006D53F3">
      <w:pPr>
        <w:rPr>
          <w:kern w:val="2"/>
          <w:sz w:val="20"/>
        </w:rPr>
      </w:pPr>
      <w:r w:rsidRPr="006F29F5">
        <w:rPr>
          <w:kern w:val="2"/>
          <w:sz w:val="20"/>
        </w:rPr>
        <w:t>Glo</w:t>
      </w:r>
      <w:r w:rsidR="009B3261" w:rsidRPr="006F29F5">
        <w:rPr>
          <w:kern w:val="2"/>
          <w:sz w:val="20"/>
        </w:rPr>
        <w:t>bal concern about the use of shell corporations, trusts, nominee directors</w:t>
      </w:r>
      <w:r w:rsidR="0068287E" w:rsidRPr="006F29F5">
        <w:rPr>
          <w:kern w:val="2"/>
          <w:sz w:val="20"/>
        </w:rPr>
        <w:t>,</w:t>
      </w:r>
      <w:r w:rsidR="009B3261" w:rsidRPr="006F29F5">
        <w:rPr>
          <w:kern w:val="2"/>
          <w:sz w:val="20"/>
        </w:rPr>
        <w:t xml:space="preserve"> and shareholders to hide beneficial ownership of criminal proceeds has reached a new level of concern. For asset recovery and anti-money laundering regimes to be effective, authorities must be able to identify the natural persons who actually own and benefit from a given corporation’s bank account, real property, or other assets.</w:t>
      </w:r>
      <w:r w:rsidR="001539AC" w:rsidRPr="006F29F5">
        <w:rPr>
          <w:kern w:val="2"/>
          <w:sz w:val="20"/>
        </w:rPr>
        <w:t xml:space="preserve"> In 2013, the G8 set forward a commitment for transparency of company ownership</w:t>
      </w:r>
      <w:r w:rsidR="0068287E" w:rsidRPr="006F29F5">
        <w:rPr>
          <w:kern w:val="2"/>
          <w:sz w:val="20"/>
        </w:rPr>
        <w:t>,</w:t>
      </w:r>
      <w:r w:rsidR="001539AC" w:rsidRPr="006F29F5">
        <w:rPr>
          <w:kern w:val="2"/>
          <w:sz w:val="20"/>
        </w:rPr>
        <w:t xml:space="preserve"> and in 2014 the G20 adopted 10 high-level principles on beneficial ownership transparency.</w:t>
      </w:r>
      <w:r w:rsidR="001539AC" w:rsidRPr="006F29F5">
        <w:rPr>
          <w:rStyle w:val="FootnoteReference"/>
          <w:rFonts w:cs="Times New Roman"/>
          <w:kern w:val="2"/>
          <w:sz w:val="20"/>
        </w:rPr>
        <w:footnoteReference w:id="199"/>
      </w:r>
      <w:r w:rsidR="0062449A" w:rsidRPr="006F29F5">
        <w:rPr>
          <w:kern w:val="2"/>
          <w:sz w:val="20"/>
        </w:rPr>
        <w:t xml:space="preserve"> Transparency International in a recent evaluation has shown</w:t>
      </w:r>
      <w:r w:rsidR="00D6551F" w:rsidRPr="006F29F5">
        <w:rPr>
          <w:kern w:val="2"/>
          <w:sz w:val="20"/>
        </w:rPr>
        <w:t>, on the other hand,</w:t>
      </w:r>
      <w:r w:rsidR="0062449A" w:rsidRPr="006F29F5">
        <w:rPr>
          <w:kern w:val="2"/>
          <w:sz w:val="20"/>
        </w:rPr>
        <w:t xml:space="preserve"> that most G20 countries have been in no rush to implement the 10 Beneficial Ownership Principles.</w:t>
      </w:r>
      <w:r w:rsidR="0062449A" w:rsidRPr="006F29F5">
        <w:rPr>
          <w:rStyle w:val="FootnoteReference"/>
          <w:rFonts w:cs="Times New Roman"/>
          <w:kern w:val="2"/>
          <w:sz w:val="20"/>
        </w:rPr>
        <w:footnoteReference w:id="200"/>
      </w:r>
      <w:r w:rsidR="00A9143D" w:rsidRPr="006F29F5">
        <w:rPr>
          <w:kern w:val="2"/>
          <w:sz w:val="20"/>
        </w:rPr>
        <w:t xml:space="preserve"> The TI Report entitled </w:t>
      </w:r>
      <w:r w:rsidR="00CC1E13" w:rsidRPr="006F29F5">
        <w:rPr>
          <w:kern w:val="2"/>
          <w:sz w:val="20"/>
        </w:rPr>
        <w:t>“</w:t>
      </w:r>
      <w:r w:rsidR="00A9143D" w:rsidRPr="006F29F5">
        <w:rPr>
          <w:kern w:val="2"/>
          <w:sz w:val="20"/>
        </w:rPr>
        <w:t>Just for Show?</w:t>
      </w:r>
      <w:r w:rsidR="00CC1E13" w:rsidRPr="006F29F5">
        <w:rPr>
          <w:kern w:val="2"/>
          <w:sz w:val="20"/>
        </w:rPr>
        <w:t>”</w:t>
      </w:r>
      <w:r w:rsidR="00A9143D" w:rsidRPr="006F29F5">
        <w:rPr>
          <w:kern w:val="2"/>
          <w:sz w:val="20"/>
        </w:rPr>
        <w:t xml:space="preserve"> evaluates </w:t>
      </w:r>
      <w:r w:rsidR="0068287E" w:rsidRPr="006F29F5">
        <w:rPr>
          <w:kern w:val="2"/>
          <w:sz w:val="20"/>
        </w:rPr>
        <w:t>the</w:t>
      </w:r>
      <w:r w:rsidR="00A9143D" w:rsidRPr="006F29F5">
        <w:rPr>
          <w:kern w:val="2"/>
          <w:sz w:val="20"/>
        </w:rPr>
        <w:t xml:space="preserve"> extent </w:t>
      </w:r>
      <w:r w:rsidR="0068287E" w:rsidRPr="006F29F5">
        <w:rPr>
          <w:kern w:val="2"/>
          <w:sz w:val="20"/>
        </w:rPr>
        <w:t xml:space="preserve">to which </w:t>
      </w:r>
      <w:r w:rsidR="00A9143D" w:rsidRPr="006F29F5">
        <w:rPr>
          <w:kern w:val="2"/>
          <w:sz w:val="20"/>
        </w:rPr>
        <w:t xml:space="preserve">each G20 country’s legal framework for beneficial ownership </w:t>
      </w:r>
      <w:r w:rsidR="005E09F9" w:rsidRPr="006F29F5">
        <w:rPr>
          <w:kern w:val="2"/>
          <w:sz w:val="20"/>
        </w:rPr>
        <w:t>transparency conforms to the G20’s 10 Beneficial Ownersh</w:t>
      </w:r>
      <w:r w:rsidR="000D52C2" w:rsidRPr="006F29F5">
        <w:rPr>
          <w:kern w:val="2"/>
          <w:sz w:val="20"/>
        </w:rPr>
        <w:t>ip Transparency Principles. Th</w:t>
      </w:r>
      <w:r w:rsidR="005E09F9" w:rsidRPr="006F29F5">
        <w:rPr>
          <w:kern w:val="2"/>
          <w:sz w:val="20"/>
        </w:rPr>
        <w:t xml:space="preserve">e results are </w:t>
      </w:r>
      <w:r w:rsidR="00957D8F" w:rsidRPr="006F29F5">
        <w:rPr>
          <w:kern w:val="2"/>
          <w:sz w:val="20"/>
        </w:rPr>
        <w:t>presented in Table 5.4.</w:t>
      </w:r>
    </w:p>
    <w:p w14:paraId="51754E5A" w14:textId="1B20510D" w:rsidR="006D53F3" w:rsidRPr="006F29F5" w:rsidRDefault="006D53F3" w:rsidP="00957D8F">
      <w:pPr>
        <w:keepNext/>
        <w:keepLines/>
        <w:spacing w:before="360" w:after="120"/>
        <w:jc w:val="left"/>
        <w:rPr>
          <w:rFonts w:cs="Times New Roman"/>
          <w:kern w:val="2"/>
          <w:sz w:val="20"/>
        </w:rPr>
      </w:pPr>
      <w:r w:rsidRPr="006F29F5">
        <w:rPr>
          <w:rFonts w:cs="Times New Roman"/>
          <w:b/>
          <w:kern w:val="2"/>
          <w:sz w:val="20"/>
        </w:rPr>
        <w:t>Table 5.</w:t>
      </w:r>
      <w:r w:rsidR="003931E6" w:rsidRPr="006F29F5">
        <w:rPr>
          <w:rFonts w:cs="Times New Roman"/>
          <w:b/>
          <w:kern w:val="2"/>
          <w:sz w:val="20"/>
        </w:rPr>
        <w:t>4</w:t>
      </w:r>
      <w:r w:rsidR="00C111F2" w:rsidRPr="006F29F5">
        <w:rPr>
          <w:rFonts w:cs="Times New Roman"/>
          <w:kern w:val="2"/>
          <w:sz w:val="20"/>
        </w:rPr>
        <w:t xml:space="preserve"> </w:t>
      </w:r>
      <w:r w:rsidRPr="006F29F5">
        <w:rPr>
          <w:rFonts w:cs="Times New Roman"/>
          <w:kern w:val="2"/>
          <w:sz w:val="20"/>
        </w:rPr>
        <w:t>Transparency of Beneficial Ownership</w:t>
      </w:r>
    </w:p>
    <w:tbl>
      <w:tblPr>
        <w:tblStyle w:val="TableGrid"/>
        <w:tblW w:w="0" w:type="auto"/>
        <w:jc w:val="center"/>
        <w:tblLook w:val="04A0" w:firstRow="1" w:lastRow="0" w:firstColumn="1" w:lastColumn="0" w:noHBand="0" w:noVBand="1"/>
      </w:tblPr>
      <w:tblGrid>
        <w:gridCol w:w="2263"/>
        <w:gridCol w:w="993"/>
        <w:gridCol w:w="4814"/>
      </w:tblGrid>
      <w:tr w:rsidR="006D53F3" w:rsidRPr="006F29F5" w14:paraId="775F29C3" w14:textId="77777777" w:rsidTr="00AD7E0C">
        <w:trPr>
          <w:jc w:val="center"/>
        </w:trPr>
        <w:tc>
          <w:tcPr>
            <w:tcW w:w="2263" w:type="dxa"/>
          </w:tcPr>
          <w:p w14:paraId="68455C18" w14:textId="0F2B161E" w:rsidR="006D53F3" w:rsidRPr="004B79A0" w:rsidRDefault="006D53F3" w:rsidP="004B79A0">
            <w:pPr>
              <w:keepNext/>
              <w:keepLines/>
              <w:spacing w:before="0" w:after="0"/>
              <w:jc w:val="left"/>
              <w:rPr>
                <w:rFonts w:cs="Times New Roman"/>
                <w:b/>
                <w:kern w:val="2"/>
                <w:sz w:val="18"/>
              </w:rPr>
            </w:pPr>
            <w:r w:rsidRPr="004B79A0">
              <w:rPr>
                <w:rFonts w:cs="Times New Roman"/>
                <w:b/>
                <w:kern w:val="2"/>
                <w:sz w:val="18"/>
              </w:rPr>
              <w:t>Ranking</w:t>
            </w:r>
          </w:p>
        </w:tc>
        <w:tc>
          <w:tcPr>
            <w:tcW w:w="993" w:type="dxa"/>
          </w:tcPr>
          <w:p w14:paraId="47EAE5AD" w14:textId="02FC437A" w:rsidR="006D53F3" w:rsidRPr="004B79A0" w:rsidRDefault="006D53F3" w:rsidP="004B79A0">
            <w:pPr>
              <w:keepNext/>
              <w:keepLines/>
              <w:spacing w:before="0" w:after="0"/>
              <w:jc w:val="left"/>
              <w:rPr>
                <w:rFonts w:cs="Times New Roman"/>
                <w:b/>
                <w:kern w:val="2"/>
                <w:sz w:val="18"/>
              </w:rPr>
            </w:pPr>
            <w:r w:rsidRPr="004B79A0">
              <w:rPr>
                <w:rFonts w:cs="Times New Roman"/>
                <w:b/>
                <w:kern w:val="2"/>
                <w:sz w:val="18"/>
              </w:rPr>
              <w:t>Number</w:t>
            </w:r>
          </w:p>
        </w:tc>
        <w:tc>
          <w:tcPr>
            <w:tcW w:w="4814" w:type="dxa"/>
          </w:tcPr>
          <w:p w14:paraId="1979F956" w14:textId="22B54799" w:rsidR="006D53F3" w:rsidRPr="004B79A0" w:rsidRDefault="006D53F3" w:rsidP="004B79A0">
            <w:pPr>
              <w:keepNext/>
              <w:keepLines/>
              <w:spacing w:before="0" w:after="0"/>
              <w:jc w:val="left"/>
              <w:rPr>
                <w:rFonts w:cs="Times New Roman"/>
                <w:b/>
                <w:kern w:val="2"/>
                <w:sz w:val="18"/>
              </w:rPr>
            </w:pPr>
            <w:r w:rsidRPr="004B79A0">
              <w:rPr>
                <w:rFonts w:cs="Times New Roman"/>
                <w:b/>
                <w:kern w:val="2"/>
                <w:sz w:val="18"/>
              </w:rPr>
              <w:t>Country</w:t>
            </w:r>
          </w:p>
        </w:tc>
      </w:tr>
      <w:tr w:rsidR="006D53F3" w:rsidRPr="006F29F5" w14:paraId="35DBACC7" w14:textId="77777777" w:rsidTr="00AD7E0C">
        <w:trPr>
          <w:jc w:val="center"/>
        </w:trPr>
        <w:tc>
          <w:tcPr>
            <w:tcW w:w="2263" w:type="dxa"/>
          </w:tcPr>
          <w:p w14:paraId="18D20FA9" w14:textId="6819B687" w:rsidR="006D53F3" w:rsidRPr="004B79A0" w:rsidRDefault="006D53F3" w:rsidP="004B79A0">
            <w:pPr>
              <w:keepLines/>
              <w:spacing w:before="0" w:after="0"/>
              <w:jc w:val="left"/>
              <w:rPr>
                <w:rFonts w:cs="Times New Roman"/>
                <w:kern w:val="2"/>
                <w:sz w:val="18"/>
              </w:rPr>
            </w:pPr>
            <w:r w:rsidRPr="004B79A0">
              <w:rPr>
                <w:rFonts w:cs="Times New Roman"/>
                <w:kern w:val="2"/>
                <w:sz w:val="18"/>
              </w:rPr>
              <w:t>Very Strong Framework</w:t>
            </w:r>
          </w:p>
        </w:tc>
        <w:tc>
          <w:tcPr>
            <w:tcW w:w="993" w:type="dxa"/>
          </w:tcPr>
          <w:p w14:paraId="4DAF7693" w14:textId="3EAE2334" w:rsidR="006D53F3" w:rsidRPr="004B79A0" w:rsidRDefault="006D53F3" w:rsidP="004B79A0">
            <w:pPr>
              <w:keepLines/>
              <w:spacing w:before="0" w:after="0"/>
              <w:jc w:val="left"/>
              <w:rPr>
                <w:rFonts w:cs="Times New Roman"/>
                <w:kern w:val="2"/>
                <w:sz w:val="18"/>
              </w:rPr>
            </w:pPr>
            <w:r w:rsidRPr="004B79A0">
              <w:rPr>
                <w:rFonts w:cs="Times New Roman"/>
                <w:kern w:val="2"/>
                <w:sz w:val="18"/>
              </w:rPr>
              <w:t>1</w:t>
            </w:r>
          </w:p>
        </w:tc>
        <w:tc>
          <w:tcPr>
            <w:tcW w:w="4814" w:type="dxa"/>
          </w:tcPr>
          <w:p w14:paraId="5F64B75F" w14:textId="7E7A8E32" w:rsidR="006D53F3" w:rsidRPr="004B79A0" w:rsidRDefault="006D53F3" w:rsidP="004B79A0">
            <w:pPr>
              <w:keepLines/>
              <w:spacing w:before="0" w:after="0"/>
              <w:jc w:val="left"/>
              <w:rPr>
                <w:rFonts w:cs="Times New Roman"/>
                <w:kern w:val="2"/>
                <w:sz w:val="18"/>
              </w:rPr>
            </w:pPr>
            <w:r w:rsidRPr="004B79A0">
              <w:rPr>
                <w:rFonts w:cs="Times New Roman"/>
                <w:kern w:val="2"/>
                <w:sz w:val="18"/>
              </w:rPr>
              <w:t>UK</w:t>
            </w:r>
          </w:p>
        </w:tc>
      </w:tr>
      <w:tr w:rsidR="006D53F3" w:rsidRPr="006F29F5" w14:paraId="3245183A" w14:textId="77777777" w:rsidTr="00AD7E0C">
        <w:trPr>
          <w:jc w:val="center"/>
        </w:trPr>
        <w:tc>
          <w:tcPr>
            <w:tcW w:w="2263" w:type="dxa"/>
          </w:tcPr>
          <w:p w14:paraId="47800C09" w14:textId="202E6E54" w:rsidR="006D53F3" w:rsidRPr="004B79A0" w:rsidRDefault="006D53F3" w:rsidP="004B79A0">
            <w:pPr>
              <w:keepLines/>
              <w:spacing w:before="0" w:after="0"/>
              <w:jc w:val="left"/>
              <w:rPr>
                <w:rFonts w:cs="Times New Roman"/>
                <w:kern w:val="2"/>
                <w:sz w:val="18"/>
              </w:rPr>
            </w:pPr>
            <w:r w:rsidRPr="004B79A0">
              <w:rPr>
                <w:rFonts w:cs="Times New Roman"/>
                <w:kern w:val="2"/>
                <w:sz w:val="18"/>
              </w:rPr>
              <w:t>Strong Framework</w:t>
            </w:r>
          </w:p>
        </w:tc>
        <w:tc>
          <w:tcPr>
            <w:tcW w:w="993" w:type="dxa"/>
          </w:tcPr>
          <w:p w14:paraId="165A8286" w14:textId="3989524A" w:rsidR="006D53F3" w:rsidRPr="004B79A0" w:rsidRDefault="006D53F3" w:rsidP="004B79A0">
            <w:pPr>
              <w:keepLines/>
              <w:spacing w:before="0" w:after="0"/>
              <w:jc w:val="left"/>
              <w:rPr>
                <w:rFonts w:cs="Times New Roman"/>
                <w:kern w:val="2"/>
                <w:sz w:val="18"/>
              </w:rPr>
            </w:pPr>
            <w:r w:rsidRPr="004B79A0">
              <w:rPr>
                <w:rFonts w:cs="Times New Roman"/>
                <w:kern w:val="2"/>
                <w:sz w:val="18"/>
              </w:rPr>
              <w:t>3</w:t>
            </w:r>
          </w:p>
        </w:tc>
        <w:tc>
          <w:tcPr>
            <w:tcW w:w="4814" w:type="dxa"/>
          </w:tcPr>
          <w:p w14:paraId="294E0C92" w14:textId="13E4A73F" w:rsidR="006D53F3" w:rsidRPr="004B79A0" w:rsidRDefault="006D53F3" w:rsidP="004B79A0">
            <w:pPr>
              <w:keepLines/>
              <w:spacing w:before="0" w:after="0"/>
              <w:jc w:val="left"/>
              <w:rPr>
                <w:rFonts w:cs="Times New Roman"/>
                <w:kern w:val="2"/>
                <w:sz w:val="18"/>
              </w:rPr>
            </w:pPr>
            <w:r w:rsidRPr="004B79A0">
              <w:rPr>
                <w:rFonts w:cs="Times New Roman"/>
                <w:kern w:val="2"/>
                <w:sz w:val="18"/>
              </w:rPr>
              <w:t>Argentina, France &amp; Italy</w:t>
            </w:r>
          </w:p>
        </w:tc>
      </w:tr>
      <w:tr w:rsidR="006D53F3" w:rsidRPr="006F29F5" w14:paraId="52DFA808" w14:textId="77777777" w:rsidTr="00AD7E0C">
        <w:trPr>
          <w:jc w:val="center"/>
        </w:trPr>
        <w:tc>
          <w:tcPr>
            <w:tcW w:w="2263" w:type="dxa"/>
          </w:tcPr>
          <w:p w14:paraId="1FBF4516" w14:textId="5ABD1720" w:rsidR="006D53F3" w:rsidRPr="004B79A0" w:rsidRDefault="006D53F3" w:rsidP="004B79A0">
            <w:pPr>
              <w:keepLines/>
              <w:spacing w:before="0" w:after="0"/>
              <w:jc w:val="left"/>
              <w:rPr>
                <w:rFonts w:cs="Times New Roman"/>
                <w:kern w:val="2"/>
                <w:sz w:val="18"/>
              </w:rPr>
            </w:pPr>
            <w:r w:rsidRPr="004B79A0">
              <w:rPr>
                <w:rFonts w:cs="Times New Roman"/>
                <w:kern w:val="2"/>
                <w:sz w:val="18"/>
              </w:rPr>
              <w:t>Average Framework</w:t>
            </w:r>
          </w:p>
        </w:tc>
        <w:tc>
          <w:tcPr>
            <w:tcW w:w="993" w:type="dxa"/>
          </w:tcPr>
          <w:p w14:paraId="07CA1292" w14:textId="6426B6E6" w:rsidR="006D53F3" w:rsidRPr="004B79A0" w:rsidRDefault="006D53F3" w:rsidP="004B79A0">
            <w:pPr>
              <w:keepLines/>
              <w:spacing w:before="0" w:after="0"/>
              <w:jc w:val="left"/>
              <w:rPr>
                <w:rFonts w:cs="Times New Roman"/>
                <w:kern w:val="2"/>
                <w:sz w:val="18"/>
              </w:rPr>
            </w:pPr>
            <w:r w:rsidRPr="004B79A0">
              <w:rPr>
                <w:rFonts w:cs="Times New Roman"/>
                <w:kern w:val="2"/>
                <w:sz w:val="18"/>
              </w:rPr>
              <w:t>9</w:t>
            </w:r>
          </w:p>
        </w:tc>
        <w:tc>
          <w:tcPr>
            <w:tcW w:w="4814" w:type="dxa"/>
          </w:tcPr>
          <w:p w14:paraId="6E3719A4" w14:textId="236197D4" w:rsidR="006D53F3" w:rsidRPr="004B79A0" w:rsidRDefault="006D53F3" w:rsidP="004B79A0">
            <w:pPr>
              <w:keepLines/>
              <w:spacing w:before="0" w:after="0"/>
              <w:jc w:val="left"/>
              <w:rPr>
                <w:rFonts w:cs="Times New Roman"/>
                <w:kern w:val="2"/>
                <w:sz w:val="18"/>
              </w:rPr>
            </w:pPr>
            <w:r w:rsidRPr="004B79A0">
              <w:rPr>
                <w:rFonts w:cs="Times New Roman"/>
                <w:kern w:val="2"/>
                <w:sz w:val="18"/>
              </w:rPr>
              <w:t>Germany, India, Indonesia, Japan, Mexico, Russia, Saudi Arabia, S. Africa &amp; Turkey</w:t>
            </w:r>
          </w:p>
        </w:tc>
      </w:tr>
      <w:tr w:rsidR="006D53F3" w:rsidRPr="006F29F5" w14:paraId="43D9787E" w14:textId="77777777" w:rsidTr="00AD7E0C">
        <w:trPr>
          <w:jc w:val="center"/>
        </w:trPr>
        <w:tc>
          <w:tcPr>
            <w:tcW w:w="2263" w:type="dxa"/>
          </w:tcPr>
          <w:p w14:paraId="693E13B2" w14:textId="643F6C25" w:rsidR="006D53F3" w:rsidRPr="004B79A0" w:rsidRDefault="006D53F3" w:rsidP="004B79A0">
            <w:pPr>
              <w:keepLines/>
              <w:spacing w:before="0" w:after="0"/>
              <w:jc w:val="left"/>
              <w:rPr>
                <w:rFonts w:cs="Times New Roman"/>
                <w:kern w:val="2"/>
                <w:sz w:val="18"/>
              </w:rPr>
            </w:pPr>
            <w:r w:rsidRPr="004B79A0">
              <w:rPr>
                <w:rFonts w:cs="Times New Roman"/>
                <w:kern w:val="2"/>
                <w:sz w:val="18"/>
              </w:rPr>
              <w:t>Weak Framework</w:t>
            </w:r>
          </w:p>
        </w:tc>
        <w:tc>
          <w:tcPr>
            <w:tcW w:w="993" w:type="dxa"/>
          </w:tcPr>
          <w:p w14:paraId="0D8676DF" w14:textId="3C43837A" w:rsidR="006D53F3" w:rsidRPr="004B79A0" w:rsidRDefault="006D53F3" w:rsidP="004B79A0">
            <w:pPr>
              <w:keepLines/>
              <w:spacing w:before="0" w:after="0"/>
              <w:jc w:val="left"/>
              <w:rPr>
                <w:rFonts w:cs="Times New Roman"/>
                <w:kern w:val="2"/>
                <w:sz w:val="18"/>
              </w:rPr>
            </w:pPr>
            <w:r w:rsidRPr="004B79A0">
              <w:rPr>
                <w:rFonts w:cs="Times New Roman"/>
                <w:kern w:val="2"/>
                <w:sz w:val="18"/>
              </w:rPr>
              <w:t>6</w:t>
            </w:r>
          </w:p>
        </w:tc>
        <w:tc>
          <w:tcPr>
            <w:tcW w:w="4814" w:type="dxa"/>
          </w:tcPr>
          <w:p w14:paraId="7A8B0F5E" w14:textId="491A9DF2" w:rsidR="006D53F3" w:rsidRPr="004B79A0" w:rsidRDefault="006D53F3" w:rsidP="004B79A0">
            <w:pPr>
              <w:keepLines/>
              <w:spacing w:before="0" w:after="0"/>
              <w:jc w:val="left"/>
              <w:rPr>
                <w:rFonts w:cs="Times New Roman"/>
                <w:kern w:val="2"/>
                <w:sz w:val="18"/>
              </w:rPr>
            </w:pPr>
            <w:r w:rsidRPr="004B79A0">
              <w:rPr>
                <w:rFonts w:cs="Times New Roman"/>
                <w:kern w:val="2"/>
                <w:sz w:val="18"/>
              </w:rPr>
              <w:t>Australia, Brazil, Canada, China, S. Korea &amp; US</w:t>
            </w:r>
          </w:p>
        </w:tc>
      </w:tr>
      <w:tr w:rsidR="006D53F3" w:rsidRPr="006F29F5" w14:paraId="06ABFD8F" w14:textId="77777777" w:rsidTr="00AD7E0C">
        <w:trPr>
          <w:jc w:val="center"/>
        </w:trPr>
        <w:tc>
          <w:tcPr>
            <w:tcW w:w="2263" w:type="dxa"/>
          </w:tcPr>
          <w:p w14:paraId="08F0509E" w14:textId="71E4FB1A" w:rsidR="006D53F3" w:rsidRPr="004B79A0" w:rsidRDefault="006D53F3" w:rsidP="004B79A0">
            <w:pPr>
              <w:keepLines/>
              <w:spacing w:before="0" w:after="0"/>
              <w:jc w:val="left"/>
              <w:rPr>
                <w:rFonts w:cs="Times New Roman"/>
                <w:kern w:val="2"/>
                <w:sz w:val="18"/>
              </w:rPr>
            </w:pPr>
            <w:r w:rsidRPr="004B79A0">
              <w:rPr>
                <w:rFonts w:cs="Times New Roman"/>
                <w:kern w:val="2"/>
                <w:sz w:val="18"/>
              </w:rPr>
              <w:t>Very Weak Framework</w:t>
            </w:r>
          </w:p>
        </w:tc>
        <w:tc>
          <w:tcPr>
            <w:tcW w:w="993" w:type="dxa"/>
          </w:tcPr>
          <w:p w14:paraId="065184E2" w14:textId="0517A4B5" w:rsidR="006D53F3" w:rsidRPr="004B79A0" w:rsidRDefault="006D53F3" w:rsidP="004B79A0">
            <w:pPr>
              <w:keepLines/>
              <w:spacing w:before="0" w:after="0"/>
              <w:jc w:val="left"/>
              <w:rPr>
                <w:rFonts w:cs="Times New Roman"/>
                <w:kern w:val="2"/>
                <w:sz w:val="18"/>
              </w:rPr>
            </w:pPr>
            <w:r w:rsidRPr="004B79A0">
              <w:rPr>
                <w:rFonts w:cs="Times New Roman"/>
                <w:kern w:val="2"/>
                <w:sz w:val="18"/>
              </w:rPr>
              <w:t>0</w:t>
            </w:r>
          </w:p>
        </w:tc>
        <w:tc>
          <w:tcPr>
            <w:tcW w:w="4814" w:type="dxa"/>
          </w:tcPr>
          <w:p w14:paraId="00639085" w14:textId="77777777" w:rsidR="006D53F3" w:rsidRPr="004B79A0" w:rsidRDefault="006D53F3" w:rsidP="004B79A0">
            <w:pPr>
              <w:keepLines/>
              <w:spacing w:before="0" w:after="0"/>
              <w:jc w:val="left"/>
              <w:rPr>
                <w:rFonts w:cs="Times New Roman"/>
                <w:kern w:val="2"/>
                <w:sz w:val="18"/>
              </w:rPr>
            </w:pPr>
          </w:p>
        </w:tc>
      </w:tr>
    </w:tbl>
    <w:p w14:paraId="19E938DF" w14:textId="4B523D14" w:rsidR="005E09F9" w:rsidRPr="006F29F5" w:rsidRDefault="005E09F9" w:rsidP="003931E6">
      <w:pPr>
        <w:spacing w:before="360"/>
        <w:rPr>
          <w:rFonts w:cs="Times New Roman"/>
          <w:kern w:val="2"/>
          <w:sz w:val="20"/>
        </w:rPr>
      </w:pPr>
      <w:r w:rsidRPr="006F29F5">
        <w:rPr>
          <w:rFonts w:cs="Times New Roman"/>
          <w:kern w:val="2"/>
          <w:sz w:val="20"/>
        </w:rPr>
        <w:t>As the above table shows, UK has a very strong framework</w:t>
      </w:r>
      <w:r w:rsidR="00A75E6B" w:rsidRPr="006F29F5">
        <w:rPr>
          <w:rFonts w:cs="Times New Roman"/>
          <w:kern w:val="2"/>
          <w:sz w:val="20"/>
        </w:rPr>
        <w:t>,</w:t>
      </w:r>
      <w:r w:rsidRPr="006F29F5">
        <w:rPr>
          <w:rFonts w:cs="Times New Roman"/>
          <w:kern w:val="2"/>
          <w:sz w:val="20"/>
        </w:rPr>
        <w:t xml:space="preserve"> and Canada and USA have a </w:t>
      </w:r>
      <w:r w:rsidR="006D53F3" w:rsidRPr="006F29F5">
        <w:rPr>
          <w:rFonts w:cs="Times New Roman"/>
          <w:kern w:val="2"/>
          <w:sz w:val="20"/>
        </w:rPr>
        <w:t xml:space="preserve">weak </w:t>
      </w:r>
      <w:r w:rsidR="00296AF3" w:rsidRPr="006F29F5">
        <w:rPr>
          <w:rFonts w:cs="Times New Roman"/>
          <w:kern w:val="2"/>
          <w:sz w:val="20"/>
        </w:rPr>
        <w:t>framework.</w:t>
      </w:r>
    </w:p>
    <w:tbl>
      <w:tblPr>
        <w:tblStyle w:val="TableGrid"/>
        <w:tblW w:w="0" w:type="auto"/>
        <w:tblCellMar>
          <w:top w:w="142" w:type="dxa"/>
          <w:left w:w="284" w:type="dxa"/>
          <w:bottom w:w="142" w:type="dxa"/>
          <w:right w:w="284" w:type="dxa"/>
        </w:tblCellMar>
        <w:tblLook w:val="04A0" w:firstRow="1" w:lastRow="0" w:firstColumn="1" w:lastColumn="0" w:noHBand="0" w:noVBand="1"/>
      </w:tblPr>
      <w:tblGrid>
        <w:gridCol w:w="8070"/>
      </w:tblGrid>
      <w:tr w:rsidR="00C111F2" w:rsidRPr="006F29F5" w14:paraId="0281A72A" w14:textId="77777777" w:rsidTr="00C111F2">
        <w:tc>
          <w:tcPr>
            <w:tcW w:w="9350" w:type="dxa"/>
          </w:tcPr>
          <w:p w14:paraId="1178680B" w14:textId="77777777" w:rsidR="00C111F2" w:rsidRPr="006F29F5" w:rsidRDefault="00C111F2" w:rsidP="00C111F2">
            <w:pPr>
              <w:spacing w:before="120" w:after="120"/>
              <w:rPr>
                <w:rFonts w:cs="Times New Roman"/>
                <w:b/>
                <w:color w:val="000000" w:themeColor="text1"/>
                <w:kern w:val="2"/>
                <w:sz w:val="20"/>
              </w:rPr>
            </w:pPr>
            <w:r w:rsidRPr="006F29F5">
              <w:rPr>
                <w:rFonts w:cs="Times New Roman"/>
                <w:b/>
                <w:color w:val="000000" w:themeColor="text1"/>
                <w:kern w:val="2"/>
                <w:sz w:val="20"/>
              </w:rPr>
              <w:t>Further Reading</w:t>
            </w:r>
          </w:p>
          <w:p w14:paraId="533C255E" w14:textId="14B6659C" w:rsidR="00C111F2" w:rsidRPr="006F29F5" w:rsidRDefault="00C111F2" w:rsidP="00C111F2">
            <w:pPr>
              <w:spacing w:before="120" w:after="120"/>
              <w:rPr>
                <w:rFonts w:cs="Times New Roman"/>
                <w:color w:val="000000" w:themeColor="text1"/>
                <w:kern w:val="2"/>
                <w:sz w:val="20"/>
              </w:rPr>
            </w:pPr>
            <w:r w:rsidRPr="006F29F5">
              <w:rPr>
                <w:rFonts w:cs="Times New Roman"/>
                <w:color w:val="000000" w:themeColor="text1"/>
                <w:kern w:val="2"/>
                <w:sz w:val="20"/>
              </w:rPr>
              <w:t xml:space="preserve">For more on the use of corporate vehicles to hide stolen assets, see Phyllis Atkinson, </w:t>
            </w:r>
            <w:r w:rsidR="00CC1E13" w:rsidRPr="006F29F5">
              <w:rPr>
                <w:rFonts w:cs="Times New Roman"/>
                <w:color w:val="000000" w:themeColor="text1"/>
                <w:kern w:val="2"/>
                <w:sz w:val="20"/>
              </w:rPr>
              <w:t>“</w:t>
            </w:r>
            <w:r w:rsidRPr="006F29F5">
              <w:rPr>
                <w:rFonts w:cs="Times New Roman"/>
                <w:color w:val="000000" w:themeColor="text1"/>
                <w:kern w:val="2"/>
                <w:sz w:val="20"/>
              </w:rPr>
              <w:t>The Use of Corporate Vehicles to Conceal Illegal Assets</w:t>
            </w:r>
            <w:r w:rsidR="00CC1E13" w:rsidRPr="006F29F5">
              <w:rPr>
                <w:rFonts w:cs="Times New Roman"/>
                <w:color w:val="000000" w:themeColor="text1"/>
                <w:kern w:val="2"/>
                <w:sz w:val="20"/>
              </w:rPr>
              <w:t>”</w:t>
            </w:r>
            <w:r w:rsidRPr="006F29F5">
              <w:rPr>
                <w:rFonts w:cs="Times New Roman"/>
                <w:color w:val="000000" w:themeColor="text1"/>
                <w:kern w:val="2"/>
                <w:sz w:val="20"/>
              </w:rPr>
              <w:t xml:space="preserve"> in </w:t>
            </w:r>
            <w:r w:rsidRPr="006F29F5">
              <w:rPr>
                <w:rFonts w:cs="Times New Roman"/>
                <w:i/>
                <w:color w:val="000000" w:themeColor="text1"/>
                <w:kern w:val="2"/>
                <w:sz w:val="20"/>
              </w:rPr>
              <w:t>Tracing Illegal Assets – A Practitioner's Guide</w:t>
            </w:r>
            <w:r w:rsidRPr="006F29F5">
              <w:rPr>
                <w:rFonts w:cs="Times New Roman"/>
                <w:color w:val="000000" w:themeColor="text1"/>
                <w:kern w:val="2"/>
                <w:sz w:val="20"/>
              </w:rPr>
              <w:t xml:space="preserve"> (Basel Institute on Governance, International Centre for Asset Recovery, 2015) at 95-111.</w:t>
            </w:r>
          </w:p>
          <w:p w14:paraId="4ADFB077" w14:textId="29FA4630" w:rsidR="00C111F2" w:rsidRPr="006F29F5" w:rsidRDefault="00C111F2" w:rsidP="00C111F2">
            <w:pPr>
              <w:pStyle w:val="CommentText"/>
              <w:spacing w:before="120" w:after="120"/>
              <w:rPr>
                <w:rFonts w:cs="Times New Roman"/>
                <w:kern w:val="2"/>
                <w:sz w:val="20"/>
              </w:rPr>
            </w:pPr>
            <w:r w:rsidRPr="006F29F5">
              <w:rPr>
                <w:rFonts w:cs="Times New Roman"/>
                <w:kern w:val="2"/>
                <w:sz w:val="20"/>
              </w:rPr>
              <w:t xml:space="preserve">For a detailed guide to finding the beneficial owner, including recommendations, see: Emile van der Does de </w:t>
            </w:r>
            <w:proofErr w:type="spellStart"/>
            <w:r w:rsidRPr="006F29F5">
              <w:rPr>
                <w:rFonts w:cs="Times New Roman"/>
                <w:kern w:val="2"/>
                <w:sz w:val="20"/>
              </w:rPr>
              <w:t>Willebois</w:t>
            </w:r>
            <w:proofErr w:type="spellEnd"/>
            <w:r w:rsidRPr="006F29F5">
              <w:rPr>
                <w:rFonts w:cs="Times New Roman"/>
                <w:kern w:val="2"/>
                <w:sz w:val="20"/>
              </w:rPr>
              <w:t xml:space="preserve"> et al</w:t>
            </w:r>
            <w:r w:rsidR="00660991" w:rsidRPr="006F29F5">
              <w:rPr>
                <w:rFonts w:cs="Times New Roman"/>
                <w:kern w:val="2"/>
                <w:sz w:val="20"/>
              </w:rPr>
              <w:t>.</w:t>
            </w:r>
            <w:r w:rsidRPr="006F29F5">
              <w:rPr>
                <w:rFonts w:cs="Times New Roman"/>
                <w:kern w:val="2"/>
                <w:sz w:val="20"/>
              </w:rPr>
              <w:t xml:space="preserve">, </w:t>
            </w:r>
            <w:r w:rsidRPr="006F29F5">
              <w:rPr>
                <w:rFonts w:cs="Times New Roman"/>
                <w:i/>
                <w:kern w:val="2"/>
                <w:sz w:val="20"/>
              </w:rPr>
              <w:t>The Puppet Masters: How the Corrupt Use Legal Structures to Hide Stolen Assets and What to Do About It</w:t>
            </w:r>
            <w:r w:rsidRPr="006F29F5">
              <w:rPr>
                <w:rFonts w:cs="Times New Roman"/>
                <w:kern w:val="2"/>
                <w:sz w:val="20"/>
              </w:rPr>
              <w:t xml:space="preserve"> (The World Bank, 2011).</w:t>
            </w:r>
          </w:p>
        </w:tc>
      </w:tr>
    </w:tbl>
    <w:p w14:paraId="5385521B" w14:textId="77777777" w:rsidR="00B75B2C" w:rsidRPr="006F29F5" w:rsidRDefault="00B75B2C" w:rsidP="00F20986">
      <w:pPr>
        <w:pStyle w:val="ListParagraph"/>
        <w:keepNext/>
        <w:keepLines/>
        <w:numPr>
          <w:ilvl w:val="0"/>
          <w:numId w:val="5"/>
        </w:numPr>
        <w:outlineLvl w:val="3"/>
        <w:rPr>
          <w:rFonts w:eastAsiaTheme="majorEastAsia" w:cstheme="majorBidi"/>
          <w:iCs/>
          <w:vanish/>
          <w:kern w:val="2"/>
          <w:szCs w:val="22"/>
        </w:rPr>
      </w:pPr>
    </w:p>
    <w:p w14:paraId="23AECBC3" w14:textId="77777777" w:rsidR="00B75B2C" w:rsidRPr="006F29F5" w:rsidRDefault="00B75B2C" w:rsidP="00F20986">
      <w:pPr>
        <w:pStyle w:val="ListParagraph"/>
        <w:keepNext/>
        <w:keepLines/>
        <w:numPr>
          <w:ilvl w:val="0"/>
          <w:numId w:val="5"/>
        </w:numPr>
        <w:outlineLvl w:val="3"/>
        <w:rPr>
          <w:rFonts w:eastAsiaTheme="majorEastAsia" w:cstheme="majorBidi"/>
          <w:iCs/>
          <w:vanish/>
          <w:kern w:val="2"/>
          <w:szCs w:val="22"/>
        </w:rPr>
      </w:pPr>
    </w:p>
    <w:p w14:paraId="37B47162" w14:textId="77777777" w:rsidR="00B75B2C" w:rsidRPr="006F29F5" w:rsidRDefault="00B75B2C" w:rsidP="00F20986">
      <w:pPr>
        <w:pStyle w:val="ListParagraph"/>
        <w:keepNext/>
        <w:keepLines/>
        <w:numPr>
          <w:ilvl w:val="0"/>
          <w:numId w:val="5"/>
        </w:numPr>
        <w:outlineLvl w:val="3"/>
        <w:rPr>
          <w:rFonts w:eastAsiaTheme="majorEastAsia" w:cstheme="majorBidi"/>
          <w:iCs/>
          <w:vanish/>
          <w:kern w:val="2"/>
          <w:szCs w:val="22"/>
        </w:rPr>
      </w:pPr>
    </w:p>
    <w:p w14:paraId="4C047071" w14:textId="77777777" w:rsidR="00B75B2C" w:rsidRPr="006F29F5" w:rsidRDefault="00B75B2C" w:rsidP="00F20986">
      <w:pPr>
        <w:pStyle w:val="ListParagraph"/>
        <w:keepNext/>
        <w:keepLines/>
        <w:numPr>
          <w:ilvl w:val="1"/>
          <w:numId w:val="5"/>
        </w:numPr>
        <w:outlineLvl w:val="3"/>
        <w:rPr>
          <w:rFonts w:eastAsiaTheme="majorEastAsia" w:cstheme="majorBidi"/>
          <w:iCs/>
          <w:vanish/>
          <w:kern w:val="2"/>
          <w:szCs w:val="22"/>
        </w:rPr>
      </w:pPr>
    </w:p>
    <w:p w14:paraId="652A8807" w14:textId="77777777" w:rsidR="00B75B2C" w:rsidRPr="006F29F5" w:rsidRDefault="00B75B2C" w:rsidP="00F20986">
      <w:pPr>
        <w:pStyle w:val="ListParagraph"/>
        <w:keepNext/>
        <w:keepLines/>
        <w:numPr>
          <w:ilvl w:val="1"/>
          <w:numId w:val="5"/>
        </w:numPr>
        <w:outlineLvl w:val="3"/>
        <w:rPr>
          <w:rFonts w:eastAsiaTheme="majorEastAsia" w:cstheme="majorBidi"/>
          <w:iCs/>
          <w:vanish/>
          <w:kern w:val="2"/>
          <w:szCs w:val="22"/>
        </w:rPr>
      </w:pPr>
    </w:p>
    <w:p w14:paraId="4D4C696F" w14:textId="77777777" w:rsidR="00B75B2C" w:rsidRPr="006F29F5" w:rsidRDefault="00B75B2C" w:rsidP="00F20986">
      <w:pPr>
        <w:pStyle w:val="ListParagraph"/>
        <w:keepNext/>
        <w:keepLines/>
        <w:numPr>
          <w:ilvl w:val="2"/>
          <w:numId w:val="5"/>
        </w:numPr>
        <w:outlineLvl w:val="3"/>
        <w:rPr>
          <w:rFonts w:eastAsiaTheme="majorEastAsia" w:cstheme="majorBidi"/>
          <w:iCs/>
          <w:vanish/>
          <w:kern w:val="2"/>
          <w:szCs w:val="22"/>
        </w:rPr>
      </w:pPr>
    </w:p>
    <w:p w14:paraId="498BD936" w14:textId="77777777" w:rsidR="00B75B2C" w:rsidRPr="006F29F5" w:rsidRDefault="00B75B2C" w:rsidP="00F20986">
      <w:pPr>
        <w:pStyle w:val="ListParagraph"/>
        <w:keepNext/>
        <w:keepLines/>
        <w:numPr>
          <w:ilvl w:val="2"/>
          <w:numId w:val="5"/>
        </w:numPr>
        <w:outlineLvl w:val="3"/>
        <w:rPr>
          <w:rFonts w:eastAsiaTheme="majorEastAsia" w:cstheme="majorBidi"/>
          <w:iCs/>
          <w:vanish/>
          <w:kern w:val="2"/>
          <w:szCs w:val="22"/>
        </w:rPr>
      </w:pPr>
    </w:p>
    <w:p w14:paraId="40042B69" w14:textId="0775B420" w:rsidR="00C75256" w:rsidRPr="006F29F5" w:rsidRDefault="00C75256" w:rsidP="00F17516">
      <w:pPr>
        <w:pStyle w:val="Heading4"/>
        <w:rPr>
          <w:color w:val="FF0000"/>
          <w:kern w:val="2"/>
          <w:sz w:val="22"/>
        </w:rPr>
      </w:pPr>
      <w:r w:rsidRPr="006F29F5">
        <w:rPr>
          <w:kern w:val="2"/>
          <w:sz w:val="22"/>
        </w:rPr>
        <w:t xml:space="preserve">UK </w:t>
      </w:r>
    </w:p>
    <w:p w14:paraId="5588A99E" w14:textId="347C99F2" w:rsidR="00094A54" w:rsidRPr="006F29F5" w:rsidRDefault="00094A54" w:rsidP="00094A54">
      <w:pPr>
        <w:rPr>
          <w:kern w:val="2"/>
          <w:sz w:val="20"/>
        </w:rPr>
      </w:pPr>
      <w:r w:rsidRPr="006F29F5">
        <w:rPr>
          <w:kern w:val="2"/>
          <w:sz w:val="20"/>
        </w:rPr>
        <w:t xml:space="preserve">In 2015, the UK government enacted </w:t>
      </w:r>
      <w:r w:rsidR="00A75E6B" w:rsidRPr="006F29F5">
        <w:rPr>
          <w:kern w:val="2"/>
          <w:sz w:val="20"/>
        </w:rPr>
        <w:t>P</w:t>
      </w:r>
      <w:r w:rsidRPr="006F29F5">
        <w:rPr>
          <w:kern w:val="2"/>
          <w:sz w:val="20"/>
        </w:rPr>
        <w:t xml:space="preserve">art 7 of the </w:t>
      </w:r>
      <w:r w:rsidRPr="006F29F5">
        <w:rPr>
          <w:i/>
          <w:kern w:val="2"/>
          <w:sz w:val="20"/>
        </w:rPr>
        <w:t xml:space="preserve">Small Business, Enterprise &amp; Employment Act 2015 </w:t>
      </w:r>
      <w:r w:rsidR="00A75E6B" w:rsidRPr="006F29F5">
        <w:rPr>
          <w:kern w:val="2"/>
          <w:sz w:val="20"/>
        </w:rPr>
        <w:t>(</w:t>
      </w:r>
      <w:r w:rsidRPr="006F29F5">
        <w:rPr>
          <w:i/>
          <w:kern w:val="2"/>
          <w:sz w:val="20"/>
        </w:rPr>
        <w:t>SBEE</w:t>
      </w:r>
      <w:r w:rsidR="00A75E6B" w:rsidRPr="006F29F5">
        <w:rPr>
          <w:kern w:val="2"/>
          <w:sz w:val="20"/>
        </w:rPr>
        <w:t>)</w:t>
      </w:r>
      <w:r w:rsidRPr="006F29F5">
        <w:rPr>
          <w:kern w:val="2"/>
          <w:sz w:val="20"/>
        </w:rPr>
        <w:t>,</w:t>
      </w:r>
      <w:r w:rsidRPr="006F29F5">
        <w:rPr>
          <w:rStyle w:val="FootnoteReference"/>
          <w:kern w:val="2"/>
          <w:sz w:val="20"/>
        </w:rPr>
        <w:footnoteReference w:id="201"/>
      </w:r>
      <w:r w:rsidRPr="006F29F5">
        <w:rPr>
          <w:kern w:val="2"/>
          <w:sz w:val="20"/>
        </w:rPr>
        <w:t xml:space="preserve"> which amended the </w:t>
      </w:r>
      <w:r w:rsidRPr="006F29F5">
        <w:rPr>
          <w:i/>
          <w:kern w:val="2"/>
          <w:sz w:val="20"/>
        </w:rPr>
        <w:t>Companies Act 2006</w:t>
      </w:r>
      <w:r w:rsidRPr="006F29F5">
        <w:rPr>
          <w:rStyle w:val="FootnoteReference"/>
          <w:kern w:val="2"/>
          <w:sz w:val="20"/>
        </w:rPr>
        <w:footnoteReference w:id="202"/>
      </w:r>
      <w:r w:rsidRPr="006F29F5">
        <w:rPr>
          <w:kern w:val="2"/>
          <w:sz w:val="20"/>
        </w:rPr>
        <w:t xml:space="preserve"> </w:t>
      </w:r>
      <w:r w:rsidR="00CC1E13" w:rsidRPr="006F29F5">
        <w:rPr>
          <w:kern w:val="2"/>
          <w:sz w:val="20"/>
        </w:rPr>
        <w:t>“</w:t>
      </w:r>
      <w:r w:rsidRPr="006F29F5">
        <w:rPr>
          <w:kern w:val="2"/>
          <w:sz w:val="20"/>
        </w:rPr>
        <w:t xml:space="preserve">to require companies to keep a register of people who have significant control over the company </w:t>
      </w:r>
      <w:r w:rsidR="00A75E6B" w:rsidRPr="006F29F5">
        <w:rPr>
          <w:kern w:val="2"/>
          <w:sz w:val="20"/>
        </w:rPr>
        <w:t>(</w:t>
      </w:r>
      <w:r w:rsidRPr="006F29F5">
        <w:rPr>
          <w:kern w:val="2"/>
          <w:sz w:val="20"/>
        </w:rPr>
        <w:t>PSCs</w:t>
      </w:r>
      <w:r w:rsidR="00A75E6B" w:rsidRPr="006F29F5">
        <w:rPr>
          <w:kern w:val="2"/>
          <w:sz w:val="20"/>
        </w:rPr>
        <w:t>)</w:t>
      </w:r>
      <w:r w:rsidRPr="006F29F5">
        <w:rPr>
          <w:kern w:val="2"/>
          <w:sz w:val="20"/>
        </w:rPr>
        <w:t>.</w:t>
      </w:r>
      <w:r w:rsidR="00CC1E13" w:rsidRPr="006F29F5">
        <w:rPr>
          <w:kern w:val="2"/>
          <w:sz w:val="20"/>
        </w:rPr>
        <w:t>”</w:t>
      </w:r>
      <w:r w:rsidRPr="006F29F5">
        <w:rPr>
          <w:rStyle w:val="FootnoteReference"/>
          <w:kern w:val="2"/>
          <w:sz w:val="20"/>
        </w:rPr>
        <w:footnoteReference w:id="203"/>
      </w:r>
      <w:r w:rsidRPr="006F29F5">
        <w:rPr>
          <w:kern w:val="2"/>
          <w:sz w:val="20"/>
        </w:rPr>
        <w:t xml:space="preserve"> The </w:t>
      </w:r>
      <w:r w:rsidR="00653A09" w:rsidRPr="006F29F5">
        <w:rPr>
          <w:i/>
          <w:kern w:val="2"/>
          <w:sz w:val="20"/>
        </w:rPr>
        <w:t>SBEE</w:t>
      </w:r>
      <w:r w:rsidRPr="006F29F5">
        <w:rPr>
          <w:kern w:val="2"/>
          <w:sz w:val="20"/>
        </w:rPr>
        <w:t xml:space="preserve"> inserted Part 21A of the </w:t>
      </w:r>
      <w:r w:rsidRPr="006F29F5">
        <w:rPr>
          <w:i/>
          <w:kern w:val="2"/>
          <w:sz w:val="20"/>
        </w:rPr>
        <w:t>Companies Act 2006</w:t>
      </w:r>
      <w:r w:rsidR="00653A09" w:rsidRPr="006F29F5">
        <w:rPr>
          <w:kern w:val="2"/>
          <w:sz w:val="20"/>
        </w:rPr>
        <w:t>, which</w:t>
      </w:r>
      <w:r w:rsidR="00653A09" w:rsidRPr="006F29F5">
        <w:rPr>
          <w:i/>
          <w:kern w:val="2"/>
          <w:sz w:val="20"/>
        </w:rPr>
        <w:t xml:space="preserve"> </w:t>
      </w:r>
      <w:r w:rsidRPr="006F29F5">
        <w:rPr>
          <w:kern w:val="2"/>
          <w:sz w:val="20"/>
        </w:rPr>
        <w:t xml:space="preserve">identifies which companies are required to </w:t>
      </w:r>
      <w:r w:rsidR="00A75E6B" w:rsidRPr="006F29F5">
        <w:rPr>
          <w:kern w:val="2"/>
          <w:sz w:val="20"/>
        </w:rPr>
        <w:t>maintain a</w:t>
      </w:r>
      <w:r w:rsidRPr="006F29F5">
        <w:rPr>
          <w:kern w:val="2"/>
          <w:sz w:val="20"/>
        </w:rPr>
        <w:t xml:space="preserve"> regist</w:t>
      </w:r>
      <w:r w:rsidR="00F93848" w:rsidRPr="006F29F5">
        <w:rPr>
          <w:kern w:val="2"/>
          <w:sz w:val="20"/>
        </w:rPr>
        <w:t xml:space="preserve">er. The only companies </w:t>
      </w:r>
      <w:r w:rsidRPr="006F29F5">
        <w:rPr>
          <w:kern w:val="2"/>
          <w:sz w:val="20"/>
        </w:rPr>
        <w:t>ex</w:t>
      </w:r>
      <w:r w:rsidR="00653A09" w:rsidRPr="006F29F5">
        <w:rPr>
          <w:kern w:val="2"/>
          <w:sz w:val="20"/>
        </w:rPr>
        <w:t>empted</w:t>
      </w:r>
      <w:r w:rsidRPr="006F29F5">
        <w:rPr>
          <w:kern w:val="2"/>
          <w:sz w:val="20"/>
        </w:rPr>
        <w:t xml:space="preserve"> from the register are </w:t>
      </w:r>
      <w:r w:rsidR="00CC1E13" w:rsidRPr="006F29F5">
        <w:rPr>
          <w:kern w:val="2"/>
          <w:sz w:val="20"/>
        </w:rPr>
        <w:t>“</w:t>
      </w:r>
      <w:r w:rsidRPr="006F29F5">
        <w:rPr>
          <w:kern w:val="2"/>
          <w:sz w:val="20"/>
        </w:rPr>
        <w:t>DTR5 issuers</w:t>
      </w:r>
      <w:r w:rsidR="00CC1E13" w:rsidRPr="006F29F5">
        <w:rPr>
          <w:kern w:val="2"/>
          <w:sz w:val="20"/>
        </w:rPr>
        <w:t>”</w:t>
      </w:r>
      <w:r w:rsidR="00F93848" w:rsidRPr="006F29F5">
        <w:rPr>
          <w:kern w:val="2"/>
          <w:sz w:val="20"/>
        </w:rPr>
        <w:t xml:space="preserve"> and companies exempted by regulation. These exempt companies are</w:t>
      </w:r>
      <w:r w:rsidRPr="006F29F5">
        <w:rPr>
          <w:kern w:val="2"/>
          <w:sz w:val="20"/>
        </w:rPr>
        <w:t xml:space="preserve"> companies </w:t>
      </w:r>
      <w:r w:rsidR="00F93848" w:rsidRPr="006F29F5">
        <w:rPr>
          <w:kern w:val="2"/>
          <w:sz w:val="20"/>
        </w:rPr>
        <w:t xml:space="preserve">which </w:t>
      </w:r>
      <w:r w:rsidR="00CC1E13" w:rsidRPr="006F29F5">
        <w:rPr>
          <w:kern w:val="2"/>
          <w:sz w:val="20"/>
        </w:rPr>
        <w:t>“</w:t>
      </w:r>
      <w:r w:rsidRPr="006F29F5">
        <w:rPr>
          <w:kern w:val="2"/>
          <w:sz w:val="20"/>
        </w:rPr>
        <w:t xml:space="preserve">are bound by disclosure and transparency rules (in the </w:t>
      </w:r>
      <w:r w:rsidR="00C36734" w:rsidRPr="006F29F5">
        <w:rPr>
          <w:kern w:val="2"/>
          <w:sz w:val="20"/>
        </w:rPr>
        <w:t>UK</w:t>
      </w:r>
      <w:r w:rsidRPr="006F29F5">
        <w:rPr>
          <w:kern w:val="2"/>
          <w:sz w:val="20"/>
        </w:rPr>
        <w:t xml:space="preserve"> or elsewhere) broadly similar to the ones applying to DTR5 issuers.</w:t>
      </w:r>
      <w:r w:rsidR="00CC1E13" w:rsidRPr="006F29F5">
        <w:rPr>
          <w:kern w:val="2"/>
          <w:sz w:val="20"/>
        </w:rPr>
        <w:t>”</w:t>
      </w:r>
      <w:r w:rsidRPr="006F29F5">
        <w:rPr>
          <w:rStyle w:val="FootnoteReference"/>
          <w:kern w:val="2"/>
          <w:sz w:val="20"/>
        </w:rPr>
        <w:footnoteReference w:id="204"/>
      </w:r>
      <w:r w:rsidRPr="006F29F5">
        <w:rPr>
          <w:kern w:val="2"/>
          <w:sz w:val="20"/>
        </w:rPr>
        <w:t xml:space="preserve"> DTR5 issuers are </w:t>
      </w:r>
      <w:r w:rsidR="00CC1E13" w:rsidRPr="006F29F5">
        <w:rPr>
          <w:kern w:val="2"/>
          <w:sz w:val="20"/>
        </w:rPr>
        <w:t>“</w:t>
      </w:r>
      <w:r w:rsidRPr="006F29F5">
        <w:rPr>
          <w:kern w:val="2"/>
          <w:sz w:val="20"/>
        </w:rPr>
        <w:t>principally companies whose shares are traded on the Main Market of the London Stock Exchange and AIM.</w:t>
      </w:r>
      <w:r w:rsidR="00CC1E13" w:rsidRPr="006F29F5">
        <w:rPr>
          <w:kern w:val="2"/>
          <w:sz w:val="20"/>
        </w:rPr>
        <w:t>”</w:t>
      </w:r>
      <w:r w:rsidRPr="006F29F5">
        <w:rPr>
          <w:rStyle w:val="FootnoteReference"/>
          <w:kern w:val="2"/>
          <w:sz w:val="20"/>
        </w:rPr>
        <w:footnoteReference w:id="205"/>
      </w:r>
      <w:r w:rsidRPr="006F29F5">
        <w:rPr>
          <w:kern w:val="2"/>
          <w:sz w:val="20"/>
        </w:rPr>
        <w:t xml:space="preserve"> </w:t>
      </w:r>
      <w:r w:rsidR="00F93848" w:rsidRPr="006F29F5">
        <w:rPr>
          <w:kern w:val="2"/>
          <w:sz w:val="20"/>
        </w:rPr>
        <w:t xml:space="preserve">Thus, UK companies that are not subject to transparency and disclosure rules will now be subject to the mandatory public disclosure of persons with significant control over the company. </w:t>
      </w:r>
      <w:r w:rsidRPr="006F29F5">
        <w:rPr>
          <w:i/>
          <w:kern w:val="2"/>
          <w:sz w:val="20"/>
        </w:rPr>
        <w:t>The Limited Liability Partnerships (Register of People with Significant Control) Regulations 2016</w:t>
      </w:r>
      <w:r w:rsidRPr="006F29F5">
        <w:rPr>
          <w:kern w:val="2"/>
          <w:sz w:val="20"/>
        </w:rPr>
        <w:t xml:space="preserve"> (UK)</w:t>
      </w:r>
      <w:r w:rsidRPr="006F29F5">
        <w:rPr>
          <w:rStyle w:val="FootnoteReference"/>
          <w:kern w:val="2"/>
          <w:sz w:val="20"/>
        </w:rPr>
        <w:footnoteReference w:id="206"/>
      </w:r>
      <w:r w:rsidRPr="006F29F5">
        <w:rPr>
          <w:kern w:val="2"/>
          <w:sz w:val="20"/>
        </w:rPr>
        <w:t xml:space="preserve"> </w:t>
      </w:r>
      <w:r w:rsidR="00F93848" w:rsidRPr="006F29F5">
        <w:rPr>
          <w:kern w:val="2"/>
          <w:sz w:val="20"/>
        </w:rPr>
        <w:t xml:space="preserve">also </w:t>
      </w:r>
      <w:r w:rsidRPr="006F29F5">
        <w:rPr>
          <w:kern w:val="2"/>
          <w:sz w:val="20"/>
        </w:rPr>
        <w:t xml:space="preserve">require some Limited Liability Partnerships to </w:t>
      </w:r>
      <w:r w:rsidR="00F93848" w:rsidRPr="006F29F5">
        <w:rPr>
          <w:kern w:val="2"/>
          <w:sz w:val="20"/>
        </w:rPr>
        <w:t>keep a registry of persons with significant control. Person</w:t>
      </w:r>
      <w:r w:rsidR="00A75E6B" w:rsidRPr="006F29F5">
        <w:rPr>
          <w:kern w:val="2"/>
          <w:sz w:val="20"/>
        </w:rPr>
        <w:t>s</w:t>
      </w:r>
      <w:r w:rsidR="00F93848" w:rsidRPr="006F29F5">
        <w:rPr>
          <w:kern w:val="2"/>
          <w:sz w:val="20"/>
        </w:rPr>
        <w:t xml:space="preserve"> with significant control, which include, amongst other things, persons with 25% or more of the shares in a company, are fully</w:t>
      </w:r>
      <w:r w:rsidRPr="006F29F5">
        <w:rPr>
          <w:kern w:val="2"/>
          <w:sz w:val="20"/>
        </w:rPr>
        <w:t xml:space="preserve"> defined in the </w:t>
      </w:r>
      <w:r w:rsidRPr="006F29F5">
        <w:rPr>
          <w:i/>
          <w:kern w:val="2"/>
          <w:sz w:val="20"/>
        </w:rPr>
        <w:t>Companies Act 2006</w:t>
      </w:r>
      <w:r w:rsidRPr="006F29F5">
        <w:rPr>
          <w:kern w:val="2"/>
          <w:sz w:val="20"/>
        </w:rPr>
        <w:t xml:space="preserve"> Schedule 1A:</w:t>
      </w:r>
      <w:r w:rsidR="00593921" w:rsidRPr="006F29F5">
        <w:rPr>
          <w:rStyle w:val="FootnoteReference"/>
          <w:kern w:val="2"/>
          <w:sz w:val="20"/>
        </w:rPr>
        <w:footnoteReference w:id="207"/>
      </w:r>
    </w:p>
    <w:p w14:paraId="76E00543" w14:textId="77777777" w:rsidR="00094A54" w:rsidRPr="006F29F5" w:rsidRDefault="00094A54" w:rsidP="006F2280">
      <w:pPr>
        <w:pStyle w:val="BlockQuote"/>
        <w:rPr>
          <w:i/>
          <w:kern w:val="2"/>
          <w:sz w:val="20"/>
        </w:rPr>
      </w:pPr>
      <w:r w:rsidRPr="006F29F5">
        <w:rPr>
          <w:i/>
          <w:kern w:val="2"/>
          <w:sz w:val="20"/>
        </w:rPr>
        <w:t>Introduction</w:t>
      </w:r>
    </w:p>
    <w:p w14:paraId="0B36C6A4" w14:textId="5CB67161" w:rsidR="00094A54" w:rsidRPr="006F29F5" w:rsidRDefault="00094A54" w:rsidP="006F2280">
      <w:pPr>
        <w:pStyle w:val="BlockQuote"/>
        <w:spacing w:after="240"/>
        <w:rPr>
          <w:kern w:val="2"/>
          <w:sz w:val="20"/>
        </w:rPr>
      </w:pPr>
      <w:r w:rsidRPr="006F29F5">
        <w:rPr>
          <w:kern w:val="2"/>
          <w:sz w:val="20"/>
        </w:rPr>
        <w:t>This Part of this Schedule specifies the conditions at least one of which must be met by an individual (</w:t>
      </w:r>
      <w:r w:rsidR="00CC1E13" w:rsidRPr="006F29F5">
        <w:rPr>
          <w:kern w:val="2"/>
          <w:sz w:val="20"/>
        </w:rPr>
        <w:t>“</w:t>
      </w:r>
      <w:r w:rsidRPr="006F29F5">
        <w:rPr>
          <w:kern w:val="2"/>
          <w:sz w:val="20"/>
        </w:rPr>
        <w:t>X</w:t>
      </w:r>
      <w:r w:rsidR="00CC1E13" w:rsidRPr="006F29F5">
        <w:rPr>
          <w:kern w:val="2"/>
          <w:sz w:val="20"/>
        </w:rPr>
        <w:t>”</w:t>
      </w:r>
      <w:r w:rsidRPr="006F29F5">
        <w:rPr>
          <w:kern w:val="2"/>
          <w:sz w:val="20"/>
        </w:rPr>
        <w:t>) in relation to a company (</w:t>
      </w:r>
      <w:r w:rsidR="00CC1E13" w:rsidRPr="006F29F5">
        <w:rPr>
          <w:kern w:val="2"/>
          <w:sz w:val="20"/>
        </w:rPr>
        <w:t>“</w:t>
      </w:r>
      <w:r w:rsidRPr="006F29F5">
        <w:rPr>
          <w:kern w:val="2"/>
          <w:sz w:val="20"/>
        </w:rPr>
        <w:t>company Y</w:t>
      </w:r>
      <w:r w:rsidR="00CC1E13" w:rsidRPr="006F29F5">
        <w:rPr>
          <w:kern w:val="2"/>
          <w:sz w:val="20"/>
        </w:rPr>
        <w:t>”</w:t>
      </w:r>
      <w:r w:rsidRPr="006F29F5">
        <w:rPr>
          <w:kern w:val="2"/>
          <w:sz w:val="20"/>
        </w:rPr>
        <w:t xml:space="preserve">) in order for the individual to be a person with </w:t>
      </w:r>
      <w:r w:rsidR="00CC1E13" w:rsidRPr="006F29F5">
        <w:rPr>
          <w:kern w:val="2"/>
          <w:sz w:val="20"/>
        </w:rPr>
        <w:t>“</w:t>
      </w:r>
      <w:r w:rsidRPr="006F29F5">
        <w:rPr>
          <w:kern w:val="2"/>
          <w:sz w:val="20"/>
        </w:rPr>
        <w:t>significant control</w:t>
      </w:r>
      <w:r w:rsidR="00CC1E13" w:rsidRPr="006F29F5">
        <w:rPr>
          <w:kern w:val="2"/>
          <w:sz w:val="20"/>
        </w:rPr>
        <w:t>”</w:t>
      </w:r>
      <w:r w:rsidRPr="006F29F5">
        <w:rPr>
          <w:kern w:val="2"/>
          <w:sz w:val="20"/>
        </w:rPr>
        <w:t xml:space="preserve"> over the company.</w:t>
      </w:r>
    </w:p>
    <w:p w14:paraId="4F6F3940" w14:textId="77777777" w:rsidR="00094A54" w:rsidRPr="006F29F5" w:rsidRDefault="00094A54" w:rsidP="006F2280">
      <w:pPr>
        <w:pStyle w:val="BlockQuote"/>
        <w:rPr>
          <w:i/>
          <w:kern w:val="2"/>
          <w:sz w:val="20"/>
        </w:rPr>
      </w:pPr>
      <w:r w:rsidRPr="006F29F5">
        <w:rPr>
          <w:i/>
          <w:kern w:val="2"/>
          <w:sz w:val="20"/>
        </w:rPr>
        <w:t>Ownership of shares</w:t>
      </w:r>
    </w:p>
    <w:p w14:paraId="78F42483" w14:textId="77777777" w:rsidR="00094A54" w:rsidRPr="006F29F5" w:rsidRDefault="00094A54" w:rsidP="006F2280">
      <w:pPr>
        <w:pStyle w:val="BlockQuote"/>
        <w:spacing w:after="240"/>
        <w:rPr>
          <w:kern w:val="2"/>
          <w:sz w:val="20"/>
        </w:rPr>
      </w:pPr>
      <w:r w:rsidRPr="006F29F5">
        <w:rPr>
          <w:kern w:val="2"/>
          <w:sz w:val="20"/>
        </w:rPr>
        <w:t>The first condition is that X holds, directly or indirectly, more than 25% of the shares in company Y.</w:t>
      </w:r>
    </w:p>
    <w:p w14:paraId="4929B4BE" w14:textId="77777777" w:rsidR="00094A54" w:rsidRPr="006F29F5" w:rsidRDefault="00094A54" w:rsidP="006F2280">
      <w:pPr>
        <w:pStyle w:val="BlockQuote"/>
        <w:rPr>
          <w:i/>
          <w:kern w:val="2"/>
          <w:sz w:val="20"/>
        </w:rPr>
      </w:pPr>
      <w:r w:rsidRPr="006F29F5">
        <w:rPr>
          <w:i/>
          <w:kern w:val="2"/>
          <w:sz w:val="20"/>
        </w:rPr>
        <w:t>Ownership of voting rights</w:t>
      </w:r>
    </w:p>
    <w:p w14:paraId="6007C04D" w14:textId="77777777" w:rsidR="00094A54" w:rsidRPr="006F29F5" w:rsidRDefault="00094A54" w:rsidP="006F2280">
      <w:pPr>
        <w:pStyle w:val="BlockQuote"/>
        <w:spacing w:after="240"/>
        <w:rPr>
          <w:kern w:val="2"/>
          <w:sz w:val="20"/>
        </w:rPr>
      </w:pPr>
      <w:r w:rsidRPr="006F29F5">
        <w:rPr>
          <w:kern w:val="2"/>
          <w:sz w:val="20"/>
        </w:rPr>
        <w:t>The second condition is that X holds, directly or indirectly, more than 25% of the voting rights in company Y.</w:t>
      </w:r>
    </w:p>
    <w:p w14:paraId="24693DAA" w14:textId="77777777" w:rsidR="00094A54" w:rsidRPr="006F29F5" w:rsidRDefault="00094A54" w:rsidP="006F2280">
      <w:pPr>
        <w:pStyle w:val="BlockQuote"/>
        <w:rPr>
          <w:i/>
          <w:kern w:val="2"/>
          <w:sz w:val="20"/>
        </w:rPr>
      </w:pPr>
      <w:r w:rsidRPr="006F29F5">
        <w:rPr>
          <w:i/>
          <w:kern w:val="2"/>
          <w:sz w:val="20"/>
        </w:rPr>
        <w:t>Ownership of right to appoint or remove directors</w:t>
      </w:r>
    </w:p>
    <w:p w14:paraId="746F679D" w14:textId="77777777" w:rsidR="00094A54" w:rsidRPr="006F29F5" w:rsidRDefault="00094A54" w:rsidP="006F2280">
      <w:pPr>
        <w:pStyle w:val="BlockQuote"/>
        <w:spacing w:after="240"/>
        <w:rPr>
          <w:kern w:val="2"/>
          <w:sz w:val="20"/>
        </w:rPr>
      </w:pPr>
      <w:r w:rsidRPr="006F29F5">
        <w:rPr>
          <w:kern w:val="2"/>
          <w:sz w:val="20"/>
        </w:rPr>
        <w:t>The third condition is that X holds the right, directly or indirectly, to appoint or remove a majority of the board of directors of company Y.</w:t>
      </w:r>
    </w:p>
    <w:p w14:paraId="70E6EF76" w14:textId="77777777" w:rsidR="00094A54" w:rsidRPr="006F29F5" w:rsidRDefault="00094A54" w:rsidP="006F2280">
      <w:pPr>
        <w:pStyle w:val="BlockQuote"/>
        <w:rPr>
          <w:i/>
          <w:kern w:val="2"/>
          <w:sz w:val="20"/>
        </w:rPr>
      </w:pPr>
      <w:r w:rsidRPr="006F29F5">
        <w:rPr>
          <w:i/>
          <w:kern w:val="2"/>
          <w:sz w:val="20"/>
        </w:rPr>
        <w:t>Significant influence or control</w:t>
      </w:r>
    </w:p>
    <w:p w14:paraId="667D849D" w14:textId="77777777" w:rsidR="00094A54" w:rsidRPr="006F29F5" w:rsidRDefault="00094A54" w:rsidP="006F2280">
      <w:pPr>
        <w:pStyle w:val="BlockQuote"/>
        <w:spacing w:after="240"/>
        <w:rPr>
          <w:kern w:val="2"/>
          <w:sz w:val="20"/>
        </w:rPr>
      </w:pPr>
      <w:r w:rsidRPr="006F29F5">
        <w:rPr>
          <w:kern w:val="2"/>
          <w:sz w:val="20"/>
        </w:rPr>
        <w:t>The fourth condition is that X has the right to exercise, or actually exercises, significant influence or control over company Y.</w:t>
      </w:r>
    </w:p>
    <w:p w14:paraId="020CB4B8" w14:textId="77777777" w:rsidR="00B75B2C" w:rsidRPr="006F29F5" w:rsidRDefault="00094A54" w:rsidP="006F2280">
      <w:pPr>
        <w:pStyle w:val="BlockQuote"/>
        <w:keepNext/>
        <w:rPr>
          <w:i/>
          <w:kern w:val="2"/>
          <w:sz w:val="20"/>
        </w:rPr>
      </w:pPr>
      <w:r w:rsidRPr="006F29F5">
        <w:rPr>
          <w:i/>
          <w:kern w:val="2"/>
          <w:sz w:val="20"/>
        </w:rPr>
        <w:t xml:space="preserve">Trusts, partnerships </w:t>
      </w:r>
      <w:proofErr w:type="spellStart"/>
      <w:r w:rsidRPr="006F29F5">
        <w:rPr>
          <w:i/>
          <w:kern w:val="2"/>
          <w:sz w:val="20"/>
        </w:rPr>
        <w:t>etc</w:t>
      </w:r>
      <w:proofErr w:type="spellEnd"/>
    </w:p>
    <w:p w14:paraId="7ED3A74B" w14:textId="3C7DA214" w:rsidR="00F93848" w:rsidRPr="006F29F5" w:rsidRDefault="00094A54" w:rsidP="006F2280">
      <w:pPr>
        <w:pStyle w:val="BlockQuote"/>
        <w:keepNext/>
        <w:rPr>
          <w:i/>
          <w:kern w:val="2"/>
          <w:sz w:val="20"/>
        </w:rPr>
      </w:pPr>
      <w:r w:rsidRPr="006F29F5">
        <w:rPr>
          <w:kern w:val="2"/>
          <w:sz w:val="20"/>
        </w:rPr>
        <w:t>The fifth condition is that—</w:t>
      </w:r>
    </w:p>
    <w:p w14:paraId="092EE709" w14:textId="1DBF4F2B" w:rsidR="004D1725" w:rsidRPr="006F29F5" w:rsidRDefault="00094A54" w:rsidP="00911900">
      <w:pPr>
        <w:pStyle w:val="BlockQuote"/>
        <w:numPr>
          <w:ilvl w:val="0"/>
          <w:numId w:val="59"/>
        </w:numPr>
        <w:spacing w:before="60" w:after="0"/>
        <w:jc w:val="left"/>
        <w:rPr>
          <w:kern w:val="2"/>
          <w:sz w:val="20"/>
        </w:rPr>
      </w:pPr>
      <w:r w:rsidRPr="006F29F5">
        <w:rPr>
          <w:kern w:val="2"/>
          <w:sz w:val="20"/>
        </w:rPr>
        <w:t>the trustees of a trust or the members of a firm that, under the law by which itis governed, is not a legal person meet any of the other specified conditions</w:t>
      </w:r>
      <w:r w:rsidR="00C973D3" w:rsidRPr="006F29F5">
        <w:rPr>
          <w:kern w:val="2"/>
          <w:sz w:val="20"/>
        </w:rPr>
        <w:t xml:space="preserve"> </w:t>
      </w:r>
      <w:r w:rsidRPr="006F29F5">
        <w:rPr>
          <w:kern w:val="2"/>
          <w:sz w:val="20"/>
        </w:rPr>
        <w:t>(in their capacity as such) in relation to company Y, or would do so if they were individuals, and</w:t>
      </w:r>
    </w:p>
    <w:p w14:paraId="098468DD" w14:textId="4E0F15D9" w:rsidR="00094A54" w:rsidRPr="006F29F5" w:rsidRDefault="00094A54" w:rsidP="00911900">
      <w:pPr>
        <w:pStyle w:val="BlockQuote"/>
        <w:numPr>
          <w:ilvl w:val="0"/>
          <w:numId w:val="59"/>
        </w:numPr>
        <w:spacing w:before="60" w:after="0"/>
        <w:jc w:val="left"/>
        <w:rPr>
          <w:kern w:val="2"/>
          <w:sz w:val="20"/>
        </w:rPr>
      </w:pPr>
      <w:r w:rsidRPr="006F29F5">
        <w:rPr>
          <w:kern w:val="2"/>
          <w:sz w:val="20"/>
        </w:rPr>
        <w:t>X has the right to exercise, or actually exercises, significant influence or control over the activities of that trust or firm.</w:t>
      </w:r>
    </w:p>
    <w:p w14:paraId="64BFEEBA" w14:textId="4E299697" w:rsidR="00F93848" w:rsidRPr="006F29F5" w:rsidRDefault="00F93848" w:rsidP="00094A54">
      <w:pPr>
        <w:rPr>
          <w:kern w:val="2"/>
          <w:sz w:val="20"/>
        </w:rPr>
      </w:pPr>
      <w:r w:rsidRPr="006F29F5">
        <w:rPr>
          <w:kern w:val="2"/>
          <w:sz w:val="20"/>
        </w:rPr>
        <w:t xml:space="preserve">The beneficial ownership registry also applies to </w:t>
      </w:r>
      <w:r w:rsidR="00CC1E13" w:rsidRPr="006F29F5">
        <w:rPr>
          <w:kern w:val="2"/>
          <w:sz w:val="20"/>
        </w:rPr>
        <w:t>“</w:t>
      </w:r>
      <w:r w:rsidRPr="006F29F5">
        <w:rPr>
          <w:kern w:val="2"/>
          <w:sz w:val="20"/>
        </w:rPr>
        <w:t>Politically Exposed Persons</w:t>
      </w:r>
      <w:r w:rsidR="00CC1E13" w:rsidRPr="006F29F5">
        <w:rPr>
          <w:kern w:val="2"/>
          <w:sz w:val="20"/>
        </w:rPr>
        <w:t>”</w:t>
      </w:r>
      <w:r w:rsidRPr="006F29F5">
        <w:rPr>
          <w:kern w:val="2"/>
          <w:sz w:val="20"/>
        </w:rPr>
        <w:t xml:space="preserve"> who hold a share of 5% or more of a company.</w:t>
      </w:r>
    </w:p>
    <w:p w14:paraId="19FA1ADC" w14:textId="6437BAAD" w:rsidR="00094A54" w:rsidRPr="006F29F5" w:rsidRDefault="00094A54" w:rsidP="00094A54">
      <w:pPr>
        <w:rPr>
          <w:kern w:val="2"/>
          <w:sz w:val="20"/>
        </w:rPr>
      </w:pPr>
      <w:r w:rsidRPr="006F29F5">
        <w:rPr>
          <w:kern w:val="2"/>
          <w:sz w:val="20"/>
        </w:rPr>
        <w:t xml:space="preserve">Under the new rules instituted under the </w:t>
      </w:r>
      <w:r w:rsidRPr="006F29F5">
        <w:rPr>
          <w:i/>
          <w:kern w:val="2"/>
          <w:sz w:val="20"/>
        </w:rPr>
        <w:t>SBEE</w:t>
      </w:r>
      <w:r w:rsidRPr="006F29F5">
        <w:rPr>
          <w:kern w:val="2"/>
          <w:sz w:val="20"/>
        </w:rPr>
        <w:t xml:space="preserve">, companies </w:t>
      </w:r>
      <w:r w:rsidR="00F93848" w:rsidRPr="006F29F5">
        <w:rPr>
          <w:kern w:val="2"/>
          <w:sz w:val="20"/>
        </w:rPr>
        <w:t>are</w:t>
      </w:r>
      <w:r w:rsidRPr="006F29F5">
        <w:rPr>
          <w:kern w:val="2"/>
          <w:sz w:val="20"/>
        </w:rPr>
        <w:t xml:space="preserve"> required to keep a registry</w:t>
      </w:r>
      <w:r w:rsidR="00F93848" w:rsidRPr="006F29F5">
        <w:rPr>
          <w:kern w:val="2"/>
          <w:sz w:val="20"/>
        </w:rPr>
        <w:t xml:space="preserve"> of people with significant control beginning</w:t>
      </w:r>
      <w:r w:rsidR="00CE7A8F" w:rsidRPr="006F29F5">
        <w:rPr>
          <w:kern w:val="2"/>
          <w:sz w:val="20"/>
        </w:rPr>
        <w:t xml:space="preserve"> </w:t>
      </w:r>
      <w:r w:rsidRPr="006F29F5">
        <w:rPr>
          <w:kern w:val="2"/>
          <w:sz w:val="20"/>
        </w:rPr>
        <w:t xml:space="preserve">April 6, 2016. They </w:t>
      </w:r>
      <w:r w:rsidR="00CE7A8F" w:rsidRPr="006F29F5">
        <w:rPr>
          <w:kern w:val="2"/>
          <w:sz w:val="20"/>
        </w:rPr>
        <w:t>are also</w:t>
      </w:r>
      <w:r w:rsidRPr="006F29F5">
        <w:rPr>
          <w:kern w:val="2"/>
          <w:sz w:val="20"/>
        </w:rPr>
        <w:t xml:space="preserve"> required to </w:t>
      </w:r>
      <w:r w:rsidR="00CE7A8F" w:rsidRPr="006F29F5">
        <w:rPr>
          <w:kern w:val="2"/>
          <w:sz w:val="20"/>
        </w:rPr>
        <w:t>declare that</w:t>
      </w:r>
      <w:r w:rsidRPr="006F29F5">
        <w:rPr>
          <w:kern w:val="2"/>
          <w:sz w:val="20"/>
        </w:rPr>
        <w:t xml:space="preserve"> information in their registry to Companies House w</w:t>
      </w:r>
      <w:r w:rsidR="00CE7A8F" w:rsidRPr="006F29F5">
        <w:rPr>
          <w:kern w:val="2"/>
          <w:sz w:val="20"/>
        </w:rPr>
        <w:t>ith their annual statement beginning</w:t>
      </w:r>
      <w:r w:rsidRPr="006F29F5">
        <w:rPr>
          <w:kern w:val="2"/>
          <w:sz w:val="20"/>
        </w:rPr>
        <w:t xml:space="preserve"> June 30, 2016. </w:t>
      </w:r>
      <w:r w:rsidR="00CE7A8F" w:rsidRPr="006F29F5">
        <w:rPr>
          <w:kern w:val="2"/>
          <w:sz w:val="20"/>
        </w:rPr>
        <w:t>Thus</w:t>
      </w:r>
      <w:r w:rsidRPr="006F29F5">
        <w:rPr>
          <w:kern w:val="2"/>
          <w:sz w:val="20"/>
        </w:rPr>
        <w:t>, Companies House should have a complete register of PSCs by June 29, 2017.</w:t>
      </w:r>
      <w:r w:rsidRPr="006F29F5">
        <w:rPr>
          <w:rStyle w:val="FootnoteReference"/>
          <w:kern w:val="2"/>
          <w:sz w:val="20"/>
        </w:rPr>
        <w:footnoteReference w:id="208"/>
      </w:r>
      <w:r w:rsidR="00CE7A8F" w:rsidRPr="006F29F5">
        <w:rPr>
          <w:kern w:val="2"/>
          <w:sz w:val="20"/>
        </w:rPr>
        <w:t xml:space="preserve"> The Companies House registry will be available to law enforcement officials investigating money laundering or engaged in criminal asset recovery. Failure to keep a registry of persons with significant control or to file an annual report with Companies House are subject to penalties of fines, imprisonment, and freezing of assets or interests.</w:t>
      </w:r>
    </w:p>
    <w:p w14:paraId="71AEFC79" w14:textId="4E55F288" w:rsidR="00C75256" w:rsidRPr="006F29F5" w:rsidRDefault="00C75256" w:rsidP="00F17516">
      <w:pPr>
        <w:pStyle w:val="Heading4"/>
        <w:rPr>
          <w:kern w:val="2"/>
          <w:sz w:val="22"/>
        </w:rPr>
      </w:pPr>
      <w:r w:rsidRPr="006F29F5">
        <w:rPr>
          <w:kern w:val="2"/>
          <w:sz w:val="22"/>
        </w:rPr>
        <w:t>US</w:t>
      </w:r>
    </w:p>
    <w:p w14:paraId="24823827" w14:textId="3B712117" w:rsidR="0052670A" w:rsidRPr="006F29F5" w:rsidRDefault="0052670A" w:rsidP="0052670A">
      <w:pPr>
        <w:spacing w:line="276" w:lineRule="auto"/>
        <w:rPr>
          <w:rFonts w:cs="Times New Roman"/>
          <w:kern w:val="2"/>
          <w:sz w:val="20"/>
        </w:rPr>
      </w:pPr>
      <w:r w:rsidRPr="006F29F5">
        <w:rPr>
          <w:rFonts w:cs="Times New Roman"/>
          <w:kern w:val="2"/>
          <w:sz w:val="20"/>
        </w:rPr>
        <w:t>The lack of beneficial ownership laws is one of the most significant loopholes in the anti-money launder</w:t>
      </w:r>
      <w:r w:rsidR="000F5BF9" w:rsidRPr="006F29F5">
        <w:rPr>
          <w:rFonts w:cs="Times New Roman"/>
          <w:kern w:val="2"/>
          <w:sz w:val="20"/>
        </w:rPr>
        <w:t>-</w:t>
      </w:r>
      <w:proofErr w:type="spellStart"/>
      <w:r w:rsidRPr="006F29F5">
        <w:rPr>
          <w:rFonts w:cs="Times New Roman"/>
          <w:kern w:val="2"/>
          <w:sz w:val="20"/>
        </w:rPr>
        <w:t>ing</w:t>
      </w:r>
      <w:proofErr w:type="spellEnd"/>
      <w:r w:rsidRPr="006F29F5">
        <w:rPr>
          <w:rFonts w:cs="Times New Roman"/>
          <w:kern w:val="2"/>
          <w:sz w:val="20"/>
        </w:rPr>
        <w:t xml:space="preserve"> and counter terrorism financing laws in the US</w:t>
      </w:r>
      <w:r w:rsidR="00D10605" w:rsidRPr="006F29F5">
        <w:rPr>
          <w:rFonts w:cs="Times New Roman"/>
          <w:kern w:val="2"/>
          <w:sz w:val="20"/>
        </w:rPr>
        <w:t>.</w:t>
      </w:r>
      <w:r w:rsidRPr="006F29F5">
        <w:rPr>
          <w:rFonts w:cs="Times New Roman"/>
          <w:kern w:val="2"/>
          <w:sz w:val="20"/>
        </w:rPr>
        <w:t xml:space="preserve"> The Department of Treasury recently </w:t>
      </w:r>
      <w:r w:rsidR="006406B7" w:rsidRPr="006F29F5">
        <w:rPr>
          <w:rFonts w:cs="Times New Roman"/>
          <w:kern w:val="2"/>
          <w:sz w:val="20"/>
        </w:rPr>
        <w:t xml:space="preserve">introduced </w:t>
      </w:r>
      <w:r w:rsidRPr="006F29F5">
        <w:rPr>
          <w:rFonts w:cs="Times New Roman"/>
          <w:kern w:val="2"/>
          <w:sz w:val="20"/>
        </w:rPr>
        <w:t>the Customer Due Diligence Final Rule</w:t>
      </w:r>
      <w:r w:rsidR="006406B7" w:rsidRPr="006F29F5">
        <w:rPr>
          <w:rFonts w:cs="Times New Roman"/>
          <w:kern w:val="2"/>
          <w:sz w:val="20"/>
        </w:rPr>
        <w:t xml:space="preserve"> to close this gap</w:t>
      </w:r>
      <w:r w:rsidRPr="006F29F5">
        <w:rPr>
          <w:rFonts w:cs="Times New Roman"/>
          <w:kern w:val="2"/>
          <w:sz w:val="20"/>
        </w:rPr>
        <w:t>. The Final Rule became effective July 11, 2016, and institutions must comply by May 11, 2018.</w:t>
      </w:r>
    </w:p>
    <w:p w14:paraId="32B0EB4A" w14:textId="77777777" w:rsidR="0052670A" w:rsidRPr="006F29F5" w:rsidRDefault="0052670A" w:rsidP="0052670A">
      <w:pPr>
        <w:spacing w:line="276" w:lineRule="auto"/>
        <w:rPr>
          <w:rFonts w:cs="Times New Roman"/>
          <w:kern w:val="2"/>
          <w:sz w:val="20"/>
        </w:rPr>
      </w:pPr>
      <w:r w:rsidRPr="006F29F5">
        <w:rPr>
          <w:rFonts w:cs="Times New Roman"/>
          <w:kern w:val="2"/>
          <w:sz w:val="20"/>
        </w:rPr>
        <w:t>As the Department of Treasury states:</w:t>
      </w:r>
    </w:p>
    <w:p w14:paraId="483F356C" w14:textId="750345AC" w:rsidR="0052670A" w:rsidRPr="006F29F5" w:rsidRDefault="0052670A" w:rsidP="00B75B2C">
      <w:pPr>
        <w:pStyle w:val="BlockQuote"/>
        <w:rPr>
          <w:color w:val="2A2A2A"/>
          <w:kern w:val="2"/>
          <w:sz w:val="20"/>
        </w:rPr>
      </w:pPr>
      <w:r w:rsidRPr="006F29F5">
        <w:rPr>
          <w:kern w:val="2"/>
          <w:sz w:val="20"/>
        </w:rPr>
        <w:t>The CDD Final Rule adds a new requirement that financial institutions – including banks, brokers or dealers in securities, mutual funds, futures commission merchants, and introducing brokers in commodities – collect and verify the personal information of the real people (also known as beneficial owners) who own, control, and profit from companies when those companies open accounts. The Final Rule also amends existing Bank Secrecy Act (BSA) regulations to clarify and strengthen obligations of these entities.</w:t>
      </w:r>
      <w:r w:rsidRPr="006F29F5">
        <w:rPr>
          <w:kern w:val="2"/>
          <w:sz w:val="20"/>
          <w:vertAlign w:val="superscript"/>
        </w:rPr>
        <w:footnoteReference w:id="209"/>
      </w:r>
      <w:r w:rsidRPr="006F29F5">
        <w:rPr>
          <w:color w:val="2A2A2A"/>
          <w:kern w:val="2"/>
          <w:sz w:val="20"/>
        </w:rPr>
        <w:t> </w:t>
      </w:r>
    </w:p>
    <w:p w14:paraId="3BF14B46" w14:textId="77777777" w:rsidR="0052670A" w:rsidRPr="006F29F5" w:rsidRDefault="0052670A" w:rsidP="0052670A">
      <w:pPr>
        <w:spacing w:line="276" w:lineRule="auto"/>
        <w:ind w:right="1138"/>
        <w:rPr>
          <w:rFonts w:cs="Times New Roman"/>
          <w:kern w:val="2"/>
          <w:sz w:val="20"/>
        </w:rPr>
      </w:pPr>
      <w:r w:rsidRPr="006F29F5">
        <w:rPr>
          <w:rFonts w:cs="Times New Roman"/>
          <w:kern w:val="2"/>
          <w:sz w:val="20"/>
        </w:rPr>
        <w:t>There are three core requirements introduced by the rule:</w:t>
      </w:r>
    </w:p>
    <w:p w14:paraId="32E18A82" w14:textId="59DC900C" w:rsidR="0052670A" w:rsidRPr="006F29F5" w:rsidRDefault="0052670A" w:rsidP="000E35A1">
      <w:pPr>
        <w:pStyle w:val="BlockQuote"/>
        <w:numPr>
          <w:ilvl w:val="0"/>
          <w:numId w:val="24"/>
        </w:numPr>
        <w:spacing w:before="60" w:after="0"/>
        <w:jc w:val="left"/>
        <w:rPr>
          <w:kern w:val="2"/>
          <w:sz w:val="20"/>
        </w:rPr>
      </w:pPr>
      <w:r w:rsidRPr="006F29F5">
        <w:rPr>
          <w:kern w:val="2"/>
          <w:sz w:val="20"/>
        </w:rPr>
        <w:t>identifying and verifying the identity of the beneficial owners</w:t>
      </w:r>
      <w:r w:rsidR="00B75B2C" w:rsidRPr="006F29F5">
        <w:rPr>
          <w:kern w:val="2"/>
          <w:sz w:val="20"/>
        </w:rPr>
        <w:t xml:space="preserve"> of companies opening accounts;</w:t>
      </w:r>
    </w:p>
    <w:p w14:paraId="41029A1D" w14:textId="03191244" w:rsidR="00B75B2C" w:rsidRPr="006F29F5" w:rsidRDefault="00184B11" w:rsidP="000E35A1">
      <w:pPr>
        <w:pStyle w:val="BlockQuote"/>
        <w:numPr>
          <w:ilvl w:val="0"/>
          <w:numId w:val="24"/>
        </w:numPr>
        <w:spacing w:before="60" w:after="0"/>
        <w:jc w:val="left"/>
        <w:rPr>
          <w:kern w:val="2"/>
          <w:sz w:val="20"/>
        </w:rPr>
      </w:pPr>
      <w:r w:rsidRPr="006F29F5">
        <w:rPr>
          <w:kern w:val="2"/>
          <w:sz w:val="20"/>
        </w:rPr>
        <w:t>understanding the nature and purpose of customer relationships to develop customer risk profiles; and</w:t>
      </w:r>
    </w:p>
    <w:p w14:paraId="2A308938" w14:textId="0EFFC8EE" w:rsidR="0052670A" w:rsidRPr="006F29F5" w:rsidRDefault="00184B11" w:rsidP="000E35A1">
      <w:pPr>
        <w:pStyle w:val="BlockQuote"/>
        <w:numPr>
          <w:ilvl w:val="0"/>
          <w:numId w:val="24"/>
        </w:numPr>
        <w:spacing w:before="60" w:after="0"/>
        <w:jc w:val="left"/>
        <w:rPr>
          <w:kern w:val="2"/>
          <w:sz w:val="20"/>
        </w:rPr>
      </w:pPr>
      <w:proofErr w:type="gramStart"/>
      <w:r w:rsidRPr="006F29F5">
        <w:rPr>
          <w:kern w:val="2"/>
          <w:sz w:val="20"/>
        </w:rPr>
        <w:t>conducting</w:t>
      </w:r>
      <w:proofErr w:type="gramEnd"/>
      <w:r w:rsidRPr="006F29F5">
        <w:rPr>
          <w:kern w:val="2"/>
          <w:sz w:val="20"/>
        </w:rPr>
        <w:t xml:space="preserve"> ongoing monitoring to identify and report suspicious transactions and, on a risk basis, to maintain and update customer information.</w:t>
      </w:r>
      <w:r w:rsidR="0052670A" w:rsidRPr="006F29F5">
        <w:rPr>
          <w:kern w:val="2"/>
          <w:sz w:val="20"/>
          <w:vertAlign w:val="superscript"/>
        </w:rPr>
        <w:footnoteReference w:id="210"/>
      </w:r>
      <w:r w:rsidR="0052670A" w:rsidRPr="006F29F5">
        <w:rPr>
          <w:kern w:val="2"/>
          <w:sz w:val="20"/>
        </w:rPr>
        <w:t> </w:t>
      </w:r>
    </w:p>
    <w:p w14:paraId="230CE31E" w14:textId="50AC4F15" w:rsidR="0052670A" w:rsidRPr="006F29F5" w:rsidRDefault="0052670A" w:rsidP="0052670A">
      <w:pPr>
        <w:spacing w:line="276" w:lineRule="auto"/>
        <w:ind w:right="4"/>
        <w:rPr>
          <w:rFonts w:cs="Times New Roman"/>
          <w:kern w:val="2"/>
          <w:sz w:val="20"/>
        </w:rPr>
      </w:pPr>
      <w:r w:rsidRPr="006F29F5">
        <w:rPr>
          <w:rFonts w:cs="Times New Roman"/>
          <w:kern w:val="2"/>
          <w:sz w:val="20"/>
        </w:rPr>
        <w:t xml:space="preserve">Under the Final Rule, beneficial owners can stem from two prongs. The </w:t>
      </w:r>
      <w:r w:rsidR="00CC1E13" w:rsidRPr="006F29F5">
        <w:rPr>
          <w:rFonts w:cs="Times New Roman"/>
          <w:kern w:val="2"/>
          <w:sz w:val="20"/>
        </w:rPr>
        <w:t>“</w:t>
      </w:r>
      <w:r w:rsidRPr="006F29F5">
        <w:rPr>
          <w:rFonts w:cs="Times New Roman"/>
          <w:kern w:val="2"/>
          <w:sz w:val="20"/>
        </w:rPr>
        <w:t>ownership prong</w:t>
      </w:r>
      <w:r w:rsidR="00CC1E13" w:rsidRPr="006F29F5">
        <w:rPr>
          <w:rFonts w:cs="Times New Roman"/>
          <w:kern w:val="2"/>
          <w:sz w:val="20"/>
        </w:rPr>
        <w:t>”</w:t>
      </w:r>
      <w:r w:rsidRPr="006F29F5">
        <w:rPr>
          <w:rFonts w:cs="Times New Roman"/>
          <w:kern w:val="2"/>
          <w:sz w:val="20"/>
        </w:rPr>
        <w:t xml:space="preserve"> includes every individual who directly or indirectly owns 25 percent or more of a company. Under the </w:t>
      </w:r>
      <w:r w:rsidR="00CC1E13" w:rsidRPr="006F29F5">
        <w:rPr>
          <w:rFonts w:cs="Times New Roman"/>
          <w:kern w:val="2"/>
          <w:sz w:val="20"/>
        </w:rPr>
        <w:t>“</w:t>
      </w:r>
      <w:r w:rsidRPr="006F29F5">
        <w:rPr>
          <w:rFonts w:cs="Times New Roman"/>
          <w:kern w:val="2"/>
          <w:sz w:val="20"/>
        </w:rPr>
        <w:t>control prong,</w:t>
      </w:r>
      <w:r w:rsidR="00CC1E13" w:rsidRPr="006F29F5">
        <w:rPr>
          <w:rFonts w:cs="Times New Roman"/>
          <w:kern w:val="2"/>
          <w:sz w:val="20"/>
        </w:rPr>
        <w:t>”</w:t>
      </w:r>
      <w:r w:rsidRPr="006F29F5">
        <w:rPr>
          <w:rFonts w:cs="Times New Roman"/>
          <w:kern w:val="2"/>
          <w:sz w:val="20"/>
        </w:rPr>
        <w:t xml:space="preserve"> a beneficial owner is a single individual with significant responsib</w:t>
      </w:r>
      <w:r w:rsidR="00B90589" w:rsidRPr="006F29F5">
        <w:rPr>
          <w:rFonts w:cs="Times New Roman"/>
          <w:kern w:val="2"/>
          <w:sz w:val="20"/>
        </w:rPr>
        <w:t>ility</w:t>
      </w:r>
      <w:r w:rsidRPr="006F29F5">
        <w:rPr>
          <w:rFonts w:cs="Times New Roman"/>
          <w:kern w:val="2"/>
          <w:sz w:val="20"/>
        </w:rPr>
        <w:t xml:space="preserve"> to control, mange or direct the legal entity.</w:t>
      </w:r>
      <w:r w:rsidRPr="006F29F5">
        <w:rPr>
          <w:rFonts w:cs="Times New Roman"/>
          <w:kern w:val="2"/>
          <w:sz w:val="20"/>
          <w:vertAlign w:val="superscript"/>
        </w:rPr>
        <w:footnoteReference w:id="211"/>
      </w:r>
      <w:r w:rsidRPr="006F29F5">
        <w:rPr>
          <w:rFonts w:cs="Times New Roman"/>
          <w:kern w:val="2"/>
          <w:sz w:val="20"/>
        </w:rPr>
        <w:t xml:space="preserve"> Each company will therefore have between one and five beneficial owners.</w:t>
      </w:r>
      <w:r w:rsidR="00220AC9" w:rsidRPr="006F29F5">
        <w:rPr>
          <w:rFonts w:cs="Times New Roman"/>
          <w:kern w:val="2"/>
          <w:sz w:val="20"/>
        </w:rPr>
        <w:t xml:space="preserve"> </w:t>
      </w:r>
    </w:p>
    <w:p w14:paraId="68165203" w14:textId="0116290E" w:rsidR="00C75256" w:rsidRPr="006F29F5" w:rsidRDefault="0052670A" w:rsidP="0052670A">
      <w:pPr>
        <w:spacing w:line="276" w:lineRule="auto"/>
        <w:ind w:right="4"/>
        <w:rPr>
          <w:rFonts w:cs="Times New Roman"/>
          <w:kern w:val="2"/>
          <w:sz w:val="20"/>
        </w:rPr>
      </w:pPr>
      <w:r w:rsidRPr="006F29F5">
        <w:rPr>
          <w:rFonts w:cs="Times New Roman"/>
          <w:kern w:val="2"/>
          <w:sz w:val="20"/>
        </w:rPr>
        <w:t>The Final Rule does not apply retroactively, meaning it only applies to accounts opened on or after May 11, 2018.</w:t>
      </w:r>
      <w:r w:rsidRPr="006F29F5">
        <w:rPr>
          <w:rFonts w:cs="Times New Roman"/>
          <w:kern w:val="2"/>
          <w:sz w:val="20"/>
          <w:vertAlign w:val="superscript"/>
        </w:rPr>
        <w:footnoteReference w:id="212"/>
      </w:r>
      <w:r w:rsidR="00220AC9" w:rsidRPr="006F29F5">
        <w:rPr>
          <w:rFonts w:cs="Times New Roman"/>
          <w:kern w:val="2"/>
          <w:sz w:val="20"/>
        </w:rPr>
        <w:t xml:space="preserve"> </w:t>
      </w:r>
    </w:p>
    <w:p w14:paraId="4B35106F" w14:textId="2D5AF68B" w:rsidR="00C75256" w:rsidRPr="006F29F5" w:rsidRDefault="00C75256" w:rsidP="00F17516">
      <w:pPr>
        <w:pStyle w:val="Heading4"/>
        <w:rPr>
          <w:kern w:val="2"/>
          <w:sz w:val="22"/>
        </w:rPr>
      </w:pPr>
      <w:r w:rsidRPr="006F29F5">
        <w:rPr>
          <w:kern w:val="2"/>
          <w:sz w:val="22"/>
        </w:rPr>
        <w:t>Canada</w:t>
      </w:r>
    </w:p>
    <w:p w14:paraId="3B612DA1" w14:textId="1989AF94" w:rsidR="007A1317" w:rsidRPr="006F29F5" w:rsidRDefault="007A1317" w:rsidP="007A1317">
      <w:pPr>
        <w:rPr>
          <w:rFonts w:cs="Times New Roman"/>
          <w:kern w:val="2"/>
          <w:sz w:val="20"/>
        </w:rPr>
      </w:pPr>
      <w:r w:rsidRPr="006F29F5">
        <w:rPr>
          <w:rFonts w:cs="Times New Roman"/>
          <w:kern w:val="2"/>
          <w:sz w:val="20"/>
        </w:rPr>
        <w:t>Canada currently lags behind in adopting beneficial ownership laws. As Transparency International Canada (TI</w:t>
      </w:r>
      <w:r w:rsidR="00446FAA" w:rsidRPr="006F29F5">
        <w:rPr>
          <w:rFonts w:cs="Times New Roman"/>
          <w:kern w:val="2"/>
          <w:sz w:val="20"/>
        </w:rPr>
        <w:t xml:space="preserve"> </w:t>
      </w:r>
      <w:r w:rsidRPr="006F29F5">
        <w:rPr>
          <w:rFonts w:cs="Times New Roman"/>
          <w:kern w:val="2"/>
          <w:sz w:val="20"/>
        </w:rPr>
        <w:t>C</w:t>
      </w:r>
      <w:r w:rsidR="00446FAA" w:rsidRPr="006F29F5">
        <w:rPr>
          <w:rFonts w:cs="Times New Roman"/>
          <w:kern w:val="2"/>
          <w:sz w:val="20"/>
        </w:rPr>
        <w:t>anada</w:t>
      </w:r>
      <w:r w:rsidRPr="006F29F5">
        <w:rPr>
          <w:rFonts w:cs="Times New Roman"/>
          <w:kern w:val="2"/>
          <w:sz w:val="20"/>
        </w:rPr>
        <w:t xml:space="preserve">) notes, </w:t>
      </w:r>
      <w:r w:rsidR="00CC1E13" w:rsidRPr="006F29F5">
        <w:rPr>
          <w:rFonts w:cs="Times New Roman"/>
          <w:kern w:val="2"/>
          <w:sz w:val="20"/>
        </w:rPr>
        <w:t>“</w:t>
      </w:r>
      <w:r w:rsidRPr="006F29F5">
        <w:rPr>
          <w:rFonts w:cs="Times New Roman"/>
          <w:kern w:val="2"/>
          <w:sz w:val="20"/>
        </w:rPr>
        <w:t>[</w:t>
      </w:r>
      <w:proofErr w:type="spellStart"/>
      <w:r w:rsidRPr="006F29F5">
        <w:rPr>
          <w:rFonts w:cs="Times New Roman"/>
          <w:kern w:val="2"/>
          <w:sz w:val="20"/>
        </w:rPr>
        <w:t>i</w:t>
      </w:r>
      <w:proofErr w:type="spellEnd"/>
      <w:r w:rsidRPr="006F29F5">
        <w:rPr>
          <w:rFonts w:cs="Times New Roman"/>
          <w:kern w:val="2"/>
          <w:sz w:val="20"/>
        </w:rPr>
        <w:t>]n Canada, more rigorous identity checks are done for individuals getting library cards than for setting up companies.</w:t>
      </w:r>
      <w:r w:rsidR="00CC1E13" w:rsidRPr="006F29F5">
        <w:rPr>
          <w:rFonts w:cs="Times New Roman"/>
          <w:kern w:val="2"/>
          <w:sz w:val="20"/>
        </w:rPr>
        <w:t>”</w:t>
      </w:r>
      <w:r w:rsidRPr="006F29F5">
        <w:rPr>
          <w:rStyle w:val="FootnoteReference"/>
          <w:rFonts w:cs="Times New Roman"/>
          <w:kern w:val="2"/>
          <w:sz w:val="20"/>
        </w:rPr>
        <w:footnoteReference w:id="213"/>
      </w:r>
      <w:r w:rsidRPr="006F29F5">
        <w:rPr>
          <w:rFonts w:cs="Times New Roman"/>
          <w:kern w:val="2"/>
          <w:sz w:val="20"/>
        </w:rPr>
        <w:t xml:space="preserve"> TIC rates Canada’s compliance with the G20 principle as being weak or very weak in 7 of 10 principles, as shown below:</w:t>
      </w:r>
    </w:p>
    <w:p w14:paraId="1242BC5D" w14:textId="3CB54A7B" w:rsidR="00F65308" w:rsidRPr="006F29F5" w:rsidRDefault="002F1AA1" w:rsidP="008519F8">
      <w:pPr>
        <w:keepNext/>
        <w:spacing w:before="360" w:after="120"/>
        <w:jc w:val="left"/>
        <w:rPr>
          <w:rFonts w:cs="Times New Roman"/>
          <w:kern w:val="2"/>
          <w:sz w:val="20"/>
        </w:rPr>
      </w:pPr>
      <w:r w:rsidRPr="006F29F5">
        <w:rPr>
          <w:rFonts w:cs="Times New Roman"/>
          <w:b/>
          <w:kern w:val="2"/>
          <w:sz w:val="20"/>
        </w:rPr>
        <w:t>Table 5.</w:t>
      </w:r>
      <w:r w:rsidR="006F2280" w:rsidRPr="006F29F5">
        <w:rPr>
          <w:rFonts w:cs="Times New Roman"/>
          <w:b/>
          <w:kern w:val="2"/>
          <w:sz w:val="20"/>
        </w:rPr>
        <w:t>5</w:t>
      </w:r>
      <w:r w:rsidR="005E277A" w:rsidRPr="006F29F5">
        <w:rPr>
          <w:rFonts w:cs="Times New Roman"/>
          <w:kern w:val="2"/>
          <w:sz w:val="20"/>
        </w:rPr>
        <w:t xml:space="preserve"> </w:t>
      </w:r>
      <w:r w:rsidR="00051498" w:rsidRPr="006F29F5">
        <w:rPr>
          <w:rFonts w:cs="Times New Roman"/>
          <w:kern w:val="2"/>
          <w:sz w:val="20"/>
        </w:rPr>
        <w:t xml:space="preserve">Canada’s </w:t>
      </w:r>
      <w:proofErr w:type="gramStart"/>
      <w:r w:rsidR="00051498" w:rsidRPr="006F29F5">
        <w:rPr>
          <w:rFonts w:cs="Times New Roman"/>
          <w:kern w:val="2"/>
          <w:sz w:val="20"/>
        </w:rPr>
        <w:t>Ranking</w:t>
      </w:r>
      <w:proofErr w:type="gramEnd"/>
      <w:r w:rsidR="00051498" w:rsidRPr="006F29F5">
        <w:rPr>
          <w:rFonts w:cs="Times New Roman"/>
          <w:kern w:val="2"/>
          <w:sz w:val="20"/>
        </w:rPr>
        <w:t xml:space="preserve"> on G20 Beneficial Ownership Principles</w:t>
      </w:r>
    </w:p>
    <w:tbl>
      <w:tblPr>
        <w:tblStyle w:val="TableGrid"/>
        <w:tblW w:w="8075" w:type="dxa"/>
        <w:tblLook w:val="04A0" w:firstRow="1" w:lastRow="0" w:firstColumn="1" w:lastColumn="0" w:noHBand="0" w:noVBand="1"/>
      </w:tblPr>
      <w:tblGrid>
        <w:gridCol w:w="6516"/>
        <w:gridCol w:w="1559"/>
      </w:tblGrid>
      <w:tr w:rsidR="007C4527" w:rsidRPr="006F29F5" w14:paraId="3A5E09C3" w14:textId="77777777" w:rsidTr="00EB2AE1">
        <w:tc>
          <w:tcPr>
            <w:tcW w:w="6516" w:type="dxa"/>
            <w:vAlign w:val="center"/>
          </w:tcPr>
          <w:p w14:paraId="42566EDB" w14:textId="3732E63E" w:rsidR="007C4527" w:rsidRPr="006F29F5" w:rsidRDefault="007C4527" w:rsidP="006F2280">
            <w:pPr>
              <w:spacing w:before="60" w:after="60"/>
              <w:jc w:val="left"/>
              <w:rPr>
                <w:rFonts w:cs="Times New Roman"/>
                <w:b/>
                <w:kern w:val="2"/>
                <w:sz w:val="20"/>
                <w:szCs w:val="21"/>
              </w:rPr>
            </w:pPr>
            <w:r w:rsidRPr="006F29F5">
              <w:rPr>
                <w:rFonts w:cs="Times New Roman"/>
                <w:b/>
                <w:kern w:val="2"/>
                <w:sz w:val="20"/>
                <w:szCs w:val="21"/>
              </w:rPr>
              <w:t>G20 Principles</w:t>
            </w:r>
          </w:p>
        </w:tc>
        <w:tc>
          <w:tcPr>
            <w:tcW w:w="1559" w:type="dxa"/>
            <w:vAlign w:val="center"/>
          </w:tcPr>
          <w:p w14:paraId="2527D116" w14:textId="73E865FA" w:rsidR="007C4527" w:rsidRPr="006F29F5" w:rsidRDefault="007C4527" w:rsidP="006F2280">
            <w:pPr>
              <w:spacing w:before="60" w:after="60"/>
              <w:jc w:val="left"/>
              <w:rPr>
                <w:rFonts w:cs="Times New Roman"/>
                <w:b/>
                <w:kern w:val="2"/>
                <w:sz w:val="20"/>
                <w:szCs w:val="21"/>
              </w:rPr>
            </w:pPr>
            <w:r w:rsidRPr="006F29F5">
              <w:rPr>
                <w:rFonts w:cs="Times New Roman"/>
                <w:b/>
                <w:kern w:val="2"/>
                <w:sz w:val="20"/>
                <w:szCs w:val="21"/>
              </w:rPr>
              <w:t>Ranking</w:t>
            </w:r>
          </w:p>
        </w:tc>
      </w:tr>
      <w:tr w:rsidR="007C4527" w:rsidRPr="006F29F5" w14:paraId="52F9F8D2" w14:textId="77777777" w:rsidTr="00EB2AE1">
        <w:tc>
          <w:tcPr>
            <w:tcW w:w="6516" w:type="dxa"/>
            <w:vAlign w:val="center"/>
          </w:tcPr>
          <w:p w14:paraId="44A94027" w14:textId="1656957E" w:rsidR="007C4527" w:rsidRPr="006F29F5" w:rsidRDefault="007C4527" w:rsidP="00911900">
            <w:pPr>
              <w:pStyle w:val="ListParagraph"/>
              <w:numPr>
                <w:ilvl w:val="0"/>
                <w:numId w:val="31"/>
              </w:numPr>
              <w:spacing w:before="0"/>
              <w:rPr>
                <w:rFonts w:cs="Times New Roman"/>
                <w:b w:val="0"/>
                <w:kern w:val="2"/>
                <w:sz w:val="20"/>
                <w:szCs w:val="21"/>
              </w:rPr>
            </w:pPr>
            <w:r w:rsidRPr="006F29F5">
              <w:rPr>
                <w:rFonts w:cs="Times New Roman"/>
                <w:b w:val="0"/>
                <w:kern w:val="2"/>
                <w:sz w:val="20"/>
                <w:szCs w:val="21"/>
              </w:rPr>
              <w:t>Definition of beneficial owner</w:t>
            </w:r>
          </w:p>
        </w:tc>
        <w:tc>
          <w:tcPr>
            <w:tcW w:w="1559" w:type="dxa"/>
            <w:vAlign w:val="center"/>
          </w:tcPr>
          <w:p w14:paraId="53B6E278" w14:textId="359D155E" w:rsidR="007C4527" w:rsidRPr="006F29F5" w:rsidRDefault="007C4527" w:rsidP="008519F8">
            <w:pPr>
              <w:spacing w:before="0" w:after="0"/>
              <w:jc w:val="left"/>
              <w:rPr>
                <w:rFonts w:cs="Times New Roman"/>
                <w:kern w:val="2"/>
                <w:sz w:val="20"/>
                <w:szCs w:val="21"/>
              </w:rPr>
            </w:pPr>
            <w:r w:rsidRPr="006F29F5">
              <w:rPr>
                <w:rFonts w:cs="Times New Roman"/>
                <w:kern w:val="2"/>
                <w:sz w:val="20"/>
                <w:szCs w:val="21"/>
              </w:rPr>
              <w:t>Weak</w:t>
            </w:r>
          </w:p>
        </w:tc>
      </w:tr>
      <w:tr w:rsidR="007C4527" w:rsidRPr="006F29F5" w14:paraId="435BD878" w14:textId="77777777" w:rsidTr="00EB2AE1">
        <w:tc>
          <w:tcPr>
            <w:tcW w:w="6516" w:type="dxa"/>
            <w:vAlign w:val="center"/>
          </w:tcPr>
          <w:p w14:paraId="5ACB8254" w14:textId="601C75F4" w:rsidR="007C4527" w:rsidRPr="006F29F5" w:rsidRDefault="007C4527" w:rsidP="00911900">
            <w:pPr>
              <w:pStyle w:val="ListParagraph"/>
              <w:numPr>
                <w:ilvl w:val="0"/>
                <w:numId w:val="31"/>
              </w:numPr>
              <w:spacing w:before="0"/>
              <w:rPr>
                <w:rFonts w:cs="Times New Roman"/>
                <w:b w:val="0"/>
                <w:kern w:val="2"/>
                <w:sz w:val="20"/>
                <w:szCs w:val="21"/>
              </w:rPr>
            </w:pPr>
            <w:r w:rsidRPr="006F29F5">
              <w:rPr>
                <w:rFonts w:cs="Times New Roman"/>
                <w:b w:val="0"/>
                <w:kern w:val="2"/>
                <w:sz w:val="20"/>
                <w:szCs w:val="21"/>
              </w:rPr>
              <w:t>Risk assessment relating to legal entities and arrangements</w:t>
            </w:r>
          </w:p>
        </w:tc>
        <w:tc>
          <w:tcPr>
            <w:tcW w:w="1559" w:type="dxa"/>
            <w:vAlign w:val="center"/>
          </w:tcPr>
          <w:p w14:paraId="650196C6" w14:textId="66498034" w:rsidR="007C4527" w:rsidRPr="006F29F5" w:rsidRDefault="007C4527" w:rsidP="008519F8">
            <w:pPr>
              <w:spacing w:before="0" w:after="0"/>
              <w:jc w:val="left"/>
              <w:rPr>
                <w:rFonts w:cs="Times New Roman"/>
                <w:kern w:val="2"/>
                <w:sz w:val="20"/>
                <w:szCs w:val="21"/>
              </w:rPr>
            </w:pPr>
            <w:r w:rsidRPr="006F29F5">
              <w:rPr>
                <w:rFonts w:cs="Times New Roman"/>
                <w:kern w:val="2"/>
                <w:sz w:val="20"/>
                <w:szCs w:val="21"/>
              </w:rPr>
              <w:t>Strong</w:t>
            </w:r>
          </w:p>
        </w:tc>
      </w:tr>
      <w:tr w:rsidR="007C4527" w:rsidRPr="006F29F5" w14:paraId="2A11DC56" w14:textId="77777777" w:rsidTr="00EB2AE1">
        <w:tc>
          <w:tcPr>
            <w:tcW w:w="6516" w:type="dxa"/>
            <w:vAlign w:val="center"/>
          </w:tcPr>
          <w:p w14:paraId="358C47BD" w14:textId="2A63476B" w:rsidR="007C4527" w:rsidRPr="006F29F5" w:rsidRDefault="007C4527" w:rsidP="00911900">
            <w:pPr>
              <w:pStyle w:val="ListParagraph"/>
              <w:numPr>
                <w:ilvl w:val="0"/>
                <w:numId w:val="31"/>
              </w:numPr>
              <w:spacing w:before="0"/>
              <w:rPr>
                <w:rFonts w:cs="Times New Roman"/>
                <w:b w:val="0"/>
                <w:kern w:val="2"/>
                <w:sz w:val="20"/>
                <w:szCs w:val="21"/>
              </w:rPr>
            </w:pPr>
            <w:r w:rsidRPr="006F29F5">
              <w:rPr>
                <w:rFonts w:cs="Times New Roman"/>
                <w:b w:val="0"/>
                <w:kern w:val="2"/>
                <w:sz w:val="20"/>
                <w:szCs w:val="21"/>
              </w:rPr>
              <w:t>Beneficial ownership information of legal entities</w:t>
            </w:r>
          </w:p>
        </w:tc>
        <w:tc>
          <w:tcPr>
            <w:tcW w:w="1559" w:type="dxa"/>
            <w:vAlign w:val="center"/>
          </w:tcPr>
          <w:p w14:paraId="2DE16808" w14:textId="2CC8288D" w:rsidR="007C4527" w:rsidRPr="006F29F5" w:rsidRDefault="007C4527" w:rsidP="008519F8">
            <w:pPr>
              <w:spacing w:before="0" w:after="0"/>
              <w:jc w:val="left"/>
              <w:rPr>
                <w:rFonts w:cs="Times New Roman"/>
                <w:kern w:val="2"/>
                <w:sz w:val="20"/>
                <w:szCs w:val="21"/>
              </w:rPr>
            </w:pPr>
            <w:r w:rsidRPr="006F29F5">
              <w:rPr>
                <w:rFonts w:cs="Times New Roman"/>
                <w:kern w:val="2"/>
                <w:sz w:val="20"/>
                <w:szCs w:val="21"/>
              </w:rPr>
              <w:t>Very Weak</w:t>
            </w:r>
          </w:p>
        </w:tc>
      </w:tr>
      <w:tr w:rsidR="007C4527" w:rsidRPr="006F29F5" w14:paraId="4B334BE0" w14:textId="77777777" w:rsidTr="00EB2AE1">
        <w:tc>
          <w:tcPr>
            <w:tcW w:w="6516" w:type="dxa"/>
            <w:vAlign w:val="center"/>
          </w:tcPr>
          <w:p w14:paraId="0A3EA75D" w14:textId="40B80286" w:rsidR="007C4527" w:rsidRPr="006F29F5" w:rsidRDefault="007C4527" w:rsidP="00911900">
            <w:pPr>
              <w:pStyle w:val="ListParagraph"/>
              <w:numPr>
                <w:ilvl w:val="0"/>
                <w:numId w:val="31"/>
              </w:numPr>
              <w:spacing w:before="0"/>
              <w:rPr>
                <w:rFonts w:cs="Times New Roman"/>
                <w:b w:val="0"/>
                <w:kern w:val="2"/>
                <w:sz w:val="20"/>
                <w:szCs w:val="21"/>
              </w:rPr>
            </w:pPr>
            <w:r w:rsidRPr="006F29F5">
              <w:rPr>
                <w:rFonts w:cs="Times New Roman"/>
                <w:b w:val="0"/>
                <w:kern w:val="2"/>
                <w:sz w:val="20"/>
                <w:szCs w:val="21"/>
              </w:rPr>
              <w:t>Access to beneficial ownership information of legal entities</w:t>
            </w:r>
          </w:p>
        </w:tc>
        <w:tc>
          <w:tcPr>
            <w:tcW w:w="1559" w:type="dxa"/>
            <w:vAlign w:val="center"/>
          </w:tcPr>
          <w:p w14:paraId="0BD7402F" w14:textId="15C88503" w:rsidR="007C4527" w:rsidRPr="006F29F5" w:rsidRDefault="007C4527" w:rsidP="008519F8">
            <w:pPr>
              <w:spacing w:before="0" w:after="0"/>
              <w:jc w:val="left"/>
              <w:rPr>
                <w:rFonts w:cs="Times New Roman"/>
                <w:kern w:val="2"/>
                <w:sz w:val="20"/>
                <w:szCs w:val="21"/>
              </w:rPr>
            </w:pPr>
            <w:r w:rsidRPr="006F29F5">
              <w:rPr>
                <w:rFonts w:cs="Times New Roman"/>
                <w:kern w:val="2"/>
                <w:sz w:val="20"/>
                <w:szCs w:val="21"/>
              </w:rPr>
              <w:t>Very Weak</w:t>
            </w:r>
          </w:p>
        </w:tc>
      </w:tr>
      <w:tr w:rsidR="007C4527" w:rsidRPr="006F29F5" w14:paraId="1D9FE69A" w14:textId="77777777" w:rsidTr="00EB2AE1">
        <w:tc>
          <w:tcPr>
            <w:tcW w:w="6516" w:type="dxa"/>
            <w:vAlign w:val="center"/>
          </w:tcPr>
          <w:p w14:paraId="09F2BC5A" w14:textId="2F4727ED" w:rsidR="007C4527" w:rsidRPr="006F29F5" w:rsidRDefault="007C4527" w:rsidP="00911900">
            <w:pPr>
              <w:pStyle w:val="ListParagraph"/>
              <w:numPr>
                <w:ilvl w:val="0"/>
                <w:numId w:val="31"/>
              </w:numPr>
              <w:spacing w:before="0"/>
              <w:rPr>
                <w:rFonts w:cs="Times New Roman"/>
                <w:b w:val="0"/>
                <w:kern w:val="2"/>
                <w:sz w:val="20"/>
                <w:szCs w:val="21"/>
              </w:rPr>
            </w:pPr>
            <w:r w:rsidRPr="006F29F5">
              <w:rPr>
                <w:rFonts w:cs="Times New Roman"/>
                <w:b w:val="0"/>
                <w:kern w:val="2"/>
                <w:sz w:val="20"/>
                <w:szCs w:val="21"/>
              </w:rPr>
              <w:t>Beneficial ownership information of trusts</w:t>
            </w:r>
          </w:p>
        </w:tc>
        <w:tc>
          <w:tcPr>
            <w:tcW w:w="1559" w:type="dxa"/>
            <w:vAlign w:val="center"/>
          </w:tcPr>
          <w:p w14:paraId="5710A9E4" w14:textId="48A38B1F" w:rsidR="007C4527" w:rsidRPr="006F29F5" w:rsidRDefault="007C4527" w:rsidP="008519F8">
            <w:pPr>
              <w:spacing w:before="0" w:after="0"/>
              <w:jc w:val="left"/>
              <w:rPr>
                <w:rFonts w:cs="Times New Roman"/>
                <w:kern w:val="2"/>
                <w:sz w:val="20"/>
                <w:szCs w:val="21"/>
              </w:rPr>
            </w:pPr>
            <w:r w:rsidRPr="006F29F5">
              <w:rPr>
                <w:rFonts w:cs="Times New Roman"/>
                <w:kern w:val="2"/>
                <w:sz w:val="20"/>
                <w:szCs w:val="21"/>
              </w:rPr>
              <w:t>Average</w:t>
            </w:r>
          </w:p>
        </w:tc>
      </w:tr>
      <w:tr w:rsidR="007C4527" w:rsidRPr="006F29F5" w14:paraId="70D4ABFB" w14:textId="77777777" w:rsidTr="00EB2AE1">
        <w:tc>
          <w:tcPr>
            <w:tcW w:w="6516" w:type="dxa"/>
            <w:vAlign w:val="center"/>
          </w:tcPr>
          <w:p w14:paraId="1A7893B8" w14:textId="0FE4CFEC" w:rsidR="007C4527" w:rsidRPr="006F29F5" w:rsidRDefault="007C4527" w:rsidP="00911900">
            <w:pPr>
              <w:pStyle w:val="ListParagraph"/>
              <w:numPr>
                <w:ilvl w:val="0"/>
                <w:numId w:val="31"/>
              </w:numPr>
              <w:spacing w:before="0"/>
              <w:rPr>
                <w:rFonts w:cs="Times New Roman"/>
                <w:b w:val="0"/>
                <w:kern w:val="2"/>
                <w:sz w:val="20"/>
                <w:szCs w:val="21"/>
              </w:rPr>
            </w:pPr>
            <w:r w:rsidRPr="006F29F5">
              <w:rPr>
                <w:rFonts w:cs="Times New Roman"/>
                <w:b w:val="0"/>
                <w:kern w:val="2"/>
                <w:sz w:val="20"/>
                <w:szCs w:val="21"/>
              </w:rPr>
              <w:t>Access to beneficial ownership information of trusts</w:t>
            </w:r>
          </w:p>
        </w:tc>
        <w:tc>
          <w:tcPr>
            <w:tcW w:w="1559" w:type="dxa"/>
            <w:vAlign w:val="center"/>
          </w:tcPr>
          <w:p w14:paraId="38B4B3E0" w14:textId="451D0598" w:rsidR="007C4527" w:rsidRPr="006F29F5" w:rsidRDefault="007C4527" w:rsidP="008519F8">
            <w:pPr>
              <w:spacing w:before="0" w:after="0"/>
              <w:jc w:val="left"/>
              <w:rPr>
                <w:rFonts w:cs="Times New Roman"/>
                <w:kern w:val="2"/>
                <w:sz w:val="20"/>
                <w:szCs w:val="21"/>
              </w:rPr>
            </w:pPr>
            <w:r w:rsidRPr="006F29F5">
              <w:rPr>
                <w:rFonts w:cs="Times New Roman"/>
                <w:kern w:val="2"/>
                <w:sz w:val="20"/>
                <w:szCs w:val="21"/>
              </w:rPr>
              <w:t>Weak</w:t>
            </w:r>
          </w:p>
        </w:tc>
      </w:tr>
      <w:tr w:rsidR="007C4527" w:rsidRPr="006F29F5" w14:paraId="61112D48" w14:textId="77777777" w:rsidTr="00EB2AE1">
        <w:tc>
          <w:tcPr>
            <w:tcW w:w="6516" w:type="dxa"/>
            <w:vAlign w:val="center"/>
          </w:tcPr>
          <w:p w14:paraId="1A5E57BF" w14:textId="707F76D7" w:rsidR="007C4527" w:rsidRPr="006F29F5" w:rsidRDefault="007C4527" w:rsidP="00911900">
            <w:pPr>
              <w:pStyle w:val="ListParagraph"/>
              <w:numPr>
                <w:ilvl w:val="0"/>
                <w:numId w:val="31"/>
              </w:numPr>
              <w:spacing w:before="0"/>
              <w:rPr>
                <w:rFonts w:cs="Times New Roman"/>
                <w:b w:val="0"/>
                <w:kern w:val="2"/>
                <w:sz w:val="20"/>
                <w:szCs w:val="21"/>
              </w:rPr>
            </w:pPr>
            <w:r w:rsidRPr="006F29F5">
              <w:rPr>
                <w:rFonts w:cs="Times New Roman"/>
                <w:b w:val="0"/>
                <w:kern w:val="2"/>
                <w:sz w:val="20"/>
                <w:szCs w:val="21"/>
              </w:rPr>
              <w:t>Roles and responsibilities of financial institutions and businesses professions</w:t>
            </w:r>
          </w:p>
        </w:tc>
        <w:tc>
          <w:tcPr>
            <w:tcW w:w="1559" w:type="dxa"/>
            <w:vAlign w:val="center"/>
          </w:tcPr>
          <w:p w14:paraId="59C47AB0" w14:textId="056C7030" w:rsidR="007C4527" w:rsidRPr="006F29F5" w:rsidRDefault="007C4527" w:rsidP="008519F8">
            <w:pPr>
              <w:spacing w:before="0" w:after="0"/>
              <w:jc w:val="left"/>
              <w:rPr>
                <w:rFonts w:cs="Times New Roman"/>
                <w:kern w:val="2"/>
                <w:sz w:val="20"/>
                <w:szCs w:val="21"/>
              </w:rPr>
            </w:pPr>
            <w:r w:rsidRPr="006F29F5">
              <w:rPr>
                <w:rFonts w:cs="Times New Roman"/>
                <w:kern w:val="2"/>
                <w:sz w:val="20"/>
                <w:szCs w:val="21"/>
              </w:rPr>
              <w:t>Very Weak</w:t>
            </w:r>
          </w:p>
        </w:tc>
      </w:tr>
      <w:tr w:rsidR="007C4527" w:rsidRPr="006F29F5" w14:paraId="1E2F1E4C" w14:textId="77777777" w:rsidTr="00EB2AE1">
        <w:tc>
          <w:tcPr>
            <w:tcW w:w="6516" w:type="dxa"/>
            <w:vAlign w:val="center"/>
          </w:tcPr>
          <w:p w14:paraId="133A54B1" w14:textId="0BE1FD7B" w:rsidR="007C4527" w:rsidRPr="006F29F5" w:rsidRDefault="007C4527" w:rsidP="00911900">
            <w:pPr>
              <w:pStyle w:val="ListParagraph"/>
              <w:numPr>
                <w:ilvl w:val="0"/>
                <w:numId w:val="31"/>
              </w:numPr>
              <w:spacing w:before="0"/>
              <w:rPr>
                <w:rFonts w:cs="Times New Roman"/>
                <w:b w:val="0"/>
                <w:kern w:val="2"/>
                <w:sz w:val="20"/>
                <w:szCs w:val="21"/>
              </w:rPr>
            </w:pPr>
            <w:r w:rsidRPr="006F29F5">
              <w:rPr>
                <w:rFonts w:cs="Times New Roman"/>
                <w:b w:val="0"/>
                <w:kern w:val="2"/>
                <w:sz w:val="20"/>
                <w:szCs w:val="21"/>
              </w:rPr>
              <w:t>Domestic and international cooperation</w:t>
            </w:r>
          </w:p>
        </w:tc>
        <w:tc>
          <w:tcPr>
            <w:tcW w:w="1559" w:type="dxa"/>
            <w:vAlign w:val="center"/>
          </w:tcPr>
          <w:p w14:paraId="5955ED0D" w14:textId="2C189E5B" w:rsidR="007C4527" w:rsidRPr="006F29F5" w:rsidRDefault="007C4527" w:rsidP="008519F8">
            <w:pPr>
              <w:spacing w:before="0" w:after="0"/>
              <w:jc w:val="left"/>
              <w:rPr>
                <w:rFonts w:cs="Times New Roman"/>
                <w:kern w:val="2"/>
                <w:sz w:val="20"/>
                <w:szCs w:val="21"/>
              </w:rPr>
            </w:pPr>
            <w:r w:rsidRPr="006F29F5">
              <w:rPr>
                <w:rFonts w:cs="Times New Roman"/>
                <w:kern w:val="2"/>
                <w:sz w:val="20"/>
                <w:szCs w:val="21"/>
              </w:rPr>
              <w:t>Weak</w:t>
            </w:r>
          </w:p>
        </w:tc>
      </w:tr>
      <w:tr w:rsidR="007C4527" w:rsidRPr="006F29F5" w14:paraId="7B2EFC81" w14:textId="77777777" w:rsidTr="00EB2AE1">
        <w:tc>
          <w:tcPr>
            <w:tcW w:w="6516" w:type="dxa"/>
            <w:vAlign w:val="center"/>
          </w:tcPr>
          <w:p w14:paraId="4A1C7B60" w14:textId="1FBAB735" w:rsidR="007C4527" w:rsidRPr="006F29F5" w:rsidRDefault="007C4527" w:rsidP="00911900">
            <w:pPr>
              <w:pStyle w:val="ListParagraph"/>
              <w:numPr>
                <w:ilvl w:val="0"/>
                <w:numId w:val="31"/>
              </w:numPr>
              <w:spacing w:before="0"/>
              <w:rPr>
                <w:rFonts w:cs="Times New Roman"/>
                <w:b w:val="0"/>
                <w:kern w:val="2"/>
                <w:sz w:val="20"/>
                <w:szCs w:val="21"/>
              </w:rPr>
            </w:pPr>
            <w:r w:rsidRPr="006F29F5">
              <w:rPr>
                <w:rFonts w:cs="Times New Roman"/>
                <w:b w:val="0"/>
                <w:kern w:val="2"/>
                <w:sz w:val="20"/>
                <w:szCs w:val="21"/>
              </w:rPr>
              <w:t>Beneficial ownership information and tax evasion</w:t>
            </w:r>
          </w:p>
        </w:tc>
        <w:tc>
          <w:tcPr>
            <w:tcW w:w="1559" w:type="dxa"/>
            <w:vAlign w:val="center"/>
          </w:tcPr>
          <w:p w14:paraId="0B56FEAD" w14:textId="477FD662" w:rsidR="007C4527" w:rsidRPr="006F29F5" w:rsidRDefault="007C4527" w:rsidP="008519F8">
            <w:pPr>
              <w:spacing w:before="0" w:after="0"/>
              <w:jc w:val="left"/>
              <w:rPr>
                <w:rFonts w:cs="Times New Roman"/>
                <w:kern w:val="2"/>
                <w:sz w:val="20"/>
                <w:szCs w:val="21"/>
              </w:rPr>
            </w:pPr>
            <w:r w:rsidRPr="006F29F5">
              <w:rPr>
                <w:rFonts w:cs="Times New Roman"/>
                <w:kern w:val="2"/>
                <w:sz w:val="20"/>
                <w:szCs w:val="21"/>
              </w:rPr>
              <w:t>Average</w:t>
            </w:r>
          </w:p>
        </w:tc>
      </w:tr>
      <w:tr w:rsidR="007C4527" w:rsidRPr="006F29F5" w14:paraId="4D36743D" w14:textId="77777777" w:rsidTr="00EB2AE1">
        <w:tc>
          <w:tcPr>
            <w:tcW w:w="6516" w:type="dxa"/>
            <w:vAlign w:val="center"/>
          </w:tcPr>
          <w:p w14:paraId="6B02FCFE" w14:textId="660E3D64" w:rsidR="007C4527" w:rsidRPr="006F29F5" w:rsidRDefault="007C4527" w:rsidP="00911900">
            <w:pPr>
              <w:pStyle w:val="ListParagraph"/>
              <w:numPr>
                <w:ilvl w:val="0"/>
                <w:numId w:val="31"/>
              </w:numPr>
              <w:spacing w:before="0"/>
              <w:rPr>
                <w:rFonts w:cs="Times New Roman"/>
                <w:b w:val="0"/>
                <w:kern w:val="2"/>
                <w:sz w:val="20"/>
                <w:szCs w:val="21"/>
              </w:rPr>
            </w:pPr>
            <w:r w:rsidRPr="006F29F5">
              <w:rPr>
                <w:rFonts w:cs="Times New Roman"/>
                <w:b w:val="0"/>
                <w:kern w:val="2"/>
                <w:sz w:val="20"/>
                <w:szCs w:val="21"/>
              </w:rPr>
              <w:t>Bearer shares and nominees</w:t>
            </w:r>
          </w:p>
        </w:tc>
        <w:tc>
          <w:tcPr>
            <w:tcW w:w="1559" w:type="dxa"/>
            <w:vAlign w:val="center"/>
          </w:tcPr>
          <w:p w14:paraId="55841D88" w14:textId="0E5058D4" w:rsidR="007C4527" w:rsidRPr="006F29F5" w:rsidRDefault="007C4527" w:rsidP="008519F8">
            <w:pPr>
              <w:spacing w:before="0" w:after="0"/>
              <w:jc w:val="left"/>
              <w:rPr>
                <w:rFonts w:cs="Times New Roman"/>
                <w:kern w:val="2"/>
                <w:sz w:val="20"/>
                <w:szCs w:val="21"/>
              </w:rPr>
            </w:pPr>
            <w:r w:rsidRPr="006F29F5">
              <w:rPr>
                <w:rFonts w:cs="Times New Roman"/>
                <w:kern w:val="2"/>
                <w:sz w:val="20"/>
                <w:szCs w:val="21"/>
              </w:rPr>
              <w:t>Very Weak</w:t>
            </w:r>
          </w:p>
        </w:tc>
      </w:tr>
    </w:tbl>
    <w:p w14:paraId="61F3742C" w14:textId="2731E77C" w:rsidR="007A1317" w:rsidRPr="006F29F5" w:rsidRDefault="007A1317" w:rsidP="00114AB1">
      <w:pPr>
        <w:spacing w:before="120" w:after="0"/>
        <w:rPr>
          <w:rFonts w:cs="Times New Roman"/>
          <w:kern w:val="2"/>
          <w:sz w:val="18"/>
          <w:szCs w:val="20"/>
        </w:rPr>
      </w:pPr>
      <w:r w:rsidRPr="006F29F5">
        <w:rPr>
          <w:rFonts w:cs="Times New Roman"/>
          <w:kern w:val="2"/>
          <w:sz w:val="18"/>
        </w:rPr>
        <w:t xml:space="preserve">Source: Transparency International Canada, </w:t>
      </w:r>
      <w:r w:rsidRPr="006F29F5">
        <w:rPr>
          <w:rFonts w:cs="Times New Roman"/>
          <w:i/>
          <w:kern w:val="2"/>
          <w:sz w:val="18"/>
        </w:rPr>
        <w:t xml:space="preserve">No Reason to Hide - Unmasking the Anonymous Owners of Canadian Companies and Trusts </w:t>
      </w:r>
      <w:r w:rsidR="00114AB1" w:rsidRPr="006F29F5">
        <w:rPr>
          <w:rFonts w:cs="Times New Roman"/>
          <w:kern w:val="2"/>
          <w:sz w:val="18"/>
        </w:rPr>
        <w:t xml:space="preserve">(2016) at 12 online: </w:t>
      </w:r>
      <w:r w:rsidRPr="006F29F5">
        <w:rPr>
          <w:rFonts w:cs="Times New Roman"/>
          <w:kern w:val="2"/>
          <w:sz w:val="18"/>
          <w:szCs w:val="20"/>
        </w:rPr>
        <w:t>&lt;</w:t>
      </w:r>
      <w:hyperlink r:id="rId37" w:history="1">
        <w:r w:rsidR="00114AB1" w:rsidRPr="006F29F5">
          <w:rPr>
            <w:rStyle w:val="Hyperlink"/>
            <w:rFonts w:cs="Times New Roman"/>
            <w:kern w:val="2"/>
            <w:sz w:val="18"/>
            <w:szCs w:val="20"/>
          </w:rPr>
          <w:t>http://</w:t>
        </w:r>
        <w:r w:rsidR="00114AB1" w:rsidRPr="006F29F5">
          <w:rPr>
            <w:rStyle w:val="Hyperlink"/>
            <w:sz w:val="18"/>
            <w:szCs w:val="20"/>
          </w:rPr>
          <w:t>www.transparencycanada.ca/wp-content/</w:t>
        </w:r>
        <w:r w:rsidR="00114AB1" w:rsidRPr="006F29F5">
          <w:rPr>
            <w:rStyle w:val="Hyperlink"/>
            <w:sz w:val="18"/>
            <w:szCs w:val="20"/>
          </w:rPr>
          <w:br/>
          <w:t>uploads/2017/05/TIC-BeneficialOwnershipReport-Interactive.pdf</w:t>
        </w:r>
      </w:hyperlink>
      <w:r w:rsidRPr="006F29F5">
        <w:rPr>
          <w:rFonts w:cs="Times New Roman"/>
          <w:kern w:val="2"/>
          <w:sz w:val="18"/>
          <w:szCs w:val="20"/>
        </w:rPr>
        <w:t xml:space="preserve">&gt;. </w:t>
      </w:r>
    </w:p>
    <w:p w14:paraId="63084073" w14:textId="735EEAF4" w:rsidR="00184B11" w:rsidRPr="006F29F5" w:rsidRDefault="00A70589" w:rsidP="00E26465">
      <w:pPr>
        <w:autoSpaceDE w:val="0"/>
        <w:autoSpaceDN w:val="0"/>
        <w:adjustRightInd w:val="0"/>
        <w:spacing w:before="360"/>
        <w:rPr>
          <w:rFonts w:cs="Times New Roman"/>
          <w:kern w:val="2"/>
          <w:sz w:val="20"/>
        </w:rPr>
      </w:pPr>
      <w:r w:rsidRPr="006F29F5">
        <w:rPr>
          <w:rFonts w:cs="Times New Roman"/>
          <w:kern w:val="2"/>
          <w:sz w:val="20"/>
        </w:rPr>
        <w:t>As TI Canada</w:t>
      </w:r>
      <w:r w:rsidR="007A1317" w:rsidRPr="006F29F5">
        <w:rPr>
          <w:rFonts w:cs="Times New Roman"/>
          <w:kern w:val="2"/>
          <w:sz w:val="20"/>
        </w:rPr>
        <w:t xml:space="preserve"> reports, </w:t>
      </w:r>
      <w:r w:rsidR="00CC1E13" w:rsidRPr="006F29F5">
        <w:rPr>
          <w:rFonts w:cs="Times New Roman"/>
          <w:kern w:val="2"/>
          <w:sz w:val="20"/>
        </w:rPr>
        <w:t>“</w:t>
      </w:r>
      <w:r w:rsidR="007A1317" w:rsidRPr="006F29F5">
        <w:rPr>
          <w:rFonts w:cs="Times New Roman"/>
          <w:kern w:val="2"/>
          <w:sz w:val="20"/>
        </w:rPr>
        <w:t>[a] recent study found that of 60 countries aro</w:t>
      </w:r>
      <w:r w:rsidR="00184B11" w:rsidRPr="006F29F5">
        <w:rPr>
          <w:rFonts w:cs="Times New Roman"/>
          <w:kern w:val="2"/>
          <w:sz w:val="20"/>
        </w:rPr>
        <w:t xml:space="preserve">und the world – including known </w:t>
      </w:r>
      <w:r w:rsidR="007A1317" w:rsidRPr="006F29F5">
        <w:rPr>
          <w:rFonts w:cs="Times New Roman"/>
          <w:kern w:val="2"/>
          <w:sz w:val="20"/>
        </w:rPr>
        <w:t>tax havens and secrecy jurisdictions</w:t>
      </w:r>
      <w:r w:rsidR="00E022A2" w:rsidRPr="006F29F5">
        <w:rPr>
          <w:rFonts w:cs="Times New Roman"/>
          <w:kern w:val="2"/>
          <w:sz w:val="20"/>
        </w:rPr>
        <w:t>—</w:t>
      </w:r>
      <w:r w:rsidR="007A1317" w:rsidRPr="006F29F5">
        <w:rPr>
          <w:rFonts w:cs="Times New Roman"/>
          <w:kern w:val="2"/>
          <w:sz w:val="20"/>
        </w:rPr>
        <w:t>only in Kenya and a select few US states is it easier to set up an untraceable company than it is in Canada.</w:t>
      </w:r>
      <w:r w:rsidR="00CC1E13" w:rsidRPr="006F29F5">
        <w:rPr>
          <w:rFonts w:cs="Times New Roman"/>
          <w:kern w:val="2"/>
          <w:sz w:val="20"/>
        </w:rPr>
        <w:t>”</w:t>
      </w:r>
      <w:r w:rsidR="007A1317" w:rsidRPr="006F29F5">
        <w:rPr>
          <w:rStyle w:val="FootnoteReference"/>
          <w:rFonts w:cs="Times New Roman"/>
          <w:kern w:val="2"/>
          <w:sz w:val="20"/>
        </w:rPr>
        <w:footnoteReference w:id="214"/>
      </w:r>
      <w:r w:rsidRPr="006F29F5">
        <w:rPr>
          <w:rFonts w:cs="Times New Roman"/>
          <w:kern w:val="2"/>
          <w:sz w:val="20"/>
        </w:rPr>
        <w:t xml:space="preserve"> Further, TI Canada</w:t>
      </w:r>
      <w:r w:rsidR="007A1317" w:rsidRPr="006F29F5">
        <w:rPr>
          <w:rFonts w:cs="Times New Roman"/>
          <w:kern w:val="2"/>
          <w:sz w:val="20"/>
        </w:rPr>
        <w:t xml:space="preserve"> notes </w:t>
      </w:r>
      <w:r w:rsidR="00CC1E13" w:rsidRPr="006F29F5">
        <w:rPr>
          <w:rFonts w:cs="Times New Roman"/>
          <w:kern w:val="2"/>
          <w:sz w:val="20"/>
        </w:rPr>
        <w:t>“</w:t>
      </w:r>
      <w:r w:rsidR="007A1317" w:rsidRPr="006F29F5">
        <w:rPr>
          <w:rFonts w:cs="Times New Roman"/>
          <w:kern w:val="2"/>
          <w:sz w:val="20"/>
        </w:rPr>
        <w:t xml:space="preserve">[a]s a testament to the secrecy afforded in Canada, the law firm at the centre of the Panama Papers leak, </w:t>
      </w:r>
      <w:proofErr w:type="spellStart"/>
      <w:r w:rsidR="007A1317" w:rsidRPr="006F29F5">
        <w:rPr>
          <w:rFonts w:cs="Times New Roman"/>
          <w:kern w:val="2"/>
          <w:sz w:val="20"/>
        </w:rPr>
        <w:t>Mossack</w:t>
      </w:r>
      <w:proofErr w:type="spellEnd"/>
      <w:r w:rsidR="007A1317" w:rsidRPr="006F29F5">
        <w:rPr>
          <w:rFonts w:cs="Times New Roman"/>
          <w:kern w:val="2"/>
          <w:sz w:val="20"/>
        </w:rPr>
        <w:t xml:space="preserve"> Fonseca, marketed Canada to its clients as an attractive place to set up anonymous companies.</w:t>
      </w:r>
      <w:r w:rsidR="00CC1E13" w:rsidRPr="006F29F5">
        <w:rPr>
          <w:rFonts w:cs="Times New Roman"/>
          <w:kern w:val="2"/>
          <w:sz w:val="20"/>
        </w:rPr>
        <w:t>”</w:t>
      </w:r>
      <w:r w:rsidR="007A1317" w:rsidRPr="006F29F5">
        <w:rPr>
          <w:rStyle w:val="FootnoteReference"/>
          <w:rFonts w:cs="Times New Roman"/>
          <w:kern w:val="2"/>
          <w:sz w:val="20"/>
        </w:rPr>
        <w:footnoteReference w:id="215"/>
      </w:r>
      <w:r w:rsidRPr="006F29F5">
        <w:rPr>
          <w:rFonts w:cs="Times New Roman"/>
          <w:kern w:val="2"/>
          <w:sz w:val="20"/>
        </w:rPr>
        <w:t xml:space="preserve"> </w:t>
      </w:r>
      <w:r w:rsidR="007A1317" w:rsidRPr="006F29F5">
        <w:rPr>
          <w:rFonts w:cs="Times New Roman"/>
          <w:kern w:val="2"/>
          <w:sz w:val="20"/>
        </w:rPr>
        <w:t>Canada currently has approximately 3.4 million business corporations</w:t>
      </w:r>
      <w:r w:rsidR="007A1317" w:rsidRPr="006F29F5">
        <w:rPr>
          <w:rStyle w:val="FootnoteReference"/>
          <w:rFonts w:cs="Times New Roman"/>
          <w:kern w:val="2"/>
          <w:sz w:val="20"/>
        </w:rPr>
        <w:footnoteReference w:id="216"/>
      </w:r>
      <w:r w:rsidR="007A1317" w:rsidRPr="006F29F5">
        <w:rPr>
          <w:rFonts w:cs="Times New Roman"/>
          <w:kern w:val="2"/>
          <w:sz w:val="20"/>
        </w:rPr>
        <w:t xml:space="preserve"> and is estimated to have millions of trusts.</w:t>
      </w:r>
      <w:r w:rsidR="007A1317" w:rsidRPr="006F29F5">
        <w:rPr>
          <w:rStyle w:val="FootnoteReference"/>
          <w:rFonts w:cs="Times New Roman"/>
          <w:kern w:val="2"/>
          <w:sz w:val="20"/>
        </w:rPr>
        <w:footnoteReference w:id="217"/>
      </w:r>
      <w:r w:rsidR="007A1317" w:rsidRPr="006F29F5">
        <w:rPr>
          <w:rFonts w:cs="Times New Roman"/>
          <w:kern w:val="2"/>
          <w:sz w:val="20"/>
        </w:rPr>
        <w:t xml:space="preserve"> </w:t>
      </w:r>
      <w:r w:rsidR="00134015" w:rsidRPr="006F29F5">
        <w:rPr>
          <w:rFonts w:cs="Times New Roman"/>
          <w:kern w:val="2"/>
          <w:sz w:val="20"/>
        </w:rPr>
        <w:t>T</w:t>
      </w:r>
      <w:r w:rsidR="007A1317" w:rsidRPr="006F29F5">
        <w:rPr>
          <w:rFonts w:cs="Times New Roman"/>
          <w:kern w:val="2"/>
          <w:sz w:val="20"/>
        </w:rPr>
        <w:t>rusts a</w:t>
      </w:r>
      <w:r w:rsidRPr="006F29F5">
        <w:rPr>
          <w:rFonts w:cs="Times New Roman"/>
          <w:kern w:val="2"/>
          <w:sz w:val="20"/>
        </w:rPr>
        <w:t>re treated as private contracts</w:t>
      </w:r>
      <w:r w:rsidR="007A1317" w:rsidRPr="006F29F5">
        <w:rPr>
          <w:rFonts w:cs="Times New Roman"/>
          <w:kern w:val="2"/>
          <w:sz w:val="20"/>
        </w:rPr>
        <w:t xml:space="preserve"> and can be guarded by attorney-client privilege, trusts provide </w:t>
      </w:r>
      <w:r w:rsidRPr="006F29F5">
        <w:rPr>
          <w:rFonts w:cs="Times New Roman"/>
          <w:kern w:val="2"/>
          <w:sz w:val="20"/>
        </w:rPr>
        <w:t xml:space="preserve">even </w:t>
      </w:r>
      <w:r w:rsidR="007A1317" w:rsidRPr="006F29F5">
        <w:rPr>
          <w:rFonts w:cs="Times New Roman"/>
          <w:kern w:val="2"/>
          <w:sz w:val="20"/>
        </w:rPr>
        <w:t>a greater degree of anonymity to beneficial owners than corporations.</w:t>
      </w:r>
      <w:r w:rsidR="007A1317" w:rsidRPr="006F29F5">
        <w:rPr>
          <w:rStyle w:val="FootnoteReference"/>
          <w:rFonts w:cs="Times New Roman"/>
          <w:kern w:val="2"/>
          <w:sz w:val="20"/>
        </w:rPr>
        <w:footnoteReference w:id="218"/>
      </w:r>
      <w:r w:rsidR="007A1317" w:rsidRPr="006F29F5">
        <w:rPr>
          <w:rFonts w:cs="Times New Roman"/>
          <w:kern w:val="2"/>
          <w:sz w:val="20"/>
        </w:rPr>
        <w:t xml:space="preserve"> This level of secrecy </w:t>
      </w:r>
      <w:r w:rsidR="00002791" w:rsidRPr="006F29F5">
        <w:rPr>
          <w:rFonts w:cs="Times New Roman"/>
          <w:kern w:val="2"/>
          <w:sz w:val="20"/>
        </w:rPr>
        <w:t>is a huge hindrance to</w:t>
      </w:r>
      <w:r w:rsidR="007A1317" w:rsidRPr="006F29F5">
        <w:rPr>
          <w:rFonts w:cs="Times New Roman"/>
          <w:kern w:val="2"/>
          <w:sz w:val="20"/>
        </w:rPr>
        <w:t xml:space="preserve"> law enforcement efforts. In 2011, the RCMP noted a suspect can only be identified in 18% of money laundering cases.</w:t>
      </w:r>
      <w:r w:rsidR="007A1317" w:rsidRPr="006F29F5">
        <w:rPr>
          <w:rStyle w:val="FootnoteReference"/>
          <w:rFonts w:cs="Times New Roman"/>
          <w:kern w:val="2"/>
          <w:sz w:val="20"/>
        </w:rPr>
        <w:footnoteReference w:id="219"/>
      </w:r>
    </w:p>
    <w:p w14:paraId="3624BF47" w14:textId="67DFE0CB" w:rsidR="007A1317" w:rsidRPr="006F29F5" w:rsidRDefault="00002791" w:rsidP="007A1317">
      <w:pPr>
        <w:autoSpaceDE w:val="0"/>
        <w:autoSpaceDN w:val="0"/>
        <w:adjustRightInd w:val="0"/>
        <w:rPr>
          <w:rFonts w:cs="Times New Roman"/>
          <w:kern w:val="2"/>
          <w:sz w:val="20"/>
        </w:rPr>
      </w:pPr>
      <w:r w:rsidRPr="006F29F5">
        <w:rPr>
          <w:rFonts w:cs="Times New Roman"/>
          <w:kern w:val="2"/>
          <w:sz w:val="20"/>
        </w:rPr>
        <w:t>Nominees are</w:t>
      </w:r>
      <w:r w:rsidR="007A1317" w:rsidRPr="006F29F5">
        <w:rPr>
          <w:rFonts w:cs="Times New Roman"/>
          <w:kern w:val="2"/>
          <w:sz w:val="20"/>
        </w:rPr>
        <w:t xml:space="preserve"> individuals or entities appointed to act </w:t>
      </w:r>
      <w:r w:rsidRPr="006F29F5">
        <w:rPr>
          <w:rFonts w:cs="Times New Roman"/>
          <w:kern w:val="2"/>
          <w:sz w:val="20"/>
        </w:rPr>
        <w:t>on behalf of a beneficial owner; they</w:t>
      </w:r>
      <w:r w:rsidR="007A1317" w:rsidRPr="006F29F5">
        <w:rPr>
          <w:rFonts w:cs="Times New Roman"/>
          <w:kern w:val="2"/>
          <w:sz w:val="20"/>
        </w:rPr>
        <w:t xml:space="preserve"> add another layer of secrecy to companies.</w:t>
      </w:r>
      <w:r w:rsidR="007A1317" w:rsidRPr="006F29F5">
        <w:rPr>
          <w:rStyle w:val="FootnoteReference"/>
          <w:rFonts w:cs="Times New Roman"/>
          <w:kern w:val="2"/>
          <w:sz w:val="20"/>
        </w:rPr>
        <w:footnoteReference w:id="220"/>
      </w:r>
      <w:r w:rsidR="007A1317" w:rsidRPr="006F29F5">
        <w:rPr>
          <w:rFonts w:cs="Times New Roman"/>
          <w:kern w:val="2"/>
          <w:sz w:val="20"/>
        </w:rPr>
        <w:t xml:space="preserve"> Nominee owners are a common means of money laundering </w:t>
      </w:r>
      <w:r w:rsidRPr="006F29F5">
        <w:rPr>
          <w:rFonts w:cs="Times New Roman"/>
          <w:kern w:val="2"/>
          <w:sz w:val="20"/>
        </w:rPr>
        <w:t>and hiding crime proceeds through real estate. TI Canada</w:t>
      </w:r>
      <w:r w:rsidR="007A1317" w:rsidRPr="006F29F5">
        <w:rPr>
          <w:rFonts w:cs="Times New Roman"/>
          <w:kern w:val="2"/>
          <w:sz w:val="20"/>
        </w:rPr>
        <w:t xml:space="preserve"> notes that a study in 2004 found that </w:t>
      </w:r>
      <w:r w:rsidR="00CC1E13" w:rsidRPr="006F29F5">
        <w:rPr>
          <w:rFonts w:cs="Times New Roman"/>
          <w:kern w:val="2"/>
          <w:sz w:val="20"/>
        </w:rPr>
        <w:t>“</w:t>
      </w:r>
      <w:r w:rsidR="007A1317" w:rsidRPr="006F29F5">
        <w:rPr>
          <w:rFonts w:cs="Times New Roman"/>
          <w:kern w:val="2"/>
          <w:sz w:val="20"/>
        </w:rPr>
        <w:t>of 149 proceeds of crime cases s</w:t>
      </w:r>
      <w:r w:rsidRPr="006F29F5">
        <w:rPr>
          <w:rFonts w:cs="Times New Roman"/>
          <w:kern w:val="2"/>
          <w:sz w:val="20"/>
        </w:rPr>
        <w:t>uccessfully pursued by the RCMP</w:t>
      </w:r>
      <w:r w:rsidR="00F21A85" w:rsidRPr="006F29F5">
        <w:rPr>
          <w:rFonts w:cs="Times New Roman"/>
          <w:kern w:val="2"/>
          <w:sz w:val="20"/>
        </w:rPr>
        <w:t xml:space="preserve"> </w:t>
      </w:r>
      <w:r w:rsidR="009472FE" w:rsidRPr="006F29F5">
        <w:rPr>
          <w:rFonts w:cs="Times New Roman"/>
          <w:kern w:val="2"/>
          <w:sz w:val="20"/>
        </w:rPr>
        <w:t xml:space="preserve">… </w:t>
      </w:r>
      <w:r w:rsidR="007A1317" w:rsidRPr="006F29F5">
        <w:rPr>
          <w:rFonts w:cs="Times New Roman"/>
          <w:kern w:val="2"/>
          <w:sz w:val="20"/>
        </w:rPr>
        <w:t>nominee owners were used in over 60 percent of real estate purchases made with laundered funds.</w:t>
      </w:r>
      <w:r w:rsidR="00CC1E13" w:rsidRPr="006F29F5">
        <w:rPr>
          <w:rFonts w:cs="Times New Roman"/>
          <w:kern w:val="2"/>
          <w:sz w:val="20"/>
        </w:rPr>
        <w:t>”</w:t>
      </w:r>
      <w:r w:rsidR="007A1317" w:rsidRPr="006F29F5">
        <w:rPr>
          <w:rStyle w:val="FootnoteReference"/>
          <w:rFonts w:cs="Times New Roman"/>
          <w:kern w:val="2"/>
          <w:sz w:val="20"/>
        </w:rPr>
        <w:footnoteReference w:id="221"/>
      </w:r>
      <w:r w:rsidRPr="006F29F5">
        <w:rPr>
          <w:rFonts w:cs="Times New Roman"/>
          <w:kern w:val="2"/>
          <w:sz w:val="20"/>
        </w:rPr>
        <w:t xml:space="preserve"> TI Canada</w:t>
      </w:r>
      <w:r w:rsidR="007A1317" w:rsidRPr="006F29F5">
        <w:rPr>
          <w:rFonts w:cs="Times New Roman"/>
          <w:kern w:val="2"/>
          <w:sz w:val="20"/>
        </w:rPr>
        <w:t xml:space="preserve"> notes that of the 42</w:t>
      </w:r>
      <w:r w:rsidR="00F21A85" w:rsidRPr="006F29F5">
        <w:rPr>
          <w:rFonts w:cs="Times New Roman"/>
          <w:kern w:val="2"/>
          <w:sz w:val="20"/>
        </w:rPr>
        <w:t xml:space="preserve"> </w:t>
      </w:r>
      <w:r w:rsidR="007A1317" w:rsidRPr="006F29F5">
        <w:rPr>
          <w:rFonts w:cs="Times New Roman"/>
          <w:kern w:val="2"/>
          <w:sz w:val="20"/>
        </w:rPr>
        <w:t>high</w:t>
      </w:r>
      <w:r w:rsidR="00F21A85" w:rsidRPr="006F29F5">
        <w:rPr>
          <w:rFonts w:cs="Times New Roman"/>
          <w:kern w:val="2"/>
          <w:sz w:val="20"/>
        </w:rPr>
        <w:t>-</w:t>
      </w:r>
      <w:r w:rsidR="007A1317" w:rsidRPr="006F29F5">
        <w:rPr>
          <w:rFonts w:cs="Times New Roman"/>
          <w:kern w:val="2"/>
          <w:sz w:val="20"/>
        </w:rPr>
        <w:t xml:space="preserve">end properties sold in Vancouver in the previous 5 years, 26% </w:t>
      </w:r>
      <w:r w:rsidR="0090217B" w:rsidRPr="006F29F5">
        <w:rPr>
          <w:rFonts w:cs="Times New Roman"/>
          <w:kern w:val="2"/>
          <w:sz w:val="20"/>
        </w:rPr>
        <w:t xml:space="preserve">were bought by students or </w:t>
      </w:r>
      <w:r w:rsidR="00BD68F6" w:rsidRPr="006F29F5">
        <w:rPr>
          <w:rFonts w:cs="Times New Roman"/>
          <w:kern w:val="2"/>
          <w:sz w:val="20"/>
        </w:rPr>
        <w:t>homemakers</w:t>
      </w:r>
      <w:r w:rsidRPr="006F29F5">
        <w:rPr>
          <w:rFonts w:cs="Times New Roman"/>
          <w:kern w:val="2"/>
          <w:sz w:val="20"/>
        </w:rPr>
        <w:t xml:space="preserve"> with no visible known income or wealth</w:t>
      </w:r>
      <w:r w:rsidR="007A1317" w:rsidRPr="006F29F5">
        <w:rPr>
          <w:rFonts w:cs="Times New Roman"/>
          <w:kern w:val="2"/>
          <w:sz w:val="20"/>
        </w:rPr>
        <w:t>.</w:t>
      </w:r>
      <w:r w:rsidR="007A1317" w:rsidRPr="006F29F5">
        <w:rPr>
          <w:rStyle w:val="FootnoteReference"/>
          <w:rFonts w:cs="Times New Roman"/>
          <w:kern w:val="2"/>
          <w:sz w:val="20"/>
        </w:rPr>
        <w:footnoteReference w:id="222"/>
      </w:r>
      <w:r w:rsidR="00220AC9" w:rsidRPr="006F29F5">
        <w:rPr>
          <w:rFonts w:cs="Times New Roman"/>
          <w:kern w:val="2"/>
          <w:sz w:val="20"/>
        </w:rPr>
        <w:t xml:space="preserve"> </w:t>
      </w:r>
      <w:r w:rsidR="007A1317" w:rsidRPr="006F29F5">
        <w:rPr>
          <w:rFonts w:cs="Times New Roman"/>
          <w:kern w:val="2"/>
          <w:sz w:val="20"/>
        </w:rPr>
        <w:t xml:space="preserve"> </w:t>
      </w:r>
    </w:p>
    <w:p w14:paraId="128BCA60" w14:textId="78339274" w:rsidR="007A1317" w:rsidRPr="006F29F5" w:rsidRDefault="007A1317" w:rsidP="007A1317">
      <w:pPr>
        <w:autoSpaceDE w:val="0"/>
        <w:autoSpaceDN w:val="0"/>
        <w:adjustRightInd w:val="0"/>
        <w:rPr>
          <w:rFonts w:cs="Times New Roman"/>
          <w:kern w:val="2"/>
          <w:sz w:val="20"/>
        </w:rPr>
      </w:pPr>
      <w:r w:rsidRPr="006F29F5">
        <w:rPr>
          <w:rFonts w:cs="Times New Roman"/>
          <w:kern w:val="2"/>
          <w:sz w:val="20"/>
        </w:rPr>
        <w:t>A beneficial ownership regime is crucial for Canada to have an effective, proactive regime to combat corruption, money laundering, as well as offences such as drug trafficking and fraud</w:t>
      </w:r>
      <w:r w:rsidR="00BD68F6" w:rsidRPr="006F29F5">
        <w:rPr>
          <w:rFonts w:cs="Times New Roman"/>
          <w:kern w:val="2"/>
          <w:sz w:val="20"/>
        </w:rPr>
        <w:t>, and to assist in the recovery of proceeds of corruption and</w:t>
      </w:r>
      <w:r w:rsidRPr="006F29F5">
        <w:rPr>
          <w:rFonts w:cs="Times New Roman"/>
          <w:kern w:val="2"/>
          <w:sz w:val="20"/>
        </w:rPr>
        <w:t xml:space="preserve"> </w:t>
      </w:r>
      <w:r w:rsidR="00BD68F6" w:rsidRPr="006F29F5">
        <w:rPr>
          <w:rFonts w:cs="Times New Roman"/>
          <w:kern w:val="2"/>
          <w:sz w:val="20"/>
        </w:rPr>
        <w:t xml:space="preserve">other crimes. </w:t>
      </w:r>
      <w:r w:rsidRPr="006F29F5">
        <w:rPr>
          <w:rFonts w:cs="Times New Roman"/>
          <w:kern w:val="2"/>
          <w:sz w:val="20"/>
        </w:rPr>
        <w:t>TI</w:t>
      </w:r>
      <w:r w:rsidR="00BD68F6" w:rsidRPr="006F29F5">
        <w:rPr>
          <w:rFonts w:cs="Times New Roman"/>
          <w:kern w:val="2"/>
          <w:sz w:val="20"/>
        </w:rPr>
        <w:t xml:space="preserve"> </w:t>
      </w:r>
      <w:r w:rsidRPr="006F29F5">
        <w:rPr>
          <w:rFonts w:cs="Times New Roman"/>
          <w:kern w:val="2"/>
          <w:sz w:val="20"/>
        </w:rPr>
        <w:t>C</w:t>
      </w:r>
      <w:r w:rsidR="00BD68F6" w:rsidRPr="006F29F5">
        <w:rPr>
          <w:rFonts w:cs="Times New Roman"/>
          <w:kern w:val="2"/>
          <w:sz w:val="20"/>
        </w:rPr>
        <w:t>anada and FATF have both noted</w:t>
      </w:r>
      <w:r w:rsidRPr="006F29F5">
        <w:rPr>
          <w:rFonts w:cs="Times New Roman"/>
          <w:kern w:val="2"/>
          <w:sz w:val="20"/>
        </w:rPr>
        <w:t xml:space="preserve"> various ways in which the Canadian laws cu</w:t>
      </w:r>
      <w:r w:rsidR="00BD68F6" w:rsidRPr="006F29F5">
        <w:rPr>
          <w:rFonts w:cs="Times New Roman"/>
          <w:kern w:val="2"/>
          <w:sz w:val="20"/>
        </w:rPr>
        <w:t xml:space="preserve">rrently fail in this regard. </w:t>
      </w:r>
      <w:r w:rsidRPr="006F29F5">
        <w:rPr>
          <w:rFonts w:cs="Times New Roman"/>
          <w:kern w:val="2"/>
          <w:sz w:val="20"/>
        </w:rPr>
        <w:t>C</w:t>
      </w:r>
      <w:r w:rsidR="00BD68F6" w:rsidRPr="006F29F5">
        <w:rPr>
          <w:rFonts w:cs="Times New Roman"/>
          <w:kern w:val="2"/>
          <w:sz w:val="20"/>
        </w:rPr>
        <w:t>anada’s R</w:t>
      </w:r>
      <w:r w:rsidRPr="006F29F5">
        <w:rPr>
          <w:rFonts w:cs="Times New Roman"/>
          <w:kern w:val="2"/>
          <w:sz w:val="20"/>
        </w:rPr>
        <w:t>eport includes a number of recommendations to bolster Canada’s beneficial ownership framework. The key recommendation made by TI</w:t>
      </w:r>
      <w:r w:rsidR="00BD68F6" w:rsidRPr="006F29F5">
        <w:rPr>
          <w:rFonts w:cs="Times New Roman"/>
          <w:kern w:val="2"/>
          <w:sz w:val="20"/>
        </w:rPr>
        <w:t xml:space="preserve"> </w:t>
      </w:r>
      <w:r w:rsidRPr="006F29F5">
        <w:rPr>
          <w:rFonts w:cs="Times New Roman"/>
          <w:kern w:val="2"/>
          <w:sz w:val="20"/>
        </w:rPr>
        <w:t>C</w:t>
      </w:r>
      <w:r w:rsidR="00BD68F6" w:rsidRPr="006F29F5">
        <w:rPr>
          <w:rFonts w:cs="Times New Roman"/>
          <w:kern w:val="2"/>
          <w:sz w:val="20"/>
        </w:rPr>
        <w:t>anada</w:t>
      </w:r>
      <w:r w:rsidRPr="006F29F5">
        <w:rPr>
          <w:rFonts w:cs="Times New Roman"/>
          <w:kern w:val="2"/>
          <w:sz w:val="20"/>
        </w:rPr>
        <w:t xml:space="preserve"> is that:</w:t>
      </w:r>
    </w:p>
    <w:p w14:paraId="7204F2C8" w14:textId="77777777" w:rsidR="007A1317" w:rsidRPr="00F568E3" w:rsidRDefault="007A1317" w:rsidP="00451D12">
      <w:pPr>
        <w:pStyle w:val="BlockQuote"/>
        <w:rPr>
          <w:spacing w:val="-1"/>
          <w:kern w:val="2"/>
          <w:sz w:val="20"/>
        </w:rPr>
      </w:pPr>
      <w:r w:rsidRPr="00F568E3">
        <w:rPr>
          <w:spacing w:val="-1"/>
          <w:kern w:val="2"/>
          <w:sz w:val="20"/>
        </w:rPr>
        <w:t>The Government of Canada should work with the provinces to establish a central registry of all companies and trusts in Canada, and their beneficial owners. The registry should be available to the public in an open data format. Corporate directors and trustees should be responsible for submitting beneficial ownership information and keeping it accurate and up to date.</w:t>
      </w:r>
      <w:r w:rsidRPr="00F568E3">
        <w:rPr>
          <w:rStyle w:val="FootnoteReference"/>
          <w:rFonts w:cs="Times New Roman"/>
          <w:spacing w:val="-1"/>
          <w:kern w:val="2"/>
          <w:sz w:val="20"/>
        </w:rPr>
        <w:footnoteReference w:id="223"/>
      </w:r>
    </w:p>
    <w:p w14:paraId="1120D1F8" w14:textId="058A52BC" w:rsidR="007A1317" w:rsidRPr="006F29F5" w:rsidRDefault="007A1317" w:rsidP="007A1317">
      <w:pPr>
        <w:autoSpaceDE w:val="0"/>
        <w:autoSpaceDN w:val="0"/>
        <w:adjustRightInd w:val="0"/>
        <w:rPr>
          <w:rFonts w:cs="Times New Roman"/>
          <w:kern w:val="2"/>
          <w:sz w:val="20"/>
        </w:rPr>
      </w:pPr>
      <w:r w:rsidRPr="006F29F5">
        <w:rPr>
          <w:rFonts w:cs="Times New Roman"/>
          <w:kern w:val="2"/>
          <w:sz w:val="20"/>
        </w:rPr>
        <w:t>Other recommendations made include</w:t>
      </w:r>
      <w:r w:rsidR="00F21A85" w:rsidRPr="006F29F5">
        <w:rPr>
          <w:rFonts w:cs="Times New Roman"/>
          <w:kern w:val="2"/>
          <w:sz w:val="20"/>
        </w:rPr>
        <w:t xml:space="preserve"> the following</w:t>
      </w:r>
      <w:r w:rsidRPr="006F29F5">
        <w:rPr>
          <w:rFonts w:cs="Times New Roman"/>
          <w:kern w:val="2"/>
          <w:sz w:val="20"/>
        </w:rPr>
        <w:t>:</w:t>
      </w:r>
    </w:p>
    <w:p w14:paraId="2CB52A69" w14:textId="77DF488A" w:rsidR="007A1317" w:rsidRPr="006F29F5" w:rsidRDefault="007A1317" w:rsidP="000E35A1">
      <w:pPr>
        <w:pStyle w:val="BlockQuote"/>
        <w:numPr>
          <w:ilvl w:val="0"/>
          <w:numId w:val="25"/>
        </w:numPr>
        <w:spacing w:before="60" w:after="0"/>
        <w:jc w:val="left"/>
        <w:rPr>
          <w:kern w:val="2"/>
          <w:sz w:val="20"/>
        </w:rPr>
      </w:pPr>
      <w:r w:rsidRPr="006F29F5">
        <w:rPr>
          <w:kern w:val="2"/>
          <w:sz w:val="20"/>
        </w:rPr>
        <w:t>Nominees should be required to disclose that they are acting on another’s behalf, and the beneficial owners they represent should be identified.</w:t>
      </w:r>
    </w:p>
    <w:p w14:paraId="61FB9258" w14:textId="2D18B3EA" w:rsidR="007A1317" w:rsidRPr="006F29F5" w:rsidRDefault="007A1317" w:rsidP="000E35A1">
      <w:pPr>
        <w:pStyle w:val="BlockQuote"/>
        <w:numPr>
          <w:ilvl w:val="0"/>
          <w:numId w:val="25"/>
        </w:numPr>
        <w:spacing w:before="60" w:after="0"/>
        <w:jc w:val="left"/>
        <w:rPr>
          <w:kern w:val="2"/>
          <w:sz w:val="20"/>
        </w:rPr>
      </w:pPr>
      <w:r w:rsidRPr="006F29F5">
        <w:rPr>
          <w:kern w:val="2"/>
          <w:sz w:val="20"/>
        </w:rPr>
        <w:t>Corporate registries should be given adequate resources and a mandate to independently verify the information filed by legal entities, including the identities of directors and shareholders.</w:t>
      </w:r>
    </w:p>
    <w:p w14:paraId="68385E84" w14:textId="1B30E5C1" w:rsidR="007A1317" w:rsidRPr="006F29F5" w:rsidRDefault="007A1317" w:rsidP="000E35A1">
      <w:pPr>
        <w:pStyle w:val="BlockQuote"/>
        <w:numPr>
          <w:ilvl w:val="0"/>
          <w:numId w:val="25"/>
        </w:numPr>
        <w:spacing w:before="60" w:after="0"/>
        <w:jc w:val="left"/>
        <w:rPr>
          <w:kern w:val="2"/>
          <w:sz w:val="20"/>
        </w:rPr>
      </w:pPr>
      <w:r w:rsidRPr="006F29F5">
        <w:rPr>
          <w:kern w:val="2"/>
          <w:sz w:val="20"/>
        </w:rPr>
        <w:t>Beneficial ownership information should be included on property title documents, and no property deal should be allowed to proceed without that disclosure.</w:t>
      </w:r>
    </w:p>
    <w:p w14:paraId="6498C5A1" w14:textId="671AC3BF" w:rsidR="007A1317" w:rsidRPr="006F29F5" w:rsidRDefault="007A1317" w:rsidP="000E35A1">
      <w:pPr>
        <w:pStyle w:val="BlockQuote"/>
        <w:numPr>
          <w:ilvl w:val="0"/>
          <w:numId w:val="25"/>
        </w:numPr>
        <w:spacing w:before="60" w:after="0"/>
        <w:jc w:val="left"/>
        <w:rPr>
          <w:kern w:val="2"/>
          <w:sz w:val="20"/>
        </w:rPr>
      </w:pPr>
      <w:r w:rsidRPr="006F29F5">
        <w:rPr>
          <w:kern w:val="2"/>
          <w:sz w:val="20"/>
        </w:rPr>
        <w:t>The Government of Canada should make it mandatory for all reporting sectors – including real estate professionals – to identify beneficial ownership before conducting transactions.</w:t>
      </w:r>
    </w:p>
    <w:p w14:paraId="53E28ED9" w14:textId="77777777" w:rsidR="007A1317" w:rsidRPr="006F29F5" w:rsidRDefault="007A1317" w:rsidP="000E35A1">
      <w:pPr>
        <w:pStyle w:val="BlockQuote"/>
        <w:numPr>
          <w:ilvl w:val="0"/>
          <w:numId w:val="25"/>
        </w:numPr>
        <w:spacing w:before="60" w:after="0"/>
        <w:jc w:val="left"/>
        <w:rPr>
          <w:kern w:val="2"/>
          <w:sz w:val="20"/>
        </w:rPr>
      </w:pPr>
      <w:r w:rsidRPr="006F29F5">
        <w:rPr>
          <w:kern w:val="2"/>
          <w:sz w:val="20"/>
        </w:rPr>
        <w:t>All government authorities in Canada should require beneficial ownership disclosure as a prerequisite for companies seeking to bid on public contracts.</w:t>
      </w:r>
      <w:r w:rsidRPr="006F29F5">
        <w:rPr>
          <w:rStyle w:val="FootnoteReference"/>
          <w:rFonts w:cs="Times New Roman"/>
          <w:kern w:val="2"/>
          <w:sz w:val="20"/>
        </w:rPr>
        <w:footnoteReference w:id="224"/>
      </w:r>
    </w:p>
    <w:p w14:paraId="1BABC796" w14:textId="3B280811" w:rsidR="00AC6744" w:rsidRPr="006F29F5" w:rsidRDefault="00F328EC" w:rsidP="00C81ED8">
      <w:pPr>
        <w:rPr>
          <w:rFonts w:cs="Times New Roman"/>
          <w:kern w:val="2"/>
          <w:sz w:val="20"/>
        </w:rPr>
      </w:pPr>
      <w:r w:rsidRPr="006F29F5">
        <w:rPr>
          <w:rFonts w:cs="Times New Roman"/>
          <w:kern w:val="2"/>
          <w:sz w:val="20"/>
        </w:rPr>
        <w:t>I</w:t>
      </w:r>
      <w:r w:rsidR="0066526F" w:rsidRPr="006F29F5">
        <w:rPr>
          <w:rFonts w:cs="Times New Roman"/>
          <w:kern w:val="2"/>
          <w:sz w:val="20"/>
        </w:rPr>
        <w:t>n an earlier report</w:t>
      </w:r>
      <w:r w:rsidRPr="006F29F5">
        <w:rPr>
          <w:rFonts w:cs="Times New Roman"/>
          <w:kern w:val="2"/>
          <w:sz w:val="20"/>
        </w:rPr>
        <w:t>,</w:t>
      </w:r>
      <w:r w:rsidR="00AC6744" w:rsidRPr="006F29F5">
        <w:rPr>
          <w:rFonts w:cs="Times New Roman"/>
          <w:kern w:val="2"/>
          <w:sz w:val="20"/>
        </w:rPr>
        <w:t xml:space="preserve"> </w:t>
      </w:r>
      <w:r w:rsidRPr="006F29F5">
        <w:rPr>
          <w:rFonts w:cs="Times New Roman"/>
          <w:kern w:val="2"/>
          <w:sz w:val="20"/>
        </w:rPr>
        <w:t xml:space="preserve">TI Canada </w:t>
      </w:r>
      <w:r w:rsidR="0066526F" w:rsidRPr="006F29F5">
        <w:rPr>
          <w:rFonts w:cs="Times New Roman"/>
          <w:kern w:val="2"/>
          <w:sz w:val="20"/>
        </w:rPr>
        <w:t>noted another problem Canada may face in requiring mandatory disclosure of beneficial ownership.</w:t>
      </w:r>
      <w:r w:rsidR="00263E5A" w:rsidRPr="006F29F5">
        <w:rPr>
          <w:rStyle w:val="FootnoteReference"/>
          <w:rFonts w:cs="Times New Roman"/>
          <w:kern w:val="2"/>
          <w:sz w:val="20"/>
        </w:rPr>
        <w:footnoteReference w:id="225"/>
      </w:r>
      <w:r w:rsidR="00263E5A" w:rsidRPr="006F29F5">
        <w:rPr>
          <w:rFonts w:cs="Times New Roman"/>
          <w:kern w:val="2"/>
          <w:sz w:val="20"/>
        </w:rPr>
        <w:t xml:space="preserve"> </w:t>
      </w:r>
      <w:r w:rsidR="0066526F" w:rsidRPr="006F29F5">
        <w:rPr>
          <w:rFonts w:cs="Times New Roman"/>
          <w:kern w:val="2"/>
          <w:sz w:val="20"/>
        </w:rPr>
        <w:t xml:space="preserve"> </w:t>
      </w:r>
      <w:r w:rsidR="004F559E" w:rsidRPr="006F29F5">
        <w:rPr>
          <w:rFonts w:cs="Times New Roman"/>
          <w:kern w:val="2"/>
          <w:sz w:val="20"/>
        </w:rPr>
        <w:t xml:space="preserve">TI </w:t>
      </w:r>
      <w:r w:rsidR="0066526F" w:rsidRPr="006F29F5">
        <w:rPr>
          <w:rFonts w:cs="Times New Roman"/>
          <w:kern w:val="2"/>
          <w:sz w:val="20"/>
        </w:rPr>
        <w:t xml:space="preserve">Canada </w:t>
      </w:r>
      <w:r w:rsidR="004F559E" w:rsidRPr="006F29F5">
        <w:rPr>
          <w:rFonts w:cs="Times New Roman"/>
          <w:kern w:val="2"/>
          <w:sz w:val="20"/>
        </w:rPr>
        <w:t>note</w:t>
      </w:r>
      <w:r w:rsidR="00780046" w:rsidRPr="006F29F5">
        <w:rPr>
          <w:rFonts w:cs="Times New Roman"/>
          <w:kern w:val="2"/>
          <w:sz w:val="20"/>
        </w:rPr>
        <w:t>d</w:t>
      </w:r>
      <w:r w:rsidR="004F559E" w:rsidRPr="006F29F5">
        <w:rPr>
          <w:rFonts w:cs="Times New Roman"/>
          <w:kern w:val="2"/>
          <w:sz w:val="20"/>
        </w:rPr>
        <w:t xml:space="preserve"> that in</w:t>
      </w:r>
      <w:r w:rsidR="00AC6744" w:rsidRPr="006F29F5">
        <w:rPr>
          <w:rFonts w:cs="Times New Roman"/>
          <w:kern w:val="2"/>
          <w:sz w:val="20"/>
        </w:rPr>
        <w:t xml:space="preserve"> </w:t>
      </w:r>
      <w:r w:rsidR="00AC6744" w:rsidRPr="006F29F5">
        <w:rPr>
          <w:rFonts w:cs="Times New Roman"/>
          <w:i/>
          <w:kern w:val="2"/>
          <w:sz w:val="20"/>
        </w:rPr>
        <w:t>Reference re Securities Act</w:t>
      </w:r>
      <w:r w:rsidR="00AC6744" w:rsidRPr="006F29F5">
        <w:rPr>
          <w:rFonts w:cs="Times New Roman"/>
          <w:kern w:val="2"/>
          <w:sz w:val="20"/>
        </w:rPr>
        <w:t>,</w:t>
      </w:r>
      <w:r w:rsidR="00F21A85" w:rsidRPr="006F29F5">
        <w:rPr>
          <w:rStyle w:val="FootnoteReference"/>
          <w:rFonts w:cs="Times New Roman"/>
          <w:kern w:val="2"/>
          <w:sz w:val="20"/>
        </w:rPr>
        <w:footnoteReference w:id="226"/>
      </w:r>
      <w:r w:rsidR="00AC6744" w:rsidRPr="006F29F5">
        <w:rPr>
          <w:rFonts w:cs="Times New Roman"/>
          <w:kern w:val="2"/>
          <w:sz w:val="20"/>
        </w:rPr>
        <w:t xml:space="preserve"> the Su</w:t>
      </w:r>
      <w:r w:rsidR="004F559E" w:rsidRPr="006F29F5">
        <w:rPr>
          <w:rFonts w:cs="Times New Roman"/>
          <w:kern w:val="2"/>
          <w:sz w:val="20"/>
        </w:rPr>
        <w:t>preme Court of Canada found</w:t>
      </w:r>
      <w:r w:rsidR="00AC6744" w:rsidRPr="006F29F5">
        <w:rPr>
          <w:rFonts w:cs="Times New Roman"/>
          <w:kern w:val="2"/>
          <w:sz w:val="20"/>
        </w:rPr>
        <w:t xml:space="preserve"> </w:t>
      </w:r>
      <w:r w:rsidR="004F559E" w:rsidRPr="006F29F5">
        <w:rPr>
          <w:rFonts w:cs="Times New Roman"/>
          <w:kern w:val="2"/>
          <w:sz w:val="20"/>
        </w:rPr>
        <w:t xml:space="preserve">that </w:t>
      </w:r>
      <w:r w:rsidR="00AC6744" w:rsidRPr="006F29F5">
        <w:rPr>
          <w:rFonts w:cs="Times New Roman"/>
          <w:kern w:val="2"/>
          <w:sz w:val="20"/>
        </w:rPr>
        <w:t xml:space="preserve">a national securities commission would be unconstitutional. As a result, TI </w:t>
      </w:r>
      <w:r w:rsidR="00315F55" w:rsidRPr="006F29F5">
        <w:rPr>
          <w:rFonts w:cs="Times New Roman"/>
          <w:kern w:val="2"/>
          <w:sz w:val="20"/>
        </w:rPr>
        <w:t xml:space="preserve">Canada </w:t>
      </w:r>
      <w:r w:rsidR="00AC6744" w:rsidRPr="006F29F5">
        <w:rPr>
          <w:rFonts w:cs="Times New Roman"/>
          <w:kern w:val="2"/>
          <w:sz w:val="20"/>
        </w:rPr>
        <w:t xml:space="preserve">voiced concerns regarding Canada’s ability to reach a national consensus </w:t>
      </w:r>
      <w:r w:rsidR="0066526F" w:rsidRPr="006F29F5">
        <w:rPr>
          <w:rFonts w:cs="Times New Roman"/>
          <w:kern w:val="2"/>
          <w:sz w:val="20"/>
        </w:rPr>
        <w:t xml:space="preserve">or impose a national requirement </w:t>
      </w:r>
      <w:r w:rsidR="00AC6744" w:rsidRPr="006F29F5">
        <w:rPr>
          <w:rFonts w:cs="Times New Roman"/>
          <w:kern w:val="2"/>
          <w:sz w:val="20"/>
        </w:rPr>
        <w:t>on beneficial ownership transparency requirements.</w:t>
      </w:r>
    </w:p>
    <w:p w14:paraId="19F54661" w14:textId="77777777" w:rsidR="00C81165" w:rsidRPr="006F29F5" w:rsidRDefault="00C81165" w:rsidP="00C81165">
      <w:pPr>
        <w:rPr>
          <w:rFonts w:cs="Times New Roman"/>
          <w:kern w:val="2"/>
          <w:sz w:val="20"/>
        </w:rPr>
      </w:pPr>
      <w:r w:rsidRPr="006F29F5">
        <w:rPr>
          <w:rFonts w:cs="Times New Roman"/>
          <w:kern w:val="2"/>
          <w:sz w:val="20"/>
        </w:rPr>
        <w:t xml:space="preserve">In December 2017, the Canadian arm of Publish What You Pay (PWYP) published Mora Johnson’s detailed study entitled </w:t>
      </w:r>
      <w:r w:rsidRPr="006F29F5">
        <w:rPr>
          <w:rFonts w:cs="Times New Roman"/>
          <w:i/>
          <w:kern w:val="2"/>
          <w:sz w:val="20"/>
        </w:rPr>
        <w:t>Secret Entities: A Legal Analysis of the Transparency of Beneficial Ownership in Canada</w:t>
      </w:r>
      <w:r w:rsidRPr="006F29F5">
        <w:rPr>
          <w:rFonts w:cs="Times New Roman"/>
          <w:kern w:val="2"/>
          <w:sz w:val="20"/>
        </w:rPr>
        <w:t>.</w:t>
      </w:r>
      <w:r w:rsidRPr="006F29F5">
        <w:rPr>
          <w:rFonts w:cs="Times New Roman"/>
          <w:kern w:val="2"/>
          <w:sz w:val="20"/>
          <w:vertAlign w:val="superscript"/>
        </w:rPr>
        <w:footnoteReference w:id="227"/>
      </w:r>
      <w:r w:rsidRPr="006F29F5">
        <w:rPr>
          <w:rFonts w:cs="Times New Roman"/>
          <w:kern w:val="2"/>
          <w:sz w:val="20"/>
        </w:rPr>
        <w:t xml:space="preserve"> Johnson states in her introduction:</w:t>
      </w:r>
    </w:p>
    <w:p w14:paraId="2E2E8C0D" w14:textId="77777777" w:rsidR="00C81165" w:rsidRPr="006F29F5" w:rsidRDefault="00C81165" w:rsidP="00622D8C">
      <w:pPr>
        <w:pStyle w:val="BlockQuote"/>
        <w:rPr>
          <w:sz w:val="20"/>
        </w:rPr>
      </w:pPr>
      <w:r w:rsidRPr="006F29F5">
        <w:rPr>
          <w:sz w:val="20"/>
        </w:rPr>
        <w:t>Financial institutions and other designated non-financial businesses and professions (DNFBPs) such as accountants, casinos, real estate agents, and dealers in precious gems and stones have anti-money-laundering and terrorism financing obligations because they may handle large cash transactions, which are susceptible to misuse. Despite a certain level of implementation of these obligations in Canada, this report will demonstrate that there are numerous ways to legally remain anonymous in business transactions and to hide beneficial ownership information from law enforcement authorities, financial institutions, and DNFBPs. In addition to the FATF obligations, in 2014, the G20 Leaders committed to lead by example and improve the transparency of beneficial ownership in their respective jurisdictions. In striving to meet these commitments, the UK and other European countries have taken clear steps to improve public beneficial ownership information, including establishing public registries of beneficial owners. Public beneficial ownership registries will ensure that civil society organizations, businesses, customers, law enforcement agencies, tax collection authorities, and others are able to discern the true owner or the person who ultimately benefits or controls the entity or property in question. Registries, alongside complementary efforts to require that agents and nominees disclose their status and the identities of those they represent, are critical to creating a transparency beneficial ownership system that can allow law enforcement to fight crime.</w:t>
      </w:r>
      <w:r w:rsidRPr="006F29F5">
        <w:rPr>
          <w:sz w:val="20"/>
          <w:vertAlign w:val="superscript"/>
        </w:rPr>
        <w:footnoteReference w:id="228"/>
      </w:r>
    </w:p>
    <w:p w14:paraId="34FA7643" w14:textId="77777777" w:rsidR="00C81165" w:rsidRPr="006F29F5" w:rsidRDefault="00C81165" w:rsidP="00C81165">
      <w:pPr>
        <w:rPr>
          <w:rFonts w:cs="Times New Roman"/>
          <w:kern w:val="2"/>
          <w:sz w:val="20"/>
        </w:rPr>
      </w:pPr>
      <w:r w:rsidRPr="006F29F5">
        <w:rPr>
          <w:rFonts w:cs="Times New Roman"/>
          <w:kern w:val="2"/>
          <w:sz w:val="20"/>
        </w:rPr>
        <w:t xml:space="preserve">In her conclusion, Johnson states: </w:t>
      </w:r>
    </w:p>
    <w:p w14:paraId="38CE2EB9" w14:textId="68F7E355" w:rsidR="00C81165" w:rsidRPr="006F29F5" w:rsidRDefault="00C81165" w:rsidP="00274160">
      <w:pPr>
        <w:pStyle w:val="BlockQuote"/>
        <w:rPr>
          <w:sz w:val="20"/>
        </w:rPr>
      </w:pPr>
      <w:r w:rsidRPr="006F29F5">
        <w:rPr>
          <w:rStyle w:val="BlockQuoteChar"/>
          <w:rFonts w:ascii="Palatino Linotype" w:hAnsi="Palatino Linotype"/>
          <w:sz w:val="20"/>
        </w:rPr>
        <w:t>This report identifies several shortcomings relating to the transparency of beneficial ownership information of legal entities, trusts and business arrangements in Canadian law. Implementation of proposed recommendations in this report would enable Canada to possess a more rigorous and effective AML/TF regime, as well as meet our G20 and FATF commitments as they relate to beneficial ownership information. Most importantly, proposed changes would help Canadian law enforcement more effectively and efficiently fight crime in this country</w:t>
      </w:r>
      <w:r w:rsidRPr="006F29F5">
        <w:rPr>
          <w:sz w:val="20"/>
        </w:rPr>
        <w:t>.</w:t>
      </w:r>
      <w:r w:rsidRPr="006F29F5">
        <w:rPr>
          <w:sz w:val="20"/>
          <w:vertAlign w:val="superscript"/>
        </w:rPr>
        <w:footnoteReference w:id="229"/>
      </w:r>
    </w:p>
    <w:p w14:paraId="681BB3AA" w14:textId="6396867A" w:rsidR="00345D53" w:rsidRPr="006F29F5" w:rsidRDefault="000D06C4" w:rsidP="00451D12">
      <w:pPr>
        <w:pStyle w:val="Heading3"/>
        <w:rPr>
          <w:kern w:val="2"/>
          <w:sz w:val="22"/>
        </w:rPr>
      </w:pPr>
      <w:bookmarkStart w:id="54" w:name="_Toc420329385"/>
      <w:r w:rsidRPr="006F29F5">
        <w:rPr>
          <w:kern w:val="2"/>
          <w:sz w:val="22"/>
        </w:rPr>
        <w:t xml:space="preserve">Other </w:t>
      </w:r>
      <w:r w:rsidR="00345D53" w:rsidRPr="006F29F5">
        <w:rPr>
          <w:kern w:val="2"/>
          <w:sz w:val="22"/>
        </w:rPr>
        <w:t>Challenges</w:t>
      </w:r>
      <w:bookmarkEnd w:id="54"/>
      <w:r w:rsidR="000943B4" w:rsidRPr="006F29F5">
        <w:rPr>
          <w:kern w:val="2"/>
          <w:sz w:val="22"/>
        </w:rPr>
        <w:t xml:space="preserve"> to Effective Asset Recovery</w:t>
      </w:r>
    </w:p>
    <w:p w14:paraId="6AD1BD01" w14:textId="0F06529B" w:rsidR="00345D53" w:rsidRPr="006F29F5" w:rsidRDefault="00345D53" w:rsidP="000F5BF9">
      <w:pPr>
        <w:rPr>
          <w:kern w:val="2"/>
          <w:sz w:val="20"/>
        </w:rPr>
      </w:pPr>
      <w:r w:rsidRPr="006F29F5">
        <w:rPr>
          <w:kern w:val="2"/>
          <w:sz w:val="20"/>
        </w:rPr>
        <w:t xml:space="preserve">Developing countries face additional challenges due to a lack of resources, expertise, investigative experience, foreign contacts and institutional stability for pursuing complex transnational asset recovery proceedings and MLA requests. The MLA system is particularly impossible for failing states. </w:t>
      </w:r>
      <w:r w:rsidR="004872C0" w:rsidRPr="006F29F5">
        <w:rPr>
          <w:kern w:val="2"/>
          <w:sz w:val="20"/>
        </w:rPr>
        <w:t xml:space="preserve">Section 4 of </w:t>
      </w:r>
      <w:r w:rsidRPr="006F29F5">
        <w:rPr>
          <w:kern w:val="2"/>
          <w:sz w:val="20"/>
        </w:rPr>
        <w:t xml:space="preserve">Canada’s </w:t>
      </w:r>
      <w:r w:rsidRPr="006F29F5">
        <w:rPr>
          <w:i/>
          <w:kern w:val="2"/>
          <w:sz w:val="20"/>
        </w:rPr>
        <w:t>Freezing Assets of Corrupt Foreign Officials Act</w:t>
      </w:r>
      <w:r w:rsidR="00FA621A" w:rsidRPr="006F29F5">
        <w:rPr>
          <w:kern w:val="2"/>
          <w:sz w:val="20"/>
        </w:rPr>
        <w:t>, enacted in the wake of the Arab Spring,</w:t>
      </w:r>
      <w:r w:rsidRPr="006F29F5">
        <w:rPr>
          <w:kern w:val="2"/>
          <w:sz w:val="20"/>
        </w:rPr>
        <w:t xml:space="preserve"> aims to deal with failed states by allowing the freezing of assets on request from countries experiencing </w:t>
      </w:r>
      <w:r w:rsidR="00CC1E13" w:rsidRPr="006F29F5">
        <w:rPr>
          <w:kern w:val="2"/>
          <w:sz w:val="20"/>
        </w:rPr>
        <w:t>“</w:t>
      </w:r>
      <w:r w:rsidRPr="006F29F5">
        <w:rPr>
          <w:kern w:val="2"/>
          <w:sz w:val="20"/>
        </w:rPr>
        <w:t>internal turmoil</w:t>
      </w:r>
      <w:r w:rsidR="00CC1E13" w:rsidRPr="006F29F5">
        <w:rPr>
          <w:kern w:val="2"/>
          <w:sz w:val="20"/>
        </w:rPr>
        <w:t>”</w:t>
      </w:r>
      <w:r w:rsidRPr="006F29F5">
        <w:rPr>
          <w:kern w:val="2"/>
          <w:sz w:val="20"/>
        </w:rPr>
        <w:t xml:space="preserve"> or </w:t>
      </w:r>
      <w:r w:rsidR="00CC1E13" w:rsidRPr="006F29F5">
        <w:rPr>
          <w:kern w:val="2"/>
          <w:sz w:val="20"/>
        </w:rPr>
        <w:t>“</w:t>
      </w:r>
      <w:r w:rsidRPr="006F29F5">
        <w:rPr>
          <w:kern w:val="2"/>
          <w:sz w:val="20"/>
        </w:rPr>
        <w:t xml:space="preserve">an uncertain political </w:t>
      </w:r>
      <w:r w:rsidR="004872C0" w:rsidRPr="006F29F5">
        <w:rPr>
          <w:kern w:val="2"/>
          <w:sz w:val="20"/>
        </w:rPr>
        <w:t>situation</w:t>
      </w:r>
      <w:r w:rsidR="00F92C49" w:rsidRPr="006F29F5">
        <w:rPr>
          <w:kern w:val="2"/>
          <w:sz w:val="20"/>
        </w:rPr>
        <w:t>.</w:t>
      </w:r>
      <w:r w:rsidR="00CC1E13" w:rsidRPr="006F29F5">
        <w:rPr>
          <w:kern w:val="2"/>
          <w:sz w:val="20"/>
        </w:rPr>
        <w:t>”</w:t>
      </w:r>
      <w:r w:rsidRPr="006F29F5">
        <w:rPr>
          <w:rStyle w:val="FootnoteReference"/>
          <w:rFonts w:cs="Times New Roman"/>
          <w:kern w:val="2"/>
          <w:sz w:val="20"/>
          <w:szCs w:val="24"/>
        </w:rPr>
        <w:footnoteReference w:id="230"/>
      </w:r>
      <w:r w:rsidRPr="006F29F5">
        <w:rPr>
          <w:kern w:val="2"/>
          <w:sz w:val="20"/>
        </w:rPr>
        <w:t xml:space="preserve"> </w:t>
      </w:r>
      <w:r w:rsidR="00421BB0" w:rsidRPr="006F29F5">
        <w:rPr>
          <w:kern w:val="2"/>
          <w:sz w:val="20"/>
        </w:rPr>
        <w:t xml:space="preserve">The </w:t>
      </w:r>
      <w:r w:rsidR="00CC1E13" w:rsidRPr="006F29F5">
        <w:rPr>
          <w:kern w:val="2"/>
          <w:sz w:val="20"/>
        </w:rPr>
        <w:t>“</w:t>
      </w:r>
      <w:r w:rsidR="00421BB0" w:rsidRPr="006F29F5">
        <w:rPr>
          <w:kern w:val="2"/>
          <w:sz w:val="20"/>
        </w:rPr>
        <w:t>Duvalier law</w:t>
      </w:r>
      <w:r w:rsidR="00CC1E13" w:rsidRPr="006F29F5">
        <w:rPr>
          <w:kern w:val="2"/>
          <w:sz w:val="20"/>
        </w:rPr>
        <w:t>”</w:t>
      </w:r>
      <w:r w:rsidR="00421BB0" w:rsidRPr="006F29F5">
        <w:rPr>
          <w:kern w:val="2"/>
          <w:sz w:val="20"/>
        </w:rPr>
        <w:t xml:space="preserve"> in Switzerland represents another attempt to fill in the gaps of the international asset recovery framework in relation to states where the rule of law has broken down (see</w:t>
      </w:r>
      <w:r w:rsidR="008E3B04" w:rsidRPr="006F29F5">
        <w:rPr>
          <w:kern w:val="2"/>
          <w:sz w:val="20"/>
        </w:rPr>
        <w:t xml:space="preserve"> </w:t>
      </w:r>
      <w:r w:rsidR="008E3B04" w:rsidRPr="006F29F5">
        <w:rPr>
          <w:kern w:val="2"/>
          <w:sz w:val="20"/>
          <w:highlight w:val="cyan"/>
        </w:rPr>
        <w:t>Section</w:t>
      </w:r>
      <w:r w:rsidR="002E044F" w:rsidRPr="006F29F5">
        <w:rPr>
          <w:kern w:val="2"/>
          <w:sz w:val="20"/>
          <w:highlight w:val="cyan"/>
        </w:rPr>
        <w:t xml:space="preserve"> 3.1</w:t>
      </w:r>
      <w:r w:rsidR="00421BB0" w:rsidRPr="006F29F5">
        <w:rPr>
          <w:kern w:val="2"/>
          <w:sz w:val="20"/>
        </w:rPr>
        <w:t xml:space="preserve"> </w:t>
      </w:r>
      <w:r w:rsidR="00B05FE1" w:rsidRPr="006F29F5">
        <w:rPr>
          <w:kern w:val="2"/>
          <w:sz w:val="20"/>
        </w:rPr>
        <w:t xml:space="preserve">above </w:t>
      </w:r>
      <w:r w:rsidR="00421BB0" w:rsidRPr="006F29F5">
        <w:rPr>
          <w:kern w:val="2"/>
          <w:sz w:val="20"/>
        </w:rPr>
        <w:t>for more</w:t>
      </w:r>
      <w:r w:rsidR="0075732A" w:rsidRPr="006F29F5">
        <w:rPr>
          <w:kern w:val="2"/>
          <w:sz w:val="20"/>
        </w:rPr>
        <w:t xml:space="preserve"> on the </w:t>
      </w:r>
      <w:r w:rsidR="00CC1E13" w:rsidRPr="006F29F5">
        <w:rPr>
          <w:kern w:val="2"/>
          <w:sz w:val="20"/>
        </w:rPr>
        <w:t>“</w:t>
      </w:r>
      <w:r w:rsidR="0075732A" w:rsidRPr="006F29F5">
        <w:rPr>
          <w:kern w:val="2"/>
          <w:sz w:val="20"/>
        </w:rPr>
        <w:t>Duvalier law</w:t>
      </w:r>
      <w:r w:rsidR="00CC1E13" w:rsidRPr="006F29F5">
        <w:rPr>
          <w:kern w:val="2"/>
          <w:sz w:val="20"/>
        </w:rPr>
        <w:t>”</w:t>
      </w:r>
      <w:r w:rsidR="00421BB0" w:rsidRPr="006F29F5">
        <w:rPr>
          <w:kern w:val="2"/>
          <w:sz w:val="20"/>
        </w:rPr>
        <w:t>).</w:t>
      </w:r>
      <w:r w:rsidR="002775F4" w:rsidRPr="006F29F5">
        <w:rPr>
          <w:rStyle w:val="FootnoteReference"/>
          <w:rFonts w:cs="Times New Roman"/>
          <w:kern w:val="2"/>
          <w:sz w:val="20"/>
          <w:szCs w:val="24"/>
        </w:rPr>
        <w:footnoteReference w:id="231"/>
      </w:r>
      <w:r w:rsidR="00421BB0" w:rsidRPr="006F29F5">
        <w:rPr>
          <w:kern w:val="2"/>
          <w:sz w:val="20"/>
        </w:rPr>
        <w:t xml:space="preserve"> </w:t>
      </w:r>
    </w:p>
    <w:p w14:paraId="0B4CBFD6" w14:textId="1994D0F2" w:rsidR="00345D53" w:rsidRPr="006F29F5" w:rsidRDefault="00345D53" w:rsidP="00C81ED8">
      <w:pPr>
        <w:rPr>
          <w:rFonts w:cs="Times New Roman"/>
          <w:kern w:val="2"/>
          <w:sz w:val="20"/>
        </w:rPr>
      </w:pPr>
      <w:r w:rsidRPr="006F29F5">
        <w:rPr>
          <w:rFonts w:cs="Times New Roman"/>
          <w:kern w:val="2"/>
          <w:sz w:val="20"/>
        </w:rPr>
        <w:t>Political immunity presents another barrier to asset recovery. In some states, immunities have been extended to protect various public officials, who are then able to use immunities to block or delay investigation and prosecution for corruption or money laundering.</w:t>
      </w:r>
      <w:r w:rsidRPr="006F29F5">
        <w:rPr>
          <w:rStyle w:val="FootnoteReference"/>
          <w:rFonts w:cs="Times New Roman"/>
          <w:kern w:val="2"/>
          <w:sz w:val="20"/>
        </w:rPr>
        <w:footnoteReference w:id="232"/>
      </w:r>
      <w:r w:rsidRPr="006F29F5">
        <w:rPr>
          <w:rFonts w:cs="Times New Roman"/>
          <w:kern w:val="2"/>
          <w:sz w:val="20"/>
        </w:rPr>
        <w:t xml:space="preserve"> </w:t>
      </w:r>
    </w:p>
    <w:p w14:paraId="1A681A95" w14:textId="587B3C7E" w:rsidR="00345D53" w:rsidRPr="006F29F5" w:rsidRDefault="00345D53" w:rsidP="00C81ED8">
      <w:pPr>
        <w:rPr>
          <w:rFonts w:cs="Times New Roman"/>
          <w:kern w:val="2"/>
          <w:sz w:val="20"/>
        </w:rPr>
      </w:pPr>
      <w:r w:rsidRPr="006F29F5">
        <w:rPr>
          <w:rFonts w:cs="Times New Roman"/>
          <w:kern w:val="2"/>
          <w:sz w:val="20"/>
        </w:rPr>
        <w:t xml:space="preserve">Vlasic also pointed out that lack of political will often hinders asset recovery; </w:t>
      </w:r>
      <w:r w:rsidR="00CC1E13" w:rsidRPr="006F29F5">
        <w:rPr>
          <w:rFonts w:cs="Times New Roman"/>
          <w:kern w:val="2"/>
          <w:sz w:val="20"/>
        </w:rPr>
        <w:t>“</w:t>
      </w:r>
      <w:r w:rsidRPr="006F29F5">
        <w:rPr>
          <w:rFonts w:cs="Times New Roman"/>
          <w:kern w:val="2"/>
          <w:sz w:val="20"/>
        </w:rPr>
        <w:t>often, when states compare the costs of pursuing an asset recovery agenda to uncertain benefits, the risk of stepping outside the status quo is more than they are willing to take on.</w:t>
      </w:r>
      <w:r w:rsidR="00CC1E13" w:rsidRPr="006F29F5">
        <w:rPr>
          <w:rFonts w:cs="Times New Roman"/>
          <w:kern w:val="2"/>
          <w:sz w:val="20"/>
        </w:rPr>
        <w:t>”</w:t>
      </w:r>
      <w:r w:rsidRPr="006F29F5">
        <w:rPr>
          <w:rStyle w:val="FootnoteReference"/>
          <w:rFonts w:cs="Times New Roman"/>
          <w:kern w:val="2"/>
          <w:sz w:val="20"/>
        </w:rPr>
        <w:footnoteReference w:id="233"/>
      </w:r>
      <w:r w:rsidRPr="006F29F5">
        <w:rPr>
          <w:rFonts w:cs="Times New Roman"/>
          <w:kern w:val="2"/>
          <w:sz w:val="20"/>
        </w:rPr>
        <w:t xml:space="preserve"> As pointed out</w:t>
      </w:r>
      <w:r w:rsidR="0075732A" w:rsidRPr="006F29F5">
        <w:rPr>
          <w:rFonts w:cs="Times New Roman"/>
          <w:kern w:val="2"/>
          <w:sz w:val="20"/>
        </w:rPr>
        <w:t xml:space="preserve"> by </w:t>
      </w:r>
      <w:proofErr w:type="spellStart"/>
      <w:r w:rsidRPr="006F29F5">
        <w:rPr>
          <w:rFonts w:cs="Times New Roman"/>
          <w:kern w:val="2"/>
          <w:sz w:val="20"/>
        </w:rPr>
        <w:t>Kingah</w:t>
      </w:r>
      <w:proofErr w:type="spellEnd"/>
      <w:r w:rsidRPr="006F29F5">
        <w:rPr>
          <w:rFonts w:cs="Times New Roman"/>
          <w:kern w:val="2"/>
          <w:sz w:val="20"/>
        </w:rPr>
        <w:t xml:space="preserve">, requesting countries must hire an </w:t>
      </w:r>
      <w:r w:rsidR="00CC1E13" w:rsidRPr="006F29F5">
        <w:rPr>
          <w:rFonts w:cs="Times New Roman"/>
          <w:kern w:val="2"/>
          <w:sz w:val="20"/>
        </w:rPr>
        <w:t>“</w:t>
      </w:r>
      <w:r w:rsidRPr="006F29F5">
        <w:rPr>
          <w:rFonts w:cs="Times New Roman"/>
          <w:kern w:val="2"/>
          <w:sz w:val="20"/>
        </w:rPr>
        <w:t>army of attorneys</w:t>
      </w:r>
      <w:r w:rsidR="00CC1E13" w:rsidRPr="006F29F5">
        <w:rPr>
          <w:rFonts w:cs="Times New Roman"/>
          <w:kern w:val="2"/>
          <w:sz w:val="20"/>
        </w:rPr>
        <w:t>”</w:t>
      </w:r>
      <w:r w:rsidRPr="006F29F5">
        <w:rPr>
          <w:rFonts w:cs="Times New Roman"/>
          <w:kern w:val="2"/>
          <w:sz w:val="20"/>
        </w:rPr>
        <w:t xml:space="preserve"> and expensive firms specializing in asset tracing.</w:t>
      </w:r>
      <w:r w:rsidRPr="006F29F5">
        <w:rPr>
          <w:rStyle w:val="FootnoteReference"/>
          <w:rFonts w:cs="Times New Roman"/>
          <w:kern w:val="2"/>
          <w:sz w:val="20"/>
        </w:rPr>
        <w:footnoteReference w:id="234"/>
      </w:r>
      <w:r w:rsidRPr="006F29F5">
        <w:rPr>
          <w:rFonts w:cs="Times New Roman"/>
          <w:kern w:val="2"/>
          <w:sz w:val="20"/>
        </w:rPr>
        <w:t xml:space="preserve"> To make matters worse, many jurisdictions allow the owner of seized or restrained assets to deplete those assets for their own lega</w:t>
      </w:r>
      <w:r w:rsidR="0075732A" w:rsidRPr="006F29F5">
        <w:rPr>
          <w:rFonts w:cs="Times New Roman"/>
          <w:kern w:val="2"/>
          <w:sz w:val="20"/>
        </w:rPr>
        <w:t>l fees, which are often</w:t>
      </w:r>
      <w:r w:rsidRPr="006F29F5">
        <w:rPr>
          <w:rFonts w:cs="Times New Roman"/>
          <w:kern w:val="2"/>
          <w:sz w:val="20"/>
        </w:rPr>
        <w:t xml:space="preserve"> exorbitant.</w:t>
      </w:r>
      <w:r w:rsidRPr="006F29F5">
        <w:rPr>
          <w:rStyle w:val="FootnoteReference"/>
          <w:rFonts w:cs="Times New Roman"/>
          <w:kern w:val="2"/>
          <w:sz w:val="20"/>
        </w:rPr>
        <w:footnoteReference w:id="235"/>
      </w:r>
      <w:r w:rsidR="0075732A" w:rsidRPr="006F29F5">
        <w:rPr>
          <w:rFonts w:cs="Times New Roman"/>
          <w:kern w:val="2"/>
          <w:sz w:val="20"/>
        </w:rPr>
        <w:t xml:space="preserve"> This dissipation of </w:t>
      </w:r>
      <w:r w:rsidRPr="006F29F5">
        <w:rPr>
          <w:rFonts w:cs="Times New Roman"/>
          <w:kern w:val="2"/>
          <w:sz w:val="20"/>
        </w:rPr>
        <w:t>assets can discourage originating countries from pursuing asset recovery proceedings.</w:t>
      </w:r>
    </w:p>
    <w:p w14:paraId="26D0958E" w14:textId="0641BC6F" w:rsidR="00345D53" w:rsidRPr="006F29F5" w:rsidRDefault="00345D53" w:rsidP="00C81ED8">
      <w:pPr>
        <w:rPr>
          <w:rFonts w:cs="Times New Roman"/>
          <w:kern w:val="2"/>
          <w:sz w:val="20"/>
        </w:rPr>
      </w:pPr>
      <w:r w:rsidRPr="006F29F5">
        <w:rPr>
          <w:rFonts w:cs="Times New Roman"/>
          <w:kern w:val="2"/>
          <w:sz w:val="20"/>
        </w:rPr>
        <w:t xml:space="preserve">Returned assets may be further reduced by asset sharing agreements with the requested country. As </w:t>
      </w:r>
      <w:r w:rsidR="00DD4E73" w:rsidRPr="006F29F5">
        <w:rPr>
          <w:rFonts w:cs="Times New Roman"/>
          <w:kern w:val="2"/>
          <w:sz w:val="20"/>
        </w:rPr>
        <w:t xml:space="preserve">Stephenson </w:t>
      </w:r>
      <w:r w:rsidRPr="006F29F5">
        <w:rPr>
          <w:rFonts w:cs="Times New Roman"/>
          <w:kern w:val="2"/>
          <w:sz w:val="20"/>
        </w:rPr>
        <w:t>point</w:t>
      </w:r>
      <w:r w:rsidR="00DD4E73" w:rsidRPr="006F29F5">
        <w:rPr>
          <w:rFonts w:cs="Times New Roman"/>
          <w:kern w:val="2"/>
          <w:sz w:val="20"/>
        </w:rPr>
        <w:t>s</w:t>
      </w:r>
      <w:r w:rsidRPr="006F29F5">
        <w:rPr>
          <w:rFonts w:cs="Times New Roman"/>
          <w:kern w:val="2"/>
          <w:sz w:val="20"/>
        </w:rPr>
        <w:t xml:space="preserve"> out</w:t>
      </w:r>
      <w:r w:rsidR="00F86134" w:rsidRPr="006F29F5">
        <w:rPr>
          <w:rFonts w:cs="Times New Roman"/>
          <w:kern w:val="2"/>
          <w:sz w:val="20"/>
        </w:rPr>
        <w:t>,</w:t>
      </w:r>
      <w:r w:rsidRPr="006F29F5">
        <w:rPr>
          <w:rFonts w:cs="Times New Roman"/>
          <w:kern w:val="2"/>
          <w:sz w:val="20"/>
        </w:rPr>
        <w:t xml:space="preserve"> although Article 57(5) of UNCAC requires states to enable the return of all confiscated property, Article 14(3</w:t>
      </w:r>
      <w:proofErr w:type="gramStart"/>
      <w:r w:rsidRPr="006F29F5">
        <w:rPr>
          <w:rFonts w:cs="Times New Roman"/>
          <w:kern w:val="2"/>
          <w:sz w:val="20"/>
        </w:rPr>
        <w:t>)(</w:t>
      </w:r>
      <w:proofErr w:type="gramEnd"/>
      <w:r w:rsidRPr="006F29F5">
        <w:rPr>
          <w:rFonts w:cs="Times New Roman"/>
          <w:kern w:val="2"/>
          <w:sz w:val="20"/>
        </w:rPr>
        <w:t>b) of UNTOC allows states to consider negotiating case-by-case asset sharing agreements.</w:t>
      </w:r>
      <w:r w:rsidR="0075732A" w:rsidRPr="006F29F5">
        <w:rPr>
          <w:rStyle w:val="FootnoteReference"/>
          <w:rFonts w:cs="Times New Roman"/>
          <w:kern w:val="2"/>
          <w:sz w:val="20"/>
        </w:rPr>
        <w:footnoteReference w:id="236"/>
      </w:r>
      <w:r w:rsidRPr="006F29F5">
        <w:rPr>
          <w:rFonts w:cs="Times New Roman"/>
          <w:kern w:val="2"/>
          <w:sz w:val="20"/>
        </w:rPr>
        <w:t xml:space="preserve"> Originating countries may lack the resources for these lengthy negotiations and may find themselves in a weak negotiating position since</w:t>
      </w:r>
      <w:r w:rsidR="0075732A" w:rsidRPr="006F29F5">
        <w:rPr>
          <w:rFonts w:cs="Times New Roman"/>
          <w:kern w:val="2"/>
          <w:sz w:val="20"/>
        </w:rPr>
        <w:t xml:space="preserve"> the requested country has</w:t>
      </w:r>
      <w:r w:rsidRPr="006F29F5">
        <w:rPr>
          <w:rFonts w:cs="Times New Roman"/>
          <w:kern w:val="2"/>
          <w:sz w:val="20"/>
        </w:rPr>
        <w:t xml:space="preserve"> custody of the confiscated assets. </w:t>
      </w:r>
    </w:p>
    <w:p w14:paraId="46149DB7" w14:textId="4C345D28" w:rsidR="00787E8D" w:rsidRPr="006F29F5" w:rsidRDefault="00253BBB" w:rsidP="00F92C49">
      <w:pPr>
        <w:rPr>
          <w:rFonts w:cs="Times New Roman"/>
          <w:kern w:val="2"/>
          <w:sz w:val="20"/>
        </w:rPr>
      </w:pPr>
      <w:r w:rsidRPr="006F29F5">
        <w:rPr>
          <w:rFonts w:cs="Times New Roman"/>
          <w:kern w:val="2"/>
          <w:sz w:val="20"/>
        </w:rPr>
        <w:t xml:space="preserve">The authors of </w:t>
      </w:r>
      <w:r w:rsidRPr="006F29F5">
        <w:rPr>
          <w:rFonts w:cs="Times New Roman"/>
          <w:i/>
          <w:kern w:val="2"/>
          <w:sz w:val="20"/>
        </w:rPr>
        <w:t xml:space="preserve">Barriers to Asset Recovery </w:t>
      </w:r>
      <w:r w:rsidRPr="006F29F5">
        <w:rPr>
          <w:rFonts w:cs="Times New Roman"/>
          <w:kern w:val="2"/>
          <w:sz w:val="20"/>
        </w:rPr>
        <w:t>also point out that inadequate enforcement of AML measures, particularly regulation of gateways into financial centres, prevents the interception of stolen assets.</w:t>
      </w:r>
      <w:r w:rsidRPr="006F29F5">
        <w:rPr>
          <w:rStyle w:val="FootnoteReference"/>
          <w:rFonts w:cs="Times New Roman"/>
          <w:kern w:val="2"/>
          <w:sz w:val="20"/>
        </w:rPr>
        <w:footnoteReference w:id="237"/>
      </w:r>
      <w:r w:rsidR="00F92C49" w:rsidRPr="006F29F5">
        <w:rPr>
          <w:rFonts w:cs="Times New Roman"/>
          <w:kern w:val="2"/>
          <w:sz w:val="20"/>
        </w:rPr>
        <w:t xml:space="preserve"> </w:t>
      </w:r>
      <w:r w:rsidR="00AD077E" w:rsidRPr="006F29F5">
        <w:rPr>
          <w:rFonts w:cs="Times New Roman"/>
          <w:kern w:val="2"/>
          <w:sz w:val="20"/>
        </w:rPr>
        <w:t xml:space="preserve">In the </w:t>
      </w:r>
      <w:proofErr w:type="spellStart"/>
      <w:r w:rsidR="00AD077E" w:rsidRPr="006F29F5">
        <w:rPr>
          <w:rFonts w:cs="Times New Roman"/>
          <w:kern w:val="2"/>
          <w:sz w:val="20"/>
        </w:rPr>
        <w:t>StAR</w:t>
      </w:r>
      <w:proofErr w:type="spellEnd"/>
      <w:r w:rsidR="00AD077E" w:rsidRPr="006F29F5">
        <w:rPr>
          <w:rFonts w:cs="Times New Roman"/>
          <w:kern w:val="2"/>
          <w:sz w:val="20"/>
        </w:rPr>
        <w:t xml:space="preserve"> publication </w:t>
      </w:r>
      <w:r w:rsidR="00AD077E" w:rsidRPr="006F29F5">
        <w:rPr>
          <w:rFonts w:cs="Times New Roman"/>
          <w:i/>
          <w:kern w:val="2"/>
          <w:sz w:val="20"/>
        </w:rPr>
        <w:t>Left out of the Bargain: Settlements in Foreign Bribery Cases and Implications for Asset Recovery</w:t>
      </w:r>
      <w:r w:rsidR="00AD077E" w:rsidRPr="006F29F5">
        <w:rPr>
          <w:rFonts w:cs="Times New Roman"/>
          <w:kern w:val="2"/>
          <w:sz w:val="20"/>
        </w:rPr>
        <w:t xml:space="preserve">, the </w:t>
      </w:r>
      <w:r w:rsidR="00305D44" w:rsidRPr="006F29F5">
        <w:rPr>
          <w:rFonts w:cs="Times New Roman"/>
          <w:kern w:val="2"/>
          <w:sz w:val="20"/>
        </w:rPr>
        <w:t xml:space="preserve">authors outline </w:t>
      </w:r>
      <w:r w:rsidR="00AD077E" w:rsidRPr="006F29F5">
        <w:rPr>
          <w:rFonts w:cs="Times New Roman"/>
          <w:kern w:val="2"/>
          <w:sz w:val="20"/>
        </w:rPr>
        <w:t>asset recovery challenges resulting from the increasingly dominant use of settlements, as opposed to full trials, in foreign bribery cases.</w:t>
      </w:r>
      <w:r w:rsidR="002402BB" w:rsidRPr="006F29F5">
        <w:rPr>
          <w:rStyle w:val="FootnoteReference"/>
          <w:rFonts w:cs="Times New Roman"/>
          <w:kern w:val="2"/>
          <w:sz w:val="20"/>
        </w:rPr>
        <w:footnoteReference w:id="238"/>
      </w:r>
      <w:r w:rsidR="00AD077E" w:rsidRPr="006F29F5">
        <w:rPr>
          <w:rFonts w:cs="Times New Roman"/>
          <w:kern w:val="2"/>
          <w:sz w:val="20"/>
        </w:rPr>
        <w:t xml:space="preserve"> </w:t>
      </w:r>
      <w:r w:rsidR="004E26CE" w:rsidRPr="006F29F5">
        <w:rPr>
          <w:rFonts w:cs="Times New Roman"/>
          <w:kern w:val="2"/>
          <w:sz w:val="20"/>
        </w:rPr>
        <w:t>In 365 settlements bet</w:t>
      </w:r>
      <w:r w:rsidR="00AD077E" w:rsidRPr="006F29F5">
        <w:rPr>
          <w:rFonts w:cs="Times New Roman"/>
          <w:kern w:val="2"/>
          <w:sz w:val="20"/>
        </w:rPr>
        <w:t xml:space="preserve">ween 1999 and mid-2012, </w:t>
      </w:r>
      <w:r w:rsidR="0009165C" w:rsidRPr="006F29F5">
        <w:rPr>
          <w:rFonts w:cs="Times New Roman"/>
          <w:kern w:val="2"/>
          <w:sz w:val="20"/>
        </w:rPr>
        <w:t xml:space="preserve">sanctions amounting to </w:t>
      </w:r>
      <w:r w:rsidR="00AD077E" w:rsidRPr="006F29F5">
        <w:rPr>
          <w:rFonts w:cs="Times New Roman"/>
          <w:kern w:val="2"/>
          <w:sz w:val="20"/>
        </w:rPr>
        <w:t xml:space="preserve">$6 billion </w:t>
      </w:r>
      <w:r w:rsidR="0009165C" w:rsidRPr="006F29F5">
        <w:rPr>
          <w:rFonts w:cs="Times New Roman"/>
          <w:kern w:val="2"/>
          <w:sz w:val="20"/>
        </w:rPr>
        <w:t>were</w:t>
      </w:r>
      <w:r w:rsidR="00AD077E" w:rsidRPr="006F29F5">
        <w:rPr>
          <w:rFonts w:cs="Times New Roman"/>
          <w:kern w:val="2"/>
          <w:sz w:val="20"/>
        </w:rPr>
        <w:t xml:space="preserve"> impo</w:t>
      </w:r>
      <w:r w:rsidR="00505D82" w:rsidRPr="006F29F5">
        <w:rPr>
          <w:rFonts w:cs="Times New Roman"/>
          <w:kern w:val="2"/>
          <w:sz w:val="20"/>
        </w:rPr>
        <w:t xml:space="preserve">sed by countries other than </w:t>
      </w:r>
      <w:r w:rsidR="00AD077E" w:rsidRPr="006F29F5">
        <w:rPr>
          <w:rFonts w:cs="Times New Roman"/>
          <w:kern w:val="2"/>
          <w:sz w:val="20"/>
        </w:rPr>
        <w:t>the corrupt official</w:t>
      </w:r>
      <w:r w:rsidR="00505D82" w:rsidRPr="006F29F5">
        <w:rPr>
          <w:rFonts w:cs="Times New Roman"/>
          <w:kern w:val="2"/>
          <w:sz w:val="20"/>
        </w:rPr>
        <w:t>’s country</w:t>
      </w:r>
      <w:r w:rsidR="00AD077E" w:rsidRPr="006F29F5">
        <w:rPr>
          <w:rFonts w:cs="Times New Roman"/>
          <w:kern w:val="2"/>
          <w:sz w:val="20"/>
        </w:rPr>
        <w:t xml:space="preserve">. Of that $6 billion, only $197 million (3.3%) was returned </w:t>
      </w:r>
      <w:r w:rsidR="0009165C" w:rsidRPr="006F29F5">
        <w:rPr>
          <w:rFonts w:cs="Times New Roman"/>
          <w:kern w:val="2"/>
          <w:sz w:val="20"/>
        </w:rPr>
        <w:t>to the corrupt official’</w:t>
      </w:r>
      <w:r w:rsidR="004E26CE" w:rsidRPr="006F29F5">
        <w:rPr>
          <w:rFonts w:cs="Times New Roman"/>
          <w:kern w:val="2"/>
          <w:sz w:val="20"/>
        </w:rPr>
        <w:t xml:space="preserve">s country. </w:t>
      </w:r>
      <w:r w:rsidR="00D9110D" w:rsidRPr="006F29F5">
        <w:rPr>
          <w:rFonts w:cs="Times New Roman"/>
          <w:color w:val="000000" w:themeColor="text1"/>
          <w:kern w:val="2"/>
          <w:sz w:val="20"/>
        </w:rPr>
        <w:t>Between mid-2012 and the end of April 2016, monetary sanctions totalling $4 billion were imposed, but only $7 million (0.18%) was returned to the corrupt official’s country.</w:t>
      </w:r>
      <w:r w:rsidR="00D9110D" w:rsidRPr="006F29F5">
        <w:rPr>
          <w:rStyle w:val="FootnoteReference"/>
          <w:rFonts w:cs="Times New Roman"/>
          <w:color w:val="000000" w:themeColor="text1"/>
          <w:kern w:val="2"/>
          <w:sz w:val="20"/>
        </w:rPr>
        <w:footnoteReference w:id="239"/>
      </w:r>
      <w:r w:rsidR="00D9110D" w:rsidRPr="006F29F5">
        <w:rPr>
          <w:rFonts w:cs="Times New Roman"/>
          <w:color w:val="000000" w:themeColor="text1"/>
          <w:kern w:val="2"/>
          <w:sz w:val="20"/>
        </w:rPr>
        <w:t xml:space="preserve"> </w:t>
      </w:r>
      <w:r w:rsidR="000821F3" w:rsidRPr="006F29F5">
        <w:rPr>
          <w:rFonts w:cs="Times New Roman"/>
          <w:color w:val="000000" w:themeColor="text1"/>
          <w:kern w:val="2"/>
          <w:sz w:val="20"/>
        </w:rPr>
        <w:t>That pitiful figure arose from just one case in which a settlement</w:t>
      </w:r>
      <w:r w:rsidR="00D9110D" w:rsidRPr="006F29F5">
        <w:rPr>
          <w:rFonts w:cs="Times New Roman"/>
          <w:color w:val="000000" w:themeColor="text1"/>
          <w:kern w:val="2"/>
          <w:sz w:val="20"/>
        </w:rPr>
        <w:t xml:space="preserve"> (a deferred prosecution agreement) was entered into by the Serious Fraud Office of the </w:t>
      </w:r>
      <w:r w:rsidR="00A7235F" w:rsidRPr="006F29F5">
        <w:rPr>
          <w:rFonts w:cs="Times New Roman"/>
          <w:color w:val="000000" w:themeColor="text1"/>
          <w:kern w:val="2"/>
          <w:sz w:val="20"/>
        </w:rPr>
        <w:t>UK</w:t>
      </w:r>
      <w:r w:rsidR="00D9110D" w:rsidRPr="006F29F5">
        <w:rPr>
          <w:rFonts w:cs="Times New Roman"/>
          <w:color w:val="000000" w:themeColor="text1"/>
          <w:kern w:val="2"/>
          <w:sz w:val="20"/>
        </w:rPr>
        <w:t xml:space="preserve"> and Standard Bank in November 2015 and required the latter to pay $6 million in compensation and $1 million in interest to Tanzania.</w:t>
      </w:r>
      <w:r w:rsidR="00D9110D" w:rsidRPr="006F29F5">
        <w:rPr>
          <w:rStyle w:val="FootnoteReference"/>
          <w:rFonts w:cs="Times New Roman"/>
          <w:color w:val="000000" w:themeColor="text1"/>
          <w:kern w:val="2"/>
          <w:sz w:val="20"/>
        </w:rPr>
        <w:footnoteReference w:id="240"/>
      </w:r>
      <w:r w:rsidR="00D9110D" w:rsidRPr="006F29F5">
        <w:rPr>
          <w:rFonts w:cs="Times New Roman"/>
          <w:color w:val="000000" w:themeColor="text1"/>
          <w:kern w:val="2"/>
          <w:sz w:val="20"/>
        </w:rPr>
        <w:t xml:space="preserve"> Also, between 1999 and mid-2012, roughly $556 million was</w:t>
      </w:r>
      <w:r w:rsidR="00D9110D" w:rsidRPr="006F29F5">
        <w:rPr>
          <w:rFonts w:cs="Times New Roman"/>
          <w:color w:val="000000" w:themeColor="text1"/>
          <w:kern w:val="2"/>
          <w:sz w:val="20"/>
          <w:lang w:val="ru-RU"/>
        </w:rPr>
        <w:t xml:space="preserve"> </w:t>
      </w:r>
      <w:r w:rsidR="00D9110D" w:rsidRPr="006F29F5">
        <w:rPr>
          <w:rFonts w:cs="Times New Roman"/>
          <w:color w:val="000000" w:themeColor="text1"/>
          <w:kern w:val="2"/>
          <w:sz w:val="20"/>
        </w:rPr>
        <w:t>returned or ordered returned in cases where the jurisdiction of enforcement and the jurisdiction of the corrupt foreign officials were the same, whereas between mid-2012 and the end of April 2016 this sum amounted to just $137,325.</w:t>
      </w:r>
      <w:r w:rsidR="00D9110D" w:rsidRPr="006F29F5">
        <w:rPr>
          <w:rStyle w:val="FootnoteReference"/>
          <w:rFonts w:cs="Times New Roman"/>
          <w:color w:val="000000" w:themeColor="text1"/>
          <w:kern w:val="2"/>
          <w:sz w:val="20"/>
        </w:rPr>
        <w:footnoteReference w:id="241"/>
      </w:r>
      <w:r w:rsidR="00D9110D" w:rsidRPr="006F29F5">
        <w:rPr>
          <w:rFonts w:cs="Times New Roman"/>
          <w:color w:val="000000" w:themeColor="text1"/>
          <w:kern w:val="2"/>
          <w:sz w:val="20"/>
        </w:rPr>
        <w:t xml:space="preserve"> It is worth mentioning that since April 2014 the Office of the Attorney General of Switzerland (OAG) has opened some 60 investigations in relation to the Petrobras corruption scandal, resulting in $800 million in assets being frozen, and in March 2016 the OAG announced that $70 million of frozen assets </w:t>
      </w:r>
      <w:r w:rsidR="00C35351" w:rsidRPr="006F29F5">
        <w:rPr>
          <w:rFonts w:cs="Times New Roman"/>
          <w:color w:val="000000" w:themeColor="text1"/>
          <w:kern w:val="2"/>
          <w:sz w:val="20"/>
        </w:rPr>
        <w:t xml:space="preserve">were </w:t>
      </w:r>
      <w:r w:rsidR="00D9110D" w:rsidRPr="006F29F5">
        <w:rPr>
          <w:rFonts w:cs="Times New Roman"/>
          <w:color w:val="000000" w:themeColor="text1"/>
          <w:kern w:val="2"/>
          <w:sz w:val="20"/>
        </w:rPr>
        <w:t>to be unblocked and returned to Brazil.</w:t>
      </w:r>
      <w:r w:rsidR="00D9110D" w:rsidRPr="006F29F5">
        <w:rPr>
          <w:rStyle w:val="FootnoteReference"/>
          <w:rFonts w:cs="Times New Roman"/>
          <w:color w:val="000000" w:themeColor="text1"/>
          <w:kern w:val="2"/>
          <w:sz w:val="20"/>
        </w:rPr>
        <w:footnoteReference w:id="242"/>
      </w:r>
      <w:r w:rsidR="00D9110D" w:rsidRPr="006F29F5">
        <w:rPr>
          <w:rFonts w:cs="Times New Roman"/>
          <w:color w:val="000000" w:themeColor="text1"/>
          <w:kern w:val="2"/>
          <w:sz w:val="20"/>
        </w:rPr>
        <w:t xml:space="preserve"> </w:t>
      </w:r>
    </w:p>
    <w:p w14:paraId="511C28F7" w14:textId="58ED9E22" w:rsidR="00AD077E" w:rsidRPr="006F29F5" w:rsidRDefault="004E26CE" w:rsidP="00D9110D">
      <w:pPr>
        <w:rPr>
          <w:rFonts w:cs="Times New Roman"/>
          <w:kern w:val="2"/>
          <w:sz w:val="20"/>
        </w:rPr>
      </w:pPr>
      <w:r w:rsidRPr="006F29F5">
        <w:rPr>
          <w:rFonts w:cs="Times New Roman"/>
          <w:kern w:val="2"/>
          <w:sz w:val="20"/>
        </w:rPr>
        <w:t>According to t</w:t>
      </w:r>
      <w:r w:rsidR="0009165C" w:rsidRPr="006F29F5">
        <w:rPr>
          <w:rFonts w:cs="Times New Roman"/>
          <w:kern w:val="2"/>
          <w:sz w:val="20"/>
        </w:rPr>
        <w:t xml:space="preserve">he authors of </w:t>
      </w:r>
      <w:r w:rsidR="0009165C" w:rsidRPr="006F29F5">
        <w:rPr>
          <w:rFonts w:cs="Times New Roman"/>
          <w:i/>
          <w:kern w:val="2"/>
          <w:sz w:val="20"/>
        </w:rPr>
        <w:t>Left out of the Bargain</w:t>
      </w:r>
      <w:r w:rsidRPr="006F29F5">
        <w:rPr>
          <w:rFonts w:cs="Times New Roman"/>
          <w:kern w:val="2"/>
          <w:sz w:val="20"/>
        </w:rPr>
        <w:t>, settlements are often lacking in transparency with negotiations taking place behi</w:t>
      </w:r>
      <w:r w:rsidR="003968DB" w:rsidRPr="006F29F5">
        <w:rPr>
          <w:rFonts w:cs="Times New Roman"/>
          <w:kern w:val="2"/>
          <w:sz w:val="20"/>
        </w:rPr>
        <w:t xml:space="preserve">nd closed doors. Further, affected </w:t>
      </w:r>
      <w:r w:rsidRPr="006F29F5">
        <w:rPr>
          <w:rFonts w:cs="Times New Roman"/>
          <w:kern w:val="2"/>
          <w:sz w:val="20"/>
        </w:rPr>
        <w:t>coun</w:t>
      </w:r>
      <w:r w:rsidR="003968DB" w:rsidRPr="006F29F5">
        <w:rPr>
          <w:rFonts w:cs="Times New Roman"/>
          <w:kern w:val="2"/>
          <w:sz w:val="20"/>
        </w:rPr>
        <w:t>tries are often unaware of ongoing cases</w:t>
      </w:r>
      <w:r w:rsidRPr="006F29F5">
        <w:rPr>
          <w:rFonts w:cs="Times New Roman"/>
          <w:kern w:val="2"/>
          <w:sz w:val="20"/>
        </w:rPr>
        <w:t xml:space="preserve"> </w:t>
      </w:r>
      <w:r w:rsidR="003968DB" w:rsidRPr="006F29F5">
        <w:rPr>
          <w:rFonts w:cs="Times New Roman"/>
          <w:kern w:val="2"/>
          <w:sz w:val="20"/>
        </w:rPr>
        <w:t xml:space="preserve">in other countries </w:t>
      </w:r>
      <w:r w:rsidRPr="006F29F5">
        <w:rPr>
          <w:rFonts w:cs="Times New Roman"/>
          <w:kern w:val="2"/>
          <w:sz w:val="20"/>
        </w:rPr>
        <w:t xml:space="preserve">until they are over. Even when </w:t>
      </w:r>
      <w:r w:rsidR="003968DB" w:rsidRPr="006F29F5">
        <w:rPr>
          <w:rFonts w:cs="Times New Roman"/>
          <w:kern w:val="2"/>
          <w:sz w:val="20"/>
        </w:rPr>
        <w:t>affected countries have the opportunity to participate in negotiations elsewhere</w:t>
      </w:r>
      <w:r w:rsidRPr="006F29F5">
        <w:rPr>
          <w:rFonts w:cs="Times New Roman"/>
          <w:i/>
          <w:kern w:val="2"/>
          <w:sz w:val="20"/>
        </w:rPr>
        <w:t>,</w:t>
      </w:r>
      <w:r w:rsidR="003968DB" w:rsidRPr="006F29F5">
        <w:rPr>
          <w:rFonts w:cs="Times New Roman"/>
          <w:i/>
          <w:kern w:val="2"/>
          <w:sz w:val="20"/>
        </w:rPr>
        <w:t xml:space="preserve"> </w:t>
      </w:r>
      <w:r w:rsidR="003968DB" w:rsidRPr="006F29F5">
        <w:rPr>
          <w:rFonts w:cs="Times New Roman"/>
          <w:kern w:val="2"/>
          <w:sz w:val="20"/>
        </w:rPr>
        <w:t xml:space="preserve">for example as a </w:t>
      </w:r>
      <w:proofErr w:type="spellStart"/>
      <w:r w:rsidR="003968DB" w:rsidRPr="006F29F5">
        <w:rPr>
          <w:rFonts w:cs="Times New Roman"/>
          <w:i/>
          <w:kern w:val="2"/>
          <w:sz w:val="20"/>
        </w:rPr>
        <w:t>partie</w:t>
      </w:r>
      <w:proofErr w:type="spellEnd"/>
      <w:r w:rsidR="003968DB" w:rsidRPr="006F29F5">
        <w:rPr>
          <w:rFonts w:cs="Times New Roman"/>
          <w:i/>
          <w:kern w:val="2"/>
          <w:sz w:val="20"/>
        </w:rPr>
        <w:t xml:space="preserve"> </w:t>
      </w:r>
      <w:proofErr w:type="spellStart"/>
      <w:r w:rsidR="003968DB" w:rsidRPr="006F29F5">
        <w:rPr>
          <w:rFonts w:cs="Times New Roman"/>
          <w:i/>
          <w:kern w:val="2"/>
          <w:sz w:val="20"/>
        </w:rPr>
        <w:t>civile</w:t>
      </w:r>
      <w:proofErr w:type="spellEnd"/>
      <w:r w:rsidR="003968DB" w:rsidRPr="006F29F5">
        <w:rPr>
          <w:rFonts w:cs="Times New Roman"/>
          <w:i/>
          <w:kern w:val="2"/>
          <w:sz w:val="20"/>
        </w:rPr>
        <w:t>,</w:t>
      </w:r>
      <w:r w:rsidRPr="006F29F5">
        <w:rPr>
          <w:rFonts w:cs="Times New Roman"/>
          <w:i/>
          <w:kern w:val="2"/>
          <w:sz w:val="20"/>
        </w:rPr>
        <w:t xml:space="preserve"> </w:t>
      </w:r>
      <w:r w:rsidR="003968DB" w:rsidRPr="006F29F5">
        <w:rPr>
          <w:rFonts w:cs="Times New Roman"/>
          <w:kern w:val="2"/>
          <w:sz w:val="20"/>
        </w:rPr>
        <w:t>they</w:t>
      </w:r>
      <w:r w:rsidRPr="006F29F5">
        <w:rPr>
          <w:rFonts w:cs="Times New Roman"/>
          <w:kern w:val="2"/>
          <w:sz w:val="20"/>
        </w:rPr>
        <w:t xml:space="preserve"> often lack the resources and knowledge of other legal systems </w:t>
      </w:r>
      <w:r w:rsidR="00305D44" w:rsidRPr="006F29F5">
        <w:rPr>
          <w:rFonts w:cs="Times New Roman"/>
          <w:kern w:val="2"/>
          <w:sz w:val="20"/>
        </w:rPr>
        <w:t>to follow through</w:t>
      </w:r>
      <w:r w:rsidR="003968DB" w:rsidRPr="006F29F5">
        <w:rPr>
          <w:rFonts w:cs="Times New Roman"/>
          <w:kern w:val="2"/>
          <w:sz w:val="20"/>
        </w:rPr>
        <w:t>.</w:t>
      </w:r>
      <w:r w:rsidR="003A14A6" w:rsidRPr="006F29F5">
        <w:rPr>
          <w:rFonts w:cs="Times New Roman"/>
          <w:kern w:val="2"/>
          <w:sz w:val="20"/>
        </w:rPr>
        <w:t xml:space="preserve"> The autho</w:t>
      </w:r>
      <w:r w:rsidR="00305D44" w:rsidRPr="006F29F5">
        <w:rPr>
          <w:rFonts w:cs="Times New Roman"/>
          <w:kern w:val="2"/>
          <w:sz w:val="20"/>
        </w:rPr>
        <w:t>rs suggest that countries pursuing settlements inform affected countries of the facts of the case and legal avenues to asset recovery, such as seeking a restitution order.</w:t>
      </w:r>
      <w:r w:rsidR="00E738AC" w:rsidRPr="006F29F5">
        <w:rPr>
          <w:rStyle w:val="FootnoteReference"/>
          <w:rFonts w:cs="Times New Roman"/>
          <w:kern w:val="2"/>
          <w:sz w:val="20"/>
        </w:rPr>
        <w:footnoteReference w:id="243"/>
      </w:r>
      <w:r w:rsidR="0018117E" w:rsidRPr="006F29F5">
        <w:rPr>
          <w:rFonts w:cs="Times New Roman"/>
          <w:kern w:val="2"/>
          <w:sz w:val="20"/>
        </w:rPr>
        <w:t xml:space="preserve"> As</w:t>
      </w:r>
      <w:r w:rsidR="008E3B04" w:rsidRPr="006F29F5">
        <w:rPr>
          <w:rFonts w:cs="Times New Roman"/>
          <w:kern w:val="2"/>
          <w:sz w:val="20"/>
        </w:rPr>
        <w:t xml:space="preserve"> mentioned above </w:t>
      </w:r>
      <w:r w:rsidR="008E3B04" w:rsidRPr="006F29F5">
        <w:rPr>
          <w:rFonts w:cs="Times New Roman"/>
          <w:color w:val="000000" w:themeColor="text1"/>
          <w:kern w:val="2"/>
          <w:sz w:val="20"/>
        </w:rPr>
        <w:t>in Section</w:t>
      </w:r>
      <w:r w:rsidR="00505D82" w:rsidRPr="006F29F5">
        <w:rPr>
          <w:rFonts w:cs="Times New Roman"/>
          <w:color w:val="000000" w:themeColor="text1"/>
          <w:kern w:val="2"/>
          <w:sz w:val="20"/>
        </w:rPr>
        <w:t xml:space="preserve"> </w:t>
      </w:r>
      <w:r w:rsidR="00505D82" w:rsidRPr="006F29F5">
        <w:rPr>
          <w:rFonts w:cs="Times New Roman"/>
          <w:kern w:val="2"/>
          <w:sz w:val="20"/>
        </w:rPr>
        <w:t>2.1.2</w:t>
      </w:r>
      <w:r w:rsidR="00FA5869" w:rsidRPr="006F29F5">
        <w:rPr>
          <w:rFonts w:cs="Times New Roman"/>
          <w:kern w:val="2"/>
          <w:sz w:val="20"/>
        </w:rPr>
        <w:t>,</w:t>
      </w:r>
      <w:r w:rsidR="00505D82" w:rsidRPr="006F29F5">
        <w:rPr>
          <w:rFonts w:cs="Times New Roman"/>
          <w:kern w:val="2"/>
          <w:sz w:val="20"/>
        </w:rPr>
        <w:t xml:space="preserve"> i</w:t>
      </w:r>
      <w:r w:rsidR="0018117E" w:rsidRPr="006F29F5">
        <w:rPr>
          <w:rFonts w:cs="Times New Roman"/>
          <w:kern w:val="2"/>
          <w:sz w:val="20"/>
        </w:rPr>
        <w:t>n</w:t>
      </w:r>
      <w:r w:rsidR="00505D82" w:rsidRPr="006F29F5">
        <w:rPr>
          <w:rFonts w:cs="Times New Roman"/>
          <w:kern w:val="2"/>
          <w:sz w:val="20"/>
        </w:rPr>
        <w:t xml:space="preserve"> relation to</w:t>
      </w:r>
      <w:r w:rsidR="0018117E" w:rsidRPr="006F29F5">
        <w:rPr>
          <w:rFonts w:cs="Times New Roman"/>
          <w:kern w:val="2"/>
          <w:sz w:val="20"/>
        </w:rPr>
        <w:t xml:space="preserve"> the BOTA Foundation</w:t>
      </w:r>
      <w:r w:rsidR="00505D82" w:rsidRPr="006F29F5">
        <w:rPr>
          <w:rFonts w:cs="Times New Roman"/>
          <w:kern w:val="2"/>
          <w:sz w:val="20"/>
        </w:rPr>
        <w:t>,</w:t>
      </w:r>
      <w:r w:rsidR="0018117E" w:rsidRPr="006F29F5">
        <w:rPr>
          <w:rFonts w:cs="Times New Roman"/>
          <w:kern w:val="2"/>
          <w:sz w:val="20"/>
        </w:rPr>
        <w:t xml:space="preserve"> </w:t>
      </w:r>
      <w:proofErr w:type="spellStart"/>
      <w:r w:rsidR="0018117E" w:rsidRPr="006F29F5">
        <w:rPr>
          <w:rFonts w:cs="Times New Roman"/>
          <w:kern w:val="2"/>
          <w:sz w:val="20"/>
        </w:rPr>
        <w:t>StAR</w:t>
      </w:r>
      <w:proofErr w:type="spellEnd"/>
      <w:r w:rsidR="0018117E" w:rsidRPr="006F29F5">
        <w:rPr>
          <w:rFonts w:cs="Times New Roman"/>
          <w:kern w:val="2"/>
          <w:sz w:val="20"/>
        </w:rPr>
        <w:t xml:space="preserve"> also recommends that </w:t>
      </w:r>
      <w:r w:rsidR="003F2D38" w:rsidRPr="006F29F5">
        <w:rPr>
          <w:rFonts w:cs="Times New Roman"/>
          <w:kern w:val="2"/>
          <w:sz w:val="20"/>
        </w:rPr>
        <w:t>S</w:t>
      </w:r>
      <w:r w:rsidR="0018117E" w:rsidRPr="006F29F5">
        <w:rPr>
          <w:rFonts w:cs="Times New Roman"/>
          <w:kern w:val="2"/>
          <w:sz w:val="20"/>
        </w:rPr>
        <w:t xml:space="preserve">tates permit third parties to be included in settlement agreements in foreign bribery cases. </w:t>
      </w:r>
    </w:p>
    <w:p w14:paraId="71B5B4F0" w14:textId="4FFDE016" w:rsidR="00E26465" w:rsidRPr="006F29F5" w:rsidRDefault="00345D53" w:rsidP="00241EE6">
      <w:pPr>
        <w:rPr>
          <w:rFonts w:cs="Times New Roman"/>
          <w:kern w:val="2"/>
          <w:sz w:val="20"/>
        </w:rPr>
      </w:pPr>
      <w:r w:rsidRPr="006F29F5">
        <w:rPr>
          <w:rFonts w:cs="Times New Roman"/>
          <w:kern w:val="2"/>
          <w:sz w:val="20"/>
        </w:rPr>
        <w:t xml:space="preserve">Finally, the desire to respect civil liberties presents another obstacle to crafting effective asset recovery regimes. As explained </w:t>
      </w:r>
      <w:r w:rsidR="008C60EC" w:rsidRPr="006F29F5">
        <w:rPr>
          <w:rFonts w:cs="Times New Roman"/>
          <w:kern w:val="2"/>
          <w:sz w:val="20"/>
        </w:rPr>
        <w:t xml:space="preserve">by </w:t>
      </w:r>
      <w:proofErr w:type="spellStart"/>
      <w:r w:rsidRPr="006F29F5">
        <w:rPr>
          <w:rFonts w:cs="Times New Roman"/>
          <w:kern w:val="2"/>
          <w:sz w:val="20"/>
        </w:rPr>
        <w:t>Bacio-Terrancino</w:t>
      </w:r>
      <w:proofErr w:type="spellEnd"/>
      <w:r w:rsidRPr="006F29F5">
        <w:rPr>
          <w:rFonts w:cs="Times New Roman"/>
          <w:kern w:val="2"/>
          <w:sz w:val="20"/>
        </w:rPr>
        <w:t xml:space="preserve">, asset recovery initiatives have the potential to infringe property rights and the presumption of innocence, as well as rights to privacy and a fair trial </w:t>
      </w:r>
      <w:r w:rsidR="0075732A" w:rsidRPr="006F29F5">
        <w:rPr>
          <w:rFonts w:cs="Times New Roman"/>
          <w:kern w:val="2"/>
          <w:sz w:val="20"/>
        </w:rPr>
        <w:t>during</w:t>
      </w:r>
      <w:r w:rsidRPr="006F29F5">
        <w:rPr>
          <w:rFonts w:cs="Times New Roman"/>
          <w:kern w:val="2"/>
          <w:sz w:val="20"/>
        </w:rPr>
        <w:t xml:space="preserve"> investigation and other rights in relation to the offence of illicit enrichment (see below).</w:t>
      </w:r>
      <w:r w:rsidRPr="006F29F5">
        <w:rPr>
          <w:rStyle w:val="FootnoteReference"/>
          <w:rFonts w:cs="Times New Roman"/>
          <w:kern w:val="2"/>
          <w:sz w:val="20"/>
        </w:rPr>
        <w:footnoteReference w:id="244"/>
      </w:r>
      <w:r w:rsidRPr="006F29F5">
        <w:rPr>
          <w:rFonts w:cs="Times New Roman"/>
          <w:kern w:val="2"/>
          <w:sz w:val="20"/>
        </w:rPr>
        <w:t xml:space="preserve"> </w:t>
      </w:r>
    </w:p>
    <w:tbl>
      <w:tblPr>
        <w:tblStyle w:val="TableGrid"/>
        <w:tblW w:w="0" w:type="auto"/>
        <w:tblCellMar>
          <w:top w:w="142" w:type="dxa"/>
          <w:left w:w="284" w:type="dxa"/>
          <w:bottom w:w="142" w:type="dxa"/>
          <w:right w:w="284" w:type="dxa"/>
        </w:tblCellMar>
        <w:tblLook w:val="04A0" w:firstRow="1" w:lastRow="0" w:firstColumn="1" w:lastColumn="0" w:noHBand="0" w:noVBand="1"/>
      </w:tblPr>
      <w:tblGrid>
        <w:gridCol w:w="8070"/>
      </w:tblGrid>
      <w:tr w:rsidR="00E26465" w:rsidRPr="006F29F5" w14:paraId="35228EA6" w14:textId="77777777" w:rsidTr="00E26465">
        <w:tc>
          <w:tcPr>
            <w:tcW w:w="9350" w:type="dxa"/>
          </w:tcPr>
          <w:p w14:paraId="1AB733D1" w14:textId="77777777" w:rsidR="00E26465" w:rsidRPr="006F29F5" w:rsidRDefault="00E26465" w:rsidP="00E26465">
            <w:pPr>
              <w:spacing w:before="120" w:after="120"/>
              <w:rPr>
                <w:rFonts w:cs="Times New Roman"/>
                <w:b/>
                <w:kern w:val="2"/>
                <w:sz w:val="20"/>
              </w:rPr>
            </w:pPr>
            <w:r w:rsidRPr="006F29F5">
              <w:rPr>
                <w:rFonts w:cs="Times New Roman"/>
                <w:b/>
                <w:kern w:val="2"/>
                <w:sz w:val="20"/>
              </w:rPr>
              <w:t>Further Reading</w:t>
            </w:r>
          </w:p>
          <w:p w14:paraId="014B9B51" w14:textId="4B9996A5" w:rsidR="00E26465" w:rsidRPr="006F29F5" w:rsidRDefault="00E26465" w:rsidP="00E26465">
            <w:pPr>
              <w:spacing w:before="120" w:after="120"/>
              <w:rPr>
                <w:rFonts w:cs="Times New Roman"/>
                <w:kern w:val="2"/>
                <w:sz w:val="20"/>
              </w:rPr>
            </w:pPr>
            <w:r w:rsidRPr="006F29F5">
              <w:rPr>
                <w:rFonts w:cs="Times New Roman"/>
                <w:kern w:val="2"/>
                <w:sz w:val="20"/>
              </w:rPr>
              <w:t xml:space="preserve">For a discussion of potential issues regarding the right to a fair trial in transnational asset recovery proceedings, see </w:t>
            </w:r>
            <w:proofErr w:type="spellStart"/>
            <w:r w:rsidRPr="006F29F5">
              <w:rPr>
                <w:rFonts w:cs="Times New Roman"/>
                <w:kern w:val="2"/>
                <w:sz w:val="20"/>
              </w:rPr>
              <w:t>Radha</w:t>
            </w:r>
            <w:proofErr w:type="spellEnd"/>
            <w:r w:rsidRPr="006F29F5">
              <w:rPr>
                <w:rFonts w:cs="Times New Roman"/>
                <w:kern w:val="2"/>
                <w:sz w:val="20"/>
              </w:rPr>
              <w:t xml:space="preserve"> Dawn Ivory, </w:t>
            </w:r>
            <w:r w:rsidR="00CC1E13" w:rsidRPr="006F29F5">
              <w:rPr>
                <w:rFonts w:cs="Times New Roman"/>
                <w:kern w:val="2"/>
                <w:sz w:val="20"/>
              </w:rPr>
              <w:t>“</w:t>
            </w:r>
            <w:r w:rsidRPr="006F29F5">
              <w:rPr>
                <w:rFonts w:cs="Times New Roman"/>
                <w:kern w:val="2"/>
                <w:sz w:val="20"/>
              </w:rPr>
              <w:t>The Right to a Fair Trial and International Cooperation in Criminal Matters: Article 6 ECHR and the Recovery of Assets in Grand Corruption Cases</w:t>
            </w:r>
            <w:r w:rsidR="00CC1E13" w:rsidRPr="006F29F5">
              <w:rPr>
                <w:rFonts w:cs="Times New Roman"/>
                <w:kern w:val="2"/>
                <w:sz w:val="20"/>
              </w:rPr>
              <w:t>”</w:t>
            </w:r>
            <w:r w:rsidRPr="006F29F5">
              <w:rPr>
                <w:rFonts w:cs="Times New Roman"/>
                <w:kern w:val="2"/>
                <w:sz w:val="20"/>
              </w:rPr>
              <w:t xml:space="preserve"> (2013) 9:4 Utrecht L Rev 147. </w:t>
            </w:r>
          </w:p>
          <w:p w14:paraId="7E5244B3" w14:textId="11FBFB5E" w:rsidR="00E26465" w:rsidRPr="006F29F5" w:rsidRDefault="00E26465" w:rsidP="00E26465">
            <w:pPr>
              <w:spacing w:before="120" w:after="120"/>
              <w:rPr>
                <w:rFonts w:cs="Times New Roman"/>
                <w:kern w:val="2"/>
                <w:sz w:val="20"/>
              </w:rPr>
            </w:pPr>
            <w:r w:rsidRPr="006F29F5">
              <w:rPr>
                <w:rFonts w:cs="Times New Roman"/>
                <w:kern w:val="2"/>
                <w:sz w:val="20"/>
              </w:rPr>
              <w:t xml:space="preserve">For more on forfeiture and the presumption of innocence, see Johan </w:t>
            </w:r>
            <w:proofErr w:type="spellStart"/>
            <w:r w:rsidRPr="006F29F5">
              <w:rPr>
                <w:rFonts w:cs="Times New Roman"/>
                <w:kern w:val="2"/>
                <w:sz w:val="20"/>
              </w:rPr>
              <w:t>Boucht</w:t>
            </w:r>
            <w:proofErr w:type="spellEnd"/>
            <w:r w:rsidRPr="006F29F5">
              <w:rPr>
                <w:rFonts w:cs="Times New Roman"/>
                <w:kern w:val="2"/>
                <w:sz w:val="20"/>
              </w:rPr>
              <w:t xml:space="preserve">, </w:t>
            </w:r>
            <w:r w:rsidR="00CC1E13" w:rsidRPr="006F29F5">
              <w:rPr>
                <w:rFonts w:cs="Times New Roman"/>
                <w:kern w:val="2"/>
                <w:sz w:val="20"/>
              </w:rPr>
              <w:t>“</w:t>
            </w:r>
            <w:r w:rsidRPr="006F29F5">
              <w:rPr>
                <w:rFonts w:cs="Times New Roman"/>
                <w:kern w:val="2"/>
                <w:sz w:val="20"/>
              </w:rPr>
              <w:t>Civil Asset Forfeiture and the Presumption of Innocence under Article 6(2) of ECHR</w:t>
            </w:r>
            <w:r w:rsidR="00CC1E13" w:rsidRPr="006F29F5">
              <w:rPr>
                <w:rFonts w:cs="Times New Roman"/>
                <w:kern w:val="2"/>
                <w:sz w:val="20"/>
              </w:rPr>
              <w:t>”</w:t>
            </w:r>
            <w:r w:rsidRPr="006F29F5">
              <w:rPr>
                <w:rFonts w:cs="Times New Roman"/>
                <w:kern w:val="2"/>
                <w:sz w:val="20"/>
              </w:rPr>
              <w:t xml:space="preserve"> (2014) 5:2 New J European </w:t>
            </w:r>
            <w:proofErr w:type="spellStart"/>
            <w:r w:rsidRPr="006F29F5">
              <w:rPr>
                <w:rFonts w:cs="Times New Roman"/>
                <w:kern w:val="2"/>
                <w:sz w:val="20"/>
              </w:rPr>
              <w:t>Crim</w:t>
            </w:r>
            <w:proofErr w:type="spellEnd"/>
            <w:r w:rsidRPr="006F29F5">
              <w:rPr>
                <w:rFonts w:cs="Times New Roman"/>
                <w:kern w:val="2"/>
                <w:sz w:val="20"/>
              </w:rPr>
              <w:t xml:space="preserve"> L 221.</w:t>
            </w:r>
          </w:p>
        </w:tc>
      </w:tr>
    </w:tbl>
    <w:p w14:paraId="5CE7F070" w14:textId="205B710F" w:rsidR="00345D53" w:rsidRPr="006F29F5" w:rsidRDefault="00345D53" w:rsidP="00451D12">
      <w:pPr>
        <w:pStyle w:val="Heading2"/>
        <w:rPr>
          <w:kern w:val="2"/>
          <w:sz w:val="24"/>
        </w:rPr>
      </w:pPr>
      <w:bookmarkStart w:id="55" w:name="_Toc420329386"/>
      <w:bookmarkStart w:id="56" w:name="_Toc489961999"/>
      <w:r w:rsidRPr="006F29F5">
        <w:rPr>
          <w:kern w:val="2"/>
          <w:sz w:val="24"/>
        </w:rPr>
        <w:t>Emerging Tools in Asset Recovery</w:t>
      </w:r>
      <w:bookmarkEnd w:id="55"/>
      <w:bookmarkEnd w:id="56"/>
      <w:r w:rsidRPr="006F29F5">
        <w:rPr>
          <w:kern w:val="2"/>
          <w:sz w:val="24"/>
        </w:rPr>
        <w:t xml:space="preserve"> </w:t>
      </w:r>
    </w:p>
    <w:p w14:paraId="2AAA6708" w14:textId="1B5C0DC7" w:rsidR="000D06C4" w:rsidRPr="006F29F5" w:rsidRDefault="000D06C4" w:rsidP="00C81ED8">
      <w:pPr>
        <w:rPr>
          <w:rFonts w:cs="Times New Roman"/>
          <w:kern w:val="2"/>
          <w:sz w:val="20"/>
        </w:rPr>
      </w:pPr>
      <w:proofErr w:type="spellStart"/>
      <w:r w:rsidRPr="006F29F5">
        <w:rPr>
          <w:rFonts w:cs="Times New Roman"/>
          <w:kern w:val="2"/>
          <w:sz w:val="20"/>
        </w:rPr>
        <w:t>StAR</w:t>
      </w:r>
      <w:proofErr w:type="spellEnd"/>
      <w:r w:rsidRPr="006F29F5">
        <w:rPr>
          <w:rFonts w:cs="Times New Roman"/>
          <w:kern w:val="2"/>
          <w:sz w:val="20"/>
        </w:rPr>
        <w:t xml:space="preserve"> found that OECD members are increasingly turning to less traditional avenues of asset recovery. Instead of waiting for slow mutual legal assistance requests from corrupt officials’ jurisdictions, </w:t>
      </w:r>
      <w:r w:rsidR="005C3E5A" w:rsidRPr="006F29F5">
        <w:rPr>
          <w:rFonts w:cs="Times New Roman"/>
          <w:kern w:val="2"/>
          <w:sz w:val="20"/>
        </w:rPr>
        <w:t xml:space="preserve">some </w:t>
      </w:r>
      <w:r w:rsidRPr="006F29F5">
        <w:rPr>
          <w:rFonts w:cs="Times New Roman"/>
          <w:kern w:val="2"/>
          <w:sz w:val="20"/>
        </w:rPr>
        <w:t>jurisdictions have initiated their own investigations.</w:t>
      </w:r>
      <w:r w:rsidRPr="006F29F5">
        <w:rPr>
          <w:rStyle w:val="FootnoteReference"/>
          <w:rFonts w:cs="Times New Roman"/>
          <w:kern w:val="2"/>
          <w:sz w:val="20"/>
        </w:rPr>
        <w:footnoteReference w:id="245"/>
      </w:r>
      <w:r w:rsidRPr="006F29F5">
        <w:rPr>
          <w:rFonts w:cs="Times New Roman"/>
          <w:kern w:val="2"/>
          <w:sz w:val="20"/>
        </w:rPr>
        <w:t xml:space="preserve"> Although criminal confiscation is generally considered the most obvious tool in asset return, many cases analyzed by </w:t>
      </w:r>
      <w:proofErr w:type="spellStart"/>
      <w:r w:rsidRPr="006F29F5">
        <w:rPr>
          <w:rFonts w:cs="Times New Roman"/>
          <w:kern w:val="2"/>
          <w:sz w:val="20"/>
        </w:rPr>
        <w:t>StAR</w:t>
      </w:r>
      <w:proofErr w:type="spellEnd"/>
      <w:r w:rsidRPr="006F29F5">
        <w:rPr>
          <w:rFonts w:cs="Times New Roman"/>
          <w:kern w:val="2"/>
          <w:sz w:val="20"/>
        </w:rPr>
        <w:t xml:space="preserve"> used administrative actions for freezing assets, NCB confiscation, reparation payments</w:t>
      </w:r>
      <w:r w:rsidR="00BD2405" w:rsidRPr="006F29F5">
        <w:rPr>
          <w:rFonts w:cs="Times New Roman"/>
          <w:kern w:val="2"/>
          <w:sz w:val="20"/>
        </w:rPr>
        <w:t>,</w:t>
      </w:r>
      <w:r w:rsidRPr="006F29F5">
        <w:rPr>
          <w:rFonts w:cs="Times New Roman"/>
          <w:kern w:val="2"/>
          <w:sz w:val="20"/>
        </w:rPr>
        <w:t xml:space="preserve"> and settlement agreements to facilitate the return of assets.</w:t>
      </w:r>
      <w:r w:rsidRPr="006F29F5">
        <w:rPr>
          <w:rStyle w:val="FootnoteReference"/>
          <w:rFonts w:cs="Times New Roman"/>
          <w:kern w:val="2"/>
          <w:sz w:val="20"/>
        </w:rPr>
        <w:footnoteReference w:id="246"/>
      </w:r>
      <w:r w:rsidRPr="006F29F5">
        <w:rPr>
          <w:rFonts w:cs="Times New Roman"/>
          <w:kern w:val="2"/>
          <w:sz w:val="20"/>
        </w:rPr>
        <w:t xml:space="preserve"> </w:t>
      </w:r>
    </w:p>
    <w:p w14:paraId="1A47AAB1" w14:textId="64114519" w:rsidR="00345D53" w:rsidRPr="006F29F5" w:rsidRDefault="000D06C4" w:rsidP="00C81ED8">
      <w:pPr>
        <w:rPr>
          <w:rFonts w:cs="Times New Roman"/>
          <w:kern w:val="2"/>
          <w:sz w:val="20"/>
        </w:rPr>
      </w:pPr>
      <w:r w:rsidRPr="006F29F5">
        <w:rPr>
          <w:rFonts w:cs="Times New Roman"/>
          <w:kern w:val="2"/>
          <w:sz w:val="20"/>
        </w:rPr>
        <w:t xml:space="preserve">Some other </w:t>
      </w:r>
      <w:r w:rsidR="00345D53" w:rsidRPr="006F29F5">
        <w:rPr>
          <w:rFonts w:cs="Times New Roman"/>
          <w:kern w:val="2"/>
          <w:sz w:val="20"/>
        </w:rPr>
        <w:t>new techn</w:t>
      </w:r>
      <w:r w:rsidR="0075732A" w:rsidRPr="006F29F5">
        <w:rPr>
          <w:rFonts w:cs="Times New Roman"/>
          <w:kern w:val="2"/>
          <w:sz w:val="20"/>
        </w:rPr>
        <w:t xml:space="preserve">iques for pursuing </w:t>
      </w:r>
      <w:r w:rsidR="00345D53" w:rsidRPr="006F29F5">
        <w:rPr>
          <w:rFonts w:cs="Times New Roman"/>
          <w:kern w:val="2"/>
          <w:sz w:val="20"/>
        </w:rPr>
        <w:t>asset recovery have emerged in recent years</w:t>
      </w:r>
      <w:r w:rsidRPr="006F29F5">
        <w:rPr>
          <w:rFonts w:cs="Times New Roman"/>
          <w:kern w:val="2"/>
          <w:sz w:val="20"/>
        </w:rPr>
        <w:t xml:space="preserve"> and are discussed below</w:t>
      </w:r>
      <w:r w:rsidR="00345D53" w:rsidRPr="006F29F5">
        <w:rPr>
          <w:rFonts w:cs="Times New Roman"/>
          <w:kern w:val="2"/>
          <w:sz w:val="20"/>
        </w:rPr>
        <w:t xml:space="preserve">. </w:t>
      </w:r>
    </w:p>
    <w:p w14:paraId="035D6919" w14:textId="3548D9E3" w:rsidR="009B19B9" w:rsidRPr="006F29F5" w:rsidRDefault="006E74BD" w:rsidP="00ED633A">
      <w:pPr>
        <w:keepNext/>
        <w:rPr>
          <w:rFonts w:cs="Times New Roman"/>
          <w:b/>
          <w:i/>
          <w:kern w:val="2"/>
          <w:sz w:val="20"/>
        </w:rPr>
      </w:pPr>
      <w:r w:rsidRPr="006F29F5">
        <w:rPr>
          <w:rFonts w:cs="Times New Roman"/>
          <w:b/>
          <w:kern w:val="2"/>
          <w:sz w:val="20"/>
        </w:rPr>
        <w:t xml:space="preserve">(1) </w:t>
      </w:r>
      <w:r w:rsidR="009B19B9" w:rsidRPr="006F29F5">
        <w:rPr>
          <w:rFonts w:cs="Times New Roman"/>
          <w:b/>
          <w:kern w:val="2"/>
          <w:sz w:val="20"/>
        </w:rPr>
        <w:t>Illicit Enrichment Offences</w:t>
      </w:r>
    </w:p>
    <w:p w14:paraId="4A6BFBB4" w14:textId="016375E9" w:rsidR="00345D53" w:rsidRPr="006F29F5" w:rsidRDefault="00345D53" w:rsidP="00C81ED8">
      <w:pPr>
        <w:rPr>
          <w:rFonts w:cs="Times New Roman"/>
          <w:kern w:val="2"/>
          <w:sz w:val="20"/>
        </w:rPr>
      </w:pPr>
      <w:r w:rsidRPr="006F29F5">
        <w:rPr>
          <w:rFonts w:cs="Times New Roman"/>
          <w:kern w:val="2"/>
          <w:sz w:val="20"/>
        </w:rPr>
        <w:t xml:space="preserve">The offence of illicit enrichment assists in asset recovery by relaxing proof burdens. Prosecutors only need to prove that a defendant cannot justify their illicit funds through legitimate income sources. Article 20 of UNCAC requests </w:t>
      </w:r>
      <w:r w:rsidR="00AE7520" w:rsidRPr="006F29F5">
        <w:rPr>
          <w:rFonts w:cs="Times New Roman"/>
          <w:kern w:val="2"/>
          <w:sz w:val="20"/>
        </w:rPr>
        <w:t>S</w:t>
      </w:r>
      <w:r w:rsidRPr="006F29F5">
        <w:rPr>
          <w:rFonts w:cs="Times New Roman"/>
          <w:kern w:val="2"/>
          <w:sz w:val="20"/>
        </w:rPr>
        <w:t xml:space="preserve">tates to consider establishing a criminal offence of illicit enrichment. Because the offence has </w:t>
      </w:r>
      <w:r w:rsidR="00310229" w:rsidRPr="006F29F5">
        <w:rPr>
          <w:rFonts w:cs="Times New Roman"/>
          <w:kern w:val="2"/>
          <w:sz w:val="20"/>
        </w:rPr>
        <w:t xml:space="preserve">the </w:t>
      </w:r>
      <w:r w:rsidRPr="006F29F5">
        <w:rPr>
          <w:rFonts w:cs="Times New Roman"/>
          <w:kern w:val="2"/>
          <w:sz w:val="20"/>
        </w:rPr>
        <w:t xml:space="preserve">potential to deteriorate the presumption of innocence and the privilege against self-incrimination, critics discourage creation of the offence in states with a weak rule of law and weak governance. </w:t>
      </w:r>
      <w:r w:rsidR="00FA621A" w:rsidRPr="006F29F5">
        <w:rPr>
          <w:rFonts w:cs="Times New Roman"/>
          <w:kern w:val="2"/>
          <w:sz w:val="20"/>
        </w:rPr>
        <w:t>Canada has stated it will not implement an illicit enrichment offence because such an offence would violate the presumption of innocence in its Constitution.</w:t>
      </w:r>
      <w:r w:rsidR="00FA621A" w:rsidRPr="006F29F5">
        <w:rPr>
          <w:rStyle w:val="FootnoteReference"/>
          <w:rFonts w:cs="Times New Roman"/>
          <w:kern w:val="2"/>
          <w:sz w:val="20"/>
        </w:rPr>
        <w:footnoteReference w:id="247"/>
      </w:r>
      <w:r w:rsidR="00FA621A" w:rsidRPr="006F29F5">
        <w:rPr>
          <w:rFonts w:cs="Times New Roman"/>
          <w:kern w:val="2"/>
          <w:sz w:val="20"/>
        </w:rPr>
        <w:t xml:space="preserve"> </w:t>
      </w:r>
      <w:r w:rsidRPr="006F29F5">
        <w:rPr>
          <w:rFonts w:cs="Times New Roman"/>
          <w:kern w:val="2"/>
          <w:sz w:val="20"/>
        </w:rPr>
        <w:t>Prosecutorial discretion also makes the offence vulnerable to abuse.</w:t>
      </w:r>
      <w:r w:rsidRPr="006F29F5">
        <w:rPr>
          <w:rStyle w:val="FootnoteReference"/>
          <w:rFonts w:cs="Times New Roman"/>
          <w:kern w:val="2"/>
          <w:sz w:val="20"/>
        </w:rPr>
        <w:footnoteReference w:id="248"/>
      </w:r>
      <w:r w:rsidRPr="006F29F5">
        <w:rPr>
          <w:rFonts w:cs="Times New Roman"/>
          <w:b/>
          <w:kern w:val="2"/>
          <w:sz w:val="20"/>
        </w:rPr>
        <w:t xml:space="preserve"> </w:t>
      </w:r>
      <w:r w:rsidRPr="006F29F5">
        <w:rPr>
          <w:rFonts w:cs="Times New Roman"/>
          <w:kern w:val="2"/>
          <w:sz w:val="20"/>
        </w:rPr>
        <w:t xml:space="preserve">For a detailed analysis of illicit enrichment, see the following </w:t>
      </w:r>
      <w:proofErr w:type="spellStart"/>
      <w:r w:rsidRPr="006F29F5">
        <w:rPr>
          <w:rFonts w:cs="Times New Roman"/>
          <w:kern w:val="2"/>
          <w:sz w:val="20"/>
        </w:rPr>
        <w:t>StAR</w:t>
      </w:r>
      <w:proofErr w:type="spellEnd"/>
      <w:r w:rsidRPr="006F29F5">
        <w:rPr>
          <w:rFonts w:cs="Times New Roman"/>
          <w:kern w:val="2"/>
          <w:sz w:val="20"/>
        </w:rPr>
        <w:t xml:space="preserve"> publication: Lindy </w:t>
      </w:r>
      <w:proofErr w:type="spellStart"/>
      <w:r w:rsidRPr="006F29F5">
        <w:rPr>
          <w:rFonts w:cs="Times New Roman"/>
          <w:kern w:val="2"/>
          <w:sz w:val="20"/>
        </w:rPr>
        <w:t>Muzila</w:t>
      </w:r>
      <w:proofErr w:type="spellEnd"/>
      <w:r w:rsidR="0075732A" w:rsidRPr="006F29F5">
        <w:rPr>
          <w:rFonts w:cs="Times New Roman"/>
          <w:kern w:val="2"/>
          <w:sz w:val="20"/>
        </w:rPr>
        <w:t xml:space="preserve"> </w:t>
      </w:r>
      <w:r w:rsidR="003577EA" w:rsidRPr="006F29F5">
        <w:rPr>
          <w:rFonts w:cs="Times New Roman"/>
          <w:kern w:val="2"/>
          <w:sz w:val="20"/>
        </w:rPr>
        <w:t>et al</w:t>
      </w:r>
      <w:r w:rsidR="00660991" w:rsidRPr="006F29F5">
        <w:rPr>
          <w:rFonts w:cs="Times New Roman"/>
          <w:kern w:val="2"/>
          <w:sz w:val="20"/>
        </w:rPr>
        <w:t>.</w:t>
      </w:r>
      <w:r w:rsidR="0075732A" w:rsidRPr="006F29F5">
        <w:rPr>
          <w:rFonts w:cs="Times New Roman"/>
          <w:i/>
          <w:kern w:val="2"/>
          <w:sz w:val="20"/>
        </w:rPr>
        <w:t xml:space="preserve">, </w:t>
      </w:r>
      <w:r w:rsidRPr="006F29F5">
        <w:rPr>
          <w:rFonts w:cs="Times New Roman"/>
          <w:i/>
          <w:kern w:val="2"/>
          <w:sz w:val="20"/>
        </w:rPr>
        <w:t>On the Take: Criminalizing Illicit Enrichment to Fight Corruption</w:t>
      </w:r>
      <w:r w:rsidRPr="006F29F5">
        <w:rPr>
          <w:rFonts w:cs="Times New Roman"/>
          <w:kern w:val="2"/>
          <w:sz w:val="20"/>
        </w:rPr>
        <w:t xml:space="preserve"> (The World Bank, December 2012). </w:t>
      </w:r>
    </w:p>
    <w:p w14:paraId="46DBBB19" w14:textId="4581EFBF" w:rsidR="006E74BD" w:rsidRPr="006F29F5" w:rsidRDefault="006E74BD" w:rsidP="000E35A1">
      <w:pPr>
        <w:keepNext/>
        <w:rPr>
          <w:rFonts w:cs="Times New Roman"/>
          <w:b/>
          <w:i/>
          <w:kern w:val="2"/>
          <w:sz w:val="20"/>
        </w:rPr>
      </w:pPr>
      <w:r w:rsidRPr="006F29F5">
        <w:rPr>
          <w:rFonts w:cs="Times New Roman"/>
          <w:b/>
          <w:kern w:val="2"/>
          <w:sz w:val="20"/>
        </w:rPr>
        <w:t>(2) Unexplained Wealth Orders</w:t>
      </w:r>
    </w:p>
    <w:p w14:paraId="0ADE583B" w14:textId="3E8329F6" w:rsidR="008E02DE" w:rsidRPr="006F29F5" w:rsidRDefault="008E02DE" w:rsidP="008E02DE">
      <w:pPr>
        <w:rPr>
          <w:kern w:val="2"/>
          <w:sz w:val="20"/>
        </w:rPr>
      </w:pPr>
      <w:r w:rsidRPr="006F29F5">
        <w:rPr>
          <w:kern w:val="2"/>
          <w:sz w:val="20"/>
        </w:rPr>
        <w:t xml:space="preserve">The UK government recommended the creation of a system of unexplained wealth orders in the </w:t>
      </w:r>
      <w:r w:rsidRPr="006F29F5">
        <w:rPr>
          <w:i/>
          <w:kern w:val="2"/>
          <w:sz w:val="20"/>
        </w:rPr>
        <w:t>Criminal Finances Bill</w:t>
      </w:r>
      <w:r w:rsidRPr="006F29F5">
        <w:rPr>
          <w:kern w:val="2"/>
          <w:sz w:val="20"/>
        </w:rPr>
        <w:t xml:space="preserve"> introduced in the UK House of Commons on October 13, 2016.</w:t>
      </w:r>
      <w:r w:rsidR="004875C2" w:rsidRPr="006F29F5">
        <w:rPr>
          <w:rStyle w:val="FootnoteReference"/>
          <w:kern w:val="2"/>
          <w:sz w:val="20"/>
        </w:rPr>
        <w:footnoteReference w:id="249"/>
      </w:r>
      <w:r w:rsidRPr="006F29F5">
        <w:rPr>
          <w:kern w:val="2"/>
          <w:sz w:val="20"/>
        </w:rPr>
        <w:t xml:space="preserve"> Australia already has a system for making unexplained wealth orders in five of its six states and all of its territories.</w:t>
      </w:r>
      <w:r w:rsidR="004875C2" w:rsidRPr="006F29F5">
        <w:rPr>
          <w:rStyle w:val="FootnoteReference"/>
          <w:kern w:val="2"/>
          <w:sz w:val="20"/>
        </w:rPr>
        <w:footnoteReference w:id="250"/>
      </w:r>
      <w:r w:rsidRPr="006F29F5">
        <w:rPr>
          <w:kern w:val="2"/>
          <w:sz w:val="20"/>
        </w:rPr>
        <w:t xml:space="preserve"> The UK Bill was enacted as the </w:t>
      </w:r>
      <w:r w:rsidRPr="006F29F5">
        <w:rPr>
          <w:i/>
          <w:kern w:val="2"/>
          <w:sz w:val="20"/>
        </w:rPr>
        <w:t>Criminal Finances Act 2017</w:t>
      </w:r>
      <w:r w:rsidRPr="006F29F5">
        <w:rPr>
          <w:kern w:val="2"/>
          <w:sz w:val="20"/>
        </w:rPr>
        <w:t>, and the unexplained wealth order provisions came into force on January 31, 2018.</w:t>
      </w:r>
      <w:r w:rsidR="004875C2" w:rsidRPr="006F29F5">
        <w:rPr>
          <w:rStyle w:val="FootnoteReference"/>
          <w:kern w:val="2"/>
          <w:sz w:val="20"/>
        </w:rPr>
        <w:footnoteReference w:id="251"/>
      </w:r>
      <w:r w:rsidR="00D37264" w:rsidRPr="006F29F5">
        <w:rPr>
          <w:kern w:val="2"/>
          <w:sz w:val="20"/>
        </w:rPr>
        <w:t xml:space="preserve"> </w:t>
      </w:r>
      <w:r w:rsidRPr="006F29F5">
        <w:rPr>
          <w:kern w:val="2"/>
          <w:sz w:val="20"/>
        </w:rPr>
        <w:t xml:space="preserve">The UK </w:t>
      </w:r>
      <w:r w:rsidRPr="006F29F5">
        <w:rPr>
          <w:i/>
          <w:kern w:val="2"/>
          <w:sz w:val="20"/>
        </w:rPr>
        <w:t>Criminal Finances Act 2017</w:t>
      </w:r>
      <w:r w:rsidRPr="006F29F5">
        <w:rPr>
          <w:kern w:val="2"/>
          <w:sz w:val="20"/>
        </w:rPr>
        <w:t xml:space="preserve"> is aimed at targeting the revenue generated by organized crime, with a particular focus on money laundering and terrorist finance.</w:t>
      </w:r>
      <w:r w:rsidR="004875C2" w:rsidRPr="006F29F5">
        <w:rPr>
          <w:rStyle w:val="FootnoteReference"/>
          <w:kern w:val="2"/>
          <w:sz w:val="20"/>
        </w:rPr>
        <w:footnoteReference w:id="252"/>
      </w:r>
      <w:r w:rsidRPr="006F29F5">
        <w:rPr>
          <w:kern w:val="2"/>
          <w:sz w:val="20"/>
        </w:rPr>
        <w:t xml:space="preserve"> Perhaps the most novel and potentially controversial power introduced by the Act is the introduction of unexplained wealth orders, which place a burden on individuals whose assets are disproportionate to their income to explain the origin of their wealth.</w:t>
      </w:r>
      <w:r w:rsidR="004875C2" w:rsidRPr="006F29F5">
        <w:rPr>
          <w:rStyle w:val="FootnoteReference"/>
          <w:kern w:val="2"/>
          <w:sz w:val="20"/>
        </w:rPr>
        <w:footnoteReference w:id="253"/>
      </w:r>
      <w:r w:rsidRPr="006F29F5">
        <w:rPr>
          <w:kern w:val="2"/>
          <w:sz w:val="20"/>
        </w:rPr>
        <w:t xml:space="preserve"> The Act amends the </w:t>
      </w:r>
      <w:r w:rsidRPr="006F29F5">
        <w:rPr>
          <w:i/>
          <w:kern w:val="2"/>
          <w:sz w:val="20"/>
        </w:rPr>
        <w:t>Proceeds of Crime Act 2002</w:t>
      </w:r>
      <w:r w:rsidRPr="006F29F5">
        <w:rPr>
          <w:kern w:val="2"/>
          <w:sz w:val="20"/>
        </w:rPr>
        <w:t xml:space="preserve"> (POCA) to allow a court to make an UWO.</w:t>
      </w:r>
      <w:r w:rsidR="004875C2" w:rsidRPr="006F29F5">
        <w:rPr>
          <w:rStyle w:val="FootnoteReference"/>
          <w:kern w:val="2"/>
          <w:sz w:val="20"/>
        </w:rPr>
        <w:footnoteReference w:id="254"/>
      </w:r>
      <w:r w:rsidRPr="006F29F5">
        <w:rPr>
          <w:kern w:val="2"/>
          <w:sz w:val="20"/>
        </w:rPr>
        <w:t xml:space="preserve"> An enforcement authority such as the Crown Prosecution Service or the Serious Fraud Office can make an application to the High Court for an UWO. The Court must be satisfied that the respondent has property valued over £100,000. The Court must also be satisfied that “there are reasonable grounds for suspecting that the known sources of the respondent’s lawfully obtained income would have been insufficient for the purposes of enabling the respondent to obtain the property.” Finally, the Court must be satisfied either that there are reasonable grounds to suspect that the respondent, or a person connected with the respondent, are involved in serious criminal activity, or that the respondent is a “Politically Exposed Person” (PEP). A PEP is defined as a person who has been “entrusted with prominent public functions by an international organisation or by a State other than the United Kingdom or another EEA State,” or a family member or close associate of such a person.</w:t>
      </w:r>
      <w:r w:rsidR="004875C2" w:rsidRPr="006F29F5">
        <w:rPr>
          <w:rStyle w:val="FootnoteReference"/>
          <w:kern w:val="2"/>
          <w:sz w:val="20"/>
        </w:rPr>
        <w:footnoteReference w:id="255"/>
      </w:r>
      <w:r w:rsidRPr="006F29F5">
        <w:rPr>
          <w:kern w:val="2"/>
          <w:sz w:val="20"/>
        </w:rPr>
        <w:t xml:space="preserve">  </w:t>
      </w:r>
    </w:p>
    <w:p w14:paraId="0236485D" w14:textId="5B7AD25C" w:rsidR="008E02DE" w:rsidRPr="006F29F5" w:rsidRDefault="008E02DE" w:rsidP="008E02DE">
      <w:pPr>
        <w:rPr>
          <w:kern w:val="2"/>
          <w:sz w:val="20"/>
        </w:rPr>
      </w:pPr>
      <w:r w:rsidRPr="006F29F5">
        <w:rPr>
          <w:kern w:val="2"/>
          <w:sz w:val="20"/>
        </w:rPr>
        <w:t>If granted, an UWO places a requirement on the respondent to explain the source of their assets within a specified period of time.</w:t>
      </w:r>
      <w:r w:rsidR="004875C2" w:rsidRPr="006F29F5">
        <w:rPr>
          <w:rStyle w:val="FootnoteReference"/>
          <w:kern w:val="2"/>
          <w:sz w:val="20"/>
        </w:rPr>
        <w:footnoteReference w:id="256"/>
      </w:r>
      <w:r w:rsidRPr="006F29F5">
        <w:rPr>
          <w:kern w:val="2"/>
          <w:sz w:val="20"/>
        </w:rPr>
        <w:t xml:space="preserve"> If the respondent fails to respond in the specified period, the assets will then be considered “recoverable property” and subject to civil forfeiture under Part 5 of the </w:t>
      </w:r>
      <w:r w:rsidRPr="006F29F5">
        <w:rPr>
          <w:i/>
          <w:kern w:val="2"/>
          <w:sz w:val="20"/>
        </w:rPr>
        <w:t>POCA</w:t>
      </w:r>
      <w:r w:rsidRPr="006F29F5">
        <w:rPr>
          <w:kern w:val="2"/>
          <w:sz w:val="20"/>
        </w:rPr>
        <w:t>. If a respondent purports to comply with the UWO, the enforcement agency may undertake further enforcement or investigatory proceedings. The Act also makes it an offence to knowingly or recklessly make “a statement that is false or misleading in a material particular” when purporting to comply with a UWO. Statements made when attempting to comply with an UWO would not be admissible as evidence against a respondent in criminal proceedings.</w:t>
      </w:r>
      <w:r w:rsidR="004875C2" w:rsidRPr="006F29F5">
        <w:rPr>
          <w:rStyle w:val="FootnoteReference"/>
          <w:kern w:val="2"/>
          <w:sz w:val="20"/>
        </w:rPr>
        <w:footnoteReference w:id="257"/>
      </w:r>
      <w:r w:rsidRPr="006F29F5">
        <w:rPr>
          <w:kern w:val="2"/>
          <w:sz w:val="20"/>
        </w:rPr>
        <w:t xml:space="preserve"> Section 2 of the Act amends the </w:t>
      </w:r>
      <w:r w:rsidRPr="006F29F5">
        <w:rPr>
          <w:i/>
          <w:kern w:val="2"/>
          <w:sz w:val="20"/>
        </w:rPr>
        <w:t>POCA</w:t>
      </w:r>
      <w:r w:rsidRPr="006F29F5">
        <w:rPr>
          <w:kern w:val="2"/>
          <w:sz w:val="20"/>
        </w:rPr>
        <w:t xml:space="preserve"> to provide for freezing of assets identified in an UWO, while Section 3 amends </w:t>
      </w:r>
      <w:r w:rsidRPr="006F29F5">
        <w:rPr>
          <w:i/>
          <w:kern w:val="2"/>
          <w:sz w:val="20"/>
        </w:rPr>
        <w:t>POCA</w:t>
      </w:r>
      <w:r w:rsidRPr="006F29F5">
        <w:rPr>
          <w:kern w:val="2"/>
          <w:sz w:val="20"/>
        </w:rPr>
        <w:t xml:space="preserve"> to allow for enforcement of UWOs overseas.</w:t>
      </w:r>
      <w:r w:rsidR="004875C2" w:rsidRPr="006F29F5">
        <w:rPr>
          <w:rStyle w:val="FootnoteReference"/>
          <w:kern w:val="2"/>
          <w:sz w:val="20"/>
        </w:rPr>
        <w:footnoteReference w:id="258"/>
      </w:r>
    </w:p>
    <w:p w14:paraId="1ADFB618" w14:textId="77777777" w:rsidR="00264D19" w:rsidRPr="006F29F5" w:rsidRDefault="00264D19" w:rsidP="00264D19">
      <w:pPr>
        <w:rPr>
          <w:kern w:val="2"/>
          <w:sz w:val="20"/>
        </w:rPr>
      </w:pPr>
      <w:r w:rsidRPr="006F29F5">
        <w:rPr>
          <w:kern w:val="2"/>
          <w:sz w:val="20"/>
        </w:rPr>
        <w:t xml:space="preserve">Transparency International assessed the Act while it was at the Bill stage for its possible human rights impact and came to the conclusion that there are sufficient safeguards included in the legislation to prevent UWOs from being abused. The factors that weighed in favour of TI’s assessment are as follows: </w:t>
      </w:r>
    </w:p>
    <w:p w14:paraId="135978E2" w14:textId="77777777" w:rsidR="00264D19" w:rsidRPr="006F29F5" w:rsidRDefault="00264D19" w:rsidP="0023039E">
      <w:pPr>
        <w:pStyle w:val="ListParagraph"/>
        <w:numPr>
          <w:ilvl w:val="0"/>
          <w:numId w:val="82"/>
        </w:numPr>
        <w:rPr>
          <w:b w:val="0"/>
          <w:kern w:val="2"/>
          <w:sz w:val="20"/>
        </w:rPr>
      </w:pPr>
      <w:r w:rsidRPr="006F29F5">
        <w:rPr>
          <w:b w:val="0"/>
          <w:kern w:val="2"/>
          <w:sz w:val="20"/>
        </w:rPr>
        <w:t>The UWO is a civil – not criminal – measure and is laid against the asset, not the individual. Civil actions against property are an altogether different proposition to deprivation of liberty and actions taken against individuals.</w:t>
      </w:r>
    </w:p>
    <w:p w14:paraId="2DA6EAB4" w14:textId="77777777" w:rsidR="00264D19" w:rsidRPr="006F29F5" w:rsidRDefault="00264D19" w:rsidP="0023039E">
      <w:pPr>
        <w:pStyle w:val="ListParagraph"/>
        <w:numPr>
          <w:ilvl w:val="0"/>
          <w:numId w:val="82"/>
        </w:numPr>
        <w:rPr>
          <w:b w:val="0"/>
          <w:kern w:val="2"/>
          <w:sz w:val="20"/>
        </w:rPr>
      </w:pPr>
      <w:r w:rsidRPr="006F29F5">
        <w:rPr>
          <w:b w:val="0"/>
          <w:kern w:val="2"/>
          <w:sz w:val="20"/>
        </w:rPr>
        <w:t>The measure has a specific remit and its use is limited to illicit assets owned by foreign government officials or those who have links to serious crime.</w:t>
      </w:r>
    </w:p>
    <w:p w14:paraId="087303D8" w14:textId="77777777" w:rsidR="00264D19" w:rsidRPr="006F29F5" w:rsidRDefault="00264D19" w:rsidP="0023039E">
      <w:pPr>
        <w:pStyle w:val="ListParagraph"/>
        <w:numPr>
          <w:ilvl w:val="0"/>
          <w:numId w:val="82"/>
        </w:numPr>
        <w:rPr>
          <w:b w:val="0"/>
          <w:kern w:val="2"/>
          <w:sz w:val="20"/>
        </w:rPr>
      </w:pPr>
      <w:r w:rsidRPr="006F29F5">
        <w:rPr>
          <w:b w:val="0"/>
          <w:kern w:val="2"/>
          <w:sz w:val="20"/>
        </w:rPr>
        <w:t>A reasonable level of evidence is required before applying to the High Court for a UWO, and the approval of a High Court Judge is required before a UWO can be served. This element of the process provides an opportunity to rebut the measure if there are concerns.</w:t>
      </w:r>
    </w:p>
    <w:p w14:paraId="75B70545" w14:textId="5736EB85" w:rsidR="00264D19" w:rsidRPr="006F29F5" w:rsidRDefault="00264D19" w:rsidP="0023039E">
      <w:pPr>
        <w:pStyle w:val="ListParagraph"/>
        <w:numPr>
          <w:ilvl w:val="0"/>
          <w:numId w:val="82"/>
        </w:numPr>
        <w:rPr>
          <w:b w:val="0"/>
          <w:kern w:val="2"/>
          <w:sz w:val="20"/>
        </w:rPr>
      </w:pPr>
      <w:r w:rsidRPr="006F29F5">
        <w:rPr>
          <w:b w:val="0"/>
          <w:kern w:val="2"/>
          <w:sz w:val="20"/>
        </w:rPr>
        <w:t>TI has been reassured by… legal advice that use of UWOs is compatible with the UK’s international obligations on safeguarding human rights.</w:t>
      </w:r>
      <w:r w:rsidR="00881BC5" w:rsidRPr="006F29F5">
        <w:rPr>
          <w:rStyle w:val="FootnoteReference"/>
          <w:b w:val="0"/>
          <w:kern w:val="2"/>
          <w:sz w:val="20"/>
        </w:rPr>
        <w:footnoteReference w:id="259"/>
      </w:r>
      <w:r w:rsidRPr="006F29F5">
        <w:rPr>
          <w:b w:val="0"/>
          <w:kern w:val="2"/>
          <w:sz w:val="20"/>
        </w:rPr>
        <w:t xml:space="preserve"> </w:t>
      </w:r>
    </w:p>
    <w:p w14:paraId="634C3AF6" w14:textId="62B19423" w:rsidR="000F41AA" w:rsidRPr="006F29F5" w:rsidRDefault="000F41AA" w:rsidP="0073130B">
      <w:pPr>
        <w:rPr>
          <w:b/>
          <w:i/>
          <w:kern w:val="2"/>
          <w:sz w:val="20"/>
          <w:u w:val="single"/>
        </w:rPr>
      </w:pPr>
      <w:r w:rsidRPr="006F29F5">
        <w:rPr>
          <w:b/>
          <w:kern w:val="2"/>
          <w:sz w:val="20"/>
        </w:rPr>
        <w:t>(3)</w:t>
      </w:r>
      <w:r w:rsidRPr="006F29F5">
        <w:rPr>
          <w:b/>
          <w:i/>
          <w:kern w:val="2"/>
          <w:sz w:val="20"/>
        </w:rPr>
        <w:t xml:space="preserve"> </w:t>
      </w:r>
      <w:r w:rsidRPr="006F29F5">
        <w:rPr>
          <w:b/>
          <w:kern w:val="2"/>
          <w:sz w:val="20"/>
        </w:rPr>
        <w:t>Other Measures</w:t>
      </w:r>
    </w:p>
    <w:p w14:paraId="3154D0E9" w14:textId="759F2F5E" w:rsidR="0073130B" w:rsidRPr="006F29F5" w:rsidRDefault="0073130B" w:rsidP="0073130B">
      <w:pPr>
        <w:rPr>
          <w:kern w:val="2"/>
          <w:sz w:val="20"/>
        </w:rPr>
      </w:pPr>
      <w:r w:rsidRPr="006F29F5">
        <w:rPr>
          <w:kern w:val="2"/>
          <w:sz w:val="20"/>
        </w:rPr>
        <w:t xml:space="preserve">The </w:t>
      </w:r>
      <w:r w:rsidR="00817E44" w:rsidRPr="006F29F5">
        <w:rPr>
          <w:i/>
          <w:kern w:val="2"/>
          <w:sz w:val="20"/>
        </w:rPr>
        <w:t>Criminal Finances Bill</w:t>
      </w:r>
      <w:r w:rsidR="00817E44" w:rsidRPr="006F29F5">
        <w:rPr>
          <w:kern w:val="2"/>
          <w:sz w:val="20"/>
        </w:rPr>
        <w:t xml:space="preserve"> also introduced</w:t>
      </w:r>
      <w:r w:rsidRPr="006F29F5">
        <w:rPr>
          <w:kern w:val="2"/>
          <w:sz w:val="20"/>
        </w:rPr>
        <w:t xml:space="preserve"> five other measures </w:t>
      </w:r>
      <w:r w:rsidR="00817E44" w:rsidRPr="006F29F5">
        <w:rPr>
          <w:kern w:val="2"/>
          <w:sz w:val="20"/>
        </w:rPr>
        <w:t xml:space="preserve">aimed at criminal proceeds </w:t>
      </w:r>
      <w:r w:rsidRPr="006F29F5">
        <w:rPr>
          <w:kern w:val="2"/>
          <w:sz w:val="20"/>
        </w:rPr>
        <w:t>in addition to the UWO regime:</w:t>
      </w:r>
    </w:p>
    <w:p w14:paraId="1DDF5157" w14:textId="5B1F3908" w:rsidR="0073130B" w:rsidRPr="006F29F5" w:rsidRDefault="0073130B" w:rsidP="00E26465">
      <w:pPr>
        <w:pStyle w:val="ListParagraph"/>
        <w:numPr>
          <w:ilvl w:val="0"/>
          <w:numId w:val="7"/>
        </w:numPr>
        <w:spacing w:before="120"/>
        <w:rPr>
          <w:kern w:val="2"/>
          <w:sz w:val="20"/>
        </w:rPr>
      </w:pPr>
      <w:r w:rsidRPr="006F29F5">
        <w:rPr>
          <w:kern w:val="2"/>
          <w:sz w:val="20"/>
        </w:rPr>
        <w:t>Disclosure Orders</w:t>
      </w:r>
    </w:p>
    <w:p w14:paraId="1B909196" w14:textId="2997A508" w:rsidR="0088454F" w:rsidRPr="006F29F5" w:rsidRDefault="00264D19" w:rsidP="0023039E">
      <w:pPr>
        <w:rPr>
          <w:sz w:val="20"/>
        </w:rPr>
      </w:pPr>
      <w:r w:rsidRPr="006F29F5">
        <w:rPr>
          <w:sz w:val="20"/>
        </w:rPr>
        <w:t>Sections 7 and 8 of the Act grant law enforcement the power to require “anyone that they think has relevant information to an investigation, to answer questions, provide information or to produce documents. They are used to gather the information required for a successful criminal investigation, although the compelled evidence may not be used in criminal proceedings against the person who gave the information.” This power has not previously been available when investigating money laundering.</w:t>
      </w:r>
      <w:r w:rsidR="00881BC5" w:rsidRPr="006F29F5">
        <w:rPr>
          <w:rStyle w:val="FootnoteReference"/>
          <w:sz w:val="20"/>
        </w:rPr>
        <w:footnoteReference w:id="260"/>
      </w:r>
    </w:p>
    <w:p w14:paraId="08840ED4" w14:textId="33B828D8" w:rsidR="0073130B" w:rsidRPr="006F29F5" w:rsidRDefault="0073130B" w:rsidP="0023039E">
      <w:pPr>
        <w:pStyle w:val="ListParagraph"/>
        <w:numPr>
          <w:ilvl w:val="0"/>
          <w:numId w:val="7"/>
        </w:numPr>
        <w:rPr>
          <w:sz w:val="20"/>
        </w:rPr>
      </w:pPr>
      <w:r w:rsidRPr="006F29F5">
        <w:rPr>
          <w:sz w:val="20"/>
        </w:rPr>
        <w:t>Changes to Strengthen the Suspicious Activity Report Regime</w:t>
      </w:r>
    </w:p>
    <w:p w14:paraId="6C0E33CF" w14:textId="22322C3D" w:rsidR="0088454F" w:rsidRPr="006F29F5" w:rsidRDefault="0088454F" w:rsidP="0023039E">
      <w:pPr>
        <w:rPr>
          <w:sz w:val="20"/>
        </w:rPr>
      </w:pPr>
      <w:r w:rsidRPr="006F29F5">
        <w:rPr>
          <w:sz w:val="20"/>
        </w:rPr>
        <w:t>The Act allows for an extension of moratorium periods on suspicious transactions beyond the 31 days previously allowed, giving agencies more time to investigate.</w:t>
      </w:r>
      <w:r w:rsidR="00881BC5" w:rsidRPr="006F29F5">
        <w:rPr>
          <w:rStyle w:val="FootnoteReference"/>
          <w:sz w:val="20"/>
        </w:rPr>
        <w:footnoteReference w:id="261"/>
      </w:r>
      <w:r w:rsidRPr="006F29F5">
        <w:rPr>
          <w:sz w:val="20"/>
        </w:rPr>
        <w:t xml:space="preserve"> The Act also allows investigative agencies to follow up on suspicious activity reports where further information is needed. Finally, the Act permits firms in the regulated sector to share information amongst themselves to create better protections against being used by money launderers.</w:t>
      </w:r>
      <w:r w:rsidR="00881BC5" w:rsidRPr="006F29F5">
        <w:rPr>
          <w:rStyle w:val="FootnoteReference"/>
          <w:sz w:val="20"/>
        </w:rPr>
        <w:footnoteReference w:id="262"/>
      </w:r>
    </w:p>
    <w:p w14:paraId="35C2D66F" w14:textId="2F0B4870" w:rsidR="0073130B" w:rsidRPr="006F29F5" w:rsidRDefault="0073130B" w:rsidP="0023039E">
      <w:pPr>
        <w:pStyle w:val="ListParagraph"/>
        <w:keepNext/>
        <w:numPr>
          <w:ilvl w:val="0"/>
          <w:numId w:val="7"/>
        </w:numPr>
        <w:ind w:left="714" w:hanging="357"/>
        <w:rPr>
          <w:sz w:val="20"/>
        </w:rPr>
      </w:pPr>
      <w:r w:rsidRPr="006F29F5">
        <w:rPr>
          <w:sz w:val="20"/>
        </w:rPr>
        <w:t>Proceeds of Crime Recovery</w:t>
      </w:r>
    </w:p>
    <w:p w14:paraId="0EA941BC" w14:textId="532EE60E" w:rsidR="0073130B" w:rsidRPr="006F29F5" w:rsidRDefault="0073130B" w:rsidP="0073130B">
      <w:pPr>
        <w:rPr>
          <w:kern w:val="2"/>
          <w:sz w:val="20"/>
        </w:rPr>
      </w:pPr>
      <w:r w:rsidRPr="006F29F5">
        <w:rPr>
          <w:kern w:val="2"/>
          <w:sz w:val="20"/>
        </w:rPr>
        <w:t xml:space="preserve">The </w:t>
      </w:r>
      <w:r w:rsidR="0088454F" w:rsidRPr="006F29F5">
        <w:rPr>
          <w:kern w:val="2"/>
          <w:sz w:val="20"/>
        </w:rPr>
        <w:t>Act creates</w:t>
      </w:r>
      <w:r w:rsidRPr="006F29F5">
        <w:rPr>
          <w:kern w:val="2"/>
          <w:sz w:val="20"/>
        </w:rPr>
        <w:t xml:space="preserve"> new civil powers that allow law enforcement agencies to seize proceeds of crime that are stored in bank accounts or in non-cash valuables such as jewels or precious metals.</w:t>
      </w:r>
      <w:r w:rsidR="00881BC5" w:rsidRPr="006F29F5">
        <w:rPr>
          <w:rStyle w:val="FootnoteReference"/>
          <w:kern w:val="2"/>
          <w:sz w:val="20"/>
        </w:rPr>
        <w:footnoteReference w:id="263"/>
      </w:r>
      <w:r w:rsidRPr="006F29F5">
        <w:rPr>
          <w:kern w:val="2"/>
          <w:sz w:val="20"/>
        </w:rPr>
        <w:t xml:space="preserve"> </w:t>
      </w:r>
    </w:p>
    <w:p w14:paraId="0E4B81DF" w14:textId="0AD22D0F" w:rsidR="0073130B" w:rsidRPr="006F29F5" w:rsidRDefault="0073130B" w:rsidP="00981230">
      <w:pPr>
        <w:pStyle w:val="ListParagraph"/>
        <w:keepNext/>
        <w:numPr>
          <w:ilvl w:val="0"/>
          <w:numId w:val="7"/>
        </w:numPr>
        <w:ind w:left="714" w:hanging="357"/>
        <w:rPr>
          <w:kern w:val="2"/>
          <w:sz w:val="20"/>
        </w:rPr>
      </w:pPr>
      <w:r w:rsidRPr="006F29F5">
        <w:rPr>
          <w:kern w:val="2"/>
          <w:sz w:val="20"/>
        </w:rPr>
        <w:t>Terror</w:t>
      </w:r>
      <w:r w:rsidR="00E26465" w:rsidRPr="006F29F5">
        <w:rPr>
          <w:kern w:val="2"/>
          <w:sz w:val="20"/>
        </w:rPr>
        <w:t>ist Financing Powers</w:t>
      </w:r>
    </w:p>
    <w:p w14:paraId="01C200D0" w14:textId="32EF9170" w:rsidR="0073130B" w:rsidRPr="006F29F5" w:rsidRDefault="0073130B" w:rsidP="0073130B">
      <w:pPr>
        <w:rPr>
          <w:kern w:val="2"/>
          <w:sz w:val="20"/>
        </w:rPr>
      </w:pPr>
      <w:r w:rsidRPr="006F29F5">
        <w:rPr>
          <w:kern w:val="2"/>
          <w:sz w:val="20"/>
        </w:rPr>
        <w:t xml:space="preserve">The </w:t>
      </w:r>
      <w:r w:rsidR="0088454F" w:rsidRPr="006F29F5">
        <w:rPr>
          <w:kern w:val="2"/>
          <w:sz w:val="20"/>
        </w:rPr>
        <w:t>Act</w:t>
      </w:r>
      <w:r w:rsidRPr="006F29F5">
        <w:rPr>
          <w:kern w:val="2"/>
          <w:sz w:val="20"/>
        </w:rPr>
        <w:t xml:space="preserve"> extend</w:t>
      </w:r>
      <w:r w:rsidR="0088454F" w:rsidRPr="006F29F5">
        <w:rPr>
          <w:kern w:val="2"/>
          <w:sz w:val="20"/>
        </w:rPr>
        <w:t>s</w:t>
      </w:r>
      <w:r w:rsidRPr="006F29F5">
        <w:rPr>
          <w:kern w:val="2"/>
          <w:sz w:val="20"/>
        </w:rPr>
        <w:t xml:space="preserve"> powers of disclosure and civil recovery to law enforcement in the investigation of terrorist property or financing.</w:t>
      </w:r>
      <w:r w:rsidR="00881BC5" w:rsidRPr="006F29F5">
        <w:rPr>
          <w:rStyle w:val="FootnoteReference"/>
          <w:kern w:val="2"/>
          <w:sz w:val="20"/>
        </w:rPr>
        <w:footnoteReference w:id="264"/>
      </w:r>
    </w:p>
    <w:p w14:paraId="0AA5D2E7" w14:textId="5D0B1FBD" w:rsidR="0073130B" w:rsidRPr="006F29F5" w:rsidRDefault="0073130B" w:rsidP="00E26465">
      <w:pPr>
        <w:pStyle w:val="ListParagraph"/>
        <w:keepNext/>
        <w:numPr>
          <w:ilvl w:val="0"/>
          <w:numId w:val="7"/>
        </w:numPr>
        <w:ind w:left="714" w:hanging="357"/>
        <w:rPr>
          <w:kern w:val="2"/>
          <w:sz w:val="20"/>
        </w:rPr>
      </w:pPr>
      <w:r w:rsidRPr="006F29F5">
        <w:rPr>
          <w:kern w:val="2"/>
          <w:sz w:val="20"/>
        </w:rPr>
        <w:t>Corporate Offences of Failure</w:t>
      </w:r>
    </w:p>
    <w:p w14:paraId="0D8F00FD" w14:textId="3FDE9C07" w:rsidR="0073130B" w:rsidRPr="006F29F5" w:rsidRDefault="0073130B" w:rsidP="0073130B">
      <w:pPr>
        <w:rPr>
          <w:kern w:val="2"/>
          <w:sz w:val="20"/>
        </w:rPr>
      </w:pPr>
      <w:r w:rsidRPr="006F29F5">
        <w:rPr>
          <w:kern w:val="2"/>
          <w:sz w:val="20"/>
        </w:rPr>
        <w:t xml:space="preserve">The </w:t>
      </w:r>
      <w:r w:rsidR="0088454F" w:rsidRPr="006F29F5">
        <w:rPr>
          <w:kern w:val="2"/>
          <w:sz w:val="20"/>
        </w:rPr>
        <w:t>Act</w:t>
      </w:r>
      <w:r w:rsidRPr="006F29F5">
        <w:rPr>
          <w:kern w:val="2"/>
          <w:sz w:val="20"/>
        </w:rPr>
        <w:t xml:space="preserve"> create</w:t>
      </w:r>
      <w:r w:rsidR="0088454F" w:rsidRPr="006F29F5">
        <w:rPr>
          <w:kern w:val="2"/>
          <w:sz w:val="20"/>
        </w:rPr>
        <w:t>s</w:t>
      </w:r>
      <w:r w:rsidRPr="006F29F5">
        <w:rPr>
          <w:kern w:val="2"/>
          <w:sz w:val="20"/>
        </w:rPr>
        <w:t xml:space="preserve"> the new offence of corporate failure to prevent facilitation of tax evasion.</w:t>
      </w:r>
      <w:r w:rsidR="00881BC5" w:rsidRPr="006F29F5">
        <w:rPr>
          <w:rStyle w:val="FootnoteReference"/>
          <w:kern w:val="2"/>
          <w:sz w:val="20"/>
        </w:rPr>
        <w:footnoteReference w:id="265"/>
      </w:r>
      <w:r w:rsidRPr="006F29F5">
        <w:rPr>
          <w:kern w:val="2"/>
          <w:sz w:val="20"/>
        </w:rPr>
        <w:t xml:space="preserve"> This new offence allow</w:t>
      </w:r>
      <w:r w:rsidR="0088454F" w:rsidRPr="006F29F5">
        <w:rPr>
          <w:kern w:val="2"/>
          <w:sz w:val="20"/>
        </w:rPr>
        <w:t>s</w:t>
      </w:r>
      <w:r w:rsidRPr="006F29F5">
        <w:rPr>
          <w:kern w:val="2"/>
          <w:sz w:val="20"/>
        </w:rPr>
        <w:t xml:space="preserve"> </w:t>
      </w:r>
      <w:r w:rsidR="00D06C64" w:rsidRPr="006F29F5">
        <w:rPr>
          <w:kern w:val="2"/>
          <w:sz w:val="20"/>
        </w:rPr>
        <w:t xml:space="preserve">for the prosecution of </w:t>
      </w:r>
      <w:r w:rsidRPr="006F29F5">
        <w:rPr>
          <w:kern w:val="2"/>
          <w:sz w:val="20"/>
        </w:rPr>
        <w:t>employers if they fail to prevent individual employees from facilitating tax evasion.</w:t>
      </w:r>
      <w:r w:rsidR="00881BC5" w:rsidRPr="006F29F5">
        <w:rPr>
          <w:rStyle w:val="FootnoteReference"/>
          <w:kern w:val="2"/>
          <w:sz w:val="20"/>
        </w:rPr>
        <w:footnoteReference w:id="266"/>
      </w:r>
    </w:p>
    <w:p w14:paraId="76A57B8E" w14:textId="14FFAEE7" w:rsidR="006E74BD" w:rsidRPr="006F29F5" w:rsidRDefault="006E74BD" w:rsidP="005C032D">
      <w:pPr>
        <w:keepNext/>
        <w:rPr>
          <w:rFonts w:cs="Times New Roman"/>
          <w:i/>
          <w:kern w:val="2"/>
          <w:sz w:val="20"/>
        </w:rPr>
      </w:pPr>
      <w:r w:rsidRPr="006F29F5">
        <w:rPr>
          <w:rFonts w:cs="Times New Roman"/>
          <w:b/>
          <w:kern w:val="2"/>
          <w:sz w:val="20"/>
        </w:rPr>
        <w:t>(</w:t>
      </w:r>
      <w:r w:rsidR="0059497A" w:rsidRPr="006F29F5">
        <w:rPr>
          <w:rFonts w:cs="Times New Roman"/>
          <w:b/>
          <w:kern w:val="2"/>
          <w:sz w:val="20"/>
        </w:rPr>
        <w:t>4</w:t>
      </w:r>
      <w:r w:rsidRPr="006F29F5">
        <w:rPr>
          <w:rFonts w:cs="Times New Roman"/>
          <w:b/>
          <w:kern w:val="2"/>
          <w:sz w:val="20"/>
        </w:rPr>
        <w:t>)</w:t>
      </w:r>
      <w:r w:rsidRPr="006F29F5">
        <w:rPr>
          <w:rFonts w:cs="Times New Roman"/>
          <w:i/>
          <w:kern w:val="2"/>
          <w:sz w:val="20"/>
        </w:rPr>
        <w:t xml:space="preserve"> </w:t>
      </w:r>
      <w:r w:rsidRPr="006F29F5">
        <w:rPr>
          <w:rFonts w:cs="Times New Roman"/>
          <w:b/>
          <w:kern w:val="2"/>
          <w:sz w:val="20"/>
        </w:rPr>
        <w:t>New Forms of Civil Damages</w:t>
      </w:r>
    </w:p>
    <w:p w14:paraId="2BA3F318" w14:textId="695CECB7" w:rsidR="00345D53" w:rsidRPr="006F29F5" w:rsidRDefault="00345D53" w:rsidP="00C81ED8">
      <w:pPr>
        <w:rPr>
          <w:rFonts w:cs="Times New Roman"/>
          <w:kern w:val="2"/>
          <w:sz w:val="20"/>
        </w:rPr>
      </w:pPr>
      <w:r w:rsidRPr="006F29F5">
        <w:rPr>
          <w:rFonts w:cs="Times New Roman"/>
          <w:kern w:val="2"/>
          <w:sz w:val="20"/>
        </w:rPr>
        <w:t xml:space="preserve">New measures of damages provide another useful tool in asset recovery. </w:t>
      </w:r>
      <w:r w:rsidR="00310229" w:rsidRPr="006F29F5">
        <w:rPr>
          <w:rFonts w:cs="Times New Roman"/>
          <w:kern w:val="2"/>
          <w:sz w:val="20"/>
        </w:rPr>
        <w:t xml:space="preserve">As pointed out by </w:t>
      </w:r>
      <w:r w:rsidR="0050434F" w:rsidRPr="006F29F5">
        <w:rPr>
          <w:rFonts w:cs="Times New Roman"/>
          <w:kern w:val="2"/>
          <w:sz w:val="20"/>
        </w:rPr>
        <w:t xml:space="preserve">van der Does de </w:t>
      </w:r>
      <w:proofErr w:type="spellStart"/>
      <w:r w:rsidR="00310229" w:rsidRPr="006F29F5">
        <w:rPr>
          <w:rFonts w:cs="Times New Roman"/>
          <w:kern w:val="2"/>
          <w:sz w:val="20"/>
        </w:rPr>
        <w:t>Willebois</w:t>
      </w:r>
      <w:proofErr w:type="spellEnd"/>
      <w:r w:rsidR="00310229" w:rsidRPr="006F29F5">
        <w:rPr>
          <w:rFonts w:cs="Times New Roman"/>
          <w:kern w:val="2"/>
          <w:sz w:val="20"/>
        </w:rPr>
        <w:t xml:space="preserve"> in his article </w:t>
      </w:r>
      <w:r w:rsidR="00CC1E13" w:rsidRPr="006F29F5">
        <w:rPr>
          <w:rFonts w:cs="Times New Roman"/>
          <w:kern w:val="2"/>
          <w:sz w:val="20"/>
        </w:rPr>
        <w:t>“</w:t>
      </w:r>
      <w:r w:rsidR="00310229" w:rsidRPr="006F29F5">
        <w:rPr>
          <w:rFonts w:cs="Times New Roman"/>
          <w:kern w:val="2"/>
          <w:sz w:val="20"/>
        </w:rPr>
        <w:t xml:space="preserve">Using civil remedies in corruption and </w:t>
      </w:r>
      <w:r w:rsidR="0075732A" w:rsidRPr="006F29F5">
        <w:rPr>
          <w:rFonts w:cs="Times New Roman"/>
          <w:kern w:val="2"/>
          <w:sz w:val="20"/>
        </w:rPr>
        <w:t>asset recovery cases</w:t>
      </w:r>
      <w:r w:rsidR="00451441" w:rsidRPr="006F29F5">
        <w:rPr>
          <w:rFonts w:cs="Times New Roman"/>
          <w:kern w:val="2"/>
          <w:sz w:val="20"/>
        </w:rPr>
        <w:t>,</w:t>
      </w:r>
      <w:r w:rsidR="00CC1E13" w:rsidRPr="006F29F5">
        <w:rPr>
          <w:rFonts w:cs="Times New Roman"/>
          <w:kern w:val="2"/>
          <w:sz w:val="20"/>
        </w:rPr>
        <w:t>”</w:t>
      </w:r>
      <w:r w:rsidR="00310229" w:rsidRPr="006F29F5">
        <w:rPr>
          <w:rFonts w:cs="Times New Roman"/>
          <w:kern w:val="2"/>
          <w:sz w:val="20"/>
        </w:rPr>
        <w:t xml:space="preserve"> </w:t>
      </w:r>
      <w:r w:rsidRPr="006F29F5">
        <w:rPr>
          <w:rFonts w:cs="Times New Roman"/>
          <w:kern w:val="2"/>
          <w:sz w:val="20"/>
        </w:rPr>
        <w:t>those w</w:t>
      </w:r>
      <w:r w:rsidR="00310229" w:rsidRPr="006F29F5">
        <w:rPr>
          <w:rFonts w:cs="Times New Roman"/>
          <w:kern w:val="2"/>
          <w:sz w:val="20"/>
        </w:rPr>
        <w:t>ho pay bribes are rarely</w:t>
      </w:r>
      <w:r w:rsidRPr="006F29F5">
        <w:rPr>
          <w:rFonts w:cs="Times New Roman"/>
          <w:kern w:val="2"/>
          <w:sz w:val="20"/>
        </w:rPr>
        <w:t xml:space="preserve"> caug</w:t>
      </w:r>
      <w:r w:rsidR="00310229" w:rsidRPr="006F29F5">
        <w:rPr>
          <w:rFonts w:cs="Times New Roman"/>
          <w:kern w:val="2"/>
          <w:sz w:val="20"/>
        </w:rPr>
        <w:t>ht, which could encourage the perception that compensation orders are</w:t>
      </w:r>
      <w:r w:rsidRPr="006F29F5">
        <w:rPr>
          <w:rFonts w:cs="Times New Roman"/>
          <w:kern w:val="2"/>
          <w:sz w:val="20"/>
        </w:rPr>
        <w:t xml:space="preserve"> merely a cost of doing </w:t>
      </w:r>
      <w:r w:rsidR="00310229" w:rsidRPr="006F29F5">
        <w:rPr>
          <w:rFonts w:cs="Times New Roman"/>
          <w:kern w:val="2"/>
          <w:sz w:val="20"/>
        </w:rPr>
        <w:t>business</w:t>
      </w:r>
      <w:r w:rsidRPr="006F29F5">
        <w:rPr>
          <w:rFonts w:cs="Times New Roman"/>
          <w:kern w:val="2"/>
          <w:sz w:val="20"/>
        </w:rPr>
        <w:t>.</w:t>
      </w:r>
      <w:r w:rsidR="00310229" w:rsidRPr="006F29F5">
        <w:rPr>
          <w:rStyle w:val="FootnoteReference"/>
          <w:rFonts w:cs="Times New Roman"/>
          <w:color w:val="000000"/>
          <w:kern w:val="2"/>
          <w:sz w:val="20"/>
        </w:rPr>
        <w:footnoteReference w:id="267"/>
      </w:r>
      <w:r w:rsidRPr="006F29F5">
        <w:rPr>
          <w:rFonts w:cs="Times New Roman"/>
          <w:kern w:val="2"/>
          <w:sz w:val="20"/>
        </w:rPr>
        <w:t xml:space="preserve"> Punitive damages would increase deterrence and encourage plaintiffs to bring actions. The emerging concept of social damages provides another recourse for victims of corruption and is already employed in Costa Rica. The concept is explained by </w:t>
      </w:r>
      <w:r w:rsidR="0050434F" w:rsidRPr="006F29F5">
        <w:rPr>
          <w:rFonts w:cs="Times New Roman"/>
          <w:kern w:val="2"/>
          <w:sz w:val="20"/>
        </w:rPr>
        <w:t xml:space="preserve">van der Does de </w:t>
      </w:r>
      <w:proofErr w:type="spellStart"/>
      <w:r w:rsidRPr="006F29F5">
        <w:rPr>
          <w:rFonts w:cs="Times New Roman"/>
          <w:kern w:val="2"/>
          <w:sz w:val="20"/>
        </w:rPr>
        <w:t>Wi</w:t>
      </w:r>
      <w:r w:rsidR="0059497A" w:rsidRPr="006F29F5">
        <w:rPr>
          <w:rFonts w:cs="Times New Roman"/>
          <w:kern w:val="2"/>
          <w:sz w:val="20"/>
        </w:rPr>
        <w:t>llebois</w:t>
      </w:r>
      <w:proofErr w:type="spellEnd"/>
      <w:r w:rsidR="00310229" w:rsidRPr="006F29F5">
        <w:rPr>
          <w:rFonts w:cs="Times New Roman"/>
          <w:color w:val="000000"/>
          <w:kern w:val="2"/>
          <w:sz w:val="20"/>
        </w:rPr>
        <w:t>:</w:t>
      </w:r>
    </w:p>
    <w:p w14:paraId="7CB54E48" w14:textId="1E6B2DA3" w:rsidR="00345D53" w:rsidRPr="006F29F5" w:rsidRDefault="00345D53" w:rsidP="00451D12">
      <w:pPr>
        <w:pStyle w:val="BlockQuote"/>
        <w:rPr>
          <w:kern w:val="2"/>
          <w:sz w:val="20"/>
        </w:rPr>
      </w:pPr>
      <w:r w:rsidRPr="006F29F5">
        <w:rPr>
          <w:kern w:val="2"/>
          <w:sz w:val="20"/>
        </w:rPr>
        <w:t xml:space="preserve">To ensure full compensation and deterrence when punitive damages are not applicable, other jurisdictions have tried to use the concept of social damages. In some jurisdictions, a social damage may be defined as the loss that is not incurred </w:t>
      </w:r>
      <w:r w:rsidRPr="006F29F5">
        <w:rPr>
          <w:bCs/>
          <w:kern w:val="2"/>
          <w:sz w:val="20"/>
        </w:rPr>
        <w:t>by</w:t>
      </w:r>
      <w:r w:rsidRPr="006F29F5">
        <w:rPr>
          <w:b/>
          <w:bCs/>
          <w:kern w:val="2"/>
          <w:sz w:val="20"/>
        </w:rPr>
        <w:t xml:space="preserve"> </w:t>
      </w:r>
      <w:r w:rsidRPr="006F29F5">
        <w:rPr>
          <w:kern w:val="2"/>
          <w:sz w:val="20"/>
        </w:rPr>
        <w:t xml:space="preserve">specific groups or individuals but </w:t>
      </w:r>
      <w:r w:rsidRPr="006F29F5">
        <w:rPr>
          <w:bCs/>
          <w:kern w:val="2"/>
          <w:sz w:val="20"/>
        </w:rPr>
        <w:t>by</w:t>
      </w:r>
      <w:r w:rsidRPr="006F29F5">
        <w:rPr>
          <w:b/>
          <w:bCs/>
          <w:kern w:val="2"/>
          <w:sz w:val="20"/>
        </w:rPr>
        <w:t xml:space="preserve"> </w:t>
      </w:r>
      <w:r w:rsidRPr="006F29F5">
        <w:rPr>
          <w:kern w:val="2"/>
          <w:sz w:val="20"/>
        </w:rPr>
        <w:t>the community as a whole. This could include damages to the environment, to the credibility of the institutions, or to collective rights including health, security, peace, education, good governance, and good public financial management. It is different from damages to collective rights, which belong to a restricted and identifiable group of individuals or legal entities. Social damage can be pecuniary and nonpecuniary.</w:t>
      </w:r>
      <w:r w:rsidR="00310229" w:rsidRPr="006F29F5">
        <w:rPr>
          <w:kern w:val="2"/>
          <w:sz w:val="20"/>
        </w:rPr>
        <w:t xml:space="preserve"> </w:t>
      </w:r>
    </w:p>
    <w:p w14:paraId="7B69D044" w14:textId="2FE59C3A" w:rsidR="006F336C" w:rsidRPr="006F29F5" w:rsidRDefault="006F336C" w:rsidP="00C81ED8">
      <w:pPr>
        <w:rPr>
          <w:rFonts w:cs="Times New Roman"/>
          <w:b/>
          <w:kern w:val="2"/>
          <w:sz w:val="20"/>
        </w:rPr>
      </w:pPr>
      <w:r w:rsidRPr="006F29F5">
        <w:rPr>
          <w:rFonts w:cs="Times New Roman"/>
          <w:b/>
          <w:kern w:val="2"/>
          <w:sz w:val="20"/>
        </w:rPr>
        <w:t>(</w:t>
      </w:r>
      <w:r w:rsidR="000B67CA" w:rsidRPr="006F29F5">
        <w:rPr>
          <w:rFonts w:cs="Times New Roman"/>
          <w:b/>
          <w:kern w:val="2"/>
          <w:sz w:val="20"/>
        </w:rPr>
        <w:t>5</w:t>
      </w:r>
      <w:r w:rsidRPr="006F29F5">
        <w:rPr>
          <w:rFonts w:cs="Times New Roman"/>
          <w:b/>
          <w:kern w:val="2"/>
          <w:sz w:val="20"/>
        </w:rPr>
        <w:t>) Financial Disclosure for Public Employees</w:t>
      </w:r>
    </w:p>
    <w:p w14:paraId="14444E45" w14:textId="70608B43" w:rsidR="00345D53" w:rsidRPr="006F29F5" w:rsidRDefault="00345D53" w:rsidP="00C81ED8">
      <w:pPr>
        <w:rPr>
          <w:rFonts w:cs="Times New Roman"/>
          <w:kern w:val="2"/>
          <w:sz w:val="20"/>
        </w:rPr>
      </w:pPr>
      <w:proofErr w:type="spellStart"/>
      <w:r w:rsidRPr="006F29F5">
        <w:rPr>
          <w:rFonts w:cs="Times New Roman"/>
          <w:kern w:val="2"/>
          <w:sz w:val="20"/>
        </w:rPr>
        <w:t>Messick</w:t>
      </w:r>
      <w:proofErr w:type="spellEnd"/>
      <w:r w:rsidR="002E044F" w:rsidRPr="006F29F5">
        <w:rPr>
          <w:rFonts w:cs="Times New Roman"/>
          <w:kern w:val="2"/>
          <w:sz w:val="20"/>
        </w:rPr>
        <w:t xml:space="preserve"> points out that</w:t>
      </w:r>
      <w:r w:rsidRPr="006F29F5">
        <w:rPr>
          <w:rFonts w:cs="Times New Roman"/>
          <w:kern w:val="2"/>
          <w:sz w:val="20"/>
        </w:rPr>
        <w:t xml:space="preserve"> financial disclosure requirements for public employees are also useful in asset recovery. Disclosure can provide evidence of a predicate offence if discrepancies exist between an official’s disclosed finances and other records. </w:t>
      </w:r>
      <w:proofErr w:type="spellStart"/>
      <w:r w:rsidRPr="006F29F5">
        <w:rPr>
          <w:rFonts w:cs="Times New Roman"/>
          <w:kern w:val="2"/>
          <w:sz w:val="20"/>
        </w:rPr>
        <w:t>Messick</w:t>
      </w:r>
      <w:proofErr w:type="spellEnd"/>
      <w:r w:rsidRPr="006F29F5">
        <w:rPr>
          <w:rFonts w:cs="Times New Roman"/>
          <w:kern w:val="2"/>
          <w:sz w:val="20"/>
        </w:rPr>
        <w:t xml:space="preserve"> recommends that States create a criminal offence around non-reporting to support asset recovery actions. He also recommends following Trinidad’s example in making forfeiture of an asset automatic when an offic</w:t>
      </w:r>
      <w:r w:rsidR="0075732A" w:rsidRPr="006F29F5">
        <w:rPr>
          <w:rFonts w:cs="Times New Roman"/>
          <w:kern w:val="2"/>
          <w:sz w:val="20"/>
        </w:rPr>
        <w:t>ial knowingly omits the asset from</w:t>
      </w:r>
      <w:r w:rsidRPr="006F29F5">
        <w:rPr>
          <w:rFonts w:cs="Times New Roman"/>
          <w:kern w:val="2"/>
          <w:sz w:val="20"/>
        </w:rPr>
        <w:t xml:space="preserve"> disclosure statements.</w:t>
      </w:r>
      <w:r w:rsidRPr="006F29F5">
        <w:rPr>
          <w:rStyle w:val="FootnoteReference"/>
          <w:rFonts w:cs="Times New Roman"/>
          <w:kern w:val="2"/>
          <w:sz w:val="20"/>
        </w:rPr>
        <w:footnoteReference w:id="268"/>
      </w:r>
      <w:r w:rsidRPr="006F29F5">
        <w:rPr>
          <w:rFonts w:cs="Times New Roman"/>
          <w:kern w:val="2"/>
          <w:sz w:val="20"/>
        </w:rPr>
        <w:t xml:space="preserve"> </w:t>
      </w:r>
    </w:p>
    <w:p w14:paraId="16552D91" w14:textId="16A71B6A" w:rsidR="006F336C" w:rsidRPr="006F29F5" w:rsidRDefault="006F336C" w:rsidP="00C81ED8">
      <w:pPr>
        <w:rPr>
          <w:rFonts w:cs="Times New Roman"/>
          <w:b/>
          <w:kern w:val="2"/>
          <w:sz w:val="20"/>
        </w:rPr>
      </w:pPr>
      <w:r w:rsidRPr="006F29F5">
        <w:rPr>
          <w:rFonts w:cs="Times New Roman"/>
          <w:b/>
          <w:kern w:val="2"/>
          <w:sz w:val="20"/>
        </w:rPr>
        <w:t>(</w:t>
      </w:r>
      <w:r w:rsidR="000B67CA" w:rsidRPr="006F29F5">
        <w:rPr>
          <w:rFonts w:cs="Times New Roman"/>
          <w:b/>
          <w:kern w:val="2"/>
          <w:sz w:val="20"/>
        </w:rPr>
        <w:t>6</w:t>
      </w:r>
      <w:r w:rsidRPr="006F29F5">
        <w:rPr>
          <w:rFonts w:cs="Times New Roman"/>
          <w:b/>
          <w:kern w:val="2"/>
          <w:sz w:val="20"/>
        </w:rPr>
        <w:t>) Donor Assistance to Assist Poor Countries in Pursuing Asset Recovery</w:t>
      </w:r>
    </w:p>
    <w:p w14:paraId="300EDE71" w14:textId="30620657" w:rsidR="000943B4" w:rsidRPr="006F29F5" w:rsidRDefault="00345D53" w:rsidP="00C81ED8">
      <w:pPr>
        <w:rPr>
          <w:rFonts w:cs="Times New Roman"/>
          <w:kern w:val="2"/>
          <w:sz w:val="20"/>
        </w:rPr>
      </w:pPr>
      <w:r w:rsidRPr="006F29F5">
        <w:rPr>
          <w:rFonts w:cs="Times New Roman"/>
          <w:kern w:val="2"/>
          <w:sz w:val="20"/>
        </w:rPr>
        <w:t xml:space="preserve">Finally, Mason recommends that aid agencies contribute resources to asset recovery proceedings in donor countries as a means to assisting development in </w:t>
      </w:r>
      <w:proofErr w:type="spellStart"/>
      <w:r w:rsidRPr="006F29F5">
        <w:rPr>
          <w:rFonts w:cs="Times New Roman"/>
          <w:kern w:val="2"/>
          <w:sz w:val="20"/>
        </w:rPr>
        <w:t>donee</w:t>
      </w:r>
      <w:proofErr w:type="spellEnd"/>
      <w:r w:rsidRPr="006F29F5">
        <w:rPr>
          <w:rFonts w:cs="Times New Roman"/>
          <w:kern w:val="2"/>
          <w:sz w:val="20"/>
        </w:rPr>
        <w:t xml:space="preserve"> countries, since </w:t>
      </w:r>
      <w:proofErr w:type="spellStart"/>
      <w:r w:rsidRPr="006F29F5">
        <w:rPr>
          <w:rFonts w:cs="Times New Roman"/>
          <w:kern w:val="2"/>
          <w:sz w:val="20"/>
        </w:rPr>
        <w:t>donees</w:t>
      </w:r>
      <w:proofErr w:type="spellEnd"/>
      <w:r w:rsidRPr="006F29F5">
        <w:rPr>
          <w:rFonts w:cs="Times New Roman"/>
          <w:kern w:val="2"/>
          <w:sz w:val="20"/>
        </w:rPr>
        <w:t xml:space="preserve"> often lack the resources to carry out MLA requests and transnational proceedings.</w:t>
      </w:r>
      <w:r w:rsidRPr="006F29F5">
        <w:rPr>
          <w:rStyle w:val="FootnoteReference"/>
          <w:rFonts w:cs="Times New Roman"/>
          <w:kern w:val="2"/>
          <w:sz w:val="20"/>
        </w:rPr>
        <w:footnoteReference w:id="269"/>
      </w:r>
      <w:r w:rsidR="00B465CC" w:rsidRPr="006F29F5">
        <w:rPr>
          <w:rFonts w:cs="Times New Roman"/>
          <w:kern w:val="2"/>
          <w:sz w:val="20"/>
        </w:rPr>
        <w:t xml:space="preserve"> </w:t>
      </w:r>
      <w:proofErr w:type="spellStart"/>
      <w:r w:rsidR="00B465CC" w:rsidRPr="006F29F5">
        <w:rPr>
          <w:rFonts w:cs="Times New Roman"/>
          <w:kern w:val="2"/>
          <w:sz w:val="20"/>
        </w:rPr>
        <w:t>StAR</w:t>
      </w:r>
      <w:proofErr w:type="spellEnd"/>
      <w:r w:rsidR="00B465CC" w:rsidRPr="006F29F5">
        <w:rPr>
          <w:rFonts w:cs="Times New Roman"/>
          <w:kern w:val="2"/>
          <w:sz w:val="20"/>
        </w:rPr>
        <w:t xml:space="preserve"> echoes this recommendation, advising development agencies to allocate assistance funds to domestic law enforcement efforts that could lead to return of assets to developing countries.</w:t>
      </w:r>
      <w:r w:rsidR="00B465CC" w:rsidRPr="006F29F5">
        <w:rPr>
          <w:rStyle w:val="FootnoteReference"/>
          <w:rFonts w:cs="Times New Roman"/>
          <w:kern w:val="2"/>
          <w:sz w:val="20"/>
        </w:rPr>
        <w:footnoteReference w:id="270"/>
      </w:r>
    </w:p>
    <w:p w14:paraId="6BA6DE44" w14:textId="117E7B4F" w:rsidR="00F81C2C" w:rsidRPr="006F29F5" w:rsidRDefault="00F81C2C" w:rsidP="00BD3FB5">
      <w:pPr>
        <w:pStyle w:val="Heading1"/>
        <w:rPr>
          <w:sz w:val="28"/>
        </w:rPr>
      </w:pPr>
      <w:bookmarkStart w:id="57" w:name="_Toc291766622"/>
      <w:bookmarkStart w:id="58" w:name="_Toc420329387"/>
      <w:bookmarkStart w:id="59" w:name="_Toc489962000"/>
      <w:bookmarkStart w:id="60" w:name="_Toc505351645"/>
      <w:r w:rsidRPr="006F29F5">
        <w:rPr>
          <w:sz w:val="28"/>
        </w:rPr>
        <w:t>International Mutual Legal Assistance Agreements</w:t>
      </w:r>
      <w:bookmarkEnd w:id="57"/>
      <w:bookmarkEnd w:id="58"/>
      <w:bookmarkEnd w:id="59"/>
      <w:bookmarkEnd w:id="60"/>
    </w:p>
    <w:p w14:paraId="39706473" w14:textId="01D3DFAB" w:rsidR="00F81C2C" w:rsidRPr="006F29F5" w:rsidRDefault="00F81C2C" w:rsidP="00451D12">
      <w:pPr>
        <w:pStyle w:val="Heading2"/>
        <w:rPr>
          <w:kern w:val="2"/>
          <w:sz w:val="24"/>
        </w:rPr>
      </w:pPr>
      <w:bookmarkStart w:id="61" w:name="_Toc287778579"/>
      <w:bookmarkStart w:id="62" w:name="_Toc291766623"/>
      <w:bookmarkStart w:id="63" w:name="_Toc420329388"/>
      <w:bookmarkStart w:id="64" w:name="_Toc489962001"/>
      <w:r w:rsidRPr="006F29F5">
        <w:rPr>
          <w:kern w:val="2"/>
          <w:sz w:val="24"/>
        </w:rPr>
        <w:t>Introduction to Mutual Legal Assistance Agreements</w:t>
      </w:r>
      <w:bookmarkEnd w:id="61"/>
      <w:bookmarkEnd w:id="62"/>
      <w:bookmarkEnd w:id="63"/>
      <w:bookmarkEnd w:id="64"/>
    </w:p>
    <w:p w14:paraId="1CD511F8" w14:textId="4657E83C" w:rsidR="00F81C2C" w:rsidRPr="006F29F5" w:rsidRDefault="00F81C2C" w:rsidP="00C81ED8">
      <w:pPr>
        <w:spacing w:before="60" w:after="120"/>
        <w:rPr>
          <w:rFonts w:cs="Times New Roman"/>
          <w:kern w:val="2"/>
          <w:sz w:val="20"/>
        </w:rPr>
      </w:pPr>
      <w:r w:rsidRPr="006F29F5">
        <w:rPr>
          <w:rFonts w:cs="Times New Roman"/>
          <w:kern w:val="2"/>
          <w:sz w:val="20"/>
        </w:rPr>
        <w:t>Mutual legal assistance is a process by which jurisdictions seek and provide assistance to other jurisdictions in the gathering of evidence, investigation and prosecution of criminal cases, and in tracing, freezing, seizing and confiscating proceeds of crime. It facilitates cooperation in dealing with transnational and multinational cases of corruption.</w:t>
      </w:r>
      <w:r w:rsidR="00220AC9" w:rsidRPr="006F29F5">
        <w:rPr>
          <w:rFonts w:cs="Times New Roman"/>
          <w:kern w:val="2"/>
          <w:sz w:val="20"/>
        </w:rPr>
        <w:t xml:space="preserve"> </w:t>
      </w:r>
      <w:r w:rsidRPr="006F29F5">
        <w:rPr>
          <w:rFonts w:cs="Times New Roman"/>
          <w:kern w:val="2"/>
          <w:sz w:val="20"/>
        </w:rPr>
        <w:t xml:space="preserve">Agreements oblige requested </w:t>
      </w:r>
      <w:r w:rsidR="00FB0B3B" w:rsidRPr="006F29F5">
        <w:rPr>
          <w:rFonts w:cs="Times New Roman"/>
          <w:kern w:val="2"/>
          <w:sz w:val="20"/>
        </w:rPr>
        <w:t>S</w:t>
      </w:r>
      <w:r w:rsidRPr="006F29F5">
        <w:rPr>
          <w:rFonts w:cs="Times New Roman"/>
          <w:kern w:val="2"/>
          <w:sz w:val="20"/>
        </w:rPr>
        <w:t xml:space="preserve">tates to cooperate with requests. There are two types of mutual legal assistance agreements – bilateral (between two states) and multilateral (between more than two states). UNCAC, UNTOC, </w:t>
      </w:r>
      <w:r w:rsidR="0075732A" w:rsidRPr="006F29F5">
        <w:rPr>
          <w:rFonts w:cs="Times New Roman"/>
          <w:kern w:val="2"/>
          <w:sz w:val="20"/>
        </w:rPr>
        <w:t xml:space="preserve">the </w:t>
      </w:r>
      <w:r w:rsidRPr="006F29F5">
        <w:rPr>
          <w:rFonts w:cs="Times New Roman"/>
          <w:kern w:val="2"/>
          <w:sz w:val="20"/>
        </w:rPr>
        <w:t xml:space="preserve">OECD Convention and the Southeast Asian Mutual Legal Assistance in Criminal Matters are examples of multilateral conventions that provide mutual legal assistance in corruption cases. </w:t>
      </w:r>
    </w:p>
    <w:p w14:paraId="351F089F" w14:textId="1BC2AF8A" w:rsidR="00F81C2C" w:rsidRPr="006F29F5" w:rsidRDefault="00F81C2C" w:rsidP="00C81ED8">
      <w:pPr>
        <w:spacing w:before="60" w:after="120"/>
        <w:rPr>
          <w:rFonts w:cs="Times New Roman"/>
          <w:kern w:val="2"/>
          <w:sz w:val="20"/>
        </w:rPr>
      </w:pPr>
      <w:r w:rsidRPr="006F29F5">
        <w:rPr>
          <w:rFonts w:cs="Times New Roman"/>
          <w:kern w:val="2"/>
          <w:sz w:val="20"/>
        </w:rPr>
        <w:t>Mutual legal assistance may be requested for a broad range of anti-corruption activities: see Art</w:t>
      </w:r>
      <w:r w:rsidR="0075732A" w:rsidRPr="006F29F5">
        <w:rPr>
          <w:rFonts w:cs="Times New Roman"/>
          <w:kern w:val="2"/>
          <w:sz w:val="20"/>
        </w:rPr>
        <w:t>icle</w:t>
      </w:r>
      <w:r w:rsidRPr="006F29F5">
        <w:rPr>
          <w:rFonts w:cs="Times New Roman"/>
          <w:kern w:val="2"/>
          <w:sz w:val="20"/>
        </w:rPr>
        <w:t xml:space="preserve"> 46(3) of UNCAC, set out below. In most instances</w:t>
      </w:r>
      <w:r w:rsidR="00DE7001" w:rsidRPr="006F29F5">
        <w:rPr>
          <w:rFonts w:cs="Times New Roman"/>
          <w:kern w:val="2"/>
          <w:sz w:val="20"/>
        </w:rPr>
        <w:t>,</w:t>
      </w:r>
      <w:r w:rsidRPr="006F29F5">
        <w:rPr>
          <w:rFonts w:cs="Times New Roman"/>
          <w:kern w:val="2"/>
          <w:sz w:val="20"/>
        </w:rPr>
        <w:t xml:space="preserve"> a jurisdiction requests the assistance of another jurisdiction through a formal written request, although mutual legal assistance can and is sometimes provided witho</w:t>
      </w:r>
      <w:r w:rsidR="0075732A" w:rsidRPr="006F29F5">
        <w:rPr>
          <w:rFonts w:cs="Times New Roman"/>
          <w:kern w:val="2"/>
          <w:sz w:val="20"/>
        </w:rPr>
        <w:t>ut a formal request: UNCAC, Article</w:t>
      </w:r>
      <w:r w:rsidRPr="006F29F5">
        <w:rPr>
          <w:rFonts w:cs="Times New Roman"/>
          <w:kern w:val="2"/>
          <w:sz w:val="20"/>
        </w:rPr>
        <w:t xml:space="preserve"> 46(4). </w:t>
      </w:r>
    </w:p>
    <w:p w14:paraId="029A9814" w14:textId="48075FF1" w:rsidR="00F81C2C" w:rsidRPr="006F29F5" w:rsidRDefault="00F81C2C" w:rsidP="00C81ED8">
      <w:pPr>
        <w:autoSpaceDE w:val="0"/>
        <w:autoSpaceDN w:val="0"/>
        <w:adjustRightInd w:val="0"/>
        <w:rPr>
          <w:rFonts w:cs="Times New Roman"/>
          <w:kern w:val="2"/>
          <w:sz w:val="20"/>
        </w:rPr>
      </w:pPr>
      <w:r w:rsidRPr="006F29F5">
        <w:rPr>
          <w:rFonts w:cs="Times New Roman"/>
          <w:kern w:val="2"/>
          <w:sz w:val="20"/>
        </w:rPr>
        <w:t xml:space="preserve">The United Nations Office on Drugs and Crime states the importance of mutual legal assistance in the </w:t>
      </w:r>
      <w:r w:rsidRPr="006F29F5">
        <w:rPr>
          <w:rFonts w:cs="Times New Roman"/>
          <w:i/>
          <w:kern w:val="2"/>
          <w:sz w:val="20"/>
        </w:rPr>
        <w:t>Revised Manuals on the Model Treaty on Extradition and on the Model Treaty on Mutual Assistance in Criminal Matters</w:t>
      </w:r>
      <w:r w:rsidRPr="006F29F5">
        <w:rPr>
          <w:rFonts w:cs="Times New Roman"/>
          <w:kern w:val="2"/>
          <w:sz w:val="20"/>
        </w:rPr>
        <w:t xml:space="preserve">: </w:t>
      </w:r>
    </w:p>
    <w:p w14:paraId="158B51F2" w14:textId="0B36904B" w:rsidR="00787E8D" w:rsidRPr="006F29F5" w:rsidRDefault="00F81C2C" w:rsidP="00451D12">
      <w:pPr>
        <w:pStyle w:val="BlockQuote"/>
        <w:rPr>
          <w:kern w:val="2"/>
          <w:sz w:val="20"/>
        </w:rPr>
      </w:pPr>
      <w:r w:rsidRPr="006F29F5">
        <w:rPr>
          <w:kern w:val="2"/>
          <w:sz w:val="20"/>
        </w:rPr>
        <w:t>The importance of effective mutual (legal) assistance as a tool to combat transnational crime cannot be overstated. Whatever the applicable legal system or tradition, criminal investigations and proceedings are based on evidence and increasingly that evidence in the criminal context is located outside of national borders. As a result, there is now an increased emphasis on a global level on the need to develop effective instruments that will allow for seeking and rendering assistance with cross border evidence gathering. While law enforcement co-operation by way of informal agreement and otherwise remains an important component of international cooperation, there are inherent limits to it in that it will not generally extend to the use of compulsory measures. Similarly, court to court requests, particularly as between states of different legal traditions may be of limited application and can prove slow and time consuming. For this reason, many states are striving to adopt instruments and measures to allow for the rendering of formal mutual (legal) assistance in a direct and effective manner.</w:t>
      </w:r>
      <w:r w:rsidR="00C04230" w:rsidRPr="006F29F5">
        <w:rPr>
          <w:rStyle w:val="FootnoteReference"/>
          <w:rFonts w:cs="Times New Roman"/>
          <w:kern w:val="2"/>
          <w:sz w:val="20"/>
          <w:szCs w:val="21"/>
        </w:rPr>
        <w:footnoteReference w:id="271"/>
      </w:r>
    </w:p>
    <w:p w14:paraId="1AD6E53B" w14:textId="5FE34B83" w:rsidR="00F81C2C" w:rsidRPr="006F29F5" w:rsidRDefault="00787E8D" w:rsidP="00787E8D">
      <w:pPr>
        <w:rPr>
          <w:rFonts w:cs="Times New Roman"/>
          <w:color w:val="FF0000"/>
          <w:kern w:val="2"/>
          <w:sz w:val="20"/>
          <w:lang w:val="ru-RU"/>
        </w:rPr>
      </w:pPr>
      <w:r w:rsidRPr="006F29F5">
        <w:rPr>
          <w:rFonts w:cs="Times New Roman"/>
          <w:color w:val="000000" w:themeColor="text1"/>
          <w:kern w:val="2"/>
          <w:sz w:val="20"/>
        </w:rPr>
        <w:t>In general, MLA is a three-step process that involves (1) preparing for MLA, (2) drafting and (3) submitting a request for MLA.</w:t>
      </w:r>
      <w:r w:rsidRPr="006F29F5">
        <w:rPr>
          <w:rStyle w:val="FootnoteReference"/>
          <w:rFonts w:cs="Times New Roman"/>
          <w:color w:val="000000" w:themeColor="text1"/>
          <w:kern w:val="2"/>
          <w:sz w:val="20"/>
        </w:rPr>
        <w:footnoteReference w:id="272"/>
      </w:r>
      <w:r w:rsidRPr="006F29F5">
        <w:rPr>
          <w:color w:val="000000" w:themeColor="text1"/>
          <w:kern w:val="2"/>
          <w:sz w:val="20"/>
        </w:rPr>
        <w:t xml:space="preserve"> </w:t>
      </w:r>
      <w:r w:rsidRPr="006F29F5">
        <w:rPr>
          <w:rFonts w:cs="Times New Roman"/>
          <w:color w:val="000000" w:themeColor="text1"/>
          <w:kern w:val="2"/>
          <w:sz w:val="20"/>
        </w:rPr>
        <w:t>Prior to drafting a request for MLA, the requesting authority decide</w:t>
      </w:r>
      <w:r w:rsidR="00E57863" w:rsidRPr="006F29F5">
        <w:rPr>
          <w:rFonts w:cs="Times New Roman"/>
          <w:color w:val="000000" w:themeColor="text1"/>
          <w:kern w:val="2"/>
          <w:sz w:val="20"/>
        </w:rPr>
        <w:t>s</w:t>
      </w:r>
      <w:r w:rsidRPr="006F29F5">
        <w:rPr>
          <w:rFonts w:cs="Times New Roman"/>
          <w:color w:val="000000" w:themeColor="text1"/>
          <w:kern w:val="2"/>
          <w:sz w:val="20"/>
        </w:rPr>
        <w:t xml:space="preserve"> whether to use the MLA channels or another intelligence or informal method of cooperation</w:t>
      </w:r>
      <w:r w:rsidR="0074392B" w:rsidRPr="006F29F5">
        <w:rPr>
          <w:rFonts w:cs="Times New Roman"/>
          <w:color w:val="000000" w:themeColor="text1"/>
          <w:kern w:val="2"/>
          <w:sz w:val="20"/>
        </w:rPr>
        <w:t xml:space="preserve"> and </w:t>
      </w:r>
      <w:r w:rsidRPr="006F29F5">
        <w:rPr>
          <w:rFonts w:cs="Times New Roman"/>
          <w:color w:val="000000" w:themeColor="text1"/>
          <w:kern w:val="2"/>
          <w:sz w:val="20"/>
        </w:rPr>
        <w:t>determine</w:t>
      </w:r>
      <w:r w:rsidR="00E57863" w:rsidRPr="006F29F5">
        <w:rPr>
          <w:rFonts w:cs="Times New Roman"/>
          <w:color w:val="000000" w:themeColor="text1"/>
          <w:kern w:val="2"/>
          <w:sz w:val="20"/>
        </w:rPr>
        <w:t>s</w:t>
      </w:r>
      <w:r w:rsidRPr="006F29F5">
        <w:rPr>
          <w:rFonts w:cs="Times New Roman"/>
          <w:color w:val="000000" w:themeColor="text1"/>
          <w:kern w:val="2"/>
          <w:sz w:val="20"/>
        </w:rPr>
        <w:t xml:space="preserve"> the timing for submitting the request for MLA, </w:t>
      </w:r>
      <w:r w:rsidR="0074392B" w:rsidRPr="006F29F5">
        <w:rPr>
          <w:rFonts w:cs="Times New Roman"/>
          <w:color w:val="000000" w:themeColor="text1"/>
          <w:kern w:val="2"/>
          <w:sz w:val="20"/>
        </w:rPr>
        <w:t xml:space="preserve">the </w:t>
      </w:r>
      <w:r w:rsidRPr="006F29F5">
        <w:rPr>
          <w:rFonts w:cs="Times New Roman"/>
          <w:color w:val="000000" w:themeColor="text1"/>
          <w:kern w:val="2"/>
          <w:sz w:val="20"/>
        </w:rPr>
        <w:t xml:space="preserve">status of the authority requesting MLA, </w:t>
      </w:r>
      <w:r w:rsidR="0074392B" w:rsidRPr="006F29F5">
        <w:rPr>
          <w:rFonts w:cs="Times New Roman"/>
          <w:color w:val="000000" w:themeColor="text1"/>
          <w:kern w:val="2"/>
          <w:sz w:val="20"/>
        </w:rPr>
        <w:t xml:space="preserve">the </w:t>
      </w:r>
      <w:r w:rsidRPr="006F29F5">
        <w:rPr>
          <w:rFonts w:cs="Times New Roman"/>
          <w:color w:val="000000" w:themeColor="text1"/>
          <w:kern w:val="2"/>
          <w:sz w:val="20"/>
        </w:rPr>
        <w:t>type of assistance sought</w:t>
      </w:r>
      <w:r w:rsidR="00A4203B" w:rsidRPr="006F29F5">
        <w:rPr>
          <w:rFonts w:cs="Times New Roman"/>
          <w:color w:val="000000" w:themeColor="text1"/>
          <w:kern w:val="2"/>
          <w:sz w:val="20"/>
        </w:rPr>
        <w:t>,</w:t>
      </w:r>
      <w:r w:rsidRPr="006F29F5">
        <w:rPr>
          <w:rFonts w:cs="Times New Roman"/>
          <w:color w:val="000000" w:themeColor="text1"/>
          <w:kern w:val="2"/>
          <w:sz w:val="20"/>
        </w:rPr>
        <w:t xml:space="preserve"> and </w:t>
      </w:r>
      <w:r w:rsidR="0074392B" w:rsidRPr="006F29F5">
        <w:rPr>
          <w:rFonts w:cs="Times New Roman"/>
          <w:color w:val="000000" w:themeColor="text1"/>
          <w:kern w:val="2"/>
          <w:sz w:val="20"/>
        </w:rPr>
        <w:t xml:space="preserve">the </w:t>
      </w:r>
      <w:r w:rsidRPr="006F29F5">
        <w:rPr>
          <w:rFonts w:cs="Times New Roman"/>
          <w:color w:val="000000" w:themeColor="text1"/>
          <w:kern w:val="2"/>
          <w:sz w:val="20"/>
        </w:rPr>
        <w:t>legal basis for the request, as well as what criminal offence(s) are being investigated.</w:t>
      </w:r>
      <w:r w:rsidRPr="006F29F5">
        <w:rPr>
          <w:rStyle w:val="FootnoteReference"/>
          <w:rFonts w:cs="Times New Roman"/>
          <w:color w:val="000000" w:themeColor="text1"/>
          <w:kern w:val="2"/>
          <w:sz w:val="20"/>
        </w:rPr>
        <w:footnoteReference w:id="273"/>
      </w:r>
      <w:r w:rsidRPr="006F29F5">
        <w:rPr>
          <w:rFonts w:cs="Times New Roman"/>
          <w:color w:val="000000" w:themeColor="text1"/>
          <w:kern w:val="2"/>
          <w:sz w:val="20"/>
        </w:rPr>
        <w:t xml:space="preserve"> The request for MLA must contain basic identification information</w:t>
      </w:r>
      <w:r w:rsidR="006A5E2B" w:rsidRPr="006F29F5">
        <w:rPr>
          <w:rFonts w:cs="Times New Roman"/>
          <w:color w:val="000000" w:themeColor="text1"/>
          <w:kern w:val="2"/>
          <w:sz w:val="20"/>
        </w:rPr>
        <w:t>,</w:t>
      </w:r>
      <w:r w:rsidRPr="006F29F5">
        <w:rPr>
          <w:rFonts w:cs="Times New Roman"/>
          <w:color w:val="000000" w:themeColor="text1"/>
          <w:kern w:val="2"/>
          <w:sz w:val="20"/>
        </w:rPr>
        <w:t xml:space="preserve"> and the narrative section set</w:t>
      </w:r>
      <w:r w:rsidR="00E37BF0" w:rsidRPr="006F29F5">
        <w:rPr>
          <w:rFonts w:cs="Times New Roman"/>
          <w:color w:val="000000" w:themeColor="text1"/>
          <w:kern w:val="2"/>
          <w:sz w:val="20"/>
        </w:rPr>
        <w:t>s</w:t>
      </w:r>
      <w:r w:rsidRPr="006F29F5">
        <w:rPr>
          <w:rFonts w:cs="Times New Roman"/>
          <w:color w:val="000000" w:themeColor="text1"/>
          <w:kern w:val="2"/>
          <w:sz w:val="20"/>
        </w:rPr>
        <w:t xml:space="preserve"> out the facts of the case, description of the assistance sought,</w:t>
      </w:r>
      <w:r w:rsidRPr="006F29F5">
        <w:rPr>
          <w:color w:val="000000" w:themeColor="text1"/>
          <w:kern w:val="2"/>
          <w:sz w:val="20"/>
        </w:rPr>
        <w:t xml:space="preserve"> </w:t>
      </w:r>
      <w:r w:rsidRPr="006F29F5">
        <w:rPr>
          <w:rFonts w:cs="Times New Roman"/>
          <w:color w:val="000000" w:themeColor="text1"/>
          <w:kern w:val="2"/>
          <w:sz w:val="20"/>
        </w:rPr>
        <w:t>objectives of the request, any procedures to be observed, and transcription of the criminal offences.</w:t>
      </w:r>
      <w:r w:rsidRPr="006F29F5">
        <w:rPr>
          <w:rStyle w:val="FootnoteReference"/>
          <w:rFonts w:cs="Times New Roman"/>
          <w:color w:val="000000" w:themeColor="text1"/>
          <w:kern w:val="2"/>
          <w:sz w:val="20"/>
        </w:rPr>
        <w:footnoteReference w:id="274"/>
      </w:r>
      <w:r w:rsidRPr="006F29F5">
        <w:rPr>
          <w:rFonts w:cs="Times New Roman"/>
          <w:color w:val="000000" w:themeColor="text1"/>
          <w:kern w:val="2"/>
          <w:sz w:val="20"/>
        </w:rPr>
        <w:t xml:space="preserve"> Once prepared, the request may be transmitted via diplomatic channels (as the general rule), via central authorities or directly to the executing authority (if the applicable treaty or international agreement authorizes direct transmission).</w:t>
      </w:r>
      <w:r w:rsidRPr="006F29F5">
        <w:rPr>
          <w:rStyle w:val="FootnoteReference"/>
          <w:rFonts w:cs="Times New Roman"/>
          <w:color w:val="000000" w:themeColor="text1"/>
          <w:kern w:val="2"/>
          <w:sz w:val="20"/>
        </w:rPr>
        <w:footnoteReference w:id="275"/>
      </w:r>
    </w:p>
    <w:p w14:paraId="4124C307" w14:textId="610E6F62" w:rsidR="00F81C2C" w:rsidRPr="006F29F5" w:rsidRDefault="00F81C2C" w:rsidP="00451D12">
      <w:pPr>
        <w:pStyle w:val="Heading2"/>
        <w:rPr>
          <w:kern w:val="2"/>
          <w:sz w:val="24"/>
        </w:rPr>
      </w:pPr>
      <w:bookmarkStart w:id="65" w:name="_Toc287778580"/>
      <w:bookmarkStart w:id="66" w:name="_Toc291766624"/>
      <w:bookmarkStart w:id="67" w:name="_Toc420329389"/>
      <w:bookmarkStart w:id="68" w:name="_Toc489962002"/>
      <w:r w:rsidRPr="006F29F5">
        <w:rPr>
          <w:kern w:val="2"/>
          <w:sz w:val="24"/>
        </w:rPr>
        <w:t>Legal Basis for MLA</w:t>
      </w:r>
      <w:bookmarkEnd w:id="65"/>
      <w:bookmarkEnd w:id="66"/>
      <w:bookmarkEnd w:id="67"/>
      <w:bookmarkEnd w:id="68"/>
    </w:p>
    <w:p w14:paraId="465F676E" w14:textId="017A0E5C" w:rsidR="00F81C2C" w:rsidRPr="006F29F5" w:rsidRDefault="00F81C2C" w:rsidP="00C81ED8">
      <w:pPr>
        <w:rPr>
          <w:rFonts w:cs="Times New Roman"/>
          <w:kern w:val="2"/>
          <w:sz w:val="20"/>
        </w:rPr>
      </w:pPr>
      <w:r w:rsidRPr="006F29F5">
        <w:rPr>
          <w:rFonts w:cs="Times New Roman"/>
          <w:kern w:val="2"/>
          <w:sz w:val="20"/>
        </w:rPr>
        <w:t xml:space="preserve">The legal basis for mutual legal assistance can arise out of (1) a convention, (2) a unilateral treaty (one country to another) or a bilateral treaty (between multiple countries), (3) unilateral and bilateral agreements, and (4) domestic legislation. Executing a large number of unilateral or bilateral treaties or agreements can be expensive and time consuming, especially where there are no other treaty arrangements with </w:t>
      </w:r>
      <w:r w:rsidR="003D0724" w:rsidRPr="006F29F5">
        <w:rPr>
          <w:rFonts w:cs="Times New Roman"/>
          <w:kern w:val="2"/>
          <w:sz w:val="20"/>
        </w:rPr>
        <w:t>a</w:t>
      </w:r>
      <w:r w:rsidRPr="006F29F5">
        <w:rPr>
          <w:rFonts w:cs="Times New Roman"/>
          <w:kern w:val="2"/>
          <w:sz w:val="20"/>
        </w:rPr>
        <w:t xml:space="preserve"> country. As an alternative, some countries, like Australia, Thailand and Japan, have enacted domestic legislation authorizing mutual legal assistance to countries where there is no treaty.</w:t>
      </w:r>
      <w:r w:rsidRPr="006F29F5">
        <w:rPr>
          <w:rStyle w:val="FootnoteReference"/>
          <w:rFonts w:cs="Times New Roman"/>
          <w:kern w:val="2"/>
          <w:sz w:val="20"/>
        </w:rPr>
        <w:footnoteReference w:id="276"/>
      </w:r>
      <w:r w:rsidRPr="006F29F5">
        <w:rPr>
          <w:rFonts w:cs="Times New Roman"/>
          <w:kern w:val="2"/>
          <w:sz w:val="20"/>
        </w:rPr>
        <w:t xml:space="preserve"> The assistance is usually premised on promises of reciprocity. Reciprocity is a promise between </w:t>
      </w:r>
      <w:r w:rsidR="00461747" w:rsidRPr="006F29F5">
        <w:rPr>
          <w:rFonts w:cs="Times New Roman"/>
          <w:kern w:val="2"/>
          <w:sz w:val="20"/>
        </w:rPr>
        <w:t>S</w:t>
      </w:r>
      <w:r w:rsidRPr="006F29F5">
        <w:rPr>
          <w:rFonts w:cs="Times New Roman"/>
          <w:kern w:val="2"/>
          <w:sz w:val="20"/>
        </w:rPr>
        <w:t xml:space="preserve">tates that the requesting State will provide the requested State with the same assistance in the future. The terms and procedures for such assistance are similar to that found in treaties. However, only treaties can bind </w:t>
      </w:r>
      <w:r w:rsidR="00461747" w:rsidRPr="006F29F5">
        <w:rPr>
          <w:rFonts w:cs="Times New Roman"/>
          <w:kern w:val="2"/>
          <w:sz w:val="20"/>
        </w:rPr>
        <w:t>S</w:t>
      </w:r>
      <w:r w:rsidRPr="006F29F5">
        <w:rPr>
          <w:rFonts w:cs="Times New Roman"/>
          <w:kern w:val="2"/>
          <w:sz w:val="20"/>
        </w:rPr>
        <w:t>tates under international l</w:t>
      </w:r>
      <w:r w:rsidR="00793415" w:rsidRPr="006F29F5">
        <w:rPr>
          <w:rFonts w:cs="Times New Roman"/>
          <w:kern w:val="2"/>
          <w:sz w:val="20"/>
        </w:rPr>
        <w:t>aw</w:t>
      </w:r>
      <w:r w:rsidRPr="006F29F5">
        <w:rPr>
          <w:rFonts w:cs="Times New Roman"/>
          <w:kern w:val="2"/>
          <w:sz w:val="20"/>
        </w:rPr>
        <w:t xml:space="preserve">, and therefore legislation does not oblige the requested jurisdiction to assist the foreign requesting </w:t>
      </w:r>
      <w:r w:rsidR="00461747" w:rsidRPr="006F29F5">
        <w:rPr>
          <w:rFonts w:cs="Times New Roman"/>
          <w:kern w:val="2"/>
          <w:sz w:val="20"/>
        </w:rPr>
        <w:t>S</w:t>
      </w:r>
      <w:r w:rsidRPr="006F29F5">
        <w:rPr>
          <w:rFonts w:cs="Times New Roman"/>
          <w:kern w:val="2"/>
          <w:sz w:val="20"/>
        </w:rPr>
        <w:t xml:space="preserve">tates. </w:t>
      </w:r>
    </w:p>
    <w:p w14:paraId="563C62F9" w14:textId="3838472A" w:rsidR="00F81C2C" w:rsidRPr="006F29F5" w:rsidRDefault="00F81C2C" w:rsidP="00451D12">
      <w:pPr>
        <w:pStyle w:val="Heading2"/>
        <w:rPr>
          <w:kern w:val="2"/>
          <w:sz w:val="24"/>
        </w:rPr>
      </w:pPr>
      <w:bookmarkStart w:id="69" w:name="_Toc287778581"/>
      <w:bookmarkStart w:id="70" w:name="_Toc291766625"/>
      <w:bookmarkStart w:id="71" w:name="_Toc420329390"/>
      <w:bookmarkStart w:id="72" w:name="_Toc489962003"/>
      <w:r w:rsidRPr="006F29F5">
        <w:rPr>
          <w:kern w:val="2"/>
          <w:sz w:val="24"/>
        </w:rPr>
        <w:t xml:space="preserve">Mutual Legal Assistance </w:t>
      </w:r>
      <w:r w:rsidR="00793415" w:rsidRPr="006F29F5">
        <w:rPr>
          <w:kern w:val="2"/>
          <w:sz w:val="24"/>
        </w:rPr>
        <w:t>under</w:t>
      </w:r>
      <w:r w:rsidRPr="006F29F5">
        <w:rPr>
          <w:kern w:val="2"/>
          <w:sz w:val="24"/>
        </w:rPr>
        <w:t xml:space="preserve"> UNCAC</w:t>
      </w:r>
      <w:bookmarkEnd w:id="69"/>
      <w:bookmarkEnd w:id="70"/>
      <w:bookmarkEnd w:id="71"/>
      <w:bookmarkEnd w:id="72"/>
    </w:p>
    <w:p w14:paraId="59D700AC" w14:textId="4C2F857B" w:rsidR="00F81C2C" w:rsidRPr="006F29F5" w:rsidRDefault="00F81C2C" w:rsidP="00D8784D">
      <w:pPr>
        <w:spacing w:before="60"/>
        <w:rPr>
          <w:rFonts w:cs="Times New Roman"/>
          <w:kern w:val="2"/>
          <w:sz w:val="20"/>
        </w:rPr>
      </w:pPr>
      <w:r w:rsidRPr="006F29F5">
        <w:rPr>
          <w:rFonts w:cs="Times New Roman"/>
          <w:kern w:val="2"/>
          <w:sz w:val="20"/>
        </w:rPr>
        <w:t>Article 46 of UNCAC states</w:t>
      </w:r>
      <w:r w:rsidR="008B6571" w:rsidRPr="006F29F5">
        <w:rPr>
          <w:rFonts w:cs="Times New Roman"/>
          <w:kern w:val="2"/>
          <w:sz w:val="20"/>
        </w:rPr>
        <w:t>:</w:t>
      </w:r>
    </w:p>
    <w:p w14:paraId="50B9AABF" w14:textId="77777777" w:rsidR="00981230" w:rsidRPr="006F29F5" w:rsidRDefault="00981230" w:rsidP="00911900">
      <w:pPr>
        <w:pStyle w:val="BlockQuote"/>
        <w:numPr>
          <w:ilvl w:val="0"/>
          <w:numId w:val="70"/>
        </w:numPr>
        <w:rPr>
          <w:sz w:val="20"/>
        </w:rPr>
      </w:pPr>
      <w:r w:rsidRPr="006F29F5">
        <w:rPr>
          <w:sz w:val="20"/>
        </w:rPr>
        <w:t>State Parties shall afford one another the widest measure of mutual legal assistance in investigations, prosecutions and judicial proceedings in relation to the offences covered by this Convention.</w:t>
      </w:r>
    </w:p>
    <w:p w14:paraId="7DD836CD" w14:textId="77777777" w:rsidR="00981230" w:rsidRPr="006F29F5" w:rsidRDefault="00981230" w:rsidP="00911900">
      <w:pPr>
        <w:pStyle w:val="BlockQuote"/>
        <w:numPr>
          <w:ilvl w:val="0"/>
          <w:numId w:val="70"/>
        </w:numPr>
        <w:rPr>
          <w:sz w:val="20"/>
        </w:rPr>
      </w:pPr>
      <w:r w:rsidRPr="006F29F5">
        <w:rPr>
          <w:sz w:val="20"/>
        </w:rPr>
        <w:t xml:space="preserve">Mutual legal assistance shall be afforded to the fullest extent possible under relevant laws, treaties, agreements and arrangements of the requested State Party with respect to investigations, prosecutions and judicial proceedings in relation to the offences for which a legal person may be held liable in accordance with article 26 of this Convention in the requesting State Party. </w:t>
      </w:r>
    </w:p>
    <w:p w14:paraId="6ABB595F" w14:textId="77777777" w:rsidR="00981230" w:rsidRPr="006F29F5" w:rsidRDefault="00981230" w:rsidP="00911900">
      <w:pPr>
        <w:pStyle w:val="BlockQuote"/>
        <w:numPr>
          <w:ilvl w:val="0"/>
          <w:numId w:val="70"/>
        </w:numPr>
        <w:rPr>
          <w:sz w:val="20"/>
        </w:rPr>
      </w:pPr>
      <w:r w:rsidRPr="006F29F5">
        <w:rPr>
          <w:sz w:val="20"/>
        </w:rPr>
        <w:t>Mutual legal assistance to be afforded in accordance with this article may be requested for any of the following purposes:</w:t>
      </w:r>
    </w:p>
    <w:p w14:paraId="306077F1" w14:textId="77777777" w:rsidR="00981230" w:rsidRPr="006F29F5" w:rsidRDefault="00981230" w:rsidP="00911900">
      <w:pPr>
        <w:pStyle w:val="BlockQuote"/>
        <w:numPr>
          <w:ilvl w:val="0"/>
          <w:numId w:val="71"/>
        </w:numPr>
        <w:rPr>
          <w:sz w:val="20"/>
        </w:rPr>
      </w:pPr>
      <w:r w:rsidRPr="006F29F5">
        <w:rPr>
          <w:sz w:val="20"/>
        </w:rPr>
        <w:t>Taking evidence or statements from persons;</w:t>
      </w:r>
    </w:p>
    <w:p w14:paraId="7FE617A3" w14:textId="77777777" w:rsidR="00981230" w:rsidRPr="006F29F5" w:rsidRDefault="00981230" w:rsidP="00911900">
      <w:pPr>
        <w:pStyle w:val="BlockQuote"/>
        <w:numPr>
          <w:ilvl w:val="0"/>
          <w:numId w:val="71"/>
        </w:numPr>
        <w:rPr>
          <w:sz w:val="20"/>
        </w:rPr>
      </w:pPr>
      <w:r w:rsidRPr="006F29F5">
        <w:rPr>
          <w:sz w:val="20"/>
        </w:rPr>
        <w:t>Effecting service of judicial documents;</w:t>
      </w:r>
    </w:p>
    <w:p w14:paraId="3925C62C" w14:textId="77777777" w:rsidR="00981230" w:rsidRPr="006F29F5" w:rsidRDefault="00981230" w:rsidP="00911900">
      <w:pPr>
        <w:pStyle w:val="BlockQuote"/>
        <w:numPr>
          <w:ilvl w:val="0"/>
          <w:numId w:val="71"/>
        </w:numPr>
        <w:rPr>
          <w:sz w:val="20"/>
        </w:rPr>
      </w:pPr>
      <w:r w:rsidRPr="006F29F5">
        <w:rPr>
          <w:sz w:val="20"/>
        </w:rPr>
        <w:t>Executing searches and seizures, and freezing;</w:t>
      </w:r>
    </w:p>
    <w:p w14:paraId="7930467F" w14:textId="77777777" w:rsidR="00981230" w:rsidRPr="006F29F5" w:rsidRDefault="00981230" w:rsidP="00911900">
      <w:pPr>
        <w:pStyle w:val="BlockQuote"/>
        <w:numPr>
          <w:ilvl w:val="0"/>
          <w:numId w:val="71"/>
        </w:numPr>
        <w:rPr>
          <w:sz w:val="20"/>
        </w:rPr>
      </w:pPr>
      <w:r w:rsidRPr="006F29F5">
        <w:rPr>
          <w:sz w:val="20"/>
        </w:rPr>
        <w:t>Examining objects and sites;</w:t>
      </w:r>
    </w:p>
    <w:p w14:paraId="4C0D5F09" w14:textId="77777777" w:rsidR="00981230" w:rsidRPr="006F29F5" w:rsidRDefault="00981230" w:rsidP="00911900">
      <w:pPr>
        <w:pStyle w:val="BlockQuote"/>
        <w:numPr>
          <w:ilvl w:val="0"/>
          <w:numId w:val="71"/>
        </w:numPr>
        <w:rPr>
          <w:sz w:val="20"/>
        </w:rPr>
      </w:pPr>
      <w:r w:rsidRPr="006F29F5">
        <w:rPr>
          <w:sz w:val="20"/>
        </w:rPr>
        <w:t>Providing information, evidentiary items and expert evaluations;</w:t>
      </w:r>
    </w:p>
    <w:p w14:paraId="3803C180" w14:textId="77777777" w:rsidR="00981230" w:rsidRPr="006F29F5" w:rsidRDefault="00981230" w:rsidP="00911900">
      <w:pPr>
        <w:pStyle w:val="BlockQuote"/>
        <w:numPr>
          <w:ilvl w:val="0"/>
          <w:numId w:val="71"/>
        </w:numPr>
        <w:rPr>
          <w:sz w:val="20"/>
        </w:rPr>
      </w:pPr>
      <w:r w:rsidRPr="006F29F5">
        <w:rPr>
          <w:sz w:val="20"/>
        </w:rPr>
        <w:t>Providing originals or certified copies of relevant documents and records, including government, bank, financial, corporate or business records;</w:t>
      </w:r>
    </w:p>
    <w:p w14:paraId="03230E31" w14:textId="77777777" w:rsidR="00981230" w:rsidRPr="006F29F5" w:rsidRDefault="00981230" w:rsidP="00911900">
      <w:pPr>
        <w:pStyle w:val="BlockQuote"/>
        <w:numPr>
          <w:ilvl w:val="0"/>
          <w:numId w:val="71"/>
        </w:numPr>
        <w:rPr>
          <w:sz w:val="20"/>
        </w:rPr>
      </w:pPr>
      <w:r w:rsidRPr="006F29F5">
        <w:rPr>
          <w:sz w:val="20"/>
        </w:rPr>
        <w:t>Identifying or tracing proceeds of crime, property, instrumentalities or other things for evidentiary purposes;</w:t>
      </w:r>
    </w:p>
    <w:p w14:paraId="72E4143C" w14:textId="77777777" w:rsidR="00981230" w:rsidRPr="006F29F5" w:rsidRDefault="00981230" w:rsidP="00911900">
      <w:pPr>
        <w:pStyle w:val="BlockQuote"/>
        <w:numPr>
          <w:ilvl w:val="0"/>
          <w:numId w:val="71"/>
        </w:numPr>
        <w:rPr>
          <w:sz w:val="20"/>
        </w:rPr>
      </w:pPr>
      <w:r w:rsidRPr="006F29F5">
        <w:rPr>
          <w:sz w:val="20"/>
        </w:rPr>
        <w:t>Facilitating the voluntary appearance of persons in the requesting State Party;</w:t>
      </w:r>
    </w:p>
    <w:p w14:paraId="32E948F9" w14:textId="77777777" w:rsidR="00981230" w:rsidRPr="006F29F5" w:rsidRDefault="00981230" w:rsidP="00911900">
      <w:pPr>
        <w:pStyle w:val="BlockQuote"/>
        <w:numPr>
          <w:ilvl w:val="0"/>
          <w:numId w:val="71"/>
        </w:numPr>
        <w:rPr>
          <w:sz w:val="20"/>
        </w:rPr>
      </w:pPr>
      <w:r w:rsidRPr="006F29F5">
        <w:rPr>
          <w:sz w:val="20"/>
        </w:rPr>
        <w:t>Any other type of assistance that is not contrary to the domestic law of the requested State Party;</w:t>
      </w:r>
    </w:p>
    <w:p w14:paraId="3AA136B9" w14:textId="77777777" w:rsidR="00981230" w:rsidRPr="006F29F5" w:rsidRDefault="00981230" w:rsidP="00911900">
      <w:pPr>
        <w:pStyle w:val="BlockQuote"/>
        <w:numPr>
          <w:ilvl w:val="0"/>
          <w:numId w:val="71"/>
        </w:numPr>
        <w:rPr>
          <w:sz w:val="20"/>
        </w:rPr>
      </w:pPr>
      <w:r w:rsidRPr="006F29F5">
        <w:rPr>
          <w:sz w:val="20"/>
        </w:rPr>
        <w:t>Identifying, freezing and tracing proceeds of crime in accordance with the provisions of chapter V of this Convention;</w:t>
      </w:r>
    </w:p>
    <w:p w14:paraId="55BD2EDF" w14:textId="77777777" w:rsidR="00981230" w:rsidRPr="006F29F5" w:rsidRDefault="00981230" w:rsidP="00911900">
      <w:pPr>
        <w:pStyle w:val="BlockQuote"/>
        <w:numPr>
          <w:ilvl w:val="0"/>
          <w:numId w:val="71"/>
        </w:numPr>
        <w:rPr>
          <w:sz w:val="20"/>
        </w:rPr>
      </w:pPr>
      <w:r w:rsidRPr="006F29F5">
        <w:rPr>
          <w:sz w:val="20"/>
        </w:rPr>
        <w:t>The recovery of assets, in accordance with the provisions of chapter V of this Convention.</w:t>
      </w:r>
    </w:p>
    <w:p w14:paraId="55BC0EC8" w14:textId="77777777" w:rsidR="00981230" w:rsidRPr="006F29F5" w:rsidRDefault="00981230" w:rsidP="00911900">
      <w:pPr>
        <w:pStyle w:val="BlockQuote"/>
        <w:numPr>
          <w:ilvl w:val="0"/>
          <w:numId w:val="70"/>
        </w:numPr>
        <w:rPr>
          <w:sz w:val="20"/>
        </w:rPr>
      </w:pPr>
      <w:r w:rsidRPr="006F29F5">
        <w:rPr>
          <w:sz w:val="20"/>
        </w:rPr>
        <w:t>Without prejudice to domestic law, the competent authorities of a State Party may, without prior request, transmit information relating to criminal matters to a competent authority in another State Party where they believe that such information could assist the authority in undertaking or successfully concluding inquiries and criminal proceedings or could result in a request formulated by the latter State Party pursuant to this Convention.</w:t>
      </w:r>
    </w:p>
    <w:p w14:paraId="2A8FEC78" w14:textId="77777777" w:rsidR="00981230" w:rsidRPr="006F29F5" w:rsidRDefault="00981230" w:rsidP="00981230">
      <w:pPr>
        <w:pStyle w:val="BlockQuote"/>
        <w:rPr>
          <w:sz w:val="20"/>
        </w:rPr>
      </w:pPr>
      <w:r w:rsidRPr="006F29F5">
        <w:rPr>
          <w:sz w:val="20"/>
        </w:rPr>
        <w:t>…</w:t>
      </w:r>
    </w:p>
    <w:p w14:paraId="6E6F7AF4" w14:textId="77777777" w:rsidR="00981230" w:rsidRPr="006F29F5" w:rsidRDefault="00981230" w:rsidP="00911900">
      <w:pPr>
        <w:pStyle w:val="BlockQuote"/>
        <w:numPr>
          <w:ilvl w:val="0"/>
          <w:numId w:val="72"/>
        </w:numPr>
        <w:rPr>
          <w:sz w:val="20"/>
        </w:rPr>
      </w:pPr>
      <w:r w:rsidRPr="006F29F5">
        <w:rPr>
          <w:sz w:val="20"/>
        </w:rPr>
        <w:t>Without prejudice to the application of paragraph 12 of this article, a witness, expert or other person who, at the request of the requesting State Party, consents to give evidence in a proceeding or to assist in an investigation, prosecution or judicial proceeding in the territory of the requesting State Party shall not be prosecuted, detained, punished or subjected to any other restriction of his or her personal liberty in that territory in respect of acts, omissions or convictions prior to his or her departure from the territory of the requested State Party. Such safe conduct shall cease when the witness, expert or other person having had, for a period of fifteen consecutive days or for any period agreed upon by the States Parties from the date on which he or she has been officially informed that his or her presence is no longer required by the judicial authorities, an opportunity of leaving, has nevertheless remained voluntarily in the territory of the requesting State Party or, having left it, has returned of his or her own free will.</w:t>
      </w:r>
    </w:p>
    <w:p w14:paraId="45CCC7CB" w14:textId="77777777" w:rsidR="00981230" w:rsidRPr="006F29F5" w:rsidRDefault="00981230" w:rsidP="00981230">
      <w:pPr>
        <w:pStyle w:val="BlockQuote"/>
        <w:rPr>
          <w:sz w:val="20"/>
        </w:rPr>
      </w:pPr>
      <w:r w:rsidRPr="006F29F5">
        <w:rPr>
          <w:sz w:val="20"/>
        </w:rPr>
        <w:t>…</w:t>
      </w:r>
    </w:p>
    <w:p w14:paraId="5C1998FA" w14:textId="77777777" w:rsidR="00981230" w:rsidRPr="006F29F5" w:rsidRDefault="00981230" w:rsidP="00911900">
      <w:pPr>
        <w:pStyle w:val="BlockQuote"/>
        <w:numPr>
          <w:ilvl w:val="0"/>
          <w:numId w:val="73"/>
        </w:numPr>
        <w:rPr>
          <w:sz w:val="20"/>
        </w:rPr>
      </w:pPr>
      <w:r w:rsidRPr="006F29F5">
        <w:rPr>
          <w:sz w:val="20"/>
        </w:rPr>
        <w:t>The requested State Party:</w:t>
      </w:r>
    </w:p>
    <w:p w14:paraId="5D0E8DAE" w14:textId="77777777" w:rsidR="00981230" w:rsidRPr="006F29F5" w:rsidRDefault="00981230" w:rsidP="00911900">
      <w:pPr>
        <w:pStyle w:val="BlockQuote"/>
        <w:numPr>
          <w:ilvl w:val="0"/>
          <w:numId w:val="74"/>
        </w:numPr>
        <w:rPr>
          <w:sz w:val="20"/>
        </w:rPr>
      </w:pPr>
      <w:r w:rsidRPr="006F29F5">
        <w:rPr>
          <w:sz w:val="20"/>
        </w:rPr>
        <w:t>shall provide to the requesting State Party copies of government records, documents or information in its possession that under its domestic law are available to the general public;</w:t>
      </w:r>
    </w:p>
    <w:p w14:paraId="125E2468" w14:textId="77777777" w:rsidR="00981230" w:rsidRPr="006F29F5" w:rsidRDefault="00981230" w:rsidP="00911900">
      <w:pPr>
        <w:pStyle w:val="BlockQuote"/>
        <w:numPr>
          <w:ilvl w:val="0"/>
          <w:numId w:val="74"/>
        </w:numPr>
        <w:rPr>
          <w:sz w:val="20"/>
        </w:rPr>
      </w:pPr>
      <w:r w:rsidRPr="006F29F5">
        <w:rPr>
          <w:sz w:val="20"/>
        </w:rPr>
        <w:t>may, at its discretion, provide to the requesting State Party in whole, in part or subject to such conditions as it deems appropriate, copies of any government records, documents or in-formation in its possession that under its domestic law are not available to the general public.</w:t>
      </w:r>
    </w:p>
    <w:p w14:paraId="40A7553D" w14:textId="77777777" w:rsidR="00981230" w:rsidRPr="006F29F5" w:rsidRDefault="00981230" w:rsidP="00911900">
      <w:pPr>
        <w:pStyle w:val="BlockQuote"/>
        <w:numPr>
          <w:ilvl w:val="1"/>
          <w:numId w:val="31"/>
        </w:numPr>
        <w:rPr>
          <w:sz w:val="20"/>
        </w:rPr>
      </w:pPr>
      <w:r w:rsidRPr="006F29F5">
        <w:rPr>
          <w:sz w:val="20"/>
        </w:rPr>
        <w:t>States Parties shall consider, as may be necessary, the possibility of concluding bilateral or multilateral agreements or arrangements that would serve the purposes of, give practical effect to or enhance the provisions of this article.</w:t>
      </w:r>
    </w:p>
    <w:p w14:paraId="54485785" w14:textId="7A7DAF14" w:rsidR="00F81C2C" w:rsidRPr="006F29F5" w:rsidRDefault="00F81C2C" w:rsidP="000B0451">
      <w:pPr>
        <w:pStyle w:val="Heading2"/>
        <w:rPr>
          <w:kern w:val="2"/>
          <w:sz w:val="24"/>
        </w:rPr>
      </w:pPr>
      <w:bookmarkStart w:id="73" w:name="_Toc287778582"/>
      <w:bookmarkStart w:id="74" w:name="_Toc291766626"/>
      <w:bookmarkStart w:id="75" w:name="_Toc420329391"/>
      <w:bookmarkStart w:id="76" w:name="_Toc489962004"/>
      <w:r w:rsidRPr="006F29F5">
        <w:rPr>
          <w:kern w:val="2"/>
          <w:sz w:val="24"/>
        </w:rPr>
        <w:t>Mutual Legal Assistance under OECD Anti-Bribery Convention</w:t>
      </w:r>
      <w:bookmarkEnd w:id="73"/>
      <w:bookmarkEnd w:id="74"/>
      <w:bookmarkEnd w:id="75"/>
      <w:bookmarkEnd w:id="76"/>
      <w:r w:rsidRPr="006F29F5">
        <w:rPr>
          <w:kern w:val="2"/>
          <w:sz w:val="24"/>
        </w:rPr>
        <w:t xml:space="preserve"> </w:t>
      </w:r>
    </w:p>
    <w:p w14:paraId="75C5E148" w14:textId="22AE2D93" w:rsidR="00F81C2C" w:rsidRPr="006F29F5" w:rsidRDefault="00F81C2C" w:rsidP="00C81ED8">
      <w:pPr>
        <w:autoSpaceDE w:val="0"/>
        <w:autoSpaceDN w:val="0"/>
        <w:adjustRightInd w:val="0"/>
        <w:rPr>
          <w:rFonts w:cs="Times New Roman"/>
          <w:kern w:val="2"/>
          <w:sz w:val="20"/>
        </w:rPr>
      </w:pPr>
      <w:r w:rsidRPr="006F29F5">
        <w:rPr>
          <w:rFonts w:cs="Times New Roman"/>
          <w:kern w:val="2"/>
          <w:sz w:val="20"/>
        </w:rPr>
        <w:t>Article 9 states</w:t>
      </w:r>
      <w:r w:rsidR="00193713" w:rsidRPr="006F29F5">
        <w:rPr>
          <w:rFonts w:cs="Times New Roman"/>
          <w:kern w:val="2"/>
          <w:sz w:val="20"/>
        </w:rPr>
        <w:t>:</w:t>
      </w:r>
    </w:p>
    <w:p w14:paraId="43608556" w14:textId="4256BEE1" w:rsidR="00F81C2C" w:rsidRPr="006F29F5" w:rsidRDefault="00F81C2C" w:rsidP="00911900">
      <w:pPr>
        <w:pStyle w:val="BlockQuote"/>
        <w:numPr>
          <w:ilvl w:val="0"/>
          <w:numId w:val="75"/>
        </w:numPr>
        <w:rPr>
          <w:kern w:val="2"/>
          <w:sz w:val="20"/>
        </w:rPr>
      </w:pPr>
      <w:r w:rsidRPr="006F29F5">
        <w:rPr>
          <w:kern w:val="2"/>
          <w:sz w:val="20"/>
        </w:rPr>
        <w:t>Each Party shall, to the fullest extent possible under its laws and relevant treaties and arrangements, provide prompt and effective legal assistance to another Party for the purpose of criminal investigations and proceedings brought by a Party concerni</w:t>
      </w:r>
      <w:r w:rsidR="00F14221" w:rsidRPr="006F29F5">
        <w:rPr>
          <w:kern w:val="2"/>
          <w:sz w:val="20"/>
        </w:rPr>
        <w:t xml:space="preserve">ng </w:t>
      </w:r>
      <w:r w:rsidRPr="006F29F5">
        <w:rPr>
          <w:kern w:val="2"/>
          <w:sz w:val="20"/>
        </w:rPr>
        <w:t xml:space="preserve">offences within the scope of this Convention and for non-criminal proceedings within the scope of this Convention brought by a Party against a legal person. The requested Party shall inform the requesting Party, without delay, of any additional information or documents needed to support the request for assistance and, where requested, of the status and outcome of the request for assistance. </w:t>
      </w:r>
    </w:p>
    <w:p w14:paraId="28C49510" w14:textId="56F4BF69" w:rsidR="00F81C2C" w:rsidRPr="006F29F5" w:rsidRDefault="00F81C2C" w:rsidP="000B0451">
      <w:pPr>
        <w:pStyle w:val="Heading2"/>
        <w:rPr>
          <w:kern w:val="2"/>
          <w:sz w:val="24"/>
        </w:rPr>
      </w:pPr>
      <w:bookmarkStart w:id="77" w:name="_Toc287778583"/>
      <w:bookmarkStart w:id="78" w:name="_Toc291766627"/>
      <w:bookmarkStart w:id="79" w:name="_Toc420329392"/>
      <w:bookmarkStart w:id="80" w:name="_Toc489962005"/>
      <w:r w:rsidRPr="006F29F5">
        <w:rPr>
          <w:kern w:val="2"/>
          <w:sz w:val="24"/>
        </w:rPr>
        <w:t>Request Processes and Procedures</w:t>
      </w:r>
      <w:bookmarkEnd w:id="77"/>
      <w:bookmarkEnd w:id="78"/>
      <w:bookmarkEnd w:id="79"/>
      <w:bookmarkEnd w:id="80"/>
      <w:r w:rsidRPr="006F29F5">
        <w:rPr>
          <w:kern w:val="2"/>
          <w:sz w:val="24"/>
        </w:rPr>
        <w:t xml:space="preserve"> </w:t>
      </w:r>
    </w:p>
    <w:p w14:paraId="7F221DD7" w14:textId="188F722D" w:rsidR="00F81C2C" w:rsidRPr="006F29F5" w:rsidRDefault="00F81C2C" w:rsidP="00D8784D">
      <w:pPr>
        <w:spacing w:before="60"/>
        <w:rPr>
          <w:rFonts w:cs="Times New Roman"/>
          <w:kern w:val="2"/>
          <w:sz w:val="20"/>
          <w:highlight w:val="yellow"/>
        </w:rPr>
      </w:pPr>
      <w:r w:rsidRPr="006F29F5">
        <w:rPr>
          <w:rFonts w:cs="Times New Roman"/>
          <w:kern w:val="2"/>
          <w:sz w:val="20"/>
        </w:rPr>
        <w:t xml:space="preserve">Requesting assistance varies depending on the jurisdictions and the treaties, agreements or legislation in place. The request must be tailored to the </w:t>
      </w:r>
      <w:r w:rsidR="00E71FCD" w:rsidRPr="006F29F5">
        <w:rPr>
          <w:rFonts w:cs="Times New Roman"/>
          <w:kern w:val="2"/>
          <w:sz w:val="20"/>
        </w:rPr>
        <w:t xml:space="preserve">requirements of the </w:t>
      </w:r>
      <w:r w:rsidRPr="006F29F5">
        <w:rPr>
          <w:rFonts w:cs="Times New Roman"/>
          <w:kern w:val="2"/>
          <w:sz w:val="20"/>
        </w:rPr>
        <w:t>requested jurisdictions. The request must specify a legal basis for cooperation (i.e.</w:t>
      </w:r>
      <w:r w:rsidR="0065539A" w:rsidRPr="006F29F5">
        <w:rPr>
          <w:rFonts w:cs="Times New Roman"/>
          <w:kern w:val="2"/>
          <w:sz w:val="20"/>
        </w:rPr>
        <w:t>,</w:t>
      </w:r>
      <w:r w:rsidRPr="006F29F5">
        <w:rPr>
          <w:rFonts w:cs="Times New Roman"/>
          <w:kern w:val="2"/>
          <w:sz w:val="20"/>
        </w:rPr>
        <w:t xml:space="preserve"> through conventions, treaties, bilateral agreements, domestic legislation allowing international cooperation or promises of reciprocity). The request must also be related to a criminal matter, although assistance with non-conviction based confiscation may be possible. Some jurisdictions require charges </w:t>
      </w:r>
      <w:r w:rsidR="00781E0C" w:rsidRPr="006F29F5">
        <w:rPr>
          <w:rFonts w:cs="Times New Roman"/>
          <w:kern w:val="2"/>
          <w:sz w:val="20"/>
        </w:rPr>
        <w:t xml:space="preserve">to be </w:t>
      </w:r>
      <w:r w:rsidRPr="006F29F5">
        <w:rPr>
          <w:rFonts w:cs="Times New Roman"/>
          <w:kern w:val="2"/>
          <w:sz w:val="20"/>
        </w:rPr>
        <w:t>filed or a final confiscation order before providing assistance with seizure or restraint of assets. UNODC developed a Mutual Legal Assistance Request Write</w:t>
      </w:r>
      <w:r w:rsidR="0020457E" w:rsidRPr="006F29F5">
        <w:rPr>
          <w:rFonts w:cs="Times New Roman"/>
          <w:kern w:val="2"/>
          <w:sz w:val="20"/>
        </w:rPr>
        <w:t>r Tool to assist in the process.</w:t>
      </w:r>
      <w:r w:rsidR="00065185" w:rsidRPr="006F29F5">
        <w:rPr>
          <w:rStyle w:val="FootnoteReference"/>
          <w:rFonts w:cs="Times New Roman"/>
          <w:kern w:val="2"/>
          <w:sz w:val="20"/>
        </w:rPr>
        <w:footnoteReference w:id="277"/>
      </w:r>
      <w:r w:rsidRPr="006F29F5">
        <w:rPr>
          <w:rFonts w:cs="Times New Roman"/>
          <w:kern w:val="2"/>
          <w:sz w:val="20"/>
        </w:rPr>
        <w:t xml:space="preserve"> </w:t>
      </w:r>
    </w:p>
    <w:p w14:paraId="5ADFC6B4" w14:textId="77777777" w:rsidR="00F81C2C" w:rsidRPr="006F29F5" w:rsidRDefault="00F81C2C" w:rsidP="00D8784D">
      <w:pPr>
        <w:rPr>
          <w:rFonts w:cs="Times New Roman"/>
          <w:kern w:val="2"/>
          <w:sz w:val="20"/>
        </w:rPr>
      </w:pPr>
      <w:r w:rsidRPr="006F29F5">
        <w:rPr>
          <w:rFonts w:cs="Times New Roman"/>
          <w:kern w:val="2"/>
          <w:sz w:val="20"/>
        </w:rPr>
        <w:t xml:space="preserve">UNCAC Article 46 states the following with respect to the request process under the Convention: </w:t>
      </w:r>
    </w:p>
    <w:p w14:paraId="6B1477A2" w14:textId="77777777" w:rsidR="00911900" w:rsidRPr="006F29F5" w:rsidRDefault="00911900" w:rsidP="00911900">
      <w:pPr>
        <w:pStyle w:val="BlockQuote"/>
        <w:rPr>
          <w:i/>
          <w:sz w:val="20"/>
        </w:rPr>
      </w:pPr>
      <w:r w:rsidRPr="006F29F5">
        <w:rPr>
          <w:i/>
          <w:sz w:val="20"/>
        </w:rPr>
        <w:t>Article 46 – Mutual legal assistance</w:t>
      </w:r>
    </w:p>
    <w:p w14:paraId="0B3E78EB" w14:textId="77777777" w:rsidR="00911900" w:rsidRPr="006F29F5" w:rsidRDefault="00911900" w:rsidP="00911900">
      <w:pPr>
        <w:pStyle w:val="BlockQuote"/>
        <w:numPr>
          <w:ilvl w:val="0"/>
          <w:numId w:val="76"/>
        </w:numPr>
        <w:rPr>
          <w:sz w:val="20"/>
        </w:rPr>
      </w:pPr>
      <w:r w:rsidRPr="006F29F5">
        <w:rPr>
          <w:sz w:val="20"/>
        </w:rPr>
        <w:t>Paragraphs 9 to 29 of this article shall apply to requests made pursuant to this article if the States Parties in question are not bound by a treaty of mutual legal assistance. If those States Parties are bound by such a treaty, the corresponding provisions of that treaty shall apply unless the States Parties agree to apply paragraphs 9 to 29 of this article in lieu thereof. States Parties are strongly encouraged to apply those paragraphs if they facilitate cooperation.</w:t>
      </w:r>
    </w:p>
    <w:p w14:paraId="76B1749C" w14:textId="77777777" w:rsidR="00911900" w:rsidRPr="006F29F5" w:rsidRDefault="00911900" w:rsidP="00911900">
      <w:pPr>
        <w:pStyle w:val="BlockQuote"/>
        <w:rPr>
          <w:sz w:val="20"/>
        </w:rPr>
      </w:pPr>
      <w:r w:rsidRPr="006F29F5">
        <w:rPr>
          <w:sz w:val="20"/>
        </w:rPr>
        <w:t>…</w:t>
      </w:r>
    </w:p>
    <w:p w14:paraId="10D36914" w14:textId="77777777" w:rsidR="00911900" w:rsidRPr="006F29F5" w:rsidRDefault="00911900" w:rsidP="00911900">
      <w:pPr>
        <w:pStyle w:val="BlockQuote"/>
        <w:numPr>
          <w:ilvl w:val="0"/>
          <w:numId w:val="77"/>
        </w:numPr>
        <w:rPr>
          <w:sz w:val="20"/>
        </w:rPr>
      </w:pPr>
      <w:r w:rsidRPr="006F29F5">
        <w:rPr>
          <w:sz w:val="20"/>
        </w:rPr>
        <w:t>Each State Party shall designate a central authority that shall have the responsibility and power to receive requests for mutual legal assistance and either to execute them or to transmit them to the competent authorities for execution. Where a State Party has a special region or territory with a separate system of mutual legal assistance, it may designate a distinct central authority that shall have the same function for that region or territory. Central authorities shall ensure the speedy and proper execution or transmission of the requests received. Where the central authority transmits the request to a competent authority for execution, it shall encourage the speedy and proper execution of the request by the competent authority. The Secretary-General of the United Nations shall be notified of the central authority designated for this purpose at the time each State Party deposits its instrument of ratification, acceptance or approval of or accession to this Convention. Requests for mutual legal assistance and any communication related thereto shall be transmitted to the central authorities designated by the States Parties. This requirement shall be without prejudice to the right of a State Party to require that such requests and communications be addressed to it through diplomatic channels and, in urgent circumstances, where the States Parties agree, through the International Criminal Police Organization, if possible.</w:t>
      </w:r>
    </w:p>
    <w:p w14:paraId="1972E708" w14:textId="77777777" w:rsidR="00911900" w:rsidRPr="006F29F5" w:rsidRDefault="00911900" w:rsidP="00911900">
      <w:pPr>
        <w:pStyle w:val="BlockQuote"/>
        <w:numPr>
          <w:ilvl w:val="0"/>
          <w:numId w:val="77"/>
        </w:numPr>
        <w:rPr>
          <w:sz w:val="20"/>
        </w:rPr>
      </w:pPr>
      <w:r w:rsidRPr="006F29F5">
        <w:rPr>
          <w:sz w:val="20"/>
        </w:rPr>
        <w:t>Requests shall be made in writing or, where possible, by any means capable of producing a written record, in a language acceptable to the requested State Party, under conditions allowing that State Party to establish authenticity. The Secretary- General of the United Nations shall be notified of the language or languages acceptable to each State Party at the time it deposits its instrument of ratification, acceptance or approval of or accession to this Convention. In urgent circumstances and where agreed by the States Parties, requests may be made orally but shall be confirmed in writing forthwith.</w:t>
      </w:r>
    </w:p>
    <w:p w14:paraId="6815CB50" w14:textId="77777777" w:rsidR="00911900" w:rsidRPr="006F29F5" w:rsidRDefault="00911900" w:rsidP="00911900">
      <w:pPr>
        <w:pStyle w:val="BlockQuote"/>
        <w:numPr>
          <w:ilvl w:val="0"/>
          <w:numId w:val="77"/>
        </w:numPr>
        <w:rPr>
          <w:sz w:val="20"/>
        </w:rPr>
      </w:pPr>
      <w:r w:rsidRPr="006F29F5">
        <w:rPr>
          <w:sz w:val="20"/>
        </w:rPr>
        <w:t>A request for mutual legal assistance shall contain:</w:t>
      </w:r>
    </w:p>
    <w:p w14:paraId="272598C0" w14:textId="77777777" w:rsidR="00911900" w:rsidRPr="006F29F5" w:rsidRDefault="00911900" w:rsidP="00911900">
      <w:pPr>
        <w:pStyle w:val="BlockQuote"/>
        <w:numPr>
          <w:ilvl w:val="0"/>
          <w:numId w:val="78"/>
        </w:numPr>
        <w:rPr>
          <w:sz w:val="20"/>
        </w:rPr>
      </w:pPr>
      <w:r w:rsidRPr="006F29F5">
        <w:rPr>
          <w:sz w:val="20"/>
        </w:rPr>
        <w:t>The identity of the authority making the request;</w:t>
      </w:r>
    </w:p>
    <w:p w14:paraId="6861CBAC" w14:textId="77777777" w:rsidR="00911900" w:rsidRPr="006F29F5" w:rsidRDefault="00911900" w:rsidP="00911900">
      <w:pPr>
        <w:pStyle w:val="BlockQuote"/>
        <w:numPr>
          <w:ilvl w:val="0"/>
          <w:numId w:val="78"/>
        </w:numPr>
        <w:rPr>
          <w:sz w:val="20"/>
        </w:rPr>
      </w:pPr>
      <w:r w:rsidRPr="006F29F5">
        <w:rPr>
          <w:sz w:val="20"/>
        </w:rPr>
        <w:t>The subject matter and nature of the investigation, prosecution or judicial proceeding to which the request relates and the name and functions of the authority conducting the investigation, prosecution or judicial proceeding;</w:t>
      </w:r>
    </w:p>
    <w:p w14:paraId="0ACF8218" w14:textId="77777777" w:rsidR="00911900" w:rsidRPr="006F29F5" w:rsidRDefault="00911900" w:rsidP="00911900">
      <w:pPr>
        <w:pStyle w:val="BlockQuote"/>
        <w:numPr>
          <w:ilvl w:val="0"/>
          <w:numId w:val="78"/>
        </w:numPr>
        <w:rPr>
          <w:sz w:val="20"/>
        </w:rPr>
      </w:pPr>
      <w:r w:rsidRPr="006F29F5">
        <w:rPr>
          <w:sz w:val="20"/>
        </w:rPr>
        <w:t>A summary of the relevant facts, except in relation to requests for the purpose of service of judicial documents;</w:t>
      </w:r>
    </w:p>
    <w:p w14:paraId="55BE88D1" w14:textId="77777777" w:rsidR="00911900" w:rsidRPr="006F29F5" w:rsidRDefault="00911900" w:rsidP="00911900">
      <w:pPr>
        <w:pStyle w:val="BlockQuote"/>
        <w:numPr>
          <w:ilvl w:val="0"/>
          <w:numId w:val="78"/>
        </w:numPr>
        <w:rPr>
          <w:sz w:val="20"/>
        </w:rPr>
      </w:pPr>
      <w:r w:rsidRPr="006F29F5">
        <w:rPr>
          <w:sz w:val="20"/>
        </w:rPr>
        <w:t>A description of the assistance sought and details of any particular procedure that the requesting State Party wishes to be followed;</w:t>
      </w:r>
    </w:p>
    <w:p w14:paraId="09939950" w14:textId="77777777" w:rsidR="00911900" w:rsidRPr="006F29F5" w:rsidRDefault="00911900" w:rsidP="00911900">
      <w:pPr>
        <w:pStyle w:val="BlockQuote"/>
        <w:numPr>
          <w:ilvl w:val="0"/>
          <w:numId w:val="78"/>
        </w:numPr>
        <w:rPr>
          <w:sz w:val="20"/>
        </w:rPr>
      </w:pPr>
      <w:r w:rsidRPr="006F29F5">
        <w:rPr>
          <w:sz w:val="20"/>
        </w:rPr>
        <w:t>Where possible, the identity, location and nationality of any person concerned; and</w:t>
      </w:r>
    </w:p>
    <w:p w14:paraId="7E6D4E4D" w14:textId="77777777" w:rsidR="00911900" w:rsidRPr="006F29F5" w:rsidRDefault="00911900" w:rsidP="00911900">
      <w:pPr>
        <w:pStyle w:val="BlockQuote"/>
        <w:numPr>
          <w:ilvl w:val="0"/>
          <w:numId w:val="78"/>
        </w:numPr>
        <w:rPr>
          <w:sz w:val="20"/>
        </w:rPr>
      </w:pPr>
      <w:r w:rsidRPr="006F29F5">
        <w:rPr>
          <w:sz w:val="20"/>
        </w:rPr>
        <w:t>The purpose for which the evidence, information or action is sought.</w:t>
      </w:r>
    </w:p>
    <w:p w14:paraId="4261E1AC" w14:textId="77777777" w:rsidR="00911900" w:rsidRPr="006F29F5" w:rsidRDefault="00911900" w:rsidP="00911900">
      <w:pPr>
        <w:pStyle w:val="BlockQuote"/>
        <w:numPr>
          <w:ilvl w:val="0"/>
          <w:numId w:val="79"/>
        </w:numPr>
        <w:rPr>
          <w:sz w:val="20"/>
        </w:rPr>
      </w:pPr>
      <w:r w:rsidRPr="006F29F5">
        <w:rPr>
          <w:sz w:val="20"/>
        </w:rPr>
        <w:t>The requested State Party may request additional information when it appears necessary for the execution of the request in accordance with its domestic law or when it can facilitate such execution.</w:t>
      </w:r>
    </w:p>
    <w:p w14:paraId="401B6D82" w14:textId="77777777" w:rsidR="00911900" w:rsidRPr="006F29F5" w:rsidRDefault="00911900" w:rsidP="00911900">
      <w:pPr>
        <w:pStyle w:val="BlockQuote"/>
        <w:numPr>
          <w:ilvl w:val="0"/>
          <w:numId w:val="79"/>
        </w:numPr>
        <w:rPr>
          <w:sz w:val="20"/>
        </w:rPr>
      </w:pPr>
      <w:r w:rsidRPr="006F29F5">
        <w:rPr>
          <w:sz w:val="20"/>
        </w:rPr>
        <w:t>A request shall be executed in accordance with the domestic law of the requested State Party and, to the extent not contrary to the domestic law of the requested State Party and where possible, in accordance with the procedures specified in the request.</w:t>
      </w:r>
    </w:p>
    <w:p w14:paraId="7744EEE3" w14:textId="77777777" w:rsidR="00911900" w:rsidRPr="006F29F5" w:rsidRDefault="00911900" w:rsidP="00911900">
      <w:pPr>
        <w:pStyle w:val="BlockQuote"/>
        <w:numPr>
          <w:ilvl w:val="0"/>
          <w:numId w:val="79"/>
        </w:numPr>
        <w:rPr>
          <w:sz w:val="20"/>
        </w:rPr>
      </w:pPr>
      <w:r w:rsidRPr="006F29F5">
        <w:rPr>
          <w:sz w:val="20"/>
        </w:rPr>
        <w:t>Wherever possible and consistent with fundamental principles of domestic law, when an individual is in the territory of a State Party and has to be heard as a witness or expert by the judicial authorities of another State Party, the first State Party may, at the request of the other, permit the hearing to take place by video conference if it is not possible or desirable for the individual in question to appear in person in the territory of the requesting State Party. States Parties may agree that the hearing shall be conducted by a judicial authority of the requesting State Party and attended by a judicial authority of the requested State Party.</w:t>
      </w:r>
    </w:p>
    <w:p w14:paraId="2A8D726D" w14:textId="77777777" w:rsidR="00911900" w:rsidRPr="006F29F5" w:rsidRDefault="00911900" w:rsidP="00911900">
      <w:pPr>
        <w:pStyle w:val="BlockQuote"/>
        <w:numPr>
          <w:ilvl w:val="0"/>
          <w:numId w:val="79"/>
        </w:numPr>
        <w:rPr>
          <w:sz w:val="20"/>
        </w:rPr>
      </w:pPr>
      <w:r w:rsidRPr="006F29F5">
        <w:rPr>
          <w:sz w:val="20"/>
        </w:rPr>
        <w:t>The requesting State Party shall not transmit or use information or evidence furnished by the requested State Party for investigations, prosecutions or judicial proceedings other than those stated in the request without the prior consent of the requested State Party. Nothing in this paragraph shall prevent the requesting State Party from disclosing in its proceedings information or evidence that is exculpatory to an accused person. In the latter case, the requesting State Party shall notify the requested State Party prior to the disclosure and, if so requested, consult with the requested State Party. If, in an exceptional case, advance notice is not possible, the requesting State Party shall inform the requested State Party of the disclosure without delay.</w:t>
      </w:r>
    </w:p>
    <w:p w14:paraId="0F6B9219" w14:textId="77777777" w:rsidR="00911900" w:rsidRPr="006F29F5" w:rsidRDefault="00911900" w:rsidP="00911900">
      <w:pPr>
        <w:pStyle w:val="BlockQuote"/>
        <w:numPr>
          <w:ilvl w:val="0"/>
          <w:numId w:val="79"/>
        </w:numPr>
        <w:rPr>
          <w:sz w:val="20"/>
        </w:rPr>
      </w:pPr>
      <w:r w:rsidRPr="006F29F5">
        <w:rPr>
          <w:sz w:val="20"/>
        </w:rPr>
        <w:t>The requesting State Party may require that the requested State Party keep confidential the fact and substance of the request, except to the extent necessary to execute the request. If the requested State Party cannot comply with the requirement of confidentiality, it shall promptly inform the requesting State Party.</w:t>
      </w:r>
    </w:p>
    <w:p w14:paraId="2CD07C09" w14:textId="77777777" w:rsidR="00911900" w:rsidRPr="006F29F5" w:rsidRDefault="00911900" w:rsidP="00911900">
      <w:pPr>
        <w:pStyle w:val="BlockQuote"/>
        <w:rPr>
          <w:sz w:val="20"/>
        </w:rPr>
      </w:pPr>
      <w:r w:rsidRPr="006F29F5">
        <w:rPr>
          <w:sz w:val="20"/>
        </w:rPr>
        <w:t>…</w:t>
      </w:r>
    </w:p>
    <w:p w14:paraId="55332C86" w14:textId="77777777" w:rsidR="00911900" w:rsidRPr="006F29F5" w:rsidRDefault="00911900" w:rsidP="00911900">
      <w:pPr>
        <w:pStyle w:val="BlockQuote"/>
        <w:numPr>
          <w:ilvl w:val="0"/>
          <w:numId w:val="80"/>
        </w:numPr>
        <w:rPr>
          <w:sz w:val="20"/>
        </w:rPr>
      </w:pPr>
      <w:r w:rsidRPr="006F29F5">
        <w:rPr>
          <w:sz w:val="20"/>
        </w:rPr>
        <w:t>The requested State Party shall execute the request for mutual legal assistance as soon as possible and shall take as full account as possible of any deadlines suggested by the requesting State Party and for which reasons are given, preferably in the request. The requesting State Party may make reasonable requests for information on the status and progress of measures taken by the requested State Party to satisfy its request. The requested State Party shall respond to reasonable requests by the requesting State Party on the status, and progress in its handling, of the request. The requesting State Party shall promptly inform the requested State Party when the assistance sought is no longer required.</w:t>
      </w:r>
    </w:p>
    <w:p w14:paraId="274006EB" w14:textId="77777777" w:rsidR="00911900" w:rsidRPr="006F29F5" w:rsidRDefault="00911900" w:rsidP="00911900">
      <w:pPr>
        <w:pStyle w:val="BlockQuote"/>
        <w:rPr>
          <w:sz w:val="20"/>
        </w:rPr>
      </w:pPr>
      <w:r w:rsidRPr="006F29F5">
        <w:rPr>
          <w:sz w:val="20"/>
        </w:rPr>
        <w:t>…</w:t>
      </w:r>
    </w:p>
    <w:p w14:paraId="5E5630F9" w14:textId="77777777" w:rsidR="00911900" w:rsidRPr="006F29F5" w:rsidRDefault="00911900" w:rsidP="00911900">
      <w:pPr>
        <w:pStyle w:val="BlockQuote"/>
        <w:numPr>
          <w:ilvl w:val="0"/>
          <w:numId w:val="81"/>
        </w:numPr>
        <w:rPr>
          <w:sz w:val="20"/>
        </w:rPr>
      </w:pPr>
      <w:r w:rsidRPr="006F29F5">
        <w:rPr>
          <w:sz w:val="20"/>
        </w:rPr>
        <w:t>The ordinary costs of executing a request shall be borne by the requested State Party, unless otherwise agreed by the States Parties concerned. If expenses of a substantial or extraordinary nature are or will be required to fulfil the request, the States Parties shall consult to determine the terms and conditions under which the request will be executed, as well as the manner in which the costs shall be borne.</w:t>
      </w:r>
    </w:p>
    <w:p w14:paraId="26B70FCE" w14:textId="79553B2A" w:rsidR="005D3AC0" w:rsidRPr="006F29F5" w:rsidRDefault="00F81C2C" w:rsidP="004623D8">
      <w:pPr>
        <w:spacing w:after="120"/>
        <w:rPr>
          <w:rFonts w:cs="Times New Roman"/>
          <w:kern w:val="2"/>
          <w:sz w:val="20"/>
        </w:rPr>
      </w:pPr>
      <w:r w:rsidRPr="006F29F5">
        <w:rPr>
          <w:rFonts w:cs="Times New Roman"/>
          <w:kern w:val="2"/>
          <w:sz w:val="20"/>
        </w:rPr>
        <w:t>Similar mutual legal assistance provisions can be found in Article 18 of UNTOC.</w:t>
      </w:r>
    </w:p>
    <w:p w14:paraId="101C230E" w14:textId="68EDAB3E" w:rsidR="00F81C2C" w:rsidRPr="006F29F5" w:rsidRDefault="00F81C2C" w:rsidP="004623D8">
      <w:pPr>
        <w:pStyle w:val="Heading2"/>
        <w:rPr>
          <w:kern w:val="2"/>
          <w:sz w:val="24"/>
        </w:rPr>
      </w:pPr>
      <w:bookmarkStart w:id="81" w:name="_Toc287778586"/>
      <w:bookmarkStart w:id="82" w:name="_Toc291766628"/>
      <w:bookmarkStart w:id="83" w:name="_Toc420329393"/>
      <w:bookmarkStart w:id="84" w:name="_Toc489962006"/>
      <w:r w:rsidRPr="006F29F5">
        <w:rPr>
          <w:kern w:val="2"/>
          <w:sz w:val="24"/>
        </w:rPr>
        <w:t>Request Process in the United States</w:t>
      </w:r>
      <w:bookmarkEnd w:id="81"/>
      <w:bookmarkEnd w:id="82"/>
      <w:bookmarkEnd w:id="83"/>
      <w:bookmarkEnd w:id="84"/>
    </w:p>
    <w:p w14:paraId="2E36F4C4" w14:textId="7BF82E7F" w:rsidR="00F81C2C" w:rsidRDefault="00F81C2C" w:rsidP="00C81ED8">
      <w:pPr>
        <w:widowControl w:val="0"/>
        <w:autoSpaceDE w:val="0"/>
        <w:autoSpaceDN w:val="0"/>
        <w:adjustRightInd w:val="0"/>
        <w:rPr>
          <w:rFonts w:cs="Times New Roman"/>
          <w:kern w:val="2"/>
          <w:sz w:val="20"/>
        </w:rPr>
      </w:pPr>
      <w:r w:rsidRPr="006F29F5">
        <w:rPr>
          <w:rFonts w:eastAsiaTheme="minorEastAsia" w:cs="Times New Roman"/>
          <w:kern w:val="2"/>
          <w:sz w:val="20"/>
          <w:lang w:eastAsia="ja-JP"/>
        </w:rPr>
        <w:t xml:space="preserve">The details of the US MLA process are summarized at </w:t>
      </w:r>
      <w:r w:rsidR="006F697C" w:rsidRPr="006F29F5">
        <w:rPr>
          <w:rFonts w:eastAsiaTheme="minorEastAsia" w:cs="Times New Roman"/>
          <w:kern w:val="2"/>
          <w:sz w:val="20"/>
          <w:highlight w:val="cyan"/>
          <w:lang w:eastAsia="ja-JP"/>
        </w:rPr>
        <w:t>S</w:t>
      </w:r>
      <w:r w:rsidRPr="006F29F5">
        <w:rPr>
          <w:rFonts w:eastAsiaTheme="minorEastAsia" w:cs="Times New Roman"/>
          <w:kern w:val="2"/>
          <w:sz w:val="20"/>
          <w:highlight w:val="cyan"/>
          <w:lang w:eastAsia="ja-JP"/>
        </w:rPr>
        <w:t xml:space="preserve">ection </w:t>
      </w:r>
      <w:r w:rsidR="00D1424F" w:rsidRPr="006F29F5">
        <w:rPr>
          <w:rFonts w:eastAsiaTheme="minorEastAsia" w:cs="Times New Roman"/>
          <w:kern w:val="2"/>
          <w:sz w:val="20"/>
          <w:highlight w:val="cyan"/>
          <w:lang w:eastAsia="ja-JP"/>
        </w:rPr>
        <w:t>5.</w:t>
      </w:r>
      <w:r w:rsidRPr="006F29F5">
        <w:rPr>
          <w:rFonts w:eastAsiaTheme="minorEastAsia" w:cs="Times New Roman"/>
          <w:kern w:val="2"/>
          <w:sz w:val="20"/>
          <w:highlight w:val="cyan"/>
          <w:lang w:eastAsia="ja-JP"/>
        </w:rPr>
        <w:t>4.1</w:t>
      </w:r>
      <w:r w:rsidRPr="006F29F5">
        <w:rPr>
          <w:rFonts w:eastAsiaTheme="minorEastAsia" w:cs="Times New Roman"/>
          <w:kern w:val="2"/>
          <w:sz w:val="20"/>
          <w:lang w:eastAsia="ja-JP"/>
        </w:rPr>
        <w:t xml:space="preserve">. </w:t>
      </w:r>
      <w:r w:rsidRPr="006F29F5">
        <w:rPr>
          <w:rFonts w:cs="Times New Roman"/>
          <w:kern w:val="2"/>
          <w:sz w:val="20"/>
        </w:rPr>
        <w:t xml:space="preserve">The following is an excerpt from a 2011 document produced by the </w:t>
      </w:r>
      <w:r w:rsidR="005A1819" w:rsidRPr="006F29F5">
        <w:rPr>
          <w:rFonts w:cs="Times New Roman"/>
          <w:kern w:val="2"/>
          <w:sz w:val="20"/>
        </w:rPr>
        <w:t>UNODC’s</w:t>
      </w:r>
      <w:r w:rsidRPr="006F29F5">
        <w:rPr>
          <w:rFonts w:cs="Times New Roman"/>
          <w:kern w:val="2"/>
          <w:sz w:val="20"/>
        </w:rPr>
        <w:t xml:space="preserve"> Commission on Crime Prevention and Criminal Justice, </w:t>
      </w:r>
      <w:r w:rsidRPr="006F29F5">
        <w:rPr>
          <w:rFonts w:cs="Times New Roman"/>
          <w:i/>
          <w:kern w:val="2"/>
          <w:sz w:val="20"/>
        </w:rPr>
        <w:t>Requesting Mutual Legal Assistance in Criminal Matters from G8 Countries: A Step-by-Step Guide</w:t>
      </w:r>
      <w:r w:rsidR="00793415" w:rsidRPr="006F29F5">
        <w:rPr>
          <w:rFonts w:cs="Times New Roman"/>
          <w:kern w:val="2"/>
          <w:sz w:val="20"/>
        </w:rPr>
        <w:t>:</w:t>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3C6EAC" w14:paraId="4FC80042" w14:textId="77777777" w:rsidTr="003C6EAC">
        <w:tc>
          <w:tcPr>
            <w:tcW w:w="8070" w:type="dxa"/>
            <w:tcBorders>
              <w:top w:val="nil"/>
              <w:left w:val="nil"/>
              <w:bottom w:val="nil"/>
              <w:right w:val="nil"/>
            </w:tcBorders>
            <w:shd w:val="clear" w:color="auto" w:fill="D9D9D9" w:themeFill="background1" w:themeFillShade="D9"/>
          </w:tcPr>
          <w:p w14:paraId="655B04D8" w14:textId="77777777" w:rsidR="003C6EAC" w:rsidRPr="006F29F5" w:rsidRDefault="003C6EAC" w:rsidP="003C6EAC">
            <w:pPr>
              <w:pStyle w:val="ExcerptMarker"/>
              <w:spacing w:before="0"/>
              <w:rPr>
                <w:kern w:val="2"/>
                <w:sz w:val="16"/>
              </w:rPr>
            </w:pPr>
            <w:r w:rsidRPr="006F29F5">
              <w:rPr>
                <w:kern w:val="2"/>
                <w:sz w:val="16"/>
              </w:rPr>
              <w:t>Beginning of Excerpt</w:t>
            </w:r>
          </w:p>
          <w:p w14:paraId="6FD5D12B" w14:textId="77777777" w:rsidR="003C6EAC" w:rsidRPr="006F29F5" w:rsidRDefault="003C6EAC" w:rsidP="003C6EAC">
            <w:pPr>
              <w:rPr>
                <w:rFonts w:cs="Times New Roman"/>
                <w:b/>
                <w:bCs/>
                <w:kern w:val="2"/>
                <w:sz w:val="18"/>
                <w:szCs w:val="20"/>
              </w:rPr>
            </w:pPr>
            <w:r w:rsidRPr="006F29F5">
              <w:rPr>
                <w:rFonts w:cs="Times New Roman"/>
                <w:b/>
                <w:bCs/>
                <w:kern w:val="2"/>
                <w:sz w:val="18"/>
                <w:szCs w:val="20"/>
              </w:rPr>
              <w:t>I. INTRODUCTION</w:t>
            </w:r>
          </w:p>
          <w:p w14:paraId="452C4E63" w14:textId="03C434B9" w:rsidR="003C6EAC" w:rsidRDefault="003C6EAC" w:rsidP="003C6EAC">
            <w:pPr>
              <w:spacing w:after="0"/>
              <w:rPr>
                <w:rFonts w:cs="Times New Roman"/>
                <w:kern w:val="2"/>
                <w:sz w:val="20"/>
              </w:rPr>
            </w:pPr>
            <w:r w:rsidRPr="006F29F5">
              <w:rPr>
                <w:rFonts w:cs="Times New Roman"/>
                <w:kern w:val="2"/>
                <w:sz w:val="20"/>
              </w:rPr>
              <w:t xml:space="preserve">The Central or Competent Authority of a foreign country may request assistance from the United States in the gathering of evidence for criminal investigations, prosecutions and proceedings related to criminal matters. All requests, whether they are (1) bilateral treaty or multilateral convention requests, (2) letters </w:t>
            </w:r>
            <w:proofErr w:type="spellStart"/>
            <w:r w:rsidRPr="006F29F5">
              <w:rPr>
                <w:rFonts w:cs="Times New Roman"/>
                <w:kern w:val="2"/>
                <w:sz w:val="20"/>
              </w:rPr>
              <w:t>rogatory</w:t>
            </w:r>
            <w:proofErr w:type="spellEnd"/>
            <w:r w:rsidRPr="006F29F5">
              <w:rPr>
                <w:rFonts w:cs="Times New Roman"/>
                <w:kern w:val="2"/>
                <w:sz w:val="20"/>
              </w:rPr>
              <w:t xml:space="preserve"> (court issued non-treaty requests) or (3) non-treaty letters of request are presented to the Office of International Affairs of the Criminal Division of the Department of Justice (OIA), the designated U.S. Central Authority. As further explained below, all three of these types of requests are generally handled and proces</w:t>
            </w:r>
            <w:r>
              <w:rPr>
                <w:rFonts w:cs="Times New Roman"/>
                <w:kern w:val="2"/>
                <w:sz w:val="20"/>
              </w:rPr>
              <w:t>sed in a similar manner by OIA.</w:t>
            </w:r>
          </w:p>
        </w:tc>
      </w:tr>
    </w:tbl>
    <w:p w14:paraId="13AE07A9" w14:textId="77777777" w:rsidR="003C6EAC" w:rsidRPr="006F29F5" w:rsidRDefault="003C6EAC" w:rsidP="00C81ED8">
      <w:pPr>
        <w:widowControl w:val="0"/>
        <w:autoSpaceDE w:val="0"/>
        <w:autoSpaceDN w:val="0"/>
        <w:adjustRightInd w:val="0"/>
        <w:rPr>
          <w:rFonts w:cs="Times New Roman"/>
          <w:kern w:val="2"/>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4C6668" w:rsidRPr="006F29F5" w14:paraId="66F78A97" w14:textId="77777777" w:rsidTr="003C6EAC">
        <w:trPr>
          <w:jc w:val="center"/>
        </w:trPr>
        <w:tc>
          <w:tcPr>
            <w:tcW w:w="9576" w:type="dxa"/>
            <w:shd w:val="clear" w:color="auto" w:fill="D9D9D9" w:themeFill="background1" w:themeFillShade="D9"/>
          </w:tcPr>
          <w:p w14:paraId="0B332069" w14:textId="7DF2C420" w:rsidR="004C6668" w:rsidRPr="006F29F5" w:rsidRDefault="003C6EAC" w:rsidP="003C6EAC">
            <w:pPr>
              <w:spacing w:before="120"/>
              <w:rPr>
                <w:rFonts w:cs="Times New Roman"/>
                <w:b/>
                <w:bCs/>
                <w:iCs/>
                <w:kern w:val="2"/>
                <w:sz w:val="20"/>
              </w:rPr>
            </w:pPr>
            <w:r w:rsidRPr="006F29F5">
              <w:rPr>
                <w:rFonts w:cs="Times New Roman"/>
                <w:b/>
                <w:bCs/>
                <w:iCs/>
                <w:kern w:val="2"/>
                <w:sz w:val="20"/>
              </w:rPr>
              <w:t xml:space="preserve"> </w:t>
            </w:r>
            <w:r w:rsidR="004C6668" w:rsidRPr="006F29F5">
              <w:rPr>
                <w:rFonts w:cs="Times New Roman"/>
                <w:b/>
                <w:bCs/>
                <w:iCs/>
                <w:kern w:val="2"/>
                <w:sz w:val="20"/>
              </w:rPr>
              <w:t>(a) Requests Made Under a Treaty/Convention</w:t>
            </w:r>
          </w:p>
          <w:p w14:paraId="16835AC4" w14:textId="77777777" w:rsidR="004C6668" w:rsidRPr="006F29F5" w:rsidRDefault="004C6668" w:rsidP="003C6EAC">
            <w:pPr>
              <w:rPr>
                <w:rFonts w:cs="Times New Roman"/>
                <w:kern w:val="2"/>
                <w:sz w:val="20"/>
              </w:rPr>
            </w:pPr>
            <w:r w:rsidRPr="006F29F5">
              <w:rPr>
                <w:rFonts w:cs="Times New Roman"/>
                <w:kern w:val="2"/>
                <w:sz w:val="20"/>
              </w:rPr>
              <w:t>Requests made under a Mutual Legal Assistance Treaty (MLAT) are executed pursuant to the terms of the treaty and United States domestic law, specifically Title 28 United States Code Section 1782 and Title 18 United States Code Section 3512.</w:t>
            </w:r>
          </w:p>
          <w:p w14:paraId="043C1E0F" w14:textId="77777777" w:rsidR="004C6668" w:rsidRPr="006F29F5" w:rsidRDefault="004C6668" w:rsidP="003C6EAC">
            <w:pPr>
              <w:rPr>
                <w:rFonts w:cs="Times New Roman"/>
                <w:kern w:val="2"/>
                <w:sz w:val="20"/>
              </w:rPr>
            </w:pPr>
            <w:r w:rsidRPr="006F29F5">
              <w:rPr>
                <w:rFonts w:cs="Times New Roman"/>
                <w:kern w:val="2"/>
                <w:sz w:val="20"/>
              </w:rPr>
              <w:t>After an MLAT request has been reviewed by OIA, it is generally sent to one of the 94 federal U.S. Attorney’s Offices for execution. The request is sent to the U.S. Attorney’s Office where the evidence or witness is located. The usual practice is for the Assistant U.S. Attorney in that district to apply to the U.S. district court for an order appointing him or her as a commissioner to execute the foreign request. Among the powers that are granted the commissioner under U.S. law (Title 28 United States Code Section 1782) is the authority to issue subpoenas to compel the appearance of a witness to provide testimony or produce documents. Once the requested evidence is obtained by the commissioner, it is transmitted to OIA and then on to the foreign authorities, in accordance with the terms of the treaty.</w:t>
            </w:r>
          </w:p>
          <w:p w14:paraId="40877AE3" w14:textId="77777777" w:rsidR="004C6668" w:rsidRPr="006F29F5" w:rsidRDefault="004C6668" w:rsidP="003C6EAC">
            <w:pPr>
              <w:rPr>
                <w:rFonts w:cs="Times New Roman"/>
                <w:kern w:val="2"/>
                <w:sz w:val="20"/>
              </w:rPr>
            </w:pPr>
            <w:r w:rsidRPr="006F29F5">
              <w:rPr>
                <w:rFonts w:cs="Times New Roman"/>
                <w:kern w:val="2"/>
                <w:sz w:val="20"/>
              </w:rPr>
              <w:t>Generally, the procedures used in providing assistance under multilateral conventions are very similar to the procedures described above and are further dictated by the terms of the underlying agreements.</w:t>
            </w:r>
          </w:p>
          <w:p w14:paraId="27445DD6" w14:textId="77777777" w:rsidR="004C6668" w:rsidRPr="006F29F5" w:rsidRDefault="004C6668" w:rsidP="003C6EAC">
            <w:pPr>
              <w:rPr>
                <w:rFonts w:cs="Times New Roman"/>
                <w:b/>
                <w:bCs/>
                <w:iCs/>
                <w:kern w:val="2"/>
                <w:sz w:val="20"/>
              </w:rPr>
            </w:pPr>
            <w:r w:rsidRPr="006F29F5">
              <w:rPr>
                <w:rFonts w:cs="Times New Roman"/>
                <w:b/>
                <w:bCs/>
                <w:iCs/>
                <w:kern w:val="2"/>
                <w:sz w:val="20"/>
              </w:rPr>
              <w:t xml:space="preserve">(b) Letters </w:t>
            </w:r>
            <w:proofErr w:type="spellStart"/>
            <w:r w:rsidRPr="006F29F5">
              <w:rPr>
                <w:rFonts w:cs="Times New Roman"/>
                <w:b/>
                <w:bCs/>
                <w:iCs/>
                <w:kern w:val="2"/>
                <w:sz w:val="20"/>
              </w:rPr>
              <w:t>Rogatory</w:t>
            </w:r>
            <w:proofErr w:type="spellEnd"/>
            <w:r w:rsidRPr="006F29F5">
              <w:rPr>
                <w:rFonts w:cs="Times New Roman"/>
                <w:b/>
                <w:bCs/>
                <w:iCs/>
                <w:kern w:val="2"/>
                <w:sz w:val="20"/>
              </w:rPr>
              <w:t xml:space="preserve"> Requests (Court-Issued Non-Treaty Requests)</w:t>
            </w:r>
          </w:p>
          <w:p w14:paraId="513FFCC1" w14:textId="77777777" w:rsidR="004C6668" w:rsidRPr="006F29F5" w:rsidRDefault="004C6668" w:rsidP="003C6EAC">
            <w:pPr>
              <w:rPr>
                <w:rFonts w:cs="Times New Roman"/>
                <w:kern w:val="2"/>
                <w:sz w:val="20"/>
              </w:rPr>
            </w:pPr>
            <w:r w:rsidRPr="006F29F5">
              <w:rPr>
                <w:rFonts w:cs="Times New Roman"/>
                <w:kern w:val="2"/>
                <w:sz w:val="20"/>
              </w:rPr>
              <w:t xml:space="preserve">Absent an MLAT or other applicable treaty, letters </w:t>
            </w:r>
            <w:proofErr w:type="spellStart"/>
            <w:r w:rsidRPr="006F29F5">
              <w:rPr>
                <w:rFonts w:cs="Times New Roman"/>
                <w:kern w:val="2"/>
                <w:sz w:val="20"/>
              </w:rPr>
              <w:t>rogatory</w:t>
            </w:r>
            <w:proofErr w:type="spellEnd"/>
            <w:r w:rsidRPr="006F29F5">
              <w:rPr>
                <w:rFonts w:cs="Times New Roman"/>
                <w:kern w:val="2"/>
                <w:sz w:val="20"/>
              </w:rPr>
              <w:t xml:space="preserve"> from a foreign court should be forwarded to OIA for execution. Pursuant to Title 28 United States Code Section 1782, requests may be executed on a discretionary basis, even if there is no treaty or multilateral agreement with the requesting country. For the most part, the United States will provide cooperation. Assistance can be provided at the investigative stage of the proceedings. Section 1782 is broad in scope and can be used to obtain assistance such as: (1) production of government or corporate records; (2) witness interviews; and (3) handwriting exemplars. Generally, almost all evidence requiring the use of compulsory process (subpoena or judicial order) may be sought in accordance with U.S. law.</w:t>
            </w:r>
          </w:p>
          <w:p w14:paraId="1ED05DF1" w14:textId="77777777" w:rsidR="004C6668" w:rsidRPr="006F29F5" w:rsidRDefault="004C6668" w:rsidP="003C6EAC">
            <w:pPr>
              <w:rPr>
                <w:rFonts w:cs="Times New Roman"/>
                <w:b/>
                <w:bCs/>
                <w:iCs/>
                <w:kern w:val="2"/>
                <w:sz w:val="20"/>
              </w:rPr>
            </w:pPr>
            <w:r w:rsidRPr="006F29F5">
              <w:rPr>
                <w:rFonts w:cs="Times New Roman"/>
                <w:b/>
                <w:bCs/>
                <w:iCs/>
                <w:kern w:val="2"/>
                <w:sz w:val="20"/>
              </w:rPr>
              <w:t>(c) Non-Treaty Letters of Request</w:t>
            </w:r>
          </w:p>
          <w:p w14:paraId="28F437F6" w14:textId="77777777" w:rsidR="004C6668" w:rsidRPr="006F29F5" w:rsidRDefault="004C6668" w:rsidP="005F0392">
            <w:pPr>
              <w:rPr>
                <w:rFonts w:cs="Times New Roman"/>
                <w:kern w:val="2"/>
                <w:sz w:val="20"/>
              </w:rPr>
            </w:pPr>
            <w:r w:rsidRPr="006F29F5">
              <w:rPr>
                <w:rFonts w:cs="Times New Roman"/>
                <w:kern w:val="2"/>
                <w:sz w:val="20"/>
              </w:rPr>
              <w:t xml:space="preserve">Just as with a letter </w:t>
            </w:r>
            <w:proofErr w:type="spellStart"/>
            <w:r w:rsidRPr="006F29F5">
              <w:rPr>
                <w:rFonts w:cs="Times New Roman"/>
                <w:kern w:val="2"/>
                <w:sz w:val="20"/>
              </w:rPr>
              <w:t>rogatory</w:t>
            </w:r>
            <w:proofErr w:type="spellEnd"/>
            <w:r w:rsidRPr="006F29F5">
              <w:rPr>
                <w:rFonts w:cs="Times New Roman"/>
                <w:kern w:val="2"/>
                <w:sz w:val="20"/>
              </w:rPr>
              <w:t>, absent an MLAT or other applicable multilateral convention, a letter of request from a foreign authority should be forwarded to OIA for execution. Pursuant to Title 28 United States Code Section 1782, these requests may be executed on a discretionary basis. Generally, the United States makes its best efforts to provide cooperation.</w:t>
            </w:r>
          </w:p>
          <w:p w14:paraId="5666FDF0" w14:textId="77777777" w:rsidR="004C6668" w:rsidRPr="006F29F5" w:rsidRDefault="004C6668" w:rsidP="005F0392">
            <w:pPr>
              <w:spacing w:before="0"/>
              <w:rPr>
                <w:rFonts w:cs="Times New Roman"/>
                <w:b/>
                <w:bCs/>
                <w:iCs/>
                <w:kern w:val="2"/>
                <w:sz w:val="20"/>
              </w:rPr>
            </w:pPr>
            <w:r w:rsidRPr="006F29F5">
              <w:rPr>
                <w:rFonts w:cs="Times New Roman"/>
                <w:b/>
                <w:bCs/>
                <w:iCs/>
                <w:kern w:val="2"/>
                <w:sz w:val="20"/>
              </w:rPr>
              <w:t>(d) Dual Criminality is Generally Not Required</w:t>
            </w:r>
          </w:p>
          <w:p w14:paraId="617D61C9" w14:textId="7B1CB45F" w:rsidR="004C6668" w:rsidRPr="006F29F5" w:rsidRDefault="004C6668" w:rsidP="003C6EAC">
            <w:pPr>
              <w:rPr>
                <w:rFonts w:cs="Times New Roman"/>
                <w:kern w:val="2"/>
                <w:sz w:val="20"/>
              </w:rPr>
            </w:pPr>
            <w:r w:rsidRPr="006F29F5">
              <w:rPr>
                <w:rFonts w:cs="Times New Roman"/>
                <w:kern w:val="2"/>
                <w:sz w:val="20"/>
              </w:rPr>
              <w:t xml:space="preserve">As a general rule, dual criminality is not required when seeking legal assistance from the United States. However, when seeking a search warrant or other intrusive measure in the United States as part of an MLAT request, pursuant to Title 18 United States Code Section 3512, dual criminality is required. There may also be some instances in which an MLAT request seeks the restraint and forfeiture of assets where dual </w:t>
            </w:r>
            <w:proofErr w:type="spellStart"/>
            <w:r w:rsidRPr="006F29F5">
              <w:rPr>
                <w:rFonts w:cs="Times New Roman"/>
                <w:kern w:val="2"/>
                <w:sz w:val="20"/>
              </w:rPr>
              <w:t>forfeitability</w:t>
            </w:r>
            <w:proofErr w:type="spellEnd"/>
            <w:r w:rsidRPr="006F29F5">
              <w:rPr>
                <w:rFonts w:cs="Times New Roman"/>
                <w:kern w:val="2"/>
                <w:sz w:val="20"/>
              </w:rPr>
              <w:t xml:space="preserve"> is required. Also, some requests may relate to conduct that is protected under U.S. laws regarding free speech and may be denied on that basis.</w:t>
            </w:r>
            <w:r w:rsidR="009B1359" w:rsidRPr="006F29F5">
              <w:rPr>
                <w:rStyle w:val="FootnoteReference"/>
                <w:rFonts w:cs="Times New Roman"/>
                <w:kern w:val="2"/>
                <w:sz w:val="20"/>
              </w:rPr>
              <w:footnoteReference w:id="278"/>
            </w:r>
          </w:p>
          <w:p w14:paraId="0E5ED3FF" w14:textId="6A2BA7C7" w:rsidR="004C6668" w:rsidRPr="006F29F5" w:rsidRDefault="004C6668" w:rsidP="003C6EAC">
            <w:pPr>
              <w:pStyle w:val="ExcerptMarker"/>
              <w:spacing w:after="0"/>
              <w:rPr>
                <w:kern w:val="2"/>
                <w:sz w:val="16"/>
                <w:lang w:eastAsia="ja-JP"/>
              </w:rPr>
            </w:pPr>
            <w:r w:rsidRPr="006F29F5">
              <w:rPr>
                <w:kern w:val="2"/>
                <w:sz w:val="16"/>
              </w:rPr>
              <w:t>End of Excerpt</w:t>
            </w:r>
          </w:p>
        </w:tc>
      </w:tr>
    </w:tbl>
    <w:p w14:paraId="691DCAA2" w14:textId="777FACDA" w:rsidR="00B5082F" w:rsidRPr="006F29F5" w:rsidRDefault="00B5082F" w:rsidP="00CD5522">
      <w:pPr>
        <w:rPr>
          <w:rFonts w:cs="Times New Roman"/>
          <w:color w:val="000000" w:themeColor="text1"/>
          <w:kern w:val="2"/>
          <w:sz w:val="20"/>
        </w:rPr>
      </w:pPr>
      <w:bookmarkStart w:id="85" w:name="_Toc287778585"/>
      <w:bookmarkStart w:id="86" w:name="_Toc291766629"/>
      <w:r w:rsidRPr="006F29F5">
        <w:rPr>
          <w:rFonts w:cs="Times New Roman"/>
          <w:color w:val="000000" w:themeColor="text1"/>
          <w:kern w:val="2"/>
          <w:sz w:val="20"/>
        </w:rPr>
        <w:t>The 2016 FATF Mutual Evaluation Report concluded that the United States provides constructive and timely mutual legal assistance across the range of international co-operation requests, including in relation to money laundering and asset forfeiture.</w:t>
      </w:r>
      <w:r w:rsidRPr="006F29F5">
        <w:rPr>
          <w:rStyle w:val="FootnoteReference"/>
          <w:rFonts w:cs="Times New Roman"/>
          <w:color w:val="000000" w:themeColor="text1"/>
          <w:kern w:val="2"/>
          <w:sz w:val="20"/>
        </w:rPr>
        <w:footnoteReference w:id="279"/>
      </w:r>
      <w:r w:rsidRPr="006F29F5">
        <w:rPr>
          <w:rFonts w:cs="Times New Roman"/>
          <w:color w:val="000000" w:themeColor="text1"/>
          <w:kern w:val="2"/>
          <w:sz w:val="20"/>
        </w:rPr>
        <w:t xml:space="preserve"> However, there may be barriers to obtaining beneficial ownership information in a timely way</w:t>
      </w:r>
      <w:r w:rsidR="006F697C" w:rsidRPr="006F29F5">
        <w:rPr>
          <w:rFonts w:cs="Times New Roman"/>
          <w:color w:val="000000" w:themeColor="text1"/>
          <w:kern w:val="2"/>
          <w:sz w:val="20"/>
        </w:rPr>
        <w:t>,</w:t>
      </w:r>
      <w:r w:rsidRPr="006F29F5">
        <w:rPr>
          <w:rFonts w:cs="Times New Roman"/>
          <w:color w:val="000000" w:themeColor="text1"/>
          <w:kern w:val="2"/>
          <w:sz w:val="20"/>
        </w:rPr>
        <w:t xml:space="preserve"> and tax information is not generally available to foreign law enforcement authorities for use in non-tax criminal investigations.</w:t>
      </w:r>
      <w:r w:rsidRPr="006F29F5">
        <w:rPr>
          <w:rStyle w:val="FootnoteReference"/>
          <w:rFonts w:cs="Times New Roman"/>
          <w:color w:val="000000" w:themeColor="text1"/>
          <w:kern w:val="2"/>
          <w:sz w:val="20"/>
        </w:rPr>
        <w:footnoteReference w:id="280"/>
      </w:r>
      <w:r w:rsidRPr="006F29F5">
        <w:rPr>
          <w:rFonts w:cs="Times New Roman"/>
          <w:color w:val="000000" w:themeColor="text1"/>
          <w:kern w:val="2"/>
          <w:sz w:val="20"/>
        </w:rPr>
        <w:t xml:space="preserve"> The Report recommends, in particular, allocating more resources to process the large number of MLA and extradition requests, as well as taking urgent steps to ensure that adequate, accurate and current information about beneficial owners of legal entities is available in a timely manner.</w:t>
      </w:r>
      <w:r w:rsidRPr="006F29F5">
        <w:rPr>
          <w:rStyle w:val="FootnoteReference"/>
          <w:rFonts w:cs="Times New Roman"/>
          <w:color w:val="000000" w:themeColor="text1"/>
          <w:kern w:val="2"/>
          <w:sz w:val="20"/>
        </w:rPr>
        <w:footnoteReference w:id="281"/>
      </w:r>
    </w:p>
    <w:p w14:paraId="36F387F0" w14:textId="22B6B9CA" w:rsidR="00B5082F" w:rsidRPr="006F29F5" w:rsidRDefault="00B5082F" w:rsidP="00B5082F">
      <w:pPr>
        <w:rPr>
          <w:rFonts w:cs="Times New Roman"/>
          <w:color w:val="000000" w:themeColor="text1"/>
          <w:kern w:val="2"/>
          <w:sz w:val="20"/>
        </w:rPr>
      </w:pPr>
      <w:r w:rsidRPr="006F29F5">
        <w:rPr>
          <w:rFonts w:cs="Times New Roman"/>
          <w:color w:val="000000" w:themeColor="text1"/>
          <w:kern w:val="2"/>
          <w:sz w:val="20"/>
        </w:rPr>
        <w:t xml:space="preserve">As of July 2015, the </w:t>
      </w:r>
      <w:r w:rsidR="00F12ADC" w:rsidRPr="006F29F5">
        <w:rPr>
          <w:rFonts w:cs="Times New Roman"/>
          <w:color w:val="000000" w:themeColor="text1"/>
          <w:kern w:val="2"/>
          <w:sz w:val="20"/>
        </w:rPr>
        <w:t>US</w:t>
      </w:r>
      <w:r w:rsidRPr="006F29F5">
        <w:rPr>
          <w:rFonts w:cs="Times New Roman"/>
          <w:color w:val="000000" w:themeColor="text1"/>
          <w:kern w:val="2"/>
          <w:sz w:val="20"/>
        </w:rPr>
        <w:t xml:space="preserve"> was actively seeking MLA in 1,542 criminal matters related to money laundering, terrorist financing and asset forfeiture.</w:t>
      </w:r>
      <w:r w:rsidRPr="006F29F5">
        <w:rPr>
          <w:rStyle w:val="FootnoteReference"/>
          <w:rFonts w:cs="Times New Roman"/>
          <w:color w:val="000000" w:themeColor="text1"/>
          <w:kern w:val="2"/>
          <w:sz w:val="20"/>
        </w:rPr>
        <w:footnoteReference w:id="282"/>
      </w:r>
      <w:r w:rsidRPr="006F29F5">
        <w:rPr>
          <w:rFonts w:cs="Times New Roman"/>
          <w:color w:val="000000" w:themeColor="text1"/>
          <w:kern w:val="2"/>
          <w:sz w:val="20"/>
        </w:rPr>
        <w:t xml:space="preserve"> Also, between 2009 and 2014, the </w:t>
      </w:r>
      <w:r w:rsidR="006B708B" w:rsidRPr="006F29F5">
        <w:rPr>
          <w:rFonts w:cs="Times New Roman"/>
          <w:color w:val="000000" w:themeColor="text1"/>
          <w:kern w:val="2"/>
          <w:sz w:val="20"/>
        </w:rPr>
        <w:t>US</w:t>
      </w:r>
      <w:r w:rsidRPr="006F29F5">
        <w:rPr>
          <w:rFonts w:cs="Times New Roman"/>
          <w:color w:val="000000" w:themeColor="text1"/>
          <w:kern w:val="2"/>
          <w:sz w:val="20"/>
        </w:rPr>
        <w:t xml:space="preserve"> received 1,541 MLA request</w:t>
      </w:r>
      <w:r w:rsidR="006F697C" w:rsidRPr="006F29F5">
        <w:rPr>
          <w:rFonts w:cs="Times New Roman"/>
          <w:color w:val="000000" w:themeColor="text1"/>
          <w:kern w:val="2"/>
          <w:sz w:val="20"/>
        </w:rPr>
        <w:t>s</w:t>
      </w:r>
      <w:r w:rsidRPr="006F29F5">
        <w:rPr>
          <w:rFonts w:cs="Times New Roman"/>
          <w:color w:val="000000" w:themeColor="text1"/>
          <w:kern w:val="2"/>
          <w:sz w:val="20"/>
        </w:rPr>
        <w:t xml:space="preserve"> in matters involving money laundering, terrorist financing and asset forfeiture.</w:t>
      </w:r>
      <w:r w:rsidRPr="006F29F5">
        <w:rPr>
          <w:rStyle w:val="FootnoteReference"/>
          <w:rFonts w:cs="Times New Roman"/>
          <w:color w:val="000000" w:themeColor="text1"/>
          <w:kern w:val="2"/>
          <w:sz w:val="20"/>
        </w:rPr>
        <w:footnoteReference w:id="283"/>
      </w:r>
      <w:r w:rsidRPr="006F29F5">
        <w:rPr>
          <w:rFonts w:cs="Times New Roman"/>
          <w:color w:val="000000" w:themeColor="text1"/>
          <w:kern w:val="2"/>
          <w:sz w:val="20"/>
        </w:rPr>
        <w:t xml:space="preserve"> In money laundering and asset forfeiture matters, from 2009</w:t>
      </w:r>
      <w:r w:rsidR="006F697C" w:rsidRPr="006F29F5">
        <w:rPr>
          <w:rFonts w:cs="Times New Roman"/>
          <w:color w:val="000000" w:themeColor="text1"/>
          <w:kern w:val="2"/>
          <w:sz w:val="20"/>
        </w:rPr>
        <w:t xml:space="preserve"> to </w:t>
      </w:r>
      <w:r w:rsidRPr="006F29F5">
        <w:rPr>
          <w:rFonts w:cs="Times New Roman"/>
          <w:color w:val="000000" w:themeColor="text1"/>
          <w:kern w:val="2"/>
          <w:sz w:val="20"/>
        </w:rPr>
        <w:t xml:space="preserve">2014, the most MLA requests were received from Switzerland, Mexico, the United Kingdom and the Netherlands, while the </w:t>
      </w:r>
      <w:r w:rsidR="00862CE5" w:rsidRPr="006F29F5">
        <w:rPr>
          <w:rFonts w:cs="Times New Roman"/>
          <w:color w:val="000000" w:themeColor="text1"/>
          <w:kern w:val="2"/>
          <w:sz w:val="20"/>
        </w:rPr>
        <w:t>US</w:t>
      </w:r>
      <w:r w:rsidRPr="006F29F5">
        <w:rPr>
          <w:rFonts w:cs="Times New Roman"/>
          <w:color w:val="000000" w:themeColor="text1"/>
          <w:kern w:val="2"/>
          <w:sz w:val="20"/>
        </w:rPr>
        <w:t xml:space="preserve"> sought MLA primarily from Switzerland, the United Kingdom, the Netherlands and Canada.</w:t>
      </w:r>
      <w:r w:rsidRPr="006F29F5">
        <w:rPr>
          <w:rStyle w:val="FootnoteReference"/>
          <w:rFonts w:cs="Times New Roman"/>
          <w:color w:val="000000" w:themeColor="text1"/>
          <w:kern w:val="2"/>
          <w:sz w:val="20"/>
        </w:rPr>
        <w:footnoteReference w:id="284"/>
      </w:r>
    </w:p>
    <w:p w14:paraId="37B2C8EC" w14:textId="05618C72" w:rsidR="00B5082F" w:rsidRPr="006F29F5" w:rsidRDefault="00B5082F" w:rsidP="00B5082F">
      <w:pPr>
        <w:rPr>
          <w:rFonts w:cs="Times New Roman"/>
          <w:color w:val="000000" w:themeColor="text1"/>
          <w:kern w:val="2"/>
          <w:sz w:val="20"/>
        </w:rPr>
      </w:pPr>
      <w:r w:rsidRPr="00D850BF">
        <w:rPr>
          <w:rFonts w:cs="Times New Roman"/>
          <w:color w:val="000000" w:themeColor="text1"/>
          <w:kern w:val="2"/>
          <w:sz w:val="20"/>
          <w:highlight w:val="magenta"/>
        </w:rPr>
        <w:t xml:space="preserve">International asset sharing is encouraged by </w:t>
      </w:r>
      <w:r w:rsidR="00B35495" w:rsidRPr="00D850BF">
        <w:rPr>
          <w:rFonts w:cs="Times New Roman"/>
          <w:color w:val="000000" w:themeColor="text1"/>
          <w:kern w:val="2"/>
          <w:sz w:val="20"/>
          <w:highlight w:val="magenta"/>
        </w:rPr>
        <w:t>US</w:t>
      </w:r>
      <w:r w:rsidRPr="00D850BF">
        <w:rPr>
          <w:rFonts w:cs="Times New Roman"/>
          <w:color w:val="000000" w:themeColor="text1"/>
          <w:kern w:val="2"/>
          <w:sz w:val="20"/>
          <w:highlight w:val="magenta"/>
        </w:rPr>
        <w:t xml:space="preserve"> authorities and is available even when a country makes no direct request for a share of forfeited proceeds of crime.</w:t>
      </w:r>
      <w:r w:rsidR="00253F31" w:rsidRPr="00D850BF">
        <w:rPr>
          <w:rStyle w:val="FootnoteReference"/>
          <w:rFonts w:cs="Times New Roman"/>
          <w:color w:val="000000" w:themeColor="text1"/>
          <w:kern w:val="2"/>
          <w:sz w:val="20"/>
          <w:highlight w:val="magenta"/>
        </w:rPr>
        <w:footnoteReference w:id="285"/>
      </w:r>
      <w:r w:rsidRPr="00D850BF">
        <w:rPr>
          <w:rFonts w:cs="Times New Roman"/>
          <w:color w:val="000000" w:themeColor="text1"/>
          <w:kern w:val="2"/>
          <w:sz w:val="20"/>
          <w:highlight w:val="magenta"/>
        </w:rPr>
        <w:t xml:space="preserve"> Since 1989, more than $257 million in forfeited assets has been transferred to 47 countries from the Department of Justice Asset Forfeiture Funds (DOJ-AFF)</w:t>
      </w:r>
      <w:r w:rsidR="006F697C" w:rsidRPr="00D850BF">
        <w:rPr>
          <w:rFonts w:cs="Times New Roman"/>
          <w:color w:val="000000" w:themeColor="text1"/>
          <w:kern w:val="2"/>
          <w:sz w:val="20"/>
          <w:highlight w:val="magenta"/>
        </w:rPr>
        <w:t>,</w:t>
      </w:r>
      <w:r w:rsidRPr="00D850BF">
        <w:rPr>
          <w:rFonts w:cs="Times New Roman"/>
          <w:color w:val="000000" w:themeColor="text1"/>
          <w:kern w:val="2"/>
          <w:sz w:val="20"/>
          <w:highlight w:val="magenta"/>
        </w:rPr>
        <w:t xml:space="preserve"> and, since 1994, the Treasury Forfeiture Fund (TFF) has transferred more than $37 million to 29 countries.</w:t>
      </w:r>
      <w:r w:rsidRPr="00D850BF">
        <w:rPr>
          <w:rStyle w:val="FootnoteReference"/>
          <w:rFonts w:cs="Times New Roman"/>
          <w:color w:val="000000" w:themeColor="text1"/>
          <w:kern w:val="2"/>
          <w:sz w:val="20"/>
          <w:highlight w:val="magenta"/>
        </w:rPr>
        <w:footnoteReference w:id="286"/>
      </w:r>
    </w:p>
    <w:p w14:paraId="2398578D" w14:textId="0C3E616A" w:rsidR="00B5082F" w:rsidRDefault="00253F31" w:rsidP="00253F31">
      <w:pPr>
        <w:rPr>
          <w:rFonts w:cs="Times New Roman"/>
          <w:color w:val="000000" w:themeColor="text1"/>
          <w:kern w:val="2"/>
          <w:sz w:val="20"/>
        </w:rPr>
      </w:pPr>
      <w:r w:rsidRPr="006F29F5">
        <w:rPr>
          <w:rFonts w:cs="Times New Roman"/>
          <w:color w:val="000000" w:themeColor="text1"/>
          <w:kern w:val="2"/>
          <w:sz w:val="20"/>
        </w:rPr>
        <w:t>Overall, the Report concluded that the United States is “largely compliant” with the FATF Recommendations 37 (“Mutual legal assistance”) and 38 (“Mutual legal assistance: freezing and confiscation”). The following is an excerpt from the report assessing the US anti-money laundering and combating the financing of terrorism (AML/CFT) regime:</w:t>
      </w:r>
      <w:r w:rsidR="00B81840" w:rsidRPr="006F29F5">
        <w:rPr>
          <w:rStyle w:val="FootnoteReference"/>
          <w:rFonts w:cs="Times New Roman"/>
          <w:color w:val="000000" w:themeColor="text1"/>
          <w:kern w:val="2"/>
          <w:sz w:val="20"/>
        </w:rPr>
        <w:footnoteReference w:id="287"/>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D850BF" w14:paraId="6CBA52B9" w14:textId="77777777" w:rsidTr="005F0392">
        <w:tc>
          <w:tcPr>
            <w:tcW w:w="8070" w:type="dxa"/>
            <w:tcBorders>
              <w:top w:val="nil"/>
              <w:left w:val="nil"/>
              <w:bottom w:val="nil"/>
              <w:right w:val="nil"/>
            </w:tcBorders>
            <w:shd w:val="clear" w:color="auto" w:fill="D9D9D9" w:themeFill="background1" w:themeFillShade="D9"/>
          </w:tcPr>
          <w:p w14:paraId="26BC4331" w14:textId="77777777" w:rsidR="00D850BF" w:rsidRPr="006F29F5" w:rsidRDefault="00D850BF" w:rsidP="00D850BF">
            <w:pPr>
              <w:pStyle w:val="ExcerptMarker"/>
              <w:spacing w:before="0" w:after="0"/>
              <w:rPr>
                <w:kern w:val="2"/>
                <w:sz w:val="16"/>
              </w:rPr>
            </w:pPr>
            <w:r w:rsidRPr="006F29F5">
              <w:rPr>
                <w:kern w:val="2"/>
                <w:sz w:val="16"/>
              </w:rPr>
              <w:t>Beginning of Excerpt</w:t>
            </w:r>
          </w:p>
          <w:p w14:paraId="1F6A7EAD" w14:textId="77777777" w:rsidR="00D850BF" w:rsidRPr="006F29F5" w:rsidRDefault="00D850BF" w:rsidP="00D850BF">
            <w:pPr>
              <w:rPr>
                <w:rFonts w:cs="Times New Roman"/>
                <w:b/>
                <w:i/>
                <w:color w:val="000000" w:themeColor="text1"/>
                <w:kern w:val="2"/>
                <w:sz w:val="20"/>
              </w:rPr>
            </w:pPr>
            <w:r w:rsidRPr="006F29F5">
              <w:rPr>
                <w:rFonts w:cs="Times New Roman"/>
                <w:b/>
                <w:i/>
                <w:color w:val="000000" w:themeColor="text1"/>
                <w:kern w:val="2"/>
                <w:sz w:val="20"/>
              </w:rPr>
              <w:t>Recommendation 37 – Mutual legal assistance</w:t>
            </w:r>
          </w:p>
          <w:p w14:paraId="538A7E73" w14:textId="77777777" w:rsidR="00D850BF" w:rsidRPr="006F29F5" w:rsidRDefault="00D850BF" w:rsidP="00D850BF">
            <w:pPr>
              <w:rPr>
                <w:rFonts w:cs="Times New Roman"/>
                <w:color w:val="000000" w:themeColor="text1"/>
                <w:kern w:val="2"/>
                <w:sz w:val="20"/>
              </w:rPr>
            </w:pPr>
            <w:r w:rsidRPr="006F29F5">
              <w:rPr>
                <w:rFonts w:cs="Times New Roman"/>
                <w:color w:val="000000" w:themeColor="text1"/>
                <w:kern w:val="2"/>
                <w:sz w:val="20"/>
              </w:rPr>
              <w:t>In its 3rd MER</w:t>
            </w:r>
            <w:r w:rsidRPr="006F29F5">
              <w:rPr>
                <w:rFonts w:cs="Times New Roman"/>
                <w:color w:val="000000" w:themeColor="text1"/>
                <w:kern w:val="2"/>
                <w:sz w:val="20"/>
                <w:lang w:val="ru-RU"/>
              </w:rPr>
              <w:t xml:space="preserve"> </w:t>
            </w:r>
            <w:r w:rsidRPr="006F29F5">
              <w:rPr>
                <w:rFonts w:cs="Times New Roman"/>
                <w:color w:val="000000" w:themeColor="text1"/>
                <w:kern w:val="2"/>
                <w:sz w:val="20"/>
              </w:rPr>
              <w:t>[Mutual Evaluation Report], the U.S. was rated largely compliant with these requirements. The technical deficiency</w:t>
            </w:r>
            <w:r w:rsidRPr="006F29F5">
              <w:rPr>
                <w:rFonts w:cs="Times New Roman"/>
                <w:color w:val="000000" w:themeColor="text1"/>
                <w:kern w:val="2"/>
                <w:sz w:val="20"/>
                <w:lang w:val="ru-RU"/>
              </w:rPr>
              <w:t xml:space="preserve"> </w:t>
            </w:r>
            <w:r w:rsidRPr="006F29F5">
              <w:rPr>
                <w:rFonts w:cs="Times New Roman"/>
                <w:color w:val="000000" w:themeColor="text1"/>
                <w:kern w:val="2"/>
                <w:sz w:val="20"/>
              </w:rPr>
              <w:t>related to potential barriers to granting MLA request linked to the laundering of proceeds that are</w:t>
            </w:r>
            <w:r w:rsidRPr="006F29F5">
              <w:rPr>
                <w:rFonts w:cs="Times New Roman"/>
                <w:color w:val="000000" w:themeColor="text1"/>
                <w:kern w:val="2"/>
                <w:sz w:val="20"/>
                <w:lang w:val="ru-RU"/>
              </w:rPr>
              <w:t xml:space="preserve"> </w:t>
            </w:r>
            <w:r w:rsidRPr="006F29F5">
              <w:rPr>
                <w:rFonts w:cs="Times New Roman"/>
                <w:color w:val="000000" w:themeColor="text1"/>
                <w:kern w:val="2"/>
                <w:sz w:val="20"/>
              </w:rPr>
              <w:t>derived from a designated predicate offense that is not covered.</w:t>
            </w:r>
          </w:p>
          <w:p w14:paraId="112FAADB" w14:textId="2C10DAFE" w:rsidR="00D850BF" w:rsidRPr="005F0392" w:rsidRDefault="00D850BF" w:rsidP="005F0392">
            <w:pPr>
              <w:spacing w:after="0"/>
              <w:rPr>
                <w:rFonts w:cs="Times New Roman"/>
                <w:b/>
                <w:color w:val="000000" w:themeColor="text1"/>
                <w:kern w:val="2"/>
                <w:sz w:val="20"/>
              </w:rPr>
            </w:pPr>
            <w:r w:rsidRPr="006F29F5">
              <w:rPr>
                <w:rFonts w:cs="Times New Roman"/>
                <w:b/>
                <w:color w:val="000000" w:themeColor="text1"/>
                <w:kern w:val="2"/>
                <w:sz w:val="20"/>
              </w:rPr>
              <w:t>Criterion 37.1</w:t>
            </w:r>
            <w:r w:rsidRPr="006F29F5">
              <w:rPr>
                <w:rFonts w:cs="Times New Roman"/>
                <w:color w:val="000000" w:themeColor="text1"/>
                <w:kern w:val="2"/>
                <w:sz w:val="20"/>
              </w:rPr>
              <w:t xml:space="preserve"> – The U.S. has a legal basis that would permit for the rapid provision of a wide range of</w:t>
            </w:r>
            <w:r w:rsidRPr="006F29F5">
              <w:rPr>
                <w:rFonts w:cs="Times New Roman"/>
                <w:color w:val="000000" w:themeColor="text1"/>
                <w:kern w:val="2"/>
                <w:sz w:val="20"/>
                <w:lang w:val="ru-RU"/>
              </w:rPr>
              <w:t xml:space="preserve"> </w:t>
            </w:r>
            <w:r w:rsidRPr="006F29F5">
              <w:rPr>
                <w:rFonts w:cs="Times New Roman"/>
                <w:color w:val="000000" w:themeColor="text1"/>
                <w:kern w:val="2"/>
                <w:sz w:val="20"/>
              </w:rPr>
              <w:t>MLA in relation to the investigation, prosecution and related proceedings for ML [money laundering], TF [terrorism finance] and associated</w:t>
            </w:r>
            <w:r w:rsidRPr="006F29F5">
              <w:rPr>
                <w:rFonts w:cs="Times New Roman"/>
                <w:color w:val="000000" w:themeColor="text1"/>
                <w:kern w:val="2"/>
                <w:sz w:val="20"/>
                <w:lang w:val="ru-RU"/>
              </w:rPr>
              <w:t xml:space="preserve"> </w:t>
            </w:r>
            <w:r w:rsidRPr="006F29F5">
              <w:rPr>
                <w:rFonts w:cs="Times New Roman"/>
                <w:color w:val="000000" w:themeColor="text1"/>
                <w:kern w:val="2"/>
                <w:sz w:val="20"/>
              </w:rPr>
              <w:t>predicate offenses. A  statutory legal framework applies to all MLA requests regardless of whether</w:t>
            </w:r>
            <w:r w:rsidRPr="006F29F5">
              <w:rPr>
                <w:rFonts w:cs="Times New Roman"/>
                <w:color w:val="000000" w:themeColor="text1"/>
                <w:kern w:val="2"/>
                <w:sz w:val="20"/>
                <w:lang w:val="ru-RU"/>
              </w:rPr>
              <w:t xml:space="preserve"> </w:t>
            </w:r>
            <w:r w:rsidRPr="006F29F5">
              <w:rPr>
                <w:rFonts w:cs="Times New Roman"/>
                <w:color w:val="000000" w:themeColor="text1"/>
                <w:kern w:val="2"/>
                <w:sz w:val="20"/>
              </w:rPr>
              <w:t xml:space="preserve">they are based on a letter </w:t>
            </w:r>
            <w:proofErr w:type="spellStart"/>
            <w:r w:rsidRPr="006F29F5">
              <w:rPr>
                <w:rFonts w:cs="Times New Roman"/>
                <w:color w:val="000000" w:themeColor="text1"/>
                <w:kern w:val="2"/>
                <w:sz w:val="20"/>
              </w:rPr>
              <w:t>rogatory</w:t>
            </w:r>
            <w:proofErr w:type="spellEnd"/>
            <w:r w:rsidRPr="006F29F5">
              <w:rPr>
                <w:rFonts w:cs="Times New Roman"/>
                <w:color w:val="000000" w:themeColor="text1"/>
                <w:kern w:val="2"/>
                <w:sz w:val="20"/>
              </w:rPr>
              <w:t>, or letter of request: 18 USC §3512. MLA treaties (MLATs) themselves are also a legal framework under which MLA requests may be executed.  Where a bilateral treaty is not in place, the basis for cooperation may often be found in multilateral or regional conventions,</w:t>
            </w:r>
            <w:r w:rsidRPr="006F29F5">
              <w:rPr>
                <w:rStyle w:val="FootnoteReference"/>
                <w:rFonts w:cs="Times New Roman"/>
                <w:color w:val="000000" w:themeColor="text1"/>
                <w:kern w:val="2"/>
                <w:sz w:val="20"/>
              </w:rPr>
              <w:footnoteReference w:id="288"/>
            </w:r>
            <w:r w:rsidRPr="006F29F5">
              <w:rPr>
                <w:rFonts w:cs="Times New Roman"/>
                <w:color w:val="000000" w:themeColor="text1"/>
                <w:kern w:val="2"/>
                <w:sz w:val="20"/>
              </w:rPr>
              <w:t xml:space="preserve"> and agreements.</w:t>
            </w:r>
            <w:r w:rsidRPr="006F29F5">
              <w:rPr>
                <w:rStyle w:val="FootnoteReference"/>
                <w:rFonts w:cs="Times New Roman"/>
                <w:color w:val="000000" w:themeColor="text1"/>
                <w:kern w:val="2"/>
                <w:sz w:val="20"/>
              </w:rPr>
              <w:footnoteReference w:id="289"/>
            </w:r>
            <w:r w:rsidRPr="006F29F5">
              <w:rPr>
                <w:rFonts w:cs="Times New Roman"/>
                <w:color w:val="000000" w:themeColor="text1"/>
                <w:kern w:val="2"/>
                <w:sz w:val="20"/>
              </w:rPr>
              <w:t xml:space="preserve"> Additionally, U.S. courts are authorized to provide direct MLA to international tribunals: 28 USC §1782.</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5E060F" w:rsidRPr="006F29F5" w14:paraId="27DEDEDC" w14:textId="77777777" w:rsidTr="005F0392">
        <w:trPr>
          <w:jc w:val="center"/>
        </w:trPr>
        <w:tc>
          <w:tcPr>
            <w:tcW w:w="8080" w:type="dxa"/>
            <w:shd w:val="clear" w:color="auto" w:fill="D9D9D9" w:themeFill="background1" w:themeFillShade="D9"/>
          </w:tcPr>
          <w:p w14:paraId="0F6985C4" w14:textId="6A2AF4B5" w:rsidR="005E060F" w:rsidRPr="006F29F5" w:rsidRDefault="00D850BF" w:rsidP="005F0392">
            <w:pPr>
              <w:spacing w:before="0"/>
              <w:rPr>
                <w:rFonts w:cs="Times New Roman"/>
                <w:color w:val="000000" w:themeColor="text1"/>
                <w:kern w:val="2"/>
                <w:sz w:val="20"/>
              </w:rPr>
            </w:pPr>
            <w:r w:rsidRPr="006F29F5">
              <w:rPr>
                <w:rFonts w:cs="Times New Roman"/>
                <w:b/>
                <w:color w:val="000000" w:themeColor="text1"/>
                <w:kern w:val="2"/>
                <w:sz w:val="20"/>
              </w:rPr>
              <w:t>Criterion 37.2</w:t>
            </w:r>
            <w:r w:rsidRPr="006F29F5">
              <w:rPr>
                <w:rFonts w:cs="Times New Roman"/>
                <w:color w:val="000000" w:themeColor="text1"/>
                <w:kern w:val="2"/>
                <w:sz w:val="20"/>
              </w:rPr>
              <w:t xml:space="preserve"> – The U.S. has a central authority for transmitting and executing MLA requests – DOJ-OIA [DOJ Office of International Affairs] through which must be channeled all requests in criminal matters for legal assistance requiring compulsory measures. DOJ-OIA has a prioritisation system in place for incoming and outgoing requests by which Treaty requests are prioritized above non-treaty requests. Crimes of violence, including terrorism cases, are given a high priority. High priority cases are dealt with by order of arrival or urgency (e.g. trial deadline). There is flexibility to deviate from these prioritizations in exceptional circumstances. However, due to their current IT system, the U.S. is only able to monitor progress and time taken to handle a request.</w:t>
            </w:r>
          </w:p>
          <w:p w14:paraId="5E3D6CD2" w14:textId="77777777" w:rsidR="005E060F" w:rsidRPr="006F29F5" w:rsidRDefault="005E060F" w:rsidP="00D850BF">
            <w:pPr>
              <w:rPr>
                <w:rFonts w:cs="Times New Roman"/>
                <w:color w:val="000000" w:themeColor="text1"/>
                <w:kern w:val="2"/>
                <w:sz w:val="20"/>
              </w:rPr>
            </w:pPr>
            <w:r w:rsidRPr="006F29F5">
              <w:rPr>
                <w:rFonts w:cs="Times New Roman"/>
                <w:b/>
                <w:color w:val="000000" w:themeColor="text1"/>
                <w:kern w:val="2"/>
                <w:sz w:val="20"/>
              </w:rPr>
              <w:t>Criterion 37.3</w:t>
            </w:r>
            <w:r w:rsidRPr="006F29F5">
              <w:rPr>
                <w:rFonts w:cs="Times New Roman"/>
                <w:color w:val="000000" w:themeColor="text1"/>
                <w:kern w:val="2"/>
                <w:sz w:val="20"/>
              </w:rPr>
              <w:t xml:space="preserve"> – MLA is not prohibited or made to be subject to unduly restrictive conditions. MLA may be provided to foreign investigative authorities in criminal matters, including before a charge is laid and does not specify dual criminality as a condition: 18 USC §3512. Some restrictions may be provided for in treaties and conventions. Where dual criminality applies, this is mainly restricted to requests for assistance requiring the application of compulsory or coercive measures.</w:t>
            </w:r>
          </w:p>
          <w:p w14:paraId="75848C1A" w14:textId="77777777" w:rsidR="005E060F" w:rsidRPr="006F29F5" w:rsidRDefault="005E060F" w:rsidP="00D850BF">
            <w:pPr>
              <w:rPr>
                <w:rFonts w:cs="Times New Roman"/>
                <w:color w:val="000000" w:themeColor="text1"/>
                <w:kern w:val="2"/>
                <w:sz w:val="20"/>
              </w:rPr>
            </w:pPr>
            <w:r w:rsidRPr="006F29F5">
              <w:rPr>
                <w:rFonts w:cs="Times New Roman"/>
                <w:b/>
                <w:color w:val="000000" w:themeColor="text1"/>
                <w:kern w:val="2"/>
                <w:sz w:val="20"/>
              </w:rPr>
              <w:t>Criterion 37.4</w:t>
            </w:r>
            <w:r w:rsidRPr="006F29F5">
              <w:rPr>
                <w:rFonts w:cs="Times New Roman"/>
                <w:color w:val="000000" w:themeColor="text1"/>
                <w:kern w:val="2"/>
                <w:sz w:val="20"/>
              </w:rPr>
              <w:t xml:space="preserve"> – The U.S. does not refuse requests for MLA on the sole ground that the offense is also considered to involve fiscal matters, even where the applicable MLATs exclude fiscal matters from the scope of assistance</w:t>
            </w:r>
            <w:r w:rsidRPr="006F29F5">
              <w:rPr>
                <w:rStyle w:val="FootnoteReference"/>
                <w:rFonts w:cs="Times New Roman"/>
                <w:color w:val="000000" w:themeColor="text1"/>
                <w:kern w:val="2"/>
                <w:sz w:val="20"/>
              </w:rPr>
              <w:footnoteReference w:id="290"/>
            </w:r>
            <w:r w:rsidRPr="006F29F5">
              <w:rPr>
                <w:rFonts w:cs="Times New Roman"/>
                <w:color w:val="000000" w:themeColor="text1"/>
                <w:kern w:val="2"/>
                <w:sz w:val="20"/>
              </w:rPr>
              <w:t>. Separate Tax Treaties or Conventions on Tax Information Exchanges also provide additional information exchange mechanisms, including on tax offenses. Likewise, MLA requests are not refused on the sole grounds of secrecy or confidentiality requirements on FIs [financial institutions] or DNFBP [designated non-financial businesses and professions], except where information is protected by the attorney-client privilege. Attorney-client privilege may be overcome if it can be shown that the attorney was actively participating in the criminal activities of his/her client.</w:t>
            </w:r>
          </w:p>
          <w:p w14:paraId="78FFBD26" w14:textId="77777777" w:rsidR="005E060F" w:rsidRPr="006F29F5" w:rsidRDefault="005E060F" w:rsidP="00D850BF">
            <w:pPr>
              <w:rPr>
                <w:rFonts w:cs="Times New Roman"/>
                <w:color w:val="000000" w:themeColor="text1"/>
                <w:kern w:val="2"/>
                <w:sz w:val="20"/>
              </w:rPr>
            </w:pPr>
            <w:r w:rsidRPr="006F29F5">
              <w:rPr>
                <w:rFonts w:cs="Times New Roman"/>
                <w:b/>
                <w:color w:val="000000" w:themeColor="text1"/>
                <w:kern w:val="2"/>
                <w:sz w:val="20"/>
              </w:rPr>
              <w:t>Criterion 37.5</w:t>
            </w:r>
            <w:r w:rsidRPr="006F29F5">
              <w:rPr>
                <w:rFonts w:cs="Times New Roman"/>
                <w:color w:val="000000" w:themeColor="text1"/>
                <w:kern w:val="2"/>
                <w:sz w:val="20"/>
              </w:rPr>
              <w:t xml:space="preserve"> – The U.S. maintains the confidentiality of MLA requests received, subject to fundamental principles of domestic law, in order to protect the integrity of the investigation or inquiry. Most MLATs signed by the U.S. contain confidentiality provisions that can be invoked by the requested State. Additionally, subpoenas for documents or testimony, restraining orders, and other compulsory measures may be issued or undertaken with a court order sealing the matter from public disclosure for a certain period of time. Where legal process is required, sealing orders are routinely issued on the basis of the country’s invocation of a treaty’s confidentiality provision and factual circumstances that counsel confidentiality.</w:t>
            </w:r>
          </w:p>
          <w:p w14:paraId="060856D1" w14:textId="77777777" w:rsidR="005E060F" w:rsidRPr="006F29F5" w:rsidRDefault="005E060F" w:rsidP="00D850BF">
            <w:pPr>
              <w:rPr>
                <w:rFonts w:cs="Times New Roman"/>
                <w:color w:val="000000" w:themeColor="text1"/>
                <w:kern w:val="2"/>
                <w:sz w:val="20"/>
              </w:rPr>
            </w:pPr>
            <w:r w:rsidRPr="006F29F5">
              <w:rPr>
                <w:rFonts w:cs="Times New Roman"/>
                <w:b/>
                <w:color w:val="000000" w:themeColor="text1"/>
                <w:kern w:val="2"/>
                <w:sz w:val="20"/>
              </w:rPr>
              <w:t>Criterion 37.6</w:t>
            </w:r>
            <w:r w:rsidRPr="006F29F5">
              <w:rPr>
                <w:rFonts w:cs="Times New Roman"/>
                <w:color w:val="000000" w:themeColor="text1"/>
                <w:kern w:val="2"/>
                <w:sz w:val="20"/>
              </w:rPr>
              <w:t xml:space="preserve"> – Where MLA requests do not involve coercive actions, the U.S. does not make dual criminality a condition for rendering assistance. Most of the bilateral MLATs do not require dual criminality as a condition for granting assistance. Where dual criminality is a condition, this is usually restricted to requests for compulsory or coercive measures. In such instances, gaps in the ML offenses can adversely impact MLA particularly when the foreign request is based on ML activity derived from a predicate offense that does not fall within the definition of SUA [specified unlawful activity] or the foreign request does not identify the underlying predicate offense (see R.3 [</w:t>
            </w:r>
            <w:r w:rsidRPr="006F29F5">
              <w:rPr>
                <w:rFonts w:cs="Times New Roman"/>
                <w:i/>
                <w:color w:val="000000" w:themeColor="text1"/>
                <w:kern w:val="2"/>
                <w:sz w:val="20"/>
              </w:rPr>
              <w:t>Money laundering offense</w:t>
            </w:r>
            <w:r w:rsidRPr="006F29F5">
              <w:rPr>
                <w:rFonts w:cs="Times New Roman"/>
                <w:color w:val="000000" w:themeColor="text1"/>
                <w:kern w:val="2"/>
                <w:sz w:val="20"/>
              </w:rPr>
              <w:t>] and R.36 [</w:t>
            </w:r>
            <w:r w:rsidRPr="006F29F5">
              <w:rPr>
                <w:rFonts w:cs="Times New Roman"/>
                <w:i/>
                <w:color w:val="000000" w:themeColor="text1"/>
                <w:kern w:val="2"/>
                <w:sz w:val="20"/>
              </w:rPr>
              <w:t>International instruments</w:t>
            </w:r>
            <w:r w:rsidRPr="006F29F5">
              <w:rPr>
                <w:rFonts w:cs="Times New Roman"/>
                <w:color w:val="000000" w:themeColor="text1"/>
                <w:kern w:val="2"/>
                <w:sz w:val="20"/>
              </w:rPr>
              <w:t>]). Conduct-based dual criminality applies when issuing search warrants necessary to execute a foreign request: 18 USC 3512(e). There is no dual criminality requirement for most court orders issued pursuant to 18 USC §3512 in aid of requests for assistance from foreign authorities.</w:t>
            </w:r>
          </w:p>
          <w:p w14:paraId="08F734B8" w14:textId="77777777" w:rsidR="005E060F" w:rsidRPr="006F29F5" w:rsidRDefault="005E060F" w:rsidP="00D850BF">
            <w:pPr>
              <w:rPr>
                <w:rFonts w:cs="Times New Roman"/>
                <w:color w:val="000000" w:themeColor="text1"/>
                <w:kern w:val="2"/>
                <w:sz w:val="20"/>
              </w:rPr>
            </w:pPr>
            <w:r w:rsidRPr="006F29F5">
              <w:rPr>
                <w:rFonts w:cs="Times New Roman"/>
                <w:b/>
                <w:color w:val="000000" w:themeColor="text1"/>
                <w:kern w:val="2"/>
                <w:sz w:val="20"/>
              </w:rPr>
              <w:t>Criterion 37.7</w:t>
            </w:r>
            <w:r w:rsidRPr="006F29F5">
              <w:rPr>
                <w:rFonts w:cs="Times New Roman"/>
                <w:color w:val="000000" w:themeColor="text1"/>
                <w:kern w:val="2"/>
                <w:sz w:val="20"/>
              </w:rPr>
              <w:t xml:space="preserve"> – Where dual criminality applies, technical differences between the offense’s categorization in the requesting State do not prevent the U.S. from providing the requested assistance. It is enough to determine that the underlying acts are criminalized in both States. The U.S. has not denied any MLA requests on the basis of dual criminality (ML, TF and asset forfeiture).</w:t>
            </w:r>
          </w:p>
          <w:p w14:paraId="0EAE3171" w14:textId="77777777" w:rsidR="005E060F" w:rsidRPr="006F29F5" w:rsidRDefault="005E060F" w:rsidP="00D850BF">
            <w:pPr>
              <w:rPr>
                <w:rFonts w:cs="Times New Roman"/>
                <w:color w:val="000000" w:themeColor="text1"/>
                <w:kern w:val="2"/>
                <w:sz w:val="20"/>
              </w:rPr>
            </w:pPr>
            <w:r w:rsidRPr="006F29F5">
              <w:rPr>
                <w:rFonts w:cs="Times New Roman"/>
                <w:b/>
                <w:color w:val="000000" w:themeColor="text1"/>
                <w:kern w:val="2"/>
                <w:sz w:val="20"/>
              </w:rPr>
              <w:t>Criterion 37.8</w:t>
            </w:r>
            <w:r w:rsidRPr="006F29F5">
              <w:rPr>
                <w:rFonts w:cs="Times New Roman"/>
                <w:color w:val="000000" w:themeColor="text1"/>
                <w:kern w:val="2"/>
                <w:sz w:val="20"/>
              </w:rPr>
              <w:t xml:space="preserve"> – The powers and investigative techniques required under R.31 and which are otherwise available to domestic competent authorities are also available for use in response to MLA requests. When a compulsory process is necessary, an OIA [Office of Intelligence and Analysis] attorney or a Federal prosecutor is routinely appointed as a commissioner to seek any order necessary to execute the request: 18 USC §3512. Where LEAs have entered into case specific MOUs with other countries for ML and TF investigative assistance, additional investigative tools and powers may be used. However, the interception of communications can only be undertaken as a part of a U.S. investigation.</w:t>
            </w:r>
          </w:p>
          <w:p w14:paraId="4BAB712D" w14:textId="77777777" w:rsidR="005E060F" w:rsidRPr="006F29F5" w:rsidRDefault="005E060F" w:rsidP="00D850BF">
            <w:pPr>
              <w:rPr>
                <w:rFonts w:cs="Times New Roman"/>
                <w:i/>
                <w:color w:val="000000" w:themeColor="text1"/>
                <w:kern w:val="2"/>
                <w:sz w:val="20"/>
              </w:rPr>
            </w:pPr>
            <w:r w:rsidRPr="006F29F5">
              <w:rPr>
                <w:rFonts w:cs="Times New Roman"/>
                <w:i/>
                <w:color w:val="000000" w:themeColor="text1"/>
                <w:kern w:val="2"/>
                <w:sz w:val="20"/>
              </w:rPr>
              <w:t>Weighting and Conclusion:</w:t>
            </w:r>
          </w:p>
          <w:p w14:paraId="0B219CE0" w14:textId="77777777" w:rsidR="005E060F" w:rsidRPr="006F29F5" w:rsidRDefault="005E060F" w:rsidP="00D850BF">
            <w:pPr>
              <w:rPr>
                <w:rFonts w:cs="Times New Roman"/>
                <w:color w:val="000000" w:themeColor="text1"/>
                <w:kern w:val="2"/>
                <w:sz w:val="20"/>
              </w:rPr>
            </w:pPr>
            <w:r w:rsidRPr="006F29F5">
              <w:rPr>
                <w:rFonts w:cs="Times New Roman"/>
                <w:color w:val="000000" w:themeColor="text1"/>
                <w:kern w:val="2"/>
                <w:sz w:val="20"/>
              </w:rPr>
              <w:t>The minor shortcomings identified in R.3 [</w:t>
            </w:r>
            <w:r w:rsidRPr="006F29F5">
              <w:rPr>
                <w:rFonts w:cs="Times New Roman"/>
                <w:i/>
                <w:color w:val="000000" w:themeColor="text1"/>
                <w:kern w:val="2"/>
                <w:sz w:val="20"/>
              </w:rPr>
              <w:t>Money laundering offense</w:t>
            </w:r>
            <w:r w:rsidRPr="006F29F5">
              <w:rPr>
                <w:rFonts w:cs="Times New Roman"/>
                <w:color w:val="000000" w:themeColor="text1"/>
                <w:kern w:val="2"/>
                <w:sz w:val="20"/>
              </w:rPr>
              <w:t>] could limit assistance when dual criminality applies. The interception of communications can only be undertaken as part of a U.S. investigation. The OIA case management system is being improved to facilitate the electronic monitoring of the processing of outgoing and incoming requests process and the monitoring of the time taken to handle these.</w:t>
            </w:r>
          </w:p>
          <w:p w14:paraId="238BE277" w14:textId="77777777" w:rsidR="005E060F" w:rsidRPr="006F29F5" w:rsidRDefault="005E060F" w:rsidP="005F0392">
            <w:pPr>
              <w:spacing w:after="0"/>
              <w:rPr>
                <w:rFonts w:cs="Times New Roman"/>
                <w:b/>
                <w:color w:val="000000" w:themeColor="text1"/>
                <w:kern w:val="2"/>
                <w:sz w:val="20"/>
              </w:rPr>
            </w:pPr>
            <w:r w:rsidRPr="006F29F5">
              <w:rPr>
                <w:rFonts w:cs="Times New Roman"/>
                <w:b/>
                <w:color w:val="000000" w:themeColor="text1"/>
                <w:kern w:val="2"/>
                <w:sz w:val="20"/>
              </w:rPr>
              <w:t>Recommendation 37 is rated largely compliant</w:t>
            </w:r>
          </w:p>
          <w:p w14:paraId="487BC5B3" w14:textId="77777777" w:rsidR="005E060F" w:rsidRPr="006F29F5" w:rsidRDefault="005E060F" w:rsidP="005F0392">
            <w:pPr>
              <w:spacing w:before="120"/>
              <w:rPr>
                <w:rFonts w:cs="Times New Roman"/>
                <w:b/>
                <w:i/>
                <w:color w:val="000000" w:themeColor="text1"/>
                <w:kern w:val="2"/>
                <w:sz w:val="20"/>
              </w:rPr>
            </w:pPr>
            <w:r w:rsidRPr="006F29F5">
              <w:rPr>
                <w:rFonts w:cs="Times New Roman"/>
                <w:b/>
                <w:i/>
                <w:color w:val="000000" w:themeColor="text1"/>
                <w:kern w:val="2"/>
                <w:sz w:val="20"/>
              </w:rPr>
              <w:t>Recommendation 38 – Mutual legal assistance: Freezing and Confiscation</w:t>
            </w:r>
          </w:p>
          <w:p w14:paraId="4F5C2F08" w14:textId="77777777" w:rsidR="005E060F" w:rsidRPr="006F29F5" w:rsidRDefault="005E060F" w:rsidP="00D850BF">
            <w:pPr>
              <w:rPr>
                <w:rFonts w:cs="Times New Roman"/>
                <w:color w:val="000000" w:themeColor="text1"/>
                <w:kern w:val="2"/>
                <w:sz w:val="20"/>
              </w:rPr>
            </w:pPr>
            <w:r w:rsidRPr="006F29F5">
              <w:rPr>
                <w:rFonts w:cs="Times New Roman"/>
                <w:color w:val="000000" w:themeColor="text1"/>
                <w:kern w:val="2"/>
                <w:sz w:val="20"/>
              </w:rPr>
              <w:t>In its 3rd MER, the U.S. was rated largely compliant with these requirements. The technical deficiency related to potential barriers to granting MLA request linked to the laundering of proceeds that are derived from a designated predicate offense which is not covered.</w:t>
            </w:r>
          </w:p>
          <w:p w14:paraId="1E8518EE" w14:textId="77777777" w:rsidR="005E060F" w:rsidRPr="006F29F5" w:rsidRDefault="005E060F" w:rsidP="00D850BF">
            <w:pPr>
              <w:rPr>
                <w:rFonts w:cs="Times New Roman"/>
                <w:color w:val="000000" w:themeColor="text1"/>
                <w:kern w:val="2"/>
                <w:sz w:val="20"/>
              </w:rPr>
            </w:pPr>
            <w:r w:rsidRPr="006F29F5">
              <w:rPr>
                <w:rFonts w:cs="Times New Roman"/>
                <w:b/>
                <w:color w:val="000000" w:themeColor="text1"/>
                <w:kern w:val="2"/>
                <w:sz w:val="20"/>
              </w:rPr>
              <w:t>Criterion 38.1</w:t>
            </w:r>
            <w:r w:rsidRPr="006F29F5">
              <w:rPr>
                <w:rFonts w:cs="Times New Roman"/>
                <w:color w:val="000000" w:themeColor="text1"/>
                <w:kern w:val="2"/>
                <w:sz w:val="20"/>
              </w:rPr>
              <w:t xml:space="preserve"> – The U.S. has a range of authorities to take action in response to requests by foreign countries to identify, freeze, seize or confiscate laundered property, proceeds, and instrumentalities used or intended for use in ML, TF or associated predicate offenses, or property of corresponding value including:</w:t>
            </w:r>
          </w:p>
          <w:p w14:paraId="731A1FD3" w14:textId="77777777" w:rsidR="005E060F" w:rsidRPr="006F29F5" w:rsidRDefault="005E060F" w:rsidP="00D850BF">
            <w:pPr>
              <w:pStyle w:val="ListParagraph"/>
              <w:numPr>
                <w:ilvl w:val="0"/>
                <w:numId w:val="26"/>
              </w:numPr>
              <w:rPr>
                <w:rFonts w:cs="Times New Roman"/>
                <w:b w:val="0"/>
                <w:color w:val="000000" w:themeColor="text1"/>
                <w:kern w:val="2"/>
                <w:sz w:val="20"/>
              </w:rPr>
            </w:pPr>
            <w:r w:rsidRPr="006F29F5">
              <w:rPr>
                <w:rFonts w:cs="Times New Roman"/>
                <w:b w:val="0"/>
                <w:color w:val="000000" w:themeColor="text1"/>
                <w:kern w:val="2"/>
                <w:sz w:val="20"/>
              </w:rPr>
              <w:t>Providing assistance in identifying and tracing assets mainly via informal police-to-police communication and information sharing networks Additionally, the U.S may obtain evidence for court proceedings on behalf of a foreign request including testimony, documents, or tangible items: 18 USC 3512 (see R.37).</w:t>
            </w:r>
          </w:p>
          <w:p w14:paraId="4C43D8CA" w14:textId="77777777" w:rsidR="005E060F" w:rsidRPr="006F29F5" w:rsidRDefault="005E060F" w:rsidP="00D850BF">
            <w:pPr>
              <w:pStyle w:val="ListParagraph"/>
              <w:numPr>
                <w:ilvl w:val="0"/>
                <w:numId w:val="26"/>
              </w:numPr>
              <w:rPr>
                <w:rFonts w:cs="Times New Roman"/>
                <w:b w:val="0"/>
                <w:color w:val="000000" w:themeColor="text1"/>
                <w:kern w:val="2"/>
                <w:sz w:val="20"/>
              </w:rPr>
            </w:pPr>
            <w:r w:rsidRPr="006F29F5">
              <w:rPr>
                <w:rFonts w:cs="Times New Roman"/>
                <w:b w:val="0"/>
                <w:color w:val="000000" w:themeColor="text1"/>
                <w:kern w:val="2"/>
                <w:sz w:val="20"/>
              </w:rPr>
              <w:t>Restraining or seizing assets located in the U.S. upon the request of a foreign country for preservation purposes: 28 USC 2467(d</w:t>
            </w:r>
            <w:proofErr w:type="gramStart"/>
            <w:r w:rsidRPr="006F29F5">
              <w:rPr>
                <w:rFonts w:cs="Times New Roman"/>
                <w:b w:val="0"/>
                <w:color w:val="000000" w:themeColor="text1"/>
                <w:kern w:val="2"/>
                <w:sz w:val="20"/>
              </w:rPr>
              <w:t>)(</w:t>
            </w:r>
            <w:proofErr w:type="gramEnd"/>
            <w:r w:rsidRPr="006F29F5">
              <w:rPr>
                <w:rFonts w:cs="Times New Roman"/>
                <w:b w:val="0"/>
                <w:color w:val="000000" w:themeColor="text1"/>
                <w:kern w:val="2"/>
                <w:sz w:val="20"/>
              </w:rPr>
              <w:t>3) A)(</w:t>
            </w:r>
            <w:proofErr w:type="spellStart"/>
            <w:r w:rsidRPr="006F29F5">
              <w:rPr>
                <w:rFonts w:cs="Times New Roman"/>
                <w:b w:val="0"/>
                <w:color w:val="000000" w:themeColor="text1"/>
                <w:kern w:val="2"/>
                <w:sz w:val="20"/>
              </w:rPr>
              <w:t>i</w:t>
            </w:r>
            <w:proofErr w:type="spellEnd"/>
            <w:r w:rsidRPr="006F29F5">
              <w:rPr>
                <w:rFonts w:cs="Times New Roman"/>
                <w:b w:val="0"/>
                <w:color w:val="000000" w:themeColor="text1"/>
                <w:kern w:val="2"/>
                <w:sz w:val="20"/>
              </w:rPr>
              <w:t>).</w:t>
            </w:r>
          </w:p>
          <w:p w14:paraId="61E09007" w14:textId="77777777" w:rsidR="005E060F" w:rsidRPr="006F29F5" w:rsidRDefault="005E060F" w:rsidP="00D850BF">
            <w:pPr>
              <w:pStyle w:val="ListParagraph"/>
              <w:numPr>
                <w:ilvl w:val="0"/>
                <w:numId w:val="26"/>
              </w:numPr>
              <w:rPr>
                <w:rFonts w:cs="Times New Roman"/>
                <w:b w:val="0"/>
                <w:color w:val="000000" w:themeColor="text1"/>
                <w:kern w:val="2"/>
                <w:sz w:val="20"/>
              </w:rPr>
            </w:pPr>
            <w:r w:rsidRPr="006F29F5">
              <w:rPr>
                <w:rFonts w:cs="Times New Roman"/>
                <w:b w:val="0"/>
                <w:color w:val="000000" w:themeColor="text1"/>
                <w:kern w:val="2"/>
                <w:sz w:val="20"/>
              </w:rPr>
              <w:t>Enforcing foreign confiscation orders. The U.S. may also restrain untainted property as long as these are subject to forfeiture and provided all other requirements are met: 28 USC 2467.</w:t>
            </w:r>
          </w:p>
          <w:p w14:paraId="7F0243CA" w14:textId="77777777" w:rsidR="005E060F" w:rsidRPr="006F29F5" w:rsidRDefault="005E060F" w:rsidP="00D850BF">
            <w:pPr>
              <w:pStyle w:val="ListParagraph"/>
              <w:numPr>
                <w:ilvl w:val="0"/>
                <w:numId w:val="26"/>
              </w:numPr>
              <w:rPr>
                <w:rFonts w:cs="Times New Roman"/>
                <w:b w:val="0"/>
                <w:color w:val="000000" w:themeColor="text1"/>
                <w:kern w:val="2"/>
                <w:sz w:val="20"/>
              </w:rPr>
            </w:pPr>
            <w:r w:rsidRPr="006F29F5">
              <w:rPr>
                <w:rFonts w:cs="Times New Roman"/>
                <w:b w:val="0"/>
                <w:color w:val="000000" w:themeColor="text1"/>
                <w:kern w:val="2"/>
                <w:sz w:val="20"/>
              </w:rPr>
              <w:t xml:space="preserve">Enforcing a foreign confiscation judgment on the condition that the requesting country is party to the Vienna Convention, a MLAT or other international agreement with the U.S. that provides for confiscation assistance. The offense must: </w:t>
            </w:r>
            <w:proofErr w:type="spellStart"/>
            <w:r w:rsidRPr="006F29F5">
              <w:rPr>
                <w:rFonts w:cs="Times New Roman"/>
                <w:b w:val="0"/>
                <w:color w:val="000000" w:themeColor="text1"/>
                <w:kern w:val="2"/>
                <w:sz w:val="20"/>
              </w:rPr>
              <w:t>i</w:t>
            </w:r>
            <w:proofErr w:type="spellEnd"/>
            <w:r w:rsidRPr="006F29F5">
              <w:rPr>
                <w:rFonts w:cs="Times New Roman"/>
                <w:b w:val="0"/>
                <w:color w:val="000000" w:themeColor="text1"/>
                <w:kern w:val="2"/>
                <w:sz w:val="20"/>
              </w:rPr>
              <w:t>) be an offense for which forfeiture would be available under U.S. Federal law if the criminal conduct occurred in the U.S; or ii) is a foreign offense that is a predicate for a U.S. ML offense: 28 USC 2467 (a)(2) &amp; 18 USC 1956(c)(7(B).</w:t>
            </w:r>
          </w:p>
          <w:p w14:paraId="14EFA821" w14:textId="77777777" w:rsidR="005E060F" w:rsidRPr="006F29F5" w:rsidRDefault="005E060F" w:rsidP="00D850BF">
            <w:pPr>
              <w:pStyle w:val="ListParagraph"/>
              <w:numPr>
                <w:ilvl w:val="0"/>
                <w:numId w:val="26"/>
              </w:numPr>
              <w:rPr>
                <w:rFonts w:cs="Times New Roman"/>
                <w:b w:val="0"/>
                <w:color w:val="000000" w:themeColor="text1"/>
                <w:kern w:val="2"/>
                <w:sz w:val="20"/>
              </w:rPr>
            </w:pPr>
            <w:r w:rsidRPr="006F29F5">
              <w:rPr>
                <w:rFonts w:cs="Times New Roman"/>
                <w:b w:val="0"/>
                <w:color w:val="000000" w:themeColor="text1"/>
                <w:kern w:val="2"/>
                <w:sz w:val="20"/>
              </w:rPr>
              <w:t>Initiating its own civil forfeiture proceedings against any property, proceeds and instrumentalities: 18 USC 981(b</w:t>
            </w:r>
            <w:proofErr w:type="gramStart"/>
            <w:r w:rsidRPr="006F29F5">
              <w:rPr>
                <w:rFonts w:cs="Times New Roman"/>
                <w:b w:val="0"/>
                <w:color w:val="000000" w:themeColor="text1"/>
                <w:kern w:val="2"/>
                <w:sz w:val="20"/>
              </w:rPr>
              <w:t>)(</w:t>
            </w:r>
            <w:proofErr w:type="gramEnd"/>
            <w:r w:rsidRPr="006F29F5">
              <w:rPr>
                <w:rFonts w:cs="Times New Roman"/>
                <w:b w:val="0"/>
                <w:color w:val="000000" w:themeColor="text1"/>
                <w:kern w:val="2"/>
                <w:sz w:val="20"/>
              </w:rPr>
              <w:t>4). In such cases, the U.S. can proceed if it can state sufficiently detailed facts to support a reasonable belief that the property would be subject to forfeiture under U.S. Federal law, based on its own evidence and evidence from the requesting State, of a predicate offense for confiscation under U.S. law which would make that the property subject to confiscation.</w:t>
            </w:r>
          </w:p>
          <w:p w14:paraId="4911A453" w14:textId="77777777" w:rsidR="005E060F" w:rsidRPr="006F29F5" w:rsidRDefault="005E060F" w:rsidP="00D850BF">
            <w:pPr>
              <w:rPr>
                <w:rFonts w:cs="Times New Roman"/>
                <w:color w:val="000000" w:themeColor="text1"/>
                <w:kern w:val="2"/>
                <w:sz w:val="20"/>
              </w:rPr>
            </w:pPr>
            <w:r w:rsidRPr="006F29F5">
              <w:rPr>
                <w:rFonts w:cs="Times New Roman"/>
                <w:color w:val="000000" w:themeColor="text1"/>
                <w:kern w:val="2"/>
                <w:sz w:val="20"/>
              </w:rPr>
              <w:t>Gaps in the ML offenses and the requirement for dual criminality are potentially an issue when the predicate offense is not one covered in the U.S. However, no MLA request has been denied on the basis of dual criminality (ML, TF and asset forfeiture).</w:t>
            </w:r>
          </w:p>
          <w:p w14:paraId="44D9CFAE" w14:textId="77777777" w:rsidR="005E060F" w:rsidRPr="006F29F5" w:rsidRDefault="005E060F" w:rsidP="00D850BF">
            <w:pPr>
              <w:rPr>
                <w:rFonts w:cs="Times New Roman"/>
                <w:color w:val="000000" w:themeColor="text1"/>
                <w:kern w:val="2"/>
                <w:sz w:val="20"/>
              </w:rPr>
            </w:pPr>
            <w:r w:rsidRPr="006F29F5">
              <w:rPr>
                <w:rFonts w:cs="Times New Roman"/>
                <w:b/>
                <w:color w:val="000000" w:themeColor="text1"/>
                <w:kern w:val="2"/>
                <w:sz w:val="20"/>
              </w:rPr>
              <w:t>Criterion 38.2</w:t>
            </w:r>
            <w:r w:rsidRPr="006F29F5">
              <w:rPr>
                <w:rFonts w:cs="Times New Roman"/>
                <w:color w:val="000000" w:themeColor="text1"/>
                <w:kern w:val="2"/>
                <w:sz w:val="20"/>
              </w:rPr>
              <w:t xml:space="preserve"> – The U.S. has authority to provide assistance to requests for cooperation made on the basis of non-conviction-based (NCBF) proceedings and related provisional measures 18 USC 981(b)(4)(A)-(B). Provisional measures may also be carried out under the enforcement of a foreign judgment any time, before or after, the initiation of enforcement proceedings by a foreign nation, including NCBF proceedings: 28 USC 2467(d</w:t>
            </w:r>
            <w:proofErr w:type="gramStart"/>
            <w:r w:rsidRPr="006F29F5">
              <w:rPr>
                <w:rFonts w:cs="Times New Roman"/>
                <w:color w:val="000000" w:themeColor="text1"/>
                <w:kern w:val="2"/>
                <w:sz w:val="20"/>
              </w:rPr>
              <w:t>)(</w:t>
            </w:r>
            <w:proofErr w:type="gramEnd"/>
            <w:r w:rsidRPr="006F29F5">
              <w:rPr>
                <w:rFonts w:cs="Times New Roman"/>
                <w:color w:val="000000" w:themeColor="text1"/>
                <w:kern w:val="2"/>
                <w:sz w:val="20"/>
              </w:rPr>
              <w:t>3)(A)(1).</w:t>
            </w:r>
          </w:p>
          <w:p w14:paraId="730123A5" w14:textId="77777777" w:rsidR="005E060F" w:rsidRPr="006F29F5" w:rsidRDefault="005E060F" w:rsidP="00D850BF">
            <w:pPr>
              <w:rPr>
                <w:rFonts w:cs="Times New Roman"/>
                <w:color w:val="000000" w:themeColor="text1"/>
                <w:kern w:val="2"/>
                <w:sz w:val="20"/>
              </w:rPr>
            </w:pPr>
            <w:r w:rsidRPr="006F29F5">
              <w:rPr>
                <w:rFonts w:cs="Times New Roman"/>
                <w:b/>
                <w:color w:val="000000" w:themeColor="text1"/>
                <w:kern w:val="2"/>
                <w:sz w:val="20"/>
              </w:rPr>
              <w:t>Criterion 38.3</w:t>
            </w:r>
            <w:r w:rsidRPr="006F29F5">
              <w:rPr>
                <w:rFonts w:cs="Times New Roman"/>
                <w:color w:val="000000" w:themeColor="text1"/>
                <w:kern w:val="2"/>
                <w:sz w:val="20"/>
              </w:rPr>
              <w:t xml:space="preserve"> – The U.S. has arrangements for coordinating seizure and confiscation actions with other countries; and for managing and disposing of property frozen, seized, or confiscated whether by on its own behalf or on behalf of a foreign government. </w:t>
            </w:r>
          </w:p>
          <w:p w14:paraId="0DC15E31" w14:textId="77777777" w:rsidR="005E060F" w:rsidRPr="006F29F5" w:rsidRDefault="005E060F" w:rsidP="00D850BF">
            <w:pPr>
              <w:rPr>
                <w:rFonts w:cs="Times New Roman"/>
                <w:color w:val="000000" w:themeColor="text1"/>
                <w:kern w:val="2"/>
                <w:sz w:val="20"/>
              </w:rPr>
            </w:pPr>
            <w:r w:rsidRPr="006F29F5">
              <w:rPr>
                <w:rFonts w:cs="Times New Roman"/>
                <w:b/>
                <w:color w:val="000000" w:themeColor="text1"/>
                <w:kern w:val="2"/>
                <w:sz w:val="20"/>
              </w:rPr>
              <w:t>Criterion 38.4</w:t>
            </w:r>
            <w:r w:rsidRPr="006F29F5">
              <w:rPr>
                <w:rFonts w:cs="Times New Roman"/>
                <w:color w:val="000000" w:themeColor="text1"/>
                <w:kern w:val="2"/>
                <w:sz w:val="20"/>
              </w:rPr>
              <w:t xml:space="preserve"> - The U.S shares the proceeds of successful forfeiture actions with countries that made possible, or substantially facilitated, the forfeiture of assets under U.S. law as set out in free-standing international asset sharing agreements or asset sharing provisions within mutual legal assistance agreements and multilateral treaties by 18 USC §981(</w:t>
            </w:r>
            <w:proofErr w:type="spellStart"/>
            <w:r w:rsidRPr="006F29F5">
              <w:rPr>
                <w:rFonts w:cs="Times New Roman"/>
                <w:color w:val="000000" w:themeColor="text1"/>
                <w:kern w:val="2"/>
                <w:sz w:val="20"/>
              </w:rPr>
              <w:t>i</w:t>
            </w:r>
            <w:proofErr w:type="spellEnd"/>
            <w:r w:rsidRPr="006F29F5">
              <w:rPr>
                <w:rFonts w:cs="Times New Roman"/>
                <w:color w:val="000000" w:themeColor="text1"/>
                <w:kern w:val="2"/>
                <w:sz w:val="20"/>
              </w:rPr>
              <w:t>), 21 USC §881(e</w:t>
            </w:r>
            <w:proofErr w:type="gramStart"/>
            <w:r w:rsidRPr="006F29F5">
              <w:rPr>
                <w:rFonts w:cs="Times New Roman"/>
                <w:color w:val="000000" w:themeColor="text1"/>
                <w:kern w:val="2"/>
                <w:sz w:val="20"/>
              </w:rPr>
              <w:t>)(</w:t>
            </w:r>
            <w:proofErr w:type="gramEnd"/>
            <w:r w:rsidRPr="006F29F5">
              <w:rPr>
                <w:rFonts w:cs="Times New Roman"/>
                <w:color w:val="000000" w:themeColor="text1"/>
                <w:kern w:val="2"/>
                <w:sz w:val="20"/>
              </w:rPr>
              <w:t>1)(E), and 31 USC §9703(h)(2). AFMLS may negotiate case specific, bilateral asset sharing arrangements even in the absence of specific agreement/treaty.</w:t>
            </w:r>
          </w:p>
          <w:p w14:paraId="4E472AFB" w14:textId="77777777" w:rsidR="005E060F" w:rsidRPr="006F29F5" w:rsidRDefault="005E060F" w:rsidP="00D850BF">
            <w:pPr>
              <w:rPr>
                <w:rFonts w:cs="Times New Roman"/>
                <w:i/>
                <w:color w:val="000000" w:themeColor="text1"/>
                <w:kern w:val="2"/>
                <w:sz w:val="20"/>
              </w:rPr>
            </w:pPr>
            <w:r w:rsidRPr="006F29F5">
              <w:rPr>
                <w:rFonts w:cs="Times New Roman"/>
                <w:i/>
                <w:color w:val="000000" w:themeColor="text1"/>
                <w:kern w:val="2"/>
                <w:sz w:val="20"/>
              </w:rPr>
              <w:t>Weighting and Conclusion:</w:t>
            </w:r>
          </w:p>
          <w:p w14:paraId="1B48CD55" w14:textId="77777777" w:rsidR="005E060F" w:rsidRPr="006F29F5" w:rsidRDefault="005E060F" w:rsidP="00D850BF">
            <w:pPr>
              <w:rPr>
                <w:rFonts w:cs="Times New Roman"/>
                <w:color w:val="000000" w:themeColor="text1"/>
                <w:kern w:val="2"/>
                <w:sz w:val="20"/>
              </w:rPr>
            </w:pPr>
            <w:r w:rsidRPr="006F29F5">
              <w:rPr>
                <w:rFonts w:cs="Times New Roman"/>
                <w:color w:val="000000" w:themeColor="text1"/>
                <w:kern w:val="2"/>
                <w:sz w:val="20"/>
              </w:rPr>
              <w:t>In the context of dual criminality requirements, the gaps identified under R.3 [</w:t>
            </w:r>
            <w:r w:rsidRPr="006F29F5">
              <w:rPr>
                <w:rFonts w:cs="Times New Roman"/>
                <w:i/>
                <w:color w:val="000000" w:themeColor="text1"/>
                <w:kern w:val="2"/>
                <w:sz w:val="20"/>
              </w:rPr>
              <w:t>Money laundering offense</w:t>
            </w:r>
            <w:r w:rsidRPr="006F29F5">
              <w:rPr>
                <w:rFonts w:cs="Times New Roman"/>
                <w:color w:val="000000" w:themeColor="text1"/>
                <w:kern w:val="2"/>
                <w:sz w:val="20"/>
              </w:rPr>
              <w:t>] may be a barrier to providing freezing and confiscation assistance, particularly when the predicate offense is not covered in the U.S.</w:t>
            </w:r>
          </w:p>
          <w:p w14:paraId="52F9E9CE" w14:textId="77777777" w:rsidR="005E060F" w:rsidRPr="006F29F5" w:rsidRDefault="005E060F" w:rsidP="00D850BF">
            <w:pPr>
              <w:rPr>
                <w:rFonts w:cs="Times New Roman"/>
                <w:b/>
                <w:color w:val="000000" w:themeColor="text1"/>
                <w:kern w:val="2"/>
                <w:sz w:val="20"/>
              </w:rPr>
            </w:pPr>
            <w:r w:rsidRPr="006F29F5">
              <w:rPr>
                <w:rFonts w:cs="Times New Roman"/>
                <w:b/>
                <w:color w:val="000000" w:themeColor="text1"/>
                <w:kern w:val="2"/>
                <w:sz w:val="20"/>
              </w:rPr>
              <w:t xml:space="preserve">Recommendation 38 is rated largely compliant. </w:t>
            </w:r>
          </w:p>
          <w:p w14:paraId="5B174C81" w14:textId="588B58F4" w:rsidR="005E060F" w:rsidRPr="006F29F5" w:rsidRDefault="005E060F" w:rsidP="00D850BF">
            <w:pPr>
              <w:pStyle w:val="ExcerptMarker"/>
              <w:spacing w:after="0"/>
              <w:rPr>
                <w:color w:val="000000" w:themeColor="text1"/>
                <w:kern w:val="2"/>
                <w:sz w:val="16"/>
                <w:lang w:eastAsia="uk-UA"/>
              </w:rPr>
            </w:pPr>
            <w:r w:rsidRPr="006F29F5">
              <w:rPr>
                <w:kern w:val="2"/>
                <w:sz w:val="16"/>
              </w:rPr>
              <w:t>End of Excerpt</w:t>
            </w:r>
          </w:p>
        </w:tc>
      </w:tr>
    </w:tbl>
    <w:p w14:paraId="46C77963" w14:textId="77777777" w:rsidR="00A52972" w:rsidRPr="006F29F5" w:rsidRDefault="00A52972">
      <w:pPr>
        <w:spacing w:before="0" w:after="200" w:line="276" w:lineRule="auto"/>
        <w:jc w:val="left"/>
        <w:rPr>
          <w:rFonts w:eastAsiaTheme="majorEastAsia" w:cstheme="majorBidi"/>
          <w:b/>
          <w:kern w:val="2"/>
          <w:sz w:val="24"/>
          <w:szCs w:val="26"/>
        </w:rPr>
      </w:pPr>
      <w:bookmarkStart w:id="87" w:name="_Toc420329394"/>
      <w:bookmarkStart w:id="88" w:name="_Toc489962007"/>
      <w:r w:rsidRPr="006F29F5">
        <w:rPr>
          <w:kern w:val="2"/>
          <w:sz w:val="20"/>
        </w:rPr>
        <w:br w:type="page"/>
      </w:r>
    </w:p>
    <w:p w14:paraId="161A6B10" w14:textId="79C5A743" w:rsidR="00F81C2C" w:rsidRPr="006F29F5" w:rsidRDefault="00F81C2C" w:rsidP="00A52972">
      <w:pPr>
        <w:pStyle w:val="Heading2"/>
        <w:ind w:left="576" w:hanging="576"/>
        <w:rPr>
          <w:kern w:val="2"/>
          <w:sz w:val="24"/>
        </w:rPr>
      </w:pPr>
      <w:r w:rsidRPr="006F29F5">
        <w:rPr>
          <w:kern w:val="2"/>
          <w:sz w:val="24"/>
        </w:rPr>
        <w:t>Request Process in the United Kingdom</w:t>
      </w:r>
      <w:bookmarkEnd w:id="85"/>
      <w:bookmarkEnd w:id="86"/>
      <w:bookmarkEnd w:id="87"/>
      <w:bookmarkEnd w:id="88"/>
    </w:p>
    <w:p w14:paraId="5E321E9D" w14:textId="31B58779" w:rsidR="00F81C2C" w:rsidRPr="006F29F5" w:rsidRDefault="00F81C2C" w:rsidP="00481548">
      <w:pPr>
        <w:widowControl w:val="0"/>
        <w:autoSpaceDE w:val="0"/>
        <w:autoSpaceDN w:val="0"/>
        <w:adjustRightInd w:val="0"/>
        <w:rPr>
          <w:rFonts w:cs="Times New Roman"/>
          <w:kern w:val="2"/>
          <w:sz w:val="20"/>
        </w:rPr>
      </w:pPr>
      <w:r w:rsidRPr="006F29F5">
        <w:rPr>
          <w:rFonts w:eastAsiaTheme="minorEastAsia" w:cs="Times New Roman"/>
          <w:kern w:val="2"/>
          <w:sz w:val="20"/>
          <w:lang w:eastAsia="ja-JP"/>
        </w:rPr>
        <w:t>The details of the UK MLA process are sum</w:t>
      </w:r>
      <w:r w:rsidR="008E3B04" w:rsidRPr="006F29F5">
        <w:rPr>
          <w:rFonts w:eastAsiaTheme="minorEastAsia" w:cs="Times New Roman"/>
          <w:kern w:val="2"/>
          <w:sz w:val="20"/>
          <w:lang w:eastAsia="ja-JP"/>
        </w:rPr>
        <w:t xml:space="preserve">marized at </w:t>
      </w:r>
      <w:r w:rsidR="008E3B04" w:rsidRPr="006F29F5">
        <w:rPr>
          <w:rFonts w:eastAsiaTheme="minorEastAsia" w:cs="Times New Roman"/>
          <w:kern w:val="2"/>
          <w:sz w:val="20"/>
          <w:highlight w:val="cyan"/>
          <w:lang w:eastAsia="ja-JP"/>
        </w:rPr>
        <w:t>Section</w:t>
      </w:r>
      <w:r w:rsidRPr="006F29F5">
        <w:rPr>
          <w:rFonts w:eastAsiaTheme="minorEastAsia" w:cs="Times New Roman"/>
          <w:kern w:val="2"/>
          <w:sz w:val="20"/>
          <w:highlight w:val="cyan"/>
          <w:lang w:eastAsia="ja-JP"/>
        </w:rPr>
        <w:t xml:space="preserve"> 4.2</w:t>
      </w:r>
      <w:r w:rsidRPr="006F29F5">
        <w:rPr>
          <w:rFonts w:eastAsiaTheme="minorEastAsia" w:cs="Times New Roman"/>
          <w:kern w:val="2"/>
          <w:sz w:val="20"/>
          <w:lang w:eastAsia="ja-JP"/>
        </w:rPr>
        <w:t xml:space="preserve">. </w:t>
      </w:r>
      <w:r w:rsidRPr="006F29F5">
        <w:rPr>
          <w:rFonts w:cs="Times New Roman"/>
          <w:kern w:val="2"/>
          <w:sz w:val="20"/>
        </w:rPr>
        <w:t xml:space="preserve">The following is an excerpt from a 2011 document produced by the Council of Europe Commission on Crime Prevention and Criminal Justice, </w:t>
      </w:r>
      <w:r w:rsidRPr="006F29F5">
        <w:rPr>
          <w:rFonts w:cs="Times New Roman"/>
          <w:i/>
          <w:kern w:val="2"/>
          <w:sz w:val="20"/>
        </w:rPr>
        <w:t>Requesting Mutual Legal Assistance in Criminal Matters from G8 Countries: A Step-by-Step Guide</w:t>
      </w:r>
      <w:r w:rsidR="00793415" w:rsidRPr="006F29F5">
        <w:rPr>
          <w:rFonts w:cs="Times New Roman"/>
          <w:kern w:val="2"/>
          <w:sz w:val="20"/>
        </w:rPr>
        <w:t>:</w:t>
      </w:r>
      <w:r w:rsidRPr="006F29F5">
        <w:rPr>
          <w:rFonts w:cs="Times New Roman"/>
          <w:kern w:val="2"/>
          <w:sz w:val="20"/>
        </w:rPr>
        <w:t xml:space="preserve"> </w:t>
      </w:r>
    </w:p>
    <w:tbl>
      <w:tblPr>
        <w:tblStyle w:val="TableGrid"/>
        <w:tblpPr w:leftFromText="180" w:rightFromText="180" w:vertAnchor="text" w:tblpXSpec="center" w:tblpY="1"/>
        <w:tblOverlap w:val="nev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5E060F" w:rsidRPr="006F29F5" w14:paraId="46248EBC" w14:textId="77777777" w:rsidTr="00481548">
        <w:trPr>
          <w:jc w:val="center"/>
        </w:trPr>
        <w:tc>
          <w:tcPr>
            <w:tcW w:w="9576" w:type="dxa"/>
            <w:shd w:val="clear" w:color="auto" w:fill="D9D9D9" w:themeFill="background1" w:themeFillShade="D9"/>
          </w:tcPr>
          <w:p w14:paraId="70C94C39" w14:textId="77777777" w:rsidR="005E060F" w:rsidRPr="006F29F5" w:rsidRDefault="005E060F" w:rsidP="00481548">
            <w:pPr>
              <w:pStyle w:val="ExcerptMarker"/>
              <w:spacing w:before="0"/>
              <w:rPr>
                <w:kern w:val="2"/>
                <w:sz w:val="16"/>
              </w:rPr>
            </w:pPr>
            <w:r w:rsidRPr="006F29F5">
              <w:rPr>
                <w:kern w:val="2"/>
                <w:sz w:val="16"/>
              </w:rPr>
              <w:t>Beginning of Excerpt</w:t>
            </w:r>
          </w:p>
          <w:p w14:paraId="757E081C" w14:textId="77777777" w:rsidR="005E060F" w:rsidRPr="006F29F5" w:rsidRDefault="005E060F" w:rsidP="005E060F">
            <w:pPr>
              <w:widowControl w:val="0"/>
              <w:autoSpaceDE w:val="0"/>
              <w:autoSpaceDN w:val="0"/>
              <w:adjustRightInd w:val="0"/>
              <w:rPr>
                <w:rFonts w:cs="Times New Roman"/>
                <w:b/>
                <w:kern w:val="2"/>
                <w:sz w:val="20"/>
              </w:rPr>
            </w:pPr>
            <w:r w:rsidRPr="006F29F5">
              <w:rPr>
                <w:rFonts w:cs="Times New Roman"/>
                <w:b/>
                <w:kern w:val="2"/>
                <w:sz w:val="20"/>
              </w:rPr>
              <w:t xml:space="preserve">I. </w:t>
            </w:r>
            <w:r w:rsidRPr="006F29F5">
              <w:rPr>
                <w:rFonts w:cs="Times New Roman"/>
                <w:b/>
                <w:smallCaps/>
                <w:kern w:val="2"/>
                <w:sz w:val="20"/>
              </w:rPr>
              <w:t>Introduction</w:t>
            </w:r>
          </w:p>
          <w:p w14:paraId="1ECE139D" w14:textId="77777777" w:rsidR="00285680" w:rsidRPr="006F29F5" w:rsidRDefault="005E060F" w:rsidP="005E060F">
            <w:pPr>
              <w:widowControl w:val="0"/>
              <w:autoSpaceDE w:val="0"/>
              <w:autoSpaceDN w:val="0"/>
              <w:adjustRightInd w:val="0"/>
              <w:rPr>
                <w:rFonts w:cs="Times New Roman"/>
                <w:kern w:val="2"/>
                <w:sz w:val="20"/>
              </w:rPr>
            </w:pPr>
            <w:r w:rsidRPr="006F29F5">
              <w:rPr>
                <w:rFonts w:cs="Times New Roman"/>
                <w:kern w:val="2"/>
                <w:sz w:val="20"/>
              </w:rPr>
              <w:t xml:space="preserve">The following gives a brief overview of the way in which Mutual Legal Assistance (MLA) can be requested from the UK. For </w:t>
            </w:r>
            <w:r w:rsidR="004537F5" w:rsidRPr="006F29F5">
              <w:rPr>
                <w:rFonts w:cs="Times New Roman"/>
                <w:kern w:val="2"/>
                <w:sz w:val="20"/>
              </w:rPr>
              <w:t>further guidance please visit:</w:t>
            </w:r>
          </w:p>
          <w:p w14:paraId="42661DD4" w14:textId="1D020529" w:rsidR="005E060F" w:rsidRPr="006F29F5" w:rsidRDefault="001E47B9" w:rsidP="005E060F">
            <w:pPr>
              <w:widowControl w:val="0"/>
              <w:autoSpaceDE w:val="0"/>
              <w:autoSpaceDN w:val="0"/>
              <w:adjustRightInd w:val="0"/>
              <w:rPr>
                <w:rFonts w:cs="Times New Roman"/>
                <w:kern w:val="2"/>
                <w:sz w:val="20"/>
              </w:rPr>
            </w:pPr>
            <w:hyperlink r:id="rId38" w:history="1">
              <w:r w:rsidR="00285680" w:rsidRPr="006F29F5">
                <w:rPr>
                  <w:rStyle w:val="Hyperlink"/>
                  <w:rFonts w:cs="Times New Roman"/>
                  <w:kern w:val="2"/>
                  <w:sz w:val="20"/>
                </w:rPr>
                <w:t>http://police.homeoffice.gov.uk/operational-policing/mutual-legal-assistance/</w:t>
              </w:r>
            </w:hyperlink>
            <w:r w:rsidR="00285680" w:rsidRPr="006F29F5">
              <w:rPr>
                <w:rFonts w:cs="Times New Roman"/>
                <w:kern w:val="2"/>
                <w:sz w:val="20"/>
              </w:rPr>
              <w:t>.</w:t>
            </w:r>
          </w:p>
          <w:p w14:paraId="629322C2" w14:textId="77777777" w:rsidR="005E060F" w:rsidRPr="006F29F5" w:rsidRDefault="005E060F" w:rsidP="005E060F">
            <w:pPr>
              <w:widowControl w:val="0"/>
              <w:autoSpaceDE w:val="0"/>
              <w:autoSpaceDN w:val="0"/>
              <w:adjustRightInd w:val="0"/>
              <w:rPr>
                <w:rFonts w:cs="Times New Roman"/>
                <w:kern w:val="2"/>
                <w:sz w:val="20"/>
              </w:rPr>
            </w:pPr>
            <w:r w:rsidRPr="006F29F5">
              <w:rPr>
                <w:rFonts w:cs="Times New Roman"/>
                <w:kern w:val="2"/>
                <w:sz w:val="20"/>
              </w:rPr>
              <w:t>A foreign state may request MLA from the UK via a letter of request to one of the central authorities in the UK. Requests are not required by the UK to come via diplomatic channels.</w:t>
            </w:r>
          </w:p>
          <w:p w14:paraId="41A95706" w14:textId="77777777" w:rsidR="005E060F" w:rsidRPr="006F29F5" w:rsidRDefault="005E060F" w:rsidP="005E060F">
            <w:pPr>
              <w:widowControl w:val="0"/>
              <w:autoSpaceDE w:val="0"/>
              <w:autoSpaceDN w:val="0"/>
              <w:adjustRightInd w:val="0"/>
              <w:rPr>
                <w:rFonts w:cs="Times New Roman"/>
                <w:b/>
                <w:kern w:val="2"/>
                <w:sz w:val="20"/>
              </w:rPr>
            </w:pPr>
            <w:r w:rsidRPr="006F29F5">
              <w:rPr>
                <w:rFonts w:cs="Times New Roman"/>
                <w:b/>
                <w:kern w:val="2"/>
                <w:sz w:val="20"/>
              </w:rPr>
              <w:t>a) Countries the UK can assist</w:t>
            </w:r>
          </w:p>
          <w:p w14:paraId="187C6643" w14:textId="77777777" w:rsidR="005E060F" w:rsidRPr="006F29F5" w:rsidRDefault="005E060F" w:rsidP="005E060F">
            <w:pPr>
              <w:widowControl w:val="0"/>
              <w:autoSpaceDE w:val="0"/>
              <w:autoSpaceDN w:val="0"/>
              <w:adjustRightInd w:val="0"/>
              <w:rPr>
                <w:rFonts w:cs="Times New Roman"/>
                <w:kern w:val="2"/>
                <w:sz w:val="20"/>
              </w:rPr>
            </w:pPr>
            <w:r w:rsidRPr="006F29F5">
              <w:rPr>
                <w:rFonts w:cs="Times New Roman"/>
                <w:kern w:val="2"/>
                <w:sz w:val="20"/>
              </w:rPr>
              <w:t>The UK can assist any country or territory in the world, whether or not that country is able to assist the UK. The UK can provide most forms of legal assistance without bilateral or international agreements. Where a treaty or Convention imposes specific conditions or procedures on the provision or requesting of MLA the UK expects such conditions or procedures to be adhered to.</w:t>
            </w:r>
          </w:p>
          <w:p w14:paraId="776BCD16" w14:textId="77777777" w:rsidR="005E060F" w:rsidRPr="006F29F5" w:rsidRDefault="005E060F" w:rsidP="005E060F">
            <w:pPr>
              <w:widowControl w:val="0"/>
              <w:autoSpaceDE w:val="0"/>
              <w:autoSpaceDN w:val="0"/>
              <w:adjustRightInd w:val="0"/>
              <w:rPr>
                <w:rFonts w:cs="Times New Roman"/>
                <w:b/>
                <w:kern w:val="2"/>
                <w:sz w:val="20"/>
              </w:rPr>
            </w:pPr>
            <w:r w:rsidRPr="006F29F5">
              <w:rPr>
                <w:rFonts w:cs="Times New Roman"/>
                <w:b/>
                <w:kern w:val="2"/>
                <w:sz w:val="20"/>
              </w:rPr>
              <w:t>b) Dual Criminality is Generally Not Required</w:t>
            </w:r>
          </w:p>
          <w:p w14:paraId="7DA7C065" w14:textId="77777777" w:rsidR="005E060F" w:rsidRPr="006F29F5" w:rsidRDefault="005E060F" w:rsidP="00481548">
            <w:pPr>
              <w:widowControl w:val="0"/>
              <w:autoSpaceDE w:val="0"/>
              <w:autoSpaceDN w:val="0"/>
              <w:adjustRightInd w:val="0"/>
              <w:spacing w:after="120"/>
              <w:rPr>
                <w:rFonts w:cs="Times New Roman"/>
                <w:kern w:val="2"/>
                <w:sz w:val="20"/>
              </w:rPr>
            </w:pPr>
            <w:r w:rsidRPr="006F29F5">
              <w:rPr>
                <w:rFonts w:cs="Times New Roman"/>
                <w:kern w:val="2"/>
                <w:sz w:val="20"/>
              </w:rPr>
              <w:t>As a general rule, dual criminality is not required when seeking MLA from the UK except for certain types of assistance. Requests which the UK require dual criminality for are:</w:t>
            </w:r>
          </w:p>
          <w:p w14:paraId="278CE931" w14:textId="77777777" w:rsidR="005E060F" w:rsidRPr="006F29F5" w:rsidRDefault="005E060F" w:rsidP="00911900">
            <w:pPr>
              <w:pStyle w:val="ListParagraph"/>
              <w:widowControl w:val="0"/>
              <w:numPr>
                <w:ilvl w:val="0"/>
                <w:numId w:val="27"/>
              </w:numPr>
              <w:autoSpaceDE w:val="0"/>
              <w:autoSpaceDN w:val="0"/>
              <w:adjustRightInd w:val="0"/>
              <w:rPr>
                <w:rFonts w:cs="Times New Roman"/>
                <w:b w:val="0"/>
                <w:kern w:val="2"/>
                <w:sz w:val="20"/>
              </w:rPr>
            </w:pPr>
            <w:r w:rsidRPr="006F29F5">
              <w:rPr>
                <w:rFonts w:cs="Times New Roman"/>
                <w:b w:val="0"/>
                <w:kern w:val="2"/>
                <w:sz w:val="20"/>
              </w:rPr>
              <w:t>search and seizure</w:t>
            </w:r>
          </w:p>
          <w:p w14:paraId="63DAB213" w14:textId="09F80C22" w:rsidR="005E060F" w:rsidRPr="006F29F5" w:rsidRDefault="005E060F" w:rsidP="00911900">
            <w:pPr>
              <w:pStyle w:val="ListParagraph"/>
              <w:widowControl w:val="0"/>
              <w:numPr>
                <w:ilvl w:val="0"/>
                <w:numId w:val="27"/>
              </w:numPr>
              <w:autoSpaceDE w:val="0"/>
              <w:autoSpaceDN w:val="0"/>
              <w:adjustRightInd w:val="0"/>
              <w:spacing w:after="240"/>
              <w:rPr>
                <w:rFonts w:cs="Times New Roman"/>
                <w:b w:val="0"/>
                <w:kern w:val="2"/>
                <w:sz w:val="20"/>
              </w:rPr>
            </w:pPr>
            <w:r w:rsidRPr="006F29F5">
              <w:rPr>
                <w:rFonts w:cs="Times New Roman"/>
                <w:b w:val="0"/>
                <w:kern w:val="2"/>
                <w:sz w:val="20"/>
              </w:rPr>
              <w:t>restraint and confiscation of assets</w:t>
            </w:r>
            <w:r w:rsidR="00563A23" w:rsidRPr="006F29F5">
              <w:rPr>
                <w:rStyle w:val="FootnoteReference"/>
                <w:rFonts w:cs="Times New Roman"/>
                <w:b w:val="0"/>
                <w:kern w:val="2"/>
                <w:sz w:val="20"/>
              </w:rPr>
              <w:footnoteReference w:id="291"/>
            </w:r>
          </w:p>
          <w:p w14:paraId="5D3B4720" w14:textId="57EE625C" w:rsidR="005E060F" w:rsidRPr="006F29F5" w:rsidRDefault="005E060F" w:rsidP="00481548">
            <w:pPr>
              <w:pStyle w:val="ExcerptMarker"/>
              <w:spacing w:after="0"/>
              <w:rPr>
                <w:kern w:val="2"/>
                <w:sz w:val="16"/>
              </w:rPr>
            </w:pPr>
            <w:r w:rsidRPr="006F29F5">
              <w:rPr>
                <w:kern w:val="2"/>
                <w:sz w:val="16"/>
              </w:rPr>
              <w:t>End of Excerpt</w:t>
            </w:r>
          </w:p>
        </w:tc>
      </w:tr>
    </w:tbl>
    <w:p w14:paraId="566DE295" w14:textId="2EAEB505" w:rsidR="005A3158" w:rsidRPr="006F29F5" w:rsidRDefault="005A3158" w:rsidP="00340BBE">
      <w:pPr>
        <w:pStyle w:val="Heading2"/>
        <w:rPr>
          <w:kern w:val="2"/>
          <w:sz w:val="24"/>
        </w:rPr>
      </w:pPr>
      <w:r w:rsidRPr="006F29F5">
        <w:rPr>
          <w:kern w:val="2"/>
          <w:sz w:val="24"/>
        </w:rPr>
        <w:t>Request Process in Canada</w:t>
      </w:r>
    </w:p>
    <w:p w14:paraId="22D67583" w14:textId="05001097" w:rsidR="000943B4" w:rsidRDefault="00853935" w:rsidP="00226759">
      <w:pPr>
        <w:widowControl w:val="0"/>
        <w:autoSpaceDE w:val="0"/>
        <w:autoSpaceDN w:val="0"/>
        <w:adjustRightInd w:val="0"/>
        <w:rPr>
          <w:rFonts w:cs="Times New Roman"/>
          <w:kern w:val="2"/>
          <w:sz w:val="20"/>
        </w:rPr>
      </w:pPr>
      <w:r w:rsidRPr="006F29F5">
        <w:rPr>
          <w:rFonts w:eastAsiaTheme="minorEastAsia" w:cs="Times New Roman"/>
          <w:kern w:val="2"/>
          <w:sz w:val="20"/>
          <w:lang w:eastAsia="ja-JP"/>
        </w:rPr>
        <w:t xml:space="preserve">The details of Canada’s </w:t>
      </w:r>
      <w:r w:rsidR="00F81C2C" w:rsidRPr="006F29F5">
        <w:rPr>
          <w:rFonts w:eastAsiaTheme="minorEastAsia" w:cs="Times New Roman"/>
          <w:kern w:val="2"/>
          <w:sz w:val="20"/>
          <w:lang w:eastAsia="ja-JP"/>
        </w:rPr>
        <w:t xml:space="preserve">MLA process are summarized at </w:t>
      </w:r>
      <w:r w:rsidR="006F697C" w:rsidRPr="006F29F5">
        <w:rPr>
          <w:rFonts w:eastAsiaTheme="minorEastAsia" w:cs="Times New Roman"/>
          <w:kern w:val="2"/>
          <w:sz w:val="20"/>
          <w:highlight w:val="cyan"/>
          <w:lang w:eastAsia="ja-JP"/>
        </w:rPr>
        <w:t>S</w:t>
      </w:r>
      <w:r w:rsidR="00F81C2C" w:rsidRPr="006F29F5">
        <w:rPr>
          <w:rFonts w:eastAsiaTheme="minorEastAsia" w:cs="Times New Roman"/>
          <w:kern w:val="2"/>
          <w:sz w:val="20"/>
          <w:highlight w:val="cyan"/>
          <w:lang w:eastAsia="ja-JP"/>
        </w:rPr>
        <w:t xml:space="preserve">ection </w:t>
      </w:r>
      <w:r w:rsidR="00262D33" w:rsidRPr="006F29F5">
        <w:rPr>
          <w:rFonts w:eastAsiaTheme="minorEastAsia" w:cs="Times New Roman"/>
          <w:kern w:val="2"/>
          <w:sz w:val="20"/>
          <w:highlight w:val="cyan"/>
          <w:lang w:eastAsia="ja-JP"/>
        </w:rPr>
        <w:t>5.</w:t>
      </w:r>
      <w:r w:rsidR="00F81C2C" w:rsidRPr="006F29F5">
        <w:rPr>
          <w:rFonts w:eastAsiaTheme="minorEastAsia" w:cs="Times New Roman"/>
          <w:kern w:val="2"/>
          <w:sz w:val="20"/>
          <w:highlight w:val="cyan"/>
          <w:lang w:eastAsia="ja-JP"/>
        </w:rPr>
        <w:t>4.3</w:t>
      </w:r>
      <w:r w:rsidR="00F81C2C" w:rsidRPr="006F29F5">
        <w:rPr>
          <w:rFonts w:eastAsiaTheme="minorEastAsia" w:cs="Times New Roman"/>
          <w:kern w:val="2"/>
          <w:sz w:val="20"/>
          <w:lang w:eastAsia="ja-JP"/>
        </w:rPr>
        <w:t>. The following is an e</w:t>
      </w:r>
      <w:r w:rsidR="00F81C2C" w:rsidRPr="006F29F5">
        <w:rPr>
          <w:rFonts w:cs="Times New Roman"/>
          <w:kern w:val="2"/>
          <w:sz w:val="20"/>
        </w:rPr>
        <w:t xml:space="preserve">xcerpt from a 2011 document produced by the Council of Europe Commission on Crime Prevention and Criminal Justice, </w:t>
      </w:r>
      <w:r w:rsidR="00F81C2C" w:rsidRPr="006F29F5">
        <w:rPr>
          <w:rFonts w:cs="Times New Roman"/>
          <w:i/>
          <w:kern w:val="2"/>
          <w:sz w:val="20"/>
        </w:rPr>
        <w:t>Requesting Mutual Legal Assistance in Criminal Matters from G8 Countries: A Step-by-Step Guide</w:t>
      </w:r>
      <w:r w:rsidR="00793415" w:rsidRPr="006F29F5">
        <w:rPr>
          <w:rFonts w:cs="Times New Roman"/>
          <w:kern w:val="2"/>
          <w:sz w:val="20"/>
        </w:rPr>
        <w:t>:</w:t>
      </w:r>
      <w:r w:rsidR="00F81C2C" w:rsidRPr="006F29F5">
        <w:rPr>
          <w:rFonts w:cs="Times New Roman"/>
          <w:kern w:val="2"/>
          <w:sz w:val="20"/>
        </w:rPr>
        <w:t xml:space="preserve"> </w:t>
      </w:r>
    </w:p>
    <w:tbl>
      <w:tblPr>
        <w:tblStyle w:val="TableGrid"/>
        <w:tblpPr w:leftFromText="180" w:rightFromText="180" w:vertAnchor="text" w:tblpY="1"/>
        <w:tblOverlap w:val="never"/>
        <w:tblW w:w="0" w:type="auto"/>
        <w:tblCellMar>
          <w:top w:w="284" w:type="dxa"/>
          <w:left w:w="284" w:type="dxa"/>
          <w:bottom w:w="284" w:type="dxa"/>
          <w:right w:w="284" w:type="dxa"/>
        </w:tblCellMar>
        <w:tblLook w:val="04A0" w:firstRow="1" w:lastRow="0" w:firstColumn="1" w:lastColumn="0" w:noHBand="0" w:noVBand="1"/>
      </w:tblPr>
      <w:tblGrid>
        <w:gridCol w:w="8070"/>
      </w:tblGrid>
      <w:tr w:rsidR="00AC3621" w14:paraId="0E5188DC" w14:textId="77777777" w:rsidTr="00AC3621">
        <w:tc>
          <w:tcPr>
            <w:tcW w:w="8070" w:type="dxa"/>
            <w:tcBorders>
              <w:top w:val="nil"/>
              <w:left w:val="nil"/>
              <w:bottom w:val="nil"/>
              <w:right w:val="nil"/>
            </w:tcBorders>
            <w:shd w:val="clear" w:color="auto" w:fill="D9D9D9" w:themeFill="background1" w:themeFillShade="D9"/>
          </w:tcPr>
          <w:p w14:paraId="26E3C289" w14:textId="77777777" w:rsidR="00AC3621" w:rsidRPr="006F29F5" w:rsidRDefault="00AC3621" w:rsidP="00AC3621">
            <w:pPr>
              <w:pStyle w:val="ExcerptMarker"/>
              <w:spacing w:before="0"/>
              <w:rPr>
                <w:kern w:val="2"/>
                <w:sz w:val="16"/>
              </w:rPr>
            </w:pPr>
            <w:r w:rsidRPr="006F29F5">
              <w:rPr>
                <w:kern w:val="2"/>
                <w:sz w:val="16"/>
              </w:rPr>
              <w:t>Beginning of Excerpt</w:t>
            </w:r>
          </w:p>
          <w:p w14:paraId="0AAAC1FD" w14:textId="77777777" w:rsidR="00AC3621" w:rsidRPr="006F29F5" w:rsidRDefault="00AC3621" w:rsidP="00AC3621">
            <w:pPr>
              <w:rPr>
                <w:b/>
                <w:bCs/>
                <w:kern w:val="2"/>
                <w:sz w:val="20"/>
              </w:rPr>
            </w:pPr>
            <w:r w:rsidRPr="006F29F5">
              <w:rPr>
                <w:kern w:val="2"/>
                <w:sz w:val="20"/>
              </w:rPr>
              <w:t>A foreign state may request assistance from Canada in the gathering of evidence or the enforcement of some criminal orders (seizure orders, confiscation orders, fines) through three separate routes: (</w:t>
            </w:r>
            <w:proofErr w:type="spellStart"/>
            <w:r w:rsidRPr="006F29F5">
              <w:rPr>
                <w:kern w:val="2"/>
                <w:sz w:val="20"/>
              </w:rPr>
              <w:t>i</w:t>
            </w:r>
            <w:proofErr w:type="spellEnd"/>
            <w:r w:rsidRPr="006F29F5">
              <w:rPr>
                <w:kern w:val="2"/>
                <w:sz w:val="20"/>
              </w:rPr>
              <w:t xml:space="preserve">) treaty and convention requests, (ii) letters </w:t>
            </w:r>
            <w:proofErr w:type="spellStart"/>
            <w:r w:rsidRPr="006F29F5">
              <w:rPr>
                <w:kern w:val="2"/>
                <w:sz w:val="20"/>
              </w:rPr>
              <w:t>rogatory</w:t>
            </w:r>
            <w:proofErr w:type="spellEnd"/>
            <w:r w:rsidRPr="006F29F5">
              <w:rPr>
                <w:kern w:val="2"/>
                <w:sz w:val="20"/>
              </w:rPr>
              <w:t xml:space="preserve"> (court issued non-treaty letter of request) and (iii) non-treaty requests. In rare circumstances, Canada may enter into an administrative arrangement with a non-treaty country to give effect to an individual request for assistance, for a time-limited period. The widest assistance can be provided for treaty or convention requests. More limited assistance is available for letters </w:t>
            </w:r>
            <w:proofErr w:type="spellStart"/>
            <w:r w:rsidRPr="006F29F5">
              <w:rPr>
                <w:kern w:val="2"/>
                <w:sz w:val="20"/>
              </w:rPr>
              <w:t>rogatory</w:t>
            </w:r>
            <w:proofErr w:type="spellEnd"/>
            <w:r w:rsidRPr="006F29F5">
              <w:rPr>
                <w:kern w:val="2"/>
                <w:sz w:val="20"/>
              </w:rPr>
              <w:t xml:space="preserve"> and non-treaty requests.</w:t>
            </w:r>
          </w:p>
          <w:p w14:paraId="53E0AD93" w14:textId="77777777" w:rsidR="00AC3621" w:rsidRPr="006F29F5" w:rsidRDefault="00AC3621" w:rsidP="00AC3621">
            <w:pPr>
              <w:pStyle w:val="ListParagraph"/>
              <w:numPr>
                <w:ilvl w:val="0"/>
                <w:numId w:val="61"/>
              </w:numPr>
              <w:spacing w:before="240" w:after="240"/>
              <w:rPr>
                <w:kern w:val="2"/>
                <w:sz w:val="20"/>
              </w:rPr>
            </w:pPr>
            <w:r w:rsidRPr="006F29F5">
              <w:rPr>
                <w:kern w:val="2"/>
                <w:sz w:val="20"/>
              </w:rPr>
              <w:t>Requests Made Under a Treaty/Convention</w:t>
            </w:r>
          </w:p>
          <w:p w14:paraId="6D6FAFC0" w14:textId="77777777" w:rsidR="00AC3621" w:rsidRPr="006F29F5" w:rsidRDefault="00AC3621" w:rsidP="00AC3621">
            <w:pPr>
              <w:rPr>
                <w:bCs/>
                <w:i/>
                <w:iCs/>
                <w:kern w:val="2"/>
                <w:sz w:val="20"/>
              </w:rPr>
            </w:pPr>
            <w:r w:rsidRPr="006F29F5">
              <w:rPr>
                <w:kern w:val="2"/>
                <w:sz w:val="20"/>
              </w:rPr>
              <w:t xml:space="preserve">Requests made under a treaty or convention, and which seek court-ordered assistance, are executed under Canada’s </w:t>
            </w:r>
            <w:r w:rsidRPr="006F29F5">
              <w:rPr>
                <w:i/>
                <w:iCs/>
                <w:kern w:val="2"/>
                <w:sz w:val="20"/>
              </w:rPr>
              <w:t>Mutual Legal Assistance in Criminal Matters Act</w:t>
            </w:r>
            <w:r w:rsidRPr="006F29F5">
              <w:rPr>
                <w:kern w:val="2"/>
                <w:sz w:val="20"/>
              </w:rPr>
              <w:t>. The Act gives Canadian courts the power to issue orders to gather evidence for a requesting State, including by search warrant; to locate a person who is suspected of having committed an offence in the requesting State; and to enforce orders of seizure and confiscation. The Act permits assistance to be rendered at any stage of a criminal matter, from investigation to appeal.</w:t>
            </w:r>
          </w:p>
          <w:p w14:paraId="35FEE2DA" w14:textId="6465393E" w:rsidR="00AC3621" w:rsidRPr="00AC3621" w:rsidRDefault="00AC3621" w:rsidP="00AC3621">
            <w:pPr>
              <w:spacing w:after="0"/>
              <w:rPr>
                <w:bCs/>
                <w:i/>
                <w:iCs/>
                <w:kern w:val="2"/>
                <w:sz w:val="20"/>
              </w:rPr>
            </w:pPr>
            <w:r w:rsidRPr="006F29F5">
              <w:rPr>
                <w:kern w:val="2"/>
                <w:sz w:val="20"/>
              </w:rPr>
              <w:t>In most cases, before issuing a court order to give effect to a request for assistance, the Canadian court must be satisfied, on reasonable grounds, that an offence has been committed and that the evidence sought from Canada will be found in Canada. Therefore, when seeking assistance that requires the issuance of compulsory measures (e.g. production orders, search warrants, orders compelling statements/</w:t>
            </w:r>
            <w:r w:rsidR="00AD19C4">
              <w:rPr>
                <w:kern w:val="2"/>
                <w:sz w:val="20"/>
              </w:rPr>
              <w:br/>
            </w:r>
            <w:r w:rsidRPr="006F29F5">
              <w:rPr>
                <w:kern w:val="2"/>
                <w:sz w:val="20"/>
              </w:rPr>
              <w:t>testimony), a requesting country must provide Canada with sufficient and clear information to establish a connection between the foreign investigation/prosecution and the evidence or assistance requested.</w:t>
            </w:r>
          </w:p>
        </w:tc>
      </w:tr>
    </w:tbl>
    <w:p w14:paraId="3D2D08D4" w14:textId="6BA75BCC" w:rsidR="00AC3621" w:rsidRDefault="00AC3621" w:rsidP="00226759">
      <w:pPr>
        <w:widowControl w:val="0"/>
        <w:autoSpaceDE w:val="0"/>
        <w:autoSpaceDN w:val="0"/>
        <w:adjustRightInd w:val="0"/>
        <w:rPr>
          <w:rFonts w:cs="Times New Roman"/>
          <w:kern w:val="2"/>
          <w:sz w:val="20"/>
        </w:rPr>
      </w:pPr>
    </w:p>
    <w:p w14:paraId="0E79819F" w14:textId="77777777" w:rsidR="00AC3621" w:rsidRDefault="00AC3621">
      <w:pPr>
        <w:spacing w:before="0" w:after="200" w:line="276" w:lineRule="auto"/>
        <w:jc w:val="left"/>
        <w:rPr>
          <w:rFonts w:cs="Times New Roman"/>
          <w:kern w:val="2"/>
          <w:sz w:val="20"/>
        </w:rPr>
      </w:pPr>
      <w:r>
        <w:rPr>
          <w:rFonts w:cs="Times New Roman"/>
          <w:kern w:val="2"/>
          <w:sz w:val="20"/>
        </w:rPr>
        <w:br w:type="page"/>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5E060F" w:rsidRPr="006F29F5" w14:paraId="650A079B" w14:textId="77777777" w:rsidTr="00AC3621">
        <w:trPr>
          <w:jc w:val="center"/>
        </w:trPr>
        <w:tc>
          <w:tcPr>
            <w:tcW w:w="8080" w:type="dxa"/>
            <w:shd w:val="clear" w:color="auto" w:fill="D9D9D9" w:themeFill="background1" w:themeFillShade="D9"/>
          </w:tcPr>
          <w:p w14:paraId="361C37AD" w14:textId="77777777" w:rsidR="005E060F" w:rsidRPr="006F29F5" w:rsidRDefault="005E060F" w:rsidP="005C787B">
            <w:pPr>
              <w:pStyle w:val="ListParagraph"/>
              <w:numPr>
                <w:ilvl w:val="0"/>
                <w:numId w:val="61"/>
              </w:numPr>
              <w:spacing w:before="0" w:after="240"/>
              <w:rPr>
                <w:kern w:val="2"/>
                <w:sz w:val="20"/>
              </w:rPr>
            </w:pPr>
            <w:r w:rsidRPr="006F29F5">
              <w:rPr>
                <w:kern w:val="2"/>
                <w:sz w:val="20"/>
              </w:rPr>
              <w:t xml:space="preserve">Letters </w:t>
            </w:r>
            <w:proofErr w:type="spellStart"/>
            <w:r w:rsidRPr="006F29F5">
              <w:rPr>
                <w:kern w:val="2"/>
                <w:sz w:val="20"/>
              </w:rPr>
              <w:t>Rogatory</w:t>
            </w:r>
            <w:proofErr w:type="spellEnd"/>
            <w:r w:rsidRPr="006F29F5">
              <w:rPr>
                <w:kern w:val="2"/>
                <w:sz w:val="20"/>
              </w:rPr>
              <w:t xml:space="preserve"> Requests (Court-Issued Non-Treaty Requests)</w:t>
            </w:r>
          </w:p>
          <w:p w14:paraId="7390BB2A" w14:textId="77777777" w:rsidR="005E060F" w:rsidRPr="006F29F5" w:rsidRDefault="005E060F" w:rsidP="00AC3621">
            <w:pPr>
              <w:rPr>
                <w:kern w:val="2"/>
                <w:sz w:val="20"/>
              </w:rPr>
            </w:pPr>
            <w:r w:rsidRPr="006F29F5">
              <w:rPr>
                <w:kern w:val="2"/>
                <w:sz w:val="20"/>
              </w:rPr>
              <w:t xml:space="preserve">Where there is no treaty/convention in place between Canada and the requesting State, it is still possible for the requesting State to seek some court-ordered assistance from Canada. Under the </w:t>
            </w:r>
            <w:r w:rsidRPr="006F29F5">
              <w:rPr>
                <w:i/>
                <w:iCs/>
                <w:kern w:val="2"/>
                <w:sz w:val="20"/>
              </w:rPr>
              <w:t>Canada Evidence Act</w:t>
            </w:r>
            <w:r w:rsidRPr="006F29F5">
              <w:rPr>
                <w:kern w:val="2"/>
                <w:sz w:val="20"/>
              </w:rPr>
              <w:t xml:space="preserve">, orders compelling witnesses to give evidence (including by video-link) and to produce records can be issued at the request of a foreign state. However, this mechanism requires that two essential conditions be met: (1) that there be a criminal matter pending before the foreign judge, court or tribunal; and (2) that the foreign judicial body wishes to obtain the evidence sought (i.e. the request must be made by the foreign judge, court or tribunal). It is important that this be clearly stated in the letters </w:t>
            </w:r>
            <w:proofErr w:type="spellStart"/>
            <w:r w:rsidRPr="006F29F5">
              <w:rPr>
                <w:kern w:val="2"/>
                <w:sz w:val="20"/>
              </w:rPr>
              <w:t>rogatory</w:t>
            </w:r>
            <w:proofErr w:type="spellEnd"/>
            <w:r w:rsidRPr="006F29F5">
              <w:rPr>
                <w:kern w:val="2"/>
                <w:sz w:val="20"/>
              </w:rPr>
              <w:t xml:space="preserve"> request. In addition, the request should include information that indicates how the evidence sought is relevant to the foreign proceedings.</w:t>
            </w:r>
          </w:p>
          <w:p w14:paraId="126939DD" w14:textId="77777777" w:rsidR="005E060F" w:rsidRPr="006F29F5" w:rsidRDefault="005E060F" w:rsidP="00AC3621">
            <w:pPr>
              <w:pStyle w:val="ListParagraph"/>
              <w:numPr>
                <w:ilvl w:val="0"/>
                <w:numId w:val="61"/>
              </w:numPr>
              <w:spacing w:before="240" w:after="240"/>
              <w:rPr>
                <w:kern w:val="2"/>
                <w:sz w:val="20"/>
              </w:rPr>
            </w:pPr>
            <w:r w:rsidRPr="006F29F5">
              <w:rPr>
                <w:kern w:val="2"/>
                <w:sz w:val="20"/>
              </w:rPr>
              <w:t>Non-Treaty Letters of Request</w:t>
            </w:r>
          </w:p>
          <w:p w14:paraId="69DD93A5" w14:textId="77777777" w:rsidR="005E060F" w:rsidRPr="006F29F5" w:rsidRDefault="005E060F" w:rsidP="00AC3621">
            <w:pPr>
              <w:rPr>
                <w:kern w:val="2"/>
                <w:sz w:val="20"/>
              </w:rPr>
            </w:pPr>
            <w:r w:rsidRPr="006F29F5">
              <w:rPr>
                <w:kern w:val="2"/>
                <w:sz w:val="20"/>
              </w:rPr>
              <w:t xml:space="preserve">To the extent possible, Canada will also execute non-treaty requests for assistance, as well as those that do not satisfy the requirements of the </w:t>
            </w:r>
            <w:r w:rsidRPr="006F29F5">
              <w:rPr>
                <w:i/>
                <w:iCs/>
                <w:kern w:val="2"/>
                <w:sz w:val="20"/>
              </w:rPr>
              <w:t xml:space="preserve">Canada Evidence Act </w:t>
            </w:r>
            <w:r w:rsidRPr="006F29F5">
              <w:rPr>
                <w:kern w:val="2"/>
                <w:sz w:val="20"/>
              </w:rPr>
              <w:t xml:space="preserve">(i.e. letters </w:t>
            </w:r>
            <w:proofErr w:type="spellStart"/>
            <w:r w:rsidRPr="006F29F5">
              <w:rPr>
                <w:kern w:val="2"/>
                <w:sz w:val="20"/>
              </w:rPr>
              <w:t>rogatory</w:t>
            </w:r>
            <w:proofErr w:type="spellEnd"/>
            <w:r w:rsidRPr="006F29F5">
              <w:rPr>
                <w:kern w:val="2"/>
                <w:sz w:val="20"/>
              </w:rPr>
              <w:t xml:space="preserve"> requests). However, the assistance that is generally available in response to a non-treaty letter of request is voluntary in nature (e.g. taking voluntary statements from persons; obtaining publicly available documents; or serving documents).</w:t>
            </w:r>
          </w:p>
          <w:p w14:paraId="74762244" w14:textId="77777777" w:rsidR="005E060F" w:rsidRPr="006F29F5" w:rsidRDefault="005E060F" w:rsidP="00AC3621">
            <w:pPr>
              <w:pStyle w:val="ListParagraph"/>
              <w:numPr>
                <w:ilvl w:val="0"/>
                <w:numId w:val="61"/>
              </w:numPr>
              <w:spacing w:before="240" w:after="240"/>
              <w:rPr>
                <w:kern w:val="2"/>
                <w:sz w:val="20"/>
              </w:rPr>
            </w:pPr>
            <w:r w:rsidRPr="006F29F5">
              <w:rPr>
                <w:kern w:val="2"/>
                <w:sz w:val="20"/>
              </w:rPr>
              <w:t>Dual Criminality is Generally Not Required</w:t>
            </w:r>
          </w:p>
          <w:p w14:paraId="730D782C" w14:textId="6E892FB8" w:rsidR="005E060F" w:rsidRPr="006F29F5" w:rsidRDefault="005E060F" w:rsidP="00AC3621">
            <w:pPr>
              <w:rPr>
                <w:kern w:val="2"/>
                <w:sz w:val="20"/>
              </w:rPr>
            </w:pPr>
            <w:r w:rsidRPr="006F29F5">
              <w:rPr>
                <w:kern w:val="2"/>
                <w:sz w:val="20"/>
              </w:rPr>
              <w:t>As a general rule, dual criminality is not required when seeking mutual assistance from Canada, unless the treaty with the requesting State requires it. Note, however, that with respect to requests to enforce seizure and forfeiture orders, dual criminality is always required under Canadian law.</w:t>
            </w:r>
            <w:r w:rsidR="00563A23" w:rsidRPr="006F29F5">
              <w:rPr>
                <w:rStyle w:val="FootnoteReference"/>
                <w:rFonts w:cs="Times New Roman"/>
                <w:kern w:val="2"/>
                <w:sz w:val="20"/>
              </w:rPr>
              <w:footnoteReference w:id="292"/>
            </w:r>
          </w:p>
          <w:p w14:paraId="0E4AC23B" w14:textId="66C8185C" w:rsidR="005E060F" w:rsidRPr="006F29F5" w:rsidRDefault="005E060F" w:rsidP="005C787B">
            <w:pPr>
              <w:pStyle w:val="ExcerptMarker"/>
              <w:spacing w:before="240" w:after="0"/>
              <w:rPr>
                <w:kern w:val="2"/>
                <w:sz w:val="16"/>
              </w:rPr>
            </w:pPr>
            <w:r w:rsidRPr="006F29F5">
              <w:rPr>
                <w:kern w:val="2"/>
                <w:sz w:val="16"/>
              </w:rPr>
              <w:t>End of Excerpt</w:t>
            </w:r>
          </w:p>
        </w:tc>
      </w:tr>
    </w:tbl>
    <w:p w14:paraId="1E922643" w14:textId="2274F1FA" w:rsidR="005C787B" w:rsidRDefault="00135870" w:rsidP="00153316">
      <w:pPr>
        <w:rPr>
          <w:rFonts w:cs="Times New Roman"/>
          <w:color w:val="000000" w:themeColor="text1"/>
          <w:kern w:val="2"/>
          <w:sz w:val="20"/>
        </w:rPr>
      </w:pPr>
      <w:r w:rsidRPr="006F29F5">
        <w:rPr>
          <w:rFonts w:cs="Times New Roman"/>
          <w:color w:val="000000" w:themeColor="text1"/>
          <w:kern w:val="2"/>
          <w:sz w:val="20"/>
        </w:rPr>
        <w:t xml:space="preserve">The 2016 FATF Mutual Evaluation Report concluded that Canada is </w:t>
      </w:r>
      <w:r w:rsidR="00CC1E13" w:rsidRPr="006F29F5">
        <w:rPr>
          <w:rFonts w:cs="Times New Roman"/>
          <w:color w:val="000000" w:themeColor="text1"/>
          <w:kern w:val="2"/>
          <w:sz w:val="20"/>
        </w:rPr>
        <w:t>“</w:t>
      </w:r>
      <w:r w:rsidRPr="006F29F5">
        <w:rPr>
          <w:rFonts w:cs="Times New Roman"/>
          <w:color w:val="000000" w:themeColor="text1"/>
          <w:kern w:val="2"/>
          <w:sz w:val="20"/>
        </w:rPr>
        <w:t>largely compliant</w:t>
      </w:r>
      <w:r w:rsidR="00CC1E13" w:rsidRPr="006F29F5">
        <w:rPr>
          <w:rFonts w:cs="Times New Roman"/>
          <w:color w:val="000000" w:themeColor="text1"/>
          <w:kern w:val="2"/>
          <w:sz w:val="20"/>
        </w:rPr>
        <w:t>”</w:t>
      </w:r>
      <w:r w:rsidRPr="006F29F5">
        <w:rPr>
          <w:rFonts w:cs="Times New Roman"/>
          <w:color w:val="000000" w:themeColor="text1"/>
          <w:kern w:val="2"/>
          <w:sz w:val="20"/>
        </w:rPr>
        <w:t xml:space="preserve"> with FATF Recommendations 37 (</w:t>
      </w:r>
      <w:r w:rsidR="00CC1E13" w:rsidRPr="006F29F5">
        <w:rPr>
          <w:rFonts w:cs="Times New Roman"/>
          <w:color w:val="000000" w:themeColor="text1"/>
          <w:kern w:val="2"/>
          <w:sz w:val="20"/>
        </w:rPr>
        <w:t>“</w:t>
      </w:r>
      <w:r w:rsidRPr="006F29F5">
        <w:rPr>
          <w:rFonts w:cs="Times New Roman"/>
          <w:color w:val="000000" w:themeColor="text1"/>
          <w:kern w:val="2"/>
          <w:sz w:val="20"/>
        </w:rPr>
        <w:t>Mutual legal assistance</w:t>
      </w:r>
      <w:r w:rsidR="00CC1E13" w:rsidRPr="006F29F5">
        <w:rPr>
          <w:rFonts w:cs="Times New Roman"/>
          <w:color w:val="000000" w:themeColor="text1"/>
          <w:kern w:val="2"/>
          <w:sz w:val="20"/>
        </w:rPr>
        <w:t>”</w:t>
      </w:r>
      <w:r w:rsidRPr="006F29F5">
        <w:rPr>
          <w:rFonts w:cs="Times New Roman"/>
          <w:color w:val="000000" w:themeColor="text1"/>
          <w:kern w:val="2"/>
          <w:sz w:val="20"/>
        </w:rPr>
        <w:t>) and 38 (</w:t>
      </w:r>
      <w:r w:rsidR="00CC1E13" w:rsidRPr="006F29F5">
        <w:rPr>
          <w:rFonts w:cs="Times New Roman"/>
          <w:color w:val="000000" w:themeColor="text1"/>
          <w:kern w:val="2"/>
          <w:sz w:val="20"/>
        </w:rPr>
        <w:t>“</w:t>
      </w:r>
      <w:r w:rsidRPr="006F29F5">
        <w:rPr>
          <w:rFonts w:cs="Times New Roman"/>
          <w:color w:val="000000" w:themeColor="text1"/>
          <w:kern w:val="2"/>
          <w:sz w:val="20"/>
        </w:rPr>
        <w:t>Mutual legal assistance: freezing and</w:t>
      </w:r>
      <w:r w:rsidR="000E35A1" w:rsidRPr="006F29F5">
        <w:rPr>
          <w:rFonts w:cs="Times New Roman"/>
          <w:color w:val="000000" w:themeColor="text1"/>
          <w:kern w:val="2"/>
          <w:sz w:val="20"/>
        </w:rPr>
        <w:t xml:space="preserve"> </w:t>
      </w:r>
      <w:r w:rsidRPr="006F29F5">
        <w:rPr>
          <w:rFonts w:cs="Times New Roman"/>
          <w:color w:val="000000" w:themeColor="text1"/>
          <w:kern w:val="2"/>
          <w:sz w:val="20"/>
        </w:rPr>
        <w:t>con</w:t>
      </w:r>
      <w:r w:rsidR="002961E0" w:rsidRPr="006F29F5">
        <w:rPr>
          <w:rFonts w:cs="Times New Roman"/>
          <w:color w:val="000000" w:themeColor="text1"/>
          <w:kern w:val="2"/>
          <w:sz w:val="20"/>
        </w:rPr>
        <w:t>-</w:t>
      </w:r>
      <w:proofErr w:type="spellStart"/>
      <w:r w:rsidRPr="006F29F5">
        <w:rPr>
          <w:rFonts w:cs="Times New Roman"/>
          <w:color w:val="000000" w:themeColor="text1"/>
          <w:kern w:val="2"/>
          <w:sz w:val="20"/>
        </w:rPr>
        <w:t>fiscation</w:t>
      </w:r>
      <w:proofErr w:type="spellEnd"/>
      <w:r w:rsidR="00CC1E13" w:rsidRPr="006F29F5">
        <w:rPr>
          <w:rFonts w:cs="Times New Roman"/>
          <w:color w:val="000000" w:themeColor="text1"/>
          <w:kern w:val="2"/>
          <w:sz w:val="20"/>
        </w:rPr>
        <w:t>”</w:t>
      </w:r>
      <w:r w:rsidRPr="006F29F5">
        <w:rPr>
          <w:rFonts w:cs="Times New Roman"/>
          <w:color w:val="000000" w:themeColor="text1"/>
          <w:kern w:val="2"/>
          <w:sz w:val="20"/>
        </w:rPr>
        <w:t>). The following is an excerpt from the report assessing the Canadian anti-money laundering and combating the financing of terrorism (AML/CFT) regime:</w:t>
      </w:r>
    </w:p>
    <w:p w14:paraId="59476184" w14:textId="22F23D46" w:rsidR="00135870" w:rsidRPr="006F29F5" w:rsidRDefault="005C787B" w:rsidP="005C787B">
      <w:pPr>
        <w:spacing w:before="0" w:after="200" w:line="276" w:lineRule="auto"/>
        <w:jc w:val="left"/>
        <w:rPr>
          <w:rFonts w:cs="Times New Roman"/>
          <w:color w:val="000000" w:themeColor="text1"/>
          <w:kern w:val="2"/>
          <w:sz w:val="20"/>
        </w:rPr>
      </w:pPr>
      <w:r>
        <w:rPr>
          <w:rFonts w:cs="Times New Roman"/>
          <w:color w:val="000000" w:themeColor="text1"/>
          <w:kern w:val="2"/>
          <w:sz w:val="20"/>
        </w:rPr>
        <w:br w:type="page"/>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284" w:type="dxa"/>
          <w:left w:w="284" w:type="dxa"/>
          <w:bottom w:w="284" w:type="dxa"/>
          <w:right w:w="284" w:type="dxa"/>
        </w:tblCellMar>
        <w:tblLook w:val="04A0" w:firstRow="1" w:lastRow="0" w:firstColumn="1" w:lastColumn="0" w:noHBand="0" w:noVBand="1"/>
      </w:tblPr>
      <w:tblGrid>
        <w:gridCol w:w="8080"/>
      </w:tblGrid>
      <w:tr w:rsidR="005E060F" w:rsidRPr="006F29F5" w14:paraId="013A35B8" w14:textId="77777777" w:rsidTr="005C787B">
        <w:trPr>
          <w:jc w:val="center"/>
        </w:trPr>
        <w:tc>
          <w:tcPr>
            <w:tcW w:w="9360" w:type="dxa"/>
            <w:shd w:val="clear" w:color="auto" w:fill="D9D9D9" w:themeFill="background1" w:themeFillShade="D9"/>
          </w:tcPr>
          <w:p w14:paraId="4090D9FF" w14:textId="77777777" w:rsidR="005E060F" w:rsidRPr="006F29F5" w:rsidRDefault="005E060F" w:rsidP="005C787B">
            <w:pPr>
              <w:pStyle w:val="ExcerptMarker"/>
              <w:spacing w:before="0"/>
              <w:rPr>
                <w:color w:val="000000" w:themeColor="text1"/>
                <w:kern w:val="2"/>
                <w:sz w:val="10"/>
                <w:szCs w:val="12"/>
              </w:rPr>
            </w:pPr>
            <w:r w:rsidRPr="006F29F5">
              <w:rPr>
                <w:kern w:val="2"/>
                <w:sz w:val="16"/>
              </w:rPr>
              <w:t>Beginning of Excerpt</w:t>
            </w:r>
          </w:p>
          <w:p w14:paraId="1007F0A5" w14:textId="77777777" w:rsidR="005E060F" w:rsidRPr="006F29F5" w:rsidRDefault="005E060F" w:rsidP="005C787B">
            <w:pPr>
              <w:rPr>
                <w:rFonts w:cs="Times New Roman"/>
                <w:b/>
                <w:i/>
                <w:color w:val="000000" w:themeColor="text1"/>
                <w:kern w:val="2"/>
                <w:sz w:val="20"/>
              </w:rPr>
            </w:pPr>
            <w:r w:rsidRPr="006F29F5">
              <w:rPr>
                <w:rFonts w:cs="Times New Roman"/>
                <w:b/>
                <w:i/>
                <w:color w:val="000000" w:themeColor="text1"/>
                <w:kern w:val="2"/>
                <w:sz w:val="20"/>
              </w:rPr>
              <w:t>Recommendation 37 – Mutual legal assistance</w:t>
            </w:r>
          </w:p>
          <w:p w14:paraId="1BA797BA" w14:textId="77777777" w:rsidR="005E060F" w:rsidRPr="006F29F5" w:rsidRDefault="005E060F" w:rsidP="005C787B">
            <w:pPr>
              <w:rPr>
                <w:rFonts w:cs="Times New Roman"/>
                <w:color w:val="000000" w:themeColor="text1"/>
                <w:kern w:val="2"/>
                <w:sz w:val="20"/>
              </w:rPr>
            </w:pPr>
            <w:r w:rsidRPr="006F29F5">
              <w:rPr>
                <w:rFonts w:cs="Times New Roman"/>
                <w:color w:val="000000" w:themeColor="text1"/>
                <w:kern w:val="2"/>
                <w:sz w:val="20"/>
              </w:rPr>
              <w:t>In its third MER [Mutual Evaluation Report], Canada was rated LC [Largely Compliant] with former R.36 and SR. V due to concerns about Canada’s ability to handle MLA requests in a timely and effective manner and about the lack of adequate data that would establish effective implementation. Canada’s legal framework for MLA was supplemented by Canada’s new Protecting Canadians from Online Crime Act (PCOCA, in force 9 March 2015). The requirements of the (new) R.37 are more detailed.</w:t>
            </w:r>
          </w:p>
          <w:p w14:paraId="07746D60" w14:textId="77777777" w:rsidR="005E060F" w:rsidRPr="006F29F5" w:rsidRDefault="005E060F" w:rsidP="005C787B">
            <w:pPr>
              <w:rPr>
                <w:rFonts w:cs="Times New Roman"/>
                <w:color w:val="000000" w:themeColor="text1"/>
                <w:kern w:val="2"/>
                <w:sz w:val="20"/>
              </w:rPr>
            </w:pPr>
            <w:r w:rsidRPr="006F29F5">
              <w:rPr>
                <w:rFonts w:cs="Times New Roman"/>
                <w:b/>
                <w:color w:val="000000" w:themeColor="text1"/>
                <w:kern w:val="2"/>
                <w:sz w:val="20"/>
              </w:rPr>
              <w:t>Criterion 37.1</w:t>
            </w:r>
            <w:r w:rsidRPr="006F29F5">
              <w:rPr>
                <w:rFonts w:cs="Times New Roman"/>
                <w:color w:val="000000" w:themeColor="text1"/>
                <w:kern w:val="2"/>
                <w:sz w:val="20"/>
              </w:rPr>
              <w:t xml:space="preserve"> – Canada has a sound legal framework for international cooperation. The main instruments used are the </w:t>
            </w:r>
            <w:r w:rsidRPr="006F29F5">
              <w:rPr>
                <w:rFonts w:cs="Times New Roman"/>
                <w:i/>
                <w:color w:val="000000" w:themeColor="text1"/>
                <w:kern w:val="2"/>
                <w:sz w:val="20"/>
              </w:rPr>
              <w:t>Mutual Legal Assistance in Criminal Matters Act</w:t>
            </w:r>
            <w:r w:rsidRPr="006F29F5">
              <w:rPr>
                <w:rFonts w:cs="Times New Roman"/>
                <w:color w:val="000000" w:themeColor="text1"/>
                <w:kern w:val="2"/>
                <w:sz w:val="20"/>
              </w:rPr>
              <w:t xml:space="preserve"> (MLACMA); the relevant international conventions, the Extradition Act; 57 bilateral treaties on MLA in criminal matters, extradition and asset sharing; and MOUs for the other forms of assistance to exchange financial intelligence, supervisory, law enforcement or other information with counterparts. These instruments allow the country to provide rapid and wide MLA. In the absence of a treaty, Canada is able to assist in simpler measures (interviewing witnesses or providing publicly available documents), or, based in the MLACMA, to enter in specific administrative arrangements, that would provide the framework for the assistance.</w:t>
            </w:r>
          </w:p>
          <w:p w14:paraId="1894B533" w14:textId="1BE38875" w:rsidR="005E060F" w:rsidRPr="006F29F5" w:rsidRDefault="005E060F" w:rsidP="005C787B">
            <w:pPr>
              <w:rPr>
                <w:rFonts w:cs="Times New Roman"/>
                <w:color w:val="000000" w:themeColor="text1"/>
                <w:kern w:val="2"/>
                <w:sz w:val="20"/>
              </w:rPr>
            </w:pPr>
            <w:r w:rsidRPr="006F29F5">
              <w:rPr>
                <w:rFonts w:cs="Times New Roman"/>
                <w:b/>
                <w:color w:val="000000" w:themeColor="text1"/>
                <w:kern w:val="2"/>
                <w:sz w:val="20"/>
              </w:rPr>
              <w:t>Criterion 37.2</w:t>
            </w:r>
            <w:r w:rsidRPr="006F29F5">
              <w:rPr>
                <w:rFonts w:cs="Times New Roman"/>
                <w:color w:val="000000" w:themeColor="text1"/>
                <w:kern w:val="2"/>
                <w:sz w:val="20"/>
              </w:rPr>
              <w:t xml:space="preserve"> – Canada uses a central authority (the Minister of Justice, assisted by the International Assistance Group – IAG) for the transmission and execution of requests. There are clear processes for the prioritization and execution of mutual legal assistance requests, and a system called </w:t>
            </w:r>
            <w:r w:rsidR="00CC1E13" w:rsidRPr="006F29F5">
              <w:rPr>
                <w:rFonts w:cs="Times New Roman"/>
                <w:color w:val="000000" w:themeColor="text1"/>
                <w:kern w:val="2"/>
                <w:sz w:val="20"/>
              </w:rPr>
              <w:t>“</w:t>
            </w:r>
            <w:proofErr w:type="spellStart"/>
            <w:r w:rsidRPr="006F29F5">
              <w:rPr>
                <w:rFonts w:cs="Times New Roman"/>
                <w:color w:val="000000" w:themeColor="text1"/>
                <w:kern w:val="2"/>
                <w:sz w:val="20"/>
              </w:rPr>
              <w:t>iCase</w:t>
            </w:r>
            <w:proofErr w:type="spellEnd"/>
            <w:r w:rsidR="00CC1E13" w:rsidRPr="006F29F5">
              <w:rPr>
                <w:rFonts w:cs="Times New Roman"/>
                <w:color w:val="000000" w:themeColor="text1"/>
                <w:kern w:val="2"/>
                <w:sz w:val="20"/>
              </w:rPr>
              <w:t>”</w:t>
            </w:r>
            <w:r w:rsidRPr="006F29F5">
              <w:rPr>
                <w:rFonts w:cs="Times New Roman"/>
                <w:color w:val="000000" w:themeColor="text1"/>
                <w:kern w:val="2"/>
                <w:sz w:val="20"/>
              </w:rPr>
              <w:t xml:space="preserve"> is used to manage the cases and monitor progress on requests.</w:t>
            </w:r>
          </w:p>
          <w:p w14:paraId="1BF81748" w14:textId="38959514" w:rsidR="005E060F" w:rsidRPr="006F29F5" w:rsidRDefault="005E060F" w:rsidP="005C787B">
            <w:pPr>
              <w:rPr>
                <w:rFonts w:cs="Times New Roman"/>
                <w:color w:val="000000" w:themeColor="text1"/>
                <w:kern w:val="2"/>
                <w:sz w:val="20"/>
              </w:rPr>
            </w:pPr>
            <w:r w:rsidRPr="006F29F5">
              <w:rPr>
                <w:rFonts w:cs="Times New Roman"/>
                <w:b/>
                <w:color w:val="000000" w:themeColor="text1"/>
                <w:kern w:val="2"/>
                <w:sz w:val="20"/>
              </w:rPr>
              <w:t>Criterion 37.3</w:t>
            </w:r>
            <w:r w:rsidRPr="006F29F5">
              <w:rPr>
                <w:rFonts w:cs="Times New Roman"/>
                <w:color w:val="000000" w:themeColor="text1"/>
                <w:kern w:val="2"/>
                <w:sz w:val="20"/>
              </w:rPr>
              <w:t xml:space="preserve"> – MLA is not prohibited or made subject to unduly restrictive conditions. Canada provides MLA with or without a treaty, although MLA without a treaty is less comprehensive. Requests must meet generally the </w:t>
            </w:r>
            <w:r w:rsidR="00CC1E13" w:rsidRPr="006F29F5">
              <w:rPr>
                <w:rFonts w:cs="Times New Roman"/>
                <w:color w:val="000000" w:themeColor="text1"/>
                <w:kern w:val="2"/>
                <w:sz w:val="20"/>
              </w:rPr>
              <w:t>“</w:t>
            </w:r>
            <w:r w:rsidRPr="006F29F5">
              <w:rPr>
                <w:rFonts w:cs="Times New Roman"/>
                <w:color w:val="000000" w:themeColor="text1"/>
                <w:kern w:val="2"/>
                <w:sz w:val="20"/>
              </w:rPr>
              <w:t xml:space="preserve">reasonable grounds to believe standard, in relation for example to MLACMA </w:t>
            </w:r>
            <w:proofErr w:type="spellStart"/>
            <w:r w:rsidRPr="006F29F5">
              <w:rPr>
                <w:rFonts w:cs="Times New Roman"/>
                <w:color w:val="000000" w:themeColor="text1"/>
                <w:kern w:val="2"/>
                <w:sz w:val="20"/>
              </w:rPr>
              <w:t>ss</w:t>
            </w:r>
            <w:proofErr w:type="spellEnd"/>
            <w:r w:rsidRPr="006F29F5">
              <w:rPr>
                <w:rFonts w:cs="Times New Roman"/>
                <w:color w:val="000000" w:themeColor="text1"/>
                <w:kern w:val="2"/>
                <w:sz w:val="20"/>
              </w:rPr>
              <w:t xml:space="preserve"> 12 (search warrant) and 18 (production orders). However, certain warrants (financial information, CC, s.487.018, tracing communications, and new s.487.015) may be obtained on the lower standard of </w:t>
            </w:r>
            <w:r w:rsidR="00CC1E13" w:rsidRPr="006F29F5">
              <w:rPr>
                <w:rFonts w:cs="Times New Roman"/>
                <w:color w:val="000000" w:themeColor="text1"/>
                <w:kern w:val="2"/>
                <w:sz w:val="20"/>
              </w:rPr>
              <w:t>“</w:t>
            </w:r>
            <w:r w:rsidRPr="006F29F5">
              <w:rPr>
                <w:rFonts w:cs="Times New Roman"/>
                <w:color w:val="000000" w:themeColor="text1"/>
                <w:kern w:val="2"/>
                <w:sz w:val="20"/>
              </w:rPr>
              <w:t>reasonable ground to suspect.</w:t>
            </w:r>
            <w:r w:rsidR="00CC1E13" w:rsidRPr="006F29F5">
              <w:rPr>
                <w:rFonts w:cs="Times New Roman"/>
                <w:color w:val="000000" w:themeColor="text1"/>
                <w:kern w:val="2"/>
                <w:sz w:val="20"/>
              </w:rPr>
              <w:t>”</w:t>
            </w:r>
          </w:p>
          <w:p w14:paraId="17A1F003" w14:textId="77777777" w:rsidR="005E060F" w:rsidRPr="006F29F5" w:rsidRDefault="005E060F" w:rsidP="005C787B">
            <w:pPr>
              <w:rPr>
                <w:rFonts w:cs="Times New Roman"/>
                <w:color w:val="000000" w:themeColor="text1"/>
                <w:kern w:val="2"/>
                <w:sz w:val="20"/>
              </w:rPr>
            </w:pPr>
            <w:r w:rsidRPr="006F29F5">
              <w:rPr>
                <w:rFonts w:cs="Times New Roman"/>
                <w:b/>
                <w:color w:val="000000" w:themeColor="text1"/>
                <w:kern w:val="2"/>
                <w:sz w:val="20"/>
              </w:rPr>
              <w:t>Criterion 37.4</w:t>
            </w:r>
            <w:r w:rsidRPr="006F29F5">
              <w:rPr>
                <w:rFonts w:cs="Times New Roman"/>
                <w:color w:val="000000" w:themeColor="text1"/>
                <w:kern w:val="2"/>
                <w:sz w:val="20"/>
              </w:rPr>
              <w:t xml:space="preserve"> – Canada does not impose a restriction on MLA on the grounds that the offense is also considered to involve fiscal matters, nor on the grounds of secrecy or confidentiality requirements on FIs or DNFBPs [Designated Non-Financial Businesses and Professions].</w:t>
            </w:r>
          </w:p>
          <w:p w14:paraId="3A81682D" w14:textId="77777777" w:rsidR="005E060F" w:rsidRPr="006F29F5" w:rsidRDefault="005E060F" w:rsidP="005C787B">
            <w:pPr>
              <w:rPr>
                <w:rFonts w:cs="Times New Roman"/>
                <w:color w:val="000000" w:themeColor="text1"/>
                <w:kern w:val="2"/>
                <w:sz w:val="20"/>
              </w:rPr>
            </w:pPr>
            <w:r w:rsidRPr="006F29F5">
              <w:rPr>
                <w:rFonts w:cs="Times New Roman"/>
                <w:b/>
                <w:color w:val="000000" w:themeColor="text1"/>
                <w:kern w:val="2"/>
                <w:sz w:val="20"/>
              </w:rPr>
              <w:t>Criterion 37.5</w:t>
            </w:r>
            <w:r w:rsidRPr="006F29F5">
              <w:rPr>
                <w:rFonts w:cs="Times New Roman"/>
                <w:color w:val="000000" w:themeColor="text1"/>
                <w:kern w:val="2"/>
                <w:sz w:val="20"/>
              </w:rPr>
              <w:t xml:space="preserve"> – MLACMA, s.22.02 (2) states that the competent authority must apply </w:t>
            </w:r>
            <w:r w:rsidRPr="006F29F5">
              <w:rPr>
                <w:rFonts w:cs="Times New Roman"/>
                <w:i/>
                <w:color w:val="000000" w:themeColor="text1"/>
                <w:kern w:val="2"/>
                <w:sz w:val="20"/>
              </w:rPr>
              <w:t>ex parte</w:t>
            </w:r>
            <w:r w:rsidRPr="006F29F5">
              <w:rPr>
                <w:rFonts w:cs="Times New Roman"/>
                <w:color w:val="000000" w:themeColor="text1"/>
                <w:kern w:val="2"/>
                <w:sz w:val="20"/>
              </w:rPr>
              <w:t xml:space="preserve"> for a production order that was requested in behalf of a state of entity. In addition to that, the international Conventions signed, ratified and implemented by Canada include specific clauses requiring the confidentiality of MLA requests be maintained.</w:t>
            </w:r>
          </w:p>
          <w:p w14:paraId="11864BF6" w14:textId="77777777" w:rsidR="005E060F" w:rsidRPr="006F29F5" w:rsidRDefault="005E060F" w:rsidP="005C787B">
            <w:pPr>
              <w:rPr>
                <w:rFonts w:cs="Times New Roman"/>
                <w:color w:val="000000" w:themeColor="text1"/>
                <w:kern w:val="2"/>
                <w:sz w:val="20"/>
              </w:rPr>
            </w:pPr>
            <w:r w:rsidRPr="006F29F5">
              <w:rPr>
                <w:rFonts w:cs="Times New Roman"/>
                <w:b/>
                <w:color w:val="000000" w:themeColor="text1"/>
                <w:kern w:val="2"/>
                <w:sz w:val="20"/>
              </w:rPr>
              <w:t>Criterion 37.6</w:t>
            </w:r>
            <w:r w:rsidRPr="006F29F5">
              <w:rPr>
                <w:rFonts w:cs="Times New Roman"/>
                <w:color w:val="000000" w:themeColor="text1"/>
                <w:kern w:val="2"/>
                <w:sz w:val="20"/>
              </w:rPr>
              <w:t xml:space="preserve"> – Canada does not require dual criminality to execute MLA requests for non-coercive actions.</w:t>
            </w:r>
          </w:p>
          <w:p w14:paraId="681CC606" w14:textId="77777777" w:rsidR="005E060F" w:rsidRPr="006F29F5" w:rsidRDefault="005E060F" w:rsidP="005C787B">
            <w:pPr>
              <w:rPr>
                <w:rFonts w:cs="Times New Roman"/>
                <w:color w:val="000000" w:themeColor="text1"/>
                <w:kern w:val="2"/>
                <w:sz w:val="20"/>
              </w:rPr>
            </w:pPr>
            <w:r w:rsidRPr="006F29F5">
              <w:rPr>
                <w:rFonts w:cs="Times New Roman"/>
                <w:b/>
                <w:color w:val="000000" w:themeColor="text1"/>
                <w:kern w:val="2"/>
                <w:sz w:val="20"/>
              </w:rPr>
              <w:t>Criterion 37.7</w:t>
            </w:r>
            <w:r w:rsidRPr="006F29F5">
              <w:rPr>
                <w:rFonts w:cs="Times New Roman"/>
                <w:color w:val="000000" w:themeColor="text1"/>
                <w:kern w:val="2"/>
                <w:sz w:val="20"/>
              </w:rPr>
              <w:t xml:space="preserve"> – Dual criminality is required for the enforcement of foreign orders for restraint, seizure and forfeiture or property situated in Canada. MLACMA, ss.9.3 (3) (a) and (b) and 9.4 (1) (3) (5) (a) (b) and (c) allow the Attorney General of Canada to file the order so that it can be entered as a judgment that can be executed anywhere in Canada if the person has been charged with an offense within the jurisdiction of the requesting state, and the offense would be an indictable offense if it were committed in Canada. This applies regardless of the denomination and the category of offenses used.</w:t>
            </w:r>
          </w:p>
          <w:p w14:paraId="32E5D415" w14:textId="77777777" w:rsidR="005E060F" w:rsidRPr="006F29F5" w:rsidRDefault="005E060F" w:rsidP="005C787B">
            <w:pPr>
              <w:rPr>
                <w:rFonts w:cs="Times New Roman"/>
                <w:color w:val="000000" w:themeColor="text1"/>
                <w:kern w:val="2"/>
                <w:sz w:val="20"/>
              </w:rPr>
            </w:pPr>
            <w:r w:rsidRPr="006F29F5">
              <w:rPr>
                <w:rFonts w:cs="Times New Roman"/>
                <w:b/>
                <w:color w:val="000000" w:themeColor="text1"/>
                <w:kern w:val="2"/>
                <w:sz w:val="20"/>
              </w:rPr>
              <w:t>Criterion 37.8</w:t>
            </w:r>
            <w:r w:rsidRPr="006F29F5">
              <w:rPr>
                <w:rFonts w:cs="Times New Roman"/>
                <w:color w:val="000000" w:themeColor="text1"/>
                <w:kern w:val="2"/>
                <w:sz w:val="20"/>
              </w:rPr>
              <w:t xml:space="preserve"> – Most, but not all of the powers and investigative techniques that are at the Canadian LEAs’ [law enforcement agencies’] disposal are made available for use in response to requests for MLA. The relevant powers listed in core issue 37.1 are available to foreign authorities via an MLA request, including the compulsory taking of a witness statement (according to MLACMA, s.18). Search warrants are not possible to obtain via letters </w:t>
            </w:r>
            <w:proofErr w:type="spellStart"/>
            <w:r w:rsidRPr="006F29F5">
              <w:rPr>
                <w:rFonts w:cs="Times New Roman"/>
                <w:color w:val="000000" w:themeColor="text1"/>
                <w:kern w:val="2"/>
                <w:sz w:val="20"/>
              </w:rPr>
              <w:t>rogatory</w:t>
            </w:r>
            <w:proofErr w:type="spellEnd"/>
            <w:r w:rsidRPr="006F29F5">
              <w:rPr>
                <w:rFonts w:cs="Times New Roman"/>
                <w:color w:val="000000" w:themeColor="text1"/>
                <w:kern w:val="2"/>
                <w:sz w:val="20"/>
              </w:rPr>
              <w:t xml:space="preserve">. However, the Minister may approve a request of a state or entity to have a search or a seizure, or to use any device of investigative technique (MLACMA, s.11). The competent authority who is provided with the documents of information shall apply </w:t>
            </w:r>
            <w:r w:rsidRPr="006F29F5">
              <w:rPr>
                <w:rFonts w:cs="Times New Roman"/>
                <w:i/>
                <w:color w:val="000000" w:themeColor="text1"/>
                <w:kern w:val="2"/>
                <w:sz w:val="20"/>
              </w:rPr>
              <w:t>ex parte</w:t>
            </w:r>
            <w:r w:rsidRPr="006F29F5">
              <w:rPr>
                <w:rFonts w:cs="Times New Roman"/>
                <w:color w:val="000000" w:themeColor="text1"/>
                <w:kern w:val="2"/>
                <w:sz w:val="20"/>
              </w:rPr>
              <w:t xml:space="preserve"> for the warrant to a judge of the province in which the competent authority believes evidence may be found. Regarding the investigative techniques under core issue 37.2, undercover operations and controlled delivery are possible through direct assistance between LEAs from the foreign country and Canada. Production orders to trace specified communication, transmission data, tracking data and financial data are possible by approval of the Minister in response to a foreign request. The authorities will not grant interception of communications (either telephone, emails or messaging) solely on the basis of a foreign request (this special investigative technique is not provided for in the MLACMA and will not be provided for in bilateral agreements. According to MLACMA, s.8.1, requests made under an agreement may only relate to the measures provided for in the bilateral agreement). The only possibility to intercept communications is within a Canadian investigation in the case of organized crime, or a terrorism offense, which would require that the criminal conduct occurred, at least in part, in Canadian territory (including a conspiracy to commit an offense abroad). Foreign orders for restraint, seizure and confiscation can be directly enforced by the Attorney General before a superior court, as if it were a Canadian judicial order.</w:t>
            </w:r>
          </w:p>
          <w:p w14:paraId="360605CB" w14:textId="77777777" w:rsidR="005E060F" w:rsidRPr="006F29F5" w:rsidRDefault="005E060F" w:rsidP="005C787B">
            <w:pPr>
              <w:rPr>
                <w:rFonts w:cs="Times New Roman"/>
                <w:i/>
                <w:color w:val="000000" w:themeColor="text1"/>
                <w:kern w:val="2"/>
                <w:sz w:val="20"/>
              </w:rPr>
            </w:pPr>
            <w:r w:rsidRPr="006F29F5">
              <w:rPr>
                <w:rFonts w:cs="Times New Roman"/>
                <w:i/>
                <w:color w:val="000000" w:themeColor="text1"/>
                <w:kern w:val="2"/>
                <w:sz w:val="20"/>
              </w:rPr>
              <w:t>Weighting and Conclusion</w:t>
            </w:r>
          </w:p>
          <w:p w14:paraId="20190042" w14:textId="77777777" w:rsidR="005E060F" w:rsidRPr="006F29F5" w:rsidRDefault="005E060F" w:rsidP="005C787B">
            <w:pPr>
              <w:rPr>
                <w:rFonts w:cs="Times New Roman"/>
                <w:color w:val="000000" w:themeColor="text1"/>
                <w:kern w:val="2"/>
                <w:sz w:val="20"/>
              </w:rPr>
            </w:pPr>
            <w:r w:rsidRPr="006F29F5">
              <w:rPr>
                <w:rFonts w:cs="Times New Roman"/>
                <w:color w:val="000000" w:themeColor="text1"/>
                <w:kern w:val="2"/>
                <w:sz w:val="20"/>
              </w:rPr>
              <w:t>The range of investigative measures available is insufficient.</w:t>
            </w:r>
          </w:p>
          <w:p w14:paraId="7A2BB0B3" w14:textId="77777777" w:rsidR="005E060F" w:rsidRPr="006F29F5" w:rsidRDefault="005E060F" w:rsidP="005C787B">
            <w:pPr>
              <w:rPr>
                <w:rFonts w:cs="Times New Roman"/>
                <w:b/>
                <w:color w:val="000000" w:themeColor="text1"/>
                <w:kern w:val="2"/>
                <w:sz w:val="20"/>
              </w:rPr>
            </w:pPr>
            <w:r w:rsidRPr="006F29F5">
              <w:rPr>
                <w:rFonts w:cs="Times New Roman"/>
                <w:b/>
                <w:color w:val="000000" w:themeColor="text1"/>
                <w:kern w:val="2"/>
                <w:sz w:val="20"/>
              </w:rPr>
              <w:t>Canada is largely compliant with R.37.</w:t>
            </w:r>
          </w:p>
          <w:p w14:paraId="7926C33A" w14:textId="77777777" w:rsidR="005E060F" w:rsidRPr="006F29F5" w:rsidRDefault="005E060F" w:rsidP="005C787B">
            <w:pPr>
              <w:rPr>
                <w:rFonts w:cs="Times New Roman"/>
                <w:b/>
                <w:i/>
                <w:color w:val="000000" w:themeColor="text1"/>
                <w:kern w:val="2"/>
                <w:sz w:val="20"/>
              </w:rPr>
            </w:pPr>
            <w:r w:rsidRPr="006F29F5">
              <w:rPr>
                <w:rFonts w:cs="Times New Roman"/>
                <w:b/>
                <w:i/>
                <w:color w:val="000000" w:themeColor="text1"/>
                <w:kern w:val="2"/>
                <w:sz w:val="20"/>
              </w:rPr>
              <w:t>Recommendation 38 – Mutual legal assistance: freezing and confiscation</w:t>
            </w:r>
          </w:p>
          <w:p w14:paraId="5F1C802E" w14:textId="77777777" w:rsidR="005E060F" w:rsidRPr="006F29F5" w:rsidRDefault="005E060F" w:rsidP="005C787B">
            <w:pPr>
              <w:rPr>
                <w:rFonts w:cs="Times New Roman"/>
                <w:color w:val="000000" w:themeColor="text1"/>
                <w:kern w:val="2"/>
                <w:sz w:val="20"/>
              </w:rPr>
            </w:pPr>
            <w:r w:rsidRPr="006F29F5">
              <w:rPr>
                <w:rFonts w:cs="Times New Roman"/>
                <w:color w:val="000000" w:themeColor="text1"/>
                <w:kern w:val="2"/>
                <w:sz w:val="20"/>
              </w:rPr>
              <w:t>Canada was rated LC with R.38 in the 2008 MER due to the limited evidence of effective confiscation assistance, the rare occurrence of sharing of assets and the fact that Canada executed requests to enforce corresponding value judgments as fines. The framework remains the same.</w:t>
            </w:r>
          </w:p>
          <w:p w14:paraId="636E4524" w14:textId="77777777" w:rsidR="005E060F" w:rsidRPr="006F29F5" w:rsidRDefault="005E060F" w:rsidP="005C787B">
            <w:pPr>
              <w:rPr>
                <w:rFonts w:cs="Times New Roman"/>
                <w:color w:val="000000" w:themeColor="text1"/>
                <w:kern w:val="2"/>
                <w:sz w:val="20"/>
              </w:rPr>
            </w:pPr>
            <w:r w:rsidRPr="006F29F5">
              <w:rPr>
                <w:rFonts w:cs="Times New Roman"/>
                <w:b/>
                <w:color w:val="000000" w:themeColor="text1"/>
                <w:kern w:val="2"/>
                <w:sz w:val="20"/>
              </w:rPr>
              <w:t>Criterion 38.1</w:t>
            </w:r>
            <w:r w:rsidRPr="006F29F5">
              <w:rPr>
                <w:rFonts w:cs="Times New Roman"/>
                <w:color w:val="000000" w:themeColor="text1"/>
                <w:kern w:val="2"/>
                <w:sz w:val="20"/>
              </w:rPr>
              <w:t xml:space="preserve"> – Canada has the authority to take expeditious action in response to requests by foreign countries to identify, freeze, seize or confiscate laundered property and proceeds from crime (MLACMA, ss.9.3, 9.4 and CC, ss.462.32, 462.33), and instrumentalities used in or intended for use in ML [money laundering], predicate offenses or TF [terrorist financing]. There is, however, no legal basis for the confiscation of property of corresponding value. As was the case during its previous assessment, Canada still treats value-based forfeiture judgement as fines, which has limitations and cannot be executed against the property. If the fine is not paid, it can be converted into a prison sentence. Regarding the identification of financial assets new CC, s.487.018 allows the production of financial registration data in response to requests from foreign states.</w:t>
            </w:r>
          </w:p>
          <w:p w14:paraId="185F6D84" w14:textId="7A4F6778" w:rsidR="005E060F" w:rsidRPr="006F29F5" w:rsidRDefault="005E060F" w:rsidP="005C787B">
            <w:pPr>
              <w:rPr>
                <w:rFonts w:cs="Times New Roman"/>
                <w:color w:val="000000" w:themeColor="text1"/>
                <w:kern w:val="2"/>
                <w:sz w:val="20"/>
              </w:rPr>
            </w:pPr>
            <w:r w:rsidRPr="006F29F5">
              <w:rPr>
                <w:rFonts w:cs="Times New Roman"/>
                <w:b/>
                <w:color w:val="000000" w:themeColor="text1"/>
                <w:kern w:val="2"/>
                <w:sz w:val="20"/>
              </w:rPr>
              <w:t>Criterion 38.2</w:t>
            </w:r>
            <w:r w:rsidRPr="006F29F5">
              <w:rPr>
                <w:rFonts w:cs="Times New Roman"/>
                <w:color w:val="000000" w:themeColor="text1"/>
                <w:kern w:val="2"/>
                <w:sz w:val="20"/>
              </w:rPr>
              <w:t xml:space="preserve"> – In Canada, MLA is based on the federal power in relation to criminal law. Therefore, the enforcement of some foreign non-conviction based confiscation orders is not possible under the MLACMA because they were not issued by a </w:t>
            </w:r>
            <w:r w:rsidR="00CC1E13" w:rsidRPr="006F29F5">
              <w:rPr>
                <w:rFonts w:cs="Times New Roman"/>
                <w:color w:val="000000" w:themeColor="text1"/>
                <w:kern w:val="2"/>
                <w:sz w:val="20"/>
              </w:rPr>
              <w:t>“</w:t>
            </w:r>
            <w:r w:rsidRPr="006F29F5">
              <w:rPr>
                <w:rFonts w:cs="Times New Roman"/>
                <w:color w:val="000000" w:themeColor="text1"/>
                <w:kern w:val="2"/>
                <w:sz w:val="20"/>
              </w:rPr>
              <w:t>court of criminal jurisdiction.</w:t>
            </w:r>
            <w:r w:rsidR="00CC1E13" w:rsidRPr="006F29F5">
              <w:rPr>
                <w:rFonts w:cs="Times New Roman"/>
                <w:color w:val="000000" w:themeColor="text1"/>
                <w:kern w:val="2"/>
                <w:sz w:val="20"/>
              </w:rPr>
              <w:t>”</w:t>
            </w:r>
            <w:r w:rsidRPr="006F29F5">
              <w:rPr>
                <w:rFonts w:cs="Times New Roman"/>
                <w:color w:val="000000" w:themeColor="text1"/>
                <w:kern w:val="2"/>
                <w:sz w:val="20"/>
              </w:rPr>
              <w:t xml:space="preserve"> However, in cases where the accused has died or absconded before the end of the foreign criminal proceedings, the MLACMA applies because the matter would still be criminal in nature. Due to Canada’s constitutional division of powers, the Government of Canada cannot respond to a request for civil forfeiture as such requests fall within the jurisdiction of Canada’s provinces. However, most of the Canadian provinces have already adopted legislation on a civil confiscation regime. Even if Canada is not able to provide assistance to requests for cooperation based on NCB proceedings, non-conviction based confiscation is possible under Canadian law. Should a foreign state seek to recover assets from Canada though NCB asset forfeiture, it must hire private counsel to act on its behalf in the province where the property or asset is </w:t>
            </w:r>
            <w:proofErr w:type="gramStart"/>
            <w:r w:rsidRPr="006F29F5">
              <w:rPr>
                <w:rFonts w:cs="Times New Roman"/>
                <w:color w:val="000000" w:themeColor="text1"/>
                <w:kern w:val="2"/>
                <w:sz w:val="20"/>
              </w:rPr>
              <w:t>located.</w:t>
            </w:r>
            <w:proofErr w:type="gramEnd"/>
          </w:p>
          <w:p w14:paraId="1FF928F6" w14:textId="77777777" w:rsidR="005E060F" w:rsidRPr="006F29F5" w:rsidRDefault="005E060F" w:rsidP="005C787B">
            <w:pPr>
              <w:rPr>
                <w:rFonts w:cs="Times New Roman"/>
                <w:color w:val="000000" w:themeColor="text1"/>
                <w:kern w:val="2"/>
                <w:sz w:val="20"/>
              </w:rPr>
            </w:pPr>
            <w:r w:rsidRPr="006F29F5">
              <w:rPr>
                <w:rFonts w:cs="Times New Roman"/>
                <w:b/>
                <w:color w:val="000000" w:themeColor="text1"/>
                <w:kern w:val="2"/>
                <w:sz w:val="20"/>
              </w:rPr>
              <w:t>Criterion 38.3</w:t>
            </w:r>
            <w:r w:rsidRPr="006F29F5">
              <w:rPr>
                <w:rFonts w:cs="Times New Roman"/>
                <w:color w:val="000000" w:themeColor="text1"/>
                <w:kern w:val="2"/>
                <w:sz w:val="20"/>
              </w:rPr>
              <w:t xml:space="preserve"> – a) No particular legal basis is required in Canada for the coordination of seizure and confiscation actions. It is a matter primarily for national and foreign police authorities at the stage of seizure. Thus, via direct police-to-police contact, arrangements are made in relation to any relevant case.</w:t>
            </w:r>
          </w:p>
          <w:p w14:paraId="34A52E33" w14:textId="77777777" w:rsidR="005E060F" w:rsidRPr="006F29F5" w:rsidRDefault="005E060F" w:rsidP="005C787B">
            <w:pPr>
              <w:rPr>
                <w:rFonts w:cs="Times New Roman"/>
                <w:color w:val="000000" w:themeColor="text1"/>
                <w:kern w:val="2"/>
                <w:sz w:val="20"/>
              </w:rPr>
            </w:pPr>
            <w:r w:rsidRPr="006F29F5">
              <w:rPr>
                <w:rFonts w:cs="Times New Roman"/>
                <w:color w:val="000000" w:themeColor="text1"/>
                <w:kern w:val="2"/>
                <w:sz w:val="20"/>
              </w:rPr>
              <w:t>b) The Seized Property Management Act sets out the mechanisms for the management and, when necessary, the disposition of property restrained, seized and forfeited. The Minister of Public Works and Government Services is responsible for the custody and management of all property seized at the federal level. The Minister may make an interlocutory sale of the property that is perishable or rapidly depreciating, or destroy property that has little or no value. Property seized in the provincial level is managed by the provincial prosecution services.</w:t>
            </w:r>
          </w:p>
          <w:p w14:paraId="3FEA2348" w14:textId="77777777" w:rsidR="005E060F" w:rsidRPr="006F29F5" w:rsidRDefault="005E060F" w:rsidP="005C787B">
            <w:pPr>
              <w:rPr>
                <w:rFonts w:cs="Times New Roman"/>
                <w:color w:val="000000" w:themeColor="text1"/>
                <w:kern w:val="2"/>
                <w:sz w:val="20"/>
              </w:rPr>
            </w:pPr>
            <w:r w:rsidRPr="006F29F5">
              <w:rPr>
                <w:rFonts w:cs="Times New Roman"/>
                <w:b/>
                <w:color w:val="000000" w:themeColor="text1"/>
                <w:kern w:val="2"/>
                <w:sz w:val="20"/>
              </w:rPr>
              <w:t>Criterion 38.4</w:t>
            </w:r>
            <w:r w:rsidRPr="006F29F5">
              <w:rPr>
                <w:rFonts w:cs="Times New Roman"/>
                <w:color w:val="000000" w:themeColor="text1"/>
                <w:kern w:val="2"/>
                <w:sz w:val="20"/>
              </w:rPr>
              <w:t xml:space="preserve"> – Canada shares confiscated property on a mutual agreement basis, under the Seized Property Management Act, s.11. Canada has 19 bilateral treaties regarding the sharing and transfer of forfeited or confiscated assets and equivalent funds.</w:t>
            </w:r>
          </w:p>
          <w:p w14:paraId="1458694F" w14:textId="77777777" w:rsidR="005E060F" w:rsidRPr="006F29F5" w:rsidRDefault="005E060F" w:rsidP="005C787B">
            <w:pPr>
              <w:rPr>
                <w:rFonts w:cs="Times New Roman"/>
                <w:i/>
                <w:color w:val="000000" w:themeColor="text1"/>
                <w:kern w:val="2"/>
                <w:sz w:val="20"/>
              </w:rPr>
            </w:pPr>
            <w:r w:rsidRPr="006F29F5">
              <w:rPr>
                <w:rFonts w:cs="Times New Roman"/>
                <w:i/>
                <w:color w:val="000000" w:themeColor="text1"/>
                <w:kern w:val="2"/>
                <w:sz w:val="20"/>
              </w:rPr>
              <w:t>Weighting and Conclusion</w:t>
            </w:r>
          </w:p>
          <w:p w14:paraId="1ECCC19C" w14:textId="77777777" w:rsidR="005E060F" w:rsidRPr="006F29F5" w:rsidRDefault="005E060F" w:rsidP="005C787B">
            <w:pPr>
              <w:rPr>
                <w:rFonts w:cs="Times New Roman"/>
                <w:color w:val="000000" w:themeColor="text1"/>
                <w:kern w:val="2"/>
                <w:sz w:val="20"/>
              </w:rPr>
            </w:pPr>
            <w:r w:rsidRPr="006F29F5">
              <w:rPr>
                <w:rFonts w:cs="Times New Roman"/>
                <w:color w:val="000000" w:themeColor="text1"/>
                <w:kern w:val="2"/>
                <w:sz w:val="20"/>
              </w:rPr>
              <w:t>The seizure and confiscation regime has a deficiency, which is the impossibility of confiscation of equivalent value.</w:t>
            </w:r>
          </w:p>
          <w:p w14:paraId="302C4335" w14:textId="593595AA" w:rsidR="005E060F" w:rsidRPr="006F29F5" w:rsidRDefault="005E060F" w:rsidP="005C787B">
            <w:pPr>
              <w:rPr>
                <w:rFonts w:cs="Times New Roman"/>
                <w:b/>
                <w:color w:val="000000" w:themeColor="text1"/>
                <w:kern w:val="2"/>
                <w:sz w:val="20"/>
              </w:rPr>
            </w:pPr>
            <w:r w:rsidRPr="006F29F5">
              <w:rPr>
                <w:rFonts w:cs="Times New Roman"/>
                <w:b/>
                <w:color w:val="000000" w:themeColor="text1"/>
                <w:kern w:val="2"/>
                <w:sz w:val="20"/>
              </w:rPr>
              <w:t>Canada is largely compliant with R.38.</w:t>
            </w:r>
            <w:r w:rsidR="00153316" w:rsidRPr="006F29F5">
              <w:rPr>
                <w:rStyle w:val="FootnoteReference"/>
                <w:rFonts w:cs="Times New Roman"/>
                <w:color w:val="000000" w:themeColor="text1"/>
                <w:kern w:val="2"/>
                <w:sz w:val="20"/>
              </w:rPr>
              <w:footnoteReference w:id="293"/>
            </w:r>
          </w:p>
          <w:p w14:paraId="14D9C3D3" w14:textId="2D1B114F" w:rsidR="005E060F" w:rsidRPr="006F29F5" w:rsidRDefault="005E060F" w:rsidP="005C787B">
            <w:pPr>
              <w:pStyle w:val="ExcerptMarker"/>
              <w:spacing w:after="0"/>
              <w:rPr>
                <w:color w:val="000000" w:themeColor="text1"/>
                <w:kern w:val="2"/>
                <w:sz w:val="16"/>
              </w:rPr>
            </w:pPr>
            <w:r w:rsidRPr="006F29F5">
              <w:rPr>
                <w:kern w:val="2"/>
                <w:sz w:val="16"/>
              </w:rPr>
              <w:t>End of Excerpt</w:t>
            </w:r>
          </w:p>
        </w:tc>
      </w:tr>
    </w:tbl>
    <w:p w14:paraId="25F9801A" w14:textId="77777777" w:rsidR="00BF1B9E" w:rsidRPr="006F29F5" w:rsidRDefault="00BF1B9E" w:rsidP="00767B81">
      <w:pPr>
        <w:spacing w:before="0" w:after="0"/>
        <w:rPr>
          <w:b/>
          <w:kern w:val="2"/>
          <w:sz w:val="20"/>
        </w:rPr>
      </w:pPr>
    </w:p>
    <w:tbl>
      <w:tblPr>
        <w:tblStyle w:val="TableGrid"/>
        <w:tblpPr w:leftFromText="180" w:rightFromText="180" w:vertAnchor="text" w:horzAnchor="margin" w:tblpY="82"/>
        <w:tblW w:w="0" w:type="auto"/>
        <w:tblCellMar>
          <w:top w:w="142" w:type="dxa"/>
          <w:left w:w="284" w:type="dxa"/>
          <w:bottom w:w="142" w:type="dxa"/>
          <w:right w:w="284" w:type="dxa"/>
        </w:tblCellMar>
        <w:tblLook w:val="04A0" w:firstRow="1" w:lastRow="0" w:firstColumn="1" w:lastColumn="0" w:noHBand="0" w:noVBand="1"/>
      </w:tblPr>
      <w:tblGrid>
        <w:gridCol w:w="8070"/>
      </w:tblGrid>
      <w:tr w:rsidR="003608D2" w:rsidRPr="006F29F5" w14:paraId="727703FB" w14:textId="77777777" w:rsidTr="003608D2">
        <w:tc>
          <w:tcPr>
            <w:tcW w:w="9350" w:type="dxa"/>
          </w:tcPr>
          <w:p w14:paraId="48B7AB7E" w14:textId="77777777" w:rsidR="003608D2" w:rsidRPr="006F29F5" w:rsidRDefault="003608D2" w:rsidP="0006005A">
            <w:pPr>
              <w:keepNext/>
              <w:spacing w:before="120"/>
              <w:rPr>
                <w:b/>
                <w:kern w:val="2"/>
              </w:rPr>
            </w:pPr>
            <w:r w:rsidRPr="006F29F5">
              <w:rPr>
                <w:b/>
                <w:kern w:val="2"/>
                <w:sz w:val="20"/>
              </w:rPr>
              <w:t>Further Reading</w:t>
            </w:r>
          </w:p>
          <w:p w14:paraId="493ADE82" w14:textId="77777777" w:rsidR="003608D2" w:rsidRPr="006F29F5" w:rsidRDefault="003608D2" w:rsidP="003608D2">
            <w:pPr>
              <w:spacing w:before="120" w:after="120"/>
              <w:rPr>
                <w:rFonts w:cs="Times New Roman"/>
                <w:kern w:val="2"/>
                <w:sz w:val="20"/>
              </w:rPr>
            </w:pPr>
            <w:r w:rsidRPr="006F29F5">
              <w:rPr>
                <w:rFonts w:cs="Times New Roman"/>
                <w:kern w:val="2"/>
                <w:sz w:val="20"/>
              </w:rPr>
              <w:t xml:space="preserve">For more on the law of MLA in Canada, see Robert J Currie and </w:t>
            </w:r>
            <w:proofErr w:type="spellStart"/>
            <w:r w:rsidRPr="006F29F5">
              <w:rPr>
                <w:rFonts w:cs="Times New Roman"/>
                <w:kern w:val="2"/>
                <w:sz w:val="20"/>
              </w:rPr>
              <w:t>Dr</w:t>
            </w:r>
            <w:proofErr w:type="spellEnd"/>
            <w:r w:rsidRPr="006F29F5">
              <w:rPr>
                <w:rFonts w:cs="Times New Roman"/>
                <w:kern w:val="2"/>
                <w:sz w:val="20"/>
              </w:rPr>
              <w:t xml:space="preserve"> Joseph </w:t>
            </w:r>
            <w:proofErr w:type="spellStart"/>
            <w:r w:rsidRPr="006F29F5">
              <w:rPr>
                <w:rFonts w:cs="Times New Roman"/>
                <w:kern w:val="2"/>
                <w:sz w:val="20"/>
              </w:rPr>
              <w:t>Rikhof</w:t>
            </w:r>
            <w:proofErr w:type="spellEnd"/>
            <w:r w:rsidRPr="006F29F5">
              <w:rPr>
                <w:rFonts w:cs="Times New Roman"/>
                <w:kern w:val="2"/>
                <w:sz w:val="20"/>
              </w:rPr>
              <w:t xml:space="preserve">, </w:t>
            </w:r>
            <w:r w:rsidRPr="006F29F5">
              <w:rPr>
                <w:rFonts w:cs="Times New Roman"/>
                <w:i/>
                <w:kern w:val="2"/>
                <w:sz w:val="20"/>
              </w:rPr>
              <w:t>International &amp; Transnational Criminal Law</w:t>
            </w:r>
            <w:r w:rsidRPr="006F29F5">
              <w:rPr>
                <w:rFonts w:cs="Times New Roman"/>
                <w:kern w:val="2"/>
                <w:sz w:val="20"/>
              </w:rPr>
              <w:t>, 2</w:t>
            </w:r>
            <w:r w:rsidRPr="006F29F5">
              <w:rPr>
                <w:rFonts w:cs="Times New Roman"/>
                <w:kern w:val="2"/>
                <w:sz w:val="20"/>
                <w:vertAlign w:val="superscript"/>
              </w:rPr>
              <w:t>nd</w:t>
            </w:r>
            <w:r w:rsidRPr="006F29F5">
              <w:rPr>
                <w:rFonts w:cs="Times New Roman"/>
                <w:kern w:val="2"/>
                <w:sz w:val="20"/>
              </w:rPr>
              <w:t xml:space="preserve"> </w:t>
            </w:r>
            <w:proofErr w:type="spellStart"/>
            <w:r w:rsidRPr="006F29F5">
              <w:rPr>
                <w:rFonts w:cs="Times New Roman"/>
                <w:kern w:val="2"/>
                <w:sz w:val="20"/>
              </w:rPr>
              <w:t>ed</w:t>
            </w:r>
            <w:proofErr w:type="spellEnd"/>
            <w:r w:rsidRPr="006F29F5">
              <w:rPr>
                <w:rFonts w:cs="Times New Roman"/>
                <w:kern w:val="2"/>
                <w:sz w:val="20"/>
              </w:rPr>
              <w:t xml:space="preserve"> (Irwin Law, 2013).</w:t>
            </w:r>
          </w:p>
        </w:tc>
      </w:tr>
    </w:tbl>
    <w:p w14:paraId="5E5DDEE1" w14:textId="7F634812" w:rsidR="00F81C2C" w:rsidRPr="006F29F5" w:rsidRDefault="00F81C2C" w:rsidP="002200EF">
      <w:pPr>
        <w:pStyle w:val="Heading2"/>
        <w:rPr>
          <w:kern w:val="2"/>
          <w:sz w:val="24"/>
        </w:rPr>
      </w:pPr>
      <w:bookmarkStart w:id="89" w:name="_Toc287778587"/>
      <w:bookmarkStart w:id="90" w:name="_Toc291766631"/>
      <w:bookmarkStart w:id="91" w:name="_Toc420329396"/>
      <w:bookmarkStart w:id="92" w:name="_Toc489962009"/>
      <w:r w:rsidRPr="006F29F5">
        <w:rPr>
          <w:kern w:val="2"/>
          <w:sz w:val="24"/>
        </w:rPr>
        <w:t>Request Process for Asia-Pacific Countries</w:t>
      </w:r>
      <w:bookmarkEnd w:id="89"/>
      <w:bookmarkEnd w:id="90"/>
      <w:bookmarkEnd w:id="91"/>
      <w:bookmarkEnd w:id="92"/>
    </w:p>
    <w:p w14:paraId="5CA97A7A" w14:textId="469EF65E" w:rsidR="00995FFD" w:rsidRPr="006F29F5" w:rsidRDefault="00F46B6E" w:rsidP="00995FFD">
      <w:pPr>
        <w:rPr>
          <w:kern w:val="2"/>
          <w:sz w:val="20"/>
        </w:rPr>
      </w:pPr>
      <w:r w:rsidRPr="006F29F5">
        <w:rPr>
          <w:kern w:val="2"/>
          <w:sz w:val="20"/>
        </w:rPr>
        <w:t>Many Asia and Pacific countries experience significant challenges in making MLA requests to other countries and responding to MLA requests that they receive from other countries. In 1999, some jurisdictions in the Asia-Pacific region began cooperating with each other through the ADB/OECD Anti-Corruption Initiative for Asia and the Pacific. As of 2017, there are now 31 members of the initiative who act in regional cooperation. In 2005, the Initiative identified ineffective MLA systems as a serious obstacle to fighting corruption. In 2007, the ADB and OECD published a detailed Report on the problems and suggestions for improvement. That Report has now been followed up by a 2017 ADB/OECD report entitled “Mutual Legal Assistance in Asia and the Pacific: Experiences in 31 Jurisdictions.”</w:t>
      </w:r>
      <w:r w:rsidRPr="006F29F5">
        <w:rPr>
          <w:rStyle w:val="FootnoteReference"/>
          <w:kern w:val="2"/>
          <w:sz w:val="20"/>
        </w:rPr>
        <w:footnoteReference w:id="294"/>
      </w:r>
      <w:r w:rsidRPr="006F29F5">
        <w:rPr>
          <w:kern w:val="2"/>
          <w:sz w:val="20"/>
        </w:rPr>
        <w:t xml:space="preserve"> This Report focuses on common challenges, best practices, and practical tools. Annex B of the Report also provides statistical data from each country on MLA requests made, received, and rendered.</w:t>
      </w:r>
    </w:p>
    <w:tbl>
      <w:tblPr>
        <w:tblStyle w:val="TableGrid"/>
        <w:tblW w:w="0" w:type="auto"/>
        <w:jc w:val="center"/>
        <w:tblCellMar>
          <w:top w:w="142" w:type="dxa"/>
          <w:left w:w="284" w:type="dxa"/>
          <w:bottom w:w="142" w:type="dxa"/>
          <w:right w:w="284" w:type="dxa"/>
        </w:tblCellMar>
        <w:tblLook w:val="04A0" w:firstRow="1" w:lastRow="0" w:firstColumn="1" w:lastColumn="0" w:noHBand="0" w:noVBand="1"/>
      </w:tblPr>
      <w:tblGrid>
        <w:gridCol w:w="8070"/>
      </w:tblGrid>
      <w:tr w:rsidR="00995FFD" w:rsidRPr="006F29F5" w14:paraId="3DE90486" w14:textId="77777777" w:rsidTr="00995FFD">
        <w:trPr>
          <w:jc w:val="center"/>
        </w:trPr>
        <w:tc>
          <w:tcPr>
            <w:tcW w:w="9350" w:type="dxa"/>
          </w:tcPr>
          <w:p w14:paraId="4AA0F0F2" w14:textId="77777777" w:rsidR="00995FFD" w:rsidRPr="006F29F5" w:rsidRDefault="00995FFD" w:rsidP="0006005A">
            <w:pPr>
              <w:spacing w:before="120"/>
              <w:rPr>
                <w:rFonts w:cs="Times New Roman"/>
                <w:b/>
                <w:kern w:val="2"/>
                <w:sz w:val="20"/>
              </w:rPr>
            </w:pPr>
            <w:r w:rsidRPr="006F29F5">
              <w:rPr>
                <w:rFonts w:cs="Times New Roman"/>
                <w:b/>
                <w:kern w:val="2"/>
                <w:sz w:val="20"/>
              </w:rPr>
              <w:t>Further Reading</w:t>
            </w:r>
          </w:p>
          <w:p w14:paraId="092CCA51" w14:textId="77777777" w:rsidR="0006005A" w:rsidRPr="006F29F5" w:rsidRDefault="00995FFD" w:rsidP="0006005A">
            <w:pPr>
              <w:spacing w:before="60" w:after="0"/>
              <w:rPr>
                <w:rFonts w:cs="Times New Roman"/>
                <w:kern w:val="2"/>
                <w:sz w:val="20"/>
              </w:rPr>
            </w:pPr>
            <w:r w:rsidRPr="006F29F5">
              <w:rPr>
                <w:rFonts w:cs="Times New Roman"/>
                <w:kern w:val="2"/>
                <w:sz w:val="20"/>
              </w:rPr>
              <w:t xml:space="preserve">For a detailed account of mutual legal assistance requests in Asia-Pacific countries, see </w:t>
            </w:r>
            <w:r w:rsidR="00CC1E13" w:rsidRPr="006F29F5">
              <w:rPr>
                <w:rFonts w:cs="Times New Roman"/>
                <w:kern w:val="2"/>
                <w:sz w:val="20"/>
              </w:rPr>
              <w:t>“</w:t>
            </w:r>
            <w:r w:rsidRPr="006F29F5">
              <w:rPr>
                <w:rFonts w:cs="Times New Roman"/>
                <w:kern w:val="2"/>
                <w:sz w:val="20"/>
              </w:rPr>
              <w:t>Mutual Legal Assistance, Extradition and Recovery of Proceeds of Corruption in Asia and the Pacific</w:t>
            </w:r>
            <w:r w:rsidR="00CC1E13" w:rsidRPr="006F29F5">
              <w:rPr>
                <w:rFonts w:cs="Times New Roman"/>
                <w:kern w:val="2"/>
                <w:sz w:val="20"/>
              </w:rPr>
              <w:t>”</w:t>
            </w:r>
            <w:r w:rsidRPr="006F29F5">
              <w:rPr>
                <w:rFonts w:cs="Times New Roman"/>
                <w:kern w:val="2"/>
                <w:sz w:val="20"/>
              </w:rPr>
              <w:t xml:space="preserve"> (Asian Development Bank/OECD Anti-Corruption Initiative for Asia and the Pacific, 2007) at 61–72, online: </w:t>
            </w:r>
          </w:p>
          <w:p w14:paraId="1B48479D" w14:textId="165A33BC" w:rsidR="00995FFD" w:rsidRPr="006F29F5" w:rsidRDefault="00995FFD" w:rsidP="0006005A">
            <w:pPr>
              <w:spacing w:before="0"/>
              <w:rPr>
                <w:rFonts w:cs="Times New Roman"/>
                <w:kern w:val="2"/>
                <w:sz w:val="20"/>
              </w:rPr>
            </w:pPr>
            <w:r w:rsidRPr="006F29F5">
              <w:rPr>
                <w:rFonts w:cs="Times New Roman"/>
                <w:kern w:val="2"/>
                <w:sz w:val="20"/>
              </w:rPr>
              <w:t>&lt;</w:t>
            </w:r>
            <w:hyperlink r:id="rId39" w:history="1">
              <w:r w:rsidRPr="006F29F5">
                <w:rPr>
                  <w:rStyle w:val="Hyperlink"/>
                  <w:rFonts w:cs="Times New Roman"/>
                  <w:kern w:val="2"/>
                  <w:sz w:val="20"/>
                </w:rPr>
                <w:t>http://www.oecd.org/site/adboecdanti-corruptioninitiative/37900503.pdf</w:t>
              </w:r>
            </w:hyperlink>
            <w:r w:rsidRPr="006F29F5">
              <w:rPr>
                <w:rFonts w:cs="Times New Roman"/>
                <w:kern w:val="2"/>
                <w:sz w:val="20"/>
              </w:rPr>
              <w:t xml:space="preserve">&gt;. </w:t>
            </w:r>
          </w:p>
          <w:p w14:paraId="1D7F7084" w14:textId="77777777" w:rsidR="0006005A" w:rsidRPr="006F29F5" w:rsidRDefault="00995FFD" w:rsidP="0006005A">
            <w:pPr>
              <w:spacing w:after="0"/>
              <w:rPr>
                <w:rFonts w:eastAsia="Times New Roman" w:cs="Times New Roman"/>
                <w:kern w:val="2"/>
                <w:sz w:val="20"/>
              </w:rPr>
            </w:pPr>
            <w:r w:rsidRPr="006F29F5">
              <w:rPr>
                <w:rFonts w:cs="Times New Roman"/>
                <w:kern w:val="2"/>
                <w:sz w:val="20"/>
              </w:rPr>
              <w:t xml:space="preserve">For more on the request process in Hong Kong, see Wayne Patrick Walsh, </w:t>
            </w:r>
            <w:r w:rsidR="00CC1E13" w:rsidRPr="006F29F5">
              <w:rPr>
                <w:rFonts w:cs="Times New Roman"/>
                <w:kern w:val="2"/>
                <w:sz w:val="20"/>
              </w:rPr>
              <w:t>“</w:t>
            </w:r>
            <w:r w:rsidRPr="006F29F5">
              <w:rPr>
                <w:rFonts w:cs="Times New Roman"/>
                <w:kern w:val="2"/>
                <w:sz w:val="20"/>
              </w:rPr>
              <w:t>Processing Requests for International Recovery of Ill-Gotten Assets in Hong Kong, China</w:t>
            </w:r>
            <w:r w:rsidR="00CC1E13" w:rsidRPr="006F29F5">
              <w:rPr>
                <w:rFonts w:cs="Times New Roman"/>
                <w:kern w:val="2"/>
                <w:sz w:val="20"/>
              </w:rPr>
              <w:t>”</w:t>
            </w:r>
            <w:r w:rsidRPr="006F29F5">
              <w:rPr>
                <w:rFonts w:cs="Times New Roman"/>
                <w:kern w:val="2"/>
                <w:sz w:val="20"/>
              </w:rPr>
              <w:t xml:space="preserve"> </w:t>
            </w:r>
            <w:r w:rsidRPr="006F29F5">
              <w:rPr>
                <w:rFonts w:eastAsia="Times New Roman" w:cs="Times New Roman"/>
                <w:kern w:val="2"/>
                <w:sz w:val="20"/>
              </w:rPr>
              <w:t xml:space="preserve">UNAFEI Resource Materials Series No 83 (UNAFEI, 2011), online: </w:t>
            </w:r>
          </w:p>
          <w:p w14:paraId="5F5AEAA7" w14:textId="3D0C3ACA" w:rsidR="00995FFD" w:rsidRPr="006F29F5" w:rsidRDefault="00995FFD" w:rsidP="0006005A">
            <w:pPr>
              <w:spacing w:before="0"/>
              <w:rPr>
                <w:rFonts w:cs="Times New Roman"/>
                <w:kern w:val="2"/>
                <w:sz w:val="20"/>
              </w:rPr>
            </w:pPr>
            <w:r w:rsidRPr="006F29F5">
              <w:rPr>
                <w:rFonts w:eastAsia="Times New Roman" w:cs="Times New Roman"/>
                <w:kern w:val="2"/>
                <w:sz w:val="20"/>
              </w:rPr>
              <w:t>&lt;</w:t>
            </w:r>
            <w:hyperlink r:id="rId40" w:history="1">
              <w:r w:rsidRPr="006F29F5">
                <w:rPr>
                  <w:rStyle w:val="Hyperlink"/>
                  <w:rFonts w:eastAsia="Times New Roman" w:cs="Times New Roman"/>
                  <w:kern w:val="2"/>
                  <w:sz w:val="20"/>
                </w:rPr>
                <w:t>http://www.unafei.or.jp/english/pages/RMS/No83.htm</w:t>
              </w:r>
            </w:hyperlink>
            <w:r w:rsidRPr="006F29F5">
              <w:rPr>
                <w:rFonts w:eastAsia="Times New Roman" w:cs="Times New Roman"/>
                <w:kern w:val="2"/>
                <w:sz w:val="20"/>
              </w:rPr>
              <w:t>&gt;.</w:t>
            </w:r>
          </w:p>
        </w:tc>
      </w:tr>
    </w:tbl>
    <w:p w14:paraId="45725E82" w14:textId="5FFA8D1E" w:rsidR="00F81C2C" w:rsidRPr="006F29F5" w:rsidRDefault="00F81C2C" w:rsidP="002200EF">
      <w:pPr>
        <w:pStyle w:val="Heading2"/>
        <w:rPr>
          <w:kern w:val="2"/>
          <w:sz w:val="24"/>
        </w:rPr>
      </w:pPr>
      <w:bookmarkStart w:id="93" w:name="_Toc287778588"/>
      <w:bookmarkStart w:id="94" w:name="_Toc291766632"/>
      <w:bookmarkStart w:id="95" w:name="_Toc420329397"/>
      <w:bookmarkStart w:id="96" w:name="_Toc489962010"/>
      <w:r w:rsidRPr="006F29F5">
        <w:rPr>
          <w:kern w:val="2"/>
          <w:sz w:val="24"/>
        </w:rPr>
        <w:t xml:space="preserve">Grounds for Refusal of Mutual Legal Assistance Request </w:t>
      </w:r>
      <w:r w:rsidR="00862E6B" w:rsidRPr="006F29F5">
        <w:rPr>
          <w:kern w:val="2"/>
          <w:sz w:val="24"/>
        </w:rPr>
        <w:t>under</w:t>
      </w:r>
      <w:r w:rsidRPr="006F29F5">
        <w:rPr>
          <w:kern w:val="2"/>
          <w:sz w:val="24"/>
        </w:rPr>
        <w:t xml:space="preserve"> UNCAC and OECD Anti-Bribery Convention</w:t>
      </w:r>
      <w:bookmarkEnd w:id="93"/>
      <w:bookmarkEnd w:id="94"/>
      <w:bookmarkEnd w:id="95"/>
      <w:bookmarkEnd w:id="96"/>
    </w:p>
    <w:p w14:paraId="5B8F81FC" w14:textId="6C78D1A5" w:rsidR="00F81C2C" w:rsidRPr="006F29F5" w:rsidRDefault="00F81C2C" w:rsidP="00C81ED8">
      <w:pPr>
        <w:widowControl w:val="0"/>
        <w:autoSpaceDE w:val="0"/>
        <w:autoSpaceDN w:val="0"/>
        <w:adjustRightInd w:val="0"/>
        <w:rPr>
          <w:rFonts w:eastAsiaTheme="minorEastAsia" w:cs="Times New Roman"/>
          <w:kern w:val="2"/>
          <w:sz w:val="20"/>
          <w:lang w:eastAsia="ja-JP"/>
        </w:rPr>
      </w:pPr>
      <w:r w:rsidRPr="006F29F5">
        <w:rPr>
          <w:rFonts w:cs="Times New Roman"/>
          <w:kern w:val="2"/>
          <w:sz w:val="20"/>
        </w:rPr>
        <w:t xml:space="preserve">There are several grounds upon which a jurisdiction can refuse </w:t>
      </w:r>
      <w:r w:rsidR="00862E6B" w:rsidRPr="006F29F5">
        <w:rPr>
          <w:rFonts w:cs="Times New Roman"/>
          <w:kern w:val="2"/>
          <w:sz w:val="20"/>
        </w:rPr>
        <w:t>a</w:t>
      </w:r>
      <w:r w:rsidRPr="006F29F5">
        <w:rPr>
          <w:rFonts w:cs="Times New Roman"/>
          <w:kern w:val="2"/>
          <w:sz w:val="20"/>
        </w:rPr>
        <w:t xml:space="preserve"> request for mutual legal assistance. </w:t>
      </w:r>
      <w:r w:rsidRPr="006F29F5">
        <w:rPr>
          <w:rFonts w:eastAsiaTheme="minorEastAsia" w:cs="Times New Roman"/>
          <w:kern w:val="2"/>
          <w:sz w:val="20"/>
          <w:lang w:eastAsia="ja-JP"/>
        </w:rPr>
        <w:t>The specific grounds for refusal of a request for mutual legal assistance in the US, UK and Canada ar</w:t>
      </w:r>
      <w:r w:rsidR="002E044F" w:rsidRPr="006F29F5">
        <w:rPr>
          <w:rFonts w:eastAsiaTheme="minorEastAsia" w:cs="Times New Roman"/>
          <w:kern w:val="2"/>
          <w:sz w:val="20"/>
          <w:lang w:eastAsia="ja-JP"/>
        </w:rPr>
        <w:t>e s</w:t>
      </w:r>
      <w:r w:rsidR="008E3B04" w:rsidRPr="006F29F5">
        <w:rPr>
          <w:rFonts w:eastAsiaTheme="minorEastAsia" w:cs="Times New Roman"/>
          <w:kern w:val="2"/>
          <w:sz w:val="20"/>
          <w:lang w:eastAsia="ja-JP"/>
        </w:rPr>
        <w:t>ummarized</w:t>
      </w:r>
      <w:r w:rsidR="00A72F13" w:rsidRPr="006F29F5">
        <w:rPr>
          <w:rFonts w:eastAsiaTheme="minorEastAsia" w:cs="Times New Roman"/>
          <w:kern w:val="2"/>
          <w:sz w:val="20"/>
          <w:lang w:eastAsia="ja-JP"/>
        </w:rPr>
        <w:t xml:space="preserve"> in </w:t>
      </w:r>
      <w:r w:rsidR="00A72F13" w:rsidRPr="006F29F5">
        <w:rPr>
          <w:rFonts w:eastAsiaTheme="minorEastAsia" w:cs="Times New Roman"/>
          <w:kern w:val="2"/>
          <w:sz w:val="20"/>
          <w:highlight w:val="cyan"/>
          <w:lang w:eastAsia="ja-JP"/>
        </w:rPr>
        <w:t>Sections</w:t>
      </w:r>
      <w:r w:rsidR="008E3B04" w:rsidRPr="006F29F5">
        <w:rPr>
          <w:rFonts w:eastAsiaTheme="minorEastAsia" w:cs="Times New Roman"/>
          <w:kern w:val="2"/>
          <w:sz w:val="20"/>
          <w:highlight w:val="cyan"/>
          <w:lang w:eastAsia="ja-JP"/>
        </w:rPr>
        <w:t xml:space="preserve"> </w:t>
      </w:r>
      <w:r w:rsidR="00E6241D" w:rsidRPr="006F29F5">
        <w:rPr>
          <w:rFonts w:eastAsiaTheme="minorEastAsia" w:cs="Times New Roman"/>
          <w:kern w:val="2"/>
          <w:sz w:val="20"/>
          <w:highlight w:val="cyan"/>
          <w:lang w:eastAsia="ja-JP"/>
        </w:rPr>
        <w:t>5.</w:t>
      </w:r>
      <w:r w:rsidRPr="006F29F5">
        <w:rPr>
          <w:rFonts w:eastAsiaTheme="minorEastAsia" w:cs="Times New Roman"/>
          <w:kern w:val="2"/>
          <w:sz w:val="20"/>
          <w:highlight w:val="cyan"/>
          <w:lang w:eastAsia="ja-JP"/>
        </w:rPr>
        <w:t xml:space="preserve">4.1, </w:t>
      </w:r>
      <w:r w:rsidR="00E6241D" w:rsidRPr="006F29F5">
        <w:rPr>
          <w:rFonts w:eastAsiaTheme="minorEastAsia" w:cs="Times New Roman"/>
          <w:kern w:val="2"/>
          <w:sz w:val="20"/>
          <w:highlight w:val="cyan"/>
          <w:lang w:eastAsia="ja-JP"/>
        </w:rPr>
        <w:t>5.</w:t>
      </w:r>
      <w:r w:rsidRPr="006F29F5">
        <w:rPr>
          <w:rFonts w:eastAsiaTheme="minorEastAsia" w:cs="Times New Roman"/>
          <w:kern w:val="2"/>
          <w:sz w:val="20"/>
          <w:highlight w:val="cyan"/>
          <w:lang w:eastAsia="ja-JP"/>
        </w:rPr>
        <w:t xml:space="preserve">4.2 and </w:t>
      </w:r>
      <w:r w:rsidR="00E6241D" w:rsidRPr="006F29F5">
        <w:rPr>
          <w:rFonts w:eastAsiaTheme="minorEastAsia" w:cs="Times New Roman"/>
          <w:kern w:val="2"/>
          <w:sz w:val="20"/>
          <w:highlight w:val="cyan"/>
          <w:lang w:eastAsia="ja-JP"/>
        </w:rPr>
        <w:t>5.</w:t>
      </w:r>
      <w:r w:rsidRPr="006F29F5">
        <w:rPr>
          <w:rFonts w:eastAsiaTheme="minorEastAsia" w:cs="Times New Roman"/>
          <w:kern w:val="2"/>
          <w:sz w:val="20"/>
          <w:highlight w:val="cyan"/>
          <w:lang w:eastAsia="ja-JP"/>
        </w:rPr>
        <w:t>4.3</w:t>
      </w:r>
      <w:r w:rsidRPr="006F29F5">
        <w:rPr>
          <w:rFonts w:eastAsiaTheme="minorEastAsia" w:cs="Times New Roman"/>
          <w:kern w:val="2"/>
          <w:sz w:val="20"/>
          <w:lang w:eastAsia="ja-JP"/>
        </w:rPr>
        <w:t xml:space="preserve">. </w:t>
      </w:r>
    </w:p>
    <w:p w14:paraId="2B7A790A" w14:textId="1E330AE4" w:rsidR="00F81C2C" w:rsidRPr="006F29F5" w:rsidRDefault="00F81C2C" w:rsidP="00C81ED8">
      <w:pPr>
        <w:rPr>
          <w:rFonts w:cs="Times New Roman"/>
          <w:kern w:val="2"/>
          <w:sz w:val="20"/>
        </w:rPr>
      </w:pPr>
      <w:r w:rsidRPr="006F29F5">
        <w:rPr>
          <w:rFonts w:cs="Times New Roman"/>
          <w:b/>
          <w:kern w:val="2"/>
          <w:sz w:val="20"/>
        </w:rPr>
        <w:t>1.</w:t>
      </w:r>
      <w:r w:rsidRPr="006F29F5">
        <w:rPr>
          <w:rFonts w:cs="Times New Roman"/>
          <w:kern w:val="2"/>
          <w:sz w:val="20"/>
        </w:rPr>
        <w:t xml:space="preserve"> </w:t>
      </w:r>
      <w:r w:rsidRPr="006F29F5">
        <w:rPr>
          <w:rFonts w:cs="Times New Roman"/>
          <w:b/>
          <w:kern w:val="2"/>
          <w:sz w:val="20"/>
        </w:rPr>
        <w:t>Dual Criminality</w:t>
      </w:r>
      <w:r w:rsidRPr="006F29F5">
        <w:rPr>
          <w:rFonts w:cs="Times New Roman"/>
          <w:i/>
          <w:kern w:val="2"/>
          <w:sz w:val="20"/>
        </w:rPr>
        <w:t>.</w:t>
      </w:r>
      <w:r w:rsidRPr="006F29F5">
        <w:rPr>
          <w:rFonts w:cs="Times New Roman"/>
          <w:kern w:val="2"/>
          <w:sz w:val="20"/>
        </w:rPr>
        <w:t xml:space="preserve"> A request may be refused where the requested jurisdiction does not criminalize the conduct that the requesting jurisdiction is investigating or prosecuting. For instance, the offences of illicit enrichment and bribery in the public sector have not been criminalized in all jurisdictions. The problem may be resolved by employing a conduct-based approach. This approach involves re-examining the criminal conduct</w:t>
      </w:r>
      <w:r w:rsidR="00862E6B" w:rsidRPr="006F29F5">
        <w:rPr>
          <w:rFonts w:cs="Times New Roman"/>
          <w:kern w:val="2"/>
          <w:sz w:val="20"/>
        </w:rPr>
        <w:t xml:space="preserve"> </w:t>
      </w:r>
      <w:r w:rsidRPr="006F29F5">
        <w:rPr>
          <w:rFonts w:cs="Times New Roman"/>
          <w:kern w:val="2"/>
          <w:sz w:val="20"/>
        </w:rPr>
        <w:t xml:space="preserve">in order to fit </w:t>
      </w:r>
      <w:r w:rsidR="00862E6B" w:rsidRPr="006F29F5">
        <w:rPr>
          <w:rFonts w:cs="Times New Roman"/>
          <w:kern w:val="2"/>
          <w:sz w:val="20"/>
        </w:rPr>
        <w:t xml:space="preserve">the conduct </w:t>
      </w:r>
      <w:r w:rsidRPr="006F29F5">
        <w:rPr>
          <w:rFonts w:cs="Times New Roman"/>
          <w:kern w:val="2"/>
          <w:sz w:val="20"/>
        </w:rPr>
        <w:t xml:space="preserve">into the criminal law framework of the requested jurisdiction. Some countries, for example Canada, do not require dual criminality for </w:t>
      </w:r>
      <w:r w:rsidR="00862E6B" w:rsidRPr="006F29F5">
        <w:rPr>
          <w:rFonts w:cs="Times New Roman"/>
          <w:kern w:val="2"/>
          <w:sz w:val="20"/>
        </w:rPr>
        <w:t xml:space="preserve">most </w:t>
      </w:r>
      <w:r w:rsidRPr="006F29F5">
        <w:rPr>
          <w:rFonts w:cs="Times New Roman"/>
          <w:kern w:val="2"/>
          <w:sz w:val="20"/>
        </w:rPr>
        <w:t xml:space="preserve">requests based on treaties. </w:t>
      </w:r>
    </w:p>
    <w:p w14:paraId="63434992" w14:textId="77777777" w:rsidR="00F81C2C" w:rsidRPr="000F6447" w:rsidRDefault="00F81C2C" w:rsidP="000F6447">
      <w:pPr>
        <w:keepNext/>
        <w:rPr>
          <w:rFonts w:cs="Times New Roman"/>
          <w:spacing w:val="-2"/>
          <w:kern w:val="2"/>
          <w:sz w:val="20"/>
        </w:rPr>
      </w:pPr>
      <w:r w:rsidRPr="000F6447">
        <w:rPr>
          <w:rFonts w:cs="Times New Roman"/>
          <w:spacing w:val="-2"/>
          <w:kern w:val="2"/>
          <w:sz w:val="20"/>
        </w:rPr>
        <w:t xml:space="preserve">(a) UNCAC Article 46(9) states the following with respect to the dual criminality requirement: </w:t>
      </w:r>
    </w:p>
    <w:p w14:paraId="4AB94257" w14:textId="2F1433D1" w:rsidR="00F81C2C" w:rsidRPr="006F29F5" w:rsidRDefault="00773452" w:rsidP="000E35A1">
      <w:pPr>
        <w:pStyle w:val="BlockQuote"/>
        <w:spacing w:before="60" w:after="0"/>
        <w:ind w:left="1440" w:hanging="720"/>
        <w:jc w:val="left"/>
        <w:rPr>
          <w:kern w:val="2"/>
          <w:sz w:val="20"/>
        </w:rPr>
      </w:pPr>
      <w:r w:rsidRPr="006F29F5">
        <w:rPr>
          <w:kern w:val="2"/>
          <w:sz w:val="20"/>
        </w:rPr>
        <w:t xml:space="preserve">9.(a) </w:t>
      </w:r>
      <w:r w:rsidR="00F81C2C" w:rsidRPr="006F29F5">
        <w:rPr>
          <w:kern w:val="2"/>
          <w:sz w:val="20"/>
        </w:rPr>
        <w:t>A requested State Party, in responding to a request for assistance pursuant to this article in the absence of dual criminality, shall take into account the purposes of this Convention, as set forth in article 1;</w:t>
      </w:r>
    </w:p>
    <w:p w14:paraId="7C269BE8" w14:textId="2D9EDDFC" w:rsidR="00F81C2C" w:rsidRPr="006F29F5" w:rsidRDefault="00F81C2C" w:rsidP="00911900">
      <w:pPr>
        <w:pStyle w:val="BlockQuote"/>
        <w:numPr>
          <w:ilvl w:val="0"/>
          <w:numId w:val="62"/>
        </w:numPr>
        <w:spacing w:before="60" w:after="0"/>
        <w:jc w:val="left"/>
        <w:rPr>
          <w:kern w:val="2"/>
          <w:sz w:val="20"/>
        </w:rPr>
      </w:pPr>
      <w:r w:rsidRPr="006F29F5">
        <w:rPr>
          <w:kern w:val="2"/>
          <w:sz w:val="20"/>
        </w:rPr>
        <w:t xml:space="preserve">States Parties may decline to render assistance pursuant to this article on the ground of absence of dual criminality. However, a requested State Party shall, where consistent with the basic concepts of its legal system, render assistance that does not involve coercive action. Such assistance may be refused when requests involve matters of a de </w:t>
      </w:r>
      <w:proofErr w:type="spellStart"/>
      <w:r w:rsidRPr="006F29F5">
        <w:rPr>
          <w:kern w:val="2"/>
          <w:sz w:val="20"/>
        </w:rPr>
        <w:t>minimis</w:t>
      </w:r>
      <w:proofErr w:type="spellEnd"/>
      <w:r w:rsidRPr="006F29F5">
        <w:rPr>
          <w:kern w:val="2"/>
          <w:sz w:val="20"/>
        </w:rPr>
        <w:t xml:space="preserve"> nature or matters for which the cooperation or assistance sought is available under other provisions of this Convention;</w:t>
      </w:r>
    </w:p>
    <w:p w14:paraId="33A37E89" w14:textId="45E7A015" w:rsidR="00F81C2C" w:rsidRPr="006F29F5" w:rsidRDefault="00F81C2C" w:rsidP="00911900">
      <w:pPr>
        <w:pStyle w:val="BlockQuote"/>
        <w:numPr>
          <w:ilvl w:val="0"/>
          <w:numId w:val="62"/>
        </w:numPr>
        <w:spacing w:before="60" w:after="0"/>
        <w:jc w:val="left"/>
        <w:rPr>
          <w:kern w:val="2"/>
          <w:sz w:val="20"/>
        </w:rPr>
      </w:pPr>
      <w:r w:rsidRPr="006F29F5">
        <w:rPr>
          <w:kern w:val="2"/>
          <w:sz w:val="20"/>
        </w:rPr>
        <w:t>Each State Party may consider adopting such measures as may be necessary to enable it to provide a wider scope of assistance pursuant to this article in the absence of dual criminality.</w:t>
      </w:r>
    </w:p>
    <w:p w14:paraId="2928BEB6" w14:textId="77777777" w:rsidR="00F81C2C" w:rsidRPr="006F29F5" w:rsidRDefault="00F81C2C" w:rsidP="0006005A">
      <w:pPr>
        <w:keepNext/>
        <w:autoSpaceDE w:val="0"/>
        <w:autoSpaceDN w:val="0"/>
        <w:adjustRightInd w:val="0"/>
        <w:rPr>
          <w:rFonts w:cs="Times New Roman"/>
          <w:kern w:val="2"/>
          <w:sz w:val="20"/>
        </w:rPr>
      </w:pPr>
      <w:r w:rsidRPr="006F29F5">
        <w:rPr>
          <w:rFonts w:cs="Times New Roman"/>
          <w:kern w:val="2"/>
          <w:sz w:val="20"/>
        </w:rPr>
        <w:t>(b) OECD Anti-Bribery Convention in article 9 states:</w:t>
      </w:r>
    </w:p>
    <w:p w14:paraId="12ED0D56" w14:textId="421B645F" w:rsidR="00F81C2C" w:rsidRPr="006F29F5" w:rsidRDefault="00F81C2C" w:rsidP="00911900">
      <w:pPr>
        <w:pStyle w:val="BlockQuote"/>
        <w:numPr>
          <w:ilvl w:val="0"/>
          <w:numId w:val="65"/>
        </w:numPr>
        <w:rPr>
          <w:kern w:val="2"/>
          <w:sz w:val="20"/>
        </w:rPr>
      </w:pPr>
      <w:r w:rsidRPr="006F29F5">
        <w:rPr>
          <w:kern w:val="2"/>
          <w:sz w:val="20"/>
        </w:rPr>
        <w:t xml:space="preserve">Where a Party makes mutual legal assistance conditional upon the existence of dual criminality, dual criminality shall be deemed to exist if the offence for which the assistance is sought is within the scope of this Convention. </w:t>
      </w:r>
    </w:p>
    <w:p w14:paraId="5341C290" w14:textId="7B5A4A94" w:rsidR="00F81C2C" w:rsidRPr="006F29F5" w:rsidRDefault="00F81C2C" w:rsidP="00C81ED8">
      <w:pPr>
        <w:autoSpaceDE w:val="0"/>
        <w:autoSpaceDN w:val="0"/>
        <w:adjustRightInd w:val="0"/>
        <w:rPr>
          <w:rFonts w:cs="Times New Roman"/>
          <w:kern w:val="2"/>
          <w:sz w:val="20"/>
        </w:rPr>
      </w:pPr>
      <w:r w:rsidRPr="006F29F5">
        <w:rPr>
          <w:rFonts w:cs="Times New Roman"/>
          <w:b/>
          <w:kern w:val="2"/>
          <w:sz w:val="20"/>
        </w:rPr>
        <w:t>2. Essential Interests</w:t>
      </w:r>
      <w:r w:rsidRPr="006F29F5">
        <w:rPr>
          <w:rFonts w:cs="Times New Roman"/>
          <w:kern w:val="2"/>
          <w:sz w:val="20"/>
        </w:rPr>
        <w:t xml:space="preserve">. Refusal may occur where the execution of the request could prejudice the </w:t>
      </w:r>
      <w:r w:rsidR="00CC1E13" w:rsidRPr="006F29F5">
        <w:rPr>
          <w:rFonts w:cs="Times New Roman"/>
          <w:kern w:val="2"/>
          <w:sz w:val="20"/>
        </w:rPr>
        <w:t>“</w:t>
      </w:r>
      <w:r w:rsidRPr="006F29F5">
        <w:rPr>
          <w:rFonts w:cs="Times New Roman"/>
          <w:kern w:val="2"/>
          <w:sz w:val="20"/>
        </w:rPr>
        <w:t>essential interests</w:t>
      </w:r>
      <w:r w:rsidR="00CC1E13" w:rsidRPr="006F29F5">
        <w:rPr>
          <w:rFonts w:cs="Times New Roman"/>
          <w:kern w:val="2"/>
          <w:sz w:val="20"/>
        </w:rPr>
        <w:t>”</w:t>
      </w:r>
      <w:r w:rsidRPr="006F29F5">
        <w:rPr>
          <w:rFonts w:cs="Times New Roman"/>
          <w:kern w:val="2"/>
          <w:sz w:val="20"/>
        </w:rPr>
        <w:t xml:space="preserve"> of the requested jurisdiction. These interests could include sovereignty, security, burden on public resources and public order. Bilateral treaties may specify </w:t>
      </w:r>
      <w:r w:rsidR="00862E6B" w:rsidRPr="006F29F5">
        <w:rPr>
          <w:rFonts w:cs="Times New Roman"/>
          <w:kern w:val="2"/>
          <w:sz w:val="20"/>
        </w:rPr>
        <w:t>the essential interests that allow parties to</w:t>
      </w:r>
      <w:r w:rsidRPr="006F29F5">
        <w:rPr>
          <w:rFonts w:cs="Times New Roman"/>
          <w:kern w:val="2"/>
          <w:sz w:val="20"/>
        </w:rPr>
        <w:t xml:space="preserve"> deny mutual legal assistance. UNCAC also allows denial on g</w:t>
      </w:r>
      <w:r w:rsidR="00862E6B" w:rsidRPr="006F29F5">
        <w:rPr>
          <w:rFonts w:cs="Times New Roman"/>
          <w:kern w:val="2"/>
          <w:sz w:val="20"/>
        </w:rPr>
        <w:t>rounds of essential interests</w:t>
      </w:r>
      <w:r w:rsidRPr="006F29F5">
        <w:rPr>
          <w:rFonts w:cs="Times New Roman"/>
          <w:kern w:val="2"/>
          <w:sz w:val="20"/>
        </w:rPr>
        <w:t>. Article 46(21</w:t>
      </w:r>
      <w:proofErr w:type="gramStart"/>
      <w:r w:rsidRPr="006F29F5">
        <w:rPr>
          <w:rFonts w:cs="Times New Roman"/>
          <w:kern w:val="2"/>
          <w:sz w:val="20"/>
        </w:rPr>
        <w:t>)(</w:t>
      </w:r>
      <w:proofErr w:type="gramEnd"/>
      <w:r w:rsidRPr="006F29F5">
        <w:rPr>
          <w:rFonts w:cs="Times New Roman"/>
          <w:kern w:val="2"/>
          <w:sz w:val="20"/>
        </w:rPr>
        <w:t>b) states the following:</w:t>
      </w:r>
    </w:p>
    <w:p w14:paraId="3F224B0B" w14:textId="77777777" w:rsidR="00F81C2C" w:rsidRPr="006F29F5" w:rsidRDefault="00F81C2C" w:rsidP="002645D8">
      <w:pPr>
        <w:pStyle w:val="BlockQuote"/>
        <w:rPr>
          <w:kern w:val="2"/>
          <w:sz w:val="20"/>
        </w:rPr>
      </w:pPr>
      <w:r w:rsidRPr="006F29F5">
        <w:rPr>
          <w:kern w:val="2"/>
          <w:sz w:val="20"/>
        </w:rPr>
        <w:t>21. Mutual legal assistance may be refused:</w:t>
      </w:r>
    </w:p>
    <w:p w14:paraId="6D383930" w14:textId="78DCA444" w:rsidR="00F81C2C" w:rsidRPr="006F29F5" w:rsidRDefault="00F81C2C" w:rsidP="00911900">
      <w:pPr>
        <w:pStyle w:val="BlockQuote"/>
        <w:numPr>
          <w:ilvl w:val="0"/>
          <w:numId w:val="63"/>
        </w:numPr>
        <w:jc w:val="left"/>
        <w:rPr>
          <w:kern w:val="2"/>
          <w:sz w:val="20"/>
        </w:rPr>
      </w:pPr>
      <w:r w:rsidRPr="006F29F5">
        <w:rPr>
          <w:kern w:val="2"/>
          <w:sz w:val="20"/>
        </w:rPr>
        <w:t>If the requested State Party considers that execution of the request is likely to prejudice its sovereignty, security, public order or other essential interests</w:t>
      </w:r>
      <w:r w:rsidR="00862E6B" w:rsidRPr="006F29F5">
        <w:rPr>
          <w:kern w:val="2"/>
          <w:sz w:val="20"/>
        </w:rPr>
        <w:t>.</w:t>
      </w:r>
    </w:p>
    <w:p w14:paraId="3B84ED1E" w14:textId="29132E54" w:rsidR="00F81C2C" w:rsidRPr="006F29F5" w:rsidRDefault="0031092C" w:rsidP="00C81ED8">
      <w:pPr>
        <w:rPr>
          <w:rFonts w:cs="Times New Roman"/>
          <w:kern w:val="2"/>
          <w:sz w:val="20"/>
        </w:rPr>
      </w:pPr>
      <w:r w:rsidRPr="006F29F5">
        <w:rPr>
          <w:rFonts w:cs="Times New Roman"/>
          <w:kern w:val="2"/>
          <w:sz w:val="20"/>
        </w:rPr>
        <w:t xml:space="preserve">The meaning of the terms </w:t>
      </w:r>
      <w:r w:rsidR="00CC1E13" w:rsidRPr="006F29F5">
        <w:rPr>
          <w:rFonts w:cs="Times New Roman"/>
          <w:kern w:val="2"/>
          <w:sz w:val="20"/>
        </w:rPr>
        <w:t>“</w:t>
      </w:r>
      <w:r w:rsidR="00F81C2C" w:rsidRPr="006F29F5">
        <w:rPr>
          <w:rFonts w:cs="Times New Roman"/>
          <w:kern w:val="2"/>
          <w:sz w:val="20"/>
        </w:rPr>
        <w:t>essential inte</w:t>
      </w:r>
      <w:r w:rsidRPr="006F29F5">
        <w:rPr>
          <w:rFonts w:cs="Times New Roman"/>
          <w:kern w:val="2"/>
          <w:sz w:val="20"/>
        </w:rPr>
        <w:t>rests</w:t>
      </w:r>
      <w:r w:rsidR="00CC1E13" w:rsidRPr="006F29F5">
        <w:rPr>
          <w:rFonts w:cs="Times New Roman"/>
          <w:kern w:val="2"/>
          <w:sz w:val="20"/>
        </w:rPr>
        <w:t>”</w:t>
      </w:r>
      <w:r w:rsidRPr="006F29F5">
        <w:rPr>
          <w:rFonts w:cs="Times New Roman"/>
          <w:kern w:val="2"/>
          <w:sz w:val="20"/>
        </w:rPr>
        <w:t xml:space="preserve"> or </w:t>
      </w:r>
      <w:r w:rsidR="00CC1E13" w:rsidRPr="006F29F5">
        <w:rPr>
          <w:rFonts w:cs="Times New Roman"/>
          <w:kern w:val="2"/>
          <w:sz w:val="20"/>
        </w:rPr>
        <w:t>“</w:t>
      </w:r>
      <w:r w:rsidRPr="006F29F5">
        <w:rPr>
          <w:rFonts w:cs="Times New Roman"/>
          <w:kern w:val="2"/>
          <w:sz w:val="20"/>
        </w:rPr>
        <w:t>public interests</w:t>
      </w:r>
      <w:r w:rsidR="00CC1E13" w:rsidRPr="006F29F5">
        <w:rPr>
          <w:rFonts w:cs="Times New Roman"/>
          <w:kern w:val="2"/>
          <w:sz w:val="20"/>
        </w:rPr>
        <w:t>”</w:t>
      </w:r>
      <w:r w:rsidR="00862E6B" w:rsidRPr="006F29F5">
        <w:rPr>
          <w:rFonts w:cs="Times New Roman"/>
          <w:kern w:val="2"/>
          <w:sz w:val="20"/>
        </w:rPr>
        <w:t xml:space="preserve"> is</w:t>
      </w:r>
      <w:r w:rsidR="00F81C2C" w:rsidRPr="006F29F5">
        <w:rPr>
          <w:rFonts w:cs="Times New Roman"/>
          <w:kern w:val="2"/>
          <w:sz w:val="20"/>
        </w:rPr>
        <w:t xml:space="preserve"> not precise, which affects the effectiveness of international cooperation treaties. </w:t>
      </w:r>
      <w:r w:rsidR="00A01806" w:rsidRPr="006F29F5">
        <w:rPr>
          <w:rFonts w:cs="Times New Roman"/>
          <w:kern w:val="2"/>
          <w:sz w:val="20"/>
        </w:rPr>
        <w:t>Article 5 of t</w:t>
      </w:r>
      <w:r w:rsidR="00F81C2C" w:rsidRPr="006F29F5">
        <w:rPr>
          <w:rFonts w:cs="Times New Roman"/>
          <w:kern w:val="2"/>
          <w:sz w:val="20"/>
        </w:rPr>
        <w:t>he OECD Convention recognizes</w:t>
      </w:r>
      <w:r w:rsidR="009130FE" w:rsidRPr="006F29F5">
        <w:rPr>
          <w:rFonts w:cs="Times New Roman"/>
          <w:kern w:val="2"/>
          <w:sz w:val="20"/>
        </w:rPr>
        <w:t xml:space="preserve"> </w:t>
      </w:r>
      <w:r w:rsidR="00F81C2C" w:rsidRPr="006F29F5">
        <w:rPr>
          <w:rFonts w:cs="Times New Roman"/>
          <w:kern w:val="2"/>
          <w:sz w:val="20"/>
        </w:rPr>
        <w:t xml:space="preserve">that the investigation and prosecution of corruption cases can be </w:t>
      </w:r>
      <w:r w:rsidR="00FC6FCB" w:rsidRPr="006F29F5">
        <w:rPr>
          <w:rFonts w:cs="Times New Roman"/>
          <w:kern w:val="2"/>
          <w:sz w:val="20"/>
        </w:rPr>
        <w:t xml:space="preserve">impacted </w:t>
      </w:r>
      <w:r w:rsidRPr="006F29F5">
        <w:rPr>
          <w:rFonts w:cs="Times New Roman"/>
          <w:kern w:val="2"/>
          <w:sz w:val="20"/>
        </w:rPr>
        <w:t xml:space="preserve">by </w:t>
      </w:r>
      <w:r w:rsidR="00CC1E13" w:rsidRPr="006F29F5">
        <w:rPr>
          <w:rFonts w:cs="Times New Roman"/>
          <w:kern w:val="2"/>
          <w:sz w:val="20"/>
        </w:rPr>
        <w:t>“</w:t>
      </w:r>
      <w:r w:rsidR="00F81C2C" w:rsidRPr="006F29F5">
        <w:rPr>
          <w:rFonts w:cs="Times New Roman"/>
          <w:kern w:val="2"/>
          <w:sz w:val="20"/>
        </w:rPr>
        <w:t>considerations of national economic interest, the potential effect upon relations with another State or the identity of the natural or legal persons involved</w:t>
      </w:r>
      <w:r w:rsidR="00FC6FCB" w:rsidRPr="006F29F5">
        <w:rPr>
          <w:rFonts w:cs="Times New Roman"/>
          <w:kern w:val="2"/>
          <w:sz w:val="20"/>
        </w:rPr>
        <w:t>.</w:t>
      </w:r>
      <w:r w:rsidR="00CC1E13" w:rsidRPr="006F29F5">
        <w:rPr>
          <w:rFonts w:cs="Times New Roman"/>
          <w:kern w:val="2"/>
          <w:sz w:val="20"/>
        </w:rPr>
        <w:t>”</w:t>
      </w:r>
    </w:p>
    <w:p w14:paraId="34F1506D" w14:textId="77777777" w:rsidR="00F81C2C" w:rsidRPr="006F29F5" w:rsidRDefault="00F81C2C" w:rsidP="00C81ED8">
      <w:pPr>
        <w:rPr>
          <w:rFonts w:cs="Times New Roman"/>
          <w:kern w:val="2"/>
          <w:sz w:val="20"/>
        </w:rPr>
      </w:pPr>
      <w:r w:rsidRPr="006F29F5">
        <w:rPr>
          <w:rFonts w:cs="Times New Roman"/>
          <w:b/>
          <w:kern w:val="2"/>
          <w:sz w:val="20"/>
        </w:rPr>
        <w:t xml:space="preserve">3. Assets of </w:t>
      </w:r>
      <w:r w:rsidRPr="006F29F5">
        <w:rPr>
          <w:rFonts w:cs="Times New Roman"/>
          <w:b/>
          <w:i/>
          <w:kern w:val="2"/>
          <w:sz w:val="20"/>
        </w:rPr>
        <w:t xml:space="preserve">de </w:t>
      </w:r>
      <w:proofErr w:type="spellStart"/>
      <w:r w:rsidRPr="006F29F5">
        <w:rPr>
          <w:rFonts w:cs="Times New Roman"/>
          <w:b/>
          <w:i/>
          <w:kern w:val="2"/>
          <w:sz w:val="20"/>
        </w:rPr>
        <w:t>minimis</w:t>
      </w:r>
      <w:proofErr w:type="spellEnd"/>
      <w:r w:rsidRPr="006F29F5">
        <w:rPr>
          <w:rFonts w:cs="Times New Roman"/>
          <w:b/>
          <w:kern w:val="2"/>
          <w:sz w:val="20"/>
        </w:rPr>
        <w:t xml:space="preserve"> value</w:t>
      </w:r>
      <w:r w:rsidRPr="006F29F5">
        <w:rPr>
          <w:rFonts w:cs="Times New Roman"/>
          <w:kern w:val="2"/>
          <w:sz w:val="20"/>
        </w:rPr>
        <w:t xml:space="preserve">. Because mutual legal assistance is resource intensive, jurisdictions can refuse to assist where the assets involved are </w:t>
      </w:r>
      <w:r w:rsidRPr="006F29F5">
        <w:rPr>
          <w:rFonts w:cs="Times New Roman"/>
          <w:i/>
          <w:kern w:val="2"/>
          <w:sz w:val="20"/>
        </w:rPr>
        <w:t xml:space="preserve">de </w:t>
      </w:r>
      <w:proofErr w:type="spellStart"/>
      <w:r w:rsidRPr="006F29F5">
        <w:rPr>
          <w:rFonts w:cs="Times New Roman"/>
          <w:i/>
          <w:kern w:val="2"/>
          <w:sz w:val="20"/>
        </w:rPr>
        <w:t>minimis</w:t>
      </w:r>
      <w:proofErr w:type="spellEnd"/>
      <w:r w:rsidRPr="006F29F5">
        <w:rPr>
          <w:rFonts w:cs="Times New Roman"/>
          <w:kern w:val="2"/>
          <w:sz w:val="20"/>
        </w:rPr>
        <w:t>. UNCAC Article 55(7) states:</w:t>
      </w:r>
    </w:p>
    <w:p w14:paraId="34982D95" w14:textId="77777777" w:rsidR="00F81C2C" w:rsidRPr="006F29F5" w:rsidRDefault="00F81C2C" w:rsidP="00CD22C9">
      <w:pPr>
        <w:pStyle w:val="BlockQuote"/>
        <w:rPr>
          <w:i/>
          <w:kern w:val="2"/>
          <w:sz w:val="20"/>
        </w:rPr>
      </w:pPr>
      <w:r w:rsidRPr="006F29F5">
        <w:rPr>
          <w:i/>
          <w:kern w:val="2"/>
          <w:sz w:val="20"/>
        </w:rPr>
        <w:t>Article 55 – International cooperation for purposes of confiscation</w:t>
      </w:r>
    </w:p>
    <w:p w14:paraId="4D198279" w14:textId="4B5568C5" w:rsidR="00F81C2C" w:rsidRPr="006F29F5" w:rsidRDefault="00F81C2C" w:rsidP="00911900">
      <w:pPr>
        <w:pStyle w:val="BlockQuote"/>
        <w:numPr>
          <w:ilvl w:val="0"/>
          <w:numId w:val="64"/>
        </w:numPr>
        <w:jc w:val="left"/>
        <w:rPr>
          <w:kern w:val="2"/>
          <w:sz w:val="20"/>
        </w:rPr>
      </w:pPr>
      <w:r w:rsidRPr="006F29F5">
        <w:rPr>
          <w:kern w:val="2"/>
          <w:sz w:val="20"/>
        </w:rPr>
        <w:t xml:space="preserve">Cooperation under this article may also be refused or provisional measures lifted if the requested State Party does not receive sufficient and timely evidence or if the property is of a de </w:t>
      </w:r>
      <w:proofErr w:type="spellStart"/>
      <w:r w:rsidRPr="006F29F5">
        <w:rPr>
          <w:kern w:val="2"/>
          <w:sz w:val="20"/>
        </w:rPr>
        <w:t>minimis</w:t>
      </w:r>
      <w:proofErr w:type="spellEnd"/>
      <w:r w:rsidRPr="006F29F5">
        <w:rPr>
          <w:kern w:val="2"/>
          <w:sz w:val="20"/>
        </w:rPr>
        <w:t xml:space="preserve"> value. </w:t>
      </w:r>
    </w:p>
    <w:p w14:paraId="6A0BCC27" w14:textId="39113DAD" w:rsidR="00F81C2C" w:rsidRPr="006F29F5" w:rsidRDefault="00F81C2C" w:rsidP="00C81ED8">
      <w:pPr>
        <w:rPr>
          <w:rFonts w:cs="Times New Roman"/>
          <w:kern w:val="2"/>
          <w:sz w:val="20"/>
        </w:rPr>
      </w:pPr>
      <w:r w:rsidRPr="006F29F5">
        <w:rPr>
          <w:rFonts w:cs="Times New Roman"/>
          <w:b/>
          <w:kern w:val="2"/>
          <w:sz w:val="20"/>
        </w:rPr>
        <w:t>4. Lack of information</w:t>
      </w:r>
      <w:r w:rsidRPr="006F29F5">
        <w:rPr>
          <w:rFonts w:cs="Times New Roman"/>
          <w:kern w:val="2"/>
          <w:sz w:val="20"/>
        </w:rPr>
        <w:t>. Requests must provide sufficient evidence and information to enable the requested jurisdiction’s authorities to meet their own evidentiary thres</w:t>
      </w:r>
      <w:r w:rsidR="00862E6B" w:rsidRPr="006F29F5">
        <w:rPr>
          <w:rFonts w:cs="Times New Roman"/>
          <w:kern w:val="2"/>
          <w:sz w:val="20"/>
        </w:rPr>
        <w:t>holds in their domestic courts (see Art. 46(21</w:t>
      </w:r>
      <w:proofErr w:type="gramStart"/>
      <w:r w:rsidR="00862E6B" w:rsidRPr="006F29F5">
        <w:rPr>
          <w:rFonts w:cs="Times New Roman"/>
          <w:kern w:val="2"/>
          <w:sz w:val="20"/>
        </w:rPr>
        <w:t>)(</w:t>
      </w:r>
      <w:proofErr w:type="gramEnd"/>
      <w:r w:rsidR="00862E6B" w:rsidRPr="006F29F5">
        <w:rPr>
          <w:rFonts w:cs="Times New Roman"/>
          <w:kern w:val="2"/>
          <w:sz w:val="20"/>
        </w:rPr>
        <w:t>a)).</w:t>
      </w:r>
    </w:p>
    <w:p w14:paraId="7270322F" w14:textId="2A45634F" w:rsidR="00F81C2C" w:rsidRPr="006F29F5" w:rsidRDefault="00F81C2C" w:rsidP="00AD731C">
      <w:pPr>
        <w:keepNext/>
        <w:rPr>
          <w:rFonts w:cs="Times New Roman"/>
          <w:kern w:val="2"/>
          <w:sz w:val="20"/>
        </w:rPr>
      </w:pPr>
      <w:r w:rsidRPr="006F29F5">
        <w:rPr>
          <w:rFonts w:cs="Times New Roman"/>
          <w:b/>
          <w:kern w:val="2"/>
          <w:sz w:val="20"/>
        </w:rPr>
        <w:t>5. L</w:t>
      </w:r>
      <w:r w:rsidR="00853935" w:rsidRPr="006F29F5">
        <w:rPr>
          <w:rFonts w:cs="Times New Roman"/>
          <w:b/>
          <w:kern w:val="2"/>
          <w:sz w:val="20"/>
        </w:rPr>
        <w:t>ack of due process in requesting</w:t>
      </w:r>
      <w:r w:rsidRPr="006F29F5">
        <w:rPr>
          <w:rFonts w:cs="Times New Roman"/>
          <w:b/>
          <w:kern w:val="2"/>
          <w:sz w:val="20"/>
        </w:rPr>
        <w:t xml:space="preserve"> jurisdiction</w:t>
      </w:r>
      <w:r w:rsidRPr="006F29F5">
        <w:rPr>
          <w:rFonts w:cs="Times New Roman"/>
          <w:kern w:val="2"/>
          <w:sz w:val="20"/>
        </w:rPr>
        <w:t>.</w:t>
      </w:r>
      <w:r w:rsidRPr="006F29F5">
        <w:rPr>
          <w:rFonts w:cs="Times New Roman"/>
          <w:i/>
          <w:kern w:val="2"/>
          <w:sz w:val="20"/>
        </w:rPr>
        <w:t xml:space="preserve"> </w:t>
      </w:r>
      <w:r w:rsidRPr="006F29F5">
        <w:rPr>
          <w:rFonts w:cs="Times New Roman"/>
          <w:kern w:val="2"/>
          <w:sz w:val="20"/>
        </w:rPr>
        <w:t>UNCAC Article 46(21</w:t>
      </w:r>
      <w:proofErr w:type="gramStart"/>
      <w:r w:rsidRPr="006F29F5">
        <w:rPr>
          <w:rFonts w:cs="Times New Roman"/>
          <w:kern w:val="2"/>
          <w:sz w:val="20"/>
        </w:rPr>
        <w:t>)(</w:t>
      </w:r>
      <w:proofErr w:type="gramEnd"/>
      <w:r w:rsidRPr="006F29F5">
        <w:rPr>
          <w:rFonts w:cs="Times New Roman"/>
          <w:kern w:val="2"/>
          <w:sz w:val="20"/>
        </w:rPr>
        <w:t>d) states:</w:t>
      </w:r>
    </w:p>
    <w:p w14:paraId="66F1A2C0" w14:textId="77777777" w:rsidR="00F81C2C" w:rsidRPr="006F29F5" w:rsidRDefault="00F81C2C" w:rsidP="000E35A1">
      <w:pPr>
        <w:pStyle w:val="BlockQuote"/>
        <w:jc w:val="left"/>
        <w:rPr>
          <w:kern w:val="2"/>
          <w:sz w:val="20"/>
        </w:rPr>
      </w:pPr>
      <w:r w:rsidRPr="006F29F5">
        <w:rPr>
          <w:kern w:val="2"/>
          <w:sz w:val="20"/>
        </w:rPr>
        <w:t>21. Mutual legal assistance may be refused:</w:t>
      </w:r>
    </w:p>
    <w:p w14:paraId="3E4AFAB9" w14:textId="0D9C7595" w:rsidR="00F81C2C" w:rsidRPr="006F29F5" w:rsidRDefault="00F81C2C" w:rsidP="00911900">
      <w:pPr>
        <w:pStyle w:val="BlockQuote"/>
        <w:numPr>
          <w:ilvl w:val="0"/>
          <w:numId w:val="66"/>
        </w:numPr>
        <w:jc w:val="left"/>
        <w:rPr>
          <w:kern w:val="2"/>
          <w:sz w:val="20"/>
        </w:rPr>
      </w:pPr>
      <w:r w:rsidRPr="006F29F5">
        <w:rPr>
          <w:kern w:val="2"/>
          <w:sz w:val="20"/>
        </w:rPr>
        <w:t>If it would be contrary to the legal system of the requested State Party relating to mutual legal assistance for the request to be granted</w:t>
      </w:r>
      <w:r w:rsidR="002D28CA" w:rsidRPr="006F29F5">
        <w:rPr>
          <w:kern w:val="2"/>
          <w:sz w:val="20"/>
        </w:rPr>
        <w:t>.</w:t>
      </w:r>
    </w:p>
    <w:p w14:paraId="77D44E57" w14:textId="7A7F4CA6" w:rsidR="00F81C2C" w:rsidRPr="006F29F5" w:rsidRDefault="00F81C2C" w:rsidP="009403A8">
      <w:pPr>
        <w:rPr>
          <w:rFonts w:cs="Times New Roman"/>
          <w:kern w:val="2"/>
          <w:sz w:val="20"/>
          <w:szCs w:val="21"/>
        </w:rPr>
      </w:pPr>
      <w:r w:rsidRPr="006F29F5">
        <w:rPr>
          <w:rFonts w:cs="Times New Roman"/>
          <w:b/>
          <w:kern w:val="2"/>
          <w:sz w:val="20"/>
        </w:rPr>
        <w:t>6. Double jeopardy and ongoing proceedings or investigations in the requested jurisdiction or severe penalty deemed to be too harsh</w:t>
      </w:r>
      <w:r w:rsidRPr="006F29F5">
        <w:rPr>
          <w:rFonts w:cs="Times New Roman"/>
          <w:kern w:val="2"/>
          <w:sz w:val="20"/>
        </w:rPr>
        <w:t xml:space="preserve">. A requested </w:t>
      </w:r>
      <w:r w:rsidR="004F1934" w:rsidRPr="006F29F5">
        <w:rPr>
          <w:rFonts w:cs="Times New Roman"/>
          <w:kern w:val="2"/>
          <w:sz w:val="20"/>
        </w:rPr>
        <w:t>S</w:t>
      </w:r>
      <w:r w:rsidRPr="006F29F5">
        <w:rPr>
          <w:rFonts w:cs="Times New Roman"/>
          <w:kern w:val="2"/>
          <w:sz w:val="20"/>
        </w:rPr>
        <w:t xml:space="preserve">tate may deny assistance if the accused person has been acquitted or punished for the conduct underlying the request for assistance. They may also </w:t>
      </w:r>
      <w:r w:rsidR="00862E6B" w:rsidRPr="006F29F5">
        <w:rPr>
          <w:rFonts w:cs="Times New Roman"/>
          <w:kern w:val="2"/>
          <w:sz w:val="20"/>
        </w:rPr>
        <w:t>deny assistance if there are on</w:t>
      </w:r>
      <w:r w:rsidRPr="006F29F5">
        <w:rPr>
          <w:rFonts w:cs="Times New Roman"/>
          <w:kern w:val="2"/>
          <w:sz w:val="20"/>
        </w:rPr>
        <w:t xml:space="preserve">going proceedings or investigations in the requested </w:t>
      </w:r>
      <w:r w:rsidR="00D200D6" w:rsidRPr="006F29F5">
        <w:rPr>
          <w:rFonts w:cs="Times New Roman"/>
          <w:kern w:val="2"/>
          <w:sz w:val="20"/>
        </w:rPr>
        <w:t>S</w:t>
      </w:r>
      <w:r w:rsidRPr="006F29F5">
        <w:rPr>
          <w:rFonts w:cs="Times New Roman"/>
          <w:kern w:val="2"/>
          <w:sz w:val="20"/>
        </w:rPr>
        <w:t xml:space="preserve">tate concerning the same crime </w:t>
      </w:r>
      <w:r w:rsidR="00862E6B" w:rsidRPr="006F29F5">
        <w:rPr>
          <w:rFonts w:cs="Times New Roman"/>
          <w:kern w:val="2"/>
          <w:sz w:val="20"/>
        </w:rPr>
        <w:t xml:space="preserve">for which </w:t>
      </w:r>
      <w:r w:rsidRPr="006F29F5">
        <w:rPr>
          <w:rFonts w:cs="Times New Roman"/>
          <w:kern w:val="2"/>
          <w:sz w:val="20"/>
        </w:rPr>
        <w:t xml:space="preserve">the requesting </w:t>
      </w:r>
      <w:r w:rsidR="00B919A8" w:rsidRPr="006F29F5">
        <w:rPr>
          <w:rFonts w:cs="Times New Roman"/>
          <w:kern w:val="2"/>
          <w:sz w:val="20"/>
        </w:rPr>
        <w:t>S</w:t>
      </w:r>
      <w:r w:rsidRPr="006F29F5">
        <w:rPr>
          <w:rFonts w:cs="Times New Roman"/>
          <w:kern w:val="2"/>
          <w:sz w:val="20"/>
        </w:rPr>
        <w:t xml:space="preserve">tate </w:t>
      </w:r>
      <w:r w:rsidR="00862E6B" w:rsidRPr="006F29F5">
        <w:rPr>
          <w:rFonts w:cs="Times New Roman"/>
          <w:kern w:val="2"/>
          <w:sz w:val="20"/>
        </w:rPr>
        <w:t>seeks assistance</w:t>
      </w:r>
      <w:r w:rsidRPr="006F29F5">
        <w:rPr>
          <w:rFonts w:cs="Times New Roman"/>
          <w:kern w:val="2"/>
          <w:sz w:val="20"/>
        </w:rPr>
        <w:t xml:space="preserve">. </w:t>
      </w:r>
    </w:p>
    <w:p w14:paraId="5483ADDC" w14:textId="769D7B44" w:rsidR="00F81C2C" w:rsidRPr="006F29F5" w:rsidRDefault="00F81C2C" w:rsidP="00C81ED8">
      <w:pPr>
        <w:rPr>
          <w:rFonts w:cs="Times New Roman"/>
          <w:kern w:val="2"/>
          <w:sz w:val="20"/>
        </w:rPr>
      </w:pPr>
      <w:r w:rsidRPr="006F29F5">
        <w:rPr>
          <w:rFonts w:cs="Times New Roman"/>
          <w:b/>
          <w:kern w:val="2"/>
          <w:sz w:val="20"/>
        </w:rPr>
        <w:t>7. Immunity</w:t>
      </w:r>
      <w:r w:rsidRPr="006F29F5">
        <w:rPr>
          <w:rFonts w:cs="Times New Roman"/>
          <w:kern w:val="2"/>
          <w:sz w:val="20"/>
        </w:rPr>
        <w:t>. Some public officials are provided with immunity</w:t>
      </w:r>
      <w:r w:rsidR="00862E6B" w:rsidRPr="006F29F5">
        <w:rPr>
          <w:rFonts w:cs="Times New Roman"/>
          <w:kern w:val="2"/>
          <w:sz w:val="20"/>
        </w:rPr>
        <w:t>, but</w:t>
      </w:r>
      <w:r w:rsidRPr="006F29F5">
        <w:rPr>
          <w:rFonts w:cs="Times New Roman"/>
          <w:kern w:val="2"/>
          <w:sz w:val="20"/>
        </w:rPr>
        <w:t xml:space="preserve"> immunity can be waived or subsequently repealed. For instance, in the Ferdinand Marcos case, the successive Philippines government enabled action to be taken against him by providing a waiver of immunity.</w:t>
      </w:r>
    </w:p>
    <w:p w14:paraId="7109FD4E" w14:textId="77777777" w:rsidR="00F81C2C" w:rsidRPr="006F29F5" w:rsidRDefault="00F81C2C" w:rsidP="00C81ED8">
      <w:pPr>
        <w:rPr>
          <w:rFonts w:cs="Times New Roman"/>
          <w:kern w:val="2"/>
          <w:sz w:val="20"/>
        </w:rPr>
      </w:pPr>
      <w:r w:rsidRPr="006F29F5">
        <w:rPr>
          <w:rFonts w:cs="Times New Roman"/>
          <w:b/>
          <w:kern w:val="2"/>
          <w:sz w:val="20"/>
        </w:rPr>
        <w:t>8. Bank Secrecy</w:t>
      </w:r>
      <w:r w:rsidRPr="006F29F5">
        <w:rPr>
          <w:rFonts w:cs="Times New Roman"/>
          <w:kern w:val="2"/>
          <w:sz w:val="20"/>
        </w:rPr>
        <w:t xml:space="preserve"> is not a ground for refusing mutual legal assistance. UNCAC Articles 46(8), (22) and 40 state the following:</w:t>
      </w:r>
    </w:p>
    <w:p w14:paraId="7F95436A" w14:textId="77777777" w:rsidR="00F81C2C" w:rsidRPr="006F29F5" w:rsidRDefault="00F81C2C" w:rsidP="00CD22C9">
      <w:pPr>
        <w:pStyle w:val="BlockQuote"/>
        <w:rPr>
          <w:i/>
          <w:kern w:val="2"/>
          <w:sz w:val="20"/>
        </w:rPr>
      </w:pPr>
      <w:r w:rsidRPr="006F29F5">
        <w:rPr>
          <w:i/>
          <w:kern w:val="2"/>
          <w:sz w:val="20"/>
        </w:rPr>
        <w:t xml:space="preserve">Article 46 – Mutual legal assistance </w:t>
      </w:r>
    </w:p>
    <w:p w14:paraId="1C483E95" w14:textId="37E2BF1D" w:rsidR="00F81C2C" w:rsidRPr="006F29F5" w:rsidRDefault="00F81C2C" w:rsidP="00911900">
      <w:pPr>
        <w:pStyle w:val="BlockQuote"/>
        <w:numPr>
          <w:ilvl w:val="0"/>
          <w:numId w:val="67"/>
        </w:numPr>
        <w:jc w:val="left"/>
        <w:rPr>
          <w:kern w:val="2"/>
          <w:sz w:val="20"/>
        </w:rPr>
      </w:pPr>
      <w:r w:rsidRPr="006F29F5">
        <w:rPr>
          <w:kern w:val="2"/>
          <w:sz w:val="20"/>
        </w:rPr>
        <w:t>States Parties shall not decline to render mutual legal assistance pursuant to this article on the ground of bank secrecy.</w:t>
      </w:r>
    </w:p>
    <w:p w14:paraId="79D01DAA" w14:textId="31A4B9EA" w:rsidR="00F81C2C" w:rsidRPr="006F29F5" w:rsidRDefault="00F81C2C" w:rsidP="00911900">
      <w:pPr>
        <w:pStyle w:val="BlockQuote"/>
        <w:numPr>
          <w:ilvl w:val="0"/>
          <w:numId w:val="68"/>
        </w:numPr>
        <w:jc w:val="left"/>
        <w:rPr>
          <w:kern w:val="2"/>
          <w:sz w:val="20"/>
        </w:rPr>
      </w:pPr>
      <w:r w:rsidRPr="006F29F5">
        <w:rPr>
          <w:kern w:val="2"/>
          <w:sz w:val="20"/>
        </w:rPr>
        <w:t>States Parties may not refuse a request for mutual legal assistance on the sole ground that the offence is also considered to involve fiscal matters.</w:t>
      </w:r>
    </w:p>
    <w:p w14:paraId="171A5559" w14:textId="77777777" w:rsidR="00F81C2C" w:rsidRPr="006F29F5" w:rsidRDefault="00F81C2C" w:rsidP="00CD22C9">
      <w:pPr>
        <w:pStyle w:val="BlockQuote"/>
        <w:rPr>
          <w:i/>
          <w:kern w:val="2"/>
          <w:sz w:val="20"/>
        </w:rPr>
      </w:pPr>
      <w:r w:rsidRPr="006F29F5">
        <w:rPr>
          <w:i/>
          <w:kern w:val="2"/>
          <w:sz w:val="20"/>
        </w:rPr>
        <w:t xml:space="preserve">Article 40 – Bank secrecy </w:t>
      </w:r>
    </w:p>
    <w:p w14:paraId="4FDDBEF3" w14:textId="77777777" w:rsidR="00F81C2C" w:rsidRPr="006F29F5" w:rsidRDefault="00F81C2C" w:rsidP="00CD22C9">
      <w:pPr>
        <w:pStyle w:val="BlockQuote"/>
        <w:rPr>
          <w:kern w:val="2"/>
          <w:sz w:val="20"/>
        </w:rPr>
      </w:pPr>
      <w:r w:rsidRPr="006F29F5">
        <w:rPr>
          <w:kern w:val="2"/>
          <w:sz w:val="20"/>
        </w:rPr>
        <w:t>Each State Party shall ensure that, in the case of domestic criminal investigations of offences established in accordance with this Convention, there are appropriate mechanisms available within its domestic legal system to overcome obstacles that may arise out of the application of bank secrecy laws.</w:t>
      </w:r>
    </w:p>
    <w:p w14:paraId="78A5D01C" w14:textId="77777777" w:rsidR="00F81C2C" w:rsidRPr="006F29F5" w:rsidRDefault="00F81C2C" w:rsidP="00C81ED8">
      <w:pPr>
        <w:autoSpaceDE w:val="0"/>
        <w:autoSpaceDN w:val="0"/>
        <w:adjustRightInd w:val="0"/>
        <w:rPr>
          <w:rFonts w:cs="Times New Roman"/>
          <w:kern w:val="2"/>
          <w:sz w:val="20"/>
        </w:rPr>
      </w:pPr>
      <w:r w:rsidRPr="006F29F5">
        <w:rPr>
          <w:rFonts w:cs="Times New Roman"/>
          <w:kern w:val="2"/>
          <w:sz w:val="20"/>
        </w:rPr>
        <w:t>OECD Anti-Bribery Convention states in article 9(3):</w:t>
      </w:r>
    </w:p>
    <w:p w14:paraId="5239120A" w14:textId="315BC3A4" w:rsidR="00F81C2C" w:rsidRPr="006F29F5" w:rsidRDefault="00F81C2C" w:rsidP="00911900">
      <w:pPr>
        <w:pStyle w:val="ListParagraph"/>
        <w:numPr>
          <w:ilvl w:val="0"/>
          <w:numId w:val="65"/>
        </w:numPr>
        <w:autoSpaceDE w:val="0"/>
        <w:autoSpaceDN w:val="0"/>
        <w:adjustRightInd w:val="0"/>
        <w:ind w:right="851"/>
        <w:rPr>
          <w:rFonts w:cs="Times New Roman"/>
          <w:b w:val="0"/>
          <w:kern w:val="2"/>
          <w:sz w:val="20"/>
          <w:szCs w:val="21"/>
        </w:rPr>
      </w:pPr>
      <w:r w:rsidRPr="006F29F5">
        <w:rPr>
          <w:rFonts w:cs="Times New Roman"/>
          <w:b w:val="0"/>
          <w:kern w:val="2"/>
          <w:sz w:val="20"/>
          <w:szCs w:val="21"/>
        </w:rPr>
        <w:t>A Party shall not decline to render mutual legal assistance for criminal matters within the scope of this Convention on the ground of bank secrecy.</w:t>
      </w:r>
    </w:p>
    <w:p w14:paraId="2F009200" w14:textId="77777777" w:rsidR="00F81C2C" w:rsidRPr="006F29F5" w:rsidRDefault="00F81C2C" w:rsidP="00C81ED8">
      <w:pPr>
        <w:rPr>
          <w:rFonts w:cs="Times New Roman"/>
          <w:kern w:val="2"/>
          <w:sz w:val="20"/>
          <w:u w:val="single"/>
        </w:rPr>
      </w:pPr>
      <w:r w:rsidRPr="006F29F5">
        <w:rPr>
          <w:rFonts w:cs="Times New Roman"/>
          <w:b/>
          <w:kern w:val="2"/>
          <w:sz w:val="20"/>
        </w:rPr>
        <w:t>9. Reasons must be provided for refusing mutual legal assistance</w:t>
      </w:r>
      <w:r w:rsidRPr="006F29F5">
        <w:rPr>
          <w:rFonts w:cs="Times New Roman"/>
          <w:kern w:val="2"/>
          <w:sz w:val="20"/>
        </w:rPr>
        <w:t>.</w:t>
      </w:r>
    </w:p>
    <w:p w14:paraId="18F13947" w14:textId="77777777" w:rsidR="00F81C2C" w:rsidRPr="006F29F5" w:rsidRDefault="00F81C2C" w:rsidP="00C81ED8">
      <w:pPr>
        <w:rPr>
          <w:rFonts w:cs="Times New Roman"/>
          <w:kern w:val="2"/>
          <w:sz w:val="20"/>
        </w:rPr>
      </w:pPr>
      <w:r w:rsidRPr="006F29F5">
        <w:rPr>
          <w:rFonts w:cs="Times New Roman"/>
          <w:kern w:val="2"/>
          <w:sz w:val="20"/>
        </w:rPr>
        <w:t>UNCAC Article 46(23) states:</w:t>
      </w:r>
    </w:p>
    <w:p w14:paraId="2151D290" w14:textId="13893F3C" w:rsidR="00F81C2C" w:rsidRPr="006F29F5" w:rsidRDefault="00F81C2C" w:rsidP="00911900">
      <w:pPr>
        <w:pStyle w:val="ListParagraph"/>
        <w:numPr>
          <w:ilvl w:val="0"/>
          <w:numId w:val="68"/>
        </w:numPr>
        <w:ind w:right="851"/>
        <w:rPr>
          <w:rFonts w:cs="Times New Roman"/>
          <w:b w:val="0"/>
          <w:kern w:val="2"/>
          <w:sz w:val="20"/>
          <w:szCs w:val="21"/>
        </w:rPr>
      </w:pPr>
      <w:r w:rsidRPr="006F29F5">
        <w:rPr>
          <w:rFonts w:cs="Times New Roman"/>
          <w:b w:val="0"/>
          <w:kern w:val="2"/>
          <w:sz w:val="20"/>
          <w:szCs w:val="21"/>
        </w:rPr>
        <w:t>Reasons shall be given for any refusal of mutual legal assistance.</w:t>
      </w:r>
    </w:p>
    <w:p w14:paraId="4E36EF9F" w14:textId="77777777" w:rsidR="00F81C2C" w:rsidRPr="006F29F5" w:rsidRDefault="00F81C2C" w:rsidP="00C81ED8">
      <w:pPr>
        <w:rPr>
          <w:rFonts w:cs="Times New Roman"/>
          <w:kern w:val="2"/>
          <w:sz w:val="20"/>
          <w:u w:val="single"/>
        </w:rPr>
      </w:pPr>
      <w:r w:rsidRPr="006F29F5">
        <w:rPr>
          <w:rFonts w:cs="Times New Roman"/>
          <w:b/>
          <w:kern w:val="2"/>
          <w:sz w:val="20"/>
        </w:rPr>
        <w:t>10. Mutual legal assistance may also be postponed</w:t>
      </w:r>
      <w:r w:rsidRPr="006F29F5">
        <w:rPr>
          <w:rFonts w:cs="Times New Roman"/>
          <w:kern w:val="2"/>
          <w:sz w:val="20"/>
        </w:rPr>
        <w:t>.</w:t>
      </w:r>
    </w:p>
    <w:p w14:paraId="31D06495" w14:textId="73C0709D" w:rsidR="00F81C2C" w:rsidRPr="006F29F5" w:rsidRDefault="00F81C2C" w:rsidP="00C81ED8">
      <w:pPr>
        <w:rPr>
          <w:rFonts w:cs="Times New Roman"/>
          <w:kern w:val="2"/>
          <w:sz w:val="20"/>
        </w:rPr>
      </w:pPr>
      <w:r w:rsidRPr="006F29F5">
        <w:rPr>
          <w:rFonts w:cs="Times New Roman"/>
          <w:kern w:val="2"/>
          <w:sz w:val="20"/>
        </w:rPr>
        <w:t>UNCAC Article 46(25</w:t>
      </w:r>
      <w:r w:rsidR="006E57C8" w:rsidRPr="006F29F5">
        <w:rPr>
          <w:rFonts w:cs="Times New Roman"/>
          <w:kern w:val="2"/>
          <w:sz w:val="20"/>
        </w:rPr>
        <w:t>)</w:t>
      </w:r>
      <w:r w:rsidRPr="006F29F5">
        <w:rPr>
          <w:rFonts w:cs="Times New Roman"/>
          <w:kern w:val="2"/>
          <w:sz w:val="20"/>
        </w:rPr>
        <w:t xml:space="preserve"> and (26) states:</w:t>
      </w:r>
    </w:p>
    <w:p w14:paraId="42D7903B" w14:textId="7B4D6138" w:rsidR="00F81C2C" w:rsidRPr="006F29F5" w:rsidRDefault="00F81C2C" w:rsidP="00911900">
      <w:pPr>
        <w:pStyle w:val="ListParagraph"/>
        <w:numPr>
          <w:ilvl w:val="0"/>
          <w:numId w:val="69"/>
        </w:numPr>
        <w:ind w:right="851"/>
        <w:rPr>
          <w:rFonts w:cs="Times New Roman"/>
          <w:b w:val="0"/>
          <w:kern w:val="2"/>
          <w:sz w:val="20"/>
          <w:szCs w:val="21"/>
        </w:rPr>
      </w:pPr>
      <w:r w:rsidRPr="006F29F5">
        <w:rPr>
          <w:rFonts w:cs="Times New Roman"/>
          <w:b w:val="0"/>
          <w:kern w:val="2"/>
          <w:sz w:val="20"/>
          <w:szCs w:val="21"/>
        </w:rPr>
        <w:t>Mutual legal assistance may be postponed by the requested State Party on the ground that it interferes with an ongoing investigation, prosecution or judicial proceeding.</w:t>
      </w:r>
    </w:p>
    <w:p w14:paraId="3A3932D4" w14:textId="4429FC18" w:rsidR="00F81C2C" w:rsidRPr="006F29F5" w:rsidRDefault="00F81C2C" w:rsidP="00911900">
      <w:pPr>
        <w:pStyle w:val="ListParagraph"/>
        <w:numPr>
          <w:ilvl w:val="0"/>
          <w:numId w:val="69"/>
        </w:numPr>
        <w:ind w:right="851"/>
        <w:rPr>
          <w:rFonts w:cs="Times New Roman"/>
          <w:b w:val="0"/>
          <w:kern w:val="2"/>
          <w:sz w:val="20"/>
          <w:szCs w:val="21"/>
        </w:rPr>
      </w:pPr>
      <w:r w:rsidRPr="006F29F5">
        <w:rPr>
          <w:rFonts w:cs="Times New Roman"/>
          <w:b w:val="0"/>
          <w:kern w:val="2"/>
          <w:sz w:val="20"/>
          <w:szCs w:val="21"/>
        </w:rPr>
        <w:t>Before refusing a request pursuant to paragraph 21 of this article or postponing its execution pursuant to paragraph 25 of this article, the requested State Party shall consult with the requesting State Party to consider whether assistance may be granted subject to such terms and conditions as it deems necessary. If the requesting State Party accepts assistance subject to those conditions, it shall comply with the conditions.</w:t>
      </w:r>
    </w:p>
    <w:p w14:paraId="09CC674D" w14:textId="36179696" w:rsidR="00081BF9" w:rsidRPr="006F29F5" w:rsidRDefault="00F81C2C" w:rsidP="00421BB0">
      <w:pPr>
        <w:autoSpaceDE w:val="0"/>
        <w:autoSpaceDN w:val="0"/>
        <w:adjustRightInd w:val="0"/>
        <w:rPr>
          <w:rFonts w:cs="Times New Roman"/>
          <w:b/>
          <w:kern w:val="2"/>
          <w:sz w:val="20"/>
        </w:rPr>
      </w:pPr>
      <w:r w:rsidRPr="006F29F5">
        <w:rPr>
          <w:rFonts w:cs="Times New Roman"/>
          <w:b/>
          <w:kern w:val="2"/>
          <w:sz w:val="20"/>
        </w:rPr>
        <w:t>11. Power to Override by Bilateral Agreement</w:t>
      </w:r>
      <w:r w:rsidRPr="006F29F5">
        <w:rPr>
          <w:rFonts w:cs="Times New Roman"/>
          <w:kern w:val="2"/>
          <w:sz w:val="20"/>
        </w:rPr>
        <w:t>. Paragraphs 9 to 29 of UNCAC Article 46 can be overridden by a bilateral agreement.</w:t>
      </w:r>
      <w:r w:rsidR="00220AC9" w:rsidRPr="006F29F5">
        <w:rPr>
          <w:rFonts w:cs="Times New Roman"/>
          <w:kern w:val="2"/>
          <w:sz w:val="20"/>
        </w:rPr>
        <w:t xml:space="preserve"> </w:t>
      </w:r>
      <w:r w:rsidRPr="006F29F5">
        <w:rPr>
          <w:rFonts w:cs="Times New Roman"/>
          <w:kern w:val="2"/>
          <w:sz w:val="20"/>
        </w:rPr>
        <w:t xml:space="preserve">Paragraph 7 of Article 46 provides that those sections only apply </w:t>
      </w:r>
      <w:r w:rsidR="00CC1E13" w:rsidRPr="006F29F5">
        <w:rPr>
          <w:rFonts w:cs="Times New Roman"/>
          <w:kern w:val="2"/>
          <w:sz w:val="20"/>
        </w:rPr>
        <w:t>“</w:t>
      </w:r>
      <w:r w:rsidRPr="006F29F5">
        <w:rPr>
          <w:rFonts w:cs="Times New Roman"/>
          <w:kern w:val="2"/>
          <w:sz w:val="20"/>
        </w:rPr>
        <w:t>to requests made pursuant to this article if the States Parties in question are not bound by a treaty of mutual legal assistance. If those States Parties are bound by such a treaty, the corresponding provisions of that treaty shall apply unless the States Parties agree to apply paragraphs 9 to 29 of this article in lieu thereof. States Parties are strongly encouraged to apply these paragraphs if they facilitate cooperation.</w:t>
      </w:r>
      <w:r w:rsidR="00CC1E13" w:rsidRPr="006F29F5">
        <w:rPr>
          <w:rFonts w:cs="Times New Roman"/>
          <w:kern w:val="2"/>
          <w:sz w:val="20"/>
        </w:rPr>
        <w:t>”</w:t>
      </w:r>
      <w:r w:rsidRPr="006F29F5">
        <w:rPr>
          <w:rFonts w:cs="Times New Roman"/>
          <w:kern w:val="2"/>
          <w:sz w:val="20"/>
        </w:rPr>
        <w:t xml:space="preserve"> </w:t>
      </w:r>
    </w:p>
    <w:p w14:paraId="22293DB2" w14:textId="09FCE5A4" w:rsidR="00421BB0" w:rsidRPr="006F29F5" w:rsidRDefault="00421BB0" w:rsidP="002200EF">
      <w:pPr>
        <w:pStyle w:val="Heading2"/>
        <w:rPr>
          <w:kern w:val="2"/>
          <w:sz w:val="24"/>
        </w:rPr>
      </w:pPr>
      <w:r w:rsidRPr="006F29F5">
        <w:rPr>
          <w:kern w:val="2"/>
          <w:sz w:val="24"/>
        </w:rPr>
        <w:t>Barriers to MLA</w:t>
      </w:r>
    </w:p>
    <w:p w14:paraId="4FE86BDB" w14:textId="59C5F385" w:rsidR="006B1957" w:rsidRPr="006F29F5" w:rsidRDefault="00421BB0" w:rsidP="00D96F95">
      <w:pPr>
        <w:rPr>
          <w:rFonts w:cs="Times New Roman"/>
          <w:kern w:val="2"/>
          <w:sz w:val="20"/>
        </w:rPr>
      </w:pPr>
      <w:r w:rsidRPr="006F29F5">
        <w:rPr>
          <w:rFonts w:cs="Times New Roman"/>
          <w:kern w:val="2"/>
          <w:sz w:val="20"/>
        </w:rPr>
        <w:t>As discu</w:t>
      </w:r>
      <w:r w:rsidR="008E3B04" w:rsidRPr="006F29F5">
        <w:rPr>
          <w:rFonts w:cs="Times New Roman"/>
          <w:kern w:val="2"/>
          <w:sz w:val="20"/>
        </w:rPr>
        <w:t xml:space="preserve">ssed </w:t>
      </w:r>
      <w:r w:rsidR="008E3B04" w:rsidRPr="006F29F5">
        <w:rPr>
          <w:rFonts w:cs="Times New Roman"/>
          <w:color w:val="000000" w:themeColor="text1"/>
          <w:kern w:val="2"/>
          <w:sz w:val="20"/>
        </w:rPr>
        <w:t xml:space="preserve">at </w:t>
      </w:r>
      <w:r w:rsidR="008E3B04" w:rsidRPr="006F29F5">
        <w:rPr>
          <w:rFonts w:cs="Times New Roman"/>
          <w:color w:val="000000" w:themeColor="text1"/>
          <w:kern w:val="2"/>
          <w:sz w:val="20"/>
          <w:highlight w:val="cyan"/>
        </w:rPr>
        <w:t>Section</w:t>
      </w:r>
      <w:r w:rsidR="002E044F" w:rsidRPr="006F29F5">
        <w:rPr>
          <w:rFonts w:cs="Times New Roman"/>
          <w:color w:val="000000" w:themeColor="text1"/>
          <w:kern w:val="2"/>
          <w:sz w:val="20"/>
          <w:highlight w:val="cyan"/>
        </w:rPr>
        <w:t xml:space="preserve"> </w:t>
      </w:r>
      <w:r w:rsidR="002E044F" w:rsidRPr="006F29F5">
        <w:rPr>
          <w:rFonts w:cs="Times New Roman"/>
          <w:kern w:val="2"/>
          <w:sz w:val="20"/>
          <w:highlight w:val="cyan"/>
        </w:rPr>
        <w:t>5.2.3</w:t>
      </w:r>
      <w:r w:rsidRPr="006F29F5">
        <w:rPr>
          <w:rFonts w:cs="Times New Roman"/>
          <w:kern w:val="2"/>
          <w:sz w:val="20"/>
        </w:rPr>
        <w:t>, MLA procedures are challenging for developing nations and nearly</w:t>
      </w:r>
      <w:r w:rsidR="006B1957" w:rsidRPr="006F29F5">
        <w:rPr>
          <w:rFonts w:cs="Times New Roman"/>
          <w:kern w:val="2"/>
          <w:sz w:val="20"/>
        </w:rPr>
        <w:t xml:space="preserve"> impossible for failing states due to the complexity and variety of formatting requirements. The MLA process is time-consuming and often hindered by the difficulty of tracing the location and ownership of assets. Egypt has expressed frustration with t</w:t>
      </w:r>
      <w:r w:rsidR="000D12C3" w:rsidRPr="006F29F5">
        <w:rPr>
          <w:rFonts w:cs="Times New Roman"/>
          <w:kern w:val="2"/>
          <w:sz w:val="20"/>
        </w:rPr>
        <w:t>he MLA system since the uprising against Hosni Mubarak</w:t>
      </w:r>
      <w:r w:rsidR="006B1957" w:rsidRPr="006F29F5">
        <w:rPr>
          <w:rFonts w:cs="Times New Roman"/>
          <w:kern w:val="2"/>
          <w:sz w:val="20"/>
        </w:rPr>
        <w:t xml:space="preserve">, complaining of both the lack of response by some requested countries and the barriers </w:t>
      </w:r>
      <w:r w:rsidR="000D12C3" w:rsidRPr="006F29F5">
        <w:rPr>
          <w:rFonts w:cs="Times New Roman"/>
          <w:kern w:val="2"/>
          <w:sz w:val="20"/>
        </w:rPr>
        <w:t xml:space="preserve">to MLA </w:t>
      </w:r>
      <w:r w:rsidR="006B1957" w:rsidRPr="006F29F5">
        <w:rPr>
          <w:rFonts w:cs="Times New Roman"/>
          <w:kern w:val="2"/>
          <w:sz w:val="20"/>
        </w:rPr>
        <w:t>put up by others.</w:t>
      </w:r>
      <w:r w:rsidR="000D12C3" w:rsidRPr="006F29F5">
        <w:rPr>
          <w:rStyle w:val="FootnoteReference"/>
          <w:rFonts w:cs="Times New Roman"/>
          <w:kern w:val="2"/>
          <w:sz w:val="20"/>
        </w:rPr>
        <w:footnoteReference w:id="295"/>
      </w:r>
      <w:r w:rsidR="006B1957" w:rsidRPr="006F29F5">
        <w:rPr>
          <w:rFonts w:cs="Times New Roman"/>
          <w:kern w:val="2"/>
          <w:sz w:val="20"/>
        </w:rPr>
        <w:t xml:space="preserve"> </w:t>
      </w:r>
    </w:p>
    <w:p w14:paraId="6240D6A0" w14:textId="79826E86" w:rsidR="00421BB0" w:rsidRPr="006F29F5" w:rsidRDefault="00FF6073" w:rsidP="00D96F95">
      <w:pPr>
        <w:rPr>
          <w:rFonts w:cs="Times New Roman"/>
          <w:kern w:val="2"/>
          <w:sz w:val="20"/>
        </w:rPr>
      </w:pPr>
      <w:r w:rsidRPr="006F29F5">
        <w:rPr>
          <w:rFonts w:cs="Times New Roman"/>
          <w:kern w:val="2"/>
          <w:sz w:val="20"/>
        </w:rPr>
        <w:t xml:space="preserve">When </w:t>
      </w:r>
      <w:r w:rsidR="006B1957" w:rsidRPr="006F29F5">
        <w:rPr>
          <w:rFonts w:cs="Times New Roman"/>
          <w:kern w:val="2"/>
          <w:sz w:val="20"/>
        </w:rPr>
        <w:t>cent</w:t>
      </w:r>
      <w:r w:rsidR="000D12C3" w:rsidRPr="006F29F5">
        <w:rPr>
          <w:rFonts w:cs="Times New Roman"/>
          <w:kern w:val="2"/>
          <w:sz w:val="20"/>
        </w:rPr>
        <w:t>ral authorities for MLA</w:t>
      </w:r>
      <w:r w:rsidR="006B1957" w:rsidRPr="006F29F5">
        <w:rPr>
          <w:rFonts w:cs="Times New Roman"/>
          <w:kern w:val="2"/>
          <w:sz w:val="20"/>
        </w:rPr>
        <w:t xml:space="preserve"> </w:t>
      </w:r>
      <w:r w:rsidRPr="006F29F5">
        <w:rPr>
          <w:rFonts w:cs="Times New Roman"/>
          <w:kern w:val="2"/>
          <w:sz w:val="20"/>
        </w:rPr>
        <w:t xml:space="preserve">are themselves corrupt, their </w:t>
      </w:r>
      <w:r w:rsidR="006B1957" w:rsidRPr="006F29F5">
        <w:rPr>
          <w:rFonts w:cs="Times New Roman"/>
          <w:kern w:val="2"/>
          <w:sz w:val="20"/>
        </w:rPr>
        <w:t>potential to</w:t>
      </w:r>
      <w:r w:rsidR="004C50DB" w:rsidRPr="006F29F5">
        <w:rPr>
          <w:rFonts w:cs="Times New Roman"/>
          <w:kern w:val="2"/>
          <w:sz w:val="20"/>
        </w:rPr>
        <w:t xml:space="preserve"> wreak havoc in MLA procedures</w:t>
      </w:r>
      <w:r w:rsidRPr="006F29F5">
        <w:rPr>
          <w:rFonts w:cs="Times New Roman"/>
          <w:kern w:val="2"/>
          <w:sz w:val="20"/>
        </w:rPr>
        <w:t xml:space="preserve"> is boundless</w:t>
      </w:r>
      <w:r w:rsidR="004C50DB" w:rsidRPr="006F29F5">
        <w:rPr>
          <w:rFonts w:cs="Times New Roman"/>
          <w:kern w:val="2"/>
          <w:sz w:val="20"/>
        </w:rPr>
        <w:t xml:space="preserve">. </w:t>
      </w:r>
      <w:r w:rsidR="000D12C3" w:rsidRPr="006F29F5">
        <w:rPr>
          <w:rFonts w:cs="Times New Roman"/>
          <w:kern w:val="2"/>
          <w:sz w:val="20"/>
        </w:rPr>
        <w:t>An example is provided by t</w:t>
      </w:r>
      <w:r w:rsidR="004C50DB" w:rsidRPr="006F29F5">
        <w:rPr>
          <w:rFonts w:cs="Times New Roman"/>
          <w:kern w:val="2"/>
          <w:sz w:val="20"/>
        </w:rPr>
        <w:t xml:space="preserve">he case of James </w:t>
      </w:r>
      <w:proofErr w:type="spellStart"/>
      <w:r w:rsidR="004C50DB" w:rsidRPr="006F29F5">
        <w:rPr>
          <w:rFonts w:cs="Times New Roman"/>
          <w:kern w:val="2"/>
          <w:sz w:val="20"/>
        </w:rPr>
        <w:t>Ibori</w:t>
      </w:r>
      <w:proofErr w:type="spellEnd"/>
      <w:r w:rsidR="004C50DB" w:rsidRPr="006F29F5">
        <w:rPr>
          <w:rFonts w:cs="Times New Roman"/>
          <w:kern w:val="2"/>
          <w:sz w:val="20"/>
        </w:rPr>
        <w:t>, a former governor of Delta State in Nigeria who allegedly stole somewhere between US$300 million and US$3.4 billion</w:t>
      </w:r>
      <w:r w:rsidR="000D12C3" w:rsidRPr="006F29F5">
        <w:rPr>
          <w:rFonts w:cs="Times New Roman"/>
          <w:kern w:val="2"/>
          <w:sz w:val="20"/>
        </w:rPr>
        <w:t xml:space="preserve"> while in public office.</w:t>
      </w:r>
      <w:r w:rsidR="004C50DB" w:rsidRPr="006F29F5">
        <w:rPr>
          <w:rFonts w:cs="Times New Roman"/>
          <w:kern w:val="2"/>
          <w:sz w:val="20"/>
        </w:rPr>
        <w:t xml:space="preserve"> Investigations into </w:t>
      </w:r>
      <w:proofErr w:type="spellStart"/>
      <w:r w:rsidR="004C50DB" w:rsidRPr="006F29F5">
        <w:rPr>
          <w:rFonts w:cs="Times New Roman"/>
          <w:kern w:val="2"/>
          <w:sz w:val="20"/>
        </w:rPr>
        <w:t>Ibori</w:t>
      </w:r>
      <w:proofErr w:type="spellEnd"/>
      <w:r w:rsidR="004C50DB" w:rsidRPr="006F29F5">
        <w:rPr>
          <w:rFonts w:cs="Times New Roman"/>
          <w:kern w:val="2"/>
          <w:sz w:val="20"/>
        </w:rPr>
        <w:t xml:space="preserve"> by British law enforcement began in 2005. Assistance was p</w:t>
      </w:r>
      <w:r w:rsidR="00A55462" w:rsidRPr="006F29F5">
        <w:rPr>
          <w:rFonts w:cs="Times New Roman"/>
          <w:kern w:val="2"/>
          <w:sz w:val="20"/>
        </w:rPr>
        <w:t>rovided by Nigeria’s</w:t>
      </w:r>
      <w:r w:rsidR="000D12C3" w:rsidRPr="006F29F5">
        <w:rPr>
          <w:rFonts w:cs="Times New Roman"/>
          <w:kern w:val="2"/>
          <w:sz w:val="20"/>
        </w:rPr>
        <w:t xml:space="preserve"> Economic and Fin</w:t>
      </w:r>
      <w:r w:rsidR="004C50DB" w:rsidRPr="006F29F5">
        <w:rPr>
          <w:rFonts w:cs="Times New Roman"/>
          <w:kern w:val="2"/>
          <w:sz w:val="20"/>
        </w:rPr>
        <w:t>ancial Crimes Com</w:t>
      </w:r>
      <w:r w:rsidR="000D12C3" w:rsidRPr="006F29F5">
        <w:rPr>
          <w:rFonts w:cs="Times New Roman"/>
          <w:kern w:val="2"/>
          <w:sz w:val="20"/>
        </w:rPr>
        <w:t>m</w:t>
      </w:r>
      <w:r w:rsidR="004C50DB" w:rsidRPr="006F29F5">
        <w:rPr>
          <w:rFonts w:cs="Times New Roman"/>
          <w:kern w:val="2"/>
          <w:sz w:val="20"/>
        </w:rPr>
        <w:t xml:space="preserve">ission </w:t>
      </w:r>
      <w:r w:rsidR="00A55462" w:rsidRPr="006F29F5">
        <w:rPr>
          <w:rFonts w:cs="Times New Roman"/>
          <w:kern w:val="2"/>
          <w:sz w:val="20"/>
        </w:rPr>
        <w:t xml:space="preserve">(EFCC) </w:t>
      </w:r>
      <w:r w:rsidR="000D12C3" w:rsidRPr="006F29F5">
        <w:rPr>
          <w:rFonts w:cs="Times New Roman"/>
          <w:kern w:val="2"/>
          <w:sz w:val="20"/>
        </w:rPr>
        <w:t>during the early stages of the investigation</w:t>
      </w:r>
      <w:r w:rsidR="004C50DB" w:rsidRPr="006F29F5">
        <w:rPr>
          <w:rFonts w:cs="Times New Roman"/>
          <w:kern w:val="2"/>
          <w:sz w:val="20"/>
        </w:rPr>
        <w:t xml:space="preserve">. </w:t>
      </w:r>
      <w:r w:rsidR="000D12C3" w:rsidRPr="006F29F5">
        <w:rPr>
          <w:rFonts w:cs="Times New Roman"/>
          <w:kern w:val="2"/>
          <w:sz w:val="20"/>
        </w:rPr>
        <w:t>In Nigeria</w:t>
      </w:r>
      <w:r w:rsidR="006B1957" w:rsidRPr="006F29F5">
        <w:rPr>
          <w:rFonts w:cs="Times New Roman"/>
          <w:kern w:val="2"/>
          <w:sz w:val="20"/>
        </w:rPr>
        <w:t>, the Attorney General is the central authority</w:t>
      </w:r>
      <w:r w:rsidR="004C50DB" w:rsidRPr="006F29F5">
        <w:rPr>
          <w:rFonts w:cs="Times New Roman"/>
          <w:kern w:val="2"/>
          <w:sz w:val="20"/>
        </w:rPr>
        <w:t xml:space="preserve"> for MLA purposes, and part</w:t>
      </w:r>
      <w:r w:rsidRPr="006F29F5">
        <w:rPr>
          <w:rFonts w:cs="Times New Roman"/>
          <w:kern w:val="2"/>
          <w:sz w:val="20"/>
        </w:rPr>
        <w:t xml:space="preserve"> </w:t>
      </w:r>
      <w:r w:rsidR="004C50DB" w:rsidRPr="006F29F5">
        <w:rPr>
          <w:rFonts w:cs="Times New Roman"/>
          <w:kern w:val="2"/>
          <w:sz w:val="20"/>
        </w:rPr>
        <w:t>way through</w:t>
      </w:r>
      <w:r w:rsidRPr="006F29F5">
        <w:rPr>
          <w:rFonts w:cs="Times New Roman"/>
          <w:kern w:val="2"/>
          <w:sz w:val="20"/>
        </w:rPr>
        <w:t xml:space="preserve"> the</w:t>
      </w:r>
      <w:r w:rsidR="004C50DB" w:rsidRPr="006F29F5">
        <w:rPr>
          <w:rFonts w:cs="Times New Roman"/>
          <w:kern w:val="2"/>
          <w:sz w:val="20"/>
        </w:rPr>
        <w:t xml:space="preserve"> investigations, Michael </w:t>
      </w:r>
      <w:proofErr w:type="spellStart"/>
      <w:r w:rsidR="004C50DB" w:rsidRPr="006F29F5">
        <w:rPr>
          <w:rFonts w:cs="Times New Roman"/>
          <w:kern w:val="2"/>
          <w:sz w:val="20"/>
        </w:rPr>
        <w:t>Aondoakaa</w:t>
      </w:r>
      <w:proofErr w:type="spellEnd"/>
      <w:r w:rsidR="004C50DB" w:rsidRPr="006F29F5">
        <w:rPr>
          <w:rFonts w:cs="Times New Roman"/>
          <w:kern w:val="2"/>
          <w:sz w:val="20"/>
        </w:rPr>
        <w:t xml:space="preserve"> was appointed as the new Attorney General. </w:t>
      </w:r>
      <w:proofErr w:type="spellStart"/>
      <w:r w:rsidR="004C50DB" w:rsidRPr="006F29F5">
        <w:rPr>
          <w:rFonts w:cs="Times New Roman"/>
          <w:kern w:val="2"/>
          <w:sz w:val="20"/>
        </w:rPr>
        <w:t>Aondoakaa</w:t>
      </w:r>
      <w:proofErr w:type="spellEnd"/>
      <w:r w:rsidR="004C50DB" w:rsidRPr="006F29F5">
        <w:rPr>
          <w:rFonts w:cs="Times New Roman"/>
          <w:kern w:val="2"/>
          <w:sz w:val="20"/>
        </w:rPr>
        <w:t xml:space="preserve"> actively worked against investigation and prosecution of </w:t>
      </w:r>
      <w:proofErr w:type="spellStart"/>
      <w:r w:rsidR="004C50DB" w:rsidRPr="006F29F5">
        <w:rPr>
          <w:rFonts w:cs="Times New Roman"/>
          <w:kern w:val="2"/>
          <w:sz w:val="20"/>
        </w:rPr>
        <w:t>Ibori</w:t>
      </w:r>
      <w:proofErr w:type="spellEnd"/>
      <w:r w:rsidR="004C50DB" w:rsidRPr="006F29F5">
        <w:rPr>
          <w:rFonts w:cs="Times New Roman"/>
          <w:kern w:val="2"/>
          <w:sz w:val="20"/>
        </w:rPr>
        <w:t>, among others, and</w:t>
      </w:r>
      <w:r w:rsidR="00B14967" w:rsidRPr="006F29F5">
        <w:rPr>
          <w:rFonts w:cs="Times New Roman"/>
          <w:kern w:val="2"/>
          <w:sz w:val="20"/>
        </w:rPr>
        <w:t>,</w:t>
      </w:r>
      <w:r w:rsidR="004C50DB" w:rsidRPr="006F29F5">
        <w:rPr>
          <w:rFonts w:cs="Times New Roman"/>
          <w:kern w:val="2"/>
          <w:sz w:val="20"/>
        </w:rPr>
        <w:t xml:space="preserve"> in his capacity as central authority, demanded that any evidence provided </w:t>
      </w:r>
      <w:r w:rsidR="00B14967" w:rsidRPr="006F29F5">
        <w:rPr>
          <w:rFonts w:cs="Times New Roman"/>
          <w:kern w:val="2"/>
          <w:sz w:val="20"/>
        </w:rPr>
        <w:t xml:space="preserve">to the UK </w:t>
      </w:r>
      <w:r w:rsidR="004C50DB" w:rsidRPr="006F29F5">
        <w:rPr>
          <w:rFonts w:cs="Times New Roman"/>
          <w:kern w:val="2"/>
          <w:sz w:val="20"/>
        </w:rPr>
        <w:t>by the EFCC be returned.</w:t>
      </w:r>
      <w:r w:rsidR="006B1957" w:rsidRPr="006F29F5">
        <w:rPr>
          <w:rFonts w:cs="Times New Roman"/>
          <w:kern w:val="2"/>
          <w:sz w:val="20"/>
        </w:rPr>
        <w:t xml:space="preserve"> </w:t>
      </w:r>
      <w:r w:rsidR="004C50DB" w:rsidRPr="006F29F5">
        <w:rPr>
          <w:rFonts w:cs="Times New Roman"/>
          <w:kern w:val="2"/>
          <w:sz w:val="20"/>
        </w:rPr>
        <w:t xml:space="preserve">Although </w:t>
      </w:r>
      <w:proofErr w:type="spellStart"/>
      <w:r w:rsidR="004C50DB" w:rsidRPr="006F29F5">
        <w:rPr>
          <w:rFonts w:cs="Times New Roman"/>
          <w:kern w:val="2"/>
          <w:sz w:val="20"/>
        </w:rPr>
        <w:t>Aondoakaa</w:t>
      </w:r>
      <w:proofErr w:type="spellEnd"/>
      <w:r w:rsidR="004C50DB" w:rsidRPr="006F29F5">
        <w:rPr>
          <w:rFonts w:cs="Times New Roman"/>
          <w:kern w:val="2"/>
          <w:sz w:val="20"/>
        </w:rPr>
        <w:t xml:space="preserve"> was dismissed in 2010, he provides an example of the potential problems involved in entrusting MLA responsibilities to central authorities in corrupt states.</w:t>
      </w:r>
      <w:r w:rsidR="000D12C3" w:rsidRPr="006F29F5">
        <w:rPr>
          <w:rStyle w:val="FootnoteReference"/>
          <w:rFonts w:cs="Times New Roman"/>
          <w:kern w:val="2"/>
          <w:sz w:val="20"/>
        </w:rPr>
        <w:footnoteReference w:id="296"/>
      </w:r>
      <w:r w:rsidR="000D12C3" w:rsidRPr="006F29F5">
        <w:rPr>
          <w:rFonts w:cs="Times New Roman"/>
          <w:kern w:val="2"/>
          <w:sz w:val="20"/>
        </w:rPr>
        <w:t xml:space="preserve"> </w:t>
      </w:r>
    </w:p>
    <w:p w14:paraId="5DAC8D51" w14:textId="73DD29C3" w:rsidR="001862FD" w:rsidRPr="006F29F5" w:rsidRDefault="00FF6073" w:rsidP="001C3F60">
      <w:pPr>
        <w:rPr>
          <w:b/>
          <w:kern w:val="2"/>
          <w:sz w:val="20"/>
        </w:rPr>
      </w:pPr>
      <w:r w:rsidRPr="006F29F5">
        <w:rPr>
          <w:b/>
          <w:kern w:val="2"/>
          <w:sz w:val="20"/>
        </w:rPr>
        <w:t>The Abacha Loot</w:t>
      </w:r>
    </w:p>
    <w:p w14:paraId="34E2A0A5" w14:textId="6BA7E075" w:rsidR="00987954" w:rsidRPr="006F29F5" w:rsidRDefault="00FF6073" w:rsidP="001C3F60">
      <w:pPr>
        <w:rPr>
          <w:kern w:val="2"/>
          <w:sz w:val="20"/>
        </w:rPr>
      </w:pPr>
      <w:r w:rsidRPr="006F29F5">
        <w:rPr>
          <w:kern w:val="2"/>
          <w:sz w:val="20"/>
        </w:rPr>
        <w:t xml:space="preserve">Barriers exist even </w:t>
      </w:r>
      <w:r w:rsidR="00C65E5A" w:rsidRPr="006F29F5">
        <w:rPr>
          <w:kern w:val="2"/>
          <w:sz w:val="20"/>
        </w:rPr>
        <w:t xml:space="preserve">in </w:t>
      </w:r>
      <w:r w:rsidRPr="006F29F5">
        <w:rPr>
          <w:kern w:val="2"/>
          <w:sz w:val="20"/>
        </w:rPr>
        <w:t xml:space="preserve">relatively successful cases of asset recovery. </w:t>
      </w:r>
      <w:r w:rsidR="000D12C3" w:rsidRPr="006F29F5">
        <w:rPr>
          <w:kern w:val="2"/>
          <w:sz w:val="20"/>
        </w:rPr>
        <w:t>The Ab</w:t>
      </w:r>
      <w:r w:rsidRPr="006F29F5">
        <w:rPr>
          <w:kern w:val="2"/>
          <w:sz w:val="20"/>
        </w:rPr>
        <w:t>acha case in Nigeria provides an example of a fairly successful asset recovery effort, although many hurdles were encountered along the way</w:t>
      </w:r>
      <w:r w:rsidR="000D12C3" w:rsidRPr="006F29F5">
        <w:rPr>
          <w:kern w:val="2"/>
          <w:sz w:val="20"/>
        </w:rPr>
        <w:t xml:space="preserve">. General Sani Abacha was Nigeria’s last military </w:t>
      </w:r>
      <w:r w:rsidR="00E833C3" w:rsidRPr="006F29F5">
        <w:rPr>
          <w:kern w:val="2"/>
          <w:sz w:val="20"/>
        </w:rPr>
        <w:t>dictator</w:t>
      </w:r>
      <w:r w:rsidR="00B14967" w:rsidRPr="006F29F5">
        <w:rPr>
          <w:kern w:val="2"/>
          <w:sz w:val="20"/>
        </w:rPr>
        <w:t xml:space="preserve"> and allegedly pilfered</w:t>
      </w:r>
      <w:r w:rsidR="005F18B9" w:rsidRPr="006F29F5">
        <w:rPr>
          <w:kern w:val="2"/>
          <w:sz w:val="20"/>
        </w:rPr>
        <w:t xml:space="preserve"> between $3 billion and $</w:t>
      </w:r>
      <w:r w:rsidR="00987954" w:rsidRPr="006F29F5">
        <w:rPr>
          <w:kern w:val="2"/>
          <w:sz w:val="20"/>
        </w:rPr>
        <w:t xml:space="preserve">5 </w:t>
      </w:r>
      <w:r w:rsidR="005F18B9" w:rsidRPr="006F29F5">
        <w:rPr>
          <w:kern w:val="2"/>
          <w:sz w:val="20"/>
        </w:rPr>
        <w:t>billion</w:t>
      </w:r>
      <w:r w:rsidR="00B14967" w:rsidRPr="006F29F5">
        <w:rPr>
          <w:kern w:val="2"/>
          <w:sz w:val="20"/>
        </w:rPr>
        <w:t xml:space="preserve"> from the country</w:t>
      </w:r>
      <w:r w:rsidR="00E833C3" w:rsidRPr="006F29F5">
        <w:rPr>
          <w:kern w:val="2"/>
          <w:sz w:val="20"/>
        </w:rPr>
        <w:t xml:space="preserve">. Nigeria began its efforts to recover the </w:t>
      </w:r>
      <w:r w:rsidR="00CC1E13" w:rsidRPr="006F29F5">
        <w:rPr>
          <w:kern w:val="2"/>
          <w:sz w:val="20"/>
        </w:rPr>
        <w:t>“</w:t>
      </w:r>
      <w:r w:rsidR="00E833C3" w:rsidRPr="006F29F5">
        <w:rPr>
          <w:kern w:val="2"/>
          <w:sz w:val="20"/>
        </w:rPr>
        <w:t>Abacha</w:t>
      </w:r>
      <w:r w:rsidR="00F73794" w:rsidRPr="006F29F5">
        <w:rPr>
          <w:kern w:val="2"/>
          <w:sz w:val="20"/>
        </w:rPr>
        <w:t xml:space="preserve"> loot</w:t>
      </w:r>
      <w:r w:rsidR="00CC1E13" w:rsidRPr="006F29F5">
        <w:rPr>
          <w:kern w:val="2"/>
          <w:sz w:val="20"/>
        </w:rPr>
        <w:t>”</w:t>
      </w:r>
      <w:r w:rsidR="00A55462" w:rsidRPr="006F29F5">
        <w:rPr>
          <w:kern w:val="2"/>
          <w:sz w:val="20"/>
        </w:rPr>
        <w:t xml:space="preserve"> in 1999 </w:t>
      </w:r>
      <w:r w:rsidRPr="006F29F5">
        <w:rPr>
          <w:kern w:val="2"/>
          <w:sz w:val="20"/>
        </w:rPr>
        <w:t>when it requested</w:t>
      </w:r>
      <w:r w:rsidR="00E833C3" w:rsidRPr="006F29F5">
        <w:rPr>
          <w:kern w:val="2"/>
          <w:sz w:val="20"/>
        </w:rPr>
        <w:t xml:space="preserve"> Switzerland to assist in </w:t>
      </w:r>
      <w:r w:rsidR="00B14967" w:rsidRPr="006F29F5">
        <w:rPr>
          <w:kern w:val="2"/>
          <w:sz w:val="20"/>
        </w:rPr>
        <w:t>freezing</w:t>
      </w:r>
      <w:r w:rsidR="00E833C3" w:rsidRPr="006F29F5">
        <w:rPr>
          <w:kern w:val="2"/>
          <w:sz w:val="20"/>
        </w:rPr>
        <w:t xml:space="preserve"> Abacha’s accounts. </w:t>
      </w:r>
    </w:p>
    <w:p w14:paraId="0FCA952F" w14:textId="4C8A05B7" w:rsidR="00BB3C0B" w:rsidRPr="006F29F5" w:rsidRDefault="005F18B9" w:rsidP="001C3F60">
      <w:pPr>
        <w:rPr>
          <w:kern w:val="2"/>
          <w:sz w:val="20"/>
        </w:rPr>
      </w:pPr>
      <w:r w:rsidRPr="006F29F5">
        <w:rPr>
          <w:kern w:val="2"/>
          <w:sz w:val="20"/>
        </w:rPr>
        <w:t xml:space="preserve">Daniel and </w:t>
      </w:r>
      <w:proofErr w:type="spellStart"/>
      <w:r w:rsidRPr="006F29F5">
        <w:rPr>
          <w:kern w:val="2"/>
          <w:sz w:val="20"/>
        </w:rPr>
        <w:t>Maton</w:t>
      </w:r>
      <w:proofErr w:type="spellEnd"/>
      <w:r w:rsidRPr="006F29F5">
        <w:rPr>
          <w:kern w:val="2"/>
          <w:sz w:val="20"/>
        </w:rPr>
        <w:t xml:space="preserve"> </w:t>
      </w:r>
      <w:r w:rsidR="00E833C3" w:rsidRPr="006F29F5">
        <w:rPr>
          <w:kern w:val="2"/>
          <w:sz w:val="20"/>
        </w:rPr>
        <w:t>d</w:t>
      </w:r>
      <w:r w:rsidR="001862FD" w:rsidRPr="006F29F5">
        <w:rPr>
          <w:kern w:val="2"/>
          <w:sz w:val="20"/>
        </w:rPr>
        <w:t>escribe the successes and challenges encountered in the Abacha saga</w:t>
      </w:r>
      <w:r w:rsidRPr="006F29F5">
        <w:rPr>
          <w:kern w:val="2"/>
          <w:sz w:val="20"/>
        </w:rPr>
        <w:t>.</w:t>
      </w:r>
      <w:r w:rsidR="00A143F0" w:rsidRPr="006F29F5">
        <w:rPr>
          <w:rStyle w:val="FootnoteReference"/>
          <w:rFonts w:cs="Times New Roman"/>
          <w:kern w:val="2"/>
          <w:sz w:val="20"/>
        </w:rPr>
        <w:footnoteReference w:id="297"/>
      </w:r>
      <w:r w:rsidR="0000075D" w:rsidRPr="006F29F5">
        <w:rPr>
          <w:kern w:val="2"/>
          <w:sz w:val="20"/>
        </w:rPr>
        <w:t xml:space="preserve"> </w:t>
      </w:r>
      <w:r w:rsidR="00BB3C0B" w:rsidRPr="006F29F5">
        <w:rPr>
          <w:kern w:val="2"/>
          <w:sz w:val="20"/>
        </w:rPr>
        <w:t xml:space="preserve">At the time Daniel and </w:t>
      </w:r>
      <w:proofErr w:type="spellStart"/>
      <w:r w:rsidR="00BB3C0B" w:rsidRPr="006F29F5">
        <w:rPr>
          <w:kern w:val="2"/>
          <w:sz w:val="20"/>
        </w:rPr>
        <w:t>Maton</w:t>
      </w:r>
      <w:proofErr w:type="spellEnd"/>
      <w:r w:rsidR="00BB3C0B" w:rsidRPr="006F29F5">
        <w:rPr>
          <w:kern w:val="2"/>
          <w:sz w:val="20"/>
        </w:rPr>
        <w:t xml:space="preserve"> wrote their article in 2013, about $2.3 billion had </w:t>
      </w:r>
      <w:r w:rsidR="002961E0" w:rsidRPr="006F29F5">
        <w:rPr>
          <w:kern w:val="2"/>
          <w:sz w:val="20"/>
        </w:rPr>
        <w:t>been</w:t>
      </w:r>
      <w:r w:rsidR="00BB3C0B" w:rsidRPr="006F29F5">
        <w:rPr>
          <w:kern w:val="2"/>
          <w:sz w:val="20"/>
        </w:rPr>
        <w:t xml:space="preserve"> recovered by Nigeria</w:t>
      </w:r>
      <w:r w:rsidR="00593CF1" w:rsidRPr="006F29F5">
        <w:rPr>
          <w:kern w:val="2"/>
          <w:sz w:val="20"/>
        </w:rPr>
        <w:t>,</w:t>
      </w:r>
      <w:r w:rsidR="00BB3C0B" w:rsidRPr="006F29F5">
        <w:rPr>
          <w:kern w:val="2"/>
          <w:sz w:val="20"/>
        </w:rPr>
        <w:t xml:space="preserve"> and other funds have been recovered since then</w:t>
      </w:r>
      <w:r w:rsidR="00987954" w:rsidRPr="006F29F5">
        <w:rPr>
          <w:kern w:val="2"/>
          <w:sz w:val="20"/>
        </w:rPr>
        <w:t>. F</w:t>
      </w:r>
      <w:r w:rsidR="00BB3C0B" w:rsidRPr="006F29F5">
        <w:rPr>
          <w:kern w:val="2"/>
          <w:sz w:val="20"/>
        </w:rPr>
        <w:t>or example, after sixteen years, Swiss proceedings relating to the Abacha loot we</w:t>
      </w:r>
      <w:r w:rsidR="005E309A" w:rsidRPr="006F29F5">
        <w:rPr>
          <w:kern w:val="2"/>
          <w:sz w:val="20"/>
        </w:rPr>
        <w:t>re concluded in March 2015 with</w:t>
      </w:r>
      <w:r w:rsidR="00BB3C0B" w:rsidRPr="006F29F5">
        <w:rPr>
          <w:kern w:val="2"/>
          <w:sz w:val="20"/>
        </w:rPr>
        <w:t xml:space="preserve"> a decision to return €360 million to Nigeria. </w:t>
      </w:r>
    </w:p>
    <w:p w14:paraId="430D7D8F" w14:textId="3B5A53BC" w:rsidR="00B76FEE" w:rsidRPr="006F29F5" w:rsidRDefault="0000075D" w:rsidP="001C3F60">
      <w:pPr>
        <w:rPr>
          <w:kern w:val="2"/>
          <w:sz w:val="20"/>
        </w:rPr>
      </w:pPr>
      <w:r w:rsidRPr="006F29F5">
        <w:rPr>
          <w:kern w:val="2"/>
          <w:sz w:val="20"/>
        </w:rPr>
        <w:t>A</w:t>
      </w:r>
      <w:r w:rsidR="00B76FEE" w:rsidRPr="006F29F5">
        <w:rPr>
          <w:kern w:val="2"/>
          <w:sz w:val="20"/>
        </w:rPr>
        <w:t xml:space="preserve">ccording to Daniel and </w:t>
      </w:r>
      <w:proofErr w:type="spellStart"/>
      <w:r w:rsidR="00B76FEE" w:rsidRPr="006F29F5">
        <w:rPr>
          <w:kern w:val="2"/>
          <w:sz w:val="20"/>
        </w:rPr>
        <w:t>Maton</w:t>
      </w:r>
      <w:proofErr w:type="spellEnd"/>
      <w:r w:rsidR="00B76FEE" w:rsidRPr="006F29F5">
        <w:rPr>
          <w:kern w:val="2"/>
          <w:sz w:val="20"/>
        </w:rPr>
        <w:t>, Nigeria’s ability to maintain political will from 1999 to the present has contributed greatly to successes</w:t>
      </w:r>
      <w:r w:rsidR="00987954" w:rsidRPr="006F29F5">
        <w:rPr>
          <w:kern w:val="2"/>
          <w:sz w:val="20"/>
        </w:rPr>
        <w:t xml:space="preserve"> in the asset recovery process</w:t>
      </w:r>
      <w:r w:rsidR="00B76FEE" w:rsidRPr="006F29F5">
        <w:rPr>
          <w:kern w:val="2"/>
          <w:sz w:val="20"/>
        </w:rPr>
        <w:t xml:space="preserve">. Nigeria also set up </w:t>
      </w:r>
      <w:r w:rsidRPr="006F29F5">
        <w:rPr>
          <w:kern w:val="2"/>
          <w:sz w:val="20"/>
        </w:rPr>
        <w:t>a Special Investigativ</w:t>
      </w:r>
      <w:r w:rsidR="00987954" w:rsidRPr="006F29F5">
        <w:rPr>
          <w:kern w:val="2"/>
          <w:sz w:val="20"/>
        </w:rPr>
        <w:t>e Panel that</w:t>
      </w:r>
      <w:r w:rsidRPr="006F29F5">
        <w:rPr>
          <w:kern w:val="2"/>
          <w:sz w:val="20"/>
        </w:rPr>
        <w:t xml:space="preserve"> uncover</w:t>
      </w:r>
      <w:r w:rsidR="00987954" w:rsidRPr="006F29F5">
        <w:rPr>
          <w:kern w:val="2"/>
          <w:sz w:val="20"/>
        </w:rPr>
        <w:t>ed</w:t>
      </w:r>
      <w:r w:rsidRPr="006F29F5">
        <w:rPr>
          <w:kern w:val="2"/>
          <w:sz w:val="20"/>
        </w:rPr>
        <w:t xml:space="preserve"> valuable information to assist in MLA requests. In Switzerland, Nigeria was able to take part in proceedings through the </w:t>
      </w:r>
      <w:proofErr w:type="spellStart"/>
      <w:r w:rsidRPr="006F29F5">
        <w:rPr>
          <w:i/>
          <w:kern w:val="2"/>
          <w:sz w:val="20"/>
        </w:rPr>
        <w:t>partie</w:t>
      </w:r>
      <w:proofErr w:type="spellEnd"/>
      <w:r w:rsidRPr="006F29F5">
        <w:rPr>
          <w:i/>
          <w:kern w:val="2"/>
          <w:sz w:val="20"/>
        </w:rPr>
        <w:t xml:space="preserve"> </w:t>
      </w:r>
      <w:proofErr w:type="spellStart"/>
      <w:r w:rsidRPr="006F29F5">
        <w:rPr>
          <w:i/>
          <w:kern w:val="2"/>
          <w:sz w:val="20"/>
        </w:rPr>
        <w:t>civile</w:t>
      </w:r>
      <w:proofErr w:type="spellEnd"/>
      <w:r w:rsidRPr="006F29F5">
        <w:rPr>
          <w:i/>
          <w:kern w:val="2"/>
          <w:sz w:val="20"/>
        </w:rPr>
        <w:t xml:space="preserve"> </w:t>
      </w:r>
      <w:r w:rsidRPr="006F29F5">
        <w:rPr>
          <w:kern w:val="2"/>
          <w:sz w:val="20"/>
        </w:rPr>
        <w:t xml:space="preserve">procedure. This allowed Nigeria to persuade the court that the Abacha family was a criminal organization, thereby shifting the burden of proof to the </w:t>
      </w:r>
      <w:proofErr w:type="spellStart"/>
      <w:r w:rsidRPr="006F29F5">
        <w:rPr>
          <w:kern w:val="2"/>
          <w:sz w:val="20"/>
        </w:rPr>
        <w:t>Abachas</w:t>
      </w:r>
      <w:proofErr w:type="spellEnd"/>
      <w:r w:rsidRPr="006F29F5">
        <w:rPr>
          <w:kern w:val="2"/>
          <w:sz w:val="20"/>
        </w:rPr>
        <w:t xml:space="preserve"> to show their funds were legitimate. Since the </w:t>
      </w:r>
      <w:proofErr w:type="spellStart"/>
      <w:r w:rsidRPr="006F29F5">
        <w:rPr>
          <w:kern w:val="2"/>
          <w:sz w:val="20"/>
        </w:rPr>
        <w:t>Abachas</w:t>
      </w:r>
      <w:proofErr w:type="spellEnd"/>
      <w:r w:rsidRPr="006F29F5">
        <w:rPr>
          <w:kern w:val="2"/>
          <w:sz w:val="20"/>
        </w:rPr>
        <w:t xml:space="preserve"> were unable</w:t>
      </w:r>
      <w:r w:rsidR="00987954" w:rsidRPr="006F29F5">
        <w:rPr>
          <w:kern w:val="2"/>
          <w:sz w:val="20"/>
        </w:rPr>
        <w:t xml:space="preserve"> to do so, Nigeria recovered</w:t>
      </w:r>
      <w:r w:rsidRPr="006F29F5">
        <w:rPr>
          <w:kern w:val="2"/>
          <w:sz w:val="20"/>
        </w:rPr>
        <w:t xml:space="preserve"> $0.5 billion. Nigeria promised to devote the money to projects for the benefit of the Nigerian people and the World Bank was appointed as trustee to ensure the funds were used properly. These proceedings lasted six years in total. </w:t>
      </w:r>
    </w:p>
    <w:p w14:paraId="08AC49FC" w14:textId="77777777" w:rsidR="00997D19" w:rsidRPr="006F29F5" w:rsidRDefault="0000075D" w:rsidP="001C3F60">
      <w:pPr>
        <w:rPr>
          <w:kern w:val="2"/>
          <w:sz w:val="20"/>
        </w:rPr>
      </w:pPr>
      <w:r w:rsidRPr="006F29F5">
        <w:rPr>
          <w:kern w:val="2"/>
          <w:sz w:val="20"/>
        </w:rPr>
        <w:t xml:space="preserve">Along with these relative successes, Daniel and </w:t>
      </w:r>
      <w:proofErr w:type="spellStart"/>
      <w:r w:rsidRPr="006F29F5">
        <w:rPr>
          <w:kern w:val="2"/>
          <w:sz w:val="20"/>
        </w:rPr>
        <w:t>Maton</w:t>
      </w:r>
      <w:proofErr w:type="spellEnd"/>
      <w:r w:rsidRPr="006F29F5">
        <w:rPr>
          <w:kern w:val="2"/>
          <w:sz w:val="20"/>
        </w:rPr>
        <w:t xml:space="preserve"> describe the many challenges encountered during the asset recovery process. Responses to MLA requests were often unhelpful. For example, the UK took four years to provide the</w:t>
      </w:r>
      <w:r w:rsidR="00987954" w:rsidRPr="006F29F5">
        <w:rPr>
          <w:kern w:val="2"/>
          <w:sz w:val="20"/>
        </w:rPr>
        <w:t xml:space="preserve"> information requested by Nigeria</w:t>
      </w:r>
      <w:r w:rsidRPr="006F29F5">
        <w:rPr>
          <w:kern w:val="2"/>
          <w:sz w:val="20"/>
        </w:rPr>
        <w:t xml:space="preserve">. During this time, the Abacha family brought two applications for judicial review in the UK, slowing the process. The </w:t>
      </w:r>
      <w:proofErr w:type="spellStart"/>
      <w:r w:rsidRPr="006F29F5">
        <w:rPr>
          <w:kern w:val="2"/>
          <w:sz w:val="20"/>
        </w:rPr>
        <w:t>Abacha</w:t>
      </w:r>
      <w:r w:rsidR="005E309A" w:rsidRPr="006F29F5">
        <w:rPr>
          <w:kern w:val="2"/>
          <w:sz w:val="20"/>
        </w:rPr>
        <w:t>s</w:t>
      </w:r>
      <w:proofErr w:type="spellEnd"/>
      <w:r w:rsidRPr="006F29F5">
        <w:rPr>
          <w:kern w:val="2"/>
          <w:sz w:val="20"/>
        </w:rPr>
        <w:t xml:space="preserve"> also mounted many challenges to MLA requests </w:t>
      </w:r>
      <w:r w:rsidR="005E309A" w:rsidRPr="006F29F5">
        <w:rPr>
          <w:kern w:val="2"/>
          <w:sz w:val="20"/>
        </w:rPr>
        <w:t>in other jurisdictions, maintaining</w:t>
      </w:r>
      <w:r w:rsidRPr="006F29F5">
        <w:rPr>
          <w:kern w:val="2"/>
          <w:sz w:val="20"/>
        </w:rPr>
        <w:t xml:space="preserve"> apparently endless funding for such legal battles. The process of asset recovery was also </w:t>
      </w:r>
      <w:r w:rsidR="00C65E5A" w:rsidRPr="006F29F5">
        <w:rPr>
          <w:kern w:val="2"/>
          <w:sz w:val="20"/>
        </w:rPr>
        <w:t>hindered by Nigerian court judg</w:t>
      </w:r>
      <w:r w:rsidRPr="006F29F5">
        <w:rPr>
          <w:kern w:val="2"/>
          <w:sz w:val="20"/>
        </w:rPr>
        <w:t xml:space="preserve">ments that were likely the product of bribes. For example, a Nigerian court complicated the MLA process in the UK by declaring MLA requests unconstitutional. Liechtenstein’s Chief Examining Magistrate was also ordered by a court to refrain from interviewing Abacha’s eldest son on the basis that such an interview would be against the rule of law </w:t>
      </w:r>
      <w:r w:rsidR="00987954" w:rsidRPr="006F29F5">
        <w:rPr>
          <w:kern w:val="2"/>
          <w:sz w:val="20"/>
        </w:rPr>
        <w:t xml:space="preserve">and </w:t>
      </w:r>
      <w:r w:rsidRPr="006F29F5">
        <w:rPr>
          <w:kern w:val="2"/>
          <w:sz w:val="20"/>
        </w:rPr>
        <w:t>infringe sovereignty</w:t>
      </w:r>
      <w:r w:rsidR="00987954" w:rsidRPr="006F29F5">
        <w:rPr>
          <w:kern w:val="2"/>
          <w:sz w:val="20"/>
        </w:rPr>
        <w:t xml:space="preserve">. In June 2014, however, </w:t>
      </w:r>
      <w:r w:rsidR="00BB3C0B" w:rsidRPr="006F29F5">
        <w:rPr>
          <w:kern w:val="2"/>
          <w:sz w:val="20"/>
        </w:rPr>
        <w:t>Li</w:t>
      </w:r>
      <w:r w:rsidR="00987954" w:rsidRPr="006F29F5">
        <w:rPr>
          <w:kern w:val="2"/>
          <w:sz w:val="20"/>
        </w:rPr>
        <w:t>echtenstein</w:t>
      </w:r>
      <w:r w:rsidR="00BB3C0B" w:rsidRPr="006F29F5">
        <w:rPr>
          <w:kern w:val="2"/>
          <w:sz w:val="20"/>
        </w:rPr>
        <w:t xml:space="preserve"> succeeded in returning $227 million</w:t>
      </w:r>
      <w:r w:rsidR="00987954" w:rsidRPr="006F29F5">
        <w:rPr>
          <w:kern w:val="2"/>
          <w:sz w:val="20"/>
        </w:rPr>
        <w:t xml:space="preserve"> of the Abacha loot </w:t>
      </w:r>
      <w:r w:rsidR="00BB3C0B" w:rsidRPr="006F29F5">
        <w:rPr>
          <w:kern w:val="2"/>
          <w:sz w:val="20"/>
        </w:rPr>
        <w:t>to Nigeria. In order to obtain this recovery</w:t>
      </w:r>
      <w:r w:rsidR="005E309A" w:rsidRPr="006F29F5">
        <w:rPr>
          <w:kern w:val="2"/>
          <w:sz w:val="20"/>
        </w:rPr>
        <w:t xml:space="preserve"> and end legal challenges against the Liechtenstein proceedings by the Abacha family</w:t>
      </w:r>
      <w:r w:rsidR="00BB3C0B" w:rsidRPr="006F29F5">
        <w:rPr>
          <w:kern w:val="2"/>
          <w:sz w:val="20"/>
        </w:rPr>
        <w:t xml:space="preserve">, Nigeria agreed to drop charges against Abacha’s eldest son. </w:t>
      </w:r>
    </w:p>
    <w:tbl>
      <w:tblPr>
        <w:tblStyle w:val="TableGrid"/>
        <w:tblpPr w:leftFromText="180" w:rightFromText="180" w:vertAnchor="text" w:tblpXSpec="center" w:tblpY="1"/>
        <w:tblOverlap w:val="never"/>
        <w:tblW w:w="0" w:type="auto"/>
        <w:tblCellMar>
          <w:top w:w="142" w:type="dxa"/>
          <w:left w:w="284" w:type="dxa"/>
          <w:bottom w:w="142" w:type="dxa"/>
          <w:right w:w="284" w:type="dxa"/>
        </w:tblCellMar>
        <w:tblLook w:val="04A0" w:firstRow="1" w:lastRow="0" w:firstColumn="1" w:lastColumn="0" w:noHBand="0" w:noVBand="1"/>
      </w:tblPr>
      <w:tblGrid>
        <w:gridCol w:w="8070"/>
      </w:tblGrid>
      <w:tr w:rsidR="00995FFD" w:rsidRPr="006F29F5" w14:paraId="2439D209" w14:textId="77777777" w:rsidTr="001D2049">
        <w:tc>
          <w:tcPr>
            <w:tcW w:w="9350" w:type="dxa"/>
          </w:tcPr>
          <w:p w14:paraId="672A59EB" w14:textId="77777777" w:rsidR="00995FFD" w:rsidRPr="006F29F5" w:rsidRDefault="00995FFD" w:rsidP="00F559DA">
            <w:pPr>
              <w:spacing w:before="120"/>
              <w:rPr>
                <w:rFonts w:cs="Times New Roman"/>
                <w:b/>
                <w:kern w:val="2"/>
                <w:sz w:val="20"/>
              </w:rPr>
            </w:pPr>
            <w:r w:rsidRPr="006F29F5">
              <w:rPr>
                <w:rFonts w:cs="Times New Roman"/>
                <w:b/>
                <w:kern w:val="2"/>
                <w:sz w:val="20"/>
              </w:rPr>
              <w:t xml:space="preserve">Further Reading </w:t>
            </w:r>
          </w:p>
          <w:p w14:paraId="3E2C85A9" w14:textId="77777777" w:rsidR="001D2049" w:rsidRPr="000F6447" w:rsidRDefault="00995FFD" w:rsidP="001D2049">
            <w:pPr>
              <w:spacing w:before="120" w:after="0"/>
              <w:rPr>
                <w:rFonts w:cs="Times New Roman"/>
                <w:spacing w:val="-2"/>
                <w:kern w:val="2"/>
                <w:sz w:val="20"/>
              </w:rPr>
            </w:pPr>
            <w:r w:rsidRPr="000F6447">
              <w:rPr>
                <w:rFonts w:cs="Times New Roman"/>
                <w:spacing w:val="-2"/>
                <w:kern w:val="2"/>
                <w:sz w:val="20"/>
              </w:rPr>
              <w:t>For an in-depth discussion of barriers to MLA and asset recovery and recommendations for success, see Stephenson et al</w:t>
            </w:r>
            <w:r w:rsidR="00660991" w:rsidRPr="000F6447">
              <w:rPr>
                <w:rFonts w:cs="Times New Roman"/>
                <w:spacing w:val="-2"/>
                <w:kern w:val="2"/>
                <w:sz w:val="20"/>
              </w:rPr>
              <w:t>.</w:t>
            </w:r>
            <w:r w:rsidRPr="000F6447">
              <w:rPr>
                <w:rFonts w:cs="Times New Roman"/>
                <w:spacing w:val="-2"/>
                <w:kern w:val="2"/>
                <w:sz w:val="20"/>
              </w:rPr>
              <w:t xml:space="preserve">, (2011), online: </w:t>
            </w:r>
          </w:p>
          <w:p w14:paraId="52CD2CBB" w14:textId="3FE32CFE" w:rsidR="00995FFD" w:rsidRPr="006F29F5" w:rsidRDefault="00995FFD" w:rsidP="00F559DA">
            <w:pPr>
              <w:spacing w:before="0" w:after="120"/>
              <w:rPr>
                <w:rFonts w:cs="Times New Roman"/>
                <w:kern w:val="2"/>
                <w:sz w:val="20"/>
              </w:rPr>
            </w:pPr>
            <w:r w:rsidRPr="006F29F5">
              <w:rPr>
                <w:rFonts w:cs="Times New Roman"/>
                <w:kern w:val="2"/>
                <w:sz w:val="20"/>
              </w:rPr>
              <w:t>&lt;</w:t>
            </w:r>
            <w:hyperlink r:id="rId41" w:history="1">
              <w:r w:rsidR="001D2049" w:rsidRPr="006F29F5">
                <w:rPr>
                  <w:rStyle w:val="Hyperlink"/>
                  <w:rFonts w:cs="Times New Roman"/>
                  <w:kern w:val="2"/>
                  <w:sz w:val="20"/>
                </w:rPr>
                <w:t>https://star.worldbank.org/star/sites/star/files/Barriers to Asset Recovery.pdf</w:t>
              </w:r>
            </w:hyperlink>
            <w:r w:rsidRPr="006F29F5">
              <w:rPr>
                <w:rFonts w:cs="Times New Roman"/>
                <w:kern w:val="2"/>
                <w:sz w:val="20"/>
              </w:rPr>
              <w:t>&gt;.</w:t>
            </w:r>
          </w:p>
        </w:tc>
      </w:tr>
    </w:tbl>
    <w:p w14:paraId="45408BE8" w14:textId="77777777" w:rsidR="00995FFD" w:rsidRPr="006F29F5" w:rsidRDefault="00995FFD" w:rsidP="007C7553">
      <w:pPr>
        <w:spacing w:before="0" w:after="0"/>
        <w:rPr>
          <w:rFonts w:cs="Times New Roman"/>
          <w:sz w:val="2"/>
        </w:rPr>
      </w:pPr>
    </w:p>
    <w:sectPr w:rsidR="00995FFD" w:rsidRPr="006F29F5" w:rsidSect="008B4B29">
      <w:headerReference w:type="even" r:id="rId42"/>
      <w:headerReference w:type="default" r:id="rId43"/>
      <w:footerReference w:type="even" r:id="rId44"/>
      <w:footerReference w:type="default" r:id="rId45"/>
      <w:headerReference w:type="first" r:id="rId46"/>
      <w:pgSz w:w="10801" w:h="15122" w:code="1"/>
      <w:pgMar w:top="1440" w:right="1077" w:bottom="1440" w:left="1077" w:header="567" w:footer="567" w:gutter="567"/>
      <w:pgNumType w:start="38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206B36" w14:textId="77777777" w:rsidR="003D0153" w:rsidRDefault="003D0153" w:rsidP="00C553B3">
      <w:r>
        <w:separator/>
      </w:r>
    </w:p>
  </w:endnote>
  <w:endnote w:type="continuationSeparator" w:id="0">
    <w:p w14:paraId="2BF7FBE1" w14:textId="77777777" w:rsidR="003D0153" w:rsidRDefault="003D0153" w:rsidP="00C55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swiss"/>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Times New Roman"/>
      </w:rPr>
      <w:id w:val="1900777855"/>
      <w:docPartObj>
        <w:docPartGallery w:val="Page Numbers (Bottom of Page)"/>
        <w:docPartUnique/>
      </w:docPartObj>
    </w:sdtPr>
    <w:sdtEndPr>
      <w:rPr>
        <w:noProof/>
        <w:sz w:val="18"/>
      </w:rPr>
    </w:sdtEndPr>
    <w:sdtContent>
      <w:p w14:paraId="7A16EAB4" w14:textId="69E65561" w:rsidR="003D0153" w:rsidRPr="00265B72" w:rsidRDefault="003D0153" w:rsidP="00265B72">
        <w:pPr>
          <w:tabs>
            <w:tab w:val="center" w:pos="4680"/>
          </w:tabs>
          <w:spacing w:before="0" w:after="0"/>
          <w:ind w:left="-283" w:right="-283"/>
          <w:rPr>
            <w:rFonts w:eastAsia="Calibri" w:cs="Times New Roman"/>
          </w:rPr>
        </w:pPr>
        <w:r w:rsidRPr="00265B72">
          <w:rPr>
            <w:rFonts w:eastAsia="Calibri" w:cs="Times New Roman"/>
          </w:rPr>
          <w:fldChar w:fldCharType="begin"/>
        </w:r>
        <w:r w:rsidRPr="00265B72">
          <w:rPr>
            <w:rFonts w:eastAsia="Calibri" w:cs="Times New Roman"/>
          </w:rPr>
          <w:instrText xml:space="preserve"> PAGE   \* MERGEFORMAT </w:instrText>
        </w:r>
        <w:r w:rsidRPr="00265B72">
          <w:rPr>
            <w:rFonts w:eastAsia="Calibri" w:cs="Times New Roman"/>
          </w:rPr>
          <w:fldChar w:fldCharType="separate"/>
        </w:r>
        <w:r w:rsidR="001E47B9">
          <w:rPr>
            <w:rFonts w:eastAsia="Calibri" w:cs="Times New Roman"/>
            <w:noProof/>
          </w:rPr>
          <w:t>458</w:t>
        </w:r>
        <w:r w:rsidRPr="00265B72">
          <w:rPr>
            <w:rFonts w:eastAsia="Calibri" w:cs="Times New Roman"/>
            <w:noProof/>
          </w:rPr>
          <w:fldChar w:fldCharType="end"/>
        </w:r>
        <w:r w:rsidRPr="00265B72">
          <w:rPr>
            <w:rFonts w:eastAsia="Calibri" w:cs="Times New Roman"/>
          </w:rPr>
          <w:tab/>
        </w:r>
        <w:r w:rsidRPr="00265B72">
          <w:rPr>
            <w:rFonts w:eastAsia="Calibri" w:cs="Times New Roman"/>
          </w:rPr>
          <w:tab/>
        </w:r>
        <w:r w:rsidRPr="00265B72">
          <w:rPr>
            <w:rFonts w:eastAsia="Calibri" w:cs="Times New Roman"/>
          </w:rPr>
          <w:tab/>
        </w:r>
        <w:r w:rsidRPr="00265B72">
          <w:rPr>
            <w:rFonts w:eastAsia="Calibri" w:cs="Times New Roman"/>
          </w:rPr>
          <w:tab/>
        </w:r>
        <w:r w:rsidRPr="00265B72">
          <w:rPr>
            <w:rFonts w:eastAsia="Calibri" w:cs="Times New Roman"/>
            <w:sz w:val="18"/>
          </w:rPr>
          <w:t xml:space="preserve">            </w:t>
        </w:r>
        <w:r>
          <w:rPr>
            <w:rFonts w:eastAsia="Calibri" w:cs="Times New Roman"/>
            <w:sz w:val="18"/>
          </w:rPr>
          <w:t xml:space="preserve">           </w:t>
        </w:r>
        <w:r>
          <w:rPr>
            <w:rFonts w:eastAsia="Calibri" w:cs="Times New Roman"/>
            <w:smallCaps/>
            <w:sz w:val="18"/>
          </w:rPr>
          <w:t>April</w:t>
        </w:r>
        <w:r w:rsidRPr="00265B72">
          <w:rPr>
            <w:rFonts w:eastAsia="Calibri" w:cs="Times New Roman"/>
            <w:sz w:val="18"/>
          </w:rPr>
          <w:t xml:space="preserve"> 2018</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Calibri" w:cs="Times New Roman"/>
        <w:sz w:val="18"/>
        <w:szCs w:val="18"/>
      </w:rPr>
      <w:id w:val="76958116"/>
      <w:docPartObj>
        <w:docPartGallery w:val="Page Numbers (Bottom of Page)"/>
        <w:docPartUnique/>
      </w:docPartObj>
    </w:sdtPr>
    <w:sdtEndPr>
      <w:rPr>
        <w:noProof/>
        <w:sz w:val="22"/>
        <w:szCs w:val="22"/>
      </w:rPr>
    </w:sdtEndPr>
    <w:sdtContent>
      <w:p w14:paraId="1AF25B49" w14:textId="2DFAEC8A" w:rsidR="003D0153" w:rsidRPr="00265B72" w:rsidRDefault="003D0153" w:rsidP="00265B72">
        <w:pPr>
          <w:tabs>
            <w:tab w:val="center" w:pos="4680"/>
            <w:tab w:val="right" w:pos="9639"/>
          </w:tabs>
          <w:spacing w:before="0" w:after="0"/>
          <w:ind w:left="-283" w:right="-283"/>
          <w:jc w:val="left"/>
          <w:rPr>
            <w:rFonts w:eastAsia="Calibri" w:cs="Times New Roman"/>
          </w:rPr>
        </w:pPr>
        <w:r w:rsidRPr="00656672">
          <w:rPr>
            <w:rFonts w:eastAsia="Calibri" w:cs="Times New Roman"/>
            <w:smallCaps/>
            <w:sz w:val="18"/>
            <w:szCs w:val="18"/>
          </w:rPr>
          <w:t>April 2018</w:t>
        </w:r>
        <w:r w:rsidRPr="00265B72">
          <w:rPr>
            <w:rFonts w:eastAsia="Calibri" w:cs="Times New Roman"/>
          </w:rPr>
          <w:tab/>
        </w:r>
        <w:r w:rsidRPr="00265B72">
          <w:rPr>
            <w:rFonts w:eastAsia="Calibri" w:cs="Times New Roman"/>
          </w:rPr>
          <w:tab/>
        </w:r>
        <w:r w:rsidRPr="00265B72">
          <w:rPr>
            <w:rFonts w:eastAsia="Calibri" w:cs="Times New Roman"/>
          </w:rPr>
          <w:fldChar w:fldCharType="begin"/>
        </w:r>
        <w:r w:rsidRPr="00265B72">
          <w:rPr>
            <w:rFonts w:eastAsia="Calibri" w:cs="Times New Roman"/>
          </w:rPr>
          <w:instrText xml:space="preserve"> PAGE   \* MERGEFORMAT </w:instrText>
        </w:r>
        <w:r w:rsidRPr="00265B72">
          <w:rPr>
            <w:rFonts w:eastAsia="Calibri" w:cs="Times New Roman"/>
          </w:rPr>
          <w:fldChar w:fldCharType="separate"/>
        </w:r>
        <w:r w:rsidR="001E47B9">
          <w:rPr>
            <w:rFonts w:eastAsia="Calibri" w:cs="Times New Roman"/>
            <w:noProof/>
          </w:rPr>
          <w:t>457</w:t>
        </w:r>
        <w:r w:rsidRPr="00265B72">
          <w:rPr>
            <w:rFonts w:eastAsia="Calibri"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A56E48" w14:textId="77777777" w:rsidR="003D0153" w:rsidRDefault="003D0153" w:rsidP="0064183F">
      <w:pPr>
        <w:spacing w:after="0"/>
      </w:pPr>
      <w:r>
        <w:separator/>
      </w:r>
    </w:p>
  </w:footnote>
  <w:footnote w:type="continuationSeparator" w:id="0">
    <w:p w14:paraId="6A0DD894" w14:textId="77777777" w:rsidR="003D0153" w:rsidRDefault="003D0153" w:rsidP="00C553B3">
      <w:r>
        <w:continuationSeparator/>
      </w:r>
    </w:p>
  </w:footnote>
  <w:footnote w:id="1">
    <w:p w14:paraId="55D1A9C8" w14:textId="69E4392F" w:rsidR="003D0153" w:rsidRPr="006F29F5" w:rsidRDefault="003D0153" w:rsidP="000E35A1">
      <w:pPr>
        <w:pStyle w:val="FootnoteText"/>
        <w:rPr>
          <w:rFonts w:cs="Times New Roman"/>
        </w:rPr>
      </w:pPr>
      <w:r w:rsidRPr="006F29F5">
        <w:rPr>
          <w:rStyle w:val="FootnoteReference"/>
          <w:rFonts w:cs="Times New Roman"/>
        </w:rPr>
        <w:footnoteRef/>
      </w:r>
      <w:r w:rsidRPr="006F29F5">
        <w:rPr>
          <w:rFonts w:cs="Times New Roman"/>
        </w:rPr>
        <w:t xml:space="preserve"> </w:t>
      </w:r>
      <w:r w:rsidRPr="003B728A">
        <w:rPr>
          <w:rFonts w:cs="Times New Roman"/>
          <w:spacing w:val="-2"/>
        </w:rPr>
        <w:t>World Bank &amp; United Nations Office on Drugs and Crime, “Stolen Asset Recovery (</w:t>
      </w:r>
      <w:proofErr w:type="spellStart"/>
      <w:r w:rsidRPr="003B728A">
        <w:rPr>
          <w:rFonts w:cs="Times New Roman"/>
          <w:spacing w:val="-2"/>
        </w:rPr>
        <w:t>StAR</w:t>
      </w:r>
      <w:proofErr w:type="spellEnd"/>
      <w:r w:rsidRPr="003B728A">
        <w:rPr>
          <w:rFonts w:cs="Times New Roman"/>
          <w:spacing w:val="-2"/>
        </w:rPr>
        <w:t>) Initiative: Challenges, Opportunities, and Action Plan” (World Bank, 2007) at 9, online: &lt;</w:t>
      </w:r>
      <w:hyperlink r:id="rId1" w:history="1">
        <w:r w:rsidRPr="003B728A">
          <w:rPr>
            <w:rStyle w:val="Hyperlink"/>
            <w:rFonts w:cs="Times New Roman"/>
            <w:spacing w:val="-2"/>
          </w:rPr>
          <w:t>http://www.unodc.org/documents/corruption/StAR-Sept07-full.pdf</w:t>
        </w:r>
      </w:hyperlink>
      <w:r w:rsidRPr="003B728A">
        <w:rPr>
          <w:rFonts w:cs="Times New Roman"/>
          <w:spacing w:val="-2"/>
        </w:rPr>
        <w:t>&gt;.</w:t>
      </w:r>
    </w:p>
  </w:footnote>
  <w:footnote w:id="2">
    <w:p w14:paraId="676B3864" w14:textId="4CB1C7FC" w:rsidR="003D0153" w:rsidRPr="006F29F5" w:rsidRDefault="003D0153" w:rsidP="000E35A1">
      <w:pPr>
        <w:pStyle w:val="FootnoteText"/>
        <w:rPr>
          <w:rFonts w:cs="Times New Roman"/>
        </w:rPr>
      </w:pPr>
      <w:r w:rsidRPr="006F29F5">
        <w:rPr>
          <w:rStyle w:val="FootnoteReference"/>
          <w:rFonts w:cs="Times New Roman"/>
        </w:rPr>
        <w:footnoteRef/>
      </w:r>
      <w:r w:rsidRPr="006F29F5">
        <w:rPr>
          <w:rFonts w:cs="Times New Roman"/>
        </w:rPr>
        <w:t xml:space="preserve"> World Bank &amp; United Nations Office on Drugs and Crime, “Barriers to Asset Recovery: An Analysis of the Key Barriers and Recommendations for Action” (World Bank, 2011) at 1.</w:t>
      </w:r>
    </w:p>
  </w:footnote>
  <w:footnote w:id="3">
    <w:p w14:paraId="175F5342" w14:textId="3535E890" w:rsidR="003D0153" w:rsidRPr="006F29F5" w:rsidRDefault="003D0153" w:rsidP="000E35A1">
      <w:pPr>
        <w:pStyle w:val="FootnoteText"/>
        <w:rPr>
          <w:rFonts w:cs="Times New Roman"/>
        </w:rPr>
      </w:pPr>
      <w:r w:rsidRPr="006F29F5">
        <w:rPr>
          <w:rStyle w:val="FootnoteReference"/>
          <w:rFonts w:cs="Times New Roman"/>
        </w:rPr>
        <w:footnoteRef/>
      </w:r>
      <w:r w:rsidRPr="006F29F5">
        <w:rPr>
          <w:rFonts w:cs="Times New Roman"/>
        </w:rPr>
        <w:t xml:space="preserve"> </w:t>
      </w:r>
      <w:r w:rsidRPr="006F29F5">
        <w:rPr>
          <w:rFonts w:cs="Times New Roman"/>
          <w:i/>
        </w:rPr>
        <w:t>Ibid</w:t>
      </w:r>
      <w:r w:rsidRPr="006F29F5">
        <w:rPr>
          <w:rFonts w:cs="Times New Roman"/>
        </w:rPr>
        <w:t>.</w:t>
      </w:r>
    </w:p>
  </w:footnote>
  <w:footnote w:id="4">
    <w:p w14:paraId="3F09D947" w14:textId="3BEBC5B7" w:rsidR="003D0153" w:rsidRPr="006F29F5" w:rsidRDefault="003D0153" w:rsidP="000E35A1">
      <w:pPr>
        <w:pStyle w:val="FootnoteText"/>
        <w:rPr>
          <w:rFonts w:cs="Times New Roman"/>
        </w:rPr>
      </w:pPr>
      <w:r w:rsidRPr="006F29F5">
        <w:rPr>
          <w:rStyle w:val="FootnoteReference"/>
          <w:rFonts w:cs="Times New Roman"/>
        </w:rPr>
        <w:footnoteRef/>
      </w:r>
      <w:r w:rsidRPr="006F29F5">
        <w:rPr>
          <w:rFonts w:cs="Times New Roman"/>
        </w:rPr>
        <w:t xml:space="preserve"> </w:t>
      </w:r>
      <w:r w:rsidRPr="006F29F5">
        <w:rPr>
          <w:rFonts w:cs="Times New Roman"/>
          <w:i/>
        </w:rPr>
        <w:t>Ibid.</w:t>
      </w:r>
    </w:p>
  </w:footnote>
  <w:footnote w:id="5">
    <w:p w14:paraId="7255507E" w14:textId="111CCBA5" w:rsidR="003D0153" w:rsidRPr="006F29F5" w:rsidRDefault="003D0153" w:rsidP="000E35A1">
      <w:pPr>
        <w:pStyle w:val="FootnoteText"/>
      </w:pPr>
      <w:r w:rsidRPr="006F29F5">
        <w:rPr>
          <w:rStyle w:val="FootnoteReference"/>
        </w:rPr>
        <w:footnoteRef/>
      </w:r>
      <w:r w:rsidRPr="006F29F5">
        <w:t xml:space="preserve"> Jean-Pierre </w:t>
      </w:r>
      <w:proofErr w:type="spellStart"/>
      <w:r w:rsidRPr="006F29F5">
        <w:t>Brun</w:t>
      </w:r>
      <w:proofErr w:type="spellEnd"/>
      <w:r w:rsidRPr="006F29F5">
        <w:t xml:space="preserve"> et al</w:t>
      </w:r>
      <w:r w:rsidRPr="006F29F5">
        <w:rPr>
          <w:i/>
        </w:rPr>
        <w:t xml:space="preserve">, </w:t>
      </w:r>
      <w:r w:rsidRPr="006F29F5">
        <w:rPr>
          <w:rFonts w:cs="Times New Roman"/>
        </w:rPr>
        <w:t>“Asset Recovery Handbook: A Guide for Practitioners” (</w:t>
      </w:r>
      <w:proofErr w:type="spellStart"/>
      <w:r w:rsidRPr="006F29F5">
        <w:rPr>
          <w:rFonts w:cs="Times New Roman"/>
        </w:rPr>
        <w:t>StAR</w:t>
      </w:r>
      <w:proofErr w:type="spellEnd"/>
      <w:r w:rsidRPr="006F29F5">
        <w:rPr>
          <w:rFonts w:cs="Times New Roman"/>
        </w:rPr>
        <w:t xml:space="preserve">/World Bank, 2011), online: </w:t>
      </w:r>
      <w:r w:rsidRPr="006F29F5">
        <w:rPr>
          <w:rFonts w:cs="Times New Roman"/>
          <w:szCs w:val="18"/>
        </w:rPr>
        <w:t>&lt;</w:t>
      </w:r>
      <w:hyperlink r:id="rId2" w:history="1">
        <w:r w:rsidRPr="006F29F5">
          <w:rPr>
            <w:rStyle w:val="Hyperlink"/>
            <w:rFonts w:cs="Times New Roman"/>
            <w:szCs w:val="18"/>
          </w:rPr>
          <w:t>https://www.unodc.org/documents/corruption/Publications/StAR/StAR_Publication_-_Asset_Recovery_Handbook.pdf</w:t>
        </w:r>
      </w:hyperlink>
      <w:r w:rsidRPr="006F29F5">
        <w:rPr>
          <w:rFonts w:cs="Times New Roman"/>
        </w:rPr>
        <w:t>&gt;.</w:t>
      </w:r>
    </w:p>
  </w:footnote>
  <w:footnote w:id="6">
    <w:p w14:paraId="5D36E6A2" w14:textId="77777777" w:rsidR="003D0153" w:rsidRPr="006F29F5" w:rsidRDefault="003D0153" w:rsidP="000E35A1">
      <w:pPr>
        <w:pStyle w:val="FootnoteText"/>
        <w:rPr>
          <w:i/>
        </w:rPr>
      </w:pPr>
      <w:r w:rsidRPr="006F29F5">
        <w:rPr>
          <w:rStyle w:val="FootnoteReference"/>
        </w:rPr>
        <w:footnoteRef/>
      </w:r>
      <w:r w:rsidRPr="006F29F5">
        <w:t xml:space="preserve"> </w:t>
      </w:r>
      <w:r w:rsidRPr="006F29F5">
        <w:rPr>
          <w:i/>
        </w:rPr>
        <w:t>Ibid.</w:t>
      </w:r>
      <w:r w:rsidRPr="006F29F5">
        <w:rPr>
          <w:rFonts w:cs="Times New Roman"/>
          <w:szCs w:val="18"/>
        </w:rPr>
        <w:t xml:space="preserve"> at 5–8.</w:t>
      </w:r>
    </w:p>
  </w:footnote>
  <w:footnote w:id="7">
    <w:p w14:paraId="72F8960B" w14:textId="77777777" w:rsidR="003D0153" w:rsidRPr="006F29F5" w:rsidRDefault="003D0153" w:rsidP="000E35A1">
      <w:pPr>
        <w:pStyle w:val="FootnoteText"/>
      </w:pPr>
      <w:r w:rsidRPr="006F29F5">
        <w:rPr>
          <w:rStyle w:val="FootnoteReference"/>
          <w:rFonts w:cs="Times New Roman"/>
        </w:rPr>
        <w:footnoteRef/>
      </w:r>
      <w:r w:rsidRPr="006F29F5">
        <w:t xml:space="preserve"> [13] For the purposes of this handbook, “informal assistance” is used to include any type of assistance that does not require a </w:t>
      </w:r>
      <w:r w:rsidRPr="006F29F5">
        <w:rPr>
          <w:i/>
          <w:iCs/>
        </w:rPr>
        <w:t xml:space="preserve">formal </w:t>
      </w:r>
      <w:r w:rsidRPr="006F29F5">
        <w:t>MLA request. Legislation permitting this informal, practitioner-to-practitioner assistance may be outlined in MLA legislation and may involve “formal” authorities, agencies, or administrations. For a description of this type of assistance and comparison with the MLA request process, see section 7.2 of chapter 7.</w:t>
      </w:r>
    </w:p>
  </w:footnote>
  <w:footnote w:id="8">
    <w:p w14:paraId="20ECC7D7" w14:textId="77777777" w:rsidR="003D0153" w:rsidRPr="006F29F5" w:rsidRDefault="003D0153" w:rsidP="0075069B">
      <w:pPr>
        <w:pStyle w:val="FootnoteText"/>
      </w:pPr>
      <w:r w:rsidRPr="006F29F5">
        <w:rPr>
          <w:rStyle w:val="FootnoteReference"/>
          <w:rFonts w:cs="Times New Roman"/>
        </w:rPr>
        <w:footnoteRef/>
      </w:r>
      <w:r w:rsidRPr="006F29F5">
        <w:t xml:space="preserve"> [14] See United Nations Convention against Corruption (UNCAC), art. 54 and 55; United Nations Convention against Transnational Organized Crime (UNTOC), art. 13; United Nations Convention against Narcotic Drugs and Psychotropic Substances, art. 5; and the Terrorist Financing Convention, art. 8. For restraint or seizure, see UNCAC, art. 54(2).</w:t>
      </w:r>
    </w:p>
  </w:footnote>
  <w:footnote w:id="9">
    <w:p w14:paraId="36BB5634" w14:textId="77777777" w:rsidR="003D0153" w:rsidRPr="006F29F5" w:rsidRDefault="003D0153" w:rsidP="0075069B">
      <w:pPr>
        <w:pStyle w:val="FootnoteText"/>
        <w:rPr>
          <w:rFonts w:cs="Times"/>
          <w:sz w:val="20"/>
        </w:rPr>
      </w:pPr>
      <w:r w:rsidRPr="006F29F5">
        <w:rPr>
          <w:rStyle w:val="FootnoteReference"/>
          <w:rFonts w:cs="Times New Roman"/>
        </w:rPr>
        <w:footnoteRef/>
      </w:r>
      <w:r w:rsidRPr="006F29F5">
        <w:t xml:space="preserve"> [15] Stolen Asset Recovery (</w:t>
      </w:r>
      <w:proofErr w:type="spellStart"/>
      <w:r w:rsidRPr="006F29F5">
        <w:t>StAR</w:t>
      </w:r>
      <w:proofErr w:type="spellEnd"/>
      <w:r w:rsidRPr="006F29F5">
        <w:t>) Initiative Secretariat, “Management of Confiscated Assets” (</w:t>
      </w:r>
      <w:proofErr w:type="spellStart"/>
      <w:r w:rsidRPr="006F29F5">
        <w:t>StAR</w:t>
      </w:r>
      <w:proofErr w:type="spellEnd"/>
      <w:r w:rsidRPr="006F29F5">
        <w:t xml:space="preserve">, 2009), </w:t>
      </w:r>
      <w:hyperlink r:id="rId3" w:history="1">
        <w:r w:rsidRPr="006F29F5">
          <w:rPr>
            <w:rStyle w:val="Hyperlink"/>
            <w:rFonts w:cs="Times New Roman"/>
          </w:rPr>
          <w:t>http://www.worldbank.org/star</w:t>
        </w:r>
      </w:hyperlink>
      <w:r w:rsidRPr="006F29F5">
        <w:t>.</w:t>
      </w:r>
    </w:p>
  </w:footnote>
  <w:footnote w:id="10">
    <w:p w14:paraId="4BE6CD3A" w14:textId="77777777" w:rsidR="003D0153" w:rsidRPr="006F29F5" w:rsidRDefault="003D0153" w:rsidP="0075069B">
      <w:pPr>
        <w:pStyle w:val="FootnoteText"/>
      </w:pPr>
      <w:r w:rsidRPr="006F29F5">
        <w:rPr>
          <w:rStyle w:val="FootnoteReference"/>
        </w:rPr>
        <w:footnoteRef/>
      </w:r>
      <w:r w:rsidRPr="006F29F5">
        <w:t xml:space="preserve"> [16] UNCAC, art. 53 requires that states parties take measures to permit direct recovery of property.</w:t>
      </w:r>
    </w:p>
  </w:footnote>
  <w:footnote w:id="11">
    <w:p w14:paraId="705BF6B8" w14:textId="77777777" w:rsidR="003D0153" w:rsidRPr="006F29F5" w:rsidRDefault="003D0153" w:rsidP="0075069B">
      <w:pPr>
        <w:pStyle w:val="FootnoteText"/>
        <w:rPr>
          <w:szCs w:val="18"/>
        </w:rPr>
      </w:pPr>
      <w:r w:rsidRPr="006F29F5">
        <w:rPr>
          <w:rStyle w:val="FootnoteReference"/>
          <w:szCs w:val="18"/>
        </w:rPr>
        <w:footnoteRef/>
      </w:r>
      <w:r w:rsidRPr="006F29F5">
        <w:rPr>
          <w:szCs w:val="18"/>
        </w:rPr>
        <w:t xml:space="preserve"> [17] In 2007, the U.S. Department of Justice filed a civil confiscation action against a U.S. citizen indicted in 2003 for allegedly paying bribes to Kazakh officials for oil and gas deals. The action was for approximately $84 million in proceeds. The American citizen agreed to transfer those proceeds to a World Bank trust fund for use on projects in Kazakhstan. See “U.S. Attorney for S.D.N.Y, Government Files Civil Forfeiture Action Against $84 Million Allegedly Traceable to Illegal Payments and Agrees to Conditional Release of Funds to Foundation to Benefit Poor Children in Kazakhstan,” news release no. 07-108, May 30, 2007; World Bank, “Kazakhstan BOTA Foundation Established,” news release no. 2008/07/KZ, June 4, 2008, </w:t>
      </w:r>
      <w:hyperlink r:id="rId4" w:history="1">
        <w:r w:rsidRPr="006F29F5">
          <w:rPr>
            <w:rStyle w:val="Hyperlink"/>
            <w:szCs w:val="18"/>
          </w:rPr>
          <w:t>http://siteresources.worldbank.org/ INTKAZAKHSTAN/News and Events/21790077/Bota_Establishment_June08_eng.pdf</w:t>
        </w:r>
      </w:hyperlink>
      <w:r w:rsidRPr="006F29F5">
        <w:rPr>
          <w:szCs w:val="18"/>
        </w:rPr>
        <w:t xml:space="preserve">. </w:t>
      </w:r>
    </w:p>
  </w:footnote>
  <w:footnote w:id="12">
    <w:p w14:paraId="22E2379A" w14:textId="23C3FBFE" w:rsidR="003D0153" w:rsidRPr="006F29F5" w:rsidRDefault="003D0153" w:rsidP="00F64430">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United Nations Office on Drugs and Crime,</w:t>
      </w:r>
      <w:r w:rsidRPr="006F29F5">
        <w:rPr>
          <w:rFonts w:cs="Times New Roman"/>
          <w:i/>
          <w:szCs w:val="18"/>
        </w:rPr>
        <w:t xml:space="preserve"> </w:t>
      </w:r>
      <w:r w:rsidRPr="006F29F5">
        <w:rPr>
          <w:rFonts w:cs="Times New Roman"/>
          <w:szCs w:val="18"/>
        </w:rPr>
        <w:t>“Digest of Asset Recovery Cases” [UN Digest (2015)] (United Nations, 2015), at 63-66, online: &lt;</w:t>
      </w:r>
      <w:hyperlink r:id="rId5" w:history="1">
        <w:r w:rsidRPr="006F29F5">
          <w:rPr>
            <w:rStyle w:val="Hyperlink"/>
            <w:rFonts w:cs="Times New Roman"/>
            <w:szCs w:val="18"/>
          </w:rPr>
          <w:t>https://www.unodc.org/documents/corruption/Publications/2015/15-05350_Ebook.pdf</w:t>
        </w:r>
      </w:hyperlink>
      <w:r w:rsidRPr="006F29F5">
        <w:rPr>
          <w:rFonts w:cs="Times New Roman"/>
          <w:szCs w:val="18"/>
        </w:rPr>
        <w:t>&gt;.</w:t>
      </w:r>
    </w:p>
  </w:footnote>
  <w:footnote w:id="13">
    <w:p w14:paraId="5B7BC3D8" w14:textId="77777777" w:rsidR="003D0153" w:rsidRPr="006F29F5" w:rsidRDefault="003D0153" w:rsidP="00F64430">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Ibid</w:t>
      </w:r>
      <w:r w:rsidRPr="006F29F5">
        <w:rPr>
          <w:rFonts w:cs="Times New Roman"/>
          <w:szCs w:val="18"/>
        </w:rPr>
        <w:t xml:space="preserve"> at 63.</w:t>
      </w:r>
    </w:p>
  </w:footnote>
  <w:footnote w:id="14">
    <w:p w14:paraId="36151873" w14:textId="77777777" w:rsidR="003D0153" w:rsidRPr="006F29F5" w:rsidRDefault="003D0153" w:rsidP="00F64430">
      <w:pPr>
        <w:pStyle w:val="FootnoteText"/>
        <w:rPr>
          <w:rFonts w:cs="Times New Roman"/>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Ibid</w:t>
      </w:r>
      <w:r w:rsidRPr="006F29F5">
        <w:rPr>
          <w:rFonts w:cs="Times New Roman"/>
          <w:szCs w:val="18"/>
        </w:rPr>
        <w:t xml:space="preserve"> at 64.</w:t>
      </w:r>
    </w:p>
  </w:footnote>
  <w:footnote w:id="15">
    <w:p w14:paraId="20E6FD8D" w14:textId="17FDD76E" w:rsidR="003D0153" w:rsidRPr="006F29F5" w:rsidRDefault="003D0153" w:rsidP="00B61F2C">
      <w:pPr>
        <w:pStyle w:val="FootnoteText"/>
        <w:rPr>
          <w:color w:val="000000"/>
        </w:rPr>
      </w:pPr>
      <w:r w:rsidRPr="006F29F5">
        <w:rPr>
          <w:rStyle w:val="FootnoteReference"/>
          <w:rFonts w:cs="Times New Roman"/>
          <w:szCs w:val="18"/>
        </w:rPr>
        <w:footnoteRef/>
      </w:r>
      <w:r w:rsidRPr="006F29F5">
        <w:t xml:space="preserve"> International Centre for Asset Recovery, “Development Assistance, Asset Recovery and Money Laundering: Making the Connection” (Basel Institute on Governance, International Centre for Asset Recovery, 2011) at 18, online: &lt;</w:t>
      </w:r>
      <w:hyperlink r:id="rId6" w:history="1">
        <w:r w:rsidRPr="00CD216F">
          <w:rPr>
            <w:rStyle w:val="Hyperlink"/>
            <w:rFonts w:cs="Times New Roman"/>
            <w:szCs w:val="18"/>
          </w:rPr>
          <w:t>https://www.baselgovernance.org/sites/collective.localhost/files/</w:t>
        </w:r>
        <w:r w:rsidRPr="00CD216F">
          <w:rPr>
            <w:rStyle w:val="Hyperlink"/>
            <w:rFonts w:cs="Times New Roman"/>
            <w:szCs w:val="18"/>
          </w:rPr>
          <w:br/>
          <w:t>publications/dfid_brochure_final_version_for_print.pdf</w:t>
        </w:r>
      </w:hyperlink>
      <w:r w:rsidRPr="006F29F5">
        <w:t>&gt;.</w:t>
      </w:r>
    </w:p>
  </w:footnote>
  <w:footnote w:id="16">
    <w:p w14:paraId="245A9721" w14:textId="219E20FE" w:rsidR="003D0153" w:rsidRPr="006F29F5" w:rsidRDefault="003D0153" w:rsidP="00047444">
      <w:pPr>
        <w:pStyle w:val="FootnoteText"/>
      </w:pPr>
      <w:r w:rsidRPr="006F29F5">
        <w:rPr>
          <w:rStyle w:val="FootnoteReference"/>
          <w:rFonts w:cs="Times New Roman"/>
          <w:szCs w:val="18"/>
        </w:rPr>
        <w:footnoteRef/>
      </w:r>
      <w:r w:rsidRPr="006F29F5">
        <w:t xml:space="preserve"> [7] For more on the management and use of recovered assets, see [</w:t>
      </w:r>
      <w:proofErr w:type="spellStart"/>
      <w:r w:rsidRPr="006F29F5">
        <w:t>Ignasio</w:t>
      </w:r>
      <w:proofErr w:type="spellEnd"/>
      <w:r w:rsidRPr="006F29F5">
        <w:t xml:space="preserve">] </w:t>
      </w:r>
      <w:proofErr w:type="spellStart"/>
      <w:r w:rsidRPr="006F29F5">
        <w:t>Jimu</w:t>
      </w:r>
      <w:proofErr w:type="spellEnd"/>
      <w:r w:rsidRPr="006F29F5">
        <w:t xml:space="preserve">. Managing Proceeds of Asset Recovery: The Case of Nigeria, Peru, the Philippines and Kazakhstan. (2009), available at [updated link: </w:t>
      </w:r>
      <w:hyperlink r:id="rId7" w:history="1">
        <w:r w:rsidRPr="00CD216F">
          <w:rPr>
            <w:rStyle w:val="Hyperlink"/>
            <w:rFonts w:cs="Times New Roman"/>
            <w:szCs w:val="18"/>
          </w:rPr>
          <w:t>https://www.baselgovernance.org/sites/collective.localhost/files/</w:t>
        </w:r>
        <w:r w:rsidRPr="00CD216F">
          <w:rPr>
            <w:rStyle w:val="Hyperlink"/>
            <w:rFonts w:cs="Times New Roman"/>
            <w:szCs w:val="18"/>
          </w:rPr>
          <w:br/>
          <w:t>publications/biog_working_paper_06.pdf</w:t>
        </w:r>
      </w:hyperlink>
      <w:r w:rsidRPr="006F29F5">
        <w:t>].</w:t>
      </w:r>
    </w:p>
  </w:footnote>
  <w:footnote w:id="17">
    <w:p w14:paraId="6E26F709" w14:textId="77777777" w:rsidR="003D0153" w:rsidRPr="006F29F5" w:rsidRDefault="003D0153" w:rsidP="000E35A1">
      <w:pPr>
        <w:pStyle w:val="FootnoteText"/>
      </w:pPr>
      <w:r w:rsidRPr="006F29F5">
        <w:rPr>
          <w:rStyle w:val="FootnoteReference"/>
          <w:rFonts w:cs="Times New Roman"/>
          <w:szCs w:val="18"/>
        </w:rPr>
        <w:footnoteRef/>
      </w:r>
      <w:r w:rsidRPr="006F29F5">
        <w:rPr>
          <w:rFonts w:cs="Times New Roman"/>
          <w:szCs w:val="18"/>
        </w:rPr>
        <w:t xml:space="preserve"> </w:t>
      </w:r>
      <w:r w:rsidRPr="006F29F5">
        <w:rPr>
          <w:rFonts w:cs="Times New Roman"/>
        </w:rPr>
        <w:t>For example, in Kazakhstan, criminal proceedings in Switzerland led to the restitution of assets derived from bribery. In a relatively successful monitoring arrangement, a non-profit, independent foundation was set up in Kazakhstan to monitor the use of returned assets. The foundation is supervised by IREX Washington and Save the Children:</w:t>
      </w:r>
      <w:r w:rsidRPr="006F29F5">
        <w:rPr>
          <w:rFonts w:cs="Times New Roman"/>
          <w:szCs w:val="18"/>
        </w:rPr>
        <w:t xml:space="preserve"> </w:t>
      </w:r>
      <w:proofErr w:type="spellStart"/>
      <w:r w:rsidRPr="006F29F5">
        <w:rPr>
          <w:rFonts w:cs="Times New Roman"/>
          <w:szCs w:val="18"/>
        </w:rPr>
        <w:t>Gretta</w:t>
      </w:r>
      <w:proofErr w:type="spellEnd"/>
      <w:r w:rsidRPr="006F29F5">
        <w:rPr>
          <w:rFonts w:cs="Times New Roman"/>
          <w:szCs w:val="18"/>
        </w:rPr>
        <w:t xml:space="preserve"> </w:t>
      </w:r>
      <w:proofErr w:type="spellStart"/>
      <w:r w:rsidRPr="006F29F5">
        <w:rPr>
          <w:rFonts w:cs="Times New Roman"/>
          <w:szCs w:val="18"/>
        </w:rPr>
        <w:t>Fenner</w:t>
      </w:r>
      <w:proofErr w:type="spellEnd"/>
      <w:r w:rsidRPr="006F29F5">
        <w:rPr>
          <w:rFonts w:cs="Times New Roman"/>
          <w:szCs w:val="18"/>
        </w:rPr>
        <w:t xml:space="preserve"> </w:t>
      </w:r>
      <w:proofErr w:type="spellStart"/>
      <w:r w:rsidRPr="006F29F5">
        <w:rPr>
          <w:rFonts w:cs="Times New Roman"/>
          <w:szCs w:val="18"/>
        </w:rPr>
        <w:t>Zinkernagel</w:t>
      </w:r>
      <w:proofErr w:type="spellEnd"/>
      <w:r w:rsidRPr="006F29F5">
        <w:rPr>
          <w:rFonts w:cs="Times New Roman"/>
          <w:szCs w:val="18"/>
        </w:rPr>
        <w:t xml:space="preserve"> &amp; </w:t>
      </w:r>
      <w:proofErr w:type="spellStart"/>
      <w:r w:rsidRPr="006F29F5">
        <w:rPr>
          <w:rFonts w:cs="Times New Roman"/>
          <w:szCs w:val="18"/>
        </w:rPr>
        <w:t>Kodjo</w:t>
      </w:r>
      <w:proofErr w:type="spellEnd"/>
      <w:r w:rsidRPr="006F29F5">
        <w:rPr>
          <w:rFonts w:cs="Times New Roman"/>
          <w:szCs w:val="18"/>
        </w:rPr>
        <w:t xml:space="preserve"> </w:t>
      </w:r>
      <w:proofErr w:type="spellStart"/>
      <w:r w:rsidRPr="006F29F5">
        <w:rPr>
          <w:rFonts w:cs="Times New Roman"/>
          <w:szCs w:val="18"/>
        </w:rPr>
        <w:t>Attisso</w:t>
      </w:r>
      <w:proofErr w:type="spellEnd"/>
      <w:r w:rsidRPr="006F29F5">
        <w:rPr>
          <w:rFonts w:cs="Times New Roman"/>
          <w:szCs w:val="18"/>
        </w:rPr>
        <w:t xml:space="preserve">, “Past Experience with Agreements for the Disposal of Confiscated Assets” in </w:t>
      </w:r>
      <w:proofErr w:type="spellStart"/>
      <w:r w:rsidRPr="006F29F5">
        <w:rPr>
          <w:rFonts w:cs="Times New Roman"/>
          <w:szCs w:val="18"/>
        </w:rPr>
        <w:t>Gretta</w:t>
      </w:r>
      <w:proofErr w:type="spellEnd"/>
      <w:r w:rsidRPr="006F29F5">
        <w:rPr>
          <w:rFonts w:cs="Times New Roman"/>
          <w:szCs w:val="18"/>
        </w:rPr>
        <w:t xml:space="preserve"> </w:t>
      </w:r>
      <w:proofErr w:type="spellStart"/>
      <w:r w:rsidRPr="006F29F5">
        <w:rPr>
          <w:rFonts w:cs="Times New Roman"/>
          <w:szCs w:val="18"/>
        </w:rPr>
        <w:t>Fenner</w:t>
      </w:r>
      <w:proofErr w:type="spellEnd"/>
      <w:r w:rsidRPr="006F29F5">
        <w:rPr>
          <w:rFonts w:cs="Times New Roman"/>
          <w:szCs w:val="18"/>
        </w:rPr>
        <w:t xml:space="preserve"> </w:t>
      </w:r>
      <w:proofErr w:type="spellStart"/>
      <w:r w:rsidRPr="006F29F5">
        <w:rPr>
          <w:rFonts w:cs="Times New Roman"/>
          <w:szCs w:val="18"/>
        </w:rPr>
        <w:t>Zinkernagel</w:t>
      </w:r>
      <w:proofErr w:type="spellEnd"/>
      <w:r w:rsidRPr="006F29F5">
        <w:rPr>
          <w:rFonts w:cs="Times New Roman"/>
          <w:szCs w:val="18"/>
        </w:rPr>
        <w:t xml:space="preserve">, Charles </w:t>
      </w:r>
      <w:proofErr w:type="spellStart"/>
      <w:r w:rsidRPr="006F29F5">
        <w:rPr>
          <w:rFonts w:cs="Times New Roman"/>
          <w:szCs w:val="18"/>
        </w:rPr>
        <w:t>Monteith</w:t>
      </w:r>
      <w:proofErr w:type="spellEnd"/>
      <w:r w:rsidRPr="006F29F5">
        <w:rPr>
          <w:rFonts w:cs="Times New Roman"/>
          <w:szCs w:val="18"/>
        </w:rPr>
        <w:t xml:space="preserve"> &amp; Pedro Gomes Pereira, </w:t>
      </w:r>
      <w:proofErr w:type="spellStart"/>
      <w:r w:rsidRPr="006F29F5">
        <w:rPr>
          <w:rFonts w:cs="Times New Roman"/>
          <w:szCs w:val="18"/>
        </w:rPr>
        <w:t>eds</w:t>
      </w:r>
      <w:proofErr w:type="spellEnd"/>
      <w:r w:rsidRPr="006F29F5">
        <w:rPr>
          <w:rFonts w:cs="Times New Roman"/>
          <w:szCs w:val="18"/>
        </w:rPr>
        <w:t xml:space="preserve">, </w:t>
      </w:r>
      <w:r w:rsidRPr="006F29F5">
        <w:rPr>
          <w:rFonts w:cs="Times New Roman"/>
          <w:i/>
          <w:szCs w:val="18"/>
        </w:rPr>
        <w:t>Emerging Trends in Asset Recovery</w:t>
      </w:r>
      <w:r w:rsidRPr="006F29F5">
        <w:rPr>
          <w:rFonts w:cs="Times New Roman"/>
          <w:szCs w:val="18"/>
        </w:rPr>
        <w:t xml:space="preserve"> (Peter Lang AG, International Academic Publishers, 2013) 340.</w:t>
      </w:r>
    </w:p>
  </w:footnote>
  <w:footnote w:id="18">
    <w:p w14:paraId="38BF2F8A" w14:textId="608C7AE5" w:rsidR="003D0153" w:rsidRPr="006F29F5" w:rsidRDefault="003D0153" w:rsidP="000E35A1">
      <w:pPr>
        <w:pStyle w:val="FootnoteText"/>
      </w:pPr>
      <w:r w:rsidRPr="006F29F5">
        <w:rPr>
          <w:rStyle w:val="FootnoteReference"/>
        </w:rPr>
        <w:footnoteRef/>
      </w:r>
      <w:r w:rsidRPr="006F29F5">
        <w:t xml:space="preserve"> </w:t>
      </w:r>
      <w:r w:rsidRPr="006F29F5">
        <w:rPr>
          <w:rFonts w:cs="Times New Roman"/>
          <w:i/>
          <w:szCs w:val="24"/>
        </w:rPr>
        <w:t>Ibid</w:t>
      </w:r>
      <w:r w:rsidRPr="006F29F5">
        <w:rPr>
          <w:rFonts w:cs="Times New Roman"/>
          <w:szCs w:val="24"/>
        </w:rPr>
        <w:t xml:space="preserve"> at 329.</w:t>
      </w:r>
    </w:p>
  </w:footnote>
  <w:footnote w:id="19">
    <w:p w14:paraId="43F60430" w14:textId="37B70653"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Aaron Bornstein, “The BOTA Foundation Explained (Part Nine): How Effective was BOTA?</w:t>
      </w:r>
      <w:proofErr w:type="gramStart"/>
      <w:r w:rsidRPr="006F29F5">
        <w:rPr>
          <w:szCs w:val="18"/>
        </w:rPr>
        <w:t>”,</w:t>
      </w:r>
      <w:proofErr w:type="gramEnd"/>
      <w:r w:rsidRPr="006F29F5">
        <w:rPr>
          <w:szCs w:val="18"/>
        </w:rPr>
        <w:t xml:space="preserve"> </w:t>
      </w:r>
      <w:r w:rsidRPr="006F29F5">
        <w:rPr>
          <w:i/>
          <w:szCs w:val="18"/>
        </w:rPr>
        <w:t xml:space="preserve">The FCPA Blog </w:t>
      </w:r>
      <w:r w:rsidRPr="006F29F5">
        <w:rPr>
          <w:szCs w:val="18"/>
        </w:rPr>
        <w:t>(22 April 2015), online: &lt;</w:t>
      </w:r>
      <w:hyperlink r:id="rId8" w:history="1">
        <w:r w:rsidRPr="006F29F5">
          <w:rPr>
            <w:rStyle w:val="Hyperlink"/>
            <w:rFonts w:eastAsia="SimSun" w:cs="Arial"/>
            <w:szCs w:val="18"/>
            <w:lang w:bidi="en-US"/>
          </w:rPr>
          <w:t>http://www.fcpablog.com/blog/2015/4/22/the-bota-foundation-explained-part-nine-how-effective-was-bo.html</w:t>
        </w:r>
      </w:hyperlink>
      <w:r w:rsidRPr="006F29F5">
        <w:rPr>
          <w:szCs w:val="18"/>
        </w:rPr>
        <w:t xml:space="preserve">&gt;. </w:t>
      </w:r>
    </w:p>
  </w:footnote>
  <w:footnote w:id="20">
    <w:p w14:paraId="72EC4A44" w14:textId="738941D3" w:rsidR="003D0153" w:rsidRPr="006F29F5" w:rsidRDefault="003D0153" w:rsidP="000E35A1">
      <w:pPr>
        <w:pStyle w:val="FootnoteText"/>
      </w:pPr>
      <w:r w:rsidRPr="006F29F5">
        <w:rPr>
          <w:rStyle w:val="FootnoteReference"/>
          <w:szCs w:val="18"/>
        </w:rPr>
        <w:footnoteRef/>
      </w:r>
      <w:r w:rsidRPr="006F29F5">
        <w:rPr>
          <w:szCs w:val="18"/>
        </w:rPr>
        <w:t xml:space="preserve"> Andy Spalding, “The BOTA Foundation explained (Part Twelve): Future BOTAs and the FCPA”, </w:t>
      </w:r>
      <w:r w:rsidRPr="006F29F5">
        <w:rPr>
          <w:i/>
          <w:szCs w:val="18"/>
        </w:rPr>
        <w:t>The FCPA Blog</w:t>
      </w:r>
      <w:r w:rsidRPr="006F29F5">
        <w:rPr>
          <w:szCs w:val="18"/>
        </w:rPr>
        <w:t xml:space="preserve"> (29 April 2015)</w:t>
      </w:r>
      <w:r w:rsidRPr="006F29F5">
        <w:rPr>
          <w:i/>
          <w:szCs w:val="18"/>
        </w:rPr>
        <w:t xml:space="preserve">, </w:t>
      </w:r>
      <w:r w:rsidRPr="006F29F5">
        <w:rPr>
          <w:szCs w:val="18"/>
        </w:rPr>
        <w:t>online: &lt;</w:t>
      </w:r>
      <w:hyperlink r:id="rId9" w:history="1">
        <w:r w:rsidRPr="006F29F5">
          <w:rPr>
            <w:rStyle w:val="Hyperlink"/>
            <w:rFonts w:eastAsia="SimSun" w:cs="Arial"/>
            <w:szCs w:val="18"/>
            <w:lang w:bidi="en-US"/>
          </w:rPr>
          <w:t>http://www.fcpablog.com/blog/2015/4/29/the-bota-foundation-explained-part-twelve-conclusion-future.html</w:t>
        </w:r>
      </w:hyperlink>
      <w:r w:rsidRPr="006F29F5">
        <w:rPr>
          <w:szCs w:val="18"/>
        </w:rPr>
        <w:t>&gt;.</w:t>
      </w:r>
      <w:r w:rsidRPr="006F29F5">
        <w:t xml:space="preserve"> </w:t>
      </w:r>
    </w:p>
  </w:footnote>
  <w:footnote w:id="21">
    <w:p w14:paraId="0E36C54F" w14:textId="04F6DF9E" w:rsidR="003D0153" w:rsidRPr="006F29F5" w:rsidRDefault="003D0153" w:rsidP="000E35A1">
      <w:pPr>
        <w:pStyle w:val="FootnoteText"/>
      </w:pPr>
      <w:r w:rsidRPr="006F29F5">
        <w:rPr>
          <w:rStyle w:val="FootnoteReference"/>
        </w:rPr>
        <w:footnoteRef/>
      </w:r>
      <w:r w:rsidRPr="006F29F5">
        <w:t xml:space="preserve"> Larissa Gray et al, </w:t>
      </w:r>
      <w:r w:rsidRPr="006F29F5">
        <w:rPr>
          <w:i/>
        </w:rPr>
        <w:t xml:space="preserve">Few and Far: The Hard Facts on Stolen Asset Recovery </w:t>
      </w:r>
      <w:r w:rsidRPr="006F29F5">
        <w:t>(World Bank and OECD, 2014) at 45, online: &lt;https://openknowledge.worldbank.org/handle/10986/20002&gt;.</w:t>
      </w:r>
    </w:p>
  </w:footnote>
  <w:footnote w:id="22">
    <w:p w14:paraId="7892575F" w14:textId="3A1585BD"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Online: &lt;</w:t>
      </w:r>
      <w:hyperlink r:id="rId10" w:history="1">
        <w:r w:rsidRPr="006F29F5">
          <w:rPr>
            <w:rStyle w:val="Hyperlink"/>
            <w:rFonts w:cs="Times New Roman"/>
            <w:szCs w:val="18"/>
          </w:rPr>
          <w:t>http://www.justice.gov/criminal/afmls/</w:t>
        </w:r>
      </w:hyperlink>
      <w:r w:rsidRPr="006F29F5">
        <w:rPr>
          <w:rFonts w:cs="Times New Roman"/>
          <w:szCs w:val="18"/>
        </w:rPr>
        <w:t>&gt;.</w:t>
      </w:r>
    </w:p>
  </w:footnote>
  <w:footnote w:id="23">
    <w:p w14:paraId="670820D3" w14:textId="66B87EC5" w:rsidR="003D0153" w:rsidRPr="006F29F5" w:rsidRDefault="003D0153" w:rsidP="000E35A1">
      <w:pPr>
        <w:pStyle w:val="FootnoteText"/>
        <w:rPr>
          <w:rFonts w:cs="Times New Roman"/>
          <w:color w:val="000000"/>
          <w:szCs w:val="18"/>
        </w:rPr>
      </w:pPr>
      <w:r w:rsidRPr="006F29F5">
        <w:rPr>
          <w:rStyle w:val="FootnoteReference"/>
          <w:rFonts w:cs="Times New Roman"/>
          <w:szCs w:val="18"/>
        </w:rPr>
        <w:footnoteRef/>
      </w:r>
      <w:r w:rsidRPr="006F29F5">
        <w:rPr>
          <w:rFonts w:cs="Times New Roman"/>
          <w:szCs w:val="18"/>
        </w:rPr>
        <w:t xml:space="preserve"> Online: &lt;</w:t>
      </w:r>
      <w:hyperlink r:id="rId11" w:tgtFrame="_blank" w:history="1">
        <w:r w:rsidRPr="006F29F5">
          <w:rPr>
            <w:rStyle w:val="Hyperlink"/>
            <w:rFonts w:cs="Times New Roman"/>
            <w:szCs w:val="18"/>
          </w:rPr>
          <w:t>http://www.justice.gov.za/reportfiles/other/cara-anr-2010-11.pdf</w:t>
        </w:r>
      </w:hyperlink>
      <w:r w:rsidRPr="006F29F5">
        <w:rPr>
          <w:rFonts w:cs="Times New Roman"/>
          <w:szCs w:val="18"/>
        </w:rPr>
        <w:t xml:space="preserve">&gt;. </w:t>
      </w:r>
    </w:p>
  </w:footnote>
  <w:footnote w:id="24">
    <w:p w14:paraId="1DE2701F" w14:textId="4EE446F9" w:rsidR="003D0153" w:rsidRPr="006F29F5" w:rsidRDefault="003D0153" w:rsidP="000E35A1">
      <w:pPr>
        <w:pStyle w:val="FootnoteText"/>
        <w:rPr>
          <w:rFonts w:cs="Times New Roman"/>
        </w:rPr>
      </w:pPr>
      <w:r w:rsidRPr="006F29F5">
        <w:rPr>
          <w:rStyle w:val="FootnoteReference"/>
          <w:rFonts w:cs="Times New Roman"/>
        </w:rPr>
        <w:footnoteRef/>
      </w:r>
      <w:r w:rsidRPr="006F29F5">
        <w:rPr>
          <w:rFonts w:cs="Times New Roman"/>
        </w:rPr>
        <w:t xml:space="preserve"> Online: &lt;</w:t>
      </w:r>
      <w:hyperlink r:id="rId12" w:history="1">
        <w:r w:rsidRPr="006F29F5">
          <w:rPr>
            <w:rStyle w:val="Hyperlink"/>
            <w:rFonts w:cs="Times New Roman"/>
          </w:rPr>
          <w:t>http://www.justice.gov/criminal/afmls/</w:t>
        </w:r>
      </w:hyperlink>
      <w:r w:rsidRPr="006F29F5">
        <w:rPr>
          <w:rFonts w:cs="Times New Roman"/>
        </w:rPr>
        <w:t>&gt;.</w:t>
      </w:r>
    </w:p>
  </w:footnote>
  <w:footnote w:id="25">
    <w:p w14:paraId="43099754" w14:textId="04E7F4B5" w:rsidR="003D0153" w:rsidRPr="006F29F5" w:rsidRDefault="003D0153" w:rsidP="000E35A1">
      <w:pPr>
        <w:pStyle w:val="FootnoteText"/>
      </w:pPr>
      <w:r w:rsidRPr="006F29F5">
        <w:rPr>
          <w:rStyle w:val="FootnoteReference"/>
        </w:rPr>
        <w:footnoteRef/>
      </w:r>
      <w:r w:rsidRPr="006F29F5">
        <w:t xml:space="preserve"> The following description is taken from “Towards a Global Architecture for Asset Recovery” (</w:t>
      </w:r>
      <w:proofErr w:type="spellStart"/>
      <w:r w:rsidRPr="006F29F5">
        <w:t>StAR</w:t>
      </w:r>
      <w:proofErr w:type="spellEnd"/>
      <w:r w:rsidRPr="006F29F5">
        <w:t>/World Bank/UNODC, 2010) at 38, online: &lt;</w:t>
      </w:r>
      <w:hyperlink r:id="rId13" w:history="1">
        <w:r w:rsidRPr="006F29F5">
          <w:rPr>
            <w:rStyle w:val="Hyperlink"/>
          </w:rPr>
          <w:t>https://star.worldbank.org/star/publication/towards-global-architecture-asset-recovery</w:t>
        </w:r>
      </w:hyperlink>
      <w:r w:rsidRPr="006F29F5">
        <w:t>&gt;. “</w:t>
      </w:r>
      <w:r w:rsidRPr="006F29F5">
        <w:rPr>
          <w:rFonts w:cs="Times New Roman"/>
        </w:rPr>
        <w:t>The Egmont Group is a network of 116 Financial Intelligence Units established to improve cooperation in the fight against money laundering and financing of terrorism and promote programs in this field at the national level. The Egmont Group manages a secure information network, which allows members to exchange information freely that would facilitate analysis or investigation of financial transactions. This information originates from suspicious activity reports or other disclosures from the financial sector, as well as government administrative data and public record information. Members agreed that information exchanged between FIUs be used only for the specific purpose for which the information was sought or provided. Rarely is information used as evidence and then only where authorized by the requested FIU. Nonetheless, the Egmont network serves as an important support to international asset recovery both in terms of detecting illicit flows, identifying possible leads, and facilitating tracing and the collection of evidence to support asset recovery cases.”</w:t>
      </w:r>
    </w:p>
  </w:footnote>
  <w:footnote w:id="26">
    <w:p w14:paraId="0802BDA4" w14:textId="77777777" w:rsidR="003D0153" w:rsidRPr="006F29F5" w:rsidRDefault="003D0153" w:rsidP="005C2419">
      <w:pPr>
        <w:pStyle w:val="FootnoteText"/>
      </w:pPr>
      <w:r w:rsidRPr="006F29F5">
        <w:rPr>
          <w:rStyle w:val="FootnoteReference"/>
        </w:rPr>
        <w:footnoteRef/>
      </w:r>
      <w:r w:rsidRPr="006F29F5">
        <w:t xml:space="preserve"> </w:t>
      </w:r>
      <w:r w:rsidRPr="006F29F5">
        <w:rPr>
          <w:i/>
        </w:rPr>
        <w:t>Ibid</w:t>
      </w:r>
      <w:r w:rsidRPr="006F29F5">
        <w:t xml:space="preserve"> at 37–38.</w:t>
      </w:r>
    </w:p>
  </w:footnote>
  <w:footnote w:id="27">
    <w:p w14:paraId="795BCE43" w14:textId="6D714E38" w:rsidR="003D0153" w:rsidRPr="006F29F5" w:rsidRDefault="003D0153" w:rsidP="000E35A1">
      <w:pPr>
        <w:pStyle w:val="FootnoteText"/>
      </w:pPr>
      <w:r w:rsidRPr="006F29F5">
        <w:rPr>
          <w:rStyle w:val="FootnoteReference"/>
        </w:rPr>
        <w:footnoteRef/>
      </w:r>
      <w:r w:rsidRPr="006F29F5">
        <w:t xml:space="preserve"> International Centre for Asset Recovery, “Tracing Stolen Assets: A Practitioner’s Handbook” </w:t>
      </w:r>
      <w:r w:rsidRPr="006F29F5">
        <w:rPr>
          <w:rFonts w:cs="Times New Roman"/>
          <w:szCs w:val="18"/>
        </w:rPr>
        <w:t xml:space="preserve">[Tracing Stolen Assets (2009)] </w:t>
      </w:r>
      <w:r w:rsidRPr="006F29F5">
        <w:t>(Basel Institute on Governance, International Centre for Asset Recovery, 2009) at 65–66, online: &lt;</w:t>
      </w:r>
      <w:hyperlink r:id="rId14" w:history="1">
        <w:r w:rsidRPr="006F29F5">
          <w:rPr>
            <w:rStyle w:val="Hyperlink"/>
          </w:rPr>
          <w:t>https://www.baselgovernance.org/publications/421</w:t>
        </w:r>
      </w:hyperlink>
      <w:r w:rsidRPr="006F29F5">
        <w:t>&gt;.</w:t>
      </w:r>
    </w:p>
  </w:footnote>
  <w:footnote w:id="28">
    <w:p w14:paraId="33FD91CD" w14:textId="77777777" w:rsidR="003D0153" w:rsidRPr="006F29F5" w:rsidRDefault="003D0153" w:rsidP="00BC7B16">
      <w:pPr>
        <w:pStyle w:val="FootnoteText"/>
        <w:rPr>
          <w:rFonts w:cs="Times"/>
        </w:rPr>
      </w:pPr>
      <w:r w:rsidRPr="006F29F5">
        <w:rPr>
          <w:rStyle w:val="FootnoteReference"/>
        </w:rPr>
        <w:footnoteRef/>
      </w:r>
      <w:r w:rsidRPr="006F29F5">
        <w:t xml:space="preserve"> [6] </w:t>
      </w:r>
      <w:r w:rsidRPr="006F29F5">
        <w:rPr>
          <w:rFonts w:cs="Times New Roman"/>
        </w:rPr>
        <w:t xml:space="preserve">E.g., Art. 9 Swiss AML Law, Art. 17 Liechtenstein </w:t>
      </w:r>
      <w:proofErr w:type="gramStart"/>
      <w:r w:rsidRPr="006F29F5">
        <w:rPr>
          <w:rFonts w:cs="Times New Roman"/>
        </w:rPr>
        <w:t>Due</w:t>
      </w:r>
      <w:proofErr w:type="gramEnd"/>
      <w:r w:rsidRPr="006F29F5">
        <w:rPr>
          <w:rFonts w:cs="Times New Roman"/>
        </w:rPr>
        <w:t xml:space="preserve"> Diligence Law. </w:t>
      </w:r>
    </w:p>
    <w:p w14:paraId="21CF3EDD" w14:textId="77777777" w:rsidR="003D0153" w:rsidRPr="006F29F5" w:rsidRDefault="003D0153" w:rsidP="00BC7B16">
      <w:pPr>
        <w:pStyle w:val="FootnoteText"/>
      </w:pPr>
    </w:p>
  </w:footnote>
  <w:footnote w:id="29">
    <w:p w14:paraId="60AC6995" w14:textId="4BA808A3" w:rsidR="003D0153" w:rsidRPr="006F29F5" w:rsidRDefault="003D0153" w:rsidP="000E35A1">
      <w:pPr>
        <w:pStyle w:val="FootnoteText"/>
      </w:pPr>
      <w:r w:rsidRPr="006F29F5">
        <w:rPr>
          <w:rStyle w:val="FootnoteReference"/>
        </w:rPr>
        <w:footnoteRef/>
      </w:r>
      <w:r w:rsidRPr="006F29F5">
        <w:t xml:space="preserve"> </w:t>
      </w:r>
      <w:r w:rsidRPr="006F29F5">
        <w:rPr>
          <w:szCs w:val="18"/>
        </w:rPr>
        <w:t xml:space="preserve">See, for example </w:t>
      </w:r>
      <w:r w:rsidRPr="006F29F5">
        <w:rPr>
          <w:rFonts w:cs="Times New Roman"/>
          <w:i/>
          <w:szCs w:val="18"/>
        </w:rPr>
        <w:t>Director of the Assets Recovery Agency v T and Others,</w:t>
      </w:r>
      <w:r w:rsidRPr="006F29F5">
        <w:rPr>
          <w:rFonts w:cs="Times New Roman"/>
          <w:szCs w:val="18"/>
        </w:rPr>
        <w:t xml:space="preserve"> [2004] EWHC 3340 (UK); </w:t>
      </w:r>
      <w:r w:rsidRPr="006F29F5">
        <w:rPr>
          <w:rFonts w:cs="Times New Roman"/>
          <w:i/>
          <w:szCs w:val="18"/>
        </w:rPr>
        <w:t>National Director of Public Prosecutions v Prophet</w:t>
      </w:r>
      <w:r w:rsidRPr="006F29F5">
        <w:rPr>
          <w:rFonts w:cs="Times New Roman"/>
          <w:szCs w:val="18"/>
        </w:rPr>
        <w:t xml:space="preserve">, [2006] ZACC 17; </w:t>
      </w:r>
      <w:r w:rsidRPr="006F29F5">
        <w:rPr>
          <w:rFonts w:cs="Times New Roman"/>
          <w:i/>
          <w:szCs w:val="18"/>
        </w:rPr>
        <w:t>United States v One Assortment of 89 Firearms</w:t>
      </w:r>
      <w:r w:rsidRPr="006F29F5">
        <w:rPr>
          <w:rFonts w:cs="Times New Roman"/>
          <w:szCs w:val="18"/>
        </w:rPr>
        <w:t xml:space="preserve">, 465 US 354 (1984); </w:t>
      </w:r>
      <w:r w:rsidRPr="006F29F5">
        <w:rPr>
          <w:rFonts w:cs="Times New Roman"/>
          <w:i/>
          <w:szCs w:val="18"/>
        </w:rPr>
        <w:t xml:space="preserve">Proceeds of Crime Act 2002 </w:t>
      </w:r>
      <w:r w:rsidRPr="006F29F5">
        <w:rPr>
          <w:rFonts w:cs="Times New Roman"/>
          <w:szCs w:val="18"/>
        </w:rPr>
        <w:t>(</w:t>
      </w:r>
      <w:proofErr w:type="spellStart"/>
      <w:r w:rsidRPr="006F29F5">
        <w:rPr>
          <w:rFonts w:cs="Times New Roman"/>
          <w:szCs w:val="18"/>
        </w:rPr>
        <w:t>Cth</w:t>
      </w:r>
      <w:proofErr w:type="spellEnd"/>
      <w:r w:rsidRPr="006F29F5">
        <w:rPr>
          <w:rFonts w:cs="Times New Roman"/>
          <w:szCs w:val="18"/>
        </w:rPr>
        <w:t>), s 51 (Australia).</w:t>
      </w:r>
    </w:p>
  </w:footnote>
  <w:footnote w:id="30">
    <w:p w14:paraId="29D9E14E" w14:textId="70302FC5" w:rsidR="003D0153" w:rsidRPr="006F29F5" w:rsidRDefault="003D0153" w:rsidP="000E35A1">
      <w:pPr>
        <w:pStyle w:val="FootnoteText"/>
      </w:pPr>
      <w:r w:rsidRPr="006F29F5">
        <w:rPr>
          <w:rStyle w:val="FootnoteReference"/>
        </w:rPr>
        <w:footnoteRef/>
      </w:r>
      <w:r w:rsidRPr="006F29F5">
        <w:t xml:space="preserve"> </w:t>
      </w:r>
      <w:r w:rsidRPr="006F29F5">
        <w:rPr>
          <w:rFonts w:cs="Times New Roman"/>
        </w:rPr>
        <w:t xml:space="preserve">See, for example, </w:t>
      </w:r>
      <w:r w:rsidRPr="006F29F5">
        <w:rPr>
          <w:rFonts w:cs="Times New Roman"/>
          <w:i/>
        </w:rPr>
        <w:t xml:space="preserve">United States v </w:t>
      </w:r>
      <w:proofErr w:type="spellStart"/>
      <w:r w:rsidRPr="006F29F5">
        <w:rPr>
          <w:rFonts w:cs="Times New Roman"/>
          <w:i/>
        </w:rPr>
        <w:t>Ursery</w:t>
      </w:r>
      <w:proofErr w:type="spellEnd"/>
      <w:r w:rsidRPr="006F29F5">
        <w:rPr>
          <w:rFonts w:cs="Times New Roman"/>
        </w:rPr>
        <w:t xml:space="preserve">, 518 US 267 (1996); </w:t>
      </w:r>
      <w:r w:rsidRPr="006F29F5">
        <w:rPr>
          <w:rFonts w:cs="Times New Roman"/>
          <w:i/>
        </w:rPr>
        <w:t xml:space="preserve">The Scottish Ministers v </w:t>
      </w:r>
      <w:proofErr w:type="spellStart"/>
      <w:r w:rsidRPr="006F29F5">
        <w:rPr>
          <w:rFonts w:cs="Times New Roman"/>
          <w:i/>
        </w:rPr>
        <w:t>Doig</w:t>
      </w:r>
      <w:proofErr w:type="spellEnd"/>
      <w:r w:rsidRPr="006F29F5">
        <w:rPr>
          <w:rFonts w:cs="Times New Roman"/>
        </w:rPr>
        <w:t xml:space="preserve">, [2006] CSOH 176 (Scotland); </w:t>
      </w:r>
      <w:r w:rsidRPr="006F29F5">
        <w:rPr>
          <w:rFonts w:cs="Times New Roman"/>
          <w:i/>
        </w:rPr>
        <w:t>Walsh v Director of the Assets Recovery Agency</w:t>
      </w:r>
      <w:r w:rsidRPr="006F29F5">
        <w:rPr>
          <w:rFonts w:cs="Times New Roman"/>
        </w:rPr>
        <w:t xml:space="preserve">, [2005] NICA 6 (Northern Ireland CA); and </w:t>
      </w:r>
      <w:r w:rsidRPr="006F29F5">
        <w:rPr>
          <w:rFonts w:cs="Times New Roman"/>
          <w:i/>
        </w:rPr>
        <w:t>Ontario v Chatterjee</w:t>
      </w:r>
      <w:r w:rsidRPr="006F29F5">
        <w:rPr>
          <w:rFonts w:cs="Times New Roman"/>
        </w:rPr>
        <w:t>, 2009 SCC 19.</w:t>
      </w:r>
    </w:p>
  </w:footnote>
  <w:footnote w:id="31">
    <w:p w14:paraId="55E71F0F" w14:textId="3DB7B221" w:rsidR="003D0153" w:rsidRPr="006F29F5" w:rsidRDefault="003D0153" w:rsidP="000E35A1">
      <w:pPr>
        <w:pStyle w:val="FootnoteText"/>
      </w:pPr>
      <w:r w:rsidRPr="006F29F5">
        <w:rPr>
          <w:rStyle w:val="FootnoteReference"/>
        </w:rPr>
        <w:footnoteRef/>
      </w:r>
      <w:r w:rsidRPr="006F29F5">
        <w:t xml:space="preserve"> Jacinta </w:t>
      </w:r>
      <w:proofErr w:type="spellStart"/>
      <w:r w:rsidRPr="006F29F5">
        <w:t>Anyango</w:t>
      </w:r>
      <w:proofErr w:type="spellEnd"/>
      <w:r w:rsidRPr="006F29F5">
        <w:t xml:space="preserve"> </w:t>
      </w:r>
      <w:proofErr w:type="spellStart"/>
      <w:r w:rsidRPr="006F29F5">
        <w:t>Oduor</w:t>
      </w:r>
      <w:proofErr w:type="spellEnd"/>
      <w:r w:rsidRPr="006F29F5">
        <w:t xml:space="preserve"> et al, </w:t>
      </w:r>
      <w:r w:rsidRPr="006F29F5">
        <w:rPr>
          <w:i/>
        </w:rPr>
        <w:t xml:space="preserve">Left out of the Bargain: Settlements in Foreign Bribery Cases and Implications for Asset Recovery </w:t>
      </w:r>
      <w:r w:rsidRPr="006F29F5">
        <w:t>(</w:t>
      </w:r>
      <w:proofErr w:type="spellStart"/>
      <w:r w:rsidRPr="006F29F5">
        <w:t>StAR</w:t>
      </w:r>
      <w:proofErr w:type="spellEnd"/>
      <w:r w:rsidRPr="006F29F5">
        <w:t>/World Bank/UNODC, 2014) at 141.</w:t>
      </w:r>
    </w:p>
  </w:footnote>
  <w:footnote w:id="32">
    <w:p w14:paraId="2172AFB0" w14:textId="08F787F8" w:rsidR="003D0153" w:rsidRPr="006F29F5" w:rsidRDefault="003D0153" w:rsidP="000E35A1">
      <w:pPr>
        <w:pStyle w:val="FootnoteText"/>
      </w:pPr>
      <w:r w:rsidRPr="006F29F5">
        <w:rPr>
          <w:rStyle w:val="FootnoteReference"/>
        </w:rPr>
        <w:footnoteRef/>
      </w:r>
      <w:r w:rsidRPr="006F29F5">
        <w:t xml:space="preserve"> </w:t>
      </w:r>
      <w:r w:rsidRPr="006F29F5">
        <w:rPr>
          <w:rFonts w:cs="Times New Roman"/>
          <w:szCs w:val="18"/>
        </w:rPr>
        <w:t xml:space="preserve">Gray et al (2014) at 41. </w:t>
      </w:r>
      <w:r w:rsidRPr="006F29F5">
        <w:t xml:space="preserve">See also </w:t>
      </w:r>
      <w:r w:rsidRPr="006F29F5">
        <w:rPr>
          <w:rFonts w:cs="Times New Roman"/>
          <w:szCs w:val="18"/>
        </w:rPr>
        <w:t>UN Digest (2015)</w:t>
      </w:r>
      <w:r w:rsidRPr="006F29F5">
        <w:t xml:space="preserve"> at 26-27, 40, 49-52. In respect to Canada, see </w:t>
      </w:r>
      <w:r w:rsidRPr="006F29F5">
        <w:rPr>
          <w:highlight w:val="cyan"/>
        </w:rPr>
        <w:t>Sections 4.3(1) and (2)</w:t>
      </w:r>
      <w:r w:rsidRPr="006F29F5">
        <w:t xml:space="preserve"> of this Chapter.</w:t>
      </w:r>
    </w:p>
  </w:footnote>
  <w:footnote w:id="33">
    <w:p w14:paraId="19821BC1" w14:textId="77A00AC2" w:rsidR="003D0153" w:rsidRPr="006F29F5" w:rsidRDefault="003D0153" w:rsidP="000E35A1">
      <w:pPr>
        <w:pStyle w:val="FootnoteText"/>
      </w:pPr>
      <w:r w:rsidRPr="006F29F5">
        <w:rPr>
          <w:rStyle w:val="FootnoteReference"/>
        </w:rPr>
        <w:footnoteRef/>
      </w:r>
      <w:r w:rsidRPr="006F29F5">
        <w:t xml:space="preserve"> </w:t>
      </w:r>
      <w:r w:rsidRPr="006F29F5">
        <w:rPr>
          <w:i/>
        </w:rPr>
        <w:t xml:space="preserve">Ibid </w:t>
      </w:r>
      <w:r w:rsidRPr="006F29F5">
        <w:t>at 143.</w:t>
      </w:r>
    </w:p>
  </w:footnote>
  <w:footnote w:id="34">
    <w:p w14:paraId="12915046" w14:textId="6C6DAEE4" w:rsidR="003D0153" w:rsidRPr="006F29F5" w:rsidRDefault="003D0153" w:rsidP="000E35A1">
      <w:pPr>
        <w:pStyle w:val="FootnoteText"/>
      </w:pPr>
      <w:r w:rsidRPr="006F29F5">
        <w:rPr>
          <w:rStyle w:val="FootnoteReference"/>
        </w:rPr>
        <w:footnoteRef/>
      </w:r>
      <w:r w:rsidRPr="006F29F5">
        <w:t xml:space="preserve"> OECD/The World Bank, </w:t>
      </w:r>
      <w:r w:rsidRPr="006F29F5">
        <w:rPr>
          <w:rFonts w:cs="Times New Roman"/>
          <w:i/>
        </w:rPr>
        <w:t>Identification and Quantification of the Proceeds of Bribery: Revised edition</w:t>
      </w:r>
      <w:r w:rsidRPr="006F29F5">
        <w:rPr>
          <w:rFonts w:cs="Times New Roman"/>
        </w:rPr>
        <w:t xml:space="preserve">, (OECD Publishing, 2012) </w:t>
      </w:r>
      <w:r w:rsidRPr="006F29F5">
        <w:rPr>
          <w:rFonts w:cs="Times New Roman"/>
          <w:szCs w:val="18"/>
        </w:rPr>
        <w:t>[Identification &amp; Quantification (2012)]</w:t>
      </w:r>
      <w:r w:rsidRPr="006F29F5">
        <w:rPr>
          <w:rFonts w:cs="Times New Roman"/>
        </w:rPr>
        <w:t xml:space="preserve"> at 19-20,</w:t>
      </w:r>
      <w:r w:rsidRPr="006F29F5">
        <w:t xml:space="preserve"> online: &lt;</w:t>
      </w:r>
      <w:hyperlink r:id="rId15" w:history="1">
        <w:r w:rsidRPr="006F29F5">
          <w:rPr>
            <w:rStyle w:val="Hyperlink"/>
          </w:rPr>
          <w:t>http://dx.doi.org/10.1787/9789264174801-en</w:t>
        </w:r>
      </w:hyperlink>
      <w:r w:rsidRPr="006F29F5">
        <w:t>&gt;.</w:t>
      </w:r>
    </w:p>
  </w:footnote>
  <w:footnote w:id="35">
    <w:p w14:paraId="6D90BADA" w14:textId="1BD1538A" w:rsidR="003D0153" w:rsidRPr="006F29F5" w:rsidRDefault="003D0153" w:rsidP="000E35A1">
      <w:pPr>
        <w:pStyle w:val="FootnoteText"/>
      </w:pPr>
      <w:r w:rsidRPr="006F29F5">
        <w:rPr>
          <w:rStyle w:val="FootnoteReference"/>
        </w:rPr>
        <w:footnoteRef/>
      </w:r>
      <w:r w:rsidRPr="006F29F5">
        <w:t xml:space="preserve"> </w:t>
      </w:r>
      <w:proofErr w:type="spellStart"/>
      <w:r w:rsidRPr="006F29F5">
        <w:t>Abiola</w:t>
      </w:r>
      <w:proofErr w:type="spellEnd"/>
      <w:r w:rsidRPr="006F29F5">
        <w:t xml:space="preserve"> O </w:t>
      </w:r>
      <w:proofErr w:type="spellStart"/>
      <w:r w:rsidRPr="006F29F5">
        <w:t>Makinwa</w:t>
      </w:r>
      <w:proofErr w:type="spellEnd"/>
      <w:r w:rsidRPr="006F29F5">
        <w:t xml:space="preserve">, </w:t>
      </w:r>
      <w:r w:rsidRPr="006F29F5">
        <w:rPr>
          <w:i/>
        </w:rPr>
        <w:t xml:space="preserve">Private Remedies for Corruption </w:t>
      </w:r>
      <w:r w:rsidRPr="006F29F5">
        <w:t>(The Hague: Eleven International, 2013) at 377.</w:t>
      </w:r>
    </w:p>
  </w:footnote>
  <w:footnote w:id="36">
    <w:p w14:paraId="645D23EC" w14:textId="77777777" w:rsidR="003D0153" w:rsidRPr="006F29F5" w:rsidRDefault="003D0153" w:rsidP="000E35A1">
      <w:pPr>
        <w:pStyle w:val="FootnoteText"/>
      </w:pPr>
      <w:r w:rsidRPr="006F29F5">
        <w:rPr>
          <w:rStyle w:val="FootnoteReference"/>
        </w:rPr>
        <w:footnoteRef/>
      </w:r>
      <w:r w:rsidRPr="006F29F5">
        <w:t xml:space="preserve"> </w:t>
      </w:r>
      <w:r w:rsidRPr="006F29F5">
        <w:rPr>
          <w:i/>
        </w:rPr>
        <w:t xml:space="preserve">Ibid </w:t>
      </w:r>
      <w:r w:rsidRPr="006F29F5">
        <w:t>at 428.</w:t>
      </w:r>
    </w:p>
  </w:footnote>
  <w:footnote w:id="37">
    <w:p w14:paraId="6437EFC5" w14:textId="77777777" w:rsidR="003D0153" w:rsidRPr="006F29F5" w:rsidRDefault="003D0153" w:rsidP="000E35A1">
      <w:pPr>
        <w:pStyle w:val="FootnoteText"/>
      </w:pPr>
      <w:r w:rsidRPr="006F29F5">
        <w:rPr>
          <w:rStyle w:val="FootnoteReference"/>
        </w:rPr>
        <w:footnoteRef/>
      </w:r>
      <w:r w:rsidRPr="006F29F5">
        <w:t xml:space="preserve"> </w:t>
      </w:r>
      <w:r w:rsidRPr="006F29F5">
        <w:rPr>
          <w:i/>
        </w:rPr>
        <w:t xml:space="preserve">Ibid </w:t>
      </w:r>
      <w:r w:rsidRPr="006F29F5">
        <w:t>at 428.</w:t>
      </w:r>
    </w:p>
  </w:footnote>
  <w:footnote w:id="38">
    <w:p w14:paraId="50F64D01" w14:textId="41049EDB" w:rsidR="003D0153" w:rsidRPr="006F29F5" w:rsidRDefault="003D0153" w:rsidP="000E35A1">
      <w:pPr>
        <w:pStyle w:val="FootnoteText"/>
      </w:pPr>
      <w:r w:rsidRPr="006F29F5">
        <w:rPr>
          <w:rStyle w:val="FootnoteReference"/>
        </w:rPr>
        <w:footnoteRef/>
      </w:r>
      <w:r w:rsidRPr="006F29F5">
        <w:t xml:space="preserve"> Jean-Pierre </w:t>
      </w:r>
      <w:proofErr w:type="spellStart"/>
      <w:r w:rsidRPr="006F29F5">
        <w:t>Brun</w:t>
      </w:r>
      <w:proofErr w:type="spellEnd"/>
      <w:r w:rsidRPr="006F29F5">
        <w:t xml:space="preserve"> et al, </w:t>
      </w:r>
      <w:r w:rsidRPr="006F29F5">
        <w:rPr>
          <w:i/>
        </w:rPr>
        <w:t>Public Wrongs, Private Actions: Civil Lawsuits to Recover Stolen Assets</w:t>
      </w:r>
      <w:r w:rsidRPr="006F29F5">
        <w:t xml:space="preserve"> (World Bank, 2015) at 4. </w:t>
      </w:r>
    </w:p>
  </w:footnote>
  <w:footnote w:id="39">
    <w:p w14:paraId="13F5038C" w14:textId="1A6EFB17" w:rsidR="003D0153" w:rsidRPr="006F29F5" w:rsidRDefault="003D0153" w:rsidP="000E35A1">
      <w:pPr>
        <w:pStyle w:val="FootnoteText"/>
      </w:pPr>
      <w:r w:rsidRPr="006F29F5">
        <w:rPr>
          <w:rStyle w:val="FootnoteReference"/>
        </w:rPr>
        <w:footnoteRef/>
      </w:r>
      <w:r w:rsidRPr="006F29F5">
        <w:t xml:space="preserve"> </w:t>
      </w:r>
      <w:r w:rsidRPr="006F29F5">
        <w:rPr>
          <w:i/>
        </w:rPr>
        <w:t xml:space="preserve">Attorney General of Zambia v Meer, Care &amp; Desai and Others </w:t>
      </w:r>
      <w:r w:rsidRPr="006F29F5">
        <w:t>[2007] EWHC 952 (</w:t>
      </w:r>
      <w:proofErr w:type="spellStart"/>
      <w:r w:rsidRPr="006F29F5">
        <w:t>Ch</w:t>
      </w:r>
      <w:proofErr w:type="spellEnd"/>
      <w:r w:rsidRPr="006F29F5">
        <w:t>) (UK).</w:t>
      </w:r>
    </w:p>
  </w:footnote>
  <w:footnote w:id="40">
    <w:p w14:paraId="3995BFB7" w14:textId="247CA253" w:rsidR="003D0153" w:rsidRPr="006F29F5" w:rsidRDefault="003D0153" w:rsidP="000E35A1">
      <w:pPr>
        <w:pStyle w:val="FootnoteText"/>
      </w:pPr>
      <w:r w:rsidRPr="006F29F5">
        <w:rPr>
          <w:rStyle w:val="FootnoteReference"/>
        </w:rPr>
        <w:footnoteRef/>
      </w:r>
      <w:r w:rsidRPr="006F29F5">
        <w:t xml:space="preserve"> John </w:t>
      </w:r>
      <w:proofErr w:type="spellStart"/>
      <w:r w:rsidRPr="006F29F5">
        <w:t>Hatchard</w:t>
      </w:r>
      <w:proofErr w:type="spellEnd"/>
      <w:r w:rsidRPr="006F29F5">
        <w:t xml:space="preserve">, </w:t>
      </w:r>
      <w:r w:rsidRPr="006F29F5">
        <w:rPr>
          <w:i/>
        </w:rPr>
        <w:t>Combating Corruption: Legal Approaches to Supporting Good Governance and Integrity in Africa</w:t>
      </w:r>
      <w:r w:rsidRPr="006F29F5">
        <w:t xml:space="preserve"> (Edward Elgar, 2014) at 326.</w:t>
      </w:r>
    </w:p>
  </w:footnote>
  <w:footnote w:id="41">
    <w:p w14:paraId="40E8AF9D" w14:textId="3D226345" w:rsidR="003D0153" w:rsidRPr="006F29F5" w:rsidRDefault="003D0153" w:rsidP="000E35A1">
      <w:pPr>
        <w:pStyle w:val="FootnoteText"/>
      </w:pPr>
      <w:r w:rsidRPr="006F29F5">
        <w:rPr>
          <w:rStyle w:val="FootnoteReference"/>
        </w:rPr>
        <w:footnoteRef/>
      </w:r>
      <w:r w:rsidRPr="006F29F5">
        <w:t xml:space="preserve"> </w:t>
      </w:r>
      <w:proofErr w:type="spellStart"/>
      <w:r w:rsidRPr="006F29F5">
        <w:rPr>
          <w:rFonts w:cs="Times New Roman"/>
          <w:szCs w:val="18"/>
        </w:rPr>
        <w:t>Brun</w:t>
      </w:r>
      <w:proofErr w:type="spellEnd"/>
      <w:r w:rsidRPr="006F29F5">
        <w:rPr>
          <w:rFonts w:cs="Times New Roman"/>
          <w:szCs w:val="18"/>
        </w:rPr>
        <w:t xml:space="preserve"> et al (2015) at 14.</w:t>
      </w:r>
    </w:p>
  </w:footnote>
  <w:footnote w:id="42">
    <w:p w14:paraId="39A5F599" w14:textId="77777777" w:rsidR="003D0153" w:rsidRPr="006F29F5" w:rsidRDefault="003D0153" w:rsidP="000E35A1">
      <w:pPr>
        <w:pStyle w:val="FootnoteText"/>
        <w:keepLines w:val="0"/>
        <w:rPr>
          <w:szCs w:val="18"/>
        </w:rPr>
      </w:pPr>
      <w:r w:rsidRPr="006F29F5">
        <w:rPr>
          <w:rStyle w:val="FootnoteReference"/>
          <w:szCs w:val="18"/>
        </w:rPr>
        <w:footnoteRef/>
      </w:r>
      <w:r w:rsidRPr="006F29F5">
        <w:rPr>
          <w:szCs w:val="18"/>
        </w:rPr>
        <w:t xml:space="preserve"> </w:t>
      </w:r>
      <w:r w:rsidRPr="006F29F5">
        <w:rPr>
          <w:i/>
          <w:szCs w:val="18"/>
        </w:rPr>
        <w:t xml:space="preserve">Ibid </w:t>
      </w:r>
      <w:r w:rsidRPr="006F29F5">
        <w:rPr>
          <w:szCs w:val="18"/>
        </w:rPr>
        <w:t>at 14.</w:t>
      </w:r>
    </w:p>
  </w:footnote>
  <w:footnote w:id="43">
    <w:p w14:paraId="7A24DE3D" w14:textId="7780B6A7" w:rsidR="003D0153" w:rsidRPr="006F29F5" w:rsidRDefault="003D0153" w:rsidP="000E35A1">
      <w:pPr>
        <w:pStyle w:val="FootnoteText"/>
        <w:keepLines w:val="0"/>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Pro Swing </w:t>
      </w:r>
      <w:proofErr w:type="spellStart"/>
      <w:r w:rsidRPr="006F29F5">
        <w:rPr>
          <w:rFonts w:cs="Times New Roman"/>
          <w:i/>
          <w:szCs w:val="18"/>
        </w:rPr>
        <w:t>Inc</w:t>
      </w:r>
      <w:proofErr w:type="spellEnd"/>
      <w:r w:rsidRPr="006F29F5">
        <w:rPr>
          <w:rFonts w:cs="Times New Roman"/>
          <w:i/>
          <w:szCs w:val="18"/>
        </w:rPr>
        <w:t xml:space="preserve"> v </w:t>
      </w:r>
      <w:proofErr w:type="spellStart"/>
      <w:r w:rsidRPr="006F29F5">
        <w:rPr>
          <w:rFonts w:cs="Times New Roman"/>
          <w:i/>
          <w:szCs w:val="18"/>
        </w:rPr>
        <w:t>Elta</w:t>
      </w:r>
      <w:proofErr w:type="spellEnd"/>
      <w:r w:rsidRPr="006F29F5">
        <w:rPr>
          <w:rFonts w:cs="Times New Roman"/>
          <w:i/>
          <w:szCs w:val="18"/>
        </w:rPr>
        <w:t xml:space="preserve"> Golf </w:t>
      </w:r>
      <w:proofErr w:type="spellStart"/>
      <w:r w:rsidRPr="006F29F5">
        <w:rPr>
          <w:rFonts w:cs="Times New Roman"/>
          <w:i/>
          <w:szCs w:val="18"/>
        </w:rPr>
        <w:t>Inc</w:t>
      </w:r>
      <w:proofErr w:type="spellEnd"/>
      <w:r w:rsidRPr="006F29F5">
        <w:rPr>
          <w:rFonts w:cs="Times New Roman"/>
          <w:szCs w:val="18"/>
        </w:rPr>
        <w:t>, 2006 SCC 52 at para 31, [2006] 2 SCR 612.</w:t>
      </w:r>
    </w:p>
  </w:footnote>
  <w:footnote w:id="44">
    <w:p w14:paraId="736EB5C1" w14:textId="40EECC34" w:rsidR="003D0153" w:rsidRPr="006F29F5" w:rsidRDefault="003D0153" w:rsidP="000E35A1">
      <w:pPr>
        <w:pStyle w:val="FootnoteText"/>
        <w:keepLines w:val="0"/>
        <w:rPr>
          <w:rFonts w:cs="Times New Roman"/>
          <w:szCs w:val="18"/>
        </w:rPr>
      </w:pPr>
      <w:r w:rsidRPr="006F29F5">
        <w:rPr>
          <w:rStyle w:val="FootnoteReference"/>
          <w:rFonts w:cs="Times New Roman"/>
          <w:szCs w:val="18"/>
        </w:rPr>
        <w:footnoteRef/>
      </w:r>
      <w:r w:rsidRPr="006F29F5">
        <w:rPr>
          <w:rFonts w:cs="Times New Roman"/>
          <w:szCs w:val="18"/>
        </w:rPr>
        <w:t xml:space="preserve"> </w:t>
      </w:r>
      <w:proofErr w:type="spellStart"/>
      <w:r w:rsidRPr="006F29F5">
        <w:rPr>
          <w:rFonts w:cs="Times New Roman"/>
          <w:i/>
          <w:szCs w:val="18"/>
        </w:rPr>
        <w:t>Beals</w:t>
      </w:r>
      <w:proofErr w:type="spellEnd"/>
      <w:r w:rsidRPr="006F29F5">
        <w:rPr>
          <w:rFonts w:cs="Times New Roman"/>
          <w:i/>
          <w:szCs w:val="18"/>
        </w:rPr>
        <w:t xml:space="preserve"> v </w:t>
      </w:r>
      <w:proofErr w:type="spellStart"/>
      <w:r w:rsidRPr="006F29F5">
        <w:rPr>
          <w:rFonts w:cs="Times New Roman"/>
          <w:i/>
          <w:szCs w:val="18"/>
        </w:rPr>
        <w:t>Saldanha</w:t>
      </w:r>
      <w:proofErr w:type="spellEnd"/>
      <w:r w:rsidRPr="006F29F5">
        <w:rPr>
          <w:rFonts w:cs="Times New Roman"/>
          <w:szCs w:val="18"/>
        </w:rPr>
        <w:t xml:space="preserve">, 2003 SCC 72 at paras 39-77, [2003] 3 SCR 416. See also British Columbia </w:t>
      </w:r>
      <w:r w:rsidRPr="006F29F5">
        <w:rPr>
          <w:rFonts w:cs="Times New Roman"/>
          <w:i/>
          <w:szCs w:val="18"/>
        </w:rPr>
        <w:t>Court Order Enforcement Act</w:t>
      </w:r>
      <w:r w:rsidRPr="006F29F5">
        <w:rPr>
          <w:rFonts w:cs="Times New Roman"/>
          <w:szCs w:val="18"/>
        </w:rPr>
        <w:t xml:space="preserve">, RSBC 1996, c 78, s 29(6); Ontario </w:t>
      </w:r>
      <w:r w:rsidRPr="006F29F5">
        <w:rPr>
          <w:rFonts w:cs="Times New Roman"/>
          <w:i/>
          <w:szCs w:val="18"/>
        </w:rPr>
        <w:t>Reciprocal Enforcement of Judgments Act</w:t>
      </w:r>
      <w:r w:rsidRPr="006F29F5">
        <w:rPr>
          <w:rFonts w:cs="Times New Roman"/>
          <w:szCs w:val="18"/>
        </w:rPr>
        <w:t xml:space="preserve">, RSO 1990, c R5, s 3; </w:t>
      </w:r>
      <w:r w:rsidRPr="006F29F5">
        <w:rPr>
          <w:rFonts w:cs="Times New Roman"/>
          <w:i/>
          <w:szCs w:val="18"/>
        </w:rPr>
        <w:t>Civil Code of Québec</w:t>
      </w:r>
      <w:r w:rsidRPr="006F29F5">
        <w:rPr>
          <w:rFonts w:cs="Times New Roman"/>
          <w:szCs w:val="18"/>
        </w:rPr>
        <w:t>, CQLR, c CCQ-1991, s 3155.</w:t>
      </w:r>
    </w:p>
  </w:footnote>
  <w:footnote w:id="45">
    <w:p w14:paraId="76E71EFD" w14:textId="77777777" w:rsidR="003D0153" w:rsidRPr="006F29F5" w:rsidRDefault="003D0153" w:rsidP="0031558F">
      <w:pPr>
        <w:pStyle w:val="FootnoteText"/>
        <w:keepLines w:val="0"/>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Chevron Corp v </w:t>
      </w:r>
      <w:proofErr w:type="spellStart"/>
      <w:r w:rsidRPr="006F29F5">
        <w:rPr>
          <w:rFonts w:cs="Times New Roman"/>
          <w:i/>
          <w:szCs w:val="18"/>
        </w:rPr>
        <w:t>Yaiguaje</w:t>
      </w:r>
      <w:proofErr w:type="spellEnd"/>
      <w:r w:rsidRPr="006F29F5">
        <w:rPr>
          <w:rFonts w:cs="Times New Roman"/>
          <w:szCs w:val="18"/>
        </w:rPr>
        <w:t>, 2015 SCC 42 at para 27, [2015] 3 SCR 69.</w:t>
      </w:r>
    </w:p>
  </w:footnote>
  <w:footnote w:id="46">
    <w:p w14:paraId="4262EA11" w14:textId="2C2B84D2" w:rsidR="003D0153" w:rsidRPr="006F29F5" w:rsidRDefault="003D0153" w:rsidP="000E35A1">
      <w:pPr>
        <w:pStyle w:val="FootnoteText"/>
      </w:pPr>
      <w:r w:rsidRPr="006F29F5">
        <w:rPr>
          <w:rStyle w:val="FootnoteReference"/>
        </w:rPr>
        <w:footnoteRef/>
      </w:r>
      <w:r w:rsidRPr="006F29F5">
        <w:t xml:space="preserve"> </w:t>
      </w:r>
      <w:r w:rsidRPr="006F29F5">
        <w:rPr>
          <w:i/>
        </w:rPr>
        <w:t>Ibid</w:t>
      </w:r>
      <w:r w:rsidRPr="006F29F5">
        <w:t>.</w:t>
      </w:r>
    </w:p>
  </w:footnote>
  <w:footnote w:id="47">
    <w:p w14:paraId="7ADA5B72" w14:textId="4D258D48" w:rsidR="003D0153" w:rsidRPr="006F29F5" w:rsidRDefault="003D0153" w:rsidP="000E35A1">
      <w:pPr>
        <w:pStyle w:val="FootnoteText"/>
      </w:pPr>
      <w:r w:rsidRPr="006F29F5">
        <w:rPr>
          <w:rStyle w:val="FootnoteReference"/>
        </w:rPr>
        <w:footnoteRef/>
      </w:r>
      <w:r w:rsidRPr="006F29F5">
        <w:t xml:space="preserve"> </w:t>
      </w:r>
      <w:r w:rsidRPr="006F29F5">
        <w:rPr>
          <w:i/>
        </w:rPr>
        <w:t>Ibid</w:t>
      </w:r>
      <w:r w:rsidRPr="006F29F5">
        <w:t xml:space="preserve"> at para 3.</w:t>
      </w:r>
    </w:p>
  </w:footnote>
  <w:footnote w:id="48">
    <w:p w14:paraId="3FADCBFA" w14:textId="5D8625F3" w:rsidR="003D0153" w:rsidRPr="006F29F5" w:rsidRDefault="003D0153" w:rsidP="000E35A1">
      <w:pPr>
        <w:pStyle w:val="FootnoteText"/>
      </w:pPr>
      <w:r w:rsidRPr="006F29F5">
        <w:rPr>
          <w:rStyle w:val="FootnoteReference"/>
        </w:rPr>
        <w:footnoteRef/>
      </w:r>
      <w:r w:rsidRPr="006F29F5">
        <w:t xml:space="preserve"> </w:t>
      </w:r>
      <w:r w:rsidRPr="006F29F5">
        <w:rPr>
          <w:i/>
        </w:rPr>
        <w:t>Ibid</w:t>
      </w:r>
      <w:r w:rsidRPr="006F29F5">
        <w:t xml:space="preserve"> at paras 34, 77.</w:t>
      </w:r>
    </w:p>
  </w:footnote>
  <w:footnote w:id="49">
    <w:p w14:paraId="3D7A6759" w14:textId="26257EB4" w:rsidR="003D0153" w:rsidRPr="006F29F5" w:rsidRDefault="003D0153" w:rsidP="000E35A1">
      <w:pPr>
        <w:pStyle w:val="FootnoteText"/>
      </w:pPr>
      <w:r w:rsidRPr="006F29F5">
        <w:rPr>
          <w:rStyle w:val="FootnoteReference"/>
        </w:rPr>
        <w:footnoteRef/>
      </w:r>
      <w:r w:rsidRPr="006F29F5">
        <w:t xml:space="preserve"> </w:t>
      </w:r>
      <w:r w:rsidRPr="006F29F5">
        <w:rPr>
          <w:i/>
        </w:rPr>
        <w:t xml:space="preserve">Chevron Corp v </w:t>
      </w:r>
      <w:proofErr w:type="spellStart"/>
      <w:r w:rsidRPr="006F29F5">
        <w:rPr>
          <w:i/>
        </w:rPr>
        <w:t>Donziger</w:t>
      </w:r>
      <w:proofErr w:type="spellEnd"/>
      <w:r w:rsidRPr="006F29F5">
        <w:t xml:space="preserve">, 768 F </w:t>
      </w:r>
      <w:proofErr w:type="spellStart"/>
      <w:r w:rsidRPr="006F29F5">
        <w:t>Supp</w:t>
      </w:r>
      <w:proofErr w:type="spellEnd"/>
      <w:r w:rsidRPr="006F29F5">
        <w:t xml:space="preserve"> (2d) 581 (SDNY 2011). The United States Court of Appeals for the Second Circuit overturned the injunction in 2012: see </w:t>
      </w:r>
      <w:r w:rsidRPr="006F29F5">
        <w:rPr>
          <w:i/>
        </w:rPr>
        <w:t>Chevron Corp v Naranjo</w:t>
      </w:r>
      <w:r w:rsidRPr="006F29F5">
        <w:t>, 667 F (3d) 232 (2d Cir 2012).</w:t>
      </w:r>
    </w:p>
  </w:footnote>
  <w:footnote w:id="50">
    <w:p w14:paraId="7574189D" w14:textId="509A10B2" w:rsidR="003D0153" w:rsidRPr="006F29F5" w:rsidRDefault="003D0153" w:rsidP="000E35A1">
      <w:pPr>
        <w:pStyle w:val="FootnoteText"/>
      </w:pPr>
      <w:r w:rsidRPr="006F29F5">
        <w:rPr>
          <w:rStyle w:val="FootnoteReference"/>
        </w:rPr>
        <w:footnoteRef/>
      </w:r>
      <w:r w:rsidRPr="006F29F5">
        <w:t xml:space="preserve"> </w:t>
      </w:r>
      <w:r w:rsidRPr="006F29F5">
        <w:rPr>
          <w:i/>
        </w:rPr>
        <w:t xml:space="preserve">Chevron Corp v </w:t>
      </w:r>
      <w:proofErr w:type="spellStart"/>
      <w:r w:rsidRPr="006F29F5">
        <w:rPr>
          <w:i/>
        </w:rPr>
        <w:t>Donziger</w:t>
      </w:r>
      <w:proofErr w:type="spellEnd"/>
      <w:r w:rsidRPr="006F29F5">
        <w:t xml:space="preserve">, 974 F </w:t>
      </w:r>
      <w:proofErr w:type="spellStart"/>
      <w:r w:rsidRPr="006F29F5">
        <w:t>Supp</w:t>
      </w:r>
      <w:proofErr w:type="spellEnd"/>
      <w:r w:rsidRPr="006F29F5">
        <w:t xml:space="preserve"> (2d) 362 (SDNY 2014), affirmed, 833 F (3d) 74 (2nd Cir 2016).</w:t>
      </w:r>
    </w:p>
  </w:footnote>
  <w:footnote w:id="51">
    <w:p w14:paraId="4FFAC3F2" w14:textId="1B6294CE" w:rsidR="003D0153" w:rsidRPr="006F29F5" w:rsidRDefault="003D0153" w:rsidP="000E35A1">
      <w:pPr>
        <w:pStyle w:val="FootnoteText"/>
      </w:pPr>
      <w:r w:rsidRPr="006F29F5">
        <w:rPr>
          <w:rStyle w:val="FootnoteReference"/>
        </w:rPr>
        <w:footnoteRef/>
      </w:r>
      <w:r w:rsidRPr="006F29F5">
        <w:t xml:space="preserve"> Drew </w:t>
      </w:r>
      <w:proofErr w:type="spellStart"/>
      <w:r w:rsidRPr="006F29F5">
        <w:t>Hasselback</w:t>
      </w:r>
      <w:proofErr w:type="spellEnd"/>
      <w:r w:rsidRPr="006F29F5">
        <w:t xml:space="preserve">, “Chevron’s US$9.5 Billion Ecuador Case Returns to an Ontario Court”, </w:t>
      </w:r>
      <w:r w:rsidRPr="006F29F5">
        <w:rPr>
          <w:i/>
        </w:rPr>
        <w:t>Financial Times</w:t>
      </w:r>
      <w:r w:rsidRPr="006F29F5">
        <w:t xml:space="preserve"> (12 September 2016), online: &lt;</w:t>
      </w:r>
      <w:hyperlink r:id="rId16" w:history="1">
        <w:r w:rsidRPr="006F29F5">
          <w:rPr>
            <w:rStyle w:val="Hyperlink"/>
          </w:rPr>
          <w:t>http://business.financialpost.com/news/chevrons-9-5-billion-ecuador-case-returns-to-an-ontario-court</w:t>
        </w:r>
      </w:hyperlink>
      <w:r w:rsidRPr="006F29F5">
        <w:t xml:space="preserve">&gt;; Colin </w:t>
      </w:r>
      <w:proofErr w:type="spellStart"/>
      <w:r w:rsidRPr="006F29F5">
        <w:t>Perkel</w:t>
      </w:r>
      <w:proofErr w:type="spellEnd"/>
      <w:r w:rsidRPr="006F29F5">
        <w:t xml:space="preserve">, “Ecuadoreans Face off against Chevron in an Ontario Court” </w:t>
      </w:r>
      <w:r w:rsidRPr="006F29F5">
        <w:rPr>
          <w:i/>
        </w:rPr>
        <w:t>The Globe and Mail</w:t>
      </w:r>
      <w:r w:rsidRPr="006F29F5">
        <w:t xml:space="preserve"> (15 September 2016), online: &lt;</w:t>
      </w:r>
      <w:hyperlink r:id="rId17" w:history="1">
        <w:r w:rsidRPr="006F29F5">
          <w:rPr>
            <w:rStyle w:val="Hyperlink"/>
          </w:rPr>
          <w:t>http://www.theglobeandmail.com/report-on-business/industry-news/energy-and-resources/ecuadoreans-face-off-against-chevron-in-an-ontario-court/article31913977/</w:t>
        </w:r>
      </w:hyperlink>
      <w:r w:rsidRPr="006F29F5">
        <w:t>&gt;.</w:t>
      </w:r>
    </w:p>
  </w:footnote>
  <w:footnote w:id="52">
    <w:p w14:paraId="2ECBC713" w14:textId="45625824"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proofErr w:type="spellStart"/>
      <w:r w:rsidRPr="006F29F5">
        <w:rPr>
          <w:szCs w:val="18"/>
        </w:rPr>
        <w:t>Makinwa</w:t>
      </w:r>
      <w:proofErr w:type="spellEnd"/>
      <w:r w:rsidRPr="006F29F5">
        <w:rPr>
          <w:szCs w:val="18"/>
        </w:rPr>
        <w:t xml:space="preserve"> (2013) at 432.</w:t>
      </w:r>
    </w:p>
  </w:footnote>
  <w:footnote w:id="53">
    <w:p w14:paraId="5043E6C5" w14:textId="77777777" w:rsidR="003D0153" w:rsidRPr="006F29F5" w:rsidRDefault="003D0153" w:rsidP="000E35A1">
      <w:pPr>
        <w:pStyle w:val="FootnoteText"/>
      </w:pPr>
      <w:r w:rsidRPr="006F29F5">
        <w:rPr>
          <w:rStyle w:val="FootnoteReference"/>
          <w:szCs w:val="18"/>
        </w:rPr>
        <w:footnoteRef/>
      </w:r>
      <w:r w:rsidRPr="006F29F5">
        <w:rPr>
          <w:szCs w:val="18"/>
        </w:rPr>
        <w:t xml:space="preserve"> </w:t>
      </w:r>
      <w:r w:rsidRPr="006F29F5">
        <w:rPr>
          <w:i/>
          <w:szCs w:val="18"/>
        </w:rPr>
        <w:t xml:space="preserve">Ibid </w:t>
      </w:r>
      <w:r w:rsidRPr="006F29F5">
        <w:rPr>
          <w:szCs w:val="18"/>
        </w:rPr>
        <w:t>at 407.</w:t>
      </w:r>
    </w:p>
  </w:footnote>
  <w:footnote w:id="54">
    <w:p w14:paraId="187A5452" w14:textId="1F2B0DE6" w:rsidR="003D0153" w:rsidRPr="006F29F5" w:rsidRDefault="003D0153" w:rsidP="000E35A1">
      <w:pPr>
        <w:pStyle w:val="FootnoteText"/>
      </w:pPr>
      <w:r w:rsidRPr="006F29F5">
        <w:rPr>
          <w:rStyle w:val="FootnoteReference"/>
        </w:rPr>
        <w:footnoteRef/>
      </w:r>
      <w:r w:rsidRPr="006F29F5">
        <w:t xml:space="preserve"> Emile van der Does de </w:t>
      </w:r>
      <w:proofErr w:type="spellStart"/>
      <w:r w:rsidRPr="006F29F5">
        <w:t>Willebois</w:t>
      </w:r>
      <w:proofErr w:type="spellEnd"/>
      <w:r w:rsidRPr="006F29F5">
        <w:t xml:space="preserve"> &amp; Jean-Pierre </w:t>
      </w:r>
      <w:proofErr w:type="spellStart"/>
      <w:r w:rsidRPr="006F29F5">
        <w:t>Brun</w:t>
      </w:r>
      <w:proofErr w:type="spellEnd"/>
      <w:r w:rsidRPr="006F29F5">
        <w:t>, “Using Civil Remedies in Corruption and Asset Recovery Cases” (2013) 45:3 Case W Res J Intl L 615</w:t>
      </w:r>
      <w:r w:rsidRPr="006F29F5">
        <w:rPr>
          <w:i/>
        </w:rPr>
        <w:t xml:space="preserve"> </w:t>
      </w:r>
      <w:r w:rsidRPr="006F29F5">
        <w:t>at 637–639.</w:t>
      </w:r>
    </w:p>
  </w:footnote>
  <w:footnote w:id="55">
    <w:p w14:paraId="28019CEA" w14:textId="77777777" w:rsidR="003D0153" w:rsidRPr="006F29F5" w:rsidRDefault="003D0153" w:rsidP="000E35A1">
      <w:pPr>
        <w:pStyle w:val="FootnoteText"/>
        <w:rPr>
          <w:i/>
        </w:rPr>
      </w:pPr>
      <w:r w:rsidRPr="006F29F5">
        <w:rPr>
          <w:rStyle w:val="FootnoteReference"/>
        </w:rPr>
        <w:footnoteRef/>
      </w:r>
      <w:r w:rsidRPr="006F29F5">
        <w:t xml:space="preserve"> </w:t>
      </w:r>
      <w:r w:rsidRPr="006F29F5">
        <w:rPr>
          <w:i/>
        </w:rPr>
        <w:t>Ibid.</w:t>
      </w:r>
    </w:p>
  </w:footnote>
  <w:footnote w:id="56">
    <w:p w14:paraId="60ED8FA7" w14:textId="321E1AD9" w:rsidR="003D0153" w:rsidRPr="006F29F5" w:rsidRDefault="003D0153" w:rsidP="000E35A1">
      <w:pPr>
        <w:pStyle w:val="FootnoteText"/>
      </w:pPr>
      <w:r w:rsidRPr="006F29F5">
        <w:rPr>
          <w:rStyle w:val="FootnoteReference"/>
        </w:rPr>
        <w:footnoteRef/>
      </w:r>
      <w:r w:rsidRPr="006F29F5">
        <w:t xml:space="preserve"> </w:t>
      </w:r>
      <w:r w:rsidRPr="006F29F5">
        <w:rPr>
          <w:i/>
        </w:rPr>
        <w:t xml:space="preserve">Korea Supply Co v Lockheed Martin Corporation, </w:t>
      </w:r>
      <w:r w:rsidRPr="006F29F5">
        <w:t>63 P (3d) 937, 941 (Cal 2003).</w:t>
      </w:r>
    </w:p>
  </w:footnote>
  <w:footnote w:id="57">
    <w:p w14:paraId="14ACE0EC" w14:textId="2B5C76D8" w:rsidR="003D0153" w:rsidRPr="006F29F5" w:rsidRDefault="003D0153" w:rsidP="000E35A1">
      <w:pPr>
        <w:pStyle w:val="FootnoteText"/>
      </w:pPr>
      <w:r w:rsidRPr="006F29F5">
        <w:rPr>
          <w:rStyle w:val="FootnoteReference"/>
        </w:rPr>
        <w:footnoteRef/>
      </w:r>
      <w:r w:rsidRPr="006F29F5">
        <w:t xml:space="preserve"> </w:t>
      </w:r>
      <w:r w:rsidRPr="006F29F5">
        <w:rPr>
          <w:i/>
        </w:rPr>
        <w:t xml:space="preserve">Marin and Coye v Attorney General of Belize, </w:t>
      </w:r>
      <w:r w:rsidRPr="006F29F5">
        <w:t>[2011] CCJ 9 (AJ).</w:t>
      </w:r>
    </w:p>
  </w:footnote>
  <w:footnote w:id="58">
    <w:p w14:paraId="473D7CC0" w14:textId="293CC4DC" w:rsidR="003D0153" w:rsidRPr="006F29F5" w:rsidRDefault="003D0153" w:rsidP="000E35A1">
      <w:pPr>
        <w:pStyle w:val="FootnoteText"/>
      </w:pPr>
      <w:r w:rsidRPr="006F29F5">
        <w:rPr>
          <w:rStyle w:val="FootnoteReference"/>
        </w:rPr>
        <w:footnoteRef/>
      </w:r>
      <w:r w:rsidRPr="006F29F5">
        <w:t xml:space="preserve"> </w:t>
      </w:r>
      <w:proofErr w:type="spellStart"/>
      <w:r w:rsidRPr="006F29F5">
        <w:t>Hatchard</w:t>
      </w:r>
      <w:proofErr w:type="spellEnd"/>
      <w:r w:rsidRPr="006F29F5">
        <w:t xml:space="preserve"> (2014) at 96.</w:t>
      </w:r>
    </w:p>
  </w:footnote>
  <w:footnote w:id="59">
    <w:p w14:paraId="1CE7A260" w14:textId="6D80AD8C" w:rsidR="003D0153" w:rsidRPr="006F29F5" w:rsidRDefault="003D0153" w:rsidP="000E35A1">
      <w:pPr>
        <w:pStyle w:val="FootnoteText"/>
      </w:pPr>
      <w:r w:rsidRPr="006F29F5">
        <w:rPr>
          <w:rStyle w:val="FootnoteReference"/>
        </w:rPr>
        <w:footnoteRef/>
      </w:r>
      <w:r w:rsidRPr="006F29F5">
        <w:t xml:space="preserve"> </w:t>
      </w:r>
      <w:proofErr w:type="spellStart"/>
      <w:r w:rsidRPr="006F29F5">
        <w:t>Makinwa</w:t>
      </w:r>
      <w:proofErr w:type="spellEnd"/>
      <w:r w:rsidRPr="006F29F5">
        <w:t xml:space="preserve"> (2013) at 243.</w:t>
      </w:r>
    </w:p>
  </w:footnote>
  <w:footnote w:id="60">
    <w:p w14:paraId="7D4D016E" w14:textId="20FD39B5" w:rsidR="003D0153" w:rsidRPr="006F29F5" w:rsidRDefault="003D0153" w:rsidP="000E35A1">
      <w:pPr>
        <w:pStyle w:val="FootnoteText"/>
      </w:pPr>
      <w:r w:rsidRPr="006F29F5">
        <w:rPr>
          <w:rStyle w:val="FootnoteReference"/>
        </w:rPr>
        <w:footnoteRef/>
      </w:r>
      <w:r w:rsidRPr="006F29F5">
        <w:t xml:space="preserve"> Nicholas van </w:t>
      </w:r>
      <w:proofErr w:type="spellStart"/>
      <w:r w:rsidRPr="006F29F5">
        <w:t>Praet</w:t>
      </w:r>
      <w:proofErr w:type="spellEnd"/>
      <w:r w:rsidRPr="006F29F5">
        <w:t xml:space="preserve">, “SNC-Lavalin Sues Former Executives over Alleged Bribery and Embezzlement”, </w:t>
      </w:r>
      <w:r w:rsidRPr="006F29F5">
        <w:rPr>
          <w:i/>
        </w:rPr>
        <w:t>The Globe and Mail</w:t>
      </w:r>
      <w:r w:rsidRPr="006F29F5">
        <w:t xml:space="preserve"> (April 9, 2015), online at: &lt;</w:t>
      </w:r>
      <w:hyperlink r:id="rId18" w:history="1">
        <w:r w:rsidRPr="006F29F5">
          <w:rPr>
            <w:rStyle w:val="Hyperlink"/>
          </w:rPr>
          <w:t>http://www.theglobeandmail.com/report-on-business/industry-news/the-law-page/snc-lavalin-sues-former-executives-over-alleged-bribery-embezzlement/article23870439/</w:t>
        </w:r>
      </w:hyperlink>
      <w:r w:rsidRPr="006F29F5">
        <w:t xml:space="preserve">&gt;. </w:t>
      </w:r>
      <w:r w:rsidRPr="006F29F5">
        <w:rPr>
          <w:color w:val="000000" w:themeColor="text1"/>
        </w:rPr>
        <w:t xml:space="preserve">In his statement of defence, SNC’s former executive vice-president of construction </w:t>
      </w:r>
      <w:proofErr w:type="spellStart"/>
      <w:r w:rsidRPr="006F29F5">
        <w:rPr>
          <w:color w:val="000000" w:themeColor="text1"/>
        </w:rPr>
        <w:t>Riadh</w:t>
      </w:r>
      <w:proofErr w:type="spellEnd"/>
      <w:r w:rsidRPr="006F29F5">
        <w:rPr>
          <w:color w:val="000000" w:themeColor="text1"/>
        </w:rPr>
        <w:t xml:space="preserve"> Ben </w:t>
      </w:r>
      <w:proofErr w:type="spellStart"/>
      <w:r w:rsidRPr="006F29F5">
        <w:rPr>
          <w:color w:val="000000" w:themeColor="text1"/>
        </w:rPr>
        <w:t>Aissa</w:t>
      </w:r>
      <w:proofErr w:type="spellEnd"/>
      <w:r w:rsidRPr="006F29F5">
        <w:rPr>
          <w:color w:val="000000" w:themeColor="text1"/>
        </w:rPr>
        <w:t xml:space="preserve"> alleged that specific SNC executives organized and approved purchases of a number of lavish gifts for </w:t>
      </w:r>
      <w:proofErr w:type="spellStart"/>
      <w:r w:rsidRPr="006F29F5">
        <w:rPr>
          <w:color w:val="000000" w:themeColor="text1"/>
        </w:rPr>
        <w:t>Saadi</w:t>
      </w:r>
      <w:proofErr w:type="spellEnd"/>
      <w:r w:rsidRPr="006F29F5">
        <w:rPr>
          <w:color w:val="000000" w:themeColor="text1"/>
        </w:rPr>
        <w:t xml:space="preserve"> Gadhafi, including a $38 million yacht. He further claimed that “most of SNC’s senior executives knew that the so-called agency contracts were in reality bribes paid to Libyan foreign officials in exchange for the award of the sole-source contract” (see John Nicol &amp; Dave </w:t>
      </w:r>
      <w:proofErr w:type="spellStart"/>
      <w:r w:rsidRPr="006F29F5">
        <w:rPr>
          <w:color w:val="000000" w:themeColor="text1"/>
        </w:rPr>
        <w:t>Seglins</w:t>
      </w:r>
      <w:proofErr w:type="spellEnd"/>
      <w:r w:rsidRPr="006F29F5">
        <w:rPr>
          <w:color w:val="000000" w:themeColor="text1"/>
        </w:rPr>
        <w:t xml:space="preserve">, “SNC-Lavalin Replaces CEO amid More Allegations”, </w:t>
      </w:r>
      <w:r w:rsidRPr="006F29F5">
        <w:rPr>
          <w:i/>
          <w:color w:val="000000" w:themeColor="text1"/>
        </w:rPr>
        <w:t>CBC News</w:t>
      </w:r>
      <w:r w:rsidRPr="006F29F5">
        <w:rPr>
          <w:color w:val="000000" w:themeColor="text1"/>
        </w:rPr>
        <w:t xml:space="preserve"> (14 September 2015), online: </w:t>
      </w:r>
      <w:r w:rsidRPr="006F29F5">
        <w:t>&lt;</w:t>
      </w:r>
      <w:hyperlink r:id="rId19" w:history="1">
        <w:r w:rsidRPr="006F29F5">
          <w:rPr>
            <w:rStyle w:val="Hyperlink"/>
          </w:rPr>
          <w:t>http://www.cbc.ca/news/business/snc-lavalin-card-bruce-1.3226097</w:t>
        </w:r>
      </w:hyperlink>
      <w:r w:rsidRPr="006F29F5">
        <w:t xml:space="preserve"> &gt;). </w:t>
      </w:r>
      <w:r w:rsidRPr="006F29F5">
        <w:rPr>
          <w:rFonts w:cs="Times New Roman"/>
          <w:color w:val="000000" w:themeColor="text1"/>
          <w:szCs w:val="18"/>
        </w:rPr>
        <w:t xml:space="preserve">Also, in December 2014, SNC-Lavalin recovered $13 million from Ben </w:t>
      </w:r>
      <w:proofErr w:type="spellStart"/>
      <w:r w:rsidRPr="006F29F5">
        <w:rPr>
          <w:rFonts w:cs="Times New Roman"/>
          <w:color w:val="000000" w:themeColor="text1"/>
          <w:szCs w:val="18"/>
        </w:rPr>
        <w:t>Aissa’s</w:t>
      </w:r>
      <w:proofErr w:type="spellEnd"/>
      <w:r w:rsidRPr="006F29F5">
        <w:rPr>
          <w:rFonts w:cs="Times New Roman"/>
          <w:color w:val="000000" w:themeColor="text1"/>
          <w:szCs w:val="18"/>
        </w:rPr>
        <w:t xml:space="preserve"> frozen assets in Switzerland after Ben </w:t>
      </w:r>
      <w:proofErr w:type="spellStart"/>
      <w:r w:rsidRPr="006F29F5">
        <w:rPr>
          <w:rFonts w:cs="Times New Roman"/>
          <w:color w:val="000000" w:themeColor="text1"/>
          <w:szCs w:val="18"/>
        </w:rPr>
        <w:t>Aissa</w:t>
      </w:r>
      <w:proofErr w:type="spellEnd"/>
      <w:r w:rsidRPr="006F29F5">
        <w:rPr>
          <w:rFonts w:cs="Times New Roman"/>
          <w:color w:val="000000" w:themeColor="text1"/>
          <w:szCs w:val="18"/>
        </w:rPr>
        <w:t xml:space="preserve"> was found guilty for bribery in Swiss proceedings. </w:t>
      </w:r>
      <w:r w:rsidRPr="006F29F5">
        <w:t xml:space="preserve">The recovered money was part of the $47 million surrendered by </w:t>
      </w:r>
      <w:proofErr w:type="spellStart"/>
      <w:r w:rsidRPr="006F29F5">
        <w:t>Aissa</w:t>
      </w:r>
      <w:proofErr w:type="spellEnd"/>
      <w:r w:rsidRPr="006F29F5">
        <w:t xml:space="preserve"> and was awarded to SNC-Lavalin on the basis that the company was an “injured party.” Recovery by corporate “victims” in bribery cases is very rare and has only occurred in two cases. See Richard L Cassin, “‘Victim’ SNC-Lavalin Collects $13 Million in Recovered Funds”, </w:t>
      </w:r>
      <w:r w:rsidRPr="006F29F5">
        <w:rPr>
          <w:i/>
        </w:rPr>
        <w:t>The FCPA Blog</w:t>
      </w:r>
      <w:r w:rsidRPr="006F29F5">
        <w:t xml:space="preserve"> (15 December 2014), online: &lt;</w:t>
      </w:r>
      <w:hyperlink r:id="rId20" w:history="1">
        <w:r w:rsidRPr="006F29F5">
          <w:rPr>
            <w:rStyle w:val="Hyperlink"/>
            <w:rFonts w:eastAsia="SimSun" w:cs="Arial"/>
            <w:szCs w:val="18"/>
            <w:lang w:bidi="en-US"/>
          </w:rPr>
          <w:t>http://www.fcpablog.com/blog/2014/12/15/victim-snc-lavalin-collects-13-million-in-recovered-funds.html</w:t>
        </w:r>
      </w:hyperlink>
      <w:r w:rsidRPr="006F29F5">
        <w:rPr>
          <w:szCs w:val="18"/>
        </w:rPr>
        <w:t>&gt;.</w:t>
      </w:r>
    </w:p>
  </w:footnote>
  <w:footnote w:id="61">
    <w:p w14:paraId="0E3CE0E2" w14:textId="1689B24E" w:rsidR="003D0153" w:rsidRPr="006F29F5" w:rsidRDefault="003D0153" w:rsidP="000E35A1">
      <w:pPr>
        <w:pStyle w:val="FootnoteText"/>
      </w:pPr>
      <w:r w:rsidRPr="006F29F5">
        <w:rPr>
          <w:rStyle w:val="FootnoteReference"/>
        </w:rPr>
        <w:footnoteRef/>
      </w:r>
      <w:r w:rsidRPr="006F29F5">
        <w:t xml:space="preserve"> </w:t>
      </w:r>
      <w:proofErr w:type="spellStart"/>
      <w:r w:rsidRPr="006F29F5">
        <w:t>Makinwa</w:t>
      </w:r>
      <w:proofErr w:type="spellEnd"/>
      <w:r w:rsidRPr="006F29F5">
        <w:t xml:space="preserve"> (2013) at 471.</w:t>
      </w:r>
    </w:p>
  </w:footnote>
  <w:footnote w:id="62">
    <w:p w14:paraId="508C04C2" w14:textId="3D80CF6A" w:rsidR="003D0153" w:rsidRPr="006F29F5" w:rsidRDefault="003D0153" w:rsidP="000E35A1">
      <w:pPr>
        <w:pStyle w:val="FootnoteText"/>
      </w:pPr>
      <w:r w:rsidRPr="006F29F5">
        <w:rPr>
          <w:rStyle w:val="FootnoteReference"/>
        </w:rPr>
        <w:footnoteRef/>
      </w:r>
      <w:r w:rsidRPr="006F29F5">
        <w:t xml:space="preserve"> </w:t>
      </w:r>
      <w:proofErr w:type="spellStart"/>
      <w:r w:rsidRPr="006F29F5">
        <w:t>Brun</w:t>
      </w:r>
      <w:proofErr w:type="spellEnd"/>
      <w:r w:rsidRPr="006F29F5">
        <w:t xml:space="preserve"> et al (2011) at 164-165.</w:t>
      </w:r>
    </w:p>
  </w:footnote>
  <w:footnote w:id="63">
    <w:p w14:paraId="269F6B55" w14:textId="732C2BBA" w:rsidR="003D0153" w:rsidRPr="006F29F5" w:rsidRDefault="003D0153" w:rsidP="000E35A1">
      <w:pPr>
        <w:pStyle w:val="FootnoteText"/>
      </w:pPr>
      <w:r w:rsidRPr="006F29F5">
        <w:rPr>
          <w:rStyle w:val="FootnoteReference"/>
        </w:rPr>
        <w:footnoteRef/>
      </w:r>
      <w:r w:rsidRPr="006F29F5">
        <w:t xml:space="preserve"> </w:t>
      </w:r>
      <w:r w:rsidRPr="006F29F5">
        <w:rPr>
          <w:i/>
        </w:rPr>
        <w:t>Ibid</w:t>
      </w:r>
      <w:r w:rsidRPr="006F29F5">
        <w:t xml:space="preserve"> at 165.</w:t>
      </w:r>
    </w:p>
  </w:footnote>
  <w:footnote w:id="64">
    <w:p w14:paraId="4CE56216" w14:textId="6ED81875" w:rsidR="003D0153" w:rsidRPr="006F29F5" w:rsidRDefault="003D0153" w:rsidP="000E35A1">
      <w:pPr>
        <w:pStyle w:val="FootnoteText"/>
      </w:pPr>
      <w:r w:rsidRPr="006F29F5">
        <w:rPr>
          <w:rStyle w:val="FootnoteReference"/>
        </w:rPr>
        <w:footnoteRef/>
      </w:r>
      <w:r w:rsidRPr="006F29F5">
        <w:t xml:space="preserve"> </w:t>
      </w:r>
      <w:proofErr w:type="gramStart"/>
      <w:r w:rsidRPr="006F29F5">
        <w:t>van</w:t>
      </w:r>
      <w:proofErr w:type="gramEnd"/>
      <w:r w:rsidRPr="006F29F5">
        <w:t xml:space="preserve"> der Does de </w:t>
      </w:r>
      <w:proofErr w:type="spellStart"/>
      <w:r w:rsidRPr="006F29F5">
        <w:t>Willebois</w:t>
      </w:r>
      <w:proofErr w:type="spellEnd"/>
      <w:r w:rsidRPr="006F29F5">
        <w:t xml:space="preserve"> &amp; </w:t>
      </w:r>
      <w:proofErr w:type="spellStart"/>
      <w:r w:rsidRPr="006F29F5">
        <w:t>Brun</w:t>
      </w:r>
      <w:proofErr w:type="spellEnd"/>
      <w:r w:rsidRPr="006F29F5">
        <w:t>, (2013) at 634.</w:t>
      </w:r>
    </w:p>
  </w:footnote>
  <w:footnote w:id="65">
    <w:p w14:paraId="16F0C767" w14:textId="7265B30C" w:rsidR="003D0153" w:rsidRPr="006F29F5" w:rsidRDefault="003D0153" w:rsidP="000E35A1">
      <w:pPr>
        <w:pStyle w:val="FootnoteText"/>
      </w:pPr>
      <w:r w:rsidRPr="006F29F5">
        <w:rPr>
          <w:rStyle w:val="FootnoteReference"/>
        </w:rPr>
        <w:footnoteRef/>
      </w:r>
      <w:r w:rsidRPr="006F29F5">
        <w:t xml:space="preserve"> </w:t>
      </w:r>
      <w:r w:rsidRPr="006F29F5">
        <w:rPr>
          <w:i/>
        </w:rPr>
        <w:t xml:space="preserve">Ibid </w:t>
      </w:r>
      <w:r w:rsidRPr="006F29F5">
        <w:t>at 637.</w:t>
      </w:r>
    </w:p>
  </w:footnote>
  <w:footnote w:id="66">
    <w:p w14:paraId="2E1E72FE" w14:textId="7517A66F" w:rsidR="003D0153" w:rsidRPr="006F29F5" w:rsidRDefault="003D0153" w:rsidP="000E35A1">
      <w:pPr>
        <w:pStyle w:val="FootnoteText"/>
      </w:pPr>
      <w:r w:rsidRPr="006F29F5">
        <w:rPr>
          <w:rStyle w:val="FootnoteReference"/>
        </w:rPr>
        <w:footnoteRef/>
      </w:r>
      <w:r w:rsidRPr="006F29F5">
        <w:t xml:space="preserve"> Robert W </w:t>
      </w:r>
      <w:proofErr w:type="spellStart"/>
      <w:r w:rsidRPr="006F29F5">
        <w:t>Tarun</w:t>
      </w:r>
      <w:proofErr w:type="spellEnd"/>
      <w:r w:rsidRPr="006F29F5">
        <w:t xml:space="preserve">, </w:t>
      </w:r>
      <w:proofErr w:type="gramStart"/>
      <w:r w:rsidRPr="006F29F5">
        <w:rPr>
          <w:i/>
        </w:rPr>
        <w:t>The</w:t>
      </w:r>
      <w:proofErr w:type="gramEnd"/>
      <w:r w:rsidRPr="006F29F5">
        <w:rPr>
          <w:i/>
        </w:rPr>
        <w:t xml:space="preserve"> Foreign Corrupt Practices Act Handbook</w:t>
      </w:r>
      <w:r w:rsidRPr="006F29F5">
        <w:t xml:space="preserve"> (American Bar Association, 2012) at 20.</w:t>
      </w:r>
    </w:p>
  </w:footnote>
  <w:footnote w:id="67">
    <w:p w14:paraId="2044026C" w14:textId="64AF2D74" w:rsidR="003D0153" w:rsidRPr="006F29F5" w:rsidRDefault="003D0153" w:rsidP="000E35A1">
      <w:pPr>
        <w:pStyle w:val="FootnoteText"/>
      </w:pPr>
      <w:r w:rsidRPr="006F29F5">
        <w:rPr>
          <w:rStyle w:val="FootnoteReference"/>
        </w:rPr>
        <w:footnoteRef/>
      </w:r>
      <w:r w:rsidRPr="006F29F5">
        <w:t xml:space="preserve"> </w:t>
      </w:r>
      <w:proofErr w:type="spellStart"/>
      <w:r w:rsidRPr="006F29F5">
        <w:t>Brun</w:t>
      </w:r>
      <w:proofErr w:type="spellEnd"/>
      <w:r w:rsidRPr="006F29F5">
        <w:rPr>
          <w:i/>
        </w:rPr>
        <w:t xml:space="preserve"> </w:t>
      </w:r>
      <w:r w:rsidRPr="006F29F5">
        <w:t>et al (2011) at 168.</w:t>
      </w:r>
    </w:p>
  </w:footnote>
  <w:footnote w:id="68">
    <w:p w14:paraId="0AC51228" w14:textId="77777777" w:rsidR="003D0153" w:rsidRPr="006F29F5" w:rsidRDefault="003D0153" w:rsidP="0031558F">
      <w:pPr>
        <w:pStyle w:val="FootnoteText"/>
      </w:pPr>
      <w:r w:rsidRPr="006F29F5">
        <w:rPr>
          <w:rStyle w:val="FootnoteReference"/>
        </w:rPr>
        <w:footnoteRef/>
      </w:r>
      <w:r w:rsidRPr="006F29F5">
        <w:t xml:space="preserve"> </w:t>
      </w:r>
      <w:r w:rsidRPr="006F29F5">
        <w:rPr>
          <w:i/>
        </w:rPr>
        <w:t xml:space="preserve">Federal Republic of Nigeria v </w:t>
      </w:r>
      <w:proofErr w:type="spellStart"/>
      <w:r w:rsidRPr="006F29F5">
        <w:rPr>
          <w:i/>
        </w:rPr>
        <w:t>Santolina</w:t>
      </w:r>
      <w:proofErr w:type="spellEnd"/>
      <w:r w:rsidRPr="006F29F5">
        <w:rPr>
          <w:i/>
        </w:rPr>
        <w:t xml:space="preserve"> Investment Corp, Solomon &amp; Peters and </w:t>
      </w:r>
      <w:proofErr w:type="spellStart"/>
      <w:r w:rsidRPr="006F29F5">
        <w:rPr>
          <w:i/>
        </w:rPr>
        <w:t>Diepreye</w:t>
      </w:r>
      <w:proofErr w:type="spellEnd"/>
      <w:r w:rsidRPr="006F29F5">
        <w:rPr>
          <w:i/>
        </w:rPr>
        <w:t xml:space="preserve"> </w:t>
      </w:r>
      <w:proofErr w:type="spellStart"/>
      <w:r w:rsidRPr="006F29F5">
        <w:rPr>
          <w:i/>
        </w:rPr>
        <w:t>Alamieyeseigha</w:t>
      </w:r>
      <w:proofErr w:type="spellEnd"/>
      <w:r w:rsidRPr="006F29F5">
        <w:t>,</w:t>
      </w:r>
      <w:r w:rsidRPr="006F29F5">
        <w:rPr>
          <w:i/>
        </w:rPr>
        <w:t xml:space="preserve"> </w:t>
      </w:r>
      <w:r w:rsidRPr="006F29F5">
        <w:t>[2007] EWHC 437 (</w:t>
      </w:r>
      <w:proofErr w:type="spellStart"/>
      <w:r w:rsidRPr="006F29F5">
        <w:t>Ch</w:t>
      </w:r>
      <w:proofErr w:type="spellEnd"/>
      <w:r w:rsidRPr="006F29F5">
        <w:t xml:space="preserve">) (UK). </w:t>
      </w:r>
    </w:p>
  </w:footnote>
  <w:footnote w:id="69">
    <w:p w14:paraId="096FA5AA" w14:textId="0B3CAAE4"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proofErr w:type="gramStart"/>
      <w:r w:rsidRPr="006F29F5">
        <w:rPr>
          <w:szCs w:val="18"/>
        </w:rPr>
        <w:t>van</w:t>
      </w:r>
      <w:proofErr w:type="gramEnd"/>
      <w:r w:rsidRPr="006F29F5">
        <w:rPr>
          <w:szCs w:val="18"/>
        </w:rPr>
        <w:t xml:space="preserve"> der Does de </w:t>
      </w:r>
      <w:proofErr w:type="spellStart"/>
      <w:r w:rsidRPr="006F29F5">
        <w:rPr>
          <w:szCs w:val="18"/>
        </w:rPr>
        <w:t>Willebois</w:t>
      </w:r>
      <w:proofErr w:type="spellEnd"/>
      <w:r w:rsidRPr="006F29F5">
        <w:rPr>
          <w:szCs w:val="18"/>
        </w:rPr>
        <w:t xml:space="preserve"> &amp; </w:t>
      </w:r>
      <w:proofErr w:type="spellStart"/>
      <w:r w:rsidRPr="006F29F5">
        <w:rPr>
          <w:szCs w:val="18"/>
        </w:rPr>
        <w:t>Brun</w:t>
      </w:r>
      <w:proofErr w:type="spellEnd"/>
      <w:r w:rsidRPr="006F29F5">
        <w:rPr>
          <w:szCs w:val="18"/>
        </w:rPr>
        <w:t xml:space="preserve"> (2013) at 620.</w:t>
      </w:r>
    </w:p>
  </w:footnote>
  <w:footnote w:id="70">
    <w:p w14:paraId="1B3331DE" w14:textId="2479D42B"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proofErr w:type="spellStart"/>
      <w:r w:rsidRPr="006F29F5">
        <w:rPr>
          <w:szCs w:val="18"/>
        </w:rPr>
        <w:t>Brun</w:t>
      </w:r>
      <w:proofErr w:type="spellEnd"/>
      <w:r w:rsidRPr="006F29F5">
        <w:rPr>
          <w:szCs w:val="18"/>
        </w:rPr>
        <w:t xml:space="preserve"> et al (2015) at 49–52.</w:t>
      </w:r>
    </w:p>
  </w:footnote>
  <w:footnote w:id="71">
    <w:p w14:paraId="61A2D2E2" w14:textId="77777777" w:rsidR="003D0153" w:rsidRPr="006F29F5" w:rsidRDefault="003D0153" w:rsidP="0031558F">
      <w:pPr>
        <w:pStyle w:val="FootnoteText"/>
        <w:rPr>
          <w:szCs w:val="18"/>
        </w:rPr>
      </w:pPr>
      <w:r w:rsidRPr="006F29F5">
        <w:rPr>
          <w:rStyle w:val="FootnoteReference"/>
          <w:szCs w:val="18"/>
        </w:rPr>
        <w:footnoteRef/>
      </w:r>
      <w:r w:rsidRPr="006F29F5">
        <w:rPr>
          <w:szCs w:val="18"/>
        </w:rPr>
        <w:t xml:space="preserve"> </w:t>
      </w:r>
      <w:r w:rsidRPr="006F29F5">
        <w:rPr>
          <w:i/>
          <w:szCs w:val="18"/>
        </w:rPr>
        <w:t xml:space="preserve">Kartika </w:t>
      </w:r>
      <w:proofErr w:type="spellStart"/>
      <w:r w:rsidRPr="006F29F5">
        <w:rPr>
          <w:i/>
          <w:szCs w:val="18"/>
        </w:rPr>
        <w:t>Ratna</w:t>
      </w:r>
      <w:proofErr w:type="spellEnd"/>
      <w:r w:rsidRPr="006F29F5">
        <w:rPr>
          <w:i/>
          <w:szCs w:val="18"/>
        </w:rPr>
        <w:t xml:space="preserve"> </w:t>
      </w:r>
      <w:proofErr w:type="spellStart"/>
      <w:r w:rsidRPr="006F29F5">
        <w:rPr>
          <w:i/>
          <w:szCs w:val="18"/>
        </w:rPr>
        <w:t>Thahir</w:t>
      </w:r>
      <w:proofErr w:type="spellEnd"/>
      <w:r w:rsidRPr="006F29F5">
        <w:rPr>
          <w:i/>
          <w:szCs w:val="18"/>
        </w:rPr>
        <w:t xml:space="preserve"> v PT </w:t>
      </w:r>
      <w:proofErr w:type="spellStart"/>
      <w:r w:rsidRPr="006F29F5">
        <w:rPr>
          <w:i/>
          <w:szCs w:val="18"/>
        </w:rPr>
        <w:t>Pertambangan</w:t>
      </w:r>
      <w:proofErr w:type="spellEnd"/>
      <w:r w:rsidRPr="006F29F5">
        <w:rPr>
          <w:i/>
          <w:szCs w:val="18"/>
        </w:rPr>
        <w:t xml:space="preserve"> </w:t>
      </w:r>
      <w:proofErr w:type="spellStart"/>
      <w:r w:rsidRPr="006F29F5">
        <w:rPr>
          <w:i/>
          <w:szCs w:val="18"/>
        </w:rPr>
        <w:t>Minyak</w:t>
      </w:r>
      <w:proofErr w:type="spellEnd"/>
      <w:r w:rsidRPr="006F29F5">
        <w:rPr>
          <w:i/>
          <w:szCs w:val="18"/>
        </w:rPr>
        <w:t xml:space="preserve"> </w:t>
      </w:r>
      <w:proofErr w:type="spellStart"/>
      <w:r w:rsidRPr="006F29F5">
        <w:rPr>
          <w:i/>
          <w:szCs w:val="18"/>
        </w:rPr>
        <w:t>dan</w:t>
      </w:r>
      <w:proofErr w:type="spellEnd"/>
      <w:r w:rsidRPr="006F29F5">
        <w:rPr>
          <w:i/>
          <w:szCs w:val="18"/>
        </w:rPr>
        <w:t xml:space="preserve"> Gas </w:t>
      </w:r>
      <w:proofErr w:type="spellStart"/>
      <w:r w:rsidRPr="006F29F5">
        <w:rPr>
          <w:i/>
          <w:szCs w:val="18"/>
        </w:rPr>
        <w:t>Bumi</w:t>
      </w:r>
      <w:proofErr w:type="spellEnd"/>
      <w:r w:rsidRPr="006F29F5">
        <w:rPr>
          <w:i/>
          <w:szCs w:val="18"/>
        </w:rPr>
        <w:t xml:space="preserve"> Negara (</w:t>
      </w:r>
      <w:proofErr w:type="spellStart"/>
      <w:r w:rsidRPr="006F29F5">
        <w:rPr>
          <w:i/>
          <w:szCs w:val="18"/>
        </w:rPr>
        <w:t>Pertamina</w:t>
      </w:r>
      <w:proofErr w:type="spellEnd"/>
      <w:r w:rsidRPr="006F29F5">
        <w:rPr>
          <w:i/>
          <w:szCs w:val="18"/>
        </w:rPr>
        <w:t>)</w:t>
      </w:r>
      <w:r w:rsidRPr="006F29F5">
        <w:rPr>
          <w:szCs w:val="18"/>
        </w:rPr>
        <w:t>,</w:t>
      </w:r>
      <w:r w:rsidRPr="006F29F5">
        <w:rPr>
          <w:i/>
          <w:szCs w:val="18"/>
        </w:rPr>
        <w:t xml:space="preserve"> </w:t>
      </w:r>
      <w:r w:rsidRPr="006F29F5">
        <w:rPr>
          <w:szCs w:val="18"/>
        </w:rPr>
        <w:t>[1994] 3 SGCA 105 (Singapore).</w:t>
      </w:r>
    </w:p>
  </w:footnote>
  <w:footnote w:id="72">
    <w:p w14:paraId="35485799" w14:textId="6B5C0EFB"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The Attorney General for Hong Kong v (1) Charles Warwick Reid and Judith Margaret Reid and (2) Marc Molloy</w:t>
      </w:r>
      <w:r w:rsidRPr="006F29F5">
        <w:rPr>
          <w:rFonts w:cs="Times New Roman"/>
          <w:szCs w:val="18"/>
        </w:rPr>
        <w:t>, [1993] UKPC 2, [1994] 1 All ER 1.</w:t>
      </w:r>
    </w:p>
  </w:footnote>
  <w:footnote w:id="73">
    <w:p w14:paraId="492C9BB4" w14:textId="4A113800"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rFonts w:eastAsia="Calibri" w:cs="Times New Roman"/>
          <w:i/>
          <w:szCs w:val="18"/>
        </w:rPr>
        <w:t xml:space="preserve">Sinclair Investments (UK) v Versailles Trade Finance Ltd, </w:t>
      </w:r>
      <w:r w:rsidRPr="006F29F5">
        <w:rPr>
          <w:szCs w:val="18"/>
        </w:rPr>
        <w:t xml:space="preserve">[2011] EWCA </w:t>
      </w:r>
      <w:proofErr w:type="spellStart"/>
      <w:r w:rsidRPr="006F29F5">
        <w:rPr>
          <w:szCs w:val="18"/>
        </w:rPr>
        <w:t>Civ</w:t>
      </w:r>
      <w:proofErr w:type="spellEnd"/>
      <w:r w:rsidRPr="006F29F5">
        <w:rPr>
          <w:szCs w:val="18"/>
        </w:rPr>
        <w:t xml:space="preserve"> 347.</w:t>
      </w:r>
    </w:p>
  </w:footnote>
  <w:footnote w:id="74">
    <w:p w14:paraId="051DF557" w14:textId="00503814"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proofErr w:type="gramStart"/>
      <w:r w:rsidRPr="006F29F5">
        <w:rPr>
          <w:szCs w:val="18"/>
        </w:rPr>
        <w:t>van</w:t>
      </w:r>
      <w:proofErr w:type="gramEnd"/>
      <w:r w:rsidRPr="006F29F5">
        <w:rPr>
          <w:szCs w:val="18"/>
        </w:rPr>
        <w:t xml:space="preserve"> der Does de </w:t>
      </w:r>
      <w:proofErr w:type="spellStart"/>
      <w:r w:rsidRPr="006F29F5">
        <w:rPr>
          <w:szCs w:val="18"/>
        </w:rPr>
        <w:t>Willebois</w:t>
      </w:r>
      <w:proofErr w:type="spellEnd"/>
      <w:r w:rsidRPr="006F29F5">
        <w:rPr>
          <w:szCs w:val="18"/>
        </w:rPr>
        <w:t xml:space="preserve"> &amp; </w:t>
      </w:r>
      <w:proofErr w:type="spellStart"/>
      <w:r w:rsidRPr="006F29F5">
        <w:rPr>
          <w:szCs w:val="18"/>
        </w:rPr>
        <w:t>Brun</w:t>
      </w:r>
      <w:proofErr w:type="spellEnd"/>
      <w:r w:rsidRPr="006F29F5">
        <w:rPr>
          <w:szCs w:val="18"/>
        </w:rPr>
        <w:t>, (2013) at 621-625.</w:t>
      </w:r>
    </w:p>
  </w:footnote>
  <w:footnote w:id="75">
    <w:p w14:paraId="6959C7E5" w14:textId="563A649F"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proofErr w:type="spellStart"/>
      <w:r w:rsidRPr="006F29F5">
        <w:rPr>
          <w:szCs w:val="18"/>
        </w:rPr>
        <w:t>Brun</w:t>
      </w:r>
      <w:proofErr w:type="spellEnd"/>
      <w:r w:rsidRPr="006F29F5">
        <w:rPr>
          <w:szCs w:val="18"/>
        </w:rPr>
        <w:t xml:space="preserve"> et al (2015) at 52.</w:t>
      </w:r>
    </w:p>
  </w:footnote>
  <w:footnote w:id="76">
    <w:p w14:paraId="2141CFAE" w14:textId="5B228AF9"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proofErr w:type="spellStart"/>
      <w:r w:rsidRPr="006F29F5">
        <w:rPr>
          <w:rFonts w:cs="Times New Roman"/>
          <w:szCs w:val="18"/>
        </w:rPr>
        <w:t>Padideh</w:t>
      </w:r>
      <w:proofErr w:type="spellEnd"/>
      <w:r w:rsidRPr="006F29F5">
        <w:rPr>
          <w:rFonts w:cs="Times New Roman"/>
          <w:szCs w:val="18"/>
        </w:rPr>
        <w:t xml:space="preserve"> </w:t>
      </w:r>
      <w:proofErr w:type="spellStart"/>
      <w:r w:rsidRPr="006F29F5">
        <w:rPr>
          <w:rFonts w:cs="Times New Roman"/>
          <w:szCs w:val="18"/>
        </w:rPr>
        <w:t>Ala’i</w:t>
      </w:r>
      <w:proofErr w:type="spellEnd"/>
      <w:r w:rsidRPr="006F29F5">
        <w:rPr>
          <w:rFonts w:cs="Times New Roman"/>
          <w:szCs w:val="18"/>
        </w:rPr>
        <w:t>, “Civil Consequences of Corruption in International Commercial Contracts” (2014) 62 Am J Comp L 185 at 208-211.</w:t>
      </w:r>
    </w:p>
  </w:footnote>
  <w:footnote w:id="77">
    <w:p w14:paraId="3D7C14E4" w14:textId="77777777"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 xml:space="preserve">Ibid </w:t>
      </w:r>
      <w:r w:rsidRPr="006F29F5">
        <w:rPr>
          <w:szCs w:val="18"/>
        </w:rPr>
        <w:t>at 66.</w:t>
      </w:r>
    </w:p>
  </w:footnote>
  <w:footnote w:id="78">
    <w:p w14:paraId="5C3A48AA" w14:textId="6D8051B4"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proofErr w:type="spellStart"/>
      <w:r w:rsidRPr="006F29F5">
        <w:rPr>
          <w:szCs w:val="18"/>
        </w:rPr>
        <w:t>Makinwa</w:t>
      </w:r>
      <w:proofErr w:type="spellEnd"/>
      <w:r w:rsidRPr="006F29F5">
        <w:rPr>
          <w:szCs w:val="18"/>
        </w:rPr>
        <w:t xml:space="preserve"> (2013) at 390. </w:t>
      </w:r>
    </w:p>
  </w:footnote>
  <w:footnote w:id="79">
    <w:p w14:paraId="529434A8" w14:textId="1822A07A"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The securities fraud lawsuit was brought on behalf of Avon’s shareholders from 2006 to 2011 and led by two German investment funds. The plaintiffs alleged that the cosmetics company developed a corporate culture that was hostile to effective oversight and concealed the company’s dependence on corrupt activities to boost sales in China. See Jonathan </w:t>
      </w:r>
      <w:proofErr w:type="spellStart"/>
      <w:r w:rsidRPr="006F29F5">
        <w:rPr>
          <w:rFonts w:cs="Times New Roman"/>
          <w:szCs w:val="18"/>
        </w:rPr>
        <w:t>Stempel</w:t>
      </w:r>
      <w:proofErr w:type="spellEnd"/>
      <w:r w:rsidRPr="006F29F5">
        <w:rPr>
          <w:rFonts w:cs="Times New Roman"/>
          <w:szCs w:val="18"/>
        </w:rPr>
        <w:t xml:space="preserve">, “Avon Seeks Approval in U.S. of $62 </w:t>
      </w:r>
      <w:proofErr w:type="spellStart"/>
      <w:r w:rsidRPr="006F29F5">
        <w:rPr>
          <w:rFonts w:cs="Times New Roman"/>
          <w:szCs w:val="18"/>
        </w:rPr>
        <w:t>Mln</w:t>
      </w:r>
      <w:proofErr w:type="spellEnd"/>
      <w:r w:rsidRPr="006F29F5">
        <w:rPr>
          <w:rFonts w:cs="Times New Roman"/>
          <w:szCs w:val="18"/>
        </w:rPr>
        <w:t xml:space="preserve"> Accord over China Bribery”, </w:t>
      </w:r>
      <w:r w:rsidRPr="006F29F5">
        <w:rPr>
          <w:rFonts w:cs="Times New Roman"/>
          <w:i/>
          <w:szCs w:val="18"/>
        </w:rPr>
        <w:t>Reuters</w:t>
      </w:r>
      <w:r w:rsidRPr="006F29F5">
        <w:rPr>
          <w:rFonts w:cs="Times New Roman"/>
          <w:szCs w:val="18"/>
        </w:rPr>
        <w:t xml:space="preserve"> (18 August 2015), online:</w:t>
      </w:r>
    </w:p>
    <w:p w14:paraId="1AB4F0A4" w14:textId="77777777" w:rsidR="003D0153" w:rsidRPr="006F29F5" w:rsidRDefault="003D0153" w:rsidP="000E35A1">
      <w:pPr>
        <w:pStyle w:val="FootnoteText"/>
        <w:rPr>
          <w:rFonts w:cs="Times New Roman"/>
          <w:szCs w:val="18"/>
        </w:rPr>
      </w:pPr>
      <w:r w:rsidRPr="006F29F5">
        <w:rPr>
          <w:rFonts w:cs="Times New Roman"/>
          <w:szCs w:val="18"/>
        </w:rPr>
        <w:t>&lt;</w:t>
      </w:r>
      <w:hyperlink r:id="rId21" w:history="1">
        <w:r w:rsidRPr="006F29F5">
          <w:rPr>
            <w:rStyle w:val="Hyperlink"/>
            <w:rFonts w:cs="Times New Roman"/>
            <w:szCs w:val="18"/>
          </w:rPr>
          <w:t>http://www.reuters.com/article/avon-corruption-settlement-idUSL1N10T14B20150818</w:t>
        </w:r>
      </w:hyperlink>
      <w:r w:rsidRPr="006F29F5">
        <w:rPr>
          <w:rFonts w:cs="Times New Roman"/>
          <w:szCs w:val="18"/>
        </w:rPr>
        <w:t>&gt;.</w:t>
      </w:r>
    </w:p>
  </w:footnote>
  <w:footnote w:id="80">
    <w:p w14:paraId="2A8094BA" w14:textId="03732218"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In February 2016, the US District Judge Jed </w:t>
      </w:r>
      <w:proofErr w:type="spellStart"/>
      <w:r w:rsidRPr="006F29F5">
        <w:rPr>
          <w:rFonts w:cs="Times New Roman"/>
          <w:szCs w:val="18"/>
        </w:rPr>
        <w:t>Rakoff</w:t>
      </w:r>
      <w:proofErr w:type="spellEnd"/>
      <w:r w:rsidRPr="006F29F5">
        <w:rPr>
          <w:rFonts w:cs="Times New Roman"/>
          <w:szCs w:val="18"/>
        </w:rPr>
        <w:t xml:space="preserve"> in the Southern District of New York certified a class action brought against the Brazilian oil company Petrobras. The plaintiffs, who held Petrobras securities from 2010 to 2015, sought to recover their losses following a bribery and political kickbacks scandal involving dozens of public officials in Brazil. The scandal has contributed to a drop in Petrobras' market value to below $20 billion from almost $300 billion less than eight years ago. See Jonathan </w:t>
      </w:r>
      <w:proofErr w:type="spellStart"/>
      <w:r w:rsidRPr="006F29F5">
        <w:rPr>
          <w:rFonts w:cs="Times New Roman"/>
          <w:szCs w:val="18"/>
        </w:rPr>
        <w:t>Stempel</w:t>
      </w:r>
      <w:proofErr w:type="spellEnd"/>
      <w:r w:rsidRPr="006F29F5">
        <w:rPr>
          <w:rFonts w:cs="Times New Roman"/>
          <w:szCs w:val="18"/>
        </w:rPr>
        <w:t xml:space="preserve"> &amp; Nate Raymond, “Brazil’s Petrobras Must Face U.S. Group Lawsuits over Corruption: Judge”, </w:t>
      </w:r>
      <w:r w:rsidRPr="006F29F5">
        <w:rPr>
          <w:rFonts w:cs="Times New Roman"/>
          <w:i/>
          <w:szCs w:val="18"/>
        </w:rPr>
        <w:t>Reuters</w:t>
      </w:r>
      <w:r w:rsidRPr="006F29F5">
        <w:rPr>
          <w:rFonts w:cs="Times New Roman"/>
          <w:szCs w:val="18"/>
        </w:rPr>
        <w:t xml:space="preserve"> (2 February 2016), online: &lt;</w:t>
      </w:r>
      <w:hyperlink r:id="rId22" w:history="1">
        <w:r w:rsidRPr="006F29F5">
          <w:rPr>
            <w:rStyle w:val="Hyperlink"/>
            <w:rFonts w:cs="Times New Roman"/>
            <w:szCs w:val="18"/>
          </w:rPr>
          <w:t>http://www.reuters.com/article/us-brazil-petrobras-lawsuit-idUSKCN0VB2OQ</w:t>
        </w:r>
      </w:hyperlink>
      <w:r w:rsidRPr="006F29F5">
        <w:rPr>
          <w:rFonts w:cs="Times New Roman"/>
          <w:szCs w:val="18"/>
        </w:rPr>
        <w:t>&gt;.</w:t>
      </w:r>
    </w:p>
  </w:footnote>
  <w:footnote w:id="81">
    <w:p w14:paraId="21D6728C" w14:textId="3B3BBBF9"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In September 2016, the US District Judge Susan Hickey in Fayetteville, Arkansas certified a class action led by a Michigan retirement fund. The investors alleged that Wal-Mart concealed a corruption scheme in Mexico, where millions of dollars were paid in bribes to speed building permits and gain other benefits. See Anne </w:t>
      </w:r>
      <w:proofErr w:type="spellStart"/>
      <w:r w:rsidRPr="006F29F5">
        <w:rPr>
          <w:rFonts w:cs="Times New Roman"/>
          <w:szCs w:val="18"/>
        </w:rPr>
        <w:t>D'Innocenzio</w:t>
      </w:r>
      <w:proofErr w:type="spellEnd"/>
      <w:r w:rsidRPr="006F29F5">
        <w:rPr>
          <w:rFonts w:cs="Times New Roman"/>
          <w:szCs w:val="18"/>
        </w:rPr>
        <w:t xml:space="preserve">, “Wal-Mart to Face Class-Action Over Alleged Bribery in Mexico”, </w:t>
      </w:r>
      <w:r w:rsidRPr="006F29F5">
        <w:rPr>
          <w:rFonts w:cs="Times New Roman"/>
          <w:i/>
          <w:szCs w:val="18"/>
        </w:rPr>
        <w:t>CTV News</w:t>
      </w:r>
      <w:r w:rsidRPr="006F29F5">
        <w:rPr>
          <w:rFonts w:cs="Times New Roman"/>
          <w:szCs w:val="18"/>
        </w:rPr>
        <w:t xml:space="preserve"> (22 September 2016), online:</w:t>
      </w:r>
    </w:p>
    <w:p w14:paraId="3AF52992" w14:textId="77777777" w:rsidR="003D0153" w:rsidRPr="006F29F5" w:rsidRDefault="003D0153" w:rsidP="000E35A1">
      <w:pPr>
        <w:pStyle w:val="FootnoteText"/>
        <w:rPr>
          <w:rFonts w:cs="Times New Roman"/>
          <w:szCs w:val="18"/>
        </w:rPr>
      </w:pPr>
      <w:r w:rsidRPr="006F29F5">
        <w:rPr>
          <w:rFonts w:cs="Times New Roman"/>
          <w:szCs w:val="18"/>
        </w:rPr>
        <w:t>&lt;</w:t>
      </w:r>
      <w:hyperlink r:id="rId23" w:history="1">
        <w:r w:rsidRPr="006F29F5">
          <w:rPr>
            <w:rStyle w:val="Hyperlink"/>
            <w:rFonts w:cs="Times New Roman"/>
            <w:szCs w:val="18"/>
          </w:rPr>
          <w:t>http://www.ctvnews.ca/business/wal-mart-to-face-class-action-over-alleged-bribery-in-mexico-1.3083753</w:t>
        </w:r>
      </w:hyperlink>
      <w:r w:rsidRPr="006F29F5">
        <w:rPr>
          <w:rFonts w:cs="Times New Roman"/>
          <w:szCs w:val="18"/>
        </w:rPr>
        <w:t>&gt;.</w:t>
      </w:r>
    </w:p>
  </w:footnote>
  <w:footnote w:id="82">
    <w:p w14:paraId="6A488F2B" w14:textId="50B471FA"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“Judge Certifies $1 billion Class Action Lawsuit against SNC-Lavalin”, </w:t>
      </w:r>
      <w:r w:rsidRPr="006F29F5">
        <w:rPr>
          <w:rFonts w:cs="Times New Roman"/>
          <w:i/>
          <w:szCs w:val="18"/>
        </w:rPr>
        <w:t>CBC News</w:t>
      </w:r>
      <w:r w:rsidRPr="006F29F5">
        <w:rPr>
          <w:rFonts w:cs="Times New Roman"/>
          <w:szCs w:val="18"/>
        </w:rPr>
        <w:t xml:space="preserve"> (20 September 2012), CBC News, online: &lt;</w:t>
      </w:r>
      <w:hyperlink r:id="rId24" w:history="1">
        <w:r w:rsidRPr="006F29F5">
          <w:rPr>
            <w:rStyle w:val="Hyperlink"/>
            <w:rFonts w:cs="Times New Roman"/>
            <w:szCs w:val="18"/>
          </w:rPr>
          <w:t>http://www.cbc.ca/news/canada/montreal/judge-certifies-1-billion-class-action-lawsuit-against-snc-lavalin-1.1169847</w:t>
        </w:r>
      </w:hyperlink>
      <w:r w:rsidRPr="006F29F5">
        <w:rPr>
          <w:rFonts w:cs="Times New Roman"/>
          <w:szCs w:val="18"/>
        </w:rPr>
        <w:t xml:space="preserve">&gt;. See also SNC-Lavalin, </w:t>
      </w:r>
      <w:r w:rsidRPr="006F29F5">
        <w:rPr>
          <w:rFonts w:cs="Times New Roman"/>
          <w:i/>
          <w:szCs w:val="18"/>
        </w:rPr>
        <w:t>Annual Information Form (Year Ended December 31, 2015)</w:t>
      </w:r>
      <w:r w:rsidRPr="006F29F5">
        <w:rPr>
          <w:rFonts w:cs="Times New Roman"/>
          <w:szCs w:val="18"/>
        </w:rPr>
        <w:t xml:space="preserve"> at 22-23, online: &lt;</w:t>
      </w:r>
      <w:hyperlink r:id="rId25" w:history="1">
        <w:r w:rsidRPr="006F29F5">
          <w:rPr>
            <w:rStyle w:val="Hyperlink"/>
            <w:szCs w:val="18"/>
          </w:rPr>
          <w:t>http://www.snclavalin.com/en/investors/financial-information/annual-reports/2015</w:t>
        </w:r>
      </w:hyperlink>
      <w:r w:rsidRPr="006F29F5">
        <w:rPr>
          <w:rFonts w:cs="Times New Roman"/>
          <w:szCs w:val="18"/>
        </w:rPr>
        <w:t>&gt;.</w:t>
      </w:r>
    </w:p>
  </w:footnote>
  <w:footnote w:id="83">
    <w:p w14:paraId="430299CB" w14:textId="1295BE26" w:rsidR="003D0153" w:rsidRPr="006F29F5" w:rsidRDefault="003D0153" w:rsidP="000E35A1">
      <w:pPr>
        <w:pStyle w:val="FootnoteText"/>
      </w:pPr>
      <w:r w:rsidRPr="006F29F5">
        <w:rPr>
          <w:rStyle w:val="FootnoteReference"/>
          <w:szCs w:val="18"/>
        </w:rPr>
        <w:footnoteRef/>
      </w:r>
      <w:r w:rsidRPr="006F29F5">
        <w:rPr>
          <w:szCs w:val="18"/>
        </w:rPr>
        <w:t xml:space="preserve"> </w:t>
      </w:r>
      <w:proofErr w:type="spellStart"/>
      <w:r w:rsidRPr="006F29F5">
        <w:rPr>
          <w:szCs w:val="18"/>
        </w:rPr>
        <w:t>Makinwa</w:t>
      </w:r>
      <w:proofErr w:type="spellEnd"/>
      <w:r w:rsidRPr="006F29F5">
        <w:rPr>
          <w:szCs w:val="18"/>
        </w:rPr>
        <w:t xml:space="preserve"> (2013) at 408.</w:t>
      </w:r>
    </w:p>
  </w:footnote>
  <w:footnote w:id="84">
    <w:p w14:paraId="41B7A3DB" w14:textId="409821F6" w:rsidR="003D0153" w:rsidRPr="006F29F5" w:rsidRDefault="003D0153" w:rsidP="000E35A1">
      <w:pPr>
        <w:pStyle w:val="FootnoteText"/>
      </w:pPr>
      <w:r w:rsidRPr="006F29F5">
        <w:rPr>
          <w:rStyle w:val="FootnoteReference"/>
        </w:rPr>
        <w:footnoteRef/>
      </w:r>
      <w:r w:rsidRPr="006F29F5">
        <w:t xml:space="preserve"> </w:t>
      </w:r>
      <w:proofErr w:type="spellStart"/>
      <w:r w:rsidRPr="006F29F5">
        <w:t>Brun</w:t>
      </w:r>
      <w:proofErr w:type="spellEnd"/>
      <w:r w:rsidRPr="006F29F5">
        <w:t xml:space="preserve"> et al (2015) at 113.</w:t>
      </w:r>
    </w:p>
  </w:footnote>
  <w:footnote w:id="85">
    <w:p w14:paraId="15073EF1" w14:textId="5DC842BB" w:rsidR="003D0153" w:rsidRPr="006F29F5" w:rsidRDefault="003D0153" w:rsidP="000E35A1">
      <w:pPr>
        <w:pStyle w:val="FootnoteText"/>
      </w:pPr>
      <w:r w:rsidRPr="006F29F5">
        <w:rPr>
          <w:rStyle w:val="FootnoteReference"/>
        </w:rPr>
        <w:footnoteRef/>
      </w:r>
      <w:r w:rsidRPr="006F29F5">
        <w:t xml:space="preserve"> </w:t>
      </w:r>
      <w:proofErr w:type="spellStart"/>
      <w:r w:rsidRPr="006F29F5">
        <w:t>Brun</w:t>
      </w:r>
      <w:proofErr w:type="spellEnd"/>
      <w:r w:rsidRPr="006F29F5">
        <w:t xml:space="preserve"> et al (2015) at 68–69. </w:t>
      </w:r>
    </w:p>
  </w:footnote>
  <w:footnote w:id="86">
    <w:p w14:paraId="152A9D50" w14:textId="1F3E0F58" w:rsidR="003D0153" w:rsidRPr="006F29F5" w:rsidRDefault="003D0153" w:rsidP="000E35A1">
      <w:pPr>
        <w:pStyle w:val="FootnoteText"/>
      </w:pPr>
      <w:r w:rsidRPr="006F29F5">
        <w:rPr>
          <w:rStyle w:val="FootnoteReference"/>
        </w:rPr>
        <w:footnoteRef/>
      </w:r>
      <w:r w:rsidRPr="006F29F5">
        <w:t xml:space="preserve"> </w:t>
      </w:r>
      <w:proofErr w:type="spellStart"/>
      <w:r w:rsidRPr="006F29F5">
        <w:t>Hatchard</w:t>
      </w:r>
      <w:proofErr w:type="spellEnd"/>
      <w:r w:rsidRPr="006F29F5">
        <w:t xml:space="preserve"> (2014) at 327.</w:t>
      </w:r>
    </w:p>
  </w:footnote>
  <w:footnote w:id="87">
    <w:p w14:paraId="1EE1C65A" w14:textId="77777777" w:rsidR="003D0153" w:rsidRPr="006F29F5" w:rsidRDefault="003D0153" w:rsidP="000E35A1">
      <w:pPr>
        <w:pStyle w:val="FootnoteText"/>
      </w:pPr>
      <w:r w:rsidRPr="006F29F5">
        <w:rPr>
          <w:rStyle w:val="FootnoteReference"/>
        </w:rPr>
        <w:footnoteRef/>
      </w:r>
      <w:r w:rsidRPr="006F29F5">
        <w:t xml:space="preserve"> </w:t>
      </w:r>
      <w:r w:rsidRPr="006F29F5">
        <w:rPr>
          <w:i/>
        </w:rPr>
        <w:t xml:space="preserve">Ibid </w:t>
      </w:r>
      <w:r w:rsidRPr="006F29F5">
        <w:t>at 326.</w:t>
      </w:r>
    </w:p>
  </w:footnote>
  <w:footnote w:id="88">
    <w:p w14:paraId="56833EB0" w14:textId="3340809C" w:rsidR="003D0153" w:rsidRPr="006F29F5" w:rsidRDefault="003D0153" w:rsidP="000E35A1">
      <w:pPr>
        <w:pStyle w:val="FootnoteText"/>
      </w:pPr>
      <w:r w:rsidRPr="006F29F5">
        <w:rPr>
          <w:rStyle w:val="FootnoteReference"/>
        </w:rPr>
        <w:footnoteRef/>
      </w:r>
      <w:r w:rsidRPr="006F29F5">
        <w:t xml:space="preserve"> </w:t>
      </w:r>
      <w:proofErr w:type="spellStart"/>
      <w:r w:rsidRPr="006F29F5">
        <w:t>Makinwa</w:t>
      </w:r>
      <w:proofErr w:type="spellEnd"/>
      <w:r w:rsidRPr="006F29F5">
        <w:t xml:space="preserve"> (2013) at 365.</w:t>
      </w:r>
    </w:p>
  </w:footnote>
  <w:footnote w:id="89">
    <w:p w14:paraId="27889E96" w14:textId="55D73636" w:rsidR="003D0153" w:rsidRPr="006F29F5" w:rsidRDefault="003D0153" w:rsidP="000E35A1">
      <w:pPr>
        <w:pStyle w:val="FootnoteText"/>
      </w:pPr>
      <w:r w:rsidRPr="006F29F5">
        <w:rPr>
          <w:rStyle w:val="FootnoteReference"/>
        </w:rPr>
        <w:footnoteRef/>
      </w:r>
      <w:r w:rsidRPr="006F29F5">
        <w:t xml:space="preserve"> </w:t>
      </w:r>
      <w:r w:rsidRPr="006F29F5">
        <w:rPr>
          <w:rFonts w:cs="Times New Roman"/>
          <w:szCs w:val="18"/>
        </w:rPr>
        <w:t>Identification &amp; Quantification (2012)</w:t>
      </w:r>
      <w:r w:rsidRPr="006F29F5">
        <w:rPr>
          <w:rFonts w:cs="Times New Roman"/>
        </w:rPr>
        <w:t xml:space="preserve"> at 22-25.</w:t>
      </w:r>
    </w:p>
  </w:footnote>
  <w:footnote w:id="90">
    <w:p w14:paraId="58310F0C" w14:textId="77777777" w:rsidR="003D0153" w:rsidRPr="006F29F5" w:rsidRDefault="003D0153" w:rsidP="00D543AC">
      <w:pPr>
        <w:pStyle w:val="FootnoteText"/>
      </w:pPr>
      <w:r w:rsidRPr="006F29F5">
        <w:rPr>
          <w:rStyle w:val="FootnoteReference"/>
        </w:rPr>
        <w:footnoteRef/>
      </w:r>
      <w:r w:rsidRPr="006F29F5">
        <w:t xml:space="preserve"> Tim Daniel &amp; James </w:t>
      </w:r>
      <w:proofErr w:type="spellStart"/>
      <w:r w:rsidRPr="006F29F5">
        <w:t>Maton</w:t>
      </w:r>
      <w:proofErr w:type="spellEnd"/>
      <w:r w:rsidRPr="006F29F5">
        <w:t xml:space="preserve">, “Is the UNCAC an Effective Deterrent to Grand Corruption?” in Jeremy </w:t>
      </w:r>
      <w:proofErr w:type="spellStart"/>
      <w:r w:rsidRPr="006F29F5">
        <w:t>Horder</w:t>
      </w:r>
      <w:proofErr w:type="spellEnd"/>
      <w:r w:rsidRPr="006F29F5">
        <w:t xml:space="preserve"> &amp; Peter </w:t>
      </w:r>
      <w:proofErr w:type="spellStart"/>
      <w:r w:rsidRPr="006F29F5">
        <w:t>Alldridge</w:t>
      </w:r>
      <w:proofErr w:type="spellEnd"/>
      <w:r w:rsidRPr="006F29F5">
        <w:t xml:space="preserve">, </w:t>
      </w:r>
      <w:proofErr w:type="spellStart"/>
      <w:r w:rsidRPr="006F29F5">
        <w:t>eds</w:t>
      </w:r>
      <w:proofErr w:type="spellEnd"/>
      <w:r w:rsidRPr="006F29F5">
        <w:t xml:space="preserve">, </w:t>
      </w:r>
      <w:r w:rsidRPr="006F29F5">
        <w:rPr>
          <w:i/>
        </w:rPr>
        <w:t xml:space="preserve">Modern Bribery Law: Comparative Perspectives </w:t>
      </w:r>
      <w:r w:rsidRPr="006F29F5">
        <w:t>(Cambridge University Press, 2013) at 293.</w:t>
      </w:r>
    </w:p>
  </w:footnote>
  <w:footnote w:id="91">
    <w:p w14:paraId="3634FC83" w14:textId="784BE4FE" w:rsidR="003D0153" w:rsidRPr="006F29F5" w:rsidRDefault="003D0153" w:rsidP="000E35A1">
      <w:pPr>
        <w:pStyle w:val="FootnoteText"/>
      </w:pPr>
      <w:r w:rsidRPr="006F29F5">
        <w:rPr>
          <w:rStyle w:val="FootnoteReference"/>
          <w:rFonts w:cs="Times New Roman"/>
          <w:szCs w:val="18"/>
        </w:rPr>
        <w:footnoteRef/>
      </w:r>
      <w:r w:rsidRPr="006F29F5">
        <w:t xml:space="preserve"> </w:t>
      </w:r>
      <w:r w:rsidRPr="006F29F5">
        <w:rPr>
          <w:i/>
        </w:rPr>
        <w:t xml:space="preserve">Ibid </w:t>
      </w:r>
      <w:r w:rsidRPr="006F29F5">
        <w:t xml:space="preserve">at 316–22. </w:t>
      </w:r>
    </w:p>
  </w:footnote>
  <w:footnote w:id="92">
    <w:p w14:paraId="72AC24BB" w14:textId="7807A996" w:rsidR="003D0153" w:rsidRPr="006F29F5" w:rsidRDefault="003D0153" w:rsidP="000E35A1">
      <w:pPr>
        <w:pStyle w:val="FootnoteText"/>
        <w:rPr>
          <w:color w:val="000000"/>
        </w:rPr>
      </w:pPr>
      <w:r w:rsidRPr="006F29F5">
        <w:rPr>
          <w:rStyle w:val="FootnoteReference"/>
          <w:rFonts w:cs="Times New Roman"/>
          <w:szCs w:val="18"/>
        </w:rPr>
        <w:footnoteRef/>
      </w:r>
      <w:r w:rsidRPr="006F29F5">
        <w:t xml:space="preserve"> OECD Working Group, </w:t>
      </w:r>
      <w:r w:rsidRPr="006F29F5">
        <w:rPr>
          <w:i/>
          <w:szCs w:val="18"/>
        </w:rPr>
        <w:t xml:space="preserve">Recommendation of the </w:t>
      </w:r>
      <w:r w:rsidRPr="006F29F5">
        <w:rPr>
          <w:rFonts w:cs="Times New Roman"/>
          <w:i/>
          <w:szCs w:val="18"/>
        </w:rPr>
        <w:t>Council for Further Combating Bribery of Foreign Public Officials in International Business Transactions</w:t>
      </w:r>
      <w:r w:rsidRPr="006F29F5">
        <w:rPr>
          <w:rFonts w:cs="Times New Roman"/>
          <w:i/>
          <w:sz w:val="22"/>
        </w:rPr>
        <w:t>,</w:t>
      </w:r>
      <w:r w:rsidRPr="006F29F5">
        <w:t xml:space="preserve"> (2009), online: &lt;</w:t>
      </w:r>
      <w:hyperlink r:id="rId26" w:tgtFrame="_blank" w:history="1">
        <w:r w:rsidRPr="006F29F5">
          <w:rPr>
            <w:rStyle w:val="Hyperlink"/>
            <w:rFonts w:cs="Times New Roman"/>
            <w:szCs w:val="18"/>
          </w:rPr>
          <w:t>https://www.oecd.org/daf/anti-bribery/44176910.pdf</w:t>
        </w:r>
      </w:hyperlink>
      <w:r w:rsidRPr="006F29F5">
        <w:t>&gt;.</w:t>
      </w:r>
    </w:p>
  </w:footnote>
  <w:footnote w:id="93">
    <w:p w14:paraId="3E2C336D" w14:textId="77777777" w:rsidR="003D0153" w:rsidRPr="006F29F5" w:rsidRDefault="003D0153" w:rsidP="00D543AC">
      <w:pPr>
        <w:pStyle w:val="FootnoteText"/>
      </w:pPr>
      <w:r w:rsidRPr="006F29F5">
        <w:rPr>
          <w:rStyle w:val="FootnoteReference"/>
        </w:rPr>
        <w:footnoteRef/>
      </w:r>
      <w:r w:rsidRPr="006F29F5">
        <w:t xml:space="preserve"> Kevin M Stephenson et al, “Barriers to Asset Recovery: An Analysis of the Key Barriers and Recommendations for Action” (</w:t>
      </w:r>
      <w:proofErr w:type="spellStart"/>
      <w:r w:rsidRPr="006F29F5">
        <w:t>StAR</w:t>
      </w:r>
      <w:proofErr w:type="spellEnd"/>
      <w:r w:rsidRPr="006F29F5">
        <w:t>/World Bank, 2011) at 175–179, online: &lt;</w:t>
      </w:r>
      <w:hyperlink r:id="rId27" w:history="1">
        <w:r w:rsidRPr="006F29F5">
          <w:t>http://documents.worldbank.org/curated/en/2011/01/14571139/barriers-asset-recovery-analysis-key-barriers-recommendations-action</w:t>
        </w:r>
      </w:hyperlink>
      <w:r w:rsidRPr="006F29F5">
        <w:t>&gt;.</w:t>
      </w:r>
    </w:p>
  </w:footnote>
  <w:footnote w:id="94">
    <w:p w14:paraId="694E24BF" w14:textId="77777777" w:rsidR="003D0153" w:rsidRPr="006F29F5" w:rsidRDefault="003D0153" w:rsidP="000E35A1">
      <w:pPr>
        <w:pStyle w:val="FootnoteText"/>
      </w:pPr>
      <w:r w:rsidRPr="006F29F5">
        <w:rPr>
          <w:rStyle w:val="FootnoteReference"/>
        </w:rPr>
        <w:footnoteRef/>
      </w:r>
      <w:r w:rsidRPr="006F29F5">
        <w:t xml:space="preserve"> [98] Practitioners should contact the nearest United States embassy to determine the appropriate attaché office.</w:t>
      </w:r>
    </w:p>
  </w:footnote>
  <w:footnote w:id="95">
    <w:p w14:paraId="18F6A35B" w14:textId="44081E91" w:rsidR="003D0153" w:rsidRPr="006F29F5" w:rsidRDefault="003D0153" w:rsidP="000E35A1">
      <w:pPr>
        <w:pStyle w:val="FootnoteText"/>
        <w:rPr>
          <w:rFonts w:eastAsia="Times New Roman"/>
          <w:sz w:val="20"/>
        </w:rPr>
      </w:pPr>
      <w:r w:rsidRPr="006F29F5">
        <w:rPr>
          <w:rStyle w:val="FootnoteReference"/>
          <w:rFonts w:cs="Times New Roman"/>
        </w:rPr>
        <w:footnoteRef/>
      </w:r>
      <w:r w:rsidRPr="006F29F5">
        <w:t xml:space="preserve"> Jean B Weld, “Forfeiture Laws and Procedures in the United States of America” in </w:t>
      </w:r>
      <w:r w:rsidRPr="006F29F5">
        <w:rPr>
          <w:rFonts w:eastAsia="Times New Roman"/>
        </w:rPr>
        <w:t>UNAFEI Resource Materials Series No. 83 (UNAFEI, 2011) at 20–26, online: &lt;</w:t>
      </w:r>
      <w:hyperlink r:id="rId28" w:history="1">
        <w:r w:rsidRPr="006F29F5">
          <w:rPr>
            <w:rStyle w:val="Hyperlink"/>
            <w:rFonts w:eastAsia="Times New Roman" w:cs="Times New Roman"/>
          </w:rPr>
          <w:t>http://www.unafei.or.jp/english/pdf/RS_No83/No83_06VE_Weld1.pdf</w:t>
        </w:r>
      </w:hyperlink>
      <w:r w:rsidRPr="006F29F5">
        <w:rPr>
          <w:rFonts w:eastAsia="Times New Roman"/>
        </w:rPr>
        <w:t>&gt;.</w:t>
      </w:r>
    </w:p>
  </w:footnote>
  <w:footnote w:id="96">
    <w:p w14:paraId="12E2E9AA" w14:textId="77777777" w:rsidR="003D0153" w:rsidRPr="006F29F5" w:rsidRDefault="003D0153" w:rsidP="003D0153">
      <w:pPr>
        <w:pStyle w:val="FootnoteText"/>
      </w:pPr>
      <w:r w:rsidRPr="006F29F5">
        <w:rPr>
          <w:rStyle w:val="FootnoteReference"/>
        </w:rPr>
        <w:footnoteRef/>
      </w:r>
      <w:r w:rsidRPr="006F29F5">
        <w:t xml:space="preserve"> [3] </w:t>
      </w:r>
      <w:r w:rsidRPr="006F29F5">
        <w:rPr>
          <w:rFonts w:cs="Times New Roman"/>
        </w:rPr>
        <w:t>Monetary instruments include such items as bank checks, traveller’s checks, money orders, and bearer paper, but not bank or other financial accounts.</w:t>
      </w:r>
    </w:p>
  </w:footnote>
  <w:footnote w:id="97">
    <w:p w14:paraId="21C709B1" w14:textId="77777777" w:rsidR="003D0153" w:rsidRPr="006F29F5" w:rsidRDefault="003D0153" w:rsidP="003D0153">
      <w:pPr>
        <w:pStyle w:val="FootnoteText"/>
      </w:pPr>
      <w:r w:rsidRPr="006F29F5">
        <w:rPr>
          <w:rStyle w:val="FootnoteReference"/>
        </w:rPr>
        <w:footnoteRef/>
      </w:r>
      <w:r w:rsidRPr="006F29F5">
        <w:t xml:space="preserve"> [4] </w:t>
      </w:r>
      <w:r w:rsidRPr="006F29F5">
        <w:rPr>
          <w:rFonts w:cs="Times New Roman"/>
        </w:rPr>
        <w:t>In the U.S., as in most countries, each agency is responsible for the enforcement of a different category of criminal laws: for example, the Drug Enforcement Administration (“DEA”) investigates drug crimes; the Federal Bureau of Investigation (“FBI”) investigates most white collar crime and terrorism; and the Immigration and Customs Enforcement (“ICE”) and Customs and Border Patrol (“CBP”) of the Department of Homeland Security investigate smuggling violations, intellectual property violations, human trafficking, passport fraud, drug violations at the border and bulk cash smuggling. Note that not all federal law enforcement agencies have administrative forfeiture authority.</w:t>
      </w:r>
    </w:p>
  </w:footnote>
  <w:footnote w:id="98">
    <w:p w14:paraId="1289813D" w14:textId="71962570" w:rsidR="003D0153" w:rsidRPr="006F29F5" w:rsidRDefault="003D0153" w:rsidP="000E35A1">
      <w:pPr>
        <w:pStyle w:val="FootnoteText"/>
      </w:pPr>
      <w:r w:rsidRPr="006F29F5">
        <w:rPr>
          <w:rStyle w:val="FootnoteReference"/>
        </w:rPr>
        <w:footnoteRef/>
      </w:r>
      <w:r w:rsidRPr="006F29F5">
        <w:t xml:space="preserve"> [5] This is why civil forfeiture actions in the U.S. have names like United States v. One Sixth </w:t>
      </w:r>
      <w:proofErr w:type="gramStart"/>
      <w:r w:rsidRPr="006F29F5">
        <w:t>Share ,</w:t>
      </w:r>
      <w:proofErr w:type="gramEnd"/>
      <w:r w:rsidRPr="006F29F5">
        <w:t xml:space="preserve"> 326 F.3d 36 (1st Cir. 2003) (because civil forfeiture is an in rem proceeding, the property subject to forfeiture is the defendant); United States v. All Funds in Account Nos. 747.034/278, 295 F.3d 23 (D.C. Cir. 2002) (civil forfeiture actions are brought against property, not people).</w:t>
      </w:r>
    </w:p>
  </w:footnote>
  <w:footnote w:id="99">
    <w:p w14:paraId="402FB2C3" w14:textId="77777777" w:rsidR="003D0153" w:rsidRPr="006F29F5" w:rsidRDefault="003D0153" w:rsidP="000E35A1">
      <w:pPr>
        <w:pStyle w:val="FootnoteText"/>
      </w:pPr>
      <w:r w:rsidRPr="006F29F5">
        <w:rPr>
          <w:rStyle w:val="FootnoteReference"/>
        </w:rPr>
        <w:footnoteRef/>
      </w:r>
      <w:r w:rsidRPr="006F29F5">
        <w:t xml:space="preserve"> [6] The “preponderance of the evidence” standard is also known in the United States as “more likely than not” and abroad is frequently referred to as a “balancing of the probabilities.”</w:t>
      </w:r>
    </w:p>
  </w:footnote>
  <w:footnote w:id="100">
    <w:p w14:paraId="00E9C620" w14:textId="77777777" w:rsidR="003D0153" w:rsidRPr="006F29F5" w:rsidRDefault="003D0153" w:rsidP="000E35A1">
      <w:pPr>
        <w:pStyle w:val="FootnoteText"/>
      </w:pPr>
      <w:r w:rsidRPr="006F29F5">
        <w:rPr>
          <w:rStyle w:val="FootnoteReference"/>
        </w:rPr>
        <w:footnoteRef/>
      </w:r>
      <w:r w:rsidRPr="006F29F5">
        <w:t xml:space="preserve"> [7] </w:t>
      </w:r>
      <w:r w:rsidRPr="006F29F5">
        <w:rPr>
          <w:rFonts w:cs="Times New Roman"/>
        </w:rPr>
        <w:t>An ion scan is a portable, state-of–the-art mass spectrometry device which ionizes chemical compounds, generating charged molecules whose mass-to-charge ratios can be measured. Ion scans are used to detect the presence of explosives, drugs and drug residue in parts per billion. Scans can detect the particulate residue of over twelve types of narcotic drugs. In addition to scanning currency for seizure, ion scans are used to inspect cargo containers and luggage, to identify hidden compartments, and for passenger security at many airports.</w:t>
      </w:r>
    </w:p>
  </w:footnote>
  <w:footnote w:id="101">
    <w:p w14:paraId="102045B8" w14:textId="6D47E358" w:rsidR="003D0153" w:rsidRPr="006F29F5" w:rsidRDefault="003D0153" w:rsidP="000E35A1">
      <w:pPr>
        <w:widowControl w:val="0"/>
        <w:autoSpaceDE w:val="0"/>
        <w:autoSpaceDN w:val="0"/>
        <w:adjustRightInd w:val="0"/>
        <w:jc w:val="left"/>
        <w:rPr>
          <w:rFonts w:cs="Times New Roman"/>
          <w:sz w:val="18"/>
          <w:szCs w:val="20"/>
        </w:rPr>
      </w:pPr>
      <w:r w:rsidRPr="006F29F5">
        <w:rPr>
          <w:rStyle w:val="FootnoteReference"/>
          <w:rFonts w:cs="Times New Roman"/>
          <w:sz w:val="18"/>
          <w:szCs w:val="20"/>
        </w:rPr>
        <w:footnoteRef/>
      </w:r>
      <w:r w:rsidRPr="006F29F5">
        <w:rPr>
          <w:rFonts w:cs="Times New Roman"/>
          <w:sz w:val="18"/>
          <w:szCs w:val="20"/>
        </w:rPr>
        <w:t xml:space="preserve"> [8] 18 U.S.C. § 983(d)(2)(B) provides that such action may include giving notice to the police, or doing all that was possible to prohibit the criminal from using the premises.</w:t>
      </w:r>
    </w:p>
  </w:footnote>
  <w:footnote w:id="102">
    <w:p w14:paraId="0BD52AD2" w14:textId="77777777" w:rsidR="00EE529E" w:rsidRPr="006F29F5" w:rsidRDefault="00EE529E" w:rsidP="00EE529E">
      <w:pPr>
        <w:pStyle w:val="FootnoteText"/>
        <w:rPr>
          <w:szCs w:val="18"/>
        </w:rPr>
      </w:pPr>
      <w:r w:rsidRPr="006F29F5">
        <w:rPr>
          <w:rStyle w:val="FootnoteReference"/>
          <w:szCs w:val="18"/>
        </w:rPr>
        <w:footnoteRef/>
      </w:r>
      <w:r w:rsidRPr="006F29F5">
        <w:rPr>
          <w:szCs w:val="18"/>
        </w:rPr>
        <w:t xml:space="preserve">[9] </w:t>
      </w:r>
      <w:r w:rsidRPr="006F29F5">
        <w:rPr>
          <w:rFonts w:cs="Times New Roman"/>
          <w:szCs w:val="18"/>
        </w:rPr>
        <w:t>One caveat our prosecutors must keep in mind is that if they have made an MLAT request to a foreign country asking the government to restrain assets, that restraint must be lifted before a repatriation order can be complied with.</w:t>
      </w:r>
    </w:p>
  </w:footnote>
  <w:footnote w:id="103">
    <w:p w14:paraId="546BBE29" w14:textId="5E139E6D"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Financial Action Task Force, </w:t>
      </w:r>
      <w:r w:rsidRPr="006F29F5">
        <w:rPr>
          <w:rFonts w:cs="Times New Roman"/>
          <w:i/>
          <w:szCs w:val="18"/>
        </w:rPr>
        <w:t>Anti-Money Laundering and Counter-Terrorist Financing Measures – United States</w:t>
      </w:r>
      <w:r w:rsidRPr="006F29F5">
        <w:rPr>
          <w:rFonts w:cs="Times New Roman"/>
          <w:szCs w:val="18"/>
        </w:rPr>
        <w:t>, Fourth Round Mutual Evaluation Report (FATF, 2016) at 4, 50, online: &lt;</w:t>
      </w:r>
      <w:hyperlink r:id="rId29" w:history="1">
        <w:r w:rsidRPr="006F29F5">
          <w:rPr>
            <w:rStyle w:val="Hyperlink"/>
            <w:rFonts w:cs="Times New Roman"/>
            <w:szCs w:val="18"/>
          </w:rPr>
          <w:t>http://www.fatf-gafi.org/media/fatf/documents/reports/mer4/</w:t>
        </w:r>
        <w:r w:rsidRPr="006F29F5">
          <w:rPr>
            <w:rStyle w:val="Hyperlink"/>
            <w:rFonts w:cs="Times New Roman"/>
            <w:szCs w:val="18"/>
          </w:rPr>
          <w:br/>
          <w:t>MER-United-States-2016.pdf</w:t>
        </w:r>
      </w:hyperlink>
      <w:r w:rsidRPr="006F29F5">
        <w:rPr>
          <w:rFonts w:cs="Times New Roman"/>
          <w:szCs w:val="18"/>
        </w:rPr>
        <w:t>&gt;.</w:t>
      </w:r>
    </w:p>
  </w:footnote>
  <w:footnote w:id="104">
    <w:p w14:paraId="446B1C56"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75.</w:t>
      </w:r>
    </w:p>
  </w:footnote>
  <w:footnote w:id="105">
    <w:p w14:paraId="5C2AE93B"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50.</w:t>
      </w:r>
    </w:p>
  </w:footnote>
  <w:footnote w:id="106">
    <w:p w14:paraId="75425C0A" w14:textId="77777777" w:rsidR="003D0153" w:rsidRPr="006F29F5" w:rsidRDefault="003D0153" w:rsidP="000E35A1">
      <w:pPr>
        <w:pStyle w:val="FootnoteText"/>
        <w:rPr>
          <w:rFonts w:cs="Times New Roman"/>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4.</w:t>
      </w:r>
    </w:p>
  </w:footnote>
  <w:footnote w:id="107">
    <w:p w14:paraId="0DD1E326"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79.</w:t>
      </w:r>
    </w:p>
  </w:footnote>
  <w:footnote w:id="108">
    <w:p w14:paraId="4803D17E"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80-81.</w:t>
      </w:r>
    </w:p>
  </w:footnote>
  <w:footnote w:id="109">
    <w:p w14:paraId="55889A73"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81.</w:t>
      </w:r>
    </w:p>
  </w:footnote>
  <w:footnote w:id="110">
    <w:p w14:paraId="749A1926" w14:textId="77777777" w:rsidR="003D0153" w:rsidRPr="006F29F5" w:rsidRDefault="003D0153" w:rsidP="000E35A1">
      <w:pPr>
        <w:pStyle w:val="FootnoteText"/>
        <w:rPr>
          <w:rFonts w:cs="Times New Roman"/>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77.</w:t>
      </w:r>
    </w:p>
  </w:footnote>
  <w:footnote w:id="111">
    <w:p w14:paraId="56C3ABCF"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50, 78.</w:t>
      </w:r>
    </w:p>
  </w:footnote>
  <w:footnote w:id="112">
    <w:p w14:paraId="2BA2F858"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51, 78.</w:t>
      </w:r>
    </w:p>
  </w:footnote>
  <w:footnote w:id="113">
    <w:p w14:paraId="12CA4653" w14:textId="0F662DDE"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Department of Justice, 14-1114, Press Release, “Second Vice President of Equatorial Guinea Agrees to Relinquish More Than $30 Million of Assets Purchased with Corruption Proceeds” (10 October 2014), online: &lt;</w:t>
      </w:r>
      <w:hyperlink r:id="rId30" w:history="1">
        <w:r w:rsidRPr="006F29F5">
          <w:rPr>
            <w:rStyle w:val="Hyperlink"/>
            <w:szCs w:val="18"/>
          </w:rPr>
          <w:t>http://www.justice.gov/opa/pr/second-vice-president-equatorial-guinea-agrees-relinquish-more-30-million-assets-purchased</w:t>
        </w:r>
      </w:hyperlink>
      <w:r w:rsidRPr="006F29F5">
        <w:rPr>
          <w:szCs w:val="18"/>
        </w:rPr>
        <w:t xml:space="preserve">&gt;. </w:t>
      </w:r>
    </w:p>
  </w:footnote>
  <w:footnote w:id="114">
    <w:p w14:paraId="1181388D" w14:textId="77777777" w:rsidR="003D0153" w:rsidRPr="006F29F5" w:rsidRDefault="003D0153" w:rsidP="00324A2E">
      <w:pPr>
        <w:pStyle w:val="FootnoteText"/>
      </w:pPr>
      <w:r w:rsidRPr="006F29F5">
        <w:rPr>
          <w:rStyle w:val="FootnoteReference"/>
          <w:szCs w:val="18"/>
        </w:rPr>
        <w:footnoteRef/>
      </w:r>
      <w:r w:rsidRPr="006F29F5">
        <w:rPr>
          <w:szCs w:val="18"/>
        </w:rPr>
        <w:t xml:space="preserve"> Nicholls et al</w:t>
      </w:r>
      <w:r w:rsidRPr="006F29F5">
        <w:rPr>
          <w:i/>
          <w:szCs w:val="18"/>
        </w:rPr>
        <w:t xml:space="preserve">, Corruption and Misuse of Public Office, </w:t>
      </w:r>
      <w:r w:rsidRPr="006F29F5">
        <w:rPr>
          <w:szCs w:val="18"/>
        </w:rPr>
        <w:t>2</w:t>
      </w:r>
      <w:r w:rsidRPr="006F29F5">
        <w:rPr>
          <w:szCs w:val="18"/>
          <w:vertAlign w:val="superscript"/>
        </w:rPr>
        <w:t>nd</w:t>
      </w:r>
      <w:r w:rsidRPr="006F29F5">
        <w:rPr>
          <w:szCs w:val="18"/>
        </w:rPr>
        <w:t xml:space="preserve"> </w:t>
      </w:r>
      <w:proofErr w:type="spellStart"/>
      <w:proofErr w:type="gramStart"/>
      <w:r w:rsidRPr="006F29F5">
        <w:rPr>
          <w:szCs w:val="18"/>
        </w:rPr>
        <w:t>ed</w:t>
      </w:r>
      <w:proofErr w:type="spellEnd"/>
      <w:proofErr w:type="gramEnd"/>
      <w:r w:rsidRPr="006F29F5">
        <w:rPr>
          <w:szCs w:val="18"/>
        </w:rPr>
        <w:t xml:space="preserve"> (Oxford University Press, 2011) at 244–266.</w:t>
      </w:r>
    </w:p>
  </w:footnote>
  <w:footnote w:id="115">
    <w:p w14:paraId="4B26E589" w14:textId="281871E7" w:rsidR="003D0153" w:rsidRPr="006F29F5" w:rsidRDefault="003D0153" w:rsidP="00324A2E">
      <w:pPr>
        <w:pStyle w:val="FootnoteText"/>
      </w:pPr>
      <w:r w:rsidRPr="006F29F5">
        <w:rPr>
          <w:rStyle w:val="FootnoteReference"/>
        </w:rPr>
        <w:footnoteRef/>
      </w:r>
      <w:r w:rsidRPr="006F29F5">
        <w:t xml:space="preserve"> Stephenson et al (</w:t>
      </w:r>
      <w:r w:rsidRPr="006F29F5">
        <w:rPr>
          <w:rFonts w:cs="Times New Roman"/>
        </w:rPr>
        <w:t xml:space="preserve">2011) at 170–174, </w:t>
      </w:r>
      <w:r w:rsidRPr="006F29F5">
        <w:t>online: &lt;</w:t>
      </w:r>
      <w:hyperlink r:id="rId31" w:history="1">
        <w:r w:rsidRPr="006F29F5">
          <w:rPr>
            <w:rStyle w:val="Hyperlink"/>
          </w:rPr>
          <w:t>http://documents.worldbank.org/curated/en/2011/01/14571139/barriers-asset-recovery-analysis-key-barriers-recommendations-action</w:t>
        </w:r>
      </w:hyperlink>
      <w:r w:rsidRPr="006F29F5">
        <w:t>&gt;.</w:t>
      </w:r>
    </w:p>
  </w:footnote>
  <w:footnote w:id="116">
    <w:p w14:paraId="7D7470E5" w14:textId="77777777" w:rsidR="003D0153" w:rsidRPr="006F29F5" w:rsidRDefault="003D0153" w:rsidP="004837E4">
      <w:pPr>
        <w:pStyle w:val="FootnoteText"/>
      </w:pPr>
      <w:r w:rsidRPr="006F29F5">
        <w:rPr>
          <w:rStyle w:val="FootnoteReference"/>
        </w:rPr>
        <w:footnoteRef/>
      </w:r>
      <w:r w:rsidRPr="006F29F5">
        <w:t xml:space="preserve"> [97] Practitioners should inquire with the nearest British High Commission to determine the nearest attaché.</w:t>
      </w:r>
    </w:p>
  </w:footnote>
  <w:footnote w:id="117">
    <w:p w14:paraId="69981F7B" w14:textId="714785EF" w:rsidR="003D0153" w:rsidRPr="006F29F5" w:rsidRDefault="003D0153" w:rsidP="000E35A1">
      <w:pPr>
        <w:pStyle w:val="FootnoteText"/>
      </w:pPr>
      <w:r w:rsidRPr="006F29F5">
        <w:rPr>
          <w:rStyle w:val="FootnoteReference"/>
        </w:rPr>
        <w:footnoteRef/>
      </w:r>
      <w:r w:rsidRPr="006F29F5">
        <w:t xml:space="preserve"> International Centre for Asset Recovery (2009) at 90–99, online: &lt;</w:t>
      </w:r>
      <w:hyperlink r:id="rId32" w:history="1">
        <w:r w:rsidRPr="006F29F5">
          <w:rPr>
            <w:rStyle w:val="Hyperlink"/>
          </w:rPr>
          <w:t>https://www.baselgovernance.org/publications/421</w:t>
        </w:r>
      </w:hyperlink>
      <w:r w:rsidRPr="006F29F5">
        <w:t>&gt;.</w:t>
      </w:r>
    </w:p>
  </w:footnote>
  <w:footnote w:id="118">
    <w:p w14:paraId="7F385B9D" w14:textId="77777777" w:rsidR="003D0153" w:rsidRPr="006F29F5" w:rsidRDefault="003D0153" w:rsidP="004837E4">
      <w:pPr>
        <w:pStyle w:val="FootnoteText"/>
        <w:rPr>
          <w:rFonts w:cs="Times"/>
          <w:sz w:val="20"/>
        </w:rPr>
      </w:pPr>
      <w:r w:rsidRPr="006F29F5">
        <w:rPr>
          <w:rStyle w:val="FootnoteReference"/>
        </w:rPr>
        <w:footnoteRef/>
      </w:r>
      <w:r w:rsidRPr="006F29F5">
        <w:t xml:space="preserve"> [1] In this context a fraudster denotes a person who may have committed criminal offences but who, for the purposes of this chapter, is the subject of the full panoply of civil measures that are available in the UK and also possibly in other jurisdictions.</w:t>
      </w:r>
    </w:p>
  </w:footnote>
  <w:footnote w:id="119">
    <w:p w14:paraId="34F67637" w14:textId="77777777" w:rsidR="003D0153" w:rsidRPr="006F29F5" w:rsidRDefault="003D0153" w:rsidP="000E35A1">
      <w:pPr>
        <w:pStyle w:val="FootnoteText"/>
        <w:keepLines w:val="0"/>
      </w:pPr>
      <w:r w:rsidRPr="006F29F5">
        <w:rPr>
          <w:rStyle w:val="FootnoteReference"/>
          <w:rFonts w:cs="Times New Roman"/>
          <w:szCs w:val="18"/>
        </w:rPr>
        <w:footnoteRef/>
      </w:r>
      <w:r w:rsidRPr="006F29F5">
        <w:t xml:space="preserve"> </w:t>
      </w:r>
      <w:r w:rsidRPr="006F29F5">
        <w:rPr>
          <w:i/>
        </w:rPr>
        <w:t xml:space="preserve">Bankers Trust v </w:t>
      </w:r>
      <w:proofErr w:type="spellStart"/>
      <w:r w:rsidRPr="006F29F5">
        <w:rPr>
          <w:i/>
        </w:rPr>
        <w:t>Shapira</w:t>
      </w:r>
      <w:proofErr w:type="spellEnd"/>
      <w:r w:rsidRPr="006F29F5">
        <w:t>, [1980] 1 WLR 1274 (CA).</w:t>
      </w:r>
    </w:p>
  </w:footnote>
  <w:footnote w:id="120">
    <w:p w14:paraId="6E21DB24" w14:textId="77777777" w:rsidR="003D0153" w:rsidRPr="006F29F5" w:rsidRDefault="003D0153" w:rsidP="000E35A1">
      <w:pPr>
        <w:pStyle w:val="FootnoteText"/>
        <w:keepLines w:val="0"/>
      </w:pPr>
      <w:r w:rsidRPr="006F29F5">
        <w:rPr>
          <w:rStyle w:val="FootnoteReference"/>
          <w:rFonts w:cs="Times New Roman"/>
          <w:szCs w:val="18"/>
        </w:rPr>
        <w:footnoteRef/>
      </w:r>
      <w:r w:rsidRPr="006F29F5">
        <w:t xml:space="preserve"> For more details about the so-called “Abacha loot” see </w:t>
      </w:r>
      <w:r w:rsidRPr="006F29F5">
        <w:rPr>
          <w:highlight w:val="cyan"/>
        </w:rPr>
        <w:t>Section 6.11 of this Chapter</w:t>
      </w:r>
      <w:r w:rsidRPr="006F29F5">
        <w:t>.</w:t>
      </w:r>
    </w:p>
  </w:footnote>
  <w:footnote w:id="121">
    <w:p w14:paraId="23E0F901" w14:textId="77777777" w:rsidR="003D0153" w:rsidRPr="006F29F5" w:rsidRDefault="003D0153" w:rsidP="000E35A1">
      <w:pPr>
        <w:pStyle w:val="FootnoteText"/>
        <w:keepLines w:val="0"/>
      </w:pPr>
      <w:r w:rsidRPr="006F29F5">
        <w:rPr>
          <w:rStyle w:val="FootnoteReference"/>
          <w:rFonts w:cs="Times New Roman"/>
          <w:szCs w:val="18"/>
        </w:rPr>
        <w:footnoteRef/>
      </w:r>
      <w:r w:rsidRPr="006F29F5">
        <w:t xml:space="preserve"> UN Digest (2015) at 40-41.</w:t>
      </w:r>
    </w:p>
  </w:footnote>
  <w:footnote w:id="122">
    <w:p w14:paraId="08BD57D6" w14:textId="59AE4F0D" w:rsidR="003D0153" w:rsidRPr="006F29F5" w:rsidRDefault="003D0153" w:rsidP="000E35A1">
      <w:pPr>
        <w:pStyle w:val="FootnoteText"/>
        <w:keepLines w:val="0"/>
      </w:pPr>
      <w:r w:rsidRPr="006F29F5">
        <w:rPr>
          <w:rStyle w:val="FootnoteReference"/>
          <w:szCs w:val="18"/>
        </w:rPr>
        <w:footnoteRef/>
      </w:r>
      <w:r w:rsidRPr="006F29F5">
        <w:t xml:space="preserve"> Theodore S Greenberg et al, </w:t>
      </w:r>
      <w:r w:rsidRPr="006F29F5">
        <w:rPr>
          <w:i/>
        </w:rPr>
        <w:t xml:space="preserve">Stolen Asset Recovery: A Good Practices Guide for Non-Conviction Based Asset Forfeiture </w:t>
      </w:r>
      <w:r w:rsidRPr="006F29F5">
        <w:t>(</w:t>
      </w:r>
      <w:proofErr w:type="spellStart"/>
      <w:r w:rsidRPr="006F29F5">
        <w:t>StAR</w:t>
      </w:r>
      <w:proofErr w:type="spellEnd"/>
      <w:r w:rsidRPr="006F29F5">
        <w:t>/World Bank, 2009) at 120, online: &lt;</w:t>
      </w:r>
      <w:hyperlink r:id="rId33" w:history="1">
        <w:r w:rsidR="00DF4459" w:rsidRPr="00C65330">
          <w:rPr>
            <w:rStyle w:val="Hyperlink"/>
            <w:szCs w:val="18"/>
          </w:rPr>
          <w:t>https://star.worldbank.org/star/publication/</w:t>
        </w:r>
        <w:r w:rsidR="00DF4459" w:rsidRPr="00C65330">
          <w:rPr>
            <w:rStyle w:val="Hyperlink"/>
            <w:szCs w:val="18"/>
          </w:rPr>
          <w:br/>
          <w:t>good-practice-guide-non-conviction-based-asset-forfeiture</w:t>
        </w:r>
      </w:hyperlink>
      <w:r w:rsidRPr="006F29F5">
        <w:t>&gt;.</w:t>
      </w:r>
    </w:p>
  </w:footnote>
  <w:footnote w:id="123">
    <w:p w14:paraId="0DDEE3E1" w14:textId="77777777" w:rsidR="003D0153" w:rsidRPr="006F29F5" w:rsidRDefault="003D0153" w:rsidP="00330902">
      <w:pPr>
        <w:pStyle w:val="FootnoteText"/>
        <w:keepLines w:val="0"/>
      </w:pPr>
      <w:r w:rsidRPr="006F29F5">
        <w:rPr>
          <w:rStyle w:val="FootnoteReference"/>
          <w:rFonts w:cs="Times New Roman"/>
          <w:szCs w:val="18"/>
        </w:rPr>
        <w:footnoteRef/>
      </w:r>
      <w:r w:rsidRPr="006F29F5">
        <w:t xml:space="preserve"> [212] Requests will go through the United Kingdom Central Authority (with the exception of requests seeking enforcement via the NCB route, which should go through the High Court of England and Wales), which passes it to the appropriate law enforcement agency, such as the Serious Organised Crime Agency (SOCA), the Crown Prosecution Service (CPS), Her Majesty’s Revenue and Customs (HMRC), or the Serious Fraud Office (SFO). </w:t>
      </w:r>
    </w:p>
  </w:footnote>
  <w:footnote w:id="124">
    <w:p w14:paraId="3AD8E8E2" w14:textId="77777777" w:rsidR="003D0153" w:rsidRPr="006F29F5" w:rsidRDefault="003D0153" w:rsidP="00330902">
      <w:pPr>
        <w:pStyle w:val="FootnoteText"/>
        <w:keepLines w:val="0"/>
      </w:pPr>
      <w:r w:rsidRPr="006F29F5">
        <w:rPr>
          <w:rStyle w:val="FootnoteReference"/>
          <w:rFonts w:cs="Times New Roman"/>
          <w:szCs w:val="18"/>
        </w:rPr>
        <w:footnoteRef/>
      </w:r>
      <w:r w:rsidRPr="006F29F5">
        <w:t xml:space="preserve"> [213] </w:t>
      </w:r>
      <w:r w:rsidRPr="006F29F5">
        <w:rPr>
          <w:i/>
        </w:rPr>
        <w:t>Proceeds of Crime Act 2002</w:t>
      </w:r>
      <w:r w:rsidRPr="006F29F5">
        <w:t xml:space="preserve"> (United Kingdom) Part 11 and Order in Council 2005/3181 Parts 2, 3, and 4 re cooperation in the recognition and enforcement of foreign, conviction-based asset recovery orders.</w:t>
      </w:r>
      <w:r w:rsidRPr="006F29F5">
        <w:rPr>
          <w:rFonts w:ascii="MS Mincho" w:eastAsia="MS Mincho" w:hAnsi="MS Mincho" w:cs="MS Mincho"/>
        </w:rPr>
        <w:t> </w:t>
      </w:r>
    </w:p>
  </w:footnote>
  <w:footnote w:id="125">
    <w:p w14:paraId="2E6AFE25" w14:textId="77777777" w:rsidR="003D0153" w:rsidRPr="006F29F5" w:rsidRDefault="003D0153" w:rsidP="00330902">
      <w:pPr>
        <w:pStyle w:val="FootnoteText"/>
        <w:keepLines w:val="0"/>
      </w:pPr>
      <w:r w:rsidRPr="006F29F5">
        <w:rPr>
          <w:rStyle w:val="FootnoteReference"/>
          <w:rFonts w:cs="Times New Roman"/>
          <w:szCs w:val="18"/>
        </w:rPr>
        <w:footnoteRef/>
      </w:r>
      <w:r w:rsidRPr="006F29F5">
        <w:t xml:space="preserve"> [214] </w:t>
      </w:r>
      <w:r w:rsidRPr="006F29F5">
        <w:rPr>
          <w:i/>
        </w:rPr>
        <w:t>Proceeds of Crime Act 2002</w:t>
      </w:r>
      <w:r w:rsidRPr="006F29F5">
        <w:t xml:space="preserve"> (United Kingdom) Part 11 and Order in Council 2005/3181, Part 5 re the cooperation in the recognition and enforcement of foreign, NCB asset recovery orders.</w:t>
      </w:r>
    </w:p>
  </w:footnote>
  <w:footnote w:id="126">
    <w:p w14:paraId="59A49553" w14:textId="77777777" w:rsidR="003D0153" w:rsidRPr="006F29F5" w:rsidRDefault="003D0153" w:rsidP="00330902">
      <w:pPr>
        <w:pStyle w:val="FootnoteText"/>
      </w:pPr>
      <w:r w:rsidRPr="006F29F5">
        <w:rPr>
          <w:rStyle w:val="FootnoteReference"/>
          <w:rFonts w:cs="Times New Roman"/>
        </w:rPr>
        <w:footnoteRef/>
      </w:r>
      <w:r w:rsidRPr="006F29F5">
        <w:t xml:space="preserve"> [215] </w:t>
      </w:r>
      <w:r w:rsidRPr="006F29F5">
        <w:rPr>
          <w:i/>
        </w:rPr>
        <w:t>Proceeds of Crime Act 2002</w:t>
      </w:r>
      <w:r w:rsidRPr="006F29F5">
        <w:t xml:space="preserve"> (United Kingdom), Section 6, and </w:t>
      </w:r>
      <w:proofErr w:type="gramStart"/>
      <w:r w:rsidRPr="006F29F5">
        <w:rPr>
          <w:i/>
          <w:iCs/>
        </w:rPr>
        <w:t>The</w:t>
      </w:r>
      <w:proofErr w:type="gramEnd"/>
      <w:r w:rsidRPr="006F29F5">
        <w:rPr>
          <w:i/>
          <w:iCs/>
        </w:rPr>
        <w:t xml:space="preserve"> Financial Challenge to Crime and Terrorism </w:t>
      </w:r>
      <w:r w:rsidRPr="006F29F5">
        <w:t xml:space="preserve">(London: HM Treasury, 2007), p. 24. In confiscation proceedings it is not necessary to link a particular crime to a particular benefit. The court can, therefore, assume that all of the defendant’s properties held over the previous six years are the proceeds of crime. This is known as the option of “general criminal conduct confiscation.” Prior to the making of the confiscation order a restraint order may be obtained from the court to prevent the dissipation of assets that may later need to be sold to satisfy the confiscation order. </w:t>
      </w:r>
    </w:p>
  </w:footnote>
  <w:footnote w:id="127">
    <w:p w14:paraId="1A0180B9" w14:textId="11A08430" w:rsidR="003D0153" w:rsidRPr="006F29F5" w:rsidRDefault="003D0153" w:rsidP="00330902">
      <w:pPr>
        <w:pStyle w:val="FootnoteText"/>
      </w:pPr>
      <w:r w:rsidRPr="006F29F5">
        <w:rPr>
          <w:rStyle w:val="FootnoteReference"/>
          <w:rFonts w:cs="Times New Roman"/>
        </w:rPr>
        <w:footnoteRef/>
      </w:r>
      <w:r w:rsidRPr="006F29F5">
        <w:t xml:space="preserve"> [216] </w:t>
      </w:r>
      <w:r w:rsidRPr="006F29F5">
        <w:rPr>
          <w:i/>
        </w:rPr>
        <w:t>Proceeds of Crime Act 2002</w:t>
      </w:r>
      <w:r w:rsidRPr="006F29F5">
        <w:t xml:space="preserve"> (United Kingdom), Section 13 (5)–(6).</w:t>
      </w:r>
    </w:p>
  </w:footnote>
  <w:footnote w:id="128">
    <w:p w14:paraId="46B3FE71" w14:textId="77777777" w:rsidR="003D0153" w:rsidRPr="006F29F5" w:rsidRDefault="003D0153" w:rsidP="00330902">
      <w:pPr>
        <w:pStyle w:val="FootnoteText"/>
        <w:rPr>
          <w:sz w:val="20"/>
        </w:rPr>
      </w:pPr>
      <w:r w:rsidRPr="006F29F5">
        <w:rPr>
          <w:rStyle w:val="FootnoteReference"/>
          <w:rFonts w:cs="Times New Roman"/>
        </w:rPr>
        <w:footnoteRef/>
      </w:r>
      <w:r w:rsidRPr="006F29F5">
        <w:t xml:space="preserve"> [217] </w:t>
      </w:r>
      <w:r w:rsidRPr="006F29F5">
        <w:rPr>
          <w:i/>
        </w:rPr>
        <w:t>Proceeds of Crime Act 2002</w:t>
      </w:r>
      <w:r w:rsidRPr="006F29F5">
        <w:t xml:space="preserve"> (United Kingdom), Section 281. </w:t>
      </w:r>
    </w:p>
  </w:footnote>
  <w:footnote w:id="129">
    <w:p w14:paraId="2474DA71" w14:textId="40A055E7" w:rsidR="003D0153" w:rsidRPr="006F29F5" w:rsidRDefault="003D0153" w:rsidP="0025078B">
      <w:pPr>
        <w:pStyle w:val="FootnoteText"/>
        <w:rPr>
          <w:szCs w:val="18"/>
        </w:rPr>
      </w:pPr>
      <w:r w:rsidRPr="006F29F5">
        <w:rPr>
          <w:rStyle w:val="FootnoteReference"/>
        </w:rPr>
        <w:footnoteRef/>
      </w:r>
      <w:r w:rsidRPr="006F29F5">
        <w:t xml:space="preserve"> Stephenson et al (</w:t>
      </w:r>
      <w:r w:rsidRPr="006F29F5">
        <w:rPr>
          <w:rFonts w:cs="Times New Roman"/>
          <w:szCs w:val="18"/>
        </w:rPr>
        <w:t>2011) at 113–116.</w:t>
      </w:r>
    </w:p>
  </w:footnote>
  <w:footnote w:id="130">
    <w:p w14:paraId="13F1051C" w14:textId="77777777" w:rsidR="00DF4459" w:rsidRPr="006F29F5" w:rsidRDefault="00DF4459" w:rsidP="00DF4459">
      <w:pPr>
        <w:pStyle w:val="FootnoteText"/>
      </w:pPr>
      <w:r w:rsidRPr="006F29F5">
        <w:rPr>
          <w:rStyle w:val="FootnoteReference"/>
          <w:szCs w:val="18"/>
        </w:rPr>
        <w:footnoteRef/>
      </w:r>
      <w:r w:rsidRPr="006F29F5">
        <w:rPr>
          <w:szCs w:val="18"/>
        </w:rPr>
        <w:t xml:space="preserve"> </w:t>
      </w:r>
      <w:r w:rsidRPr="006F29F5">
        <w:rPr>
          <w:rFonts w:cs="Times New Roman"/>
          <w:szCs w:val="18"/>
        </w:rPr>
        <w:t xml:space="preserve">SC 2014, c 31. Section 41 provides that production orders for obtaining bank information, transmission data or tracking data described in the </w:t>
      </w:r>
      <w:r w:rsidRPr="006F29F5">
        <w:rPr>
          <w:rFonts w:cs="Times New Roman"/>
          <w:i/>
          <w:szCs w:val="18"/>
        </w:rPr>
        <w:t>Code</w:t>
      </w:r>
      <w:r w:rsidRPr="006F29F5">
        <w:rPr>
          <w:rFonts w:cs="Times New Roman"/>
          <w:szCs w:val="18"/>
        </w:rPr>
        <w:t xml:space="preserve"> may be used by Canadian authorities who receive assistance requests from their international partners.</w:t>
      </w:r>
    </w:p>
  </w:footnote>
  <w:footnote w:id="131">
    <w:p w14:paraId="6E5289A5" w14:textId="77777777" w:rsidR="003F156F" w:rsidRPr="006F29F5" w:rsidRDefault="003F156F" w:rsidP="003F156F">
      <w:pPr>
        <w:pStyle w:val="FootnoteText"/>
      </w:pPr>
      <w:r w:rsidRPr="006F29F5">
        <w:rPr>
          <w:rStyle w:val="FootnoteReference"/>
          <w:szCs w:val="18"/>
        </w:rPr>
        <w:footnoteRef/>
      </w:r>
      <w:r w:rsidRPr="006F29F5">
        <w:t xml:space="preserve"> [92] Practitioners should contact the nearest Canadian embassy to determine the appropriate attaché office.</w:t>
      </w:r>
    </w:p>
  </w:footnote>
  <w:footnote w:id="132">
    <w:p w14:paraId="22DEAEFE" w14:textId="194E8517"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Freezing Assets of Corrupt Foreign Officials Act</w:t>
      </w:r>
      <w:r w:rsidRPr="006F29F5">
        <w:rPr>
          <w:szCs w:val="18"/>
        </w:rPr>
        <w:t xml:space="preserve">, SC 2011, c 10, s 4(1). </w:t>
      </w:r>
      <w:r w:rsidRPr="006F29F5">
        <w:rPr>
          <w:rFonts w:cs="Times New Roman"/>
          <w:szCs w:val="18"/>
        </w:rPr>
        <w:t xml:space="preserve">See the </w:t>
      </w:r>
      <w:r w:rsidRPr="006F29F5">
        <w:rPr>
          <w:rFonts w:cs="Times New Roman"/>
          <w:i/>
          <w:szCs w:val="18"/>
        </w:rPr>
        <w:t>Legislative Summary of Bill C-61: The Freezing of Assets of Corrupt Foreign Officials Act</w:t>
      </w:r>
      <w:r w:rsidRPr="006F29F5">
        <w:rPr>
          <w:rFonts w:cs="Times New Roman"/>
          <w:szCs w:val="18"/>
        </w:rPr>
        <w:t xml:space="preserve">, [Leg Summary Bill 61] online: </w:t>
      </w:r>
      <w:r w:rsidRPr="00752382">
        <w:rPr>
          <w:rFonts w:cs="Times New Roman"/>
          <w:spacing w:val="-1"/>
          <w:szCs w:val="18"/>
        </w:rPr>
        <w:t>&lt;</w:t>
      </w:r>
      <w:hyperlink r:id="rId34" w:history="1">
        <w:r w:rsidRPr="00752382">
          <w:rPr>
            <w:rStyle w:val="Hyperlink"/>
            <w:rFonts w:cs="Times New Roman"/>
            <w:spacing w:val="-1"/>
            <w:szCs w:val="18"/>
          </w:rPr>
          <w:t>http://www.parl.gc.ca/About/Parliament/LegislativeSummaries/bills_ls.asp?ls=c61&amp;Parl=40&amp;Ses=3</w:t>
        </w:r>
      </w:hyperlink>
      <w:r w:rsidRPr="00752382">
        <w:rPr>
          <w:rFonts w:cs="Times New Roman"/>
          <w:spacing w:val="-1"/>
          <w:szCs w:val="18"/>
        </w:rPr>
        <w:t>&gt;.</w:t>
      </w:r>
      <w:r w:rsidRPr="006F29F5">
        <w:rPr>
          <w:rFonts w:cs="Times New Roman"/>
          <w:szCs w:val="18"/>
        </w:rPr>
        <w:t xml:space="preserve"> </w:t>
      </w:r>
    </w:p>
  </w:footnote>
  <w:footnote w:id="133">
    <w:p w14:paraId="53EC115A" w14:textId="33E5AA67"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Ibid</w:t>
      </w:r>
      <w:r w:rsidRPr="006F29F5">
        <w:rPr>
          <w:szCs w:val="18"/>
        </w:rPr>
        <w:t xml:space="preserve"> at s 2(1).</w:t>
      </w:r>
    </w:p>
  </w:footnote>
  <w:footnote w:id="134">
    <w:p w14:paraId="226283B0" w14:textId="319FA78A"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 xml:space="preserve">Ibid </w:t>
      </w:r>
      <w:r w:rsidRPr="006F29F5">
        <w:rPr>
          <w:szCs w:val="18"/>
        </w:rPr>
        <w:t>at s 4(2</w:t>
      </w:r>
      <w:proofErr w:type="gramStart"/>
      <w:r w:rsidRPr="006F29F5">
        <w:rPr>
          <w:szCs w:val="18"/>
        </w:rPr>
        <w:t>)(</w:t>
      </w:r>
      <w:proofErr w:type="gramEnd"/>
      <w:r w:rsidRPr="006F29F5">
        <w:rPr>
          <w:szCs w:val="18"/>
        </w:rPr>
        <w:t>a).</w:t>
      </w:r>
    </w:p>
  </w:footnote>
  <w:footnote w:id="135">
    <w:p w14:paraId="3862B02F" w14:textId="54D9719A"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 xml:space="preserve">Ibid </w:t>
      </w:r>
      <w:r w:rsidRPr="006F29F5">
        <w:rPr>
          <w:szCs w:val="18"/>
        </w:rPr>
        <w:t>at s 2(1).</w:t>
      </w:r>
    </w:p>
  </w:footnote>
  <w:footnote w:id="136">
    <w:p w14:paraId="08FE0384" w14:textId="77777777" w:rsidR="003D0153" w:rsidRPr="006F29F5" w:rsidRDefault="003D0153" w:rsidP="008A7BF4">
      <w:pPr>
        <w:pStyle w:val="FootnoteText"/>
        <w:rPr>
          <w:szCs w:val="18"/>
        </w:rPr>
      </w:pPr>
      <w:r w:rsidRPr="006F29F5">
        <w:rPr>
          <w:rStyle w:val="FootnoteReference"/>
          <w:szCs w:val="18"/>
        </w:rPr>
        <w:footnoteRef/>
      </w:r>
      <w:r w:rsidRPr="006F29F5">
        <w:rPr>
          <w:szCs w:val="18"/>
        </w:rPr>
        <w:t xml:space="preserve"> Martin Asser, “The Muammar Gaddafi Story”, </w:t>
      </w:r>
      <w:r w:rsidRPr="006F29F5">
        <w:rPr>
          <w:i/>
          <w:szCs w:val="18"/>
        </w:rPr>
        <w:t>BBC News</w:t>
      </w:r>
      <w:r w:rsidRPr="006F29F5">
        <w:rPr>
          <w:szCs w:val="18"/>
        </w:rPr>
        <w:t>, online: &lt;</w:t>
      </w:r>
      <w:hyperlink r:id="rId35" w:history="1">
        <w:r w:rsidRPr="006F29F5">
          <w:rPr>
            <w:rStyle w:val="Hyperlink"/>
            <w:szCs w:val="18"/>
          </w:rPr>
          <w:t>http://www.bbc.com/news/world-africa-12688033</w:t>
        </w:r>
      </w:hyperlink>
      <w:r w:rsidRPr="006F29F5">
        <w:rPr>
          <w:szCs w:val="18"/>
        </w:rPr>
        <w:t>&gt;.</w:t>
      </w:r>
    </w:p>
  </w:footnote>
  <w:footnote w:id="137">
    <w:p w14:paraId="556075AE" w14:textId="40A95C7F"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Freezing Assets of Corrupt Foreign Officials Act</w:t>
      </w:r>
      <w:r w:rsidRPr="006F29F5">
        <w:rPr>
          <w:szCs w:val="18"/>
        </w:rPr>
        <w:t>, SC 2011, c 10, s 2(1).</w:t>
      </w:r>
    </w:p>
  </w:footnote>
  <w:footnote w:id="138">
    <w:p w14:paraId="708F7F48" w14:textId="51CEB6C2"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Proceedings of House of Commons Standing Committee on Foreign Affairs and International Development</w:t>
      </w:r>
      <w:r w:rsidRPr="006F29F5">
        <w:rPr>
          <w:i/>
          <w:szCs w:val="18"/>
        </w:rPr>
        <w:t xml:space="preserve"> </w:t>
      </w:r>
      <w:r w:rsidRPr="006F29F5">
        <w:rPr>
          <w:szCs w:val="18"/>
        </w:rPr>
        <w:t>(7 March 2007) at 1630-1635.</w:t>
      </w:r>
    </w:p>
  </w:footnote>
  <w:footnote w:id="139">
    <w:p w14:paraId="4C12DCA6" w14:textId="67D409A3"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rFonts w:cs="Times New Roman"/>
          <w:szCs w:val="18"/>
        </w:rPr>
        <w:t xml:space="preserve">Leg Summary Bill 61 at 10. </w:t>
      </w:r>
      <w:r w:rsidRPr="006F29F5">
        <w:rPr>
          <w:szCs w:val="18"/>
        </w:rPr>
        <w:t xml:space="preserve">That five-year review began in the </w:t>
      </w:r>
      <w:proofErr w:type="gramStart"/>
      <w:r w:rsidRPr="006F29F5">
        <w:rPr>
          <w:szCs w:val="18"/>
        </w:rPr>
        <w:t>Fall</w:t>
      </w:r>
      <w:proofErr w:type="gramEnd"/>
      <w:r w:rsidRPr="006F29F5">
        <w:rPr>
          <w:szCs w:val="18"/>
        </w:rPr>
        <w:t xml:space="preserve"> of 2016 and is called “Statutory Review of the </w:t>
      </w:r>
      <w:r w:rsidRPr="006F29F5">
        <w:rPr>
          <w:i/>
          <w:szCs w:val="18"/>
        </w:rPr>
        <w:t>Special Economic Measures Act</w:t>
      </w:r>
      <w:r w:rsidRPr="006F29F5">
        <w:rPr>
          <w:szCs w:val="18"/>
        </w:rPr>
        <w:t xml:space="preserve"> and the </w:t>
      </w:r>
      <w:r w:rsidRPr="006F29F5">
        <w:rPr>
          <w:i/>
          <w:szCs w:val="18"/>
        </w:rPr>
        <w:t>Freezing Assets of Corrupt Foreign Officials Act</w:t>
      </w:r>
      <w:r w:rsidRPr="006F29F5">
        <w:rPr>
          <w:szCs w:val="18"/>
        </w:rPr>
        <w:t xml:space="preserve"> of the House of Commons Standing Committee on Foreign Affairs and International Development.”</w:t>
      </w:r>
    </w:p>
  </w:footnote>
  <w:footnote w:id="140">
    <w:p w14:paraId="0AA7B0F0" w14:textId="75D37122"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Proceedings of House of Commons Standing Committee on Foreign Affairs and International Development (2 November 2016) at 1555.</w:t>
      </w:r>
    </w:p>
  </w:footnote>
  <w:footnote w:id="141">
    <w:p w14:paraId="5E3B987D" w14:textId="55B5049B"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Freezing Assets of Corrupt Foreign Officials Act</w:t>
      </w:r>
      <w:r w:rsidRPr="006F29F5">
        <w:rPr>
          <w:szCs w:val="18"/>
        </w:rPr>
        <w:t>, SC 2011, c 10, s 13.</w:t>
      </w:r>
    </w:p>
  </w:footnote>
  <w:footnote w:id="142">
    <w:p w14:paraId="2F55E12E" w14:textId="447FA31F"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rFonts w:cs="Times New Roman"/>
          <w:szCs w:val="18"/>
        </w:rPr>
        <w:t>Leg Summary Bill 61 at 10.</w:t>
      </w:r>
    </w:p>
  </w:footnote>
  <w:footnote w:id="143">
    <w:p w14:paraId="0CAC7F86" w14:textId="0C7D495C"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pacing w:val="-2"/>
          <w:szCs w:val="18"/>
        </w:rPr>
        <w:t>Freezing Assets of Corrupt Foreign Officials (Tunisia and Egypt) Regulations</w:t>
      </w:r>
      <w:r w:rsidRPr="006F29F5">
        <w:rPr>
          <w:spacing w:val="-2"/>
          <w:szCs w:val="18"/>
        </w:rPr>
        <w:t>, SOR/2011-78, online: &lt;</w:t>
      </w:r>
      <w:hyperlink r:id="rId36" w:history="1">
        <w:r w:rsidRPr="006F29F5">
          <w:rPr>
            <w:rStyle w:val="Hyperlink"/>
            <w:spacing w:val="-2"/>
            <w:szCs w:val="18"/>
          </w:rPr>
          <w:t>http://canlii.ca/t/52p9g</w:t>
        </w:r>
      </w:hyperlink>
      <w:r w:rsidRPr="006F29F5">
        <w:rPr>
          <w:spacing w:val="-2"/>
          <w:szCs w:val="18"/>
        </w:rPr>
        <w:t>&gt;.</w:t>
      </w:r>
    </w:p>
  </w:footnote>
  <w:footnote w:id="144">
    <w:p w14:paraId="50A4FB0A" w14:textId="2596FEA8"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Freezing Assets of Corrupt Foreign Officials (Ukraine) Regulations</w:t>
      </w:r>
      <w:r w:rsidRPr="006F29F5">
        <w:rPr>
          <w:szCs w:val="18"/>
        </w:rPr>
        <w:t>, SOR/2014-44, online: &lt;</w:t>
      </w:r>
      <w:hyperlink r:id="rId37" w:history="1">
        <w:r w:rsidRPr="006F29F5">
          <w:rPr>
            <w:rStyle w:val="Hyperlink"/>
            <w:szCs w:val="18"/>
          </w:rPr>
          <w:t>http://canlii.ca/t/527c6</w:t>
        </w:r>
      </w:hyperlink>
      <w:r w:rsidRPr="006F29F5">
        <w:rPr>
          <w:szCs w:val="18"/>
        </w:rPr>
        <w:t>&gt;.</w:t>
      </w:r>
    </w:p>
  </w:footnote>
  <w:footnote w:id="145">
    <w:p w14:paraId="643F93C9" w14:textId="066BE870"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Proceedings of House of Commons Standing Committee on Foreign Affairs and International Development (17 October 2016) at 1605.</w:t>
      </w:r>
    </w:p>
  </w:footnote>
  <w:footnote w:id="146">
    <w:p w14:paraId="76156819" w14:textId="5C847379" w:rsidR="003D0153" w:rsidRPr="006F29F5" w:rsidRDefault="003D0153" w:rsidP="000E35A1">
      <w:pPr>
        <w:pStyle w:val="FootnoteText"/>
      </w:pPr>
      <w:r w:rsidRPr="006F29F5">
        <w:rPr>
          <w:rStyle w:val="FootnoteReference"/>
          <w:szCs w:val="18"/>
        </w:rPr>
        <w:footnoteRef/>
      </w:r>
      <w:r w:rsidRPr="006F29F5">
        <w:rPr>
          <w:szCs w:val="18"/>
        </w:rPr>
        <w:t xml:space="preserve"> Jim </w:t>
      </w:r>
      <w:proofErr w:type="spellStart"/>
      <w:r w:rsidRPr="006F29F5">
        <w:rPr>
          <w:szCs w:val="18"/>
        </w:rPr>
        <w:t>Bronskill</w:t>
      </w:r>
      <w:proofErr w:type="spellEnd"/>
      <w:r w:rsidRPr="006F29F5">
        <w:rPr>
          <w:szCs w:val="18"/>
        </w:rPr>
        <w:t xml:space="preserve">, “Canada Froze Billions in Assets to Support Arab Spring: RCMP”, </w:t>
      </w:r>
      <w:r w:rsidRPr="006F29F5">
        <w:rPr>
          <w:i/>
          <w:szCs w:val="18"/>
        </w:rPr>
        <w:t>The Globe and Mail</w:t>
      </w:r>
      <w:r w:rsidRPr="006F29F5">
        <w:rPr>
          <w:szCs w:val="18"/>
        </w:rPr>
        <w:t xml:space="preserve"> (15 July 2012), online: &lt;</w:t>
      </w:r>
      <w:hyperlink r:id="rId38" w:history="1">
        <w:r w:rsidRPr="006F29F5">
          <w:rPr>
            <w:rStyle w:val="Hyperlink"/>
            <w:szCs w:val="18"/>
          </w:rPr>
          <w:t>http://www.theglobeandmail.com/news/national/canada-froze-billions-in-assets-to-support-arab-spring-rcmp/article4417551/</w:t>
        </w:r>
      </w:hyperlink>
      <w:r w:rsidRPr="006F29F5">
        <w:rPr>
          <w:szCs w:val="18"/>
        </w:rPr>
        <w:t>&gt;.</w:t>
      </w:r>
    </w:p>
  </w:footnote>
  <w:footnote w:id="147">
    <w:p w14:paraId="2E477E5F" w14:textId="48CD2B98"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Proceedings of House of Commons Standing Committee on Foreign Affairs and International Development (17 October 2016) at 1555.</w:t>
      </w:r>
    </w:p>
  </w:footnote>
  <w:footnote w:id="148">
    <w:p w14:paraId="07C7BC96" w14:textId="735A4A82"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Proceedings of House of Commons Standing Committee on Foreign Affairs and International Development (19 October 2016) at 1540.</w:t>
      </w:r>
    </w:p>
  </w:footnote>
  <w:footnote w:id="149">
    <w:p w14:paraId="149A7134" w14:textId="4C1000EF"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Ibid</w:t>
      </w:r>
      <w:r w:rsidRPr="006F29F5">
        <w:rPr>
          <w:szCs w:val="18"/>
        </w:rPr>
        <w:t xml:space="preserve"> at 1615.</w:t>
      </w:r>
    </w:p>
  </w:footnote>
  <w:footnote w:id="150">
    <w:p w14:paraId="03F59FE7" w14:textId="0A3CEEBC" w:rsidR="003D0153" w:rsidRPr="006F29F5" w:rsidRDefault="003D0153" w:rsidP="000E35A1">
      <w:pPr>
        <w:pStyle w:val="FootnoteText"/>
      </w:pPr>
      <w:r w:rsidRPr="006F29F5">
        <w:rPr>
          <w:rStyle w:val="FootnoteReference"/>
          <w:szCs w:val="18"/>
        </w:rPr>
        <w:footnoteRef/>
      </w:r>
      <w:r w:rsidRPr="006F29F5">
        <w:rPr>
          <w:szCs w:val="18"/>
        </w:rPr>
        <w:t xml:space="preserve"> See &lt;</w:t>
      </w:r>
      <w:hyperlink r:id="rId39" w:history="1">
        <w:r w:rsidRPr="006F29F5">
          <w:rPr>
            <w:rStyle w:val="Hyperlink"/>
            <w:szCs w:val="18"/>
          </w:rPr>
          <w:t>http://www.osfi-bsif.gc.ca/Eng/fi-if/amlc-clrpc/snc/facfo-bbde/Pages/2014-03-05-RAFACFOUR.aspx</w:t>
        </w:r>
      </w:hyperlink>
      <w:r w:rsidRPr="006F29F5">
        <w:rPr>
          <w:szCs w:val="18"/>
        </w:rPr>
        <w:t>&gt;.</w:t>
      </w:r>
    </w:p>
  </w:footnote>
  <w:footnote w:id="151">
    <w:p w14:paraId="01040364" w14:textId="18EC95C6"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rFonts w:cs="Times New Roman"/>
          <w:szCs w:val="18"/>
        </w:rPr>
        <w:t>Leg Summary Bill 61 at 6.</w:t>
      </w:r>
    </w:p>
  </w:footnote>
  <w:footnote w:id="152">
    <w:p w14:paraId="57E98A16" w14:textId="760940F3" w:rsidR="003D0153" w:rsidRPr="006F29F5" w:rsidRDefault="003D0153">
      <w:pPr>
        <w:pStyle w:val="FootnoteText"/>
      </w:pPr>
      <w:r w:rsidRPr="006F29F5">
        <w:rPr>
          <w:rStyle w:val="FootnoteReference"/>
        </w:rPr>
        <w:footnoteRef/>
      </w:r>
      <w:r w:rsidRPr="006F29F5">
        <w:t xml:space="preserve"> Bill Browder, </w:t>
      </w:r>
      <w:r w:rsidRPr="006F29F5">
        <w:rPr>
          <w:i/>
        </w:rPr>
        <w:t>Red Notice: A True Story of High Finance, Murder and One Man’s Fight for Justice</w:t>
      </w:r>
      <w:r w:rsidRPr="006F29F5">
        <w:t xml:space="preserve"> (Simon &amp; Schuster, 2015) at 278. Browder gives a lively, detailed account of his experiences in Russia, of </w:t>
      </w:r>
      <w:proofErr w:type="spellStart"/>
      <w:r w:rsidRPr="006F29F5">
        <w:t>Magnitsky’s</w:t>
      </w:r>
      <w:proofErr w:type="spellEnd"/>
      <w:r w:rsidRPr="006F29F5">
        <w:t xml:space="preserve"> arrest, detention, torture, and death, and the subsequent events leading to the enactment of the </w:t>
      </w:r>
      <w:proofErr w:type="spellStart"/>
      <w:r w:rsidRPr="006F29F5">
        <w:t>Magnitsky</w:t>
      </w:r>
      <w:proofErr w:type="spellEnd"/>
      <w:r w:rsidRPr="006F29F5">
        <w:t xml:space="preserve"> Act in the US.</w:t>
      </w:r>
    </w:p>
  </w:footnote>
  <w:footnote w:id="153">
    <w:p w14:paraId="1C3E799E" w14:textId="1371629A" w:rsidR="003D0153" w:rsidRPr="006F29F5" w:rsidRDefault="003D0153">
      <w:pPr>
        <w:pStyle w:val="FootnoteText"/>
      </w:pPr>
      <w:r w:rsidRPr="006F29F5">
        <w:rPr>
          <w:rStyle w:val="FootnoteReference"/>
        </w:rPr>
        <w:footnoteRef/>
      </w:r>
      <w:r w:rsidRPr="006F29F5">
        <w:t xml:space="preserve"> </w:t>
      </w:r>
      <w:r w:rsidRPr="006F29F5">
        <w:rPr>
          <w:lang w:val="en-US"/>
        </w:rPr>
        <w:t>Public Law 112-208, 112</w:t>
      </w:r>
      <w:r w:rsidRPr="006F29F5">
        <w:rPr>
          <w:vertAlign w:val="superscript"/>
          <w:lang w:val="en-US"/>
        </w:rPr>
        <w:t>th</w:t>
      </w:r>
      <w:r w:rsidRPr="006F29F5">
        <w:rPr>
          <w:lang w:val="en-US"/>
        </w:rPr>
        <w:t xml:space="preserve"> Congress, 126 Stat. 1496, Dec. 14, 2012.</w:t>
      </w:r>
    </w:p>
  </w:footnote>
  <w:footnote w:id="154">
    <w:p w14:paraId="5F734D7B" w14:textId="3AEC76C7" w:rsidR="003D0153" w:rsidRPr="006F29F5" w:rsidRDefault="003D0153">
      <w:pPr>
        <w:pStyle w:val="FootnoteText"/>
      </w:pPr>
      <w:r w:rsidRPr="006F29F5">
        <w:rPr>
          <w:rStyle w:val="FootnoteReference"/>
        </w:rPr>
        <w:footnoteRef/>
      </w:r>
      <w:r w:rsidRPr="006F29F5">
        <w:t xml:space="preserve"> </w:t>
      </w:r>
      <w:r w:rsidRPr="006F29F5">
        <w:rPr>
          <w:i/>
          <w:lang w:val="en-US"/>
        </w:rPr>
        <w:t xml:space="preserve">Global </w:t>
      </w:r>
      <w:proofErr w:type="spellStart"/>
      <w:r w:rsidRPr="006F29F5">
        <w:rPr>
          <w:i/>
          <w:lang w:val="en-US"/>
        </w:rPr>
        <w:t>Magnitsky</w:t>
      </w:r>
      <w:proofErr w:type="spellEnd"/>
      <w:r w:rsidRPr="006F29F5">
        <w:rPr>
          <w:i/>
          <w:lang w:val="en-US"/>
        </w:rPr>
        <w:t xml:space="preserve"> Human Rights Accountability Act</w:t>
      </w:r>
      <w:r w:rsidRPr="006F29F5">
        <w:rPr>
          <w:lang w:val="en-US"/>
        </w:rPr>
        <w:t>, Subtitle F, Public Law 114-328, 2</w:t>
      </w:r>
      <w:r w:rsidRPr="006F29F5">
        <w:rPr>
          <w:vertAlign w:val="superscript"/>
          <w:lang w:val="en-US"/>
        </w:rPr>
        <w:t>nd</w:t>
      </w:r>
      <w:r w:rsidRPr="006F29F5">
        <w:rPr>
          <w:lang w:val="en-US"/>
        </w:rPr>
        <w:t xml:space="preserve"> Session, 114</w:t>
      </w:r>
      <w:r w:rsidRPr="006F29F5">
        <w:rPr>
          <w:vertAlign w:val="superscript"/>
          <w:lang w:val="en-US"/>
        </w:rPr>
        <w:t>th</w:t>
      </w:r>
      <w:r w:rsidRPr="006F29F5">
        <w:rPr>
          <w:lang w:val="en-US"/>
        </w:rPr>
        <w:t xml:space="preserve"> Congress.</w:t>
      </w:r>
    </w:p>
  </w:footnote>
  <w:footnote w:id="155">
    <w:p w14:paraId="729C6692" w14:textId="77777777" w:rsidR="003D0153" w:rsidRPr="006F29F5" w:rsidRDefault="003D0153" w:rsidP="00205C2A">
      <w:pPr>
        <w:pStyle w:val="FootnoteText"/>
        <w:rPr>
          <w:lang w:val="en-US"/>
        </w:rPr>
      </w:pPr>
      <w:r w:rsidRPr="006F29F5">
        <w:rPr>
          <w:rStyle w:val="FootnoteReference"/>
        </w:rPr>
        <w:footnoteRef/>
      </w:r>
      <w:r w:rsidRPr="006F29F5">
        <w:t xml:space="preserve"> </w:t>
      </w:r>
      <w:r w:rsidRPr="006F29F5">
        <w:rPr>
          <w:lang w:val="en-US"/>
        </w:rPr>
        <w:t>Stats. Can. 2017, c.21.</w:t>
      </w:r>
    </w:p>
  </w:footnote>
  <w:footnote w:id="156">
    <w:p w14:paraId="40E0521E" w14:textId="77777777" w:rsidR="003D0153" w:rsidRPr="006F29F5" w:rsidRDefault="003D0153" w:rsidP="00E064FE">
      <w:pPr>
        <w:pStyle w:val="FootnoteText"/>
      </w:pPr>
      <w:r w:rsidRPr="006F29F5">
        <w:rPr>
          <w:rStyle w:val="FootnoteReference"/>
        </w:rPr>
        <w:footnoteRef/>
      </w:r>
      <w:r w:rsidRPr="006F29F5">
        <w:t xml:space="preserve"> </w:t>
      </w:r>
      <w:r w:rsidRPr="006F29F5">
        <w:rPr>
          <w:i/>
          <w:szCs w:val="18"/>
        </w:rPr>
        <w:t>Seized Property Management Act</w:t>
      </w:r>
      <w:r w:rsidRPr="006F29F5">
        <w:rPr>
          <w:szCs w:val="18"/>
        </w:rPr>
        <w:t>,</w:t>
      </w:r>
      <w:r w:rsidRPr="006F29F5">
        <w:rPr>
          <w:i/>
          <w:szCs w:val="18"/>
        </w:rPr>
        <w:t xml:space="preserve"> </w:t>
      </w:r>
      <w:r w:rsidRPr="006F29F5">
        <w:rPr>
          <w:rFonts w:cs="Times New Roman"/>
          <w:szCs w:val="18"/>
        </w:rPr>
        <w:t>SC 1993, c 37.</w:t>
      </w:r>
    </w:p>
  </w:footnote>
  <w:footnote w:id="157">
    <w:p w14:paraId="330D6DC3" w14:textId="38957562"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Financial Action Task Force, (2016) at 3, 6, 36, online: &lt;</w:t>
      </w:r>
      <w:hyperlink r:id="rId40" w:history="1">
        <w:r w:rsidR="00A70306" w:rsidRPr="00C65330">
          <w:rPr>
            <w:rStyle w:val="Hyperlink"/>
            <w:rFonts w:cs="Times New Roman"/>
            <w:szCs w:val="18"/>
          </w:rPr>
          <w:t>http://www.fatf-gafi.org/media/fatf/</w:t>
        </w:r>
        <w:r w:rsidR="00A70306" w:rsidRPr="00C65330">
          <w:rPr>
            <w:rStyle w:val="Hyperlink"/>
            <w:rFonts w:cs="Times New Roman"/>
            <w:szCs w:val="18"/>
          </w:rPr>
          <w:br/>
          <w:t>documents/reports/mer4/MER-Canada-2016.pdf</w:t>
        </w:r>
      </w:hyperlink>
      <w:r w:rsidRPr="006F29F5">
        <w:rPr>
          <w:rFonts w:cs="Times New Roman"/>
          <w:szCs w:val="18"/>
        </w:rPr>
        <w:t>&gt;.</w:t>
      </w:r>
    </w:p>
  </w:footnote>
  <w:footnote w:id="158">
    <w:p w14:paraId="2538B0ED"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Ibid</w:t>
      </w:r>
      <w:r w:rsidRPr="006F29F5">
        <w:rPr>
          <w:rFonts w:cs="Times New Roman"/>
          <w:szCs w:val="18"/>
        </w:rPr>
        <w:t xml:space="preserve"> at 36.</w:t>
      </w:r>
    </w:p>
  </w:footnote>
  <w:footnote w:id="159">
    <w:p w14:paraId="0AE83AD5"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Ibid</w:t>
      </w:r>
      <w:r w:rsidRPr="006F29F5">
        <w:rPr>
          <w:rFonts w:cs="Times New Roman"/>
          <w:szCs w:val="18"/>
        </w:rPr>
        <w:t xml:space="preserve"> at 9, 36-37.</w:t>
      </w:r>
    </w:p>
  </w:footnote>
  <w:footnote w:id="160">
    <w:p w14:paraId="08A3B3B3" w14:textId="4BFDFD0D"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proofErr w:type="spellStart"/>
      <w:r w:rsidRPr="006F29F5">
        <w:rPr>
          <w:rFonts w:cs="Times New Roman"/>
          <w:szCs w:val="18"/>
        </w:rPr>
        <w:t>Maíra</w:t>
      </w:r>
      <w:proofErr w:type="spellEnd"/>
      <w:r w:rsidRPr="006F29F5">
        <w:rPr>
          <w:rFonts w:cs="Times New Roman"/>
          <w:szCs w:val="18"/>
        </w:rPr>
        <w:t xml:space="preserve"> Martini, “Lessons Learnt from Recovering Assets in Egypt, Libya, and Tunisia” (Transparency International, 2014), online: &lt;</w:t>
      </w:r>
      <w:hyperlink r:id="rId41" w:history="1">
        <w:r w:rsidR="00A70306" w:rsidRPr="00C65330">
          <w:rPr>
            <w:rStyle w:val="Hyperlink"/>
            <w:rFonts w:cs="Times New Roman"/>
            <w:szCs w:val="18"/>
          </w:rPr>
          <w:t>http://www.transparency.org/files/content/corruptionqas/Lessons_Learnt_in_recovering_assets_from_Egypt_Libya_and_Tunisia_2014.pdf</w:t>
        </w:r>
      </w:hyperlink>
      <w:r w:rsidRPr="006F29F5">
        <w:rPr>
          <w:rFonts w:cs="Times New Roman"/>
          <w:szCs w:val="18"/>
        </w:rPr>
        <w:t xml:space="preserve">&gt;. </w:t>
      </w:r>
    </w:p>
  </w:footnote>
  <w:footnote w:id="161">
    <w:p w14:paraId="0DC4631A" w14:textId="294CED4E" w:rsidR="003D0153" w:rsidRPr="006F29F5" w:rsidRDefault="003D0153" w:rsidP="00E064FE">
      <w:pPr>
        <w:pStyle w:val="FootnoteText"/>
        <w:rPr>
          <w:szCs w:val="18"/>
        </w:rPr>
      </w:pPr>
      <w:r w:rsidRPr="006F29F5">
        <w:rPr>
          <w:rStyle w:val="FootnoteReference"/>
          <w:szCs w:val="18"/>
        </w:rPr>
        <w:footnoteRef/>
      </w:r>
      <w:r w:rsidRPr="006F29F5">
        <w:rPr>
          <w:szCs w:val="18"/>
        </w:rPr>
        <w:t xml:space="preserve"> Gray et al </w:t>
      </w:r>
      <w:r w:rsidRPr="006F29F5">
        <w:rPr>
          <w:rFonts w:cs="Times New Roman"/>
          <w:color w:val="000000" w:themeColor="text1"/>
          <w:szCs w:val="18"/>
        </w:rPr>
        <w:t>(</w:t>
      </w:r>
      <w:r w:rsidRPr="006F29F5">
        <w:rPr>
          <w:szCs w:val="18"/>
        </w:rPr>
        <w:t>2014).</w:t>
      </w:r>
    </w:p>
  </w:footnote>
  <w:footnote w:id="162">
    <w:p w14:paraId="311E2725" w14:textId="77777777" w:rsidR="003D0153" w:rsidRPr="006F29F5" w:rsidRDefault="003D0153" w:rsidP="00E064FE">
      <w:pPr>
        <w:pStyle w:val="FootnoteText"/>
        <w:rPr>
          <w:szCs w:val="18"/>
        </w:rPr>
      </w:pPr>
      <w:r w:rsidRPr="006F29F5">
        <w:rPr>
          <w:rStyle w:val="FootnoteReference"/>
          <w:szCs w:val="18"/>
        </w:rPr>
        <w:footnoteRef/>
      </w:r>
      <w:r w:rsidRPr="006F29F5">
        <w:rPr>
          <w:szCs w:val="18"/>
        </w:rPr>
        <w:t xml:space="preserve"> </w:t>
      </w:r>
      <w:proofErr w:type="spellStart"/>
      <w:r w:rsidRPr="006F29F5">
        <w:rPr>
          <w:szCs w:val="18"/>
        </w:rPr>
        <w:t>Oduor</w:t>
      </w:r>
      <w:proofErr w:type="spellEnd"/>
      <w:r w:rsidRPr="006F29F5">
        <w:rPr>
          <w:szCs w:val="18"/>
        </w:rPr>
        <w:t xml:space="preserve"> et al (2014).</w:t>
      </w:r>
    </w:p>
  </w:footnote>
  <w:footnote w:id="163">
    <w:p w14:paraId="296BE13F" w14:textId="32272471"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Elaine </w:t>
      </w:r>
      <w:proofErr w:type="spellStart"/>
      <w:r w:rsidRPr="006F29F5">
        <w:rPr>
          <w:szCs w:val="18"/>
        </w:rPr>
        <w:t>Koren</w:t>
      </w:r>
      <w:proofErr w:type="spellEnd"/>
      <w:r w:rsidRPr="006F29F5">
        <w:rPr>
          <w:szCs w:val="18"/>
        </w:rPr>
        <w:t xml:space="preserve">, “Civil Forfeiture Regimes in Canada and </w:t>
      </w:r>
      <w:proofErr w:type="gramStart"/>
      <w:r w:rsidRPr="006F29F5">
        <w:rPr>
          <w:szCs w:val="18"/>
        </w:rPr>
        <w:t>Internationally</w:t>
      </w:r>
      <w:proofErr w:type="gramEnd"/>
      <w:r w:rsidRPr="006F29F5">
        <w:rPr>
          <w:szCs w:val="18"/>
        </w:rPr>
        <w:t>” (Public Safety Canada, 2013) online: &lt;</w:t>
      </w:r>
      <w:hyperlink r:id="rId42" w:history="1">
        <w:r w:rsidRPr="006F29F5">
          <w:rPr>
            <w:rStyle w:val="Hyperlink"/>
            <w:szCs w:val="18"/>
          </w:rPr>
          <w:t>https://www.publicsafety.gc.ca/lbrr/archives/cn63313146-eng.pdf</w:t>
        </w:r>
      </w:hyperlink>
      <w:r w:rsidRPr="006F29F5">
        <w:rPr>
          <w:szCs w:val="18"/>
        </w:rPr>
        <w:t xml:space="preserve">&gt;. </w:t>
      </w:r>
    </w:p>
  </w:footnote>
  <w:footnote w:id="164">
    <w:p w14:paraId="35993766"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Nathan </w:t>
      </w:r>
      <w:proofErr w:type="spellStart"/>
      <w:r w:rsidRPr="006F29F5">
        <w:rPr>
          <w:rFonts w:cs="Times New Roman"/>
          <w:szCs w:val="18"/>
        </w:rPr>
        <w:t>Vanderklippe</w:t>
      </w:r>
      <w:proofErr w:type="spellEnd"/>
      <w:r w:rsidRPr="006F29F5">
        <w:rPr>
          <w:rFonts w:cs="Times New Roman"/>
          <w:szCs w:val="18"/>
        </w:rPr>
        <w:t xml:space="preserve">, “China Pressuring Canada to Ease Return of Corruption Suspects”, </w:t>
      </w:r>
      <w:r w:rsidRPr="006F29F5">
        <w:rPr>
          <w:rFonts w:cs="Times New Roman"/>
          <w:i/>
          <w:szCs w:val="18"/>
        </w:rPr>
        <w:t>The Globe and Mail</w:t>
      </w:r>
      <w:r w:rsidRPr="006F29F5">
        <w:rPr>
          <w:rFonts w:cs="Times New Roman"/>
          <w:szCs w:val="18"/>
        </w:rPr>
        <w:t xml:space="preserve"> (6 June 2016), online: &lt;</w:t>
      </w:r>
      <w:hyperlink r:id="rId43" w:history="1">
        <w:r w:rsidRPr="006F29F5">
          <w:rPr>
            <w:rStyle w:val="Hyperlink"/>
            <w:rFonts w:cs="Times New Roman"/>
            <w:szCs w:val="18"/>
          </w:rPr>
          <w:t>http://www.theglobeandmail.com/news/world/china-pressuring-canada-to-ease-return-of-corruption-suspects/article30283903/</w:t>
        </w:r>
      </w:hyperlink>
      <w:r w:rsidRPr="006F29F5">
        <w:rPr>
          <w:rFonts w:cs="Times New Roman"/>
          <w:szCs w:val="18"/>
        </w:rPr>
        <w:t xml:space="preserve">&gt;; Nathan </w:t>
      </w:r>
      <w:proofErr w:type="spellStart"/>
      <w:r w:rsidRPr="006F29F5">
        <w:rPr>
          <w:rFonts w:cs="Times New Roman"/>
          <w:szCs w:val="18"/>
        </w:rPr>
        <w:t>Vanderklippe</w:t>
      </w:r>
      <w:proofErr w:type="spellEnd"/>
      <w:r w:rsidRPr="006F29F5">
        <w:rPr>
          <w:rFonts w:cs="Times New Roman"/>
          <w:szCs w:val="18"/>
        </w:rPr>
        <w:t xml:space="preserve">, “China’s Fox Hunt in Canada Strains Trust that an Extradition Treaty is Possible”, </w:t>
      </w:r>
      <w:r w:rsidRPr="006F29F5">
        <w:rPr>
          <w:rFonts w:cs="Times New Roman"/>
          <w:i/>
          <w:szCs w:val="18"/>
        </w:rPr>
        <w:t>The Globe and Mail</w:t>
      </w:r>
      <w:r w:rsidRPr="006F29F5">
        <w:rPr>
          <w:rFonts w:cs="Times New Roman"/>
          <w:szCs w:val="18"/>
        </w:rPr>
        <w:t xml:space="preserve"> (23 September 2016), online: &lt;</w:t>
      </w:r>
      <w:hyperlink r:id="rId44" w:history="1">
        <w:r w:rsidRPr="006F29F5">
          <w:rPr>
            <w:rStyle w:val="Hyperlink"/>
            <w:rFonts w:cs="Times New Roman"/>
            <w:szCs w:val="18"/>
          </w:rPr>
          <w:t>http://www.theglobeandmail.com/news/world/chinas-fox-hunt-in-canada-strains-trust-that-an-extradition-treaty-is-possible/article32042306/</w:t>
        </w:r>
      </w:hyperlink>
      <w:r w:rsidRPr="006F29F5">
        <w:rPr>
          <w:rFonts w:cs="Times New Roman"/>
          <w:szCs w:val="18"/>
        </w:rPr>
        <w:t>&gt;.</w:t>
      </w:r>
    </w:p>
  </w:footnote>
  <w:footnote w:id="165">
    <w:p w14:paraId="51EF126E"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Treaty Between Canada and the People’s Republic of China on Mutual Legal Assistance in Criminal Matters</w:t>
      </w:r>
      <w:r w:rsidRPr="006F29F5">
        <w:rPr>
          <w:rFonts w:cs="Times New Roman"/>
          <w:szCs w:val="18"/>
        </w:rPr>
        <w:t>, 29 July 1994, CTS 1995 No 29, online: &lt;</w:t>
      </w:r>
      <w:hyperlink r:id="rId45" w:history="1">
        <w:r w:rsidRPr="006F29F5">
          <w:rPr>
            <w:rStyle w:val="Hyperlink"/>
            <w:rFonts w:cs="Times New Roman"/>
            <w:szCs w:val="18"/>
          </w:rPr>
          <w:t>http://www.treaty-accord.gc.ca/text-texte.aspx?id=101640</w:t>
        </w:r>
      </w:hyperlink>
      <w:r w:rsidRPr="006F29F5">
        <w:rPr>
          <w:rFonts w:cs="Times New Roman"/>
          <w:szCs w:val="18"/>
        </w:rPr>
        <w:t>&gt;.</w:t>
      </w:r>
    </w:p>
  </w:footnote>
  <w:footnote w:id="166">
    <w:p w14:paraId="5BA2DFA6"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Ibid</w:t>
      </w:r>
      <w:r w:rsidRPr="006F29F5">
        <w:rPr>
          <w:rFonts w:cs="Times New Roman"/>
          <w:szCs w:val="18"/>
        </w:rPr>
        <w:t>, art 2(</w:t>
      </w:r>
      <w:proofErr w:type="spellStart"/>
      <w:r w:rsidRPr="006F29F5">
        <w:rPr>
          <w:rFonts w:cs="Times New Roman"/>
          <w:szCs w:val="18"/>
        </w:rPr>
        <w:t>i</w:t>
      </w:r>
      <w:proofErr w:type="spellEnd"/>
      <w:r w:rsidRPr="006F29F5">
        <w:rPr>
          <w:rFonts w:cs="Times New Roman"/>
          <w:szCs w:val="18"/>
        </w:rPr>
        <w:t>)</w:t>
      </w:r>
      <w:proofErr w:type="gramStart"/>
      <w:r w:rsidRPr="006F29F5">
        <w:rPr>
          <w:rFonts w:cs="Times New Roman"/>
          <w:szCs w:val="18"/>
        </w:rPr>
        <w:t>.</w:t>
      </w:r>
      <w:proofErr w:type="gramEnd"/>
    </w:p>
  </w:footnote>
  <w:footnote w:id="167">
    <w:p w14:paraId="126ACD68"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Ibid</w:t>
      </w:r>
      <w:r w:rsidRPr="006F29F5">
        <w:rPr>
          <w:rFonts w:cs="Times New Roman"/>
          <w:szCs w:val="18"/>
        </w:rPr>
        <w:t>, art 17(1).</w:t>
      </w:r>
    </w:p>
  </w:footnote>
  <w:footnote w:id="168">
    <w:p w14:paraId="2656CA0D"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Ibid</w:t>
      </w:r>
      <w:r w:rsidRPr="006F29F5">
        <w:rPr>
          <w:rFonts w:cs="Times New Roman"/>
          <w:szCs w:val="18"/>
        </w:rPr>
        <w:t>, art 17(2).</w:t>
      </w:r>
    </w:p>
  </w:footnote>
  <w:footnote w:id="169">
    <w:p w14:paraId="6A922232"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Ibid</w:t>
      </w:r>
      <w:r w:rsidRPr="006F29F5">
        <w:rPr>
          <w:rFonts w:cs="Times New Roman"/>
          <w:szCs w:val="18"/>
        </w:rPr>
        <w:t>, art 17(3).</w:t>
      </w:r>
    </w:p>
  </w:footnote>
  <w:footnote w:id="170">
    <w:p w14:paraId="0336D154" w14:textId="77777777" w:rsidR="003D0153" w:rsidRPr="006F29F5" w:rsidRDefault="003D0153" w:rsidP="000E35A1">
      <w:pPr>
        <w:pStyle w:val="FootnoteText"/>
        <w:rPr>
          <w:rFonts w:cs="Times New Roman"/>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Ibid</w:t>
      </w:r>
      <w:r w:rsidRPr="006F29F5">
        <w:rPr>
          <w:rFonts w:cs="Times New Roman"/>
          <w:szCs w:val="18"/>
        </w:rPr>
        <w:t>, art 17(5).</w:t>
      </w:r>
    </w:p>
  </w:footnote>
  <w:footnote w:id="171">
    <w:p w14:paraId="69092BFA"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Financial Action Task Force, (2016) at 16, online: &lt;</w:t>
      </w:r>
      <w:hyperlink r:id="rId46" w:history="1">
        <w:r w:rsidRPr="006F29F5">
          <w:rPr>
            <w:rStyle w:val="Hyperlink"/>
            <w:rFonts w:cs="Times New Roman"/>
            <w:szCs w:val="18"/>
          </w:rPr>
          <w:t>http://www.fatf-gafi.org/media/fatf/documents/reports/mer4/MER-Canada-2016.pdf</w:t>
        </w:r>
      </w:hyperlink>
      <w:r w:rsidRPr="006F29F5">
        <w:rPr>
          <w:rFonts w:cs="Times New Roman"/>
          <w:szCs w:val="18"/>
        </w:rPr>
        <w:t>&gt;.</w:t>
      </w:r>
    </w:p>
  </w:footnote>
  <w:footnote w:id="172">
    <w:p w14:paraId="1FE8F2F6"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proofErr w:type="spellStart"/>
      <w:r w:rsidRPr="006F29F5">
        <w:rPr>
          <w:rFonts w:cs="Times New Roman"/>
          <w:szCs w:val="18"/>
        </w:rPr>
        <w:t>Affan</w:t>
      </w:r>
      <w:proofErr w:type="spellEnd"/>
      <w:r w:rsidRPr="006F29F5">
        <w:rPr>
          <w:rFonts w:cs="Times New Roman"/>
          <w:szCs w:val="18"/>
        </w:rPr>
        <w:t xml:space="preserve"> </w:t>
      </w:r>
      <w:proofErr w:type="spellStart"/>
      <w:r w:rsidRPr="006F29F5">
        <w:rPr>
          <w:rFonts w:cs="Times New Roman"/>
          <w:szCs w:val="18"/>
        </w:rPr>
        <w:t>Chowdhry</w:t>
      </w:r>
      <w:proofErr w:type="spellEnd"/>
      <w:r w:rsidRPr="006F29F5">
        <w:rPr>
          <w:rFonts w:cs="Times New Roman"/>
          <w:szCs w:val="18"/>
        </w:rPr>
        <w:t xml:space="preserve">, “China’s Corruption Crackdown Ruffles International Feathers”, </w:t>
      </w:r>
      <w:r w:rsidRPr="006F29F5">
        <w:rPr>
          <w:rFonts w:cs="Times New Roman"/>
          <w:i/>
          <w:szCs w:val="18"/>
        </w:rPr>
        <w:t>The Globe and Mail</w:t>
      </w:r>
      <w:r w:rsidRPr="006F29F5">
        <w:rPr>
          <w:rFonts w:cs="Times New Roman"/>
          <w:szCs w:val="18"/>
        </w:rPr>
        <w:t xml:space="preserve"> (20 September 2016), online: &lt;</w:t>
      </w:r>
      <w:hyperlink r:id="rId47" w:history="1">
        <w:r w:rsidRPr="006F29F5">
          <w:rPr>
            <w:rStyle w:val="Hyperlink"/>
            <w:rFonts w:cs="Times New Roman"/>
            <w:szCs w:val="18"/>
          </w:rPr>
          <w:t>http://www.theglobeandmail.com/news/world/chinas-corruption-crackdown-ruffles-international-feathers/article31979594/</w:t>
        </w:r>
      </w:hyperlink>
      <w:r w:rsidRPr="006F29F5">
        <w:rPr>
          <w:rFonts w:cs="Times New Roman"/>
          <w:szCs w:val="18"/>
        </w:rPr>
        <w:t>&gt;.</w:t>
      </w:r>
    </w:p>
  </w:footnote>
  <w:footnote w:id="173">
    <w:p w14:paraId="46BD8961"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Prime Minister of Canada, “1st Canada-China High-Level National Security and Rule of Law Dialogue – Joint Communiqué” (13 September 2016), online: &lt;</w:t>
      </w:r>
      <w:hyperlink r:id="rId48" w:history="1">
        <w:r w:rsidRPr="006F29F5">
          <w:rPr>
            <w:rStyle w:val="Hyperlink"/>
            <w:rFonts w:cs="Times New Roman"/>
            <w:szCs w:val="18"/>
          </w:rPr>
          <w:t>http://pm.gc.ca/eng/news/2016/09/13/1st-canada-china-high-level-national-security-and-rule-law-dialogue</w:t>
        </w:r>
      </w:hyperlink>
      <w:r w:rsidRPr="006F29F5">
        <w:rPr>
          <w:rFonts w:cs="Times New Roman"/>
          <w:szCs w:val="18"/>
        </w:rPr>
        <w:t>&gt;.</w:t>
      </w:r>
    </w:p>
  </w:footnote>
  <w:footnote w:id="174">
    <w:p w14:paraId="704C290C"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“China Wants an Extradition Treaty. Ottawa Should Say No”, Editorial, </w:t>
      </w:r>
      <w:r w:rsidRPr="006F29F5">
        <w:rPr>
          <w:rFonts w:cs="Times New Roman"/>
          <w:i/>
          <w:szCs w:val="18"/>
        </w:rPr>
        <w:t>The Globe and Mail</w:t>
      </w:r>
      <w:r w:rsidRPr="006F29F5">
        <w:rPr>
          <w:rFonts w:cs="Times New Roman"/>
          <w:szCs w:val="18"/>
        </w:rPr>
        <w:t xml:space="preserve"> (20 September 2016), online: &lt;</w:t>
      </w:r>
      <w:hyperlink r:id="rId49" w:history="1">
        <w:r w:rsidRPr="006F29F5">
          <w:rPr>
            <w:rStyle w:val="Hyperlink"/>
            <w:rFonts w:cs="Times New Roman"/>
            <w:szCs w:val="18"/>
          </w:rPr>
          <w:t>http://www.theglobeandmail.com/opinion/editorials/china-wants-an-extradition-treaty-ottawa-should-say-no/article31975466/</w:t>
        </w:r>
      </w:hyperlink>
      <w:r w:rsidRPr="006F29F5">
        <w:rPr>
          <w:rFonts w:cs="Times New Roman"/>
          <w:szCs w:val="18"/>
        </w:rPr>
        <w:t xml:space="preserve">&gt;; Michael Byers, “Extradition Treaty with China Would Be an Affront to Human Rights”, </w:t>
      </w:r>
      <w:r w:rsidRPr="006F29F5">
        <w:rPr>
          <w:rFonts w:cs="Times New Roman"/>
          <w:i/>
          <w:szCs w:val="18"/>
        </w:rPr>
        <w:t>The Globe and Mail</w:t>
      </w:r>
      <w:r w:rsidRPr="006F29F5">
        <w:rPr>
          <w:rFonts w:cs="Times New Roman"/>
          <w:szCs w:val="18"/>
        </w:rPr>
        <w:t xml:space="preserve"> (20 September 2016), online: &lt;</w:t>
      </w:r>
      <w:hyperlink r:id="rId50" w:history="1">
        <w:r w:rsidRPr="006F29F5">
          <w:rPr>
            <w:rStyle w:val="Hyperlink"/>
            <w:rFonts w:cs="Times New Roman"/>
            <w:szCs w:val="18"/>
          </w:rPr>
          <w:t>http://www.theglobeandmail.com/opinion/extradition-treaty-with-china-would-be-an-affront-to-human-rights/article31968585/</w:t>
        </w:r>
      </w:hyperlink>
      <w:r w:rsidRPr="006F29F5">
        <w:rPr>
          <w:rFonts w:cs="Times New Roman"/>
          <w:szCs w:val="18"/>
        </w:rPr>
        <w:t>&gt;.</w:t>
      </w:r>
    </w:p>
  </w:footnote>
  <w:footnote w:id="175">
    <w:p w14:paraId="34CFB742"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Christine </w:t>
      </w:r>
      <w:proofErr w:type="spellStart"/>
      <w:r w:rsidRPr="006F29F5">
        <w:rPr>
          <w:rFonts w:cs="Times New Roman"/>
          <w:szCs w:val="18"/>
        </w:rPr>
        <w:t>Duhaime</w:t>
      </w:r>
      <w:proofErr w:type="spellEnd"/>
      <w:r w:rsidRPr="006F29F5">
        <w:rPr>
          <w:rFonts w:cs="Times New Roman"/>
          <w:szCs w:val="18"/>
        </w:rPr>
        <w:t xml:space="preserve">, “An Extradition Treaty with China Sends a Message about Corruption”, </w:t>
      </w:r>
      <w:r w:rsidRPr="006F29F5">
        <w:rPr>
          <w:rFonts w:cs="Times New Roman"/>
          <w:i/>
          <w:szCs w:val="18"/>
        </w:rPr>
        <w:t>The Globe and Mail</w:t>
      </w:r>
      <w:r w:rsidRPr="006F29F5">
        <w:rPr>
          <w:rFonts w:cs="Times New Roman"/>
          <w:szCs w:val="18"/>
        </w:rPr>
        <w:t xml:space="preserve"> (26 September 2016), online: &lt;</w:t>
      </w:r>
      <w:hyperlink r:id="rId51" w:history="1">
        <w:r w:rsidRPr="006F29F5">
          <w:rPr>
            <w:rStyle w:val="Hyperlink"/>
            <w:rFonts w:cs="Times New Roman"/>
            <w:szCs w:val="18"/>
          </w:rPr>
          <w:t>http://www.theglobeandmail.com/report-on-business/rob-commentary/an-extradition-treaty-with-china-sends-a-message-about-corruption/article32043651/</w:t>
        </w:r>
      </w:hyperlink>
      <w:r w:rsidRPr="006F29F5">
        <w:rPr>
          <w:rFonts w:cs="Times New Roman"/>
          <w:szCs w:val="18"/>
        </w:rPr>
        <w:t xml:space="preserve">&gt;. </w:t>
      </w:r>
    </w:p>
  </w:footnote>
  <w:footnote w:id="176">
    <w:p w14:paraId="1FB6293C"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Nathan </w:t>
      </w:r>
      <w:proofErr w:type="spellStart"/>
      <w:r w:rsidRPr="006F29F5">
        <w:rPr>
          <w:rFonts w:cs="Times New Roman"/>
          <w:szCs w:val="18"/>
        </w:rPr>
        <w:t>Vanderklippe</w:t>
      </w:r>
      <w:proofErr w:type="spellEnd"/>
      <w:r w:rsidRPr="006F29F5">
        <w:rPr>
          <w:rFonts w:cs="Times New Roman"/>
          <w:szCs w:val="18"/>
        </w:rPr>
        <w:t xml:space="preserve">, “Extradition Talks with China Could Take Years, Canadian Diplomat Says”, </w:t>
      </w:r>
      <w:r w:rsidRPr="006F29F5">
        <w:rPr>
          <w:rFonts w:cs="Times New Roman"/>
          <w:i/>
          <w:szCs w:val="18"/>
        </w:rPr>
        <w:t>The Globe and Mail</w:t>
      </w:r>
      <w:r w:rsidRPr="006F29F5">
        <w:rPr>
          <w:rFonts w:cs="Times New Roman"/>
          <w:szCs w:val="18"/>
        </w:rPr>
        <w:t xml:space="preserve"> (6 October 2016), online: &lt;</w:t>
      </w:r>
      <w:hyperlink r:id="rId52" w:history="1">
        <w:r w:rsidRPr="006F29F5">
          <w:rPr>
            <w:rStyle w:val="Hyperlink"/>
            <w:rFonts w:cs="Times New Roman"/>
            <w:szCs w:val="18"/>
          </w:rPr>
          <w:t>http://www.theglobeandmail.com/news/world/extradition-talks-with-china-could-take-years-canadian-diplomat-says/article32270628/</w:t>
        </w:r>
      </w:hyperlink>
      <w:r w:rsidRPr="006F29F5">
        <w:rPr>
          <w:rFonts w:cs="Times New Roman"/>
          <w:szCs w:val="18"/>
        </w:rPr>
        <w:t>&gt;.</w:t>
      </w:r>
    </w:p>
  </w:footnote>
  <w:footnote w:id="177">
    <w:p w14:paraId="2A589680"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Prime Minister of Canada, “Joint Statement </w:t>
      </w:r>
      <w:proofErr w:type="gramStart"/>
      <w:r w:rsidRPr="006F29F5">
        <w:rPr>
          <w:rFonts w:cs="Times New Roman"/>
          <w:szCs w:val="18"/>
        </w:rPr>
        <w:t>Between</w:t>
      </w:r>
      <w:proofErr w:type="gramEnd"/>
      <w:r w:rsidRPr="006F29F5">
        <w:rPr>
          <w:rFonts w:cs="Times New Roman"/>
          <w:szCs w:val="18"/>
        </w:rPr>
        <w:t xml:space="preserve"> Canada and the People's Republic of China” (23 September 2016), online: &lt;</w:t>
      </w:r>
      <w:hyperlink r:id="rId53" w:history="1">
        <w:r w:rsidRPr="006F29F5">
          <w:rPr>
            <w:rStyle w:val="Hyperlink"/>
            <w:rFonts w:cs="Times New Roman"/>
            <w:szCs w:val="18"/>
          </w:rPr>
          <w:t>http://pm.gc.ca/eng/news/2016/09/23/joint-statement-between-canada-and-peoples-republic-china</w:t>
        </w:r>
      </w:hyperlink>
      <w:r w:rsidRPr="006F29F5">
        <w:rPr>
          <w:rFonts w:cs="Times New Roman"/>
          <w:szCs w:val="18"/>
        </w:rPr>
        <w:t>&gt;.</w:t>
      </w:r>
    </w:p>
  </w:footnote>
  <w:footnote w:id="178">
    <w:p w14:paraId="23926CB7"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Zhuang </w:t>
      </w:r>
      <w:proofErr w:type="spellStart"/>
      <w:r w:rsidRPr="006F29F5">
        <w:rPr>
          <w:rFonts w:cs="Times New Roman"/>
          <w:szCs w:val="18"/>
        </w:rPr>
        <w:t>Pinghui</w:t>
      </w:r>
      <w:proofErr w:type="spellEnd"/>
      <w:r w:rsidRPr="006F29F5">
        <w:rPr>
          <w:rFonts w:cs="Times New Roman"/>
          <w:szCs w:val="18"/>
        </w:rPr>
        <w:t xml:space="preserve">, “China and Canada Seal Deal on Return of Assets Stolen by Fugitive Corruption Suspects”, </w:t>
      </w:r>
      <w:r w:rsidRPr="006F29F5">
        <w:rPr>
          <w:rFonts w:cs="Times New Roman"/>
          <w:i/>
          <w:szCs w:val="18"/>
        </w:rPr>
        <w:t>South China Morning Post</w:t>
      </w:r>
      <w:r w:rsidRPr="006F29F5">
        <w:rPr>
          <w:rFonts w:cs="Times New Roman"/>
          <w:szCs w:val="18"/>
        </w:rPr>
        <w:t xml:space="preserve"> (23 September 2016), online: &lt;</w:t>
      </w:r>
      <w:hyperlink r:id="rId54" w:history="1">
        <w:r w:rsidRPr="006F29F5">
          <w:rPr>
            <w:rStyle w:val="Hyperlink"/>
            <w:rFonts w:cs="Times New Roman"/>
            <w:szCs w:val="18"/>
          </w:rPr>
          <w:t>http://www.scmp.com/news/china/policies-politics/article/2021977/china-canada-sign-treaty-return-assets-stolen-fraud</w:t>
        </w:r>
      </w:hyperlink>
      <w:r w:rsidRPr="006F29F5">
        <w:rPr>
          <w:rFonts w:cs="Times New Roman"/>
          <w:szCs w:val="18"/>
        </w:rPr>
        <w:t>&gt;.</w:t>
      </w:r>
    </w:p>
  </w:footnote>
  <w:footnote w:id="179">
    <w:p w14:paraId="7C52A699" w14:textId="10F03343" w:rsidR="003D0153" w:rsidRPr="006F29F5" w:rsidRDefault="003D0153" w:rsidP="000E35A1">
      <w:pPr>
        <w:pStyle w:val="FootnoteText"/>
      </w:pPr>
      <w:r w:rsidRPr="006F29F5">
        <w:rPr>
          <w:rStyle w:val="FootnoteReference"/>
          <w:szCs w:val="18"/>
        </w:rPr>
        <w:footnoteRef/>
      </w:r>
      <w:r w:rsidRPr="006F29F5">
        <w:rPr>
          <w:szCs w:val="18"/>
        </w:rPr>
        <w:t xml:space="preserve"> International Centre for Asset Recovery (2009) at 51–59, online: &lt;</w:t>
      </w:r>
      <w:hyperlink r:id="rId55" w:history="1">
        <w:r w:rsidRPr="006F29F5">
          <w:rPr>
            <w:rStyle w:val="Hyperlink"/>
            <w:szCs w:val="18"/>
          </w:rPr>
          <w:t>https://www.baselgovernance.org/publications/421</w:t>
        </w:r>
      </w:hyperlink>
      <w:r w:rsidRPr="006F29F5">
        <w:rPr>
          <w:szCs w:val="18"/>
        </w:rPr>
        <w:t>&gt;.</w:t>
      </w:r>
    </w:p>
  </w:footnote>
  <w:footnote w:id="180">
    <w:p w14:paraId="2FEFD5E1" w14:textId="19110F4F" w:rsidR="003D0153" w:rsidRPr="006F29F5" w:rsidRDefault="003D0153" w:rsidP="000E35A1">
      <w:pPr>
        <w:pStyle w:val="FootnoteText"/>
        <w:rPr>
          <w:rFonts w:cs="Times"/>
          <w:sz w:val="20"/>
        </w:rPr>
      </w:pPr>
      <w:r w:rsidRPr="006F29F5">
        <w:rPr>
          <w:rStyle w:val="FootnoteReference"/>
        </w:rPr>
        <w:footnoteRef/>
      </w:r>
      <w:r w:rsidRPr="006F29F5">
        <w:t xml:space="preserve"> </w:t>
      </w:r>
      <w:proofErr w:type="spellStart"/>
      <w:r w:rsidRPr="006F29F5">
        <w:rPr>
          <w:rFonts w:cs="Times"/>
        </w:rPr>
        <w:t>Kjetil</w:t>
      </w:r>
      <w:proofErr w:type="spellEnd"/>
      <w:r w:rsidRPr="006F29F5">
        <w:rPr>
          <w:rFonts w:cs="Times"/>
        </w:rPr>
        <w:t xml:space="preserve"> Hansen et al, </w:t>
      </w:r>
      <w:r w:rsidRPr="006F29F5">
        <w:rPr>
          <w:i/>
        </w:rPr>
        <w:t xml:space="preserve">Illicit Financial Flows from Developing Countries: Measuring OECD Responses </w:t>
      </w:r>
      <w:r w:rsidRPr="006F29F5">
        <w:t>(OECD, 2014) at 88–90, online: &lt;</w:t>
      </w:r>
      <w:hyperlink r:id="rId56" w:history="1">
        <w:r w:rsidRPr="006F29F5">
          <w:rPr>
            <w:rStyle w:val="Hyperlink"/>
            <w:rFonts w:cs="Times New Roman"/>
          </w:rPr>
          <w:t>http://www.oecd.org/corruption/Illicit_Financial_Flows_from_Developing_Countries.pdf</w:t>
        </w:r>
      </w:hyperlink>
      <w:r w:rsidRPr="006F29F5">
        <w:t>&gt;.</w:t>
      </w:r>
    </w:p>
  </w:footnote>
  <w:footnote w:id="181">
    <w:p w14:paraId="6BDE31A9" w14:textId="43E68098" w:rsidR="003D0153" w:rsidRPr="006F29F5" w:rsidRDefault="003D0153" w:rsidP="000E35A1">
      <w:pPr>
        <w:pStyle w:val="FootnoteText"/>
      </w:pPr>
      <w:r w:rsidRPr="006F29F5">
        <w:rPr>
          <w:rStyle w:val="FootnoteReference"/>
        </w:rPr>
        <w:footnoteRef/>
      </w:r>
      <w:r w:rsidRPr="006F29F5">
        <w:t xml:space="preserve"> Gray et al (2014) at 2.</w:t>
      </w:r>
    </w:p>
  </w:footnote>
  <w:footnote w:id="182">
    <w:p w14:paraId="11187D0A" w14:textId="54D3B715" w:rsidR="003D0153" w:rsidRPr="006F29F5" w:rsidRDefault="003D0153" w:rsidP="000E35A1">
      <w:pPr>
        <w:pStyle w:val="FootnoteText"/>
        <w:rPr>
          <w:i/>
        </w:rPr>
      </w:pPr>
      <w:r w:rsidRPr="006F29F5">
        <w:rPr>
          <w:rStyle w:val="FootnoteReference"/>
        </w:rPr>
        <w:footnoteRef/>
      </w:r>
      <w:r w:rsidRPr="006F29F5">
        <w:t xml:space="preserve"> </w:t>
      </w:r>
      <w:r w:rsidRPr="006F29F5">
        <w:rPr>
          <w:i/>
        </w:rPr>
        <w:t>Ibid.</w:t>
      </w:r>
    </w:p>
  </w:footnote>
  <w:footnote w:id="183">
    <w:p w14:paraId="5261E35F" w14:textId="77777777" w:rsidR="003D0153" w:rsidRPr="006F29F5" w:rsidRDefault="003D0153" w:rsidP="000E35A1">
      <w:pPr>
        <w:pStyle w:val="FootnoteText"/>
      </w:pPr>
      <w:r w:rsidRPr="006F29F5">
        <w:rPr>
          <w:rStyle w:val="FootnoteReference"/>
        </w:rPr>
        <w:footnoteRef/>
      </w:r>
      <w:r w:rsidRPr="006F29F5">
        <w:t xml:space="preserve"> </w:t>
      </w:r>
      <w:proofErr w:type="spellStart"/>
      <w:r w:rsidRPr="006F29F5">
        <w:t>Gretta</w:t>
      </w:r>
      <w:proofErr w:type="spellEnd"/>
      <w:r w:rsidRPr="006F29F5">
        <w:t xml:space="preserve"> </w:t>
      </w:r>
      <w:proofErr w:type="spellStart"/>
      <w:r w:rsidRPr="006F29F5">
        <w:t>Fenner</w:t>
      </w:r>
      <w:proofErr w:type="spellEnd"/>
      <w:r w:rsidRPr="006F29F5">
        <w:t xml:space="preserve"> </w:t>
      </w:r>
      <w:proofErr w:type="spellStart"/>
      <w:r w:rsidRPr="006F29F5">
        <w:t>Zinkernagel</w:t>
      </w:r>
      <w:proofErr w:type="spellEnd"/>
      <w:r w:rsidRPr="006F29F5">
        <w:t xml:space="preserve">, Charles </w:t>
      </w:r>
      <w:proofErr w:type="spellStart"/>
      <w:r w:rsidRPr="006F29F5">
        <w:t>Monteith</w:t>
      </w:r>
      <w:proofErr w:type="spellEnd"/>
      <w:r w:rsidRPr="006F29F5">
        <w:t xml:space="preserve"> &amp; Pedro Gomes Pereira, “Conclusion” in </w:t>
      </w:r>
      <w:proofErr w:type="spellStart"/>
      <w:r w:rsidRPr="006F29F5">
        <w:t>Zinkernagel</w:t>
      </w:r>
      <w:proofErr w:type="spellEnd"/>
      <w:r w:rsidRPr="006F29F5">
        <w:t xml:space="preserve">, </w:t>
      </w:r>
      <w:proofErr w:type="spellStart"/>
      <w:r w:rsidRPr="006F29F5">
        <w:t>Monteith</w:t>
      </w:r>
      <w:proofErr w:type="spellEnd"/>
      <w:r w:rsidRPr="006F29F5">
        <w:t xml:space="preserve"> &amp; Pereira, </w:t>
      </w:r>
      <w:proofErr w:type="spellStart"/>
      <w:proofErr w:type="gramStart"/>
      <w:r w:rsidRPr="006F29F5">
        <w:t>eds</w:t>
      </w:r>
      <w:proofErr w:type="spellEnd"/>
      <w:proofErr w:type="gramEnd"/>
      <w:r w:rsidRPr="006F29F5">
        <w:t xml:space="preserve"> (2013) 347 at 347–348.</w:t>
      </w:r>
    </w:p>
  </w:footnote>
  <w:footnote w:id="184">
    <w:p w14:paraId="548EB44C" w14:textId="77777777" w:rsidR="003D0153" w:rsidRPr="006F29F5" w:rsidRDefault="003D0153" w:rsidP="000E35A1">
      <w:pPr>
        <w:pStyle w:val="FootnoteText"/>
      </w:pPr>
      <w:r w:rsidRPr="006F29F5">
        <w:rPr>
          <w:rStyle w:val="FootnoteReference"/>
        </w:rPr>
        <w:footnoteRef/>
      </w:r>
      <w:r w:rsidRPr="006F29F5">
        <w:t xml:space="preserve"> Paul </w:t>
      </w:r>
      <w:proofErr w:type="spellStart"/>
      <w:r w:rsidRPr="006F29F5">
        <w:t>Sarlo</w:t>
      </w:r>
      <w:proofErr w:type="spellEnd"/>
      <w:r w:rsidRPr="006F29F5">
        <w:t>, “The Global Financial Crisis and the Transnational Anti-Corruption Regime: A Call for Regulation of the World Bank’s Lending Practices” (2014) 45</w:t>
      </w:r>
      <w:r w:rsidRPr="006F29F5">
        <w:rPr>
          <w:i/>
        </w:rPr>
        <w:t xml:space="preserve"> </w:t>
      </w:r>
      <w:r w:rsidRPr="006F29F5">
        <w:t xml:space="preserve">Geo J Intl L 1293. </w:t>
      </w:r>
    </w:p>
  </w:footnote>
  <w:footnote w:id="185">
    <w:p w14:paraId="58D3AEA4" w14:textId="310BCBF8" w:rsidR="003D0153" w:rsidRPr="006F29F5" w:rsidRDefault="003D0153" w:rsidP="000E35A1">
      <w:pPr>
        <w:pStyle w:val="FootnoteText"/>
      </w:pPr>
      <w:r w:rsidRPr="006F29F5">
        <w:rPr>
          <w:rStyle w:val="FootnoteReference"/>
        </w:rPr>
        <w:footnoteRef/>
      </w:r>
      <w:r w:rsidRPr="006F29F5">
        <w:t xml:space="preserve"> [103] “Recovering Stolen Assets: Making a Hash of Finding the Cash,” </w:t>
      </w:r>
      <w:r w:rsidRPr="006F29F5">
        <w:rPr>
          <w:i/>
        </w:rPr>
        <w:t xml:space="preserve">The Economist </w:t>
      </w:r>
      <w:r w:rsidRPr="006F29F5">
        <w:t>(May 11, 2013) at 63.</w:t>
      </w:r>
    </w:p>
  </w:footnote>
  <w:footnote w:id="186">
    <w:p w14:paraId="618D3EC6" w14:textId="12401B68" w:rsidR="003D0153" w:rsidRPr="006F29F5" w:rsidRDefault="003D0153" w:rsidP="000E35A1">
      <w:pPr>
        <w:pStyle w:val="FootnoteText"/>
      </w:pPr>
      <w:r w:rsidRPr="006F29F5">
        <w:rPr>
          <w:rStyle w:val="FootnoteReference"/>
        </w:rPr>
        <w:footnoteRef/>
      </w:r>
      <w:r w:rsidRPr="006F29F5">
        <w:t xml:space="preserve"> [104] Ibid. </w:t>
      </w:r>
    </w:p>
  </w:footnote>
  <w:footnote w:id="187">
    <w:p w14:paraId="1A2BA016" w14:textId="34C3AFDC"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Rudolf Wyss, “Proactive Cooperation within the Mutual Legal Assistance Procedure” in </w:t>
      </w:r>
      <w:proofErr w:type="spellStart"/>
      <w:r w:rsidRPr="006F29F5">
        <w:t>Zinkernagel</w:t>
      </w:r>
      <w:proofErr w:type="spellEnd"/>
      <w:r w:rsidRPr="006F29F5">
        <w:t xml:space="preserve">, </w:t>
      </w:r>
      <w:proofErr w:type="spellStart"/>
      <w:r w:rsidRPr="006F29F5">
        <w:t>Monteith</w:t>
      </w:r>
      <w:proofErr w:type="spellEnd"/>
      <w:r w:rsidRPr="006F29F5">
        <w:t xml:space="preserve"> &amp; Pereira, </w:t>
      </w:r>
      <w:proofErr w:type="spellStart"/>
      <w:proofErr w:type="gramStart"/>
      <w:r w:rsidRPr="006F29F5">
        <w:t>eds</w:t>
      </w:r>
      <w:proofErr w:type="spellEnd"/>
      <w:proofErr w:type="gramEnd"/>
      <w:r w:rsidRPr="006F29F5">
        <w:t xml:space="preserve"> (2013)</w:t>
      </w:r>
      <w:r w:rsidRPr="006F29F5">
        <w:rPr>
          <w:szCs w:val="18"/>
        </w:rPr>
        <w:t xml:space="preserve"> 105 at 107.</w:t>
      </w:r>
    </w:p>
  </w:footnote>
  <w:footnote w:id="188">
    <w:p w14:paraId="57E277BC" w14:textId="05A6474F"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 xml:space="preserve">Ibid </w:t>
      </w:r>
      <w:r w:rsidRPr="006F29F5">
        <w:rPr>
          <w:szCs w:val="18"/>
        </w:rPr>
        <w:t>at 106–107.</w:t>
      </w:r>
    </w:p>
  </w:footnote>
  <w:footnote w:id="189">
    <w:p w14:paraId="32C96039" w14:textId="47202546" w:rsidR="003D0153" w:rsidRPr="006F29F5" w:rsidRDefault="003D0153" w:rsidP="000E35A1">
      <w:pPr>
        <w:pStyle w:val="FootnoteText"/>
      </w:pPr>
      <w:r w:rsidRPr="006F29F5">
        <w:rPr>
          <w:rStyle w:val="FootnoteReference"/>
          <w:rFonts w:cs="Times New Roman"/>
          <w:szCs w:val="18"/>
        </w:rPr>
        <w:footnoteRef/>
      </w:r>
      <w:r w:rsidRPr="006F29F5">
        <w:t xml:space="preserve"> United States Department of Justice, “</w:t>
      </w:r>
      <w:proofErr w:type="spellStart"/>
      <w:r w:rsidRPr="006F29F5">
        <w:t>VimpelCom</w:t>
      </w:r>
      <w:proofErr w:type="spellEnd"/>
      <w:r w:rsidRPr="006F29F5">
        <w:t xml:space="preserve"> Limited and </w:t>
      </w:r>
      <w:proofErr w:type="spellStart"/>
      <w:r w:rsidRPr="006F29F5">
        <w:t>Unitel</w:t>
      </w:r>
      <w:proofErr w:type="spellEnd"/>
      <w:r w:rsidRPr="006F29F5">
        <w:t xml:space="preserve"> LLC Enter into Global Foreign Bribery Resolution of More Than $795 Million; United States Seeks $850 Million Forfeiture in Corrupt Proceeds of Bribery Sche</w:t>
      </w:r>
      <w:r w:rsidR="00AF560B">
        <w:t xml:space="preserve">me” (18 February 2016), online: </w:t>
      </w:r>
      <w:r w:rsidRPr="006F29F5">
        <w:t>&lt;</w:t>
      </w:r>
      <w:hyperlink r:id="rId57" w:history="1">
        <w:r w:rsidR="00AF560B" w:rsidRPr="00C65330">
          <w:rPr>
            <w:rStyle w:val="Hyperlink"/>
            <w:rFonts w:cs="Times New Roman"/>
            <w:szCs w:val="18"/>
          </w:rPr>
          <w:t>https://www.justice.gov/opa/pr/</w:t>
        </w:r>
        <w:r w:rsidR="00AF560B" w:rsidRPr="00C65330">
          <w:rPr>
            <w:rStyle w:val="Hyperlink"/>
            <w:rFonts w:cs="Times New Roman"/>
            <w:szCs w:val="18"/>
          </w:rPr>
          <w:br/>
          <w:t>vimpelcom-limited-and-unitel-llc-enter-global-foreign-bribery-resolution-more-795-million</w:t>
        </w:r>
      </w:hyperlink>
      <w:r w:rsidRPr="006F29F5">
        <w:t>&gt;.</w:t>
      </w:r>
    </w:p>
  </w:footnote>
  <w:footnote w:id="190">
    <w:p w14:paraId="727D2CF1" w14:textId="15947330" w:rsidR="003D0153" w:rsidRPr="006F29F5" w:rsidRDefault="003D0153" w:rsidP="000E35A1">
      <w:pPr>
        <w:pStyle w:val="FootnoteText"/>
        <w:rPr>
          <w:rFonts w:eastAsia="Times New Roman"/>
          <w:szCs w:val="24"/>
        </w:rPr>
      </w:pPr>
      <w:r w:rsidRPr="006F29F5">
        <w:rPr>
          <w:rStyle w:val="FootnoteReference"/>
          <w:rFonts w:cs="Times New Roman"/>
          <w:szCs w:val="18"/>
        </w:rPr>
        <w:footnoteRef/>
      </w:r>
      <w:r w:rsidRPr="006F29F5">
        <w:t xml:space="preserve"> “Settlements and Other Alternative Mechanisms in Transnational Bribery Cases and their Implications for the Recovery and Return of Stolen Assets”, Conference of the States Parties to the UNCAC, </w:t>
      </w:r>
      <w:r w:rsidRPr="006F29F5">
        <w:rPr>
          <w:rFonts w:eastAsia="Times New Roman"/>
        </w:rPr>
        <w:t xml:space="preserve">CAC/COSP/WG.2/2016/2 </w:t>
      </w:r>
      <w:r w:rsidRPr="006F29F5">
        <w:t>(18 July 2016)</w:t>
      </w:r>
      <w:r w:rsidRPr="006F29F5">
        <w:rPr>
          <w:rFonts w:eastAsia="Times New Roman"/>
        </w:rPr>
        <w:t xml:space="preserve"> </w:t>
      </w:r>
      <w:r w:rsidR="00AF560B">
        <w:t xml:space="preserve">at para 36, online: </w:t>
      </w:r>
      <w:r w:rsidRPr="006F29F5">
        <w:t>&lt;</w:t>
      </w:r>
      <w:hyperlink r:id="rId58" w:history="1">
        <w:r w:rsidR="00AF560B" w:rsidRPr="00C65330">
          <w:rPr>
            <w:rStyle w:val="Hyperlink"/>
            <w:rFonts w:cs="Times New Roman"/>
            <w:szCs w:val="18"/>
          </w:rPr>
          <w:t>https://www.unodc.org/</w:t>
        </w:r>
        <w:r w:rsidR="00AF560B" w:rsidRPr="00C65330">
          <w:rPr>
            <w:rStyle w:val="Hyperlink"/>
            <w:rFonts w:cs="Times New Roman"/>
            <w:szCs w:val="18"/>
          </w:rPr>
          <w:br/>
          <w:t>documents/treaties/UNCAC/WorkingGroups/workinggroup2/2016-August-25-26/V1604599e.pdf</w:t>
        </w:r>
      </w:hyperlink>
      <w:r w:rsidRPr="006F29F5">
        <w:t xml:space="preserve">&gt;. </w:t>
      </w:r>
    </w:p>
  </w:footnote>
  <w:footnote w:id="191">
    <w:p w14:paraId="0F862535" w14:textId="77777777" w:rsidR="003D0153" w:rsidRPr="006F29F5" w:rsidRDefault="003D0153" w:rsidP="00957D8F">
      <w:pPr>
        <w:pStyle w:val="FootnoteText"/>
      </w:pPr>
      <w:r w:rsidRPr="006F29F5">
        <w:rPr>
          <w:rStyle w:val="FootnoteReference"/>
          <w:szCs w:val="18"/>
        </w:rPr>
        <w:footnoteRef/>
      </w:r>
      <w:r w:rsidRPr="006F29F5">
        <w:t xml:space="preserve"> Jason Sharman, “Shell Companies and Asset Recovery: Piercing the Corporate Veil” in </w:t>
      </w:r>
      <w:proofErr w:type="spellStart"/>
      <w:r w:rsidRPr="006F29F5">
        <w:t>Zinkernagel</w:t>
      </w:r>
      <w:proofErr w:type="spellEnd"/>
      <w:r w:rsidRPr="006F29F5">
        <w:t xml:space="preserve">, </w:t>
      </w:r>
      <w:proofErr w:type="spellStart"/>
      <w:r w:rsidRPr="006F29F5">
        <w:t>Monteith</w:t>
      </w:r>
      <w:proofErr w:type="spellEnd"/>
      <w:r w:rsidRPr="006F29F5">
        <w:t xml:space="preserve"> &amp; Pereira, </w:t>
      </w:r>
      <w:proofErr w:type="spellStart"/>
      <w:proofErr w:type="gramStart"/>
      <w:r w:rsidRPr="006F29F5">
        <w:t>eds</w:t>
      </w:r>
      <w:proofErr w:type="spellEnd"/>
      <w:proofErr w:type="gramEnd"/>
      <w:r w:rsidRPr="006F29F5">
        <w:t xml:space="preserve"> (2013) 67.</w:t>
      </w:r>
    </w:p>
  </w:footnote>
  <w:footnote w:id="192">
    <w:p w14:paraId="14372CD4" w14:textId="7DC398DE"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 xml:space="preserve">Ibid </w:t>
      </w:r>
      <w:r w:rsidRPr="006F29F5">
        <w:rPr>
          <w:szCs w:val="18"/>
        </w:rPr>
        <w:t>at 68–69.</w:t>
      </w:r>
    </w:p>
  </w:footnote>
  <w:footnote w:id="193">
    <w:p w14:paraId="1ADF6495" w14:textId="77777777"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Markus E Schulz, “Beneficial Ownership: The Private Sector Perspective” in</w:t>
      </w:r>
      <w:r w:rsidRPr="006F29F5">
        <w:t xml:space="preserve"> </w:t>
      </w:r>
      <w:proofErr w:type="spellStart"/>
      <w:r w:rsidRPr="006F29F5">
        <w:t>Zinkernagel</w:t>
      </w:r>
      <w:proofErr w:type="spellEnd"/>
      <w:r w:rsidRPr="006F29F5">
        <w:t xml:space="preserve">, </w:t>
      </w:r>
      <w:proofErr w:type="spellStart"/>
      <w:r w:rsidRPr="006F29F5">
        <w:t>Monteith</w:t>
      </w:r>
      <w:proofErr w:type="spellEnd"/>
      <w:r w:rsidRPr="006F29F5">
        <w:t xml:space="preserve"> &amp; Pereira, </w:t>
      </w:r>
      <w:proofErr w:type="spellStart"/>
      <w:proofErr w:type="gramStart"/>
      <w:r w:rsidRPr="006F29F5">
        <w:t>eds</w:t>
      </w:r>
      <w:proofErr w:type="spellEnd"/>
      <w:proofErr w:type="gramEnd"/>
      <w:r w:rsidRPr="006F29F5">
        <w:t xml:space="preserve"> (2013)</w:t>
      </w:r>
      <w:r w:rsidRPr="006F29F5">
        <w:rPr>
          <w:szCs w:val="18"/>
        </w:rPr>
        <w:t xml:space="preserve"> 75 at 75.</w:t>
      </w:r>
    </w:p>
  </w:footnote>
  <w:footnote w:id="194">
    <w:p w14:paraId="3170FE63" w14:textId="7DF8D64B"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 xml:space="preserve">Ibid </w:t>
      </w:r>
      <w:r w:rsidRPr="006F29F5">
        <w:rPr>
          <w:szCs w:val="18"/>
        </w:rPr>
        <w:t>at 80–81.</w:t>
      </w:r>
    </w:p>
  </w:footnote>
  <w:footnote w:id="195">
    <w:p w14:paraId="2B921B7A" w14:textId="145ADF17"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Sharman (2013) 67 at 70.</w:t>
      </w:r>
    </w:p>
  </w:footnote>
  <w:footnote w:id="196">
    <w:p w14:paraId="3B78F640" w14:textId="1CB1AE99"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“Transparency </w:t>
      </w:r>
      <w:proofErr w:type="gramStart"/>
      <w:r w:rsidRPr="006F29F5">
        <w:rPr>
          <w:rFonts w:cs="Times New Roman"/>
          <w:szCs w:val="18"/>
        </w:rPr>
        <w:t>Through</w:t>
      </w:r>
      <w:proofErr w:type="gramEnd"/>
      <w:r w:rsidRPr="006F29F5">
        <w:rPr>
          <w:rFonts w:cs="Times New Roman"/>
          <w:szCs w:val="18"/>
        </w:rPr>
        <w:t xml:space="preserve"> Beneficial Ownership Declarations” (September 2013) GOPAC Position Paper, Vol 1, Issue 1, online: &lt;</w:t>
      </w:r>
      <w:hyperlink r:id="rId59" w:history="1">
        <w:r w:rsidRPr="006F29F5">
          <w:rPr>
            <w:rStyle w:val="Hyperlink"/>
            <w:rFonts w:cs="Times New Roman"/>
            <w:szCs w:val="18"/>
          </w:rPr>
          <w:t>http://gopacnetwork.org/Docs/PositionPapers/PP_GTFAML_EN_WEB.pdf</w:t>
        </w:r>
      </w:hyperlink>
      <w:r w:rsidRPr="006F29F5">
        <w:rPr>
          <w:rFonts w:cs="Times New Roman"/>
          <w:szCs w:val="18"/>
        </w:rPr>
        <w:t>&gt;.</w:t>
      </w:r>
    </w:p>
  </w:footnote>
  <w:footnote w:id="197">
    <w:p w14:paraId="596916E2" w14:textId="59F86FFA"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proofErr w:type="spellStart"/>
      <w:r w:rsidRPr="006F29F5">
        <w:rPr>
          <w:szCs w:val="18"/>
        </w:rPr>
        <w:t>Kjerstin</w:t>
      </w:r>
      <w:proofErr w:type="spellEnd"/>
      <w:r w:rsidRPr="006F29F5">
        <w:rPr>
          <w:szCs w:val="18"/>
        </w:rPr>
        <w:t xml:space="preserve"> </w:t>
      </w:r>
      <w:proofErr w:type="spellStart"/>
      <w:r w:rsidRPr="006F29F5">
        <w:rPr>
          <w:szCs w:val="18"/>
        </w:rPr>
        <w:t>Andreasen</w:t>
      </w:r>
      <w:proofErr w:type="spellEnd"/>
      <w:r w:rsidRPr="006F29F5">
        <w:rPr>
          <w:szCs w:val="18"/>
        </w:rPr>
        <w:t xml:space="preserve"> and Victor </w:t>
      </w:r>
      <w:proofErr w:type="spellStart"/>
      <w:r w:rsidRPr="006F29F5">
        <w:rPr>
          <w:szCs w:val="18"/>
        </w:rPr>
        <w:t>Ponsford</w:t>
      </w:r>
      <w:proofErr w:type="spellEnd"/>
      <w:r w:rsidRPr="006F29F5">
        <w:rPr>
          <w:szCs w:val="18"/>
        </w:rPr>
        <w:t xml:space="preserve">, </w:t>
      </w:r>
      <w:proofErr w:type="spellStart"/>
      <w:proofErr w:type="gramStart"/>
      <w:r w:rsidRPr="006F29F5">
        <w:rPr>
          <w:szCs w:val="18"/>
        </w:rPr>
        <w:t>eds</w:t>
      </w:r>
      <w:proofErr w:type="spellEnd"/>
      <w:proofErr w:type="gramEnd"/>
      <w:r w:rsidRPr="006F29F5">
        <w:rPr>
          <w:szCs w:val="18"/>
        </w:rPr>
        <w:t xml:space="preserve">, </w:t>
      </w:r>
      <w:r w:rsidRPr="006F29F5">
        <w:rPr>
          <w:i/>
          <w:szCs w:val="18"/>
        </w:rPr>
        <w:t xml:space="preserve">2016 Progress Report: From Reports to Results </w:t>
      </w:r>
      <w:r w:rsidRPr="006F29F5">
        <w:rPr>
          <w:szCs w:val="18"/>
        </w:rPr>
        <w:t>(EITI, 2016) at 5, online: &lt;</w:t>
      </w:r>
      <w:hyperlink r:id="rId60" w:history="1">
        <w:r w:rsidRPr="006F29F5">
          <w:rPr>
            <w:rStyle w:val="Hyperlink"/>
            <w:szCs w:val="18"/>
          </w:rPr>
          <w:t>https://eiti.org/sites/default/files/documents/progressreport.pdf</w:t>
        </w:r>
      </w:hyperlink>
      <w:r w:rsidRPr="006F29F5">
        <w:rPr>
          <w:szCs w:val="18"/>
        </w:rPr>
        <w:t>&gt;.</w:t>
      </w:r>
    </w:p>
  </w:footnote>
  <w:footnote w:id="198">
    <w:p w14:paraId="222277E8" w14:textId="2FDBAD61"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proofErr w:type="spellStart"/>
      <w:r w:rsidRPr="006F29F5">
        <w:rPr>
          <w:szCs w:val="18"/>
        </w:rPr>
        <w:t>Dyveke</w:t>
      </w:r>
      <w:proofErr w:type="spellEnd"/>
      <w:r w:rsidRPr="006F29F5">
        <w:rPr>
          <w:szCs w:val="18"/>
        </w:rPr>
        <w:t xml:space="preserve"> Rogan, </w:t>
      </w:r>
      <w:proofErr w:type="spellStart"/>
      <w:proofErr w:type="gramStart"/>
      <w:r w:rsidRPr="006F29F5">
        <w:rPr>
          <w:szCs w:val="18"/>
        </w:rPr>
        <w:t>ed</w:t>
      </w:r>
      <w:proofErr w:type="spellEnd"/>
      <w:proofErr w:type="gramEnd"/>
      <w:r w:rsidRPr="006F29F5">
        <w:rPr>
          <w:szCs w:val="18"/>
        </w:rPr>
        <w:t xml:space="preserve">, </w:t>
      </w:r>
      <w:r w:rsidRPr="006F29F5">
        <w:rPr>
          <w:i/>
          <w:szCs w:val="18"/>
        </w:rPr>
        <w:t>The EITI Standard 2016</w:t>
      </w:r>
      <w:r w:rsidRPr="006F29F5">
        <w:rPr>
          <w:szCs w:val="18"/>
        </w:rPr>
        <w:t xml:space="preserve"> (EITI International Secretariat, 2016) at 17-21, online: &lt;</w:t>
      </w:r>
      <w:hyperlink r:id="rId61" w:history="1">
        <w:r w:rsidRPr="006F29F5">
          <w:rPr>
            <w:rStyle w:val="Hyperlink"/>
            <w:szCs w:val="18"/>
          </w:rPr>
          <w:t>https://eiti.org/sites/default/files/documents/english-eiti-standard_0.pdf</w:t>
        </w:r>
      </w:hyperlink>
      <w:r w:rsidRPr="006F29F5">
        <w:rPr>
          <w:szCs w:val="18"/>
        </w:rPr>
        <w:t>&gt;.</w:t>
      </w:r>
    </w:p>
  </w:footnote>
  <w:footnote w:id="199">
    <w:p w14:paraId="6727853D" w14:textId="47B2C6FA" w:rsidR="003D0153" w:rsidRPr="006F29F5" w:rsidRDefault="003D0153" w:rsidP="000E35A1">
      <w:pPr>
        <w:pStyle w:val="FootnoteText"/>
      </w:pPr>
      <w:r w:rsidRPr="006F29F5">
        <w:rPr>
          <w:rStyle w:val="FootnoteReference"/>
          <w:szCs w:val="18"/>
        </w:rPr>
        <w:footnoteRef/>
      </w:r>
      <w:r w:rsidRPr="006F29F5">
        <w:rPr>
          <w:szCs w:val="18"/>
        </w:rPr>
        <w:t xml:space="preserve"> </w:t>
      </w:r>
      <w:r w:rsidRPr="004B79A0">
        <w:rPr>
          <w:spacing w:val="-1"/>
          <w:szCs w:val="18"/>
        </w:rPr>
        <w:t xml:space="preserve">See </w:t>
      </w:r>
      <w:r w:rsidRPr="004B79A0">
        <w:rPr>
          <w:i/>
          <w:spacing w:val="-1"/>
          <w:szCs w:val="18"/>
        </w:rPr>
        <w:t>G20 High-Level Principles on Beneficial Ownership Transparency</w:t>
      </w:r>
      <w:r w:rsidRPr="004B79A0">
        <w:rPr>
          <w:spacing w:val="-1"/>
          <w:szCs w:val="18"/>
        </w:rPr>
        <w:t>, online: &lt;</w:t>
      </w:r>
      <w:hyperlink r:id="rId62" w:history="1">
        <w:r w:rsidR="00AD7E0C" w:rsidRPr="00C65330">
          <w:rPr>
            <w:rStyle w:val="Hyperlink"/>
            <w:spacing w:val="-1"/>
            <w:szCs w:val="18"/>
          </w:rPr>
          <w:t>http://star.worldbank.org</w:t>
        </w:r>
        <w:r w:rsidR="00AD7E0C" w:rsidRPr="00C65330">
          <w:rPr>
            <w:rStyle w:val="Hyperlink"/>
            <w:spacing w:val="-1"/>
            <w:szCs w:val="18"/>
          </w:rPr>
          <w:br/>
          <w:t>/star/sites/star/files/g20_high-level_principles_beneficial_ownership_transparency.pdf</w:t>
        </w:r>
      </w:hyperlink>
      <w:r w:rsidRPr="004B79A0">
        <w:rPr>
          <w:spacing w:val="-1"/>
          <w:szCs w:val="18"/>
        </w:rPr>
        <w:t>&gt;.</w:t>
      </w:r>
      <w:r w:rsidRPr="006F29F5">
        <w:t xml:space="preserve"> </w:t>
      </w:r>
    </w:p>
  </w:footnote>
  <w:footnote w:id="200">
    <w:p w14:paraId="588CA298" w14:textId="55D21F45"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“Just for Show? Reviewing G20 Promises on Beneficial Ownership” (TI, November 2015), online: &lt;</w:t>
      </w:r>
      <w:hyperlink r:id="rId63" w:history="1">
        <w:r w:rsidRPr="006F29F5">
          <w:rPr>
            <w:rStyle w:val="Hyperlink"/>
            <w:szCs w:val="18"/>
          </w:rPr>
          <w:t>http://www.transparency.org/whatwedo/publication/just_for_show_g20_promises</w:t>
        </w:r>
      </w:hyperlink>
      <w:r w:rsidRPr="006F29F5">
        <w:rPr>
          <w:szCs w:val="18"/>
        </w:rPr>
        <w:t xml:space="preserve">&gt;. </w:t>
      </w:r>
    </w:p>
  </w:footnote>
  <w:footnote w:id="201">
    <w:p w14:paraId="2AE5220B" w14:textId="77777777"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Small Business, Enterprise and Employment Act</w:t>
      </w:r>
      <w:r w:rsidRPr="006F29F5">
        <w:rPr>
          <w:szCs w:val="18"/>
        </w:rPr>
        <w:t xml:space="preserve"> </w:t>
      </w:r>
      <w:r w:rsidRPr="006F29F5">
        <w:rPr>
          <w:i/>
          <w:szCs w:val="18"/>
        </w:rPr>
        <w:t>2015</w:t>
      </w:r>
      <w:r w:rsidRPr="006F29F5">
        <w:rPr>
          <w:szCs w:val="18"/>
        </w:rPr>
        <w:t xml:space="preserve"> (UK), c 26, part 7.</w:t>
      </w:r>
    </w:p>
  </w:footnote>
  <w:footnote w:id="202">
    <w:p w14:paraId="3357DBB6" w14:textId="4A19B068"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 xml:space="preserve">Companies Act 2006 </w:t>
      </w:r>
      <w:r w:rsidRPr="006F29F5">
        <w:rPr>
          <w:szCs w:val="18"/>
        </w:rPr>
        <w:t>(UK), c 46.</w:t>
      </w:r>
    </w:p>
  </w:footnote>
  <w:footnote w:id="203">
    <w:p w14:paraId="4C94952E" w14:textId="7C923C84"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Small Business, Enterprise and Employment Act</w:t>
      </w:r>
      <w:r w:rsidRPr="006F29F5">
        <w:rPr>
          <w:szCs w:val="18"/>
        </w:rPr>
        <w:t xml:space="preserve"> </w:t>
      </w:r>
      <w:r w:rsidRPr="006F29F5">
        <w:rPr>
          <w:i/>
          <w:szCs w:val="18"/>
        </w:rPr>
        <w:t>2015</w:t>
      </w:r>
      <w:r w:rsidRPr="006F29F5">
        <w:rPr>
          <w:szCs w:val="18"/>
        </w:rPr>
        <w:t xml:space="preserve"> (UK), c 26, part 7, s 81.</w:t>
      </w:r>
    </w:p>
  </w:footnote>
  <w:footnote w:id="204">
    <w:p w14:paraId="7B2BEB29" w14:textId="7067383A"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 xml:space="preserve">Companies Act 2006 </w:t>
      </w:r>
      <w:r w:rsidRPr="006F29F5">
        <w:rPr>
          <w:szCs w:val="18"/>
        </w:rPr>
        <w:t>(UK), c 46, part 21A.</w:t>
      </w:r>
    </w:p>
  </w:footnote>
  <w:footnote w:id="205">
    <w:p w14:paraId="5EE981D9" w14:textId="1A04F108"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“Companies Act 2006: New Rules on People with Significant Control” (</w:t>
      </w:r>
      <w:proofErr w:type="spellStart"/>
      <w:r w:rsidRPr="006F29F5">
        <w:rPr>
          <w:szCs w:val="18"/>
        </w:rPr>
        <w:t>Dentons</w:t>
      </w:r>
      <w:proofErr w:type="spellEnd"/>
      <w:r w:rsidRPr="006F29F5">
        <w:rPr>
          <w:szCs w:val="18"/>
        </w:rPr>
        <w:t>, 2016), online: &lt;</w:t>
      </w:r>
      <w:hyperlink r:id="rId64" w:history="1">
        <w:r w:rsidRPr="006F29F5">
          <w:rPr>
            <w:rStyle w:val="Hyperlink"/>
            <w:szCs w:val="18"/>
          </w:rPr>
          <w:t>http://www.dentons.com/en/</w:t>
        </w:r>
        <w:r w:rsidRPr="006F29F5">
          <w:rPr>
            <w:rStyle w:val="Hyperlink"/>
            <w:szCs w:val="18"/>
          </w:rPr>
          <w:br/>
          <w:t>insights/newsletters/2016/january/26/uk-corporate-briefing/uk-corporate-briefing-winter-2016/companies-act-2006-new-rules-on-people-with-significant-control</w:t>
        </w:r>
      </w:hyperlink>
      <w:r w:rsidRPr="006F29F5">
        <w:rPr>
          <w:szCs w:val="18"/>
        </w:rPr>
        <w:t>&gt;.</w:t>
      </w:r>
    </w:p>
  </w:footnote>
  <w:footnote w:id="206">
    <w:p w14:paraId="3F2748B5" w14:textId="75109A29" w:rsidR="003D0153" w:rsidRPr="006F29F5" w:rsidRDefault="003D0153" w:rsidP="000E35A1">
      <w:pPr>
        <w:pStyle w:val="FootnoteText"/>
      </w:pPr>
      <w:r w:rsidRPr="006F29F5">
        <w:rPr>
          <w:rStyle w:val="FootnoteReference"/>
          <w:szCs w:val="18"/>
        </w:rPr>
        <w:footnoteRef/>
      </w:r>
      <w:r w:rsidRPr="006F29F5">
        <w:rPr>
          <w:szCs w:val="18"/>
        </w:rPr>
        <w:t xml:space="preserve"> 2016 No 340, Schedule 1.</w:t>
      </w:r>
    </w:p>
  </w:footnote>
  <w:footnote w:id="207">
    <w:p w14:paraId="5CB591D2" w14:textId="77777777"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 xml:space="preserve">Companies Act 2006 </w:t>
      </w:r>
      <w:r w:rsidRPr="006F29F5">
        <w:rPr>
          <w:szCs w:val="18"/>
        </w:rPr>
        <w:t>(UK), c 46, Schedule 1A.</w:t>
      </w:r>
    </w:p>
  </w:footnote>
  <w:footnote w:id="208">
    <w:p w14:paraId="37E05BE6" w14:textId="02E568A9"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UK, House of Commons Library, “Shining a Light on Beneficial Ownership: What's Happening in the UK and</w:t>
      </w:r>
    </w:p>
    <w:p w14:paraId="3532493E" w14:textId="191092E8" w:rsidR="003D0153" w:rsidRPr="006F29F5" w:rsidRDefault="003D0153" w:rsidP="000E35A1">
      <w:pPr>
        <w:pStyle w:val="FootnoteText"/>
        <w:rPr>
          <w:szCs w:val="18"/>
        </w:rPr>
      </w:pPr>
      <w:r w:rsidRPr="006F29F5">
        <w:rPr>
          <w:szCs w:val="18"/>
        </w:rPr>
        <w:t xml:space="preserve">Elsewhere?” (Briefing Paper No 07616) by Gabrielle </w:t>
      </w:r>
      <w:proofErr w:type="spellStart"/>
      <w:r w:rsidRPr="006F29F5">
        <w:rPr>
          <w:szCs w:val="18"/>
        </w:rPr>
        <w:t>Garton</w:t>
      </w:r>
      <w:proofErr w:type="spellEnd"/>
      <w:r w:rsidRPr="006F29F5">
        <w:rPr>
          <w:szCs w:val="18"/>
        </w:rPr>
        <w:t xml:space="preserve"> </w:t>
      </w:r>
      <w:proofErr w:type="spellStart"/>
      <w:r w:rsidRPr="006F29F5">
        <w:rPr>
          <w:szCs w:val="18"/>
        </w:rPr>
        <w:t>Grimwood</w:t>
      </w:r>
      <w:proofErr w:type="spellEnd"/>
      <w:r w:rsidRPr="006F29F5">
        <w:rPr>
          <w:szCs w:val="18"/>
        </w:rPr>
        <w:t xml:space="preserve"> (London: House of Commons Library, 2016) at 4, online: &lt;</w:t>
      </w:r>
      <w:hyperlink r:id="rId65" w:history="1">
        <w:r w:rsidRPr="006F29F5">
          <w:rPr>
            <w:rStyle w:val="Hyperlink"/>
            <w:szCs w:val="18"/>
          </w:rPr>
          <w:t>http://researchbriefings.parliament.uk/ResearchBriefing/Summary/CBP-7616</w:t>
        </w:r>
      </w:hyperlink>
      <w:r w:rsidRPr="006F29F5">
        <w:rPr>
          <w:szCs w:val="18"/>
        </w:rPr>
        <w:t>&gt;.</w:t>
      </w:r>
    </w:p>
  </w:footnote>
  <w:footnote w:id="209">
    <w:p w14:paraId="0011ECBD" w14:textId="351F1C53"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United States, Department of Treasury, “Treasury Announces Key Regulations and Legislation to Counter Money Laundering and Corruption, Combat Tax Evasion” (5 May 2016), online: &lt;</w:t>
      </w:r>
      <w:hyperlink r:id="rId66" w:history="1">
        <w:r w:rsidRPr="006F29F5">
          <w:rPr>
            <w:rStyle w:val="Hyperlink"/>
            <w:rFonts w:cs="Times New Roman"/>
            <w:szCs w:val="18"/>
          </w:rPr>
          <w:t>https://www.treasury.gov/press-center/press-releases/Pages/jl0451.aspx</w:t>
        </w:r>
      </w:hyperlink>
      <w:r w:rsidRPr="006F29F5">
        <w:rPr>
          <w:rFonts w:cs="Times New Roman"/>
          <w:szCs w:val="18"/>
        </w:rPr>
        <w:t xml:space="preserve">&gt;. </w:t>
      </w:r>
    </w:p>
  </w:footnote>
  <w:footnote w:id="210">
    <w:p w14:paraId="4AB3BF23"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Ibid.</w:t>
      </w:r>
    </w:p>
  </w:footnote>
  <w:footnote w:id="211">
    <w:p w14:paraId="6CB88F8F" w14:textId="72EBCACD" w:rsidR="003D0153" w:rsidRPr="006F29F5" w:rsidRDefault="003D0153" w:rsidP="000E35A1">
      <w:pPr>
        <w:pStyle w:val="FootnoteText"/>
        <w:rPr>
          <w:rFonts w:cs="Times New Roman"/>
          <w:sz w:val="24"/>
          <w:szCs w:val="24"/>
        </w:rPr>
      </w:pPr>
      <w:r w:rsidRPr="006F29F5">
        <w:rPr>
          <w:rStyle w:val="FootnoteReference"/>
          <w:rFonts w:cs="Times New Roman"/>
          <w:szCs w:val="18"/>
        </w:rPr>
        <w:footnoteRef/>
      </w:r>
      <w:r w:rsidRPr="006F29F5">
        <w:rPr>
          <w:rFonts w:cs="Times New Roman"/>
          <w:szCs w:val="18"/>
        </w:rPr>
        <w:t xml:space="preserve"> </w:t>
      </w:r>
      <w:proofErr w:type="spellStart"/>
      <w:r w:rsidRPr="006F29F5">
        <w:rPr>
          <w:rFonts w:cs="Times New Roman"/>
          <w:szCs w:val="18"/>
        </w:rPr>
        <w:t>Convington</w:t>
      </w:r>
      <w:proofErr w:type="spellEnd"/>
      <w:r w:rsidRPr="006F29F5">
        <w:rPr>
          <w:rFonts w:cs="Times New Roman"/>
          <w:szCs w:val="18"/>
        </w:rPr>
        <w:t xml:space="preserve"> &amp; Burling LPP, “</w:t>
      </w:r>
      <w:proofErr w:type="spellStart"/>
      <w:r w:rsidRPr="006F29F5">
        <w:rPr>
          <w:rFonts w:cs="Times New Roman"/>
          <w:szCs w:val="18"/>
        </w:rPr>
        <w:t>FinCEN</w:t>
      </w:r>
      <w:proofErr w:type="spellEnd"/>
      <w:r w:rsidRPr="006F29F5">
        <w:rPr>
          <w:rFonts w:cs="Times New Roman"/>
          <w:szCs w:val="18"/>
        </w:rPr>
        <w:t xml:space="preserve"> Releases Final Rule on Beneficial Ownership and Risk-Based Customer Due Diligence” (10 May 2016), online: &lt;</w:t>
      </w:r>
      <w:hyperlink r:id="rId67" w:history="1">
        <w:r w:rsidR="00CA1D5B" w:rsidRPr="00C65330">
          <w:rPr>
            <w:rStyle w:val="Hyperlink"/>
            <w:rFonts w:cs="Times New Roman"/>
            <w:szCs w:val="18"/>
          </w:rPr>
          <w:t>https://www.cov.com/-/media/files/corporate/</w:t>
        </w:r>
        <w:r w:rsidR="00CA1D5B" w:rsidRPr="00C65330">
          <w:rPr>
            <w:rStyle w:val="Hyperlink"/>
            <w:rFonts w:cs="Times New Roman"/>
            <w:szCs w:val="18"/>
          </w:rPr>
          <w:br/>
          <w:t>publications/2016/05/fincen_releases_final_rule_on_beneficial_ownership_and_risk_based_customer_due_diligence.pdf</w:t>
        </w:r>
      </w:hyperlink>
      <w:r w:rsidRPr="006F29F5">
        <w:rPr>
          <w:rFonts w:cs="Times New Roman"/>
          <w:szCs w:val="18"/>
        </w:rPr>
        <w:t>&gt;.</w:t>
      </w:r>
      <w:r w:rsidRPr="006F29F5">
        <w:rPr>
          <w:rFonts w:cs="Times New Roman"/>
          <w:sz w:val="24"/>
          <w:szCs w:val="24"/>
        </w:rPr>
        <w:t xml:space="preserve"> </w:t>
      </w:r>
    </w:p>
  </w:footnote>
  <w:footnote w:id="212">
    <w:p w14:paraId="7F68535C" w14:textId="18E12174" w:rsidR="003D0153" w:rsidRPr="006F29F5" w:rsidRDefault="003D0153" w:rsidP="000E35A1">
      <w:pPr>
        <w:pStyle w:val="FootnoteText"/>
        <w:rPr>
          <w:rFonts w:cs="Arial"/>
          <w:color w:val="464646"/>
          <w:lang w:val="en"/>
        </w:rPr>
      </w:pPr>
      <w:r w:rsidRPr="006F29F5">
        <w:rPr>
          <w:rStyle w:val="FootnoteReference"/>
          <w:rFonts w:cs="Times New Roman"/>
          <w:szCs w:val="18"/>
        </w:rPr>
        <w:footnoteRef/>
      </w:r>
      <w:r w:rsidRPr="006F29F5">
        <w:t xml:space="preserve"> </w:t>
      </w:r>
      <w:r w:rsidRPr="006F29F5">
        <w:rPr>
          <w:rStyle w:val="postauthors"/>
          <w:rFonts w:cs="Times New Roman"/>
          <w:szCs w:val="18"/>
          <w:lang w:val="en"/>
        </w:rPr>
        <w:t xml:space="preserve">Jacqueline M Allen, Elizabeth A Khalil &amp; Jesse Tyner Moore, </w:t>
      </w:r>
      <w:r w:rsidRPr="006F29F5">
        <w:rPr>
          <w:rStyle w:val="postauthors"/>
          <w:rFonts w:cs="Times New Roman"/>
          <w:color w:val="464646"/>
          <w:szCs w:val="18"/>
          <w:lang w:val="en"/>
        </w:rPr>
        <w:t>“</w:t>
      </w:r>
      <w:proofErr w:type="spellStart"/>
      <w:r w:rsidRPr="006F29F5">
        <w:rPr>
          <w:lang w:val="en"/>
        </w:rPr>
        <w:t>FinCEN</w:t>
      </w:r>
      <w:proofErr w:type="spellEnd"/>
      <w:r w:rsidRPr="006F29F5">
        <w:rPr>
          <w:lang w:val="en"/>
        </w:rPr>
        <w:t xml:space="preserve"> Releases Long-Awaited Beneficial Ownership Final Rule”, </w:t>
      </w:r>
      <w:proofErr w:type="gramStart"/>
      <w:r w:rsidRPr="006F29F5">
        <w:rPr>
          <w:i/>
          <w:lang w:val="en"/>
        </w:rPr>
        <w:t>Consumer</w:t>
      </w:r>
      <w:proofErr w:type="gramEnd"/>
      <w:r w:rsidRPr="006F29F5">
        <w:rPr>
          <w:i/>
          <w:lang w:val="en"/>
        </w:rPr>
        <w:t xml:space="preserve"> Financial Services Law Blog </w:t>
      </w:r>
      <w:r w:rsidRPr="006F29F5">
        <w:rPr>
          <w:lang w:val="en"/>
        </w:rPr>
        <w:t>(16 May 2016), online: &lt;</w:t>
      </w:r>
      <w:hyperlink r:id="rId68" w:history="1">
        <w:r w:rsidRPr="006F29F5">
          <w:rPr>
            <w:rStyle w:val="Hyperlink"/>
            <w:rFonts w:cs="Times New Roman"/>
            <w:szCs w:val="18"/>
            <w:lang w:val="en"/>
          </w:rPr>
          <w:t>http://www.cfs-lawblog.com/fincen-releases-long-awaited-beneficial-ownership-final-rule_051616</w:t>
        </w:r>
      </w:hyperlink>
      <w:r w:rsidRPr="006F29F5">
        <w:rPr>
          <w:lang w:val="en"/>
        </w:rPr>
        <w:t xml:space="preserve">&gt;. </w:t>
      </w:r>
    </w:p>
  </w:footnote>
  <w:footnote w:id="213">
    <w:p w14:paraId="57B24DC5" w14:textId="77B07EF5" w:rsidR="003D0153" w:rsidRPr="006F29F5" w:rsidRDefault="003D0153" w:rsidP="000E35A1">
      <w:pPr>
        <w:pStyle w:val="FootnoteText"/>
      </w:pPr>
      <w:r w:rsidRPr="006F29F5">
        <w:rPr>
          <w:rStyle w:val="FootnoteReference"/>
          <w:rFonts w:cs="Times New Roman"/>
          <w:szCs w:val="18"/>
        </w:rPr>
        <w:footnoteRef/>
      </w:r>
      <w:r w:rsidRPr="006F29F5">
        <w:t xml:space="preserve"> Transparency International Canada, </w:t>
      </w:r>
      <w:r w:rsidRPr="006F29F5">
        <w:rPr>
          <w:i/>
        </w:rPr>
        <w:t xml:space="preserve">No Reason to Hide: Unmasking the Anonymous Owners of Canadian Companies and Trusts </w:t>
      </w:r>
      <w:r w:rsidRPr="006F29F5">
        <w:t>(TI Canada, 2016) at 6, online: &lt;</w:t>
      </w:r>
      <w:hyperlink r:id="rId69" w:history="1">
        <w:r w:rsidRPr="006F29F5">
          <w:rPr>
            <w:rStyle w:val="Hyperlink"/>
            <w:rFonts w:cs="Times New Roman"/>
            <w:szCs w:val="18"/>
          </w:rPr>
          <w:t>http://www.transparencycanada.ca/wp-content/uploads/2016/08/TIC-BeneficialOwnershipReport-Interactive.pdf</w:t>
        </w:r>
      </w:hyperlink>
      <w:r w:rsidRPr="006F29F5">
        <w:t xml:space="preserve">&gt;. </w:t>
      </w:r>
    </w:p>
  </w:footnote>
  <w:footnote w:id="214">
    <w:p w14:paraId="3646EA60" w14:textId="2388AA1F"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 xml:space="preserve">at 15, citing Sharman et al, “Global Shell Games: Testing Money Launderers’ and Terrorist Financiers’ Access to Shell Companies” (2013). </w:t>
      </w:r>
    </w:p>
  </w:footnote>
  <w:footnote w:id="215">
    <w:p w14:paraId="599A2AC8"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15.</w:t>
      </w:r>
    </w:p>
  </w:footnote>
  <w:footnote w:id="216">
    <w:p w14:paraId="0A68268E" w14:textId="63F6BDF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 xml:space="preserve">at 17. As there is no central registry for corporations in Canada, TIC contacted each provincial and territorial registry, noting the basic data was not readily available to registry employees in most parts of Canada. </w:t>
      </w:r>
    </w:p>
  </w:footnote>
  <w:footnote w:id="217">
    <w:p w14:paraId="589BDEA4"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18.</w:t>
      </w:r>
    </w:p>
  </w:footnote>
  <w:footnote w:id="218">
    <w:p w14:paraId="6EB9173C"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18.</w:t>
      </w:r>
    </w:p>
  </w:footnote>
  <w:footnote w:id="219">
    <w:p w14:paraId="4DBD5AF2" w14:textId="602B3FEE"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 xml:space="preserve">at 24, citing Julian Sher, “Money Laundering Going Largely Unpunished in Canada”, </w:t>
      </w:r>
      <w:r w:rsidRPr="006F29F5">
        <w:rPr>
          <w:rFonts w:cs="Times New Roman"/>
          <w:i/>
          <w:iCs/>
          <w:szCs w:val="18"/>
        </w:rPr>
        <w:t>The Globe and Mail</w:t>
      </w:r>
      <w:r w:rsidRPr="006F29F5">
        <w:rPr>
          <w:rFonts w:cs="Times New Roman"/>
          <w:szCs w:val="18"/>
        </w:rPr>
        <w:t xml:space="preserve"> (27 June 2011).</w:t>
      </w:r>
    </w:p>
  </w:footnote>
  <w:footnote w:id="220">
    <w:p w14:paraId="7456E362"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19.</w:t>
      </w:r>
    </w:p>
  </w:footnote>
  <w:footnote w:id="221">
    <w:p w14:paraId="445E0EE7"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27.</w:t>
      </w:r>
    </w:p>
  </w:footnote>
  <w:footnote w:id="222">
    <w:p w14:paraId="676E87C3"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 xml:space="preserve">at 31. </w:t>
      </w:r>
    </w:p>
  </w:footnote>
  <w:footnote w:id="223">
    <w:p w14:paraId="165B277F" w14:textId="115926C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 xml:space="preserve">at 37. </w:t>
      </w:r>
    </w:p>
  </w:footnote>
  <w:footnote w:id="224">
    <w:p w14:paraId="4206FCF1" w14:textId="129E474B" w:rsidR="003D0153" w:rsidRPr="006F29F5" w:rsidRDefault="003D0153" w:rsidP="000E35A1">
      <w:pPr>
        <w:pStyle w:val="FootnoteText"/>
        <w:rPr>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 xml:space="preserve">at 7. For a full list of recommendations, see </w:t>
      </w:r>
      <w:r w:rsidRPr="006F29F5">
        <w:rPr>
          <w:rFonts w:cs="Times New Roman"/>
          <w:i/>
          <w:szCs w:val="18"/>
        </w:rPr>
        <w:t>ibid</w:t>
      </w:r>
      <w:r w:rsidRPr="006F29F5">
        <w:rPr>
          <w:rFonts w:cs="Times New Roman"/>
          <w:szCs w:val="18"/>
        </w:rPr>
        <w:t xml:space="preserve"> at 38-39.</w:t>
      </w:r>
    </w:p>
  </w:footnote>
  <w:footnote w:id="225">
    <w:p w14:paraId="7C0F238D" w14:textId="21B7D96F" w:rsidR="003D0153" w:rsidRPr="006F29F5" w:rsidRDefault="003D0153" w:rsidP="00263E5A">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color w:val="000000"/>
          <w:szCs w:val="18"/>
        </w:rPr>
        <w:t xml:space="preserve">Transparency International Canada [TI Canada], </w:t>
      </w:r>
      <w:r w:rsidRPr="006F29F5">
        <w:rPr>
          <w:rFonts w:cs="Times New Roman"/>
          <w:i/>
          <w:color w:val="000000"/>
          <w:szCs w:val="18"/>
        </w:rPr>
        <w:t xml:space="preserve">Review of Canada’s Implementation of UNCAC </w:t>
      </w:r>
      <w:r w:rsidRPr="006F29F5">
        <w:rPr>
          <w:rFonts w:cs="Times New Roman"/>
          <w:color w:val="000000"/>
          <w:szCs w:val="18"/>
        </w:rPr>
        <w:t xml:space="preserve">(October 2013) at 14. For a very short summary of the report, see Sabrina </w:t>
      </w:r>
      <w:proofErr w:type="spellStart"/>
      <w:r w:rsidRPr="006F29F5">
        <w:rPr>
          <w:rFonts w:cs="Times New Roman"/>
          <w:color w:val="000000"/>
          <w:szCs w:val="18"/>
        </w:rPr>
        <w:t>Bandali</w:t>
      </w:r>
      <w:proofErr w:type="spellEnd"/>
      <w:r w:rsidRPr="006F29F5">
        <w:rPr>
          <w:rFonts w:cs="Times New Roman"/>
          <w:color w:val="000000"/>
          <w:szCs w:val="18"/>
        </w:rPr>
        <w:t xml:space="preserve">, “Transparency International Canada </w:t>
      </w:r>
      <w:proofErr w:type="spellStart"/>
      <w:r w:rsidRPr="006F29F5">
        <w:rPr>
          <w:rFonts w:cs="Times New Roman"/>
          <w:color w:val="000000"/>
          <w:szCs w:val="18"/>
        </w:rPr>
        <w:t>Inc</w:t>
      </w:r>
      <w:proofErr w:type="spellEnd"/>
      <w:r w:rsidRPr="006F29F5">
        <w:rPr>
          <w:rFonts w:cs="Times New Roman"/>
          <w:color w:val="000000"/>
          <w:szCs w:val="18"/>
        </w:rPr>
        <w:t>, - UNCAC Implementation Review – Civil Society Organization Report” (October 2013), online: &lt;</w:t>
      </w:r>
      <w:hyperlink r:id="rId70" w:history="1">
        <w:r w:rsidR="00C56C6A" w:rsidRPr="00C65330">
          <w:rPr>
            <w:rStyle w:val="Hyperlink"/>
            <w:rFonts w:cs="Times New Roman"/>
            <w:szCs w:val="18"/>
          </w:rPr>
          <w:t>https://www.bennettjones.com/Publications/Articles/Transparency_International_Canada_Inc__-_UNCAC_Implementation_Review_-_Civil_Society_Organization_Report</w:t>
        </w:r>
      </w:hyperlink>
      <w:r w:rsidRPr="006F29F5">
        <w:rPr>
          <w:rFonts w:cs="Times New Roman"/>
          <w:color w:val="000000"/>
          <w:szCs w:val="18"/>
        </w:rPr>
        <w:t xml:space="preserve">&gt;. </w:t>
      </w:r>
    </w:p>
  </w:footnote>
  <w:footnote w:id="226">
    <w:p w14:paraId="67787A2D" w14:textId="6EAD7CBC"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Reference re Securities Act</w:t>
      </w:r>
      <w:r w:rsidRPr="006F29F5">
        <w:rPr>
          <w:szCs w:val="18"/>
        </w:rPr>
        <w:t xml:space="preserve">, </w:t>
      </w:r>
      <w:r w:rsidRPr="006F29F5">
        <w:rPr>
          <w:rFonts w:cs="Times New Roman"/>
          <w:szCs w:val="18"/>
        </w:rPr>
        <w:t>2011 SCC 66.</w:t>
      </w:r>
    </w:p>
  </w:footnote>
  <w:footnote w:id="227">
    <w:p w14:paraId="756904A4" w14:textId="77777777" w:rsidR="003D0153" w:rsidRPr="006F29F5" w:rsidRDefault="003D0153" w:rsidP="00C81165">
      <w:pPr>
        <w:pStyle w:val="FootnoteText"/>
      </w:pPr>
      <w:r w:rsidRPr="006F29F5">
        <w:rPr>
          <w:rStyle w:val="FootnoteReference"/>
        </w:rPr>
        <w:footnoteRef/>
      </w:r>
      <w:r w:rsidRPr="006F29F5">
        <w:t xml:space="preserve"> Online: &lt;</w:t>
      </w:r>
      <w:hyperlink r:id="rId71" w:history="1">
        <w:r w:rsidRPr="006F29F5">
          <w:rPr>
            <w:rStyle w:val="Hyperlink"/>
          </w:rPr>
          <w:t>http://www.pwyp.ca/images/documents/BOT%20Report.pdf</w:t>
        </w:r>
      </w:hyperlink>
      <w:r w:rsidRPr="006F29F5">
        <w:t xml:space="preserve">&gt;. </w:t>
      </w:r>
    </w:p>
  </w:footnote>
  <w:footnote w:id="228">
    <w:p w14:paraId="58E4084E" w14:textId="77777777" w:rsidR="003D0153" w:rsidRPr="006F29F5" w:rsidRDefault="003D0153" w:rsidP="00C81165">
      <w:pPr>
        <w:pStyle w:val="FootnoteText"/>
      </w:pPr>
      <w:r w:rsidRPr="006F29F5">
        <w:rPr>
          <w:rStyle w:val="FootnoteReference"/>
        </w:rPr>
        <w:footnoteRef/>
      </w:r>
      <w:r w:rsidRPr="006F29F5">
        <w:t xml:space="preserve"> </w:t>
      </w:r>
      <w:r w:rsidRPr="006F29F5">
        <w:rPr>
          <w:i/>
        </w:rPr>
        <w:t xml:space="preserve">Ibid </w:t>
      </w:r>
      <w:r w:rsidRPr="006F29F5">
        <w:t>at 4-5.</w:t>
      </w:r>
    </w:p>
  </w:footnote>
  <w:footnote w:id="229">
    <w:p w14:paraId="3F1F7493" w14:textId="77777777" w:rsidR="003D0153" w:rsidRPr="006F29F5" w:rsidRDefault="003D0153" w:rsidP="00C81165">
      <w:pPr>
        <w:pStyle w:val="FootnoteText"/>
      </w:pPr>
      <w:r w:rsidRPr="006F29F5">
        <w:rPr>
          <w:rStyle w:val="FootnoteReference"/>
        </w:rPr>
        <w:footnoteRef/>
      </w:r>
      <w:r w:rsidRPr="006F29F5">
        <w:t xml:space="preserve"> </w:t>
      </w:r>
      <w:r w:rsidRPr="006F29F5">
        <w:rPr>
          <w:i/>
        </w:rPr>
        <w:t xml:space="preserve">Ibid </w:t>
      </w:r>
      <w:r w:rsidRPr="006F29F5">
        <w:t>at 40.</w:t>
      </w:r>
    </w:p>
  </w:footnote>
  <w:footnote w:id="230">
    <w:p w14:paraId="67D47EEC" w14:textId="3D72BBDA" w:rsidR="003D0153" w:rsidRPr="006F29F5" w:rsidRDefault="003D0153" w:rsidP="000E35A1">
      <w:pPr>
        <w:pStyle w:val="FootnoteText"/>
      </w:pPr>
      <w:r w:rsidRPr="006F29F5">
        <w:rPr>
          <w:rStyle w:val="FootnoteReference"/>
          <w:szCs w:val="18"/>
        </w:rPr>
        <w:footnoteRef/>
      </w:r>
      <w:r w:rsidRPr="006F29F5">
        <w:rPr>
          <w:szCs w:val="18"/>
        </w:rPr>
        <w:t xml:space="preserve"> Robert J Currie &amp; </w:t>
      </w:r>
      <w:proofErr w:type="spellStart"/>
      <w:r w:rsidRPr="006F29F5">
        <w:rPr>
          <w:szCs w:val="18"/>
        </w:rPr>
        <w:t>Dr</w:t>
      </w:r>
      <w:proofErr w:type="spellEnd"/>
      <w:r w:rsidRPr="006F29F5">
        <w:rPr>
          <w:szCs w:val="18"/>
        </w:rPr>
        <w:t xml:space="preserve"> Joseph </w:t>
      </w:r>
      <w:proofErr w:type="spellStart"/>
      <w:r w:rsidRPr="006F29F5">
        <w:rPr>
          <w:szCs w:val="18"/>
        </w:rPr>
        <w:t>Rikhof</w:t>
      </w:r>
      <w:proofErr w:type="spellEnd"/>
      <w:r w:rsidRPr="006F29F5">
        <w:rPr>
          <w:szCs w:val="18"/>
        </w:rPr>
        <w:t xml:space="preserve">, </w:t>
      </w:r>
      <w:r w:rsidRPr="006F29F5">
        <w:rPr>
          <w:i/>
          <w:szCs w:val="18"/>
        </w:rPr>
        <w:t xml:space="preserve">International &amp; Transnational Criminal Law, </w:t>
      </w:r>
      <w:r w:rsidRPr="006F29F5">
        <w:rPr>
          <w:szCs w:val="18"/>
        </w:rPr>
        <w:t>2</w:t>
      </w:r>
      <w:r w:rsidRPr="006F29F5">
        <w:rPr>
          <w:szCs w:val="18"/>
          <w:vertAlign w:val="superscript"/>
        </w:rPr>
        <w:t>nd</w:t>
      </w:r>
      <w:r w:rsidRPr="006F29F5">
        <w:rPr>
          <w:szCs w:val="18"/>
        </w:rPr>
        <w:t xml:space="preserve"> </w:t>
      </w:r>
      <w:proofErr w:type="spellStart"/>
      <w:proofErr w:type="gramStart"/>
      <w:r w:rsidRPr="006F29F5">
        <w:rPr>
          <w:szCs w:val="18"/>
        </w:rPr>
        <w:t>ed</w:t>
      </w:r>
      <w:proofErr w:type="spellEnd"/>
      <w:proofErr w:type="gramEnd"/>
      <w:r w:rsidRPr="006F29F5">
        <w:rPr>
          <w:szCs w:val="18"/>
        </w:rPr>
        <w:t xml:space="preserve"> (Irwin Law, 2013) at 367.</w:t>
      </w:r>
    </w:p>
  </w:footnote>
  <w:footnote w:id="231">
    <w:p w14:paraId="66807BC5" w14:textId="4E00C957" w:rsidR="003D0153" w:rsidRPr="006F29F5" w:rsidRDefault="003D0153" w:rsidP="000E35A1">
      <w:pPr>
        <w:pStyle w:val="FootnoteText"/>
        <w:rPr>
          <w:lang w:val="en-US"/>
        </w:rPr>
      </w:pPr>
      <w:r w:rsidRPr="006F29F5">
        <w:rPr>
          <w:rStyle w:val="FootnoteReference"/>
        </w:rPr>
        <w:footnoteRef/>
      </w:r>
      <w:r w:rsidRPr="006F29F5">
        <w:t xml:space="preserve"> </w:t>
      </w:r>
      <w:r w:rsidRPr="006F29F5">
        <w:rPr>
          <w:rFonts w:cs="Times New Roman"/>
          <w:szCs w:val="18"/>
        </w:rPr>
        <w:t xml:space="preserve">For further discussion of challenges faced by developing countries, see Jesse </w:t>
      </w:r>
      <w:proofErr w:type="spellStart"/>
      <w:r w:rsidRPr="006F29F5">
        <w:rPr>
          <w:rFonts w:cs="Times New Roman"/>
          <w:szCs w:val="18"/>
        </w:rPr>
        <w:t>Mwangi</w:t>
      </w:r>
      <w:proofErr w:type="spellEnd"/>
      <w:r w:rsidRPr="006F29F5">
        <w:rPr>
          <w:rFonts w:cs="Times New Roman"/>
          <w:szCs w:val="18"/>
        </w:rPr>
        <w:t xml:space="preserve"> </w:t>
      </w:r>
      <w:proofErr w:type="spellStart"/>
      <w:r w:rsidRPr="006F29F5">
        <w:rPr>
          <w:rFonts w:cs="Times New Roman"/>
          <w:szCs w:val="18"/>
        </w:rPr>
        <w:t>Wacanga</w:t>
      </w:r>
      <w:proofErr w:type="spellEnd"/>
      <w:r w:rsidRPr="006F29F5">
        <w:rPr>
          <w:rFonts w:cs="Times New Roman"/>
          <w:szCs w:val="18"/>
        </w:rPr>
        <w:t xml:space="preserve">, “Hurdles in Asset Recovery and Fighting Corruption in Developing Countries: The Kenya Experience” in </w:t>
      </w:r>
      <w:proofErr w:type="spellStart"/>
      <w:r w:rsidRPr="006F29F5">
        <w:rPr>
          <w:rFonts w:cs="Times New Roman"/>
          <w:szCs w:val="18"/>
        </w:rPr>
        <w:t>Gretta</w:t>
      </w:r>
      <w:proofErr w:type="spellEnd"/>
      <w:r w:rsidRPr="006F29F5">
        <w:rPr>
          <w:rFonts w:cs="Times New Roman"/>
          <w:szCs w:val="18"/>
        </w:rPr>
        <w:t xml:space="preserve"> </w:t>
      </w:r>
      <w:proofErr w:type="spellStart"/>
      <w:r w:rsidRPr="006F29F5">
        <w:rPr>
          <w:rFonts w:cs="Times New Roman"/>
          <w:szCs w:val="18"/>
        </w:rPr>
        <w:t>Fenner</w:t>
      </w:r>
      <w:proofErr w:type="spellEnd"/>
      <w:r w:rsidRPr="006F29F5">
        <w:rPr>
          <w:rFonts w:cs="Times New Roman"/>
          <w:szCs w:val="18"/>
        </w:rPr>
        <w:t xml:space="preserve"> </w:t>
      </w:r>
      <w:proofErr w:type="spellStart"/>
      <w:r w:rsidRPr="006F29F5">
        <w:rPr>
          <w:rFonts w:cs="Times New Roman"/>
          <w:szCs w:val="18"/>
        </w:rPr>
        <w:t>Zinkernagel</w:t>
      </w:r>
      <w:proofErr w:type="spellEnd"/>
      <w:r w:rsidRPr="006F29F5">
        <w:rPr>
          <w:rFonts w:cs="Times New Roman"/>
          <w:szCs w:val="18"/>
        </w:rPr>
        <w:t xml:space="preserve">, Charles </w:t>
      </w:r>
      <w:proofErr w:type="spellStart"/>
      <w:r w:rsidRPr="006F29F5">
        <w:rPr>
          <w:rFonts w:cs="Times New Roman"/>
          <w:szCs w:val="18"/>
        </w:rPr>
        <w:t>Monteith</w:t>
      </w:r>
      <w:proofErr w:type="spellEnd"/>
      <w:r w:rsidRPr="006F29F5">
        <w:rPr>
          <w:rFonts w:cs="Times New Roman"/>
          <w:szCs w:val="18"/>
        </w:rPr>
        <w:t xml:space="preserve"> &amp; Pedro Gomes Pereira, </w:t>
      </w:r>
      <w:proofErr w:type="spellStart"/>
      <w:r w:rsidRPr="006F29F5">
        <w:rPr>
          <w:rFonts w:cs="Times New Roman"/>
          <w:szCs w:val="18"/>
        </w:rPr>
        <w:t>eds</w:t>
      </w:r>
      <w:proofErr w:type="spellEnd"/>
      <w:r w:rsidRPr="006F29F5">
        <w:rPr>
          <w:rFonts w:cs="Times New Roman"/>
          <w:szCs w:val="18"/>
        </w:rPr>
        <w:t xml:space="preserve">, </w:t>
      </w:r>
      <w:r w:rsidRPr="006F29F5">
        <w:rPr>
          <w:rFonts w:cs="Times New Roman"/>
          <w:i/>
          <w:szCs w:val="18"/>
        </w:rPr>
        <w:t>Emerging Trends in Asset Recovery</w:t>
      </w:r>
      <w:r w:rsidRPr="006F29F5">
        <w:rPr>
          <w:rFonts w:cs="Times New Roman"/>
          <w:szCs w:val="18"/>
        </w:rPr>
        <w:t xml:space="preserve"> (International Academic Publishers, 2013) 147.</w:t>
      </w:r>
    </w:p>
  </w:footnote>
  <w:footnote w:id="232">
    <w:p w14:paraId="5E1622E3" w14:textId="447CAD6A" w:rsidR="003D0153" w:rsidRPr="006F29F5" w:rsidRDefault="003D0153" w:rsidP="000E35A1">
      <w:pPr>
        <w:pStyle w:val="FootnoteText"/>
      </w:pPr>
      <w:r w:rsidRPr="006F29F5">
        <w:rPr>
          <w:rStyle w:val="FootnoteReference"/>
        </w:rPr>
        <w:footnoteRef/>
      </w:r>
      <w:r w:rsidRPr="006F29F5">
        <w:t xml:space="preserve"> Silvio Antonio Marques, “Political Immunities: Obstacles in the Fight against Corruption” in </w:t>
      </w:r>
      <w:proofErr w:type="spellStart"/>
      <w:r w:rsidRPr="006F29F5">
        <w:t>Zinkernagel</w:t>
      </w:r>
      <w:proofErr w:type="spellEnd"/>
      <w:r w:rsidRPr="006F29F5">
        <w:t xml:space="preserve">, </w:t>
      </w:r>
      <w:proofErr w:type="spellStart"/>
      <w:r w:rsidRPr="006F29F5">
        <w:t>Monteith</w:t>
      </w:r>
      <w:proofErr w:type="spellEnd"/>
      <w:r w:rsidRPr="006F29F5">
        <w:t xml:space="preserve"> &amp; Pereira, </w:t>
      </w:r>
      <w:proofErr w:type="spellStart"/>
      <w:proofErr w:type="gramStart"/>
      <w:r w:rsidRPr="006F29F5">
        <w:t>eds</w:t>
      </w:r>
      <w:proofErr w:type="spellEnd"/>
      <w:proofErr w:type="gramEnd"/>
      <w:r w:rsidRPr="006F29F5">
        <w:t xml:space="preserve"> (2013) 93.</w:t>
      </w:r>
    </w:p>
  </w:footnote>
  <w:footnote w:id="233">
    <w:p w14:paraId="124541AC" w14:textId="7A7B5389" w:rsidR="003D0153" w:rsidRPr="006F29F5" w:rsidRDefault="003D0153" w:rsidP="000E35A1">
      <w:pPr>
        <w:pStyle w:val="FootnoteText"/>
      </w:pPr>
      <w:r w:rsidRPr="006F29F5">
        <w:rPr>
          <w:rStyle w:val="FootnoteReference"/>
        </w:rPr>
        <w:footnoteRef/>
      </w:r>
      <w:r w:rsidRPr="006F29F5">
        <w:t xml:space="preserve"> Mark V Vlasic, “Fighting Corruption to Improve Global Security: An Analysis of International Asset Recovery Systems” (2010) 5:2 Yale J Intl Affairs 106</w:t>
      </w:r>
      <w:r w:rsidRPr="006F29F5">
        <w:rPr>
          <w:i/>
        </w:rPr>
        <w:t xml:space="preserve"> </w:t>
      </w:r>
      <w:r w:rsidRPr="006F29F5">
        <w:t xml:space="preserve">at 112. </w:t>
      </w:r>
    </w:p>
  </w:footnote>
  <w:footnote w:id="234">
    <w:p w14:paraId="05F529D9" w14:textId="5151E452" w:rsidR="003D0153" w:rsidRPr="006F29F5" w:rsidRDefault="003D0153" w:rsidP="000E35A1">
      <w:pPr>
        <w:pStyle w:val="FootnoteText"/>
      </w:pPr>
      <w:r w:rsidRPr="006F29F5">
        <w:rPr>
          <w:rStyle w:val="FootnoteReference"/>
        </w:rPr>
        <w:footnoteRef/>
      </w:r>
      <w:r w:rsidRPr="006F29F5">
        <w:t xml:space="preserve"> Stephen </w:t>
      </w:r>
      <w:proofErr w:type="spellStart"/>
      <w:r w:rsidRPr="006F29F5">
        <w:t>Kingah</w:t>
      </w:r>
      <w:proofErr w:type="spellEnd"/>
      <w:r w:rsidRPr="006F29F5">
        <w:t>, “Effectiveness of International and Regional Measures in Recovering Assets Stolen from Poor Countries” (2011) 13 U Botswana LJ</w:t>
      </w:r>
      <w:r w:rsidRPr="006F29F5">
        <w:rPr>
          <w:i/>
        </w:rPr>
        <w:t xml:space="preserve"> </w:t>
      </w:r>
      <w:r w:rsidRPr="006F29F5">
        <w:t xml:space="preserve">3. </w:t>
      </w:r>
    </w:p>
  </w:footnote>
  <w:footnote w:id="235">
    <w:p w14:paraId="29530C73" w14:textId="2438F996"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Stephenson et al (2011) at 94–95.</w:t>
      </w:r>
    </w:p>
  </w:footnote>
  <w:footnote w:id="236">
    <w:p w14:paraId="7DD53446" w14:textId="45C0A203"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Ibid</w:t>
      </w:r>
      <w:r w:rsidRPr="006F29F5">
        <w:rPr>
          <w:szCs w:val="18"/>
        </w:rPr>
        <w:t xml:space="preserve"> at 77–78.</w:t>
      </w:r>
    </w:p>
  </w:footnote>
  <w:footnote w:id="237">
    <w:p w14:paraId="7B5F9494" w14:textId="0A14304C"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i/>
          <w:szCs w:val="18"/>
        </w:rPr>
        <w:t>Ibid</w:t>
      </w:r>
      <w:r w:rsidRPr="006F29F5">
        <w:rPr>
          <w:szCs w:val="18"/>
        </w:rPr>
        <w:t xml:space="preserve"> at 33–34.</w:t>
      </w:r>
    </w:p>
  </w:footnote>
  <w:footnote w:id="238">
    <w:p w14:paraId="008B5599" w14:textId="0C8A9997"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Settlements include “any procedure short of a full trial,” such as plea agreements, deferred prosecution agreements and non-prosecution agreements: </w:t>
      </w:r>
      <w:proofErr w:type="spellStart"/>
      <w:r w:rsidRPr="006F29F5">
        <w:rPr>
          <w:szCs w:val="18"/>
        </w:rPr>
        <w:t>Oduor</w:t>
      </w:r>
      <w:proofErr w:type="spellEnd"/>
      <w:r w:rsidRPr="006F29F5">
        <w:rPr>
          <w:szCs w:val="18"/>
        </w:rPr>
        <w:t xml:space="preserve"> et al, (2014) at 1.</w:t>
      </w:r>
    </w:p>
  </w:footnote>
  <w:footnote w:id="239">
    <w:p w14:paraId="649AE383" w14:textId="7177AE3A"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spacing w:val="-1"/>
          <w:szCs w:val="18"/>
        </w:rPr>
        <w:t xml:space="preserve">“Settlements and Other Alternative Mechanisms in Transnational Bribery Cases and their Implications for the Recovery and Return of Stolen Assets”, Conference of the States Parties to the UNCAC, </w:t>
      </w:r>
      <w:r w:rsidRPr="006F29F5">
        <w:rPr>
          <w:rFonts w:eastAsia="Times New Roman" w:cs="Times New Roman"/>
          <w:spacing w:val="-1"/>
          <w:szCs w:val="18"/>
        </w:rPr>
        <w:t xml:space="preserve">CAC/COSP/WG.2/2016/2 </w:t>
      </w:r>
      <w:r w:rsidRPr="006F29F5">
        <w:rPr>
          <w:rFonts w:cs="Times New Roman"/>
          <w:spacing w:val="-1"/>
          <w:szCs w:val="18"/>
        </w:rPr>
        <w:t>(18 July 2016)</w:t>
      </w:r>
      <w:r w:rsidRPr="006F29F5">
        <w:rPr>
          <w:rFonts w:eastAsia="Times New Roman" w:cs="Times New Roman"/>
          <w:spacing w:val="-1"/>
          <w:szCs w:val="18"/>
        </w:rPr>
        <w:t xml:space="preserve"> </w:t>
      </w:r>
      <w:r w:rsidRPr="006F29F5">
        <w:rPr>
          <w:rFonts w:cs="Times New Roman"/>
          <w:spacing w:val="-1"/>
          <w:szCs w:val="18"/>
        </w:rPr>
        <w:t>at paras 21, 33, online: &lt;</w:t>
      </w:r>
      <w:hyperlink r:id="rId72" w:history="1">
        <w:r w:rsidR="00ED633A" w:rsidRPr="00C65330">
          <w:rPr>
            <w:rStyle w:val="Hyperlink"/>
            <w:rFonts w:cs="Times New Roman"/>
            <w:spacing w:val="-1"/>
            <w:szCs w:val="18"/>
          </w:rPr>
          <w:t>https://www.unodc.org/documents/treaties/UNCAC/WorkingGroups/workinggroup2/2016-August-25-26/V1604599e.pdf</w:t>
        </w:r>
      </w:hyperlink>
      <w:r w:rsidRPr="006F29F5">
        <w:rPr>
          <w:rFonts w:cs="Times New Roman"/>
          <w:spacing w:val="-1"/>
          <w:szCs w:val="18"/>
        </w:rPr>
        <w:t>&gt;.</w:t>
      </w:r>
      <w:r w:rsidRPr="006F29F5">
        <w:rPr>
          <w:rFonts w:cs="Times New Roman"/>
          <w:szCs w:val="18"/>
        </w:rPr>
        <w:t xml:space="preserve"> </w:t>
      </w:r>
    </w:p>
  </w:footnote>
  <w:footnote w:id="240">
    <w:p w14:paraId="2516F308" w14:textId="1D50ADD5"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Serious Fraud Office, “SFO Agrees First UK DPA with Standard Bank” (30 November 2015), online: &lt;</w:t>
      </w:r>
      <w:hyperlink r:id="rId73" w:history="1">
        <w:r w:rsidRPr="006F29F5">
          <w:rPr>
            <w:rStyle w:val="Hyperlink"/>
            <w:rFonts w:cs="Times New Roman"/>
            <w:szCs w:val="18"/>
          </w:rPr>
          <w:t>https://www.sfo.gov.uk/2015/11/30/sfo-agrees-first-uk-dpa-with-standard-bank/</w:t>
        </w:r>
      </w:hyperlink>
      <w:r w:rsidRPr="006F29F5">
        <w:rPr>
          <w:rFonts w:cs="Times New Roman"/>
          <w:szCs w:val="18"/>
        </w:rPr>
        <w:t>&gt;.</w:t>
      </w:r>
    </w:p>
  </w:footnote>
  <w:footnote w:id="241">
    <w:p w14:paraId="7C763698" w14:textId="0BF652F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spacing w:val="-2"/>
          <w:szCs w:val="18"/>
        </w:rPr>
        <w:t xml:space="preserve">“Settlements and Other Alternative Mechanisms in Transnational Bribery Cases and their Implications for the Recovery and Return of Stolen Assets”, Conference of the States Parties to the UNCAC, </w:t>
      </w:r>
      <w:r w:rsidRPr="006F29F5">
        <w:rPr>
          <w:rFonts w:eastAsia="Times New Roman" w:cs="Times New Roman"/>
          <w:spacing w:val="-2"/>
          <w:szCs w:val="18"/>
        </w:rPr>
        <w:t xml:space="preserve">CAC/COSP/WG.2/2016/2 </w:t>
      </w:r>
      <w:r w:rsidRPr="006F29F5">
        <w:rPr>
          <w:rFonts w:cs="Times New Roman"/>
          <w:spacing w:val="-2"/>
          <w:szCs w:val="18"/>
        </w:rPr>
        <w:t>(18 July 2016)</w:t>
      </w:r>
      <w:r w:rsidRPr="006F29F5">
        <w:rPr>
          <w:rFonts w:eastAsia="Times New Roman" w:cs="Times New Roman"/>
          <w:spacing w:val="-2"/>
          <w:szCs w:val="18"/>
        </w:rPr>
        <w:t xml:space="preserve"> </w:t>
      </w:r>
      <w:r w:rsidRPr="006F29F5">
        <w:rPr>
          <w:rFonts w:cs="Times New Roman"/>
          <w:spacing w:val="-2"/>
          <w:szCs w:val="18"/>
        </w:rPr>
        <w:t>at para 34, online: &lt;</w:t>
      </w:r>
      <w:hyperlink r:id="rId74" w:history="1">
        <w:r w:rsidRPr="006F29F5">
          <w:rPr>
            <w:rStyle w:val="Hyperlink"/>
            <w:rFonts w:cs="Times New Roman"/>
            <w:spacing w:val="-2"/>
            <w:szCs w:val="18"/>
          </w:rPr>
          <w:t>https://www.unodc.org/documents/treaties/UNCAC/WorkingGroups/workinggroup2/2016-August-25-26/V1604599e.pdf</w:t>
        </w:r>
      </w:hyperlink>
      <w:r w:rsidRPr="006F29F5">
        <w:rPr>
          <w:rFonts w:cs="Times New Roman"/>
          <w:spacing w:val="-2"/>
          <w:szCs w:val="18"/>
        </w:rPr>
        <w:t>&gt;.</w:t>
      </w:r>
    </w:p>
  </w:footnote>
  <w:footnote w:id="242">
    <w:p w14:paraId="5E196A5D" w14:textId="7F3AA58D" w:rsidR="003D0153" w:rsidRPr="006F29F5" w:rsidRDefault="003D0153" w:rsidP="000E35A1">
      <w:pPr>
        <w:pStyle w:val="FootnoteText"/>
        <w:rPr>
          <w:rFonts w:cs="Times New Roman"/>
        </w:rPr>
      </w:pPr>
      <w:r w:rsidRPr="006F29F5">
        <w:rPr>
          <w:rStyle w:val="FootnoteReference"/>
          <w:rFonts w:cs="Times New Roman"/>
          <w:szCs w:val="18"/>
        </w:rPr>
        <w:footnoteRef/>
      </w:r>
      <w:r w:rsidRPr="006F29F5">
        <w:rPr>
          <w:rFonts w:cs="Times New Roman"/>
          <w:szCs w:val="18"/>
        </w:rPr>
        <w:t xml:space="preserve"> Office of the Attorney General of Switzerland, “Petrobras Affair: Further USD 70 Million of Frozen Assets to be Unblocked and Returned to Brazil” (17 March 2016), online: &lt;</w:t>
      </w:r>
      <w:hyperlink r:id="rId75" w:history="1">
        <w:r w:rsidRPr="006F29F5">
          <w:rPr>
            <w:rStyle w:val="Hyperlink"/>
            <w:rFonts w:cs="Times New Roman"/>
            <w:szCs w:val="18"/>
          </w:rPr>
          <w:t>https://www.admin.ch/gov/en/start/dokumentation/medienmitteilungen.msg-id-61034.html</w:t>
        </w:r>
      </w:hyperlink>
      <w:r w:rsidRPr="006F29F5">
        <w:rPr>
          <w:rFonts w:cs="Times New Roman"/>
          <w:szCs w:val="18"/>
        </w:rPr>
        <w:t>&gt;.</w:t>
      </w:r>
    </w:p>
  </w:footnote>
  <w:footnote w:id="243">
    <w:p w14:paraId="5540D75A" w14:textId="3AAE3C33"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If a third party can show direct and proximate damage resulting from a crime, prosecutors in common law countries will act on their behalf. For example, in the Oil-for-Food bribery scandal in Iraq, the company Vitol SA was ordered to pay $13 million to the Iraqi people after pleading guilty (</w:t>
      </w:r>
      <w:r w:rsidRPr="006F29F5">
        <w:rPr>
          <w:i/>
          <w:szCs w:val="18"/>
        </w:rPr>
        <w:t xml:space="preserve">ibid </w:t>
      </w:r>
      <w:r w:rsidRPr="006F29F5">
        <w:rPr>
          <w:szCs w:val="18"/>
        </w:rPr>
        <w:t xml:space="preserve">at 93). </w:t>
      </w:r>
    </w:p>
  </w:footnote>
  <w:footnote w:id="244">
    <w:p w14:paraId="09BD0886" w14:textId="51741D39"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Julio </w:t>
      </w:r>
      <w:proofErr w:type="spellStart"/>
      <w:r w:rsidRPr="006F29F5">
        <w:rPr>
          <w:szCs w:val="18"/>
        </w:rPr>
        <w:t>Bacio-Terracino</w:t>
      </w:r>
      <w:proofErr w:type="spellEnd"/>
      <w:r w:rsidRPr="006F29F5">
        <w:rPr>
          <w:szCs w:val="18"/>
        </w:rPr>
        <w:t>, “Lurking Corruption and Human Rights” (2010) 104 American Society of Intl Law Proceedings 245.</w:t>
      </w:r>
    </w:p>
  </w:footnote>
  <w:footnote w:id="245">
    <w:p w14:paraId="55F60D45" w14:textId="7516D840"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Gray et al (2014) at 2.</w:t>
      </w:r>
    </w:p>
  </w:footnote>
  <w:footnote w:id="246">
    <w:p w14:paraId="5D36594A" w14:textId="5AA611C0" w:rsidR="003D0153" w:rsidRPr="006F29F5" w:rsidRDefault="003D0153" w:rsidP="000E35A1">
      <w:pPr>
        <w:pStyle w:val="FootnoteText"/>
        <w:rPr>
          <w:i/>
          <w:szCs w:val="18"/>
        </w:rPr>
      </w:pPr>
      <w:r w:rsidRPr="006F29F5">
        <w:rPr>
          <w:rStyle w:val="FootnoteReference"/>
          <w:szCs w:val="18"/>
        </w:rPr>
        <w:footnoteRef/>
      </w:r>
      <w:r w:rsidRPr="006F29F5">
        <w:rPr>
          <w:szCs w:val="18"/>
        </w:rPr>
        <w:t xml:space="preserve"> </w:t>
      </w:r>
      <w:r w:rsidRPr="006F29F5">
        <w:rPr>
          <w:i/>
          <w:szCs w:val="18"/>
        </w:rPr>
        <w:t>Ibid.</w:t>
      </w:r>
    </w:p>
  </w:footnote>
  <w:footnote w:id="247">
    <w:p w14:paraId="04D20719" w14:textId="25646FE2"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Currie &amp; </w:t>
      </w:r>
      <w:proofErr w:type="spellStart"/>
      <w:r w:rsidRPr="006F29F5">
        <w:rPr>
          <w:szCs w:val="18"/>
        </w:rPr>
        <w:t>Rikhof</w:t>
      </w:r>
      <w:proofErr w:type="spellEnd"/>
      <w:r w:rsidRPr="006F29F5">
        <w:rPr>
          <w:szCs w:val="18"/>
        </w:rPr>
        <w:t>,</w:t>
      </w:r>
      <w:r w:rsidRPr="006F29F5">
        <w:rPr>
          <w:i/>
          <w:szCs w:val="18"/>
        </w:rPr>
        <w:t xml:space="preserve"> </w:t>
      </w:r>
      <w:r w:rsidRPr="006F29F5">
        <w:rPr>
          <w:szCs w:val="18"/>
        </w:rPr>
        <w:t>(2013) at 367.</w:t>
      </w:r>
    </w:p>
  </w:footnote>
  <w:footnote w:id="248">
    <w:p w14:paraId="33FCBB2C" w14:textId="63D99F74"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L </w:t>
      </w:r>
      <w:proofErr w:type="spellStart"/>
      <w:r w:rsidRPr="006F29F5">
        <w:rPr>
          <w:szCs w:val="18"/>
        </w:rPr>
        <w:t>Muzila</w:t>
      </w:r>
      <w:proofErr w:type="spellEnd"/>
      <w:r w:rsidRPr="006F29F5">
        <w:rPr>
          <w:szCs w:val="18"/>
        </w:rPr>
        <w:t xml:space="preserve"> et al, “Illicit Enrichment: An Emerging Tool in the Asset Recovery Process” in </w:t>
      </w:r>
      <w:proofErr w:type="spellStart"/>
      <w:r w:rsidRPr="006F29F5">
        <w:t>Zinkernagel</w:t>
      </w:r>
      <w:proofErr w:type="spellEnd"/>
      <w:r w:rsidRPr="006F29F5">
        <w:t xml:space="preserve">, </w:t>
      </w:r>
      <w:proofErr w:type="spellStart"/>
      <w:r w:rsidRPr="006F29F5">
        <w:t>Monteith</w:t>
      </w:r>
      <w:proofErr w:type="spellEnd"/>
      <w:r w:rsidRPr="006F29F5">
        <w:t xml:space="preserve"> &amp; Pereira, </w:t>
      </w:r>
      <w:proofErr w:type="spellStart"/>
      <w:proofErr w:type="gramStart"/>
      <w:r w:rsidRPr="006F29F5">
        <w:t>eds</w:t>
      </w:r>
      <w:proofErr w:type="spellEnd"/>
      <w:proofErr w:type="gramEnd"/>
      <w:r w:rsidRPr="006F29F5">
        <w:t xml:space="preserve"> (2013)</w:t>
      </w:r>
      <w:r w:rsidRPr="006F29F5">
        <w:rPr>
          <w:szCs w:val="18"/>
        </w:rPr>
        <w:t xml:space="preserve"> 245.</w:t>
      </w:r>
    </w:p>
  </w:footnote>
  <w:footnote w:id="249">
    <w:p w14:paraId="7682DC08" w14:textId="5531292A" w:rsidR="003D0153" w:rsidRPr="006F29F5" w:rsidRDefault="003D0153">
      <w:pPr>
        <w:pStyle w:val="FootnoteText"/>
      </w:pPr>
      <w:r w:rsidRPr="006F29F5">
        <w:rPr>
          <w:rStyle w:val="FootnoteReference"/>
        </w:rPr>
        <w:footnoteRef/>
      </w:r>
      <w:r w:rsidRPr="006F29F5">
        <w:t xml:space="preserve"> Bill 75, </w:t>
      </w:r>
      <w:r w:rsidRPr="006F29F5">
        <w:rPr>
          <w:i/>
        </w:rPr>
        <w:t>Criminal Finances Bill</w:t>
      </w:r>
      <w:r w:rsidRPr="006F29F5">
        <w:t xml:space="preserve">, 2016-2017 </w:t>
      </w:r>
      <w:proofErr w:type="spellStart"/>
      <w:r w:rsidRPr="006F29F5">
        <w:t>sess</w:t>
      </w:r>
      <w:proofErr w:type="spellEnd"/>
      <w:r w:rsidRPr="006F29F5">
        <w:t>, 2016.</w:t>
      </w:r>
    </w:p>
  </w:footnote>
  <w:footnote w:id="250">
    <w:p w14:paraId="6432F2EB" w14:textId="7D2D19DD" w:rsidR="003D0153" w:rsidRPr="006F29F5" w:rsidRDefault="003D0153">
      <w:pPr>
        <w:pStyle w:val="FootnoteText"/>
      </w:pPr>
      <w:r w:rsidRPr="006F29F5">
        <w:rPr>
          <w:rStyle w:val="FootnoteReference"/>
        </w:rPr>
        <w:footnoteRef/>
      </w:r>
      <w:r w:rsidRPr="006F29F5">
        <w:t xml:space="preserve"> </w:t>
      </w:r>
      <w:proofErr w:type="spellStart"/>
      <w:r w:rsidRPr="006F29F5">
        <w:t>Koren</w:t>
      </w:r>
      <w:proofErr w:type="spellEnd"/>
      <w:r w:rsidRPr="006F29F5">
        <w:t xml:space="preserve"> (2013).</w:t>
      </w:r>
    </w:p>
  </w:footnote>
  <w:footnote w:id="251">
    <w:p w14:paraId="0E9381F6" w14:textId="61C5961A" w:rsidR="003D0153" w:rsidRPr="006F29F5" w:rsidRDefault="003D0153">
      <w:pPr>
        <w:pStyle w:val="FootnoteText"/>
      </w:pPr>
      <w:r w:rsidRPr="006F29F5">
        <w:rPr>
          <w:rStyle w:val="FootnoteReference"/>
        </w:rPr>
        <w:footnoteRef/>
      </w:r>
      <w:r w:rsidRPr="006F29F5">
        <w:t xml:space="preserve"> </w:t>
      </w:r>
      <w:r w:rsidRPr="006F29F5">
        <w:rPr>
          <w:i/>
        </w:rPr>
        <w:t>Criminal Finances Act 2017</w:t>
      </w:r>
      <w:r w:rsidRPr="006F29F5">
        <w:t xml:space="preserve"> (UK), c 22, online: &lt;</w:t>
      </w:r>
      <w:hyperlink r:id="rId76" w:history="1">
        <w:r w:rsidRPr="006F29F5">
          <w:rPr>
            <w:rStyle w:val="Hyperlink"/>
          </w:rPr>
          <w:t>https://services.parliament.uk/bills/2016-17/criminalfinances.html</w:t>
        </w:r>
      </w:hyperlink>
      <w:r w:rsidRPr="006F29F5">
        <w:t>&gt;.</w:t>
      </w:r>
    </w:p>
  </w:footnote>
  <w:footnote w:id="252">
    <w:p w14:paraId="3BB1565C" w14:textId="62709CD6" w:rsidR="003D0153" w:rsidRPr="006F29F5" w:rsidRDefault="003D0153">
      <w:pPr>
        <w:pStyle w:val="FootnoteText"/>
      </w:pPr>
      <w:r w:rsidRPr="006F29F5">
        <w:rPr>
          <w:rStyle w:val="FootnoteReference"/>
        </w:rPr>
        <w:footnoteRef/>
      </w:r>
      <w:r w:rsidRPr="006F29F5">
        <w:t xml:space="preserve"> UK, House of Commons Library, “Criminal Finances Bill” (Briefing Paper No 07739) by Joanna Dawson et al</w:t>
      </w:r>
      <w:r w:rsidRPr="006F29F5">
        <w:cr/>
        <w:t>(London: House of Commons Library, 2016) at 4, online: &lt;</w:t>
      </w:r>
      <w:hyperlink r:id="rId77" w:history="1">
        <w:r w:rsidRPr="006F29F5">
          <w:rPr>
            <w:rStyle w:val="Hyperlink"/>
          </w:rPr>
          <w:t>http://researchbriefings.parliament.uk/ResearchBriefing/Summary/CBP-7739</w:t>
        </w:r>
      </w:hyperlink>
      <w:r w:rsidRPr="006F29F5">
        <w:t>&gt;.</w:t>
      </w:r>
    </w:p>
  </w:footnote>
  <w:footnote w:id="253">
    <w:p w14:paraId="3BFFB04C" w14:textId="22C9474D" w:rsidR="003D0153" w:rsidRPr="006F29F5" w:rsidRDefault="003D0153">
      <w:pPr>
        <w:pStyle w:val="FootnoteText"/>
      </w:pPr>
      <w:r w:rsidRPr="006F29F5">
        <w:rPr>
          <w:rStyle w:val="FootnoteReference"/>
        </w:rPr>
        <w:footnoteRef/>
      </w:r>
      <w:r w:rsidRPr="006F29F5">
        <w:t xml:space="preserve"> </w:t>
      </w:r>
      <w:r w:rsidRPr="006F29F5">
        <w:rPr>
          <w:i/>
        </w:rPr>
        <w:t>Ibid</w:t>
      </w:r>
      <w:r w:rsidRPr="006F29F5">
        <w:t>.</w:t>
      </w:r>
    </w:p>
  </w:footnote>
  <w:footnote w:id="254">
    <w:p w14:paraId="7EC783A2" w14:textId="7BAEF825" w:rsidR="003D0153" w:rsidRPr="006F29F5" w:rsidRDefault="003D0153">
      <w:pPr>
        <w:pStyle w:val="FootnoteText"/>
        <w:rPr>
          <w:highlight w:val="magenta"/>
        </w:rPr>
      </w:pPr>
      <w:r w:rsidRPr="006F29F5">
        <w:rPr>
          <w:rStyle w:val="FootnoteReference"/>
        </w:rPr>
        <w:footnoteRef/>
      </w:r>
      <w:r w:rsidRPr="006F29F5">
        <w:t xml:space="preserve"> </w:t>
      </w:r>
      <w:r w:rsidRPr="006F29F5">
        <w:rPr>
          <w:i/>
        </w:rPr>
        <w:t>Proceeds of Crime Act 2002</w:t>
      </w:r>
      <w:r w:rsidRPr="006F29F5">
        <w:t xml:space="preserve"> (UK), c 29.</w:t>
      </w:r>
    </w:p>
  </w:footnote>
  <w:footnote w:id="255">
    <w:p w14:paraId="338E49C5" w14:textId="7E9322C8" w:rsidR="003D0153" w:rsidRPr="006F29F5" w:rsidRDefault="003D0153">
      <w:pPr>
        <w:pStyle w:val="FootnoteText"/>
      </w:pPr>
      <w:r w:rsidRPr="006F29F5">
        <w:rPr>
          <w:rStyle w:val="FootnoteReference"/>
        </w:rPr>
        <w:footnoteRef/>
      </w:r>
      <w:r w:rsidRPr="006F29F5">
        <w:t xml:space="preserve"> </w:t>
      </w:r>
      <w:r w:rsidRPr="006F29F5">
        <w:rPr>
          <w:i/>
        </w:rPr>
        <w:t>Criminal Finances Act 2017</w:t>
      </w:r>
      <w:r w:rsidRPr="006F29F5">
        <w:t xml:space="preserve"> (UK), c 22, s 1.</w:t>
      </w:r>
    </w:p>
  </w:footnote>
  <w:footnote w:id="256">
    <w:p w14:paraId="739D2F06" w14:textId="2EAFE57F" w:rsidR="003D0153" w:rsidRPr="006F29F5" w:rsidRDefault="003D0153">
      <w:pPr>
        <w:pStyle w:val="FootnoteText"/>
      </w:pPr>
      <w:r w:rsidRPr="006F29F5">
        <w:rPr>
          <w:rStyle w:val="FootnoteReference"/>
        </w:rPr>
        <w:footnoteRef/>
      </w:r>
      <w:r w:rsidRPr="006F29F5">
        <w:t xml:space="preserve"> UK, House of Commons Library, “Criminal Finances Bill” (Briefing Paper No 07739) by Joanna Dawson et al</w:t>
      </w:r>
      <w:r w:rsidRPr="006F29F5">
        <w:cr/>
        <w:t>(London: House of Commons Library, 2016) at 4, online: &lt;</w:t>
      </w:r>
      <w:hyperlink r:id="rId78" w:history="1">
        <w:r w:rsidRPr="006F29F5">
          <w:rPr>
            <w:rStyle w:val="Hyperlink"/>
          </w:rPr>
          <w:t>http://researchbriefings.parliament.uk/ResearchBriefing/Summary/CBP-7739</w:t>
        </w:r>
      </w:hyperlink>
      <w:r w:rsidRPr="006F29F5">
        <w:t>&gt;.</w:t>
      </w:r>
    </w:p>
  </w:footnote>
  <w:footnote w:id="257">
    <w:p w14:paraId="3927958E" w14:textId="79AA9ACD" w:rsidR="003D0153" w:rsidRPr="006F29F5" w:rsidRDefault="003D0153">
      <w:pPr>
        <w:pStyle w:val="FootnoteText"/>
      </w:pPr>
      <w:r w:rsidRPr="006F29F5">
        <w:rPr>
          <w:rStyle w:val="FootnoteReference"/>
        </w:rPr>
        <w:footnoteRef/>
      </w:r>
      <w:r w:rsidRPr="006F29F5">
        <w:t xml:space="preserve"> </w:t>
      </w:r>
      <w:r w:rsidRPr="006F29F5">
        <w:rPr>
          <w:i/>
        </w:rPr>
        <w:t>Criminal Finances Act 2017</w:t>
      </w:r>
      <w:r w:rsidRPr="006F29F5">
        <w:t xml:space="preserve"> (UK), c 22, s 1.</w:t>
      </w:r>
    </w:p>
  </w:footnote>
  <w:footnote w:id="258">
    <w:p w14:paraId="77957D5E" w14:textId="4A614609" w:rsidR="003D0153" w:rsidRPr="006F29F5" w:rsidRDefault="003D0153">
      <w:pPr>
        <w:pStyle w:val="FootnoteText"/>
        <w:rPr>
          <w:highlight w:val="magenta"/>
        </w:rPr>
      </w:pPr>
      <w:r w:rsidRPr="006F29F5">
        <w:rPr>
          <w:rStyle w:val="FootnoteReference"/>
        </w:rPr>
        <w:footnoteRef/>
      </w:r>
      <w:r w:rsidRPr="006F29F5">
        <w:t xml:space="preserve"> </w:t>
      </w:r>
      <w:r w:rsidRPr="006F29F5">
        <w:rPr>
          <w:i/>
        </w:rPr>
        <w:t>Ibid</w:t>
      </w:r>
      <w:r w:rsidRPr="006F29F5">
        <w:t xml:space="preserve">, </w:t>
      </w:r>
      <w:proofErr w:type="spellStart"/>
      <w:r w:rsidRPr="006F29F5">
        <w:t>ss</w:t>
      </w:r>
      <w:proofErr w:type="spellEnd"/>
      <w:r w:rsidRPr="006F29F5">
        <w:rPr>
          <w:i/>
        </w:rPr>
        <w:t xml:space="preserve"> </w:t>
      </w:r>
      <w:r w:rsidRPr="006F29F5">
        <w:t>2-3.</w:t>
      </w:r>
    </w:p>
  </w:footnote>
  <w:footnote w:id="259">
    <w:p w14:paraId="70F63FA8" w14:textId="3608918F" w:rsidR="003D0153" w:rsidRPr="006F29F5" w:rsidRDefault="003D0153">
      <w:pPr>
        <w:pStyle w:val="FootnoteText"/>
      </w:pPr>
      <w:r w:rsidRPr="006F29F5">
        <w:rPr>
          <w:rStyle w:val="FootnoteReference"/>
        </w:rPr>
        <w:footnoteRef/>
      </w:r>
      <w:r w:rsidRPr="006F29F5">
        <w:t xml:space="preserve"> Rachel Davies </w:t>
      </w:r>
      <w:proofErr w:type="spellStart"/>
      <w:r w:rsidRPr="006F29F5">
        <w:t>Teka</w:t>
      </w:r>
      <w:proofErr w:type="spellEnd"/>
      <w:r w:rsidRPr="006F29F5">
        <w:t>, “Unexplained Wealth Orders” (Transparency International, 2016), online: &lt;</w:t>
      </w:r>
      <w:hyperlink r:id="rId79" w:history="1">
        <w:r w:rsidRPr="006F29F5">
          <w:rPr>
            <w:rStyle w:val="Hyperlink"/>
          </w:rPr>
          <w:t>http://www.transparency.org.uk/publications/uwos-criminal-finances-bill-2016/</w:t>
        </w:r>
      </w:hyperlink>
      <w:r w:rsidRPr="006F29F5">
        <w:t>&gt;.</w:t>
      </w:r>
    </w:p>
  </w:footnote>
  <w:footnote w:id="260">
    <w:p w14:paraId="39A2F774" w14:textId="4FFC174C" w:rsidR="003D0153" w:rsidRPr="006F29F5" w:rsidRDefault="003D0153">
      <w:pPr>
        <w:pStyle w:val="FootnoteText"/>
      </w:pPr>
      <w:r w:rsidRPr="006F29F5">
        <w:rPr>
          <w:rStyle w:val="FootnoteReference"/>
        </w:rPr>
        <w:footnoteRef/>
      </w:r>
      <w:r w:rsidRPr="006F29F5">
        <w:t xml:space="preserve"> UK, House of Commons Library, “Criminal Finances Bill” (Briefing Paper No 07739) by Joanna Dawson et al (London: House of Commons Library, 2016) at 49, online: &lt;</w:t>
      </w:r>
      <w:hyperlink r:id="rId80" w:history="1">
        <w:r w:rsidRPr="006F29F5">
          <w:rPr>
            <w:rStyle w:val="Hyperlink"/>
          </w:rPr>
          <w:t>http://researchbriefings.parliament.uk/ResearchBriefing/Summary/CBP-7739</w:t>
        </w:r>
      </w:hyperlink>
      <w:r w:rsidRPr="006F29F5">
        <w:t xml:space="preserve">&gt;.  </w:t>
      </w:r>
    </w:p>
  </w:footnote>
  <w:footnote w:id="261">
    <w:p w14:paraId="0D911A88" w14:textId="4D1D0E4E" w:rsidR="003D0153" w:rsidRPr="006F29F5" w:rsidRDefault="003D0153">
      <w:pPr>
        <w:pStyle w:val="FootnoteText"/>
      </w:pPr>
      <w:r w:rsidRPr="006F29F5">
        <w:rPr>
          <w:rStyle w:val="FootnoteReference"/>
        </w:rPr>
        <w:footnoteRef/>
      </w:r>
      <w:r w:rsidRPr="006F29F5">
        <w:t xml:space="preserve"> </w:t>
      </w:r>
      <w:r w:rsidRPr="006F29F5">
        <w:rPr>
          <w:i/>
        </w:rPr>
        <w:t>Ibid</w:t>
      </w:r>
      <w:r w:rsidRPr="006F29F5">
        <w:t>.</w:t>
      </w:r>
    </w:p>
  </w:footnote>
  <w:footnote w:id="262">
    <w:p w14:paraId="79D7DC8D" w14:textId="7090DDC8" w:rsidR="003D0153" w:rsidRPr="006F29F5" w:rsidRDefault="003D0153">
      <w:pPr>
        <w:pStyle w:val="FootnoteText"/>
      </w:pPr>
      <w:r w:rsidRPr="006F29F5">
        <w:rPr>
          <w:rStyle w:val="FootnoteReference"/>
        </w:rPr>
        <w:footnoteRef/>
      </w:r>
      <w:r w:rsidRPr="006F29F5">
        <w:t xml:space="preserve"> </w:t>
      </w:r>
      <w:r w:rsidRPr="006F29F5">
        <w:rPr>
          <w:i/>
        </w:rPr>
        <w:t>Criminal Finances Act 2017</w:t>
      </w:r>
      <w:r w:rsidRPr="006F29F5">
        <w:t xml:space="preserve"> (UK), c 22, s 11, online: &lt;</w:t>
      </w:r>
      <w:hyperlink r:id="rId81" w:history="1">
        <w:r w:rsidRPr="006F29F5">
          <w:rPr>
            <w:rStyle w:val="Hyperlink"/>
          </w:rPr>
          <w:t>https://services.parliament.uk/bills/2016-17/criminalfinances.html</w:t>
        </w:r>
      </w:hyperlink>
      <w:r w:rsidRPr="006F29F5">
        <w:t>&gt;.</w:t>
      </w:r>
    </w:p>
  </w:footnote>
  <w:footnote w:id="263">
    <w:p w14:paraId="7A69F0EC" w14:textId="2B4B22A5" w:rsidR="003D0153" w:rsidRPr="006F29F5" w:rsidRDefault="003D0153">
      <w:pPr>
        <w:pStyle w:val="FootnoteText"/>
        <w:rPr>
          <w:highlight w:val="magenta"/>
        </w:rPr>
      </w:pPr>
      <w:r w:rsidRPr="006F29F5">
        <w:rPr>
          <w:rStyle w:val="FootnoteReference"/>
        </w:rPr>
        <w:footnoteRef/>
      </w:r>
      <w:r w:rsidRPr="006F29F5">
        <w:t xml:space="preserve"> </w:t>
      </w:r>
      <w:r w:rsidRPr="006F29F5">
        <w:rPr>
          <w:i/>
        </w:rPr>
        <w:t>Ibid</w:t>
      </w:r>
      <w:r w:rsidRPr="006F29F5">
        <w:t xml:space="preserve">, </w:t>
      </w:r>
      <w:proofErr w:type="spellStart"/>
      <w:r w:rsidRPr="006F29F5">
        <w:t>ss</w:t>
      </w:r>
      <w:proofErr w:type="spellEnd"/>
      <w:r w:rsidRPr="006F29F5">
        <w:t xml:space="preserve"> 14-16.</w:t>
      </w:r>
    </w:p>
  </w:footnote>
  <w:footnote w:id="264">
    <w:p w14:paraId="1D81F7EB" w14:textId="71DBCA95" w:rsidR="003D0153" w:rsidRPr="006F29F5" w:rsidRDefault="003D0153">
      <w:pPr>
        <w:pStyle w:val="FootnoteText"/>
      </w:pPr>
      <w:r w:rsidRPr="006F29F5">
        <w:rPr>
          <w:rStyle w:val="FootnoteReference"/>
        </w:rPr>
        <w:footnoteRef/>
      </w:r>
      <w:r w:rsidRPr="006F29F5">
        <w:t xml:space="preserve"> UK, House of Commons Library, “Criminal Finances Bill” (Briefing Paper No 07739) by Joanna Dawson et al (London: House of Commons Library, 2016) at 55-56, online: &lt;</w:t>
      </w:r>
      <w:hyperlink r:id="rId82" w:history="1">
        <w:r w:rsidRPr="006F29F5">
          <w:rPr>
            <w:rStyle w:val="Hyperlink"/>
          </w:rPr>
          <w:t>http://researchbriefings.parliament.uk/ResearchBriefing/Summary/CBP-7739</w:t>
        </w:r>
      </w:hyperlink>
      <w:r w:rsidRPr="006F29F5">
        <w:t xml:space="preserve">&gt;.  </w:t>
      </w:r>
    </w:p>
  </w:footnote>
  <w:footnote w:id="265">
    <w:p w14:paraId="5F37DAB7" w14:textId="4634791F" w:rsidR="003D0153" w:rsidRPr="006F29F5" w:rsidRDefault="003D0153">
      <w:pPr>
        <w:pStyle w:val="FootnoteText"/>
      </w:pPr>
      <w:r w:rsidRPr="006F29F5">
        <w:rPr>
          <w:rStyle w:val="FootnoteReference"/>
        </w:rPr>
        <w:footnoteRef/>
      </w:r>
      <w:r w:rsidRPr="006F29F5">
        <w:t xml:space="preserve"> </w:t>
      </w:r>
      <w:r w:rsidRPr="006F29F5">
        <w:rPr>
          <w:i/>
        </w:rPr>
        <w:t xml:space="preserve">Ibid </w:t>
      </w:r>
      <w:r w:rsidRPr="006F29F5">
        <w:t>at 56-57.</w:t>
      </w:r>
    </w:p>
  </w:footnote>
  <w:footnote w:id="266">
    <w:p w14:paraId="5611CC21" w14:textId="700E6D97" w:rsidR="003D0153" w:rsidRPr="006F29F5" w:rsidRDefault="003D0153">
      <w:pPr>
        <w:pStyle w:val="FootnoteText"/>
      </w:pPr>
      <w:r w:rsidRPr="006F29F5">
        <w:rPr>
          <w:rStyle w:val="FootnoteReference"/>
        </w:rPr>
        <w:footnoteRef/>
      </w:r>
      <w:r w:rsidRPr="006F29F5">
        <w:t xml:space="preserve"> </w:t>
      </w:r>
      <w:r w:rsidRPr="006F29F5">
        <w:rPr>
          <w:i/>
        </w:rPr>
        <w:t>Criminal Finances Act 2017</w:t>
      </w:r>
      <w:r w:rsidRPr="006F29F5">
        <w:t xml:space="preserve"> (UK), c 22, </w:t>
      </w:r>
      <w:proofErr w:type="spellStart"/>
      <w:r w:rsidRPr="006F29F5">
        <w:t>ss</w:t>
      </w:r>
      <w:proofErr w:type="spellEnd"/>
      <w:r w:rsidRPr="006F29F5">
        <w:t xml:space="preserve"> 44-46, online: &lt;</w:t>
      </w:r>
      <w:hyperlink r:id="rId83" w:history="1">
        <w:r w:rsidRPr="006F29F5">
          <w:rPr>
            <w:rStyle w:val="Hyperlink"/>
          </w:rPr>
          <w:t>https://services.parliament.uk/bills/2016-17/criminalfinances.html</w:t>
        </w:r>
      </w:hyperlink>
      <w:r w:rsidRPr="006F29F5">
        <w:t>&gt;.</w:t>
      </w:r>
    </w:p>
  </w:footnote>
  <w:footnote w:id="267">
    <w:p w14:paraId="772E3CF9" w14:textId="536162DD" w:rsidR="003D0153" w:rsidRPr="006F29F5" w:rsidRDefault="003D0153" w:rsidP="000E35A1">
      <w:pPr>
        <w:pStyle w:val="FootnoteText"/>
      </w:pPr>
      <w:r w:rsidRPr="006F29F5">
        <w:rPr>
          <w:rStyle w:val="FootnoteReference"/>
          <w:szCs w:val="18"/>
        </w:rPr>
        <w:footnoteRef/>
      </w:r>
      <w:r w:rsidRPr="006F29F5">
        <w:t xml:space="preserve"> </w:t>
      </w:r>
      <w:proofErr w:type="gramStart"/>
      <w:r w:rsidRPr="006F29F5">
        <w:t>van</w:t>
      </w:r>
      <w:proofErr w:type="gramEnd"/>
      <w:r w:rsidRPr="006F29F5">
        <w:t xml:space="preserve"> der Does de </w:t>
      </w:r>
      <w:proofErr w:type="spellStart"/>
      <w:r w:rsidRPr="006F29F5">
        <w:t>Willebois</w:t>
      </w:r>
      <w:proofErr w:type="spellEnd"/>
      <w:r w:rsidRPr="006F29F5">
        <w:t xml:space="preserve"> &amp; </w:t>
      </w:r>
      <w:proofErr w:type="spellStart"/>
      <w:r w:rsidRPr="006F29F5">
        <w:t>Brun</w:t>
      </w:r>
      <w:proofErr w:type="spellEnd"/>
      <w:r w:rsidRPr="006F29F5">
        <w:t xml:space="preserve"> (2013) at 648.</w:t>
      </w:r>
    </w:p>
  </w:footnote>
  <w:footnote w:id="268">
    <w:p w14:paraId="3985FA31" w14:textId="52FDD0E0" w:rsidR="003D0153" w:rsidRPr="006F29F5" w:rsidRDefault="003D0153" w:rsidP="000E35A1">
      <w:pPr>
        <w:pStyle w:val="FootnoteText"/>
      </w:pPr>
      <w:r w:rsidRPr="006F29F5">
        <w:rPr>
          <w:rStyle w:val="FootnoteReference"/>
        </w:rPr>
        <w:footnoteRef/>
      </w:r>
      <w:r w:rsidRPr="006F29F5">
        <w:t xml:space="preserve"> Richard E </w:t>
      </w:r>
      <w:proofErr w:type="spellStart"/>
      <w:r w:rsidRPr="006F29F5">
        <w:t>Messick</w:t>
      </w:r>
      <w:proofErr w:type="spellEnd"/>
      <w:r w:rsidRPr="006F29F5">
        <w:t xml:space="preserve">, “How Financial Disclosure Laws Help in the Recovery of Stolen Assets” in </w:t>
      </w:r>
      <w:proofErr w:type="spellStart"/>
      <w:r w:rsidRPr="006F29F5">
        <w:t>Zinkernagel</w:t>
      </w:r>
      <w:proofErr w:type="spellEnd"/>
      <w:r w:rsidRPr="006F29F5">
        <w:t xml:space="preserve">, </w:t>
      </w:r>
      <w:proofErr w:type="spellStart"/>
      <w:r w:rsidRPr="006F29F5">
        <w:t>Monteith</w:t>
      </w:r>
      <w:proofErr w:type="spellEnd"/>
      <w:r w:rsidRPr="006F29F5">
        <w:t xml:space="preserve"> &amp; Pereira, </w:t>
      </w:r>
      <w:proofErr w:type="spellStart"/>
      <w:proofErr w:type="gramStart"/>
      <w:r w:rsidRPr="006F29F5">
        <w:t>eds</w:t>
      </w:r>
      <w:proofErr w:type="spellEnd"/>
      <w:proofErr w:type="gramEnd"/>
      <w:r w:rsidRPr="006F29F5">
        <w:t xml:space="preserve"> (2013) 235.</w:t>
      </w:r>
    </w:p>
  </w:footnote>
  <w:footnote w:id="269">
    <w:p w14:paraId="0748A180" w14:textId="2F8EA9D7" w:rsidR="003D0153" w:rsidRPr="006F29F5" w:rsidRDefault="003D0153" w:rsidP="000E35A1">
      <w:pPr>
        <w:pStyle w:val="FootnoteText"/>
      </w:pPr>
      <w:r w:rsidRPr="006F29F5">
        <w:rPr>
          <w:rStyle w:val="FootnoteReference"/>
        </w:rPr>
        <w:footnoteRef/>
      </w:r>
      <w:r w:rsidRPr="006F29F5">
        <w:t xml:space="preserve"> Phil Mason, “Being Janus: A Donor Agency’s Approach to Asset Recovery” in </w:t>
      </w:r>
      <w:proofErr w:type="spellStart"/>
      <w:r w:rsidRPr="006F29F5">
        <w:t>Zinkernagel</w:t>
      </w:r>
      <w:proofErr w:type="spellEnd"/>
      <w:r w:rsidRPr="006F29F5">
        <w:t xml:space="preserve">, </w:t>
      </w:r>
      <w:proofErr w:type="spellStart"/>
      <w:r w:rsidRPr="006F29F5">
        <w:t>Monteith</w:t>
      </w:r>
      <w:proofErr w:type="spellEnd"/>
      <w:r w:rsidRPr="006F29F5">
        <w:t xml:space="preserve"> &amp; Pereira, </w:t>
      </w:r>
      <w:proofErr w:type="spellStart"/>
      <w:proofErr w:type="gramStart"/>
      <w:r w:rsidRPr="006F29F5">
        <w:t>eds</w:t>
      </w:r>
      <w:proofErr w:type="spellEnd"/>
      <w:proofErr w:type="gramEnd"/>
      <w:r w:rsidRPr="006F29F5">
        <w:t xml:space="preserve"> (2013) 197.</w:t>
      </w:r>
    </w:p>
  </w:footnote>
  <w:footnote w:id="270">
    <w:p w14:paraId="766B6BB3" w14:textId="49275376" w:rsidR="003D0153" w:rsidRPr="006F29F5" w:rsidRDefault="003D0153" w:rsidP="000E35A1">
      <w:pPr>
        <w:pStyle w:val="FootnoteText"/>
      </w:pPr>
      <w:r w:rsidRPr="006F29F5">
        <w:rPr>
          <w:rStyle w:val="FootnoteReference"/>
        </w:rPr>
        <w:footnoteRef/>
      </w:r>
      <w:r w:rsidRPr="006F29F5">
        <w:t xml:space="preserve"> Gray et al (2014) at 56.</w:t>
      </w:r>
    </w:p>
  </w:footnote>
  <w:footnote w:id="271">
    <w:p w14:paraId="0ADA0577" w14:textId="77777777" w:rsidR="003D0153" w:rsidRPr="006F29F5" w:rsidRDefault="003D0153" w:rsidP="000E35A1">
      <w:pPr>
        <w:pStyle w:val="FootnoteText"/>
        <w:rPr>
          <w:szCs w:val="18"/>
        </w:rPr>
      </w:pPr>
      <w:r w:rsidRPr="006F29F5">
        <w:rPr>
          <w:rStyle w:val="FootnoteReference"/>
          <w:szCs w:val="18"/>
        </w:rPr>
        <w:footnoteRef/>
      </w:r>
      <w:r w:rsidRPr="006F29F5">
        <w:rPr>
          <w:szCs w:val="18"/>
        </w:rPr>
        <w:t xml:space="preserve"> </w:t>
      </w:r>
      <w:r w:rsidRPr="006F29F5">
        <w:rPr>
          <w:rFonts w:cs="Times New Roman"/>
          <w:i/>
          <w:szCs w:val="18"/>
        </w:rPr>
        <w:t xml:space="preserve">Revised Manuals on the Model Treaty on Extradition and on the Model Treaty on Mutual Assistance in Criminal Matters </w:t>
      </w:r>
      <w:r w:rsidRPr="006F29F5">
        <w:rPr>
          <w:rFonts w:cs="Times New Roman"/>
          <w:szCs w:val="18"/>
        </w:rPr>
        <w:t>(UNDOC), online: &lt;</w:t>
      </w:r>
      <w:hyperlink r:id="rId84" w:history="1">
        <w:r w:rsidRPr="006F29F5">
          <w:rPr>
            <w:rStyle w:val="Hyperlink"/>
            <w:rFonts w:cs="Times New Roman"/>
            <w:szCs w:val="18"/>
          </w:rPr>
          <w:t>http://www.unodc.org/pdf/model_treaty_extradition_revised_manual.pdf</w:t>
        </w:r>
      </w:hyperlink>
      <w:r w:rsidRPr="006F29F5">
        <w:rPr>
          <w:rFonts w:cs="Times New Roman"/>
          <w:szCs w:val="18"/>
        </w:rPr>
        <w:t>&gt;.</w:t>
      </w:r>
    </w:p>
  </w:footnote>
  <w:footnote w:id="272">
    <w:p w14:paraId="62120EF2" w14:textId="10E7652A" w:rsidR="003D0153" w:rsidRPr="006F29F5" w:rsidRDefault="003D0153" w:rsidP="000E35A1">
      <w:pPr>
        <w:pStyle w:val="FootnoteText"/>
      </w:pPr>
      <w:r w:rsidRPr="006F29F5">
        <w:rPr>
          <w:rStyle w:val="FootnoteReference"/>
          <w:rFonts w:cs="Times New Roman"/>
          <w:szCs w:val="18"/>
        </w:rPr>
        <w:footnoteRef/>
      </w:r>
      <w:r w:rsidRPr="006F29F5">
        <w:t xml:space="preserve"> Pedro Gomes Pereira, “Mutual legal assistance” in </w:t>
      </w:r>
      <w:r w:rsidRPr="006F29F5">
        <w:rPr>
          <w:i/>
        </w:rPr>
        <w:t>Tracing Illegal Assets – A Practitioner's Guide</w:t>
      </w:r>
      <w:r w:rsidRPr="006F29F5">
        <w:t xml:space="preserve"> (Basel Institute on Governance, International Centre for Asset Recovery, 2015) at 53-65, online:</w:t>
      </w:r>
    </w:p>
    <w:p w14:paraId="69D44549" w14:textId="77777777" w:rsidR="003D0153" w:rsidRPr="006F29F5" w:rsidRDefault="003D0153" w:rsidP="000E35A1">
      <w:pPr>
        <w:pStyle w:val="FootnoteText"/>
      </w:pPr>
      <w:r w:rsidRPr="006F29F5">
        <w:t>&lt;</w:t>
      </w:r>
      <w:hyperlink r:id="rId85" w:history="1">
        <w:r w:rsidRPr="006F29F5">
          <w:rPr>
            <w:rStyle w:val="Hyperlink"/>
            <w:rFonts w:cs="Times New Roman"/>
            <w:szCs w:val="18"/>
          </w:rPr>
          <w:t>https://forum.assetrecovery.org/sites/collective.localhost/files/publications/tracing_illegal_assets_manuscript_final_online.pdf</w:t>
        </w:r>
      </w:hyperlink>
      <w:r w:rsidRPr="006F29F5">
        <w:t>&gt;.</w:t>
      </w:r>
    </w:p>
  </w:footnote>
  <w:footnote w:id="273">
    <w:p w14:paraId="0F72FD87" w14:textId="77777777" w:rsidR="003D0153" w:rsidRPr="006F29F5" w:rsidRDefault="003D0153" w:rsidP="000E35A1">
      <w:pPr>
        <w:pStyle w:val="FootnoteText"/>
      </w:pPr>
      <w:r w:rsidRPr="006F29F5">
        <w:rPr>
          <w:rStyle w:val="FootnoteReference"/>
          <w:rFonts w:cs="Times New Roman"/>
          <w:szCs w:val="18"/>
        </w:rPr>
        <w:footnoteRef/>
      </w:r>
      <w:r w:rsidRPr="006F29F5">
        <w:t xml:space="preserve"> </w:t>
      </w:r>
      <w:r w:rsidRPr="006F29F5">
        <w:rPr>
          <w:i/>
        </w:rPr>
        <w:t xml:space="preserve">Ibid </w:t>
      </w:r>
      <w:r w:rsidRPr="006F29F5">
        <w:t>at 54.</w:t>
      </w:r>
    </w:p>
  </w:footnote>
  <w:footnote w:id="274">
    <w:p w14:paraId="4974EF1F" w14:textId="77777777" w:rsidR="003D0153" w:rsidRPr="006F29F5" w:rsidRDefault="003D0153" w:rsidP="000E35A1">
      <w:pPr>
        <w:pStyle w:val="FootnoteText"/>
      </w:pPr>
      <w:r w:rsidRPr="006F29F5">
        <w:rPr>
          <w:rStyle w:val="FootnoteReference"/>
          <w:rFonts w:cs="Times New Roman"/>
          <w:szCs w:val="18"/>
        </w:rPr>
        <w:footnoteRef/>
      </w:r>
      <w:r w:rsidRPr="006F29F5">
        <w:t xml:space="preserve"> </w:t>
      </w:r>
      <w:r w:rsidRPr="006F29F5">
        <w:rPr>
          <w:i/>
        </w:rPr>
        <w:t xml:space="preserve">Ibid </w:t>
      </w:r>
      <w:r w:rsidRPr="006F29F5">
        <w:t xml:space="preserve">at </w:t>
      </w:r>
      <w:r w:rsidRPr="006F29F5">
        <w:rPr>
          <w:lang w:val="ru-RU"/>
        </w:rPr>
        <w:t>58-59</w:t>
      </w:r>
      <w:r w:rsidRPr="006F29F5">
        <w:t>.</w:t>
      </w:r>
    </w:p>
  </w:footnote>
  <w:footnote w:id="275">
    <w:p w14:paraId="26065241" w14:textId="77777777" w:rsidR="003D0153" w:rsidRPr="006F29F5" w:rsidRDefault="003D0153" w:rsidP="000E35A1">
      <w:pPr>
        <w:pStyle w:val="FootnoteText"/>
      </w:pPr>
      <w:r w:rsidRPr="006F29F5">
        <w:rPr>
          <w:rStyle w:val="FootnoteReference"/>
          <w:rFonts w:cs="Times New Roman"/>
          <w:szCs w:val="18"/>
        </w:rPr>
        <w:footnoteRef/>
      </w:r>
      <w:r w:rsidRPr="006F29F5">
        <w:t xml:space="preserve"> </w:t>
      </w:r>
      <w:r w:rsidRPr="006F29F5">
        <w:rPr>
          <w:i/>
        </w:rPr>
        <w:t xml:space="preserve">Ibid </w:t>
      </w:r>
      <w:r w:rsidRPr="006F29F5">
        <w:t>at 59-60.</w:t>
      </w:r>
    </w:p>
  </w:footnote>
  <w:footnote w:id="276">
    <w:p w14:paraId="33E2C253" w14:textId="6E7D6187" w:rsidR="003D0153" w:rsidRPr="006F29F5" w:rsidRDefault="003D0153" w:rsidP="000E35A1">
      <w:pPr>
        <w:pStyle w:val="FootnoteText"/>
      </w:pPr>
      <w:r w:rsidRPr="006F29F5">
        <w:rPr>
          <w:rStyle w:val="FootnoteReference"/>
          <w:rFonts w:cs="Times New Roman"/>
          <w:szCs w:val="18"/>
        </w:rPr>
        <w:footnoteRef/>
      </w:r>
      <w:r w:rsidRPr="006F29F5">
        <w:t xml:space="preserve"> “Mutual Legal Assistance, Extradition and Recovery of Proceeds of Corruption in Asia and the Pacific” (ADB/OECD, 2007) at 32, online: &lt;</w:t>
      </w:r>
      <w:hyperlink r:id="rId86" w:history="1">
        <w:r w:rsidRPr="006F29F5">
          <w:rPr>
            <w:rStyle w:val="Hyperlink"/>
            <w:rFonts w:cs="Times New Roman"/>
            <w:szCs w:val="18"/>
          </w:rPr>
          <w:t>http://www.oecd.org/site/adboecdanti-corruptioninitiative/mutuallegalassistanceextraditionand recoveryofproceedsofcorruptioninasiaandthepacific.htm</w:t>
        </w:r>
      </w:hyperlink>
      <w:r w:rsidRPr="006F29F5">
        <w:t>&gt;.</w:t>
      </w:r>
    </w:p>
  </w:footnote>
  <w:footnote w:id="277">
    <w:p w14:paraId="0D357CE8" w14:textId="0938FC3E" w:rsidR="003D0153" w:rsidRPr="006F29F5" w:rsidRDefault="003D0153" w:rsidP="000E35A1">
      <w:pPr>
        <w:pStyle w:val="FootnoteText"/>
        <w:rPr>
          <w:lang w:val="en-US"/>
        </w:rPr>
      </w:pPr>
      <w:r w:rsidRPr="006F29F5">
        <w:rPr>
          <w:rStyle w:val="FootnoteReference"/>
        </w:rPr>
        <w:footnoteRef/>
      </w:r>
      <w:r w:rsidRPr="006F29F5">
        <w:t xml:space="preserve"> Online: </w:t>
      </w:r>
      <w:r w:rsidRPr="006F29F5">
        <w:rPr>
          <w:rFonts w:cs="Times New Roman"/>
        </w:rPr>
        <w:t>&lt;</w:t>
      </w:r>
      <w:hyperlink r:id="rId87" w:history="1">
        <w:r w:rsidRPr="006F29F5">
          <w:rPr>
            <w:rStyle w:val="Hyperlink"/>
            <w:rFonts w:cs="Times New Roman"/>
          </w:rPr>
          <w:t>http://www.unodc.org/mla/index.html</w:t>
        </w:r>
      </w:hyperlink>
      <w:r w:rsidRPr="006F29F5">
        <w:rPr>
          <w:rFonts w:cs="Times New Roman"/>
        </w:rPr>
        <w:t>&gt;.</w:t>
      </w:r>
    </w:p>
  </w:footnote>
  <w:footnote w:id="278">
    <w:p w14:paraId="174092A1" w14:textId="6C5DA118" w:rsidR="003D0153" w:rsidRPr="006F29F5" w:rsidRDefault="003D0153" w:rsidP="009B1359">
      <w:pPr>
        <w:pStyle w:val="FootnoteText"/>
      </w:pPr>
      <w:r w:rsidRPr="006F29F5">
        <w:rPr>
          <w:rStyle w:val="FootnoteReference"/>
        </w:rPr>
        <w:footnoteRef/>
      </w:r>
      <w:r w:rsidRPr="006F29F5">
        <w:t xml:space="preserve"> Commission on Crime Prevention and Criminal Justice, </w:t>
      </w:r>
      <w:r w:rsidRPr="006F29F5">
        <w:rPr>
          <w:rFonts w:cs="Times New Roman"/>
          <w:szCs w:val="24"/>
        </w:rPr>
        <w:t>“Requesting Mutual Legal Assistance in Criminal Matters from G8 Countries: A Step-by-Step Guide” (United Nations Office on Drugs and Crime, 2011) at 56–57, online: &lt;</w:t>
      </w:r>
      <w:hyperlink r:id="rId88" w:history="1">
        <w:r w:rsidR="005F0392" w:rsidRPr="00C65330">
          <w:rPr>
            <w:rStyle w:val="Hyperlink"/>
            <w:rFonts w:cs="Times New Roman"/>
            <w:szCs w:val="24"/>
          </w:rPr>
          <w:t>http://www.coe.int/T/dghl/standardsetting/pc-oc/PCOC_documents/</w:t>
        </w:r>
        <w:r w:rsidR="005F0392" w:rsidRPr="00C65330">
          <w:rPr>
            <w:rStyle w:val="Hyperlink"/>
            <w:rFonts w:cs="Times New Roman"/>
            <w:szCs w:val="24"/>
          </w:rPr>
          <w:br/>
          <w:t>8_MLA step-by-step_CN152011_CRP.6_eV1182196.pdf</w:t>
        </w:r>
      </w:hyperlink>
      <w:r w:rsidRPr="006F29F5">
        <w:rPr>
          <w:rFonts w:cs="Times New Roman"/>
          <w:szCs w:val="24"/>
        </w:rPr>
        <w:t>&gt;. Reprinted with the permission of the United Nations.</w:t>
      </w:r>
    </w:p>
  </w:footnote>
  <w:footnote w:id="279">
    <w:p w14:paraId="5B63F29B" w14:textId="132423AE"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Financial Action Task Force, (2016), at 163-164, online: &lt;</w:t>
      </w:r>
      <w:hyperlink r:id="rId89" w:history="1">
        <w:r w:rsidR="005F0392" w:rsidRPr="00C65330">
          <w:rPr>
            <w:rStyle w:val="Hyperlink"/>
            <w:rFonts w:cs="Times New Roman"/>
            <w:szCs w:val="18"/>
          </w:rPr>
          <w:t>http://www.fatf-gafi.org/media/fatf/</w:t>
        </w:r>
        <w:r w:rsidR="005F0392" w:rsidRPr="00C65330">
          <w:rPr>
            <w:rStyle w:val="Hyperlink"/>
            <w:rFonts w:cs="Times New Roman"/>
            <w:szCs w:val="18"/>
          </w:rPr>
          <w:br/>
          <w:t>documents/reports/mer4/MER-United-States-2016.pdf</w:t>
        </w:r>
      </w:hyperlink>
      <w:r w:rsidRPr="006F29F5">
        <w:rPr>
          <w:rFonts w:cs="Times New Roman"/>
          <w:szCs w:val="18"/>
        </w:rPr>
        <w:t xml:space="preserve">&gt;. For more details on mutual legal assistance in the context of anti-money laundering, see </w:t>
      </w:r>
      <w:r w:rsidRPr="006F29F5">
        <w:rPr>
          <w:rFonts w:cs="Times New Roman"/>
          <w:szCs w:val="18"/>
          <w:highlight w:val="cyan"/>
        </w:rPr>
        <w:t>Section 6.3.1 of Chapter 4</w:t>
      </w:r>
      <w:r w:rsidRPr="006F29F5">
        <w:rPr>
          <w:rFonts w:cs="Times New Roman"/>
          <w:szCs w:val="18"/>
        </w:rPr>
        <w:t>.</w:t>
      </w:r>
    </w:p>
  </w:footnote>
  <w:footnote w:id="280">
    <w:p w14:paraId="245F1574"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163.</w:t>
      </w:r>
    </w:p>
  </w:footnote>
  <w:footnote w:id="281">
    <w:p w14:paraId="6EC6C141" w14:textId="77777777" w:rsidR="003D0153" w:rsidRPr="006F29F5" w:rsidRDefault="003D0153" w:rsidP="000E35A1">
      <w:pPr>
        <w:pStyle w:val="FootnoteText"/>
        <w:rPr>
          <w:rFonts w:cs="Times New Roman"/>
          <w:i/>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Ibid.</w:t>
      </w:r>
    </w:p>
  </w:footnote>
  <w:footnote w:id="282">
    <w:p w14:paraId="59F0CAB4"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168.</w:t>
      </w:r>
    </w:p>
  </w:footnote>
  <w:footnote w:id="283">
    <w:p w14:paraId="059D5168"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165.</w:t>
      </w:r>
    </w:p>
  </w:footnote>
  <w:footnote w:id="284">
    <w:p w14:paraId="7F48B97A" w14:textId="77777777" w:rsidR="003D0153" w:rsidRPr="006F29F5" w:rsidRDefault="003D0153" w:rsidP="000E35A1">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 xml:space="preserve">Ibid </w:t>
      </w:r>
      <w:r w:rsidRPr="006F29F5">
        <w:rPr>
          <w:rFonts w:cs="Times New Roman"/>
          <w:szCs w:val="18"/>
        </w:rPr>
        <w:t>at 165, 168.</w:t>
      </w:r>
    </w:p>
  </w:footnote>
  <w:footnote w:id="285">
    <w:p w14:paraId="0A5592C3" w14:textId="0F97B0B1" w:rsidR="003D0153" w:rsidRPr="006F29F5" w:rsidRDefault="003D0153">
      <w:pPr>
        <w:pStyle w:val="FootnoteText"/>
      </w:pPr>
      <w:r w:rsidRPr="006F29F5">
        <w:rPr>
          <w:rStyle w:val="FootnoteReference"/>
        </w:rPr>
        <w:footnoteRef/>
      </w:r>
      <w:r w:rsidRPr="006F29F5">
        <w:t xml:space="preserve"> </w:t>
      </w:r>
      <w:r w:rsidRPr="006F29F5">
        <w:rPr>
          <w:i/>
        </w:rPr>
        <w:t>Ibid</w:t>
      </w:r>
      <w:r w:rsidRPr="006F29F5">
        <w:t xml:space="preserve"> at 167.</w:t>
      </w:r>
    </w:p>
  </w:footnote>
  <w:footnote w:id="286">
    <w:p w14:paraId="3F8C2A11" w14:textId="77777777" w:rsidR="003D0153" w:rsidRPr="006F29F5" w:rsidRDefault="003D0153" w:rsidP="00253F31">
      <w:pPr>
        <w:pStyle w:val="FootnoteText"/>
        <w:keepLines w:val="0"/>
        <w:rPr>
          <w:rFonts w:cs="Times New Roman"/>
          <w:szCs w:val="18"/>
        </w:rPr>
      </w:pPr>
      <w:r w:rsidRPr="006F29F5">
        <w:rPr>
          <w:rStyle w:val="FootnoteReference"/>
          <w:rFonts w:cs="Times New Roman"/>
          <w:szCs w:val="18"/>
        </w:rPr>
        <w:footnoteRef/>
      </w:r>
      <w:r w:rsidRPr="006F29F5">
        <w:rPr>
          <w:rFonts w:cs="Times New Roman"/>
          <w:szCs w:val="18"/>
        </w:rPr>
        <w:t xml:space="preserve"> </w:t>
      </w:r>
      <w:r w:rsidRPr="006F29F5">
        <w:rPr>
          <w:rFonts w:cs="Times New Roman"/>
          <w:i/>
          <w:szCs w:val="18"/>
        </w:rPr>
        <w:t>Ibid</w:t>
      </w:r>
      <w:r w:rsidRPr="006F29F5">
        <w:rPr>
          <w:rFonts w:cs="Times New Roman"/>
          <w:szCs w:val="18"/>
        </w:rPr>
        <w:t>.</w:t>
      </w:r>
    </w:p>
  </w:footnote>
  <w:footnote w:id="287">
    <w:p w14:paraId="2936E5D1" w14:textId="63AA7D39" w:rsidR="003D0153" w:rsidRPr="006F29F5" w:rsidRDefault="003D0153">
      <w:pPr>
        <w:pStyle w:val="FootnoteText"/>
      </w:pPr>
      <w:r w:rsidRPr="006F29F5">
        <w:rPr>
          <w:rStyle w:val="FootnoteReference"/>
        </w:rPr>
        <w:footnoteRef/>
      </w:r>
      <w:r w:rsidRPr="006F29F5">
        <w:t xml:space="preserve"> Financial Action Task Force, (2016) at 245-249, online: &lt;</w:t>
      </w:r>
      <w:hyperlink r:id="rId90" w:history="1">
        <w:r w:rsidR="005F0392" w:rsidRPr="00C65330">
          <w:rPr>
            <w:rStyle w:val="Hyperlink"/>
          </w:rPr>
          <w:t>http://www.fatf-gafi.org/media/fatf/</w:t>
        </w:r>
        <w:r w:rsidR="005F0392" w:rsidRPr="00C65330">
          <w:rPr>
            <w:rStyle w:val="Hyperlink"/>
          </w:rPr>
          <w:br/>
          <w:t>documents/reports/mer4/MER-United-States-2016.pdf</w:t>
        </w:r>
      </w:hyperlink>
      <w:r w:rsidRPr="006F29F5">
        <w:t>&gt;.</w:t>
      </w:r>
    </w:p>
  </w:footnote>
  <w:footnote w:id="288">
    <w:p w14:paraId="7837F483" w14:textId="77777777" w:rsidR="00D850BF" w:rsidRPr="006F29F5" w:rsidRDefault="00D850BF" w:rsidP="00D850BF">
      <w:pPr>
        <w:pStyle w:val="FootnoteText"/>
      </w:pPr>
      <w:r w:rsidRPr="006F29F5">
        <w:rPr>
          <w:rStyle w:val="FootnoteReference"/>
        </w:rPr>
        <w:footnoteRef/>
      </w:r>
      <w:r w:rsidRPr="006F29F5">
        <w:t xml:space="preserve"> [128] Including, but not exclusively: the Inter-American Convention on Mutual Assistance in Criminal Matters (“The OAS MLAT”), the Vienna Convention [arts 7-8) , the Convention Combating Bribery of Foreign Public Officials in International Business Transactions (OECD) [arts. 9, 11]; the International Convention for the Suppression of the Financing of Terrorism [arts. 12-16]; the Palermo Convention [arts. 18, 21]; Convention Against Corruption (Merida) [arts. 46-49]; Council of Europe Convention on Cybercrime [arts. 25-35].</w:t>
      </w:r>
    </w:p>
  </w:footnote>
  <w:footnote w:id="289">
    <w:p w14:paraId="15AC3948" w14:textId="77777777" w:rsidR="00D850BF" w:rsidRPr="006F29F5" w:rsidRDefault="00D850BF" w:rsidP="00D850BF">
      <w:pPr>
        <w:pStyle w:val="FootnoteText"/>
      </w:pPr>
      <w:r w:rsidRPr="006F29F5">
        <w:rPr>
          <w:rStyle w:val="FootnoteReference"/>
        </w:rPr>
        <w:footnoteRef/>
      </w:r>
      <w:r w:rsidRPr="006F29F5">
        <w:t xml:space="preserve"> [129] As of May 2015, the U.S. had 70 such accords in place with 85 territories.</w:t>
      </w:r>
    </w:p>
  </w:footnote>
  <w:footnote w:id="290">
    <w:p w14:paraId="73E47B5A" w14:textId="77777777" w:rsidR="003D0153" w:rsidRPr="006F29F5" w:rsidRDefault="003D0153" w:rsidP="00253F31">
      <w:pPr>
        <w:pStyle w:val="FootnoteText"/>
        <w:keepLines w:val="0"/>
      </w:pPr>
      <w:r w:rsidRPr="006F29F5">
        <w:rPr>
          <w:rStyle w:val="FootnoteReference"/>
          <w:rFonts w:cs="Times New Roman"/>
          <w:szCs w:val="18"/>
        </w:rPr>
        <w:footnoteRef/>
      </w:r>
      <w:r w:rsidRPr="006F29F5">
        <w:t xml:space="preserve"> [130] For instance the MLATs between the U.S. and Switzerland, the Bahamas and the Cayman Islands exclude fiscal matters, including offences involving taxes, customs duties, governmental monopoly charges and/or exchange control regulations, from the scope of available assistance. Assistance is however generally available for criminal tax matters relating to the proceeds from criminal offences.</w:t>
      </w:r>
    </w:p>
  </w:footnote>
  <w:footnote w:id="291">
    <w:p w14:paraId="5206471F" w14:textId="77777777" w:rsidR="003D0153" w:rsidRPr="006F29F5" w:rsidRDefault="003D0153" w:rsidP="00563A23">
      <w:pPr>
        <w:pStyle w:val="FootnoteText"/>
      </w:pPr>
      <w:r w:rsidRPr="006F29F5">
        <w:rPr>
          <w:rStyle w:val="FootnoteReference"/>
        </w:rPr>
        <w:footnoteRef/>
      </w:r>
      <w:r w:rsidRPr="006F29F5">
        <w:t xml:space="preserve"> </w:t>
      </w:r>
      <w:r w:rsidRPr="006F29F5">
        <w:rPr>
          <w:rFonts w:cs="Times New Roman"/>
          <w:i/>
          <w:szCs w:val="24"/>
        </w:rPr>
        <w:t>Ibid</w:t>
      </w:r>
      <w:r w:rsidRPr="006F29F5">
        <w:rPr>
          <w:rFonts w:cs="Times New Roman"/>
          <w:szCs w:val="24"/>
        </w:rPr>
        <w:t xml:space="preserve"> at 50. © 2011 United Nations. Reprinted with the permission of the United Nations.</w:t>
      </w:r>
    </w:p>
  </w:footnote>
  <w:footnote w:id="292">
    <w:p w14:paraId="1FF88EE5" w14:textId="77777777" w:rsidR="003D0153" w:rsidRPr="006F29F5" w:rsidRDefault="003D0153" w:rsidP="00563A23">
      <w:pPr>
        <w:pStyle w:val="FootnoteText"/>
      </w:pPr>
      <w:r w:rsidRPr="006F29F5">
        <w:rPr>
          <w:rStyle w:val="FootnoteReference"/>
        </w:rPr>
        <w:footnoteRef/>
      </w:r>
      <w:r w:rsidRPr="006F29F5">
        <w:t xml:space="preserve"> </w:t>
      </w:r>
      <w:r w:rsidRPr="006F29F5">
        <w:rPr>
          <w:rFonts w:cs="Times New Roman"/>
          <w:i/>
          <w:szCs w:val="24"/>
        </w:rPr>
        <w:t>Ibid</w:t>
      </w:r>
      <w:r w:rsidRPr="006F29F5">
        <w:rPr>
          <w:rFonts w:cs="Times New Roman"/>
          <w:szCs w:val="24"/>
        </w:rPr>
        <w:t xml:space="preserve"> at 3-4. © 2011 United Nations. Reprinted with the permission of the United Nations.</w:t>
      </w:r>
    </w:p>
  </w:footnote>
  <w:footnote w:id="293">
    <w:p w14:paraId="77BB8A8C" w14:textId="77777777" w:rsidR="003D0153" w:rsidRPr="006F29F5" w:rsidRDefault="003D0153" w:rsidP="00153316">
      <w:pPr>
        <w:pStyle w:val="FootnoteText"/>
        <w:rPr>
          <w:rFonts w:cs="Times New Roman"/>
          <w:szCs w:val="18"/>
        </w:rPr>
      </w:pPr>
      <w:r w:rsidRPr="006F29F5">
        <w:rPr>
          <w:rStyle w:val="FootnoteReference"/>
          <w:rFonts w:cs="Times New Roman"/>
          <w:szCs w:val="18"/>
        </w:rPr>
        <w:footnoteRef/>
      </w:r>
      <w:r w:rsidRPr="006F29F5">
        <w:rPr>
          <w:rFonts w:cs="Times New Roman"/>
          <w:szCs w:val="18"/>
        </w:rPr>
        <w:t xml:space="preserve"> Financial Action Task Force, (2016), at 196-198, online: &lt;</w:t>
      </w:r>
      <w:hyperlink r:id="rId91" w:history="1">
        <w:r w:rsidRPr="006F29F5">
          <w:rPr>
            <w:rStyle w:val="Hyperlink"/>
            <w:rFonts w:cs="Times New Roman"/>
            <w:szCs w:val="18"/>
          </w:rPr>
          <w:t>http://www.fatf-gafi.org/media/fatf/documents/reports/mer4/MER-Canada-2016.pdf</w:t>
        </w:r>
      </w:hyperlink>
      <w:r w:rsidRPr="006F29F5">
        <w:rPr>
          <w:rFonts w:cs="Times New Roman"/>
          <w:szCs w:val="18"/>
        </w:rPr>
        <w:t>&gt;.</w:t>
      </w:r>
    </w:p>
  </w:footnote>
  <w:footnote w:id="294">
    <w:p w14:paraId="5B5E478B" w14:textId="67FF4669" w:rsidR="003D0153" w:rsidRPr="006F29F5" w:rsidRDefault="003D0153">
      <w:pPr>
        <w:pStyle w:val="FootnoteText"/>
      </w:pPr>
      <w:r w:rsidRPr="006F29F5">
        <w:rPr>
          <w:rStyle w:val="FootnoteReference"/>
        </w:rPr>
        <w:footnoteRef/>
      </w:r>
      <w:r w:rsidRPr="006F29F5">
        <w:t xml:space="preserve"> Online: &lt;</w:t>
      </w:r>
      <w:hyperlink r:id="rId92" w:history="1">
        <w:r w:rsidRPr="006F29F5">
          <w:rPr>
            <w:rStyle w:val="Hyperlink"/>
          </w:rPr>
          <w:t>https://www.oecd.org/corruption/ADB-OECD-Mutual-Legal-Assistance-Corruption-2017.pdf</w:t>
        </w:r>
      </w:hyperlink>
      <w:r w:rsidRPr="006F29F5">
        <w:t>&gt;.</w:t>
      </w:r>
    </w:p>
  </w:footnote>
  <w:footnote w:id="295">
    <w:p w14:paraId="52F8536B" w14:textId="7501F087" w:rsidR="003D0153" w:rsidRPr="006F29F5" w:rsidRDefault="003D0153" w:rsidP="000E35A1">
      <w:pPr>
        <w:pStyle w:val="FootnoteText"/>
      </w:pPr>
      <w:r w:rsidRPr="006F29F5">
        <w:rPr>
          <w:rStyle w:val="FootnoteReference"/>
        </w:rPr>
        <w:footnoteRef/>
      </w:r>
      <w:r w:rsidRPr="006F29F5">
        <w:t xml:space="preserve"> Daniel &amp; </w:t>
      </w:r>
      <w:proofErr w:type="spellStart"/>
      <w:r w:rsidRPr="006F29F5">
        <w:t>Maton</w:t>
      </w:r>
      <w:proofErr w:type="spellEnd"/>
      <w:r w:rsidRPr="006F29F5">
        <w:t xml:space="preserve"> (2013) at 310.</w:t>
      </w:r>
    </w:p>
  </w:footnote>
  <w:footnote w:id="296">
    <w:p w14:paraId="5BA1DA7B" w14:textId="3DE2BBA1" w:rsidR="003D0153" w:rsidRPr="006F29F5" w:rsidRDefault="003D0153" w:rsidP="000E35A1">
      <w:pPr>
        <w:pStyle w:val="FootnoteText"/>
      </w:pPr>
      <w:r w:rsidRPr="006F29F5">
        <w:rPr>
          <w:rStyle w:val="FootnoteReference"/>
        </w:rPr>
        <w:footnoteRef/>
      </w:r>
      <w:r w:rsidRPr="006F29F5">
        <w:t xml:space="preserve"> </w:t>
      </w:r>
      <w:r w:rsidRPr="006F29F5">
        <w:rPr>
          <w:i/>
        </w:rPr>
        <w:t>Ibid</w:t>
      </w:r>
      <w:r w:rsidRPr="006F29F5">
        <w:t xml:space="preserve"> at 307. See also </w:t>
      </w:r>
      <w:r w:rsidRPr="006F29F5">
        <w:rPr>
          <w:rFonts w:cs="Times New Roman"/>
          <w:szCs w:val="18"/>
        </w:rPr>
        <w:t xml:space="preserve">UN Digest (2015) </w:t>
      </w:r>
      <w:r w:rsidRPr="006F29F5">
        <w:t>at 11, 70.</w:t>
      </w:r>
    </w:p>
  </w:footnote>
  <w:footnote w:id="297">
    <w:p w14:paraId="7E7CC833" w14:textId="43F906A5" w:rsidR="003D0153" w:rsidRPr="006F29F5" w:rsidRDefault="003D0153" w:rsidP="000E35A1">
      <w:pPr>
        <w:pStyle w:val="FootnoteText"/>
      </w:pPr>
      <w:r w:rsidRPr="006F29F5">
        <w:rPr>
          <w:rStyle w:val="FootnoteReference"/>
        </w:rPr>
        <w:footnoteRef/>
      </w:r>
      <w:r w:rsidRPr="006F29F5">
        <w:t xml:space="preserve"> </w:t>
      </w:r>
      <w:r w:rsidRPr="006F29F5">
        <w:rPr>
          <w:i/>
        </w:rPr>
        <w:t xml:space="preserve">Ibid </w:t>
      </w:r>
      <w:r w:rsidRPr="006F29F5">
        <w:t>at 299–303.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98870" w14:textId="7F6EFC94" w:rsidR="003D0153" w:rsidRPr="000A7C55" w:rsidRDefault="003D0153" w:rsidP="00265B72">
    <w:pPr>
      <w:pStyle w:val="Header"/>
      <w:spacing w:before="0" w:after="0"/>
      <w:ind w:left="-283"/>
      <w:jc w:val="left"/>
      <w:rPr>
        <w:smallCaps/>
      </w:rPr>
    </w:pPr>
    <w:r w:rsidRPr="0060332D">
      <w:rPr>
        <w:smallCaps/>
      </w:rPr>
      <w:t>Global Corruption: Law, Theory &amp; Practice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5370720"/>
      <w:docPartObj>
        <w:docPartGallery w:val="Page Numbers (Top of Page)"/>
        <w:docPartUnique/>
      </w:docPartObj>
    </w:sdtPr>
    <w:sdtEndPr>
      <w:rPr>
        <w:noProof/>
      </w:rPr>
    </w:sdtEndPr>
    <w:sdtContent>
      <w:p w14:paraId="1AFAB6D0" w14:textId="7B98CF07" w:rsidR="003D0153" w:rsidRDefault="003D0153" w:rsidP="00265B72">
        <w:pPr>
          <w:pStyle w:val="Header"/>
          <w:spacing w:before="0" w:after="0"/>
          <w:ind w:right="-283"/>
          <w:jc w:val="right"/>
        </w:pPr>
        <w:r w:rsidRPr="00226F5A">
          <w:rPr>
            <w:smallCaps/>
          </w:rPr>
          <w:t>Ch</w:t>
        </w:r>
        <w:r>
          <w:rPr>
            <w:smallCaps/>
          </w:rPr>
          <w:t>apter</w:t>
        </w:r>
        <w:r w:rsidRPr="00226F5A">
          <w:rPr>
            <w:smallCaps/>
          </w:rPr>
          <w:t xml:space="preserve"> 5</w:t>
        </w:r>
        <w:r>
          <w:rPr>
            <w:smallCaps/>
          </w:rPr>
          <w:t xml:space="preserve"> </w:t>
        </w:r>
        <w:r>
          <w:rPr>
            <w:smallCaps/>
          </w:rPr>
          <w:sym w:font="Webdings" w:char="F07C"/>
        </w:r>
        <w:r>
          <w:t xml:space="preserve"> </w:t>
        </w:r>
        <w:r w:rsidRPr="006C3908">
          <w:rPr>
            <w:smallCaps/>
            <w:szCs w:val="24"/>
          </w:rPr>
          <w:t>Asset Recovery and Mutual Legal Assistance</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7527D" w14:textId="77777777" w:rsidR="003D0153" w:rsidRDefault="003D0153" w:rsidP="00265B72">
    <w:pPr>
      <w:pStyle w:val="Header"/>
      <w:spacing w:before="0"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52E8D"/>
    <w:multiLevelType w:val="hybridMultilevel"/>
    <w:tmpl w:val="1F403946"/>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5B118F5"/>
    <w:multiLevelType w:val="hybridMultilevel"/>
    <w:tmpl w:val="3A006E5C"/>
    <w:lvl w:ilvl="0" w:tplc="DF8ECC18">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66D244F"/>
    <w:multiLevelType w:val="hybridMultilevel"/>
    <w:tmpl w:val="23503F5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15:restartNumberingAfterBreak="0">
    <w:nsid w:val="07F74BAC"/>
    <w:multiLevelType w:val="hybridMultilevel"/>
    <w:tmpl w:val="2E58704A"/>
    <w:lvl w:ilvl="0" w:tplc="E5CA132E">
      <w:numFmt w:val="bullet"/>
      <w:lvlText w:val="-"/>
      <w:lvlJc w:val="left"/>
      <w:pPr>
        <w:ind w:left="720" w:hanging="360"/>
      </w:pPr>
      <w:rPr>
        <w:rFonts w:ascii="Calibri" w:eastAsiaTheme="minorHAnsi" w:hAnsi="Calibri" w:cstheme="minorBidi" w:hint="default"/>
      </w:rPr>
    </w:lvl>
    <w:lvl w:ilvl="1" w:tplc="E5CA132E">
      <w:numFmt w:val="bullet"/>
      <w:lvlText w:val="-"/>
      <w:lvlJc w:val="left"/>
      <w:pPr>
        <w:ind w:left="108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522EAE"/>
    <w:multiLevelType w:val="hybridMultilevel"/>
    <w:tmpl w:val="14CE63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9AF3847"/>
    <w:multiLevelType w:val="hybridMultilevel"/>
    <w:tmpl w:val="512EC58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15:restartNumberingAfterBreak="0">
    <w:nsid w:val="0A174C99"/>
    <w:multiLevelType w:val="hybridMultilevel"/>
    <w:tmpl w:val="935A5020"/>
    <w:lvl w:ilvl="0" w:tplc="DF8ECC18">
      <w:start w:val="1"/>
      <w:numFmt w:val="lowerLett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0B1C744B"/>
    <w:multiLevelType w:val="hybridMultilevel"/>
    <w:tmpl w:val="7EC01516"/>
    <w:lvl w:ilvl="0" w:tplc="C1740B48">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15:restartNumberingAfterBreak="0">
    <w:nsid w:val="0C3D1F83"/>
    <w:multiLevelType w:val="hybridMultilevel"/>
    <w:tmpl w:val="5200345C"/>
    <w:lvl w:ilvl="0" w:tplc="04090001">
      <w:start w:val="1"/>
      <w:numFmt w:val="bullet"/>
      <w:lvlText w:val=""/>
      <w:lvlJc w:val="left"/>
      <w:pPr>
        <w:ind w:left="0" w:hanging="360"/>
      </w:pPr>
      <w:rPr>
        <w:rFonts w:ascii="Symbol" w:hAnsi="Symbol" w:hint="default"/>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abstractNum w:abstractNumId="9" w15:restartNumberingAfterBreak="0">
    <w:nsid w:val="11134AFD"/>
    <w:multiLevelType w:val="hybridMultilevel"/>
    <w:tmpl w:val="4182975C"/>
    <w:lvl w:ilvl="0" w:tplc="78BE93D6">
      <w:start w:val="4"/>
      <w:numFmt w:val="lowerLetter"/>
      <w:lvlText w:val="(%1)"/>
      <w:lvlJc w:val="left"/>
      <w:pPr>
        <w:ind w:left="144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12435DD"/>
    <w:multiLevelType w:val="hybridMultilevel"/>
    <w:tmpl w:val="3656F5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1D019A7"/>
    <w:multiLevelType w:val="hybridMultilevel"/>
    <w:tmpl w:val="95B0FDCC"/>
    <w:lvl w:ilvl="0" w:tplc="351E1C18">
      <w:start w:val="2"/>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2" w15:restartNumberingAfterBreak="0">
    <w:nsid w:val="12B3198D"/>
    <w:multiLevelType w:val="hybridMultilevel"/>
    <w:tmpl w:val="D374AF26"/>
    <w:lvl w:ilvl="0" w:tplc="9E9EBAEA">
      <w:start w:val="2"/>
      <w:numFmt w:val="lowerLetter"/>
      <w:lvlText w:val="(%1)"/>
      <w:lvlJc w:val="left"/>
      <w:pPr>
        <w:ind w:left="144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143D1D19"/>
    <w:multiLevelType w:val="hybridMultilevel"/>
    <w:tmpl w:val="1CD2E772"/>
    <w:lvl w:ilvl="0" w:tplc="AB347DF2">
      <w:start w:val="1"/>
      <w:numFmt w:val="lowerLetter"/>
      <w:lvlText w:val="%1)"/>
      <w:lvlJc w:val="left"/>
      <w:pPr>
        <w:ind w:left="360" w:hanging="360"/>
      </w:pPr>
      <w:rPr>
        <w:i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15:restartNumberingAfterBreak="0">
    <w:nsid w:val="15BA35DE"/>
    <w:multiLevelType w:val="hybridMultilevel"/>
    <w:tmpl w:val="7B04B67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16B7107C"/>
    <w:multiLevelType w:val="hybridMultilevel"/>
    <w:tmpl w:val="6A247DD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6" w15:restartNumberingAfterBreak="0">
    <w:nsid w:val="16C711C3"/>
    <w:multiLevelType w:val="hybridMultilevel"/>
    <w:tmpl w:val="3870B454"/>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7" w15:restartNumberingAfterBreak="0">
    <w:nsid w:val="17C807E0"/>
    <w:multiLevelType w:val="hybridMultilevel"/>
    <w:tmpl w:val="98C2F9F4"/>
    <w:lvl w:ilvl="0" w:tplc="98241DBC">
      <w:start w:val="29"/>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187E5B1B"/>
    <w:multiLevelType w:val="hybridMultilevel"/>
    <w:tmpl w:val="F306F184"/>
    <w:lvl w:ilvl="0" w:tplc="C7DE2998">
      <w:start w:val="27"/>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1A89398B"/>
    <w:multiLevelType w:val="hybridMultilevel"/>
    <w:tmpl w:val="DCCE8DDE"/>
    <w:lvl w:ilvl="0" w:tplc="17DA8858">
      <w:start w:val="22"/>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1B6D5594"/>
    <w:multiLevelType w:val="hybridMultilevel"/>
    <w:tmpl w:val="89BC79E4"/>
    <w:lvl w:ilvl="0" w:tplc="ED126D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9F5240"/>
    <w:multiLevelType w:val="multilevel"/>
    <w:tmpl w:val="D4AC6C38"/>
    <w:lvl w:ilvl="0">
      <w:start w:val="1"/>
      <w:numFmt w:val="decimal"/>
      <w:pStyle w:val="TOCHeading"/>
      <w:lvlText w:val="%1."/>
      <w:lvlJc w:val="left"/>
      <w:pPr>
        <w:ind w:left="360" w:hanging="360"/>
      </w:pPr>
      <w:rPr>
        <w:rFonts w:ascii="Times New Roman" w:hAnsi="Times New Roman" w:hint="default"/>
        <w:b/>
        <w:sz w:val="28"/>
      </w:rPr>
    </w:lvl>
    <w:lvl w:ilvl="1">
      <w:start w:val="1"/>
      <w:numFmt w:val="decimal"/>
      <w:pStyle w:val="ListParagraph"/>
      <w:lvlText w:val="%1.%2"/>
      <w:lvlJc w:val="left"/>
      <w:pPr>
        <w:ind w:left="792" w:hanging="432"/>
      </w:pPr>
      <w:rPr>
        <w:rFonts w:ascii="Times New Roman" w:hAnsi="Times New Roman" w:hint="default"/>
        <w:b/>
        <w:bCs w:val="0"/>
        <w:sz w:val="24"/>
      </w:rPr>
    </w:lvl>
    <w:lvl w:ilvl="2">
      <w:start w:val="1"/>
      <w:numFmt w:val="decimal"/>
      <w:pStyle w:val="TOC3rd"/>
      <w:lvlText w:val="%1.%2.%3"/>
      <w:lvlJc w:val="left"/>
      <w:pPr>
        <w:ind w:left="1224" w:hanging="504"/>
      </w:pPr>
      <w:rPr>
        <w:rFonts w:ascii="Times New Roman" w:hAnsi="Times New Roman" w:hint="default"/>
        <w:b/>
        <w:bCs/>
        <w:sz w:val="24"/>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bCs/>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F5D78EB"/>
    <w:multiLevelType w:val="hybridMultilevel"/>
    <w:tmpl w:val="5F90995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208F52AF"/>
    <w:multiLevelType w:val="hybridMultilevel"/>
    <w:tmpl w:val="923C6F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21597E34"/>
    <w:multiLevelType w:val="hybridMultilevel"/>
    <w:tmpl w:val="EB327E1E"/>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1C371A6"/>
    <w:multiLevelType w:val="hybridMultilevel"/>
    <w:tmpl w:val="78863F48"/>
    <w:lvl w:ilvl="0" w:tplc="04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6" w15:restartNumberingAfterBreak="0">
    <w:nsid w:val="235C47AB"/>
    <w:multiLevelType w:val="hybridMultilevel"/>
    <w:tmpl w:val="629A280C"/>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3967D05"/>
    <w:multiLevelType w:val="hybridMultilevel"/>
    <w:tmpl w:val="E2B4C36E"/>
    <w:lvl w:ilvl="0" w:tplc="D88C06BA">
      <w:start w:val="28"/>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24A86F44"/>
    <w:multiLevelType w:val="hybridMultilevel"/>
    <w:tmpl w:val="943C62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0" w:hanging="360"/>
      </w:pPr>
      <w:rPr>
        <w:rFonts w:ascii="Courier New" w:hAnsi="Courier New" w:cs="Courier New" w:hint="default"/>
      </w:rPr>
    </w:lvl>
    <w:lvl w:ilvl="2" w:tplc="10090005" w:tentative="1">
      <w:start w:val="1"/>
      <w:numFmt w:val="bullet"/>
      <w:lvlText w:val=""/>
      <w:lvlJc w:val="left"/>
      <w:pPr>
        <w:ind w:left="720" w:hanging="360"/>
      </w:pPr>
      <w:rPr>
        <w:rFonts w:ascii="Wingdings" w:hAnsi="Wingdings" w:hint="default"/>
      </w:rPr>
    </w:lvl>
    <w:lvl w:ilvl="3" w:tplc="10090001" w:tentative="1">
      <w:start w:val="1"/>
      <w:numFmt w:val="bullet"/>
      <w:lvlText w:val=""/>
      <w:lvlJc w:val="left"/>
      <w:pPr>
        <w:ind w:left="1440" w:hanging="360"/>
      </w:pPr>
      <w:rPr>
        <w:rFonts w:ascii="Symbol" w:hAnsi="Symbol" w:hint="default"/>
      </w:rPr>
    </w:lvl>
    <w:lvl w:ilvl="4" w:tplc="10090003" w:tentative="1">
      <w:start w:val="1"/>
      <w:numFmt w:val="bullet"/>
      <w:lvlText w:val="o"/>
      <w:lvlJc w:val="left"/>
      <w:pPr>
        <w:ind w:left="2160" w:hanging="360"/>
      </w:pPr>
      <w:rPr>
        <w:rFonts w:ascii="Courier New" w:hAnsi="Courier New" w:cs="Courier New" w:hint="default"/>
      </w:rPr>
    </w:lvl>
    <w:lvl w:ilvl="5" w:tplc="10090005" w:tentative="1">
      <w:start w:val="1"/>
      <w:numFmt w:val="bullet"/>
      <w:lvlText w:val=""/>
      <w:lvlJc w:val="left"/>
      <w:pPr>
        <w:ind w:left="2880" w:hanging="360"/>
      </w:pPr>
      <w:rPr>
        <w:rFonts w:ascii="Wingdings" w:hAnsi="Wingdings" w:hint="default"/>
      </w:rPr>
    </w:lvl>
    <w:lvl w:ilvl="6" w:tplc="10090001" w:tentative="1">
      <w:start w:val="1"/>
      <w:numFmt w:val="bullet"/>
      <w:lvlText w:val=""/>
      <w:lvlJc w:val="left"/>
      <w:pPr>
        <w:ind w:left="3600" w:hanging="360"/>
      </w:pPr>
      <w:rPr>
        <w:rFonts w:ascii="Symbol" w:hAnsi="Symbol" w:hint="default"/>
      </w:rPr>
    </w:lvl>
    <w:lvl w:ilvl="7" w:tplc="10090003" w:tentative="1">
      <w:start w:val="1"/>
      <w:numFmt w:val="bullet"/>
      <w:lvlText w:val="o"/>
      <w:lvlJc w:val="left"/>
      <w:pPr>
        <w:ind w:left="4320" w:hanging="360"/>
      </w:pPr>
      <w:rPr>
        <w:rFonts w:ascii="Courier New" w:hAnsi="Courier New" w:cs="Courier New" w:hint="default"/>
      </w:rPr>
    </w:lvl>
    <w:lvl w:ilvl="8" w:tplc="10090005" w:tentative="1">
      <w:start w:val="1"/>
      <w:numFmt w:val="bullet"/>
      <w:lvlText w:val=""/>
      <w:lvlJc w:val="left"/>
      <w:pPr>
        <w:ind w:left="5040" w:hanging="360"/>
      </w:pPr>
      <w:rPr>
        <w:rFonts w:ascii="Wingdings" w:hAnsi="Wingdings" w:hint="default"/>
      </w:rPr>
    </w:lvl>
  </w:abstractNum>
  <w:abstractNum w:abstractNumId="29" w15:restartNumberingAfterBreak="0">
    <w:nsid w:val="260A0703"/>
    <w:multiLevelType w:val="hybridMultilevel"/>
    <w:tmpl w:val="6128A5DA"/>
    <w:lvl w:ilvl="0" w:tplc="D3E8FF06">
      <w:start w:val="8"/>
      <w:numFmt w:val="decimal"/>
      <w:lvlText w:val="%1."/>
      <w:lvlJc w:val="left"/>
      <w:pPr>
        <w:ind w:left="108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0" w15:restartNumberingAfterBreak="0">
    <w:nsid w:val="267046DD"/>
    <w:multiLevelType w:val="hybridMultilevel"/>
    <w:tmpl w:val="BB94B1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28807977"/>
    <w:multiLevelType w:val="hybridMultilevel"/>
    <w:tmpl w:val="AA8AE4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2A496A4A"/>
    <w:multiLevelType w:val="hybridMultilevel"/>
    <w:tmpl w:val="DA3A8282"/>
    <w:lvl w:ilvl="0" w:tplc="F4D63FD6">
      <w:start w:val="16"/>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30B41AAB"/>
    <w:multiLevelType w:val="hybridMultilevel"/>
    <w:tmpl w:val="AFD2A35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4" w15:restartNumberingAfterBreak="0">
    <w:nsid w:val="32633016"/>
    <w:multiLevelType w:val="multilevel"/>
    <w:tmpl w:val="036CAD5C"/>
    <w:lvl w:ilvl="0">
      <w:start w:val="1"/>
      <w:numFmt w:val="decimal"/>
      <w:pStyle w:val="Heading1"/>
      <w:lvlText w:val="%1."/>
      <w:lvlJc w:val="left"/>
      <w:pPr>
        <w:ind w:left="432" w:hanging="432"/>
      </w:pPr>
      <w:rPr>
        <w:sz w:val="28"/>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32DC5291"/>
    <w:multiLevelType w:val="hybridMultilevel"/>
    <w:tmpl w:val="DF321F8E"/>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6" w15:restartNumberingAfterBreak="0">
    <w:nsid w:val="337C46B5"/>
    <w:multiLevelType w:val="hybridMultilevel"/>
    <w:tmpl w:val="0BF61B8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7" w15:restartNumberingAfterBreak="0">
    <w:nsid w:val="3ACC5151"/>
    <w:multiLevelType w:val="hybridMultilevel"/>
    <w:tmpl w:val="C99271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3C6D5A89"/>
    <w:multiLevelType w:val="hybridMultilevel"/>
    <w:tmpl w:val="3E8AA4D0"/>
    <w:lvl w:ilvl="0" w:tplc="C5981218">
      <w:start w:val="7"/>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3CC468D3"/>
    <w:multiLevelType w:val="hybridMultilevel"/>
    <w:tmpl w:val="DD4AE41C"/>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15:restartNumberingAfterBreak="0">
    <w:nsid w:val="3F555D0C"/>
    <w:multiLevelType w:val="hybridMultilevel"/>
    <w:tmpl w:val="A6B4CFC6"/>
    <w:lvl w:ilvl="0" w:tplc="04090001">
      <w:start w:val="1"/>
      <w:numFmt w:val="bullet"/>
      <w:lvlText w:val=""/>
      <w:lvlJc w:val="left"/>
      <w:pPr>
        <w:ind w:left="0" w:hanging="360"/>
      </w:pPr>
      <w:rPr>
        <w:rFonts w:ascii="Symbol" w:hAnsi="Symbol" w:hint="default"/>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abstractNum w:abstractNumId="41" w15:restartNumberingAfterBreak="0">
    <w:nsid w:val="401D6231"/>
    <w:multiLevelType w:val="hybridMultilevel"/>
    <w:tmpl w:val="0E845F48"/>
    <w:lvl w:ilvl="0" w:tplc="10090001">
      <w:start w:val="1"/>
      <w:numFmt w:val="bullet"/>
      <w:lvlText w:val=""/>
      <w:lvlJc w:val="left"/>
      <w:pPr>
        <w:ind w:left="720" w:hanging="360"/>
      </w:pPr>
      <w:rPr>
        <w:rFonts w:ascii="Symbol" w:hAnsi="Symbol" w:hint="default"/>
      </w:rPr>
    </w:lvl>
    <w:lvl w:ilvl="1" w:tplc="260AA86C">
      <w:start w:val="2"/>
      <w:numFmt w:val="bullet"/>
      <w:lvlText w:val="•"/>
      <w:lvlJc w:val="left"/>
      <w:pPr>
        <w:ind w:left="1440" w:hanging="360"/>
      </w:pPr>
      <w:rPr>
        <w:rFonts w:ascii="Times New Roman" w:eastAsiaTheme="minorHAnsi" w:hAnsi="Times New Roman" w:cs="Times New Roman"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42FB6CA2"/>
    <w:multiLevelType w:val="hybridMultilevel"/>
    <w:tmpl w:val="9AEA79C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3" w15:restartNumberingAfterBreak="0">
    <w:nsid w:val="434F6B2D"/>
    <w:multiLevelType w:val="hybridMultilevel"/>
    <w:tmpl w:val="CE9004AA"/>
    <w:lvl w:ilvl="0" w:tplc="A5C860AA">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4" w15:restartNumberingAfterBreak="0">
    <w:nsid w:val="436B1171"/>
    <w:multiLevelType w:val="hybridMultilevel"/>
    <w:tmpl w:val="DF507E3C"/>
    <w:lvl w:ilvl="0" w:tplc="61C67BAA">
      <w:start w:val="13"/>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15:restartNumberingAfterBreak="0">
    <w:nsid w:val="43DD48DA"/>
    <w:multiLevelType w:val="hybridMultilevel"/>
    <w:tmpl w:val="3E1AEBB6"/>
    <w:lvl w:ilvl="0" w:tplc="C944C49E">
      <w:start w:val="25"/>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6" w15:restartNumberingAfterBreak="0">
    <w:nsid w:val="453A13A8"/>
    <w:multiLevelType w:val="hybridMultilevel"/>
    <w:tmpl w:val="6C8836C6"/>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7" w15:restartNumberingAfterBreak="0">
    <w:nsid w:val="463A6940"/>
    <w:multiLevelType w:val="hybridMultilevel"/>
    <w:tmpl w:val="8144AEAC"/>
    <w:lvl w:ilvl="0" w:tplc="FAB69A4A">
      <w:start w:val="24"/>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8" w15:restartNumberingAfterBreak="0">
    <w:nsid w:val="493822E9"/>
    <w:multiLevelType w:val="multilevel"/>
    <w:tmpl w:val="B59CADDE"/>
    <w:lvl w:ilvl="0">
      <w:start w:val="1"/>
      <w:numFmt w:val="decimal"/>
      <w:lvlText w:val="%1."/>
      <w:lvlJc w:val="left"/>
      <w:pPr>
        <w:ind w:left="360" w:hanging="360"/>
      </w:pPr>
      <w:rPr>
        <w:rFonts w:hint="default"/>
        <w:sz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644" w:hanging="793"/>
      </w:pPr>
      <w:rPr>
        <w:rFonts w:hint="default"/>
        <w:color w:val="auto"/>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93D6432"/>
    <w:multiLevelType w:val="hybridMultilevel"/>
    <w:tmpl w:val="41C469E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0" w15:restartNumberingAfterBreak="0">
    <w:nsid w:val="4D0C1BD0"/>
    <w:multiLevelType w:val="hybridMultilevel"/>
    <w:tmpl w:val="644AD06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1" w15:restartNumberingAfterBreak="0">
    <w:nsid w:val="4E677914"/>
    <w:multiLevelType w:val="hybridMultilevel"/>
    <w:tmpl w:val="DD582F4A"/>
    <w:lvl w:ilvl="0" w:tplc="3E18B10E">
      <w:start w:val="1"/>
      <w:numFmt w:val="lowerRoman"/>
      <w:lvlText w:val="(%1)"/>
      <w:lvlJc w:val="left"/>
      <w:pPr>
        <w:tabs>
          <w:tab w:val="num" w:pos="720"/>
        </w:tabs>
        <w:ind w:left="720" w:hanging="38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2" w15:restartNumberingAfterBreak="0">
    <w:nsid w:val="4E81730E"/>
    <w:multiLevelType w:val="hybridMultilevel"/>
    <w:tmpl w:val="6A3628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4F646AE0"/>
    <w:multiLevelType w:val="hybridMultilevel"/>
    <w:tmpl w:val="B8400560"/>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54" w15:restartNumberingAfterBreak="0">
    <w:nsid w:val="503721CA"/>
    <w:multiLevelType w:val="hybridMultilevel"/>
    <w:tmpl w:val="FF8642A8"/>
    <w:lvl w:ilvl="0" w:tplc="10090001">
      <w:start w:val="1"/>
      <w:numFmt w:val="bullet"/>
      <w:lvlText w:val=""/>
      <w:lvlJc w:val="left"/>
      <w:pPr>
        <w:ind w:left="0" w:hanging="360"/>
      </w:pPr>
      <w:rPr>
        <w:rFonts w:ascii="Symbol" w:hAnsi="Symbol" w:hint="default"/>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abstractNum w:abstractNumId="55" w15:restartNumberingAfterBreak="0">
    <w:nsid w:val="52461AD5"/>
    <w:multiLevelType w:val="hybridMultilevel"/>
    <w:tmpl w:val="0D16595A"/>
    <w:lvl w:ilvl="0" w:tplc="97D0A222">
      <w:start w:val="7"/>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6" w15:restartNumberingAfterBreak="0">
    <w:nsid w:val="53761A19"/>
    <w:multiLevelType w:val="hybridMultilevel"/>
    <w:tmpl w:val="BF222F1A"/>
    <w:lvl w:ilvl="0" w:tplc="B09E1B5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546A3297"/>
    <w:multiLevelType w:val="hybridMultilevel"/>
    <w:tmpl w:val="AA24BD50"/>
    <w:lvl w:ilvl="0" w:tplc="1009000F">
      <w:start w:val="1"/>
      <w:numFmt w:val="decimal"/>
      <w:lvlText w:val="%1."/>
      <w:lvlJc w:val="left"/>
      <w:pPr>
        <w:ind w:left="360" w:hanging="360"/>
      </w:pPr>
    </w:lvl>
    <w:lvl w:ilvl="1" w:tplc="3D6A7B92">
      <w:start w:val="30"/>
      <w:numFmt w:val="decimal"/>
      <w:lvlText w:val="%2."/>
      <w:lvlJc w:val="left"/>
      <w:pPr>
        <w:ind w:left="1080" w:hanging="360"/>
      </w:pPr>
      <w:rPr>
        <w:rFonts w:hint="default"/>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8" w15:restartNumberingAfterBreak="0">
    <w:nsid w:val="55F26C00"/>
    <w:multiLevelType w:val="hybridMultilevel"/>
    <w:tmpl w:val="0324DCB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9" w15:restartNumberingAfterBreak="0">
    <w:nsid w:val="568622D8"/>
    <w:multiLevelType w:val="hybridMultilevel"/>
    <w:tmpl w:val="DE1C78F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0" w15:restartNumberingAfterBreak="0">
    <w:nsid w:val="57AB7259"/>
    <w:multiLevelType w:val="hybridMultilevel"/>
    <w:tmpl w:val="219268FC"/>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1" w15:restartNumberingAfterBreak="0">
    <w:nsid w:val="57DB25CC"/>
    <w:multiLevelType w:val="hybridMultilevel"/>
    <w:tmpl w:val="B81821FA"/>
    <w:lvl w:ilvl="0" w:tplc="DF8ECC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B686232"/>
    <w:multiLevelType w:val="hybridMultilevel"/>
    <w:tmpl w:val="4B043628"/>
    <w:lvl w:ilvl="0" w:tplc="FB605F58">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3" w15:restartNumberingAfterBreak="0">
    <w:nsid w:val="5C254B3C"/>
    <w:multiLevelType w:val="hybridMultilevel"/>
    <w:tmpl w:val="ED3007E2"/>
    <w:lvl w:ilvl="0" w:tplc="ED9E6C38">
      <w:start w:val="1"/>
      <w:numFmt w:val="decimal"/>
      <w:lvlText w:val="%1."/>
      <w:lvlJc w:val="left"/>
      <w:pPr>
        <w:ind w:left="720" w:hanging="360"/>
      </w:pPr>
      <w:rPr>
        <w:b w:val="0"/>
      </w:rPr>
    </w:lvl>
    <w:lvl w:ilvl="1" w:tplc="436843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DE90EFF"/>
    <w:multiLevelType w:val="hybridMultilevel"/>
    <w:tmpl w:val="D0085106"/>
    <w:lvl w:ilvl="0" w:tplc="4E7C722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5F447DA5"/>
    <w:multiLevelType w:val="hybridMultilevel"/>
    <w:tmpl w:val="10503E7C"/>
    <w:lvl w:ilvl="0" w:tplc="10090001">
      <w:start w:val="1"/>
      <w:numFmt w:val="bullet"/>
      <w:lvlText w:val=""/>
      <w:lvlJc w:val="left"/>
      <w:pPr>
        <w:ind w:left="720" w:hanging="360"/>
      </w:pPr>
      <w:rPr>
        <w:rFonts w:ascii="Symbol" w:hAnsi="Symbol" w:hint="default"/>
      </w:rPr>
    </w:lvl>
    <w:lvl w:ilvl="1" w:tplc="99640AF6">
      <w:numFmt w:val="bullet"/>
      <w:lvlText w:val="-"/>
      <w:lvlJc w:val="left"/>
      <w:pPr>
        <w:ind w:left="1440" w:hanging="360"/>
      </w:pPr>
      <w:rPr>
        <w:rFonts w:ascii="Times New Roman" w:eastAsiaTheme="minorHAnsi" w:hAnsi="Times New Roman" w:cs="Times New Roman"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6" w15:restartNumberingAfterBreak="0">
    <w:nsid w:val="604F0439"/>
    <w:multiLevelType w:val="hybridMultilevel"/>
    <w:tmpl w:val="EAFC7B6E"/>
    <w:lvl w:ilvl="0" w:tplc="20A82F10">
      <w:start w:val="1"/>
      <w:numFmt w:val="lowerRoman"/>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7" w15:restartNumberingAfterBreak="0">
    <w:nsid w:val="645569EE"/>
    <w:multiLevelType w:val="hybridMultilevel"/>
    <w:tmpl w:val="1FD232C8"/>
    <w:lvl w:ilvl="0" w:tplc="04090001">
      <w:start w:val="1"/>
      <w:numFmt w:val="bullet"/>
      <w:lvlText w:val=""/>
      <w:lvlJc w:val="left"/>
      <w:pPr>
        <w:ind w:left="0" w:hanging="360"/>
      </w:pPr>
      <w:rPr>
        <w:rFonts w:ascii="Symbol" w:hAnsi="Symbol" w:hint="default"/>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abstractNum w:abstractNumId="68" w15:restartNumberingAfterBreak="0">
    <w:nsid w:val="661B5C43"/>
    <w:multiLevelType w:val="hybridMultilevel"/>
    <w:tmpl w:val="753C0304"/>
    <w:lvl w:ilvl="0" w:tplc="04090001">
      <w:start w:val="1"/>
      <w:numFmt w:val="bullet"/>
      <w:lvlText w:val=""/>
      <w:lvlJc w:val="left"/>
      <w:pPr>
        <w:ind w:left="0" w:hanging="360"/>
      </w:pPr>
      <w:rPr>
        <w:rFonts w:ascii="Symbol" w:hAnsi="Symbol" w:hint="default"/>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abstractNum w:abstractNumId="69" w15:restartNumberingAfterBreak="0">
    <w:nsid w:val="68891EC5"/>
    <w:multiLevelType w:val="hybridMultilevel"/>
    <w:tmpl w:val="E7C4008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0" w15:restartNumberingAfterBreak="0">
    <w:nsid w:val="6AC13E33"/>
    <w:multiLevelType w:val="hybridMultilevel"/>
    <w:tmpl w:val="BC5EF1CC"/>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0" w:hanging="360"/>
      </w:pPr>
      <w:rPr>
        <w:rFonts w:ascii="Courier New" w:hAnsi="Courier New" w:cs="Courier New" w:hint="default"/>
      </w:rPr>
    </w:lvl>
    <w:lvl w:ilvl="2" w:tplc="10090005" w:tentative="1">
      <w:start w:val="1"/>
      <w:numFmt w:val="bullet"/>
      <w:lvlText w:val=""/>
      <w:lvlJc w:val="left"/>
      <w:pPr>
        <w:ind w:left="720" w:hanging="360"/>
      </w:pPr>
      <w:rPr>
        <w:rFonts w:ascii="Wingdings" w:hAnsi="Wingdings" w:hint="default"/>
      </w:rPr>
    </w:lvl>
    <w:lvl w:ilvl="3" w:tplc="10090001" w:tentative="1">
      <w:start w:val="1"/>
      <w:numFmt w:val="bullet"/>
      <w:lvlText w:val=""/>
      <w:lvlJc w:val="left"/>
      <w:pPr>
        <w:ind w:left="1440" w:hanging="360"/>
      </w:pPr>
      <w:rPr>
        <w:rFonts w:ascii="Symbol" w:hAnsi="Symbol" w:hint="default"/>
      </w:rPr>
    </w:lvl>
    <w:lvl w:ilvl="4" w:tplc="10090003" w:tentative="1">
      <w:start w:val="1"/>
      <w:numFmt w:val="bullet"/>
      <w:lvlText w:val="o"/>
      <w:lvlJc w:val="left"/>
      <w:pPr>
        <w:ind w:left="2160" w:hanging="360"/>
      </w:pPr>
      <w:rPr>
        <w:rFonts w:ascii="Courier New" w:hAnsi="Courier New" w:cs="Courier New" w:hint="default"/>
      </w:rPr>
    </w:lvl>
    <w:lvl w:ilvl="5" w:tplc="10090005" w:tentative="1">
      <w:start w:val="1"/>
      <w:numFmt w:val="bullet"/>
      <w:lvlText w:val=""/>
      <w:lvlJc w:val="left"/>
      <w:pPr>
        <w:ind w:left="2880" w:hanging="360"/>
      </w:pPr>
      <w:rPr>
        <w:rFonts w:ascii="Wingdings" w:hAnsi="Wingdings" w:hint="default"/>
      </w:rPr>
    </w:lvl>
    <w:lvl w:ilvl="6" w:tplc="10090001" w:tentative="1">
      <w:start w:val="1"/>
      <w:numFmt w:val="bullet"/>
      <w:lvlText w:val=""/>
      <w:lvlJc w:val="left"/>
      <w:pPr>
        <w:ind w:left="3600" w:hanging="360"/>
      </w:pPr>
      <w:rPr>
        <w:rFonts w:ascii="Symbol" w:hAnsi="Symbol" w:hint="default"/>
      </w:rPr>
    </w:lvl>
    <w:lvl w:ilvl="7" w:tplc="10090003" w:tentative="1">
      <w:start w:val="1"/>
      <w:numFmt w:val="bullet"/>
      <w:lvlText w:val="o"/>
      <w:lvlJc w:val="left"/>
      <w:pPr>
        <w:ind w:left="4320" w:hanging="360"/>
      </w:pPr>
      <w:rPr>
        <w:rFonts w:ascii="Courier New" w:hAnsi="Courier New" w:cs="Courier New" w:hint="default"/>
      </w:rPr>
    </w:lvl>
    <w:lvl w:ilvl="8" w:tplc="10090005" w:tentative="1">
      <w:start w:val="1"/>
      <w:numFmt w:val="bullet"/>
      <w:lvlText w:val=""/>
      <w:lvlJc w:val="left"/>
      <w:pPr>
        <w:ind w:left="5040" w:hanging="360"/>
      </w:pPr>
      <w:rPr>
        <w:rFonts w:ascii="Wingdings" w:hAnsi="Wingdings" w:hint="default"/>
      </w:rPr>
    </w:lvl>
  </w:abstractNum>
  <w:abstractNum w:abstractNumId="71" w15:restartNumberingAfterBreak="0">
    <w:nsid w:val="6B1C6C9D"/>
    <w:multiLevelType w:val="hybridMultilevel"/>
    <w:tmpl w:val="38242E10"/>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2" w15:restartNumberingAfterBreak="0">
    <w:nsid w:val="6E353D55"/>
    <w:multiLevelType w:val="hybridMultilevel"/>
    <w:tmpl w:val="631482AE"/>
    <w:lvl w:ilvl="0" w:tplc="10090017">
      <w:start w:val="1"/>
      <w:numFmt w:val="lowerLetter"/>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73" w15:restartNumberingAfterBreak="0">
    <w:nsid w:val="6ED822CF"/>
    <w:multiLevelType w:val="hybridMultilevel"/>
    <w:tmpl w:val="129890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70AD7625"/>
    <w:multiLevelType w:val="hybridMultilevel"/>
    <w:tmpl w:val="530093C6"/>
    <w:lvl w:ilvl="0" w:tplc="E5CA132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4F23E2A"/>
    <w:multiLevelType w:val="hybridMultilevel"/>
    <w:tmpl w:val="444EB5D0"/>
    <w:lvl w:ilvl="0" w:tplc="40FA3306">
      <w:start w:val="2"/>
      <w:numFmt w:val="lowerLetter"/>
      <w:lvlText w:val="(%1)"/>
      <w:lvlJc w:val="left"/>
      <w:pPr>
        <w:ind w:left="144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6" w15:restartNumberingAfterBreak="0">
    <w:nsid w:val="772B7B00"/>
    <w:multiLevelType w:val="hybridMultilevel"/>
    <w:tmpl w:val="1494BC90"/>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AF85C5D"/>
    <w:multiLevelType w:val="hybridMultilevel"/>
    <w:tmpl w:val="2B8629D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8" w15:restartNumberingAfterBreak="0">
    <w:nsid w:val="7D8E71C8"/>
    <w:multiLevelType w:val="hybridMultilevel"/>
    <w:tmpl w:val="19E6EED8"/>
    <w:lvl w:ilvl="0" w:tplc="23CE0592">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9" w15:restartNumberingAfterBreak="0">
    <w:nsid w:val="7E4979E9"/>
    <w:multiLevelType w:val="hybridMultilevel"/>
    <w:tmpl w:val="6F92A4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0" w15:restartNumberingAfterBreak="0">
    <w:nsid w:val="7E4F5FE8"/>
    <w:multiLevelType w:val="hybridMultilevel"/>
    <w:tmpl w:val="43463D0A"/>
    <w:lvl w:ilvl="0" w:tplc="73249D7A">
      <w:start w:val="1"/>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1" w15:restartNumberingAfterBreak="0">
    <w:nsid w:val="7FEA79BE"/>
    <w:multiLevelType w:val="hybridMultilevel"/>
    <w:tmpl w:val="7B806D2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64"/>
  </w:num>
  <w:num w:numId="2">
    <w:abstractNumId w:val="56"/>
  </w:num>
  <w:num w:numId="3">
    <w:abstractNumId w:val="20"/>
  </w:num>
  <w:num w:numId="4">
    <w:abstractNumId w:val="63"/>
  </w:num>
  <w:num w:numId="5">
    <w:abstractNumId w:val="48"/>
  </w:num>
  <w:num w:numId="6">
    <w:abstractNumId w:val="72"/>
  </w:num>
  <w:num w:numId="7">
    <w:abstractNumId w:val="61"/>
  </w:num>
  <w:num w:numId="8">
    <w:abstractNumId w:val="21"/>
    <w:lvlOverride w:ilvl="0">
      <w:lvl w:ilvl="0">
        <w:start w:val="1"/>
        <w:numFmt w:val="decimal"/>
        <w:pStyle w:val="TOCHeading"/>
        <w:lvlText w:val="%1."/>
        <w:lvlJc w:val="left"/>
        <w:pPr>
          <w:ind w:left="360" w:hanging="360"/>
        </w:pPr>
        <w:rPr>
          <w:rFonts w:ascii="Times New Roman" w:hAnsi="Times New Roman" w:hint="default"/>
          <w:b/>
          <w:sz w:val="28"/>
        </w:rPr>
      </w:lvl>
    </w:lvlOverride>
    <w:lvlOverride w:ilvl="1">
      <w:lvl w:ilvl="1">
        <w:start w:val="1"/>
        <w:numFmt w:val="decimal"/>
        <w:pStyle w:val="ListParagraph"/>
        <w:lvlText w:val="%1.%2"/>
        <w:lvlJc w:val="left"/>
        <w:pPr>
          <w:ind w:left="7002" w:hanging="432"/>
        </w:pPr>
        <w:rPr>
          <w:rFonts w:ascii="Times New Roman" w:hAnsi="Times New Roman" w:hint="default"/>
          <w:b/>
          <w:bCs w:val="0"/>
          <w:sz w:val="24"/>
        </w:rPr>
      </w:lvl>
    </w:lvlOverride>
    <w:lvlOverride w:ilvl="2">
      <w:lvl w:ilvl="2">
        <w:start w:val="1"/>
        <w:numFmt w:val="decimal"/>
        <w:pStyle w:val="TOC3rd"/>
        <w:lvlText w:val="%1.%2.%3"/>
        <w:lvlJc w:val="left"/>
        <w:pPr>
          <w:ind w:left="1418" w:hanging="698"/>
        </w:pPr>
        <w:rPr>
          <w:rFonts w:ascii="Times New Roman" w:hAnsi="Times New Roman" w:hint="default"/>
          <w:b/>
          <w:bCs/>
          <w:sz w:val="24"/>
        </w:rPr>
      </w:lvl>
    </w:lvlOverride>
    <w:lvlOverride w:ilvl="3">
      <w:lvl w:ilvl="3">
        <w:start w:val="1"/>
        <w:numFmt w:val="decimal"/>
        <w:lvlText w:val="%1.%2.%3.%4."/>
        <w:lvlJc w:val="left"/>
        <w:pPr>
          <w:ind w:left="1728" w:hanging="648"/>
        </w:pPr>
        <w:rPr>
          <w:rFonts w:hint="default"/>
          <w:b/>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b/>
          <w:bCs/>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
    <w:abstractNumId w:val="13"/>
  </w:num>
  <w:num w:numId="10">
    <w:abstractNumId w:val="50"/>
  </w:num>
  <w:num w:numId="11">
    <w:abstractNumId w:val="28"/>
  </w:num>
  <w:num w:numId="12">
    <w:abstractNumId w:val="30"/>
  </w:num>
  <w:num w:numId="13">
    <w:abstractNumId w:val="54"/>
  </w:num>
  <w:num w:numId="14">
    <w:abstractNumId w:val="31"/>
  </w:num>
  <w:num w:numId="15">
    <w:abstractNumId w:val="49"/>
  </w:num>
  <w:num w:numId="16">
    <w:abstractNumId w:val="10"/>
  </w:num>
  <w:num w:numId="17">
    <w:abstractNumId w:val="37"/>
  </w:num>
  <w:num w:numId="18">
    <w:abstractNumId w:val="23"/>
  </w:num>
  <w:num w:numId="19">
    <w:abstractNumId w:val="65"/>
  </w:num>
  <w:num w:numId="20">
    <w:abstractNumId w:val="41"/>
  </w:num>
  <w:num w:numId="21">
    <w:abstractNumId w:val="79"/>
  </w:num>
  <w:num w:numId="22">
    <w:abstractNumId w:val="26"/>
  </w:num>
  <w:num w:numId="23">
    <w:abstractNumId w:val="76"/>
  </w:num>
  <w:num w:numId="24">
    <w:abstractNumId w:val="78"/>
  </w:num>
  <w:num w:numId="25">
    <w:abstractNumId w:val="59"/>
  </w:num>
  <w:num w:numId="26">
    <w:abstractNumId w:val="6"/>
  </w:num>
  <w:num w:numId="27">
    <w:abstractNumId w:val="1"/>
  </w:num>
  <w:num w:numId="28">
    <w:abstractNumId w:val="22"/>
  </w:num>
  <w:num w:numId="29">
    <w:abstractNumId w:val="34"/>
  </w:num>
  <w:num w:numId="30">
    <w:abstractNumId w:val="7"/>
  </w:num>
  <w:num w:numId="31">
    <w:abstractNumId w:val="57"/>
  </w:num>
  <w:num w:numId="32">
    <w:abstractNumId w:val="52"/>
  </w:num>
  <w:num w:numId="33">
    <w:abstractNumId w:val="73"/>
  </w:num>
  <w:num w:numId="34">
    <w:abstractNumId w:val="74"/>
  </w:num>
  <w:num w:numId="35">
    <w:abstractNumId w:val="3"/>
  </w:num>
  <w:num w:numId="36">
    <w:abstractNumId w:val="5"/>
  </w:num>
  <w:num w:numId="37">
    <w:abstractNumId w:val="70"/>
  </w:num>
  <w:num w:numId="38">
    <w:abstractNumId w:val="0"/>
  </w:num>
  <w:num w:numId="39">
    <w:abstractNumId w:val="67"/>
  </w:num>
  <w:num w:numId="40">
    <w:abstractNumId w:val="68"/>
  </w:num>
  <w:num w:numId="41">
    <w:abstractNumId w:val="71"/>
  </w:num>
  <w:num w:numId="42">
    <w:abstractNumId w:val="8"/>
  </w:num>
  <w:num w:numId="43">
    <w:abstractNumId w:val="40"/>
  </w:num>
  <w:num w:numId="44">
    <w:abstractNumId w:val="60"/>
  </w:num>
  <w:num w:numId="45">
    <w:abstractNumId w:val="39"/>
  </w:num>
  <w:num w:numId="46">
    <w:abstractNumId w:val="25"/>
  </w:num>
  <w:num w:numId="47">
    <w:abstractNumId w:val="24"/>
  </w:num>
  <w:num w:numId="48">
    <w:abstractNumId w:val="51"/>
  </w:num>
  <w:num w:numId="49">
    <w:abstractNumId w:val="33"/>
  </w:num>
  <w:num w:numId="50">
    <w:abstractNumId w:val="14"/>
  </w:num>
  <w:num w:numId="51">
    <w:abstractNumId w:val="35"/>
  </w:num>
  <w:num w:numId="52">
    <w:abstractNumId w:val="36"/>
  </w:num>
  <w:num w:numId="53">
    <w:abstractNumId w:val="77"/>
  </w:num>
  <w:num w:numId="54">
    <w:abstractNumId w:val="58"/>
  </w:num>
  <w:num w:numId="55">
    <w:abstractNumId w:val="42"/>
  </w:num>
  <w:num w:numId="56">
    <w:abstractNumId w:val="81"/>
  </w:num>
  <w:num w:numId="57">
    <w:abstractNumId w:val="69"/>
  </w:num>
  <w:num w:numId="58">
    <w:abstractNumId w:val="15"/>
  </w:num>
  <w:num w:numId="59">
    <w:abstractNumId w:val="43"/>
  </w:num>
  <w:num w:numId="60">
    <w:abstractNumId w:val="2"/>
  </w:num>
  <w:num w:numId="61">
    <w:abstractNumId w:val="66"/>
  </w:num>
  <w:num w:numId="62">
    <w:abstractNumId w:val="75"/>
  </w:num>
  <w:num w:numId="63">
    <w:abstractNumId w:val="12"/>
  </w:num>
  <w:num w:numId="64">
    <w:abstractNumId w:val="55"/>
  </w:num>
  <w:num w:numId="65">
    <w:abstractNumId w:val="11"/>
  </w:num>
  <w:num w:numId="66">
    <w:abstractNumId w:val="9"/>
  </w:num>
  <w:num w:numId="67">
    <w:abstractNumId w:val="29"/>
  </w:num>
  <w:num w:numId="68">
    <w:abstractNumId w:val="19"/>
  </w:num>
  <w:num w:numId="69">
    <w:abstractNumId w:val="45"/>
  </w:num>
  <w:num w:numId="70">
    <w:abstractNumId w:val="62"/>
  </w:num>
  <w:num w:numId="71">
    <w:abstractNumId w:val="16"/>
  </w:num>
  <w:num w:numId="72">
    <w:abstractNumId w:val="18"/>
  </w:num>
  <w:num w:numId="73">
    <w:abstractNumId w:val="17"/>
  </w:num>
  <w:num w:numId="74">
    <w:abstractNumId w:val="53"/>
  </w:num>
  <w:num w:numId="75">
    <w:abstractNumId w:val="80"/>
  </w:num>
  <w:num w:numId="76">
    <w:abstractNumId w:val="38"/>
  </w:num>
  <w:num w:numId="77">
    <w:abstractNumId w:val="44"/>
  </w:num>
  <w:num w:numId="78">
    <w:abstractNumId w:val="46"/>
  </w:num>
  <w:num w:numId="79">
    <w:abstractNumId w:val="32"/>
  </w:num>
  <w:num w:numId="80">
    <w:abstractNumId w:val="47"/>
  </w:num>
  <w:num w:numId="81">
    <w:abstractNumId w:val="27"/>
  </w:num>
  <w:num w:numId="82">
    <w:abstractNumId w:val="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CA" w:vendorID="64" w:dllVersion="6" w:nlCheck="1" w:checkStyle="1"/>
  <w:activeWritingStyle w:appName="MSWord" w:lang="en-US" w:vendorID="64" w:dllVersion="6" w:nlCheck="1" w:checkStyle="1"/>
  <w:activeWritingStyle w:appName="MSWord" w:lang="en-CA" w:vendorID="64" w:dllVersion="4096" w:nlCheck="1" w:checkStyle="0"/>
  <w:activeWritingStyle w:appName="MSWord" w:lang="en-US" w:vendorID="64" w:dllVersion="4096" w:nlCheck="1" w:checkStyle="0"/>
  <w:activeWritingStyle w:appName="MSWord" w:lang="en-CA" w:vendorID="64" w:dllVersion="131078" w:nlCheck="1" w:checkStyle="1"/>
  <w:activeWritingStyle w:appName="MSWord" w:lang="en-US" w:vendorID="64" w:dllVersion="131078" w:nlCheck="1" w:checkStyle="1"/>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7B6"/>
    <w:rsid w:val="000006C2"/>
    <w:rsid w:val="0000075D"/>
    <w:rsid w:val="00000991"/>
    <w:rsid w:val="000019EC"/>
    <w:rsid w:val="00001BC9"/>
    <w:rsid w:val="00001D69"/>
    <w:rsid w:val="00002791"/>
    <w:rsid w:val="000030D4"/>
    <w:rsid w:val="00003F89"/>
    <w:rsid w:val="00005348"/>
    <w:rsid w:val="00005387"/>
    <w:rsid w:val="00005EC0"/>
    <w:rsid w:val="00007809"/>
    <w:rsid w:val="000100BD"/>
    <w:rsid w:val="000106F7"/>
    <w:rsid w:val="00011012"/>
    <w:rsid w:val="00011132"/>
    <w:rsid w:val="00011557"/>
    <w:rsid w:val="00011756"/>
    <w:rsid w:val="00011CA3"/>
    <w:rsid w:val="00012550"/>
    <w:rsid w:val="00013B0D"/>
    <w:rsid w:val="00014910"/>
    <w:rsid w:val="00014C7E"/>
    <w:rsid w:val="00014D55"/>
    <w:rsid w:val="0002194B"/>
    <w:rsid w:val="0002259F"/>
    <w:rsid w:val="000235B0"/>
    <w:rsid w:val="000235F8"/>
    <w:rsid w:val="000238EC"/>
    <w:rsid w:val="00023ADD"/>
    <w:rsid w:val="00024338"/>
    <w:rsid w:val="000248FF"/>
    <w:rsid w:val="00025BC8"/>
    <w:rsid w:val="00026D9A"/>
    <w:rsid w:val="00027F0A"/>
    <w:rsid w:val="00027F25"/>
    <w:rsid w:val="00030B9E"/>
    <w:rsid w:val="000315F6"/>
    <w:rsid w:val="00031C65"/>
    <w:rsid w:val="000320A1"/>
    <w:rsid w:val="000322E6"/>
    <w:rsid w:val="0003411B"/>
    <w:rsid w:val="0003589A"/>
    <w:rsid w:val="00035EEA"/>
    <w:rsid w:val="00037584"/>
    <w:rsid w:val="00040154"/>
    <w:rsid w:val="00040168"/>
    <w:rsid w:val="0004066B"/>
    <w:rsid w:val="00040936"/>
    <w:rsid w:val="0004093F"/>
    <w:rsid w:val="00040C4F"/>
    <w:rsid w:val="00040CD9"/>
    <w:rsid w:val="00041541"/>
    <w:rsid w:val="00041670"/>
    <w:rsid w:val="0004206B"/>
    <w:rsid w:val="0004245A"/>
    <w:rsid w:val="000427D3"/>
    <w:rsid w:val="000438D1"/>
    <w:rsid w:val="00044DE9"/>
    <w:rsid w:val="000457E4"/>
    <w:rsid w:val="00045B08"/>
    <w:rsid w:val="00046069"/>
    <w:rsid w:val="00046A15"/>
    <w:rsid w:val="000471F1"/>
    <w:rsid w:val="00047444"/>
    <w:rsid w:val="00047940"/>
    <w:rsid w:val="00051498"/>
    <w:rsid w:val="000516A0"/>
    <w:rsid w:val="00051748"/>
    <w:rsid w:val="00051AA7"/>
    <w:rsid w:val="0005284E"/>
    <w:rsid w:val="00055097"/>
    <w:rsid w:val="000562D5"/>
    <w:rsid w:val="0005658E"/>
    <w:rsid w:val="00056823"/>
    <w:rsid w:val="00057186"/>
    <w:rsid w:val="0006005A"/>
    <w:rsid w:val="00061AD8"/>
    <w:rsid w:val="00061E19"/>
    <w:rsid w:val="00062405"/>
    <w:rsid w:val="00062636"/>
    <w:rsid w:val="00062709"/>
    <w:rsid w:val="00062A58"/>
    <w:rsid w:val="00062D76"/>
    <w:rsid w:val="00064674"/>
    <w:rsid w:val="00065185"/>
    <w:rsid w:val="00065978"/>
    <w:rsid w:val="00065C15"/>
    <w:rsid w:val="0006608F"/>
    <w:rsid w:val="000662A0"/>
    <w:rsid w:val="000665BA"/>
    <w:rsid w:val="000668FA"/>
    <w:rsid w:val="00070FC8"/>
    <w:rsid w:val="00071645"/>
    <w:rsid w:val="00071680"/>
    <w:rsid w:val="00072AD7"/>
    <w:rsid w:val="000733AF"/>
    <w:rsid w:val="00074DE2"/>
    <w:rsid w:val="00074E3F"/>
    <w:rsid w:val="00075458"/>
    <w:rsid w:val="000805A3"/>
    <w:rsid w:val="00081BF9"/>
    <w:rsid w:val="000821F3"/>
    <w:rsid w:val="000825F6"/>
    <w:rsid w:val="00083313"/>
    <w:rsid w:val="00083BA9"/>
    <w:rsid w:val="0008472A"/>
    <w:rsid w:val="0008474D"/>
    <w:rsid w:val="00084909"/>
    <w:rsid w:val="0008503F"/>
    <w:rsid w:val="0008578A"/>
    <w:rsid w:val="00085DB9"/>
    <w:rsid w:val="000864DA"/>
    <w:rsid w:val="00086ED6"/>
    <w:rsid w:val="00087208"/>
    <w:rsid w:val="00087B19"/>
    <w:rsid w:val="00090C24"/>
    <w:rsid w:val="00090E82"/>
    <w:rsid w:val="00090EF0"/>
    <w:rsid w:val="00091085"/>
    <w:rsid w:val="000915A1"/>
    <w:rsid w:val="0009165C"/>
    <w:rsid w:val="000919A6"/>
    <w:rsid w:val="00091B3D"/>
    <w:rsid w:val="00092A3A"/>
    <w:rsid w:val="00093B2A"/>
    <w:rsid w:val="00093DA9"/>
    <w:rsid w:val="000943B4"/>
    <w:rsid w:val="00094A54"/>
    <w:rsid w:val="00094CF1"/>
    <w:rsid w:val="00095401"/>
    <w:rsid w:val="00097B6D"/>
    <w:rsid w:val="000A0CC8"/>
    <w:rsid w:val="000A2AAF"/>
    <w:rsid w:val="000A4907"/>
    <w:rsid w:val="000A58BC"/>
    <w:rsid w:val="000A6530"/>
    <w:rsid w:val="000A6BCB"/>
    <w:rsid w:val="000A6DF8"/>
    <w:rsid w:val="000A79D9"/>
    <w:rsid w:val="000A7C55"/>
    <w:rsid w:val="000B02A1"/>
    <w:rsid w:val="000B0451"/>
    <w:rsid w:val="000B05BE"/>
    <w:rsid w:val="000B0B1F"/>
    <w:rsid w:val="000B16B9"/>
    <w:rsid w:val="000B2866"/>
    <w:rsid w:val="000B3962"/>
    <w:rsid w:val="000B4A52"/>
    <w:rsid w:val="000B4ECD"/>
    <w:rsid w:val="000B527E"/>
    <w:rsid w:val="000B55FA"/>
    <w:rsid w:val="000B59A4"/>
    <w:rsid w:val="000B67CA"/>
    <w:rsid w:val="000B6ECF"/>
    <w:rsid w:val="000B72F6"/>
    <w:rsid w:val="000C2340"/>
    <w:rsid w:val="000C2A8D"/>
    <w:rsid w:val="000C4010"/>
    <w:rsid w:val="000C48E4"/>
    <w:rsid w:val="000C57C0"/>
    <w:rsid w:val="000C5BB0"/>
    <w:rsid w:val="000C613D"/>
    <w:rsid w:val="000C61CB"/>
    <w:rsid w:val="000C631E"/>
    <w:rsid w:val="000C67C5"/>
    <w:rsid w:val="000C6915"/>
    <w:rsid w:val="000C6965"/>
    <w:rsid w:val="000C7923"/>
    <w:rsid w:val="000D06C4"/>
    <w:rsid w:val="000D122D"/>
    <w:rsid w:val="000D12C3"/>
    <w:rsid w:val="000D13DB"/>
    <w:rsid w:val="000D1CBA"/>
    <w:rsid w:val="000D2A70"/>
    <w:rsid w:val="000D41D7"/>
    <w:rsid w:val="000D4AB7"/>
    <w:rsid w:val="000D52C2"/>
    <w:rsid w:val="000D56AB"/>
    <w:rsid w:val="000D56CD"/>
    <w:rsid w:val="000D7DE6"/>
    <w:rsid w:val="000E0233"/>
    <w:rsid w:val="000E0BC8"/>
    <w:rsid w:val="000E115D"/>
    <w:rsid w:val="000E2DEA"/>
    <w:rsid w:val="000E31F0"/>
    <w:rsid w:val="000E35A1"/>
    <w:rsid w:val="000E3A01"/>
    <w:rsid w:val="000E45DE"/>
    <w:rsid w:val="000E4CD5"/>
    <w:rsid w:val="000E5B32"/>
    <w:rsid w:val="000F060A"/>
    <w:rsid w:val="000F0C42"/>
    <w:rsid w:val="000F1CF4"/>
    <w:rsid w:val="000F3B5B"/>
    <w:rsid w:val="000F3F01"/>
    <w:rsid w:val="000F41AA"/>
    <w:rsid w:val="000F48FB"/>
    <w:rsid w:val="000F4954"/>
    <w:rsid w:val="000F5019"/>
    <w:rsid w:val="000F5B82"/>
    <w:rsid w:val="000F5BF9"/>
    <w:rsid w:val="000F6447"/>
    <w:rsid w:val="000F685E"/>
    <w:rsid w:val="000F7880"/>
    <w:rsid w:val="000F7AB5"/>
    <w:rsid w:val="00100205"/>
    <w:rsid w:val="00100BE6"/>
    <w:rsid w:val="00101425"/>
    <w:rsid w:val="001034B3"/>
    <w:rsid w:val="00103BCA"/>
    <w:rsid w:val="00103F86"/>
    <w:rsid w:val="001043AF"/>
    <w:rsid w:val="001045C7"/>
    <w:rsid w:val="00106507"/>
    <w:rsid w:val="00106653"/>
    <w:rsid w:val="00106BE9"/>
    <w:rsid w:val="001071AE"/>
    <w:rsid w:val="001074A3"/>
    <w:rsid w:val="001074B8"/>
    <w:rsid w:val="00110729"/>
    <w:rsid w:val="00110834"/>
    <w:rsid w:val="00113946"/>
    <w:rsid w:val="00114133"/>
    <w:rsid w:val="00114AB1"/>
    <w:rsid w:val="00116029"/>
    <w:rsid w:val="001161A0"/>
    <w:rsid w:val="00116921"/>
    <w:rsid w:val="001170D7"/>
    <w:rsid w:val="001175FF"/>
    <w:rsid w:val="00117E12"/>
    <w:rsid w:val="00117E6C"/>
    <w:rsid w:val="001204FF"/>
    <w:rsid w:val="00120AF6"/>
    <w:rsid w:val="00120F97"/>
    <w:rsid w:val="0012156B"/>
    <w:rsid w:val="00121BD7"/>
    <w:rsid w:val="001225CC"/>
    <w:rsid w:val="00124144"/>
    <w:rsid w:val="001247C2"/>
    <w:rsid w:val="00125064"/>
    <w:rsid w:val="0013001A"/>
    <w:rsid w:val="001301C6"/>
    <w:rsid w:val="0013092D"/>
    <w:rsid w:val="001312E1"/>
    <w:rsid w:val="001313E4"/>
    <w:rsid w:val="001323E2"/>
    <w:rsid w:val="00133084"/>
    <w:rsid w:val="00133766"/>
    <w:rsid w:val="00134015"/>
    <w:rsid w:val="00134259"/>
    <w:rsid w:val="0013479F"/>
    <w:rsid w:val="001349E7"/>
    <w:rsid w:val="00134F1A"/>
    <w:rsid w:val="00135870"/>
    <w:rsid w:val="00137035"/>
    <w:rsid w:val="001375F8"/>
    <w:rsid w:val="00137B38"/>
    <w:rsid w:val="001421FB"/>
    <w:rsid w:val="00142863"/>
    <w:rsid w:val="00143F2C"/>
    <w:rsid w:val="00144C6D"/>
    <w:rsid w:val="0014518F"/>
    <w:rsid w:val="001474CA"/>
    <w:rsid w:val="00147926"/>
    <w:rsid w:val="00147D7A"/>
    <w:rsid w:val="00151055"/>
    <w:rsid w:val="0015131A"/>
    <w:rsid w:val="00151B4B"/>
    <w:rsid w:val="0015297D"/>
    <w:rsid w:val="00153316"/>
    <w:rsid w:val="001539AC"/>
    <w:rsid w:val="00154520"/>
    <w:rsid w:val="00155C69"/>
    <w:rsid w:val="0015607D"/>
    <w:rsid w:val="001565AD"/>
    <w:rsid w:val="001570BE"/>
    <w:rsid w:val="00157F16"/>
    <w:rsid w:val="0016027C"/>
    <w:rsid w:val="00162C37"/>
    <w:rsid w:val="00163195"/>
    <w:rsid w:val="0016413F"/>
    <w:rsid w:val="00164644"/>
    <w:rsid w:val="00164CB2"/>
    <w:rsid w:val="00166411"/>
    <w:rsid w:val="00166C0E"/>
    <w:rsid w:val="001671A4"/>
    <w:rsid w:val="00167DAE"/>
    <w:rsid w:val="00170382"/>
    <w:rsid w:val="001707BD"/>
    <w:rsid w:val="00170E44"/>
    <w:rsid w:val="00171429"/>
    <w:rsid w:val="00172101"/>
    <w:rsid w:val="001724EE"/>
    <w:rsid w:val="00172D66"/>
    <w:rsid w:val="0017384F"/>
    <w:rsid w:val="00174DCC"/>
    <w:rsid w:val="001753B4"/>
    <w:rsid w:val="0017553F"/>
    <w:rsid w:val="00175B65"/>
    <w:rsid w:val="00176956"/>
    <w:rsid w:val="00177C4A"/>
    <w:rsid w:val="001805B2"/>
    <w:rsid w:val="0018117E"/>
    <w:rsid w:val="00181450"/>
    <w:rsid w:val="0018225F"/>
    <w:rsid w:val="0018283C"/>
    <w:rsid w:val="00182935"/>
    <w:rsid w:val="00183421"/>
    <w:rsid w:val="001834B7"/>
    <w:rsid w:val="00184B11"/>
    <w:rsid w:val="001855E7"/>
    <w:rsid w:val="00185F03"/>
    <w:rsid w:val="001862FD"/>
    <w:rsid w:val="00186A6B"/>
    <w:rsid w:val="00191325"/>
    <w:rsid w:val="00192C02"/>
    <w:rsid w:val="00193713"/>
    <w:rsid w:val="0019573D"/>
    <w:rsid w:val="0019718A"/>
    <w:rsid w:val="00197558"/>
    <w:rsid w:val="00197F67"/>
    <w:rsid w:val="001A0D8D"/>
    <w:rsid w:val="001A11C0"/>
    <w:rsid w:val="001A1D39"/>
    <w:rsid w:val="001A24EF"/>
    <w:rsid w:val="001A25AB"/>
    <w:rsid w:val="001A2C38"/>
    <w:rsid w:val="001A361A"/>
    <w:rsid w:val="001A3D92"/>
    <w:rsid w:val="001A42EF"/>
    <w:rsid w:val="001A54C0"/>
    <w:rsid w:val="001A6202"/>
    <w:rsid w:val="001A6CC9"/>
    <w:rsid w:val="001A6DB1"/>
    <w:rsid w:val="001A7716"/>
    <w:rsid w:val="001A7AFA"/>
    <w:rsid w:val="001B00A7"/>
    <w:rsid w:val="001B13CC"/>
    <w:rsid w:val="001B2AF9"/>
    <w:rsid w:val="001B4197"/>
    <w:rsid w:val="001B4A9D"/>
    <w:rsid w:val="001B4B83"/>
    <w:rsid w:val="001B4EE7"/>
    <w:rsid w:val="001B5283"/>
    <w:rsid w:val="001B5C1E"/>
    <w:rsid w:val="001B5E8D"/>
    <w:rsid w:val="001B7634"/>
    <w:rsid w:val="001C051A"/>
    <w:rsid w:val="001C0AFC"/>
    <w:rsid w:val="001C15BE"/>
    <w:rsid w:val="001C22C3"/>
    <w:rsid w:val="001C26D5"/>
    <w:rsid w:val="001C279A"/>
    <w:rsid w:val="001C3F60"/>
    <w:rsid w:val="001C4CB2"/>
    <w:rsid w:val="001C53A0"/>
    <w:rsid w:val="001C5720"/>
    <w:rsid w:val="001C5EEA"/>
    <w:rsid w:val="001C68E2"/>
    <w:rsid w:val="001C6974"/>
    <w:rsid w:val="001C6F1F"/>
    <w:rsid w:val="001D02C6"/>
    <w:rsid w:val="001D06E9"/>
    <w:rsid w:val="001D0BA0"/>
    <w:rsid w:val="001D118B"/>
    <w:rsid w:val="001D1FED"/>
    <w:rsid w:val="001D2049"/>
    <w:rsid w:val="001D2AA7"/>
    <w:rsid w:val="001D3C4C"/>
    <w:rsid w:val="001D3EC6"/>
    <w:rsid w:val="001D4767"/>
    <w:rsid w:val="001D4C65"/>
    <w:rsid w:val="001D50D6"/>
    <w:rsid w:val="001D64F7"/>
    <w:rsid w:val="001D715E"/>
    <w:rsid w:val="001D7280"/>
    <w:rsid w:val="001D77C5"/>
    <w:rsid w:val="001E0936"/>
    <w:rsid w:val="001E0AAF"/>
    <w:rsid w:val="001E0C64"/>
    <w:rsid w:val="001E1028"/>
    <w:rsid w:val="001E2212"/>
    <w:rsid w:val="001E2755"/>
    <w:rsid w:val="001E2944"/>
    <w:rsid w:val="001E33B1"/>
    <w:rsid w:val="001E3CF2"/>
    <w:rsid w:val="001E47B9"/>
    <w:rsid w:val="001E47C7"/>
    <w:rsid w:val="001E4AE1"/>
    <w:rsid w:val="001E5BBB"/>
    <w:rsid w:val="001E6173"/>
    <w:rsid w:val="001E65B1"/>
    <w:rsid w:val="001F02E2"/>
    <w:rsid w:val="001F1360"/>
    <w:rsid w:val="001F2B0E"/>
    <w:rsid w:val="001F3774"/>
    <w:rsid w:val="001F46BE"/>
    <w:rsid w:val="001F4DAA"/>
    <w:rsid w:val="001F58B9"/>
    <w:rsid w:val="001F65E7"/>
    <w:rsid w:val="001F66EF"/>
    <w:rsid w:val="001F6DEF"/>
    <w:rsid w:val="001F7C73"/>
    <w:rsid w:val="00200A4D"/>
    <w:rsid w:val="00200CDE"/>
    <w:rsid w:val="00203070"/>
    <w:rsid w:val="0020457E"/>
    <w:rsid w:val="00204862"/>
    <w:rsid w:val="00204A1C"/>
    <w:rsid w:val="00205505"/>
    <w:rsid w:val="002055ED"/>
    <w:rsid w:val="00205C2A"/>
    <w:rsid w:val="00205E89"/>
    <w:rsid w:val="00206818"/>
    <w:rsid w:val="002075AC"/>
    <w:rsid w:val="0020762F"/>
    <w:rsid w:val="00210635"/>
    <w:rsid w:val="002107DA"/>
    <w:rsid w:val="00211034"/>
    <w:rsid w:val="002120CD"/>
    <w:rsid w:val="002120F4"/>
    <w:rsid w:val="00213793"/>
    <w:rsid w:val="00213AC2"/>
    <w:rsid w:val="0021468C"/>
    <w:rsid w:val="00214EBF"/>
    <w:rsid w:val="002166C5"/>
    <w:rsid w:val="002179B2"/>
    <w:rsid w:val="00217CB6"/>
    <w:rsid w:val="002200EF"/>
    <w:rsid w:val="0022041D"/>
    <w:rsid w:val="002204AC"/>
    <w:rsid w:val="00220AC9"/>
    <w:rsid w:val="00220BB8"/>
    <w:rsid w:val="00221277"/>
    <w:rsid w:val="0022338F"/>
    <w:rsid w:val="002257AD"/>
    <w:rsid w:val="0022587E"/>
    <w:rsid w:val="00225980"/>
    <w:rsid w:val="00225C17"/>
    <w:rsid w:val="00226759"/>
    <w:rsid w:val="00226977"/>
    <w:rsid w:val="00226DF0"/>
    <w:rsid w:val="00226E4C"/>
    <w:rsid w:val="00226F5A"/>
    <w:rsid w:val="00227A95"/>
    <w:rsid w:val="0023039E"/>
    <w:rsid w:val="00230DDC"/>
    <w:rsid w:val="00230EB1"/>
    <w:rsid w:val="00231259"/>
    <w:rsid w:val="00231DBC"/>
    <w:rsid w:val="00231FFE"/>
    <w:rsid w:val="00232D69"/>
    <w:rsid w:val="0023373F"/>
    <w:rsid w:val="002347D6"/>
    <w:rsid w:val="002348CF"/>
    <w:rsid w:val="00235511"/>
    <w:rsid w:val="00235EC6"/>
    <w:rsid w:val="00236A29"/>
    <w:rsid w:val="002371E6"/>
    <w:rsid w:val="00237B5E"/>
    <w:rsid w:val="002402BB"/>
    <w:rsid w:val="00241019"/>
    <w:rsid w:val="00241EE6"/>
    <w:rsid w:val="00242298"/>
    <w:rsid w:val="002427C4"/>
    <w:rsid w:val="00242ADF"/>
    <w:rsid w:val="00243DBC"/>
    <w:rsid w:val="00244E06"/>
    <w:rsid w:val="00244E8B"/>
    <w:rsid w:val="002455CB"/>
    <w:rsid w:val="002473DB"/>
    <w:rsid w:val="00247B99"/>
    <w:rsid w:val="0025078B"/>
    <w:rsid w:val="00252308"/>
    <w:rsid w:val="00252725"/>
    <w:rsid w:val="002534C3"/>
    <w:rsid w:val="00253597"/>
    <w:rsid w:val="00253BBB"/>
    <w:rsid w:val="00253F31"/>
    <w:rsid w:val="00254754"/>
    <w:rsid w:val="00254CE6"/>
    <w:rsid w:val="0025677A"/>
    <w:rsid w:val="00256921"/>
    <w:rsid w:val="00256AB7"/>
    <w:rsid w:val="002570D3"/>
    <w:rsid w:val="00257C54"/>
    <w:rsid w:val="0026292B"/>
    <w:rsid w:val="00262D33"/>
    <w:rsid w:val="00263E48"/>
    <w:rsid w:val="00263E5A"/>
    <w:rsid w:val="002645D8"/>
    <w:rsid w:val="00264B23"/>
    <w:rsid w:val="00264B8B"/>
    <w:rsid w:val="00264D19"/>
    <w:rsid w:val="00264D8B"/>
    <w:rsid w:val="00265B72"/>
    <w:rsid w:val="00265E3A"/>
    <w:rsid w:val="00267CB5"/>
    <w:rsid w:val="00267E6D"/>
    <w:rsid w:val="0027033E"/>
    <w:rsid w:val="00270988"/>
    <w:rsid w:val="002709A4"/>
    <w:rsid w:val="00270BB6"/>
    <w:rsid w:val="00271476"/>
    <w:rsid w:val="00272856"/>
    <w:rsid w:val="00272938"/>
    <w:rsid w:val="00272E52"/>
    <w:rsid w:val="00273D3E"/>
    <w:rsid w:val="00273DC1"/>
    <w:rsid w:val="00274160"/>
    <w:rsid w:val="00274CA2"/>
    <w:rsid w:val="00274D65"/>
    <w:rsid w:val="00275238"/>
    <w:rsid w:val="002759A2"/>
    <w:rsid w:val="00275B68"/>
    <w:rsid w:val="00275F4A"/>
    <w:rsid w:val="00276375"/>
    <w:rsid w:val="00276E66"/>
    <w:rsid w:val="002775F4"/>
    <w:rsid w:val="00277BD6"/>
    <w:rsid w:val="00280441"/>
    <w:rsid w:val="0028044B"/>
    <w:rsid w:val="00280455"/>
    <w:rsid w:val="00280F34"/>
    <w:rsid w:val="00281D7C"/>
    <w:rsid w:val="0028281B"/>
    <w:rsid w:val="00282CD1"/>
    <w:rsid w:val="00284221"/>
    <w:rsid w:val="00284780"/>
    <w:rsid w:val="00284F36"/>
    <w:rsid w:val="00285680"/>
    <w:rsid w:val="00285DD3"/>
    <w:rsid w:val="002865C5"/>
    <w:rsid w:val="002867C1"/>
    <w:rsid w:val="002869FA"/>
    <w:rsid w:val="002870F5"/>
    <w:rsid w:val="00287C01"/>
    <w:rsid w:val="00291181"/>
    <w:rsid w:val="00291F42"/>
    <w:rsid w:val="00292CCB"/>
    <w:rsid w:val="00293027"/>
    <w:rsid w:val="00293190"/>
    <w:rsid w:val="002942D4"/>
    <w:rsid w:val="00294A5C"/>
    <w:rsid w:val="002961E0"/>
    <w:rsid w:val="002962BD"/>
    <w:rsid w:val="002965DB"/>
    <w:rsid w:val="002967D5"/>
    <w:rsid w:val="00296AEB"/>
    <w:rsid w:val="00296AF3"/>
    <w:rsid w:val="00297548"/>
    <w:rsid w:val="002A07C3"/>
    <w:rsid w:val="002A0C59"/>
    <w:rsid w:val="002A1695"/>
    <w:rsid w:val="002A2074"/>
    <w:rsid w:val="002A3199"/>
    <w:rsid w:val="002A3A0D"/>
    <w:rsid w:val="002A4B91"/>
    <w:rsid w:val="002A4FF3"/>
    <w:rsid w:val="002A6C11"/>
    <w:rsid w:val="002B0B30"/>
    <w:rsid w:val="002B0BD4"/>
    <w:rsid w:val="002B1314"/>
    <w:rsid w:val="002B19F3"/>
    <w:rsid w:val="002B1F53"/>
    <w:rsid w:val="002B2395"/>
    <w:rsid w:val="002B398D"/>
    <w:rsid w:val="002B3DF6"/>
    <w:rsid w:val="002B489F"/>
    <w:rsid w:val="002B494C"/>
    <w:rsid w:val="002B4C15"/>
    <w:rsid w:val="002B51CB"/>
    <w:rsid w:val="002B59BD"/>
    <w:rsid w:val="002B61D8"/>
    <w:rsid w:val="002B6B85"/>
    <w:rsid w:val="002B6BDC"/>
    <w:rsid w:val="002B6D34"/>
    <w:rsid w:val="002B6D8D"/>
    <w:rsid w:val="002B7AFC"/>
    <w:rsid w:val="002C084C"/>
    <w:rsid w:val="002C13FD"/>
    <w:rsid w:val="002C2A7E"/>
    <w:rsid w:val="002C3259"/>
    <w:rsid w:val="002C4672"/>
    <w:rsid w:val="002C4D3C"/>
    <w:rsid w:val="002C58F7"/>
    <w:rsid w:val="002C62B5"/>
    <w:rsid w:val="002C6618"/>
    <w:rsid w:val="002C7A45"/>
    <w:rsid w:val="002C7DB6"/>
    <w:rsid w:val="002D03BF"/>
    <w:rsid w:val="002D074E"/>
    <w:rsid w:val="002D1483"/>
    <w:rsid w:val="002D28CA"/>
    <w:rsid w:val="002D2E64"/>
    <w:rsid w:val="002D2F92"/>
    <w:rsid w:val="002D3D29"/>
    <w:rsid w:val="002D4999"/>
    <w:rsid w:val="002D5B4E"/>
    <w:rsid w:val="002D5E17"/>
    <w:rsid w:val="002D6C40"/>
    <w:rsid w:val="002D77A7"/>
    <w:rsid w:val="002E01CF"/>
    <w:rsid w:val="002E044F"/>
    <w:rsid w:val="002E1106"/>
    <w:rsid w:val="002E1740"/>
    <w:rsid w:val="002E1781"/>
    <w:rsid w:val="002E1CD8"/>
    <w:rsid w:val="002E3E66"/>
    <w:rsid w:val="002E43F0"/>
    <w:rsid w:val="002E4CDE"/>
    <w:rsid w:val="002E62FB"/>
    <w:rsid w:val="002E6424"/>
    <w:rsid w:val="002E6C3C"/>
    <w:rsid w:val="002E7979"/>
    <w:rsid w:val="002E7C30"/>
    <w:rsid w:val="002F0512"/>
    <w:rsid w:val="002F0733"/>
    <w:rsid w:val="002F1790"/>
    <w:rsid w:val="002F18ED"/>
    <w:rsid w:val="002F1AA1"/>
    <w:rsid w:val="002F1E0C"/>
    <w:rsid w:val="002F24C0"/>
    <w:rsid w:val="002F3627"/>
    <w:rsid w:val="002F3CA1"/>
    <w:rsid w:val="002F5D39"/>
    <w:rsid w:val="002F6404"/>
    <w:rsid w:val="002F71EC"/>
    <w:rsid w:val="002F78A2"/>
    <w:rsid w:val="002F7FDB"/>
    <w:rsid w:val="00300982"/>
    <w:rsid w:val="00300B83"/>
    <w:rsid w:val="00300DFC"/>
    <w:rsid w:val="00300FE0"/>
    <w:rsid w:val="00302C48"/>
    <w:rsid w:val="003033C3"/>
    <w:rsid w:val="003035FE"/>
    <w:rsid w:val="0030489B"/>
    <w:rsid w:val="0030490F"/>
    <w:rsid w:val="0030498A"/>
    <w:rsid w:val="00304C5E"/>
    <w:rsid w:val="003052AD"/>
    <w:rsid w:val="00305D44"/>
    <w:rsid w:val="00307769"/>
    <w:rsid w:val="00310229"/>
    <w:rsid w:val="00310507"/>
    <w:rsid w:val="0031092C"/>
    <w:rsid w:val="00311673"/>
    <w:rsid w:val="00312F92"/>
    <w:rsid w:val="003132E9"/>
    <w:rsid w:val="00313360"/>
    <w:rsid w:val="00314294"/>
    <w:rsid w:val="00314EAB"/>
    <w:rsid w:val="0031558F"/>
    <w:rsid w:val="00315F55"/>
    <w:rsid w:val="00316780"/>
    <w:rsid w:val="00316C58"/>
    <w:rsid w:val="00317A3D"/>
    <w:rsid w:val="00317ABE"/>
    <w:rsid w:val="0032121A"/>
    <w:rsid w:val="00321E90"/>
    <w:rsid w:val="003228B1"/>
    <w:rsid w:val="003236BA"/>
    <w:rsid w:val="00323C71"/>
    <w:rsid w:val="00324A2E"/>
    <w:rsid w:val="00324CEC"/>
    <w:rsid w:val="003251A8"/>
    <w:rsid w:val="003259D5"/>
    <w:rsid w:val="00326184"/>
    <w:rsid w:val="0032680F"/>
    <w:rsid w:val="00327408"/>
    <w:rsid w:val="003277C6"/>
    <w:rsid w:val="00327D22"/>
    <w:rsid w:val="00330902"/>
    <w:rsid w:val="003311CA"/>
    <w:rsid w:val="00331B0E"/>
    <w:rsid w:val="00331DB9"/>
    <w:rsid w:val="003326DD"/>
    <w:rsid w:val="0033360E"/>
    <w:rsid w:val="003349DD"/>
    <w:rsid w:val="00334A53"/>
    <w:rsid w:val="00334BFE"/>
    <w:rsid w:val="00335E55"/>
    <w:rsid w:val="00337C5D"/>
    <w:rsid w:val="00337DC0"/>
    <w:rsid w:val="0034086B"/>
    <w:rsid w:val="00340B97"/>
    <w:rsid w:val="00340BBE"/>
    <w:rsid w:val="00342024"/>
    <w:rsid w:val="0034256F"/>
    <w:rsid w:val="003426EA"/>
    <w:rsid w:val="00342BCC"/>
    <w:rsid w:val="00342D45"/>
    <w:rsid w:val="0034425B"/>
    <w:rsid w:val="00344616"/>
    <w:rsid w:val="00345238"/>
    <w:rsid w:val="003454B9"/>
    <w:rsid w:val="00345D53"/>
    <w:rsid w:val="0034695B"/>
    <w:rsid w:val="00347823"/>
    <w:rsid w:val="0034797B"/>
    <w:rsid w:val="003511C8"/>
    <w:rsid w:val="00351AE0"/>
    <w:rsid w:val="003527B6"/>
    <w:rsid w:val="003528C6"/>
    <w:rsid w:val="00353078"/>
    <w:rsid w:val="003535FC"/>
    <w:rsid w:val="00354675"/>
    <w:rsid w:val="003548EA"/>
    <w:rsid w:val="00354DD3"/>
    <w:rsid w:val="00355786"/>
    <w:rsid w:val="00355CF7"/>
    <w:rsid w:val="00356EE9"/>
    <w:rsid w:val="003577EA"/>
    <w:rsid w:val="003608D2"/>
    <w:rsid w:val="00361DA9"/>
    <w:rsid w:val="003621E2"/>
    <w:rsid w:val="00362417"/>
    <w:rsid w:val="00363FB1"/>
    <w:rsid w:val="00364BDA"/>
    <w:rsid w:val="00366126"/>
    <w:rsid w:val="003668D1"/>
    <w:rsid w:val="00366CB8"/>
    <w:rsid w:val="003700F1"/>
    <w:rsid w:val="00370B14"/>
    <w:rsid w:val="00370B47"/>
    <w:rsid w:val="00370E63"/>
    <w:rsid w:val="00370F4C"/>
    <w:rsid w:val="003714A3"/>
    <w:rsid w:val="0037214C"/>
    <w:rsid w:val="0037215A"/>
    <w:rsid w:val="00372DB0"/>
    <w:rsid w:val="0037366A"/>
    <w:rsid w:val="00374317"/>
    <w:rsid w:val="00374B64"/>
    <w:rsid w:val="00374E60"/>
    <w:rsid w:val="003760B2"/>
    <w:rsid w:val="00376565"/>
    <w:rsid w:val="0037665F"/>
    <w:rsid w:val="0037690F"/>
    <w:rsid w:val="00377A53"/>
    <w:rsid w:val="00377B61"/>
    <w:rsid w:val="00380C07"/>
    <w:rsid w:val="00380C7F"/>
    <w:rsid w:val="0038100E"/>
    <w:rsid w:val="00381C59"/>
    <w:rsid w:val="00382F3C"/>
    <w:rsid w:val="003837E9"/>
    <w:rsid w:val="00383B90"/>
    <w:rsid w:val="00384523"/>
    <w:rsid w:val="00384C62"/>
    <w:rsid w:val="00384D1A"/>
    <w:rsid w:val="003858A7"/>
    <w:rsid w:val="00385A59"/>
    <w:rsid w:val="00385E6B"/>
    <w:rsid w:val="00387685"/>
    <w:rsid w:val="00391347"/>
    <w:rsid w:val="00391FB5"/>
    <w:rsid w:val="003922CD"/>
    <w:rsid w:val="00392476"/>
    <w:rsid w:val="00392689"/>
    <w:rsid w:val="003931E6"/>
    <w:rsid w:val="00394917"/>
    <w:rsid w:val="00394F02"/>
    <w:rsid w:val="00395AB4"/>
    <w:rsid w:val="00396889"/>
    <w:rsid w:val="003968DB"/>
    <w:rsid w:val="00396CDD"/>
    <w:rsid w:val="003973D8"/>
    <w:rsid w:val="003A0218"/>
    <w:rsid w:val="003A081B"/>
    <w:rsid w:val="003A11B6"/>
    <w:rsid w:val="003A14A6"/>
    <w:rsid w:val="003A199A"/>
    <w:rsid w:val="003A32B4"/>
    <w:rsid w:val="003A3D2B"/>
    <w:rsid w:val="003A4C0F"/>
    <w:rsid w:val="003A566C"/>
    <w:rsid w:val="003A5841"/>
    <w:rsid w:val="003A7619"/>
    <w:rsid w:val="003A7CD1"/>
    <w:rsid w:val="003A7D26"/>
    <w:rsid w:val="003B0688"/>
    <w:rsid w:val="003B1162"/>
    <w:rsid w:val="003B1378"/>
    <w:rsid w:val="003B139A"/>
    <w:rsid w:val="003B1595"/>
    <w:rsid w:val="003B15C6"/>
    <w:rsid w:val="003B2608"/>
    <w:rsid w:val="003B2C8A"/>
    <w:rsid w:val="003B5579"/>
    <w:rsid w:val="003B5B2F"/>
    <w:rsid w:val="003B5F9F"/>
    <w:rsid w:val="003B64C2"/>
    <w:rsid w:val="003B6A1F"/>
    <w:rsid w:val="003B728A"/>
    <w:rsid w:val="003B7AC4"/>
    <w:rsid w:val="003B7BE3"/>
    <w:rsid w:val="003B7F23"/>
    <w:rsid w:val="003C14A7"/>
    <w:rsid w:val="003C23A9"/>
    <w:rsid w:val="003C279E"/>
    <w:rsid w:val="003C27E9"/>
    <w:rsid w:val="003C2F88"/>
    <w:rsid w:val="003C32BF"/>
    <w:rsid w:val="003C40A8"/>
    <w:rsid w:val="003C4525"/>
    <w:rsid w:val="003C4534"/>
    <w:rsid w:val="003C45D1"/>
    <w:rsid w:val="003C46E8"/>
    <w:rsid w:val="003C4E69"/>
    <w:rsid w:val="003C4EB2"/>
    <w:rsid w:val="003C6038"/>
    <w:rsid w:val="003C6EAC"/>
    <w:rsid w:val="003C7E9C"/>
    <w:rsid w:val="003D0153"/>
    <w:rsid w:val="003D0354"/>
    <w:rsid w:val="003D0724"/>
    <w:rsid w:val="003D193E"/>
    <w:rsid w:val="003D25E3"/>
    <w:rsid w:val="003D3C96"/>
    <w:rsid w:val="003D3D07"/>
    <w:rsid w:val="003D445A"/>
    <w:rsid w:val="003D501B"/>
    <w:rsid w:val="003D6A21"/>
    <w:rsid w:val="003D7290"/>
    <w:rsid w:val="003E2925"/>
    <w:rsid w:val="003E3394"/>
    <w:rsid w:val="003E3E5D"/>
    <w:rsid w:val="003E40AE"/>
    <w:rsid w:val="003E4155"/>
    <w:rsid w:val="003E4C8E"/>
    <w:rsid w:val="003E58A9"/>
    <w:rsid w:val="003E64B2"/>
    <w:rsid w:val="003E6AA6"/>
    <w:rsid w:val="003E70DE"/>
    <w:rsid w:val="003E777D"/>
    <w:rsid w:val="003E7BB8"/>
    <w:rsid w:val="003F0188"/>
    <w:rsid w:val="003F01A8"/>
    <w:rsid w:val="003F0465"/>
    <w:rsid w:val="003F100D"/>
    <w:rsid w:val="003F1222"/>
    <w:rsid w:val="003F156F"/>
    <w:rsid w:val="003F2110"/>
    <w:rsid w:val="003F2928"/>
    <w:rsid w:val="003F2D38"/>
    <w:rsid w:val="003F2E23"/>
    <w:rsid w:val="003F3655"/>
    <w:rsid w:val="003F3F34"/>
    <w:rsid w:val="003F45EA"/>
    <w:rsid w:val="003F570E"/>
    <w:rsid w:val="003F5E8B"/>
    <w:rsid w:val="003F6047"/>
    <w:rsid w:val="003F609B"/>
    <w:rsid w:val="003F7261"/>
    <w:rsid w:val="003F7496"/>
    <w:rsid w:val="003F7B31"/>
    <w:rsid w:val="00400083"/>
    <w:rsid w:val="00401497"/>
    <w:rsid w:val="004021E8"/>
    <w:rsid w:val="004029E1"/>
    <w:rsid w:val="00404A69"/>
    <w:rsid w:val="00406117"/>
    <w:rsid w:val="0040675C"/>
    <w:rsid w:val="004069CF"/>
    <w:rsid w:val="004071E0"/>
    <w:rsid w:val="004075CD"/>
    <w:rsid w:val="00407815"/>
    <w:rsid w:val="00410B01"/>
    <w:rsid w:val="00410DE4"/>
    <w:rsid w:val="00411A3A"/>
    <w:rsid w:val="00411DA8"/>
    <w:rsid w:val="00413FDB"/>
    <w:rsid w:val="004146C7"/>
    <w:rsid w:val="00414E1E"/>
    <w:rsid w:val="00415709"/>
    <w:rsid w:val="00416AF5"/>
    <w:rsid w:val="00417252"/>
    <w:rsid w:val="0041779E"/>
    <w:rsid w:val="0042011E"/>
    <w:rsid w:val="00421BB0"/>
    <w:rsid w:val="00422307"/>
    <w:rsid w:val="00422569"/>
    <w:rsid w:val="004239FD"/>
    <w:rsid w:val="00424322"/>
    <w:rsid w:val="004249BD"/>
    <w:rsid w:val="004303DD"/>
    <w:rsid w:val="00430FAC"/>
    <w:rsid w:val="004310DB"/>
    <w:rsid w:val="00431376"/>
    <w:rsid w:val="004313D6"/>
    <w:rsid w:val="00432956"/>
    <w:rsid w:val="00433CC5"/>
    <w:rsid w:val="00434198"/>
    <w:rsid w:val="004349B9"/>
    <w:rsid w:val="00435532"/>
    <w:rsid w:val="00435740"/>
    <w:rsid w:val="00435D48"/>
    <w:rsid w:val="00437809"/>
    <w:rsid w:val="00437F59"/>
    <w:rsid w:val="00442065"/>
    <w:rsid w:val="00442E4C"/>
    <w:rsid w:val="0044329B"/>
    <w:rsid w:val="00443A73"/>
    <w:rsid w:val="004441E6"/>
    <w:rsid w:val="00444AF4"/>
    <w:rsid w:val="00445141"/>
    <w:rsid w:val="00445182"/>
    <w:rsid w:val="00446FAA"/>
    <w:rsid w:val="004477D8"/>
    <w:rsid w:val="00450A0F"/>
    <w:rsid w:val="00450AE3"/>
    <w:rsid w:val="00451441"/>
    <w:rsid w:val="00451D12"/>
    <w:rsid w:val="00453539"/>
    <w:rsid w:val="004537F5"/>
    <w:rsid w:val="004547A1"/>
    <w:rsid w:val="00454C5F"/>
    <w:rsid w:val="00454F5A"/>
    <w:rsid w:val="004559C8"/>
    <w:rsid w:val="00456520"/>
    <w:rsid w:val="004566DB"/>
    <w:rsid w:val="00457696"/>
    <w:rsid w:val="0045785C"/>
    <w:rsid w:val="00457916"/>
    <w:rsid w:val="0046025B"/>
    <w:rsid w:val="0046051B"/>
    <w:rsid w:val="00461747"/>
    <w:rsid w:val="00461B34"/>
    <w:rsid w:val="00461EFC"/>
    <w:rsid w:val="004623D8"/>
    <w:rsid w:val="0046350E"/>
    <w:rsid w:val="00463CE2"/>
    <w:rsid w:val="00463D4C"/>
    <w:rsid w:val="00464361"/>
    <w:rsid w:val="00464557"/>
    <w:rsid w:val="00464620"/>
    <w:rsid w:val="00465D64"/>
    <w:rsid w:val="0046611E"/>
    <w:rsid w:val="0046659C"/>
    <w:rsid w:val="004668BD"/>
    <w:rsid w:val="00467102"/>
    <w:rsid w:val="00467434"/>
    <w:rsid w:val="004716CA"/>
    <w:rsid w:val="00471DB0"/>
    <w:rsid w:val="0047326B"/>
    <w:rsid w:val="004733CF"/>
    <w:rsid w:val="00473820"/>
    <w:rsid w:val="004738BE"/>
    <w:rsid w:val="0047516D"/>
    <w:rsid w:val="00475400"/>
    <w:rsid w:val="004755F0"/>
    <w:rsid w:val="004757CD"/>
    <w:rsid w:val="0047614A"/>
    <w:rsid w:val="004763BB"/>
    <w:rsid w:val="004765CD"/>
    <w:rsid w:val="00477DD1"/>
    <w:rsid w:val="00480186"/>
    <w:rsid w:val="004801B3"/>
    <w:rsid w:val="00481461"/>
    <w:rsid w:val="00481548"/>
    <w:rsid w:val="00481987"/>
    <w:rsid w:val="00481BB3"/>
    <w:rsid w:val="004829BD"/>
    <w:rsid w:val="0048327D"/>
    <w:rsid w:val="004832C0"/>
    <w:rsid w:val="004837E4"/>
    <w:rsid w:val="00483A5E"/>
    <w:rsid w:val="00483CE1"/>
    <w:rsid w:val="004842D7"/>
    <w:rsid w:val="00484A43"/>
    <w:rsid w:val="0048579C"/>
    <w:rsid w:val="0048663A"/>
    <w:rsid w:val="0048705A"/>
    <w:rsid w:val="004872C0"/>
    <w:rsid w:val="004875C2"/>
    <w:rsid w:val="00487E8C"/>
    <w:rsid w:val="00490B2B"/>
    <w:rsid w:val="00490CE0"/>
    <w:rsid w:val="00490D2E"/>
    <w:rsid w:val="00490E86"/>
    <w:rsid w:val="0049237A"/>
    <w:rsid w:val="00493D71"/>
    <w:rsid w:val="004963B1"/>
    <w:rsid w:val="00496AEB"/>
    <w:rsid w:val="004972D7"/>
    <w:rsid w:val="00497428"/>
    <w:rsid w:val="004A00D9"/>
    <w:rsid w:val="004A01A3"/>
    <w:rsid w:val="004A0224"/>
    <w:rsid w:val="004A028A"/>
    <w:rsid w:val="004A088E"/>
    <w:rsid w:val="004A135E"/>
    <w:rsid w:val="004A14F6"/>
    <w:rsid w:val="004A18D3"/>
    <w:rsid w:val="004A1B5F"/>
    <w:rsid w:val="004A1D12"/>
    <w:rsid w:val="004A1F62"/>
    <w:rsid w:val="004A2DA4"/>
    <w:rsid w:val="004A4218"/>
    <w:rsid w:val="004A5BF2"/>
    <w:rsid w:val="004A5C0F"/>
    <w:rsid w:val="004A5F18"/>
    <w:rsid w:val="004A6228"/>
    <w:rsid w:val="004A67D8"/>
    <w:rsid w:val="004B0E60"/>
    <w:rsid w:val="004B1496"/>
    <w:rsid w:val="004B1616"/>
    <w:rsid w:val="004B372B"/>
    <w:rsid w:val="004B3790"/>
    <w:rsid w:val="004B3A35"/>
    <w:rsid w:val="004B3D03"/>
    <w:rsid w:val="004B4101"/>
    <w:rsid w:val="004B4342"/>
    <w:rsid w:val="004B59A4"/>
    <w:rsid w:val="004B5A00"/>
    <w:rsid w:val="004B6B32"/>
    <w:rsid w:val="004B79A0"/>
    <w:rsid w:val="004B79C2"/>
    <w:rsid w:val="004C0562"/>
    <w:rsid w:val="004C3E6D"/>
    <w:rsid w:val="004C4DEA"/>
    <w:rsid w:val="004C4FA1"/>
    <w:rsid w:val="004C50DB"/>
    <w:rsid w:val="004C5941"/>
    <w:rsid w:val="004C5983"/>
    <w:rsid w:val="004C5F03"/>
    <w:rsid w:val="004C6546"/>
    <w:rsid w:val="004C664D"/>
    <w:rsid w:val="004C6668"/>
    <w:rsid w:val="004C7499"/>
    <w:rsid w:val="004D0EFE"/>
    <w:rsid w:val="004D15D1"/>
    <w:rsid w:val="004D1725"/>
    <w:rsid w:val="004D2B2F"/>
    <w:rsid w:val="004D3A6B"/>
    <w:rsid w:val="004D67B1"/>
    <w:rsid w:val="004E0B28"/>
    <w:rsid w:val="004E1175"/>
    <w:rsid w:val="004E15C0"/>
    <w:rsid w:val="004E26CE"/>
    <w:rsid w:val="004E3555"/>
    <w:rsid w:val="004E3732"/>
    <w:rsid w:val="004E3B0F"/>
    <w:rsid w:val="004E3F39"/>
    <w:rsid w:val="004E4234"/>
    <w:rsid w:val="004E4F16"/>
    <w:rsid w:val="004E79F8"/>
    <w:rsid w:val="004E7C7F"/>
    <w:rsid w:val="004E7E4C"/>
    <w:rsid w:val="004F04F1"/>
    <w:rsid w:val="004F0A5F"/>
    <w:rsid w:val="004F0E53"/>
    <w:rsid w:val="004F149B"/>
    <w:rsid w:val="004F1934"/>
    <w:rsid w:val="004F19B4"/>
    <w:rsid w:val="004F1DAC"/>
    <w:rsid w:val="004F1EAD"/>
    <w:rsid w:val="004F37DF"/>
    <w:rsid w:val="004F3AC5"/>
    <w:rsid w:val="004F5235"/>
    <w:rsid w:val="004F5310"/>
    <w:rsid w:val="004F559E"/>
    <w:rsid w:val="004F6AEA"/>
    <w:rsid w:val="004F7AD0"/>
    <w:rsid w:val="004F7E54"/>
    <w:rsid w:val="005007DA"/>
    <w:rsid w:val="00500D14"/>
    <w:rsid w:val="00501E5B"/>
    <w:rsid w:val="00502305"/>
    <w:rsid w:val="00502941"/>
    <w:rsid w:val="005032E4"/>
    <w:rsid w:val="00503ABD"/>
    <w:rsid w:val="0050434F"/>
    <w:rsid w:val="00504CF8"/>
    <w:rsid w:val="0050519B"/>
    <w:rsid w:val="00505D82"/>
    <w:rsid w:val="00505E7A"/>
    <w:rsid w:val="00506B68"/>
    <w:rsid w:val="00506D9E"/>
    <w:rsid w:val="005071F8"/>
    <w:rsid w:val="005073A5"/>
    <w:rsid w:val="005073D8"/>
    <w:rsid w:val="00507711"/>
    <w:rsid w:val="00507C1D"/>
    <w:rsid w:val="0051007F"/>
    <w:rsid w:val="00510250"/>
    <w:rsid w:val="00510C79"/>
    <w:rsid w:val="00511FE1"/>
    <w:rsid w:val="00513F54"/>
    <w:rsid w:val="00513F9A"/>
    <w:rsid w:val="0051436A"/>
    <w:rsid w:val="00514BFB"/>
    <w:rsid w:val="00515E04"/>
    <w:rsid w:val="00516582"/>
    <w:rsid w:val="00516AD4"/>
    <w:rsid w:val="0052083E"/>
    <w:rsid w:val="0052089E"/>
    <w:rsid w:val="00520E8F"/>
    <w:rsid w:val="00522533"/>
    <w:rsid w:val="00522A81"/>
    <w:rsid w:val="00522D44"/>
    <w:rsid w:val="00522E37"/>
    <w:rsid w:val="00524C30"/>
    <w:rsid w:val="005255DD"/>
    <w:rsid w:val="00525831"/>
    <w:rsid w:val="0052670A"/>
    <w:rsid w:val="00526D36"/>
    <w:rsid w:val="00527CF5"/>
    <w:rsid w:val="00530324"/>
    <w:rsid w:val="005307AA"/>
    <w:rsid w:val="00532767"/>
    <w:rsid w:val="00533BC3"/>
    <w:rsid w:val="00533F6E"/>
    <w:rsid w:val="00534276"/>
    <w:rsid w:val="0053522B"/>
    <w:rsid w:val="005357B1"/>
    <w:rsid w:val="005358EA"/>
    <w:rsid w:val="005375C9"/>
    <w:rsid w:val="0053782C"/>
    <w:rsid w:val="00537A79"/>
    <w:rsid w:val="005404FA"/>
    <w:rsid w:val="00540E4E"/>
    <w:rsid w:val="005413FF"/>
    <w:rsid w:val="00541B55"/>
    <w:rsid w:val="005425C4"/>
    <w:rsid w:val="0054440B"/>
    <w:rsid w:val="00544C2A"/>
    <w:rsid w:val="0054507F"/>
    <w:rsid w:val="0054527E"/>
    <w:rsid w:val="0054550C"/>
    <w:rsid w:val="005474F4"/>
    <w:rsid w:val="00550340"/>
    <w:rsid w:val="00550D36"/>
    <w:rsid w:val="00550ED9"/>
    <w:rsid w:val="00551047"/>
    <w:rsid w:val="00551277"/>
    <w:rsid w:val="005518D4"/>
    <w:rsid w:val="00551C47"/>
    <w:rsid w:val="00552BBD"/>
    <w:rsid w:val="00552C35"/>
    <w:rsid w:val="005531F0"/>
    <w:rsid w:val="0055428D"/>
    <w:rsid w:val="00554BB8"/>
    <w:rsid w:val="005574A7"/>
    <w:rsid w:val="0056181E"/>
    <w:rsid w:val="00562694"/>
    <w:rsid w:val="00563A23"/>
    <w:rsid w:val="005642A4"/>
    <w:rsid w:val="00564592"/>
    <w:rsid w:val="00564915"/>
    <w:rsid w:val="00566707"/>
    <w:rsid w:val="00567E41"/>
    <w:rsid w:val="00567F72"/>
    <w:rsid w:val="0057143F"/>
    <w:rsid w:val="005714BE"/>
    <w:rsid w:val="005714DF"/>
    <w:rsid w:val="00571BC8"/>
    <w:rsid w:val="0057274B"/>
    <w:rsid w:val="00572984"/>
    <w:rsid w:val="00573EC7"/>
    <w:rsid w:val="00573FD4"/>
    <w:rsid w:val="005741D4"/>
    <w:rsid w:val="00575C3D"/>
    <w:rsid w:val="00575C93"/>
    <w:rsid w:val="0057611E"/>
    <w:rsid w:val="005762E2"/>
    <w:rsid w:val="00576DA8"/>
    <w:rsid w:val="00577B30"/>
    <w:rsid w:val="00580EA7"/>
    <w:rsid w:val="005813E7"/>
    <w:rsid w:val="00581867"/>
    <w:rsid w:val="00582C15"/>
    <w:rsid w:val="005830A7"/>
    <w:rsid w:val="00585079"/>
    <w:rsid w:val="00587318"/>
    <w:rsid w:val="00587EAF"/>
    <w:rsid w:val="0059001A"/>
    <w:rsid w:val="005900C7"/>
    <w:rsid w:val="00590FE6"/>
    <w:rsid w:val="00591969"/>
    <w:rsid w:val="00591AA4"/>
    <w:rsid w:val="005921E1"/>
    <w:rsid w:val="00592A1E"/>
    <w:rsid w:val="005930BE"/>
    <w:rsid w:val="00593921"/>
    <w:rsid w:val="00593CF1"/>
    <w:rsid w:val="005945E0"/>
    <w:rsid w:val="0059497A"/>
    <w:rsid w:val="0059588C"/>
    <w:rsid w:val="00595FC0"/>
    <w:rsid w:val="00595FC5"/>
    <w:rsid w:val="00596829"/>
    <w:rsid w:val="0059773C"/>
    <w:rsid w:val="00597B1D"/>
    <w:rsid w:val="005A0DB1"/>
    <w:rsid w:val="005A1819"/>
    <w:rsid w:val="005A1CE1"/>
    <w:rsid w:val="005A22CB"/>
    <w:rsid w:val="005A2AAD"/>
    <w:rsid w:val="005A3158"/>
    <w:rsid w:val="005A3A22"/>
    <w:rsid w:val="005A41D2"/>
    <w:rsid w:val="005A4AB3"/>
    <w:rsid w:val="005A69C6"/>
    <w:rsid w:val="005A7300"/>
    <w:rsid w:val="005A7701"/>
    <w:rsid w:val="005A7A47"/>
    <w:rsid w:val="005A7AF7"/>
    <w:rsid w:val="005B0727"/>
    <w:rsid w:val="005B13C8"/>
    <w:rsid w:val="005B2BA3"/>
    <w:rsid w:val="005B433C"/>
    <w:rsid w:val="005B44AB"/>
    <w:rsid w:val="005B571D"/>
    <w:rsid w:val="005B5BB6"/>
    <w:rsid w:val="005B630F"/>
    <w:rsid w:val="005B6791"/>
    <w:rsid w:val="005B7427"/>
    <w:rsid w:val="005B7C59"/>
    <w:rsid w:val="005C032D"/>
    <w:rsid w:val="005C0878"/>
    <w:rsid w:val="005C1D6D"/>
    <w:rsid w:val="005C1D7A"/>
    <w:rsid w:val="005C2419"/>
    <w:rsid w:val="005C3C24"/>
    <w:rsid w:val="005C3E5A"/>
    <w:rsid w:val="005C3E9C"/>
    <w:rsid w:val="005C4FCF"/>
    <w:rsid w:val="005C5C6F"/>
    <w:rsid w:val="005C63AB"/>
    <w:rsid w:val="005C65F8"/>
    <w:rsid w:val="005C6D2F"/>
    <w:rsid w:val="005C6EA1"/>
    <w:rsid w:val="005C787B"/>
    <w:rsid w:val="005D1026"/>
    <w:rsid w:val="005D1C73"/>
    <w:rsid w:val="005D207F"/>
    <w:rsid w:val="005D2F8E"/>
    <w:rsid w:val="005D2FA4"/>
    <w:rsid w:val="005D3166"/>
    <w:rsid w:val="005D31C9"/>
    <w:rsid w:val="005D361E"/>
    <w:rsid w:val="005D3AC0"/>
    <w:rsid w:val="005D5FDA"/>
    <w:rsid w:val="005D5FDD"/>
    <w:rsid w:val="005D6025"/>
    <w:rsid w:val="005D6496"/>
    <w:rsid w:val="005D6A5A"/>
    <w:rsid w:val="005D6AE6"/>
    <w:rsid w:val="005D6B91"/>
    <w:rsid w:val="005E018A"/>
    <w:rsid w:val="005E060F"/>
    <w:rsid w:val="005E09DA"/>
    <w:rsid w:val="005E09F9"/>
    <w:rsid w:val="005E0A26"/>
    <w:rsid w:val="005E0B5D"/>
    <w:rsid w:val="005E1A7E"/>
    <w:rsid w:val="005E2444"/>
    <w:rsid w:val="005E277A"/>
    <w:rsid w:val="005E309A"/>
    <w:rsid w:val="005E3FEF"/>
    <w:rsid w:val="005E6C47"/>
    <w:rsid w:val="005E7554"/>
    <w:rsid w:val="005F02FF"/>
    <w:rsid w:val="005F0392"/>
    <w:rsid w:val="005F0E66"/>
    <w:rsid w:val="005F18B9"/>
    <w:rsid w:val="005F18CE"/>
    <w:rsid w:val="005F1E59"/>
    <w:rsid w:val="005F217E"/>
    <w:rsid w:val="005F2A37"/>
    <w:rsid w:val="005F2C44"/>
    <w:rsid w:val="005F53DF"/>
    <w:rsid w:val="005F57BC"/>
    <w:rsid w:val="005F5AD3"/>
    <w:rsid w:val="005F5FEA"/>
    <w:rsid w:val="005F670A"/>
    <w:rsid w:val="005F6A08"/>
    <w:rsid w:val="005F7539"/>
    <w:rsid w:val="005F7D1E"/>
    <w:rsid w:val="006014E7"/>
    <w:rsid w:val="00601BBA"/>
    <w:rsid w:val="00601E33"/>
    <w:rsid w:val="006020CE"/>
    <w:rsid w:val="00602DD5"/>
    <w:rsid w:val="00603106"/>
    <w:rsid w:val="006037DC"/>
    <w:rsid w:val="00604B83"/>
    <w:rsid w:val="00604FDB"/>
    <w:rsid w:val="006058ED"/>
    <w:rsid w:val="00605951"/>
    <w:rsid w:val="006073F9"/>
    <w:rsid w:val="00610B3F"/>
    <w:rsid w:val="00610DAE"/>
    <w:rsid w:val="006112D9"/>
    <w:rsid w:val="00611BE3"/>
    <w:rsid w:val="00612D0B"/>
    <w:rsid w:val="00612F84"/>
    <w:rsid w:val="00613E5B"/>
    <w:rsid w:val="006149CA"/>
    <w:rsid w:val="0061591F"/>
    <w:rsid w:val="00617C3F"/>
    <w:rsid w:val="0062102F"/>
    <w:rsid w:val="00621A8E"/>
    <w:rsid w:val="00622251"/>
    <w:rsid w:val="006222E3"/>
    <w:rsid w:val="006223C9"/>
    <w:rsid w:val="00622C97"/>
    <w:rsid w:val="00622D8C"/>
    <w:rsid w:val="00622DFD"/>
    <w:rsid w:val="0062364B"/>
    <w:rsid w:val="0062449A"/>
    <w:rsid w:val="006244ED"/>
    <w:rsid w:val="006248CF"/>
    <w:rsid w:val="00625C4B"/>
    <w:rsid w:val="006266C0"/>
    <w:rsid w:val="00626A03"/>
    <w:rsid w:val="00627622"/>
    <w:rsid w:val="00627728"/>
    <w:rsid w:val="00627D19"/>
    <w:rsid w:val="006320C2"/>
    <w:rsid w:val="00632497"/>
    <w:rsid w:val="00632ABC"/>
    <w:rsid w:val="00632AFB"/>
    <w:rsid w:val="00633932"/>
    <w:rsid w:val="006341E0"/>
    <w:rsid w:val="00635623"/>
    <w:rsid w:val="00635D3F"/>
    <w:rsid w:val="0063652D"/>
    <w:rsid w:val="006406B7"/>
    <w:rsid w:val="006410C1"/>
    <w:rsid w:val="0064183F"/>
    <w:rsid w:val="00641C28"/>
    <w:rsid w:val="006421A2"/>
    <w:rsid w:val="0064264E"/>
    <w:rsid w:val="00644979"/>
    <w:rsid w:val="00647238"/>
    <w:rsid w:val="0064758B"/>
    <w:rsid w:val="00647797"/>
    <w:rsid w:val="00650469"/>
    <w:rsid w:val="0065142E"/>
    <w:rsid w:val="00652666"/>
    <w:rsid w:val="006526DA"/>
    <w:rsid w:val="00652B20"/>
    <w:rsid w:val="00653A09"/>
    <w:rsid w:val="00653CEE"/>
    <w:rsid w:val="0065539A"/>
    <w:rsid w:val="00656672"/>
    <w:rsid w:val="00656E14"/>
    <w:rsid w:val="0065737F"/>
    <w:rsid w:val="00657AA3"/>
    <w:rsid w:val="00657C02"/>
    <w:rsid w:val="00657FD9"/>
    <w:rsid w:val="00660991"/>
    <w:rsid w:val="0066130B"/>
    <w:rsid w:val="00661339"/>
    <w:rsid w:val="00661579"/>
    <w:rsid w:val="006616E1"/>
    <w:rsid w:val="00662DFE"/>
    <w:rsid w:val="00663796"/>
    <w:rsid w:val="00663B98"/>
    <w:rsid w:val="006642D3"/>
    <w:rsid w:val="00664362"/>
    <w:rsid w:val="0066451A"/>
    <w:rsid w:val="0066526F"/>
    <w:rsid w:val="006655E6"/>
    <w:rsid w:val="00665CED"/>
    <w:rsid w:val="00665E8B"/>
    <w:rsid w:val="006661E6"/>
    <w:rsid w:val="0066775E"/>
    <w:rsid w:val="00667D1E"/>
    <w:rsid w:val="0067078F"/>
    <w:rsid w:val="00672FBF"/>
    <w:rsid w:val="00673E2C"/>
    <w:rsid w:val="00674149"/>
    <w:rsid w:val="00674F12"/>
    <w:rsid w:val="00675626"/>
    <w:rsid w:val="00675B19"/>
    <w:rsid w:val="00675FDB"/>
    <w:rsid w:val="006764ED"/>
    <w:rsid w:val="006769B6"/>
    <w:rsid w:val="00676A1B"/>
    <w:rsid w:val="00680574"/>
    <w:rsid w:val="00680C5A"/>
    <w:rsid w:val="00680F4E"/>
    <w:rsid w:val="00681462"/>
    <w:rsid w:val="00681B53"/>
    <w:rsid w:val="00681E7C"/>
    <w:rsid w:val="006820E3"/>
    <w:rsid w:val="00682245"/>
    <w:rsid w:val="0068287E"/>
    <w:rsid w:val="00682BFD"/>
    <w:rsid w:val="00682DB8"/>
    <w:rsid w:val="00682F3C"/>
    <w:rsid w:val="00683A52"/>
    <w:rsid w:val="00683ABB"/>
    <w:rsid w:val="0068477C"/>
    <w:rsid w:val="00684D57"/>
    <w:rsid w:val="006853C4"/>
    <w:rsid w:val="00685569"/>
    <w:rsid w:val="0068611F"/>
    <w:rsid w:val="00686257"/>
    <w:rsid w:val="00686515"/>
    <w:rsid w:val="00690478"/>
    <w:rsid w:val="006910AA"/>
    <w:rsid w:val="00691204"/>
    <w:rsid w:val="00691961"/>
    <w:rsid w:val="00691D70"/>
    <w:rsid w:val="00691FD2"/>
    <w:rsid w:val="006924E4"/>
    <w:rsid w:val="00694993"/>
    <w:rsid w:val="006951D7"/>
    <w:rsid w:val="00695F87"/>
    <w:rsid w:val="006969A7"/>
    <w:rsid w:val="00697AE0"/>
    <w:rsid w:val="00697BA2"/>
    <w:rsid w:val="006A1A8A"/>
    <w:rsid w:val="006A287E"/>
    <w:rsid w:val="006A4D47"/>
    <w:rsid w:val="006A5591"/>
    <w:rsid w:val="006A5E2B"/>
    <w:rsid w:val="006A6334"/>
    <w:rsid w:val="006A6406"/>
    <w:rsid w:val="006B0037"/>
    <w:rsid w:val="006B06EC"/>
    <w:rsid w:val="006B0CD8"/>
    <w:rsid w:val="006B1957"/>
    <w:rsid w:val="006B1C00"/>
    <w:rsid w:val="006B4C44"/>
    <w:rsid w:val="006B6848"/>
    <w:rsid w:val="006B6D5D"/>
    <w:rsid w:val="006B708B"/>
    <w:rsid w:val="006B7EE2"/>
    <w:rsid w:val="006C01A0"/>
    <w:rsid w:val="006C084C"/>
    <w:rsid w:val="006C15B9"/>
    <w:rsid w:val="006C164F"/>
    <w:rsid w:val="006C1942"/>
    <w:rsid w:val="006C2D0A"/>
    <w:rsid w:val="006C345B"/>
    <w:rsid w:val="006C3908"/>
    <w:rsid w:val="006C4FBC"/>
    <w:rsid w:val="006C569B"/>
    <w:rsid w:val="006C7C8F"/>
    <w:rsid w:val="006D0AF9"/>
    <w:rsid w:val="006D154B"/>
    <w:rsid w:val="006D1F4A"/>
    <w:rsid w:val="006D1F9C"/>
    <w:rsid w:val="006D236A"/>
    <w:rsid w:val="006D2516"/>
    <w:rsid w:val="006D2BC9"/>
    <w:rsid w:val="006D2EB8"/>
    <w:rsid w:val="006D4608"/>
    <w:rsid w:val="006D53F3"/>
    <w:rsid w:val="006D6396"/>
    <w:rsid w:val="006D75C2"/>
    <w:rsid w:val="006D7645"/>
    <w:rsid w:val="006E1BFE"/>
    <w:rsid w:val="006E1CB8"/>
    <w:rsid w:val="006E1F9A"/>
    <w:rsid w:val="006E3307"/>
    <w:rsid w:val="006E36D9"/>
    <w:rsid w:val="006E4FCC"/>
    <w:rsid w:val="006E57C8"/>
    <w:rsid w:val="006E64D9"/>
    <w:rsid w:val="006E6587"/>
    <w:rsid w:val="006E66A7"/>
    <w:rsid w:val="006E6DD8"/>
    <w:rsid w:val="006E739A"/>
    <w:rsid w:val="006E74BD"/>
    <w:rsid w:val="006E780B"/>
    <w:rsid w:val="006E7E4C"/>
    <w:rsid w:val="006E7FFC"/>
    <w:rsid w:val="006F2280"/>
    <w:rsid w:val="006F25CB"/>
    <w:rsid w:val="006F29F5"/>
    <w:rsid w:val="006F2A9F"/>
    <w:rsid w:val="006F3286"/>
    <w:rsid w:val="006F336C"/>
    <w:rsid w:val="006F4468"/>
    <w:rsid w:val="006F4D03"/>
    <w:rsid w:val="006F6105"/>
    <w:rsid w:val="006F697C"/>
    <w:rsid w:val="006F7E47"/>
    <w:rsid w:val="007003B6"/>
    <w:rsid w:val="00700C28"/>
    <w:rsid w:val="00700C63"/>
    <w:rsid w:val="0070104F"/>
    <w:rsid w:val="007018BE"/>
    <w:rsid w:val="00701BCF"/>
    <w:rsid w:val="00702001"/>
    <w:rsid w:val="007023CF"/>
    <w:rsid w:val="00703079"/>
    <w:rsid w:val="0070308C"/>
    <w:rsid w:val="0070337F"/>
    <w:rsid w:val="007052F8"/>
    <w:rsid w:val="00705F47"/>
    <w:rsid w:val="00711186"/>
    <w:rsid w:val="0071128C"/>
    <w:rsid w:val="00711849"/>
    <w:rsid w:val="007121FD"/>
    <w:rsid w:val="007123CA"/>
    <w:rsid w:val="00712665"/>
    <w:rsid w:val="00712ED5"/>
    <w:rsid w:val="00712FC4"/>
    <w:rsid w:val="00713E79"/>
    <w:rsid w:val="00714572"/>
    <w:rsid w:val="00715AE4"/>
    <w:rsid w:val="00716A3B"/>
    <w:rsid w:val="0071793E"/>
    <w:rsid w:val="00720182"/>
    <w:rsid w:val="00720942"/>
    <w:rsid w:val="00720BCA"/>
    <w:rsid w:val="00720E27"/>
    <w:rsid w:val="00720E64"/>
    <w:rsid w:val="00721547"/>
    <w:rsid w:val="007250C3"/>
    <w:rsid w:val="00725DDC"/>
    <w:rsid w:val="00726259"/>
    <w:rsid w:val="00726950"/>
    <w:rsid w:val="00726F1C"/>
    <w:rsid w:val="007272C7"/>
    <w:rsid w:val="00727BB7"/>
    <w:rsid w:val="0073110C"/>
    <w:rsid w:val="007312B3"/>
    <w:rsid w:val="0073130B"/>
    <w:rsid w:val="0073222D"/>
    <w:rsid w:val="007323C1"/>
    <w:rsid w:val="00732A19"/>
    <w:rsid w:val="00732A40"/>
    <w:rsid w:val="00732FB7"/>
    <w:rsid w:val="00733753"/>
    <w:rsid w:val="007355FA"/>
    <w:rsid w:val="00740524"/>
    <w:rsid w:val="00740F54"/>
    <w:rsid w:val="00741189"/>
    <w:rsid w:val="00741E25"/>
    <w:rsid w:val="0074304C"/>
    <w:rsid w:val="007435A1"/>
    <w:rsid w:val="0074392B"/>
    <w:rsid w:val="00743E5E"/>
    <w:rsid w:val="00745337"/>
    <w:rsid w:val="00745939"/>
    <w:rsid w:val="00745A8B"/>
    <w:rsid w:val="00746A87"/>
    <w:rsid w:val="007470C0"/>
    <w:rsid w:val="00747B14"/>
    <w:rsid w:val="0075069B"/>
    <w:rsid w:val="00750AC3"/>
    <w:rsid w:val="00751181"/>
    <w:rsid w:val="00752382"/>
    <w:rsid w:val="00754DD6"/>
    <w:rsid w:val="00755D1F"/>
    <w:rsid w:val="00755E73"/>
    <w:rsid w:val="0075697C"/>
    <w:rsid w:val="00756D41"/>
    <w:rsid w:val="0075732A"/>
    <w:rsid w:val="00757557"/>
    <w:rsid w:val="00757F9C"/>
    <w:rsid w:val="007606B2"/>
    <w:rsid w:val="00760936"/>
    <w:rsid w:val="007609B9"/>
    <w:rsid w:val="007609FF"/>
    <w:rsid w:val="007622C0"/>
    <w:rsid w:val="007626D1"/>
    <w:rsid w:val="00763609"/>
    <w:rsid w:val="0076394D"/>
    <w:rsid w:val="00763FA6"/>
    <w:rsid w:val="00764705"/>
    <w:rsid w:val="0076493A"/>
    <w:rsid w:val="0076628B"/>
    <w:rsid w:val="00766433"/>
    <w:rsid w:val="00766B20"/>
    <w:rsid w:val="00766DEA"/>
    <w:rsid w:val="00766F48"/>
    <w:rsid w:val="00767B81"/>
    <w:rsid w:val="00767CFD"/>
    <w:rsid w:val="00767FCA"/>
    <w:rsid w:val="007703E4"/>
    <w:rsid w:val="00770439"/>
    <w:rsid w:val="00771116"/>
    <w:rsid w:val="00771A58"/>
    <w:rsid w:val="00771C0E"/>
    <w:rsid w:val="00771CA6"/>
    <w:rsid w:val="00772777"/>
    <w:rsid w:val="00773298"/>
    <w:rsid w:val="00773452"/>
    <w:rsid w:val="00774934"/>
    <w:rsid w:val="00774CC0"/>
    <w:rsid w:val="007762D3"/>
    <w:rsid w:val="00776BCC"/>
    <w:rsid w:val="007770DC"/>
    <w:rsid w:val="0077782C"/>
    <w:rsid w:val="00780046"/>
    <w:rsid w:val="00780D00"/>
    <w:rsid w:val="00781BF4"/>
    <w:rsid w:val="00781E0C"/>
    <w:rsid w:val="00781E79"/>
    <w:rsid w:val="00782067"/>
    <w:rsid w:val="00782125"/>
    <w:rsid w:val="0078337B"/>
    <w:rsid w:val="00783A9A"/>
    <w:rsid w:val="00784864"/>
    <w:rsid w:val="0078495B"/>
    <w:rsid w:val="00784D8B"/>
    <w:rsid w:val="00787901"/>
    <w:rsid w:val="00787B77"/>
    <w:rsid w:val="00787E8D"/>
    <w:rsid w:val="00790734"/>
    <w:rsid w:val="0079090E"/>
    <w:rsid w:val="00790DE6"/>
    <w:rsid w:val="0079178D"/>
    <w:rsid w:val="00791F18"/>
    <w:rsid w:val="007923D8"/>
    <w:rsid w:val="007929BA"/>
    <w:rsid w:val="007929E7"/>
    <w:rsid w:val="00792E4F"/>
    <w:rsid w:val="00793023"/>
    <w:rsid w:val="00793415"/>
    <w:rsid w:val="007938F9"/>
    <w:rsid w:val="00794766"/>
    <w:rsid w:val="00794BA0"/>
    <w:rsid w:val="0079512B"/>
    <w:rsid w:val="00795137"/>
    <w:rsid w:val="00795465"/>
    <w:rsid w:val="00796343"/>
    <w:rsid w:val="007966A3"/>
    <w:rsid w:val="00796C3A"/>
    <w:rsid w:val="007976B2"/>
    <w:rsid w:val="007A0FFA"/>
    <w:rsid w:val="007A1317"/>
    <w:rsid w:val="007A1ED2"/>
    <w:rsid w:val="007A2867"/>
    <w:rsid w:val="007A3D4F"/>
    <w:rsid w:val="007A44FD"/>
    <w:rsid w:val="007A465E"/>
    <w:rsid w:val="007A47DD"/>
    <w:rsid w:val="007A4868"/>
    <w:rsid w:val="007A6C16"/>
    <w:rsid w:val="007A78B3"/>
    <w:rsid w:val="007B089C"/>
    <w:rsid w:val="007B2B55"/>
    <w:rsid w:val="007B33B6"/>
    <w:rsid w:val="007B3715"/>
    <w:rsid w:val="007B40A8"/>
    <w:rsid w:val="007B4C22"/>
    <w:rsid w:val="007B4C6C"/>
    <w:rsid w:val="007B4F21"/>
    <w:rsid w:val="007B51B2"/>
    <w:rsid w:val="007B575A"/>
    <w:rsid w:val="007B614D"/>
    <w:rsid w:val="007B6DE8"/>
    <w:rsid w:val="007B70D1"/>
    <w:rsid w:val="007B79E2"/>
    <w:rsid w:val="007C19C8"/>
    <w:rsid w:val="007C237D"/>
    <w:rsid w:val="007C3489"/>
    <w:rsid w:val="007C4527"/>
    <w:rsid w:val="007C48C7"/>
    <w:rsid w:val="007C53A8"/>
    <w:rsid w:val="007C6B04"/>
    <w:rsid w:val="007C750D"/>
    <w:rsid w:val="007C7553"/>
    <w:rsid w:val="007C774D"/>
    <w:rsid w:val="007C7793"/>
    <w:rsid w:val="007D1741"/>
    <w:rsid w:val="007D23E2"/>
    <w:rsid w:val="007D2E46"/>
    <w:rsid w:val="007D40E2"/>
    <w:rsid w:val="007D48AD"/>
    <w:rsid w:val="007D545E"/>
    <w:rsid w:val="007D56DF"/>
    <w:rsid w:val="007D703B"/>
    <w:rsid w:val="007D70D9"/>
    <w:rsid w:val="007D7630"/>
    <w:rsid w:val="007D7DA7"/>
    <w:rsid w:val="007E0E5D"/>
    <w:rsid w:val="007E10C3"/>
    <w:rsid w:val="007E11FC"/>
    <w:rsid w:val="007E207A"/>
    <w:rsid w:val="007E2307"/>
    <w:rsid w:val="007E3427"/>
    <w:rsid w:val="007E3F1B"/>
    <w:rsid w:val="007E4591"/>
    <w:rsid w:val="007E467F"/>
    <w:rsid w:val="007E4AFC"/>
    <w:rsid w:val="007E4F5F"/>
    <w:rsid w:val="007E530D"/>
    <w:rsid w:val="007E560D"/>
    <w:rsid w:val="007E577C"/>
    <w:rsid w:val="007E6250"/>
    <w:rsid w:val="007E6418"/>
    <w:rsid w:val="007E7834"/>
    <w:rsid w:val="007F14F2"/>
    <w:rsid w:val="007F255D"/>
    <w:rsid w:val="007F295F"/>
    <w:rsid w:val="007F2E5C"/>
    <w:rsid w:val="007F3773"/>
    <w:rsid w:val="007F3CAC"/>
    <w:rsid w:val="007F3CC7"/>
    <w:rsid w:val="007F3D60"/>
    <w:rsid w:val="007F4161"/>
    <w:rsid w:val="007F5926"/>
    <w:rsid w:val="007F6170"/>
    <w:rsid w:val="007F6199"/>
    <w:rsid w:val="007F635A"/>
    <w:rsid w:val="007F76C0"/>
    <w:rsid w:val="007F7DA9"/>
    <w:rsid w:val="0080019B"/>
    <w:rsid w:val="0080035E"/>
    <w:rsid w:val="00802BC3"/>
    <w:rsid w:val="00803CF3"/>
    <w:rsid w:val="008041C4"/>
    <w:rsid w:val="00806109"/>
    <w:rsid w:val="008066F8"/>
    <w:rsid w:val="00806A69"/>
    <w:rsid w:val="00807290"/>
    <w:rsid w:val="008073A6"/>
    <w:rsid w:val="00807559"/>
    <w:rsid w:val="00807F53"/>
    <w:rsid w:val="00810123"/>
    <w:rsid w:val="00810705"/>
    <w:rsid w:val="00810968"/>
    <w:rsid w:val="00811D74"/>
    <w:rsid w:val="00812022"/>
    <w:rsid w:val="00813FB1"/>
    <w:rsid w:val="008155B4"/>
    <w:rsid w:val="008155DA"/>
    <w:rsid w:val="0081625B"/>
    <w:rsid w:val="00816640"/>
    <w:rsid w:val="008166D3"/>
    <w:rsid w:val="00816A46"/>
    <w:rsid w:val="00817E44"/>
    <w:rsid w:val="00820AAD"/>
    <w:rsid w:val="0082165D"/>
    <w:rsid w:val="00821724"/>
    <w:rsid w:val="00821CD7"/>
    <w:rsid w:val="008220C0"/>
    <w:rsid w:val="00822C06"/>
    <w:rsid w:val="00823040"/>
    <w:rsid w:val="00823600"/>
    <w:rsid w:val="00824749"/>
    <w:rsid w:val="0082553C"/>
    <w:rsid w:val="00827B7C"/>
    <w:rsid w:val="00830B7F"/>
    <w:rsid w:val="00831E1A"/>
    <w:rsid w:val="00832586"/>
    <w:rsid w:val="00832B6F"/>
    <w:rsid w:val="00834597"/>
    <w:rsid w:val="008369E5"/>
    <w:rsid w:val="008448EA"/>
    <w:rsid w:val="008456DD"/>
    <w:rsid w:val="0084799E"/>
    <w:rsid w:val="0085106A"/>
    <w:rsid w:val="008512A2"/>
    <w:rsid w:val="008519F8"/>
    <w:rsid w:val="008537DC"/>
    <w:rsid w:val="00853935"/>
    <w:rsid w:val="0085449C"/>
    <w:rsid w:val="00854FE1"/>
    <w:rsid w:val="00855390"/>
    <w:rsid w:val="008557EB"/>
    <w:rsid w:val="00855926"/>
    <w:rsid w:val="008565E1"/>
    <w:rsid w:val="008610CD"/>
    <w:rsid w:val="008627E1"/>
    <w:rsid w:val="00862CE5"/>
    <w:rsid w:val="00862E6B"/>
    <w:rsid w:val="0086315E"/>
    <w:rsid w:val="00863577"/>
    <w:rsid w:val="008639A0"/>
    <w:rsid w:val="008640D3"/>
    <w:rsid w:val="00864172"/>
    <w:rsid w:val="008643D0"/>
    <w:rsid w:val="0086611E"/>
    <w:rsid w:val="00866A36"/>
    <w:rsid w:val="00867319"/>
    <w:rsid w:val="00867641"/>
    <w:rsid w:val="00870339"/>
    <w:rsid w:val="0087098B"/>
    <w:rsid w:val="00870E41"/>
    <w:rsid w:val="008719AC"/>
    <w:rsid w:val="00872C13"/>
    <w:rsid w:val="0087327D"/>
    <w:rsid w:val="00873FD2"/>
    <w:rsid w:val="00874A20"/>
    <w:rsid w:val="008766B2"/>
    <w:rsid w:val="008768DF"/>
    <w:rsid w:val="00876F47"/>
    <w:rsid w:val="0087756D"/>
    <w:rsid w:val="00880E3A"/>
    <w:rsid w:val="0088105B"/>
    <w:rsid w:val="008810F9"/>
    <w:rsid w:val="0088175E"/>
    <w:rsid w:val="00881941"/>
    <w:rsid w:val="00881BC5"/>
    <w:rsid w:val="00881CA4"/>
    <w:rsid w:val="00883493"/>
    <w:rsid w:val="0088454F"/>
    <w:rsid w:val="008845D6"/>
    <w:rsid w:val="00885D67"/>
    <w:rsid w:val="00887F27"/>
    <w:rsid w:val="008908AC"/>
    <w:rsid w:val="00890A4C"/>
    <w:rsid w:val="00890F96"/>
    <w:rsid w:val="00891038"/>
    <w:rsid w:val="008914D2"/>
    <w:rsid w:val="00891AB0"/>
    <w:rsid w:val="00891C36"/>
    <w:rsid w:val="00892F3A"/>
    <w:rsid w:val="008930F1"/>
    <w:rsid w:val="00893F58"/>
    <w:rsid w:val="00894CF5"/>
    <w:rsid w:val="00895D6A"/>
    <w:rsid w:val="00895E07"/>
    <w:rsid w:val="00896006"/>
    <w:rsid w:val="008A030C"/>
    <w:rsid w:val="008A067B"/>
    <w:rsid w:val="008A0840"/>
    <w:rsid w:val="008A0A37"/>
    <w:rsid w:val="008A1467"/>
    <w:rsid w:val="008A250E"/>
    <w:rsid w:val="008A3671"/>
    <w:rsid w:val="008A4E5D"/>
    <w:rsid w:val="008A5797"/>
    <w:rsid w:val="008A62AE"/>
    <w:rsid w:val="008A7BF4"/>
    <w:rsid w:val="008B09EC"/>
    <w:rsid w:val="008B0BA4"/>
    <w:rsid w:val="008B12ED"/>
    <w:rsid w:val="008B18A8"/>
    <w:rsid w:val="008B1D59"/>
    <w:rsid w:val="008B2CE8"/>
    <w:rsid w:val="008B45D6"/>
    <w:rsid w:val="008B4641"/>
    <w:rsid w:val="008B4AD6"/>
    <w:rsid w:val="008B4B29"/>
    <w:rsid w:val="008B6571"/>
    <w:rsid w:val="008B73AD"/>
    <w:rsid w:val="008C03B2"/>
    <w:rsid w:val="008C0B8B"/>
    <w:rsid w:val="008C0C70"/>
    <w:rsid w:val="008C10E6"/>
    <w:rsid w:val="008C13C4"/>
    <w:rsid w:val="008C1787"/>
    <w:rsid w:val="008C1BD5"/>
    <w:rsid w:val="008C2DD9"/>
    <w:rsid w:val="008C2EFD"/>
    <w:rsid w:val="008C3905"/>
    <w:rsid w:val="008C3A76"/>
    <w:rsid w:val="008C3B28"/>
    <w:rsid w:val="008C4474"/>
    <w:rsid w:val="008C47B6"/>
    <w:rsid w:val="008C47BF"/>
    <w:rsid w:val="008C490B"/>
    <w:rsid w:val="008C54A6"/>
    <w:rsid w:val="008C5A90"/>
    <w:rsid w:val="008C5CD4"/>
    <w:rsid w:val="008C60EC"/>
    <w:rsid w:val="008C61EC"/>
    <w:rsid w:val="008C687A"/>
    <w:rsid w:val="008C7CAA"/>
    <w:rsid w:val="008D0502"/>
    <w:rsid w:val="008D0966"/>
    <w:rsid w:val="008D176B"/>
    <w:rsid w:val="008D273A"/>
    <w:rsid w:val="008D2B16"/>
    <w:rsid w:val="008D394D"/>
    <w:rsid w:val="008D3C8E"/>
    <w:rsid w:val="008D4196"/>
    <w:rsid w:val="008D6DF2"/>
    <w:rsid w:val="008D6EA6"/>
    <w:rsid w:val="008D7047"/>
    <w:rsid w:val="008E014D"/>
    <w:rsid w:val="008E02DE"/>
    <w:rsid w:val="008E1974"/>
    <w:rsid w:val="008E1F60"/>
    <w:rsid w:val="008E22BB"/>
    <w:rsid w:val="008E2C81"/>
    <w:rsid w:val="008E3B04"/>
    <w:rsid w:val="008E3B9F"/>
    <w:rsid w:val="008E3FFD"/>
    <w:rsid w:val="008E4B0F"/>
    <w:rsid w:val="008E5C3A"/>
    <w:rsid w:val="008E7217"/>
    <w:rsid w:val="008F0515"/>
    <w:rsid w:val="008F0748"/>
    <w:rsid w:val="008F0A00"/>
    <w:rsid w:val="008F2115"/>
    <w:rsid w:val="008F27A0"/>
    <w:rsid w:val="008F3094"/>
    <w:rsid w:val="008F34DB"/>
    <w:rsid w:val="008F3B96"/>
    <w:rsid w:val="008F484A"/>
    <w:rsid w:val="008F5523"/>
    <w:rsid w:val="008F7106"/>
    <w:rsid w:val="008F7177"/>
    <w:rsid w:val="00901701"/>
    <w:rsid w:val="0090217B"/>
    <w:rsid w:val="0090234F"/>
    <w:rsid w:val="00902949"/>
    <w:rsid w:val="009034C7"/>
    <w:rsid w:val="00903A93"/>
    <w:rsid w:val="00903F47"/>
    <w:rsid w:val="00905102"/>
    <w:rsid w:val="009053D0"/>
    <w:rsid w:val="009053FD"/>
    <w:rsid w:val="00906779"/>
    <w:rsid w:val="00906AD3"/>
    <w:rsid w:val="00907210"/>
    <w:rsid w:val="00907A76"/>
    <w:rsid w:val="00907C06"/>
    <w:rsid w:val="0091109A"/>
    <w:rsid w:val="009111B0"/>
    <w:rsid w:val="0091180A"/>
    <w:rsid w:val="00911900"/>
    <w:rsid w:val="00912394"/>
    <w:rsid w:val="0091278E"/>
    <w:rsid w:val="009130FE"/>
    <w:rsid w:val="00913A54"/>
    <w:rsid w:val="00915137"/>
    <w:rsid w:val="00916342"/>
    <w:rsid w:val="00916726"/>
    <w:rsid w:val="009203ED"/>
    <w:rsid w:val="009207A0"/>
    <w:rsid w:val="009219A7"/>
    <w:rsid w:val="00922249"/>
    <w:rsid w:val="00923832"/>
    <w:rsid w:val="00923917"/>
    <w:rsid w:val="00925104"/>
    <w:rsid w:val="00925270"/>
    <w:rsid w:val="009253B8"/>
    <w:rsid w:val="009256DF"/>
    <w:rsid w:val="00925B4D"/>
    <w:rsid w:val="00926CF7"/>
    <w:rsid w:val="00927F69"/>
    <w:rsid w:val="00931134"/>
    <w:rsid w:val="00931F21"/>
    <w:rsid w:val="00932345"/>
    <w:rsid w:val="00933A81"/>
    <w:rsid w:val="00934722"/>
    <w:rsid w:val="009351FA"/>
    <w:rsid w:val="00936B3A"/>
    <w:rsid w:val="009379D9"/>
    <w:rsid w:val="009403A8"/>
    <w:rsid w:val="00940C25"/>
    <w:rsid w:val="00941185"/>
    <w:rsid w:val="00941497"/>
    <w:rsid w:val="00941978"/>
    <w:rsid w:val="009422A3"/>
    <w:rsid w:val="00942323"/>
    <w:rsid w:val="00943B1A"/>
    <w:rsid w:val="00943BE5"/>
    <w:rsid w:val="00944507"/>
    <w:rsid w:val="0094596A"/>
    <w:rsid w:val="00946646"/>
    <w:rsid w:val="0094713B"/>
    <w:rsid w:val="009472FE"/>
    <w:rsid w:val="00947AE6"/>
    <w:rsid w:val="009502C1"/>
    <w:rsid w:val="009505B4"/>
    <w:rsid w:val="00951957"/>
    <w:rsid w:val="0095371B"/>
    <w:rsid w:val="009542D2"/>
    <w:rsid w:val="00954B12"/>
    <w:rsid w:val="009571AD"/>
    <w:rsid w:val="009578F3"/>
    <w:rsid w:val="0095793E"/>
    <w:rsid w:val="00957D8F"/>
    <w:rsid w:val="009609EF"/>
    <w:rsid w:val="00961301"/>
    <w:rsid w:val="009616B2"/>
    <w:rsid w:val="00963777"/>
    <w:rsid w:val="00963D8C"/>
    <w:rsid w:val="00964834"/>
    <w:rsid w:val="00964C39"/>
    <w:rsid w:val="00965A01"/>
    <w:rsid w:val="00966D84"/>
    <w:rsid w:val="00967AD3"/>
    <w:rsid w:val="00970AE8"/>
    <w:rsid w:val="0097254E"/>
    <w:rsid w:val="00975231"/>
    <w:rsid w:val="009762CC"/>
    <w:rsid w:val="009767F2"/>
    <w:rsid w:val="009771B1"/>
    <w:rsid w:val="0097769A"/>
    <w:rsid w:val="00977DC4"/>
    <w:rsid w:val="009808DA"/>
    <w:rsid w:val="00981230"/>
    <w:rsid w:val="00982B93"/>
    <w:rsid w:val="0098489E"/>
    <w:rsid w:val="00984AA9"/>
    <w:rsid w:val="00985A73"/>
    <w:rsid w:val="00986D35"/>
    <w:rsid w:val="00986DB3"/>
    <w:rsid w:val="00987954"/>
    <w:rsid w:val="0099046E"/>
    <w:rsid w:val="009910EF"/>
    <w:rsid w:val="009916E1"/>
    <w:rsid w:val="00992390"/>
    <w:rsid w:val="00992DC6"/>
    <w:rsid w:val="009938AD"/>
    <w:rsid w:val="00995283"/>
    <w:rsid w:val="00995FFD"/>
    <w:rsid w:val="0099607F"/>
    <w:rsid w:val="009960AA"/>
    <w:rsid w:val="009962B8"/>
    <w:rsid w:val="00997D19"/>
    <w:rsid w:val="009A0278"/>
    <w:rsid w:val="009A03C3"/>
    <w:rsid w:val="009A0E19"/>
    <w:rsid w:val="009A12D9"/>
    <w:rsid w:val="009A280C"/>
    <w:rsid w:val="009A318A"/>
    <w:rsid w:val="009A3500"/>
    <w:rsid w:val="009A4BB1"/>
    <w:rsid w:val="009A5211"/>
    <w:rsid w:val="009A5241"/>
    <w:rsid w:val="009A5EAC"/>
    <w:rsid w:val="009A7619"/>
    <w:rsid w:val="009A79F3"/>
    <w:rsid w:val="009A7E5D"/>
    <w:rsid w:val="009A7F16"/>
    <w:rsid w:val="009B046F"/>
    <w:rsid w:val="009B0DEA"/>
    <w:rsid w:val="009B1359"/>
    <w:rsid w:val="009B148A"/>
    <w:rsid w:val="009B14FD"/>
    <w:rsid w:val="009B19B9"/>
    <w:rsid w:val="009B1C6F"/>
    <w:rsid w:val="009B3261"/>
    <w:rsid w:val="009B3358"/>
    <w:rsid w:val="009B3C92"/>
    <w:rsid w:val="009B4894"/>
    <w:rsid w:val="009B5B60"/>
    <w:rsid w:val="009B7163"/>
    <w:rsid w:val="009C0B01"/>
    <w:rsid w:val="009C0D79"/>
    <w:rsid w:val="009C2C40"/>
    <w:rsid w:val="009C4022"/>
    <w:rsid w:val="009C4E5C"/>
    <w:rsid w:val="009C537D"/>
    <w:rsid w:val="009C5560"/>
    <w:rsid w:val="009C5AB0"/>
    <w:rsid w:val="009C5CA1"/>
    <w:rsid w:val="009C5CF2"/>
    <w:rsid w:val="009C69C7"/>
    <w:rsid w:val="009C6DC4"/>
    <w:rsid w:val="009C7007"/>
    <w:rsid w:val="009C7E1F"/>
    <w:rsid w:val="009D05CB"/>
    <w:rsid w:val="009D14DA"/>
    <w:rsid w:val="009D3AFF"/>
    <w:rsid w:val="009D458F"/>
    <w:rsid w:val="009D466E"/>
    <w:rsid w:val="009D4FF6"/>
    <w:rsid w:val="009D516B"/>
    <w:rsid w:val="009D51FE"/>
    <w:rsid w:val="009D52DE"/>
    <w:rsid w:val="009D5A44"/>
    <w:rsid w:val="009D6264"/>
    <w:rsid w:val="009D7DBE"/>
    <w:rsid w:val="009E0D63"/>
    <w:rsid w:val="009E240E"/>
    <w:rsid w:val="009E255F"/>
    <w:rsid w:val="009E2C62"/>
    <w:rsid w:val="009E383D"/>
    <w:rsid w:val="009E3C5B"/>
    <w:rsid w:val="009E4D11"/>
    <w:rsid w:val="009E5308"/>
    <w:rsid w:val="009E574F"/>
    <w:rsid w:val="009E5B82"/>
    <w:rsid w:val="009E66ED"/>
    <w:rsid w:val="009E7820"/>
    <w:rsid w:val="009F096D"/>
    <w:rsid w:val="009F0D13"/>
    <w:rsid w:val="009F1187"/>
    <w:rsid w:val="009F1F89"/>
    <w:rsid w:val="009F2B68"/>
    <w:rsid w:val="009F437E"/>
    <w:rsid w:val="009F6D7C"/>
    <w:rsid w:val="009F77D4"/>
    <w:rsid w:val="009F7AA1"/>
    <w:rsid w:val="00A01806"/>
    <w:rsid w:val="00A01C44"/>
    <w:rsid w:val="00A02324"/>
    <w:rsid w:val="00A02C4E"/>
    <w:rsid w:val="00A03053"/>
    <w:rsid w:val="00A035C9"/>
    <w:rsid w:val="00A049E0"/>
    <w:rsid w:val="00A05DB4"/>
    <w:rsid w:val="00A0604C"/>
    <w:rsid w:val="00A07BF3"/>
    <w:rsid w:val="00A07D41"/>
    <w:rsid w:val="00A07FCC"/>
    <w:rsid w:val="00A12175"/>
    <w:rsid w:val="00A12EF0"/>
    <w:rsid w:val="00A12F66"/>
    <w:rsid w:val="00A14333"/>
    <w:rsid w:val="00A143F0"/>
    <w:rsid w:val="00A149B4"/>
    <w:rsid w:val="00A14DE8"/>
    <w:rsid w:val="00A14F9D"/>
    <w:rsid w:val="00A1531F"/>
    <w:rsid w:val="00A155CB"/>
    <w:rsid w:val="00A15E3C"/>
    <w:rsid w:val="00A169D0"/>
    <w:rsid w:val="00A17EDC"/>
    <w:rsid w:val="00A20003"/>
    <w:rsid w:val="00A2009B"/>
    <w:rsid w:val="00A20A12"/>
    <w:rsid w:val="00A216A4"/>
    <w:rsid w:val="00A218A4"/>
    <w:rsid w:val="00A21DDA"/>
    <w:rsid w:val="00A22BB3"/>
    <w:rsid w:val="00A23D77"/>
    <w:rsid w:val="00A24490"/>
    <w:rsid w:val="00A244A1"/>
    <w:rsid w:val="00A2504F"/>
    <w:rsid w:val="00A26E52"/>
    <w:rsid w:val="00A272BC"/>
    <w:rsid w:val="00A279D0"/>
    <w:rsid w:val="00A33CCB"/>
    <w:rsid w:val="00A377E9"/>
    <w:rsid w:val="00A37920"/>
    <w:rsid w:val="00A40A60"/>
    <w:rsid w:val="00A41AF3"/>
    <w:rsid w:val="00A4203B"/>
    <w:rsid w:val="00A4205E"/>
    <w:rsid w:val="00A434DC"/>
    <w:rsid w:val="00A43CF9"/>
    <w:rsid w:val="00A4669E"/>
    <w:rsid w:val="00A467AE"/>
    <w:rsid w:val="00A51C4D"/>
    <w:rsid w:val="00A52972"/>
    <w:rsid w:val="00A53602"/>
    <w:rsid w:val="00A5362A"/>
    <w:rsid w:val="00A53E36"/>
    <w:rsid w:val="00A540E8"/>
    <w:rsid w:val="00A549F8"/>
    <w:rsid w:val="00A552C4"/>
    <w:rsid w:val="00A55462"/>
    <w:rsid w:val="00A565A2"/>
    <w:rsid w:val="00A60BBB"/>
    <w:rsid w:val="00A613F9"/>
    <w:rsid w:val="00A614F7"/>
    <w:rsid w:val="00A62229"/>
    <w:rsid w:val="00A62FF9"/>
    <w:rsid w:val="00A6489B"/>
    <w:rsid w:val="00A64F57"/>
    <w:rsid w:val="00A653F0"/>
    <w:rsid w:val="00A664BB"/>
    <w:rsid w:val="00A66AE7"/>
    <w:rsid w:val="00A66DD2"/>
    <w:rsid w:val="00A676D1"/>
    <w:rsid w:val="00A677C7"/>
    <w:rsid w:val="00A70228"/>
    <w:rsid w:val="00A70306"/>
    <w:rsid w:val="00A70589"/>
    <w:rsid w:val="00A70F60"/>
    <w:rsid w:val="00A715CC"/>
    <w:rsid w:val="00A72006"/>
    <w:rsid w:val="00A721B3"/>
    <w:rsid w:val="00A7235F"/>
    <w:rsid w:val="00A72F13"/>
    <w:rsid w:val="00A75388"/>
    <w:rsid w:val="00A75782"/>
    <w:rsid w:val="00A75C22"/>
    <w:rsid w:val="00A75E6B"/>
    <w:rsid w:val="00A767A9"/>
    <w:rsid w:val="00A7738F"/>
    <w:rsid w:val="00A8004E"/>
    <w:rsid w:val="00A806BA"/>
    <w:rsid w:val="00A824A9"/>
    <w:rsid w:val="00A8321C"/>
    <w:rsid w:val="00A8385A"/>
    <w:rsid w:val="00A8434C"/>
    <w:rsid w:val="00A85156"/>
    <w:rsid w:val="00A858B3"/>
    <w:rsid w:val="00A85CBE"/>
    <w:rsid w:val="00A85E65"/>
    <w:rsid w:val="00A86CCF"/>
    <w:rsid w:val="00A90AC5"/>
    <w:rsid w:val="00A91203"/>
    <w:rsid w:val="00A9143D"/>
    <w:rsid w:val="00A927F1"/>
    <w:rsid w:val="00A92D91"/>
    <w:rsid w:val="00A939BA"/>
    <w:rsid w:val="00A93BAC"/>
    <w:rsid w:val="00A94A5E"/>
    <w:rsid w:val="00A94C87"/>
    <w:rsid w:val="00A95093"/>
    <w:rsid w:val="00A961E1"/>
    <w:rsid w:val="00A96F18"/>
    <w:rsid w:val="00A97094"/>
    <w:rsid w:val="00AA017C"/>
    <w:rsid w:val="00AA0424"/>
    <w:rsid w:val="00AA09C5"/>
    <w:rsid w:val="00AA0CC5"/>
    <w:rsid w:val="00AA0D3F"/>
    <w:rsid w:val="00AA29B9"/>
    <w:rsid w:val="00AA431E"/>
    <w:rsid w:val="00AA4967"/>
    <w:rsid w:val="00AA4C6D"/>
    <w:rsid w:val="00AA5A4E"/>
    <w:rsid w:val="00AA61CB"/>
    <w:rsid w:val="00AA6AD5"/>
    <w:rsid w:val="00AA742B"/>
    <w:rsid w:val="00AB00CD"/>
    <w:rsid w:val="00AB0953"/>
    <w:rsid w:val="00AB13A5"/>
    <w:rsid w:val="00AB149E"/>
    <w:rsid w:val="00AB1D5E"/>
    <w:rsid w:val="00AB2361"/>
    <w:rsid w:val="00AB23D4"/>
    <w:rsid w:val="00AB273A"/>
    <w:rsid w:val="00AB3680"/>
    <w:rsid w:val="00AB41D1"/>
    <w:rsid w:val="00AB4897"/>
    <w:rsid w:val="00AB57AA"/>
    <w:rsid w:val="00AB71D4"/>
    <w:rsid w:val="00AC05A0"/>
    <w:rsid w:val="00AC0E64"/>
    <w:rsid w:val="00AC2249"/>
    <w:rsid w:val="00AC31B0"/>
    <w:rsid w:val="00AC324C"/>
    <w:rsid w:val="00AC3621"/>
    <w:rsid w:val="00AC37A9"/>
    <w:rsid w:val="00AC4479"/>
    <w:rsid w:val="00AC44CC"/>
    <w:rsid w:val="00AC5357"/>
    <w:rsid w:val="00AC5D07"/>
    <w:rsid w:val="00AC5E4D"/>
    <w:rsid w:val="00AC61B1"/>
    <w:rsid w:val="00AC6744"/>
    <w:rsid w:val="00AC7259"/>
    <w:rsid w:val="00AC7A09"/>
    <w:rsid w:val="00AD077E"/>
    <w:rsid w:val="00AD0A50"/>
    <w:rsid w:val="00AD19C4"/>
    <w:rsid w:val="00AD1CE4"/>
    <w:rsid w:val="00AD3660"/>
    <w:rsid w:val="00AD3940"/>
    <w:rsid w:val="00AD397B"/>
    <w:rsid w:val="00AD5F11"/>
    <w:rsid w:val="00AD6087"/>
    <w:rsid w:val="00AD7235"/>
    <w:rsid w:val="00AD731C"/>
    <w:rsid w:val="00AD74E5"/>
    <w:rsid w:val="00AD75B8"/>
    <w:rsid w:val="00AD7A2F"/>
    <w:rsid w:val="00AD7E0C"/>
    <w:rsid w:val="00AE106E"/>
    <w:rsid w:val="00AE15A6"/>
    <w:rsid w:val="00AE3216"/>
    <w:rsid w:val="00AE552B"/>
    <w:rsid w:val="00AE5670"/>
    <w:rsid w:val="00AE5CA3"/>
    <w:rsid w:val="00AE6287"/>
    <w:rsid w:val="00AE6704"/>
    <w:rsid w:val="00AE6B1D"/>
    <w:rsid w:val="00AE7520"/>
    <w:rsid w:val="00AF2641"/>
    <w:rsid w:val="00AF377E"/>
    <w:rsid w:val="00AF3A1E"/>
    <w:rsid w:val="00AF3A34"/>
    <w:rsid w:val="00AF3C0A"/>
    <w:rsid w:val="00AF3DDF"/>
    <w:rsid w:val="00AF45B4"/>
    <w:rsid w:val="00AF4F8A"/>
    <w:rsid w:val="00AF5340"/>
    <w:rsid w:val="00AF560B"/>
    <w:rsid w:val="00AF5684"/>
    <w:rsid w:val="00AF5AF6"/>
    <w:rsid w:val="00AF620F"/>
    <w:rsid w:val="00AF6257"/>
    <w:rsid w:val="00AF7490"/>
    <w:rsid w:val="00B00F17"/>
    <w:rsid w:val="00B01A34"/>
    <w:rsid w:val="00B01A35"/>
    <w:rsid w:val="00B022CA"/>
    <w:rsid w:val="00B0272A"/>
    <w:rsid w:val="00B04402"/>
    <w:rsid w:val="00B04E55"/>
    <w:rsid w:val="00B05288"/>
    <w:rsid w:val="00B05FD1"/>
    <w:rsid w:val="00B05FE1"/>
    <w:rsid w:val="00B077F6"/>
    <w:rsid w:val="00B07800"/>
    <w:rsid w:val="00B10A98"/>
    <w:rsid w:val="00B114A2"/>
    <w:rsid w:val="00B11606"/>
    <w:rsid w:val="00B12CF3"/>
    <w:rsid w:val="00B13679"/>
    <w:rsid w:val="00B14967"/>
    <w:rsid w:val="00B154D0"/>
    <w:rsid w:val="00B15DCD"/>
    <w:rsid w:val="00B167FC"/>
    <w:rsid w:val="00B16986"/>
    <w:rsid w:val="00B16DA1"/>
    <w:rsid w:val="00B16FDF"/>
    <w:rsid w:val="00B17838"/>
    <w:rsid w:val="00B20627"/>
    <w:rsid w:val="00B21E45"/>
    <w:rsid w:val="00B21FB6"/>
    <w:rsid w:val="00B235CE"/>
    <w:rsid w:val="00B23FBE"/>
    <w:rsid w:val="00B246DA"/>
    <w:rsid w:val="00B2691A"/>
    <w:rsid w:val="00B26F48"/>
    <w:rsid w:val="00B2759A"/>
    <w:rsid w:val="00B31161"/>
    <w:rsid w:val="00B31522"/>
    <w:rsid w:val="00B316C7"/>
    <w:rsid w:val="00B31787"/>
    <w:rsid w:val="00B31E6C"/>
    <w:rsid w:val="00B324E6"/>
    <w:rsid w:val="00B3284C"/>
    <w:rsid w:val="00B32E69"/>
    <w:rsid w:val="00B340BF"/>
    <w:rsid w:val="00B349DE"/>
    <w:rsid w:val="00B35495"/>
    <w:rsid w:val="00B40B6B"/>
    <w:rsid w:val="00B41A4D"/>
    <w:rsid w:val="00B43387"/>
    <w:rsid w:val="00B43716"/>
    <w:rsid w:val="00B44537"/>
    <w:rsid w:val="00B44990"/>
    <w:rsid w:val="00B44B35"/>
    <w:rsid w:val="00B450F3"/>
    <w:rsid w:val="00B465CC"/>
    <w:rsid w:val="00B46A20"/>
    <w:rsid w:val="00B47EBA"/>
    <w:rsid w:val="00B503C4"/>
    <w:rsid w:val="00B5082F"/>
    <w:rsid w:val="00B5099B"/>
    <w:rsid w:val="00B5278F"/>
    <w:rsid w:val="00B53081"/>
    <w:rsid w:val="00B530C3"/>
    <w:rsid w:val="00B5399F"/>
    <w:rsid w:val="00B55089"/>
    <w:rsid w:val="00B55275"/>
    <w:rsid w:val="00B553A4"/>
    <w:rsid w:val="00B55549"/>
    <w:rsid w:val="00B560E3"/>
    <w:rsid w:val="00B565AA"/>
    <w:rsid w:val="00B5747B"/>
    <w:rsid w:val="00B57901"/>
    <w:rsid w:val="00B5792E"/>
    <w:rsid w:val="00B57CED"/>
    <w:rsid w:val="00B57E72"/>
    <w:rsid w:val="00B60D92"/>
    <w:rsid w:val="00B6166A"/>
    <w:rsid w:val="00B61916"/>
    <w:rsid w:val="00B61E3B"/>
    <w:rsid w:val="00B61F2C"/>
    <w:rsid w:val="00B61F33"/>
    <w:rsid w:val="00B635DD"/>
    <w:rsid w:val="00B636B9"/>
    <w:rsid w:val="00B646DA"/>
    <w:rsid w:val="00B64D61"/>
    <w:rsid w:val="00B64DB5"/>
    <w:rsid w:val="00B6643C"/>
    <w:rsid w:val="00B66651"/>
    <w:rsid w:val="00B66C3D"/>
    <w:rsid w:val="00B66D4B"/>
    <w:rsid w:val="00B67767"/>
    <w:rsid w:val="00B71EFA"/>
    <w:rsid w:val="00B72060"/>
    <w:rsid w:val="00B7302E"/>
    <w:rsid w:val="00B7499C"/>
    <w:rsid w:val="00B74C4B"/>
    <w:rsid w:val="00B74CFB"/>
    <w:rsid w:val="00B75B2C"/>
    <w:rsid w:val="00B75EB2"/>
    <w:rsid w:val="00B75FEE"/>
    <w:rsid w:val="00B76426"/>
    <w:rsid w:val="00B76FEE"/>
    <w:rsid w:val="00B7703B"/>
    <w:rsid w:val="00B7720A"/>
    <w:rsid w:val="00B77F81"/>
    <w:rsid w:val="00B81759"/>
    <w:rsid w:val="00B81840"/>
    <w:rsid w:val="00B82997"/>
    <w:rsid w:val="00B83AE1"/>
    <w:rsid w:val="00B83FF8"/>
    <w:rsid w:val="00B84A62"/>
    <w:rsid w:val="00B84F4C"/>
    <w:rsid w:val="00B87612"/>
    <w:rsid w:val="00B876FB"/>
    <w:rsid w:val="00B90589"/>
    <w:rsid w:val="00B91212"/>
    <w:rsid w:val="00B9131E"/>
    <w:rsid w:val="00B91772"/>
    <w:rsid w:val="00B919A8"/>
    <w:rsid w:val="00B926D8"/>
    <w:rsid w:val="00B92BC1"/>
    <w:rsid w:val="00B9337A"/>
    <w:rsid w:val="00B9391E"/>
    <w:rsid w:val="00B93ED6"/>
    <w:rsid w:val="00B9452E"/>
    <w:rsid w:val="00B949DF"/>
    <w:rsid w:val="00B95954"/>
    <w:rsid w:val="00B9623B"/>
    <w:rsid w:val="00B966AC"/>
    <w:rsid w:val="00B973F8"/>
    <w:rsid w:val="00B97475"/>
    <w:rsid w:val="00B97849"/>
    <w:rsid w:val="00BA09F9"/>
    <w:rsid w:val="00BA1CCC"/>
    <w:rsid w:val="00BA2F0D"/>
    <w:rsid w:val="00BA42DA"/>
    <w:rsid w:val="00BA5CFB"/>
    <w:rsid w:val="00BA67DD"/>
    <w:rsid w:val="00BA6C35"/>
    <w:rsid w:val="00BA71C6"/>
    <w:rsid w:val="00BA7222"/>
    <w:rsid w:val="00BA7705"/>
    <w:rsid w:val="00BA7CE8"/>
    <w:rsid w:val="00BB0594"/>
    <w:rsid w:val="00BB0712"/>
    <w:rsid w:val="00BB0A59"/>
    <w:rsid w:val="00BB0F12"/>
    <w:rsid w:val="00BB1EFE"/>
    <w:rsid w:val="00BB2F72"/>
    <w:rsid w:val="00BB321C"/>
    <w:rsid w:val="00BB3C0B"/>
    <w:rsid w:val="00BB5373"/>
    <w:rsid w:val="00BB6C5A"/>
    <w:rsid w:val="00BB739C"/>
    <w:rsid w:val="00BC0CF9"/>
    <w:rsid w:val="00BC164A"/>
    <w:rsid w:val="00BC20C7"/>
    <w:rsid w:val="00BC252D"/>
    <w:rsid w:val="00BC302C"/>
    <w:rsid w:val="00BC37EA"/>
    <w:rsid w:val="00BC3C01"/>
    <w:rsid w:val="00BC44BB"/>
    <w:rsid w:val="00BC46BD"/>
    <w:rsid w:val="00BC5002"/>
    <w:rsid w:val="00BC585D"/>
    <w:rsid w:val="00BC7072"/>
    <w:rsid w:val="00BC793D"/>
    <w:rsid w:val="00BC7B16"/>
    <w:rsid w:val="00BC7DFB"/>
    <w:rsid w:val="00BD0111"/>
    <w:rsid w:val="00BD020D"/>
    <w:rsid w:val="00BD0214"/>
    <w:rsid w:val="00BD0603"/>
    <w:rsid w:val="00BD2405"/>
    <w:rsid w:val="00BD2551"/>
    <w:rsid w:val="00BD3FB5"/>
    <w:rsid w:val="00BD413F"/>
    <w:rsid w:val="00BD4899"/>
    <w:rsid w:val="00BD58AD"/>
    <w:rsid w:val="00BD68F6"/>
    <w:rsid w:val="00BD6933"/>
    <w:rsid w:val="00BD77BC"/>
    <w:rsid w:val="00BD79F7"/>
    <w:rsid w:val="00BE04A0"/>
    <w:rsid w:val="00BE1B59"/>
    <w:rsid w:val="00BE1CD6"/>
    <w:rsid w:val="00BE2B9F"/>
    <w:rsid w:val="00BE2DE4"/>
    <w:rsid w:val="00BE37B6"/>
    <w:rsid w:val="00BE3EC9"/>
    <w:rsid w:val="00BE4FBE"/>
    <w:rsid w:val="00BE63F7"/>
    <w:rsid w:val="00BE6D8E"/>
    <w:rsid w:val="00BE7B66"/>
    <w:rsid w:val="00BE7F8B"/>
    <w:rsid w:val="00BF0ED1"/>
    <w:rsid w:val="00BF19BF"/>
    <w:rsid w:val="00BF1B9E"/>
    <w:rsid w:val="00BF404D"/>
    <w:rsid w:val="00BF48A5"/>
    <w:rsid w:val="00BF6685"/>
    <w:rsid w:val="00BF717A"/>
    <w:rsid w:val="00C000F2"/>
    <w:rsid w:val="00C0030F"/>
    <w:rsid w:val="00C00809"/>
    <w:rsid w:val="00C008BE"/>
    <w:rsid w:val="00C00F1D"/>
    <w:rsid w:val="00C0150A"/>
    <w:rsid w:val="00C01A84"/>
    <w:rsid w:val="00C01E02"/>
    <w:rsid w:val="00C02159"/>
    <w:rsid w:val="00C02D06"/>
    <w:rsid w:val="00C036AE"/>
    <w:rsid w:val="00C04230"/>
    <w:rsid w:val="00C04546"/>
    <w:rsid w:val="00C04DD6"/>
    <w:rsid w:val="00C04F9B"/>
    <w:rsid w:val="00C055D1"/>
    <w:rsid w:val="00C0575D"/>
    <w:rsid w:val="00C05814"/>
    <w:rsid w:val="00C05C9E"/>
    <w:rsid w:val="00C06020"/>
    <w:rsid w:val="00C06C7A"/>
    <w:rsid w:val="00C072FD"/>
    <w:rsid w:val="00C07424"/>
    <w:rsid w:val="00C10948"/>
    <w:rsid w:val="00C109CD"/>
    <w:rsid w:val="00C111F2"/>
    <w:rsid w:val="00C11E63"/>
    <w:rsid w:val="00C1218E"/>
    <w:rsid w:val="00C12FEC"/>
    <w:rsid w:val="00C1334C"/>
    <w:rsid w:val="00C134B7"/>
    <w:rsid w:val="00C134C7"/>
    <w:rsid w:val="00C1403C"/>
    <w:rsid w:val="00C15730"/>
    <w:rsid w:val="00C15C6B"/>
    <w:rsid w:val="00C1703A"/>
    <w:rsid w:val="00C2056A"/>
    <w:rsid w:val="00C20C2C"/>
    <w:rsid w:val="00C212CE"/>
    <w:rsid w:val="00C21896"/>
    <w:rsid w:val="00C21AAD"/>
    <w:rsid w:val="00C21CBD"/>
    <w:rsid w:val="00C221DD"/>
    <w:rsid w:val="00C22D2A"/>
    <w:rsid w:val="00C24684"/>
    <w:rsid w:val="00C251B7"/>
    <w:rsid w:val="00C255FE"/>
    <w:rsid w:val="00C25D2B"/>
    <w:rsid w:val="00C26725"/>
    <w:rsid w:val="00C26E62"/>
    <w:rsid w:val="00C26E8F"/>
    <w:rsid w:val="00C271BB"/>
    <w:rsid w:val="00C278DA"/>
    <w:rsid w:val="00C279C9"/>
    <w:rsid w:val="00C27ED3"/>
    <w:rsid w:val="00C313E8"/>
    <w:rsid w:val="00C31736"/>
    <w:rsid w:val="00C32C2F"/>
    <w:rsid w:val="00C32C6B"/>
    <w:rsid w:val="00C35351"/>
    <w:rsid w:val="00C35A15"/>
    <w:rsid w:val="00C36734"/>
    <w:rsid w:val="00C374D5"/>
    <w:rsid w:val="00C37AB1"/>
    <w:rsid w:val="00C37F39"/>
    <w:rsid w:val="00C40E55"/>
    <w:rsid w:val="00C41DAE"/>
    <w:rsid w:val="00C447EC"/>
    <w:rsid w:val="00C44DF7"/>
    <w:rsid w:val="00C45592"/>
    <w:rsid w:val="00C4592F"/>
    <w:rsid w:val="00C45ECB"/>
    <w:rsid w:val="00C4647B"/>
    <w:rsid w:val="00C46B5A"/>
    <w:rsid w:val="00C46FEB"/>
    <w:rsid w:val="00C4742D"/>
    <w:rsid w:val="00C51092"/>
    <w:rsid w:val="00C510E3"/>
    <w:rsid w:val="00C51AA9"/>
    <w:rsid w:val="00C51DE3"/>
    <w:rsid w:val="00C52C29"/>
    <w:rsid w:val="00C5327B"/>
    <w:rsid w:val="00C5394F"/>
    <w:rsid w:val="00C5410E"/>
    <w:rsid w:val="00C5481B"/>
    <w:rsid w:val="00C54983"/>
    <w:rsid w:val="00C54B8C"/>
    <w:rsid w:val="00C553B3"/>
    <w:rsid w:val="00C56C69"/>
    <w:rsid w:val="00C56C6A"/>
    <w:rsid w:val="00C56E95"/>
    <w:rsid w:val="00C60254"/>
    <w:rsid w:val="00C61230"/>
    <w:rsid w:val="00C62CC7"/>
    <w:rsid w:val="00C64698"/>
    <w:rsid w:val="00C64C66"/>
    <w:rsid w:val="00C6538A"/>
    <w:rsid w:val="00C653A5"/>
    <w:rsid w:val="00C65949"/>
    <w:rsid w:val="00C65E5A"/>
    <w:rsid w:val="00C67012"/>
    <w:rsid w:val="00C6719F"/>
    <w:rsid w:val="00C70813"/>
    <w:rsid w:val="00C71705"/>
    <w:rsid w:val="00C71823"/>
    <w:rsid w:val="00C724AB"/>
    <w:rsid w:val="00C72A5F"/>
    <w:rsid w:val="00C7309E"/>
    <w:rsid w:val="00C73AC4"/>
    <w:rsid w:val="00C75256"/>
    <w:rsid w:val="00C75502"/>
    <w:rsid w:val="00C75619"/>
    <w:rsid w:val="00C75C45"/>
    <w:rsid w:val="00C76707"/>
    <w:rsid w:val="00C76B3B"/>
    <w:rsid w:val="00C76E78"/>
    <w:rsid w:val="00C810A3"/>
    <w:rsid w:val="00C81165"/>
    <w:rsid w:val="00C81ED8"/>
    <w:rsid w:val="00C82619"/>
    <w:rsid w:val="00C82C86"/>
    <w:rsid w:val="00C82F02"/>
    <w:rsid w:val="00C83FDD"/>
    <w:rsid w:val="00C849D9"/>
    <w:rsid w:val="00C85072"/>
    <w:rsid w:val="00C87D1D"/>
    <w:rsid w:val="00C910BE"/>
    <w:rsid w:val="00C918FF"/>
    <w:rsid w:val="00C93F6C"/>
    <w:rsid w:val="00C94BDB"/>
    <w:rsid w:val="00C957EF"/>
    <w:rsid w:val="00C9583D"/>
    <w:rsid w:val="00C95D0F"/>
    <w:rsid w:val="00C95F65"/>
    <w:rsid w:val="00C9617B"/>
    <w:rsid w:val="00C96A29"/>
    <w:rsid w:val="00C96ED9"/>
    <w:rsid w:val="00C973D3"/>
    <w:rsid w:val="00CA02B7"/>
    <w:rsid w:val="00CA0903"/>
    <w:rsid w:val="00CA1D5B"/>
    <w:rsid w:val="00CA3813"/>
    <w:rsid w:val="00CA3E67"/>
    <w:rsid w:val="00CA418B"/>
    <w:rsid w:val="00CA4487"/>
    <w:rsid w:val="00CA4C04"/>
    <w:rsid w:val="00CA5A89"/>
    <w:rsid w:val="00CA69F7"/>
    <w:rsid w:val="00CA79E7"/>
    <w:rsid w:val="00CB0977"/>
    <w:rsid w:val="00CB0A39"/>
    <w:rsid w:val="00CB0C8D"/>
    <w:rsid w:val="00CB1F6F"/>
    <w:rsid w:val="00CB2C29"/>
    <w:rsid w:val="00CB32FB"/>
    <w:rsid w:val="00CB3D07"/>
    <w:rsid w:val="00CB48FA"/>
    <w:rsid w:val="00CB59B0"/>
    <w:rsid w:val="00CB62A9"/>
    <w:rsid w:val="00CC0663"/>
    <w:rsid w:val="00CC1E13"/>
    <w:rsid w:val="00CC20A5"/>
    <w:rsid w:val="00CC31E2"/>
    <w:rsid w:val="00CC5311"/>
    <w:rsid w:val="00CC6876"/>
    <w:rsid w:val="00CC770D"/>
    <w:rsid w:val="00CD00F3"/>
    <w:rsid w:val="00CD0ED1"/>
    <w:rsid w:val="00CD0EE2"/>
    <w:rsid w:val="00CD0FB5"/>
    <w:rsid w:val="00CD22C9"/>
    <w:rsid w:val="00CD285F"/>
    <w:rsid w:val="00CD2E37"/>
    <w:rsid w:val="00CD4591"/>
    <w:rsid w:val="00CD4F7A"/>
    <w:rsid w:val="00CD5522"/>
    <w:rsid w:val="00CD5DDF"/>
    <w:rsid w:val="00CD5E96"/>
    <w:rsid w:val="00CD6CF3"/>
    <w:rsid w:val="00CD7464"/>
    <w:rsid w:val="00CD7CE8"/>
    <w:rsid w:val="00CE0336"/>
    <w:rsid w:val="00CE0AF1"/>
    <w:rsid w:val="00CE157D"/>
    <w:rsid w:val="00CE2342"/>
    <w:rsid w:val="00CE3368"/>
    <w:rsid w:val="00CE3DD0"/>
    <w:rsid w:val="00CE4C6E"/>
    <w:rsid w:val="00CE4DAF"/>
    <w:rsid w:val="00CE4F5E"/>
    <w:rsid w:val="00CE69AA"/>
    <w:rsid w:val="00CE7A8F"/>
    <w:rsid w:val="00CE7B82"/>
    <w:rsid w:val="00CF14B4"/>
    <w:rsid w:val="00CF2742"/>
    <w:rsid w:val="00CF277E"/>
    <w:rsid w:val="00CF2A1F"/>
    <w:rsid w:val="00CF3A9C"/>
    <w:rsid w:val="00CF528F"/>
    <w:rsid w:val="00CF6503"/>
    <w:rsid w:val="00CF780C"/>
    <w:rsid w:val="00D00CE0"/>
    <w:rsid w:val="00D017AB"/>
    <w:rsid w:val="00D0304C"/>
    <w:rsid w:val="00D0475B"/>
    <w:rsid w:val="00D05526"/>
    <w:rsid w:val="00D05EED"/>
    <w:rsid w:val="00D05FE9"/>
    <w:rsid w:val="00D064E8"/>
    <w:rsid w:val="00D06C64"/>
    <w:rsid w:val="00D10605"/>
    <w:rsid w:val="00D10710"/>
    <w:rsid w:val="00D107AE"/>
    <w:rsid w:val="00D10D6F"/>
    <w:rsid w:val="00D1179E"/>
    <w:rsid w:val="00D11C4A"/>
    <w:rsid w:val="00D12076"/>
    <w:rsid w:val="00D12A81"/>
    <w:rsid w:val="00D1424F"/>
    <w:rsid w:val="00D144E8"/>
    <w:rsid w:val="00D14626"/>
    <w:rsid w:val="00D146E6"/>
    <w:rsid w:val="00D155DE"/>
    <w:rsid w:val="00D15646"/>
    <w:rsid w:val="00D168BE"/>
    <w:rsid w:val="00D16DF1"/>
    <w:rsid w:val="00D16F3C"/>
    <w:rsid w:val="00D171BC"/>
    <w:rsid w:val="00D17826"/>
    <w:rsid w:val="00D17B25"/>
    <w:rsid w:val="00D200D6"/>
    <w:rsid w:val="00D21440"/>
    <w:rsid w:val="00D21BE1"/>
    <w:rsid w:val="00D22575"/>
    <w:rsid w:val="00D22A8B"/>
    <w:rsid w:val="00D22AEF"/>
    <w:rsid w:val="00D2441B"/>
    <w:rsid w:val="00D24747"/>
    <w:rsid w:val="00D24CD4"/>
    <w:rsid w:val="00D25CA2"/>
    <w:rsid w:val="00D26485"/>
    <w:rsid w:val="00D30C98"/>
    <w:rsid w:val="00D31353"/>
    <w:rsid w:val="00D31A49"/>
    <w:rsid w:val="00D3223D"/>
    <w:rsid w:val="00D330F6"/>
    <w:rsid w:val="00D3430D"/>
    <w:rsid w:val="00D34BFF"/>
    <w:rsid w:val="00D34E95"/>
    <w:rsid w:val="00D354E1"/>
    <w:rsid w:val="00D35BAF"/>
    <w:rsid w:val="00D35ECF"/>
    <w:rsid w:val="00D361F9"/>
    <w:rsid w:val="00D365A6"/>
    <w:rsid w:val="00D37264"/>
    <w:rsid w:val="00D4048D"/>
    <w:rsid w:val="00D40DF9"/>
    <w:rsid w:val="00D41B2F"/>
    <w:rsid w:val="00D4283D"/>
    <w:rsid w:val="00D43821"/>
    <w:rsid w:val="00D442A6"/>
    <w:rsid w:val="00D4444F"/>
    <w:rsid w:val="00D4445B"/>
    <w:rsid w:val="00D4547D"/>
    <w:rsid w:val="00D4557F"/>
    <w:rsid w:val="00D456FF"/>
    <w:rsid w:val="00D4638B"/>
    <w:rsid w:val="00D46535"/>
    <w:rsid w:val="00D466A6"/>
    <w:rsid w:val="00D46BED"/>
    <w:rsid w:val="00D517E9"/>
    <w:rsid w:val="00D51C38"/>
    <w:rsid w:val="00D52C16"/>
    <w:rsid w:val="00D539AE"/>
    <w:rsid w:val="00D53B8B"/>
    <w:rsid w:val="00D541F0"/>
    <w:rsid w:val="00D543AC"/>
    <w:rsid w:val="00D556D4"/>
    <w:rsid w:val="00D56E5E"/>
    <w:rsid w:val="00D57077"/>
    <w:rsid w:val="00D57095"/>
    <w:rsid w:val="00D57748"/>
    <w:rsid w:val="00D57E66"/>
    <w:rsid w:val="00D609DE"/>
    <w:rsid w:val="00D60A16"/>
    <w:rsid w:val="00D60C25"/>
    <w:rsid w:val="00D61445"/>
    <w:rsid w:val="00D61A67"/>
    <w:rsid w:val="00D61CA7"/>
    <w:rsid w:val="00D62160"/>
    <w:rsid w:val="00D62268"/>
    <w:rsid w:val="00D62EE7"/>
    <w:rsid w:val="00D638C3"/>
    <w:rsid w:val="00D64A1E"/>
    <w:rsid w:val="00D65477"/>
    <w:rsid w:val="00D6551F"/>
    <w:rsid w:val="00D70E79"/>
    <w:rsid w:val="00D70EBF"/>
    <w:rsid w:val="00D71D67"/>
    <w:rsid w:val="00D726B3"/>
    <w:rsid w:val="00D73DC9"/>
    <w:rsid w:val="00D74952"/>
    <w:rsid w:val="00D75A5E"/>
    <w:rsid w:val="00D76103"/>
    <w:rsid w:val="00D7619A"/>
    <w:rsid w:val="00D76C0A"/>
    <w:rsid w:val="00D773B5"/>
    <w:rsid w:val="00D777E6"/>
    <w:rsid w:val="00D80817"/>
    <w:rsid w:val="00D80A49"/>
    <w:rsid w:val="00D80AE8"/>
    <w:rsid w:val="00D81519"/>
    <w:rsid w:val="00D8163D"/>
    <w:rsid w:val="00D82667"/>
    <w:rsid w:val="00D826C5"/>
    <w:rsid w:val="00D83913"/>
    <w:rsid w:val="00D84784"/>
    <w:rsid w:val="00D850BF"/>
    <w:rsid w:val="00D854BA"/>
    <w:rsid w:val="00D856F2"/>
    <w:rsid w:val="00D85949"/>
    <w:rsid w:val="00D8620D"/>
    <w:rsid w:val="00D86B61"/>
    <w:rsid w:val="00D86F4E"/>
    <w:rsid w:val="00D8784D"/>
    <w:rsid w:val="00D87934"/>
    <w:rsid w:val="00D907A5"/>
    <w:rsid w:val="00D9110D"/>
    <w:rsid w:val="00D911DD"/>
    <w:rsid w:val="00D952FA"/>
    <w:rsid w:val="00D95327"/>
    <w:rsid w:val="00D95DEF"/>
    <w:rsid w:val="00D96F95"/>
    <w:rsid w:val="00D9752E"/>
    <w:rsid w:val="00DA013D"/>
    <w:rsid w:val="00DA0DBA"/>
    <w:rsid w:val="00DA197D"/>
    <w:rsid w:val="00DA1A83"/>
    <w:rsid w:val="00DA2255"/>
    <w:rsid w:val="00DA35BA"/>
    <w:rsid w:val="00DA3D16"/>
    <w:rsid w:val="00DA53A4"/>
    <w:rsid w:val="00DA5764"/>
    <w:rsid w:val="00DA5AED"/>
    <w:rsid w:val="00DA5C20"/>
    <w:rsid w:val="00DA5CEB"/>
    <w:rsid w:val="00DB0186"/>
    <w:rsid w:val="00DB1497"/>
    <w:rsid w:val="00DB162E"/>
    <w:rsid w:val="00DB19CC"/>
    <w:rsid w:val="00DB1DF2"/>
    <w:rsid w:val="00DB2284"/>
    <w:rsid w:val="00DB2BCA"/>
    <w:rsid w:val="00DB363C"/>
    <w:rsid w:val="00DB3E17"/>
    <w:rsid w:val="00DB4538"/>
    <w:rsid w:val="00DB5446"/>
    <w:rsid w:val="00DB5C15"/>
    <w:rsid w:val="00DB617E"/>
    <w:rsid w:val="00DB66BE"/>
    <w:rsid w:val="00DC0B1B"/>
    <w:rsid w:val="00DC0B41"/>
    <w:rsid w:val="00DC188B"/>
    <w:rsid w:val="00DC298E"/>
    <w:rsid w:val="00DC332D"/>
    <w:rsid w:val="00DC346C"/>
    <w:rsid w:val="00DC3538"/>
    <w:rsid w:val="00DC370A"/>
    <w:rsid w:val="00DC3A3C"/>
    <w:rsid w:val="00DC3E39"/>
    <w:rsid w:val="00DC4A08"/>
    <w:rsid w:val="00DC4D4D"/>
    <w:rsid w:val="00DC5750"/>
    <w:rsid w:val="00DC5AB6"/>
    <w:rsid w:val="00DC5F27"/>
    <w:rsid w:val="00DC7722"/>
    <w:rsid w:val="00DD1362"/>
    <w:rsid w:val="00DD1562"/>
    <w:rsid w:val="00DD16F3"/>
    <w:rsid w:val="00DD22BD"/>
    <w:rsid w:val="00DD4E73"/>
    <w:rsid w:val="00DD53B6"/>
    <w:rsid w:val="00DD5929"/>
    <w:rsid w:val="00DD61DF"/>
    <w:rsid w:val="00DD6CA6"/>
    <w:rsid w:val="00DD76AA"/>
    <w:rsid w:val="00DD79DA"/>
    <w:rsid w:val="00DE03D7"/>
    <w:rsid w:val="00DE0C3F"/>
    <w:rsid w:val="00DE0C54"/>
    <w:rsid w:val="00DE200B"/>
    <w:rsid w:val="00DE204E"/>
    <w:rsid w:val="00DE3861"/>
    <w:rsid w:val="00DE39BE"/>
    <w:rsid w:val="00DE3FF5"/>
    <w:rsid w:val="00DE44C4"/>
    <w:rsid w:val="00DE5D37"/>
    <w:rsid w:val="00DE5E86"/>
    <w:rsid w:val="00DE652E"/>
    <w:rsid w:val="00DE66C4"/>
    <w:rsid w:val="00DE7001"/>
    <w:rsid w:val="00DF0E8C"/>
    <w:rsid w:val="00DF11C2"/>
    <w:rsid w:val="00DF1371"/>
    <w:rsid w:val="00DF2A1A"/>
    <w:rsid w:val="00DF3E61"/>
    <w:rsid w:val="00DF4459"/>
    <w:rsid w:val="00DF47B9"/>
    <w:rsid w:val="00DF4D0D"/>
    <w:rsid w:val="00DF521C"/>
    <w:rsid w:val="00DF5856"/>
    <w:rsid w:val="00DF6023"/>
    <w:rsid w:val="00DF6D0D"/>
    <w:rsid w:val="00DF7480"/>
    <w:rsid w:val="00E002A4"/>
    <w:rsid w:val="00E00706"/>
    <w:rsid w:val="00E011EF"/>
    <w:rsid w:val="00E01CB1"/>
    <w:rsid w:val="00E022A2"/>
    <w:rsid w:val="00E022D7"/>
    <w:rsid w:val="00E02B57"/>
    <w:rsid w:val="00E053F9"/>
    <w:rsid w:val="00E064FE"/>
    <w:rsid w:val="00E077BD"/>
    <w:rsid w:val="00E07A54"/>
    <w:rsid w:val="00E07B9E"/>
    <w:rsid w:val="00E1190A"/>
    <w:rsid w:val="00E15922"/>
    <w:rsid w:val="00E16714"/>
    <w:rsid w:val="00E16DF3"/>
    <w:rsid w:val="00E176B5"/>
    <w:rsid w:val="00E201AE"/>
    <w:rsid w:val="00E2056E"/>
    <w:rsid w:val="00E209F5"/>
    <w:rsid w:val="00E2172D"/>
    <w:rsid w:val="00E21A6E"/>
    <w:rsid w:val="00E23495"/>
    <w:rsid w:val="00E237C0"/>
    <w:rsid w:val="00E26465"/>
    <w:rsid w:val="00E26800"/>
    <w:rsid w:val="00E269BB"/>
    <w:rsid w:val="00E27C7E"/>
    <w:rsid w:val="00E27CA3"/>
    <w:rsid w:val="00E27F0E"/>
    <w:rsid w:val="00E308AD"/>
    <w:rsid w:val="00E30F14"/>
    <w:rsid w:val="00E31836"/>
    <w:rsid w:val="00E31A66"/>
    <w:rsid w:val="00E31E5F"/>
    <w:rsid w:val="00E320FA"/>
    <w:rsid w:val="00E323DE"/>
    <w:rsid w:val="00E3256F"/>
    <w:rsid w:val="00E32643"/>
    <w:rsid w:val="00E3288E"/>
    <w:rsid w:val="00E33C51"/>
    <w:rsid w:val="00E33EEB"/>
    <w:rsid w:val="00E3440C"/>
    <w:rsid w:val="00E36394"/>
    <w:rsid w:val="00E36E06"/>
    <w:rsid w:val="00E378F2"/>
    <w:rsid w:val="00E37BF0"/>
    <w:rsid w:val="00E429D0"/>
    <w:rsid w:val="00E43164"/>
    <w:rsid w:val="00E43D1D"/>
    <w:rsid w:val="00E43F68"/>
    <w:rsid w:val="00E44A8E"/>
    <w:rsid w:val="00E44E70"/>
    <w:rsid w:val="00E458F2"/>
    <w:rsid w:val="00E504E9"/>
    <w:rsid w:val="00E508AB"/>
    <w:rsid w:val="00E5213F"/>
    <w:rsid w:val="00E5240F"/>
    <w:rsid w:val="00E529F9"/>
    <w:rsid w:val="00E52A44"/>
    <w:rsid w:val="00E530DC"/>
    <w:rsid w:val="00E53FB2"/>
    <w:rsid w:val="00E541DC"/>
    <w:rsid w:val="00E556AC"/>
    <w:rsid w:val="00E5577E"/>
    <w:rsid w:val="00E55D4A"/>
    <w:rsid w:val="00E55E95"/>
    <w:rsid w:val="00E56B8C"/>
    <w:rsid w:val="00E56DE4"/>
    <w:rsid w:val="00E57076"/>
    <w:rsid w:val="00E57296"/>
    <w:rsid w:val="00E57863"/>
    <w:rsid w:val="00E5795E"/>
    <w:rsid w:val="00E615F4"/>
    <w:rsid w:val="00E6163C"/>
    <w:rsid w:val="00E6241D"/>
    <w:rsid w:val="00E629C6"/>
    <w:rsid w:val="00E63B34"/>
    <w:rsid w:val="00E650A1"/>
    <w:rsid w:val="00E665C8"/>
    <w:rsid w:val="00E672AD"/>
    <w:rsid w:val="00E67D59"/>
    <w:rsid w:val="00E71200"/>
    <w:rsid w:val="00E7124C"/>
    <w:rsid w:val="00E71FCD"/>
    <w:rsid w:val="00E738AC"/>
    <w:rsid w:val="00E74407"/>
    <w:rsid w:val="00E74848"/>
    <w:rsid w:val="00E74FB9"/>
    <w:rsid w:val="00E765CD"/>
    <w:rsid w:val="00E76B7A"/>
    <w:rsid w:val="00E76BB2"/>
    <w:rsid w:val="00E77D1E"/>
    <w:rsid w:val="00E817C3"/>
    <w:rsid w:val="00E81F7A"/>
    <w:rsid w:val="00E82EBF"/>
    <w:rsid w:val="00E82F5D"/>
    <w:rsid w:val="00E833C3"/>
    <w:rsid w:val="00E836EC"/>
    <w:rsid w:val="00E8429F"/>
    <w:rsid w:val="00E85C7A"/>
    <w:rsid w:val="00E85D24"/>
    <w:rsid w:val="00E86EC8"/>
    <w:rsid w:val="00E87BC2"/>
    <w:rsid w:val="00E907FC"/>
    <w:rsid w:val="00E911F8"/>
    <w:rsid w:val="00E94522"/>
    <w:rsid w:val="00E950D3"/>
    <w:rsid w:val="00E96497"/>
    <w:rsid w:val="00E973CA"/>
    <w:rsid w:val="00EA06A2"/>
    <w:rsid w:val="00EA0964"/>
    <w:rsid w:val="00EA10AC"/>
    <w:rsid w:val="00EA1105"/>
    <w:rsid w:val="00EA2E7C"/>
    <w:rsid w:val="00EA3B5A"/>
    <w:rsid w:val="00EA4AEA"/>
    <w:rsid w:val="00EA5682"/>
    <w:rsid w:val="00EA5836"/>
    <w:rsid w:val="00EA6E0D"/>
    <w:rsid w:val="00EA6FAF"/>
    <w:rsid w:val="00EB0C8F"/>
    <w:rsid w:val="00EB1EFD"/>
    <w:rsid w:val="00EB2AE1"/>
    <w:rsid w:val="00EB36D0"/>
    <w:rsid w:val="00EB3B4C"/>
    <w:rsid w:val="00EB3E54"/>
    <w:rsid w:val="00EB464D"/>
    <w:rsid w:val="00EB4BA7"/>
    <w:rsid w:val="00EB4DC7"/>
    <w:rsid w:val="00EB5578"/>
    <w:rsid w:val="00EB6066"/>
    <w:rsid w:val="00EC14FD"/>
    <w:rsid w:val="00EC17D6"/>
    <w:rsid w:val="00EC1F69"/>
    <w:rsid w:val="00EC20CE"/>
    <w:rsid w:val="00EC2309"/>
    <w:rsid w:val="00EC261C"/>
    <w:rsid w:val="00EC2B1A"/>
    <w:rsid w:val="00EC3310"/>
    <w:rsid w:val="00EC361C"/>
    <w:rsid w:val="00EC50B0"/>
    <w:rsid w:val="00EC5899"/>
    <w:rsid w:val="00EC70A2"/>
    <w:rsid w:val="00ED032A"/>
    <w:rsid w:val="00ED0AC1"/>
    <w:rsid w:val="00ED20B7"/>
    <w:rsid w:val="00ED2559"/>
    <w:rsid w:val="00ED28B9"/>
    <w:rsid w:val="00ED28C9"/>
    <w:rsid w:val="00ED32FB"/>
    <w:rsid w:val="00ED3EE6"/>
    <w:rsid w:val="00ED49A1"/>
    <w:rsid w:val="00ED4AA7"/>
    <w:rsid w:val="00ED562A"/>
    <w:rsid w:val="00ED633A"/>
    <w:rsid w:val="00ED65CC"/>
    <w:rsid w:val="00ED65FE"/>
    <w:rsid w:val="00ED732A"/>
    <w:rsid w:val="00EE1F61"/>
    <w:rsid w:val="00EE227D"/>
    <w:rsid w:val="00EE2F93"/>
    <w:rsid w:val="00EE3DCC"/>
    <w:rsid w:val="00EE4C6B"/>
    <w:rsid w:val="00EE4F11"/>
    <w:rsid w:val="00EE525E"/>
    <w:rsid w:val="00EE529E"/>
    <w:rsid w:val="00EE67F0"/>
    <w:rsid w:val="00EE6CD4"/>
    <w:rsid w:val="00EE7B81"/>
    <w:rsid w:val="00EF0ABE"/>
    <w:rsid w:val="00EF0F03"/>
    <w:rsid w:val="00EF1415"/>
    <w:rsid w:val="00EF15A2"/>
    <w:rsid w:val="00EF1BCF"/>
    <w:rsid w:val="00EF21AF"/>
    <w:rsid w:val="00EF396B"/>
    <w:rsid w:val="00EF3A27"/>
    <w:rsid w:val="00EF3AC4"/>
    <w:rsid w:val="00EF3AD2"/>
    <w:rsid w:val="00EF3EFD"/>
    <w:rsid w:val="00EF484F"/>
    <w:rsid w:val="00EF492E"/>
    <w:rsid w:val="00EF5E69"/>
    <w:rsid w:val="00EF6D20"/>
    <w:rsid w:val="00EF6D26"/>
    <w:rsid w:val="00EF741F"/>
    <w:rsid w:val="00EF7434"/>
    <w:rsid w:val="00F0032F"/>
    <w:rsid w:val="00F01253"/>
    <w:rsid w:val="00F026C3"/>
    <w:rsid w:val="00F02BF3"/>
    <w:rsid w:val="00F02E76"/>
    <w:rsid w:val="00F04EEA"/>
    <w:rsid w:val="00F0537E"/>
    <w:rsid w:val="00F0606D"/>
    <w:rsid w:val="00F075C7"/>
    <w:rsid w:val="00F07790"/>
    <w:rsid w:val="00F10D67"/>
    <w:rsid w:val="00F1237C"/>
    <w:rsid w:val="00F12ADC"/>
    <w:rsid w:val="00F13740"/>
    <w:rsid w:val="00F13D83"/>
    <w:rsid w:val="00F14221"/>
    <w:rsid w:val="00F142FD"/>
    <w:rsid w:val="00F151DF"/>
    <w:rsid w:val="00F16337"/>
    <w:rsid w:val="00F17100"/>
    <w:rsid w:val="00F17516"/>
    <w:rsid w:val="00F1788E"/>
    <w:rsid w:val="00F20692"/>
    <w:rsid w:val="00F2077D"/>
    <w:rsid w:val="00F20986"/>
    <w:rsid w:val="00F21A85"/>
    <w:rsid w:val="00F2337B"/>
    <w:rsid w:val="00F23C61"/>
    <w:rsid w:val="00F23CC6"/>
    <w:rsid w:val="00F2599B"/>
    <w:rsid w:val="00F2680D"/>
    <w:rsid w:val="00F312E7"/>
    <w:rsid w:val="00F32236"/>
    <w:rsid w:val="00F328EC"/>
    <w:rsid w:val="00F33C06"/>
    <w:rsid w:val="00F34010"/>
    <w:rsid w:val="00F344DB"/>
    <w:rsid w:val="00F3532D"/>
    <w:rsid w:val="00F3555D"/>
    <w:rsid w:val="00F35727"/>
    <w:rsid w:val="00F35A11"/>
    <w:rsid w:val="00F37C9F"/>
    <w:rsid w:val="00F4049A"/>
    <w:rsid w:val="00F406E6"/>
    <w:rsid w:val="00F40ABC"/>
    <w:rsid w:val="00F40F50"/>
    <w:rsid w:val="00F411D1"/>
    <w:rsid w:val="00F41BBC"/>
    <w:rsid w:val="00F4253D"/>
    <w:rsid w:val="00F429CD"/>
    <w:rsid w:val="00F43904"/>
    <w:rsid w:val="00F43CDF"/>
    <w:rsid w:val="00F45DCC"/>
    <w:rsid w:val="00F45FAC"/>
    <w:rsid w:val="00F46B6E"/>
    <w:rsid w:val="00F476AD"/>
    <w:rsid w:val="00F47AE2"/>
    <w:rsid w:val="00F500D8"/>
    <w:rsid w:val="00F500E1"/>
    <w:rsid w:val="00F50BDF"/>
    <w:rsid w:val="00F510E5"/>
    <w:rsid w:val="00F515A2"/>
    <w:rsid w:val="00F52549"/>
    <w:rsid w:val="00F52C33"/>
    <w:rsid w:val="00F52CDE"/>
    <w:rsid w:val="00F53FF1"/>
    <w:rsid w:val="00F5442E"/>
    <w:rsid w:val="00F54685"/>
    <w:rsid w:val="00F559DA"/>
    <w:rsid w:val="00F55A65"/>
    <w:rsid w:val="00F560F4"/>
    <w:rsid w:val="00F568E3"/>
    <w:rsid w:val="00F569BF"/>
    <w:rsid w:val="00F56ACF"/>
    <w:rsid w:val="00F56FE9"/>
    <w:rsid w:val="00F57540"/>
    <w:rsid w:val="00F57E24"/>
    <w:rsid w:val="00F6051B"/>
    <w:rsid w:val="00F60A83"/>
    <w:rsid w:val="00F616E7"/>
    <w:rsid w:val="00F61F20"/>
    <w:rsid w:val="00F622DE"/>
    <w:rsid w:val="00F636F2"/>
    <w:rsid w:val="00F64430"/>
    <w:rsid w:val="00F648A3"/>
    <w:rsid w:val="00F64D2F"/>
    <w:rsid w:val="00F65308"/>
    <w:rsid w:val="00F66431"/>
    <w:rsid w:val="00F6793C"/>
    <w:rsid w:val="00F67D36"/>
    <w:rsid w:val="00F7028E"/>
    <w:rsid w:val="00F70AC7"/>
    <w:rsid w:val="00F72CE8"/>
    <w:rsid w:val="00F735AF"/>
    <w:rsid w:val="00F73794"/>
    <w:rsid w:val="00F73AD9"/>
    <w:rsid w:val="00F73E8F"/>
    <w:rsid w:val="00F7659E"/>
    <w:rsid w:val="00F76CF2"/>
    <w:rsid w:val="00F77752"/>
    <w:rsid w:val="00F77765"/>
    <w:rsid w:val="00F77B69"/>
    <w:rsid w:val="00F77E7F"/>
    <w:rsid w:val="00F80795"/>
    <w:rsid w:val="00F81192"/>
    <w:rsid w:val="00F81423"/>
    <w:rsid w:val="00F815F4"/>
    <w:rsid w:val="00F819AA"/>
    <w:rsid w:val="00F81C2C"/>
    <w:rsid w:val="00F82530"/>
    <w:rsid w:val="00F8253A"/>
    <w:rsid w:val="00F825D8"/>
    <w:rsid w:val="00F8271D"/>
    <w:rsid w:val="00F84E5A"/>
    <w:rsid w:val="00F86134"/>
    <w:rsid w:val="00F86E52"/>
    <w:rsid w:val="00F8728C"/>
    <w:rsid w:val="00F90E4C"/>
    <w:rsid w:val="00F91A99"/>
    <w:rsid w:val="00F9272A"/>
    <w:rsid w:val="00F9279F"/>
    <w:rsid w:val="00F92C49"/>
    <w:rsid w:val="00F931C7"/>
    <w:rsid w:val="00F93848"/>
    <w:rsid w:val="00F93AC5"/>
    <w:rsid w:val="00F9535E"/>
    <w:rsid w:val="00F96628"/>
    <w:rsid w:val="00FA0642"/>
    <w:rsid w:val="00FA09D2"/>
    <w:rsid w:val="00FA09E4"/>
    <w:rsid w:val="00FA0CC5"/>
    <w:rsid w:val="00FA0E18"/>
    <w:rsid w:val="00FA1BCF"/>
    <w:rsid w:val="00FA2140"/>
    <w:rsid w:val="00FA257D"/>
    <w:rsid w:val="00FA3A16"/>
    <w:rsid w:val="00FA5869"/>
    <w:rsid w:val="00FA621A"/>
    <w:rsid w:val="00FA680E"/>
    <w:rsid w:val="00FA7171"/>
    <w:rsid w:val="00FB007F"/>
    <w:rsid w:val="00FB0B3B"/>
    <w:rsid w:val="00FB0FDB"/>
    <w:rsid w:val="00FB22FD"/>
    <w:rsid w:val="00FB2441"/>
    <w:rsid w:val="00FB2A4E"/>
    <w:rsid w:val="00FB2FF9"/>
    <w:rsid w:val="00FB333A"/>
    <w:rsid w:val="00FB33BE"/>
    <w:rsid w:val="00FB349E"/>
    <w:rsid w:val="00FB4446"/>
    <w:rsid w:val="00FB51EB"/>
    <w:rsid w:val="00FB53F9"/>
    <w:rsid w:val="00FB5895"/>
    <w:rsid w:val="00FB67BC"/>
    <w:rsid w:val="00FB68B4"/>
    <w:rsid w:val="00FB6DA9"/>
    <w:rsid w:val="00FB6F66"/>
    <w:rsid w:val="00FB7803"/>
    <w:rsid w:val="00FC0557"/>
    <w:rsid w:val="00FC0A18"/>
    <w:rsid w:val="00FC15E7"/>
    <w:rsid w:val="00FC2408"/>
    <w:rsid w:val="00FC264F"/>
    <w:rsid w:val="00FC2FB7"/>
    <w:rsid w:val="00FC5857"/>
    <w:rsid w:val="00FC5EEF"/>
    <w:rsid w:val="00FC6299"/>
    <w:rsid w:val="00FC6A0F"/>
    <w:rsid w:val="00FC6F10"/>
    <w:rsid w:val="00FC6FCB"/>
    <w:rsid w:val="00FD156D"/>
    <w:rsid w:val="00FD164F"/>
    <w:rsid w:val="00FD2766"/>
    <w:rsid w:val="00FD29F5"/>
    <w:rsid w:val="00FD2D16"/>
    <w:rsid w:val="00FD47FF"/>
    <w:rsid w:val="00FD4E79"/>
    <w:rsid w:val="00FD5380"/>
    <w:rsid w:val="00FD60A1"/>
    <w:rsid w:val="00FE1FE0"/>
    <w:rsid w:val="00FE33DC"/>
    <w:rsid w:val="00FE55A4"/>
    <w:rsid w:val="00FE5B29"/>
    <w:rsid w:val="00FE5D63"/>
    <w:rsid w:val="00FE6307"/>
    <w:rsid w:val="00FE71CF"/>
    <w:rsid w:val="00FE742A"/>
    <w:rsid w:val="00FE7528"/>
    <w:rsid w:val="00FE7E65"/>
    <w:rsid w:val="00FF08DE"/>
    <w:rsid w:val="00FF1FAC"/>
    <w:rsid w:val="00FF200A"/>
    <w:rsid w:val="00FF2D4A"/>
    <w:rsid w:val="00FF2D6A"/>
    <w:rsid w:val="00FF472A"/>
    <w:rsid w:val="00FF54C7"/>
    <w:rsid w:val="00FF54F5"/>
    <w:rsid w:val="00FF5B2B"/>
    <w:rsid w:val="00FF6073"/>
    <w:rsid w:val="00FF7E9B"/>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9025"/>
    <o:shapelayout v:ext="edit">
      <o:idmap v:ext="edit" data="1"/>
    </o:shapelayout>
  </w:shapeDefaults>
  <w:decimalSymbol w:val="."/>
  <w:listSeparator w:val=","/>
  <w14:docId w14:val="5A24B58A"/>
  <w15:docId w15:val="{414434B1-B335-41EC-9294-5A17FCF63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BA0"/>
    <w:pPr>
      <w:spacing w:before="240" w:after="240" w:line="240" w:lineRule="auto"/>
      <w:jc w:val="both"/>
    </w:pPr>
    <w:rPr>
      <w:rFonts w:ascii="Palatino Linotype" w:hAnsi="Palatino Linotype"/>
      <w:lang w:val="en-CA"/>
    </w:rPr>
  </w:style>
  <w:style w:type="paragraph" w:styleId="Heading1">
    <w:name w:val="heading 1"/>
    <w:basedOn w:val="Normal"/>
    <w:next w:val="Normal"/>
    <w:link w:val="Heading1Char"/>
    <w:uiPriority w:val="9"/>
    <w:qFormat/>
    <w:rsid w:val="006A6334"/>
    <w:pPr>
      <w:keepNext/>
      <w:keepLines/>
      <w:numPr>
        <w:numId w:val="29"/>
      </w:numPr>
      <w:spacing w:before="480" w:after="360"/>
      <w:ind w:left="567" w:hanging="567"/>
      <w:contextualSpacing/>
      <w:jc w:val="left"/>
      <w:outlineLvl w:val="0"/>
    </w:pPr>
    <w:rPr>
      <w:rFonts w:eastAsiaTheme="majorEastAsia" w:cstheme="majorBidi"/>
      <w:b/>
      <w:smallCaps/>
      <w:spacing w:val="4"/>
      <w:sz w:val="32"/>
      <w:szCs w:val="32"/>
    </w:rPr>
  </w:style>
  <w:style w:type="paragraph" w:styleId="Heading2">
    <w:name w:val="heading 2"/>
    <w:basedOn w:val="Normal"/>
    <w:next w:val="Normal"/>
    <w:link w:val="Heading2Char"/>
    <w:uiPriority w:val="9"/>
    <w:unhideWhenUsed/>
    <w:qFormat/>
    <w:rsid w:val="006A6334"/>
    <w:pPr>
      <w:keepNext/>
      <w:keepLines/>
      <w:numPr>
        <w:ilvl w:val="1"/>
        <w:numId w:val="29"/>
      </w:numPr>
      <w:spacing w:before="360"/>
      <w:ind w:left="567" w:hanging="567"/>
      <w:contextualSpacing/>
      <w:jc w:val="left"/>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6A6334"/>
    <w:pPr>
      <w:keepNext/>
      <w:keepLines/>
      <w:numPr>
        <w:ilvl w:val="2"/>
        <w:numId w:val="29"/>
      </w:numPr>
      <w:ind w:left="1247" w:hanging="680"/>
      <w:contextualSpacing/>
      <w:jc w:val="left"/>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6A6334"/>
    <w:pPr>
      <w:keepNext/>
      <w:keepLines/>
      <w:numPr>
        <w:ilvl w:val="3"/>
        <w:numId w:val="29"/>
      </w:numPr>
      <w:ind w:left="2098" w:hanging="851"/>
      <w:contextualSpacing/>
      <w:jc w:val="left"/>
      <w:outlineLvl w:val="3"/>
    </w:pPr>
    <w:rPr>
      <w:rFonts w:eastAsiaTheme="majorEastAsia" w:cstheme="majorBidi"/>
      <w:b/>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E35A1"/>
    <w:pPr>
      <w:numPr>
        <w:ilvl w:val="1"/>
        <w:numId w:val="8"/>
      </w:numPr>
      <w:spacing w:before="60" w:after="0"/>
      <w:ind w:left="431" w:hanging="431"/>
      <w:jc w:val="left"/>
    </w:pPr>
    <w:rPr>
      <w:b/>
      <w:szCs w:val="24"/>
    </w:rPr>
  </w:style>
  <w:style w:type="character" w:styleId="CommentReference">
    <w:name w:val="annotation reference"/>
    <w:basedOn w:val="DefaultParagraphFont"/>
    <w:uiPriority w:val="99"/>
    <w:semiHidden/>
    <w:unhideWhenUsed/>
    <w:rsid w:val="002E1781"/>
    <w:rPr>
      <w:sz w:val="18"/>
      <w:szCs w:val="18"/>
    </w:rPr>
  </w:style>
  <w:style w:type="paragraph" w:styleId="CommentText">
    <w:name w:val="annotation text"/>
    <w:basedOn w:val="Normal"/>
    <w:link w:val="CommentTextChar"/>
    <w:uiPriority w:val="99"/>
    <w:unhideWhenUsed/>
    <w:rsid w:val="002E1781"/>
    <w:rPr>
      <w:szCs w:val="24"/>
    </w:rPr>
  </w:style>
  <w:style w:type="character" w:customStyle="1" w:styleId="CommentTextChar">
    <w:name w:val="Comment Text Char"/>
    <w:basedOn w:val="DefaultParagraphFont"/>
    <w:link w:val="CommentText"/>
    <w:uiPriority w:val="99"/>
    <w:rsid w:val="002E1781"/>
    <w:rPr>
      <w:sz w:val="24"/>
      <w:szCs w:val="24"/>
    </w:rPr>
  </w:style>
  <w:style w:type="paragraph" w:styleId="CommentSubject">
    <w:name w:val="annotation subject"/>
    <w:basedOn w:val="CommentText"/>
    <w:next w:val="CommentText"/>
    <w:link w:val="CommentSubjectChar"/>
    <w:uiPriority w:val="99"/>
    <w:semiHidden/>
    <w:unhideWhenUsed/>
    <w:rsid w:val="002E1781"/>
    <w:rPr>
      <w:b/>
      <w:bCs/>
      <w:sz w:val="20"/>
      <w:szCs w:val="20"/>
    </w:rPr>
  </w:style>
  <w:style w:type="character" w:customStyle="1" w:styleId="CommentSubjectChar">
    <w:name w:val="Comment Subject Char"/>
    <w:basedOn w:val="CommentTextChar"/>
    <w:link w:val="CommentSubject"/>
    <w:uiPriority w:val="99"/>
    <w:semiHidden/>
    <w:rsid w:val="002E1781"/>
    <w:rPr>
      <w:b/>
      <w:bCs/>
      <w:sz w:val="20"/>
      <w:szCs w:val="20"/>
    </w:rPr>
  </w:style>
  <w:style w:type="paragraph" w:styleId="BalloonText">
    <w:name w:val="Balloon Text"/>
    <w:basedOn w:val="Normal"/>
    <w:link w:val="BalloonTextChar"/>
    <w:uiPriority w:val="99"/>
    <w:semiHidden/>
    <w:unhideWhenUsed/>
    <w:rsid w:val="002E1781"/>
    <w:rPr>
      <w:rFonts w:ascii="Lucida Grande" w:hAnsi="Lucida Grande"/>
      <w:sz w:val="18"/>
      <w:szCs w:val="18"/>
    </w:rPr>
  </w:style>
  <w:style w:type="character" w:customStyle="1" w:styleId="BalloonTextChar">
    <w:name w:val="Balloon Text Char"/>
    <w:basedOn w:val="DefaultParagraphFont"/>
    <w:link w:val="BalloonText"/>
    <w:uiPriority w:val="99"/>
    <w:semiHidden/>
    <w:rsid w:val="002E1781"/>
    <w:rPr>
      <w:rFonts w:ascii="Lucida Grande" w:hAnsi="Lucida Grande"/>
      <w:sz w:val="18"/>
      <w:szCs w:val="18"/>
    </w:rPr>
  </w:style>
  <w:style w:type="character" w:styleId="Hyperlink">
    <w:name w:val="Hyperlink"/>
    <w:basedOn w:val="DefaultParagraphFont"/>
    <w:uiPriority w:val="99"/>
    <w:unhideWhenUsed/>
    <w:rsid w:val="0004206B"/>
    <w:rPr>
      <w:color w:val="0000FF" w:themeColor="hyperlink"/>
      <w:u w:val="single"/>
    </w:rPr>
  </w:style>
  <w:style w:type="character" w:customStyle="1" w:styleId="Heading1Char">
    <w:name w:val="Heading 1 Char"/>
    <w:basedOn w:val="DefaultParagraphFont"/>
    <w:link w:val="Heading1"/>
    <w:uiPriority w:val="9"/>
    <w:rsid w:val="006A6334"/>
    <w:rPr>
      <w:rFonts w:ascii="Palatino Linotype" w:eastAsiaTheme="majorEastAsia" w:hAnsi="Palatino Linotype" w:cstheme="majorBidi"/>
      <w:b/>
      <w:smallCaps/>
      <w:spacing w:val="4"/>
      <w:sz w:val="32"/>
      <w:szCs w:val="32"/>
      <w:lang w:val="en-CA"/>
    </w:rPr>
  </w:style>
  <w:style w:type="paragraph" w:styleId="TOCHeading">
    <w:name w:val="TOC Heading"/>
    <w:basedOn w:val="Normal"/>
    <w:next w:val="Normal"/>
    <w:link w:val="TOCHeadingChar"/>
    <w:uiPriority w:val="39"/>
    <w:unhideWhenUsed/>
    <w:qFormat/>
    <w:rsid w:val="00FC2408"/>
    <w:pPr>
      <w:numPr>
        <w:numId w:val="8"/>
      </w:numPr>
    </w:pPr>
    <w:rPr>
      <w:b/>
      <w:smallCaps/>
      <w:spacing w:val="4"/>
      <w:sz w:val="32"/>
      <w:szCs w:val="28"/>
    </w:rPr>
  </w:style>
  <w:style w:type="paragraph" w:styleId="TOC1">
    <w:name w:val="toc 1"/>
    <w:basedOn w:val="Normal"/>
    <w:next w:val="Normal"/>
    <w:autoRedefine/>
    <w:uiPriority w:val="39"/>
    <w:unhideWhenUsed/>
    <w:qFormat/>
    <w:rsid w:val="00E629C6"/>
    <w:pPr>
      <w:tabs>
        <w:tab w:val="right" w:leader="dot" w:pos="9350"/>
      </w:tabs>
      <w:spacing w:after="100"/>
      <w:ind w:left="567" w:hanging="567"/>
      <w:jc w:val="left"/>
    </w:pPr>
    <w:rPr>
      <w:b/>
      <w:smallCaps/>
    </w:rPr>
  </w:style>
  <w:style w:type="paragraph" w:styleId="TOC2">
    <w:name w:val="toc 2"/>
    <w:basedOn w:val="Normal"/>
    <w:next w:val="Normal"/>
    <w:autoRedefine/>
    <w:uiPriority w:val="39"/>
    <w:unhideWhenUsed/>
    <w:rsid w:val="00226DF0"/>
    <w:pPr>
      <w:tabs>
        <w:tab w:val="right" w:leader="dot" w:pos="9350"/>
      </w:tabs>
      <w:ind w:left="240"/>
    </w:pPr>
    <w:rPr>
      <w:rFonts w:cs="Times New Roman"/>
      <w:noProof/>
      <w:sz w:val="18"/>
    </w:rPr>
  </w:style>
  <w:style w:type="paragraph" w:styleId="TOC3">
    <w:name w:val="toc 3"/>
    <w:basedOn w:val="Normal"/>
    <w:next w:val="Normal"/>
    <w:autoRedefine/>
    <w:uiPriority w:val="39"/>
    <w:unhideWhenUsed/>
    <w:rsid w:val="00ED562A"/>
    <w:pPr>
      <w:ind w:left="480"/>
    </w:pPr>
    <w:rPr>
      <w:rFonts w:asciiTheme="minorHAnsi" w:hAnsiTheme="minorHAnsi"/>
    </w:rPr>
  </w:style>
  <w:style w:type="paragraph" w:styleId="TOC4">
    <w:name w:val="toc 4"/>
    <w:basedOn w:val="Normal"/>
    <w:next w:val="Normal"/>
    <w:autoRedefine/>
    <w:uiPriority w:val="39"/>
    <w:unhideWhenUsed/>
    <w:rsid w:val="00ED562A"/>
    <w:pPr>
      <w:ind w:left="720"/>
    </w:pPr>
    <w:rPr>
      <w:rFonts w:asciiTheme="minorHAnsi" w:hAnsiTheme="minorHAnsi"/>
      <w:sz w:val="20"/>
      <w:szCs w:val="20"/>
    </w:rPr>
  </w:style>
  <w:style w:type="paragraph" w:styleId="TOC5">
    <w:name w:val="toc 5"/>
    <w:basedOn w:val="Normal"/>
    <w:next w:val="Normal"/>
    <w:autoRedefine/>
    <w:uiPriority w:val="39"/>
    <w:unhideWhenUsed/>
    <w:rsid w:val="00ED562A"/>
    <w:pPr>
      <w:ind w:left="960"/>
    </w:pPr>
    <w:rPr>
      <w:rFonts w:asciiTheme="minorHAnsi" w:hAnsiTheme="minorHAnsi"/>
      <w:sz w:val="20"/>
      <w:szCs w:val="20"/>
    </w:rPr>
  </w:style>
  <w:style w:type="paragraph" w:styleId="TOC6">
    <w:name w:val="toc 6"/>
    <w:basedOn w:val="Normal"/>
    <w:next w:val="Normal"/>
    <w:autoRedefine/>
    <w:uiPriority w:val="39"/>
    <w:unhideWhenUsed/>
    <w:rsid w:val="00ED562A"/>
    <w:pPr>
      <w:ind w:left="1200"/>
    </w:pPr>
    <w:rPr>
      <w:rFonts w:asciiTheme="minorHAnsi" w:hAnsiTheme="minorHAnsi"/>
      <w:sz w:val="20"/>
      <w:szCs w:val="20"/>
    </w:rPr>
  </w:style>
  <w:style w:type="paragraph" w:styleId="TOC7">
    <w:name w:val="toc 7"/>
    <w:basedOn w:val="Normal"/>
    <w:next w:val="Normal"/>
    <w:autoRedefine/>
    <w:uiPriority w:val="39"/>
    <w:unhideWhenUsed/>
    <w:rsid w:val="00ED562A"/>
    <w:pPr>
      <w:ind w:left="1440"/>
    </w:pPr>
    <w:rPr>
      <w:rFonts w:asciiTheme="minorHAnsi" w:hAnsiTheme="minorHAnsi"/>
      <w:sz w:val="20"/>
      <w:szCs w:val="20"/>
    </w:rPr>
  </w:style>
  <w:style w:type="paragraph" w:styleId="TOC8">
    <w:name w:val="toc 8"/>
    <w:basedOn w:val="Normal"/>
    <w:next w:val="Normal"/>
    <w:autoRedefine/>
    <w:uiPriority w:val="39"/>
    <w:unhideWhenUsed/>
    <w:rsid w:val="00ED562A"/>
    <w:pPr>
      <w:ind w:left="1680"/>
    </w:pPr>
    <w:rPr>
      <w:rFonts w:asciiTheme="minorHAnsi" w:hAnsiTheme="minorHAnsi"/>
      <w:sz w:val="20"/>
      <w:szCs w:val="20"/>
    </w:rPr>
  </w:style>
  <w:style w:type="paragraph" w:styleId="TOC9">
    <w:name w:val="toc 9"/>
    <w:basedOn w:val="Normal"/>
    <w:next w:val="Normal"/>
    <w:autoRedefine/>
    <w:uiPriority w:val="39"/>
    <w:unhideWhenUsed/>
    <w:rsid w:val="00ED562A"/>
    <w:pPr>
      <w:ind w:left="1920"/>
    </w:pPr>
    <w:rPr>
      <w:rFonts w:asciiTheme="minorHAnsi" w:hAnsiTheme="minorHAnsi"/>
      <w:sz w:val="20"/>
      <w:szCs w:val="20"/>
    </w:rPr>
  </w:style>
  <w:style w:type="paragraph" w:styleId="Footer">
    <w:name w:val="footer"/>
    <w:basedOn w:val="Normal"/>
    <w:link w:val="FooterChar"/>
    <w:uiPriority w:val="99"/>
    <w:unhideWhenUsed/>
    <w:rsid w:val="00C553B3"/>
    <w:pPr>
      <w:tabs>
        <w:tab w:val="center" w:pos="4320"/>
        <w:tab w:val="right" w:pos="8640"/>
      </w:tabs>
    </w:pPr>
  </w:style>
  <w:style w:type="character" w:customStyle="1" w:styleId="FooterChar">
    <w:name w:val="Footer Char"/>
    <w:basedOn w:val="DefaultParagraphFont"/>
    <w:link w:val="Footer"/>
    <w:uiPriority w:val="99"/>
    <w:rsid w:val="00C553B3"/>
  </w:style>
  <w:style w:type="character" w:styleId="PageNumber">
    <w:name w:val="page number"/>
    <w:basedOn w:val="DefaultParagraphFont"/>
    <w:uiPriority w:val="99"/>
    <w:semiHidden/>
    <w:unhideWhenUsed/>
    <w:rsid w:val="00C553B3"/>
  </w:style>
  <w:style w:type="paragraph" w:styleId="Header">
    <w:name w:val="header"/>
    <w:basedOn w:val="Normal"/>
    <w:link w:val="HeaderChar"/>
    <w:uiPriority w:val="99"/>
    <w:unhideWhenUsed/>
    <w:rsid w:val="00766DEA"/>
    <w:pPr>
      <w:tabs>
        <w:tab w:val="center" w:pos="4680"/>
        <w:tab w:val="right" w:pos="9360"/>
      </w:tabs>
    </w:pPr>
  </w:style>
  <w:style w:type="character" w:customStyle="1" w:styleId="HeaderChar">
    <w:name w:val="Header Char"/>
    <w:basedOn w:val="DefaultParagraphFont"/>
    <w:link w:val="Header"/>
    <w:uiPriority w:val="99"/>
    <w:rsid w:val="00766DEA"/>
  </w:style>
  <w:style w:type="paragraph" w:styleId="FootnoteText">
    <w:name w:val="footnote text"/>
    <w:basedOn w:val="Normal"/>
    <w:link w:val="FootnoteTextChar"/>
    <w:uiPriority w:val="99"/>
    <w:qFormat/>
    <w:rsid w:val="00E629C6"/>
    <w:pPr>
      <w:keepLines/>
      <w:spacing w:before="0" w:after="0"/>
      <w:contextualSpacing/>
      <w:jc w:val="left"/>
    </w:pPr>
    <w:rPr>
      <w:sz w:val="18"/>
      <w:szCs w:val="20"/>
    </w:rPr>
  </w:style>
  <w:style w:type="character" w:customStyle="1" w:styleId="FootnoteTextChar">
    <w:name w:val="Footnote Text Char"/>
    <w:basedOn w:val="DefaultParagraphFont"/>
    <w:link w:val="FootnoteText"/>
    <w:uiPriority w:val="99"/>
    <w:rsid w:val="00E629C6"/>
    <w:rPr>
      <w:rFonts w:ascii="Times New Roman" w:hAnsi="Times New Roman"/>
      <w:sz w:val="18"/>
      <w:szCs w:val="20"/>
      <w:lang w:val="en-CA"/>
    </w:rPr>
  </w:style>
  <w:style w:type="character" w:styleId="FootnoteReference">
    <w:name w:val="footnote reference"/>
    <w:basedOn w:val="DefaultParagraphFont"/>
    <w:uiPriority w:val="99"/>
    <w:unhideWhenUsed/>
    <w:rsid w:val="0054440B"/>
    <w:rPr>
      <w:vertAlign w:val="superscript"/>
    </w:rPr>
  </w:style>
  <w:style w:type="paragraph" w:customStyle="1" w:styleId="Default">
    <w:name w:val="Default"/>
    <w:rsid w:val="004566DB"/>
    <w:pPr>
      <w:autoSpaceDE w:val="0"/>
      <w:autoSpaceDN w:val="0"/>
      <w:adjustRightInd w:val="0"/>
      <w:spacing w:after="0" w:line="240" w:lineRule="auto"/>
    </w:pPr>
    <w:rPr>
      <w:rFonts w:ascii="Century Gothic" w:hAnsi="Century Gothic" w:cs="Century Gothic"/>
      <w:color w:val="000000"/>
      <w:sz w:val="24"/>
      <w:szCs w:val="24"/>
      <w:lang w:val="en-CA"/>
    </w:rPr>
  </w:style>
  <w:style w:type="character" w:customStyle="1" w:styleId="Heading2Char">
    <w:name w:val="Heading 2 Char"/>
    <w:basedOn w:val="DefaultParagraphFont"/>
    <w:link w:val="Heading2"/>
    <w:uiPriority w:val="9"/>
    <w:rsid w:val="006A6334"/>
    <w:rPr>
      <w:rFonts w:ascii="Palatino Linotype" w:eastAsiaTheme="majorEastAsia" w:hAnsi="Palatino Linotype" w:cstheme="majorBidi"/>
      <w:b/>
      <w:sz w:val="28"/>
      <w:szCs w:val="26"/>
      <w:lang w:val="en-CA"/>
    </w:rPr>
  </w:style>
  <w:style w:type="character" w:customStyle="1" w:styleId="Heading3Char">
    <w:name w:val="Heading 3 Char"/>
    <w:basedOn w:val="DefaultParagraphFont"/>
    <w:link w:val="Heading3"/>
    <w:uiPriority w:val="9"/>
    <w:rsid w:val="006A6334"/>
    <w:rPr>
      <w:rFonts w:ascii="Palatino Linotype" w:eastAsiaTheme="majorEastAsia" w:hAnsi="Palatino Linotype" w:cstheme="majorBidi"/>
      <w:b/>
      <w:sz w:val="24"/>
      <w:szCs w:val="24"/>
      <w:lang w:val="en-CA"/>
    </w:rPr>
  </w:style>
  <w:style w:type="character" w:customStyle="1" w:styleId="Heading4Char">
    <w:name w:val="Heading 4 Char"/>
    <w:basedOn w:val="DefaultParagraphFont"/>
    <w:link w:val="Heading4"/>
    <w:uiPriority w:val="9"/>
    <w:rsid w:val="006A6334"/>
    <w:rPr>
      <w:rFonts w:ascii="Palatino Linotype" w:eastAsiaTheme="majorEastAsia" w:hAnsi="Palatino Linotype" w:cstheme="majorBidi"/>
      <w:b/>
      <w:iCs/>
      <w:sz w:val="24"/>
      <w:lang w:val="en-CA"/>
    </w:rPr>
  </w:style>
  <w:style w:type="paragraph" w:styleId="NoSpacing">
    <w:name w:val="No Spacing"/>
    <w:uiPriority w:val="1"/>
    <w:rsid w:val="00F53FF1"/>
    <w:pPr>
      <w:spacing w:after="0" w:line="240" w:lineRule="auto"/>
    </w:pPr>
    <w:rPr>
      <w:rFonts w:ascii="Times New Roman" w:hAnsi="Times New Roman"/>
      <w:sz w:val="24"/>
    </w:rPr>
  </w:style>
  <w:style w:type="paragraph" w:customStyle="1" w:styleId="Word">
    <w:name w:val="Word"/>
    <w:basedOn w:val="Normal"/>
    <w:link w:val="WordChar"/>
    <w:rsid w:val="00F53FF1"/>
    <w:pPr>
      <w:jc w:val="center"/>
    </w:pPr>
    <w:rPr>
      <w:rFonts w:cs="Times New Roman"/>
    </w:rPr>
  </w:style>
  <w:style w:type="table" w:styleId="TableGrid">
    <w:name w:val="Table Grid"/>
    <w:basedOn w:val="TableNormal"/>
    <w:uiPriority w:val="59"/>
    <w:rsid w:val="00674149"/>
    <w:pPr>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ordChar">
    <w:name w:val="Word Char"/>
    <w:basedOn w:val="DefaultParagraphFont"/>
    <w:link w:val="Word"/>
    <w:rsid w:val="00F53FF1"/>
    <w:rPr>
      <w:rFonts w:ascii="Times New Roman" w:hAnsi="Times New Roman" w:cs="Times New Roman"/>
    </w:rPr>
  </w:style>
  <w:style w:type="character" w:styleId="FollowedHyperlink">
    <w:name w:val="FollowedHyperlink"/>
    <w:basedOn w:val="DefaultParagraphFont"/>
    <w:uiPriority w:val="99"/>
    <w:semiHidden/>
    <w:unhideWhenUsed/>
    <w:rsid w:val="009219A7"/>
    <w:rPr>
      <w:color w:val="800080" w:themeColor="followedHyperlink"/>
      <w:u w:val="single"/>
    </w:rPr>
  </w:style>
  <w:style w:type="paragraph" w:styleId="BodyText2">
    <w:name w:val="Body Text 2"/>
    <w:basedOn w:val="Normal"/>
    <w:link w:val="BodyText2Char"/>
    <w:unhideWhenUsed/>
    <w:rsid w:val="004C3E6D"/>
    <w:pPr>
      <w:widowControl w:val="0"/>
    </w:pPr>
    <w:rPr>
      <w:rFonts w:eastAsiaTheme="minorEastAsia" w:cs="Times New Roman"/>
      <w:szCs w:val="24"/>
    </w:rPr>
  </w:style>
  <w:style w:type="character" w:customStyle="1" w:styleId="BodyText2Char">
    <w:name w:val="Body Text 2 Char"/>
    <w:basedOn w:val="DefaultParagraphFont"/>
    <w:link w:val="BodyText2"/>
    <w:rsid w:val="003426EA"/>
    <w:rPr>
      <w:rFonts w:ascii="Times New Roman" w:eastAsiaTheme="minorEastAsia" w:hAnsi="Times New Roman" w:cs="Times New Roman"/>
      <w:szCs w:val="24"/>
      <w:lang w:val="en-CA"/>
    </w:rPr>
  </w:style>
  <w:style w:type="paragraph" w:styleId="HTMLPreformatted">
    <w:name w:val="HTML Preformatted"/>
    <w:basedOn w:val="Normal"/>
    <w:link w:val="HTMLPreformattedChar"/>
    <w:uiPriority w:val="99"/>
    <w:unhideWhenUsed/>
    <w:rsid w:val="00E02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E02B57"/>
    <w:rPr>
      <w:rFonts w:ascii="Courier New" w:hAnsi="Courier New" w:cs="Courier New"/>
      <w:sz w:val="20"/>
      <w:szCs w:val="20"/>
    </w:rPr>
  </w:style>
  <w:style w:type="table" w:styleId="LightShading-Accent4">
    <w:name w:val="Light Shading Accent 4"/>
    <w:basedOn w:val="TableNormal"/>
    <w:uiPriority w:val="60"/>
    <w:rsid w:val="007A1317"/>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GridTable2-Accent41">
    <w:name w:val="Grid Table 2 - Accent 41"/>
    <w:basedOn w:val="TableNormal"/>
    <w:uiPriority w:val="47"/>
    <w:rsid w:val="005E09F9"/>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postauthors">
    <w:name w:val="postauthors"/>
    <w:basedOn w:val="DefaultParagraphFont"/>
    <w:rsid w:val="0052670A"/>
  </w:style>
  <w:style w:type="paragraph" w:customStyle="1" w:styleId="BlockQuote">
    <w:name w:val="Block Quote"/>
    <w:basedOn w:val="Normal"/>
    <w:link w:val="BlockQuoteChar"/>
    <w:qFormat/>
    <w:rsid w:val="00E629C6"/>
    <w:pPr>
      <w:spacing w:before="120" w:after="120"/>
      <w:ind w:left="720" w:right="720"/>
    </w:pPr>
    <w:rPr>
      <w:sz w:val="21"/>
    </w:rPr>
  </w:style>
  <w:style w:type="character" w:customStyle="1" w:styleId="BlockQuoteChar">
    <w:name w:val="Block Quote Char"/>
    <w:basedOn w:val="DefaultParagraphFont"/>
    <w:link w:val="BlockQuote"/>
    <w:rsid w:val="00E629C6"/>
    <w:rPr>
      <w:rFonts w:ascii="Times New Roman" w:hAnsi="Times New Roman"/>
      <w:sz w:val="21"/>
      <w:lang w:val="en-CA"/>
    </w:rPr>
  </w:style>
  <w:style w:type="character" w:customStyle="1" w:styleId="TOCHeadingChar">
    <w:name w:val="TOC Heading Char"/>
    <w:basedOn w:val="DefaultParagraphFont"/>
    <w:link w:val="TOCHeading"/>
    <w:uiPriority w:val="39"/>
    <w:rsid w:val="00FC2408"/>
    <w:rPr>
      <w:rFonts w:ascii="Palatino Linotype" w:hAnsi="Palatino Linotype"/>
      <w:b/>
      <w:smallCaps/>
      <w:spacing w:val="4"/>
      <w:sz w:val="32"/>
      <w:szCs w:val="28"/>
      <w:lang w:val="en-CA"/>
    </w:rPr>
  </w:style>
  <w:style w:type="character" w:customStyle="1" w:styleId="ListParagraphChar">
    <w:name w:val="List Paragraph Char"/>
    <w:basedOn w:val="DefaultParagraphFont"/>
    <w:link w:val="ListParagraph"/>
    <w:uiPriority w:val="34"/>
    <w:rsid w:val="000E35A1"/>
    <w:rPr>
      <w:rFonts w:ascii="Palatino Linotype" w:hAnsi="Palatino Linotype"/>
      <w:b/>
      <w:szCs w:val="24"/>
      <w:lang w:val="en-CA"/>
    </w:rPr>
  </w:style>
  <w:style w:type="paragraph" w:customStyle="1" w:styleId="TOC3rd">
    <w:name w:val="TOC 3rd"/>
    <w:basedOn w:val="ListParagraph"/>
    <w:link w:val="TOC3rdChar"/>
    <w:rsid w:val="000F1CF4"/>
    <w:pPr>
      <w:numPr>
        <w:ilvl w:val="2"/>
      </w:numPr>
    </w:pPr>
    <w:rPr>
      <w:rFonts w:cstheme="majorBidi"/>
      <w:bCs/>
    </w:rPr>
  </w:style>
  <w:style w:type="character" w:customStyle="1" w:styleId="TOC3rdChar">
    <w:name w:val="TOC 3rd Char"/>
    <w:basedOn w:val="ListParagraphChar"/>
    <w:link w:val="TOC3rd"/>
    <w:rsid w:val="000F1CF4"/>
    <w:rPr>
      <w:rFonts w:ascii="Palatino Linotype" w:hAnsi="Palatino Linotype" w:cstheme="majorBidi"/>
      <w:b/>
      <w:bCs/>
      <w:szCs w:val="24"/>
      <w:lang w:val="en-CA"/>
    </w:rPr>
  </w:style>
  <w:style w:type="paragraph" w:customStyle="1" w:styleId="TitlePageCh">
    <w:name w:val="Title Page Ch. #"/>
    <w:basedOn w:val="Normal"/>
    <w:link w:val="TitlePageChChar"/>
    <w:semiHidden/>
    <w:qFormat/>
    <w:rsid w:val="00B75EB2"/>
    <w:pPr>
      <w:spacing w:after="0"/>
      <w:jc w:val="center"/>
    </w:pPr>
    <w:rPr>
      <w:rFonts w:eastAsiaTheme="majorEastAsia" w:cs="Times New Roman"/>
      <w:b/>
      <w:bCs/>
      <w:smallCaps/>
      <w:spacing w:val="20"/>
      <w:kern w:val="24"/>
      <w:sz w:val="28"/>
      <w:szCs w:val="28"/>
    </w:rPr>
  </w:style>
  <w:style w:type="character" w:customStyle="1" w:styleId="TitlePageChChar">
    <w:name w:val="Title Page Ch. # Char"/>
    <w:basedOn w:val="DefaultParagraphFont"/>
    <w:link w:val="TitlePageCh"/>
    <w:semiHidden/>
    <w:rsid w:val="003426EA"/>
    <w:rPr>
      <w:rFonts w:ascii="Times New Roman" w:eastAsiaTheme="majorEastAsia" w:hAnsi="Times New Roman" w:cs="Times New Roman"/>
      <w:b/>
      <w:bCs/>
      <w:smallCaps/>
      <w:spacing w:val="20"/>
      <w:kern w:val="24"/>
      <w:sz w:val="28"/>
      <w:szCs w:val="28"/>
      <w:lang w:val="en-CA"/>
    </w:rPr>
  </w:style>
  <w:style w:type="paragraph" w:customStyle="1" w:styleId="TitlePageChTITLE">
    <w:name w:val="Title Page Ch. TITLE"/>
    <w:basedOn w:val="Normal"/>
    <w:link w:val="TitlePageChTITLEChar"/>
    <w:semiHidden/>
    <w:qFormat/>
    <w:rsid w:val="00B75EB2"/>
    <w:pPr>
      <w:spacing w:after="0"/>
      <w:jc w:val="center"/>
    </w:pPr>
    <w:rPr>
      <w:rFonts w:eastAsiaTheme="majorEastAsia" w:cs="Times New Roman"/>
      <w:b/>
      <w:smallCaps/>
      <w:spacing w:val="12"/>
      <w:kern w:val="24"/>
      <w:sz w:val="36"/>
      <w:szCs w:val="40"/>
    </w:rPr>
  </w:style>
  <w:style w:type="character" w:customStyle="1" w:styleId="TitlePageChTITLEChar">
    <w:name w:val="Title Page Ch. TITLE Char"/>
    <w:basedOn w:val="DefaultParagraphFont"/>
    <w:link w:val="TitlePageChTITLE"/>
    <w:semiHidden/>
    <w:rsid w:val="003426EA"/>
    <w:rPr>
      <w:rFonts w:ascii="Times New Roman" w:eastAsiaTheme="majorEastAsia" w:hAnsi="Times New Roman" w:cs="Times New Roman"/>
      <w:b/>
      <w:smallCaps/>
      <w:spacing w:val="12"/>
      <w:kern w:val="24"/>
      <w:sz w:val="36"/>
      <w:szCs w:val="40"/>
      <w:lang w:val="en-CA"/>
    </w:rPr>
  </w:style>
  <w:style w:type="paragraph" w:styleId="Revision">
    <w:name w:val="Revision"/>
    <w:hidden/>
    <w:uiPriority w:val="99"/>
    <w:semiHidden/>
    <w:rsid w:val="00391347"/>
    <w:pPr>
      <w:spacing w:after="0" w:line="240" w:lineRule="auto"/>
    </w:pPr>
    <w:rPr>
      <w:rFonts w:ascii="Times New Roman" w:hAnsi="Times New Roman"/>
    </w:rPr>
  </w:style>
  <w:style w:type="paragraph" w:customStyle="1" w:styleId="ExcerptMarker">
    <w:name w:val="Excerpt Marker"/>
    <w:basedOn w:val="Normal"/>
    <w:link w:val="ExcerptMarkerChar"/>
    <w:qFormat/>
    <w:rsid w:val="00E629C6"/>
    <w:pPr>
      <w:keepNext/>
      <w:spacing w:before="120" w:after="120"/>
      <w:jc w:val="center"/>
    </w:pPr>
    <w:rPr>
      <w:rFonts w:eastAsiaTheme="minorEastAsia" w:cs="Times New Roman"/>
      <w:smallCaps/>
      <w:sz w:val="18"/>
      <w:lang w:val="en-US" w:eastAsia="zh-CN"/>
    </w:rPr>
  </w:style>
  <w:style w:type="character" w:customStyle="1" w:styleId="ExcerptMarkerChar">
    <w:name w:val="Excerpt Marker Char"/>
    <w:basedOn w:val="DefaultParagraphFont"/>
    <w:link w:val="ExcerptMarker"/>
    <w:rsid w:val="00E629C6"/>
    <w:rPr>
      <w:rFonts w:ascii="Times New Roman" w:eastAsiaTheme="minorEastAsia" w:hAnsi="Times New Roman" w:cs="Times New Roman"/>
      <w:smallCaps/>
      <w:sz w:val="18"/>
      <w:lang w:eastAsia="zh-CN"/>
    </w:rPr>
  </w:style>
  <w:style w:type="paragraph" w:customStyle="1" w:styleId="TitlePgChTitle">
    <w:name w:val="Title Pg Ch. Title"/>
    <w:basedOn w:val="Normal"/>
    <w:link w:val="TitlePgChTitleChar"/>
    <w:qFormat/>
    <w:rsid w:val="00B83FF8"/>
    <w:pPr>
      <w:jc w:val="center"/>
    </w:pPr>
    <w:rPr>
      <w:b/>
      <w:smallCaps/>
      <w:spacing w:val="10"/>
      <w:kern w:val="2"/>
      <w:sz w:val="36"/>
    </w:rPr>
  </w:style>
  <w:style w:type="character" w:customStyle="1" w:styleId="TitlePgChTitleChar">
    <w:name w:val="Title Pg Ch. Title Char"/>
    <w:basedOn w:val="DefaultParagraphFont"/>
    <w:link w:val="TitlePgChTitle"/>
    <w:rsid w:val="00B83FF8"/>
    <w:rPr>
      <w:rFonts w:ascii="Palatino Linotype" w:hAnsi="Palatino Linotype"/>
      <w:b/>
      <w:smallCaps/>
      <w:spacing w:val="10"/>
      <w:kern w:val="2"/>
      <w:sz w:val="36"/>
      <w:lang w:val="en-CA"/>
    </w:rPr>
  </w:style>
  <w:style w:type="paragraph" w:customStyle="1" w:styleId="TitlePgCh">
    <w:name w:val="Title Pg Ch.#"/>
    <w:basedOn w:val="Normal"/>
    <w:link w:val="TitlePgChChar"/>
    <w:qFormat/>
    <w:rsid w:val="00B83FF8"/>
    <w:pPr>
      <w:spacing w:after="480"/>
      <w:jc w:val="center"/>
    </w:pPr>
    <w:rPr>
      <w:b/>
      <w:smallCaps/>
      <w:spacing w:val="20"/>
      <w:kern w:val="2"/>
      <w:sz w:val="28"/>
    </w:rPr>
  </w:style>
  <w:style w:type="character" w:customStyle="1" w:styleId="TitlePgChChar">
    <w:name w:val="Title Pg Ch.# Char"/>
    <w:basedOn w:val="DefaultParagraphFont"/>
    <w:link w:val="TitlePgCh"/>
    <w:rsid w:val="00B83FF8"/>
    <w:rPr>
      <w:rFonts w:ascii="Palatino Linotype" w:hAnsi="Palatino Linotype"/>
      <w:b/>
      <w:smallCaps/>
      <w:spacing w:val="20"/>
      <w:kern w:val="2"/>
      <w:sz w:val="28"/>
      <w:lang w:val="en-CA"/>
    </w:rPr>
  </w:style>
  <w:style w:type="paragraph" w:customStyle="1" w:styleId="TOCHeading1">
    <w:name w:val="TOC Heading1"/>
    <w:basedOn w:val="Normal"/>
    <w:link w:val="ToCHeadingChar0"/>
    <w:qFormat/>
    <w:rsid w:val="00E629C6"/>
    <w:pPr>
      <w:spacing w:before="480"/>
      <w:jc w:val="left"/>
    </w:pPr>
    <w:rPr>
      <w:b/>
      <w:smallCaps/>
      <w:spacing w:val="4"/>
      <w:sz w:val="32"/>
    </w:rPr>
  </w:style>
  <w:style w:type="character" w:customStyle="1" w:styleId="ToCHeadingChar0">
    <w:name w:val="ToC Heading Char"/>
    <w:basedOn w:val="DefaultParagraphFont"/>
    <w:link w:val="TOCHeading1"/>
    <w:rsid w:val="00E629C6"/>
    <w:rPr>
      <w:rFonts w:ascii="Times New Roman" w:hAnsi="Times New Roman"/>
      <w:b/>
      <w:smallCaps/>
      <w:spacing w:val="4"/>
      <w:sz w:val="3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864491">
      <w:bodyDiv w:val="1"/>
      <w:marLeft w:val="0"/>
      <w:marRight w:val="0"/>
      <w:marTop w:val="0"/>
      <w:marBottom w:val="0"/>
      <w:divBdr>
        <w:top w:val="none" w:sz="0" w:space="0" w:color="auto"/>
        <w:left w:val="none" w:sz="0" w:space="0" w:color="auto"/>
        <w:bottom w:val="none" w:sz="0" w:space="0" w:color="auto"/>
        <w:right w:val="none" w:sz="0" w:space="0" w:color="auto"/>
      </w:divBdr>
    </w:div>
    <w:div w:id="303043149">
      <w:bodyDiv w:val="1"/>
      <w:marLeft w:val="0"/>
      <w:marRight w:val="0"/>
      <w:marTop w:val="0"/>
      <w:marBottom w:val="0"/>
      <w:divBdr>
        <w:top w:val="none" w:sz="0" w:space="0" w:color="auto"/>
        <w:left w:val="none" w:sz="0" w:space="0" w:color="auto"/>
        <w:bottom w:val="none" w:sz="0" w:space="0" w:color="auto"/>
        <w:right w:val="none" w:sz="0" w:space="0" w:color="auto"/>
      </w:divBdr>
    </w:div>
    <w:div w:id="431708228">
      <w:bodyDiv w:val="1"/>
      <w:marLeft w:val="0"/>
      <w:marRight w:val="0"/>
      <w:marTop w:val="0"/>
      <w:marBottom w:val="0"/>
      <w:divBdr>
        <w:top w:val="none" w:sz="0" w:space="0" w:color="auto"/>
        <w:left w:val="none" w:sz="0" w:space="0" w:color="auto"/>
        <w:bottom w:val="none" w:sz="0" w:space="0" w:color="auto"/>
        <w:right w:val="none" w:sz="0" w:space="0" w:color="auto"/>
      </w:divBdr>
    </w:div>
    <w:div w:id="923996852">
      <w:bodyDiv w:val="1"/>
      <w:marLeft w:val="0"/>
      <w:marRight w:val="0"/>
      <w:marTop w:val="0"/>
      <w:marBottom w:val="0"/>
      <w:divBdr>
        <w:top w:val="none" w:sz="0" w:space="0" w:color="auto"/>
        <w:left w:val="none" w:sz="0" w:space="0" w:color="auto"/>
        <w:bottom w:val="none" w:sz="0" w:space="0" w:color="auto"/>
        <w:right w:val="none" w:sz="0" w:space="0" w:color="auto"/>
      </w:divBdr>
    </w:div>
    <w:div w:id="1294825228">
      <w:bodyDiv w:val="1"/>
      <w:marLeft w:val="0"/>
      <w:marRight w:val="0"/>
      <w:marTop w:val="0"/>
      <w:marBottom w:val="0"/>
      <w:divBdr>
        <w:top w:val="none" w:sz="0" w:space="0" w:color="auto"/>
        <w:left w:val="none" w:sz="0" w:space="0" w:color="auto"/>
        <w:bottom w:val="none" w:sz="0" w:space="0" w:color="auto"/>
        <w:right w:val="none" w:sz="0" w:space="0" w:color="auto"/>
      </w:divBdr>
    </w:div>
    <w:div w:id="1325353695">
      <w:bodyDiv w:val="1"/>
      <w:marLeft w:val="0"/>
      <w:marRight w:val="0"/>
      <w:marTop w:val="0"/>
      <w:marBottom w:val="0"/>
      <w:divBdr>
        <w:top w:val="none" w:sz="0" w:space="0" w:color="auto"/>
        <w:left w:val="none" w:sz="0" w:space="0" w:color="auto"/>
        <w:bottom w:val="none" w:sz="0" w:space="0" w:color="auto"/>
        <w:right w:val="none" w:sz="0" w:space="0" w:color="auto"/>
      </w:divBdr>
    </w:div>
    <w:div w:id="1436486911">
      <w:bodyDiv w:val="1"/>
      <w:marLeft w:val="0"/>
      <w:marRight w:val="0"/>
      <w:marTop w:val="0"/>
      <w:marBottom w:val="0"/>
      <w:divBdr>
        <w:top w:val="none" w:sz="0" w:space="0" w:color="auto"/>
        <w:left w:val="none" w:sz="0" w:space="0" w:color="auto"/>
        <w:bottom w:val="none" w:sz="0" w:space="0" w:color="auto"/>
        <w:right w:val="none" w:sz="0" w:space="0" w:color="auto"/>
      </w:divBdr>
    </w:div>
    <w:div w:id="1871524661">
      <w:bodyDiv w:val="1"/>
      <w:marLeft w:val="0"/>
      <w:marRight w:val="0"/>
      <w:marTop w:val="0"/>
      <w:marBottom w:val="0"/>
      <w:divBdr>
        <w:top w:val="none" w:sz="0" w:space="0" w:color="auto"/>
        <w:left w:val="none" w:sz="0" w:space="0" w:color="auto"/>
        <w:bottom w:val="none" w:sz="0" w:space="0" w:color="auto"/>
        <w:right w:val="none" w:sz="0" w:space="0" w:color="auto"/>
      </w:divBdr>
    </w:div>
    <w:div w:id="2093968258">
      <w:bodyDiv w:val="1"/>
      <w:marLeft w:val="0"/>
      <w:marRight w:val="0"/>
      <w:marTop w:val="0"/>
      <w:marBottom w:val="0"/>
      <w:divBdr>
        <w:top w:val="none" w:sz="0" w:space="0" w:color="auto"/>
        <w:left w:val="none" w:sz="0" w:space="0" w:color="auto"/>
        <w:bottom w:val="none" w:sz="0" w:space="0" w:color="auto"/>
        <w:right w:val="none" w:sz="0" w:space="0" w:color="auto"/>
      </w:divBdr>
    </w:div>
    <w:div w:id="214454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r.worldbank.org/star/publication/public-wrongs-private-actions" TargetMode="External"/><Relationship Id="rId13" Type="http://schemas.openxmlformats.org/officeDocument/2006/relationships/hyperlink" Target="https://www.coe.int/en/web/conventions/full-list/-/conventions/treaty/198" TargetMode="External"/><Relationship Id="rId18" Type="http://schemas.openxmlformats.org/officeDocument/2006/relationships/hyperlink" Target="http://cis-legislation.com/document.fwx?rgn=26119" TargetMode="External"/><Relationship Id="rId26" Type="http://schemas.openxmlformats.org/officeDocument/2006/relationships/hyperlink" Target="http://www.fatf-gafi.org/media/fatf/documents/reports/mer4/MER-United-States-2016.pdf" TargetMode="External"/><Relationship Id="rId39" Type="http://schemas.openxmlformats.org/officeDocument/2006/relationships/hyperlink" Target="http://www.oecd.org/site/adboecdanti-corruptioninitiative/37900503.pdf" TargetMode="External"/><Relationship Id="rId3" Type="http://schemas.openxmlformats.org/officeDocument/2006/relationships/styles" Target="styles.xml"/><Relationship Id="rId21" Type="http://schemas.openxmlformats.org/officeDocument/2006/relationships/hyperlink" Target="http://www.sadc.int/documents-publications/show/" TargetMode="External"/><Relationship Id="rId34" Type="http://schemas.openxmlformats.org/officeDocument/2006/relationships/hyperlink" Target="http://laws-lois.justice.gc.ca/eng/acts/M-13.6/" TargetMode="External"/><Relationship Id="rId42" Type="http://schemas.openxmlformats.org/officeDocument/2006/relationships/header" Target="header1.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gal-content/EN/TXT/PDF/?uri=CELEX:32006F0783&amp;from=EN" TargetMode="External"/><Relationship Id="rId17" Type="http://schemas.openxmlformats.org/officeDocument/2006/relationships/hyperlink" Target="http://conventions.coe.int/%20Treaty/en/Treaties/Html/030.htm" TargetMode="External"/><Relationship Id="rId25" Type="http://schemas.openxmlformats.org/officeDocument/2006/relationships/image" Target="media/image1.jpg"/><Relationship Id="rId33" Type="http://schemas.openxmlformats.org/officeDocument/2006/relationships/hyperlink" Target="http://star.worldbank.org/star/sites/star/files/UK-Guide-to-Asset-Recovery.pdf" TargetMode="External"/><Relationship Id="rId38" Type="http://schemas.openxmlformats.org/officeDocument/2006/relationships/hyperlink" Target="http://police.homeoffice.gov.uk/operational-policing/mutual-legal-assistance/"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coe.int/en/web/conventions/full-list/-/conventions/treaty/174" TargetMode="External"/><Relationship Id="rId20" Type="http://schemas.openxmlformats.org/officeDocument/2006/relationships/hyperlink" Target="http://www.eods.eu/library/AU_Convention%20on%20Combating%20Corruption_2003_EN.pdf" TargetMode="External"/><Relationship Id="rId29" Type="http://schemas.openxmlformats.org/officeDocument/2006/relationships/hyperlink" Target="http://www.legislation.gov.uk/uksi/2008/302/contents/made" TargetMode="External"/><Relationship Id="rId41" Type="http://schemas.openxmlformats.org/officeDocument/2006/relationships/hyperlink" Target="https://star.worldbank.org/star/sites/star/files/Barriers%20to%20Asset%20Recovery.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dgs/home-affairs/e-library/documents/policies/organized-crime-and-human-trafficking/confiscation-and-asset-recovery/index_en.htm" TargetMode="External"/><Relationship Id="rId24" Type="http://schemas.openxmlformats.org/officeDocument/2006/relationships/hyperlink" Target="http://www.ice.gov/international-affairs/" TargetMode="External"/><Relationship Id="rId32" Type="http://schemas.openxmlformats.org/officeDocument/2006/relationships/hyperlink" Target="http://www.fsa.gov.uk/" TargetMode="External"/><Relationship Id="rId37" Type="http://schemas.openxmlformats.org/officeDocument/2006/relationships/hyperlink" Target="http://www.transparencycanada.ca/wp-content/uploads/2017/05/TIC-BeneficialOwnershipReport-Interactive.pdf" TargetMode="External"/><Relationship Id="rId40" Type="http://schemas.openxmlformats.org/officeDocument/2006/relationships/hyperlink" Target="http://www.unafei.or.jp/english/pages/RMS/No83.htm"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coe.int/en/web/conventions/full-list/-/conventions/treaty/173" TargetMode="External"/><Relationship Id="rId23" Type="http://schemas.openxmlformats.org/officeDocument/2006/relationships/hyperlink" Target="http://www.fbi.gov/contact/legat/legat.htm" TargetMode="External"/><Relationship Id="rId28" Type="http://schemas.openxmlformats.org/officeDocument/2006/relationships/hyperlink" Target="http://www.legislation.gov.uk/ukpga/2003/32/contents" TargetMode="External"/><Relationship Id="rId36" Type="http://schemas.openxmlformats.org/officeDocument/2006/relationships/hyperlink" Target="http://star.worldbank.org/star/sites/star/files/Canada&#8217;s-Asset-Recovery-Tools-A-Practical-Guide.pdf" TargetMode="External"/><Relationship Id="rId10" Type="http://schemas.openxmlformats.org/officeDocument/2006/relationships/hyperlink" Target="http://www.fatf-gafi.org/about/" TargetMode="External"/><Relationship Id="rId19" Type="http://schemas.openxmlformats.org/officeDocument/2006/relationships/hyperlink" Target="http://www.asean.org/storage/images/archive/17363.pdf" TargetMode="External"/><Relationship Id="rId31" Type="http://schemas.openxmlformats.org/officeDocument/2006/relationships/hyperlink" Target="http://www.soca.gov.uk/"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ar.worldbank.org/star/ArabForum/About" TargetMode="External"/><Relationship Id="rId14" Type="http://schemas.openxmlformats.org/officeDocument/2006/relationships/hyperlink" Target="http://eur-lex.europa.eu/legal-content/EN/TXT/?uri=CELEX%3A32003F0577" TargetMode="External"/><Relationship Id="rId22" Type="http://schemas.openxmlformats.org/officeDocument/2006/relationships/hyperlink" Target="http://www.fincen.gov/" TargetMode="External"/><Relationship Id="rId27" Type="http://schemas.openxmlformats.org/officeDocument/2006/relationships/image" Target="media/image2.jpg"/><Relationship Id="rId30" Type="http://schemas.openxmlformats.org/officeDocument/2006/relationships/hyperlink" Target="http://www.legislation.gov.uk/ukpga/1990/5/contents" TargetMode="External"/><Relationship Id="rId35" Type="http://schemas.openxmlformats.org/officeDocument/2006/relationships/hyperlink" Target="http://laws-lois.justice.gc.ca/eng/acts/C-5/" TargetMode="External"/><Relationship Id="rId43" Type="http://schemas.openxmlformats.org/officeDocument/2006/relationships/header" Target="header2.xm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star.worldbank.org/star/publication/towards-global-architecture-asset-recovery" TargetMode="External"/><Relationship Id="rId18" Type="http://schemas.openxmlformats.org/officeDocument/2006/relationships/hyperlink" Target="http://www.theglobeandmail.com/report-on-business/industry-news/the-law-page/snc-lavalin-sues-former-executives-over-alleged-bribery-embezzlement/article23870439/" TargetMode="External"/><Relationship Id="rId26" Type="http://schemas.openxmlformats.org/officeDocument/2006/relationships/hyperlink" Target="https://www.oecd.org/daf/anti-bribery/44176910.pdf" TargetMode="External"/><Relationship Id="rId39" Type="http://schemas.openxmlformats.org/officeDocument/2006/relationships/hyperlink" Target="http://www.osfi-bsif.gc.ca/Eng/fi-if/amlc-clrpc/snc/facfo-bbde/Pages/2014-03-05-RAFACFOUR.aspx" TargetMode="External"/><Relationship Id="rId21" Type="http://schemas.openxmlformats.org/officeDocument/2006/relationships/hyperlink" Target="http://www.reuters.com/article/avon-corruption-settlement-idUSL1N10T14B20150818" TargetMode="External"/><Relationship Id="rId34" Type="http://schemas.openxmlformats.org/officeDocument/2006/relationships/hyperlink" Target="http://www.parl.gc.ca/About/Parliament/LegislativeSummaries/bills_ls.asp?ls=c61&amp;Parl=40&amp;Ses=3" TargetMode="External"/><Relationship Id="rId42" Type="http://schemas.openxmlformats.org/officeDocument/2006/relationships/hyperlink" Target="https://www.publicsafety.gc.ca/lbrr/archives/cn63313146-eng.pdf" TargetMode="External"/><Relationship Id="rId47" Type="http://schemas.openxmlformats.org/officeDocument/2006/relationships/hyperlink" Target="http://www.theglobeandmail.com/news/world/chinas-corruption-crackdown-ruffles-international-feathers/article31979594/" TargetMode="External"/><Relationship Id="rId50" Type="http://schemas.openxmlformats.org/officeDocument/2006/relationships/hyperlink" Target="http://www.theglobeandmail.com/opinion/extradition-treaty-with-china-would-be-an-affront-to-human-rights/article31968585/" TargetMode="External"/><Relationship Id="rId55" Type="http://schemas.openxmlformats.org/officeDocument/2006/relationships/hyperlink" Target="https://www.baselgovernance.org/publications/421" TargetMode="External"/><Relationship Id="rId63" Type="http://schemas.openxmlformats.org/officeDocument/2006/relationships/hyperlink" Target="http://www.transparency.org/whatwedo/publication/just_for_show_g20_promises" TargetMode="External"/><Relationship Id="rId68" Type="http://schemas.openxmlformats.org/officeDocument/2006/relationships/hyperlink" Target="http://www.cfs-lawblog.com/fincen-releases-long-awaited-beneficial-ownership-final-rule_051616" TargetMode="External"/><Relationship Id="rId76" Type="http://schemas.openxmlformats.org/officeDocument/2006/relationships/hyperlink" Target="https://services.parliament.uk/bills/2016-17/criminalfinances.html" TargetMode="External"/><Relationship Id="rId84" Type="http://schemas.openxmlformats.org/officeDocument/2006/relationships/hyperlink" Target="http://www.unodc.org/pdf/model_treaty_extradition_revised_manual.pdf" TargetMode="External"/><Relationship Id="rId89" Type="http://schemas.openxmlformats.org/officeDocument/2006/relationships/hyperlink" Target="http://www.fatf-gafi.org/media/fatf/documents/reports/mer4/MER-United-States-2016.pdf" TargetMode="External"/><Relationship Id="rId7" Type="http://schemas.openxmlformats.org/officeDocument/2006/relationships/hyperlink" Target="https://www.baselgovernance.org/sites/collective.localhost/files/publications/biog_working_paper_06.pdf" TargetMode="External"/><Relationship Id="rId71" Type="http://schemas.openxmlformats.org/officeDocument/2006/relationships/hyperlink" Target="http://www.pwyp.ca/images/documents/BOT%20Report.pdf" TargetMode="External"/><Relationship Id="rId92" Type="http://schemas.openxmlformats.org/officeDocument/2006/relationships/hyperlink" Target="https://www.oecd.org/corruption/ADB-OECD-Mutual-Legal-Assistance-Corruption-2017.pdf" TargetMode="External"/><Relationship Id="rId2" Type="http://schemas.openxmlformats.org/officeDocument/2006/relationships/hyperlink" Target="https://www.unodc.org/documents/corruption/Publications/StAR/StAR_Publication_-_Asset_Recovery_Handbook.pdf" TargetMode="External"/><Relationship Id="rId16" Type="http://schemas.openxmlformats.org/officeDocument/2006/relationships/hyperlink" Target="http://business.financialpost.com/news/chevrons-9-5-billion-ecuador-case-returns-to-an-ontario-court" TargetMode="External"/><Relationship Id="rId29" Type="http://schemas.openxmlformats.org/officeDocument/2006/relationships/hyperlink" Target="http://www.fatf-gafi.org/media/fatf/documents/reports/mer4/MER-United-States-2016.pdf" TargetMode="External"/><Relationship Id="rId11" Type="http://schemas.openxmlformats.org/officeDocument/2006/relationships/hyperlink" Target="http://www.justice.gov.za/reportfiles/other/cara-anr-2010-11.pdf" TargetMode="External"/><Relationship Id="rId24" Type="http://schemas.openxmlformats.org/officeDocument/2006/relationships/hyperlink" Target="http://www.cbc.ca/news/canada/montreal/judge-certifies-1-billion-class-action-lawsuit-against-snc-lavalin-1.1169847" TargetMode="External"/><Relationship Id="rId32" Type="http://schemas.openxmlformats.org/officeDocument/2006/relationships/hyperlink" Target="https://www.baselgovernance.org/publications/421" TargetMode="External"/><Relationship Id="rId37" Type="http://schemas.openxmlformats.org/officeDocument/2006/relationships/hyperlink" Target="http://canlii.ca/t/527c6" TargetMode="External"/><Relationship Id="rId40" Type="http://schemas.openxmlformats.org/officeDocument/2006/relationships/hyperlink" Target="http://www.fatf-gafi.org/media/fatf/documents/reports/mer4/MER-Canada-2016.pdf" TargetMode="External"/><Relationship Id="rId45" Type="http://schemas.openxmlformats.org/officeDocument/2006/relationships/hyperlink" Target="http://www.treaty-accord.gc.ca/text-texte.aspx?id=101640" TargetMode="External"/><Relationship Id="rId53" Type="http://schemas.openxmlformats.org/officeDocument/2006/relationships/hyperlink" Target="http://pm.gc.ca/eng/news/2016/09/23/joint-statement-between-canada-and-peoples-republic-china" TargetMode="External"/><Relationship Id="rId58" Type="http://schemas.openxmlformats.org/officeDocument/2006/relationships/hyperlink" Target="https://www.unodc.org/documents/treaties/UNCAC/WorkingGroups/workinggroup2/2016-August-25-26/V1604599e.pdf" TargetMode="External"/><Relationship Id="rId66" Type="http://schemas.openxmlformats.org/officeDocument/2006/relationships/hyperlink" Target="https://www.treasury.gov/press-center/press-releases/Pages/jl0451.aspx" TargetMode="External"/><Relationship Id="rId74" Type="http://schemas.openxmlformats.org/officeDocument/2006/relationships/hyperlink" Target="https://www.unodc.org/documents/treaties/UNCAC/WorkingGroups/workinggroup2/2016-August-25-26/V1604599e.pdf" TargetMode="External"/><Relationship Id="rId79" Type="http://schemas.openxmlformats.org/officeDocument/2006/relationships/hyperlink" Target="http://www.transparency.org.uk/publications/uwos-criminal-finances-bill-2016/" TargetMode="External"/><Relationship Id="rId87" Type="http://schemas.openxmlformats.org/officeDocument/2006/relationships/hyperlink" Target="http://www.unodc.org/mla/index.html" TargetMode="External"/><Relationship Id="rId5" Type="http://schemas.openxmlformats.org/officeDocument/2006/relationships/hyperlink" Target="https://www.unodc.org/documents/corruption/Publications/2015/15-05350_Ebook.pdf" TargetMode="External"/><Relationship Id="rId61" Type="http://schemas.openxmlformats.org/officeDocument/2006/relationships/hyperlink" Target="https://eiti.org/sites/default/files/documents/english-eiti-standard_0.pdf" TargetMode="External"/><Relationship Id="rId82" Type="http://schemas.openxmlformats.org/officeDocument/2006/relationships/hyperlink" Target="http://researchbriefings.parliament.uk/ResearchBriefing/Summary/CBP-7739" TargetMode="External"/><Relationship Id="rId90" Type="http://schemas.openxmlformats.org/officeDocument/2006/relationships/hyperlink" Target="http://www.fatf-gafi.org/media/fatf/documents/reports/mer4/MER-United-States-2016.pdf" TargetMode="External"/><Relationship Id="rId19" Type="http://schemas.openxmlformats.org/officeDocument/2006/relationships/hyperlink" Target="http://www.cbc.ca/news/business/snc-lavalin-card-bruce-1.3226097" TargetMode="External"/><Relationship Id="rId14" Type="http://schemas.openxmlformats.org/officeDocument/2006/relationships/hyperlink" Target="https://www.baselgovernance.org/publications/421" TargetMode="External"/><Relationship Id="rId22" Type="http://schemas.openxmlformats.org/officeDocument/2006/relationships/hyperlink" Target="http://www.reuters.com/article/us-brazil-petrobras-lawsuit-idUSKCN0VB2OQ" TargetMode="External"/><Relationship Id="rId27" Type="http://schemas.openxmlformats.org/officeDocument/2006/relationships/hyperlink" Target="http://documents.worldbank.org/curated/en/2011/01/14571139/barriers-asset-recovery-analysis-key-barriers-recommendations-action" TargetMode="External"/><Relationship Id="rId30" Type="http://schemas.openxmlformats.org/officeDocument/2006/relationships/hyperlink" Target="http://www.justice.gov/opa/pr/second-vice-president-equatorial-guinea-agrees-relinquish-more-30-million-assets-purchased" TargetMode="External"/><Relationship Id="rId35" Type="http://schemas.openxmlformats.org/officeDocument/2006/relationships/hyperlink" Target="http://www.bbc.com/news/world-africa-12688033" TargetMode="External"/><Relationship Id="rId43" Type="http://schemas.openxmlformats.org/officeDocument/2006/relationships/hyperlink" Target="http://www.theglobeandmail.com/news/world/china-pressuring-canada-to-ease-return-of-corruption-suspects/article30283903/" TargetMode="External"/><Relationship Id="rId48" Type="http://schemas.openxmlformats.org/officeDocument/2006/relationships/hyperlink" Target="http://pm.gc.ca/eng/news/2016/09/13/1st-canada-china-high-level-national-security-and-rule-law-dialogue" TargetMode="External"/><Relationship Id="rId56" Type="http://schemas.openxmlformats.org/officeDocument/2006/relationships/hyperlink" Target="http://www.oecd.org/corruption/Illicit_Financial_Flows_from_Developing_Countries.pdf" TargetMode="External"/><Relationship Id="rId64" Type="http://schemas.openxmlformats.org/officeDocument/2006/relationships/hyperlink" Target="http://www.dentons.com/en/insights/newsletters/2016/january/26/uk-corporate-briefing/uk-corporate-briefing-winter-2016/companies-act-2006-new-rules-on-people-with-significant-control" TargetMode="External"/><Relationship Id="rId69" Type="http://schemas.openxmlformats.org/officeDocument/2006/relationships/hyperlink" Target="http://www.transparencycanada.ca/wp-content/uploads/2016/08/TIC-BeneficialOwnershipReport-Interactive.pdf" TargetMode="External"/><Relationship Id="rId77" Type="http://schemas.openxmlformats.org/officeDocument/2006/relationships/hyperlink" Target="http://researchbriefings.parliament.uk/ResearchBriefing/Summary/CBP-7739" TargetMode="External"/><Relationship Id="rId8" Type="http://schemas.openxmlformats.org/officeDocument/2006/relationships/hyperlink" Target="http://www.fcpablog.com/blog/2015/4/22/the-bota-foundation-explained-part-nine-how-effective-was-bo.html" TargetMode="External"/><Relationship Id="rId51" Type="http://schemas.openxmlformats.org/officeDocument/2006/relationships/hyperlink" Target="http://www.theglobeandmail.com/report-on-business/rob-commentary/an-extradition-treaty-with-china-sends-a-message-about-corruption/article32043651/" TargetMode="External"/><Relationship Id="rId72" Type="http://schemas.openxmlformats.org/officeDocument/2006/relationships/hyperlink" Target="https://www.unodc.org/documents/treaties/UNCAC/WorkingGroups/workinggroup2/2016-August-25-26/V1604599e.pdf" TargetMode="External"/><Relationship Id="rId80" Type="http://schemas.openxmlformats.org/officeDocument/2006/relationships/hyperlink" Target="http://researchbriefings.parliament.uk/ResearchBriefing/Summary/CBP-7739" TargetMode="External"/><Relationship Id="rId85" Type="http://schemas.openxmlformats.org/officeDocument/2006/relationships/hyperlink" Target="https://forum.assetrecovery.org/sites/collective.localhost/files/publications/tracing_illegal_assets_manuscript_final_online.pdf" TargetMode="External"/><Relationship Id="rId3" Type="http://schemas.openxmlformats.org/officeDocument/2006/relationships/hyperlink" Target="http://www.worldbank.org/star" TargetMode="External"/><Relationship Id="rId12" Type="http://schemas.openxmlformats.org/officeDocument/2006/relationships/hyperlink" Target="http://www.justice.gov/criminal/afmls/" TargetMode="External"/><Relationship Id="rId17" Type="http://schemas.openxmlformats.org/officeDocument/2006/relationships/hyperlink" Target="http://www.theglobeandmail.com/report-on-business/industry-news/energy-and-resources/ecuadoreans-face-off-against-chevron-in-an-ontario-court/article31913977/" TargetMode="External"/><Relationship Id="rId25" Type="http://schemas.openxmlformats.org/officeDocument/2006/relationships/hyperlink" Target="http://www.snclavalin.com/en/investors/financial-information/annual-reports/2015" TargetMode="External"/><Relationship Id="rId33" Type="http://schemas.openxmlformats.org/officeDocument/2006/relationships/hyperlink" Target="https://star.worldbank.org/star/publication/good-practice-guide-non-conviction-based-asset-forfeiture" TargetMode="External"/><Relationship Id="rId38" Type="http://schemas.openxmlformats.org/officeDocument/2006/relationships/hyperlink" Target="http://www.theglobeandmail.com/news/national/canada-froze-billions-in-assets-to-support-arab-spring-rcmp/article4417551/" TargetMode="External"/><Relationship Id="rId46" Type="http://schemas.openxmlformats.org/officeDocument/2006/relationships/hyperlink" Target="http://www.fatf-gafi.org/media/fatf/documents/reports/mer4/MER-Canada-2016.pdf" TargetMode="External"/><Relationship Id="rId59" Type="http://schemas.openxmlformats.org/officeDocument/2006/relationships/hyperlink" Target="http://gopacnetwork.org/Docs/PositionPapers/PP_GTFAML_EN_WEB.pdf" TargetMode="External"/><Relationship Id="rId67" Type="http://schemas.openxmlformats.org/officeDocument/2006/relationships/hyperlink" Target="https://www.cov.com/-/media/files/corporate/publications/2016/05/fincen_releases_final_rule_on_beneficial_ownership_and_risk_based_customer_due_diligence.pdf" TargetMode="External"/><Relationship Id="rId20" Type="http://schemas.openxmlformats.org/officeDocument/2006/relationships/hyperlink" Target="http://www.fcpablog.com/blog/2014/12/15/victim-snc-lavalin-collects-13-million-in-recovered-funds.html" TargetMode="External"/><Relationship Id="rId41" Type="http://schemas.openxmlformats.org/officeDocument/2006/relationships/hyperlink" Target="http://www.transparency.org/files/content/corruptionqas/Lessons_Learnt_in_recovering_assets_from_Egypt_Libya_and_Tunisia_2014.pdf" TargetMode="External"/><Relationship Id="rId54" Type="http://schemas.openxmlformats.org/officeDocument/2006/relationships/hyperlink" Target="http://www.scmp.com/news/china/policies-politics/article/2021977/china-canada-sign-treaty-return-assets-stolen-fraud" TargetMode="External"/><Relationship Id="rId62" Type="http://schemas.openxmlformats.org/officeDocument/2006/relationships/hyperlink" Target="http://star.worldbank.org/star/sites/star/files/g20_high-level_principles_beneficial_ownership_transparency.pdf" TargetMode="External"/><Relationship Id="rId70" Type="http://schemas.openxmlformats.org/officeDocument/2006/relationships/hyperlink" Target="https://www.bennettjones.com/Publications/Articles/Transparency_International_Canada_Inc__-_UNCAC_Implementation_Review_-_Civil_Society_Organization_Report" TargetMode="External"/><Relationship Id="rId75" Type="http://schemas.openxmlformats.org/officeDocument/2006/relationships/hyperlink" Target="https://www.admin.ch/gov/en/start/dokumentation/medienmitteilungen.msg-id-61034.html" TargetMode="External"/><Relationship Id="rId83" Type="http://schemas.openxmlformats.org/officeDocument/2006/relationships/hyperlink" Target="https://services.parliament.uk/bills/2016-17/criminalfinances.html" TargetMode="External"/><Relationship Id="rId88" Type="http://schemas.openxmlformats.org/officeDocument/2006/relationships/hyperlink" Target="http://www.coe.int/T/dghl/standardsetting/pc-oc/PCOC_documents/8_MLA%20step-by-step_CN152011_CRP.6_eV1182196.pdf" TargetMode="External"/><Relationship Id="rId91" Type="http://schemas.openxmlformats.org/officeDocument/2006/relationships/hyperlink" Target="http://www.fatf-gafi.org/media/fatf/documents/reports/mer4/MER-Canada-2016.pdf" TargetMode="External"/><Relationship Id="rId1" Type="http://schemas.openxmlformats.org/officeDocument/2006/relationships/hyperlink" Target="http://www.unodc.org/documents/corruption/StAR-Sept07-full.pdf" TargetMode="External"/><Relationship Id="rId6" Type="http://schemas.openxmlformats.org/officeDocument/2006/relationships/hyperlink" Target="https://www.baselgovernance.org/sites/collective.localhost/files/publications/dfid_brochure_final_version_for_print.pdf" TargetMode="External"/><Relationship Id="rId15" Type="http://schemas.openxmlformats.org/officeDocument/2006/relationships/hyperlink" Target="http://dx.doi.org/10.1787/9789264174801-en" TargetMode="External"/><Relationship Id="rId23" Type="http://schemas.openxmlformats.org/officeDocument/2006/relationships/hyperlink" Target="http://www.ctvnews.ca/business/wal-mart-to-face-class-action-over-alleged-bribery-in-mexico-1.3083753" TargetMode="External"/><Relationship Id="rId28" Type="http://schemas.openxmlformats.org/officeDocument/2006/relationships/hyperlink" Target="http://www.unafei.or.jp/english/pdf/RS_No83/No83_06VE_Weld1.pdf" TargetMode="External"/><Relationship Id="rId36" Type="http://schemas.openxmlformats.org/officeDocument/2006/relationships/hyperlink" Target="http://canlii.ca/t/52p9g" TargetMode="External"/><Relationship Id="rId49" Type="http://schemas.openxmlformats.org/officeDocument/2006/relationships/hyperlink" Target="http://www.theglobeandmail.com/opinion/editorials/china-wants-an-extradition-treaty-ottawa-should-say-no/article31975466/" TargetMode="External"/><Relationship Id="rId57" Type="http://schemas.openxmlformats.org/officeDocument/2006/relationships/hyperlink" Target="https://www.justice.gov/opa/pr/vimpelcom-limited-and-unitel-llc-enter-global-foreign-bribery-resolution-more-795-million" TargetMode="External"/><Relationship Id="rId10" Type="http://schemas.openxmlformats.org/officeDocument/2006/relationships/hyperlink" Target="http://www.justice.gov/criminal/afmls/" TargetMode="External"/><Relationship Id="rId31" Type="http://schemas.openxmlformats.org/officeDocument/2006/relationships/hyperlink" Target="http://documents.worldbank.org/curated/en/2011/01/14571139/barriers-asset-recovery-analysis-key-barriers-recommendations-action" TargetMode="External"/><Relationship Id="rId44" Type="http://schemas.openxmlformats.org/officeDocument/2006/relationships/hyperlink" Target="http://www.theglobeandmail.com/news/world/chinas-fox-hunt-in-canada-strains-trust-that-an-extradition-treaty-is-possible/article32042306/" TargetMode="External"/><Relationship Id="rId52" Type="http://schemas.openxmlformats.org/officeDocument/2006/relationships/hyperlink" Target="http://www.theglobeandmail.com/news/world/extradition-talks-with-china-could-take-years-canadian-diplomat-says/article32270628/" TargetMode="External"/><Relationship Id="rId60" Type="http://schemas.openxmlformats.org/officeDocument/2006/relationships/hyperlink" Target="https://eiti.org/sites/default/files/documents/progressreport.pdf" TargetMode="External"/><Relationship Id="rId65" Type="http://schemas.openxmlformats.org/officeDocument/2006/relationships/hyperlink" Target="http://researchbriefings.parliament.uk/ResearchBriefing/Summary/CBP-7616" TargetMode="External"/><Relationship Id="rId73" Type="http://schemas.openxmlformats.org/officeDocument/2006/relationships/hyperlink" Target="https://www.sfo.gov.uk/2015/11/30/sfo-agrees-first-uk-dpa-with-standard-bank/" TargetMode="External"/><Relationship Id="rId78" Type="http://schemas.openxmlformats.org/officeDocument/2006/relationships/hyperlink" Target="http://researchbriefings.parliament.uk/ResearchBriefing/Summary/CBP-7739" TargetMode="External"/><Relationship Id="rId81" Type="http://schemas.openxmlformats.org/officeDocument/2006/relationships/hyperlink" Target="https://services.parliament.uk/bills/2016-17/criminalfinances.html" TargetMode="External"/><Relationship Id="rId86" Type="http://schemas.openxmlformats.org/officeDocument/2006/relationships/hyperlink" Target="http://www.oecd.org/site/adboecdanti-corruptioninitiative/mutuallegalassistanceextraditionand%20recoveryofproceedsofcorruptioninasiaandthepacific.htm" TargetMode="External"/><Relationship Id="rId4" Type="http://schemas.openxmlformats.org/officeDocument/2006/relationships/hyperlink" Target="http://siteresources.worldbank.org/%20INTKAZAKHSTAN/News%20and%20Events/21790077/Bota_Establishment_June08_eng.pdf" TargetMode="External"/><Relationship Id="rId9" Type="http://schemas.openxmlformats.org/officeDocument/2006/relationships/hyperlink" Target="http://www.fcpablog.com/blog/2015/4/29/the-bota-foundation-explained-part-twelve-conclusion-futu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EEEDB-5178-42F4-A4A3-6B7EF735C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149</Pages>
  <Words>51312</Words>
  <Characters>292483</Characters>
  <Application>Microsoft Office Word</Application>
  <DocSecurity>0</DocSecurity>
  <Lines>2437</Lines>
  <Paragraphs>686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343109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Yenny Lim</cp:lastModifiedBy>
  <cp:revision>53</cp:revision>
  <cp:lastPrinted>2017-08-08T21:30:00Z</cp:lastPrinted>
  <dcterms:created xsi:type="dcterms:W3CDTF">2018-04-03T20:10:00Z</dcterms:created>
  <dcterms:modified xsi:type="dcterms:W3CDTF">2018-05-11T22:53:00Z</dcterms:modified>
</cp:coreProperties>
</file>