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4992C4" w14:textId="7A8697AD" w:rsidR="004A66B8" w:rsidRPr="000605BC" w:rsidRDefault="004A66B8" w:rsidP="00060FE3">
      <w:pPr>
        <w:pStyle w:val="TitlePgCh"/>
        <w:rPr>
          <w:sz w:val="24"/>
        </w:rPr>
      </w:pPr>
      <w:r w:rsidRPr="000605BC">
        <w:rPr>
          <w:sz w:val="24"/>
        </w:rPr>
        <w:t xml:space="preserve">Chapter </w:t>
      </w:r>
      <w:r w:rsidR="00356CDE" w:rsidRPr="000605BC">
        <w:rPr>
          <w:sz w:val="24"/>
        </w:rPr>
        <w:t>4</w:t>
      </w:r>
    </w:p>
    <w:p w14:paraId="43A2CE9D" w14:textId="7EA3E84E" w:rsidR="004A66B8" w:rsidRPr="000605BC" w:rsidRDefault="004A66B8" w:rsidP="00060FE3">
      <w:pPr>
        <w:pStyle w:val="TitlePgChTitle"/>
        <w:rPr>
          <w:sz w:val="32"/>
        </w:rPr>
      </w:pPr>
      <w:r w:rsidRPr="000605BC">
        <w:rPr>
          <w:sz w:val="32"/>
        </w:rPr>
        <w:t xml:space="preserve">Money </w:t>
      </w:r>
      <w:r w:rsidR="00B814EE" w:rsidRPr="000605BC">
        <w:rPr>
          <w:sz w:val="32"/>
        </w:rPr>
        <w:t>L</w:t>
      </w:r>
      <w:r w:rsidRPr="000605BC">
        <w:rPr>
          <w:sz w:val="32"/>
        </w:rPr>
        <w:t>aundering</w:t>
      </w:r>
    </w:p>
    <w:p w14:paraId="66343343" w14:textId="77777777" w:rsidR="002A3BB8" w:rsidRPr="000605BC" w:rsidRDefault="002A3BB8">
      <w:pPr>
        <w:spacing w:after="0"/>
        <w:jc w:val="left"/>
        <w:rPr>
          <w:rFonts w:eastAsiaTheme="majorEastAsia" w:cstheme="majorBidi"/>
          <w:b/>
          <w:smallCaps/>
          <w:sz w:val="24"/>
          <w:szCs w:val="32"/>
        </w:rPr>
      </w:pPr>
      <w:bookmarkStart w:id="0" w:name="_Toc489788762"/>
      <w:bookmarkStart w:id="1" w:name="_Toc489789301"/>
      <w:bookmarkStart w:id="2" w:name="_Toc489791768"/>
      <w:r w:rsidRPr="000605BC">
        <w:rPr>
          <w:sz w:val="24"/>
        </w:rPr>
        <w:br w:type="page"/>
      </w:r>
    </w:p>
    <w:p w14:paraId="40CF4749" w14:textId="5E1879C4" w:rsidR="000427D4" w:rsidRPr="000605BC" w:rsidRDefault="000427D4" w:rsidP="000427D4">
      <w:pPr>
        <w:pStyle w:val="TOCHeading1"/>
        <w:rPr>
          <w:spacing w:val="0"/>
          <w:sz w:val="28"/>
        </w:rPr>
      </w:pPr>
      <w:r w:rsidRPr="000605BC">
        <w:rPr>
          <w:spacing w:val="0"/>
          <w:sz w:val="28"/>
        </w:rPr>
        <w:lastRenderedPageBreak/>
        <w:t>Contents</w:t>
      </w:r>
    </w:p>
    <w:p w14:paraId="161ED0CC" w14:textId="741EC6A1" w:rsidR="000427D4" w:rsidRPr="000605BC" w:rsidRDefault="000427D4" w:rsidP="00683144">
      <w:pPr>
        <w:pStyle w:val="TOC1"/>
        <w:tabs>
          <w:tab w:val="left" w:pos="480"/>
          <w:tab w:val="left" w:pos="567"/>
          <w:tab w:val="right" w:leader="dot" w:pos="9350"/>
        </w:tabs>
        <w:jc w:val="left"/>
        <w:rPr>
          <w:rFonts w:eastAsiaTheme="minorEastAsia"/>
          <w:b w:val="0"/>
          <w:smallCaps w:val="0"/>
          <w:noProof/>
          <w:sz w:val="20"/>
          <w:lang w:eastAsia="en-CA"/>
        </w:rPr>
      </w:pPr>
      <w:r w:rsidRPr="000605BC">
        <w:rPr>
          <w:sz w:val="20"/>
        </w:rPr>
        <w:fldChar w:fldCharType="begin"/>
      </w:r>
      <w:r w:rsidRPr="000605BC">
        <w:rPr>
          <w:sz w:val="20"/>
        </w:rPr>
        <w:instrText xml:space="preserve"> TOC \o "1-1" \n \p " " \h \z \u </w:instrText>
      </w:r>
      <w:r w:rsidRPr="000605BC">
        <w:rPr>
          <w:sz w:val="20"/>
        </w:rPr>
        <w:fldChar w:fldCharType="separate"/>
      </w:r>
      <w:hyperlink w:anchor="_Toc505604220" w:history="1">
        <w:r w:rsidRPr="000605BC">
          <w:rPr>
            <w:rStyle w:val="Hyperlink"/>
            <w:noProof/>
            <w:sz w:val="20"/>
          </w:rPr>
          <w:t>1.</w:t>
        </w:r>
        <w:r w:rsidRPr="000605BC">
          <w:rPr>
            <w:rFonts w:eastAsiaTheme="minorEastAsia"/>
            <w:b w:val="0"/>
            <w:smallCaps w:val="0"/>
            <w:noProof/>
            <w:sz w:val="20"/>
            <w:lang w:eastAsia="en-CA"/>
          </w:rPr>
          <w:tab/>
        </w:r>
        <w:r w:rsidRPr="000605BC">
          <w:rPr>
            <w:rFonts w:eastAsiaTheme="minorEastAsia"/>
            <w:b w:val="0"/>
            <w:smallCaps w:val="0"/>
            <w:noProof/>
            <w:sz w:val="20"/>
            <w:lang w:eastAsia="en-CA"/>
          </w:rPr>
          <w:tab/>
        </w:r>
        <w:r w:rsidRPr="000605BC">
          <w:rPr>
            <w:rStyle w:val="Hyperlink"/>
            <w:noProof/>
            <w:sz w:val="20"/>
          </w:rPr>
          <w:t>Introduction to Money Laundering</w:t>
        </w:r>
      </w:hyperlink>
    </w:p>
    <w:p w14:paraId="373CD0CA" w14:textId="224B8947" w:rsidR="000427D4" w:rsidRPr="000605BC" w:rsidRDefault="00571BEA" w:rsidP="00683144">
      <w:pPr>
        <w:pStyle w:val="TOC1"/>
        <w:tabs>
          <w:tab w:val="left" w:pos="480"/>
          <w:tab w:val="left" w:pos="567"/>
          <w:tab w:val="right" w:leader="dot" w:pos="9350"/>
        </w:tabs>
        <w:jc w:val="left"/>
        <w:rPr>
          <w:rFonts w:eastAsiaTheme="minorEastAsia"/>
          <w:b w:val="0"/>
          <w:smallCaps w:val="0"/>
          <w:noProof/>
          <w:sz w:val="20"/>
          <w:lang w:eastAsia="en-CA"/>
        </w:rPr>
      </w:pPr>
      <w:hyperlink w:anchor="_Toc505604221" w:history="1">
        <w:r w:rsidR="000427D4" w:rsidRPr="000605BC">
          <w:rPr>
            <w:rStyle w:val="Hyperlink"/>
            <w:noProof/>
            <w:sz w:val="20"/>
          </w:rPr>
          <w:t>2.</w:t>
        </w:r>
        <w:r w:rsidR="000427D4" w:rsidRPr="000605BC">
          <w:rPr>
            <w:rFonts w:eastAsiaTheme="minorEastAsia"/>
            <w:b w:val="0"/>
            <w:smallCaps w:val="0"/>
            <w:noProof/>
            <w:sz w:val="20"/>
            <w:lang w:eastAsia="en-CA"/>
          </w:rPr>
          <w:tab/>
        </w:r>
        <w:r w:rsidR="000427D4" w:rsidRPr="000605BC">
          <w:rPr>
            <w:rFonts w:eastAsiaTheme="minorEastAsia"/>
            <w:b w:val="0"/>
            <w:smallCaps w:val="0"/>
            <w:noProof/>
            <w:sz w:val="20"/>
            <w:lang w:eastAsia="en-CA"/>
          </w:rPr>
          <w:tab/>
        </w:r>
        <w:r w:rsidR="000427D4" w:rsidRPr="000605BC">
          <w:rPr>
            <w:rStyle w:val="Hyperlink"/>
            <w:noProof/>
            <w:sz w:val="20"/>
          </w:rPr>
          <w:t>The Essential Elements of Money Laundering</w:t>
        </w:r>
      </w:hyperlink>
    </w:p>
    <w:p w14:paraId="3322B571" w14:textId="61B2A36E" w:rsidR="000427D4" w:rsidRPr="000605BC" w:rsidRDefault="00571BEA" w:rsidP="00683144">
      <w:pPr>
        <w:pStyle w:val="TOC1"/>
        <w:tabs>
          <w:tab w:val="left" w:pos="480"/>
          <w:tab w:val="left" w:pos="567"/>
          <w:tab w:val="right" w:leader="dot" w:pos="9350"/>
        </w:tabs>
        <w:jc w:val="left"/>
        <w:rPr>
          <w:rFonts w:eastAsiaTheme="minorEastAsia"/>
          <w:b w:val="0"/>
          <w:smallCaps w:val="0"/>
          <w:noProof/>
          <w:sz w:val="20"/>
          <w:lang w:eastAsia="en-CA"/>
        </w:rPr>
      </w:pPr>
      <w:hyperlink w:anchor="_Toc505604222" w:history="1">
        <w:r w:rsidR="000427D4" w:rsidRPr="000605BC">
          <w:rPr>
            <w:rStyle w:val="Hyperlink"/>
            <w:noProof/>
            <w:sz w:val="20"/>
          </w:rPr>
          <w:t>3.</w:t>
        </w:r>
        <w:r w:rsidR="000427D4" w:rsidRPr="000605BC">
          <w:rPr>
            <w:rFonts w:eastAsiaTheme="minorEastAsia"/>
            <w:b w:val="0"/>
            <w:smallCaps w:val="0"/>
            <w:noProof/>
            <w:sz w:val="20"/>
            <w:lang w:eastAsia="en-CA"/>
          </w:rPr>
          <w:tab/>
        </w:r>
        <w:r w:rsidR="000427D4" w:rsidRPr="000605BC">
          <w:rPr>
            <w:rFonts w:eastAsiaTheme="minorEastAsia"/>
            <w:b w:val="0"/>
            <w:smallCaps w:val="0"/>
            <w:noProof/>
            <w:sz w:val="20"/>
            <w:lang w:eastAsia="en-CA"/>
          </w:rPr>
          <w:tab/>
        </w:r>
        <w:r w:rsidR="000427D4" w:rsidRPr="000605BC">
          <w:rPr>
            <w:rStyle w:val="Hyperlink"/>
            <w:noProof/>
            <w:sz w:val="20"/>
          </w:rPr>
          <w:t>The Most Common Methods Of Money Laundering</w:t>
        </w:r>
      </w:hyperlink>
    </w:p>
    <w:p w14:paraId="559784A5" w14:textId="1D34A42E" w:rsidR="000427D4" w:rsidRPr="000605BC" w:rsidRDefault="00571BEA" w:rsidP="00683144">
      <w:pPr>
        <w:pStyle w:val="TOC1"/>
        <w:tabs>
          <w:tab w:val="left" w:pos="480"/>
          <w:tab w:val="left" w:pos="567"/>
          <w:tab w:val="right" w:leader="dot" w:pos="9350"/>
        </w:tabs>
        <w:ind w:left="567" w:hanging="567"/>
        <w:jc w:val="left"/>
        <w:rPr>
          <w:rFonts w:eastAsiaTheme="minorEastAsia"/>
          <w:b w:val="0"/>
          <w:smallCaps w:val="0"/>
          <w:noProof/>
          <w:sz w:val="20"/>
          <w:lang w:eastAsia="en-CA"/>
        </w:rPr>
      </w:pPr>
      <w:hyperlink w:anchor="_Toc505604223" w:history="1">
        <w:r w:rsidR="000427D4" w:rsidRPr="000605BC">
          <w:rPr>
            <w:rStyle w:val="Hyperlink"/>
            <w:noProof/>
            <w:sz w:val="20"/>
          </w:rPr>
          <w:t>4.</w:t>
        </w:r>
        <w:r w:rsidR="000427D4" w:rsidRPr="000605BC">
          <w:rPr>
            <w:rFonts w:eastAsiaTheme="minorEastAsia"/>
            <w:b w:val="0"/>
            <w:smallCaps w:val="0"/>
            <w:noProof/>
            <w:sz w:val="20"/>
            <w:lang w:eastAsia="en-CA"/>
          </w:rPr>
          <w:tab/>
        </w:r>
        <w:r w:rsidR="000427D4" w:rsidRPr="000605BC">
          <w:rPr>
            <w:rFonts w:eastAsiaTheme="minorEastAsia"/>
            <w:b w:val="0"/>
            <w:smallCaps w:val="0"/>
            <w:noProof/>
            <w:sz w:val="20"/>
            <w:lang w:eastAsia="en-CA"/>
          </w:rPr>
          <w:tab/>
        </w:r>
        <w:r w:rsidR="000427D4" w:rsidRPr="000605BC">
          <w:rPr>
            <w:rStyle w:val="Hyperlink"/>
            <w:noProof/>
            <w:sz w:val="20"/>
          </w:rPr>
          <w:t>International Standards For Prevention And Criminalization Of Money Laundering</w:t>
        </w:r>
      </w:hyperlink>
    </w:p>
    <w:p w14:paraId="30C88A8E" w14:textId="078B3DCC" w:rsidR="000427D4" w:rsidRPr="000605BC" w:rsidRDefault="00571BEA" w:rsidP="00683144">
      <w:pPr>
        <w:pStyle w:val="TOC1"/>
        <w:tabs>
          <w:tab w:val="left" w:pos="480"/>
          <w:tab w:val="left" w:pos="567"/>
          <w:tab w:val="right" w:leader="dot" w:pos="9350"/>
        </w:tabs>
        <w:jc w:val="left"/>
        <w:rPr>
          <w:rFonts w:eastAsiaTheme="minorEastAsia"/>
          <w:b w:val="0"/>
          <w:smallCaps w:val="0"/>
          <w:noProof/>
          <w:sz w:val="20"/>
          <w:lang w:eastAsia="en-CA"/>
        </w:rPr>
      </w:pPr>
      <w:hyperlink w:anchor="_Toc505604224" w:history="1">
        <w:r w:rsidR="000427D4" w:rsidRPr="000605BC">
          <w:rPr>
            <w:rStyle w:val="Hyperlink"/>
            <w:noProof/>
            <w:sz w:val="20"/>
          </w:rPr>
          <w:t>5.</w:t>
        </w:r>
        <w:r w:rsidR="000427D4" w:rsidRPr="000605BC">
          <w:rPr>
            <w:rStyle w:val="Hyperlink"/>
            <w:noProof/>
            <w:sz w:val="20"/>
          </w:rPr>
          <w:tab/>
        </w:r>
        <w:r w:rsidR="000427D4" w:rsidRPr="000605BC">
          <w:rPr>
            <w:rFonts w:eastAsiaTheme="minorEastAsia"/>
            <w:b w:val="0"/>
            <w:smallCaps w:val="0"/>
            <w:noProof/>
            <w:sz w:val="20"/>
            <w:lang w:eastAsia="en-CA"/>
          </w:rPr>
          <w:tab/>
        </w:r>
        <w:r w:rsidR="000427D4" w:rsidRPr="000605BC">
          <w:rPr>
            <w:rStyle w:val="Hyperlink"/>
            <w:noProof/>
            <w:sz w:val="20"/>
          </w:rPr>
          <w:t>State-Level AML Regimes: US, UK and Canada</w:t>
        </w:r>
      </w:hyperlink>
    </w:p>
    <w:p w14:paraId="1878308C" w14:textId="03CE80B9" w:rsidR="000427D4" w:rsidRPr="000605BC" w:rsidRDefault="00571BEA" w:rsidP="00683144">
      <w:pPr>
        <w:pStyle w:val="TOC1"/>
        <w:tabs>
          <w:tab w:val="left" w:pos="480"/>
          <w:tab w:val="left" w:pos="567"/>
          <w:tab w:val="right" w:leader="dot" w:pos="9350"/>
        </w:tabs>
        <w:jc w:val="left"/>
        <w:rPr>
          <w:rFonts w:eastAsiaTheme="minorEastAsia"/>
          <w:b w:val="0"/>
          <w:smallCaps w:val="0"/>
          <w:noProof/>
          <w:sz w:val="20"/>
          <w:lang w:eastAsia="en-CA"/>
        </w:rPr>
      </w:pPr>
      <w:hyperlink w:anchor="_Toc505604225" w:history="1">
        <w:r w:rsidR="000427D4" w:rsidRPr="000605BC">
          <w:rPr>
            <w:rStyle w:val="Hyperlink"/>
            <w:noProof/>
            <w:sz w:val="20"/>
          </w:rPr>
          <w:t>6.</w:t>
        </w:r>
        <w:r w:rsidR="000427D4" w:rsidRPr="000605BC">
          <w:rPr>
            <w:rFonts w:eastAsiaTheme="minorEastAsia"/>
            <w:b w:val="0"/>
            <w:smallCaps w:val="0"/>
            <w:noProof/>
            <w:sz w:val="20"/>
            <w:lang w:eastAsia="en-CA"/>
          </w:rPr>
          <w:tab/>
        </w:r>
        <w:r w:rsidR="000427D4" w:rsidRPr="000605BC">
          <w:rPr>
            <w:rFonts w:eastAsiaTheme="minorEastAsia"/>
            <w:b w:val="0"/>
            <w:smallCaps w:val="0"/>
            <w:noProof/>
            <w:sz w:val="20"/>
            <w:lang w:eastAsia="en-CA"/>
          </w:rPr>
          <w:tab/>
        </w:r>
        <w:r w:rsidR="000427D4" w:rsidRPr="000605BC">
          <w:rPr>
            <w:rStyle w:val="Hyperlink"/>
            <w:noProof/>
            <w:sz w:val="20"/>
          </w:rPr>
          <w:t>Evaluating the Effectiveness Of AML Regimes</w:t>
        </w:r>
      </w:hyperlink>
    </w:p>
    <w:p w14:paraId="2CB46184" w14:textId="55EB1EDC" w:rsidR="00B26386" w:rsidRPr="000605BC" w:rsidRDefault="000427D4" w:rsidP="00542871">
      <w:pPr>
        <w:pStyle w:val="Heading1"/>
        <w:rPr>
          <w:sz w:val="20"/>
        </w:rPr>
      </w:pPr>
      <w:r w:rsidRPr="000605BC">
        <w:rPr>
          <w:sz w:val="28"/>
        </w:rPr>
        <w:fldChar w:fldCharType="end"/>
      </w:r>
      <w:bookmarkStart w:id="3" w:name="_Toc505604220"/>
      <w:r w:rsidR="00FD0CBA" w:rsidRPr="000605BC">
        <w:rPr>
          <w:sz w:val="28"/>
        </w:rPr>
        <w:t>I</w:t>
      </w:r>
      <w:r w:rsidR="004343A4" w:rsidRPr="000605BC">
        <w:rPr>
          <w:sz w:val="28"/>
        </w:rPr>
        <w:t>ntroduction to Money Laundering</w:t>
      </w:r>
      <w:bookmarkEnd w:id="0"/>
      <w:bookmarkEnd w:id="1"/>
      <w:bookmarkEnd w:id="2"/>
      <w:bookmarkEnd w:id="3"/>
    </w:p>
    <w:p w14:paraId="241D3FA4" w14:textId="027B043B" w:rsidR="00D85000" w:rsidRPr="000605BC" w:rsidRDefault="00181E34" w:rsidP="002822D1">
      <w:pPr>
        <w:rPr>
          <w:sz w:val="20"/>
        </w:rPr>
      </w:pPr>
      <w:r w:rsidRPr="000605BC">
        <w:rPr>
          <w:sz w:val="20"/>
        </w:rPr>
        <w:t xml:space="preserve">The term </w:t>
      </w:r>
      <w:r w:rsidR="003A6F8D" w:rsidRPr="000605BC">
        <w:rPr>
          <w:sz w:val="20"/>
        </w:rPr>
        <w:t>“</w:t>
      </w:r>
      <w:r w:rsidRPr="000605BC">
        <w:rPr>
          <w:sz w:val="20"/>
        </w:rPr>
        <w:t>money laundering</w:t>
      </w:r>
      <w:r w:rsidR="003A6F8D" w:rsidRPr="000605BC">
        <w:rPr>
          <w:sz w:val="20"/>
        </w:rPr>
        <w:t>”</w:t>
      </w:r>
      <w:r w:rsidRPr="000605BC">
        <w:rPr>
          <w:sz w:val="20"/>
        </w:rPr>
        <w:t xml:space="preserve"> describes a range of practices used to disguise the source of </w:t>
      </w:r>
      <w:r w:rsidR="00CA20DD" w:rsidRPr="000605BC">
        <w:rPr>
          <w:sz w:val="20"/>
        </w:rPr>
        <w:t>illicit</w:t>
      </w:r>
      <w:r w:rsidRPr="000605BC">
        <w:rPr>
          <w:sz w:val="20"/>
        </w:rPr>
        <w:t xml:space="preserve"> profits and integrate them into the legitimate economy. Simply put, money laundering means </w:t>
      </w:r>
      <w:r w:rsidR="007857B8" w:rsidRPr="000605BC">
        <w:rPr>
          <w:sz w:val="20"/>
        </w:rPr>
        <w:t>‘</w:t>
      </w:r>
      <w:r w:rsidRPr="000605BC">
        <w:rPr>
          <w:sz w:val="20"/>
        </w:rPr>
        <w:t>washing</w:t>
      </w:r>
      <w:r w:rsidR="007857B8" w:rsidRPr="000605BC">
        <w:rPr>
          <w:sz w:val="20"/>
        </w:rPr>
        <w:t>’</w:t>
      </w:r>
      <w:r w:rsidRPr="000605BC">
        <w:rPr>
          <w:sz w:val="20"/>
        </w:rPr>
        <w:t xml:space="preserve"> dirty money so that it </w:t>
      </w:r>
      <w:r w:rsidR="00224378" w:rsidRPr="000605BC">
        <w:rPr>
          <w:sz w:val="20"/>
        </w:rPr>
        <w:t>appears</w:t>
      </w:r>
      <w:r w:rsidRPr="000605BC">
        <w:rPr>
          <w:sz w:val="20"/>
        </w:rPr>
        <w:t xml:space="preserve"> clean. </w:t>
      </w:r>
      <w:r w:rsidR="00CA20DD" w:rsidRPr="000605BC">
        <w:rPr>
          <w:sz w:val="20"/>
        </w:rPr>
        <w:t>C</w:t>
      </w:r>
      <w:r w:rsidR="005325B6" w:rsidRPr="000605BC">
        <w:rPr>
          <w:sz w:val="20"/>
        </w:rPr>
        <w:t>orrupt officials</w:t>
      </w:r>
      <w:r w:rsidR="00CA20DD" w:rsidRPr="000605BC">
        <w:rPr>
          <w:sz w:val="20"/>
        </w:rPr>
        <w:t xml:space="preserve"> and </w:t>
      </w:r>
      <w:r w:rsidR="00FD31FC" w:rsidRPr="000605BC">
        <w:rPr>
          <w:sz w:val="20"/>
        </w:rPr>
        <w:t xml:space="preserve">other </w:t>
      </w:r>
      <w:r w:rsidR="00CA20DD" w:rsidRPr="000605BC">
        <w:rPr>
          <w:sz w:val="20"/>
        </w:rPr>
        <w:t>criminals</w:t>
      </w:r>
      <w:r w:rsidRPr="000605BC">
        <w:rPr>
          <w:sz w:val="20"/>
        </w:rPr>
        <w:t xml:space="preserve"> use money laundering techniques to hide the </w:t>
      </w:r>
      <w:r w:rsidR="00FD31FC" w:rsidRPr="000605BC">
        <w:rPr>
          <w:sz w:val="20"/>
        </w:rPr>
        <w:t xml:space="preserve">true </w:t>
      </w:r>
      <w:r w:rsidRPr="000605BC">
        <w:rPr>
          <w:sz w:val="20"/>
        </w:rPr>
        <w:t>source</w:t>
      </w:r>
      <w:r w:rsidR="00FD31FC" w:rsidRPr="000605BC">
        <w:rPr>
          <w:sz w:val="20"/>
        </w:rPr>
        <w:t>s</w:t>
      </w:r>
      <w:r w:rsidRPr="000605BC">
        <w:rPr>
          <w:sz w:val="20"/>
        </w:rPr>
        <w:t xml:space="preserve"> of their income. This allows them to avoid detection by law enforcement and to spend their profits freely. Money laundering in some form is an essential part of most </w:t>
      </w:r>
      <w:r w:rsidR="00CA20DD" w:rsidRPr="000605BC">
        <w:rPr>
          <w:sz w:val="20"/>
        </w:rPr>
        <w:t>illicit</w:t>
      </w:r>
      <w:r w:rsidRPr="000605BC">
        <w:rPr>
          <w:sz w:val="20"/>
        </w:rPr>
        <w:t xml:space="preserve"> enterprises</w:t>
      </w:r>
      <w:r w:rsidR="002B696D" w:rsidRPr="000605BC">
        <w:rPr>
          <w:sz w:val="20"/>
        </w:rPr>
        <w:t>, although</w:t>
      </w:r>
      <w:r w:rsidR="00D85000" w:rsidRPr="000605BC">
        <w:rPr>
          <w:sz w:val="20"/>
        </w:rPr>
        <w:t xml:space="preserve"> methods vary widely</w:t>
      </w:r>
      <w:r w:rsidRPr="000605BC">
        <w:rPr>
          <w:sz w:val="20"/>
        </w:rPr>
        <w:t>.</w:t>
      </w:r>
      <w:r w:rsidR="00CA20DD" w:rsidRPr="000605BC">
        <w:rPr>
          <w:sz w:val="20"/>
        </w:rPr>
        <w:t xml:space="preserve"> </w:t>
      </w:r>
      <w:r w:rsidR="00D85000" w:rsidRPr="000605BC">
        <w:rPr>
          <w:sz w:val="20"/>
        </w:rPr>
        <w:t xml:space="preserve">Large drug-trafficking organizations and corrupt public officials use complex, multi-jurisdictional layering schemes; small-time criminals </w:t>
      </w:r>
      <w:r w:rsidR="007A3449" w:rsidRPr="000605BC">
        <w:rPr>
          <w:sz w:val="20"/>
        </w:rPr>
        <w:t>use</w:t>
      </w:r>
      <w:r w:rsidR="00D85000" w:rsidRPr="000605BC">
        <w:rPr>
          <w:sz w:val="20"/>
        </w:rPr>
        <w:t xml:space="preserve"> simpler strategies.</w:t>
      </w:r>
    </w:p>
    <w:p w14:paraId="167674C3" w14:textId="3B8E8F95" w:rsidR="00B26386" w:rsidRPr="000605BC" w:rsidRDefault="00B26386" w:rsidP="00916A81">
      <w:pPr>
        <w:rPr>
          <w:rFonts w:cs="Times New Roman"/>
          <w:sz w:val="20"/>
        </w:rPr>
      </w:pPr>
      <w:r w:rsidRPr="000605BC">
        <w:rPr>
          <w:rFonts w:cs="Times New Roman"/>
          <w:sz w:val="20"/>
        </w:rPr>
        <w:t>As Baker points out</w:t>
      </w:r>
      <w:r w:rsidR="00F7392A" w:rsidRPr="000605BC">
        <w:rPr>
          <w:rFonts w:cs="Times New Roman"/>
          <w:sz w:val="20"/>
        </w:rPr>
        <w:t xml:space="preserve"> in a 2013 article</w:t>
      </w:r>
      <w:r w:rsidRPr="000605BC">
        <w:rPr>
          <w:rFonts w:cs="Times New Roman"/>
          <w:sz w:val="20"/>
        </w:rPr>
        <w:t xml:space="preserve">, all the illicit funds in the global economy flow through similar channels. Drug smugglers, tax evaders and corrupt officials use their money for different ends and acquire it by different means. Nonetheless, Baker notes: </w:t>
      </w:r>
    </w:p>
    <w:p w14:paraId="596A24D8" w14:textId="126785BD" w:rsidR="00B26386" w:rsidRPr="000605BC" w:rsidRDefault="00B26386" w:rsidP="002822D1">
      <w:pPr>
        <w:pStyle w:val="BlockQuote"/>
        <w:rPr>
          <w:sz w:val="20"/>
        </w:rPr>
      </w:pPr>
      <w:r w:rsidRPr="000605BC">
        <w:rPr>
          <w:sz w:val="20"/>
        </w:rPr>
        <w:t xml:space="preserve">All three forms of illicit money – corrupt, criminal, and commercial – use this structure, originally developed in the West originally for the purpose of moving flight capital and tax evading money across borders. In the 1960s and 1970s drug dealers stepped into these same channels to move their illicit money across borders. In the 1980s and 1990s, seeing how easy it was for the drug dealers to do it, other kinds of racketeers stepped into these same structures to move their illicit money across borders. In the 1990s and in the early years of this new century, again seeing how easy it was for drug dealers and racketeers, terrorist financiers also stepped into these same channels to move their illicit money across borders. Drug dealers, criminal syndicate heads, and terrorist masterminds have not invented any new ways of shifting illicit money across borders. They merely utilize the </w:t>
      </w:r>
      <w:r w:rsidRPr="000605BC">
        <w:rPr>
          <w:sz w:val="20"/>
        </w:rPr>
        <w:lastRenderedPageBreak/>
        <w:t>mechanisms we originally created to move corrupt and commercially tax evading money across borders.</w:t>
      </w:r>
      <w:r w:rsidR="002822D1" w:rsidRPr="000605BC">
        <w:rPr>
          <w:rStyle w:val="FootnoteReference"/>
          <w:rFonts w:cs="Times New Roman"/>
          <w:sz w:val="20"/>
          <w:szCs w:val="21"/>
        </w:rPr>
        <w:footnoteReference w:id="1"/>
      </w:r>
    </w:p>
    <w:p w14:paraId="581461A9" w14:textId="1EB14A63" w:rsidR="00B26386" w:rsidRPr="000605BC" w:rsidRDefault="00B26386" w:rsidP="002822D1">
      <w:pPr>
        <w:rPr>
          <w:sz w:val="20"/>
        </w:rPr>
      </w:pPr>
      <w:r w:rsidRPr="000605BC">
        <w:rPr>
          <w:sz w:val="20"/>
        </w:rPr>
        <w:t>Therefore, suppressing money laundering</w:t>
      </w:r>
      <w:r w:rsidR="009E0AB6" w:rsidRPr="000605BC">
        <w:rPr>
          <w:sz w:val="20"/>
        </w:rPr>
        <w:t xml:space="preserve"> through a variety of anti-money-laundering (AML) schemes</w:t>
      </w:r>
      <w:r w:rsidRPr="000605BC">
        <w:rPr>
          <w:sz w:val="20"/>
        </w:rPr>
        <w:t xml:space="preserve"> is</w:t>
      </w:r>
      <w:r w:rsidR="00AC1052" w:rsidRPr="000605BC">
        <w:rPr>
          <w:sz w:val="20"/>
        </w:rPr>
        <w:t xml:space="preserve"> essential to comba</w:t>
      </w:r>
      <w:r w:rsidR="009E0AB6" w:rsidRPr="000605BC">
        <w:rPr>
          <w:sz w:val="20"/>
        </w:rPr>
        <w:t>ting terrorist financing, organized crime and corruption</w:t>
      </w:r>
      <w:r w:rsidRPr="000605BC">
        <w:rPr>
          <w:sz w:val="20"/>
        </w:rPr>
        <w:t xml:space="preserve">. What Baker calls the </w:t>
      </w:r>
      <w:r w:rsidR="003A6F8D" w:rsidRPr="000605BC">
        <w:rPr>
          <w:sz w:val="20"/>
        </w:rPr>
        <w:t>“</w:t>
      </w:r>
      <w:r w:rsidRPr="000605BC">
        <w:rPr>
          <w:sz w:val="20"/>
        </w:rPr>
        <w:t>global shadow financial system</w:t>
      </w:r>
      <w:r w:rsidR="003A6F8D" w:rsidRPr="000605BC">
        <w:rPr>
          <w:sz w:val="20"/>
        </w:rPr>
        <w:t>”</w:t>
      </w:r>
      <w:r w:rsidRPr="000605BC">
        <w:rPr>
          <w:sz w:val="20"/>
        </w:rPr>
        <w:t xml:space="preserve"> is integral to a broad range of corrupt and criminal activities worldwide.</w:t>
      </w:r>
      <w:r w:rsidR="002822D1" w:rsidRPr="000605BC">
        <w:rPr>
          <w:rStyle w:val="FootnoteReference"/>
          <w:rFonts w:cs="Times New Roman"/>
          <w:sz w:val="20"/>
        </w:rPr>
        <w:footnoteReference w:id="2"/>
      </w:r>
      <w:r w:rsidRPr="000605BC">
        <w:rPr>
          <w:sz w:val="20"/>
        </w:rPr>
        <w:t xml:space="preserve"> </w:t>
      </w:r>
      <w:r w:rsidR="00BD729A" w:rsidRPr="000605BC">
        <w:rPr>
          <w:sz w:val="20"/>
        </w:rPr>
        <w:t xml:space="preserve">Indeed, as </w:t>
      </w:r>
      <w:proofErr w:type="spellStart"/>
      <w:r w:rsidR="00BD729A" w:rsidRPr="000605BC">
        <w:rPr>
          <w:sz w:val="20"/>
        </w:rPr>
        <w:t>Beare</w:t>
      </w:r>
      <w:proofErr w:type="spellEnd"/>
      <w:r w:rsidR="00BD729A" w:rsidRPr="000605BC">
        <w:rPr>
          <w:sz w:val="20"/>
        </w:rPr>
        <w:t xml:space="preserve"> notes</w:t>
      </w:r>
      <w:r w:rsidR="00325EA0" w:rsidRPr="000605BC">
        <w:rPr>
          <w:sz w:val="20"/>
        </w:rPr>
        <w:t>,</w:t>
      </w:r>
      <w:r w:rsidR="00BD729A" w:rsidRPr="000605BC">
        <w:rPr>
          <w:sz w:val="20"/>
        </w:rPr>
        <w:t xml:space="preserve"> while the 1931 arrest</w:t>
      </w:r>
      <w:r w:rsidR="00F31FB9" w:rsidRPr="000605BC">
        <w:rPr>
          <w:sz w:val="20"/>
        </w:rPr>
        <w:t>,</w:t>
      </w:r>
      <w:r w:rsidR="00BD729A" w:rsidRPr="000605BC">
        <w:rPr>
          <w:sz w:val="20"/>
        </w:rPr>
        <w:t xml:space="preserve"> conviction </w:t>
      </w:r>
      <w:r w:rsidR="00A75B3A" w:rsidRPr="000605BC">
        <w:rPr>
          <w:sz w:val="20"/>
        </w:rPr>
        <w:t xml:space="preserve">and downfall </w:t>
      </w:r>
      <w:r w:rsidR="00BD729A" w:rsidRPr="000605BC">
        <w:rPr>
          <w:sz w:val="20"/>
        </w:rPr>
        <w:t xml:space="preserve">of Al Capone is often dismissed as being </w:t>
      </w:r>
      <w:r w:rsidR="003A6F8D" w:rsidRPr="000605BC">
        <w:rPr>
          <w:sz w:val="20"/>
        </w:rPr>
        <w:t>“</w:t>
      </w:r>
      <w:r w:rsidR="00A75B3A" w:rsidRPr="000605BC">
        <w:rPr>
          <w:sz w:val="20"/>
        </w:rPr>
        <w:t xml:space="preserve">merely </w:t>
      </w:r>
      <w:r w:rsidR="00BD729A" w:rsidRPr="000605BC">
        <w:rPr>
          <w:sz w:val="20"/>
        </w:rPr>
        <w:t>for tax evasion,</w:t>
      </w:r>
      <w:r w:rsidR="003A6F8D" w:rsidRPr="000605BC">
        <w:rPr>
          <w:sz w:val="20"/>
        </w:rPr>
        <w:t>”</w:t>
      </w:r>
      <w:r w:rsidR="00BD729A" w:rsidRPr="000605BC">
        <w:rPr>
          <w:sz w:val="20"/>
        </w:rPr>
        <w:t xml:space="preserve"> his undoing was in fact due to a failure to launder illicit money adequately.</w:t>
      </w:r>
      <w:r w:rsidR="00A75B3A" w:rsidRPr="000605BC">
        <w:rPr>
          <w:rStyle w:val="FootnoteReference"/>
          <w:rFonts w:cs="Times New Roman"/>
          <w:sz w:val="20"/>
        </w:rPr>
        <w:footnoteReference w:id="3"/>
      </w:r>
    </w:p>
    <w:p w14:paraId="16B5B1F2" w14:textId="3AC9D727" w:rsidR="00226527" w:rsidRPr="000605BC" w:rsidRDefault="007857B8" w:rsidP="00916A81">
      <w:pPr>
        <w:rPr>
          <w:rFonts w:cs="Times New Roman"/>
          <w:sz w:val="20"/>
        </w:rPr>
      </w:pPr>
      <w:r w:rsidRPr="000605BC">
        <w:rPr>
          <w:rFonts w:cs="Times New Roman"/>
          <w:sz w:val="20"/>
        </w:rPr>
        <w:t xml:space="preserve">Because the purpose of money laundering is to conceal the source of illicit funds, it is inherently difficult to measure its global scope. </w:t>
      </w:r>
      <w:r w:rsidR="00226527" w:rsidRPr="000605BC">
        <w:rPr>
          <w:rFonts w:cs="Times New Roman"/>
          <w:sz w:val="20"/>
        </w:rPr>
        <w:t>In a recent article, McCarthy summarizes some of the more common estimates:</w:t>
      </w:r>
      <w:r w:rsidR="004343A4" w:rsidRPr="000605BC">
        <w:rPr>
          <w:rStyle w:val="FootnoteReference"/>
          <w:rFonts w:cs="Times New Roman"/>
          <w:sz w:val="20"/>
        </w:rPr>
        <w:footnoteReference w:id="4"/>
      </w:r>
    </w:p>
    <w:p w14:paraId="486E7BCB" w14:textId="38669070" w:rsidR="00226527" w:rsidRPr="000605BC" w:rsidRDefault="00226527" w:rsidP="002822D1">
      <w:pPr>
        <w:pStyle w:val="BlockQuote"/>
        <w:rPr>
          <w:sz w:val="20"/>
        </w:rPr>
      </w:pPr>
      <w:r w:rsidRPr="000605BC">
        <w:rPr>
          <w:sz w:val="20"/>
        </w:rPr>
        <w:t xml:space="preserve">The IMF and the World Bank, for example, have estimated that some 2-4 per cent of the world’s GDP stems from illicit sources. Agarwal and Agarwal (2004; 2006), using regression analysis and forecasts, suggest an even higher level of 5-6 per cent. At this rate somewhere between $2.0-2.5 trillion should flow through the money laundering market on an annual basis. Walker (1999, 2004, </w:t>
      </w:r>
      <w:proofErr w:type="gramStart"/>
      <w:r w:rsidRPr="000605BC">
        <w:rPr>
          <w:sz w:val="20"/>
        </w:rPr>
        <w:t>2007</w:t>
      </w:r>
      <w:proofErr w:type="gramEnd"/>
      <w:r w:rsidRPr="000605BC">
        <w:rPr>
          <w:sz w:val="20"/>
        </w:rPr>
        <w:t>) however, claims that this is too low a figure and, using input-output and gravity models, proposes that the true amount is more like $3 trillion per annum. Each estimate is subject to some criticism (cf. Reuter 2007), and are variously said to be overblown – either by media hype, or measurement errors – by as much as +/- 20 per cent (Schneider</w:t>
      </w:r>
      <w:r w:rsidR="00FA6735" w:rsidRPr="000605BC">
        <w:rPr>
          <w:sz w:val="20"/>
        </w:rPr>
        <w:t>,</w:t>
      </w:r>
      <w:r w:rsidRPr="000605BC">
        <w:rPr>
          <w:sz w:val="20"/>
        </w:rPr>
        <w:t xml:space="preserve"> 2008). Despite all this the consensus remains that the market for money laundering is a significant one.</w:t>
      </w:r>
      <w:r w:rsidR="00FA6735" w:rsidRPr="000605BC">
        <w:rPr>
          <w:sz w:val="20"/>
        </w:rPr>
        <w:t xml:space="preserve"> [</w:t>
      </w:r>
      <w:proofErr w:type="gramStart"/>
      <w:r w:rsidR="00FA6735" w:rsidRPr="000605BC">
        <w:rPr>
          <w:sz w:val="20"/>
        </w:rPr>
        <w:t>footnotes</w:t>
      </w:r>
      <w:proofErr w:type="gramEnd"/>
      <w:r w:rsidR="00FA6735" w:rsidRPr="000605BC">
        <w:rPr>
          <w:sz w:val="20"/>
        </w:rPr>
        <w:t xml:space="preserve"> omitted]</w:t>
      </w:r>
    </w:p>
    <w:p w14:paraId="19AFBB4A" w14:textId="12EA2E93" w:rsidR="00226527" w:rsidRPr="000605BC" w:rsidRDefault="007857B8" w:rsidP="002822D1">
      <w:pPr>
        <w:rPr>
          <w:sz w:val="20"/>
        </w:rPr>
      </w:pPr>
      <w:r w:rsidRPr="000605BC">
        <w:rPr>
          <w:sz w:val="20"/>
        </w:rPr>
        <w:t xml:space="preserve">Despite the wide range of estimates, there is a degree of consensus among researchers. </w:t>
      </w:r>
      <w:r w:rsidR="00226527" w:rsidRPr="000605BC">
        <w:rPr>
          <w:sz w:val="20"/>
        </w:rPr>
        <w:t>No one has a</w:t>
      </w:r>
      <w:r w:rsidRPr="000605BC">
        <w:rPr>
          <w:sz w:val="20"/>
        </w:rPr>
        <w:t>n</w:t>
      </w:r>
      <w:r w:rsidR="00226527" w:rsidRPr="000605BC">
        <w:rPr>
          <w:sz w:val="20"/>
        </w:rPr>
        <w:t xml:space="preserve"> accurate estimate</w:t>
      </w:r>
      <w:r w:rsidRPr="000605BC">
        <w:rPr>
          <w:sz w:val="20"/>
        </w:rPr>
        <w:t>,</w:t>
      </w:r>
      <w:r w:rsidR="00226527" w:rsidRPr="000605BC">
        <w:rPr>
          <w:sz w:val="20"/>
        </w:rPr>
        <w:t xml:space="preserve"> but everyone agrees that a </w:t>
      </w:r>
      <w:r w:rsidR="002B696D" w:rsidRPr="000605BC">
        <w:rPr>
          <w:sz w:val="20"/>
        </w:rPr>
        <w:t>large amount</w:t>
      </w:r>
      <w:r w:rsidR="00226527" w:rsidRPr="000605BC">
        <w:rPr>
          <w:sz w:val="20"/>
        </w:rPr>
        <w:t xml:space="preserve"> of money is being laundered every year. </w:t>
      </w:r>
    </w:p>
    <w:p w14:paraId="6CB4FD97" w14:textId="0A9A2653" w:rsidR="002514D6" w:rsidRPr="000605BC" w:rsidRDefault="004343A4" w:rsidP="00542871">
      <w:pPr>
        <w:pStyle w:val="Heading1"/>
        <w:rPr>
          <w:smallCaps w:val="0"/>
          <w:sz w:val="28"/>
        </w:rPr>
      </w:pPr>
      <w:bookmarkStart w:id="4" w:name="_Toc489788763"/>
      <w:bookmarkStart w:id="5" w:name="_Toc489789302"/>
      <w:bookmarkStart w:id="6" w:name="_Toc489791769"/>
      <w:bookmarkStart w:id="7" w:name="_Toc505604221"/>
      <w:r w:rsidRPr="000605BC">
        <w:rPr>
          <w:sz w:val="28"/>
        </w:rPr>
        <w:lastRenderedPageBreak/>
        <w:t>The Essential Elements of Money Laundering</w:t>
      </w:r>
      <w:bookmarkEnd w:id="4"/>
      <w:bookmarkEnd w:id="5"/>
      <w:bookmarkEnd w:id="6"/>
      <w:bookmarkEnd w:id="7"/>
      <w:r w:rsidR="002822D1" w:rsidRPr="000605BC">
        <w:rPr>
          <w:sz w:val="28"/>
        </w:rPr>
        <w:t xml:space="preserve"> </w:t>
      </w:r>
    </w:p>
    <w:p w14:paraId="2F42BAEF" w14:textId="6D11093F" w:rsidR="00B26386" w:rsidRPr="000605BC" w:rsidRDefault="00B26386" w:rsidP="00916A81">
      <w:pPr>
        <w:rPr>
          <w:rFonts w:cs="Times New Roman"/>
          <w:sz w:val="20"/>
        </w:rPr>
      </w:pPr>
      <w:r w:rsidRPr="000605BC">
        <w:rPr>
          <w:rFonts w:cs="Times New Roman"/>
          <w:sz w:val="20"/>
        </w:rPr>
        <w:t>There are many ways to launder money. Most scholars break laundering schemes into three stages to make it easier to compare, contrast and analyze different methods. These three stages are:</w:t>
      </w:r>
    </w:p>
    <w:p w14:paraId="2E0A285C" w14:textId="2BE151F0" w:rsidR="00B26386" w:rsidRPr="000605BC" w:rsidRDefault="00B26386" w:rsidP="00974280">
      <w:pPr>
        <w:pStyle w:val="ListParagraph"/>
        <w:numPr>
          <w:ilvl w:val="0"/>
          <w:numId w:val="4"/>
        </w:numPr>
        <w:rPr>
          <w:sz w:val="20"/>
        </w:rPr>
      </w:pPr>
      <w:r w:rsidRPr="000605BC">
        <w:rPr>
          <w:b/>
          <w:sz w:val="20"/>
        </w:rPr>
        <w:t>Placement</w:t>
      </w:r>
      <w:r w:rsidRPr="000605BC">
        <w:rPr>
          <w:sz w:val="20"/>
        </w:rPr>
        <w:t>: illicit funds are used to make a purchase in the legitimate economy</w:t>
      </w:r>
      <w:r w:rsidR="00AD5EB9" w:rsidRPr="000605BC">
        <w:rPr>
          <w:sz w:val="20"/>
        </w:rPr>
        <w:t>;</w:t>
      </w:r>
      <w:r w:rsidRPr="000605BC">
        <w:rPr>
          <w:sz w:val="20"/>
        </w:rPr>
        <w:t xml:space="preserve"> </w:t>
      </w:r>
    </w:p>
    <w:p w14:paraId="56BB1A7A" w14:textId="7451FD8F" w:rsidR="00B26386" w:rsidRPr="000605BC" w:rsidRDefault="00B26386" w:rsidP="00974280">
      <w:pPr>
        <w:pStyle w:val="ListParagraph"/>
        <w:numPr>
          <w:ilvl w:val="0"/>
          <w:numId w:val="4"/>
        </w:numPr>
        <w:rPr>
          <w:sz w:val="20"/>
        </w:rPr>
      </w:pPr>
      <w:r w:rsidRPr="000605BC">
        <w:rPr>
          <w:b/>
          <w:sz w:val="20"/>
        </w:rPr>
        <w:t>Layering</w:t>
      </w:r>
      <w:r w:rsidRPr="000605BC">
        <w:rPr>
          <w:sz w:val="20"/>
        </w:rPr>
        <w:t>: through repeated transactions, the s</w:t>
      </w:r>
      <w:r w:rsidR="00AD5EB9" w:rsidRPr="000605BC">
        <w:rPr>
          <w:sz w:val="20"/>
        </w:rPr>
        <w:t>ource of the funds is concealed; and</w:t>
      </w:r>
    </w:p>
    <w:p w14:paraId="62F397FB" w14:textId="77777777" w:rsidR="00B26386" w:rsidRPr="000605BC" w:rsidRDefault="00B26386" w:rsidP="00974280">
      <w:pPr>
        <w:pStyle w:val="ListParagraph"/>
        <w:numPr>
          <w:ilvl w:val="0"/>
          <w:numId w:val="4"/>
        </w:numPr>
        <w:rPr>
          <w:sz w:val="20"/>
        </w:rPr>
      </w:pPr>
      <w:r w:rsidRPr="000605BC">
        <w:rPr>
          <w:b/>
          <w:sz w:val="20"/>
        </w:rPr>
        <w:t>Integration</w:t>
      </w:r>
      <w:r w:rsidRPr="000605BC">
        <w:rPr>
          <w:sz w:val="20"/>
        </w:rPr>
        <w:t xml:space="preserve">: the funds are fully and untraceably integrated into the economy. </w:t>
      </w:r>
    </w:p>
    <w:p w14:paraId="07C4DB61" w14:textId="6512E8C3" w:rsidR="002822D1" w:rsidRPr="000605BC" w:rsidRDefault="00ED63F2" w:rsidP="00916A81">
      <w:pPr>
        <w:rPr>
          <w:rFonts w:cs="Times New Roman"/>
          <w:sz w:val="20"/>
        </w:rPr>
      </w:pPr>
      <w:r w:rsidRPr="000605BC">
        <w:rPr>
          <w:rFonts w:cs="Times New Roman"/>
          <w:sz w:val="20"/>
        </w:rPr>
        <w:t>Regardless o</w:t>
      </w:r>
      <w:r w:rsidR="00B26386" w:rsidRPr="000605BC">
        <w:rPr>
          <w:rFonts w:cs="Times New Roman"/>
          <w:sz w:val="20"/>
        </w:rPr>
        <w:t xml:space="preserve">f how a money laundering scheme works, it can be broken into these three stages. The </w:t>
      </w:r>
      <w:r w:rsidR="003A6F8D" w:rsidRPr="000605BC">
        <w:rPr>
          <w:rFonts w:cs="Times New Roman"/>
          <w:sz w:val="20"/>
        </w:rPr>
        <w:t>“</w:t>
      </w:r>
      <w:r w:rsidR="00B26386" w:rsidRPr="000605BC">
        <w:rPr>
          <w:rFonts w:cs="Times New Roman"/>
          <w:sz w:val="20"/>
        </w:rPr>
        <w:t>layering</w:t>
      </w:r>
      <w:r w:rsidR="003A6F8D" w:rsidRPr="000605BC">
        <w:rPr>
          <w:rFonts w:cs="Times New Roman"/>
          <w:sz w:val="20"/>
        </w:rPr>
        <w:t>”</w:t>
      </w:r>
      <w:r w:rsidR="00B26386" w:rsidRPr="000605BC">
        <w:rPr>
          <w:rFonts w:cs="Times New Roman"/>
          <w:sz w:val="20"/>
        </w:rPr>
        <w:t xml:space="preserve"> stage, in which the source of the funds is concealed, is where most of the </w:t>
      </w:r>
      <w:r w:rsidR="007857B8" w:rsidRPr="000605BC">
        <w:rPr>
          <w:rFonts w:cs="Times New Roman"/>
          <w:sz w:val="20"/>
        </w:rPr>
        <w:t>activity</w:t>
      </w:r>
      <w:r w:rsidR="002B696D" w:rsidRPr="000605BC">
        <w:rPr>
          <w:rFonts w:cs="Times New Roman"/>
          <w:sz w:val="20"/>
        </w:rPr>
        <w:t xml:space="preserve"> occurs</w:t>
      </w:r>
      <w:r w:rsidR="00B26386" w:rsidRPr="000605BC">
        <w:rPr>
          <w:rFonts w:cs="Times New Roman"/>
          <w:sz w:val="20"/>
        </w:rPr>
        <w:t xml:space="preserve"> in any given scheme. In small-scale schemes, the layering process may be quite simple. In large, complex laundering schemes, it may involve hundreds of transactions in multiple jurisdictions.</w:t>
      </w:r>
    </w:p>
    <w:p w14:paraId="262D3F0B" w14:textId="2620D695" w:rsidR="007F3BFD" w:rsidRPr="000605BC" w:rsidRDefault="00FD0CBA" w:rsidP="00916A81">
      <w:pPr>
        <w:rPr>
          <w:rFonts w:cs="Times New Roman"/>
          <w:sz w:val="20"/>
        </w:rPr>
      </w:pPr>
      <w:r w:rsidRPr="000605BC">
        <w:rPr>
          <w:rFonts w:cs="Times New Roman"/>
          <w:sz w:val="20"/>
        </w:rPr>
        <w:t>A</w:t>
      </w:r>
      <w:r w:rsidR="00A73FBD" w:rsidRPr="000605BC">
        <w:rPr>
          <w:rFonts w:cs="Times New Roman"/>
          <w:sz w:val="20"/>
        </w:rPr>
        <w:t xml:space="preserve"> useful </w:t>
      </w:r>
      <w:r w:rsidRPr="000605BC">
        <w:rPr>
          <w:rFonts w:cs="Times New Roman"/>
          <w:sz w:val="20"/>
        </w:rPr>
        <w:t xml:space="preserve">and easily readable </w:t>
      </w:r>
      <w:r w:rsidR="00A73FBD" w:rsidRPr="000605BC">
        <w:rPr>
          <w:rFonts w:cs="Times New Roman"/>
          <w:sz w:val="20"/>
        </w:rPr>
        <w:t xml:space="preserve">description of the basic concepts of </w:t>
      </w:r>
      <w:r w:rsidRPr="000605BC">
        <w:rPr>
          <w:rFonts w:cs="Times New Roman"/>
          <w:sz w:val="20"/>
        </w:rPr>
        <w:t xml:space="preserve">money laundering and its prevention can be found in the </w:t>
      </w:r>
      <w:r w:rsidR="00A73FBD" w:rsidRPr="000605BC">
        <w:rPr>
          <w:rFonts w:cs="Times New Roman"/>
          <w:sz w:val="20"/>
        </w:rPr>
        <w:t xml:space="preserve">Global Organization of Parliamentarians </w:t>
      </w:r>
      <w:proofErr w:type="gramStart"/>
      <w:r w:rsidR="00A73FBD" w:rsidRPr="000605BC">
        <w:rPr>
          <w:rFonts w:cs="Times New Roman"/>
          <w:sz w:val="20"/>
        </w:rPr>
        <w:t>Against</w:t>
      </w:r>
      <w:proofErr w:type="gramEnd"/>
      <w:r w:rsidR="00A73FBD" w:rsidRPr="000605BC">
        <w:rPr>
          <w:rFonts w:cs="Times New Roman"/>
          <w:sz w:val="20"/>
        </w:rPr>
        <w:t xml:space="preserve"> Corruption (GOPAC)’s 2011 guide, </w:t>
      </w:r>
      <w:r w:rsidR="009943C3" w:rsidRPr="000605BC">
        <w:rPr>
          <w:rFonts w:cs="Times New Roman"/>
          <w:sz w:val="20"/>
        </w:rPr>
        <w:t xml:space="preserve">the </w:t>
      </w:r>
      <w:r w:rsidR="00A73FBD" w:rsidRPr="000605BC">
        <w:rPr>
          <w:rFonts w:cs="Times New Roman"/>
          <w:i/>
          <w:sz w:val="20"/>
        </w:rPr>
        <w:t>Anti-Money Laundering Action Guide for Parliamentarians</w:t>
      </w:r>
      <w:r w:rsidR="00A73FBD" w:rsidRPr="000605BC">
        <w:rPr>
          <w:rFonts w:cs="Times New Roman"/>
          <w:sz w:val="20"/>
        </w:rPr>
        <w:t>.</w:t>
      </w:r>
      <w:r w:rsidR="00A73FBD" w:rsidRPr="000605BC">
        <w:rPr>
          <w:rStyle w:val="FootnoteReference"/>
          <w:rFonts w:cs="Times New Roman"/>
          <w:sz w:val="20"/>
        </w:rPr>
        <w:footnoteReference w:id="5"/>
      </w:r>
      <w:r w:rsidR="00A73FBD" w:rsidRPr="000605BC">
        <w:rPr>
          <w:rFonts w:cs="Times New Roman"/>
          <w:sz w:val="20"/>
        </w:rPr>
        <w:t xml:space="preserve"> GOPAC is a non-profit organization made up of current or former legislators from around the globe. The organization is dedicated to promoting accountability and good governance in national parliament</w:t>
      </w:r>
      <w:r w:rsidR="007F3BFD" w:rsidRPr="000605BC">
        <w:rPr>
          <w:rFonts w:cs="Times New Roman"/>
          <w:sz w:val="20"/>
        </w:rPr>
        <w:t xml:space="preserve">s in order to combat corruption. </w:t>
      </w:r>
    </w:p>
    <w:p w14:paraId="40BC09F1" w14:textId="77777777" w:rsidR="00E31E4E" w:rsidRPr="000605BC" w:rsidRDefault="00E31E4E" w:rsidP="00542871">
      <w:pPr>
        <w:pStyle w:val="Heading1"/>
        <w:rPr>
          <w:sz w:val="28"/>
        </w:rPr>
      </w:pPr>
      <w:r w:rsidRPr="000605BC">
        <w:rPr>
          <w:sz w:val="28"/>
        </w:rPr>
        <w:t xml:space="preserve">The Most Common Methods Of Money Laundering </w:t>
      </w:r>
    </w:p>
    <w:p w14:paraId="08D62F22" w14:textId="2641FF0E" w:rsidR="00E31E4E" w:rsidRPr="000605BC" w:rsidRDefault="00E31E4E" w:rsidP="00E31E4E">
      <w:pPr>
        <w:rPr>
          <w:sz w:val="20"/>
        </w:rPr>
      </w:pPr>
      <w:r w:rsidRPr="000605BC">
        <w:rPr>
          <w:sz w:val="20"/>
        </w:rPr>
        <w:t xml:space="preserve">As noted above, the term “money laundering” encompasses a wide variety of different schemes used by everyone from small-time drug dealers to corrupt heads of state. As </w:t>
      </w:r>
      <w:proofErr w:type="spellStart"/>
      <w:r w:rsidRPr="000605BC">
        <w:rPr>
          <w:sz w:val="20"/>
        </w:rPr>
        <w:t>Beare</w:t>
      </w:r>
      <w:proofErr w:type="spellEnd"/>
      <w:r w:rsidRPr="000605BC">
        <w:rPr>
          <w:sz w:val="20"/>
        </w:rPr>
        <w:t xml:space="preserve"> notes, “[</w:t>
      </w:r>
      <w:proofErr w:type="spellStart"/>
      <w:r w:rsidRPr="000605BC">
        <w:rPr>
          <w:sz w:val="20"/>
        </w:rPr>
        <w:t>i</w:t>
      </w:r>
      <w:proofErr w:type="spellEnd"/>
      <w:r w:rsidRPr="000605BC">
        <w:rPr>
          <w:sz w:val="20"/>
        </w:rPr>
        <w:t>]t is impossible to identify all the laundering possibilities - from cults to marathons and beyond,” noting in the 1990s the Solar Templar doomsday cult was accused of being a front for laundering, and the Los Angeles Marathon Corporation was convicted of money laundering. Methods of money laundering can be as simple as small businesses dealing in cash using illicit cash to generate greater profits or as complex as international schemes using methods of concealing funds including offshore laundering havens, shell companies and wire transfers.</w:t>
      </w:r>
      <w:r w:rsidRPr="000605BC">
        <w:rPr>
          <w:rStyle w:val="FootnoteReference"/>
          <w:rFonts w:cs="Times New Roman"/>
          <w:sz w:val="20"/>
        </w:rPr>
        <w:footnoteReference w:id="6"/>
      </w:r>
      <w:r w:rsidRPr="000605BC">
        <w:rPr>
          <w:sz w:val="20"/>
        </w:rPr>
        <w:t xml:space="preserve"> </w:t>
      </w:r>
      <w:proofErr w:type="spellStart"/>
      <w:r w:rsidRPr="000605BC">
        <w:rPr>
          <w:sz w:val="20"/>
        </w:rPr>
        <w:t>Beare</w:t>
      </w:r>
      <w:proofErr w:type="spellEnd"/>
      <w:r w:rsidRPr="000605BC">
        <w:rPr>
          <w:sz w:val="20"/>
        </w:rPr>
        <w:t xml:space="preserve"> identifies four typologies of money laundering schemes. </w:t>
      </w:r>
      <w:r w:rsidRPr="000605BC">
        <w:rPr>
          <w:i/>
          <w:sz w:val="20"/>
        </w:rPr>
        <w:t>Simple-limited</w:t>
      </w:r>
      <w:r w:rsidRPr="000605BC">
        <w:rPr>
          <w:sz w:val="20"/>
        </w:rPr>
        <w:t xml:space="preserve"> schemes launder relatively small volumes of illicit proceeds through small cash-based businesses such as bars and vending machine companies. </w:t>
      </w:r>
      <w:r w:rsidRPr="000605BC">
        <w:rPr>
          <w:i/>
          <w:sz w:val="20"/>
        </w:rPr>
        <w:t>Simple-unlimited</w:t>
      </w:r>
      <w:r w:rsidRPr="000605BC">
        <w:rPr>
          <w:sz w:val="20"/>
        </w:rPr>
        <w:t xml:space="preserve"> schemes can launder large amounts of money with few transactions utilizing big-budget companies with unclear resources, materials and service costs. </w:t>
      </w:r>
      <w:r w:rsidRPr="000605BC">
        <w:rPr>
          <w:i/>
          <w:sz w:val="20"/>
        </w:rPr>
        <w:t>Serial-domestic</w:t>
      </w:r>
      <w:r w:rsidRPr="000605BC">
        <w:rPr>
          <w:sz w:val="20"/>
        </w:rPr>
        <w:t xml:space="preserve"> schemes use numerous </w:t>
      </w:r>
      <w:r w:rsidRPr="000605BC">
        <w:rPr>
          <w:sz w:val="20"/>
        </w:rPr>
        <w:lastRenderedPageBreak/>
        <w:t xml:space="preserve">financial transactions, moving funds through a network of transactions that involve multiple banks. </w:t>
      </w:r>
      <w:r w:rsidRPr="000605BC">
        <w:rPr>
          <w:i/>
          <w:sz w:val="20"/>
        </w:rPr>
        <w:t>Serial-international</w:t>
      </w:r>
      <w:r w:rsidRPr="000605BC">
        <w:rPr>
          <w:sz w:val="20"/>
        </w:rPr>
        <w:t xml:space="preserve"> schemes use multiple transactions and international services, often returning funds into big banks in North America and Europe. Both </w:t>
      </w:r>
      <w:r w:rsidRPr="000605BC">
        <w:rPr>
          <w:i/>
          <w:sz w:val="20"/>
        </w:rPr>
        <w:t xml:space="preserve">serial domestic </w:t>
      </w:r>
      <w:r w:rsidRPr="000605BC">
        <w:rPr>
          <w:sz w:val="20"/>
        </w:rPr>
        <w:t xml:space="preserve">and </w:t>
      </w:r>
      <w:r w:rsidRPr="000605BC">
        <w:rPr>
          <w:i/>
          <w:sz w:val="20"/>
        </w:rPr>
        <w:t xml:space="preserve">serial-international </w:t>
      </w:r>
      <w:r w:rsidRPr="000605BC">
        <w:rPr>
          <w:sz w:val="20"/>
        </w:rPr>
        <w:t>schemes can use professionals such as lawyers and accountants.</w:t>
      </w:r>
      <w:r w:rsidRPr="000605BC">
        <w:rPr>
          <w:rStyle w:val="FootnoteReference"/>
          <w:rFonts w:cs="Times New Roman"/>
          <w:sz w:val="20"/>
        </w:rPr>
        <w:footnoteReference w:id="7"/>
      </w:r>
      <w:r w:rsidRPr="000605BC">
        <w:rPr>
          <w:sz w:val="20"/>
        </w:rPr>
        <w:t xml:space="preserve"> The Liberty Reserve Global takedown demonstrates complex schemes used by money launderers. Liberty Reserve offered a digital currency service based in Costa Rica. The DOJ created a diagram of the complexity of the investigation</w:t>
      </w:r>
      <w:r w:rsidR="00F31FB9" w:rsidRPr="000605BC">
        <w:rPr>
          <w:sz w:val="20"/>
        </w:rPr>
        <w:t xml:space="preserve">, which involved </w:t>
      </w:r>
      <w:r w:rsidRPr="000605BC">
        <w:rPr>
          <w:sz w:val="20"/>
        </w:rPr>
        <w:t xml:space="preserve">17 countries and 36 mutual legal assistance treaty (MLAT) requests in 15 countries for execution of search warrants, wiretap authorizations, freezing or seizing assets, </w:t>
      </w:r>
      <w:r w:rsidR="00F31FB9" w:rsidRPr="000605BC">
        <w:rPr>
          <w:sz w:val="20"/>
        </w:rPr>
        <w:t xml:space="preserve">all of which culminated in </w:t>
      </w:r>
      <w:r w:rsidRPr="000605BC">
        <w:rPr>
          <w:sz w:val="20"/>
        </w:rPr>
        <w:t>5 arrests.</w:t>
      </w:r>
      <w:r w:rsidRPr="000605BC">
        <w:rPr>
          <w:rStyle w:val="FootnoteReference"/>
          <w:rFonts w:cs="Times New Roman"/>
          <w:sz w:val="20"/>
        </w:rPr>
        <w:footnoteReference w:id="8"/>
      </w:r>
    </w:p>
    <w:p w14:paraId="1BDAD0E5" w14:textId="4CE2873D" w:rsidR="00E31E4E" w:rsidRPr="000605BC" w:rsidRDefault="00E31E4E" w:rsidP="00E31E4E">
      <w:pPr>
        <w:rPr>
          <w:rFonts w:cs="Times New Roman"/>
          <w:sz w:val="20"/>
        </w:rPr>
      </w:pPr>
      <w:r w:rsidRPr="000605BC">
        <w:rPr>
          <w:rFonts w:cs="Times New Roman"/>
          <w:sz w:val="20"/>
        </w:rPr>
        <w:t>This chapter focuses on money laundering in the context of corruption. While a great deal of global AML efforts are directed towards controlling organized crime and preventing terrorist financing, those topics are beyond the scope of this book. The following excerpt from “Laundering the Proceeds of Corruption,” a 2011 report produced by the Financial Action Task Force (FATF), describes the most common money-laundering methods used by corrupt officials.</w:t>
      </w:r>
      <w:r w:rsidRPr="000605BC">
        <w:rPr>
          <w:rStyle w:val="FootnoteReference"/>
          <w:rFonts w:cs="Times New Roman"/>
          <w:sz w:val="20"/>
        </w:rPr>
        <w:footnoteReference w:id="9"/>
      </w:r>
      <w:r w:rsidRPr="000605BC">
        <w:rPr>
          <w:rFonts w:cs="Times New Roman"/>
          <w:sz w:val="20"/>
        </w:rPr>
        <w:t xml:space="preserve"> The FATF is an inter-governmental policy group composed of 34 nations, including the US, the UK and Canada, which sets standards in the form of the FATF 40 Recommendations, promotes procedures for combatting money laundering and evaluates member states’ performance.</w:t>
      </w:r>
    </w:p>
    <w:tbl>
      <w:tblPr>
        <w:tblStyle w:val="TableGrid"/>
        <w:tblW w:w="0" w:type="auto"/>
        <w:jc w:val="center"/>
        <w:tblCellMar>
          <w:top w:w="284" w:type="dxa"/>
          <w:left w:w="284" w:type="dxa"/>
          <w:bottom w:w="284" w:type="dxa"/>
          <w:right w:w="284" w:type="dxa"/>
        </w:tblCellMar>
        <w:tblLook w:val="04A0" w:firstRow="1" w:lastRow="0" w:firstColumn="1" w:lastColumn="0" w:noHBand="0" w:noVBand="1"/>
      </w:tblPr>
      <w:tblGrid>
        <w:gridCol w:w="8080"/>
      </w:tblGrid>
      <w:tr w:rsidR="00E31E4E" w:rsidRPr="000605BC" w14:paraId="28BA7070" w14:textId="77777777" w:rsidTr="00B819E3">
        <w:trPr>
          <w:jc w:val="center"/>
        </w:trPr>
        <w:tc>
          <w:tcPr>
            <w:tcW w:w="9576" w:type="dxa"/>
            <w:tcBorders>
              <w:top w:val="nil"/>
              <w:left w:val="nil"/>
              <w:bottom w:val="nil"/>
              <w:right w:val="nil"/>
            </w:tcBorders>
            <w:shd w:val="clear" w:color="auto" w:fill="D9D9D9" w:themeFill="background1" w:themeFillShade="D9"/>
          </w:tcPr>
          <w:p w14:paraId="348C94BE" w14:textId="77777777" w:rsidR="00E31E4E" w:rsidRPr="000605BC" w:rsidRDefault="00E31E4E" w:rsidP="00B819E3">
            <w:pPr>
              <w:pStyle w:val="ExcerptMarker"/>
              <w:spacing w:before="0"/>
              <w:rPr>
                <w:sz w:val="16"/>
              </w:rPr>
            </w:pPr>
            <w:r w:rsidRPr="000605BC">
              <w:rPr>
                <w:sz w:val="16"/>
              </w:rPr>
              <w:t>Beginning of Excerpt</w:t>
            </w:r>
          </w:p>
          <w:p w14:paraId="103315AB" w14:textId="77777777" w:rsidR="00E31E4E" w:rsidRPr="000605BC" w:rsidRDefault="00E31E4E" w:rsidP="00B819E3">
            <w:pPr>
              <w:jc w:val="left"/>
              <w:rPr>
                <w:b/>
                <w:sz w:val="20"/>
                <w:lang w:val="en-US" w:eastAsia="ja-JP"/>
              </w:rPr>
            </w:pPr>
            <w:r w:rsidRPr="000605BC">
              <w:rPr>
                <w:b/>
                <w:sz w:val="20"/>
                <w:lang w:val="en-US" w:eastAsia="ja-JP"/>
              </w:rPr>
              <w:t>An Analysis of the Most Common Methods Used to Launder the Proceeds of Grand Corruption</w:t>
            </w:r>
          </w:p>
          <w:p w14:paraId="12D2F007" w14:textId="77777777" w:rsidR="00E31E4E" w:rsidRPr="000605BC" w:rsidRDefault="00E31E4E" w:rsidP="00B819E3">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40. Laundering of corruption proceeds can take a variety of forms, depending on the nature of the corrupt act. In the grand corruption context, the most prevalent forms of proceeds are those arising from 1) bribe-taking or kickbacks; 2) extortion; 3) self-dealing and conflict of interest; and 4) embezzlement from the country’s treasury by a variety of fraudulent means. Understanding the typical methods by which PEPs [“politically exposed persons” – a technical term for public officials in the AML context] unlawfully obtain proceeds assists in understanding how those funds could be laundered.</w:t>
            </w:r>
          </w:p>
          <w:p w14:paraId="414F0B25" w14:textId="77777777" w:rsidR="00E31E4E" w:rsidRPr="000605BC" w:rsidRDefault="00E31E4E" w:rsidP="00B819E3">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41. In bribery, money flows from a private entity, generally speaking, to a PEP or associate in exchange for the grant of some sort of government concession: a contract for goods or services, for example, or the right to extract resources from the state. The proceeds of the bribery flow from the bribe giver to the corrupt PEP or an associate, possibly through a shell company or trust in which the PEP is the beneficial owner; it may never touch the home country of the corrupt PEP. A good example of this is found in the Bangkok film festival case, in which two promoters were able to bribe certain Thai officials to obtain the rights to sponsor and manage a government-funded film festival in Thailand.</w:t>
            </w:r>
            <w:r w:rsidRPr="000605BC">
              <w:rPr>
                <w:rStyle w:val="FootnoteReference"/>
                <w:rFonts w:eastAsiaTheme="minorEastAsia" w:cs="Times New Roman"/>
                <w:sz w:val="20"/>
                <w:lang w:val="en-US" w:eastAsia="ja-JP"/>
              </w:rPr>
              <w:footnoteReference w:id="10"/>
            </w:r>
            <w:r w:rsidRPr="000605BC">
              <w:rPr>
                <w:rFonts w:eastAsiaTheme="minorEastAsia" w:cs="Times New Roman"/>
                <w:position w:val="13"/>
                <w:sz w:val="20"/>
                <w:lang w:val="en-US" w:eastAsia="ja-JP"/>
              </w:rPr>
              <w:t xml:space="preserve"> </w:t>
            </w:r>
            <w:r w:rsidRPr="000605BC">
              <w:rPr>
                <w:rFonts w:eastAsiaTheme="minorEastAsia" w:cs="Times New Roman"/>
                <w:sz w:val="20"/>
                <w:lang w:val="en-US" w:eastAsia="ja-JP"/>
              </w:rPr>
              <w:t>The bribes were paid simply by means of the wire transfer of funds from US-based accounts, where the promoters were located, into offshore accounts in third countries maintained by family members of the PEP. The bribes never passed through Thailand, although that was the locus of the corrupt activity.</w:t>
            </w:r>
          </w:p>
          <w:p w14:paraId="106B52AD" w14:textId="77777777" w:rsidR="00E31E4E" w:rsidRPr="000605BC" w:rsidRDefault="00E31E4E" w:rsidP="00B819E3">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42. However, as noted later in the section on the use of cash, sometimes funds are retained in the country where the corruption takes place. For example, Joseph Estrada, then the President of the Philippines, often received cash or check payments from gambling operators in exchange for their protection from arrest or law enforcement activities. This money was simply deposited into domestic accounts in the name of a fictional person or in corporate vehicles established by Estrada’s attorney, and then used for a variety of expenses.</w:t>
            </w:r>
            <w:r w:rsidRPr="000605BC">
              <w:rPr>
                <w:rStyle w:val="FootnoteReference"/>
                <w:rFonts w:eastAsiaTheme="minorEastAsia" w:cs="Times New Roman"/>
                <w:sz w:val="20"/>
                <w:lang w:val="en-US" w:eastAsia="ja-JP"/>
              </w:rPr>
              <w:footnoteReference w:id="11"/>
            </w:r>
            <w:r w:rsidRPr="000605BC">
              <w:rPr>
                <w:rFonts w:eastAsiaTheme="minorEastAsia" w:cs="Times New Roman"/>
                <w:position w:val="13"/>
                <w:sz w:val="20"/>
                <w:lang w:val="en-US" w:eastAsia="ja-JP"/>
              </w:rPr>
              <w:t xml:space="preserve"> </w:t>
            </w:r>
            <w:r w:rsidRPr="000605BC">
              <w:rPr>
                <w:rFonts w:eastAsiaTheme="minorEastAsia" w:cs="Times New Roman"/>
                <w:sz w:val="20"/>
                <w:lang w:val="en-US" w:eastAsia="ja-JP"/>
              </w:rPr>
              <w:t>Likewise, in the case of the bribery of US Congressman Randall Cunningham, who was a senior legislator with significant control over military expenditures, a military contractor bribed him both by checks to a corporation controlled by Cunningham, but also by agreeing to purchase real estate owned by Cunningham at a vastly inflated price.</w:t>
            </w:r>
            <w:r w:rsidRPr="000605BC">
              <w:rPr>
                <w:rStyle w:val="FootnoteReference"/>
                <w:rFonts w:eastAsiaTheme="minorEastAsia" w:cs="Times New Roman"/>
                <w:sz w:val="20"/>
                <w:lang w:val="en-US" w:eastAsia="ja-JP"/>
              </w:rPr>
              <w:footnoteReference w:id="12"/>
            </w:r>
          </w:p>
          <w:p w14:paraId="004F6E39" w14:textId="77777777" w:rsidR="00E31E4E" w:rsidRPr="000605BC" w:rsidRDefault="00E31E4E" w:rsidP="00B819E3">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 xml:space="preserve">43. Proceeds are also generated through extortion schemes. In such schemes, funds are passed from the victim to the PEP. This can be done within the country or elsewhere. Pavel </w:t>
            </w:r>
            <w:proofErr w:type="spellStart"/>
            <w:r w:rsidRPr="000605BC">
              <w:rPr>
                <w:rFonts w:eastAsiaTheme="minorEastAsia" w:cs="Times New Roman"/>
                <w:sz w:val="20"/>
                <w:lang w:val="en-US" w:eastAsia="ja-JP"/>
              </w:rPr>
              <w:t>Lazarenko</w:t>
            </w:r>
            <w:proofErr w:type="spellEnd"/>
            <w:r w:rsidRPr="000605BC">
              <w:rPr>
                <w:rFonts w:eastAsiaTheme="minorEastAsia" w:cs="Times New Roman"/>
                <w:sz w:val="20"/>
                <w:lang w:val="en-US" w:eastAsia="ja-JP"/>
              </w:rPr>
              <w:t xml:space="preserve">, former Prime Minister of Ukraine, regularly required entities that wished to do business in Ukraine to split equally the profits of the enterprise with him in exchange for his influence in making the business successful. These businesses would transfer a share of ownership to </w:t>
            </w:r>
            <w:proofErr w:type="spellStart"/>
            <w:r w:rsidRPr="000605BC">
              <w:rPr>
                <w:rFonts w:eastAsiaTheme="minorEastAsia" w:cs="Times New Roman"/>
                <w:sz w:val="20"/>
                <w:lang w:val="en-US" w:eastAsia="ja-JP"/>
              </w:rPr>
              <w:t>Lazarenko</w:t>
            </w:r>
            <w:proofErr w:type="spellEnd"/>
            <w:r w:rsidRPr="000605BC">
              <w:rPr>
                <w:rFonts w:eastAsiaTheme="minorEastAsia" w:cs="Times New Roman"/>
                <w:sz w:val="20"/>
                <w:lang w:val="en-US" w:eastAsia="ja-JP"/>
              </w:rPr>
              <w:t xml:space="preserve"> associates or family members, and money would be wired from the victim companies to offshore accounts controlled by </w:t>
            </w:r>
            <w:proofErr w:type="spellStart"/>
            <w:r w:rsidRPr="000605BC">
              <w:rPr>
                <w:rFonts w:eastAsiaTheme="minorEastAsia" w:cs="Times New Roman"/>
                <w:sz w:val="20"/>
                <w:lang w:val="en-US" w:eastAsia="ja-JP"/>
              </w:rPr>
              <w:t>Lazarenko</w:t>
            </w:r>
            <w:proofErr w:type="spellEnd"/>
            <w:r w:rsidRPr="000605BC">
              <w:rPr>
                <w:rFonts w:eastAsiaTheme="minorEastAsia" w:cs="Times New Roman"/>
                <w:sz w:val="20"/>
                <w:lang w:val="en-US" w:eastAsia="ja-JP"/>
              </w:rPr>
              <w:t>.</w:t>
            </w:r>
            <w:r w:rsidRPr="000605BC">
              <w:rPr>
                <w:rStyle w:val="FootnoteReference"/>
                <w:rFonts w:eastAsiaTheme="minorEastAsia" w:cs="Times New Roman"/>
                <w:sz w:val="20"/>
                <w:lang w:val="en-US" w:eastAsia="ja-JP"/>
              </w:rPr>
              <w:footnoteReference w:id="13"/>
            </w:r>
          </w:p>
          <w:p w14:paraId="6BA4B4D6" w14:textId="3E8D1F31" w:rsidR="00E31E4E" w:rsidRPr="000605BC" w:rsidRDefault="00E31E4E" w:rsidP="00B819E3">
            <w:pPr>
              <w:autoSpaceDE w:val="0"/>
              <w:autoSpaceDN w:val="0"/>
              <w:adjustRightInd w:val="0"/>
              <w:spacing w:after="120"/>
              <w:rPr>
                <w:sz w:val="16"/>
              </w:rPr>
            </w:pPr>
            <w:r w:rsidRPr="000605BC">
              <w:rPr>
                <w:rFonts w:eastAsiaTheme="minorEastAsia" w:cs="Times New Roman"/>
                <w:sz w:val="20"/>
                <w:lang w:val="en-US" w:eastAsia="ja-JP"/>
              </w:rPr>
              <w:t>44. Self-dealing occurs when a PEP has a financial interest in an entity which does business with the state. The PEP is able to use his official position to ensure that the state does business with the entity, thereby enriching the PEP. A US Senate report noted a situation in which one West African PEP was responsible for selling the right to harvest timber from public lands, while at the sa</w:t>
            </w:r>
            <w:r w:rsidR="00B819E3">
              <w:rPr>
                <w:rFonts w:eastAsiaTheme="minorEastAsia" w:cs="Times New Roman"/>
                <w:sz w:val="20"/>
                <w:lang w:val="en-US" w:eastAsia="ja-JP"/>
              </w:rPr>
              <w:t>me time owning the same company</w:t>
            </w:r>
          </w:p>
        </w:tc>
      </w:tr>
      <w:tr w:rsidR="00B819E3" w:rsidRPr="000605BC" w14:paraId="4AFC3EC3" w14:textId="77777777" w:rsidTr="00B819E3">
        <w:trPr>
          <w:jc w:val="center"/>
        </w:trPr>
        <w:tc>
          <w:tcPr>
            <w:tcW w:w="9576" w:type="dxa"/>
            <w:tcBorders>
              <w:top w:val="nil"/>
              <w:left w:val="nil"/>
              <w:bottom w:val="nil"/>
              <w:right w:val="nil"/>
            </w:tcBorders>
            <w:shd w:val="clear" w:color="auto" w:fill="D9D9D9" w:themeFill="background1" w:themeFillShade="D9"/>
          </w:tcPr>
          <w:p w14:paraId="2FA597AD" w14:textId="77777777" w:rsidR="00B819E3" w:rsidRPr="000605BC" w:rsidRDefault="00B819E3" w:rsidP="00B819E3">
            <w:pPr>
              <w:autoSpaceDE w:val="0"/>
              <w:autoSpaceDN w:val="0"/>
              <w:adjustRightInd w:val="0"/>
              <w:spacing w:before="120"/>
              <w:rPr>
                <w:rFonts w:eastAsiaTheme="minorEastAsia" w:cs="Times New Roman"/>
                <w:sz w:val="20"/>
                <w:lang w:val="en-US" w:eastAsia="ja-JP"/>
              </w:rPr>
            </w:pPr>
            <w:proofErr w:type="gramStart"/>
            <w:r w:rsidRPr="000605BC">
              <w:rPr>
                <w:rFonts w:eastAsiaTheme="minorEastAsia" w:cs="Times New Roman"/>
                <w:sz w:val="20"/>
                <w:lang w:val="en-US" w:eastAsia="ja-JP"/>
              </w:rPr>
              <w:t>that</w:t>
            </w:r>
            <w:proofErr w:type="gramEnd"/>
            <w:r w:rsidRPr="000605BC">
              <w:rPr>
                <w:rFonts w:eastAsiaTheme="minorEastAsia" w:cs="Times New Roman"/>
                <w:sz w:val="20"/>
                <w:lang w:val="en-US" w:eastAsia="ja-JP"/>
              </w:rPr>
              <w:t xml:space="preserve"> had been awarded those rights.</w:t>
            </w:r>
            <w:r w:rsidRPr="000605BC">
              <w:rPr>
                <w:rStyle w:val="FootnoteReference"/>
                <w:rFonts w:eastAsiaTheme="minorEastAsia" w:cs="Times New Roman"/>
                <w:sz w:val="20"/>
                <w:lang w:val="en-US" w:eastAsia="ja-JP"/>
              </w:rPr>
              <w:footnoteReference w:id="14"/>
            </w:r>
            <w:r w:rsidRPr="000605BC">
              <w:rPr>
                <w:rFonts w:eastAsiaTheme="minorEastAsia" w:cs="Times New Roman"/>
                <w:position w:val="13"/>
                <w:sz w:val="20"/>
                <w:lang w:val="en-US" w:eastAsia="ja-JP"/>
              </w:rPr>
              <w:t xml:space="preserve"> </w:t>
            </w:r>
            <w:r w:rsidRPr="000605BC">
              <w:rPr>
                <w:rFonts w:eastAsiaTheme="minorEastAsia" w:cs="Times New Roman"/>
                <w:sz w:val="20"/>
                <w:lang w:val="en-US" w:eastAsia="ja-JP"/>
              </w:rPr>
              <w:t>In such situations, money would flow from the affected country’s accounts or central bank to accounts owned by the corporation or entity owned or controlled by the PEP.</w:t>
            </w:r>
          </w:p>
          <w:p w14:paraId="7EB8A44E" w14:textId="77777777" w:rsidR="00B819E3" w:rsidRPr="000605BC" w:rsidRDefault="00B819E3" w:rsidP="00B819E3">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 xml:space="preserve">45. Finally, embezzlement schemes are used in a number of corruption cases. Money flows can occur in a number of ways, using a variety of methods. In the case involving former governor of Plateau state in Nigeria, Joshua </w:t>
            </w:r>
            <w:proofErr w:type="spellStart"/>
            <w:r w:rsidRPr="000605BC">
              <w:rPr>
                <w:rFonts w:eastAsiaTheme="minorEastAsia" w:cs="Times New Roman"/>
                <w:sz w:val="20"/>
                <w:lang w:val="en-US" w:eastAsia="ja-JP"/>
              </w:rPr>
              <w:t>Dariye</w:t>
            </w:r>
            <w:proofErr w:type="spellEnd"/>
            <w:r w:rsidRPr="000605BC">
              <w:rPr>
                <w:rFonts w:eastAsiaTheme="minorEastAsia" w:cs="Times New Roman"/>
                <w:sz w:val="20"/>
                <w:lang w:val="en-US" w:eastAsia="ja-JP"/>
              </w:rPr>
              <w:t xml:space="preserve">, for example, a grant for environmental contracts was made from the federal government to the State, and the money was deposited into a bank account established by the State. </w:t>
            </w:r>
            <w:proofErr w:type="spellStart"/>
            <w:r w:rsidRPr="000605BC">
              <w:rPr>
                <w:rFonts w:eastAsiaTheme="minorEastAsia" w:cs="Times New Roman"/>
                <w:sz w:val="20"/>
                <w:lang w:val="en-US" w:eastAsia="ja-JP"/>
              </w:rPr>
              <w:t>Dariye</w:t>
            </w:r>
            <w:proofErr w:type="spellEnd"/>
            <w:r w:rsidRPr="000605BC">
              <w:rPr>
                <w:rFonts w:eastAsiaTheme="minorEastAsia" w:cs="Times New Roman"/>
                <w:sz w:val="20"/>
                <w:lang w:val="en-US" w:eastAsia="ja-JP"/>
              </w:rPr>
              <w:t xml:space="preserve"> used his influence to cause the bank to issue a bank draft creditable to an account at a different Nigerian bank that </w:t>
            </w:r>
            <w:proofErr w:type="spellStart"/>
            <w:r w:rsidRPr="000605BC">
              <w:rPr>
                <w:rFonts w:eastAsiaTheme="minorEastAsia" w:cs="Times New Roman"/>
                <w:sz w:val="20"/>
                <w:lang w:val="en-US" w:eastAsia="ja-JP"/>
              </w:rPr>
              <w:t>Dariye</w:t>
            </w:r>
            <w:proofErr w:type="spellEnd"/>
            <w:r w:rsidRPr="000605BC">
              <w:rPr>
                <w:rFonts w:eastAsiaTheme="minorEastAsia" w:cs="Times New Roman"/>
                <w:sz w:val="20"/>
                <w:lang w:val="en-US" w:eastAsia="ja-JP"/>
              </w:rPr>
              <w:t xml:space="preserve"> had established under an alias about ten months</w:t>
            </w:r>
            <w:r>
              <w:rPr>
                <w:rFonts w:eastAsiaTheme="minorEastAsia" w:cs="Times New Roman"/>
                <w:sz w:val="20"/>
                <w:lang w:val="en-US" w:eastAsia="ja-JP"/>
              </w:rPr>
              <w:t xml:space="preserve"> </w:t>
            </w:r>
            <w:r w:rsidRPr="000605BC">
              <w:rPr>
                <w:rFonts w:eastAsiaTheme="minorEastAsia" w:cs="Times New Roman"/>
                <w:sz w:val="20"/>
                <w:lang w:val="en-US" w:eastAsia="ja-JP"/>
              </w:rPr>
              <w:t>previously.</w:t>
            </w:r>
            <w:r w:rsidRPr="000605BC">
              <w:rPr>
                <w:rStyle w:val="FootnoteReference"/>
                <w:rFonts w:eastAsiaTheme="minorEastAsia" w:cs="Times New Roman"/>
                <w:sz w:val="20"/>
                <w:lang w:val="en-US" w:eastAsia="ja-JP"/>
              </w:rPr>
              <w:footnoteReference w:id="15"/>
            </w:r>
            <w:r w:rsidRPr="000605BC">
              <w:rPr>
                <w:rFonts w:eastAsiaTheme="minorEastAsia" w:cs="Times New Roman"/>
                <w:position w:val="13"/>
                <w:sz w:val="20"/>
                <w:lang w:val="en-US" w:eastAsia="ja-JP"/>
              </w:rPr>
              <w:t xml:space="preserve"> </w:t>
            </w:r>
            <w:r w:rsidRPr="000605BC">
              <w:rPr>
                <w:rFonts w:eastAsiaTheme="minorEastAsia" w:cs="Times New Roman"/>
                <w:sz w:val="20"/>
                <w:lang w:val="en-US" w:eastAsia="ja-JP"/>
              </w:rPr>
              <w:t xml:space="preserve">In the case involving Sani Abacha, then the President of Nigeria, Abacha directed his national security advisor to create and present false funding requests, which Abacha </w:t>
            </w:r>
            <w:proofErr w:type="spellStart"/>
            <w:r w:rsidRPr="000605BC">
              <w:rPr>
                <w:rFonts w:eastAsiaTheme="minorEastAsia" w:cs="Times New Roman"/>
                <w:sz w:val="20"/>
                <w:lang w:val="en-US" w:eastAsia="ja-JP"/>
              </w:rPr>
              <w:t>authorised</w:t>
            </w:r>
            <w:proofErr w:type="spellEnd"/>
            <w:r w:rsidRPr="000605BC">
              <w:rPr>
                <w:rFonts w:eastAsiaTheme="minorEastAsia" w:cs="Times New Roman"/>
                <w:sz w:val="20"/>
                <w:lang w:val="en-US" w:eastAsia="ja-JP"/>
              </w:rPr>
              <w:t>. Cash “in truckloads” was taken out of the central bank to settle some of these requests. The national security advisor then laundered the proceeds through domestic banks or Nigerian and foreign businessmen to offshore accounts held by family members.</w:t>
            </w:r>
            <w:r w:rsidRPr="000605BC">
              <w:rPr>
                <w:rStyle w:val="FootnoteReference"/>
                <w:rFonts w:eastAsiaTheme="minorEastAsia" w:cs="Times New Roman"/>
                <w:sz w:val="20"/>
                <w:lang w:val="en-US" w:eastAsia="ja-JP"/>
              </w:rPr>
              <w:footnoteReference w:id="16"/>
            </w:r>
          </w:p>
          <w:p w14:paraId="0C844A16" w14:textId="77777777" w:rsidR="00B819E3" w:rsidRPr="000605BC" w:rsidRDefault="00B819E3" w:rsidP="00B819E3">
            <w:pPr>
              <w:rPr>
                <w:rFonts w:eastAsiaTheme="minorEastAsia" w:cs="Times New Roman"/>
                <w:sz w:val="20"/>
                <w:lang w:val="en-US" w:eastAsia="ja-JP"/>
              </w:rPr>
            </w:pPr>
            <w:r w:rsidRPr="000605BC">
              <w:rPr>
                <w:rFonts w:eastAsiaTheme="minorEastAsia" w:cs="Times New Roman"/>
                <w:sz w:val="20"/>
                <w:lang w:val="en-US" w:eastAsia="ja-JP"/>
              </w:rPr>
              <w:t>46. Thus, it would appear that all stages of the money laundering process – placement, layering, and integration – are present in the laundering of proceeds regardless of the manner of corruption. The specific methods by which the funds are actually laundered are discussed below.</w:t>
            </w:r>
          </w:p>
          <w:p w14:paraId="0A827CD9" w14:textId="4A1AEA4F" w:rsidR="00B819E3" w:rsidRPr="000605BC" w:rsidRDefault="00B819E3" w:rsidP="00B819E3">
            <w:pPr>
              <w:pStyle w:val="ExcerptMarker"/>
              <w:spacing w:before="0" w:after="0"/>
              <w:rPr>
                <w:sz w:val="16"/>
              </w:rPr>
            </w:pPr>
            <w:r w:rsidRPr="000605BC">
              <w:rPr>
                <w:sz w:val="16"/>
              </w:rPr>
              <w:t>End of Excerpt</w:t>
            </w:r>
          </w:p>
        </w:tc>
      </w:tr>
    </w:tbl>
    <w:p w14:paraId="13785022" w14:textId="77777777" w:rsidR="00E31E4E" w:rsidRPr="000605BC" w:rsidRDefault="00E31E4E" w:rsidP="00E31E4E">
      <w:pPr>
        <w:pStyle w:val="Heading2"/>
        <w:rPr>
          <w:sz w:val="24"/>
        </w:rPr>
      </w:pPr>
      <w:r w:rsidRPr="000605BC">
        <w:rPr>
          <w:sz w:val="24"/>
        </w:rPr>
        <w:t>Use of Corporate Vehicles and Trusts</w:t>
      </w:r>
    </w:p>
    <w:tbl>
      <w:tblPr>
        <w:tblStyle w:val="TableGrid"/>
        <w:tblW w:w="0" w:type="auto"/>
        <w:jc w:val="center"/>
        <w:tblCellMar>
          <w:top w:w="284" w:type="dxa"/>
          <w:left w:w="284" w:type="dxa"/>
          <w:bottom w:w="284" w:type="dxa"/>
          <w:right w:w="284" w:type="dxa"/>
        </w:tblCellMar>
        <w:tblLook w:val="04A0" w:firstRow="1" w:lastRow="0" w:firstColumn="1" w:lastColumn="0" w:noHBand="0" w:noVBand="1"/>
      </w:tblPr>
      <w:tblGrid>
        <w:gridCol w:w="8080"/>
      </w:tblGrid>
      <w:tr w:rsidR="00E31E4E" w:rsidRPr="000605BC" w14:paraId="523AF8C2" w14:textId="77777777" w:rsidTr="00957E98">
        <w:trPr>
          <w:jc w:val="center"/>
        </w:trPr>
        <w:tc>
          <w:tcPr>
            <w:tcW w:w="9576" w:type="dxa"/>
            <w:tcBorders>
              <w:top w:val="nil"/>
              <w:left w:val="nil"/>
              <w:bottom w:val="nil"/>
              <w:right w:val="nil"/>
            </w:tcBorders>
            <w:shd w:val="clear" w:color="auto" w:fill="D9D9D9" w:themeFill="background1" w:themeFillShade="D9"/>
          </w:tcPr>
          <w:p w14:paraId="09A6DADB" w14:textId="77777777" w:rsidR="00E31E4E" w:rsidRPr="000605BC" w:rsidRDefault="00E31E4E" w:rsidP="00957E98">
            <w:pPr>
              <w:pStyle w:val="ExcerptMarker"/>
              <w:spacing w:before="0"/>
              <w:rPr>
                <w:sz w:val="16"/>
              </w:rPr>
            </w:pPr>
            <w:r w:rsidRPr="000605BC">
              <w:rPr>
                <w:sz w:val="16"/>
              </w:rPr>
              <w:t>Beginning of Excerpt</w:t>
            </w:r>
          </w:p>
          <w:p w14:paraId="6126C75E" w14:textId="77777777" w:rsidR="00E31E4E" w:rsidRPr="000605BC" w:rsidRDefault="00E31E4E" w:rsidP="00957E98">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47. The project team’s review of the case studies showed that every examined case featured the use of corporate vehicles, trusts, or non-profit entities of some type. That this is the case should perhaps not be surprising; corporate vehicles and trusts have long been identified by FATF as posing a risk for money laundering generally, and are addressed in Recommendations 33 and 34.</w:t>
            </w:r>
            <w:r w:rsidRPr="000605BC">
              <w:rPr>
                <w:rStyle w:val="FootnoteReference"/>
                <w:rFonts w:eastAsiaTheme="minorEastAsia" w:cs="Times New Roman"/>
                <w:sz w:val="20"/>
                <w:lang w:val="en-US" w:eastAsia="ja-JP"/>
              </w:rPr>
              <w:footnoteReference w:id="17"/>
            </w:r>
            <w:r w:rsidRPr="000605BC">
              <w:rPr>
                <w:rFonts w:eastAsiaTheme="minorEastAsia" w:cs="Times New Roman"/>
                <w:position w:val="13"/>
                <w:sz w:val="20"/>
                <w:lang w:val="en-US" w:eastAsia="ja-JP"/>
              </w:rPr>
              <w:t xml:space="preserve"> </w:t>
            </w:r>
            <w:r w:rsidRPr="000605BC">
              <w:rPr>
                <w:rFonts w:eastAsiaTheme="minorEastAsia" w:cs="Times New Roman"/>
                <w:sz w:val="20"/>
                <w:lang w:val="en-US" w:eastAsia="ja-JP"/>
              </w:rPr>
              <w:t>WGTYP [Working Group on Typologies] long ago noted in its 1996-1997 Report on Money Laundering Typologies of the common use of shell corporations, and the advantages they provide in concealing the identity of the beneficial owner and the difficulty for law enforcement to access records.</w:t>
            </w:r>
          </w:p>
          <w:p w14:paraId="27BB49C0" w14:textId="77777777" w:rsidR="00E31E4E" w:rsidRPr="000605BC" w:rsidRDefault="00E31E4E" w:rsidP="00957E98">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48. WGTYP issued a report detailing the risks of misuse of corporate vehicles and trusts in October 2006.</w:t>
            </w:r>
            <w:r w:rsidRPr="000605BC">
              <w:rPr>
                <w:rStyle w:val="FootnoteReference"/>
                <w:rFonts w:eastAsiaTheme="minorEastAsia" w:cs="Times New Roman"/>
                <w:sz w:val="20"/>
                <w:lang w:val="en-US" w:eastAsia="ja-JP"/>
              </w:rPr>
              <w:footnoteReference w:id="18"/>
            </w:r>
            <w:r w:rsidRPr="000605BC">
              <w:rPr>
                <w:rFonts w:eastAsiaTheme="minorEastAsia" w:cs="Times New Roman"/>
                <w:position w:val="13"/>
                <w:sz w:val="20"/>
                <w:lang w:val="en-US" w:eastAsia="ja-JP"/>
              </w:rPr>
              <w:t xml:space="preserve"> </w:t>
            </w:r>
            <w:r w:rsidRPr="000605BC">
              <w:rPr>
                <w:rFonts w:eastAsiaTheme="minorEastAsia" w:cs="Times New Roman"/>
                <w:sz w:val="20"/>
                <w:lang w:val="en-US" w:eastAsia="ja-JP"/>
              </w:rPr>
              <w:t>The intervening ten years changed little. As that report noted, “[o]f particular concern is the ease with which corporate vehicles can be created and dissolved in some jurisdictions, which allows these vehicles to be…misused by those involved in financial crime to conceal the sources of funds and their ownership of the corporate vehicles.” This point was again made more recently in FATF’s 2010 typology, Money Laundering Using Trust and Company Service Providers.</w:t>
            </w:r>
            <w:r w:rsidRPr="000605BC">
              <w:rPr>
                <w:rStyle w:val="FootnoteReference"/>
                <w:rFonts w:eastAsiaTheme="minorEastAsia" w:cs="Times New Roman"/>
                <w:sz w:val="20"/>
                <w:lang w:val="en-US" w:eastAsia="ja-JP"/>
              </w:rPr>
              <w:footnoteReference w:id="19"/>
            </w:r>
          </w:p>
          <w:p w14:paraId="5709141B" w14:textId="503C32B8" w:rsidR="00E31E4E" w:rsidRPr="000605BC" w:rsidRDefault="00E31E4E" w:rsidP="00957E98">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49. These typologies, as well as other publically available information, set forth the money laundering risks that corporate vehicles and trusts present, regardless of the predicate crime. Features of corporate vehicles that enhance the risk of money laundering include:</w:t>
            </w:r>
          </w:p>
          <w:p w14:paraId="125522FB" w14:textId="77777777" w:rsidR="00E31E4E" w:rsidRPr="000605BC" w:rsidRDefault="00E31E4E" w:rsidP="00957E98">
            <w:pPr>
              <w:pStyle w:val="ListParagraph"/>
              <w:numPr>
                <w:ilvl w:val="0"/>
                <w:numId w:val="1"/>
              </w:numPr>
              <w:autoSpaceDE w:val="0"/>
              <w:autoSpaceDN w:val="0"/>
              <w:adjustRightInd w:val="0"/>
              <w:contextualSpacing w:val="0"/>
              <w:rPr>
                <w:rFonts w:cs="Times New Roman"/>
                <w:sz w:val="20"/>
                <w:lang w:eastAsia="ja-JP"/>
              </w:rPr>
            </w:pPr>
            <w:r w:rsidRPr="000605BC">
              <w:rPr>
                <w:rFonts w:cs="Times New Roman"/>
                <w:sz w:val="20"/>
                <w:lang w:eastAsia="ja-JP"/>
              </w:rPr>
              <w:t>the ease with which corporate vehicles can be created and dissolved in some jurisdictions;</w:t>
            </w:r>
          </w:p>
          <w:p w14:paraId="672BC27C" w14:textId="77777777" w:rsidR="00E31E4E" w:rsidRPr="000605BC" w:rsidRDefault="00E31E4E" w:rsidP="00957E98">
            <w:pPr>
              <w:pStyle w:val="ListParagraph"/>
              <w:numPr>
                <w:ilvl w:val="0"/>
                <w:numId w:val="1"/>
              </w:numPr>
              <w:autoSpaceDE w:val="0"/>
              <w:autoSpaceDN w:val="0"/>
              <w:adjustRightInd w:val="0"/>
              <w:contextualSpacing w:val="0"/>
              <w:rPr>
                <w:rFonts w:cs="Times New Roman"/>
                <w:sz w:val="20"/>
                <w:lang w:eastAsia="ja-JP"/>
              </w:rPr>
            </w:pPr>
            <w:r w:rsidRPr="000605BC">
              <w:rPr>
                <w:rFonts w:cs="Times New Roman"/>
                <w:sz w:val="20"/>
                <w:lang w:eastAsia="ja-JP"/>
              </w:rPr>
              <w:t>that a vehicle can be created as part of a series of multi-jurisdictional structures, in which a corporation in one jurisdiction is owned by one or more other corporations or trusts in other jurisdictions;</w:t>
            </w:r>
          </w:p>
          <w:p w14:paraId="14D0FDF2" w14:textId="77777777" w:rsidR="00E31E4E" w:rsidRPr="000605BC" w:rsidRDefault="00E31E4E" w:rsidP="00957E98">
            <w:pPr>
              <w:pStyle w:val="ListParagraph"/>
              <w:numPr>
                <w:ilvl w:val="0"/>
                <w:numId w:val="1"/>
              </w:numPr>
              <w:autoSpaceDE w:val="0"/>
              <w:autoSpaceDN w:val="0"/>
              <w:adjustRightInd w:val="0"/>
              <w:contextualSpacing w:val="0"/>
              <w:rPr>
                <w:rFonts w:cs="Times New Roman"/>
                <w:sz w:val="20"/>
                <w:lang w:eastAsia="ja-JP"/>
              </w:rPr>
            </w:pPr>
            <w:r w:rsidRPr="000605BC">
              <w:rPr>
                <w:rFonts w:cs="Times New Roman"/>
                <w:sz w:val="20"/>
                <w:lang w:eastAsia="ja-JP"/>
              </w:rPr>
              <w:t xml:space="preserve">the use of </w:t>
            </w:r>
            <w:proofErr w:type="spellStart"/>
            <w:r w:rsidRPr="000605BC">
              <w:rPr>
                <w:rFonts w:cs="Times New Roman"/>
                <w:sz w:val="20"/>
                <w:lang w:eastAsia="ja-JP"/>
              </w:rPr>
              <w:t>specialised</w:t>
            </w:r>
            <w:proofErr w:type="spellEnd"/>
            <w:r w:rsidRPr="000605BC">
              <w:rPr>
                <w:rFonts w:cs="Times New Roman"/>
                <w:sz w:val="20"/>
                <w:lang w:eastAsia="ja-JP"/>
              </w:rPr>
              <w:t xml:space="preserve"> intermediaries and professionals to conceal true ownership;</w:t>
            </w:r>
          </w:p>
          <w:p w14:paraId="30AAD9CC" w14:textId="77777777" w:rsidR="00E31E4E" w:rsidRPr="000605BC" w:rsidRDefault="00E31E4E" w:rsidP="00957E98">
            <w:pPr>
              <w:pStyle w:val="ListParagraph"/>
              <w:numPr>
                <w:ilvl w:val="0"/>
                <w:numId w:val="1"/>
              </w:numPr>
              <w:autoSpaceDE w:val="0"/>
              <w:autoSpaceDN w:val="0"/>
              <w:adjustRightInd w:val="0"/>
              <w:contextualSpacing w:val="0"/>
              <w:rPr>
                <w:rFonts w:cs="Times New Roman"/>
                <w:sz w:val="20"/>
                <w:lang w:eastAsia="ja-JP"/>
              </w:rPr>
            </w:pPr>
            <w:r w:rsidRPr="000605BC">
              <w:rPr>
                <w:rFonts w:cs="Times New Roman"/>
                <w:sz w:val="20"/>
                <w:lang w:eastAsia="ja-JP"/>
              </w:rPr>
              <w:t>the ease in which nominees may be used to disguise ownership, and corporations;</w:t>
            </w:r>
          </w:p>
          <w:p w14:paraId="25723962" w14:textId="77777777" w:rsidR="00E31E4E" w:rsidRPr="000605BC" w:rsidRDefault="00E31E4E" w:rsidP="00957E98">
            <w:pPr>
              <w:pStyle w:val="ListParagraph"/>
              <w:numPr>
                <w:ilvl w:val="0"/>
                <w:numId w:val="1"/>
              </w:numPr>
              <w:autoSpaceDE w:val="0"/>
              <w:autoSpaceDN w:val="0"/>
              <w:adjustRightInd w:val="0"/>
              <w:contextualSpacing w:val="0"/>
              <w:rPr>
                <w:rFonts w:cs="Times New Roman"/>
                <w:sz w:val="20"/>
                <w:lang w:eastAsia="ja-JP"/>
              </w:rPr>
            </w:pPr>
            <w:proofErr w:type="gramStart"/>
            <w:r w:rsidRPr="000605BC">
              <w:rPr>
                <w:rFonts w:cs="Times New Roman"/>
                <w:sz w:val="20"/>
                <w:lang w:eastAsia="ja-JP"/>
              </w:rPr>
              <w:t>and</w:t>
            </w:r>
            <w:proofErr w:type="gramEnd"/>
            <w:r w:rsidRPr="000605BC">
              <w:rPr>
                <w:rFonts w:cs="Times New Roman"/>
                <w:sz w:val="20"/>
                <w:lang w:eastAsia="ja-JP"/>
              </w:rPr>
              <w:t xml:space="preserve"> other vehicles whose only purpose is to disguise the beneficial owner of the underlying asset.</w:t>
            </w:r>
            <w:r w:rsidRPr="000605BC">
              <w:rPr>
                <w:rStyle w:val="FootnoteReference"/>
                <w:rFonts w:cs="Times New Roman"/>
                <w:sz w:val="20"/>
                <w:lang w:eastAsia="ja-JP"/>
              </w:rPr>
              <w:footnoteReference w:id="20"/>
            </w:r>
          </w:p>
          <w:p w14:paraId="2A102903" w14:textId="77777777" w:rsidR="00E31E4E" w:rsidRPr="000605BC" w:rsidRDefault="00E31E4E" w:rsidP="00957E98">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50. Moreover, each jurisdiction has its own set of requirements regarding identification of the beneficial owner and the circumstances under which that information may be accessed. As discussions within the FATF regarding clarification of the standards related to beneficial ownership have demonstrated, few jurisdictions collect beneficial ownership information at the time of company formation, increasing the challenges of international cooperation. Each of these features has the effect of making it more difficult for financial institutions, regulators, and law enforcement to obtain information that would allow for an accurate understanding of the ownership and control of the assets involved and the purposes for which specific financial transactions are conducted. Some vehicles are even designed to protect against asset confiscation; certain trusts, for example, require the trustee to transfer assets upon receiving notice of a law enforcement or regulatory inquiry.</w:t>
            </w:r>
            <w:r w:rsidRPr="000605BC">
              <w:rPr>
                <w:rStyle w:val="FootnoteReference"/>
                <w:rFonts w:eastAsiaTheme="minorEastAsia" w:cs="Times New Roman"/>
                <w:sz w:val="20"/>
                <w:lang w:val="en-US" w:eastAsia="ja-JP"/>
              </w:rPr>
              <w:footnoteReference w:id="21"/>
            </w:r>
          </w:p>
          <w:p w14:paraId="49022BB6" w14:textId="77777777" w:rsidR="00E31E4E" w:rsidRPr="000605BC" w:rsidRDefault="00E31E4E" w:rsidP="00957E98">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51. The ease by which an individual can obtain a corporate vehicle is highlighted by J.C. Sharman’s recently-published foray into purchasing shell corporations. Sharman, a professor at Griffith University in Brisbane, Australia, noted that of 45 service providers he was able to contact, 17 of them were willing to form the company with only a credit card and mailing address (to receive the documents).</w:t>
            </w:r>
            <w:r w:rsidRPr="000605BC">
              <w:rPr>
                <w:rStyle w:val="FootnoteReference"/>
                <w:rFonts w:eastAsiaTheme="minorEastAsia" w:cs="Times New Roman"/>
                <w:sz w:val="20"/>
                <w:lang w:val="en-US" w:eastAsia="ja-JP"/>
              </w:rPr>
              <w:footnoteReference w:id="22"/>
            </w:r>
            <w:r w:rsidRPr="000605BC">
              <w:rPr>
                <w:rFonts w:eastAsiaTheme="minorEastAsia" w:cs="Times New Roman"/>
                <w:position w:val="13"/>
                <w:sz w:val="20"/>
                <w:lang w:val="en-US" w:eastAsia="ja-JP"/>
              </w:rPr>
              <w:t xml:space="preserve"> </w:t>
            </w:r>
            <w:r w:rsidRPr="000605BC">
              <w:rPr>
                <w:rFonts w:eastAsiaTheme="minorEastAsia" w:cs="Times New Roman"/>
                <w:sz w:val="20"/>
                <w:lang w:val="en-US" w:eastAsia="ja-JP"/>
              </w:rPr>
              <w:t>Sharman acknowledged that the relatively small sample size of his study “necessitates a degree of modesty about the findings,” and that obtaining a bank account for the corporations without divulging an identity would be more difficult. Nevertheless, as he notes, “If one law-abiding individual with a modest budget can establish anonymous companies and bank accounts via the Internet using relatively high-profile corporate service providers, how much simpler is it likely to be for criminals, who are not bound by any of these restrictions, to replicate this feat?”</w:t>
            </w:r>
          </w:p>
          <w:p w14:paraId="7353B3DD" w14:textId="77777777" w:rsidR="00E31E4E" w:rsidRPr="000605BC" w:rsidRDefault="00E31E4E" w:rsidP="00957E98">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52. In the corruption context, it is easy to understand why a corrupt PEP may wish to use a corporate vehicle. In some jurisdictions, PEPs are subject to public asset disclosure requirements, rules regarding engaging in outside transactions to prevent self-dealing and conflicts of interest, and a host of other codes of conduct, and ethical prohibitions.</w:t>
            </w:r>
            <w:r w:rsidRPr="000605BC">
              <w:rPr>
                <w:rStyle w:val="FootnoteReference"/>
                <w:rFonts w:eastAsiaTheme="minorEastAsia" w:cs="Times New Roman"/>
                <w:sz w:val="20"/>
                <w:lang w:val="en-US" w:eastAsia="ja-JP"/>
              </w:rPr>
              <w:footnoteReference w:id="23"/>
            </w:r>
            <w:r w:rsidRPr="000605BC">
              <w:rPr>
                <w:rFonts w:eastAsiaTheme="minorEastAsia" w:cs="Times New Roman"/>
                <w:position w:val="13"/>
                <w:sz w:val="20"/>
                <w:lang w:val="en-US" w:eastAsia="ja-JP"/>
              </w:rPr>
              <w:t xml:space="preserve"> </w:t>
            </w:r>
            <w:r w:rsidRPr="000605BC">
              <w:rPr>
                <w:rFonts w:eastAsiaTheme="minorEastAsia" w:cs="Times New Roman"/>
                <w:sz w:val="20"/>
                <w:lang w:val="en-US" w:eastAsia="ja-JP"/>
              </w:rPr>
              <w:t xml:space="preserve">Specific investigative bodies and watchdog groups may exist to guard against corruption, and in many countries a robust media is able to </w:t>
            </w:r>
            <w:proofErr w:type="spellStart"/>
            <w:r w:rsidRPr="000605BC">
              <w:rPr>
                <w:rFonts w:eastAsiaTheme="minorEastAsia" w:cs="Times New Roman"/>
                <w:sz w:val="20"/>
                <w:lang w:val="en-US" w:eastAsia="ja-JP"/>
              </w:rPr>
              <w:t>publicise</w:t>
            </w:r>
            <w:proofErr w:type="spellEnd"/>
            <w:r w:rsidRPr="000605BC">
              <w:rPr>
                <w:rFonts w:eastAsiaTheme="minorEastAsia" w:cs="Times New Roman"/>
                <w:sz w:val="20"/>
                <w:lang w:val="en-US" w:eastAsia="ja-JP"/>
              </w:rPr>
              <w:t xml:space="preserve"> missteps by public officials. Some countries have effectively implemented FATF Recommendation 6 [now Recommendation 12], and require financial institutions to conduct enhanced due diligence for those customers who are foreign PEPs. PEPs have their career and reputation at stake if found to be in possession of unexplained wealth. In this environment, corrupt PEPs have a greater need than others to ensure that specific criminal assets cannot be identified with or traced back to them. Corporate vehicles thus provide one of the most effective ways to separate the origin of the illegal funds from the fact that the PEP controls it.</w:t>
            </w:r>
          </w:p>
          <w:p w14:paraId="6D2821D0" w14:textId="77777777" w:rsidR="00E31E4E" w:rsidRPr="000605BC" w:rsidRDefault="00E31E4E" w:rsidP="00957E98">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53. One example of this comes from the case of Augusto Pinochet, the former President of Chile. Pinochet was assisted by his US-based bank (and its U.K. branch) in setting up corporate vehicles in order to both hide his assets and shield them from the reach of asset freezing and confiscation or civil recovery orders. Specifically, Pinochet was able to set up offshore shell corporations and a trust in 1996 and 1998, even after a Spanish magistrate had filed a detailed indictment against Pinochet for crimes against humanity and issued world-wide freezing orders.</w:t>
            </w:r>
            <w:r w:rsidRPr="000605BC">
              <w:rPr>
                <w:rStyle w:val="FootnoteReference"/>
                <w:rFonts w:eastAsiaTheme="minorEastAsia" w:cs="Times New Roman"/>
                <w:sz w:val="20"/>
                <w:lang w:val="en-US" w:eastAsia="ja-JP"/>
              </w:rPr>
              <w:footnoteReference w:id="24"/>
            </w:r>
            <w:r w:rsidRPr="000605BC">
              <w:rPr>
                <w:rFonts w:eastAsiaTheme="minorEastAsia" w:cs="Times New Roman"/>
                <w:position w:val="13"/>
                <w:sz w:val="20"/>
                <w:lang w:val="en-US" w:eastAsia="ja-JP"/>
              </w:rPr>
              <w:t xml:space="preserve"> </w:t>
            </w:r>
            <w:r w:rsidRPr="000605BC">
              <w:rPr>
                <w:rFonts w:eastAsiaTheme="minorEastAsia" w:cs="Times New Roman"/>
                <w:sz w:val="20"/>
                <w:lang w:val="en-US" w:eastAsia="ja-JP"/>
              </w:rPr>
              <w:t>These corporations, established in jurisdictions that at the time had weak AML controls, were listed as the nominal owners of the US bank accounts and other investment vehicles that benefited Pinochet and his family. The bank’s KYC documentation listed only the corporations, not Pinochet, as the owners of the accounts, despite the fact that the bank knew that Pinochet was the beneficial owner (since the bank itself had set up the corporations). The bank has since been convicted of AML-related criminal charges.</w:t>
            </w:r>
          </w:p>
          <w:p w14:paraId="37A62492" w14:textId="77777777" w:rsidR="00E31E4E" w:rsidRPr="000605BC" w:rsidRDefault="00E31E4E" w:rsidP="00957E98">
            <w:pPr>
              <w:rPr>
                <w:rFonts w:eastAsiaTheme="minorEastAsia" w:cs="Times New Roman"/>
                <w:sz w:val="20"/>
                <w:lang w:val="en-US" w:eastAsia="ja-JP"/>
              </w:rPr>
            </w:pPr>
            <w:r w:rsidRPr="000605BC">
              <w:rPr>
                <w:rFonts w:eastAsiaTheme="minorEastAsia" w:cs="Times New Roman"/>
                <w:sz w:val="20"/>
                <w:lang w:val="en-US" w:eastAsia="ja-JP"/>
              </w:rPr>
              <w:t xml:space="preserve">54. According to the case study of </w:t>
            </w:r>
            <w:proofErr w:type="spellStart"/>
            <w:r w:rsidRPr="000605BC">
              <w:rPr>
                <w:rFonts w:eastAsiaTheme="minorEastAsia" w:cs="Times New Roman"/>
                <w:sz w:val="20"/>
                <w:lang w:val="en-US" w:eastAsia="ja-JP"/>
              </w:rPr>
              <w:t>Vladimiro</w:t>
            </w:r>
            <w:proofErr w:type="spellEnd"/>
            <w:r w:rsidRPr="000605BC">
              <w:rPr>
                <w:rFonts w:eastAsiaTheme="minorEastAsia" w:cs="Times New Roman"/>
                <w:sz w:val="20"/>
                <w:lang w:val="en-US" w:eastAsia="ja-JP"/>
              </w:rPr>
              <w:t xml:space="preserve"> </w:t>
            </w:r>
            <w:proofErr w:type="spellStart"/>
            <w:r w:rsidRPr="000605BC">
              <w:rPr>
                <w:rFonts w:eastAsiaTheme="minorEastAsia" w:cs="Times New Roman"/>
                <w:sz w:val="20"/>
                <w:lang w:val="en-US" w:eastAsia="ja-JP"/>
              </w:rPr>
              <w:t>Montesinos</w:t>
            </w:r>
            <w:proofErr w:type="spellEnd"/>
            <w:r w:rsidRPr="000605BC">
              <w:rPr>
                <w:rFonts w:eastAsiaTheme="minorEastAsia" w:cs="Times New Roman"/>
                <w:sz w:val="20"/>
                <w:lang w:val="en-US" w:eastAsia="ja-JP"/>
              </w:rPr>
              <w:t xml:space="preserve">, Peruvian President Fujimori’s security advisor, he used shell corporations very effectively to disguise and move money illegally obtained through </w:t>
            </w:r>
            <w:proofErr w:type="spellStart"/>
            <w:r w:rsidRPr="000605BC">
              <w:rPr>
                <w:rFonts w:eastAsiaTheme="minorEastAsia" w:cs="Times New Roman"/>
                <w:sz w:val="20"/>
                <w:lang w:val="en-US" w:eastAsia="ja-JP"/>
              </w:rPr>
              <w:t>defence</w:t>
            </w:r>
            <w:proofErr w:type="spellEnd"/>
            <w:r w:rsidRPr="000605BC">
              <w:rPr>
                <w:rFonts w:eastAsiaTheme="minorEastAsia" w:cs="Times New Roman"/>
                <w:sz w:val="20"/>
                <w:lang w:val="en-US" w:eastAsia="ja-JP"/>
              </w:rPr>
              <w:t xml:space="preserve"> contracts with the Peruvian government.</w:t>
            </w:r>
            <w:r w:rsidRPr="000605BC">
              <w:rPr>
                <w:rStyle w:val="FootnoteReference"/>
                <w:rFonts w:eastAsiaTheme="minorEastAsia" w:cs="Times New Roman"/>
                <w:sz w:val="20"/>
                <w:lang w:val="en-US" w:eastAsia="ja-JP"/>
              </w:rPr>
              <w:footnoteReference w:id="25"/>
            </w:r>
            <w:r w:rsidRPr="000605BC">
              <w:rPr>
                <w:rFonts w:eastAsiaTheme="minorEastAsia" w:cs="Times New Roman"/>
                <w:sz w:val="20"/>
                <w:lang w:val="en-US" w:eastAsia="ja-JP"/>
              </w:rPr>
              <w:t xml:space="preserve"> Such a scheme, involving several corporate vehicles in a number of jurisdictions with each vehicle holding bank accounts in yet other jurisdictions, is designed to frustrate any financial institution, regulator or government investigator attempting to unravel the scheme.</w:t>
            </w:r>
          </w:p>
          <w:p w14:paraId="7BD5C030" w14:textId="77777777" w:rsidR="00E31E4E" w:rsidRPr="000605BC" w:rsidRDefault="00E31E4E" w:rsidP="00957E98">
            <w:pPr>
              <w:pStyle w:val="ExcerptMarker"/>
              <w:spacing w:after="0"/>
              <w:rPr>
                <w:sz w:val="16"/>
              </w:rPr>
            </w:pPr>
            <w:r w:rsidRPr="000605BC">
              <w:rPr>
                <w:sz w:val="16"/>
              </w:rPr>
              <w:t>End of Excerpt</w:t>
            </w:r>
          </w:p>
        </w:tc>
      </w:tr>
    </w:tbl>
    <w:p w14:paraId="3B66061D" w14:textId="77777777" w:rsidR="00E31E4E" w:rsidRPr="000605BC" w:rsidRDefault="00E31E4E" w:rsidP="00E31E4E">
      <w:pPr>
        <w:pStyle w:val="Heading2"/>
        <w:rPr>
          <w:sz w:val="24"/>
        </w:rPr>
      </w:pPr>
      <w:r w:rsidRPr="000605BC">
        <w:rPr>
          <w:sz w:val="24"/>
        </w:rPr>
        <w:t>Use of Gatekeepers</w:t>
      </w:r>
    </w:p>
    <w:tbl>
      <w:tblPr>
        <w:tblStyle w:val="TableGrid"/>
        <w:tblW w:w="0" w:type="auto"/>
        <w:jc w:val="center"/>
        <w:tblCellMar>
          <w:top w:w="284" w:type="dxa"/>
          <w:left w:w="284" w:type="dxa"/>
          <w:bottom w:w="284" w:type="dxa"/>
          <w:right w:w="284" w:type="dxa"/>
        </w:tblCellMar>
        <w:tblLook w:val="04A0" w:firstRow="1" w:lastRow="0" w:firstColumn="1" w:lastColumn="0" w:noHBand="0" w:noVBand="1"/>
      </w:tblPr>
      <w:tblGrid>
        <w:gridCol w:w="8080"/>
      </w:tblGrid>
      <w:tr w:rsidR="00E31E4E" w:rsidRPr="000605BC" w14:paraId="4263C56A" w14:textId="77777777" w:rsidTr="00957E98">
        <w:trPr>
          <w:jc w:val="center"/>
        </w:trPr>
        <w:tc>
          <w:tcPr>
            <w:tcW w:w="9576" w:type="dxa"/>
            <w:tcBorders>
              <w:top w:val="nil"/>
              <w:left w:val="nil"/>
              <w:bottom w:val="nil"/>
              <w:right w:val="nil"/>
            </w:tcBorders>
            <w:shd w:val="clear" w:color="auto" w:fill="D9D9D9" w:themeFill="background1" w:themeFillShade="D9"/>
          </w:tcPr>
          <w:p w14:paraId="540565FE" w14:textId="77777777" w:rsidR="00E31E4E" w:rsidRPr="000605BC" w:rsidRDefault="00E31E4E" w:rsidP="00957E98">
            <w:pPr>
              <w:pStyle w:val="ExcerptMarker"/>
              <w:spacing w:before="0"/>
              <w:rPr>
                <w:sz w:val="16"/>
              </w:rPr>
            </w:pPr>
            <w:r w:rsidRPr="000605BC">
              <w:rPr>
                <w:sz w:val="16"/>
              </w:rPr>
              <w:t>Beginning of Excerpt</w:t>
            </w:r>
          </w:p>
          <w:p w14:paraId="6E26AAD8" w14:textId="77777777" w:rsidR="00E31E4E" w:rsidRPr="000605BC" w:rsidRDefault="00E31E4E" w:rsidP="00957E98">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55. Gatekeepers were significantly represented in the cases within the project team inventory. “Gatekeepers are, essentially, individuals that ‘protect the gates to the financial system’ through which potential users of the system, including launderers, must pass in order to be successful.”</w:t>
            </w:r>
            <w:r w:rsidRPr="000605BC">
              <w:rPr>
                <w:rStyle w:val="FootnoteReference"/>
                <w:rFonts w:eastAsiaTheme="minorEastAsia" w:cs="Times New Roman"/>
                <w:sz w:val="20"/>
                <w:lang w:val="en-US" w:eastAsia="ja-JP"/>
              </w:rPr>
              <w:footnoteReference w:id="26"/>
            </w:r>
            <w:r w:rsidRPr="000605BC">
              <w:rPr>
                <w:rFonts w:eastAsiaTheme="minorEastAsia" w:cs="Times New Roman"/>
                <w:position w:val="13"/>
                <w:sz w:val="20"/>
                <w:lang w:val="en-US" w:eastAsia="ja-JP"/>
              </w:rPr>
              <w:t xml:space="preserve"> </w:t>
            </w:r>
            <w:r w:rsidRPr="000605BC">
              <w:rPr>
                <w:rFonts w:eastAsiaTheme="minorEastAsia" w:cs="Times New Roman"/>
                <w:sz w:val="20"/>
                <w:lang w:val="en-US" w:eastAsia="ja-JP"/>
              </w:rPr>
              <w:t>The issue of gatekeepers has been addressed by FATF on several occasions, including WGTYP’s 2003- 2004 Report, which concluded:</w:t>
            </w:r>
          </w:p>
          <w:p w14:paraId="5C751E0C" w14:textId="77777777" w:rsidR="00E31E4E" w:rsidRPr="000605BC" w:rsidRDefault="00E31E4E" w:rsidP="00957E98">
            <w:pPr>
              <w:pStyle w:val="BlockQuote"/>
              <w:rPr>
                <w:sz w:val="20"/>
                <w:lang w:val="en-US" w:eastAsia="ja-JP"/>
              </w:rPr>
            </w:pPr>
            <w:r w:rsidRPr="000605BC">
              <w:rPr>
                <w:sz w:val="20"/>
                <w:lang w:val="en-US" w:eastAsia="ja-JP"/>
              </w:rPr>
              <w:t xml:space="preserve">Increasingly, money launderers seek out the advice or services of </w:t>
            </w:r>
            <w:proofErr w:type="spellStart"/>
            <w:r w:rsidRPr="000605BC">
              <w:rPr>
                <w:sz w:val="20"/>
                <w:lang w:val="en-US" w:eastAsia="ja-JP"/>
              </w:rPr>
              <w:t>specialised</w:t>
            </w:r>
            <w:proofErr w:type="spellEnd"/>
            <w:r w:rsidRPr="000605BC">
              <w:rPr>
                <w:sz w:val="20"/>
                <w:lang w:val="en-US" w:eastAsia="ja-JP"/>
              </w:rPr>
              <w:t xml:space="preserve"> professionals to help facilitate their financial operations. This trend toward the involvement of various legal and financial experts, or gatekeepers, in money laundering schemes has been documented previously by the FATF and appears to continue today. The work undertaken during this year‘s exercise confirmed and expanded the FATF’s understanding of specific characteristics of this sector and what makes it vulnerable to money laundering. The most significant cases each involve schemes of notable sophistication, which were possible only as a result of the assistance of skilled professionals to set up corporate structures to disguise the source and ownership of the money.</w:t>
            </w:r>
          </w:p>
          <w:p w14:paraId="140E9CB0" w14:textId="77777777" w:rsidR="00E31E4E" w:rsidRPr="000605BC" w:rsidRDefault="00E31E4E" w:rsidP="00957E98">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56. In 2010, FATF published its Global Money Laundering and Terrorist Financing Threat Assessment, which described gatekeepers as a “common element” in complex money laundering schemes. The report noted that gatekeepers’ skills are important in creating legal structures that could be used to launder money and for their ability to manage and perform transactions efficiently and to avoid detection. Recommendation 12 [now Recommendation 22] acknowledges the role that such gatekeepers can play by recommending that such individuals engage in due diligence and record keeping when engaged in certain activities.</w:t>
            </w:r>
          </w:p>
          <w:p w14:paraId="0F9DB5C0" w14:textId="77777777" w:rsidR="00E31E4E" w:rsidRPr="000605BC" w:rsidRDefault="00E31E4E" w:rsidP="00957E98">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 xml:space="preserve">57. The review of the cases illustrates the variety of ways in which gatekeepers, in particular lawyers, </w:t>
            </w:r>
            <w:proofErr w:type="gramStart"/>
            <w:r w:rsidRPr="000605BC">
              <w:rPr>
                <w:rFonts w:eastAsiaTheme="minorEastAsia" w:cs="Times New Roman"/>
                <w:sz w:val="20"/>
                <w:lang w:val="en-US" w:eastAsia="ja-JP"/>
              </w:rPr>
              <w:t>are</w:t>
            </w:r>
            <w:proofErr w:type="gramEnd"/>
            <w:r w:rsidRPr="000605BC">
              <w:rPr>
                <w:rFonts w:eastAsiaTheme="minorEastAsia" w:cs="Times New Roman"/>
                <w:sz w:val="20"/>
                <w:lang w:val="en-US" w:eastAsia="ja-JP"/>
              </w:rPr>
              <w:t xml:space="preserve"> used to launder the proceeds of corruption. They have been used to create corporate vehicles, open bank accounts, transfer proceeds, purchase property, courier cash, and take other means to bypass AML controls. In addition, lawyers have subsequently used rules of attorney-client privilege to shield the identity of corrupt PEPs.</w:t>
            </w:r>
          </w:p>
          <w:p w14:paraId="305247DD" w14:textId="77777777" w:rsidR="00E31E4E" w:rsidRPr="000605BC" w:rsidRDefault="00E31E4E" w:rsidP="00957E98">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58. West African PEPs: In four separate case studies of West African PEPs and their families, the US Senate discovered that lawyers were used to create corporate vehicles, open bank accounts and purchase property with the express purpose of bypassing AML controls set up to screen for PEPs.</w:t>
            </w:r>
            <w:r w:rsidRPr="000605BC">
              <w:rPr>
                <w:rStyle w:val="FootnoteReference"/>
                <w:rFonts w:eastAsiaTheme="minorEastAsia" w:cs="Times New Roman"/>
                <w:sz w:val="20"/>
                <w:lang w:val="en-US" w:eastAsia="ja-JP"/>
              </w:rPr>
              <w:footnoteReference w:id="27"/>
            </w:r>
            <w:r w:rsidRPr="000605BC">
              <w:rPr>
                <w:rFonts w:eastAsiaTheme="minorEastAsia" w:cs="Times New Roman"/>
                <w:position w:val="13"/>
                <w:sz w:val="20"/>
                <w:lang w:val="en-US" w:eastAsia="ja-JP"/>
              </w:rPr>
              <w:t xml:space="preserve"> </w:t>
            </w:r>
            <w:r w:rsidRPr="000605BC">
              <w:rPr>
                <w:rFonts w:eastAsiaTheme="minorEastAsia" w:cs="Times New Roman"/>
                <w:sz w:val="20"/>
                <w:lang w:val="en-US" w:eastAsia="ja-JP"/>
              </w:rPr>
              <w:t xml:space="preserve">For example, the son of the President of one West African nation, who himself was a minister within the government, wished to purchase real estate and aircraft within the United States. To do so, a lawyer for the PEP opened bank accounts there. However, because of US banking rules requiring enhanced level of due diligence for funds moving through those accounts, several US banks closed the accounts on the belief that they were being used to conduct suspicious transactions. In response, the lawyers for the PEP would deposit incoming funds into attorney-client or law office accounts, and then transfer the money into newly-created accounts for the PEP. Due to the fact that the lawyer’s accounts were not subject to the same enhanced due diligence as the PEP, the lawyer was able to circumvent the enhanced AML/CFT measures. Ultimately, at least two banks were able to identify the fact that the attorney’s accounts were being </w:t>
            </w:r>
            <w:proofErr w:type="spellStart"/>
            <w:r w:rsidRPr="000605BC">
              <w:rPr>
                <w:rFonts w:eastAsiaTheme="minorEastAsia" w:cs="Times New Roman"/>
                <w:sz w:val="20"/>
                <w:lang w:val="en-US" w:eastAsia="ja-JP"/>
              </w:rPr>
              <w:t>utilised</w:t>
            </w:r>
            <w:proofErr w:type="spellEnd"/>
            <w:r w:rsidRPr="000605BC">
              <w:rPr>
                <w:rFonts w:eastAsiaTheme="minorEastAsia" w:cs="Times New Roman"/>
                <w:sz w:val="20"/>
                <w:lang w:val="en-US" w:eastAsia="ja-JP"/>
              </w:rPr>
              <w:t xml:space="preserve"> in this manner and closed the attorney accounts, but not before hundreds of thousands of dollars had passed through.</w:t>
            </w:r>
          </w:p>
          <w:p w14:paraId="5F9BBD34" w14:textId="77777777" w:rsidR="00E31E4E" w:rsidRPr="000605BC" w:rsidRDefault="00E31E4E" w:rsidP="00957E98">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 xml:space="preserve">59. </w:t>
            </w:r>
            <w:r w:rsidRPr="000605BC">
              <w:rPr>
                <w:rFonts w:eastAsiaTheme="minorEastAsia" w:cs="Times New Roman"/>
                <w:sz w:val="20"/>
                <w:u w:val="single"/>
                <w:lang w:val="en-US" w:eastAsia="ja-JP"/>
              </w:rPr>
              <w:t>Duvalier case:</w:t>
            </w:r>
            <w:r w:rsidRPr="000605BC">
              <w:rPr>
                <w:rFonts w:eastAsiaTheme="minorEastAsia" w:cs="Times New Roman"/>
                <w:sz w:val="20"/>
                <w:lang w:val="en-US" w:eastAsia="ja-JP"/>
              </w:rPr>
              <w:t xml:space="preserve"> Haitian government assets diverted by Jean-Claude Duvalier were likewise disguised by the use of lawyers as intermediaries, who would hold accounts for the Duvalier family. This, according to the UK court that examined the matter, had the added advantage of the use of professional secrecy to avoid identifying the client.</w:t>
            </w:r>
            <w:r w:rsidRPr="000605BC">
              <w:rPr>
                <w:rStyle w:val="FootnoteReference"/>
                <w:rFonts w:eastAsiaTheme="minorEastAsia" w:cs="Times New Roman"/>
                <w:sz w:val="20"/>
                <w:lang w:val="en-US" w:eastAsia="ja-JP"/>
              </w:rPr>
              <w:footnoteReference w:id="28"/>
            </w:r>
            <w:r w:rsidRPr="000605BC">
              <w:rPr>
                <w:rFonts w:eastAsiaTheme="minorEastAsia" w:cs="Times New Roman"/>
                <w:position w:val="13"/>
                <w:sz w:val="20"/>
                <w:lang w:val="en-US" w:eastAsia="ja-JP"/>
              </w:rPr>
              <w:t xml:space="preserve"> </w:t>
            </w:r>
            <w:r w:rsidRPr="000605BC">
              <w:rPr>
                <w:rFonts w:eastAsiaTheme="minorEastAsia" w:cs="Times New Roman"/>
                <w:sz w:val="20"/>
                <w:lang w:val="en-US" w:eastAsia="ja-JP"/>
              </w:rPr>
              <w:t>The court opinion identified numerous accounts held by law firms for Duvalier and his family, both in the UK and in Jersey. The use of professional secrecy was used to attempt to prevent an inquiry into the nature of the funds.</w:t>
            </w:r>
          </w:p>
          <w:p w14:paraId="74B65E83" w14:textId="77777777" w:rsidR="00E31E4E" w:rsidRPr="000605BC" w:rsidRDefault="00E31E4E" w:rsidP="00957E98">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 xml:space="preserve">60. </w:t>
            </w:r>
            <w:proofErr w:type="spellStart"/>
            <w:r w:rsidRPr="000605BC">
              <w:rPr>
                <w:rFonts w:eastAsiaTheme="minorEastAsia" w:cs="Times New Roman"/>
                <w:sz w:val="20"/>
                <w:u w:val="single"/>
                <w:lang w:val="en-US" w:eastAsia="ja-JP"/>
              </w:rPr>
              <w:t>Chiluba</w:t>
            </w:r>
            <w:proofErr w:type="spellEnd"/>
            <w:r w:rsidRPr="000605BC">
              <w:rPr>
                <w:rFonts w:eastAsiaTheme="minorEastAsia" w:cs="Times New Roman"/>
                <w:sz w:val="20"/>
                <w:u w:val="single"/>
                <w:lang w:val="en-US" w:eastAsia="ja-JP"/>
              </w:rPr>
              <w:t xml:space="preserve"> case</w:t>
            </w:r>
            <w:r w:rsidRPr="000605BC">
              <w:rPr>
                <w:rFonts w:eastAsiaTheme="minorEastAsia" w:cs="Times New Roman"/>
                <w:sz w:val="20"/>
                <w:lang w:val="en-US" w:eastAsia="ja-JP"/>
              </w:rPr>
              <w:t>: Similarly, in a civil recovery suit instituted in the UK against the former President of Zambia, the court, in its factual findings, described in great detail the use of certain lawyers and law firms to distribute and disguise money embezzled from the coffers of the Zambian government.</w:t>
            </w:r>
            <w:r w:rsidRPr="000605BC">
              <w:rPr>
                <w:rStyle w:val="FootnoteReference"/>
                <w:rFonts w:eastAsiaTheme="minorEastAsia" w:cs="Times New Roman"/>
                <w:sz w:val="20"/>
                <w:lang w:val="en-US" w:eastAsia="ja-JP"/>
              </w:rPr>
              <w:footnoteReference w:id="29"/>
            </w:r>
            <w:r w:rsidRPr="000605BC">
              <w:rPr>
                <w:rFonts w:eastAsiaTheme="minorEastAsia" w:cs="Times New Roman"/>
                <w:position w:val="13"/>
                <w:sz w:val="20"/>
                <w:lang w:val="en-US" w:eastAsia="ja-JP"/>
              </w:rPr>
              <w:t xml:space="preserve"> </w:t>
            </w:r>
            <w:r w:rsidRPr="000605BC">
              <w:rPr>
                <w:rFonts w:eastAsiaTheme="minorEastAsia" w:cs="Times New Roman"/>
                <w:sz w:val="20"/>
                <w:lang w:val="en-US" w:eastAsia="ja-JP"/>
              </w:rPr>
              <w:t>Special corporate vehicles had been set up, purportedly for use by the country’s security services, and government funds were transferred to accounts held by those entities. Thereafter, millions of dollars were transferred to the client accounts of certain law firms, from which the lawyers would then make certain disbursals upon instructions from complicit PEPs. These disbursals were to other accounts located both in Zambia and in other countries, as well as payments for personal expenses and asset acquisitions for the government officials and their families. As the Court noted in its opinion, “There is no reason for his client account to be used for any genuine currency transactions. This is … money which has been traced back to [the Zambian Ministry of Finance]. It is a classic example of washing money through [the attorney’s] client account to hide its origins and to clothe it with an aura of respectability.”</w:t>
            </w:r>
          </w:p>
          <w:p w14:paraId="1354B3A4" w14:textId="77777777" w:rsidR="00E31E4E" w:rsidRPr="000605BC" w:rsidRDefault="00E31E4E" w:rsidP="00957E98">
            <w:pPr>
              <w:rPr>
                <w:rFonts w:eastAsiaTheme="minorEastAsia" w:cs="Times New Roman"/>
                <w:sz w:val="20"/>
                <w:lang w:val="en-US" w:eastAsia="ja-JP"/>
              </w:rPr>
            </w:pPr>
            <w:r w:rsidRPr="000605BC">
              <w:rPr>
                <w:rFonts w:eastAsiaTheme="minorEastAsia" w:cs="Times New Roman"/>
                <w:sz w:val="20"/>
                <w:lang w:val="en-US" w:eastAsia="ja-JP"/>
              </w:rPr>
              <w:t>61. The court also noted an instance in which the PEP’s lawyer withdrew GBP 30 000 – an amount that vastly exceeded the President’s annual salary – and delivered it personally to the President. Moving the money through the lawyer’s accounts disguised the fact that the money originated from government accounts, and further hampered the ability to trace the proceeds. The court noted that the lawyers involved did not make any efforts to determine the source or the purpose of the money: “Yet [the lawyer] made no enquiry as to how the President could simply take such a large amount of money. An honest solicitor would not participate in such a transaction without a full understanding of its nature so that he could be satisfied it was lawful. [The lawyer] did not so satisfy himself because he was unwilling to ask the question because he was afraid of the answer.” Additionally, the lawyers involved formed foreign shell corporations, which were then used to purchase properties with government money for the benefit of corrupt officials.</w:t>
            </w:r>
          </w:p>
          <w:p w14:paraId="337C4B5C" w14:textId="77777777" w:rsidR="00E31E4E" w:rsidRPr="000605BC" w:rsidRDefault="00E31E4E" w:rsidP="00957E98">
            <w:pPr>
              <w:pStyle w:val="ExcerptMarker"/>
              <w:spacing w:after="0"/>
              <w:rPr>
                <w:sz w:val="16"/>
              </w:rPr>
            </w:pPr>
            <w:r w:rsidRPr="000605BC">
              <w:rPr>
                <w:sz w:val="16"/>
              </w:rPr>
              <w:t>End of Excerpt</w:t>
            </w:r>
          </w:p>
        </w:tc>
      </w:tr>
    </w:tbl>
    <w:p w14:paraId="089947CE" w14:textId="77777777" w:rsidR="00E31E4E" w:rsidRPr="000605BC" w:rsidRDefault="00E31E4E" w:rsidP="00E31E4E">
      <w:pPr>
        <w:pStyle w:val="Heading2"/>
        <w:rPr>
          <w:sz w:val="24"/>
        </w:rPr>
      </w:pPr>
      <w:r w:rsidRPr="000605BC">
        <w:rPr>
          <w:sz w:val="24"/>
        </w:rPr>
        <w:t>Use of Domestic Financial Institutions</w:t>
      </w:r>
    </w:p>
    <w:tbl>
      <w:tblPr>
        <w:tblStyle w:val="TableGrid"/>
        <w:tblW w:w="0" w:type="auto"/>
        <w:jc w:val="center"/>
        <w:tblCellMar>
          <w:top w:w="284" w:type="dxa"/>
          <w:left w:w="284" w:type="dxa"/>
          <w:bottom w:w="284" w:type="dxa"/>
          <w:right w:w="284" w:type="dxa"/>
        </w:tblCellMar>
        <w:tblLook w:val="04A0" w:firstRow="1" w:lastRow="0" w:firstColumn="1" w:lastColumn="0" w:noHBand="0" w:noVBand="1"/>
      </w:tblPr>
      <w:tblGrid>
        <w:gridCol w:w="8080"/>
      </w:tblGrid>
      <w:tr w:rsidR="00E31E4E" w:rsidRPr="000605BC" w14:paraId="276B73F7" w14:textId="77777777" w:rsidTr="00957E98">
        <w:trPr>
          <w:jc w:val="center"/>
        </w:trPr>
        <w:tc>
          <w:tcPr>
            <w:tcW w:w="9576" w:type="dxa"/>
            <w:tcBorders>
              <w:top w:val="nil"/>
              <w:left w:val="nil"/>
              <w:bottom w:val="nil"/>
              <w:right w:val="nil"/>
            </w:tcBorders>
            <w:shd w:val="clear" w:color="auto" w:fill="D9D9D9" w:themeFill="background1" w:themeFillShade="D9"/>
          </w:tcPr>
          <w:p w14:paraId="7B646A92" w14:textId="77777777" w:rsidR="00E31E4E" w:rsidRPr="000605BC" w:rsidRDefault="00E31E4E" w:rsidP="00957E98">
            <w:pPr>
              <w:pStyle w:val="ExcerptMarker"/>
              <w:spacing w:before="0"/>
              <w:rPr>
                <w:sz w:val="16"/>
              </w:rPr>
            </w:pPr>
            <w:r w:rsidRPr="000605BC">
              <w:rPr>
                <w:sz w:val="16"/>
              </w:rPr>
              <w:t>Beginning of Excerpt</w:t>
            </w:r>
          </w:p>
          <w:p w14:paraId="565960D8" w14:textId="77777777" w:rsidR="00E31E4E" w:rsidRPr="000605BC" w:rsidRDefault="00E31E4E" w:rsidP="00957E98">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62. Much of the focus on PEPs to date has been to ensure that foreign PEPs are subject to enhanced due diligence regarding the source of funds deposited into financial institutions – in other words, measures to prevent corrupt PEPs from laundering their proceeds in foreign bank accounts. For example, the Third EU Directive requires enhanced due diligence only for foreign PEPs. The UNCAC, however, does not distinguish between foreign PEPs and those prominent political figures within the institution’s own country. The World Bank policy paper on PEPs notes that many financial institutions do not distinguish between foreign and domestic PEPs.</w:t>
            </w:r>
            <w:r w:rsidRPr="000605BC">
              <w:rPr>
                <w:rStyle w:val="FootnoteReference"/>
                <w:rFonts w:eastAsiaTheme="minorEastAsia" w:cs="Times New Roman"/>
                <w:sz w:val="20"/>
                <w:lang w:val="en-US" w:eastAsia="ja-JP"/>
              </w:rPr>
              <w:footnoteReference w:id="30"/>
            </w:r>
          </w:p>
          <w:p w14:paraId="3DE51769" w14:textId="77777777" w:rsidR="00E31E4E" w:rsidRPr="000605BC" w:rsidRDefault="00E31E4E" w:rsidP="00957E98">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63. The Interpretive Note to Recommendation 6 encourages jurisdictions to extend its EDD requirements to domestic PEPs as well. Recently the FATF has discussed the degree to which domestic PEPs should be subject to enhanced due diligence, and in addressing the issue, has recommended that domestic PEPs continue to be considered on a risk-based approach, and that foreign PEPs continue to receive enhanced due diligence.</w:t>
            </w:r>
            <w:r w:rsidRPr="000605BC">
              <w:rPr>
                <w:rStyle w:val="FootnoteReference"/>
                <w:rFonts w:eastAsiaTheme="minorEastAsia" w:cs="Times New Roman"/>
                <w:sz w:val="20"/>
                <w:lang w:val="en-US" w:eastAsia="ja-JP"/>
              </w:rPr>
              <w:footnoteReference w:id="31"/>
            </w:r>
          </w:p>
          <w:p w14:paraId="18BFE1ED" w14:textId="77777777" w:rsidR="00E31E4E" w:rsidRPr="000605BC" w:rsidRDefault="00E31E4E" w:rsidP="00957E98">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 xml:space="preserve">64. Some typology exercises the project team reviewed have concluded that domestic PEPs may present a significant risk for corruption-related money laundering. Professor Jason Sharman, in summarizing the ADB/OECD paper on PEPs, </w:t>
            </w:r>
            <w:proofErr w:type="spellStart"/>
            <w:r w:rsidRPr="000605BC">
              <w:rPr>
                <w:rFonts w:eastAsiaTheme="minorEastAsia" w:cs="Times New Roman"/>
                <w:sz w:val="20"/>
                <w:lang w:val="en-US" w:eastAsia="ja-JP"/>
              </w:rPr>
              <w:t>characterised</w:t>
            </w:r>
            <w:proofErr w:type="spellEnd"/>
            <w:r w:rsidRPr="000605BC">
              <w:rPr>
                <w:rFonts w:eastAsiaTheme="minorEastAsia" w:cs="Times New Roman"/>
                <w:sz w:val="20"/>
                <w:lang w:val="en-US" w:eastAsia="ja-JP"/>
              </w:rPr>
              <w:t xml:space="preserve"> the notion that domestic PEPs do not present a threat of money laundering as a “myth.”</w:t>
            </w:r>
            <w:r w:rsidRPr="000605BC">
              <w:rPr>
                <w:rStyle w:val="FootnoteReference"/>
                <w:rFonts w:eastAsiaTheme="minorEastAsia" w:cs="Times New Roman"/>
                <w:sz w:val="20"/>
                <w:lang w:val="en-US" w:eastAsia="ja-JP"/>
              </w:rPr>
              <w:footnoteReference w:id="32"/>
            </w:r>
            <w:r w:rsidRPr="000605BC">
              <w:rPr>
                <w:rFonts w:eastAsiaTheme="minorEastAsia" w:cs="Times New Roman"/>
                <w:position w:val="13"/>
                <w:sz w:val="20"/>
                <w:lang w:val="en-US" w:eastAsia="ja-JP"/>
              </w:rPr>
              <w:t xml:space="preserve"> </w:t>
            </w:r>
            <w:r w:rsidRPr="000605BC">
              <w:rPr>
                <w:rFonts w:eastAsiaTheme="minorEastAsia" w:cs="Times New Roman"/>
                <w:sz w:val="20"/>
                <w:lang w:val="en-US" w:eastAsia="ja-JP"/>
              </w:rPr>
              <w:t>The project team’s analysis of the case study inventory found that PEPs are not only using foreign financial institutions to transfer and hide the proceeds of corruption. PEPs are also using domestic financial institutions to launder funds.</w:t>
            </w:r>
          </w:p>
          <w:p w14:paraId="144AFF37" w14:textId="77777777" w:rsidR="00E31E4E" w:rsidRPr="000605BC" w:rsidRDefault="00E31E4E" w:rsidP="00957E98">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65. Perhaps the most obvious example of this involves President Joseph Estrada of the Philippines, who was convicted in his country of the crime of plunder. The court’s ruling in that case noted that a significant portion of the money that Estrada collected as a result of kickbacks from illegal gambling and tobacco excise taxes ultimately ended up at a bank account in the Philippines in the name of an alias, Jose Velarde. The court noted that Estrada used the account and would simply sign Velarde’s name to deposit slips, oftentimes in the presence of bank personnel. Money that went through that account was used for various asset purchases, including real estate for the benefit of Estrada.</w:t>
            </w:r>
            <w:r w:rsidRPr="000605BC">
              <w:rPr>
                <w:rStyle w:val="FootnoteReference"/>
                <w:rFonts w:eastAsiaTheme="minorEastAsia" w:cs="Times New Roman"/>
                <w:sz w:val="20"/>
                <w:lang w:val="en-US" w:eastAsia="ja-JP"/>
              </w:rPr>
              <w:footnoteReference w:id="33"/>
            </w:r>
          </w:p>
          <w:p w14:paraId="1C2DAAB6" w14:textId="77777777" w:rsidR="00E31E4E" w:rsidRPr="000605BC" w:rsidRDefault="00E31E4E" w:rsidP="00957E98">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66. The US Senate, in its 2010 investigation of the use of US banks to launder corruption proceeds, described in two different reports the banking and asset purchase activities of the President of a West African oil producing country as well as that of his son, who was also a high-level government official. The son, for example, in purchasing in cash a house in the United States for USD 30 million, wire transferred money, in six different USD 6 million tranches, from a personal bank account he held in his own country, through an account in France and then to the United States. The son had an official government monthly salary of approximately USD 6 000.</w:t>
            </w:r>
          </w:p>
          <w:p w14:paraId="1EFAD7C5" w14:textId="77777777" w:rsidR="00E31E4E" w:rsidRPr="000605BC" w:rsidRDefault="00E31E4E" w:rsidP="00957E98">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 xml:space="preserve">67. The case involving assets stolen by Joshua </w:t>
            </w:r>
            <w:proofErr w:type="spellStart"/>
            <w:r w:rsidRPr="000605BC">
              <w:rPr>
                <w:rFonts w:eastAsiaTheme="minorEastAsia" w:cs="Times New Roman"/>
                <w:sz w:val="20"/>
                <w:lang w:val="en-US" w:eastAsia="ja-JP"/>
              </w:rPr>
              <w:t>Chibi</w:t>
            </w:r>
            <w:proofErr w:type="spellEnd"/>
            <w:r w:rsidRPr="000605BC">
              <w:rPr>
                <w:rFonts w:eastAsiaTheme="minorEastAsia" w:cs="Times New Roman"/>
                <w:sz w:val="20"/>
                <w:lang w:val="en-US" w:eastAsia="ja-JP"/>
              </w:rPr>
              <w:t xml:space="preserve"> </w:t>
            </w:r>
            <w:proofErr w:type="spellStart"/>
            <w:r w:rsidRPr="000605BC">
              <w:rPr>
                <w:rFonts w:eastAsiaTheme="minorEastAsia" w:cs="Times New Roman"/>
                <w:sz w:val="20"/>
                <w:lang w:val="en-US" w:eastAsia="ja-JP"/>
              </w:rPr>
              <w:t>Dariye</w:t>
            </w:r>
            <w:proofErr w:type="spellEnd"/>
            <w:r w:rsidRPr="000605BC">
              <w:rPr>
                <w:rFonts w:eastAsiaTheme="minorEastAsia" w:cs="Times New Roman"/>
                <w:sz w:val="20"/>
                <w:lang w:val="en-US" w:eastAsia="ja-JP"/>
              </w:rPr>
              <w:t xml:space="preserve"> also highlight the use of domestic accounts in at least the initial stages of a more complex scheme. </w:t>
            </w:r>
            <w:proofErr w:type="spellStart"/>
            <w:r w:rsidRPr="000605BC">
              <w:rPr>
                <w:rFonts w:eastAsiaTheme="minorEastAsia" w:cs="Times New Roman"/>
                <w:sz w:val="20"/>
                <w:lang w:val="en-US" w:eastAsia="ja-JP"/>
              </w:rPr>
              <w:t>Dariye</w:t>
            </w:r>
            <w:proofErr w:type="spellEnd"/>
            <w:r w:rsidRPr="000605BC">
              <w:rPr>
                <w:rFonts w:eastAsiaTheme="minorEastAsia" w:cs="Times New Roman"/>
                <w:sz w:val="20"/>
                <w:lang w:val="en-US" w:eastAsia="ja-JP"/>
              </w:rPr>
              <w:t xml:space="preserve">, the Governor of Plateau State in the Federal Republic of Nigeria from May 1999 through May 2007, embezzled money belonging to the state in several ways. Checks issued from the central bank of Nigeria to Plateau State for ecological works were received by </w:t>
            </w:r>
            <w:proofErr w:type="spellStart"/>
            <w:r w:rsidRPr="000605BC">
              <w:rPr>
                <w:rFonts w:eastAsiaTheme="minorEastAsia" w:cs="Times New Roman"/>
                <w:sz w:val="20"/>
                <w:lang w:val="en-US" w:eastAsia="ja-JP"/>
              </w:rPr>
              <w:t>Dariye</w:t>
            </w:r>
            <w:proofErr w:type="spellEnd"/>
            <w:r w:rsidRPr="000605BC">
              <w:rPr>
                <w:rFonts w:eastAsiaTheme="minorEastAsia" w:cs="Times New Roman"/>
                <w:sz w:val="20"/>
                <w:lang w:val="en-US" w:eastAsia="ja-JP"/>
              </w:rPr>
              <w:t xml:space="preserve"> and, rather than being deposited into a government account, were instead diverted to an account in Nigeria </w:t>
            </w:r>
            <w:proofErr w:type="spellStart"/>
            <w:r w:rsidRPr="000605BC">
              <w:rPr>
                <w:rFonts w:eastAsiaTheme="minorEastAsia" w:cs="Times New Roman"/>
                <w:sz w:val="20"/>
                <w:lang w:val="en-US" w:eastAsia="ja-JP"/>
              </w:rPr>
              <w:t>Dariye</w:t>
            </w:r>
            <w:proofErr w:type="spellEnd"/>
            <w:r w:rsidRPr="000605BC">
              <w:rPr>
                <w:rFonts w:eastAsiaTheme="minorEastAsia" w:cs="Times New Roman"/>
                <w:sz w:val="20"/>
                <w:lang w:val="en-US" w:eastAsia="ja-JP"/>
              </w:rPr>
              <w:t xml:space="preserve"> had established using an alias. The money was then transferred to accounts held in </w:t>
            </w:r>
            <w:proofErr w:type="spellStart"/>
            <w:r w:rsidRPr="000605BC">
              <w:rPr>
                <w:rFonts w:eastAsiaTheme="minorEastAsia" w:cs="Times New Roman"/>
                <w:sz w:val="20"/>
                <w:lang w:val="en-US" w:eastAsia="ja-JP"/>
              </w:rPr>
              <w:t>Dariye’s</w:t>
            </w:r>
            <w:proofErr w:type="spellEnd"/>
            <w:r w:rsidRPr="000605BC">
              <w:rPr>
                <w:rFonts w:eastAsiaTheme="minorEastAsia" w:cs="Times New Roman"/>
                <w:sz w:val="20"/>
                <w:lang w:val="en-US" w:eastAsia="ja-JP"/>
              </w:rPr>
              <w:t xml:space="preserve"> own name in the UK. Likewise, </w:t>
            </w:r>
            <w:proofErr w:type="spellStart"/>
            <w:r w:rsidRPr="000605BC">
              <w:rPr>
                <w:rFonts w:eastAsiaTheme="minorEastAsia" w:cs="Times New Roman"/>
                <w:sz w:val="20"/>
                <w:lang w:val="en-US" w:eastAsia="ja-JP"/>
              </w:rPr>
              <w:t>Dariye</w:t>
            </w:r>
            <w:proofErr w:type="spellEnd"/>
            <w:r w:rsidRPr="000605BC">
              <w:rPr>
                <w:rFonts w:eastAsiaTheme="minorEastAsia" w:cs="Times New Roman"/>
                <w:sz w:val="20"/>
                <w:lang w:val="en-US" w:eastAsia="ja-JP"/>
              </w:rPr>
              <w:t xml:space="preserve"> purchased real estate by diverting money destined for a Plateau State account into an account in Nigeria in the name of a corporation he controlled. That corporation, in turn, transferred money to UK accounts in the corporation’s name to effectuate the real estate purchase.</w:t>
            </w:r>
            <w:r w:rsidRPr="000605BC">
              <w:rPr>
                <w:rStyle w:val="FootnoteReference"/>
                <w:rFonts w:eastAsiaTheme="minorEastAsia" w:cs="Times New Roman"/>
                <w:sz w:val="20"/>
                <w:lang w:val="en-US" w:eastAsia="ja-JP"/>
              </w:rPr>
              <w:footnoteReference w:id="34"/>
            </w:r>
          </w:p>
          <w:p w14:paraId="18345744" w14:textId="77777777" w:rsidR="00E31E4E" w:rsidRPr="000605BC" w:rsidRDefault="00E31E4E" w:rsidP="00957E98">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68. Raul Salinas, the brother of the President of Mexico, likewise was able to move money out of his home country by using the Mexican branch of a US-based international bank. A US-based bank official introduced Salinas’ then-fiancée to a bank official at the Mexico City branch of the bank. The fiancée, using an alias, would deliver cashier’s checks to the branch, where they were converted to dollars and wired to US accounts.</w:t>
            </w:r>
            <w:r w:rsidRPr="000605BC">
              <w:rPr>
                <w:rStyle w:val="FootnoteReference"/>
                <w:rFonts w:eastAsiaTheme="minorEastAsia" w:cs="Times New Roman"/>
                <w:sz w:val="20"/>
                <w:lang w:val="en-US" w:eastAsia="ja-JP"/>
              </w:rPr>
              <w:footnoteReference w:id="35"/>
            </w:r>
          </w:p>
          <w:p w14:paraId="2B04961C" w14:textId="77777777" w:rsidR="00E31E4E" w:rsidRPr="000605BC" w:rsidRDefault="00E31E4E" w:rsidP="00957E98">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69. PEPs need accounts in their own country in which to fund their lifestyles, and there have been examples in which the PEP, after secreting money overseas, then moved the money back to his home country. The US Senate, in its 2004 investigation of corruption-related money laundering, provided one such example. Augusto Pinochet of Chile, notwithstanding a modest official government salary, was able to secret millions of dollars in UK and US accounts, often through the use of aliases and family members. In 1998 a Spanish investigating magistrate instituted worldwide asset freeze orders as a result of an investigation into Pinochet’s role in human rights abuses and other crimes and was subsequently facing charges in Spain and Chile. Pinochet was able however, to purchase USD 1.9 million in cashier‘s checks (in USD 50 000 increments) from his account in the US, which he was thus able to cash using banks in Chile.</w:t>
            </w:r>
            <w:r w:rsidRPr="000605BC">
              <w:rPr>
                <w:rStyle w:val="FootnoteReference"/>
                <w:rFonts w:eastAsiaTheme="minorEastAsia" w:cs="Times New Roman"/>
                <w:sz w:val="20"/>
                <w:lang w:val="en-US" w:eastAsia="ja-JP"/>
              </w:rPr>
              <w:footnoteReference w:id="36"/>
            </w:r>
          </w:p>
          <w:p w14:paraId="69FF71CF" w14:textId="77777777" w:rsidR="00E31E4E" w:rsidRPr="000605BC" w:rsidRDefault="00E31E4E" w:rsidP="00957E98">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70. That corrupt PEPs would seek to move money outside of their home jurisdiction is at the root of Recommendation 6, requiring enhanced due diligence for foreign PEPs. An examination of the corruption case studies revealed that in nearly every case foreign bank accounts were being used in part of the scheme. Beginning with one of the earliest cases, Marcos of the Philippines, through the significant and egregious activity of Sani Abacha and a number of Nigerian governors, and most recently with the US Senate’s study of three West African heads of state, corrupt PEPs nearly universally attempt to move their money outside of their home country. This money is typically moved from developing countries to financial institutions in developed countries or those with a stable climate for investment.</w:t>
            </w:r>
          </w:p>
          <w:p w14:paraId="07BDF08A" w14:textId="77777777" w:rsidR="00E31E4E" w:rsidRPr="000605BC" w:rsidRDefault="00E31E4E" w:rsidP="00957E98">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 xml:space="preserve">71. Of course, corruption is not restricted to developing countries. The project team analyzed the Nino </w:t>
            </w:r>
            <w:proofErr w:type="spellStart"/>
            <w:r w:rsidRPr="000605BC">
              <w:rPr>
                <w:rFonts w:eastAsiaTheme="minorEastAsia" w:cs="Times New Roman"/>
                <w:sz w:val="20"/>
                <w:lang w:val="en-US" w:eastAsia="ja-JP"/>
              </w:rPr>
              <w:t>Rovelli</w:t>
            </w:r>
            <w:proofErr w:type="spellEnd"/>
            <w:r w:rsidRPr="000605BC">
              <w:rPr>
                <w:rFonts w:eastAsiaTheme="minorEastAsia" w:cs="Times New Roman"/>
                <w:sz w:val="20"/>
                <w:lang w:val="en-US" w:eastAsia="ja-JP"/>
              </w:rPr>
              <w:t xml:space="preserve"> judicial corruption matter, for example.</w:t>
            </w:r>
            <w:r w:rsidRPr="000605BC">
              <w:rPr>
                <w:rStyle w:val="FootnoteReference"/>
                <w:rFonts w:eastAsiaTheme="minorEastAsia" w:cs="Times New Roman"/>
                <w:sz w:val="20"/>
                <w:lang w:val="en-US" w:eastAsia="ja-JP"/>
              </w:rPr>
              <w:footnoteReference w:id="37"/>
            </w:r>
            <w:r w:rsidRPr="000605BC">
              <w:rPr>
                <w:rFonts w:eastAsiaTheme="minorEastAsia" w:cs="Times New Roman"/>
                <w:position w:val="13"/>
                <w:sz w:val="20"/>
                <w:lang w:val="en-US" w:eastAsia="ja-JP"/>
              </w:rPr>
              <w:t xml:space="preserve"> </w:t>
            </w:r>
            <w:r w:rsidRPr="000605BC">
              <w:rPr>
                <w:rFonts w:eastAsiaTheme="minorEastAsia" w:cs="Times New Roman"/>
                <w:sz w:val="20"/>
                <w:lang w:val="en-US" w:eastAsia="ja-JP"/>
              </w:rPr>
              <w:t>There, approximately USD 575 million was paid out to individuals as a result of bribes paid to judicial officials in Italy. The money ultimately was moved and disguised in a series of financial transactions involving accounts and corporate vehicles in the United States, British Virgin Islands, Singapore, Cook Islands and Costa Rica. Likewise, the developing world’s financial systems may well be used to hide money. In the Titan Corporation bribery case for example, bribes from a US corporation to the President of Benin, intended to secure government contracts in telecommunications, was moved, in cash, directly to Benin.</w:t>
            </w:r>
            <w:r w:rsidRPr="000605BC">
              <w:rPr>
                <w:rStyle w:val="FootnoteReference"/>
                <w:rFonts w:eastAsiaTheme="minorEastAsia" w:cs="Times New Roman"/>
                <w:sz w:val="20"/>
                <w:lang w:val="en-US" w:eastAsia="ja-JP"/>
              </w:rPr>
              <w:footnoteReference w:id="38"/>
            </w:r>
          </w:p>
          <w:p w14:paraId="1CC1858C" w14:textId="77777777" w:rsidR="00E31E4E" w:rsidRPr="000605BC" w:rsidRDefault="00E31E4E" w:rsidP="00957E98">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72. The reason for this preference is obvious. Foreign accounts hold the advantage of being harder to investigate for the victim country, are perceived of as more stable and safer, and are more easily accessed than accounts held in the PEPs home country. Moreover, a PEP can “stack” foreign jurisdictions: a bank account in one country could be owned by a corporation in another jurisdiction, which is in turn owned by a trust in a third jurisdiction. Each additional country multiplies the complexity of the investigation, reduces the chances of a successful result, and extends the time needed to complete the investigation.</w:t>
            </w:r>
          </w:p>
          <w:p w14:paraId="472D142A" w14:textId="77777777" w:rsidR="00E31E4E" w:rsidRPr="000605BC" w:rsidRDefault="00E31E4E" w:rsidP="00957E98">
            <w:pPr>
              <w:pStyle w:val="ExcerptMarker"/>
              <w:spacing w:after="0"/>
              <w:rPr>
                <w:sz w:val="16"/>
                <w:lang w:eastAsia="ja-JP"/>
              </w:rPr>
            </w:pPr>
            <w:r w:rsidRPr="000605BC">
              <w:rPr>
                <w:sz w:val="16"/>
              </w:rPr>
              <w:t>End of Excerpt</w:t>
            </w:r>
          </w:p>
        </w:tc>
      </w:tr>
    </w:tbl>
    <w:p w14:paraId="604C8300" w14:textId="77777777" w:rsidR="00E31E4E" w:rsidRPr="000605BC" w:rsidRDefault="00E31E4E" w:rsidP="00E31E4E">
      <w:pPr>
        <w:pStyle w:val="Heading2"/>
        <w:rPr>
          <w:sz w:val="24"/>
        </w:rPr>
      </w:pPr>
      <w:r w:rsidRPr="000605BC">
        <w:rPr>
          <w:sz w:val="24"/>
        </w:rPr>
        <w:t>Use of Nominees</w:t>
      </w:r>
    </w:p>
    <w:tbl>
      <w:tblPr>
        <w:tblStyle w:val="TableGrid"/>
        <w:tblW w:w="0" w:type="auto"/>
        <w:jc w:val="center"/>
        <w:tblCellMar>
          <w:top w:w="284" w:type="dxa"/>
          <w:left w:w="284" w:type="dxa"/>
          <w:bottom w:w="284" w:type="dxa"/>
          <w:right w:w="284" w:type="dxa"/>
        </w:tblCellMar>
        <w:tblLook w:val="04A0" w:firstRow="1" w:lastRow="0" w:firstColumn="1" w:lastColumn="0" w:noHBand="0" w:noVBand="1"/>
      </w:tblPr>
      <w:tblGrid>
        <w:gridCol w:w="8080"/>
      </w:tblGrid>
      <w:tr w:rsidR="00E31E4E" w:rsidRPr="000605BC" w14:paraId="3D34F55A" w14:textId="77777777" w:rsidTr="00171400">
        <w:trPr>
          <w:jc w:val="center"/>
        </w:trPr>
        <w:tc>
          <w:tcPr>
            <w:tcW w:w="9576" w:type="dxa"/>
            <w:tcBorders>
              <w:top w:val="nil"/>
              <w:left w:val="nil"/>
              <w:bottom w:val="nil"/>
              <w:right w:val="nil"/>
            </w:tcBorders>
            <w:shd w:val="clear" w:color="auto" w:fill="D9D9D9" w:themeFill="background1" w:themeFillShade="D9"/>
          </w:tcPr>
          <w:p w14:paraId="724A80A5" w14:textId="77777777" w:rsidR="00E31E4E" w:rsidRPr="000605BC" w:rsidRDefault="00E31E4E" w:rsidP="00171400">
            <w:pPr>
              <w:pStyle w:val="ExcerptMarker"/>
              <w:spacing w:before="0"/>
              <w:rPr>
                <w:sz w:val="16"/>
              </w:rPr>
            </w:pPr>
            <w:r w:rsidRPr="000605BC">
              <w:rPr>
                <w:sz w:val="16"/>
              </w:rPr>
              <w:t>Beginning of Excerpt</w:t>
            </w:r>
          </w:p>
          <w:p w14:paraId="2F363E7E" w14:textId="77777777" w:rsidR="00E31E4E" w:rsidRPr="000605BC" w:rsidRDefault="00E31E4E" w:rsidP="00171400">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73. The use of associates or nominees – trusted associates or family members, but not necessarily the lawyers and accountants described in the gatekeepers section – to assist the PEP in disguising and moving the proceeds of corruption was common in the inventory of cases. FATF has documented the use of such nominees previously. The WGTYP annual report for 2003-2004 noted at paragraph 78:</w:t>
            </w:r>
          </w:p>
          <w:p w14:paraId="4F0827B0" w14:textId="77777777" w:rsidR="00E31E4E" w:rsidRPr="000605BC" w:rsidRDefault="00E31E4E" w:rsidP="00171400">
            <w:pPr>
              <w:pStyle w:val="BlockQuote"/>
              <w:rPr>
                <w:sz w:val="20"/>
                <w:lang w:val="en-US" w:eastAsia="ja-JP"/>
              </w:rPr>
            </w:pPr>
            <w:r w:rsidRPr="000605BC">
              <w:rPr>
                <w:sz w:val="20"/>
                <w:lang w:val="en-US" w:eastAsia="ja-JP"/>
              </w:rPr>
              <w:t>PEPs, given the often high visibility of their office both inside and outside their country, very frequently use middlemen or other intermediaries to conduct financial business on their behalf. It is not unusual therefore for close associates, friends and family of a PEP to conduct individual transactions or else hold or move assets in their own name on behalf the PEP. This use of middlemen is not necessarily an indicator by itself of illegal activity, as frequently such intermediaries are also used when the business or proceeds of the PEP are entirely legitimate. In any case, however, the use of middlemen to shelter or insulate the PEP from unwanted attention can also serve as an obstacle to customer due diligence that should be performed for every customer. A further obstacle may be involved when the person acting on behalf of the PEP or the PEP him or herself has some sort of special status such as, for example, diplomatic immunity.</w:t>
            </w:r>
          </w:p>
          <w:p w14:paraId="06E76275" w14:textId="77777777" w:rsidR="00E31E4E" w:rsidRPr="000605BC" w:rsidRDefault="00E31E4E" w:rsidP="00171400">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74. A typical use of nominees can be found in the case of Arnoldo Aleman. Aleman was able to siphon government funds through a non-profit institution known as the Nicaraguan Democratic Foundation (FDN), an entity incorporated by Aleman’s wife in Panama. In addition, Aleman and his wife set up both front companies and non-profit organisations to funnel money through. Lastly, Aleman was able to defraud the government in the sale of telecommunications frequency to a private entity, using companies set up by advisors to Aleman. Aleman was also assisted in his efforts to steal and subsequently move money through the active participation of Byron Jerez, the country’s tax commissioner at the time.</w:t>
            </w:r>
            <w:r w:rsidRPr="000605BC">
              <w:rPr>
                <w:rStyle w:val="FootnoteReference"/>
                <w:rFonts w:eastAsiaTheme="minorEastAsia" w:cs="Times New Roman"/>
                <w:sz w:val="20"/>
                <w:lang w:val="en-US" w:eastAsia="ja-JP"/>
              </w:rPr>
              <w:footnoteReference w:id="39"/>
            </w:r>
          </w:p>
          <w:p w14:paraId="75B8DBF9" w14:textId="77777777" w:rsidR="00E31E4E" w:rsidRPr="000605BC" w:rsidRDefault="00E31E4E" w:rsidP="00171400">
            <w:pPr>
              <w:rPr>
                <w:rFonts w:eastAsiaTheme="minorEastAsia" w:cs="Times New Roman"/>
                <w:sz w:val="20"/>
                <w:lang w:val="en-US" w:eastAsia="ja-JP"/>
              </w:rPr>
            </w:pPr>
            <w:r w:rsidRPr="000605BC">
              <w:rPr>
                <w:rFonts w:eastAsiaTheme="minorEastAsia" w:cs="Times New Roman"/>
                <w:sz w:val="20"/>
                <w:lang w:val="en-US" w:eastAsia="ja-JP"/>
              </w:rPr>
              <w:t>75. The scheme set up by a high level PEP in a Central American country likewise depended on the assistance of both family members as well as other associates to succeed. The PEP would divert money that was intended to be paid to the country’s treasury through a series of financial transactions, which would then ultimately end up in foreign bank accounts in the name of the PEP’s former wife and daughter.</w:t>
            </w:r>
            <w:r w:rsidRPr="000605BC">
              <w:rPr>
                <w:rStyle w:val="FootnoteReference"/>
                <w:rFonts w:eastAsiaTheme="minorEastAsia" w:cs="Times New Roman"/>
                <w:sz w:val="20"/>
                <w:lang w:val="en-US" w:eastAsia="ja-JP"/>
              </w:rPr>
              <w:footnoteReference w:id="40"/>
            </w:r>
          </w:p>
          <w:p w14:paraId="4FDBC582" w14:textId="77777777" w:rsidR="00E31E4E" w:rsidRPr="000605BC" w:rsidRDefault="00E31E4E" w:rsidP="00171400">
            <w:pPr>
              <w:pStyle w:val="ExcerptMarker"/>
              <w:spacing w:after="0"/>
              <w:rPr>
                <w:sz w:val="16"/>
              </w:rPr>
            </w:pPr>
            <w:r w:rsidRPr="000605BC">
              <w:rPr>
                <w:sz w:val="16"/>
              </w:rPr>
              <w:t>End of Excerpt</w:t>
            </w:r>
          </w:p>
        </w:tc>
      </w:tr>
    </w:tbl>
    <w:p w14:paraId="33B55177" w14:textId="77777777" w:rsidR="00E31E4E" w:rsidRPr="000605BC" w:rsidRDefault="00E31E4E" w:rsidP="00E31E4E">
      <w:pPr>
        <w:pStyle w:val="Heading2"/>
        <w:rPr>
          <w:sz w:val="24"/>
        </w:rPr>
      </w:pPr>
      <w:r w:rsidRPr="000605BC">
        <w:rPr>
          <w:sz w:val="24"/>
        </w:rPr>
        <w:t>Use of Cash</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CellMar>
          <w:top w:w="284" w:type="dxa"/>
          <w:left w:w="284" w:type="dxa"/>
          <w:bottom w:w="284" w:type="dxa"/>
          <w:right w:w="284" w:type="dxa"/>
        </w:tblCellMar>
        <w:tblLook w:val="04A0" w:firstRow="1" w:lastRow="0" w:firstColumn="1" w:lastColumn="0" w:noHBand="0" w:noVBand="1"/>
      </w:tblPr>
      <w:tblGrid>
        <w:gridCol w:w="8080"/>
      </w:tblGrid>
      <w:tr w:rsidR="00E31E4E" w:rsidRPr="000605BC" w14:paraId="35341388" w14:textId="77777777" w:rsidTr="00171400">
        <w:trPr>
          <w:jc w:val="center"/>
        </w:trPr>
        <w:tc>
          <w:tcPr>
            <w:tcW w:w="9576" w:type="dxa"/>
            <w:shd w:val="clear" w:color="auto" w:fill="D9D9D9" w:themeFill="background1" w:themeFillShade="D9"/>
          </w:tcPr>
          <w:p w14:paraId="4E031EEB" w14:textId="77777777" w:rsidR="00E31E4E" w:rsidRPr="000605BC" w:rsidRDefault="00E31E4E" w:rsidP="00171400">
            <w:pPr>
              <w:pStyle w:val="ExcerptMarker"/>
              <w:spacing w:before="0"/>
              <w:rPr>
                <w:sz w:val="16"/>
              </w:rPr>
            </w:pPr>
            <w:r w:rsidRPr="000605BC">
              <w:rPr>
                <w:sz w:val="16"/>
              </w:rPr>
              <w:t>Beginning of Excerpt</w:t>
            </w:r>
          </w:p>
          <w:p w14:paraId="68C5EB4B" w14:textId="77777777" w:rsidR="00E31E4E" w:rsidRPr="000605BC" w:rsidRDefault="00E31E4E" w:rsidP="00171400">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76. The use of cash, and its placement into the financial system, has long been identified as a method for the laundering of proceeds of crime. Indeed, when the FATF 40 Recommendations were first issued in 1990, the focus of many of its preventative measures was on detecting money laundering at the cash proceeds stage. The anonymous nature of cash, with its lack of paper trail, is attractive and may outweigh other negatives. Some of the predicate crimes, such as drug trafficking, are historically cash businesses. Indeed, even for crimes that do not generate cash requiring placement into the financial system, WGTYP has noted (Report on Money Laundering Typologies, 2000-2001) some laundering schemes in which the proceeds are converted back to cash in order to break the paper trail.</w:t>
            </w:r>
          </w:p>
          <w:p w14:paraId="0BE098DB" w14:textId="77777777" w:rsidR="00E31E4E" w:rsidRPr="000605BC" w:rsidRDefault="00E31E4E" w:rsidP="00171400">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77. While smaller-scale, endemic corruption (in which money is provided to lower- or mid-level government officials in order to act or refrain from acting in their official capacity), would be expected to generate cash in need of placement, the grand corruption cases would not be expected to have significant amounts of cash. A cash payment to a PEP would break the chain of bank records, of course, but it would require the PEP to run the gauntlet of AML/CFT controls designed to combat placement of illegally-derived cash into the system. This would include the possibility that the PEP’s transactions (as well as those for his family and close associates) are subject to enhanced due diligence in accordance with Recommendation 6. In each case in which the PEP receives the cash, he must engage in a calculus to determine whether the risks associated with placement – including the possibility of EDD as a result of his PEP status – outweigh the benefits of having broken the chain. It appears that in a significant number of cases, the corrupt PEP wants the cash and, moreover is able to place the cash without attracting undue attention.</w:t>
            </w:r>
          </w:p>
          <w:p w14:paraId="4254BFA8" w14:textId="77777777" w:rsidR="00E31E4E" w:rsidRPr="000605BC" w:rsidRDefault="00E31E4E" w:rsidP="00171400">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78. The US Senate’s investigation of corruption-related money laundering identified the President of one oil rich West African country, for which a US bank accepted nearly USD 13 million in cash deposits over a three-year period into accounts controlled by the President or his wife. The report noted that some of these deposits were for a million dollars at a time, and the currency was in shrink-wrap packaging. The report could identify no legitimate source for such currency. This same bank also provided USD 1.9 million in cashier checks to a PEP from a South American country, using the maiden name of the wife of the PEP as the payee. These cashiers’ checks were ultimately cashed in the PEP’s home country. The bank involved was fined and criminally prosecuted for these violations and ultimately was closed as a result.</w:t>
            </w:r>
            <w:r w:rsidRPr="000605BC">
              <w:rPr>
                <w:rStyle w:val="FootnoteReference"/>
                <w:rFonts w:eastAsiaTheme="minorEastAsia" w:cs="Times New Roman"/>
                <w:sz w:val="20"/>
                <w:lang w:val="en-US" w:eastAsia="ja-JP"/>
              </w:rPr>
              <w:footnoteReference w:id="41"/>
            </w:r>
          </w:p>
          <w:p w14:paraId="48496F6A" w14:textId="77777777" w:rsidR="00E31E4E" w:rsidRPr="000605BC" w:rsidRDefault="00E31E4E" w:rsidP="00171400">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79. The Zambian asset recovery lawsuit, noted above, also highlights the use of cash. As part of the scheme, the president of Zambia directed his UK-based lawyer to withdraw GBP 30 000 in cash from accounts containing diverted government money and deliver it to him personally. There were also other significant cash payments, including a USD 250 000 payment made from a diverted account to the Zambian Ambassador to the United States, which he then took in a suitcase to Switzerland and gave to the head of the Zambian security service, and hundreds of thousands of dollars in cash used to purchase property in the UK and elsewhere. The court found that there was no legitimate purpose for the large cash withdrawals.</w:t>
            </w:r>
            <w:r w:rsidRPr="000605BC">
              <w:rPr>
                <w:rStyle w:val="FootnoteReference"/>
                <w:rFonts w:eastAsiaTheme="minorEastAsia" w:cs="Times New Roman"/>
                <w:sz w:val="20"/>
                <w:lang w:val="en-US" w:eastAsia="ja-JP"/>
              </w:rPr>
              <w:footnoteReference w:id="42"/>
            </w:r>
          </w:p>
          <w:p w14:paraId="4444181D" w14:textId="77777777" w:rsidR="00E31E4E" w:rsidRPr="000605BC" w:rsidRDefault="00E31E4E" w:rsidP="00171400">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 xml:space="preserve">80. Other case studies have shown the presence of significant amounts of unexplained cash. </w:t>
            </w:r>
            <w:proofErr w:type="spellStart"/>
            <w:r w:rsidRPr="000605BC">
              <w:rPr>
                <w:rFonts w:eastAsiaTheme="minorEastAsia" w:cs="Times New Roman"/>
                <w:sz w:val="20"/>
                <w:lang w:val="en-US" w:eastAsia="ja-JP"/>
              </w:rPr>
              <w:t>Diepreye</w:t>
            </w:r>
            <w:proofErr w:type="spellEnd"/>
            <w:r w:rsidRPr="000605BC">
              <w:rPr>
                <w:rFonts w:eastAsiaTheme="minorEastAsia" w:cs="Times New Roman"/>
                <w:sz w:val="20"/>
                <w:lang w:val="en-US" w:eastAsia="ja-JP"/>
              </w:rPr>
              <w:t xml:space="preserve"> </w:t>
            </w:r>
            <w:proofErr w:type="spellStart"/>
            <w:r w:rsidRPr="000605BC">
              <w:rPr>
                <w:rFonts w:eastAsiaTheme="minorEastAsia" w:cs="Times New Roman"/>
                <w:sz w:val="20"/>
                <w:lang w:val="en-US" w:eastAsia="ja-JP"/>
              </w:rPr>
              <w:t>Alamieyeseigha</w:t>
            </w:r>
            <w:proofErr w:type="spellEnd"/>
            <w:r w:rsidRPr="000605BC">
              <w:rPr>
                <w:rFonts w:eastAsiaTheme="minorEastAsia" w:cs="Times New Roman"/>
                <w:sz w:val="20"/>
                <w:lang w:val="en-US" w:eastAsia="ja-JP"/>
              </w:rPr>
              <w:t xml:space="preserve">, for example, was found to have over GBP 1 000 000 in his apartment in the UK at the time of his arrest, notwithstanding the fact that as governor of </w:t>
            </w:r>
            <w:proofErr w:type="spellStart"/>
            <w:r w:rsidRPr="000605BC">
              <w:rPr>
                <w:rFonts w:eastAsiaTheme="minorEastAsia" w:cs="Times New Roman"/>
                <w:sz w:val="20"/>
                <w:lang w:val="en-US" w:eastAsia="ja-JP"/>
              </w:rPr>
              <w:t>Bayelsa</w:t>
            </w:r>
            <w:proofErr w:type="spellEnd"/>
            <w:r w:rsidRPr="000605BC">
              <w:rPr>
                <w:rFonts w:eastAsiaTheme="minorEastAsia" w:cs="Times New Roman"/>
                <w:sz w:val="20"/>
                <w:lang w:val="en-US" w:eastAsia="ja-JP"/>
              </w:rPr>
              <w:t xml:space="preserve"> State in Nigeria, his salary was a fraction of that. Another governor of a Nigerian state around that time, Joshua </w:t>
            </w:r>
            <w:proofErr w:type="spellStart"/>
            <w:r w:rsidRPr="000605BC">
              <w:rPr>
                <w:rFonts w:eastAsiaTheme="minorEastAsia" w:cs="Times New Roman"/>
                <w:sz w:val="20"/>
                <w:lang w:val="en-US" w:eastAsia="ja-JP"/>
              </w:rPr>
              <w:t>Chibi</w:t>
            </w:r>
            <w:proofErr w:type="spellEnd"/>
            <w:r w:rsidRPr="000605BC">
              <w:rPr>
                <w:rFonts w:eastAsiaTheme="minorEastAsia" w:cs="Times New Roman"/>
                <w:sz w:val="20"/>
                <w:lang w:val="en-US" w:eastAsia="ja-JP"/>
              </w:rPr>
              <w:t xml:space="preserve"> </w:t>
            </w:r>
            <w:proofErr w:type="spellStart"/>
            <w:r w:rsidRPr="000605BC">
              <w:rPr>
                <w:rFonts w:eastAsiaTheme="minorEastAsia" w:cs="Times New Roman"/>
                <w:sz w:val="20"/>
                <w:lang w:val="en-US" w:eastAsia="ja-JP"/>
              </w:rPr>
              <w:t>Dariye</w:t>
            </w:r>
            <w:proofErr w:type="spellEnd"/>
            <w:r w:rsidRPr="000605BC">
              <w:rPr>
                <w:rFonts w:eastAsiaTheme="minorEastAsia" w:cs="Times New Roman"/>
                <w:sz w:val="20"/>
                <w:lang w:val="en-US" w:eastAsia="ja-JP"/>
              </w:rPr>
              <w:t xml:space="preserve">, previously discussed, was found to have deposited into his UK accounts in excess of GBP 480 000 during a four and a half year period. According to a US Senate report on the matter, immediately after Sani Abacha’s death in 1998, his wife was stopped at a Lagos airport with 38 suitcases full of cash, and his son was found with USD 100 million in cash. According to the World Bank study he was able to place significant amounts of cash in the financial system by using associates. Lastly, </w:t>
            </w:r>
            <w:proofErr w:type="spellStart"/>
            <w:r w:rsidRPr="000605BC">
              <w:rPr>
                <w:rFonts w:eastAsiaTheme="minorEastAsia" w:cs="Times New Roman"/>
                <w:sz w:val="20"/>
                <w:lang w:val="en-US" w:eastAsia="ja-JP"/>
              </w:rPr>
              <w:t>Montesinos</w:t>
            </w:r>
            <w:proofErr w:type="spellEnd"/>
            <w:r w:rsidRPr="000605BC">
              <w:rPr>
                <w:rFonts w:eastAsiaTheme="minorEastAsia" w:cs="Times New Roman"/>
                <w:sz w:val="20"/>
                <w:lang w:val="en-US" w:eastAsia="ja-JP"/>
              </w:rPr>
              <w:t xml:space="preserve"> used cash couriers to transfer funds from Switzerland to Mexico and Bolivia.</w:t>
            </w:r>
          </w:p>
          <w:p w14:paraId="035DEBE0" w14:textId="77777777" w:rsidR="00E31E4E" w:rsidRPr="000605BC" w:rsidRDefault="00E31E4E" w:rsidP="00171400">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 xml:space="preserve">81. PEPs have an advantage not usually available to the general public: the use (and abuse) of the so-called “diplomatic pouch.” Intended to protect free communication between diplomats and their foreign missions, a diplomatic bag is protected from search or seizure by the </w:t>
            </w:r>
            <w:r w:rsidRPr="000605BC">
              <w:rPr>
                <w:rFonts w:eastAsiaTheme="minorEastAsia" w:cs="Times New Roman"/>
                <w:i/>
                <w:sz w:val="20"/>
                <w:lang w:val="en-US" w:eastAsia="ja-JP"/>
              </w:rPr>
              <w:t>1961 Convention on Diplomatic Relations</w:t>
            </w:r>
            <w:r w:rsidRPr="000605BC">
              <w:rPr>
                <w:rFonts w:eastAsiaTheme="minorEastAsia" w:cs="Times New Roman"/>
                <w:sz w:val="20"/>
                <w:lang w:val="en-US" w:eastAsia="ja-JP"/>
              </w:rPr>
              <w:t>.</w:t>
            </w:r>
            <w:r w:rsidRPr="000605BC">
              <w:rPr>
                <w:rStyle w:val="FootnoteReference"/>
                <w:rFonts w:eastAsiaTheme="minorEastAsia" w:cs="Times New Roman"/>
                <w:sz w:val="20"/>
                <w:lang w:val="en-US" w:eastAsia="ja-JP"/>
              </w:rPr>
              <w:footnoteReference w:id="43"/>
            </w:r>
            <w:r w:rsidRPr="000605BC">
              <w:rPr>
                <w:rFonts w:eastAsiaTheme="minorEastAsia" w:cs="Times New Roman"/>
                <w:position w:val="13"/>
                <w:sz w:val="20"/>
                <w:lang w:val="en-US" w:eastAsia="ja-JP"/>
              </w:rPr>
              <w:t xml:space="preserve"> </w:t>
            </w:r>
            <w:r w:rsidRPr="000605BC">
              <w:rPr>
                <w:rFonts w:eastAsiaTheme="minorEastAsia" w:cs="Times New Roman"/>
                <w:sz w:val="20"/>
                <w:lang w:val="en-US" w:eastAsia="ja-JP"/>
              </w:rPr>
              <w:t>A diplomatic bag may only be used for official materials and, while the Convention protects it from search, it does not relieve the carrier of adherence to the laws of the host nation, including cross-border currency reporting requirements.</w:t>
            </w:r>
          </w:p>
          <w:p w14:paraId="452EB3F6" w14:textId="77777777" w:rsidR="00E31E4E" w:rsidRPr="000605BC" w:rsidRDefault="00E31E4E" w:rsidP="00171400">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82. Such was the situation that the US Senate uncovered in its report on the financial affairs of one West African PEP. His daughter, who was in graduate school in the United States, asked her US bank to count certain cash she had stored in her safe deposit box. The bank found USD 1 million in cash, in USD 100 bills, wrapped in plastic. When asked about the source of the money, the daughter replied that her father, the PEP, provided her the cash when he came into the United States, and that he often brought cash into the United States. The PEP had never declared his transport of the cash, as he was required to do by US law.</w:t>
            </w:r>
            <w:r w:rsidRPr="000605BC">
              <w:rPr>
                <w:rStyle w:val="FootnoteReference"/>
                <w:rFonts w:eastAsiaTheme="minorEastAsia" w:cs="Times New Roman"/>
                <w:sz w:val="20"/>
                <w:lang w:val="en-US" w:eastAsia="ja-JP"/>
              </w:rPr>
              <w:footnoteReference w:id="44"/>
            </w:r>
          </w:p>
          <w:p w14:paraId="2BBAB810" w14:textId="77777777" w:rsidR="00E31E4E" w:rsidRPr="000605BC" w:rsidRDefault="00E31E4E" w:rsidP="00171400">
            <w:pPr>
              <w:pStyle w:val="ExcerptMarker"/>
              <w:spacing w:after="0"/>
              <w:rPr>
                <w:sz w:val="16"/>
              </w:rPr>
            </w:pPr>
            <w:r w:rsidRPr="000605BC">
              <w:rPr>
                <w:sz w:val="16"/>
              </w:rPr>
              <w:t>End of Excerpt</w:t>
            </w:r>
          </w:p>
        </w:tc>
      </w:tr>
    </w:tbl>
    <w:p w14:paraId="0BE748B3" w14:textId="58050710" w:rsidR="004A1630" w:rsidRPr="000605BC" w:rsidRDefault="008A2C76" w:rsidP="00542871">
      <w:pPr>
        <w:pStyle w:val="Heading1"/>
        <w:rPr>
          <w:sz w:val="28"/>
        </w:rPr>
      </w:pPr>
      <w:bookmarkStart w:id="8" w:name="_Toc419901542"/>
      <w:bookmarkStart w:id="9" w:name="_Toc489788766"/>
      <w:bookmarkStart w:id="10" w:name="_Toc489789306"/>
      <w:bookmarkStart w:id="11" w:name="_Toc489791776"/>
      <w:bookmarkStart w:id="12" w:name="_Toc505604223"/>
      <w:bookmarkStart w:id="13" w:name="_Toc287093725"/>
      <w:r w:rsidRPr="000605BC">
        <w:rPr>
          <w:sz w:val="28"/>
        </w:rPr>
        <w:t>International Standards For Prevention And Criminalization Of Money Laundering</w:t>
      </w:r>
      <w:bookmarkEnd w:id="8"/>
      <w:bookmarkEnd w:id="9"/>
      <w:bookmarkEnd w:id="10"/>
      <w:bookmarkEnd w:id="11"/>
      <w:bookmarkEnd w:id="12"/>
      <w:r w:rsidRPr="000605BC">
        <w:rPr>
          <w:sz w:val="28"/>
        </w:rPr>
        <w:t xml:space="preserve"> </w:t>
      </w:r>
      <w:bookmarkEnd w:id="13"/>
    </w:p>
    <w:p w14:paraId="42DCBB64" w14:textId="79417A76" w:rsidR="004A1630" w:rsidRPr="000605BC" w:rsidRDefault="004A1630" w:rsidP="00E36F66">
      <w:pPr>
        <w:pStyle w:val="Heading2"/>
        <w:rPr>
          <w:sz w:val="24"/>
        </w:rPr>
      </w:pPr>
      <w:bookmarkStart w:id="14" w:name="_Toc287093726"/>
      <w:bookmarkStart w:id="15" w:name="_Toc419901543"/>
      <w:bookmarkStart w:id="16" w:name="_Toc489788767"/>
      <w:bookmarkStart w:id="17" w:name="_Toc489789307"/>
      <w:bookmarkStart w:id="18" w:name="_Toc489791777"/>
      <w:r w:rsidRPr="000605BC">
        <w:rPr>
          <w:sz w:val="24"/>
        </w:rPr>
        <w:t>UNCAC</w:t>
      </w:r>
      <w:bookmarkEnd w:id="14"/>
      <w:bookmarkEnd w:id="15"/>
      <w:bookmarkEnd w:id="16"/>
      <w:bookmarkEnd w:id="17"/>
      <w:bookmarkEnd w:id="18"/>
      <w:r w:rsidRPr="000605BC">
        <w:rPr>
          <w:sz w:val="24"/>
        </w:rPr>
        <w:t xml:space="preserve"> </w:t>
      </w:r>
    </w:p>
    <w:p w14:paraId="077B090B" w14:textId="33542ED6" w:rsidR="00A77444" w:rsidRPr="000605BC" w:rsidRDefault="00A77444" w:rsidP="00916A81">
      <w:pPr>
        <w:rPr>
          <w:rFonts w:eastAsia="Times New Roman" w:cs="Times New Roman"/>
          <w:sz w:val="20"/>
          <w:lang w:val="en-US"/>
        </w:rPr>
      </w:pPr>
      <w:r w:rsidRPr="000605BC">
        <w:rPr>
          <w:rFonts w:eastAsia="Times New Roman" w:cs="Times New Roman"/>
          <w:sz w:val="20"/>
          <w:lang w:val="en-US"/>
        </w:rPr>
        <w:t xml:space="preserve">As discussed in previous chapters, UNCAC is the most extensive and most widely ratified international convention addressing corruption. In addition to prohibiting bribery and other forms </w:t>
      </w:r>
      <w:r w:rsidR="006F6873" w:rsidRPr="000605BC">
        <w:rPr>
          <w:rFonts w:eastAsia="Times New Roman" w:cs="Times New Roman"/>
          <w:sz w:val="20"/>
          <w:lang w:val="en-US"/>
        </w:rPr>
        <w:t>of corruption, the drafters of</w:t>
      </w:r>
      <w:r w:rsidRPr="000605BC">
        <w:rPr>
          <w:rFonts w:eastAsia="Times New Roman" w:cs="Times New Roman"/>
          <w:sz w:val="20"/>
          <w:lang w:val="en-US"/>
        </w:rPr>
        <w:t xml:space="preserve"> UNCAC recognized that effective anti-money laundering strategies are an important factor in preventing and detecting large-scale corruption. Like other forms of corruption, the transnational nature </w:t>
      </w:r>
      <w:r w:rsidR="00E42064" w:rsidRPr="000605BC">
        <w:rPr>
          <w:rFonts w:eastAsia="Times New Roman" w:cs="Times New Roman"/>
          <w:sz w:val="20"/>
          <w:lang w:val="en-US"/>
        </w:rPr>
        <w:t>of money laundering necessitates</w:t>
      </w:r>
      <w:r w:rsidRPr="000605BC">
        <w:rPr>
          <w:rFonts w:eastAsia="Times New Roman" w:cs="Times New Roman"/>
          <w:sz w:val="20"/>
          <w:lang w:val="en-US"/>
        </w:rPr>
        <w:t xml:space="preserve"> international cooper</w:t>
      </w:r>
      <w:r w:rsidR="00CE542E" w:rsidRPr="000605BC">
        <w:rPr>
          <w:rFonts w:eastAsia="Times New Roman" w:cs="Times New Roman"/>
          <w:sz w:val="20"/>
          <w:lang w:val="en-US"/>
        </w:rPr>
        <w:t>ation and consistent standards</w:t>
      </w:r>
      <w:r w:rsidR="00E42064" w:rsidRPr="000605BC">
        <w:rPr>
          <w:rFonts w:eastAsia="Times New Roman" w:cs="Times New Roman"/>
          <w:sz w:val="20"/>
          <w:lang w:val="en-US"/>
        </w:rPr>
        <w:t xml:space="preserve"> in anti-money laundering efforts</w:t>
      </w:r>
      <w:r w:rsidRPr="000605BC">
        <w:rPr>
          <w:rFonts w:eastAsia="Times New Roman" w:cs="Times New Roman"/>
          <w:sz w:val="20"/>
          <w:lang w:val="en-US"/>
        </w:rPr>
        <w:t xml:space="preserve">. UNCAC therefore addresses money laundering in both Chapter II (Preventative Measures) and in Chapter III (Criminalization and Law Enforcement). Article 14 sets out standards </w:t>
      </w:r>
      <w:r w:rsidR="00A776FC" w:rsidRPr="000605BC">
        <w:rPr>
          <w:rFonts w:eastAsia="Times New Roman" w:cs="Times New Roman"/>
          <w:sz w:val="20"/>
          <w:lang w:val="en-US"/>
        </w:rPr>
        <w:t xml:space="preserve">for </w:t>
      </w:r>
      <w:r w:rsidR="006D7ED8" w:rsidRPr="000605BC">
        <w:rPr>
          <w:rFonts w:eastAsia="Times New Roman" w:cs="Times New Roman"/>
          <w:sz w:val="20"/>
          <w:lang w:val="en-US"/>
        </w:rPr>
        <w:t>S</w:t>
      </w:r>
      <w:r w:rsidRPr="000605BC">
        <w:rPr>
          <w:rFonts w:eastAsia="Times New Roman" w:cs="Times New Roman"/>
          <w:sz w:val="20"/>
          <w:lang w:val="en-US"/>
        </w:rPr>
        <w:t xml:space="preserve">tate </w:t>
      </w:r>
      <w:r w:rsidR="006D7ED8" w:rsidRPr="000605BC">
        <w:rPr>
          <w:rFonts w:eastAsia="Times New Roman" w:cs="Times New Roman"/>
          <w:sz w:val="20"/>
          <w:lang w:val="en-US"/>
        </w:rPr>
        <w:t>P</w:t>
      </w:r>
      <w:r w:rsidRPr="000605BC">
        <w:rPr>
          <w:rFonts w:eastAsia="Times New Roman" w:cs="Times New Roman"/>
          <w:sz w:val="20"/>
          <w:lang w:val="en-US"/>
        </w:rPr>
        <w:t>arties to follow in developing anti-money laundering measures</w:t>
      </w:r>
      <w:r w:rsidR="00E8412F" w:rsidRPr="000605BC">
        <w:rPr>
          <w:rFonts w:eastAsia="Times New Roman" w:cs="Times New Roman"/>
          <w:sz w:val="20"/>
          <w:lang w:val="en-US"/>
        </w:rPr>
        <w:t>,</w:t>
      </w:r>
      <w:r w:rsidRPr="000605BC">
        <w:rPr>
          <w:rFonts w:eastAsia="Times New Roman" w:cs="Times New Roman"/>
          <w:sz w:val="20"/>
          <w:lang w:val="en-US"/>
        </w:rPr>
        <w:t xml:space="preserve"> while Article 23 of UNCAC criminalizes the laundering of the proceeds of corruption.</w:t>
      </w:r>
      <w:r w:rsidR="006F6873" w:rsidRPr="000605BC">
        <w:rPr>
          <w:rFonts w:eastAsia="Times New Roman" w:cs="Times New Roman"/>
          <w:sz w:val="20"/>
          <w:lang w:val="en-US"/>
        </w:rPr>
        <w:t xml:space="preserve"> A more</w:t>
      </w:r>
      <w:r w:rsidRPr="000605BC">
        <w:rPr>
          <w:rFonts w:eastAsia="Times New Roman" w:cs="Times New Roman"/>
          <w:sz w:val="20"/>
          <w:lang w:val="en-US"/>
        </w:rPr>
        <w:t xml:space="preserve"> comprehensive overview of the anti-money laundering provisions of UNCAC</w:t>
      </w:r>
      <w:r w:rsidR="006F6873" w:rsidRPr="000605BC">
        <w:rPr>
          <w:rFonts w:eastAsia="Times New Roman" w:cs="Times New Roman"/>
          <w:sz w:val="20"/>
          <w:lang w:val="en-US"/>
        </w:rPr>
        <w:t xml:space="preserve"> can be found in </w:t>
      </w:r>
      <w:proofErr w:type="spellStart"/>
      <w:r w:rsidRPr="000605BC">
        <w:rPr>
          <w:rFonts w:eastAsia="Times New Roman" w:cs="Times New Roman"/>
          <w:sz w:val="20"/>
          <w:lang w:val="en-US"/>
        </w:rPr>
        <w:t>Carr</w:t>
      </w:r>
      <w:proofErr w:type="spellEnd"/>
      <w:r w:rsidRPr="000605BC">
        <w:rPr>
          <w:rFonts w:eastAsia="Times New Roman" w:cs="Times New Roman"/>
          <w:sz w:val="20"/>
          <w:lang w:val="en-US"/>
        </w:rPr>
        <w:t xml:space="preserve"> and </w:t>
      </w:r>
      <w:proofErr w:type="spellStart"/>
      <w:r w:rsidRPr="000605BC">
        <w:rPr>
          <w:rFonts w:eastAsia="Times New Roman" w:cs="Times New Roman"/>
          <w:sz w:val="20"/>
          <w:lang w:val="en-US"/>
        </w:rPr>
        <w:t>Goldby’s</w:t>
      </w:r>
      <w:proofErr w:type="spellEnd"/>
      <w:r w:rsidR="006F6873" w:rsidRPr="000605BC">
        <w:rPr>
          <w:rFonts w:eastAsia="Times New Roman" w:cs="Times New Roman"/>
          <w:sz w:val="20"/>
          <w:lang w:val="en-US"/>
        </w:rPr>
        <w:t xml:space="preserve"> paper</w:t>
      </w:r>
      <w:r w:rsidRPr="000605BC">
        <w:rPr>
          <w:rFonts w:eastAsia="Times New Roman" w:cs="Times New Roman"/>
          <w:sz w:val="20"/>
          <w:lang w:val="en-US"/>
        </w:rPr>
        <w:t xml:space="preserve">, </w:t>
      </w:r>
      <w:r w:rsidR="003A6F8D" w:rsidRPr="000605BC">
        <w:rPr>
          <w:rFonts w:eastAsia="Times New Roman" w:cs="Times New Roman"/>
          <w:sz w:val="20"/>
          <w:lang w:val="en-US"/>
        </w:rPr>
        <w:t>“</w:t>
      </w:r>
      <w:r w:rsidRPr="000605BC">
        <w:rPr>
          <w:rFonts w:eastAsia="Times New Roman" w:cs="Times New Roman"/>
          <w:sz w:val="20"/>
          <w:lang w:val="en-US"/>
        </w:rPr>
        <w:t>The UN Anti-Corruption Convention and Money Laundering</w:t>
      </w:r>
      <w:r w:rsidR="00A463B2" w:rsidRPr="000605BC">
        <w:rPr>
          <w:rFonts w:eastAsia="Times New Roman" w:cs="Times New Roman"/>
          <w:sz w:val="20"/>
          <w:lang w:val="en-US"/>
        </w:rPr>
        <w:t>.</w:t>
      </w:r>
      <w:r w:rsidR="003A6F8D" w:rsidRPr="000605BC">
        <w:rPr>
          <w:rFonts w:eastAsia="Times New Roman" w:cs="Times New Roman"/>
          <w:sz w:val="20"/>
          <w:lang w:val="en-US"/>
        </w:rPr>
        <w:t>”</w:t>
      </w:r>
      <w:r w:rsidR="00A463B2" w:rsidRPr="000605BC">
        <w:rPr>
          <w:rStyle w:val="FootnoteReference"/>
          <w:rFonts w:eastAsia="Times New Roman" w:cs="Times New Roman"/>
          <w:sz w:val="20"/>
          <w:lang w:val="en-US"/>
        </w:rPr>
        <w:footnoteReference w:id="45"/>
      </w:r>
    </w:p>
    <w:p w14:paraId="16169A47" w14:textId="4B2C78A8" w:rsidR="00A77444" w:rsidRPr="000605BC" w:rsidRDefault="000A7E64" w:rsidP="00E36F66">
      <w:pPr>
        <w:pStyle w:val="Heading3"/>
        <w:rPr>
          <w:sz w:val="22"/>
        </w:rPr>
      </w:pPr>
      <w:bookmarkStart w:id="19" w:name="_Toc287093727"/>
      <w:bookmarkStart w:id="20" w:name="_Toc419901544"/>
      <w:bookmarkStart w:id="21" w:name="_Toc251798586"/>
      <w:r w:rsidRPr="000605BC">
        <w:rPr>
          <w:sz w:val="22"/>
        </w:rPr>
        <w:t>Article 23</w:t>
      </w:r>
      <w:r w:rsidR="007F3886" w:rsidRPr="000605BC">
        <w:rPr>
          <w:sz w:val="22"/>
        </w:rPr>
        <w:t xml:space="preserve"> –</w:t>
      </w:r>
      <w:r w:rsidRPr="000605BC">
        <w:rPr>
          <w:sz w:val="22"/>
        </w:rPr>
        <w:t xml:space="preserve"> Criminalization of Money L</w:t>
      </w:r>
      <w:r w:rsidR="00A77444" w:rsidRPr="000605BC">
        <w:rPr>
          <w:sz w:val="22"/>
        </w:rPr>
        <w:t>aundering</w:t>
      </w:r>
      <w:bookmarkEnd w:id="19"/>
      <w:bookmarkEnd w:id="20"/>
      <w:r w:rsidR="00A77444" w:rsidRPr="000605BC">
        <w:rPr>
          <w:sz w:val="22"/>
        </w:rPr>
        <w:t xml:space="preserve"> </w:t>
      </w:r>
      <w:bookmarkEnd w:id="21"/>
    </w:p>
    <w:p w14:paraId="5A762500" w14:textId="1833FA98" w:rsidR="00A77444" w:rsidRPr="000605BC" w:rsidRDefault="00A77444" w:rsidP="00916A81">
      <w:pPr>
        <w:rPr>
          <w:rFonts w:eastAsia="Times New Roman" w:cs="Times New Roman"/>
          <w:sz w:val="20"/>
          <w:lang w:val="en-US"/>
        </w:rPr>
      </w:pPr>
      <w:r w:rsidRPr="000605BC">
        <w:rPr>
          <w:rFonts w:eastAsia="Times New Roman" w:cs="Times New Roman"/>
          <w:sz w:val="20"/>
          <w:lang w:val="en-US"/>
        </w:rPr>
        <w:t>Article 23 is ambitious in scope. It criminalizes the actions of those involved in money laundering in a number of different capacities. Unlike some of the other cr</w:t>
      </w:r>
      <w:r w:rsidR="00E42064" w:rsidRPr="000605BC">
        <w:rPr>
          <w:rFonts w:eastAsia="Times New Roman" w:cs="Times New Roman"/>
          <w:sz w:val="20"/>
          <w:lang w:val="en-US"/>
        </w:rPr>
        <w:t xml:space="preserve">iminalization provisions of </w:t>
      </w:r>
      <w:r w:rsidRPr="000605BC">
        <w:rPr>
          <w:rFonts w:eastAsia="Times New Roman" w:cs="Times New Roman"/>
          <w:sz w:val="20"/>
          <w:lang w:val="en-US"/>
        </w:rPr>
        <w:t xml:space="preserve">UNCAC, the criminalization of money laundering </w:t>
      </w:r>
      <w:r w:rsidR="00E42064" w:rsidRPr="000605BC">
        <w:rPr>
          <w:rFonts w:eastAsia="Times New Roman" w:cs="Times New Roman"/>
          <w:sz w:val="20"/>
          <w:lang w:val="en-US"/>
        </w:rPr>
        <w:t>under</w:t>
      </w:r>
      <w:r w:rsidRPr="000605BC">
        <w:rPr>
          <w:rFonts w:eastAsia="Times New Roman" w:cs="Times New Roman"/>
          <w:sz w:val="20"/>
          <w:lang w:val="en-US"/>
        </w:rPr>
        <w:t xml:space="preserve"> Article 23 is mandatory, although the provision may be adapted if nece</w:t>
      </w:r>
      <w:r w:rsidR="00E42064" w:rsidRPr="000605BC">
        <w:rPr>
          <w:rFonts w:eastAsia="Times New Roman" w:cs="Times New Roman"/>
          <w:sz w:val="20"/>
          <w:lang w:val="en-US"/>
        </w:rPr>
        <w:t>ssary to conform to</w:t>
      </w:r>
      <w:r w:rsidRPr="000605BC">
        <w:rPr>
          <w:rFonts w:eastAsia="Times New Roman" w:cs="Times New Roman"/>
          <w:sz w:val="20"/>
          <w:lang w:val="en-US"/>
        </w:rPr>
        <w:t xml:space="preserve"> the </w:t>
      </w:r>
      <w:r w:rsidR="003A6F8D" w:rsidRPr="000605BC">
        <w:rPr>
          <w:rFonts w:eastAsia="Times New Roman" w:cs="Times New Roman"/>
          <w:sz w:val="20"/>
          <w:lang w:val="en-US"/>
        </w:rPr>
        <w:t>“</w:t>
      </w:r>
      <w:r w:rsidRPr="000605BC">
        <w:rPr>
          <w:rFonts w:eastAsia="Times New Roman" w:cs="Times New Roman"/>
          <w:sz w:val="20"/>
          <w:lang w:val="en-US"/>
        </w:rPr>
        <w:t>fundamental principles</w:t>
      </w:r>
      <w:r w:rsidR="003A6F8D" w:rsidRPr="000605BC">
        <w:rPr>
          <w:rFonts w:eastAsia="Times New Roman" w:cs="Times New Roman"/>
          <w:sz w:val="20"/>
          <w:lang w:val="en-US"/>
        </w:rPr>
        <w:t>”</w:t>
      </w:r>
      <w:r w:rsidRPr="000605BC">
        <w:rPr>
          <w:rFonts w:eastAsia="Times New Roman" w:cs="Times New Roman"/>
          <w:sz w:val="20"/>
          <w:lang w:val="en-US"/>
        </w:rPr>
        <w:t xml:space="preserve"> of the </w:t>
      </w:r>
      <w:r w:rsidR="006D7ED8" w:rsidRPr="000605BC">
        <w:rPr>
          <w:rFonts w:eastAsia="Times New Roman" w:cs="Times New Roman"/>
          <w:sz w:val="20"/>
          <w:lang w:val="en-US"/>
        </w:rPr>
        <w:t>S</w:t>
      </w:r>
      <w:r w:rsidRPr="000605BC">
        <w:rPr>
          <w:rFonts w:eastAsia="Times New Roman" w:cs="Times New Roman"/>
          <w:sz w:val="20"/>
          <w:lang w:val="en-US"/>
        </w:rPr>
        <w:t xml:space="preserve">tate </w:t>
      </w:r>
      <w:r w:rsidR="006D7ED8" w:rsidRPr="000605BC">
        <w:rPr>
          <w:rFonts w:eastAsia="Times New Roman" w:cs="Times New Roman"/>
          <w:sz w:val="20"/>
          <w:lang w:val="en-US"/>
        </w:rPr>
        <w:t>P</w:t>
      </w:r>
      <w:r w:rsidRPr="000605BC">
        <w:rPr>
          <w:rFonts w:eastAsia="Times New Roman" w:cs="Times New Roman"/>
          <w:sz w:val="20"/>
          <w:lang w:val="en-US"/>
        </w:rPr>
        <w:t>arty’s domestic law.</w:t>
      </w:r>
      <w:r w:rsidR="004157FB" w:rsidRPr="000605BC">
        <w:rPr>
          <w:rFonts w:eastAsia="Times New Roman" w:cs="Times New Roman"/>
          <w:sz w:val="20"/>
          <w:lang w:val="en-US"/>
        </w:rPr>
        <w:t xml:space="preserve"> </w:t>
      </w:r>
      <w:r w:rsidRPr="000605BC">
        <w:rPr>
          <w:rFonts w:eastAsia="Times New Roman" w:cs="Times New Roman"/>
          <w:sz w:val="20"/>
          <w:lang w:val="en-US"/>
        </w:rPr>
        <w:t xml:space="preserve">Article 23 </w:t>
      </w:r>
      <w:r w:rsidR="009A65CC" w:rsidRPr="000605BC">
        <w:rPr>
          <w:rFonts w:eastAsia="Times New Roman" w:cs="Times New Roman"/>
          <w:sz w:val="20"/>
          <w:lang w:val="en-US"/>
        </w:rPr>
        <w:t xml:space="preserve">provides </w:t>
      </w:r>
      <w:r w:rsidRPr="000605BC">
        <w:rPr>
          <w:rFonts w:eastAsia="Times New Roman" w:cs="Times New Roman"/>
          <w:sz w:val="20"/>
          <w:lang w:val="en-US"/>
        </w:rPr>
        <w:t>as follows:</w:t>
      </w:r>
    </w:p>
    <w:p w14:paraId="7386FB4D" w14:textId="41DEBB2A" w:rsidR="005F1FB9" w:rsidRPr="000605BC" w:rsidRDefault="002C7EB8" w:rsidP="009257D9">
      <w:pPr>
        <w:ind w:left="720" w:right="851"/>
        <w:rPr>
          <w:rFonts w:eastAsia="Times New Roman" w:cs="Times New Roman"/>
          <w:sz w:val="20"/>
          <w:szCs w:val="21"/>
          <w:lang w:val="en-US"/>
        </w:rPr>
      </w:pPr>
      <w:r w:rsidRPr="000605BC">
        <w:rPr>
          <w:rFonts w:eastAsia="Times New Roman" w:cs="Times New Roman"/>
          <w:sz w:val="20"/>
          <w:szCs w:val="21"/>
          <w:lang w:val="en-US"/>
        </w:rPr>
        <w:t>Article 23.</w:t>
      </w:r>
      <w:r w:rsidR="005F1FB9" w:rsidRPr="000605BC">
        <w:rPr>
          <w:rFonts w:eastAsia="Times New Roman" w:cs="Times New Roman"/>
          <w:sz w:val="20"/>
          <w:szCs w:val="21"/>
          <w:lang w:val="en-US"/>
        </w:rPr>
        <w:t xml:space="preserve"> Laundering of proceeds of crime</w:t>
      </w:r>
    </w:p>
    <w:p w14:paraId="330221B1" w14:textId="66F5CF9E" w:rsidR="00A77444" w:rsidRPr="000605BC" w:rsidRDefault="00A77444" w:rsidP="00696D88">
      <w:pPr>
        <w:pStyle w:val="BlockQuote"/>
        <w:numPr>
          <w:ilvl w:val="0"/>
          <w:numId w:val="38"/>
        </w:numPr>
        <w:jc w:val="left"/>
        <w:rPr>
          <w:sz w:val="20"/>
        </w:rPr>
      </w:pPr>
      <w:r w:rsidRPr="000605BC">
        <w:rPr>
          <w:sz w:val="20"/>
        </w:rPr>
        <w:t>Each State Party shall adopt, in accordance with fundamental principles of its domestic law, such legislative and other measures as may be necessary to establish as criminal offences, when committed intentionally:</w:t>
      </w:r>
    </w:p>
    <w:p w14:paraId="681817FB" w14:textId="260106DE" w:rsidR="00441A5B" w:rsidRPr="000605BC" w:rsidRDefault="00A77444" w:rsidP="00696D88">
      <w:pPr>
        <w:pStyle w:val="BlockQuote"/>
        <w:numPr>
          <w:ilvl w:val="0"/>
          <w:numId w:val="41"/>
        </w:numPr>
        <w:ind w:left="2517" w:hanging="1077"/>
        <w:jc w:val="left"/>
        <w:rPr>
          <w:sz w:val="20"/>
        </w:rPr>
      </w:pPr>
      <w:r w:rsidRPr="000605BC">
        <w:rPr>
          <w:sz w:val="20"/>
        </w:rPr>
        <w:t>The conversion or transfer of property, kn</w:t>
      </w:r>
      <w:r w:rsidR="00A90F6D" w:rsidRPr="000605BC">
        <w:rPr>
          <w:sz w:val="20"/>
        </w:rPr>
        <w:t>owing that such property is the</w:t>
      </w:r>
      <w:r w:rsidR="00CB16C6" w:rsidRPr="000605BC">
        <w:rPr>
          <w:sz w:val="20"/>
        </w:rPr>
        <w:t xml:space="preserve"> </w:t>
      </w:r>
      <w:r w:rsidRPr="000605BC">
        <w:rPr>
          <w:sz w:val="20"/>
        </w:rPr>
        <w:t>proceeds of crime, for the purpose of conce</w:t>
      </w:r>
      <w:r w:rsidR="00A90F6D" w:rsidRPr="000605BC">
        <w:rPr>
          <w:sz w:val="20"/>
        </w:rPr>
        <w:t>aling or disguising the illicit</w:t>
      </w:r>
      <w:r w:rsidR="00CB16C6" w:rsidRPr="000605BC">
        <w:rPr>
          <w:sz w:val="20"/>
        </w:rPr>
        <w:t xml:space="preserve"> </w:t>
      </w:r>
      <w:r w:rsidRPr="000605BC">
        <w:rPr>
          <w:sz w:val="20"/>
        </w:rPr>
        <w:t>origin of the property or of helping an</w:t>
      </w:r>
      <w:r w:rsidR="00A90F6D" w:rsidRPr="000605BC">
        <w:rPr>
          <w:sz w:val="20"/>
        </w:rPr>
        <w:t>y person who is involved in the</w:t>
      </w:r>
      <w:r w:rsidR="00CB16C6" w:rsidRPr="000605BC">
        <w:rPr>
          <w:sz w:val="20"/>
        </w:rPr>
        <w:t xml:space="preserve"> </w:t>
      </w:r>
      <w:r w:rsidRPr="000605BC">
        <w:rPr>
          <w:sz w:val="20"/>
        </w:rPr>
        <w:t>commission of the predicate offence to evad</w:t>
      </w:r>
      <w:r w:rsidR="00A90F6D" w:rsidRPr="000605BC">
        <w:rPr>
          <w:sz w:val="20"/>
        </w:rPr>
        <w:t>e the legal consequences of his</w:t>
      </w:r>
      <w:r w:rsidR="00CB16C6" w:rsidRPr="000605BC">
        <w:rPr>
          <w:sz w:val="20"/>
        </w:rPr>
        <w:t xml:space="preserve"> </w:t>
      </w:r>
      <w:r w:rsidRPr="000605BC">
        <w:rPr>
          <w:sz w:val="20"/>
        </w:rPr>
        <w:t>or her action;</w:t>
      </w:r>
    </w:p>
    <w:p w14:paraId="3BC39F4C" w14:textId="1E989EA0" w:rsidR="00AB6DB2" w:rsidRPr="000605BC" w:rsidRDefault="00A77444" w:rsidP="00696D88">
      <w:pPr>
        <w:pStyle w:val="BlockQuote"/>
        <w:numPr>
          <w:ilvl w:val="0"/>
          <w:numId w:val="42"/>
        </w:numPr>
        <w:jc w:val="left"/>
        <w:rPr>
          <w:sz w:val="20"/>
        </w:rPr>
      </w:pPr>
      <w:r w:rsidRPr="000605BC">
        <w:rPr>
          <w:sz w:val="20"/>
        </w:rPr>
        <w:t>The concealment or disguise of the true nature,</w:t>
      </w:r>
      <w:r w:rsidR="00CB16C6" w:rsidRPr="000605BC">
        <w:rPr>
          <w:sz w:val="20"/>
        </w:rPr>
        <w:t xml:space="preserve"> source, location, disposition, </w:t>
      </w:r>
      <w:r w:rsidRPr="000605BC">
        <w:rPr>
          <w:sz w:val="20"/>
        </w:rPr>
        <w:t>movement or ownership of or rights with respect</w:t>
      </w:r>
      <w:r w:rsidR="00A90F6D" w:rsidRPr="000605BC">
        <w:rPr>
          <w:sz w:val="20"/>
        </w:rPr>
        <w:t xml:space="preserve"> to property, knowing that such </w:t>
      </w:r>
      <w:r w:rsidRPr="000605BC">
        <w:rPr>
          <w:sz w:val="20"/>
        </w:rPr>
        <w:t>property is the proceeds of crime;</w:t>
      </w:r>
    </w:p>
    <w:p w14:paraId="5F1EC431" w14:textId="5AC2FA14" w:rsidR="00A77444" w:rsidRPr="000605BC" w:rsidRDefault="00A77444" w:rsidP="00696D88">
      <w:pPr>
        <w:pStyle w:val="BlockQuote"/>
        <w:numPr>
          <w:ilvl w:val="0"/>
          <w:numId w:val="39"/>
        </w:numPr>
        <w:jc w:val="left"/>
        <w:rPr>
          <w:sz w:val="20"/>
        </w:rPr>
      </w:pPr>
      <w:r w:rsidRPr="000605BC">
        <w:rPr>
          <w:sz w:val="20"/>
        </w:rPr>
        <w:t>Subject to the basic concepts of its legal system:</w:t>
      </w:r>
    </w:p>
    <w:p w14:paraId="3A5972E7" w14:textId="7CDA76FC" w:rsidR="00A77444" w:rsidRPr="000605BC" w:rsidRDefault="00A77444" w:rsidP="00696D88">
      <w:pPr>
        <w:pStyle w:val="BlockQuote"/>
        <w:numPr>
          <w:ilvl w:val="0"/>
          <w:numId w:val="40"/>
        </w:numPr>
        <w:ind w:left="2517" w:hanging="720"/>
        <w:jc w:val="left"/>
        <w:rPr>
          <w:sz w:val="20"/>
        </w:rPr>
      </w:pPr>
      <w:r w:rsidRPr="000605BC">
        <w:rPr>
          <w:sz w:val="20"/>
        </w:rPr>
        <w:t>The acquisition, possession or use of property, knowing, at the time of receipt, that such property is the proceeds of crime;</w:t>
      </w:r>
    </w:p>
    <w:p w14:paraId="0A634CBB" w14:textId="147AB8DE" w:rsidR="000B2A4D" w:rsidRPr="000605BC" w:rsidRDefault="00A77444" w:rsidP="00696D88">
      <w:pPr>
        <w:pStyle w:val="BlockQuote"/>
        <w:numPr>
          <w:ilvl w:val="0"/>
          <w:numId w:val="40"/>
        </w:numPr>
        <w:ind w:left="2517" w:hanging="720"/>
        <w:jc w:val="left"/>
        <w:rPr>
          <w:sz w:val="20"/>
        </w:rPr>
      </w:pPr>
      <w:r w:rsidRPr="000605BC">
        <w:rPr>
          <w:sz w:val="20"/>
        </w:rPr>
        <w:t>Participation in, association with or conspiracy to commit, attempts to commit and aiding, abetting, facilitating and counselling the commission of any of the offences established in accordance with this article.</w:t>
      </w:r>
    </w:p>
    <w:p w14:paraId="6E1AA549" w14:textId="04FCFF1C" w:rsidR="00487FAB" w:rsidRDefault="00A77444" w:rsidP="00E36F66">
      <w:pPr>
        <w:rPr>
          <w:sz w:val="20"/>
          <w:lang w:val="en-US"/>
        </w:rPr>
      </w:pPr>
      <w:r w:rsidRPr="000605BC">
        <w:rPr>
          <w:sz w:val="20"/>
          <w:lang w:val="en-US"/>
        </w:rPr>
        <w:t>The</w:t>
      </w:r>
      <w:r w:rsidR="00255C2E" w:rsidRPr="000605BC">
        <w:rPr>
          <w:sz w:val="20"/>
          <w:lang w:val="en-US"/>
        </w:rPr>
        <w:t xml:space="preserve"> following excerpt from the</w:t>
      </w:r>
      <w:r w:rsidRPr="000605BC">
        <w:rPr>
          <w:sz w:val="20"/>
          <w:lang w:val="en-US"/>
        </w:rPr>
        <w:t xml:space="preserve"> </w:t>
      </w:r>
      <w:r w:rsidRPr="000605BC">
        <w:rPr>
          <w:i/>
          <w:sz w:val="20"/>
          <w:lang w:val="en-US"/>
        </w:rPr>
        <w:t xml:space="preserve">Legislative Guide for the Implementation of the United Nations Convention against Corruption </w:t>
      </w:r>
      <w:r w:rsidRPr="000605BC">
        <w:rPr>
          <w:sz w:val="20"/>
          <w:lang w:val="en-US"/>
        </w:rPr>
        <w:t>provides guidance</w:t>
      </w:r>
      <w:r w:rsidR="00E42064" w:rsidRPr="000605BC">
        <w:rPr>
          <w:sz w:val="20"/>
          <w:lang w:val="en-US"/>
        </w:rPr>
        <w:t xml:space="preserve"> on</w:t>
      </w:r>
      <w:r w:rsidRPr="000605BC">
        <w:rPr>
          <w:sz w:val="20"/>
          <w:lang w:val="en-US"/>
        </w:rPr>
        <w:t xml:space="preserve"> Article 23 to legislators tasked with incorporating Article 23 into a state’s domestic legislation</w:t>
      </w:r>
      <w:r w:rsidR="00255C2E" w:rsidRPr="000605BC">
        <w:rPr>
          <w:sz w:val="20"/>
          <w:lang w:val="en-US"/>
        </w:rPr>
        <w:t>:</w:t>
      </w:r>
      <w:r w:rsidRPr="000605BC">
        <w:rPr>
          <w:sz w:val="20"/>
          <w:lang w:val="en-US"/>
        </w:rPr>
        <w:t xml:space="preserve"> </w:t>
      </w:r>
    </w:p>
    <w:p w14:paraId="78D3752A" w14:textId="77777777" w:rsidR="00487FAB" w:rsidRDefault="00487FAB">
      <w:pPr>
        <w:spacing w:before="0" w:after="0"/>
        <w:jc w:val="left"/>
        <w:rPr>
          <w:sz w:val="20"/>
          <w:lang w:val="en-US"/>
        </w:rPr>
      </w:pPr>
      <w:r>
        <w:rPr>
          <w:sz w:val="20"/>
          <w:lang w:val="en-US"/>
        </w:rPr>
        <w:br w:type="page"/>
      </w:r>
    </w:p>
    <w:tbl>
      <w:tblPr>
        <w:tblStyle w:val="TableGrid"/>
        <w:tblW w:w="0" w:type="auto"/>
        <w:jc w:val="center"/>
        <w:tblCellMar>
          <w:top w:w="284" w:type="dxa"/>
          <w:left w:w="284" w:type="dxa"/>
          <w:bottom w:w="284" w:type="dxa"/>
          <w:right w:w="284" w:type="dxa"/>
        </w:tblCellMar>
        <w:tblLook w:val="04A0" w:firstRow="1" w:lastRow="0" w:firstColumn="1" w:lastColumn="0" w:noHBand="0" w:noVBand="1"/>
      </w:tblPr>
      <w:tblGrid>
        <w:gridCol w:w="8080"/>
      </w:tblGrid>
      <w:tr w:rsidR="00B80852" w:rsidRPr="000605BC" w14:paraId="6A0CEE32" w14:textId="77777777" w:rsidTr="00487FAB">
        <w:trPr>
          <w:jc w:val="center"/>
        </w:trPr>
        <w:tc>
          <w:tcPr>
            <w:tcW w:w="8080" w:type="dxa"/>
            <w:tcBorders>
              <w:top w:val="nil"/>
              <w:left w:val="nil"/>
              <w:bottom w:val="nil"/>
              <w:right w:val="nil"/>
            </w:tcBorders>
            <w:shd w:val="clear" w:color="auto" w:fill="D9D9D9" w:themeFill="background1" w:themeFillShade="D9"/>
          </w:tcPr>
          <w:p w14:paraId="244B0E41" w14:textId="77777777" w:rsidR="00B80852" w:rsidRPr="000605BC" w:rsidRDefault="00B80852" w:rsidP="00E752E0">
            <w:pPr>
              <w:pStyle w:val="ExcerptMarker"/>
              <w:spacing w:before="0"/>
              <w:rPr>
                <w:sz w:val="16"/>
              </w:rPr>
            </w:pPr>
            <w:r w:rsidRPr="000605BC">
              <w:rPr>
                <w:sz w:val="16"/>
              </w:rPr>
              <w:t>Beginning of Excerpt</w:t>
            </w:r>
          </w:p>
          <w:p w14:paraId="3FF06D4E" w14:textId="3AED9F7A" w:rsidR="00D14005" w:rsidRPr="000605BC" w:rsidRDefault="00D14005" w:rsidP="00B80852">
            <w:pPr>
              <w:rPr>
                <w:rFonts w:eastAsia="Times New Roman" w:cs="Times New Roman"/>
                <w:b/>
                <w:sz w:val="20"/>
                <w:lang w:val="en-US"/>
              </w:rPr>
            </w:pPr>
            <w:r w:rsidRPr="000605BC">
              <w:rPr>
                <w:rFonts w:eastAsia="Times New Roman" w:cs="Times New Roman"/>
                <w:b/>
                <w:sz w:val="20"/>
                <w:lang w:val="en-US"/>
              </w:rPr>
              <w:t>(e) Money-laundering</w:t>
            </w:r>
          </w:p>
          <w:p w14:paraId="23A2B39D" w14:textId="77777777" w:rsidR="00B80852" w:rsidRPr="000605BC" w:rsidRDefault="00B80852" w:rsidP="00B80852">
            <w:pPr>
              <w:rPr>
                <w:rFonts w:eastAsia="Times New Roman" w:cs="Times New Roman"/>
                <w:sz w:val="20"/>
                <w:lang w:val="en-US"/>
              </w:rPr>
            </w:pPr>
            <w:r w:rsidRPr="000605BC">
              <w:rPr>
                <w:rFonts w:eastAsia="Times New Roman" w:cs="Times New Roman"/>
                <w:sz w:val="20"/>
                <w:lang w:val="en-US"/>
              </w:rPr>
              <w:t>220. Article 23 requires the establishment of offences related to the laundering of proceeds of crime, in accordance with fundamental principles of domestic law. The related Convention articles addressing measures aimed at the prevention of money-laundering were discussed in the previous chapter.</w:t>
            </w:r>
          </w:p>
          <w:p w14:paraId="33D149E7" w14:textId="77777777" w:rsidR="00B80852" w:rsidRPr="000605BC" w:rsidRDefault="00B80852" w:rsidP="00B80852">
            <w:pPr>
              <w:rPr>
                <w:rFonts w:eastAsia="Times New Roman" w:cs="Times New Roman"/>
                <w:sz w:val="20"/>
                <w:lang w:val="en-US"/>
              </w:rPr>
            </w:pPr>
            <w:r w:rsidRPr="000605BC">
              <w:rPr>
                <w:rFonts w:eastAsia="Times New Roman" w:cs="Times New Roman"/>
                <w:sz w:val="20"/>
                <w:lang w:val="en-US"/>
              </w:rPr>
              <w:t>221. In the context of globalization, criminals take advantage of easier capital movement, advances in technology and increases in the mobility of people and commodities, as well as the significant diversity of legal provisions in various jurisdictions. As a result, assets can be transferred instantly from place to place through both formal and informal channels. Through exploitation of existing legal asymmetries, funds may appear finally as legitimate assets available in any part of the world.</w:t>
            </w:r>
          </w:p>
          <w:p w14:paraId="7F0D01C6" w14:textId="77777777" w:rsidR="00B80852" w:rsidRPr="000605BC" w:rsidRDefault="00B80852" w:rsidP="00B80852">
            <w:pPr>
              <w:rPr>
                <w:rFonts w:eastAsia="Times New Roman" w:cs="Times New Roman"/>
                <w:sz w:val="20"/>
                <w:lang w:val="en-US"/>
              </w:rPr>
            </w:pPr>
            <w:r w:rsidRPr="000605BC">
              <w:rPr>
                <w:rFonts w:eastAsia="Times New Roman" w:cs="Times New Roman"/>
                <w:sz w:val="20"/>
                <w:lang w:val="en-US"/>
              </w:rPr>
              <w:t>222. Confronting corruption effectively requires measures aimed at eliminating the financial or other benefits that motivate public officials to act improperly. Beyond this, combating money-laundering also helps to preserve the integrity of financial institutions, both formal and informal, and to protect the smooth operation of the international financial system as a whole.</w:t>
            </w:r>
          </w:p>
          <w:p w14:paraId="310A077C" w14:textId="77777777" w:rsidR="00B80852" w:rsidRPr="000605BC" w:rsidRDefault="00B80852" w:rsidP="00B80852">
            <w:pPr>
              <w:rPr>
                <w:rFonts w:eastAsia="Times New Roman" w:cs="Times New Roman"/>
                <w:sz w:val="20"/>
                <w:lang w:val="en-US"/>
              </w:rPr>
            </w:pPr>
            <w:r w:rsidRPr="000605BC">
              <w:rPr>
                <w:rFonts w:eastAsia="Times New Roman" w:cs="Times New Roman"/>
                <w:sz w:val="20"/>
                <w:lang w:val="en-US"/>
              </w:rPr>
              <w:t>223. As noted in the previous chapter, this goal can only be achieved through international and cooperative efforts. It is essential that States and regions try to make their approaches, standards and legal systems related to this offence compatible, so that they can cooperate with one another in controlling the international laundering of criminal proceeds. Jurisdictions with weak or no control mechanisms render the work of money launderers easier. Thus, the Convention against Corruption seeks to provide a minimum standard for all States.</w:t>
            </w:r>
          </w:p>
          <w:p w14:paraId="68CDF1F1" w14:textId="77777777" w:rsidR="00B80852" w:rsidRPr="000605BC" w:rsidRDefault="00B80852" w:rsidP="00B80852">
            <w:pPr>
              <w:rPr>
                <w:rFonts w:eastAsia="Times New Roman" w:cs="Times New Roman"/>
                <w:sz w:val="20"/>
                <w:lang w:val="en-US"/>
              </w:rPr>
            </w:pPr>
            <w:r w:rsidRPr="000605BC">
              <w:rPr>
                <w:rFonts w:eastAsia="Times New Roman" w:cs="Times New Roman"/>
                <w:sz w:val="20"/>
                <w:lang w:val="en-US"/>
              </w:rPr>
              <w:t>224. The Convention against Corruption specifically recognizes the link between corrupt practices and money-laundering and builds on earlier and parallel national, regional and international initiatives in that regard. Those initiatives addressed the issue through a combination of repressive and preventive measures and the Convention follows the same pattern (see also chap. II of the present guide).</w:t>
            </w:r>
          </w:p>
          <w:p w14:paraId="3FC798D8" w14:textId="77777777" w:rsidR="00B80852" w:rsidRPr="000605BC" w:rsidRDefault="00B80852" w:rsidP="00B80852">
            <w:pPr>
              <w:rPr>
                <w:rFonts w:eastAsia="Times New Roman" w:cs="Times New Roman"/>
                <w:sz w:val="20"/>
                <w:lang w:val="en-US"/>
              </w:rPr>
            </w:pPr>
            <w:r w:rsidRPr="000605BC">
              <w:rPr>
                <w:rFonts w:eastAsia="Times New Roman" w:cs="Times New Roman"/>
                <w:sz w:val="20"/>
                <w:lang w:val="en-US"/>
              </w:rPr>
              <w:t>225. One of the most important of the previous initiatives related to the Organized Crime Convention, which mandated the establishment of the offence of money-laundering for additional predicate offences, including corruption of public officials, and encouraged States to widen the range of predicate offences beyond the minimum requirements.</w:t>
            </w:r>
          </w:p>
          <w:p w14:paraId="673F7EB1" w14:textId="1902D42A" w:rsidR="00B80852" w:rsidRPr="000605BC" w:rsidRDefault="00B80852" w:rsidP="00B80852">
            <w:pPr>
              <w:rPr>
                <w:rFonts w:eastAsia="Times New Roman" w:cs="Times New Roman"/>
                <w:sz w:val="20"/>
                <w:lang w:val="en-US"/>
              </w:rPr>
            </w:pPr>
            <w:r w:rsidRPr="000605BC">
              <w:rPr>
                <w:rFonts w:eastAsia="Times New Roman" w:cs="Times New Roman"/>
                <w:sz w:val="20"/>
                <w:lang w:val="en-US"/>
              </w:rPr>
              <w:t xml:space="preserve">226. </w:t>
            </w:r>
            <w:r w:rsidR="003A6F8D" w:rsidRPr="000605BC">
              <w:rPr>
                <w:rFonts w:eastAsia="Times New Roman" w:cs="Times New Roman"/>
                <w:sz w:val="20"/>
                <w:lang w:val="en-US"/>
              </w:rPr>
              <w:t>“</w:t>
            </w:r>
            <w:r w:rsidRPr="000605BC">
              <w:rPr>
                <w:rFonts w:eastAsia="Times New Roman" w:cs="Times New Roman"/>
                <w:sz w:val="20"/>
                <w:lang w:val="en-US"/>
              </w:rPr>
              <w:t>Predicate offence</w:t>
            </w:r>
            <w:r w:rsidR="003A6F8D" w:rsidRPr="000605BC">
              <w:rPr>
                <w:rFonts w:eastAsia="Times New Roman" w:cs="Times New Roman"/>
                <w:sz w:val="20"/>
                <w:lang w:val="en-US"/>
              </w:rPr>
              <w:t>”</w:t>
            </w:r>
            <w:r w:rsidRPr="000605BC">
              <w:rPr>
                <w:rFonts w:eastAsia="Times New Roman" w:cs="Times New Roman"/>
                <w:sz w:val="20"/>
                <w:lang w:val="en-US"/>
              </w:rPr>
              <w:t xml:space="preserve"> is defined as </w:t>
            </w:r>
            <w:r w:rsidR="003A6F8D" w:rsidRPr="000605BC">
              <w:rPr>
                <w:rFonts w:eastAsia="Times New Roman" w:cs="Times New Roman"/>
                <w:sz w:val="20"/>
                <w:lang w:val="en-US"/>
              </w:rPr>
              <w:t>“</w:t>
            </w:r>
            <w:r w:rsidRPr="000605BC">
              <w:rPr>
                <w:rFonts w:eastAsia="Times New Roman" w:cs="Times New Roman"/>
                <w:sz w:val="20"/>
                <w:lang w:val="en-US"/>
              </w:rPr>
              <w:t>any offence as a result of which proceeds have been generated that may become the subject of an offence as defined in article 23 of this Convention</w:t>
            </w:r>
            <w:r w:rsidR="003A6F8D" w:rsidRPr="000605BC">
              <w:rPr>
                <w:rFonts w:eastAsia="Times New Roman" w:cs="Times New Roman"/>
                <w:sz w:val="20"/>
                <w:lang w:val="en-US"/>
              </w:rPr>
              <w:t>”</w:t>
            </w:r>
            <w:r w:rsidRPr="000605BC">
              <w:rPr>
                <w:rFonts w:eastAsia="Times New Roman" w:cs="Times New Roman"/>
                <w:sz w:val="20"/>
                <w:lang w:val="en-US"/>
              </w:rPr>
              <w:t xml:space="preserve"> (art. 2, </w:t>
            </w:r>
            <w:proofErr w:type="spellStart"/>
            <w:r w:rsidRPr="000605BC">
              <w:rPr>
                <w:rFonts w:eastAsia="Times New Roman" w:cs="Times New Roman"/>
                <w:sz w:val="20"/>
                <w:lang w:val="en-US"/>
              </w:rPr>
              <w:t>subpara</w:t>
            </w:r>
            <w:proofErr w:type="spellEnd"/>
            <w:r w:rsidRPr="000605BC">
              <w:rPr>
                <w:rFonts w:eastAsia="Times New Roman" w:cs="Times New Roman"/>
                <w:sz w:val="20"/>
                <w:lang w:val="en-US"/>
              </w:rPr>
              <w:t xml:space="preserve">. </w:t>
            </w:r>
            <w:r w:rsidRPr="000605BC">
              <w:rPr>
                <w:rFonts w:eastAsia="Times New Roman" w:cs="Times New Roman"/>
                <w:iCs/>
                <w:sz w:val="20"/>
                <w:lang w:val="en-US"/>
              </w:rPr>
              <w:t>(h)</w:t>
            </w:r>
            <w:r w:rsidRPr="000605BC">
              <w:rPr>
                <w:rFonts w:eastAsia="Times New Roman" w:cs="Times New Roman"/>
                <w:sz w:val="20"/>
                <w:lang w:val="en-US"/>
              </w:rPr>
              <w:t>).</w:t>
            </w:r>
          </w:p>
          <w:p w14:paraId="09EC3F8B" w14:textId="77777777" w:rsidR="00B80852" w:rsidRPr="000605BC" w:rsidRDefault="00B80852" w:rsidP="00B80852">
            <w:pPr>
              <w:rPr>
                <w:rFonts w:eastAsia="Times New Roman" w:cs="Times New Roman"/>
                <w:sz w:val="20"/>
                <w:lang w:val="en-US"/>
              </w:rPr>
            </w:pPr>
            <w:r w:rsidRPr="000605BC">
              <w:rPr>
                <w:rFonts w:eastAsia="Times New Roman" w:cs="Times New Roman"/>
                <w:sz w:val="20"/>
                <w:lang w:val="en-US"/>
              </w:rPr>
              <w:t>227. As a result of all these initiatives, many States already have money laundering laws. Nevertheless, such laws may be limited in scope and may not cover a wide range of predicate offences. Article 23 requires that the list of predicate offences include the widest possible range and at a minimum the offences established in accordance with the Convention against Corruption.</w:t>
            </w:r>
          </w:p>
          <w:p w14:paraId="474E78E9" w14:textId="77777777" w:rsidR="00B80852" w:rsidRPr="000605BC" w:rsidRDefault="00B80852" w:rsidP="00B80852">
            <w:pPr>
              <w:rPr>
                <w:rFonts w:eastAsia="Times New Roman" w:cs="Times New Roman"/>
                <w:sz w:val="20"/>
                <w:lang w:val="en-US"/>
              </w:rPr>
            </w:pPr>
            <w:r w:rsidRPr="000605BC">
              <w:rPr>
                <w:rFonts w:eastAsia="Times New Roman" w:cs="Times New Roman"/>
                <w:sz w:val="20"/>
                <w:lang w:val="en-US"/>
              </w:rPr>
              <w:t>228. The provisions of the Convention against Corruption addressing the seizure, freezing and confiscation of proceeds (see art. 31) and the recovery of assets (see chap. V of the Convention and, especially, art. 57) include important related measures. States should review the provisions they already have in place to counter money-laundering in order to ensure compliance with these articles and those dealing with international cooperation (chap. IV). States undertaking such a review may wish to use the opportunity to implement the obligations they assume under other regional or international instruments and initiatives currently in place.</w:t>
            </w:r>
          </w:p>
          <w:p w14:paraId="28814C13" w14:textId="77777777" w:rsidR="00B80852" w:rsidRPr="000605BC" w:rsidRDefault="00B80852" w:rsidP="00B80852">
            <w:pPr>
              <w:rPr>
                <w:rFonts w:eastAsia="Times New Roman" w:cs="Times New Roman"/>
                <w:sz w:val="20"/>
                <w:lang w:val="en-US"/>
              </w:rPr>
            </w:pPr>
            <w:r w:rsidRPr="000605BC">
              <w:rPr>
                <w:rFonts w:eastAsia="Times New Roman" w:cs="Times New Roman"/>
                <w:sz w:val="20"/>
                <w:lang w:val="en-US"/>
              </w:rPr>
              <w:t>229. Article 23 requires that States parties establish the four offences related to money-laundering described in the following paragraphs:</w:t>
            </w:r>
          </w:p>
          <w:p w14:paraId="03504F0C" w14:textId="77777777" w:rsidR="00B80852" w:rsidRPr="000605BC" w:rsidRDefault="00B80852" w:rsidP="00B80852">
            <w:pPr>
              <w:rPr>
                <w:rFonts w:eastAsia="Times New Roman" w:cs="Times New Roman"/>
                <w:b/>
                <w:iCs/>
                <w:sz w:val="20"/>
                <w:lang w:val="en-US"/>
              </w:rPr>
            </w:pPr>
            <w:r w:rsidRPr="000605BC">
              <w:rPr>
                <w:rFonts w:eastAsia="Times New Roman" w:cs="Times New Roman"/>
                <w:b/>
                <w:iCs/>
                <w:sz w:val="20"/>
                <w:lang w:val="en-US"/>
              </w:rPr>
              <w:t>(f) Conversion or transfer of proceeds of crime</w:t>
            </w:r>
          </w:p>
          <w:p w14:paraId="3AF5202E" w14:textId="77777777" w:rsidR="00B80852" w:rsidRPr="000605BC" w:rsidRDefault="00B80852" w:rsidP="00B80852">
            <w:pPr>
              <w:rPr>
                <w:rFonts w:eastAsia="Times New Roman" w:cs="Times New Roman"/>
                <w:sz w:val="20"/>
                <w:lang w:val="en-US"/>
              </w:rPr>
            </w:pPr>
            <w:r w:rsidRPr="000605BC">
              <w:rPr>
                <w:rFonts w:eastAsia="Times New Roman" w:cs="Times New Roman"/>
                <w:sz w:val="20"/>
                <w:lang w:val="en-US"/>
              </w:rPr>
              <w:t xml:space="preserve">230. The first offence is the conversion or transfer of property, knowing that such property is the proceeds of crime, for the purpose of concealing or disguising the illicit origin of the property or of helping any person who is involved in the commission of the predicate offence to evade the legal consequences of his or her action (art. 23, para. 1 </w:t>
            </w:r>
            <w:r w:rsidRPr="000605BC">
              <w:rPr>
                <w:rFonts w:eastAsia="Times New Roman" w:cs="Times New Roman"/>
                <w:iCs/>
                <w:sz w:val="20"/>
                <w:lang w:val="en-US"/>
              </w:rPr>
              <w:t xml:space="preserve">(a) </w:t>
            </w:r>
            <w:r w:rsidRPr="000605BC">
              <w:rPr>
                <w:rFonts w:eastAsia="Times New Roman" w:cs="Times New Roman"/>
                <w:sz w:val="20"/>
                <w:lang w:val="en-US"/>
              </w:rPr>
              <w:t>(</w:t>
            </w:r>
            <w:proofErr w:type="spellStart"/>
            <w:r w:rsidRPr="000605BC">
              <w:rPr>
                <w:rFonts w:eastAsia="Times New Roman" w:cs="Times New Roman"/>
                <w:sz w:val="20"/>
                <w:lang w:val="en-US"/>
              </w:rPr>
              <w:t>i</w:t>
            </w:r>
            <w:proofErr w:type="spellEnd"/>
            <w:r w:rsidRPr="000605BC">
              <w:rPr>
                <w:rFonts w:eastAsia="Times New Roman" w:cs="Times New Roman"/>
                <w:sz w:val="20"/>
                <w:lang w:val="en-US"/>
              </w:rPr>
              <w:t>)).</w:t>
            </w:r>
          </w:p>
          <w:p w14:paraId="68E04D9E" w14:textId="567A3D91" w:rsidR="00B80852" w:rsidRPr="000605BC" w:rsidRDefault="00B80852" w:rsidP="00B80852">
            <w:pPr>
              <w:rPr>
                <w:rFonts w:eastAsia="Times New Roman" w:cs="Times New Roman"/>
                <w:sz w:val="20"/>
                <w:lang w:val="en-US"/>
              </w:rPr>
            </w:pPr>
            <w:r w:rsidRPr="000605BC">
              <w:rPr>
                <w:rFonts w:eastAsia="Times New Roman" w:cs="Times New Roman"/>
                <w:sz w:val="20"/>
                <w:lang w:val="en-US"/>
              </w:rPr>
              <w:t xml:space="preserve">231. The term </w:t>
            </w:r>
            <w:r w:rsidR="003A6F8D" w:rsidRPr="000605BC">
              <w:rPr>
                <w:rFonts w:eastAsia="Times New Roman" w:cs="Times New Roman"/>
                <w:sz w:val="20"/>
                <w:lang w:val="en-US"/>
              </w:rPr>
              <w:t>“</w:t>
            </w:r>
            <w:r w:rsidRPr="000605BC">
              <w:rPr>
                <w:rFonts w:eastAsia="Times New Roman" w:cs="Times New Roman"/>
                <w:sz w:val="20"/>
                <w:lang w:val="en-US"/>
              </w:rPr>
              <w:t>conversion or transfer</w:t>
            </w:r>
            <w:r w:rsidR="003A6F8D" w:rsidRPr="000605BC">
              <w:rPr>
                <w:rFonts w:eastAsia="Times New Roman" w:cs="Times New Roman"/>
                <w:sz w:val="20"/>
                <w:lang w:val="en-US"/>
              </w:rPr>
              <w:t>”</w:t>
            </w:r>
            <w:r w:rsidRPr="000605BC">
              <w:rPr>
                <w:rFonts w:eastAsia="Times New Roman" w:cs="Times New Roman"/>
                <w:sz w:val="20"/>
                <w:lang w:val="en-US"/>
              </w:rPr>
              <w:t xml:space="preserve"> includes instances in which financial assets are converted from one form or type to another, for example, by using illicitly generated cash to purchase precious metals or real estate or the sale of illicitly acquired real estate, as well as instances in which the same assets are moved from one place or jurisdiction to another or from one bank account to another.</w:t>
            </w:r>
          </w:p>
          <w:p w14:paraId="000E8D21" w14:textId="14420851" w:rsidR="00B80852" w:rsidRPr="000605BC" w:rsidRDefault="00B80852" w:rsidP="00B80852">
            <w:pPr>
              <w:rPr>
                <w:rFonts w:eastAsia="Times New Roman" w:cs="Times New Roman"/>
                <w:sz w:val="20"/>
                <w:lang w:val="en-US"/>
              </w:rPr>
            </w:pPr>
            <w:r w:rsidRPr="000605BC">
              <w:rPr>
                <w:rFonts w:eastAsia="Times New Roman" w:cs="Times New Roman"/>
                <w:sz w:val="20"/>
                <w:lang w:val="en-US"/>
              </w:rPr>
              <w:t xml:space="preserve">232. The term </w:t>
            </w:r>
            <w:r w:rsidR="003A6F8D" w:rsidRPr="000605BC">
              <w:rPr>
                <w:rFonts w:eastAsia="Times New Roman" w:cs="Times New Roman"/>
                <w:sz w:val="20"/>
                <w:lang w:val="en-US"/>
              </w:rPr>
              <w:t>“</w:t>
            </w:r>
            <w:r w:rsidRPr="000605BC">
              <w:rPr>
                <w:rFonts w:eastAsia="Times New Roman" w:cs="Times New Roman"/>
                <w:sz w:val="20"/>
                <w:lang w:val="en-US"/>
              </w:rPr>
              <w:t>proceeds of crime</w:t>
            </w:r>
            <w:r w:rsidR="003A6F8D" w:rsidRPr="000605BC">
              <w:rPr>
                <w:rFonts w:eastAsia="Times New Roman" w:cs="Times New Roman"/>
                <w:sz w:val="20"/>
                <w:lang w:val="en-US"/>
              </w:rPr>
              <w:t>”</w:t>
            </w:r>
            <w:r w:rsidRPr="000605BC">
              <w:rPr>
                <w:rFonts w:eastAsia="Times New Roman" w:cs="Times New Roman"/>
                <w:sz w:val="20"/>
                <w:lang w:val="en-US"/>
              </w:rPr>
              <w:t xml:space="preserve"> means </w:t>
            </w:r>
            <w:r w:rsidR="003A6F8D" w:rsidRPr="000605BC">
              <w:rPr>
                <w:rFonts w:eastAsia="Times New Roman" w:cs="Times New Roman"/>
                <w:sz w:val="20"/>
                <w:lang w:val="en-US"/>
              </w:rPr>
              <w:t>“</w:t>
            </w:r>
            <w:r w:rsidRPr="000605BC">
              <w:rPr>
                <w:rFonts w:eastAsia="Times New Roman" w:cs="Times New Roman"/>
                <w:sz w:val="20"/>
                <w:lang w:val="en-US"/>
              </w:rPr>
              <w:t>any property derived from or obtained, directly or indirectly, through the commission of an offence</w:t>
            </w:r>
            <w:r w:rsidR="003A6F8D" w:rsidRPr="000605BC">
              <w:rPr>
                <w:rFonts w:eastAsia="Times New Roman" w:cs="Times New Roman"/>
                <w:sz w:val="20"/>
                <w:lang w:val="en-US"/>
              </w:rPr>
              <w:t>”</w:t>
            </w:r>
            <w:r w:rsidRPr="000605BC">
              <w:rPr>
                <w:rFonts w:eastAsia="Times New Roman" w:cs="Times New Roman"/>
                <w:sz w:val="20"/>
                <w:lang w:val="en-US"/>
              </w:rPr>
              <w:t xml:space="preserve"> (art. 2, </w:t>
            </w:r>
            <w:proofErr w:type="spellStart"/>
            <w:r w:rsidRPr="000605BC">
              <w:rPr>
                <w:rFonts w:eastAsia="Times New Roman" w:cs="Times New Roman"/>
                <w:sz w:val="20"/>
                <w:lang w:val="en-US"/>
              </w:rPr>
              <w:t>subpara</w:t>
            </w:r>
            <w:proofErr w:type="spellEnd"/>
            <w:r w:rsidRPr="000605BC">
              <w:rPr>
                <w:rFonts w:eastAsia="Times New Roman" w:cs="Times New Roman"/>
                <w:sz w:val="20"/>
                <w:lang w:val="en-US"/>
              </w:rPr>
              <w:t xml:space="preserve">. </w:t>
            </w:r>
            <w:r w:rsidRPr="000605BC">
              <w:rPr>
                <w:rFonts w:eastAsia="Times New Roman" w:cs="Times New Roman"/>
                <w:iCs/>
                <w:sz w:val="20"/>
                <w:lang w:val="en-US"/>
              </w:rPr>
              <w:t>(e)</w:t>
            </w:r>
            <w:r w:rsidRPr="000605BC">
              <w:rPr>
                <w:rFonts w:eastAsia="Times New Roman" w:cs="Times New Roman"/>
                <w:sz w:val="20"/>
                <w:lang w:val="en-US"/>
              </w:rPr>
              <w:t>).</w:t>
            </w:r>
          </w:p>
          <w:p w14:paraId="4948DF96" w14:textId="77777777" w:rsidR="00B80852" w:rsidRPr="000605BC" w:rsidRDefault="00B80852" w:rsidP="00B80852">
            <w:pPr>
              <w:rPr>
                <w:rFonts w:eastAsia="Times New Roman" w:cs="Times New Roman"/>
                <w:sz w:val="20"/>
                <w:lang w:val="en-US"/>
              </w:rPr>
            </w:pPr>
            <w:r w:rsidRPr="000605BC">
              <w:rPr>
                <w:rFonts w:eastAsia="Times New Roman" w:cs="Times New Roman"/>
                <w:sz w:val="20"/>
                <w:lang w:val="en-US"/>
              </w:rPr>
              <w:t>233. With respect to the mental or subjective elements required, the conversion or transfer must be intentional, the accused must have knowledge at the time of conversion or transfer that the assets are criminal proceeds and the act or acts must be done for the purpose of either concealing or disguising their criminal origin, for example by helping to prevent their discovery, or helping a person evade criminal liability for the crime that generated the proceeds.</w:t>
            </w:r>
          </w:p>
          <w:p w14:paraId="0BB66AF8" w14:textId="77777777" w:rsidR="00B80852" w:rsidRPr="000605BC" w:rsidRDefault="00B80852" w:rsidP="00B80852">
            <w:pPr>
              <w:rPr>
                <w:rFonts w:eastAsia="Times New Roman" w:cs="Times New Roman"/>
                <w:sz w:val="20"/>
                <w:lang w:val="en-US"/>
              </w:rPr>
            </w:pPr>
            <w:r w:rsidRPr="000605BC">
              <w:rPr>
                <w:rFonts w:eastAsia="Times New Roman" w:cs="Times New Roman"/>
                <w:sz w:val="20"/>
                <w:lang w:val="en-US"/>
              </w:rPr>
              <w:t>234. As noted in article 28 of the Convention against Corruption, knowledge, intent or purpose may be inferred from objective factual circumstances.</w:t>
            </w:r>
          </w:p>
          <w:p w14:paraId="7032554D" w14:textId="77777777" w:rsidR="00B80852" w:rsidRPr="000605BC" w:rsidRDefault="00B80852" w:rsidP="00B80852">
            <w:pPr>
              <w:rPr>
                <w:rFonts w:eastAsia="Times New Roman" w:cs="Times New Roman"/>
                <w:b/>
                <w:iCs/>
                <w:sz w:val="20"/>
                <w:lang w:val="en-US"/>
              </w:rPr>
            </w:pPr>
            <w:r w:rsidRPr="000605BC">
              <w:rPr>
                <w:rFonts w:eastAsia="Times New Roman" w:cs="Times New Roman"/>
                <w:b/>
                <w:iCs/>
                <w:sz w:val="20"/>
                <w:lang w:val="en-US"/>
              </w:rPr>
              <w:t>(g) Concealment or disguise of proceeds of crime</w:t>
            </w:r>
          </w:p>
          <w:p w14:paraId="55FF676D" w14:textId="77777777" w:rsidR="00B80852" w:rsidRPr="000605BC" w:rsidRDefault="00B80852" w:rsidP="00B80852">
            <w:pPr>
              <w:rPr>
                <w:rFonts w:eastAsia="Times New Roman" w:cs="Times New Roman"/>
                <w:sz w:val="20"/>
                <w:lang w:val="en-US"/>
              </w:rPr>
            </w:pPr>
            <w:r w:rsidRPr="000605BC">
              <w:rPr>
                <w:rFonts w:eastAsia="Times New Roman" w:cs="Times New Roman"/>
                <w:sz w:val="20"/>
                <w:lang w:val="en-US"/>
              </w:rPr>
              <w:t xml:space="preserve">235. The second money-laundering offence is the concealment or disguise of the nature, source, location, disposition, movement or ownership of or rights with respect to property, knowing that such property is the proceeds of crime (art. 23, para. 1 </w:t>
            </w:r>
            <w:r w:rsidRPr="000605BC">
              <w:rPr>
                <w:rFonts w:eastAsia="Times New Roman" w:cs="Times New Roman"/>
                <w:iCs/>
                <w:sz w:val="20"/>
                <w:lang w:val="en-US"/>
              </w:rPr>
              <w:t xml:space="preserve">(a) </w:t>
            </w:r>
            <w:r w:rsidRPr="000605BC">
              <w:rPr>
                <w:rFonts w:eastAsia="Times New Roman" w:cs="Times New Roman"/>
                <w:sz w:val="20"/>
                <w:lang w:val="en-US"/>
              </w:rPr>
              <w:t>(ii)).</w:t>
            </w:r>
          </w:p>
          <w:p w14:paraId="422FB590" w14:textId="77777777" w:rsidR="00B80852" w:rsidRPr="000605BC" w:rsidRDefault="00B80852" w:rsidP="00B80852">
            <w:pPr>
              <w:rPr>
                <w:rFonts w:eastAsia="Times New Roman" w:cs="Times New Roman"/>
                <w:sz w:val="20"/>
                <w:lang w:val="en-US"/>
              </w:rPr>
            </w:pPr>
            <w:r w:rsidRPr="000605BC">
              <w:rPr>
                <w:rFonts w:eastAsia="Times New Roman" w:cs="Times New Roman"/>
                <w:sz w:val="20"/>
                <w:lang w:val="en-US"/>
              </w:rPr>
              <w:t>236. The elements of this offence are quite broad, including the concealment or disguise of almost any aspect of or information about property.</w:t>
            </w:r>
          </w:p>
          <w:p w14:paraId="3B551D8B" w14:textId="77777777" w:rsidR="00B80852" w:rsidRPr="000605BC" w:rsidRDefault="00B80852" w:rsidP="00B80852">
            <w:pPr>
              <w:rPr>
                <w:rFonts w:eastAsia="Times New Roman" w:cs="Times New Roman"/>
                <w:sz w:val="20"/>
                <w:lang w:val="en-US"/>
              </w:rPr>
            </w:pPr>
            <w:r w:rsidRPr="000605BC">
              <w:rPr>
                <w:rFonts w:eastAsia="Times New Roman" w:cs="Times New Roman"/>
                <w:sz w:val="20"/>
                <w:lang w:val="en-US"/>
              </w:rPr>
              <w:t xml:space="preserve">237. Here, with respect to the mental or subjective elements required, the concealment or disguise must be intentional and the accused must have knowledge that the property constitutes the proceeds of crime at the time of the act. This mental state is less stringent than for the offence set forth in article 23, subparagraph 1 </w:t>
            </w:r>
            <w:r w:rsidRPr="000605BC">
              <w:rPr>
                <w:rFonts w:eastAsia="Times New Roman" w:cs="Times New Roman"/>
                <w:iCs/>
                <w:sz w:val="20"/>
                <w:lang w:val="en-US"/>
              </w:rPr>
              <w:t xml:space="preserve">(a) </w:t>
            </w:r>
            <w:r w:rsidRPr="000605BC">
              <w:rPr>
                <w:rFonts w:eastAsia="Times New Roman" w:cs="Times New Roman"/>
                <w:sz w:val="20"/>
                <w:lang w:val="en-US"/>
              </w:rPr>
              <w:t>(</w:t>
            </w:r>
            <w:proofErr w:type="spellStart"/>
            <w:r w:rsidRPr="000605BC">
              <w:rPr>
                <w:rFonts w:eastAsia="Times New Roman" w:cs="Times New Roman"/>
                <w:sz w:val="20"/>
                <w:lang w:val="en-US"/>
              </w:rPr>
              <w:t>i</w:t>
            </w:r>
            <w:proofErr w:type="spellEnd"/>
            <w:r w:rsidRPr="000605BC">
              <w:rPr>
                <w:rFonts w:eastAsia="Times New Roman" w:cs="Times New Roman"/>
                <w:sz w:val="20"/>
                <w:lang w:val="en-US"/>
              </w:rPr>
              <w:t xml:space="preserve">). Accordingly, drafters should not require proof that the purpose of the concealment or disguise is to frustrate the tracing of the asset or to conceal its true origin. </w:t>
            </w:r>
          </w:p>
          <w:p w14:paraId="4B5B3B3B" w14:textId="77777777" w:rsidR="00B80852" w:rsidRPr="000605BC" w:rsidRDefault="00B80852" w:rsidP="00B80852">
            <w:pPr>
              <w:rPr>
                <w:rFonts w:eastAsia="Times New Roman" w:cs="Times New Roman"/>
                <w:sz w:val="20"/>
                <w:lang w:val="en-US"/>
              </w:rPr>
            </w:pPr>
            <w:r w:rsidRPr="000605BC">
              <w:rPr>
                <w:rFonts w:eastAsia="Times New Roman" w:cs="Times New Roman"/>
                <w:sz w:val="20"/>
                <w:lang w:val="en-US"/>
              </w:rPr>
              <w:t>238. The next two offences related to money-laundering are mandatory, subject to the basic concepts of the legal system of each State party.</w:t>
            </w:r>
          </w:p>
          <w:p w14:paraId="05FC2931" w14:textId="77777777" w:rsidR="00B80852" w:rsidRPr="000605BC" w:rsidRDefault="00B80852" w:rsidP="00B80852">
            <w:pPr>
              <w:rPr>
                <w:rFonts w:eastAsia="Times New Roman" w:cs="Times New Roman"/>
                <w:b/>
                <w:iCs/>
                <w:sz w:val="20"/>
                <w:lang w:val="en-US"/>
              </w:rPr>
            </w:pPr>
            <w:r w:rsidRPr="000605BC">
              <w:rPr>
                <w:rFonts w:eastAsia="Times New Roman" w:cs="Times New Roman"/>
                <w:b/>
                <w:iCs/>
                <w:sz w:val="20"/>
                <w:lang w:val="en-US"/>
              </w:rPr>
              <w:t>(h) Acquisition, possession or use of proceeds of crime</w:t>
            </w:r>
          </w:p>
          <w:p w14:paraId="35C4FFB6" w14:textId="77777777" w:rsidR="00B80852" w:rsidRPr="000605BC" w:rsidRDefault="00B80852" w:rsidP="00B80852">
            <w:pPr>
              <w:rPr>
                <w:rFonts w:eastAsia="Times New Roman" w:cs="Times New Roman"/>
                <w:sz w:val="20"/>
                <w:lang w:val="en-US"/>
              </w:rPr>
            </w:pPr>
            <w:r w:rsidRPr="000605BC">
              <w:rPr>
                <w:rFonts w:eastAsia="Times New Roman" w:cs="Times New Roman"/>
                <w:sz w:val="20"/>
                <w:lang w:val="en-US"/>
              </w:rPr>
              <w:t xml:space="preserve">239. The third offence is the acquisition, possession or use of proceeds of crime knowing, at the time of receipt, that such property is the proceeds of crime (art. 23, para. 1 </w:t>
            </w:r>
            <w:r w:rsidRPr="000605BC">
              <w:rPr>
                <w:rFonts w:eastAsia="Times New Roman" w:cs="Times New Roman"/>
                <w:iCs/>
                <w:sz w:val="20"/>
                <w:lang w:val="en-US"/>
              </w:rPr>
              <w:t xml:space="preserve">(b) </w:t>
            </w:r>
            <w:r w:rsidRPr="000605BC">
              <w:rPr>
                <w:rFonts w:eastAsia="Times New Roman" w:cs="Times New Roman"/>
                <w:sz w:val="20"/>
                <w:lang w:val="en-US"/>
              </w:rPr>
              <w:t>(</w:t>
            </w:r>
            <w:proofErr w:type="spellStart"/>
            <w:r w:rsidRPr="000605BC">
              <w:rPr>
                <w:rFonts w:eastAsia="Times New Roman" w:cs="Times New Roman"/>
                <w:sz w:val="20"/>
                <w:lang w:val="en-US"/>
              </w:rPr>
              <w:t>i</w:t>
            </w:r>
            <w:proofErr w:type="spellEnd"/>
            <w:r w:rsidRPr="000605BC">
              <w:rPr>
                <w:rFonts w:eastAsia="Times New Roman" w:cs="Times New Roman"/>
                <w:sz w:val="20"/>
                <w:lang w:val="en-US"/>
              </w:rPr>
              <w:t>)).</w:t>
            </w:r>
          </w:p>
          <w:p w14:paraId="6192CAD2" w14:textId="77777777" w:rsidR="00B80852" w:rsidRPr="000605BC" w:rsidRDefault="00B80852" w:rsidP="00B80852">
            <w:pPr>
              <w:rPr>
                <w:rFonts w:eastAsia="Times New Roman" w:cs="Times New Roman"/>
                <w:iCs/>
                <w:sz w:val="20"/>
                <w:lang w:val="en-US"/>
              </w:rPr>
            </w:pPr>
            <w:r w:rsidRPr="000605BC">
              <w:rPr>
                <w:rFonts w:eastAsia="Times New Roman" w:cs="Times New Roman"/>
                <w:sz w:val="20"/>
                <w:lang w:val="en-US"/>
              </w:rPr>
              <w:t xml:space="preserve">240. This is the mirror image of the offences under article 23, paragraph 1 </w:t>
            </w:r>
            <w:r w:rsidRPr="000605BC">
              <w:rPr>
                <w:rFonts w:eastAsia="Times New Roman" w:cs="Times New Roman"/>
                <w:iCs/>
                <w:sz w:val="20"/>
                <w:lang w:val="en-US"/>
              </w:rPr>
              <w:t>(a</w:t>
            </w:r>
            <w:proofErr w:type="gramStart"/>
            <w:r w:rsidRPr="000605BC">
              <w:rPr>
                <w:rFonts w:eastAsia="Times New Roman" w:cs="Times New Roman"/>
                <w:iCs/>
                <w:sz w:val="20"/>
                <w:lang w:val="en-US"/>
              </w:rPr>
              <w:t>)</w:t>
            </w:r>
            <w:r w:rsidRPr="000605BC">
              <w:rPr>
                <w:rFonts w:eastAsia="Times New Roman" w:cs="Times New Roman"/>
                <w:sz w:val="20"/>
                <w:lang w:val="en-US"/>
              </w:rPr>
              <w:t>(</w:t>
            </w:r>
            <w:proofErr w:type="spellStart"/>
            <w:proofErr w:type="gramEnd"/>
            <w:r w:rsidRPr="000605BC">
              <w:rPr>
                <w:rFonts w:eastAsia="Times New Roman" w:cs="Times New Roman"/>
                <w:sz w:val="20"/>
                <w:lang w:val="en-US"/>
              </w:rPr>
              <w:t>i</w:t>
            </w:r>
            <w:proofErr w:type="spellEnd"/>
            <w:r w:rsidRPr="000605BC">
              <w:rPr>
                <w:rFonts w:eastAsia="Times New Roman" w:cs="Times New Roman"/>
                <w:sz w:val="20"/>
                <w:lang w:val="en-US"/>
              </w:rPr>
              <w:t>) and (ii), in that, while those provisions impose liability on the providers of</w:t>
            </w:r>
            <w:r w:rsidRPr="000605BC">
              <w:rPr>
                <w:rFonts w:eastAsia="Times New Roman" w:cs="Times New Roman"/>
                <w:iCs/>
                <w:sz w:val="20"/>
                <w:lang w:val="en-US"/>
              </w:rPr>
              <w:t xml:space="preserve"> </w:t>
            </w:r>
            <w:r w:rsidRPr="000605BC">
              <w:rPr>
                <w:rFonts w:eastAsia="Times New Roman" w:cs="Times New Roman"/>
                <w:sz w:val="20"/>
                <w:lang w:val="en-US"/>
              </w:rPr>
              <w:t>illicit proceeds, this paragraph imposes liability on recipients who acquire, possess</w:t>
            </w:r>
            <w:r w:rsidRPr="000605BC">
              <w:rPr>
                <w:rFonts w:eastAsia="Times New Roman" w:cs="Times New Roman"/>
                <w:iCs/>
                <w:sz w:val="20"/>
                <w:lang w:val="en-US"/>
              </w:rPr>
              <w:t xml:space="preserve"> </w:t>
            </w:r>
            <w:r w:rsidRPr="000605BC">
              <w:rPr>
                <w:rFonts w:eastAsia="Times New Roman" w:cs="Times New Roman"/>
                <w:sz w:val="20"/>
                <w:lang w:val="en-US"/>
              </w:rPr>
              <w:t>or use the property.</w:t>
            </w:r>
          </w:p>
          <w:p w14:paraId="577BD518" w14:textId="77777777" w:rsidR="00B80852" w:rsidRPr="000605BC" w:rsidRDefault="00B80852" w:rsidP="00B80852">
            <w:pPr>
              <w:rPr>
                <w:rFonts w:eastAsia="Times New Roman" w:cs="Times New Roman"/>
                <w:sz w:val="20"/>
                <w:lang w:val="en-US"/>
              </w:rPr>
            </w:pPr>
            <w:r w:rsidRPr="000605BC">
              <w:rPr>
                <w:rFonts w:eastAsia="Times New Roman" w:cs="Times New Roman"/>
                <w:sz w:val="20"/>
                <w:lang w:val="en-US"/>
              </w:rPr>
              <w:t xml:space="preserve">241. The mental or subjective elements are the same as for the offence under article 23, paragraph 1 </w:t>
            </w:r>
            <w:r w:rsidRPr="000605BC">
              <w:rPr>
                <w:rFonts w:eastAsia="Times New Roman" w:cs="Times New Roman"/>
                <w:iCs/>
                <w:sz w:val="20"/>
                <w:lang w:val="en-US"/>
              </w:rPr>
              <w:t xml:space="preserve">(a) </w:t>
            </w:r>
            <w:r w:rsidRPr="000605BC">
              <w:rPr>
                <w:rFonts w:eastAsia="Times New Roman" w:cs="Times New Roman"/>
                <w:sz w:val="20"/>
                <w:lang w:val="en-US"/>
              </w:rPr>
              <w:t>(ii): there must be intent to acquire, possess or use, and the accused must have knowledge, at the time this occurred, that the property was the proceeds of crime. No particular purpose for the acts is required.</w:t>
            </w:r>
          </w:p>
          <w:p w14:paraId="44AAEEC2" w14:textId="77777777" w:rsidR="00B80852" w:rsidRPr="000605BC" w:rsidRDefault="00B80852" w:rsidP="00B80852">
            <w:pPr>
              <w:rPr>
                <w:rFonts w:eastAsia="Times New Roman" w:cs="Times New Roman"/>
                <w:b/>
                <w:iCs/>
                <w:sz w:val="20"/>
                <w:lang w:val="en-US"/>
              </w:rPr>
            </w:pPr>
            <w:r w:rsidRPr="000605BC">
              <w:rPr>
                <w:rFonts w:eastAsia="Times New Roman" w:cs="Times New Roman"/>
                <w:b/>
                <w:iCs/>
                <w:sz w:val="20"/>
                <w:lang w:val="en-US"/>
              </w:rPr>
              <w:t>(</w:t>
            </w:r>
            <w:proofErr w:type="spellStart"/>
            <w:r w:rsidRPr="000605BC">
              <w:rPr>
                <w:rFonts w:eastAsia="Times New Roman" w:cs="Times New Roman"/>
                <w:b/>
                <w:iCs/>
                <w:sz w:val="20"/>
                <w:lang w:val="en-US"/>
              </w:rPr>
              <w:t>i</w:t>
            </w:r>
            <w:proofErr w:type="spellEnd"/>
            <w:r w:rsidRPr="000605BC">
              <w:rPr>
                <w:rFonts w:eastAsia="Times New Roman" w:cs="Times New Roman"/>
                <w:b/>
                <w:iCs/>
                <w:sz w:val="20"/>
                <w:lang w:val="en-US"/>
              </w:rPr>
              <w:t>) Participation in, association with or conspiracy to commit, attempts to commit and aiding, abetting, facilitating and counselling the commission of any of the foregoing offences</w:t>
            </w:r>
          </w:p>
          <w:p w14:paraId="6C9657AC" w14:textId="77777777" w:rsidR="00B80852" w:rsidRPr="000605BC" w:rsidRDefault="00B80852" w:rsidP="00B80852">
            <w:pPr>
              <w:rPr>
                <w:rFonts w:eastAsia="Times New Roman" w:cs="Times New Roman"/>
                <w:sz w:val="20"/>
                <w:lang w:val="en-US"/>
              </w:rPr>
            </w:pPr>
            <w:r w:rsidRPr="000605BC">
              <w:rPr>
                <w:rFonts w:eastAsia="Times New Roman" w:cs="Times New Roman"/>
                <w:sz w:val="20"/>
                <w:lang w:val="en-US"/>
              </w:rPr>
              <w:t xml:space="preserve">242. The fourth set of offences involves the participation in, association with or conspiracy to commit, attempts to commit and aiding, abetting, facilitating and counselling the commission of any of the offences mandated by the article (art. 23, para. 1 </w:t>
            </w:r>
            <w:r w:rsidRPr="000605BC">
              <w:rPr>
                <w:rFonts w:eastAsia="Times New Roman" w:cs="Times New Roman"/>
                <w:iCs/>
                <w:sz w:val="20"/>
                <w:lang w:val="en-US"/>
              </w:rPr>
              <w:t xml:space="preserve">(b) </w:t>
            </w:r>
            <w:r w:rsidRPr="000605BC">
              <w:rPr>
                <w:rFonts w:eastAsia="Times New Roman" w:cs="Times New Roman"/>
                <w:sz w:val="20"/>
                <w:lang w:val="en-US"/>
              </w:rPr>
              <w:t>(ii)).</w:t>
            </w:r>
          </w:p>
          <w:p w14:paraId="5EAE6176" w14:textId="77777777" w:rsidR="00B80852" w:rsidRPr="000605BC" w:rsidRDefault="00B80852" w:rsidP="00B80852">
            <w:pPr>
              <w:rPr>
                <w:rFonts w:eastAsia="Times New Roman" w:cs="Times New Roman"/>
                <w:sz w:val="20"/>
                <w:lang w:val="en-US"/>
              </w:rPr>
            </w:pPr>
            <w:r w:rsidRPr="000605BC">
              <w:rPr>
                <w:rFonts w:eastAsia="Times New Roman" w:cs="Times New Roman"/>
                <w:sz w:val="20"/>
                <w:lang w:val="en-US"/>
              </w:rPr>
              <w:t xml:space="preserve">243. These terms are not defined in the Convention against Corruption, allowing for certain flexibility in domestic legislation. States parties should refer to the manner in which such ancillary offences are otherwise structured in their domestic system and ensure that they apply to the other offences established pursuant to article 23. </w:t>
            </w:r>
          </w:p>
          <w:p w14:paraId="62DDCEFF" w14:textId="77777777" w:rsidR="00B80852" w:rsidRPr="000605BC" w:rsidRDefault="00B80852" w:rsidP="00B80852">
            <w:pPr>
              <w:rPr>
                <w:rFonts w:eastAsia="Times New Roman" w:cs="Times New Roman"/>
                <w:sz w:val="20"/>
                <w:lang w:val="en-US"/>
              </w:rPr>
            </w:pPr>
            <w:r w:rsidRPr="000605BC">
              <w:rPr>
                <w:rFonts w:eastAsia="Times New Roman" w:cs="Times New Roman"/>
                <w:sz w:val="20"/>
                <w:lang w:val="en-US"/>
              </w:rPr>
              <w:t xml:space="preserve">[Note – see </w:t>
            </w:r>
            <w:r w:rsidRPr="000605BC">
              <w:rPr>
                <w:rFonts w:eastAsia="Times New Roman" w:cs="Times New Roman"/>
                <w:sz w:val="20"/>
                <w:highlight w:val="cyan"/>
                <w:lang w:val="en-US"/>
              </w:rPr>
              <w:t>Chapter 3, Sections 3 and 4</w:t>
            </w:r>
            <w:r w:rsidRPr="000605BC">
              <w:rPr>
                <w:rFonts w:eastAsia="Times New Roman" w:cs="Times New Roman"/>
                <w:sz w:val="20"/>
                <w:lang w:val="en-US"/>
              </w:rPr>
              <w:t>, for a discussion on inchoate crimes and secondary liability.]</w:t>
            </w:r>
          </w:p>
          <w:p w14:paraId="725AF263" w14:textId="77777777" w:rsidR="00B80852" w:rsidRPr="000605BC" w:rsidRDefault="00B80852" w:rsidP="00B80852">
            <w:pPr>
              <w:rPr>
                <w:rFonts w:eastAsia="Times New Roman" w:cs="Times New Roman"/>
                <w:sz w:val="20"/>
                <w:lang w:val="en-US"/>
              </w:rPr>
            </w:pPr>
            <w:r w:rsidRPr="000605BC">
              <w:rPr>
                <w:rFonts w:eastAsia="Times New Roman" w:cs="Times New Roman"/>
                <w:sz w:val="20"/>
                <w:lang w:val="en-US"/>
              </w:rPr>
              <w:t>244. The knowledge, intent or purpose, as required for these offences, may be inferred from objective factual circumstances (art. 28). National drafters could see that their evidentiary provisions enable such inference with respect to the mental state, rather than requiring direct evidence, such as a confession, before the mental state is deemed proven.</w:t>
            </w:r>
          </w:p>
          <w:p w14:paraId="2611B36E" w14:textId="2CB43B1C" w:rsidR="00B80852" w:rsidRPr="000605BC" w:rsidRDefault="00B80852" w:rsidP="00B80852">
            <w:pPr>
              <w:rPr>
                <w:rFonts w:eastAsia="Times New Roman" w:cs="Times New Roman"/>
                <w:sz w:val="20"/>
                <w:lang w:val="en-US"/>
              </w:rPr>
            </w:pPr>
            <w:r w:rsidRPr="000605BC">
              <w:rPr>
                <w:rFonts w:eastAsia="Times New Roman" w:cs="Times New Roman"/>
                <w:sz w:val="20"/>
                <w:lang w:val="en-US"/>
              </w:rPr>
              <w:t xml:space="preserve">245. Under article 23, States parties must apply these offences to proceeds generated by </w:t>
            </w:r>
            <w:r w:rsidR="003A6F8D" w:rsidRPr="000605BC">
              <w:rPr>
                <w:rFonts w:eastAsia="Times New Roman" w:cs="Times New Roman"/>
                <w:sz w:val="20"/>
                <w:lang w:val="en-US"/>
              </w:rPr>
              <w:t>“</w:t>
            </w:r>
            <w:r w:rsidRPr="000605BC">
              <w:rPr>
                <w:rFonts w:eastAsia="Times New Roman" w:cs="Times New Roman"/>
                <w:sz w:val="20"/>
                <w:lang w:val="en-US"/>
              </w:rPr>
              <w:t>the widest range of predicate offences</w:t>
            </w:r>
            <w:r w:rsidR="003A6F8D" w:rsidRPr="000605BC">
              <w:rPr>
                <w:rFonts w:eastAsia="Times New Roman" w:cs="Times New Roman"/>
                <w:sz w:val="20"/>
                <w:lang w:val="en-US"/>
              </w:rPr>
              <w:t>”</w:t>
            </w:r>
            <w:r w:rsidRPr="000605BC">
              <w:rPr>
                <w:rFonts w:eastAsia="Times New Roman" w:cs="Times New Roman"/>
                <w:sz w:val="20"/>
                <w:lang w:val="en-US"/>
              </w:rPr>
              <w:t xml:space="preserve"> (art. 23, para. 2 </w:t>
            </w:r>
            <w:r w:rsidRPr="000605BC">
              <w:rPr>
                <w:rFonts w:eastAsia="Times New Roman" w:cs="Times New Roman"/>
                <w:iCs/>
                <w:sz w:val="20"/>
                <w:lang w:val="en-US"/>
              </w:rPr>
              <w:t>(a)</w:t>
            </w:r>
            <w:r w:rsidRPr="000605BC">
              <w:rPr>
                <w:rFonts w:eastAsia="Times New Roman" w:cs="Times New Roman"/>
                <w:sz w:val="20"/>
                <w:lang w:val="en-US"/>
              </w:rPr>
              <w:t>).</w:t>
            </w:r>
          </w:p>
          <w:p w14:paraId="101D595B" w14:textId="203DF908" w:rsidR="00B80852" w:rsidRPr="000605BC" w:rsidRDefault="00B80852" w:rsidP="00B80852">
            <w:pPr>
              <w:rPr>
                <w:rFonts w:eastAsia="Times New Roman" w:cs="Times New Roman"/>
                <w:sz w:val="20"/>
                <w:lang w:val="en-US"/>
              </w:rPr>
            </w:pPr>
            <w:r w:rsidRPr="000605BC">
              <w:rPr>
                <w:rFonts w:eastAsia="Times New Roman" w:cs="Times New Roman"/>
                <w:sz w:val="20"/>
                <w:lang w:val="en-US"/>
              </w:rPr>
              <w:t xml:space="preserve">246. At a minimum, these must include a </w:t>
            </w:r>
            <w:r w:rsidR="003A6F8D" w:rsidRPr="000605BC">
              <w:rPr>
                <w:rFonts w:eastAsia="Times New Roman" w:cs="Times New Roman"/>
                <w:sz w:val="20"/>
                <w:lang w:val="en-US"/>
              </w:rPr>
              <w:t>“</w:t>
            </w:r>
            <w:r w:rsidRPr="000605BC">
              <w:rPr>
                <w:rFonts w:eastAsia="Times New Roman" w:cs="Times New Roman"/>
                <w:sz w:val="20"/>
                <w:lang w:val="en-US"/>
              </w:rPr>
              <w:t>comprehensive range of criminal offences established in accordance with this Convention</w:t>
            </w:r>
            <w:r w:rsidR="003A6F8D" w:rsidRPr="000605BC">
              <w:rPr>
                <w:rFonts w:eastAsia="Times New Roman" w:cs="Times New Roman"/>
                <w:sz w:val="20"/>
                <w:lang w:val="en-US"/>
              </w:rPr>
              <w:t>”</w:t>
            </w:r>
            <w:r w:rsidRPr="000605BC">
              <w:rPr>
                <w:rFonts w:eastAsia="Times New Roman" w:cs="Times New Roman"/>
                <w:sz w:val="20"/>
                <w:lang w:val="en-US"/>
              </w:rPr>
              <w:t xml:space="preserve"> (art. 23, para. 2 </w:t>
            </w:r>
            <w:r w:rsidRPr="000605BC">
              <w:rPr>
                <w:rFonts w:eastAsia="Times New Roman" w:cs="Times New Roman"/>
                <w:iCs/>
                <w:sz w:val="20"/>
                <w:lang w:val="en-US"/>
              </w:rPr>
              <w:t>(b)</w:t>
            </w:r>
            <w:r w:rsidRPr="000605BC">
              <w:rPr>
                <w:rFonts w:eastAsia="Times New Roman" w:cs="Times New Roman"/>
                <w:sz w:val="20"/>
                <w:lang w:val="en-US"/>
              </w:rPr>
              <w:t xml:space="preserve">). For this purpose, </w:t>
            </w:r>
            <w:r w:rsidR="003A6F8D" w:rsidRPr="000605BC">
              <w:rPr>
                <w:rFonts w:eastAsia="Times New Roman" w:cs="Times New Roman"/>
                <w:sz w:val="20"/>
                <w:lang w:val="en-US"/>
              </w:rPr>
              <w:t>“</w:t>
            </w:r>
            <w:r w:rsidRPr="000605BC">
              <w:rPr>
                <w:rFonts w:eastAsia="Times New Roman" w:cs="Times New Roman"/>
                <w:sz w:val="20"/>
                <w:lang w:val="en-US"/>
              </w:rPr>
              <w:t>predicate offences shall include offences committed both within and outside the jurisdiction of the State party in question. However, offences committed outside the jurisdiction of a State party shall constitute predicate offences only when the relevant conduct is a criminal offence under the domestic law of the State where it is committed and would be a criminal offence under the domestic law of the State party implementing or applying this article had it been committed there</w:t>
            </w:r>
            <w:r w:rsidR="003A6F8D" w:rsidRPr="000605BC">
              <w:rPr>
                <w:rFonts w:eastAsia="Times New Roman" w:cs="Times New Roman"/>
                <w:sz w:val="20"/>
                <w:lang w:val="en-US"/>
              </w:rPr>
              <w:t>”</w:t>
            </w:r>
            <w:r w:rsidRPr="000605BC">
              <w:rPr>
                <w:rFonts w:eastAsia="Times New Roman" w:cs="Times New Roman"/>
                <w:sz w:val="20"/>
                <w:lang w:val="en-US"/>
              </w:rPr>
              <w:t xml:space="preserve"> (art. 23, para. 2 </w:t>
            </w:r>
            <w:r w:rsidRPr="000605BC">
              <w:rPr>
                <w:rFonts w:eastAsia="Times New Roman" w:cs="Times New Roman"/>
                <w:iCs/>
                <w:sz w:val="20"/>
                <w:lang w:val="en-US"/>
              </w:rPr>
              <w:t>(c)</w:t>
            </w:r>
            <w:r w:rsidRPr="000605BC">
              <w:rPr>
                <w:rFonts w:eastAsia="Times New Roman" w:cs="Times New Roman"/>
                <w:sz w:val="20"/>
                <w:lang w:val="en-US"/>
              </w:rPr>
              <w:t>). So, dual criminality is necessary for offences committed in a different national jurisdiction to be considered as predicate offences.</w:t>
            </w:r>
          </w:p>
          <w:p w14:paraId="50F9BC18" w14:textId="77777777" w:rsidR="00B80852" w:rsidRPr="000605BC" w:rsidRDefault="00B80852" w:rsidP="00B80852">
            <w:pPr>
              <w:rPr>
                <w:rFonts w:eastAsia="Times New Roman" w:cs="Times New Roman"/>
                <w:sz w:val="20"/>
                <w:lang w:val="en-US"/>
              </w:rPr>
            </w:pPr>
            <w:r w:rsidRPr="000605BC">
              <w:rPr>
                <w:rFonts w:eastAsia="Times New Roman" w:cs="Times New Roman"/>
                <w:sz w:val="20"/>
                <w:lang w:val="en-US"/>
              </w:rPr>
              <w:t>247. Many States already have laws on money-laundering, but there are many variations in the definition of predicate offences. Some States limit the predicate offences to trafficking in drugs or to trafficking in drugs and a few other crimes. Other States have an exhaustive list of predicate offences set forth in their legislation. Still other States define predicate offences generically as including all crimes, or all serious crimes, or all crimes subject to a defined penalty threshold.</w:t>
            </w:r>
          </w:p>
          <w:p w14:paraId="17B1BBDD" w14:textId="5CF497D5" w:rsidR="00B80852" w:rsidRPr="000605BC" w:rsidRDefault="00B80852" w:rsidP="00B80852">
            <w:pPr>
              <w:rPr>
                <w:rFonts w:eastAsia="Times New Roman" w:cs="Times New Roman"/>
                <w:sz w:val="20"/>
                <w:lang w:val="en-US"/>
              </w:rPr>
            </w:pPr>
            <w:r w:rsidRPr="000605BC">
              <w:rPr>
                <w:rFonts w:eastAsia="Times New Roman" w:cs="Times New Roman"/>
                <w:sz w:val="20"/>
                <w:lang w:val="en-US"/>
              </w:rPr>
              <w:t xml:space="preserve">248. An interpretative note for the Convention against Corruption states that </w:t>
            </w:r>
            <w:r w:rsidR="003A6F8D" w:rsidRPr="000605BC">
              <w:rPr>
                <w:rFonts w:eastAsia="Times New Roman" w:cs="Times New Roman"/>
                <w:sz w:val="20"/>
                <w:lang w:val="en-US"/>
              </w:rPr>
              <w:t>“</w:t>
            </w:r>
            <w:r w:rsidRPr="000605BC">
              <w:rPr>
                <w:rFonts w:eastAsia="Times New Roman" w:cs="Times New Roman"/>
                <w:sz w:val="20"/>
                <w:lang w:val="en-US"/>
              </w:rPr>
              <w:t>money-laundering offences established in accordance with this article are understood to be independent and autonomous offences and that a prior conviction for the predicate offence is not necessary to establish the illicit nature or origin of the assets laundered. The illicit nature or origin of the assets and, in accordance with article 28, any knowledge, intent or purpose may be established during the course of the money-laundering prosecution and may be inferred from objective factual circumstances</w:t>
            </w:r>
            <w:r w:rsidR="003A6F8D" w:rsidRPr="000605BC">
              <w:rPr>
                <w:rFonts w:eastAsia="Times New Roman" w:cs="Times New Roman"/>
                <w:sz w:val="20"/>
                <w:lang w:val="en-US"/>
              </w:rPr>
              <w:t>”</w:t>
            </w:r>
            <w:r w:rsidRPr="000605BC">
              <w:rPr>
                <w:rFonts w:eastAsia="Times New Roman" w:cs="Times New Roman"/>
                <w:sz w:val="20"/>
                <w:lang w:val="en-US"/>
              </w:rPr>
              <w:t xml:space="preserve"> (A/58/422/Add.1, para. 32).</w:t>
            </w:r>
          </w:p>
          <w:p w14:paraId="1880CA48" w14:textId="7E050075" w:rsidR="00B80852" w:rsidRPr="000605BC" w:rsidRDefault="00B80852" w:rsidP="00B80852">
            <w:pPr>
              <w:rPr>
                <w:rFonts w:eastAsia="Times New Roman" w:cs="Times New Roman"/>
                <w:sz w:val="20"/>
                <w:lang w:val="en-US"/>
              </w:rPr>
            </w:pPr>
            <w:r w:rsidRPr="000605BC">
              <w:rPr>
                <w:rFonts w:eastAsia="Times New Roman" w:cs="Times New Roman"/>
                <w:sz w:val="20"/>
                <w:lang w:val="en-US"/>
              </w:rPr>
              <w:t xml:space="preserve">249. The constitutions or fundamental legal principles of some States do not permit the prosecution and punishment of an offender for both the predicate offence and the laundering of proceeds from that offence. The Convention acknowledges this issue and, only in such cases, allows for the non-application of the money-laundering offences to those who committed the predicate offence (art. 23, para. 2 </w:t>
            </w:r>
            <w:r w:rsidRPr="000605BC">
              <w:rPr>
                <w:rFonts w:eastAsia="Times New Roman" w:cs="Times New Roman"/>
                <w:iCs/>
                <w:sz w:val="20"/>
                <w:lang w:val="en-US"/>
              </w:rPr>
              <w:t>(e)</w:t>
            </w:r>
            <w:r w:rsidRPr="000605BC">
              <w:rPr>
                <w:rFonts w:eastAsia="Times New Roman" w:cs="Times New Roman"/>
                <w:sz w:val="20"/>
                <w:lang w:val="en-US"/>
              </w:rPr>
              <w:t>).</w:t>
            </w:r>
            <w:r w:rsidR="00F62131" w:rsidRPr="000605BC">
              <w:rPr>
                <w:rStyle w:val="FootnoteReference"/>
                <w:rFonts w:eastAsia="Times New Roman" w:cs="Times New Roman"/>
                <w:sz w:val="20"/>
                <w:lang w:val="en-US"/>
              </w:rPr>
              <w:footnoteReference w:id="46"/>
            </w:r>
          </w:p>
          <w:p w14:paraId="27F48131" w14:textId="4C907629" w:rsidR="00B80852" w:rsidRPr="000605BC" w:rsidRDefault="00B80852" w:rsidP="00E752E0">
            <w:pPr>
              <w:pStyle w:val="ExcerptMarker"/>
              <w:spacing w:after="0"/>
              <w:rPr>
                <w:sz w:val="16"/>
              </w:rPr>
            </w:pPr>
            <w:r w:rsidRPr="000605BC">
              <w:rPr>
                <w:sz w:val="16"/>
              </w:rPr>
              <w:t>End of Excerpt</w:t>
            </w:r>
          </w:p>
        </w:tc>
      </w:tr>
    </w:tbl>
    <w:p w14:paraId="0491AFE2" w14:textId="53B874D6" w:rsidR="00A77444" w:rsidRPr="000605BC" w:rsidRDefault="00DB76EB" w:rsidP="00974280">
      <w:pPr>
        <w:pStyle w:val="Heading3"/>
        <w:numPr>
          <w:ilvl w:val="2"/>
          <w:numId w:val="3"/>
        </w:numPr>
        <w:rPr>
          <w:rFonts w:cs="Times New Roman"/>
          <w:sz w:val="22"/>
        </w:rPr>
      </w:pPr>
      <w:bookmarkStart w:id="22" w:name="_Toc251798587"/>
      <w:bookmarkStart w:id="23" w:name="_Toc287093728"/>
      <w:bookmarkStart w:id="24" w:name="_Toc419901546"/>
      <w:r w:rsidRPr="000605BC">
        <w:rPr>
          <w:rFonts w:cs="Times New Roman"/>
          <w:sz w:val="22"/>
        </w:rPr>
        <w:t xml:space="preserve">Article 14 – </w:t>
      </w:r>
      <w:r w:rsidR="00A77444" w:rsidRPr="000605BC">
        <w:rPr>
          <w:rFonts w:cs="Times New Roman"/>
          <w:sz w:val="22"/>
        </w:rPr>
        <w:t>Measures to Prevent Money-Laundering</w:t>
      </w:r>
      <w:bookmarkEnd w:id="22"/>
      <w:bookmarkEnd w:id="23"/>
      <w:bookmarkEnd w:id="24"/>
    </w:p>
    <w:p w14:paraId="64151D28" w14:textId="26536210" w:rsidR="00A77444" w:rsidRPr="000605BC" w:rsidRDefault="00A77444" w:rsidP="00916A81">
      <w:pPr>
        <w:autoSpaceDE w:val="0"/>
        <w:autoSpaceDN w:val="0"/>
        <w:adjustRightInd w:val="0"/>
        <w:rPr>
          <w:rFonts w:eastAsia="Times New Roman" w:cs="Times New Roman"/>
          <w:sz w:val="20"/>
          <w:lang w:val="en-US"/>
        </w:rPr>
      </w:pPr>
      <w:r w:rsidRPr="000605BC">
        <w:rPr>
          <w:rFonts w:eastAsia="Times New Roman" w:cs="Times New Roman"/>
          <w:sz w:val="20"/>
          <w:lang w:val="en-US"/>
        </w:rPr>
        <w:t xml:space="preserve">As </w:t>
      </w:r>
      <w:r w:rsidR="00E42064" w:rsidRPr="000605BC">
        <w:rPr>
          <w:rFonts w:eastAsia="Times New Roman" w:cs="Times New Roman"/>
          <w:sz w:val="20"/>
          <w:lang w:val="en-US"/>
        </w:rPr>
        <w:t>mentioned</w:t>
      </w:r>
      <w:r w:rsidRPr="000605BC">
        <w:rPr>
          <w:rFonts w:eastAsia="Times New Roman" w:cs="Times New Roman"/>
          <w:sz w:val="20"/>
          <w:lang w:val="en-US"/>
        </w:rPr>
        <w:t xml:space="preserve"> above, in addition to mandati</w:t>
      </w:r>
      <w:r w:rsidR="00E42064" w:rsidRPr="000605BC">
        <w:rPr>
          <w:rFonts w:eastAsia="Times New Roman" w:cs="Times New Roman"/>
          <w:sz w:val="20"/>
          <w:lang w:val="en-US"/>
        </w:rPr>
        <w:t>ng the criminalization of money</w:t>
      </w:r>
      <w:r w:rsidR="00745D63" w:rsidRPr="000605BC">
        <w:rPr>
          <w:rFonts w:eastAsia="Times New Roman" w:cs="Times New Roman"/>
          <w:sz w:val="20"/>
          <w:lang w:val="en-US"/>
        </w:rPr>
        <w:t xml:space="preserve"> </w:t>
      </w:r>
      <w:r w:rsidR="00E42064" w:rsidRPr="000605BC">
        <w:rPr>
          <w:rFonts w:eastAsia="Times New Roman" w:cs="Times New Roman"/>
          <w:sz w:val="20"/>
          <w:lang w:val="en-US"/>
        </w:rPr>
        <w:t xml:space="preserve">laundering, </w:t>
      </w:r>
      <w:r w:rsidRPr="000605BC">
        <w:rPr>
          <w:rFonts w:eastAsia="Times New Roman" w:cs="Times New Roman"/>
          <w:sz w:val="20"/>
          <w:lang w:val="en-US"/>
        </w:rPr>
        <w:t>UNCAC also requires state parties to take measures to establish a regulatory regime intended to prevent money laundering.</w:t>
      </w:r>
      <w:r w:rsidR="00983C83" w:rsidRPr="000605BC">
        <w:rPr>
          <w:rFonts w:cs="Times New Roman"/>
          <w:sz w:val="20"/>
          <w:lang w:val="en-US"/>
        </w:rPr>
        <w:t xml:space="preserve"> </w:t>
      </w:r>
      <w:r w:rsidRPr="000605BC">
        <w:rPr>
          <w:rFonts w:eastAsia="Times New Roman" w:cs="Times New Roman"/>
          <w:sz w:val="20"/>
          <w:lang w:val="en-US"/>
        </w:rPr>
        <w:t xml:space="preserve">The relevant article is Article 14, </w:t>
      </w:r>
      <w:r w:rsidR="000618B6" w:rsidRPr="000605BC">
        <w:rPr>
          <w:rFonts w:eastAsia="Times New Roman" w:cs="Times New Roman"/>
          <w:sz w:val="20"/>
          <w:lang w:val="en-US"/>
        </w:rPr>
        <w:t xml:space="preserve">which </w:t>
      </w:r>
      <w:r w:rsidRPr="000605BC">
        <w:rPr>
          <w:rFonts w:eastAsia="Times New Roman" w:cs="Times New Roman"/>
          <w:sz w:val="20"/>
          <w:lang w:val="en-US"/>
        </w:rPr>
        <w:t>is reproduced below:</w:t>
      </w:r>
    </w:p>
    <w:p w14:paraId="6142E502" w14:textId="7252410D" w:rsidR="00C1423C" w:rsidRPr="000605BC" w:rsidRDefault="00C1423C" w:rsidP="00770412">
      <w:pPr>
        <w:pStyle w:val="BlockQuote"/>
        <w:rPr>
          <w:sz w:val="20"/>
          <w:lang w:val="en-US"/>
        </w:rPr>
      </w:pPr>
      <w:r w:rsidRPr="000605BC">
        <w:rPr>
          <w:sz w:val="20"/>
          <w:lang w:val="en-US"/>
        </w:rPr>
        <w:t>Article 14. Measures to prevent money-laundering</w:t>
      </w:r>
    </w:p>
    <w:p w14:paraId="1EA38E6B" w14:textId="58EF3D32" w:rsidR="00A77444" w:rsidRPr="000605BC" w:rsidRDefault="00A77444" w:rsidP="00696D88">
      <w:pPr>
        <w:pStyle w:val="BlockQuote"/>
        <w:numPr>
          <w:ilvl w:val="0"/>
          <w:numId w:val="8"/>
        </w:numPr>
        <w:jc w:val="left"/>
        <w:rPr>
          <w:sz w:val="20"/>
          <w:lang w:val="en-US"/>
        </w:rPr>
      </w:pPr>
      <w:r w:rsidRPr="000605BC">
        <w:rPr>
          <w:sz w:val="20"/>
          <w:lang w:val="en-US"/>
        </w:rPr>
        <w:t>Each State Party shall:</w:t>
      </w:r>
    </w:p>
    <w:p w14:paraId="039B6E00" w14:textId="58BF69B5" w:rsidR="00A77444" w:rsidRPr="000605BC" w:rsidRDefault="00A77444" w:rsidP="00696D88">
      <w:pPr>
        <w:pStyle w:val="BlockQuote"/>
        <w:numPr>
          <w:ilvl w:val="0"/>
          <w:numId w:val="9"/>
        </w:numPr>
        <w:jc w:val="left"/>
        <w:rPr>
          <w:sz w:val="20"/>
          <w:lang w:val="en-US"/>
        </w:rPr>
      </w:pPr>
      <w:r w:rsidRPr="000605BC">
        <w:rPr>
          <w:sz w:val="20"/>
          <w:lang w:val="en-US"/>
        </w:rPr>
        <w:t>Institute a comprehensive domestic regulatory and supervisory regime for banks and non-bank financial institutions, including natural or legal persons that provide formal or informal services for the transmission of money or value and, where appropriate, other bodies particularly susceptible to money-laundering, within its competence, in order to deter and detect all forms of money-laundering, which regime shall emphasize requirements for customer and, where appropriate, beneficial owner identification, record-keeping and the reporting of suspicious transactions;</w:t>
      </w:r>
    </w:p>
    <w:p w14:paraId="7CD7A247" w14:textId="27E8A90A" w:rsidR="00A77444" w:rsidRPr="000605BC" w:rsidRDefault="00A77444" w:rsidP="00696D88">
      <w:pPr>
        <w:pStyle w:val="BlockQuote"/>
        <w:numPr>
          <w:ilvl w:val="0"/>
          <w:numId w:val="9"/>
        </w:numPr>
        <w:jc w:val="left"/>
        <w:rPr>
          <w:sz w:val="20"/>
          <w:lang w:val="en-US"/>
        </w:rPr>
      </w:pPr>
      <w:r w:rsidRPr="000605BC">
        <w:rPr>
          <w:sz w:val="20"/>
          <w:lang w:val="en-US"/>
        </w:rPr>
        <w:t xml:space="preserve">Without prejudice to article 46 of this Convention, ensure that administrative, regulatory, law enforcement and other authorities dedicated to combating money-laundering (including, where appropriate under domestic law, judicial authorities) have the ability to cooperate and exchange information at the national and international levels within the conditions prescribed by its domestic law and, to that end, shall consider the establishment of a financial intelligence unit to serve as a national </w:t>
      </w:r>
      <w:proofErr w:type="spellStart"/>
      <w:r w:rsidRPr="000605BC">
        <w:rPr>
          <w:sz w:val="20"/>
          <w:lang w:val="en-US"/>
        </w:rPr>
        <w:t>centre</w:t>
      </w:r>
      <w:proofErr w:type="spellEnd"/>
      <w:r w:rsidRPr="000605BC">
        <w:rPr>
          <w:sz w:val="20"/>
          <w:lang w:val="en-US"/>
        </w:rPr>
        <w:t xml:space="preserve"> for the collection, analysis and dissemination of information regarding potential money-laundering.</w:t>
      </w:r>
    </w:p>
    <w:p w14:paraId="77798B68" w14:textId="0D2E506E" w:rsidR="00A77444" w:rsidRPr="000605BC" w:rsidRDefault="00A77444" w:rsidP="00696D88">
      <w:pPr>
        <w:pStyle w:val="BlockQuote"/>
        <w:numPr>
          <w:ilvl w:val="0"/>
          <w:numId w:val="8"/>
        </w:numPr>
        <w:jc w:val="left"/>
        <w:rPr>
          <w:sz w:val="20"/>
          <w:lang w:val="en-US"/>
        </w:rPr>
      </w:pPr>
      <w:r w:rsidRPr="000605BC">
        <w:rPr>
          <w:sz w:val="20"/>
          <w:lang w:val="en-US"/>
        </w:rPr>
        <w:t>States Parties shall consider implementing feasible measures to detect and monitor the movement of cash and appropriate negotiable instruments across their borders, subject to safeguards to ensure proper use of information and without impeding in any way the movement of legitimate capital. Such measures may include a requirement that individuals and businesses report the cross-border transfer of substantial quantities of cash and appropriate negotiable instruments.</w:t>
      </w:r>
    </w:p>
    <w:p w14:paraId="0CE5FA50" w14:textId="171A7A63" w:rsidR="00A77444" w:rsidRPr="000605BC" w:rsidRDefault="00A77444" w:rsidP="00696D88">
      <w:pPr>
        <w:pStyle w:val="BlockQuote"/>
        <w:keepNext/>
        <w:numPr>
          <w:ilvl w:val="0"/>
          <w:numId w:val="8"/>
        </w:numPr>
        <w:ind w:left="1077" w:hanging="357"/>
        <w:jc w:val="left"/>
        <w:rPr>
          <w:sz w:val="20"/>
          <w:lang w:val="en-US"/>
        </w:rPr>
      </w:pPr>
      <w:r w:rsidRPr="000605BC">
        <w:rPr>
          <w:sz w:val="20"/>
          <w:lang w:val="en-US"/>
        </w:rPr>
        <w:t>States Parties shall consider implementing appropriate and feasible measures to require financial institutions, including money remitters:</w:t>
      </w:r>
    </w:p>
    <w:p w14:paraId="6DC08755" w14:textId="393AF21F" w:rsidR="00A77444" w:rsidRPr="000605BC" w:rsidRDefault="00A77444" w:rsidP="00696D88">
      <w:pPr>
        <w:pStyle w:val="BlockQuote"/>
        <w:numPr>
          <w:ilvl w:val="0"/>
          <w:numId w:val="10"/>
        </w:numPr>
        <w:spacing w:before="60" w:after="0"/>
        <w:jc w:val="left"/>
        <w:rPr>
          <w:sz w:val="20"/>
          <w:lang w:val="en-US"/>
        </w:rPr>
      </w:pPr>
      <w:r w:rsidRPr="000605BC">
        <w:rPr>
          <w:sz w:val="20"/>
          <w:lang w:val="en-US"/>
        </w:rPr>
        <w:t>To include on forms for the electronic transfer of funds and related messages accurate and meaningful information on the originator;</w:t>
      </w:r>
    </w:p>
    <w:p w14:paraId="0E14B188" w14:textId="6581294C" w:rsidR="00A77444" w:rsidRPr="000605BC" w:rsidRDefault="00A77444" w:rsidP="00696D88">
      <w:pPr>
        <w:pStyle w:val="BlockQuote"/>
        <w:numPr>
          <w:ilvl w:val="0"/>
          <w:numId w:val="10"/>
        </w:numPr>
        <w:spacing w:before="60" w:after="0"/>
        <w:jc w:val="left"/>
        <w:rPr>
          <w:sz w:val="20"/>
          <w:lang w:val="en-US"/>
        </w:rPr>
      </w:pPr>
      <w:r w:rsidRPr="000605BC">
        <w:rPr>
          <w:sz w:val="20"/>
          <w:lang w:val="en-US"/>
        </w:rPr>
        <w:t>To maintain such information throughout the payment chain; and</w:t>
      </w:r>
    </w:p>
    <w:p w14:paraId="4AEB6661" w14:textId="271A3050" w:rsidR="00A77444" w:rsidRPr="000605BC" w:rsidRDefault="00A77444" w:rsidP="00696D88">
      <w:pPr>
        <w:pStyle w:val="BlockQuote"/>
        <w:numPr>
          <w:ilvl w:val="0"/>
          <w:numId w:val="10"/>
        </w:numPr>
        <w:spacing w:before="60" w:after="0"/>
        <w:jc w:val="left"/>
        <w:rPr>
          <w:sz w:val="20"/>
          <w:lang w:val="en-US"/>
        </w:rPr>
      </w:pPr>
      <w:r w:rsidRPr="000605BC">
        <w:rPr>
          <w:sz w:val="20"/>
          <w:lang w:val="en-US"/>
        </w:rPr>
        <w:t>To apply enhanced scrutiny to transfers of funds that do not contain complete information on the originator.</w:t>
      </w:r>
    </w:p>
    <w:p w14:paraId="43C36504" w14:textId="1558DB94" w:rsidR="00A77444" w:rsidRPr="000605BC" w:rsidRDefault="00A77444" w:rsidP="00696D88">
      <w:pPr>
        <w:pStyle w:val="BlockQuote"/>
        <w:numPr>
          <w:ilvl w:val="0"/>
          <w:numId w:val="8"/>
        </w:numPr>
        <w:jc w:val="left"/>
        <w:rPr>
          <w:sz w:val="20"/>
          <w:lang w:val="en-US"/>
        </w:rPr>
      </w:pPr>
      <w:r w:rsidRPr="000605BC">
        <w:rPr>
          <w:sz w:val="20"/>
          <w:lang w:val="en-US"/>
        </w:rPr>
        <w:t>In establishing a domestic regulatory and supervisory regime under the terms of this article, and without prejudice to any other article of this Convention, States Parties are called upon to use as a guideline the relevant initiatives of regional, interregional and multilateral organizations against money-laundering.</w:t>
      </w:r>
    </w:p>
    <w:p w14:paraId="3A0712C2" w14:textId="42FC5665" w:rsidR="00A77444" w:rsidRPr="000605BC" w:rsidRDefault="00A77444" w:rsidP="00696D88">
      <w:pPr>
        <w:pStyle w:val="BlockQuote"/>
        <w:numPr>
          <w:ilvl w:val="0"/>
          <w:numId w:val="8"/>
        </w:numPr>
        <w:jc w:val="left"/>
        <w:rPr>
          <w:sz w:val="20"/>
          <w:lang w:val="en-US"/>
        </w:rPr>
      </w:pPr>
      <w:r w:rsidRPr="000605BC">
        <w:rPr>
          <w:sz w:val="20"/>
          <w:lang w:val="en-US"/>
        </w:rPr>
        <w:t xml:space="preserve">States Parties shall endeavour to develop and promote global, regional, </w:t>
      </w:r>
      <w:proofErr w:type="spellStart"/>
      <w:r w:rsidRPr="000605BC">
        <w:rPr>
          <w:sz w:val="20"/>
          <w:lang w:val="en-US"/>
        </w:rPr>
        <w:t>subregional</w:t>
      </w:r>
      <w:proofErr w:type="spellEnd"/>
      <w:r w:rsidRPr="000605BC">
        <w:rPr>
          <w:sz w:val="20"/>
          <w:lang w:val="en-US"/>
        </w:rPr>
        <w:t xml:space="preserve"> and bilateral cooperation among judicial, law enforcement and financial regulatory authorities in order to combat money-laundering.</w:t>
      </w:r>
    </w:p>
    <w:p w14:paraId="3C67812E" w14:textId="4299A3D9" w:rsidR="00A77444" w:rsidRPr="000605BC" w:rsidRDefault="00A77444" w:rsidP="00916A81">
      <w:pPr>
        <w:tabs>
          <w:tab w:val="left" w:pos="6460"/>
        </w:tabs>
        <w:autoSpaceDE w:val="0"/>
        <w:autoSpaceDN w:val="0"/>
        <w:adjustRightInd w:val="0"/>
        <w:rPr>
          <w:rFonts w:cs="Times New Roman"/>
          <w:sz w:val="20"/>
          <w:lang w:val="en-US"/>
        </w:rPr>
      </w:pPr>
      <w:proofErr w:type="spellStart"/>
      <w:r w:rsidRPr="000605BC">
        <w:rPr>
          <w:rFonts w:cs="Times New Roman"/>
          <w:sz w:val="20"/>
          <w:lang w:val="en-US"/>
        </w:rPr>
        <w:t>Carr</w:t>
      </w:r>
      <w:proofErr w:type="spellEnd"/>
      <w:r w:rsidRPr="000605BC">
        <w:rPr>
          <w:rFonts w:cs="Times New Roman"/>
          <w:sz w:val="20"/>
          <w:lang w:val="en-US"/>
        </w:rPr>
        <w:t xml:space="preserve"> and </w:t>
      </w:r>
      <w:proofErr w:type="spellStart"/>
      <w:r w:rsidRPr="000605BC">
        <w:rPr>
          <w:rFonts w:cs="Times New Roman"/>
          <w:sz w:val="20"/>
          <w:lang w:val="en-US"/>
        </w:rPr>
        <w:t>Goldby</w:t>
      </w:r>
      <w:proofErr w:type="spellEnd"/>
      <w:r w:rsidRPr="000605BC">
        <w:rPr>
          <w:rFonts w:cs="Times New Roman"/>
          <w:sz w:val="20"/>
          <w:lang w:val="en-US"/>
        </w:rPr>
        <w:t xml:space="preserve"> note </w:t>
      </w:r>
      <w:r w:rsidR="00E94A71" w:rsidRPr="000605BC">
        <w:rPr>
          <w:rFonts w:cs="Times New Roman"/>
          <w:sz w:val="20"/>
          <w:lang w:val="en-US"/>
        </w:rPr>
        <w:t>that</w:t>
      </w:r>
      <w:r w:rsidRPr="000605BC">
        <w:rPr>
          <w:rFonts w:cs="Times New Roman"/>
          <w:sz w:val="20"/>
          <w:lang w:val="en-US"/>
        </w:rPr>
        <w:t xml:space="preserve"> Article 14(1) requires states to implement a regulatory and supervisory regime that monitors both formal and informal methods of transferring money in order to combat money laundering.</w:t>
      </w:r>
      <w:r w:rsidR="00E94A71" w:rsidRPr="000605BC">
        <w:rPr>
          <w:rStyle w:val="FootnoteReference"/>
          <w:rFonts w:cs="Times New Roman"/>
          <w:sz w:val="20"/>
          <w:lang w:val="en-US"/>
        </w:rPr>
        <w:t xml:space="preserve"> </w:t>
      </w:r>
      <w:r w:rsidR="00E94A71" w:rsidRPr="000605BC">
        <w:rPr>
          <w:rStyle w:val="FootnoteReference"/>
          <w:rFonts w:cs="Times New Roman"/>
          <w:sz w:val="20"/>
          <w:lang w:val="en-US"/>
        </w:rPr>
        <w:footnoteReference w:id="47"/>
      </w:r>
      <w:r w:rsidRPr="000605BC">
        <w:rPr>
          <w:rFonts w:cs="Times New Roman"/>
          <w:sz w:val="20"/>
          <w:lang w:val="en-US"/>
        </w:rPr>
        <w:t xml:space="preserve"> </w:t>
      </w:r>
      <w:r w:rsidR="003F5FB4" w:rsidRPr="000605BC">
        <w:rPr>
          <w:rFonts w:cs="Times New Roman"/>
          <w:sz w:val="20"/>
          <w:lang w:val="en-US"/>
        </w:rPr>
        <w:t>They</w:t>
      </w:r>
      <w:r w:rsidRPr="000605BC">
        <w:rPr>
          <w:rFonts w:cs="Times New Roman"/>
          <w:sz w:val="20"/>
          <w:lang w:val="en-US"/>
        </w:rPr>
        <w:t xml:space="preserve"> state that </w:t>
      </w:r>
      <w:r w:rsidR="003A6F8D" w:rsidRPr="000605BC">
        <w:rPr>
          <w:rFonts w:cs="Times New Roman"/>
          <w:sz w:val="20"/>
          <w:lang w:val="en-US"/>
        </w:rPr>
        <w:t>“</w:t>
      </w:r>
      <w:r w:rsidRPr="000605BC">
        <w:rPr>
          <w:rFonts w:cs="Times New Roman"/>
          <w:sz w:val="20"/>
          <w:lang w:val="en-US"/>
        </w:rPr>
        <w:t xml:space="preserve">[t]he system known as </w:t>
      </w:r>
      <w:proofErr w:type="spellStart"/>
      <w:r w:rsidRPr="000605BC">
        <w:rPr>
          <w:rFonts w:cs="Times New Roman"/>
          <w:i/>
          <w:sz w:val="20"/>
          <w:lang w:val="en-US"/>
        </w:rPr>
        <w:t>Hawala</w:t>
      </w:r>
      <w:proofErr w:type="spellEnd"/>
      <w:r w:rsidRPr="000605BC">
        <w:rPr>
          <w:rFonts w:cs="Times New Roman"/>
          <w:i/>
          <w:sz w:val="20"/>
          <w:lang w:val="en-US"/>
        </w:rPr>
        <w:t xml:space="preserve"> </w:t>
      </w:r>
      <w:r w:rsidRPr="000605BC">
        <w:rPr>
          <w:rFonts w:cs="Times New Roman"/>
          <w:sz w:val="20"/>
          <w:lang w:val="en-US"/>
        </w:rPr>
        <w:t xml:space="preserve">(in India) or </w:t>
      </w:r>
      <w:r w:rsidRPr="000605BC">
        <w:rPr>
          <w:rFonts w:cs="Times New Roman"/>
          <w:i/>
          <w:sz w:val="20"/>
          <w:lang w:val="en-US"/>
        </w:rPr>
        <w:t xml:space="preserve">Fie </w:t>
      </w:r>
      <w:proofErr w:type="spellStart"/>
      <w:r w:rsidRPr="000605BC">
        <w:rPr>
          <w:rFonts w:cs="Times New Roman"/>
          <w:i/>
          <w:sz w:val="20"/>
          <w:lang w:val="en-US"/>
        </w:rPr>
        <w:t>Ch’ieu</w:t>
      </w:r>
      <w:proofErr w:type="spellEnd"/>
      <w:r w:rsidRPr="000605BC">
        <w:rPr>
          <w:rFonts w:cs="Times New Roman"/>
          <w:i/>
          <w:sz w:val="20"/>
          <w:lang w:val="en-US"/>
        </w:rPr>
        <w:t xml:space="preserve"> </w:t>
      </w:r>
      <w:r w:rsidRPr="000605BC">
        <w:rPr>
          <w:rFonts w:cs="Times New Roman"/>
          <w:sz w:val="20"/>
          <w:lang w:val="en-US"/>
        </w:rPr>
        <w:t>(in China) is typically used by migrant workers to transfer small amounts of money to relatives in villages lacking bank accounts or access to banks, but can also be abused by crim</w:t>
      </w:r>
      <w:r w:rsidR="00E22612" w:rsidRPr="000605BC">
        <w:rPr>
          <w:rFonts w:cs="Times New Roman"/>
          <w:sz w:val="20"/>
          <w:lang w:val="en-US"/>
        </w:rPr>
        <w:t>inals</w:t>
      </w:r>
      <w:r w:rsidR="00110AB4" w:rsidRPr="000605BC">
        <w:rPr>
          <w:rFonts w:cs="Times New Roman"/>
          <w:sz w:val="20"/>
          <w:lang w:val="en-US"/>
        </w:rPr>
        <w:t>.</w:t>
      </w:r>
      <w:r w:rsidR="003A6F8D" w:rsidRPr="000605BC">
        <w:rPr>
          <w:rFonts w:cs="Times New Roman"/>
          <w:sz w:val="20"/>
          <w:lang w:val="en-US"/>
        </w:rPr>
        <w:t>”</w:t>
      </w:r>
      <w:r w:rsidR="00110AB4" w:rsidRPr="000605BC">
        <w:rPr>
          <w:rStyle w:val="FootnoteReference"/>
          <w:rFonts w:cs="Times New Roman"/>
          <w:sz w:val="20"/>
          <w:lang w:val="en-US"/>
        </w:rPr>
        <w:footnoteReference w:id="48"/>
      </w:r>
      <w:r w:rsidRPr="000605BC">
        <w:rPr>
          <w:rFonts w:cs="Times New Roman"/>
          <w:sz w:val="20"/>
          <w:lang w:val="en-US"/>
        </w:rPr>
        <w:t xml:space="preserve"> Although </w:t>
      </w:r>
      <w:proofErr w:type="spellStart"/>
      <w:r w:rsidRPr="000605BC">
        <w:rPr>
          <w:rFonts w:cs="Times New Roman"/>
          <w:sz w:val="20"/>
          <w:lang w:val="en-US"/>
        </w:rPr>
        <w:t>Carr</w:t>
      </w:r>
      <w:proofErr w:type="spellEnd"/>
      <w:r w:rsidRPr="000605BC">
        <w:rPr>
          <w:rFonts w:cs="Times New Roman"/>
          <w:sz w:val="20"/>
          <w:lang w:val="en-US"/>
        </w:rPr>
        <w:t xml:space="preserve"> and </w:t>
      </w:r>
      <w:proofErr w:type="spellStart"/>
      <w:r w:rsidRPr="000605BC">
        <w:rPr>
          <w:rFonts w:cs="Times New Roman"/>
          <w:sz w:val="20"/>
          <w:lang w:val="en-US"/>
        </w:rPr>
        <w:t>Goldby</w:t>
      </w:r>
      <w:proofErr w:type="spellEnd"/>
      <w:r w:rsidRPr="000605BC">
        <w:rPr>
          <w:rFonts w:cs="Times New Roman"/>
          <w:sz w:val="20"/>
          <w:lang w:val="en-US"/>
        </w:rPr>
        <w:t xml:space="preserve"> welcome this inclusion of informal networks of money transfer into supervisory regimes, they </w:t>
      </w:r>
      <w:r w:rsidR="00EB5A1F" w:rsidRPr="000605BC">
        <w:rPr>
          <w:rFonts w:cs="Times New Roman"/>
          <w:sz w:val="20"/>
          <w:lang w:val="en-US"/>
        </w:rPr>
        <w:t xml:space="preserve">argue </w:t>
      </w:r>
      <w:r w:rsidRPr="000605BC">
        <w:rPr>
          <w:rFonts w:cs="Times New Roman"/>
          <w:sz w:val="20"/>
          <w:lang w:val="en-US"/>
        </w:rPr>
        <w:t xml:space="preserve">that </w:t>
      </w:r>
      <w:r w:rsidR="003A6F8D" w:rsidRPr="000605BC">
        <w:rPr>
          <w:rFonts w:cs="Times New Roman"/>
          <w:sz w:val="20"/>
          <w:lang w:val="en-US"/>
        </w:rPr>
        <w:t>“</w:t>
      </w:r>
      <w:r w:rsidRPr="000605BC">
        <w:rPr>
          <w:rFonts w:cs="Times New Roman"/>
          <w:sz w:val="20"/>
          <w:lang w:val="en-US"/>
        </w:rPr>
        <w:t>much research still needs to be done in order to design an effective regime for the regulation and supervision of s</w:t>
      </w:r>
      <w:r w:rsidR="00110AB4" w:rsidRPr="000605BC">
        <w:rPr>
          <w:rFonts w:cs="Times New Roman"/>
          <w:sz w:val="20"/>
          <w:lang w:val="en-US"/>
        </w:rPr>
        <w:t>uch informal networks.</w:t>
      </w:r>
      <w:r w:rsidR="003A6F8D" w:rsidRPr="000605BC">
        <w:rPr>
          <w:rFonts w:cs="Times New Roman"/>
          <w:sz w:val="20"/>
          <w:lang w:val="en-US"/>
        </w:rPr>
        <w:t>”</w:t>
      </w:r>
      <w:r w:rsidR="00110AB4" w:rsidRPr="000605BC">
        <w:rPr>
          <w:rStyle w:val="FootnoteReference"/>
          <w:rFonts w:cs="Times New Roman"/>
          <w:sz w:val="20"/>
          <w:lang w:val="en-US"/>
        </w:rPr>
        <w:footnoteReference w:id="49"/>
      </w:r>
    </w:p>
    <w:p w14:paraId="69D3A058" w14:textId="192ACABD" w:rsidR="00A77444" w:rsidRPr="000605BC" w:rsidRDefault="00A77444" w:rsidP="00916A81">
      <w:pPr>
        <w:tabs>
          <w:tab w:val="left" w:pos="6460"/>
        </w:tabs>
        <w:autoSpaceDE w:val="0"/>
        <w:autoSpaceDN w:val="0"/>
        <w:adjustRightInd w:val="0"/>
        <w:rPr>
          <w:rFonts w:cs="Times New Roman"/>
          <w:sz w:val="20"/>
          <w:lang w:val="en-US"/>
        </w:rPr>
      </w:pPr>
      <w:r w:rsidRPr="000605BC">
        <w:rPr>
          <w:rFonts w:cs="Times New Roman"/>
          <w:sz w:val="20"/>
          <w:lang w:val="en-US"/>
        </w:rPr>
        <w:t xml:space="preserve">Article 14 of UNCAC </w:t>
      </w:r>
      <w:r w:rsidR="00C41CCE" w:rsidRPr="000605BC">
        <w:rPr>
          <w:rFonts w:cs="Times New Roman"/>
          <w:sz w:val="20"/>
          <w:lang w:val="en-US"/>
        </w:rPr>
        <w:t xml:space="preserve">also </w:t>
      </w:r>
      <w:r w:rsidRPr="000605BC">
        <w:rPr>
          <w:rFonts w:cs="Times New Roman"/>
          <w:sz w:val="20"/>
          <w:lang w:val="en-US"/>
        </w:rPr>
        <w:t>requires states to develop comprehensive anti-money laundering regimes. Although not expressly mandated, there</w:t>
      </w:r>
      <w:r w:rsidR="00DB7A50" w:rsidRPr="000605BC">
        <w:rPr>
          <w:rFonts w:cs="Times New Roman"/>
          <w:sz w:val="20"/>
          <w:lang w:val="en-US"/>
        </w:rPr>
        <w:t xml:space="preserve"> is</w:t>
      </w:r>
      <w:r w:rsidRPr="000605BC">
        <w:rPr>
          <w:rFonts w:cs="Times New Roman"/>
          <w:sz w:val="20"/>
          <w:lang w:val="en-US"/>
        </w:rPr>
        <w:t xml:space="preserve"> a strong suggestion </w:t>
      </w:r>
      <w:r w:rsidR="001E11F4" w:rsidRPr="000605BC">
        <w:rPr>
          <w:rFonts w:cs="Times New Roman"/>
          <w:sz w:val="20"/>
          <w:lang w:val="en-US"/>
        </w:rPr>
        <w:t>by</w:t>
      </w:r>
      <w:r w:rsidRPr="000605BC">
        <w:rPr>
          <w:rFonts w:cs="Times New Roman"/>
          <w:sz w:val="20"/>
          <w:lang w:val="en-US"/>
        </w:rPr>
        <w:t xml:space="preserve"> UNCAC that states </w:t>
      </w:r>
      <w:r w:rsidR="00CA7505" w:rsidRPr="000605BC">
        <w:rPr>
          <w:rFonts w:cs="Times New Roman"/>
          <w:sz w:val="20"/>
          <w:lang w:val="en-US"/>
        </w:rPr>
        <w:t>look</w:t>
      </w:r>
      <w:r w:rsidRPr="000605BC">
        <w:rPr>
          <w:rFonts w:cs="Times New Roman"/>
          <w:sz w:val="20"/>
          <w:lang w:val="en-US"/>
        </w:rPr>
        <w:t xml:space="preserve"> to international stand</w:t>
      </w:r>
      <w:r w:rsidR="00E42064" w:rsidRPr="000605BC">
        <w:rPr>
          <w:rFonts w:cs="Times New Roman"/>
          <w:sz w:val="20"/>
          <w:lang w:val="en-US"/>
        </w:rPr>
        <w:t xml:space="preserve">ard setting bodies, such as the </w:t>
      </w:r>
      <w:r w:rsidRPr="000605BC">
        <w:rPr>
          <w:rFonts w:cs="Times New Roman"/>
          <w:sz w:val="20"/>
          <w:lang w:val="en-US"/>
        </w:rPr>
        <w:t>FATF, when designing anti-money laundering frameworks. Therefore, although the FATF recommendations are not themselves binding international law, in addition to their independent abilit</w:t>
      </w:r>
      <w:r w:rsidR="00E42064" w:rsidRPr="000605BC">
        <w:rPr>
          <w:rFonts w:cs="Times New Roman"/>
          <w:sz w:val="20"/>
          <w:lang w:val="en-US"/>
        </w:rPr>
        <w:t xml:space="preserve">y to set standards through peer </w:t>
      </w:r>
      <w:r w:rsidRPr="000605BC">
        <w:rPr>
          <w:rFonts w:cs="Times New Roman"/>
          <w:sz w:val="20"/>
          <w:lang w:val="en-US"/>
        </w:rPr>
        <w:t>pressure, they are given some degree</w:t>
      </w:r>
      <w:r w:rsidR="00E42064" w:rsidRPr="000605BC">
        <w:rPr>
          <w:rFonts w:cs="Times New Roman"/>
          <w:sz w:val="20"/>
          <w:lang w:val="en-US"/>
        </w:rPr>
        <w:t xml:space="preserve"> of legal recognition under </w:t>
      </w:r>
      <w:r w:rsidRPr="000605BC">
        <w:rPr>
          <w:rFonts w:cs="Times New Roman"/>
          <w:sz w:val="20"/>
          <w:lang w:val="en-US"/>
        </w:rPr>
        <w:t>UNCAC.</w:t>
      </w:r>
    </w:p>
    <w:p w14:paraId="78AAB3A8" w14:textId="4F86191A" w:rsidR="006F1107" w:rsidRPr="000605BC" w:rsidRDefault="00A77444" w:rsidP="00916A81">
      <w:pPr>
        <w:tabs>
          <w:tab w:val="left" w:pos="6460"/>
        </w:tabs>
        <w:autoSpaceDE w:val="0"/>
        <w:autoSpaceDN w:val="0"/>
        <w:adjustRightInd w:val="0"/>
        <w:rPr>
          <w:rFonts w:cs="Times New Roman"/>
          <w:sz w:val="20"/>
          <w:lang w:val="en-US"/>
        </w:rPr>
      </w:pPr>
      <w:r w:rsidRPr="000605BC">
        <w:rPr>
          <w:rFonts w:cs="Times New Roman"/>
          <w:sz w:val="20"/>
          <w:lang w:val="en-US"/>
        </w:rPr>
        <w:t xml:space="preserve">The following excerpt from the UNCAC </w:t>
      </w:r>
      <w:r w:rsidRPr="000605BC">
        <w:rPr>
          <w:rFonts w:cs="Times New Roman"/>
          <w:i/>
          <w:sz w:val="20"/>
          <w:lang w:val="en-US"/>
        </w:rPr>
        <w:t xml:space="preserve">Legislative Guide </w:t>
      </w:r>
      <w:r w:rsidRPr="000605BC">
        <w:rPr>
          <w:rFonts w:cs="Times New Roman"/>
          <w:sz w:val="20"/>
          <w:lang w:val="en-US"/>
        </w:rPr>
        <w:t>summarizes and explains the various mandated and recommended actions that, pursuant to Article 1</w:t>
      </w:r>
      <w:r w:rsidR="00E55CF6" w:rsidRPr="000605BC">
        <w:rPr>
          <w:rFonts w:cs="Times New Roman"/>
          <w:sz w:val="20"/>
          <w:lang w:val="en-US"/>
        </w:rPr>
        <w:t xml:space="preserve">4, </w:t>
      </w:r>
      <w:r w:rsidR="00745D63" w:rsidRPr="000605BC">
        <w:rPr>
          <w:rFonts w:cs="Times New Roman"/>
          <w:sz w:val="20"/>
          <w:lang w:val="en-US"/>
        </w:rPr>
        <w:t>S</w:t>
      </w:r>
      <w:r w:rsidR="00E55CF6" w:rsidRPr="000605BC">
        <w:rPr>
          <w:rFonts w:cs="Times New Roman"/>
          <w:sz w:val="20"/>
          <w:lang w:val="en-US"/>
        </w:rPr>
        <w:t xml:space="preserve">tate </w:t>
      </w:r>
      <w:r w:rsidR="00745D63" w:rsidRPr="000605BC">
        <w:rPr>
          <w:rFonts w:cs="Times New Roman"/>
          <w:sz w:val="20"/>
          <w:lang w:val="en-US"/>
        </w:rPr>
        <w:t>P</w:t>
      </w:r>
      <w:r w:rsidR="00E55CF6" w:rsidRPr="000605BC">
        <w:rPr>
          <w:rFonts w:cs="Times New Roman"/>
          <w:sz w:val="20"/>
          <w:lang w:val="en-US"/>
        </w:rPr>
        <w:t>arties are to follow:</w:t>
      </w:r>
    </w:p>
    <w:tbl>
      <w:tblPr>
        <w:tblStyle w:val="TableGrid"/>
        <w:tblW w:w="0" w:type="auto"/>
        <w:jc w:val="center"/>
        <w:tblCellMar>
          <w:top w:w="284" w:type="dxa"/>
          <w:left w:w="284" w:type="dxa"/>
          <w:bottom w:w="284" w:type="dxa"/>
          <w:right w:w="284" w:type="dxa"/>
        </w:tblCellMar>
        <w:tblLook w:val="04A0" w:firstRow="1" w:lastRow="0" w:firstColumn="1" w:lastColumn="0" w:noHBand="0" w:noVBand="1"/>
      </w:tblPr>
      <w:tblGrid>
        <w:gridCol w:w="8080"/>
      </w:tblGrid>
      <w:tr w:rsidR="00B80852" w:rsidRPr="000605BC" w14:paraId="29B13B08" w14:textId="77777777" w:rsidTr="0017342D">
        <w:trPr>
          <w:jc w:val="center"/>
        </w:trPr>
        <w:tc>
          <w:tcPr>
            <w:tcW w:w="9576" w:type="dxa"/>
            <w:tcBorders>
              <w:top w:val="nil"/>
              <w:left w:val="nil"/>
              <w:bottom w:val="nil"/>
              <w:right w:val="nil"/>
            </w:tcBorders>
            <w:shd w:val="clear" w:color="auto" w:fill="D9D9D9" w:themeFill="background1" w:themeFillShade="D9"/>
          </w:tcPr>
          <w:p w14:paraId="4321827F" w14:textId="77777777" w:rsidR="00B80852" w:rsidRPr="000605BC" w:rsidRDefault="00B80852" w:rsidP="0017342D">
            <w:pPr>
              <w:pStyle w:val="ExcerptMarker"/>
              <w:spacing w:before="0"/>
              <w:rPr>
                <w:sz w:val="16"/>
              </w:rPr>
            </w:pPr>
            <w:r w:rsidRPr="000605BC">
              <w:rPr>
                <w:sz w:val="16"/>
              </w:rPr>
              <w:t>Beginning of Excerpt</w:t>
            </w:r>
          </w:p>
          <w:p w14:paraId="20A720CE" w14:textId="77777777" w:rsidR="00B80852" w:rsidRPr="000605BC" w:rsidRDefault="00B80852" w:rsidP="00B80852">
            <w:pPr>
              <w:tabs>
                <w:tab w:val="left" w:pos="6460"/>
              </w:tabs>
              <w:autoSpaceDE w:val="0"/>
              <w:autoSpaceDN w:val="0"/>
              <w:adjustRightInd w:val="0"/>
              <w:rPr>
                <w:rFonts w:cs="Times New Roman"/>
                <w:b/>
                <w:bCs/>
                <w:iCs/>
                <w:sz w:val="20"/>
                <w:lang w:val="en-US"/>
              </w:rPr>
            </w:pPr>
            <w:r w:rsidRPr="000605BC">
              <w:rPr>
                <w:rFonts w:cs="Times New Roman"/>
                <w:b/>
                <w:bCs/>
                <w:iCs/>
                <w:sz w:val="20"/>
                <w:lang w:val="en-US"/>
              </w:rPr>
              <w:t>Summary of Main Requirements</w:t>
            </w:r>
          </w:p>
          <w:p w14:paraId="46A24E2F" w14:textId="77777777" w:rsidR="00B80852" w:rsidRPr="000605BC" w:rsidRDefault="00B80852" w:rsidP="00B80852">
            <w:pPr>
              <w:tabs>
                <w:tab w:val="left" w:pos="6460"/>
              </w:tabs>
              <w:autoSpaceDE w:val="0"/>
              <w:autoSpaceDN w:val="0"/>
              <w:adjustRightInd w:val="0"/>
              <w:rPr>
                <w:rFonts w:cs="Times New Roman"/>
                <w:sz w:val="20"/>
                <w:lang w:val="en-US"/>
              </w:rPr>
            </w:pPr>
            <w:r w:rsidRPr="000605BC">
              <w:rPr>
                <w:rFonts w:cs="Times New Roman"/>
                <w:sz w:val="20"/>
                <w:lang w:val="en-US"/>
              </w:rPr>
              <w:t>138. Article 14 contains two mandatory requirements:</w:t>
            </w:r>
          </w:p>
          <w:p w14:paraId="5B9E48A0" w14:textId="5694AFCC" w:rsidR="00B80852" w:rsidRPr="000605BC" w:rsidRDefault="00B80852" w:rsidP="00696D88">
            <w:pPr>
              <w:pStyle w:val="ListParagraph"/>
              <w:numPr>
                <w:ilvl w:val="0"/>
                <w:numId w:val="29"/>
              </w:numPr>
              <w:tabs>
                <w:tab w:val="left" w:pos="6460"/>
              </w:tabs>
              <w:autoSpaceDE w:val="0"/>
              <w:autoSpaceDN w:val="0"/>
              <w:adjustRightInd w:val="0"/>
              <w:rPr>
                <w:rFonts w:cs="Times New Roman"/>
                <w:sz w:val="20"/>
              </w:rPr>
            </w:pPr>
            <w:r w:rsidRPr="000605BC">
              <w:rPr>
                <w:rFonts w:cs="Times New Roman"/>
                <w:sz w:val="20"/>
              </w:rPr>
              <w:t xml:space="preserve">To establish a comprehensive domestic regulatory and supervisory regime to deter money-laundering (para. 1 </w:t>
            </w:r>
            <w:r w:rsidRPr="000605BC">
              <w:rPr>
                <w:rFonts w:cs="Times New Roman"/>
                <w:iCs/>
                <w:sz w:val="20"/>
              </w:rPr>
              <w:t>(a)</w:t>
            </w:r>
            <w:r w:rsidRPr="000605BC">
              <w:rPr>
                <w:rFonts w:cs="Times New Roman"/>
                <w:sz w:val="20"/>
              </w:rPr>
              <w:t>);</w:t>
            </w:r>
          </w:p>
          <w:p w14:paraId="6254FD03" w14:textId="1E4FBD92" w:rsidR="00B80852" w:rsidRPr="000605BC" w:rsidRDefault="00B80852" w:rsidP="00696D88">
            <w:pPr>
              <w:pStyle w:val="ListParagraph"/>
              <w:numPr>
                <w:ilvl w:val="0"/>
                <w:numId w:val="29"/>
              </w:numPr>
              <w:tabs>
                <w:tab w:val="left" w:pos="6460"/>
              </w:tabs>
              <w:autoSpaceDE w:val="0"/>
              <w:autoSpaceDN w:val="0"/>
              <w:adjustRightInd w:val="0"/>
              <w:rPr>
                <w:rFonts w:cs="Times New Roman"/>
                <w:sz w:val="20"/>
              </w:rPr>
            </w:pPr>
            <w:r w:rsidRPr="000605BC">
              <w:rPr>
                <w:rFonts w:cs="Times New Roman"/>
                <w:sz w:val="20"/>
              </w:rPr>
              <w:t xml:space="preserve">To ensure that agencies involved in combating money-laundering have the ability to cooperate and exchange information at the national and international levels (para. 1 </w:t>
            </w:r>
            <w:r w:rsidRPr="000605BC">
              <w:rPr>
                <w:rFonts w:cs="Times New Roman"/>
                <w:iCs/>
                <w:sz w:val="20"/>
              </w:rPr>
              <w:t>(b)</w:t>
            </w:r>
            <w:r w:rsidRPr="000605BC">
              <w:rPr>
                <w:rFonts w:cs="Times New Roman"/>
                <w:sz w:val="20"/>
              </w:rPr>
              <w:t>).</w:t>
            </w:r>
          </w:p>
          <w:p w14:paraId="717B4297" w14:textId="77777777" w:rsidR="00B80852" w:rsidRPr="000605BC" w:rsidRDefault="00B80852" w:rsidP="00B80852">
            <w:pPr>
              <w:tabs>
                <w:tab w:val="left" w:pos="6460"/>
              </w:tabs>
              <w:autoSpaceDE w:val="0"/>
              <w:autoSpaceDN w:val="0"/>
              <w:adjustRightInd w:val="0"/>
              <w:rPr>
                <w:rFonts w:cs="Times New Roman"/>
                <w:sz w:val="20"/>
                <w:lang w:val="en-US"/>
              </w:rPr>
            </w:pPr>
            <w:r w:rsidRPr="000605BC">
              <w:rPr>
                <w:rFonts w:cs="Times New Roman"/>
                <w:sz w:val="20"/>
                <w:lang w:val="en-US"/>
              </w:rPr>
              <w:t>139. In addition, pursuant to article 14 States must consider:</w:t>
            </w:r>
          </w:p>
          <w:p w14:paraId="20B68747" w14:textId="671BDC2C" w:rsidR="00B80852" w:rsidRPr="000605BC" w:rsidRDefault="00B80852" w:rsidP="00696D88">
            <w:pPr>
              <w:pStyle w:val="ListParagraph"/>
              <w:numPr>
                <w:ilvl w:val="0"/>
                <w:numId w:val="30"/>
              </w:numPr>
              <w:rPr>
                <w:sz w:val="20"/>
              </w:rPr>
            </w:pPr>
            <w:r w:rsidRPr="000605BC">
              <w:rPr>
                <w:sz w:val="20"/>
              </w:rPr>
              <w:t xml:space="preserve">Establishing an FIU (para. 1 </w:t>
            </w:r>
            <w:r w:rsidRPr="000605BC">
              <w:rPr>
                <w:iCs/>
                <w:sz w:val="20"/>
              </w:rPr>
              <w:t>(b)</w:t>
            </w:r>
            <w:r w:rsidRPr="000605BC">
              <w:rPr>
                <w:sz w:val="20"/>
              </w:rPr>
              <w:t>);</w:t>
            </w:r>
          </w:p>
          <w:p w14:paraId="15708257" w14:textId="32FDA44D" w:rsidR="00B80852" w:rsidRPr="000605BC" w:rsidRDefault="00B80852" w:rsidP="00696D88">
            <w:pPr>
              <w:pStyle w:val="ListParagraph"/>
              <w:numPr>
                <w:ilvl w:val="0"/>
                <w:numId w:val="30"/>
              </w:numPr>
              <w:rPr>
                <w:sz w:val="20"/>
              </w:rPr>
            </w:pPr>
            <w:r w:rsidRPr="000605BC">
              <w:rPr>
                <w:sz w:val="20"/>
              </w:rPr>
              <w:t>Implementing measures to monitor cash movements across their borders (para. 2);</w:t>
            </w:r>
          </w:p>
          <w:p w14:paraId="18450B64" w14:textId="475A5E3E" w:rsidR="00B80852" w:rsidRPr="000605BC" w:rsidRDefault="00B80852" w:rsidP="00696D88">
            <w:pPr>
              <w:pStyle w:val="ListParagraph"/>
              <w:numPr>
                <w:ilvl w:val="0"/>
                <w:numId w:val="30"/>
              </w:numPr>
              <w:rPr>
                <w:sz w:val="20"/>
              </w:rPr>
            </w:pPr>
            <w:r w:rsidRPr="000605BC">
              <w:rPr>
                <w:sz w:val="20"/>
              </w:rPr>
              <w:t>Implementing measures to require financial institutions to collect information on originators of electronic fund transfers, maintain information on the entire payment chain and scrutinize fund transfers with incomplete information on the originator (para. 3);</w:t>
            </w:r>
          </w:p>
          <w:p w14:paraId="2BD2AF41" w14:textId="1D95B151" w:rsidR="00B80852" w:rsidRPr="000605BC" w:rsidRDefault="00B80852" w:rsidP="00696D88">
            <w:pPr>
              <w:pStyle w:val="ListParagraph"/>
              <w:numPr>
                <w:ilvl w:val="0"/>
                <w:numId w:val="30"/>
              </w:numPr>
              <w:rPr>
                <w:sz w:val="20"/>
              </w:rPr>
            </w:pPr>
            <w:r w:rsidRPr="000605BC">
              <w:rPr>
                <w:sz w:val="20"/>
              </w:rPr>
              <w:t>Developing and promoting global, regional and bilateral cooperation among relevant agencies to combat money-laundering (para. 5).</w:t>
            </w:r>
          </w:p>
          <w:p w14:paraId="4C9A25BB" w14:textId="77777777" w:rsidR="00B80852" w:rsidRPr="000605BC" w:rsidRDefault="00B80852" w:rsidP="0039779C">
            <w:pPr>
              <w:tabs>
                <w:tab w:val="left" w:pos="6460"/>
              </w:tabs>
              <w:autoSpaceDE w:val="0"/>
              <w:autoSpaceDN w:val="0"/>
              <w:adjustRightInd w:val="0"/>
              <w:spacing w:before="0"/>
              <w:rPr>
                <w:rFonts w:cs="Times New Roman"/>
                <w:b/>
                <w:bCs/>
                <w:iCs/>
                <w:sz w:val="20"/>
                <w:lang w:val="en-US"/>
              </w:rPr>
            </w:pPr>
            <w:r w:rsidRPr="000605BC">
              <w:rPr>
                <w:rFonts w:cs="Times New Roman"/>
                <w:b/>
                <w:bCs/>
                <w:iCs/>
                <w:sz w:val="20"/>
                <w:lang w:val="en-US"/>
              </w:rPr>
              <w:t>Mandatory requirements: obligation to take legislative or other measures</w:t>
            </w:r>
          </w:p>
          <w:p w14:paraId="50A65DF6" w14:textId="77777777" w:rsidR="00B80852" w:rsidRPr="000605BC" w:rsidRDefault="00B80852" w:rsidP="00974280">
            <w:pPr>
              <w:tabs>
                <w:tab w:val="left" w:pos="6460"/>
              </w:tabs>
              <w:autoSpaceDE w:val="0"/>
              <w:autoSpaceDN w:val="0"/>
              <w:adjustRightInd w:val="0"/>
              <w:ind w:left="720"/>
              <w:rPr>
                <w:rFonts w:cs="Times New Roman"/>
                <w:b/>
                <w:iCs/>
                <w:sz w:val="20"/>
                <w:lang w:val="en-US"/>
              </w:rPr>
            </w:pPr>
            <w:r w:rsidRPr="000605BC">
              <w:rPr>
                <w:rFonts w:cs="Times New Roman"/>
                <w:b/>
                <w:iCs/>
                <w:sz w:val="20"/>
                <w:lang w:val="en-US"/>
              </w:rPr>
              <w:t>(a) Regulatory and supervisory regime</w:t>
            </w:r>
          </w:p>
          <w:p w14:paraId="196F76D8" w14:textId="77777777" w:rsidR="00B80852" w:rsidRPr="000605BC" w:rsidRDefault="00B80852" w:rsidP="00B80852">
            <w:pPr>
              <w:tabs>
                <w:tab w:val="left" w:pos="6460"/>
              </w:tabs>
              <w:autoSpaceDE w:val="0"/>
              <w:autoSpaceDN w:val="0"/>
              <w:adjustRightInd w:val="0"/>
              <w:rPr>
                <w:rFonts w:cs="Times New Roman"/>
                <w:sz w:val="20"/>
                <w:lang w:val="en-US"/>
              </w:rPr>
            </w:pPr>
            <w:r w:rsidRPr="000605BC">
              <w:rPr>
                <w:rFonts w:cs="Times New Roman"/>
                <w:sz w:val="20"/>
                <w:lang w:val="en-US"/>
              </w:rPr>
              <w:t xml:space="preserve">140. Article 14, paragraph 1 </w:t>
            </w:r>
            <w:r w:rsidRPr="000605BC">
              <w:rPr>
                <w:rFonts w:cs="Times New Roman"/>
                <w:iCs/>
                <w:sz w:val="20"/>
                <w:lang w:val="en-US"/>
              </w:rPr>
              <w:t>(a)</w:t>
            </w:r>
            <w:r w:rsidRPr="000605BC">
              <w:rPr>
                <w:rFonts w:cs="Times New Roman"/>
                <w:sz w:val="20"/>
                <w:lang w:val="en-US"/>
              </w:rPr>
              <w:t>, requires that States parties establish a regulatory and supervisory regime within their competence in order to prevent and detect money-laundering activities. This regime must be comprehensive, but the precise nature and particular elements of the regime are left to States, provided that they require, at a minimum, banks and non-bank financial institutions to ensure:</w:t>
            </w:r>
          </w:p>
          <w:p w14:paraId="642EF317" w14:textId="6AAF41FC" w:rsidR="00B80852" w:rsidRPr="000605BC" w:rsidRDefault="00B80852" w:rsidP="00696D88">
            <w:pPr>
              <w:pStyle w:val="ListParagraph"/>
              <w:numPr>
                <w:ilvl w:val="0"/>
                <w:numId w:val="31"/>
              </w:numPr>
              <w:rPr>
                <w:sz w:val="20"/>
              </w:rPr>
            </w:pPr>
            <w:r w:rsidRPr="000605BC">
              <w:rPr>
                <w:sz w:val="20"/>
              </w:rPr>
              <w:t>Effective customer identification;</w:t>
            </w:r>
          </w:p>
          <w:p w14:paraId="7830A327" w14:textId="7FC3EFB1" w:rsidR="00B80852" w:rsidRPr="000605BC" w:rsidRDefault="00B80852" w:rsidP="00696D88">
            <w:pPr>
              <w:pStyle w:val="ListParagraph"/>
              <w:numPr>
                <w:ilvl w:val="0"/>
                <w:numId w:val="31"/>
              </w:numPr>
              <w:rPr>
                <w:sz w:val="20"/>
              </w:rPr>
            </w:pPr>
            <w:r w:rsidRPr="000605BC">
              <w:rPr>
                <w:sz w:val="20"/>
              </w:rPr>
              <w:t>Accurate record-keeping;</w:t>
            </w:r>
          </w:p>
          <w:p w14:paraId="7CEFFB49" w14:textId="6D71D95D" w:rsidR="00B80852" w:rsidRPr="000605BC" w:rsidRDefault="00B80852" w:rsidP="00696D88">
            <w:pPr>
              <w:pStyle w:val="ListParagraph"/>
              <w:numPr>
                <w:ilvl w:val="0"/>
                <w:numId w:val="31"/>
              </w:numPr>
              <w:rPr>
                <w:sz w:val="20"/>
              </w:rPr>
            </w:pPr>
            <w:r w:rsidRPr="000605BC">
              <w:rPr>
                <w:sz w:val="20"/>
              </w:rPr>
              <w:t>A mechanism for the reporting of suspicious transactions.</w:t>
            </w:r>
          </w:p>
          <w:p w14:paraId="1D8823EC" w14:textId="46F50CD3" w:rsidR="00B80852" w:rsidRPr="000605BC" w:rsidRDefault="00B80852" w:rsidP="00B80852">
            <w:pPr>
              <w:tabs>
                <w:tab w:val="left" w:pos="6460"/>
              </w:tabs>
              <w:autoSpaceDE w:val="0"/>
              <w:autoSpaceDN w:val="0"/>
              <w:adjustRightInd w:val="0"/>
              <w:rPr>
                <w:rFonts w:cs="Times New Roman"/>
                <w:sz w:val="20"/>
                <w:lang w:val="en-US"/>
              </w:rPr>
            </w:pPr>
            <w:r w:rsidRPr="000605BC">
              <w:rPr>
                <w:rFonts w:cs="Times New Roman"/>
                <w:sz w:val="20"/>
                <w:lang w:val="en-US"/>
              </w:rPr>
              <w:t xml:space="preserve">141. The requirements extend to banks, non-bank financial institutions (e.g. insurance companies and securities firms) and, where appropriate, other bodies that are especially susceptible to money-laundering (art. 14, para. 1 </w:t>
            </w:r>
            <w:r w:rsidRPr="000605BC">
              <w:rPr>
                <w:rFonts w:cs="Times New Roman"/>
                <w:iCs/>
                <w:sz w:val="20"/>
                <w:lang w:val="en-US"/>
              </w:rPr>
              <w:t>(a)</w:t>
            </w:r>
            <w:r w:rsidRPr="000605BC">
              <w:rPr>
                <w:rFonts w:cs="Times New Roman"/>
                <w:sz w:val="20"/>
                <w:lang w:val="en-US"/>
              </w:rPr>
              <w:t xml:space="preserve">). The interpretative notes add that other bodies may be understood to include intermediaries, which in some jurisdictions may include </w:t>
            </w:r>
            <w:proofErr w:type="spellStart"/>
            <w:r w:rsidRPr="000605BC">
              <w:rPr>
                <w:rFonts w:cs="Times New Roman"/>
                <w:sz w:val="20"/>
                <w:lang w:val="en-US"/>
              </w:rPr>
              <w:t>stockbrokering</w:t>
            </w:r>
            <w:proofErr w:type="spellEnd"/>
            <w:r w:rsidRPr="000605BC">
              <w:rPr>
                <w:rFonts w:cs="Times New Roman"/>
                <w:sz w:val="20"/>
                <w:lang w:val="en-US"/>
              </w:rPr>
              <w:t xml:space="preserve"> firms, other securities dealers, currency exchange </w:t>
            </w:r>
            <w:proofErr w:type="spellStart"/>
            <w:r w:rsidRPr="000605BC">
              <w:rPr>
                <w:rFonts w:cs="Times New Roman"/>
                <w:sz w:val="20"/>
                <w:lang w:val="en-US"/>
              </w:rPr>
              <w:t>bureaux</w:t>
            </w:r>
            <w:proofErr w:type="spellEnd"/>
            <w:r w:rsidRPr="000605BC">
              <w:rPr>
                <w:rFonts w:cs="Times New Roman"/>
                <w:sz w:val="20"/>
                <w:lang w:val="en-US"/>
              </w:rPr>
              <w:t xml:space="preserve"> or currency brokers (A/58/422/Add.1, para. 18). An addition to the equivalent provisions in the Organized Crime Convention is that financial institutions include </w:t>
            </w:r>
            <w:r w:rsidR="003A6F8D" w:rsidRPr="000605BC">
              <w:rPr>
                <w:rFonts w:cs="Times New Roman"/>
                <w:sz w:val="20"/>
                <w:lang w:val="en-US"/>
              </w:rPr>
              <w:t>“</w:t>
            </w:r>
            <w:r w:rsidRPr="000605BC">
              <w:rPr>
                <w:rFonts w:cs="Times New Roman"/>
                <w:sz w:val="20"/>
                <w:lang w:val="en-US"/>
              </w:rPr>
              <w:t>natural or legal persons that provide formal or informal services for the transmission of money or value</w:t>
            </w:r>
            <w:r w:rsidR="003A6F8D" w:rsidRPr="000605BC">
              <w:rPr>
                <w:rFonts w:cs="Times New Roman"/>
                <w:sz w:val="20"/>
                <w:lang w:val="en-US"/>
              </w:rPr>
              <w:t>”</w:t>
            </w:r>
            <w:r w:rsidRPr="000605BC">
              <w:rPr>
                <w:rFonts w:cs="Times New Roman"/>
                <w:sz w:val="20"/>
                <w:lang w:val="en-US"/>
              </w:rPr>
              <w:t xml:space="preserve"> (art. 14, para. 1 </w:t>
            </w:r>
            <w:r w:rsidRPr="000605BC">
              <w:rPr>
                <w:rFonts w:cs="Times New Roman"/>
                <w:iCs/>
                <w:sz w:val="20"/>
                <w:lang w:val="en-US"/>
              </w:rPr>
              <w:t>(a)</w:t>
            </w:r>
            <w:r w:rsidRPr="000605BC">
              <w:rPr>
                <w:rFonts w:cs="Times New Roman"/>
                <w:sz w:val="20"/>
                <w:lang w:val="en-US"/>
              </w:rPr>
              <w:t xml:space="preserve">). This is a reference to concerns about both formal remitters and informal value-transfer systems, such as the </w:t>
            </w:r>
            <w:proofErr w:type="spellStart"/>
            <w:r w:rsidRPr="000605BC">
              <w:rPr>
                <w:rFonts w:cs="Times New Roman"/>
                <w:i/>
                <w:sz w:val="20"/>
                <w:lang w:val="en-US"/>
              </w:rPr>
              <w:t>hawala</w:t>
            </w:r>
            <w:proofErr w:type="spellEnd"/>
            <w:r w:rsidRPr="000605BC">
              <w:rPr>
                <w:rFonts w:cs="Times New Roman"/>
                <w:sz w:val="20"/>
                <w:lang w:val="en-US"/>
              </w:rPr>
              <w:t xml:space="preserve"> networks that originated in South Asia and have become global in recent decades. These channels offer valuable services to expatriates and their families, but are also vulnerable to abuse by criminals, including corrupt public officials.</w:t>
            </w:r>
          </w:p>
          <w:p w14:paraId="0AD6C6B7" w14:textId="77777777" w:rsidR="00B80852" w:rsidRPr="000605BC" w:rsidRDefault="00B80852" w:rsidP="00B80852">
            <w:pPr>
              <w:tabs>
                <w:tab w:val="left" w:pos="6460"/>
              </w:tabs>
              <w:autoSpaceDE w:val="0"/>
              <w:autoSpaceDN w:val="0"/>
              <w:adjustRightInd w:val="0"/>
              <w:rPr>
                <w:rFonts w:cs="Times New Roman"/>
                <w:sz w:val="20"/>
                <w:lang w:val="en-US"/>
              </w:rPr>
            </w:pPr>
            <w:r w:rsidRPr="000605BC">
              <w:rPr>
                <w:rFonts w:cs="Times New Roman"/>
                <w:sz w:val="20"/>
                <w:lang w:val="en-US"/>
              </w:rPr>
              <w:t>142. Thus, this regime should apply not only to banking institutions, but also to areas of commerce where high turnover and large volumes make money-laundering likely. Previous experience shows that money-laundering activities have taken place in the real estate sector and in the trade of commodities, such as gold, precious stones and tobacco.</w:t>
            </w:r>
          </w:p>
          <w:p w14:paraId="6C9213E0" w14:textId="77777777" w:rsidR="00B80852" w:rsidRPr="000605BC" w:rsidRDefault="00B80852" w:rsidP="0039779C">
            <w:pPr>
              <w:tabs>
                <w:tab w:val="left" w:pos="6460"/>
              </w:tabs>
              <w:autoSpaceDE w:val="0"/>
              <w:autoSpaceDN w:val="0"/>
              <w:adjustRightInd w:val="0"/>
              <w:spacing w:after="0"/>
              <w:rPr>
                <w:rFonts w:cs="Times New Roman"/>
                <w:sz w:val="20"/>
                <w:lang w:val="en-US"/>
              </w:rPr>
            </w:pPr>
            <w:r w:rsidRPr="000605BC">
              <w:rPr>
                <w:rFonts w:cs="Times New Roman"/>
                <w:sz w:val="20"/>
                <w:lang w:val="en-US"/>
              </w:rPr>
              <w:t>143. In many forums, the list of institutions is being expanded beyond financial institutions to include businesses and professions related to real estate and commodities. For example, recommendation 12 of the FATF Forty Recommendations extends, when certain conditions are met, the requirements of customer due diligence and record-keeping to casinos, real estate agents, dealers in precious metals and stones, lawyers, notaries, other independent legal professionals and accountants and trust and company service providers. Similar requirements are set forth in article 1 of Directive 2005/60/EC adopted by the European Parliament and the Council of the European Union on 26 October 2005.</w:t>
            </w:r>
          </w:p>
          <w:p w14:paraId="3B115776" w14:textId="77777777" w:rsidR="00B80852" w:rsidRPr="000605BC" w:rsidRDefault="00B80852" w:rsidP="0039779C">
            <w:pPr>
              <w:tabs>
                <w:tab w:val="left" w:pos="6460"/>
              </w:tabs>
              <w:autoSpaceDE w:val="0"/>
              <w:autoSpaceDN w:val="0"/>
              <w:adjustRightInd w:val="0"/>
              <w:spacing w:before="0"/>
              <w:rPr>
                <w:rFonts w:cs="Times New Roman"/>
                <w:sz w:val="20"/>
                <w:lang w:val="en-US"/>
              </w:rPr>
            </w:pPr>
            <w:r w:rsidRPr="000605BC">
              <w:rPr>
                <w:rFonts w:cs="Times New Roman"/>
                <w:sz w:val="20"/>
                <w:lang w:val="en-US"/>
              </w:rPr>
              <w:t xml:space="preserve">144. More recently, increased attention has been focused on money service businesses and informal value-transfer systems, such as </w:t>
            </w:r>
            <w:proofErr w:type="spellStart"/>
            <w:r w:rsidRPr="000605BC">
              <w:rPr>
                <w:rFonts w:cs="Times New Roman"/>
                <w:i/>
                <w:sz w:val="20"/>
                <w:lang w:val="en-US"/>
              </w:rPr>
              <w:t>hawala</w:t>
            </w:r>
            <w:proofErr w:type="spellEnd"/>
            <w:r w:rsidRPr="000605BC">
              <w:rPr>
                <w:rFonts w:cs="Times New Roman"/>
                <w:sz w:val="20"/>
                <w:lang w:val="en-US"/>
              </w:rPr>
              <w:t xml:space="preserve"> and </w:t>
            </w:r>
            <w:r w:rsidRPr="000605BC">
              <w:rPr>
                <w:rFonts w:cs="Times New Roman"/>
                <w:i/>
                <w:sz w:val="20"/>
                <w:lang w:val="en-US"/>
              </w:rPr>
              <w:t>hundi</w:t>
            </w:r>
            <w:r w:rsidRPr="000605BC">
              <w:rPr>
                <w:rFonts w:cs="Times New Roman"/>
                <w:sz w:val="20"/>
                <w:lang w:val="en-US"/>
              </w:rPr>
              <w:t>. In a growing number of jurisdictions, these are also subject to a regulatory regime for the purposes of detecting money-laundering, terrorist financing or other offences.</w:t>
            </w:r>
          </w:p>
          <w:p w14:paraId="235510AD" w14:textId="77777777" w:rsidR="00B80852" w:rsidRPr="000605BC" w:rsidRDefault="00B80852" w:rsidP="00B80852">
            <w:pPr>
              <w:tabs>
                <w:tab w:val="left" w:pos="6460"/>
              </w:tabs>
              <w:autoSpaceDE w:val="0"/>
              <w:autoSpaceDN w:val="0"/>
              <w:adjustRightInd w:val="0"/>
              <w:rPr>
                <w:rFonts w:cs="Times New Roman"/>
                <w:sz w:val="20"/>
                <w:lang w:val="en-US"/>
              </w:rPr>
            </w:pPr>
            <w:r w:rsidRPr="000605BC">
              <w:rPr>
                <w:rFonts w:cs="Times New Roman"/>
                <w:sz w:val="20"/>
                <w:lang w:val="en-US"/>
              </w:rPr>
              <w:t>145. Customer identification entails requirements that holders of accounts in financial institutions and all parties to financial transactions be identified and documented. Records should contain sufficient information to identify all parties and the nature of the transaction, identify specific assets and the amounts or values involved, and permit the tracing of the source and destination of all funds or other assets.</w:t>
            </w:r>
          </w:p>
          <w:p w14:paraId="116D8947" w14:textId="77777777" w:rsidR="00B80852" w:rsidRPr="000605BC" w:rsidRDefault="00B80852" w:rsidP="00B80852">
            <w:pPr>
              <w:tabs>
                <w:tab w:val="left" w:pos="6460"/>
              </w:tabs>
              <w:autoSpaceDE w:val="0"/>
              <w:autoSpaceDN w:val="0"/>
              <w:adjustRightInd w:val="0"/>
              <w:rPr>
                <w:rFonts w:cs="Times New Roman"/>
                <w:sz w:val="20"/>
                <w:lang w:val="en-US"/>
              </w:rPr>
            </w:pPr>
            <w:r w:rsidRPr="000605BC">
              <w:rPr>
                <w:rFonts w:cs="Times New Roman"/>
                <w:sz w:val="20"/>
                <w:lang w:val="en-US"/>
              </w:rPr>
              <w:t>146. The requirement for record-keeping means that client and transaction records should be kept for a specified minimum period of time. For example, under the FATF Forty Recommendations, at least five years is recommended, while for States parties to the International Convention for the Suppression of the Financing of Terrorism, retention of records for five years is mandatory.</w:t>
            </w:r>
          </w:p>
          <w:p w14:paraId="323826C3" w14:textId="77777777" w:rsidR="00B80852" w:rsidRPr="000605BC" w:rsidRDefault="00B80852" w:rsidP="00B80852">
            <w:pPr>
              <w:tabs>
                <w:tab w:val="left" w:pos="6460"/>
              </w:tabs>
              <w:autoSpaceDE w:val="0"/>
              <w:autoSpaceDN w:val="0"/>
              <w:adjustRightInd w:val="0"/>
              <w:rPr>
                <w:rFonts w:cs="Times New Roman"/>
                <w:sz w:val="20"/>
                <w:lang w:val="en-US"/>
              </w:rPr>
            </w:pPr>
            <w:r w:rsidRPr="000605BC">
              <w:rPr>
                <w:rFonts w:cs="Times New Roman"/>
                <w:sz w:val="20"/>
                <w:lang w:val="en-US"/>
              </w:rPr>
              <w:t>147. Suspicious transactions are to be notified to the FIU or other designated agency. Criteria for identifying suspicious transactions should be developed and periodically reviewed in consultation with experts knowledgeable about new methods or networks used by money launderers.</w:t>
            </w:r>
          </w:p>
          <w:p w14:paraId="2F33C2A2" w14:textId="2F7FBEAC" w:rsidR="00B80852" w:rsidRPr="000605BC" w:rsidRDefault="00B80852" w:rsidP="00B80852">
            <w:pPr>
              <w:tabs>
                <w:tab w:val="left" w:pos="6460"/>
              </w:tabs>
              <w:autoSpaceDE w:val="0"/>
              <w:autoSpaceDN w:val="0"/>
              <w:adjustRightInd w:val="0"/>
              <w:rPr>
                <w:rFonts w:cs="Times New Roman"/>
                <w:sz w:val="20"/>
                <w:lang w:val="en-US"/>
              </w:rPr>
            </w:pPr>
            <w:r w:rsidRPr="000605BC">
              <w:rPr>
                <w:rFonts w:cs="Times New Roman"/>
                <w:sz w:val="20"/>
                <w:lang w:val="en-US"/>
              </w:rPr>
              <w:t xml:space="preserve">148. The interpretative notes indicate that the words </w:t>
            </w:r>
            <w:r w:rsidR="003A6F8D" w:rsidRPr="000605BC">
              <w:rPr>
                <w:rFonts w:cs="Times New Roman"/>
                <w:sz w:val="20"/>
                <w:lang w:val="en-US"/>
              </w:rPr>
              <w:t>“</w:t>
            </w:r>
            <w:r w:rsidRPr="000605BC">
              <w:rPr>
                <w:rFonts w:cs="Times New Roman"/>
                <w:sz w:val="20"/>
                <w:lang w:val="en-US"/>
              </w:rPr>
              <w:t>suspicious transactions</w:t>
            </w:r>
            <w:r w:rsidR="003A6F8D" w:rsidRPr="000605BC">
              <w:rPr>
                <w:rFonts w:cs="Times New Roman"/>
                <w:sz w:val="20"/>
                <w:lang w:val="en-US"/>
              </w:rPr>
              <w:t>”</w:t>
            </w:r>
            <w:r w:rsidRPr="000605BC">
              <w:rPr>
                <w:rFonts w:cs="Times New Roman"/>
                <w:sz w:val="20"/>
                <w:lang w:val="en-US"/>
              </w:rPr>
              <w:t xml:space="preserve"> may be understood to include unusual transactions that, by reason of their amount, characteristics and frequency, are inconsistent with the customer’s business activity, exceed the normally accepted parameters of the market or have no clear legal basis and could constitute or be connected with unlawful activities in general (A/58/422/Add.1, para. 19). The International Convention for the Suppression of the Financing of Terrorism defines suspicious transactions as all complex, unusually large transactions and unusual patterns of transactions, which have no apparent economic or obviously lawful purpose (General Assembly resolution 54/109, annex, art. 18, para. 1 </w:t>
            </w:r>
            <w:r w:rsidRPr="000605BC">
              <w:rPr>
                <w:rFonts w:cs="Times New Roman"/>
                <w:iCs/>
                <w:sz w:val="20"/>
                <w:lang w:val="en-US"/>
              </w:rPr>
              <w:t>(b)</w:t>
            </w:r>
            <w:r w:rsidRPr="000605BC">
              <w:rPr>
                <w:rFonts w:cs="Times New Roman"/>
                <w:i/>
                <w:iCs/>
                <w:sz w:val="20"/>
                <w:lang w:val="en-US"/>
              </w:rPr>
              <w:t xml:space="preserve"> </w:t>
            </w:r>
            <w:r w:rsidRPr="000605BC">
              <w:rPr>
                <w:rFonts w:cs="Times New Roman"/>
                <w:sz w:val="20"/>
                <w:lang w:val="en-US"/>
              </w:rPr>
              <w:t>(iii)).</w:t>
            </w:r>
          </w:p>
          <w:p w14:paraId="6FBE98BD" w14:textId="77777777" w:rsidR="00B80852" w:rsidRPr="000605BC" w:rsidRDefault="00B80852" w:rsidP="00B80852">
            <w:pPr>
              <w:tabs>
                <w:tab w:val="left" w:pos="6460"/>
              </w:tabs>
              <w:autoSpaceDE w:val="0"/>
              <w:autoSpaceDN w:val="0"/>
              <w:adjustRightInd w:val="0"/>
              <w:rPr>
                <w:rFonts w:cs="Times New Roman"/>
                <w:sz w:val="20"/>
                <w:lang w:val="en-US"/>
              </w:rPr>
            </w:pPr>
            <w:r w:rsidRPr="000605BC">
              <w:rPr>
                <w:rFonts w:cs="Times New Roman"/>
                <w:sz w:val="20"/>
                <w:lang w:val="en-US"/>
              </w:rPr>
              <w:t>149. The powers to be granted to regulators and staff of the FIU to inspect records and to compel the assistance of record keepers in locating the records must also be defined. As some of these records may be covered by confidentiality requirements and banking secrecy laws that prohibit their disclosure, provisions freeing financial institutions from complying with such requirements and laws may be considered. Drafters should also ensure that the inspection and disclosure requirements are written in such a way as to protect financial institutions against civil and other claims for disclosing client records to regulators and FIUs.</w:t>
            </w:r>
          </w:p>
          <w:p w14:paraId="7DF68D55" w14:textId="77777777" w:rsidR="00B80852" w:rsidRPr="000605BC" w:rsidRDefault="00B80852" w:rsidP="00B80852">
            <w:pPr>
              <w:tabs>
                <w:tab w:val="left" w:pos="6460"/>
              </w:tabs>
              <w:autoSpaceDE w:val="0"/>
              <w:autoSpaceDN w:val="0"/>
              <w:adjustRightInd w:val="0"/>
              <w:rPr>
                <w:rFonts w:cs="Times New Roman"/>
                <w:sz w:val="20"/>
                <w:lang w:val="en-US"/>
              </w:rPr>
            </w:pPr>
            <w:r w:rsidRPr="000605BC">
              <w:rPr>
                <w:rFonts w:cs="Times New Roman"/>
                <w:sz w:val="20"/>
                <w:lang w:val="en-US"/>
              </w:rPr>
              <w:t>150. The implementation of such measures is likely to require legislation. In particular, the requirement that financial institutions must disclose suspicious transactions and the protection of those who make disclosures in good faith will require legislation to override banking secrecy laws (see also paras. 1-3 of art. 52, on the prevention and detection of transfers of proceeds of crime).</w:t>
            </w:r>
          </w:p>
          <w:p w14:paraId="7698EDB0" w14:textId="77777777" w:rsidR="00B80852" w:rsidRPr="000605BC" w:rsidRDefault="00B80852" w:rsidP="00974280">
            <w:pPr>
              <w:tabs>
                <w:tab w:val="left" w:pos="6460"/>
              </w:tabs>
              <w:autoSpaceDE w:val="0"/>
              <w:autoSpaceDN w:val="0"/>
              <w:adjustRightInd w:val="0"/>
              <w:ind w:left="720"/>
              <w:rPr>
                <w:rFonts w:cs="Times New Roman"/>
                <w:b/>
                <w:iCs/>
                <w:sz w:val="20"/>
                <w:lang w:val="en-US"/>
              </w:rPr>
            </w:pPr>
            <w:r w:rsidRPr="000605BC">
              <w:rPr>
                <w:rFonts w:cs="Times New Roman"/>
                <w:b/>
                <w:iCs/>
                <w:sz w:val="20"/>
                <w:lang w:val="en-US"/>
              </w:rPr>
              <w:t>(b) Domestic and international cooperation</w:t>
            </w:r>
          </w:p>
          <w:p w14:paraId="63E363DC" w14:textId="77777777" w:rsidR="00B80852" w:rsidRPr="000605BC" w:rsidRDefault="00B80852" w:rsidP="00B80852">
            <w:pPr>
              <w:tabs>
                <w:tab w:val="left" w:pos="6460"/>
              </w:tabs>
              <w:autoSpaceDE w:val="0"/>
              <w:autoSpaceDN w:val="0"/>
              <w:adjustRightInd w:val="0"/>
              <w:rPr>
                <w:rFonts w:cs="Times New Roman"/>
                <w:sz w:val="20"/>
                <w:lang w:val="en-US"/>
              </w:rPr>
            </w:pPr>
            <w:r w:rsidRPr="000605BC">
              <w:rPr>
                <w:rFonts w:cs="Times New Roman"/>
                <w:sz w:val="20"/>
                <w:lang w:val="en-US"/>
              </w:rPr>
              <w:t>151. Coordination of efforts and international cooperation is as central to the problem of money-laundering as it is to the other offences covered by the Convention against Corruption. Beyond the general measures and processes such as extradition, mutual legal assistance, joint investigations and asset recovery (which are covered in detail in the sections on international cooperation in chapter IV and asset recovery in chapter V, below), the Convention seeks to strengthen such coordination and cooperation.</w:t>
            </w:r>
          </w:p>
          <w:p w14:paraId="257AD08E" w14:textId="4A7A18D3" w:rsidR="00B80852" w:rsidRPr="000605BC" w:rsidRDefault="00B80852" w:rsidP="00B80852">
            <w:pPr>
              <w:tabs>
                <w:tab w:val="left" w:pos="6460"/>
              </w:tabs>
              <w:autoSpaceDE w:val="0"/>
              <w:autoSpaceDN w:val="0"/>
              <w:adjustRightInd w:val="0"/>
              <w:rPr>
                <w:rFonts w:cs="Times New Roman"/>
                <w:sz w:val="20"/>
                <w:lang w:val="en-US"/>
              </w:rPr>
            </w:pPr>
            <w:r w:rsidRPr="000605BC">
              <w:rPr>
                <w:rFonts w:cs="Times New Roman"/>
                <w:sz w:val="20"/>
                <w:lang w:val="en-US"/>
              </w:rPr>
              <w:t xml:space="preserve">152. Article 14, paragraph 1 </w:t>
            </w:r>
            <w:r w:rsidRPr="000605BC">
              <w:rPr>
                <w:rFonts w:cs="Times New Roman"/>
                <w:iCs/>
                <w:sz w:val="20"/>
                <w:lang w:val="en-US"/>
              </w:rPr>
              <w:t>(b)</w:t>
            </w:r>
            <w:r w:rsidRPr="000605BC">
              <w:rPr>
                <w:rFonts w:cs="Times New Roman"/>
                <w:sz w:val="20"/>
                <w:lang w:val="en-US"/>
              </w:rPr>
              <w:t xml:space="preserve">, requires that administrative, regulatory, law enforcement and other domestic authorities in charge of the efforts against money-laundering are able to cooperate at both the national and international level. This includes the exchange of information within the conditions prescribed by their domestic law. This must be done without limiting or detracting from (or in the words of the Convention, </w:t>
            </w:r>
            <w:r w:rsidR="003A6F8D" w:rsidRPr="000605BC">
              <w:rPr>
                <w:rFonts w:cs="Times New Roman"/>
                <w:sz w:val="20"/>
                <w:lang w:val="en-US"/>
              </w:rPr>
              <w:t>“</w:t>
            </w:r>
            <w:r w:rsidRPr="000605BC">
              <w:rPr>
                <w:rFonts w:cs="Times New Roman"/>
                <w:sz w:val="20"/>
                <w:lang w:val="en-US"/>
              </w:rPr>
              <w:t>without prejudice to</w:t>
            </w:r>
            <w:r w:rsidR="003A6F8D" w:rsidRPr="000605BC">
              <w:rPr>
                <w:rFonts w:cs="Times New Roman"/>
                <w:sz w:val="20"/>
                <w:lang w:val="en-US"/>
              </w:rPr>
              <w:t>”</w:t>
            </w:r>
            <w:r w:rsidRPr="000605BC">
              <w:rPr>
                <w:rFonts w:cs="Times New Roman"/>
                <w:sz w:val="20"/>
                <w:lang w:val="en-US"/>
              </w:rPr>
              <w:t>) the requirements generated by article 46 (Mutual legal assistance).</w:t>
            </w:r>
          </w:p>
          <w:p w14:paraId="739FA50F" w14:textId="77777777" w:rsidR="00B80852" w:rsidRPr="000605BC" w:rsidRDefault="00B80852" w:rsidP="00B80852">
            <w:pPr>
              <w:tabs>
                <w:tab w:val="left" w:pos="6460"/>
              </w:tabs>
              <w:autoSpaceDE w:val="0"/>
              <w:autoSpaceDN w:val="0"/>
              <w:adjustRightInd w:val="0"/>
              <w:rPr>
                <w:rFonts w:cs="Times New Roman"/>
                <w:sz w:val="20"/>
                <w:lang w:val="en-US"/>
              </w:rPr>
            </w:pPr>
            <w:r w:rsidRPr="000605BC">
              <w:rPr>
                <w:rFonts w:cs="Times New Roman"/>
                <w:sz w:val="20"/>
                <w:lang w:val="en-US"/>
              </w:rPr>
              <w:t>153. In order for cooperation to be possible, domestic capabilities must be developed for the identification, collection and interpretation of all relevant information. Essentially, three types of entity may be part of a strategy to combat money-laundering and could, thus, be considered by States:</w:t>
            </w:r>
          </w:p>
          <w:p w14:paraId="4E8C299C" w14:textId="649C4CCC" w:rsidR="00B80852" w:rsidRPr="000605BC" w:rsidRDefault="00B80852" w:rsidP="00696D88">
            <w:pPr>
              <w:pStyle w:val="ListParagraph"/>
              <w:numPr>
                <w:ilvl w:val="0"/>
                <w:numId w:val="32"/>
              </w:numPr>
              <w:rPr>
                <w:sz w:val="20"/>
              </w:rPr>
            </w:pPr>
            <w:r w:rsidRPr="000605BC">
              <w:rPr>
                <w:sz w:val="20"/>
              </w:rPr>
              <w:t>Regulatory agencies responsible for the oversight of financial institutions, such as banks or insurance entities, with powers to inspect financial institutions and enforce regulatory requirements through the imposition of regulatory or administrative remedies or sanctions;</w:t>
            </w:r>
          </w:p>
          <w:p w14:paraId="72251492" w14:textId="360F6DF3" w:rsidR="00B80852" w:rsidRPr="000605BC" w:rsidRDefault="00B80852" w:rsidP="00696D88">
            <w:pPr>
              <w:pStyle w:val="ListParagraph"/>
              <w:numPr>
                <w:ilvl w:val="0"/>
                <w:numId w:val="32"/>
              </w:numPr>
              <w:rPr>
                <w:sz w:val="20"/>
              </w:rPr>
            </w:pPr>
            <w:r w:rsidRPr="000605BC">
              <w:rPr>
                <w:sz w:val="20"/>
              </w:rPr>
              <w:t>Law enforcement agencies responsible for conducting criminal investigations, with investigative powers and powers to arrest and detain suspected offenders and that are subject to judicial or other safeguards;</w:t>
            </w:r>
          </w:p>
          <w:p w14:paraId="13930925" w14:textId="2B8AB6B8" w:rsidR="00B80852" w:rsidRPr="000605BC" w:rsidRDefault="00B80852" w:rsidP="00696D88">
            <w:pPr>
              <w:pStyle w:val="ListParagraph"/>
              <w:numPr>
                <w:ilvl w:val="0"/>
                <w:numId w:val="32"/>
              </w:numPr>
              <w:rPr>
                <w:sz w:val="20"/>
              </w:rPr>
            </w:pPr>
            <w:r w:rsidRPr="000605BC">
              <w:rPr>
                <w:sz w:val="20"/>
              </w:rPr>
              <w:t xml:space="preserve">FIUs, which are not required under the Convention, whose powers are usually limited to receiving reports of suspicious transactions, </w:t>
            </w:r>
            <w:proofErr w:type="spellStart"/>
            <w:r w:rsidRPr="000605BC">
              <w:rPr>
                <w:sz w:val="20"/>
              </w:rPr>
              <w:t>analysing</w:t>
            </w:r>
            <w:proofErr w:type="spellEnd"/>
            <w:r w:rsidRPr="000605BC">
              <w:rPr>
                <w:sz w:val="20"/>
              </w:rPr>
              <w:t xml:space="preserve"> them and disseminating information to prosecution agencies, although some such units have wider powers (see more on FIUs in sect. V.E, below).</w:t>
            </w:r>
          </w:p>
          <w:p w14:paraId="0AD29DB2" w14:textId="77777777" w:rsidR="00B80852" w:rsidRPr="000605BC" w:rsidRDefault="00B80852" w:rsidP="00B80852">
            <w:pPr>
              <w:tabs>
                <w:tab w:val="left" w:pos="6460"/>
              </w:tabs>
              <w:autoSpaceDE w:val="0"/>
              <w:autoSpaceDN w:val="0"/>
              <w:adjustRightInd w:val="0"/>
              <w:rPr>
                <w:rFonts w:cs="Times New Roman"/>
                <w:sz w:val="20"/>
                <w:lang w:val="en-US"/>
              </w:rPr>
            </w:pPr>
            <w:r w:rsidRPr="000605BC">
              <w:rPr>
                <w:rFonts w:cs="Times New Roman"/>
                <w:sz w:val="20"/>
                <w:lang w:val="en-US"/>
              </w:rPr>
              <w:t xml:space="preserve">154. The authority of each entity to cooperate with national bodies and with other similar agencies in other States is usually specified in the relevant legislation. If States do have such entities, legislation may be needed to amend existing mandates and the division of </w:t>
            </w:r>
            <w:proofErr w:type="spellStart"/>
            <w:r w:rsidRPr="000605BC">
              <w:rPr>
                <w:rFonts w:cs="Times New Roman"/>
                <w:sz w:val="20"/>
                <w:lang w:val="en-US"/>
              </w:rPr>
              <w:t>labour</w:t>
            </w:r>
            <w:proofErr w:type="spellEnd"/>
            <w:r w:rsidRPr="000605BC">
              <w:rPr>
                <w:rFonts w:cs="Times New Roman"/>
                <w:sz w:val="20"/>
                <w:lang w:val="en-US"/>
              </w:rPr>
              <w:t xml:space="preserve"> among these entities, in accordance with each State’s constitutional or other principles and the specificities of its financial services sector.</w:t>
            </w:r>
          </w:p>
          <w:p w14:paraId="4CF8738E" w14:textId="77777777" w:rsidR="00B80852" w:rsidRPr="000605BC" w:rsidRDefault="00B80852" w:rsidP="00B80852">
            <w:pPr>
              <w:tabs>
                <w:tab w:val="left" w:pos="6460"/>
              </w:tabs>
              <w:autoSpaceDE w:val="0"/>
              <w:autoSpaceDN w:val="0"/>
              <w:adjustRightInd w:val="0"/>
              <w:rPr>
                <w:rFonts w:cs="Times New Roman"/>
                <w:sz w:val="20"/>
                <w:lang w:val="en-US"/>
              </w:rPr>
            </w:pPr>
            <w:r w:rsidRPr="000605BC">
              <w:rPr>
                <w:rFonts w:cs="Times New Roman"/>
                <w:sz w:val="20"/>
                <w:lang w:val="en-US"/>
              </w:rPr>
              <w:t xml:space="preserve">155. Some of these measures may constitute a strong challenge for countries in which the financial sector is not heavily regulated and the necessary legislation and administrative infrastructure may have to be created. It is essential to note, however, that the relevance and utility of these arrangements are not limited to the control of money-laundering, but also to corruption. They also strengthen confidence in the financial infrastructure, which is instrumental to sustainable social and economic development. </w:t>
            </w:r>
          </w:p>
          <w:p w14:paraId="7275E9C5" w14:textId="77777777" w:rsidR="00B80852" w:rsidRPr="000605BC" w:rsidRDefault="00B80852" w:rsidP="00B80852">
            <w:pPr>
              <w:tabs>
                <w:tab w:val="left" w:pos="6460"/>
              </w:tabs>
              <w:autoSpaceDE w:val="0"/>
              <w:autoSpaceDN w:val="0"/>
              <w:adjustRightInd w:val="0"/>
              <w:rPr>
                <w:rFonts w:cs="Times New Roman"/>
                <w:sz w:val="20"/>
                <w:lang w:val="en-US"/>
              </w:rPr>
            </w:pPr>
            <w:r w:rsidRPr="000605BC">
              <w:rPr>
                <w:rFonts w:cs="Times New Roman"/>
                <w:sz w:val="20"/>
                <w:lang w:val="en-US"/>
              </w:rPr>
              <w:t>156. The remaining provisions of this article are also closely connected to domestic and international cooperation, and are examined below, as they are not mandatory under the Convention.</w:t>
            </w:r>
          </w:p>
          <w:p w14:paraId="30962CF1" w14:textId="77777777" w:rsidR="00B80852" w:rsidRPr="000605BC" w:rsidRDefault="00B80852" w:rsidP="00B80852">
            <w:pPr>
              <w:tabs>
                <w:tab w:val="left" w:pos="6460"/>
              </w:tabs>
              <w:autoSpaceDE w:val="0"/>
              <w:autoSpaceDN w:val="0"/>
              <w:adjustRightInd w:val="0"/>
              <w:rPr>
                <w:rFonts w:cs="Times New Roman"/>
                <w:sz w:val="20"/>
                <w:lang w:val="en-US"/>
              </w:rPr>
            </w:pPr>
            <w:r w:rsidRPr="000605BC">
              <w:rPr>
                <w:rFonts w:cs="Times New Roman"/>
                <w:b/>
                <w:bCs/>
                <w:iCs/>
                <w:sz w:val="20"/>
                <w:lang w:val="en-US"/>
              </w:rPr>
              <w:t>Optional requirements: obligation to consider</w:t>
            </w:r>
          </w:p>
          <w:p w14:paraId="0C46F57E" w14:textId="77777777" w:rsidR="00B80852" w:rsidRPr="000605BC" w:rsidRDefault="00B80852" w:rsidP="00974280">
            <w:pPr>
              <w:tabs>
                <w:tab w:val="left" w:pos="6460"/>
              </w:tabs>
              <w:autoSpaceDE w:val="0"/>
              <w:autoSpaceDN w:val="0"/>
              <w:adjustRightInd w:val="0"/>
              <w:ind w:left="720"/>
              <w:rPr>
                <w:rFonts w:cs="Times New Roman"/>
                <w:b/>
                <w:iCs/>
                <w:sz w:val="20"/>
                <w:lang w:val="en-US"/>
              </w:rPr>
            </w:pPr>
            <w:r w:rsidRPr="000605BC">
              <w:rPr>
                <w:rFonts w:cs="Times New Roman"/>
                <w:b/>
                <w:iCs/>
                <w:sz w:val="20"/>
                <w:lang w:val="en-US"/>
              </w:rPr>
              <w:t>(a) Financial intelligence units</w:t>
            </w:r>
          </w:p>
          <w:p w14:paraId="19449162" w14:textId="77777777" w:rsidR="00B80852" w:rsidRPr="000605BC" w:rsidRDefault="00B80852" w:rsidP="00B80852">
            <w:pPr>
              <w:tabs>
                <w:tab w:val="left" w:pos="6460"/>
              </w:tabs>
              <w:autoSpaceDE w:val="0"/>
              <w:autoSpaceDN w:val="0"/>
              <w:adjustRightInd w:val="0"/>
              <w:rPr>
                <w:rFonts w:cs="Times New Roman"/>
                <w:sz w:val="20"/>
                <w:lang w:val="en-US"/>
              </w:rPr>
            </w:pPr>
            <w:r w:rsidRPr="000605BC">
              <w:rPr>
                <w:rFonts w:cs="Times New Roman"/>
                <w:sz w:val="20"/>
                <w:lang w:val="en-US"/>
              </w:rPr>
              <w:t xml:space="preserve">157. Article 14, paragraph 1 </w:t>
            </w:r>
            <w:r w:rsidRPr="000605BC">
              <w:rPr>
                <w:rFonts w:cs="Times New Roman"/>
                <w:iCs/>
                <w:sz w:val="20"/>
                <w:lang w:val="en-US"/>
              </w:rPr>
              <w:t>(b)</w:t>
            </w:r>
            <w:r w:rsidRPr="000605BC">
              <w:rPr>
                <w:rFonts w:cs="Times New Roman"/>
                <w:sz w:val="20"/>
                <w:lang w:val="en-US"/>
              </w:rPr>
              <w:t xml:space="preserve">, requires States parties to consider the establishment of FIUs to serve as a national </w:t>
            </w:r>
            <w:proofErr w:type="spellStart"/>
            <w:r w:rsidRPr="000605BC">
              <w:rPr>
                <w:rFonts w:cs="Times New Roman"/>
                <w:sz w:val="20"/>
                <w:lang w:val="en-US"/>
              </w:rPr>
              <w:t>centre</w:t>
            </w:r>
            <w:proofErr w:type="spellEnd"/>
            <w:r w:rsidRPr="000605BC">
              <w:rPr>
                <w:rFonts w:cs="Times New Roman"/>
                <w:sz w:val="20"/>
                <w:lang w:val="en-US"/>
              </w:rPr>
              <w:t xml:space="preserve"> for the collection, analysis and dissemination of information regarding potential money-laundering. Since the 1990s, many States have established such units as part of their regulatory police or other authorities. There is a wide range of structure, responsibilities, functions and departmental affiliation or independence for such units. According to the interpretative notes, the call for the establishment of an FIU is intended for cases where such a mechanism does not yet exist (A/58/422/Add.1, para. 20).</w:t>
            </w:r>
          </w:p>
          <w:p w14:paraId="768A0F53" w14:textId="77777777" w:rsidR="00B80852" w:rsidRPr="000605BC" w:rsidRDefault="00B80852" w:rsidP="00B80852">
            <w:pPr>
              <w:tabs>
                <w:tab w:val="left" w:pos="6460"/>
              </w:tabs>
              <w:autoSpaceDE w:val="0"/>
              <w:autoSpaceDN w:val="0"/>
              <w:adjustRightInd w:val="0"/>
              <w:rPr>
                <w:rFonts w:cs="Times New Roman"/>
                <w:sz w:val="20"/>
              </w:rPr>
            </w:pPr>
            <w:r w:rsidRPr="000605BC">
              <w:rPr>
                <w:rFonts w:cs="Times New Roman"/>
                <w:sz w:val="20"/>
                <w:lang w:val="en-US"/>
              </w:rPr>
              <w:t xml:space="preserve">158. The Egmont Group (an informal association of FIUs) has defined such units as a central, national agency responsible for receiving (and, as permitted, requesting), </w:t>
            </w:r>
            <w:proofErr w:type="spellStart"/>
            <w:r w:rsidRPr="000605BC">
              <w:rPr>
                <w:rFonts w:cs="Times New Roman"/>
                <w:sz w:val="20"/>
                <w:lang w:val="en-US"/>
              </w:rPr>
              <w:t>analysing</w:t>
            </w:r>
            <w:proofErr w:type="spellEnd"/>
            <w:r w:rsidRPr="000605BC">
              <w:rPr>
                <w:rFonts w:cs="Times New Roman"/>
                <w:sz w:val="20"/>
                <w:lang w:val="en-US"/>
              </w:rPr>
              <w:t xml:space="preserve"> and disseminating to the competent authorities, disclosures of financial information </w:t>
            </w:r>
            <w:r w:rsidRPr="000605BC">
              <w:rPr>
                <w:rFonts w:cs="Times New Roman"/>
                <w:iCs/>
                <w:sz w:val="20"/>
                <w:lang w:val="en-US"/>
              </w:rPr>
              <w:t>(a)</w:t>
            </w:r>
            <w:r w:rsidRPr="000605BC">
              <w:rPr>
                <w:rFonts w:cs="Times New Roman"/>
                <w:i/>
                <w:iCs/>
                <w:sz w:val="20"/>
                <w:lang w:val="en-US"/>
              </w:rPr>
              <w:t xml:space="preserve"> </w:t>
            </w:r>
            <w:r w:rsidRPr="000605BC">
              <w:rPr>
                <w:rFonts w:cs="Times New Roman"/>
                <w:sz w:val="20"/>
                <w:lang w:val="en-US"/>
              </w:rPr>
              <w:t xml:space="preserve">concerning suspected proceeds of crime; or </w:t>
            </w:r>
            <w:r w:rsidRPr="000605BC">
              <w:rPr>
                <w:rFonts w:cs="Times New Roman"/>
                <w:iCs/>
                <w:sz w:val="20"/>
                <w:lang w:val="en-US"/>
              </w:rPr>
              <w:t>(b)</w:t>
            </w:r>
            <w:r w:rsidRPr="000605BC">
              <w:rPr>
                <w:rFonts w:cs="Times New Roman"/>
                <w:i/>
                <w:iCs/>
                <w:sz w:val="20"/>
                <w:lang w:val="en-US"/>
              </w:rPr>
              <w:t xml:space="preserve"> </w:t>
            </w:r>
            <w:r w:rsidRPr="000605BC">
              <w:rPr>
                <w:rFonts w:cs="Times New Roman"/>
                <w:sz w:val="20"/>
                <w:lang w:val="en-US"/>
              </w:rPr>
              <w:t>required by national legislation or regulation; in order to counter money laundering.</w:t>
            </w:r>
            <w:r w:rsidRPr="000605BC">
              <w:rPr>
                <w:rStyle w:val="FootnoteReference"/>
                <w:rFonts w:cs="Times New Roman"/>
                <w:sz w:val="20"/>
                <w:lang w:val="en-US"/>
              </w:rPr>
              <w:footnoteReference w:id="50"/>
            </w:r>
          </w:p>
          <w:p w14:paraId="297AE23C" w14:textId="77777777" w:rsidR="00B80852" w:rsidRPr="000605BC" w:rsidRDefault="00B80852" w:rsidP="0039779C">
            <w:pPr>
              <w:tabs>
                <w:tab w:val="left" w:pos="6460"/>
              </w:tabs>
              <w:autoSpaceDE w:val="0"/>
              <w:autoSpaceDN w:val="0"/>
              <w:adjustRightInd w:val="0"/>
              <w:spacing w:after="0"/>
              <w:rPr>
                <w:rFonts w:cs="Times New Roman"/>
                <w:sz w:val="20"/>
                <w:lang w:val="en-US"/>
              </w:rPr>
            </w:pPr>
            <w:r w:rsidRPr="000605BC">
              <w:rPr>
                <w:rFonts w:cs="Times New Roman"/>
                <w:sz w:val="20"/>
                <w:lang w:val="en-US"/>
              </w:rPr>
              <w:t>159. The Convention does not require that an FIU be established by law, but legislation may still be required to institute the obligation to report suspicious transactions to such a unit and to protect financial institutions that disclose such information in good faith (see also art. 58, on FIUs). In practice, the vast majority of FIUs are established by law. If it is decided to draft such legislation, States may wish to consider including the following elements:</w:t>
            </w:r>
          </w:p>
          <w:p w14:paraId="6A45CDAB" w14:textId="53A2B8E9" w:rsidR="00B80852" w:rsidRPr="000605BC" w:rsidRDefault="00B80852" w:rsidP="00696D88">
            <w:pPr>
              <w:pStyle w:val="ListParagraph"/>
              <w:numPr>
                <w:ilvl w:val="0"/>
                <w:numId w:val="33"/>
              </w:numPr>
              <w:rPr>
                <w:sz w:val="20"/>
              </w:rPr>
            </w:pPr>
            <w:r w:rsidRPr="000605BC">
              <w:rPr>
                <w:sz w:val="20"/>
              </w:rPr>
              <w:t>Specification of the institutions that are subject to the obligation to report suspicious transactions and definition of the information to be reported to the unit;</w:t>
            </w:r>
          </w:p>
          <w:p w14:paraId="12F009F7" w14:textId="1397ACC2" w:rsidR="00B80852" w:rsidRPr="000605BC" w:rsidRDefault="00B80852" w:rsidP="00696D88">
            <w:pPr>
              <w:pStyle w:val="ListParagraph"/>
              <w:numPr>
                <w:ilvl w:val="0"/>
                <w:numId w:val="33"/>
              </w:numPr>
              <w:rPr>
                <w:sz w:val="20"/>
              </w:rPr>
            </w:pPr>
            <w:r w:rsidRPr="000605BC">
              <w:rPr>
                <w:sz w:val="20"/>
              </w:rPr>
              <w:t>Legislation defining the powers under which the unit can compel the assistance of reporting institutions to follow up on incomplete or inadequate reports;</w:t>
            </w:r>
            <w:r w:rsidRPr="000605BC">
              <w:rPr>
                <w:sz w:val="20"/>
              </w:rPr>
              <w:tab/>
            </w:r>
          </w:p>
          <w:p w14:paraId="1DBB1157" w14:textId="009C852E" w:rsidR="00B80852" w:rsidRPr="000605BC" w:rsidRDefault="00B80852" w:rsidP="00696D88">
            <w:pPr>
              <w:pStyle w:val="ListParagraph"/>
              <w:numPr>
                <w:ilvl w:val="0"/>
                <w:numId w:val="33"/>
              </w:numPr>
              <w:rPr>
                <w:sz w:val="20"/>
              </w:rPr>
            </w:pPr>
            <w:r w:rsidRPr="000605BC">
              <w:rPr>
                <w:sz w:val="20"/>
              </w:rPr>
              <w:t>Authorization for the unit to disseminate information to law enforcement agencies when it has evidence warranting prosecution and authority for the unit to communicate financial intelligence information to foreign agencies, under certain conditions;</w:t>
            </w:r>
          </w:p>
          <w:p w14:paraId="2C94EA75" w14:textId="6E50321F" w:rsidR="00B80852" w:rsidRPr="000605BC" w:rsidRDefault="00B80852" w:rsidP="00696D88">
            <w:pPr>
              <w:pStyle w:val="ListParagraph"/>
              <w:numPr>
                <w:ilvl w:val="0"/>
                <w:numId w:val="33"/>
              </w:numPr>
              <w:rPr>
                <w:sz w:val="20"/>
              </w:rPr>
            </w:pPr>
            <w:r w:rsidRPr="000605BC">
              <w:rPr>
                <w:sz w:val="20"/>
              </w:rPr>
              <w:t>Protection of the confidentiality of information received by the unit, establishing limits on the uses to which it may be put and shielding the unit from further disclosure;</w:t>
            </w:r>
          </w:p>
          <w:p w14:paraId="67F358A7" w14:textId="0F32CB51" w:rsidR="00B80852" w:rsidRPr="000605BC" w:rsidRDefault="00B80852" w:rsidP="00696D88">
            <w:pPr>
              <w:pStyle w:val="ListParagraph"/>
              <w:numPr>
                <w:ilvl w:val="0"/>
                <w:numId w:val="33"/>
              </w:numPr>
              <w:rPr>
                <w:sz w:val="20"/>
              </w:rPr>
            </w:pPr>
            <w:r w:rsidRPr="000605BC">
              <w:rPr>
                <w:sz w:val="20"/>
              </w:rPr>
              <w:t>Definition of the reporting arrangements for the unit and its relationship with other Government agencies, including law enforcement agencies and financial regulators. States may already have money-laundering controls in place that can be expanded or modified to conform to the requirements of article 14 relating to money-laundering and those of article 31 relating to freezing, confiscation, seizure, disposal of proceeds, as well as provisions on asset recovery, as necessary.</w:t>
            </w:r>
          </w:p>
          <w:p w14:paraId="7D9CE9D0" w14:textId="77777777" w:rsidR="00B80852" w:rsidRPr="000605BC" w:rsidRDefault="00B80852" w:rsidP="00B80852">
            <w:pPr>
              <w:tabs>
                <w:tab w:val="left" w:pos="6460"/>
              </w:tabs>
              <w:autoSpaceDE w:val="0"/>
              <w:autoSpaceDN w:val="0"/>
              <w:adjustRightInd w:val="0"/>
              <w:rPr>
                <w:rFonts w:cs="Times New Roman"/>
                <w:sz w:val="20"/>
                <w:lang w:val="en-US"/>
              </w:rPr>
            </w:pPr>
            <w:r w:rsidRPr="000605BC">
              <w:rPr>
                <w:rFonts w:cs="Times New Roman"/>
                <w:sz w:val="20"/>
                <w:lang w:val="en-US"/>
              </w:rPr>
              <w:t>160. It is worth noting that actions taken to conform to article 14 may also bring States into conformity with other conventions and initiatives, such as Security Council resolution 1373 (2001), the International Convention for the Suppression of the Financing of Terrorism, the Organized Crime Convention and the FATF Nine Special Recommendations on Terrorist Financing.</w:t>
            </w:r>
          </w:p>
          <w:p w14:paraId="07C2C707" w14:textId="77777777" w:rsidR="00B80852" w:rsidRPr="000605BC" w:rsidRDefault="00B80852" w:rsidP="00B80852">
            <w:pPr>
              <w:keepNext/>
              <w:tabs>
                <w:tab w:val="left" w:pos="1187"/>
              </w:tabs>
              <w:autoSpaceDE w:val="0"/>
              <w:autoSpaceDN w:val="0"/>
              <w:adjustRightInd w:val="0"/>
              <w:rPr>
                <w:rFonts w:cs="Times New Roman"/>
                <w:sz w:val="20"/>
                <w:lang w:val="en-US"/>
              </w:rPr>
            </w:pPr>
            <w:r w:rsidRPr="000605BC">
              <w:rPr>
                <w:rFonts w:cs="Times New Roman"/>
                <w:sz w:val="20"/>
                <w:lang w:val="en-US"/>
              </w:rPr>
              <w:t>161. Further information about various options that can be included in laws, regulations and procedures to combat money-laundering can be obtained from the Anti-Money-Laundering Unit of the United Nations Office on Drugs and Crime.</w:t>
            </w:r>
          </w:p>
          <w:p w14:paraId="586844D9" w14:textId="77777777" w:rsidR="00B80852" w:rsidRPr="000605BC" w:rsidRDefault="00B80852" w:rsidP="00974280">
            <w:pPr>
              <w:keepNext/>
              <w:tabs>
                <w:tab w:val="left" w:pos="1187"/>
              </w:tabs>
              <w:autoSpaceDE w:val="0"/>
              <w:autoSpaceDN w:val="0"/>
              <w:adjustRightInd w:val="0"/>
              <w:ind w:left="720"/>
              <w:rPr>
                <w:rFonts w:cs="Times New Roman"/>
                <w:b/>
                <w:iCs/>
                <w:sz w:val="20"/>
                <w:lang w:val="en-US"/>
              </w:rPr>
            </w:pPr>
            <w:r w:rsidRPr="000605BC">
              <w:rPr>
                <w:rFonts w:cs="Times New Roman"/>
                <w:b/>
                <w:iCs/>
                <w:sz w:val="20"/>
                <w:lang w:val="en-US"/>
              </w:rPr>
              <w:t>(b) Other measures</w:t>
            </w:r>
          </w:p>
          <w:p w14:paraId="587E8CF2" w14:textId="77777777" w:rsidR="00B80852" w:rsidRPr="000605BC" w:rsidRDefault="00B80852" w:rsidP="00B80852">
            <w:pPr>
              <w:keepNext/>
              <w:tabs>
                <w:tab w:val="left" w:pos="1187"/>
              </w:tabs>
              <w:autoSpaceDE w:val="0"/>
              <w:autoSpaceDN w:val="0"/>
              <w:adjustRightInd w:val="0"/>
              <w:rPr>
                <w:rFonts w:cs="Times New Roman"/>
                <w:sz w:val="20"/>
                <w:lang w:val="en-US"/>
              </w:rPr>
            </w:pPr>
            <w:r w:rsidRPr="000605BC">
              <w:rPr>
                <w:rFonts w:cs="Times New Roman"/>
                <w:sz w:val="20"/>
                <w:lang w:val="en-US"/>
              </w:rPr>
              <w:t>162. As part of the effort to develop the capacity to provide effective international cooperation, States are required to consider the introduction of feasible measures aimed at monitoring the cross-border movement of cash and other monetary instruments (art. 14, para. 2). The goal of such measures would be to allow States to detect and monitor the movement of cash and appropriate negotiable instruments across their borders, subject to safeguards to ensure proper use of information and without impeding in any way the movement of legitimate capital. Such measures may include a requirement that individuals and businesses report the cross-border transfer of substantial quantities of cash appropriate negotiable instruments. Generally, structures based on monitoring or surveillance will require legal powers giving inspectors or investigators access to information on cross-border transactions, in particular in cases where criminal behaviour is suspected.</w:t>
            </w:r>
            <w:r w:rsidRPr="000605BC">
              <w:rPr>
                <w:rStyle w:val="FootnoteReference"/>
                <w:rFonts w:cs="Times New Roman"/>
                <w:sz w:val="20"/>
                <w:lang w:val="en-US"/>
              </w:rPr>
              <w:footnoteReference w:id="51"/>
            </w:r>
          </w:p>
          <w:p w14:paraId="09F207FE" w14:textId="77777777" w:rsidR="00B80852" w:rsidRPr="000605BC" w:rsidRDefault="00B80852" w:rsidP="00B80852">
            <w:pPr>
              <w:tabs>
                <w:tab w:val="left" w:pos="1187"/>
              </w:tabs>
              <w:autoSpaceDE w:val="0"/>
              <w:autoSpaceDN w:val="0"/>
              <w:adjustRightInd w:val="0"/>
              <w:rPr>
                <w:rFonts w:cs="Times New Roman"/>
                <w:sz w:val="20"/>
                <w:lang w:val="en-US"/>
              </w:rPr>
            </w:pPr>
            <w:r w:rsidRPr="000605BC">
              <w:rPr>
                <w:rFonts w:cs="Times New Roman"/>
                <w:sz w:val="20"/>
                <w:lang w:val="en-US"/>
              </w:rPr>
              <w:t>163. Article 14, paragraph 3, contains provisions going beyond the Organized Crime Convention. It requires that States consider the implementation of measures obliging financial institutions, including money remitters:</w:t>
            </w:r>
          </w:p>
          <w:p w14:paraId="25295A37" w14:textId="7CA1C217" w:rsidR="00B80852" w:rsidRPr="000605BC" w:rsidRDefault="00B80852" w:rsidP="00696D88">
            <w:pPr>
              <w:pStyle w:val="ListParagraph"/>
              <w:numPr>
                <w:ilvl w:val="0"/>
                <w:numId w:val="34"/>
              </w:numPr>
              <w:rPr>
                <w:sz w:val="20"/>
              </w:rPr>
            </w:pPr>
            <w:r w:rsidRPr="000605BC">
              <w:rPr>
                <w:sz w:val="20"/>
              </w:rPr>
              <w:t>To include on forms for the electronic transfer of funds and related messages accurate and meaningful information on the originator;</w:t>
            </w:r>
          </w:p>
          <w:p w14:paraId="3E76B9A3" w14:textId="5F549F1E" w:rsidR="00B80852" w:rsidRPr="000605BC" w:rsidRDefault="00B80852" w:rsidP="00696D88">
            <w:pPr>
              <w:pStyle w:val="ListParagraph"/>
              <w:numPr>
                <w:ilvl w:val="0"/>
                <w:numId w:val="34"/>
              </w:numPr>
              <w:rPr>
                <w:sz w:val="20"/>
              </w:rPr>
            </w:pPr>
            <w:r w:rsidRPr="000605BC">
              <w:rPr>
                <w:sz w:val="20"/>
              </w:rPr>
              <w:t>To maintain such information throughout the payment chain; and</w:t>
            </w:r>
          </w:p>
          <w:p w14:paraId="6BBC6AE5" w14:textId="7ED0FFD9" w:rsidR="00B80852" w:rsidRPr="000605BC" w:rsidRDefault="00B80852" w:rsidP="00696D88">
            <w:pPr>
              <w:pStyle w:val="ListParagraph"/>
              <w:numPr>
                <w:ilvl w:val="0"/>
                <w:numId w:val="34"/>
              </w:numPr>
              <w:rPr>
                <w:sz w:val="20"/>
              </w:rPr>
            </w:pPr>
            <w:r w:rsidRPr="000605BC">
              <w:rPr>
                <w:sz w:val="20"/>
              </w:rPr>
              <w:t>To apply enhanced scrutiny to transfers of funds that do not contain complete information on the originator.</w:t>
            </w:r>
          </w:p>
          <w:p w14:paraId="365DB460" w14:textId="77777777" w:rsidR="00B80852" w:rsidRPr="000605BC" w:rsidRDefault="00B80852" w:rsidP="00B80852">
            <w:pPr>
              <w:tabs>
                <w:tab w:val="left" w:pos="1187"/>
              </w:tabs>
              <w:autoSpaceDE w:val="0"/>
              <w:autoSpaceDN w:val="0"/>
              <w:adjustRightInd w:val="0"/>
              <w:rPr>
                <w:rFonts w:cs="Times New Roman"/>
                <w:sz w:val="20"/>
                <w:lang w:val="en-US"/>
              </w:rPr>
            </w:pPr>
            <w:r w:rsidRPr="000605BC">
              <w:rPr>
                <w:rFonts w:cs="Times New Roman"/>
                <w:sz w:val="20"/>
                <w:lang w:val="en-US"/>
              </w:rPr>
              <w:t>164. The concern is essentially about the identification of remitters and beneficiaries on the one hand and the traceability of the transaction on the other. There are no exact estimates on the extent of funds transferred across national borders, especially with respect to informal remitters, who are popular in many countries. Given that they range in the tens of billions of United States dollars, however, it is an area of regulatory concern.</w:t>
            </w:r>
          </w:p>
          <w:p w14:paraId="43DD90FB" w14:textId="3175CA49" w:rsidR="00B80852" w:rsidRPr="000605BC" w:rsidRDefault="00B80852" w:rsidP="00B80852">
            <w:pPr>
              <w:tabs>
                <w:tab w:val="left" w:pos="1187"/>
              </w:tabs>
              <w:autoSpaceDE w:val="0"/>
              <w:autoSpaceDN w:val="0"/>
              <w:adjustRightInd w:val="0"/>
              <w:rPr>
                <w:rFonts w:cs="Times New Roman"/>
                <w:sz w:val="20"/>
                <w:lang w:val="en-US"/>
              </w:rPr>
            </w:pPr>
            <w:r w:rsidRPr="000605BC">
              <w:rPr>
                <w:rFonts w:cs="Times New Roman"/>
                <w:sz w:val="20"/>
                <w:lang w:val="en-US"/>
              </w:rPr>
              <w:t xml:space="preserve">165. As mentioned above, the Convention against Corruption builds on parallel international initiatives to combat money-laundering. In establishing a domestic regulatory and supervisory regime, States parties are called upon to use as a guideline the relevant initiatives of regional, interregional and multilateral organizations against money-laundering (art. 14, para. 4). An interpretative note states that during the negotiations, the words </w:t>
            </w:r>
            <w:r w:rsidR="003A6F8D" w:rsidRPr="000605BC">
              <w:rPr>
                <w:rFonts w:cs="Times New Roman"/>
                <w:sz w:val="20"/>
                <w:lang w:val="en-US"/>
              </w:rPr>
              <w:t>“</w:t>
            </w:r>
            <w:r w:rsidRPr="000605BC">
              <w:rPr>
                <w:rFonts w:cs="Times New Roman"/>
                <w:sz w:val="20"/>
                <w:lang w:val="en-US"/>
              </w:rPr>
              <w:t>relevant initiatives of regional, interregional and multilateral organizations</w:t>
            </w:r>
            <w:r w:rsidR="003A6F8D" w:rsidRPr="000605BC">
              <w:rPr>
                <w:rFonts w:cs="Times New Roman"/>
                <w:sz w:val="20"/>
                <w:lang w:val="en-US"/>
              </w:rPr>
              <w:t>”</w:t>
            </w:r>
            <w:r w:rsidRPr="000605BC">
              <w:rPr>
                <w:rFonts w:cs="Times New Roman"/>
                <w:sz w:val="20"/>
                <w:lang w:val="en-US"/>
              </w:rPr>
              <w:t xml:space="preserve"> were understood to refer in particular to the Forty Recommendations and the Eight</w:t>
            </w:r>
            <w:r w:rsidRPr="000605BC">
              <w:rPr>
                <w:rStyle w:val="FootnoteReference"/>
                <w:rFonts w:cs="Times New Roman"/>
                <w:sz w:val="20"/>
                <w:lang w:val="en-US"/>
              </w:rPr>
              <w:footnoteReference w:id="52"/>
            </w:r>
            <w:r w:rsidRPr="000605BC">
              <w:rPr>
                <w:rFonts w:cs="Times New Roman"/>
                <w:sz w:val="20"/>
                <w:lang w:val="en-US"/>
              </w:rPr>
              <w:t xml:space="preserve"> Special Recommendations of the FATF, as revised in 2003 and 2001, respectively, and, in addition, to other existing initiatives of regional, interregional and multilateral organizations against money-laundering, such as the Caribbean Financial Action Task Force, the Commonwealth, the Council of Europe, the Eastern and Southern African Anti-Money-Laundering Group, the European Union, the Financial Action Task Force of South America against Money Laundering and the Organization of American States</w:t>
            </w:r>
            <w:r w:rsidR="003A6F8D" w:rsidRPr="000605BC">
              <w:rPr>
                <w:rFonts w:cs="Times New Roman"/>
                <w:sz w:val="20"/>
                <w:lang w:val="en-US"/>
              </w:rPr>
              <w:t>”</w:t>
            </w:r>
            <w:r w:rsidRPr="000605BC">
              <w:rPr>
                <w:rFonts w:cs="Times New Roman"/>
                <w:sz w:val="20"/>
                <w:lang w:val="en-US"/>
              </w:rPr>
              <w:t xml:space="preserve"> (A/58/422/Add.1, para. 21).</w:t>
            </w:r>
          </w:p>
          <w:p w14:paraId="260FB950" w14:textId="77777777" w:rsidR="00B80852" w:rsidRPr="000605BC" w:rsidRDefault="00B80852" w:rsidP="00B80852">
            <w:pPr>
              <w:tabs>
                <w:tab w:val="left" w:pos="1187"/>
              </w:tabs>
              <w:autoSpaceDE w:val="0"/>
              <w:autoSpaceDN w:val="0"/>
              <w:adjustRightInd w:val="0"/>
              <w:rPr>
                <w:rFonts w:cs="Times New Roman"/>
                <w:sz w:val="20"/>
                <w:lang w:val="en-US"/>
              </w:rPr>
            </w:pPr>
            <w:r w:rsidRPr="000605BC">
              <w:rPr>
                <w:rFonts w:cs="Times New Roman"/>
                <w:sz w:val="20"/>
                <w:lang w:val="en-US"/>
              </w:rPr>
              <w:t>166. Ultimately, States are free to determine the best way to implement article 14. However, the development of a relationship with one of the organizations working to combat money-laundering would be important for effective implementation.</w:t>
            </w:r>
          </w:p>
          <w:p w14:paraId="4444FA85" w14:textId="77777777" w:rsidR="00B80852" w:rsidRPr="000605BC" w:rsidRDefault="00B80852" w:rsidP="00B80852">
            <w:pPr>
              <w:tabs>
                <w:tab w:val="left" w:pos="1187"/>
              </w:tabs>
              <w:autoSpaceDE w:val="0"/>
              <w:autoSpaceDN w:val="0"/>
              <w:adjustRightInd w:val="0"/>
              <w:rPr>
                <w:rFonts w:cs="Times New Roman"/>
                <w:sz w:val="20"/>
                <w:lang w:val="en-US"/>
              </w:rPr>
            </w:pPr>
            <w:r w:rsidRPr="000605BC">
              <w:rPr>
                <w:rFonts w:cs="Times New Roman"/>
                <w:sz w:val="20"/>
                <w:lang w:val="en-US"/>
              </w:rPr>
              <w:t>167. In implementing article 14, paragraph 4, States may wish to consider some specific elements relative to the measures that the comprehensive regulatory regime must include. The Forty Recommendations are useful in this regard, as are model regulations that have been prepared by the United Nations Office on Drugs and Crime and the Organization of American States (see sect. II.G (Information resources) at the end of this chapter of the guide).</w:t>
            </w:r>
          </w:p>
          <w:p w14:paraId="254B8C98" w14:textId="61697032" w:rsidR="00B80852" w:rsidRPr="000605BC" w:rsidRDefault="00B80852" w:rsidP="00B80852">
            <w:pPr>
              <w:tabs>
                <w:tab w:val="left" w:pos="1187"/>
                <w:tab w:val="left" w:pos="7695"/>
                <w:tab w:val="left" w:pos="7753"/>
              </w:tabs>
              <w:autoSpaceDE w:val="0"/>
              <w:autoSpaceDN w:val="0"/>
              <w:adjustRightInd w:val="0"/>
              <w:rPr>
                <w:rFonts w:cs="Times New Roman"/>
                <w:sz w:val="20"/>
                <w:lang w:val="en-US"/>
              </w:rPr>
            </w:pPr>
            <w:r w:rsidRPr="000605BC">
              <w:rPr>
                <w:rFonts w:cs="Times New Roman"/>
                <w:sz w:val="20"/>
                <w:lang w:val="en-US"/>
              </w:rPr>
              <w:t xml:space="preserve">168. Furthermore, paragraph 5 of article 14 requires that States endeavour to develop and promote global, regional, </w:t>
            </w:r>
            <w:proofErr w:type="spellStart"/>
            <w:r w:rsidRPr="000605BC">
              <w:rPr>
                <w:rFonts w:cs="Times New Roman"/>
                <w:sz w:val="20"/>
                <w:lang w:val="en-US"/>
              </w:rPr>
              <w:t>subregional</w:t>
            </w:r>
            <w:proofErr w:type="spellEnd"/>
            <w:r w:rsidRPr="000605BC">
              <w:rPr>
                <w:rFonts w:cs="Times New Roman"/>
                <w:sz w:val="20"/>
                <w:lang w:val="en-US"/>
              </w:rPr>
              <w:t xml:space="preserve"> and bilateral cooperation among judicial, law enforcement and financial regulatory authorities in order to combat money-laundering.</w:t>
            </w:r>
            <w:r w:rsidR="00F62131" w:rsidRPr="000605BC">
              <w:rPr>
                <w:rStyle w:val="FootnoteReference"/>
                <w:rFonts w:cs="Times New Roman"/>
                <w:sz w:val="20"/>
                <w:lang w:val="en-US"/>
              </w:rPr>
              <w:footnoteReference w:id="53"/>
            </w:r>
          </w:p>
          <w:p w14:paraId="07AA41F6" w14:textId="5D11E340" w:rsidR="00B80852" w:rsidRPr="000605BC" w:rsidRDefault="00B80852" w:rsidP="0017342D">
            <w:pPr>
              <w:pStyle w:val="ExcerptMarker"/>
              <w:spacing w:after="0"/>
              <w:rPr>
                <w:sz w:val="16"/>
              </w:rPr>
            </w:pPr>
            <w:r w:rsidRPr="000605BC">
              <w:rPr>
                <w:sz w:val="16"/>
              </w:rPr>
              <w:t>End of Excerpt</w:t>
            </w:r>
          </w:p>
        </w:tc>
      </w:tr>
    </w:tbl>
    <w:p w14:paraId="107CF25B" w14:textId="3AD5A500" w:rsidR="004A1630" w:rsidRPr="000605BC" w:rsidRDefault="004A1630" w:rsidP="00E36F66">
      <w:pPr>
        <w:pStyle w:val="Heading2"/>
        <w:rPr>
          <w:sz w:val="24"/>
        </w:rPr>
      </w:pPr>
      <w:bookmarkStart w:id="25" w:name="_Toc287093729"/>
      <w:bookmarkStart w:id="26" w:name="_Toc419901547"/>
      <w:bookmarkStart w:id="27" w:name="_Toc489788768"/>
      <w:bookmarkStart w:id="28" w:name="_Toc489789308"/>
      <w:bookmarkStart w:id="29" w:name="_Toc489791778"/>
      <w:r w:rsidRPr="000605BC">
        <w:rPr>
          <w:sz w:val="24"/>
        </w:rPr>
        <w:t>OECD Anti-Bribery Convention</w:t>
      </w:r>
      <w:bookmarkEnd w:id="25"/>
      <w:bookmarkEnd w:id="26"/>
      <w:bookmarkEnd w:id="27"/>
      <w:bookmarkEnd w:id="28"/>
      <w:bookmarkEnd w:id="29"/>
      <w:r w:rsidRPr="000605BC">
        <w:rPr>
          <w:sz w:val="24"/>
        </w:rPr>
        <w:t xml:space="preserve"> </w:t>
      </w:r>
    </w:p>
    <w:p w14:paraId="654FEDF8" w14:textId="6F5DA67D" w:rsidR="00B440EC" w:rsidRPr="000605BC" w:rsidRDefault="00F24A21" w:rsidP="00916A81">
      <w:pPr>
        <w:rPr>
          <w:rFonts w:cs="Times New Roman"/>
          <w:sz w:val="20"/>
        </w:rPr>
      </w:pPr>
      <w:r w:rsidRPr="000605BC">
        <w:rPr>
          <w:rFonts w:cs="Times New Roman"/>
          <w:sz w:val="20"/>
        </w:rPr>
        <w:t>The</w:t>
      </w:r>
      <w:r w:rsidR="00D74796" w:rsidRPr="000605BC">
        <w:rPr>
          <w:rFonts w:cs="Times New Roman"/>
          <w:sz w:val="20"/>
        </w:rPr>
        <w:t xml:space="preserve"> </w:t>
      </w:r>
      <w:r w:rsidR="00B440EC" w:rsidRPr="000605BC">
        <w:rPr>
          <w:rFonts w:cs="Times New Roman"/>
          <w:sz w:val="20"/>
        </w:rPr>
        <w:t xml:space="preserve">OECD </w:t>
      </w:r>
      <w:r w:rsidR="00E42064" w:rsidRPr="000605BC">
        <w:rPr>
          <w:rFonts w:cs="Times New Roman"/>
          <w:sz w:val="20"/>
        </w:rPr>
        <w:t>Convention</w:t>
      </w:r>
      <w:r w:rsidR="00B440EC" w:rsidRPr="000605BC">
        <w:rPr>
          <w:rFonts w:cs="Times New Roman"/>
          <w:sz w:val="20"/>
        </w:rPr>
        <w:t xml:space="preserve"> does </w:t>
      </w:r>
      <w:r w:rsidRPr="000605BC">
        <w:rPr>
          <w:rFonts w:cs="Times New Roman"/>
          <w:sz w:val="20"/>
        </w:rPr>
        <w:t xml:space="preserve">not deal </w:t>
      </w:r>
      <w:r w:rsidR="00CD7EEA" w:rsidRPr="000605BC">
        <w:rPr>
          <w:rFonts w:cs="Times New Roman"/>
          <w:sz w:val="20"/>
        </w:rPr>
        <w:t>extensively</w:t>
      </w:r>
      <w:r w:rsidRPr="000605BC">
        <w:rPr>
          <w:rFonts w:cs="Times New Roman"/>
          <w:sz w:val="20"/>
        </w:rPr>
        <w:t xml:space="preserve"> with money laundering, but it does touch on the issue in articles 7 and 8, which are reproduced below:</w:t>
      </w:r>
    </w:p>
    <w:p w14:paraId="52EF043A" w14:textId="6F03A4F8" w:rsidR="008F0F44" w:rsidRPr="000605BC" w:rsidRDefault="008F0F44" w:rsidP="008B0E1F">
      <w:pPr>
        <w:pStyle w:val="BlockQuote"/>
        <w:keepNext/>
        <w:rPr>
          <w:sz w:val="20"/>
          <w:lang w:val="en-US" w:eastAsia="ja-JP"/>
        </w:rPr>
      </w:pPr>
      <w:r w:rsidRPr="000605BC">
        <w:rPr>
          <w:sz w:val="20"/>
          <w:lang w:val="en-US" w:eastAsia="ja-JP"/>
        </w:rPr>
        <w:t>Article 7</w:t>
      </w:r>
      <w:r w:rsidR="007E557E" w:rsidRPr="000605BC">
        <w:rPr>
          <w:sz w:val="20"/>
          <w:lang w:val="en-US" w:eastAsia="ja-JP"/>
        </w:rPr>
        <w:t>:</w:t>
      </w:r>
      <w:r w:rsidRPr="000605BC">
        <w:rPr>
          <w:sz w:val="20"/>
          <w:lang w:val="en-US" w:eastAsia="ja-JP"/>
        </w:rPr>
        <w:t xml:space="preserve"> Money Laundering</w:t>
      </w:r>
    </w:p>
    <w:p w14:paraId="368202BB" w14:textId="77777777" w:rsidR="008F0F44" w:rsidRPr="000605BC" w:rsidRDefault="008F0F44" w:rsidP="00DF21DF">
      <w:pPr>
        <w:pStyle w:val="BlockQuote"/>
        <w:spacing w:after="240"/>
        <w:rPr>
          <w:sz w:val="20"/>
          <w:lang w:val="en-US" w:eastAsia="ja-JP"/>
        </w:rPr>
      </w:pPr>
      <w:r w:rsidRPr="000605BC">
        <w:rPr>
          <w:sz w:val="20"/>
          <w:lang w:val="en-US" w:eastAsia="ja-JP"/>
        </w:rPr>
        <w:t>Each Party which has made bribery of its own public official a predicate offence for the purpose of the application of its money laundering legislation shall do so on the same terms for the bribery of a foreign public official, without regard to the place where the bribery occurred.</w:t>
      </w:r>
    </w:p>
    <w:p w14:paraId="69B011BD" w14:textId="69D62137" w:rsidR="008F0F44" w:rsidRPr="000605BC" w:rsidRDefault="008F0F44" w:rsidP="00EB4F67">
      <w:pPr>
        <w:pStyle w:val="BlockQuote"/>
        <w:rPr>
          <w:sz w:val="20"/>
          <w:lang w:val="en-US" w:eastAsia="ja-JP"/>
        </w:rPr>
      </w:pPr>
      <w:r w:rsidRPr="000605BC">
        <w:rPr>
          <w:sz w:val="20"/>
          <w:lang w:val="en-US" w:eastAsia="ja-JP"/>
        </w:rPr>
        <w:t>Article 8</w:t>
      </w:r>
      <w:r w:rsidR="007E557E" w:rsidRPr="000605BC">
        <w:rPr>
          <w:sz w:val="20"/>
          <w:lang w:val="en-US" w:eastAsia="ja-JP"/>
        </w:rPr>
        <w:t>:</w:t>
      </w:r>
      <w:r w:rsidRPr="000605BC">
        <w:rPr>
          <w:sz w:val="20"/>
          <w:lang w:val="en-US" w:eastAsia="ja-JP"/>
        </w:rPr>
        <w:t xml:space="preserve"> Accounting</w:t>
      </w:r>
    </w:p>
    <w:p w14:paraId="22A562F1" w14:textId="77777777" w:rsidR="008F0F44" w:rsidRPr="000605BC" w:rsidRDefault="008F0F44" w:rsidP="00EB4F67">
      <w:pPr>
        <w:pStyle w:val="BlockQuote"/>
        <w:rPr>
          <w:sz w:val="20"/>
          <w:lang w:val="en-US" w:eastAsia="ja-JP"/>
        </w:rPr>
      </w:pPr>
      <w:r w:rsidRPr="000605BC">
        <w:rPr>
          <w:sz w:val="20"/>
          <w:lang w:val="en-US" w:eastAsia="ja-JP"/>
        </w:rPr>
        <w:t xml:space="preserve">In order to combat bribery of foreign public officials effectively, each Party shall take such measures as may be necessary, within the framework of its laws and regulations regarding the maintenance of books and records, financial statement disclosures, and accounting and auditing standards, to prohibit the establishment of off-the-books accounts, the making of off-the-books or inadequately identified transactions, the recording of non-existent expenditures, the entry of liabilities with incorrect identification of their object, as well as the use of false documents, by companies subject to those laws and regulations, for the purpose of bribing foreign public officials or of hiding such bribery. </w:t>
      </w:r>
    </w:p>
    <w:p w14:paraId="1B72BE45" w14:textId="7B75D0F6" w:rsidR="00B440EC" w:rsidRPr="000605BC" w:rsidRDefault="008F0F44" w:rsidP="00EB4F67">
      <w:pPr>
        <w:pStyle w:val="BlockQuote"/>
        <w:rPr>
          <w:sz w:val="20"/>
          <w:lang w:val="en-US" w:eastAsia="ja-JP"/>
        </w:rPr>
      </w:pPr>
      <w:r w:rsidRPr="000605BC">
        <w:rPr>
          <w:sz w:val="20"/>
          <w:lang w:val="en-US" w:eastAsia="ja-JP"/>
        </w:rPr>
        <w:t xml:space="preserve">Each Party shall provide effective, proportionate and dissuasive civil, administrative or criminal penalties for such omissions and falsifications in respect of the books, records, accounts and financial statements of such companies. </w:t>
      </w:r>
    </w:p>
    <w:p w14:paraId="46B8DB7D" w14:textId="12D7FB54" w:rsidR="008F0F44" w:rsidRPr="000605BC" w:rsidRDefault="005100B2" w:rsidP="00916A81">
      <w:pPr>
        <w:tabs>
          <w:tab w:val="left" w:pos="220"/>
          <w:tab w:val="left" w:pos="720"/>
        </w:tabs>
        <w:autoSpaceDE w:val="0"/>
        <w:autoSpaceDN w:val="0"/>
        <w:adjustRightInd w:val="0"/>
        <w:rPr>
          <w:rFonts w:eastAsia="Times New Roman" w:cs="Times New Roman"/>
          <w:sz w:val="20"/>
          <w:shd w:val="clear" w:color="auto" w:fill="FFFFFF"/>
          <w:lang w:val="en-US"/>
        </w:rPr>
      </w:pPr>
      <w:r w:rsidRPr="000605BC">
        <w:rPr>
          <w:rFonts w:eastAsiaTheme="minorEastAsia" w:cs="Times New Roman"/>
          <w:sz w:val="20"/>
          <w:lang w:val="en-US" w:eastAsia="ja-JP"/>
        </w:rPr>
        <w:t xml:space="preserve">The OECD website notes that </w:t>
      </w:r>
      <w:r w:rsidR="003A6F8D" w:rsidRPr="000605BC">
        <w:rPr>
          <w:rFonts w:eastAsiaTheme="minorEastAsia" w:cs="Times New Roman"/>
          <w:sz w:val="20"/>
          <w:lang w:val="en-US" w:eastAsia="ja-JP"/>
        </w:rPr>
        <w:t>“</w:t>
      </w:r>
      <w:r w:rsidRPr="000605BC">
        <w:rPr>
          <w:rFonts w:eastAsiaTheme="minorEastAsia" w:cs="Times New Roman"/>
          <w:sz w:val="20"/>
          <w:lang w:val="en-US"/>
        </w:rPr>
        <w:t>The </w:t>
      </w:r>
      <w:r w:rsidRPr="000605BC">
        <w:rPr>
          <w:rFonts w:eastAsiaTheme="minorEastAsia" w:cs="Times New Roman"/>
          <w:sz w:val="20"/>
          <w:bdr w:val="none" w:sz="0" w:space="0" w:color="auto" w:frame="1"/>
          <w:lang w:val="en-US"/>
        </w:rPr>
        <w:t>Financial Action Task Force (FATF)</w:t>
      </w:r>
      <w:r w:rsidRPr="000605BC">
        <w:rPr>
          <w:rFonts w:eastAsiaTheme="minorEastAsia" w:cs="Times New Roman"/>
          <w:sz w:val="20"/>
          <w:lang w:val="en-US"/>
        </w:rPr>
        <w:t> is the international standard setter in the development and promotion of national and international policies to </w:t>
      </w:r>
      <w:r w:rsidRPr="000605BC">
        <w:rPr>
          <w:rFonts w:eastAsiaTheme="minorEastAsia" w:cs="Times New Roman"/>
          <w:b/>
          <w:bCs/>
          <w:sz w:val="20"/>
          <w:lang w:val="en-US"/>
        </w:rPr>
        <w:t>combat money laundering and terrorist financing</w:t>
      </w:r>
      <w:r w:rsidR="003A6F8D" w:rsidRPr="000605BC">
        <w:rPr>
          <w:rFonts w:eastAsiaTheme="minorEastAsia" w:cs="Times New Roman"/>
          <w:sz w:val="20"/>
          <w:lang w:val="en-US"/>
        </w:rPr>
        <w:t>”</w:t>
      </w:r>
      <w:r w:rsidR="00C555DA" w:rsidRPr="000605BC">
        <w:rPr>
          <w:rFonts w:eastAsiaTheme="minorEastAsia" w:cs="Times New Roman"/>
          <w:sz w:val="20"/>
          <w:lang w:val="en-US"/>
        </w:rPr>
        <w:t xml:space="preserve"> [emphasis in original]</w:t>
      </w:r>
      <w:r w:rsidRPr="000605BC">
        <w:rPr>
          <w:rFonts w:eastAsiaTheme="minorEastAsia" w:cs="Times New Roman"/>
          <w:sz w:val="20"/>
          <w:lang w:val="en-US"/>
        </w:rPr>
        <w:t xml:space="preserve"> and that </w:t>
      </w:r>
      <w:r w:rsidR="003A6F8D" w:rsidRPr="000605BC">
        <w:rPr>
          <w:rFonts w:eastAsiaTheme="minorEastAsia" w:cs="Times New Roman"/>
          <w:sz w:val="20"/>
          <w:lang w:val="en-US"/>
        </w:rPr>
        <w:t>“</w:t>
      </w:r>
      <w:r w:rsidR="00D54E77" w:rsidRPr="000605BC">
        <w:rPr>
          <w:rFonts w:eastAsia="Times New Roman" w:cs="Times New Roman"/>
          <w:sz w:val="20"/>
          <w:shd w:val="clear" w:color="auto" w:fill="FFFFFF"/>
          <w:lang w:val="en-US"/>
        </w:rPr>
        <w:t>[t]</w:t>
      </w:r>
      <w:r w:rsidRPr="000605BC">
        <w:rPr>
          <w:rFonts w:eastAsia="Times New Roman" w:cs="Times New Roman"/>
          <w:sz w:val="20"/>
          <w:shd w:val="clear" w:color="auto" w:fill="FFFFFF"/>
          <w:lang w:val="en-US"/>
        </w:rPr>
        <w:t>he </w:t>
      </w:r>
      <w:r w:rsidRPr="000605BC">
        <w:rPr>
          <w:rFonts w:eastAsia="Times New Roman" w:cs="Times New Roman"/>
          <w:sz w:val="20"/>
          <w:bdr w:val="none" w:sz="0" w:space="0" w:color="auto" w:frame="1"/>
          <w:shd w:val="clear" w:color="auto" w:fill="FFFFFF"/>
          <w:lang w:val="en-US"/>
        </w:rPr>
        <w:t>OECD’s work on tax crime and money laundering</w:t>
      </w:r>
      <w:r w:rsidRPr="000605BC">
        <w:rPr>
          <w:rFonts w:eastAsia="Times New Roman" w:cs="Times New Roman"/>
          <w:sz w:val="20"/>
          <w:shd w:val="clear" w:color="auto" w:fill="FFFFFF"/>
          <w:lang w:val="en-US"/>
        </w:rPr>
        <w:t> is designed to complement that carried out by FATF.</w:t>
      </w:r>
      <w:r w:rsidR="003A6F8D" w:rsidRPr="000605BC">
        <w:rPr>
          <w:rFonts w:eastAsia="Times New Roman" w:cs="Times New Roman"/>
          <w:sz w:val="20"/>
          <w:shd w:val="clear" w:color="auto" w:fill="FFFFFF"/>
          <w:lang w:val="en-US"/>
        </w:rPr>
        <w:t>”</w:t>
      </w:r>
      <w:r w:rsidRPr="000605BC">
        <w:rPr>
          <w:rStyle w:val="FootnoteReference"/>
          <w:rFonts w:eastAsia="Times New Roman" w:cs="Times New Roman"/>
          <w:sz w:val="20"/>
          <w:shd w:val="clear" w:color="auto" w:fill="FFFFFF"/>
          <w:lang w:val="en-US"/>
        </w:rPr>
        <w:footnoteReference w:id="54"/>
      </w:r>
      <w:r w:rsidR="00F62131" w:rsidRPr="000605BC">
        <w:rPr>
          <w:rFonts w:eastAsia="Times New Roman" w:cs="Times New Roman"/>
          <w:sz w:val="20"/>
          <w:shd w:val="clear" w:color="auto" w:fill="FFFFFF"/>
          <w:lang w:val="en-US"/>
        </w:rPr>
        <w:t xml:space="preserve"> </w:t>
      </w:r>
      <w:r w:rsidR="00D54E77" w:rsidRPr="000605BC">
        <w:rPr>
          <w:rFonts w:eastAsia="Times New Roman" w:cs="Times New Roman"/>
          <w:sz w:val="20"/>
          <w:shd w:val="clear" w:color="auto" w:fill="FFFFFF"/>
          <w:lang w:val="en-US"/>
        </w:rPr>
        <w:t xml:space="preserve">The FATF recommendations, which are covered in the following section, provide a more comprehensive </w:t>
      </w:r>
      <w:r w:rsidR="009F088A" w:rsidRPr="000605BC">
        <w:rPr>
          <w:rFonts w:eastAsia="Times New Roman" w:cs="Times New Roman"/>
          <w:sz w:val="20"/>
          <w:shd w:val="clear" w:color="auto" w:fill="FFFFFF"/>
          <w:lang w:val="en-US"/>
        </w:rPr>
        <w:t xml:space="preserve">treatment of money laundering and the measures that states can take to combat it. </w:t>
      </w:r>
    </w:p>
    <w:p w14:paraId="1D65607C" w14:textId="3127C273" w:rsidR="004A1630" w:rsidRPr="000605BC" w:rsidRDefault="004A1630" w:rsidP="00E36F66">
      <w:pPr>
        <w:pStyle w:val="Heading2"/>
        <w:rPr>
          <w:sz w:val="24"/>
        </w:rPr>
      </w:pPr>
      <w:bookmarkStart w:id="30" w:name="_Toc287093730"/>
      <w:bookmarkStart w:id="31" w:name="_Toc419901548"/>
      <w:bookmarkStart w:id="32" w:name="_Toc489788769"/>
      <w:bookmarkStart w:id="33" w:name="_Toc489789309"/>
      <w:bookmarkStart w:id="34" w:name="_Toc489791779"/>
      <w:r w:rsidRPr="000605BC">
        <w:rPr>
          <w:sz w:val="24"/>
        </w:rPr>
        <w:t>FATF Recommendations</w:t>
      </w:r>
      <w:bookmarkEnd w:id="30"/>
      <w:bookmarkEnd w:id="31"/>
      <w:bookmarkEnd w:id="32"/>
      <w:bookmarkEnd w:id="33"/>
      <w:bookmarkEnd w:id="34"/>
    </w:p>
    <w:p w14:paraId="50CB33FF" w14:textId="6A9C44E6" w:rsidR="00067D87" w:rsidRPr="00067D87" w:rsidRDefault="004E7868" w:rsidP="00067D87">
      <w:pPr>
        <w:spacing w:after="0"/>
        <w:rPr>
          <w:rStyle w:val="Hyperlink"/>
          <w:rFonts w:cs="Times New Roman"/>
          <w:sz w:val="20"/>
          <w:lang w:val="en-US"/>
        </w:rPr>
      </w:pPr>
      <w:r w:rsidRPr="000605BC">
        <w:rPr>
          <w:rFonts w:cs="Times New Roman"/>
          <w:sz w:val="20"/>
          <w:lang w:val="en-US"/>
        </w:rPr>
        <w:t>As already noted, the Financial Action Task Force</w:t>
      </w:r>
      <w:r w:rsidR="00E42064" w:rsidRPr="000605BC">
        <w:rPr>
          <w:rFonts w:cs="Times New Roman"/>
          <w:sz w:val="20"/>
          <w:lang w:val="en-US"/>
        </w:rPr>
        <w:t xml:space="preserve"> (FATF)</w:t>
      </w:r>
      <w:r w:rsidRPr="000605BC">
        <w:rPr>
          <w:rFonts w:cs="Times New Roman"/>
          <w:sz w:val="20"/>
          <w:lang w:val="en-US"/>
        </w:rPr>
        <w:t xml:space="preserve"> is a governmental policy group composed of 34 nations including the US, UK and Canada. </w:t>
      </w:r>
      <w:r w:rsidR="00B912AD" w:rsidRPr="000605BC">
        <w:rPr>
          <w:rFonts w:cs="Times New Roman"/>
          <w:sz w:val="20"/>
          <w:lang w:val="en-US"/>
        </w:rPr>
        <w:t>The latest version of the FATF Recommendations</w:t>
      </w:r>
      <w:r w:rsidRPr="000605BC">
        <w:rPr>
          <w:rFonts w:cs="Times New Roman"/>
          <w:sz w:val="20"/>
          <w:lang w:val="en-US"/>
        </w:rPr>
        <w:t xml:space="preserve"> </w:t>
      </w:r>
      <w:r w:rsidR="00B912AD" w:rsidRPr="000605BC">
        <w:rPr>
          <w:rFonts w:cs="Times New Roman"/>
          <w:sz w:val="20"/>
          <w:lang w:val="en-US"/>
        </w:rPr>
        <w:t>was released in 2012.</w:t>
      </w:r>
      <w:r w:rsidR="00C77092" w:rsidRPr="000605BC">
        <w:rPr>
          <w:rFonts w:cs="Times New Roman"/>
          <w:sz w:val="20"/>
          <w:lang w:val="en-US"/>
        </w:rPr>
        <w:t xml:space="preserve"> There are 40 recommendations in this new version, which merged the original 40 recommendations </w:t>
      </w:r>
      <w:r w:rsidR="00F170E8" w:rsidRPr="000605BC">
        <w:rPr>
          <w:rFonts w:cs="Times New Roman"/>
          <w:sz w:val="20"/>
          <w:lang w:val="en-US"/>
        </w:rPr>
        <w:t xml:space="preserve">(issued in 1996) </w:t>
      </w:r>
      <w:r w:rsidR="00C77092" w:rsidRPr="000605BC">
        <w:rPr>
          <w:rFonts w:cs="Times New Roman"/>
          <w:sz w:val="20"/>
          <w:lang w:val="en-US"/>
        </w:rPr>
        <w:t>with nine additional 2003 recommendations</w:t>
      </w:r>
      <w:r w:rsidR="00F170E8" w:rsidRPr="000605BC">
        <w:rPr>
          <w:rFonts w:cs="Times New Roman"/>
          <w:sz w:val="20"/>
          <w:lang w:val="en-US"/>
        </w:rPr>
        <w:t xml:space="preserve"> (on countering terrorism financing)</w:t>
      </w:r>
      <w:r w:rsidR="00C77092" w:rsidRPr="000605BC">
        <w:rPr>
          <w:rFonts w:cs="Times New Roman"/>
          <w:sz w:val="20"/>
          <w:lang w:val="en-US"/>
        </w:rPr>
        <w:t>.</w:t>
      </w:r>
      <w:r w:rsidR="00DE7F85" w:rsidRPr="000605BC">
        <w:rPr>
          <w:rFonts w:cs="Times New Roman"/>
          <w:sz w:val="20"/>
          <w:lang w:val="en-US"/>
        </w:rPr>
        <w:t xml:space="preserve"> </w:t>
      </w:r>
      <w:r w:rsidR="00C77092" w:rsidRPr="000605BC">
        <w:rPr>
          <w:rFonts w:cs="Times New Roman"/>
          <w:sz w:val="20"/>
          <w:lang w:val="en-US"/>
        </w:rPr>
        <w:t xml:space="preserve">The recommendations </w:t>
      </w:r>
      <w:r w:rsidR="00067D87">
        <w:rPr>
          <w:rFonts w:cs="Times New Roman"/>
          <w:sz w:val="20"/>
          <w:lang w:val="en-US"/>
        </w:rPr>
        <w:t xml:space="preserve">can be found at: </w:t>
      </w:r>
      <w:r w:rsidR="009257D9" w:rsidRPr="000605BC">
        <w:rPr>
          <w:rFonts w:cs="Times New Roman"/>
          <w:sz w:val="20"/>
          <w:lang w:val="en-US"/>
        </w:rPr>
        <w:t>&lt;</w:t>
      </w:r>
      <w:r w:rsidR="00067D87">
        <w:rPr>
          <w:rFonts w:cs="Times New Roman"/>
          <w:sz w:val="20"/>
          <w:lang w:val="en-US"/>
        </w:rPr>
        <w:fldChar w:fldCharType="begin"/>
      </w:r>
      <w:r w:rsidR="00067D87">
        <w:rPr>
          <w:rFonts w:cs="Times New Roman"/>
          <w:sz w:val="20"/>
          <w:lang w:val="en-US"/>
        </w:rPr>
        <w:instrText xml:space="preserve"> HYPERLINK "http://www.fatf-gafi.org/topics/fatfrecommendations/documents/fatf-recommendations.html" </w:instrText>
      </w:r>
      <w:r w:rsidR="00067D87">
        <w:rPr>
          <w:rFonts w:cs="Times New Roman"/>
          <w:sz w:val="20"/>
          <w:lang w:val="en-US"/>
        </w:rPr>
        <w:fldChar w:fldCharType="separate"/>
      </w:r>
      <w:r w:rsidR="00067D87" w:rsidRPr="00067D87">
        <w:rPr>
          <w:rStyle w:val="Hyperlink"/>
          <w:rFonts w:cs="Times New Roman"/>
          <w:sz w:val="20"/>
          <w:lang w:val="en-US"/>
        </w:rPr>
        <w:t>http://www.fatf-gafi.org/topics/fatfrecommendations/documents/fatf-</w:t>
      </w:r>
    </w:p>
    <w:p w14:paraId="0905EDCA" w14:textId="13D8BB11" w:rsidR="00450F0C" w:rsidRPr="000605BC" w:rsidRDefault="00067D87" w:rsidP="00067D87">
      <w:pPr>
        <w:spacing w:before="0"/>
        <w:rPr>
          <w:rFonts w:cs="Times New Roman"/>
          <w:sz w:val="20"/>
          <w:lang w:val="en-US"/>
        </w:rPr>
      </w:pPr>
      <w:r w:rsidRPr="00067D87">
        <w:rPr>
          <w:rStyle w:val="Hyperlink"/>
          <w:rFonts w:cs="Times New Roman"/>
          <w:sz w:val="20"/>
          <w:lang w:val="en-US"/>
        </w:rPr>
        <w:t>recommendations.html</w:t>
      </w:r>
      <w:r>
        <w:rPr>
          <w:rFonts w:cs="Times New Roman"/>
          <w:sz w:val="20"/>
          <w:lang w:val="en-US"/>
        </w:rPr>
        <w:fldChar w:fldCharType="end"/>
      </w:r>
      <w:r w:rsidR="009257D9" w:rsidRPr="000605BC">
        <w:rPr>
          <w:rFonts w:cs="Times New Roman"/>
          <w:sz w:val="20"/>
          <w:lang w:val="en-US"/>
        </w:rPr>
        <w:t>&gt;</w:t>
      </w:r>
      <w:r w:rsidR="00B912AD" w:rsidRPr="000605BC">
        <w:rPr>
          <w:rFonts w:cs="Times New Roman"/>
          <w:sz w:val="20"/>
          <w:lang w:val="en-US"/>
        </w:rPr>
        <w:t>. The Recommendations a</w:t>
      </w:r>
      <w:r w:rsidR="004E7868" w:rsidRPr="000605BC">
        <w:rPr>
          <w:rFonts w:cs="Times New Roman"/>
          <w:sz w:val="20"/>
          <w:lang w:val="en-US"/>
        </w:rPr>
        <w:t>lso include interpretive notes.</w:t>
      </w:r>
      <w:r w:rsidR="002822D1" w:rsidRPr="000605BC">
        <w:rPr>
          <w:rFonts w:cs="Times New Roman"/>
          <w:sz w:val="20"/>
          <w:lang w:val="en-US"/>
        </w:rPr>
        <w:t xml:space="preserve"> </w:t>
      </w:r>
      <w:r w:rsidR="004E0D1F" w:rsidRPr="000605BC">
        <w:rPr>
          <w:rFonts w:cs="Times New Roman"/>
          <w:sz w:val="20"/>
          <w:lang w:val="en-US"/>
        </w:rPr>
        <w:t xml:space="preserve">The following excerpt from Paul Allan Schott’s </w:t>
      </w:r>
      <w:r w:rsidR="004E0D1F" w:rsidRPr="000605BC">
        <w:rPr>
          <w:rFonts w:cs="Times New Roman"/>
          <w:i/>
          <w:sz w:val="20"/>
          <w:lang w:val="en-US"/>
        </w:rPr>
        <w:t xml:space="preserve">Reference Guide to Anti-Money Laundering and Combating the Financing of Terrorism, </w:t>
      </w:r>
      <w:r w:rsidR="004E0D1F" w:rsidRPr="000605BC">
        <w:rPr>
          <w:rFonts w:cs="Times New Roman"/>
          <w:sz w:val="20"/>
          <w:lang w:val="en-US"/>
        </w:rPr>
        <w:t>2</w:t>
      </w:r>
      <w:r w:rsidR="004E0D1F" w:rsidRPr="000605BC">
        <w:rPr>
          <w:rFonts w:cs="Times New Roman"/>
          <w:sz w:val="20"/>
          <w:vertAlign w:val="superscript"/>
          <w:lang w:val="en-US"/>
        </w:rPr>
        <w:t>nd</w:t>
      </w:r>
      <w:r w:rsidR="004E0D1F" w:rsidRPr="000605BC">
        <w:rPr>
          <w:rFonts w:cs="Times New Roman"/>
          <w:sz w:val="20"/>
          <w:lang w:val="en-US"/>
        </w:rPr>
        <w:t xml:space="preserve"> </w:t>
      </w:r>
      <w:proofErr w:type="spellStart"/>
      <w:proofErr w:type="gramStart"/>
      <w:r w:rsidR="004E0D1F" w:rsidRPr="000605BC">
        <w:rPr>
          <w:rFonts w:cs="Times New Roman"/>
          <w:sz w:val="20"/>
          <w:lang w:val="en-US"/>
        </w:rPr>
        <w:t>ed</w:t>
      </w:r>
      <w:proofErr w:type="spellEnd"/>
      <w:proofErr w:type="gramEnd"/>
      <w:r w:rsidR="004E0D1F" w:rsidRPr="000605BC">
        <w:rPr>
          <w:rFonts w:cs="Times New Roman"/>
          <w:i/>
          <w:sz w:val="20"/>
          <w:lang w:val="en-US"/>
        </w:rPr>
        <w:t xml:space="preserve"> </w:t>
      </w:r>
      <w:r w:rsidR="00BA4DA3" w:rsidRPr="000605BC">
        <w:rPr>
          <w:rFonts w:cs="Times New Roman"/>
          <w:sz w:val="20"/>
          <w:lang w:val="en-US"/>
        </w:rPr>
        <w:t xml:space="preserve">(World Bank, 2006) provides </w:t>
      </w:r>
      <w:r w:rsidR="0084133D" w:rsidRPr="000605BC">
        <w:rPr>
          <w:rFonts w:cs="Times New Roman"/>
          <w:sz w:val="20"/>
          <w:lang w:val="en-US"/>
        </w:rPr>
        <w:t xml:space="preserve">a general introduction to the FATF and </w:t>
      </w:r>
      <w:r w:rsidR="00B912AD" w:rsidRPr="000605BC">
        <w:rPr>
          <w:rFonts w:cs="Times New Roman"/>
          <w:sz w:val="20"/>
          <w:lang w:val="en-US"/>
        </w:rPr>
        <w:t>the R</w:t>
      </w:r>
      <w:r w:rsidR="0084133D" w:rsidRPr="000605BC">
        <w:rPr>
          <w:rFonts w:cs="Times New Roman"/>
          <w:sz w:val="20"/>
          <w:lang w:val="en-US"/>
        </w:rPr>
        <w:t xml:space="preserve">ecommendations. </w:t>
      </w:r>
      <w:r w:rsidR="00B912AD" w:rsidRPr="000605BC">
        <w:rPr>
          <w:rFonts w:cs="Times New Roman"/>
          <w:sz w:val="20"/>
          <w:lang w:val="en-US"/>
        </w:rPr>
        <w:t xml:space="preserve">This excerpt is based on the 2003 version of the </w:t>
      </w:r>
      <w:r w:rsidR="00B912AD" w:rsidRPr="000605BC">
        <w:rPr>
          <w:rFonts w:cs="Times New Roman"/>
          <w:i/>
          <w:sz w:val="20"/>
          <w:lang w:val="en-US"/>
        </w:rPr>
        <w:t>Forty Recommendations</w:t>
      </w:r>
      <w:r w:rsidR="00B912AD" w:rsidRPr="000605BC">
        <w:rPr>
          <w:rFonts w:cs="Times New Roman"/>
          <w:sz w:val="20"/>
          <w:lang w:val="en-US"/>
        </w:rPr>
        <w:t xml:space="preserve">, but </w:t>
      </w:r>
      <w:r w:rsidR="00E42064" w:rsidRPr="000605BC">
        <w:rPr>
          <w:rFonts w:cs="Times New Roman"/>
          <w:sz w:val="20"/>
          <w:lang w:val="en-US"/>
        </w:rPr>
        <w:t>this</w:t>
      </w:r>
      <w:r w:rsidR="00B912AD" w:rsidRPr="000605BC">
        <w:rPr>
          <w:rFonts w:cs="Times New Roman"/>
          <w:sz w:val="20"/>
          <w:lang w:val="en-US"/>
        </w:rPr>
        <w:t xml:space="preserve"> does not affect the validity of the general comments set out below.</w:t>
      </w:r>
    </w:p>
    <w:tbl>
      <w:tblPr>
        <w:tblStyle w:val="TableGrid"/>
        <w:tblW w:w="0" w:type="auto"/>
        <w:jc w:val="center"/>
        <w:tblCellMar>
          <w:top w:w="284" w:type="dxa"/>
          <w:left w:w="284" w:type="dxa"/>
          <w:bottom w:w="284" w:type="dxa"/>
          <w:right w:w="284" w:type="dxa"/>
        </w:tblCellMar>
        <w:tblLook w:val="04A0" w:firstRow="1" w:lastRow="0" w:firstColumn="1" w:lastColumn="0" w:noHBand="0" w:noVBand="1"/>
      </w:tblPr>
      <w:tblGrid>
        <w:gridCol w:w="8080"/>
      </w:tblGrid>
      <w:tr w:rsidR="00450F0C" w:rsidRPr="000605BC" w14:paraId="3740A3C0" w14:textId="77777777" w:rsidTr="004675E4">
        <w:trPr>
          <w:jc w:val="center"/>
        </w:trPr>
        <w:tc>
          <w:tcPr>
            <w:tcW w:w="9576" w:type="dxa"/>
            <w:tcBorders>
              <w:top w:val="nil"/>
              <w:left w:val="nil"/>
              <w:bottom w:val="nil"/>
              <w:right w:val="nil"/>
            </w:tcBorders>
            <w:shd w:val="clear" w:color="auto" w:fill="D9D9D9" w:themeFill="background1" w:themeFillShade="D9"/>
          </w:tcPr>
          <w:p w14:paraId="77C4943B" w14:textId="77777777" w:rsidR="00450F0C" w:rsidRPr="000605BC" w:rsidRDefault="00450F0C" w:rsidP="004675E4">
            <w:pPr>
              <w:pStyle w:val="ExcerptMarker"/>
              <w:spacing w:before="0"/>
              <w:rPr>
                <w:sz w:val="16"/>
              </w:rPr>
            </w:pPr>
            <w:r w:rsidRPr="000605BC">
              <w:rPr>
                <w:sz w:val="16"/>
              </w:rPr>
              <w:t>Beginning of Excerpt</w:t>
            </w:r>
          </w:p>
          <w:p w14:paraId="476F4464" w14:textId="79DCACE9" w:rsidR="00450F0C" w:rsidRPr="000605BC" w:rsidRDefault="00450F0C" w:rsidP="00450F0C">
            <w:pPr>
              <w:ind w:right="567"/>
              <w:rPr>
                <w:rFonts w:cs="Times New Roman"/>
                <w:sz w:val="20"/>
                <w:lang w:val="en-US"/>
              </w:rPr>
            </w:pPr>
            <w:r w:rsidRPr="000605BC">
              <w:rPr>
                <w:rFonts w:cs="Times New Roman"/>
                <w:sz w:val="20"/>
                <w:lang w:val="en-US"/>
              </w:rPr>
              <w:t xml:space="preserve">[Chapter III: International Standard Setters, pp. III-7 to III-12] </w:t>
            </w:r>
          </w:p>
          <w:p w14:paraId="0EC936AF" w14:textId="77777777" w:rsidR="00450F0C" w:rsidRPr="000605BC" w:rsidRDefault="00450F0C" w:rsidP="00450F0C">
            <w:pPr>
              <w:rPr>
                <w:rFonts w:eastAsia="Times New Roman" w:cs="Times New Roman"/>
                <w:sz w:val="20"/>
                <w:lang w:val="en-US"/>
              </w:rPr>
            </w:pPr>
            <w:r w:rsidRPr="000605BC">
              <w:rPr>
                <w:rFonts w:eastAsia="Times New Roman" w:cs="Times New Roman"/>
                <w:sz w:val="20"/>
                <w:lang w:val="en-US"/>
              </w:rPr>
              <w:t>Formed in 1989 by the G-7 countries,</w:t>
            </w:r>
            <w:r w:rsidRPr="000605BC">
              <w:rPr>
                <w:rStyle w:val="FootnoteReference"/>
                <w:rFonts w:eastAsia="Times New Roman" w:cs="Times New Roman"/>
                <w:sz w:val="20"/>
                <w:lang w:val="en-US"/>
              </w:rPr>
              <w:footnoteReference w:id="55"/>
            </w:r>
            <w:r w:rsidRPr="000605BC">
              <w:rPr>
                <w:rFonts w:eastAsia="Times New Roman" w:cs="Times New Roman"/>
                <w:sz w:val="20"/>
                <w:lang w:val="en-US"/>
              </w:rPr>
              <w:t xml:space="preserve"> the Financial Action Task Force on Money Laundering (FATF) is an intergovernmental body whose purpose is to develop and promote an international response to combat money laundering.</w:t>
            </w:r>
            <w:r w:rsidRPr="000605BC">
              <w:rPr>
                <w:rStyle w:val="FootnoteReference"/>
                <w:rFonts w:eastAsia="Times New Roman" w:cs="Times New Roman"/>
                <w:sz w:val="20"/>
                <w:lang w:val="en-US"/>
              </w:rPr>
              <w:footnoteReference w:id="56"/>
            </w:r>
            <w:r w:rsidRPr="000605BC">
              <w:rPr>
                <w:rFonts w:eastAsia="Times New Roman" w:cs="Times New Roman"/>
                <w:sz w:val="20"/>
                <w:lang w:val="en-US"/>
              </w:rPr>
              <w:t xml:space="preserve"> In October of 2001, FATF expanded its mission to include combating the financing of terrorism.</w:t>
            </w:r>
            <w:r w:rsidRPr="000605BC">
              <w:rPr>
                <w:rStyle w:val="FootnoteReference"/>
                <w:rFonts w:eastAsia="Times New Roman" w:cs="Times New Roman"/>
                <w:sz w:val="20"/>
                <w:lang w:val="en-US"/>
              </w:rPr>
              <w:footnoteReference w:id="57"/>
            </w:r>
          </w:p>
          <w:p w14:paraId="58438548" w14:textId="77777777" w:rsidR="00450F0C" w:rsidRPr="000605BC" w:rsidRDefault="00450F0C" w:rsidP="00450F0C">
            <w:pPr>
              <w:rPr>
                <w:rFonts w:eastAsia="Times New Roman" w:cs="Times New Roman"/>
                <w:sz w:val="20"/>
                <w:lang w:val="en-US"/>
              </w:rPr>
            </w:pPr>
            <w:r w:rsidRPr="000605BC">
              <w:rPr>
                <w:rFonts w:eastAsia="Times New Roman" w:cs="Times New Roman"/>
                <w:sz w:val="20"/>
                <w:lang w:val="en-US"/>
              </w:rPr>
              <w:t>FATF is a policy-making body, which brings together legal, financial and law enforcement experts to achieve national legislation and regulatory AML and CFT reforms. Currently, its membership consists of 31 [now 34] countries and territories and two regional organizations.</w:t>
            </w:r>
            <w:r w:rsidRPr="000605BC">
              <w:rPr>
                <w:rStyle w:val="FootnoteReference"/>
                <w:rFonts w:eastAsia="Times New Roman" w:cs="Times New Roman"/>
                <w:sz w:val="20"/>
                <w:lang w:val="en-US"/>
              </w:rPr>
              <w:footnoteReference w:id="58"/>
            </w:r>
            <w:r w:rsidRPr="000605BC">
              <w:rPr>
                <w:rFonts w:eastAsia="Times New Roman" w:cs="Times New Roman"/>
                <w:sz w:val="20"/>
                <w:lang w:val="en-US"/>
              </w:rPr>
              <w:t xml:space="preserve"> In addition, FATF works in collaboration with a number of international bodies</w:t>
            </w:r>
            <w:r w:rsidRPr="000605BC">
              <w:rPr>
                <w:rStyle w:val="FootnoteReference"/>
                <w:rFonts w:eastAsia="Times New Roman" w:cs="Times New Roman"/>
                <w:sz w:val="20"/>
                <w:lang w:val="en-US"/>
              </w:rPr>
              <w:footnoteReference w:id="59"/>
            </w:r>
            <w:r w:rsidRPr="000605BC">
              <w:rPr>
                <w:rFonts w:eastAsia="Times New Roman" w:cs="Times New Roman"/>
                <w:sz w:val="20"/>
                <w:lang w:val="en-US"/>
              </w:rPr>
              <w:t xml:space="preserve"> and organizations.</w:t>
            </w:r>
            <w:r w:rsidRPr="000605BC">
              <w:rPr>
                <w:rStyle w:val="FootnoteReference"/>
                <w:rFonts w:eastAsia="Times New Roman" w:cs="Times New Roman"/>
                <w:sz w:val="20"/>
                <w:lang w:val="en-US"/>
              </w:rPr>
              <w:footnoteReference w:id="60"/>
            </w:r>
            <w:r w:rsidRPr="000605BC">
              <w:rPr>
                <w:rFonts w:eastAsia="Times New Roman" w:cs="Times New Roman"/>
                <w:sz w:val="20"/>
                <w:lang w:val="en-US"/>
              </w:rPr>
              <w:t xml:space="preserve"> These entities have observer status with FATF, which does not entitle them to vote, but otherwise permits full participation in plenary sessions and working groups.</w:t>
            </w:r>
          </w:p>
          <w:p w14:paraId="315CED5B" w14:textId="77777777" w:rsidR="00450F0C" w:rsidRPr="000605BC" w:rsidRDefault="00450F0C" w:rsidP="0000730D">
            <w:pPr>
              <w:spacing w:after="120"/>
              <w:rPr>
                <w:rFonts w:eastAsia="Times New Roman" w:cs="Times New Roman"/>
                <w:sz w:val="20"/>
                <w:lang w:val="en-US"/>
              </w:rPr>
            </w:pPr>
            <w:r w:rsidRPr="000605BC">
              <w:rPr>
                <w:rFonts w:eastAsia="Times New Roman" w:cs="Times New Roman"/>
                <w:sz w:val="20"/>
                <w:lang w:val="en-US"/>
              </w:rPr>
              <w:t xml:space="preserve">FATF’s three primary functions with regard to money laundering are: </w:t>
            </w:r>
          </w:p>
          <w:p w14:paraId="550A7980" w14:textId="77777777" w:rsidR="00450F0C" w:rsidRPr="000605BC" w:rsidRDefault="00450F0C" w:rsidP="004675E4">
            <w:pPr>
              <w:pStyle w:val="ListParagraph"/>
              <w:numPr>
                <w:ilvl w:val="0"/>
                <w:numId w:val="2"/>
              </w:numPr>
              <w:ind w:left="720"/>
              <w:contextualSpacing w:val="0"/>
              <w:rPr>
                <w:rFonts w:eastAsia="Times New Roman" w:cs="Times New Roman"/>
                <w:sz w:val="20"/>
              </w:rPr>
            </w:pPr>
            <w:r w:rsidRPr="000605BC">
              <w:rPr>
                <w:rFonts w:eastAsia="Times New Roman" w:cs="Times New Roman"/>
                <w:sz w:val="20"/>
              </w:rPr>
              <w:t>monitoring members’ progress in implementing anti-money laundering measures;</w:t>
            </w:r>
          </w:p>
          <w:p w14:paraId="0DE3FB3F" w14:textId="77777777" w:rsidR="00450F0C" w:rsidRPr="000605BC" w:rsidRDefault="00450F0C" w:rsidP="004675E4">
            <w:pPr>
              <w:pStyle w:val="ListParagraph"/>
              <w:numPr>
                <w:ilvl w:val="0"/>
                <w:numId w:val="2"/>
              </w:numPr>
              <w:ind w:left="720"/>
              <w:contextualSpacing w:val="0"/>
              <w:rPr>
                <w:rFonts w:eastAsia="Times New Roman" w:cs="Times New Roman"/>
                <w:sz w:val="20"/>
              </w:rPr>
            </w:pPr>
            <w:r w:rsidRPr="000605BC">
              <w:rPr>
                <w:rFonts w:eastAsia="Times New Roman" w:cs="Times New Roman"/>
                <w:sz w:val="20"/>
              </w:rPr>
              <w:t>reviewing and reporting on laundering trends, techniques and counter- measures; and</w:t>
            </w:r>
          </w:p>
          <w:p w14:paraId="7E2A47E5" w14:textId="77777777" w:rsidR="00450F0C" w:rsidRPr="000605BC" w:rsidRDefault="00450F0C" w:rsidP="004675E4">
            <w:pPr>
              <w:pStyle w:val="ListParagraph"/>
              <w:numPr>
                <w:ilvl w:val="0"/>
                <w:numId w:val="2"/>
              </w:numPr>
              <w:ind w:left="720" w:hanging="357"/>
              <w:contextualSpacing w:val="0"/>
              <w:rPr>
                <w:rFonts w:eastAsia="Times New Roman" w:cs="Times New Roman"/>
                <w:sz w:val="20"/>
              </w:rPr>
            </w:pPr>
            <w:proofErr w:type="gramStart"/>
            <w:r w:rsidRPr="000605BC">
              <w:rPr>
                <w:rFonts w:eastAsia="Times New Roman" w:cs="Times New Roman"/>
                <w:sz w:val="20"/>
              </w:rPr>
              <w:t>promoting</w:t>
            </w:r>
            <w:proofErr w:type="gramEnd"/>
            <w:r w:rsidRPr="000605BC">
              <w:rPr>
                <w:rFonts w:eastAsia="Times New Roman" w:cs="Times New Roman"/>
                <w:sz w:val="20"/>
              </w:rPr>
              <w:t xml:space="preserve"> the adoption and implementation of FATF anti-money laundering standards globally.</w:t>
            </w:r>
          </w:p>
          <w:p w14:paraId="37151C3F" w14:textId="77777777" w:rsidR="00450F0C" w:rsidRPr="000605BC" w:rsidRDefault="00450F0C" w:rsidP="00450F0C">
            <w:pPr>
              <w:rPr>
                <w:rFonts w:eastAsia="Times New Roman" w:cs="Times New Roman"/>
                <w:b/>
                <w:i/>
                <w:sz w:val="20"/>
              </w:rPr>
            </w:pPr>
            <w:r w:rsidRPr="000605BC">
              <w:rPr>
                <w:rFonts w:eastAsia="Times New Roman" w:cs="Times New Roman"/>
                <w:b/>
                <w:sz w:val="20"/>
              </w:rPr>
              <w:t>1.</w:t>
            </w:r>
            <w:r w:rsidRPr="000605BC">
              <w:rPr>
                <w:rFonts w:eastAsia="Times New Roman" w:cs="Times New Roman"/>
                <w:b/>
                <w:i/>
                <w:sz w:val="20"/>
              </w:rPr>
              <w:t xml:space="preserve"> The Forty Recommendations</w:t>
            </w:r>
          </w:p>
          <w:p w14:paraId="3FE960B2" w14:textId="77777777" w:rsidR="00450F0C" w:rsidRPr="000605BC" w:rsidRDefault="00450F0C" w:rsidP="00450F0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141413"/>
                <w:sz w:val="20"/>
                <w:lang w:val="en-US"/>
              </w:rPr>
            </w:pPr>
            <w:r w:rsidRPr="000605BC">
              <w:rPr>
                <w:rFonts w:cs="Times New Roman"/>
                <w:color w:val="141413"/>
                <w:sz w:val="20"/>
                <w:lang w:val="en-US"/>
              </w:rPr>
              <w:t xml:space="preserve">FATF has adopted a set of 40 recommendations, </w:t>
            </w:r>
            <w:r w:rsidRPr="000605BC">
              <w:rPr>
                <w:rFonts w:cs="Times New Roman"/>
                <w:i/>
                <w:color w:val="141413"/>
                <w:sz w:val="20"/>
                <w:lang w:val="en-US"/>
              </w:rPr>
              <w:t>The Forty Recommendations on Money Laundering (The Forty Recommendations)</w:t>
            </w:r>
            <w:r w:rsidRPr="000605BC">
              <w:rPr>
                <w:rFonts w:cs="Times New Roman"/>
                <w:color w:val="141413"/>
                <w:sz w:val="20"/>
                <w:lang w:val="en-US"/>
              </w:rPr>
              <w:t>, which constitute a comprehensive framework for AML and are designed for universal application by countries throughout the world.</w:t>
            </w:r>
            <w:r w:rsidRPr="000605BC">
              <w:rPr>
                <w:rStyle w:val="FootnoteReference"/>
                <w:rFonts w:cs="Times New Roman"/>
                <w:color w:val="141413"/>
                <w:sz w:val="20"/>
                <w:lang w:val="en-US"/>
              </w:rPr>
              <w:footnoteReference w:id="61"/>
            </w:r>
            <w:r w:rsidRPr="000605BC">
              <w:rPr>
                <w:rFonts w:cs="Times New Roman"/>
                <w:color w:val="141413"/>
                <w:sz w:val="20"/>
                <w:lang w:val="en-US"/>
              </w:rPr>
              <w:t xml:space="preserve"> The Forty Recommendations set out principles for action; they permit a country flexibility in implementing the principles according to the country’s own particular circumstances and constitutional requirements. Although not binding as law upon a country, </w:t>
            </w:r>
            <w:r w:rsidRPr="000605BC">
              <w:rPr>
                <w:rFonts w:cs="Times New Roman"/>
                <w:i/>
                <w:color w:val="141413"/>
                <w:sz w:val="20"/>
                <w:lang w:val="en-US"/>
              </w:rPr>
              <w:t>The Forty Recommendations</w:t>
            </w:r>
            <w:r w:rsidRPr="000605BC">
              <w:rPr>
                <w:rFonts w:cs="Times New Roman"/>
                <w:color w:val="141413"/>
                <w:sz w:val="20"/>
                <w:lang w:val="en-US"/>
              </w:rPr>
              <w:t xml:space="preserve"> have been widely endorsed by the international community and relevant organizations as the international standard for AML.</w:t>
            </w:r>
          </w:p>
          <w:p w14:paraId="772F7543" w14:textId="77777777" w:rsidR="00450F0C" w:rsidRPr="000605BC" w:rsidRDefault="00450F0C" w:rsidP="00450F0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141413"/>
                <w:sz w:val="20"/>
                <w:lang w:val="en-US"/>
              </w:rPr>
            </w:pPr>
            <w:r w:rsidRPr="000605BC">
              <w:rPr>
                <w:rFonts w:cs="Times New Roman"/>
                <w:i/>
                <w:color w:val="141413"/>
                <w:sz w:val="20"/>
                <w:lang w:val="en-US"/>
              </w:rPr>
              <w:t>The Forty Recommendations</w:t>
            </w:r>
            <w:r w:rsidRPr="000605BC">
              <w:rPr>
                <w:rFonts w:cs="Times New Roman"/>
                <w:color w:val="141413"/>
                <w:sz w:val="20"/>
                <w:lang w:val="en-US"/>
              </w:rPr>
              <w:t xml:space="preserve"> are actually mandates for action by a country if that country wants to be viewed by the international community as meeting international standards. The individual recommendations are discussed in detail throughout this Reference Guide and, particularly in Chapters V, VI, VII, and VIII.</w:t>
            </w:r>
          </w:p>
          <w:p w14:paraId="72B27B0E" w14:textId="77777777" w:rsidR="00450F0C" w:rsidRPr="000605BC" w:rsidRDefault="00450F0C" w:rsidP="00450F0C">
            <w:pPr>
              <w:rPr>
                <w:rFonts w:cs="Times New Roman"/>
                <w:color w:val="141413"/>
                <w:sz w:val="20"/>
                <w:lang w:val="en-US"/>
              </w:rPr>
            </w:pPr>
            <w:r w:rsidRPr="000605BC">
              <w:rPr>
                <w:rFonts w:cs="Times New Roman"/>
                <w:i/>
                <w:color w:val="141413"/>
                <w:sz w:val="20"/>
                <w:lang w:val="en-US"/>
              </w:rPr>
              <w:t>The Forty Recommendations</w:t>
            </w:r>
            <w:r w:rsidRPr="000605BC">
              <w:rPr>
                <w:rFonts w:cs="Times New Roman"/>
                <w:color w:val="141413"/>
                <w:sz w:val="20"/>
                <w:lang w:val="en-US"/>
              </w:rPr>
              <w:t xml:space="preserve"> were initially issued in 1990 and have been revised in 1996 and 2003 to take account of new developments in money laundering and to reflect developing best practices internationally. [The current version of the </w:t>
            </w:r>
            <w:r w:rsidRPr="000605BC">
              <w:rPr>
                <w:rFonts w:cs="Times New Roman"/>
                <w:i/>
                <w:iCs/>
                <w:color w:val="141413"/>
                <w:sz w:val="20"/>
                <w:lang w:val="en-US"/>
              </w:rPr>
              <w:t xml:space="preserve">Forty Recommendations </w:t>
            </w:r>
            <w:r w:rsidRPr="000605BC">
              <w:rPr>
                <w:rFonts w:cs="Times New Roman"/>
                <w:color w:val="141413"/>
                <w:sz w:val="20"/>
                <w:lang w:val="en-US"/>
              </w:rPr>
              <w:t>was revised in 2012.]</w:t>
            </w:r>
          </w:p>
          <w:p w14:paraId="4427C1B2" w14:textId="77777777" w:rsidR="00450F0C" w:rsidRPr="000605BC" w:rsidRDefault="00450F0C" w:rsidP="00450F0C">
            <w:pPr>
              <w:rPr>
                <w:rFonts w:eastAsia="Times New Roman" w:cs="Times New Roman"/>
                <w:sz w:val="20"/>
                <w:lang w:val="en-US"/>
              </w:rPr>
            </w:pPr>
            <w:r w:rsidRPr="000605BC">
              <w:rPr>
                <w:rFonts w:eastAsia="Times New Roman" w:cs="Times New Roman"/>
                <w:b/>
                <w:sz w:val="20"/>
                <w:lang w:val="en-US"/>
              </w:rPr>
              <w:t>2. Monitoring Members Progress</w:t>
            </w:r>
          </w:p>
          <w:p w14:paraId="443E9C03" w14:textId="77777777" w:rsidR="00450F0C" w:rsidRPr="000605BC" w:rsidRDefault="00450F0C" w:rsidP="00450F0C">
            <w:pPr>
              <w:rPr>
                <w:rFonts w:eastAsia="Times New Roman" w:cs="Times New Roman"/>
                <w:sz w:val="20"/>
                <w:lang w:val="en-US"/>
              </w:rPr>
            </w:pPr>
            <w:r w:rsidRPr="000605BC">
              <w:rPr>
                <w:rFonts w:eastAsia="Times New Roman" w:cs="Times New Roman"/>
                <w:sz w:val="20"/>
                <w:lang w:val="en-US"/>
              </w:rPr>
              <w:t xml:space="preserve">Monitoring the progress of members to comply with the requirements of </w:t>
            </w:r>
            <w:r w:rsidRPr="000605BC">
              <w:rPr>
                <w:rFonts w:eastAsia="Times New Roman" w:cs="Times New Roman"/>
                <w:i/>
                <w:sz w:val="20"/>
                <w:lang w:val="en-US"/>
              </w:rPr>
              <w:t>The Forty Recommendations</w:t>
            </w:r>
            <w:r w:rsidRPr="000605BC">
              <w:rPr>
                <w:rFonts w:eastAsia="Times New Roman" w:cs="Times New Roman"/>
                <w:sz w:val="20"/>
                <w:lang w:val="en-US"/>
              </w:rPr>
              <w:t xml:space="preserve"> is facilitated by a two-stage process: </w:t>
            </w:r>
            <w:proofErr w:type="spellStart"/>
            <w:r w:rsidRPr="000605BC">
              <w:rPr>
                <w:rFonts w:eastAsia="Times New Roman" w:cs="Times New Roman"/>
                <w:sz w:val="20"/>
                <w:lang w:val="en-US"/>
              </w:rPr>
              <w:t>self assessments</w:t>
            </w:r>
            <w:proofErr w:type="spellEnd"/>
            <w:r w:rsidRPr="000605BC">
              <w:rPr>
                <w:rFonts w:eastAsia="Times New Roman" w:cs="Times New Roman"/>
                <w:sz w:val="20"/>
                <w:lang w:val="en-US"/>
              </w:rPr>
              <w:t xml:space="preserve"> and mutual evaluations. In the self-assessment stage, each member responds to a standard questionnaire, on an annual basis, regarding its implementation of </w:t>
            </w:r>
            <w:r w:rsidRPr="000605BC">
              <w:rPr>
                <w:rFonts w:eastAsia="Times New Roman" w:cs="Times New Roman"/>
                <w:i/>
                <w:sz w:val="20"/>
                <w:lang w:val="en-US"/>
              </w:rPr>
              <w:t>The Forty Recommendations</w:t>
            </w:r>
            <w:r w:rsidRPr="000605BC">
              <w:rPr>
                <w:rFonts w:eastAsia="Times New Roman" w:cs="Times New Roman"/>
                <w:sz w:val="20"/>
                <w:lang w:val="en-US"/>
              </w:rPr>
              <w:t>. In the mutual evaluation stage, each member is examined and assessed by experts from other member countries.</w:t>
            </w:r>
          </w:p>
          <w:p w14:paraId="30F3EA78" w14:textId="77777777" w:rsidR="00450F0C" w:rsidRPr="000605BC" w:rsidRDefault="00450F0C" w:rsidP="00450F0C">
            <w:pPr>
              <w:rPr>
                <w:rFonts w:eastAsia="Times New Roman" w:cs="Times New Roman"/>
                <w:sz w:val="20"/>
                <w:lang w:val="en-US"/>
              </w:rPr>
            </w:pPr>
            <w:r w:rsidRPr="000605BC">
              <w:rPr>
                <w:rFonts w:eastAsia="Times New Roman" w:cs="Times New Roman"/>
                <w:sz w:val="20"/>
                <w:lang w:val="en-US"/>
              </w:rPr>
              <w:t xml:space="preserve">In the event that a country is unwilling to take appropriate steps to achieve compliance with </w:t>
            </w:r>
            <w:r w:rsidRPr="000605BC">
              <w:rPr>
                <w:rFonts w:eastAsia="Times New Roman" w:cs="Times New Roman"/>
                <w:i/>
                <w:sz w:val="20"/>
                <w:lang w:val="en-US"/>
              </w:rPr>
              <w:t>The Forty Recommendations</w:t>
            </w:r>
            <w:r w:rsidRPr="000605BC">
              <w:rPr>
                <w:rFonts w:eastAsia="Times New Roman" w:cs="Times New Roman"/>
                <w:sz w:val="20"/>
                <w:lang w:val="en-US"/>
              </w:rPr>
              <w:t>, FATF recommends that all financial institutions give special attention to business relations and transactions with persons, including companies and financial institutions, from such non-compliant countries and, where appropriate, report questionable transactions, i.e., those that have no apparent economic or visible lawful purpose, to competent authorities.</w:t>
            </w:r>
            <w:r w:rsidRPr="000605BC">
              <w:rPr>
                <w:rStyle w:val="FootnoteReference"/>
                <w:rFonts w:eastAsia="Times New Roman" w:cs="Times New Roman"/>
                <w:sz w:val="20"/>
                <w:lang w:val="en-US"/>
              </w:rPr>
              <w:footnoteReference w:id="62"/>
            </w:r>
            <w:r w:rsidRPr="000605BC">
              <w:rPr>
                <w:rFonts w:eastAsia="Times New Roman" w:cs="Times New Roman"/>
                <w:sz w:val="20"/>
                <w:lang w:val="en-US"/>
              </w:rPr>
              <w:t xml:space="preserve"> Ultimately, if a member country does not take steps to achieve compliance, membership in the organization can be suspended. There is, however, the process of peer pressure before these sanctions are enforced.</w:t>
            </w:r>
          </w:p>
          <w:p w14:paraId="20A6E0D8" w14:textId="77777777" w:rsidR="00450F0C" w:rsidRPr="000605BC" w:rsidRDefault="00450F0C" w:rsidP="00450F0C">
            <w:pPr>
              <w:rPr>
                <w:rFonts w:eastAsia="Times New Roman" w:cs="Times New Roman"/>
                <w:b/>
                <w:sz w:val="20"/>
                <w:lang w:val="en-US"/>
              </w:rPr>
            </w:pPr>
            <w:r w:rsidRPr="000605BC">
              <w:rPr>
                <w:rFonts w:eastAsia="Times New Roman" w:cs="Times New Roman"/>
                <w:b/>
                <w:sz w:val="20"/>
                <w:lang w:val="en-US"/>
              </w:rPr>
              <w:t>3. Reporting on Money Laundering Trends and Techniques</w:t>
            </w:r>
          </w:p>
          <w:p w14:paraId="3D0C911D" w14:textId="77777777" w:rsidR="00450F0C" w:rsidRPr="000605BC" w:rsidRDefault="00450F0C" w:rsidP="00450F0C">
            <w:pPr>
              <w:rPr>
                <w:rFonts w:eastAsia="Times New Roman" w:cs="Times New Roman"/>
                <w:sz w:val="20"/>
                <w:lang w:val="en-US"/>
              </w:rPr>
            </w:pPr>
            <w:r w:rsidRPr="000605BC">
              <w:rPr>
                <w:rFonts w:eastAsia="Times New Roman" w:cs="Times New Roman"/>
                <w:sz w:val="20"/>
                <w:lang w:val="en-US"/>
              </w:rPr>
              <w:t>One of FATF’s functions is to review and report on money laundering trends, techniques and methods (also referred to as typologies). To accomplish this aspect of its mission, FATF issues annual reports on developments in money laundering through its Typologies Report.</w:t>
            </w:r>
            <w:r w:rsidRPr="000605BC">
              <w:rPr>
                <w:rStyle w:val="FootnoteReference"/>
                <w:rFonts w:eastAsia="Times New Roman" w:cs="Times New Roman"/>
                <w:sz w:val="20"/>
                <w:lang w:val="en-US"/>
              </w:rPr>
              <w:footnoteReference w:id="63"/>
            </w:r>
            <w:r w:rsidRPr="000605BC">
              <w:rPr>
                <w:rFonts w:eastAsia="Times New Roman" w:cs="Times New Roman"/>
                <w:sz w:val="20"/>
                <w:lang w:val="en-US"/>
              </w:rPr>
              <w:t xml:space="preserve"> These reports are very useful for all countries, not just FATF members, to keep current with new techniques or trends to launder money and for other developments in this area.</w:t>
            </w:r>
          </w:p>
          <w:p w14:paraId="2627ECCA" w14:textId="77777777" w:rsidR="00450F0C" w:rsidRPr="000605BC" w:rsidRDefault="00450F0C" w:rsidP="00450F0C">
            <w:pPr>
              <w:rPr>
                <w:rFonts w:eastAsia="Times New Roman" w:cs="Times New Roman"/>
                <w:sz w:val="20"/>
                <w:lang w:val="en-US"/>
              </w:rPr>
            </w:pPr>
            <w:r w:rsidRPr="000605BC">
              <w:rPr>
                <w:rFonts w:eastAsia="Times New Roman" w:cs="Times New Roman"/>
                <w:b/>
                <w:sz w:val="20"/>
                <w:lang w:val="en-US"/>
              </w:rPr>
              <w:t>4. The NCCT List</w:t>
            </w:r>
            <w:r w:rsidRPr="000605BC">
              <w:rPr>
                <w:rFonts w:eastAsia="Times New Roman" w:cs="Times New Roman"/>
                <w:sz w:val="20"/>
                <w:lang w:val="en-US"/>
              </w:rPr>
              <w:t xml:space="preserve"> </w:t>
            </w:r>
          </w:p>
          <w:p w14:paraId="64B3C065" w14:textId="77777777" w:rsidR="00450F0C" w:rsidRPr="000605BC" w:rsidRDefault="00450F0C" w:rsidP="00450F0C">
            <w:pPr>
              <w:rPr>
                <w:rFonts w:eastAsia="Times New Roman" w:cs="Times New Roman"/>
                <w:sz w:val="20"/>
                <w:lang w:val="en-US"/>
              </w:rPr>
            </w:pPr>
            <w:r w:rsidRPr="000605BC">
              <w:rPr>
                <w:rFonts w:eastAsia="Times New Roman" w:cs="Times New Roman"/>
                <w:sz w:val="20"/>
                <w:lang w:val="en-US"/>
              </w:rPr>
              <w:t xml:space="preserve">One of FATF’s objectives is to promote the adoption of international AML/CFT standards for all countries. Thus, its mission extends beyond its own membership, although FATF can only sanction its member countries and territories. Thus, in order to encourage all countries to adopt measures to prevent, detect and prosecute money launderers, i.e., to implement The Forty Recommendations, FATF has adopted a process of identifying those jurisdictions that serve as obstacles to international cooperation in this area. The process uses 25 criteria, which are consistent with </w:t>
            </w:r>
            <w:r w:rsidRPr="000605BC">
              <w:rPr>
                <w:rFonts w:eastAsia="Times New Roman" w:cs="Times New Roman"/>
                <w:i/>
                <w:sz w:val="20"/>
                <w:lang w:val="en-US"/>
              </w:rPr>
              <w:t>The Forty Recommendations</w:t>
            </w:r>
            <w:r w:rsidRPr="000605BC">
              <w:rPr>
                <w:rFonts w:eastAsia="Times New Roman" w:cs="Times New Roman"/>
                <w:sz w:val="20"/>
                <w:lang w:val="en-US"/>
              </w:rPr>
              <w:t>, to identify such non-cooperative countries and territories (NCCT’s) and place them on a publicly available list.</w:t>
            </w:r>
            <w:r w:rsidRPr="000605BC">
              <w:rPr>
                <w:rStyle w:val="FootnoteReference"/>
                <w:rFonts w:eastAsia="Times New Roman" w:cs="Times New Roman"/>
                <w:sz w:val="20"/>
                <w:lang w:val="en-US"/>
              </w:rPr>
              <w:footnoteReference w:id="64"/>
            </w:r>
          </w:p>
          <w:p w14:paraId="5EE8D9AD" w14:textId="6FABA2F0" w:rsidR="00450F0C" w:rsidRPr="000605BC" w:rsidRDefault="00DF21DF" w:rsidP="00450F0C">
            <w:pPr>
              <w:rPr>
                <w:rFonts w:eastAsia="Times New Roman" w:cs="Times New Roman"/>
                <w:sz w:val="20"/>
                <w:lang w:val="en-US"/>
              </w:rPr>
            </w:pPr>
            <w:r w:rsidRPr="000605BC">
              <w:rPr>
                <w:rFonts w:eastAsia="Times New Roman" w:cs="Times New Roman"/>
                <w:sz w:val="20"/>
                <w:lang w:val="en-US"/>
              </w:rPr>
              <w:t>…</w:t>
            </w:r>
          </w:p>
          <w:p w14:paraId="25F3ACC6" w14:textId="77777777" w:rsidR="00450F0C" w:rsidRPr="000605BC" w:rsidRDefault="00450F0C" w:rsidP="00450F0C">
            <w:pPr>
              <w:rPr>
                <w:rFonts w:eastAsia="Times New Roman" w:cs="Times New Roman"/>
                <w:sz w:val="20"/>
                <w:lang w:val="en-US"/>
              </w:rPr>
            </w:pPr>
            <w:r w:rsidRPr="000605BC">
              <w:rPr>
                <w:rFonts w:eastAsia="Times New Roman" w:cs="Times New Roman"/>
                <w:sz w:val="20"/>
                <w:lang w:val="en-US"/>
              </w:rPr>
              <w:t xml:space="preserve">[In response to criticisms levied against the use of the NCCT list, the last country on the NCCT list was removed in 2006, and no new states have been reviewed by the FATF under the NCCT criteria since 2001. Many felt that the NCCT focused attention unfairly on smaller, less powerful nations while ignoring the failings of more powerful countries such as the United States. Since it is no longer relevant, the remainder of the section on the NCCT list has not been included in this excerpt. However, the FATF has continued to issue public statements on high-risk and non-compliant countries. This list presently includes Iran, the Democratic People’s Republic of Korea and Algeria. It is available at: </w:t>
            </w:r>
            <w:hyperlink r:id="rId8" w:history="1">
              <w:r w:rsidRPr="000605BC">
                <w:rPr>
                  <w:rStyle w:val="Hyperlink"/>
                  <w:rFonts w:eastAsia="Times New Roman" w:cs="Times New Roman"/>
                  <w:sz w:val="20"/>
                  <w:lang w:val="en-US"/>
                </w:rPr>
                <w:t>http://www.fatf-gafi.org/topics/high-riskandnon-cooperativejurisdictions/</w:t>
              </w:r>
            </w:hyperlink>
            <w:r w:rsidRPr="000605BC">
              <w:rPr>
                <w:rFonts w:eastAsia="Times New Roman" w:cs="Times New Roman"/>
                <w:sz w:val="20"/>
                <w:lang w:val="en-US"/>
              </w:rPr>
              <w:t>]</w:t>
            </w:r>
          </w:p>
          <w:p w14:paraId="1037E320" w14:textId="77777777" w:rsidR="00450F0C" w:rsidRPr="000605BC" w:rsidRDefault="00450F0C" w:rsidP="00450F0C">
            <w:pPr>
              <w:rPr>
                <w:rFonts w:eastAsia="Times New Roman" w:cs="Times New Roman"/>
                <w:b/>
                <w:sz w:val="20"/>
                <w:lang w:val="en-US"/>
              </w:rPr>
            </w:pPr>
            <w:r w:rsidRPr="000605BC">
              <w:rPr>
                <w:rFonts w:eastAsia="Times New Roman" w:cs="Times New Roman"/>
                <w:b/>
                <w:sz w:val="20"/>
                <w:lang w:val="en-US"/>
              </w:rPr>
              <w:t>5. Terrorist Financing</w:t>
            </w:r>
          </w:p>
          <w:p w14:paraId="4B110922" w14:textId="6DAF200F" w:rsidR="00450F0C" w:rsidRPr="000605BC" w:rsidRDefault="00450F0C" w:rsidP="00450F0C">
            <w:pPr>
              <w:rPr>
                <w:rFonts w:eastAsia="Times New Roman" w:cs="Times New Roman"/>
                <w:sz w:val="20"/>
                <w:lang w:val="en-US"/>
              </w:rPr>
            </w:pPr>
            <w:r w:rsidRPr="000605BC">
              <w:rPr>
                <w:rFonts w:eastAsia="Times New Roman" w:cs="Times New Roman"/>
                <w:sz w:val="20"/>
                <w:lang w:val="en-US"/>
              </w:rPr>
              <w:t xml:space="preserve">FATF also focuses its expertise on the world-wide effort to combat terrorist financing. To accomplish this expanded mission FATF has adopted nine </w:t>
            </w:r>
            <w:r w:rsidRPr="000605BC">
              <w:rPr>
                <w:rFonts w:eastAsia="Times New Roman" w:cs="Times New Roman"/>
                <w:i/>
                <w:sz w:val="20"/>
                <w:lang w:val="en-US"/>
              </w:rPr>
              <w:t>Special Recommendations on Terrorist Financing (Special Recommendations).</w:t>
            </w:r>
            <w:r w:rsidRPr="000605BC">
              <w:rPr>
                <w:rStyle w:val="FootnoteReference"/>
                <w:rFonts w:eastAsia="Times New Roman" w:cs="Times New Roman"/>
                <w:sz w:val="20"/>
                <w:lang w:val="en-US"/>
              </w:rPr>
              <w:footnoteReference w:id="65"/>
            </w:r>
            <w:r w:rsidRPr="000605BC">
              <w:rPr>
                <w:rFonts w:eastAsia="Times New Roman" w:cs="Times New Roman"/>
                <w:sz w:val="20"/>
                <w:lang w:val="en-US"/>
              </w:rPr>
              <w:t xml:space="preserve"> As part of this effort, FATF members use a self-assessment questionnaire</w:t>
            </w:r>
            <w:r w:rsidR="00B27B9F" w:rsidRPr="000605BC">
              <w:rPr>
                <w:rFonts w:eastAsia="Times New Roman" w:cs="Times New Roman"/>
                <w:sz w:val="20"/>
                <w:lang w:val="en-US"/>
              </w:rPr>
              <w:t xml:space="preserve"> </w:t>
            </w:r>
            <w:r w:rsidRPr="000605BC">
              <w:rPr>
                <w:rFonts w:eastAsia="Times New Roman" w:cs="Times New Roman"/>
                <w:sz w:val="20"/>
                <w:lang w:val="en-US"/>
              </w:rPr>
              <w:t xml:space="preserve">of their country’s actions to come into compliance with the </w:t>
            </w:r>
            <w:r w:rsidRPr="000605BC">
              <w:rPr>
                <w:rFonts w:eastAsia="Times New Roman" w:cs="Times New Roman"/>
                <w:i/>
                <w:sz w:val="20"/>
                <w:lang w:val="en-US"/>
              </w:rPr>
              <w:t>Special Recommendations</w:t>
            </w:r>
            <w:r w:rsidRPr="000605BC">
              <w:rPr>
                <w:rFonts w:eastAsia="Times New Roman" w:cs="Times New Roman"/>
                <w:sz w:val="20"/>
                <w:lang w:val="en-US"/>
              </w:rPr>
              <w:t>.</w:t>
            </w:r>
            <w:r w:rsidR="00B27B9F" w:rsidRPr="000605BC">
              <w:rPr>
                <w:rStyle w:val="FootnoteReference"/>
                <w:rFonts w:eastAsia="Times New Roman" w:cs="Times New Roman"/>
                <w:sz w:val="20"/>
                <w:lang w:val="en-US"/>
              </w:rPr>
              <w:footnoteReference w:id="66"/>
            </w:r>
            <w:r w:rsidR="00B27B9F" w:rsidRPr="000605BC">
              <w:rPr>
                <w:rFonts w:eastAsia="Times New Roman" w:cs="Times New Roman"/>
                <w:sz w:val="20"/>
                <w:lang w:val="en-US"/>
              </w:rPr>
              <w:t xml:space="preserve"> </w:t>
            </w:r>
            <w:r w:rsidRPr="000605BC">
              <w:rPr>
                <w:rFonts w:eastAsia="Times New Roman" w:cs="Times New Roman"/>
                <w:sz w:val="20"/>
                <w:lang w:val="en-US"/>
              </w:rPr>
              <w:t xml:space="preserve"> FATF is continuing to develop guidance on techniques and mechanisms used in the financing of terrorism. </w:t>
            </w:r>
          </w:p>
          <w:p w14:paraId="6EAE7EBA" w14:textId="21E2595D" w:rsidR="00450F0C" w:rsidRPr="000605BC" w:rsidRDefault="00450F0C" w:rsidP="009C220B">
            <w:pPr>
              <w:pStyle w:val="ExcerptMarker"/>
              <w:spacing w:after="0"/>
              <w:rPr>
                <w:sz w:val="16"/>
              </w:rPr>
            </w:pPr>
            <w:r w:rsidRPr="000605BC">
              <w:rPr>
                <w:sz w:val="16"/>
              </w:rPr>
              <w:t>End of Excerpt</w:t>
            </w:r>
          </w:p>
        </w:tc>
      </w:tr>
    </w:tbl>
    <w:p w14:paraId="3CE70CCB" w14:textId="77777777" w:rsidR="008C68F7" w:rsidRPr="000605BC" w:rsidRDefault="00F70EE8" w:rsidP="008C68F7">
      <w:pPr>
        <w:spacing w:after="0"/>
        <w:rPr>
          <w:rFonts w:cs="Times New Roman"/>
          <w:sz w:val="20"/>
        </w:rPr>
      </w:pPr>
      <w:r w:rsidRPr="000605BC">
        <w:rPr>
          <w:rFonts w:cs="Times New Roman"/>
          <w:sz w:val="20"/>
        </w:rPr>
        <w:t>The FATF prepares guidance and best practices documents to assist states in implementing the Recommendations. Seven such documents have been published si</w:t>
      </w:r>
      <w:r w:rsidR="00BD57FE" w:rsidRPr="000605BC">
        <w:rPr>
          <w:rFonts w:cs="Times New Roman"/>
          <w:sz w:val="20"/>
        </w:rPr>
        <w:t xml:space="preserve">nce the latest version of the </w:t>
      </w:r>
      <w:r w:rsidRPr="000605BC">
        <w:rPr>
          <w:rFonts w:cs="Times New Roman"/>
          <w:sz w:val="20"/>
        </w:rPr>
        <w:t xml:space="preserve">Recommendations was released in 2012. They are available </w:t>
      </w:r>
      <w:r w:rsidR="00C961DB" w:rsidRPr="000605BC">
        <w:rPr>
          <w:rFonts w:cs="Times New Roman"/>
          <w:sz w:val="20"/>
        </w:rPr>
        <w:t>on the FATF website</w:t>
      </w:r>
      <w:r w:rsidRPr="000605BC">
        <w:rPr>
          <w:rFonts w:cs="Times New Roman"/>
          <w:sz w:val="20"/>
        </w:rPr>
        <w:t>:</w:t>
      </w:r>
    </w:p>
    <w:p w14:paraId="635248E4" w14:textId="06E28E55" w:rsidR="00770412" w:rsidRPr="000605BC" w:rsidRDefault="00F70EE8" w:rsidP="008C68F7">
      <w:pPr>
        <w:spacing w:before="0"/>
        <w:rPr>
          <w:rFonts w:cs="Times New Roman"/>
          <w:sz w:val="20"/>
          <w:u w:val="single"/>
        </w:rPr>
      </w:pPr>
      <w:r w:rsidRPr="000605BC">
        <w:rPr>
          <w:rFonts w:cs="Times New Roman"/>
          <w:sz w:val="20"/>
        </w:rPr>
        <w:t xml:space="preserve"> </w:t>
      </w:r>
      <w:r w:rsidR="006F251C" w:rsidRPr="000605BC">
        <w:rPr>
          <w:rFonts w:cs="Times New Roman"/>
          <w:sz w:val="20"/>
        </w:rPr>
        <w:t>&lt;</w:t>
      </w:r>
      <w:hyperlink r:id="rId9" w:history="1">
        <w:r w:rsidR="00BD57FE" w:rsidRPr="000605BC">
          <w:rPr>
            <w:rStyle w:val="Hyperlink"/>
            <w:rFonts w:cs="Times New Roman"/>
            <w:sz w:val="20"/>
          </w:rPr>
          <w:t>http://www.fatf-gafi.org/documents/guidance/</w:t>
        </w:r>
      </w:hyperlink>
      <w:r w:rsidR="006F251C" w:rsidRPr="000605BC">
        <w:rPr>
          <w:rFonts w:cs="Times New Roman"/>
          <w:sz w:val="20"/>
        </w:rPr>
        <w:t>&gt;</w:t>
      </w:r>
      <w:r w:rsidRPr="000605BC">
        <w:rPr>
          <w:rFonts w:cs="Times New Roman"/>
          <w:sz w:val="20"/>
        </w:rPr>
        <w:t>.</w:t>
      </w:r>
      <w:r w:rsidR="000C46AD" w:rsidRPr="000605BC">
        <w:rPr>
          <w:rFonts w:cs="Times New Roman"/>
          <w:sz w:val="20"/>
          <w:u w:val="single"/>
        </w:rPr>
        <w:t xml:space="preserve"> </w:t>
      </w:r>
      <w:bookmarkStart w:id="35" w:name="_Toc419901549"/>
      <w:bookmarkStart w:id="36" w:name="_Toc489788770"/>
      <w:bookmarkStart w:id="37" w:name="_Toc489789310"/>
      <w:bookmarkStart w:id="38" w:name="_Toc489791780"/>
      <w:bookmarkStart w:id="39" w:name="_Toc287093731"/>
    </w:p>
    <w:p w14:paraId="1D77BA99" w14:textId="66C331AF" w:rsidR="00512FAD" w:rsidRPr="000605BC" w:rsidRDefault="00603223" w:rsidP="00542871">
      <w:pPr>
        <w:pStyle w:val="Heading1"/>
        <w:rPr>
          <w:sz w:val="28"/>
        </w:rPr>
      </w:pPr>
      <w:bookmarkStart w:id="40" w:name="_Toc505604224"/>
      <w:r w:rsidRPr="000605BC">
        <w:rPr>
          <w:sz w:val="28"/>
        </w:rPr>
        <w:t>S</w:t>
      </w:r>
      <w:r w:rsidR="00BD57FE" w:rsidRPr="000605BC">
        <w:rPr>
          <w:sz w:val="28"/>
        </w:rPr>
        <w:t>tate-Level AML Regimes: US, UK and Canada</w:t>
      </w:r>
      <w:bookmarkEnd w:id="35"/>
      <w:bookmarkEnd w:id="36"/>
      <w:bookmarkEnd w:id="37"/>
      <w:bookmarkEnd w:id="38"/>
      <w:bookmarkEnd w:id="40"/>
      <w:r w:rsidRPr="000605BC">
        <w:rPr>
          <w:sz w:val="28"/>
        </w:rPr>
        <w:t xml:space="preserve"> </w:t>
      </w:r>
      <w:bookmarkEnd w:id="39"/>
    </w:p>
    <w:p w14:paraId="5490CEF0" w14:textId="56739FD1" w:rsidR="00D644E2" w:rsidRPr="000605BC" w:rsidRDefault="00D644E2" w:rsidP="00BD57FE">
      <w:pPr>
        <w:pStyle w:val="Heading2"/>
        <w:rPr>
          <w:sz w:val="24"/>
        </w:rPr>
      </w:pPr>
      <w:bookmarkStart w:id="41" w:name="_Toc287093732"/>
      <w:bookmarkStart w:id="42" w:name="_Toc419901550"/>
      <w:bookmarkStart w:id="43" w:name="_Toc489788771"/>
      <w:bookmarkStart w:id="44" w:name="_Toc489789311"/>
      <w:bookmarkStart w:id="45" w:name="_Toc489791781"/>
      <w:r w:rsidRPr="000605BC">
        <w:rPr>
          <w:sz w:val="24"/>
        </w:rPr>
        <w:t>Introduction</w:t>
      </w:r>
      <w:bookmarkEnd w:id="41"/>
      <w:r w:rsidR="00603223" w:rsidRPr="000605BC">
        <w:rPr>
          <w:sz w:val="24"/>
        </w:rPr>
        <w:t xml:space="preserve"> to the Essential Elements of AML Regimes</w:t>
      </w:r>
      <w:bookmarkEnd w:id="42"/>
      <w:bookmarkEnd w:id="43"/>
      <w:bookmarkEnd w:id="44"/>
      <w:bookmarkEnd w:id="45"/>
    </w:p>
    <w:p w14:paraId="7D9DC6F8" w14:textId="27E8CDF5" w:rsidR="00E00E96" w:rsidRPr="000605BC" w:rsidRDefault="00E00E96" w:rsidP="00916A81">
      <w:pPr>
        <w:rPr>
          <w:rFonts w:cs="Times New Roman"/>
          <w:sz w:val="20"/>
        </w:rPr>
      </w:pPr>
      <w:r w:rsidRPr="000605BC">
        <w:rPr>
          <w:rFonts w:cs="Times New Roman"/>
          <w:sz w:val="20"/>
        </w:rPr>
        <w:t xml:space="preserve">While the FATF Recommendations provide a global standard for AML measures, these recommendations must be put into place at the state level to be effective. </w:t>
      </w:r>
      <w:r w:rsidR="00B10D7F" w:rsidRPr="000605BC">
        <w:rPr>
          <w:rFonts w:cs="Times New Roman"/>
          <w:sz w:val="20"/>
        </w:rPr>
        <w:t xml:space="preserve">The global effectiveness of the AML regime depends on a degree of standardization, but each state must also </w:t>
      </w:r>
      <w:r w:rsidR="00C879CA" w:rsidRPr="000605BC">
        <w:rPr>
          <w:rFonts w:cs="Times New Roman"/>
          <w:sz w:val="20"/>
        </w:rPr>
        <w:t xml:space="preserve">create a regime that fits within its domestic legal framework and policy goals. As a result, despite many shared elements, there is significant variation between different state-level AML regimes. </w:t>
      </w:r>
    </w:p>
    <w:p w14:paraId="0E973A7C" w14:textId="19B07540" w:rsidR="00DE5D39" w:rsidRPr="000605BC" w:rsidRDefault="00DE5D39" w:rsidP="00916A81">
      <w:pPr>
        <w:rPr>
          <w:rFonts w:cs="Times New Roman"/>
          <w:sz w:val="20"/>
        </w:rPr>
      </w:pPr>
      <w:r w:rsidRPr="000605BC">
        <w:rPr>
          <w:rFonts w:cs="Times New Roman"/>
          <w:sz w:val="20"/>
        </w:rPr>
        <w:t>The overall goal of state</w:t>
      </w:r>
      <w:r w:rsidR="00EA3763" w:rsidRPr="000605BC">
        <w:rPr>
          <w:rFonts w:cs="Times New Roman"/>
          <w:sz w:val="20"/>
        </w:rPr>
        <w:t xml:space="preserve">-level AML regimes is to allow centralized monitoring of </w:t>
      </w:r>
      <w:r w:rsidRPr="000605BC">
        <w:rPr>
          <w:rFonts w:cs="Times New Roman"/>
          <w:sz w:val="20"/>
        </w:rPr>
        <w:t>the financial sector. The set of laws and policies contained</w:t>
      </w:r>
      <w:r w:rsidR="00E42064" w:rsidRPr="000605BC">
        <w:rPr>
          <w:rFonts w:cs="Times New Roman"/>
          <w:sz w:val="20"/>
        </w:rPr>
        <w:t xml:space="preserve"> in the FATF Recommendations is</w:t>
      </w:r>
      <w:r w:rsidRPr="000605BC">
        <w:rPr>
          <w:rFonts w:cs="Times New Roman"/>
          <w:sz w:val="20"/>
        </w:rPr>
        <w:t xml:space="preserve"> intended to enable sweeping state surveillance and intelligence gathering across the financial sector. Data concerning suspicious transactions is transmitted to a ce</w:t>
      </w:r>
      <w:r w:rsidR="0049424D" w:rsidRPr="000605BC">
        <w:rPr>
          <w:rFonts w:cs="Times New Roman"/>
          <w:sz w:val="20"/>
        </w:rPr>
        <w:t>ntral organization for analysis</w:t>
      </w:r>
      <w:r w:rsidRPr="000605BC">
        <w:rPr>
          <w:rFonts w:cs="Times New Roman"/>
          <w:sz w:val="20"/>
        </w:rPr>
        <w:t xml:space="preserve"> and selected information is then passed to law enforcement agencies for investigation. </w:t>
      </w:r>
      <w:r w:rsidR="00016679" w:rsidRPr="000605BC">
        <w:rPr>
          <w:rFonts w:cs="Times New Roman"/>
          <w:sz w:val="20"/>
        </w:rPr>
        <w:t>In general, the</w:t>
      </w:r>
      <w:r w:rsidRPr="000605BC">
        <w:rPr>
          <w:rFonts w:cs="Times New Roman"/>
          <w:sz w:val="20"/>
        </w:rPr>
        <w:t xml:space="preserve"> </w:t>
      </w:r>
      <w:r w:rsidR="0049424D" w:rsidRPr="000605BC">
        <w:rPr>
          <w:rFonts w:cs="Times New Roman"/>
          <w:sz w:val="20"/>
        </w:rPr>
        <w:t>goal is to create a system in which</w:t>
      </w:r>
      <w:r w:rsidRPr="000605BC">
        <w:rPr>
          <w:rFonts w:cs="Times New Roman"/>
          <w:sz w:val="20"/>
        </w:rPr>
        <w:t xml:space="preserve"> suspicious transactions or patterns of transactions are promptly detected and thoroughly investigated, preventing the abuse of financial institutions by organized crime and corrupt officials. </w:t>
      </w:r>
    </w:p>
    <w:p w14:paraId="58556950" w14:textId="541B6858" w:rsidR="00CC272C" w:rsidRPr="000605BC" w:rsidRDefault="00C9752D" w:rsidP="00916A81">
      <w:pPr>
        <w:rPr>
          <w:rFonts w:cs="Times New Roman"/>
          <w:sz w:val="20"/>
        </w:rPr>
      </w:pPr>
      <w:r w:rsidRPr="000605BC">
        <w:rPr>
          <w:rFonts w:cs="Times New Roman"/>
          <w:sz w:val="20"/>
        </w:rPr>
        <w:t>There are three principal</w:t>
      </w:r>
      <w:r w:rsidR="00DE5D39" w:rsidRPr="000605BC">
        <w:rPr>
          <w:rFonts w:cs="Times New Roman"/>
          <w:sz w:val="20"/>
        </w:rPr>
        <w:t xml:space="preserve"> elements in a state-level AML regime, each of which is dealt with in a separate section below. The first element is a Financial Intelligence Unit (FIU). FIUs are central, national-level organizations that collect and analyze information concerning suspicious transactions reported by financial institutions. They pass selected information along to the appropriate law enforcement agencies for investigation. </w:t>
      </w:r>
    </w:p>
    <w:p w14:paraId="3D06505C" w14:textId="65A5F749" w:rsidR="00DE5D39" w:rsidRPr="000605BC" w:rsidRDefault="00CC272C" w:rsidP="00916A81">
      <w:pPr>
        <w:rPr>
          <w:rFonts w:cs="Times New Roman"/>
          <w:sz w:val="20"/>
        </w:rPr>
      </w:pPr>
      <w:r w:rsidRPr="000605BC">
        <w:rPr>
          <w:rFonts w:cs="Times New Roman"/>
          <w:sz w:val="20"/>
        </w:rPr>
        <w:t xml:space="preserve">The second element of a state-level AML regime is sweeping regulation of the financial sector, which requires financial institutions to report information to the FIU. There are three basic aspects of this regulatory framework. The first is customer due diligence measures (CDD), which require financial institutions to </w:t>
      </w:r>
      <w:r w:rsidR="002D7131" w:rsidRPr="000605BC">
        <w:rPr>
          <w:rFonts w:cs="Times New Roman"/>
          <w:sz w:val="20"/>
        </w:rPr>
        <w:t>collect identifying information from each of</w:t>
      </w:r>
      <w:r w:rsidRPr="000605BC">
        <w:rPr>
          <w:rFonts w:cs="Times New Roman"/>
          <w:sz w:val="20"/>
        </w:rPr>
        <w:t xml:space="preserve"> their customers. The second is record keeping </w:t>
      </w:r>
      <w:r w:rsidR="0049424D" w:rsidRPr="000605BC">
        <w:rPr>
          <w:rFonts w:cs="Times New Roman"/>
          <w:sz w:val="20"/>
        </w:rPr>
        <w:t>requirements, which require financial institutions</w:t>
      </w:r>
      <w:r w:rsidRPr="000605BC">
        <w:rPr>
          <w:rFonts w:cs="Times New Roman"/>
          <w:sz w:val="20"/>
        </w:rPr>
        <w:t xml:space="preserve"> to retain all information collected for at least five years.</w:t>
      </w:r>
      <w:r w:rsidR="002822D1" w:rsidRPr="000605BC">
        <w:rPr>
          <w:rFonts w:cs="Times New Roman"/>
          <w:sz w:val="20"/>
        </w:rPr>
        <w:t xml:space="preserve"> </w:t>
      </w:r>
      <w:r w:rsidRPr="000605BC">
        <w:rPr>
          <w:rFonts w:cs="Times New Roman"/>
          <w:sz w:val="20"/>
        </w:rPr>
        <w:t xml:space="preserve">The final aspect is transaction reporting requirements, </w:t>
      </w:r>
      <w:r w:rsidR="00237CFF" w:rsidRPr="000605BC">
        <w:rPr>
          <w:rFonts w:cs="Times New Roman"/>
          <w:sz w:val="20"/>
        </w:rPr>
        <w:t>which require financial institutions to report certain transactions to their respective FIUs.</w:t>
      </w:r>
    </w:p>
    <w:p w14:paraId="337C8550" w14:textId="576D137B" w:rsidR="00237CFF" w:rsidRPr="000605BC" w:rsidRDefault="00237CFF" w:rsidP="00916A81">
      <w:pPr>
        <w:rPr>
          <w:rFonts w:cs="Times New Roman"/>
          <w:sz w:val="20"/>
        </w:rPr>
      </w:pPr>
      <w:r w:rsidRPr="000605BC">
        <w:rPr>
          <w:rFonts w:cs="Times New Roman"/>
          <w:sz w:val="20"/>
        </w:rPr>
        <w:t xml:space="preserve">The third element of a state-level AML regime is </w:t>
      </w:r>
      <w:r w:rsidR="00893783" w:rsidRPr="000605BC">
        <w:rPr>
          <w:rFonts w:cs="Times New Roman"/>
          <w:sz w:val="20"/>
        </w:rPr>
        <w:t>the creation of tools that law enforcement agencies can use</w:t>
      </w:r>
      <w:r w:rsidR="0049424D" w:rsidRPr="000605BC">
        <w:rPr>
          <w:rFonts w:cs="Times New Roman"/>
          <w:sz w:val="20"/>
        </w:rPr>
        <w:t xml:space="preserve"> to effectively prosecute money </w:t>
      </w:r>
      <w:r w:rsidR="00893783" w:rsidRPr="000605BC">
        <w:rPr>
          <w:rFonts w:cs="Times New Roman"/>
          <w:sz w:val="20"/>
        </w:rPr>
        <w:t xml:space="preserve">launderers once their activities are detected. These include the creation of </w:t>
      </w:r>
      <w:r w:rsidR="00B86A17" w:rsidRPr="000605BC">
        <w:rPr>
          <w:rFonts w:cs="Times New Roman"/>
          <w:sz w:val="20"/>
        </w:rPr>
        <w:t xml:space="preserve">stand-alone </w:t>
      </w:r>
      <w:r w:rsidR="00893783" w:rsidRPr="000605BC">
        <w:rPr>
          <w:rFonts w:cs="Times New Roman"/>
          <w:sz w:val="20"/>
        </w:rPr>
        <w:t>criminal offences for money laundering</w:t>
      </w:r>
      <w:r w:rsidR="00B86A17" w:rsidRPr="000605BC">
        <w:rPr>
          <w:rFonts w:cs="Times New Roman"/>
          <w:sz w:val="20"/>
        </w:rPr>
        <w:t xml:space="preserve"> to enabl</w:t>
      </w:r>
      <w:r w:rsidR="0049424D" w:rsidRPr="000605BC">
        <w:rPr>
          <w:rFonts w:cs="Times New Roman"/>
          <w:sz w:val="20"/>
        </w:rPr>
        <w:t>e prosecution of launderers</w:t>
      </w:r>
      <w:r w:rsidR="00B86A17" w:rsidRPr="000605BC">
        <w:rPr>
          <w:rFonts w:cs="Times New Roman"/>
          <w:sz w:val="20"/>
        </w:rPr>
        <w:t xml:space="preserve">. </w:t>
      </w:r>
      <w:r w:rsidR="00893783" w:rsidRPr="000605BC">
        <w:rPr>
          <w:rFonts w:cs="Times New Roman"/>
          <w:sz w:val="20"/>
        </w:rPr>
        <w:t xml:space="preserve">In </w:t>
      </w:r>
      <w:r w:rsidR="00DF4DA5" w:rsidRPr="000605BC">
        <w:rPr>
          <w:rFonts w:cs="Times New Roman"/>
          <w:sz w:val="20"/>
        </w:rPr>
        <w:t>theory</w:t>
      </w:r>
      <w:r w:rsidR="00893783" w:rsidRPr="000605BC">
        <w:rPr>
          <w:rFonts w:cs="Times New Roman"/>
          <w:sz w:val="20"/>
        </w:rPr>
        <w:t xml:space="preserve">, </w:t>
      </w:r>
      <w:r w:rsidR="00B86A17" w:rsidRPr="000605BC">
        <w:rPr>
          <w:rFonts w:cs="Times New Roman"/>
          <w:sz w:val="20"/>
        </w:rPr>
        <w:t>the</w:t>
      </w:r>
      <w:r w:rsidR="00893783" w:rsidRPr="000605BC">
        <w:rPr>
          <w:rFonts w:cs="Times New Roman"/>
          <w:sz w:val="20"/>
        </w:rPr>
        <w:t xml:space="preserve"> three elements </w:t>
      </w:r>
      <w:r w:rsidR="00B86A17" w:rsidRPr="000605BC">
        <w:rPr>
          <w:rFonts w:cs="Times New Roman"/>
          <w:sz w:val="20"/>
        </w:rPr>
        <w:t xml:space="preserve">discussed above </w:t>
      </w:r>
      <w:r w:rsidR="0049424D" w:rsidRPr="000605BC">
        <w:rPr>
          <w:rFonts w:cs="Times New Roman"/>
          <w:sz w:val="20"/>
        </w:rPr>
        <w:t xml:space="preserve">should </w:t>
      </w:r>
      <w:r w:rsidR="00893783" w:rsidRPr="000605BC">
        <w:rPr>
          <w:rFonts w:cs="Times New Roman"/>
          <w:sz w:val="20"/>
        </w:rPr>
        <w:t>cre</w:t>
      </w:r>
      <w:r w:rsidR="0049424D" w:rsidRPr="000605BC">
        <w:rPr>
          <w:rFonts w:cs="Times New Roman"/>
          <w:sz w:val="20"/>
        </w:rPr>
        <w:t>ate a state-level regime in which</w:t>
      </w:r>
      <w:r w:rsidR="00DF4DA5" w:rsidRPr="000605BC">
        <w:rPr>
          <w:rFonts w:cs="Times New Roman"/>
          <w:sz w:val="20"/>
        </w:rPr>
        <w:t xml:space="preserve"> </w:t>
      </w:r>
      <w:r w:rsidR="00893783" w:rsidRPr="000605BC">
        <w:rPr>
          <w:rFonts w:cs="Times New Roman"/>
          <w:sz w:val="20"/>
        </w:rPr>
        <w:t>money laundering can be eff</w:t>
      </w:r>
      <w:r w:rsidR="0049424D" w:rsidRPr="000605BC">
        <w:rPr>
          <w:rFonts w:cs="Times New Roman"/>
          <w:sz w:val="20"/>
        </w:rPr>
        <w:t>ectively comba</w:t>
      </w:r>
      <w:r w:rsidR="004D388B" w:rsidRPr="000605BC">
        <w:rPr>
          <w:rFonts w:cs="Times New Roman"/>
          <w:sz w:val="20"/>
        </w:rPr>
        <w:t xml:space="preserve">ted through cooperation between the financial sector, the FIU and law enforcement agencies. </w:t>
      </w:r>
    </w:p>
    <w:p w14:paraId="64B06076" w14:textId="0E9143D5" w:rsidR="000B48AF" w:rsidRPr="000605BC" w:rsidRDefault="000B48AF" w:rsidP="00916A81">
      <w:pPr>
        <w:rPr>
          <w:rFonts w:cs="Times New Roman"/>
          <w:sz w:val="20"/>
        </w:rPr>
      </w:pPr>
      <w:r w:rsidRPr="000605BC">
        <w:rPr>
          <w:rFonts w:cs="Times New Roman"/>
          <w:sz w:val="20"/>
        </w:rPr>
        <w:t xml:space="preserve">While the three elements described above are present in all state-level AML regimes that conform to the FATF recommendations, </w:t>
      </w:r>
      <w:r w:rsidR="00CC609D" w:rsidRPr="000605BC">
        <w:rPr>
          <w:rFonts w:cs="Times New Roman"/>
          <w:sz w:val="20"/>
        </w:rPr>
        <w:t xml:space="preserve">how each is put into place varies considerably from country to country. </w:t>
      </w:r>
      <w:r w:rsidR="00B10D7F" w:rsidRPr="000605BC">
        <w:rPr>
          <w:rFonts w:cs="Times New Roman"/>
          <w:sz w:val="20"/>
        </w:rPr>
        <w:t xml:space="preserve">The following section surveys the state-level AML regimes in the US, Canada and the UK, comparing and contrasting the different approaches taken in each jurisdiction. </w:t>
      </w:r>
      <w:r w:rsidR="00B04F89" w:rsidRPr="000605BC">
        <w:rPr>
          <w:rFonts w:cs="Times New Roman"/>
          <w:sz w:val="20"/>
        </w:rPr>
        <w:t>Each subsection begins by reproducing the appropriate</w:t>
      </w:r>
      <w:r w:rsidR="004171F3" w:rsidRPr="000605BC">
        <w:rPr>
          <w:rFonts w:cs="Times New Roman"/>
          <w:sz w:val="20"/>
        </w:rPr>
        <w:t xml:space="preserve"> FATF r</w:t>
      </w:r>
      <w:r w:rsidR="00B04F89" w:rsidRPr="000605BC">
        <w:rPr>
          <w:rFonts w:cs="Times New Roman"/>
          <w:sz w:val="20"/>
        </w:rPr>
        <w:t>ecommendation, and then briefly discusses how the recommendation has been enacted by each of the</w:t>
      </w:r>
      <w:r w:rsidR="004171F3" w:rsidRPr="000605BC">
        <w:rPr>
          <w:rFonts w:cs="Times New Roman"/>
          <w:sz w:val="20"/>
        </w:rPr>
        <w:t xml:space="preserve"> three governments.</w:t>
      </w:r>
      <w:r w:rsidR="004171F3" w:rsidRPr="000605BC">
        <w:rPr>
          <w:rStyle w:val="FootnoteReference"/>
          <w:rFonts w:cs="Times New Roman"/>
          <w:sz w:val="20"/>
        </w:rPr>
        <w:footnoteReference w:id="67"/>
      </w:r>
      <w:r w:rsidR="004171F3" w:rsidRPr="000605BC">
        <w:rPr>
          <w:rFonts w:cs="Times New Roman"/>
          <w:sz w:val="20"/>
        </w:rPr>
        <w:t xml:space="preserve"> </w:t>
      </w:r>
    </w:p>
    <w:p w14:paraId="5654C0C7" w14:textId="01ADF6D2" w:rsidR="008C1F47" w:rsidRPr="000605BC" w:rsidRDefault="008C1F47" w:rsidP="00BD57FE">
      <w:pPr>
        <w:pStyle w:val="Heading2"/>
        <w:rPr>
          <w:sz w:val="24"/>
        </w:rPr>
      </w:pPr>
      <w:bookmarkStart w:id="46" w:name="_Toc287093733"/>
      <w:bookmarkStart w:id="47" w:name="_Toc419901551"/>
      <w:bookmarkStart w:id="48" w:name="_Toc489788772"/>
      <w:bookmarkStart w:id="49" w:name="_Toc489789312"/>
      <w:bookmarkStart w:id="50" w:name="_Toc489791782"/>
      <w:r w:rsidRPr="000605BC">
        <w:rPr>
          <w:sz w:val="24"/>
        </w:rPr>
        <w:t>Financial Intelligence Units</w:t>
      </w:r>
      <w:bookmarkEnd w:id="46"/>
      <w:bookmarkEnd w:id="47"/>
      <w:bookmarkEnd w:id="48"/>
      <w:bookmarkEnd w:id="49"/>
      <w:bookmarkEnd w:id="50"/>
    </w:p>
    <w:p w14:paraId="287FF70A" w14:textId="43E61437" w:rsidR="006021ED" w:rsidRPr="000605BC" w:rsidRDefault="006021ED" w:rsidP="00BD57FE">
      <w:pPr>
        <w:pStyle w:val="Heading3"/>
        <w:rPr>
          <w:sz w:val="22"/>
        </w:rPr>
      </w:pPr>
      <w:bookmarkStart w:id="51" w:name="_Toc287093734"/>
      <w:bookmarkStart w:id="52" w:name="_Toc419901552"/>
      <w:r w:rsidRPr="000605BC">
        <w:rPr>
          <w:sz w:val="22"/>
        </w:rPr>
        <w:t>FATF Recommendation</w:t>
      </w:r>
      <w:bookmarkEnd w:id="51"/>
      <w:bookmarkEnd w:id="52"/>
      <w:r w:rsidR="009A1E33" w:rsidRPr="000605BC">
        <w:rPr>
          <w:sz w:val="22"/>
        </w:rPr>
        <w:t>s</w:t>
      </w:r>
    </w:p>
    <w:p w14:paraId="5168EE87" w14:textId="218EE1C2" w:rsidR="00F11DE0" w:rsidRPr="000605BC" w:rsidRDefault="00AC2B90" w:rsidP="00916A81">
      <w:pPr>
        <w:rPr>
          <w:rFonts w:cs="Times New Roman"/>
          <w:sz w:val="20"/>
        </w:rPr>
      </w:pPr>
      <w:r w:rsidRPr="000605BC">
        <w:rPr>
          <w:rFonts w:cs="Times New Roman"/>
          <w:sz w:val="20"/>
        </w:rPr>
        <w:t>Recommendation 29 of the FATF requires that each member state create</w:t>
      </w:r>
      <w:r w:rsidR="0049424D" w:rsidRPr="000605BC">
        <w:rPr>
          <w:rFonts w:cs="Times New Roman"/>
          <w:sz w:val="20"/>
        </w:rPr>
        <w:t xml:space="preserve"> a</w:t>
      </w:r>
      <w:r w:rsidRPr="000605BC">
        <w:rPr>
          <w:rFonts w:cs="Times New Roman"/>
          <w:sz w:val="20"/>
        </w:rPr>
        <w:t xml:space="preserve"> financial intelligence unit (FIU) as part of its AML regime. </w:t>
      </w:r>
      <w:r w:rsidR="00FD79A1" w:rsidRPr="000605BC">
        <w:rPr>
          <w:rFonts w:cs="Times New Roman"/>
          <w:sz w:val="20"/>
        </w:rPr>
        <w:t xml:space="preserve">These FIUs cooperate internationally through their membership in the Egmont Group, an informal network whose membership currently includes 139 state-level FIUs. The Egmont Group’s website, </w:t>
      </w:r>
      <w:r w:rsidR="009257D9" w:rsidRPr="000605BC">
        <w:rPr>
          <w:rFonts w:cs="Times New Roman"/>
          <w:sz w:val="20"/>
        </w:rPr>
        <w:t>&lt;</w:t>
      </w:r>
      <w:hyperlink r:id="rId10" w:history="1">
        <w:r w:rsidR="00FD79A1" w:rsidRPr="000605BC">
          <w:rPr>
            <w:rStyle w:val="Hyperlink"/>
            <w:rFonts w:cs="Times New Roman"/>
            <w:sz w:val="20"/>
          </w:rPr>
          <w:t>http://www.egmontgroup.org/</w:t>
        </w:r>
      </w:hyperlink>
      <w:r w:rsidR="009257D9" w:rsidRPr="000605BC">
        <w:rPr>
          <w:rFonts w:cs="Times New Roman"/>
          <w:sz w:val="20"/>
        </w:rPr>
        <w:t>&gt;</w:t>
      </w:r>
      <w:r w:rsidR="00FD79A1" w:rsidRPr="000605BC">
        <w:rPr>
          <w:rFonts w:cs="Times New Roman"/>
          <w:sz w:val="20"/>
        </w:rPr>
        <w:t xml:space="preserve">, </w:t>
      </w:r>
      <w:r w:rsidR="00D90087" w:rsidRPr="000605BC">
        <w:rPr>
          <w:rFonts w:cs="Times New Roman"/>
          <w:sz w:val="20"/>
        </w:rPr>
        <w:t xml:space="preserve">provides a library of research reports </w:t>
      </w:r>
      <w:r w:rsidR="009F6440" w:rsidRPr="000605BC">
        <w:rPr>
          <w:rFonts w:cs="Times New Roman"/>
          <w:sz w:val="20"/>
        </w:rPr>
        <w:t>produce</w:t>
      </w:r>
      <w:r w:rsidR="006F251C" w:rsidRPr="000605BC">
        <w:rPr>
          <w:rFonts w:cs="Times New Roman"/>
          <w:sz w:val="20"/>
        </w:rPr>
        <w:t>d</w:t>
      </w:r>
      <w:r w:rsidR="009F6440" w:rsidRPr="000605BC">
        <w:rPr>
          <w:rFonts w:cs="Times New Roman"/>
          <w:sz w:val="20"/>
        </w:rPr>
        <w:t xml:space="preserve"> by the organization as well as </w:t>
      </w:r>
      <w:r w:rsidR="00D90087" w:rsidRPr="000605BC">
        <w:rPr>
          <w:rFonts w:cs="Times New Roman"/>
          <w:sz w:val="20"/>
        </w:rPr>
        <w:t xml:space="preserve">sanitized cases from member FIUs. </w:t>
      </w:r>
    </w:p>
    <w:p w14:paraId="10027F4A" w14:textId="0C91499E" w:rsidR="00BD3939" w:rsidRPr="000605BC" w:rsidRDefault="00A16437" w:rsidP="00916A81">
      <w:pPr>
        <w:rPr>
          <w:rFonts w:cs="Times New Roman"/>
          <w:sz w:val="20"/>
        </w:rPr>
      </w:pPr>
      <w:r w:rsidRPr="000605BC">
        <w:rPr>
          <w:rFonts w:cs="Times New Roman"/>
          <w:sz w:val="20"/>
        </w:rPr>
        <w:t>The full text of R</w:t>
      </w:r>
      <w:r w:rsidR="00AC2B90" w:rsidRPr="000605BC">
        <w:rPr>
          <w:rFonts w:cs="Times New Roman"/>
          <w:sz w:val="20"/>
        </w:rPr>
        <w:t>ecommendation</w:t>
      </w:r>
      <w:r w:rsidRPr="000605BC">
        <w:rPr>
          <w:rFonts w:cs="Times New Roman"/>
          <w:sz w:val="20"/>
        </w:rPr>
        <w:t xml:space="preserve"> 29</w:t>
      </w:r>
      <w:r w:rsidR="00AC2B90" w:rsidRPr="000605BC">
        <w:rPr>
          <w:rFonts w:cs="Times New Roman"/>
          <w:sz w:val="20"/>
        </w:rPr>
        <w:t xml:space="preserve"> is reproduced below:</w:t>
      </w:r>
    </w:p>
    <w:p w14:paraId="64553A2E" w14:textId="6ACE24DA" w:rsidR="0030295A" w:rsidRPr="000605BC" w:rsidRDefault="00CA54C7" w:rsidP="00EB4F67">
      <w:pPr>
        <w:pStyle w:val="BlockQuote"/>
        <w:rPr>
          <w:b/>
          <w:sz w:val="20"/>
        </w:rPr>
      </w:pPr>
      <w:r w:rsidRPr="000605BC">
        <w:rPr>
          <w:b/>
          <w:sz w:val="20"/>
        </w:rPr>
        <w:t>29. Financial intelligence units</w:t>
      </w:r>
    </w:p>
    <w:p w14:paraId="732D846B" w14:textId="0707D4D2" w:rsidR="00BE5D92" w:rsidRPr="000605BC" w:rsidRDefault="00BE5D92" w:rsidP="00EB4F67">
      <w:pPr>
        <w:pStyle w:val="BlockQuote"/>
        <w:rPr>
          <w:sz w:val="20"/>
        </w:rPr>
      </w:pPr>
      <w:r w:rsidRPr="000605BC">
        <w:rPr>
          <w:sz w:val="20"/>
        </w:rPr>
        <w:t>Countries should establish a financial intelligence unit (FIU) that serves as a national centre for the receipt and analysis of: (a) suspicious transaction reports; and (b) other information relevant to money laundering, associated predicate offences and terrorist financing, and for the dissemination of the results of that analysis. The FIU should be able to obtain additional information from reporting entities, and should have access on a timely basis to the financial, administrative and law enforcement information that it requires to undertake its functions properly.</w:t>
      </w:r>
    </w:p>
    <w:p w14:paraId="2EF204CA" w14:textId="38F7D609" w:rsidR="004A679D" w:rsidRPr="000605BC" w:rsidRDefault="00CD256A" w:rsidP="0049424D">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 xml:space="preserve">There is considerable scope available to states in implementing this recommendation. All that is strictly required is the creation of a central organization that collects and analyzes reports of suspicious transactions and </w:t>
      </w:r>
      <w:r w:rsidR="003A6F8D" w:rsidRPr="000605BC">
        <w:rPr>
          <w:rFonts w:eastAsiaTheme="minorEastAsia" w:cs="Times New Roman"/>
          <w:sz w:val="20"/>
          <w:lang w:val="en-US" w:eastAsia="ja-JP"/>
        </w:rPr>
        <w:t>“</w:t>
      </w:r>
      <w:r w:rsidRPr="000605BC">
        <w:rPr>
          <w:rFonts w:eastAsiaTheme="minorEastAsia" w:cs="Times New Roman"/>
          <w:sz w:val="20"/>
          <w:lang w:val="en-US" w:eastAsia="ja-JP"/>
        </w:rPr>
        <w:t>other information.</w:t>
      </w:r>
      <w:r w:rsidR="003A6F8D" w:rsidRPr="000605BC">
        <w:rPr>
          <w:rFonts w:eastAsiaTheme="minorEastAsia" w:cs="Times New Roman"/>
          <w:sz w:val="20"/>
          <w:lang w:val="en-US" w:eastAsia="ja-JP"/>
        </w:rPr>
        <w:t>”</w:t>
      </w:r>
      <w:r w:rsidRPr="000605BC">
        <w:rPr>
          <w:rFonts w:eastAsiaTheme="minorEastAsia" w:cs="Times New Roman"/>
          <w:sz w:val="20"/>
          <w:lang w:val="en-US" w:eastAsia="ja-JP"/>
        </w:rPr>
        <w:t xml:space="preserve"> Some states have chosen to create FIUs with a broad range of powers, while others have taken a more minimal approach. Furthermore, there is nothing in the recommendation to indicate how the FIU should relate to other government agencies, or who it should report to. States have made different choices in this regard as well. The following section briefly discusses and compares the FIUs created by the UK, the US and Canada respectively. </w:t>
      </w:r>
    </w:p>
    <w:p w14:paraId="62662831" w14:textId="709AA3CE" w:rsidR="00E4083B" w:rsidRPr="000605BC" w:rsidRDefault="00E4083B" w:rsidP="00916A81">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The US FIU is known as the Financial Crimes Enforcement Network (</w:t>
      </w:r>
      <w:proofErr w:type="spellStart"/>
      <w:r w:rsidRPr="000605BC">
        <w:rPr>
          <w:rFonts w:eastAsiaTheme="minorEastAsia" w:cs="Times New Roman"/>
          <w:sz w:val="20"/>
          <w:lang w:val="en-US" w:eastAsia="ja-JP"/>
        </w:rPr>
        <w:t>F</w:t>
      </w:r>
      <w:r w:rsidR="00702A66" w:rsidRPr="000605BC">
        <w:rPr>
          <w:rFonts w:eastAsiaTheme="minorEastAsia" w:cs="Times New Roman"/>
          <w:sz w:val="20"/>
          <w:lang w:val="en-US" w:eastAsia="ja-JP"/>
        </w:rPr>
        <w:t>in</w:t>
      </w:r>
      <w:r w:rsidRPr="000605BC">
        <w:rPr>
          <w:rFonts w:eastAsiaTheme="minorEastAsia" w:cs="Times New Roman"/>
          <w:sz w:val="20"/>
          <w:lang w:val="en-US" w:eastAsia="ja-JP"/>
        </w:rPr>
        <w:t>CEN</w:t>
      </w:r>
      <w:proofErr w:type="spellEnd"/>
      <w:r w:rsidRPr="000605BC">
        <w:rPr>
          <w:rFonts w:eastAsiaTheme="minorEastAsia" w:cs="Times New Roman"/>
          <w:sz w:val="20"/>
          <w:lang w:val="en-US" w:eastAsia="ja-JP"/>
        </w:rPr>
        <w:t>).</w:t>
      </w:r>
      <w:r w:rsidRPr="000605BC">
        <w:rPr>
          <w:rStyle w:val="FootnoteReference"/>
          <w:rFonts w:eastAsiaTheme="minorEastAsia" w:cs="Times New Roman"/>
          <w:sz w:val="20"/>
          <w:lang w:val="en-US" w:eastAsia="ja-JP"/>
        </w:rPr>
        <w:footnoteReference w:id="68"/>
      </w:r>
      <w:r w:rsidR="005711A9" w:rsidRPr="000605BC">
        <w:rPr>
          <w:rFonts w:eastAsiaTheme="minorEastAsia" w:cs="Times New Roman"/>
          <w:sz w:val="20"/>
          <w:lang w:val="en-US" w:eastAsia="ja-JP"/>
        </w:rPr>
        <w:t xml:space="preserve"> Canada, displaying </w:t>
      </w:r>
      <w:r w:rsidRPr="000605BC">
        <w:rPr>
          <w:rFonts w:eastAsiaTheme="minorEastAsia" w:cs="Times New Roman"/>
          <w:sz w:val="20"/>
          <w:lang w:val="en-US" w:eastAsia="ja-JP"/>
        </w:rPr>
        <w:t>US influence, chose the name Financial Transactions and Reports Analysis Centre of Canada (FINTRAC).</w:t>
      </w:r>
      <w:r w:rsidRPr="000605BC">
        <w:rPr>
          <w:rStyle w:val="FootnoteReference"/>
          <w:rFonts w:eastAsiaTheme="minorEastAsia" w:cs="Times New Roman"/>
          <w:sz w:val="20"/>
          <w:lang w:val="en-US" w:eastAsia="ja-JP"/>
        </w:rPr>
        <w:footnoteReference w:id="69"/>
      </w:r>
      <w:r w:rsidRPr="000605BC">
        <w:rPr>
          <w:rFonts w:eastAsiaTheme="minorEastAsia" w:cs="Times New Roman"/>
          <w:sz w:val="20"/>
          <w:lang w:val="en-US" w:eastAsia="ja-JP"/>
        </w:rPr>
        <w:t xml:space="preserve"> The UK, taking a mor</w:t>
      </w:r>
      <w:r w:rsidR="0049424D" w:rsidRPr="000605BC">
        <w:rPr>
          <w:rFonts w:eastAsiaTheme="minorEastAsia" w:cs="Times New Roman"/>
          <w:sz w:val="20"/>
          <w:lang w:val="en-US" w:eastAsia="ja-JP"/>
        </w:rPr>
        <w:t>e prosaic approach, named</w:t>
      </w:r>
      <w:r w:rsidRPr="000605BC">
        <w:rPr>
          <w:rFonts w:eastAsiaTheme="minorEastAsia" w:cs="Times New Roman"/>
          <w:sz w:val="20"/>
          <w:lang w:val="en-US" w:eastAsia="ja-JP"/>
        </w:rPr>
        <w:t xml:space="preserve"> </w:t>
      </w:r>
      <w:r w:rsidR="00BA001C" w:rsidRPr="000605BC">
        <w:rPr>
          <w:rFonts w:eastAsiaTheme="minorEastAsia" w:cs="Times New Roman"/>
          <w:sz w:val="20"/>
          <w:lang w:val="en-US" w:eastAsia="ja-JP"/>
        </w:rPr>
        <w:t xml:space="preserve">its FIU </w:t>
      </w:r>
      <w:r w:rsidRPr="000605BC">
        <w:rPr>
          <w:rFonts w:eastAsiaTheme="minorEastAsia" w:cs="Times New Roman"/>
          <w:sz w:val="20"/>
          <w:lang w:val="en-US" w:eastAsia="ja-JP"/>
        </w:rPr>
        <w:t>the UK Financial Intelligence Unit (UKFIU).</w:t>
      </w:r>
      <w:r w:rsidRPr="000605BC">
        <w:rPr>
          <w:rStyle w:val="FootnoteReference"/>
          <w:rFonts w:eastAsiaTheme="minorEastAsia" w:cs="Times New Roman"/>
          <w:sz w:val="20"/>
          <w:lang w:val="en-US" w:eastAsia="ja-JP"/>
        </w:rPr>
        <w:footnoteReference w:id="70"/>
      </w:r>
      <w:r w:rsidRPr="000605BC">
        <w:rPr>
          <w:rFonts w:eastAsiaTheme="minorEastAsia" w:cs="Times New Roman"/>
          <w:sz w:val="20"/>
          <w:lang w:val="en-US" w:eastAsia="ja-JP"/>
        </w:rPr>
        <w:t xml:space="preserve"> </w:t>
      </w:r>
      <w:proofErr w:type="spellStart"/>
      <w:r w:rsidR="00A360EF" w:rsidRPr="000605BC">
        <w:rPr>
          <w:rFonts w:eastAsiaTheme="minorEastAsia" w:cs="Times New Roman"/>
          <w:sz w:val="20"/>
          <w:lang w:val="en-US" w:eastAsia="ja-JP"/>
        </w:rPr>
        <w:t>F</w:t>
      </w:r>
      <w:r w:rsidR="00702A66" w:rsidRPr="000605BC">
        <w:rPr>
          <w:rFonts w:eastAsiaTheme="minorEastAsia" w:cs="Times New Roman"/>
          <w:sz w:val="20"/>
          <w:lang w:val="en-US" w:eastAsia="ja-JP"/>
        </w:rPr>
        <w:t>in</w:t>
      </w:r>
      <w:r w:rsidR="00A360EF" w:rsidRPr="000605BC">
        <w:rPr>
          <w:rFonts w:eastAsiaTheme="minorEastAsia" w:cs="Times New Roman"/>
          <w:sz w:val="20"/>
          <w:lang w:val="en-US" w:eastAsia="ja-JP"/>
        </w:rPr>
        <w:t>CEN</w:t>
      </w:r>
      <w:proofErr w:type="spellEnd"/>
      <w:r w:rsidR="00A360EF" w:rsidRPr="000605BC">
        <w:rPr>
          <w:rFonts w:eastAsiaTheme="minorEastAsia" w:cs="Times New Roman"/>
          <w:sz w:val="20"/>
          <w:lang w:val="en-US" w:eastAsia="ja-JP"/>
        </w:rPr>
        <w:t xml:space="preserve"> and FINTRAC are independent organizations that report</w:t>
      </w:r>
      <w:r w:rsidR="00E7226F" w:rsidRPr="000605BC">
        <w:rPr>
          <w:rFonts w:eastAsiaTheme="minorEastAsia" w:cs="Times New Roman"/>
          <w:sz w:val="20"/>
          <w:lang w:val="en-US" w:eastAsia="ja-JP"/>
        </w:rPr>
        <w:t xml:space="preserve"> through</w:t>
      </w:r>
      <w:r w:rsidR="00A360EF" w:rsidRPr="000605BC">
        <w:rPr>
          <w:rFonts w:eastAsiaTheme="minorEastAsia" w:cs="Times New Roman"/>
          <w:sz w:val="20"/>
          <w:lang w:val="en-US" w:eastAsia="ja-JP"/>
        </w:rPr>
        <w:t xml:space="preserve"> the financial arms of their respective states. </w:t>
      </w:r>
      <w:proofErr w:type="spellStart"/>
      <w:r w:rsidR="00A360EF" w:rsidRPr="000605BC">
        <w:rPr>
          <w:rFonts w:eastAsiaTheme="minorEastAsia" w:cs="Times New Roman"/>
          <w:sz w:val="20"/>
          <w:lang w:val="en-US" w:eastAsia="ja-JP"/>
        </w:rPr>
        <w:t>F</w:t>
      </w:r>
      <w:r w:rsidR="00702A66" w:rsidRPr="000605BC">
        <w:rPr>
          <w:rFonts w:eastAsiaTheme="minorEastAsia" w:cs="Times New Roman"/>
          <w:sz w:val="20"/>
          <w:lang w:val="en-US" w:eastAsia="ja-JP"/>
        </w:rPr>
        <w:t>in</w:t>
      </w:r>
      <w:r w:rsidR="00A360EF" w:rsidRPr="000605BC">
        <w:rPr>
          <w:rFonts w:eastAsiaTheme="minorEastAsia" w:cs="Times New Roman"/>
          <w:sz w:val="20"/>
          <w:lang w:val="en-US" w:eastAsia="ja-JP"/>
        </w:rPr>
        <w:t>CEN</w:t>
      </w:r>
      <w:proofErr w:type="spellEnd"/>
      <w:r w:rsidR="00A360EF" w:rsidRPr="000605BC">
        <w:rPr>
          <w:rFonts w:eastAsiaTheme="minorEastAsia" w:cs="Times New Roman"/>
          <w:sz w:val="20"/>
          <w:lang w:val="en-US" w:eastAsia="ja-JP"/>
        </w:rPr>
        <w:t xml:space="preserve"> reports to the Secretary of the Treasury</w:t>
      </w:r>
      <w:r w:rsidR="00A360EF" w:rsidRPr="000605BC">
        <w:rPr>
          <w:rStyle w:val="FootnoteReference"/>
          <w:rFonts w:eastAsiaTheme="minorEastAsia" w:cs="Times New Roman"/>
          <w:sz w:val="20"/>
          <w:lang w:val="en-US" w:eastAsia="ja-JP"/>
        </w:rPr>
        <w:footnoteReference w:id="71"/>
      </w:r>
      <w:r w:rsidR="00A360EF" w:rsidRPr="000605BC">
        <w:rPr>
          <w:rFonts w:eastAsiaTheme="minorEastAsia" w:cs="Times New Roman"/>
          <w:sz w:val="20"/>
          <w:lang w:val="en-US" w:eastAsia="ja-JP"/>
        </w:rPr>
        <w:t xml:space="preserve"> and FINTRAC to the Minister of Finance.</w:t>
      </w:r>
      <w:r w:rsidR="00A360EF" w:rsidRPr="000605BC">
        <w:rPr>
          <w:rStyle w:val="FootnoteReference"/>
          <w:rFonts w:eastAsia="Times New Roman" w:cs="Times New Roman"/>
          <w:color w:val="000000"/>
          <w:sz w:val="20"/>
          <w:shd w:val="clear" w:color="auto" w:fill="FFFFFF"/>
        </w:rPr>
        <w:footnoteReference w:id="72"/>
      </w:r>
      <w:r w:rsidR="00A360EF" w:rsidRPr="000605BC">
        <w:rPr>
          <w:rFonts w:eastAsiaTheme="minorEastAsia" w:cs="Times New Roman"/>
          <w:sz w:val="20"/>
          <w:lang w:val="en-US" w:eastAsia="ja-JP"/>
        </w:rPr>
        <w:t xml:space="preserve"> In contrast, UKFIU is situated within the law enforcement apparatus of the UK (in an indication of this embedded role, the organization does not have its own website). It forms part of the National Crime Agency (NCA). The NCA website describes its function as follows:</w:t>
      </w:r>
    </w:p>
    <w:p w14:paraId="2199895C" w14:textId="2D4D1440" w:rsidR="00985D7D" w:rsidRPr="000605BC" w:rsidRDefault="00985D7D" w:rsidP="00EB4F67">
      <w:pPr>
        <w:pStyle w:val="BlockQuote"/>
        <w:rPr>
          <w:sz w:val="20"/>
        </w:rPr>
      </w:pPr>
      <w:r w:rsidRPr="000605BC">
        <w:rPr>
          <w:sz w:val="20"/>
        </w:rPr>
        <w:t xml:space="preserve">The NCA has a wide remit. We tackle serious and organised crime, strengthen our borders, fight fraud and </w:t>
      </w:r>
      <w:proofErr w:type="spellStart"/>
      <w:r w:rsidRPr="000605BC">
        <w:rPr>
          <w:sz w:val="20"/>
        </w:rPr>
        <w:t>cyber crime</w:t>
      </w:r>
      <w:proofErr w:type="spellEnd"/>
      <w:r w:rsidRPr="000605BC">
        <w:rPr>
          <w:sz w:val="20"/>
        </w:rPr>
        <w:t>, and protect children and young people from sexual abuse and exploitation. We provide leadership in these areas through our organised crime, border policing, economic crime and CEOP commands, the National Cyber Crime Unit and specialist capability teams. The NCA works closely with partners to deliver operational results. We have an international role to cut serious and organised crime impacting on the UK through our network of international liaison officers.</w:t>
      </w:r>
      <w:r w:rsidR="00B27B9F" w:rsidRPr="000605BC">
        <w:rPr>
          <w:rStyle w:val="FootnoteReference"/>
          <w:color w:val="2D261F"/>
          <w:sz w:val="20"/>
        </w:rPr>
        <w:footnoteReference w:id="73"/>
      </w:r>
    </w:p>
    <w:p w14:paraId="31911CF7" w14:textId="284034DA" w:rsidR="00A360EF" w:rsidRPr="000605BC" w:rsidRDefault="00A360EF" w:rsidP="00EB4F67">
      <w:pPr>
        <w:rPr>
          <w:sz w:val="20"/>
        </w:rPr>
      </w:pPr>
      <w:r w:rsidRPr="000605BC">
        <w:rPr>
          <w:sz w:val="20"/>
        </w:rPr>
        <w:t xml:space="preserve">Had the US and Canada taken a similar approach, their FIUs would have been created as specialist bodies within the </w:t>
      </w:r>
      <w:r w:rsidR="0033512A" w:rsidRPr="000605BC">
        <w:rPr>
          <w:sz w:val="20"/>
        </w:rPr>
        <w:t>Federal Bureau of Investigation (</w:t>
      </w:r>
      <w:r w:rsidRPr="000605BC">
        <w:rPr>
          <w:sz w:val="20"/>
        </w:rPr>
        <w:t>FBI</w:t>
      </w:r>
      <w:r w:rsidR="0033512A" w:rsidRPr="000605BC">
        <w:rPr>
          <w:sz w:val="20"/>
        </w:rPr>
        <w:t>)</w:t>
      </w:r>
      <w:r w:rsidRPr="000605BC">
        <w:rPr>
          <w:sz w:val="20"/>
        </w:rPr>
        <w:t xml:space="preserve"> and </w:t>
      </w:r>
      <w:r w:rsidR="0033512A" w:rsidRPr="000605BC">
        <w:rPr>
          <w:sz w:val="20"/>
        </w:rPr>
        <w:t>Royal Canadian Mounted Police (</w:t>
      </w:r>
      <w:r w:rsidRPr="000605BC">
        <w:rPr>
          <w:sz w:val="20"/>
        </w:rPr>
        <w:t>RCMP</w:t>
      </w:r>
      <w:r w:rsidR="0033512A" w:rsidRPr="000605BC">
        <w:rPr>
          <w:sz w:val="20"/>
        </w:rPr>
        <w:t>)</w:t>
      </w:r>
      <w:r w:rsidRPr="000605BC">
        <w:rPr>
          <w:sz w:val="20"/>
        </w:rPr>
        <w:t xml:space="preserve">. Instead, FINCEN and FINTRAC have considerably more autonomy from law enforcement than UKFIU, as well as </w:t>
      </w:r>
      <w:r w:rsidR="00437D6E" w:rsidRPr="000605BC">
        <w:rPr>
          <w:sz w:val="20"/>
        </w:rPr>
        <w:t xml:space="preserve">broader </w:t>
      </w:r>
      <w:r w:rsidRPr="000605BC">
        <w:rPr>
          <w:sz w:val="20"/>
        </w:rPr>
        <w:t>powers.</w:t>
      </w:r>
      <w:r w:rsidR="002822D1" w:rsidRPr="000605BC">
        <w:rPr>
          <w:sz w:val="20"/>
        </w:rPr>
        <w:t xml:space="preserve">  </w:t>
      </w:r>
    </w:p>
    <w:p w14:paraId="749222EA" w14:textId="0BD0962F" w:rsidR="0050310B" w:rsidRPr="000605BC" w:rsidRDefault="0050310B" w:rsidP="00BD57FE">
      <w:pPr>
        <w:pStyle w:val="Heading3"/>
        <w:rPr>
          <w:sz w:val="22"/>
          <w:lang w:val="en-US" w:eastAsia="ja-JP"/>
        </w:rPr>
      </w:pPr>
      <w:bookmarkStart w:id="53" w:name="_Toc287093735"/>
      <w:bookmarkStart w:id="54" w:name="_Toc419901553"/>
      <w:r w:rsidRPr="000605BC">
        <w:rPr>
          <w:sz w:val="22"/>
          <w:lang w:val="en-US" w:eastAsia="ja-JP"/>
        </w:rPr>
        <w:t>US</w:t>
      </w:r>
      <w:bookmarkEnd w:id="53"/>
      <w:bookmarkEnd w:id="54"/>
    </w:p>
    <w:p w14:paraId="305A8006" w14:textId="667BF82D" w:rsidR="00A360EF" w:rsidRPr="000605BC" w:rsidRDefault="00702A66" w:rsidP="009257D9">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 xml:space="preserve">Established under the </w:t>
      </w:r>
      <w:r w:rsidRPr="000605BC">
        <w:rPr>
          <w:rFonts w:eastAsiaTheme="minorEastAsia" w:cs="Times New Roman"/>
          <w:i/>
          <w:sz w:val="20"/>
          <w:lang w:val="en-US" w:eastAsia="ja-JP"/>
        </w:rPr>
        <w:t xml:space="preserve">Bank Secrecy Act, </w:t>
      </w:r>
      <w:r w:rsidR="00287281" w:rsidRPr="000605BC">
        <w:rPr>
          <w:rFonts w:eastAsiaTheme="minorEastAsia" w:cs="Times New Roman"/>
          <w:sz w:val="20"/>
          <w:lang w:val="en-US" w:eastAsia="ja-JP"/>
        </w:rPr>
        <w:t xml:space="preserve">FINCEN </w:t>
      </w:r>
      <w:r w:rsidR="00412FD2" w:rsidRPr="000605BC">
        <w:rPr>
          <w:rFonts w:eastAsiaTheme="minorEastAsia" w:cs="Times New Roman"/>
          <w:sz w:val="20"/>
          <w:lang w:val="en-US" w:eastAsia="ja-JP"/>
        </w:rPr>
        <w:t>performs a variety of functions, covering data gathering, regulation, research and analysis. Its website describes the organization’s powers as follows:</w:t>
      </w:r>
    </w:p>
    <w:p w14:paraId="199CC60F" w14:textId="77777777" w:rsidR="00C707EB" w:rsidRPr="000605BC" w:rsidRDefault="00C707EB" w:rsidP="00EB4F67">
      <w:pPr>
        <w:pStyle w:val="BlockQuote"/>
        <w:rPr>
          <w:sz w:val="20"/>
        </w:rPr>
      </w:pPr>
      <w:r w:rsidRPr="000605BC">
        <w:rPr>
          <w:sz w:val="20"/>
        </w:rPr>
        <w:t xml:space="preserve">Congress has given </w:t>
      </w:r>
      <w:proofErr w:type="spellStart"/>
      <w:r w:rsidRPr="000605BC">
        <w:rPr>
          <w:sz w:val="20"/>
        </w:rPr>
        <w:t>FinCEN</w:t>
      </w:r>
      <w:proofErr w:type="spellEnd"/>
      <w:r w:rsidRPr="000605BC">
        <w:rPr>
          <w:sz w:val="20"/>
        </w:rPr>
        <w:t xml:space="preserve"> certain duties and responsibilities for the central collection, analysis, and dissemination of data reported under </w:t>
      </w:r>
      <w:proofErr w:type="spellStart"/>
      <w:r w:rsidRPr="000605BC">
        <w:rPr>
          <w:sz w:val="20"/>
        </w:rPr>
        <w:t>FinCEN's</w:t>
      </w:r>
      <w:proofErr w:type="spellEnd"/>
      <w:r w:rsidRPr="000605BC">
        <w:rPr>
          <w:sz w:val="20"/>
        </w:rPr>
        <w:t xml:space="preserve"> regulations and other related data in support of government and financial industry partners at the Federal, State, local, and international levels. To fulfill its responsibilities toward the detection and deterrence of financial crime, </w:t>
      </w:r>
      <w:proofErr w:type="spellStart"/>
      <w:r w:rsidRPr="000605BC">
        <w:rPr>
          <w:sz w:val="20"/>
        </w:rPr>
        <w:t>FinCEN</w:t>
      </w:r>
      <w:proofErr w:type="spellEnd"/>
      <w:r w:rsidRPr="000605BC">
        <w:rPr>
          <w:sz w:val="20"/>
        </w:rPr>
        <w:t>:</w:t>
      </w:r>
    </w:p>
    <w:p w14:paraId="2E66EA98" w14:textId="77777777" w:rsidR="00C707EB" w:rsidRPr="000605BC" w:rsidRDefault="00C707EB" w:rsidP="008004ED">
      <w:pPr>
        <w:pStyle w:val="BlockQuote"/>
        <w:numPr>
          <w:ilvl w:val="0"/>
          <w:numId w:val="6"/>
        </w:numPr>
        <w:spacing w:before="60" w:after="0"/>
        <w:jc w:val="left"/>
        <w:rPr>
          <w:sz w:val="20"/>
        </w:rPr>
      </w:pPr>
      <w:r w:rsidRPr="000605BC">
        <w:rPr>
          <w:sz w:val="20"/>
        </w:rPr>
        <w:t>Issues and interprets regulations authorized by statute;</w:t>
      </w:r>
    </w:p>
    <w:p w14:paraId="3D429097" w14:textId="77777777" w:rsidR="00C707EB" w:rsidRPr="000605BC" w:rsidRDefault="00C707EB" w:rsidP="008004ED">
      <w:pPr>
        <w:pStyle w:val="BlockQuote"/>
        <w:numPr>
          <w:ilvl w:val="0"/>
          <w:numId w:val="6"/>
        </w:numPr>
        <w:spacing w:before="60" w:after="0"/>
        <w:jc w:val="left"/>
        <w:rPr>
          <w:sz w:val="20"/>
        </w:rPr>
      </w:pPr>
      <w:r w:rsidRPr="000605BC">
        <w:rPr>
          <w:sz w:val="20"/>
        </w:rPr>
        <w:t>Supports and enforces compliance with those regulations;</w:t>
      </w:r>
    </w:p>
    <w:p w14:paraId="3DB1B800" w14:textId="77777777" w:rsidR="00C707EB" w:rsidRPr="000605BC" w:rsidRDefault="00C707EB" w:rsidP="008004ED">
      <w:pPr>
        <w:pStyle w:val="BlockQuote"/>
        <w:numPr>
          <w:ilvl w:val="0"/>
          <w:numId w:val="6"/>
        </w:numPr>
        <w:spacing w:before="60" w:after="0"/>
        <w:jc w:val="left"/>
        <w:rPr>
          <w:sz w:val="20"/>
        </w:rPr>
      </w:pPr>
      <w:r w:rsidRPr="000605BC">
        <w:rPr>
          <w:sz w:val="20"/>
        </w:rPr>
        <w:t>Supports, coordinates, and analyzes data regarding compliance examination functions delegated to other Federal regulators;</w:t>
      </w:r>
    </w:p>
    <w:p w14:paraId="65ECB090" w14:textId="77777777" w:rsidR="00C707EB" w:rsidRPr="000605BC" w:rsidRDefault="00C707EB" w:rsidP="008004ED">
      <w:pPr>
        <w:pStyle w:val="BlockQuote"/>
        <w:numPr>
          <w:ilvl w:val="0"/>
          <w:numId w:val="6"/>
        </w:numPr>
        <w:spacing w:before="60" w:after="0"/>
        <w:jc w:val="left"/>
        <w:rPr>
          <w:sz w:val="20"/>
        </w:rPr>
      </w:pPr>
      <w:r w:rsidRPr="000605BC">
        <w:rPr>
          <w:sz w:val="20"/>
        </w:rPr>
        <w:t xml:space="preserve">Manages the collection, processing, storage, dissemination, and protection of data filed under </w:t>
      </w:r>
      <w:proofErr w:type="spellStart"/>
      <w:r w:rsidRPr="000605BC">
        <w:rPr>
          <w:sz w:val="20"/>
        </w:rPr>
        <w:t>FinCEN's</w:t>
      </w:r>
      <w:proofErr w:type="spellEnd"/>
      <w:r w:rsidRPr="000605BC">
        <w:rPr>
          <w:sz w:val="20"/>
        </w:rPr>
        <w:t xml:space="preserve"> reporting requirements;</w:t>
      </w:r>
    </w:p>
    <w:p w14:paraId="443E78FA" w14:textId="77777777" w:rsidR="00C707EB" w:rsidRPr="000605BC" w:rsidRDefault="00C707EB" w:rsidP="008004ED">
      <w:pPr>
        <w:pStyle w:val="BlockQuote"/>
        <w:numPr>
          <w:ilvl w:val="0"/>
          <w:numId w:val="6"/>
        </w:numPr>
        <w:spacing w:before="60" w:after="0"/>
        <w:jc w:val="left"/>
        <w:rPr>
          <w:sz w:val="20"/>
        </w:rPr>
      </w:pPr>
      <w:r w:rsidRPr="000605BC">
        <w:rPr>
          <w:sz w:val="20"/>
        </w:rPr>
        <w:t xml:space="preserve">Maintains a government-wide access service to </w:t>
      </w:r>
      <w:proofErr w:type="spellStart"/>
      <w:r w:rsidRPr="000605BC">
        <w:rPr>
          <w:sz w:val="20"/>
        </w:rPr>
        <w:t>FinCEN's</w:t>
      </w:r>
      <w:proofErr w:type="spellEnd"/>
      <w:r w:rsidRPr="000605BC">
        <w:rPr>
          <w:sz w:val="20"/>
        </w:rPr>
        <w:t xml:space="preserve"> data, and networks users with overlapping interests;</w:t>
      </w:r>
    </w:p>
    <w:p w14:paraId="2BB3E18B" w14:textId="77777777" w:rsidR="00C707EB" w:rsidRPr="000605BC" w:rsidRDefault="00C707EB" w:rsidP="008004ED">
      <w:pPr>
        <w:pStyle w:val="BlockQuote"/>
        <w:numPr>
          <w:ilvl w:val="0"/>
          <w:numId w:val="6"/>
        </w:numPr>
        <w:spacing w:before="60" w:after="0"/>
        <w:jc w:val="left"/>
        <w:rPr>
          <w:sz w:val="20"/>
        </w:rPr>
      </w:pPr>
      <w:r w:rsidRPr="000605BC">
        <w:rPr>
          <w:sz w:val="20"/>
        </w:rPr>
        <w:t>Supports law enforcement investigations and prosecutions;</w:t>
      </w:r>
    </w:p>
    <w:p w14:paraId="2EE0595B" w14:textId="77777777" w:rsidR="00C707EB" w:rsidRPr="000605BC" w:rsidRDefault="00C707EB" w:rsidP="008004ED">
      <w:pPr>
        <w:pStyle w:val="BlockQuote"/>
        <w:numPr>
          <w:ilvl w:val="0"/>
          <w:numId w:val="6"/>
        </w:numPr>
        <w:spacing w:before="60" w:after="0"/>
        <w:jc w:val="left"/>
        <w:rPr>
          <w:sz w:val="20"/>
        </w:rPr>
      </w:pPr>
      <w:r w:rsidRPr="000605BC">
        <w:rPr>
          <w:sz w:val="20"/>
        </w:rPr>
        <w:t>Synthesizes data to recommend internal and external allocation of resources to areas of greatest financial crime risk;</w:t>
      </w:r>
    </w:p>
    <w:p w14:paraId="6FD0B2F3" w14:textId="77777777" w:rsidR="00C707EB" w:rsidRPr="000605BC" w:rsidRDefault="00C707EB" w:rsidP="008004ED">
      <w:pPr>
        <w:pStyle w:val="BlockQuote"/>
        <w:numPr>
          <w:ilvl w:val="0"/>
          <w:numId w:val="6"/>
        </w:numPr>
        <w:spacing w:before="60" w:after="0"/>
        <w:jc w:val="left"/>
        <w:rPr>
          <w:sz w:val="20"/>
        </w:rPr>
      </w:pPr>
      <w:r w:rsidRPr="000605BC">
        <w:rPr>
          <w:sz w:val="20"/>
        </w:rPr>
        <w:t>Shares information and coordinates with foreign financial intelligence unit (FIU) counterparts on AML/CFT efforts; and</w:t>
      </w:r>
    </w:p>
    <w:p w14:paraId="00026E3E" w14:textId="7A606546" w:rsidR="00C707EB" w:rsidRPr="000605BC" w:rsidRDefault="00C707EB" w:rsidP="008004ED">
      <w:pPr>
        <w:pStyle w:val="BlockQuote"/>
        <w:numPr>
          <w:ilvl w:val="0"/>
          <w:numId w:val="6"/>
        </w:numPr>
        <w:spacing w:before="60" w:after="0"/>
        <w:jc w:val="left"/>
        <w:rPr>
          <w:sz w:val="20"/>
        </w:rPr>
      </w:pPr>
      <w:r w:rsidRPr="000605BC">
        <w:rPr>
          <w:sz w:val="20"/>
        </w:rPr>
        <w:t>Conducts analysis to support policymakers; law enforcement, regulatory, and intelligence agencies; FIUs; and the financial industry.</w:t>
      </w:r>
      <w:r w:rsidR="00B27B9F" w:rsidRPr="000605BC">
        <w:rPr>
          <w:rStyle w:val="FootnoteReference"/>
          <w:rFonts w:eastAsia="Times New Roman" w:cs="Times New Roman"/>
          <w:color w:val="000000"/>
          <w:sz w:val="20"/>
          <w:lang w:val="en-US"/>
        </w:rPr>
        <w:footnoteReference w:id="74"/>
      </w:r>
    </w:p>
    <w:p w14:paraId="68A44F4F" w14:textId="7CC8BD48" w:rsidR="00702A66" w:rsidRPr="000605BC" w:rsidRDefault="00777900" w:rsidP="00841C71">
      <w:pPr>
        <w:rPr>
          <w:rFonts w:eastAsia="Times New Roman" w:cs="Times New Roman"/>
          <w:color w:val="000000"/>
          <w:sz w:val="20"/>
          <w:szCs w:val="21"/>
          <w:lang w:val="en-US"/>
        </w:rPr>
      </w:pPr>
      <w:r w:rsidRPr="000605BC">
        <w:rPr>
          <w:rFonts w:eastAsia="Times New Roman" w:cs="Times New Roman"/>
          <w:color w:val="000000"/>
          <w:sz w:val="20"/>
          <w:szCs w:val="21"/>
          <w:lang w:val="en-US"/>
        </w:rPr>
        <w:t xml:space="preserve">Under the </w:t>
      </w:r>
      <w:r w:rsidRPr="000605BC">
        <w:rPr>
          <w:rFonts w:eastAsia="Times New Roman" w:cs="Times New Roman"/>
          <w:i/>
          <w:color w:val="000000"/>
          <w:sz w:val="20"/>
          <w:szCs w:val="21"/>
          <w:lang w:val="en-US"/>
        </w:rPr>
        <w:t xml:space="preserve">Bank Secrecy Act </w:t>
      </w:r>
      <w:r w:rsidRPr="000605BC">
        <w:rPr>
          <w:rFonts w:eastAsia="Times New Roman" w:cs="Times New Roman"/>
          <w:color w:val="000000"/>
          <w:sz w:val="20"/>
          <w:szCs w:val="21"/>
          <w:lang w:val="en-US"/>
        </w:rPr>
        <w:t>(</w:t>
      </w:r>
      <w:r w:rsidRPr="000605BC">
        <w:rPr>
          <w:rFonts w:eastAsia="Times New Roman" w:cs="Times New Roman"/>
          <w:i/>
          <w:color w:val="000000"/>
          <w:sz w:val="20"/>
          <w:szCs w:val="21"/>
          <w:lang w:val="en-US"/>
        </w:rPr>
        <w:t>BSA</w:t>
      </w:r>
      <w:r w:rsidRPr="000605BC">
        <w:rPr>
          <w:rFonts w:eastAsia="Times New Roman" w:cs="Times New Roman"/>
          <w:color w:val="000000"/>
          <w:sz w:val="20"/>
          <w:szCs w:val="21"/>
          <w:lang w:val="en-US"/>
        </w:rPr>
        <w:t xml:space="preserve">), </w:t>
      </w:r>
      <w:proofErr w:type="spellStart"/>
      <w:r w:rsidRPr="000605BC">
        <w:rPr>
          <w:rFonts w:eastAsia="Times New Roman" w:cs="Times New Roman"/>
          <w:color w:val="000000"/>
          <w:sz w:val="20"/>
          <w:szCs w:val="21"/>
          <w:lang w:val="en-US"/>
        </w:rPr>
        <w:t>FinCEN</w:t>
      </w:r>
      <w:proofErr w:type="spellEnd"/>
      <w:r w:rsidRPr="000605BC">
        <w:rPr>
          <w:rFonts w:eastAsia="Times New Roman" w:cs="Times New Roman"/>
          <w:color w:val="000000"/>
          <w:sz w:val="20"/>
          <w:szCs w:val="21"/>
          <w:lang w:val="en-US"/>
        </w:rPr>
        <w:t xml:space="preserve"> can bring enforcement actions for </w:t>
      </w:r>
      <w:r w:rsidRPr="000605BC">
        <w:rPr>
          <w:rFonts w:eastAsia="Times New Roman" w:cs="Times New Roman"/>
          <w:i/>
          <w:color w:val="000000"/>
          <w:sz w:val="20"/>
          <w:szCs w:val="21"/>
          <w:lang w:val="en-US"/>
        </w:rPr>
        <w:t xml:space="preserve">BSA </w:t>
      </w:r>
      <w:r w:rsidRPr="000605BC">
        <w:rPr>
          <w:rFonts w:eastAsia="Times New Roman" w:cs="Times New Roman"/>
          <w:color w:val="000000"/>
          <w:sz w:val="20"/>
          <w:szCs w:val="21"/>
          <w:lang w:val="en-US"/>
        </w:rPr>
        <w:t>violations.</w:t>
      </w:r>
      <w:r w:rsidRPr="000605BC">
        <w:rPr>
          <w:rStyle w:val="FootnoteReference"/>
          <w:rFonts w:eastAsia="Times New Roman" w:cs="Times New Roman"/>
          <w:color w:val="000000"/>
          <w:sz w:val="20"/>
          <w:szCs w:val="21"/>
          <w:lang w:val="en-US"/>
        </w:rPr>
        <w:footnoteReference w:id="75"/>
      </w:r>
      <w:r w:rsidRPr="000605BC">
        <w:rPr>
          <w:rFonts w:eastAsia="Times New Roman" w:cs="Times New Roman"/>
          <w:color w:val="000000"/>
          <w:sz w:val="20"/>
          <w:szCs w:val="21"/>
          <w:lang w:val="en-US"/>
        </w:rPr>
        <w:t xml:space="preserve"> For example, in May 2015, a </w:t>
      </w:r>
      <w:proofErr w:type="spellStart"/>
      <w:r w:rsidRPr="000605BC">
        <w:rPr>
          <w:rFonts w:eastAsia="Times New Roman" w:cs="Times New Roman"/>
          <w:color w:val="000000"/>
          <w:sz w:val="20"/>
          <w:szCs w:val="21"/>
          <w:lang w:val="en-US"/>
        </w:rPr>
        <w:t>FinCEN</w:t>
      </w:r>
      <w:proofErr w:type="spellEnd"/>
      <w:r w:rsidRPr="000605BC">
        <w:rPr>
          <w:rFonts w:eastAsia="Times New Roman" w:cs="Times New Roman"/>
          <w:color w:val="000000"/>
          <w:sz w:val="20"/>
          <w:szCs w:val="21"/>
          <w:lang w:val="en-US"/>
        </w:rPr>
        <w:t xml:space="preserve"> enforcement action led to the imposition of a $700,000 fine on a virtual currency exchange company that lacked an AML program.</w:t>
      </w:r>
      <w:r w:rsidRPr="000605BC">
        <w:rPr>
          <w:rStyle w:val="FootnoteReference"/>
          <w:rFonts w:eastAsia="Times New Roman" w:cs="Times New Roman"/>
          <w:color w:val="000000"/>
          <w:sz w:val="20"/>
          <w:szCs w:val="21"/>
          <w:lang w:val="en-US"/>
        </w:rPr>
        <w:footnoteReference w:id="76"/>
      </w:r>
      <w:r w:rsidRPr="000605BC">
        <w:rPr>
          <w:rFonts w:eastAsia="Times New Roman" w:cs="Times New Roman"/>
          <w:color w:val="000000"/>
          <w:sz w:val="20"/>
          <w:szCs w:val="21"/>
          <w:lang w:val="en-US"/>
        </w:rPr>
        <w:t xml:space="preserve"> In June 2015, </w:t>
      </w:r>
      <w:proofErr w:type="spellStart"/>
      <w:r w:rsidRPr="000605BC">
        <w:rPr>
          <w:rFonts w:eastAsia="Times New Roman" w:cs="Times New Roman"/>
          <w:color w:val="000000"/>
          <w:sz w:val="20"/>
          <w:szCs w:val="21"/>
          <w:lang w:val="en-US"/>
        </w:rPr>
        <w:t>FinCEN</w:t>
      </w:r>
      <w:proofErr w:type="spellEnd"/>
      <w:r w:rsidRPr="000605BC">
        <w:rPr>
          <w:rFonts w:eastAsia="Times New Roman" w:cs="Times New Roman"/>
          <w:color w:val="000000"/>
          <w:sz w:val="20"/>
          <w:szCs w:val="21"/>
          <w:lang w:val="en-US"/>
        </w:rPr>
        <w:t xml:space="preserve"> fined a casino in the Northern Mariana Islands $75 million for its failure to institute an AML program, hire compliance staff and create procedures for detecting suspicious transactions.</w:t>
      </w:r>
      <w:r w:rsidRPr="000605BC">
        <w:rPr>
          <w:rStyle w:val="FootnoteReference"/>
          <w:rFonts w:eastAsia="Times New Roman" w:cs="Times New Roman"/>
          <w:color w:val="000000"/>
          <w:sz w:val="20"/>
          <w:szCs w:val="21"/>
          <w:lang w:val="en-US"/>
        </w:rPr>
        <w:footnoteReference w:id="77"/>
      </w:r>
      <w:r w:rsidRPr="000605BC">
        <w:rPr>
          <w:rFonts w:eastAsia="Times New Roman" w:cs="Times New Roman"/>
          <w:color w:val="000000"/>
          <w:sz w:val="20"/>
          <w:szCs w:val="21"/>
          <w:lang w:val="en-US"/>
        </w:rPr>
        <w:t xml:space="preserve"> In </w:t>
      </w:r>
      <w:r w:rsidR="00702A66" w:rsidRPr="000605BC">
        <w:rPr>
          <w:rFonts w:eastAsia="Times New Roman" w:cs="Times New Roman"/>
          <w:color w:val="000000"/>
          <w:sz w:val="20"/>
          <w:szCs w:val="21"/>
          <w:lang w:val="en-US"/>
        </w:rPr>
        <w:t xml:space="preserve">July 2015, </w:t>
      </w:r>
      <w:proofErr w:type="spellStart"/>
      <w:r w:rsidR="00702A66" w:rsidRPr="000605BC">
        <w:rPr>
          <w:rFonts w:eastAsia="Times New Roman" w:cs="Times New Roman"/>
          <w:color w:val="000000"/>
          <w:sz w:val="20"/>
          <w:szCs w:val="21"/>
          <w:lang w:val="en-US"/>
        </w:rPr>
        <w:t>FinCEN</w:t>
      </w:r>
      <w:proofErr w:type="spellEnd"/>
      <w:r w:rsidR="00702A66" w:rsidRPr="000605BC">
        <w:rPr>
          <w:rFonts w:eastAsia="Times New Roman" w:cs="Times New Roman"/>
          <w:color w:val="000000"/>
          <w:sz w:val="20"/>
          <w:szCs w:val="21"/>
          <w:lang w:val="en-US"/>
        </w:rPr>
        <w:t xml:space="preserve"> imposed </w:t>
      </w:r>
      <w:r w:rsidR="003A6F8D" w:rsidRPr="000605BC">
        <w:rPr>
          <w:rFonts w:eastAsia="Times New Roman" w:cs="Times New Roman"/>
          <w:color w:val="000000"/>
          <w:sz w:val="20"/>
          <w:szCs w:val="21"/>
          <w:lang w:val="en-US"/>
        </w:rPr>
        <w:t>“</w:t>
      </w:r>
      <w:r w:rsidR="00702A66" w:rsidRPr="000605BC">
        <w:rPr>
          <w:rFonts w:eastAsia="Times New Roman" w:cs="Times New Roman"/>
          <w:color w:val="000000"/>
          <w:sz w:val="20"/>
          <w:szCs w:val="21"/>
          <w:lang w:val="en-US"/>
        </w:rPr>
        <w:t>special measure five</w:t>
      </w:r>
      <w:r w:rsidR="003A6F8D" w:rsidRPr="000605BC">
        <w:rPr>
          <w:rFonts w:eastAsia="Times New Roman" w:cs="Times New Roman"/>
          <w:color w:val="000000"/>
          <w:sz w:val="20"/>
          <w:szCs w:val="21"/>
          <w:lang w:val="en-US"/>
        </w:rPr>
        <w:t>”</w:t>
      </w:r>
      <w:r w:rsidR="00702A66" w:rsidRPr="000605BC">
        <w:rPr>
          <w:rFonts w:eastAsia="Times New Roman" w:cs="Times New Roman"/>
          <w:color w:val="000000"/>
          <w:sz w:val="20"/>
          <w:szCs w:val="21"/>
          <w:lang w:val="en-US"/>
        </w:rPr>
        <w:t xml:space="preserve"> on Tanzania-based FBME Bank Ltd, meaning US financial institutions are barred from </w:t>
      </w:r>
      <w:r w:rsidR="003A6F8D" w:rsidRPr="000605BC">
        <w:rPr>
          <w:rFonts w:eastAsia="Times New Roman" w:cs="Times New Roman"/>
          <w:color w:val="000000"/>
          <w:sz w:val="20"/>
          <w:szCs w:val="21"/>
          <w:lang w:val="en-US"/>
        </w:rPr>
        <w:t>“</w:t>
      </w:r>
      <w:r w:rsidR="00702A66" w:rsidRPr="000605BC">
        <w:rPr>
          <w:rFonts w:eastAsia="Times New Roman" w:cs="Times New Roman"/>
          <w:color w:val="000000"/>
          <w:sz w:val="20"/>
          <w:szCs w:val="21"/>
          <w:lang w:val="en-US"/>
        </w:rPr>
        <w:t>opening or maintaining correspondent accounts or payable through accounts for or on behalf of FBME.</w:t>
      </w:r>
      <w:r w:rsidR="003A6F8D" w:rsidRPr="000605BC">
        <w:rPr>
          <w:rFonts w:eastAsia="Times New Roman" w:cs="Times New Roman"/>
          <w:color w:val="000000"/>
          <w:sz w:val="20"/>
          <w:szCs w:val="21"/>
          <w:lang w:val="en-US"/>
        </w:rPr>
        <w:t>”</w:t>
      </w:r>
      <w:r w:rsidRPr="000605BC">
        <w:rPr>
          <w:rStyle w:val="FootnoteReference"/>
          <w:rFonts w:eastAsia="Times New Roman" w:cs="Times New Roman"/>
          <w:color w:val="000000"/>
          <w:sz w:val="20"/>
          <w:szCs w:val="21"/>
          <w:lang w:val="en-US"/>
        </w:rPr>
        <w:footnoteReference w:id="78"/>
      </w:r>
      <w:r w:rsidR="00702A66" w:rsidRPr="000605BC">
        <w:rPr>
          <w:rFonts w:eastAsia="Times New Roman" w:cs="Times New Roman"/>
          <w:color w:val="000000"/>
          <w:sz w:val="20"/>
          <w:szCs w:val="21"/>
          <w:lang w:val="en-US"/>
        </w:rPr>
        <w:t xml:space="preserve"> </w:t>
      </w:r>
      <w:proofErr w:type="spellStart"/>
      <w:r w:rsidR="00702A66" w:rsidRPr="000605BC">
        <w:rPr>
          <w:rFonts w:eastAsia="Times New Roman" w:cs="Times New Roman"/>
          <w:color w:val="000000"/>
          <w:sz w:val="20"/>
          <w:szCs w:val="21"/>
          <w:lang w:val="en-US"/>
        </w:rPr>
        <w:t>FinCEN</w:t>
      </w:r>
      <w:proofErr w:type="spellEnd"/>
      <w:r w:rsidR="00702A66" w:rsidRPr="000605BC">
        <w:rPr>
          <w:rFonts w:eastAsia="Times New Roman" w:cs="Times New Roman"/>
          <w:color w:val="000000"/>
          <w:sz w:val="20"/>
          <w:szCs w:val="21"/>
          <w:lang w:val="en-US"/>
        </w:rPr>
        <w:t xml:space="preserve"> alleges that FBME is being used to facilitate money laundering and that high-risk shell companies are among its customers.</w:t>
      </w:r>
      <w:r w:rsidRPr="000605BC">
        <w:rPr>
          <w:rStyle w:val="FootnoteReference"/>
          <w:rFonts w:eastAsia="Times New Roman" w:cs="Times New Roman"/>
          <w:color w:val="000000"/>
          <w:sz w:val="20"/>
          <w:szCs w:val="21"/>
          <w:lang w:val="en-US"/>
        </w:rPr>
        <w:footnoteReference w:id="79"/>
      </w:r>
      <w:r w:rsidR="00702A66" w:rsidRPr="000605BC">
        <w:rPr>
          <w:rFonts w:eastAsia="Times New Roman" w:cs="Times New Roman"/>
          <w:color w:val="000000"/>
          <w:sz w:val="20"/>
          <w:szCs w:val="21"/>
          <w:lang w:val="en-US"/>
        </w:rPr>
        <w:t xml:space="preserve"> The bank expressed outrage at the ban and claimed it did not receive adequate notice, although </w:t>
      </w:r>
      <w:proofErr w:type="spellStart"/>
      <w:r w:rsidR="00702A66" w:rsidRPr="000605BC">
        <w:rPr>
          <w:rFonts w:eastAsia="Times New Roman" w:cs="Times New Roman"/>
          <w:color w:val="000000"/>
          <w:sz w:val="20"/>
          <w:szCs w:val="21"/>
          <w:lang w:val="en-US"/>
        </w:rPr>
        <w:t>FinCEN</w:t>
      </w:r>
      <w:proofErr w:type="spellEnd"/>
      <w:r w:rsidR="00702A66" w:rsidRPr="000605BC">
        <w:rPr>
          <w:rFonts w:eastAsia="Times New Roman" w:cs="Times New Roman"/>
          <w:color w:val="000000"/>
          <w:sz w:val="20"/>
          <w:szCs w:val="21"/>
          <w:lang w:val="en-US"/>
        </w:rPr>
        <w:t xml:space="preserve"> issued a no</w:t>
      </w:r>
      <w:r w:rsidR="00702A66" w:rsidRPr="000605BC">
        <w:rPr>
          <w:rFonts w:eastAsia="Times New Roman" w:cs="Times New Roman"/>
          <w:sz w:val="20"/>
          <w:szCs w:val="21"/>
          <w:lang w:val="en-US"/>
        </w:rPr>
        <w:t>tice in July 2014 warning that FBME was a primary money laundering concern a</w:t>
      </w:r>
      <w:r w:rsidRPr="000605BC">
        <w:rPr>
          <w:rFonts w:eastAsia="Times New Roman" w:cs="Times New Roman"/>
          <w:sz w:val="20"/>
          <w:szCs w:val="21"/>
          <w:lang w:val="en-US"/>
        </w:rPr>
        <w:t xml:space="preserve">nd could be </w:t>
      </w:r>
      <w:r w:rsidRPr="000605BC">
        <w:rPr>
          <w:rFonts w:eastAsia="Times New Roman" w:cs="Times New Roman"/>
          <w:sz w:val="20"/>
          <w:lang w:val="en-US"/>
        </w:rPr>
        <w:t>subject to</w:t>
      </w:r>
      <w:r w:rsidR="00702A66" w:rsidRPr="000605BC">
        <w:rPr>
          <w:rFonts w:eastAsia="Times New Roman" w:cs="Times New Roman"/>
          <w:sz w:val="20"/>
          <w:lang w:val="en-US"/>
        </w:rPr>
        <w:t xml:space="preserve"> a final ban.</w:t>
      </w:r>
      <w:r w:rsidRPr="000605BC">
        <w:rPr>
          <w:rStyle w:val="FootnoteReference"/>
          <w:rFonts w:eastAsia="Times New Roman" w:cs="Times New Roman"/>
          <w:sz w:val="20"/>
          <w:lang w:val="en-US"/>
        </w:rPr>
        <w:footnoteReference w:id="80"/>
      </w:r>
      <w:r w:rsidR="00702A66" w:rsidRPr="000605BC">
        <w:rPr>
          <w:rFonts w:eastAsia="Times New Roman" w:cs="Times New Roman"/>
          <w:sz w:val="20"/>
          <w:lang w:val="en-US"/>
        </w:rPr>
        <w:t xml:space="preserve"> </w:t>
      </w:r>
      <w:r w:rsidR="004B4CCD" w:rsidRPr="000605BC">
        <w:rPr>
          <w:rFonts w:cs="Times New Roman"/>
          <w:sz w:val="20"/>
        </w:rPr>
        <w:t xml:space="preserve">For a full list of </w:t>
      </w:r>
      <w:proofErr w:type="spellStart"/>
      <w:r w:rsidR="004B4CCD" w:rsidRPr="000605BC">
        <w:rPr>
          <w:rFonts w:cs="Times New Roman"/>
          <w:sz w:val="20"/>
        </w:rPr>
        <w:t>FinCEN</w:t>
      </w:r>
      <w:proofErr w:type="spellEnd"/>
      <w:r w:rsidR="004B4CCD" w:rsidRPr="000605BC">
        <w:rPr>
          <w:rFonts w:cs="Times New Roman"/>
          <w:sz w:val="20"/>
        </w:rPr>
        <w:t xml:space="preserve"> enforcement actions see: &lt;</w:t>
      </w:r>
      <w:hyperlink r:id="rId11" w:history="1">
        <w:r w:rsidR="004B4CCD" w:rsidRPr="000605BC">
          <w:rPr>
            <w:rStyle w:val="Hyperlink"/>
            <w:rFonts w:cs="Times New Roman"/>
            <w:sz w:val="20"/>
          </w:rPr>
          <w:t>https://www.fincen.gov/news-room/enforcement-actions</w:t>
        </w:r>
      </w:hyperlink>
      <w:r w:rsidR="004B4CCD" w:rsidRPr="000605BC">
        <w:rPr>
          <w:rFonts w:cs="Times New Roman"/>
          <w:sz w:val="20"/>
        </w:rPr>
        <w:t xml:space="preserve">&gt;. </w:t>
      </w:r>
    </w:p>
    <w:p w14:paraId="36FDA973" w14:textId="1C75512B" w:rsidR="0050310B" w:rsidRPr="000605BC" w:rsidRDefault="0050310B" w:rsidP="00BD57FE">
      <w:pPr>
        <w:pStyle w:val="Heading3"/>
        <w:rPr>
          <w:sz w:val="22"/>
          <w:lang w:val="en-US"/>
        </w:rPr>
      </w:pPr>
      <w:bookmarkStart w:id="55" w:name="_Toc287093736"/>
      <w:bookmarkStart w:id="56" w:name="_Toc419901554"/>
      <w:r w:rsidRPr="000605BC">
        <w:rPr>
          <w:sz w:val="22"/>
          <w:lang w:val="en-US"/>
        </w:rPr>
        <w:t>UK</w:t>
      </w:r>
      <w:bookmarkEnd w:id="55"/>
      <w:bookmarkEnd w:id="56"/>
    </w:p>
    <w:p w14:paraId="0BB5DA15" w14:textId="636F6B54" w:rsidR="0050310B" w:rsidRPr="000605BC" w:rsidRDefault="00BA6F93" w:rsidP="00916A81">
      <w:pPr>
        <w:autoSpaceDE w:val="0"/>
        <w:autoSpaceDN w:val="0"/>
        <w:adjustRightInd w:val="0"/>
        <w:rPr>
          <w:rFonts w:cs="Times New Roman"/>
          <w:color w:val="2D261F"/>
          <w:sz w:val="20"/>
        </w:rPr>
      </w:pPr>
      <w:r w:rsidRPr="000605BC">
        <w:rPr>
          <w:rFonts w:eastAsiaTheme="minorEastAsia" w:cs="Times New Roman"/>
          <w:sz w:val="20"/>
          <w:lang w:val="en-US" w:eastAsia="ja-JP"/>
        </w:rPr>
        <w:t xml:space="preserve">The UK’s FIU responsibilities were transferred from the Serious Organized Crime Agency to the National Crime Agency (NCA) in 2013 with the passing of the </w:t>
      </w:r>
      <w:r w:rsidRPr="000605BC">
        <w:rPr>
          <w:rFonts w:eastAsiaTheme="minorEastAsia" w:cs="Times New Roman"/>
          <w:i/>
          <w:sz w:val="20"/>
          <w:lang w:val="en-US" w:eastAsia="ja-JP"/>
        </w:rPr>
        <w:t>Crime and Courts Act</w:t>
      </w:r>
      <w:r w:rsidRPr="000605BC">
        <w:rPr>
          <w:rFonts w:eastAsiaTheme="minorEastAsia" w:cs="Times New Roman"/>
          <w:sz w:val="20"/>
          <w:lang w:val="en-US" w:eastAsia="ja-JP"/>
        </w:rPr>
        <w:t xml:space="preserve">. </w:t>
      </w:r>
      <w:r w:rsidR="002F287D" w:rsidRPr="000605BC">
        <w:rPr>
          <w:rFonts w:eastAsiaTheme="minorEastAsia" w:cs="Times New Roman"/>
          <w:sz w:val="20"/>
          <w:lang w:val="en-US" w:eastAsia="ja-JP"/>
        </w:rPr>
        <w:t>In contrast</w:t>
      </w:r>
      <w:r w:rsidR="00DC6E66" w:rsidRPr="000605BC">
        <w:rPr>
          <w:rFonts w:eastAsiaTheme="minorEastAsia" w:cs="Times New Roman"/>
          <w:sz w:val="20"/>
          <w:lang w:val="en-US" w:eastAsia="ja-JP"/>
        </w:rPr>
        <w:t xml:space="preserve"> to </w:t>
      </w:r>
      <w:proofErr w:type="spellStart"/>
      <w:r w:rsidR="00DC6E66" w:rsidRPr="000605BC">
        <w:rPr>
          <w:rFonts w:eastAsiaTheme="minorEastAsia" w:cs="Times New Roman"/>
          <w:sz w:val="20"/>
          <w:lang w:val="en-US" w:eastAsia="ja-JP"/>
        </w:rPr>
        <w:t>F</w:t>
      </w:r>
      <w:r w:rsidR="00777900" w:rsidRPr="000605BC">
        <w:rPr>
          <w:rFonts w:eastAsiaTheme="minorEastAsia" w:cs="Times New Roman"/>
          <w:sz w:val="20"/>
          <w:lang w:val="en-US" w:eastAsia="ja-JP"/>
        </w:rPr>
        <w:t>in</w:t>
      </w:r>
      <w:r w:rsidR="00DC6E66" w:rsidRPr="000605BC">
        <w:rPr>
          <w:rFonts w:eastAsiaTheme="minorEastAsia" w:cs="Times New Roman"/>
          <w:sz w:val="20"/>
          <w:lang w:val="en-US" w:eastAsia="ja-JP"/>
        </w:rPr>
        <w:t>CEN</w:t>
      </w:r>
      <w:proofErr w:type="spellEnd"/>
      <w:r w:rsidR="002F287D" w:rsidRPr="000605BC">
        <w:rPr>
          <w:rFonts w:eastAsiaTheme="minorEastAsia" w:cs="Times New Roman"/>
          <w:sz w:val="20"/>
          <w:lang w:val="en-US" w:eastAsia="ja-JP"/>
        </w:rPr>
        <w:t xml:space="preserve">, the UKFIU page on the NCA website states simply: </w:t>
      </w:r>
      <w:r w:rsidR="003A6F8D" w:rsidRPr="000605BC">
        <w:rPr>
          <w:rFonts w:eastAsiaTheme="minorEastAsia" w:cs="Times New Roman"/>
          <w:sz w:val="20"/>
          <w:lang w:val="en-US" w:eastAsia="ja-JP"/>
        </w:rPr>
        <w:t>“</w:t>
      </w:r>
      <w:r w:rsidR="002F287D" w:rsidRPr="000605BC">
        <w:rPr>
          <w:rFonts w:cs="Times New Roman"/>
          <w:color w:val="2D261F"/>
          <w:sz w:val="20"/>
        </w:rPr>
        <w:t>The UK Financial Intelligence Unit (UKFIU) receives, analyses and distributes financial intelligence gathered from Suspicious Activity Reports (SARs).</w:t>
      </w:r>
      <w:r w:rsidR="003A6F8D" w:rsidRPr="000605BC">
        <w:rPr>
          <w:rFonts w:cs="Times New Roman"/>
          <w:color w:val="2D261F"/>
          <w:sz w:val="20"/>
        </w:rPr>
        <w:t>”</w:t>
      </w:r>
      <w:r w:rsidR="002F287D" w:rsidRPr="000605BC">
        <w:rPr>
          <w:rStyle w:val="FootnoteReference"/>
          <w:rFonts w:cs="Times New Roman"/>
          <w:color w:val="2D261F"/>
          <w:sz w:val="20"/>
        </w:rPr>
        <w:footnoteReference w:id="81"/>
      </w:r>
      <w:r w:rsidR="002F287D" w:rsidRPr="000605BC">
        <w:rPr>
          <w:rFonts w:cs="Times New Roman"/>
          <w:color w:val="2D261F"/>
          <w:sz w:val="20"/>
        </w:rPr>
        <w:t xml:space="preserve"> While </w:t>
      </w:r>
      <w:proofErr w:type="spellStart"/>
      <w:r w:rsidR="002F287D" w:rsidRPr="000605BC">
        <w:rPr>
          <w:rFonts w:cs="Times New Roman"/>
          <w:color w:val="2D261F"/>
          <w:sz w:val="20"/>
        </w:rPr>
        <w:t>F</w:t>
      </w:r>
      <w:r w:rsidR="00777900" w:rsidRPr="000605BC">
        <w:rPr>
          <w:rFonts w:cs="Times New Roman"/>
          <w:color w:val="2D261F"/>
          <w:sz w:val="20"/>
        </w:rPr>
        <w:t>in</w:t>
      </w:r>
      <w:r w:rsidR="002F287D" w:rsidRPr="000605BC">
        <w:rPr>
          <w:rFonts w:cs="Times New Roman"/>
          <w:color w:val="2D261F"/>
          <w:sz w:val="20"/>
        </w:rPr>
        <w:t>CEN</w:t>
      </w:r>
      <w:proofErr w:type="spellEnd"/>
      <w:r w:rsidR="002F287D" w:rsidRPr="000605BC">
        <w:rPr>
          <w:rFonts w:cs="Times New Roman"/>
          <w:color w:val="2D261F"/>
          <w:sz w:val="20"/>
        </w:rPr>
        <w:t xml:space="preserve"> and FINTRAC also handle SARs, which will be discussed in more detail in the following section, they also do a great deal more. UKFIUs mandate is narrower, likely due to its integration within the state’s law enforcement apparatus. </w:t>
      </w:r>
      <w:proofErr w:type="spellStart"/>
      <w:r w:rsidR="002F287D" w:rsidRPr="000605BC">
        <w:rPr>
          <w:rFonts w:cs="Times New Roman"/>
          <w:color w:val="2D261F"/>
          <w:sz w:val="20"/>
        </w:rPr>
        <w:t>F</w:t>
      </w:r>
      <w:r w:rsidR="00777900" w:rsidRPr="000605BC">
        <w:rPr>
          <w:rFonts w:cs="Times New Roman"/>
          <w:color w:val="2D261F"/>
          <w:sz w:val="20"/>
        </w:rPr>
        <w:t>in</w:t>
      </w:r>
      <w:r w:rsidR="002F287D" w:rsidRPr="000605BC">
        <w:rPr>
          <w:rFonts w:cs="Times New Roman"/>
          <w:color w:val="2D261F"/>
          <w:sz w:val="20"/>
        </w:rPr>
        <w:t>CEN</w:t>
      </w:r>
      <w:proofErr w:type="spellEnd"/>
      <w:r w:rsidR="002F287D" w:rsidRPr="000605BC">
        <w:rPr>
          <w:rFonts w:cs="Times New Roman"/>
          <w:color w:val="2D261F"/>
          <w:sz w:val="20"/>
        </w:rPr>
        <w:t xml:space="preserve"> and FINTRAC have broader mandates and greater organizational independence.</w:t>
      </w:r>
      <w:r w:rsidR="002822D1" w:rsidRPr="000605BC">
        <w:rPr>
          <w:rFonts w:cs="Times New Roman"/>
          <w:color w:val="2D261F"/>
          <w:sz w:val="20"/>
        </w:rPr>
        <w:t xml:space="preserve"> </w:t>
      </w:r>
    </w:p>
    <w:p w14:paraId="5A7C1C90" w14:textId="75DDB1CD" w:rsidR="0050310B" w:rsidRPr="000605BC" w:rsidRDefault="0050310B" w:rsidP="00BD57FE">
      <w:pPr>
        <w:pStyle w:val="Heading3"/>
        <w:rPr>
          <w:sz w:val="22"/>
          <w:lang w:val="en-US"/>
        </w:rPr>
      </w:pPr>
      <w:bookmarkStart w:id="57" w:name="_Toc287093737"/>
      <w:bookmarkStart w:id="58" w:name="_Toc419901555"/>
      <w:r w:rsidRPr="000605BC">
        <w:rPr>
          <w:sz w:val="22"/>
          <w:lang w:val="en-US"/>
        </w:rPr>
        <w:t>Canada</w:t>
      </w:r>
      <w:bookmarkEnd w:id="57"/>
      <w:bookmarkEnd w:id="58"/>
    </w:p>
    <w:p w14:paraId="2DA5A561" w14:textId="0FCDF4E0" w:rsidR="00DE1C8D" w:rsidRPr="000605BC" w:rsidRDefault="005C77BC" w:rsidP="00242453">
      <w:pPr>
        <w:spacing w:before="100" w:beforeAutospacing="1" w:after="100" w:afterAutospacing="1"/>
        <w:rPr>
          <w:rFonts w:eastAsia="Times New Roman" w:cs="Times New Roman"/>
          <w:color w:val="000000"/>
          <w:sz w:val="20"/>
          <w:lang w:val="en-US"/>
        </w:rPr>
      </w:pPr>
      <w:r w:rsidRPr="000605BC">
        <w:rPr>
          <w:rFonts w:eastAsia="Times New Roman" w:cs="Times New Roman"/>
          <w:color w:val="000000"/>
          <w:sz w:val="20"/>
          <w:lang w:val="en-US"/>
        </w:rPr>
        <w:t>Similar</w:t>
      </w:r>
      <w:r w:rsidR="00BA001C" w:rsidRPr="000605BC">
        <w:rPr>
          <w:rFonts w:eastAsia="Times New Roman" w:cs="Times New Roman"/>
          <w:color w:val="000000"/>
          <w:sz w:val="20"/>
          <w:lang w:val="en-US"/>
        </w:rPr>
        <w:t>ly</w:t>
      </w:r>
      <w:r w:rsidRPr="000605BC">
        <w:rPr>
          <w:rFonts w:eastAsia="Times New Roman" w:cs="Times New Roman"/>
          <w:color w:val="000000"/>
          <w:sz w:val="20"/>
          <w:lang w:val="en-US"/>
        </w:rPr>
        <w:t xml:space="preserve"> to its US counterpart</w:t>
      </w:r>
      <w:r w:rsidR="00287281" w:rsidRPr="000605BC">
        <w:rPr>
          <w:rFonts w:eastAsia="Times New Roman" w:cs="Times New Roman"/>
          <w:color w:val="000000"/>
          <w:sz w:val="20"/>
          <w:lang w:val="en-US"/>
        </w:rPr>
        <w:t>, FINTRAC’s description of its function is comprehensive, covering data gathering, analysis and research. The organization</w:t>
      </w:r>
      <w:r w:rsidR="00276D52" w:rsidRPr="000605BC">
        <w:rPr>
          <w:rFonts w:eastAsia="Times New Roman" w:cs="Times New Roman"/>
          <w:color w:val="000000"/>
          <w:sz w:val="20"/>
          <w:lang w:val="en-US"/>
        </w:rPr>
        <w:t>’</w:t>
      </w:r>
      <w:r w:rsidR="00287281" w:rsidRPr="000605BC">
        <w:rPr>
          <w:rFonts w:eastAsia="Times New Roman" w:cs="Times New Roman"/>
          <w:color w:val="000000"/>
          <w:sz w:val="20"/>
          <w:lang w:val="en-US"/>
        </w:rPr>
        <w:t>s website states that:</w:t>
      </w:r>
    </w:p>
    <w:p w14:paraId="4D14D07B" w14:textId="3CFD525F" w:rsidR="00C707EB" w:rsidRPr="000605BC" w:rsidRDefault="00C707EB" w:rsidP="00242453">
      <w:pPr>
        <w:pStyle w:val="BlockQuote"/>
        <w:rPr>
          <w:sz w:val="20"/>
        </w:rPr>
      </w:pPr>
      <w:r w:rsidRPr="000605BC">
        <w:rPr>
          <w:sz w:val="20"/>
        </w:rPr>
        <w:t>Our mandate is to facilitate the detection, prevention and deterrence of money laundering and the financing of terrorist activities, while ensuring the protection of personal information under our control. We fulfill our mandate through the following activities:</w:t>
      </w:r>
    </w:p>
    <w:p w14:paraId="72C3D6DC" w14:textId="1F7B054F" w:rsidR="00C707EB" w:rsidRPr="000605BC" w:rsidRDefault="00C707EB" w:rsidP="00841C71">
      <w:pPr>
        <w:pStyle w:val="BlockQuote"/>
        <w:numPr>
          <w:ilvl w:val="0"/>
          <w:numId w:val="5"/>
        </w:numPr>
        <w:spacing w:before="60" w:after="0"/>
        <w:jc w:val="left"/>
        <w:rPr>
          <w:rFonts w:eastAsia="Times New Roman"/>
          <w:sz w:val="20"/>
          <w:lang w:val="en-US"/>
        </w:rPr>
      </w:pPr>
      <w:r w:rsidRPr="000605BC">
        <w:rPr>
          <w:rFonts w:eastAsia="Times New Roman"/>
          <w:sz w:val="20"/>
          <w:lang w:val="en-US"/>
        </w:rPr>
        <w:t>Receiving financial transaction reports and voluntary information on money laundering and terrorist financing in accordance with the legislation and regulations and safeguarding personal information under our control;</w:t>
      </w:r>
    </w:p>
    <w:p w14:paraId="28DCD55F" w14:textId="23F24B95" w:rsidR="00C707EB" w:rsidRPr="000605BC" w:rsidRDefault="00C707EB" w:rsidP="00841C71">
      <w:pPr>
        <w:pStyle w:val="BlockQuote"/>
        <w:numPr>
          <w:ilvl w:val="0"/>
          <w:numId w:val="5"/>
        </w:numPr>
        <w:spacing w:before="60" w:after="0"/>
        <w:jc w:val="left"/>
        <w:rPr>
          <w:rFonts w:eastAsia="Times New Roman"/>
          <w:sz w:val="20"/>
          <w:lang w:val="en-US"/>
        </w:rPr>
      </w:pPr>
      <w:r w:rsidRPr="000605BC">
        <w:rPr>
          <w:rFonts w:eastAsia="Times New Roman"/>
          <w:sz w:val="20"/>
          <w:lang w:val="en-US"/>
        </w:rPr>
        <w:t>Ensuring compliance of reporting entities with the legislation and regulations;</w:t>
      </w:r>
    </w:p>
    <w:p w14:paraId="7ED75788" w14:textId="7A75E5A4" w:rsidR="00C707EB" w:rsidRPr="000605BC" w:rsidRDefault="00C707EB" w:rsidP="00841C71">
      <w:pPr>
        <w:pStyle w:val="BlockQuote"/>
        <w:numPr>
          <w:ilvl w:val="0"/>
          <w:numId w:val="5"/>
        </w:numPr>
        <w:spacing w:before="60" w:after="0"/>
        <w:jc w:val="left"/>
        <w:rPr>
          <w:rFonts w:eastAsia="Times New Roman"/>
          <w:sz w:val="20"/>
          <w:lang w:val="en-US"/>
        </w:rPr>
      </w:pPr>
      <w:r w:rsidRPr="000605BC">
        <w:rPr>
          <w:rFonts w:eastAsia="Times New Roman"/>
          <w:sz w:val="20"/>
          <w:lang w:val="en-US"/>
        </w:rPr>
        <w:t>Producing financial intelligence relevant to money laundering, terrorist activity financing and threats to the security of Canada investigations;</w:t>
      </w:r>
    </w:p>
    <w:p w14:paraId="67EA07F8" w14:textId="74312F2A" w:rsidR="00C707EB" w:rsidRPr="000605BC" w:rsidRDefault="00C707EB" w:rsidP="00841C71">
      <w:pPr>
        <w:pStyle w:val="BlockQuote"/>
        <w:numPr>
          <w:ilvl w:val="0"/>
          <w:numId w:val="5"/>
        </w:numPr>
        <w:spacing w:before="60" w:after="0"/>
        <w:jc w:val="left"/>
        <w:rPr>
          <w:rFonts w:eastAsia="Times New Roman"/>
          <w:sz w:val="20"/>
          <w:lang w:val="en-US"/>
        </w:rPr>
      </w:pPr>
      <w:r w:rsidRPr="000605BC">
        <w:rPr>
          <w:rFonts w:eastAsia="Times New Roman"/>
          <w:sz w:val="20"/>
          <w:lang w:val="en-US"/>
        </w:rPr>
        <w:t>Researching and analyzing data from a variety of information sources that shed light on trends and patterns in money laundering and terrorist financing;</w:t>
      </w:r>
    </w:p>
    <w:p w14:paraId="020B3DBB" w14:textId="2249DB92" w:rsidR="00C707EB" w:rsidRPr="000605BC" w:rsidRDefault="00C707EB" w:rsidP="00841C71">
      <w:pPr>
        <w:pStyle w:val="BlockQuote"/>
        <w:numPr>
          <w:ilvl w:val="0"/>
          <w:numId w:val="5"/>
        </w:numPr>
        <w:spacing w:before="60" w:after="0"/>
        <w:jc w:val="left"/>
        <w:rPr>
          <w:rFonts w:eastAsia="Times New Roman"/>
          <w:sz w:val="20"/>
          <w:lang w:val="en-US"/>
        </w:rPr>
      </w:pPr>
      <w:r w:rsidRPr="000605BC">
        <w:rPr>
          <w:rFonts w:eastAsia="Times New Roman"/>
          <w:sz w:val="20"/>
          <w:lang w:val="en-US"/>
        </w:rPr>
        <w:t>Maintaining a registry of money services businesses in Canada;</w:t>
      </w:r>
    </w:p>
    <w:p w14:paraId="044BD8E6" w14:textId="003C7AC6" w:rsidR="00C707EB" w:rsidRPr="000605BC" w:rsidRDefault="00C707EB" w:rsidP="00841C71">
      <w:pPr>
        <w:pStyle w:val="BlockQuote"/>
        <w:numPr>
          <w:ilvl w:val="0"/>
          <w:numId w:val="5"/>
        </w:numPr>
        <w:spacing w:before="60" w:after="0"/>
        <w:jc w:val="left"/>
        <w:rPr>
          <w:rFonts w:eastAsia="Times New Roman"/>
          <w:sz w:val="20"/>
          <w:lang w:val="en-US"/>
        </w:rPr>
      </w:pPr>
      <w:r w:rsidRPr="000605BC">
        <w:rPr>
          <w:rFonts w:eastAsia="Times New Roman"/>
          <w:sz w:val="20"/>
          <w:lang w:val="en-US"/>
        </w:rPr>
        <w:t>Enhancing public awareness and understanding of money laundering and terrorist activity financing.</w:t>
      </w:r>
      <w:r w:rsidR="00A84F55" w:rsidRPr="000605BC">
        <w:rPr>
          <w:rStyle w:val="FootnoteReference"/>
          <w:rFonts w:eastAsia="Times New Roman" w:cs="Times New Roman"/>
          <w:color w:val="000000"/>
          <w:sz w:val="20"/>
          <w:szCs w:val="21"/>
          <w:lang w:val="en-US"/>
        </w:rPr>
        <w:footnoteReference w:id="82"/>
      </w:r>
    </w:p>
    <w:p w14:paraId="777345C7" w14:textId="5FD9F7E0" w:rsidR="00196668" w:rsidRPr="000605BC" w:rsidRDefault="00196668" w:rsidP="00BA001C">
      <w:pPr>
        <w:rPr>
          <w:rFonts w:eastAsia="Times New Roman" w:cs="Times New Roman"/>
          <w:color w:val="000000"/>
          <w:sz w:val="20"/>
          <w:lang w:val="en-US"/>
        </w:rPr>
      </w:pPr>
      <w:r w:rsidRPr="000605BC">
        <w:rPr>
          <w:rFonts w:eastAsia="Times New Roman" w:cs="Times New Roman"/>
          <w:color w:val="000000"/>
          <w:sz w:val="20"/>
          <w:lang w:val="en-US"/>
        </w:rPr>
        <w:t>FINTRAC is authorized by legislation to provide information to foreign FIUs, and also receives information from FIUs and law enforcement agencies in other jurisdictions (23-34).</w:t>
      </w:r>
      <w:r w:rsidR="00DD038D" w:rsidRPr="000605BC">
        <w:rPr>
          <w:rStyle w:val="FootnoteReference"/>
          <w:rFonts w:eastAsia="Times New Roman" w:cs="Times New Roman"/>
          <w:color w:val="000000"/>
          <w:sz w:val="20"/>
          <w:lang w:val="en-US"/>
        </w:rPr>
        <w:footnoteReference w:id="83"/>
      </w:r>
      <w:r w:rsidRPr="000605BC">
        <w:rPr>
          <w:rFonts w:eastAsia="Times New Roman" w:cs="Times New Roman"/>
          <w:color w:val="000000"/>
          <w:sz w:val="20"/>
          <w:lang w:val="en-US"/>
        </w:rPr>
        <w:t xml:space="preserve"> </w:t>
      </w:r>
    </w:p>
    <w:p w14:paraId="1BEECADF" w14:textId="05787E1D" w:rsidR="00F479D0" w:rsidRPr="000605BC" w:rsidRDefault="00F479D0" w:rsidP="00BA001C">
      <w:pPr>
        <w:rPr>
          <w:rFonts w:eastAsia="Times New Roman" w:cs="Times New Roman"/>
          <w:color w:val="000000"/>
          <w:sz w:val="20"/>
          <w:lang w:val="en-US"/>
        </w:rPr>
      </w:pPr>
      <w:r w:rsidRPr="000605BC">
        <w:rPr>
          <w:rFonts w:eastAsia="Times New Roman" w:cs="Times New Roman"/>
          <w:color w:val="000000"/>
          <w:sz w:val="20"/>
          <w:lang w:val="en-US"/>
        </w:rPr>
        <w:t>FINTRAC</w:t>
      </w:r>
      <w:r w:rsidR="00D57317" w:rsidRPr="000605BC">
        <w:rPr>
          <w:rFonts w:eastAsia="Times New Roman" w:cs="Times New Roman"/>
          <w:color w:val="000000"/>
          <w:sz w:val="20"/>
          <w:lang w:val="en-US"/>
        </w:rPr>
        <w:t xml:space="preserve"> has broad</w:t>
      </w:r>
      <w:r w:rsidRPr="000605BC">
        <w:rPr>
          <w:rFonts w:eastAsia="Times New Roman" w:cs="Times New Roman"/>
          <w:color w:val="000000"/>
          <w:sz w:val="20"/>
          <w:lang w:val="en-US"/>
        </w:rPr>
        <w:t xml:space="preserve"> powers to search without warrant, investigate and report to police authorities. Normal criminal law protections do not apply. For example, FINTRAC can enter any premises without a warrant unless the premises are a dwelling.</w:t>
      </w:r>
      <w:r w:rsidR="00D57317" w:rsidRPr="000605BC">
        <w:rPr>
          <w:rStyle w:val="FootnoteReference"/>
          <w:rFonts w:eastAsia="Times New Roman" w:cs="Times New Roman"/>
          <w:color w:val="000000"/>
          <w:sz w:val="20"/>
          <w:lang w:val="en-US"/>
        </w:rPr>
        <w:footnoteReference w:id="84"/>
      </w:r>
      <w:r w:rsidRPr="000605BC">
        <w:rPr>
          <w:rFonts w:eastAsia="Times New Roman" w:cs="Times New Roman"/>
          <w:color w:val="000000"/>
          <w:sz w:val="20"/>
          <w:lang w:val="en-US"/>
        </w:rPr>
        <w:t xml:space="preserve"> </w:t>
      </w:r>
      <w:r w:rsidR="00D2592D" w:rsidRPr="000605BC">
        <w:rPr>
          <w:rFonts w:eastAsia="Times New Roman" w:cs="Times New Roman"/>
          <w:color w:val="000000"/>
          <w:sz w:val="20"/>
          <w:lang w:val="en-US"/>
        </w:rPr>
        <w:t xml:space="preserve">Terence D. Hall notes that </w:t>
      </w:r>
      <w:r w:rsidR="003A6F8D" w:rsidRPr="000605BC">
        <w:rPr>
          <w:rFonts w:eastAsia="Times New Roman" w:cs="Times New Roman"/>
          <w:color w:val="000000"/>
          <w:sz w:val="20"/>
          <w:lang w:val="en-US"/>
        </w:rPr>
        <w:t>“</w:t>
      </w:r>
      <w:r w:rsidR="00D2592D" w:rsidRPr="000605BC">
        <w:rPr>
          <w:rFonts w:eastAsia="Times New Roman" w:cs="Times New Roman"/>
          <w:color w:val="000000"/>
          <w:sz w:val="20"/>
          <w:lang w:val="en-US"/>
        </w:rPr>
        <w:t>[t]here is a tension between the values placed on privacy and the protection of personal information and the public policy goals of deterring criminal activity and the financing of terrorism by requiring the collection and disclosure of personal and proprietary information.</w:t>
      </w:r>
      <w:r w:rsidR="003A6F8D" w:rsidRPr="000605BC">
        <w:rPr>
          <w:rFonts w:eastAsia="Times New Roman" w:cs="Times New Roman"/>
          <w:color w:val="000000"/>
          <w:sz w:val="20"/>
          <w:lang w:val="en-US"/>
        </w:rPr>
        <w:t>”</w:t>
      </w:r>
      <w:r w:rsidR="00D57317" w:rsidRPr="000605BC">
        <w:rPr>
          <w:rStyle w:val="FootnoteReference"/>
          <w:rFonts w:eastAsia="Times New Roman" w:cs="Times New Roman"/>
          <w:color w:val="000000"/>
          <w:sz w:val="20"/>
          <w:lang w:val="en-US"/>
        </w:rPr>
        <w:footnoteReference w:id="85"/>
      </w:r>
      <w:r w:rsidR="00D2592D" w:rsidRPr="000605BC">
        <w:rPr>
          <w:rFonts w:eastAsia="Times New Roman" w:cs="Times New Roman"/>
          <w:color w:val="000000"/>
          <w:sz w:val="20"/>
          <w:lang w:val="en-US"/>
        </w:rPr>
        <w:t xml:space="preserve"> In 2013, Canada’s Privacy Commissioner audited FINTRAC, reporting that FINTRAC </w:t>
      </w:r>
      <w:r w:rsidR="003A6F8D" w:rsidRPr="000605BC">
        <w:rPr>
          <w:rFonts w:eastAsia="Times New Roman" w:cs="Times New Roman"/>
          <w:color w:val="000000"/>
          <w:sz w:val="20"/>
          <w:lang w:val="en-US"/>
        </w:rPr>
        <w:t>“</w:t>
      </w:r>
      <w:r w:rsidR="00D2592D" w:rsidRPr="000605BC">
        <w:rPr>
          <w:rFonts w:eastAsia="Times New Roman" w:cs="Times New Roman"/>
          <w:color w:val="000000"/>
          <w:sz w:val="20"/>
          <w:lang w:val="en-US"/>
        </w:rPr>
        <w:t>continues to receive and retain personal information not directly related to its mandate.</w:t>
      </w:r>
      <w:r w:rsidR="003A6F8D" w:rsidRPr="000605BC">
        <w:rPr>
          <w:rFonts w:eastAsia="Times New Roman" w:cs="Times New Roman"/>
          <w:color w:val="000000"/>
          <w:sz w:val="20"/>
          <w:lang w:val="en-US"/>
        </w:rPr>
        <w:t>”</w:t>
      </w:r>
      <w:r w:rsidR="00D57317" w:rsidRPr="000605BC">
        <w:rPr>
          <w:rStyle w:val="FootnoteReference"/>
          <w:rFonts w:eastAsia="Times New Roman" w:cs="Times New Roman"/>
          <w:color w:val="000000"/>
          <w:sz w:val="20"/>
          <w:lang w:val="en-US"/>
        </w:rPr>
        <w:footnoteReference w:id="86"/>
      </w:r>
    </w:p>
    <w:p w14:paraId="6CE31DCD" w14:textId="61A39BD2" w:rsidR="008C1F47" w:rsidRPr="000605BC" w:rsidRDefault="009257D9" w:rsidP="00BD57FE">
      <w:pPr>
        <w:pStyle w:val="Heading2"/>
        <w:rPr>
          <w:sz w:val="24"/>
        </w:rPr>
      </w:pPr>
      <w:bookmarkStart w:id="59" w:name="_Toc287093738"/>
      <w:bookmarkStart w:id="60" w:name="_Toc419901556"/>
      <w:bookmarkStart w:id="61" w:name="_Toc489788773"/>
      <w:bookmarkStart w:id="62" w:name="_Toc489789313"/>
      <w:bookmarkStart w:id="63" w:name="_Toc489791783"/>
      <w:r w:rsidRPr="000605BC">
        <w:rPr>
          <w:sz w:val="24"/>
        </w:rPr>
        <w:t>R</w:t>
      </w:r>
      <w:r w:rsidR="008C1F47" w:rsidRPr="000605BC">
        <w:rPr>
          <w:sz w:val="24"/>
        </w:rPr>
        <w:t>egulation of Financial Institutions and Professionals</w:t>
      </w:r>
      <w:bookmarkEnd w:id="59"/>
      <w:bookmarkEnd w:id="60"/>
      <w:bookmarkEnd w:id="61"/>
      <w:bookmarkEnd w:id="62"/>
      <w:bookmarkEnd w:id="63"/>
    </w:p>
    <w:p w14:paraId="42A95753" w14:textId="34CEA848" w:rsidR="008C1F47" w:rsidRPr="000605BC" w:rsidRDefault="009257D9" w:rsidP="00BD57FE">
      <w:pPr>
        <w:pStyle w:val="Heading3"/>
        <w:rPr>
          <w:sz w:val="22"/>
        </w:rPr>
      </w:pPr>
      <w:r w:rsidRPr="000605BC">
        <w:rPr>
          <w:sz w:val="22"/>
        </w:rPr>
        <w:tab/>
      </w:r>
      <w:bookmarkStart w:id="64" w:name="_Toc287093739"/>
      <w:bookmarkStart w:id="65" w:name="_Toc419901557"/>
      <w:r w:rsidR="008C1F47" w:rsidRPr="000605BC">
        <w:rPr>
          <w:sz w:val="22"/>
        </w:rPr>
        <w:t>Customer Due Diligence</w:t>
      </w:r>
      <w:bookmarkEnd w:id="64"/>
      <w:bookmarkEnd w:id="65"/>
    </w:p>
    <w:p w14:paraId="13313CA2" w14:textId="41B6BB0F" w:rsidR="00273344" w:rsidRPr="000605BC" w:rsidRDefault="00AF035E" w:rsidP="00916A81">
      <w:pPr>
        <w:rPr>
          <w:rFonts w:cs="Times New Roman"/>
          <w:sz w:val="20"/>
        </w:rPr>
      </w:pPr>
      <w:r w:rsidRPr="000605BC">
        <w:rPr>
          <w:rFonts w:cs="Times New Roman"/>
          <w:sz w:val="20"/>
        </w:rPr>
        <w:t>FATF Recommendation 10 deals with customer due diligence (CDD) measures. The essence of CDD is requiring financial institutions to ascertain who</w:t>
      </w:r>
      <w:r w:rsidR="00603223" w:rsidRPr="000605BC">
        <w:rPr>
          <w:rFonts w:cs="Times New Roman"/>
          <w:sz w:val="20"/>
        </w:rPr>
        <w:t>m</w:t>
      </w:r>
      <w:r w:rsidRPr="000605BC">
        <w:rPr>
          <w:rFonts w:cs="Times New Roman"/>
          <w:sz w:val="20"/>
        </w:rPr>
        <w:t xml:space="preserve"> they are dealing with for each major transaction. The full text of the rec</w:t>
      </w:r>
      <w:r w:rsidR="00BA001C" w:rsidRPr="000605BC">
        <w:rPr>
          <w:rFonts w:cs="Times New Roman"/>
          <w:sz w:val="20"/>
        </w:rPr>
        <w:t>ommendation is reproduced below.</w:t>
      </w:r>
    </w:p>
    <w:tbl>
      <w:tblPr>
        <w:tblStyle w:val="TableGrid"/>
        <w:tblW w:w="0" w:type="auto"/>
        <w:jc w:val="center"/>
        <w:tblCellMar>
          <w:top w:w="284" w:type="dxa"/>
          <w:left w:w="284" w:type="dxa"/>
          <w:bottom w:w="284" w:type="dxa"/>
          <w:right w:w="284" w:type="dxa"/>
        </w:tblCellMar>
        <w:tblLook w:val="04A0" w:firstRow="1" w:lastRow="0" w:firstColumn="1" w:lastColumn="0" w:noHBand="0" w:noVBand="1"/>
      </w:tblPr>
      <w:tblGrid>
        <w:gridCol w:w="8080"/>
      </w:tblGrid>
      <w:tr w:rsidR="00450F0C" w:rsidRPr="000605BC" w14:paraId="7F3E1421" w14:textId="77777777" w:rsidTr="00557DB1">
        <w:trPr>
          <w:jc w:val="center"/>
        </w:trPr>
        <w:tc>
          <w:tcPr>
            <w:tcW w:w="9576" w:type="dxa"/>
            <w:tcBorders>
              <w:top w:val="nil"/>
              <w:left w:val="nil"/>
              <w:bottom w:val="nil"/>
              <w:right w:val="nil"/>
            </w:tcBorders>
            <w:shd w:val="clear" w:color="auto" w:fill="D9D9D9" w:themeFill="background1" w:themeFillShade="D9"/>
          </w:tcPr>
          <w:p w14:paraId="4D874CB6" w14:textId="77777777" w:rsidR="00450F0C" w:rsidRPr="000605BC" w:rsidRDefault="00450F0C" w:rsidP="009A7E62">
            <w:pPr>
              <w:pStyle w:val="ExcerptMarker"/>
              <w:spacing w:before="0"/>
              <w:rPr>
                <w:sz w:val="16"/>
              </w:rPr>
            </w:pPr>
            <w:r w:rsidRPr="000605BC">
              <w:rPr>
                <w:sz w:val="16"/>
              </w:rPr>
              <w:t>Beginning of Excerpt</w:t>
            </w:r>
          </w:p>
          <w:p w14:paraId="628A8520" w14:textId="77777777" w:rsidR="00450F0C" w:rsidRPr="000605BC" w:rsidRDefault="00450F0C" w:rsidP="00557DB1">
            <w:pPr>
              <w:spacing w:before="0"/>
              <w:rPr>
                <w:rFonts w:cs="Times New Roman"/>
                <w:b/>
                <w:sz w:val="20"/>
              </w:rPr>
            </w:pPr>
            <w:r w:rsidRPr="000605BC">
              <w:rPr>
                <w:rFonts w:cs="Times New Roman"/>
                <w:b/>
                <w:sz w:val="20"/>
              </w:rPr>
              <w:t>10. Customer due diligence</w:t>
            </w:r>
          </w:p>
          <w:p w14:paraId="6DE4BA4C" w14:textId="77777777" w:rsidR="00450F0C" w:rsidRPr="000605BC" w:rsidRDefault="00450F0C" w:rsidP="00450F0C">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Financial institutions should be prohibited from keeping anonymous accounts or accounts in obviously fictitious names.</w:t>
            </w:r>
          </w:p>
          <w:p w14:paraId="7ACBD657" w14:textId="77777777" w:rsidR="00450F0C" w:rsidRPr="000605BC" w:rsidRDefault="00450F0C" w:rsidP="00450F0C">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Financial institutions should be required to undertake customer due diligence (CDD) measures when:</w:t>
            </w:r>
          </w:p>
          <w:p w14:paraId="78EAB49F" w14:textId="770FE695" w:rsidR="00450F0C" w:rsidRPr="000605BC" w:rsidRDefault="00450F0C" w:rsidP="00696D88">
            <w:pPr>
              <w:pStyle w:val="ListParagraph"/>
              <w:numPr>
                <w:ilvl w:val="0"/>
                <w:numId w:val="35"/>
              </w:numPr>
              <w:autoSpaceDE w:val="0"/>
              <w:autoSpaceDN w:val="0"/>
              <w:adjustRightInd w:val="0"/>
              <w:rPr>
                <w:rFonts w:cs="Times New Roman"/>
                <w:sz w:val="20"/>
                <w:lang w:eastAsia="ja-JP"/>
              </w:rPr>
            </w:pPr>
            <w:r w:rsidRPr="000605BC">
              <w:rPr>
                <w:rFonts w:cs="Times New Roman"/>
                <w:sz w:val="20"/>
                <w:lang w:eastAsia="ja-JP"/>
              </w:rPr>
              <w:t>establishing business relations;</w:t>
            </w:r>
          </w:p>
          <w:p w14:paraId="5F20430D" w14:textId="30A22D58" w:rsidR="00450F0C" w:rsidRPr="000605BC" w:rsidRDefault="00450F0C" w:rsidP="00696D88">
            <w:pPr>
              <w:pStyle w:val="ListParagraph"/>
              <w:numPr>
                <w:ilvl w:val="0"/>
                <w:numId w:val="35"/>
              </w:numPr>
              <w:autoSpaceDE w:val="0"/>
              <w:autoSpaceDN w:val="0"/>
              <w:adjustRightInd w:val="0"/>
              <w:rPr>
                <w:rFonts w:cs="Times New Roman"/>
                <w:sz w:val="20"/>
                <w:lang w:eastAsia="ja-JP"/>
              </w:rPr>
            </w:pPr>
            <w:r w:rsidRPr="000605BC">
              <w:rPr>
                <w:rFonts w:cs="Times New Roman"/>
                <w:sz w:val="20"/>
                <w:lang w:eastAsia="ja-JP"/>
              </w:rPr>
              <w:t>carrying out occasional transactions: (</w:t>
            </w:r>
            <w:proofErr w:type="spellStart"/>
            <w:r w:rsidRPr="000605BC">
              <w:rPr>
                <w:rFonts w:cs="Times New Roman"/>
                <w:sz w:val="20"/>
                <w:lang w:eastAsia="ja-JP"/>
              </w:rPr>
              <w:t>i</w:t>
            </w:r>
            <w:proofErr w:type="spellEnd"/>
            <w:r w:rsidRPr="000605BC">
              <w:rPr>
                <w:rFonts w:cs="Times New Roman"/>
                <w:sz w:val="20"/>
                <w:lang w:eastAsia="ja-JP"/>
              </w:rPr>
              <w:t>) above the applicable designated threshold (USD/EUR 15,000); or (ii) that are wire transfers in the circumstances covered by the Interpretive Note to Recommendation 16;</w:t>
            </w:r>
          </w:p>
          <w:p w14:paraId="73B93D56" w14:textId="42D415DE" w:rsidR="00450F0C" w:rsidRPr="000605BC" w:rsidRDefault="00450F0C" w:rsidP="00696D88">
            <w:pPr>
              <w:pStyle w:val="ListParagraph"/>
              <w:numPr>
                <w:ilvl w:val="0"/>
                <w:numId w:val="35"/>
              </w:numPr>
              <w:autoSpaceDE w:val="0"/>
              <w:autoSpaceDN w:val="0"/>
              <w:adjustRightInd w:val="0"/>
              <w:rPr>
                <w:rFonts w:cs="Times New Roman"/>
                <w:sz w:val="20"/>
                <w:lang w:eastAsia="ja-JP"/>
              </w:rPr>
            </w:pPr>
            <w:r w:rsidRPr="000605BC">
              <w:rPr>
                <w:rFonts w:cs="Times New Roman"/>
                <w:sz w:val="20"/>
                <w:lang w:eastAsia="ja-JP"/>
              </w:rPr>
              <w:t>there is a suspicion of money laundering or terrorist financing; or</w:t>
            </w:r>
          </w:p>
          <w:p w14:paraId="2472F080" w14:textId="0E7D6A33" w:rsidR="00450F0C" w:rsidRPr="000605BC" w:rsidRDefault="00450F0C" w:rsidP="00696D88">
            <w:pPr>
              <w:pStyle w:val="ListParagraph"/>
              <w:numPr>
                <w:ilvl w:val="0"/>
                <w:numId w:val="35"/>
              </w:numPr>
              <w:autoSpaceDE w:val="0"/>
              <w:autoSpaceDN w:val="0"/>
              <w:adjustRightInd w:val="0"/>
              <w:rPr>
                <w:rFonts w:cs="Times New Roman"/>
                <w:sz w:val="20"/>
                <w:lang w:eastAsia="ja-JP"/>
              </w:rPr>
            </w:pPr>
            <w:proofErr w:type="gramStart"/>
            <w:r w:rsidRPr="000605BC">
              <w:rPr>
                <w:rFonts w:cs="Times New Roman"/>
                <w:sz w:val="20"/>
                <w:lang w:eastAsia="ja-JP"/>
              </w:rPr>
              <w:t>the</w:t>
            </w:r>
            <w:proofErr w:type="gramEnd"/>
            <w:r w:rsidRPr="000605BC">
              <w:rPr>
                <w:rFonts w:cs="Times New Roman"/>
                <w:sz w:val="20"/>
                <w:lang w:eastAsia="ja-JP"/>
              </w:rPr>
              <w:t xml:space="preserve"> financial institution has doubts about the veracity or adequacy of previously obtained customer identification data.</w:t>
            </w:r>
          </w:p>
          <w:p w14:paraId="68811379" w14:textId="77777777" w:rsidR="00450F0C" w:rsidRPr="000605BC" w:rsidRDefault="00450F0C" w:rsidP="00450F0C">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The principle that financial institutions should conduct CDD should be set out in law. Each country may determine how it imposes specific CDD obligations, either through law or enforceable means.</w:t>
            </w:r>
          </w:p>
          <w:p w14:paraId="3AD4F2E8" w14:textId="77777777" w:rsidR="00450F0C" w:rsidRPr="000605BC" w:rsidRDefault="00450F0C" w:rsidP="00450F0C">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The CDD measures to be taken are as follows:</w:t>
            </w:r>
          </w:p>
          <w:p w14:paraId="167781FB" w14:textId="3D3A98BB" w:rsidR="00450F0C" w:rsidRPr="000605BC" w:rsidRDefault="00450F0C" w:rsidP="00696D88">
            <w:pPr>
              <w:pStyle w:val="ListParagraph"/>
              <w:numPr>
                <w:ilvl w:val="0"/>
                <w:numId w:val="36"/>
              </w:numPr>
              <w:autoSpaceDE w:val="0"/>
              <w:autoSpaceDN w:val="0"/>
              <w:adjustRightInd w:val="0"/>
              <w:rPr>
                <w:rFonts w:cs="Times New Roman"/>
                <w:sz w:val="20"/>
                <w:lang w:eastAsia="ja-JP"/>
              </w:rPr>
            </w:pPr>
            <w:r w:rsidRPr="000605BC">
              <w:rPr>
                <w:rFonts w:cs="Times New Roman"/>
                <w:sz w:val="20"/>
                <w:lang w:eastAsia="ja-JP"/>
              </w:rPr>
              <w:t>Identifying the customer and verifying that customer’s identity using reliable, independent source documents, data or information.</w:t>
            </w:r>
          </w:p>
          <w:p w14:paraId="01C2298B" w14:textId="741701A2" w:rsidR="00450F0C" w:rsidRPr="000605BC" w:rsidRDefault="00450F0C" w:rsidP="00696D88">
            <w:pPr>
              <w:pStyle w:val="ListParagraph"/>
              <w:numPr>
                <w:ilvl w:val="0"/>
                <w:numId w:val="36"/>
              </w:numPr>
              <w:autoSpaceDE w:val="0"/>
              <w:autoSpaceDN w:val="0"/>
              <w:adjustRightInd w:val="0"/>
              <w:rPr>
                <w:rFonts w:cs="Times New Roman"/>
                <w:sz w:val="20"/>
                <w:lang w:eastAsia="ja-JP"/>
              </w:rPr>
            </w:pPr>
            <w:r w:rsidRPr="000605BC">
              <w:rPr>
                <w:rFonts w:cs="Times New Roman"/>
                <w:sz w:val="20"/>
                <w:lang w:eastAsia="ja-JP"/>
              </w:rPr>
              <w:t>Identifying the beneficial owner, and taking reasonable measures to verify the identity of the beneficial owner, such that the financial institution is satisfied that it knows who the beneficial owner is. For legal persons and arrangements this should include financial institutions understanding the ownership and control structure of the customer.</w:t>
            </w:r>
          </w:p>
          <w:p w14:paraId="10C0652F" w14:textId="0C1306E5" w:rsidR="00450F0C" w:rsidRPr="000605BC" w:rsidRDefault="00450F0C" w:rsidP="00696D88">
            <w:pPr>
              <w:pStyle w:val="ListParagraph"/>
              <w:numPr>
                <w:ilvl w:val="0"/>
                <w:numId w:val="36"/>
              </w:numPr>
              <w:autoSpaceDE w:val="0"/>
              <w:autoSpaceDN w:val="0"/>
              <w:adjustRightInd w:val="0"/>
              <w:rPr>
                <w:rFonts w:cs="Times New Roman"/>
                <w:sz w:val="20"/>
                <w:lang w:eastAsia="ja-JP"/>
              </w:rPr>
            </w:pPr>
            <w:r w:rsidRPr="000605BC">
              <w:rPr>
                <w:rFonts w:cs="Times New Roman"/>
                <w:sz w:val="20"/>
                <w:lang w:eastAsia="ja-JP"/>
              </w:rPr>
              <w:t>Understanding and, as appropriate, obtaining information on the purpose and intended nature of the business relationship.</w:t>
            </w:r>
          </w:p>
          <w:p w14:paraId="3FF66B95" w14:textId="01154E1C" w:rsidR="00450F0C" w:rsidRPr="000605BC" w:rsidRDefault="00450F0C" w:rsidP="00696D88">
            <w:pPr>
              <w:pStyle w:val="ListParagraph"/>
              <w:numPr>
                <w:ilvl w:val="0"/>
                <w:numId w:val="36"/>
              </w:numPr>
              <w:autoSpaceDE w:val="0"/>
              <w:autoSpaceDN w:val="0"/>
              <w:adjustRightInd w:val="0"/>
              <w:rPr>
                <w:rFonts w:cs="Times New Roman"/>
                <w:sz w:val="20"/>
                <w:lang w:eastAsia="ja-JP"/>
              </w:rPr>
            </w:pPr>
            <w:r w:rsidRPr="000605BC">
              <w:rPr>
                <w:rFonts w:cs="Times New Roman"/>
                <w:sz w:val="20"/>
                <w:lang w:eastAsia="ja-JP"/>
              </w:rPr>
              <w:t>Conducting ongoing due diligence on the business relationship and scrutiny of transactions undertaken throughout the course of that relationship to ensure that the transactions being conducted are consistent with the institution’s knowledge of the customer, their business and risk profile, including, where necessary, the source of funds.</w:t>
            </w:r>
          </w:p>
          <w:p w14:paraId="6B8A03C0" w14:textId="77777777" w:rsidR="00450F0C" w:rsidRPr="000605BC" w:rsidRDefault="00450F0C" w:rsidP="00450F0C">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Financial institutions should be required to apply each of the CDD measures under (a) to (d) above, but should determine the extent of such measures using a risk-based approach (RBA) in accordance with the Interpretive Notes to this Recommendation and to Recommendation 1.</w:t>
            </w:r>
          </w:p>
          <w:p w14:paraId="28BEC7AD" w14:textId="77777777" w:rsidR="00450F0C" w:rsidRPr="000605BC" w:rsidRDefault="00450F0C" w:rsidP="00450F0C">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Financial institutions should be required to verify the identity of the customer and beneficial owner before or during the course of establishing a business relationship or conducting transactions for occasional customers. Countries may permit financial institutions to complete the verification as soon as reasonably practicable following the establishment of the relationship, where the money laundering and terrorist financing risks are effectively managed and where this is essential not to interrupt the normal conduct of business.</w:t>
            </w:r>
          </w:p>
          <w:p w14:paraId="39FEF31E" w14:textId="77777777" w:rsidR="00450F0C" w:rsidRPr="000605BC" w:rsidRDefault="00450F0C" w:rsidP="00450F0C">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Where the financial institution is unable to comply with the applicable requirements under paragraphs (a) to (d) above (subject to appropriate modification of the extent of the measures on a risk-based approach), it should be required not to open the account, commence business relations or perform the transaction; or should be required to terminate the business relationship; and should consider making a suspicious transactions report in relation to the customer.</w:t>
            </w:r>
          </w:p>
          <w:p w14:paraId="04C19361" w14:textId="77777777" w:rsidR="00450F0C" w:rsidRPr="000605BC" w:rsidRDefault="00450F0C" w:rsidP="00450F0C">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These requirements should apply to all new customers, although financial institutions should also apply this Recommendation to existing customers on the basis of materiality and risk, and should conduct due diligence on such existing relationships at appropriate times.</w:t>
            </w:r>
          </w:p>
          <w:p w14:paraId="27659627" w14:textId="679F4C42" w:rsidR="00450F0C" w:rsidRPr="000605BC" w:rsidRDefault="00450F0C" w:rsidP="00557DB1">
            <w:pPr>
              <w:pStyle w:val="ExcerptMarker"/>
              <w:spacing w:after="0"/>
              <w:rPr>
                <w:sz w:val="16"/>
              </w:rPr>
            </w:pPr>
            <w:r w:rsidRPr="000605BC">
              <w:rPr>
                <w:sz w:val="16"/>
              </w:rPr>
              <w:t>End of Excerpt</w:t>
            </w:r>
          </w:p>
        </w:tc>
      </w:tr>
    </w:tbl>
    <w:p w14:paraId="2B3B31F0" w14:textId="552B4C40" w:rsidR="008520FD" w:rsidRPr="000605BC" w:rsidRDefault="002C1E1D" w:rsidP="009257D9">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 xml:space="preserve">As </w:t>
      </w:r>
      <w:r w:rsidR="00603223" w:rsidRPr="000605BC">
        <w:rPr>
          <w:rFonts w:eastAsiaTheme="minorEastAsia" w:cs="Times New Roman"/>
          <w:sz w:val="20"/>
          <w:lang w:val="en-US" w:eastAsia="ja-JP"/>
        </w:rPr>
        <w:t xml:space="preserve">discussed in the </w:t>
      </w:r>
      <w:r w:rsidRPr="000605BC">
        <w:rPr>
          <w:rFonts w:eastAsiaTheme="minorEastAsia" w:cs="Times New Roman"/>
          <w:sz w:val="20"/>
          <w:highlight w:val="cyan"/>
          <w:lang w:val="en-US" w:eastAsia="ja-JP"/>
        </w:rPr>
        <w:t>first section of this chapter</w:t>
      </w:r>
      <w:r w:rsidRPr="000605BC">
        <w:rPr>
          <w:rFonts w:eastAsiaTheme="minorEastAsia" w:cs="Times New Roman"/>
          <w:sz w:val="20"/>
          <w:lang w:val="en-US" w:eastAsia="ja-JP"/>
        </w:rPr>
        <w:t>, PEPs launder large amounts of misappropriated government funds and bribes every year. Because of the particular risks associated with PEPs, FATF Recommendation 1</w:t>
      </w:r>
      <w:r w:rsidR="00603223" w:rsidRPr="000605BC">
        <w:rPr>
          <w:rFonts w:eastAsiaTheme="minorEastAsia" w:cs="Times New Roman"/>
          <w:sz w:val="20"/>
          <w:lang w:val="en-US" w:eastAsia="ja-JP"/>
        </w:rPr>
        <w:t xml:space="preserve">2, set out below, </w:t>
      </w:r>
      <w:r w:rsidRPr="000605BC">
        <w:rPr>
          <w:rFonts w:eastAsiaTheme="minorEastAsia" w:cs="Times New Roman"/>
          <w:sz w:val="20"/>
          <w:lang w:val="en-US" w:eastAsia="ja-JP"/>
        </w:rPr>
        <w:t>requires enhanced due diligence when dealing with them as customers:</w:t>
      </w:r>
    </w:p>
    <w:tbl>
      <w:tblPr>
        <w:tblStyle w:val="TableGrid"/>
        <w:tblW w:w="0" w:type="auto"/>
        <w:jc w:val="center"/>
        <w:tblCellMar>
          <w:top w:w="284" w:type="dxa"/>
          <w:left w:w="284" w:type="dxa"/>
          <w:bottom w:w="284" w:type="dxa"/>
          <w:right w:w="284" w:type="dxa"/>
        </w:tblCellMar>
        <w:tblLook w:val="04A0" w:firstRow="1" w:lastRow="0" w:firstColumn="1" w:lastColumn="0" w:noHBand="0" w:noVBand="1"/>
      </w:tblPr>
      <w:tblGrid>
        <w:gridCol w:w="8080"/>
      </w:tblGrid>
      <w:tr w:rsidR="00450F0C" w:rsidRPr="000605BC" w14:paraId="23636409" w14:textId="77777777" w:rsidTr="00557DB1">
        <w:trPr>
          <w:jc w:val="center"/>
        </w:trPr>
        <w:tc>
          <w:tcPr>
            <w:tcW w:w="9576" w:type="dxa"/>
            <w:tcBorders>
              <w:top w:val="nil"/>
              <w:left w:val="nil"/>
              <w:bottom w:val="nil"/>
              <w:right w:val="nil"/>
            </w:tcBorders>
            <w:shd w:val="clear" w:color="auto" w:fill="D9D9D9" w:themeFill="background1" w:themeFillShade="D9"/>
          </w:tcPr>
          <w:p w14:paraId="0E44CC00" w14:textId="77777777" w:rsidR="00450F0C" w:rsidRPr="000605BC" w:rsidRDefault="00450F0C" w:rsidP="00557DB1">
            <w:pPr>
              <w:pStyle w:val="ExcerptMarker"/>
              <w:spacing w:before="0"/>
              <w:rPr>
                <w:sz w:val="16"/>
              </w:rPr>
            </w:pPr>
            <w:r w:rsidRPr="000605BC">
              <w:rPr>
                <w:sz w:val="16"/>
              </w:rPr>
              <w:t>Beginning of Excerpt</w:t>
            </w:r>
          </w:p>
          <w:p w14:paraId="03F40CBD" w14:textId="77777777" w:rsidR="00450F0C" w:rsidRPr="000605BC" w:rsidRDefault="00450F0C" w:rsidP="00450F0C">
            <w:pPr>
              <w:autoSpaceDE w:val="0"/>
              <w:autoSpaceDN w:val="0"/>
              <w:adjustRightInd w:val="0"/>
              <w:rPr>
                <w:rFonts w:eastAsiaTheme="minorEastAsia" w:cs="Times New Roman"/>
                <w:sz w:val="20"/>
                <w:lang w:val="en-US" w:eastAsia="ja-JP"/>
              </w:rPr>
            </w:pPr>
            <w:r w:rsidRPr="000605BC">
              <w:rPr>
                <w:rFonts w:eastAsiaTheme="minorEastAsia" w:cs="Times New Roman"/>
                <w:b/>
                <w:bCs/>
                <w:sz w:val="20"/>
                <w:lang w:val="en-US" w:eastAsia="ja-JP"/>
              </w:rPr>
              <w:t>12. Politically exposed persons</w:t>
            </w:r>
          </w:p>
          <w:p w14:paraId="44995972" w14:textId="77777777" w:rsidR="00450F0C" w:rsidRPr="000605BC" w:rsidRDefault="00450F0C" w:rsidP="00450F0C">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Financial institutions should be required, in relation to foreign politically exposed persons (PEPs) (whether as customer or beneficial owner), in addition to performing normal customer due diligence measures, to:</w:t>
            </w:r>
          </w:p>
          <w:p w14:paraId="4A0947C3" w14:textId="4403EBC4" w:rsidR="00450F0C" w:rsidRPr="000605BC" w:rsidRDefault="00450F0C" w:rsidP="00696D88">
            <w:pPr>
              <w:pStyle w:val="ListParagraph"/>
              <w:numPr>
                <w:ilvl w:val="0"/>
                <w:numId w:val="28"/>
              </w:numPr>
              <w:autoSpaceDE w:val="0"/>
              <w:autoSpaceDN w:val="0"/>
              <w:adjustRightInd w:val="0"/>
              <w:rPr>
                <w:rFonts w:cs="Times New Roman"/>
                <w:sz w:val="20"/>
                <w:lang w:eastAsia="ja-JP"/>
              </w:rPr>
            </w:pPr>
            <w:r w:rsidRPr="000605BC">
              <w:rPr>
                <w:rFonts w:cs="Times New Roman"/>
                <w:sz w:val="20"/>
                <w:lang w:eastAsia="ja-JP"/>
              </w:rPr>
              <w:t>have appropriate risk-management systems to determine whether the customer or the beneficial owner is a politically exposed person;</w:t>
            </w:r>
          </w:p>
          <w:p w14:paraId="6112D343" w14:textId="69A2E54F" w:rsidR="00450F0C" w:rsidRPr="000605BC" w:rsidRDefault="00450F0C" w:rsidP="00696D88">
            <w:pPr>
              <w:pStyle w:val="ListParagraph"/>
              <w:numPr>
                <w:ilvl w:val="0"/>
                <w:numId w:val="28"/>
              </w:numPr>
              <w:autoSpaceDE w:val="0"/>
              <w:autoSpaceDN w:val="0"/>
              <w:adjustRightInd w:val="0"/>
              <w:rPr>
                <w:rFonts w:cs="Times New Roman"/>
                <w:sz w:val="20"/>
                <w:lang w:eastAsia="ja-JP"/>
              </w:rPr>
            </w:pPr>
            <w:r w:rsidRPr="000605BC">
              <w:rPr>
                <w:rFonts w:cs="Times New Roman"/>
                <w:sz w:val="20"/>
                <w:lang w:eastAsia="ja-JP"/>
              </w:rPr>
              <w:t>obtain senior management approval for establishing (or continuing, for existing customers) such business relationships;</w:t>
            </w:r>
          </w:p>
          <w:p w14:paraId="2A3F9FDC" w14:textId="229816AF" w:rsidR="00450F0C" w:rsidRPr="000605BC" w:rsidRDefault="00450F0C" w:rsidP="00696D88">
            <w:pPr>
              <w:pStyle w:val="ListParagraph"/>
              <w:numPr>
                <w:ilvl w:val="0"/>
                <w:numId w:val="28"/>
              </w:numPr>
              <w:autoSpaceDE w:val="0"/>
              <w:autoSpaceDN w:val="0"/>
              <w:adjustRightInd w:val="0"/>
              <w:rPr>
                <w:rFonts w:cs="Times New Roman"/>
                <w:sz w:val="20"/>
                <w:lang w:eastAsia="ja-JP"/>
              </w:rPr>
            </w:pPr>
            <w:r w:rsidRPr="000605BC">
              <w:rPr>
                <w:rFonts w:cs="Times New Roman"/>
                <w:sz w:val="20"/>
                <w:lang w:eastAsia="ja-JP"/>
              </w:rPr>
              <w:t>take reasonable measures to establish the source of wealth and source of funds; and</w:t>
            </w:r>
          </w:p>
          <w:p w14:paraId="65E491B0" w14:textId="2427CFCB" w:rsidR="00450F0C" w:rsidRPr="000605BC" w:rsidRDefault="00450F0C" w:rsidP="00696D88">
            <w:pPr>
              <w:pStyle w:val="ListParagraph"/>
              <w:numPr>
                <w:ilvl w:val="0"/>
                <w:numId w:val="28"/>
              </w:numPr>
              <w:autoSpaceDE w:val="0"/>
              <w:autoSpaceDN w:val="0"/>
              <w:adjustRightInd w:val="0"/>
              <w:rPr>
                <w:rFonts w:cs="Times New Roman"/>
                <w:sz w:val="20"/>
                <w:lang w:eastAsia="ja-JP"/>
              </w:rPr>
            </w:pPr>
            <w:proofErr w:type="gramStart"/>
            <w:r w:rsidRPr="000605BC">
              <w:rPr>
                <w:rFonts w:cs="Times New Roman"/>
                <w:sz w:val="20"/>
                <w:lang w:eastAsia="ja-JP"/>
              </w:rPr>
              <w:t>conduct</w:t>
            </w:r>
            <w:proofErr w:type="gramEnd"/>
            <w:r w:rsidRPr="000605BC">
              <w:rPr>
                <w:rFonts w:cs="Times New Roman"/>
                <w:sz w:val="20"/>
                <w:lang w:eastAsia="ja-JP"/>
              </w:rPr>
              <w:t xml:space="preserve"> enhanced ongoing monitoring of the business relationship.</w:t>
            </w:r>
          </w:p>
          <w:p w14:paraId="0CB5F3D1" w14:textId="77777777" w:rsidR="00450F0C" w:rsidRPr="000605BC" w:rsidRDefault="00450F0C" w:rsidP="00450F0C">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 xml:space="preserve">Financial institutions should be required to take reasonable measures to determine whether a customer or beneficial owner is a domestic PEP or a person who is or has been entrusted with a prominent function by an international </w:t>
            </w:r>
            <w:proofErr w:type="spellStart"/>
            <w:r w:rsidRPr="000605BC">
              <w:rPr>
                <w:rFonts w:eastAsiaTheme="minorEastAsia" w:cs="Times New Roman"/>
                <w:sz w:val="20"/>
                <w:lang w:val="en-US" w:eastAsia="ja-JP"/>
              </w:rPr>
              <w:t>organisation</w:t>
            </w:r>
            <w:proofErr w:type="spellEnd"/>
            <w:r w:rsidRPr="000605BC">
              <w:rPr>
                <w:rFonts w:eastAsiaTheme="minorEastAsia" w:cs="Times New Roman"/>
                <w:sz w:val="20"/>
                <w:lang w:val="en-US" w:eastAsia="ja-JP"/>
              </w:rPr>
              <w:t>. In cases of a higher risk business relationship with such persons, financial institutions should be required to apply the measures referred to in paragraphs (b), (c) and (d).</w:t>
            </w:r>
          </w:p>
          <w:p w14:paraId="307F6C1D" w14:textId="653D6008" w:rsidR="00450F0C" w:rsidRPr="000605BC" w:rsidRDefault="00450F0C" w:rsidP="00557DB1">
            <w:pPr>
              <w:pStyle w:val="ExcerptMarker"/>
              <w:spacing w:after="0"/>
              <w:rPr>
                <w:sz w:val="16"/>
              </w:rPr>
            </w:pPr>
            <w:r w:rsidRPr="000605BC">
              <w:rPr>
                <w:sz w:val="16"/>
              </w:rPr>
              <w:t>End of Excerpt</w:t>
            </w:r>
          </w:p>
        </w:tc>
      </w:tr>
    </w:tbl>
    <w:p w14:paraId="2B4CF558" w14:textId="097FFC1E" w:rsidR="00276E8F" w:rsidRPr="000605BC" w:rsidRDefault="00F87574" w:rsidP="00916A81">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 xml:space="preserve">Both the UK </w:t>
      </w:r>
      <w:r w:rsidR="00603223" w:rsidRPr="000605BC">
        <w:rPr>
          <w:rFonts w:eastAsiaTheme="minorEastAsia" w:cs="Times New Roman"/>
          <w:sz w:val="20"/>
          <w:lang w:val="en-US" w:eastAsia="ja-JP"/>
        </w:rPr>
        <w:t xml:space="preserve">and Canada </w:t>
      </w:r>
      <w:r w:rsidRPr="000605BC">
        <w:rPr>
          <w:rFonts w:eastAsiaTheme="minorEastAsia" w:cs="Times New Roman"/>
          <w:sz w:val="20"/>
          <w:lang w:val="en-US" w:eastAsia="ja-JP"/>
        </w:rPr>
        <w:t>have created comprehensive regulatory frameworks to implement the above recommendations</w:t>
      </w:r>
      <w:r w:rsidR="0076549E" w:rsidRPr="000605BC">
        <w:rPr>
          <w:rFonts w:eastAsiaTheme="minorEastAsia" w:cs="Times New Roman"/>
          <w:sz w:val="20"/>
          <w:lang w:val="en-US" w:eastAsia="ja-JP"/>
        </w:rPr>
        <w:t>.</w:t>
      </w:r>
      <w:r w:rsidR="00603223" w:rsidRPr="000605BC">
        <w:rPr>
          <w:rStyle w:val="FootnoteReference"/>
          <w:rFonts w:eastAsiaTheme="minorEastAsia" w:cs="Times New Roman"/>
          <w:sz w:val="20"/>
          <w:lang w:val="en-US" w:eastAsia="ja-JP"/>
        </w:rPr>
        <w:footnoteReference w:id="87"/>
      </w:r>
      <w:r w:rsidRPr="000605BC">
        <w:rPr>
          <w:rFonts w:eastAsiaTheme="minorEastAsia" w:cs="Times New Roman"/>
          <w:sz w:val="20"/>
          <w:lang w:val="en-US" w:eastAsia="ja-JP"/>
        </w:rPr>
        <w:t xml:space="preserve"> Both countries require financial institutions to collect and record personal information about their customers. As suggested by the FATF, both also require banks to conduct ongoing monitoring of the customer relationship and to take steps to identify the beneficial owners of customers that are organizations. Finally, both Canada and the UK require financial institutions to take steps to determ</w:t>
      </w:r>
      <w:r w:rsidR="00BA001C" w:rsidRPr="000605BC">
        <w:rPr>
          <w:rFonts w:eastAsiaTheme="minorEastAsia" w:cs="Times New Roman"/>
          <w:sz w:val="20"/>
          <w:lang w:val="en-US" w:eastAsia="ja-JP"/>
        </w:rPr>
        <w:t>ine if their customers are PEPs</w:t>
      </w:r>
      <w:r w:rsidRPr="000605BC">
        <w:rPr>
          <w:rFonts w:eastAsiaTheme="minorEastAsia" w:cs="Times New Roman"/>
          <w:sz w:val="20"/>
          <w:lang w:val="en-US" w:eastAsia="ja-JP"/>
        </w:rPr>
        <w:t xml:space="preserve"> and require enhanced due diligence in such cases.</w:t>
      </w:r>
      <w:r w:rsidRPr="000605BC">
        <w:rPr>
          <w:rStyle w:val="FootnoteReference"/>
          <w:rFonts w:eastAsiaTheme="minorEastAsia" w:cs="Times New Roman"/>
          <w:sz w:val="20"/>
          <w:lang w:val="en-US" w:eastAsia="ja-JP"/>
        </w:rPr>
        <w:footnoteReference w:id="88"/>
      </w:r>
      <w:r w:rsidR="002950DB" w:rsidRPr="000605BC">
        <w:rPr>
          <w:rFonts w:eastAsiaTheme="minorEastAsia" w:cs="Times New Roman"/>
          <w:sz w:val="20"/>
          <w:lang w:val="en-US" w:eastAsia="ja-JP"/>
        </w:rPr>
        <w:t xml:space="preserve"> The PEP concept has been criticized by some for its vagueness. Different definitions are used internationally</w:t>
      </w:r>
      <w:r w:rsidR="0076549E" w:rsidRPr="000605BC">
        <w:rPr>
          <w:rFonts w:eastAsiaTheme="minorEastAsia" w:cs="Times New Roman"/>
          <w:sz w:val="20"/>
          <w:lang w:val="en-US" w:eastAsia="ja-JP"/>
        </w:rPr>
        <w:t>,</w:t>
      </w:r>
      <w:r w:rsidR="002950DB" w:rsidRPr="000605BC">
        <w:rPr>
          <w:rFonts w:eastAsiaTheme="minorEastAsia" w:cs="Times New Roman"/>
          <w:sz w:val="20"/>
          <w:lang w:val="en-US" w:eastAsia="ja-JP"/>
        </w:rPr>
        <w:t xml:space="preserve"> and challenges arise in determining who fits each definition. Financial institutions must choose where to draw the line, which is often far from clear cut.</w:t>
      </w:r>
      <w:r w:rsidR="00E42A41" w:rsidRPr="000605BC">
        <w:rPr>
          <w:rStyle w:val="FootnoteReference"/>
          <w:rFonts w:eastAsiaTheme="minorEastAsia" w:cs="Times New Roman"/>
          <w:sz w:val="20"/>
          <w:lang w:val="en-US" w:eastAsia="ja-JP"/>
        </w:rPr>
        <w:footnoteReference w:id="89"/>
      </w:r>
      <w:r w:rsidRPr="000605BC">
        <w:rPr>
          <w:rFonts w:eastAsiaTheme="minorEastAsia" w:cs="Times New Roman"/>
          <w:sz w:val="20"/>
          <w:lang w:val="en-US" w:eastAsia="ja-JP"/>
        </w:rPr>
        <w:t xml:space="preserve"> </w:t>
      </w:r>
    </w:p>
    <w:p w14:paraId="16CD7759" w14:textId="2DF04172" w:rsidR="00513AAC" w:rsidRPr="000605BC" w:rsidRDefault="003112A6" w:rsidP="00BD57FE">
      <w:pPr>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At present, t</w:t>
      </w:r>
      <w:r w:rsidR="00F87574" w:rsidRPr="000605BC">
        <w:rPr>
          <w:rFonts w:eastAsiaTheme="minorEastAsia" w:cs="Times New Roman"/>
          <w:sz w:val="20"/>
          <w:lang w:val="en-US" w:eastAsia="ja-JP"/>
        </w:rPr>
        <w:t xml:space="preserve">he US CDD regime is </w:t>
      </w:r>
      <w:r w:rsidRPr="000605BC">
        <w:rPr>
          <w:rFonts w:eastAsiaTheme="minorEastAsia" w:cs="Times New Roman"/>
          <w:sz w:val="20"/>
          <w:lang w:val="en-US" w:eastAsia="ja-JP"/>
        </w:rPr>
        <w:t>somewhat</w:t>
      </w:r>
      <w:r w:rsidR="00F87574" w:rsidRPr="000605BC">
        <w:rPr>
          <w:rFonts w:eastAsiaTheme="minorEastAsia" w:cs="Times New Roman"/>
          <w:sz w:val="20"/>
          <w:lang w:val="en-US" w:eastAsia="ja-JP"/>
        </w:rPr>
        <w:t xml:space="preserve"> weak</w:t>
      </w:r>
      <w:r w:rsidRPr="000605BC">
        <w:rPr>
          <w:rFonts w:eastAsiaTheme="minorEastAsia" w:cs="Times New Roman"/>
          <w:sz w:val="20"/>
          <w:lang w:val="en-US" w:eastAsia="ja-JP"/>
        </w:rPr>
        <w:t>er</w:t>
      </w:r>
      <w:r w:rsidR="00F87574" w:rsidRPr="000605BC">
        <w:rPr>
          <w:rFonts w:eastAsiaTheme="minorEastAsia" w:cs="Times New Roman"/>
          <w:sz w:val="20"/>
          <w:lang w:val="en-US" w:eastAsia="ja-JP"/>
        </w:rPr>
        <w:t>. US regulations require financial institutions to set up a Cus</w:t>
      </w:r>
      <w:r w:rsidR="00D04559" w:rsidRPr="000605BC">
        <w:rPr>
          <w:rFonts w:eastAsiaTheme="minorEastAsia" w:cs="Times New Roman"/>
          <w:sz w:val="20"/>
          <w:lang w:val="en-US" w:eastAsia="ja-JP"/>
        </w:rPr>
        <w:t>tomer Identification Program (C</w:t>
      </w:r>
      <w:r w:rsidR="00F87574" w:rsidRPr="000605BC">
        <w:rPr>
          <w:rFonts w:eastAsiaTheme="minorEastAsia" w:cs="Times New Roman"/>
          <w:sz w:val="20"/>
          <w:lang w:val="en-US" w:eastAsia="ja-JP"/>
        </w:rPr>
        <w:t>I</w:t>
      </w:r>
      <w:r w:rsidR="00D04559" w:rsidRPr="000605BC">
        <w:rPr>
          <w:rFonts w:eastAsiaTheme="minorEastAsia" w:cs="Times New Roman"/>
          <w:sz w:val="20"/>
          <w:lang w:val="en-US" w:eastAsia="ja-JP"/>
        </w:rPr>
        <w:t>P</w:t>
      </w:r>
      <w:r w:rsidR="00F87574" w:rsidRPr="000605BC">
        <w:rPr>
          <w:rFonts w:eastAsiaTheme="minorEastAsia" w:cs="Times New Roman"/>
          <w:sz w:val="20"/>
          <w:lang w:val="en-US" w:eastAsia="ja-JP"/>
        </w:rPr>
        <w:t>) to determine the identity of each customer.</w:t>
      </w:r>
      <w:r w:rsidR="00F87574" w:rsidRPr="000605BC">
        <w:rPr>
          <w:rStyle w:val="FootnoteReference"/>
          <w:rFonts w:eastAsiaTheme="minorEastAsia" w:cs="Times New Roman"/>
          <w:sz w:val="20"/>
          <w:lang w:val="en-US" w:eastAsia="ja-JP"/>
        </w:rPr>
        <w:footnoteReference w:id="90"/>
      </w:r>
      <w:r w:rsidR="00F87574" w:rsidRPr="000605BC">
        <w:rPr>
          <w:rFonts w:eastAsiaTheme="minorEastAsia" w:cs="Times New Roman"/>
          <w:sz w:val="20"/>
          <w:lang w:val="en-US" w:eastAsia="ja-JP"/>
        </w:rPr>
        <w:t xml:space="preserve"> However, there </w:t>
      </w:r>
      <w:r w:rsidR="007910EF" w:rsidRPr="000605BC">
        <w:rPr>
          <w:rFonts w:eastAsiaTheme="minorEastAsia" w:cs="Times New Roman"/>
          <w:sz w:val="20"/>
          <w:lang w:val="en-US" w:eastAsia="ja-JP"/>
        </w:rPr>
        <w:t>are</w:t>
      </w:r>
      <w:r w:rsidR="00F87574" w:rsidRPr="000605BC">
        <w:rPr>
          <w:rFonts w:eastAsiaTheme="minorEastAsia" w:cs="Times New Roman"/>
          <w:sz w:val="20"/>
          <w:lang w:val="en-US" w:eastAsia="ja-JP"/>
        </w:rPr>
        <w:t xml:space="preserve"> no</w:t>
      </w:r>
      <w:r w:rsidR="007910EF" w:rsidRPr="000605BC">
        <w:rPr>
          <w:rFonts w:eastAsiaTheme="minorEastAsia" w:cs="Times New Roman"/>
          <w:sz w:val="20"/>
          <w:lang w:val="en-US" w:eastAsia="ja-JP"/>
        </w:rPr>
        <w:t xml:space="preserve"> specific</w:t>
      </w:r>
      <w:r w:rsidR="00F87574" w:rsidRPr="000605BC">
        <w:rPr>
          <w:rFonts w:eastAsiaTheme="minorEastAsia" w:cs="Times New Roman"/>
          <w:sz w:val="20"/>
          <w:lang w:val="en-US" w:eastAsia="ja-JP"/>
        </w:rPr>
        <w:t xml:space="preserve"> requirement</w:t>
      </w:r>
      <w:r w:rsidR="007910EF" w:rsidRPr="000605BC">
        <w:rPr>
          <w:rFonts w:eastAsiaTheme="minorEastAsia" w:cs="Times New Roman"/>
          <w:sz w:val="20"/>
          <w:lang w:val="en-US" w:eastAsia="ja-JP"/>
        </w:rPr>
        <w:t>s</w:t>
      </w:r>
      <w:r w:rsidR="00F87574" w:rsidRPr="000605BC">
        <w:rPr>
          <w:rFonts w:eastAsiaTheme="minorEastAsia" w:cs="Times New Roman"/>
          <w:sz w:val="20"/>
          <w:lang w:val="en-US" w:eastAsia="ja-JP"/>
        </w:rPr>
        <w:t xml:space="preserve"> to identify beneficial ownership or conduct ongoing monitoring of the customer relationship. FINCEN is moving to address these weaknesses in the near future. A proposal for new regulations incorporating these elements was released in 2014.</w:t>
      </w:r>
      <w:r w:rsidR="00F87574" w:rsidRPr="000605BC">
        <w:rPr>
          <w:rStyle w:val="FootnoteReference"/>
          <w:rFonts w:eastAsiaTheme="minorEastAsia" w:cs="Times New Roman"/>
          <w:sz w:val="20"/>
          <w:lang w:val="en-US" w:eastAsia="ja-JP"/>
        </w:rPr>
        <w:footnoteReference w:id="91"/>
      </w:r>
      <w:r w:rsidR="002822D1" w:rsidRPr="000605BC">
        <w:rPr>
          <w:rFonts w:eastAsiaTheme="minorEastAsia" w:cs="Times New Roman"/>
          <w:sz w:val="20"/>
          <w:lang w:val="en-US" w:eastAsia="ja-JP"/>
        </w:rPr>
        <w:t xml:space="preserve"> </w:t>
      </w:r>
      <w:r w:rsidRPr="000605BC">
        <w:rPr>
          <w:rFonts w:eastAsiaTheme="minorEastAsia" w:cs="Times New Roman"/>
          <w:sz w:val="20"/>
          <w:lang w:val="en-US" w:eastAsia="ja-JP"/>
        </w:rPr>
        <w:t>The US does require enhanced CDD in the case of correspondent accounts created by US banks for non-US persons. These measures include a requirement to determine beneficial ownership of any organizations involved and to determine whether the account holder is a Senior Foreign Political Figure (the US statutory language, roughly equivalent to PEP).</w:t>
      </w:r>
      <w:r w:rsidRPr="000605BC">
        <w:rPr>
          <w:rStyle w:val="FootnoteReference"/>
          <w:rFonts w:eastAsiaTheme="minorEastAsia" w:cs="Times New Roman"/>
          <w:sz w:val="20"/>
          <w:lang w:val="en-US" w:eastAsia="ja-JP"/>
        </w:rPr>
        <w:footnoteReference w:id="92"/>
      </w:r>
    </w:p>
    <w:p w14:paraId="46ECA7AD" w14:textId="34F833C6" w:rsidR="008C1F47" w:rsidRPr="000605BC" w:rsidRDefault="008C1F47" w:rsidP="00BD57FE">
      <w:pPr>
        <w:pStyle w:val="Heading3"/>
        <w:rPr>
          <w:sz w:val="20"/>
        </w:rPr>
      </w:pPr>
      <w:bookmarkStart w:id="66" w:name="_Toc287093740"/>
      <w:bookmarkStart w:id="67" w:name="_Toc419901558"/>
      <w:r w:rsidRPr="000605BC">
        <w:rPr>
          <w:sz w:val="22"/>
        </w:rPr>
        <w:t>Transaction Reporting</w:t>
      </w:r>
      <w:bookmarkEnd w:id="66"/>
      <w:bookmarkEnd w:id="67"/>
    </w:p>
    <w:p w14:paraId="08CD8BAB" w14:textId="66AC3CE5" w:rsidR="009D6A79" w:rsidRPr="000605BC" w:rsidRDefault="0056447F" w:rsidP="00916A81">
      <w:pPr>
        <w:rPr>
          <w:rFonts w:cs="Times New Roman"/>
          <w:sz w:val="20"/>
        </w:rPr>
      </w:pPr>
      <w:r w:rsidRPr="000605BC">
        <w:rPr>
          <w:rFonts w:cs="Times New Roman"/>
          <w:sz w:val="20"/>
        </w:rPr>
        <w:t xml:space="preserve">FATF Recommendation 20 </w:t>
      </w:r>
      <w:r w:rsidR="00947BAA" w:rsidRPr="000605BC">
        <w:rPr>
          <w:rFonts w:cs="Times New Roman"/>
          <w:sz w:val="20"/>
        </w:rPr>
        <w:t xml:space="preserve">requires </w:t>
      </w:r>
      <w:r w:rsidR="00EE0887" w:rsidRPr="000605BC">
        <w:rPr>
          <w:rFonts w:cs="Times New Roman"/>
          <w:sz w:val="20"/>
        </w:rPr>
        <w:t xml:space="preserve">states to </w:t>
      </w:r>
      <w:r w:rsidR="0026346C" w:rsidRPr="000605BC">
        <w:rPr>
          <w:rFonts w:cs="Times New Roman"/>
          <w:sz w:val="20"/>
        </w:rPr>
        <w:t>create legal requirements for financial institutions to report any suspicious transactions to their respective FIUs:</w:t>
      </w:r>
    </w:p>
    <w:p w14:paraId="030F0052" w14:textId="795E4A55" w:rsidR="000D3080" w:rsidRPr="000605BC" w:rsidRDefault="006959DC" w:rsidP="0099556C">
      <w:pPr>
        <w:pStyle w:val="BlockQuote"/>
        <w:rPr>
          <w:sz w:val="20"/>
        </w:rPr>
      </w:pPr>
      <w:r w:rsidRPr="000605BC">
        <w:rPr>
          <w:sz w:val="20"/>
        </w:rPr>
        <w:t>20. Reporting of suspicious t</w:t>
      </w:r>
      <w:r w:rsidR="000D3080" w:rsidRPr="000605BC">
        <w:rPr>
          <w:sz w:val="20"/>
        </w:rPr>
        <w:t>ransactions</w:t>
      </w:r>
    </w:p>
    <w:p w14:paraId="1124532C" w14:textId="319AC6BC" w:rsidR="001279AE" w:rsidRPr="000605BC" w:rsidRDefault="000D3080" w:rsidP="0099556C">
      <w:pPr>
        <w:pStyle w:val="BlockQuote"/>
        <w:rPr>
          <w:rFonts w:eastAsiaTheme="minorEastAsia"/>
          <w:sz w:val="20"/>
          <w:lang w:val="en-US" w:eastAsia="ja-JP"/>
        </w:rPr>
      </w:pPr>
      <w:r w:rsidRPr="000605BC">
        <w:rPr>
          <w:rFonts w:eastAsiaTheme="minorEastAsia"/>
          <w:sz w:val="20"/>
          <w:lang w:val="en-US" w:eastAsia="ja-JP"/>
        </w:rPr>
        <w:t>If a financial institution suspects or has reasonable grounds to suspect that funds are the proceeds of a criminal activity, or are related to terrorist financing, it should be required, by law, to report promptly its suspicions to the financial intelligence unit (FIU).</w:t>
      </w:r>
    </w:p>
    <w:p w14:paraId="60B45B58" w14:textId="4E6013BE" w:rsidR="006C057C" w:rsidRPr="000605BC" w:rsidRDefault="00BA001C" w:rsidP="00BD57FE">
      <w:pPr>
        <w:rPr>
          <w:sz w:val="20"/>
          <w:lang w:val="en-US" w:eastAsia="ja-JP"/>
        </w:rPr>
      </w:pPr>
      <w:r w:rsidRPr="000605BC">
        <w:rPr>
          <w:sz w:val="20"/>
          <w:lang w:val="en-US" w:eastAsia="ja-JP"/>
        </w:rPr>
        <w:t xml:space="preserve">Canada, the US and the UK </w:t>
      </w:r>
      <w:r w:rsidR="0026346C" w:rsidRPr="000605BC">
        <w:rPr>
          <w:sz w:val="20"/>
          <w:lang w:val="en-US" w:eastAsia="ja-JP"/>
        </w:rPr>
        <w:t xml:space="preserve">follow this recommendation, requiring that all suspicious transactions be reported to their FIUs by financial institutions. However, there are some significant variations between the different reporting regimes. The UK only requires that all </w:t>
      </w:r>
      <w:r w:rsidR="0026346C" w:rsidRPr="000605BC">
        <w:rPr>
          <w:i/>
          <w:sz w:val="20"/>
          <w:lang w:val="en-US" w:eastAsia="ja-JP"/>
        </w:rPr>
        <w:t>suspicious</w:t>
      </w:r>
      <w:r w:rsidR="0026346C" w:rsidRPr="000605BC">
        <w:rPr>
          <w:sz w:val="20"/>
          <w:lang w:val="en-US" w:eastAsia="ja-JP"/>
        </w:rPr>
        <w:t xml:space="preserve"> transactions be reported to UKFIU.</w:t>
      </w:r>
      <w:r w:rsidR="0026346C" w:rsidRPr="000605BC">
        <w:rPr>
          <w:rStyle w:val="FootnoteReference"/>
          <w:rFonts w:eastAsiaTheme="minorEastAsia" w:cs="Times New Roman"/>
          <w:sz w:val="20"/>
          <w:lang w:val="en-US" w:eastAsia="ja-JP"/>
        </w:rPr>
        <w:footnoteReference w:id="93"/>
      </w:r>
      <w:r w:rsidR="0026346C" w:rsidRPr="000605BC">
        <w:rPr>
          <w:sz w:val="20"/>
          <w:lang w:val="en-US" w:eastAsia="ja-JP"/>
        </w:rPr>
        <w:t xml:space="preserve"> </w:t>
      </w:r>
      <w:r w:rsidR="00125CD9" w:rsidRPr="000605BC">
        <w:rPr>
          <w:sz w:val="20"/>
          <w:lang w:val="en-US" w:eastAsia="ja-JP"/>
        </w:rPr>
        <w:t>The US and Canada have similar requirements,</w:t>
      </w:r>
      <w:r w:rsidR="00125CD9" w:rsidRPr="000605BC">
        <w:rPr>
          <w:rStyle w:val="FootnoteReference"/>
          <w:rFonts w:eastAsiaTheme="minorEastAsia" w:cs="Times New Roman"/>
          <w:sz w:val="20"/>
          <w:lang w:val="en-US" w:eastAsia="ja-JP"/>
        </w:rPr>
        <w:footnoteReference w:id="94"/>
      </w:r>
      <w:r w:rsidR="00125CD9" w:rsidRPr="000605BC">
        <w:rPr>
          <w:sz w:val="20"/>
          <w:lang w:val="en-US" w:eastAsia="ja-JP"/>
        </w:rPr>
        <w:t xml:space="preserve"> but both countries also require that </w:t>
      </w:r>
      <w:r w:rsidR="00125CD9" w:rsidRPr="000605BC">
        <w:rPr>
          <w:i/>
          <w:sz w:val="20"/>
          <w:lang w:val="en-US" w:eastAsia="ja-JP"/>
        </w:rPr>
        <w:t>all</w:t>
      </w:r>
      <w:r w:rsidR="00125CD9" w:rsidRPr="000605BC">
        <w:rPr>
          <w:sz w:val="20"/>
          <w:lang w:val="en-US" w:eastAsia="ja-JP"/>
        </w:rPr>
        <w:t xml:space="preserve"> transactions over $10,000 be reported to their respective FIUs.</w:t>
      </w:r>
      <w:r w:rsidR="00125CD9" w:rsidRPr="000605BC">
        <w:rPr>
          <w:rStyle w:val="FootnoteReference"/>
          <w:rFonts w:eastAsiaTheme="minorEastAsia" w:cs="Times New Roman"/>
          <w:sz w:val="20"/>
          <w:lang w:val="en-US" w:eastAsia="ja-JP"/>
        </w:rPr>
        <w:footnoteReference w:id="95"/>
      </w:r>
      <w:r w:rsidR="00125CD9" w:rsidRPr="000605BC">
        <w:rPr>
          <w:sz w:val="20"/>
          <w:lang w:val="en-US" w:eastAsia="ja-JP"/>
        </w:rPr>
        <w:t xml:space="preserve"> </w:t>
      </w:r>
      <w:r w:rsidR="006573F5" w:rsidRPr="000605BC">
        <w:rPr>
          <w:sz w:val="20"/>
          <w:lang w:val="en-US" w:eastAsia="ja-JP"/>
        </w:rPr>
        <w:t xml:space="preserve">Canada requires anyone, including </w:t>
      </w:r>
      <w:r w:rsidRPr="000605BC">
        <w:rPr>
          <w:sz w:val="20"/>
          <w:lang w:val="en-US" w:eastAsia="ja-JP"/>
        </w:rPr>
        <w:t xml:space="preserve">members of </w:t>
      </w:r>
      <w:r w:rsidR="006573F5" w:rsidRPr="000605BC">
        <w:rPr>
          <w:sz w:val="20"/>
          <w:lang w:val="en-US" w:eastAsia="ja-JP"/>
        </w:rPr>
        <w:t>the public, who imports or exports cash or monetary instruments with a value of $10,000 or more to report the transaction to a customs officer. Reports are then passed on to FINTRAC.</w:t>
      </w:r>
      <w:r w:rsidR="00CE5058" w:rsidRPr="000605BC">
        <w:rPr>
          <w:rStyle w:val="FootnoteReference"/>
          <w:rFonts w:eastAsiaTheme="minorEastAsia" w:cs="Times New Roman"/>
          <w:sz w:val="20"/>
          <w:lang w:val="en-US" w:eastAsia="ja-JP"/>
        </w:rPr>
        <w:footnoteReference w:id="96"/>
      </w:r>
      <w:r w:rsidR="006573F5" w:rsidRPr="000605BC">
        <w:rPr>
          <w:sz w:val="20"/>
          <w:lang w:val="en-US" w:eastAsia="ja-JP"/>
        </w:rPr>
        <w:t xml:space="preserve"> </w:t>
      </w:r>
      <w:r w:rsidR="00125CD9" w:rsidRPr="000605BC">
        <w:rPr>
          <w:sz w:val="20"/>
          <w:lang w:val="en-US" w:eastAsia="ja-JP"/>
        </w:rPr>
        <w:t>The UK has taken a strict risk-based approach to transaction reporting, while Canada and the US have supplemented this with threshold-based reporting requirements. However, this should not be taken to mean that the UK’s regime is weaker. Their reporting requirements are backed up with harsh sanctions for failure to report suspicious transactions.</w:t>
      </w:r>
      <w:r w:rsidR="00125CD9" w:rsidRPr="000605BC">
        <w:rPr>
          <w:rStyle w:val="FootnoteReference"/>
          <w:rFonts w:eastAsiaTheme="minorEastAsia" w:cs="Times New Roman"/>
          <w:sz w:val="20"/>
          <w:lang w:val="en-US" w:eastAsia="ja-JP"/>
        </w:rPr>
        <w:footnoteReference w:id="97"/>
      </w:r>
      <w:r w:rsidR="00125CD9" w:rsidRPr="000605BC">
        <w:rPr>
          <w:sz w:val="20"/>
          <w:lang w:val="en-US" w:eastAsia="ja-JP"/>
        </w:rPr>
        <w:t xml:space="preserve"> </w:t>
      </w:r>
      <w:r w:rsidR="00417A1B" w:rsidRPr="000605BC">
        <w:rPr>
          <w:sz w:val="20"/>
          <w:lang w:val="en-US" w:eastAsia="ja-JP"/>
        </w:rPr>
        <w:t>Failure to disclose can result in up to five years</w:t>
      </w:r>
      <w:r w:rsidRPr="000605BC">
        <w:rPr>
          <w:sz w:val="20"/>
          <w:lang w:val="en-US" w:eastAsia="ja-JP"/>
        </w:rPr>
        <w:t xml:space="preserve"> </w:t>
      </w:r>
      <w:r w:rsidR="00417A1B" w:rsidRPr="000605BC">
        <w:rPr>
          <w:sz w:val="20"/>
          <w:lang w:val="en-US" w:eastAsia="ja-JP"/>
        </w:rPr>
        <w:t xml:space="preserve">imprisonment or a fine, or both. </w:t>
      </w:r>
      <w:r w:rsidR="00125CD9" w:rsidRPr="000605BC">
        <w:rPr>
          <w:sz w:val="20"/>
          <w:lang w:val="en-US" w:eastAsia="ja-JP"/>
        </w:rPr>
        <w:t>While the UK has taken a slightly different approach, it is not a more lenient one</w:t>
      </w:r>
      <w:r w:rsidR="00A920EB" w:rsidRPr="000605BC">
        <w:rPr>
          <w:sz w:val="20"/>
          <w:lang w:val="en-US" w:eastAsia="ja-JP"/>
        </w:rPr>
        <w:t>, and this</w:t>
      </w:r>
      <w:r w:rsidR="006C057C" w:rsidRPr="000605BC">
        <w:rPr>
          <w:sz w:val="20"/>
          <w:lang w:val="en-US" w:eastAsia="ja-JP"/>
        </w:rPr>
        <w:t xml:space="preserve"> </w:t>
      </w:r>
      <w:r w:rsidR="003A6F8D" w:rsidRPr="000605BC">
        <w:rPr>
          <w:sz w:val="20"/>
          <w:lang w:val="en-US" w:eastAsia="ja-JP"/>
        </w:rPr>
        <w:t>“</w:t>
      </w:r>
      <w:r w:rsidR="006C057C" w:rsidRPr="000605BC">
        <w:rPr>
          <w:sz w:val="20"/>
          <w:lang w:val="en-US" w:eastAsia="ja-JP"/>
        </w:rPr>
        <w:t>fear factor</w:t>
      </w:r>
      <w:r w:rsidR="003A6F8D" w:rsidRPr="000605BC">
        <w:rPr>
          <w:sz w:val="20"/>
          <w:lang w:val="en-US" w:eastAsia="ja-JP"/>
        </w:rPr>
        <w:t>”</w:t>
      </w:r>
      <w:r w:rsidR="006C057C" w:rsidRPr="000605BC">
        <w:rPr>
          <w:sz w:val="20"/>
          <w:lang w:val="en-US" w:eastAsia="ja-JP"/>
        </w:rPr>
        <w:t xml:space="preserve"> has led to a dramatic increase in SAR submissions</w:t>
      </w:r>
      <w:r w:rsidR="00125CD9" w:rsidRPr="000605BC">
        <w:rPr>
          <w:sz w:val="20"/>
          <w:lang w:val="en-US" w:eastAsia="ja-JP"/>
        </w:rPr>
        <w:t xml:space="preserve">. </w:t>
      </w:r>
      <w:r w:rsidR="006C057C" w:rsidRPr="000605BC">
        <w:rPr>
          <w:sz w:val="20"/>
          <w:lang w:val="en-US" w:eastAsia="ja-JP"/>
        </w:rPr>
        <w:t xml:space="preserve">However, </w:t>
      </w:r>
      <w:r w:rsidR="00A920EB" w:rsidRPr="000605BC">
        <w:rPr>
          <w:sz w:val="20"/>
          <w:lang w:val="en-US" w:eastAsia="ja-JP"/>
        </w:rPr>
        <w:t xml:space="preserve">critics claim that </w:t>
      </w:r>
      <w:r w:rsidR="006C057C" w:rsidRPr="000605BC">
        <w:rPr>
          <w:sz w:val="20"/>
          <w:lang w:val="en-US" w:eastAsia="ja-JP"/>
        </w:rPr>
        <w:t>the</w:t>
      </w:r>
      <w:r w:rsidR="00A920EB" w:rsidRPr="000605BC">
        <w:rPr>
          <w:sz w:val="20"/>
          <w:lang w:val="en-US" w:eastAsia="ja-JP"/>
        </w:rPr>
        <w:t xml:space="preserve"> high</w:t>
      </w:r>
      <w:r w:rsidR="006C057C" w:rsidRPr="000605BC">
        <w:rPr>
          <w:sz w:val="20"/>
          <w:lang w:val="en-US" w:eastAsia="ja-JP"/>
        </w:rPr>
        <w:t xml:space="preserve"> cost of compliance with the UK’s SAR regime </w:t>
      </w:r>
      <w:r w:rsidR="00A920EB" w:rsidRPr="000605BC">
        <w:rPr>
          <w:sz w:val="20"/>
          <w:lang w:val="en-US" w:eastAsia="ja-JP"/>
        </w:rPr>
        <w:t>i</w:t>
      </w:r>
      <w:r w:rsidR="006C057C" w:rsidRPr="000605BC">
        <w:rPr>
          <w:sz w:val="20"/>
          <w:lang w:val="en-US" w:eastAsia="ja-JP"/>
        </w:rPr>
        <w:t>s disproportionate to its effectiveness.</w:t>
      </w:r>
      <w:r w:rsidR="00A920EB" w:rsidRPr="000605BC">
        <w:rPr>
          <w:rStyle w:val="FootnoteReference"/>
          <w:rFonts w:eastAsiaTheme="minorEastAsia" w:cs="Times New Roman"/>
          <w:sz w:val="20"/>
          <w:lang w:val="en-US" w:eastAsia="ja-JP"/>
        </w:rPr>
        <w:footnoteReference w:id="98"/>
      </w:r>
    </w:p>
    <w:p w14:paraId="7FE97D39" w14:textId="08CE404A" w:rsidR="008C1F47" w:rsidRPr="000605BC" w:rsidRDefault="008C1F47" w:rsidP="00BD57FE">
      <w:pPr>
        <w:pStyle w:val="Heading3"/>
        <w:rPr>
          <w:sz w:val="20"/>
        </w:rPr>
      </w:pPr>
      <w:bookmarkStart w:id="68" w:name="_Toc287093741"/>
      <w:bookmarkStart w:id="69" w:name="_Toc419901559"/>
      <w:r w:rsidRPr="000605BC">
        <w:rPr>
          <w:sz w:val="22"/>
        </w:rPr>
        <w:t>Record-Keeping</w:t>
      </w:r>
      <w:bookmarkEnd w:id="68"/>
      <w:bookmarkEnd w:id="69"/>
      <w:r w:rsidRPr="000605BC">
        <w:rPr>
          <w:sz w:val="22"/>
        </w:rPr>
        <w:t xml:space="preserve"> </w:t>
      </w:r>
    </w:p>
    <w:p w14:paraId="3AC1E357" w14:textId="2F90DF16" w:rsidR="007910EF" w:rsidRPr="000605BC" w:rsidRDefault="002C72DC" w:rsidP="00916A81">
      <w:pPr>
        <w:rPr>
          <w:rFonts w:cs="Times New Roman"/>
          <w:sz w:val="20"/>
        </w:rPr>
      </w:pPr>
      <w:r w:rsidRPr="000605BC">
        <w:rPr>
          <w:rFonts w:cs="Times New Roman"/>
          <w:sz w:val="20"/>
        </w:rPr>
        <w:t xml:space="preserve">The final piece of the regulatory regime proposed by the FATF Recommendations is the requirement for financial institutions to retain transaction records and customer information for at least five years. This requirement is set out in Recommendation 11: </w:t>
      </w:r>
    </w:p>
    <w:p w14:paraId="39A6F3E4" w14:textId="077B69E9" w:rsidR="000D3080" w:rsidRPr="000605BC" w:rsidRDefault="00776BD5" w:rsidP="0099556C">
      <w:pPr>
        <w:pStyle w:val="BlockQuote"/>
        <w:rPr>
          <w:sz w:val="20"/>
          <w:lang w:val="en-US" w:eastAsia="ja-JP"/>
        </w:rPr>
      </w:pPr>
      <w:r w:rsidRPr="000605BC">
        <w:rPr>
          <w:sz w:val="20"/>
          <w:lang w:val="en-US" w:eastAsia="ja-JP"/>
        </w:rPr>
        <w:t>11. Record-k</w:t>
      </w:r>
      <w:r w:rsidR="000D3080" w:rsidRPr="000605BC">
        <w:rPr>
          <w:sz w:val="20"/>
          <w:lang w:val="en-US" w:eastAsia="ja-JP"/>
        </w:rPr>
        <w:t>eeping</w:t>
      </w:r>
    </w:p>
    <w:p w14:paraId="54E752B6" w14:textId="77777777" w:rsidR="000D3080" w:rsidRPr="000605BC" w:rsidRDefault="000D3080" w:rsidP="0099556C">
      <w:pPr>
        <w:pStyle w:val="BlockQuote"/>
        <w:rPr>
          <w:sz w:val="20"/>
          <w:lang w:val="en-US" w:eastAsia="ja-JP"/>
        </w:rPr>
      </w:pPr>
      <w:r w:rsidRPr="000605BC">
        <w:rPr>
          <w:sz w:val="20"/>
          <w:lang w:val="en-US" w:eastAsia="ja-JP"/>
        </w:rPr>
        <w:t>Financial institutions should be required to maintain, for at least five years, all necessary records on transactions, both domestic and international, to enable them to comply swiftly with information requests from the competent authorities. Such records must be sufficient to permit reconstruction of individual transactions (including the amounts and types of currency involved, if any) so as to provide, if necessary, evidence for prosecution of criminal activity.</w:t>
      </w:r>
    </w:p>
    <w:p w14:paraId="495CE4A3" w14:textId="77777777" w:rsidR="000D3080" w:rsidRPr="000605BC" w:rsidRDefault="000D3080" w:rsidP="0099556C">
      <w:pPr>
        <w:pStyle w:val="BlockQuote"/>
        <w:rPr>
          <w:sz w:val="20"/>
          <w:lang w:val="en-US" w:eastAsia="ja-JP"/>
        </w:rPr>
      </w:pPr>
      <w:r w:rsidRPr="000605BC">
        <w:rPr>
          <w:sz w:val="20"/>
          <w:lang w:val="en-US" w:eastAsia="ja-JP"/>
        </w:rPr>
        <w:t xml:space="preserve">Financial institutions should be required to keep all records obtained through CDD measures (e.g. copies or records of official identification documents like passports, identity cards, driving </w:t>
      </w:r>
      <w:proofErr w:type="spellStart"/>
      <w:r w:rsidRPr="000605BC">
        <w:rPr>
          <w:sz w:val="20"/>
          <w:lang w:val="en-US" w:eastAsia="ja-JP"/>
        </w:rPr>
        <w:t>licences</w:t>
      </w:r>
      <w:proofErr w:type="spellEnd"/>
      <w:r w:rsidRPr="000605BC">
        <w:rPr>
          <w:sz w:val="20"/>
          <w:lang w:val="en-US" w:eastAsia="ja-JP"/>
        </w:rPr>
        <w:t xml:space="preserve"> or similar documents), account files and business correspondence, including the results of any analysis undertaken (e.g. inquiries to establish the background and purpose of complex, unusual large transactions), for at least five years after the business relationship is ended, or after the date of the occasional transaction.</w:t>
      </w:r>
    </w:p>
    <w:p w14:paraId="0BBC16DD" w14:textId="77777777" w:rsidR="000D3080" w:rsidRPr="000605BC" w:rsidRDefault="000D3080" w:rsidP="0099556C">
      <w:pPr>
        <w:pStyle w:val="BlockQuote"/>
        <w:rPr>
          <w:sz w:val="20"/>
          <w:lang w:val="en-US" w:eastAsia="ja-JP"/>
        </w:rPr>
      </w:pPr>
      <w:r w:rsidRPr="000605BC">
        <w:rPr>
          <w:sz w:val="20"/>
          <w:lang w:val="en-US" w:eastAsia="ja-JP"/>
        </w:rPr>
        <w:t>Financial institutions should be required by law to maintain records on transactions and information obtained through the CDD measures.</w:t>
      </w:r>
    </w:p>
    <w:p w14:paraId="5F12006D" w14:textId="49C5C100" w:rsidR="000D3080" w:rsidRPr="000605BC" w:rsidRDefault="000D3080" w:rsidP="0099556C">
      <w:pPr>
        <w:pStyle w:val="BlockQuote"/>
        <w:rPr>
          <w:sz w:val="20"/>
          <w:lang w:val="en-US" w:eastAsia="ja-JP"/>
        </w:rPr>
      </w:pPr>
      <w:r w:rsidRPr="000605BC">
        <w:rPr>
          <w:sz w:val="20"/>
          <w:lang w:val="en-US" w:eastAsia="ja-JP"/>
        </w:rPr>
        <w:t>The CDD information and the transaction records should be available to domestic competent authorities upon appropriate authority.</w:t>
      </w:r>
    </w:p>
    <w:p w14:paraId="6A5DD5F4" w14:textId="27767F1E" w:rsidR="00F3160B" w:rsidRPr="000605BC" w:rsidRDefault="00BA001C" w:rsidP="00BD57FE">
      <w:pPr>
        <w:rPr>
          <w:sz w:val="20"/>
        </w:rPr>
      </w:pPr>
      <w:r w:rsidRPr="000605BC">
        <w:rPr>
          <w:sz w:val="20"/>
        </w:rPr>
        <w:t>The US, UK and Canada all require financial institutions to store records for five years in accordance with</w:t>
      </w:r>
      <w:r w:rsidR="002E688B" w:rsidRPr="000605BC">
        <w:rPr>
          <w:sz w:val="20"/>
        </w:rPr>
        <w:t xml:space="preserve"> </w:t>
      </w:r>
      <w:r w:rsidR="00F3160B" w:rsidRPr="000605BC">
        <w:rPr>
          <w:sz w:val="20"/>
        </w:rPr>
        <w:t>Recommendation 11.</w:t>
      </w:r>
      <w:r w:rsidR="001D4098" w:rsidRPr="000605BC">
        <w:rPr>
          <w:rStyle w:val="FootnoteReference"/>
          <w:rFonts w:cs="Times New Roman"/>
          <w:sz w:val="20"/>
        </w:rPr>
        <w:footnoteReference w:id="99"/>
      </w:r>
      <w:r w:rsidR="00F3160B" w:rsidRPr="000605BC">
        <w:rPr>
          <w:sz w:val="20"/>
        </w:rPr>
        <w:t xml:space="preserve"> </w:t>
      </w:r>
      <w:r w:rsidR="00002372" w:rsidRPr="000605BC">
        <w:rPr>
          <w:sz w:val="20"/>
        </w:rPr>
        <w:t xml:space="preserve">While the information stored in these records will vary slightly based on differences in their respective CDD regimes, there are no significant variations with regard to the record-keeping requirements themselves. </w:t>
      </w:r>
    </w:p>
    <w:p w14:paraId="35B97339" w14:textId="5EE835EB" w:rsidR="008C1F47" w:rsidRPr="000605BC" w:rsidRDefault="000D566E" w:rsidP="00BD57FE">
      <w:pPr>
        <w:pStyle w:val="Heading2"/>
        <w:rPr>
          <w:sz w:val="24"/>
        </w:rPr>
      </w:pPr>
      <w:bookmarkStart w:id="70" w:name="_Toc287093742"/>
      <w:bookmarkStart w:id="71" w:name="_Toc419901560"/>
      <w:bookmarkStart w:id="72" w:name="_Toc489788774"/>
      <w:bookmarkStart w:id="73" w:name="_Toc489789314"/>
      <w:bookmarkStart w:id="74" w:name="_Toc489791784"/>
      <w:r w:rsidRPr="000605BC">
        <w:rPr>
          <w:sz w:val="24"/>
        </w:rPr>
        <w:t>Money Laundering Offences</w:t>
      </w:r>
      <w:bookmarkEnd w:id="70"/>
      <w:bookmarkEnd w:id="71"/>
      <w:bookmarkEnd w:id="72"/>
      <w:bookmarkEnd w:id="73"/>
      <w:bookmarkEnd w:id="74"/>
    </w:p>
    <w:p w14:paraId="282D94CB" w14:textId="2D042E19" w:rsidR="00DB426A" w:rsidRPr="000605BC" w:rsidRDefault="00DB426A" w:rsidP="00BD57FE">
      <w:pPr>
        <w:pStyle w:val="Heading3"/>
        <w:rPr>
          <w:sz w:val="22"/>
        </w:rPr>
      </w:pPr>
      <w:bookmarkStart w:id="75" w:name="_Toc287093743"/>
      <w:bookmarkStart w:id="76" w:name="_Toc419901561"/>
      <w:r w:rsidRPr="000605BC">
        <w:rPr>
          <w:sz w:val="22"/>
        </w:rPr>
        <w:t>FATF Recommendation</w:t>
      </w:r>
      <w:bookmarkEnd w:id="75"/>
      <w:r w:rsidR="006D54EC" w:rsidRPr="000605BC">
        <w:rPr>
          <w:sz w:val="22"/>
        </w:rPr>
        <w:t>s</w:t>
      </w:r>
      <w:r w:rsidR="002E688B" w:rsidRPr="000605BC">
        <w:rPr>
          <w:sz w:val="22"/>
        </w:rPr>
        <w:t xml:space="preserve"> and UNCAC</w:t>
      </w:r>
      <w:bookmarkEnd w:id="76"/>
    </w:p>
    <w:p w14:paraId="7A57F4F0" w14:textId="68AB6D42" w:rsidR="008B28B2" w:rsidRPr="000605BC" w:rsidRDefault="0045378A" w:rsidP="003828BA">
      <w:pPr>
        <w:rPr>
          <w:rFonts w:cs="Times New Roman"/>
          <w:sz w:val="20"/>
        </w:rPr>
      </w:pPr>
      <w:r w:rsidRPr="000605BC">
        <w:rPr>
          <w:rFonts w:cs="Times New Roman"/>
          <w:sz w:val="20"/>
        </w:rPr>
        <w:t xml:space="preserve">FATF Recommendation 3 requires </w:t>
      </w:r>
      <w:r w:rsidR="00A0735B" w:rsidRPr="000605BC">
        <w:rPr>
          <w:rFonts w:cs="Times New Roman"/>
          <w:sz w:val="20"/>
        </w:rPr>
        <w:t xml:space="preserve">states to </w:t>
      </w:r>
      <w:r w:rsidR="00E51202" w:rsidRPr="000605BC">
        <w:rPr>
          <w:rFonts w:cs="Times New Roman"/>
          <w:sz w:val="20"/>
        </w:rPr>
        <w:t>create offences to directly criminalize money laundering. The recommendation is reproduced below</w:t>
      </w:r>
      <w:r w:rsidR="00BA001C" w:rsidRPr="000605BC">
        <w:rPr>
          <w:rFonts w:cs="Times New Roman"/>
          <w:sz w:val="20"/>
        </w:rPr>
        <w:t>,</w:t>
      </w:r>
      <w:r w:rsidR="001506ED" w:rsidRPr="000605BC">
        <w:rPr>
          <w:rFonts w:cs="Times New Roman"/>
          <w:sz w:val="20"/>
        </w:rPr>
        <w:t xml:space="preserve"> along with </w:t>
      </w:r>
      <w:r w:rsidR="00D128E4" w:rsidRPr="000605BC">
        <w:rPr>
          <w:rFonts w:cs="Times New Roman"/>
          <w:sz w:val="20"/>
        </w:rPr>
        <w:t>an interpretive note</w:t>
      </w:r>
      <w:r w:rsidR="00BA001C" w:rsidRPr="000605BC">
        <w:rPr>
          <w:rFonts w:cs="Times New Roman"/>
          <w:sz w:val="20"/>
        </w:rPr>
        <w:t xml:space="preserve">. </w:t>
      </w:r>
      <w:r w:rsidR="002E688B" w:rsidRPr="000605BC">
        <w:rPr>
          <w:rFonts w:cs="Times New Roman"/>
          <w:sz w:val="20"/>
        </w:rPr>
        <w:t>FATF Recommendation 3 on money laundering was produced in the original 2</w:t>
      </w:r>
      <w:r w:rsidR="00BA001C" w:rsidRPr="000605BC">
        <w:rPr>
          <w:rFonts w:cs="Times New Roman"/>
          <w:sz w:val="20"/>
        </w:rPr>
        <w:t>003 FATF Forty Recommendations.</w:t>
      </w:r>
      <w:r w:rsidR="002E688B" w:rsidRPr="000605BC">
        <w:rPr>
          <w:rFonts w:cs="Times New Roman"/>
          <w:sz w:val="20"/>
        </w:rPr>
        <w:t xml:space="preserve"> Recommendation 3 was drafted on the basis of two existing UN Conventions: the 1998 Narcotic Drugs and Psychotropic Su</w:t>
      </w:r>
      <w:r w:rsidR="003477C9" w:rsidRPr="000605BC">
        <w:rPr>
          <w:rFonts w:cs="Times New Roman"/>
          <w:sz w:val="20"/>
        </w:rPr>
        <w:t xml:space="preserve">bstances Convention and the 2000 </w:t>
      </w:r>
      <w:r w:rsidR="002E688B" w:rsidRPr="000605BC">
        <w:rPr>
          <w:rFonts w:cs="Times New Roman"/>
          <w:sz w:val="20"/>
        </w:rPr>
        <w:t>Transnatio</w:t>
      </w:r>
      <w:r w:rsidR="00BA001C" w:rsidRPr="000605BC">
        <w:rPr>
          <w:rFonts w:cs="Times New Roman"/>
          <w:sz w:val="20"/>
        </w:rPr>
        <w:t>nal Organized Crime Convention.</w:t>
      </w:r>
      <w:r w:rsidR="002E688B" w:rsidRPr="000605BC">
        <w:rPr>
          <w:rFonts w:cs="Times New Roman"/>
          <w:sz w:val="20"/>
        </w:rPr>
        <w:t xml:space="preserve"> The money laundering provisions in those two conventions are now consolidated in the money laundering provisions in UNCAC.</w:t>
      </w:r>
      <w:r w:rsidR="003477C9" w:rsidRPr="000605BC">
        <w:rPr>
          <w:rFonts w:cs="Times New Roman"/>
          <w:sz w:val="20"/>
        </w:rPr>
        <w:t xml:space="preserve"> FATF Recommendation 3 provides:</w:t>
      </w:r>
      <w:r w:rsidR="002822D1" w:rsidRPr="000605BC">
        <w:rPr>
          <w:rFonts w:cs="Times New Roman"/>
          <w:sz w:val="20"/>
        </w:rPr>
        <w:t xml:space="preserve">  </w:t>
      </w:r>
    </w:p>
    <w:p w14:paraId="04042B20" w14:textId="0E381122" w:rsidR="000D3080" w:rsidRPr="000605BC" w:rsidRDefault="000D6096" w:rsidP="00E1317B">
      <w:pPr>
        <w:pStyle w:val="BlockQuote"/>
        <w:keepNext/>
        <w:rPr>
          <w:sz w:val="20"/>
          <w:lang w:val="en-US" w:eastAsia="ja-JP"/>
        </w:rPr>
      </w:pPr>
      <w:r w:rsidRPr="000605BC">
        <w:rPr>
          <w:sz w:val="20"/>
          <w:lang w:val="en-US" w:eastAsia="ja-JP"/>
        </w:rPr>
        <w:t>3. Money laundering o</w:t>
      </w:r>
      <w:r w:rsidR="000D3080" w:rsidRPr="000605BC">
        <w:rPr>
          <w:sz w:val="20"/>
          <w:lang w:val="en-US" w:eastAsia="ja-JP"/>
        </w:rPr>
        <w:t>ffence</w:t>
      </w:r>
    </w:p>
    <w:p w14:paraId="21B18B4A" w14:textId="7590BC0F" w:rsidR="006B71FF" w:rsidRPr="000605BC" w:rsidRDefault="000D3080" w:rsidP="00C913EA">
      <w:pPr>
        <w:pStyle w:val="BlockQuote"/>
        <w:spacing w:after="240"/>
        <w:rPr>
          <w:sz w:val="20"/>
          <w:lang w:val="en-US" w:eastAsia="ja-JP"/>
        </w:rPr>
      </w:pPr>
      <w:r w:rsidRPr="000605BC">
        <w:rPr>
          <w:sz w:val="20"/>
          <w:lang w:val="en-US" w:eastAsia="ja-JP"/>
        </w:rPr>
        <w:t xml:space="preserve">Countries should </w:t>
      </w:r>
      <w:proofErr w:type="spellStart"/>
      <w:r w:rsidRPr="000605BC">
        <w:rPr>
          <w:sz w:val="20"/>
          <w:lang w:val="en-US" w:eastAsia="ja-JP"/>
        </w:rPr>
        <w:t>criminalise</w:t>
      </w:r>
      <w:proofErr w:type="spellEnd"/>
      <w:r w:rsidRPr="000605BC">
        <w:rPr>
          <w:sz w:val="20"/>
          <w:lang w:val="en-US" w:eastAsia="ja-JP"/>
        </w:rPr>
        <w:t xml:space="preserve"> money laundering on the basis of the Vienna Convention and the Palermo Convention. Countries should apply the crime of money laundering to all serious offences, with a view to including the wid</w:t>
      </w:r>
      <w:r w:rsidR="001506ED" w:rsidRPr="000605BC">
        <w:rPr>
          <w:sz w:val="20"/>
          <w:lang w:val="en-US" w:eastAsia="ja-JP"/>
        </w:rPr>
        <w:t xml:space="preserve">est range of predicate offences. </w:t>
      </w:r>
    </w:p>
    <w:p w14:paraId="0199973D" w14:textId="689391BD" w:rsidR="0079020B" w:rsidRPr="000605BC" w:rsidRDefault="0079020B" w:rsidP="005A44AE">
      <w:pPr>
        <w:pStyle w:val="BlockQuote"/>
        <w:keepNext/>
        <w:spacing w:before="240"/>
        <w:rPr>
          <w:sz w:val="20"/>
          <w:lang w:val="en-US" w:eastAsia="ja-JP"/>
        </w:rPr>
      </w:pPr>
      <w:r w:rsidRPr="000605BC">
        <w:rPr>
          <w:bCs/>
          <w:sz w:val="20"/>
          <w:lang w:val="en-US" w:eastAsia="ja-JP"/>
        </w:rPr>
        <w:t>I</w:t>
      </w:r>
      <w:r w:rsidR="00770412" w:rsidRPr="000605BC">
        <w:rPr>
          <w:bCs/>
          <w:sz w:val="20"/>
          <w:lang w:val="en-US" w:eastAsia="ja-JP"/>
        </w:rPr>
        <w:t>nterpretive Note to Recommendation 3 (Money Laundering Offence)</w:t>
      </w:r>
    </w:p>
    <w:p w14:paraId="7C4BAA77" w14:textId="45304DA9" w:rsidR="0079020B" w:rsidRPr="000605BC" w:rsidRDefault="0079020B" w:rsidP="00696D88">
      <w:pPr>
        <w:pStyle w:val="BlockQuote"/>
        <w:numPr>
          <w:ilvl w:val="0"/>
          <w:numId w:val="11"/>
        </w:numPr>
        <w:jc w:val="left"/>
        <w:rPr>
          <w:sz w:val="20"/>
          <w:lang w:val="en-US" w:eastAsia="ja-JP"/>
        </w:rPr>
      </w:pPr>
      <w:r w:rsidRPr="000605BC">
        <w:rPr>
          <w:sz w:val="20"/>
          <w:lang w:val="en-US" w:eastAsia="ja-JP"/>
        </w:rPr>
        <w:t xml:space="preserve">Countries should </w:t>
      </w:r>
      <w:proofErr w:type="spellStart"/>
      <w:r w:rsidRPr="000605BC">
        <w:rPr>
          <w:sz w:val="20"/>
          <w:lang w:val="en-US" w:eastAsia="ja-JP"/>
        </w:rPr>
        <w:t>criminalise</w:t>
      </w:r>
      <w:proofErr w:type="spellEnd"/>
      <w:r w:rsidRPr="000605BC">
        <w:rPr>
          <w:sz w:val="20"/>
          <w:lang w:val="en-US" w:eastAsia="ja-JP"/>
        </w:rPr>
        <w:t xml:space="preserve"> money laundering on the basis of the United Nations Convention against Illicit Traffic in Narcotic Drugs and Psychotropic Substances, 1988 (the Vienna Convention) and the United Nations Convention against Transnational Organized Crime, 2000 (the Palermo Convention)</w:t>
      </w:r>
      <w:r w:rsidR="002E688B" w:rsidRPr="000605BC">
        <w:rPr>
          <w:sz w:val="20"/>
          <w:lang w:val="en-US" w:eastAsia="ja-JP"/>
        </w:rPr>
        <w:t xml:space="preserve"> [and now in accordance with Articles 14 and 23 of UNCAC (2005)</w:t>
      </w:r>
      <w:r w:rsidR="00347739" w:rsidRPr="000605BC">
        <w:rPr>
          <w:sz w:val="20"/>
          <w:lang w:val="en-US" w:eastAsia="ja-JP"/>
        </w:rPr>
        <w:t>,</w:t>
      </w:r>
      <w:r w:rsidR="002E688B" w:rsidRPr="000605BC">
        <w:rPr>
          <w:sz w:val="20"/>
          <w:lang w:val="en-US" w:eastAsia="ja-JP"/>
        </w:rPr>
        <w:t xml:space="preserve"> whic</w:t>
      </w:r>
      <w:r w:rsidR="003477C9" w:rsidRPr="000605BC">
        <w:rPr>
          <w:sz w:val="20"/>
          <w:lang w:val="en-US" w:eastAsia="ja-JP"/>
        </w:rPr>
        <w:t xml:space="preserve">h are discussed in detail in </w:t>
      </w:r>
      <w:r w:rsidR="00347739" w:rsidRPr="000605BC">
        <w:rPr>
          <w:sz w:val="20"/>
          <w:highlight w:val="cyan"/>
          <w:lang w:val="en-US" w:eastAsia="ja-JP"/>
        </w:rPr>
        <w:t xml:space="preserve">Sections </w:t>
      </w:r>
      <w:r w:rsidR="003477C9" w:rsidRPr="000605BC">
        <w:rPr>
          <w:sz w:val="20"/>
          <w:highlight w:val="cyan"/>
          <w:lang w:val="en-US" w:eastAsia="ja-JP"/>
        </w:rPr>
        <w:t>4.1</w:t>
      </w:r>
      <w:r w:rsidR="002E688B" w:rsidRPr="000605BC">
        <w:rPr>
          <w:sz w:val="20"/>
          <w:highlight w:val="cyan"/>
          <w:lang w:val="en-US" w:eastAsia="ja-JP"/>
        </w:rPr>
        <w:t>.1</w:t>
      </w:r>
      <w:r w:rsidR="003477C9" w:rsidRPr="000605BC">
        <w:rPr>
          <w:sz w:val="20"/>
          <w:highlight w:val="cyan"/>
          <w:lang w:val="en-US" w:eastAsia="ja-JP"/>
        </w:rPr>
        <w:t xml:space="preserve"> and 4.1.2</w:t>
      </w:r>
      <w:r w:rsidR="002E688B" w:rsidRPr="000605BC">
        <w:rPr>
          <w:sz w:val="20"/>
          <w:highlight w:val="cyan"/>
          <w:lang w:val="en-US" w:eastAsia="ja-JP"/>
        </w:rPr>
        <w:t xml:space="preserve"> of this Chapter</w:t>
      </w:r>
      <w:r w:rsidR="002E688B" w:rsidRPr="000605BC">
        <w:rPr>
          <w:sz w:val="20"/>
          <w:lang w:val="en-US" w:eastAsia="ja-JP"/>
        </w:rPr>
        <w:t>].</w:t>
      </w:r>
    </w:p>
    <w:p w14:paraId="7DD796FB" w14:textId="505A5167" w:rsidR="0079020B" w:rsidRPr="000605BC" w:rsidRDefault="0079020B" w:rsidP="00696D88">
      <w:pPr>
        <w:pStyle w:val="BlockQuote"/>
        <w:numPr>
          <w:ilvl w:val="0"/>
          <w:numId w:val="11"/>
        </w:numPr>
        <w:jc w:val="left"/>
        <w:rPr>
          <w:sz w:val="20"/>
          <w:lang w:val="en-US" w:eastAsia="ja-JP"/>
        </w:rPr>
      </w:pPr>
      <w:r w:rsidRPr="000605BC">
        <w:rPr>
          <w:sz w:val="20"/>
          <w:lang w:val="en-US" w:eastAsia="ja-JP"/>
        </w:rPr>
        <w:t>Countries should apply the crime of money laundering to all serious offences, with a view to including the widest range of predicate offences. Predicate offences may be described by reference to all offences; or to a threshold linked either to a category of serious offences; or to the penalty of imprisonment applicable to the predicate offence (threshold approach); or to a list of predicate offences; or a combination of these approaches.</w:t>
      </w:r>
    </w:p>
    <w:p w14:paraId="46EB4D53" w14:textId="638C1F81" w:rsidR="002E688B" w:rsidRPr="000605BC" w:rsidRDefault="002E688B" w:rsidP="008004ED">
      <w:pPr>
        <w:pStyle w:val="BlockQuote"/>
        <w:ind w:left="1080"/>
        <w:jc w:val="left"/>
        <w:rPr>
          <w:sz w:val="20"/>
          <w:lang w:val="en-US" w:eastAsia="ja-JP"/>
        </w:rPr>
      </w:pPr>
      <w:r w:rsidRPr="000605BC">
        <w:rPr>
          <w:sz w:val="20"/>
          <w:lang w:val="en-US" w:eastAsia="ja-JP"/>
        </w:rPr>
        <w:t>…</w:t>
      </w:r>
    </w:p>
    <w:p w14:paraId="6F0A0479" w14:textId="5F75FDDB" w:rsidR="0079020B" w:rsidRPr="000605BC" w:rsidRDefault="0079020B" w:rsidP="00696D88">
      <w:pPr>
        <w:pStyle w:val="BlockQuote"/>
        <w:numPr>
          <w:ilvl w:val="0"/>
          <w:numId w:val="12"/>
        </w:numPr>
        <w:jc w:val="left"/>
        <w:rPr>
          <w:sz w:val="20"/>
          <w:lang w:val="en-US" w:eastAsia="ja-JP"/>
        </w:rPr>
      </w:pPr>
      <w:r w:rsidRPr="000605BC">
        <w:rPr>
          <w:sz w:val="20"/>
          <w:lang w:val="en-US" w:eastAsia="ja-JP"/>
        </w:rPr>
        <w:t>Predicate offences for money laundering should extend to conduct that occurred in another country, which constitutes an offence in that country, and which would have constituted a predicate offence had it occurred domestically. Countries may provide that the only prerequisite is that the conduct would have constituted a predicate offence, had it occurred domestically.</w:t>
      </w:r>
    </w:p>
    <w:p w14:paraId="4C96A812" w14:textId="1CC1993F" w:rsidR="008B28B2" w:rsidRPr="000605BC" w:rsidRDefault="0079020B" w:rsidP="00696D88">
      <w:pPr>
        <w:pStyle w:val="BlockQuote"/>
        <w:numPr>
          <w:ilvl w:val="0"/>
          <w:numId w:val="12"/>
        </w:numPr>
        <w:jc w:val="left"/>
        <w:rPr>
          <w:sz w:val="20"/>
          <w:lang w:val="en-US" w:eastAsia="ja-JP"/>
        </w:rPr>
      </w:pPr>
      <w:r w:rsidRPr="000605BC">
        <w:rPr>
          <w:sz w:val="20"/>
          <w:lang w:val="en-US" w:eastAsia="ja-JP"/>
        </w:rPr>
        <w:t>Countries may provide that the offence of money laundering does not apply to persons who committed the predicate offence, where this is required by fundamental pr</w:t>
      </w:r>
      <w:r w:rsidR="006A52E0" w:rsidRPr="000605BC">
        <w:rPr>
          <w:sz w:val="20"/>
          <w:lang w:val="en-US" w:eastAsia="ja-JP"/>
        </w:rPr>
        <w:t>inciples of their domestic law.</w:t>
      </w:r>
    </w:p>
    <w:p w14:paraId="25C04DC1" w14:textId="06789859" w:rsidR="002267FA" w:rsidRPr="000605BC" w:rsidRDefault="004F738A" w:rsidP="00916A81">
      <w:pPr>
        <w:autoSpaceDE w:val="0"/>
        <w:autoSpaceDN w:val="0"/>
        <w:adjustRightInd w:val="0"/>
        <w:rPr>
          <w:rFonts w:eastAsia="Arial Unicode MS" w:cs="Times New Roman"/>
          <w:sz w:val="20"/>
          <w:lang w:val="en-US" w:eastAsia="ja-JP"/>
        </w:rPr>
      </w:pPr>
      <w:r w:rsidRPr="000605BC">
        <w:rPr>
          <w:rFonts w:eastAsia="Arial Unicode MS" w:cs="Times New Roman"/>
          <w:sz w:val="20"/>
          <w:lang w:val="en-US" w:eastAsia="ja-JP"/>
        </w:rPr>
        <w:t xml:space="preserve">The US, the UK and Canada all have </w:t>
      </w:r>
      <w:r w:rsidR="00495F34" w:rsidRPr="000605BC">
        <w:rPr>
          <w:rFonts w:eastAsia="Arial Unicode MS" w:cs="Times New Roman"/>
          <w:sz w:val="20"/>
          <w:lang w:val="en-US" w:eastAsia="ja-JP"/>
        </w:rPr>
        <w:t>money laundering offences</w:t>
      </w:r>
      <w:r w:rsidR="002E688B" w:rsidRPr="000605BC">
        <w:rPr>
          <w:rFonts w:eastAsia="Arial Unicode MS" w:cs="Times New Roman"/>
          <w:sz w:val="20"/>
          <w:lang w:val="en-US" w:eastAsia="ja-JP"/>
        </w:rPr>
        <w:t xml:space="preserve"> that generally comply with FATF and UNCAC requirements.</w:t>
      </w:r>
      <w:r w:rsidR="002822D1" w:rsidRPr="000605BC">
        <w:rPr>
          <w:rFonts w:eastAsia="Arial Unicode MS" w:cs="Times New Roman"/>
          <w:sz w:val="20"/>
          <w:lang w:val="en-US" w:eastAsia="ja-JP"/>
        </w:rPr>
        <w:t xml:space="preserve"> </w:t>
      </w:r>
      <w:r w:rsidR="002E688B" w:rsidRPr="000605BC">
        <w:rPr>
          <w:rFonts w:eastAsia="Arial Unicode MS" w:cs="Times New Roman"/>
          <w:sz w:val="20"/>
          <w:lang w:val="en-US" w:eastAsia="ja-JP"/>
        </w:rPr>
        <w:t xml:space="preserve">However, </w:t>
      </w:r>
      <w:r w:rsidR="00495F34" w:rsidRPr="000605BC">
        <w:rPr>
          <w:rFonts w:eastAsia="Arial Unicode MS" w:cs="Times New Roman"/>
          <w:sz w:val="20"/>
          <w:lang w:val="en-US" w:eastAsia="ja-JP"/>
        </w:rPr>
        <w:t>there are significant differences between</w:t>
      </w:r>
      <w:r w:rsidR="00397F1D" w:rsidRPr="000605BC">
        <w:rPr>
          <w:rFonts w:eastAsia="Arial Unicode MS" w:cs="Times New Roman"/>
          <w:sz w:val="20"/>
          <w:lang w:val="en-US" w:eastAsia="ja-JP"/>
        </w:rPr>
        <w:t xml:space="preserve"> the </w:t>
      </w:r>
      <w:r w:rsidR="00186F5E" w:rsidRPr="000605BC">
        <w:rPr>
          <w:rFonts w:eastAsia="Arial Unicode MS" w:cs="Times New Roman"/>
          <w:sz w:val="20"/>
          <w:lang w:val="en-US" w:eastAsia="ja-JP"/>
        </w:rPr>
        <w:t>three</w:t>
      </w:r>
      <w:r w:rsidR="00397F1D" w:rsidRPr="000605BC">
        <w:rPr>
          <w:rFonts w:eastAsia="Arial Unicode MS" w:cs="Times New Roman"/>
          <w:sz w:val="20"/>
          <w:lang w:val="en-US" w:eastAsia="ja-JP"/>
        </w:rPr>
        <w:t xml:space="preserve"> </w:t>
      </w:r>
      <w:r w:rsidR="002E2835" w:rsidRPr="000605BC">
        <w:rPr>
          <w:rFonts w:eastAsia="Arial Unicode MS" w:cs="Times New Roman"/>
          <w:sz w:val="20"/>
          <w:lang w:val="en-US" w:eastAsia="ja-JP"/>
        </w:rPr>
        <w:t>countries’ provisions</w:t>
      </w:r>
      <w:r w:rsidR="00397F1D" w:rsidRPr="000605BC">
        <w:rPr>
          <w:rFonts w:eastAsia="Arial Unicode MS" w:cs="Times New Roman"/>
          <w:sz w:val="20"/>
          <w:lang w:val="en-US" w:eastAsia="ja-JP"/>
        </w:rPr>
        <w:t>.</w:t>
      </w:r>
      <w:r w:rsidR="00186F5E" w:rsidRPr="000605BC">
        <w:rPr>
          <w:rFonts w:eastAsia="Arial Unicode MS" w:cs="Times New Roman"/>
          <w:sz w:val="20"/>
          <w:lang w:val="en-US" w:eastAsia="ja-JP"/>
        </w:rPr>
        <w:t xml:space="preserve"> Canada and the US define</w:t>
      </w:r>
      <w:r w:rsidR="00907B6B" w:rsidRPr="000605BC">
        <w:rPr>
          <w:rFonts w:eastAsia="Arial Unicode MS" w:cs="Times New Roman"/>
          <w:sz w:val="20"/>
          <w:lang w:val="en-US" w:eastAsia="ja-JP"/>
        </w:rPr>
        <w:t xml:space="preserve"> money laundering as the use of the proceeds of a list of </w:t>
      </w:r>
      <w:r w:rsidR="0016092F" w:rsidRPr="000605BC">
        <w:rPr>
          <w:rFonts w:eastAsia="Arial Unicode MS" w:cs="Times New Roman"/>
          <w:sz w:val="20"/>
          <w:lang w:val="en-US" w:eastAsia="ja-JP"/>
        </w:rPr>
        <w:t>specified</w:t>
      </w:r>
      <w:r w:rsidR="00907B6B" w:rsidRPr="000605BC">
        <w:rPr>
          <w:rFonts w:eastAsia="Arial Unicode MS" w:cs="Times New Roman"/>
          <w:sz w:val="20"/>
          <w:lang w:val="en-US" w:eastAsia="ja-JP"/>
        </w:rPr>
        <w:t xml:space="preserve"> offences (</w:t>
      </w:r>
      <w:r w:rsidR="003A6F8D" w:rsidRPr="000605BC">
        <w:rPr>
          <w:rFonts w:eastAsia="Arial Unicode MS" w:cs="Times New Roman"/>
          <w:sz w:val="20"/>
          <w:lang w:val="en-US" w:eastAsia="ja-JP"/>
        </w:rPr>
        <w:t>“</w:t>
      </w:r>
      <w:r w:rsidR="00907B6B" w:rsidRPr="000605BC">
        <w:rPr>
          <w:rFonts w:eastAsia="Arial Unicode MS" w:cs="Times New Roman"/>
          <w:sz w:val="20"/>
          <w:lang w:val="en-US" w:eastAsia="ja-JP"/>
        </w:rPr>
        <w:t>predicate offences</w:t>
      </w:r>
      <w:r w:rsidR="003A6F8D" w:rsidRPr="000605BC">
        <w:rPr>
          <w:rFonts w:eastAsia="Arial Unicode MS" w:cs="Times New Roman"/>
          <w:sz w:val="20"/>
          <w:lang w:val="en-US" w:eastAsia="ja-JP"/>
        </w:rPr>
        <w:t>”</w:t>
      </w:r>
      <w:r w:rsidR="00907B6B" w:rsidRPr="000605BC">
        <w:rPr>
          <w:rFonts w:eastAsia="Arial Unicode MS" w:cs="Times New Roman"/>
          <w:sz w:val="20"/>
          <w:lang w:val="en-US" w:eastAsia="ja-JP"/>
        </w:rPr>
        <w:t xml:space="preserve">). The UK takes a more inclusive approach. Under </w:t>
      </w:r>
      <w:r w:rsidR="00347739" w:rsidRPr="000605BC">
        <w:rPr>
          <w:rFonts w:eastAsia="Arial Unicode MS" w:cs="Times New Roman"/>
          <w:sz w:val="20"/>
          <w:lang w:val="en-US" w:eastAsia="ja-JP"/>
        </w:rPr>
        <w:t>its</w:t>
      </w:r>
      <w:r w:rsidR="00907B6B" w:rsidRPr="000605BC">
        <w:rPr>
          <w:rFonts w:eastAsia="Arial Unicode MS" w:cs="Times New Roman"/>
          <w:sz w:val="20"/>
          <w:lang w:val="en-US" w:eastAsia="ja-JP"/>
        </w:rPr>
        <w:t xml:space="preserve"> regime, virtually all profit-driven crime can lead to money laundering charges.</w:t>
      </w:r>
      <w:r w:rsidR="002822D1" w:rsidRPr="000605BC">
        <w:rPr>
          <w:rFonts w:eastAsia="Arial Unicode MS" w:cs="Times New Roman"/>
          <w:sz w:val="20"/>
          <w:lang w:val="en-US" w:eastAsia="ja-JP"/>
        </w:rPr>
        <w:t xml:space="preserve"> </w:t>
      </w:r>
    </w:p>
    <w:p w14:paraId="2B5442E9" w14:textId="611CFC62" w:rsidR="002E6B93" w:rsidRPr="000605BC" w:rsidRDefault="002E6B93" w:rsidP="00BD57FE">
      <w:pPr>
        <w:pStyle w:val="Heading3"/>
        <w:rPr>
          <w:sz w:val="22"/>
          <w:lang w:val="en-US" w:eastAsia="ja-JP"/>
        </w:rPr>
      </w:pPr>
      <w:bookmarkStart w:id="77" w:name="_Toc287093744"/>
      <w:bookmarkStart w:id="78" w:name="_Toc419901562"/>
      <w:r w:rsidRPr="000605BC">
        <w:rPr>
          <w:sz w:val="22"/>
          <w:lang w:val="en-US" w:eastAsia="ja-JP"/>
        </w:rPr>
        <w:t>US</w:t>
      </w:r>
      <w:bookmarkEnd w:id="77"/>
      <w:bookmarkEnd w:id="78"/>
    </w:p>
    <w:p w14:paraId="28AD6C7B" w14:textId="61691778" w:rsidR="00856830" w:rsidRPr="000605BC" w:rsidRDefault="00856830" w:rsidP="00256DF3">
      <w:pPr>
        <w:rPr>
          <w:rFonts w:cs="Times New Roman"/>
          <w:sz w:val="20"/>
          <w:szCs w:val="24"/>
        </w:rPr>
      </w:pPr>
      <w:r w:rsidRPr="000605BC">
        <w:rPr>
          <w:rFonts w:cs="Times New Roman"/>
          <w:sz w:val="20"/>
          <w:szCs w:val="24"/>
        </w:rPr>
        <w:t xml:space="preserve">In the United States, money laundering is primarily enforced at the </w:t>
      </w:r>
      <w:r w:rsidR="00347739" w:rsidRPr="000605BC">
        <w:rPr>
          <w:rFonts w:cs="Times New Roman"/>
          <w:sz w:val="20"/>
          <w:szCs w:val="24"/>
        </w:rPr>
        <w:t>f</w:t>
      </w:r>
      <w:r w:rsidRPr="000605BC">
        <w:rPr>
          <w:rFonts w:cs="Times New Roman"/>
          <w:sz w:val="20"/>
          <w:szCs w:val="24"/>
        </w:rPr>
        <w:t xml:space="preserve">ederal </w:t>
      </w:r>
      <w:r w:rsidR="002B2403" w:rsidRPr="000605BC">
        <w:rPr>
          <w:rFonts w:cs="Times New Roman"/>
          <w:sz w:val="20"/>
          <w:szCs w:val="24"/>
        </w:rPr>
        <w:t>level. Thirty-six states have money laundering offen</w:t>
      </w:r>
      <w:r w:rsidR="00F70B50" w:rsidRPr="000605BC">
        <w:rPr>
          <w:rFonts w:cs="Times New Roman"/>
          <w:sz w:val="20"/>
          <w:szCs w:val="24"/>
        </w:rPr>
        <w:t>c</w:t>
      </w:r>
      <w:r w:rsidR="002B2403" w:rsidRPr="000605BC">
        <w:rPr>
          <w:rFonts w:cs="Times New Roman"/>
          <w:sz w:val="20"/>
          <w:szCs w:val="24"/>
        </w:rPr>
        <w:t>es</w:t>
      </w:r>
      <w:r w:rsidRPr="000605BC">
        <w:rPr>
          <w:rFonts w:cs="Times New Roman"/>
          <w:sz w:val="20"/>
          <w:szCs w:val="24"/>
        </w:rPr>
        <w:t>.</w:t>
      </w:r>
      <w:r w:rsidR="002822D1" w:rsidRPr="000605BC">
        <w:rPr>
          <w:rFonts w:cs="Times New Roman"/>
          <w:sz w:val="20"/>
          <w:szCs w:val="24"/>
        </w:rPr>
        <w:t xml:space="preserve"> </w:t>
      </w:r>
      <w:r w:rsidRPr="000605BC">
        <w:rPr>
          <w:rFonts w:cs="Times New Roman"/>
          <w:sz w:val="20"/>
          <w:szCs w:val="24"/>
        </w:rPr>
        <w:t xml:space="preserve">Where money laundering is criminalized at the state level, </w:t>
      </w:r>
      <w:r w:rsidR="00081705" w:rsidRPr="000605BC">
        <w:rPr>
          <w:rFonts w:cs="Times New Roman"/>
          <w:sz w:val="20"/>
          <w:szCs w:val="24"/>
        </w:rPr>
        <w:t>f</w:t>
      </w:r>
      <w:r w:rsidRPr="000605BC">
        <w:rPr>
          <w:rFonts w:cs="Times New Roman"/>
          <w:sz w:val="20"/>
          <w:szCs w:val="24"/>
        </w:rPr>
        <w:t>ederal and state authorities work closely together. Approximately 2,500 natural and legal persons are charged with federal money laundering offen</w:t>
      </w:r>
      <w:r w:rsidR="00F70B50" w:rsidRPr="000605BC">
        <w:rPr>
          <w:rFonts w:cs="Times New Roman"/>
          <w:sz w:val="20"/>
          <w:szCs w:val="24"/>
        </w:rPr>
        <w:t>c</w:t>
      </w:r>
      <w:r w:rsidRPr="000605BC">
        <w:rPr>
          <w:rFonts w:cs="Times New Roman"/>
          <w:sz w:val="20"/>
          <w:szCs w:val="24"/>
        </w:rPr>
        <w:t>es each year, resulting in over 1,200 convictions.</w:t>
      </w:r>
      <w:r w:rsidR="002822D1" w:rsidRPr="000605BC">
        <w:rPr>
          <w:rFonts w:cs="Times New Roman"/>
          <w:sz w:val="20"/>
          <w:szCs w:val="24"/>
        </w:rPr>
        <w:t xml:space="preserve"> </w:t>
      </w:r>
      <w:r w:rsidRPr="000605BC">
        <w:rPr>
          <w:rFonts w:cs="Times New Roman"/>
          <w:sz w:val="20"/>
          <w:szCs w:val="24"/>
        </w:rPr>
        <w:t>In 2014, a total of 3,369 money laundering charges were laid and 1,967 convictions registered (the greater number of charges accounted for by the fact that a person may be charged with multiple counts of</w:t>
      </w:r>
      <w:r w:rsidR="002B2403" w:rsidRPr="000605BC">
        <w:rPr>
          <w:rFonts w:cs="Times New Roman"/>
          <w:sz w:val="20"/>
          <w:szCs w:val="24"/>
        </w:rPr>
        <w:t xml:space="preserve"> various money laundering offen</w:t>
      </w:r>
      <w:r w:rsidR="00F70B50" w:rsidRPr="000605BC">
        <w:rPr>
          <w:rFonts w:cs="Times New Roman"/>
          <w:sz w:val="20"/>
          <w:szCs w:val="24"/>
        </w:rPr>
        <w:t>c</w:t>
      </w:r>
      <w:r w:rsidRPr="000605BC">
        <w:rPr>
          <w:rFonts w:cs="Times New Roman"/>
          <w:sz w:val="20"/>
          <w:szCs w:val="24"/>
        </w:rPr>
        <w:t>es).</w:t>
      </w:r>
      <w:r w:rsidRPr="000605BC">
        <w:rPr>
          <w:rStyle w:val="FootnoteReference"/>
          <w:rFonts w:cs="Times New Roman"/>
          <w:sz w:val="20"/>
          <w:szCs w:val="24"/>
        </w:rPr>
        <w:footnoteReference w:id="100"/>
      </w:r>
    </w:p>
    <w:p w14:paraId="20277A69" w14:textId="5DB2D734" w:rsidR="00856830" w:rsidRPr="000605BC" w:rsidRDefault="00856830" w:rsidP="00256DF3">
      <w:pPr>
        <w:rPr>
          <w:rFonts w:cs="Times New Roman"/>
          <w:sz w:val="20"/>
          <w:szCs w:val="24"/>
          <w:vertAlign w:val="superscript"/>
        </w:rPr>
      </w:pPr>
      <w:r w:rsidRPr="000605BC">
        <w:rPr>
          <w:rFonts w:cs="Times New Roman"/>
          <w:sz w:val="20"/>
          <w:szCs w:val="24"/>
        </w:rPr>
        <w:t>The two primary money laun</w:t>
      </w:r>
      <w:r w:rsidR="007F6953" w:rsidRPr="000605BC">
        <w:rPr>
          <w:rFonts w:cs="Times New Roman"/>
          <w:sz w:val="20"/>
          <w:szCs w:val="24"/>
        </w:rPr>
        <w:t>dering offen</w:t>
      </w:r>
      <w:r w:rsidR="0081709C" w:rsidRPr="000605BC">
        <w:rPr>
          <w:rFonts w:cs="Times New Roman"/>
          <w:sz w:val="20"/>
          <w:szCs w:val="24"/>
        </w:rPr>
        <w:t>c</w:t>
      </w:r>
      <w:r w:rsidR="007F6953" w:rsidRPr="000605BC">
        <w:rPr>
          <w:rFonts w:cs="Times New Roman"/>
          <w:sz w:val="20"/>
          <w:szCs w:val="24"/>
        </w:rPr>
        <w:t>es are 18 USC 1956: Money L</w:t>
      </w:r>
      <w:r w:rsidRPr="000605BC">
        <w:rPr>
          <w:rFonts w:cs="Times New Roman"/>
          <w:sz w:val="20"/>
          <w:szCs w:val="24"/>
        </w:rPr>
        <w:t>aundering (proceeds laundering) and 18 US 1957: Money Laundering (trans</w:t>
      </w:r>
      <w:r w:rsidR="007F6953" w:rsidRPr="000605BC">
        <w:rPr>
          <w:rFonts w:cs="Times New Roman"/>
          <w:sz w:val="20"/>
          <w:szCs w:val="24"/>
        </w:rPr>
        <w:t>actional).</w:t>
      </w:r>
      <w:r w:rsidR="002822D1" w:rsidRPr="000605BC">
        <w:rPr>
          <w:rFonts w:cs="Times New Roman"/>
          <w:sz w:val="20"/>
          <w:szCs w:val="24"/>
        </w:rPr>
        <w:t xml:space="preserve"> </w:t>
      </w:r>
      <w:r w:rsidR="007F6953" w:rsidRPr="000605BC">
        <w:rPr>
          <w:rFonts w:cs="Times New Roman"/>
          <w:sz w:val="20"/>
          <w:szCs w:val="24"/>
        </w:rPr>
        <w:t xml:space="preserve">Respectively, </w:t>
      </w:r>
      <w:r w:rsidRPr="000605BC">
        <w:rPr>
          <w:rFonts w:cs="Times New Roman"/>
          <w:sz w:val="20"/>
          <w:szCs w:val="24"/>
        </w:rPr>
        <w:t xml:space="preserve">charges </w:t>
      </w:r>
      <w:r w:rsidR="007F6953" w:rsidRPr="000605BC">
        <w:rPr>
          <w:rFonts w:cs="Times New Roman"/>
          <w:sz w:val="20"/>
          <w:szCs w:val="24"/>
        </w:rPr>
        <w:t>for these offen</w:t>
      </w:r>
      <w:r w:rsidR="0081709C" w:rsidRPr="000605BC">
        <w:rPr>
          <w:rFonts w:cs="Times New Roman"/>
          <w:sz w:val="20"/>
          <w:szCs w:val="24"/>
        </w:rPr>
        <w:t>c</w:t>
      </w:r>
      <w:r w:rsidR="007F6953" w:rsidRPr="000605BC">
        <w:rPr>
          <w:rFonts w:cs="Times New Roman"/>
          <w:sz w:val="20"/>
          <w:szCs w:val="24"/>
        </w:rPr>
        <w:t xml:space="preserve">es </w:t>
      </w:r>
      <w:r w:rsidRPr="000605BC">
        <w:rPr>
          <w:rFonts w:cs="Times New Roman"/>
          <w:sz w:val="20"/>
          <w:szCs w:val="24"/>
        </w:rPr>
        <w:t>were laid 1,895 and 517 times in 2014, accounting for 72% of all money laundering charges</w:t>
      </w:r>
      <w:r w:rsidR="007F6953" w:rsidRPr="000605BC">
        <w:rPr>
          <w:rFonts w:cs="Times New Roman"/>
          <w:sz w:val="20"/>
          <w:szCs w:val="24"/>
        </w:rPr>
        <w:t xml:space="preserve"> in United States</w:t>
      </w:r>
      <w:r w:rsidRPr="000605BC">
        <w:rPr>
          <w:rFonts w:cs="Times New Roman"/>
          <w:sz w:val="20"/>
          <w:szCs w:val="24"/>
        </w:rPr>
        <w:t>.</w:t>
      </w:r>
      <w:r w:rsidR="002822D1" w:rsidRPr="000605BC">
        <w:rPr>
          <w:rFonts w:cs="Times New Roman"/>
          <w:sz w:val="20"/>
          <w:szCs w:val="24"/>
        </w:rPr>
        <w:t xml:space="preserve"> </w:t>
      </w:r>
      <w:r w:rsidRPr="000605BC">
        <w:rPr>
          <w:rFonts w:cs="Times New Roman"/>
          <w:sz w:val="20"/>
          <w:szCs w:val="24"/>
        </w:rPr>
        <w:t xml:space="preserve">Other money laundering related charges are </w:t>
      </w:r>
      <w:r w:rsidRPr="000605BC">
        <w:rPr>
          <w:rFonts w:cs="Times New Roman"/>
          <w:bCs/>
          <w:sz w:val="20"/>
          <w:szCs w:val="24"/>
        </w:rPr>
        <w:t>USC 1952: Interstate &amp; foreign travel/transportation, including of proceeds, in aid of racketeering enterprises, 18 USC 1962: Receiving or deriving income from racketeering activities (RICO) and 31 USC 5332: Bulk cash smuggling.</w:t>
      </w:r>
      <w:r w:rsidR="00BD7EDA" w:rsidRPr="000605BC">
        <w:rPr>
          <w:rStyle w:val="FootnoteReference"/>
          <w:rFonts w:cs="Times New Roman"/>
          <w:bCs/>
          <w:sz w:val="20"/>
          <w:szCs w:val="24"/>
        </w:rPr>
        <w:footnoteReference w:id="101"/>
      </w:r>
    </w:p>
    <w:p w14:paraId="7B016F3E" w14:textId="4538B732" w:rsidR="00273344" w:rsidRPr="000605BC" w:rsidRDefault="00856830" w:rsidP="00256DF3">
      <w:pPr>
        <w:rPr>
          <w:rFonts w:eastAsia="Times New Roman" w:cs="Times New Roman"/>
          <w:bCs/>
          <w:sz w:val="20"/>
          <w:szCs w:val="24"/>
        </w:rPr>
      </w:pPr>
      <w:r w:rsidRPr="000605BC">
        <w:rPr>
          <w:rFonts w:cs="Times New Roman"/>
          <w:bCs/>
          <w:sz w:val="20"/>
          <w:szCs w:val="24"/>
        </w:rPr>
        <w:t xml:space="preserve">The relevant provisions of </w:t>
      </w:r>
      <w:r w:rsidRPr="000605BC">
        <w:rPr>
          <w:rFonts w:eastAsiaTheme="minorEastAsia" w:cs="Times New Roman"/>
          <w:sz w:val="20"/>
          <w:szCs w:val="24"/>
          <w:lang w:val="en-US" w:eastAsia="ja-JP"/>
        </w:rPr>
        <w:t>18 U</w:t>
      </w:r>
      <w:r w:rsidR="00081705" w:rsidRPr="000605BC">
        <w:rPr>
          <w:rFonts w:eastAsiaTheme="minorEastAsia" w:cs="Times New Roman"/>
          <w:sz w:val="20"/>
          <w:szCs w:val="24"/>
          <w:lang w:val="en-US" w:eastAsia="ja-JP"/>
        </w:rPr>
        <w:t>SC</w:t>
      </w:r>
      <w:r w:rsidR="00C913EA" w:rsidRPr="000605BC">
        <w:rPr>
          <w:rFonts w:eastAsiaTheme="minorEastAsia" w:cs="Times New Roman"/>
          <w:sz w:val="20"/>
          <w:szCs w:val="24"/>
          <w:lang w:val="en-US" w:eastAsia="ja-JP"/>
        </w:rPr>
        <w:t xml:space="preserve"> </w:t>
      </w:r>
      <w:r w:rsidRPr="000605BC">
        <w:rPr>
          <w:rFonts w:eastAsia="Times New Roman" w:cs="Times New Roman"/>
          <w:bCs/>
          <w:sz w:val="20"/>
          <w:szCs w:val="24"/>
        </w:rPr>
        <w:t>1956 and</w:t>
      </w:r>
      <w:r w:rsidR="00081705" w:rsidRPr="000605BC">
        <w:rPr>
          <w:rFonts w:eastAsiaTheme="minorEastAsia" w:cs="Times New Roman"/>
          <w:sz w:val="20"/>
          <w:szCs w:val="24"/>
          <w:lang w:val="en-US" w:eastAsia="ja-JP"/>
        </w:rPr>
        <w:t xml:space="preserve"> 18 USC</w:t>
      </w:r>
      <w:r w:rsidRPr="000605BC">
        <w:rPr>
          <w:rFonts w:eastAsiaTheme="minorEastAsia" w:cs="Times New Roman"/>
          <w:sz w:val="20"/>
          <w:szCs w:val="24"/>
          <w:lang w:val="en-US" w:eastAsia="ja-JP"/>
        </w:rPr>
        <w:t xml:space="preserve"> </w:t>
      </w:r>
      <w:r w:rsidRPr="000605BC">
        <w:rPr>
          <w:rFonts w:eastAsia="Times New Roman" w:cs="Times New Roman"/>
          <w:bCs/>
          <w:sz w:val="20"/>
          <w:szCs w:val="24"/>
        </w:rPr>
        <w:t>1957 are reproduced below:</w:t>
      </w:r>
    </w:p>
    <w:p w14:paraId="2B5ECDD5" w14:textId="0485B6D7" w:rsidR="002E6B93" w:rsidRPr="000605BC" w:rsidRDefault="002E6B93" w:rsidP="002B043A">
      <w:pPr>
        <w:pStyle w:val="BlockQuote"/>
        <w:rPr>
          <w:rFonts w:eastAsiaTheme="minorEastAsia"/>
          <w:sz w:val="20"/>
          <w:lang w:val="en-US" w:eastAsia="ja-JP"/>
        </w:rPr>
      </w:pPr>
      <w:r w:rsidRPr="000605BC">
        <w:rPr>
          <w:sz w:val="20"/>
        </w:rPr>
        <w:t xml:space="preserve">18 U.S. Code </w:t>
      </w:r>
      <w:r w:rsidR="00777CD8" w:rsidRPr="000605BC">
        <w:rPr>
          <w:sz w:val="20"/>
        </w:rPr>
        <w:t>s.1</w:t>
      </w:r>
      <w:r w:rsidRPr="000605BC">
        <w:rPr>
          <w:sz w:val="20"/>
        </w:rPr>
        <w:t>956 – Laundering of monetary instruments</w:t>
      </w:r>
    </w:p>
    <w:p w14:paraId="119E84B0" w14:textId="52C91D08" w:rsidR="002E6B93" w:rsidRPr="000605BC" w:rsidRDefault="002E6B93" w:rsidP="008004ED">
      <w:pPr>
        <w:pStyle w:val="BlockQuote"/>
        <w:ind w:left="1440" w:hanging="720"/>
        <w:jc w:val="left"/>
        <w:rPr>
          <w:sz w:val="20"/>
          <w:lang w:val="en-US" w:eastAsia="ja-JP"/>
        </w:rPr>
      </w:pPr>
      <w:r w:rsidRPr="000605BC">
        <w:rPr>
          <w:bCs/>
          <w:sz w:val="20"/>
          <w:lang w:val="en-US" w:eastAsia="ja-JP"/>
        </w:rPr>
        <w:t>(a)</w:t>
      </w:r>
      <w:r w:rsidR="002B043A" w:rsidRPr="000605BC">
        <w:rPr>
          <w:sz w:val="20"/>
          <w:lang w:val="en-US" w:eastAsia="ja-JP"/>
        </w:rPr>
        <w:t xml:space="preserve"> </w:t>
      </w:r>
      <w:r w:rsidRPr="000605BC">
        <w:rPr>
          <w:bCs/>
          <w:sz w:val="20"/>
          <w:lang w:val="en-US" w:eastAsia="ja-JP"/>
        </w:rPr>
        <w:t>(1)</w:t>
      </w:r>
      <w:r w:rsidRPr="000605BC">
        <w:rPr>
          <w:b/>
          <w:bCs/>
          <w:sz w:val="20"/>
          <w:lang w:val="en-US" w:eastAsia="ja-JP"/>
        </w:rPr>
        <w:t xml:space="preserve"> </w:t>
      </w:r>
      <w:r w:rsidR="002B043A" w:rsidRPr="000605BC">
        <w:rPr>
          <w:b/>
          <w:bCs/>
          <w:sz w:val="20"/>
          <w:lang w:val="en-US" w:eastAsia="ja-JP"/>
        </w:rPr>
        <w:tab/>
      </w:r>
      <w:r w:rsidRPr="000605BC">
        <w:rPr>
          <w:sz w:val="20"/>
          <w:lang w:val="en-US" w:eastAsia="ja-JP"/>
        </w:rPr>
        <w:t>Whoever</w:t>
      </w:r>
      <w:r w:rsidRPr="000605BC">
        <w:rPr>
          <w:i/>
          <w:sz w:val="20"/>
          <w:lang w:val="en-US" w:eastAsia="ja-JP"/>
        </w:rPr>
        <w:t>, knowing that the property involved in a financial transaction represents the proceeds of some form of unlawful activity</w:t>
      </w:r>
      <w:r w:rsidRPr="000605BC">
        <w:rPr>
          <w:sz w:val="20"/>
          <w:lang w:val="en-US" w:eastAsia="ja-JP"/>
        </w:rPr>
        <w:t xml:space="preserve">, conducts or attempts to conduct such a financial transaction which </w:t>
      </w:r>
      <w:r w:rsidRPr="000605BC">
        <w:rPr>
          <w:i/>
          <w:sz w:val="20"/>
          <w:lang w:val="en-US" w:eastAsia="ja-JP"/>
        </w:rPr>
        <w:t>in fact involves the proceeds of specified unlawful activity</w:t>
      </w:r>
      <w:r w:rsidRPr="000605BC">
        <w:rPr>
          <w:sz w:val="20"/>
          <w:lang w:val="en-US" w:eastAsia="ja-JP"/>
        </w:rPr>
        <w:t>—</w:t>
      </w:r>
    </w:p>
    <w:p w14:paraId="3E40B176" w14:textId="77777777" w:rsidR="00BB0D32" w:rsidRPr="000605BC" w:rsidRDefault="002E6B93" w:rsidP="008004ED">
      <w:pPr>
        <w:pStyle w:val="BlockQuote"/>
        <w:spacing w:before="60" w:after="0"/>
        <w:ind w:left="2160" w:hanging="720"/>
        <w:jc w:val="left"/>
        <w:rPr>
          <w:i/>
          <w:sz w:val="20"/>
          <w:lang w:val="en-US" w:eastAsia="ja-JP"/>
        </w:rPr>
      </w:pPr>
      <w:r w:rsidRPr="000605BC">
        <w:rPr>
          <w:sz w:val="20"/>
          <w:lang w:val="en-US" w:eastAsia="ja-JP"/>
        </w:rPr>
        <w:t>(A)</w:t>
      </w:r>
      <w:r w:rsidR="002B043A" w:rsidRPr="000605BC">
        <w:rPr>
          <w:sz w:val="20"/>
          <w:lang w:val="en-US" w:eastAsia="ja-JP"/>
        </w:rPr>
        <w:t xml:space="preserve"> </w:t>
      </w:r>
      <w:r w:rsidR="002B043A" w:rsidRPr="000605BC">
        <w:rPr>
          <w:sz w:val="20"/>
          <w:lang w:val="en-US" w:eastAsia="ja-JP"/>
        </w:rPr>
        <w:tab/>
      </w:r>
      <w:r w:rsidRPr="000605BC">
        <w:rPr>
          <w:sz w:val="20"/>
          <w:lang w:val="en-US" w:eastAsia="ja-JP"/>
        </w:rPr>
        <w:t>(</w:t>
      </w:r>
      <w:proofErr w:type="spellStart"/>
      <w:proofErr w:type="gramStart"/>
      <w:r w:rsidRPr="000605BC">
        <w:rPr>
          <w:sz w:val="20"/>
          <w:lang w:val="en-US" w:eastAsia="ja-JP"/>
        </w:rPr>
        <w:t>i</w:t>
      </w:r>
      <w:proofErr w:type="spellEnd"/>
      <w:proofErr w:type="gramEnd"/>
      <w:r w:rsidRPr="000605BC">
        <w:rPr>
          <w:sz w:val="20"/>
          <w:lang w:val="en-US" w:eastAsia="ja-JP"/>
        </w:rPr>
        <w:t xml:space="preserve">) </w:t>
      </w:r>
      <w:r w:rsidR="00BB0D32" w:rsidRPr="000605BC">
        <w:rPr>
          <w:sz w:val="20"/>
          <w:lang w:val="en-US" w:eastAsia="ja-JP"/>
        </w:rPr>
        <w:tab/>
      </w:r>
      <w:r w:rsidRPr="000605BC">
        <w:rPr>
          <w:sz w:val="20"/>
          <w:lang w:val="en-US" w:eastAsia="ja-JP"/>
        </w:rPr>
        <w:t xml:space="preserve">with the intent to </w:t>
      </w:r>
      <w:r w:rsidRPr="000605BC">
        <w:rPr>
          <w:i/>
          <w:sz w:val="20"/>
          <w:lang w:val="en-US" w:eastAsia="ja-JP"/>
        </w:rPr>
        <w:t xml:space="preserve">promote the carrying on of specified </w:t>
      </w:r>
    </w:p>
    <w:p w14:paraId="1CFEEB36" w14:textId="52E4C093" w:rsidR="002E6B93" w:rsidRPr="000605BC" w:rsidRDefault="002E6B93" w:rsidP="008004ED">
      <w:pPr>
        <w:pStyle w:val="BlockQuote"/>
        <w:spacing w:before="60" w:after="0"/>
        <w:ind w:left="2160" w:firstLine="720"/>
        <w:jc w:val="left"/>
        <w:rPr>
          <w:sz w:val="20"/>
          <w:lang w:val="en-US" w:eastAsia="ja-JP"/>
        </w:rPr>
      </w:pPr>
      <w:proofErr w:type="gramStart"/>
      <w:r w:rsidRPr="000605BC">
        <w:rPr>
          <w:i/>
          <w:sz w:val="20"/>
          <w:lang w:val="en-US" w:eastAsia="ja-JP"/>
        </w:rPr>
        <w:t>unlawful</w:t>
      </w:r>
      <w:proofErr w:type="gramEnd"/>
      <w:r w:rsidRPr="000605BC">
        <w:rPr>
          <w:i/>
          <w:sz w:val="20"/>
          <w:lang w:val="en-US" w:eastAsia="ja-JP"/>
        </w:rPr>
        <w:t xml:space="preserve"> activity</w:t>
      </w:r>
      <w:r w:rsidRPr="000605BC">
        <w:rPr>
          <w:sz w:val="20"/>
          <w:lang w:val="en-US" w:eastAsia="ja-JP"/>
        </w:rPr>
        <w:t>;</w:t>
      </w:r>
      <w:r w:rsidR="002822D1" w:rsidRPr="000605BC">
        <w:rPr>
          <w:sz w:val="20"/>
          <w:lang w:val="en-US" w:eastAsia="ja-JP"/>
        </w:rPr>
        <w:t xml:space="preserve">  </w:t>
      </w:r>
      <w:r w:rsidRPr="000605BC">
        <w:rPr>
          <w:sz w:val="20"/>
          <w:lang w:val="en-US" w:eastAsia="ja-JP"/>
        </w:rPr>
        <w:t>or</w:t>
      </w:r>
    </w:p>
    <w:p w14:paraId="7A922944" w14:textId="3E28CCAC" w:rsidR="002E6B93" w:rsidRPr="000605BC" w:rsidRDefault="002E6B93" w:rsidP="008004ED">
      <w:pPr>
        <w:pStyle w:val="BlockQuote"/>
        <w:spacing w:before="60" w:after="0"/>
        <w:ind w:left="2880" w:hanging="720"/>
        <w:jc w:val="left"/>
        <w:rPr>
          <w:sz w:val="20"/>
          <w:lang w:val="en-US" w:eastAsia="ja-JP"/>
        </w:rPr>
      </w:pPr>
      <w:r w:rsidRPr="000605BC">
        <w:rPr>
          <w:sz w:val="20"/>
          <w:lang w:val="en-US" w:eastAsia="ja-JP"/>
        </w:rPr>
        <w:t xml:space="preserve">(ii) </w:t>
      </w:r>
      <w:r w:rsidR="00BB0D32" w:rsidRPr="000605BC">
        <w:rPr>
          <w:sz w:val="20"/>
          <w:lang w:val="en-US" w:eastAsia="ja-JP"/>
        </w:rPr>
        <w:tab/>
      </w:r>
      <w:proofErr w:type="gramStart"/>
      <w:r w:rsidRPr="000605BC">
        <w:rPr>
          <w:sz w:val="20"/>
          <w:lang w:val="en-US" w:eastAsia="ja-JP"/>
        </w:rPr>
        <w:t>with</w:t>
      </w:r>
      <w:proofErr w:type="gramEnd"/>
      <w:r w:rsidRPr="000605BC">
        <w:rPr>
          <w:sz w:val="20"/>
          <w:lang w:val="en-US" w:eastAsia="ja-JP"/>
        </w:rPr>
        <w:t xml:space="preserve"> intent to engage in conduct constituting a violation of section 7201 or 7206 of the Internal Revenue Code of 1986; or</w:t>
      </w:r>
    </w:p>
    <w:p w14:paraId="54460DD0" w14:textId="7F6942D5" w:rsidR="002E6B93" w:rsidRPr="000605BC" w:rsidRDefault="002E6B93" w:rsidP="005B35C6">
      <w:pPr>
        <w:pStyle w:val="BlockQuote"/>
        <w:spacing w:before="60" w:after="0"/>
        <w:ind w:left="2160" w:hanging="720"/>
        <w:jc w:val="left"/>
        <w:rPr>
          <w:sz w:val="20"/>
          <w:lang w:val="en-US" w:eastAsia="ja-JP"/>
        </w:rPr>
      </w:pPr>
      <w:r w:rsidRPr="000605BC">
        <w:rPr>
          <w:bCs/>
          <w:sz w:val="20"/>
          <w:lang w:val="en-US" w:eastAsia="ja-JP"/>
        </w:rPr>
        <w:t>(B)</w:t>
      </w:r>
      <w:r w:rsidR="002B043A" w:rsidRPr="000605BC">
        <w:rPr>
          <w:b/>
          <w:bCs/>
          <w:sz w:val="20"/>
          <w:lang w:val="en-US" w:eastAsia="ja-JP"/>
        </w:rPr>
        <w:tab/>
      </w:r>
      <w:proofErr w:type="gramStart"/>
      <w:r w:rsidRPr="000605BC">
        <w:rPr>
          <w:i/>
          <w:sz w:val="20"/>
          <w:lang w:val="en-US" w:eastAsia="ja-JP"/>
        </w:rPr>
        <w:t>knowing</w:t>
      </w:r>
      <w:proofErr w:type="gramEnd"/>
      <w:r w:rsidRPr="000605BC">
        <w:rPr>
          <w:i/>
          <w:sz w:val="20"/>
          <w:lang w:val="en-US" w:eastAsia="ja-JP"/>
        </w:rPr>
        <w:t xml:space="preserve"> that the transaction is designed</w:t>
      </w:r>
      <w:r w:rsidRPr="000605BC">
        <w:rPr>
          <w:sz w:val="20"/>
          <w:lang w:val="en-US" w:eastAsia="ja-JP"/>
        </w:rPr>
        <w:t xml:space="preserve"> in whole or in part—</w:t>
      </w:r>
    </w:p>
    <w:p w14:paraId="1E8CC4FF" w14:textId="57C90285" w:rsidR="002E6B93" w:rsidRPr="000605BC" w:rsidRDefault="002E6B93" w:rsidP="008004ED">
      <w:pPr>
        <w:pStyle w:val="BlockQuote"/>
        <w:spacing w:before="60" w:after="0"/>
        <w:ind w:left="2880" w:hanging="720"/>
        <w:jc w:val="left"/>
        <w:rPr>
          <w:sz w:val="20"/>
          <w:lang w:val="en-US" w:eastAsia="ja-JP"/>
        </w:rPr>
      </w:pPr>
      <w:r w:rsidRPr="000605BC">
        <w:rPr>
          <w:bCs/>
          <w:sz w:val="20"/>
          <w:lang w:val="en-US" w:eastAsia="ja-JP"/>
        </w:rPr>
        <w:t>(</w:t>
      </w:r>
      <w:proofErr w:type="spellStart"/>
      <w:r w:rsidRPr="000605BC">
        <w:rPr>
          <w:bCs/>
          <w:sz w:val="20"/>
          <w:lang w:val="en-US" w:eastAsia="ja-JP"/>
        </w:rPr>
        <w:t>i</w:t>
      </w:r>
      <w:proofErr w:type="spellEnd"/>
      <w:r w:rsidRPr="000605BC">
        <w:rPr>
          <w:bCs/>
          <w:sz w:val="20"/>
          <w:lang w:val="en-US" w:eastAsia="ja-JP"/>
        </w:rPr>
        <w:t>)</w:t>
      </w:r>
      <w:r w:rsidRPr="000605BC">
        <w:rPr>
          <w:b/>
          <w:bCs/>
          <w:sz w:val="20"/>
          <w:lang w:val="en-US" w:eastAsia="ja-JP"/>
        </w:rPr>
        <w:t xml:space="preserve"> </w:t>
      </w:r>
      <w:r w:rsidR="00BB0D32" w:rsidRPr="000605BC">
        <w:rPr>
          <w:b/>
          <w:bCs/>
          <w:sz w:val="20"/>
          <w:lang w:val="en-US" w:eastAsia="ja-JP"/>
        </w:rPr>
        <w:tab/>
      </w:r>
      <w:proofErr w:type="gramStart"/>
      <w:r w:rsidRPr="000605BC">
        <w:rPr>
          <w:i/>
          <w:sz w:val="20"/>
          <w:lang w:val="en-US" w:eastAsia="ja-JP"/>
        </w:rPr>
        <w:t>to</w:t>
      </w:r>
      <w:proofErr w:type="gramEnd"/>
      <w:r w:rsidRPr="000605BC">
        <w:rPr>
          <w:i/>
          <w:sz w:val="20"/>
          <w:lang w:val="en-US" w:eastAsia="ja-JP"/>
        </w:rPr>
        <w:t xml:space="preserve"> conceal or disguise the nature, the location, the source, the ownership, or the control of the proceeds of specified unlawful activity</w:t>
      </w:r>
      <w:r w:rsidRPr="000605BC">
        <w:rPr>
          <w:sz w:val="20"/>
          <w:lang w:val="en-US" w:eastAsia="ja-JP"/>
        </w:rPr>
        <w:t>; or</w:t>
      </w:r>
    </w:p>
    <w:p w14:paraId="196E3BB6" w14:textId="55728933" w:rsidR="002E6B93" w:rsidRPr="000605BC" w:rsidRDefault="002E6B93" w:rsidP="008004ED">
      <w:pPr>
        <w:pStyle w:val="BlockQuote"/>
        <w:spacing w:before="60" w:after="0"/>
        <w:ind w:left="2880" w:hanging="720"/>
        <w:jc w:val="left"/>
        <w:rPr>
          <w:sz w:val="20"/>
          <w:lang w:val="en-US" w:eastAsia="ja-JP"/>
        </w:rPr>
      </w:pPr>
      <w:r w:rsidRPr="000605BC">
        <w:rPr>
          <w:bCs/>
          <w:sz w:val="20"/>
          <w:lang w:val="en-US" w:eastAsia="ja-JP"/>
        </w:rPr>
        <w:t>(ii)</w:t>
      </w:r>
      <w:r w:rsidRPr="000605BC">
        <w:rPr>
          <w:b/>
          <w:bCs/>
          <w:sz w:val="20"/>
          <w:lang w:val="en-US" w:eastAsia="ja-JP"/>
        </w:rPr>
        <w:t xml:space="preserve"> </w:t>
      </w:r>
      <w:r w:rsidR="00BB0D32" w:rsidRPr="000605BC">
        <w:rPr>
          <w:b/>
          <w:bCs/>
          <w:sz w:val="20"/>
          <w:lang w:val="en-US" w:eastAsia="ja-JP"/>
        </w:rPr>
        <w:tab/>
      </w:r>
      <w:proofErr w:type="gramStart"/>
      <w:r w:rsidRPr="000605BC">
        <w:rPr>
          <w:i/>
          <w:sz w:val="20"/>
          <w:lang w:val="en-US" w:eastAsia="ja-JP"/>
        </w:rPr>
        <w:t>to</w:t>
      </w:r>
      <w:proofErr w:type="gramEnd"/>
      <w:r w:rsidRPr="000605BC">
        <w:rPr>
          <w:i/>
          <w:sz w:val="20"/>
          <w:lang w:val="en-US" w:eastAsia="ja-JP"/>
        </w:rPr>
        <w:t xml:space="preserve"> avoid a transaction reporting requirement</w:t>
      </w:r>
      <w:r w:rsidRPr="000605BC">
        <w:rPr>
          <w:sz w:val="20"/>
          <w:lang w:val="en-US" w:eastAsia="ja-JP"/>
        </w:rPr>
        <w:t xml:space="preserve"> under State or Federal law,</w:t>
      </w:r>
    </w:p>
    <w:p w14:paraId="34F57D20" w14:textId="77777777" w:rsidR="002E6B93" w:rsidRPr="000605BC" w:rsidRDefault="002E6B93" w:rsidP="008004ED">
      <w:pPr>
        <w:pStyle w:val="BlockQuote"/>
        <w:ind w:left="1440"/>
        <w:jc w:val="left"/>
        <w:rPr>
          <w:sz w:val="20"/>
          <w:lang w:val="en-US" w:eastAsia="ja-JP"/>
        </w:rPr>
      </w:pPr>
      <w:proofErr w:type="gramStart"/>
      <w:r w:rsidRPr="000605BC">
        <w:rPr>
          <w:sz w:val="20"/>
          <w:lang w:val="en-US" w:eastAsia="ja-JP"/>
        </w:rPr>
        <w:t>shall</w:t>
      </w:r>
      <w:proofErr w:type="gramEnd"/>
      <w:r w:rsidRPr="000605BC">
        <w:rPr>
          <w:sz w:val="20"/>
          <w:lang w:val="en-US" w:eastAsia="ja-JP"/>
        </w:rPr>
        <w:t xml:space="preserve"> be sentenced to a fine of not more than $500,000 or twice the value of the property involved in the transaction, whichever is greater, or imprisonment for not more than twenty years, or both. For purposes of this paragraph, a financial transaction shall be considered to be one involving the proceeds of specified unlawful activity if it is part of a set of parallel or dependent transactions, any one of which involves the proceeds of specified unlawful activity, and all of which are part of a single plan or arrangement.</w:t>
      </w:r>
    </w:p>
    <w:p w14:paraId="48CDFD75" w14:textId="475D2DB6" w:rsidR="002E6B93" w:rsidRPr="000605BC" w:rsidRDefault="002E6B93" w:rsidP="008004ED">
      <w:pPr>
        <w:pStyle w:val="BlockQuote"/>
        <w:ind w:left="1440" w:hanging="720"/>
        <w:jc w:val="left"/>
        <w:rPr>
          <w:sz w:val="20"/>
          <w:lang w:val="en-US" w:eastAsia="ja-JP"/>
        </w:rPr>
      </w:pPr>
      <w:r w:rsidRPr="000605BC">
        <w:rPr>
          <w:bCs/>
          <w:sz w:val="20"/>
          <w:lang w:val="en-US" w:eastAsia="ja-JP"/>
        </w:rPr>
        <w:t>(2)</w:t>
      </w:r>
      <w:r w:rsidRPr="000605BC">
        <w:rPr>
          <w:b/>
          <w:bCs/>
          <w:sz w:val="20"/>
          <w:lang w:val="en-US" w:eastAsia="ja-JP"/>
        </w:rPr>
        <w:t xml:space="preserve"> </w:t>
      </w:r>
      <w:r w:rsidR="00931FD1" w:rsidRPr="000605BC">
        <w:rPr>
          <w:b/>
          <w:bCs/>
          <w:sz w:val="20"/>
          <w:lang w:val="en-US" w:eastAsia="ja-JP"/>
        </w:rPr>
        <w:tab/>
      </w:r>
      <w:r w:rsidRPr="000605BC">
        <w:rPr>
          <w:sz w:val="20"/>
          <w:lang w:val="en-US" w:eastAsia="ja-JP"/>
        </w:rPr>
        <w:t xml:space="preserve">Whoever </w:t>
      </w:r>
      <w:r w:rsidRPr="000605BC">
        <w:rPr>
          <w:i/>
          <w:sz w:val="20"/>
          <w:lang w:val="en-US" w:eastAsia="ja-JP"/>
        </w:rPr>
        <w:t>transports, transmits, or transfers, or attempts</w:t>
      </w:r>
      <w:r w:rsidRPr="000605BC">
        <w:rPr>
          <w:sz w:val="20"/>
          <w:lang w:val="en-US" w:eastAsia="ja-JP"/>
        </w:rPr>
        <w:t xml:space="preserve"> to transport, transmit, or transfer a monetary instrument or funds </w:t>
      </w:r>
      <w:r w:rsidRPr="000605BC">
        <w:rPr>
          <w:i/>
          <w:sz w:val="20"/>
          <w:lang w:val="en-US" w:eastAsia="ja-JP"/>
        </w:rPr>
        <w:t>from a place in the United States to or through a place outside the United States or to a place in the United States from or through a place outside the United States</w:t>
      </w:r>
      <w:r w:rsidRPr="000605BC">
        <w:rPr>
          <w:sz w:val="20"/>
          <w:lang w:val="en-US" w:eastAsia="ja-JP"/>
        </w:rPr>
        <w:t>—</w:t>
      </w:r>
    </w:p>
    <w:p w14:paraId="21813A43" w14:textId="2ADA699B" w:rsidR="002E6B93" w:rsidRPr="000605BC" w:rsidRDefault="002E6B93" w:rsidP="005B35C6">
      <w:pPr>
        <w:pStyle w:val="BlockQuote"/>
        <w:spacing w:before="60" w:after="0"/>
        <w:ind w:left="2160" w:hanging="720"/>
        <w:jc w:val="left"/>
        <w:rPr>
          <w:sz w:val="20"/>
          <w:lang w:val="en-US" w:eastAsia="ja-JP"/>
        </w:rPr>
      </w:pPr>
      <w:r w:rsidRPr="000605BC">
        <w:rPr>
          <w:bCs/>
          <w:sz w:val="20"/>
          <w:lang w:val="en-US" w:eastAsia="ja-JP"/>
        </w:rPr>
        <w:t xml:space="preserve">(A) </w:t>
      </w:r>
      <w:r w:rsidR="005B35C6">
        <w:rPr>
          <w:bCs/>
          <w:sz w:val="20"/>
          <w:lang w:val="en-US" w:eastAsia="ja-JP"/>
        </w:rPr>
        <w:tab/>
      </w:r>
      <w:proofErr w:type="gramStart"/>
      <w:r w:rsidRPr="000605BC">
        <w:rPr>
          <w:sz w:val="20"/>
          <w:lang w:val="en-US" w:eastAsia="ja-JP"/>
        </w:rPr>
        <w:t>with</w:t>
      </w:r>
      <w:proofErr w:type="gramEnd"/>
      <w:r w:rsidRPr="000605BC">
        <w:rPr>
          <w:sz w:val="20"/>
          <w:lang w:val="en-US" w:eastAsia="ja-JP"/>
        </w:rPr>
        <w:t xml:space="preserve"> the intent to </w:t>
      </w:r>
      <w:r w:rsidRPr="000605BC">
        <w:rPr>
          <w:i/>
          <w:sz w:val="20"/>
          <w:lang w:val="en-US" w:eastAsia="ja-JP"/>
        </w:rPr>
        <w:t>promote the carrying on of specified unlawful activity</w:t>
      </w:r>
      <w:r w:rsidRPr="000605BC">
        <w:rPr>
          <w:sz w:val="20"/>
          <w:lang w:val="en-US" w:eastAsia="ja-JP"/>
        </w:rPr>
        <w:t>; or</w:t>
      </w:r>
    </w:p>
    <w:p w14:paraId="75A4DE20" w14:textId="0CE826D6" w:rsidR="002E6B93" w:rsidRPr="000605BC" w:rsidRDefault="002E6B93" w:rsidP="005B35C6">
      <w:pPr>
        <w:pStyle w:val="BlockQuote"/>
        <w:spacing w:before="60" w:after="0"/>
        <w:ind w:left="2160" w:hanging="720"/>
        <w:jc w:val="left"/>
        <w:rPr>
          <w:sz w:val="20"/>
          <w:lang w:val="en-US" w:eastAsia="ja-JP"/>
        </w:rPr>
      </w:pPr>
      <w:r w:rsidRPr="000605BC">
        <w:rPr>
          <w:bCs/>
          <w:sz w:val="20"/>
          <w:lang w:val="en-US" w:eastAsia="ja-JP"/>
        </w:rPr>
        <w:t>(B)</w:t>
      </w:r>
      <w:r w:rsidR="005B35C6">
        <w:rPr>
          <w:bCs/>
          <w:sz w:val="20"/>
          <w:lang w:val="en-US" w:eastAsia="ja-JP"/>
        </w:rPr>
        <w:tab/>
      </w:r>
      <w:proofErr w:type="gramStart"/>
      <w:r w:rsidRPr="000605BC">
        <w:rPr>
          <w:i/>
          <w:sz w:val="20"/>
          <w:lang w:val="en-US" w:eastAsia="ja-JP"/>
        </w:rPr>
        <w:t>knowing</w:t>
      </w:r>
      <w:proofErr w:type="gramEnd"/>
      <w:r w:rsidRPr="000605BC">
        <w:rPr>
          <w:sz w:val="20"/>
          <w:lang w:val="en-US" w:eastAsia="ja-JP"/>
        </w:rPr>
        <w:t xml:space="preserve"> that the monetary instrument or funds involved in the transportation, transmission, or transfer represent the </w:t>
      </w:r>
      <w:r w:rsidRPr="000605BC">
        <w:rPr>
          <w:i/>
          <w:sz w:val="20"/>
          <w:lang w:val="en-US" w:eastAsia="ja-JP"/>
        </w:rPr>
        <w:t>proceeds of some form of unlawful activity</w:t>
      </w:r>
      <w:r w:rsidRPr="000605BC">
        <w:rPr>
          <w:sz w:val="20"/>
          <w:lang w:val="en-US" w:eastAsia="ja-JP"/>
        </w:rPr>
        <w:t xml:space="preserve"> and knowing that such transportation, transmission, or transfer is </w:t>
      </w:r>
      <w:r w:rsidRPr="000605BC">
        <w:rPr>
          <w:i/>
          <w:sz w:val="20"/>
          <w:lang w:val="en-US" w:eastAsia="ja-JP"/>
        </w:rPr>
        <w:t>designed in whole or in part</w:t>
      </w:r>
      <w:r w:rsidRPr="000605BC">
        <w:rPr>
          <w:sz w:val="20"/>
          <w:lang w:val="en-US" w:eastAsia="ja-JP"/>
        </w:rPr>
        <w:t>—</w:t>
      </w:r>
    </w:p>
    <w:p w14:paraId="50EA5DE5" w14:textId="3B41105B" w:rsidR="002E6B93" w:rsidRPr="000605BC" w:rsidRDefault="002E6B93" w:rsidP="008004ED">
      <w:pPr>
        <w:pStyle w:val="BlockQuote"/>
        <w:spacing w:before="60" w:after="0"/>
        <w:ind w:left="2880" w:hanging="720"/>
        <w:jc w:val="left"/>
        <w:rPr>
          <w:sz w:val="20"/>
          <w:lang w:val="en-US" w:eastAsia="ja-JP"/>
        </w:rPr>
      </w:pPr>
      <w:r w:rsidRPr="000605BC">
        <w:rPr>
          <w:bCs/>
          <w:sz w:val="20"/>
          <w:lang w:val="en-US" w:eastAsia="ja-JP"/>
        </w:rPr>
        <w:t>(</w:t>
      </w:r>
      <w:proofErr w:type="spellStart"/>
      <w:r w:rsidRPr="000605BC">
        <w:rPr>
          <w:bCs/>
          <w:sz w:val="20"/>
          <w:lang w:val="en-US" w:eastAsia="ja-JP"/>
        </w:rPr>
        <w:t>i</w:t>
      </w:r>
      <w:proofErr w:type="spellEnd"/>
      <w:r w:rsidRPr="000605BC">
        <w:rPr>
          <w:bCs/>
          <w:sz w:val="20"/>
          <w:lang w:val="en-US" w:eastAsia="ja-JP"/>
        </w:rPr>
        <w:t xml:space="preserve">) </w:t>
      </w:r>
      <w:r w:rsidR="00BB0D32" w:rsidRPr="000605BC">
        <w:rPr>
          <w:bCs/>
          <w:sz w:val="20"/>
          <w:lang w:val="en-US" w:eastAsia="ja-JP"/>
        </w:rPr>
        <w:tab/>
      </w:r>
      <w:proofErr w:type="gramStart"/>
      <w:r w:rsidRPr="000605BC">
        <w:rPr>
          <w:i/>
          <w:sz w:val="20"/>
          <w:lang w:val="en-US" w:eastAsia="ja-JP"/>
        </w:rPr>
        <w:t>to</w:t>
      </w:r>
      <w:proofErr w:type="gramEnd"/>
      <w:r w:rsidRPr="000605BC">
        <w:rPr>
          <w:i/>
          <w:sz w:val="20"/>
          <w:lang w:val="en-US" w:eastAsia="ja-JP"/>
        </w:rPr>
        <w:t xml:space="preserve"> conceal or disguise the nature, the location, the source, the ownership, or the control</w:t>
      </w:r>
      <w:r w:rsidRPr="000605BC">
        <w:rPr>
          <w:sz w:val="20"/>
          <w:lang w:val="en-US" w:eastAsia="ja-JP"/>
        </w:rPr>
        <w:t xml:space="preserve"> of the proceeds of specified unlawful activity; or</w:t>
      </w:r>
    </w:p>
    <w:p w14:paraId="4A21062A" w14:textId="4A1D57D6" w:rsidR="002E6B93" w:rsidRPr="000605BC" w:rsidRDefault="002E6B93" w:rsidP="008004ED">
      <w:pPr>
        <w:pStyle w:val="BlockQuote"/>
        <w:spacing w:before="60" w:after="0"/>
        <w:ind w:left="2880" w:hanging="720"/>
        <w:jc w:val="left"/>
        <w:rPr>
          <w:sz w:val="20"/>
          <w:lang w:val="en-US" w:eastAsia="ja-JP"/>
        </w:rPr>
      </w:pPr>
      <w:r w:rsidRPr="000605BC">
        <w:rPr>
          <w:bCs/>
          <w:sz w:val="20"/>
          <w:lang w:val="en-US" w:eastAsia="ja-JP"/>
        </w:rPr>
        <w:t xml:space="preserve">(ii) </w:t>
      </w:r>
      <w:r w:rsidR="00BB0D32" w:rsidRPr="000605BC">
        <w:rPr>
          <w:bCs/>
          <w:sz w:val="20"/>
          <w:lang w:val="en-US" w:eastAsia="ja-JP"/>
        </w:rPr>
        <w:tab/>
      </w:r>
      <w:proofErr w:type="gramStart"/>
      <w:r w:rsidRPr="000605BC">
        <w:rPr>
          <w:i/>
          <w:sz w:val="20"/>
          <w:lang w:val="en-US" w:eastAsia="ja-JP"/>
        </w:rPr>
        <w:t>to</w:t>
      </w:r>
      <w:proofErr w:type="gramEnd"/>
      <w:r w:rsidRPr="000605BC">
        <w:rPr>
          <w:i/>
          <w:sz w:val="20"/>
          <w:lang w:val="en-US" w:eastAsia="ja-JP"/>
        </w:rPr>
        <w:t xml:space="preserve"> avoid a transaction reporting requirement</w:t>
      </w:r>
      <w:r w:rsidRPr="000605BC">
        <w:rPr>
          <w:sz w:val="20"/>
          <w:lang w:val="en-US" w:eastAsia="ja-JP"/>
        </w:rPr>
        <w:t xml:space="preserve"> under State or Federal law,</w:t>
      </w:r>
    </w:p>
    <w:p w14:paraId="566628B2" w14:textId="0AE9DEF8" w:rsidR="002E6B93" w:rsidRPr="000605BC" w:rsidRDefault="002E6B93" w:rsidP="008004ED">
      <w:pPr>
        <w:pStyle w:val="BlockQuote"/>
        <w:ind w:left="1440"/>
        <w:jc w:val="left"/>
        <w:rPr>
          <w:sz w:val="20"/>
          <w:lang w:val="en-US" w:eastAsia="ja-JP"/>
        </w:rPr>
      </w:pPr>
      <w:proofErr w:type="gramStart"/>
      <w:r w:rsidRPr="000605BC">
        <w:rPr>
          <w:sz w:val="20"/>
          <w:lang w:val="en-US" w:eastAsia="ja-JP"/>
        </w:rPr>
        <w:t>shall</w:t>
      </w:r>
      <w:proofErr w:type="gramEnd"/>
      <w:r w:rsidRPr="000605BC">
        <w:rPr>
          <w:sz w:val="20"/>
          <w:lang w:val="en-US" w:eastAsia="ja-JP"/>
        </w:rPr>
        <w:t xml:space="preserve"> be sentenced to a fine of not more than $500,000 or twice the value of the monetary instrument or funds involved in the transportation, transmission, or transfer, whichever is greater, or imprisonment for not more than twenty years, or both. For the purpose of the offense described in subparagraph (B), the defendant’s</w:t>
      </w:r>
      <w:r w:rsidR="00777CD8" w:rsidRPr="000605BC">
        <w:rPr>
          <w:sz w:val="20"/>
          <w:lang w:val="en-US" w:eastAsia="ja-JP"/>
        </w:rPr>
        <w:t xml:space="preserve"> </w:t>
      </w:r>
      <w:r w:rsidRPr="000605BC">
        <w:rPr>
          <w:sz w:val="20"/>
          <w:lang w:val="en-US" w:eastAsia="ja-JP"/>
        </w:rPr>
        <w:t>knowledge may be established by proof that a law enforcement officer represented the matter specified in subparagraph (B) as true, and the defendant’s subsequent statements or actions indicate that the defendant believed such representations to be true.</w:t>
      </w:r>
    </w:p>
    <w:p w14:paraId="283410E7" w14:textId="7CA72952" w:rsidR="002E6B93" w:rsidRPr="000605BC" w:rsidRDefault="002E6B93" w:rsidP="008004ED">
      <w:pPr>
        <w:pStyle w:val="BlockQuote"/>
        <w:ind w:left="1440" w:hanging="720"/>
        <w:jc w:val="left"/>
        <w:rPr>
          <w:sz w:val="20"/>
          <w:lang w:val="en-US" w:eastAsia="ja-JP"/>
        </w:rPr>
      </w:pPr>
      <w:r w:rsidRPr="000605BC">
        <w:rPr>
          <w:bCs/>
          <w:sz w:val="20"/>
          <w:lang w:val="en-US" w:eastAsia="ja-JP"/>
        </w:rPr>
        <w:t>(3)</w:t>
      </w:r>
      <w:r w:rsidRPr="000605BC">
        <w:rPr>
          <w:b/>
          <w:bCs/>
          <w:sz w:val="20"/>
          <w:lang w:val="en-US" w:eastAsia="ja-JP"/>
        </w:rPr>
        <w:t xml:space="preserve"> </w:t>
      </w:r>
      <w:r w:rsidR="001921A7" w:rsidRPr="000605BC">
        <w:rPr>
          <w:b/>
          <w:bCs/>
          <w:sz w:val="20"/>
          <w:lang w:val="en-US" w:eastAsia="ja-JP"/>
        </w:rPr>
        <w:tab/>
      </w:r>
      <w:r w:rsidRPr="000605BC">
        <w:rPr>
          <w:sz w:val="20"/>
          <w:lang w:val="en-US" w:eastAsia="ja-JP"/>
        </w:rPr>
        <w:t>Whoever, with the intent—</w:t>
      </w:r>
    </w:p>
    <w:p w14:paraId="70793865" w14:textId="25166BA7" w:rsidR="002E6B93" w:rsidRPr="000605BC" w:rsidRDefault="002E6B93" w:rsidP="008004ED">
      <w:pPr>
        <w:pStyle w:val="BlockQuote"/>
        <w:spacing w:before="60" w:after="0"/>
        <w:ind w:left="2160" w:hanging="720"/>
        <w:jc w:val="left"/>
        <w:rPr>
          <w:i/>
          <w:sz w:val="20"/>
          <w:lang w:val="en-US" w:eastAsia="ja-JP"/>
        </w:rPr>
      </w:pPr>
      <w:r w:rsidRPr="000605BC">
        <w:rPr>
          <w:bCs/>
          <w:sz w:val="20"/>
          <w:lang w:val="en-US" w:eastAsia="ja-JP"/>
        </w:rPr>
        <w:t>(A)</w:t>
      </w:r>
      <w:r w:rsidR="00BB0D32" w:rsidRPr="000605BC">
        <w:rPr>
          <w:bCs/>
          <w:sz w:val="20"/>
          <w:lang w:val="en-US" w:eastAsia="ja-JP"/>
        </w:rPr>
        <w:tab/>
      </w:r>
      <w:proofErr w:type="gramStart"/>
      <w:r w:rsidRPr="000605BC">
        <w:rPr>
          <w:sz w:val="20"/>
          <w:lang w:val="en-US" w:eastAsia="ja-JP"/>
        </w:rPr>
        <w:t>to</w:t>
      </w:r>
      <w:proofErr w:type="gramEnd"/>
      <w:r w:rsidRPr="000605BC">
        <w:rPr>
          <w:sz w:val="20"/>
          <w:lang w:val="en-US" w:eastAsia="ja-JP"/>
        </w:rPr>
        <w:t xml:space="preserve"> </w:t>
      </w:r>
      <w:r w:rsidRPr="000605BC">
        <w:rPr>
          <w:i/>
          <w:sz w:val="20"/>
          <w:lang w:val="en-US" w:eastAsia="ja-JP"/>
        </w:rPr>
        <w:t>promote the carrying on of specified unlawful activity</w:t>
      </w:r>
      <w:r w:rsidRPr="000605BC">
        <w:rPr>
          <w:sz w:val="20"/>
          <w:lang w:val="en-US" w:eastAsia="ja-JP"/>
        </w:rPr>
        <w:t>;</w:t>
      </w:r>
    </w:p>
    <w:p w14:paraId="757569A8" w14:textId="682CB9E3" w:rsidR="002E6B93" w:rsidRPr="000605BC" w:rsidRDefault="002E6B93" w:rsidP="008004ED">
      <w:pPr>
        <w:pStyle w:val="BlockQuote"/>
        <w:spacing w:before="60" w:after="0"/>
        <w:ind w:left="2160" w:hanging="720"/>
        <w:jc w:val="left"/>
        <w:rPr>
          <w:sz w:val="20"/>
          <w:lang w:val="en-US" w:eastAsia="ja-JP"/>
        </w:rPr>
      </w:pPr>
      <w:r w:rsidRPr="000605BC">
        <w:rPr>
          <w:bCs/>
          <w:sz w:val="20"/>
          <w:lang w:val="en-US" w:eastAsia="ja-JP"/>
        </w:rPr>
        <w:t xml:space="preserve">(B) </w:t>
      </w:r>
      <w:r w:rsidR="00BB0D32" w:rsidRPr="000605BC">
        <w:rPr>
          <w:bCs/>
          <w:sz w:val="20"/>
          <w:lang w:val="en-US" w:eastAsia="ja-JP"/>
        </w:rPr>
        <w:tab/>
      </w:r>
      <w:proofErr w:type="gramStart"/>
      <w:r w:rsidRPr="000605BC">
        <w:rPr>
          <w:i/>
          <w:sz w:val="20"/>
          <w:lang w:val="en-US" w:eastAsia="ja-JP"/>
        </w:rPr>
        <w:t>to</w:t>
      </w:r>
      <w:proofErr w:type="gramEnd"/>
      <w:r w:rsidRPr="000605BC">
        <w:rPr>
          <w:i/>
          <w:sz w:val="20"/>
          <w:lang w:val="en-US" w:eastAsia="ja-JP"/>
        </w:rPr>
        <w:t xml:space="preserve"> conceal or disguise the nature, location, source, ownership, or control of property believed to be the proceeds of specified unlawful activity</w:t>
      </w:r>
      <w:r w:rsidRPr="000605BC">
        <w:rPr>
          <w:sz w:val="20"/>
          <w:lang w:val="en-US" w:eastAsia="ja-JP"/>
        </w:rPr>
        <w:t>; or</w:t>
      </w:r>
    </w:p>
    <w:p w14:paraId="346352AF" w14:textId="4B566AEB" w:rsidR="002E6B93" w:rsidRPr="000605BC" w:rsidRDefault="002E6B93" w:rsidP="008004ED">
      <w:pPr>
        <w:pStyle w:val="BlockQuote"/>
        <w:spacing w:before="60" w:after="0"/>
        <w:ind w:left="2160" w:hanging="720"/>
        <w:jc w:val="left"/>
        <w:rPr>
          <w:sz w:val="20"/>
          <w:lang w:val="en-US" w:eastAsia="ja-JP"/>
        </w:rPr>
      </w:pPr>
      <w:r w:rsidRPr="000605BC">
        <w:rPr>
          <w:bCs/>
          <w:sz w:val="20"/>
          <w:lang w:val="en-US" w:eastAsia="ja-JP"/>
        </w:rPr>
        <w:t>(C)</w:t>
      </w:r>
      <w:r w:rsidR="00BB0D32" w:rsidRPr="000605BC">
        <w:rPr>
          <w:bCs/>
          <w:sz w:val="20"/>
          <w:lang w:val="en-US" w:eastAsia="ja-JP"/>
        </w:rPr>
        <w:tab/>
      </w:r>
      <w:proofErr w:type="gramStart"/>
      <w:r w:rsidRPr="000605BC">
        <w:rPr>
          <w:i/>
          <w:sz w:val="20"/>
          <w:lang w:val="en-US" w:eastAsia="ja-JP"/>
        </w:rPr>
        <w:t>to</w:t>
      </w:r>
      <w:proofErr w:type="gramEnd"/>
      <w:r w:rsidRPr="000605BC">
        <w:rPr>
          <w:i/>
          <w:sz w:val="20"/>
          <w:lang w:val="en-US" w:eastAsia="ja-JP"/>
        </w:rPr>
        <w:t xml:space="preserve"> avoid a transaction reporting requirement</w:t>
      </w:r>
      <w:r w:rsidRPr="000605BC">
        <w:rPr>
          <w:sz w:val="20"/>
          <w:lang w:val="en-US" w:eastAsia="ja-JP"/>
        </w:rPr>
        <w:t xml:space="preserve"> under State or Federal law,</w:t>
      </w:r>
    </w:p>
    <w:p w14:paraId="67F3C532" w14:textId="5AA568F5" w:rsidR="002E6B93" w:rsidRPr="000605BC" w:rsidRDefault="002E6B93" w:rsidP="008004ED">
      <w:pPr>
        <w:pStyle w:val="BlockQuote"/>
        <w:ind w:left="1440"/>
        <w:jc w:val="left"/>
        <w:rPr>
          <w:sz w:val="20"/>
          <w:lang w:val="en-US" w:eastAsia="ja-JP"/>
        </w:rPr>
      </w:pPr>
      <w:proofErr w:type="gramStart"/>
      <w:r w:rsidRPr="000605BC">
        <w:rPr>
          <w:i/>
          <w:sz w:val="20"/>
          <w:lang w:val="en-US" w:eastAsia="ja-JP"/>
        </w:rPr>
        <w:t>conducts</w:t>
      </w:r>
      <w:proofErr w:type="gramEnd"/>
      <w:r w:rsidRPr="000605BC">
        <w:rPr>
          <w:i/>
          <w:sz w:val="20"/>
          <w:lang w:val="en-US" w:eastAsia="ja-JP"/>
        </w:rPr>
        <w:t xml:space="preserve"> or attempts to conduct a financial transaction involving property represented to be the proceeds of specified unlawful activity, or property used to conduct or facilitate specified unlawful activity, </w:t>
      </w:r>
      <w:r w:rsidRPr="000605BC">
        <w:rPr>
          <w:sz w:val="20"/>
          <w:lang w:val="en-US" w:eastAsia="ja-JP"/>
        </w:rPr>
        <w:t xml:space="preserve">shall be fined under this title or imprisoned for not more than 20 years, or both. For purposes of this paragraph and paragraph (2), the term </w:t>
      </w:r>
      <w:r w:rsidR="003A6F8D" w:rsidRPr="000605BC">
        <w:rPr>
          <w:sz w:val="20"/>
          <w:lang w:val="en-US" w:eastAsia="ja-JP"/>
        </w:rPr>
        <w:t>“</w:t>
      </w:r>
      <w:r w:rsidRPr="000605BC">
        <w:rPr>
          <w:sz w:val="20"/>
          <w:lang w:val="en-US" w:eastAsia="ja-JP"/>
        </w:rPr>
        <w:t>represented</w:t>
      </w:r>
      <w:r w:rsidR="003A6F8D" w:rsidRPr="000605BC">
        <w:rPr>
          <w:sz w:val="20"/>
          <w:lang w:val="en-US" w:eastAsia="ja-JP"/>
        </w:rPr>
        <w:t>”</w:t>
      </w:r>
      <w:r w:rsidRPr="000605BC">
        <w:rPr>
          <w:sz w:val="20"/>
          <w:lang w:val="en-US" w:eastAsia="ja-JP"/>
        </w:rPr>
        <w:t xml:space="preserve"> means any representation made by a law enforcement officer or by another person at the direction of, or with the approval of, a Federal official authorized to investigate or prosecute violations of this section.</w:t>
      </w:r>
      <w:r w:rsidR="00FD1FC9" w:rsidRPr="000605BC">
        <w:rPr>
          <w:sz w:val="20"/>
          <w:lang w:val="en-US" w:eastAsia="ja-JP"/>
        </w:rPr>
        <w:t xml:space="preserve"> </w:t>
      </w:r>
      <w:r w:rsidRPr="000605BC">
        <w:rPr>
          <w:sz w:val="20"/>
          <w:lang w:val="en-US" w:eastAsia="ja-JP"/>
        </w:rPr>
        <w:t>[Emphasis added. The remainder of the section has not been included.]</w:t>
      </w:r>
    </w:p>
    <w:p w14:paraId="27818F5C" w14:textId="5C7DEB4D" w:rsidR="002E6B93" w:rsidRPr="000605BC" w:rsidRDefault="002E6B93" w:rsidP="008004ED">
      <w:pPr>
        <w:pStyle w:val="BlockQuote"/>
        <w:jc w:val="left"/>
        <w:rPr>
          <w:rFonts w:eastAsiaTheme="minorEastAsia"/>
          <w:sz w:val="20"/>
          <w:lang w:val="en-US" w:eastAsia="ja-JP"/>
        </w:rPr>
      </w:pPr>
      <w:r w:rsidRPr="000605BC">
        <w:rPr>
          <w:sz w:val="20"/>
        </w:rPr>
        <w:t xml:space="preserve">18 U.S. Code </w:t>
      </w:r>
      <w:r w:rsidR="00777CD8" w:rsidRPr="000605BC">
        <w:rPr>
          <w:sz w:val="20"/>
        </w:rPr>
        <w:t>s.</w:t>
      </w:r>
      <w:r w:rsidRPr="000605BC">
        <w:rPr>
          <w:sz w:val="20"/>
        </w:rPr>
        <w:t xml:space="preserve">1957 – Engaging in monetary transactions in </w:t>
      </w:r>
      <w:r w:rsidR="00BB0D32" w:rsidRPr="000605BC">
        <w:rPr>
          <w:sz w:val="20"/>
        </w:rPr>
        <w:t xml:space="preserve">property derived from specified </w:t>
      </w:r>
      <w:r w:rsidRPr="000605BC">
        <w:rPr>
          <w:sz w:val="20"/>
        </w:rPr>
        <w:t>unlawful activity</w:t>
      </w:r>
    </w:p>
    <w:p w14:paraId="43E93E05" w14:textId="681DF9A7" w:rsidR="002E6B93" w:rsidRPr="000605BC" w:rsidRDefault="002E6B93" w:rsidP="008004ED">
      <w:pPr>
        <w:pStyle w:val="BlockQuote"/>
        <w:ind w:left="1440" w:hanging="720"/>
        <w:jc w:val="left"/>
        <w:rPr>
          <w:rFonts w:eastAsiaTheme="minorEastAsia"/>
          <w:sz w:val="20"/>
          <w:lang w:val="en-US" w:eastAsia="ja-JP"/>
        </w:rPr>
      </w:pPr>
      <w:r w:rsidRPr="000605BC">
        <w:rPr>
          <w:rFonts w:eastAsiaTheme="minorEastAsia"/>
          <w:sz w:val="20"/>
          <w:lang w:val="en-US" w:eastAsia="ja-JP"/>
        </w:rPr>
        <w:t xml:space="preserve">(a) </w:t>
      </w:r>
      <w:r w:rsidR="00BB0D32" w:rsidRPr="000605BC">
        <w:rPr>
          <w:rFonts w:eastAsiaTheme="minorEastAsia"/>
          <w:sz w:val="20"/>
          <w:lang w:val="en-US" w:eastAsia="ja-JP"/>
        </w:rPr>
        <w:tab/>
      </w:r>
      <w:r w:rsidRPr="000605BC">
        <w:rPr>
          <w:rFonts w:eastAsiaTheme="minorEastAsia"/>
          <w:sz w:val="20"/>
          <w:lang w:val="en-US" w:eastAsia="ja-JP"/>
        </w:rPr>
        <w:t xml:space="preserve">Whoever, in any of the circumstances set forth in subsection (d), </w:t>
      </w:r>
      <w:r w:rsidRPr="000605BC">
        <w:rPr>
          <w:rFonts w:eastAsiaTheme="minorEastAsia"/>
          <w:i/>
          <w:sz w:val="20"/>
          <w:lang w:val="en-US" w:eastAsia="ja-JP"/>
        </w:rPr>
        <w:t>knowingly engages or attempts to engage in a monetary transaction in criminally derived property of a value greater than $10,000 and is derived from specified unlawful activity</w:t>
      </w:r>
      <w:r w:rsidRPr="000605BC">
        <w:rPr>
          <w:rFonts w:eastAsiaTheme="minorEastAsia"/>
          <w:sz w:val="20"/>
          <w:lang w:val="en-US" w:eastAsia="ja-JP"/>
        </w:rPr>
        <w:t>, shall be punished as provided in subsection (b).</w:t>
      </w:r>
    </w:p>
    <w:p w14:paraId="140E6DD2" w14:textId="77777777" w:rsidR="00571BEA" w:rsidRDefault="002E6B93" w:rsidP="00571BEA">
      <w:pPr>
        <w:pStyle w:val="BlockQuote"/>
        <w:keepNext/>
        <w:spacing w:before="60" w:after="0"/>
        <w:ind w:left="1440" w:hanging="720"/>
        <w:jc w:val="left"/>
        <w:rPr>
          <w:rFonts w:eastAsiaTheme="minorEastAsia"/>
          <w:sz w:val="20"/>
          <w:lang w:val="en-US" w:eastAsia="ja-JP"/>
        </w:rPr>
      </w:pPr>
      <w:r w:rsidRPr="000605BC">
        <w:rPr>
          <w:rFonts w:eastAsiaTheme="minorEastAsia"/>
          <w:sz w:val="20"/>
          <w:lang w:val="en-US" w:eastAsia="ja-JP"/>
        </w:rPr>
        <w:t>(b)</w:t>
      </w:r>
      <w:r w:rsidR="00BB0D32" w:rsidRPr="000605BC">
        <w:rPr>
          <w:rFonts w:eastAsiaTheme="minorEastAsia"/>
          <w:sz w:val="20"/>
          <w:lang w:val="en-US" w:eastAsia="ja-JP"/>
        </w:rPr>
        <w:tab/>
      </w:r>
    </w:p>
    <w:p w14:paraId="43F6A742" w14:textId="73F72DD1" w:rsidR="00571BEA" w:rsidRPr="000605BC" w:rsidRDefault="00571BEA" w:rsidP="00571BEA">
      <w:pPr>
        <w:pStyle w:val="BlockQuote"/>
        <w:spacing w:before="0" w:after="0"/>
        <w:ind w:left="2160" w:hanging="720"/>
        <w:jc w:val="left"/>
        <w:rPr>
          <w:rFonts w:eastAsiaTheme="minorEastAsia"/>
          <w:sz w:val="20"/>
          <w:lang w:val="en-US" w:eastAsia="ja-JP"/>
        </w:rPr>
      </w:pPr>
      <w:r w:rsidRPr="000605BC">
        <w:rPr>
          <w:rFonts w:eastAsiaTheme="minorEastAsia"/>
          <w:sz w:val="20"/>
          <w:lang w:val="en-US" w:eastAsia="ja-JP"/>
        </w:rPr>
        <w:t xml:space="preserve">(1) </w:t>
      </w:r>
      <w:r w:rsidRPr="000605BC">
        <w:rPr>
          <w:rFonts w:eastAsiaTheme="minorEastAsia"/>
          <w:sz w:val="20"/>
          <w:lang w:val="en-US" w:eastAsia="ja-JP"/>
        </w:rPr>
        <w:tab/>
      </w:r>
      <w:bookmarkStart w:id="79" w:name="_GoBack"/>
      <w:bookmarkEnd w:id="79"/>
      <w:r w:rsidRPr="000605BC">
        <w:rPr>
          <w:rFonts w:eastAsiaTheme="minorEastAsia"/>
          <w:sz w:val="20"/>
          <w:lang w:val="en-US" w:eastAsia="ja-JP"/>
        </w:rPr>
        <w:t>Except as provided in paragraph (2), the punishment for an offense under this section is a fine under title 18, United States Code, or imprisonment for not more than ten years or both. If the offense involves a pre-retail medical product (as defined in section 670) the punishment for the offense shall be the same as the punishment for an offense under section 670 unless the punishment under this subsection is greater.</w:t>
      </w:r>
    </w:p>
    <w:p w14:paraId="687B77B9" w14:textId="6055BAAE" w:rsidR="00571BEA" w:rsidRPr="000605BC" w:rsidRDefault="00571BEA" w:rsidP="00571BEA">
      <w:pPr>
        <w:pStyle w:val="BlockQuote"/>
        <w:spacing w:before="60" w:after="0"/>
        <w:ind w:left="2160" w:hanging="720"/>
        <w:jc w:val="left"/>
        <w:rPr>
          <w:rFonts w:eastAsiaTheme="minorEastAsia"/>
          <w:sz w:val="20"/>
          <w:lang w:val="en-US" w:eastAsia="ja-JP"/>
        </w:rPr>
      </w:pPr>
      <w:r w:rsidRPr="000605BC">
        <w:rPr>
          <w:rFonts w:eastAsiaTheme="minorEastAsia"/>
          <w:sz w:val="20"/>
          <w:lang w:val="en-US" w:eastAsia="ja-JP"/>
        </w:rPr>
        <w:t xml:space="preserve">(2) </w:t>
      </w:r>
      <w:r w:rsidRPr="000605BC">
        <w:rPr>
          <w:rFonts w:eastAsiaTheme="minorEastAsia"/>
          <w:sz w:val="20"/>
          <w:lang w:val="en-US" w:eastAsia="ja-JP"/>
        </w:rPr>
        <w:tab/>
        <w:t>The court may impose an alternate fine to that imposable under paragraph (1) of not more than twice the amount of the criminally derived property involved in the transaction.</w:t>
      </w:r>
    </w:p>
    <w:p w14:paraId="25E92AEF" w14:textId="53E78D10" w:rsidR="002E6B93" w:rsidRPr="000605BC" w:rsidRDefault="00571BEA" w:rsidP="008004ED">
      <w:pPr>
        <w:pStyle w:val="BlockQuote"/>
        <w:ind w:left="1440" w:hanging="720"/>
        <w:jc w:val="left"/>
        <w:rPr>
          <w:rFonts w:eastAsiaTheme="minorEastAsia"/>
          <w:sz w:val="20"/>
          <w:lang w:val="en-US" w:eastAsia="ja-JP"/>
        </w:rPr>
      </w:pPr>
      <w:r w:rsidRPr="000605BC">
        <w:rPr>
          <w:rFonts w:eastAsiaTheme="minorEastAsia"/>
          <w:sz w:val="20"/>
          <w:lang w:val="en-US" w:eastAsia="ja-JP"/>
        </w:rPr>
        <w:t xml:space="preserve"> </w:t>
      </w:r>
      <w:r w:rsidR="002E6B93" w:rsidRPr="000605BC">
        <w:rPr>
          <w:rFonts w:eastAsiaTheme="minorEastAsia"/>
          <w:sz w:val="20"/>
          <w:lang w:val="en-US" w:eastAsia="ja-JP"/>
        </w:rPr>
        <w:t xml:space="preserve">(c) </w:t>
      </w:r>
      <w:r w:rsidR="00BB0D32" w:rsidRPr="000605BC">
        <w:rPr>
          <w:rFonts w:eastAsiaTheme="minorEastAsia"/>
          <w:sz w:val="20"/>
          <w:lang w:val="en-US" w:eastAsia="ja-JP"/>
        </w:rPr>
        <w:tab/>
      </w:r>
      <w:r w:rsidR="002E6B93" w:rsidRPr="000605BC">
        <w:rPr>
          <w:rFonts w:eastAsiaTheme="minorEastAsia"/>
          <w:sz w:val="20"/>
          <w:lang w:val="en-US" w:eastAsia="ja-JP"/>
        </w:rPr>
        <w:t>In a prosecution for an offense under this section, the Government is not required to prove the defendant knew that the offense from which the criminally derived property was derived was specified unlawful activity.</w:t>
      </w:r>
    </w:p>
    <w:p w14:paraId="71CF1DA7" w14:textId="3C766CBA" w:rsidR="003410E7" w:rsidRPr="000605BC" w:rsidRDefault="002E6B93" w:rsidP="008004ED">
      <w:pPr>
        <w:pStyle w:val="BlockQuote"/>
        <w:ind w:left="1440" w:hanging="720"/>
        <w:jc w:val="left"/>
        <w:rPr>
          <w:rFonts w:eastAsiaTheme="minorEastAsia"/>
          <w:sz w:val="20"/>
          <w:lang w:val="en-US" w:eastAsia="ja-JP"/>
        </w:rPr>
      </w:pPr>
      <w:r w:rsidRPr="000605BC">
        <w:rPr>
          <w:rFonts w:eastAsiaTheme="minorEastAsia"/>
          <w:sz w:val="20"/>
          <w:lang w:val="en-US" w:eastAsia="ja-JP"/>
        </w:rPr>
        <w:t xml:space="preserve">(d) </w:t>
      </w:r>
      <w:r w:rsidR="00BB0D32" w:rsidRPr="000605BC">
        <w:rPr>
          <w:rFonts w:eastAsiaTheme="minorEastAsia"/>
          <w:sz w:val="20"/>
          <w:lang w:val="en-US" w:eastAsia="ja-JP"/>
        </w:rPr>
        <w:tab/>
      </w:r>
      <w:r w:rsidRPr="000605BC">
        <w:rPr>
          <w:rFonts w:eastAsiaTheme="minorEastAsia"/>
          <w:sz w:val="20"/>
          <w:lang w:val="en-US" w:eastAsia="ja-JP"/>
        </w:rPr>
        <w:t>The circumstances ref</w:t>
      </w:r>
      <w:r w:rsidR="003410E7" w:rsidRPr="000605BC">
        <w:rPr>
          <w:rFonts w:eastAsiaTheme="minorEastAsia"/>
          <w:sz w:val="20"/>
          <w:lang w:val="en-US" w:eastAsia="ja-JP"/>
        </w:rPr>
        <w:t>erred to in subsection (a) are—</w:t>
      </w:r>
    </w:p>
    <w:p w14:paraId="7D20DFFF" w14:textId="7E620F52" w:rsidR="002E6B93" w:rsidRPr="000605BC" w:rsidRDefault="002E6B93" w:rsidP="008004ED">
      <w:pPr>
        <w:pStyle w:val="BlockQuote"/>
        <w:spacing w:before="60" w:after="0"/>
        <w:ind w:left="2160" w:hanging="720"/>
        <w:jc w:val="left"/>
        <w:rPr>
          <w:rFonts w:eastAsiaTheme="minorEastAsia"/>
          <w:sz w:val="20"/>
          <w:lang w:val="en-US" w:eastAsia="ja-JP"/>
        </w:rPr>
      </w:pPr>
      <w:r w:rsidRPr="000605BC">
        <w:rPr>
          <w:rFonts w:eastAsiaTheme="minorEastAsia"/>
          <w:sz w:val="20"/>
          <w:lang w:val="en-US" w:eastAsia="ja-JP"/>
        </w:rPr>
        <w:t xml:space="preserve">(1) </w:t>
      </w:r>
      <w:r w:rsidR="00BB0D32" w:rsidRPr="000605BC">
        <w:rPr>
          <w:rFonts w:eastAsiaTheme="minorEastAsia"/>
          <w:sz w:val="20"/>
          <w:lang w:val="en-US" w:eastAsia="ja-JP"/>
        </w:rPr>
        <w:tab/>
      </w:r>
      <w:proofErr w:type="gramStart"/>
      <w:r w:rsidRPr="000605BC">
        <w:rPr>
          <w:rFonts w:eastAsiaTheme="minorEastAsia"/>
          <w:sz w:val="20"/>
          <w:lang w:val="en-US" w:eastAsia="ja-JP"/>
        </w:rPr>
        <w:t>that</w:t>
      </w:r>
      <w:proofErr w:type="gramEnd"/>
      <w:r w:rsidRPr="000605BC">
        <w:rPr>
          <w:rFonts w:eastAsiaTheme="minorEastAsia"/>
          <w:sz w:val="20"/>
          <w:lang w:val="en-US" w:eastAsia="ja-JP"/>
        </w:rPr>
        <w:t xml:space="preserve"> the offense under this section takes place in the United States or in the special maritime and territorial jurisdiction of the United States; or</w:t>
      </w:r>
    </w:p>
    <w:p w14:paraId="713E3D48" w14:textId="10F2181C" w:rsidR="002E6B93" w:rsidRPr="000605BC" w:rsidRDefault="002E6B93" w:rsidP="008004ED">
      <w:pPr>
        <w:pStyle w:val="BlockQuote"/>
        <w:spacing w:before="60" w:after="0"/>
        <w:ind w:left="2160" w:hanging="720"/>
        <w:jc w:val="left"/>
        <w:rPr>
          <w:rFonts w:eastAsiaTheme="minorEastAsia"/>
          <w:sz w:val="20"/>
          <w:lang w:val="en-US" w:eastAsia="ja-JP"/>
        </w:rPr>
      </w:pPr>
      <w:r w:rsidRPr="000605BC">
        <w:rPr>
          <w:rFonts w:eastAsiaTheme="minorEastAsia"/>
          <w:sz w:val="20"/>
          <w:lang w:val="en-US" w:eastAsia="ja-JP"/>
        </w:rPr>
        <w:t xml:space="preserve">(2) </w:t>
      </w:r>
      <w:r w:rsidR="00BB0D32" w:rsidRPr="000605BC">
        <w:rPr>
          <w:rFonts w:eastAsiaTheme="minorEastAsia"/>
          <w:sz w:val="20"/>
          <w:lang w:val="en-US" w:eastAsia="ja-JP"/>
        </w:rPr>
        <w:tab/>
      </w:r>
      <w:r w:rsidRPr="000605BC">
        <w:rPr>
          <w:rFonts w:eastAsiaTheme="minorEastAsia"/>
          <w:sz w:val="20"/>
          <w:lang w:val="en-US" w:eastAsia="ja-JP"/>
        </w:rPr>
        <w:t>that the offense under this section takes place outside the United States and such special jurisdiction, but the defendant is a United States person (as defined in section 3077 of this title, but excluding the class described in paragraph (2)(D) of such section).</w:t>
      </w:r>
    </w:p>
    <w:p w14:paraId="7BC1F8E6" w14:textId="2635E7B3" w:rsidR="002E6B93" w:rsidRPr="000605BC" w:rsidRDefault="002E6B93" w:rsidP="008004ED">
      <w:pPr>
        <w:pStyle w:val="BlockQuote"/>
        <w:ind w:left="1440" w:hanging="720"/>
        <w:jc w:val="left"/>
        <w:rPr>
          <w:rFonts w:eastAsiaTheme="minorEastAsia"/>
          <w:sz w:val="20"/>
          <w:lang w:val="en-US" w:eastAsia="ja-JP"/>
        </w:rPr>
      </w:pPr>
      <w:r w:rsidRPr="000605BC">
        <w:rPr>
          <w:rFonts w:eastAsiaTheme="minorEastAsia"/>
          <w:sz w:val="20"/>
          <w:lang w:val="en-US" w:eastAsia="ja-JP"/>
        </w:rPr>
        <w:t xml:space="preserve">(e) </w:t>
      </w:r>
      <w:r w:rsidR="00BB0D32" w:rsidRPr="000605BC">
        <w:rPr>
          <w:rFonts w:eastAsiaTheme="minorEastAsia"/>
          <w:sz w:val="20"/>
          <w:lang w:val="en-US" w:eastAsia="ja-JP"/>
        </w:rPr>
        <w:tab/>
      </w:r>
      <w:r w:rsidRPr="000605BC">
        <w:rPr>
          <w:rFonts w:eastAsiaTheme="minorEastAsia"/>
          <w:sz w:val="20"/>
          <w:lang w:val="en-US" w:eastAsia="ja-JP"/>
        </w:rPr>
        <w:t>Violations of this section may be investigated by such components of the Department of Justice as the Attorney General may direct, and by such components of the Department of the Treasury as the Secretary of the Treasury may direct, as appropriate, and, with respect to offenses over which the Department of Homeland Security has jurisdiction, by such components of the Department of Homeland Security as the Secretary of Homeland Security may direct, and, with respect to offenses over which the United States Postal Service has jurisdiction, by the Postal Service. Such authority of the Secretary of the Treasury, the Secretary of Homeland Security, and the Postal Service shall be exercised in accordance with an agreement which shall be entered into by the Secretary of the Treasury, the Secretary of Homeland Security, the Postal Service, and the Attorney General.</w:t>
      </w:r>
    </w:p>
    <w:p w14:paraId="5B769899" w14:textId="7D06867B" w:rsidR="002E6B93" w:rsidRPr="000605BC" w:rsidRDefault="002E6B93" w:rsidP="008004ED">
      <w:pPr>
        <w:pStyle w:val="BlockQuote"/>
        <w:ind w:left="1440" w:hanging="720"/>
        <w:jc w:val="left"/>
        <w:rPr>
          <w:rFonts w:eastAsiaTheme="minorEastAsia"/>
          <w:sz w:val="20"/>
          <w:lang w:val="en-US" w:eastAsia="ja-JP"/>
        </w:rPr>
      </w:pPr>
      <w:r w:rsidRPr="000605BC">
        <w:rPr>
          <w:rFonts w:eastAsiaTheme="minorEastAsia"/>
          <w:sz w:val="20"/>
          <w:lang w:val="en-US" w:eastAsia="ja-JP"/>
        </w:rPr>
        <w:t xml:space="preserve">(f) </w:t>
      </w:r>
      <w:r w:rsidR="00BB0D32" w:rsidRPr="000605BC">
        <w:rPr>
          <w:rFonts w:eastAsiaTheme="minorEastAsia"/>
          <w:sz w:val="20"/>
          <w:lang w:val="en-US" w:eastAsia="ja-JP"/>
        </w:rPr>
        <w:tab/>
      </w:r>
      <w:r w:rsidRPr="000605BC">
        <w:rPr>
          <w:rFonts w:eastAsiaTheme="minorEastAsia"/>
          <w:sz w:val="20"/>
          <w:lang w:val="en-US" w:eastAsia="ja-JP"/>
        </w:rPr>
        <w:t>As used in this section—</w:t>
      </w:r>
    </w:p>
    <w:p w14:paraId="0E43552B" w14:textId="4DBD0A6C" w:rsidR="002E6B93" w:rsidRPr="000605BC" w:rsidRDefault="002E6B93" w:rsidP="008004ED">
      <w:pPr>
        <w:pStyle w:val="BlockQuote"/>
        <w:spacing w:before="60" w:after="0"/>
        <w:ind w:left="2160" w:hanging="720"/>
        <w:jc w:val="left"/>
        <w:rPr>
          <w:rFonts w:eastAsiaTheme="minorEastAsia"/>
          <w:sz w:val="20"/>
          <w:lang w:val="en-US" w:eastAsia="ja-JP"/>
        </w:rPr>
      </w:pPr>
      <w:r w:rsidRPr="000605BC">
        <w:rPr>
          <w:rFonts w:eastAsiaTheme="minorEastAsia"/>
          <w:sz w:val="20"/>
          <w:lang w:val="en-US" w:eastAsia="ja-JP"/>
        </w:rPr>
        <w:t xml:space="preserve">(1) </w:t>
      </w:r>
      <w:r w:rsidR="00BB0D32" w:rsidRPr="000605BC">
        <w:rPr>
          <w:rFonts w:eastAsiaTheme="minorEastAsia"/>
          <w:sz w:val="20"/>
          <w:lang w:val="en-US" w:eastAsia="ja-JP"/>
        </w:rPr>
        <w:tab/>
      </w:r>
      <w:r w:rsidRPr="000605BC">
        <w:rPr>
          <w:rFonts w:eastAsiaTheme="minorEastAsia"/>
          <w:sz w:val="20"/>
          <w:lang w:val="en-US" w:eastAsia="ja-JP"/>
        </w:rPr>
        <w:t xml:space="preserve">the term </w:t>
      </w:r>
      <w:r w:rsidR="003A6F8D" w:rsidRPr="000605BC">
        <w:rPr>
          <w:rFonts w:eastAsiaTheme="minorEastAsia"/>
          <w:sz w:val="20"/>
          <w:lang w:val="en-US" w:eastAsia="ja-JP"/>
        </w:rPr>
        <w:t>“</w:t>
      </w:r>
      <w:r w:rsidRPr="000605BC">
        <w:rPr>
          <w:rFonts w:eastAsiaTheme="minorEastAsia"/>
          <w:sz w:val="20"/>
          <w:lang w:val="en-US" w:eastAsia="ja-JP"/>
        </w:rPr>
        <w:t>monetary transaction</w:t>
      </w:r>
      <w:r w:rsidR="003A6F8D" w:rsidRPr="000605BC">
        <w:rPr>
          <w:rFonts w:eastAsiaTheme="minorEastAsia"/>
          <w:sz w:val="20"/>
          <w:lang w:val="en-US" w:eastAsia="ja-JP"/>
        </w:rPr>
        <w:t>”</w:t>
      </w:r>
      <w:r w:rsidRPr="000605BC">
        <w:rPr>
          <w:rFonts w:eastAsiaTheme="minorEastAsia"/>
          <w:sz w:val="20"/>
          <w:lang w:val="en-US" w:eastAsia="ja-JP"/>
        </w:rPr>
        <w:t xml:space="preserve"> means the deposit, withdrawal, transfer, or exchange, in or affecting interstate or foreign commerce, of funds or a monetary instrument (as defined in section 1956 of this title) by, </w:t>
      </w:r>
      <w:proofErr w:type="spellStart"/>
      <w:r w:rsidRPr="000605BC">
        <w:rPr>
          <w:rFonts w:eastAsiaTheme="minorEastAsia"/>
          <w:sz w:val="20"/>
          <w:lang w:val="en-US" w:eastAsia="ja-JP"/>
        </w:rPr>
        <w:t>through</w:t>
      </w:r>
      <w:proofErr w:type="spellEnd"/>
      <w:r w:rsidRPr="000605BC">
        <w:rPr>
          <w:rFonts w:eastAsiaTheme="minorEastAsia"/>
          <w:sz w:val="20"/>
          <w:lang w:val="en-US" w:eastAsia="ja-JP"/>
        </w:rPr>
        <w:t>, or to</w:t>
      </w:r>
      <w:r w:rsidR="003410E7" w:rsidRPr="000605BC">
        <w:rPr>
          <w:rFonts w:eastAsiaTheme="minorEastAsia"/>
          <w:sz w:val="20"/>
          <w:lang w:val="en-US" w:eastAsia="ja-JP"/>
        </w:rPr>
        <w:t xml:space="preserve"> </w:t>
      </w:r>
      <w:r w:rsidRPr="000605BC">
        <w:rPr>
          <w:rFonts w:eastAsiaTheme="minorEastAsia"/>
          <w:sz w:val="20"/>
          <w:lang w:val="en-US" w:eastAsia="ja-JP"/>
        </w:rPr>
        <w:t>a financial institution (as defined in section 1956 of this title), including any transaction that would be a financial transaction under section 1956 of this title, but such term does not include any transaction necessary to preserve a person’s right to representation as guaranteed by the sixth amendment to the Constitution;</w:t>
      </w:r>
    </w:p>
    <w:p w14:paraId="4826FC35" w14:textId="6845A2AE" w:rsidR="002E6B93" w:rsidRPr="000605BC" w:rsidRDefault="002E6B93" w:rsidP="008004ED">
      <w:pPr>
        <w:pStyle w:val="BlockQuote"/>
        <w:spacing w:before="60" w:after="0"/>
        <w:ind w:left="2160" w:hanging="720"/>
        <w:jc w:val="left"/>
        <w:rPr>
          <w:rFonts w:eastAsiaTheme="minorEastAsia"/>
          <w:sz w:val="20"/>
          <w:lang w:val="en-US" w:eastAsia="ja-JP"/>
        </w:rPr>
      </w:pPr>
      <w:r w:rsidRPr="000605BC">
        <w:rPr>
          <w:rFonts w:eastAsiaTheme="minorEastAsia"/>
          <w:sz w:val="20"/>
          <w:lang w:val="en-US" w:eastAsia="ja-JP"/>
        </w:rPr>
        <w:t xml:space="preserve">(2) </w:t>
      </w:r>
      <w:r w:rsidR="00BB0D32" w:rsidRPr="000605BC">
        <w:rPr>
          <w:rFonts w:eastAsiaTheme="minorEastAsia"/>
          <w:sz w:val="20"/>
          <w:lang w:val="en-US" w:eastAsia="ja-JP"/>
        </w:rPr>
        <w:tab/>
      </w:r>
      <w:proofErr w:type="gramStart"/>
      <w:r w:rsidRPr="000605BC">
        <w:rPr>
          <w:rFonts w:eastAsiaTheme="minorEastAsia"/>
          <w:sz w:val="20"/>
          <w:lang w:val="en-US" w:eastAsia="ja-JP"/>
        </w:rPr>
        <w:t>the</w:t>
      </w:r>
      <w:proofErr w:type="gramEnd"/>
      <w:r w:rsidRPr="000605BC">
        <w:rPr>
          <w:rFonts w:eastAsiaTheme="minorEastAsia"/>
          <w:sz w:val="20"/>
          <w:lang w:val="en-US" w:eastAsia="ja-JP"/>
        </w:rPr>
        <w:t xml:space="preserve"> term </w:t>
      </w:r>
      <w:r w:rsidR="003A6F8D" w:rsidRPr="000605BC">
        <w:rPr>
          <w:rFonts w:eastAsiaTheme="minorEastAsia"/>
          <w:sz w:val="20"/>
          <w:lang w:val="en-US" w:eastAsia="ja-JP"/>
        </w:rPr>
        <w:t>“</w:t>
      </w:r>
      <w:r w:rsidRPr="000605BC">
        <w:rPr>
          <w:rFonts w:eastAsiaTheme="minorEastAsia"/>
          <w:sz w:val="20"/>
          <w:lang w:val="en-US" w:eastAsia="ja-JP"/>
        </w:rPr>
        <w:t>criminally derived property</w:t>
      </w:r>
      <w:r w:rsidR="003A6F8D" w:rsidRPr="000605BC">
        <w:rPr>
          <w:rFonts w:eastAsiaTheme="minorEastAsia"/>
          <w:sz w:val="20"/>
          <w:lang w:val="en-US" w:eastAsia="ja-JP"/>
        </w:rPr>
        <w:t>”</w:t>
      </w:r>
      <w:r w:rsidRPr="000605BC">
        <w:rPr>
          <w:rFonts w:eastAsiaTheme="minorEastAsia"/>
          <w:sz w:val="20"/>
          <w:lang w:val="en-US" w:eastAsia="ja-JP"/>
        </w:rPr>
        <w:t xml:space="preserve"> means any property constituting, or derived from, proceeds obtained from a criminal offense; and</w:t>
      </w:r>
    </w:p>
    <w:p w14:paraId="795131EF" w14:textId="527ED80F" w:rsidR="002E6B93" w:rsidRPr="000605BC" w:rsidRDefault="002E6B93" w:rsidP="008004ED">
      <w:pPr>
        <w:pStyle w:val="BlockQuote"/>
        <w:spacing w:before="60" w:after="0"/>
        <w:ind w:left="2160" w:hanging="720"/>
        <w:jc w:val="left"/>
        <w:rPr>
          <w:rFonts w:eastAsiaTheme="minorEastAsia"/>
          <w:sz w:val="20"/>
          <w:lang w:val="en-US" w:eastAsia="ja-JP"/>
        </w:rPr>
      </w:pPr>
      <w:r w:rsidRPr="000605BC">
        <w:rPr>
          <w:rFonts w:eastAsiaTheme="minorEastAsia"/>
          <w:sz w:val="20"/>
          <w:lang w:val="en-US" w:eastAsia="ja-JP"/>
        </w:rPr>
        <w:t xml:space="preserve">(3) </w:t>
      </w:r>
      <w:r w:rsidR="00BB0D32" w:rsidRPr="000605BC">
        <w:rPr>
          <w:rFonts w:eastAsiaTheme="minorEastAsia"/>
          <w:sz w:val="20"/>
          <w:lang w:val="en-US" w:eastAsia="ja-JP"/>
        </w:rPr>
        <w:tab/>
      </w:r>
      <w:proofErr w:type="gramStart"/>
      <w:r w:rsidRPr="000605BC">
        <w:rPr>
          <w:rFonts w:eastAsiaTheme="minorEastAsia"/>
          <w:sz w:val="20"/>
          <w:lang w:val="en-US" w:eastAsia="ja-JP"/>
        </w:rPr>
        <w:t>the</w:t>
      </w:r>
      <w:proofErr w:type="gramEnd"/>
      <w:r w:rsidRPr="000605BC">
        <w:rPr>
          <w:rFonts w:eastAsiaTheme="minorEastAsia"/>
          <w:sz w:val="20"/>
          <w:lang w:val="en-US" w:eastAsia="ja-JP"/>
        </w:rPr>
        <w:t xml:space="preserve"> terms </w:t>
      </w:r>
      <w:r w:rsidR="003A6F8D" w:rsidRPr="000605BC">
        <w:rPr>
          <w:rFonts w:eastAsiaTheme="minorEastAsia"/>
          <w:sz w:val="20"/>
          <w:lang w:val="en-US" w:eastAsia="ja-JP"/>
        </w:rPr>
        <w:t>“</w:t>
      </w:r>
      <w:r w:rsidRPr="000605BC">
        <w:rPr>
          <w:rFonts w:eastAsiaTheme="minorEastAsia"/>
          <w:sz w:val="20"/>
          <w:lang w:val="en-US" w:eastAsia="ja-JP"/>
        </w:rPr>
        <w:t>specified unlawful activity</w:t>
      </w:r>
      <w:r w:rsidR="003A6F8D" w:rsidRPr="000605BC">
        <w:rPr>
          <w:rFonts w:eastAsiaTheme="minorEastAsia"/>
          <w:sz w:val="20"/>
          <w:lang w:val="en-US" w:eastAsia="ja-JP"/>
        </w:rPr>
        <w:t>”</w:t>
      </w:r>
      <w:r w:rsidRPr="000605BC">
        <w:rPr>
          <w:rFonts w:eastAsiaTheme="minorEastAsia"/>
          <w:sz w:val="20"/>
          <w:lang w:val="en-US" w:eastAsia="ja-JP"/>
        </w:rPr>
        <w:t xml:space="preserve"> and </w:t>
      </w:r>
      <w:r w:rsidR="003A6F8D" w:rsidRPr="000605BC">
        <w:rPr>
          <w:rFonts w:eastAsiaTheme="minorEastAsia"/>
          <w:sz w:val="20"/>
          <w:lang w:val="en-US" w:eastAsia="ja-JP"/>
        </w:rPr>
        <w:t>“</w:t>
      </w:r>
      <w:r w:rsidRPr="000605BC">
        <w:rPr>
          <w:rFonts w:eastAsiaTheme="minorEastAsia"/>
          <w:sz w:val="20"/>
          <w:lang w:val="en-US" w:eastAsia="ja-JP"/>
        </w:rPr>
        <w:t>proceeds</w:t>
      </w:r>
      <w:r w:rsidR="003A6F8D" w:rsidRPr="000605BC">
        <w:rPr>
          <w:rFonts w:eastAsiaTheme="minorEastAsia"/>
          <w:sz w:val="20"/>
          <w:lang w:val="en-US" w:eastAsia="ja-JP"/>
        </w:rPr>
        <w:t>”</w:t>
      </w:r>
      <w:r w:rsidRPr="000605BC">
        <w:rPr>
          <w:rFonts w:eastAsiaTheme="minorEastAsia"/>
          <w:sz w:val="20"/>
          <w:lang w:val="en-US" w:eastAsia="ja-JP"/>
        </w:rPr>
        <w:t xml:space="preserve"> shall have the meaning given those terms in section 1956 of this title</w:t>
      </w:r>
      <w:r w:rsidR="00DA0D1A" w:rsidRPr="000605BC">
        <w:rPr>
          <w:rFonts w:eastAsiaTheme="minorEastAsia"/>
          <w:sz w:val="20"/>
          <w:lang w:val="en-US" w:eastAsia="ja-JP"/>
        </w:rPr>
        <w:t>.</w:t>
      </w:r>
      <w:r w:rsidR="00757270" w:rsidRPr="000605BC">
        <w:rPr>
          <w:rFonts w:eastAsiaTheme="minorEastAsia"/>
          <w:sz w:val="20"/>
          <w:lang w:val="en-US" w:eastAsia="ja-JP"/>
        </w:rPr>
        <w:t xml:space="preserve"> </w:t>
      </w:r>
      <w:r w:rsidRPr="000605BC">
        <w:rPr>
          <w:rFonts w:eastAsiaTheme="minorEastAsia"/>
          <w:sz w:val="20"/>
          <w:lang w:val="en-US" w:eastAsia="ja-JP"/>
        </w:rPr>
        <w:t>[Emphasis added]</w:t>
      </w:r>
    </w:p>
    <w:p w14:paraId="7B3A767F" w14:textId="64ECA37C" w:rsidR="002E6B93" w:rsidRPr="000605BC" w:rsidRDefault="002E6B93" w:rsidP="00BD57FE">
      <w:pPr>
        <w:rPr>
          <w:sz w:val="20"/>
          <w:lang w:val="en-US" w:eastAsia="ja-JP"/>
        </w:rPr>
      </w:pPr>
      <w:r w:rsidRPr="000605BC">
        <w:rPr>
          <w:sz w:val="20"/>
          <w:lang w:val="en-US" w:eastAsia="ja-JP"/>
        </w:rPr>
        <w:t>While the US statutory provisions are longer and more complex than their Canadian equivalents</w:t>
      </w:r>
      <w:r w:rsidR="00C87508" w:rsidRPr="000605BC">
        <w:rPr>
          <w:sz w:val="20"/>
          <w:lang w:val="en-US" w:eastAsia="ja-JP"/>
        </w:rPr>
        <w:t xml:space="preserve"> (discussed below)</w:t>
      </w:r>
      <w:r w:rsidRPr="000605BC">
        <w:rPr>
          <w:sz w:val="20"/>
          <w:lang w:val="en-US" w:eastAsia="ja-JP"/>
        </w:rPr>
        <w:t>, their overall effect is similar.</w:t>
      </w:r>
      <w:r w:rsidR="00163CCC" w:rsidRPr="000605BC">
        <w:rPr>
          <w:sz w:val="20"/>
          <w:lang w:val="en-US" w:eastAsia="ja-JP"/>
        </w:rPr>
        <w:t xml:space="preserve"> O</w:t>
      </w:r>
      <w:r w:rsidRPr="000605BC">
        <w:rPr>
          <w:sz w:val="20"/>
          <w:lang w:val="en-US" w:eastAsia="ja-JP"/>
        </w:rPr>
        <w:t>nly the proceeds of certain crimes</w:t>
      </w:r>
      <w:r w:rsidR="00D91877" w:rsidRPr="000605BC">
        <w:rPr>
          <w:sz w:val="20"/>
          <w:lang w:val="en-US" w:eastAsia="ja-JP"/>
        </w:rPr>
        <w:t xml:space="preserve"> (</w:t>
      </w:r>
      <w:r w:rsidR="003A6F8D" w:rsidRPr="000605BC">
        <w:rPr>
          <w:sz w:val="20"/>
          <w:lang w:val="en-US" w:eastAsia="ja-JP"/>
        </w:rPr>
        <w:t>“</w:t>
      </w:r>
      <w:r w:rsidR="00D91877" w:rsidRPr="000605BC">
        <w:rPr>
          <w:sz w:val="20"/>
          <w:lang w:val="en-US" w:eastAsia="ja-JP"/>
        </w:rPr>
        <w:t>specified unlawful activity</w:t>
      </w:r>
      <w:r w:rsidR="003A6F8D" w:rsidRPr="000605BC">
        <w:rPr>
          <w:sz w:val="20"/>
          <w:lang w:val="en-US" w:eastAsia="ja-JP"/>
        </w:rPr>
        <w:t>”</w:t>
      </w:r>
      <w:r w:rsidR="00D91877" w:rsidRPr="000605BC">
        <w:rPr>
          <w:sz w:val="20"/>
          <w:lang w:val="en-US" w:eastAsia="ja-JP"/>
        </w:rPr>
        <w:t>)</w:t>
      </w:r>
      <w:r w:rsidRPr="000605BC">
        <w:rPr>
          <w:sz w:val="20"/>
          <w:lang w:val="en-US" w:eastAsia="ja-JP"/>
        </w:rPr>
        <w:t xml:space="preserve"> can give ri</w:t>
      </w:r>
      <w:r w:rsidR="00D91877" w:rsidRPr="000605BC">
        <w:rPr>
          <w:sz w:val="20"/>
          <w:lang w:val="en-US" w:eastAsia="ja-JP"/>
        </w:rPr>
        <w:t xml:space="preserve">se to a money laundering charge. </w:t>
      </w:r>
      <w:r w:rsidRPr="000605BC">
        <w:rPr>
          <w:sz w:val="20"/>
          <w:lang w:val="en-US" w:eastAsia="ja-JP"/>
        </w:rPr>
        <w:t xml:space="preserve">The term </w:t>
      </w:r>
      <w:r w:rsidR="003A6F8D" w:rsidRPr="000605BC">
        <w:rPr>
          <w:sz w:val="20"/>
          <w:lang w:val="en-US" w:eastAsia="ja-JP"/>
        </w:rPr>
        <w:t>“</w:t>
      </w:r>
      <w:r w:rsidRPr="000605BC">
        <w:rPr>
          <w:sz w:val="20"/>
          <w:lang w:val="en-US" w:eastAsia="ja-JP"/>
        </w:rPr>
        <w:t>specified unlawful activity</w:t>
      </w:r>
      <w:r w:rsidR="003A6F8D" w:rsidRPr="000605BC">
        <w:rPr>
          <w:sz w:val="20"/>
          <w:lang w:val="en-US" w:eastAsia="ja-JP"/>
        </w:rPr>
        <w:t>”</w:t>
      </w:r>
      <w:r w:rsidRPr="000605BC">
        <w:rPr>
          <w:sz w:val="20"/>
          <w:lang w:val="en-US" w:eastAsia="ja-JP"/>
        </w:rPr>
        <w:t xml:space="preserve"> is defined in 18 U</w:t>
      </w:r>
      <w:r w:rsidR="00142674" w:rsidRPr="000605BC">
        <w:rPr>
          <w:sz w:val="20"/>
          <w:lang w:val="en-US" w:eastAsia="ja-JP"/>
        </w:rPr>
        <w:t>SC</w:t>
      </w:r>
      <w:r w:rsidRPr="000605BC">
        <w:rPr>
          <w:sz w:val="20"/>
          <w:lang w:val="en-US" w:eastAsia="ja-JP"/>
        </w:rPr>
        <w:t xml:space="preserve"> 1956(c</w:t>
      </w:r>
      <w:proofErr w:type="gramStart"/>
      <w:r w:rsidRPr="000605BC">
        <w:rPr>
          <w:sz w:val="20"/>
          <w:lang w:val="en-US" w:eastAsia="ja-JP"/>
        </w:rPr>
        <w:t>)(</w:t>
      </w:r>
      <w:proofErr w:type="gramEnd"/>
      <w:r w:rsidRPr="000605BC">
        <w:rPr>
          <w:sz w:val="20"/>
          <w:lang w:val="en-US" w:eastAsia="ja-JP"/>
        </w:rPr>
        <w:t xml:space="preserve">7), </w:t>
      </w:r>
      <w:r w:rsidR="00F75B90" w:rsidRPr="000605BC">
        <w:rPr>
          <w:sz w:val="20"/>
          <w:lang w:val="en-US" w:eastAsia="ja-JP"/>
        </w:rPr>
        <w:t xml:space="preserve">and </w:t>
      </w:r>
      <w:r w:rsidR="002D7391" w:rsidRPr="000605BC">
        <w:rPr>
          <w:sz w:val="20"/>
          <w:lang w:val="en-US" w:eastAsia="ja-JP"/>
        </w:rPr>
        <w:t>provides a long list of offens</w:t>
      </w:r>
      <w:r w:rsidRPr="000605BC">
        <w:rPr>
          <w:sz w:val="20"/>
          <w:lang w:val="en-US" w:eastAsia="ja-JP"/>
        </w:rPr>
        <w:t>es that encompasses most serious crimes</w:t>
      </w:r>
      <w:r w:rsidR="001C3A55" w:rsidRPr="000605BC">
        <w:rPr>
          <w:sz w:val="20"/>
          <w:lang w:val="en-US" w:eastAsia="ja-JP"/>
        </w:rPr>
        <w:t xml:space="preserve"> and includes violations of the </w:t>
      </w:r>
      <w:r w:rsidR="001C3A55" w:rsidRPr="000605BC">
        <w:rPr>
          <w:i/>
          <w:sz w:val="20"/>
          <w:lang w:val="en-US" w:eastAsia="ja-JP"/>
        </w:rPr>
        <w:t>F</w:t>
      </w:r>
      <w:r w:rsidR="00BA001C" w:rsidRPr="000605BC">
        <w:rPr>
          <w:i/>
          <w:sz w:val="20"/>
          <w:lang w:val="en-US" w:eastAsia="ja-JP"/>
        </w:rPr>
        <w:t xml:space="preserve">oreign </w:t>
      </w:r>
      <w:r w:rsidR="001C3A55" w:rsidRPr="000605BC">
        <w:rPr>
          <w:i/>
          <w:sz w:val="20"/>
          <w:lang w:val="en-US" w:eastAsia="ja-JP"/>
        </w:rPr>
        <w:t>C</w:t>
      </w:r>
      <w:r w:rsidR="00BA001C" w:rsidRPr="000605BC">
        <w:rPr>
          <w:i/>
          <w:sz w:val="20"/>
          <w:lang w:val="en-US" w:eastAsia="ja-JP"/>
        </w:rPr>
        <w:t xml:space="preserve">orrupt </w:t>
      </w:r>
      <w:r w:rsidR="001C3A55" w:rsidRPr="000605BC">
        <w:rPr>
          <w:i/>
          <w:sz w:val="20"/>
          <w:lang w:val="en-US" w:eastAsia="ja-JP"/>
        </w:rPr>
        <w:t>P</w:t>
      </w:r>
      <w:r w:rsidR="00BA001C" w:rsidRPr="000605BC">
        <w:rPr>
          <w:i/>
          <w:sz w:val="20"/>
          <w:lang w:val="en-US" w:eastAsia="ja-JP"/>
        </w:rPr>
        <w:t xml:space="preserve">ractices </w:t>
      </w:r>
      <w:r w:rsidR="001C3A55" w:rsidRPr="000605BC">
        <w:rPr>
          <w:i/>
          <w:sz w:val="20"/>
          <w:lang w:val="en-US" w:eastAsia="ja-JP"/>
        </w:rPr>
        <w:t>A</w:t>
      </w:r>
      <w:r w:rsidR="00BA001C" w:rsidRPr="000605BC">
        <w:rPr>
          <w:i/>
          <w:sz w:val="20"/>
          <w:lang w:val="en-US" w:eastAsia="ja-JP"/>
        </w:rPr>
        <w:t>ct</w:t>
      </w:r>
      <w:r w:rsidRPr="000605BC">
        <w:rPr>
          <w:sz w:val="20"/>
          <w:lang w:val="en-US" w:eastAsia="ja-JP"/>
        </w:rPr>
        <w:t xml:space="preserve">. </w:t>
      </w:r>
      <w:r w:rsidR="00D91877" w:rsidRPr="000605BC">
        <w:rPr>
          <w:sz w:val="20"/>
          <w:lang w:val="en-US" w:eastAsia="ja-JP"/>
        </w:rPr>
        <w:t>T</w:t>
      </w:r>
      <w:r w:rsidR="00E70AAD" w:rsidRPr="000605BC">
        <w:rPr>
          <w:sz w:val="20"/>
          <w:lang w:val="en-US" w:eastAsia="ja-JP"/>
        </w:rPr>
        <w:t>o be convicted, t</w:t>
      </w:r>
      <w:r w:rsidRPr="000605BC">
        <w:rPr>
          <w:sz w:val="20"/>
          <w:lang w:val="en-US" w:eastAsia="ja-JP"/>
        </w:rPr>
        <w:t xml:space="preserve">he accused must have known that the property in question was derived from unlawful activity of some kind. </w:t>
      </w:r>
      <w:r w:rsidR="00E70AAD" w:rsidRPr="000605BC">
        <w:rPr>
          <w:sz w:val="20"/>
          <w:lang w:val="en-US" w:eastAsia="ja-JP"/>
        </w:rPr>
        <w:t>T</w:t>
      </w:r>
      <w:r w:rsidRPr="000605BC">
        <w:rPr>
          <w:sz w:val="20"/>
          <w:lang w:val="en-US" w:eastAsia="ja-JP"/>
        </w:rPr>
        <w:t>he two US provisions excerpted above include a variety of different uses that can give rise to a money</w:t>
      </w:r>
      <w:r w:rsidR="00081705" w:rsidRPr="000605BC">
        <w:rPr>
          <w:sz w:val="20"/>
          <w:lang w:val="en-US" w:eastAsia="ja-JP"/>
        </w:rPr>
        <w:t xml:space="preserve"> </w:t>
      </w:r>
      <w:r w:rsidRPr="000605BC">
        <w:rPr>
          <w:sz w:val="20"/>
          <w:lang w:val="en-US" w:eastAsia="ja-JP"/>
        </w:rPr>
        <w:t>laundering conviction, including attempting to avoid transaction reporting requirements and promoting the carrying on of a specified unlawful activity (funding further crimes). However,</w:t>
      </w:r>
      <w:r w:rsidR="00553200" w:rsidRPr="000605BC">
        <w:rPr>
          <w:sz w:val="20"/>
          <w:lang w:val="en-US" w:eastAsia="ja-JP"/>
        </w:rPr>
        <w:t xml:space="preserve"> the overall effect is that </w:t>
      </w:r>
      <w:r w:rsidRPr="000605BC">
        <w:rPr>
          <w:sz w:val="20"/>
          <w:lang w:val="en-US" w:eastAsia="ja-JP"/>
        </w:rPr>
        <w:t xml:space="preserve">money laundering consists of using the proceeds of certain defined crimes in certain defined ways. </w:t>
      </w:r>
    </w:p>
    <w:p w14:paraId="7066FCB8" w14:textId="69074D4D" w:rsidR="00061399" w:rsidRPr="000605BC" w:rsidRDefault="00061399" w:rsidP="00061399">
      <w:pPr>
        <w:rPr>
          <w:rFonts w:cs="Times New Roman"/>
          <w:sz w:val="20"/>
        </w:rPr>
      </w:pPr>
      <w:r w:rsidRPr="000605BC">
        <w:rPr>
          <w:rFonts w:cs="Times New Roman"/>
          <w:sz w:val="20"/>
        </w:rPr>
        <w:t>Sentences for money laundering offenses are often lengthy and can reach a life term.</w:t>
      </w:r>
      <w:r w:rsidR="002822D1" w:rsidRPr="000605BC">
        <w:rPr>
          <w:rFonts w:cs="Times New Roman"/>
          <w:sz w:val="20"/>
        </w:rPr>
        <w:t xml:space="preserve"> </w:t>
      </w:r>
      <w:r w:rsidRPr="000605BC">
        <w:rPr>
          <w:rFonts w:cs="Times New Roman"/>
          <w:sz w:val="20"/>
        </w:rPr>
        <w:t xml:space="preserve">From 2010-2015, prison sentences greater than 61 months (5 years) were imposed in 40% of convictions, while non-custodial sentences were used in only 15% of convictions. The table below outlines the sentences given in US </w:t>
      </w:r>
      <w:r w:rsidR="00081705" w:rsidRPr="000605BC">
        <w:rPr>
          <w:rFonts w:cs="Times New Roman"/>
          <w:sz w:val="20"/>
        </w:rPr>
        <w:t>f</w:t>
      </w:r>
      <w:r w:rsidRPr="000605BC">
        <w:rPr>
          <w:rFonts w:cs="Times New Roman"/>
          <w:sz w:val="20"/>
        </w:rPr>
        <w:t>ederal money laundering cases from 2010-2014.</w:t>
      </w:r>
    </w:p>
    <w:p w14:paraId="066D3387" w14:textId="1820D5A6" w:rsidR="001B24D2" w:rsidRPr="000605BC" w:rsidRDefault="00557DB1" w:rsidP="00836DEC">
      <w:pPr>
        <w:keepLines/>
        <w:spacing w:before="360" w:after="120"/>
        <w:rPr>
          <w:rFonts w:cs="Times New Roman"/>
          <w:sz w:val="20"/>
        </w:rPr>
      </w:pPr>
      <w:r w:rsidRPr="005B35C6">
        <w:rPr>
          <w:rFonts w:cs="Times New Roman"/>
          <w:b/>
          <w:sz w:val="20"/>
          <w:highlight w:val="magenta"/>
        </w:rPr>
        <w:t>Table 4.1</w:t>
      </w:r>
      <w:r w:rsidRPr="005B35C6">
        <w:rPr>
          <w:rFonts w:cs="Times New Roman"/>
          <w:sz w:val="20"/>
          <w:highlight w:val="magenta"/>
        </w:rPr>
        <w:t xml:space="preserve"> </w:t>
      </w:r>
      <w:r w:rsidR="001B24D2" w:rsidRPr="005B35C6">
        <w:rPr>
          <w:rFonts w:cs="Times New Roman"/>
          <w:sz w:val="20"/>
          <w:highlight w:val="magenta"/>
        </w:rPr>
        <w:t>Sentencing for Money Laundering Convictions (FY2010-FY2014)</w:t>
      </w:r>
    </w:p>
    <w:tbl>
      <w:tblPr>
        <w:tblStyle w:val="TableGrid"/>
        <w:tblW w:w="8075" w:type="dxa"/>
        <w:tblLayout w:type="fixed"/>
        <w:tblLook w:val="04A0" w:firstRow="1" w:lastRow="0" w:firstColumn="1" w:lastColumn="0" w:noHBand="0" w:noVBand="1"/>
      </w:tblPr>
      <w:tblGrid>
        <w:gridCol w:w="1129"/>
        <w:gridCol w:w="993"/>
        <w:gridCol w:w="992"/>
        <w:gridCol w:w="826"/>
        <w:gridCol w:w="827"/>
        <w:gridCol w:w="827"/>
        <w:gridCol w:w="827"/>
        <w:gridCol w:w="827"/>
        <w:gridCol w:w="827"/>
      </w:tblGrid>
      <w:tr w:rsidR="007B4317" w:rsidRPr="007B4317" w14:paraId="5D3E2B4C" w14:textId="77777777" w:rsidTr="007B4317">
        <w:tc>
          <w:tcPr>
            <w:tcW w:w="1129" w:type="dxa"/>
            <w:vAlign w:val="center"/>
          </w:tcPr>
          <w:p w14:paraId="3EB2D3E1" w14:textId="6090289E" w:rsidR="00C356C6" w:rsidRPr="007B4317" w:rsidRDefault="00C356C6" w:rsidP="00E1317B">
            <w:pPr>
              <w:keepLines/>
              <w:spacing w:before="60" w:after="60"/>
              <w:jc w:val="center"/>
              <w:rPr>
                <w:rFonts w:ascii="Arial Narrow" w:hAnsi="Arial Narrow" w:cs="Times New Roman"/>
                <w:sz w:val="18"/>
                <w:szCs w:val="16"/>
              </w:rPr>
            </w:pPr>
            <w:r w:rsidRPr="007B4317">
              <w:rPr>
                <w:rFonts w:ascii="Arial Narrow" w:hAnsi="Arial Narrow" w:cs="Times New Roman"/>
                <w:sz w:val="18"/>
                <w:szCs w:val="16"/>
              </w:rPr>
              <w:t>Offense</w:t>
            </w:r>
          </w:p>
        </w:tc>
        <w:tc>
          <w:tcPr>
            <w:tcW w:w="993" w:type="dxa"/>
            <w:vAlign w:val="center"/>
          </w:tcPr>
          <w:p w14:paraId="6D772279" w14:textId="157330E2" w:rsidR="00C356C6" w:rsidRPr="007B4317" w:rsidRDefault="00C356C6" w:rsidP="00E1317B">
            <w:pPr>
              <w:keepLines/>
              <w:spacing w:before="60" w:after="60"/>
              <w:jc w:val="center"/>
              <w:rPr>
                <w:rFonts w:ascii="Arial Narrow" w:hAnsi="Arial Narrow" w:cs="Times New Roman"/>
                <w:sz w:val="18"/>
                <w:szCs w:val="16"/>
              </w:rPr>
            </w:pPr>
            <w:r w:rsidRPr="007B4317">
              <w:rPr>
                <w:rFonts w:ascii="Arial Narrow" w:hAnsi="Arial Narrow" w:cs="Times New Roman"/>
                <w:sz w:val="18"/>
                <w:szCs w:val="16"/>
              </w:rPr>
              <w:t># of Defendants</w:t>
            </w:r>
          </w:p>
        </w:tc>
        <w:tc>
          <w:tcPr>
            <w:tcW w:w="992" w:type="dxa"/>
            <w:vAlign w:val="center"/>
          </w:tcPr>
          <w:p w14:paraId="7CB83C59" w14:textId="77777777" w:rsidR="00EE506E" w:rsidRPr="007B4317" w:rsidRDefault="00EE506E" w:rsidP="00EE506E">
            <w:pPr>
              <w:keepLines/>
              <w:spacing w:before="60" w:after="0"/>
              <w:jc w:val="center"/>
              <w:rPr>
                <w:rFonts w:ascii="Arial Narrow" w:hAnsi="Arial Narrow" w:cs="Times New Roman"/>
                <w:sz w:val="18"/>
                <w:szCs w:val="16"/>
              </w:rPr>
            </w:pPr>
            <w:r w:rsidRPr="007B4317">
              <w:rPr>
                <w:rFonts w:ascii="Arial Narrow" w:hAnsi="Arial Narrow" w:cs="Times New Roman"/>
                <w:sz w:val="18"/>
                <w:szCs w:val="16"/>
              </w:rPr>
              <w:t>Not</w:t>
            </w:r>
          </w:p>
          <w:p w14:paraId="0E725D98" w14:textId="5C77D877" w:rsidR="00C356C6" w:rsidRPr="007B4317" w:rsidRDefault="00C356C6" w:rsidP="00EE506E">
            <w:pPr>
              <w:keepLines/>
              <w:spacing w:before="0" w:after="60"/>
              <w:jc w:val="center"/>
              <w:rPr>
                <w:rFonts w:ascii="Arial Narrow" w:hAnsi="Arial Narrow" w:cs="Times New Roman"/>
                <w:sz w:val="18"/>
                <w:szCs w:val="16"/>
              </w:rPr>
            </w:pPr>
            <w:r w:rsidRPr="007B4317">
              <w:rPr>
                <w:rFonts w:ascii="Arial Narrow" w:hAnsi="Arial Narrow" w:cs="Times New Roman"/>
                <w:sz w:val="18"/>
                <w:szCs w:val="16"/>
              </w:rPr>
              <w:t>imprisoned</w:t>
            </w:r>
          </w:p>
        </w:tc>
        <w:tc>
          <w:tcPr>
            <w:tcW w:w="826" w:type="dxa"/>
            <w:vAlign w:val="center"/>
          </w:tcPr>
          <w:p w14:paraId="547D3768" w14:textId="186E45AE" w:rsidR="00C356C6" w:rsidRPr="007B4317" w:rsidRDefault="00C356C6" w:rsidP="00E1317B">
            <w:pPr>
              <w:keepLines/>
              <w:spacing w:before="60" w:after="60"/>
              <w:jc w:val="center"/>
              <w:rPr>
                <w:rFonts w:ascii="Arial Narrow" w:hAnsi="Arial Narrow" w:cs="Times New Roman"/>
                <w:sz w:val="18"/>
                <w:szCs w:val="16"/>
              </w:rPr>
            </w:pPr>
            <w:r w:rsidRPr="007B4317">
              <w:rPr>
                <w:rFonts w:ascii="Arial Narrow" w:hAnsi="Arial Narrow" w:cs="Times New Roman"/>
                <w:sz w:val="18"/>
                <w:szCs w:val="16"/>
              </w:rPr>
              <w:t>1-12 Months</w:t>
            </w:r>
          </w:p>
        </w:tc>
        <w:tc>
          <w:tcPr>
            <w:tcW w:w="827" w:type="dxa"/>
            <w:vAlign w:val="center"/>
          </w:tcPr>
          <w:p w14:paraId="62C36A8B" w14:textId="5973DAFB" w:rsidR="00C356C6" w:rsidRPr="007B4317" w:rsidRDefault="00C356C6" w:rsidP="00E1317B">
            <w:pPr>
              <w:keepLines/>
              <w:spacing w:before="60" w:after="60"/>
              <w:jc w:val="center"/>
              <w:rPr>
                <w:rFonts w:ascii="Arial Narrow" w:hAnsi="Arial Narrow" w:cs="Times New Roman"/>
                <w:sz w:val="18"/>
                <w:szCs w:val="16"/>
              </w:rPr>
            </w:pPr>
            <w:r w:rsidRPr="007B4317">
              <w:rPr>
                <w:rFonts w:ascii="Arial Narrow" w:hAnsi="Arial Narrow" w:cs="Times New Roman"/>
                <w:sz w:val="18"/>
                <w:szCs w:val="16"/>
              </w:rPr>
              <w:t>13-14 Months</w:t>
            </w:r>
          </w:p>
        </w:tc>
        <w:tc>
          <w:tcPr>
            <w:tcW w:w="827" w:type="dxa"/>
            <w:vAlign w:val="center"/>
          </w:tcPr>
          <w:p w14:paraId="7DDB478F" w14:textId="4CA4C6EB" w:rsidR="00C356C6" w:rsidRPr="007B4317" w:rsidRDefault="00C356C6" w:rsidP="00E1317B">
            <w:pPr>
              <w:keepLines/>
              <w:spacing w:before="60" w:after="60"/>
              <w:jc w:val="center"/>
              <w:rPr>
                <w:rFonts w:ascii="Arial Narrow" w:hAnsi="Arial Narrow" w:cs="Times New Roman"/>
                <w:sz w:val="18"/>
                <w:szCs w:val="16"/>
              </w:rPr>
            </w:pPr>
            <w:r w:rsidRPr="007B4317">
              <w:rPr>
                <w:rFonts w:ascii="Arial Narrow" w:hAnsi="Arial Narrow" w:cs="Times New Roman"/>
                <w:sz w:val="18"/>
                <w:szCs w:val="16"/>
              </w:rPr>
              <w:t>25-36 Months</w:t>
            </w:r>
          </w:p>
        </w:tc>
        <w:tc>
          <w:tcPr>
            <w:tcW w:w="827" w:type="dxa"/>
            <w:vAlign w:val="center"/>
          </w:tcPr>
          <w:p w14:paraId="60553CD2" w14:textId="68700940" w:rsidR="00C356C6" w:rsidRPr="007B4317" w:rsidRDefault="00C356C6" w:rsidP="00E1317B">
            <w:pPr>
              <w:keepLines/>
              <w:spacing w:before="60" w:after="60"/>
              <w:jc w:val="center"/>
              <w:rPr>
                <w:rFonts w:ascii="Arial Narrow" w:hAnsi="Arial Narrow" w:cs="Times New Roman"/>
                <w:sz w:val="18"/>
                <w:szCs w:val="16"/>
              </w:rPr>
            </w:pPr>
            <w:r w:rsidRPr="007B4317">
              <w:rPr>
                <w:rFonts w:ascii="Arial Narrow" w:hAnsi="Arial Narrow" w:cs="Times New Roman"/>
                <w:sz w:val="18"/>
                <w:szCs w:val="16"/>
              </w:rPr>
              <w:t>37-60 Months</w:t>
            </w:r>
          </w:p>
        </w:tc>
        <w:tc>
          <w:tcPr>
            <w:tcW w:w="827" w:type="dxa"/>
            <w:vAlign w:val="center"/>
          </w:tcPr>
          <w:p w14:paraId="410B3881" w14:textId="2D1FBAF6" w:rsidR="00C356C6" w:rsidRPr="007B4317" w:rsidRDefault="00C356C6" w:rsidP="00E1317B">
            <w:pPr>
              <w:keepLines/>
              <w:spacing w:before="60" w:after="60"/>
              <w:jc w:val="center"/>
              <w:rPr>
                <w:rFonts w:ascii="Arial Narrow" w:hAnsi="Arial Narrow" w:cs="Times New Roman"/>
                <w:sz w:val="18"/>
                <w:szCs w:val="16"/>
              </w:rPr>
            </w:pPr>
            <w:r w:rsidRPr="007B4317">
              <w:rPr>
                <w:rFonts w:ascii="Arial Narrow" w:hAnsi="Arial Narrow" w:cs="Times New Roman"/>
                <w:sz w:val="18"/>
                <w:szCs w:val="16"/>
              </w:rPr>
              <w:t>61+ Months</w:t>
            </w:r>
          </w:p>
        </w:tc>
        <w:tc>
          <w:tcPr>
            <w:tcW w:w="827" w:type="dxa"/>
            <w:vAlign w:val="center"/>
          </w:tcPr>
          <w:p w14:paraId="66837C23" w14:textId="3554399F" w:rsidR="00C356C6" w:rsidRPr="007B4317" w:rsidRDefault="00C356C6" w:rsidP="00E1317B">
            <w:pPr>
              <w:keepLines/>
              <w:spacing w:before="60" w:after="60"/>
              <w:jc w:val="center"/>
              <w:rPr>
                <w:rFonts w:ascii="Arial Narrow" w:hAnsi="Arial Narrow" w:cs="Times New Roman"/>
                <w:sz w:val="18"/>
                <w:szCs w:val="16"/>
              </w:rPr>
            </w:pPr>
            <w:r w:rsidRPr="007B4317">
              <w:rPr>
                <w:rFonts w:ascii="Arial Narrow" w:hAnsi="Arial Narrow" w:cs="Times New Roman"/>
                <w:sz w:val="18"/>
                <w:szCs w:val="16"/>
              </w:rPr>
              <w:t>Life</w:t>
            </w:r>
          </w:p>
        </w:tc>
      </w:tr>
      <w:tr w:rsidR="007B4317" w:rsidRPr="007B4317" w14:paraId="02639C6B" w14:textId="77777777" w:rsidTr="007B4317">
        <w:tc>
          <w:tcPr>
            <w:tcW w:w="1129" w:type="dxa"/>
            <w:vAlign w:val="center"/>
          </w:tcPr>
          <w:p w14:paraId="16305DA2" w14:textId="42F00A7C" w:rsidR="00C356C6" w:rsidRPr="007B4317" w:rsidRDefault="00C356C6" w:rsidP="00E1317B">
            <w:pPr>
              <w:keepLines/>
              <w:spacing w:before="60" w:after="60"/>
              <w:rPr>
                <w:rFonts w:ascii="Arial Narrow" w:hAnsi="Arial Narrow" w:cs="Times New Roman"/>
                <w:sz w:val="18"/>
                <w:szCs w:val="16"/>
              </w:rPr>
            </w:pPr>
            <w:r w:rsidRPr="007B4317">
              <w:rPr>
                <w:rFonts w:ascii="Arial Narrow" w:hAnsi="Arial Narrow" w:cs="Times New Roman"/>
                <w:sz w:val="18"/>
                <w:szCs w:val="16"/>
              </w:rPr>
              <w:t>18 USC 1956</w:t>
            </w:r>
          </w:p>
        </w:tc>
        <w:tc>
          <w:tcPr>
            <w:tcW w:w="993" w:type="dxa"/>
            <w:vAlign w:val="center"/>
          </w:tcPr>
          <w:p w14:paraId="5884DC6D" w14:textId="5EB1E789" w:rsidR="00C356C6" w:rsidRPr="007B4317" w:rsidRDefault="00C356C6" w:rsidP="00E1317B">
            <w:pPr>
              <w:keepLines/>
              <w:spacing w:before="60" w:after="60"/>
              <w:rPr>
                <w:rFonts w:ascii="Arial Narrow" w:hAnsi="Arial Narrow" w:cs="Times New Roman"/>
                <w:sz w:val="18"/>
                <w:szCs w:val="16"/>
              </w:rPr>
            </w:pPr>
            <w:r w:rsidRPr="007B4317">
              <w:rPr>
                <w:rFonts w:ascii="Arial Narrow" w:hAnsi="Arial Narrow" w:cs="Times New Roman"/>
                <w:sz w:val="18"/>
                <w:szCs w:val="16"/>
              </w:rPr>
              <w:t>5076</w:t>
            </w:r>
          </w:p>
        </w:tc>
        <w:tc>
          <w:tcPr>
            <w:tcW w:w="992" w:type="dxa"/>
            <w:vAlign w:val="center"/>
          </w:tcPr>
          <w:p w14:paraId="7C0933DC" w14:textId="6A0C4929" w:rsidR="00C356C6" w:rsidRPr="007B4317" w:rsidRDefault="00C356C6" w:rsidP="00E1317B">
            <w:pPr>
              <w:keepLines/>
              <w:spacing w:before="60" w:after="60"/>
              <w:rPr>
                <w:rFonts w:ascii="Arial Narrow" w:hAnsi="Arial Narrow" w:cs="Times New Roman"/>
                <w:sz w:val="18"/>
                <w:szCs w:val="16"/>
              </w:rPr>
            </w:pPr>
            <w:r w:rsidRPr="007B4317">
              <w:rPr>
                <w:rFonts w:ascii="Arial Narrow" w:hAnsi="Arial Narrow" w:cs="Times New Roman"/>
                <w:sz w:val="18"/>
                <w:szCs w:val="16"/>
              </w:rPr>
              <w:t>784</w:t>
            </w:r>
          </w:p>
        </w:tc>
        <w:tc>
          <w:tcPr>
            <w:tcW w:w="826" w:type="dxa"/>
            <w:vAlign w:val="center"/>
          </w:tcPr>
          <w:p w14:paraId="08177F34" w14:textId="745F944A" w:rsidR="00C356C6" w:rsidRPr="007B4317" w:rsidRDefault="00C356C6" w:rsidP="00E1317B">
            <w:pPr>
              <w:keepLines/>
              <w:spacing w:before="60" w:after="60"/>
              <w:rPr>
                <w:rFonts w:ascii="Arial Narrow" w:hAnsi="Arial Narrow" w:cs="Times New Roman"/>
                <w:sz w:val="18"/>
                <w:szCs w:val="16"/>
              </w:rPr>
            </w:pPr>
            <w:r w:rsidRPr="007B4317">
              <w:rPr>
                <w:rFonts w:ascii="Arial Narrow" w:hAnsi="Arial Narrow" w:cs="Times New Roman"/>
                <w:sz w:val="18"/>
                <w:szCs w:val="16"/>
              </w:rPr>
              <w:t>341</w:t>
            </w:r>
          </w:p>
        </w:tc>
        <w:tc>
          <w:tcPr>
            <w:tcW w:w="827" w:type="dxa"/>
            <w:vAlign w:val="center"/>
          </w:tcPr>
          <w:p w14:paraId="0877A02C" w14:textId="11C8D864" w:rsidR="00C356C6" w:rsidRPr="007B4317" w:rsidRDefault="00C356C6" w:rsidP="00E1317B">
            <w:pPr>
              <w:keepLines/>
              <w:spacing w:before="60" w:after="60"/>
              <w:rPr>
                <w:rFonts w:ascii="Arial Narrow" w:hAnsi="Arial Narrow" w:cs="Times New Roman"/>
                <w:sz w:val="18"/>
                <w:szCs w:val="16"/>
              </w:rPr>
            </w:pPr>
            <w:r w:rsidRPr="007B4317">
              <w:rPr>
                <w:rFonts w:ascii="Arial Narrow" w:hAnsi="Arial Narrow" w:cs="Times New Roman"/>
                <w:sz w:val="18"/>
                <w:szCs w:val="16"/>
              </w:rPr>
              <w:t>520</w:t>
            </w:r>
          </w:p>
        </w:tc>
        <w:tc>
          <w:tcPr>
            <w:tcW w:w="827" w:type="dxa"/>
            <w:vAlign w:val="center"/>
          </w:tcPr>
          <w:p w14:paraId="704866E3" w14:textId="61223165" w:rsidR="00C356C6" w:rsidRPr="007B4317" w:rsidRDefault="00C356C6" w:rsidP="00E1317B">
            <w:pPr>
              <w:keepLines/>
              <w:spacing w:before="60" w:after="60"/>
              <w:rPr>
                <w:rFonts w:ascii="Arial Narrow" w:hAnsi="Arial Narrow" w:cs="Times New Roman"/>
                <w:sz w:val="18"/>
                <w:szCs w:val="16"/>
              </w:rPr>
            </w:pPr>
            <w:r w:rsidRPr="007B4317">
              <w:rPr>
                <w:rFonts w:ascii="Arial Narrow" w:hAnsi="Arial Narrow" w:cs="Times New Roman"/>
                <w:sz w:val="18"/>
                <w:szCs w:val="16"/>
              </w:rPr>
              <w:t>456</w:t>
            </w:r>
          </w:p>
        </w:tc>
        <w:tc>
          <w:tcPr>
            <w:tcW w:w="827" w:type="dxa"/>
            <w:vAlign w:val="center"/>
          </w:tcPr>
          <w:p w14:paraId="24A0076E" w14:textId="77CDCAF3" w:rsidR="00C356C6" w:rsidRPr="007B4317" w:rsidRDefault="00C356C6" w:rsidP="00E1317B">
            <w:pPr>
              <w:keepLines/>
              <w:spacing w:before="60" w:after="60"/>
              <w:rPr>
                <w:rFonts w:ascii="Arial Narrow" w:hAnsi="Arial Narrow" w:cs="Times New Roman"/>
                <w:sz w:val="18"/>
                <w:szCs w:val="16"/>
              </w:rPr>
            </w:pPr>
            <w:r w:rsidRPr="007B4317">
              <w:rPr>
                <w:rFonts w:ascii="Arial Narrow" w:hAnsi="Arial Narrow" w:cs="Times New Roman"/>
                <w:sz w:val="18"/>
                <w:szCs w:val="16"/>
              </w:rPr>
              <w:t>823</w:t>
            </w:r>
          </w:p>
        </w:tc>
        <w:tc>
          <w:tcPr>
            <w:tcW w:w="827" w:type="dxa"/>
            <w:vAlign w:val="center"/>
          </w:tcPr>
          <w:p w14:paraId="2A49CF45" w14:textId="2CEFD59F" w:rsidR="00C356C6" w:rsidRPr="007B4317" w:rsidRDefault="00C356C6" w:rsidP="00E1317B">
            <w:pPr>
              <w:keepLines/>
              <w:spacing w:before="60" w:after="60"/>
              <w:rPr>
                <w:rFonts w:ascii="Arial Narrow" w:hAnsi="Arial Narrow" w:cs="Times New Roman"/>
                <w:sz w:val="18"/>
                <w:szCs w:val="16"/>
              </w:rPr>
            </w:pPr>
            <w:r w:rsidRPr="007B4317">
              <w:rPr>
                <w:rFonts w:ascii="Arial Narrow" w:hAnsi="Arial Narrow" w:cs="Times New Roman"/>
                <w:sz w:val="18"/>
                <w:szCs w:val="16"/>
              </w:rPr>
              <w:t>2106</w:t>
            </w:r>
          </w:p>
        </w:tc>
        <w:tc>
          <w:tcPr>
            <w:tcW w:w="827" w:type="dxa"/>
            <w:vAlign w:val="center"/>
          </w:tcPr>
          <w:p w14:paraId="6CA14868" w14:textId="07E30CA8" w:rsidR="00C356C6" w:rsidRPr="007B4317" w:rsidRDefault="00C356C6" w:rsidP="00E1317B">
            <w:pPr>
              <w:keepLines/>
              <w:spacing w:before="60" w:after="60"/>
              <w:rPr>
                <w:rFonts w:ascii="Arial Narrow" w:hAnsi="Arial Narrow" w:cs="Times New Roman"/>
                <w:sz w:val="18"/>
                <w:szCs w:val="16"/>
              </w:rPr>
            </w:pPr>
            <w:r w:rsidRPr="007B4317">
              <w:rPr>
                <w:rFonts w:ascii="Arial Narrow" w:hAnsi="Arial Narrow" w:cs="Times New Roman"/>
                <w:sz w:val="18"/>
                <w:szCs w:val="16"/>
              </w:rPr>
              <w:t>46</w:t>
            </w:r>
          </w:p>
        </w:tc>
      </w:tr>
      <w:tr w:rsidR="007B4317" w:rsidRPr="007B4317" w14:paraId="44ED5985" w14:textId="77777777" w:rsidTr="007B4317">
        <w:tc>
          <w:tcPr>
            <w:tcW w:w="1129" w:type="dxa"/>
            <w:vAlign w:val="center"/>
          </w:tcPr>
          <w:p w14:paraId="50017F8F" w14:textId="7D631F3A" w:rsidR="00C356C6" w:rsidRPr="007B4317" w:rsidRDefault="00C356C6" w:rsidP="00E1317B">
            <w:pPr>
              <w:keepLines/>
              <w:spacing w:before="60" w:after="60"/>
              <w:rPr>
                <w:rFonts w:ascii="Arial Narrow" w:hAnsi="Arial Narrow" w:cs="Times New Roman"/>
                <w:sz w:val="18"/>
                <w:szCs w:val="16"/>
              </w:rPr>
            </w:pPr>
            <w:r w:rsidRPr="007B4317">
              <w:rPr>
                <w:rFonts w:ascii="Arial Narrow" w:hAnsi="Arial Narrow" w:cs="Times New Roman"/>
                <w:sz w:val="18"/>
                <w:szCs w:val="16"/>
              </w:rPr>
              <w:t>18 USC 1957</w:t>
            </w:r>
          </w:p>
        </w:tc>
        <w:tc>
          <w:tcPr>
            <w:tcW w:w="993" w:type="dxa"/>
            <w:vAlign w:val="center"/>
          </w:tcPr>
          <w:p w14:paraId="64876F82" w14:textId="2C693EFB" w:rsidR="00C356C6" w:rsidRPr="007B4317" w:rsidRDefault="00C356C6" w:rsidP="00E1317B">
            <w:pPr>
              <w:keepLines/>
              <w:spacing w:before="60" w:after="60"/>
              <w:rPr>
                <w:rFonts w:ascii="Arial Narrow" w:hAnsi="Arial Narrow" w:cs="Times New Roman"/>
                <w:sz w:val="18"/>
                <w:szCs w:val="16"/>
              </w:rPr>
            </w:pPr>
            <w:r w:rsidRPr="007B4317">
              <w:rPr>
                <w:rFonts w:ascii="Arial Narrow" w:hAnsi="Arial Narrow" w:cs="Times New Roman"/>
                <w:sz w:val="18"/>
                <w:szCs w:val="16"/>
              </w:rPr>
              <w:t>1253</w:t>
            </w:r>
          </w:p>
        </w:tc>
        <w:tc>
          <w:tcPr>
            <w:tcW w:w="992" w:type="dxa"/>
            <w:vAlign w:val="center"/>
          </w:tcPr>
          <w:p w14:paraId="3ACDB0E8" w14:textId="5CA1F4A1" w:rsidR="00C356C6" w:rsidRPr="007B4317" w:rsidRDefault="00C356C6" w:rsidP="00E1317B">
            <w:pPr>
              <w:keepLines/>
              <w:spacing w:before="60" w:after="60"/>
              <w:rPr>
                <w:rFonts w:ascii="Arial Narrow" w:hAnsi="Arial Narrow" w:cs="Times New Roman"/>
                <w:sz w:val="18"/>
                <w:szCs w:val="16"/>
              </w:rPr>
            </w:pPr>
            <w:r w:rsidRPr="007B4317">
              <w:rPr>
                <w:rFonts w:ascii="Arial Narrow" w:hAnsi="Arial Narrow" w:cs="Times New Roman"/>
                <w:sz w:val="18"/>
                <w:szCs w:val="16"/>
              </w:rPr>
              <w:t>174</w:t>
            </w:r>
          </w:p>
        </w:tc>
        <w:tc>
          <w:tcPr>
            <w:tcW w:w="826" w:type="dxa"/>
            <w:vAlign w:val="center"/>
          </w:tcPr>
          <w:p w14:paraId="00089697" w14:textId="4C32AF56" w:rsidR="00C356C6" w:rsidRPr="007B4317" w:rsidRDefault="00C356C6" w:rsidP="00E1317B">
            <w:pPr>
              <w:keepLines/>
              <w:spacing w:before="60" w:after="60"/>
              <w:rPr>
                <w:rFonts w:ascii="Arial Narrow" w:hAnsi="Arial Narrow" w:cs="Times New Roman"/>
                <w:sz w:val="18"/>
                <w:szCs w:val="16"/>
              </w:rPr>
            </w:pPr>
            <w:r w:rsidRPr="007B4317">
              <w:rPr>
                <w:rFonts w:ascii="Arial Narrow" w:hAnsi="Arial Narrow" w:cs="Times New Roman"/>
                <w:sz w:val="18"/>
                <w:szCs w:val="16"/>
              </w:rPr>
              <w:t>81</w:t>
            </w:r>
          </w:p>
        </w:tc>
        <w:tc>
          <w:tcPr>
            <w:tcW w:w="827" w:type="dxa"/>
            <w:vAlign w:val="center"/>
          </w:tcPr>
          <w:p w14:paraId="6485DE51" w14:textId="4F7D50D4" w:rsidR="00C356C6" w:rsidRPr="007B4317" w:rsidRDefault="00C356C6" w:rsidP="00E1317B">
            <w:pPr>
              <w:keepLines/>
              <w:spacing w:before="60" w:after="60"/>
              <w:rPr>
                <w:rFonts w:ascii="Arial Narrow" w:hAnsi="Arial Narrow" w:cs="Times New Roman"/>
                <w:sz w:val="18"/>
                <w:szCs w:val="16"/>
              </w:rPr>
            </w:pPr>
            <w:r w:rsidRPr="007B4317">
              <w:rPr>
                <w:rFonts w:ascii="Arial Narrow" w:hAnsi="Arial Narrow" w:cs="Times New Roman"/>
                <w:sz w:val="18"/>
                <w:szCs w:val="16"/>
              </w:rPr>
              <w:t>145</w:t>
            </w:r>
          </w:p>
        </w:tc>
        <w:tc>
          <w:tcPr>
            <w:tcW w:w="827" w:type="dxa"/>
            <w:vAlign w:val="center"/>
          </w:tcPr>
          <w:p w14:paraId="7EAEC3DB" w14:textId="1592C603" w:rsidR="00C356C6" w:rsidRPr="007B4317" w:rsidRDefault="00C356C6" w:rsidP="00E1317B">
            <w:pPr>
              <w:keepLines/>
              <w:spacing w:before="60" w:after="60"/>
              <w:rPr>
                <w:rFonts w:ascii="Arial Narrow" w:hAnsi="Arial Narrow" w:cs="Times New Roman"/>
                <w:sz w:val="18"/>
                <w:szCs w:val="16"/>
              </w:rPr>
            </w:pPr>
            <w:r w:rsidRPr="007B4317">
              <w:rPr>
                <w:rFonts w:ascii="Arial Narrow" w:hAnsi="Arial Narrow" w:cs="Times New Roman"/>
                <w:sz w:val="18"/>
                <w:szCs w:val="16"/>
              </w:rPr>
              <w:t>112</w:t>
            </w:r>
          </w:p>
        </w:tc>
        <w:tc>
          <w:tcPr>
            <w:tcW w:w="827" w:type="dxa"/>
            <w:vAlign w:val="center"/>
          </w:tcPr>
          <w:p w14:paraId="119CAEC2" w14:textId="3AC31145" w:rsidR="00C356C6" w:rsidRPr="007B4317" w:rsidRDefault="00C356C6" w:rsidP="00E1317B">
            <w:pPr>
              <w:keepLines/>
              <w:spacing w:before="60" w:after="60"/>
              <w:rPr>
                <w:rFonts w:ascii="Arial Narrow" w:hAnsi="Arial Narrow" w:cs="Times New Roman"/>
                <w:sz w:val="18"/>
                <w:szCs w:val="16"/>
              </w:rPr>
            </w:pPr>
            <w:r w:rsidRPr="007B4317">
              <w:rPr>
                <w:rFonts w:ascii="Arial Narrow" w:hAnsi="Arial Narrow" w:cs="Times New Roman"/>
                <w:sz w:val="18"/>
                <w:szCs w:val="16"/>
              </w:rPr>
              <w:t>249</w:t>
            </w:r>
          </w:p>
        </w:tc>
        <w:tc>
          <w:tcPr>
            <w:tcW w:w="827" w:type="dxa"/>
            <w:vAlign w:val="center"/>
          </w:tcPr>
          <w:p w14:paraId="42E9083E" w14:textId="687A5609" w:rsidR="00C356C6" w:rsidRPr="007B4317" w:rsidRDefault="00C356C6" w:rsidP="00E1317B">
            <w:pPr>
              <w:keepLines/>
              <w:spacing w:before="60" w:after="60"/>
              <w:rPr>
                <w:rFonts w:ascii="Arial Narrow" w:hAnsi="Arial Narrow" w:cs="Times New Roman"/>
                <w:sz w:val="18"/>
                <w:szCs w:val="16"/>
              </w:rPr>
            </w:pPr>
            <w:r w:rsidRPr="007B4317">
              <w:rPr>
                <w:rFonts w:ascii="Arial Narrow" w:hAnsi="Arial Narrow" w:cs="Times New Roman"/>
                <w:sz w:val="18"/>
                <w:szCs w:val="16"/>
              </w:rPr>
              <w:t>486</w:t>
            </w:r>
          </w:p>
        </w:tc>
        <w:tc>
          <w:tcPr>
            <w:tcW w:w="827" w:type="dxa"/>
            <w:vAlign w:val="center"/>
          </w:tcPr>
          <w:p w14:paraId="00EDFC1B" w14:textId="38438C88" w:rsidR="00C356C6" w:rsidRPr="007B4317" w:rsidRDefault="00C356C6" w:rsidP="00E1317B">
            <w:pPr>
              <w:keepLines/>
              <w:spacing w:before="60" w:after="60"/>
              <w:rPr>
                <w:rFonts w:ascii="Arial Narrow" w:hAnsi="Arial Narrow" w:cs="Times New Roman"/>
                <w:sz w:val="18"/>
                <w:szCs w:val="16"/>
              </w:rPr>
            </w:pPr>
            <w:r w:rsidRPr="007B4317">
              <w:rPr>
                <w:rFonts w:ascii="Arial Narrow" w:hAnsi="Arial Narrow" w:cs="Times New Roman"/>
                <w:sz w:val="18"/>
                <w:szCs w:val="16"/>
              </w:rPr>
              <w:t>6</w:t>
            </w:r>
          </w:p>
        </w:tc>
      </w:tr>
    </w:tbl>
    <w:tbl>
      <w:tblPr>
        <w:tblStyle w:val="TableGrid"/>
        <w:tblpPr w:leftFromText="180" w:rightFromText="180" w:vertAnchor="text" w:horzAnchor="margin" w:tblpY="544"/>
        <w:tblOverlap w:val="never"/>
        <w:tblW w:w="0" w:type="auto"/>
        <w:tblCellMar>
          <w:top w:w="284" w:type="dxa"/>
          <w:left w:w="284" w:type="dxa"/>
          <w:bottom w:w="284" w:type="dxa"/>
          <w:right w:w="284" w:type="dxa"/>
        </w:tblCellMar>
        <w:tblLook w:val="04A0" w:firstRow="1" w:lastRow="0" w:firstColumn="1" w:lastColumn="0" w:noHBand="0" w:noVBand="1"/>
      </w:tblPr>
      <w:tblGrid>
        <w:gridCol w:w="8070"/>
      </w:tblGrid>
      <w:tr w:rsidR="000618B6" w:rsidRPr="000605BC" w14:paraId="28BFDE22" w14:textId="77777777" w:rsidTr="000618B6">
        <w:tc>
          <w:tcPr>
            <w:tcW w:w="9350" w:type="dxa"/>
          </w:tcPr>
          <w:p w14:paraId="0AE6097C" w14:textId="77777777" w:rsidR="000618B6" w:rsidRPr="000605BC" w:rsidRDefault="000618B6" w:rsidP="00600712">
            <w:pPr>
              <w:tabs>
                <w:tab w:val="left" w:pos="851"/>
              </w:tabs>
              <w:autoSpaceDE w:val="0"/>
              <w:autoSpaceDN w:val="0"/>
              <w:adjustRightInd w:val="0"/>
              <w:spacing w:before="0" w:after="120"/>
              <w:rPr>
                <w:rFonts w:eastAsiaTheme="minorEastAsia" w:cs="Times New Roman"/>
                <w:b/>
                <w:bCs/>
                <w:sz w:val="20"/>
                <w:lang w:val="en-US" w:eastAsia="ja-JP"/>
              </w:rPr>
            </w:pPr>
            <w:r w:rsidRPr="000605BC">
              <w:rPr>
                <w:rFonts w:eastAsiaTheme="minorEastAsia" w:cs="Times New Roman"/>
                <w:b/>
                <w:bCs/>
                <w:sz w:val="20"/>
                <w:lang w:val="en-US" w:eastAsia="ja-JP"/>
              </w:rPr>
              <w:t>Further Reading</w:t>
            </w:r>
          </w:p>
          <w:p w14:paraId="36068369" w14:textId="77777777" w:rsidR="000618B6" w:rsidRPr="000605BC" w:rsidRDefault="000618B6" w:rsidP="00600712">
            <w:pPr>
              <w:tabs>
                <w:tab w:val="left" w:pos="851"/>
              </w:tabs>
              <w:autoSpaceDE w:val="0"/>
              <w:autoSpaceDN w:val="0"/>
              <w:adjustRightInd w:val="0"/>
              <w:spacing w:before="120" w:after="120"/>
              <w:rPr>
                <w:rFonts w:cs="Times New Roman"/>
                <w:sz w:val="20"/>
              </w:rPr>
            </w:pPr>
            <w:r w:rsidRPr="000605BC">
              <w:rPr>
                <w:rFonts w:eastAsiaTheme="minorEastAsia" w:cs="Times New Roman"/>
                <w:bCs/>
                <w:sz w:val="20"/>
                <w:lang w:val="en-US" w:eastAsia="ja-JP"/>
              </w:rPr>
              <w:t xml:space="preserve">For lawyers prosecuting or defending money laundering charges, the above provisions raise a host of issues. For a detailed analysis of the US money laundering provisions, including elements of the offences, possible defenses and sanctions, see </w:t>
            </w:r>
            <w:r w:rsidRPr="000605BC">
              <w:rPr>
                <w:rFonts w:cs="Times New Roman"/>
                <w:sz w:val="20"/>
              </w:rPr>
              <w:t xml:space="preserve">Carolyn Hart, “Money Laundering” (Fall 2014) 51 Am </w:t>
            </w:r>
            <w:proofErr w:type="spellStart"/>
            <w:r w:rsidRPr="000605BC">
              <w:rPr>
                <w:rFonts w:cs="Times New Roman"/>
                <w:sz w:val="20"/>
              </w:rPr>
              <w:t>Crim</w:t>
            </w:r>
            <w:proofErr w:type="spellEnd"/>
            <w:r w:rsidRPr="000605BC">
              <w:rPr>
                <w:rFonts w:cs="Times New Roman"/>
                <w:sz w:val="20"/>
              </w:rPr>
              <w:t xml:space="preserve"> L Rev 1449. </w:t>
            </w:r>
          </w:p>
          <w:p w14:paraId="32EC27CE" w14:textId="77777777" w:rsidR="000618B6" w:rsidRPr="000605BC" w:rsidRDefault="000618B6" w:rsidP="00600712">
            <w:pPr>
              <w:tabs>
                <w:tab w:val="left" w:pos="851"/>
              </w:tabs>
              <w:autoSpaceDE w:val="0"/>
              <w:autoSpaceDN w:val="0"/>
              <w:adjustRightInd w:val="0"/>
              <w:spacing w:before="120" w:after="0"/>
              <w:rPr>
                <w:rFonts w:eastAsia="Times New Roman" w:cs="Times New Roman"/>
                <w:color w:val="333333"/>
                <w:sz w:val="20"/>
                <w:lang w:val="en-US"/>
              </w:rPr>
            </w:pPr>
            <w:r w:rsidRPr="000605BC">
              <w:rPr>
                <w:rFonts w:eastAsia="Times New Roman" w:cs="Times New Roman"/>
                <w:sz w:val="20"/>
                <w:lang w:val="en-US"/>
              </w:rPr>
              <w:t xml:space="preserve">Charles Doyle, “Money </w:t>
            </w:r>
            <w:r w:rsidRPr="000605BC">
              <w:rPr>
                <w:rFonts w:eastAsia="Times New Roman" w:cs="Times New Roman"/>
                <w:color w:val="000000" w:themeColor="text1"/>
                <w:sz w:val="20"/>
                <w:lang w:val="en-US"/>
              </w:rPr>
              <w:t>Laundering: An Overview of 18 U.S.C. 1956 and Related Federal Criminal Law” (Congressional Research Service, 2012), online: &lt;</w:t>
            </w:r>
            <w:hyperlink r:id="rId12" w:history="1">
              <w:r w:rsidRPr="000605BC">
                <w:rPr>
                  <w:rStyle w:val="Hyperlink"/>
                  <w:rFonts w:eastAsia="Times New Roman" w:cs="Times New Roman"/>
                  <w:sz w:val="20"/>
                  <w:lang w:val="en-US"/>
                </w:rPr>
                <w:t>www.crs.gov</w:t>
              </w:r>
            </w:hyperlink>
            <w:r w:rsidRPr="000605BC">
              <w:rPr>
                <w:rFonts w:eastAsia="Times New Roman" w:cs="Times New Roman"/>
                <w:color w:val="000000" w:themeColor="text1"/>
                <w:sz w:val="20"/>
                <w:lang w:val="en-US"/>
              </w:rPr>
              <w:t xml:space="preserve">&gt;; </w:t>
            </w:r>
            <w:r w:rsidRPr="000605BC">
              <w:rPr>
                <w:rFonts w:eastAsia="Times New Roman" w:cs="Times New Roman"/>
                <w:i/>
                <w:color w:val="000000" w:themeColor="text1"/>
                <w:sz w:val="20"/>
                <w:lang w:val="en-US"/>
              </w:rPr>
              <w:t>United States Code Annotated</w:t>
            </w:r>
            <w:r w:rsidRPr="000605BC">
              <w:rPr>
                <w:rFonts w:eastAsia="Times New Roman" w:cs="Times New Roman"/>
                <w:color w:val="000000" w:themeColor="text1"/>
                <w:sz w:val="20"/>
                <w:lang w:val="en-US"/>
              </w:rPr>
              <w:t>, Title 18, ss1956 and 1957.</w:t>
            </w:r>
          </w:p>
        </w:tc>
      </w:tr>
    </w:tbl>
    <w:p w14:paraId="4B40E436" w14:textId="7B92A253" w:rsidR="00061399" w:rsidRPr="000605BC" w:rsidRDefault="00945BE4" w:rsidP="000618B6">
      <w:pPr>
        <w:keepLines/>
        <w:spacing w:before="120"/>
        <w:rPr>
          <w:rFonts w:cs="Times New Roman"/>
          <w:sz w:val="18"/>
        </w:rPr>
      </w:pPr>
      <w:r w:rsidRPr="000605BC">
        <w:rPr>
          <w:rFonts w:cs="Times New Roman"/>
          <w:noProof/>
          <w:sz w:val="18"/>
          <w:lang w:eastAsia="en-CA"/>
        </w:rPr>
        <w:t xml:space="preserve">Source: </w:t>
      </w:r>
      <w:r w:rsidR="00061399" w:rsidRPr="000605BC">
        <w:rPr>
          <w:rFonts w:cs="Times New Roman"/>
          <w:noProof/>
          <w:sz w:val="18"/>
          <w:lang w:eastAsia="en-CA"/>
        </w:rPr>
        <w:t>U</w:t>
      </w:r>
      <w:r w:rsidR="007D5CFC" w:rsidRPr="000605BC">
        <w:rPr>
          <w:rFonts w:cs="Times New Roman"/>
          <w:noProof/>
          <w:sz w:val="18"/>
          <w:lang w:eastAsia="en-CA"/>
        </w:rPr>
        <w:t xml:space="preserve">S </w:t>
      </w:r>
      <w:r w:rsidR="00107534" w:rsidRPr="000605BC">
        <w:rPr>
          <w:rFonts w:cs="Times New Roman"/>
          <w:noProof/>
          <w:sz w:val="18"/>
          <w:lang w:eastAsia="en-CA"/>
        </w:rPr>
        <w:t>Mutual</w:t>
      </w:r>
      <w:r w:rsidR="00061399" w:rsidRPr="000605BC">
        <w:rPr>
          <w:rFonts w:cs="Times New Roman"/>
          <w:noProof/>
          <w:sz w:val="18"/>
          <w:lang w:eastAsia="en-CA"/>
        </w:rPr>
        <w:t xml:space="preserve"> Evaluation Report (</w:t>
      </w:r>
      <w:r w:rsidR="007D5CFC" w:rsidRPr="000605BC">
        <w:rPr>
          <w:rFonts w:cs="Times New Roman"/>
          <w:noProof/>
          <w:sz w:val="18"/>
          <w:lang w:eastAsia="en-CA"/>
        </w:rPr>
        <w:t xml:space="preserve">FATF, </w:t>
      </w:r>
      <w:r w:rsidR="00061399" w:rsidRPr="000605BC">
        <w:rPr>
          <w:rFonts w:cs="Times New Roman"/>
          <w:noProof/>
          <w:sz w:val="18"/>
          <w:lang w:eastAsia="en-CA"/>
        </w:rPr>
        <w:t>2016) at 74</w:t>
      </w:r>
      <w:r w:rsidR="00061399" w:rsidRPr="000605BC">
        <w:rPr>
          <w:rFonts w:cs="Times New Roman"/>
          <w:noProof/>
          <w:color w:val="000000"/>
          <w:sz w:val="18"/>
          <w:lang w:eastAsia="en-CA"/>
        </w:rPr>
        <w:t xml:space="preserve">. </w:t>
      </w:r>
    </w:p>
    <w:p w14:paraId="2995A9DF" w14:textId="579FCD75" w:rsidR="002E6B93" w:rsidRPr="000605BC" w:rsidRDefault="002E6B93" w:rsidP="00054C01">
      <w:pPr>
        <w:pStyle w:val="Heading3"/>
        <w:spacing w:before="480"/>
        <w:rPr>
          <w:sz w:val="22"/>
          <w:lang w:val="en-US" w:eastAsia="ja-JP"/>
        </w:rPr>
      </w:pPr>
      <w:bookmarkStart w:id="80" w:name="_Toc287093745"/>
      <w:bookmarkStart w:id="81" w:name="_Toc419901563"/>
      <w:r w:rsidRPr="000605BC">
        <w:rPr>
          <w:sz w:val="22"/>
          <w:lang w:val="en-US" w:eastAsia="ja-JP"/>
        </w:rPr>
        <w:t>UK</w:t>
      </w:r>
      <w:bookmarkEnd w:id="80"/>
      <w:bookmarkEnd w:id="81"/>
    </w:p>
    <w:p w14:paraId="221E8ADC" w14:textId="15608F3F" w:rsidR="002E6B93" w:rsidRPr="000605BC" w:rsidRDefault="002E6B93" w:rsidP="00916A81">
      <w:pPr>
        <w:autoSpaceDE w:val="0"/>
        <w:autoSpaceDN w:val="0"/>
        <w:adjustRightInd w:val="0"/>
        <w:rPr>
          <w:rFonts w:eastAsiaTheme="minorEastAsia" w:cs="Times New Roman"/>
          <w:bCs/>
          <w:sz w:val="20"/>
          <w:lang w:val="en-US" w:eastAsia="ja-JP"/>
        </w:rPr>
      </w:pPr>
      <w:r w:rsidRPr="000605BC">
        <w:rPr>
          <w:rFonts w:eastAsiaTheme="minorEastAsia" w:cs="Times New Roman"/>
          <w:bCs/>
          <w:sz w:val="20"/>
          <w:lang w:val="en-US" w:eastAsia="ja-JP"/>
        </w:rPr>
        <w:t xml:space="preserve">In the UK, money laundering is criminalized by sections 327-329 of the </w:t>
      </w:r>
      <w:r w:rsidRPr="000605BC">
        <w:rPr>
          <w:rFonts w:eastAsiaTheme="minorEastAsia" w:cs="Times New Roman"/>
          <w:bCs/>
          <w:i/>
          <w:sz w:val="20"/>
          <w:lang w:val="en-US" w:eastAsia="ja-JP"/>
        </w:rPr>
        <w:t>Proceeds of Crime Act</w:t>
      </w:r>
      <w:r w:rsidRPr="000605BC">
        <w:rPr>
          <w:rFonts w:eastAsiaTheme="minorEastAsia" w:cs="Times New Roman"/>
          <w:bCs/>
          <w:sz w:val="20"/>
          <w:lang w:val="en-US" w:eastAsia="ja-JP"/>
        </w:rPr>
        <w:t xml:space="preserve">, </w:t>
      </w:r>
      <w:r w:rsidRPr="000605BC">
        <w:rPr>
          <w:rFonts w:eastAsiaTheme="minorEastAsia" w:cs="Times New Roman"/>
          <w:bCs/>
          <w:i/>
          <w:sz w:val="20"/>
          <w:lang w:val="en-US" w:eastAsia="ja-JP"/>
        </w:rPr>
        <w:t>2002</w:t>
      </w:r>
      <w:r w:rsidR="006A52E0" w:rsidRPr="000605BC">
        <w:rPr>
          <w:rFonts w:eastAsiaTheme="minorEastAsia" w:cs="Times New Roman"/>
          <w:bCs/>
          <w:sz w:val="20"/>
          <w:lang w:val="en-US" w:eastAsia="ja-JP"/>
        </w:rPr>
        <w:t xml:space="preserve"> (</w:t>
      </w:r>
      <w:r w:rsidR="00640760" w:rsidRPr="000605BC">
        <w:rPr>
          <w:rFonts w:eastAsiaTheme="minorEastAsia" w:cs="Times New Roman"/>
          <w:bCs/>
          <w:i/>
          <w:sz w:val="20"/>
          <w:lang w:val="en-US" w:eastAsia="ja-JP"/>
        </w:rPr>
        <w:t>POCA</w:t>
      </w:r>
      <w:r w:rsidR="006A52E0" w:rsidRPr="000605BC">
        <w:rPr>
          <w:rFonts w:eastAsiaTheme="minorEastAsia" w:cs="Times New Roman"/>
          <w:bCs/>
          <w:sz w:val="20"/>
          <w:lang w:val="en-US" w:eastAsia="ja-JP"/>
        </w:rPr>
        <w:t>)</w:t>
      </w:r>
      <w:r w:rsidR="00640760" w:rsidRPr="000605BC">
        <w:rPr>
          <w:rFonts w:eastAsiaTheme="minorEastAsia" w:cs="Times New Roman"/>
          <w:bCs/>
          <w:sz w:val="20"/>
          <w:lang w:val="en-US" w:eastAsia="ja-JP"/>
        </w:rPr>
        <w:t>.</w:t>
      </w:r>
      <w:r w:rsidR="002822D1" w:rsidRPr="000605BC">
        <w:rPr>
          <w:rFonts w:eastAsiaTheme="minorEastAsia" w:cs="Times New Roman"/>
          <w:bCs/>
          <w:sz w:val="20"/>
          <w:lang w:val="en-US" w:eastAsia="ja-JP"/>
        </w:rPr>
        <w:t xml:space="preserve"> </w:t>
      </w:r>
      <w:r w:rsidR="00640760" w:rsidRPr="000605BC">
        <w:rPr>
          <w:rFonts w:eastAsiaTheme="minorEastAsia" w:cs="Times New Roman"/>
          <w:bCs/>
          <w:sz w:val="20"/>
          <w:lang w:val="en-US" w:eastAsia="ja-JP"/>
        </w:rPr>
        <w:t>Those provisions provide as follows</w:t>
      </w:r>
      <w:r w:rsidRPr="000605BC">
        <w:rPr>
          <w:rFonts w:eastAsiaTheme="minorEastAsia" w:cs="Times New Roman"/>
          <w:bCs/>
          <w:sz w:val="20"/>
          <w:lang w:val="en-US" w:eastAsia="ja-JP"/>
        </w:rPr>
        <w:t>:</w:t>
      </w:r>
    </w:p>
    <w:p w14:paraId="474F42DE" w14:textId="77777777" w:rsidR="002E6B93" w:rsidRPr="000605BC" w:rsidRDefault="002E6B93" w:rsidP="009A170F">
      <w:pPr>
        <w:pStyle w:val="BlockQuote"/>
        <w:keepNext/>
        <w:rPr>
          <w:sz w:val="20"/>
          <w:lang w:val="en-US" w:eastAsia="ja-JP"/>
        </w:rPr>
      </w:pPr>
      <w:r w:rsidRPr="000605BC">
        <w:rPr>
          <w:sz w:val="20"/>
          <w:lang w:val="en-US" w:eastAsia="ja-JP"/>
        </w:rPr>
        <w:t xml:space="preserve">327 Concealing </w:t>
      </w:r>
      <w:proofErr w:type="spellStart"/>
      <w:r w:rsidRPr="000605BC">
        <w:rPr>
          <w:sz w:val="20"/>
          <w:lang w:val="en-US" w:eastAsia="ja-JP"/>
        </w:rPr>
        <w:t>etc</w:t>
      </w:r>
      <w:proofErr w:type="spellEnd"/>
    </w:p>
    <w:p w14:paraId="46C529DF" w14:textId="538C6864" w:rsidR="002E6B93" w:rsidRPr="000605BC" w:rsidRDefault="002E6B93" w:rsidP="00696D88">
      <w:pPr>
        <w:pStyle w:val="BlockQuote"/>
        <w:numPr>
          <w:ilvl w:val="0"/>
          <w:numId w:val="13"/>
        </w:numPr>
        <w:spacing w:before="60" w:after="0"/>
        <w:jc w:val="left"/>
        <w:rPr>
          <w:sz w:val="20"/>
          <w:lang w:val="en-US" w:eastAsia="ja-JP"/>
        </w:rPr>
      </w:pPr>
      <w:r w:rsidRPr="000605BC">
        <w:rPr>
          <w:sz w:val="20"/>
          <w:lang w:val="en-US" w:eastAsia="ja-JP"/>
        </w:rPr>
        <w:t>A person commits an offence if he—</w:t>
      </w:r>
    </w:p>
    <w:p w14:paraId="15FD1094" w14:textId="77777777" w:rsidR="000E36F3" w:rsidRPr="000605BC" w:rsidRDefault="002E6B93" w:rsidP="00696D88">
      <w:pPr>
        <w:pStyle w:val="BlockQuote"/>
        <w:numPr>
          <w:ilvl w:val="0"/>
          <w:numId w:val="14"/>
        </w:numPr>
        <w:spacing w:before="60" w:after="0"/>
        <w:jc w:val="left"/>
        <w:rPr>
          <w:sz w:val="20"/>
          <w:lang w:val="en-US" w:eastAsia="ja-JP"/>
        </w:rPr>
      </w:pPr>
      <w:proofErr w:type="gramStart"/>
      <w:r w:rsidRPr="000605BC">
        <w:rPr>
          <w:sz w:val="20"/>
          <w:lang w:val="en-US" w:eastAsia="ja-JP"/>
        </w:rPr>
        <w:t>conceals</w:t>
      </w:r>
      <w:proofErr w:type="gramEnd"/>
      <w:r w:rsidRPr="000605BC">
        <w:rPr>
          <w:sz w:val="20"/>
          <w:lang w:val="en-US" w:eastAsia="ja-JP"/>
        </w:rPr>
        <w:t xml:space="preserve"> criminal property;</w:t>
      </w:r>
    </w:p>
    <w:p w14:paraId="29AD92B1" w14:textId="77777777" w:rsidR="000E36F3" w:rsidRPr="000605BC" w:rsidRDefault="002E6B93" w:rsidP="00696D88">
      <w:pPr>
        <w:pStyle w:val="BlockQuote"/>
        <w:numPr>
          <w:ilvl w:val="0"/>
          <w:numId w:val="14"/>
        </w:numPr>
        <w:spacing w:before="60" w:after="0"/>
        <w:jc w:val="left"/>
        <w:rPr>
          <w:sz w:val="20"/>
          <w:lang w:val="en-US" w:eastAsia="ja-JP"/>
        </w:rPr>
      </w:pPr>
      <w:r w:rsidRPr="000605BC">
        <w:rPr>
          <w:sz w:val="20"/>
          <w:lang w:val="en-US" w:eastAsia="ja-JP"/>
        </w:rPr>
        <w:t>disguises criminal property;</w:t>
      </w:r>
    </w:p>
    <w:p w14:paraId="764D87C7" w14:textId="77777777" w:rsidR="000E36F3" w:rsidRPr="000605BC" w:rsidRDefault="002E6B93" w:rsidP="00696D88">
      <w:pPr>
        <w:pStyle w:val="BlockQuote"/>
        <w:numPr>
          <w:ilvl w:val="0"/>
          <w:numId w:val="14"/>
        </w:numPr>
        <w:spacing w:before="60" w:after="0"/>
        <w:jc w:val="left"/>
        <w:rPr>
          <w:sz w:val="20"/>
          <w:lang w:val="en-US" w:eastAsia="ja-JP"/>
        </w:rPr>
      </w:pPr>
      <w:r w:rsidRPr="000605BC">
        <w:rPr>
          <w:sz w:val="20"/>
          <w:lang w:val="en-US" w:eastAsia="ja-JP"/>
        </w:rPr>
        <w:t>converts criminal property;</w:t>
      </w:r>
    </w:p>
    <w:p w14:paraId="2AB56342" w14:textId="77777777" w:rsidR="000E36F3" w:rsidRPr="000605BC" w:rsidRDefault="002E6B93" w:rsidP="00696D88">
      <w:pPr>
        <w:pStyle w:val="BlockQuote"/>
        <w:numPr>
          <w:ilvl w:val="0"/>
          <w:numId w:val="14"/>
        </w:numPr>
        <w:spacing w:before="60" w:after="0"/>
        <w:jc w:val="left"/>
        <w:rPr>
          <w:sz w:val="20"/>
          <w:lang w:val="en-US" w:eastAsia="ja-JP"/>
        </w:rPr>
      </w:pPr>
      <w:r w:rsidRPr="000605BC">
        <w:rPr>
          <w:sz w:val="20"/>
          <w:lang w:val="en-US" w:eastAsia="ja-JP"/>
        </w:rPr>
        <w:t>transfers criminal property;</w:t>
      </w:r>
    </w:p>
    <w:p w14:paraId="1E720F06" w14:textId="0BAD9F77" w:rsidR="002E6B93" w:rsidRPr="000605BC" w:rsidRDefault="00640760" w:rsidP="00696D88">
      <w:pPr>
        <w:pStyle w:val="BlockQuote"/>
        <w:numPr>
          <w:ilvl w:val="0"/>
          <w:numId w:val="14"/>
        </w:numPr>
        <w:spacing w:before="60" w:after="0"/>
        <w:jc w:val="left"/>
        <w:rPr>
          <w:sz w:val="20"/>
          <w:lang w:val="en-US" w:eastAsia="ja-JP"/>
        </w:rPr>
      </w:pPr>
      <w:proofErr w:type="gramStart"/>
      <w:r w:rsidRPr="000605BC">
        <w:rPr>
          <w:sz w:val="20"/>
          <w:lang w:val="en-US" w:eastAsia="ja-JP"/>
        </w:rPr>
        <w:t>r</w:t>
      </w:r>
      <w:r w:rsidR="002E6B93" w:rsidRPr="000605BC">
        <w:rPr>
          <w:sz w:val="20"/>
          <w:lang w:val="en-US" w:eastAsia="ja-JP"/>
        </w:rPr>
        <w:t>emoves</w:t>
      </w:r>
      <w:proofErr w:type="gramEnd"/>
      <w:r w:rsidR="002E6B93" w:rsidRPr="000605BC">
        <w:rPr>
          <w:sz w:val="20"/>
          <w:lang w:val="en-US" w:eastAsia="ja-JP"/>
        </w:rPr>
        <w:t xml:space="preserve"> criminal property from England and Wales or from Scotland or from Northern Ireland.</w:t>
      </w:r>
    </w:p>
    <w:p w14:paraId="18B7204A" w14:textId="77777777" w:rsidR="002E6B93" w:rsidRPr="000605BC" w:rsidRDefault="002E6B93" w:rsidP="00696D88">
      <w:pPr>
        <w:pStyle w:val="BlockQuote"/>
        <w:keepNext/>
        <w:numPr>
          <w:ilvl w:val="0"/>
          <w:numId w:val="13"/>
        </w:numPr>
        <w:spacing w:before="60" w:after="0"/>
        <w:ind w:left="1434" w:hanging="357"/>
        <w:jc w:val="left"/>
        <w:rPr>
          <w:sz w:val="20"/>
          <w:lang w:val="en-US" w:eastAsia="ja-JP"/>
        </w:rPr>
      </w:pPr>
      <w:r w:rsidRPr="000605BC">
        <w:rPr>
          <w:sz w:val="20"/>
          <w:lang w:val="en-US" w:eastAsia="ja-JP"/>
        </w:rPr>
        <w:t>But a person does not commit such an offence if—</w:t>
      </w:r>
    </w:p>
    <w:p w14:paraId="445E78D2" w14:textId="3C47F943" w:rsidR="002E6B93" w:rsidRPr="000605BC" w:rsidRDefault="002E6B93" w:rsidP="00696D88">
      <w:pPr>
        <w:pStyle w:val="BlockQuote"/>
        <w:numPr>
          <w:ilvl w:val="0"/>
          <w:numId w:val="15"/>
        </w:numPr>
        <w:spacing w:before="60" w:after="0"/>
        <w:jc w:val="left"/>
        <w:rPr>
          <w:sz w:val="20"/>
          <w:lang w:val="en-US" w:eastAsia="ja-JP"/>
        </w:rPr>
      </w:pPr>
      <w:r w:rsidRPr="000605BC">
        <w:rPr>
          <w:sz w:val="20"/>
          <w:lang w:val="en-US" w:eastAsia="ja-JP"/>
        </w:rPr>
        <w:t xml:space="preserve">he makes an </w:t>
      </w:r>
      <w:proofErr w:type="spellStart"/>
      <w:r w:rsidRPr="000605BC">
        <w:rPr>
          <w:sz w:val="20"/>
          <w:lang w:val="en-US" w:eastAsia="ja-JP"/>
        </w:rPr>
        <w:t>authorised</w:t>
      </w:r>
      <w:proofErr w:type="spellEnd"/>
      <w:r w:rsidRPr="000605BC">
        <w:rPr>
          <w:sz w:val="20"/>
          <w:lang w:val="en-US" w:eastAsia="ja-JP"/>
        </w:rPr>
        <w:t xml:space="preserve"> disclosure under section 338 and (if the disclosure is made before he does the act mentioned in subsection (1)) he has the appropriate consent; </w:t>
      </w:r>
    </w:p>
    <w:p w14:paraId="774DE421" w14:textId="30325D27" w:rsidR="002E6B93" w:rsidRPr="000605BC" w:rsidRDefault="002E6B93" w:rsidP="00696D88">
      <w:pPr>
        <w:pStyle w:val="BlockQuote"/>
        <w:numPr>
          <w:ilvl w:val="0"/>
          <w:numId w:val="15"/>
        </w:numPr>
        <w:spacing w:before="60" w:after="0"/>
        <w:jc w:val="left"/>
        <w:rPr>
          <w:sz w:val="20"/>
          <w:lang w:val="en-US" w:eastAsia="ja-JP"/>
        </w:rPr>
      </w:pPr>
      <w:r w:rsidRPr="000605BC">
        <w:rPr>
          <w:sz w:val="20"/>
          <w:lang w:val="en-US" w:eastAsia="ja-JP"/>
        </w:rPr>
        <w:t xml:space="preserve">he intended to make such a disclosure but had a reasonable excuse for not doing so; </w:t>
      </w:r>
    </w:p>
    <w:p w14:paraId="0235D003" w14:textId="172C6488" w:rsidR="002E6B93" w:rsidRPr="000605BC" w:rsidRDefault="002E6B93" w:rsidP="00696D88">
      <w:pPr>
        <w:pStyle w:val="BlockQuote"/>
        <w:numPr>
          <w:ilvl w:val="0"/>
          <w:numId w:val="15"/>
        </w:numPr>
        <w:spacing w:before="60" w:after="0"/>
        <w:jc w:val="left"/>
        <w:rPr>
          <w:sz w:val="20"/>
          <w:lang w:val="en-US" w:eastAsia="ja-JP"/>
        </w:rPr>
      </w:pPr>
      <w:proofErr w:type="gramStart"/>
      <w:r w:rsidRPr="000605BC">
        <w:rPr>
          <w:sz w:val="20"/>
          <w:lang w:val="en-US" w:eastAsia="ja-JP"/>
        </w:rPr>
        <w:t>the</w:t>
      </w:r>
      <w:proofErr w:type="gramEnd"/>
      <w:r w:rsidRPr="000605BC">
        <w:rPr>
          <w:sz w:val="20"/>
          <w:lang w:val="en-US" w:eastAsia="ja-JP"/>
        </w:rPr>
        <w:t xml:space="preserve"> act he does is done in carrying out a function he has relating to the enforcement of any provision of this Act or of any other enactment relating to criminal conduct or benefit from criminal conduct. </w:t>
      </w:r>
    </w:p>
    <w:p w14:paraId="6579A6AE" w14:textId="77777777" w:rsidR="002E6B93" w:rsidRPr="000605BC" w:rsidRDefault="002E6B93" w:rsidP="00696D88">
      <w:pPr>
        <w:pStyle w:val="ListParagraph"/>
        <w:numPr>
          <w:ilvl w:val="0"/>
          <w:numId w:val="13"/>
        </w:numPr>
        <w:autoSpaceDE w:val="0"/>
        <w:autoSpaceDN w:val="0"/>
        <w:adjustRightInd w:val="0"/>
        <w:ind w:right="851"/>
        <w:rPr>
          <w:rFonts w:cs="Times New Roman"/>
          <w:sz w:val="20"/>
          <w:szCs w:val="21"/>
          <w:lang w:eastAsia="ja-JP"/>
        </w:rPr>
      </w:pPr>
      <w:r w:rsidRPr="000605BC">
        <w:rPr>
          <w:rFonts w:cs="Times New Roman"/>
          <w:sz w:val="20"/>
          <w:szCs w:val="21"/>
          <w:lang w:eastAsia="ja-JP"/>
        </w:rPr>
        <w:t>Concealing or disguising criminal property includes concealing or disguising its nature, source, location, disposition, movement or ownership or any rights with respect to it.</w:t>
      </w:r>
    </w:p>
    <w:p w14:paraId="170D57E8" w14:textId="77777777" w:rsidR="002E6B93" w:rsidRPr="000605BC" w:rsidRDefault="002E6B93" w:rsidP="006B08AB">
      <w:pPr>
        <w:pStyle w:val="BlockQuote"/>
        <w:keepNext/>
        <w:rPr>
          <w:sz w:val="20"/>
          <w:lang w:val="en-US" w:eastAsia="ja-JP"/>
        </w:rPr>
      </w:pPr>
      <w:r w:rsidRPr="000605BC">
        <w:rPr>
          <w:sz w:val="20"/>
          <w:lang w:val="en-US" w:eastAsia="ja-JP"/>
        </w:rPr>
        <w:t>328 Arrangements</w:t>
      </w:r>
    </w:p>
    <w:p w14:paraId="75F221BD" w14:textId="77777777" w:rsidR="002E6B93" w:rsidRPr="000605BC" w:rsidRDefault="002E6B93" w:rsidP="00696D88">
      <w:pPr>
        <w:pStyle w:val="BlockQuote"/>
        <w:numPr>
          <w:ilvl w:val="0"/>
          <w:numId w:val="16"/>
        </w:numPr>
        <w:spacing w:before="60" w:after="0"/>
        <w:jc w:val="left"/>
        <w:rPr>
          <w:sz w:val="20"/>
          <w:lang w:val="en-US" w:eastAsia="ja-JP"/>
        </w:rPr>
      </w:pPr>
      <w:r w:rsidRPr="000605BC">
        <w:rPr>
          <w:sz w:val="20"/>
          <w:lang w:val="en-US" w:eastAsia="ja-JP"/>
        </w:rPr>
        <w:t>A person commits an offence if he enters into or becomes concerned in an arrangement which he knows or suspects facilitates (by whatever means) the acquisition, retention, use or control of criminal property by or on behalf of another person.</w:t>
      </w:r>
    </w:p>
    <w:p w14:paraId="65055448" w14:textId="77777777" w:rsidR="002E6B93" w:rsidRPr="000605BC" w:rsidRDefault="002E6B93" w:rsidP="00696D88">
      <w:pPr>
        <w:pStyle w:val="BlockQuote"/>
        <w:numPr>
          <w:ilvl w:val="0"/>
          <w:numId w:val="16"/>
        </w:numPr>
        <w:spacing w:before="60" w:after="0"/>
        <w:jc w:val="left"/>
        <w:rPr>
          <w:sz w:val="20"/>
          <w:lang w:val="en-US" w:eastAsia="ja-JP"/>
        </w:rPr>
      </w:pPr>
      <w:r w:rsidRPr="000605BC">
        <w:rPr>
          <w:sz w:val="20"/>
          <w:lang w:val="en-US" w:eastAsia="ja-JP"/>
        </w:rPr>
        <w:t>But a person does not commit such an offence if—</w:t>
      </w:r>
    </w:p>
    <w:p w14:paraId="187F3B7B" w14:textId="0F9264FF" w:rsidR="002E6B93" w:rsidRPr="000605BC" w:rsidRDefault="002E6B93" w:rsidP="00696D88">
      <w:pPr>
        <w:pStyle w:val="BlockQuote"/>
        <w:numPr>
          <w:ilvl w:val="0"/>
          <w:numId w:val="17"/>
        </w:numPr>
        <w:spacing w:before="60" w:after="0"/>
        <w:jc w:val="left"/>
        <w:rPr>
          <w:sz w:val="20"/>
          <w:lang w:val="en-US" w:eastAsia="ja-JP"/>
        </w:rPr>
      </w:pPr>
      <w:r w:rsidRPr="000605BC">
        <w:rPr>
          <w:sz w:val="20"/>
          <w:lang w:val="en-US" w:eastAsia="ja-JP"/>
        </w:rPr>
        <w:t xml:space="preserve">he makes an </w:t>
      </w:r>
      <w:proofErr w:type="spellStart"/>
      <w:r w:rsidRPr="000605BC">
        <w:rPr>
          <w:sz w:val="20"/>
          <w:lang w:val="en-US" w:eastAsia="ja-JP"/>
        </w:rPr>
        <w:t>authorised</w:t>
      </w:r>
      <w:proofErr w:type="spellEnd"/>
      <w:r w:rsidRPr="000605BC">
        <w:rPr>
          <w:sz w:val="20"/>
          <w:lang w:val="en-US" w:eastAsia="ja-JP"/>
        </w:rPr>
        <w:t xml:space="preserve"> disclosure under section 338 and (if the disclosure is made before he does the act mentioned in subsection (1)) he has the appropriate consent; </w:t>
      </w:r>
    </w:p>
    <w:p w14:paraId="641991AF" w14:textId="63650525" w:rsidR="002E6B93" w:rsidRPr="000605BC" w:rsidRDefault="002E6B93" w:rsidP="00696D88">
      <w:pPr>
        <w:pStyle w:val="BlockQuote"/>
        <w:numPr>
          <w:ilvl w:val="0"/>
          <w:numId w:val="17"/>
        </w:numPr>
        <w:spacing w:before="60" w:after="0"/>
        <w:jc w:val="left"/>
        <w:rPr>
          <w:sz w:val="20"/>
          <w:lang w:val="en-US" w:eastAsia="ja-JP"/>
        </w:rPr>
      </w:pPr>
      <w:r w:rsidRPr="000605BC">
        <w:rPr>
          <w:sz w:val="20"/>
          <w:lang w:val="en-US" w:eastAsia="ja-JP"/>
        </w:rPr>
        <w:t>he intended to make such a disclosure but had a reasonable excuse for not doing so;</w:t>
      </w:r>
    </w:p>
    <w:p w14:paraId="6C96B04C" w14:textId="35833635" w:rsidR="002E6B93" w:rsidRPr="000605BC" w:rsidRDefault="002E6B93" w:rsidP="00696D88">
      <w:pPr>
        <w:pStyle w:val="BlockQuote"/>
        <w:numPr>
          <w:ilvl w:val="0"/>
          <w:numId w:val="17"/>
        </w:numPr>
        <w:spacing w:before="60" w:after="0"/>
        <w:jc w:val="left"/>
        <w:rPr>
          <w:sz w:val="20"/>
          <w:lang w:val="en-US" w:eastAsia="ja-JP"/>
        </w:rPr>
      </w:pPr>
      <w:proofErr w:type="gramStart"/>
      <w:r w:rsidRPr="000605BC">
        <w:rPr>
          <w:sz w:val="20"/>
          <w:lang w:val="en-US" w:eastAsia="ja-JP"/>
        </w:rPr>
        <w:t>the</w:t>
      </w:r>
      <w:proofErr w:type="gramEnd"/>
      <w:r w:rsidRPr="000605BC">
        <w:rPr>
          <w:sz w:val="20"/>
          <w:lang w:val="en-US" w:eastAsia="ja-JP"/>
        </w:rPr>
        <w:t xml:space="preserve"> act he does is done in carrying out a function he has relating to the enforcement of any provision of this Act or of any other enactment relating to criminal conduct or benefit from criminal conduct. </w:t>
      </w:r>
    </w:p>
    <w:p w14:paraId="0BBE36AF" w14:textId="67C04B13" w:rsidR="004C70D1" w:rsidRPr="000605BC" w:rsidRDefault="006A52E0" w:rsidP="00D95707">
      <w:pPr>
        <w:pStyle w:val="BlockQuote"/>
        <w:rPr>
          <w:sz w:val="20"/>
          <w:lang w:val="en-US" w:eastAsia="ja-JP"/>
        </w:rPr>
      </w:pPr>
      <w:r w:rsidRPr="000605BC">
        <w:rPr>
          <w:sz w:val="20"/>
          <w:lang w:val="en-US" w:eastAsia="ja-JP"/>
        </w:rPr>
        <w:t>[</w:t>
      </w:r>
      <w:r w:rsidR="004C70D1" w:rsidRPr="000605BC">
        <w:rPr>
          <w:sz w:val="20"/>
          <w:lang w:val="en-US" w:eastAsia="ja-JP"/>
        </w:rPr>
        <w:t xml:space="preserve">The meaning of </w:t>
      </w:r>
      <w:r w:rsidR="003A6F8D" w:rsidRPr="000605BC">
        <w:rPr>
          <w:sz w:val="20"/>
          <w:lang w:val="en-US" w:eastAsia="ja-JP"/>
        </w:rPr>
        <w:t>“</w:t>
      </w:r>
      <w:r w:rsidR="004C70D1" w:rsidRPr="000605BC">
        <w:rPr>
          <w:sz w:val="20"/>
          <w:lang w:val="en-US" w:eastAsia="ja-JP"/>
        </w:rPr>
        <w:t>suspicion</w:t>
      </w:r>
      <w:r w:rsidR="003A6F8D" w:rsidRPr="000605BC">
        <w:rPr>
          <w:sz w:val="20"/>
          <w:lang w:val="en-US" w:eastAsia="ja-JP"/>
        </w:rPr>
        <w:t>”</w:t>
      </w:r>
      <w:r w:rsidR="004C70D1" w:rsidRPr="000605BC">
        <w:rPr>
          <w:sz w:val="20"/>
          <w:lang w:val="en-US" w:eastAsia="ja-JP"/>
        </w:rPr>
        <w:t xml:space="preserve"> in s</w:t>
      </w:r>
      <w:r w:rsidR="00081705" w:rsidRPr="000605BC">
        <w:rPr>
          <w:sz w:val="20"/>
          <w:lang w:val="en-US" w:eastAsia="ja-JP"/>
        </w:rPr>
        <w:t>ection</w:t>
      </w:r>
      <w:r w:rsidR="004C70D1" w:rsidRPr="000605BC">
        <w:rPr>
          <w:sz w:val="20"/>
          <w:lang w:val="en-US" w:eastAsia="ja-JP"/>
        </w:rPr>
        <w:t xml:space="preserve"> 328 has been the subject of some debate due to its subjectivity. The case law has indicated a preference for the </w:t>
      </w:r>
      <w:r w:rsidR="003A6F8D" w:rsidRPr="000605BC">
        <w:rPr>
          <w:sz w:val="20"/>
          <w:lang w:val="en-US" w:eastAsia="ja-JP"/>
        </w:rPr>
        <w:t>“</w:t>
      </w:r>
      <w:r w:rsidR="004C70D1" w:rsidRPr="000605BC">
        <w:rPr>
          <w:sz w:val="20"/>
          <w:lang w:val="en-US" w:eastAsia="ja-JP"/>
        </w:rPr>
        <w:t>more than fanciful possibility</w:t>
      </w:r>
      <w:r w:rsidR="003A6F8D" w:rsidRPr="000605BC">
        <w:rPr>
          <w:sz w:val="20"/>
          <w:lang w:val="en-US" w:eastAsia="ja-JP"/>
        </w:rPr>
        <w:t>”</w:t>
      </w:r>
      <w:r w:rsidR="004C70D1" w:rsidRPr="000605BC">
        <w:rPr>
          <w:sz w:val="20"/>
          <w:lang w:val="en-US" w:eastAsia="ja-JP"/>
        </w:rPr>
        <w:t xml:space="preserve"> test. It should also be noted that </w:t>
      </w:r>
      <w:r w:rsidR="003A6F8D" w:rsidRPr="000605BC">
        <w:rPr>
          <w:sz w:val="20"/>
          <w:lang w:val="en-US" w:eastAsia="ja-JP"/>
        </w:rPr>
        <w:t>“</w:t>
      </w:r>
      <w:r w:rsidR="004C70D1" w:rsidRPr="000605BC">
        <w:rPr>
          <w:sz w:val="20"/>
          <w:lang w:val="en-US" w:eastAsia="ja-JP"/>
        </w:rPr>
        <w:t>arrangement</w:t>
      </w:r>
      <w:r w:rsidR="003A6F8D" w:rsidRPr="000605BC">
        <w:rPr>
          <w:sz w:val="20"/>
          <w:lang w:val="en-US" w:eastAsia="ja-JP"/>
        </w:rPr>
        <w:t>”</w:t>
      </w:r>
      <w:r w:rsidR="004C70D1" w:rsidRPr="000605BC">
        <w:rPr>
          <w:sz w:val="20"/>
          <w:lang w:val="en-US" w:eastAsia="ja-JP"/>
        </w:rPr>
        <w:t xml:space="preserve"> does</w:t>
      </w:r>
      <w:r w:rsidRPr="000605BC">
        <w:rPr>
          <w:sz w:val="20"/>
          <w:lang w:val="en-US" w:eastAsia="ja-JP"/>
        </w:rPr>
        <w:t xml:space="preserve"> not include legal proceedings.</w:t>
      </w:r>
      <w:r w:rsidR="004C70D1" w:rsidRPr="000605BC">
        <w:rPr>
          <w:rStyle w:val="FootnoteReference"/>
          <w:rFonts w:eastAsiaTheme="minorEastAsia" w:cs="Times New Roman"/>
          <w:sz w:val="20"/>
          <w:lang w:val="en-US" w:eastAsia="ja-JP"/>
        </w:rPr>
        <w:footnoteReference w:id="102"/>
      </w:r>
      <w:r w:rsidRPr="000605BC">
        <w:rPr>
          <w:sz w:val="20"/>
          <w:lang w:val="en-US" w:eastAsia="ja-JP"/>
        </w:rPr>
        <w:t>]</w:t>
      </w:r>
    </w:p>
    <w:p w14:paraId="6BF64AD1" w14:textId="77777777" w:rsidR="002E6B93" w:rsidRPr="000605BC" w:rsidRDefault="002E6B93" w:rsidP="00E1317B">
      <w:pPr>
        <w:pStyle w:val="BlockQuote"/>
        <w:keepNext/>
        <w:rPr>
          <w:sz w:val="20"/>
          <w:lang w:val="en-US" w:eastAsia="ja-JP"/>
        </w:rPr>
      </w:pPr>
      <w:r w:rsidRPr="000605BC">
        <w:rPr>
          <w:sz w:val="20"/>
          <w:lang w:val="en-US" w:eastAsia="ja-JP"/>
        </w:rPr>
        <w:t>329 Acquisition, use and possession</w:t>
      </w:r>
    </w:p>
    <w:p w14:paraId="62A133D4" w14:textId="77777777" w:rsidR="002E6B93" w:rsidRPr="000605BC" w:rsidRDefault="002E6B93" w:rsidP="00E1317B">
      <w:pPr>
        <w:pStyle w:val="BlockQuote"/>
        <w:keepNext/>
        <w:numPr>
          <w:ilvl w:val="0"/>
          <w:numId w:val="18"/>
        </w:numPr>
        <w:spacing w:before="60" w:after="0"/>
        <w:jc w:val="left"/>
        <w:rPr>
          <w:sz w:val="20"/>
          <w:lang w:val="en-US" w:eastAsia="ja-JP"/>
        </w:rPr>
      </w:pPr>
      <w:r w:rsidRPr="000605BC">
        <w:rPr>
          <w:sz w:val="20"/>
          <w:lang w:val="en-US" w:eastAsia="ja-JP"/>
        </w:rPr>
        <w:t>A person commits an offence if he—</w:t>
      </w:r>
    </w:p>
    <w:p w14:paraId="5D4E2840" w14:textId="6A84E4CE" w:rsidR="002E6B93" w:rsidRPr="000605BC" w:rsidRDefault="002E6B93" w:rsidP="00696D88">
      <w:pPr>
        <w:pStyle w:val="BlockQuote"/>
        <w:numPr>
          <w:ilvl w:val="0"/>
          <w:numId w:val="19"/>
        </w:numPr>
        <w:spacing w:before="60" w:after="0"/>
        <w:jc w:val="left"/>
        <w:rPr>
          <w:sz w:val="20"/>
          <w:lang w:val="en-US" w:eastAsia="ja-JP"/>
        </w:rPr>
      </w:pPr>
      <w:r w:rsidRPr="000605BC">
        <w:rPr>
          <w:sz w:val="20"/>
          <w:lang w:val="en-US" w:eastAsia="ja-JP"/>
        </w:rPr>
        <w:t xml:space="preserve">acquires criminal property; </w:t>
      </w:r>
    </w:p>
    <w:p w14:paraId="1A6B1018" w14:textId="035B4C2C" w:rsidR="002E6B93" w:rsidRPr="000605BC" w:rsidRDefault="002E6B93" w:rsidP="00696D88">
      <w:pPr>
        <w:pStyle w:val="BlockQuote"/>
        <w:numPr>
          <w:ilvl w:val="0"/>
          <w:numId w:val="19"/>
        </w:numPr>
        <w:spacing w:before="60" w:after="0"/>
        <w:jc w:val="left"/>
        <w:rPr>
          <w:sz w:val="20"/>
          <w:lang w:val="en-US" w:eastAsia="ja-JP"/>
        </w:rPr>
      </w:pPr>
      <w:r w:rsidRPr="000605BC">
        <w:rPr>
          <w:sz w:val="20"/>
          <w:lang w:val="en-US" w:eastAsia="ja-JP"/>
        </w:rPr>
        <w:t>uses criminal property;</w:t>
      </w:r>
    </w:p>
    <w:p w14:paraId="18553154" w14:textId="6085F4B9" w:rsidR="002E6B93" w:rsidRPr="000605BC" w:rsidRDefault="002E6B93" w:rsidP="00696D88">
      <w:pPr>
        <w:pStyle w:val="BlockQuote"/>
        <w:numPr>
          <w:ilvl w:val="0"/>
          <w:numId w:val="19"/>
        </w:numPr>
        <w:spacing w:before="60" w:after="0"/>
        <w:jc w:val="left"/>
        <w:rPr>
          <w:sz w:val="20"/>
          <w:lang w:val="en-US" w:eastAsia="ja-JP"/>
        </w:rPr>
      </w:pPr>
      <w:proofErr w:type="gramStart"/>
      <w:r w:rsidRPr="000605BC">
        <w:rPr>
          <w:sz w:val="20"/>
          <w:lang w:val="en-US" w:eastAsia="ja-JP"/>
        </w:rPr>
        <w:t>has</w:t>
      </w:r>
      <w:proofErr w:type="gramEnd"/>
      <w:r w:rsidRPr="000605BC">
        <w:rPr>
          <w:sz w:val="20"/>
          <w:lang w:val="en-US" w:eastAsia="ja-JP"/>
        </w:rPr>
        <w:t xml:space="preserve"> possession of criminal property. </w:t>
      </w:r>
    </w:p>
    <w:p w14:paraId="1752175E" w14:textId="77777777" w:rsidR="002E6B93" w:rsidRPr="000605BC" w:rsidRDefault="002E6B93" w:rsidP="00696D88">
      <w:pPr>
        <w:pStyle w:val="BlockQuote"/>
        <w:numPr>
          <w:ilvl w:val="0"/>
          <w:numId w:val="18"/>
        </w:numPr>
        <w:spacing w:before="60" w:after="0"/>
        <w:jc w:val="left"/>
        <w:rPr>
          <w:sz w:val="20"/>
          <w:lang w:val="en-US" w:eastAsia="ja-JP"/>
        </w:rPr>
      </w:pPr>
      <w:r w:rsidRPr="000605BC">
        <w:rPr>
          <w:sz w:val="20"/>
          <w:lang w:val="en-US" w:eastAsia="ja-JP"/>
        </w:rPr>
        <w:t>But a person does not commit such an offence if—</w:t>
      </w:r>
    </w:p>
    <w:p w14:paraId="43573F4C" w14:textId="570FE8CD" w:rsidR="002E6B93" w:rsidRPr="000605BC" w:rsidRDefault="002E6B93" w:rsidP="00696D88">
      <w:pPr>
        <w:pStyle w:val="BlockQuote"/>
        <w:numPr>
          <w:ilvl w:val="0"/>
          <w:numId w:val="20"/>
        </w:numPr>
        <w:spacing w:before="60" w:after="0"/>
        <w:jc w:val="left"/>
        <w:rPr>
          <w:sz w:val="20"/>
          <w:lang w:val="en-US" w:eastAsia="ja-JP"/>
        </w:rPr>
      </w:pPr>
      <w:r w:rsidRPr="000605BC">
        <w:rPr>
          <w:sz w:val="20"/>
          <w:lang w:val="en-US" w:eastAsia="ja-JP"/>
        </w:rPr>
        <w:t xml:space="preserve">he makes an </w:t>
      </w:r>
      <w:proofErr w:type="spellStart"/>
      <w:r w:rsidRPr="000605BC">
        <w:rPr>
          <w:sz w:val="20"/>
          <w:lang w:val="en-US" w:eastAsia="ja-JP"/>
        </w:rPr>
        <w:t>authorised</w:t>
      </w:r>
      <w:proofErr w:type="spellEnd"/>
      <w:r w:rsidRPr="000605BC">
        <w:rPr>
          <w:sz w:val="20"/>
          <w:lang w:val="en-US" w:eastAsia="ja-JP"/>
        </w:rPr>
        <w:t xml:space="preserve"> disclosure under section 338 and (if the disclosure is made before he does the act mentioned in subsection (1)) he has the appropriate consent; </w:t>
      </w:r>
    </w:p>
    <w:p w14:paraId="052431C3" w14:textId="1D1C7ED3" w:rsidR="002E6B93" w:rsidRPr="000605BC" w:rsidRDefault="002E6B93" w:rsidP="00696D88">
      <w:pPr>
        <w:pStyle w:val="BlockQuote"/>
        <w:numPr>
          <w:ilvl w:val="0"/>
          <w:numId w:val="20"/>
        </w:numPr>
        <w:spacing w:before="60" w:after="0"/>
        <w:jc w:val="left"/>
        <w:rPr>
          <w:sz w:val="20"/>
          <w:lang w:val="en-US" w:eastAsia="ja-JP"/>
        </w:rPr>
      </w:pPr>
      <w:r w:rsidRPr="000605BC">
        <w:rPr>
          <w:sz w:val="20"/>
          <w:lang w:val="en-US" w:eastAsia="ja-JP"/>
        </w:rPr>
        <w:t>he intended to make such a disclosure but had a reasonable excuse for not doing so;</w:t>
      </w:r>
    </w:p>
    <w:p w14:paraId="5895AF93" w14:textId="693A23BD" w:rsidR="002E6B93" w:rsidRPr="000605BC" w:rsidRDefault="002E6B93" w:rsidP="00696D88">
      <w:pPr>
        <w:pStyle w:val="BlockQuote"/>
        <w:numPr>
          <w:ilvl w:val="0"/>
          <w:numId w:val="20"/>
        </w:numPr>
        <w:spacing w:before="60" w:after="0"/>
        <w:jc w:val="left"/>
        <w:rPr>
          <w:sz w:val="20"/>
          <w:lang w:val="en-US" w:eastAsia="ja-JP"/>
        </w:rPr>
      </w:pPr>
      <w:r w:rsidRPr="000605BC">
        <w:rPr>
          <w:sz w:val="20"/>
          <w:lang w:val="en-US" w:eastAsia="ja-JP"/>
        </w:rPr>
        <w:t>he acquired or used or had possession of the property for adequate consideration;</w:t>
      </w:r>
    </w:p>
    <w:p w14:paraId="017D7AEA" w14:textId="767A079D" w:rsidR="002E6B93" w:rsidRPr="000605BC" w:rsidRDefault="002E6B93" w:rsidP="00696D88">
      <w:pPr>
        <w:pStyle w:val="BlockQuote"/>
        <w:numPr>
          <w:ilvl w:val="0"/>
          <w:numId w:val="20"/>
        </w:numPr>
        <w:spacing w:before="60" w:after="0"/>
        <w:jc w:val="left"/>
        <w:rPr>
          <w:sz w:val="20"/>
          <w:lang w:val="en-US" w:eastAsia="ja-JP"/>
        </w:rPr>
      </w:pPr>
      <w:proofErr w:type="gramStart"/>
      <w:r w:rsidRPr="000605BC">
        <w:rPr>
          <w:sz w:val="20"/>
          <w:lang w:val="en-US" w:eastAsia="ja-JP"/>
        </w:rPr>
        <w:t>the</w:t>
      </w:r>
      <w:proofErr w:type="gramEnd"/>
      <w:r w:rsidRPr="000605BC">
        <w:rPr>
          <w:sz w:val="20"/>
          <w:lang w:val="en-US" w:eastAsia="ja-JP"/>
        </w:rPr>
        <w:t xml:space="preserve"> act he does is done in carrying out a function he has relating to the enforcement of any provision of this Act or of any other enactment relating to criminal conduct or benefit from criminal conduct. </w:t>
      </w:r>
    </w:p>
    <w:p w14:paraId="45E114AF" w14:textId="77777777" w:rsidR="002E6B93" w:rsidRPr="000605BC" w:rsidRDefault="002E6B93" w:rsidP="00696D88">
      <w:pPr>
        <w:pStyle w:val="BlockQuote"/>
        <w:numPr>
          <w:ilvl w:val="0"/>
          <w:numId w:val="18"/>
        </w:numPr>
        <w:spacing w:before="60" w:after="0"/>
        <w:jc w:val="left"/>
        <w:rPr>
          <w:sz w:val="20"/>
          <w:lang w:val="en-US" w:eastAsia="ja-JP"/>
        </w:rPr>
      </w:pPr>
      <w:r w:rsidRPr="000605BC">
        <w:rPr>
          <w:sz w:val="20"/>
          <w:lang w:val="en-US" w:eastAsia="ja-JP"/>
        </w:rPr>
        <w:t>For the purposes of this section—</w:t>
      </w:r>
    </w:p>
    <w:p w14:paraId="66E367D2" w14:textId="52C6A382" w:rsidR="002E6B93" w:rsidRPr="000605BC" w:rsidRDefault="002E6B93" w:rsidP="00696D88">
      <w:pPr>
        <w:pStyle w:val="BlockQuote"/>
        <w:numPr>
          <w:ilvl w:val="0"/>
          <w:numId w:val="21"/>
        </w:numPr>
        <w:spacing w:before="60" w:after="0"/>
        <w:jc w:val="left"/>
        <w:rPr>
          <w:sz w:val="20"/>
          <w:lang w:val="en-US" w:eastAsia="ja-JP"/>
        </w:rPr>
      </w:pPr>
      <w:r w:rsidRPr="000605BC">
        <w:rPr>
          <w:sz w:val="20"/>
          <w:lang w:val="en-US" w:eastAsia="ja-JP"/>
        </w:rPr>
        <w:t xml:space="preserve">a person acquires property for inadequate consideration if the value of the consideration is significantly less than the value of the property; </w:t>
      </w:r>
    </w:p>
    <w:p w14:paraId="3D12DE52" w14:textId="18057437" w:rsidR="002E6B93" w:rsidRPr="000605BC" w:rsidRDefault="002E6B93" w:rsidP="00696D88">
      <w:pPr>
        <w:pStyle w:val="BlockQuote"/>
        <w:numPr>
          <w:ilvl w:val="0"/>
          <w:numId w:val="21"/>
        </w:numPr>
        <w:spacing w:before="60" w:after="0"/>
        <w:jc w:val="left"/>
        <w:rPr>
          <w:sz w:val="20"/>
          <w:lang w:val="en-US" w:eastAsia="ja-JP"/>
        </w:rPr>
      </w:pPr>
      <w:r w:rsidRPr="000605BC">
        <w:rPr>
          <w:sz w:val="20"/>
          <w:lang w:val="en-US" w:eastAsia="ja-JP"/>
        </w:rPr>
        <w:t xml:space="preserve">a person uses or has possession of property for inadequate consideration if the value of the consideration is significantly less than the value of the use or possession; </w:t>
      </w:r>
    </w:p>
    <w:p w14:paraId="17E7D35F" w14:textId="24481F46" w:rsidR="002E6B93" w:rsidRPr="000605BC" w:rsidRDefault="002E6B93" w:rsidP="00696D88">
      <w:pPr>
        <w:pStyle w:val="BlockQuote"/>
        <w:numPr>
          <w:ilvl w:val="0"/>
          <w:numId w:val="21"/>
        </w:numPr>
        <w:spacing w:before="60" w:after="0"/>
        <w:jc w:val="left"/>
        <w:rPr>
          <w:sz w:val="20"/>
          <w:lang w:val="en-US" w:eastAsia="ja-JP"/>
        </w:rPr>
      </w:pPr>
      <w:proofErr w:type="gramStart"/>
      <w:r w:rsidRPr="000605BC">
        <w:rPr>
          <w:sz w:val="20"/>
          <w:lang w:val="en-US" w:eastAsia="ja-JP"/>
        </w:rPr>
        <w:t>the</w:t>
      </w:r>
      <w:proofErr w:type="gramEnd"/>
      <w:r w:rsidRPr="000605BC">
        <w:rPr>
          <w:sz w:val="20"/>
          <w:lang w:val="en-US" w:eastAsia="ja-JP"/>
        </w:rPr>
        <w:t xml:space="preserve"> provision by a person of good</w:t>
      </w:r>
      <w:r w:rsidR="00C31C1C" w:rsidRPr="000605BC">
        <w:rPr>
          <w:sz w:val="20"/>
          <w:lang w:val="en-US" w:eastAsia="ja-JP"/>
        </w:rPr>
        <w:t xml:space="preserve">s or services which he knows or suspects </w:t>
      </w:r>
      <w:r w:rsidRPr="000605BC">
        <w:rPr>
          <w:sz w:val="20"/>
          <w:lang w:val="en-US" w:eastAsia="ja-JP"/>
        </w:rPr>
        <w:t xml:space="preserve">may help another to carry out criminal conduct is not consideration. </w:t>
      </w:r>
    </w:p>
    <w:p w14:paraId="5D82BAA0" w14:textId="77777777" w:rsidR="00DC55A7" w:rsidRPr="000605BC" w:rsidRDefault="002E6B93" w:rsidP="006A52E0">
      <w:pPr>
        <w:tabs>
          <w:tab w:val="left" w:pos="220"/>
          <w:tab w:val="left" w:pos="720"/>
        </w:tabs>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 xml:space="preserve">As the above provisions make clear, the UK’s domestic AML </w:t>
      </w:r>
      <w:r w:rsidR="00BA527E" w:rsidRPr="000605BC">
        <w:rPr>
          <w:rFonts w:eastAsiaTheme="minorEastAsia" w:cs="Times New Roman"/>
          <w:sz w:val="20"/>
          <w:lang w:val="en-US" w:eastAsia="ja-JP"/>
        </w:rPr>
        <w:t>offences</w:t>
      </w:r>
      <w:r w:rsidRPr="000605BC">
        <w:rPr>
          <w:rFonts w:eastAsiaTheme="minorEastAsia" w:cs="Times New Roman"/>
          <w:sz w:val="20"/>
          <w:lang w:val="en-US" w:eastAsia="ja-JP"/>
        </w:rPr>
        <w:t xml:space="preserve"> encompass a considerably larger range of acts than their equivalents in the US and Canada. </w:t>
      </w:r>
    </w:p>
    <w:p w14:paraId="675FD4E4" w14:textId="5AEA32ED" w:rsidR="002E6B93" w:rsidRPr="000605BC" w:rsidRDefault="002E6B93" w:rsidP="00916A81">
      <w:pPr>
        <w:tabs>
          <w:tab w:val="left" w:pos="220"/>
          <w:tab w:val="left" w:pos="720"/>
        </w:tabs>
        <w:autoSpaceDE w:val="0"/>
        <w:autoSpaceDN w:val="0"/>
        <w:adjustRightInd w:val="0"/>
        <w:ind w:right="720"/>
        <w:rPr>
          <w:rFonts w:eastAsiaTheme="minorEastAsia" w:cs="Times New Roman"/>
          <w:sz w:val="20"/>
          <w:lang w:val="en-US" w:eastAsia="ja-JP"/>
        </w:rPr>
      </w:pPr>
      <w:r w:rsidRPr="000605BC">
        <w:rPr>
          <w:rFonts w:eastAsiaTheme="minorEastAsia" w:cs="Times New Roman"/>
          <w:sz w:val="20"/>
          <w:lang w:val="en-US" w:eastAsia="ja-JP"/>
        </w:rPr>
        <w:t xml:space="preserve">Section 340(3) of the </w:t>
      </w:r>
      <w:r w:rsidRPr="000605BC">
        <w:rPr>
          <w:rFonts w:eastAsiaTheme="minorEastAsia" w:cs="Times New Roman"/>
          <w:i/>
          <w:sz w:val="20"/>
          <w:lang w:val="en-US" w:eastAsia="ja-JP"/>
        </w:rPr>
        <w:t>POCA</w:t>
      </w:r>
      <w:r w:rsidRPr="000605BC">
        <w:rPr>
          <w:rFonts w:eastAsiaTheme="minorEastAsia" w:cs="Times New Roman"/>
          <w:sz w:val="20"/>
          <w:lang w:val="en-US" w:eastAsia="ja-JP"/>
        </w:rPr>
        <w:t xml:space="preserve"> </w:t>
      </w:r>
      <w:r w:rsidR="00DC55A7" w:rsidRPr="000605BC">
        <w:rPr>
          <w:rFonts w:eastAsiaTheme="minorEastAsia" w:cs="Times New Roman"/>
          <w:sz w:val="20"/>
          <w:lang w:val="en-US" w:eastAsia="ja-JP"/>
        </w:rPr>
        <w:t>defines criminal property</w:t>
      </w:r>
      <w:r w:rsidR="00C31C1C" w:rsidRPr="000605BC">
        <w:rPr>
          <w:rFonts w:eastAsiaTheme="minorEastAsia" w:cs="Times New Roman"/>
          <w:sz w:val="20"/>
          <w:lang w:val="en-US" w:eastAsia="ja-JP"/>
        </w:rPr>
        <w:t xml:space="preserve"> broadly.</w:t>
      </w:r>
      <w:r w:rsidR="00DC55A7" w:rsidRPr="000605BC">
        <w:rPr>
          <w:rFonts w:eastAsiaTheme="minorEastAsia" w:cs="Times New Roman"/>
          <w:sz w:val="20"/>
          <w:lang w:val="en-US" w:eastAsia="ja-JP"/>
        </w:rPr>
        <w:t xml:space="preserve"> </w:t>
      </w:r>
      <w:r w:rsidRPr="000605BC">
        <w:rPr>
          <w:rFonts w:eastAsiaTheme="minorEastAsia" w:cs="Times New Roman"/>
          <w:sz w:val="20"/>
          <w:lang w:val="en-US" w:eastAsia="ja-JP"/>
        </w:rPr>
        <w:t>P</w:t>
      </w:r>
      <w:r w:rsidR="00C31C1C" w:rsidRPr="000605BC">
        <w:rPr>
          <w:rFonts w:eastAsiaTheme="minorEastAsia" w:cs="Times New Roman"/>
          <w:sz w:val="20"/>
          <w:lang w:val="en-US" w:eastAsia="ja-JP"/>
        </w:rPr>
        <w:t>roperty is criminal property if:</w:t>
      </w:r>
      <w:r w:rsidRPr="000605BC">
        <w:rPr>
          <w:rFonts w:eastAsiaTheme="minorEastAsia" w:cs="Times New Roman"/>
          <w:sz w:val="20"/>
          <w:lang w:val="en-US" w:eastAsia="ja-JP"/>
        </w:rPr>
        <w:t xml:space="preserve"> </w:t>
      </w:r>
    </w:p>
    <w:p w14:paraId="0EA2369F" w14:textId="62AAFC77" w:rsidR="002E6B93" w:rsidRPr="000605BC" w:rsidRDefault="002E6B93" w:rsidP="00696D88">
      <w:pPr>
        <w:pStyle w:val="BlockQuote"/>
        <w:numPr>
          <w:ilvl w:val="0"/>
          <w:numId w:val="22"/>
        </w:numPr>
        <w:spacing w:before="60" w:after="0"/>
        <w:jc w:val="left"/>
        <w:rPr>
          <w:sz w:val="20"/>
        </w:rPr>
      </w:pPr>
      <w:r w:rsidRPr="000605BC">
        <w:rPr>
          <w:sz w:val="20"/>
        </w:rPr>
        <w:t>it constitutes a person’s benefit from criminal conduct or it represents such a benefit (in whole or part and whether directly or indirectly), and</w:t>
      </w:r>
    </w:p>
    <w:p w14:paraId="6B4C3617" w14:textId="7E09D446" w:rsidR="002E6B93" w:rsidRPr="000605BC" w:rsidRDefault="002E6B93" w:rsidP="00696D88">
      <w:pPr>
        <w:pStyle w:val="BlockQuote"/>
        <w:numPr>
          <w:ilvl w:val="0"/>
          <w:numId w:val="22"/>
        </w:numPr>
        <w:spacing w:before="60" w:after="0"/>
        <w:jc w:val="left"/>
        <w:rPr>
          <w:sz w:val="20"/>
        </w:rPr>
      </w:pPr>
      <w:proofErr w:type="gramStart"/>
      <w:r w:rsidRPr="000605BC">
        <w:rPr>
          <w:sz w:val="20"/>
        </w:rPr>
        <w:t>the</w:t>
      </w:r>
      <w:proofErr w:type="gramEnd"/>
      <w:r w:rsidRPr="000605BC">
        <w:rPr>
          <w:sz w:val="20"/>
        </w:rPr>
        <w:t xml:space="preserve"> alleged offender knows or suspects that it constitutes or represents such a benefit.</w:t>
      </w:r>
    </w:p>
    <w:p w14:paraId="493111F0" w14:textId="6574AFD7" w:rsidR="004C70D1" w:rsidRPr="000605BC" w:rsidRDefault="004C70D1" w:rsidP="00BD57FE">
      <w:pPr>
        <w:rPr>
          <w:sz w:val="20"/>
          <w:lang w:val="en-US" w:eastAsia="ja-JP"/>
        </w:rPr>
      </w:pPr>
      <w:r w:rsidRPr="000605BC">
        <w:rPr>
          <w:sz w:val="20"/>
          <w:lang w:val="en-US" w:eastAsia="ja-JP"/>
        </w:rPr>
        <w:t xml:space="preserve">The person benefitting from criminal </w:t>
      </w:r>
      <w:r w:rsidR="00C31C1C" w:rsidRPr="000605BC">
        <w:rPr>
          <w:sz w:val="20"/>
          <w:lang w:val="en-US" w:eastAsia="ja-JP"/>
        </w:rPr>
        <w:t>conduct</w:t>
      </w:r>
      <w:r w:rsidRPr="000605BC">
        <w:rPr>
          <w:sz w:val="20"/>
          <w:lang w:val="en-US" w:eastAsia="ja-JP"/>
        </w:rPr>
        <w:t xml:space="preserve"> </w:t>
      </w:r>
      <w:r w:rsidR="00C31C1C" w:rsidRPr="000605BC">
        <w:rPr>
          <w:sz w:val="20"/>
          <w:lang w:val="en-US" w:eastAsia="ja-JP"/>
        </w:rPr>
        <w:t>need not commit the criminal act.</w:t>
      </w:r>
      <w:r w:rsidRPr="000605BC">
        <w:rPr>
          <w:sz w:val="20"/>
          <w:lang w:val="en-US" w:eastAsia="ja-JP"/>
        </w:rPr>
        <w:t xml:space="preserve"> </w:t>
      </w:r>
      <w:r w:rsidR="00C31C1C" w:rsidRPr="000605BC">
        <w:rPr>
          <w:sz w:val="20"/>
          <w:lang w:val="en-US" w:eastAsia="ja-JP"/>
        </w:rPr>
        <w:t>T</w:t>
      </w:r>
      <w:r w:rsidRPr="000605BC">
        <w:rPr>
          <w:sz w:val="20"/>
          <w:lang w:val="en-US" w:eastAsia="ja-JP"/>
        </w:rPr>
        <w:t>h</w:t>
      </w:r>
      <w:r w:rsidR="00C31C1C" w:rsidRPr="000605BC">
        <w:rPr>
          <w:sz w:val="20"/>
          <w:lang w:val="en-US" w:eastAsia="ja-JP"/>
        </w:rPr>
        <w:t>e</w:t>
      </w:r>
      <w:r w:rsidRPr="000605BC">
        <w:rPr>
          <w:sz w:val="20"/>
          <w:lang w:val="en-US" w:eastAsia="ja-JP"/>
        </w:rPr>
        <w:t xml:space="preserve"> definition</w:t>
      </w:r>
      <w:r w:rsidR="00C31C1C" w:rsidRPr="000605BC">
        <w:rPr>
          <w:sz w:val="20"/>
          <w:lang w:val="en-US" w:eastAsia="ja-JP"/>
        </w:rPr>
        <w:t xml:space="preserve"> also</w:t>
      </w:r>
      <w:r w:rsidRPr="000605BC">
        <w:rPr>
          <w:sz w:val="20"/>
          <w:lang w:val="en-US" w:eastAsia="ja-JP"/>
        </w:rPr>
        <w:t xml:space="preserve"> includes property from anywhere in the world. </w:t>
      </w:r>
    </w:p>
    <w:p w14:paraId="2BCDB394" w14:textId="4B87CEBA" w:rsidR="002E6B93" w:rsidRPr="000605BC" w:rsidRDefault="002E6B93" w:rsidP="00916A81">
      <w:pPr>
        <w:tabs>
          <w:tab w:val="left" w:pos="220"/>
          <w:tab w:val="left" w:pos="720"/>
        </w:tabs>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 xml:space="preserve">In the UK, unlike Canada and the US, there is no defined set of predicate offences for money laundering. There is also no need, under some of the provisions above, for any intent to conceal the source of the funds. The use or possession of the proceeds of any crime whatsoever can be prosecuted as money laundering. Under this regime, stealing and selling bicycles can give rise to money laundering charges. There is a requirement that the accused know that the proceeds in question were derived from criminal activity and a statutory </w:t>
      </w:r>
      <w:proofErr w:type="spellStart"/>
      <w:r w:rsidRPr="000605BC">
        <w:rPr>
          <w:rFonts w:eastAsiaTheme="minorEastAsia" w:cs="Times New Roman"/>
          <w:sz w:val="20"/>
          <w:lang w:val="en-US" w:eastAsia="ja-JP"/>
        </w:rPr>
        <w:t>defence</w:t>
      </w:r>
      <w:proofErr w:type="spellEnd"/>
      <w:r w:rsidRPr="000605BC">
        <w:rPr>
          <w:rFonts w:eastAsiaTheme="minorEastAsia" w:cs="Times New Roman"/>
          <w:sz w:val="20"/>
          <w:lang w:val="en-US" w:eastAsia="ja-JP"/>
        </w:rPr>
        <w:t xml:space="preserve"> if the accused reported the act as a suspicious transaction. Nonetheless, far more criminal activity is captured by this regime than in either the US or Canada. </w:t>
      </w:r>
    </w:p>
    <w:p w14:paraId="03CF8145" w14:textId="161CD773" w:rsidR="00417A1B" w:rsidRPr="000605BC" w:rsidRDefault="00417A1B" w:rsidP="00916A81">
      <w:pPr>
        <w:tabs>
          <w:tab w:val="left" w:pos="220"/>
          <w:tab w:val="left" w:pos="720"/>
        </w:tabs>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 xml:space="preserve">Section 333 of </w:t>
      </w:r>
      <w:r w:rsidR="00081705" w:rsidRPr="000605BC">
        <w:rPr>
          <w:rFonts w:eastAsiaTheme="minorEastAsia" w:cs="Times New Roman"/>
          <w:sz w:val="20"/>
          <w:lang w:val="en-US" w:eastAsia="ja-JP"/>
        </w:rPr>
        <w:t xml:space="preserve">the </w:t>
      </w:r>
      <w:r w:rsidRPr="000605BC">
        <w:rPr>
          <w:rFonts w:eastAsiaTheme="minorEastAsia" w:cs="Times New Roman"/>
          <w:i/>
          <w:sz w:val="20"/>
          <w:lang w:val="en-US" w:eastAsia="ja-JP"/>
        </w:rPr>
        <w:t xml:space="preserve">POCA </w:t>
      </w:r>
      <w:r w:rsidRPr="000605BC">
        <w:rPr>
          <w:rFonts w:eastAsiaTheme="minorEastAsia" w:cs="Times New Roman"/>
          <w:sz w:val="20"/>
          <w:lang w:val="en-US" w:eastAsia="ja-JP"/>
        </w:rPr>
        <w:t xml:space="preserve">also creates an offence of </w:t>
      </w:r>
      <w:r w:rsidR="003A6F8D" w:rsidRPr="000605BC">
        <w:rPr>
          <w:rFonts w:eastAsiaTheme="minorEastAsia" w:cs="Times New Roman"/>
          <w:sz w:val="20"/>
          <w:lang w:val="en-US" w:eastAsia="ja-JP"/>
        </w:rPr>
        <w:t>“</w:t>
      </w:r>
      <w:r w:rsidRPr="000605BC">
        <w:rPr>
          <w:rFonts w:eastAsiaTheme="minorEastAsia" w:cs="Times New Roman"/>
          <w:sz w:val="20"/>
          <w:lang w:val="en-US" w:eastAsia="ja-JP"/>
        </w:rPr>
        <w:t>tipping off.</w:t>
      </w:r>
      <w:r w:rsidR="003A6F8D" w:rsidRPr="000605BC">
        <w:rPr>
          <w:rFonts w:eastAsiaTheme="minorEastAsia" w:cs="Times New Roman"/>
          <w:sz w:val="20"/>
          <w:lang w:val="en-US" w:eastAsia="ja-JP"/>
        </w:rPr>
        <w:t>”</w:t>
      </w:r>
      <w:r w:rsidRPr="000605BC">
        <w:rPr>
          <w:rFonts w:eastAsiaTheme="minorEastAsia" w:cs="Times New Roman"/>
          <w:sz w:val="20"/>
          <w:lang w:val="en-US" w:eastAsia="ja-JP"/>
        </w:rPr>
        <w:t xml:space="preserve"> The offence is committed where a person in the regulated sector tells a customer or third person that a money</w:t>
      </w:r>
      <w:r w:rsidR="00081705" w:rsidRPr="000605BC">
        <w:rPr>
          <w:rFonts w:eastAsiaTheme="minorEastAsia" w:cs="Times New Roman"/>
          <w:sz w:val="20"/>
          <w:lang w:val="en-US" w:eastAsia="ja-JP"/>
        </w:rPr>
        <w:t xml:space="preserve"> </w:t>
      </w:r>
      <w:r w:rsidRPr="000605BC">
        <w:rPr>
          <w:rFonts w:eastAsiaTheme="minorEastAsia" w:cs="Times New Roman"/>
          <w:sz w:val="20"/>
          <w:lang w:val="en-US" w:eastAsia="ja-JP"/>
        </w:rPr>
        <w:t>laundering investigation is underway or under consideration and where this disclosure is likely to be prejudicial.</w:t>
      </w:r>
      <w:r w:rsidR="004343A4" w:rsidRPr="000605BC">
        <w:rPr>
          <w:rStyle w:val="FootnoteReference"/>
          <w:rFonts w:eastAsiaTheme="minorEastAsia" w:cs="Times New Roman"/>
          <w:sz w:val="20"/>
          <w:lang w:val="en-US" w:eastAsia="ja-JP"/>
        </w:rPr>
        <w:footnoteReference w:id="103"/>
      </w:r>
      <w:r w:rsidRPr="000605BC">
        <w:rPr>
          <w:rFonts w:eastAsiaTheme="minorEastAsia" w:cs="Times New Roman"/>
          <w:sz w:val="20"/>
          <w:lang w:val="en-US" w:eastAsia="ja-JP"/>
        </w:rPr>
        <w:t xml:space="preserve"> </w:t>
      </w:r>
    </w:p>
    <w:p w14:paraId="4CA2111E" w14:textId="6F99AFFF" w:rsidR="006B08AB" w:rsidRPr="000605BC" w:rsidRDefault="007F6953" w:rsidP="000618B6">
      <w:pPr>
        <w:tabs>
          <w:tab w:val="left" w:pos="220"/>
          <w:tab w:val="left" w:pos="720"/>
        </w:tabs>
        <w:autoSpaceDE w:val="0"/>
        <w:autoSpaceDN w:val="0"/>
        <w:adjustRightInd w:val="0"/>
        <w:spacing w:after="120"/>
        <w:rPr>
          <w:rFonts w:eastAsiaTheme="minorEastAsia" w:cs="Times New Roman"/>
          <w:sz w:val="20"/>
          <w:lang w:val="en-US" w:eastAsia="ja-JP"/>
        </w:rPr>
      </w:pPr>
      <w:r w:rsidRPr="000605BC">
        <w:rPr>
          <w:rFonts w:eastAsiaTheme="minorEastAsia" w:cs="Times New Roman"/>
          <w:sz w:val="20"/>
          <w:lang w:val="en-US" w:eastAsia="ja-JP"/>
        </w:rPr>
        <w:t>Sentencing guidelines for money laundering offences came into force October 1, 2014. For more inform</w:t>
      </w:r>
      <w:r w:rsidR="0099556C" w:rsidRPr="000605BC">
        <w:rPr>
          <w:rFonts w:eastAsiaTheme="minorEastAsia" w:cs="Times New Roman"/>
          <w:sz w:val="20"/>
          <w:lang w:val="en-US" w:eastAsia="ja-JP"/>
        </w:rPr>
        <w:t xml:space="preserve">ation see </w:t>
      </w:r>
      <w:r w:rsidR="0099556C" w:rsidRPr="000605BC">
        <w:rPr>
          <w:rFonts w:eastAsiaTheme="minorEastAsia" w:cs="Times New Roman"/>
          <w:sz w:val="20"/>
          <w:highlight w:val="cyan"/>
          <w:lang w:val="en-US" w:eastAsia="ja-JP"/>
        </w:rPr>
        <w:t>Chapter 7, Section 5</w:t>
      </w:r>
      <w:r w:rsidR="0099556C" w:rsidRPr="000605BC">
        <w:rPr>
          <w:rFonts w:eastAsiaTheme="minorEastAsia" w:cs="Times New Roman"/>
          <w:sz w:val="20"/>
          <w:lang w:val="en-US" w:eastAsia="ja-JP"/>
        </w:rPr>
        <w:t>.</w:t>
      </w:r>
    </w:p>
    <w:tbl>
      <w:tblPr>
        <w:tblStyle w:val="TableGrid"/>
        <w:tblpPr w:leftFromText="180" w:rightFromText="180" w:vertAnchor="text" w:horzAnchor="margin" w:tblpY="198"/>
        <w:tblW w:w="0" w:type="auto"/>
        <w:tblCellMar>
          <w:top w:w="284" w:type="dxa"/>
          <w:left w:w="284" w:type="dxa"/>
          <w:bottom w:w="284" w:type="dxa"/>
          <w:right w:w="284" w:type="dxa"/>
        </w:tblCellMar>
        <w:tblLook w:val="04A0" w:firstRow="1" w:lastRow="0" w:firstColumn="1" w:lastColumn="0" w:noHBand="0" w:noVBand="1"/>
      </w:tblPr>
      <w:tblGrid>
        <w:gridCol w:w="8070"/>
      </w:tblGrid>
      <w:tr w:rsidR="000618B6" w:rsidRPr="000605BC" w14:paraId="440341ED" w14:textId="77777777" w:rsidTr="000618B6">
        <w:tc>
          <w:tcPr>
            <w:tcW w:w="9350" w:type="dxa"/>
          </w:tcPr>
          <w:p w14:paraId="730CEE8E" w14:textId="77777777" w:rsidR="000618B6" w:rsidRPr="000605BC" w:rsidRDefault="000618B6" w:rsidP="000618B6">
            <w:pPr>
              <w:tabs>
                <w:tab w:val="left" w:pos="220"/>
                <w:tab w:val="left" w:pos="720"/>
              </w:tabs>
              <w:autoSpaceDE w:val="0"/>
              <w:autoSpaceDN w:val="0"/>
              <w:adjustRightInd w:val="0"/>
              <w:spacing w:before="0" w:after="120"/>
              <w:rPr>
                <w:rFonts w:eastAsiaTheme="minorEastAsia" w:cs="Times New Roman"/>
                <w:b/>
                <w:sz w:val="20"/>
                <w:lang w:val="en-US" w:eastAsia="ja-JP"/>
              </w:rPr>
            </w:pPr>
            <w:r w:rsidRPr="000605BC">
              <w:rPr>
                <w:rFonts w:eastAsiaTheme="minorEastAsia" w:cs="Times New Roman"/>
                <w:b/>
                <w:sz w:val="20"/>
                <w:lang w:val="en-US" w:eastAsia="ja-JP"/>
              </w:rPr>
              <w:t>Further Reading</w:t>
            </w:r>
          </w:p>
          <w:p w14:paraId="5228BE16" w14:textId="77777777" w:rsidR="000618B6" w:rsidRPr="000605BC" w:rsidRDefault="000618B6" w:rsidP="00600712">
            <w:pPr>
              <w:tabs>
                <w:tab w:val="left" w:pos="220"/>
                <w:tab w:val="left" w:pos="720"/>
              </w:tabs>
              <w:autoSpaceDE w:val="0"/>
              <w:autoSpaceDN w:val="0"/>
              <w:adjustRightInd w:val="0"/>
              <w:spacing w:before="120" w:after="120"/>
              <w:rPr>
                <w:rFonts w:cs="Times New Roman"/>
                <w:sz w:val="20"/>
              </w:rPr>
            </w:pPr>
            <w:r w:rsidRPr="000605BC">
              <w:rPr>
                <w:rFonts w:eastAsiaTheme="minorEastAsia" w:cs="Times New Roman"/>
                <w:sz w:val="20"/>
                <w:lang w:val="en-US" w:eastAsia="ja-JP"/>
              </w:rPr>
              <w:t xml:space="preserve">For a detailed analysis of the provisions of the </w:t>
            </w:r>
            <w:r w:rsidRPr="000605BC">
              <w:rPr>
                <w:rFonts w:eastAsiaTheme="minorEastAsia" w:cs="Times New Roman"/>
                <w:i/>
                <w:sz w:val="20"/>
                <w:lang w:val="en-US" w:eastAsia="ja-JP"/>
              </w:rPr>
              <w:t>Proceeds of Crime Act 2002</w:t>
            </w:r>
            <w:r w:rsidRPr="000605BC">
              <w:rPr>
                <w:rFonts w:eastAsiaTheme="minorEastAsia" w:cs="Times New Roman"/>
                <w:sz w:val="20"/>
                <w:lang w:val="en-US" w:eastAsia="ja-JP"/>
              </w:rPr>
              <w:t xml:space="preserve">, see </w:t>
            </w:r>
            <w:r w:rsidRPr="000605BC">
              <w:rPr>
                <w:rFonts w:cs="Times New Roman"/>
                <w:sz w:val="20"/>
              </w:rPr>
              <w:t xml:space="preserve">Edward Rees, QC, Richard Fisher &amp; Richard Thomas, </w:t>
            </w:r>
            <w:r w:rsidRPr="000605BC">
              <w:rPr>
                <w:rFonts w:cs="Times New Roman"/>
                <w:i/>
                <w:sz w:val="20"/>
              </w:rPr>
              <w:t xml:space="preserve">Blackstone’s Guide to the Proceeds of Crime Act 2002, </w:t>
            </w:r>
            <w:r w:rsidRPr="000605BC">
              <w:rPr>
                <w:rFonts w:cs="Times New Roman"/>
                <w:sz w:val="20"/>
              </w:rPr>
              <w:t>4</w:t>
            </w:r>
            <w:r w:rsidRPr="000605BC">
              <w:rPr>
                <w:rFonts w:cs="Times New Roman"/>
                <w:sz w:val="20"/>
                <w:vertAlign w:val="superscript"/>
              </w:rPr>
              <w:t>th</w:t>
            </w:r>
            <w:r w:rsidRPr="000605BC">
              <w:rPr>
                <w:rFonts w:cs="Times New Roman"/>
                <w:sz w:val="20"/>
              </w:rPr>
              <w:t xml:space="preserve"> </w:t>
            </w:r>
            <w:proofErr w:type="spellStart"/>
            <w:r w:rsidRPr="000605BC">
              <w:rPr>
                <w:rFonts w:cs="Times New Roman"/>
                <w:sz w:val="20"/>
              </w:rPr>
              <w:t>ed</w:t>
            </w:r>
            <w:proofErr w:type="spellEnd"/>
            <w:r w:rsidRPr="000605BC">
              <w:rPr>
                <w:rFonts w:cs="Times New Roman"/>
                <w:sz w:val="20"/>
              </w:rPr>
              <w:t xml:space="preserve"> (Oxford University Press,</w:t>
            </w:r>
            <w:r w:rsidRPr="000605BC">
              <w:rPr>
                <w:rFonts w:cs="Times New Roman"/>
                <w:i/>
                <w:sz w:val="20"/>
              </w:rPr>
              <w:t xml:space="preserve"> </w:t>
            </w:r>
            <w:r w:rsidRPr="000605BC">
              <w:rPr>
                <w:rFonts w:cs="Times New Roman"/>
                <w:sz w:val="20"/>
              </w:rPr>
              <w:t>2011).</w:t>
            </w:r>
          </w:p>
          <w:p w14:paraId="00113F9E" w14:textId="77777777" w:rsidR="000618B6" w:rsidRPr="000605BC" w:rsidRDefault="000618B6" w:rsidP="00600712">
            <w:pPr>
              <w:autoSpaceDE w:val="0"/>
              <w:autoSpaceDN w:val="0"/>
              <w:adjustRightInd w:val="0"/>
              <w:spacing w:before="120" w:after="120"/>
              <w:rPr>
                <w:rFonts w:eastAsia="Arial Unicode MS" w:cs="Times New Roman"/>
                <w:sz w:val="20"/>
                <w:lang w:val="en-US" w:eastAsia="ja-JP"/>
              </w:rPr>
            </w:pPr>
            <w:r w:rsidRPr="000605BC">
              <w:rPr>
                <w:rFonts w:eastAsia="Arial Unicode MS" w:cs="Times New Roman"/>
                <w:sz w:val="20"/>
                <w:lang w:val="en-US" w:eastAsia="ja-JP"/>
              </w:rPr>
              <w:t xml:space="preserve">For a critical look at the success of the UK’s money laundering laws, see Peter Allan </w:t>
            </w:r>
            <w:proofErr w:type="spellStart"/>
            <w:r w:rsidRPr="000605BC">
              <w:rPr>
                <w:rFonts w:eastAsia="Arial Unicode MS" w:cs="Times New Roman"/>
                <w:sz w:val="20"/>
                <w:lang w:val="en-US" w:eastAsia="ja-JP"/>
              </w:rPr>
              <w:t>Sproat</w:t>
            </w:r>
            <w:proofErr w:type="spellEnd"/>
            <w:r w:rsidRPr="000605BC">
              <w:rPr>
                <w:rFonts w:eastAsia="Arial Unicode MS" w:cs="Times New Roman"/>
                <w:sz w:val="20"/>
                <w:lang w:val="en-US" w:eastAsia="ja-JP"/>
              </w:rPr>
              <w:t xml:space="preserve">, “An Evaluation of the UK’s Money Laundering and Asset Recovery Regime” (2007) 47:3 Crime, L &amp; </w:t>
            </w:r>
            <w:proofErr w:type="spellStart"/>
            <w:r w:rsidRPr="000605BC">
              <w:rPr>
                <w:rFonts w:eastAsia="Arial Unicode MS" w:cs="Times New Roman"/>
                <w:sz w:val="20"/>
                <w:lang w:val="en-US" w:eastAsia="ja-JP"/>
              </w:rPr>
              <w:t>Soc</w:t>
            </w:r>
            <w:proofErr w:type="spellEnd"/>
            <w:r w:rsidRPr="000605BC">
              <w:rPr>
                <w:rFonts w:eastAsia="Arial Unicode MS" w:cs="Times New Roman"/>
                <w:sz w:val="20"/>
                <w:lang w:val="en-US" w:eastAsia="ja-JP"/>
              </w:rPr>
              <w:t xml:space="preserve"> Change 169. </w:t>
            </w:r>
          </w:p>
          <w:p w14:paraId="26346B40" w14:textId="35D16937" w:rsidR="000618B6" w:rsidRPr="000605BC" w:rsidRDefault="000618B6" w:rsidP="00054C01">
            <w:pPr>
              <w:autoSpaceDE w:val="0"/>
              <w:autoSpaceDN w:val="0"/>
              <w:adjustRightInd w:val="0"/>
              <w:spacing w:before="120" w:after="0"/>
              <w:rPr>
                <w:rFonts w:eastAsia="Arial Unicode MS" w:cs="Times New Roman"/>
                <w:sz w:val="20"/>
                <w:lang w:val="en-US" w:eastAsia="ja-JP"/>
              </w:rPr>
            </w:pPr>
            <w:r w:rsidRPr="000605BC">
              <w:rPr>
                <w:rFonts w:eastAsia="Arial Unicode MS" w:cs="Times New Roman"/>
                <w:sz w:val="20"/>
                <w:lang w:val="en-US" w:eastAsia="ja-JP"/>
              </w:rPr>
              <w:t xml:space="preserve">For more on the UK’s anti-money laundering regime and its weaknesses, see </w:t>
            </w:r>
            <w:r w:rsidRPr="000605BC">
              <w:rPr>
                <w:sz w:val="20"/>
              </w:rPr>
              <w:t xml:space="preserve">Karen Harrison &amp; Nicholas Ryder, </w:t>
            </w:r>
            <w:r w:rsidRPr="000605BC">
              <w:rPr>
                <w:i/>
                <w:sz w:val="20"/>
              </w:rPr>
              <w:t>The Law Relating to Financial Crime in the United Kingdom</w:t>
            </w:r>
            <w:r w:rsidRPr="000605BC">
              <w:rPr>
                <w:sz w:val="20"/>
              </w:rPr>
              <w:t xml:space="preserve"> (</w:t>
            </w:r>
            <w:proofErr w:type="spellStart"/>
            <w:r w:rsidRPr="000605BC">
              <w:rPr>
                <w:sz w:val="20"/>
              </w:rPr>
              <w:t>Ashgate</w:t>
            </w:r>
            <w:proofErr w:type="spellEnd"/>
            <w:r w:rsidRPr="000605BC">
              <w:rPr>
                <w:sz w:val="20"/>
              </w:rPr>
              <w:t>, 2013) 9-37.</w:t>
            </w:r>
          </w:p>
        </w:tc>
      </w:tr>
    </w:tbl>
    <w:p w14:paraId="7601B575" w14:textId="79296CFA" w:rsidR="006B08AB" w:rsidRPr="000605BC" w:rsidRDefault="006B08AB">
      <w:pPr>
        <w:spacing w:before="0" w:after="0"/>
        <w:jc w:val="left"/>
        <w:rPr>
          <w:rFonts w:eastAsiaTheme="minorEastAsia" w:cs="Times New Roman"/>
          <w:sz w:val="20"/>
          <w:lang w:val="en-US" w:eastAsia="ja-JP"/>
        </w:rPr>
      </w:pPr>
    </w:p>
    <w:p w14:paraId="7A65A484" w14:textId="1F95BDD3" w:rsidR="002E6B93" w:rsidRPr="000605BC" w:rsidRDefault="002E6B93" w:rsidP="000618B6">
      <w:pPr>
        <w:pStyle w:val="Heading3"/>
        <w:rPr>
          <w:sz w:val="22"/>
          <w:lang w:val="en-US" w:eastAsia="ja-JP"/>
        </w:rPr>
      </w:pPr>
      <w:bookmarkStart w:id="82" w:name="_Toc287093746"/>
      <w:bookmarkStart w:id="83" w:name="_Toc419901564"/>
      <w:r w:rsidRPr="000605BC">
        <w:rPr>
          <w:sz w:val="22"/>
          <w:lang w:val="en-US" w:eastAsia="ja-JP"/>
        </w:rPr>
        <w:t>Canada</w:t>
      </w:r>
      <w:bookmarkEnd w:id="82"/>
      <w:bookmarkEnd w:id="83"/>
    </w:p>
    <w:p w14:paraId="208F0D63" w14:textId="0DC29236" w:rsidR="00D2563E" w:rsidRPr="000605BC" w:rsidRDefault="00C00973" w:rsidP="00916A81">
      <w:pPr>
        <w:tabs>
          <w:tab w:val="left" w:pos="0"/>
        </w:tabs>
        <w:autoSpaceDE w:val="0"/>
        <w:autoSpaceDN w:val="0"/>
        <w:adjustRightInd w:val="0"/>
        <w:rPr>
          <w:rFonts w:eastAsia="Arial Unicode MS" w:cs="Times New Roman"/>
          <w:iCs/>
          <w:color w:val="000000"/>
          <w:sz w:val="20"/>
          <w:lang w:val="en-US"/>
        </w:rPr>
      </w:pPr>
      <w:r w:rsidRPr="000605BC">
        <w:rPr>
          <w:rFonts w:eastAsia="Arial Unicode MS" w:cs="Times New Roman"/>
          <w:sz w:val="20"/>
          <w:lang w:val="en-US" w:eastAsia="ja-JP"/>
        </w:rPr>
        <w:t>M</w:t>
      </w:r>
      <w:r w:rsidR="00602E48" w:rsidRPr="000605BC">
        <w:rPr>
          <w:rFonts w:eastAsia="Arial Unicode MS" w:cs="Times New Roman"/>
          <w:sz w:val="20"/>
          <w:lang w:val="en-US" w:eastAsia="ja-JP"/>
        </w:rPr>
        <w:t xml:space="preserve">oney laundering laws in Canada </w:t>
      </w:r>
      <w:r w:rsidR="00BA001C" w:rsidRPr="000605BC">
        <w:rPr>
          <w:rFonts w:eastAsia="Arial Unicode MS" w:cs="Times New Roman"/>
          <w:sz w:val="20"/>
          <w:lang w:val="en-US" w:eastAsia="ja-JP"/>
        </w:rPr>
        <w:t>were first enacted in 1989</w:t>
      </w:r>
      <w:r w:rsidRPr="000605BC">
        <w:rPr>
          <w:rFonts w:eastAsia="Arial Unicode MS" w:cs="Times New Roman"/>
          <w:sz w:val="20"/>
          <w:lang w:val="en-US" w:eastAsia="ja-JP"/>
        </w:rPr>
        <w:t xml:space="preserve"> and were subsequently amended in 1997, 2001 and 2005.</w:t>
      </w:r>
      <w:r w:rsidR="00A03024" w:rsidRPr="000605BC">
        <w:rPr>
          <w:rStyle w:val="FootnoteReference"/>
          <w:rFonts w:cs="Times New Roman"/>
          <w:sz w:val="20"/>
          <w:lang w:val="en-US"/>
        </w:rPr>
        <w:footnoteReference w:id="104"/>
      </w:r>
      <w:r w:rsidRPr="000605BC">
        <w:rPr>
          <w:rFonts w:cs="Times New Roman"/>
          <w:sz w:val="20"/>
          <w:lang w:val="en-US"/>
        </w:rPr>
        <w:t xml:space="preserve"> </w:t>
      </w:r>
      <w:r w:rsidR="00602E48" w:rsidRPr="000605BC">
        <w:rPr>
          <w:rFonts w:eastAsia="Arial Unicode MS" w:cs="Times New Roman"/>
          <w:sz w:val="20"/>
          <w:lang w:val="en-US" w:eastAsia="ja-JP"/>
        </w:rPr>
        <w:t>The cur</w:t>
      </w:r>
      <w:r w:rsidR="00BA001C" w:rsidRPr="000605BC">
        <w:rPr>
          <w:rFonts w:eastAsia="Arial Unicode MS" w:cs="Times New Roman"/>
          <w:sz w:val="20"/>
          <w:lang w:val="en-US" w:eastAsia="ja-JP"/>
        </w:rPr>
        <w:t>rent money laundering</w:t>
      </w:r>
      <w:r w:rsidR="00602E48" w:rsidRPr="000605BC">
        <w:rPr>
          <w:rFonts w:eastAsia="Arial Unicode MS" w:cs="Times New Roman"/>
          <w:sz w:val="20"/>
          <w:lang w:val="en-US" w:eastAsia="ja-JP"/>
        </w:rPr>
        <w:t xml:space="preserve"> offences are set out in</w:t>
      </w:r>
      <w:r w:rsidR="00BF196B" w:rsidRPr="000605BC">
        <w:rPr>
          <w:rFonts w:eastAsia="Arial Unicode MS" w:cs="Times New Roman"/>
          <w:iCs/>
          <w:color w:val="000000"/>
          <w:sz w:val="20"/>
          <w:lang w:val="en-US"/>
        </w:rPr>
        <w:t xml:space="preserve"> s</w:t>
      </w:r>
      <w:r w:rsidR="00FD209A" w:rsidRPr="000605BC">
        <w:rPr>
          <w:rFonts w:eastAsia="Arial Unicode MS" w:cs="Times New Roman"/>
          <w:iCs/>
          <w:color w:val="000000"/>
          <w:sz w:val="20"/>
          <w:lang w:val="en-US"/>
        </w:rPr>
        <w:t>ections</w:t>
      </w:r>
      <w:r w:rsidR="00BF196B" w:rsidRPr="000605BC">
        <w:rPr>
          <w:rFonts w:eastAsia="Arial Unicode MS" w:cs="Times New Roman"/>
          <w:iCs/>
          <w:color w:val="000000"/>
          <w:sz w:val="20"/>
          <w:lang w:val="en-US"/>
        </w:rPr>
        <w:t xml:space="preserve"> 462.31(1) </w:t>
      </w:r>
      <w:r w:rsidR="00FD209A" w:rsidRPr="000605BC">
        <w:rPr>
          <w:rFonts w:eastAsia="Arial Unicode MS" w:cs="Times New Roman"/>
          <w:iCs/>
          <w:color w:val="000000"/>
          <w:sz w:val="20"/>
          <w:lang w:val="en-US"/>
        </w:rPr>
        <w:t xml:space="preserve">and </w:t>
      </w:r>
      <w:r w:rsidR="00080137" w:rsidRPr="000605BC">
        <w:rPr>
          <w:rFonts w:eastAsia="Arial Unicode MS" w:cs="Times New Roman"/>
          <w:iCs/>
          <w:color w:val="000000"/>
          <w:sz w:val="20"/>
          <w:lang w:val="en-US"/>
        </w:rPr>
        <w:t xml:space="preserve">354(1) </w:t>
      </w:r>
      <w:r w:rsidR="00BF196B" w:rsidRPr="000605BC">
        <w:rPr>
          <w:rFonts w:eastAsia="Arial Unicode MS" w:cs="Times New Roman"/>
          <w:iCs/>
          <w:color w:val="000000"/>
          <w:sz w:val="20"/>
          <w:lang w:val="en-US"/>
        </w:rPr>
        <w:t xml:space="preserve">of the </w:t>
      </w:r>
      <w:r w:rsidR="00BF196B" w:rsidRPr="000605BC">
        <w:rPr>
          <w:rFonts w:eastAsia="Arial Unicode MS" w:cs="Times New Roman"/>
          <w:i/>
          <w:iCs/>
          <w:color w:val="000000"/>
          <w:sz w:val="20"/>
          <w:lang w:val="en-US"/>
        </w:rPr>
        <w:t>Criminal Code</w:t>
      </w:r>
      <w:r w:rsidR="00BF196B" w:rsidRPr="000605BC">
        <w:rPr>
          <w:rFonts w:eastAsia="Arial Unicode MS" w:cs="Times New Roman"/>
          <w:iCs/>
          <w:color w:val="000000"/>
          <w:sz w:val="20"/>
          <w:lang w:val="en-US"/>
        </w:rPr>
        <w:t>, w</w:t>
      </w:r>
      <w:r w:rsidR="00D80493" w:rsidRPr="000605BC">
        <w:rPr>
          <w:rFonts w:eastAsia="Arial Unicode MS" w:cs="Times New Roman"/>
          <w:iCs/>
          <w:color w:val="000000"/>
          <w:sz w:val="20"/>
          <w:lang w:val="en-US"/>
        </w:rPr>
        <w:t>hich state</w:t>
      </w:r>
      <w:r w:rsidR="00BF196B" w:rsidRPr="000605BC">
        <w:rPr>
          <w:rFonts w:eastAsia="Arial Unicode MS" w:cs="Times New Roman"/>
          <w:iCs/>
          <w:color w:val="000000"/>
          <w:sz w:val="20"/>
          <w:lang w:val="en-US"/>
        </w:rPr>
        <w:t>:</w:t>
      </w:r>
    </w:p>
    <w:p w14:paraId="5C1373B0" w14:textId="119DF2D0" w:rsidR="00D2563E" w:rsidRPr="000605BC" w:rsidRDefault="00D2563E" w:rsidP="00D95707">
      <w:pPr>
        <w:pStyle w:val="BlockQuote"/>
        <w:rPr>
          <w:sz w:val="20"/>
        </w:rPr>
      </w:pPr>
      <w:r w:rsidRPr="000605BC">
        <w:rPr>
          <w:sz w:val="20"/>
        </w:rPr>
        <w:t>Laundering proceeds of crime</w:t>
      </w:r>
    </w:p>
    <w:p w14:paraId="68B81086" w14:textId="77777777" w:rsidR="00BF196B" w:rsidRPr="000605BC" w:rsidRDefault="00BF196B" w:rsidP="00D95707">
      <w:pPr>
        <w:pStyle w:val="BlockQuote"/>
        <w:rPr>
          <w:rFonts w:cs="Times New Roman"/>
          <w:sz w:val="20"/>
          <w:szCs w:val="21"/>
          <w:lang w:val="en-US"/>
        </w:rPr>
      </w:pPr>
      <w:r w:rsidRPr="000605BC">
        <w:rPr>
          <w:rFonts w:cs="Times New Roman"/>
          <w:b/>
          <w:bCs/>
          <w:sz w:val="20"/>
          <w:szCs w:val="21"/>
          <w:lang w:val="en-US"/>
        </w:rPr>
        <w:t>462.31</w:t>
      </w:r>
      <w:r w:rsidRPr="000605BC">
        <w:rPr>
          <w:rFonts w:cs="Times New Roman"/>
          <w:sz w:val="20"/>
          <w:szCs w:val="21"/>
          <w:lang w:val="en-US"/>
        </w:rPr>
        <w:t xml:space="preserve"> (1) Every one commits an offence who </w:t>
      </w:r>
      <w:r w:rsidRPr="000605BC">
        <w:rPr>
          <w:rFonts w:cs="Times New Roman"/>
          <w:i/>
          <w:sz w:val="20"/>
          <w:szCs w:val="21"/>
          <w:lang w:val="en-US"/>
        </w:rPr>
        <w:t>uses, transfers the possession of, sends or delivers to any person or place, transports, transmits, alters, disposes of or otherwise deals with, in any manner and by any means,</w:t>
      </w:r>
      <w:r w:rsidRPr="000605BC">
        <w:rPr>
          <w:rFonts w:cs="Times New Roman"/>
          <w:sz w:val="20"/>
          <w:szCs w:val="21"/>
          <w:lang w:val="en-US"/>
        </w:rPr>
        <w:t xml:space="preserve"> any property or any proceeds of any property </w:t>
      </w:r>
      <w:r w:rsidRPr="000605BC">
        <w:rPr>
          <w:rFonts w:cs="Times New Roman"/>
          <w:i/>
          <w:sz w:val="20"/>
          <w:szCs w:val="21"/>
          <w:lang w:val="en-US"/>
        </w:rPr>
        <w:t>with intent to conceal</w:t>
      </w:r>
      <w:r w:rsidRPr="000605BC">
        <w:rPr>
          <w:rFonts w:cs="Times New Roman"/>
          <w:sz w:val="20"/>
          <w:szCs w:val="21"/>
          <w:lang w:val="en-US"/>
        </w:rPr>
        <w:t xml:space="preserve"> or convert that property or those proceeds, </w:t>
      </w:r>
      <w:r w:rsidRPr="000605BC">
        <w:rPr>
          <w:rFonts w:cs="Times New Roman"/>
          <w:i/>
          <w:sz w:val="20"/>
          <w:szCs w:val="21"/>
          <w:lang w:val="en-US"/>
        </w:rPr>
        <w:t>knowing or believing</w:t>
      </w:r>
      <w:r w:rsidRPr="000605BC">
        <w:rPr>
          <w:rFonts w:cs="Times New Roman"/>
          <w:sz w:val="20"/>
          <w:szCs w:val="21"/>
          <w:lang w:val="en-US"/>
        </w:rPr>
        <w:t xml:space="preserve"> that all or a part of that property or of those proceeds was obtained or derived directly or indirectly as a result of</w:t>
      </w:r>
    </w:p>
    <w:p w14:paraId="785EE674" w14:textId="41C8FA25" w:rsidR="00BF196B" w:rsidRPr="000605BC" w:rsidRDefault="00BF196B" w:rsidP="00696D88">
      <w:pPr>
        <w:pStyle w:val="BlockQuote"/>
        <w:numPr>
          <w:ilvl w:val="0"/>
          <w:numId w:val="23"/>
        </w:numPr>
        <w:spacing w:before="60" w:after="0"/>
        <w:jc w:val="left"/>
        <w:rPr>
          <w:rFonts w:cs="Times New Roman"/>
          <w:sz w:val="20"/>
          <w:szCs w:val="21"/>
          <w:lang w:val="en-US"/>
        </w:rPr>
      </w:pPr>
      <w:r w:rsidRPr="000605BC">
        <w:rPr>
          <w:rFonts w:cs="Times New Roman"/>
          <w:sz w:val="20"/>
          <w:szCs w:val="21"/>
          <w:lang w:val="en-US"/>
        </w:rPr>
        <w:t xml:space="preserve">the commission in Canada of a </w:t>
      </w:r>
      <w:r w:rsidRPr="000605BC">
        <w:rPr>
          <w:rFonts w:cs="Times New Roman"/>
          <w:i/>
          <w:sz w:val="20"/>
          <w:szCs w:val="21"/>
          <w:lang w:val="en-US"/>
        </w:rPr>
        <w:t>designated offence</w:t>
      </w:r>
      <w:r w:rsidRPr="000605BC">
        <w:rPr>
          <w:rFonts w:cs="Times New Roman"/>
          <w:sz w:val="20"/>
          <w:szCs w:val="21"/>
          <w:lang w:val="en-US"/>
        </w:rPr>
        <w:t>; or</w:t>
      </w:r>
    </w:p>
    <w:p w14:paraId="1B35AF74" w14:textId="75508321" w:rsidR="00FD209A" w:rsidRPr="000605BC" w:rsidRDefault="00BF196B" w:rsidP="00696D88">
      <w:pPr>
        <w:pStyle w:val="BlockQuote"/>
        <w:numPr>
          <w:ilvl w:val="0"/>
          <w:numId w:val="23"/>
        </w:numPr>
        <w:spacing w:before="60" w:after="0"/>
        <w:jc w:val="left"/>
        <w:rPr>
          <w:rFonts w:cs="Times New Roman"/>
          <w:iCs/>
          <w:color w:val="000000"/>
          <w:sz w:val="20"/>
          <w:szCs w:val="21"/>
          <w:lang w:val="en-US"/>
        </w:rPr>
      </w:pPr>
      <w:proofErr w:type="gramStart"/>
      <w:r w:rsidRPr="000605BC">
        <w:rPr>
          <w:rFonts w:cs="Times New Roman"/>
          <w:sz w:val="20"/>
          <w:szCs w:val="21"/>
          <w:lang w:val="en-US"/>
        </w:rPr>
        <w:t>an</w:t>
      </w:r>
      <w:proofErr w:type="gramEnd"/>
      <w:r w:rsidRPr="000605BC">
        <w:rPr>
          <w:rFonts w:cs="Times New Roman"/>
          <w:sz w:val="20"/>
          <w:szCs w:val="21"/>
          <w:lang w:val="en-US"/>
        </w:rPr>
        <w:t xml:space="preserve"> act or omission anywhere that, if it had occurred in Canada, would have constituted a designated offence.</w:t>
      </w:r>
      <w:r w:rsidRPr="000605BC">
        <w:rPr>
          <w:rFonts w:cs="Times New Roman"/>
          <w:iCs/>
          <w:color w:val="000000"/>
          <w:sz w:val="20"/>
          <w:szCs w:val="21"/>
          <w:lang w:val="en-US"/>
        </w:rPr>
        <w:t xml:space="preserve"> </w:t>
      </w:r>
    </w:p>
    <w:p w14:paraId="7CCDC704" w14:textId="2CC37D21" w:rsidR="000E3A5C" w:rsidRPr="000605BC" w:rsidRDefault="000E3A5C" w:rsidP="00D95707">
      <w:pPr>
        <w:pStyle w:val="BlockQuote"/>
        <w:spacing w:before="240"/>
        <w:rPr>
          <w:rFonts w:eastAsia="Times New Roman" w:cs="Times New Roman"/>
          <w:sz w:val="20"/>
          <w:szCs w:val="21"/>
        </w:rPr>
      </w:pPr>
      <w:r w:rsidRPr="000605BC">
        <w:rPr>
          <w:rFonts w:eastAsia="Times New Roman" w:cs="Times New Roman"/>
          <w:sz w:val="20"/>
          <w:szCs w:val="21"/>
        </w:rPr>
        <w:t>Possession of property obtained by crime</w:t>
      </w:r>
    </w:p>
    <w:p w14:paraId="251AD33E" w14:textId="77777777" w:rsidR="00A04C38" w:rsidRPr="000605BC" w:rsidRDefault="00A04C38" w:rsidP="00D95707">
      <w:pPr>
        <w:pStyle w:val="BlockQuote"/>
        <w:rPr>
          <w:rFonts w:cs="Times New Roman"/>
          <w:color w:val="000000"/>
          <w:sz w:val="20"/>
          <w:szCs w:val="21"/>
        </w:rPr>
      </w:pPr>
      <w:r w:rsidRPr="000605BC">
        <w:rPr>
          <w:rStyle w:val="sectionlabel"/>
          <w:rFonts w:cs="Times New Roman"/>
          <w:b/>
          <w:bCs/>
          <w:color w:val="000000"/>
          <w:sz w:val="20"/>
          <w:szCs w:val="21"/>
        </w:rPr>
        <w:t>354.</w:t>
      </w:r>
      <w:r w:rsidRPr="000605BC">
        <w:rPr>
          <w:rFonts w:cs="Times New Roman"/>
          <w:color w:val="000000"/>
          <w:sz w:val="20"/>
          <w:szCs w:val="21"/>
        </w:rPr>
        <w:t> (1) </w:t>
      </w:r>
      <w:proofErr w:type="gramStart"/>
      <w:r w:rsidRPr="000605BC">
        <w:rPr>
          <w:rFonts w:cs="Times New Roman"/>
          <w:color w:val="000000"/>
          <w:sz w:val="20"/>
          <w:szCs w:val="21"/>
        </w:rPr>
        <w:t>Every</w:t>
      </w:r>
      <w:proofErr w:type="gramEnd"/>
      <w:r w:rsidRPr="000605BC">
        <w:rPr>
          <w:rFonts w:cs="Times New Roman"/>
          <w:color w:val="000000"/>
          <w:sz w:val="20"/>
          <w:szCs w:val="21"/>
        </w:rPr>
        <w:t xml:space="preserve"> one commits an offence who has in his </w:t>
      </w:r>
      <w:r w:rsidRPr="000605BC">
        <w:rPr>
          <w:rFonts w:cs="Times New Roman"/>
          <w:i/>
          <w:color w:val="000000"/>
          <w:sz w:val="20"/>
          <w:szCs w:val="21"/>
        </w:rPr>
        <w:t xml:space="preserve">possession </w:t>
      </w:r>
      <w:r w:rsidRPr="000605BC">
        <w:rPr>
          <w:rFonts w:cs="Times New Roman"/>
          <w:color w:val="000000"/>
          <w:sz w:val="20"/>
          <w:szCs w:val="21"/>
        </w:rPr>
        <w:t xml:space="preserve">any property or thing or any proceeds of any property or thing </w:t>
      </w:r>
      <w:r w:rsidRPr="000605BC">
        <w:rPr>
          <w:rFonts w:cs="Times New Roman"/>
          <w:i/>
          <w:color w:val="000000"/>
          <w:sz w:val="20"/>
          <w:szCs w:val="21"/>
        </w:rPr>
        <w:t>knowing</w:t>
      </w:r>
      <w:r w:rsidRPr="000605BC">
        <w:rPr>
          <w:rFonts w:cs="Times New Roman"/>
          <w:color w:val="000000"/>
          <w:sz w:val="20"/>
          <w:szCs w:val="21"/>
        </w:rPr>
        <w:t xml:space="preserve"> that all or part of the property or thing or of the proceeds was obtained by or derived directly or indirectly from</w:t>
      </w:r>
    </w:p>
    <w:p w14:paraId="17298DE9" w14:textId="1C618E2C" w:rsidR="00A04C38" w:rsidRPr="000605BC" w:rsidRDefault="00A04C38" w:rsidP="00696D88">
      <w:pPr>
        <w:pStyle w:val="BlockQuote"/>
        <w:numPr>
          <w:ilvl w:val="0"/>
          <w:numId w:val="24"/>
        </w:numPr>
        <w:spacing w:before="60" w:after="0"/>
        <w:ind w:left="1440"/>
        <w:jc w:val="left"/>
        <w:rPr>
          <w:rFonts w:cs="Times New Roman"/>
          <w:color w:val="000000"/>
          <w:sz w:val="20"/>
          <w:szCs w:val="21"/>
        </w:rPr>
      </w:pPr>
      <w:r w:rsidRPr="000605BC">
        <w:rPr>
          <w:rFonts w:cs="Times New Roman"/>
          <w:color w:val="000000"/>
          <w:sz w:val="20"/>
          <w:szCs w:val="21"/>
        </w:rPr>
        <w:t xml:space="preserve">the commission in Canada of an </w:t>
      </w:r>
      <w:r w:rsidRPr="000605BC">
        <w:rPr>
          <w:rFonts w:cs="Times New Roman"/>
          <w:i/>
          <w:color w:val="000000"/>
          <w:sz w:val="20"/>
          <w:szCs w:val="21"/>
        </w:rPr>
        <w:t>offence punishable by indictment</w:t>
      </w:r>
      <w:r w:rsidRPr="000605BC">
        <w:rPr>
          <w:rFonts w:cs="Times New Roman"/>
          <w:color w:val="000000"/>
          <w:sz w:val="20"/>
          <w:szCs w:val="21"/>
        </w:rPr>
        <w:t>; or</w:t>
      </w:r>
    </w:p>
    <w:p w14:paraId="02F837C6" w14:textId="331AB16C" w:rsidR="00FD209A" w:rsidRPr="000605BC" w:rsidRDefault="00A04C38" w:rsidP="00696D88">
      <w:pPr>
        <w:pStyle w:val="BlockQuote"/>
        <w:numPr>
          <w:ilvl w:val="0"/>
          <w:numId w:val="24"/>
        </w:numPr>
        <w:spacing w:before="60" w:after="0"/>
        <w:ind w:left="1440"/>
        <w:jc w:val="left"/>
        <w:rPr>
          <w:sz w:val="20"/>
        </w:rPr>
      </w:pPr>
      <w:proofErr w:type="gramStart"/>
      <w:r w:rsidRPr="000605BC">
        <w:rPr>
          <w:rFonts w:cs="Times New Roman"/>
          <w:color w:val="000000"/>
          <w:sz w:val="20"/>
          <w:szCs w:val="21"/>
        </w:rPr>
        <w:t>an</w:t>
      </w:r>
      <w:proofErr w:type="gramEnd"/>
      <w:r w:rsidRPr="000605BC">
        <w:rPr>
          <w:rFonts w:cs="Times New Roman"/>
          <w:color w:val="000000"/>
          <w:sz w:val="20"/>
          <w:szCs w:val="21"/>
        </w:rPr>
        <w:t xml:space="preserve"> act or omission anywhere that, if it had occurred in Canada, would have constituted an offence punishable by indictment</w:t>
      </w:r>
      <w:r w:rsidR="005235AC" w:rsidRPr="000605BC">
        <w:rPr>
          <w:rFonts w:cs="Times New Roman"/>
          <w:color w:val="000000"/>
          <w:sz w:val="20"/>
          <w:szCs w:val="21"/>
        </w:rPr>
        <w:t xml:space="preserve"> </w:t>
      </w:r>
      <w:r w:rsidR="00FD209A" w:rsidRPr="000605BC">
        <w:rPr>
          <w:sz w:val="20"/>
        </w:rPr>
        <w:t>[Emphasis added]</w:t>
      </w:r>
      <w:r w:rsidR="005235AC" w:rsidRPr="000605BC">
        <w:rPr>
          <w:sz w:val="20"/>
        </w:rPr>
        <w:t>.</w:t>
      </w:r>
    </w:p>
    <w:p w14:paraId="756CDAD3" w14:textId="533B4425" w:rsidR="00C31C1C" w:rsidRPr="000605BC" w:rsidRDefault="003609CC" w:rsidP="001C7243">
      <w:pPr>
        <w:rPr>
          <w:sz w:val="20"/>
          <w:lang w:val="en-US"/>
        </w:rPr>
      </w:pPr>
      <w:r w:rsidRPr="000605BC">
        <w:rPr>
          <w:sz w:val="20"/>
          <w:lang w:val="en-US"/>
        </w:rPr>
        <w:t>There are</w:t>
      </w:r>
      <w:r w:rsidR="002E4F25" w:rsidRPr="000605BC">
        <w:rPr>
          <w:sz w:val="20"/>
          <w:lang w:val="en-US"/>
        </w:rPr>
        <w:t xml:space="preserve"> three important aspects to </w:t>
      </w:r>
      <w:r w:rsidR="009E7D41" w:rsidRPr="000605BC">
        <w:rPr>
          <w:sz w:val="20"/>
          <w:lang w:val="en-US"/>
        </w:rPr>
        <w:t>s</w:t>
      </w:r>
      <w:r w:rsidR="005235AC" w:rsidRPr="000605BC">
        <w:rPr>
          <w:sz w:val="20"/>
          <w:lang w:val="en-US"/>
        </w:rPr>
        <w:t>ection</w:t>
      </w:r>
      <w:r w:rsidR="009E7D41" w:rsidRPr="000605BC">
        <w:rPr>
          <w:sz w:val="20"/>
          <w:lang w:val="en-US"/>
        </w:rPr>
        <w:t xml:space="preserve"> 462.31</w:t>
      </w:r>
      <w:r w:rsidRPr="000605BC">
        <w:rPr>
          <w:sz w:val="20"/>
          <w:lang w:val="en-US"/>
        </w:rPr>
        <w:t xml:space="preserve">. First, </w:t>
      </w:r>
      <w:r w:rsidR="007C790E" w:rsidRPr="000605BC">
        <w:rPr>
          <w:sz w:val="20"/>
          <w:lang w:val="en-US"/>
        </w:rPr>
        <w:t xml:space="preserve">it applies only to the proceeds of </w:t>
      </w:r>
      <w:r w:rsidR="003A6F8D" w:rsidRPr="000605BC">
        <w:rPr>
          <w:sz w:val="20"/>
          <w:lang w:val="en-US"/>
        </w:rPr>
        <w:t>“</w:t>
      </w:r>
      <w:r w:rsidR="007C790E" w:rsidRPr="000605BC">
        <w:rPr>
          <w:sz w:val="20"/>
          <w:lang w:val="en-US"/>
        </w:rPr>
        <w:t>designated offences.</w:t>
      </w:r>
      <w:r w:rsidR="003A6F8D" w:rsidRPr="000605BC">
        <w:rPr>
          <w:sz w:val="20"/>
          <w:lang w:val="en-US"/>
        </w:rPr>
        <w:t>”</w:t>
      </w:r>
      <w:r w:rsidR="007C790E" w:rsidRPr="000605BC">
        <w:rPr>
          <w:sz w:val="20"/>
          <w:lang w:val="en-US"/>
        </w:rPr>
        <w:t xml:space="preserve"> </w:t>
      </w:r>
      <w:r w:rsidR="00BF196B" w:rsidRPr="000605BC">
        <w:rPr>
          <w:sz w:val="20"/>
          <w:lang w:val="en-US"/>
        </w:rPr>
        <w:t xml:space="preserve">The term </w:t>
      </w:r>
      <w:r w:rsidR="003A6F8D" w:rsidRPr="000605BC">
        <w:rPr>
          <w:sz w:val="20"/>
          <w:lang w:val="en-US"/>
        </w:rPr>
        <w:t>“</w:t>
      </w:r>
      <w:r w:rsidR="00BF196B" w:rsidRPr="000605BC">
        <w:rPr>
          <w:sz w:val="20"/>
          <w:lang w:val="en-US"/>
        </w:rPr>
        <w:t>designated offence</w:t>
      </w:r>
      <w:r w:rsidR="003A6F8D" w:rsidRPr="000605BC">
        <w:rPr>
          <w:sz w:val="20"/>
          <w:lang w:val="en-US"/>
        </w:rPr>
        <w:t>”</w:t>
      </w:r>
      <w:r w:rsidR="00BF196B" w:rsidRPr="000605BC">
        <w:rPr>
          <w:sz w:val="20"/>
          <w:lang w:val="en-US"/>
        </w:rPr>
        <w:t xml:space="preserve"> is defined in s</w:t>
      </w:r>
      <w:r w:rsidR="005235AC" w:rsidRPr="000605BC">
        <w:rPr>
          <w:sz w:val="20"/>
          <w:lang w:val="en-US"/>
        </w:rPr>
        <w:t>ection</w:t>
      </w:r>
      <w:r w:rsidR="00BF196B" w:rsidRPr="000605BC">
        <w:rPr>
          <w:sz w:val="20"/>
          <w:lang w:val="en-US"/>
        </w:rPr>
        <w:t xml:space="preserve"> 462.3 of the </w:t>
      </w:r>
      <w:r w:rsidR="00BF196B" w:rsidRPr="000605BC">
        <w:rPr>
          <w:i/>
          <w:sz w:val="20"/>
          <w:lang w:val="en-US"/>
        </w:rPr>
        <w:t>Criminal Code</w:t>
      </w:r>
      <w:r w:rsidR="00BF196B" w:rsidRPr="000605BC">
        <w:rPr>
          <w:sz w:val="20"/>
          <w:lang w:val="en-US"/>
        </w:rPr>
        <w:t xml:space="preserve"> as an offence that may be prosecuted as an indictable offence under Canadian legislation, unless is it expressly excluded by regulation. </w:t>
      </w:r>
      <w:r w:rsidR="00C31C1C" w:rsidRPr="000605BC">
        <w:rPr>
          <w:sz w:val="20"/>
          <w:lang w:val="en-US"/>
        </w:rPr>
        <w:t xml:space="preserve">This means violations of the </w:t>
      </w:r>
      <w:r w:rsidR="00C31C1C" w:rsidRPr="000605BC">
        <w:rPr>
          <w:i/>
          <w:sz w:val="20"/>
          <w:lang w:val="en-US"/>
        </w:rPr>
        <w:t>C</w:t>
      </w:r>
      <w:r w:rsidR="00BA001C" w:rsidRPr="000605BC">
        <w:rPr>
          <w:i/>
          <w:sz w:val="20"/>
          <w:lang w:val="en-US"/>
        </w:rPr>
        <w:t xml:space="preserve">orruption of </w:t>
      </w:r>
      <w:r w:rsidR="00C31C1C" w:rsidRPr="000605BC">
        <w:rPr>
          <w:i/>
          <w:sz w:val="20"/>
          <w:lang w:val="en-US"/>
        </w:rPr>
        <w:t>F</w:t>
      </w:r>
      <w:r w:rsidR="00BA001C" w:rsidRPr="000605BC">
        <w:rPr>
          <w:i/>
          <w:sz w:val="20"/>
          <w:lang w:val="en-US"/>
        </w:rPr>
        <w:t xml:space="preserve">oreign </w:t>
      </w:r>
      <w:r w:rsidR="00C31C1C" w:rsidRPr="000605BC">
        <w:rPr>
          <w:i/>
          <w:sz w:val="20"/>
          <w:lang w:val="en-US"/>
        </w:rPr>
        <w:t>P</w:t>
      </w:r>
      <w:r w:rsidR="00BA001C" w:rsidRPr="000605BC">
        <w:rPr>
          <w:i/>
          <w:sz w:val="20"/>
          <w:lang w:val="en-US"/>
        </w:rPr>
        <w:t xml:space="preserve">ublic </w:t>
      </w:r>
      <w:r w:rsidR="00C31C1C" w:rsidRPr="000605BC">
        <w:rPr>
          <w:i/>
          <w:sz w:val="20"/>
          <w:lang w:val="en-US"/>
        </w:rPr>
        <w:t>O</w:t>
      </w:r>
      <w:r w:rsidR="00BA001C" w:rsidRPr="000605BC">
        <w:rPr>
          <w:i/>
          <w:sz w:val="20"/>
          <w:lang w:val="en-US"/>
        </w:rPr>
        <w:t xml:space="preserve">fficials </w:t>
      </w:r>
      <w:r w:rsidR="00C31C1C" w:rsidRPr="000605BC">
        <w:rPr>
          <w:i/>
          <w:sz w:val="20"/>
          <w:lang w:val="en-US"/>
        </w:rPr>
        <w:t>A</w:t>
      </w:r>
      <w:r w:rsidR="00BA001C" w:rsidRPr="000605BC">
        <w:rPr>
          <w:i/>
          <w:sz w:val="20"/>
          <w:lang w:val="en-US"/>
        </w:rPr>
        <w:t>ct</w:t>
      </w:r>
      <w:r w:rsidR="00C31C1C" w:rsidRPr="000605BC">
        <w:rPr>
          <w:sz w:val="20"/>
          <w:lang w:val="en-US"/>
        </w:rPr>
        <w:t xml:space="preserve"> or bribery offences in the </w:t>
      </w:r>
      <w:r w:rsidR="00C31C1C" w:rsidRPr="000605BC">
        <w:rPr>
          <w:i/>
          <w:sz w:val="20"/>
          <w:lang w:val="en-US"/>
        </w:rPr>
        <w:t xml:space="preserve">Criminal Code </w:t>
      </w:r>
      <w:r w:rsidR="00C31C1C" w:rsidRPr="000605BC">
        <w:rPr>
          <w:sz w:val="20"/>
          <w:lang w:val="en-US"/>
        </w:rPr>
        <w:t xml:space="preserve">are included as designated offences. </w:t>
      </w:r>
      <w:r w:rsidR="007C790E" w:rsidRPr="000605BC">
        <w:rPr>
          <w:sz w:val="20"/>
          <w:lang w:val="en-US"/>
        </w:rPr>
        <w:t xml:space="preserve">Second, while the range of actions that can constitute the </w:t>
      </w:r>
      <w:r w:rsidR="007C790E" w:rsidRPr="000605BC">
        <w:rPr>
          <w:i/>
          <w:sz w:val="20"/>
          <w:lang w:val="en-US"/>
        </w:rPr>
        <w:t xml:space="preserve">actus </w:t>
      </w:r>
      <w:proofErr w:type="spellStart"/>
      <w:proofErr w:type="gramStart"/>
      <w:r w:rsidR="007C790E" w:rsidRPr="000605BC">
        <w:rPr>
          <w:i/>
          <w:sz w:val="20"/>
          <w:lang w:val="en-US"/>
        </w:rPr>
        <w:t>reus</w:t>
      </w:r>
      <w:proofErr w:type="spellEnd"/>
      <w:proofErr w:type="gramEnd"/>
      <w:r w:rsidR="007C790E" w:rsidRPr="000605BC">
        <w:rPr>
          <w:sz w:val="20"/>
          <w:lang w:val="en-US"/>
        </w:rPr>
        <w:t xml:space="preserve"> of the offence is broad, there must be intent to conceal on the part of the accused. Finally, the accused must know or believe that the property or proceeds were derived from the commission of an indictable offence. </w:t>
      </w:r>
      <w:r w:rsidR="00EA0471" w:rsidRPr="000605BC">
        <w:rPr>
          <w:sz w:val="20"/>
          <w:lang w:val="en-US"/>
        </w:rPr>
        <w:t>An offence under s</w:t>
      </w:r>
      <w:r w:rsidR="005235AC" w:rsidRPr="000605BC">
        <w:rPr>
          <w:sz w:val="20"/>
          <w:lang w:val="en-US"/>
        </w:rPr>
        <w:t>ection</w:t>
      </w:r>
      <w:r w:rsidR="00EA0471" w:rsidRPr="000605BC">
        <w:rPr>
          <w:sz w:val="20"/>
          <w:lang w:val="en-US"/>
        </w:rPr>
        <w:t xml:space="preserve"> 462.31 is punishable by up to ten years imprisonment. </w:t>
      </w:r>
      <w:r w:rsidR="009E7D41" w:rsidRPr="000605BC">
        <w:rPr>
          <w:sz w:val="20"/>
          <w:lang w:val="en-US"/>
        </w:rPr>
        <w:t xml:space="preserve">Section 354(1) </w:t>
      </w:r>
      <w:r w:rsidR="00A71A71" w:rsidRPr="000605BC">
        <w:rPr>
          <w:sz w:val="20"/>
          <w:lang w:val="en-US"/>
        </w:rPr>
        <w:t xml:space="preserve">does not require any intent to conceal the source of the property or proceeds, but it requires specific knowledge that the property was derived from an indictable offence. </w:t>
      </w:r>
      <w:r w:rsidR="007C24AF" w:rsidRPr="000605BC">
        <w:rPr>
          <w:sz w:val="20"/>
          <w:lang w:val="en-US"/>
        </w:rPr>
        <w:t>T</w:t>
      </w:r>
      <w:r w:rsidR="00A71A71" w:rsidRPr="000605BC">
        <w:rPr>
          <w:sz w:val="20"/>
          <w:lang w:val="en-US"/>
        </w:rPr>
        <w:t xml:space="preserve">herefore, only certain uses of the proceeds of relatively serious crimes will be caught by these provisions. </w:t>
      </w:r>
    </w:p>
    <w:p w14:paraId="71E580C9" w14:textId="292D9992" w:rsidR="00C9474A" w:rsidRPr="000605BC" w:rsidRDefault="007E1985" w:rsidP="001C7243">
      <w:pPr>
        <w:rPr>
          <w:sz w:val="20"/>
        </w:rPr>
      </w:pPr>
      <w:r w:rsidRPr="000605BC">
        <w:rPr>
          <w:sz w:val="20"/>
        </w:rPr>
        <w:t>Money laundering charges are typically laid along with a predicate offence such as bribery or drug trafficking. From 2010</w:t>
      </w:r>
      <w:r w:rsidR="005235AC" w:rsidRPr="000605BC">
        <w:rPr>
          <w:sz w:val="20"/>
        </w:rPr>
        <w:t xml:space="preserve"> to </w:t>
      </w:r>
      <w:r w:rsidRPr="000605BC">
        <w:rPr>
          <w:sz w:val="20"/>
        </w:rPr>
        <w:t>2014, 1,800 money laundering charges were laid in 1,027 cases involving one or more counts of money laundering along with other offences. Prosecuting the money laundering is typically not prioritized in these circumstances. The tab</w:t>
      </w:r>
      <w:r w:rsidR="00364F5C" w:rsidRPr="000605BC">
        <w:rPr>
          <w:sz w:val="20"/>
        </w:rPr>
        <w:t>les below, reproduced from FATF’</w:t>
      </w:r>
      <w:r w:rsidRPr="000605BC">
        <w:rPr>
          <w:sz w:val="20"/>
        </w:rPr>
        <w:t>s 2016 mutual evaluation of Canada</w:t>
      </w:r>
      <w:r w:rsidR="005235AC" w:rsidRPr="000605BC">
        <w:rPr>
          <w:sz w:val="20"/>
        </w:rPr>
        <w:t>,</w:t>
      </w:r>
      <w:r w:rsidRPr="000605BC">
        <w:rPr>
          <w:sz w:val="20"/>
        </w:rPr>
        <w:t xml:space="preserve"> show that while the conviction rate for these cases was 59.6%, the money laundering charge led to a conviction only 9.4% of the time.</w:t>
      </w:r>
      <w:r w:rsidR="00A84F55" w:rsidRPr="000605BC">
        <w:rPr>
          <w:rStyle w:val="FootnoteReference"/>
          <w:sz w:val="20"/>
        </w:rPr>
        <w:footnoteReference w:id="105"/>
      </w:r>
      <w:r w:rsidRPr="000605BC">
        <w:rPr>
          <w:sz w:val="20"/>
        </w:rPr>
        <w:t xml:space="preserve"> Conversely, the money laundering charge was stayed 14.6% of the time and withdrawn 72.7% of the time. In FATF’s mutual evaluation of Canad</w:t>
      </w:r>
      <w:r w:rsidR="00364F5C" w:rsidRPr="000605BC">
        <w:rPr>
          <w:sz w:val="20"/>
        </w:rPr>
        <w:t>a, discussed in greater detail in</w:t>
      </w:r>
      <w:r w:rsidRPr="000605BC">
        <w:rPr>
          <w:sz w:val="20"/>
        </w:rPr>
        <w:t xml:space="preserve"> </w:t>
      </w:r>
      <w:r w:rsidR="005235AC" w:rsidRPr="000605BC">
        <w:rPr>
          <w:sz w:val="20"/>
          <w:highlight w:val="cyan"/>
        </w:rPr>
        <w:t>S</w:t>
      </w:r>
      <w:r w:rsidRPr="000605BC">
        <w:rPr>
          <w:sz w:val="20"/>
          <w:highlight w:val="cyan"/>
        </w:rPr>
        <w:t>ection 6.3.3 of this chapter</w:t>
      </w:r>
      <w:r w:rsidRPr="000605BC">
        <w:rPr>
          <w:sz w:val="20"/>
        </w:rPr>
        <w:t>, it is explained that insufficient evidence, avoidance of over-charging, plea bargaining, and length of proceedi</w:t>
      </w:r>
      <w:r w:rsidR="000E1614" w:rsidRPr="000605BC">
        <w:rPr>
          <w:sz w:val="20"/>
        </w:rPr>
        <w:t>ngs in money laundering cases were</w:t>
      </w:r>
      <w:r w:rsidRPr="000605BC">
        <w:rPr>
          <w:sz w:val="20"/>
        </w:rPr>
        <w:t xml:space="preserve"> some of the reasons why this is done.</w:t>
      </w:r>
      <w:r w:rsidR="00A40AE2" w:rsidRPr="000605BC">
        <w:rPr>
          <w:rStyle w:val="FootnoteReference"/>
          <w:sz w:val="20"/>
        </w:rPr>
        <w:footnoteReference w:id="106"/>
      </w:r>
      <w:r w:rsidRPr="000605BC">
        <w:rPr>
          <w:sz w:val="20"/>
        </w:rPr>
        <w:t xml:space="preserve"> Given the principle of totality in sentencing, purs</w:t>
      </w:r>
      <w:r w:rsidR="00003FB5" w:rsidRPr="000605BC">
        <w:rPr>
          <w:sz w:val="20"/>
        </w:rPr>
        <w:t>u</w:t>
      </w:r>
      <w:r w:rsidRPr="000605BC">
        <w:rPr>
          <w:sz w:val="20"/>
        </w:rPr>
        <w:t xml:space="preserve">ing a money laundering charge </w:t>
      </w:r>
      <w:r w:rsidR="00003FB5" w:rsidRPr="000605BC">
        <w:rPr>
          <w:sz w:val="20"/>
        </w:rPr>
        <w:t xml:space="preserve">when there is already a conviction for the predicate offence </w:t>
      </w:r>
      <w:r w:rsidRPr="000605BC">
        <w:rPr>
          <w:sz w:val="20"/>
        </w:rPr>
        <w:t>may not greatly increase the sentence</w:t>
      </w:r>
      <w:r w:rsidR="005235AC" w:rsidRPr="000605BC">
        <w:rPr>
          <w:sz w:val="20"/>
        </w:rPr>
        <w:t>,</w:t>
      </w:r>
      <w:r w:rsidRPr="000605BC">
        <w:rPr>
          <w:sz w:val="20"/>
        </w:rPr>
        <w:t xml:space="preserve"> and </w:t>
      </w:r>
      <w:r w:rsidR="00DC0158" w:rsidRPr="000605BC">
        <w:rPr>
          <w:sz w:val="20"/>
        </w:rPr>
        <w:t>therefore prosecutors may believe their resources are better directed at crafting</w:t>
      </w:r>
      <w:r w:rsidRPr="000605BC">
        <w:rPr>
          <w:sz w:val="20"/>
        </w:rPr>
        <w:t xml:space="preserve"> a plea bargain or </w:t>
      </w:r>
      <w:r w:rsidR="00003FB5" w:rsidRPr="000605BC">
        <w:rPr>
          <w:sz w:val="20"/>
        </w:rPr>
        <w:t>focusing on the predicate offenc</w:t>
      </w:r>
      <w:r w:rsidRPr="000605BC">
        <w:rPr>
          <w:sz w:val="20"/>
        </w:rPr>
        <w:t>e.</w:t>
      </w:r>
    </w:p>
    <w:p w14:paraId="500427FF" w14:textId="4C75BA36" w:rsidR="001C7243" w:rsidRPr="000605BC" w:rsidRDefault="001C7243" w:rsidP="00112FFB">
      <w:pPr>
        <w:spacing w:after="120"/>
        <w:jc w:val="left"/>
        <w:rPr>
          <w:sz w:val="20"/>
        </w:rPr>
      </w:pPr>
      <w:r w:rsidRPr="000605BC">
        <w:rPr>
          <w:b/>
          <w:sz w:val="20"/>
        </w:rPr>
        <w:t>Table 4.2</w:t>
      </w:r>
      <w:r w:rsidR="00B73189" w:rsidRPr="000605BC">
        <w:rPr>
          <w:sz w:val="20"/>
        </w:rPr>
        <w:t xml:space="preserve"> </w:t>
      </w:r>
      <w:r w:rsidRPr="000605BC">
        <w:rPr>
          <w:sz w:val="20"/>
        </w:rPr>
        <w:t>Results of ML-Related Cases</w:t>
      </w:r>
    </w:p>
    <w:p w14:paraId="319A0806" w14:textId="125D3359" w:rsidR="00635C02" w:rsidRPr="000605BC" w:rsidRDefault="00635C02" w:rsidP="00635C02">
      <w:pPr>
        <w:spacing w:before="120" w:after="0"/>
        <w:rPr>
          <w:noProof/>
          <w:color w:val="FF0000"/>
          <w:sz w:val="20"/>
          <w:lang w:eastAsia="en-CA"/>
        </w:rPr>
      </w:pPr>
      <w:r w:rsidRPr="000605BC">
        <w:rPr>
          <w:noProof/>
          <w:color w:val="FF0000"/>
          <w:sz w:val="20"/>
          <w:lang w:eastAsia="en-CA"/>
        </w:rPr>
        <w:drawing>
          <wp:anchor distT="0" distB="0" distL="114300" distR="114300" simplePos="0" relativeHeight="251659264" behindDoc="0" locked="0" layoutInCell="1" allowOverlap="1" wp14:anchorId="4420BE5B" wp14:editId="4B5EA8BE">
            <wp:simplePos x="0" y="0"/>
            <wp:positionH relativeFrom="column">
              <wp:posOffset>28624</wp:posOffset>
            </wp:positionH>
            <wp:positionV relativeFrom="paragraph">
              <wp:posOffset>20955</wp:posOffset>
            </wp:positionV>
            <wp:extent cx="5082639" cy="1208460"/>
            <wp:effectExtent l="19050" t="19050" r="22860" b="1079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ults in ML related cases.png"/>
                    <pic:cNvPicPr/>
                  </pic:nvPicPr>
                  <pic:blipFill rotWithShape="1">
                    <a:blip r:embed="rId13">
                      <a:extLst>
                        <a:ext uri="{28A0092B-C50C-407E-A947-70E740481C1C}">
                          <a14:useLocalDpi xmlns:a14="http://schemas.microsoft.com/office/drawing/2010/main" val="0"/>
                        </a:ext>
                      </a:extLst>
                    </a:blip>
                    <a:srcRect l="3364" t="14483" r="4968" b="15172"/>
                    <a:stretch/>
                  </pic:blipFill>
                  <pic:spPr bwMode="auto">
                    <a:xfrm>
                      <a:off x="0" y="0"/>
                      <a:ext cx="5082639" cy="1208460"/>
                    </a:xfrm>
                    <a:prstGeom prst="rect">
                      <a:avLst/>
                    </a:prstGeom>
                    <a:ln w="19050" cap="flat" cmpd="sng" algn="ctr">
                      <a:solidFill>
                        <a:srgbClr val="4BACC6">
                          <a:lumMod val="75000"/>
                        </a:srgbClr>
                      </a:solidFill>
                      <a:prstDash val="solid"/>
                      <a:round/>
                      <a:headEnd type="none" w="med" len="med"/>
                      <a:tailEnd type="none" w="med" len="med"/>
                    </a:ln>
                    <a:extLst>
                      <a:ext uri="{53640926-AAD7-44D8-BBD7-CCE9431645EC}">
                        <a14:shadowObscured xmlns:a14="http://schemas.microsoft.com/office/drawing/2010/main"/>
                      </a:ext>
                    </a:extLst>
                  </pic:spPr>
                </pic:pic>
              </a:graphicData>
            </a:graphic>
          </wp:anchor>
        </w:drawing>
      </w:r>
    </w:p>
    <w:p w14:paraId="1B4E705F" w14:textId="1E02B7B0" w:rsidR="00635C02" w:rsidRPr="000605BC" w:rsidRDefault="00635C02" w:rsidP="0064226B">
      <w:pPr>
        <w:spacing w:before="0"/>
        <w:jc w:val="left"/>
        <w:rPr>
          <w:sz w:val="18"/>
        </w:rPr>
      </w:pPr>
      <w:r w:rsidRPr="000605BC">
        <w:rPr>
          <w:sz w:val="18"/>
        </w:rPr>
        <w:t>Source: Statistics Canada’s Integrated Criminal Court Survey (ICCS) as cited in</w:t>
      </w:r>
      <w:r w:rsidR="00A34F8F" w:rsidRPr="000605BC">
        <w:rPr>
          <w:sz w:val="18"/>
        </w:rPr>
        <w:t xml:space="preserve"> Canada</w:t>
      </w:r>
      <w:r w:rsidRPr="000605BC">
        <w:rPr>
          <w:sz w:val="18"/>
        </w:rPr>
        <w:t xml:space="preserve"> Mutual Evaluation Report (</w:t>
      </w:r>
      <w:r w:rsidR="00A34F8F" w:rsidRPr="000605BC">
        <w:rPr>
          <w:sz w:val="18"/>
        </w:rPr>
        <w:t xml:space="preserve">FATF, </w:t>
      </w:r>
      <w:r w:rsidRPr="000605BC">
        <w:rPr>
          <w:sz w:val="18"/>
        </w:rPr>
        <w:t>2016)</w:t>
      </w:r>
      <w:r w:rsidR="00A34F8F" w:rsidRPr="000605BC">
        <w:rPr>
          <w:sz w:val="18"/>
        </w:rPr>
        <w:t xml:space="preserve"> at 52</w:t>
      </w:r>
      <w:r w:rsidRPr="000605BC">
        <w:rPr>
          <w:sz w:val="18"/>
        </w:rPr>
        <w:t>.</w:t>
      </w:r>
    </w:p>
    <w:p w14:paraId="275FA492" w14:textId="481E1BB5" w:rsidR="00635C02" w:rsidRPr="000605BC" w:rsidRDefault="00635C02" w:rsidP="0078351D">
      <w:pPr>
        <w:keepNext/>
        <w:spacing w:before="360" w:after="120"/>
        <w:jc w:val="left"/>
        <w:rPr>
          <w:sz w:val="20"/>
        </w:rPr>
      </w:pPr>
      <w:r w:rsidRPr="000605BC">
        <w:rPr>
          <w:b/>
          <w:sz w:val="20"/>
        </w:rPr>
        <w:t>Table 4.3</w:t>
      </w:r>
      <w:r w:rsidR="00B73189" w:rsidRPr="000605BC">
        <w:rPr>
          <w:sz w:val="20"/>
        </w:rPr>
        <w:t xml:space="preserve"> </w:t>
      </w:r>
      <w:r w:rsidRPr="000605BC">
        <w:rPr>
          <w:sz w:val="20"/>
        </w:rPr>
        <w:t>Results of ML-Charges</w:t>
      </w:r>
    </w:p>
    <w:p w14:paraId="642F8E28" w14:textId="417429E3" w:rsidR="00635C02" w:rsidRPr="000605BC" w:rsidRDefault="00635C02" w:rsidP="0078351D">
      <w:pPr>
        <w:keepNext/>
        <w:spacing w:before="0" w:after="0"/>
        <w:rPr>
          <w:sz w:val="20"/>
        </w:rPr>
      </w:pPr>
      <w:r w:rsidRPr="000605BC">
        <w:rPr>
          <w:noProof/>
          <w:color w:val="FF0000"/>
          <w:sz w:val="20"/>
          <w:lang w:eastAsia="en-CA"/>
        </w:rPr>
        <w:drawing>
          <wp:inline distT="0" distB="0" distL="0" distR="0" wp14:anchorId="2077CD1F" wp14:editId="26676EF3">
            <wp:extent cx="5082639" cy="1191244"/>
            <wp:effectExtent l="19050" t="19050" r="22860" b="285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ults of money laundering related cases.png"/>
                    <pic:cNvPicPr/>
                  </pic:nvPicPr>
                  <pic:blipFill rotWithShape="1">
                    <a:blip r:embed="rId14">
                      <a:extLst>
                        <a:ext uri="{28A0092B-C50C-407E-A947-70E740481C1C}">
                          <a14:useLocalDpi xmlns:a14="http://schemas.microsoft.com/office/drawing/2010/main" val="0"/>
                        </a:ext>
                      </a:extLst>
                    </a:blip>
                    <a:srcRect l="2404" t="15598" r="5288" b="14212"/>
                    <a:stretch/>
                  </pic:blipFill>
                  <pic:spPr bwMode="auto">
                    <a:xfrm>
                      <a:off x="0" y="0"/>
                      <a:ext cx="5120329" cy="1200078"/>
                    </a:xfrm>
                    <a:prstGeom prst="rect">
                      <a:avLst/>
                    </a:prstGeom>
                    <a:ln w="19050">
                      <a:solidFill>
                        <a:schemeClr val="accent5">
                          <a:lumMod val="75000"/>
                        </a:schemeClr>
                      </a:solidFill>
                    </a:ln>
                    <a:extLst>
                      <a:ext uri="{53640926-AAD7-44D8-BBD7-CCE9431645EC}">
                        <a14:shadowObscured xmlns:a14="http://schemas.microsoft.com/office/drawing/2010/main"/>
                      </a:ext>
                    </a:extLst>
                  </pic:spPr>
                </pic:pic>
              </a:graphicData>
            </a:graphic>
          </wp:inline>
        </w:drawing>
      </w:r>
    </w:p>
    <w:p w14:paraId="0F6D8D3E" w14:textId="694D929B" w:rsidR="00635C02" w:rsidRPr="000605BC" w:rsidRDefault="00635C02" w:rsidP="00635C02">
      <w:pPr>
        <w:spacing w:before="120" w:after="360"/>
        <w:jc w:val="left"/>
        <w:rPr>
          <w:sz w:val="18"/>
        </w:rPr>
      </w:pPr>
      <w:r w:rsidRPr="000605BC">
        <w:rPr>
          <w:sz w:val="18"/>
        </w:rPr>
        <w:t xml:space="preserve">Source: Statistics Canada’s Integrated Criminal Court Survey (ICCS) as cited in </w:t>
      </w:r>
      <w:r w:rsidR="00A34F8F" w:rsidRPr="000605BC">
        <w:rPr>
          <w:sz w:val="18"/>
        </w:rPr>
        <w:t>Canada Mutual Evaluation Report (FATF, 2016) at 52</w:t>
      </w:r>
      <w:r w:rsidRPr="000605BC">
        <w:rPr>
          <w:sz w:val="18"/>
        </w:rPr>
        <w:t>.</w:t>
      </w:r>
    </w:p>
    <w:p w14:paraId="163CB312" w14:textId="1D4A7274" w:rsidR="007E1985" w:rsidRPr="000605BC" w:rsidRDefault="007E1985" w:rsidP="007E1985">
      <w:pPr>
        <w:autoSpaceDE w:val="0"/>
        <w:autoSpaceDN w:val="0"/>
        <w:adjustRightInd w:val="0"/>
        <w:rPr>
          <w:rFonts w:cs="Times New Roman"/>
          <w:sz w:val="20"/>
        </w:rPr>
      </w:pPr>
      <w:r w:rsidRPr="000605BC">
        <w:rPr>
          <w:rFonts w:cs="Times New Roman"/>
          <w:noProof/>
          <w:sz w:val="20"/>
          <w:lang w:eastAsia="en-CA"/>
        </w:rPr>
        <w:t>Convic</w:t>
      </w:r>
      <w:r w:rsidR="00A43C33" w:rsidRPr="000605BC">
        <w:rPr>
          <w:rFonts w:cs="Times New Roman"/>
          <w:noProof/>
          <w:sz w:val="20"/>
          <w:lang w:eastAsia="en-CA"/>
        </w:rPr>
        <w:t>t</w:t>
      </w:r>
      <w:r w:rsidRPr="000605BC">
        <w:rPr>
          <w:rFonts w:cs="Times New Roman"/>
          <w:noProof/>
          <w:sz w:val="20"/>
          <w:lang w:eastAsia="en-CA"/>
        </w:rPr>
        <w:t>ion rates for money laundering were higher in cases where that is the only charge laid.</w:t>
      </w:r>
      <w:r w:rsidR="002822D1" w:rsidRPr="000605BC">
        <w:rPr>
          <w:rFonts w:cs="Times New Roman"/>
          <w:noProof/>
          <w:sz w:val="20"/>
          <w:lang w:eastAsia="en-CA"/>
        </w:rPr>
        <w:t xml:space="preserve"> </w:t>
      </w:r>
      <w:r w:rsidRPr="000605BC">
        <w:rPr>
          <w:rFonts w:cs="Times New Roman"/>
          <w:sz w:val="20"/>
        </w:rPr>
        <w:t>In a limited sample size of 35 single</w:t>
      </w:r>
      <w:r w:rsidR="002451EA" w:rsidRPr="000605BC">
        <w:rPr>
          <w:rFonts w:cs="Times New Roman"/>
          <w:sz w:val="20"/>
        </w:rPr>
        <w:t>-</w:t>
      </w:r>
      <w:r w:rsidRPr="000605BC">
        <w:rPr>
          <w:rFonts w:cs="Times New Roman"/>
          <w:sz w:val="20"/>
        </w:rPr>
        <w:t>charge money laundering cases from 2010</w:t>
      </w:r>
      <w:r w:rsidR="002451EA" w:rsidRPr="000605BC">
        <w:rPr>
          <w:rFonts w:cs="Times New Roman"/>
          <w:sz w:val="20"/>
        </w:rPr>
        <w:t xml:space="preserve"> to </w:t>
      </w:r>
      <w:r w:rsidRPr="000605BC">
        <w:rPr>
          <w:rFonts w:cs="Times New Roman"/>
          <w:sz w:val="20"/>
        </w:rPr>
        <w:t>2014, 12 resulted in convictions, a 34.3% rate. Stays were imposed 14.3% of the time, a comparable proportion as when money laundering is charged with other offences, while withdrawals were far less frequent, occurring 40% of the time, compared to 72.7% when money laundering is charged alongside other offences.</w:t>
      </w:r>
      <w:r w:rsidR="002822D1" w:rsidRPr="000605BC">
        <w:rPr>
          <w:rFonts w:cs="Times New Roman"/>
          <w:sz w:val="20"/>
        </w:rPr>
        <w:t xml:space="preserve"> </w:t>
      </w:r>
      <w:r w:rsidRPr="000605BC">
        <w:rPr>
          <w:rFonts w:cs="Times New Roman"/>
          <w:sz w:val="20"/>
        </w:rPr>
        <w:t xml:space="preserve"> </w:t>
      </w:r>
    </w:p>
    <w:p w14:paraId="7C6B103F" w14:textId="4206763D" w:rsidR="00C9474A" w:rsidRPr="000605BC" w:rsidRDefault="00364F5C" w:rsidP="007E1985">
      <w:pPr>
        <w:autoSpaceDE w:val="0"/>
        <w:autoSpaceDN w:val="0"/>
        <w:adjustRightInd w:val="0"/>
        <w:rPr>
          <w:rFonts w:cs="Times New Roman"/>
          <w:sz w:val="20"/>
        </w:rPr>
      </w:pPr>
      <w:r w:rsidRPr="000605BC">
        <w:rPr>
          <w:rFonts w:cs="Times New Roman"/>
          <w:noProof/>
          <w:sz w:val="20"/>
          <w:lang w:eastAsia="en-CA"/>
        </w:rPr>
        <w:t>Sentencing for money laundering ranges from non-custodial s</w:t>
      </w:r>
      <w:r w:rsidR="002451EA" w:rsidRPr="000605BC">
        <w:rPr>
          <w:rFonts w:cs="Times New Roman"/>
          <w:noProof/>
          <w:sz w:val="20"/>
          <w:lang w:eastAsia="en-CA"/>
        </w:rPr>
        <w:t xml:space="preserve">entences to penitentary terms. </w:t>
      </w:r>
      <w:r w:rsidRPr="000605BC">
        <w:rPr>
          <w:rFonts w:cs="Times New Roman"/>
          <w:noProof/>
          <w:sz w:val="20"/>
          <w:lang w:eastAsia="en-CA"/>
        </w:rPr>
        <w:t xml:space="preserve">FATF suggests sanctions imposed in Canada for money launderers are low and </w:t>
      </w:r>
      <w:r w:rsidR="00A40AE2" w:rsidRPr="000605BC">
        <w:rPr>
          <w:rFonts w:cs="Times New Roman"/>
          <w:noProof/>
          <w:sz w:val="20"/>
          <w:lang w:eastAsia="en-CA"/>
        </w:rPr>
        <w:t>not dissuas</w:t>
      </w:r>
      <w:r w:rsidR="002451EA" w:rsidRPr="000605BC">
        <w:rPr>
          <w:rFonts w:cs="Times New Roman"/>
          <w:noProof/>
          <w:sz w:val="20"/>
          <w:lang w:eastAsia="en-CA"/>
        </w:rPr>
        <w:t>ive enough.</w:t>
      </w:r>
      <w:r w:rsidRPr="000605BC">
        <w:rPr>
          <w:rFonts w:cs="Times New Roman"/>
          <w:noProof/>
          <w:sz w:val="20"/>
          <w:lang w:eastAsia="en-CA"/>
        </w:rPr>
        <w:t xml:space="preserve"> </w:t>
      </w:r>
      <w:r w:rsidRPr="000605BC">
        <w:rPr>
          <w:rFonts w:cs="Times New Roman"/>
          <w:sz w:val="20"/>
        </w:rPr>
        <w:t>In 145 sentencing cases where money laundering was the most serious offence, nearly half received no prison time</w:t>
      </w:r>
      <w:r w:rsidR="002451EA" w:rsidRPr="000605BC">
        <w:rPr>
          <w:rFonts w:cs="Times New Roman"/>
          <w:sz w:val="20"/>
        </w:rPr>
        <w:t>,</w:t>
      </w:r>
      <w:r w:rsidRPr="000605BC">
        <w:rPr>
          <w:rFonts w:cs="Times New Roman"/>
          <w:sz w:val="20"/>
        </w:rPr>
        <w:t xml:space="preserve"> and only 11% received over 2 years’ incarceration.</w:t>
      </w:r>
      <w:r w:rsidR="00041AF9" w:rsidRPr="000605BC">
        <w:rPr>
          <w:rStyle w:val="FootnoteReference"/>
          <w:rFonts w:cs="Times New Roman"/>
          <w:sz w:val="20"/>
        </w:rPr>
        <w:footnoteReference w:id="107"/>
      </w:r>
    </w:p>
    <w:p w14:paraId="13F03159" w14:textId="26B9D1D3" w:rsidR="00635C02" w:rsidRPr="000605BC" w:rsidRDefault="00635C02" w:rsidP="00B73189">
      <w:pPr>
        <w:keepNext/>
        <w:autoSpaceDE w:val="0"/>
        <w:autoSpaceDN w:val="0"/>
        <w:adjustRightInd w:val="0"/>
        <w:spacing w:before="360" w:after="120"/>
        <w:rPr>
          <w:rFonts w:cs="Times New Roman"/>
          <w:sz w:val="20"/>
        </w:rPr>
      </w:pPr>
      <w:r w:rsidRPr="000605BC">
        <w:rPr>
          <w:rFonts w:cs="Times New Roman"/>
          <w:b/>
          <w:sz w:val="20"/>
        </w:rPr>
        <w:t>Table 4.4</w:t>
      </w:r>
      <w:r w:rsidR="00B73189" w:rsidRPr="000605BC">
        <w:rPr>
          <w:rFonts w:cs="Times New Roman"/>
          <w:sz w:val="20"/>
        </w:rPr>
        <w:t xml:space="preserve"> </w:t>
      </w:r>
      <w:r w:rsidRPr="000605BC">
        <w:rPr>
          <w:rFonts w:cs="Times New Roman"/>
          <w:sz w:val="20"/>
        </w:rPr>
        <w:t>Sanctions in ML Cases where ML was the Most Serious O</w:t>
      </w:r>
      <w:r w:rsidR="001919E3" w:rsidRPr="000605BC">
        <w:rPr>
          <w:rFonts w:cs="Times New Roman"/>
          <w:sz w:val="20"/>
        </w:rPr>
        <w:t>ffenc</w:t>
      </w:r>
      <w:r w:rsidRPr="000605BC">
        <w:rPr>
          <w:rFonts w:cs="Times New Roman"/>
          <w:sz w:val="20"/>
        </w:rPr>
        <w:t>e, from 2010 to 2014</w:t>
      </w:r>
    </w:p>
    <w:p w14:paraId="2B461EE9" w14:textId="58D2495B" w:rsidR="00D80AEE" w:rsidRPr="000605BC" w:rsidRDefault="00D80AEE" w:rsidP="00D80AEE">
      <w:pPr>
        <w:autoSpaceDE w:val="0"/>
        <w:autoSpaceDN w:val="0"/>
        <w:adjustRightInd w:val="0"/>
        <w:spacing w:before="0" w:after="0"/>
        <w:rPr>
          <w:rFonts w:cs="Times New Roman"/>
          <w:noProof/>
          <w:sz w:val="20"/>
          <w:szCs w:val="24"/>
          <w:lang w:eastAsia="en-CA"/>
        </w:rPr>
      </w:pPr>
      <w:r w:rsidRPr="000605BC">
        <w:rPr>
          <w:rFonts w:cs="Times New Roman"/>
          <w:noProof/>
          <w:sz w:val="20"/>
          <w:szCs w:val="24"/>
          <w:lang w:eastAsia="en-CA"/>
        </w:rPr>
        <w:drawing>
          <wp:anchor distT="0" distB="0" distL="114300" distR="114300" simplePos="0" relativeHeight="251660288" behindDoc="0" locked="0" layoutInCell="1" allowOverlap="1" wp14:anchorId="433C0003" wp14:editId="7FDBE772">
            <wp:simplePos x="0" y="0"/>
            <wp:positionH relativeFrom="column">
              <wp:posOffset>24839</wp:posOffset>
            </wp:positionH>
            <wp:positionV relativeFrom="paragraph">
              <wp:posOffset>19372</wp:posOffset>
            </wp:positionV>
            <wp:extent cx="5082321" cy="1090295"/>
            <wp:effectExtent l="19050" t="19050" r="23495" b="1460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ctions.png"/>
                    <pic:cNvPicPr/>
                  </pic:nvPicPr>
                  <pic:blipFill rotWithShape="1">
                    <a:blip r:embed="rId15">
                      <a:extLst>
                        <a:ext uri="{28A0092B-C50C-407E-A947-70E740481C1C}">
                          <a14:useLocalDpi xmlns:a14="http://schemas.microsoft.com/office/drawing/2010/main" val="0"/>
                        </a:ext>
                      </a:extLst>
                    </a:blip>
                    <a:srcRect l="2886" t="16163" r="2242" b="15410"/>
                    <a:stretch/>
                  </pic:blipFill>
                  <pic:spPr bwMode="auto">
                    <a:xfrm>
                      <a:off x="0" y="0"/>
                      <a:ext cx="5082321" cy="1090295"/>
                    </a:xfrm>
                    <a:prstGeom prst="rect">
                      <a:avLst/>
                    </a:prstGeom>
                    <a:ln w="19050" cap="flat" cmpd="sng" algn="ctr">
                      <a:solidFill>
                        <a:srgbClr val="4BACC6">
                          <a:lumMod val="75000"/>
                        </a:srgbClr>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308822C" w14:textId="6EDB1F5D" w:rsidR="00364F5C" w:rsidRPr="000605BC" w:rsidRDefault="00635C02" w:rsidP="0064226B">
      <w:pPr>
        <w:autoSpaceDE w:val="0"/>
        <w:autoSpaceDN w:val="0"/>
        <w:adjustRightInd w:val="0"/>
        <w:spacing w:before="0" w:after="360"/>
        <w:rPr>
          <w:rFonts w:cs="Times New Roman"/>
          <w:noProof/>
          <w:color w:val="000000"/>
          <w:sz w:val="18"/>
          <w:lang w:eastAsia="en-CA"/>
        </w:rPr>
      </w:pPr>
      <w:r w:rsidRPr="000605BC">
        <w:rPr>
          <w:rFonts w:cs="Times New Roman"/>
          <w:i/>
          <w:noProof/>
          <w:sz w:val="18"/>
          <w:lang w:eastAsia="en-CA"/>
        </w:rPr>
        <w:t>Note</w:t>
      </w:r>
      <w:r w:rsidRPr="000605BC">
        <w:rPr>
          <w:rFonts w:cs="Times New Roman"/>
          <w:noProof/>
          <w:sz w:val="18"/>
          <w:lang w:eastAsia="en-CA"/>
        </w:rPr>
        <w:t>. There are other undisclosed cases where the ML offen</w:t>
      </w:r>
      <w:r w:rsidR="006B08AB" w:rsidRPr="000605BC">
        <w:rPr>
          <w:rFonts w:cs="Times New Roman"/>
          <w:noProof/>
          <w:sz w:val="18"/>
          <w:lang w:eastAsia="en-CA"/>
        </w:rPr>
        <w:t>c</w:t>
      </w:r>
      <w:r w:rsidRPr="000605BC">
        <w:rPr>
          <w:rFonts w:cs="Times New Roman"/>
          <w:noProof/>
          <w:sz w:val="18"/>
          <w:lang w:eastAsia="en-CA"/>
        </w:rPr>
        <w:t xml:space="preserve">e runs concurrently with another MSO. Source: </w:t>
      </w:r>
      <w:r w:rsidR="00A34F8F" w:rsidRPr="000605BC">
        <w:rPr>
          <w:sz w:val="18"/>
        </w:rPr>
        <w:t xml:space="preserve">Canada Mutual Evaluation Report (FATF, 2016) </w:t>
      </w:r>
      <w:r w:rsidR="00364F5C" w:rsidRPr="000605BC">
        <w:rPr>
          <w:rFonts w:cs="Times New Roman"/>
          <w:noProof/>
          <w:sz w:val="18"/>
          <w:lang w:eastAsia="en-CA"/>
        </w:rPr>
        <w:t>at 54</w:t>
      </w:r>
      <w:r w:rsidR="00364F5C" w:rsidRPr="000605BC">
        <w:rPr>
          <w:rFonts w:cs="Times New Roman"/>
          <w:noProof/>
          <w:color w:val="000000"/>
          <w:sz w:val="18"/>
          <w:lang w:eastAsia="en-CA"/>
        </w:rPr>
        <w:t xml:space="preserve">. </w:t>
      </w:r>
    </w:p>
    <w:tbl>
      <w:tblPr>
        <w:tblStyle w:val="TableGrid"/>
        <w:tblW w:w="0" w:type="auto"/>
        <w:jc w:val="center"/>
        <w:tblCellMar>
          <w:top w:w="142" w:type="dxa"/>
          <w:left w:w="284" w:type="dxa"/>
          <w:bottom w:w="142" w:type="dxa"/>
          <w:right w:w="284" w:type="dxa"/>
        </w:tblCellMar>
        <w:tblLook w:val="04A0" w:firstRow="1" w:lastRow="0" w:firstColumn="1" w:lastColumn="0" w:noHBand="0" w:noVBand="1"/>
      </w:tblPr>
      <w:tblGrid>
        <w:gridCol w:w="8070"/>
      </w:tblGrid>
      <w:tr w:rsidR="00BF2BE3" w:rsidRPr="000605BC" w14:paraId="5182E812" w14:textId="77777777" w:rsidTr="00BF2BE3">
        <w:trPr>
          <w:jc w:val="center"/>
        </w:trPr>
        <w:tc>
          <w:tcPr>
            <w:tcW w:w="9576" w:type="dxa"/>
          </w:tcPr>
          <w:p w14:paraId="50C6E538" w14:textId="77777777" w:rsidR="00BF2BE3" w:rsidRPr="000605BC" w:rsidRDefault="00BF2BE3" w:rsidP="00600712">
            <w:pPr>
              <w:autoSpaceDE w:val="0"/>
              <w:autoSpaceDN w:val="0"/>
              <w:adjustRightInd w:val="0"/>
              <w:spacing w:before="120" w:after="120"/>
              <w:rPr>
                <w:rFonts w:eastAsiaTheme="minorEastAsia" w:cs="Times New Roman"/>
                <w:b/>
                <w:sz w:val="20"/>
                <w:lang w:val="en-US" w:eastAsia="ja-JP"/>
              </w:rPr>
            </w:pPr>
            <w:r w:rsidRPr="000605BC">
              <w:rPr>
                <w:rFonts w:eastAsiaTheme="minorEastAsia" w:cs="Times New Roman"/>
                <w:b/>
                <w:sz w:val="20"/>
                <w:lang w:val="en-US" w:eastAsia="ja-JP"/>
              </w:rPr>
              <w:t>Further Reading</w:t>
            </w:r>
          </w:p>
          <w:p w14:paraId="795464FD" w14:textId="2E9A5984" w:rsidR="00BF2BE3" w:rsidRPr="000605BC" w:rsidRDefault="00BF2BE3" w:rsidP="00600712">
            <w:pPr>
              <w:autoSpaceDE w:val="0"/>
              <w:autoSpaceDN w:val="0"/>
              <w:adjustRightInd w:val="0"/>
              <w:spacing w:before="120" w:after="120"/>
              <w:rPr>
                <w:rFonts w:cs="Times New Roman"/>
                <w:sz w:val="20"/>
              </w:rPr>
            </w:pPr>
            <w:r w:rsidRPr="000605BC">
              <w:rPr>
                <w:rFonts w:eastAsiaTheme="minorEastAsia" w:cs="Times New Roman"/>
                <w:sz w:val="20"/>
                <w:lang w:val="en-US" w:eastAsia="ja-JP"/>
              </w:rPr>
              <w:t xml:space="preserve">For a detailed legal analysis of Canada’s money laundering offences see </w:t>
            </w:r>
            <w:r w:rsidRPr="000605BC">
              <w:rPr>
                <w:rFonts w:eastAsia="Arial Unicode MS" w:cs="Times New Roman"/>
                <w:bCs/>
                <w:color w:val="000000"/>
                <w:sz w:val="20"/>
                <w:lang w:val="en-US"/>
              </w:rPr>
              <w:t xml:space="preserve">Terence D Hall, </w:t>
            </w:r>
            <w:r w:rsidRPr="000605BC">
              <w:rPr>
                <w:rFonts w:eastAsia="Arial Unicode MS" w:cs="Times New Roman"/>
                <w:bCs/>
                <w:i/>
                <w:color w:val="000000"/>
                <w:sz w:val="20"/>
                <w:lang w:val="en-US"/>
              </w:rPr>
              <w:t>A Guide To Canadian Money Laundering Legislation</w:t>
            </w:r>
            <w:r w:rsidRPr="000605BC">
              <w:rPr>
                <w:rFonts w:eastAsia="Arial Unicode MS" w:cs="Times New Roman"/>
                <w:bCs/>
                <w:color w:val="000000"/>
                <w:sz w:val="20"/>
                <w:lang w:val="en-US"/>
              </w:rPr>
              <w:t>, 4</w:t>
            </w:r>
            <w:r w:rsidRPr="000605BC">
              <w:rPr>
                <w:rFonts w:eastAsia="Arial Unicode MS" w:cs="Times New Roman"/>
                <w:bCs/>
                <w:color w:val="000000"/>
                <w:sz w:val="20"/>
                <w:vertAlign w:val="superscript"/>
                <w:lang w:val="en-US"/>
              </w:rPr>
              <w:t>th</w:t>
            </w:r>
            <w:r w:rsidRPr="000605BC">
              <w:rPr>
                <w:rFonts w:eastAsia="Arial Unicode MS" w:cs="Times New Roman"/>
                <w:bCs/>
                <w:color w:val="000000"/>
                <w:sz w:val="20"/>
                <w:lang w:val="en-US"/>
              </w:rPr>
              <w:t xml:space="preserve"> </w:t>
            </w:r>
            <w:proofErr w:type="spellStart"/>
            <w:r w:rsidRPr="000605BC">
              <w:rPr>
                <w:rFonts w:eastAsia="Arial Unicode MS" w:cs="Times New Roman"/>
                <w:bCs/>
                <w:color w:val="000000"/>
                <w:sz w:val="20"/>
                <w:lang w:val="en-US"/>
              </w:rPr>
              <w:t>ed</w:t>
            </w:r>
            <w:proofErr w:type="spellEnd"/>
            <w:r w:rsidRPr="000605BC">
              <w:rPr>
                <w:rFonts w:eastAsia="Arial Unicode MS" w:cs="Times New Roman"/>
                <w:bCs/>
                <w:color w:val="000000"/>
                <w:sz w:val="20"/>
                <w:lang w:val="en-US"/>
              </w:rPr>
              <w:t xml:space="preserve"> (Lexis Nexis, 2015); Peter M German, </w:t>
            </w:r>
            <w:r w:rsidRPr="000605BC">
              <w:rPr>
                <w:rFonts w:eastAsia="Arial Unicode MS" w:cs="Times New Roman"/>
                <w:bCs/>
                <w:i/>
                <w:color w:val="000000"/>
                <w:sz w:val="20"/>
                <w:lang w:val="en-US"/>
              </w:rPr>
              <w:t xml:space="preserve">Proceeds of Crime: The </w:t>
            </w:r>
            <w:r w:rsidRPr="000605BC">
              <w:rPr>
                <w:rFonts w:eastAsia="Arial Unicode MS" w:cs="Times New Roman"/>
                <w:bCs/>
                <w:i/>
                <w:sz w:val="20"/>
                <w:lang w:val="en-US"/>
              </w:rPr>
              <w:t xml:space="preserve">Criminal Law, Related Statutes, Regulations and Agreements </w:t>
            </w:r>
            <w:r w:rsidRPr="000605BC">
              <w:rPr>
                <w:rFonts w:eastAsia="Arial Unicode MS" w:cs="Times New Roman"/>
                <w:bCs/>
                <w:sz w:val="20"/>
                <w:lang w:val="en-US"/>
              </w:rPr>
              <w:t>(Carswell, 1998) (loose-leaf</w:t>
            </w:r>
            <w:r w:rsidR="00045E0B" w:rsidRPr="000605BC">
              <w:rPr>
                <w:rFonts w:eastAsia="Arial Unicode MS" w:cs="Times New Roman"/>
                <w:bCs/>
                <w:sz w:val="20"/>
                <w:lang w:val="en-US"/>
              </w:rPr>
              <w:t>,</w:t>
            </w:r>
            <w:r w:rsidRPr="000605BC">
              <w:rPr>
                <w:rFonts w:eastAsia="Arial Unicode MS" w:cs="Times New Roman"/>
                <w:bCs/>
                <w:sz w:val="20"/>
                <w:lang w:val="en-US"/>
              </w:rPr>
              <w:t xml:space="preserve"> updated </w:t>
            </w:r>
            <w:r w:rsidR="00045E0B" w:rsidRPr="000605BC">
              <w:rPr>
                <w:rFonts w:eastAsia="Arial Unicode MS" w:cs="Times New Roman"/>
                <w:bCs/>
                <w:sz w:val="20"/>
                <w:lang w:val="en-US"/>
              </w:rPr>
              <w:t>quarterly</w:t>
            </w:r>
            <w:r w:rsidRPr="000605BC">
              <w:rPr>
                <w:rFonts w:eastAsia="Arial Unicode MS" w:cs="Times New Roman"/>
                <w:bCs/>
                <w:sz w:val="20"/>
                <w:lang w:val="en-US"/>
              </w:rPr>
              <w:t xml:space="preserve">) </w:t>
            </w:r>
            <w:proofErr w:type="spellStart"/>
            <w:r w:rsidRPr="000605BC">
              <w:rPr>
                <w:rFonts w:eastAsia="Arial Unicode MS" w:cs="Times New Roman"/>
                <w:bCs/>
                <w:sz w:val="20"/>
                <w:lang w:val="en-US"/>
              </w:rPr>
              <w:t>ch.</w:t>
            </w:r>
            <w:proofErr w:type="spellEnd"/>
            <w:r w:rsidRPr="000605BC">
              <w:rPr>
                <w:rFonts w:eastAsia="Arial Unicode MS" w:cs="Times New Roman"/>
                <w:bCs/>
                <w:sz w:val="20"/>
                <w:lang w:val="en-US"/>
              </w:rPr>
              <w:t xml:space="preserve"> 5 and 6; </w:t>
            </w:r>
            <w:r w:rsidRPr="000605BC">
              <w:rPr>
                <w:rFonts w:cs="Times New Roman"/>
                <w:i/>
                <w:sz w:val="20"/>
              </w:rPr>
              <w:t>Anti-Money Laundering Law,</w:t>
            </w:r>
            <w:r w:rsidRPr="000605BC">
              <w:rPr>
                <w:rFonts w:cs="Times New Roman"/>
                <w:sz w:val="20"/>
              </w:rPr>
              <w:t xml:space="preserve"> BC CLE Course Materials (BC CLE, May 2011); and Margaret </w:t>
            </w:r>
            <w:proofErr w:type="spellStart"/>
            <w:r w:rsidRPr="000605BC">
              <w:rPr>
                <w:rFonts w:cs="Times New Roman"/>
                <w:sz w:val="20"/>
              </w:rPr>
              <w:t>Beare</w:t>
            </w:r>
            <w:proofErr w:type="spellEnd"/>
            <w:r w:rsidRPr="000605BC">
              <w:rPr>
                <w:rFonts w:cs="Times New Roman"/>
                <w:sz w:val="20"/>
              </w:rPr>
              <w:t xml:space="preserve">, </w:t>
            </w:r>
            <w:r w:rsidRPr="000605BC">
              <w:rPr>
                <w:rFonts w:cs="Times New Roman"/>
                <w:i/>
                <w:sz w:val="20"/>
              </w:rPr>
              <w:t xml:space="preserve">Criminal Conspiracies – Organized Crime in Canada, </w:t>
            </w:r>
            <w:r w:rsidRPr="000605BC">
              <w:rPr>
                <w:rFonts w:cs="Times New Roman"/>
                <w:sz w:val="20"/>
              </w:rPr>
              <w:t xml:space="preserve">(Oxford University Press, 2015), </w:t>
            </w:r>
            <w:proofErr w:type="spellStart"/>
            <w:r w:rsidRPr="000605BC">
              <w:rPr>
                <w:rFonts w:cs="Times New Roman"/>
                <w:sz w:val="20"/>
              </w:rPr>
              <w:t>ch</w:t>
            </w:r>
            <w:proofErr w:type="spellEnd"/>
            <w:r w:rsidRPr="000605BC">
              <w:rPr>
                <w:rFonts w:cs="Times New Roman"/>
                <w:sz w:val="20"/>
              </w:rPr>
              <w:t xml:space="preserve"> 6. </w:t>
            </w:r>
          </w:p>
          <w:p w14:paraId="0FBC9A94" w14:textId="38DE4ACC" w:rsidR="00BF2BE3" w:rsidRPr="000605BC" w:rsidRDefault="00BF2BE3" w:rsidP="00BF2BE3">
            <w:pPr>
              <w:autoSpaceDE w:val="0"/>
              <w:autoSpaceDN w:val="0"/>
              <w:adjustRightInd w:val="0"/>
              <w:spacing w:before="120" w:after="120"/>
              <w:rPr>
                <w:rFonts w:cs="Times New Roman"/>
                <w:sz w:val="20"/>
              </w:rPr>
            </w:pPr>
            <w:r w:rsidRPr="000605BC">
              <w:rPr>
                <w:rFonts w:cs="Times New Roman"/>
                <w:sz w:val="20"/>
              </w:rPr>
              <w:t xml:space="preserve">For a good critical analysis of money laundering in Canada and a claim as to its dubious benefits, see Margaret E </w:t>
            </w:r>
            <w:proofErr w:type="spellStart"/>
            <w:r w:rsidRPr="000605BC">
              <w:rPr>
                <w:rFonts w:cs="Times New Roman"/>
                <w:sz w:val="20"/>
              </w:rPr>
              <w:t>Beare</w:t>
            </w:r>
            <w:proofErr w:type="spellEnd"/>
            <w:r w:rsidRPr="000605BC">
              <w:rPr>
                <w:rFonts w:cs="Times New Roman"/>
                <w:sz w:val="20"/>
              </w:rPr>
              <w:t xml:space="preserve"> &amp; Stephen Schneider, </w:t>
            </w:r>
            <w:r w:rsidRPr="000605BC">
              <w:rPr>
                <w:rFonts w:cs="Times New Roman"/>
                <w:i/>
                <w:sz w:val="20"/>
              </w:rPr>
              <w:t>Money Laundering in Canada: Chasing Dirty and Dangerous Dollars</w:t>
            </w:r>
            <w:r w:rsidRPr="000605BC">
              <w:rPr>
                <w:rFonts w:cs="Times New Roman"/>
                <w:sz w:val="20"/>
              </w:rPr>
              <w:t xml:space="preserve"> (University of Toronto Press, 2007). </w:t>
            </w:r>
          </w:p>
        </w:tc>
      </w:tr>
    </w:tbl>
    <w:p w14:paraId="3783B32D" w14:textId="7E5456B7" w:rsidR="003A2A14" w:rsidRPr="000605BC" w:rsidRDefault="003A2A14" w:rsidP="00BD57FE">
      <w:pPr>
        <w:pStyle w:val="Heading2"/>
        <w:rPr>
          <w:sz w:val="24"/>
          <w:lang w:val="en-US" w:eastAsia="ja-JP"/>
        </w:rPr>
      </w:pPr>
      <w:bookmarkStart w:id="84" w:name="_Toc287093747"/>
      <w:bookmarkStart w:id="85" w:name="_Toc419901565"/>
      <w:bookmarkStart w:id="86" w:name="_Toc489788775"/>
      <w:bookmarkStart w:id="87" w:name="_Toc489789315"/>
      <w:bookmarkStart w:id="88" w:name="_Toc489791785"/>
      <w:r w:rsidRPr="000605BC">
        <w:rPr>
          <w:sz w:val="24"/>
          <w:lang w:val="en-US" w:eastAsia="ja-JP"/>
        </w:rPr>
        <w:t>The Role of Legal Professionals</w:t>
      </w:r>
      <w:bookmarkEnd w:id="84"/>
      <w:bookmarkEnd w:id="85"/>
      <w:bookmarkEnd w:id="86"/>
      <w:bookmarkEnd w:id="87"/>
      <w:bookmarkEnd w:id="88"/>
    </w:p>
    <w:p w14:paraId="088A4B7A" w14:textId="11F2D4BB" w:rsidR="00FA5BC9" w:rsidRPr="000605BC" w:rsidRDefault="00FA5BC9" w:rsidP="00BD57FE">
      <w:pPr>
        <w:pStyle w:val="Heading3"/>
        <w:rPr>
          <w:sz w:val="22"/>
          <w:lang w:val="en-US" w:eastAsia="ja-JP"/>
        </w:rPr>
      </w:pPr>
      <w:bookmarkStart w:id="89" w:name="_Toc287093748"/>
      <w:bookmarkStart w:id="90" w:name="_Toc419901566"/>
      <w:r w:rsidRPr="000605BC">
        <w:rPr>
          <w:sz w:val="22"/>
          <w:lang w:val="en-US" w:eastAsia="ja-JP"/>
        </w:rPr>
        <w:t>FATF Recommendation</w:t>
      </w:r>
      <w:bookmarkEnd w:id="89"/>
      <w:bookmarkEnd w:id="90"/>
      <w:r w:rsidR="00044D77" w:rsidRPr="000605BC">
        <w:rPr>
          <w:sz w:val="22"/>
          <w:lang w:val="en-US" w:eastAsia="ja-JP"/>
        </w:rPr>
        <w:t>s</w:t>
      </w:r>
    </w:p>
    <w:p w14:paraId="147C8314" w14:textId="6EF4D7D5" w:rsidR="00880CCA" w:rsidRPr="000605BC" w:rsidRDefault="00DD4095" w:rsidP="003828BA">
      <w:pPr>
        <w:tabs>
          <w:tab w:val="left" w:pos="0"/>
          <w:tab w:val="left" w:pos="220"/>
        </w:tabs>
        <w:autoSpaceDE w:val="0"/>
        <w:autoSpaceDN w:val="0"/>
        <w:adjustRightInd w:val="0"/>
        <w:rPr>
          <w:rFonts w:eastAsiaTheme="minorEastAsia" w:cs="Times New Roman"/>
          <w:sz w:val="20"/>
          <w:lang w:val="en-US" w:eastAsia="ja-JP"/>
        </w:rPr>
      </w:pPr>
      <w:r w:rsidRPr="000605BC">
        <w:rPr>
          <w:rFonts w:eastAsiaTheme="minorEastAsia" w:cs="Times New Roman"/>
          <w:sz w:val="20"/>
          <w:lang w:val="en-US" w:eastAsia="ja-JP"/>
        </w:rPr>
        <w:t xml:space="preserve">FATF Recommendations 22 and 23 state that </w:t>
      </w:r>
      <w:r w:rsidR="00B362E4" w:rsidRPr="000605BC">
        <w:rPr>
          <w:rFonts w:eastAsiaTheme="minorEastAsia" w:cs="Times New Roman"/>
          <w:sz w:val="20"/>
          <w:lang w:val="en-US" w:eastAsia="ja-JP"/>
        </w:rPr>
        <w:t xml:space="preserve">lawyers should be required to engage in CDD </w:t>
      </w:r>
      <w:r w:rsidRPr="000605BC">
        <w:rPr>
          <w:rFonts w:eastAsiaTheme="minorEastAsia" w:cs="Times New Roman"/>
          <w:sz w:val="20"/>
          <w:lang w:val="en-US" w:eastAsia="ja-JP"/>
        </w:rPr>
        <w:t xml:space="preserve">measures </w:t>
      </w:r>
      <w:r w:rsidR="00B362E4" w:rsidRPr="000605BC">
        <w:rPr>
          <w:rFonts w:eastAsiaTheme="minorEastAsia" w:cs="Times New Roman"/>
          <w:sz w:val="20"/>
          <w:lang w:val="en-US" w:eastAsia="ja-JP"/>
        </w:rPr>
        <w:t>when perf</w:t>
      </w:r>
      <w:r w:rsidR="00BA001C" w:rsidRPr="000605BC">
        <w:rPr>
          <w:rFonts w:eastAsiaTheme="minorEastAsia" w:cs="Times New Roman"/>
          <w:sz w:val="20"/>
          <w:lang w:val="en-US" w:eastAsia="ja-JP"/>
        </w:rPr>
        <w:t>orming transactions for clients</w:t>
      </w:r>
      <w:r w:rsidR="00B362E4" w:rsidRPr="000605BC">
        <w:rPr>
          <w:rFonts w:eastAsiaTheme="minorEastAsia" w:cs="Times New Roman"/>
          <w:sz w:val="20"/>
          <w:lang w:val="en-US" w:eastAsia="ja-JP"/>
        </w:rPr>
        <w:t xml:space="preserve"> and to report suspicious transactions. </w:t>
      </w:r>
      <w:r w:rsidR="00BA001C" w:rsidRPr="000605BC">
        <w:rPr>
          <w:rFonts w:cs="Times New Roman"/>
          <w:iCs/>
          <w:color w:val="000000"/>
          <w:sz w:val="20"/>
          <w:lang w:val="en-US"/>
        </w:rPr>
        <w:t>Many members of the legal profession</w:t>
      </w:r>
      <w:r w:rsidR="00045E0B" w:rsidRPr="000605BC">
        <w:rPr>
          <w:rFonts w:cs="Times New Roman"/>
          <w:iCs/>
          <w:color w:val="000000"/>
          <w:sz w:val="20"/>
          <w:lang w:val="en-US"/>
        </w:rPr>
        <w:t xml:space="preserve"> and legal </w:t>
      </w:r>
      <w:r w:rsidR="008D467E" w:rsidRPr="000605BC">
        <w:rPr>
          <w:rFonts w:cs="Times New Roman"/>
          <w:iCs/>
          <w:color w:val="000000"/>
          <w:sz w:val="20"/>
          <w:lang w:val="en-US"/>
        </w:rPr>
        <w:t>organizations</w:t>
      </w:r>
      <w:r w:rsidR="00BA001C" w:rsidRPr="000605BC">
        <w:rPr>
          <w:rFonts w:cs="Times New Roman"/>
          <w:iCs/>
          <w:color w:val="000000"/>
          <w:sz w:val="20"/>
          <w:lang w:val="en-US"/>
        </w:rPr>
        <w:t xml:space="preserve"> such as the Canadian Bar Association have strongly opposed the inclusion</w:t>
      </w:r>
      <w:r w:rsidR="008D467E" w:rsidRPr="000605BC">
        <w:rPr>
          <w:rFonts w:cs="Times New Roman"/>
          <w:iCs/>
          <w:color w:val="000000"/>
          <w:sz w:val="20"/>
          <w:lang w:val="en-US"/>
        </w:rPr>
        <w:t xml:space="preserve"> of lawyers</w:t>
      </w:r>
      <w:r w:rsidR="00BA001C" w:rsidRPr="000605BC">
        <w:rPr>
          <w:rFonts w:cs="Times New Roman"/>
          <w:iCs/>
          <w:color w:val="000000"/>
          <w:sz w:val="20"/>
          <w:lang w:val="en-US"/>
        </w:rPr>
        <w:t xml:space="preserve"> in these reporting regulations.</w:t>
      </w:r>
      <w:r w:rsidR="00BA001C" w:rsidRPr="000605BC">
        <w:rPr>
          <w:rStyle w:val="FootnoteReference"/>
          <w:rFonts w:cs="Times New Roman"/>
          <w:iCs/>
          <w:color w:val="000000"/>
          <w:sz w:val="20"/>
          <w:lang w:val="en-US"/>
        </w:rPr>
        <w:footnoteReference w:id="108"/>
      </w:r>
      <w:r w:rsidR="00BA001C" w:rsidRPr="000605BC">
        <w:rPr>
          <w:rFonts w:cs="Times New Roman"/>
          <w:iCs/>
          <w:color w:val="000000"/>
          <w:sz w:val="20"/>
          <w:lang w:val="en-US"/>
        </w:rPr>
        <w:t xml:space="preserve"> </w:t>
      </w:r>
      <w:r w:rsidR="00BA001C" w:rsidRPr="000605BC">
        <w:rPr>
          <w:rFonts w:eastAsiaTheme="minorEastAsia" w:cs="Times New Roman"/>
          <w:sz w:val="20"/>
          <w:lang w:val="en-US" w:eastAsia="ja-JP"/>
        </w:rPr>
        <w:t>The</w:t>
      </w:r>
      <w:r w:rsidRPr="000605BC">
        <w:rPr>
          <w:rFonts w:eastAsiaTheme="minorEastAsia" w:cs="Times New Roman"/>
          <w:sz w:val="20"/>
          <w:lang w:val="en-US" w:eastAsia="ja-JP"/>
        </w:rPr>
        <w:t xml:space="preserve"> interpretive note to Recommendation 23, reproduced below, modifies </w:t>
      </w:r>
      <w:r w:rsidR="00BA001C" w:rsidRPr="000605BC">
        <w:rPr>
          <w:rFonts w:eastAsiaTheme="minorEastAsia" w:cs="Times New Roman"/>
          <w:sz w:val="20"/>
          <w:lang w:val="en-US" w:eastAsia="ja-JP"/>
        </w:rPr>
        <w:t>FATF’s position</w:t>
      </w:r>
      <w:r w:rsidRPr="000605BC">
        <w:rPr>
          <w:rFonts w:eastAsiaTheme="minorEastAsia" w:cs="Times New Roman"/>
          <w:sz w:val="20"/>
          <w:lang w:val="en-US" w:eastAsia="ja-JP"/>
        </w:rPr>
        <w:t xml:space="preserve"> somewhat:</w:t>
      </w:r>
    </w:p>
    <w:p w14:paraId="199D8856" w14:textId="2BB293E2" w:rsidR="006B36A2" w:rsidRPr="000605BC" w:rsidRDefault="00AB444C" w:rsidP="00AB444C">
      <w:pPr>
        <w:pStyle w:val="BlockQuote"/>
        <w:rPr>
          <w:rFonts w:eastAsia="Times New Roman"/>
          <w:sz w:val="20"/>
          <w:lang w:val="en-US"/>
        </w:rPr>
      </w:pPr>
      <w:r w:rsidRPr="000605BC">
        <w:rPr>
          <w:sz w:val="20"/>
          <w:lang w:val="en-US" w:eastAsia="ja-JP"/>
        </w:rPr>
        <w:t>Interpretive Note to Recommendation 23</w:t>
      </w:r>
      <w:r w:rsidR="006B36A2" w:rsidRPr="000605BC">
        <w:rPr>
          <w:sz w:val="20"/>
          <w:lang w:val="en-US" w:eastAsia="ja-JP"/>
        </w:rPr>
        <w:t xml:space="preserve"> (DNFBPS</w:t>
      </w:r>
      <w:r w:rsidR="00BF0235" w:rsidRPr="000605BC">
        <w:rPr>
          <w:sz w:val="20"/>
          <w:lang w:val="en-US" w:eastAsia="ja-JP"/>
        </w:rPr>
        <w:t xml:space="preserve"> [</w:t>
      </w:r>
      <w:r w:rsidR="00BF0235" w:rsidRPr="000605BC">
        <w:rPr>
          <w:rFonts w:eastAsia="Times New Roman"/>
          <w:sz w:val="20"/>
          <w:shd w:val="clear" w:color="auto" w:fill="FFFFFF"/>
          <w:lang w:val="en-US"/>
        </w:rPr>
        <w:t>designated non-financial businesses and professions]</w:t>
      </w:r>
      <w:r w:rsidR="006B36A2" w:rsidRPr="000605BC">
        <w:rPr>
          <w:sz w:val="20"/>
          <w:lang w:val="en-US" w:eastAsia="ja-JP"/>
        </w:rPr>
        <w:t xml:space="preserve"> – </w:t>
      </w:r>
      <w:r w:rsidRPr="000605BC">
        <w:rPr>
          <w:sz w:val="20"/>
          <w:lang w:val="en-US" w:eastAsia="ja-JP"/>
        </w:rPr>
        <w:t>Other Measures</w:t>
      </w:r>
      <w:r w:rsidR="006B36A2" w:rsidRPr="000605BC">
        <w:rPr>
          <w:sz w:val="20"/>
          <w:lang w:val="en-US" w:eastAsia="ja-JP"/>
        </w:rPr>
        <w:t>)</w:t>
      </w:r>
    </w:p>
    <w:p w14:paraId="4B841ABE" w14:textId="49EEB274" w:rsidR="006B36A2" w:rsidRPr="000605BC" w:rsidRDefault="006B36A2" w:rsidP="00696D88">
      <w:pPr>
        <w:pStyle w:val="BlockQuote"/>
        <w:numPr>
          <w:ilvl w:val="0"/>
          <w:numId w:val="25"/>
        </w:numPr>
        <w:jc w:val="left"/>
        <w:rPr>
          <w:sz w:val="20"/>
          <w:lang w:val="en-US" w:eastAsia="ja-JP"/>
        </w:rPr>
      </w:pPr>
      <w:r w:rsidRPr="000605BC">
        <w:rPr>
          <w:sz w:val="20"/>
          <w:lang w:val="en-US" w:eastAsia="ja-JP"/>
        </w:rPr>
        <w:t>Lawyers, notaries, other independent legal professionals, and accountants acting as independent legal professionals, are not required to report suspicious transactions if the relevant information was obtained in circumstances where they are subject to professional secrecy or legal professional privilege.</w:t>
      </w:r>
    </w:p>
    <w:p w14:paraId="2602BA26" w14:textId="579D21CF" w:rsidR="006B36A2" w:rsidRPr="000605BC" w:rsidRDefault="006B36A2" w:rsidP="00696D88">
      <w:pPr>
        <w:pStyle w:val="BlockQuote"/>
        <w:numPr>
          <w:ilvl w:val="0"/>
          <w:numId w:val="25"/>
        </w:numPr>
        <w:jc w:val="left"/>
        <w:rPr>
          <w:sz w:val="20"/>
          <w:lang w:val="en-US" w:eastAsia="ja-JP"/>
        </w:rPr>
      </w:pPr>
      <w:r w:rsidRPr="000605BC">
        <w:rPr>
          <w:sz w:val="20"/>
          <w:lang w:val="en-US" w:eastAsia="ja-JP"/>
        </w:rPr>
        <w:t>It is for each country to determine the matters that would fall under legal professional privilege or professional secrecy. This would normally cover information lawyers, notaries or other independent legal professionals receive from or obtain through one of their clients: (a) in the course of ascertaining the legal position of their client, or (b) in performing their task of defending or representing that client in, or concerning judicial, administrative, arbitration or mediation proceedings.</w:t>
      </w:r>
    </w:p>
    <w:p w14:paraId="51AC1673" w14:textId="4226D572" w:rsidR="006B36A2" w:rsidRPr="000605BC" w:rsidRDefault="006B36A2" w:rsidP="00696D88">
      <w:pPr>
        <w:pStyle w:val="BlockQuote"/>
        <w:numPr>
          <w:ilvl w:val="0"/>
          <w:numId w:val="25"/>
        </w:numPr>
        <w:jc w:val="left"/>
        <w:rPr>
          <w:sz w:val="20"/>
          <w:lang w:val="en-US" w:eastAsia="ja-JP"/>
        </w:rPr>
      </w:pPr>
      <w:r w:rsidRPr="000605BC">
        <w:rPr>
          <w:sz w:val="20"/>
          <w:lang w:val="en-US" w:eastAsia="ja-JP"/>
        </w:rPr>
        <w:t>Countries may allow lawyers, notaries, other independent legal professionals and accountants to send their STR [suspicious transaction report] to their appropriate self-regulatory organisations, provided that there are appropriate forms of cooperation between these organisations and the FIU.</w:t>
      </w:r>
    </w:p>
    <w:p w14:paraId="3089545C" w14:textId="66D748AF" w:rsidR="0028119F" w:rsidRPr="000605BC" w:rsidRDefault="006B36A2" w:rsidP="00696D88">
      <w:pPr>
        <w:pStyle w:val="BlockQuote"/>
        <w:numPr>
          <w:ilvl w:val="0"/>
          <w:numId w:val="25"/>
        </w:numPr>
        <w:jc w:val="left"/>
        <w:rPr>
          <w:sz w:val="20"/>
          <w:lang w:val="en-US" w:eastAsia="ja-JP"/>
        </w:rPr>
      </w:pPr>
      <w:r w:rsidRPr="000605BC">
        <w:rPr>
          <w:sz w:val="20"/>
          <w:lang w:val="en-US" w:eastAsia="ja-JP"/>
        </w:rPr>
        <w:t>Where lawyers, notaries, other independent legal professionals and accountants acting as independent legal professionals seek to dissuade a client from engaging in illegal activity, this does not amount to tipping-off.</w:t>
      </w:r>
    </w:p>
    <w:p w14:paraId="79198638" w14:textId="2F8DC157" w:rsidR="0028119F" w:rsidRPr="000605BC" w:rsidRDefault="0028119F" w:rsidP="0023211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iCs/>
          <w:color w:val="000000"/>
          <w:sz w:val="20"/>
          <w:lang w:val="en-US"/>
        </w:rPr>
      </w:pPr>
      <w:r w:rsidRPr="000605BC">
        <w:rPr>
          <w:rFonts w:cs="Times New Roman"/>
          <w:iCs/>
          <w:color w:val="000000"/>
          <w:sz w:val="20"/>
          <w:lang w:val="en-US"/>
        </w:rPr>
        <w:t xml:space="preserve">In this interpretive note, the FATF </w:t>
      </w:r>
      <w:r w:rsidR="00BA001C" w:rsidRPr="000605BC">
        <w:rPr>
          <w:rFonts w:cs="Times New Roman"/>
          <w:iCs/>
          <w:color w:val="000000"/>
          <w:sz w:val="20"/>
          <w:lang w:val="en-US"/>
        </w:rPr>
        <w:t>clarifies</w:t>
      </w:r>
      <w:r w:rsidRPr="000605BC">
        <w:rPr>
          <w:rFonts w:cs="Times New Roman"/>
          <w:iCs/>
          <w:color w:val="000000"/>
          <w:sz w:val="20"/>
          <w:lang w:val="en-US"/>
        </w:rPr>
        <w:t xml:space="preserve"> that its recommendations are tempered by the requirements of legal privilege and confidentiality, and leaves it in the hands of member states to decide how to implement an AML regime that respects those duties. Lawyers in the </w:t>
      </w:r>
      <w:r w:rsidR="00B97646" w:rsidRPr="000605BC">
        <w:rPr>
          <w:rFonts w:cs="Times New Roman"/>
          <w:iCs/>
          <w:color w:val="000000"/>
          <w:sz w:val="20"/>
          <w:lang w:val="en-US"/>
        </w:rPr>
        <w:t xml:space="preserve">US, </w:t>
      </w:r>
      <w:r w:rsidR="002D4034" w:rsidRPr="000605BC">
        <w:rPr>
          <w:rFonts w:cs="Times New Roman"/>
          <w:iCs/>
          <w:color w:val="000000"/>
          <w:sz w:val="20"/>
          <w:lang w:val="en-US"/>
        </w:rPr>
        <w:t xml:space="preserve">the </w:t>
      </w:r>
      <w:r w:rsidR="00B97646" w:rsidRPr="000605BC">
        <w:rPr>
          <w:rFonts w:cs="Times New Roman"/>
          <w:iCs/>
          <w:color w:val="000000"/>
          <w:sz w:val="20"/>
          <w:lang w:val="en-US"/>
        </w:rPr>
        <w:t xml:space="preserve">UK and Canada </w:t>
      </w:r>
      <w:r w:rsidRPr="000605BC">
        <w:rPr>
          <w:rFonts w:cs="Times New Roman"/>
          <w:iCs/>
          <w:color w:val="000000"/>
          <w:sz w:val="20"/>
          <w:lang w:val="en-US"/>
        </w:rPr>
        <w:t xml:space="preserve">are subject to different degrees of regulation. This variation is a function of a number of factors, principally legislative policy, </w:t>
      </w:r>
      <w:proofErr w:type="gramStart"/>
      <w:r w:rsidRPr="000605BC">
        <w:rPr>
          <w:rFonts w:cs="Times New Roman"/>
          <w:iCs/>
          <w:color w:val="000000"/>
          <w:sz w:val="20"/>
          <w:lang w:val="en-US"/>
        </w:rPr>
        <w:t>the</w:t>
      </w:r>
      <w:proofErr w:type="gramEnd"/>
      <w:r w:rsidRPr="000605BC">
        <w:rPr>
          <w:rFonts w:cs="Times New Roman"/>
          <w:iCs/>
          <w:color w:val="000000"/>
          <w:sz w:val="20"/>
          <w:lang w:val="en-US"/>
        </w:rPr>
        <w:t xml:space="preserve"> power of the bar and the constitutional structure of the country in question. </w:t>
      </w:r>
      <w:r w:rsidR="00BA001C" w:rsidRPr="000605BC">
        <w:rPr>
          <w:rFonts w:cs="Times New Roman"/>
          <w:iCs/>
          <w:color w:val="000000"/>
          <w:sz w:val="20"/>
          <w:lang w:val="en-US"/>
        </w:rPr>
        <w:t xml:space="preserve">For instance, after </w:t>
      </w:r>
      <w:r w:rsidR="00903351" w:rsidRPr="000605BC">
        <w:rPr>
          <w:rFonts w:cs="Times New Roman"/>
          <w:iCs/>
          <w:color w:val="000000"/>
          <w:sz w:val="20"/>
          <w:lang w:val="en-US"/>
        </w:rPr>
        <w:t xml:space="preserve">the government </w:t>
      </w:r>
      <w:r w:rsidR="00BA001C" w:rsidRPr="000605BC">
        <w:rPr>
          <w:rFonts w:cs="Times New Roman"/>
          <w:iCs/>
          <w:color w:val="000000"/>
          <w:sz w:val="20"/>
          <w:lang w:val="en-US"/>
        </w:rPr>
        <w:t xml:space="preserve">of Canada </w:t>
      </w:r>
      <w:r w:rsidR="00903351" w:rsidRPr="000605BC">
        <w:rPr>
          <w:rFonts w:cs="Times New Roman"/>
          <w:iCs/>
          <w:color w:val="000000"/>
          <w:sz w:val="20"/>
          <w:lang w:val="en-US"/>
        </w:rPr>
        <w:t>attempted to impose stringent regulati</w:t>
      </w:r>
      <w:r w:rsidR="00BA001C" w:rsidRPr="000605BC">
        <w:rPr>
          <w:rFonts w:cs="Times New Roman"/>
          <w:iCs/>
          <w:color w:val="000000"/>
          <w:sz w:val="20"/>
          <w:lang w:val="en-US"/>
        </w:rPr>
        <w:t>ons on the legal profession,</w:t>
      </w:r>
      <w:r w:rsidR="00903351" w:rsidRPr="000605BC">
        <w:rPr>
          <w:rFonts w:cs="Times New Roman"/>
          <w:iCs/>
          <w:color w:val="000000"/>
          <w:sz w:val="20"/>
          <w:lang w:val="en-US"/>
        </w:rPr>
        <w:t xml:space="preserve"> the Federation of Law Societies successfully challenged these measures on constitutional grounds</w:t>
      </w:r>
      <w:r w:rsidR="00880CCA" w:rsidRPr="000605BC">
        <w:rPr>
          <w:rFonts w:cs="Times New Roman"/>
          <w:iCs/>
          <w:color w:val="000000"/>
          <w:sz w:val="20"/>
          <w:lang w:val="en-US"/>
        </w:rPr>
        <w:t xml:space="preserve"> (further discussed at </w:t>
      </w:r>
      <w:r w:rsidR="002451EA" w:rsidRPr="000605BC">
        <w:rPr>
          <w:rFonts w:cs="Times New Roman"/>
          <w:iCs/>
          <w:color w:val="000000"/>
          <w:sz w:val="20"/>
          <w:lang w:val="en-US"/>
        </w:rPr>
        <w:t xml:space="preserve">Section </w:t>
      </w:r>
      <w:r w:rsidR="00880CCA" w:rsidRPr="000605BC">
        <w:rPr>
          <w:rFonts w:cs="Times New Roman"/>
          <w:iCs/>
          <w:color w:val="000000"/>
          <w:sz w:val="20"/>
          <w:lang w:val="en-US"/>
        </w:rPr>
        <w:t>5.5.4)</w:t>
      </w:r>
      <w:r w:rsidR="00903351" w:rsidRPr="000605BC">
        <w:rPr>
          <w:rFonts w:cs="Times New Roman"/>
          <w:iCs/>
          <w:color w:val="000000"/>
          <w:sz w:val="20"/>
          <w:lang w:val="en-US"/>
        </w:rPr>
        <w:t>.</w:t>
      </w:r>
      <w:r w:rsidR="002822D1" w:rsidRPr="000605BC">
        <w:rPr>
          <w:rFonts w:cs="Times New Roman"/>
          <w:iCs/>
          <w:color w:val="000000"/>
          <w:sz w:val="20"/>
          <w:lang w:val="en-US"/>
        </w:rPr>
        <w:t xml:space="preserve"> </w:t>
      </w:r>
      <w:r w:rsidR="00903351" w:rsidRPr="000605BC">
        <w:rPr>
          <w:rFonts w:cs="Times New Roman"/>
          <w:iCs/>
          <w:color w:val="000000"/>
          <w:sz w:val="20"/>
          <w:lang w:val="en-US"/>
        </w:rPr>
        <w:t xml:space="preserve">In the UK, on the other hand, lawyers have been less successful in staving off state regulation of their practice. </w:t>
      </w:r>
    </w:p>
    <w:p w14:paraId="1718F6D0" w14:textId="5A27AB6C" w:rsidR="00E76189" w:rsidRPr="000605BC" w:rsidRDefault="00A4339E" w:rsidP="0023211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iCs/>
          <w:color w:val="000000"/>
          <w:sz w:val="20"/>
          <w:lang w:val="en-US"/>
        </w:rPr>
      </w:pPr>
      <w:r w:rsidRPr="000605BC">
        <w:rPr>
          <w:rFonts w:cs="Times New Roman"/>
          <w:iCs/>
          <w:color w:val="000000"/>
          <w:sz w:val="20"/>
          <w:lang w:val="en-US"/>
        </w:rPr>
        <w:t xml:space="preserve">There are two principal ways that lawyers must deal with state-level AML regimes. The first is regulation. </w:t>
      </w:r>
      <w:r w:rsidR="00BA001C" w:rsidRPr="000605BC">
        <w:rPr>
          <w:rFonts w:cs="Times New Roman"/>
          <w:iCs/>
          <w:color w:val="000000"/>
          <w:sz w:val="20"/>
          <w:lang w:val="en-US"/>
        </w:rPr>
        <w:t>Similarly to</w:t>
      </w:r>
      <w:r w:rsidRPr="000605BC">
        <w:rPr>
          <w:rFonts w:cs="Times New Roman"/>
          <w:iCs/>
          <w:color w:val="000000"/>
          <w:sz w:val="20"/>
          <w:lang w:val="en-US"/>
        </w:rPr>
        <w:t xml:space="preserve"> financial institutions, lawyers in some countries are subject to reporting, record-keeping and CDD requirements. The second is direct criminal liability. In some countries, AML laws are drafted in such a way that lawyers must be extremely careful to avoid prosecution for careless handling of funds or lack of due diligence in the ordinary course of their practice. </w:t>
      </w:r>
    </w:p>
    <w:p w14:paraId="6B3CD3ED" w14:textId="13CF49FE" w:rsidR="000B7FA3" w:rsidRPr="000605BC" w:rsidRDefault="000B7FA3" w:rsidP="00D97E9B">
      <w:pPr>
        <w:pStyle w:val="Heading3"/>
        <w:rPr>
          <w:sz w:val="22"/>
          <w:lang w:val="en-US"/>
        </w:rPr>
      </w:pPr>
      <w:bookmarkStart w:id="91" w:name="_Toc287093749"/>
      <w:bookmarkStart w:id="92" w:name="_Toc419901567"/>
      <w:r w:rsidRPr="000605BC">
        <w:rPr>
          <w:sz w:val="22"/>
          <w:lang w:val="en-US"/>
        </w:rPr>
        <w:t>US</w:t>
      </w:r>
      <w:bookmarkEnd w:id="91"/>
      <w:bookmarkEnd w:id="92"/>
    </w:p>
    <w:p w14:paraId="4FF894C0" w14:textId="58A25BE4" w:rsidR="00455ADA" w:rsidRPr="000605BC" w:rsidRDefault="00390C5D" w:rsidP="00916A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iCs/>
          <w:color w:val="000000"/>
          <w:sz w:val="20"/>
          <w:lang w:val="en-US"/>
        </w:rPr>
      </w:pPr>
      <w:r w:rsidRPr="000605BC">
        <w:rPr>
          <w:rFonts w:cs="Times New Roman"/>
          <w:iCs/>
          <w:color w:val="000000"/>
          <w:sz w:val="20"/>
          <w:lang w:val="en-US"/>
        </w:rPr>
        <w:t xml:space="preserve">To date, the US has not </w:t>
      </w:r>
      <w:r w:rsidR="00737D9C" w:rsidRPr="000605BC">
        <w:rPr>
          <w:rFonts w:cs="Times New Roman"/>
          <w:iCs/>
          <w:color w:val="000000"/>
          <w:sz w:val="20"/>
          <w:lang w:val="en-US"/>
        </w:rPr>
        <w:t>taken serious steps to regulate lawyers as part of their AML regime.</w:t>
      </w:r>
      <w:r w:rsidR="00482152" w:rsidRPr="000605BC">
        <w:rPr>
          <w:rFonts w:cs="Times New Roman"/>
          <w:iCs/>
          <w:color w:val="000000"/>
          <w:sz w:val="20"/>
          <w:lang w:val="en-US"/>
        </w:rPr>
        <w:t xml:space="preserve"> According to an article on</w:t>
      </w:r>
      <w:r w:rsidR="00AC5A5A" w:rsidRPr="000605BC">
        <w:rPr>
          <w:rFonts w:cs="Times New Roman"/>
          <w:iCs/>
          <w:color w:val="000000"/>
          <w:sz w:val="20"/>
          <w:lang w:val="en-US"/>
        </w:rPr>
        <w:t xml:space="preserve"> the International Bar Association</w:t>
      </w:r>
      <w:r w:rsidR="00552933" w:rsidRPr="000605BC">
        <w:rPr>
          <w:rFonts w:cs="Times New Roman"/>
          <w:iCs/>
          <w:color w:val="000000"/>
          <w:sz w:val="20"/>
          <w:lang w:val="en-US"/>
        </w:rPr>
        <w:t>’s</w:t>
      </w:r>
      <w:r w:rsidR="00EF4533" w:rsidRPr="000605BC">
        <w:rPr>
          <w:rFonts w:cs="Times New Roman"/>
          <w:iCs/>
          <w:color w:val="000000"/>
          <w:sz w:val="20"/>
          <w:lang w:val="en-US"/>
        </w:rPr>
        <w:t xml:space="preserve"> Anti-Money-Laundering F</w:t>
      </w:r>
      <w:r w:rsidR="00AC5A5A" w:rsidRPr="000605BC">
        <w:rPr>
          <w:rFonts w:cs="Times New Roman"/>
          <w:iCs/>
          <w:color w:val="000000"/>
          <w:sz w:val="20"/>
          <w:lang w:val="en-US"/>
        </w:rPr>
        <w:t>orum</w:t>
      </w:r>
      <w:r w:rsidR="000A02E8" w:rsidRPr="000605BC">
        <w:rPr>
          <w:rFonts w:cs="Times New Roman"/>
          <w:iCs/>
          <w:color w:val="000000"/>
          <w:sz w:val="20"/>
          <w:lang w:val="en-US"/>
        </w:rPr>
        <w:t>:</w:t>
      </w:r>
    </w:p>
    <w:p w14:paraId="31ED021C" w14:textId="054908F8" w:rsidR="007963C5" w:rsidRPr="000605BC" w:rsidRDefault="007963C5" w:rsidP="00D97E9B">
      <w:pPr>
        <w:pStyle w:val="BlockQuote"/>
        <w:rPr>
          <w:sz w:val="20"/>
        </w:rPr>
      </w:pPr>
      <w:proofErr w:type="gramStart"/>
      <w:r w:rsidRPr="000605BC">
        <w:rPr>
          <w:sz w:val="20"/>
        </w:rPr>
        <w:t>the</w:t>
      </w:r>
      <w:proofErr w:type="gramEnd"/>
      <w:r w:rsidRPr="000605BC">
        <w:rPr>
          <w:sz w:val="20"/>
        </w:rPr>
        <w:t xml:space="preserve"> American legal system regards legal professional privilege as fundamental to the </w:t>
      </w:r>
      <w:proofErr w:type="spellStart"/>
      <w:r w:rsidRPr="000605BC">
        <w:rPr>
          <w:sz w:val="20"/>
        </w:rPr>
        <w:t>lawyer­client</w:t>
      </w:r>
      <w:proofErr w:type="spellEnd"/>
      <w:r w:rsidRPr="000605BC">
        <w:rPr>
          <w:sz w:val="20"/>
        </w:rPr>
        <w:t xml:space="preserve"> relationship. Therefore, it is disinclined towards modifying its current </w:t>
      </w:r>
      <w:proofErr w:type="spellStart"/>
      <w:r w:rsidRPr="000605BC">
        <w:rPr>
          <w:sz w:val="20"/>
        </w:rPr>
        <w:t>anti­money</w:t>
      </w:r>
      <w:proofErr w:type="spellEnd"/>
      <w:r w:rsidRPr="000605BC">
        <w:rPr>
          <w:sz w:val="20"/>
        </w:rPr>
        <w:t xml:space="preserve"> laundering legislation to include professionals such as lawyers. Trust and confidence are considered as keystone principles to the legal professional relationship. They would be eroded indefinitely, if lawyers were required to reveal information relating to the client to third parties, based upon mere suspicions. A client must feel free to seek legal assistance and be able to communicate with his legal representative fully and frankly.</w:t>
      </w:r>
      <w:r w:rsidR="00D97E9B" w:rsidRPr="000605BC">
        <w:rPr>
          <w:rStyle w:val="FootnoteReference"/>
          <w:rFonts w:eastAsiaTheme="minorEastAsia" w:cs="Times New Roman"/>
          <w:sz w:val="20"/>
          <w:lang w:val="en-US" w:eastAsia="ja-JP"/>
        </w:rPr>
        <w:footnoteReference w:id="109"/>
      </w:r>
    </w:p>
    <w:p w14:paraId="063A520D" w14:textId="6B86BEC7" w:rsidR="0081386A" w:rsidRPr="000605BC" w:rsidRDefault="00AC5A5A" w:rsidP="00916A81">
      <w:pPr>
        <w:rPr>
          <w:rFonts w:cs="Times New Roman"/>
          <w:b/>
          <w:sz w:val="20"/>
        </w:rPr>
      </w:pPr>
      <w:r w:rsidRPr="000605BC">
        <w:rPr>
          <w:rFonts w:cs="Times New Roman"/>
          <w:sz w:val="20"/>
        </w:rPr>
        <w:t xml:space="preserve">US lawyers </w:t>
      </w:r>
      <w:r w:rsidR="00C77B54" w:rsidRPr="000605BC">
        <w:rPr>
          <w:rFonts w:cs="Times New Roman"/>
          <w:sz w:val="20"/>
        </w:rPr>
        <w:t>are</w:t>
      </w:r>
      <w:r w:rsidRPr="000605BC">
        <w:rPr>
          <w:rFonts w:cs="Times New Roman"/>
          <w:sz w:val="20"/>
        </w:rPr>
        <w:t xml:space="preserve"> not subject to any mandatory reporting requirements, with one exception. </w:t>
      </w:r>
      <w:r w:rsidR="00EE6C3A" w:rsidRPr="000605BC">
        <w:rPr>
          <w:rFonts w:cs="Times New Roman"/>
          <w:sz w:val="20"/>
        </w:rPr>
        <w:t>They</w:t>
      </w:r>
      <w:r w:rsidRPr="000605BC">
        <w:rPr>
          <w:rFonts w:cs="Times New Roman"/>
          <w:sz w:val="20"/>
        </w:rPr>
        <w:t xml:space="preserve"> are required to report any cash transaction</w:t>
      </w:r>
      <w:r w:rsidR="00C77B54" w:rsidRPr="000605BC">
        <w:rPr>
          <w:rFonts w:cs="Times New Roman"/>
          <w:sz w:val="20"/>
        </w:rPr>
        <w:t xml:space="preserve"> greater than $10,000 to the IRS.</w:t>
      </w:r>
      <w:r w:rsidR="00C77B54" w:rsidRPr="000605BC">
        <w:rPr>
          <w:rStyle w:val="FootnoteReference"/>
          <w:rFonts w:cs="Times New Roman"/>
          <w:iCs/>
          <w:sz w:val="20"/>
        </w:rPr>
        <w:footnoteReference w:id="110"/>
      </w:r>
      <w:r w:rsidR="008B63DF" w:rsidRPr="000605BC">
        <w:rPr>
          <w:rFonts w:cs="Times New Roman"/>
          <w:sz w:val="20"/>
        </w:rPr>
        <w:t xml:space="preserve"> </w:t>
      </w:r>
      <w:r w:rsidR="00EE6C3A" w:rsidRPr="000605BC">
        <w:rPr>
          <w:rFonts w:cs="Times New Roman"/>
          <w:sz w:val="20"/>
        </w:rPr>
        <w:t xml:space="preserve">Other than that, their work is outside the US AML regime. </w:t>
      </w:r>
    </w:p>
    <w:p w14:paraId="308249F3" w14:textId="72C4EC1B" w:rsidR="00C77B54" w:rsidRPr="000605BC" w:rsidRDefault="00EE6C3A" w:rsidP="00916A81">
      <w:pPr>
        <w:rPr>
          <w:rFonts w:cs="Times New Roman"/>
          <w:b/>
          <w:bCs/>
          <w:sz w:val="20"/>
        </w:rPr>
      </w:pPr>
      <w:r w:rsidRPr="000605BC">
        <w:rPr>
          <w:rFonts w:cs="Times New Roman"/>
          <w:sz w:val="20"/>
        </w:rPr>
        <w:t>US lawyers</w:t>
      </w:r>
      <w:r w:rsidR="008B63DF" w:rsidRPr="000605BC">
        <w:rPr>
          <w:rFonts w:cs="Times New Roman"/>
          <w:sz w:val="20"/>
        </w:rPr>
        <w:t xml:space="preserve"> are also not likely to be caught by the</w:t>
      </w:r>
      <w:r w:rsidR="00FD23F0" w:rsidRPr="000605BC">
        <w:rPr>
          <w:rFonts w:cs="Times New Roman"/>
          <w:sz w:val="20"/>
        </w:rPr>
        <w:t xml:space="preserve"> country’s</w:t>
      </w:r>
      <w:r w:rsidR="008B63DF" w:rsidRPr="000605BC">
        <w:rPr>
          <w:rFonts w:cs="Times New Roman"/>
          <w:sz w:val="20"/>
        </w:rPr>
        <w:t xml:space="preserve"> anti-money laundering </w:t>
      </w:r>
      <w:r w:rsidR="002D7391" w:rsidRPr="000605BC">
        <w:rPr>
          <w:rFonts w:cs="Times New Roman"/>
          <w:sz w:val="20"/>
        </w:rPr>
        <w:t>offens</w:t>
      </w:r>
      <w:r w:rsidR="00FD23F0" w:rsidRPr="000605BC">
        <w:rPr>
          <w:rFonts w:cs="Times New Roman"/>
          <w:sz w:val="20"/>
        </w:rPr>
        <w:t xml:space="preserve">es in the ordinary course of their </w:t>
      </w:r>
      <w:r w:rsidRPr="000605BC">
        <w:rPr>
          <w:rFonts w:cs="Times New Roman"/>
          <w:sz w:val="20"/>
        </w:rPr>
        <w:t>work</w:t>
      </w:r>
      <w:r w:rsidR="00FD23F0" w:rsidRPr="000605BC">
        <w:rPr>
          <w:rFonts w:cs="Times New Roman"/>
          <w:sz w:val="20"/>
        </w:rPr>
        <w:t xml:space="preserve">. As discussed </w:t>
      </w:r>
      <w:r w:rsidR="000D5CB9" w:rsidRPr="000605BC">
        <w:rPr>
          <w:rFonts w:cs="Times New Roman"/>
          <w:sz w:val="20"/>
        </w:rPr>
        <w:t xml:space="preserve">in </w:t>
      </w:r>
      <w:r w:rsidR="002451EA" w:rsidRPr="000605BC">
        <w:rPr>
          <w:rFonts w:cs="Times New Roman"/>
          <w:sz w:val="20"/>
        </w:rPr>
        <w:t>S</w:t>
      </w:r>
      <w:r w:rsidR="000D5CB9" w:rsidRPr="000605BC">
        <w:rPr>
          <w:rFonts w:cs="Times New Roman"/>
          <w:sz w:val="20"/>
        </w:rPr>
        <w:t xml:space="preserve">ection </w:t>
      </w:r>
      <w:r w:rsidR="00880CCA" w:rsidRPr="000605BC">
        <w:rPr>
          <w:rFonts w:cs="Times New Roman"/>
          <w:sz w:val="20"/>
        </w:rPr>
        <w:t>5</w:t>
      </w:r>
      <w:r w:rsidR="000D5CB9" w:rsidRPr="000605BC">
        <w:rPr>
          <w:rFonts w:cs="Times New Roman"/>
          <w:sz w:val="20"/>
        </w:rPr>
        <w:t>.4</w:t>
      </w:r>
      <w:r w:rsidR="00FD23F0" w:rsidRPr="000605BC">
        <w:rPr>
          <w:rFonts w:cs="Times New Roman"/>
          <w:sz w:val="20"/>
        </w:rPr>
        <w:t xml:space="preserve">, </w:t>
      </w:r>
      <w:r w:rsidR="002D7391" w:rsidRPr="000605BC">
        <w:rPr>
          <w:rFonts w:cs="Times New Roman"/>
          <w:sz w:val="20"/>
        </w:rPr>
        <w:t>the US money-laundering offens</w:t>
      </w:r>
      <w:r w:rsidR="0081386A" w:rsidRPr="000605BC">
        <w:rPr>
          <w:rFonts w:cs="Times New Roman"/>
          <w:sz w:val="20"/>
        </w:rPr>
        <w:t xml:space="preserve">es require that the accused </w:t>
      </w:r>
      <w:r w:rsidR="00DE0DC8" w:rsidRPr="000605BC">
        <w:rPr>
          <w:rFonts w:cs="Times New Roman"/>
          <w:sz w:val="20"/>
        </w:rPr>
        <w:t>have actual knowledge that the funds in question were derived from criminal activity. While some courts have held that willful blindness is sufficient to make out this element of the o</w:t>
      </w:r>
      <w:r w:rsidR="002D7391" w:rsidRPr="000605BC">
        <w:rPr>
          <w:rFonts w:cs="Times New Roman"/>
          <w:sz w:val="20"/>
        </w:rPr>
        <w:t>ffen</w:t>
      </w:r>
      <w:r w:rsidR="00F15474" w:rsidRPr="000605BC">
        <w:rPr>
          <w:rFonts w:cs="Times New Roman"/>
          <w:sz w:val="20"/>
        </w:rPr>
        <w:t>c</w:t>
      </w:r>
      <w:r w:rsidR="00DE0DC8" w:rsidRPr="000605BC">
        <w:rPr>
          <w:rFonts w:cs="Times New Roman"/>
          <w:sz w:val="20"/>
        </w:rPr>
        <w:t xml:space="preserve">e, </w:t>
      </w:r>
      <w:r w:rsidR="000E5E39" w:rsidRPr="000605BC">
        <w:rPr>
          <w:rFonts w:cs="Times New Roman"/>
          <w:sz w:val="20"/>
        </w:rPr>
        <w:t>it is still unlikely that a lawyer who was not knowingly complicit in a money laundering scheme could be successfully prosecuted.</w:t>
      </w:r>
      <w:r w:rsidR="00A84F55" w:rsidRPr="000605BC">
        <w:rPr>
          <w:rStyle w:val="FootnoteReference"/>
          <w:rFonts w:cs="Times New Roman"/>
          <w:iCs/>
          <w:sz w:val="20"/>
        </w:rPr>
        <w:footnoteReference w:id="111"/>
      </w:r>
    </w:p>
    <w:p w14:paraId="59BCBCA2" w14:textId="0714EBF8" w:rsidR="00BF2100" w:rsidRPr="000605BC" w:rsidRDefault="00BF2100" w:rsidP="00D97E9B">
      <w:pPr>
        <w:pStyle w:val="Heading3"/>
        <w:rPr>
          <w:sz w:val="22"/>
          <w:lang w:val="en-US"/>
        </w:rPr>
      </w:pPr>
      <w:bookmarkStart w:id="93" w:name="_Toc287093750"/>
      <w:bookmarkStart w:id="94" w:name="_Toc419901568"/>
      <w:r w:rsidRPr="000605BC">
        <w:rPr>
          <w:sz w:val="22"/>
          <w:lang w:val="en-US"/>
        </w:rPr>
        <w:t>UK</w:t>
      </w:r>
      <w:bookmarkEnd w:id="93"/>
      <w:bookmarkEnd w:id="94"/>
    </w:p>
    <w:p w14:paraId="2458E256" w14:textId="420902E9" w:rsidR="00BF2100" w:rsidRPr="000605BC" w:rsidRDefault="00BF2100" w:rsidP="00916A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iCs/>
          <w:color w:val="000000"/>
          <w:sz w:val="20"/>
          <w:lang w:val="en-US"/>
        </w:rPr>
      </w:pPr>
      <w:r w:rsidRPr="000605BC">
        <w:rPr>
          <w:rFonts w:cs="Times New Roman"/>
          <w:iCs/>
          <w:color w:val="000000"/>
          <w:sz w:val="20"/>
          <w:lang w:val="en-US"/>
        </w:rPr>
        <w:t>Lawyers in the UK are in an unenviable position relative to their North American colleagues. They face significant potential criminal liability under s</w:t>
      </w:r>
      <w:r w:rsidR="002451EA" w:rsidRPr="000605BC">
        <w:rPr>
          <w:rFonts w:cs="Times New Roman"/>
          <w:iCs/>
          <w:color w:val="000000"/>
          <w:sz w:val="20"/>
          <w:lang w:val="en-US"/>
        </w:rPr>
        <w:t>ection</w:t>
      </w:r>
      <w:r w:rsidRPr="000605BC">
        <w:rPr>
          <w:rFonts w:cs="Times New Roman"/>
          <w:iCs/>
          <w:color w:val="000000"/>
          <w:sz w:val="20"/>
          <w:lang w:val="en-US"/>
        </w:rPr>
        <w:t xml:space="preserve"> </w:t>
      </w:r>
      <w:r w:rsidR="00880CCA" w:rsidRPr="000605BC">
        <w:rPr>
          <w:rFonts w:cs="Times New Roman"/>
          <w:iCs/>
          <w:color w:val="000000"/>
          <w:sz w:val="20"/>
          <w:lang w:val="en-US"/>
        </w:rPr>
        <w:t>3</w:t>
      </w:r>
      <w:r w:rsidRPr="000605BC">
        <w:rPr>
          <w:rFonts w:cs="Times New Roman"/>
          <w:iCs/>
          <w:color w:val="000000"/>
          <w:sz w:val="20"/>
          <w:lang w:val="en-US"/>
        </w:rPr>
        <w:t xml:space="preserve">28 of the </w:t>
      </w:r>
      <w:r w:rsidRPr="000605BC">
        <w:rPr>
          <w:rFonts w:cs="Times New Roman"/>
          <w:i/>
          <w:iCs/>
          <w:color w:val="000000"/>
          <w:sz w:val="20"/>
          <w:lang w:val="en-US"/>
        </w:rPr>
        <w:t>POCA</w:t>
      </w:r>
      <w:r w:rsidRPr="000605BC">
        <w:rPr>
          <w:rFonts w:cs="Times New Roman"/>
          <w:iCs/>
          <w:color w:val="000000"/>
          <w:sz w:val="20"/>
          <w:lang w:val="en-US"/>
        </w:rPr>
        <w:t xml:space="preserve">, even in the ordinary course of their practice. Section 328 targets those who assist in the layering and integration stages of the money laundering process. The Crown is required to establish that the accused entered into or became concerned in an arrangement that they knew or suspected </w:t>
      </w:r>
      <w:r w:rsidR="003A6F8D" w:rsidRPr="000605BC">
        <w:rPr>
          <w:rFonts w:cs="Times New Roman"/>
          <w:iCs/>
          <w:color w:val="000000"/>
          <w:sz w:val="20"/>
          <w:lang w:val="en-US"/>
        </w:rPr>
        <w:t>“</w:t>
      </w:r>
      <w:r w:rsidRPr="000605BC">
        <w:rPr>
          <w:rFonts w:cs="Times New Roman"/>
          <w:iCs/>
          <w:color w:val="000000"/>
          <w:sz w:val="20"/>
          <w:lang w:val="en-US"/>
        </w:rPr>
        <w:t>facilitates (by whatever means) the acquisition, retention, use or control of criminal property by or on behalf of another person.</w:t>
      </w:r>
      <w:r w:rsidR="003A6F8D" w:rsidRPr="000605BC">
        <w:rPr>
          <w:rFonts w:cs="Times New Roman"/>
          <w:iCs/>
          <w:color w:val="000000"/>
          <w:sz w:val="20"/>
          <w:lang w:val="en-US"/>
        </w:rPr>
        <w:t>”</w:t>
      </w:r>
      <w:r w:rsidRPr="000605BC">
        <w:rPr>
          <w:rFonts w:cs="Times New Roman"/>
          <w:iCs/>
          <w:color w:val="000000"/>
          <w:sz w:val="20"/>
          <w:lang w:val="en-US"/>
        </w:rPr>
        <w:t xml:space="preserve"> This provision is intended to catch financial advisors, accountants</w:t>
      </w:r>
      <w:r w:rsidR="002451EA" w:rsidRPr="000605BC">
        <w:rPr>
          <w:rFonts w:cs="Times New Roman"/>
          <w:iCs/>
          <w:color w:val="000000"/>
          <w:sz w:val="20"/>
          <w:lang w:val="en-US"/>
        </w:rPr>
        <w:t>,</w:t>
      </w:r>
      <w:r w:rsidRPr="000605BC">
        <w:rPr>
          <w:rFonts w:cs="Times New Roman"/>
          <w:iCs/>
          <w:color w:val="000000"/>
          <w:sz w:val="20"/>
          <w:lang w:val="en-US"/>
        </w:rPr>
        <w:t xml:space="preserve"> lawyers and other professionals who assist in a money laundering scheme. </w:t>
      </w:r>
    </w:p>
    <w:p w14:paraId="09B3EDFB" w14:textId="04CF3076" w:rsidR="00BF2100" w:rsidRPr="000605BC" w:rsidRDefault="00BF2100" w:rsidP="00916A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iCs/>
          <w:color w:val="000000"/>
          <w:sz w:val="20"/>
          <w:lang w:val="en-US"/>
        </w:rPr>
      </w:pPr>
      <w:r w:rsidRPr="000605BC">
        <w:rPr>
          <w:rFonts w:cs="Times New Roman"/>
          <w:iCs/>
          <w:color w:val="000000"/>
          <w:sz w:val="20"/>
          <w:lang w:val="en-US"/>
        </w:rPr>
        <w:t xml:space="preserve">Section </w:t>
      </w:r>
      <w:r w:rsidR="00880CCA" w:rsidRPr="000605BC">
        <w:rPr>
          <w:rFonts w:cs="Times New Roman"/>
          <w:iCs/>
          <w:color w:val="000000"/>
          <w:sz w:val="20"/>
          <w:lang w:val="en-US"/>
        </w:rPr>
        <w:t>3</w:t>
      </w:r>
      <w:r w:rsidRPr="000605BC">
        <w:rPr>
          <w:rFonts w:cs="Times New Roman"/>
          <w:iCs/>
          <w:color w:val="000000"/>
          <w:sz w:val="20"/>
          <w:lang w:val="en-US"/>
        </w:rPr>
        <w:t>28 is broad enough that e</w:t>
      </w:r>
      <w:r w:rsidR="00764327" w:rsidRPr="000605BC">
        <w:rPr>
          <w:rFonts w:cs="Times New Roman"/>
          <w:iCs/>
          <w:color w:val="000000"/>
          <w:sz w:val="20"/>
          <w:lang w:val="en-US"/>
        </w:rPr>
        <w:t xml:space="preserve">ven careless lawyers can </w:t>
      </w:r>
      <w:r w:rsidRPr="000605BC">
        <w:rPr>
          <w:rFonts w:cs="Times New Roman"/>
          <w:iCs/>
          <w:color w:val="000000"/>
          <w:sz w:val="20"/>
          <w:lang w:val="en-US"/>
        </w:rPr>
        <w:t xml:space="preserve">be prosecuted. For example, in </w:t>
      </w:r>
      <w:r w:rsidRPr="000605BC">
        <w:rPr>
          <w:rFonts w:cs="Times New Roman"/>
          <w:i/>
          <w:iCs/>
          <w:color w:val="000000"/>
          <w:sz w:val="20"/>
          <w:lang w:val="en-US"/>
        </w:rPr>
        <w:t>R v Duff</w:t>
      </w:r>
      <w:r w:rsidRPr="000605BC">
        <w:rPr>
          <w:rFonts w:cs="Times New Roman"/>
          <w:iCs/>
          <w:color w:val="000000"/>
          <w:sz w:val="20"/>
          <w:lang w:val="en-US"/>
        </w:rPr>
        <w:t>, a solicitor was sentenced to six months imprisonment because he suspected that his client’s funds had been criminally derived</w:t>
      </w:r>
      <w:r w:rsidR="00536276" w:rsidRPr="000605BC">
        <w:rPr>
          <w:rFonts w:cs="Times New Roman"/>
          <w:iCs/>
          <w:color w:val="000000"/>
          <w:sz w:val="20"/>
          <w:lang w:val="en-US"/>
        </w:rPr>
        <w:t>,</w:t>
      </w:r>
      <w:r w:rsidRPr="000605BC">
        <w:rPr>
          <w:rFonts w:cs="Times New Roman"/>
          <w:iCs/>
          <w:color w:val="000000"/>
          <w:sz w:val="20"/>
          <w:lang w:val="en-US"/>
        </w:rPr>
        <w:t xml:space="preserve"> but did not report his suspicions.</w:t>
      </w:r>
      <w:r w:rsidR="00A84F55" w:rsidRPr="000605BC">
        <w:rPr>
          <w:rStyle w:val="FootnoteReference"/>
          <w:rFonts w:cs="Times New Roman"/>
          <w:iCs/>
          <w:color w:val="000000"/>
          <w:sz w:val="20"/>
          <w:lang w:val="en-US"/>
        </w:rPr>
        <w:footnoteReference w:id="112"/>
      </w:r>
      <w:r w:rsidR="00A84F55" w:rsidRPr="000605BC">
        <w:rPr>
          <w:rFonts w:cs="Times New Roman"/>
          <w:iCs/>
          <w:color w:val="000000"/>
          <w:sz w:val="20"/>
          <w:lang w:val="en-US"/>
        </w:rPr>
        <w:t xml:space="preserve"> </w:t>
      </w:r>
      <w:r w:rsidRPr="000605BC">
        <w:rPr>
          <w:rFonts w:cs="Times New Roman"/>
          <w:iCs/>
          <w:color w:val="000000"/>
          <w:sz w:val="20"/>
          <w:lang w:val="en-US"/>
        </w:rPr>
        <w:t xml:space="preserve"> This came to light some years later when his client was arrested for cocaine smuggling.</w:t>
      </w:r>
      <w:r w:rsidRPr="000605BC">
        <w:rPr>
          <w:rStyle w:val="FootnoteReference"/>
          <w:rFonts w:cs="Times New Roman"/>
          <w:iCs/>
          <w:color w:val="000000"/>
          <w:sz w:val="20"/>
          <w:lang w:val="en-US"/>
        </w:rPr>
        <w:footnoteReference w:id="113"/>
      </w:r>
      <w:r w:rsidRPr="000605BC">
        <w:rPr>
          <w:rFonts w:cs="Times New Roman"/>
          <w:iCs/>
          <w:color w:val="000000"/>
          <w:sz w:val="20"/>
          <w:lang w:val="en-US"/>
        </w:rPr>
        <w:t xml:space="preserve"> There are statutory </w:t>
      </w:r>
      <w:proofErr w:type="spellStart"/>
      <w:r w:rsidRPr="000605BC">
        <w:rPr>
          <w:rFonts w:cs="Times New Roman"/>
          <w:iCs/>
          <w:color w:val="000000"/>
          <w:sz w:val="20"/>
          <w:lang w:val="en-US"/>
        </w:rPr>
        <w:t>defences</w:t>
      </w:r>
      <w:proofErr w:type="spellEnd"/>
      <w:r w:rsidRPr="000605BC">
        <w:rPr>
          <w:rFonts w:cs="Times New Roman"/>
          <w:iCs/>
          <w:color w:val="000000"/>
          <w:sz w:val="20"/>
          <w:lang w:val="en-US"/>
        </w:rPr>
        <w:t xml:space="preserve"> to a s</w:t>
      </w:r>
      <w:r w:rsidR="002451EA" w:rsidRPr="000605BC">
        <w:rPr>
          <w:rFonts w:cs="Times New Roman"/>
          <w:iCs/>
          <w:color w:val="000000"/>
          <w:sz w:val="20"/>
          <w:lang w:val="en-US"/>
        </w:rPr>
        <w:t>ection</w:t>
      </w:r>
      <w:r w:rsidRPr="000605BC">
        <w:rPr>
          <w:rFonts w:cs="Times New Roman"/>
          <w:iCs/>
          <w:color w:val="000000"/>
          <w:sz w:val="20"/>
          <w:lang w:val="en-US"/>
        </w:rPr>
        <w:t xml:space="preserve"> </w:t>
      </w:r>
      <w:r w:rsidR="00880CCA" w:rsidRPr="000605BC">
        <w:rPr>
          <w:rFonts w:cs="Times New Roman"/>
          <w:iCs/>
          <w:color w:val="000000"/>
          <w:sz w:val="20"/>
          <w:lang w:val="en-US"/>
        </w:rPr>
        <w:t>3</w:t>
      </w:r>
      <w:r w:rsidRPr="000605BC">
        <w:rPr>
          <w:rFonts w:cs="Times New Roman"/>
          <w:iCs/>
          <w:color w:val="000000"/>
          <w:sz w:val="20"/>
          <w:lang w:val="en-US"/>
        </w:rPr>
        <w:t xml:space="preserve">28 charge, but they require the accused either to have reported their suspicions or to have a reasonable excuse for their failure to do so. This regime forces lawyers to report any suspicions or face criminal charges. </w:t>
      </w:r>
    </w:p>
    <w:p w14:paraId="7C5A9FBF" w14:textId="78117B43" w:rsidR="00BF2100" w:rsidRPr="000605BC" w:rsidRDefault="00BF2100" w:rsidP="00916A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iCs/>
          <w:color w:val="000000"/>
          <w:sz w:val="20"/>
          <w:lang w:val="en-US"/>
        </w:rPr>
      </w:pPr>
      <w:r w:rsidRPr="000605BC">
        <w:rPr>
          <w:rFonts w:cs="Times New Roman"/>
          <w:iCs/>
          <w:color w:val="000000"/>
          <w:sz w:val="20"/>
          <w:lang w:val="en-US"/>
        </w:rPr>
        <w:t>The UK courts have limited the scope of s</w:t>
      </w:r>
      <w:r w:rsidR="002451EA" w:rsidRPr="000605BC">
        <w:rPr>
          <w:rFonts w:cs="Times New Roman"/>
          <w:iCs/>
          <w:color w:val="000000"/>
          <w:sz w:val="20"/>
          <w:lang w:val="en-US"/>
        </w:rPr>
        <w:t>ection</w:t>
      </w:r>
      <w:r w:rsidRPr="000605BC">
        <w:rPr>
          <w:rFonts w:cs="Times New Roman"/>
          <w:iCs/>
          <w:color w:val="000000"/>
          <w:sz w:val="20"/>
          <w:lang w:val="en-US"/>
        </w:rPr>
        <w:t xml:space="preserve"> </w:t>
      </w:r>
      <w:r w:rsidR="00880CCA" w:rsidRPr="000605BC">
        <w:rPr>
          <w:rFonts w:cs="Times New Roman"/>
          <w:iCs/>
          <w:color w:val="000000"/>
          <w:sz w:val="20"/>
          <w:lang w:val="en-US"/>
        </w:rPr>
        <w:t>3</w:t>
      </w:r>
      <w:r w:rsidRPr="000605BC">
        <w:rPr>
          <w:rFonts w:cs="Times New Roman"/>
          <w:iCs/>
          <w:color w:val="000000"/>
          <w:sz w:val="20"/>
          <w:lang w:val="en-US"/>
        </w:rPr>
        <w:t xml:space="preserve">28 somewhat. In the 2005 case of </w:t>
      </w:r>
      <w:r w:rsidRPr="000605BC">
        <w:rPr>
          <w:rFonts w:cs="Times New Roman"/>
          <w:i/>
          <w:iCs/>
          <w:color w:val="000000"/>
          <w:sz w:val="20"/>
          <w:lang w:val="en-US"/>
        </w:rPr>
        <w:t xml:space="preserve">Bowman v </w:t>
      </w:r>
      <w:proofErr w:type="spellStart"/>
      <w:r w:rsidRPr="000605BC">
        <w:rPr>
          <w:rFonts w:cs="Times New Roman"/>
          <w:i/>
          <w:iCs/>
          <w:color w:val="000000"/>
          <w:sz w:val="20"/>
          <w:lang w:val="en-US"/>
        </w:rPr>
        <w:t>Fels</w:t>
      </w:r>
      <w:proofErr w:type="spellEnd"/>
      <w:r w:rsidRPr="000605BC">
        <w:rPr>
          <w:rFonts w:cs="Times New Roman"/>
          <w:i/>
          <w:iCs/>
          <w:color w:val="000000"/>
          <w:sz w:val="20"/>
          <w:lang w:val="en-US"/>
        </w:rPr>
        <w:t xml:space="preserve">, </w:t>
      </w:r>
      <w:r w:rsidRPr="000605BC">
        <w:rPr>
          <w:rFonts w:cs="Times New Roman"/>
          <w:iCs/>
          <w:color w:val="000000"/>
          <w:sz w:val="20"/>
          <w:lang w:val="en-US"/>
        </w:rPr>
        <w:t>the English Court of Appeal held that s</w:t>
      </w:r>
      <w:r w:rsidR="002451EA" w:rsidRPr="000605BC">
        <w:rPr>
          <w:rFonts w:cs="Times New Roman"/>
          <w:iCs/>
          <w:color w:val="000000"/>
          <w:sz w:val="20"/>
          <w:lang w:val="en-US"/>
        </w:rPr>
        <w:t>ection</w:t>
      </w:r>
      <w:r w:rsidRPr="000605BC">
        <w:rPr>
          <w:rFonts w:cs="Times New Roman"/>
          <w:iCs/>
          <w:color w:val="000000"/>
          <w:sz w:val="20"/>
          <w:lang w:val="en-US"/>
        </w:rPr>
        <w:t xml:space="preserve"> 328 does not apply to lawyers involved in ordinary litigation or other dispute resolution processes who, as a result of the privileged information they receive, come to suspect that the property at issue is criminal property.</w:t>
      </w:r>
      <w:r w:rsidR="00A84F55" w:rsidRPr="000605BC">
        <w:rPr>
          <w:rStyle w:val="FootnoteReference"/>
          <w:rFonts w:cs="Times New Roman"/>
          <w:iCs/>
          <w:color w:val="000000"/>
          <w:sz w:val="20"/>
          <w:lang w:val="en-US"/>
        </w:rPr>
        <w:footnoteReference w:id="114"/>
      </w:r>
      <w:r w:rsidRPr="000605BC">
        <w:rPr>
          <w:rFonts w:cs="Times New Roman"/>
          <w:iCs/>
          <w:color w:val="000000"/>
          <w:sz w:val="20"/>
          <w:lang w:val="en-US"/>
        </w:rPr>
        <w:t xml:space="preserve"> The case involved a family law dispute. The claimant, Ms. Bowman, sought recognition of a proprietary interest in the defendant’s home based on the doctrine of constructive trust. The claimant and the defendant had previously both lived in the house together in a common-law relationship.</w:t>
      </w:r>
      <w:r w:rsidR="00B364D6" w:rsidRPr="000605BC">
        <w:rPr>
          <w:rFonts w:cs="Times New Roman"/>
          <w:iCs/>
          <w:color w:val="000000"/>
          <w:sz w:val="20"/>
          <w:lang w:val="en-US"/>
        </w:rPr>
        <w:t xml:space="preserve"> </w:t>
      </w:r>
      <w:r w:rsidRPr="000605BC">
        <w:rPr>
          <w:rFonts w:cs="Times New Roman"/>
          <w:iCs/>
          <w:color w:val="000000"/>
          <w:sz w:val="20"/>
          <w:lang w:val="en-US"/>
        </w:rPr>
        <w:t>During the course of preparing for litigation, the claimant’s solicitors began to suspect that the house may have been criminal property and became concerned that if they did not disclose their suspicions to the authorities that they would be held liable under s</w:t>
      </w:r>
      <w:r w:rsidR="002451EA" w:rsidRPr="000605BC">
        <w:rPr>
          <w:rFonts w:cs="Times New Roman"/>
          <w:iCs/>
          <w:color w:val="000000"/>
          <w:sz w:val="20"/>
          <w:lang w:val="en-US"/>
        </w:rPr>
        <w:t>ection</w:t>
      </w:r>
      <w:r w:rsidRPr="000605BC">
        <w:rPr>
          <w:rFonts w:cs="Times New Roman"/>
          <w:iCs/>
          <w:color w:val="000000"/>
          <w:sz w:val="20"/>
          <w:lang w:val="en-US"/>
        </w:rPr>
        <w:t xml:space="preserve"> 328 for participating in an arrangement to aid their client in acquiring an interest in criminal property. The Court in </w:t>
      </w:r>
      <w:r w:rsidRPr="000605BC">
        <w:rPr>
          <w:rFonts w:cs="Times New Roman"/>
          <w:i/>
          <w:iCs/>
          <w:color w:val="000000"/>
          <w:sz w:val="20"/>
          <w:lang w:val="en-US"/>
        </w:rPr>
        <w:t>Bowman</w:t>
      </w:r>
      <w:r w:rsidRPr="000605BC">
        <w:rPr>
          <w:rFonts w:cs="Times New Roman"/>
          <w:iCs/>
          <w:color w:val="000000"/>
          <w:sz w:val="20"/>
          <w:lang w:val="en-US"/>
        </w:rPr>
        <w:t xml:space="preserve"> clarified that the solicitors were in no such danger. Section 328 does not override the concept of legal privilege and therefore would not have applied to the acts of the solicitors of the claimant or the defendant. </w:t>
      </w:r>
    </w:p>
    <w:p w14:paraId="75DDC623" w14:textId="77777777" w:rsidR="006A5FFF" w:rsidRPr="000605BC" w:rsidRDefault="00BF2100" w:rsidP="00916A81">
      <w:pPr>
        <w:tabs>
          <w:tab w:val="left" w:pos="220"/>
          <w:tab w:val="left" w:pos="720"/>
        </w:tabs>
        <w:autoSpaceDE w:val="0"/>
        <w:autoSpaceDN w:val="0"/>
        <w:adjustRightInd w:val="0"/>
        <w:rPr>
          <w:rFonts w:cs="Times New Roman"/>
          <w:iCs/>
          <w:color w:val="000000"/>
          <w:sz w:val="20"/>
          <w:lang w:val="en-US"/>
        </w:rPr>
      </w:pPr>
      <w:r w:rsidRPr="000605BC">
        <w:rPr>
          <w:rFonts w:cs="Times New Roman"/>
          <w:iCs/>
          <w:color w:val="000000"/>
          <w:sz w:val="20"/>
          <w:lang w:val="en-US"/>
        </w:rPr>
        <w:t xml:space="preserve">However, the Court in </w:t>
      </w:r>
      <w:r w:rsidRPr="000605BC">
        <w:rPr>
          <w:rFonts w:cs="Times New Roman"/>
          <w:i/>
          <w:iCs/>
          <w:color w:val="000000"/>
          <w:sz w:val="20"/>
          <w:lang w:val="en-US"/>
        </w:rPr>
        <w:t xml:space="preserve">Bowman </w:t>
      </w:r>
      <w:r w:rsidRPr="000605BC">
        <w:rPr>
          <w:rFonts w:cs="Times New Roman"/>
          <w:iCs/>
          <w:color w:val="000000"/>
          <w:sz w:val="20"/>
          <w:lang w:val="en-US"/>
        </w:rPr>
        <w:t>did not address the position of lawyers who assist clients in matters not involving litigation. Therefore, the potential liability of lawyers acting in a transactional context remains uncertain.</w:t>
      </w:r>
      <w:r w:rsidRPr="000605BC">
        <w:rPr>
          <w:rStyle w:val="FootnoteReference"/>
          <w:rFonts w:cs="Times New Roman"/>
          <w:iCs/>
          <w:color w:val="000000"/>
          <w:sz w:val="20"/>
          <w:lang w:val="en-US"/>
        </w:rPr>
        <w:footnoteReference w:id="115"/>
      </w:r>
      <w:r w:rsidRPr="000605BC">
        <w:rPr>
          <w:rFonts w:cs="Times New Roman"/>
          <w:iCs/>
          <w:color w:val="000000"/>
          <w:sz w:val="20"/>
          <w:lang w:val="en-US"/>
        </w:rPr>
        <w:t xml:space="preserve"> </w:t>
      </w:r>
    </w:p>
    <w:tbl>
      <w:tblPr>
        <w:tblStyle w:val="TableGrid"/>
        <w:tblW w:w="0" w:type="auto"/>
        <w:jc w:val="center"/>
        <w:tblCellMar>
          <w:top w:w="142" w:type="dxa"/>
          <w:left w:w="284" w:type="dxa"/>
          <w:bottom w:w="142" w:type="dxa"/>
          <w:right w:w="284" w:type="dxa"/>
        </w:tblCellMar>
        <w:tblLook w:val="04A0" w:firstRow="1" w:lastRow="0" w:firstColumn="1" w:lastColumn="0" w:noHBand="0" w:noVBand="1"/>
      </w:tblPr>
      <w:tblGrid>
        <w:gridCol w:w="8070"/>
      </w:tblGrid>
      <w:tr w:rsidR="00B36441" w:rsidRPr="000605BC" w14:paraId="4FC68A79" w14:textId="77777777" w:rsidTr="00B36441">
        <w:trPr>
          <w:jc w:val="center"/>
        </w:trPr>
        <w:tc>
          <w:tcPr>
            <w:tcW w:w="9576" w:type="dxa"/>
          </w:tcPr>
          <w:p w14:paraId="4C70E783" w14:textId="77777777" w:rsidR="00B36441" w:rsidRPr="000605BC" w:rsidRDefault="00B36441" w:rsidP="00B36441">
            <w:pPr>
              <w:tabs>
                <w:tab w:val="left" w:pos="220"/>
                <w:tab w:val="left" w:pos="720"/>
              </w:tabs>
              <w:autoSpaceDE w:val="0"/>
              <w:autoSpaceDN w:val="0"/>
              <w:adjustRightInd w:val="0"/>
              <w:spacing w:before="120" w:after="120"/>
              <w:rPr>
                <w:rFonts w:cs="Times New Roman"/>
                <w:b/>
                <w:iCs/>
                <w:color w:val="000000"/>
                <w:sz w:val="20"/>
                <w:lang w:val="en-US"/>
              </w:rPr>
            </w:pPr>
            <w:r w:rsidRPr="000605BC">
              <w:rPr>
                <w:rFonts w:cs="Times New Roman"/>
                <w:b/>
                <w:iCs/>
                <w:color w:val="000000"/>
                <w:sz w:val="20"/>
                <w:lang w:val="en-US"/>
              </w:rPr>
              <w:t>Further Reading</w:t>
            </w:r>
          </w:p>
          <w:p w14:paraId="64051BF4" w14:textId="77777777" w:rsidR="00600712" w:rsidRPr="000605BC" w:rsidRDefault="00B36441" w:rsidP="00600712">
            <w:pPr>
              <w:tabs>
                <w:tab w:val="left" w:pos="220"/>
                <w:tab w:val="left" w:pos="720"/>
              </w:tabs>
              <w:autoSpaceDE w:val="0"/>
              <w:autoSpaceDN w:val="0"/>
              <w:adjustRightInd w:val="0"/>
              <w:spacing w:before="120" w:after="0"/>
              <w:rPr>
                <w:rFonts w:cs="Times New Roman"/>
                <w:iCs/>
                <w:color w:val="000000"/>
                <w:sz w:val="20"/>
                <w:lang w:val="en-US"/>
              </w:rPr>
            </w:pPr>
            <w:r w:rsidRPr="000605BC">
              <w:rPr>
                <w:rFonts w:cs="Times New Roman"/>
                <w:iCs/>
                <w:color w:val="000000"/>
                <w:sz w:val="20"/>
                <w:lang w:val="en-US"/>
              </w:rPr>
              <w:t xml:space="preserve">For further information on legal privilege in the context of UK anti-money laundering law see: The Law Society, “Chapter 6: Legal Professional Privilege” in </w:t>
            </w:r>
            <w:r w:rsidRPr="000605BC">
              <w:rPr>
                <w:rFonts w:cs="Times New Roman"/>
                <w:i/>
                <w:iCs/>
                <w:color w:val="000000"/>
                <w:sz w:val="20"/>
                <w:lang w:val="en-US"/>
              </w:rPr>
              <w:t>Practice Notes: Anti-Money Laundering,</w:t>
            </w:r>
            <w:r w:rsidRPr="000605BC">
              <w:rPr>
                <w:rFonts w:cs="Times New Roman"/>
                <w:iCs/>
                <w:color w:val="000000"/>
                <w:sz w:val="20"/>
                <w:lang w:val="en-US"/>
              </w:rPr>
              <w:t xml:space="preserve"> online: </w:t>
            </w:r>
          </w:p>
          <w:p w14:paraId="5B8D1E0C" w14:textId="330E4984" w:rsidR="00B36441" w:rsidRPr="000605BC" w:rsidRDefault="00B36441" w:rsidP="00600712">
            <w:pPr>
              <w:tabs>
                <w:tab w:val="left" w:pos="220"/>
                <w:tab w:val="left" w:pos="720"/>
              </w:tabs>
              <w:autoSpaceDE w:val="0"/>
              <w:autoSpaceDN w:val="0"/>
              <w:adjustRightInd w:val="0"/>
              <w:spacing w:before="0" w:after="120"/>
              <w:rPr>
                <w:rFonts w:eastAsiaTheme="minorEastAsia" w:cs="Times New Roman"/>
                <w:sz w:val="20"/>
                <w:lang w:val="en-US" w:eastAsia="ja-JP"/>
              </w:rPr>
            </w:pPr>
            <w:r w:rsidRPr="000605BC">
              <w:rPr>
                <w:rFonts w:cs="Times New Roman"/>
                <w:iCs/>
                <w:color w:val="000000"/>
                <w:sz w:val="20"/>
                <w:lang w:val="en-US"/>
              </w:rPr>
              <w:t>&lt;</w:t>
            </w:r>
            <w:hyperlink r:id="rId16" w:history="1">
              <w:r w:rsidRPr="000605BC">
                <w:rPr>
                  <w:rStyle w:val="Hyperlink"/>
                  <w:rFonts w:cs="Times New Roman"/>
                  <w:iCs/>
                  <w:sz w:val="20"/>
                  <w:lang w:val="en-US"/>
                </w:rPr>
                <w:t>http://www.lawsociety.org.uk/advice/practice-notes/aml/legal-professional-privilege/</w:t>
              </w:r>
            </w:hyperlink>
            <w:r w:rsidRPr="000605BC">
              <w:rPr>
                <w:rFonts w:cs="Times New Roman"/>
                <w:iCs/>
                <w:color w:val="000000"/>
                <w:sz w:val="20"/>
                <w:lang w:val="en-US"/>
              </w:rPr>
              <w:t>&gt;.</w:t>
            </w:r>
          </w:p>
        </w:tc>
      </w:tr>
    </w:tbl>
    <w:p w14:paraId="132106EA" w14:textId="3FC17C8B" w:rsidR="00BF2100" w:rsidRPr="000605BC" w:rsidRDefault="00BF2100" w:rsidP="00D97E9B">
      <w:pPr>
        <w:pStyle w:val="Heading3"/>
        <w:rPr>
          <w:sz w:val="22"/>
          <w:lang w:val="en-US"/>
        </w:rPr>
      </w:pPr>
      <w:bookmarkStart w:id="95" w:name="_Toc287093751"/>
      <w:bookmarkStart w:id="96" w:name="_Toc419901569"/>
      <w:r w:rsidRPr="000605BC">
        <w:rPr>
          <w:sz w:val="22"/>
          <w:lang w:val="en-US"/>
        </w:rPr>
        <w:t>Canada</w:t>
      </w:r>
      <w:bookmarkEnd w:id="95"/>
      <w:bookmarkEnd w:id="96"/>
    </w:p>
    <w:p w14:paraId="162411CB" w14:textId="73D6A19F" w:rsidR="00455ADA" w:rsidRPr="000605BC" w:rsidRDefault="0021724B" w:rsidP="00916A81">
      <w:pPr>
        <w:widowControl w:val="0"/>
        <w:autoSpaceDE w:val="0"/>
        <w:autoSpaceDN w:val="0"/>
        <w:adjustRightInd w:val="0"/>
        <w:rPr>
          <w:rFonts w:eastAsiaTheme="minorEastAsia" w:cs="Times New Roman"/>
          <w:sz w:val="20"/>
          <w:lang w:val="en-US" w:eastAsia="ja-JP"/>
        </w:rPr>
      </w:pPr>
      <w:r w:rsidRPr="000605BC">
        <w:rPr>
          <w:rFonts w:cs="Times New Roman"/>
          <w:iCs/>
          <w:color w:val="000000"/>
          <w:sz w:val="20"/>
          <w:lang w:val="en-US"/>
        </w:rPr>
        <w:t xml:space="preserve">The Canadian government has tried unsuccessfully to subject lawyers to </w:t>
      </w:r>
      <w:r w:rsidR="000D5CB9" w:rsidRPr="000605BC">
        <w:rPr>
          <w:rFonts w:cs="Times New Roman"/>
          <w:iCs/>
          <w:color w:val="000000"/>
          <w:sz w:val="20"/>
          <w:lang w:val="en-US"/>
        </w:rPr>
        <w:t xml:space="preserve">reporting and CDD requirements much like those imposed on financial institutions. </w:t>
      </w:r>
      <w:r w:rsidR="0098035F" w:rsidRPr="000605BC">
        <w:rPr>
          <w:rFonts w:cs="Times New Roman"/>
          <w:iCs/>
          <w:color w:val="000000"/>
          <w:sz w:val="20"/>
          <w:lang w:val="en-US"/>
        </w:rPr>
        <w:t xml:space="preserve">When they were promulgated, the </w:t>
      </w:r>
      <w:r w:rsidR="0098035F" w:rsidRPr="000605BC">
        <w:rPr>
          <w:rFonts w:eastAsiaTheme="minorEastAsia" w:cs="Times New Roman"/>
          <w:i/>
          <w:iCs/>
          <w:sz w:val="20"/>
          <w:lang w:val="en-US" w:eastAsia="ja-JP"/>
        </w:rPr>
        <w:t xml:space="preserve">Proceeds of Crime (Money Laundering) and Terrorist Financing </w:t>
      </w:r>
      <w:r w:rsidR="00B364D6" w:rsidRPr="000605BC">
        <w:rPr>
          <w:rFonts w:eastAsiaTheme="minorEastAsia" w:cs="Times New Roman"/>
          <w:i/>
          <w:iCs/>
          <w:sz w:val="20"/>
          <w:lang w:val="en-US" w:eastAsia="ja-JP"/>
        </w:rPr>
        <w:t xml:space="preserve">Act </w:t>
      </w:r>
      <w:r w:rsidR="00B364D6" w:rsidRPr="000605BC">
        <w:rPr>
          <w:rFonts w:eastAsiaTheme="minorEastAsia" w:cs="Times New Roman"/>
          <w:iCs/>
          <w:sz w:val="20"/>
          <w:lang w:val="en-US" w:eastAsia="ja-JP"/>
        </w:rPr>
        <w:t>and</w:t>
      </w:r>
      <w:r w:rsidR="00B364D6" w:rsidRPr="000605BC">
        <w:rPr>
          <w:rFonts w:eastAsiaTheme="minorEastAsia" w:cs="Times New Roman"/>
          <w:i/>
          <w:iCs/>
          <w:sz w:val="20"/>
          <w:lang w:val="en-US" w:eastAsia="ja-JP"/>
        </w:rPr>
        <w:t xml:space="preserve"> </w:t>
      </w:r>
      <w:r w:rsidR="0098035F" w:rsidRPr="000605BC">
        <w:rPr>
          <w:rFonts w:eastAsiaTheme="minorEastAsia" w:cs="Times New Roman"/>
          <w:i/>
          <w:iCs/>
          <w:sz w:val="20"/>
          <w:lang w:val="en-US" w:eastAsia="ja-JP"/>
        </w:rPr>
        <w:t>Regulations</w:t>
      </w:r>
      <w:r w:rsidR="0098035F" w:rsidRPr="000605BC">
        <w:rPr>
          <w:rFonts w:eastAsiaTheme="minorEastAsia" w:cs="Times New Roman"/>
          <w:iCs/>
          <w:sz w:val="20"/>
          <w:lang w:val="en-US" w:eastAsia="ja-JP"/>
        </w:rPr>
        <w:t xml:space="preserve"> applied to lawyers. They imposed reporting and CDD requirements and allowed searches of law offices and seizure of evidence. The </w:t>
      </w:r>
      <w:r w:rsidR="00B364D6" w:rsidRPr="000605BC">
        <w:rPr>
          <w:rFonts w:eastAsiaTheme="minorEastAsia" w:cs="Times New Roman"/>
          <w:iCs/>
          <w:sz w:val="20"/>
          <w:lang w:val="en-US" w:eastAsia="ja-JP"/>
        </w:rPr>
        <w:t xml:space="preserve">application of the </w:t>
      </w:r>
      <w:r w:rsidR="00B364D6" w:rsidRPr="000605BC">
        <w:rPr>
          <w:rFonts w:eastAsiaTheme="minorEastAsia" w:cs="Times New Roman"/>
          <w:i/>
          <w:iCs/>
          <w:sz w:val="20"/>
          <w:lang w:val="en-US" w:eastAsia="ja-JP"/>
        </w:rPr>
        <w:t>Act</w:t>
      </w:r>
      <w:r w:rsidR="00B364D6" w:rsidRPr="000605BC">
        <w:rPr>
          <w:rFonts w:eastAsiaTheme="minorEastAsia" w:cs="Times New Roman"/>
          <w:iCs/>
          <w:sz w:val="20"/>
          <w:lang w:val="en-US" w:eastAsia="ja-JP"/>
        </w:rPr>
        <w:t xml:space="preserve"> and </w:t>
      </w:r>
      <w:r w:rsidR="0098035F" w:rsidRPr="000605BC">
        <w:rPr>
          <w:rFonts w:eastAsiaTheme="minorEastAsia" w:cs="Times New Roman"/>
          <w:i/>
          <w:iCs/>
          <w:sz w:val="20"/>
          <w:lang w:val="en-US" w:eastAsia="ja-JP"/>
        </w:rPr>
        <w:t>Regulations</w:t>
      </w:r>
      <w:r w:rsidR="0098035F" w:rsidRPr="000605BC">
        <w:rPr>
          <w:rFonts w:eastAsiaTheme="minorEastAsia" w:cs="Times New Roman"/>
          <w:iCs/>
          <w:sz w:val="20"/>
          <w:lang w:val="en-US" w:eastAsia="ja-JP"/>
        </w:rPr>
        <w:t xml:space="preserve"> </w:t>
      </w:r>
      <w:r w:rsidR="00B364D6" w:rsidRPr="000605BC">
        <w:rPr>
          <w:rFonts w:eastAsiaTheme="minorEastAsia" w:cs="Times New Roman"/>
          <w:iCs/>
          <w:sz w:val="20"/>
          <w:lang w:val="en-US" w:eastAsia="ja-JP"/>
        </w:rPr>
        <w:t xml:space="preserve">to lawyers </w:t>
      </w:r>
      <w:r w:rsidR="00764327" w:rsidRPr="000605BC">
        <w:rPr>
          <w:rFonts w:eastAsiaTheme="minorEastAsia" w:cs="Times New Roman"/>
          <w:iCs/>
          <w:sz w:val="20"/>
          <w:lang w:val="en-US" w:eastAsia="ja-JP"/>
        </w:rPr>
        <w:t>was</w:t>
      </w:r>
      <w:r w:rsidR="0098035F" w:rsidRPr="000605BC">
        <w:rPr>
          <w:rFonts w:eastAsiaTheme="minorEastAsia" w:cs="Times New Roman"/>
          <w:iCs/>
          <w:sz w:val="20"/>
          <w:lang w:val="en-US" w:eastAsia="ja-JP"/>
        </w:rPr>
        <w:t xml:space="preserve"> challenged by the Federation of Law Societies on constitutional grounds. In a 2015 ruling, the Supreme Court upheld the Federation’s position and read down the relevant provisions to </w:t>
      </w:r>
      <w:r w:rsidR="00B364D6" w:rsidRPr="000605BC">
        <w:rPr>
          <w:rFonts w:eastAsiaTheme="minorEastAsia" w:cs="Times New Roman"/>
          <w:iCs/>
          <w:sz w:val="20"/>
          <w:lang w:val="en-US" w:eastAsia="ja-JP"/>
        </w:rPr>
        <w:t xml:space="preserve">effectively </w:t>
      </w:r>
      <w:r w:rsidR="0098035F" w:rsidRPr="000605BC">
        <w:rPr>
          <w:rFonts w:eastAsiaTheme="minorEastAsia" w:cs="Times New Roman"/>
          <w:iCs/>
          <w:sz w:val="20"/>
          <w:lang w:val="en-US" w:eastAsia="ja-JP"/>
        </w:rPr>
        <w:t xml:space="preserve">exclude lawyers from the </w:t>
      </w:r>
      <w:r w:rsidR="00B364D6" w:rsidRPr="000605BC">
        <w:rPr>
          <w:rFonts w:eastAsiaTheme="minorEastAsia" w:cs="Times New Roman"/>
          <w:i/>
          <w:iCs/>
          <w:sz w:val="20"/>
          <w:lang w:val="en-US" w:eastAsia="ja-JP"/>
        </w:rPr>
        <w:t>Act</w:t>
      </w:r>
      <w:r w:rsidR="00B364D6" w:rsidRPr="000605BC">
        <w:rPr>
          <w:rFonts w:eastAsiaTheme="minorEastAsia" w:cs="Times New Roman"/>
          <w:iCs/>
          <w:sz w:val="20"/>
          <w:lang w:val="en-US" w:eastAsia="ja-JP"/>
        </w:rPr>
        <w:t xml:space="preserve"> and </w:t>
      </w:r>
      <w:r w:rsidR="0098035F" w:rsidRPr="000605BC">
        <w:rPr>
          <w:rFonts w:eastAsiaTheme="minorEastAsia" w:cs="Times New Roman"/>
          <w:i/>
          <w:iCs/>
          <w:sz w:val="20"/>
          <w:lang w:val="en-US" w:eastAsia="ja-JP"/>
        </w:rPr>
        <w:t>Regulations</w:t>
      </w:r>
      <w:r w:rsidR="0098035F" w:rsidRPr="000605BC">
        <w:rPr>
          <w:rFonts w:eastAsiaTheme="minorEastAsia" w:cs="Times New Roman"/>
          <w:iCs/>
          <w:sz w:val="20"/>
          <w:lang w:val="en-US" w:eastAsia="ja-JP"/>
        </w:rPr>
        <w:t>.</w:t>
      </w:r>
      <w:r w:rsidR="00A84F55" w:rsidRPr="000605BC">
        <w:rPr>
          <w:rStyle w:val="FootnoteReference"/>
          <w:rFonts w:eastAsiaTheme="minorEastAsia" w:cs="Times New Roman"/>
          <w:iCs/>
          <w:sz w:val="20"/>
          <w:lang w:val="en-US" w:eastAsia="ja-JP"/>
        </w:rPr>
        <w:footnoteReference w:id="116"/>
      </w:r>
      <w:r w:rsidR="0098035F" w:rsidRPr="000605BC">
        <w:rPr>
          <w:rFonts w:eastAsiaTheme="minorEastAsia" w:cs="Times New Roman"/>
          <w:iCs/>
          <w:sz w:val="20"/>
          <w:lang w:val="en-US" w:eastAsia="ja-JP"/>
        </w:rPr>
        <w:t xml:space="preserve"> </w:t>
      </w:r>
      <w:r w:rsidR="007F0950" w:rsidRPr="000605BC">
        <w:rPr>
          <w:rFonts w:eastAsiaTheme="minorEastAsia" w:cs="Times New Roman"/>
          <w:iCs/>
          <w:sz w:val="20"/>
          <w:lang w:val="en-US" w:eastAsia="ja-JP"/>
        </w:rPr>
        <w:t>The Federation has created model rules to deal with money laundering, which have been adopted by the provincial law societies.</w:t>
      </w:r>
      <w:r w:rsidR="007F0950" w:rsidRPr="000605BC">
        <w:rPr>
          <w:rStyle w:val="FootnoteReference"/>
          <w:rFonts w:eastAsiaTheme="minorEastAsia" w:cs="Times New Roman"/>
          <w:iCs/>
          <w:sz w:val="20"/>
          <w:lang w:val="en-US" w:eastAsia="ja-JP"/>
        </w:rPr>
        <w:footnoteReference w:id="117"/>
      </w:r>
      <w:r w:rsidR="007F0950" w:rsidRPr="000605BC">
        <w:rPr>
          <w:rFonts w:eastAsiaTheme="minorEastAsia" w:cs="Times New Roman"/>
          <w:iCs/>
          <w:sz w:val="20"/>
          <w:lang w:val="en-US" w:eastAsia="ja-JP"/>
        </w:rPr>
        <w:t xml:space="preserve"> </w:t>
      </w:r>
      <w:r w:rsidR="00133274" w:rsidRPr="000605BC">
        <w:rPr>
          <w:rFonts w:eastAsiaTheme="minorEastAsia" w:cs="Times New Roman"/>
          <w:iCs/>
          <w:sz w:val="20"/>
          <w:lang w:val="en-US" w:eastAsia="ja-JP"/>
        </w:rPr>
        <w:t xml:space="preserve">The Federation’s model rule on cash transactions states that </w:t>
      </w:r>
      <w:r w:rsidR="003A6F8D" w:rsidRPr="000605BC">
        <w:rPr>
          <w:rFonts w:eastAsiaTheme="minorEastAsia" w:cs="Times New Roman"/>
          <w:iCs/>
          <w:sz w:val="20"/>
          <w:lang w:val="en-US" w:eastAsia="ja-JP"/>
        </w:rPr>
        <w:t>“</w:t>
      </w:r>
      <w:r w:rsidR="00133274" w:rsidRPr="000605BC">
        <w:rPr>
          <w:rFonts w:eastAsiaTheme="minorEastAsia" w:cs="Times New Roman"/>
          <w:iCs/>
          <w:sz w:val="20"/>
          <w:lang w:val="en-US" w:eastAsia="ja-JP"/>
        </w:rPr>
        <w:t>[a] lawyer shall not receive or accept from a person, cash in an aggregate amount of $7,500 or more Canadian dollars in respect of any one client matter or transaction.</w:t>
      </w:r>
      <w:r w:rsidR="003A6F8D" w:rsidRPr="000605BC">
        <w:rPr>
          <w:rFonts w:eastAsiaTheme="minorEastAsia" w:cs="Times New Roman"/>
          <w:iCs/>
          <w:sz w:val="20"/>
          <w:lang w:val="en-US" w:eastAsia="ja-JP"/>
        </w:rPr>
        <w:t>”</w:t>
      </w:r>
      <w:r w:rsidR="00993D0C" w:rsidRPr="000605BC">
        <w:rPr>
          <w:rStyle w:val="FootnoteReference"/>
          <w:rFonts w:eastAsiaTheme="minorEastAsia" w:cs="Times New Roman"/>
          <w:iCs/>
          <w:sz w:val="20"/>
          <w:lang w:val="en-US" w:eastAsia="ja-JP"/>
        </w:rPr>
        <w:footnoteReference w:id="118"/>
      </w:r>
      <w:r w:rsidR="00133274" w:rsidRPr="000605BC">
        <w:rPr>
          <w:rFonts w:eastAsiaTheme="minorEastAsia" w:cs="Times New Roman"/>
          <w:iCs/>
          <w:sz w:val="20"/>
          <w:lang w:val="en-US" w:eastAsia="ja-JP"/>
        </w:rPr>
        <w:t xml:space="preserve"> The B.C. Law Society Rule 3-59 also adopts the $7,500 cash rule.</w:t>
      </w:r>
      <w:r w:rsidR="00993D0C" w:rsidRPr="000605BC">
        <w:rPr>
          <w:rStyle w:val="FootnoteReference"/>
          <w:rFonts w:eastAsiaTheme="minorEastAsia" w:cs="Times New Roman"/>
          <w:iCs/>
          <w:sz w:val="20"/>
          <w:lang w:val="en-US" w:eastAsia="ja-JP"/>
        </w:rPr>
        <w:footnoteReference w:id="119"/>
      </w:r>
      <w:r w:rsidR="00133274" w:rsidRPr="000605BC">
        <w:rPr>
          <w:rFonts w:eastAsiaTheme="minorEastAsia" w:cs="Times New Roman"/>
          <w:iCs/>
          <w:sz w:val="20"/>
          <w:lang w:val="en-US" w:eastAsia="ja-JP"/>
        </w:rPr>
        <w:t xml:space="preserve"> </w:t>
      </w:r>
      <w:r w:rsidR="00993D0C" w:rsidRPr="000605BC">
        <w:rPr>
          <w:rFonts w:eastAsiaTheme="minorEastAsia" w:cs="Times New Roman"/>
          <w:iCs/>
          <w:sz w:val="20"/>
          <w:lang w:val="en-US" w:eastAsia="ja-JP"/>
        </w:rPr>
        <w:t>However, these</w:t>
      </w:r>
      <w:r w:rsidR="00B364D6" w:rsidRPr="000605BC">
        <w:rPr>
          <w:rFonts w:eastAsiaTheme="minorEastAsia" w:cs="Times New Roman"/>
          <w:iCs/>
          <w:sz w:val="20"/>
          <w:lang w:val="en-US" w:eastAsia="ja-JP"/>
        </w:rPr>
        <w:t xml:space="preserve"> rules are less comprehensive and </w:t>
      </w:r>
      <w:r w:rsidR="006213D8" w:rsidRPr="000605BC">
        <w:rPr>
          <w:rFonts w:eastAsiaTheme="minorEastAsia" w:cs="Times New Roman"/>
          <w:iCs/>
          <w:sz w:val="20"/>
          <w:lang w:val="en-US" w:eastAsia="ja-JP"/>
        </w:rPr>
        <w:t xml:space="preserve">generally </w:t>
      </w:r>
      <w:r w:rsidR="007F0950" w:rsidRPr="000605BC">
        <w:rPr>
          <w:rFonts w:eastAsiaTheme="minorEastAsia" w:cs="Times New Roman"/>
          <w:iCs/>
          <w:sz w:val="20"/>
          <w:lang w:val="en-US" w:eastAsia="ja-JP"/>
        </w:rPr>
        <w:t>impose less stringent requirements than the</w:t>
      </w:r>
      <w:r w:rsidR="00B364D6" w:rsidRPr="000605BC">
        <w:rPr>
          <w:rFonts w:eastAsiaTheme="minorEastAsia" w:cs="Times New Roman"/>
          <w:iCs/>
          <w:sz w:val="20"/>
          <w:lang w:val="en-US" w:eastAsia="ja-JP"/>
        </w:rPr>
        <w:t xml:space="preserve"> government’s </w:t>
      </w:r>
      <w:r w:rsidR="007F0950" w:rsidRPr="000605BC">
        <w:rPr>
          <w:rFonts w:eastAsiaTheme="minorEastAsia" w:cs="Times New Roman"/>
          <w:i/>
          <w:iCs/>
          <w:sz w:val="20"/>
          <w:lang w:val="en-US" w:eastAsia="ja-JP"/>
        </w:rPr>
        <w:t>Regulations</w:t>
      </w:r>
      <w:r w:rsidR="007F0950" w:rsidRPr="000605BC">
        <w:rPr>
          <w:rFonts w:eastAsiaTheme="minorEastAsia" w:cs="Times New Roman"/>
          <w:iCs/>
          <w:sz w:val="20"/>
          <w:lang w:val="en-US" w:eastAsia="ja-JP"/>
        </w:rPr>
        <w:t xml:space="preserve">. </w:t>
      </w:r>
      <w:r w:rsidR="00541ADA" w:rsidRPr="000605BC">
        <w:rPr>
          <w:rFonts w:eastAsiaTheme="minorEastAsia" w:cs="Times New Roman"/>
          <w:iCs/>
          <w:sz w:val="20"/>
          <w:lang w:val="en-US" w:eastAsia="ja-JP"/>
        </w:rPr>
        <w:t xml:space="preserve">The federal legislation </w:t>
      </w:r>
      <w:r w:rsidR="00542978" w:rsidRPr="000605BC">
        <w:rPr>
          <w:rFonts w:eastAsiaTheme="minorEastAsia" w:cs="Times New Roman"/>
          <w:iCs/>
          <w:sz w:val="20"/>
          <w:lang w:val="en-US" w:eastAsia="ja-JP"/>
        </w:rPr>
        <w:t>and regulations require</w:t>
      </w:r>
      <w:r w:rsidR="00541ADA" w:rsidRPr="000605BC">
        <w:rPr>
          <w:rFonts w:eastAsiaTheme="minorEastAsia" w:cs="Times New Roman"/>
          <w:iCs/>
          <w:sz w:val="20"/>
          <w:lang w:val="en-US" w:eastAsia="ja-JP"/>
        </w:rPr>
        <w:t xml:space="preserve"> that financial institutions and other professionals, such as accountants or investment brokers, report all transactions of $10,000 or more to FINTRAC. </w:t>
      </w:r>
      <w:r w:rsidR="00445565" w:rsidRPr="000605BC">
        <w:rPr>
          <w:rFonts w:eastAsiaTheme="minorEastAsia" w:cs="Times New Roman"/>
          <w:iCs/>
          <w:sz w:val="20"/>
          <w:lang w:val="en-US" w:eastAsia="ja-JP"/>
        </w:rPr>
        <w:t>On the other hand, lawyers</w:t>
      </w:r>
      <w:r w:rsidR="00C754C8" w:rsidRPr="000605BC">
        <w:rPr>
          <w:rFonts w:eastAsiaTheme="minorEastAsia" w:cs="Times New Roman"/>
          <w:iCs/>
          <w:sz w:val="20"/>
          <w:lang w:val="en-US" w:eastAsia="ja-JP"/>
        </w:rPr>
        <w:t xml:space="preserve"> need not report </w:t>
      </w:r>
      <w:r w:rsidR="00541ADA" w:rsidRPr="000605BC">
        <w:rPr>
          <w:rFonts w:eastAsiaTheme="minorEastAsia" w:cs="Times New Roman"/>
          <w:iCs/>
          <w:sz w:val="20"/>
          <w:lang w:val="en-US" w:eastAsia="ja-JP"/>
        </w:rPr>
        <w:t>cash transactions to anyone.</w:t>
      </w:r>
      <w:r w:rsidR="00C754C8" w:rsidRPr="000605BC">
        <w:rPr>
          <w:rFonts w:eastAsiaTheme="minorEastAsia" w:cs="Times New Roman"/>
          <w:iCs/>
          <w:sz w:val="20"/>
          <w:lang w:val="en-US" w:eastAsia="ja-JP"/>
        </w:rPr>
        <w:t xml:space="preserve"> The law societies take</w:t>
      </w:r>
      <w:r w:rsidR="00541ADA" w:rsidRPr="000605BC">
        <w:rPr>
          <w:rFonts w:eastAsiaTheme="minorEastAsia" w:cs="Times New Roman"/>
          <w:iCs/>
          <w:sz w:val="20"/>
          <w:lang w:val="en-US" w:eastAsia="ja-JP"/>
        </w:rPr>
        <w:t xml:space="preserve"> the position that when a </w:t>
      </w:r>
      <w:proofErr w:type="spellStart"/>
      <w:r w:rsidR="00541ADA" w:rsidRPr="000605BC">
        <w:rPr>
          <w:rFonts w:eastAsiaTheme="minorEastAsia" w:cs="Times New Roman"/>
          <w:iCs/>
          <w:sz w:val="20"/>
          <w:lang w:val="en-US" w:eastAsia="ja-JP"/>
        </w:rPr>
        <w:t>cheque</w:t>
      </w:r>
      <w:proofErr w:type="spellEnd"/>
      <w:r w:rsidR="00541ADA" w:rsidRPr="000605BC">
        <w:rPr>
          <w:rFonts w:eastAsiaTheme="minorEastAsia" w:cs="Times New Roman"/>
          <w:iCs/>
          <w:sz w:val="20"/>
          <w:lang w:val="en-US" w:eastAsia="ja-JP"/>
        </w:rPr>
        <w:t xml:space="preserve"> or electronic bank transfer of $10,000 or more is received by a law firm</w:t>
      </w:r>
      <w:r w:rsidR="00C754C8" w:rsidRPr="000605BC">
        <w:rPr>
          <w:rFonts w:eastAsiaTheme="minorEastAsia" w:cs="Times New Roman"/>
          <w:iCs/>
          <w:sz w:val="20"/>
          <w:lang w:val="en-US" w:eastAsia="ja-JP"/>
        </w:rPr>
        <w:t>,</w:t>
      </w:r>
      <w:r w:rsidR="008165CA" w:rsidRPr="000605BC">
        <w:rPr>
          <w:rFonts w:eastAsiaTheme="minorEastAsia" w:cs="Times New Roman"/>
          <w:iCs/>
          <w:sz w:val="20"/>
          <w:lang w:val="en-US" w:eastAsia="ja-JP"/>
        </w:rPr>
        <w:t xml:space="preserve"> that money has already</w:t>
      </w:r>
      <w:r w:rsidR="00541ADA" w:rsidRPr="000605BC">
        <w:rPr>
          <w:rFonts w:eastAsiaTheme="minorEastAsia" w:cs="Times New Roman"/>
          <w:iCs/>
          <w:sz w:val="20"/>
          <w:lang w:val="en-US" w:eastAsia="ja-JP"/>
        </w:rPr>
        <w:t xml:space="preserve"> been subjected to the automatic FINTRAC reporting requirement (for $10,000 or more</w:t>
      </w:r>
      <w:r w:rsidR="00542978" w:rsidRPr="000605BC">
        <w:rPr>
          <w:rFonts w:eastAsiaTheme="minorEastAsia" w:cs="Times New Roman"/>
          <w:iCs/>
          <w:sz w:val="20"/>
          <w:lang w:val="en-US" w:eastAsia="ja-JP"/>
        </w:rPr>
        <w:t>)</w:t>
      </w:r>
      <w:r w:rsidR="00541ADA" w:rsidRPr="000605BC">
        <w:rPr>
          <w:rFonts w:eastAsiaTheme="minorEastAsia" w:cs="Times New Roman"/>
          <w:iCs/>
          <w:sz w:val="20"/>
          <w:lang w:val="en-US" w:eastAsia="ja-JP"/>
        </w:rPr>
        <w:t xml:space="preserve"> at the point of deposit of that money with a financial institution.</w:t>
      </w:r>
    </w:p>
    <w:p w14:paraId="5E849997" w14:textId="4FE0489B" w:rsidR="0021724B" w:rsidRPr="000605BC" w:rsidRDefault="0021724B" w:rsidP="00916A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sz w:val="20"/>
          <w:lang w:val="en-US"/>
        </w:rPr>
      </w:pPr>
      <w:r w:rsidRPr="000605BC">
        <w:rPr>
          <w:rFonts w:cs="Times New Roman"/>
          <w:iCs/>
          <w:sz w:val="20"/>
          <w:lang w:val="en-US"/>
        </w:rPr>
        <w:t xml:space="preserve">As in the US, Canadian lawyers are </w:t>
      </w:r>
      <w:r w:rsidR="00B364D6" w:rsidRPr="000605BC">
        <w:rPr>
          <w:rFonts w:cs="Times New Roman"/>
          <w:iCs/>
          <w:sz w:val="20"/>
          <w:lang w:val="en-US"/>
        </w:rPr>
        <w:t xml:space="preserve">unlikely to be </w:t>
      </w:r>
      <w:r w:rsidRPr="000605BC">
        <w:rPr>
          <w:rFonts w:cs="Times New Roman"/>
          <w:iCs/>
          <w:sz w:val="20"/>
          <w:lang w:val="en-US"/>
        </w:rPr>
        <w:t xml:space="preserve">prosecuted </w:t>
      </w:r>
      <w:r w:rsidR="00764327" w:rsidRPr="000605BC">
        <w:rPr>
          <w:rFonts w:cs="Times New Roman"/>
          <w:iCs/>
          <w:sz w:val="20"/>
          <w:lang w:val="en-US"/>
        </w:rPr>
        <w:t>for</w:t>
      </w:r>
      <w:r w:rsidRPr="000605BC">
        <w:rPr>
          <w:rFonts w:cs="Times New Roman"/>
          <w:iCs/>
          <w:sz w:val="20"/>
          <w:lang w:val="en-US"/>
        </w:rPr>
        <w:t xml:space="preserve"> money laundering offences </w:t>
      </w:r>
      <w:r w:rsidR="000D5CB9" w:rsidRPr="000605BC">
        <w:rPr>
          <w:rFonts w:cs="Times New Roman"/>
          <w:iCs/>
          <w:sz w:val="20"/>
          <w:lang w:val="en-US"/>
        </w:rPr>
        <w:t>unless they deliberately facilitate a money laundering s</w:t>
      </w:r>
      <w:r w:rsidR="001B5728" w:rsidRPr="000605BC">
        <w:rPr>
          <w:rFonts w:cs="Times New Roman"/>
          <w:iCs/>
          <w:sz w:val="20"/>
          <w:lang w:val="en-US"/>
        </w:rPr>
        <w:t>cheme. As discussed in Section</w:t>
      </w:r>
      <w:r w:rsidR="008C0178" w:rsidRPr="000605BC">
        <w:rPr>
          <w:rFonts w:cs="Times New Roman"/>
          <w:iCs/>
          <w:sz w:val="20"/>
          <w:lang w:val="en-US"/>
        </w:rPr>
        <w:t xml:space="preserve"> 5</w:t>
      </w:r>
      <w:r w:rsidR="000D5CB9" w:rsidRPr="000605BC">
        <w:rPr>
          <w:rFonts w:cs="Times New Roman"/>
          <w:iCs/>
          <w:sz w:val="20"/>
          <w:lang w:val="en-US"/>
        </w:rPr>
        <w:t>.4</w:t>
      </w:r>
      <w:r w:rsidR="00C522E5">
        <w:rPr>
          <w:rFonts w:cs="Times New Roman"/>
          <w:iCs/>
          <w:sz w:val="20"/>
          <w:lang w:val="en-US"/>
        </w:rPr>
        <w:t>.4</w:t>
      </w:r>
      <w:r w:rsidR="000D5CB9" w:rsidRPr="000605BC">
        <w:rPr>
          <w:rFonts w:cs="Times New Roman"/>
          <w:iCs/>
          <w:color w:val="000000"/>
          <w:sz w:val="20"/>
          <w:lang w:val="en-US"/>
        </w:rPr>
        <w:t xml:space="preserve">, the Canadian offences require that the accused have actual knowledge that the funds in question were obtained through the commission of an indictable offence. </w:t>
      </w:r>
      <w:r w:rsidR="0097044D" w:rsidRPr="000605BC">
        <w:rPr>
          <w:rFonts w:cs="Times New Roman"/>
          <w:iCs/>
          <w:color w:val="000000"/>
          <w:sz w:val="20"/>
          <w:lang w:val="en-US"/>
        </w:rPr>
        <w:t>Willful</w:t>
      </w:r>
      <w:r w:rsidR="008C0178" w:rsidRPr="000605BC">
        <w:rPr>
          <w:rFonts w:cs="Times New Roman"/>
          <w:iCs/>
          <w:color w:val="000000"/>
          <w:sz w:val="20"/>
          <w:lang w:val="en-US"/>
        </w:rPr>
        <w:t xml:space="preserve"> blindness, but not subjective recklessness, will normal</w:t>
      </w:r>
      <w:r w:rsidR="005714DC" w:rsidRPr="000605BC">
        <w:rPr>
          <w:rFonts w:cs="Times New Roman"/>
          <w:iCs/>
          <w:color w:val="000000"/>
          <w:sz w:val="20"/>
          <w:lang w:val="en-US"/>
        </w:rPr>
        <w:t>ly suffice as actual knowledge.</w:t>
      </w:r>
      <w:r w:rsidR="008C0178" w:rsidRPr="000605BC">
        <w:rPr>
          <w:rStyle w:val="FootnoteReference"/>
          <w:rFonts w:cs="Times New Roman"/>
          <w:iCs/>
          <w:color w:val="000000"/>
          <w:sz w:val="20"/>
          <w:lang w:val="en-US"/>
        </w:rPr>
        <w:footnoteReference w:id="120"/>
      </w:r>
      <w:r w:rsidR="00274EB2" w:rsidRPr="000605BC">
        <w:rPr>
          <w:rFonts w:cs="Times New Roman"/>
          <w:iCs/>
          <w:color w:val="000000"/>
          <w:sz w:val="20"/>
          <w:lang w:val="en-US"/>
        </w:rPr>
        <w:t xml:space="preserve"> Section 462.31</w:t>
      </w:r>
      <w:r w:rsidR="005714DC" w:rsidRPr="000605BC">
        <w:rPr>
          <w:rFonts w:cs="Times New Roman"/>
          <w:iCs/>
          <w:color w:val="000000"/>
          <w:sz w:val="20"/>
          <w:lang w:val="en-US"/>
        </w:rPr>
        <w:t xml:space="preserve">(1) of the </w:t>
      </w:r>
      <w:r w:rsidR="000D5CB9" w:rsidRPr="000605BC">
        <w:rPr>
          <w:rFonts w:cs="Times New Roman"/>
          <w:i/>
          <w:iCs/>
          <w:color w:val="000000"/>
          <w:sz w:val="20"/>
          <w:lang w:val="en-US"/>
        </w:rPr>
        <w:t>Criminal Code</w:t>
      </w:r>
      <w:r w:rsidR="000D5CB9" w:rsidRPr="000605BC">
        <w:rPr>
          <w:rFonts w:cs="Times New Roman"/>
          <w:iCs/>
          <w:color w:val="000000"/>
          <w:sz w:val="20"/>
          <w:lang w:val="en-US"/>
        </w:rPr>
        <w:t xml:space="preserve"> </w:t>
      </w:r>
      <w:r w:rsidR="000D5CB9" w:rsidRPr="000605BC">
        <w:rPr>
          <w:rFonts w:cs="Times New Roman"/>
          <w:sz w:val="20"/>
          <w:lang w:val="en-US"/>
        </w:rPr>
        <w:t xml:space="preserve">also requires some intent to conceal the source of the funds. Mere careless conduct on the part of a lawyer is unlikely to make out the offence. </w:t>
      </w:r>
    </w:p>
    <w:tbl>
      <w:tblPr>
        <w:tblStyle w:val="TableGrid"/>
        <w:tblW w:w="0" w:type="auto"/>
        <w:jc w:val="center"/>
        <w:tblCellMar>
          <w:top w:w="142" w:type="dxa"/>
          <w:left w:w="284" w:type="dxa"/>
          <w:bottom w:w="142" w:type="dxa"/>
          <w:right w:w="284" w:type="dxa"/>
        </w:tblCellMar>
        <w:tblLook w:val="04A0" w:firstRow="1" w:lastRow="0" w:firstColumn="1" w:lastColumn="0" w:noHBand="0" w:noVBand="1"/>
      </w:tblPr>
      <w:tblGrid>
        <w:gridCol w:w="8070"/>
      </w:tblGrid>
      <w:tr w:rsidR="00E57DD3" w:rsidRPr="000605BC" w14:paraId="75C963A6" w14:textId="77777777" w:rsidTr="00E57DD3">
        <w:trPr>
          <w:jc w:val="center"/>
        </w:trPr>
        <w:tc>
          <w:tcPr>
            <w:tcW w:w="9576" w:type="dxa"/>
          </w:tcPr>
          <w:p w14:paraId="483239C1" w14:textId="77777777" w:rsidR="00E57DD3" w:rsidRPr="000605BC" w:rsidRDefault="00E57DD3" w:rsidP="00E57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cs="Times New Roman"/>
                <w:b/>
                <w:sz w:val="20"/>
                <w:lang w:val="en-US"/>
              </w:rPr>
            </w:pPr>
            <w:r w:rsidRPr="000605BC">
              <w:rPr>
                <w:rFonts w:cs="Times New Roman"/>
                <w:b/>
                <w:sz w:val="20"/>
                <w:lang w:val="en-US"/>
              </w:rPr>
              <w:t>Further Reading</w:t>
            </w:r>
          </w:p>
          <w:p w14:paraId="49DE825F" w14:textId="065E4EB3" w:rsidR="00E57DD3" w:rsidRPr="000605BC" w:rsidRDefault="00E57DD3" w:rsidP="00E57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cs="Times New Roman"/>
                <w:sz w:val="20"/>
                <w:lang w:val="en-US"/>
              </w:rPr>
            </w:pPr>
            <w:r w:rsidRPr="000605BC">
              <w:rPr>
                <w:rFonts w:cs="Times New Roman"/>
                <w:sz w:val="20"/>
                <w:lang w:val="en-US"/>
              </w:rPr>
              <w:t xml:space="preserve">For a practical guide to lawyers’ legal and ethical obligations regarding money laundering, see International Bar Association, American Bar Association &amp; Council of Bars and Law Societies of Europe, </w:t>
            </w:r>
            <w:r w:rsidRPr="000605BC">
              <w:rPr>
                <w:rFonts w:cs="Times New Roman"/>
                <w:i/>
                <w:sz w:val="20"/>
                <w:lang w:val="en-US"/>
              </w:rPr>
              <w:t xml:space="preserve">A Lawyer’s Guide to Detecting and Preventing Money Laundering </w:t>
            </w:r>
            <w:r w:rsidRPr="000605BC">
              <w:rPr>
                <w:rFonts w:cs="Times New Roman"/>
                <w:sz w:val="20"/>
                <w:lang w:val="en-US"/>
              </w:rPr>
              <w:t>(October 2014), online: &lt;</w:t>
            </w:r>
            <w:hyperlink r:id="rId17" w:history="1">
              <w:r w:rsidR="00C522E5" w:rsidRPr="00CD216F">
                <w:rPr>
                  <w:rStyle w:val="Hyperlink"/>
                  <w:rFonts w:cs="Times New Roman"/>
                  <w:sz w:val="20"/>
                  <w:lang w:val="en-US"/>
                </w:rPr>
                <w:t>http://www.lawsociety.org.uk/support-services/</w:t>
              </w:r>
              <w:r w:rsidR="00C522E5" w:rsidRPr="00CD216F">
                <w:rPr>
                  <w:rStyle w:val="Hyperlink"/>
                  <w:rFonts w:cs="Times New Roman"/>
                  <w:sz w:val="20"/>
                  <w:lang w:val="en-US"/>
                </w:rPr>
                <w:br/>
                <w:t>advice/articles/new-global-aml-guidance/</w:t>
              </w:r>
            </w:hyperlink>
            <w:r w:rsidRPr="000605BC">
              <w:rPr>
                <w:rFonts w:cs="Times New Roman"/>
                <w:sz w:val="20"/>
                <w:lang w:val="en-US"/>
              </w:rPr>
              <w:t xml:space="preserve">&gt;. </w:t>
            </w:r>
          </w:p>
          <w:p w14:paraId="783C4782" w14:textId="77777777" w:rsidR="00E57DD3" w:rsidRPr="000605BC" w:rsidRDefault="00E57DD3" w:rsidP="00E57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cs="Times New Roman"/>
                <w:sz w:val="20"/>
                <w:lang w:val="en-US"/>
              </w:rPr>
            </w:pPr>
            <w:r w:rsidRPr="000605BC">
              <w:rPr>
                <w:rFonts w:cs="Times New Roman"/>
                <w:sz w:val="20"/>
                <w:lang w:val="en-US"/>
              </w:rPr>
              <w:t xml:space="preserve">For a comparative review of money laundering regimes in Canada and the US, see Ronan </w:t>
            </w:r>
            <w:proofErr w:type="spellStart"/>
            <w:r w:rsidRPr="000605BC">
              <w:rPr>
                <w:rFonts w:cs="Times New Roman"/>
                <w:sz w:val="20"/>
                <w:lang w:val="en-US"/>
              </w:rPr>
              <w:t>Reinart</w:t>
            </w:r>
            <w:proofErr w:type="spellEnd"/>
            <w:r w:rsidRPr="000605BC">
              <w:rPr>
                <w:rFonts w:cs="Times New Roman"/>
                <w:sz w:val="20"/>
                <w:lang w:val="en-US"/>
              </w:rPr>
              <w:t>, “Laundering Around the World: Legislative Responses to Money Laundering in Canada, the US and Bermuda” (2004) 4 Asper Rev Intl Bus &amp; Trade L</w:t>
            </w:r>
            <w:r w:rsidRPr="000605BC">
              <w:rPr>
                <w:rFonts w:cs="Times New Roman"/>
                <w:i/>
                <w:sz w:val="20"/>
                <w:lang w:val="en-US"/>
              </w:rPr>
              <w:t xml:space="preserve"> </w:t>
            </w:r>
            <w:r w:rsidRPr="000605BC">
              <w:rPr>
                <w:rFonts w:cs="Times New Roman"/>
                <w:sz w:val="20"/>
                <w:lang w:val="en-US"/>
              </w:rPr>
              <w:t xml:space="preserve">131 and Nicholas Ryder, </w:t>
            </w:r>
            <w:r w:rsidRPr="000605BC">
              <w:rPr>
                <w:rFonts w:cs="Times New Roman"/>
                <w:i/>
                <w:sz w:val="20"/>
                <w:lang w:val="en-US"/>
              </w:rPr>
              <w:t>Money Laundering: An Endless Cycle? A Comparative Analysis of the Anti-Money Laundering Policies in the United States, the United Kingdom, Australia and Canada</w:t>
            </w:r>
            <w:r w:rsidRPr="000605BC">
              <w:rPr>
                <w:rFonts w:cs="Times New Roman"/>
                <w:sz w:val="20"/>
                <w:lang w:val="en-US"/>
              </w:rPr>
              <w:t xml:space="preserve"> (Routledge, 2012).</w:t>
            </w:r>
          </w:p>
          <w:p w14:paraId="6CEDB1C2" w14:textId="25334671" w:rsidR="00E57DD3" w:rsidRPr="000605BC" w:rsidRDefault="00E57DD3" w:rsidP="00E57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cs="Times New Roman"/>
                <w:sz w:val="20"/>
                <w:lang w:val="en-US"/>
              </w:rPr>
            </w:pPr>
            <w:r w:rsidRPr="000605BC">
              <w:rPr>
                <w:rFonts w:cs="Times New Roman"/>
                <w:sz w:val="20"/>
                <w:lang w:val="en-US"/>
              </w:rPr>
              <w:t xml:space="preserve">For a summary of various US and international AML developments, see Mikhail </w:t>
            </w:r>
            <w:proofErr w:type="spellStart"/>
            <w:r w:rsidRPr="000605BC">
              <w:rPr>
                <w:rFonts w:cs="Times New Roman"/>
                <w:sz w:val="20"/>
                <w:lang w:val="en-US"/>
              </w:rPr>
              <w:t>Reider</w:t>
            </w:r>
            <w:proofErr w:type="spellEnd"/>
            <w:r w:rsidRPr="000605BC">
              <w:rPr>
                <w:rFonts w:cs="Times New Roman"/>
                <w:sz w:val="20"/>
                <w:lang w:val="en-US"/>
              </w:rPr>
              <w:t>-Gordon, “US and International Anti-Money Laundering Developments” (2011) Spring 2011 Intl Lawyer</w:t>
            </w:r>
            <w:r w:rsidRPr="000605BC">
              <w:rPr>
                <w:rFonts w:cs="Times New Roman"/>
                <w:i/>
                <w:sz w:val="20"/>
                <w:lang w:val="en-US"/>
              </w:rPr>
              <w:t xml:space="preserve"> </w:t>
            </w:r>
            <w:r w:rsidRPr="000605BC">
              <w:rPr>
                <w:rFonts w:cs="Times New Roman"/>
                <w:sz w:val="20"/>
                <w:lang w:val="en-US"/>
              </w:rPr>
              <w:t>365.</w:t>
            </w:r>
          </w:p>
        </w:tc>
      </w:tr>
    </w:tbl>
    <w:p w14:paraId="4405F9A9" w14:textId="22C3853E" w:rsidR="006C1AF3" w:rsidRPr="000605BC" w:rsidRDefault="009F13DB" w:rsidP="00542871">
      <w:pPr>
        <w:pStyle w:val="Heading1"/>
        <w:rPr>
          <w:sz w:val="28"/>
        </w:rPr>
      </w:pPr>
      <w:bookmarkStart w:id="97" w:name="_Toc287093752"/>
      <w:bookmarkStart w:id="98" w:name="_Toc419901570"/>
      <w:bookmarkStart w:id="99" w:name="_Toc489788776"/>
      <w:bookmarkStart w:id="100" w:name="_Toc489789316"/>
      <w:bookmarkStart w:id="101" w:name="_Toc489791786"/>
      <w:bookmarkStart w:id="102" w:name="_Toc505604225"/>
      <w:r w:rsidRPr="000605BC">
        <w:rPr>
          <w:sz w:val="28"/>
        </w:rPr>
        <w:t>E</w:t>
      </w:r>
      <w:bookmarkEnd w:id="97"/>
      <w:r w:rsidRPr="000605BC">
        <w:rPr>
          <w:sz w:val="28"/>
        </w:rPr>
        <w:t>valuating the Effectiveness Of AML Regimes</w:t>
      </w:r>
      <w:bookmarkEnd w:id="98"/>
      <w:bookmarkEnd w:id="99"/>
      <w:bookmarkEnd w:id="100"/>
      <w:bookmarkEnd w:id="101"/>
      <w:bookmarkEnd w:id="102"/>
    </w:p>
    <w:p w14:paraId="543140FA" w14:textId="36A57007" w:rsidR="0097413C" w:rsidRPr="000605BC" w:rsidRDefault="0097413C" w:rsidP="00D97E9B">
      <w:pPr>
        <w:pStyle w:val="Heading2"/>
        <w:rPr>
          <w:sz w:val="24"/>
        </w:rPr>
      </w:pPr>
      <w:bookmarkStart w:id="103" w:name="_Toc287093753"/>
      <w:bookmarkStart w:id="104" w:name="_Toc419901571"/>
      <w:bookmarkStart w:id="105" w:name="_Toc489788777"/>
      <w:bookmarkStart w:id="106" w:name="_Toc489789317"/>
      <w:bookmarkStart w:id="107" w:name="_Toc489791787"/>
      <w:r w:rsidRPr="000605BC">
        <w:rPr>
          <w:sz w:val="24"/>
        </w:rPr>
        <w:t>Introduction</w:t>
      </w:r>
      <w:bookmarkEnd w:id="103"/>
      <w:bookmarkEnd w:id="104"/>
      <w:bookmarkEnd w:id="105"/>
      <w:bookmarkEnd w:id="106"/>
      <w:bookmarkEnd w:id="107"/>
    </w:p>
    <w:p w14:paraId="053A1FD1" w14:textId="43E1D4E6" w:rsidR="0097413C" w:rsidRPr="000605BC" w:rsidRDefault="00480E1F" w:rsidP="00916A81">
      <w:pPr>
        <w:rPr>
          <w:rFonts w:cs="Times New Roman"/>
          <w:sz w:val="20"/>
        </w:rPr>
      </w:pPr>
      <w:r w:rsidRPr="000605BC">
        <w:rPr>
          <w:rFonts w:cs="Times New Roman"/>
          <w:sz w:val="20"/>
        </w:rPr>
        <w:t xml:space="preserve">This section discusses </w:t>
      </w:r>
      <w:r w:rsidR="00C9752D" w:rsidRPr="000605BC">
        <w:rPr>
          <w:rFonts w:cs="Times New Roman"/>
          <w:sz w:val="20"/>
        </w:rPr>
        <w:t>tools for evaluating</w:t>
      </w:r>
      <w:r w:rsidRPr="000605BC">
        <w:rPr>
          <w:rFonts w:cs="Times New Roman"/>
          <w:sz w:val="20"/>
        </w:rPr>
        <w:t xml:space="preserve"> the success or failure of state-level AM</w:t>
      </w:r>
      <w:r w:rsidR="00764327" w:rsidRPr="000605BC">
        <w:rPr>
          <w:rFonts w:cs="Times New Roman"/>
          <w:sz w:val="20"/>
        </w:rPr>
        <w:t>L regimes</w:t>
      </w:r>
      <w:r w:rsidRPr="000605BC">
        <w:rPr>
          <w:rFonts w:cs="Times New Roman"/>
          <w:sz w:val="20"/>
        </w:rPr>
        <w:t xml:space="preserve"> and </w:t>
      </w:r>
      <w:r w:rsidR="0011278E" w:rsidRPr="000605BC">
        <w:rPr>
          <w:rFonts w:cs="Times New Roman"/>
          <w:sz w:val="20"/>
        </w:rPr>
        <w:t>introduces</w:t>
      </w:r>
      <w:r w:rsidRPr="000605BC">
        <w:rPr>
          <w:rFonts w:cs="Times New Roman"/>
          <w:sz w:val="20"/>
        </w:rPr>
        <w:t xml:space="preserve"> the </w:t>
      </w:r>
      <w:r w:rsidR="00F826DE" w:rsidRPr="000605BC">
        <w:rPr>
          <w:rFonts w:cs="Times New Roman"/>
          <w:sz w:val="20"/>
        </w:rPr>
        <w:t xml:space="preserve">two most </w:t>
      </w:r>
      <w:r w:rsidRPr="000605BC">
        <w:rPr>
          <w:rFonts w:cs="Times New Roman"/>
          <w:sz w:val="20"/>
        </w:rPr>
        <w:t xml:space="preserve">common international evaluators, the Basel Institute on Governance and the FATF. It </w:t>
      </w:r>
      <w:r w:rsidR="0011278E" w:rsidRPr="000605BC">
        <w:rPr>
          <w:rFonts w:cs="Times New Roman"/>
          <w:sz w:val="20"/>
        </w:rPr>
        <w:t>describes</w:t>
      </w:r>
      <w:r w:rsidRPr="000605BC">
        <w:rPr>
          <w:rFonts w:cs="Times New Roman"/>
          <w:sz w:val="20"/>
        </w:rPr>
        <w:t xml:space="preserve"> both the Basel AML Index and the</w:t>
      </w:r>
      <w:r w:rsidR="00764327" w:rsidRPr="000605BC">
        <w:rPr>
          <w:rFonts w:cs="Times New Roman"/>
          <w:sz w:val="20"/>
        </w:rPr>
        <w:t xml:space="preserve"> FATF mutual evaluation process</w:t>
      </w:r>
      <w:r w:rsidRPr="000605BC">
        <w:rPr>
          <w:rFonts w:cs="Times New Roman"/>
          <w:sz w:val="20"/>
        </w:rPr>
        <w:t xml:space="preserve"> and </w:t>
      </w:r>
      <w:r w:rsidR="0011278E" w:rsidRPr="000605BC">
        <w:rPr>
          <w:rFonts w:cs="Times New Roman"/>
          <w:sz w:val="20"/>
        </w:rPr>
        <w:t xml:space="preserve">briefly summarizes how the US, the UK and Canada performed on each of these evaluations. It then excerpts a critical evaluation from the Canadian Senate and discusses some of the systemic barriers to creating effective state-level AML regimes. </w:t>
      </w:r>
    </w:p>
    <w:p w14:paraId="33605760" w14:textId="03C7A020" w:rsidR="0097413C" w:rsidRPr="000605BC" w:rsidRDefault="0097413C" w:rsidP="00D97E9B">
      <w:pPr>
        <w:pStyle w:val="Heading2"/>
        <w:rPr>
          <w:sz w:val="24"/>
        </w:rPr>
      </w:pPr>
      <w:bookmarkStart w:id="108" w:name="_Toc287093754"/>
      <w:bookmarkStart w:id="109" w:name="_Toc419901572"/>
      <w:bookmarkStart w:id="110" w:name="_Toc489788778"/>
      <w:bookmarkStart w:id="111" w:name="_Toc489789318"/>
      <w:bookmarkStart w:id="112" w:name="_Toc489791788"/>
      <w:r w:rsidRPr="000605BC">
        <w:rPr>
          <w:sz w:val="24"/>
        </w:rPr>
        <w:t>The Basel AML Index</w:t>
      </w:r>
      <w:bookmarkEnd w:id="108"/>
      <w:bookmarkEnd w:id="109"/>
      <w:bookmarkEnd w:id="110"/>
      <w:bookmarkEnd w:id="111"/>
      <w:bookmarkEnd w:id="112"/>
      <w:r w:rsidRPr="000605BC">
        <w:rPr>
          <w:sz w:val="24"/>
        </w:rPr>
        <w:t xml:space="preserve"> </w:t>
      </w:r>
    </w:p>
    <w:p w14:paraId="1A6D9049" w14:textId="326DDDA4" w:rsidR="008C1717" w:rsidRPr="000605BC" w:rsidRDefault="008C1717" w:rsidP="00EE23E5">
      <w:pPr>
        <w:rPr>
          <w:rFonts w:eastAsia="Times New Roman" w:cs="Times New Roman"/>
          <w:bCs/>
          <w:sz w:val="20"/>
          <w:lang w:val="en-US" w:eastAsia="en-CA"/>
        </w:rPr>
      </w:pPr>
      <w:r w:rsidRPr="000605BC">
        <w:rPr>
          <w:rFonts w:cs="Times New Roman"/>
          <w:sz w:val="20"/>
        </w:rPr>
        <w:t>Since 2012, the Basel Institute on Governance has produced an annual index on anti-money laundering.</w:t>
      </w:r>
      <w:r w:rsidR="003D5949" w:rsidRPr="000605BC">
        <w:rPr>
          <w:rStyle w:val="FootnoteReference"/>
          <w:rFonts w:cs="Times New Roman"/>
          <w:sz w:val="20"/>
        </w:rPr>
        <w:footnoteReference w:id="121"/>
      </w:r>
      <w:r w:rsidR="002822D1" w:rsidRPr="000605BC">
        <w:rPr>
          <w:rFonts w:cs="Times New Roman"/>
          <w:sz w:val="20"/>
        </w:rPr>
        <w:t xml:space="preserve"> </w:t>
      </w:r>
      <w:r w:rsidRPr="000605BC">
        <w:rPr>
          <w:rFonts w:eastAsia="Times New Roman" w:cs="Times New Roman"/>
          <w:bCs/>
          <w:sz w:val="20"/>
          <w:lang w:val="en-US" w:eastAsia="en-CA"/>
        </w:rPr>
        <w:t xml:space="preserve">The Basel AML Index provides a useful tool for assessing and comparing </w:t>
      </w:r>
      <w:r w:rsidRPr="000605BC">
        <w:rPr>
          <w:rFonts w:eastAsia="Times New Roman" w:cs="Times New Roman"/>
          <w:bCs/>
          <w:i/>
          <w:sz w:val="20"/>
          <w:lang w:val="en-US" w:eastAsia="en-CA"/>
        </w:rPr>
        <w:t>the risk</w:t>
      </w:r>
      <w:r w:rsidRPr="000605BC">
        <w:rPr>
          <w:rFonts w:eastAsia="Times New Roman" w:cs="Times New Roman"/>
          <w:bCs/>
          <w:sz w:val="20"/>
          <w:lang w:val="en-US" w:eastAsia="en-CA"/>
        </w:rPr>
        <w:t xml:space="preserve"> of money laundering in different countries worldwide and </w:t>
      </w:r>
      <w:r w:rsidR="00AB241E" w:rsidRPr="000605BC">
        <w:rPr>
          <w:rFonts w:eastAsia="Times New Roman" w:cs="Times New Roman"/>
          <w:bCs/>
          <w:sz w:val="20"/>
          <w:lang w:val="en-US" w:eastAsia="en-CA"/>
        </w:rPr>
        <w:t xml:space="preserve">for </w:t>
      </w:r>
      <w:r w:rsidR="00F826DE" w:rsidRPr="000605BC">
        <w:rPr>
          <w:rFonts w:eastAsia="Times New Roman" w:cs="Times New Roman"/>
          <w:bCs/>
          <w:sz w:val="20"/>
          <w:lang w:val="en-US" w:eastAsia="en-CA"/>
        </w:rPr>
        <w:t xml:space="preserve">observing over time </w:t>
      </w:r>
      <w:r w:rsidRPr="000605BC">
        <w:rPr>
          <w:rFonts w:eastAsia="Times New Roman" w:cs="Times New Roman"/>
          <w:bCs/>
          <w:sz w:val="20"/>
          <w:lang w:val="en-US" w:eastAsia="en-CA"/>
        </w:rPr>
        <w:t>changes to that risk within a given country.</w:t>
      </w:r>
      <w:r w:rsidR="002822D1" w:rsidRPr="000605BC">
        <w:rPr>
          <w:rFonts w:eastAsia="Times New Roman" w:cs="Times New Roman"/>
          <w:bCs/>
          <w:sz w:val="20"/>
          <w:lang w:val="en-US" w:eastAsia="en-CA"/>
        </w:rPr>
        <w:t xml:space="preserve"> </w:t>
      </w:r>
    </w:p>
    <w:p w14:paraId="7845084C" w14:textId="669614A2" w:rsidR="008C1717" w:rsidRPr="000605BC" w:rsidRDefault="008C1717" w:rsidP="00EE23E5">
      <w:pPr>
        <w:rPr>
          <w:rFonts w:eastAsia="Times New Roman" w:cs="Times New Roman"/>
          <w:bCs/>
          <w:sz w:val="20"/>
          <w:lang w:val="en-US" w:eastAsia="en-CA"/>
        </w:rPr>
      </w:pPr>
      <w:r w:rsidRPr="000605BC">
        <w:rPr>
          <w:rFonts w:eastAsia="Times New Roman" w:cs="Times New Roman"/>
          <w:bCs/>
          <w:sz w:val="20"/>
          <w:lang w:val="en-US" w:eastAsia="en-CA"/>
        </w:rPr>
        <w:t>The index is a composite weighting of the average of 14 indicators, relying on data provided by groups such as FATF, Transparency International and the World Bank.</w:t>
      </w:r>
      <w:r w:rsidRPr="000605BC">
        <w:rPr>
          <w:rStyle w:val="FootnoteReference"/>
          <w:rFonts w:eastAsia="Times New Roman" w:cs="Times New Roman"/>
          <w:bCs/>
          <w:sz w:val="20"/>
          <w:lang w:val="en-US" w:eastAsia="en-CA"/>
        </w:rPr>
        <w:footnoteReference w:id="122"/>
      </w:r>
      <w:r w:rsidRPr="000605BC">
        <w:rPr>
          <w:rFonts w:eastAsia="Times New Roman" w:cs="Times New Roman"/>
          <w:bCs/>
          <w:sz w:val="20"/>
          <w:lang w:val="en-US" w:eastAsia="en-CA"/>
        </w:rPr>
        <w:t xml:space="preserve"> For the 2016 report, data was available for 149 countries who were given a score from 0 (lowest risk) to 10 (highest risk).</w:t>
      </w:r>
      <w:r w:rsidRPr="000605BC">
        <w:rPr>
          <w:rStyle w:val="FootnoteReference"/>
          <w:rFonts w:eastAsia="Times New Roman" w:cs="Times New Roman"/>
          <w:bCs/>
          <w:sz w:val="20"/>
          <w:lang w:val="en-US" w:eastAsia="en-CA"/>
        </w:rPr>
        <w:footnoteReference w:id="123"/>
      </w:r>
      <w:r w:rsidR="002822D1" w:rsidRPr="000605BC">
        <w:rPr>
          <w:rFonts w:eastAsia="Times New Roman" w:cs="Times New Roman"/>
          <w:bCs/>
          <w:sz w:val="20"/>
          <w:lang w:val="en-US" w:eastAsia="en-CA"/>
        </w:rPr>
        <w:t xml:space="preserve"> </w:t>
      </w:r>
    </w:p>
    <w:p w14:paraId="0B5C4C44" w14:textId="77777777" w:rsidR="008C1717" w:rsidRPr="000605BC" w:rsidRDefault="008C1717" w:rsidP="008C1717">
      <w:pPr>
        <w:rPr>
          <w:rFonts w:eastAsia="Times New Roman" w:cs="Times New Roman"/>
          <w:bCs/>
          <w:sz w:val="20"/>
          <w:lang w:val="en-US" w:eastAsia="en-CA"/>
        </w:rPr>
      </w:pPr>
      <w:r w:rsidRPr="000605BC">
        <w:rPr>
          <w:rFonts w:eastAsia="Times New Roman" w:cs="Times New Roman"/>
          <w:bCs/>
          <w:sz w:val="20"/>
          <w:lang w:val="en-US" w:eastAsia="en-CA"/>
        </w:rPr>
        <w:t>Factors weighed in the total score are:</w:t>
      </w:r>
    </w:p>
    <w:p w14:paraId="604D68AD" w14:textId="77777777" w:rsidR="00486D97" w:rsidRPr="000605BC" w:rsidRDefault="008C1717" w:rsidP="00696D88">
      <w:pPr>
        <w:pStyle w:val="ListParagraph"/>
        <w:numPr>
          <w:ilvl w:val="0"/>
          <w:numId w:val="37"/>
        </w:numPr>
        <w:rPr>
          <w:rFonts w:eastAsia="Times New Roman" w:cs="Times New Roman"/>
          <w:bCs/>
          <w:sz w:val="20"/>
          <w:lang w:eastAsia="en-CA"/>
        </w:rPr>
      </w:pPr>
      <w:r w:rsidRPr="000605BC">
        <w:rPr>
          <w:rFonts w:eastAsia="Times New Roman" w:cs="Times New Roman"/>
          <w:bCs/>
          <w:sz w:val="20"/>
          <w:lang w:eastAsia="en-CA"/>
        </w:rPr>
        <w:t>65% - Money Laun</w:t>
      </w:r>
      <w:r w:rsidR="00486D97" w:rsidRPr="000605BC">
        <w:rPr>
          <w:rFonts w:eastAsia="Times New Roman" w:cs="Times New Roman"/>
          <w:bCs/>
          <w:sz w:val="20"/>
          <w:lang w:eastAsia="en-CA"/>
        </w:rPr>
        <w:t>dering/Terrorist Financing Risk</w:t>
      </w:r>
    </w:p>
    <w:p w14:paraId="5A7852FD" w14:textId="77777777" w:rsidR="00486D97" w:rsidRPr="000605BC" w:rsidRDefault="008C1717" w:rsidP="00696D88">
      <w:pPr>
        <w:pStyle w:val="ListParagraph"/>
        <w:numPr>
          <w:ilvl w:val="0"/>
          <w:numId w:val="37"/>
        </w:numPr>
        <w:rPr>
          <w:rFonts w:eastAsia="Times New Roman" w:cs="Times New Roman"/>
          <w:bCs/>
          <w:sz w:val="20"/>
          <w:lang w:eastAsia="en-CA"/>
        </w:rPr>
      </w:pPr>
      <w:r w:rsidRPr="000605BC">
        <w:rPr>
          <w:rFonts w:eastAsia="Times New Roman" w:cs="Times New Roman"/>
          <w:bCs/>
          <w:sz w:val="20"/>
          <w:lang w:eastAsia="en-CA"/>
        </w:rPr>
        <w:t>15% - Fin</w:t>
      </w:r>
      <w:r w:rsidR="00486D97" w:rsidRPr="000605BC">
        <w:rPr>
          <w:rFonts w:eastAsia="Times New Roman" w:cs="Times New Roman"/>
          <w:bCs/>
          <w:sz w:val="20"/>
          <w:lang w:eastAsia="en-CA"/>
        </w:rPr>
        <w:t>ancial Transparency &amp; Standards</w:t>
      </w:r>
    </w:p>
    <w:p w14:paraId="1C92B931" w14:textId="77777777" w:rsidR="00486D97" w:rsidRPr="000605BC" w:rsidRDefault="008C1717" w:rsidP="00696D88">
      <w:pPr>
        <w:pStyle w:val="ListParagraph"/>
        <w:numPr>
          <w:ilvl w:val="0"/>
          <w:numId w:val="37"/>
        </w:numPr>
        <w:rPr>
          <w:rFonts w:eastAsia="Times New Roman" w:cs="Times New Roman"/>
          <w:bCs/>
          <w:sz w:val="20"/>
          <w:lang w:eastAsia="en-CA"/>
        </w:rPr>
      </w:pPr>
      <w:r w:rsidRPr="000605BC">
        <w:rPr>
          <w:rFonts w:eastAsia="Times New Roman" w:cs="Times New Roman"/>
          <w:bCs/>
          <w:sz w:val="20"/>
          <w:lang w:eastAsia="en-CA"/>
        </w:rPr>
        <w:t>10% - Corruption Risk</w:t>
      </w:r>
    </w:p>
    <w:p w14:paraId="0D25F565" w14:textId="77777777" w:rsidR="00486D97" w:rsidRPr="000605BC" w:rsidRDefault="008C1717" w:rsidP="00696D88">
      <w:pPr>
        <w:pStyle w:val="ListParagraph"/>
        <w:numPr>
          <w:ilvl w:val="0"/>
          <w:numId w:val="37"/>
        </w:numPr>
        <w:rPr>
          <w:rFonts w:eastAsia="Times New Roman" w:cs="Times New Roman"/>
          <w:bCs/>
          <w:sz w:val="20"/>
          <w:lang w:eastAsia="en-CA"/>
        </w:rPr>
      </w:pPr>
      <w:r w:rsidRPr="000605BC">
        <w:rPr>
          <w:rFonts w:eastAsia="Times New Roman" w:cs="Times New Roman"/>
          <w:bCs/>
          <w:sz w:val="20"/>
          <w:lang w:eastAsia="en-CA"/>
        </w:rPr>
        <w:t>5% - Publi</w:t>
      </w:r>
      <w:r w:rsidR="00486D97" w:rsidRPr="000605BC">
        <w:rPr>
          <w:rFonts w:eastAsia="Times New Roman" w:cs="Times New Roman"/>
          <w:bCs/>
          <w:sz w:val="20"/>
          <w:lang w:eastAsia="en-CA"/>
        </w:rPr>
        <w:t>c Transparency &amp; Accountability</w:t>
      </w:r>
    </w:p>
    <w:p w14:paraId="6EE67B88" w14:textId="0443EA81" w:rsidR="008C1717" w:rsidRPr="000605BC" w:rsidRDefault="008C1717" w:rsidP="00696D88">
      <w:pPr>
        <w:pStyle w:val="ListParagraph"/>
        <w:numPr>
          <w:ilvl w:val="0"/>
          <w:numId w:val="37"/>
        </w:numPr>
        <w:rPr>
          <w:rFonts w:eastAsia="Times New Roman" w:cs="Times New Roman"/>
          <w:bCs/>
          <w:sz w:val="20"/>
          <w:lang w:eastAsia="en-CA"/>
        </w:rPr>
      </w:pPr>
      <w:r w:rsidRPr="000605BC">
        <w:rPr>
          <w:rFonts w:eastAsia="Times New Roman" w:cs="Times New Roman"/>
          <w:bCs/>
          <w:sz w:val="20"/>
          <w:lang w:eastAsia="en-CA"/>
        </w:rPr>
        <w:t>5% - Political Risk</w:t>
      </w:r>
      <w:r w:rsidRPr="000605BC">
        <w:rPr>
          <w:rStyle w:val="FootnoteReference"/>
          <w:rFonts w:eastAsia="Times New Roman" w:cs="Times New Roman"/>
          <w:bCs/>
          <w:sz w:val="20"/>
          <w:lang w:eastAsia="en-CA"/>
        </w:rPr>
        <w:footnoteReference w:id="124"/>
      </w:r>
    </w:p>
    <w:p w14:paraId="1B1DFE67" w14:textId="2802D8A2" w:rsidR="008C1717" w:rsidRPr="000605BC" w:rsidRDefault="00D80AEE" w:rsidP="0005048C">
      <w:pPr>
        <w:spacing w:after="120"/>
        <w:rPr>
          <w:rFonts w:eastAsia="Times New Roman" w:cs="Times New Roman"/>
          <w:bCs/>
          <w:sz w:val="20"/>
          <w:lang w:val="en-US" w:eastAsia="en-CA"/>
        </w:rPr>
      </w:pPr>
      <w:r w:rsidRPr="000605BC">
        <w:rPr>
          <w:rFonts w:eastAsia="Times New Roman" w:cs="Times New Roman"/>
          <w:b/>
          <w:bCs/>
          <w:sz w:val="20"/>
          <w:lang w:val="en-US" w:eastAsia="en-CA"/>
        </w:rPr>
        <w:t>Table 4.5</w:t>
      </w:r>
      <w:r w:rsidR="00E57DD3" w:rsidRPr="000605BC">
        <w:rPr>
          <w:rFonts w:eastAsia="Times New Roman" w:cs="Times New Roman"/>
          <w:bCs/>
          <w:sz w:val="20"/>
          <w:lang w:val="en-US" w:eastAsia="en-CA"/>
        </w:rPr>
        <w:t xml:space="preserve"> </w:t>
      </w:r>
      <w:r w:rsidRPr="000605BC">
        <w:rPr>
          <w:rFonts w:eastAsia="Times New Roman" w:cs="Times New Roman"/>
          <w:bCs/>
          <w:sz w:val="20"/>
          <w:lang w:val="en-US" w:eastAsia="en-CA"/>
        </w:rPr>
        <w:t>A s</w:t>
      </w:r>
      <w:r w:rsidR="008C1717" w:rsidRPr="000605BC">
        <w:rPr>
          <w:rFonts w:eastAsia="Times New Roman" w:cs="Times New Roman"/>
          <w:bCs/>
          <w:sz w:val="20"/>
          <w:lang w:val="en-US" w:eastAsia="en-CA"/>
        </w:rPr>
        <w:t>ample of 20 countries and their score</w:t>
      </w:r>
      <w:r w:rsidR="00A0009D" w:rsidRPr="000605BC">
        <w:rPr>
          <w:rFonts w:eastAsia="Times New Roman" w:cs="Times New Roman"/>
          <w:bCs/>
          <w:sz w:val="20"/>
          <w:lang w:val="en-US" w:eastAsia="en-CA"/>
        </w:rPr>
        <w:t>s</w:t>
      </w:r>
      <w:r w:rsidR="008C1717" w:rsidRPr="000605BC">
        <w:rPr>
          <w:rFonts w:eastAsia="Times New Roman" w:cs="Times New Roman"/>
          <w:bCs/>
          <w:sz w:val="20"/>
          <w:lang w:val="en-US" w:eastAsia="en-CA"/>
        </w:rPr>
        <w:t xml:space="preserve"> and ranking</w:t>
      </w:r>
      <w:r w:rsidR="00A0009D" w:rsidRPr="000605BC">
        <w:rPr>
          <w:rFonts w:eastAsia="Times New Roman" w:cs="Times New Roman"/>
          <w:bCs/>
          <w:sz w:val="20"/>
          <w:lang w:val="en-US" w:eastAsia="en-CA"/>
        </w:rPr>
        <w:t>s</w:t>
      </w:r>
      <w:r w:rsidR="008C1717" w:rsidRPr="000605BC">
        <w:rPr>
          <w:rFonts w:eastAsia="Times New Roman" w:cs="Times New Roman"/>
          <w:bCs/>
          <w:sz w:val="20"/>
          <w:lang w:val="en-US" w:eastAsia="en-CA"/>
        </w:rPr>
        <w:t xml:space="preserve"> from the 2016 Basel Index. </w:t>
      </w:r>
    </w:p>
    <w:tbl>
      <w:tblPr>
        <w:tblStyle w:val="TableGrid"/>
        <w:tblW w:w="0" w:type="auto"/>
        <w:tblInd w:w="170" w:type="dxa"/>
        <w:tblCellMar>
          <w:left w:w="142" w:type="dxa"/>
          <w:right w:w="142" w:type="dxa"/>
        </w:tblCellMar>
        <w:tblLook w:val="04A0" w:firstRow="1" w:lastRow="0" w:firstColumn="1" w:lastColumn="0" w:noHBand="0" w:noVBand="1"/>
      </w:tblPr>
      <w:tblGrid>
        <w:gridCol w:w="2587"/>
        <w:gridCol w:w="2588"/>
        <w:gridCol w:w="2588"/>
      </w:tblGrid>
      <w:tr w:rsidR="008C1717" w:rsidRPr="000605BC" w14:paraId="13623365" w14:textId="77777777" w:rsidTr="007F6748">
        <w:trPr>
          <w:tblHeader/>
        </w:trPr>
        <w:tc>
          <w:tcPr>
            <w:tcW w:w="2587" w:type="dxa"/>
            <w:vAlign w:val="center"/>
          </w:tcPr>
          <w:p w14:paraId="68B581C5" w14:textId="77777777" w:rsidR="008C1717" w:rsidRPr="000605BC" w:rsidRDefault="008C1717" w:rsidP="00486D97">
            <w:pPr>
              <w:spacing w:before="40" w:after="40"/>
              <w:rPr>
                <w:rFonts w:eastAsia="Times New Roman" w:cs="Times New Roman"/>
                <w:b/>
                <w:bCs/>
                <w:sz w:val="20"/>
                <w:szCs w:val="21"/>
                <w:lang w:val="en-US" w:eastAsia="en-CA"/>
              </w:rPr>
            </w:pPr>
            <w:r w:rsidRPr="000605BC">
              <w:rPr>
                <w:rFonts w:eastAsia="Times New Roman" w:cs="Times New Roman"/>
                <w:b/>
                <w:bCs/>
                <w:sz w:val="20"/>
                <w:szCs w:val="21"/>
                <w:lang w:val="en-US" w:eastAsia="en-CA"/>
              </w:rPr>
              <w:t>Country</w:t>
            </w:r>
          </w:p>
        </w:tc>
        <w:tc>
          <w:tcPr>
            <w:tcW w:w="2588" w:type="dxa"/>
            <w:vAlign w:val="center"/>
          </w:tcPr>
          <w:p w14:paraId="16403FEE" w14:textId="77777777" w:rsidR="008C1717" w:rsidRPr="000605BC" w:rsidRDefault="008C1717" w:rsidP="00486D97">
            <w:pPr>
              <w:spacing w:before="40" w:after="40"/>
              <w:rPr>
                <w:rFonts w:eastAsia="Times New Roman" w:cs="Times New Roman"/>
                <w:bCs/>
                <w:sz w:val="20"/>
                <w:szCs w:val="21"/>
                <w:lang w:val="en-US" w:eastAsia="en-CA"/>
              </w:rPr>
            </w:pPr>
            <w:r w:rsidRPr="000605BC">
              <w:rPr>
                <w:rFonts w:eastAsia="Times New Roman" w:cs="Times New Roman"/>
                <w:b/>
                <w:bCs/>
                <w:sz w:val="20"/>
                <w:szCs w:val="21"/>
                <w:lang w:val="en-US" w:eastAsia="en-CA"/>
              </w:rPr>
              <w:t xml:space="preserve">Overall Score </w:t>
            </w:r>
            <w:r w:rsidRPr="000605BC">
              <w:rPr>
                <w:rFonts w:eastAsia="Times New Roman" w:cs="Times New Roman"/>
                <w:bCs/>
                <w:sz w:val="20"/>
                <w:szCs w:val="21"/>
                <w:lang w:val="en-US" w:eastAsia="en-CA"/>
              </w:rPr>
              <w:t>(0-10)</w:t>
            </w:r>
          </w:p>
        </w:tc>
        <w:tc>
          <w:tcPr>
            <w:tcW w:w="2588" w:type="dxa"/>
            <w:vAlign w:val="center"/>
          </w:tcPr>
          <w:p w14:paraId="39E14D60" w14:textId="77777777" w:rsidR="008C1717" w:rsidRPr="000605BC" w:rsidRDefault="008C1717" w:rsidP="00486D97">
            <w:pPr>
              <w:spacing w:before="40" w:after="40"/>
              <w:rPr>
                <w:rFonts w:eastAsia="Times New Roman" w:cs="Times New Roman"/>
                <w:bCs/>
                <w:sz w:val="20"/>
                <w:szCs w:val="21"/>
                <w:lang w:val="en-US" w:eastAsia="en-CA"/>
              </w:rPr>
            </w:pPr>
            <w:r w:rsidRPr="000605BC">
              <w:rPr>
                <w:rFonts w:eastAsia="Times New Roman" w:cs="Times New Roman"/>
                <w:b/>
                <w:bCs/>
                <w:sz w:val="20"/>
                <w:szCs w:val="21"/>
                <w:lang w:val="en-US" w:eastAsia="en-CA"/>
              </w:rPr>
              <w:t xml:space="preserve">Rank </w:t>
            </w:r>
            <w:r w:rsidRPr="000605BC">
              <w:rPr>
                <w:rFonts w:eastAsia="Times New Roman" w:cs="Times New Roman"/>
                <w:bCs/>
                <w:sz w:val="20"/>
                <w:szCs w:val="21"/>
                <w:lang w:val="en-US" w:eastAsia="en-CA"/>
              </w:rPr>
              <w:t>(1-149)</w:t>
            </w:r>
          </w:p>
        </w:tc>
      </w:tr>
      <w:tr w:rsidR="008C1717" w:rsidRPr="000605BC" w14:paraId="6404B5A9" w14:textId="77777777" w:rsidTr="007F6748">
        <w:tc>
          <w:tcPr>
            <w:tcW w:w="2587" w:type="dxa"/>
            <w:vAlign w:val="center"/>
          </w:tcPr>
          <w:p w14:paraId="395A632A"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Iran</w:t>
            </w:r>
          </w:p>
        </w:tc>
        <w:tc>
          <w:tcPr>
            <w:tcW w:w="2588" w:type="dxa"/>
            <w:vAlign w:val="center"/>
          </w:tcPr>
          <w:p w14:paraId="5B9B01F2"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8.61</w:t>
            </w:r>
          </w:p>
        </w:tc>
        <w:tc>
          <w:tcPr>
            <w:tcW w:w="2588" w:type="dxa"/>
            <w:vAlign w:val="center"/>
          </w:tcPr>
          <w:p w14:paraId="64A689E3"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1</w:t>
            </w:r>
          </w:p>
        </w:tc>
      </w:tr>
      <w:tr w:rsidR="008C1717" w:rsidRPr="000605BC" w14:paraId="5E8020C8" w14:textId="77777777" w:rsidTr="007F6748">
        <w:tc>
          <w:tcPr>
            <w:tcW w:w="2587" w:type="dxa"/>
            <w:vAlign w:val="center"/>
          </w:tcPr>
          <w:p w14:paraId="23B9F953"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 xml:space="preserve">Afghanistan </w:t>
            </w:r>
          </w:p>
        </w:tc>
        <w:tc>
          <w:tcPr>
            <w:tcW w:w="2588" w:type="dxa"/>
            <w:vAlign w:val="center"/>
          </w:tcPr>
          <w:p w14:paraId="309EB254"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8.51</w:t>
            </w:r>
          </w:p>
        </w:tc>
        <w:tc>
          <w:tcPr>
            <w:tcW w:w="2588" w:type="dxa"/>
            <w:vAlign w:val="center"/>
          </w:tcPr>
          <w:p w14:paraId="532C1DCD"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2</w:t>
            </w:r>
          </w:p>
        </w:tc>
      </w:tr>
      <w:tr w:rsidR="008C1717" w:rsidRPr="000605BC" w14:paraId="47CAF4C3" w14:textId="77777777" w:rsidTr="007F6748">
        <w:tc>
          <w:tcPr>
            <w:tcW w:w="2587" w:type="dxa"/>
            <w:vAlign w:val="center"/>
          </w:tcPr>
          <w:p w14:paraId="7476744A"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Panama</w:t>
            </w:r>
          </w:p>
        </w:tc>
        <w:tc>
          <w:tcPr>
            <w:tcW w:w="2588" w:type="dxa"/>
            <w:vAlign w:val="center"/>
          </w:tcPr>
          <w:p w14:paraId="7F5840B4"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7.09</w:t>
            </w:r>
          </w:p>
        </w:tc>
        <w:tc>
          <w:tcPr>
            <w:tcW w:w="2588" w:type="dxa"/>
            <w:vAlign w:val="center"/>
          </w:tcPr>
          <w:p w14:paraId="77B7231D"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25</w:t>
            </w:r>
          </w:p>
        </w:tc>
      </w:tr>
      <w:tr w:rsidR="008C1717" w:rsidRPr="000605BC" w14:paraId="2FAEA670" w14:textId="77777777" w:rsidTr="007F6748">
        <w:tc>
          <w:tcPr>
            <w:tcW w:w="2587" w:type="dxa"/>
            <w:vAlign w:val="center"/>
          </w:tcPr>
          <w:p w14:paraId="501CC5F7"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Nigeria</w:t>
            </w:r>
          </w:p>
        </w:tc>
        <w:tc>
          <w:tcPr>
            <w:tcW w:w="2588" w:type="dxa"/>
            <w:vAlign w:val="center"/>
          </w:tcPr>
          <w:p w14:paraId="7AE3687F"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6.97</w:t>
            </w:r>
          </w:p>
        </w:tc>
        <w:tc>
          <w:tcPr>
            <w:tcW w:w="2588" w:type="dxa"/>
            <w:vAlign w:val="center"/>
          </w:tcPr>
          <w:p w14:paraId="012CD331"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32</w:t>
            </w:r>
          </w:p>
        </w:tc>
      </w:tr>
      <w:tr w:rsidR="008C1717" w:rsidRPr="000605BC" w14:paraId="74036D83" w14:textId="77777777" w:rsidTr="007F6748">
        <w:tc>
          <w:tcPr>
            <w:tcW w:w="2587" w:type="dxa"/>
            <w:vAlign w:val="center"/>
          </w:tcPr>
          <w:p w14:paraId="5A33F3E6"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Brazil</w:t>
            </w:r>
          </w:p>
        </w:tc>
        <w:tc>
          <w:tcPr>
            <w:tcW w:w="2588" w:type="dxa"/>
            <w:vAlign w:val="center"/>
          </w:tcPr>
          <w:p w14:paraId="1620A266"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6.23</w:t>
            </w:r>
          </w:p>
        </w:tc>
        <w:tc>
          <w:tcPr>
            <w:tcW w:w="2588" w:type="dxa"/>
            <w:vAlign w:val="center"/>
          </w:tcPr>
          <w:p w14:paraId="7D02EB22"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56</w:t>
            </w:r>
          </w:p>
        </w:tc>
      </w:tr>
      <w:tr w:rsidR="008C1717" w:rsidRPr="000605BC" w14:paraId="3E650A47" w14:textId="77777777" w:rsidTr="007F6748">
        <w:tc>
          <w:tcPr>
            <w:tcW w:w="2587" w:type="dxa"/>
            <w:vAlign w:val="center"/>
          </w:tcPr>
          <w:p w14:paraId="428D25AA"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Russia</w:t>
            </w:r>
          </w:p>
        </w:tc>
        <w:tc>
          <w:tcPr>
            <w:tcW w:w="2588" w:type="dxa"/>
            <w:vAlign w:val="center"/>
          </w:tcPr>
          <w:p w14:paraId="3BEAB3F7"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6.22</w:t>
            </w:r>
          </w:p>
        </w:tc>
        <w:tc>
          <w:tcPr>
            <w:tcW w:w="2588" w:type="dxa"/>
            <w:vAlign w:val="center"/>
          </w:tcPr>
          <w:p w14:paraId="3606CFF7"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58</w:t>
            </w:r>
          </w:p>
        </w:tc>
      </w:tr>
      <w:tr w:rsidR="008C1717" w:rsidRPr="000605BC" w14:paraId="18FAE8E6" w14:textId="77777777" w:rsidTr="007F6748">
        <w:tc>
          <w:tcPr>
            <w:tcW w:w="2587" w:type="dxa"/>
            <w:vAlign w:val="center"/>
          </w:tcPr>
          <w:p w14:paraId="45480D93"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Guatemala</w:t>
            </w:r>
          </w:p>
        </w:tc>
        <w:tc>
          <w:tcPr>
            <w:tcW w:w="2588" w:type="dxa"/>
            <w:vAlign w:val="center"/>
          </w:tcPr>
          <w:p w14:paraId="783D9AB0"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5.97</w:t>
            </w:r>
          </w:p>
        </w:tc>
        <w:tc>
          <w:tcPr>
            <w:tcW w:w="2588" w:type="dxa"/>
            <w:vAlign w:val="center"/>
          </w:tcPr>
          <w:p w14:paraId="6E644D6B"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66</w:t>
            </w:r>
          </w:p>
        </w:tc>
      </w:tr>
      <w:tr w:rsidR="008C1717" w:rsidRPr="000605BC" w14:paraId="672E093E" w14:textId="77777777" w:rsidTr="007F6748">
        <w:tc>
          <w:tcPr>
            <w:tcW w:w="2587" w:type="dxa"/>
            <w:vAlign w:val="center"/>
          </w:tcPr>
          <w:p w14:paraId="6CC5901A"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Luxembourg</w:t>
            </w:r>
          </w:p>
        </w:tc>
        <w:tc>
          <w:tcPr>
            <w:tcW w:w="2588" w:type="dxa"/>
            <w:vAlign w:val="center"/>
          </w:tcPr>
          <w:p w14:paraId="72361966"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5.89</w:t>
            </w:r>
          </w:p>
        </w:tc>
        <w:tc>
          <w:tcPr>
            <w:tcW w:w="2588" w:type="dxa"/>
            <w:vAlign w:val="center"/>
          </w:tcPr>
          <w:p w14:paraId="207943E2"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70</w:t>
            </w:r>
          </w:p>
        </w:tc>
      </w:tr>
      <w:tr w:rsidR="008C1717" w:rsidRPr="000605BC" w14:paraId="5BD4685A" w14:textId="77777777" w:rsidTr="007F6748">
        <w:tc>
          <w:tcPr>
            <w:tcW w:w="2587" w:type="dxa"/>
            <w:vAlign w:val="center"/>
          </w:tcPr>
          <w:p w14:paraId="6C258F0D"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Japan</w:t>
            </w:r>
          </w:p>
        </w:tc>
        <w:tc>
          <w:tcPr>
            <w:tcW w:w="2588" w:type="dxa"/>
            <w:vAlign w:val="center"/>
          </w:tcPr>
          <w:p w14:paraId="77EDC567"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5.76</w:t>
            </w:r>
          </w:p>
        </w:tc>
        <w:tc>
          <w:tcPr>
            <w:tcW w:w="2588" w:type="dxa"/>
            <w:vAlign w:val="center"/>
          </w:tcPr>
          <w:p w14:paraId="77BAFEF8"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76</w:t>
            </w:r>
          </w:p>
        </w:tc>
      </w:tr>
      <w:tr w:rsidR="008C1717" w:rsidRPr="000605BC" w14:paraId="2625B3D6" w14:textId="77777777" w:rsidTr="007F6748">
        <w:tc>
          <w:tcPr>
            <w:tcW w:w="2587" w:type="dxa"/>
            <w:vAlign w:val="center"/>
          </w:tcPr>
          <w:p w14:paraId="7EB43310"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India</w:t>
            </w:r>
          </w:p>
        </w:tc>
        <w:tc>
          <w:tcPr>
            <w:tcW w:w="2588" w:type="dxa"/>
            <w:vAlign w:val="center"/>
          </w:tcPr>
          <w:p w14:paraId="6217DC01"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5.69</w:t>
            </w:r>
          </w:p>
        </w:tc>
        <w:tc>
          <w:tcPr>
            <w:tcW w:w="2588" w:type="dxa"/>
            <w:vAlign w:val="center"/>
          </w:tcPr>
          <w:p w14:paraId="4860017B"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78</w:t>
            </w:r>
          </w:p>
        </w:tc>
      </w:tr>
      <w:tr w:rsidR="008C1717" w:rsidRPr="000605BC" w14:paraId="606A0AA6" w14:textId="77777777" w:rsidTr="007F6748">
        <w:tc>
          <w:tcPr>
            <w:tcW w:w="2587" w:type="dxa"/>
            <w:vAlign w:val="center"/>
          </w:tcPr>
          <w:p w14:paraId="0F70DEA7"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 xml:space="preserve">Switzerland </w:t>
            </w:r>
          </w:p>
        </w:tc>
        <w:tc>
          <w:tcPr>
            <w:tcW w:w="2588" w:type="dxa"/>
            <w:vAlign w:val="center"/>
          </w:tcPr>
          <w:p w14:paraId="781A7233"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5.46</w:t>
            </w:r>
          </w:p>
        </w:tc>
        <w:tc>
          <w:tcPr>
            <w:tcW w:w="2588" w:type="dxa"/>
            <w:vAlign w:val="center"/>
          </w:tcPr>
          <w:p w14:paraId="299BFDF3"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88</w:t>
            </w:r>
          </w:p>
        </w:tc>
      </w:tr>
      <w:tr w:rsidR="008C1717" w:rsidRPr="000605BC" w14:paraId="28E73874" w14:textId="77777777" w:rsidTr="007F6748">
        <w:tc>
          <w:tcPr>
            <w:tcW w:w="2587" w:type="dxa"/>
            <w:vAlign w:val="center"/>
          </w:tcPr>
          <w:p w14:paraId="5F27650F"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Italy</w:t>
            </w:r>
          </w:p>
        </w:tc>
        <w:tc>
          <w:tcPr>
            <w:tcW w:w="2588" w:type="dxa"/>
            <w:vAlign w:val="center"/>
          </w:tcPr>
          <w:p w14:paraId="055CD9BA"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5.36</w:t>
            </w:r>
          </w:p>
        </w:tc>
        <w:tc>
          <w:tcPr>
            <w:tcW w:w="2588" w:type="dxa"/>
            <w:vAlign w:val="center"/>
          </w:tcPr>
          <w:p w14:paraId="56196FEA"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90</w:t>
            </w:r>
          </w:p>
        </w:tc>
      </w:tr>
      <w:tr w:rsidR="008C1717" w:rsidRPr="000605BC" w14:paraId="3163894B" w14:textId="77777777" w:rsidTr="007F6748">
        <w:tc>
          <w:tcPr>
            <w:tcW w:w="2587" w:type="dxa"/>
            <w:vAlign w:val="center"/>
          </w:tcPr>
          <w:p w14:paraId="496D88D1"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Germany</w:t>
            </w:r>
          </w:p>
        </w:tc>
        <w:tc>
          <w:tcPr>
            <w:tcW w:w="2588" w:type="dxa"/>
            <w:vAlign w:val="center"/>
          </w:tcPr>
          <w:p w14:paraId="0A268921"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5.33</w:t>
            </w:r>
          </w:p>
        </w:tc>
        <w:tc>
          <w:tcPr>
            <w:tcW w:w="2588" w:type="dxa"/>
            <w:vAlign w:val="center"/>
          </w:tcPr>
          <w:p w14:paraId="03676A3E"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92</w:t>
            </w:r>
          </w:p>
        </w:tc>
      </w:tr>
      <w:tr w:rsidR="008C1717" w:rsidRPr="000605BC" w14:paraId="30F82074" w14:textId="77777777" w:rsidTr="007F6748">
        <w:tc>
          <w:tcPr>
            <w:tcW w:w="2587" w:type="dxa"/>
            <w:vAlign w:val="center"/>
          </w:tcPr>
          <w:p w14:paraId="5296C1A2"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United States</w:t>
            </w:r>
          </w:p>
        </w:tc>
        <w:tc>
          <w:tcPr>
            <w:tcW w:w="2588" w:type="dxa"/>
            <w:vAlign w:val="center"/>
          </w:tcPr>
          <w:p w14:paraId="7C8F5750"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5.17</w:t>
            </w:r>
          </w:p>
        </w:tc>
        <w:tc>
          <w:tcPr>
            <w:tcW w:w="2588" w:type="dxa"/>
            <w:vAlign w:val="center"/>
          </w:tcPr>
          <w:p w14:paraId="221594BF"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97</w:t>
            </w:r>
          </w:p>
        </w:tc>
      </w:tr>
      <w:tr w:rsidR="008C1717" w:rsidRPr="000605BC" w14:paraId="3E9D935B" w14:textId="77777777" w:rsidTr="007F6748">
        <w:tc>
          <w:tcPr>
            <w:tcW w:w="2587" w:type="dxa"/>
            <w:vAlign w:val="center"/>
          </w:tcPr>
          <w:p w14:paraId="3A01DD67"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Taiwan, China</w:t>
            </w:r>
          </w:p>
        </w:tc>
        <w:tc>
          <w:tcPr>
            <w:tcW w:w="2588" w:type="dxa"/>
            <w:vAlign w:val="center"/>
          </w:tcPr>
          <w:p w14:paraId="74979B65"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5.12</w:t>
            </w:r>
          </w:p>
        </w:tc>
        <w:tc>
          <w:tcPr>
            <w:tcW w:w="2588" w:type="dxa"/>
            <w:vAlign w:val="center"/>
          </w:tcPr>
          <w:p w14:paraId="77316FDE"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99</w:t>
            </w:r>
          </w:p>
        </w:tc>
      </w:tr>
      <w:tr w:rsidR="008C1717" w:rsidRPr="000605BC" w14:paraId="74EFD3BC" w14:textId="77777777" w:rsidTr="007F6748">
        <w:tc>
          <w:tcPr>
            <w:tcW w:w="2587" w:type="dxa"/>
            <w:vAlign w:val="center"/>
          </w:tcPr>
          <w:p w14:paraId="3E2ADFB4"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France</w:t>
            </w:r>
          </w:p>
        </w:tc>
        <w:tc>
          <w:tcPr>
            <w:tcW w:w="2588" w:type="dxa"/>
            <w:vAlign w:val="center"/>
          </w:tcPr>
          <w:p w14:paraId="0DD4C779"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5.03</w:t>
            </w:r>
          </w:p>
        </w:tc>
        <w:tc>
          <w:tcPr>
            <w:tcW w:w="2588" w:type="dxa"/>
            <w:vAlign w:val="center"/>
          </w:tcPr>
          <w:p w14:paraId="36F52095"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103</w:t>
            </w:r>
          </w:p>
        </w:tc>
      </w:tr>
      <w:tr w:rsidR="008C1717" w:rsidRPr="000605BC" w14:paraId="7BA16F77" w14:textId="77777777" w:rsidTr="007F6748">
        <w:tc>
          <w:tcPr>
            <w:tcW w:w="2587" w:type="dxa"/>
            <w:vAlign w:val="center"/>
          </w:tcPr>
          <w:p w14:paraId="2F9ACACF"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Canada</w:t>
            </w:r>
          </w:p>
        </w:tc>
        <w:tc>
          <w:tcPr>
            <w:tcW w:w="2588" w:type="dxa"/>
            <w:vAlign w:val="center"/>
          </w:tcPr>
          <w:p w14:paraId="6063363F"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5.00</w:t>
            </w:r>
          </w:p>
        </w:tc>
        <w:tc>
          <w:tcPr>
            <w:tcW w:w="2588" w:type="dxa"/>
            <w:vAlign w:val="center"/>
          </w:tcPr>
          <w:p w14:paraId="592500ED"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105</w:t>
            </w:r>
          </w:p>
        </w:tc>
      </w:tr>
      <w:tr w:rsidR="008C1717" w:rsidRPr="000605BC" w14:paraId="40E54BDA" w14:textId="77777777" w:rsidTr="007F6748">
        <w:tc>
          <w:tcPr>
            <w:tcW w:w="2587" w:type="dxa"/>
            <w:vAlign w:val="center"/>
          </w:tcPr>
          <w:p w14:paraId="7B3E3398"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South Africa</w:t>
            </w:r>
          </w:p>
        </w:tc>
        <w:tc>
          <w:tcPr>
            <w:tcW w:w="2588" w:type="dxa"/>
            <w:vAlign w:val="center"/>
          </w:tcPr>
          <w:p w14:paraId="1C4E48BB"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4.86</w:t>
            </w:r>
          </w:p>
        </w:tc>
        <w:tc>
          <w:tcPr>
            <w:tcW w:w="2588" w:type="dxa"/>
            <w:vAlign w:val="center"/>
          </w:tcPr>
          <w:p w14:paraId="0248E0D0"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117</w:t>
            </w:r>
          </w:p>
        </w:tc>
      </w:tr>
      <w:tr w:rsidR="008C1717" w:rsidRPr="000605BC" w14:paraId="59FAA48B" w14:textId="77777777" w:rsidTr="007F6748">
        <w:tc>
          <w:tcPr>
            <w:tcW w:w="2587" w:type="dxa"/>
            <w:vAlign w:val="center"/>
          </w:tcPr>
          <w:p w14:paraId="379BBE31"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United Kingdom</w:t>
            </w:r>
          </w:p>
        </w:tc>
        <w:tc>
          <w:tcPr>
            <w:tcW w:w="2588" w:type="dxa"/>
            <w:vAlign w:val="center"/>
          </w:tcPr>
          <w:p w14:paraId="6CDC4008"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4.77</w:t>
            </w:r>
          </w:p>
        </w:tc>
        <w:tc>
          <w:tcPr>
            <w:tcW w:w="2588" w:type="dxa"/>
            <w:vAlign w:val="center"/>
          </w:tcPr>
          <w:p w14:paraId="589151C4"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121</w:t>
            </w:r>
          </w:p>
        </w:tc>
      </w:tr>
      <w:tr w:rsidR="008C1717" w:rsidRPr="000605BC" w14:paraId="3916572B" w14:textId="77777777" w:rsidTr="007F6748">
        <w:tc>
          <w:tcPr>
            <w:tcW w:w="2587" w:type="dxa"/>
            <w:vAlign w:val="center"/>
          </w:tcPr>
          <w:p w14:paraId="7F874840"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Finland</w:t>
            </w:r>
          </w:p>
        </w:tc>
        <w:tc>
          <w:tcPr>
            <w:tcW w:w="2588" w:type="dxa"/>
            <w:vAlign w:val="center"/>
          </w:tcPr>
          <w:p w14:paraId="03EBC4B4"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3.05</w:t>
            </w:r>
          </w:p>
        </w:tc>
        <w:tc>
          <w:tcPr>
            <w:tcW w:w="2588" w:type="dxa"/>
            <w:vAlign w:val="center"/>
          </w:tcPr>
          <w:p w14:paraId="06E5CDD7" w14:textId="77777777" w:rsidR="008C1717" w:rsidRPr="000605BC" w:rsidRDefault="008C1717" w:rsidP="0005048C">
            <w:pPr>
              <w:spacing w:before="0" w:after="0"/>
              <w:rPr>
                <w:rFonts w:eastAsia="Times New Roman" w:cs="Times New Roman"/>
                <w:bCs/>
                <w:sz w:val="20"/>
                <w:szCs w:val="21"/>
                <w:lang w:val="en-US" w:eastAsia="en-CA"/>
              </w:rPr>
            </w:pPr>
            <w:r w:rsidRPr="000605BC">
              <w:rPr>
                <w:rFonts w:eastAsia="Times New Roman" w:cs="Times New Roman"/>
                <w:bCs/>
                <w:sz w:val="20"/>
                <w:szCs w:val="21"/>
                <w:lang w:val="en-US" w:eastAsia="en-CA"/>
              </w:rPr>
              <w:t>149</w:t>
            </w:r>
          </w:p>
        </w:tc>
      </w:tr>
    </w:tbl>
    <w:p w14:paraId="7E8C4376" w14:textId="387368F9" w:rsidR="00EC7F27" w:rsidRPr="000605BC" w:rsidRDefault="008C1717" w:rsidP="005A44AE">
      <w:pPr>
        <w:spacing w:before="360"/>
        <w:rPr>
          <w:sz w:val="20"/>
        </w:rPr>
      </w:pPr>
      <w:r w:rsidRPr="000605BC">
        <w:rPr>
          <w:rFonts w:eastAsia="Times New Roman"/>
          <w:bCs/>
          <w:sz w:val="20"/>
          <w:lang w:val="en-US" w:eastAsia="en-CA"/>
        </w:rPr>
        <w:t xml:space="preserve">It is important to note that the Index measures </w:t>
      </w:r>
      <w:r w:rsidRPr="000605BC">
        <w:rPr>
          <w:rFonts w:eastAsia="Times New Roman"/>
          <w:bCs/>
          <w:i/>
          <w:sz w:val="20"/>
          <w:lang w:val="en-US" w:eastAsia="en-CA"/>
        </w:rPr>
        <w:t>risk</w:t>
      </w:r>
      <w:r w:rsidRPr="000605BC">
        <w:rPr>
          <w:rFonts w:eastAsia="Times New Roman"/>
          <w:bCs/>
          <w:sz w:val="20"/>
          <w:lang w:val="en-US" w:eastAsia="en-CA"/>
        </w:rPr>
        <w:t xml:space="preserve"> of money laundering and terrorist financing.</w:t>
      </w:r>
      <w:r w:rsidR="002822D1" w:rsidRPr="000605BC">
        <w:rPr>
          <w:rFonts w:eastAsia="Times New Roman"/>
          <w:bCs/>
          <w:sz w:val="20"/>
          <w:lang w:val="en-US" w:eastAsia="en-CA"/>
        </w:rPr>
        <w:t xml:space="preserve"> </w:t>
      </w:r>
      <w:r w:rsidRPr="000605BC">
        <w:rPr>
          <w:rFonts w:eastAsia="Times New Roman"/>
          <w:bCs/>
          <w:sz w:val="20"/>
          <w:lang w:val="en-US" w:eastAsia="en-CA"/>
        </w:rPr>
        <w:t xml:space="preserve">In </w:t>
      </w:r>
      <w:r w:rsidRPr="000605BC">
        <w:rPr>
          <w:sz w:val="20"/>
        </w:rPr>
        <w:t>practice, factors relating to a country’s financial sector and economy are important considerations for money launderers and can contribute significantly to the volume of laundering in any given country.</w:t>
      </w:r>
      <w:r w:rsidR="002822D1" w:rsidRPr="000605BC">
        <w:rPr>
          <w:sz w:val="20"/>
        </w:rPr>
        <w:t xml:space="preserve"> </w:t>
      </w:r>
      <w:r w:rsidR="00F826DE" w:rsidRPr="000605BC">
        <w:rPr>
          <w:sz w:val="20"/>
        </w:rPr>
        <w:t xml:space="preserve">For example, </w:t>
      </w:r>
      <w:r w:rsidRPr="000605BC">
        <w:rPr>
          <w:sz w:val="20"/>
        </w:rPr>
        <w:t>the US ranks 97</w:t>
      </w:r>
      <w:r w:rsidRPr="000605BC">
        <w:rPr>
          <w:sz w:val="20"/>
          <w:vertAlign w:val="superscript"/>
        </w:rPr>
        <w:t>th</w:t>
      </w:r>
      <w:r w:rsidRPr="000605BC">
        <w:rPr>
          <w:sz w:val="20"/>
        </w:rPr>
        <w:t xml:space="preserve"> of 149 countries, meaning there are approximately 50 countries which have a lower risk for money laundering</w:t>
      </w:r>
      <w:r w:rsidR="00F826DE" w:rsidRPr="000605BC">
        <w:rPr>
          <w:sz w:val="20"/>
        </w:rPr>
        <w:t>. However, that US ranking does not mean that all the countries which were ranked as lower money laundering risks are doing more, or are more effective, in trying to control and prevent money laundering. I</w:t>
      </w:r>
      <w:r w:rsidRPr="000605BC">
        <w:rPr>
          <w:sz w:val="20"/>
        </w:rPr>
        <w:t>n practice</w:t>
      </w:r>
      <w:r w:rsidR="00AE0C43" w:rsidRPr="000605BC">
        <w:rPr>
          <w:sz w:val="20"/>
        </w:rPr>
        <w:t>,</w:t>
      </w:r>
      <w:r w:rsidRPr="000605BC">
        <w:rPr>
          <w:sz w:val="20"/>
        </w:rPr>
        <w:t xml:space="preserve"> the majority of international money launderers choose </w:t>
      </w:r>
      <w:r w:rsidR="00F826DE" w:rsidRPr="000605BC">
        <w:rPr>
          <w:sz w:val="20"/>
        </w:rPr>
        <w:t xml:space="preserve">not </w:t>
      </w:r>
      <w:r w:rsidRPr="000605BC">
        <w:rPr>
          <w:sz w:val="20"/>
        </w:rPr>
        <w:t>to operate in small, isolated economies.</w:t>
      </w:r>
      <w:r w:rsidR="002822D1" w:rsidRPr="000605BC">
        <w:rPr>
          <w:sz w:val="20"/>
        </w:rPr>
        <w:t xml:space="preserve"> </w:t>
      </w:r>
      <w:r w:rsidRPr="000605BC">
        <w:rPr>
          <w:sz w:val="20"/>
        </w:rPr>
        <w:t>One study found that nearly half of the world’s money laundering originates in the US</w:t>
      </w:r>
      <w:r w:rsidR="00AE0C43" w:rsidRPr="000605BC">
        <w:rPr>
          <w:sz w:val="20"/>
        </w:rPr>
        <w:t>,</w:t>
      </w:r>
      <w:r w:rsidR="00F826DE" w:rsidRPr="000605BC">
        <w:rPr>
          <w:sz w:val="20"/>
        </w:rPr>
        <w:t xml:space="preserve"> due in part to the dominance of US dollars in global markets and transactions</w:t>
      </w:r>
      <w:r w:rsidRPr="000605BC">
        <w:rPr>
          <w:sz w:val="20"/>
        </w:rPr>
        <w:t>.</w:t>
      </w:r>
      <w:r w:rsidRPr="000605BC">
        <w:rPr>
          <w:rStyle w:val="FootnoteReference"/>
          <w:rFonts w:cs="Times New Roman"/>
          <w:sz w:val="20"/>
        </w:rPr>
        <w:footnoteReference w:id="125"/>
      </w:r>
    </w:p>
    <w:p w14:paraId="2962D1D0" w14:textId="1C56AE77" w:rsidR="0097413C" w:rsidRPr="000605BC" w:rsidRDefault="0097413C" w:rsidP="00D97E9B">
      <w:pPr>
        <w:pStyle w:val="Heading2"/>
        <w:rPr>
          <w:sz w:val="24"/>
        </w:rPr>
      </w:pPr>
      <w:bookmarkStart w:id="113" w:name="_Toc287093755"/>
      <w:bookmarkStart w:id="114" w:name="_Toc419901573"/>
      <w:bookmarkStart w:id="115" w:name="_Toc489788779"/>
      <w:bookmarkStart w:id="116" w:name="_Toc489789319"/>
      <w:bookmarkStart w:id="117" w:name="_Toc489791789"/>
      <w:r w:rsidRPr="000605BC">
        <w:rPr>
          <w:sz w:val="24"/>
        </w:rPr>
        <w:t>FATF Mutual Evaluations</w:t>
      </w:r>
      <w:bookmarkEnd w:id="113"/>
      <w:bookmarkEnd w:id="114"/>
      <w:bookmarkEnd w:id="115"/>
      <w:bookmarkEnd w:id="116"/>
      <w:bookmarkEnd w:id="117"/>
    </w:p>
    <w:p w14:paraId="38CB97F9" w14:textId="1DEA7219" w:rsidR="004632E9" w:rsidRPr="000605BC" w:rsidRDefault="00AD7C10" w:rsidP="004632E9">
      <w:pPr>
        <w:rPr>
          <w:rFonts w:cs="Times New Roman"/>
          <w:color w:val="FF0000"/>
          <w:sz w:val="20"/>
          <w:u w:val="single"/>
        </w:rPr>
      </w:pPr>
      <w:r w:rsidRPr="000605BC">
        <w:rPr>
          <w:rFonts w:cs="Times New Roman"/>
          <w:sz w:val="20"/>
        </w:rPr>
        <w:t>FATF assesses compliance</w:t>
      </w:r>
      <w:r w:rsidR="00764327" w:rsidRPr="000605BC">
        <w:rPr>
          <w:rFonts w:cs="Times New Roman"/>
          <w:sz w:val="20"/>
        </w:rPr>
        <w:t xml:space="preserve"> with its AML</w:t>
      </w:r>
      <w:r w:rsidR="00902B83" w:rsidRPr="000605BC">
        <w:rPr>
          <w:rFonts w:cs="Times New Roman"/>
          <w:sz w:val="20"/>
        </w:rPr>
        <w:t xml:space="preserve"> recommendations</w:t>
      </w:r>
      <w:r w:rsidRPr="000605BC">
        <w:rPr>
          <w:rFonts w:cs="Times New Roman"/>
          <w:sz w:val="20"/>
        </w:rPr>
        <w:t xml:space="preserve"> through </w:t>
      </w:r>
      <w:r w:rsidR="00902B83" w:rsidRPr="000605BC">
        <w:rPr>
          <w:rFonts w:cs="Times New Roman"/>
          <w:sz w:val="20"/>
        </w:rPr>
        <w:t>a process of</w:t>
      </w:r>
      <w:r w:rsidRPr="000605BC">
        <w:rPr>
          <w:rFonts w:cs="Times New Roman"/>
          <w:sz w:val="20"/>
        </w:rPr>
        <w:t xml:space="preserve"> mutual evaluation.</w:t>
      </w:r>
      <w:r w:rsidR="004632E9" w:rsidRPr="000605BC">
        <w:rPr>
          <w:rFonts w:cs="Times New Roman"/>
          <w:sz w:val="20"/>
        </w:rPr>
        <w:t xml:space="preserve"> For the first three rounds of evaluation</w:t>
      </w:r>
      <w:r w:rsidR="00C94FDC" w:rsidRPr="000605BC">
        <w:rPr>
          <w:rFonts w:cs="Times New Roman"/>
          <w:sz w:val="20"/>
        </w:rPr>
        <w:t>, countries were assessed on their technical compliance with the F</w:t>
      </w:r>
      <w:r w:rsidR="004632E9" w:rsidRPr="000605BC">
        <w:rPr>
          <w:rFonts w:cs="Times New Roman"/>
          <w:sz w:val="20"/>
        </w:rPr>
        <w:t>ATF recommendations. However, a new methodology was developed in 2013 to evaluate</w:t>
      </w:r>
      <w:r w:rsidR="00C94FDC" w:rsidRPr="000605BC">
        <w:rPr>
          <w:rFonts w:cs="Times New Roman"/>
          <w:sz w:val="20"/>
        </w:rPr>
        <w:t xml:space="preserve"> the </w:t>
      </w:r>
      <w:r w:rsidR="00C94FDC" w:rsidRPr="000605BC">
        <w:rPr>
          <w:rFonts w:cs="Times New Roman"/>
          <w:i/>
          <w:sz w:val="20"/>
        </w:rPr>
        <w:t xml:space="preserve">effectiveness </w:t>
      </w:r>
      <w:r w:rsidR="00C94FDC" w:rsidRPr="000605BC">
        <w:rPr>
          <w:rFonts w:cs="Times New Roman"/>
          <w:sz w:val="20"/>
        </w:rPr>
        <w:t xml:space="preserve">of AML regimes. </w:t>
      </w:r>
      <w:r w:rsidR="004632E9" w:rsidRPr="000605BC">
        <w:rPr>
          <w:rFonts w:cs="Times New Roman"/>
          <w:sz w:val="20"/>
        </w:rPr>
        <w:t>This methodology is used in the ongoing fourth round of FATF evaluations, which began in mid-2014. So far, o</w:t>
      </w:r>
      <w:r w:rsidR="00C94FDC" w:rsidRPr="000605BC">
        <w:rPr>
          <w:rFonts w:cs="Times New Roman"/>
          <w:sz w:val="20"/>
        </w:rPr>
        <w:t>nly Australia, Belgium, Ethiopia, Norway and Spain have undergone t</w:t>
      </w:r>
      <w:r w:rsidR="00F170E8" w:rsidRPr="000605BC">
        <w:rPr>
          <w:rFonts w:cs="Times New Roman"/>
          <w:sz w:val="20"/>
        </w:rPr>
        <w:t>his revised evaluation process. T</w:t>
      </w:r>
      <w:r w:rsidR="004632E9" w:rsidRPr="000605BC">
        <w:rPr>
          <w:rFonts w:cs="Times New Roman"/>
          <w:sz w:val="20"/>
        </w:rPr>
        <w:t>he calendar of fourth round evaluations</w:t>
      </w:r>
      <w:r w:rsidR="00F170E8" w:rsidRPr="000605BC">
        <w:rPr>
          <w:rFonts w:cs="Times New Roman"/>
          <w:sz w:val="20"/>
        </w:rPr>
        <w:t xml:space="preserve"> can be seen at:</w:t>
      </w:r>
      <w:r w:rsidR="004632E9" w:rsidRPr="000605BC">
        <w:rPr>
          <w:rFonts w:cs="Times New Roman"/>
          <w:sz w:val="20"/>
        </w:rPr>
        <w:t xml:space="preserve"> &lt;</w:t>
      </w:r>
      <w:hyperlink r:id="rId18" w:history="1">
        <w:r w:rsidR="004632E9" w:rsidRPr="000605BC">
          <w:rPr>
            <w:rStyle w:val="Hyperlink"/>
            <w:rFonts w:cs="Times New Roman"/>
            <w:sz w:val="20"/>
          </w:rPr>
          <w:t>http://www.fatf-gafi.org/media/fatf/documents/assessments/Global-assessment-calendar.pdf</w:t>
        </w:r>
      </w:hyperlink>
      <w:r w:rsidR="004632E9" w:rsidRPr="000605BC">
        <w:rPr>
          <w:rFonts w:cs="Times New Roman"/>
          <w:sz w:val="20"/>
        </w:rPr>
        <w:t>&gt;.</w:t>
      </w:r>
    </w:p>
    <w:p w14:paraId="1497F8B8" w14:textId="1DA3E8D1" w:rsidR="00E352EA" w:rsidRPr="000605BC" w:rsidRDefault="00C94FDC" w:rsidP="00916A81">
      <w:pPr>
        <w:rPr>
          <w:rFonts w:cs="Times New Roman"/>
          <w:sz w:val="20"/>
        </w:rPr>
      </w:pPr>
      <w:r w:rsidRPr="000605BC">
        <w:rPr>
          <w:rFonts w:cs="Times New Roman"/>
          <w:sz w:val="20"/>
        </w:rPr>
        <w:t>Evaluations are carried out by teams of experts</w:t>
      </w:r>
      <w:r w:rsidR="00463166" w:rsidRPr="000605BC">
        <w:rPr>
          <w:rFonts w:cs="Times New Roman"/>
          <w:sz w:val="20"/>
        </w:rPr>
        <w:t>, described by FATF as follows:</w:t>
      </w:r>
    </w:p>
    <w:p w14:paraId="55F637F3" w14:textId="4CA7971C" w:rsidR="00AD7C10" w:rsidRPr="000605BC" w:rsidRDefault="00B828B5" w:rsidP="00D97E9B">
      <w:pPr>
        <w:pStyle w:val="BlockQuote"/>
        <w:rPr>
          <w:sz w:val="20"/>
        </w:rPr>
      </w:pPr>
      <w:r w:rsidRPr="000605BC">
        <w:rPr>
          <w:sz w:val="20"/>
        </w:rPr>
        <w:t xml:space="preserve">An assessment team will usually consist of 4 expert assessors (comprising at least one legal, financial and law enforcement expert), principally drawn from FATF members, and will also include members of the FATF secretariat. </w:t>
      </w:r>
      <w:r w:rsidR="00AD7C10" w:rsidRPr="000605BC">
        <w:rPr>
          <w:sz w:val="20"/>
        </w:rPr>
        <w:t>Depending on the country and the money laundering and terrorist financing risks, additional assessors or assessors with specific expertise may also be required</w:t>
      </w:r>
      <w:r w:rsidRPr="000605BC">
        <w:rPr>
          <w:sz w:val="20"/>
        </w:rPr>
        <w:t>.</w:t>
      </w:r>
      <w:r w:rsidR="003D5949" w:rsidRPr="000605BC">
        <w:rPr>
          <w:rStyle w:val="FootnoteReference"/>
          <w:rFonts w:eastAsiaTheme="minorEastAsia" w:cs="Times New Roman"/>
          <w:sz w:val="20"/>
          <w:szCs w:val="21"/>
          <w:lang w:val="en-US" w:eastAsia="ja-JP"/>
        </w:rPr>
        <w:footnoteReference w:id="126"/>
      </w:r>
    </w:p>
    <w:p w14:paraId="1FB58612" w14:textId="04B3FE79" w:rsidR="0070390C" w:rsidRPr="000605BC" w:rsidRDefault="00C94FDC" w:rsidP="00916A81">
      <w:pPr>
        <w:rPr>
          <w:rFonts w:cs="Times New Roman"/>
          <w:sz w:val="20"/>
        </w:rPr>
      </w:pPr>
      <w:r w:rsidRPr="000605BC">
        <w:rPr>
          <w:rFonts w:cs="Times New Roman"/>
          <w:sz w:val="20"/>
        </w:rPr>
        <w:t xml:space="preserve">Prior to 2014, </w:t>
      </w:r>
      <w:r w:rsidR="004632E9" w:rsidRPr="000605BC">
        <w:rPr>
          <w:rFonts w:cs="Times New Roman"/>
          <w:sz w:val="20"/>
        </w:rPr>
        <w:t xml:space="preserve">countries were assigned </w:t>
      </w:r>
      <w:r w:rsidRPr="000605BC">
        <w:rPr>
          <w:rFonts w:cs="Times New Roman"/>
          <w:sz w:val="20"/>
        </w:rPr>
        <w:t>a rating for complianc</w:t>
      </w:r>
      <w:r w:rsidR="00463166" w:rsidRPr="000605BC">
        <w:rPr>
          <w:rFonts w:cs="Times New Roman"/>
          <w:sz w:val="20"/>
        </w:rPr>
        <w:t>e with each FATF recommendation</w:t>
      </w:r>
      <w:r w:rsidRPr="000605BC">
        <w:rPr>
          <w:rFonts w:cs="Times New Roman"/>
          <w:sz w:val="20"/>
        </w:rPr>
        <w:t>. Possible ratings were</w:t>
      </w:r>
      <w:r w:rsidR="00CA27AA" w:rsidRPr="000605BC">
        <w:rPr>
          <w:rFonts w:cs="Times New Roman"/>
          <w:sz w:val="20"/>
        </w:rPr>
        <w:t xml:space="preserve"> </w:t>
      </w:r>
      <w:r w:rsidR="008B2E8F" w:rsidRPr="000605BC">
        <w:rPr>
          <w:rFonts w:cs="Times New Roman"/>
          <w:sz w:val="20"/>
        </w:rPr>
        <w:t>C (compliant), LC (largely compliant), PC (partially compliant) or NC (non-compliant).</w:t>
      </w:r>
      <w:r w:rsidR="00D078BB" w:rsidRPr="000605BC">
        <w:rPr>
          <w:rFonts w:cs="Times New Roman"/>
          <w:sz w:val="20"/>
        </w:rPr>
        <w:t xml:space="preserve"> </w:t>
      </w:r>
      <w:r w:rsidR="004632E9" w:rsidRPr="000605BC">
        <w:rPr>
          <w:rFonts w:cs="Times New Roman"/>
          <w:sz w:val="20"/>
        </w:rPr>
        <w:t>After an evaluation,</w:t>
      </w:r>
      <w:r w:rsidR="00D078BB" w:rsidRPr="000605BC">
        <w:rPr>
          <w:rFonts w:cs="Times New Roman"/>
          <w:sz w:val="20"/>
        </w:rPr>
        <w:t xml:space="preserve"> a country may be required to report back to the FATF at intervals to describe its progress in addressing any shortcomings identified by the evaluation team.</w:t>
      </w:r>
      <w:r w:rsidR="002822D1" w:rsidRPr="000605BC">
        <w:rPr>
          <w:rFonts w:cs="Times New Roman"/>
          <w:sz w:val="20"/>
        </w:rPr>
        <w:t xml:space="preserve"> </w:t>
      </w:r>
    </w:p>
    <w:p w14:paraId="3E649C70" w14:textId="1D8B1139" w:rsidR="00947DFD" w:rsidRPr="000605BC" w:rsidRDefault="004632E9" w:rsidP="00916A81">
      <w:pPr>
        <w:rPr>
          <w:rFonts w:cs="Times New Roman"/>
          <w:sz w:val="20"/>
        </w:rPr>
      </w:pPr>
      <w:r w:rsidRPr="000605BC">
        <w:rPr>
          <w:rFonts w:cs="Times New Roman"/>
          <w:sz w:val="20"/>
        </w:rPr>
        <w:t xml:space="preserve">The US, UK and Canada have not yet undergone evaluations under the 2013 methodology and the third round of evaluations ended before the new FATF recommendations were released in 2012. Only Canada has undergone a follow-up report since 2012. </w:t>
      </w:r>
      <w:r w:rsidR="00463166" w:rsidRPr="000605BC">
        <w:rPr>
          <w:rFonts w:cs="Times New Roman"/>
          <w:sz w:val="20"/>
        </w:rPr>
        <w:t>Care must be exercised</w:t>
      </w:r>
      <w:r w:rsidR="009D79BF" w:rsidRPr="000605BC">
        <w:rPr>
          <w:rFonts w:cs="Times New Roman"/>
          <w:sz w:val="20"/>
        </w:rPr>
        <w:t xml:space="preserve"> in</w:t>
      </w:r>
      <w:r w:rsidRPr="000605BC">
        <w:rPr>
          <w:rFonts w:cs="Times New Roman"/>
          <w:sz w:val="20"/>
        </w:rPr>
        <w:t xml:space="preserve"> using the FATF evaluations as a basis for </w:t>
      </w:r>
      <w:r w:rsidR="00463166" w:rsidRPr="000605BC">
        <w:rPr>
          <w:rFonts w:cs="Times New Roman"/>
          <w:sz w:val="20"/>
        </w:rPr>
        <w:t>comparing AML regimes in the US, UK,</w:t>
      </w:r>
      <w:r w:rsidRPr="000605BC">
        <w:rPr>
          <w:rFonts w:cs="Times New Roman"/>
          <w:sz w:val="20"/>
        </w:rPr>
        <w:t xml:space="preserve"> Canada</w:t>
      </w:r>
      <w:r w:rsidR="00463166" w:rsidRPr="000605BC">
        <w:rPr>
          <w:rFonts w:cs="Times New Roman"/>
          <w:sz w:val="20"/>
        </w:rPr>
        <w:t xml:space="preserve"> and elsewhere</w:t>
      </w:r>
      <w:r w:rsidRPr="000605BC">
        <w:rPr>
          <w:rFonts w:cs="Times New Roman"/>
          <w:sz w:val="20"/>
        </w:rPr>
        <w:t>. Also, t</w:t>
      </w:r>
      <w:r w:rsidR="005E11DB" w:rsidRPr="000605BC">
        <w:rPr>
          <w:rFonts w:cs="Times New Roman"/>
          <w:sz w:val="20"/>
        </w:rPr>
        <w:t xml:space="preserve">he process for conducting mutual evaluations and the FATF Recommendations themselves have changed significantly over the past ten years. The mutual evaluations and follow-up reports </w:t>
      </w:r>
      <w:r w:rsidR="00947DFD" w:rsidRPr="000605BC">
        <w:rPr>
          <w:rFonts w:cs="Times New Roman"/>
          <w:sz w:val="20"/>
        </w:rPr>
        <w:t>on each member state were prepared at different times, and may not be directly comparable. The mutual evaluations are intended as a tool to assist countri</w:t>
      </w:r>
      <w:r w:rsidR="00764327" w:rsidRPr="000605BC">
        <w:rPr>
          <w:rFonts w:cs="Times New Roman"/>
          <w:sz w:val="20"/>
        </w:rPr>
        <w:t>es to improve their AML regimes</w:t>
      </w:r>
      <w:r w:rsidR="00947DFD" w:rsidRPr="000605BC">
        <w:rPr>
          <w:rFonts w:cs="Times New Roman"/>
          <w:sz w:val="20"/>
        </w:rPr>
        <w:t xml:space="preserve"> and to </w:t>
      </w:r>
      <w:r w:rsidR="00DB56C2" w:rsidRPr="000605BC">
        <w:rPr>
          <w:rFonts w:cs="Times New Roman"/>
          <w:sz w:val="20"/>
        </w:rPr>
        <w:t xml:space="preserve">allow the FATF to </w:t>
      </w:r>
      <w:r w:rsidR="00947DFD" w:rsidRPr="000605BC">
        <w:rPr>
          <w:rFonts w:cs="Times New Roman"/>
          <w:sz w:val="20"/>
        </w:rPr>
        <w:t>exert peer pressure on reluctant</w:t>
      </w:r>
      <w:r w:rsidR="00A0009D" w:rsidRPr="000605BC">
        <w:rPr>
          <w:rFonts w:cs="Times New Roman"/>
          <w:sz w:val="20"/>
        </w:rPr>
        <w:t xml:space="preserve"> countries</w:t>
      </w:r>
      <w:r w:rsidR="00947DFD" w:rsidRPr="000605BC">
        <w:rPr>
          <w:rFonts w:cs="Times New Roman"/>
          <w:sz w:val="20"/>
        </w:rPr>
        <w:t xml:space="preserve">. </w:t>
      </w:r>
      <w:r w:rsidRPr="000605BC">
        <w:rPr>
          <w:rFonts w:cs="Times New Roman"/>
          <w:sz w:val="20"/>
        </w:rPr>
        <w:t xml:space="preserve">The evaluations are </w:t>
      </w:r>
      <w:r w:rsidR="00947DFD" w:rsidRPr="000605BC">
        <w:rPr>
          <w:rFonts w:cs="Times New Roman"/>
          <w:sz w:val="20"/>
        </w:rPr>
        <w:t>not a global comparative survey for scholarly analysis.</w:t>
      </w:r>
      <w:r w:rsidR="002822D1" w:rsidRPr="000605BC">
        <w:rPr>
          <w:rFonts w:cs="Times New Roman"/>
          <w:sz w:val="20"/>
        </w:rPr>
        <w:t xml:space="preserve"> </w:t>
      </w:r>
    </w:p>
    <w:p w14:paraId="2F0309FA" w14:textId="5BE38E89" w:rsidR="00CE1132" w:rsidRPr="000605BC" w:rsidRDefault="00947DFD" w:rsidP="00916A81">
      <w:pPr>
        <w:rPr>
          <w:rFonts w:cs="Times New Roman"/>
          <w:sz w:val="20"/>
        </w:rPr>
      </w:pPr>
      <w:r w:rsidRPr="000605BC">
        <w:rPr>
          <w:rFonts w:cs="Times New Roman"/>
          <w:sz w:val="20"/>
        </w:rPr>
        <w:t>Nonetheless, the FATF m</w:t>
      </w:r>
      <w:r w:rsidR="007168D8" w:rsidRPr="000605BC">
        <w:rPr>
          <w:rFonts w:cs="Times New Roman"/>
          <w:sz w:val="20"/>
        </w:rPr>
        <w:t xml:space="preserve">utual evaluation process provides the best primary data on global AML efforts and is an important source for surveys by other organisations, including the Basel Institute. The following sections summarize the most recent evaluations of the AML regimes in the US, the UK and Canada, focusing on any key weaknesses identified. </w:t>
      </w:r>
    </w:p>
    <w:p w14:paraId="3A491F68" w14:textId="322A9852" w:rsidR="002A34DF" w:rsidRPr="000605BC" w:rsidRDefault="002A34DF" w:rsidP="00D97E9B">
      <w:pPr>
        <w:pStyle w:val="Heading3"/>
        <w:rPr>
          <w:sz w:val="22"/>
        </w:rPr>
      </w:pPr>
      <w:bookmarkStart w:id="118" w:name="_Toc287093756"/>
      <w:bookmarkStart w:id="119" w:name="_Toc419901574"/>
      <w:r w:rsidRPr="000605BC">
        <w:rPr>
          <w:sz w:val="22"/>
        </w:rPr>
        <w:t>US</w:t>
      </w:r>
      <w:bookmarkEnd w:id="118"/>
      <w:bookmarkEnd w:id="119"/>
    </w:p>
    <w:p w14:paraId="63AE9D21" w14:textId="77777777" w:rsidR="00B805F3" w:rsidRPr="000605BC" w:rsidRDefault="008C1717" w:rsidP="00756077">
      <w:pPr>
        <w:rPr>
          <w:rFonts w:cs="Times New Roman"/>
          <w:sz w:val="20"/>
        </w:rPr>
      </w:pPr>
      <w:r w:rsidRPr="000605BC">
        <w:rPr>
          <w:rFonts w:cs="Times New Roman"/>
          <w:sz w:val="20"/>
        </w:rPr>
        <w:t>The United States had a FATF mutual evaluation in 2016, which like the previous evaluation in 2006 was generally positive.</w:t>
      </w:r>
      <w:r w:rsidR="002822D1" w:rsidRPr="000605BC">
        <w:rPr>
          <w:rFonts w:cs="Times New Roman"/>
          <w:sz w:val="20"/>
        </w:rPr>
        <w:t xml:space="preserve"> </w:t>
      </w:r>
      <w:r w:rsidRPr="000605BC">
        <w:rPr>
          <w:rFonts w:cs="Times New Roman"/>
          <w:sz w:val="20"/>
        </w:rPr>
        <w:t>The United States has significant exposure to potential money laundering due to the global dominance of the US dollar.</w:t>
      </w:r>
      <w:r w:rsidR="002822D1" w:rsidRPr="000605BC">
        <w:rPr>
          <w:rFonts w:cs="Times New Roman"/>
          <w:sz w:val="20"/>
        </w:rPr>
        <w:t xml:space="preserve"> </w:t>
      </w:r>
      <w:r w:rsidRPr="000605BC">
        <w:rPr>
          <w:rFonts w:cs="Times New Roman"/>
          <w:sz w:val="20"/>
        </w:rPr>
        <w:t xml:space="preserve">The US was one of the first countries to place significant focus on money laundering and has a developed </w:t>
      </w:r>
      <w:r w:rsidR="001E0225" w:rsidRPr="000605BC">
        <w:rPr>
          <w:rFonts w:cs="Times New Roman"/>
          <w:sz w:val="20"/>
        </w:rPr>
        <w:t xml:space="preserve">anti-money laundering </w:t>
      </w:r>
      <w:r w:rsidRPr="000605BC">
        <w:rPr>
          <w:rFonts w:cs="Times New Roman"/>
          <w:sz w:val="20"/>
        </w:rPr>
        <w:t>system</w:t>
      </w:r>
      <w:r w:rsidR="001E0225" w:rsidRPr="000605BC">
        <w:rPr>
          <w:rFonts w:cs="Times New Roman"/>
          <w:sz w:val="20"/>
        </w:rPr>
        <w:t>.</w:t>
      </w:r>
      <w:r w:rsidR="001E0225" w:rsidRPr="000605BC">
        <w:rPr>
          <w:rStyle w:val="FootnoteReference"/>
          <w:rFonts w:cs="Times New Roman"/>
          <w:sz w:val="20"/>
        </w:rPr>
        <w:footnoteReference w:id="127"/>
      </w:r>
    </w:p>
    <w:p w14:paraId="3FC89A5B" w14:textId="446FBF9B" w:rsidR="008C1717" w:rsidRPr="000605BC" w:rsidRDefault="001E0225" w:rsidP="00756077">
      <w:pPr>
        <w:rPr>
          <w:rFonts w:cs="Times New Roman"/>
          <w:sz w:val="20"/>
        </w:rPr>
      </w:pPr>
      <w:r w:rsidRPr="000605BC">
        <w:rPr>
          <w:rFonts w:cs="Times New Roman"/>
          <w:sz w:val="20"/>
        </w:rPr>
        <w:t xml:space="preserve">Of </w:t>
      </w:r>
      <w:r w:rsidR="008C1717" w:rsidRPr="000605BC">
        <w:rPr>
          <w:rFonts w:cs="Times New Roman"/>
          <w:sz w:val="20"/>
        </w:rPr>
        <w:t>FATF’s 40 recommendation</w:t>
      </w:r>
      <w:r w:rsidRPr="000605BC">
        <w:rPr>
          <w:rFonts w:cs="Times New Roman"/>
          <w:sz w:val="20"/>
        </w:rPr>
        <w:t>s, the US was found compliant with</w:t>
      </w:r>
      <w:r w:rsidR="008C1717" w:rsidRPr="000605BC">
        <w:rPr>
          <w:rFonts w:cs="Times New Roman"/>
          <w:sz w:val="20"/>
        </w:rPr>
        <w:t xml:space="preserve"> 11, largely compliant with 20, partially compliant with 6 and non-compliant with 3.</w:t>
      </w:r>
      <w:r w:rsidR="002822D1" w:rsidRPr="000605BC">
        <w:rPr>
          <w:rFonts w:cs="Times New Roman"/>
          <w:sz w:val="20"/>
        </w:rPr>
        <w:t xml:space="preserve"> </w:t>
      </w:r>
      <w:r w:rsidR="008C1717" w:rsidRPr="000605BC">
        <w:rPr>
          <w:rFonts w:cs="Times New Roman"/>
          <w:sz w:val="20"/>
        </w:rPr>
        <w:t>The non-compliances related to lacking trans</w:t>
      </w:r>
      <w:r w:rsidR="00D97E9B" w:rsidRPr="000605BC">
        <w:rPr>
          <w:rFonts w:cs="Times New Roman"/>
          <w:sz w:val="20"/>
        </w:rPr>
        <w:t>-</w:t>
      </w:r>
      <w:proofErr w:type="spellStart"/>
      <w:r w:rsidR="008C1717" w:rsidRPr="000605BC">
        <w:rPr>
          <w:rFonts w:cs="Times New Roman"/>
          <w:sz w:val="20"/>
        </w:rPr>
        <w:t>parency</w:t>
      </w:r>
      <w:proofErr w:type="spellEnd"/>
      <w:r w:rsidR="008C1717" w:rsidRPr="000605BC">
        <w:rPr>
          <w:rFonts w:cs="Times New Roman"/>
          <w:sz w:val="20"/>
        </w:rPr>
        <w:t xml:space="preserve"> of beneficial ownership and the regulation of designated non-financial businesses and professions including lawyers, accountants and real estate agents</w:t>
      </w:r>
      <w:r w:rsidRPr="000605BC">
        <w:rPr>
          <w:rFonts w:cs="Times New Roman"/>
          <w:sz w:val="20"/>
        </w:rPr>
        <w:t>.</w:t>
      </w:r>
      <w:r w:rsidRPr="000605BC">
        <w:rPr>
          <w:rStyle w:val="FootnoteReference"/>
          <w:rFonts w:cs="Times New Roman"/>
          <w:sz w:val="20"/>
        </w:rPr>
        <w:footnoteReference w:id="128"/>
      </w:r>
    </w:p>
    <w:p w14:paraId="0DD66C6E" w14:textId="247C15F7" w:rsidR="008C1717" w:rsidRPr="000605BC" w:rsidRDefault="008C1717" w:rsidP="00756077">
      <w:pPr>
        <w:rPr>
          <w:rFonts w:cs="Times New Roman"/>
          <w:sz w:val="20"/>
        </w:rPr>
      </w:pPr>
      <w:r w:rsidRPr="000605BC">
        <w:rPr>
          <w:rFonts w:cs="Times New Roman"/>
          <w:sz w:val="20"/>
        </w:rPr>
        <w:t>Mutual legal assistance from the US was positive.</w:t>
      </w:r>
      <w:r w:rsidR="002822D1" w:rsidRPr="000605BC">
        <w:rPr>
          <w:rFonts w:cs="Times New Roman"/>
          <w:sz w:val="20"/>
        </w:rPr>
        <w:t xml:space="preserve"> </w:t>
      </w:r>
      <w:r w:rsidRPr="000605BC">
        <w:rPr>
          <w:rFonts w:cs="Times New Roman"/>
          <w:sz w:val="20"/>
        </w:rPr>
        <w:t>From 2009</w:t>
      </w:r>
      <w:r w:rsidR="00897856" w:rsidRPr="000605BC">
        <w:rPr>
          <w:rFonts w:cs="Times New Roman"/>
          <w:sz w:val="20"/>
        </w:rPr>
        <w:t xml:space="preserve"> to </w:t>
      </w:r>
      <w:r w:rsidRPr="000605BC">
        <w:rPr>
          <w:rFonts w:cs="Times New Roman"/>
          <w:sz w:val="20"/>
        </w:rPr>
        <w:t xml:space="preserve">2014, the US received 1,541 requests from MLA relating to money laundering, terrorist financing or asset forfeiture </w:t>
      </w:r>
      <w:r w:rsidR="001E0225" w:rsidRPr="000605BC">
        <w:rPr>
          <w:rFonts w:cs="Times New Roman"/>
          <w:sz w:val="20"/>
        </w:rPr>
        <w:t xml:space="preserve">and recovery </w:t>
      </w:r>
      <w:r w:rsidRPr="000605BC">
        <w:rPr>
          <w:rFonts w:cs="Times New Roman"/>
          <w:sz w:val="20"/>
        </w:rPr>
        <w:t xml:space="preserve">and granted the request </w:t>
      </w:r>
      <w:r w:rsidR="001E0225" w:rsidRPr="000605BC">
        <w:rPr>
          <w:rFonts w:cs="Times New Roman"/>
          <w:sz w:val="20"/>
        </w:rPr>
        <w:t>in 1,062 of those cases</w:t>
      </w:r>
      <w:r w:rsidRPr="000605BC">
        <w:rPr>
          <w:rFonts w:cs="Times New Roman"/>
          <w:sz w:val="20"/>
        </w:rPr>
        <w:t>.</w:t>
      </w:r>
      <w:r w:rsidR="002822D1" w:rsidRPr="000605BC">
        <w:rPr>
          <w:rFonts w:cs="Times New Roman"/>
          <w:sz w:val="20"/>
        </w:rPr>
        <w:t xml:space="preserve"> </w:t>
      </w:r>
    </w:p>
    <w:p w14:paraId="71A1F56E" w14:textId="6F345F13" w:rsidR="00C12ECB" w:rsidRPr="000605BC" w:rsidRDefault="00D80AEE" w:rsidP="00F106DC">
      <w:pPr>
        <w:keepNext/>
        <w:spacing w:before="360" w:after="120"/>
        <w:rPr>
          <w:rFonts w:cs="Times New Roman"/>
          <w:sz w:val="20"/>
        </w:rPr>
      </w:pPr>
      <w:r w:rsidRPr="000605BC">
        <w:rPr>
          <w:rFonts w:cs="Times New Roman"/>
          <w:b/>
          <w:sz w:val="20"/>
        </w:rPr>
        <w:t>Table 4.6</w:t>
      </w:r>
      <w:r w:rsidR="00F106DC" w:rsidRPr="000605BC">
        <w:rPr>
          <w:rFonts w:cs="Times New Roman"/>
          <w:sz w:val="20"/>
        </w:rPr>
        <w:t xml:space="preserve"> </w:t>
      </w:r>
      <w:r w:rsidR="00C12ECB" w:rsidRPr="000605BC">
        <w:rPr>
          <w:rFonts w:cs="Times New Roman"/>
          <w:sz w:val="20"/>
        </w:rPr>
        <w:t>Response to Incoming MLA Requests</w:t>
      </w:r>
    </w:p>
    <w:p w14:paraId="760A637E" w14:textId="77777777" w:rsidR="008C1717" w:rsidRPr="000605BC" w:rsidRDefault="008C1717" w:rsidP="00D80AEE">
      <w:pPr>
        <w:spacing w:before="0" w:after="0"/>
        <w:rPr>
          <w:rFonts w:cs="Times New Roman"/>
          <w:sz w:val="20"/>
        </w:rPr>
      </w:pPr>
      <w:r w:rsidRPr="000605BC">
        <w:rPr>
          <w:rFonts w:cs="Times New Roman"/>
          <w:noProof/>
          <w:sz w:val="20"/>
          <w:lang w:eastAsia="en-CA"/>
        </w:rPr>
        <w:drawing>
          <wp:inline distT="0" distB="0" distL="0" distR="0" wp14:anchorId="5374F3BE" wp14:editId="0687B7B8">
            <wp:extent cx="5057641" cy="2042795"/>
            <wp:effectExtent l="38100" t="38100" r="29210" b="33655"/>
            <wp:docPr id="7" name="Picture 7" descr="C:\Users\User\Desktop\Corruption\US incoming M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Corruption\US incoming MLA.png"/>
                    <pic:cNvPicPr>
                      <a:picLocks noChangeAspect="1" noChangeArrowheads="1"/>
                    </pic:cNvPicPr>
                  </pic:nvPicPr>
                  <pic:blipFill rotWithShape="1">
                    <a:blip r:embed="rId19">
                      <a:extLst>
                        <a:ext uri="{28A0092B-C50C-407E-A947-70E740481C1C}">
                          <a14:useLocalDpi xmlns:a14="http://schemas.microsoft.com/office/drawing/2010/main" val="0"/>
                        </a:ext>
                      </a:extLst>
                    </a:blip>
                    <a:srcRect l="1450" t="-1" r="-1" b="2058"/>
                    <a:stretch/>
                  </pic:blipFill>
                  <pic:spPr bwMode="auto">
                    <a:xfrm>
                      <a:off x="0" y="0"/>
                      <a:ext cx="5082278" cy="2052746"/>
                    </a:xfrm>
                    <a:prstGeom prst="rect">
                      <a:avLst/>
                    </a:prstGeom>
                    <a:noFill/>
                    <a:ln w="28575" cap="flat" cmpd="sng" algn="ctr">
                      <a:solidFill>
                        <a:srgbClr val="4BACC6">
                          <a:lumMod val="75000"/>
                        </a:srgbClr>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0797C712" w14:textId="5FFE42F0" w:rsidR="008C1717" w:rsidRPr="000605BC" w:rsidRDefault="00486D97" w:rsidP="00D80AEE">
      <w:pPr>
        <w:spacing w:before="120" w:after="360"/>
        <w:rPr>
          <w:rFonts w:cs="Times New Roman"/>
          <w:b/>
          <w:noProof/>
          <w:color w:val="000000"/>
          <w:sz w:val="18"/>
          <w:lang w:eastAsia="en-CA"/>
        </w:rPr>
      </w:pPr>
      <w:r w:rsidRPr="000605BC">
        <w:rPr>
          <w:rFonts w:cs="Times New Roman"/>
          <w:noProof/>
          <w:sz w:val="18"/>
          <w:lang w:eastAsia="en-CA"/>
        </w:rPr>
        <w:t xml:space="preserve">Source: </w:t>
      </w:r>
      <w:r w:rsidR="00A34F8F" w:rsidRPr="000605BC">
        <w:rPr>
          <w:rFonts w:cs="Times New Roman"/>
          <w:noProof/>
          <w:sz w:val="18"/>
          <w:lang w:eastAsia="en-CA"/>
        </w:rPr>
        <w:t xml:space="preserve">US </w:t>
      </w:r>
      <w:r w:rsidR="00107534" w:rsidRPr="000605BC">
        <w:rPr>
          <w:rFonts w:cs="Times New Roman"/>
          <w:noProof/>
          <w:sz w:val="18"/>
          <w:lang w:eastAsia="en-CA"/>
        </w:rPr>
        <w:t>Mutual</w:t>
      </w:r>
      <w:r w:rsidR="008C1717" w:rsidRPr="000605BC">
        <w:rPr>
          <w:rFonts w:cs="Times New Roman"/>
          <w:noProof/>
          <w:sz w:val="18"/>
          <w:lang w:eastAsia="en-CA"/>
        </w:rPr>
        <w:t xml:space="preserve"> Evaluation Report (</w:t>
      </w:r>
      <w:r w:rsidR="003E12C6" w:rsidRPr="000605BC">
        <w:rPr>
          <w:rFonts w:cs="Times New Roman"/>
          <w:noProof/>
          <w:sz w:val="18"/>
          <w:lang w:eastAsia="en-CA"/>
        </w:rPr>
        <w:t xml:space="preserve">FATF, </w:t>
      </w:r>
      <w:r w:rsidR="008C1717" w:rsidRPr="000605BC">
        <w:rPr>
          <w:rFonts w:cs="Times New Roman"/>
          <w:noProof/>
          <w:sz w:val="18"/>
          <w:lang w:eastAsia="en-CA"/>
        </w:rPr>
        <w:t>2016) at 164</w:t>
      </w:r>
      <w:r w:rsidRPr="000605BC">
        <w:rPr>
          <w:rFonts w:cs="Times New Roman"/>
          <w:noProof/>
          <w:sz w:val="18"/>
          <w:lang w:eastAsia="en-CA"/>
        </w:rPr>
        <w:t>.</w:t>
      </w:r>
    </w:p>
    <w:p w14:paraId="64BCBF66" w14:textId="5BDFA0C3" w:rsidR="008C1717" w:rsidRPr="000605BC" w:rsidRDefault="008C1717" w:rsidP="008C1717">
      <w:pPr>
        <w:rPr>
          <w:rFonts w:cs="Times New Roman"/>
          <w:sz w:val="20"/>
        </w:rPr>
      </w:pPr>
      <w:r w:rsidRPr="000605BC">
        <w:rPr>
          <w:rFonts w:cs="Times New Roman"/>
          <w:sz w:val="20"/>
        </w:rPr>
        <w:t>In the same years, 21 requests to extradite a money laundering suspect were made, resulting in 10 extraditions.</w:t>
      </w:r>
      <w:r w:rsidR="002822D1" w:rsidRPr="000605BC">
        <w:rPr>
          <w:rFonts w:cs="Times New Roman"/>
          <w:sz w:val="20"/>
        </w:rPr>
        <w:t xml:space="preserve"> </w:t>
      </w:r>
      <w:r w:rsidRPr="000605BC">
        <w:rPr>
          <w:rFonts w:cs="Times New Roman"/>
          <w:sz w:val="20"/>
        </w:rPr>
        <w:t xml:space="preserve">Contested extraditions took an average of </w:t>
      </w:r>
      <w:r w:rsidR="003E12C6" w:rsidRPr="000605BC">
        <w:rPr>
          <w:rFonts w:cs="Times New Roman"/>
          <w:sz w:val="20"/>
        </w:rPr>
        <w:t>one</w:t>
      </w:r>
      <w:r w:rsidRPr="000605BC">
        <w:rPr>
          <w:rFonts w:cs="Times New Roman"/>
          <w:sz w:val="20"/>
        </w:rPr>
        <w:t xml:space="preserve"> year to resolve.</w:t>
      </w:r>
      <w:r w:rsidR="002822D1" w:rsidRPr="000605BC">
        <w:rPr>
          <w:rFonts w:cs="Times New Roman"/>
          <w:sz w:val="20"/>
        </w:rPr>
        <w:t xml:space="preserve"> </w:t>
      </w:r>
    </w:p>
    <w:p w14:paraId="046E960E" w14:textId="24D18EFD" w:rsidR="00F106DC" w:rsidRPr="000605BC" w:rsidRDefault="00D80AEE" w:rsidP="00F106DC">
      <w:pPr>
        <w:keepNext/>
        <w:spacing w:before="360" w:after="120"/>
        <w:rPr>
          <w:rFonts w:cs="Times New Roman"/>
          <w:sz w:val="20"/>
        </w:rPr>
      </w:pPr>
      <w:r w:rsidRPr="000605BC">
        <w:rPr>
          <w:rFonts w:cs="Times New Roman"/>
          <w:b/>
          <w:sz w:val="20"/>
        </w:rPr>
        <w:t>Table 4.7</w:t>
      </w:r>
      <w:r w:rsidR="00F106DC" w:rsidRPr="000605BC">
        <w:rPr>
          <w:rFonts w:cs="Times New Roman"/>
          <w:sz w:val="20"/>
        </w:rPr>
        <w:t xml:space="preserve"> </w:t>
      </w:r>
      <w:r w:rsidR="00450AB2" w:rsidRPr="000605BC">
        <w:rPr>
          <w:rFonts w:cs="Times New Roman"/>
          <w:sz w:val="20"/>
        </w:rPr>
        <w:t>Response to Incoming Extradition Requests</w:t>
      </w:r>
    </w:p>
    <w:p w14:paraId="7516E24B" w14:textId="65272265" w:rsidR="00D80AEE" w:rsidRPr="000605BC" w:rsidRDefault="00D80AEE" w:rsidP="00D80AEE">
      <w:pPr>
        <w:spacing w:before="0" w:after="0"/>
        <w:rPr>
          <w:rFonts w:cs="Times New Roman"/>
          <w:noProof/>
          <w:sz w:val="20"/>
          <w:lang w:eastAsia="en-CA"/>
        </w:rPr>
      </w:pPr>
      <w:r w:rsidRPr="000605BC">
        <w:rPr>
          <w:rFonts w:cs="Times New Roman"/>
          <w:noProof/>
          <w:sz w:val="20"/>
          <w:lang w:eastAsia="en-CA"/>
        </w:rPr>
        <w:drawing>
          <wp:inline distT="0" distB="0" distL="0" distR="0" wp14:anchorId="295F64FE" wp14:editId="260931B3">
            <wp:extent cx="5058410" cy="1383354"/>
            <wp:effectExtent l="38100" t="38100" r="27940" b="45720"/>
            <wp:docPr id="8" name="Picture 8" descr="C:\Users\User\Desktop\Corruption\incoming extradi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Corruption\incoming extradition.png"/>
                    <pic:cNvPicPr>
                      <a:picLocks noChangeAspect="1" noChangeArrowheads="1"/>
                    </pic:cNvPicPr>
                  </pic:nvPicPr>
                  <pic:blipFill rotWithShape="1">
                    <a:blip r:embed="rId20">
                      <a:extLst>
                        <a:ext uri="{28A0092B-C50C-407E-A947-70E740481C1C}">
                          <a14:useLocalDpi xmlns:a14="http://schemas.microsoft.com/office/drawing/2010/main" val="0"/>
                        </a:ext>
                      </a:extLst>
                    </a:blip>
                    <a:srcRect l="1441" t="5258" r="1284" b="7466"/>
                    <a:stretch/>
                  </pic:blipFill>
                  <pic:spPr bwMode="auto">
                    <a:xfrm>
                      <a:off x="0" y="0"/>
                      <a:ext cx="5096890" cy="1393877"/>
                    </a:xfrm>
                    <a:prstGeom prst="rect">
                      <a:avLst/>
                    </a:prstGeom>
                    <a:noFill/>
                    <a:ln w="28575" cap="flat" cmpd="sng" algn="ctr">
                      <a:solidFill>
                        <a:srgbClr val="4BACC6">
                          <a:lumMod val="75000"/>
                        </a:srgbClr>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1776E806" w14:textId="13CCCAA9" w:rsidR="008C1717" w:rsidRPr="000605BC" w:rsidRDefault="00450AB2" w:rsidP="00D80AEE">
      <w:pPr>
        <w:spacing w:before="120" w:after="360"/>
        <w:rPr>
          <w:rFonts w:cs="Times New Roman"/>
          <w:b/>
          <w:noProof/>
          <w:color w:val="000000"/>
          <w:sz w:val="18"/>
          <w:lang w:eastAsia="en-CA"/>
        </w:rPr>
      </w:pPr>
      <w:r w:rsidRPr="0005048C">
        <w:rPr>
          <w:rFonts w:cs="Times New Roman"/>
          <w:noProof/>
          <w:sz w:val="18"/>
          <w:lang w:eastAsia="en-CA"/>
        </w:rPr>
        <w:t>Source:</w:t>
      </w:r>
      <w:r w:rsidR="00276D4A" w:rsidRPr="0005048C">
        <w:rPr>
          <w:rFonts w:cs="Times New Roman"/>
          <w:noProof/>
          <w:sz w:val="18"/>
          <w:lang w:eastAsia="en-CA"/>
        </w:rPr>
        <w:t xml:space="preserve"> </w:t>
      </w:r>
      <w:r w:rsidR="00A34F8F" w:rsidRPr="0005048C">
        <w:rPr>
          <w:rFonts w:cs="Times New Roman"/>
          <w:noProof/>
          <w:sz w:val="18"/>
          <w:lang w:eastAsia="en-CA"/>
        </w:rPr>
        <w:t xml:space="preserve">US </w:t>
      </w:r>
      <w:r w:rsidR="00107534" w:rsidRPr="0005048C">
        <w:rPr>
          <w:rFonts w:cs="Times New Roman"/>
          <w:noProof/>
          <w:sz w:val="18"/>
          <w:lang w:eastAsia="en-CA"/>
        </w:rPr>
        <w:t>Mutual</w:t>
      </w:r>
      <w:r w:rsidR="008C1717" w:rsidRPr="0005048C">
        <w:rPr>
          <w:rFonts w:cs="Times New Roman"/>
          <w:noProof/>
          <w:sz w:val="18"/>
          <w:lang w:eastAsia="en-CA"/>
        </w:rPr>
        <w:t xml:space="preserve"> Evaluation Report (</w:t>
      </w:r>
      <w:r w:rsidR="003E12C6" w:rsidRPr="0005048C">
        <w:rPr>
          <w:rFonts w:cs="Times New Roman"/>
          <w:noProof/>
          <w:sz w:val="18"/>
          <w:lang w:eastAsia="en-CA"/>
        </w:rPr>
        <w:t xml:space="preserve">FATF, </w:t>
      </w:r>
      <w:r w:rsidR="008C1717" w:rsidRPr="0005048C">
        <w:rPr>
          <w:rFonts w:cs="Times New Roman"/>
          <w:noProof/>
          <w:sz w:val="18"/>
          <w:lang w:eastAsia="en-CA"/>
        </w:rPr>
        <w:t>2016), at 165</w:t>
      </w:r>
      <w:r w:rsidR="00486D97" w:rsidRPr="0005048C">
        <w:rPr>
          <w:rFonts w:cs="Times New Roman"/>
          <w:noProof/>
          <w:sz w:val="18"/>
          <w:lang w:eastAsia="en-CA"/>
        </w:rPr>
        <w:t>.</w:t>
      </w:r>
      <w:r w:rsidR="008C1717" w:rsidRPr="000605BC">
        <w:rPr>
          <w:rFonts w:cs="Times New Roman"/>
          <w:b/>
          <w:noProof/>
          <w:color w:val="000000"/>
          <w:sz w:val="18"/>
          <w:lang w:eastAsia="en-CA"/>
        </w:rPr>
        <w:t xml:space="preserve"> </w:t>
      </w:r>
    </w:p>
    <w:p w14:paraId="47AFF79C" w14:textId="58595AA2" w:rsidR="008C1717" w:rsidRPr="000605BC" w:rsidRDefault="008C1717" w:rsidP="00EE177B">
      <w:pPr>
        <w:tabs>
          <w:tab w:val="left" w:pos="2853"/>
        </w:tabs>
        <w:rPr>
          <w:rFonts w:cs="Times New Roman"/>
          <w:sz w:val="20"/>
        </w:rPr>
      </w:pPr>
      <w:r w:rsidRPr="000605BC">
        <w:rPr>
          <w:rFonts w:cs="Times New Roman"/>
          <w:sz w:val="20"/>
        </w:rPr>
        <w:t xml:space="preserve">One beneficial aspect of the US </w:t>
      </w:r>
      <w:r w:rsidR="001E0225" w:rsidRPr="000605BC">
        <w:rPr>
          <w:rFonts w:cs="Times New Roman"/>
          <w:sz w:val="20"/>
        </w:rPr>
        <w:t xml:space="preserve">system is the </w:t>
      </w:r>
      <w:r w:rsidRPr="000605BC">
        <w:rPr>
          <w:rFonts w:cs="Times New Roman"/>
          <w:sz w:val="20"/>
        </w:rPr>
        <w:t>assigning</w:t>
      </w:r>
      <w:r w:rsidR="001E0225" w:rsidRPr="000605BC">
        <w:rPr>
          <w:rFonts w:cs="Times New Roman"/>
          <w:sz w:val="20"/>
        </w:rPr>
        <w:t xml:space="preserve"> of</w:t>
      </w:r>
      <w:r w:rsidRPr="000605BC">
        <w:rPr>
          <w:rFonts w:cs="Times New Roman"/>
          <w:sz w:val="20"/>
        </w:rPr>
        <w:t xml:space="preserve"> an attorney to </w:t>
      </w:r>
      <w:r w:rsidR="001E0225" w:rsidRPr="000605BC">
        <w:rPr>
          <w:rFonts w:cs="Times New Roman"/>
          <w:sz w:val="20"/>
        </w:rPr>
        <w:t xml:space="preserve">US embassies in </w:t>
      </w:r>
      <w:r w:rsidRPr="000605BC">
        <w:rPr>
          <w:rFonts w:cs="Times New Roman"/>
          <w:sz w:val="20"/>
        </w:rPr>
        <w:t xml:space="preserve">specific countries </w:t>
      </w:r>
      <w:r w:rsidR="001E0225" w:rsidRPr="000605BC">
        <w:rPr>
          <w:rFonts w:cs="Times New Roman"/>
          <w:sz w:val="20"/>
        </w:rPr>
        <w:t xml:space="preserve">to </w:t>
      </w:r>
      <w:r w:rsidRPr="000605BC">
        <w:rPr>
          <w:rFonts w:cs="Times New Roman"/>
          <w:sz w:val="20"/>
        </w:rPr>
        <w:t>assist in mutual legal assistance and extradition requests</w:t>
      </w:r>
      <w:r w:rsidR="001E0225" w:rsidRPr="000605BC">
        <w:rPr>
          <w:rFonts w:cs="Times New Roman"/>
          <w:sz w:val="20"/>
        </w:rPr>
        <w:t>.</w:t>
      </w:r>
      <w:r w:rsidR="001E0225" w:rsidRPr="000605BC">
        <w:rPr>
          <w:rStyle w:val="FootnoteReference"/>
          <w:rFonts w:cs="Times New Roman"/>
          <w:sz w:val="20"/>
        </w:rPr>
        <w:footnoteReference w:id="129"/>
      </w:r>
      <w:r w:rsidR="002822D1" w:rsidRPr="000605BC">
        <w:rPr>
          <w:rFonts w:cs="Times New Roman"/>
          <w:sz w:val="20"/>
        </w:rPr>
        <w:t xml:space="preserve"> </w:t>
      </w:r>
      <w:r w:rsidRPr="000605BC">
        <w:rPr>
          <w:rFonts w:cs="Times New Roman"/>
          <w:sz w:val="20"/>
        </w:rPr>
        <w:t xml:space="preserve"> </w:t>
      </w:r>
    </w:p>
    <w:p w14:paraId="44BAF5D0" w14:textId="5C683BDB" w:rsidR="008C1717" w:rsidRPr="000605BC" w:rsidRDefault="008C1717" w:rsidP="00EE177B">
      <w:pPr>
        <w:tabs>
          <w:tab w:val="left" w:pos="6181"/>
        </w:tabs>
        <w:rPr>
          <w:rFonts w:cs="Times New Roman"/>
          <w:sz w:val="20"/>
        </w:rPr>
      </w:pPr>
      <w:r w:rsidRPr="000605BC">
        <w:rPr>
          <w:rFonts w:cs="Times New Roman"/>
          <w:sz w:val="20"/>
        </w:rPr>
        <w:t xml:space="preserve">Recommendations made in the </w:t>
      </w:r>
      <w:r w:rsidR="001E0225" w:rsidRPr="000605BC">
        <w:rPr>
          <w:rFonts w:cs="Times New Roman"/>
          <w:sz w:val="20"/>
        </w:rPr>
        <w:t xml:space="preserve">FATF </w:t>
      </w:r>
      <w:r w:rsidRPr="000605BC">
        <w:rPr>
          <w:rFonts w:cs="Times New Roman"/>
          <w:sz w:val="20"/>
        </w:rPr>
        <w:t xml:space="preserve">mutual evaluation include ensuring beneficial ownership information is required to be obtained at the </w:t>
      </w:r>
      <w:r w:rsidR="003E12C6" w:rsidRPr="000605BC">
        <w:rPr>
          <w:rFonts w:cs="Times New Roman"/>
          <w:sz w:val="20"/>
        </w:rPr>
        <w:t>f</w:t>
      </w:r>
      <w:r w:rsidRPr="000605BC">
        <w:rPr>
          <w:rFonts w:cs="Times New Roman"/>
          <w:sz w:val="20"/>
        </w:rPr>
        <w:t>ederal leve</w:t>
      </w:r>
      <w:r w:rsidR="001E0225" w:rsidRPr="000605BC">
        <w:rPr>
          <w:rFonts w:cs="Times New Roman"/>
          <w:sz w:val="20"/>
        </w:rPr>
        <w:t>l</w:t>
      </w:r>
      <w:r w:rsidR="001E0225" w:rsidRPr="000605BC">
        <w:rPr>
          <w:rStyle w:val="FootnoteReference"/>
          <w:rFonts w:cs="Times New Roman"/>
          <w:sz w:val="20"/>
        </w:rPr>
        <w:footnoteReference w:id="130"/>
      </w:r>
      <w:r w:rsidRPr="000605BC">
        <w:rPr>
          <w:rFonts w:cs="Times New Roman"/>
          <w:sz w:val="20"/>
        </w:rPr>
        <w:t xml:space="preserve"> a</w:t>
      </w:r>
      <w:r w:rsidR="003E12C6" w:rsidRPr="000605BC">
        <w:rPr>
          <w:rFonts w:cs="Times New Roman"/>
          <w:sz w:val="20"/>
        </w:rPr>
        <w:t>s well as</w:t>
      </w:r>
      <w:r w:rsidRPr="000605BC">
        <w:rPr>
          <w:rFonts w:cs="Times New Roman"/>
          <w:sz w:val="20"/>
        </w:rPr>
        <w:t xml:space="preserve"> assessing and a</w:t>
      </w:r>
      <w:r w:rsidR="001E0225" w:rsidRPr="000605BC">
        <w:rPr>
          <w:rFonts w:cs="Times New Roman"/>
          <w:sz w:val="20"/>
        </w:rPr>
        <w:t>ddressing exposure to the risk of money laundering by</w:t>
      </w:r>
      <w:r w:rsidRPr="000605BC">
        <w:rPr>
          <w:rFonts w:cs="Times New Roman"/>
          <w:sz w:val="20"/>
        </w:rPr>
        <w:t xml:space="preserve"> non-financial businesses and professions such as lawyers, accountants and real estate agents</w:t>
      </w:r>
      <w:r w:rsidR="001E0225" w:rsidRPr="000605BC">
        <w:rPr>
          <w:rFonts w:cs="Times New Roman"/>
          <w:sz w:val="20"/>
        </w:rPr>
        <w:t>.</w:t>
      </w:r>
      <w:r w:rsidR="001E0225" w:rsidRPr="000605BC">
        <w:rPr>
          <w:rStyle w:val="FootnoteReference"/>
          <w:rFonts w:cs="Times New Roman"/>
          <w:sz w:val="20"/>
        </w:rPr>
        <w:footnoteReference w:id="131"/>
      </w:r>
      <w:r w:rsidRPr="000605BC">
        <w:rPr>
          <w:rFonts w:cs="Times New Roman"/>
          <w:sz w:val="20"/>
        </w:rPr>
        <w:t xml:space="preserve"> </w:t>
      </w:r>
    </w:p>
    <w:p w14:paraId="5872BEF8" w14:textId="3DB1E0A5" w:rsidR="002A34DF" w:rsidRPr="000605BC" w:rsidRDefault="002A34DF" w:rsidP="00D97E9B">
      <w:pPr>
        <w:pStyle w:val="Heading3"/>
        <w:rPr>
          <w:sz w:val="22"/>
        </w:rPr>
      </w:pPr>
      <w:bookmarkStart w:id="120" w:name="_Toc287093757"/>
      <w:bookmarkStart w:id="121" w:name="_Toc419901575"/>
      <w:r w:rsidRPr="000605BC">
        <w:rPr>
          <w:sz w:val="22"/>
        </w:rPr>
        <w:t>UK</w:t>
      </w:r>
      <w:bookmarkEnd w:id="120"/>
      <w:bookmarkEnd w:id="121"/>
    </w:p>
    <w:p w14:paraId="5A2D2DF7" w14:textId="64B0B8D0" w:rsidR="005614C9" w:rsidRPr="000605BC" w:rsidRDefault="000B3734" w:rsidP="00916A81">
      <w:pPr>
        <w:rPr>
          <w:rFonts w:cs="Times New Roman"/>
          <w:sz w:val="20"/>
        </w:rPr>
      </w:pPr>
      <w:r w:rsidRPr="000605BC">
        <w:rPr>
          <w:rFonts w:cs="Times New Roman"/>
          <w:sz w:val="20"/>
        </w:rPr>
        <w:t>The last m</w:t>
      </w:r>
      <w:r w:rsidR="005614C9" w:rsidRPr="000605BC">
        <w:rPr>
          <w:rFonts w:cs="Times New Roman"/>
          <w:sz w:val="20"/>
        </w:rPr>
        <w:t xml:space="preserve">utual evaluation </w:t>
      </w:r>
      <w:r w:rsidRPr="000605BC">
        <w:rPr>
          <w:rFonts w:cs="Times New Roman"/>
          <w:sz w:val="20"/>
        </w:rPr>
        <w:t xml:space="preserve">of the UK </w:t>
      </w:r>
      <w:r w:rsidR="005614C9" w:rsidRPr="000605BC">
        <w:rPr>
          <w:rFonts w:cs="Times New Roman"/>
          <w:sz w:val="20"/>
        </w:rPr>
        <w:t>took place in 2007.</w:t>
      </w:r>
      <w:r w:rsidR="00B92810" w:rsidRPr="000605BC">
        <w:rPr>
          <w:rFonts w:cs="Times New Roman"/>
          <w:sz w:val="20"/>
        </w:rPr>
        <w:t xml:space="preserve"> </w:t>
      </w:r>
      <w:r w:rsidR="00A966F5" w:rsidRPr="000605BC">
        <w:rPr>
          <w:rFonts w:cs="Times New Roman"/>
          <w:sz w:val="20"/>
        </w:rPr>
        <w:t>Overall, the assessment team concluded that the country’s AML regime was effective. As the executive summary notes</w:t>
      </w:r>
      <w:r w:rsidR="00442C45" w:rsidRPr="000605BC">
        <w:rPr>
          <w:rFonts w:cs="Times New Roman"/>
          <w:sz w:val="20"/>
        </w:rPr>
        <w:t>:</w:t>
      </w:r>
    </w:p>
    <w:p w14:paraId="32028DD9" w14:textId="5BB7E880" w:rsidR="00361CBE" w:rsidRPr="000605BC" w:rsidRDefault="00361CBE" w:rsidP="00B805F3">
      <w:pPr>
        <w:pStyle w:val="BlockQuote"/>
        <w:rPr>
          <w:sz w:val="20"/>
          <w:lang w:val="en-US" w:eastAsia="ja-JP"/>
        </w:rPr>
      </w:pPr>
      <w:r w:rsidRPr="000605BC">
        <w:rPr>
          <w:sz w:val="20"/>
          <w:lang w:val="en-US" w:eastAsia="ja-JP"/>
        </w:rPr>
        <w:t xml:space="preserve">The UK has a comprehensive legal structure to combat money laundering and terrorist financing. The money laundering offence is broad, fully covering the elements of the Vienna and Palermo Conventions, and the number of prosecutions and convictions is increasing. The terrorist financing offence is also broad. The introduction of the </w:t>
      </w:r>
      <w:r w:rsidRPr="000605BC">
        <w:rPr>
          <w:i/>
          <w:sz w:val="20"/>
          <w:lang w:val="en-US" w:eastAsia="ja-JP"/>
        </w:rPr>
        <w:t>Proceeds of Crime Act 2002</w:t>
      </w:r>
      <w:r w:rsidRPr="000605BC">
        <w:rPr>
          <w:sz w:val="20"/>
          <w:lang w:val="en-US" w:eastAsia="ja-JP"/>
        </w:rPr>
        <w:t xml:space="preserve"> (POCA) has had a significant and positive impact on the UK’s ability to restrain, confiscate and recover proceeds of crime. The UK has also established an effective terrorist asset freezing regime. Overall, the UK FIU appears to be a generally effective FIU. The UK has designated a number of competent authorities to investigate and prosecute money laundering offences. Measures for domestic and international co- operation are generally comprehensive as well.</w:t>
      </w:r>
      <w:r w:rsidR="003D5949" w:rsidRPr="000605BC">
        <w:rPr>
          <w:rStyle w:val="FootnoteReference"/>
          <w:rFonts w:eastAsiaTheme="minorEastAsia" w:cs="Times New Roman"/>
          <w:sz w:val="20"/>
          <w:szCs w:val="21"/>
          <w:lang w:val="en-US" w:eastAsia="ja-JP"/>
        </w:rPr>
        <w:footnoteReference w:id="132"/>
      </w:r>
    </w:p>
    <w:p w14:paraId="0419A505" w14:textId="3C58A03F" w:rsidR="00DA62B9" w:rsidRPr="000605BC" w:rsidRDefault="00A966F5" w:rsidP="00916A81">
      <w:pPr>
        <w:rPr>
          <w:rFonts w:cs="Times New Roman"/>
          <w:sz w:val="20"/>
          <w:u w:val="single"/>
        </w:rPr>
      </w:pPr>
      <w:r w:rsidRPr="000605BC">
        <w:rPr>
          <w:rFonts w:cs="Times New Roman"/>
          <w:sz w:val="20"/>
        </w:rPr>
        <w:t xml:space="preserve">However, the report noted that a key weakness in the regime </w:t>
      </w:r>
      <w:r w:rsidR="00DA62B9" w:rsidRPr="000605BC">
        <w:rPr>
          <w:rFonts w:cs="Times New Roman"/>
          <w:sz w:val="20"/>
        </w:rPr>
        <w:t>was</w:t>
      </w:r>
      <w:r w:rsidRPr="000605BC">
        <w:rPr>
          <w:rFonts w:cs="Times New Roman"/>
          <w:sz w:val="20"/>
        </w:rPr>
        <w:t xml:space="preserve"> its failure to comp</w:t>
      </w:r>
      <w:r w:rsidR="009F13DB" w:rsidRPr="000605BC">
        <w:rPr>
          <w:rFonts w:cs="Times New Roman"/>
          <w:sz w:val="20"/>
        </w:rPr>
        <w:t>ly fully with Recommendation 5 (</w:t>
      </w:r>
      <w:r w:rsidRPr="000605BC">
        <w:rPr>
          <w:rFonts w:cs="Times New Roman"/>
          <w:sz w:val="20"/>
        </w:rPr>
        <w:t>customer due diligence, which is now Recommendation</w:t>
      </w:r>
      <w:r w:rsidR="009F13DB" w:rsidRPr="000605BC">
        <w:rPr>
          <w:rFonts w:cs="Times New Roman"/>
          <w:sz w:val="20"/>
        </w:rPr>
        <w:t xml:space="preserve"> 10 in the 2012 Recommendations)</w:t>
      </w:r>
      <w:r w:rsidRPr="000605BC">
        <w:rPr>
          <w:rFonts w:cs="Times New Roman"/>
          <w:sz w:val="20"/>
        </w:rPr>
        <w:t>.</w:t>
      </w:r>
      <w:r w:rsidRPr="000605BC">
        <w:rPr>
          <w:rStyle w:val="FootnoteReference"/>
          <w:rFonts w:cs="Times New Roman"/>
          <w:sz w:val="20"/>
        </w:rPr>
        <w:footnoteReference w:id="133"/>
      </w:r>
      <w:r w:rsidR="00DA62B9" w:rsidRPr="000605BC">
        <w:rPr>
          <w:rFonts w:cs="Times New Roman"/>
          <w:sz w:val="20"/>
        </w:rPr>
        <w:t xml:space="preserve"> </w:t>
      </w:r>
    </w:p>
    <w:p w14:paraId="12363C40" w14:textId="4CAC6984" w:rsidR="005614C9" w:rsidRPr="000605BC" w:rsidRDefault="00DA62B9" w:rsidP="00916A81">
      <w:pPr>
        <w:rPr>
          <w:rFonts w:cs="Times New Roman"/>
          <w:sz w:val="20"/>
        </w:rPr>
      </w:pPr>
      <w:r w:rsidRPr="000605BC">
        <w:rPr>
          <w:rFonts w:cs="Times New Roman"/>
          <w:sz w:val="20"/>
        </w:rPr>
        <w:t>A f</w:t>
      </w:r>
      <w:r w:rsidR="005614C9" w:rsidRPr="000605BC">
        <w:rPr>
          <w:rFonts w:cs="Times New Roman"/>
          <w:sz w:val="20"/>
        </w:rPr>
        <w:t xml:space="preserve">ollow-up report </w:t>
      </w:r>
      <w:r w:rsidRPr="000605BC">
        <w:rPr>
          <w:rFonts w:cs="Times New Roman"/>
          <w:sz w:val="20"/>
        </w:rPr>
        <w:t>produced in 2009 describe</w:t>
      </w:r>
      <w:r w:rsidR="00220859" w:rsidRPr="000605BC">
        <w:rPr>
          <w:rFonts w:cs="Times New Roman"/>
          <w:sz w:val="20"/>
        </w:rPr>
        <w:t>s</w:t>
      </w:r>
      <w:r w:rsidRPr="000605BC">
        <w:rPr>
          <w:rFonts w:cs="Times New Roman"/>
          <w:sz w:val="20"/>
        </w:rPr>
        <w:t xml:space="preserve"> </w:t>
      </w:r>
      <w:r w:rsidR="003B5AB2" w:rsidRPr="000605BC">
        <w:rPr>
          <w:rFonts w:cs="Times New Roman"/>
          <w:sz w:val="20"/>
        </w:rPr>
        <w:t>the steps the UK had taken</w:t>
      </w:r>
      <w:r w:rsidR="006110D4" w:rsidRPr="000605BC">
        <w:rPr>
          <w:rFonts w:cs="Times New Roman"/>
          <w:sz w:val="20"/>
        </w:rPr>
        <w:t xml:space="preserve"> to</w:t>
      </w:r>
      <w:r w:rsidR="009F13DB" w:rsidRPr="000605BC">
        <w:rPr>
          <w:rFonts w:cs="Times New Roman"/>
          <w:sz w:val="20"/>
        </w:rPr>
        <w:t xml:space="preserve"> address the</w:t>
      </w:r>
      <w:r w:rsidR="005614C9" w:rsidRPr="000605BC">
        <w:rPr>
          <w:rFonts w:cs="Times New Roman"/>
          <w:sz w:val="20"/>
        </w:rPr>
        <w:t xml:space="preserve"> </w:t>
      </w:r>
      <w:r w:rsidR="003B5AB2" w:rsidRPr="000605BC">
        <w:rPr>
          <w:rFonts w:cs="Times New Roman"/>
          <w:sz w:val="20"/>
        </w:rPr>
        <w:t xml:space="preserve">deficiencies identified </w:t>
      </w:r>
      <w:r w:rsidR="00220859" w:rsidRPr="000605BC">
        <w:rPr>
          <w:rFonts w:cs="Times New Roman"/>
          <w:sz w:val="20"/>
        </w:rPr>
        <w:t>in the 2007 report. It concludes</w:t>
      </w:r>
      <w:r w:rsidR="003B5AB2" w:rsidRPr="000605BC">
        <w:rPr>
          <w:rFonts w:cs="Times New Roman"/>
          <w:sz w:val="20"/>
        </w:rPr>
        <w:t xml:space="preserve"> that:</w:t>
      </w:r>
      <w:r w:rsidR="002822D1" w:rsidRPr="000605BC">
        <w:rPr>
          <w:rFonts w:eastAsiaTheme="minorEastAsia" w:cs="Times New Roman"/>
          <w:sz w:val="20"/>
          <w:szCs w:val="21"/>
          <w:lang w:val="en-US" w:eastAsia="ja-JP"/>
        </w:rPr>
        <w:t xml:space="preserve"> </w:t>
      </w:r>
    </w:p>
    <w:p w14:paraId="4653F281" w14:textId="17DBB474" w:rsidR="00EE73D2" w:rsidRPr="000605BC" w:rsidRDefault="00EE73D2" w:rsidP="00B805F3">
      <w:pPr>
        <w:pStyle w:val="BlockQuote"/>
        <w:rPr>
          <w:sz w:val="20"/>
          <w:lang w:val="en-US" w:eastAsia="ja-JP"/>
        </w:rPr>
      </w:pPr>
      <w:r w:rsidRPr="000605BC">
        <w:rPr>
          <w:sz w:val="20"/>
          <w:lang w:val="en-US" w:eastAsia="ja-JP"/>
        </w:rPr>
        <w:t>The UK has taken substantive action towards improving compliance with Recommendation 5, and nearly all of the def</w:t>
      </w:r>
      <w:r w:rsidR="00F00557" w:rsidRPr="000605BC">
        <w:rPr>
          <w:sz w:val="20"/>
          <w:lang w:val="en-US" w:eastAsia="ja-JP"/>
        </w:rPr>
        <w:t>iciencies identified in the MER</w:t>
      </w:r>
      <w:r w:rsidR="00D148A0" w:rsidRPr="000605BC">
        <w:rPr>
          <w:sz w:val="20"/>
          <w:lang w:val="en-US" w:eastAsia="ja-JP"/>
        </w:rPr>
        <w:t xml:space="preserve"> </w:t>
      </w:r>
      <w:r w:rsidR="00F00557" w:rsidRPr="000605BC">
        <w:rPr>
          <w:sz w:val="20"/>
          <w:lang w:val="en-US" w:eastAsia="ja-JP"/>
        </w:rPr>
        <w:t xml:space="preserve">[mutual evaluation report] </w:t>
      </w:r>
      <w:r w:rsidRPr="000605BC">
        <w:rPr>
          <w:sz w:val="20"/>
          <w:lang w:val="en-US" w:eastAsia="ja-JP"/>
        </w:rPr>
        <w:t>relating to the customer due diligence (CDD) framework have been addressed by the Money Laundering Regulations 2007. Although a few shortcomings remain, the UK has taken sufficient action to bring its compliance to a level essentially equivalent to LC</w:t>
      </w:r>
      <w:r w:rsidR="007327D3" w:rsidRPr="000605BC">
        <w:rPr>
          <w:sz w:val="20"/>
          <w:lang w:val="en-US" w:eastAsia="ja-JP"/>
        </w:rPr>
        <w:t xml:space="preserve"> [l</w:t>
      </w:r>
      <w:r w:rsidR="00841422" w:rsidRPr="000605BC">
        <w:rPr>
          <w:sz w:val="20"/>
          <w:lang w:val="en-US" w:eastAsia="ja-JP"/>
        </w:rPr>
        <w:t>argely compliant</w:t>
      </w:r>
      <w:r w:rsidR="007327D3" w:rsidRPr="000605BC">
        <w:rPr>
          <w:sz w:val="20"/>
          <w:lang w:val="en-US" w:eastAsia="ja-JP"/>
        </w:rPr>
        <w:t>]</w:t>
      </w:r>
      <w:r w:rsidR="00841422" w:rsidRPr="000605BC">
        <w:rPr>
          <w:sz w:val="20"/>
          <w:lang w:val="en-US" w:eastAsia="ja-JP"/>
        </w:rPr>
        <w:t>.</w:t>
      </w:r>
      <w:r w:rsidR="003D5949" w:rsidRPr="000605BC">
        <w:rPr>
          <w:rStyle w:val="FootnoteReference"/>
          <w:rFonts w:eastAsiaTheme="minorEastAsia" w:cs="Times New Roman"/>
          <w:sz w:val="20"/>
          <w:szCs w:val="21"/>
          <w:lang w:val="en-US" w:eastAsia="ja-JP"/>
        </w:rPr>
        <w:footnoteReference w:id="134"/>
      </w:r>
    </w:p>
    <w:p w14:paraId="492E3CCD" w14:textId="77777777" w:rsidR="00A7107F" w:rsidRPr="000605BC" w:rsidRDefault="00EC33F9" w:rsidP="00A7107F">
      <w:pPr>
        <w:spacing w:after="0"/>
        <w:rPr>
          <w:rFonts w:cs="Times New Roman"/>
          <w:sz w:val="20"/>
        </w:rPr>
      </w:pPr>
      <w:r w:rsidRPr="000605BC">
        <w:rPr>
          <w:rFonts w:cs="Times New Roman"/>
          <w:sz w:val="20"/>
        </w:rPr>
        <w:t xml:space="preserve">The full </w:t>
      </w:r>
      <w:r w:rsidR="00E20DCF" w:rsidRPr="000605BC">
        <w:rPr>
          <w:rFonts w:cs="Times New Roman"/>
          <w:sz w:val="20"/>
        </w:rPr>
        <w:t xml:space="preserve">2009 </w:t>
      </w:r>
      <w:r w:rsidRPr="000605BC">
        <w:rPr>
          <w:rFonts w:cs="Times New Roman"/>
          <w:sz w:val="20"/>
        </w:rPr>
        <w:t>follow-up report is available online:</w:t>
      </w:r>
      <w:r w:rsidR="009F13DB" w:rsidRPr="000605BC">
        <w:rPr>
          <w:rFonts w:cs="Times New Roman"/>
          <w:sz w:val="20"/>
        </w:rPr>
        <w:t xml:space="preserve"> </w:t>
      </w:r>
    </w:p>
    <w:p w14:paraId="7436FC3E" w14:textId="1F59979C" w:rsidR="00EC33F9" w:rsidRPr="000605BC" w:rsidRDefault="009F13DB" w:rsidP="00A7107F">
      <w:pPr>
        <w:spacing w:before="0"/>
        <w:rPr>
          <w:rFonts w:cs="Times New Roman"/>
          <w:sz w:val="20"/>
        </w:rPr>
      </w:pPr>
      <w:r w:rsidRPr="000605BC">
        <w:rPr>
          <w:sz w:val="20"/>
        </w:rPr>
        <w:t>&lt;</w:t>
      </w:r>
      <w:hyperlink r:id="rId21" w:history="1">
        <w:r w:rsidR="00A7107F" w:rsidRPr="000605BC">
          <w:rPr>
            <w:rStyle w:val="Hyperlink"/>
            <w:sz w:val="20"/>
          </w:rPr>
          <w:t>http://www.fatf-gafi.org/media/fatf/documents/reports/mer/FoR UK.pdf</w:t>
        </w:r>
      </w:hyperlink>
      <w:r w:rsidR="00CA4176" w:rsidRPr="000605BC">
        <w:rPr>
          <w:sz w:val="20"/>
        </w:rPr>
        <w:t>&gt;.</w:t>
      </w:r>
      <w:r w:rsidR="002822D1" w:rsidRPr="000605BC">
        <w:rPr>
          <w:sz w:val="20"/>
        </w:rPr>
        <w:t xml:space="preserve"> </w:t>
      </w:r>
    </w:p>
    <w:p w14:paraId="7023E7D9" w14:textId="4D31D669" w:rsidR="00893D99" w:rsidRPr="000605BC" w:rsidRDefault="00893D99" w:rsidP="00EE177B">
      <w:pPr>
        <w:rPr>
          <w:rFonts w:cs="Times New Roman"/>
          <w:sz w:val="20"/>
        </w:rPr>
      </w:pPr>
      <w:r w:rsidRPr="000605BC">
        <w:rPr>
          <w:rFonts w:cs="Times New Roman"/>
          <w:sz w:val="20"/>
        </w:rPr>
        <w:t>The U</w:t>
      </w:r>
      <w:r w:rsidR="003E12C6" w:rsidRPr="000605BC">
        <w:rPr>
          <w:rFonts w:cs="Times New Roman"/>
          <w:sz w:val="20"/>
        </w:rPr>
        <w:t>K</w:t>
      </w:r>
      <w:r w:rsidRPr="000605BC">
        <w:rPr>
          <w:rFonts w:cs="Times New Roman"/>
          <w:sz w:val="20"/>
        </w:rPr>
        <w:t xml:space="preserve"> has recently introduced a beneficial ownership law that requires disclosure in a publicly accessible registry of the beneficial ownership of companies and trusts. That law will greatly aid in the identification of money launderers. Mandatory disclosure of beneficial ownership is discussed more fully in </w:t>
      </w:r>
      <w:r w:rsidRPr="000605BC">
        <w:rPr>
          <w:rFonts w:cs="Times New Roman"/>
          <w:sz w:val="20"/>
          <w:highlight w:val="cyan"/>
        </w:rPr>
        <w:t>Chapter 5, Section 5.2.2</w:t>
      </w:r>
      <w:r w:rsidRPr="000605BC">
        <w:rPr>
          <w:rFonts w:cs="Times New Roman"/>
          <w:sz w:val="20"/>
        </w:rPr>
        <w:t>.</w:t>
      </w:r>
    </w:p>
    <w:p w14:paraId="0493B8BC" w14:textId="5F275CC4" w:rsidR="002A34DF" w:rsidRPr="000605BC" w:rsidRDefault="002A34DF" w:rsidP="00D97E9B">
      <w:pPr>
        <w:pStyle w:val="Heading3"/>
        <w:rPr>
          <w:sz w:val="22"/>
        </w:rPr>
      </w:pPr>
      <w:bookmarkStart w:id="122" w:name="_Toc287093758"/>
      <w:bookmarkStart w:id="123" w:name="_Toc419901576"/>
      <w:r w:rsidRPr="000605BC">
        <w:rPr>
          <w:sz w:val="22"/>
        </w:rPr>
        <w:t>Canada</w:t>
      </w:r>
      <w:bookmarkEnd w:id="122"/>
      <w:bookmarkEnd w:id="123"/>
    </w:p>
    <w:p w14:paraId="5472FB75" w14:textId="68CBA149" w:rsidR="00B661EB" w:rsidRPr="000605BC" w:rsidRDefault="00B661EB" w:rsidP="00B661EB">
      <w:pPr>
        <w:rPr>
          <w:rStyle w:val="Emphasis"/>
          <w:rFonts w:cs="Times New Roman"/>
          <w:sz w:val="20"/>
          <w:lang w:val="en-US"/>
        </w:rPr>
      </w:pPr>
      <w:r w:rsidRPr="000605BC">
        <w:rPr>
          <w:rFonts w:cs="Times New Roman"/>
          <w:sz w:val="20"/>
        </w:rPr>
        <w:t>Canada had a FATF mutual evaluation in 2016, and that evaluation noted significant progress since the previous evaluation in 2007.</w:t>
      </w:r>
      <w:r w:rsidR="002822D1" w:rsidRPr="000605BC">
        <w:rPr>
          <w:rFonts w:cs="Times New Roman"/>
          <w:sz w:val="20"/>
        </w:rPr>
        <w:t xml:space="preserve"> </w:t>
      </w:r>
      <w:r w:rsidRPr="000605BC">
        <w:rPr>
          <w:rFonts w:cs="Times New Roman"/>
          <w:sz w:val="20"/>
        </w:rPr>
        <w:t xml:space="preserve">The FATF report noted overall that </w:t>
      </w:r>
      <w:r w:rsidR="003A6F8D" w:rsidRPr="000605BC">
        <w:rPr>
          <w:rFonts w:cs="Times New Roman"/>
          <w:sz w:val="20"/>
        </w:rPr>
        <w:t>“</w:t>
      </w:r>
      <w:r w:rsidRPr="000605BC">
        <w:rPr>
          <w:rFonts w:cs="Times New Roman"/>
          <w:sz w:val="20"/>
        </w:rPr>
        <w:t>Canada has a strong framework to fight ML and TF, which relies on a comprehensive set of laws and regulations, as well as a range of competent authorities.</w:t>
      </w:r>
      <w:r w:rsidR="003A6F8D" w:rsidRPr="000605BC">
        <w:rPr>
          <w:rFonts w:cs="Times New Roman"/>
          <w:sz w:val="20"/>
        </w:rPr>
        <w:t>”</w:t>
      </w:r>
      <w:r w:rsidRPr="000605BC">
        <w:rPr>
          <w:rStyle w:val="FootnoteReference"/>
          <w:rFonts w:cs="Times New Roman"/>
          <w:sz w:val="20"/>
        </w:rPr>
        <w:footnoteReference w:id="135"/>
      </w:r>
      <w:r w:rsidRPr="000605BC">
        <w:rPr>
          <w:rFonts w:cs="Times New Roman"/>
          <w:sz w:val="20"/>
        </w:rPr>
        <w:t xml:space="preserve"> Of the 40 FATF recommendations, Canada was found compliant with 11, largely compliant with 18, partially compliant with 6 and non-compliant with 5.</w:t>
      </w:r>
      <w:r w:rsidRPr="000605BC">
        <w:rPr>
          <w:rStyle w:val="FootnoteReference"/>
          <w:rFonts w:cs="Times New Roman"/>
          <w:sz w:val="20"/>
        </w:rPr>
        <w:footnoteReference w:id="136"/>
      </w:r>
      <w:r w:rsidRPr="000605BC">
        <w:rPr>
          <w:rFonts w:cs="Times New Roman"/>
          <w:sz w:val="20"/>
        </w:rPr>
        <w:t xml:space="preserve"> The non-compliant ratings resulted from the anti-money laundering legal obligations being inoperative in respect to lawyers, inadequate beneficial ownership laws</w:t>
      </w:r>
      <w:r w:rsidR="007D27F6" w:rsidRPr="000605BC">
        <w:rPr>
          <w:rFonts w:cs="Times New Roman"/>
          <w:sz w:val="20"/>
        </w:rPr>
        <w:t xml:space="preserve"> (discussed in Chapter 5, Section 5.2.2 of this book)</w:t>
      </w:r>
      <w:r w:rsidRPr="000605BC">
        <w:rPr>
          <w:rFonts w:cs="Times New Roman"/>
          <w:sz w:val="20"/>
        </w:rPr>
        <w:t xml:space="preserve"> and failing to meet the standards for foreign politically exposed persons.</w:t>
      </w:r>
      <w:r w:rsidRPr="000605BC">
        <w:rPr>
          <w:rStyle w:val="FootnoteReference"/>
          <w:rFonts w:cs="Times New Roman"/>
          <w:sz w:val="20"/>
        </w:rPr>
        <w:footnoteReference w:id="137"/>
      </w:r>
      <w:r w:rsidRPr="000605BC">
        <w:rPr>
          <w:rFonts w:cs="Times New Roman"/>
          <w:sz w:val="20"/>
        </w:rPr>
        <w:t xml:space="preserve"> The latter concern was addressed through amended regulations to the </w:t>
      </w:r>
      <w:r w:rsidRPr="000605BC">
        <w:rPr>
          <w:rStyle w:val="Emphasis"/>
          <w:rFonts w:cs="Times New Roman"/>
          <w:sz w:val="20"/>
          <w:lang w:val="en-US"/>
        </w:rPr>
        <w:t xml:space="preserve">Proceeds of Crime (Money Laundering) and Terrorist Financing Act </w:t>
      </w:r>
      <w:r w:rsidRPr="000605BC">
        <w:rPr>
          <w:rStyle w:val="Emphasis"/>
          <w:rFonts w:cs="Times New Roman"/>
          <w:i w:val="0"/>
          <w:sz w:val="20"/>
          <w:lang w:val="en-US"/>
        </w:rPr>
        <w:t>in July 2016.</w:t>
      </w:r>
    </w:p>
    <w:p w14:paraId="5A2590E4" w14:textId="1B48D5C8" w:rsidR="00B661EB" w:rsidRPr="000605BC" w:rsidRDefault="00B661EB" w:rsidP="00B661EB">
      <w:pPr>
        <w:rPr>
          <w:rFonts w:cs="Times New Roman"/>
          <w:sz w:val="20"/>
        </w:rPr>
      </w:pPr>
      <w:r w:rsidRPr="000605BC">
        <w:rPr>
          <w:rFonts w:cs="Times New Roman"/>
          <w:sz w:val="20"/>
        </w:rPr>
        <w:t>The evaluation states that most high-risk areas are governed by Canada’s AML/CTF framework</w:t>
      </w:r>
      <w:r w:rsidR="00AB052F" w:rsidRPr="000605BC">
        <w:rPr>
          <w:rFonts w:cs="Times New Roman"/>
          <w:sz w:val="20"/>
        </w:rPr>
        <w:t>,</w:t>
      </w:r>
      <w:r w:rsidRPr="000605BC">
        <w:rPr>
          <w:rFonts w:cs="Times New Roman"/>
          <w:sz w:val="20"/>
        </w:rPr>
        <w:t xml:space="preserve"> but finds that </w:t>
      </w:r>
      <w:r w:rsidR="004E32C8" w:rsidRPr="000605BC">
        <w:rPr>
          <w:rFonts w:cs="Times New Roman"/>
          <w:sz w:val="20"/>
        </w:rPr>
        <w:t xml:space="preserve">the exemption of legal counsel, law </w:t>
      </w:r>
      <w:r w:rsidRPr="000605BC">
        <w:rPr>
          <w:rFonts w:cs="Times New Roman"/>
          <w:sz w:val="20"/>
        </w:rPr>
        <w:t xml:space="preserve">firms and Quebec notaries </w:t>
      </w:r>
      <w:r w:rsidR="004E5D45" w:rsidRPr="000605BC">
        <w:rPr>
          <w:rFonts w:cs="Times New Roman"/>
          <w:sz w:val="20"/>
        </w:rPr>
        <w:t>is</w:t>
      </w:r>
      <w:r w:rsidRPr="000605BC">
        <w:rPr>
          <w:rFonts w:cs="Times New Roman"/>
          <w:sz w:val="20"/>
        </w:rPr>
        <w:t xml:space="preserve"> a </w:t>
      </w:r>
      <w:r w:rsidR="003A6F8D" w:rsidRPr="000605BC">
        <w:rPr>
          <w:rFonts w:cs="Times New Roman"/>
          <w:sz w:val="20"/>
        </w:rPr>
        <w:t>“</w:t>
      </w:r>
      <w:r w:rsidRPr="000605BC">
        <w:rPr>
          <w:rFonts w:cs="Times New Roman"/>
          <w:sz w:val="20"/>
        </w:rPr>
        <w:t>significant loophole</w:t>
      </w:r>
      <w:r w:rsidR="003A6F8D" w:rsidRPr="000605BC">
        <w:rPr>
          <w:rFonts w:cs="Times New Roman"/>
          <w:sz w:val="20"/>
        </w:rPr>
        <w:t>”</w:t>
      </w:r>
      <w:r w:rsidRPr="000605BC">
        <w:rPr>
          <w:rFonts w:cs="Times New Roman"/>
          <w:sz w:val="20"/>
        </w:rPr>
        <w:t xml:space="preserve"> in Canada’s framework</w:t>
      </w:r>
      <w:r w:rsidR="004E32C8" w:rsidRPr="000605BC">
        <w:rPr>
          <w:rFonts w:cs="Times New Roman"/>
          <w:sz w:val="20"/>
        </w:rPr>
        <w:t>.</w:t>
      </w:r>
      <w:r w:rsidR="004E32C8" w:rsidRPr="000605BC">
        <w:rPr>
          <w:rStyle w:val="FootnoteReference"/>
          <w:rFonts w:cs="Times New Roman"/>
          <w:sz w:val="20"/>
        </w:rPr>
        <w:footnoteReference w:id="138"/>
      </w:r>
      <w:r w:rsidRPr="000605BC">
        <w:rPr>
          <w:rFonts w:cs="Times New Roman"/>
          <w:sz w:val="20"/>
        </w:rPr>
        <w:t xml:space="preserve"> This has a trickle-down effect throughout the AML/CTF regime.</w:t>
      </w:r>
      <w:r w:rsidR="002822D1" w:rsidRPr="000605BC">
        <w:rPr>
          <w:rFonts w:cs="Times New Roman"/>
          <w:sz w:val="20"/>
        </w:rPr>
        <w:t xml:space="preserve"> </w:t>
      </w:r>
      <w:r w:rsidRPr="000605BC">
        <w:rPr>
          <w:rFonts w:cs="Times New Roman"/>
          <w:sz w:val="20"/>
        </w:rPr>
        <w:t xml:space="preserve">As the evaluation notes </w:t>
      </w:r>
      <w:r w:rsidR="003A6F8D" w:rsidRPr="000605BC">
        <w:rPr>
          <w:rFonts w:cs="Times New Roman"/>
          <w:sz w:val="20"/>
        </w:rPr>
        <w:t>“</w:t>
      </w:r>
      <w:r w:rsidRPr="000605BC">
        <w:rPr>
          <w:rFonts w:cs="Times New Roman"/>
          <w:sz w:val="20"/>
        </w:rPr>
        <w:t>[</w:t>
      </w:r>
      <w:proofErr w:type="spellStart"/>
      <w:r w:rsidRPr="000605BC">
        <w:rPr>
          <w:rFonts w:cs="Times New Roman"/>
          <w:sz w:val="20"/>
        </w:rPr>
        <w:t>i</w:t>
      </w:r>
      <w:proofErr w:type="spellEnd"/>
      <w:r w:rsidRPr="000605BC">
        <w:rPr>
          <w:rFonts w:cs="Times New Roman"/>
          <w:sz w:val="20"/>
        </w:rPr>
        <w:t>]n light of these professionals’ key gatekeeper role, in particular in high-risk sectors and activities such as real-estate transactions and the formation of corporations and trusts, this constitutes a serious impediment to Canada’s efforts to fight ML.</w:t>
      </w:r>
      <w:r w:rsidR="003A6F8D" w:rsidRPr="000605BC">
        <w:rPr>
          <w:rFonts w:cs="Times New Roman"/>
          <w:sz w:val="20"/>
        </w:rPr>
        <w:t>”</w:t>
      </w:r>
      <w:r w:rsidR="006B36A3" w:rsidRPr="000605BC">
        <w:rPr>
          <w:rStyle w:val="FootnoteReference"/>
          <w:rFonts w:cs="Times New Roman"/>
          <w:sz w:val="20"/>
        </w:rPr>
        <w:footnoteReference w:id="139"/>
      </w:r>
      <w:r w:rsidR="002822D1" w:rsidRPr="000605BC">
        <w:rPr>
          <w:rFonts w:cs="Times New Roman"/>
          <w:sz w:val="20"/>
        </w:rPr>
        <w:t xml:space="preserve"> </w:t>
      </w:r>
    </w:p>
    <w:p w14:paraId="6E346F6A" w14:textId="406FAD8C" w:rsidR="00B661EB" w:rsidRPr="000605BC" w:rsidRDefault="00B661EB" w:rsidP="00B661EB">
      <w:pPr>
        <w:rPr>
          <w:rFonts w:cs="Times New Roman"/>
          <w:sz w:val="20"/>
        </w:rPr>
      </w:pPr>
      <w:r w:rsidRPr="000605BC">
        <w:rPr>
          <w:rFonts w:cs="Times New Roman"/>
          <w:sz w:val="20"/>
        </w:rPr>
        <w:t>The evaluation suggests that law enforcement results are not commensurate with Canada’s money laundering risk and that asset recovery appears low.</w:t>
      </w:r>
      <w:r w:rsidR="002822D1" w:rsidRPr="000605BC">
        <w:rPr>
          <w:rFonts w:cs="Times New Roman"/>
          <w:sz w:val="20"/>
        </w:rPr>
        <w:t xml:space="preserve"> </w:t>
      </w:r>
      <w:r w:rsidRPr="000605BC">
        <w:rPr>
          <w:rFonts w:cs="Times New Roman"/>
          <w:sz w:val="20"/>
        </w:rPr>
        <w:t>The report notes that some provinces appear more effective in asset recovery, citing Quebec as an example</w:t>
      </w:r>
      <w:r w:rsidR="006B36A3" w:rsidRPr="000605BC">
        <w:rPr>
          <w:rFonts w:cs="Times New Roman"/>
          <w:sz w:val="20"/>
        </w:rPr>
        <w:t>.</w:t>
      </w:r>
      <w:r w:rsidR="006B36A3" w:rsidRPr="000605BC">
        <w:rPr>
          <w:rStyle w:val="FootnoteReference"/>
          <w:rFonts w:cs="Times New Roman"/>
          <w:sz w:val="20"/>
        </w:rPr>
        <w:footnoteReference w:id="140"/>
      </w:r>
      <w:r w:rsidR="006B36A3" w:rsidRPr="000605BC">
        <w:rPr>
          <w:rFonts w:cs="Times New Roman"/>
          <w:sz w:val="20"/>
        </w:rPr>
        <w:t xml:space="preserve"> </w:t>
      </w:r>
      <w:r w:rsidRPr="000605BC">
        <w:rPr>
          <w:rFonts w:cs="Times New Roman"/>
          <w:sz w:val="20"/>
        </w:rPr>
        <w:t xml:space="preserve">As discussed in </w:t>
      </w:r>
      <w:r w:rsidR="004E5D45" w:rsidRPr="000605BC">
        <w:rPr>
          <w:rFonts w:cs="Times New Roman"/>
          <w:sz w:val="20"/>
          <w:highlight w:val="cyan"/>
        </w:rPr>
        <w:t>Chapter 6, Section 3.1.2</w:t>
      </w:r>
      <w:r w:rsidRPr="000605BC">
        <w:rPr>
          <w:rFonts w:cs="Times New Roman"/>
          <w:sz w:val="20"/>
        </w:rPr>
        <w:t>, Quebec is the only province to have a dedicated, multi-governmental anti-corruption agency.</w:t>
      </w:r>
    </w:p>
    <w:p w14:paraId="6CA3279F" w14:textId="4B239F15" w:rsidR="00B661EB" w:rsidRPr="000605BC" w:rsidRDefault="00FD5E8A" w:rsidP="00B661EB">
      <w:pPr>
        <w:rPr>
          <w:rFonts w:cs="Times New Roman"/>
          <w:sz w:val="20"/>
        </w:rPr>
      </w:pPr>
      <w:r w:rsidRPr="000605BC">
        <w:rPr>
          <w:rFonts w:cs="Times New Roman"/>
          <w:sz w:val="20"/>
        </w:rPr>
        <w:t xml:space="preserve">As discussed in </w:t>
      </w:r>
      <w:r w:rsidRPr="000605BC">
        <w:rPr>
          <w:rFonts w:cs="Times New Roman"/>
          <w:sz w:val="20"/>
          <w:highlight w:val="cyan"/>
        </w:rPr>
        <w:t>S</w:t>
      </w:r>
      <w:r w:rsidR="00B661EB" w:rsidRPr="000605BC">
        <w:rPr>
          <w:rFonts w:cs="Times New Roman"/>
          <w:sz w:val="20"/>
          <w:highlight w:val="cyan"/>
        </w:rPr>
        <w:t>ection 5.4.4 of this chapter</w:t>
      </w:r>
      <w:r w:rsidR="00B661EB" w:rsidRPr="000605BC">
        <w:rPr>
          <w:rFonts w:cs="Times New Roman"/>
          <w:sz w:val="20"/>
        </w:rPr>
        <w:t>, the evaluation is also critical of the prosecution of money laund</w:t>
      </w:r>
      <w:r w:rsidRPr="000605BC">
        <w:rPr>
          <w:rFonts w:cs="Times New Roman"/>
          <w:sz w:val="20"/>
        </w:rPr>
        <w:t xml:space="preserve">ering cases, finding </w:t>
      </w:r>
      <w:r w:rsidR="004E5D45" w:rsidRPr="000605BC">
        <w:rPr>
          <w:rFonts w:cs="Times New Roman"/>
          <w:sz w:val="20"/>
        </w:rPr>
        <w:t xml:space="preserve">that </w:t>
      </w:r>
      <w:r w:rsidRPr="000605BC">
        <w:rPr>
          <w:rFonts w:cs="Times New Roman"/>
          <w:sz w:val="20"/>
        </w:rPr>
        <w:t>there is</w:t>
      </w:r>
      <w:r w:rsidR="00B661EB" w:rsidRPr="000605BC">
        <w:rPr>
          <w:rFonts w:cs="Times New Roman"/>
          <w:sz w:val="20"/>
        </w:rPr>
        <w:t xml:space="preserve"> a high percentage of withdrawals and stay</w:t>
      </w:r>
      <w:r w:rsidRPr="000605BC">
        <w:rPr>
          <w:rFonts w:cs="Times New Roman"/>
          <w:sz w:val="20"/>
        </w:rPr>
        <w:t>s</w:t>
      </w:r>
      <w:r w:rsidR="00B661EB" w:rsidRPr="000605BC">
        <w:rPr>
          <w:rFonts w:cs="Times New Roman"/>
          <w:sz w:val="20"/>
        </w:rPr>
        <w:t xml:space="preserve"> of proceedings and that sanctions in money laundering cases are not sufficiently dissuasive</w:t>
      </w:r>
      <w:r w:rsidRPr="000605BC">
        <w:rPr>
          <w:rFonts w:cs="Times New Roman"/>
          <w:sz w:val="20"/>
        </w:rPr>
        <w:t>.</w:t>
      </w:r>
      <w:r w:rsidRPr="000605BC">
        <w:rPr>
          <w:rStyle w:val="FootnoteReference"/>
          <w:rFonts w:cs="Times New Roman"/>
          <w:sz w:val="20"/>
        </w:rPr>
        <w:footnoteReference w:id="141"/>
      </w:r>
    </w:p>
    <w:p w14:paraId="4A33F12D" w14:textId="63028B05" w:rsidR="00B661EB" w:rsidRPr="000605BC" w:rsidRDefault="00B661EB" w:rsidP="00B661EB">
      <w:pPr>
        <w:rPr>
          <w:rFonts w:cs="Times New Roman"/>
          <w:sz w:val="20"/>
        </w:rPr>
      </w:pPr>
      <w:r w:rsidRPr="000605BC">
        <w:rPr>
          <w:rFonts w:cs="Times New Roman"/>
          <w:sz w:val="20"/>
        </w:rPr>
        <w:t>The evaluation commended Canada’s mutual legal assistance</w:t>
      </w:r>
      <w:r w:rsidR="00FD5E8A" w:rsidRPr="000605BC">
        <w:rPr>
          <w:rFonts w:cs="Times New Roman"/>
          <w:sz w:val="20"/>
        </w:rPr>
        <w:t xml:space="preserve"> system</w:t>
      </w:r>
      <w:r w:rsidR="006D16DC" w:rsidRPr="000605BC">
        <w:rPr>
          <w:rFonts w:cs="Times New Roman"/>
          <w:sz w:val="20"/>
        </w:rPr>
        <w:t>.</w:t>
      </w:r>
      <w:r w:rsidRPr="000605BC">
        <w:rPr>
          <w:rFonts w:cs="Times New Roman"/>
          <w:sz w:val="20"/>
        </w:rPr>
        <w:t xml:space="preserve"> From 2008 to 2015, Canada received 383 mutual legal assistance requests for money laundering offences</w:t>
      </w:r>
      <w:r w:rsidR="006D16DC" w:rsidRPr="000605BC">
        <w:rPr>
          <w:rFonts w:cs="Times New Roman"/>
          <w:sz w:val="20"/>
        </w:rPr>
        <w:t>.</w:t>
      </w:r>
      <w:r w:rsidR="006F1532" w:rsidRPr="000605BC">
        <w:rPr>
          <w:rFonts w:cs="Times New Roman"/>
          <w:sz w:val="20"/>
        </w:rPr>
        <w:t xml:space="preserve"> Canada provided assistance in</w:t>
      </w:r>
      <w:r w:rsidRPr="000605BC">
        <w:rPr>
          <w:rFonts w:cs="Times New Roman"/>
          <w:sz w:val="20"/>
        </w:rPr>
        <w:t xml:space="preserve"> 253 of these requests, while 17 were withdra</w:t>
      </w:r>
      <w:r w:rsidR="006D16DC" w:rsidRPr="000605BC">
        <w:rPr>
          <w:rFonts w:cs="Times New Roman"/>
          <w:sz w:val="20"/>
        </w:rPr>
        <w:t>wn, 36 abandoned and 7 refused.</w:t>
      </w:r>
      <w:r w:rsidRPr="000605BC">
        <w:rPr>
          <w:rFonts w:cs="Times New Roman"/>
          <w:sz w:val="20"/>
        </w:rPr>
        <w:t xml:space="preserve"> Feedback from 46 counties found that assistance provided by Canada is of good quality</w:t>
      </w:r>
      <w:r w:rsidR="006F1532" w:rsidRPr="000605BC">
        <w:rPr>
          <w:rFonts w:cs="Times New Roman"/>
          <w:sz w:val="20"/>
        </w:rPr>
        <w:t>.</w:t>
      </w:r>
      <w:r w:rsidR="006F1532" w:rsidRPr="000605BC">
        <w:rPr>
          <w:rStyle w:val="FootnoteReference"/>
          <w:rFonts w:cs="Times New Roman"/>
          <w:sz w:val="20"/>
        </w:rPr>
        <w:footnoteReference w:id="142"/>
      </w:r>
    </w:p>
    <w:p w14:paraId="45B83346" w14:textId="3D4435D0" w:rsidR="00B661EB" w:rsidRPr="000605BC" w:rsidRDefault="00B661EB" w:rsidP="00B661EB">
      <w:pPr>
        <w:rPr>
          <w:rFonts w:cs="Times New Roman"/>
          <w:sz w:val="20"/>
        </w:rPr>
      </w:pPr>
      <w:r w:rsidRPr="000605BC">
        <w:rPr>
          <w:rFonts w:cs="Times New Roman"/>
          <w:sz w:val="20"/>
        </w:rPr>
        <w:t>Canada is also cooperative with extradition requests, although the process can be lengthy.</w:t>
      </w:r>
      <w:r w:rsidR="002822D1" w:rsidRPr="000605BC">
        <w:rPr>
          <w:rFonts w:cs="Times New Roman"/>
          <w:sz w:val="20"/>
        </w:rPr>
        <w:t xml:space="preserve"> </w:t>
      </w:r>
      <w:r w:rsidRPr="000605BC">
        <w:rPr>
          <w:rFonts w:cs="Times New Roman"/>
          <w:sz w:val="20"/>
        </w:rPr>
        <w:t xml:space="preserve">From 2008 to 2015, Canada received </w:t>
      </w:r>
      <w:r w:rsidR="006D16DC" w:rsidRPr="000605BC">
        <w:rPr>
          <w:rFonts w:cs="Times New Roman"/>
          <w:sz w:val="20"/>
        </w:rPr>
        <w:t>92 requests for extradition in</w:t>
      </w:r>
      <w:r w:rsidRPr="000605BC">
        <w:rPr>
          <w:rFonts w:cs="Times New Roman"/>
          <w:sz w:val="20"/>
        </w:rPr>
        <w:t xml:space="preserve"> money laundering cases, 77 of which came from the US.</w:t>
      </w:r>
      <w:r w:rsidR="002822D1" w:rsidRPr="000605BC">
        <w:rPr>
          <w:rFonts w:cs="Times New Roman"/>
          <w:sz w:val="20"/>
        </w:rPr>
        <w:t xml:space="preserve"> </w:t>
      </w:r>
      <w:r w:rsidRPr="000605BC">
        <w:rPr>
          <w:rFonts w:cs="Times New Roman"/>
          <w:sz w:val="20"/>
        </w:rPr>
        <w:t xml:space="preserve">These resulted in 48 persons </w:t>
      </w:r>
      <w:r w:rsidR="006D16DC" w:rsidRPr="000605BC">
        <w:rPr>
          <w:rFonts w:cs="Times New Roman"/>
          <w:sz w:val="20"/>
        </w:rPr>
        <w:t xml:space="preserve">being </w:t>
      </w:r>
      <w:r w:rsidRPr="000605BC">
        <w:rPr>
          <w:rFonts w:cs="Times New Roman"/>
          <w:sz w:val="20"/>
        </w:rPr>
        <w:t>extradited and 13 subject to other measure</w:t>
      </w:r>
      <w:r w:rsidR="006D16DC" w:rsidRPr="000605BC">
        <w:rPr>
          <w:rFonts w:cs="Times New Roman"/>
          <w:sz w:val="20"/>
        </w:rPr>
        <w:t>s</w:t>
      </w:r>
      <w:r w:rsidRPr="000605BC">
        <w:rPr>
          <w:rFonts w:cs="Times New Roman"/>
          <w:sz w:val="20"/>
        </w:rPr>
        <w:t xml:space="preserve"> such as deportation or voluntary return</w:t>
      </w:r>
      <w:r w:rsidR="006D16DC" w:rsidRPr="000605BC">
        <w:rPr>
          <w:rFonts w:cs="Times New Roman"/>
          <w:sz w:val="20"/>
        </w:rPr>
        <w:t>.</w:t>
      </w:r>
      <w:r w:rsidR="006D16DC" w:rsidRPr="000605BC">
        <w:rPr>
          <w:rStyle w:val="FootnoteReference"/>
          <w:rFonts w:cs="Times New Roman"/>
          <w:sz w:val="20"/>
        </w:rPr>
        <w:footnoteReference w:id="143"/>
      </w:r>
      <w:r w:rsidR="004E5D45" w:rsidRPr="000605BC">
        <w:rPr>
          <w:rFonts w:cs="Times New Roman"/>
          <w:sz w:val="20"/>
        </w:rPr>
        <w:t xml:space="preserve"> As noted in </w:t>
      </w:r>
      <w:r w:rsidR="004E5D45" w:rsidRPr="000605BC">
        <w:rPr>
          <w:rFonts w:cs="Times New Roman"/>
          <w:sz w:val="20"/>
          <w:highlight w:val="cyan"/>
        </w:rPr>
        <w:t>S</w:t>
      </w:r>
      <w:r w:rsidRPr="000605BC">
        <w:rPr>
          <w:rFonts w:cs="Times New Roman"/>
          <w:sz w:val="20"/>
          <w:highlight w:val="cyan"/>
        </w:rPr>
        <w:t>ection 6.3.1 of this chapter</w:t>
      </w:r>
      <w:r w:rsidRPr="000605BC">
        <w:rPr>
          <w:rFonts w:cs="Times New Roman"/>
          <w:sz w:val="20"/>
        </w:rPr>
        <w:t xml:space="preserve">, contested extradition from the </w:t>
      </w:r>
      <w:r w:rsidR="006D16DC" w:rsidRPr="000605BC">
        <w:rPr>
          <w:rFonts w:cs="Times New Roman"/>
          <w:sz w:val="20"/>
        </w:rPr>
        <w:t>US in money laundering cases is</w:t>
      </w:r>
      <w:r w:rsidRPr="000605BC">
        <w:rPr>
          <w:rFonts w:cs="Times New Roman"/>
          <w:sz w:val="20"/>
        </w:rPr>
        <w:t xml:space="preserve"> resolved in one year on average.</w:t>
      </w:r>
      <w:r w:rsidR="002822D1" w:rsidRPr="000605BC">
        <w:rPr>
          <w:rFonts w:cs="Times New Roman"/>
          <w:sz w:val="20"/>
        </w:rPr>
        <w:t xml:space="preserve"> </w:t>
      </w:r>
      <w:r w:rsidRPr="000605BC">
        <w:rPr>
          <w:rFonts w:cs="Times New Roman"/>
          <w:sz w:val="20"/>
        </w:rPr>
        <w:t>The extradition process from Canada is lengthier, with 53% of cases taking 18 months</w:t>
      </w:r>
      <w:r w:rsidR="004E5D45" w:rsidRPr="000605BC">
        <w:rPr>
          <w:rFonts w:cs="Times New Roman"/>
          <w:sz w:val="20"/>
        </w:rPr>
        <w:t xml:space="preserve"> to </w:t>
      </w:r>
      <w:r w:rsidRPr="000605BC">
        <w:rPr>
          <w:rFonts w:cs="Times New Roman"/>
          <w:sz w:val="20"/>
        </w:rPr>
        <w:t>5 years to complete, 28% from 3</w:t>
      </w:r>
      <w:r w:rsidR="004E5D45" w:rsidRPr="000605BC">
        <w:rPr>
          <w:rFonts w:cs="Times New Roman"/>
          <w:sz w:val="20"/>
        </w:rPr>
        <w:t xml:space="preserve"> to </w:t>
      </w:r>
      <w:r w:rsidRPr="000605BC">
        <w:rPr>
          <w:rFonts w:cs="Times New Roman"/>
          <w:sz w:val="20"/>
        </w:rPr>
        <w:t>5 years and 4% over 5 years.</w:t>
      </w:r>
      <w:r w:rsidR="006D16DC" w:rsidRPr="000605BC">
        <w:rPr>
          <w:rStyle w:val="FootnoteReference"/>
          <w:rFonts w:cs="Times New Roman"/>
          <w:sz w:val="20"/>
        </w:rPr>
        <w:footnoteReference w:id="144"/>
      </w:r>
      <w:r w:rsidR="002822D1" w:rsidRPr="000605BC">
        <w:rPr>
          <w:rFonts w:cs="Times New Roman"/>
          <w:sz w:val="20"/>
        </w:rPr>
        <w:t xml:space="preserve"> </w:t>
      </w:r>
    </w:p>
    <w:p w14:paraId="68C6D1E4" w14:textId="1026BA61" w:rsidR="00B661EB" w:rsidRPr="000605BC" w:rsidRDefault="00B661EB" w:rsidP="00B661EB">
      <w:pPr>
        <w:rPr>
          <w:rFonts w:cs="Times New Roman"/>
          <w:sz w:val="20"/>
          <w:vertAlign w:val="superscript"/>
        </w:rPr>
      </w:pPr>
      <w:r w:rsidRPr="000605BC">
        <w:rPr>
          <w:rFonts w:cs="Times New Roman"/>
          <w:sz w:val="20"/>
        </w:rPr>
        <w:t xml:space="preserve">Recommendations stemming from the mutual evaluation included mitigating the risks posed by </w:t>
      </w:r>
      <w:r w:rsidR="006D16DC" w:rsidRPr="000605BC">
        <w:rPr>
          <w:rFonts w:cs="Times New Roman"/>
          <w:sz w:val="20"/>
        </w:rPr>
        <w:t xml:space="preserve">the exclusion of </w:t>
      </w:r>
      <w:r w:rsidRPr="000605BC">
        <w:rPr>
          <w:rFonts w:cs="Times New Roman"/>
          <w:sz w:val="20"/>
        </w:rPr>
        <w:t>lawyers, law firms and Quebec notaries</w:t>
      </w:r>
      <w:r w:rsidR="006D16DC" w:rsidRPr="000605BC">
        <w:rPr>
          <w:rFonts w:cs="Times New Roman"/>
          <w:sz w:val="20"/>
        </w:rPr>
        <w:t xml:space="preserve"> from the </w:t>
      </w:r>
      <w:r w:rsidR="006D16DC" w:rsidRPr="000605BC">
        <w:rPr>
          <w:rFonts w:cs="Times New Roman"/>
          <w:i/>
          <w:sz w:val="20"/>
        </w:rPr>
        <w:t>MLTF Act</w:t>
      </w:r>
      <w:r w:rsidRPr="000605BC">
        <w:rPr>
          <w:rFonts w:cs="Times New Roman"/>
          <w:sz w:val="20"/>
        </w:rPr>
        <w:t>, engaging prosecutors at earlier stages in money laundering cases and ensuring asset recovery is pursued as a policy objective</w:t>
      </w:r>
      <w:r w:rsidR="006D16DC" w:rsidRPr="000605BC">
        <w:rPr>
          <w:rFonts w:cs="Times New Roman"/>
          <w:sz w:val="20"/>
        </w:rPr>
        <w:t>.</w:t>
      </w:r>
      <w:r w:rsidR="006D16DC" w:rsidRPr="000605BC">
        <w:rPr>
          <w:rStyle w:val="FootnoteReference"/>
          <w:rFonts w:cs="Times New Roman"/>
          <w:sz w:val="20"/>
        </w:rPr>
        <w:footnoteReference w:id="145"/>
      </w:r>
    </w:p>
    <w:p w14:paraId="433683B7" w14:textId="46C49ED9" w:rsidR="0097413C" w:rsidRPr="000605BC" w:rsidRDefault="00E76D5E" w:rsidP="00D97E9B">
      <w:pPr>
        <w:pStyle w:val="Heading2"/>
        <w:rPr>
          <w:sz w:val="24"/>
        </w:rPr>
      </w:pPr>
      <w:bookmarkStart w:id="124" w:name="_Toc287093759"/>
      <w:bookmarkStart w:id="125" w:name="_Toc419901577"/>
      <w:bookmarkStart w:id="126" w:name="_Toc489788780"/>
      <w:bookmarkStart w:id="127" w:name="_Toc489789320"/>
      <w:bookmarkStart w:id="128" w:name="_Toc489791790"/>
      <w:r w:rsidRPr="000605BC">
        <w:rPr>
          <w:sz w:val="24"/>
        </w:rPr>
        <w:t>Other</w:t>
      </w:r>
      <w:r w:rsidR="0097413C" w:rsidRPr="000605BC">
        <w:rPr>
          <w:sz w:val="24"/>
        </w:rPr>
        <w:t xml:space="preserve"> </w:t>
      </w:r>
      <w:r w:rsidRPr="000605BC">
        <w:rPr>
          <w:sz w:val="24"/>
        </w:rPr>
        <w:t>Evaluations</w:t>
      </w:r>
      <w:bookmarkEnd w:id="124"/>
      <w:bookmarkEnd w:id="125"/>
      <w:bookmarkEnd w:id="126"/>
      <w:bookmarkEnd w:id="127"/>
      <w:bookmarkEnd w:id="128"/>
    </w:p>
    <w:p w14:paraId="63F8DD0C" w14:textId="66F74D33" w:rsidR="006D7F36" w:rsidRPr="000605BC" w:rsidRDefault="002B696D" w:rsidP="00916A81">
      <w:pPr>
        <w:rPr>
          <w:rFonts w:cs="Times New Roman"/>
          <w:sz w:val="20"/>
        </w:rPr>
      </w:pPr>
      <w:r w:rsidRPr="000605BC">
        <w:rPr>
          <w:rFonts w:cs="Times New Roman"/>
          <w:sz w:val="20"/>
        </w:rPr>
        <w:t>As the previous</w:t>
      </w:r>
      <w:r w:rsidR="006D7F36" w:rsidRPr="000605BC">
        <w:rPr>
          <w:rFonts w:cs="Times New Roman"/>
          <w:sz w:val="20"/>
        </w:rPr>
        <w:t xml:space="preserve"> two sections demonstrate, both the FATF and the Basel Institute are relatively positive about the performance of the US, the UK and Canada. However, in the case of the Basel Index this is a relative measure – it simply shows that many other countries in the world are doing worse</w:t>
      </w:r>
      <w:r w:rsidR="007D27F6" w:rsidRPr="000605BC">
        <w:rPr>
          <w:rFonts w:cs="Times New Roman"/>
          <w:sz w:val="20"/>
        </w:rPr>
        <w:t xml:space="preserve"> in reducing or controlling their risk of money laundering</w:t>
      </w:r>
      <w:r w:rsidR="006D7F36" w:rsidRPr="000605BC">
        <w:rPr>
          <w:rFonts w:cs="Times New Roman"/>
          <w:sz w:val="20"/>
        </w:rPr>
        <w:t>. In the case of the FATF mutual evaluations,</w:t>
      </w:r>
      <w:r w:rsidR="002C244D" w:rsidRPr="000605BC">
        <w:rPr>
          <w:rFonts w:cs="Times New Roman"/>
          <w:sz w:val="20"/>
        </w:rPr>
        <w:t xml:space="preserve"> most of</w:t>
      </w:r>
      <w:r w:rsidR="006D7F36" w:rsidRPr="000605BC">
        <w:rPr>
          <w:rFonts w:cs="Times New Roman"/>
          <w:sz w:val="20"/>
        </w:rPr>
        <w:t xml:space="preserve"> the</w:t>
      </w:r>
      <w:r w:rsidR="002C244D" w:rsidRPr="000605BC">
        <w:rPr>
          <w:rFonts w:cs="Times New Roman"/>
          <w:sz w:val="20"/>
        </w:rPr>
        <w:t xml:space="preserve"> focus is</w:t>
      </w:r>
      <w:r w:rsidR="006D7F36" w:rsidRPr="000605BC">
        <w:rPr>
          <w:rFonts w:cs="Times New Roman"/>
          <w:sz w:val="20"/>
        </w:rPr>
        <w:t xml:space="preserve"> on implem</w:t>
      </w:r>
      <w:r w:rsidR="002C244D" w:rsidRPr="000605BC">
        <w:rPr>
          <w:rFonts w:cs="Times New Roman"/>
          <w:sz w:val="20"/>
        </w:rPr>
        <w:t xml:space="preserve">entation of the Recommendations. </w:t>
      </w:r>
      <w:r w:rsidR="006110D4" w:rsidRPr="000605BC">
        <w:rPr>
          <w:rFonts w:cs="Times New Roman"/>
          <w:sz w:val="20"/>
        </w:rPr>
        <w:t xml:space="preserve">However, in </w:t>
      </w:r>
      <w:r w:rsidR="002C244D" w:rsidRPr="000605BC">
        <w:rPr>
          <w:rFonts w:cs="Times New Roman"/>
          <w:sz w:val="20"/>
        </w:rPr>
        <w:t xml:space="preserve">some cases, even complete compliance with the FATF Recommendations may not produce an effective AML regime in practice. </w:t>
      </w:r>
      <w:r w:rsidR="00D57B55" w:rsidRPr="000605BC">
        <w:rPr>
          <w:rFonts w:cs="Times New Roman"/>
          <w:sz w:val="20"/>
        </w:rPr>
        <w:t>Some commentators</w:t>
      </w:r>
      <w:r w:rsidR="002C244D" w:rsidRPr="000605BC">
        <w:rPr>
          <w:rFonts w:cs="Times New Roman"/>
          <w:sz w:val="20"/>
        </w:rPr>
        <w:t xml:space="preserve"> have produced more critical reviews of the AML regimes discussed above.</w:t>
      </w:r>
      <w:r w:rsidR="006110D4" w:rsidRPr="000605BC">
        <w:rPr>
          <w:rStyle w:val="FootnoteReference"/>
          <w:rFonts w:cs="Times New Roman"/>
          <w:sz w:val="20"/>
        </w:rPr>
        <w:footnoteReference w:id="146"/>
      </w:r>
      <w:r w:rsidR="002822D1" w:rsidRPr="000605BC">
        <w:rPr>
          <w:rFonts w:cs="Times New Roman"/>
          <w:sz w:val="20"/>
        </w:rPr>
        <w:t xml:space="preserve"> </w:t>
      </w:r>
    </w:p>
    <w:p w14:paraId="7B6CEF54" w14:textId="4051234B" w:rsidR="00FB55D6" w:rsidRPr="000605BC" w:rsidRDefault="002A07B8" w:rsidP="00916A81">
      <w:pPr>
        <w:rPr>
          <w:rFonts w:cs="Times New Roman"/>
          <w:sz w:val="20"/>
          <w:lang w:val="en-US"/>
        </w:rPr>
      </w:pPr>
      <w:r w:rsidRPr="000605BC">
        <w:rPr>
          <w:rFonts w:cs="Times New Roman"/>
          <w:sz w:val="20"/>
          <w:lang w:val="en-US"/>
        </w:rPr>
        <w:t xml:space="preserve">The excerpt below is from </w:t>
      </w:r>
      <w:r w:rsidR="009978C7" w:rsidRPr="000605BC">
        <w:rPr>
          <w:rFonts w:cs="Times New Roman"/>
          <w:sz w:val="20"/>
          <w:lang w:val="en-US"/>
        </w:rPr>
        <w:t>a</w:t>
      </w:r>
      <w:r w:rsidRPr="000605BC">
        <w:rPr>
          <w:rFonts w:cs="Times New Roman"/>
          <w:sz w:val="20"/>
          <w:lang w:val="en-US"/>
        </w:rPr>
        <w:t xml:space="preserve"> </w:t>
      </w:r>
      <w:r w:rsidR="00C8407E" w:rsidRPr="000605BC">
        <w:rPr>
          <w:rFonts w:cs="Times New Roman"/>
          <w:sz w:val="20"/>
          <w:lang w:val="en-US"/>
        </w:rPr>
        <w:t>2013</w:t>
      </w:r>
      <w:r w:rsidR="00EC152D" w:rsidRPr="000605BC">
        <w:rPr>
          <w:rFonts w:cs="Times New Roman"/>
          <w:sz w:val="20"/>
          <w:lang w:val="en-US"/>
        </w:rPr>
        <w:t xml:space="preserve"> Canadian</w:t>
      </w:r>
      <w:r w:rsidR="00C8407E" w:rsidRPr="000605BC">
        <w:rPr>
          <w:rFonts w:cs="Times New Roman"/>
          <w:sz w:val="20"/>
          <w:lang w:val="en-US"/>
        </w:rPr>
        <w:t xml:space="preserve"> Senate </w:t>
      </w:r>
      <w:r w:rsidR="009978C7" w:rsidRPr="000605BC">
        <w:rPr>
          <w:rFonts w:cs="Times New Roman"/>
          <w:sz w:val="20"/>
          <w:lang w:val="en-US"/>
        </w:rPr>
        <w:t xml:space="preserve">report entitled </w:t>
      </w:r>
      <w:r w:rsidR="003A6F8D" w:rsidRPr="000605BC">
        <w:rPr>
          <w:rFonts w:cs="Times New Roman"/>
          <w:sz w:val="20"/>
          <w:lang w:val="en-US"/>
        </w:rPr>
        <w:t>“</w:t>
      </w:r>
      <w:r w:rsidRPr="000605BC">
        <w:rPr>
          <w:rFonts w:cs="Times New Roman"/>
          <w:sz w:val="20"/>
          <w:lang w:val="en-US"/>
        </w:rPr>
        <w:t>Follow the Money: Is Canada Making Progress in Combatting Money Laundering and Terrorist Financing? Not Really</w:t>
      </w:r>
      <w:r w:rsidR="00C8407E" w:rsidRPr="000605BC">
        <w:rPr>
          <w:rFonts w:cs="Times New Roman"/>
          <w:sz w:val="20"/>
          <w:lang w:val="en-US"/>
        </w:rPr>
        <w:t>.</w:t>
      </w:r>
      <w:r w:rsidR="003A6F8D" w:rsidRPr="000605BC">
        <w:rPr>
          <w:rFonts w:cs="Times New Roman"/>
          <w:sz w:val="20"/>
          <w:lang w:val="en-US"/>
        </w:rPr>
        <w:t>”</w:t>
      </w:r>
      <w:r w:rsidR="00C8407E" w:rsidRPr="000605BC">
        <w:rPr>
          <w:rStyle w:val="FootnoteReference"/>
          <w:rFonts w:cs="Times New Roman"/>
          <w:sz w:val="20"/>
          <w:lang w:val="en-US"/>
        </w:rPr>
        <w:footnoteReference w:id="147"/>
      </w:r>
      <w:r w:rsidR="006110D4" w:rsidRPr="000605BC">
        <w:rPr>
          <w:rFonts w:cs="Times New Roman"/>
          <w:sz w:val="20"/>
          <w:lang w:val="en-US"/>
        </w:rPr>
        <w:t xml:space="preserve"> This R</w:t>
      </w:r>
      <w:r w:rsidRPr="000605BC">
        <w:rPr>
          <w:rFonts w:cs="Times New Roman"/>
          <w:sz w:val="20"/>
          <w:lang w:val="en-US"/>
        </w:rPr>
        <w:t>eport was completed pursuant to s</w:t>
      </w:r>
      <w:r w:rsidR="004E5D45" w:rsidRPr="000605BC">
        <w:rPr>
          <w:rFonts w:cs="Times New Roman"/>
          <w:sz w:val="20"/>
          <w:lang w:val="en-US"/>
        </w:rPr>
        <w:t>ection</w:t>
      </w:r>
      <w:r w:rsidRPr="000605BC">
        <w:rPr>
          <w:rFonts w:cs="Times New Roman"/>
          <w:sz w:val="20"/>
          <w:lang w:val="en-US"/>
        </w:rPr>
        <w:t xml:space="preserve"> 72 of the </w:t>
      </w:r>
      <w:r w:rsidRPr="000605BC">
        <w:rPr>
          <w:rFonts w:cs="Times New Roman"/>
          <w:i/>
          <w:sz w:val="20"/>
          <w:lang w:val="en-US"/>
        </w:rPr>
        <w:t>PCMLTFA</w:t>
      </w:r>
      <w:r w:rsidRPr="000605BC">
        <w:rPr>
          <w:rFonts w:cs="Times New Roman"/>
          <w:sz w:val="20"/>
          <w:lang w:val="en-US"/>
        </w:rPr>
        <w:t>, which</w:t>
      </w:r>
      <w:r w:rsidR="006110D4" w:rsidRPr="000605BC">
        <w:rPr>
          <w:rFonts w:cs="Times New Roman"/>
          <w:sz w:val="20"/>
          <w:lang w:val="en-US"/>
        </w:rPr>
        <w:t xml:space="preserve"> mandates that a Parliamentary C</w:t>
      </w:r>
      <w:r w:rsidRPr="000605BC">
        <w:rPr>
          <w:rFonts w:cs="Times New Roman"/>
          <w:sz w:val="20"/>
          <w:lang w:val="en-US"/>
        </w:rPr>
        <w:t xml:space="preserve">ommittee review the act every five years. As the title of the report suggests, the Senate committee found that there is little evidence that the </w:t>
      </w:r>
      <w:r w:rsidRPr="000605BC">
        <w:rPr>
          <w:rFonts w:cs="Times New Roman"/>
          <w:i/>
          <w:sz w:val="20"/>
          <w:lang w:val="en-US"/>
        </w:rPr>
        <w:t>PCMLTFA</w:t>
      </w:r>
      <w:r w:rsidRPr="000605BC">
        <w:rPr>
          <w:rFonts w:cs="Times New Roman"/>
          <w:sz w:val="20"/>
          <w:lang w:val="en-US"/>
        </w:rPr>
        <w:t>, FINTRAC and the rest of Canada’s anti-money laundering regime is effective at reducing or pro</w:t>
      </w:r>
      <w:r w:rsidR="006110D4" w:rsidRPr="000605BC">
        <w:rPr>
          <w:rFonts w:cs="Times New Roman"/>
          <w:sz w:val="20"/>
          <w:lang w:val="en-US"/>
        </w:rPr>
        <w:t>secuting money laundering. The R</w:t>
      </w:r>
      <w:r w:rsidRPr="000605BC">
        <w:rPr>
          <w:rFonts w:cs="Times New Roman"/>
          <w:sz w:val="20"/>
          <w:lang w:val="en-US"/>
        </w:rPr>
        <w:t xml:space="preserve">eport goes on to suggest eighteen recommendations for reform. The following excerpt </w:t>
      </w:r>
      <w:r w:rsidR="009915F0" w:rsidRPr="000605BC">
        <w:rPr>
          <w:rFonts w:cs="Times New Roman"/>
          <w:sz w:val="20"/>
          <w:lang w:val="en-US"/>
        </w:rPr>
        <w:t>(</w:t>
      </w:r>
      <w:r w:rsidR="00F3293C" w:rsidRPr="000605BC">
        <w:rPr>
          <w:rFonts w:cs="Times New Roman"/>
          <w:sz w:val="20"/>
          <w:lang w:val="en-US"/>
        </w:rPr>
        <w:t>pages 5</w:t>
      </w:r>
      <w:r w:rsidR="009915F0" w:rsidRPr="000605BC">
        <w:rPr>
          <w:rFonts w:cs="Times New Roman"/>
          <w:sz w:val="20"/>
          <w:lang w:val="en-US"/>
        </w:rPr>
        <w:t xml:space="preserve">-7) </w:t>
      </w:r>
      <w:r w:rsidRPr="000605BC">
        <w:rPr>
          <w:rFonts w:cs="Times New Roman"/>
          <w:sz w:val="20"/>
          <w:lang w:val="en-US"/>
        </w:rPr>
        <w:t>provides an overview of the Committee’s findin</w:t>
      </w:r>
      <w:r w:rsidR="009915F0" w:rsidRPr="000605BC">
        <w:rPr>
          <w:rFonts w:cs="Times New Roman"/>
          <w:sz w:val="20"/>
          <w:lang w:val="en-US"/>
        </w:rPr>
        <w:t>gs and recommendations</w:t>
      </w:r>
      <w:r w:rsidR="00D148A0" w:rsidRPr="000605BC">
        <w:rPr>
          <w:rFonts w:cs="Times New Roman"/>
          <w:sz w:val="20"/>
          <w:lang w:val="en-US"/>
        </w:rPr>
        <w:t>:</w:t>
      </w:r>
    </w:p>
    <w:tbl>
      <w:tblPr>
        <w:tblStyle w:val="TableGrid"/>
        <w:tblW w:w="0" w:type="auto"/>
        <w:jc w:val="center"/>
        <w:tblCellMar>
          <w:top w:w="284" w:type="dxa"/>
          <w:left w:w="284" w:type="dxa"/>
          <w:bottom w:w="284" w:type="dxa"/>
          <w:right w:w="284" w:type="dxa"/>
        </w:tblCellMar>
        <w:tblLook w:val="04A0" w:firstRow="1" w:lastRow="0" w:firstColumn="1" w:lastColumn="0" w:noHBand="0" w:noVBand="1"/>
      </w:tblPr>
      <w:tblGrid>
        <w:gridCol w:w="8080"/>
      </w:tblGrid>
      <w:tr w:rsidR="00C9108A" w:rsidRPr="000605BC" w14:paraId="7694C6FE" w14:textId="77777777" w:rsidTr="00D42516">
        <w:trPr>
          <w:jc w:val="center"/>
        </w:trPr>
        <w:tc>
          <w:tcPr>
            <w:tcW w:w="9576" w:type="dxa"/>
            <w:tcBorders>
              <w:top w:val="nil"/>
              <w:left w:val="nil"/>
              <w:bottom w:val="nil"/>
              <w:right w:val="nil"/>
            </w:tcBorders>
            <w:shd w:val="clear" w:color="auto" w:fill="D9D9D9" w:themeFill="background1" w:themeFillShade="D9"/>
          </w:tcPr>
          <w:p w14:paraId="75B7A42B" w14:textId="77777777" w:rsidR="00C9108A" w:rsidRPr="000605BC" w:rsidRDefault="00C9108A" w:rsidP="00D42516">
            <w:pPr>
              <w:pStyle w:val="ExcerptMarker"/>
              <w:spacing w:before="0"/>
              <w:rPr>
                <w:sz w:val="16"/>
              </w:rPr>
            </w:pPr>
            <w:r w:rsidRPr="000605BC">
              <w:rPr>
                <w:sz w:val="16"/>
              </w:rPr>
              <w:t>Beginning of Excerpt</w:t>
            </w:r>
          </w:p>
          <w:p w14:paraId="328B12B6" w14:textId="77777777" w:rsidR="00C9108A" w:rsidRPr="000605BC" w:rsidRDefault="00C9108A" w:rsidP="00C91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sz w:val="20"/>
                <w:lang w:val="en-US"/>
              </w:rPr>
            </w:pPr>
            <w:r w:rsidRPr="000605BC">
              <w:rPr>
                <w:rFonts w:cs="Times New Roman"/>
                <w:b/>
                <w:color w:val="000000"/>
                <w:sz w:val="20"/>
                <w:lang w:val="en-US"/>
              </w:rPr>
              <w:t>B. The Impact</w:t>
            </w:r>
          </w:p>
          <w:p w14:paraId="1C59A430" w14:textId="77777777" w:rsidR="00C9108A" w:rsidRPr="000605BC" w:rsidRDefault="00C9108A" w:rsidP="00C91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sz w:val="20"/>
                <w:lang w:val="en-US"/>
              </w:rPr>
            </w:pPr>
            <w:r w:rsidRPr="000605BC">
              <w:rPr>
                <w:rFonts w:cs="Times New Roman"/>
                <w:color w:val="000000"/>
                <w:sz w:val="20"/>
                <w:lang w:val="en-US"/>
              </w:rPr>
              <w:t>Recognizing that Canada’s anti-money laundering and anti-terrorist financing legislation has had incremental changes over the past 11 years, the Committee believes that it is appropriate to examine the extent to which Canada’s Regime is effective in detecting and deterring the laundering of money and the financing of terrorist activities, and contributes to the successful investigation and prosecution of those who are involved in these criminal activities. The Committee is interested in the responses to several questions:</w:t>
            </w:r>
          </w:p>
          <w:p w14:paraId="35FC97A3" w14:textId="77777777" w:rsidR="00C9108A" w:rsidRPr="000605BC" w:rsidRDefault="00C9108A" w:rsidP="00696D88">
            <w:pPr>
              <w:pStyle w:val="ListParagraph"/>
              <w:numPr>
                <w:ilvl w:val="0"/>
                <w:numId w:val="26"/>
              </w:numPr>
              <w:rPr>
                <w:sz w:val="20"/>
              </w:rPr>
            </w:pPr>
            <w:r w:rsidRPr="000605BC">
              <w:rPr>
                <w:sz w:val="20"/>
              </w:rPr>
              <w:t>Have the scope and magnitude of money laundering and terrorist financing in Canada diminished over time?</w:t>
            </w:r>
          </w:p>
          <w:p w14:paraId="365205A8" w14:textId="7A1D04B3" w:rsidR="00C9108A" w:rsidRPr="000605BC" w:rsidRDefault="00C9108A" w:rsidP="00696D88">
            <w:pPr>
              <w:pStyle w:val="ListParagraph"/>
              <w:numPr>
                <w:ilvl w:val="0"/>
                <w:numId w:val="26"/>
              </w:numPr>
              <w:rPr>
                <w:sz w:val="20"/>
              </w:rPr>
            </w:pPr>
            <w:r w:rsidRPr="000605BC">
              <w:rPr>
                <w:sz w:val="20"/>
              </w:rPr>
              <w:t xml:space="preserve">Are the time, money and other resources dedicated to addressing these activities having sufficient </w:t>
            </w:r>
            <w:r w:rsidR="003A6F8D" w:rsidRPr="000605BC">
              <w:rPr>
                <w:sz w:val="20"/>
              </w:rPr>
              <w:t>“</w:t>
            </w:r>
            <w:r w:rsidRPr="000605BC">
              <w:rPr>
                <w:sz w:val="20"/>
              </w:rPr>
              <w:t>results?</w:t>
            </w:r>
            <w:r w:rsidR="003A6F8D" w:rsidRPr="000605BC">
              <w:rPr>
                <w:sz w:val="20"/>
              </w:rPr>
              <w:t>”</w:t>
            </w:r>
            <w:r w:rsidRPr="000605BC">
              <w:rPr>
                <w:sz w:val="20"/>
              </w:rPr>
              <w:t xml:space="preserve"> and</w:t>
            </w:r>
          </w:p>
          <w:p w14:paraId="03AFD5C7" w14:textId="269E34D8" w:rsidR="00C9108A" w:rsidRPr="000605BC" w:rsidRDefault="00C9108A" w:rsidP="00696D88">
            <w:pPr>
              <w:pStyle w:val="ListParagraph"/>
              <w:numPr>
                <w:ilvl w:val="0"/>
                <w:numId w:val="26"/>
              </w:numPr>
              <w:rPr>
                <w:sz w:val="20"/>
              </w:rPr>
            </w:pPr>
            <w:r w:rsidRPr="000605BC">
              <w:rPr>
                <w:sz w:val="20"/>
              </w:rPr>
              <w:t xml:space="preserve">What changes are needed to bring about better </w:t>
            </w:r>
            <w:r w:rsidR="003A6F8D" w:rsidRPr="000605BC">
              <w:rPr>
                <w:sz w:val="20"/>
              </w:rPr>
              <w:t>“</w:t>
            </w:r>
            <w:r w:rsidRPr="000605BC">
              <w:rPr>
                <w:sz w:val="20"/>
              </w:rPr>
              <w:t>results?</w:t>
            </w:r>
            <w:r w:rsidR="003A6F8D" w:rsidRPr="000605BC">
              <w:rPr>
                <w:sz w:val="20"/>
              </w:rPr>
              <w:t>”</w:t>
            </w:r>
          </w:p>
          <w:p w14:paraId="0BA8DB4F" w14:textId="77777777" w:rsidR="00C9108A" w:rsidRPr="000605BC" w:rsidRDefault="00C9108A" w:rsidP="00C91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sz w:val="20"/>
                <w:lang w:val="en-US"/>
              </w:rPr>
            </w:pPr>
            <w:r w:rsidRPr="000605BC">
              <w:rPr>
                <w:rFonts w:cs="Times New Roman"/>
                <w:color w:val="000000"/>
                <w:sz w:val="20"/>
                <w:lang w:val="en-US"/>
              </w:rPr>
              <w:t xml:space="preserve">Throughout the hearings, the Committee questioned witnesses about the scope and magnitude of money laundering and terrorist financing in Canada. While the Committee learned that FINTRAC has a solid reputation internationally, witnesses shared only limited and imprecise information about the extent to which the Regime meets </w:t>
            </w:r>
            <w:proofErr w:type="gramStart"/>
            <w:r w:rsidRPr="000605BC">
              <w:rPr>
                <w:rFonts w:cs="Times New Roman"/>
                <w:color w:val="000000"/>
                <w:sz w:val="20"/>
                <w:lang w:val="en-US"/>
              </w:rPr>
              <w:t>its</w:t>
            </w:r>
            <w:proofErr w:type="gramEnd"/>
            <w:r w:rsidRPr="000605BC">
              <w:rPr>
                <w:rFonts w:cs="Times New Roman"/>
                <w:color w:val="000000"/>
                <w:sz w:val="20"/>
                <w:lang w:val="en-US"/>
              </w:rPr>
              <w:t xml:space="preserve"> objective of detecting and deterring money laundering and terrorist financing. The Committee believes that there continues to be a clear need for legislation to combat money laundering and terrorist financing in Canada.</w:t>
            </w:r>
          </w:p>
          <w:p w14:paraId="67F21906" w14:textId="77777777" w:rsidR="00C9108A" w:rsidRPr="000605BC" w:rsidRDefault="00C9108A" w:rsidP="00C91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sz w:val="20"/>
                <w:lang w:val="en-US"/>
              </w:rPr>
            </w:pPr>
            <w:r w:rsidRPr="000605BC">
              <w:rPr>
                <w:rFonts w:cs="Times New Roman"/>
                <w:color w:val="000000"/>
                <w:sz w:val="20"/>
                <w:lang w:val="en-US"/>
              </w:rPr>
              <w:t>The Committee feels that there is a lack of clear and compelling evidence that Canada’s Regime is leading to the detection and deterrence of money laundering and terrorist financing, as well as contributing to law enforcement investigations and a significant rate of successful prosecutions. It is possible that some witnesses were unable to share confidential information in a public meeting. It is also possible that information about the success or failure of the Regime is not being collected. In any event, the Committee feels that the current Regime is not working as effectively as it should, given the time, money and other resources that are being committed by reporting entities, a variety of federal departments and agencies, other partners and taxpayers.</w:t>
            </w:r>
          </w:p>
          <w:p w14:paraId="4DB6E547" w14:textId="77777777" w:rsidR="00C9108A" w:rsidRPr="000605BC" w:rsidRDefault="00C9108A" w:rsidP="00C91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sz w:val="20"/>
                <w:lang w:val="en-US"/>
              </w:rPr>
            </w:pPr>
            <w:r w:rsidRPr="000605BC">
              <w:rPr>
                <w:rFonts w:cs="Times New Roman"/>
                <w:color w:val="000000"/>
                <w:sz w:val="20"/>
                <w:lang w:val="en-US"/>
              </w:rPr>
              <w:t>Given that multinational financial institutions have recently been implicated in money laundering and terrorist financing, the Committee is concerned about non-compliance with the Act by reporting entities. While the majority of non-compliance charges laid in Canada are in relation to cross-border reporting offences, the Committee is aware of the July 2012 report by the United States (U.S.) Senate Permanent Subcommittee on Investigations of the U.S. Senate Committee on Homeland Security and Governmental Affairs, entitled U.S. Vulnerabilities to Money Laundering, Drugs, and Terrorist Financing: HSBC Case History, in relation to HSBC and money laundering using international wire transfers. [In 2013, HSBC paid $1.9 billion to settle money laundering charges filed by the US Department of Justice.</w:t>
            </w:r>
            <w:r w:rsidRPr="000605BC">
              <w:rPr>
                <w:rStyle w:val="FootnoteReference"/>
                <w:rFonts w:cs="Times New Roman"/>
                <w:color w:val="000000"/>
                <w:sz w:val="20"/>
                <w:lang w:val="en-US"/>
              </w:rPr>
              <w:footnoteReference w:id="148"/>
            </w:r>
            <w:r w:rsidRPr="000605BC">
              <w:rPr>
                <w:rFonts w:cs="Times New Roman"/>
                <w:color w:val="000000"/>
                <w:sz w:val="20"/>
                <w:lang w:val="en-US"/>
              </w:rPr>
              <w:t>] The U.S. Senate Committee made several recommendations designed to strengthen anti-money laundering and anti-terrorist financing controls, particularly in relation to large, multinational financial institutions with affiliates in jurisdictions that are considered to be at high risk of being targeted by money launderers and those who finance terrorism. As financial institutions play a critical role in preventing illicit money from entering the financial system, the Committee feels that FINTRAC must be vigilant in ensuring that Canada’s reporting entities comply with their obligations under the Act.</w:t>
            </w:r>
          </w:p>
          <w:p w14:paraId="7C86B66C" w14:textId="66F3C04B" w:rsidR="00C9108A" w:rsidRPr="000605BC" w:rsidRDefault="00C9108A" w:rsidP="00C91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sz w:val="20"/>
                <w:lang w:val="en-US"/>
              </w:rPr>
            </w:pPr>
            <w:r w:rsidRPr="000605BC">
              <w:rPr>
                <w:rFonts w:cs="Times New Roman"/>
                <w:color w:val="000000"/>
                <w:sz w:val="20"/>
                <w:lang w:val="en-US"/>
              </w:rPr>
              <w:t xml:space="preserve">The Committee believes that an approach involving incremental legislative and regulatory changes must end. Consequently, ongoing efforts are needed to ensure that the resources committed to detecting, deterring, investigating and prosecuting money laundering and terrorist financing offences have the best </w:t>
            </w:r>
            <w:r w:rsidR="003A6F8D" w:rsidRPr="000605BC">
              <w:rPr>
                <w:rFonts w:cs="Times New Roman"/>
                <w:color w:val="000000"/>
                <w:sz w:val="20"/>
                <w:lang w:val="en-US"/>
              </w:rPr>
              <w:t>“</w:t>
            </w:r>
            <w:r w:rsidRPr="000605BC">
              <w:rPr>
                <w:rFonts w:cs="Times New Roman"/>
                <w:color w:val="000000"/>
                <w:sz w:val="20"/>
                <w:lang w:val="en-US"/>
              </w:rPr>
              <w:t>results</w:t>
            </w:r>
            <w:r w:rsidR="003A6F8D" w:rsidRPr="000605BC">
              <w:rPr>
                <w:rFonts w:cs="Times New Roman"/>
                <w:color w:val="000000"/>
                <w:sz w:val="20"/>
                <w:lang w:val="en-US"/>
              </w:rPr>
              <w:t>”</w:t>
            </w:r>
            <w:r w:rsidRPr="000605BC">
              <w:rPr>
                <w:rFonts w:cs="Times New Roman"/>
                <w:color w:val="000000"/>
                <w:sz w:val="20"/>
                <w:lang w:val="en-US"/>
              </w:rPr>
              <w:t xml:space="preserve"> in the least costly, burdensome and intrusive manner. While it is virtually impossible to eliminate the illegal activities that lead to the need to launder money, a continuation of the current incremental approach – which appears to involve changes to fill gaps by adding reporting entities and to meet evolving FATF recommendations that may or may not have relevance for Canada – is not the solution that Canada needs at this time.</w:t>
            </w:r>
          </w:p>
          <w:p w14:paraId="57114113" w14:textId="77777777" w:rsidR="00C9108A" w:rsidRPr="000605BC" w:rsidRDefault="00C9108A" w:rsidP="00C91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sz w:val="20"/>
                <w:lang w:val="en-US"/>
              </w:rPr>
            </w:pPr>
            <w:r w:rsidRPr="000605BC">
              <w:rPr>
                <w:rFonts w:cs="Times New Roman"/>
                <w:color w:val="000000"/>
                <w:sz w:val="20"/>
                <w:lang w:val="en-US"/>
              </w:rPr>
              <w:t>Having conducted a comprehensive study, the Committee’s view is that the Act should be amended to address three issues:</w:t>
            </w:r>
          </w:p>
          <w:p w14:paraId="4BFA48D9" w14:textId="77777777" w:rsidR="00C9108A" w:rsidRPr="000605BC" w:rsidRDefault="00C9108A" w:rsidP="00696D88">
            <w:pPr>
              <w:pStyle w:val="ListParagraph"/>
              <w:numPr>
                <w:ilvl w:val="0"/>
                <w:numId w:val="27"/>
              </w:numPr>
              <w:rPr>
                <w:sz w:val="20"/>
              </w:rPr>
            </w:pPr>
            <w:r w:rsidRPr="000605BC">
              <w:rPr>
                <w:sz w:val="20"/>
              </w:rPr>
              <w:t>the existence of a structure for Canada’s Regime that leads to increased performance in relation to the detection, deterrence, investigation and prosecution of money laundering and terrorist financing;</w:t>
            </w:r>
          </w:p>
          <w:p w14:paraId="5BC98998" w14:textId="77777777" w:rsidR="00C9108A" w:rsidRPr="000605BC" w:rsidRDefault="00C9108A" w:rsidP="00696D88">
            <w:pPr>
              <w:pStyle w:val="ListParagraph"/>
              <w:numPr>
                <w:ilvl w:val="0"/>
                <w:numId w:val="27"/>
              </w:numPr>
              <w:rPr>
                <w:sz w:val="20"/>
              </w:rPr>
            </w:pPr>
            <w:r w:rsidRPr="000605BC">
              <w:rPr>
                <w:sz w:val="20"/>
              </w:rPr>
              <w:t>the existence of information-sharing arrangements that ensure that suitable information is being collected and shared with the right people at the appropriate time, bearing in mind the need to protect the personal information of Canadians; and</w:t>
            </w:r>
          </w:p>
          <w:p w14:paraId="5DB0611C" w14:textId="77777777" w:rsidR="00C9108A" w:rsidRPr="000605BC" w:rsidRDefault="00C9108A" w:rsidP="00696D88">
            <w:pPr>
              <w:pStyle w:val="ListParagraph"/>
              <w:numPr>
                <w:ilvl w:val="0"/>
                <w:numId w:val="27"/>
              </w:numPr>
              <w:rPr>
                <w:sz w:val="20"/>
              </w:rPr>
            </w:pPr>
            <w:proofErr w:type="gramStart"/>
            <w:r w:rsidRPr="000605BC">
              <w:rPr>
                <w:sz w:val="20"/>
              </w:rPr>
              <w:t>the</w:t>
            </w:r>
            <w:proofErr w:type="gramEnd"/>
            <w:r w:rsidRPr="000605BC">
              <w:rPr>
                <w:sz w:val="20"/>
              </w:rPr>
              <w:t xml:space="preserve"> existence of a scope and focus for the Regime that is properly directed to ensuring that individuals and businesses report the required information to the appropriate entity in an expedient manner.</w:t>
            </w:r>
          </w:p>
          <w:p w14:paraId="528A67A8" w14:textId="77777777" w:rsidR="00C9108A" w:rsidRPr="000605BC" w:rsidRDefault="00C9108A" w:rsidP="00C91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sz w:val="20"/>
              </w:rPr>
            </w:pPr>
            <w:r w:rsidRPr="000605BC">
              <w:rPr>
                <w:rFonts w:cs="Times New Roman"/>
                <w:color w:val="000000"/>
                <w:sz w:val="20"/>
                <w:lang w:val="en-US"/>
              </w:rPr>
              <w:t>The time for incremental change to the Regime has ended. The time for examination of fundamental issues has arrived.</w:t>
            </w:r>
            <w:r w:rsidRPr="000605BC">
              <w:rPr>
                <w:rFonts w:cs="Times New Roman"/>
                <w:sz w:val="20"/>
              </w:rPr>
              <w:t xml:space="preserve"> </w:t>
            </w:r>
          </w:p>
          <w:p w14:paraId="2927CA9E" w14:textId="1C5AD38F" w:rsidR="00C9108A" w:rsidRPr="000605BC" w:rsidRDefault="00C9108A" w:rsidP="00D42516">
            <w:pPr>
              <w:pStyle w:val="ExcerptMarker"/>
              <w:spacing w:after="0"/>
              <w:rPr>
                <w:sz w:val="16"/>
              </w:rPr>
            </w:pPr>
            <w:r w:rsidRPr="000605BC">
              <w:rPr>
                <w:sz w:val="16"/>
              </w:rPr>
              <w:t>End of Excerpt</w:t>
            </w:r>
          </w:p>
        </w:tc>
      </w:tr>
    </w:tbl>
    <w:p w14:paraId="0794A0E2" w14:textId="19711DE0" w:rsidR="00A7107F" w:rsidRPr="000605BC" w:rsidRDefault="002A07B8" w:rsidP="007A2C79">
      <w:pPr>
        <w:spacing w:before="120"/>
        <w:rPr>
          <w:rFonts w:cs="Times New Roman"/>
          <w:sz w:val="20"/>
        </w:rPr>
      </w:pPr>
      <w:r w:rsidRPr="000605BC">
        <w:rPr>
          <w:rFonts w:cs="Times New Roman"/>
          <w:noProof/>
          <w:sz w:val="20"/>
          <w:lang w:eastAsia="en-CA"/>
        </w:rPr>
        <mc:AlternateContent>
          <mc:Choice Requires="wps">
            <w:drawing>
              <wp:anchor distT="4294967293" distB="4294967293" distL="114300" distR="114300" simplePos="0" relativeHeight="251658240" behindDoc="0" locked="0" layoutInCell="1" allowOverlap="1" wp14:anchorId="42EC768B" wp14:editId="190641FD">
                <wp:simplePos x="0" y="0"/>
                <wp:positionH relativeFrom="column">
                  <wp:posOffset>0</wp:posOffset>
                </wp:positionH>
                <wp:positionV relativeFrom="paragraph">
                  <wp:posOffset>158114</wp:posOffset>
                </wp:positionV>
                <wp:extent cx="5796280" cy="0"/>
                <wp:effectExtent l="0" t="0" r="0" b="0"/>
                <wp:wrapTight wrapText="bothSides">
                  <wp:wrapPolygon edited="0">
                    <wp:start x="0" y="0"/>
                    <wp:lineTo x="0" y="21600"/>
                    <wp:lineTo x="21600" y="21600"/>
                    <wp:lineTo x="21600" y="0"/>
                  </wp:wrapPolygon>
                </wp:wrapTight>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96280" cy="0"/>
                        </a:xfrm>
                        <a:prstGeom prst="line">
                          <a:avLst/>
                        </a:prstGeom>
                        <a:ln>
                          <a:noFill/>
                          <a:headEnd/>
                          <a:tailEnd/>
                        </a:ln>
                        <a:extLst/>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514E4BD" id="Line 7" o:spid="_x0000_s1026" style="position:absolute;flip:y;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12.45pt" to="456.4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" stroked="f">
                <w10:wrap type="tight"/>
              </v:line>
            </w:pict>
          </mc:Fallback>
        </mc:AlternateContent>
      </w:r>
      <w:bookmarkStart w:id="129" w:name="_Toc287093760"/>
      <w:r w:rsidR="00764327" w:rsidRPr="000605BC">
        <w:rPr>
          <w:rFonts w:cs="Times New Roman"/>
          <w:sz w:val="20"/>
        </w:rPr>
        <w:t>Some commentators criticize</w:t>
      </w:r>
      <w:r w:rsidR="002C5E92" w:rsidRPr="000605BC">
        <w:rPr>
          <w:rFonts w:cs="Times New Roman"/>
          <w:sz w:val="20"/>
        </w:rPr>
        <w:t xml:space="preserve"> the high costs of AML measures for businesses and society and question whether these costs are worth the potentially negligible benefits of</w:t>
      </w:r>
      <w:r w:rsidR="009F13DB" w:rsidRPr="000605BC">
        <w:rPr>
          <w:rFonts w:cs="Times New Roman"/>
          <w:sz w:val="20"/>
        </w:rPr>
        <w:t xml:space="preserve"> AML regimes.</w:t>
      </w:r>
      <w:r w:rsidR="003D5949" w:rsidRPr="000605BC">
        <w:rPr>
          <w:rStyle w:val="FootnoteReference"/>
          <w:rFonts w:cs="Times New Roman"/>
          <w:sz w:val="20"/>
        </w:rPr>
        <w:footnoteReference w:id="149"/>
      </w:r>
      <w:r w:rsidR="009F13DB" w:rsidRPr="000605BC">
        <w:rPr>
          <w:rFonts w:cs="Times New Roman"/>
          <w:sz w:val="20"/>
        </w:rPr>
        <w:t xml:space="preserve"> See, for example, </w:t>
      </w:r>
      <w:r w:rsidR="00DC4C37" w:rsidRPr="000605BC">
        <w:rPr>
          <w:rFonts w:cs="Times New Roman"/>
          <w:sz w:val="20"/>
        </w:rPr>
        <w:t>Michael Levi &amp;</w:t>
      </w:r>
      <w:r w:rsidR="002C5E92" w:rsidRPr="000605BC">
        <w:rPr>
          <w:rFonts w:cs="Times New Roman"/>
          <w:sz w:val="20"/>
        </w:rPr>
        <w:t xml:space="preserve"> Peter Reuter, </w:t>
      </w:r>
      <w:r w:rsidR="003A6F8D" w:rsidRPr="000605BC">
        <w:rPr>
          <w:rFonts w:cs="Times New Roman"/>
          <w:sz w:val="20"/>
        </w:rPr>
        <w:t>“</w:t>
      </w:r>
      <w:r w:rsidR="002C2DDE" w:rsidRPr="000605BC">
        <w:rPr>
          <w:rFonts w:cs="Times New Roman"/>
          <w:sz w:val="20"/>
        </w:rPr>
        <w:t>Money Laundering</w:t>
      </w:r>
      <w:r w:rsidR="003A6F8D" w:rsidRPr="000605BC">
        <w:rPr>
          <w:rFonts w:cs="Times New Roman"/>
          <w:sz w:val="20"/>
        </w:rPr>
        <w:t>”</w:t>
      </w:r>
      <w:r w:rsidR="002C5E92" w:rsidRPr="000605BC">
        <w:rPr>
          <w:rFonts w:cs="Times New Roman"/>
          <w:sz w:val="20"/>
        </w:rPr>
        <w:t xml:space="preserve"> (2006) </w:t>
      </w:r>
      <w:r w:rsidR="00FA0C2E" w:rsidRPr="000605BC">
        <w:rPr>
          <w:rFonts w:cs="Times New Roman"/>
          <w:sz w:val="20"/>
        </w:rPr>
        <w:t xml:space="preserve">32:1 </w:t>
      </w:r>
      <w:r w:rsidR="002C5E92" w:rsidRPr="000605BC">
        <w:rPr>
          <w:rFonts w:cs="Times New Roman"/>
          <w:sz w:val="20"/>
        </w:rPr>
        <w:t>Cr</w:t>
      </w:r>
      <w:r w:rsidR="003149AA" w:rsidRPr="000605BC">
        <w:rPr>
          <w:rFonts w:cs="Times New Roman"/>
          <w:sz w:val="20"/>
        </w:rPr>
        <w:t>ime and Justice</w:t>
      </w:r>
      <w:r w:rsidR="002C5E92" w:rsidRPr="000605BC">
        <w:rPr>
          <w:rFonts w:cs="Times New Roman"/>
          <w:i/>
          <w:sz w:val="20"/>
        </w:rPr>
        <w:t xml:space="preserve"> </w:t>
      </w:r>
      <w:r w:rsidR="00FA0C2E" w:rsidRPr="000605BC">
        <w:rPr>
          <w:rFonts w:cs="Times New Roman"/>
          <w:sz w:val="20"/>
        </w:rPr>
        <w:t>289</w:t>
      </w:r>
      <w:r w:rsidR="002C5E92" w:rsidRPr="000605BC">
        <w:rPr>
          <w:rFonts w:cs="Times New Roman"/>
          <w:sz w:val="20"/>
        </w:rPr>
        <w:t>.</w:t>
      </w:r>
    </w:p>
    <w:tbl>
      <w:tblPr>
        <w:tblStyle w:val="TableGrid"/>
        <w:tblW w:w="0" w:type="auto"/>
        <w:jc w:val="center"/>
        <w:tblCellMar>
          <w:top w:w="142" w:type="dxa"/>
          <w:left w:w="284" w:type="dxa"/>
          <w:bottom w:w="142" w:type="dxa"/>
          <w:right w:w="284" w:type="dxa"/>
        </w:tblCellMar>
        <w:tblLook w:val="04A0" w:firstRow="1" w:lastRow="0" w:firstColumn="1" w:lastColumn="0" w:noHBand="0" w:noVBand="1"/>
      </w:tblPr>
      <w:tblGrid>
        <w:gridCol w:w="8070"/>
      </w:tblGrid>
      <w:tr w:rsidR="00D42516" w:rsidRPr="000605BC" w14:paraId="10389B97" w14:textId="77777777" w:rsidTr="00B26F67">
        <w:trPr>
          <w:jc w:val="center"/>
        </w:trPr>
        <w:tc>
          <w:tcPr>
            <w:tcW w:w="9350" w:type="dxa"/>
          </w:tcPr>
          <w:p w14:paraId="4FD76B4F" w14:textId="77777777" w:rsidR="00D42516" w:rsidRPr="000605BC" w:rsidRDefault="00D42516" w:rsidP="00D42516">
            <w:pPr>
              <w:spacing w:before="120" w:after="120"/>
              <w:rPr>
                <w:rFonts w:cs="Times New Roman"/>
                <w:b/>
                <w:sz w:val="20"/>
              </w:rPr>
            </w:pPr>
            <w:r w:rsidRPr="000605BC">
              <w:rPr>
                <w:rFonts w:cs="Times New Roman"/>
                <w:b/>
                <w:sz w:val="20"/>
              </w:rPr>
              <w:t>Further Reading</w:t>
            </w:r>
          </w:p>
          <w:p w14:paraId="163C94B6" w14:textId="5BF6A84B" w:rsidR="00D42516" w:rsidRPr="000605BC" w:rsidRDefault="00D42516" w:rsidP="00D42516">
            <w:pPr>
              <w:spacing w:before="120" w:after="120"/>
              <w:rPr>
                <w:rFonts w:cs="Times New Roman"/>
                <w:sz w:val="20"/>
              </w:rPr>
            </w:pPr>
            <w:r w:rsidRPr="000605BC">
              <w:rPr>
                <w:rFonts w:cs="Times New Roman"/>
                <w:sz w:val="20"/>
              </w:rPr>
              <w:t xml:space="preserve">For a detailed cost-benefit analysis of AML laws in a hypothetical EU country, see </w:t>
            </w:r>
            <w:proofErr w:type="spellStart"/>
            <w:r w:rsidRPr="000605BC">
              <w:rPr>
                <w:rFonts w:cs="Times New Roman"/>
                <w:sz w:val="20"/>
              </w:rPr>
              <w:t>Joras</w:t>
            </w:r>
            <w:proofErr w:type="spellEnd"/>
            <w:r w:rsidRPr="000605BC">
              <w:rPr>
                <w:rFonts w:cs="Times New Roman"/>
                <w:sz w:val="20"/>
              </w:rPr>
              <w:t xml:space="preserve"> </w:t>
            </w:r>
            <w:proofErr w:type="spellStart"/>
            <w:r w:rsidRPr="000605BC">
              <w:rPr>
                <w:rFonts w:cs="Times New Roman"/>
                <w:sz w:val="20"/>
              </w:rPr>
              <w:t>Ferwerda</w:t>
            </w:r>
            <w:proofErr w:type="spellEnd"/>
            <w:r w:rsidRPr="000605BC">
              <w:rPr>
                <w:rFonts w:cs="Times New Roman"/>
                <w:sz w:val="20"/>
              </w:rPr>
              <w:t>, “Cost-benefit analysis” in Brigitte Unger</w:t>
            </w:r>
            <w:r w:rsidRPr="000605BC">
              <w:rPr>
                <w:rFonts w:cs="Times New Roman"/>
                <w:i/>
                <w:sz w:val="20"/>
              </w:rPr>
              <w:t xml:space="preserve"> </w:t>
            </w:r>
            <w:r w:rsidRPr="000605BC">
              <w:rPr>
                <w:rFonts w:cs="Times New Roman"/>
                <w:sz w:val="20"/>
              </w:rPr>
              <w:t>et al</w:t>
            </w:r>
            <w:r w:rsidR="00A04D4D" w:rsidRPr="000605BC">
              <w:rPr>
                <w:rFonts w:cs="Times New Roman"/>
                <w:sz w:val="20"/>
              </w:rPr>
              <w:t>.</w:t>
            </w:r>
            <w:r w:rsidRPr="000605BC">
              <w:rPr>
                <w:rFonts w:cs="Times New Roman"/>
                <w:sz w:val="20"/>
              </w:rPr>
              <w:t xml:space="preserve">, </w:t>
            </w:r>
            <w:proofErr w:type="spellStart"/>
            <w:r w:rsidRPr="000605BC">
              <w:rPr>
                <w:rFonts w:cs="Times New Roman"/>
                <w:sz w:val="20"/>
              </w:rPr>
              <w:t>eds</w:t>
            </w:r>
            <w:proofErr w:type="spellEnd"/>
            <w:r w:rsidRPr="000605BC">
              <w:rPr>
                <w:rFonts w:cs="Times New Roman"/>
                <w:sz w:val="20"/>
              </w:rPr>
              <w:t xml:space="preserve">, </w:t>
            </w:r>
            <w:r w:rsidRPr="000605BC">
              <w:rPr>
                <w:rFonts w:cs="Times New Roman"/>
                <w:i/>
                <w:sz w:val="20"/>
              </w:rPr>
              <w:t xml:space="preserve">The Economic and Legal Effectiveness of the European Union’s Anti-Money Laundering Policy </w:t>
            </w:r>
            <w:r w:rsidRPr="000605BC">
              <w:rPr>
                <w:rFonts w:cs="Times New Roman"/>
                <w:sz w:val="20"/>
              </w:rPr>
              <w:t>(Edward Elgar Publishing, 2014) 205.</w:t>
            </w:r>
          </w:p>
          <w:p w14:paraId="32876BA0" w14:textId="3FCF7749" w:rsidR="00D42516" w:rsidRPr="000605BC" w:rsidRDefault="00D42516" w:rsidP="00D42516">
            <w:pPr>
              <w:spacing w:before="120" w:after="120"/>
              <w:rPr>
                <w:rFonts w:cs="Times New Roman"/>
                <w:sz w:val="20"/>
              </w:rPr>
            </w:pPr>
            <w:r w:rsidRPr="000605BC">
              <w:rPr>
                <w:rFonts w:cs="Times New Roman"/>
                <w:sz w:val="20"/>
              </w:rPr>
              <w:t>For a detailed analysis of money laundering regulation in 80 countries with the aim of determining which regulations are most effective in curtailing money laundering and predicate offences, see Alberto Chong &amp; Fernando Lopez-de-</w:t>
            </w:r>
            <w:proofErr w:type="spellStart"/>
            <w:r w:rsidRPr="000605BC">
              <w:rPr>
                <w:rFonts w:cs="Times New Roman"/>
                <w:sz w:val="20"/>
              </w:rPr>
              <w:t>Silanes</w:t>
            </w:r>
            <w:proofErr w:type="spellEnd"/>
            <w:r w:rsidRPr="000605BC">
              <w:rPr>
                <w:rFonts w:cs="Times New Roman"/>
                <w:sz w:val="20"/>
              </w:rPr>
              <w:t>, “Money Laundering and its Regulation” (March 2015) 27:1 Economics and Politics</w:t>
            </w:r>
            <w:r w:rsidRPr="000605BC">
              <w:rPr>
                <w:rFonts w:cs="Times New Roman"/>
                <w:i/>
                <w:sz w:val="20"/>
              </w:rPr>
              <w:t xml:space="preserve"> </w:t>
            </w:r>
            <w:r w:rsidRPr="000605BC">
              <w:rPr>
                <w:rFonts w:cs="Times New Roman"/>
                <w:sz w:val="20"/>
              </w:rPr>
              <w:t>78.</w:t>
            </w:r>
          </w:p>
        </w:tc>
      </w:tr>
    </w:tbl>
    <w:p w14:paraId="077FADDE" w14:textId="1A19CD50" w:rsidR="006D7F36" w:rsidRPr="000605BC" w:rsidRDefault="006D7F36" w:rsidP="005734CB">
      <w:pPr>
        <w:pStyle w:val="Heading2"/>
        <w:rPr>
          <w:sz w:val="24"/>
        </w:rPr>
      </w:pPr>
      <w:bookmarkStart w:id="130" w:name="_Toc419901578"/>
      <w:bookmarkStart w:id="131" w:name="_Toc489788781"/>
      <w:bookmarkStart w:id="132" w:name="_Toc489789321"/>
      <w:bookmarkStart w:id="133" w:name="_Toc489791791"/>
      <w:r w:rsidRPr="000605BC">
        <w:rPr>
          <w:sz w:val="24"/>
        </w:rPr>
        <w:t>Barriers to Creating Effective AML Measures</w:t>
      </w:r>
      <w:bookmarkEnd w:id="129"/>
      <w:bookmarkEnd w:id="130"/>
      <w:bookmarkEnd w:id="131"/>
      <w:bookmarkEnd w:id="132"/>
      <w:bookmarkEnd w:id="133"/>
    </w:p>
    <w:p w14:paraId="3C4A836A" w14:textId="77777777" w:rsidR="00764327" w:rsidRPr="000605BC" w:rsidRDefault="006D3B5F" w:rsidP="00916A81">
      <w:pPr>
        <w:rPr>
          <w:rFonts w:cs="Times New Roman"/>
          <w:sz w:val="20"/>
        </w:rPr>
      </w:pPr>
      <w:r w:rsidRPr="000605BC">
        <w:rPr>
          <w:rFonts w:cs="Times New Roman"/>
          <w:sz w:val="20"/>
        </w:rPr>
        <w:t xml:space="preserve">There are a variety of reasons why it is difficult to create effective AML measures. </w:t>
      </w:r>
      <w:r w:rsidR="00C13C3C" w:rsidRPr="000605BC">
        <w:rPr>
          <w:rFonts w:cs="Times New Roman"/>
          <w:sz w:val="20"/>
        </w:rPr>
        <w:t xml:space="preserve">First, there are the difficulties posed by the lack of information available to legislators at the national and international level. </w:t>
      </w:r>
      <w:r w:rsidR="00F12E62" w:rsidRPr="000605BC">
        <w:rPr>
          <w:rFonts w:cs="Times New Roman"/>
          <w:sz w:val="20"/>
        </w:rPr>
        <w:t>There is no</w:t>
      </w:r>
      <w:r w:rsidR="00C13C3C" w:rsidRPr="000605BC">
        <w:rPr>
          <w:rFonts w:cs="Times New Roman"/>
          <w:sz w:val="20"/>
        </w:rPr>
        <w:t xml:space="preserve"> accurate estimate of the g</w:t>
      </w:r>
      <w:r w:rsidR="00764327" w:rsidRPr="000605BC">
        <w:rPr>
          <w:rFonts w:cs="Times New Roman"/>
          <w:sz w:val="20"/>
        </w:rPr>
        <w:t>lobal scope of money laundering</w:t>
      </w:r>
      <w:r w:rsidR="00C13C3C" w:rsidRPr="000605BC">
        <w:rPr>
          <w:rFonts w:cs="Times New Roman"/>
          <w:sz w:val="20"/>
        </w:rPr>
        <w:t xml:space="preserve"> or its extent in any particular country. This makes it difficult to evaluate the success of any particular AML measure, since we cannot accurately measure the impact of any such measure. </w:t>
      </w:r>
      <w:r w:rsidR="003149AA" w:rsidRPr="000605BC">
        <w:rPr>
          <w:rFonts w:cs="Times New Roman"/>
          <w:sz w:val="20"/>
        </w:rPr>
        <w:t>The secrecy surrounding government and FIU information also poses a challenge to those researching the effectiveness of AML measures.</w:t>
      </w:r>
      <w:r w:rsidR="00BE475C" w:rsidRPr="000605BC">
        <w:rPr>
          <w:rStyle w:val="FootnoteReference"/>
          <w:rFonts w:cs="Times New Roman"/>
          <w:sz w:val="20"/>
        </w:rPr>
        <w:footnoteReference w:id="150"/>
      </w:r>
      <w:r w:rsidR="00BE475C" w:rsidRPr="000605BC">
        <w:rPr>
          <w:rFonts w:cs="Times New Roman"/>
          <w:sz w:val="20"/>
        </w:rPr>
        <w:t xml:space="preserve"> </w:t>
      </w:r>
    </w:p>
    <w:p w14:paraId="7FBEA803" w14:textId="47D65D42" w:rsidR="00C13C3C" w:rsidRPr="000605BC" w:rsidRDefault="00BE475C" w:rsidP="00916A81">
      <w:pPr>
        <w:rPr>
          <w:rFonts w:cs="Times New Roman"/>
          <w:sz w:val="20"/>
        </w:rPr>
      </w:pPr>
      <w:r w:rsidRPr="000605BC">
        <w:rPr>
          <w:rFonts w:cs="Times New Roman"/>
          <w:sz w:val="20"/>
        </w:rPr>
        <w:t>Investigation of money laundering also presents many problems, such as the morass of data and the length of time between a corrupt act and its discovery.</w:t>
      </w:r>
      <w:r w:rsidRPr="000605BC">
        <w:rPr>
          <w:rStyle w:val="FootnoteReference"/>
          <w:rFonts w:cs="Times New Roman"/>
          <w:sz w:val="20"/>
        </w:rPr>
        <w:footnoteReference w:id="151"/>
      </w:r>
      <w:r w:rsidR="00764327" w:rsidRPr="000605BC">
        <w:rPr>
          <w:rFonts w:cs="Times New Roman"/>
          <w:sz w:val="20"/>
        </w:rPr>
        <w:t xml:space="preserve"> </w:t>
      </w:r>
      <w:r w:rsidR="00C13C3C" w:rsidRPr="000605BC">
        <w:rPr>
          <w:rFonts w:cs="Times New Roman"/>
          <w:sz w:val="20"/>
        </w:rPr>
        <w:t>A further difficulty is that a successful AML regime relies heavily on the cooperation of the financial sector, which may have much more money to gain by facili</w:t>
      </w:r>
      <w:r w:rsidR="00764327" w:rsidRPr="000605BC">
        <w:rPr>
          <w:rFonts w:cs="Times New Roman"/>
          <w:sz w:val="20"/>
        </w:rPr>
        <w:t xml:space="preserve">tating money laundering than </w:t>
      </w:r>
      <w:r w:rsidR="00C13C3C" w:rsidRPr="000605BC">
        <w:rPr>
          <w:rFonts w:cs="Times New Roman"/>
          <w:sz w:val="20"/>
        </w:rPr>
        <w:t xml:space="preserve">stopping it. As </w:t>
      </w:r>
      <w:proofErr w:type="spellStart"/>
      <w:r w:rsidR="00C13C3C" w:rsidRPr="000605BC">
        <w:rPr>
          <w:rFonts w:cs="Times New Roman"/>
          <w:sz w:val="20"/>
        </w:rPr>
        <w:t>Beare</w:t>
      </w:r>
      <w:proofErr w:type="spellEnd"/>
      <w:r w:rsidR="00C13C3C" w:rsidRPr="000605BC">
        <w:rPr>
          <w:rFonts w:cs="Times New Roman"/>
          <w:sz w:val="20"/>
        </w:rPr>
        <w:t xml:space="preserve"> and Schneider note</w:t>
      </w:r>
      <w:r w:rsidR="00B130BF" w:rsidRPr="000605BC">
        <w:rPr>
          <w:rFonts w:cs="Times New Roman"/>
          <w:sz w:val="20"/>
        </w:rPr>
        <w:t xml:space="preserve"> in their 2007 book </w:t>
      </w:r>
      <w:r w:rsidR="00B130BF" w:rsidRPr="000605BC">
        <w:rPr>
          <w:rFonts w:cs="Times New Roman"/>
          <w:i/>
          <w:sz w:val="20"/>
        </w:rPr>
        <w:t>Money Laundering in Canada</w:t>
      </w:r>
      <w:r w:rsidR="005734CB" w:rsidRPr="000605BC">
        <w:rPr>
          <w:rFonts w:cs="Times New Roman"/>
          <w:sz w:val="20"/>
        </w:rPr>
        <w:t>:</w:t>
      </w:r>
      <w:r w:rsidR="002822D1" w:rsidRPr="000605BC">
        <w:rPr>
          <w:rFonts w:cs="Times New Roman"/>
          <w:sz w:val="20"/>
        </w:rPr>
        <w:t xml:space="preserve"> </w:t>
      </w:r>
    </w:p>
    <w:p w14:paraId="3CA2DB57" w14:textId="333DF9FD" w:rsidR="006D3B5F" w:rsidRPr="000605BC" w:rsidRDefault="002C0F49" w:rsidP="00B805F3">
      <w:pPr>
        <w:pStyle w:val="BlockQuote"/>
        <w:rPr>
          <w:sz w:val="20"/>
        </w:rPr>
      </w:pPr>
      <w:r w:rsidRPr="000605BC">
        <w:rPr>
          <w:sz w:val="20"/>
        </w:rPr>
        <w:t xml:space="preserve">The rhetoric of financial institutions come across as if all of the objectives of the banks are equal: profit, risk management, customer satisfaction, </w:t>
      </w:r>
      <w:r w:rsidRPr="000605BC">
        <w:rPr>
          <w:i/>
          <w:sz w:val="20"/>
        </w:rPr>
        <w:t>and</w:t>
      </w:r>
      <w:r w:rsidRPr="000605BC">
        <w:rPr>
          <w:sz w:val="20"/>
        </w:rPr>
        <w:t xml:space="preserve"> a sense of societal/corporate responsibility towards the reduction of money laundering. In reality, these goals are often seen to be contradictory and are not given equal attention. As we have noted, a focus on profitability runs throughout the banking sector. Picking up on the ‘what gets measured and gets rewarded, gets done’ line of reasoning (</w:t>
      </w:r>
      <w:proofErr w:type="spellStart"/>
      <w:r w:rsidRPr="000605BC">
        <w:rPr>
          <w:sz w:val="20"/>
        </w:rPr>
        <w:t>Bogach</w:t>
      </w:r>
      <w:proofErr w:type="spellEnd"/>
      <w:r w:rsidRPr="000605BC">
        <w:rPr>
          <w:sz w:val="20"/>
        </w:rPr>
        <w:t xml:space="preserve"> and Gordon, 2000), it is important to consider the reward system within those institutions that have claimed to </w:t>
      </w:r>
      <w:r w:rsidR="002E4CE8" w:rsidRPr="000605BC">
        <w:rPr>
          <w:sz w:val="20"/>
        </w:rPr>
        <w:t xml:space="preserve">implement sound voluntary codes, especially where those codes might work against other rewarded objectives. During the US Senate’s 1999 review of the operations of private banking, one bank official stated that ‘no-one took the </w:t>
      </w:r>
      <w:r w:rsidR="003A6F8D" w:rsidRPr="000605BC">
        <w:rPr>
          <w:sz w:val="20"/>
        </w:rPr>
        <w:t>“</w:t>
      </w:r>
      <w:r w:rsidR="002E4CE8" w:rsidRPr="000605BC">
        <w:rPr>
          <w:sz w:val="20"/>
        </w:rPr>
        <w:t>know-your-customer</w:t>
      </w:r>
      <w:r w:rsidR="003A6F8D" w:rsidRPr="000605BC">
        <w:rPr>
          <w:sz w:val="20"/>
        </w:rPr>
        <w:t>”</w:t>
      </w:r>
      <w:r w:rsidR="002E4CE8" w:rsidRPr="000605BC">
        <w:rPr>
          <w:sz w:val="20"/>
        </w:rPr>
        <w:t xml:space="preserve"> policies seriously until bonuses were threatened.’ The internal study of bank defalcations [failure to repay loans] within Canadian financial institutions revealed a maze of individual, departmental, and branch incentives that were offered based on performance. These individual and </w:t>
      </w:r>
      <w:r w:rsidR="00812AD6" w:rsidRPr="000605BC">
        <w:rPr>
          <w:sz w:val="20"/>
        </w:rPr>
        <w:t>group rewards were so coveted that they were seen to be partially responsible for overzealous banking decisions (e.g., unwise loans and credit lines). Peer pressure from group incentives was particularly powerful. Hence any policy that resulted in the loss of customers – especially customers with large amounts of money – operated against the current</w:t>
      </w:r>
      <w:r w:rsidR="00665910" w:rsidRPr="000605BC">
        <w:rPr>
          <w:sz w:val="20"/>
        </w:rPr>
        <w:t xml:space="preserve"> reward structure. Banks are organized around the concept of attracting funds, and few banks re</w:t>
      </w:r>
      <w:r w:rsidR="005734CB" w:rsidRPr="000605BC">
        <w:rPr>
          <w:sz w:val="20"/>
        </w:rPr>
        <w:t>ward those who turn money away.</w:t>
      </w:r>
      <w:r w:rsidR="005734CB" w:rsidRPr="000605BC">
        <w:rPr>
          <w:rStyle w:val="FootnoteReference"/>
          <w:rFonts w:cs="Times New Roman"/>
          <w:sz w:val="20"/>
        </w:rPr>
        <w:footnoteReference w:id="152"/>
      </w:r>
    </w:p>
    <w:p w14:paraId="1E59AA1A" w14:textId="1CAA191B" w:rsidR="00470208" w:rsidRPr="000605BC" w:rsidRDefault="00470208" w:rsidP="00DE7A56">
      <w:pPr>
        <w:rPr>
          <w:rFonts w:cs="Times New Roman"/>
          <w:sz w:val="20"/>
        </w:rPr>
      </w:pPr>
      <w:r w:rsidRPr="000605BC">
        <w:rPr>
          <w:rFonts w:cs="Times New Roman"/>
          <w:sz w:val="20"/>
        </w:rPr>
        <w:t>Gordon further criticizes this reliance on the private sector to report transactions and keep records. He calls for a greater role for the public sector and FIUs in AML efforts.</w:t>
      </w:r>
      <w:r w:rsidRPr="000605BC">
        <w:rPr>
          <w:rStyle w:val="FootnoteReference"/>
          <w:rFonts w:cs="Times New Roman"/>
          <w:sz w:val="20"/>
        </w:rPr>
        <w:footnoteReference w:id="153"/>
      </w:r>
      <w:r w:rsidR="00284961" w:rsidRPr="000605BC">
        <w:rPr>
          <w:rFonts w:cs="Times New Roman"/>
          <w:sz w:val="20"/>
        </w:rPr>
        <w:t xml:space="preserve"> The recent movement to require public disclosure of the beneficial owners of shell companies and trusts is discussed in </w:t>
      </w:r>
      <w:r w:rsidR="00284961" w:rsidRPr="000605BC">
        <w:rPr>
          <w:rFonts w:cs="Times New Roman"/>
          <w:sz w:val="20"/>
          <w:highlight w:val="cyan"/>
        </w:rPr>
        <w:t>Chapt</w:t>
      </w:r>
      <w:r w:rsidR="00CD4C16" w:rsidRPr="000605BC">
        <w:rPr>
          <w:rFonts w:cs="Times New Roman"/>
          <w:sz w:val="20"/>
          <w:highlight w:val="cyan"/>
        </w:rPr>
        <w:t>er 5, Section 5.2</w:t>
      </w:r>
      <w:r w:rsidR="00284961" w:rsidRPr="000605BC">
        <w:rPr>
          <w:rFonts w:cs="Times New Roman"/>
          <w:sz w:val="20"/>
          <w:highlight w:val="cyan"/>
        </w:rPr>
        <w:t>.2</w:t>
      </w:r>
      <w:r w:rsidR="00284961" w:rsidRPr="000605BC">
        <w:rPr>
          <w:rFonts w:cs="Times New Roman"/>
          <w:sz w:val="20"/>
        </w:rPr>
        <w:t xml:space="preserve"> of this book.</w:t>
      </w:r>
      <w:r w:rsidR="000B1338" w:rsidRPr="000605BC">
        <w:rPr>
          <w:rFonts w:cs="Times New Roman"/>
          <w:sz w:val="20"/>
        </w:rPr>
        <w:t xml:space="preserve"> </w:t>
      </w:r>
    </w:p>
    <w:p w14:paraId="485F5508" w14:textId="539E61FB" w:rsidR="00ED6F25" w:rsidRPr="000605BC" w:rsidRDefault="00ED6F25" w:rsidP="00DE7A56">
      <w:pPr>
        <w:rPr>
          <w:rFonts w:cs="Times New Roman"/>
          <w:sz w:val="20"/>
        </w:rPr>
      </w:pPr>
      <w:r w:rsidRPr="000605BC">
        <w:rPr>
          <w:rFonts w:cs="Times New Roman"/>
          <w:sz w:val="20"/>
        </w:rPr>
        <w:t>Fletcher and Hermann outline several other challenges for AML regimes.</w:t>
      </w:r>
      <w:r w:rsidRPr="000605BC">
        <w:rPr>
          <w:rStyle w:val="FootnoteReference"/>
          <w:rFonts w:cs="Times New Roman"/>
          <w:sz w:val="20"/>
        </w:rPr>
        <w:footnoteReference w:id="154"/>
      </w:r>
      <w:r w:rsidRPr="000605BC">
        <w:rPr>
          <w:rFonts w:cs="Times New Roman"/>
          <w:sz w:val="20"/>
        </w:rPr>
        <w:t xml:space="preserve"> Political immunity of high-level politicians may block prosecution of money laundering offences. Corrupt officials may also use AML measures to freeze funds of their opponents </w:t>
      </w:r>
      <w:r w:rsidR="007E341F" w:rsidRPr="000605BC">
        <w:rPr>
          <w:rFonts w:cs="Times New Roman"/>
          <w:sz w:val="20"/>
        </w:rPr>
        <w:t>and</w:t>
      </w:r>
      <w:r w:rsidRPr="000605BC">
        <w:rPr>
          <w:rFonts w:cs="Times New Roman"/>
          <w:sz w:val="20"/>
        </w:rPr>
        <w:t xml:space="preserve"> can frustrate the efforts of law enforcement in other countries to gather evidence against themselves or their government. Bank secrecy laws continue to pose a challenge to AML efforts, although strict secrecy has been relaxed due to FATF blacklisting and increased international pressure since September 11, 2001. Finally, Fletcher and Hermann note that the creation of FIUs is expensive for developing countries, and the effectiveness of FIUs has been questioned in less advanced, cash-oriented economies.</w:t>
      </w:r>
    </w:p>
    <w:sectPr w:rsidR="00ED6F25" w:rsidRPr="000605BC" w:rsidSect="00233884">
      <w:headerReference w:type="even" r:id="rId22"/>
      <w:headerReference w:type="default" r:id="rId23"/>
      <w:footerReference w:type="even" r:id="rId24"/>
      <w:footerReference w:type="default" r:id="rId25"/>
      <w:headerReference w:type="first" r:id="rId26"/>
      <w:type w:val="continuous"/>
      <w:pgSz w:w="10801" w:h="15122" w:code="1"/>
      <w:pgMar w:top="1440" w:right="1077" w:bottom="1440" w:left="1077" w:header="567" w:footer="567" w:gutter="567"/>
      <w:pgNumType w:start="30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AC4EDB" w14:textId="77777777" w:rsidR="00EE506E" w:rsidRDefault="00EE506E" w:rsidP="00B26386">
      <w:r>
        <w:separator/>
      </w:r>
    </w:p>
  </w:endnote>
  <w:endnote w:type="continuationSeparator" w:id="0">
    <w:p w14:paraId="5FA75DBF" w14:textId="77777777" w:rsidR="00EE506E" w:rsidRDefault="00EE506E" w:rsidP="00B26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swiss"/>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Calibri" w:cs="Times New Roman"/>
      </w:rPr>
      <w:id w:val="1900777855"/>
      <w:docPartObj>
        <w:docPartGallery w:val="Page Numbers (Bottom of Page)"/>
        <w:docPartUnique/>
      </w:docPartObj>
    </w:sdtPr>
    <w:sdtEndPr>
      <w:rPr>
        <w:noProof/>
        <w:sz w:val="18"/>
      </w:rPr>
    </w:sdtEndPr>
    <w:sdtContent>
      <w:p w14:paraId="7376C00F" w14:textId="5FF6955F" w:rsidR="00EE506E" w:rsidRPr="00AF28D0" w:rsidRDefault="00EE506E" w:rsidP="00AF28D0">
        <w:pPr>
          <w:tabs>
            <w:tab w:val="center" w:pos="4680"/>
          </w:tabs>
          <w:spacing w:before="0" w:after="0"/>
          <w:ind w:left="-283" w:right="-283"/>
          <w:rPr>
            <w:rFonts w:eastAsia="Calibri" w:cs="Times New Roman"/>
          </w:rPr>
        </w:pPr>
        <w:r w:rsidRPr="00AF28D0">
          <w:rPr>
            <w:rFonts w:eastAsia="Calibri" w:cs="Times New Roman"/>
          </w:rPr>
          <w:fldChar w:fldCharType="begin"/>
        </w:r>
        <w:r w:rsidRPr="00AF28D0">
          <w:rPr>
            <w:rFonts w:eastAsia="Calibri" w:cs="Times New Roman"/>
          </w:rPr>
          <w:instrText xml:space="preserve"> PAGE   \* MERGEFORMAT </w:instrText>
        </w:r>
        <w:r w:rsidRPr="00AF28D0">
          <w:rPr>
            <w:rFonts w:eastAsia="Calibri" w:cs="Times New Roman"/>
          </w:rPr>
          <w:fldChar w:fldCharType="separate"/>
        </w:r>
        <w:r w:rsidR="00571BEA">
          <w:rPr>
            <w:rFonts w:eastAsia="Calibri" w:cs="Times New Roman"/>
            <w:noProof/>
          </w:rPr>
          <w:t>368</w:t>
        </w:r>
        <w:r w:rsidRPr="00AF28D0">
          <w:rPr>
            <w:rFonts w:eastAsia="Calibri" w:cs="Times New Roman"/>
            <w:noProof/>
          </w:rPr>
          <w:fldChar w:fldCharType="end"/>
        </w:r>
        <w:r w:rsidRPr="00AF28D0">
          <w:rPr>
            <w:rFonts w:eastAsia="Calibri" w:cs="Times New Roman"/>
          </w:rPr>
          <w:tab/>
        </w:r>
        <w:r w:rsidRPr="00AF28D0">
          <w:rPr>
            <w:rFonts w:eastAsia="Calibri" w:cs="Times New Roman"/>
          </w:rPr>
          <w:tab/>
        </w:r>
        <w:r w:rsidRPr="00AF28D0">
          <w:rPr>
            <w:rFonts w:eastAsia="Calibri" w:cs="Times New Roman"/>
          </w:rPr>
          <w:tab/>
        </w:r>
        <w:r w:rsidRPr="00AF28D0">
          <w:rPr>
            <w:rFonts w:eastAsia="Calibri" w:cs="Times New Roman"/>
          </w:rPr>
          <w:tab/>
        </w:r>
        <w:r w:rsidRPr="00AF28D0">
          <w:rPr>
            <w:rFonts w:eastAsia="Calibri" w:cs="Times New Roman"/>
            <w:sz w:val="18"/>
          </w:rPr>
          <w:t xml:space="preserve">            </w:t>
        </w:r>
        <w:r>
          <w:rPr>
            <w:rFonts w:eastAsia="Calibri" w:cs="Times New Roman"/>
            <w:sz w:val="18"/>
          </w:rPr>
          <w:t xml:space="preserve">           </w:t>
        </w:r>
        <w:r>
          <w:rPr>
            <w:rFonts w:eastAsia="Calibri" w:cs="Times New Roman"/>
            <w:smallCaps/>
            <w:sz w:val="18"/>
          </w:rPr>
          <w:t>April</w:t>
        </w:r>
        <w:r w:rsidRPr="00AF28D0">
          <w:rPr>
            <w:rFonts w:eastAsia="Calibri" w:cs="Times New Roman"/>
            <w:sz w:val="18"/>
          </w:rPr>
          <w:t xml:space="preserve"> 2018</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Calibri" w:cs="Times New Roman"/>
      </w:rPr>
      <w:id w:val="76958116"/>
      <w:docPartObj>
        <w:docPartGallery w:val="Page Numbers (Bottom of Page)"/>
        <w:docPartUnique/>
      </w:docPartObj>
    </w:sdtPr>
    <w:sdtEndPr>
      <w:rPr>
        <w:noProof/>
      </w:rPr>
    </w:sdtEndPr>
    <w:sdtContent>
      <w:p w14:paraId="058FB035" w14:textId="5B97216F" w:rsidR="00EE506E" w:rsidRPr="005147B4" w:rsidRDefault="00EE506E" w:rsidP="005147B4">
        <w:pPr>
          <w:tabs>
            <w:tab w:val="center" w:pos="4680"/>
            <w:tab w:val="right" w:pos="9639"/>
          </w:tabs>
          <w:spacing w:before="0" w:after="0"/>
          <w:ind w:left="-283" w:right="-283"/>
          <w:jc w:val="left"/>
          <w:rPr>
            <w:rFonts w:eastAsia="Calibri" w:cs="Times New Roman"/>
          </w:rPr>
        </w:pPr>
        <w:r>
          <w:rPr>
            <w:rFonts w:eastAsia="Calibri" w:cs="Times New Roman"/>
            <w:smallCaps/>
            <w:sz w:val="18"/>
          </w:rPr>
          <w:t>April</w:t>
        </w:r>
        <w:r w:rsidRPr="005147B4">
          <w:rPr>
            <w:rFonts w:eastAsia="Calibri" w:cs="Times New Roman"/>
            <w:smallCaps/>
            <w:sz w:val="18"/>
          </w:rPr>
          <w:t xml:space="preserve"> 2018</w:t>
        </w:r>
        <w:r w:rsidRPr="005147B4">
          <w:rPr>
            <w:rFonts w:eastAsia="Calibri" w:cs="Times New Roman"/>
          </w:rPr>
          <w:tab/>
        </w:r>
        <w:r w:rsidRPr="005147B4">
          <w:rPr>
            <w:rFonts w:eastAsia="Calibri" w:cs="Times New Roman"/>
          </w:rPr>
          <w:tab/>
        </w:r>
        <w:r w:rsidRPr="005147B4">
          <w:rPr>
            <w:rFonts w:eastAsia="Calibri" w:cs="Times New Roman"/>
          </w:rPr>
          <w:fldChar w:fldCharType="begin"/>
        </w:r>
        <w:r w:rsidRPr="005147B4">
          <w:rPr>
            <w:rFonts w:eastAsia="Calibri" w:cs="Times New Roman"/>
          </w:rPr>
          <w:instrText xml:space="preserve"> PAGE   \* MERGEFORMAT </w:instrText>
        </w:r>
        <w:r w:rsidRPr="005147B4">
          <w:rPr>
            <w:rFonts w:eastAsia="Calibri" w:cs="Times New Roman"/>
          </w:rPr>
          <w:fldChar w:fldCharType="separate"/>
        </w:r>
        <w:r w:rsidR="00571BEA">
          <w:rPr>
            <w:rFonts w:eastAsia="Calibri" w:cs="Times New Roman"/>
            <w:noProof/>
          </w:rPr>
          <w:t>367</w:t>
        </w:r>
        <w:r w:rsidRPr="005147B4">
          <w:rPr>
            <w:rFonts w:eastAsia="Calibri"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A57ADF" w14:textId="77777777" w:rsidR="00EE506E" w:rsidRDefault="00EE506E" w:rsidP="00114E26">
      <w:pPr>
        <w:spacing w:before="0" w:after="0"/>
      </w:pPr>
      <w:r>
        <w:separator/>
      </w:r>
    </w:p>
  </w:footnote>
  <w:footnote w:type="continuationSeparator" w:id="0">
    <w:p w14:paraId="4B3E4470" w14:textId="77777777" w:rsidR="00EE506E" w:rsidRDefault="00EE506E" w:rsidP="00B26386">
      <w:r>
        <w:continuationSeparator/>
      </w:r>
    </w:p>
  </w:footnote>
  <w:footnote w:id="1">
    <w:p w14:paraId="64566E2F" w14:textId="765F88E9" w:rsidR="00EE506E" w:rsidRPr="000605BC" w:rsidRDefault="00EE506E" w:rsidP="008004ED">
      <w:pPr>
        <w:pStyle w:val="FootnoteText"/>
        <w:rPr>
          <w:rFonts w:cs="Times New Roman"/>
        </w:rPr>
      </w:pPr>
      <w:r w:rsidRPr="000605BC">
        <w:rPr>
          <w:rStyle w:val="FootnoteReference"/>
          <w:rFonts w:cs="Times New Roman"/>
        </w:rPr>
        <w:footnoteRef/>
      </w:r>
      <w:r w:rsidRPr="000605BC">
        <w:rPr>
          <w:rFonts w:cs="Times New Roman"/>
        </w:rPr>
        <w:t xml:space="preserve"> Raymond W Baker, “The Scale of the Global Financial Structure Facilitating Money Laundering” in Brigitte Unger &amp; </w:t>
      </w:r>
      <w:proofErr w:type="spellStart"/>
      <w:r w:rsidRPr="000605BC">
        <w:rPr>
          <w:rFonts w:cs="Times New Roman"/>
        </w:rPr>
        <w:t>Daan</w:t>
      </w:r>
      <w:proofErr w:type="spellEnd"/>
      <w:r w:rsidRPr="000605BC">
        <w:rPr>
          <w:rFonts w:cs="Times New Roman"/>
        </w:rPr>
        <w:t xml:space="preserve"> van der Linde, </w:t>
      </w:r>
      <w:proofErr w:type="spellStart"/>
      <w:r w:rsidRPr="000605BC">
        <w:rPr>
          <w:rFonts w:cs="Times New Roman"/>
        </w:rPr>
        <w:t>eds</w:t>
      </w:r>
      <w:proofErr w:type="spellEnd"/>
      <w:r w:rsidRPr="000605BC">
        <w:rPr>
          <w:rFonts w:cs="Times New Roman"/>
        </w:rPr>
        <w:t xml:space="preserve">, </w:t>
      </w:r>
      <w:r w:rsidRPr="000605BC">
        <w:rPr>
          <w:rFonts w:cs="Times New Roman"/>
          <w:i/>
        </w:rPr>
        <w:t>Research Handbook on Money Laundering</w:t>
      </w:r>
      <w:r w:rsidRPr="000605BC">
        <w:rPr>
          <w:rFonts w:cs="Times New Roman"/>
        </w:rPr>
        <w:t xml:space="preserve"> (Edward Elgar, 2013) 190 at 191.</w:t>
      </w:r>
    </w:p>
  </w:footnote>
  <w:footnote w:id="2">
    <w:p w14:paraId="2A4A125A" w14:textId="6EB4E108" w:rsidR="00EE506E" w:rsidRPr="000605BC" w:rsidRDefault="00EE506E" w:rsidP="008004ED">
      <w:pPr>
        <w:pStyle w:val="FootnoteText"/>
        <w:rPr>
          <w:rFonts w:cs="Times New Roman"/>
          <w:lang w:val="en-US"/>
        </w:rPr>
      </w:pPr>
      <w:r w:rsidRPr="000605BC">
        <w:rPr>
          <w:rStyle w:val="FootnoteReference"/>
          <w:rFonts w:cs="Times New Roman"/>
        </w:rPr>
        <w:footnoteRef/>
      </w:r>
      <w:r w:rsidRPr="000605BC">
        <w:rPr>
          <w:rFonts w:cs="Times New Roman"/>
        </w:rPr>
        <w:t xml:space="preserve"> </w:t>
      </w:r>
      <w:r w:rsidRPr="000605BC">
        <w:rPr>
          <w:rFonts w:cs="Times New Roman"/>
          <w:i/>
        </w:rPr>
        <w:t>Ibid</w:t>
      </w:r>
      <w:r w:rsidRPr="000605BC">
        <w:rPr>
          <w:rFonts w:cs="Times New Roman"/>
        </w:rPr>
        <w:t xml:space="preserve"> at 190.</w:t>
      </w:r>
    </w:p>
  </w:footnote>
  <w:footnote w:id="3">
    <w:p w14:paraId="5B64E320" w14:textId="164535E7" w:rsidR="00EE506E" w:rsidRPr="000605BC" w:rsidRDefault="00EE506E" w:rsidP="008004ED">
      <w:pPr>
        <w:pStyle w:val="FootnoteText"/>
        <w:rPr>
          <w:szCs w:val="18"/>
        </w:rPr>
      </w:pPr>
      <w:r w:rsidRPr="000605BC">
        <w:rPr>
          <w:rStyle w:val="FootnoteReference"/>
          <w:szCs w:val="18"/>
        </w:rPr>
        <w:footnoteRef/>
      </w:r>
      <w:r w:rsidRPr="000605BC">
        <w:rPr>
          <w:szCs w:val="18"/>
        </w:rPr>
        <w:t xml:space="preserve"> </w:t>
      </w:r>
      <w:r w:rsidRPr="000605BC">
        <w:rPr>
          <w:rFonts w:cs="Times New Roman"/>
          <w:szCs w:val="18"/>
        </w:rPr>
        <w:t xml:space="preserve">Margaret </w:t>
      </w:r>
      <w:proofErr w:type="spellStart"/>
      <w:r w:rsidRPr="000605BC">
        <w:rPr>
          <w:rFonts w:cs="Times New Roman"/>
          <w:szCs w:val="18"/>
        </w:rPr>
        <w:t>Beare</w:t>
      </w:r>
      <w:proofErr w:type="spellEnd"/>
      <w:r w:rsidRPr="000605BC">
        <w:rPr>
          <w:rFonts w:cs="Times New Roman"/>
          <w:szCs w:val="18"/>
        </w:rPr>
        <w:t xml:space="preserve">, </w:t>
      </w:r>
      <w:r w:rsidRPr="000605BC">
        <w:rPr>
          <w:rFonts w:cs="Times New Roman"/>
          <w:i/>
          <w:szCs w:val="18"/>
        </w:rPr>
        <w:t>Criminal Conspiracies - Organized Crime in Canada</w:t>
      </w:r>
      <w:r w:rsidRPr="000605BC">
        <w:rPr>
          <w:rFonts w:cs="Times New Roman"/>
          <w:szCs w:val="18"/>
        </w:rPr>
        <w:t>, (Oxford University Press, 2015) at 208.</w:t>
      </w:r>
    </w:p>
  </w:footnote>
  <w:footnote w:id="4">
    <w:p w14:paraId="597790F2" w14:textId="2C29EA1E" w:rsidR="00EE506E" w:rsidRPr="000605BC" w:rsidRDefault="00EE506E" w:rsidP="008004ED">
      <w:pPr>
        <w:pStyle w:val="FootnoteText"/>
        <w:rPr>
          <w:rFonts w:cs="Times New Roman"/>
          <w:highlight w:val="yellow"/>
        </w:rPr>
      </w:pPr>
      <w:r w:rsidRPr="000605BC">
        <w:rPr>
          <w:rStyle w:val="FootnoteReference"/>
          <w:rFonts w:cs="Times New Roman"/>
        </w:rPr>
        <w:footnoteRef/>
      </w:r>
      <w:r w:rsidRPr="000605BC">
        <w:rPr>
          <w:rFonts w:cs="Times New Roman"/>
        </w:rPr>
        <w:t xml:space="preserve"> Killian J McCarthy, “Why Do Some States Tolerate Money Laundering? On the Competition for Illegal Money” in Unger &amp; van der Linde, </w:t>
      </w:r>
      <w:proofErr w:type="spellStart"/>
      <w:proofErr w:type="gramStart"/>
      <w:r w:rsidRPr="000605BC">
        <w:rPr>
          <w:rFonts w:cs="Times New Roman"/>
        </w:rPr>
        <w:t>eds</w:t>
      </w:r>
      <w:proofErr w:type="spellEnd"/>
      <w:proofErr w:type="gramEnd"/>
      <w:r w:rsidRPr="000605BC">
        <w:rPr>
          <w:rFonts w:cs="Times New Roman"/>
        </w:rPr>
        <w:t>, (2013) 127 at 129.</w:t>
      </w:r>
    </w:p>
  </w:footnote>
  <w:footnote w:id="5">
    <w:p w14:paraId="5913DC5C" w14:textId="54A9AE30" w:rsidR="00EE506E" w:rsidRPr="000605BC" w:rsidRDefault="00EE506E" w:rsidP="008004ED">
      <w:pPr>
        <w:pStyle w:val="FootnoteText"/>
      </w:pPr>
      <w:r w:rsidRPr="000605BC">
        <w:rPr>
          <w:rStyle w:val="FootnoteReference"/>
        </w:rPr>
        <w:footnoteRef/>
      </w:r>
      <w:r w:rsidRPr="000605BC">
        <w:t xml:space="preserve"> Global Organization of Parliamentarians </w:t>
      </w:r>
      <w:proofErr w:type="gramStart"/>
      <w:r w:rsidRPr="000605BC">
        <w:t>Against</w:t>
      </w:r>
      <w:proofErr w:type="gramEnd"/>
      <w:r w:rsidRPr="000605BC">
        <w:t xml:space="preserve"> Corruption, </w:t>
      </w:r>
      <w:r w:rsidRPr="000605BC">
        <w:rPr>
          <w:rFonts w:cs="Times New Roman"/>
          <w:i/>
        </w:rPr>
        <w:t>Anti-Money Laundering Action Guide for Parliamentarians</w:t>
      </w:r>
      <w:r w:rsidRPr="000605BC">
        <w:rPr>
          <w:rFonts w:cs="Times New Roman"/>
        </w:rPr>
        <w:t xml:space="preserve"> (GOPAC, 2011), online:</w:t>
      </w:r>
      <w:r>
        <w:t xml:space="preserve"> </w:t>
      </w:r>
      <w:r w:rsidRPr="000605BC">
        <w:t>&lt;</w:t>
      </w:r>
      <w:hyperlink r:id="rId1" w:history="1">
        <w:r w:rsidRPr="000605BC">
          <w:rPr>
            <w:rStyle w:val="Hyperlink"/>
          </w:rPr>
          <w:t>http://www.gopacnetwork.org/Docs/GOPAC_AML_ActionGuide_EN.pdf</w:t>
        </w:r>
      </w:hyperlink>
      <w:r w:rsidRPr="000605BC">
        <w:t>&gt;.</w:t>
      </w:r>
    </w:p>
  </w:footnote>
  <w:footnote w:id="6">
    <w:p w14:paraId="48A9AA02" w14:textId="6F7F3B83" w:rsidR="00EE506E" w:rsidRPr="000605BC" w:rsidRDefault="00EE506E" w:rsidP="00E31E4E">
      <w:pPr>
        <w:pStyle w:val="FootnoteText"/>
        <w:rPr>
          <w:szCs w:val="18"/>
        </w:rPr>
      </w:pPr>
      <w:r w:rsidRPr="000605BC">
        <w:rPr>
          <w:rStyle w:val="FootnoteReference"/>
          <w:szCs w:val="18"/>
        </w:rPr>
        <w:footnoteRef/>
      </w:r>
      <w:r w:rsidRPr="000605BC">
        <w:rPr>
          <w:szCs w:val="18"/>
        </w:rPr>
        <w:t xml:space="preserve"> </w:t>
      </w:r>
      <w:proofErr w:type="spellStart"/>
      <w:r w:rsidRPr="000605BC">
        <w:rPr>
          <w:rFonts w:cs="Times New Roman"/>
          <w:szCs w:val="18"/>
        </w:rPr>
        <w:t>Beare</w:t>
      </w:r>
      <w:proofErr w:type="spellEnd"/>
      <w:r w:rsidRPr="000605BC">
        <w:rPr>
          <w:rFonts w:cs="Times New Roman"/>
          <w:szCs w:val="18"/>
        </w:rPr>
        <w:t xml:space="preserve"> (2015) at 243-44.</w:t>
      </w:r>
    </w:p>
  </w:footnote>
  <w:footnote w:id="7">
    <w:p w14:paraId="2FEBEEB6" w14:textId="77777777" w:rsidR="00EE506E" w:rsidRPr="000605BC" w:rsidRDefault="00EE506E" w:rsidP="00E31E4E">
      <w:pPr>
        <w:pStyle w:val="FootnoteText"/>
        <w:rPr>
          <w:szCs w:val="18"/>
        </w:rPr>
      </w:pPr>
      <w:r w:rsidRPr="000605BC">
        <w:rPr>
          <w:rStyle w:val="FootnoteReference"/>
          <w:szCs w:val="18"/>
        </w:rPr>
        <w:footnoteRef/>
      </w:r>
      <w:r w:rsidRPr="000605BC">
        <w:rPr>
          <w:szCs w:val="18"/>
        </w:rPr>
        <w:t xml:space="preserve"> </w:t>
      </w:r>
      <w:r w:rsidRPr="000605BC">
        <w:rPr>
          <w:rFonts w:cs="Times New Roman"/>
          <w:i/>
          <w:szCs w:val="18"/>
        </w:rPr>
        <w:t>Ibid</w:t>
      </w:r>
      <w:r w:rsidRPr="000605BC">
        <w:rPr>
          <w:rFonts w:cs="Times New Roman"/>
          <w:szCs w:val="18"/>
        </w:rPr>
        <w:t xml:space="preserve"> at 215-16. </w:t>
      </w:r>
    </w:p>
  </w:footnote>
  <w:footnote w:id="8">
    <w:p w14:paraId="093189BF" w14:textId="77777777" w:rsidR="00EE506E" w:rsidRPr="000605BC" w:rsidRDefault="00EE506E" w:rsidP="00E31E4E">
      <w:pPr>
        <w:pStyle w:val="FootnoteText"/>
      </w:pPr>
      <w:r w:rsidRPr="000605BC">
        <w:rPr>
          <w:rStyle w:val="FootnoteReference"/>
          <w:szCs w:val="18"/>
        </w:rPr>
        <w:footnoteRef/>
      </w:r>
      <w:r w:rsidRPr="000605BC">
        <w:rPr>
          <w:szCs w:val="18"/>
        </w:rPr>
        <w:t xml:space="preserve"> United States, Department of Justice, “The Liberty Reserve Global Takedown”, online: &lt;</w:t>
      </w:r>
      <w:hyperlink r:id="rId2" w:history="1">
        <w:r w:rsidRPr="000605BC">
          <w:rPr>
            <w:rStyle w:val="Hyperlink"/>
            <w:szCs w:val="18"/>
          </w:rPr>
          <w:t>https://www.justice.gov/sites/default/files/usao-sdny/legacy/2013/05/30/visual.pdf</w:t>
        </w:r>
      </w:hyperlink>
      <w:r w:rsidRPr="000605BC">
        <w:rPr>
          <w:szCs w:val="18"/>
        </w:rPr>
        <w:t>&gt;.</w:t>
      </w:r>
      <w:r w:rsidRPr="000605BC">
        <w:t xml:space="preserve"> </w:t>
      </w:r>
    </w:p>
  </w:footnote>
  <w:footnote w:id="9">
    <w:p w14:paraId="4C7E1EC1" w14:textId="77777777" w:rsidR="00EE506E" w:rsidRPr="000605BC" w:rsidRDefault="00EE506E" w:rsidP="00E31E4E">
      <w:pPr>
        <w:pStyle w:val="FootnoteText"/>
        <w:rPr>
          <w:rFonts w:cs="Times New Roman"/>
        </w:rPr>
      </w:pPr>
      <w:r w:rsidRPr="000605BC">
        <w:rPr>
          <w:rStyle w:val="FootnoteReference"/>
          <w:rFonts w:cs="Times New Roman"/>
        </w:rPr>
        <w:footnoteRef/>
      </w:r>
      <w:r w:rsidRPr="000605BC">
        <w:rPr>
          <w:rFonts w:cs="Times New Roman"/>
        </w:rPr>
        <w:t xml:space="preserve"> Financial Action Task Force, “Laundering the Proceeds of Corruption: FATF Report” (FATF, July 2011), online: &lt;</w:t>
      </w:r>
      <w:hyperlink r:id="rId3" w:history="1">
        <w:r w:rsidRPr="000605BC">
          <w:rPr>
            <w:rStyle w:val="Hyperlink"/>
            <w:rFonts w:cs="Times New Roman"/>
          </w:rPr>
          <w:t>http://www.fatf-gafi.org/media/fatf/documents/reports/Laundering the Proceeds of Corruption.pdf</w:t>
        </w:r>
      </w:hyperlink>
      <w:r w:rsidRPr="000605BC">
        <w:rPr>
          <w:rFonts w:cs="Times New Roman"/>
        </w:rPr>
        <w:t>&gt;.</w:t>
      </w:r>
    </w:p>
  </w:footnote>
  <w:footnote w:id="10">
    <w:p w14:paraId="1D6EBF10" w14:textId="20A32156" w:rsidR="00EE506E" w:rsidRPr="000605BC" w:rsidRDefault="00EE506E" w:rsidP="00E31E4E">
      <w:pPr>
        <w:pStyle w:val="FootnoteText"/>
        <w:rPr>
          <w:rFonts w:cs="Times New Roman"/>
          <w:lang w:val="en-US"/>
        </w:rPr>
      </w:pPr>
      <w:r w:rsidRPr="000605BC">
        <w:rPr>
          <w:rStyle w:val="FootnoteReference"/>
          <w:rFonts w:cs="Times New Roman"/>
        </w:rPr>
        <w:footnoteRef/>
      </w:r>
      <w:r w:rsidRPr="000605BC">
        <w:rPr>
          <w:rFonts w:cs="Times New Roman"/>
        </w:rPr>
        <w:t xml:space="preserve"> </w:t>
      </w:r>
      <w:r w:rsidRPr="000605BC">
        <w:rPr>
          <w:rFonts w:cs="Times New Roman"/>
          <w:lang w:val="en-US"/>
        </w:rPr>
        <w:t xml:space="preserve">[39] </w:t>
      </w:r>
      <w:r w:rsidRPr="000605BC">
        <w:rPr>
          <w:rFonts w:cs="Times New Roman"/>
          <w:i/>
          <w:lang w:val="en-US"/>
        </w:rPr>
        <w:t>United States v. Green, et al</w:t>
      </w:r>
      <w:r w:rsidRPr="000605BC">
        <w:rPr>
          <w:rFonts w:cs="Times New Roman"/>
          <w:lang w:val="en-US"/>
        </w:rPr>
        <w:t>, (2010) court documents. Kickbacks and bribes generally have no legal distinction. In ordinary parlance, a kickback typically refers to the payment of a percentage of a specific contract, while bribery is simply the unrestricted payment of money.</w:t>
      </w:r>
    </w:p>
  </w:footnote>
  <w:footnote w:id="11">
    <w:p w14:paraId="3CA48056" w14:textId="77777777" w:rsidR="00EE506E" w:rsidRPr="000605BC" w:rsidRDefault="00EE506E" w:rsidP="00E31E4E">
      <w:pPr>
        <w:pStyle w:val="FootnoteText"/>
        <w:rPr>
          <w:lang w:val="en-US"/>
        </w:rPr>
      </w:pPr>
      <w:r w:rsidRPr="000605BC">
        <w:rPr>
          <w:rStyle w:val="FootnoteReference"/>
          <w:rFonts w:cs="Times New Roman"/>
        </w:rPr>
        <w:footnoteRef/>
      </w:r>
      <w:r w:rsidRPr="000605BC">
        <w:t xml:space="preserve"> </w:t>
      </w:r>
      <w:r w:rsidRPr="000605BC">
        <w:rPr>
          <w:lang w:val="en-US"/>
        </w:rPr>
        <w:t xml:space="preserve">[40] </w:t>
      </w:r>
      <w:r w:rsidRPr="000605BC">
        <w:rPr>
          <w:i/>
          <w:lang w:val="en-US"/>
        </w:rPr>
        <w:t>People of the Philippines v. Estrada</w:t>
      </w:r>
      <w:r w:rsidRPr="000605BC">
        <w:rPr>
          <w:lang w:val="en-US"/>
        </w:rPr>
        <w:t xml:space="preserve"> (2007), court decision.</w:t>
      </w:r>
    </w:p>
  </w:footnote>
  <w:footnote w:id="12">
    <w:p w14:paraId="0DDC2D93" w14:textId="77777777" w:rsidR="00EE506E" w:rsidRPr="000605BC" w:rsidRDefault="00EE506E" w:rsidP="00E31E4E">
      <w:pPr>
        <w:pStyle w:val="FootnoteText"/>
        <w:rPr>
          <w:rFonts w:eastAsiaTheme="minorEastAsia"/>
          <w:lang w:val="en-US" w:eastAsia="ja-JP"/>
        </w:rPr>
      </w:pPr>
      <w:r w:rsidRPr="000605BC">
        <w:rPr>
          <w:rStyle w:val="FootnoteReference"/>
          <w:rFonts w:cs="Times New Roman"/>
        </w:rPr>
        <w:footnoteRef/>
      </w:r>
      <w:r w:rsidRPr="000605BC">
        <w:t xml:space="preserve"> </w:t>
      </w:r>
      <w:r w:rsidRPr="000605BC">
        <w:rPr>
          <w:lang w:val="en-US"/>
        </w:rPr>
        <w:t xml:space="preserve">[41] </w:t>
      </w:r>
      <w:r w:rsidRPr="000605BC">
        <w:rPr>
          <w:rFonts w:eastAsiaTheme="minorEastAsia"/>
          <w:i/>
          <w:lang w:val="en-US" w:eastAsia="ja-JP"/>
        </w:rPr>
        <w:t>United States v. Cunningham</w:t>
      </w:r>
      <w:r w:rsidRPr="000605BC">
        <w:rPr>
          <w:rFonts w:eastAsiaTheme="minorEastAsia"/>
          <w:lang w:val="en-US" w:eastAsia="ja-JP"/>
        </w:rPr>
        <w:t xml:space="preserve"> (2006), court documents.</w:t>
      </w:r>
    </w:p>
  </w:footnote>
  <w:footnote w:id="13">
    <w:p w14:paraId="52CD1B12" w14:textId="77777777" w:rsidR="00EE506E" w:rsidRPr="000605BC" w:rsidRDefault="00EE506E" w:rsidP="00E31E4E">
      <w:pPr>
        <w:pStyle w:val="FootnoteText"/>
        <w:rPr>
          <w:rFonts w:eastAsiaTheme="minorEastAsia"/>
          <w:lang w:val="en-US" w:eastAsia="ja-JP"/>
        </w:rPr>
      </w:pPr>
      <w:r w:rsidRPr="000605BC">
        <w:rPr>
          <w:rStyle w:val="FootnoteReference"/>
          <w:rFonts w:cs="Times New Roman"/>
        </w:rPr>
        <w:footnoteRef/>
      </w:r>
      <w:r w:rsidRPr="000605BC">
        <w:t xml:space="preserve"> </w:t>
      </w:r>
      <w:r w:rsidRPr="000605BC">
        <w:rPr>
          <w:lang w:val="en-US"/>
        </w:rPr>
        <w:t xml:space="preserve">[42] </w:t>
      </w:r>
      <w:r w:rsidRPr="000605BC">
        <w:rPr>
          <w:rFonts w:eastAsiaTheme="minorEastAsia"/>
          <w:i/>
          <w:lang w:val="en-US" w:eastAsia="ja-JP"/>
        </w:rPr>
        <w:t xml:space="preserve">United States v. </w:t>
      </w:r>
      <w:proofErr w:type="spellStart"/>
      <w:r w:rsidRPr="000605BC">
        <w:rPr>
          <w:rFonts w:eastAsiaTheme="minorEastAsia"/>
          <w:i/>
          <w:lang w:val="en-US" w:eastAsia="ja-JP"/>
        </w:rPr>
        <w:t>Lazarenko</w:t>
      </w:r>
      <w:proofErr w:type="spellEnd"/>
      <w:r w:rsidRPr="000605BC">
        <w:rPr>
          <w:rFonts w:eastAsiaTheme="minorEastAsia"/>
          <w:lang w:val="en-US" w:eastAsia="ja-JP"/>
        </w:rPr>
        <w:t xml:space="preserve"> (2006), court decision. </w:t>
      </w:r>
    </w:p>
  </w:footnote>
  <w:footnote w:id="14">
    <w:p w14:paraId="059BBB02" w14:textId="77777777" w:rsidR="00EE506E" w:rsidRPr="000605BC" w:rsidRDefault="00EE506E" w:rsidP="00B819E3">
      <w:pPr>
        <w:pStyle w:val="FootnoteText"/>
        <w:rPr>
          <w:lang w:val="en-US"/>
        </w:rPr>
      </w:pPr>
      <w:r w:rsidRPr="000605BC">
        <w:rPr>
          <w:rStyle w:val="FootnoteReference"/>
          <w:rFonts w:cs="Times New Roman"/>
        </w:rPr>
        <w:footnoteRef/>
      </w:r>
      <w:r w:rsidRPr="000605BC">
        <w:t xml:space="preserve"> </w:t>
      </w:r>
      <w:r w:rsidRPr="000605BC">
        <w:rPr>
          <w:lang w:val="en-US"/>
        </w:rPr>
        <w:t>[43] Permanent Subcommittee on Investigations (2010), pp. 24-25.</w:t>
      </w:r>
    </w:p>
  </w:footnote>
  <w:footnote w:id="15">
    <w:p w14:paraId="4261FB31" w14:textId="77777777" w:rsidR="00EE506E" w:rsidRPr="000605BC" w:rsidRDefault="00EE506E" w:rsidP="00B819E3">
      <w:pPr>
        <w:pStyle w:val="FootnoteText"/>
        <w:rPr>
          <w:lang w:val="en-US"/>
        </w:rPr>
      </w:pPr>
      <w:r w:rsidRPr="000605BC">
        <w:rPr>
          <w:rStyle w:val="FootnoteReference"/>
          <w:rFonts w:cs="Times New Roman"/>
        </w:rPr>
        <w:footnoteRef/>
      </w:r>
      <w:r w:rsidRPr="000605BC">
        <w:t xml:space="preserve"> </w:t>
      </w:r>
      <w:r w:rsidRPr="000605BC">
        <w:rPr>
          <w:lang w:val="en-US"/>
        </w:rPr>
        <w:t xml:space="preserve">[44] </w:t>
      </w:r>
      <w:r w:rsidRPr="000605BC">
        <w:rPr>
          <w:i/>
          <w:lang w:val="en-US"/>
        </w:rPr>
        <w:t xml:space="preserve">Federal Republic of Nigeria v. Joshua </w:t>
      </w:r>
      <w:proofErr w:type="spellStart"/>
      <w:r w:rsidRPr="000605BC">
        <w:rPr>
          <w:i/>
          <w:lang w:val="en-US"/>
        </w:rPr>
        <w:t>Chibi</w:t>
      </w:r>
      <w:proofErr w:type="spellEnd"/>
      <w:r w:rsidRPr="000605BC">
        <w:rPr>
          <w:i/>
          <w:lang w:val="en-US"/>
        </w:rPr>
        <w:t xml:space="preserve"> </w:t>
      </w:r>
      <w:proofErr w:type="spellStart"/>
      <w:r w:rsidRPr="000605BC">
        <w:rPr>
          <w:i/>
          <w:lang w:val="en-US"/>
        </w:rPr>
        <w:t>Dariye</w:t>
      </w:r>
      <w:proofErr w:type="spellEnd"/>
      <w:r w:rsidRPr="000605BC">
        <w:rPr>
          <w:lang w:val="en-US"/>
        </w:rPr>
        <w:t xml:space="preserve"> (2007) (UK) court documents.</w:t>
      </w:r>
    </w:p>
  </w:footnote>
  <w:footnote w:id="16">
    <w:p w14:paraId="43EE5ADF" w14:textId="77777777" w:rsidR="00EE506E" w:rsidRPr="000605BC" w:rsidRDefault="00EE506E" w:rsidP="00B819E3">
      <w:pPr>
        <w:pStyle w:val="FootnoteText"/>
        <w:rPr>
          <w:lang w:val="en-US"/>
        </w:rPr>
      </w:pPr>
      <w:r w:rsidRPr="000605BC">
        <w:rPr>
          <w:rStyle w:val="FootnoteReference"/>
          <w:rFonts w:cs="Times New Roman"/>
        </w:rPr>
        <w:footnoteRef/>
      </w:r>
      <w:r w:rsidRPr="000605BC">
        <w:t xml:space="preserve"> </w:t>
      </w:r>
      <w:r w:rsidRPr="000605BC">
        <w:rPr>
          <w:lang w:val="en-US"/>
        </w:rPr>
        <w:t xml:space="preserve">[45] </w:t>
      </w:r>
      <w:proofErr w:type="spellStart"/>
      <w:r w:rsidRPr="000605BC">
        <w:rPr>
          <w:lang w:val="en-US"/>
        </w:rPr>
        <w:t>Okonjo-Iweala</w:t>
      </w:r>
      <w:proofErr w:type="spellEnd"/>
      <w:r w:rsidRPr="000605BC">
        <w:rPr>
          <w:lang w:val="en-US"/>
        </w:rPr>
        <w:t xml:space="preserve">, </w:t>
      </w:r>
      <w:proofErr w:type="gramStart"/>
      <w:r w:rsidRPr="000605BC">
        <w:rPr>
          <w:lang w:val="en-US"/>
        </w:rPr>
        <w:t>The</w:t>
      </w:r>
      <w:proofErr w:type="gramEnd"/>
      <w:r w:rsidRPr="000605BC">
        <w:rPr>
          <w:lang w:val="en-US"/>
        </w:rPr>
        <w:t xml:space="preserve"> Nigerian Experience (2007) unpublished World Bank case study.</w:t>
      </w:r>
    </w:p>
  </w:footnote>
  <w:footnote w:id="17">
    <w:p w14:paraId="3DB1D3D0" w14:textId="77777777" w:rsidR="00EE506E" w:rsidRPr="000605BC" w:rsidRDefault="00EE506E" w:rsidP="00E31E4E">
      <w:pPr>
        <w:pStyle w:val="FootnoteText"/>
        <w:rPr>
          <w:lang w:val="en-US" w:eastAsia="ja-JP"/>
        </w:rPr>
      </w:pPr>
      <w:r w:rsidRPr="000605BC">
        <w:rPr>
          <w:rStyle w:val="FootnoteReference"/>
          <w:rFonts w:cs="Times New Roman"/>
        </w:rPr>
        <w:footnoteRef/>
      </w:r>
      <w:r w:rsidRPr="000605BC">
        <w:t xml:space="preserve"> </w:t>
      </w:r>
      <w:r w:rsidRPr="000605BC">
        <w:rPr>
          <w:lang w:val="en-US"/>
        </w:rPr>
        <w:t xml:space="preserve">[46] </w:t>
      </w:r>
      <w:r w:rsidRPr="000605BC">
        <w:rPr>
          <w:lang w:val="en-US" w:eastAsia="ja-JP"/>
        </w:rPr>
        <w:t xml:space="preserve">In preparation for the fourth round of mutual evaluations, the FATF has recently started a review of some key components of the Recommendations, including transparency of legal persons and arrangements. In February 2012, the FATF plenary will consider the WGEI [Working Group on Evaluations and Implementation] recommendation on amending the standards related to the transparency of legal persons and arrangements. </w:t>
      </w:r>
    </w:p>
  </w:footnote>
  <w:footnote w:id="18">
    <w:p w14:paraId="6A17AF52" w14:textId="574DE65F" w:rsidR="00EE506E" w:rsidRPr="000605BC" w:rsidRDefault="00EE506E" w:rsidP="00E31E4E">
      <w:pPr>
        <w:pStyle w:val="FootnoteText"/>
        <w:rPr>
          <w:lang w:val="en-US"/>
        </w:rPr>
      </w:pPr>
      <w:r w:rsidRPr="000605BC">
        <w:rPr>
          <w:rStyle w:val="FootnoteReference"/>
          <w:rFonts w:cs="Times New Roman"/>
        </w:rPr>
        <w:footnoteRef/>
      </w:r>
      <w:r w:rsidRPr="000605BC">
        <w:t xml:space="preserve"> </w:t>
      </w:r>
      <w:r w:rsidRPr="000605BC">
        <w:rPr>
          <w:lang w:val="en-US"/>
        </w:rPr>
        <w:t>[47] FATF (2006).</w:t>
      </w:r>
    </w:p>
  </w:footnote>
  <w:footnote w:id="19">
    <w:p w14:paraId="29ADD80C" w14:textId="628BA2B3" w:rsidR="00EE506E" w:rsidRPr="000605BC" w:rsidRDefault="00EE506E" w:rsidP="00E31E4E">
      <w:pPr>
        <w:pStyle w:val="FootnoteText"/>
        <w:rPr>
          <w:lang w:val="en-US"/>
        </w:rPr>
      </w:pPr>
      <w:r w:rsidRPr="000605BC">
        <w:rPr>
          <w:rStyle w:val="FootnoteReference"/>
          <w:rFonts w:cs="Times New Roman"/>
        </w:rPr>
        <w:footnoteRef/>
      </w:r>
      <w:r w:rsidRPr="000605BC">
        <w:t xml:space="preserve"> </w:t>
      </w:r>
      <w:r w:rsidRPr="000605BC">
        <w:rPr>
          <w:lang w:val="en-US"/>
        </w:rPr>
        <w:t xml:space="preserve">[48] </w:t>
      </w:r>
      <w:r w:rsidRPr="000605BC">
        <w:t>FATF (2010b).</w:t>
      </w:r>
    </w:p>
  </w:footnote>
  <w:footnote w:id="20">
    <w:p w14:paraId="0D46167C" w14:textId="21EDA537" w:rsidR="00EE506E" w:rsidRPr="000605BC" w:rsidRDefault="00EE506E" w:rsidP="00E31E4E">
      <w:pPr>
        <w:pStyle w:val="FootnoteText"/>
      </w:pPr>
      <w:r w:rsidRPr="000605BC">
        <w:rPr>
          <w:rStyle w:val="FootnoteReference"/>
          <w:rFonts w:cs="Times New Roman"/>
        </w:rPr>
        <w:footnoteRef/>
      </w:r>
      <w:r w:rsidRPr="000605BC">
        <w:t xml:space="preserve"> </w:t>
      </w:r>
      <w:r w:rsidRPr="000605BC">
        <w:rPr>
          <w:lang w:val="en-US"/>
        </w:rPr>
        <w:t xml:space="preserve">[49] </w:t>
      </w:r>
      <w:r w:rsidRPr="000605BC">
        <w:t xml:space="preserve">See, e.g., United States Government Accountability Office (2006). </w:t>
      </w:r>
    </w:p>
  </w:footnote>
  <w:footnote w:id="21">
    <w:p w14:paraId="54D94985" w14:textId="77777777" w:rsidR="00EE506E" w:rsidRPr="000605BC" w:rsidRDefault="00EE506E" w:rsidP="00E31E4E">
      <w:pPr>
        <w:pStyle w:val="FootnoteText"/>
        <w:rPr>
          <w:szCs w:val="18"/>
          <w:lang w:val="en-US"/>
        </w:rPr>
      </w:pPr>
      <w:r w:rsidRPr="000605BC">
        <w:rPr>
          <w:rStyle w:val="FootnoteReference"/>
          <w:rFonts w:cs="Times New Roman"/>
          <w:szCs w:val="18"/>
        </w:rPr>
        <w:footnoteRef/>
      </w:r>
      <w:r w:rsidRPr="000605BC">
        <w:rPr>
          <w:szCs w:val="18"/>
        </w:rPr>
        <w:t xml:space="preserve"> [</w:t>
      </w:r>
      <w:r w:rsidRPr="000605BC">
        <w:rPr>
          <w:szCs w:val="18"/>
          <w:lang w:val="en-US"/>
        </w:rPr>
        <w:t xml:space="preserve">50] </w:t>
      </w:r>
      <w:r w:rsidRPr="000605BC">
        <w:rPr>
          <w:szCs w:val="18"/>
        </w:rPr>
        <w:t>Baker, R.W. (2005), p. 37.</w:t>
      </w:r>
    </w:p>
  </w:footnote>
  <w:footnote w:id="22">
    <w:p w14:paraId="2EE64F2E" w14:textId="40ECDCE6" w:rsidR="00EE506E" w:rsidRPr="000605BC" w:rsidRDefault="00EE506E" w:rsidP="00E31E4E">
      <w:pPr>
        <w:pStyle w:val="FootnoteText"/>
      </w:pPr>
      <w:r w:rsidRPr="000605BC">
        <w:rPr>
          <w:rStyle w:val="FootnoteReference"/>
          <w:rFonts w:cs="Times New Roman"/>
          <w:szCs w:val="18"/>
        </w:rPr>
        <w:footnoteRef/>
      </w:r>
      <w:r w:rsidRPr="000605BC">
        <w:t xml:space="preserve"> </w:t>
      </w:r>
      <w:r w:rsidRPr="000605BC">
        <w:rPr>
          <w:lang w:val="en-US"/>
        </w:rPr>
        <w:t xml:space="preserve">[51] </w:t>
      </w:r>
      <w:r w:rsidRPr="000605BC">
        <w:t>Sharman, J.C. (2010).</w:t>
      </w:r>
    </w:p>
  </w:footnote>
  <w:footnote w:id="23">
    <w:p w14:paraId="547865B6" w14:textId="653DCBD1" w:rsidR="00EE506E" w:rsidRPr="000605BC" w:rsidRDefault="00EE506E" w:rsidP="00E31E4E">
      <w:pPr>
        <w:pStyle w:val="FootnoteText"/>
        <w:rPr>
          <w:lang w:val="en-US"/>
        </w:rPr>
      </w:pPr>
      <w:r w:rsidRPr="000605BC">
        <w:rPr>
          <w:rStyle w:val="FootnoteReference"/>
          <w:rFonts w:cs="Times New Roman"/>
          <w:szCs w:val="18"/>
        </w:rPr>
        <w:footnoteRef/>
      </w:r>
      <w:r w:rsidRPr="000605BC">
        <w:t xml:space="preserve"> </w:t>
      </w:r>
      <w:r w:rsidRPr="000605BC">
        <w:rPr>
          <w:lang w:val="en-US"/>
        </w:rPr>
        <w:t xml:space="preserve">[52] </w:t>
      </w:r>
      <w:r w:rsidRPr="000605BC">
        <w:t>Many of these are obligations of member states under the UNCAC. A good description of the available legislative and regulatory schemes employed by some countries is described in the UNODC‘s UN Anti- corruption Toolkit (2004), found at [updated link: &lt;</w:t>
      </w:r>
      <w:hyperlink r:id="rId4" w:history="1">
        <w:r w:rsidRPr="000605BC">
          <w:rPr>
            <w:rStyle w:val="Hyperlink"/>
            <w:rFonts w:cs="Times New Roman"/>
            <w:szCs w:val="18"/>
          </w:rPr>
          <w:t>http://www.pogar.org/publications/finances/anticor/anticorruptiontoolkit.pdf</w:t>
        </w:r>
      </w:hyperlink>
      <w:r w:rsidRPr="000605BC">
        <w:rPr>
          <w:rStyle w:val="Hyperlink"/>
          <w:rFonts w:cs="Times New Roman"/>
          <w:szCs w:val="18"/>
          <w:u w:val="none"/>
        </w:rPr>
        <w:t>&gt;</w:t>
      </w:r>
      <w:r w:rsidRPr="000605BC">
        <w:t xml:space="preserve">]. </w:t>
      </w:r>
    </w:p>
  </w:footnote>
  <w:footnote w:id="24">
    <w:p w14:paraId="29E2D454" w14:textId="0EC0FCC0" w:rsidR="00EE506E" w:rsidRPr="000605BC" w:rsidRDefault="00EE506E" w:rsidP="00E31E4E">
      <w:pPr>
        <w:pStyle w:val="FootnoteText"/>
        <w:rPr>
          <w:lang w:val="en-US"/>
        </w:rPr>
      </w:pPr>
      <w:r w:rsidRPr="000605BC">
        <w:rPr>
          <w:rStyle w:val="FootnoteReference"/>
          <w:rFonts w:cs="Times New Roman"/>
          <w:szCs w:val="18"/>
        </w:rPr>
        <w:footnoteRef/>
      </w:r>
      <w:r w:rsidRPr="000605BC">
        <w:t xml:space="preserve"> [53] Permanent Subcommittee on Investigations (2004).</w:t>
      </w:r>
    </w:p>
  </w:footnote>
  <w:footnote w:id="25">
    <w:p w14:paraId="7DF872DA" w14:textId="36DEDA86" w:rsidR="00EE506E" w:rsidRPr="000605BC" w:rsidRDefault="00EE506E" w:rsidP="00E31E4E">
      <w:pPr>
        <w:pStyle w:val="FootnoteText"/>
      </w:pPr>
      <w:r w:rsidRPr="000605BC">
        <w:rPr>
          <w:rStyle w:val="FootnoteReference"/>
          <w:rFonts w:cs="Times New Roman"/>
        </w:rPr>
        <w:footnoteRef/>
      </w:r>
      <w:r w:rsidRPr="000605BC">
        <w:t xml:space="preserve"> </w:t>
      </w:r>
      <w:r w:rsidRPr="000605BC">
        <w:rPr>
          <w:lang w:val="en-US"/>
        </w:rPr>
        <w:t xml:space="preserve">[54] </w:t>
      </w:r>
      <w:r w:rsidRPr="000605BC">
        <w:t>ADB/OECD (2007b); UNODC and World Bank (2007).</w:t>
      </w:r>
    </w:p>
  </w:footnote>
  <w:footnote w:id="26">
    <w:p w14:paraId="3F5B1B51" w14:textId="1E722218" w:rsidR="00EE506E" w:rsidRPr="000605BC" w:rsidRDefault="00EE506E" w:rsidP="00E31E4E">
      <w:pPr>
        <w:pStyle w:val="FootnoteText"/>
        <w:rPr>
          <w:rFonts w:cs="Times New Roman"/>
          <w:lang w:val="en-US"/>
        </w:rPr>
      </w:pPr>
      <w:r w:rsidRPr="000605BC">
        <w:rPr>
          <w:rStyle w:val="FootnoteReference"/>
          <w:rFonts w:cs="Times New Roman"/>
        </w:rPr>
        <w:footnoteRef/>
      </w:r>
      <w:r w:rsidRPr="000605BC">
        <w:rPr>
          <w:rFonts w:cs="Times New Roman"/>
        </w:rPr>
        <w:t xml:space="preserve"> </w:t>
      </w:r>
      <w:r w:rsidRPr="000605BC">
        <w:rPr>
          <w:rFonts w:cs="Times New Roman"/>
          <w:lang w:val="en-US"/>
        </w:rPr>
        <w:t xml:space="preserve">[55] </w:t>
      </w:r>
      <w:r w:rsidRPr="000605BC">
        <w:rPr>
          <w:rFonts w:cs="Times New Roman"/>
        </w:rPr>
        <w:t>FATF (2010c).</w:t>
      </w:r>
    </w:p>
  </w:footnote>
  <w:footnote w:id="27">
    <w:p w14:paraId="2533D1A9" w14:textId="1B92BD46" w:rsidR="00EE506E" w:rsidRPr="000605BC" w:rsidRDefault="00EE506E" w:rsidP="00E31E4E">
      <w:pPr>
        <w:pStyle w:val="FootnoteText"/>
        <w:rPr>
          <w:lang w:val="en-US"/>
        </w:rPr>
      </w:pPr>
      <w:r w:rsidRPr="000605BC">
        <w:rPr>
          <w:rStyle w:val="FootnoteReference"/>
          <w:rFonts w:cs="Times New Roman"/>
        </w:rPr>
        <w:footnoteRef/>
      </w:r>
      <w:r w:rsidRPr="000605BC">
        <w:t xml:space="preserve"> </w:t>
      </w:r>
      <w:r w:rsidRPr="000605BC">
        <w:rPr>
          <w:lang w:val="en-US"/>
        </w:rPr>
        <w:t xml:space="preserve">[56] </w:t>
      </w:r>
      <w:r w:rsidRPr="000605BC">
        <w:t>Permanent Subcommittee on Investigations (2010).</w:t>
      </w:r>
    </w:p>
  </w:footnote>
  <w:footnote w:id="28">
    <w:p w14:paraId="4FFF1510" w14:textId="6773F600" w:rsidR="00EE506E" w:rsidRPr="000605BC" w:rsidRDefault="00EE506E" w:rsidP="00E31E4E">
      <w:pPr>
        <w:pStyle w:val="FootnoteText"/>
      </w:pPr>
      <w:r w:rsidRPr="000605BC">
        <w:rPr>
          <w:rStyle w:val="FootnoteReference"/>
          <w:rFonts w:cs="Times New Roman"/>
        </w:rPr>
        <w:footnoteRef/>
      </w:r>
      <w:r w:rsidRPr="000605BC">
        <w:t xml:space="preserve"> </w:t>
      </w:r>
      <w:r w:rsidRPr="000605BC">
        <w:rPr>
          <w:lang w:val="en-US"/>
        </w:rPr>
        <w:t xml:space="preserve">[57] </w:t>
      </w:r>
      <w:r w:rsidRPr="000605BC">
        <w:rPr>
          <w:i/>
        </w:rPr>
        <w:t>Republic of Haiti v. Duvalier</w:t>
      </w:r>
      <w:r w:rsidRPr="000605BC">
        <w:t xml:space="preserve">, 1990 UK. </w:t>
      </w:r>
    </w:p>
  </w:footnote>
  <w:footnote w:id="29">
    <w:p w14:paraId="07D7EA65" w14:textId="66B15A74" w:rsidR="00EE506E" w:rsidRPr="000605BC" w:rsidRDefault="00EE506E" w:rsidP="00E31E4E">
      <w:pPr>
        <w:pStyle w:val="FootnoteText"/>
        <w:rPr>
          <w:rFonts w:cs="Times New Roman"/>
          <w:lang w:val="en-US"/>
        </w:rPr>
      </w:pPr>
      <w:r w:rsidRPr="000605BC">
        <w:rPr>
          <w:rStyle w:val="FootnoteReference"/>
          <w:rFonts w:cs="Times New Roman"/>
        </w:rPr>
        <w:footnoteRef/>
      </w:r>
      <w:r w:rsidRPr="000605BC">
        <w:rPr>
          <w:rFonts w:cs="Times New Roman"/>
        </w:rPr>
        <w:t xml:space="preserve"> </w:t>
      </w:r>
      <w:r w:rsidRPr="000605BC">
        <w:rPr>
          <w:rFonts w:cs="Times New Roman"/>
          <w:lang w:val="en-US"/>
        </w:rPr>
        <w:t xml:space="preserve">[58] </w:t>
      </w:r>
      <w:r w:rsidRPr="000605BC">
        <w:rPr>
          <w:rFonts w:cs="Times New Roman"/>
          <w:i/>
        </w:rPr>
        <w:t>Attorney General of Zambia v. Meer Cares, et al</w:t>
      </w:r>
      <w:r w:rsidRPr="000605BC">
        <w:rPr>
          <w:rFonts w:cs="Times New Roman"/>
        </w:rPr>
        <w:t>, UK court opinion (2007).</w:t>
      </w:r>
    </w:p>
  </w:footnote>
  <w:footnote w:id="30">
    <w:p w14:paraId="0147E788" w14:textId="3CE80907" w:rsidR="00EE506E" w:rsidRPr="000605BC" w:rsidRDefault="00EE506E" w:rsidP="00E31E4E">
      <w:pPr>
        <w:pStyle w:val="FootnoteText"/>
        <w:rPr>
          <w:rFonts w:cs="Times New Roman"/>
          <w:lang w:val="en-US"/>
        </w:rPr>
      </w:pPr>
      <w:r w:rsidRPr="000605BC">
        <w:rPr>
          <w:rStyle w:val="FootnoteReference"/>
          <w:rFonts w:cs="Times New Roman"/>
        </w:rPr>
        <w:footnoteRef/>
      </w:r>
      <w:r w:rsidRPr="000605BC">
        <w:rPr>
          <w:rFonts w:cs="Times New Roman"/>
        </w:rPr>
        <w:t xml:space="preserve"> </w:t>
      </w:r>
      <w:r w:rsidRPr="000605BC">
        <w:rPr>
          <w:rFonts w:cs="Times New Roman"/>
          <w:lang w:val="en-US"/>
        </w:rPr>
        <w:t xml:space="preserve">[59] </w:t>
      </w:r>
      <w:r w:rsidRPr="000605BC">
        <w:rPr>
          <w:rFonts w:cs="Times New Roman"/>
        </w:rPr>
        <w:t>Greenberg, T.S. et al. (2009).</w:t>
      </w:r>
    </w:p>
  </w:footnote>
  <w:footnote w:id="31">
    <w:p w14:paraId="3E8A00C8" w14:textId="77777777" w:rsidR="00EE506E" w:rsidRPr="000605BC" w:rsidRDefault="00EE506E" w:rsidP="00E31E4E">
      <w:pPr>
        <w:pStyle w:val="FootnoteText"/>
        <w:rPr>
          <w:rFonts w:cs="Times New Roman"/>
          <w:lang w:val="en-US"/>
        </w:rPr>
      </w:pPr>
      <w:r w:rsidRPr="000605BC">
        <w:rPr>
          <w:rStyle w:val="FootnoteReference"/>
          <w:rFonts w:cs="Times New Roman"/>
        </w:rPr>
        <w:footnoteRef/>
      </w:r>
      <w:r w:rsidRPr="000605BC">
        <w:rPr>
          <w:rFonts w:cs="Times New Roman"/>
        </w:rPr>
        <w:t xml:space="preserve"> </w:t>
      </w:r>
      <w:r w:rsidRPr="000605BC">
        <w:rPr>
          <w:rFonts w:cs="Times New Roman"/>
          <w:lang w:val="en-US"/>
        </w:rPr>
        <w:t xml:space="preserve">[60] </w:t>
      </w:r>
      <w:r w:rsidRPr="000605BC">
        <w:rPr>
          <w:rFonts w:cs="Times New Roman"/>
        </w:rPr>
        <w:t>This is the situation as at the publication of this report (July 2011).</w:t>
      </w:r>
    </w:p>
  </w:footnote>
  <w:footnote w:id="32">
    <w:p w14:paraId="4F4CD139" w14:textId="2CAF392C" w:rsidR="00EE506E" w:rsidRPr="000605BC" w:rsidRDefault="00EE506E" w:rsidP="00E31E4E">
      <w:pPr>
        <w:pStyle w:val="FootnoteText"/>
        <w:rPr>
          <w:rFonts w:cs="Times New Roman"/>
          <w:lang w:val="en-US"/>
        </w:rPr>
      </w:pPr>
      <w:r w:rsidRPr="000605BC">
        <w:rPr>
          <w:rStyle w:val="FootnoteReference"/>
          <w:rFonts w:cs="Times New Roman"/>
        </w:rPr>
        <w:footnoteRef/>
      </w:r>
      <w:r w:rsidRPr="000605BC">
        <w:rPr>
          <w:rFonts w:cs="Times New Roman"/>
        </w:rPr>
        <w:t xml:space="preserve"> </w:t>
      </w:r>
      <w:r w:rsidRPr="000605BC">
        <w:rPr>
          <w:rFonts w:cs="Times New Roman"/>
          <w:lang w:val="en-US"/>
        </w:rPr>
        <w:t xml:space="preserve">[61] </w:t>
      </w:r>
      <w:r w:rsidRPr="000605BC">
        <w:rPr>
          <w:rFonts w:cs="Times New Roman"/>
        </w:rPr>
        <w:t>Sharman, J.C., (2009).</w:t>
      </w:r>
    </w:p>
  </w:footnote>
  <w:footnote w:id="33">
    <w:p w14:paraId="51035178" w14:textId="5931087A" w:rsidR="00EE506E" w:rsidRPr="000605BC" w:rsidRDefault="00EE506E" w:rsidP="00E31E4E">
      <w:pPr>
        <w:pStyle w:val="FootnoteText"/>
        <w:rPr>
          <w:rFonts w:cs="Times New Roman"/>
          <w:lang w:val="en-US"/>
        </w:rPr>
      </w:pPr>
      <w:r w:rsidRPr="000605BC">
        <w:rPr>
          <w:rStyle w:val="FootnoteReference"/>
          <w:rFonts w:cs="Times New Roman"/>
        </w:rPr>
        <w:footnoteRef/>
      </w:r>
      <w:r w:rsidRPr="000605BC">
        <w:rPr>
          <w:rFonts w:cs="Times New Roman"/>
        </w:rPr>
        <w:t xml:space="preserve"> </w:t>
      </w:r>
      <w:r w:rsidRPr="000605BC">
        <w:rPr>
          <w:rFonts w:cs="Times New Roman"/>
          <w:lang w:val="en-US"/>
        </w:rPr>
        <w:t xml:space="preserve">[62] </w:t>
      </w:r>
      <w:r w:rsidRPr="000605BC">
        <w:rPr>
          <w:rFonts w:cs="Times New Roman"/>
          <w:i/>
        </w:rPr>
        <w:t>People of the Philippines v. Joseph Estrada</w:t>
      </w:r>
      <w:r w:rsidRPr="000605BC">
        <w:rPr>
          <w:rFonts w:cs="Times New Roman"/>
        </w:rPr>
        <w:t xml:space="preserve"> court opinion.</w:t>
      </w:r>
    </w:p>
  </w:footnote>
  <w:footnote w:id="34">
    <w:p w14:paraId="075959AA" w14:textId="491F12B3" w:rsidR="00EE506E" w:rsidRPr="000605BC" w:rsidRDefault="00EE506E" w:rsidP="00E31E4E">
      <w:pPr>
        <w:pStyle w:val="FootnoteText"/>
        <w:rPr>
          <w:rFonts w:cs="Times New Roman"/>
          <w:lang w:val="en-US"/>
        </w:rPr>
      </w:pPr>
      <w:r w:rsidRPr="000605BC">
        <w:rPr>
          <w:rStyle w:val="FootnoteReference"/>
          <w:rFonts w:cs="Times New Roman"/>
        </w:rPr>
        <w:footnoteRef/>
      </w:r>
      <w:r w:rsidRPr="000605BC">
        <w:rPr>
          <w:rFonts w:cs="Times New Roman"/>
        </w:rPr>
        <w:t xml:space="preserve"> </w:t>
      </w:r>
      <w:r w:rsidRPr="000605BC">
        <w:rPr>
          <w:rFonts w:cs="Times New Roman"/>
          <w:lang w:val="en-US"/>
        </w:rPr>
        <w:t xml:space="preserve">[63] </w:t>
      </w:r>
      <w:r w:rsidRPr="000605BC">
        <w:rPr>
          <w:rFonts w:cs="Times New Roman"/>
          <w:i/>
        </w:rPr>
        <w:t xml:space="preserve">Federal Republic of Nigeria v. Joshua </w:t>
      </w:r>
      <w:proofErr w:type="spellStart"/>
      <w:r w:rsidRPr="000605BC">
        <w:rPr>
          <w:rFonts w:cs="Times New Roman"/>
          <w:i/>
        </w:rPr>
        <w:t>Chibi</w:t>
      </w:r>
      <w:proofErr w:type="spellEnd"/>
      <w:r w:rsidRPr="000605BC">
        <w:rPr>
          <w:rFonts w:cs="Times New Roman"/>
          <w:i/>
        </w:rPr>
        <w:t xml:space="preserve"> </w:t>
      </w:r>
      <w:proofErr w:type="spellStart"/>
      <w:r w:rsidRPr="000605BC">
        <w:rPr>
          <w:rFonts w:cs="Times New Roman"/>
          <w:i/>
        </w:rPr>
        <w:t>Dariye</w:t>
      </w:r>
      <w:proofErr w:type="spellEnd"/>
      <w:r w:rsidRPr="000605BC">
        <w:rPr>
          <w:rFonts w:cs="Times New Roman"/>
        </w:rPr>
        <w:t xml:space="preserve"> (2007) (UK).</w:t>
      </w:r>
    </w:p>
  </w:footnote>
  <w:footnote w:id="35">
    <w:p w14:paraId="09D185E9" w14:textId="481D49D3" w:rsidR="00EE506E" w:rsidRPr="000605BC" w:rsidRDefault="00EE506E" w:rsidP="00E31E4E">
      <w:pPr>
        <w:pStyle w:val="FootnoteText"/>
        <w:rPr>
          <w:rFonts w:cs="Times New Roman"/>
          <w:lang w:val="en-US"/>
        </w:rPr>
      </w:pPr>
      <w:r w:rsidRPr="000605BC">
        <w:rPr>
          <w:rStyle w:val="FootnoteReference"/>
          <w:rFonts w:cs="Times New Roman"/>
        </w:rPr>
        <w:footnoteRef/>
      </w:r>
      <w:r w:rsidRPr="000605BC">
        <w:rPr>
          <w:rFonts w:cs="Times New Roman"/>
        </w:rPr>
        <w:t xml:space="preserve"> </w:t>
      </w:r>
      <w:r w:rsidRPr="000605BC">
        <w:rPr>
          <w:rFonts w:cs="Times New Roman"/>
          <w:lang w:val="en-US"/>
        </w:rPr>
        <w:t xml:space="preserve">[64] </w:t>
      </w:r>
      <w:r w:rsidRPr="000605BC">
        <w:rPr>
          <w:rFonts w:cs="Times New Roman"/>
        </w:rPr>
        <w:t>Permanent Subcommittee on Investigations (1999).</w:t>
      </w:r>
    </w:p>
  </w:footnote>
  <w:footnote w:id="36">
    <w:p w14:paraId="460AE322" w14:textId="26A5F39A" w:rsidR="00EE506E" w:rsidRPr="000605BC" w:rsidRDefault="00EE506E" w:rsidP="00E31E4E">
      <w:pPr>
        <w:pStyle w:val="FootnoteText"/>
      </w:pPr>
      <w:r w:rsidRPr="000605BC">
        <w:rPr>
          <w:rStyle w:val="FootnoteReference"/>
          <w:rFonts w:cs="Times New Roman"/>
        </w:rPr>
        <w:footnoteRef/>
      </w:r>
      <w:r w:rsidRPr="000605BC">
        <w:t xml:space="preserve"> </w:t>
      </w:r>
      <w:r w:rsidRPr="000605BC">
        <w:rPr>
          <w:lang w:val="en-US"/>
        </w:rPr>
        <w:t xml:space="preserve">[65] </w:t>
      </w:r>
      <w:r w:rsidRPr="000605BC">
        <w:t xml:space="preserve">Permanent Subcommittee on Investigations (2004). </w:t>
      </w:r>
    </w:p>
  </w:footnote>
  <w:footnote w:id="37">
    <w:p w14:paraId="2AB85EA1" w14:textId="477F2D84" w:rsidR="00EE506E" w:rsidRPr="000605BC" w:rsidRDefault="00EE506E" w:rsidP="00E31E4E">
      <w:pPr>
        <w:pStyle w:val="FootnoteText"/>
        <w:rPr>
          <w:lang w:val="en-US"/>
        </w:rPr>
      </w:pPr>
      <w:r w:rsidRPr="000605BC">
        <w:rPr>
          <w:rStyle w:val="FootnoteReference"/>
          <w:rFonts w:cs="Times New Roman"/>
        </w:rPr>
        <w:footnoteRef/>
      </w:r>
      <w:r w:rsidRPr="000605BC">
        <w:t xml:space="preserve"> </w:t>
      </w:r>
      <w:r w:rsidRPr="000605BC">
        <w:rPr>
          <w:lang w:val="en-US"/>
        </w:rPr>
        <w:t xml:space="preserve">[66] </w:t>
      </w:r>
      <w:r w:rsidRPr="000605BC">
        <w:rPr>
          <w:i/>
        </w:rPr>
        <w:t>United States v. Proceeds of Crime Transferred to Certain Domestic Financial Accounts</w:t>
      </w:r>
      <w:r w:rsidRPr="000605BC">
        <w:t xml:space="preserve"> (2007), court filings.</w:t>
      </w:r>
    </w:p>
  </w:footnote>
  <w:footnote w:id="38">
    <w:p w14:paraId="7E1300B4" w14:textId="7502013C" w:rsidR="00EE506E" w:rsidRPr="000605BC" w:rsidRDefault="00EE506E" w:rsidP="00E31E4E">
      <w:pPr>
        <w:pStyle w:val="FootnoteText"/>
        <w:rPr>
          <w:lang w:val="en-US"/>
        </w:rPr>
      </w:pPr>
      <w:r w:rsidRPr="000605BC">
        <w:rPr>
          <w:rStyle w:val="FootnoteReference"/>
          <w:rFonts w:cs="Times New Roman"/>
        </w:rPr>
        <w:footnoteRef/>
      </w:r>
      <w:r w:rsidRPr="000605BC">
        <w:t xml:space="preserve"> [67] </w:t>
      </w:r>
      <w:r w:rsidRPr="000605BC">
        <w:rPr>
          <w:i/>
        </w:rPr>
        <w:t>United States v. Titan Corporation (US)</w:t>
      </w:r>
      <w:r w:rsidRPr="000605BC">
        <w:t xml:space="preserve"> (2005), court filings.</w:t>
      </w:r>
    </w:p>
  </w:footnote>
  <w:footnote w:id="39">
    <w:p w14:paraId="3A0EFEC3" w14:textId="68F6444B" w:rsidR="00EE506E" w:rsidRPr="000605BC" w:rsidRDefault="00EE506E" w:rsidP="00E31E4E">
      <w:pPr>
        <w:pStyle w:val="FootnoteText"/>
        <w:rPr>
          <w:rFonts w:cs="Times New Roman"/>
          <w:lang w:val="en-US"/>
        </w:rPr>
      </w:pPr>
      <w:r w:rsidRPr="000605BC">
        <w:rPr>
          <w:rStyle w:val="FootnoteReference"/>
          <w:rFonts w:cs="Times New Roman"/>
        </w:rPr>
        <w:footnoteRef/>
      </w:r>
      <w:r w:rsidRPr="000605BC">
        <w:rPr>
          <w:rFonts w:cs="Times New Roman"/>
        </w:rPr>
        <w:t xml:space="preserve"> </w:t>
      </w:r>
      <w:r w:rsidRPr="000605BC">
        <w:rPr>
          <w:rFonts w:cs="Times New Roman"/>
          <w:lang w:val="en-US"/>
        </w:rPr>
        <w:t xml:space="preserve">[68] </w:t>
      </w:r>
      <w:r w:rsidRPr="000605BC">
        <w:rPr>
          <w:rFonts w:cs="Times New Roman"/>
          <w:i/>
        </w:rPr>
        <w:t>United States v. $125,938 (US)</w:t>
      </w:r>
      <w:r w:rsidRPr="000605BC">
        <w:rPr>
          <w:rFonts w:cs="Times New Roman"/>
        </w:rPr>
        <w:t xml:space="preserve"> (2008) court filings.</w:t>
      </w:r>
    </w:p>
  </w:footnote>
  <w:footnote w:id="40">
    <w:p w14:paraId="6C5064F7" w14:textId="4AA6E7DB" w:rsidR="00EE506E" w:rsidRPr="000605BC" w:rsidRDefault="00EE506E" w:rsidP="00E31E4E">
      <w:pPr>
        <w:pStyle w:val="FootnoteText"/>
        <w:rPr>
          <w:rFonts w:cs="Times New Roman"/>
          <w:lang w:val="en-US"/>
        </w:rPr>
      </w:pPr>
      <w:r w:rsidRPr="000605BC">
        <w:rPr>
          <w:rStyle w:val="FootnoteReference"/>
          <w:rFonts w:cs="Times New Roman"/>
        </w:rPr>
        <w:footnoteRef/>
      </w:r>
      <w:r w:rsidRPr="000605BC">
        <w:rPr>
          <w:rFonts w:cs="Times New Roman"/>
        </w:rPr>
        <w:t xml:space="preserve"> [69] </w:t>
      </w:r>
      <w:r w:rsidRPr="000605BC">
        <w:rPr>
          <w:rFonts w:cs="Times New Roman"/>
          <w:i/>
        </w:rPr>
        <w:t xml:space="preserve">United States v. </w:t>
      </w:r>
      <w:proofErr w:type="spellStart"/>
      <w:r w:rsidRPr="000605BC">
        <w:rPr>
          <w:rFonts w:cs="Times New Roman"/>
          <w:i/>
        </w:rPr>
        <w:t>Alfanso</w:t>
      </w:r>
      <w:proofErr w:type="spellEnd"/>
      <w:r w:rsidRPr="000605BC">
        <w:rPr>
          <w:rFonts w:cs="Times New Roman"/>
          <w:i/>
        </w:rPr>
        <w:t xml:space="preserve"> Portillo (US)</w:t>
      </w:r>
      <w:r w:rsidRPr="000605BC">
        <w:rPr>
          <w:rFonts w:cs="Times New Roman"/>
        </w:rPr>
        <w:t xml:space="preserve"> (2009) court documents.</w:t>
      </w:r>
    </w:p>
  </w:footnote>
  <w:footnote w:id="41">
    <w:p w14:paraId="633E47AC" w14:textId="0019AB02" w:rsidR="00EE506E" w:rsidRPr="000605BC" w:rsidRDefault="00EE506E" w:rsidP="00E31E4E">
      <w:pPr>
        <w:pStyle w:val="FootnoteText"/>
        <w:rPr>
          <w:rFonts w:cs="Times New Roman"/>
          <w:lang w:val="en-US"/>
        </w:rPr>
      </w:pPr>
      <w:r w:rsidRPr="000605BC">
        <w:rPr>
          <w:rStyle w:val="FootnoteReference"/>
          <w:rFonts w:cs="Times New Roman"/>
        </w:rPr>
        <w:footnoteRef/>
      </w:r>
      <w:r w:rsidRPr="000605BC">
        <w:rPr>
          <w:rFonts w:cs="Times New Roman"/>
        </w:rPr>
        <w:t xml:space="preserve"> </w:t>
      </w:r>
      <w:r w:rsidRPr="000605BC">
        <w:rPr>
          <w:rFonts w:cs="Times New Roman"/>
          <w:lang w:val="en-US"/>
        </w:rPr>
        <w:t xml:space="preserve">[70] </w:t>
      </w:r>
      <w:r w:rsidRPr="000605BC">
        <w:rPr>
          <w:rFonts w:cs="Times New Roman"/>
        </w:rPr>
        <w:t>Permanent Subcommittee on Investigations (2004).</w:t>
      </w:r>
    </w:p>
  </w:footnote>
  <w:footnote w:id="42">
    <w:p w14:paraId="675079B5" w14:textId="73C21529" w:rsidR="00EE506E" w:rsidRPr="000605BC" w:rsidRDefault="00EE506E" w:rsidP="00E31E4E">
      <w:pPr>
        <w:pStyle w:val="FootnoteText"/>
        <w:rPr>
          <w:rFonts w:cs="Times New Roman"/>
          <w:lang w:val="en-US"/>
        </w:rPr>
      </w:pPr>
      <w:r w:rsidRPr="000605BC">
        <w:rPr>
          <w:rStyle w:val="FootnoteReference"/>
          <w:rFonts w:cs="Times New Roman"/>
        </w:rPr>
        <w:footnoteRef/>
      </w:r>
      <w:r w:rsidRPr="000605BC">
        <w:rPr>
          <w:rFonts w:cs="Times New Roman"/>
        </w:rPr>
        <w:t xml:space="preserve"> </w:t>
      </w:r>
      <w:r w:rsidRPr="000605BC">
        <w:rPr>
          <w:rFonts w:cs="Times New Roman"/>
          <w:lang w:val="en-US"/>
        </w:rPr>
        <w:t xml:space="preserve">[71] </w:t>
      </w:r>
      <w:r w:rsidRPr="000605BC">
        <w:rPr>
          <w:rFonts w:cs="Times New Roman"/>
          <w:i/>
        </w:rPr>
        <w:t>Attorney General of Zambia v. Meer Cares, et al</w:t>
      </w:r>
      <w:r w:rsidRPr="000605BC">
        <w:rPr>
          <w:rFonts w:cs="Times New Roman"/>
        </w:rPr>
        <w:t>,</w:t>
      </w:r>
      <w:r w:rsidRPr="000605BC">
        <w:rPr>
          <w:rFonts w:cs="Times New Roman"/>
          <w:i/>
        </w:rPr>
        <w:t xml:space="preserve"> </w:t>
      </w:r>
      <w:r w:rsidRPr="000605BC">
        <w:rPr>
          <w:rFonts w:cs="Times New Roman"/>
        </w:rPr>
        <w:t>(UK</w:t>
      </w:r>
      <w:proofErr w:type="gramStart"/>
      <w:r w:rsidRPr="000605BC">
        <w:rPr>
          <w:rFonts w:cs="Times New Roman"/>
        </w:rPr>
        <w:t>)(</w:t>
      </w:r>
      <w:proofErr w:type="gramEnd"/>
      <w:r w:rsidRPr="000605BC">
        <w:rPr>
          <w:rFonts w:cs="Times New Roman"/>
        </w:rPr>
        <w:t>2007) court opinion.</w:t>
      </w:r>
    </w:p>
  </w:footnote>
  <w:footnote w:id="43">
    <w:p w14:paraId="155A07FF" w14:textId="77B2B0E4" w:rsidR="00EE506E" w:rsidRPr="000605BC" w:rsidRDefault="00EE506E" w:rsidP="00E31E4E">
      <w:pPr>
        <w:pStyle w:val="FootnoteText"/>
        <w:rPr>
          <w:rFonts w:cs="Times New Roman"/>
          <w:lang w:val="en-US"/>
        </w:rPr>
      </w:pPr>
      <w:r w:rsidRPr="000605BC">
        <w:rPr>
          <w:rStyle w:val="FootnoteReference"/>
          <w:rFonts w:cs="Times New Roman"/>
        </w:rPr>
        <w:footnoteRef/>
      </w:r>
      <w:r w:rsidRPr="000605BC">
        <w:rPr>
          <w:rFonts w:cs="Times New Roman"/>
        </w:rPr>
        <w:t xml:space="preserve"> [72] </w:t>
      </w:r>
      <w:hyperlink r:id="rId5" w:history="1">
        <w:r w:rsidRPr="000605BC">
          <w:rPr>
            <w:rStyle w:val="Hyperlink"/>
            <w:rFonts w:cs="Times New Roman"/>
          </w:rPr>
          <w:t>http://untreaty.un.org/ilc/texts/instruments/english/conventions/9_1_1961.pdf</w:t>
        </w:r>
      </w:hyperlink>
      <w:r w:rsidRPr="000605BC">
        <w:rPr>
          <w:rStyle w:val="Hyperlink"/>
          <w:rFonts w:cs="Times New Roman"/>
          <w:u w:val="none"/>
        </w:rPr>
        <w:t>.</w:t>
      </w:r>
    </w:p>
  </w:footnote>
  <w:footnote w:id="44">
    <w:p w14:paraId="39F1830D" w14:textId="1D391124" w:rsidR="00EE506E" w:rsidRPr="000605BC" w:rsidRDefault="00EE506E" w:rsidP="00E31E4E">
      <w:pPr>
        <w:pStyle w:val="FootnoteText"/>
        <w:rPr>
          <w:rFonts w:cs="Times New Roman"/>
          <w:lang w:val="en-US"/>
        </w:rPr>
      </w:pPr>
      <w:r w:rsidRPr="000605BC">
        <w:rPr>
          <w:rStyle w:val="FootnoteReference"/>
          <w:rFonts w:cs="Times New Roman"/>
        </w:rPr>
        <w:footnoteRef/>
      </w:r>
      <w:r w:rsidRPr="000605BC">
        <w:rPr>
          <w:rFonts w:cs="Times New Roman"/>
        </w:rPr>
        <w:t xml:space="preserve"> </w:t>
      </w:r>
      <w:r w:rsidRPr="000605BC">
        <w:rPr>
          <w:rFonts w:cs="Times New Roman"/>
          <w:lang w:val="en-US"/>
        </w:rPr>
        <w:t xml:space="preserve">[73] </w:t>
      </w:r>
      <w:r w:rsidRPr="000605BC">
        <w:rPr>
          <w:rFonts w:cs="Times New Roman"/>
        </w:rPr>
        <w:t>Permanent Subcommittee on Investigations (2010).</w:t>
      </w:r>
    </w:p>
  </w:footnote>
  <w:footnote w:id="45">
    <w:p w14:paraId="2FDA37EF" w14:textId="2022CB8E" w:rsidR="00EE506E" w:rsidRPr="000605BC" w:rsidRDefault="00EE506E" w:rsidP="008004ED">
      <w:pPr>
        <w:pStyle w:val="FootnoteText"/>
        <w:rPr>
          <w:sz w:val="20"/>
        </w:rPr>
      </w:pPr>
      <w:r w:rsidRPr="000605BC">
        <w:rPr>
          <w:rStyle w:val="FootnoteReference"/>
          <w:rFonts w:cs="Times New Roman"/>
        </w:rPr>
        <w:footnoteRef/>
      </w:r>
      <w:r w:rsidRPr="000605BC">
        <w:t xml:space="preserve"> Indira </w:t>
      </w:r>
      <w:proofErr w:type="spellStart"/>
      <w:r w:rsidRPr="000605BC">
        <w:t>Carr</w:t>
      </w:r>
      <w:proofErr w:type="spellEnd"/>
      <w:r w:rsidRPr="000605BC">
        <w:t xml:space="preserve"> &amp; Miriam </w:t>
      </w:r>
      <w:proofErr w:type="spellStart"/>
      <w:r w:rsidRPr="000605BC">
        <w:t>Goldby</w:t>
      </w:r>
      <w:proofErr w:type="spellEnd"/>
      <w:r w:rsidRPr="000605BC">
        <w:t>, “The United Nations Anti-Corruption Convention and Money Laundering” (2009) Working Paper, online: &lt;</w:t>
      </w:r>
      <w:hyperlink r:id="rId6" w:history="1">
        <w:r w:rsidRPr="000605BC">
          <w:rPr>
            <w:rStyle w:val="Hyperlink"/>
            <w:rFonts w:eastAsia="Times New Roman" w:cs="Times New Roman"/>
          </w:rPr>
          <w:t>http://ssrn.com/abstract=1409628</w:t>
        </w:r>
      </w:hyperlink>
      <w:r w:rsidRPr="000605BC">
        <w:rPr>
          <w:rFonts w:eastAsia="Times New Roman"/>
        </w:rPr>
        <w:t>&gt;.</w:t>
      </w:r>
    </w:p>
  </w:footnote>
  <w:footnote w:id="46">
    <w:p w14:paraId="70317F21" w14:textId="2641E7F6" w:rsidR="00EE506E" w:rsidRPr="000605BC" w:rsidRDefault="00EE506E" w:rsidP="008004ED">
      <w:pPr>
        <w:pStyle w:val="FootnoteText"/>
        <w:rPr>
          <w:lang w:val="en-US"/>
        </w:rPr>
      </w:pPr>
      <w:r w:rsidRPr="000605BC">
        <w:rPr>
          <w:rStyle w:val="FootnoteReference"/>
          <w:rFonts w:cs="Times New Roman"/>
        </w:rPr>
        <w:footnoteRef/>
      </w:r>
      <w:r w:rsidRPr="000605BC">
        <w:t xml:space="preserve"> </w:t>
      </w:r>
      <w:r w:rsidRPr="000605BC">
        <w:rPr>
          <w:szCs w:val="18"/>
        </w:rPr>
        <w:t xml:space="preserve">United Nations Office on Drugs and Crime, </w:t>
      </w:r>
      <w:r w:rsidRPr="000605BC">
        <w:rPr>
          <w:i/>
          <w:lang w:val="en-US"/>
        </w:rPr>
        <w:t xml:space="preserve">Legislative Guide for the Implementation of the United Nations Convention against Corruption </w:t>
      </w:r>
      <w:r w:rsidRPr="000605BC">
        <w:rPr>
          <w:lang w:val="en-US"/>
        </w:rPr>
        <w:t xml:space="preserve">[UN Legislative Guide (2012)], 2nd </w:t>
      </w:r>
      <w:proofErr w:type="spellStart"/>
      <w:r w:rsidRPr="000605BC">
        <w:rPr>
          <w:lang w:val="en-US"/>
        </w:rPr>
        <w:t>ed</w:t>
      </w:r>
      <w:proofErr w:type="spellEnd"/>
      <w:r w:rsidRPr="000605BC">
        <w:rPr>
          <w:i/>
          <w:lang w:val="en-US"/>
        </w:rPr>
        <w:t xml:space="preserve"> </w:t>
      </w:r>
      <w:r w:rsidRPr="000605BC">
        <w:rPr>
          <w:lang w:val="en-US"/>
        </w:rPr>
        <w:t xml:space="preserve">(New York: United Nations, 2012) </w:t>
      </w:r>
      <w:r w:rsidRPr="000605BC">
        <w:rPr>
          <w:szCs w:val="18"/>
          <w:lang w:val="en-US"/>
        </w:rPr>
        <w:t xml:space="preserve">at 46–74, paras 220-249, </w:t>
      </w:r>
      <w:r w:rsidRPr="000605BC">
        <w:rPr>
          <w:lang w:val="en-US"/>
        </w:rPr>
        <w:t>online: &lt;</w:t>
      </w:r>
      <w:hyperlink r:id="rId7" w:history="1">
        <w:r w:rsidRPr="00CD216F">
          <w:rPr>
            <w:rStyle w:val="Hyperlink"/>
            <w:rFonts w:eastAsia="Times New Roman" w:cs="Times New Roman"/>
            <w:lang w:val="en-US"/>
          </w:rPr>
          <w:t>https://www.unodc.org/documents/treaties/UNCAC/</w:t>
        </w:r>
        <w:r w:rsidRPr="00CD216F">
          <w:rPr>
            <w:rStyle w:val="Hyperlink"/>
            <w:rFonts w:eastAsia="Times New Roman" w:cs="Times New Roman"/>
            <w:lang w:val="en-US"/>
          </w:rPr>
          <w:br/>
          <w:t>Publications/</w:t>
        </w:r>
        <w:proofErr w:type="spellStart"/>
        <w:r w:rsidRPr="00CD216F">
          <w:rPr>
            <w:rStyle w:val="Hyperlink"/>
            <w:rFonts w:eastAsia="Times New Roman" w:cs="Times New Roman"/>
            <w:lang w:val="en-US"/>
          </w:rPr>
          <w:t>LegislativeGuide</w:t>
        </w:r>
        <w:proofErr w:type="spellEnd"/>
        <w:r w:rsidRPr="00CD216F">
          <w:rPr>
            <w:rStyle w:val="Hyperlink"/>
            <w:rFonts w:eastAsia="Times New Roman" w:cs="Times New Roman"/>
            <w:lang w:val="en-US"/>
          </w:rPr>
          <w:t>/UNCAC_Legislative_Guide_E.pdf</w:t>
        </w:r>
      </w:hyperlink>
      <w:r w:rsidRPr="000605BC">
        <w:rPr>
          <w:lang w:val="en-US"/>
        </w:rPr>
        <w:t>&gt;. Reprinted with the permission of the United Nations.</w:t>
      </w:r>
    </w:p>
  </w:footnote>
  <w:footnote w:id="47">
    <w:p w14:paraId="726B6C54" w14:textId="53B1EB02" w:rsidR="00EE506E" w:rsidRPr="000605BC" w:rsidRDefault="00EE506E" w:rsidP="008004ED">
      <w:pPr>
        <w:pStyle w:val="FootnoteText"/>
        <w:rPr>
          <w:lang w:val="en-US"/>
        </w:rPr>
      </w:pPr>
      <w:r w:rsidRPr="000605BC">
        <w:rPr>
          <w:rStyle w:val="FootnoteReference"/>
          <w:rFonts w:cs="Times New Roman"/>
        </w:rPr>
        <w:footnoteRef/>
      </w:r>
      <w:r w:rsidRPr="000605BC">
        <w:t xml:space="preserve"> </w:t>
      </w:r>
      <w:proofErr w:type="spellStart"/>
      <w:r w:rsidRPr="000605BC">
        <w:t>Carr</w:t>
      </w:r>
      <w:proofErr w:type="spellEnd"/>
      <w:r w:rsidRPr="000605BC">
        <w:t xml:space="preserve"> &amp; </w:t>
      </w:r>
      <w:proofErr w:type="spellStart"/>
      <w:r w:rsidRPr="000605BC">
        <w:t>Goldby</w:t>
      </w:r>
      <w:proofErr w:type="spellEnd"/>
      <w:r w:rsidRPr="000605BC">
        <w:t xml:space="preserve"> (2009)</w:t>
      </w:r>
      <w:r w:rsidRPr="000605BC">
        <w:rPr>
          <w:rFonts w:eastAsia="Times New Roman"/>
        </w:rPr>
        <w:t>.</w:t>
      </w:r>
    </w:p>
  </w:footnote>
  <w:footnote w:id="48">
    <w:p w14:paraId="192F6D5B" w14:textId="0E5B851E" w:rsidR="00EE506E" w:rsidRPr="000605BC" w:rsidRDefault="00EE506E" w:rsidP="008004ED">
      <w:pPr>
        <w:pStyle w:val="FootnoteText"/>
        <w:rPr>
          <w:lang w:val="en-US"/>
        </w:rPr>
      </w:pPr>
      <w:r w:rsidRPr="000605BC">
        <w:rPr>
          <w:rStyle w:val="FootnoteReference"/>
          <w:rFonts w:cs="Times New Roman"/>
        </w:rPr>
        <w:footnoteRef/>
      </w:r>
      <w:r w:rsidRPr="000605BC">
        <w:t xml:space="preserve"> </w:t>
      </w:r>
      <w:r w:rsidRPr="000605BC">
        <w:rPr>
          <w:i/>
        </w:rPr>
        <w:t xml:space="preserve">Ibid </w:t>
      </w:r>
      <w:r w:rsidRPr="000605BC">
        <w:t>at 8.</w:t>
      </w:r>
    </w:p>
  </w:footnote>
  <w:footnote w:id="49">
    <w:p w14:paraId="7C819B7B" w14:textId="5E954888" w:rsidR="00EE506E" w:rsidRPr="000605BC" w:rsidRDefault="00EE506E" w:rsidP="008004ED">
      <w:pPr>
        <w:pStyle w:val="FootnoteText"/>
        <w:rPr>
          <w:lang w:val="en-US"/>
        </w:rPr>
      </w:pPr>
      <w:r w:rsidRPr="000605BC">
        <w:rPr>
          <w:rStyle w:val="FootnoteReference"/>
          <w:rFonts w:cs="Times New Roman"/>
        </w:rPr>
        <w:footnoteRef/>
      </w:r>
      <w:r w:rsidRPr="000605BC">
        <w:t xml:space="preserve"> </w:t>
      </w:r>
      <w:r w:rsidRPr="000605BC">
        <w:rPr>
          <w:i/>
        </w:rPr>
        <w:t>Ibid</w:t>
      </w:r>
      <w:r w:rsidRPr="000605BC">
        <w:t xml:space="preserve"> at 8-9.</w:t>
      </w:r>
    </w:p>
  </w:footnote>
  <w:footnote w:id="50">
    <w:p w14:paraId="3B19C9AE" w14:textId="77777777" w:rsidR="00EE506E" w:rsidRPr="000605BC" w:rsidRDefault="00EE506E" w:rsidP="008004ED">
      <w:pPr>
        <w:pStyle w:val="FootnoteText"/>
        <w:rPr>
          <w:lang w:val="en-US"/>
        </w:rPr>
      </w:pPr>
      <w:r w:rsidRPr="000605BC">
        <w:rPr>
          <w:rStyle w:val="FootnoteReference"/>
        </w:rPr>
        <w:footnoteRef/>
      </w:r>
      <w:r w:rsidRPr="000605BC">
        <w:t xml:space="preserve"> [31] </w:t>
      </w:r>
      <w:r w:rsidRPr="000605BC">
        <w:rPr>
          <w:rFonts w:cs="Times New Roman"/>
          <w:lang w:val="en-US"/>
        </w:rPr>
        <w:t xml:space="preserve">The website for the Egmont group is </w:t>
      </w:r>
      <w:hyperlink r:id="rId8" w:history="1">
        <w:r w:rsidRPr="000605BC">
          <w:rPr>
            <w:rStyle w:val="Hyperlink"/>
            <w:rFonts w:cs="Times New Roman"/>
            <w:lang w:val="en-US"/>
          </w:rPr>
          <w:t>http://www.egmontgroup.org/</w:t>
        </w:r>
      </w:hyperlink>
      <w:r w:rsidRPr="000605BC">
        <w:rPr>
          <w:rFonts w:cs="Times New Roman"/>
          <w:lang w:val="en-US"/>
        </w:rPr>
        <w:t xml:space="preserve">, which, </w:t>
      </w:r>
      <w:r w:rsidRPr="000605BC">
        <w:t>inter alia, provides links to FIUs on all continents.</w:t>
      </w:r>
    </w:p>
  </w:footnote>
  <w:footnote w:id="51">
    <w:p w14:paraId="675AFB90" w14:textId="1EBD8EEB" w:rsidR="00EE506E" w:rsidRPr="000605BC" w:rsidRDefault="00EE506E" w:rsidP="008004ED">
      <w:pPr>
        <w:pStyle w:val="FootnoteText"/>
        <w:rPr>
          <w:rFonts w:eastAsia="Times New Roman"/>
        </w:rPr>
      </w:pPr>
      <w:r w:rsidRPr="000605BC">
        <w:rPr>
          <w:rStyle w:val="FootnoteReference"/>
          <w:rFonts w:cs="Times New Roman"/>
        </w:rPr>
        <w:footnoteRef/>
      </w:r>
      <w:r w:rsidRPr="000605BC">
        <w:t xml:space="preserve"> </w:t>
      </w:r>
      <w:r w:rsidRPr="000605BC">
        <w:rPr>
          <w:lang w:val="en-US"/>
        </w:rPr>
        <w:t xml:space="preserve">[32] See the website of the Financial Action Task Force on Money Laundering at [updated link: </w:t>
      </w:r>
      <w:hyperlink r:id="rId9" w:history="1">
        <w:r w:rsidRPr="000605BC">
          <w:rPr>
            <w:rStyle w:val="Hyperlink"/>
            <w:rFonts w:cs="Times New Roman"/>
            <w:lang w:val="en-US"/>
          </w:rPr>
          <w:t>http://www.fatf-gafi.org/</w:t>
        </w:r>
      </w:hyperlink>
      <w:r w:rsidRPr="000605BC">
        <w:rPr>
          <w:lang w:val="en-US"/>
        </w:rPr>
        <w:t>].</w:t>
      </w:r>
    </w:p>
  </w:footnote>
  <w:footnote w:id="52">
    <w:p w14:paraId="2871BDF9" w14:textId="77777777" w:rsidR="00EE506E" w:rsidRPr="000605BC" w:rsidRDefault="00EE506E" w:rsidP="008004ED">
      <w:pPr>
        <w:pStyle w:val="FootnoteText"/>
        <w:rPr>
          <w:lang w:val="en-US"/>
        </w:rPr>
      </w:pPr>
      <w:r w:rsidRPr="000605BC">
        <w:rPr>
          <w:rStyle w:val="FootnoteReference"/>
          <w:rFonts w:cs="Times New Roman"/>
        </w:rPr>
        <w:footnoteRef/>
      </w:r>
      <w:r w:rsidRPr="000605BC">
        <w:t xml:space="preserve"> </w:t>
      </w:r>
      <w:r w:rsidRPr="000605BC">
        <w:rPr>
          <w:lang w:val="en-US"/>
        </w:rPr>
        <w:t>[33] In October 2004, the FATF adopted a ninth Special Recommendation on Terrorist Financing.</w:t>
      </w:r>
    </w:p>
  </w:footnote>
  <w:footnote w:id="53">
    <w:p w14:paraId="24C1D5D0" w14:textId="25021ABD" w:rsidR="00EE506E" w:rsidRPr="000605BC" w:rsidRDefault="00EE506E" w:rsidP="008004ED">
      <w:pPr>
        <w:pStyle w:val="FootnoteText"/>
        <w:rPr>
          <w:szCs w:val="18"/>
        </w:rPr>
      </w:pPr>
      <w:r w:rsidRPr="000605BC">
        <w:rPr>
          <w:rStyle w:val="FootnoteReference"/>
          <w:szCs w:val="18"/>
        </w:rPr>
        <w:footnoteRef/>
      </w:r>
      <w:r w:rsidRPr="000605BC">
        <w:rPr>
          <w:szCs w:val="18"/>
        </w:rPr>
        <w:t xml:space="preserve"> </w:t>
      </w:r>
      <w:r w:rsidRPr="000605BC">
        <w:rPr>
          <w:rFonts w:eastAsia="Times New Roman"/>
          <w:lang w:val="en-US"/>
        </w:rPr>
        <w:t xml:space="preserve">UN Legislative Guide (2012) </w:t>
      </w:r>
      <w:r w:rsidRPr="000605BC">
        <w:rPr>
          <w:szCs w:val="18"/>
          <w:lang w:val="en-US"/>
        </w:rPr>
        <w:t xml:space="preserve">at 46–53, paras 138-168. </w:t>
      </w:r>
      <w:r w:rsidRPr="000605BC">
        <w:rPr>
          <w:rFonts w:eastAsia="Times New Roman"/>
          <w:lang w:val="en-US"/>
        </w:rPr>
        <w:t>Reprinted with the permission of the United Nations.</w:t>
      </w:r>
    </w:p>
  </w:footnote>
  <w:footnote w:id="54">
    <w:p w14:paraId="6292618E" w14:textId="7FC8011E" w:rsidR="00EE506E" w:rsidRPr="000605BC" w:rsidRDefault="00EE506E" w:rsidP="008004ED">
      <w:pPr>
        <w:pStyle w:val="FootnoteText"/>
        <w:rPr>
          <w:rFonts w:cs="Times New Roman"/>
          <w:lang w:val="en-US"/>
        </w:rPr>
      </w:pPr>
      <w:r w:rsidRPr="000605BC">
        <w:rPr>
          <w:rStyle w:val="FootnoteReference"/>
          <w:rFonts w:cs="Times New Roman"/>
        </w:rPr>
        <w:footnoteRef/>
      </w:r>
      <w:r w:rsidRPr="000605BC">
        <w:rPr>
          <w:rFonts w:cs="Times New Roman"/>
        </w:rPr>
        <w:t xml:space="preserve"> OECD </w:t>
      </w:r>
      <w:proofErr w:type="spellStart"/>
      <w:r w:rsidRPr="000605BC">
        <w:rPr>
          <w:rFonts w:cs="Times New Roman"/>
        </w:rPr>
        <w:t>CleanGovBiz</w:t>
      </w:r>
      <w:proofErr w:type="spellEnd"/>
      <w:r w:rsidRPr="000605BC">
        <w:rPr>
          <w:rFonts w:cs="Times New Roman"/>
        </w:rPr>
        <w:t>, “Money Laundering”, online: &lt;</w:t>
      </w:r>
      <w:hyperlink r:id="rId10" w:history="1">
        <w:r w:rsidRPr="000605BC">
          <w:rPr>
            <w:rStyle w:val="Hyperlink"/>
            <w:rFonts w:cs="Times New Roman"/>
            <w:lang w:val="en-US"/>
          </w:rPr>
          <w:t>http://www.oecd.org/cleangovbiz/toolkit/moneylaundering.htm</w:t>
        </w:r>
      </w:hyperlink>
      <w:r w:rsidRPr="000605BC">
        <w:rPr>
          <w:rFonts w:cs="Times New Roman"/>
          <w:lang w:val="en-US"/>
        </w:rPr>
        <w:t>&gt;.</w:t>
      </w:r>
    </w:p>
  </w:footnote>
  <w:footnote w:id="55">
    <w:p w14:paraId="10075FA7" w14:textId="3431A5C3" w:rsidR="00EE506E" w:rsidRPr="000605BC" w:rsidRDefault="00EE506E" w:rsidP="008004ED">
      <w:pPr>
        <w:pStyle w:val="FootnoteText"/>
        <w:rPr>
          <w:rFonts w:cs="Times New Roman"/>
          <w:lang w:val="en-US"/>
        </w:rPr>
      </w:pPr>
      <w:r w:rsidRPr="000605BC">
        <w:rPr>
          <w:rStyle w:val="FootnoteReference"/>
          <w:rFonts w:cs="Times New Roman"/>
        </w:rPr>
        <w:footnoteRef/>
      </w:r>
      <w:r w:rsidRPr="000605BC">
        <w:rPr>
          <w:rFonts w:cs="Times New Roman"/>
        </w:rPr>
        <w:t xml:space="preserve"> [30] </w:t>
      </w:r>
      <w:r w:rsidRPr="000605BC">
        <w:rPr>
          <w:rFonts w:cs="Times New Roman"/>
          <w:i/>
          <w:lang w:val="en-US"/>
        </w:rPr>
        <w:t>Id.</w:t>
      </w:r>
      <w:r w:rsidRPr="000605BC">
        <w:rPr>
          <w:rFonts w:cs="Times New Roman"/>
          <w:lang w:val="en-US"/>
        </w:rPr>
        <w:t xml:space="preserve"> The G-7 countries are Canada, France, Germany, Italy, Japan, United Kingdom, and United States.</w:t>
      </w:r>
    </w:p>
  </w:footnote>
  <w:footnote w:id="56">
    <w:p w14:paraId="05ED4551" w14:textId="77777777" w:rsidR="00EE506E" w:rsidRPr="000605BC" w:rsidRDefault="00EE506E" w:rsidP="008004ED">
      <w:pPr>
        <w:pStyle w:val="FootnoteText"/>
        <w:rPr>
          <w:rFonts w:cs="Times New Roman"/>
        </w:rPr>
      </w:pPr>
      <w:r w:rsidRPr="000605BC">
        <w:rPr>
          <w:rStyle w:val="FootnoteReference"/>
          <w:rFonts w:cs="Times New Roman"/>
        </w:rPr>
        <w:footnoteRef/>
      </w:r>
      <w:r w:rsidRPr="000605BC">
        <w:rPr>
          <w:rFonts w:cs="Times New Roman"/>
        </w:rPr>
        <w:t xml:space="preserve"> [31] </w:t>
      </w:r>
      <w:r w:rsidRPr="000605BC">
        <w:rPr>
          <w:rFonts w:cs="Times New Roman"/>
          <w:lang w:val="en-US"/>
        </w:rPr>
        <w:t xml:space="preserve">About FATF, and Terrorist Financing at </w:t>
      </w:r>
      <w:hyperlink r:id="rId11" w:history="1">
        <w:r w:rsidRPr="000605BC">
          <w:rPr>
            <w:rStyle w:val="Hyperlink"/>
            <w:rFonts w:cs="Times New Roman"/>
            <w:lang w:val="en-US"/>
          </w:rPr>
          <w:t>http://www.fatf-gafi.org/</w:t>
        </w:r>
      </w:hyperlink>
      <w:r w:rsidRPr="000605BC">
        <w:rPr>
          <w:rFonts w:cs="Times New Roman"/>
          <w:lang w:val="en-US"/>
        </w:rPr>
        <w:t>.</w:t>
      </w:r>
    </w:p>
  </w:footnote>
  <w:footnote w:id="57">
    <w:p w14:paraId="7A88D803" w14:textId="77777777" w:rsidR="00EE506E" w:rsidRPr="000605BC" w:rsidRDefault="00EE506E" w:rsidP="008004ED">
      <w:pPr>
        <w:pStyle w:val="FootnoteText"/>
        <w:rPr>
          <w:rFonts w:cs="Times New Roman"/>
        </w:rPr>
      </w:pPr>
      <w:r w:rsidRPr="000605BC">
        <w:rPr>
          <w:rStyle w:val="FootnoteReference"/>
          <w:rFonts w:cs="Times New Roman"/>
        </w:rPr>
        <w:footnoteRef/>
      </w:r>
      <w:r w:rsidRPr="000605BC">
        <w:rPr>
          <w:rFonts w:cs="Times New Roman"/>
        </w:rPr>
        <w:t xml:space="preserve"> [32] </w:t>
      </w:r>
      <w:r w:rsidRPr="000605BC">
        <w:rPr>
          <w:rFonts w:cs="Times New Roman"/>
          <w:i/>
          <w:lang w:val="en-US"/>
        </w:rPr>
        <w:t>Id.</w:t>
      </w:r>
      <w:r w:rsidRPr="000605BC">
        <w:rPr>
          <w:rFonts w:cs="Times New Roman"/>
          <w:lang w:val="en-US"/>
        </w:rPr>
        <w:t xml:space="preserve"> at Terrorist Financing.</w:t>
      </w:r>
    </w:p>
  </w:footnote>
  <w:footnote w:id="58">
    <w:p w14:paraId="6ED3F601" w14:textId="77777777" w:rsidR="00EE506E" w:rsidRPr="000605BC" w:rsidRDefault="00EE506E" w:rsidP="008004ED">
      <w:pPr>
        <w:pStyle w:val="FootnoteText"/>
        <w:rPr>
          <w:rFonts w:cs="Times New Roman"/>
          <w:lang w:val="en-US"/>
        </w:rPr>
      </w:pPr>
      <w:r w:rsidRPr="000605BC">
        <w:rPr>
          <w:rStyle w:val="FootnoteReference"/>
          <w:rFonts w:cs="Times New Roman"/>
        </w:rPr>
        <w:footnoteRef/>
      </w:r>
      <w:r w:rsidRPr="000605BC">
        <w:rPr>
          <w:rFonts w:cs="Times New Roman"/>
        </w:rPr>
        <w:t xml:space="preserve"> [33] </w:t>
      </w:r>
      <w:r w:rsidRPr="000605BC">
        <w:rPr>
          <w:rFonts w:cs="Times New Roman"/>
          <w:lang w:val="en-US"/>
        </w:rPr>
        <w:t xml:space="preserve">The 31 member countries and territories are: Argentina, Australia, Austria, Belgium, Brazil, Canada, Denmark, Finland, France, Germany, Greece, Hong Kong-China, Iceland, Ireland, Italy, Japan, Luxemburg, Mexico, </w:t>
      </w:r>
      <w:proofErr w:type="gramStart"/>
      <w:r w:rsidRPr="000605BC">
        <w:rPr>
          <w:rFonts w:cs="Times New Roman"/>
          <w:lang w:val="en-US"/>
        </w:rPr>
        <w:t>Kingdom</w:t>
      </w:r>
      <w:proofErr w:type="gramEnd"/>
      <w:r w:rsidRPr="000605BC">
        <w:rPr>
          <w:rFonts w:cs="Times New Roman"/>
          <w:lang w:val="en-US"/>
        </w:rPr>
        <w:t xml:space="preserve"> of the Netherlands, New Zealand, Norway, Portugal, Russia, Singapore, South Africa, Spain, Sweden, Switzerland, Turkey, United Kingdom, and United States. The two regional organizations are the European Commission and the Gulf Co-operation Council.</w:t>
      </w:r>
    </w:p>
  </w:footnote>
  <w:footnote w:id="59">
    <w:p w14:paraId="54917B93" w14:textId="77777777" w:rsidR="00EE506E" w:rsidRPr="000605BC" w:rsidRDefault="00EE506E" w:rsidP="008004ED">
      <w:pPr>
        <w:pStyle w:val="FootnoteText"/>
        <w:rPr>
          <w:rFonts w:cs="Times New Roman"/>
        </w:rPr>
      </w:pPr>
      <w:r w:rsidRPr="000605BC">
        <w:rPr>
          <w:rStyle w:val="FootnoteReference"/>
          <w:rFonts w:cs="Times New Roman"/>
        </w:rPr>
        <w:footnoteRef/>
      </w:r>
      <w:r w:rsidRPr="000605BC">
        <w:rPr>
          <w:rFonts w:cs="Times New Roman"/>
        </w:rPr>
        <w:t xml:space="preserve"> [34] </w:t>
      </w:r>
      <w:r w:rsidRPr="000605BC">
        <w:rPr>
          <w:rFonts w:cs="Times New Roman"/>
          <w:lang w:val="en-US"/>
        </w:rPr>
        <w:t xml:space="preserve">The international bodies are regional FATF-style regional bodies (FSRBs) that have similar form and functions to those of FATF. Some FATF members also participate in the FSRBs. These bodies are: Asia/Pacific Group on Money Laundering (APG), Caribbean Financial Action Task Force (CFATF), Council of Europe MONEYVAL (previously PC-R-EV) Committee, Eastern and Southern Africa Anti-Money Laundering Group (ESAAMLG) and Financial Action Task Force on Money Laundering in South America (GAFISUD). For a discussion of these organizations, </w:t>
      </w:r>
      <w:proofErr w:type="gramStart"/>
      <w:r w:rsidRPr="000605BC">
        <w:rPr>
          <w:rFonts w:cs="Times New Roman"/>
          <w:lang w:val="en-US"/>
        </w:rPr>
        <w:t>See</w:t>
      </w:r>
      <w:proofErr w:type="gramEnd"/>
      <w:r w:rsidRPr="000605BC">
        <w:rPr>
          <w:rFonts w:cs="Times New Roman"/>
          <w:lang w:val="en-US"/>
        </w:rPr>
        <w:t xml:space="preserve"> Chapter IV, Regional Bodies and Relevant Groups, FATF- Style Regional Bodies. FATF also works with the Egmont Group.</w:t>
      </w:r>
    </w:p>
  </w:footnote>
  <w:footnote w:id="60">
    <w:p w14:paraId="6C3E8FF0" w14:textId="21CF423B" w:rsidR="00EE506E" w:rsidRPr="000605BC" w:rsidRDefault="00EE506E" w:rsidP="008004ED">
      <w:pPr>
        <w:pStyle w:val="FootnoteText"/>
        <w:rPr>
          <w:rFonts w:cs="Times New Roman"/>
        </w:rPr>
      </w:pPr>
      <w:r w:rsidRPr="000605BC">
        <w:rPr>
          <w:rStyle w:val="FootnoteReference"/>
          <w:rFonts w:cs="Times New Roman"/>
        </w:rPr>
        <w:footnoteRef/>
      </w:r>
      <w:r w:rsidRPr="000605BC">
        <w:rPr>
          <w:rFonts w:cs="Times New Roman"/>
        </w:rPr>
        <w:t xml:space="preserve"> [35] </w:t>
      </w:r>
      <w:r w:rsidRPr="000605BC">
        <w:rPr>
          <w:rFonts w:cs="Times New Roman"/>
          <w:lang w:val="en-US"/>
        </w:rPr>
        <w:t>Each of the international organizations, which have, among other functions, a specific anti-money laundering mission or function, are: African Development Bank, Asia Development Bank, The Commonwealth Secretariat, European Bank for Reconstruction and Development, European Central Bank (ECB), Europol, Inter-American Development Bank (IDB), Intergovernmental Action Group Against Money-Laundering in Africa (GIABA), International Association of Insurance Supervisors (IAIS), International Monetary Fund (IMF), Interpol, International Organization of Securities Commissions (IOSCO), Organization of American States/Inter-American Committee Against Terrorism (OAS/CICTE), Organization of American States/Inter-American Drug Abuse Control Commission (OAS/CICAD), Organization for Economic Co-operation and Development (OECD), Offshore Group of Banking Supervisors (OGBS), United Nations Office on Drugs and Crime (UNODC), World Bank and World Customs Organization (WCO).</w:t>
      </w:r>
    </w:p>
  </w:footnote>
  <w:footnote w:id="61">
    <w:p w14:paraId="3724ECB7" w14:textId="680E9AAD" w:rsidR="00EE506E" w:rsidRPr="000605BC" w:rsidRDefault="00EE506E" w:rsidP="008004ED">
      <w:pPr>
        <w:pStyle w:val="FootnoteText"/>
        <w:rPr>
          <w:rFonts w:cs="Times New Roman"/>
        </w:rPr>
      </w:pPr>
      <w:r w:rsidRPr="000605BC">
        <w:rPr>
          <w:rStyle w:val="FootnoteReference"/>
          <w:rFonts w:cs="Times New Roman"/>
        </w:rPr>
        <w:footnoteRef/>
      </w:r>
      <w:r w:rsidRPr="000605BC">
        <w:rPr>
          <w:rFonts w:cs="Times New Roman"/>
        </w:rPr>
        <w:t xml:space="preserve"> [36] </w:t>
      </w:r>
      <w:r w:rsidRPr="000605BC">
        <w:rPr>
          <w:rFonts w:cs="Times New Roman"/>
          <w:i/>
          <w:lang w:val="en-US"/>
        </w:rPr>
        <w:t>The Forty Recommendations,</w:t>
      </w:r>
      <w:r w:rsidRPr="000605BC">
        <w:rPr>
          <w:rFonts w:cs="Times New Roman"/>
          <w:lang w:val="en-US"/>
        </w:rPr>
        <w:t xml:space="preserve"> [updated link: </w:t>
      </w:r>
      <w:hyperlink r:id="rId12" w:history="1">
        <w:r w:rsidRPr="000605BC">
          <w:rPr>
            <w:rStyle w:val="Hyperlink"/>
            <w:rFonts w:cs="Times New Roman"/>
            <w:lang w:val="en-US"/>
          </w:rPr>
          <w:t>http://www.fatf-gafi.org/media/fatf/documents/FATF%20Standards%20-%2040%20Recommendations%20rc.pdf</w:t>
        </w:r>
      </w:hyperlink>
      <w:r w:rsidRPr="000605BC">
        <w:rPr>
          <w:rFonts w:cs="Times New Roman"/>
          <w:lang w:val="en-US"/>
        </w:rPr>
        <w:t>].</w:t>
      </w:r>
    </w:p>
  </w:footnote>
  <w:footnote w:id="62">
    <w:p w14:paraId="1E99EC25" w14:textId="77777777" w:rsidR="00EE506E" w:rsidRPr="000605BC" w:rsidRDefault="00EE506E" w:rsidP="008004ED">
      <w:pPr>
        <w:pStyle w:val="FootnoteText"/>
        <w:rPr>
          <w:rFonts w:cs="Times New Roman"/>
        </w:rPr>
      </w:pPr>
      <w:r w:rsidRPr="000605BC">
        <w:rPr>
          <w:rStyle w:val="FootnoteReference"/>
          <w:rFonts w:cs="Times New Roman"/>
        </w:rPr>
        <w:footnoteRef/>
      </w:r>
      <w:r w:rsidRPr="000605BC">
        <w:rPr>
          <w:rFonts w:cs="Times New Roman"/>
        </w:rPr>
        <w:t xml:space="preserve"> [37] </w:t>
      </w:r>
      <w:r w:rsidRPr="000605BC">
        <w:rPr>
          <w:rFonts w:cs="Times New Roman"/>
          <w:i/>
          <w:lang w:val="en-US"/>
        </w:rPr>
        <w:t>Id</w:t>
      </w:r>
      <w:r w:rsidRPr="000605BC">
        <w:rPr>
          <w:rFonts w:cs="Times New Roman"/>
          <w:lang w:val="en-US"/>
        </w:rPr>
        <w:t>., Rec. 21.</w:t>
      </w:r>
    </w:p>
  </w:footnote>
  <w:footnote w:id="63">
    <w:p w14:paraId="1204FBBF" w14:textId="62DE5A1E" w:rsidR="00EE506E" w:rsidRPr="000605BC" w:rsidRDefault="00EE506E" w:rsidP="008004ED">
      <w:pPr>
        <w:pStyle w:val="FootnoteText"/>
        <w:rPr>
          <w:rFonts w:cs="Times New Roman"/>
          <w:lang w:val="en-US"/>
        </w:rPr>
      </w:pPr>
      <w:r w:rsidRPr="000605BC">
        <w:rPr>
          <w:rStyle w:val="FootnoteReference"/>
          <w:rFonts w:cs="Times New Roman"/>
        </w:rPr>
        <w:footnoteRef/>
      </w:r>
      <w:r w:rsidRPr="000605BC">
        <w:rPr>
          <w:rFonts w:cs="Times New Roman"/>
        </w:rPr>
        <w:t xml:space="preserve"> [38] </w:t>
      </w:r>
      <w:r w:rsidRPr="000605BC">
        <w:rPr>
          <w:rFonts w:cs="Times New Roman"/>
          <w:lang w:val="en-US"/>
        </w:rPr>
        <w:t xml:space="preserve">See FATF Documents, Money Laundering Trends and Techniques at </w:t>
      </w:r>
      <w:hyperlink r:id="rId13" w:history="1">
        <w:r w:rsidRPr="000605BC">
          <w:rPr>
            <w:rStyle w:val="Hyperlink"/>
            <w:rFonts w:cs="Times New Roman"/>
            <w:lang w:val="en-US"/>
          </w:rPr>
          <w:t>http://www.fatf-gafi.org/pdf/TY2004_en.PDF</w:t>
        </w:r>
      </w:hyperlink>
      <w:r w:rsidRPr="000605BC">
        <w:rPr>
          <w:rFonts w:cs="Times New Roman"/>
          <w:lang w:val="en-US"/>
        </w:rPr>
        <w:t>.</w:t>
      </w:r>
    </w:p>
  </w:footnote>
  <w:footnote w:id="64">
    <w:p w14:paraId="643A799E" w14:textId="45BABC39" w:rsidR="00EE506E" w:rsidRPr="000605BC" w:rsidRDefault="00EE506E" w:rsidP="008004ED">
      <w:pPr>
        <w:pStyle w:val="FootnoteText"/>
        <w:rPr>
          <w:rFonts w:cs="Times New Roman"/>
          <w:szCs w:val="18"/>
        </w:rPr>
      </w:pPr>
      <w:r w:rsidRPr="000605BC">
        <w:rPr>
          <w:rStyle w:val="FootnoteReference"/>
          <w:rFonts w:cs="Times New Roman"/>
          <w:szCs w:val="18"/>
        </w:rPr>
        <w:footnoteRef/>
      </w:r>
      <w:r w:rsidRPr="000605BC">
        <w:rPr>
          <w:rFonts w:cs="Times New Roman"/>
          <w:szCs w:val="18"/>
        </w:rPr>
        <w:t xml:space="preserve"> [39] </w:t>
      </w:r>
      <w:r w:rsidRPr="000605BC">
        <w:rPr>
          <w:rFonts w:cs="Times New Roman"/>
          <w:szCs w:val="18"/>
          <w:lang w:val="en-US"/>
        </w:rPr>
        <w:t xml:space="preserve">NCCT Initiative, </w:t>
      </w:r>
      <w:hyperlink r:id="rId14" w:history="1">
        <w:r w:rsidRPr="000605BC">
          <w:rPr>
            <w:rStyle w:val="Hyperlink"/>
            <w:rFonts w:cs="Times New Roman"/>
            <w:szCs w:val="18"/>
            <w:lang w:val="en-US"/>
          </w:rPr>
          <w:t>http://www.fatf-gafi.org/NCCT_en.htm</w:t>
        </w:r>
      </w:hyperlink>
      <w:r w:rsidRPr="000605BC">
        <w:rPr>
          <w:rFonts w:cs="Times New Roman"/>
          <w:szCs w:val="18"/>
          <w:lang w:val="en-US"/>
        </w:rPr>
        <w:t>.</w:t>
      </w:r>
    </w:p>
  </w:footnote>
  <w:footnote w:id="65">
    <w:p w14:paraId="32589B2F" w14:textId="1350C354" w:rsidR="00EE506E" w:rsidRPr="000605BC" w:rsidRDefault="00EE506E" w:rsidP="008004ED">
      <w:pPr>
        <w:pStyle w:val="FootnoteText"/>
        <w:rPr>
          <w:rFonts w:cs="Times New Roman"/>
          <w:szCs w:val="18"/>
        </w:rPr>
      </w:pPr>
      <w:r w:rsidRPr="000605BC">
        <w:rPr>
          <w:rStyle w:val="FootnoteReference"/>
          <w:rFonts w:cs="Times New Roman"/>
          <w:szCs w:val="18"/>
        </w:rPr>
        <w:footnoteRef/>
      </w:r>
      <w:r w:rsidRPr="000605BC">
        <w:rPr>
          <w:rFonts w:cs="Times New Roman"/>
          <w:szCs w:val="18"/>
        </w:rPr>
        <w:t xml:space="preserve"> [42] </w:t>
      </w:r>
      <w:r w:rsidRPr="000605BC">
        <w:rPr>
          <w:rFonts w:cs="Times New Roman"/>
          <w:szCs w:val="18"/>
          <w:lang w:val="en-US"/>
        </w:rPr>
        <w:t xml:space="preserve">See </w:t>
      </w:r>
      <w:r w:rsidRPr="000605BC">
        <w:rPr>
          <w:rFonts w:cs="Times New Roman"/>
          <w:i/>
          <w:szCs w:val="18"/>
          <w:lang w:val="en-US"/>
        </w:rPr>
        <w:t>Special Recommendations</w:t>
      </w:r>
      <w:r w:rsidRPr="000605BC">
        <w:rPr>
          <w:rFonts w:cs="Times New Roman"/>
          <w:szCs w:val="18"/>
          <w:lang w:val="en-US"/>
        </w:rPr>
        <w:t xml:space="preserve">. These Special Recommendations are set out in Annex V, http:// </w:t>
      </w:r>
      <w:hyperlink r:id="rId15" w:history="1">
        <w:r w:rsidRPr="000605BC">
          <w:rPr>
            <w:rStyle w:val="Hyperlink"/>
            <w:rFonts w:cs="Times New Roman"/>
            <w:szCs w:val="18"/>
            <w:lang w:val="en-US"/>
          </w:rPr>
          <w:t>www.fatf-gafi.org/pdf/</w:t>
        </w:r>
        <w:r w:rsidRPr="000605BC">
          <w:rPr>
            <w:rStyle w:val="Hyperlink"/>
            <w:rFonts w:cs="Times New Roman"/>
            <w:szCs w:val="18"/>
            <w:lang w:val="en-US"/>
          </w:rPr>
          <w:br/>
          <w:t>SRecTF_en.pdf</w:t>
        </w:r>
      </w:hyperlink>
      <w:r w:rsidRPr="000605BC">
        <w:rPr>
          <w:rFonts w:cs="Times New Roman"/>
          <w:szCs w:val="18"/>
          <w:lang w:val="en-US"/>
        </w:rPr>
        <w:t>.</w:t>
      </w:r>
    </w:p>
  </w:footnote>
  <w:footnote w:id="66">
    <w:p w14:paraId="29EC6AA9" w14:textId="25277E67" w:rsidR="00EE506E" w:rsidRPr="000605BC" w:rsidRDefault="00EE506E" w:rsidP="008004ED">
      <w:pPr>
        <w:pStyle w:val="FootnoteText"/>
        <w:rPr>
          <w:rFonts w:cs="Times New Roman"/>
        </w:rPr>
      </w:pPr>
      <w:r w:rsidRPr="000605BC">
        <w:rPr>
          <w:rStyle w:val="FootnoteReference"/>
          <w:rFonts w:cs="Times New Roman"/>
          <w:szCs w:val="18"/>
        </w:rPr>
        <w:footnoteRef/>
      </w:r>
      <w:r w:rsidRPr="000605BC">
        <w:rPr>
          <w:rFonts w:cs="Times New Roman"/>
          <w:szCs w:val="18"/>
        </w:rPr>
        <w:t xml:space="preserve"> [43] </w:t>
      </w:r>
      <w:hyperlink r:id="rId16" w:history="1">
        <w:r w:rsidRPr="000605BC">
          <w:rPr>
            <w:rStyle w:val="Hyperlink"/>
            <w:rFonts w:cs="Times New Roman"/>
            <w:szCs w:val="18"/>
            <w:lang w:val="en-US"/>
          </w:rPr>
          <w:t>http://www.fatf-gafi.org/SAQTF_en.htm</w:t>
        </w:r>
      </w:hyperlink>
      <w:r w:rsidRPr="000605BC">
        <w:rPr>
          <w:rFonts w:cs="Times New Roman"/>
          <w:szCs w:val="18"/>
          <w:lang w:val="en-US"/>
        </w:rPr>
        <w:t>.</w:t>
      </w:r>
    </w:p>
  </w:footnote>
  <w:footnote w:id="67">
    <w:p w14:paraId="287A2070" w14:textId="07DBC55F" w:rsidR="00EE506E" w:rsidRPr="000605BC" w:rsidRDefault="00EE506E" w:rsidP="008004ED">
      <w:pPr>
        <w:pStyle w:val="FootnoteText"/>
        <w:rPr>
          <w:rFonts w:cs="Times New Roman"/>
          <w:lang w:val="en-US"/>
        </w:rPr>
      </w:pPr>
      <w:r w:rsidRPr="000605BC">
        <w:rPr>
          <w:rStyle w:val="FootnoteReference"/>
          <w:rFonts w:cs="Times New Roman"/>
        </w:rPr>
        <w:footnoteRef/>
      </w:r>
      <w:r w:rsidRPr="000605BC">
        <w:rPr>
          <w:rFonts w:cs="Times New Roman"/>
        </w:rPr>
        <w:t xml:space="preserve"> </w:t>
      </w:r>
      <w:r w:rsidRPr="000605BC">
        <w:rPr>
          <w:rFonts w:cs="Times New Roman"/>
          <w:lang w:val="en-US"/>
        </w:rPr>
        <w:t>Only selected FATF recommendations are reproduced here. The full text can be found online: &lt;</w:t>
      </w:r>
      <w:hyperlink r:id="rId17" w:history="1">
        <w:r w:rsidRPr="000605BC">
          <w:rPr>
            <w:rStyle w:val="Hyperlink"/>
            <w:rFonts w:cs="Times New Roman"/>
            <w:lang w:val="en-US"/>
          </w:rPr>
          <w:t>http://www.fatf-gafi.org/topics/fatfrecommendations/documents/fatf-recommendations.html</w:t>
        </w:r>
      </w:hyperlink>
      <w:r w:rsidRPr="000605BC">
        <w:rPr>
          <w:rFonts w:cs="Times New Roman"/>
          <w:lang w:val="en-US"/>
        </w:rPr>
        <w:t>&gt;.</w:t>
      </w:r>
    </w:p>
  </w:footnote>
  <w:footnote w:id="68">
    <w:p w14:paraId="7401F0F7" w14:textId="14A6C884" w:rsidR="00EE506E" w:rsidRPr="000605BC" w:rsidRDefault="00EE506E" w:rsidP="008004ED">
      <w:pPr>
        <w:pStyle w:val="FootnoteText"/>
        <w:rPr>
          <w:rFonts w:cs="Times New Roman"/>
          <w:szCs w:val="18"/>
          <w:lang w:val="en-US"/>
        </w:rPr>
      </w:pPr>
      <w:r w:rsidRPr="000605BC">
        <w:rPr>
          <w:rStyle w:val="FootnoteReference"/>
          <w:rFonts w:cs="Times New Roman"/>
          <w:szCs w:val="18"/>
        </w:rPr>
        <w:footnoteRef/>
      </w:r>
      <w:r w:rsidRPr="000605BC">
        <w:rPr>
          <w:rFonts w:cs="Times New Roman"/>
          <w:szCs w:val="18"/>
        </w:rPr>
        <w:t xml:space="preserve"> For more information, see: &lt;</w:t>
      </w:r>
      <w:hyperlink r:id="rId18" w:history="1">
        <w:r w:rsidRPr="000605BC">
          <w:rPr>
            <w:rStyle w:val="Hyperlink"/>
            <w:rFonts w:cs="Times New Roman"/>
            <w:szCs w:val="18"/>
          </w:rPr>
          <w:t>http://www.fincen.gov/</w:t>
        </w:r>
      </w:hyperlink>
      <w:r w:rsidRPr="000605BC">
        <w:rPr>
          <w:rFonts w:cs="Times New Roman"/>
          <w:szCs w:val="18"/>
        </w:rPr>
        <w:t>&gt;.</w:t>
      </w:r>
    </w:p>
  </w:footnote>
  <w:footnote w:id="69">
    <w:p w14:paraId="2FE4FE87" w14:textId="637D253E" w:rsidR="00EE506E" w:rsidRPr="000605BC" w:rsidRDefault="00EE506E" w:rsidP="008004ED">
      <w:pPr>
        <w:pStyle w:val="FootnoteText"/>
        <w:rPr>
          <w:rFonts w:cs="Times New Roman"/>
          <w:szCs w:val="18"/>
          <w:lang w:val="en-US"/>
        </w:rPr>
      </w:pPr>
      <w:r w:rsidRPr="000605BC">
        <w:rPr>
          <w:rStyle w:val="FootnoteReference"/>
          <w:rFonts w:cs="Times New Roman"/>
          <w:szCs w:val="18"/>
        </w:rPr>
        <w:footnoteRef/>
      </w:r>
      <w:r w:rsidRPr="000605BC">
        <w:rPr>
          <w:rFonts w:cs="Times New Roman"/>
          <w:szCs w:val="18"/>
        </w:rPr>
        <w:t xml:space="preserve"> For more information, see: &lt;</w:t>
      </w:r>
      <w:hyperlink r:id="rId19" w:history="1">
        <w:r w:rsidRPr="000605BC">
          <w:rPr>
            <w:rStyle w:val="Hyperlink"/>
            <w:rFonts w:cs="Times New Roman"/>
            <w:szCs w:val="18"/>
            <w:lang w:val="en-US"/>
          </w:rPr>
          <w:t>http://www.fintrac-canafe.gc.ca/intro-eng.asp</w:t>
        </w:r>
      </w:hyperlink>
      <w:r w:rsidRPr="000605BC">
        <w:rPr>
          <w:rFonts w:cs="Times New Roman"/>
          <w:szCs w:val="18"/>
          <w:lang w:val="en-US"/>
        </w:rPr>
        <w:t>&gt;.</w:t>
      </w:r>
    </w:p>
  </w:footnote>
  <w:footnote w:id="70">
    <w:p w14:paraId="086FFE1A" w14:textId="1C62373F" w:rsidR="00EE506E" w:rsidRPr="000605BC" w:rsidRDefault="00EE506E" w:rsidP="008004ED">
      <w:pPr>
        <w:pStyle w:val="FootnoteText"/>
        <w:rPr>
          <w:rFonts w:cs="Times New Roman"/>
          <w:szCs w:val="18"/>
          <w:lang w:val="en-US"/>
        </w:rPr>
      </w:pPr>
      <w:r w:rsidRPr="000605BC">
        <w:rPr>
          <w:rStyle w:val="FootnoteReference"/>
          <w:rFonts w:cs="Times New Roman"/>
          <w:szCs w:val="18"/>
        </w:rPr>
        <w:footnoteRef/>
      </w:r>
      <w:r w:rsidRPr="000605BC">
        <w:rPr>
          <w:rFonts w:cs="Times New Roman"/>
          <w:szCs w:val="18"/>
        </w:rPr>
        <w:t xml:space="preserve"> For more information, see: &lt;</w:t>
      </w:r>
      <w:hyperlink r:id="rId20" w:history="1">
        <w:r w:rsidRPr="000605BC">
          <w:rPr>
            <w:rStyle w:val="Hyperlink"/>
            <w:rFonts w:cs="Times New Roman"/>
            <w:szCs w:val="18"/>
          </w:rPr>
          <w:t>http://www.nationalcrimeagency.gov.uk/about-us/what-we-do/economic-crime/ukfiu</w:t>
        </w:r>
      </w:hyperlink>
      <w:r w:rsidRPr="000605BC">
        <w:rPr>
          <w:rFonts w:cs="Times New Roman"/>
          <w:szCs w:val="18"/>
        </w:rPr>
        <w:t>&gt;.</w:t>
      </w:r>
    </w:p>
  </w:footnote>
  <w:footnote w:id="71">
    <w:p w14:paraId="6D08BE3F" w14:textId="7EEE3B88" w:rsidR="00EE506E" w:rsidRPr="000605BC" w:rsidRDefault="00EE506E" w:rsidP="008004ED">
      <w:pPr>
        <w:pStyle w:val="FootnoteText"/>
        <w:rPr>
          <w:rFonts w:cs="Times New Roman"/>
          <w:szCs w:val="18"/>
          <w:lang w:val="en-US"/>
        </w:rPr>
      </w:pPr>
      <w:r w:rsidRPr="000605BC">
        <w:rPr>
          <w:rStyle w:val="FootnoteReference"/>
          <w:rFonts w:cs="Times New Roman"/>
          <w:szCs w:val="18"/>
        </w:rPr>
        <w:footnoteRef/>
      </w:r>
      <w:r w:rsidRPr="000605BC">
        <w:rPr>
          <w:rFonts w:cs="Times New Roman"/>
          <w:szCs w:val="18"/>
        </w:rPr>
        <w:t xml:space="preserve"> FINCEN, “What We Do”, online: &lt;</w:t>
      </w:r>
      <w:hyperlink r:id="rId21" w:history="1">
        <w:r w:rsidRPr="000605BC">
          <w:rPr>
            <w:rStyle w:val="Hyperlink"/>
            <w:rFonts w:cs="Times New Roman"/>
            <w:szCs w:val="18"/>
          </w:rPr>
          <w:t>https://www.fincen.gov/what-we-do</w:t>
        </w:r>
      </w:hyperlink>
      <w:r w:rsidRPr="000605BC">
        <w:rPr>
          <w:rFonts w:cs="Times New Roman"/>
          <w:szCs w:val="18"/>
        </w:rPr>
        <w:t>&gt;.</w:t>
      </w:r>
    </w:p>
  </w:footnote>
  <w:footnote w:id="72">
    <w:p w14:paraId="508412E9" w14:textId="22EFC1B1" w:rsidR="00EE506E" w:rsidRPr="000605BC" w:rsidRDefault="00EE506E" w:rsidP="008004ED">
      <w:pPr>
        <w:pStyle w:val="FootnoteText"/>
        <w:rPr>
          <w:rFonts w:cs="Times New Roman"/>
          <w:szCs w:val="18"/>
          <w:lang w:val="en-US"/>
        </w:rPr>
      </w:pPr>
      <w:r w:rsidRPr="000605BC">
        <w:rPr>
          <w:rStyle w:val="FootnoteReference"/>
          <w:rFonts w:cs="Times New Roman"/>
          <w:szCs w:val="18"/>
        </w:rPr>
        <w:footnoteRef/>
      </w:r>
      <w:r w:rsidRPr="000605BC">
        <w:rPr>
          <w:rFonts w:cs="Times New Roman"/>
          <w:szCs w:val="18"/>
        </w:rPr>
        <w:t xml:space="preserve"> FINTRAC, “Who We Are”, online: &lt;</w:t>
      </w:r>
      <w:hyperlink r:id="rId22" w:history="1">
        <w:r w:rsidRPr="000605BC">
          <w:rPr>
            <w:rStyle w:val="Hyperlink"/>
            <w:rFonts w:cs="Times New Roman"/>
            <w:szCs w:val="18"/>
          </w:rPr>
          <w:t>http://www.fintrac-canafe.gc.ca/fintrac-canafe/1-eng.asp</w:t>
        </w:r>
      </w:hyperlink>
      <w:r w:rsidRPr="000605BC">
        <w:rPr>
          <w:rFonts w:cs="Times New Roman"/>
          <w:szCs w:val="18"/>
        </w:rPr>
        <w:t>&gt;.</w:t>
      </w:r>
    </w:p>
  </w:footnote>
  <w:footnote w:id="73">
    <w:p w14:paraId="29CB9E25" w14:textId="77777777" w:rsidR="00EE506E" w:rsidRPr="000605BC" w:rsidRDefault="00EE506E" w:rsidP="008004ED">
      <w:pPr>
        <w:pStyle w:val="FootnoteText"/>
        <w:rPr>
          <w:rFonts w:cs="Times New Roman"/>
          <w:szCs w:val="18"/>
          <w:lang w:val="en-US"/>
        </w:rPr>
      </w:pPr>
      <w:r w:rsidRPr="000605BC">
        <w:rPr>
          <w:rStyle w:val="FootnoteReference"/>
          <w:rFonts w:cs="Times New Roman"/>
          <w:szCs w:val="18"/>
        </w:rPr>
        <w:footnoteRef/>
      </w:r>
      <w:r w:rsidRPr="000605BC">
        <w:rPr>
          <w:rFonts w:cs="Times New Roman"/>
          <w:szCs w:val="18"/>
        </w:rPr>
        <w:t xml:space="preserve"> NCA, “What We Do”, online: &lt;</w:t>
      </w:r>
      <w:hyperlink r:id="rId23" w:history="1">
        <w:r w:rsidRPr="000605BC">
          <w:rPr>
            <w:rStyle w:val="Hyperlink"/>
            <w:rFonts w:cs="Times New Roman"/>
            <w:szCs w:val="18"/>
          </w:rPr>
          <w:t>http://www.nationalcrimeagency.gov.uk/about-us/what-we-do</w:t>
        </w:r>
      </w:hyperlink>
      <w:r w:rsidRPr="000605BC">
        <w:rPr>
          <w:rFonts w:cs="Times New Roman"/>
          <w:szCs w:val="18"/>
        </w:rPr>
        <w:t>&gt;.</w:t>
      </w:r>
    </w:p>
  </w:footnote>
  <w:footnote w:id="74">
    <w:p w14:paraId="608EA354" w14:textId="77777777" w:rsidR="00EE506E" w:rsidRPr="000605BC" w:rsidRDefault="00EE506E" w:rsidP="008004ED">
      <w:pPr>
        <w:pStyle w:val="FootnoteText"/>
        <w:rPr>
          <w:rFonts w:cs="Times New Roman"/>
          <w:lang w:val="en-US"/>
        </w:rPr>
      </w:pPr>
      <w:r w:rsidRPr="000605BC">
        <w:rPr>
          <w:rStyle w:val="FootnoteReference"/>
          <w:rFonts w:cs="Times New Roman"/>
          <w:szCs w:val="18"/>
        </w:rPr>
        <w:footnoteRef/>
      </w:r>
      <w:r w:rsidRPr="000605BC">
        <w:rPr>
          <w:rFonts w:cs="Times New Roman"/>
          <w:szCs w:val="18"/>
        </w:rPr>
        <w:t xml:space="preserve"> FINCEN, “What We Do”, online: &lt;</w:t>
      </w:r>
      <w:hyperlink r:id="rId24" w:history="1">
        <w:r w:rsidRPr="000605BC">
          <w:rPr>
            <w:rStyle w:val="Hyperlink"/>
            <w:rFonts w:cs="Times New Roman"/>
            <w:szCs w:val="18"/>
          </w:rPr>
          <w:t>https://www.fincen.gov/what-we-do</w:t>
        </w:r>
      </w:hyperlink>
      <w:r w:rsidRPr="000605BC">
        <w:rPr>
          <w:rFonts w:cs="Times New Roman"/>
          <w:szCs w:val="18"/>
        </w:rPr>
        <w:t>&gt;.</w:t>
      </w:r>
    </w:p>
  </w:footnote>
  <w:footnote w:id="75">
    <w:p w14:paraId="7EF395BB" w14:textId="2E560061" w:rsidR="00EE506E" w:rsidRPr="000605BC" w:rsidRDefault="00EE506E" w:rsidP="008004ED">
      <w:pPr>
        <w:pStyle w:val="FootnoteText"/>
        <w:rPr>
          <w:szCs w:val="18"/>
        </w:rPr>
      </w:pPr>
      <w:r w:rsidRPr="000605BC">
        <w:rPr>
          <w:rStyle w:val="FootnoteReference"/>
          <w:szCs w:val="18"/>
        </w:rPr>
        <w:footnoteRef/>
      </w:r>
      <w:r w:rsidRPr="000605BC">
        <w:rPr>
          <w:szCs w:val="18"/>
        </w:rPr>
        <w:t xml:space="preserve"> For a list of </w:t>
      </w:r>
      <w:proofErr w:type="spellStart"/>
      <w:r w:rsidRPr="000605BC">
        <w:rPr>
          <w:szCs w:val="18"/>
        </w:rPr>
        <w:t>FinCEN</w:t>
      </w:r>
      <w:proofErr w:type="spellEnd"/>
      <w:r w:rsidRPr="000605BC">
        <w:rPr>
          <w:szCs w:val="18"/>
        </w:rPr>
        <w:t xml:space="preserve"> enforcement actions, see: &lt;</w:t>
      </w:r>
      <w:hyperlink r:id="rId25" w:history="1">
        <w:r w:rsidRPr="000605BC">
          <w:rPr>
            <w:rStyle w:val="Hyperlink"/>
            <w:szCs w:val="18"/>
          </w:rPr>
          <w:t>http://www.fincen.gov/news_room/ea/</w:t>
        </w:r>
      </w:hyperlink>
      <w:r w:rsidRPr="000605BC">
        <w:rPr>
          <w:szCs w:val="18"/>
        </w:rPr>
        <w:t>&gt;.</w:t>
      </w:r>
    </w:p>
  </w:footnote>
  <w:footnote w:id="76">
    <w:p w14:paraId="40FE59FE" w14:textId="7048BEA7" w:rsidR="00EE506E" w:rsidRPr="000605BC" w:rsidRDefault="00EE506E" w:rsidP="008004ED">
      <w:pPr>
        <w:pStyle w:val="FootnoteText"/>
        <w:rPr>
          <w:szCs w:val="18"/>
        </w:rPr>
      </w:pPr>
      <w:r w:rsidRPr="000605BC">
        <w:rPr>
          <w:rStyle w:val="FootnoteReference"/>
          <w:szCs w:val="18"/>
        </w:rPr>
        <w:footnoteRef/>
      </w:r>
      <w:r w:rsidRPr="000605BC">
        <w:rPr>
          <w:szCs w:val="18"/>
        </w:rPr>
        <w:t xml:space="preserve"> Richard L Cassin, “Ripple Labs Becomes First Virtual Money Exchange Fined by </w:t>
      </w:r>
      <w:proofErr w:type="spellStart"/>
      <w:r w:rsidRPr="000605BC">
        <w:rPr>
          <w:szCs w:val="18"/>
        </w:rPr>
        <w:t>FinCEN</w:t>
      </w:r>
      <w:proofErr w:type="spellEnd"/>
      <w:r w:rsidRPr="000605BC">
        <w:rPr>
          <w:szCs w:val="18"/>
        </w:rPr>
        <w:t xml:space="preserve">”, </w:t>
      </w:r>
      <w:r w:rsidRPr="000605BC">
        <w:rPr>
          <w:i/>
          <w:szCs w:val="18"/>
        </w:rPr>
        <w:t>The FCPA Blog</w:t>
      </w:r>
      <w:r w:rsidRPr="000605BC">
        <w:rPr>
          <w:szCs w:val="18"/>
        </w:rPr>
        <w:t xml:space="preserve"> (7 May 2015),</w:t>
      </w:r>
      <w:r w:rsidRPr="000605BC">
        <w:rPr>
          <w:i/>
          <w:szCs w:val="18"/>
        </w:rPr>
        <w:t xml:space="preserve"> </w:t>
      </w:r>
      <w:r w:rsidRPr="000605BC">
        <w:rPr>
          <w:szCs w:val="18"/>
        </w:rPr>
        <w:t>online: &lt;</w:t>
      </w:r>
      <w:hyperlink r:id="rId26" w:history="1">
        <w:r w:rsidRPr="000605BC">
          <w:rPr>
            <w:rStyle w:val="Hyperlink"/>
            <w:rFonts w:eastAsia="SimSun" w:cs="Arial"/>
            <w:szCs w:val="18"/>
            <w:lang w:bidi="en-US"/>
          </w:rPr>
          <w:t>http://www.fcpablog.com/blog/2015/5/7/ripple-labs-becomes-first-virtual-money-exchange-fined-by-fi.html</w:t>
        </w:r>
      </w:hyperlink>
      <w:r w:rsidRPr="000605BC">
        <w:rPr>
          <w:szCs w:val="18"/>
        </w:rPr>
        <w:t>&gt;.</w:t>
      </w:r>
    </w:p>
  </w:footnote>
  <w:footnote w:id="77">
    <w:p w14:paraId="5AD6626E" w14:textId="55CABE40" w:rsidR="00EE506E" w:rsidRPr="000605BC" w:rsidRDefault="00EE506E" w:rsidP="008004ED">
      <w:pPr>
        <w:pStyle w:val="FootnoteText"/>
        <w:rPr>
          <w:szCs w:val="18"/>
        </w:rPr>
      </w:pPr>
      <w:r w:rsidRPr="000605BC">
        <w:rPr>
          <w:rStyle w:val="FootnoteReference"/>
          <w:szCs w:val="18"/>
        </w:rPr>
        <w:footnoteRef/>
      </w:r>
      <w:r w:rsidRPr="000605BC">
        <w:rPr>
          <w:szCs w:val="18"/>
        </w:rPr>
        <w:t xml:space="preserve"> Richard L Cassin, “</w:t>
      </w:r>
      <w:proofErr w:type="spellStart"/>
      <w:r w:rsidRPr="000605BC">
        <w:rPr>
          <w:szCs w:val="18"/>
        </w:rPr>
        <w:t>FinCEN</w:t>
      </w:r>
      <w:proofErr w:type="spellEnd"/>
      <w:r w:rsidRPr="000605BC">
        <w:rPr>
          <w:szCs w:val="18"/>
        </w:rPr>
        <w:t xml:space="preserve"> Fines Pacific Island Casino $75 Million for ‘Egregious’ Anti-Money Laundering Offenses”, </w:t>
      </w:r>
      <w:r w:rsidRPr="000605BC">
        <w:rPr>
          <w:i/>
          <w:szCs w:val="18"/>
        </w:rPr>
        <w:t>The FCPA Blog</w:t>
      </w:r>
      <w:r w:rsidRPr="000605BC">
        <w:rPr>
          <w:szCs w:val="18"/>
        </w:rPr>
        <w:t xml:space="preserve"> (4 June 2015),</w:t>
      </w:r>
      <w:r w:rsidRPr="000605BC">
        <w:rPr>
          <w:i/>
          <w:szCs w:val="18"/>
        </w:rPr>
        <w:t xml:space="preserve"> </w:t>
      </w:r>
      <w:r w:rsidRPr="000605BC">
        <w:rPr>
          <w:szCs w:val="18"/>
        </w:rPr>
        <w:t>online: &lt;</w:t>
      </w:r>
      <w:hyperlink r:id="rId27" w:history="1">
        <w:r w:rsidRPr="000605BC">
          <w:rPr>
            <w:rStyle w:val="Hyperlink"/>
            <w:rFonts w:eastAsia="SimSun" w:cs="Arial"/>
            <w:szCs w:val="18"/>
            <w:lang w:bidi="en-US"/>
          </w:rPr>
          <w:t>http://www.fcpablog.com/blog/2015/6/4/fincen-fines-pacific-island-casino-75-million-for-egregious.html</w:t>
        </w:r>
      </w:hyperlink>
      <w:r w:rsidRPr="000605BC">
        <w:rPr>
          <w:szCs w:val="18"/>
        </w:rPr>
        <w:t>&gt;.</w:t>
      </w:r>
    </w:p>
  </w:footnote>
  <w:footnote w:id="78">
    <w:p w14:paraId="5A197419" w14:textId="13F126B4" w:rsidR="00EE506E" w:rsidRPr="000605BC" w:rsidRDefault="00EE506E" w:rsidP="008004ED">
      <w:pPr>
        <w:pStyle w:val="FootnoteText"/>
        <w:rPr>
          <w:szCs w:val="18"/>
        </w:rPr>
      </w:pPr>
      <w:r w:rsidRPr="000605BC">
        <w:rPr>
          <w:rStyle w:val="FootnoteReference"/>
          <w:szCs w:val="18"/>
        </w:rPr>
        <w:footnoteRef/>
      </w:r>
      <w:r w:rsidRPr="000605BC">
        <w:rPr>
          <w:szCs w:val="18"/>
        </w:rPr>
        <w:t xml:space="preserve"> Richard L Cassin, “Tanzania Bank is ‘Shocked’ after ‘Unexplained’ </w:t>
      </w:r>
      <w:proofErr w:type="spellStart"/>
      <w:r w:rsidRPr="000605BC">
        <w:rPr>
          <w:szCs w:val="18"/>
        </w:rPr>
        <w:t>FinCEN</w:t>
      </w:r>
      <w:proofErr w:type="spellEnd"/>
      <w:r w:rsidRPr="000605BC">
        <w:rPr>
          <w:szCs w:val="18"/>
        </w:rPr>
        <w:t xml:space="preserve"> Ban”, </w:t>
      </w:r>
      <w:r w:rsidRPr="000605BC">
        <w:rPr>
          <w:i/>
          <w:szCs w:val="18"/>
        </w:rPr>
        <w:t>The FCPA Blog</w:t>
      </w:r>
      <w:r w:rsidRPr="000605BC">
        <w:rPr>
          <w:szCs w:val="18"/>
        </w:rPr>
        <w:t xml:space="preserve"> (27 July 2015), online: &lt;</w:t>
      </w:r>
      <w:hyperlink r:id="rId28" w:history="1">
        <w:r w:rsidRPr="000605BC">
          <w:rPr>
            <w:rStyle w:val="Hyperlink"/>
            <w:rFonts w:eastAsia="SimSun" w:cs="Arial"/>
            <w:szCs w:val="18"/>
            <w:lang w:bidi="en-US"/>
          </w:rPr>
          <w:t>http://www.fcpablog.com/blog/2015/7/27/tanzania-bank-is-shocked-after-unexplained-fincen-ban.html</w:t>
        </w:r>
      </w:hyperlink>
      <w:r w:rsidRPr="000605BC">
        <w:rPr>
          <w:szCs w:val="18"/>
        </w:rPr>
        <w:t>&gt;.</w:t>
      </w:r>
    </w:p>
  </w:footnote>
  <w:footnote w:id="79">
    <w:p w14:paraId="407D0C3A" w14:textId="799FF52B" w:rsidR="00EE506E" w:rsidRPr="000605BC" w:rsidRDefault="00EE506E" w:rsidP="008004ED">
      <w:pPr>
        <w:pStyle w:val="FootnoteText"/>
        <w:rPr>
          <w:i/>
          <w:szCs w:val="18"/>
        </w:rPr>
      </w:pPr>
      <w:r w:rsidRPr="000605BC">
        <w:rPr>
          <w:rStyle w:val="FootnoteReference"/>
          <w:szCs w:val="18"/>
        </w:rPr>
        <w:footnoteRef/>
      </w:r>
      <w:r w:rsidRPr="000605BC">
        <w:rPr>
          <w:szCs w:val="18"/>
        </w:rPr>
        <w:t xml:space="preserve"> </w:t>
      </w:r>
      <w:r w:rsidRPr="000605BC">
        <w:rPr>
          <w:i/>
          <w:szCs w:val="18"/>
        </w:rPr>
        <w:t>Ibid.</w:t>
      </w:r>
    </w:p>
  </w:footnote>
  <w:footnote w:id="80">
    <w:p w14:paraId="1535DDB1" w14:textId="088D6B7C" w:rsidR="00EE506E" w:rsidRPr="000605BC" w:rsidRDefault="00EE506E" w:rsidP="008004ED">
      <w:pPr>
        <w:pStyle w:val="FootnoteText"/>
        <w:rPr>
          <w:i/>
        </w:rPr>
      </w:pPr>
      <w:r w:rsidRPr="000605BC">
        <w:rPr>
          <w:rStyle w:val="FootnoteReference"/>
          <w:szCs w:val="18"/>
        </w:rPr>
        <w:footnoteRef/>
      </w:r>
      <w:r w:rsidRPr="000605BC">
        <w:rPr>
          <w:szCs w:val="18"/>
        </w:rPr>
        <w:t xml:space="preserve"> </w:t>
      </w:r>
      <w:r w:rsidRPr="000605BC">
        <w:rPr>
          <w:i/>
          <w:szCs w:val="18"/>
        </w:rPr>
        <w:t>Ibid.</w:t>
      </w:r>
    </w:p>
  </w:footnote>
  <w:footnote w:id="81">
    <w:p w14:paraId="21D30397" w14:textId="3462C839" w:rsidR="00EE506E" w:rsidRPr="000605BC" w:rsidRDefault="00EE506E" w:rsidP="008004ED">
      <w:pPr>
        <w:pStyle w:val="FootnoteText"/>
        <w:rPr>
          <w:rFonts w:cs="Times New Roman"/>
          <w:lang w:val="en-US"/>
        </w:rPr>
      </w:pPr>
      <w:r w:rsidRPr="000605BC">
        <w:rPr>
          <w:rStyle w:val="FootnoteReference"/>
          <w:rFonts w:cs="Times New Roman"/>
        </w:rPr>
        <w:footnoteRef/>
      </w:r>
      <w:r w:rsidRPr="000605BC">
        <w:rPr>
          <w:rFonts w:cs="Times New Roman"/>
        </w:rPr>
        <w:t xml:space="preserve"> NCA, “UK Financial Intelligence Unit”, online: &lt;</w:t>
      </w:r>
      <w:hyperlink r:id="rId29" w:history="1">
        <w:r w:rsidRPr="000605BC">
          <w:rPr>
            <w:rStyle w:val="Hyperlink"/>
            <w:rFonts w:cs="Times New Roman"/>
          </w:rPr>
          <w:t>http://www.nationalcrimeagency.gov.uk/about-us/what-we-do/economic-crime/ukfiu</w:t>
        </w:r>
      </w:hyperlink>
      <w:r w:rsidRPr="000605BC">
        <w:rPr>
          <w:rFonts w:cs="Times New Roman"/>
        </w:rPr>
        <w:t>&gt;.</w:t>
      </w:r>
    </w:p>
  </w:footnote>
  <w:footnote w:id="82">
    <w:p w14:paraId="5EA15A30" w14:textId="0FD469C2" w:rsidR="00EE506E" w:rsidRPr="000605BC" w:rsidRDefault="00EE506E" w:rsidP="008004ED">
      <w:pPr>
        <w:pStyle w:val="FootnoteText"/>
        <w:rPr>
          <w:rFonts w:cs="Times New Roman"/>
          <w:highlight w:val="yellow"/>
          <w:lang w:val="en-US"/>
        </w:rPr>
      </w:pPr>
      <w:r w:rsidRPr="000605BC">
        <w:rPr>
          <w:rStyle w:val="FootnoteReference"/>
          <w:rFonts w:cs="Times New Roman"/>
        </w:rPr>
        <w:footnoteRef/>
      </w:r>
      <w:r w:rsidRPr="000605BC">
        <w:rPr>
          <w:rFonts w:cs="Times New Roman"/>
        </w:rPr>
        <w:t xml:space="preserve"> FINTRAC, “Who We Are”, online: </w:t>
      </w:r>
      <w:r w:rsidRPr="000605BC">
        <w:rPr>
          <w:rFonts w:cs="Times New Roman"/>
          <w:szCs w:val="18"/>
        </w:rPr>
        <w:t>&lt;</w:t>
      </w:r>
      <w:hyperlink r:id="rId30" w:history="1">
        <w:r w:rsidRPr="000605BC">
          <w:rPr>
            <w:rStyle w:val="Hyperlink"/>
            <w:rFonts w:cs="Times New Roman"/>
            <w:szCs w:val="18"/>
          </w:rPr>
          <w:t>http://www.fintrac-canafe.gc.ca/fintrac-canafe/1-eng.asp</w:t>
        </w:r>
      </w:hyperlink>
      <w:r w:rsidRPr="000605BC">
        <w:rPr>
          <w:rFonts w:cs="Times New Roman"/>
          <w:szCs w:val="18"/>
        </w:rPr>
        <w:t xml:space="preserve">&gt;. </w:t>
      </w:r>
      <w:r w:rsidRPr="000605BC">
        <w:t xml:space="preserve">FINTRAC has reorganized all its very detailed guidelines in respect to the </w:t>
      </w:r>
      <w:r w:rsidRPr="000605BC">
        <w:rPr>
          <w:i/>
          <w:iCs/>
        </w:rPr>
        <w:t>PCMLTFA</w:t>
      </w:r>
      <w:r w:rsidRPr="000605BC">
        <w:t>, and these can be found on FINTRAC’s website at: &lt;</w:t>
      </w:r>
      <w:hyperlink r:id="rId31" w:history="1">
        <w:r w:rsidRPr="000605BC">
          <w:rPr>
            <w:rStyle w:val="Hyperlink"/>
          </w:rPr>
          <w:t>http://www.fintrac.gc.ca/guidance-directives/1-eng.asp</w:t>
        </w:r>
      </w:hyperlink>
      <w:r w:rsidRPr="000605BC">
        <w:t>&gt;.</w:t>
      </w:r>
    </w:p>
  </w:footnote>
  <w:footnote w:id="83">
    <w:p w14:paraId="48073679" w14:textId="3D9A4B0B" w:rsidR="00EE506E" w:rsidRPr="000605BC" w:rsidRDefault="00EE506E" w:rsidP="008004ED">
      <w:pPr>
        <w:pStyle w:val="FootnoteText"/>
      </w:pPr>
      <w:r w:rsidRPr="000605BC">
        <w:rPr>
          <w:rStyle w:val="FootnoteReference"/>
        </w:rPr>
        <w:footnoteRef/>
      </w:r>
      <w:r w:rsidRPr="000605BC">
        <w:t xml:space="preserve"> Terence D Hall, </w:t>
      </w:r>
      <w:r w:rsidRPr="000605BC">
        <w:rPr>
          <w:i/>
        </w:rPr>
        <w:t xml:space="preserve">A Guide to Canadian Money Laundering Legislation, </w:t>
      </w:r>
      <w:r w:rsidRPr="000605BC">
        <w:t>4</w:t>
      </w:r>
      <w:r w:rsidRPr="000605BC">
        <w:rPr>
          <w:vertAlign w:val="superscript"/>
        </w:rPr>
        <w:t>th</w:t>
      </w:r>
      <w:r w:rsidRPr="000605BC">
        <w:t xml:space="preserve"> </w:t>
      </w:r>
      <w:proofErr w:type="spellStart"/>
      <w:proofErr w:type="gramStart"/>
      <w:r w:rsidRPr="000605BC">
        <w:t>ed</w:t>
      </w:r>
      <w:proofErr w:type="spellEnd"/>
      <w:proofErr w:type="gramEnd"/>
      <w:r w:rsidRPr="000605BC">
        <w:t xml:space="preserve"> (LexisNexis, 2015) at 23.</w:t>
      </w:r>
    </w:p>
  </w:footnote>
  <w:footnote w:id="84">
    <w:p w14:paraId="162CBC68" w14:textId="5F1DE6BB" w:rsidR="00EE506E" w:rsidRPr="000605BC" w:rsidRDefault="00EE506E" w:rsidP="008004ED">
      <w:pPr>
        <w:pStyle w:val="FootnoteText"/>
      </w:pPr>
      <w:r w:rsidRPr="000605BC">
        <w:rPr>
          <w:rStyle w:val="FootnoteReference"/>
        </w:rPr>
        <w:footnoteRef/>
      </w:r>
      <w:r w:rsidRPr="000605BC">
        <w:t xml:space="preserve"> </w:t>
      </w:r>
      <w:r w:rsidRPr="000605BC">
        <w:rPr>
          <w:i/>
        </w:rPr>
        <w:t xml:space="preserve">Ibid </w:t>
      </w:r>
      <w:r w:rsidRPr="000605BC">
        <w:t>at 147–48.</w:t>
      </w:r>
    </w:p>
  </w:footnote>
  <w:footnote w:id="85">
    <w:p w14:paraId="7A1AD3C9" w14:textId="43BDC3E0" w:rsidR="00EE506E" w:rsidRPr="000605BC" w:rsidRDefault="00EE506E" w:rsidP="008004ED">
      <w:pPr>
        <w:pStyle w:val="FootnoteText"/>
      </w:pPr>
      <w:r w:rsidRPr="000605BC">
        <w:rPr>
          <w:rStyle w:val="FootnoteReference"/>
        </w:rPr>
        <w:footnoteRef/>
      </w:r>
      <w:r w:rsidRPr="000605BC">
        <w:t xml:space="preserve"> </w:t>
      </w:r>
      <w:r w:rsidRPr="000605BC">
        <w:rPr>
          <w:i/>
        </w:rPr>
        <w:t xml:space="preserve">Ibid </w:t>
      </w:r>
      <w:r w:rsidRPr="000605BC">
        <w:t>at 18.</w:t>
      </w:r>
    </w:p>
  </w:footnote>
  <w:footnote w:id="86">
    <w:p w14:paraId="5A50B213" w14:textId="121D6CD8" w:rsidR="00EE506E" w:rsidRPr="000605BC" w:rsidRDefault="00EE506E" w:rsidP="008004ED">
      <w:pPr>
        <w:pStyle w:val="FootnoteText"/>
      </w:pPr>
      <w:r w:rsidRPr="000605BC">
        <w:rPr>
          <w:rStyle w:val="FootnoteReference"/>
        </w:rPr>
        <w:footnoteRef/>
      </w:r>
      <w:r w:rsidRPr="000605BC">
        <w:t xml:space="preserve"> </w:t>
      </w:r>
      <w:r w:rsidRPr="000605BC">
        <w:rPr>
          <w:i/>
        </w:rPr>
        <w:t xml:space="preserve">Ibid </w:t>
      </w:r>
      <w:r w:rsidRPr="000605BC">
        <w:t>at 19.</w:t>
      </w:r>
    </w:p>
  </w:footnote>
  <w:footnote w:id="87">
    <w:p w14:paraId="658A36E0" w14:textId="0651E935" w:rsidR="00EE506E" w:rsidRPr="000605BC" w:rsidRDefault="00EE506E" w:rsidP="008004ED">
      <w:pPr>
        <w:pStyle w:val="FootnoteText"/>
        <w:rPr>
          <w:szCs w:val="18"/>
        </w:rPr>
      </w:pPr>
      <w:r w:rsidRPr="000605BC">
        <w:rPr>
          <w:rStyle w:val="FootnoteReference"/>
          <w:szCs w:val="18"/>
        </w:rPr>
        <w:footnoteRef/>
      </w:r>
      <w:r w:rsidRPr="000605BC">
        <w:rPr>
          <w:szCs w:val="18"/>
        </w:rPr>
        <w:t xml:space="preserve"> </w:t>
      </w:r>
      <w:r w:rsidRPr="000605BC">
        <w:rPr>
          <w:spacing w:val="-1"/>
          <w:szCs w:val="18"/>
        </w:rPr>
        <w:t xml:space="preserve">In the UK, see the </w:t>
      </w:r>
      <w:r w:rsidRPr="000605BC">
        <w:rPr>
          <w:i/>
          <w:spacing w:val="-1"/>
          <w:szCs w:val="18"/>
        </w:rPr>
        <w:t>Proceeds of Crime Act 2002</w:t>
      </w:r>
      <w:r w:rsidRPr="000605BC">
        <w:rPr>
          <w:spacing w:val="-1"/>
          <w:szCs w:val="18"/>
        </w:rPr>
        <w:t xml:space="preserve"> and the </w:t>
      </w:r>
      <w:r w:rsidRPr="000605BC">
        <w:rPr>
          <w:i/>
          <w:spacing w:val="-1"/>
          <w:szCs w:val="18"/>
        </w:rPr>
        <w:t>Money Laundering Regulations 2007</w:t>
      </w:r>
      <w:r w:rsidRPr="000605BC">
        <w:rPr>
          <w:spacing w:val="-1"/>
          <w:szCs w:val="18"/>
        </w:rPr>
        <w:t xml:space="preserve">, SI 2007/2157. The Financial Conduct Authority (FCA) is the authority responsible for supervising compliance with the </w:t>
      </w:r>
      <w:r w:rsidRPr="000605BC">
        <w:rPr>
          <w:i/>
          <w:spacing w:val="-1"/>
          <w:szCs w:val="18"/>
        </w:rPr>
        <w:t>Money Laundering Regulations</w:t>
      </w:r>
      <w:r w:rsidRPr="000605BC">
        <w:rPr>
          <w:spacing w:val="-1"/>
          <w:szCs w:val="18"/>
        </w:rPr>
        <w:t xml:space="preserve"> by most financial firms and organisations. For more detail, see the resources available at the FCA website: &lt;</w:t>
      </w:r>
      <w:hyperlink r:id="rId32" w:history="1">
        <w:r w:rsidRPr="000605BC">
          <w:rPr>
            <w:rStyle w:val="Hyperlink"/>
            <w:spacing w:val="-1"/>
            <w:szCs w:val="18"/>
          </w:rPr>
          <w:t>http://www.fca.org.uk/</w:t>
        </w:r>
      </w:hyperlink>
      <w:r w:rsidRPr="000605BC">
        <w:rPr>
          <w:rStyle w:val="Hyperlink"/>
          <w:color w:val="auto"/>
          <w:spacing w:val="-1"/>
          <w:szCs w:val="18"/>
          <w:u w:val="none"/>
        </w:rPr>
        <w:t>&gt;</w:t>
      </w:r>
      <w:r w:rsidRPr="000605BC">
        <w:rPr>
          <w:spacing w:val="-1"/>
          <w:szCs w:val="18"/>
        </w:rPr>
        <w:t xml:space="preserve">. </w:t>
      </w:r>
      <w:r w:rsidRPr="000605BC">
        <w:rPr>
          <w:szCs w:val="18"/>
        </w:rPr>
        <w:t>See also William Rees et al,</w:t>
      </w:r>
      <w:r w:rsidRPr="000605BC">
        <w:rPr>
          <w:i/>
          <w:szCs w:val="18"/>
        </w:rPr>
        <w:t xml:space="preserve"> Blackstone’s Guide to the Proceeds of Crime Act</w:t>
      </w:r>
      <w:r w:rsidRPr="000605BC">
        <w:rPr>
          <w:szCs w:val="18"/>
        </w:rPr>
        <w:t>, 4</w:t>
      </w:r>
      <w:r w:rsidRPr="000605BC">
        <w:rPr>
          <w:szCs w:val="18"/>
          <w:vertAlign w:val="superscript"/>
        </w:rPr>
        <w:t>th</w:t>
      </w:r>
      <w:r w:rsidRPr="000605BC">
        <w:rPr>
          <w:szCs w:val="18"/>
        </w:rPr>
        <w:t xml:space="preserve"> </w:t>
      </w:r>
      <w:proofErr w:type="spellStart"/>
      <w:proofErr w:type="gramStart"/>
      <w:r w:rsidRPr="000605BC">
        <w:rPr>
          <w:szCs w:val="18"/>
        </w:rPr>
        <w:t>ed</w:t>
      </w:r>
      <w:proofErr w:type="spellEnd"/>
      <w:proofErr w:type="gramEnd"/>
      <w:r w:rsidRPr="000605BC">
        <w:rPr>
          <w:szCs w:val="18"/>
        </w:rPr>
        <w:t xml:space="preserve"> (Oxford University Press, 2011). In Canada, see the </w:t>
      </w:r>
      <w:r w:rsidRPr="000605BC">
        <w:rPr>
          <w:i/>
          <w:szCs w:val="18"/>
        </w:rPr>
        <w:t xml:space="preserve">Proceeds of Crime (Money Laundering) and Terrorist Financing Act </w:t>
      </w:r>
      <w:r w:rsidRPr="000605BC">
        <w:rPr>
          <w:szCs w:val="18"/>
        </w:rPr>
        <w:t>(</w:t>
      </w:r>
      <w:r w:rsidRPr="000605BC">
        <w:rPr>
          <w:i/>
          <w:szCs w:val="18"/>
        </w:rPr>
        <w:t>PCMLTFA</w:t>
      </w:r>
      <w:r w:rsidRPr="000605BC">
        <w:rPr>
          <w:szCs w:val="18"/>
        </w:rPr>
        <w:t>)</w:t>
      </w:r>
      <w:r w:rsidRPr="000605BC">
        <w:rPr>
          <w:i/>
          <w:szCs w:val="18"/>
        </w:rPr>
        <w:t xml:space="preserve">, </w:t>
      </w:r>
      <w:r w:rsidRPr="000605BC">
        <w:rPr>
          <w:szCs w:val="18"/>
        </w:rPr>
        <w:t xml:space="preserve">SC 2000, c 17 and the </w:t>
      </w:r>
      <w:r w:rsidRPr="000605BC">
        <w:rPr>
          <w:i/>
          <w:szCs w:val="18"/>
        </w:rPr>
        <w:t>PCMLTF</w:t>
      </w:r>
      <w:r w:rsidRPr="000605BC">
        <w:rPr>
          <w:szCs w:val="18"/>
        </w:rPr>
        <w:t xml:space="preserve"> </w:t>
      </w:r>
      <w:r w:rsidRPr="000605BC">
        <w:rPr>
          <w:i/>
          <w:szCs w:val="18"/>
        </w:rPr>
        <w:t>Regulations</w:t>
      </w:r>
      <w:r w:rsidRPr="000605BC">
        <w:rPr>
          <w:szCs w:val="18"/>
        </w:rPr>
        <w:t xml:space="preserve"> SOR/2002-184 and four subsequent Regulations. See the Financial Transactions and Reports Analysis Centre of Canada (FINTRAC) website for detailed information on the various regulations related to the enforcement of </w:t>
      </w:r>
      <w:r w:rsidRPr="000605BC">
        <w:rPr>
          <w:i/>
          <w:szCs w:val="18"/>
        </w:rPr>
        <w:t>PCMLTFA</w:t>
      </w:r>
      <w:r w:rsidRPr="000605BC">
        <w:rPr>
          <w:szCs w:val="18"/>
        </w:rPr>
        <w:t>: &lt;</w:t>
      </w:r>
      <w:hyperlink r:id="rId33" w:history="1">
        <w:r w:rsidRPr="000605BC">
          <w:rPr>
            <w:rStyle w:val="Hyperlink"/>
            <w:szCs w:val="18"/>
          </w:rPr>
          <w:t>http://www.fintrac-canafe.gc.ca/</w:t>
        </w:r>
      </w:hyperlink>
      <w:r w:rsidRPr="000605BC">
        <w:rPr>
          <w:rStyle w:val="Hyperlink"/>
          <w:color w:val="auto"/>
          <w:szCs w:val="18"/>
          <w:u w:val="none"/>
        </w:rPr>
        <w:t>&gt;</w:t>
      </w:r>
      <w:r w:rsidRPr="000605BC">
        <w:rPr>
          <w:szCs w:val="18"/>
        </w:rPr>
        <w:t xml:space="preserve">. See also Hall, (2015), and Peter M German, </w:t>
      </w:r>
      <w:r w:rsidRPr="000605BC">
        <w:rPr>
          <w:i/>
          <w:szCs w:val="18"/>
        </w:rPr>
        <w:t>Proceeds of Crime: The</w:t>
      </w:r>
      <w:r w:rsidRPr="000605BC">
        <w:rPr>
          <w:szCs w:val="18"/>
        </w:rPr>
        <w:t xml:space="preserve"> </w:t>
      </w:r>
      <w:r w:rsidRPr="000605BC">
        <w:rPr>
          <w:i/>
          <w:szCs w:val="18"/>
        </w:rPr>
        <w:t>Criminal Law, Related Statutes, Regulations and Agreements</w:t>
      </w:r>
      <w:r w:rsidRPr="000605BC">
        <w:rPr>
          <w:szCs w:val="18"/>
        </w:rPr>
        <w:t xml:space="preserve"> (Carswell, 1998) (loose-leaf updated 2013), </w:t>
      </w:r>
      <w:proofErr w:type="spellStart"/>
      <w:r w:rsidRPr="000605BC">
        <w:rPr>
          <w:szCs w:val="18"/>
        </w:rPr>
        <w:t>ch</w:t>
      </w:r>
      <w:proofErr w:type="spellEnd"/>
      <w:r w:rsidRPr="000605BC">
        <w:rPr>
          <w:szCs w:val="18"/>
        </w:rPr>
        <w:t xml:space="preserve"> 3, 16.</w:t>
      </w:r>
    </w:p>
  </w:footnote>
  <w:footnote w:id="88">
    <w:p w14:paraId="6B639198" w14:textId="4BD0E7FE" w:rsidR="00EE506E" w:rsidRPr="000605BC" w:rsidRDefault="00EE506E" w:rsidP="008004ED">
      <w:pPr>
        <w:pStyle w:val="FootnoteText"/>
        <w:rPr>
          <w:rFonts w:eastAsiaTheme="minorEastAsia"/>
          <w:lang w:val="en-US" w:eastAsia="ja-JP"/>
        </w:rPr>
      </w:pPr>
      <w:r w:rsidRPr="000605BC">
        <w:rPr>
          <w:rStyle w:val="FootnoteReference"/>
          <w:rFonts w:cs="Times New Roman"/>
          <w:szCs w:val="18"/>
        </w:rPr>
        <w:footnoteRef/>
      </w:r>
      <w:r w:rsidRPr="000605BC">
        <w:t xml:space="preserve"> UK: </w:t>
      </w:r>
      <w:r w:rsidRPr="000605BC">
        <w:rPr>
          <w:i/>
        </w:rPr>
        <w:t>The Money Laundering Regulations 2007</w:t>
      </w:r>
      <w:r w:rsidRPr="000605BC">
        <w:t xml:space="preserve">, SI 2007/2157, </w:t>
      </w:r>
      <w:proofErr w:type="spellStart"/>
      <w:r w:rsidRPr="000605BC">
        <w:t>ss</w:t>
      </w:r>
      <w:proofErr w:type="spellEnd"/>
      <w:r w:rsidRPr="000605BC">
        <w:t xml:space="preserve"> 7, 14(4); Canada: </w:t>
      </w:r>
      <w:r w:rsidRPr="000605BC">
        <w:rPr>
          <w:i/>
        </w:rPr>
        <w:t>The Proceeds of Crime (Money Laundering) and Terrorist Financing Regulations</w:t>
      </w:r>
      <w:r w:rsidRPr="000605BC">
        <w:t xml:space="preserve">, </w:t>
      </w:r>
      <w:r w:rsidRPr="000605BC">
        <w:rPr>
          <w:rFonts w:eastAsiaTheme="minorEastAsia"/>
          <w:lang w:val="en-US" w:eastAsia="ja-JP"/>
        </w:rPr>
        <w:t xml:space="preserve">SOR/2002-184, </w:t>
      </w:r>
      <w:proofErr w:type="spellStart"/>
      <w:r w:rsidRPr="000605BC">
        <w:rPr>
          <w:rFonts w:eastAsiaTheme="minorEastAsia"/>
          <w:lang w:val="en-US" w:eastAsia="ja-JP"/>
        </w:rPr>
        <w:t>ss</w:t>
      </w:r>
      <w:proofErr w:type="spellEnd"/>
      <w:r w:rsidRPr="000605BC">
        <w:rPr>
          <w:rFonts w:eastAsiaTheme="minorEastAsia"/>
          <w:lang w:val="en-US" w:eastAsia="ja-JP"/>
        </w:rPr>
        <w:t xml:space="preserve"> 53-67.2.</w:t>
      </w:r>
    </w:p>
  </w:footnote>
  <w:footnote w:id="89">
    <w:p w14:paraId="2549DE43" w14:textId="3BEEA838" w:rsidR="00EE506E" w:rsidRPr="000605BC" w:rsidRDefault="00EE506E" w:rsidP="008004ED">
      <w:pPr>
        <w:pStyle w:val="FootnoteText"/>
        <w:rPr>
          <w:szCs w:val="18"/>
        </w:rPr>
      </w:pPr>
      <w:r w:rsidRPr="000605BC">
        <w:rPr>
          <w:rStyle w:val="FootnoteReference"/>
          <w:szCs w:val="18"/>
        </w:rPr>
        <w:footnoteRef/>
      </w:r>
      <w:r w:rsidRPr="000605BC">
        <w:rPr>
          <w:szCs w:val="18"/>
        </w:rPr>
        <w:t xml:space="preserve"> Louis de </w:t>
      </w:r>
      <w:proofErr w:type="spellStart"/>
      <w:r w:rsidRPr="000605BC">
        <w:rPr>
          <w:szCs w:val="18"/>
        </w:rPr>
        <w:t>Koker</w:t>
      </w:r>
      <w:proofErr w:type="spellEnd"/>
      <w:r w:rsidRPr="000605BC">
        <w:rPr>
          <w:szCs w:val="18"/>
        </w:rPr>
        <w:t xml:space="preserve">, “Applying Anti-Money Laundering Laws to Fight Corruption” in Adam </w:t>
      </w:r>
      <w:proofErr w:type="spellStart"/>
      <w:r w:rsidRPr="000605BC">
        <w:rPr>
          <w:szCs w:val="18"/>
        </w:rPr>
        <w:t>Graycar</w:t>
      </w:r>
      <w:proofErr w:type="spellEnd"/>
      <w:r w:rsidRPr="000605BC">
        <w:rPr>
          <w:szCs w:val="18"/>
        </w:rPr>
        <w:t xml:space="preserve"> &amp; Russell G Smith, </w:t>
      </w:r>
      <w:proofErr w:type="spellStart"/>
      <w:r w:rsidRPr="000605BC">
        <w:rPr>
          <w:szCs w:val="18"/>
        </w:rPr>
        <w:t>eds</w:t>
      </w:r>
      <w:proofErr w:type="spellEnd"/>
      <w:r w:rsidRPr="000605BC">
        <w:rPr>
          <w:szCs w:val="18"/>
        </w:rPr>
        <w:t xml:space="preserve">, </w:t>
      </w:r>
      <w:r w:rsidRPr="000605BC">
        <w:rPr>
          <w:i/>
          <w:szCs w:val="18"/>
        </w:rPr>
        <w:t>Handbook of Global Research and Practice in Corruption</w:t>
      </w:r>
      <w:r w:rsidRPr="000605BC">
        <w:rPr>
          <w:szCs w:val="18"/>
        </w:rPr>
        <w:t xml:space="preserve"> (Edward Elgar, 2011) 340 at 344-47.</w:t>
      </w:r>
    </w:p>
  </w:footnote>
  <w:footnote w:id="90">
    <w:p w14:paraId="032FD8C3" w14:textId="146ED3D5" w:rsidR="00EE506E" w:rsidRPr="000605BC" w:rsidRDefault="00EE506E" w:rsidP="008004ED">
      <w:pPr>
        <w:pStyle w:val="FootnoteText"/>
        <w:rPr>
          <w:lang w:val="en-US" w:eastAsia="ja-JP"/>
        </w:rPr>
      </w:pPr>
      <w:r w:rsidRPr="000605BC">
        <w:rPr>
          <w:rStyle w:val="FootnoteReference"/>
          <w:rFonts w:cs="Times New Roman"/>
          <w:szCs w:val="18"/>
        </w:rPr>
        <w:footnoteRef/>
      </w:r>
      <w:r w:rsidRPr="000605BC">
        <w:t xml:space="preserve"> </w:t>
      </w:r>
      <w:r w:rsidRPr="000605BC">
        <w:rPr>
          <w:lang w:val="en-US" w:eastAsia="ja-JP"/>
        </w:rPr>
        <w:t>31 CFR § 103.121.</w:t>
      </w:r>
    </w:p>
  </w:footnote>
  <w:footnote w:id="91">
    <w:p w14:paraId="70BCCDAB" w14:textId="2F9ED8D5" w:rsidR="00EE506E" w:rsidRPr="000605BC" w:rsidRDefault="00EE506E" w:rsidP="008004ED">
      <w:pPr>
        <w:pStyle w:val="FootnoteText"/>
        <w:rPr>
          <w:lang w:val="en-US" w:eastAsia="ja-JP"/>
        </w:rPr>
      </w:pPr>
      <w:r w:rsidRPr="000605BC">
        <w:rPr>
          <w:rStyle w:val="FootnoteReference"/>
          <w:rFonts w:cs="Times New Roman"/>
          <w:szCs w:val="18"/>
        </w:rPr>
        <w:footnoteRef/>
      </w:r>
      <w:r w:rsidRPr="000605BC">
        <w:t xml:space="preserve"> </w:t>
      </w:r>
      <w:r w:rsidRPr="000605BC">
        <w:rPr>
          <w:bCs/>
          <w:lang w:val="en-US" w:eastAsia="ja-JP"/>
        </w:rPr>
        <w:t xml:space="preserve">Fed </w:t>
      </w:r>
      <w:proofErr w:type="spellStart"/>
      <w:r w:rsidRPr="000605BC">
        <w:rPr>
          <w:bCs/>
          <w:lang w:val="en-US" w:eastAsia="ja-JP"/>
        </w:rPr>
        <w:t>Reg</w:t>
      </w:r>
      <w:proofErr w:type="spellEnd"/>
      <w:r w:rsidRPr="000605BC">
        <w:rPr>
          <w:bCs/>
          <w:lang w:val="en-US" w:eastAsia="ja-JP"/>
        </w:rPr>
        <w:t>,</w:t>
      </w:r>
      <w:r w:rsidRPr="000605BC">
        <w:rPr>
          <w:lang w:val="en-US" w:eastAsia="ja-JP"/>
        </w:rPr>
        <w:t xml:space="preserve"> Vol 79 No 149 (4 August 2014) online: &lt;</w:t>
      </w:r>
      <w:hyperlink r:id="rId34" w:history="1">
        <w:r w:rsidRPr="000605BC">
          <w:rPr>
            <w:rStyle w:val="Hyperlink"/>
            <w:rFonts w:eastAsiaTheme="minorEastAsia" w:cs="Times New Roman"/>
            <w:szCs w:val="18"/>
            <w:lang w:val="en-US" w:eastAsia="ja-JP"/>
          </w:rPr>
          <w:t>http://www.fincen.gov/statutes_regs/files/CDD-NPRM-Final.pdf</w:t>
        </w:r>
      </w:hyperlink>
      <w:r w:rsidRPr="000605BC">
        <w:rPr>
          <w:lang w:val="en-US" w:eastAsia="ja-JP"/>
        </w:rPr>
        <w:t>&gt;.</w:t>
      </w:r>
    </w:p>
  </w:footnote>
  <w:footnote w:id="92">
    <w:p w14:paraId="2D052D24" w14:textId="215D6B0A" w:rsidR="00EE506E" w:rsidRPr="000605BC" w:rsidRDefault="00EE506E" w:rsidP="008004ED">
      <w:pPr>
        <w:pStyle w:val="FootnoteText"/>
        <w:rPr>
          <w:lang w:val="en-US" w:eastAsia="ja-JP"/>
        </w:rPr>
      </w:pPr>
      <w:r w:rsidRPr="000605BC">
        <w:rPr>
          <w:rStyle w:val="FootnoteReference"/>
          <w:rFonts w:cs="Times New Roman"/>
          <w:szCs w:val="18"/>
        </w:rPr>
        <w:footnoteRef/>
      </w:r>
      <w:r w:rsidRPr="000605BC">
        <w:t xml:space="preserve"> </w:t>
      </w:r>
      <w:r w:rsidRPr="000605BC">
        <w:rPr>
          <w:bCs/>
          <w:lang w:val="en-US" w:eastAsia="ja-JP"/>
        </w:rPr>
        <w:t xml:space="preserve">Fed </w:t>
      </w:r>
      <w:proofErr w:type="spellStart"/>
      <w:r w:rsidRPr="000605BC">
        <w:rPr>
          <w:bCs/>
          <w:lang w:val="en-US" w:eastAsia="ja-JP"/>
        </w:rPr>
        <w:t>Reg</w:t>
      </w:r>
      <w:proofErr w:type="spellEnd"/>
      <w:r w:rsidRPr="000605BC">
        <w:rPr>
          <w:bCs/>
          <w:lang w:val="en-US" w:eastAsia="ja-JP"/>
        </w:rPr>
        <w:t>,</w:t>
      </w:r>
      <w:r w:rsidRPr="000605BC">
        <w:rPr>
          <w:lang w:val="en-US" w:eastAsia="ja-JP"/>
        </w:rPr>
        <w:t xml:space="preserve"> Vol 72 No 153 (9 August 2007) online: &lt;</w:t>
      </w:r>
      <w:hyperlink r:id="rId35" w:history="1">
        <w:r w:rsidRPr="000605BC">
          <w:rPr>
            <w:rStyle w:val="Hyperlink"/>
            <w:rFonts w:eastAsiaTheme="minorEastAsia" w:cs="Times New Roman"/>
            <w:szCs w:val="18"/>
            <w:lang w:val="en-US" w:eastAsia="ja-JP"/>
          </w:rPr>
          <w:t>http://www.fincen.gov/statutes_regs/frn/pdf/31_CFR_Part_103_312_EDD_Rule.pdf</w:t>
        </w:r>
      </w:hyperlink>
      <w:r w:rsidRPr="000605BC">
        <w:rPr>
          <w:lang w:val="en-US" w:eastAsia="ja-JP"/>
        </w:rPr>
        <w:t>&gt;.</w:t>
      </w:r>
    </w:p>
  </w:footnote>
  <w:footnote w:id="93">
    <w:p w14:paraId="602EE324" w14:textId="48E494F0" w:rsidR="00EE506E" w:rsidRPr="000605BC" w:rsidRDefault="00EE506E" w:rsidP="008004ED">
      <w:pPr>
        <w:pStyle w:val="FootnoteText"/>
        <w:rPr>
          <w:rFonts w:cs="Times New Roman"/>
          <w:lang w:val="en-US"/>
        </w:rPr>
      </w:pPr>
      <w:r w:rsidRPr="000605BC">
        <w:rPr>
          <w:rStyle w:val="FootnoteReference"/>
          <w:rFonts w:cs="Times New Roman"/>
        </w:rPr>
        <w:footnoteRef/>
      </w:r>
      <w:r w:rsidRPr="000605BC">
        <w:rPr>
          <w:rFonts w:cs="Times New Roman"/>
        </w:rPr>
        <w:t xml:space="preserve"> </w:t>
      </w:r>
      <w:r w:rsidRPr="000605BC">
        <w:rPr>
          <w:rFonts w:cs="Times New Roman"/>
          <w:i/>
        </w:rPr>
        <w:t>Proceeds of Crime Act 2002</w:t>
      </w:r>
      <w:r w:rsidRPr="000605BC">
        <w:rPr>
          <w:rFonts w:cs="Times New Roman"/>
        </w:rPr>
        <w:t xml:space="preserve"> (UK), c 29, </w:t>
      </w:r>
      <w:proofErr w:type="spellStart"/>
      <w:r w:rsidRPr="000605BC">
        <w:rPr>
          <w:rFonts w:cs="Times New Roman"/>
          <w:lang w:val="en-US"/>
        </w:rPr>
        <w:t>ss</w:t>
      </w:r>
      <w:proofErr w:type="spellEnd"/>
      <w:r w:rsidRPr="000605BC">
        <w:rPr>
          <w:rFonts w:cs="Times New Roman"/>
          <w:lang w:val="en-US"/>
        </w:rPr>
        <w:t xml:space="preserve"> 330-331.</w:t>
      </w:r>
    </w:p>
  </w:footnote>
  <w:footnote w:id="94">
    <w:p w14:paraId="6B585A70" w14:textId="2BFB454B" w:rsidR="00EE506E" w:rsidRPr="000605BC" w:rsidRDefault="00EE506E" w:rsidP="008004ED">
      <w:pPr>
        <w:pStyle w:val="FootnoteText"/>
        <w:rPr>
          <w:rFonts w:cs="Times New Roman"/>
          <w:lang w:val="en-US"/>
        </w:rPr>
      </w:pPr>
      <w:r w:rsidRPr="000605BC">
        <w:rPr>
          <w:rStyle w:val="FootnoteReference"/>
          <w:rFonts w:cs="Times New Roman"/>
        </w:rPr>
        <w:footnoteRef/>
      </w:r>
      <w:r w:rsidRPr="000605BC">
        <w:rPr>
          <w:rFonts w:cs="Times New Roman"/>
        </w:rPr>
        <w:t xml:space="preserve"> US: </w:t>
      </w:r>
      <w:r w:rsidRPr="000605BC">
        <w:rPr>
          <w:rFonts w:cs="Times New Roman"/>
          <w:lang w:val="en-US"/>
        </w:rPr>
        <w:t xml:space="preserve">12 CFR §§ 21.11; Canada: </w:t>
      </w:r>
      <w:r w:rsidRPr="000605BC">
        <w:rPr>
          <w:rFonts w:cs="Times New Roman"/>
          <w:i/>
          <w:lang w:val="en-US"/>
        </w:rPr>
        <w:t>Proceeds of Crime (Money Laundering) and Terrorist Financing Act</w:t>
      </w:r>
      <w:r w:rsidRPr="000605BC">
        <w:rPr>
          <w:rFonts w:cs="Times New Roman"/>
          <w:lang w:val="en-US"/>
        </w:rPr>
        <w:t xml:space="preserve">, RSC 2000, c 17, </w:t>
      </w:r>
      <w:proofErr w:type="gramStart"/>
      <w:r w:rsidRPr="000605BC">
        <w:rPr>
          <w:rFonts w:cs="Times New Roman"/>
          <w:lang w:val="en-US"/>
        </w:rPr>
        <w:t>s</w:t>
      </w:r>
      <w:proofErr w:type="gramEnd"/>
      <w:r w:rsidRPr="000605BC">
        <w:rPr>
          <w:rFonts w:cs="Times New Roman"/>
          <w:lang w:val="en-US"/>
        </w:rPr>
        <w:t xml:space="preserve"> 7.</w:t>
      </w:r>
    </w:p>
  </w:footnote>
  <w:footnote w:id="95">
    <w:p w14:paraId="5C8E8039" w14:textId="074755C7" w:rsidR="00EE506E" w:rsidRPr="000605BC" w:rsidRDefault="00EE506E" w:rsidP="008004ED">
      <w:pPr>
        <w:pStyle w:val="FootnoteText"/>
        <w:rPr>
          <w:rFonts w:cs="Times New Roman"/>
          <w:lang w:val="en-US"/>
        </w:rPr>
      </w:pPr>
      <w:r w:rsidRPr="000605BC">
        <w:rPr>
          <w:rStyle w:val="FootnoteReference"/>
          <w:rFonts w:cs="Times New Roman"/>
        </w:rPr>
        <w:footnoteRef/>
      </w:r>
      <w:r w:rsidRPr="000605BC">
        <w:rPr>
          <w:rFonts w:cs="Times New Roman"/>
        </w:rPr>
        <w:t xml:space="preserve"> US: </w:t>
      </w:r>
      <w:r w:rsidRPr="000605BC">
        <w:rPr>
          <w:rFonts w:cs="Times New Roman"/>
          <w:bCs/>
          <w:lang w:val="en-US"/>
        </w:rPr>
        <w:t xml:space="preserve">31 CFR </w:t>
      </w:r>
      <w:proofErr w:type="spellStart"/>
      <w:r w:rsidRPr="000605BC">
        <w:rPr>
          <w:rFonts w:cs="Times New Roman"/>
          <w:bCs/>
          <w:lang w:val="en-US"/>
        </w:rPr>
        <w:t>Ch</w:t>
      </w:r>
      <w:proofErr w:type="spellEnd"/>
      <w:r w:rsidRPr="000605BC">
        <w:rPr>
          <w:rFonts w:cs="Times New Roman"/>
          <w:bCs/>
          <w:lang w:val="en-US"/>
        </w:rPr>
        <w:t xml:space="preserve"> X</w:t>
      </w:r>
      <w:r w:rsidRPr="000605BC">
        <w:rPr>
          <w:rFonts w:cs="Times New Roman"/>
          <w:lang w:val="en-US"/>
        </w:rPr>
        <w:t xml:space="preserve"> </w:t>
      </w:r>
      <w:r w:rsidRPr="000605BC">
        <w:rPr>
          <w:rFonts w:cs="Times New Roman"/>
          <w:bCs/>
          <w:lang w:val="en-US"/>
        </w:rPr>
        <w:t xml:space="preserve">§ 1010.311; Canada: </w:t>
      </w:r>
      <w:r w:rsidRPr="000605BC">
        <w:rPr>
          <w:rFonts w:cs="Times New Roman"/>
          <w:i/>
        </w:rPr>
        <w:t>The Proceeds of Crime (Money Laundering) and Terrorist Financing Regulations</w:t>
      </w:r>
      <w:r w:rsidRPr="000605BC">
        <w:rPr>
          <w:rFonts w:cs="Times New Roman"/>
        </w:rPr>
        <w:t xml:space="preserve">, </w:t>
      </w:r>
      <w:r w:rsidRPr="000605BC">
        <w:rPr>
          <w:rFonts w:cs="Times New Roman"/>
          <w:lang w:val="en-US"/>
        </w:rPr>
        <w:t>SOR/2002-184,</w:t>
      </w:r>
      <w:r w:rsidRPr="000605BC">
        <w:rPr>
          <w:rFonts w:cs="Times New Roman"/>
          <w:bCs/>
          <w:lang w:val="en-US"/>
        </w:rPr>
        <w:t xml:space="preserve"> </w:t>
      </w:r>
      <w:proofErr w:type="gramStart"/>
      <w:r w:rsidRPr="000605BC">
        <w:rPr>
          <w:rFonts w:cs="Times New Roman"/>
        </w:rPr>
        <w:t>s</w:t>
      </w:r>
      <w:proofErr w:type="gramEnd"/>
      <w:r w:rsidRPr="000605BC">
        <w:rPr>
          <w:rFonts w:cs="Times New Roman"/>
        </w:rPr>
        <w:t xml:space="preserve"> 12(1).</w:t>
      </w:r>
    </w:p>
  </w:footnote>
  <w:footnote w:id="96">
    <w:p w14:paraId="79486CBA" w14:textId="54588F16" w:rsidR="00EE506E" w:rsidRPr="000605BC" w:rsidRDefault="00EE506E" w:rsidP="008004ED">
      <w:pPr>
        <w:pStyle w:val="FootnoteText"/>
      </w:pPr>
      <w:r w:rsidRPr="000605BC">
        <w:rPr>
          <w:rStyle w:val="FootnoteReference"/>
        </w:rPr>
        <w:footnoteRef/>
      </w:r>
      <w:r w:rsidRPr="000605BC">
        <w:t xml:space="preserve"> </w:t>
      </w:r>
      <w:r w:rsidRPr="000605BC">
        <w:rPr>
          <w:szCs w:val="18"/>
        </w:rPr>
        <w:t xml:space="preserve">Hall (2015) </w:t>
      </w:r>
      <w:r w:rsidRPr="000605BC">
        <w:t>at 74.</w:t>
      </w:r>
    </w:p>
  </w:footnote>
  <w:footnote w:id="97">
    <w:p w14:paraId="71CE2DEE" w14:textId="7AC15CEE" w:rsidR="00EE506E" w:rsidRPr="000605BC" w:rsidRDefault="00EE506E" w:rsidP="008004ED">
      <w:pPr>
        <w:pStyle w:val="FootnoteText"/>
        <w:rPr>
          <w:rFonts w:cs="Times New Roman"/>
          <w:lang w:val="en-US"/>
        </w:rPr>
      </w:pPr>
      <w:r w:rsidRPr="000605BC">
        <w:rPr>
          <w:rStyle w:val="FootnoteReference"/>
          <w:rFonts w:cs="Times New Roman"/>
        </w:rPr>
        <w:footnoteRef/>
      </w:r>
      <w:r w:rsidRPr="000605BC">
        <w:rPr>
          <w:rFonts w:cs="Times New Roman"/>
        </w:rPr>
        <w:t xml:space="preserve"> </w:t>
      </w:r>
      <w:r w:rsidRPr="000605BC">
        <w:rPr>
          <w:rFonts w:cs="Times New Roman"/>
          <w:i/>
        </w:rPr>
        <w:t>Proceeds of Crime Act 2002</w:t>
      </w:r>
      <w:r w:rsidRPr="000605BC">
        <w:rPr>
          <w:rFonts w:cs="Times New Roman"/>
        </w:rPr>
        <w:t xml:space="preserve"> (UK), c 29, </w:t>
      </w:r>
      <w:proofErr w:type="spellStart"/>
      <w:r w:rsidRPr="000605BC">
        <w:rPr>
          <w:rFonts w:cs="Times New Roman"/>
          <w:lang w:val="en-US"/>
        </w:rPr>
        <w:t>ss</w:t>
      </w:r>
      <w:proofErr w:type="spellEnd"/>
      <w:r w:rsidRPr="000605BC">
        <w:rPr>
          <w:rFonts w:cs="Times New Roman"/>
          <w:lang w:val="en-US"/>
        </w:rPr>
        <w:t xml:space="preserve"> 330-332.</w:t>
      </w:r>
    </w:p>
  </w:footnote>
  <w:footnote w:id="98">
    <w:p w14:paraId="12C67C8D" w14:textId="4EED79E2" w:rsidR="00EE506E" w:rsidRPr="000605BC" w:rsidRDefault="00EE506E" w:rsidP="008004ED">
      <w:pPr>
        <w:pStyle w:val="FootnoteText"/>
      </w:pPr>
      <w:r w:rsidRPr="000605BC">
        <w:rPr>
          <w:rStyle w:val="FootnoteReference"/>
        </w:rPr>
        <w:footnoteRef/>
      </w:r>
      <w:r w:rsidRPr="000605BC">
        <w:t xml:space="preserve"> Karen Harrison &amp; Nicholas Ryder, </w:t>
      </w:r>
      <w:r w:rsidRPr="000605BC">
        <w:rPr>
          <w:i/>
        </w:rPr>
        <w:t>The Law Relating to Financial Crime in the United Kingdom</w:t>
      </w:r>
      <w:r w:rsidRPr="000605BC">
        <w:t xml:space="preserve"> (Farnham, England: </w:t>
      </w:r>
      <w:proofErr w:type="spellStart"/>
      <w:r w:rsidRPr="000605BC">
        <w:t>Ashgate</w:t>
      </w:r>
      <w:proofErr w:type="spellEnd"/>
      <w:r w:rsidRPr="000605BC">
        <w:t>, 2013) at 32.</w:t>
      </w:r>
    </w:p>
  </w:footnote>
  <w:footnote w:id="99">
    <w:p w14:paraId="1150EA72" w14:textId="3DD70B5E" w:rsidR="00EE506E" w:rsidRPr="000605BC" w:rsidRDefault="00EE506E" w:rsidP="008004ED">
      <w:pPr>
        <w:pStyle w:val="FootnoteText"/>
        <w:rPr>
          <w:rFonts w:eastAsiaTheme="minorEastAsia"/>
          <w:sz w:val="20"/>
          <w:lang w:val="en-US" w:eastAsia="ja-JP"/>
        </w:rPr>
      </w:pPr>
      <w:r w:rsidRPr="000605BC">
        <w:rPr>
          <w:rStyle w:val="FootnoteReference"/>
          <w:rFonts w:cs="Times New Roman"/>
        </w:rPr>
        <w:footnoteRef/>
      </w:r>
      <w:r w:rsidRPr="000605BC">
        <w:t xml:space="preserve"> </w:t>
      </w:r>
      <w:r w:rsidRPr="000605BC">
        <w:rPr>
          <w:lang w:val="en-US"/>
        </w:rPr>
        <w:t xml:space="preserve">Canada: </w:t>
      </w:r>
      <w:r w:rsidRPr="000605BC">
        <w:rPr>
          <w:i/>
        </w:rPr>
        <w:t>The Proceeds of Crime (Money Laundering) and Terrorist Financing Regulations</w:t>
      </w:r>
      <w:r w:rsidRPr="000605BC">
        <w:t xml:space="preserve">, </w:t>
      </w:r>
      <w:r w:rsidRPr="000605BC">
        <w:rPr>
          <w:rFonts w:eastAsiaTheme="minorEastAsia"/>
          <w:lang w:val="en-US" w:eastAsia="ja-JP"/>
        </w:rPr>
        <w:t xml:space="preserve">SOR/2002-184, s </w:t>
      </w:r>
      <w:r w:rsidRPr="000605BC">
        <w:rPr>
          <w:lang w:val="en-US"/>
        </w:rPr>
        <w:t xml:space="preserve">69; UK: </w:t>
      </w:r>
      <w:r w:rsidRPr="000605BC">
        <w:rPr>
          <w:i/>
        </w:rPr>
        <w:t>The Money Laundering Regulations 2007</w:t>
      </w:r>
      <w:r w:rsidRPr="000605BC">
        <w:t>, SI 2007/2157, s</w:t>
      </w:r>
      <w:r w:rsidRPr="000605BC">
        <w:rPr>
          <w:lang w:val="en-US"/>
        </w:rPr>
        <w:t xml:space="preserve"> 19; US: 31 CFR </w:t>
      </w:r>
      <w:r w:rsidRPr="000605BC">
        <w:rPr>
          <w:rFonts w:eastAsiaTheme="minorEastAsia"/>
          <w:bCs/>
          <w:lang w:val="en-US" w:eastAsia="ja-JP"/>
        </w:rPr>
        <w:t>§ 103.121</w:t>
      </w:r>
      <w:r w:rsidRPr="000605BC">
        <w:rPr>
          <w:lang w:val="en-US"/>
        </w:rPr>
        <w:t>(3).</w:t>
      </w:r>
    </w:p>
  </w:footnote>
  <w:footnote w:id="100">
    <w:p w14:paraId="59C45DCC" w14:textId="716E3C84" w:rsidR="00EE506E" w:rsidRPr="000605BC" w:rsidRDefault="00EE506E" w:rsidP="008004ED">
      <w:pPr>
        <w:pStyle w:val="FootnoteText"/>
        <w:rPr>
          <w:szCs w:val="18"/>
        </w:rPr>
      </w:pPr>
      <w:r w:rsidRPr="000605BC">
        <w:rPr>
          <w:rStyle w:val="FootnoteReference"/>
        </w:rPr>
        <w:footnoteRef/>
      </w:r>
      <w:r w:rsidRPr="000605BC">
        <w:t xml:space="preserve"> Financial Action Task Force, “Anti-Money Laundering and Counter-Terrorist Financing Measures - United States Mutual Evaluation Report” </w:t>
      </w:r>
      <w:r w:rsidRPr="000605BC">
        <w:rPr>
          <w:szCs w:val="18"/>
        </w:rPr>
        <w:t xml:space="preserve">[US Mutual Evaluation Report (2016)] </w:t>
      </w:r>
      <w:r w:rsidRPr="000605BC">
        <w:t>(FATF, 2016) at 64-65, online: &lt;</w:t>
      </w:r>
      <w:hyperlink r:id="rId36" w:history="1">
        <w:r w:rsidRPr="000605BC">
          <w:rPr>
            <w:rStyle w:val="Hyperlink"/>
            <w:szCs w:val="18"/>
          </w:rPr>
          <w:t>http://www.fatf-gafi.org/media/fatf/documents/reports/mer4/MER-United-States-2016.pdf</w:t>
        </w:r>
      </w:hyperlink>
      <w:r w:rsidRPr="000605BC">
        <w:rPr>
          <w:szCs w:val="18"/>
        </w:rPr>
        <w:t>&gt;.</w:t>
      </w:r>
    </w:p>
  </w:footnote>
  <w:footnote w:id="101">
    <w:p w14:paraId="64CE0A53" w14:textId="777259F6" w:rsidR="00EE506E" w:rsidRPr="000605BC" w:rsidRDefault="00EE506E" w:rsidP="008004ED">
      <w:pPr>
        <w:pStyle w:val="FootnoteText"/>
      </w:pPr>
      <w:r w:rsidRPr="000605BC">
        <w:rPr>
          <w:rStyle w:val="FootnoteReference"/>
          <w:szCs w:val="18"/>
        </w:rPr>
        <w:footnoteRef/>
      </w:r>
      <w:r w:rsidRPr="000605BC">
        <w:rPr>
          <w:szCs w:val="18"/>
        </w:rPr>
        <w:t xml:space="preserve"> </w:t>
      </w:r>
      <w:r w:rsidRPr="000605BC">
        <w:rPr>
          <w:rFonts w:cs="Times New Roman"/>
          <w:i/>
          <w:noProof/>
          <w:color w:val="000000"/>
          <w:szCs w:val="18"/>
          <w:lang w:eastAsia="en-CA"/>
        </w:rPr>
        <w:t xml:space="preserve">Ibid </w:t>
      </w:r>
      <w:r w:rsidRPr="000605BC">
        <w:rPr>
          <w:rFonts w:cs="Times New Roman"/>
          <w:noProof/>
          <w:color w:val="000000"/>
          <w:szCs w:val="18"/>
          <w:lang w:eastAsia="en-CA"/>
        </w:rPr>
        <w:t>at 64-65.</w:t>
      </w:r>
    </w:p>
  </w:footnote>
  <w:footnote w:id="102">
    <w:p w14:paraId="303BD3A4" w14:textId="7A90935C" w:rsidR="00EE506E" w:rsidRPr="000605BC" w:rsidRDefault="00EE506E" w:rsidP="008004ED">
      <w:pPr>
        <w:pStyle w:val="FootnoteText"/>
      </w:pPr>
      <w:r w:rsidRPr="000605BC">
        <w:rPr>
          <w:rStyle w:val="FootnoteReference"/>
        </w:rPr>
        <w:footnoteRef/>
      </w:r>
      <w:r w:rsidRPr="000605BC">
        <w:t xml:space="preserve"> Karen Harrison &amp; Nicholas Ryder, </w:t>
      </w:r>
      <w:proofErr w:type="gramStart"/>
      <w:r w:rsidRPr="000605BC">
        <w:rPr>
          <w:i/>
        </w:rPr>
        <w:t>The</w:t>
      </w:r>
      <w:proofErr w:type="gramEnd"/>
      <w:r w:rsidRPr="000605BC">
        <w:rPr>
          <w:i/>
        </w:rPr>
        <w:t xml:space="preserve"> Law Relating to Financial Crime in the United Kingdom</w:t>
      </w:r>
      <w:r w:rsidRPr="000605BC">
        <w:t xml:space="preserve"> (</w:t>
      </w:r>
      <w:proofErr w:type="spellStart"/>
      <w:r w:rsidRPr="000605BC">
        <w:t>Ashgate</w:t>
      </w:r>
      <w:proofErr w:type="spellEnd"/>
      <w:r w:rsidRPr="000605BC">
        <w:t>, 2013) at 14-15.</w:t>
      </w:r>
    </w:p>
  </w:footnote>
  <w:footnote w:id="103">
    <w:p w14:paraId="55A88E1E" w14:textId="2296186D" w:rsidR="00EE506E" w:rsidRPr="000605BC" w:rsidRDefault="00EE506E" w:rsidP="008004ED">
      <w:pPr>
        <w:pStyle w:val="FootnoteText"/>
      </w:pPr>
      <w:r w:rsidRPr="000605BC">
        <w:rPr>
          <w:rStyle w:val="FootnoteReference"/>
        </w:rPr>
        <w:footnoteRef/>
      </w:r>
      <w:r w:rsidRPr="000605BC">
        <w:t xml:space="preserve"> Stuart H Deming, </w:t>
      </w:r>
      <w:r w:rsidRPr="000605BC">
        <w:rPr>
          <w:i/>
        </w:rPr>
        <w:t xml:space="preserve">Anti-Bribery Laws in Common Law Jurisdictions </w:t>
      </w:r>
      <w:r w:rsidRPr="000605BC">
        <w:t>(Oxford University Press, 2014) at 166.</w:t>
      </w:r>
    </w:p>
  </w:footnote>
  <w:footnote w:id="104">
    <w:p w14:paraId="19A8269D" w14:textId="67170C65" w:rsidR="00EE506E" w:rsidRPr="000605BC" w:rsidRDefault="00EE506E" w:rsidP="008004ED">
      <w:pPr>
        <w:pStyle w:val="FootnoteText"/>
        <w:rPr>
          <w:lang w:val="en-US"/>
        </w:rPr>
      </w:pPr>
      <w:r w:rsidRPr="000605BC">
        <w:rPr>
          <w:rStyle w:val="FootnoteReference"/>
        </w:rPr>
        <w:footnoteRef/>
      </w:r>
      <w:r w:rsidRPr="000605BC">
        <w:t xml:space="preserve"> For a brief history of the development of money laundering laws in Canada, see </w:t>
      </w:r>
      <w:r w:rsidRPr="000605BC">
        <w:rPr>
          <w:rFonts w:cs="Times New Roman"/>
          <w:lang w:val="en-US"/>
        </w:rPr>
        <w:t xml:space="preserve">Standing Senate Committee on Banking Trade and Commerce, “Follow the Money: Is Canada Making Progress in Combatting Money Laundering and Terrorist Financing? Not </w:t>
      </w:r>
      <w:proofErr w:type="gramStart"/>
      <w:r w:rsidRPr="000605BC">
        <w:rPr>
          <w:rFonts w:cs="Times New Roman"/>
          <w:lang w:val="en-US"/>
        </w:rPr>
        <w:t>Really</w:t>
      </w:r>
      <w:proofErr w:type="gramEnd"/>
      <w:r w:rsidRPr="000605BC">
        <w:rPr>
          <w:rFonts w:cs="Times New Roman"/>
          <w:lang w:val="en-US"/>
        </w:rPr>
        <w:t>” (Ottawa: Senate Reports, March 2013), online: &lt;</w:t>
      </w:r>
      <w:hyperlink r:id="rId37" w:history="1">
        <w:r w:rsidRPr="000605BC">
          <w:rPr>
            <w:rStyle w:val="Hyperlink"/>
            <w:rFonts w:cs="Times New Roman"/>
            <w:lang w:val="en-US"/>
          </w:rPr>
          <w:t>http://www.parl.gc.ca/Content/SEN/Committee/</w:t>
        </w:r>
        <w:r w:rsidRPr="000605BC">
          <w:rPr>
            <w:rStyle w:val="Hyperlink"/>
            <w:rFonts w:cs="Times New Roman"/>
            <w:lang w:val="en-US"/>
          </w:rPr>
          <w:br/>
          <w:t>411/BANC/rep/rep10mar13-e.pdf</w:t>
        </w:r>
      </w:hyperlink>
      <w:r w:rsidRPr="000605BC">
        <w:rPr>
          <w:rFonts w:cs="Times New Roman"/>
          <w:lang w:val="en-US"/>
        </w:rPr>
        <w:t>&gt;.</w:t>
      </w:r>
    </w:p>
  </w:footnote>
  <w:footnote w:id="105">
    <w:p w14:paraId="5631EE6E" w14:textId="085FF773" w:rsidR="00EE506E" w:rsidRPr="000605BC" w:rsidRDefault="00EE506E" w:rsidP="008004ED">
      <w:pPr>
        <w:pStyle w:val="FootnoteText"/>
        <w:rPr>
          <w:lang w:val="en-US"/>
        </w:rPr>
      </w:pPr>
      <w:r w:rsidRPr="000605BC">
        <w:rPr>
          <w:rStyle w:val="FootnoteReference"/>
        </w:rPr>
        <w:footnoteRef/>
      </w:r>
      <w:r w:rsidRPr="000605BC">
        <w:t xml:space="preserve"> </w:t>
      </w:r>
      <w:r w:rsidRPr="000605BC">
        <w:rPr>
          <w:szCs w:val="18"/>
        </w:rPr>
        <w:t>Financial Action Task Force, “Anti-Money Laundering and Counter-Terrorist Financing Measures - Canada Mutual Evaluation Report” [Canada Mutual Evaluation Report (2016)] (FATF, 2016) at 54, online: &lt;</w:t>
      </w:r>
      <w:hyperlink r:id="rId38" w:history="1">
        <w:r w:rsidRPr="000605BC">
          <w:rPr>
            <w:rStyle w:val="Hyperlink"/>
            <w:szCs w:val="18"/>
          </w:rPr>
          <w:t>http://www.fatf-gafi.org/publications/mutualevaluations/documents/mer-canada-2016.html</w:t>
        </w:r>
      </w:hyperlink>
      <w:r w:rsidRPr="000605BC">
        <w:rPr>
          <w:szCs w:val="18"/>
        </w:rPr>
        <w:t>&gt;</w:t>
      </w:r>
      <w:r w:rsidRPr="000605BC">
        <w:rPr>
          <w:rFonts w:cs="Times New Roman"/>
          <w:noProof/>
          <w:color w:val="000000"/>
          <w:szCs w:val="18"/>
          <w:lang w:eastAsia="en-CA"/>
        </w:rPr>
        <w:t>.</w:t>
      </w:r>
    </w:p>
  </w:footnote>
  <w:footnote w:id="106">
    <w:p w14:paraId="74621D51" w14:textId="1D59585F" w:rsidR="00EE506E" w:rsidRPr="000605BC" w:rsidRDefault="00EE506E" w:rsidP="008004ED">
      <w:pPr>
        <w:pStyle w:val="FootnoteText"/>
        <w:rPr>
          <w:szCs w:val="18"/>
        </w:rPr>
      </w:pPr>
      <w:r w:rsidRPr="000605BC">
        <w:rPr>
          <w:rStyle w:val="FootnoteReference"/>
          <w:szCs w:val="18"/>
        </w:rPr>
        <w:footnoteRef/>
      </w:r>
      <w:r w:rsidRPr="000605BC">
        <w:rPr>
          <w:szCs w:val="18"/>
        </w:rPr>
        <w:t xml:space="preserve"> </w:t>
      </w:r>
      <w:r w:rsidRPr="000605BC">
        <w:rPr>
          <w:i/>
          <w:szCs w:val="18"/>
        </w:rPr>
        <w:t>Ibid</w:t>
      </w:r>
      <w:r w:rsidRPr="000605BC">
        <w:rPr>
          <w:szCs w:val="18"/>
        </w:rPr>
        <w:t>.</w:t>
      </w:r>
    </w:p>
  </w:footnote>
  <w:footnote w:id="107">
    <w:p w14:paraId="246E576C" w14:textId="7623919C" w:rsidR="00EE506E" w:rsidRPr="000605BC" w:rsidRDefault="00EE506E" w:rsidP="008004ED">
      <w:pPr>
        <w:pStyle w:val="FootnoteText"/>
        <w:rPr>
          <w:szCs w:val="18"/>
        </w:rPr>
      </w:pPr>
      <w:r w:rsidRPr="000605BC">
        <w:rPr>
          <w:rStyle w:val="FootnoteReference"/>
          <w:szCs w:val="18"/>
        </w:rPr>
        <w:footnoteRef/>
      </w:r>
      <w:r w:rsidRPr="000605BC">
        <w:rPr>
          <w:szCs w:val="18"/>
        </w:rPr>
        <w:t xml:space="preserve"> </w:t>
      </w:r>
      <w:r w:rsidRPr="000605BC">
        <w:rPr>
          <w:i/>
          <w:szCs w:val="18"/>
        </w:rPr>
        <w:t xml:space="preserve">Ibid </w:t>
      </w:r>
      <w:r w:rsidRPr="000605BC">
        <w:rPr>
          <w:szCs w:val="18"/>
        </w:rPr>
        <w:t>at 54.</w:t>
      </w:r>
    </w:p>
  </w:footnote>
  <w:footnote w:id="108">
    <w:p w14:paraId="50F594D2" w14:textId="7A437B4B" w:rsidR="00EE506E" w:rsidRPr="000605BC" w:rsidRDefault="00EE506E" w:rsidP="008004ED">
      <w:pPr>
        <w:pStyle w:val="FootnoteText"/>
      </w:pPr>
      <w:r w:rsidRPr="000605BC">
        <w:rPr>
          <w:rStyle w:val="FootnoteReference"/>
        </w:rPr>
        <w:footnoteRef/>
      </w:r>
      <w:r w:rsidRPr="000605BC">
        <w:t xml:space="preserve"> John A Kelley, “International Anti-Money Laundering and Professional Ethics” (2006) 40:2 Intl Lawyer 433. For an explanation of lawyer opposition to reporting requirements, see Kent Roach et al, “Sentries or Facilitators</w:t>
      </w:r>
      <w:proofErr w:type="gramStart"/>
      <w:r w:rsidRPr="000605BC">
        <w:t>?:</w:t>
      </w:r>
      <w:proofErr w:type="gramEnd"/>
      <w:r w:rsidRPr="000605BC">
        <w:t xml:space="preserve"> Law and Ethics in Trusting Lawyers with Money Laundering Prevention” (2004) 49 </w:t>
      </w:r>
      <w:proofErr w:type="spellStart"/>
      <w:r w:rsidRPr="000605BC">
        <w:t>Crim</w:t>
      </w:r>
      <w:proofErr w:type="spellEnd"/>
      <w:r w:rsidRPr="000605BC">
        <w:t xml:space="preserve"> LQ</w:t>
      </w:r>
      <w:r w:rsidRPr="000605BC">
        <w:rPr>
          <w:i/>
        </w:rPr>
        <w:t xml:space="preserve"> </w:t>
      </w:r>
      <w:r w:rsidRPr="000605BC">
        <w:t xml:space="preserve">34. For a comparative analysis of responses to the FATF recommendations in various jurisdictions (EU, UK, US, Canada, Australia and New Zealand) and an examination of the effects of gatekeeper obligations on the solicitor-client relationship, see Maria Italia, “Lawyers and Accountants as ‘Gatekeepers’ to Combat Money Laundering: An International Comparison” (2013) 42:2 </w:t>
      </w:r>
      <w:proofErr w:type="spellStart"/>
      <w:r w:rsidRPr="000605BC">
        <w:t>Austl</w:t>
      </w:r>
      <w:proofErr w:type="spellEnd"/>
      <w:r w:rsidRPr="000605BC">
        <w:t xml:space="preserve"> Tax L Rev 116.</w:t>
      </w:r>
    </w:p>
  </w:footnote>
  <w:footnote w:id="109">
    <w:p w14:paraId="51AD7CDC" w14:textId="77777777" w:rsidR="00EE506E" w:rsidRPr="000605BC" w:rsidRDefault="00EE506E" w:rsidP="008004ED">
      <w:pPr>
        <w:pStyle w:val="FootnoteText"/>
        <w:rPr>
          <w:lang w:val="en-US"/>
        </w:rPr>
      </w:pPr>
      <w:r w:rsidRPr="000605BC">
        <w:rPr>
          <w:rStyle w:val="FootnoteReference"/>
        </w:rPr>
        <w:footnoteRef/>
      </w:r>
      <w:r w:rsidRPr="000605BC">
        <w:t xml:space="preserve"> “</w:t>
      </w:r>
      <w:r w:rsidRPr="000605BC">
        <w:rPr>
          <w:lang w:val="en-US"/>
        </w:rPr>
        <w:t xml:space="preserve">Lawyers and Money </w:t>
      </w:r>
      <w:proofErr w:type="gramStart"/>
      <w:r w:rsidRPr="000605BC">
        <w:rPr>
          <w:lang w:val="en-US"/>
        </w:rPr>
        <w:t>Laundering</w:t>
      </w:r>
      <w:proofErr w:type="gramEnd"/>
      <w:r w:rsidRPr="000605BC">
        <w:rPr>
          <w:lang w:val="en-US"/>
        </w:rPr>
        <w:t>”, International Bar Association Money Laundering Forum, online: &lt;</w:t>
      </w:r>
      <w:hyperlink r:id="rId39" w:history="1">
        <w:r w:rsidRPr="000605BC">
          <w:rPr>
            <w:rStyle w:val="Hyperlink"/>
            <w:lang w:val="en-US"/>
          </w:rPr>
          <w:t>http://www.anti-moneylaundering.org/Lawyers_and_Money_Laundering.aspx</w:t>
        </w:r>
      </w:hyperlink>
      <w:r w:rsidRPr="000605BC">
        <w:rPr>
          <w:lang w:val="en-US"/>
        </w:rPr>
        <w:t>&gt;.</w:t>
      </w:r>
    </w:p>
  </w:footnote>
  <w:footnote w:id="110">
    <w:p w14:paraId="5559FC1C" w14:textId="5BF49397" w:rsidR="00EE506E" w:rsidRPr="000605BC" w:rsidRDefault="00EE506E" w:rsidP="008004ED">
      <w:pPr>
        <w:pStyle w:val="FootnoteText"/>
        <w:rPr>
          <w:bCs/>
        </w:rPr>
      </w:pPr>
      <w:r w:rsidRPr="000605BC">
        <w:rPr>
          <w:rStyle w:val="FootnoteReference"/>
          <w:szCs w:val="18"/>
        </w:rPr>
        <w:footnoteRef/>
      </w:r>
      <w:r w:rsidRPr="000605BC">
        <w:t xml:space="preserve"> 26 USC s 6050I. This provision was unsuccessfully challenged in </w:t>
      </w:r>
      <w:r w:rsidRPr="000605BC">
        <w:rPr>
          <w:i/>
        </w:rPr>
        <w:t>United States v W Ritchie &amp; Pc,</w:t>
      </w:r>
      <w:r w:rsidRPr="000605BC">
        <w:t xml:space="preserve"> </w:t>
      </w:r>
      <w:r w:rsidRPr="000605BC">
        <w:rPr>
          <w:rFonts w:eastAsiaTheme="minorEastAsia"/>
          <w:lang w:val="en-US" w:eastAsia="ja-JP"/>
        </w:rPr>
        <w:t xml:space="preserve">15 F (3d) 592 (1994), </w:t>
      </w:r>
      <w:r w:rsidRPr="000605BC">
        <w:rPr>
          <w:color w:val="000000"/>
          <w:shd w:val="clear" w:color="auto" w:fill="FFFFFF"/>
          <w:lang w:val="en-US"/>
        </w:rPr>
        <w:t>73 AFTR 2d 94-994, online: &lt;</w:t>
      </w:r>
      <w:hyperlink r:id="rId40" w:history="1">
        <w:r w:rsidRPr="000605BC">
          <w:rPr>
            <w:rStyle w:val="Hyperlink"/>
            <w:rFonts w:eastAsia="Times New Roman" w:cs="Times New Roman"/>
            <w:szCs w:val="18"/>
            <w:shd w:val="clear" w:color="auto" w:fill="FFFFFF"/>
            <w:lang w:val="en-US"/>
          </w:rPr>
          <w:t>http://openjurist.org/15/f3d/592</w:t>
        </w:r>
      </w:hyperlink>
      <w:r w:rsidRPr="000605BC">
        <w:rPr>
          <w:color w:val="000000"/>
          <w:shd w:val="clear" w:color="auto" w:fill="FFFFFF"/>
          <w:lang w:val="en-US"/>
        </w:rPr>
        <w:t>&gt;.</w:t>
      </w:r>
    </w:p>
  </w:footnote>
  <w:footnote w:id="111">
    <w:p w14:paraId="1CD35732" w14:textId="09DDEF13" w:rsidR="00EE506E" w:rsidRPr="000605BC" w:rsidRDefault="00EE506E" w:rsidP="008004ED">
      <w:pPr>
        <w:pStyle w:val="FootnoteText"/>
        <w:rPr>
          <w:color w:val="FF0000"/>
        </w:rPr>
      </w:pPr>
      <w:r w:rsidRPr="000605BC">
        <w:rPr>
          <w:rStyle w:val="FootnoteReference"/>
          <w:szCs w:val="18"/>
        </w:rPr>
        <w:footnoteRef/>
      </w:r>
      <w:r w:rsidRPr="000605BC">
        <w:t xml:space="preserve"> Carolyn Hart, “Money Laundering” (2014) Am </w:t>
      </w:r>
      <w:proofErr w:type="spellStart"/>
      <w:r w:rsidRPr="000605BC">
        <w:t>Crim</w:t>
      </w:r>
      <w:proofErr w:type="spellEnd"/>
      <w:r w:rsidRPr="000605BC">
        <w:t xml:space="preserve"> L Rev 1449 at 1460.</w:t>
      </w:r>
    </w:p>
  </w:footnote>
  <w:footnote w:id="112">
    <w:p w14:paraId="5DF4F0F5" w14:textId="77777777" w:rsidR="00EE506E" w:rsidRPr="000605BC" w:rsidRDefault="00EE506E" w:rsidP="008004ED">
      <w:pPr>
        <w:pStyle w:val="FootnoteText"/>
        <w:rPr>
          <w:szCs w:val="18"/>
        </w:rPr>
      </w:pPr>
      <w:r w:rsidRPr="000605BC">
        <w:rPr>
          <w:rStyle w:val="FootnoteReference"/>
          <w:szCs w:val="18"/>
        </w:rPr>
        <w:footnoteRef/>
      </w:r>
      <w:r w:rsidRPr="000605BC">
        <w:rPr>
          <w:szCs w:val="18"/>
        </w:rPr>
        <w:t xml:space="preserve"> </w:t>
      </w:r>
      <w:r w:rsidRPr="000605BC">
        <w:rPr>
          <w:i/>
          <w:szCs w:val="18"/>
        </w:rPr>
        <w:t>R v Duff,</w:t>
      </w:r>
      <w:r w:rsidRPr="000605BC">
        <w:rPr>
          <w:szCs w:val="18"/>
        </w:rPr>
        <w:t xml:space="preserve"> [2003] 1 Cr App R (S) 466.</w:t>
      </w:r>
    </w:p>
  </w:footnote>
  <w:footnote w:id="113">
    <w:p w14:paraId="65AB7A28" w14:textId="0EEB9761" w:rsidR="00EE506E" w:rsidRPr="000605BC" w:rsidRDefault="00EE506E" w:rsidP="008004ED">
      <w:pPr>
        <w:pStyle w:val="FootnoteText"/>
      </w:pPr>
      <w:r w:rsidRPr="000605BC">
        <w:rPr>
          <w:rStyle w:val="FootnoteReference"/>
          <w:szCs w:val="18"/>
        </w:rPr>
        <w:footnoteRef/>
      </w:r>
      <w:r w:rsidRPr="000605BC">
        <w:t xml:space="preserve"> Edward Rees, QC, Richard Fisher &amp; Richard Thomas, </w:t>
      </w:r>
      <w:r w:rsidRPr="000605BC">
        <w:rPr>
          <w:i/>
        </w:rPr>
        <w:t xml:space="preserve">Blackstone’s Guide to the Proceeds of Crime Act 2002, </w:t>
      </w:r>
      <w:r w:rsidRPr="000605BC">
        <w:t xml:space="preserve">4th </w:t>
      </w:r>
      <w:proofErr w:type="spellStart"/>
      <w:r w:rsidRPr="000605BC">
        <w:t>ed</w:t>
      </w:r>
      <w:proofErr w:type="spellEnd"/>
      <w:r w:rsidRPr="000605BC">
        <w:rPr>
          <w:i/>
        </w:rPr>
        <w:t xml:space="preserve"> </w:t>
      </w:r>
      <w:r w:rsidRPr="000605BC">
        <w:t>(: Oxford University Press, 2011) at 130.</w:t>
      </w:r>
    </w:p>
  </w:footnote>
  <w:footnote w:id="114">
    <w:p w14:paraId="42466EE0" w14:textId="22296513" w:rsidR="00EE506E" w:rsidRPr="000605BC" w:rsidRDefault="00EE506E" w:rsidP="008004ED">
      <w:pPr>
        <w:pStyle w:val="FootnoteText"/>
        <w:rPr>
          <w:highlight w:val="yellow"/>
          <w:lang w:val="en-US"/>
        </w:rPr>
      </w:pPr>
      <w:r w:rsidRPr="000605BC">
        <w:rPr>
          <w:rStyle w:val="FootnoteReference"/>
          <w:szCs w:val="18"/>
        </w:rPr>
        <w:footnoteRef/>
      </w:r>
      <w:r w:rsidRPr="000605BC">
        <w:rPr>
          <w:rFonts w:cstheme="majorBidi"/>
          <w:iCs/>
          <w:color w:val="000000"/>
          <w:szCs w:val="18"/>
          <w:lang w:val="en-US"/>
        </w:rPr>
        <w:t xml:space="preserve"> </w:t>
      </w:r>
      <w:r w:rsidRPr="000605BC">
        <w:rPr>
          <w:rFonts w:cstheme="majorBidi"/>
          <w:i/>
          <w:iCs/>
          <w:color w:val="000000"/>
          <w:szCs w:val="18"/>
          <w:lang w:val="en-US"/>
        </w:rPr>
        <w:t xml:space="preserve">Bowman v </w:t>
      </w:r>
      <w:proofErr w:type="spellStart"/>
      <w:r w:rsidRPr="000605BC">
        <w:rPr>
          <w:rFonts w:cstheme="majorBidi"/>
          <w:i/>
          <w:iCs/>
          <w:color w:val="000000"/>
          <w:szCs w:val="18"/>
          <w:lang w:val="en-US"/>
        </w:rPr>
        <w:t>Fels</w:t>
      </w:r>
      <w:proofErr w:type="spellEnd"/>
      <w:r w:rsidRPr="000605BC">
        <w:rPr>
          <w:rFonts w:cstheme="majorBidi"/>
          <w:iCs/>
          <w:color w:val="000000"/>
          <w:szCs w:val="18"/>
          <w:lang w:val="en-US"/>
        </w:rPr>
        <w:t>,</w:t>
      </w:r>
      <w:r w:rsidRPr="000605BC">
        <w:rPr>
          <w:rFonts w:cstheme="majorBidi"/>
          <w:i/>
          <w:iCs/>
          <w:color w:val="000000"/>
          <w:szCs w:val="18"/>
          <w:lang w:val="en-US"/>
        </w:rPr>
        <w:t xml:space="preserve"> </w:t>
      </w:r>
      <w:r w:rsidRPr="000605BC">
        <w:rPr>
          <w:rFonts w:cstheme="majorBidi"/>
          <w:iCs/>
          <w:color w:val="000000"/>
          <w:szCs w:val="18"/>
          <w:lang w:val="en-US"/>
        </w:rPr>
        <w:t xml:space="preserve">[2005] EWCA </w:t>
      </w:r>
      <w:proofErr w:type="spellStart"/>
      <w:r w:rsidRPr="000605BC">
        <w:rPr>
          <w:rFonts w:cstheme="majorBidi"/>
          <w:iCs/>
          <w:color w:val="000000"/>
          <w:szCs w:val="18"/>
          <w:lang w:val="en-US"/>
        </w:rPr>
        <w:t>Civ</w:t>
      </w:r>
      <w:proofErr w:type="spellEnd"/>
      <w:r w:rsidRPr="000605BC">
        <w:rPr>
          <w:rFonts w:cstheme="majorBidi"/>
          <w:iCs/>
          <w:color w:val="000000"/>
          <w:szCs w:val="18"/>
          <w:lang w:val="en-US"/>
        </w:rPr>
        <w:t xml:space="preserve"> 226.</w:t>
      </w:r>
    </w:p>
  </w:footnote>
  <w:footnote w:id="115">
    <w:p w14:paraId="35780DF8" w14:textId="29175415" w:rsidR="00EE506E" w:rsidRPr="000605BC" w:rsidRDefault="00EE506E" w:rsidP="008004ED">
      <w:pPr>
        <w:pStyle w:val="FootnoteText"/>
        <w:rPr>
          <w:szCs w:val="18"/>
          <w:lang w:val="en-US"/>
        </w:rPr>
      </w:pPr>
      <w:r w:rsidRPr="000605BC">
        <w:rPr>
          <w:rStyle w:val="FootnoteReference"/>
          <w:szCs w:val="18"/>
        </w:rPr>
        <w:footnoteRef/>
      </w:r>
      <w:r w:rsidRPr="000605BC">
        <w:rPr>
          <w:rFonts w:cstheme="majorBidi"/>
          <w:iCs/>
          <w:color w:val="000000"/>
          <w:szCs w:val="18"/>
          <w:lang w:val="en-US"/>
        </w:rPr>
        <w:t xml:space="preserve"> Edward Powles, “All that Glisters Is Not Gold: Laundering the UK Money Laundering Regime” (2006) 42 Cambridge LJ 40 at 42.</w:t>
      </w:r>
    </w:p>
  </w:footnote>
  <w:footnote w:id="116">
    <w:p w14:paraId="0ED561B6" w14:textId="7F017CB9" w:rsidR="00EE506E" w:rsidRPr="000605BC" w:rsidRDefault="00EE506E" w:rsidP="008004ED">
      <w:pPr>
        <w:pStyle w:val="FootnoteText"/>
        <w:rPr>
          <w:lang w:val="en-US" w:eastAsia="ja-JP"/>
        </w:rPr>
      </w:pPr>
      <w:r w:rsidRPr="000605BC">
        <w:rPr>
          <w:rStyle w:val="FootnoteReference"/>
          <w:rFonts w:cs="Times New Roman"/>
          <w:szCs w:val="18"/>
        </w:rPr>
        <w:footnoteRef/>
      </w:r>
      <w:r w:rsidRPr="000605BC">
        <w:t xml:space="preserve"> </w:t>
      </w:r>
      <w:r w:rsidRPr="000605BC">
        <w:rPr>
          <w:i/>
          <w:lang w:val="en-US" w:eastAsia="ja-JP"/>
        </w:rPr>
        <w:t xml:space="preserve">Canada (Attorney General) </w:t>
      </w:r>
      <w:r w:rsidRPr="000605BC">
        <w:rPr>
          <w:i/>
          <w:iCs/>
          <w:lang w:val="en-US" w:eastAsia="ja-JP"/>
        </w:rPr>
        <w:t xml:space="preserve">v </w:t>
      </w:r>
      <w:r w:rsidRPr="000605BC">
        <w:rPr>
          <w:i/>
          <w:lang w:val="en-US" w:eastAsia="ja-JP"/>
        </w:rPr>
        <w:t>Federation of Law Societies of Canada</w:t>
      </w:r>
      <w:r w:rsidRPr="000605BC">
        <w:rPr>
          <w:lang w:val="en-US" w:eastAsia="ja-JP"/>
        </w:rPr>
        <w:t xml:space="preserve">, 2015 SCC 7. The SCC articulated a new principle of fundamental justice under section 7 of the </w:t>
      </w:r>
      <w:r w:rsidRPr="000605BC">
        <w:rPr>
          <w:i/>
          <w:lang w:val="en-US" w:eastAsia="ja-JP"/>
        </w:rPr>
        <w:t>Canadian Charter of Rights and Freedoms</w:t>
      </w:r>
      <w:r w:rsidRPr="000605BC">
        <w:rPr>
          <w:lang w:val="en-US" w:eastAsia="ja-JP"/>
        </w:rPr>
        <w:t xml:space="preserve">. The SCC held that it is a principle of fundamental justice that the state cannot impose duties on lawyers that undermine their duty of commitment to their clients’ causes. The SCC stated that this duty is a basic tenet of the Canadian legal system, a distinct element of a lawyer’s broad common law duty of loyalty and a fundamental part of the solicitor-client relationship. The Court noted that the lawyer’s duty of commitment to the client’s cause is essential to maintain confidence in the integrity of the administration of justice. Under the impugned regulations, lawyers must create and preserve records not required for client representation and the solicitor-client confidences contained in these records are not adequately protected against the sweeping warrantless searches authorized by sections 62-64 of the </w:t>
      </w:r>
      <w:r w:rsidRPr="000605BC">
        <w:rPr>
          <w:i/>
          <w:lang w:val="en-US" w:eastAsia="ja-JP"/>
        </w:rPr>
        <w:t xml:space="preserve">PCMLTFA, </w:t>
      </w:r>
      <w:r w:rsidRPr="000605BC">
        <w:rPr>
          <w:lang w:val="en-US" w:eastAsia="ja-JP"/>
        </w:rPr>
        <w:t xml:space="preserve">which violate section 8 </w:t>
      </w:r>
      <w:r w:rsidRPr="000605BC">
        <w:rPr>
          <w:i/>
          <w:lang w:val="en-US" w:eastAsia="ja-JP"/>
        </w:rPr>
        <w:t>Charter</w:t>
      </w:r>
      <w:r w:rsidRPr="000605BC">
        <w:rPr>
          <w:lang w:val="en-US" w:eastAsia="ja-JP"/>
        </w:rPr>
        <w:t xml:space="preserve"> rights against search and seizure in law offices as set out in </w:t>
      </w:r>
      <w:proofErr w:type="spellStart"/>
      <w:r w:rsidRPr="000605BC">
        <w:rPr>
          <w:i/>
          <w:lang w:val="en-US" w:eastAsia="ja-JP"/>
        </w:rPr>
        <w:t>Lavallee</w:t>
      </w:r>
      <w:proofErr w:type="spellEnd"/>
      <w:r w:rsidRPr="000605BC">
        <w:rPr>
          <w:i/>
          <w:lang w:val="en-US" w:eastAsia="ja-JP"/>
        </w:rPr>
        <w:t xml:space="preserve">, </w:t>
      </w:r>
      <w:proofErr w:type="spellStart"/>
      <w:r w:rsidRPr="000605BC">
        <w:rPr>
          <w:i/>
          <w:lang w:val="en-US" w:eastAsia="ja-JP"/>
        </w:rPr>
        <w:t>Rackel</w:t>
      </w:r>
      <w:proofErr w:type="spellEnd"/>
      <w:r w:rsidRPr="000605BC">
        <w:rPr>
          <w:i/>
          <w:lang w:val="en-US" w:eastAsia="ja-JP"/>
        </w:rPr>
        <w:t xml:space="preserve"> &amp; </w:t>
      </w:r>
      <w:proofErr w:type="spellStart"/>
      <w:r w:rsidRPr="000605BC">
        <w:rPr>
          <w:i/>
          <w:lang w:val="en-US" w:eastAsia="ja-JP"/>
        </w:rPr>
        <w:t>Heintz</w:t>
      </w:r>
      <w:proofErr w:type="spellEnd"/>
      <w:r w:rsidRPr="000605BC">
        <w:rPr>
          <w:i/>
          <w:lang w:val="en-US" w:eastAsia="ja-JP"/>
        </w:rPr>
        <w:t xml:space="preserve"> v Canada</w:t>
      </w:r>
      <w:r w:rsidRPr="000605BC">
        <w:rPr>
          <w:lang w:val="en-US" w:eastAsia="ja-JP"/>
        </w:rPr>
        <w:t xml:space="preserve"> </w:t>
      </w:r>
      <w:r w:rsidRPr="000605BC">
        <w:rPr>
          <w:i/>
          <w:lang w:val="en-US" w:eastAsia="ja-JP"/>
        </w:rPr>
        <w:t>(Attorney General),</w:t>
      </w:r>
      <w:r w:rsidRPr="000605BC">
        <w:rPr>
          <w:lang w:val="en-US" w:eastAsia="ja-JP"/>
        </w:rPr>
        <w:t xml:space="preserve"> 2002 SCC 61.</w:t>
      </w:r>
    </w:p>
  </w:footnote>
  <w:footnote w:id="117">
    <w:p w14:paraId="579B4322" w14:textId="771AAFE7" w:rsidR="00EE506E" w:rsidRPr="000605BC" w:rsidRDefault="00EE506E" w:rsidP="008004ED">
      <w:pPr>
        <w:pStyle w:val="FootnoteText"/>
        <w:rPr>
          <w:rFonts w:eastAsiaTheme="minorEastAsia" w:cs="Times New Roman"/>
          <w:lang w:eastAsia="ja-JP"/>
        </w:rPr>
      </w:pPr>
      <w:r w:rsidRPr="000605BC">
        <w:rPr>
          <w:rStyle w:val="FootnoteReference"/>
          <w:szCs w:val="18"/>
        </w:rPr>
        <w:footnoteRef/>
      </w:r>
      <w:r w:rsidRPr="000605BC">
        <w:t xml:space="preserve"> The FLSC Model Code is available online: &lt;</w:t>
      </w:r>
      <w:hyperlink r:id="rId41" w:history="1">
        <w:r w:rsidRPr="000605BC">
          <w:rPr>
            <w:rStyle w:val="Hyperlink"/>
            <w:szCs w:val="18"/>
          </w:rPr>
          <w:t>http://www.flsc.ca/en/federation-model-code-of-professional-conduct/</w:t>
        </w:r>
      </w:hyperlink>
      <w:r w:rsidRPr="000605BC">
        <w:t xml:space="preserve">&gt;. Rule 3.2-7 prohibits </w:t>
      </w:r>
      <w:r w:rsidRPr="000605BC">
        <w:rPr>
          <w:rFonts w:cs="Times New Roman"/>
        </w:rPr>
        <w:t>lawyers from “</w:t>
      </w:r>
      <w:r w:rsidRPr="000605BC">
        <w:rPr>
          <w:rFonts w:eastAsiaTheme="minorEastAsia" w:cs="Times New Roman"/>
          <w:lang w:eastAsia="ja-JP"/>
        </w:rPr>
        <w:t>knowingly assist[</w:t>
      </w:r>
      <w:proofErr w:type="spellStart"/>
      <w:r w:rsidRPr="000605BC">
        <w:rPr>
          <w:rFonts w:eastAsiaTheme="minorEastAsia" w:cs="Times New Roman"/>
          <w:lang w:eastAsia="ja-JP"/>
        </w:rPr>
        <w:t>ing</w:t>
      </w:r>
      <w:proofErr w:type="spellEnd"/>
      <w:r w:rsidRPr="000605BC">
        <w:rPr>
          <w:rFonts w:eastAsiaTheme="minorEastAsia" w:cs="Times New Roman"/>
          <w:lang w:eastAsia="ja-JP"/>
        </w:rPr>
        <w:t>] in or encourage[</w:t>
      </w:r>
      <w:proofErr w:type="spellStart"/>
      <w:r w:rsidRPr="000605BC">
        <w:rPr>
          <w:rFonts w:eastAsiaTheme="minorEastAsia" w:cs="Times New Roman"/>
          <w:lang w:eastAsia="ja-JP"/>
        </w:rPr>
        <w:t>ing</w:t>
      </w:r>
      <w:proofErr w:type="spellEnd"/>
      <w:r w:rsidRPr="000605BC">
        <w:rPr>
          <w:rFonts w:eastAsiaTheme="minorEastAsia" w:cs="Times New Roman"/>
          <w:lang w:eastAsia="ja-JP"/>
        </w:rPr>
        <w:t>] any dishonesty, fraud, crime or illegal conduct, or instruct[</w:t>
      </w:r>
      <w:proofErr w:type="spellStart"/>
      <w:r w:rsidRPr="000605BC">
        <w:rPr>
          <w:rFonts w:eastAsiaTheme="minorEastAsia" w:cs="Times New Roman"/>
          <w:lang w:eastAsia="ja-JP"/>
        </w:rPr>
        <w:t>ing</w:t>
      </w:r>
      <w:proofErr w:type="spellEnd"/>
      <w:r w:rsidRPr="000605BC">
        <w:rPr>
          <w:rFonts w:eastAsiaTheme="minorEastAsia" w:cs="Times New Roman"/>
          <w:lang w:eastAsia="ja-JP"/>
        </w:rPr>
        <w:t>] the client on how to violate the law and avoid punishment,</w:t>
      </w:r>
      <w:r w:rsidRPr="000605BC">
        <w:rPr>
          <w:rFonts w:cs="Times New Roman"/>
        </w:rPr>
        <w:t>”</w:t>
      </w:r>
      <w:r w:rsidRPr="000605BC">
        <w:t xml:space="preserve"> including money laundering. The same prohibition is also found in Rule 3.2-7 of the BC Law Society </w:t>
      </w:r>
      <w:r w:rsidRPr="000605BC">
        <w:rPr>
          <w:i/>
        </w:rPr>
        <w:t xml:space="preserve">Code of Professional Conduct for </w:t>
      </w:r>
      <w:r w:rsidRPr="000605BC">
        <w:t>BC, online: &lt;</w:t>
      </w:r>
      <w:hyperlink r:id="rId42" w:anchor="3.2-7" w:history="1">
        <w:r w:rsidRPr="000605BC">
          <w:rPr>
            <w:rStyle w:val="Hyperlink"/>
            <w:szCs w:val="18"/>
          </w:rPr>
          <w:t>https://www.lawsociety.bc.ca/page.cfm?cid=2638&amp;t=Chapter-3-–-Relationship-to-Clients#3.2-7</w:t>
        </w:r>
      </w:hyperlink>
      <w:r w:rsidRPr="000605BC">
        <w:t xml:space="preserve">&gt;. For a useful description of the Law Society of B.C. rules, see Barbara Buchanan, “BC Lawyers and Professional Responsibility” in </w:t>
      </w:r>
      <w:r w:rsidRPr="000605BC">
        <w:rPr>
          <w:i/>
        </w:rPr>
        <w:t>Anti-Money Laundering Law</w:t>
      </w:r>
      <w:r w:rsidRPr="000605BC">
        <w:t xml:space="preserve"> (Materials for CLE BC Seminar on </w:t>
      </w:r>
      <w:r w:rsidRPr="000605BC">
        <w:rPr>
          <w:i/>
        </w:rPr>
        <w:t>Anti-Money Laundering Law,</w:t>
      </w:r>
      <w:r w:rsidRPr="000605BC">
        <w:t xml:space="preserve"> May 27, 2011), online: &lt;</w:t>
      </w:r>
      <w:hyperlink r:id="rId43" w:history="1">
        <w:r w:rsidRPr="000605BC">
          <w:rPr>
            <w:rStyle w:val="Hyperlink"/>
            <w:szCs w:val="18"/>
          </w:rPr>
          <w:t>http://www.cle.bc.ca/</w:t>
        </w:r>
      </w:hyperlink>
      <w:r w:rsidRPr="000605BC">
        <w:t>&gt;.</w:t>
      </w:r>
    </w:p>
  </w:footnote>
  <w:footnote w:id="118">
    <w:p w14:paraId="5523DCE9" w14:textId="55DB23EF" w:rsidR="00EE506E" w:rsidRPr="000605BC" w:rsidRDefault="00EE506E" w:rsidP="008004ED">
      <w:pPr>
        <w:pStyle w:val="FootnoteText"/>
      </w:pPr>
      <w:r w:rsidRPr="000605BC">
        <w:rPr>
          <w:rStyle w:val="FootnoteReference"/>
          <w:rFonts w:cs="Times New Roman"/>
          <w:szCs w:val="18"/>
        </w:rPr>
        <w:footnoteRef/>
      </w:r>
      <w:r w:rsidRPr="000605BC">
        <w:t xml:space="preserve"> Federation of Law Societies of Canada, </w:t>
      </w:r>
      <w:r w:rsidRPr="000605BC">
        <w:rPr>
          <w:i/>
        </w:rPr>
        <w:t xml:space="preserve">Model Rule on Cash Transactions </w:t>
      </w:r>
      <w:r w:rsidRPr="000605BC">
        <w:t>(</w:t>
      </w:r>
      <w:r w:rsidRPr="000605BC">
        <w:rPr>
          <w:bCs/>
          <w:iCs/>
        </w:rPr>
        <w:t>adopted by Council of the Federation of Law Societies of Canada as of July 2004), online: &lt;</w:t>
      </w:r>
      <w:hyperlink r:id="rId44" w:history="1">
        <w:r w:rsidRPr="000605BC">
          <w:rPr>
            <w:rStyle w:val="Hyperlink"/>
            <w:rFonts w:cs="Times New Roman"/>
            <w:bCs/>
            <w:iCs/>
            <w:szCs w:val="18"/>
          </w:rPr>
          <w:t>http://flsc.ca/wp-content/uploads/2014/10/terror1.pdf</w:t>
        </w:r>
      </w:hyperlink>
      <w:r w:rsidRPr="000605BC">
        <w:rPr>
          <w:bCs/>
          <w:iCs/>
        </w:rPr>
        <w:t>&gt;.</w:t>
      </w:r>
    </w:p>
  </w:footnote>
  <w:footnote w:id="119">
    <w:p w14:paraId="3035B846" w14:textId="52FE5AC5" w:rsidR="00EE506E" w:rsidRPr="000605BC" w:rsidRDefault="00EE506E" w:rsidP="008004ED">
      <w:pPr>
        <w:pStyle w:val="FootnoteText"/>
      </w:pPr>
      <w:r w:rsidRPr="000605BC">
        <w:rPr>
          <w:rStyle w:val="FootnoteReference"/>
          <w:szCs w:val="18"/>
        </w:rPr>
        <w:footnoteRef/>
      </w:r>
      <w:r w:rsidRPr="000605BC">
        <w:t xml:space="preserve"> Law Society of BC, </w:t>
      </w:r>
      <w:r w:rsidRPr="000605BC">
        <w:rPr>
          <w:i/>
        </w:rPr>
        <w:t>Law Society Rules 2015</w:t>
      </w:r>
      <w:r w:rsidRPr="000605BC">
        <w:t>, Rule 3-59, online: &lt;</w:t>
      </w:r>
      <w:hyperlink r:id="rId45" w:history="1">
        <w:r w:rsidRPr="000605BC">
          <w:rPr>
            <w:rStyle w:val="Hyperlink"/>
            <w:szCs w:val="18"/>
          </w:rPr>
          <w:t>https://www.lawsociety.bc.ca/page.cfm?cid=4089&amp;t=Law-Society-Rules-2015</w:t>
        </w:r>
      </w:hyperlink>
      <w:r w:rsidRPr="000605BC">
        <w:t>&gt;.</w:t>
      </w:r>
    </w:p>
  </w:footnote>
  <w:footnote w:id="120">
    <w:p w14:paraId="59D01E92" w14:textId="0B1891CA" w:rsidR="00EE506E" w:rsidRPr="000605BC" w:rsidRDefault="00EE506E" w:rsidP="008004ED">
      <w:pPr>
        <w:pStyle w:val="FootnoteText"/>
      </w:pPr>
      <w:r w:rsidRPr="000605BC">
        <w:rPr>
          <w:rStyle w:val="FootnoteReference"/>
        </w:rPr>
        <w:footnoteRef/>
      </w:r>
      <w:r w:rsidRPr="000605BC">
        <w:t xml:space="preserve"> See G Ferguson et al, </w:t>
      </w:r>
      <w:r w:rsidRPr="000605BC">
        <w:rPr>
          <w:i/>
        </w:rPr>
        <w:t>Canadian Criminal Jury Instructions</w:t>
      </w:r>
      <w:r w:rsidRPr="000605BC">
        <w:t xml:space="preserve"> (Vancouver: CLE BC, 2017) at 6.60, user note before para 13.</w:t>
      </w:r>
    </w:p>
  </w:footnote>
  <w:footnote w:id="121">
    <w:p w14:paraId="509C7740" w14:textId="77777777" w:rsidR="00EE506E" w:rsidRPr="000605BC" w:rsidRDefault="00EE506E" w:rsidP="008004ED">
      <w:pPr>
        <w:pStyle w:val="FootnoteText"/>
        <w:rPr>
          <w:szCs w:val="18"/>
        </w:rPr>
      </w:pPr>
      <w:r w:rsidRPr="000605BC">
        <w:rPr>
          <w:rStyle w:val="FootnoteReference"/>
          <w:szCs w:val="18"/>
        </w:rPr>
        <w:footnoteRef/>
      </w:r>
      <w:r w:rsidRPr="000605BC">
        <w:rPr>
          <w:szCs w:val="18"/>
        </w:rPr>
        <w:t xml:space="preserve"> As it describes itself, the Basel Institute is </w:t>
      </w:r>
      <w:r w:rsidRPr="000605BC">
        <w:rPr>
          <w:rFonts w:cs="Times New Roman"/>
          <w:color w:val="000000"/>
          <w:szCs w:val="18"/>
          <w:lang w:val="en-US"/>
        </w:rPr>
        <w:t xml:space="preserve">an “independent not-for-profit competence </w:t>
      </w:r>
      <w:proofErr w:type="spellStart"/>
      <w:r w:rsidRPr="000605BC">
        <w:rPr>
          <w:rFonts w:cs="Times New Roman"/>
          <w:color w:val="000000"/>
          <w:szCs w:val="18"/>
          <w:lang w:val="en-US"/>
        </w:rPr>
        <w:t>centre</w:t>
      </w:r>
      <w:proofErr w:type="spellEnd"/>
      <w:r w:rsidRPr="000605BC">
        <w:rPr>
          <w:rFonts w:cs="Times New Roman"/>
          <w:color w:val="000000"/>
          <w:szCs w:val="18"/>
          <w:lang w:val="en-US"/>
        </w:rPr>
        <w:t xml:space="preserve"> </w:t>
      </w:r>
      <w:proofErr w:type="spellStart"/>
      <w:r w:rsidRPr="000605BC">
        <w:rPr>
          <w:rFonts w:cs="Times New Roman"/>
          <w:color w:val="000000"/>
          <w:szCs w:val="18"/>
          <w:lang w:val="en-US"/>
        </w:rPr>
        <w:t>specialised</w:t>
      </w:r>
      <w:proofErr w:type="spellEnd"/>
      <w:r w:rsidRPr="000605BC">
        <w:rPr>
          <w:rFonts w:cs="Times New Roman"/>
          <w:color w:val="000000"/>
          <w:szCs w:val="18"/>
          <w:lang w:val="en-US"/>
        </w:rPr>
        <w:t xml:space="preserve"> in corruption prevention and public governance, corporate governance and compliance, anti-money laundering, criminal law enforcement and the recovery of stolen assets”: </w:t>
      </w:r>
      <w:r w:rsidRPr="000605BC">
        <w:rPr>
          <w:szCs w:val="18"/>
          <w:lang w:val="en-US"/>
        </w:rPr>
        <w:t>“Basel Institute on Governance”, online: &lt;</w:t>
      </w:r>
      <w:hyperlink r:id="rId46" w:history="1">
        <w:r w:rsidRPr="000605BC">
          <w:rPr>
            <w:rStyle w:val="Hyperlink"/>
            <w:szCs w:val="18"/>
            <w:lang w:val="en-US"/>
          </w:rPr>
          <w:t>http://index.baselgovernance.org/index/about</w:t>
        </w:r>
      </w:hyperlink>
      <w:r w:rsidRPr="000605BC">
        <w:rPr>
          <w:szCs w:val="18"/>
          <w:lang w:val="en-US"/>
        </w:rPr>
        <w:t>&gt;.</w:t>
      </w:r>
    </w:p>
  </w:footnote>
  <w:footnote w:id="122">
    <w:p w14:paraId="70BDC84A" w14:textId="02ED1455" w:rsidR="00EE506E" w:rsidRPr="000605BC" w:rsidRDefault="00EE506E" w:rsidP="008004ED">
      <w:pPr>
        <w:pStyle w:val="FootnoteText"/>
        <w:rPr>
          <w:szCs w:val="18"/>
        </w:rPr>
      </w:pPr>
      <w:r w:rsidRPr="000605BC">
        <w:rPr>
          <w:rStyle w:val="FootnoteReference"/>
          <w:szCs w:val="18"/>
        </w:rPr>
        <w:footnoteRef/>
      </w:r>
      <w:r w:rsidRPr="000605BC">
        <w:rPr>
          <w:szCs w:val="18"/>
        </w:rPr>
        <w:t xml:space="preserve"> Basel Institute on Governance, “Basel AML Index 2016” (2016) at 12, online: &lt;</w:t>
      </w:r>
      <w:hyperlink r:id="rId47" w:history="1">
        <w:r w:rsidRPr="000605BC">
          <w:rPr>
            <w:rStyle w:val="Hyperlink"/>
            <w:szCs w:val="18"/>
          </w:rPr>
          <w:t>https://index.baselgovernance.org/sites/index/documents/Basel_AML_Index_Report_2016.pdf</w:t>
        </w:r>
      </w:hyperlink>
      <w:r w:rsidRPr="000605BC">
        <w:rPr>
          <w:szCs w:val="18"/>
        </w:rPr>
        <w:t>&gt;.</w:t>
      </w:r>
    </w:p>
  </w:footnote>
  <w:footnote w:id="123">
    <w:p w14:paraId="3BB9B6B2" w14:textId="5C31AF68" w:rsidR="00EE506E" w:rsidRPr="000605BC" w:rsidRDefault="00EE506E" w:rsidP="008004ED">
      <w:pPr>
        <w:pStyle w:val="FootnoteText"/>
        <w:rPr>
          <w:szCs w:val="18"/>
        </w:rPr>
      </w:pPr>
      <w:r w:rsidRPr="000605BC">
        <w:rPr>
          <w:rStyle w:val="FootnoteReference"/>
          <w:szCs w:val="18"/>
        </w:rPr>
        <w:footnoteRef/>
      </w:r>
      <w:r w:rsidRPr="000605BC">
        <w:rPr>
          <w:szCs w:val="18"/>
        </w:rPr>
        <w:t xml:space="preserve"> </w:t>
      </w:r>
      <w:r w:rsidRPr="000605BC">
        <w:rPr>
          <w:rFonts w:eastAsia="Times New Roman" w:cs="Times New Roman"/>
          <w:bCs/>
          <w:color w:val="000000"/>
          <w:szCs w:val="18"/>
          <w:lang w:val="en-US" w:eastAsia="en-CA"/>
        </w:rPr>
        <w:t>To be included in the public version of the report, data must be available on 8 or more indicators including all three indicators assessing the money laundering/terrorist financing risk.</w:t>
      </w:r>
      <w:r w:rsidRPr="000605BC">
        <w:rPr>
          <w:szCs w:val="18"/>
        </w:rPr>
        <w:t xml:space="preserve"> An overview of 203 countries is available in an Expert Edition of the report, available free of charge to academics, public and supervisory institutions and NPO’s and for a fee to commercial institutions.</w:t>
      </w:r>
    </w:p>
  </w:footnote>
  <w:footnote w:id="124">
    <w:p w14:paraId="5EA28F39" w14:textId="0FEBFDC8" w:rsidR="00EE506E" w:rsidRPr="000605BC" w:rsidRDefault="00EE506E" w:rsidP="008004ED">
      <w:pPr>
        <w:pStyle w:val="FootnoteText"/>
        <w:rPr>
          <w:szCs w:val="24"/>
          <w:lang w:val="en-US" w:eastAsia="en-CA"/>
        </w:rPr>
      </w:pPr>
      <w:r w:rsidRPr="000605BC">
        <w:rPr>
          <w:rStyle w:val="FootnoteReference"/>
          <w:szCs w:val="18"/>
        </w:rPr>
        <w:footnoteRef/>
      </w:r>
      <w:r w:rsidRPr="000605BC">
        <w:t xml:space="preserve"> </w:t>
      </w:r>
      <w:r w:rsidRPr="000605BC">
        <w:rPr>
          <w:lang w:val="en-US" w:eastAsia="en-CA"/>
        </w:rPr>
        <w:t>These factors are determined by a number of sub-factors. For example, the money laundering/terrorist financing risk stems from FATF Recommendations (30%), TJN - Finance Secrecy Index (25%) and UN INCSR - Volume II on Money Laundering (20%). One exception is Corruption Risk, where the entire score stems from the TI CPI - Perception of Public Corruption.</w:t>
      </w:r>
    </w:p>
  </w:footnote>
  <w:footnote w:id="125">
    <w:p w14:paraId="39894089" w14:textId="347FC659" w:rsidR="00EE506E" w:rsidRPr="000605BC" w:rsidRDefault="00EE506E" w:rsidP="008004ED">
      <w:pPr>
        <w:pStyle w:val="FootnoteText"/>
        <w:rPr>
          <w:szCs w:val="18"/>
        </w:rPr>
      </w:pPr>
      <w:r w:rsidRPr="000605BC">
        <w:rPr>
          <w:rStyle w:val="FootnoteReference"/>
          <w:szCs w:val="18"/>
        </w:rPr>
        <w:footnoteRef/>
      </w:r>
      <w:r w:rsidRPr="000605BC">
        <w:rPr>
          <w:szCs w:val="18"/>
        </w:rPr>
        <w:t xml:space="preserve"> </w:t>
      </w:r>
      <w:r w:rsidRPr="000605BC">
        <w:rPr>
          <w:rFonts w:cs="Times New Roman"/>
          <w:szCs w:val="18"/>
        </w:rPr>
        <w:t xml:space="preserve">Killian J McCarthy, “Why Do Some States Tolerate Money Laundering? On the Competition for Illegal Money” in Unger &amp; van der Linde, eds., (2013) 127 at </w:t>
      </w:r>
      <w:r w:rsidRPr="000605BC">
        <w:rPr>
          <w:szCs w:val="18"/>
          <w:lang w:val="en-US"/>
        </w:rPr>
        <w:t>138.</w:t>
      </w:r>
    </w:p>
  </w:footnote>
  <w:footnote w:id="126">
    <w:p w14:paraId="674666BF" w14:textId="79232144" w:rsidR="00EE506E" w:rsidRPr="000605BC" w:rsidRDefault="00EE506E" w:rsidP="008004ED">
      <w:pPr>
        <w:pStyle w:val="FootnoteText"/>
        <w:tabs>
          <w:tab w:val="left" w:pos="851"/>
        </w:tabs>
        <w:rPr>
          <w:lang w:val="en-US"/>
        </w:rPr>
      </w:pPr>
      <w:r w:rsidRPr="000605BC">
        <w:rPr>
          <w:rStyle w:val="FootnoteReference"/>
          <w:szCs w:val="18"/>
        </w:rPr>
        <w:footnoteRef/>
      </w:r>
      <w:r w:rsidRPr="000605BC">
        <w:rPr>
          <w:szCs w:val="18"/>
        </w:rPr>
        <w:t xml:space="preserve"> “Procedures for the FATF Fourth Round of AML/CFT Mutual Evaluations” (FATF, 2014) at 6, online: &lt;</w:t>
      </w:r>
      <w:hyperlink r:id="rId48" w:history="1">
        <w:r w:rsidRPr="000605BC">
          <w:rPr>
            <w:rStyle w:val="Hyperlink"/>
            <w:szCs w:val="18"/>
          </w:rPr>
          <w:t>http://www.fatf-gafi.org/media/fatf/documents/methodology/FATF-4th-Round-Procedures.pdf</w:t>
        </w:r>
      </w:hyperlink>
      <w:r w:rsidRPr="000605BC">
        <w:rPr>
          <w:szCs w:val="18"/>
        </w:rPr>
        <w:t>&gt;.</w:t>
      </w:r>
    </w:p>
  </w:footnote>
  <w:footnote w:id="127">
    <w:p w14:paraId="5DC0D43D" w14:textId="3B443852" w:rsidR="00EE506E" w:rsidRPr="000605BC" w:rsidRDefault="00EE506E" w:rsidP="008004ED">
      <w:pPr>
        <w:pStyle w:val="FootnoteText"/>
        <w:rPr>
          <w:rFonts w:cs="Times New Roman"/>
        </w:rPr>
      </w:pPr>
      <w:r w:rsidRPr="000605BC">
        <w:rPr>
          <w:rStyle w:val="FootnoteReference"/>
          <w:szCs w:val="18"/>
        </w:rPr>
        <w:footnoteRef/>
      </w:r>
      <w:r w:rsidRPr="000605BC">
        <w:t xml:space="preserve"> US Mutual Evaluation Report (2016) </w:t>
      </w:r>
      <w:r w:rsidRPr="000605BC">
        <w:rPr>
          <w:rFonts w:cs="Times New Roman"/>
          <w:noProof/>
          <w:color w:val="000000"/>
          <w:lang w:eastAsia="en-CA"/>
        </w:rPr>
        <w:t>at 5, 23.</w:t>
      </w:r>
    </w:p>
  </w:footnote>
  <w:footnote w:id="128">
    <w:p w14:paraId="33268F95" w14:textId="6A3BC74D" w:rsidR="00EE506E" w:rsidRPr="000605BC" w:rsidRDefault="00EE506E" w:rsidP="008004ED">
      <w:pPr>
        <w:pStyle w:val="FootnoteText"/>
      </w:pPr>
      <w:r w:rsidRPr="000605BC">
        <w:rPr>
          <w:rStyle w:val="FootnoteReference"/>
          <w:szCs w:val="18"/>
        </w:rPr>
        <w:footnoteRef/>
      </w:r>
      <w:r w:rsidRPr="000605BC">
        <w:rPr>
          <w:szCs w:val="18"/>
        </w:rPr>
        <w:t xml:space="preserve"> </w:t>
      </w:r>
      <w:r w:rsidRPr="000605BC">
        <w:rPr>
          <w:rFonts w:cs="Times New Roman"/>
          <w:i/>
          <w:noProof/>
          <w:color w:val="000000"/>
          <w:szCs w:val="18"/>
          <w:lang w:eastAsia="en-CA"/>
        </w:rPr>
        <w:t xml:space="preserve">Ibid </w:t>
      </w:r>
      <w:r w:rsidRPr="000605BC">
        <w:rPr>
          <w:rFonts w:cs="Times New Roman"/>
          <w:noProof/>
          <w:color w:val="000000"/>
          <w:szCs w:val="18"/>
          <w:lang w:eastAsia="en-CA"/>
        </w:rPr>
        <w:t>at 255-259.</w:t>
      </w:r>
    </w:p>
  </w:footnote>
  <w:footnote w:id="129">
    <w:p w14:paraId="73165C69" w14:textId="74E6C923" w:rsidR="00EE506E" w:rsidRPr="000605BC" w:rsidRDefault="00EE506E" w:rsidP="008004ED">
      <w:pPr>
        <w:pStyle w:val="FootnoteText"/>
        <w:rPr>
          <w:szCs w:val="18"/>
        </w:rPr>
      </w:pPr>
      <w:r w:rsidRPr="000605BC">
        <w:rPr>
          <w:rStyle w:val="FootnoteReference"/>
          <w:szCs w:val="18"/>
        </w:rPr>
        <w:footnoteRef/>
      </w:r>
      <w:r w:rsidRPr="000605BC">
        <w:rPr>
          <w:szCs w:val="18"/>
        </w:rPr>
        <w:t xml:space="preserve"> </w:t>
      </w:r>
      <w:r w:rsidRPr="000605BC">
        <w:rPr>
          <w:rFonts w:cs="Times New Roman"/>
          <w:i/>
          <w:noProof/>
          <w:color w:val="000000"/>
          <w:szCs w:val="18"/>
          <w:lang w:eastAsia="en-CA"/>
        </w:rPr>
        <w:t xml:space="preserve">Ibid </w:t>
      </w:r>
      <w:r w:rsidRPr="000605BC">
        <w:rPr>
          <w:rFonts w:cs="Times New Roman"/>
          <w:noProof/>
          <w:color w:val="000000"/>
          <w:szCs w:val="18"/>
          <w:lang w:eastAsia="en-CA"/>
        </w:rPr>
        <w:t>at 167.</w:t>
      </w:r>
    </w:p>
  </w:footnote>
  <w:footnote w:id="130">
    <w:p w14:paraId="610694A3" w14:textId="0F111522" w:rsidR="00EE506E" w:rsidRPr="000605BC" w:rsidRDefault="00EE506E" w:rsidP="008004ED">
      <w:pPr>
        <w:pStyle w:val="FootnoteText"/>
        <w:rPr>
          <w:szCs w:val="18"/>
        </w:rPr>
      </w:pPr>
      <w:r w:rsidRPr="000605BC">
        <w:rPr>
          <w:rStyle w:val="FootnoteReference"/>
          <w:szCs w:val="18"/>
        </w:rPr>
        <w:footnoteRef/>
      </w:r>
      <w:r w:rsidRPr="000605BC">
        <w:rPr>
          <w:szCs w:val="18"/>
        </w:rPr>
        <w:t xml:space="preserve"> </w:t>
      </w:r>
      <w:r w:rsidRPr="000605BC">
        <w:rPr>
          <w:rFonts w:cs="Times New Roman"/>
          <w:i/>
          <w:noProof/>
          <w:color w:val="000000"/>
          <w:szCs w:val="18"/>
          <w:lang w:eastAsia="en-CA"/>
        </w:rPr>
        <w:t xml:space="preserve">Ibid </w:t>
      </w:r>
      <w:r w:rsidRPr="000605BC">
        <w:rPr>
          <w:rFonts w:cs="Times New Roman"/>
          <w:noProof/>
          <w:color w:val="000000"/>
          <w:szCs w:val="18"/>
          <w:lang w:eastAsia="en-CA"/>
        </w:rPr>
        <w:t>at 38, 118, 154.</w:t>
      </w:r>
    </w:p>
  </w:footnote>
  <w:footnote w:id="131">
    <w:p w14:paraId="6441BFCA" w14:textId="48D8AFA1" w:rsidR="00EE506E" w:rsidRPr="000605BC" w:rsidRDefault="00EE506E" w:rsidP="008004ED">
      <w:pPr>
        <w:pStyle w:val="FootnoteText"/>
      </w:pPr>
      <w:r w:rsidRPr="000605BC">
        <w:rPr>
          <w:rStyle w:val="FootnoteReference"/>
          <w:szCs w:val="18"/>
        </w:rPr>
        <w:footnoteRef/>
      </w:r>
      <w:r w:rsidRPr="000605BC">
        <w:rPr>
          <w:szCs w:val="18"/>
        </w:rPr>
        <w:t xml:space="preserve"> </w:t>
      </w:r>
      <w:r w:rsidRPr="000605BC">
        <w:rPr>
          <w:rFonts w:cs="Times New Roman"/>
          <w:i/>
          <w:noProof/>
          <w:color w:val="000000"/>
          <w:szCs w:val="18"/>
          <w:lang w:eastAsia="en-CA"/>
        </w:rPr>
        <w:t xml:space="preserve">Ibid </w:t>
      </w:r>
      <w:r w:rsidRPr="000605BC">
        <w:rPr>
          <w:rFonts w:cs="Times New Roman"/>
          <w:noProof/>
          <w:color w:val="000000"/>
          <w:szCs w:val="18"/>
          <w:lang w:eastAsia="en-CA"/>
        </w:rPr>
        <w:t>at 135.</w:t>
      </w:r>
    </w:p>
  </w:footnote>
  <w:footnote w:id="132">
    <w:p w14:paraId="06E53B53" w14:textId="4D10C3FC" w:rsidR="00EE506E" w:rsidRPr="000605BC" w:rsidRDefault="00EE506E" w:rsidP="008004ED">
      <w:pPr>
        <w:pStyle w:val="FootnoteText"/>
        <w:rPr>
          <w:lang w:val="en-US"/>
        </w:rPr>
      </w:pPr>
      <w:r w:rsidRPr="000605BC">
        <w:rPr>
          <w:rStyle w:val="FootnoteReference"/>
        </w:rPr>
        <w:footnoteRef/>
      </w:r>
      <w:r w:rsidRPr="000605BC">
        <w:t xml:space="preserve"> Financial Action Task Force, “Summary of the Third Mutual Evaluation Report on Anti-Money Laundering and Combating the Financing of Terrorism: United Kingdom of Great Britain and Northern Ireland” (FATF, 2007)</w:t>
      </w:r>
      <w:r w:rsidRPr="000605BC">
        <w:rPr>
          <w:lang w:val="en-US"/>
        </w:rPr>
        <w:t xml:space="preserve"> at 1, online: &lt;</w:t>
      </w:r>
      <w:hyperlink r:id="rId49" w:history="1">
        <w:r w:rsidRPr="000605BC">
          <w:rPr>
            <w:rStyle w:val="Hyperlink"/>
            <w:lang w:val="en-US"/>
          </w:rPr>
          <w:t>http://www.fatf-gafi.org/topics/mutualevaluations/documents/mutualevaluationofunitedkingdomof</w:t>
        </w:r>
        <w:r w:rsidRPr="000605BC">
          <w:rPr>
            <w:rStyle w:val="Hyperlink"/>
            <w:lang w:val="en-US"/>
          </w:rPr>
          <w:br/>
          <w:t>greatbritainandnorthernireland.html</w:t>
        </w:r>
      </w:hyperlink>
      <w:r w:rsidRPr="000605BC">
        <w:rPr>
          <w:lang w:val="en-US"/>
        </w:rPr>
        <w:t>&gt;.</w:t>
      </w:r>
    </w:p>
  </w:footnote>
  <w:footnote w:id="133">
    <w:p w14:paraId="05F3DEE8" w14:textId="393415B8" w:rsidR="00EE506E" w:rsidRPr="000605BC" w:rsidRDefault="00EE506E" w:rsidP="008004ED">
      <w:pPr>
        <w:pStyle w:val="FootnoteText"/>
        <w:rPr>
          <w:highlight w:val="yellow"/>
          <w:lang w:val="en-US"/>
        </w:rPr>
      </w:pPr>
      <w:r w:rsidRPr="000605BC">
        <w:rPr>
          <w:rStyle w:val="FootnoteReference"/>
        </w:rPr>
        <w:footnoteRef/>
      </w:r>
      <w:r w:rsidRPr="000605BC">
        <w:t xml:space="preserve"> </w:t>
      </w:r>
      <w:r w:rsidRPr="000605BC">
        <w:rPr>
          <w:i/>
          <w:lang w:val="en-US"/>
        </w:rPr>
        <w:t xml:space="preserve">Ibid </w:t>
      </w:r>
      <w:r w:rsidRPr="000605BC">
        <w:rPr>
          <w:lang w:val="en-US"/>
        </w:rPr>
        <w:t xml:space="preserve">at 10-11. </w:t>
      </w:r>
      <w:r w:rsidRPr="000605BC">
        <w:rPr>
          <w:rFonts w:cs="Times New Roman"/>
        </w:rPr>
        <w:t>For a detailed breakdown of UK compliance with each FATF Recommendation at the time of the report, see the Mutual Evaluation Report Executive Summary at 10-15, online: &lt;</w:t>
      </w:r>
      <w:hyperlink r:id="rId50" w:history="1">
        <w:r w:rsidRPr="000605BC">
          <w:rPr>
            <w:rStyle w:val="Hyperlink"/>
            <w:rFonts w:cs="Times New Roman"/>
          </w:rPr>
          <w:t>http://www.fatf-gafi.org/media/</w:t>
        </w:r>
        <w:r w:rsidRPr="000605BC">
          <w:rPr>
            <w:rStyle w:val="Hyperlink"/>
            <w:rFonts w:cs="Times New Roman"/>
          </w:rPr>
          <w:br/>
        </w:r>
        <w:proofErr w:type="spellStart"/>
        <w:r w:rsidRPr="000605BC">
          <w:rPr>
            <w:rStyle w:val="Hyperlink"/>
            <w:rFonts w:cs="Times New Roman"/>
          </w:rPr>
          <w:t>fatf</w:t>
        </w:r>
        <w:proofErr w:type="spellEnd"/>
        <w:r w:rsidRPr="000605BC">
          <w:rPr>
            <w:rStyle w:val="Hyperlink"/>
            <w:rFonts w:cs="Times New Roman"/>
          </w:rPr>
          <w:t>/documents/reports/</w:t>
        </w:r>
        <w:proofErr w:type="spellStart"/>
        <w:r w:rsidRPr="000605BC">
          <w:rPr>
            <w:rStyle w:val="Hyperlink"/>
            <w:rFonts w:cs="Times New Roman"/>
          </w:rPr>
          <w:t>mer</w:t>
        </w:r>
        <w:proofErr w:type="spellEnd"/>
        <w:r w:rsidRPr="000605BC">
          <w:rPr>
            <w:rStyle w:val="Hyperlink"/>
            <w:rFonts w:cs="Times New Roman"/>
          </w:rPr>
          <w:t>/MER%20UK%20ES.pdf</w:t>
        </w:r>
      </w:hyperlink>
      <w:r w:rsidRPr="000605BC">
        <w:rPr>
          <w:rFonts w:cs="Times New Roman"/>
        </w:rPr>
        <w:t>&gt;.</w:t>
      </w:r>
    </w:p>
  </w:footnote>
  <w:footnote w:id="134">
    <w:p w14:paraId="224DA5BB" w14:textId="0396D552" w:rsidR="00EE506E" w:rsidRPr="000605BC" w:rsidRDefault="00EE506E" w:rsidP="008004ED">
      <w:pPr>
        <w:pStyle w:val="FootnoteText"/>
        <w:rPr>
          <w:szCs w:val="18"/>
          <w:highlight w:val="yellow"/>
        </w:rPr>
      </w:pPr>
      <w:r w:rsidRPr="000605BC">
        <w:rPr>
          <w:rStyle w:val="FootnoteReference"/>
          <w:szCs w:val="18"/>
        </w:rPr>
        <w:footnoteRef/>
      </w:r>
      <w:r w:rsidRPr="000605BC">
        <w:rPr>
          <w:szCs w:val="18"/>
        </w:rPr>
        <w:t xml:space="preserve"> Financial Action Task Force, “Mutual Evaluation Fourth Follow-Up Report: Anti-Money Laundering and Combating the Financing of Terrorism, United Kingdom” (FATF, 2009) at 4, online: &lt;</w:t>
      </w:r>
      <w:hyperlink r:id="rId51" w:history="1">
        <w:r w:rsidRPr="000605BC">
          <w:rPr>
            <w:rStyle w:val="Hyperlink"/>
            <w:szCs w:val="18"/>
          </w:rPr>
          <w:t>http://www.fatf-gafi.org/media/</w:t>
        </w:r>
        <w:r w:rsidRPr="000605BC">
          <w:rPr>
            <w:rStyle w:val="Hyperlink"/>
            <w:szCs w:val="18"/>
          </w:rPr>
          <w:br/>
        </w:r>
        <w:proofErr w:type="spellStart"/>
        <w:r w:rsidRPr="000605BC">
          <w:rPr>
            <w:rStyle w:val="Hyperlink"/>
            <w:szCs w:val="18"/>
          </w:rPr>
          <w:t>fatf</w:t>
        </w:r>
        <w:proofErr w:type="spellEnd"/>
        <w:r w:rsidRPr="000605BC">
          <w:rPr>
            <w:rStyle w:val="Hyperlink"/>
            <w:szCs w:val="18"/>
          </w:rPr>
          <w:t>/documents/reports/</w:t>
        </w:r>
        <w:proofErr w:type="spellStart"/>
        <w:r w:rsidRPr="000605BC">
          <w:rPr>
            <w:rStyle w:val="Hyperlink"/>
            <w:szCs w:val="18"/>
          </w:rPr>
          <w:t>mer</w:t>
        </w:r>
        <w:proofErr w:type="spellEnd"/>
        <w:r w:rsidRPr="000605BC">
          <w:rPr>
            <w:rStyle w:val="Hyperlink"/>
            <w:szCs w:val="18"/>
          </w:rPr>
          <w:t>/</w:t>
        </w:r>
        <w:proofErr w:type="spellStart"/>
        <w:r w:rsidRPr="000605BC">
          <w:rPr>
            <w:rStyle w:val="Hyperlink"/>
            <w:szCs w:val="18"/>
          </w:rPr>
          <w:t>FoR</w:t>
        </w:r>
        <w:proofErr w:type="spellEnd"/>
        <w:r w:rsidRPr="000605BC">
          <w:rPr>
            <w:rStyle w:val="Hyperlink"/>
            <w:szCs w:val="18"/>
          </w:rPr>
          <w:t xml:space="preserve"> UK.pdf</w:t>
        </w:r>
      </w:hyperlink>
      <w:r w:rsidRPr="000605BC">
        <w:rPr>
          <w:szCs w:val="18"/>
        </w:rPr>
        <w:t>&gt;.</w:t>
      </w:r>
    </w:p>
  </w:footnote>
  <w:footnote w:id="135">
    <w:p w14:paraId="5314B027" w14:textId="1820AF98" w:rsidR="00EE506E" w:rsidRPr="000605BC" w:rsidRDefault="00EE506E" w:rsidP="008004ED">
      <w:pPr>
        <w:pStyle w:val="FootnoteText"/>
        <w:rPr>
          <w:szCs w:val="18"/>
        </w:rPr>
      </w:pPr>
      <w:r w:rsidRPr="000605BC">
        <w:rPr>
          <w:rStyle w:val="FootnoteReference"/>
          <w:szCs w:val="18"/>
        </w:rPr>
        <w:footnoteRef/>
      </w:r>
      <w:r w:rsidRPr="000605BC">
        <w:rPr>
          <w:szCs w:val="18"/>
        </w:rPr>
        <w:t xml:space="preserve"> Canada Mutual Evaluation Report (2016)</w:t>
      </w:r>
      <w:r w:rsidRPr="000605BC">
        <w:rPr>
          <w:rFonts w:cs="Times New Roman"/>
          <w:noProof/>
          <w:color w:val="000000"/>
          <w:szCs w:val="18"/>
          <w:lang w:eastAsia="en-CA"/>
        </w:rPr>
        <w:t xml:space="preserve"> at para 12.</w:t>
      </w:r>
    </w:p>
  </w:footnote>
  <w:footnote w:id="136">
    <w:p w14:paraId="55E96169" w14:textId="17465589" w:rsidR="00EE506E" w:rsidRPr="000605BC" w:rsidRDefault="00EE506E" w:rsidP="008004ED">
      <w:pPr>
        <w:pStyle w:val="FootnoteText"/>
        <w:rPr>
          <w:szCs w:val="18"/>
        </w:rPr>
      </w:pPr>
      <w:r w:rsidRPr="000605BC">
        <w:rPr>
          <w:rStyle w:val="FootnoteReference"/>
          <w:szCs w:val="18"/>
        </w:rPr>
        <w:footnoteRef/>
      </w:r>
      <w:r w:rsidRPr="000605BC">
        <w:rPr>
          <w:szCs w:val="18"/>
        </w:rPr>
        <w:t xml:space="preserve"> </w:t>
      </w:r>
      <w:r w:rsidRPr="000605BC">
        <w:rPr>
          <w:rFonts w:cs="Times New Roman"/>
          <w:i/>
          <w:noProof/>
          <w:color w:val="000000"/>
          <w:szCs w:val="18"/>
          <w:lang w:eastAsia="en-CA"/>
        </w:rPr>
        <w:t xml:space="preserve">Ibid </w:t>
      </w:r>
      <w:r w:rsidRPr="000605BC">
        <w:rPr>
          <w:rFonts w:cs="Times New Roman"/>
          <w:noProof/>
          <w:color w:val="000000"/>
          <w:szCs w:val="18"/>
          <w:lang w:eastAsia="en-CA"/>
        </w:rPr>
        <w:t>at 205-209.</w:t>
      </w:r>
    </w:p>
  </w:footnote>
  <w:footnote w:id="137">
    <w:p w14:paraId="2D8E6865" w14:textId="42860426" w:rsidR="00EE506E" w:rsidRPr="000605BC" w:rsidRDefault="00EE506E" w:rsidP="008004ED">
      <w:pPr>
        <w:pStyle w:val="FootnoteText"/>
        <w:rPr>
          <w:szCs w:val="18"/>
        </w:rPr>
      </w:pPr>
      <w:r w:rsidRPr="000605BC">
        <w:rPr>
          <w:rStyle w:val="FootnoteReference"/>
          <w:szCs w:val="18"/>
        </w:rPr>
        <w:footnoteRef/>
      </w:r>
      <w:r w:rsidRPr="000605BC">
        <w:rPr>
          <w:szCs w:val="18"/>
        </w:rPr>
        <w:t xml:space="preserve"> </w:t>
      </w:r>
      <w:r w:rsidRPr="000605BC">
        <w:rPr>
          <w:rFonts w:cs="Times New Roman"/>
          <w:i/>
          <w:noProof/>
          <w:color w:val="000000"/>
          <w:szCs w:val="18"/>
          <w:lang w:eastAsia="en-CA"/>
        </w:rPr>
        <w:t xml:space="preserve">Ibid </w:t>
      </w:r>
      <w:r w:rsidRPr="000605BC">
        <w:rPr>
          <w:rFonts w:cs="Times New Roman"/>
          <w:noProof/>
          <w:color w:val="000000"/>
          <w:szCs w:val="18"/>
          <w:lang w:eastAsia="en-CA"/>
        </w:rPr>
        <w:t>at 205-209.</w:t>
      </w:r>
    </w:p>
  </w:footnote>
  <w:footnote w:id="138">
    <w:p w14:paraId="49FA0C5D" w14:textId="67451A09" w:rsidR="00EE506E" w:rsidRPr="000605BC" w:rsidRDefault="00EE506E" w:rsidP="008004ED">
      <w:pPr>
        <w:pStyle w:val="FootnoteText"/>
        <w:rPr>
          <w:szCs w:val="18"/>
        </w:rPr>
      </w:pPr>
      <w:r w:rsidRPr="000605BC">
        <w:rPr>
          <w:rStyle w:val="FootnoteReference"/>
          <w:szCs w:val="18"/>
        </w:rPr>
        <w:footnoteRef/>
      </w:r>
      <w:r w:rsidRPr="000605BC">
        <w:rPr>
          <w:szCs w:val="18"/>
        </w:rPr>
        <w:t xml:space="preserve"> </w:t>
      </w:r>
      <w:r w:rsidRPr="000605BC">
        <w:rPr>
          <w:rFonts w:cs="Times New Roman"/>
          <w:i/>
          <w:noProof/>
          <w:color w:val="000000"/>
          <w:szCs w:val="18"/>
          <w:lang w:eastAsia="en-CA"/>
        </w:rPr>
        <w:t xml:space="preserve">Ibid </w:t>
      </w:r>
      <w:r w:rsidRPr="000605BC">
        <w:rPr>
          <w:rFonts w:cs="Times New Roman"/>
          <w:noProof/>
          <w:color w:val="000000"/>
          <w:szCs w:val="18"/>
          <w:lang w:eastAsia="en-CA"/>
        </w:rPr>
        <w:t>at 31.</w:t>
      </w:r>
    </w:p>
  </w:footnote>
  <w:footnote w:id="139">
    <w:p w14:paraId="09F5C5C9" w14:textId="382203EC" w:rsidR="00EE506E" w:rsidRPr="000605BC" w:rsidRDefault="00EE506E" w:rsidP="008004ED">
      <w:pPr>
        <w:pStyle w:val="FootnoteText"/>
        <w:rPr>
          <w:szCs w:val="18"/>
        </w:rPr>
      </w:pPr>
      <w:r w:rsidRPr="000605BC">
        <w:rPr>
          <w:rStyle w:val="FootnoteReference"/>
          <w:szCs w:val="18"/>
        </w:rPr>
        <w:footnoteRef/>
      </w:r>
      <w:r w:rsidRPr="000605BC">
        <w:rPr>
          <w:szCs w:val="18"/>
        </w:rPr>
        <w:t xml:space="preserve"> </w:t>
      </w:r>
      <w:r w:rsidRPr="000605BC">
        <w:rPr>
          <w:rFonts w:cs="Times New Roman"/>
          <w:i/>
          <w:noProof/>
          <w:color w:val="000000"/>
          <w:szCs w:val="18"/>
          <w:lang w:eastAsia="en-CA"/>
        </w:rPr>
        <w:t xml:space="preserve">Ibid </w:t>
      </w:r>
      <w:r w:rsidRPr="000605BC">
        <w:rPr>
          <w:rFonts w:cs="Times New Roman"/>
          <w:noProof/>
          <w:color w:val="000000"/>
          <w:szCs w:val="18"/>
          <w:lang w:eastAsia="en-CA"/>
        </w:rPr>
        <w:t>at 7.</w:t>
      </w:r>
    </w:p>
  </w:footnote>
  <w:footnote w:id="140">
    <w:p w14:paraId="079FBEF0" w14:textId="0102894C" w:rsidR="00EE506E" w:rsidRPr="000605BC" w:rsidRDefault="00EE506E" w:rsidP="008004ED">
      <w:pPr>
        <w:pStyle w:val="FootnoteText"/>
        <w:rPr>
          <w:szCs w:val="18"/>
        </w:rPr>
      </w:pPr>
      <w:r w:rsidRPr="000605BC">
        <w:rPr>
          <w:rStyle w:val="FootnoteReference"/>
          <w:szCs w:val="18"/>
        </w:rPr>
        <w:footnoteRef/>
      </w:r>
      <w:r w:rsidRPr="000605BC">
        <w:rPr>
          <w:szCs w:val="18"/>
        </w:rPr>
        <w:t xml:space="preserve"> </w:t>
      </w:r>
      <w:r w:rsidRPr="000605BC">
        <w:rPr>
          <w:rFonts w:cs="Times New Roman"/>
          <w:i/>
          <w:noProof/>
          <w:color w:val="000000"/>
          <w:szCs w:val="18"/>
          <w:lang w:eastAsia="en-CA"/>
        </w:rPr>
        <w:t xml:space="preserve">Ibid </w:t>
      </w:r>
      <w:r w:rsidRPr="000605BC">
        <w:rPr>
          <w:rFonts w:cs="Times New Roman"/>
          <w:noProof/>
          <w:color w:val="000000"/>
          <w:szCs w:val="18"/>
          <w:lang w:eastAsia="en-CA"/>
        </w:rPr>
        <w:t>at 6.</w:t>
      </w:r>
    </w:p>
  </w:footnote>
  <w:footnote w:id="141">
    <w:p w14:paraId="475792B3" w14:textId="05A011DA" w:rsidR="00EE506E" w:rsidRPr="000605BC" w:rsidRDefault="00EE506E" w:rsidP="008004ED">
      <w:pPr>
        <w:pStyle w:val="FootnoteText"/>
        <w:rPr>
          <w:szCs w:val="18"/>
        </w:rPr>
      </w:pPr>
      <w:r w:rsidRPr="000605BC">
        <w:rPr>
          <w:rStyle w:val="FootnoteReference"/>
          <w:szCs w:val="18"/>
        </w:rPr>
        <w:footnoteRef/>
      </w:r>
      <w:r w:rsidRPr="000605BC">
        <w:rPr>
          <w:szCs w:val="18"/>
        </w:rPr>
        <w:t xml:space="preserve"> </w:t>
      </w:r>
      <w:r w:rsidRPr="000605BC">
        <w:rPr>
          <w:rFonts w:cs="Times New Roman"/>
          <w:i/>
          <w:noProof/>
          <w:color w:val="000000"/>
          <w:szCs w:val="18"/>
          <w:lang w:eastAsia="en-CA"/>
        </w:rPr>
        <w:t xml:space="preserve">Ibid </w:t>
      </w:r>
      <w:r w:rsidRPr="000605BC">
        <w:rPr>
          <w:rFonts w:cs="Times New Roman"/>
          <w:noProof/>
          <w:color w:val="000000"/>
          <w:szCs w:val="18"/>
          <w:lang w:eastAsia="en-CA"/>
        </w:rPr>
        <w:t>at 36.</w:t>
      </w:r>
    </w:p>
  </w:footnote>
  <w:footnote w:id="142">
    <w:p w14:paraId="2BC95E4C" w14:textId="167B290E" w:rsidR="00EE506E" w:rsidRPr="000605BC" w:rsidRDefault="00EE506E" w:rsidP="008004ED">
      <w:pPr>
        <w:pStyle w:val="FootnoteText"/>
      </w:pPr>
      <w:r w:rsidRPr="000605BC">
        <w:rPr>
          <w:rStyle w:val="FootnoteReference"/>
          <w:szCs w:val="18"/>
        </w:rPr>
        <w:footnoteRef/>
      </w:r>
      <w:r w:rsidRPr="000605BC">
        <w:rPr>
          <w:szCs w:val="18"/>
        </w:rPr>
        <w:t xml:space="preserve"> </w:t>
      </w:r>
      <w:r w:rsidRPr="000605BC">
        <w:rPr>
          <w:rFonts w:cs="Times New Roman"/>
          <w:i/>
          <w:noProof/>
          <w:color w:val="000000"/>
          <w:szCs w:val="18"/>
          <w:lang w:eastAsia="en-CA"/>
        </w:rPr>
        <w:t xml:space="preserve">Ibid </w:t>
      </w:r>
      <w:r w:rsidRPr="000605BC">
        <w:rPr>
          <w:rFonts w:cs="Times New Roman"/>
          <w:noProof/>
          <w:color w:val="000000"/>
          <w:szCs w:val="18"/>
          <w:lang w:eastAsia="en-CA"/>
        </w:rPr>
        <w:t>at 108-09.</w:t>
      </w:r>
    </w:p>
  </w:footnote>
  <w:footnote w:id="143">
    <w:p w14:paraId="1A85F2EF" w14:textId="7741989B" w:rsidR="00EE506E" w:rsidRPr="000605BC" w:rsidRDefault="00EE506E" w:rsidP="008004ED">
      <w:pPr>
        <w:pStyle w:val="FootnoteText"/>
        <w:rPr>
          <w:szCs w:val="18"/>
        </w:rPr>
      </w:pPr>
      <w:r w:rsidRPr="000605BC">
        <w:rPr>
          <w:rStyle w:val="FootnoteReference"/>
          <w:szCs w:val="18"/>
        </w:rPr>
        <w:footnoteRef/>
      </w:r>
      <w:r w:rsidRPr="000605BC">
        <w:rPr>
          <w:szCs w:val="18"/>
        </w:rPr>
        <w:t xml:space="preserve"> </w:t>
      </w:r>
      <w:r w:rsidRPr="000605BC">
        <w:rPr>
          <w:rFonts w:cs="Times New Roman"/>
          <w:i/>
          <w:noProof/>
          <w:color w:val="000000"/>
          <w:szCs w:val="18"/>
          <w:lang w:eastAsia="en-CA"/>
        </w:rPr>
        <w:t xml:space="preserve">Ibid </w:t>
      </w:r>
      <w:r w:rsidRPr="000605BC">
        <w:rPr>
          <w:rFonts w:cs="Times New Roman"/>
          <w:noProof/>
          <w:color w:val="000000"/>
          <w:szCs w:val="18"/>
          <w:lang w:eastAsia="en-CA"/>
        </w:rPr>
        <w:t>at 110.</w:t>
      </w:r>
    </w:p>
  </w:footnote>
  <w:footnote w:id="144">
    <w:p w14:paraId="6FE041F6" w14:textId="4FF9C21D" w:rsidR="00EE506E" w:rsidRPr="000605BC" w:rsidRDefault="00EE506E" w:rsidP="008004ED">
      <w:pPr>
        <w:pStyle w:val="FootnoteText"/>
        <w:rPr>
          <w:szCs w:val="18"/>
        </w:rPr>
      </w:pPr>
      <w:r w:rsidRPr="000605BC">
        <w:rPr>
          <w:rStyle w:val="FootnoteReference"/>
          <w:szCs w:val="18"/>
        </w:rPr>
        <w:footnoteRef/>
      </w:r>
      <w:r w:rsidRPr="000605BC">
        <w:rPr>
          <w:szCs w:val="18"/>
        </w:rPr>
        <w:t xml:space="preserve"> </w:t>
      </w:r>
      <w:r w:rsidRPr="000605BC">
        <w:rPr>
          <w:rFonts w:cs="Times New Roman"/>
          <w:i/>
          <w:noProof/>
          <w:color w:val="000000"/>
          <w:szCs w:val="18"/>
          <w:lang w:eastAsia="en-CA"/>
        </w:rPr>
        <w:t xml:space="preserve">Ibid </w:t>
      </w:r>
      <w:r w:rsidRPr="000605BC">
        <w:rPr>
          <w:rFonts w:cs="Times New Roman"/>
          <w:noProof/>
          <w:color w:val="000000"/>
          <w:szCs w:val="18"/>
          <w:lang w:eastAsia="en-CA"/>
        </w:rPr>
        <w:t>at 110.</w:t>
      </w:r>
    </w:p>
  </w:footnote>
  <w:footnote w:id="145">
    <w:p w14:paraId="38C8E20C" w14:textId="76685E0B" w:rsidR="00EE506E" w:rsidRPr="000605BC" w:rsidRDefault="00EE506E" w:rsidP="008004ED">
      <w:pPr>
        <w:pStyle w:val="FootnoteText"/>
      </w:pPr>
      <w:r w:rsidRPr="000605BC">
        <w:rPr>
          <w:rStyle w:val="FootnoteReference"/>
          <w:szCs w:val="18"/>
        </w:rPr>
        <w:footnoteRef/>
      </w:r>
      <w:r w:rsidRPr="000605BC">
        <w:rPr>
          <w:szCs w:val="18"/>
        </w:rPr>
        <w:t xml:space="preserve"> </w:t>
      </w:r>
      <w:r w:rsidRPr="000605BC">
        <w:rPr>
          <w:rFonts w:cs="Times New Roman"/>
          <w:i/>
          <w:noProof/>
          <w:color w:val="000000"/>
          <w:szCs w:val="18"/>
          <w:lang w:eastAsia="en-CA"/>
        </w:rPr>
        <w:t xml:space="preserve">Ibid </w:t>
      </w:r>
      <w:r w:rsidRPr="000605BC">
        <w:rPr>
          <w:rFonts w:cs="Times New Roman"/>
          <w:noProof/>
          <w:color w:val="000000"/>
          <w:szCs w:val="18"/>
          <w:lang w:eastAsia="en-CA"/>
        </w:rPr>
        <w:t>at 31, 37, 77, 87, 101.</w:t>
      </w:r>
    </w:p>
  </w:footnote>
  <w:footnote w:id="146">
    <w:p w14:paraId="7972A731" w14:textId="21746C87" w:rsidR="00EE506E" w:rsidRPr="000605BC" w:rsidRDefault="00EE506E" w:rsidP="008004ED">
      <w:pPr>
        <w:pStyle w:val="FootnoteText"/>
      </w:pPr>
      <w:r w:rsidRPr="000605BC">
        <w:rPr>
          <w:rStyle w:val="FootnoteReference"/>
        </w:rPr>
        <w:footnoteRef/>
      </w:r>
      <w:r w:rsidRPr="000605BC">
        <w:t xml:space="preserve"> For example, Louis de </w:t>
      </w:r>
      <w:proofErr w:type="spellStart"/>
      <w:r w:rsidRPr="000605BC">
        <w:t>Koker</w:t>
      </w:r>
      <w:proofErr w:type="spellEnd"/>
      <w:r w:rsidRPr="000605BC">
        <w:t xml:space="preserve"> calls for an evaluation of FATF itself due to its power and lack of transparency in decision-making: Louis de </w:t>
      </w:r>
      <w:proofErr w:type="spellStart"/>
      <w:r w:rsidRPr="000605BC">
        <w:t>Koker</w:t>
      </w:r>
      <w:proofErr w:type="spellEnd"/>
      <w:r w:rsidRPr="000605BC">
        <w:t xml:space="preserve">, “Applying Anti-Money Laundering Laws to Fight Corruption” in </w:t>
      </w:r>
      <w:proofErr w:type="spellStart"/>
      <w:r w:rsidRPr="000605BC">
        <w:t>Graycar</w:t>
      </w:r>
      <w:proofErr w:type="spellEnd"/>
      <w:r w:rsidRPr="000605BC">
        <w:t xml:space="preserve"> &amp; Smith, </w:t>
      </w:r>
      <w:proofErr w:type="spellStart"/>
      <w:r w:rsidRPr="000605BC">
        <w:t>eds</w:t>
      </w:r>
      <w:proofErr w:type="spellEnd"/>
      <w:r w:rsidRPr="000605BC">
        <w:t>, (2011) 340 at 356.</w:t>
      </w:r>
    </w:p>
  </w:footnote>
  <w:footnote w:id="147">
    <w:p w14:paraId="30D40F2B" w14:textId="78E67693" w:rsidR="00EE506E" w:rsidRPr="000605BC" w:rsidRDefault="00EE506E" w:rsidP="008004ED">
      <w:pPr>
        <w:pStyle w:val="FootnoteText"/>
        <w:rPr>
          <w:lang w:val="en-US"/>
        </w:rPr>
      </w:pPr>
      <w:r w:rsidRPr="000605BC">
        <w:rPr>
          <w:rStyle w:val="FootnoteReference"/>
        </w:rPr>
        <w:footnoteRef/>
      </w:r>
      <w:r w:rsidRPr="000605BC">
        <w:t xml:space="preserve"> </w:t>
      </w:r>
      <w:r w:rsidRPr="000605BC">
        <w:rPr>
          <w:rFonts w:cs="Times New Roman"/>
          <w:lang w:val="en-US"/>
        </w:rPr>
        <w:t xml:space="preserve">Standing Senate Committee on Banking Trade and Commerce, “Follow the Money: Is Canada Making Progress in Combatting Money Laundering and Terrorist Financing? Not </w:t>
      </w:r>
      <w:proofErr w:type="gramStart"/>
      <w:r w:rsidRPr="000605BC">
        <w:rPr>
          <w:rFonts w:cs="Times New Roman"/>
          <w:lang w:val="en-US"/>
        </w:rPr>
        <w:t>Really</w:t>
      </w:r>
      <w:proofErr w:type="gramEnd"/>
      <w:r w:rsidRPr="000605BC">
        <w:rPr>
          <w:rFonts w:cs="Times New Roman"/>
          <w:lang w:val="en-US"/>
        </w:rPr>
        <w:t>” (Ottawa: Senate Reports, March 2013), online: &lt;</w:t>
      </w:r>
      <w:hyperlink r:id="rId52" w:history="1">
        <w:r w:rsidRPr="000605BC">
          <w:rPr>
            <w:rStyle w:val="Hyperlink"/>
            <w:rFonts w:cs="Times New Roman"/>
            <w:lang w:val="en-US"/>
          </w:rPr>
          <w:t>http://www.parl.gc.ca/Content/SEN/Committee/411/BANC/rep/rep10mar13-e.pdf</w:t>
        </w:r>
      </w:hyperlink>
      <w:r w:rsidRPr="000605BC">
        <w:rPr>
          <w:rFonts w:cs="Times New Roman"/>
          <w:lang w:val="en-US"/>
        </w:rPr>
        <w:t>&gt;.</w:t>
      </w:r>
    </w:p>
  </w:footnote>
  <w:footnote w:id="148">
    <w:p w14:paraId="730B4482" w14:textId="33DFB7D3" w:rsidR="00EE506E" w:rsidRPr="000605BC" w:rsidRDefault="00EE506E" w:rsidP="008004ED">
      <w:pPr>
        <w:pStyle w:val="FootnoteText"/>
      </w:pPr>
      <w:r w:rsidRPr="000605BC">
        <w:rPr>
          <w:rStyle w:val="FootnoteReference"/>
        </w:rPr>
        <w:footnoteRef/>
      </w:r>
      <w:r w:rsidRPr="000605BC">
        <w:t xml:space="preserve"> “HSBC's $1.9B Money Laundering Settlement Approved by Judge”, </w:t>
      </w:r>
      <w:r w:rsidRPr="000605BC">
        <w:rPr>
          <w:i/>
        </w:rPr>
        <w:t>CBC News</w:t>
      </w:r>
      <w:r w:rsidRPr="000605BC">
        <w:t xml:space="preserve"> (3 July 2013), online: &lt;</w:t>
      </w:r>
      <w:hyperlink r:id="rId53" w:history="1">
        <w:r w:rsidRPr="000605BC">
          <w:rPr>
            <w:rStyle w:val="Hyperlink"/>
          </w:rPr>
          <w:t>http://www.cbc.ca/news/business/hsbc-s-1-9b-money-laundering-settlement-approved-by-judge-1.1377272</w:t>
        </w:r>
      </w:hyperlink>
      <w:r w:rsidRPr="000605BC">
        <w:t>&gt;.</w:t>
      </w:r>
    </w:p>
  </w:footnote>
  <w:footnote w:id="149">
    <w:p w14:paraId="21590697" w14:textId="77777777" w:rsidR="00EE506E" w:rsidRPr="000605BC" w:rsidRDefault="00EE506E" w:rsidP="008004ED">
      <w:pPr>
        <w:pStyle w:val="FootnoteText"/>
      </w:pPr>
      <w:r w:rsidRPr="000605BC">
        <w:rPr>
          <w:rStyle w:val="FootnoteReference"/>
        </w:rPr>
        <w:footnoteRef/>
      </w:r>
      <w:r w:rsidRPr="000605BC">
        <w:t xml:space="preserve"> The UK has embarked on a review of the country’s AML regime with the goal of making the system more efficient and less costly for businesses. See: Department of Business, Innovation and Skills, Press Release, “Financial Red Tape Targeted in New Review” (28 August 2015), online: &lt;</w:t>
      </w:r>
      <w:hyperlink r:id="rId54" w:history="1">
        <w:r w:rsidRPr="000605BC">
          <w:rPr>
            <w:rStyle w:val="Hyperlink"/>
          </w:rPr>
          <w:t>https://www.gov.uk/government/news/financial-red-tape-targeted-in-new-review</w:t>
        </w:r>
      </w:hyperlink>
      <w:r w:rsidRPr="000605BC">
        <w:t>&gt;.</w:t>
      </w:r>
    </w:p>
  </w:footnote>
  <w:footnote w:id="150">
    <w:p w14:paraId="03F860EC" w14:textId="5D0B1B05" w:rsidR="00EE506E" w:rsidRPr="000605BC" w:rsidRDefault="00EE506E" w:rsidP="008004ED">
      <w:pPr>
        <w:pStyle w:val="FootnoteText"/>
      </w:pPr>
      <w:r w:rsidRPr="000605BC">
        <w:rPr>
          <w:rStyle w:val="FootnoteReference"/>
        </w:rPr>
        <w:footnoteRef/>
      </w:r>
      <w:r w:rsidRPr="000605BC">
        <w:t xml:space="preserve"> </w:t>
      </w:r>
      <w:proofErr w:type="gramStart"/>
      <w:r w:rsidRPr="000605BC">
        <w:t>de</w:t>
      </w:r>
      <w:proofErr w:type="gramEnd"/>
      <w:r w:rsidRPr="000605BC">
        <w:t xml:space="preserve"> </w:t>
      </w:r>
      <w:proofErr w:type="spellStart"/>
      <w:r w:rsidRPr="000605BC">
        <w:t>Koker</w:t>
      </w:r>
      <w:proofErr w:type="spellEnd"/>
      <w:r w:rsidRPr="000605BC">
        <w:t xml:space="preserve"> (2011) 340 at 354.</w:t>
      </w:r>
    </w:p>
  </w:footnote>
  <w:footnote w:id="151">
    <w:p w14:paraId="2A1A2F9F" w14:textId="6E8EBCEA" w:rsidR="00EE506E" w:rsidRPr="000605BC" w:rsidRDefault="00EE506E" w:rsidP="008004ED">
      <w:pPr>
        <w:pStyle w:val="FootnoteText"/>
      </w:pPr>
      <w:r w:rsidRPr="000605BC">
        <w:rPr>
          <w:rStyle w:val="FootnoteReference"/>
        </w:rPr>
        <w:footnoteRef/>
      </w:r>
      <w:r w:rsidRPr="000605BC">
        <w:t xml:space="preserve"> Charles </w:t>
      </w:r>
      <w:proofErr w:type="spellStart"/>
      <w:r w:rsidRPr="000605BC">
        <w:t>Monteith</w:t>
      </w:r>
      <w:proofErr w:type="spellEnd"/>
      <w:r w:rsidRPr="000605BC">
        <w:t xml:space="preserve">, “Case and Investigation Strategy” in </w:t>
      </w:r>
      <w:proofErr w:type="spellStart"/>
      <w:r w:rsidRPr="000605BC">
        <w:t>Gretta</w:t>
      </w:r>
      <w:proofErr w:type="spellEnd"/>
      <w:r w:rsidRPr="000605BC">
        <w:t xml:space="preserve"> </w:t>
      </w:r>
      <w:proofErr w:type="spellStart"/>
      <w:r w:rsidRPr="000605BC">
        <w:t>Fenner</w:t>
      </w:r>
      <w:proofErr w:type="spellEnd"/>
      <w:r w:rsidRPr="000605BC">
        <w:t xml:space="preserve"> </w:t>
      </w:r>
      <w:proofErr w:type="spellStart"/>
      <w:r w:rsidRPr="000605BC">
        <w:t>Zinkernagel</w:t>
      </w:r>
      <w:proofErr w:type="spellEnd"/>
      <w:r w:rsidRPr="000605BC">
        <w:t xml:space="preserve">, Charles </w:t>
      </w:r>
      <w:proofErr w:type="spellStart"/>
      <w:r w:rsidRPr="000605BC">
        <w:t>Monteith</w:t>
      </w:r>
      <w:proofErr w:type="spellEnd"/>
      <w:r w:rsidRPr="000605BC">
        <w:t xml:space="preserve"> &amp; Pedro Gomes Pereira, </w:t>
      </w:r>
      <w:proofErr w:type="spellStart"/>
      <w:r w:rsidRPr="000605BC">
        <w:t>eds</w:t>
      </w:r>
      <w:proofErr w:type="spellEnd"/>
      <w:r w:rsidRPr="000605BC">
        <w:t xml:space="preserve">, </w:t>
      </w:r>
      <w:r w:rsidRPr="000605BC">
        <w:rPr>
          <w:i/>
        </w:rPr>
        <w:t>Emerging Trends in Asset Recovery</w:t>
      </w:r>
      <w:r w:rsidRPr="000605BC">
        <w:t xml:space="preserve"> (Peter Lang AG, International Academic Publishers, 2013) 183.</w:t>
      </w:r>
    </w:p>
  </w:footnote>
  <w:footnote w:id="152">
    <w:p w14:paraId="0A07D4E1" w14:textId="77777777" w:rsidR="00EE506E" w:rsidRPr="000605BC" w:rsidRDefault="00EE506E" w:rsidP="008004ED">
      <w:pPr>
        <w:pStyle w:val="FootnoteText"/>
        <w:rPr>
          <w:sz w:val="20"/>
        </w:rPr>
      </w:pPr>
      <w:r w:rsidRPr="000605BC">
        <w:rPr>
          <w:rStyle w:val="FootnoteReference"/>
        </w:rPr>
        <w:footnoteRef/>
      </w:r>
      <w:r w:rsidRPr="000605BC">
        <w:t xml:space="preserve"> Margaret E </w:t>
      </w:r>
      <w:proofErr w:type="spellStart"/>
      <w:r w:rsidRPr="000605BC">
        <w:t>Beare</w:t>
      </w:r>
      <w:proofErr w:type="spellEnd"/>
      <w:r w:rsidRPr="000605BC">
        <w:t xml:space="preserve"> &amp; Stephen Schneider, </w:t>
      </w:r>
      <w:r w:rsidRPr="000605BC">
        <w:rPr>
          <w:i/>
        </w:rPr>
        <w:t>Money Laundering in Canada: Chasing Dirty and Dangerous Dollars</w:t>
      </w:r>
      <w:r w:rsidRPr="000605BC">
        <w:t xml:space="preserve"> (University of Toronto Press, 2007) at 214–216.</w:t>
      </w:r>
    </w:p>
  </w:footnote>
  <w:footnote w:id="153">
    <w:p w14:paraId="34CE1C0E" w14:textId="52FAC1AA" w:rsidR="00EE506E" w:rsidRPr="000605BC" w:rsidRDefault="00EE506E" w:rsidP="008004ED">
      <w:pPr>
        <w:pStyle w:val="FootnoteText"/>
      </w:pPr>
      <w:r w:rsidRPr="000605BC">
        <w:rPr>
          <w:rStyle w:val="FootnoteReference"/>
        </w:rPr>
        <w:footnoteRef/>
      </w:r>
      <w:r w:rsidRPr="000605BC">
        <w:t xml:space="preserve"> Richard K Gordon, “Losing the War against Dirty Money: Rethinking Global Standards on Preventing Money Laundering and Terrorism Financing” (Spring 2011) 21:3 Duke J Comp &amp; Intl L</w:t>
      </w:r>
      <w:r w:rsidRPr="000605BC">
        <w:rPr>
          <w:i/>
        </w:rPr>
        <w:t xml:space="preserve"> </w:t>
      </w:r>
      <w:r w:rsidRPr="000605BC">
        <w:t>503.</w:t>
      </w:r>
    </w:p>
  </w:footnote>
  <w:footnote w:id="154">
    <w:p w14:paraId="4231C4E9" w14:textId="213A9A41" w:rsidR="00EE506E" w:rsidRPr="000605BC" w:rsidRDefault="00EE506E" w:rsidP="008004ED">
      <w:pPr>
        <w:pStyle w:val="FootnoteText"/>
      </w:pPr>
      <w:r w:rsidRPr="000605BC">
        <w:rPr>
          <w:rStyle w:val="FootnoteReference"/>
        </w:rPr>
        <w:footnoteRef/>
      </w:r>
      <w:r w:rsidRPr="000605BC">
        <w:t xml:space="preserve"> </w:t>
      </w:r>
      <w:r w:rsidRPr="000605BC">
        <w:rPr>
          <w:rFonts w:cs="Times New Roman"/>
          <w:szCs w:val="18"/>
        </w:rPr>
        <w:t xml:space="preserve">Clare Fletcher and Daniela Herrmann, </w:t>
      </w:r>
      <w:proofErr w:type="gramStart"/>
      <w:r w:rsidRPr="000605BC">
        <w:rPr>
          <w:rFonts w:cs="Times New Roman"/>
          <w:i/>
          <w:szCs w:val="18"/>
        </w:rPr>
        <w:t>The</w:t>
      </w:r>
      <w:proofErr w:type="gramEnd"/>
      <w:r w:rsidRPr="000605BC">
        <w:rPr>
          <w:rFonts w:cs="Times New Roman"/>
          <w:i/>
          <w:szCs w:val="18"/>
        </w:rPr>
        <w:t xml:space="preserve"> Internationalisation of Corruption </w:t>
      </w:r>
      <w:r w:rsidRPr="000605BC">
        <w:rPr>
          <w:rFonts w:cs="Times New Roman"/>
          <w:szCs w:val="18"/>
        </w:rPr>
        <w:t>(, 2012) at 177-179.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1C35B" w14:textId="4354204E" w:rsidR="00EE506E" w:rsidRPr="00B145B6" w:rsidRDefault="00EE506E" w:rsidP="00AF28D0">
    <w:pPr>
      <w:tabs>
        <w:tab w:val="center" w:pos="4680"/>
        <w:tab w:val="right" w:pos="9360"/>
      </w:tabs>
      <w:spacing w:before="0" w:after="0"/>
      <w:ind w:left="-283"/>
      <w:jc w:val="left"/>
      <w:rPr>
        <w:rFonts w:eastAsia="Calibri" w:cs="Times New Roman"/>
        <w:smallCaps/>
      </w:rPr>
    </w:pPr>
    <w:r w:rsidRPr="00B145B6">
      <w:rPr>
        <w:rFonts w:eastAsia="Calibri" w:cs="Times New Roman"/>
        <w:smallCaps/>
      </w:rPr>
      <w:t>Global Corruption: Law, Theory &amp; Practice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8D3FC" w14:textId="349BDB16" w:rsidR="00EE506E" w:rsidRDefault="00EE506E" w:rsidP="00AF28D0">
    <w:pPr>
      <w:pStyle w:val="Header"/>
      <w:spacing w:before="0" w:after="0"/>
      <w:ind w:right="-283"/>
      <w:jc w:val="right"/>
    </w:pPr>
    <w:r>
      <w:rPr>
        <w:smallCaps/>
      </w:rPr>
      <w:t xml:space="preserve">Chapter 4 </w:t>
    </w:r>
    <w:r>
      <w:rPr>
        <w:smallCaps/>
      </w:rPr>
      <w:sym w:font="Webdings" w:char="F07C"/>
    </w:r>
    <w:r>
      <w:rPr>
        <w:smallCaps/>
      </w:rPr>
      <w:t xml:space="preserve"> Money Laundering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281FEB" w14:textId="2CDB3204" w:rsidR="00EE506E" w:rsidRDefault="00EE506E" w:rsidP="003F24FB">
    <w:pPr>
      <w:pStyle w:val="Header"/>
      <w:spacing w:before="0" w:after="0"/>
      <w:jc w:val="right"/>
    </w:pPr>
  </w:p>
  <w:p w14:paraId="645D6957" w14:textId="77777777" w:rsidR="00EE506E" w:rsidRDefault="00EE50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37775"/>
    <w:multiLevelType w:val="multilevel"/>
    <w:tmpl w:val="220C79C4"/>
    <w:lvl w:ilvl="0">
      <w:start w:val="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CCB6940"/>
    <w:multiLevelType w:val="hybridMultilevel"/>
    <w:tmpl w:val="2D00E940"/>
    <w:lvl w:ilvl="0" w:tplc="A5C860AA">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15:restartNumberingAfterBreak="0">
    <w:nsid w:val="0DC6098E"/>
    <w:multiLevelType w:val="hybridMultilevel"/>
    <w:tmpl w:val="7076E79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15:restartNumberingAfterBreak="0">
    <w:nsid w:val="0F8A475F"/>
    <w:multiLevelType w:val="hybridMultilevel"/>
    <w:tmpl w:val="61EC1380"/>
    <w:lvl w:ilvl="0" w:tplc="1009000F">
      <w:start w:val="1"/>
      <w:numFmt w:val="decimal"/>
      <w:lvlText w:val="%1."/>
      <w:lvlJc w:val="left"/>
      <w:pPr>
        <w:ind w:left="1440" w:hanging="360"/>
      </w:pPr>
      <w:rPr>
        <w:rFonts w:hint="default"/>
      </w:rPr>
    </w:lvl>
    <w:lvl w:ilvl="1" w:tplc="A5C860AA">
      <w:start w:val="1"/>
      <w:numFmt w:val="lowerLetter"/>
      <w:lvlText w:val="(%2)"/>
      <w:lvlJc w:val="left"/>
      <w:pPr>
        <w:ind w:left="2160" w:hanging="360"/>
      </w:pPr>
      <w:rPr>
        <w:rFonts w:hint="default"/>
      </w:r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4" w15:restartNumberingAfterBreak="0">
    <w:nsid w:val="119A0763"/>
    <w:multiLevelType w:val="hybridMultilevel"/>
    <w:tmpl w:val="2702D05A"/>
    <w:lvl w:ilvl="0" w:tplc="A5C860AA">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152D1360"/>
    <w:multiLevelType w:val="hybridMultilevel"/>
    <w:tmpl w:val="1FBA657A"/>
    <w:lvl w:ilvl="0" w:tplc="1009000F">
      <w:start w:val="1"/>
      <w:numFmt w:val="decimal"/>
      <w:lvlText w:val="%1."/>
      <w:lvlJc w:val="left"/>
      <w:pPr>
        <w:ind w:left="1080" w:hanging="360"/>
      </w:pPr>
    </w:lvl>
    <w:lvl w:ilvl="1" w:tplc="10090019">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15:restartNumberingAfterBreak="0">
    <w:nsid w:val="188F66B7"/>
    <w:multiLevelType w:val="hybridMultilevel"/>
    <w:tmpl w:val="838AE5B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8C1529A"/>
    <w:multiLevelType w:val="hybridMultilevel"/>
    <w:tmpl w:val="6DC0F6BE"/>
    <w:lvl w:ilvl="0" w:tplc="A5C860AA">
      <w:start w:val="1"/>
      <w:numFmt w:val="low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8" w15:restartNumberingAfterBreak="0">
    <w:nsid w:val="1999324B"/>
    <w:multiLevelType w:val="hybridMultilevel"/>
    <w:tmpl w:val="238CFB50"/>
    <w:lvl w:ilvl="0" w:tplc="A5C860AA">
      <w:start w:val="1"/>
      <w:numFmt w:val="low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9" w15:restartNumberingAfterBreak="0">
    <w:nsid w:val="19C434F8"/>
    <w:multiLevelType w:val="hybridMultilevel"/>
    <w:tmpl w:val="7598A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FF2118"/>
    <w:multiLevelType w:val="hybridMultilevel"/>
    <w:tmpl w:val="4C70BA9E"/>
    <w:lvl w:ilvl="0" w:tplc="D6921FE2">
      <w:start w:val="1"/>
      <w:numFmt w:val="decimal"/>
      <w:lvlText w:val="%1)"/>
      <w:lvlJc w:val="left"/>
      <w:pPr>
        <w:ind w:left="144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20DB3869"/>
    <w:multiLevelType w:val="hybridMultilevel"/>
    <w:tmpl w:val="C6F0923C"/>
    <w:lvl w:ilvl="0" w:tplc="A5C860AA">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22025AEE"/>
    <w:multiLevelType w:val="hybridMultilevel"/>
    <w:tmpl w:val="0CFA14BE"/>
    <w:lvl w:ilvl="0" w:tplc="66CE7412">
      <w:start w:val="5"/>
      <w:numFmt w:val="decimal"/>
      <w:lvlText w:val="%1."/>
      <w:lvlJc w:val="left"/>
      <w:pPr>
        <w:ind w:left="144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25670752"/>
    <w:multiLevelType w:val="hybridMultilevel"/>
    <w:tmpl w:val="87F0A1CE"/>
    <w:lvl w:ilvl="0" w:tplc="D28AACB0">
      <w:start w:val="1"/>
      <w:numFmt w:val="low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4" w15:restartNumberingAfterBreak="0">
    <w:nsid w:val="297B0654"/>
    <w:multiLevelType w:val="hybridMultilevel"/>
    <w:tmpl w:val="ECA65200"/>
    <w:lvl w:ilvl="0" w:tplc="AFDC41A6">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5" w15:restartNumberingAfterBreak="0">
    <w:nsid w:val="29C36161"/>
    <w:multiLevelType w:val="hybridMultilevel"/>
    <w:tmpl w:val="515EE052"/>
    <w:lvl w:ilvl="0" w:tplc="99E6A8E8">
      <w:start w:val="1"/>
      <w:numFmt w:val="lowerRoman"/>
      <w:lvlText w:val="(a)   (%1)"/>
      <w:lvlJc w:val="left"/>
      <w:pPr>
        <w:ind w:left="5760" w:hanging="360"/>
      </w:pPr>
      <w:rPr>
        <w:rFonts w:hint="default"/>
      </w:rPr>
    </w:lvl>
    <w:lvl w:ilvl="1" w:tplc="10090019" w:tentative="1">
      <w:start w:val="1"/>
      <w:numFmt w:val="lowerLetter"/>
      <w:lvlText w:val="%2."/>
      <w:lvlJc w:val="left"/>
      <w:pPr>
        <w:ind w:left="6480" w:hanging="360"/>
      </w:pPr>
    </w:lvl>
    <w:lvl w:ilvl="2" w:tplc="1009001B" w:tentative="1">
      <w:start w:val="1"/>
      <w:numFmt w:val="lowerRoman"/>
      <w:lvlText w:val="%3."/>
      <w:lvlJc w:val="right"/>
      <w:pPr>
        <w:ind w:left="7200" w:hanging="180"/>
      </w:pPr>
    </w:lvl>
    <w:lvl w:ilvl="3" w:tplc="1009000F" w:tentative="1">
      <w:start w:val="1"/>
      <w:numFmt w:val="decimal"/>
      <w:lvlText w:val="%4."/>
      <w:lvlJc w:val="left"/>
      <w:pPr>
        <w:ind w:left="7920" w:hanging="360"/>
      </w:pPr>
    </w:lvl>
    <w:lvl w:ilvl="4" w:tplc="10090019" w:tentative="1">
      <w:start w:val="1"/>
      <w:numFmt w:val="lowerLetter"/>
      <w:lvlText w:val="%5."/>
      <w:lvlJc w:val="left"/>
      <w:pPr>
        <w:ind w:left="8640" w:hanging="360"/>
      </w:pPr>
    </w:lvl>
    <w:lvl w:ilvl="5" w:tplc="1009001B" w:tentative="1">
      <w:start w:val="1"/>
      <w:numFmt w:val="lowerRoman"/>
      <w:lvlText w:val="%6."/>
      <w:lvlJc w:val="right"/>
      <w:pPr>
        <w:ind w:left="9360" w:hanging="180"/>
      </w:pPr>
    </w:lvl>
    <w:lvl w:ilvl="6" w:tplc="1009000F" w:tentative="1">
      <w:start w:val="1"/>
      <w:numFmt w:val="decimal"/>
      <w:lvlText w:val="%7."/>
      <w:lvlJc w:val="left"/>
      <w:pPr>
        <w:ind w:left="10080" w:hanging="360"/>
      </w:pPr>
    </w:lvl>
    <w:lvl w:ilvl="7" w:tplc="10090019" w:tentative="1">
      <w:start w:val="1"/>
      <w:numFmt w:val="lowerLetter"/>
      <w:lvlText w:val="%8."/>
      <w:lvlJc w:val="left"/>
      <w:pPr>
        <w:ind w:left="10800" w:hanging="360"/>
      </w:pPr>
    </w:lvl>
    <w:lvl w:ilvl="8" w:tplc="1009001B" w:tentative="1">
      <w:start w:val="1"/>
      <w:numFmt w:val="lowerRoman"/>
      <w:lvlText w:val="%9."/>
      <w:lvlJc w:val="right"/>
      <w:pPr>
        <w:ind w:left="11520" w:hanging="180"/>
      </w:pPr>
    </w:lvl>
  </w:abstractNum>
  <w:abstractNum w:abstractNumId="16" w15:restartNumberingAfterBreak="0">
    <w:nsid w:val="32633016"/>
    <w:multiLevelType w:val="multilevel"/>
    <w:tmpl w:val="38AA3D28"/>
    <w:lvl w:ilvl="0">
      <w:start w:val="1"/>
      <w:numFmt w:val="decimal"/>
      <w:pStyle w:val="Heading1"/>
      <w:lvlText w:val="%1."/>
      <w:lvlJc w:val="left"/>
      <w:pPr>
        <w:ind w:left="567" w:hanging="567"/>
      </w:pPr>
      <w:rPr>
        <w:rFonts w:hint="default"/>
        <w:sz w:val="28"/>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720" w:hanging="720"/>
      </w:pPr>
      <w:rPr>
        <w:rFonts w:hint="default"/>
        <w:sz w:val="22"/>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61E5E58"/>
    <w:multiLevelType w:val="hybridMultilevel"/>
    <w:tmpl w:val="5F56FB2C"/>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8" w15:restartNumberingAfterBreak="0">
    <w:nsid w:val="37AC6EAC"/>
    <w:multiLevelType w:val="hybridMultilevel"/>
    <w:tmpl w:val="F99439F2"/>
    <w:lvl w:ilvl="0" w:tplc="D6921FE2">
      <w:start w:val="1"/>
      <w:numFmt w:val="decimal"/>
      <w:lvlText w:val="%1)"/>
      <w:lvlJc w:val="left"/>
      <w:pPr>
        <w:ind w:left="144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383B60CD"/>
    <w:multiLevelType w:val="hybridMultilevel"/>
    <w:tmpl w:val="CA7448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38EC7A68"/>
    <w:multiLevelType w:val="hybridMultilevel"/>
    <w:tmpl w:val="8E3E419C"/>
    <w:lvl w:ilvl="0" w:tplc="A5C860AA">
      <w:start w:val="1"/>
      <w:numFmt w:val="low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3C9C672F"/>
    <w:multiLevelType w:val="hybridMultilevel"/>
    <w:tmpl w:val="A4FA7A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42F161AA"/>
    <w:multiLevelType w:val="hybridMultilevel"/>
    <w:tmpl w:val="F870A98E"/>
    <w:lvl w:ilvl="0" w:tplc="E9168840">
      <w:start w:val="1"/>
      <w:numFmt w:val="lowerRoman"/>
      <w:lvlText w:val="(%1)"/>
      <w:lvlJc w:val="left"/>
      <w:pPr>
        <w:ind w:left="2160" w:hanging="360"/>
      </w:pPr>
      <w:rPr>
        <w:rFonts w:hint="default"/>
      </w:r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23" w15:restartNumberingAfterBreak="0">
    <w:nsid w:val="494F1F42"/>
    <w:multiLevelType w:val="hybridMultilevel"/>
    <w:tmpl w:val="C51A259C"/>
    <w:lvl w:ilvl="0" w:tplc="A5C860AA">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4EA66957"/>
    <w:multiLevelType w:val="hybridMultilevel"/>
    <w:tmpl w:val="04381546"/>
    <w:lvl w:ilvl="0" w:tplc="28D6E440">
      <w:start w:val="1"/>
      <w:numFmt w:val="lowerRoman"/>
      <w:lvlText w:val="(%1)"/>
      <w:lvlJc w:val="left"/>
      <w:pPr>
        <w:ind w:left="873" w:hanging="513"/>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56873EC7"/>
    <w:multiLevelType w:val="hybridMultilevel"/>
    <w:tmpl w:val="1198396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6" w15:restartNumberingAfterBreak="0">
    <w:nsid w:val="594A34EA"/>
    <w:multiLevelType w:val="hybridMultilevel"/>
    <w:tmpl w:val="7B6C43B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5D915E02"/>
    <w:multiLevelType w:val="hybridMultilevel"/>
    <w:tmpl w:val="9F98180A"/>
    <w:lvl w:ilvl="0" w:tplc="A5C860AA">
      <w:start w:val="1"/>
      <w:numFmt w:val="low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60097E1C"/>
    <w:multiLevelType w:val="hybridMultilevel"/>
    <w:tmpl w:val="9D347644"/>
    <w:lvl w:ilvl="0" w:tplc="D4B0F334">
      <w:start w:val="2"/>
      <w:numFmt w:val="lowerRoman"/>
      <w:lvlText w:val="(%1)"/>
      <w:lvlJc w:val="left"/>
      <w:pPr>
        <w:ind w:left="2520" w:hanging="720"/>
      </w:pPr>
      <w:rPr>
        <w:rFonts w:hint="default"/>
      </w:r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29" w15:restartNumberingAfterBreak="0">
    <w:nsid w:val="62227AE7"/>
    <w:multiLevelType w:val="hybridMultilevel"/>
    <w:tmpl w:val="81749F7E"/>
    <w:lvl w:ilvl="0" w:tplc="A5C860AA">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30" w15:restartNumberingAfterBreak="0">
    <w:nsid w:val="63446DDC"/>
    <w:multiLevelType w:val="hybridMultilevel"/>
    <w:tmpl w:val="CA800ACE"/>
    <w:lvl w:ilvl="0" w:tplc="10090011">
      <w:start w:val="1"/>
      <w:numFmt w:val="decimal"/>
      <w:lvlText w:val="%1)"/>
      <w:lvlJc w:val="left"/>
      <w:pPr>
        <w:ind w:left="1440" w:hanging="360"/>
      </w:pPr>
    </w:lvl>
    <w:lvl w:ilvl="1" w:tplc="E814D8E6">
      <w:start w:val="1"/>
      <w:numFmt w:val="decimal"/>
      <w:lvlText w:val="%2."/>
      <w:lvlJc w:val="left"/>
      <w:pPr>
        <w:ind w:left="2160" w:hanging="360"/>
      </w:pPr>
      <w:rPr>
        <w:rFonts w:hint="default"/>
      </w:r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31" w15:restartNumberingAfterBreak="0">
    <w:nsid w:val="640723D5"/>
    <w:multiLevelType w:val="hybridMultilevel"/>
    <w:tmpl w:val="A00C9940"/>
    <w:lvl w:ilvl="0" w:tplc="A5C860AA">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32" w15:restartNumberingAfterBreak="0">
    <w:nsid w:val="6597101E"/>
    <w:multiLevelType w:val="hybridMultilevel"/>
    <w:tmpl w:val="442A4F2C"/>
    <w:lvl w:ilvl="0" w:tplc="BD260998">
      <w:start w:val="1"/>
      <w:numFmt w:val="lowerLetter"/>
      <w:lvlText w:val="(%1)"/>
      <w:lvlJc w:val="left"/>
      <w:pPr>
        <w:ind w:left="1080" w:hanging="360"/>
      </w:pPr>
      <w:rPr>
        <w:rFonts w:hint="default"/>
        <w:i w:val="0"/>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3" w15:restartNumberingAfterBreak="0">
    <w:nsid w:val="698318ED"/>
    <w:multiLevelType w:val="hybridMultilevel"/>
    <w:tmpl w:val="5C28F90A"/>
    <w:lvl w:ilvl="0" w:tplc="0409000F">
      <w:start w:val="1"/>
      <w:numFmt w:val="decimal"/>
      <w:lvlText w:val="%1."/>
      <w:lvlJc w:val="left"/>
      <w:pPr>
        <w:ind w:left="1648" w:hanging="360"/>
      </w:pPr>
      <w:rPr>
        <w:rFonts w:hint="default"/>
      </w:rPr>
    </w:lvl>
    <w:lvl w:ilvl="1" w:tplc="04090019" w:tentative="1">
      <w:start w:val="1"/>
      <w:numFmt w:val="lowerLetter"/>
      <w:lvlText w:val="%2."/>
      <w:lvlJc w:val="left"/>
      <w:pPr>
        <w:ind w:left="2368" w:hanging="360"/>
      </w:pPr>
    </w:lvl>
    <w:lvl w:ilvl="2" w:tplc="0409001B" w:tentative="1">
      <w:start w:val="1"/>
      <w:numFmt w:val="lowerRoman"/>
      <w:lvlText w:val="%3."/>
      <w:lvlJc w:val="right"/>
      <w:pPr>
        <w:ind w:left="3088" w:hanging="180"/>
      </w:pPr>
    </w:lvl>
    <w:lvl w:ilvl="3" w:tplc="0409000F" w:tentative="1">
      <w:start w:val="1"/>
      <w:numFmt w:val="decimal"/>
      <w:lvlText w:val="%4."/>
      <w:lvlJc w:val="left"/>
      <w:pPr>
        <w:ind w:left="3808" w:hanging="360"/>
      </w:pPr>
    </w:lvl>
    <w:lvl w:ilvl="4" w:tplc="04090019" w:tentative="1">
      <w:start w:val="1"/>
      <w:numFmt w:val="lowerLetter"/>
      <w:lvlText w:val="%5."/>
      <w:lvlJc w:val="left"/>
      <w:pPr>
        <w:ind w:left="4528" w:hanging="360"/>
      </w:pPr>
    </w:lvl>
    <w:lvl w:ilvl="5" w:tplc="0409001B" w:tentative="1">
      <w:start w:val="1"/>
      <w:numFmt w:val="lowerRoman"/>
      <w:lvlText w:val="%6."/>
      <w:lvlJc w:val="right"/>
      <w:pPr>
        <w:ind w:left="5248" w:hanging="180"/>
      </w:pPr>
    </w:lvl>
    <w:lvl w:ilvl="6" w:tplc="0409000F" w:tentative="1">
      <w:start w:val="1"/>
      <w:numFmt w:val="decimal"/>
      <w:lvlText w:val="%7."/>
      <w:lvlJc w:val="left"/>
      <w:pPr>
        <w:ind w:left="5968" w:hanging="360"/>
      </w:pPr>
    </w:lvl>
    <w:lvl w:ilvl="7" w:tplc="04090019" w:tentative="1">
      <w:start w:val="1"/>
      <w:numFmt w:val="lowerLetter"/>
      <w:lvlText w:val="%8."/>
      <w:lvlJc w:val="left"/>
      <w:pPr>
        <w:ind w:left="6688" w:hanging="360"/>
      </w:pPr>
    </w:lvl>
    <w:lvl w:ilvl="8" w:tplc="0409001B" w:tentative="1">
      <w:start w:val="1"/>
      <w:numFmt w:val="lowerRoman"/>
      <w:lvlText w:val="%9."/>
      <w:lvlJc w:val="right"/>
      <w:pPr>
        <w:ind w:left="7408" w:hanging="180"/>
      </w:pPr>
    </w:lvl>
  </w:abstractNum>
  <w:abstractNum w:abstractNumId="34" w15:restartNumberingAfterBreak="0">
    <w:nsid w:val="71644EEB"/>
    <w:multiLevelType w:val="hybridMultilevel"/>
    <w:tmpl w:val="CCD6DF50"/>
    <w:lvl w:ilvl="0" w:tplc="A5C860AA">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35" w15:restartNumberingAfterBreak="0">
    <w:nsid w:val="74426648"/>
    <w:multiLevelType w:val="hybridMultilevel"/>
    <w:tmpl w:val="475279E2"/>
    <w:lvl w:ilvl="0" w:tplc="1009000F">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6" w15:restartNumberingAfterBreak="0">
    <w:nsid w:val="75941253"/>
    <w:multiLevelType w:val="hybridMultilevel"/>
    <w:tmpl w:val="3C085E8E"/>
    <w:lvl w:ilvl="0" w:tplc="A5C860AA">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37" w15:restartNumberingAfterBreak="0">
    <w:nsid w:val="75CA1322"/>
    <w:multiLevelType w:val="hybridMultilevel"/>
    <w:tmpl w:val="64EE99A0"/>
    <w:lvl w:ilvl="0" w:tplc="1E0AB8EC">
      <w:start w:val="2"/>
      <w:numFmt w:val="lowerLetter"/>
      <w:lvlText w:val="(%1)"/>
      <w:lvlJc w:val="left"/>
      <w:pPr>
        <w:ind w:left="180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15:restartNumberingAfterBreak="0">
    <w:nsid w:val="772A514D"/>
    <w:multiLevelType w:val="hybridMultilevel"/>
    <w:tmpl w:val="97D2ED7E"/>
    <w:lvl w:ilvl="0" w:tplc="A5C860AA">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79935317"/>
    <w:multiLevelType w:val="hybridMultilevel"/>
    <w:tmpl w:val="E29658C4"/>
    <w:lvl w:ilvl="0" w:tplc="A5C860AA">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0" w15:restartNumberingAfterBreak="0">
    <w:nsid w:val="79DA7492"/>
    <w:multiLevelType w:val="hybridMultilevel"/>
    <w:tmpl w:val="A496B78A"/>
    <w:lvl w:ilvl="0" w:tplc="A5C860AA">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41" w15:restartNumberingAfterBreak="0">
    <w:nsid w:val="7EE870B8"/>
    <w:multiLevelType w:val="hybridMultilevel"/>
    <w:tmpl w:val="05641E2A"/>
    <w:lvl w:ilvl="0" w:tplc="A5C860AA">
      <w:start w:val="1"/>
      <w:numFmt w:val="low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9"/>
  </w:num>
  <w:num w:numId="2">
    <w:abstractNumId w:val="33"/>
  </w:num>
  <w:num w:numId="3">
    <w:abstractNumId w:val="0"/>
  </w:num>
  <w:num w:numId="4">
    <w:abstractNumId w:val="26"/>
  </w:num>
  <w:num w:numId="5">
    <w:abstractNumId w:val="25"/>
  </w:num>
  <w:num w:numId="6">
    <w:abstractNumId w:val="2"/>
  </w:num>
  <w:num w:numId="7">
    <w:abstractNumId w:val="16"/>
  </w:num>
  <w:num w:numId="8">
    <w:abstractNumId w:val="35"/>
  </w:num>
  <w:num w:numId="9">
    <w:abstractNumId w:val="8"/>
  </w:num>
  <w:num w:numId="10">
    <w:abstractNumId w:val="13"/>
  </w:num>
  <w:num w:numId="11">
    <w:abstractNumId w:val="17"/>
  </w:num>
  <w:num w:numId="12">
    <w:abstractNumId w:val="12"/>
  </w:num>
  <w:num w:numId="13">
    <w:abstractNumId w:val="10"/>
  </w:num>
  <w:num w:numId="14">
    <w:abstractNumId w:val="36"/>
  </w:num>
  <w:num w:numId="15">
    <w:abstractNumId w:val="31"/>
  </w:num>
  <w:num w:numId="16">
    <w:abstractNumId w:val="18"/>
  </w:num>
  <w:num w:numId="17">
    <w:abstractNumId w:val="29"/>
  </w:num>
  <w:num w:numId="18">
    <w:abstractNumId w:val="30"/>
  </w:num>
  <w:num w:numId="19">
    <w:abstractNumId w:val="40"/>
  </w:num>
  <w:num w:numId="20">
    <w:abstractNumId w:val="34"/>
  </w:num>
  <w:num w:numId="21">
    <w:abstractNumId w:val="14"/>
  </w:num>
  <w:num w:numId="22">
    <w:abstractNumId w:val="1"/>
  </w:num>
  <w:num w:numId="23">
    <w:abstractNumId w:val="7"/>
  </w:num>
  <w:num w:numId="24">
    <w:abstractNumId w:val="32"/>
  </w:num>
  <w:num w:numId="25">
    <w:abstractNumId w:val="5"/>
  </w:num>
  <w:num w:numId="26">
    <w:abstractNumId w:val="21"/>
  </w:num>
  <w:num w:numId="27">
    <w:abstractNumId w:val="19"/>
  </w:num>
  <w:num w:numId="28">
    <w:abstractNumId w:val="27"/>
  </w:num>
  <w:num w:numId="29">
    <w:abstractNumId w:val="41"/>
  </w:num>
  <w:num w:numId="30">
    <w:abstractNumId w:val="11"/>
  </w:num>
  <w:num w:numId="31">
    <w:abstractNumId w:val="23"/>
  </w:num>
  <w:num w:numId="32">
    <w:abstractNumId w:val="4"/>
  </w:num>
  <w:num w:numId="33">
    <w:abstractNumId w:val="38"/>
  </w:num>
  <w:num w:numId="34">
    <w:abstractNumId w:val="39"/>
  </w:num>
  <w:num w:numId="35">
    <w:abstractNumId w:val="24"/>
  </w:num>
  <w:num w:numId="36">
    <w:abstractNumId w:val="20"/>
  </w:num>
  <w:num w:numId="37">
    <w:abstractNumId w:val="6"/>
  </w:num>
  <w:num w:numId="38">
    <w:abstractNumId w:val="3"/>
  </w:num>
  <w:num w:numId="39">
    <w:abstractNumId w:val="37"/>
  </w:num>
  <w:num w:numId="40">
    <w:abstractNumId w:val="22"/>
  </w:num>
  <w:num w:numId="41">
    <w:abstractNumId w:val="15"/>
  </w:num>
  <w:num w:numId="42">
    <w:abstractNumId w:val="2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drawingGridHorizontalSpacing w:val="120"/>
  <w:displayHorizontalDrawingGridEvery w:val="2"/>
  <w:displayVerticalDrawingGridEvery w:val="2"/>
  <w:characterSpacingControl w:val="doNotCompress"/>
  <w:hdrShapeDefaults>
    <o:shapedefaults v:ext="edit" spidmax="1064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C36"/>
    <w:rsid w:val="0000197E"/>
    <w:rsid w:val="000021CF"/>
    <w:rsid w:val="00002372"/>
    <w:rsid w:val="0000337F"/>
    <w:rsid w:val="00003FB5"/>
    <w:rsid w:val="0000416F"/>
    <w:rsid w:val="0000707E"/>
    <w:rsid w:val="0000730D"/>
    <w:rsid w:val="00007A8C"/>
    <w:rsid w:val="00010B8A"/>
    <w:rsid w:val="000110E0"/>
    <w:rsid w:val="00014AA8"/>
    <w:rsid w:val="00016679"/>
    <w:rsid w:val="0002045B"/>
    <w:rsid w:val="00020BD3"/>
    <w:rsid w:val="000238A8"/>
    <w:rsid w:val="00023E96"/>
    <w:rsid w:val="000273C9"/>
    <w:rsid w:val="000302F6"/>
    <w:rsid w:val="000310FA"/>
    <w:rsid w:val="0003122F"/>
    <w:rsid w:val="00033D55"/>
    <w:rsid w:val="00037952"/>
    <w:rsid w:val="000408B5"/>
    <w:rsid w:val="00041AF9"/>
    <w:rsid w:val="000427D4"/>
    <w:rsid w:val="00042D3D"/>
    <w:rsid w:val="00044D77"/>
    <w:rsid w:val="00045E0B"/>
    <w:rsid w:val="0004738C"/>
    <w:rsid w:val="0005048C"/>
    <w:rsid w:val="00051377"/>
    <w:rsid w:val="00054712"/>
    <w:rsid w:val="00054C01"/>
    <w:rsid w:val="00054E49"/>
    <w:rsid w:val="00056FDD"/>
    <w:rsid w:val="00057521"/>
    <w:rsid w:val="000605BC"/>
    <w:rsid w:val="00060FE3"/>
    <w:rsid w:val="00061399"/>
    <w:rsid w:val="000618B6"/>
    <w:rsid w:val="00063E9A"/>
    <w:rsid w:val="000641A0"/>
    <w:rsid w:val="00066A57"/>
    <w:rsid w:val="00067D87"/>
    <w:rsid w:val="0007033E"/>
    <w:rsid w:val="00071BF5"/>
    <w:rsid w:val="00075A17"/>
    <w:rsid w:val="000762AB"/>
    <w:rsid w:val="00076614"/>
    <w:rsid w:val="00080137"/>
    <w:rsid w:val="00080894"/>
    <w:rsid w:val="00081705"/>
    <w:rsid w:val="00082130"/>
    <w:rsid w:val="00087007"/>
    <w:rsid w:val="00087633"/>
    <w:rsid w:val="00087816"/>
    <w:rsid w:val="00087D77"/>
    <w:rsid w:val="000918AF"/>
    <w:rsid w:val="00092F1B"/>
    <w:rsid w:val="00093165"/>
    <w:rsid w:val="0009696B"/>
    <w:rsid w:val="000A02E8"/>
    <w:rsid w:val="000A0566"/>
    <w:rsid w:val="000A1EE1"/>
    <w:rsid w:val="000A36FE"/>
    <w:rsid w:val="000A43B5"/>
    <w:rsid w:val="000A4E11"/>
    <w:rsid w:val="000A5D4C"/>
    <w:rsid w:val="000A638F"/>
    <w:rsid w:val="000A7D80"/>
    <w:rsid w:val="000A7E64"/>
    <w:rsid w:val="000B1338"/>
    <w:rsid w:val="000B14A1"/>
    <w:rsid w:val="000B1524"/>
    <w:rsid w:val="000B1D22"/>
    <w:rsid w:val="000B2A4D"/>
    <w:rsid w:val="000B2F36"/>
    <w:rsid w:val="000B3734"/>
    <w:rsid w:val="000B38B5"/>
    <w:rsid w:val="000B48AF"/>
    <w:rsid w:val="000B58EC"/>
    <w:rsid w:val="000B6C47"/>
    <w:rsid w:val="000B799B"/>
    <w:rsid w:val="000B7FA3"/>
    <w:rsid w:val="000C0CA9"/>
    <w:rsid w:val="000C1069"/>
    <w:rsid w:val="000C236A"/>
    <w:rsid w:val="000C2569"/>
    <w:rsid w:val="000C33B1"/>
    <w:rsid w:val="000C46AD"/>
    <w:rsid w:val="000C5C7A"/>
    <w:rsid w:val="000D0574"/>
    <w:rsid w:val="000D06C8"/>
    <w:rsid w:val="000D142D"/>
    <w:rsid w:val="000D3080"/>
    <w:rsid w:val="000D566E"/>
    <w:rsid w:val="000D5CB9"/>
    <w:rsid w:val="000D6096"/>
    <w:rsid w:val="000D61F0"/>
    <w:rsid w:val="000D7270"/>
    <w:rsid w:val="000E05DA"/>
    <w:rsid w:val="000E0947"/>
    <w:rsid w:val="000E1614"/>
    <w:rsid w:val="000E36F3"/>
    <w:rsid w:val="000E3A5C"/>
    <w:rsid w:val="000E4EEB"/>
    <w:rsid w:val="000E5C38"/>
    <w:rsid w:val="000E5E39"/>
    <w:rsid w:val="000F086D"/>
    <w:rsid w:val="000F35E4"/>
    <w:rsid w:val="000F4815"/>
    <w:rsid w:val="000F5C20"/>
    <w:rsid w:val="000F756E"/>
    <w:rsid w:val="001003E1"/>
    <w:rsid w:val="00101E92"/>
    <w:rsid w:val="00102019"/>
    <w:rsid w:val="00102C74"/>
    <w:rsid w:val="00106F7C"/>
    <w:rsid w:val="00107534"/>
    <w:rsid w:val="00107CB3"/>
    <w:rsid w:val="00110AB4"/>
    <w:rsid w:val="0011278E"/>
    <w:rsid w:val="00112FFB"/>
    <w:rsid w:val="00114E26"/>
    <w:rsid w:val="00114F6F"/>
    <w:rsid w:val="00117972"/>
    <w:rsid w:val="001200C8"/>
    <w:rsid w:val="00125CD9"/>
    <w:rsid w:val="00125DF0"/>
    <w:rsid w:val="001279AE"/>
    <w:rsid w:val="0013051C"/>
    <w:rsid w:val="0013090A"/>
    <w:rsid w:val="001326AE"/>
    <w:rsid w:val="00133274"/>
    <w:rsid w:val="00133C1B"/>
    <w:rsid w:val="001354CB"/>
    <w:rsid w:val="001364F0"/>
    <w:rsid w:val="00137DC7"/>
    <w:rsid w:val="00142674"/>
    <w:rsid w:val="00142B6D"/>
    <w:rsid w:val="00145054"/>
    <w:rsid w:val="00145F7B"/>
    <w:rsid w:val="001464B6"/>
    <w:rsid w:val="001506ED"/>
    <w:rsid w:val="00150FA4"/>
    <w:rsid w:val="001518FD"/>
    <w:rsid w:val="00151F41"/>
    <w:rsid w:val="001528FD"/>
    <w:rsid w:val="00156994"/>
    <w:rsid w:val="0016092F"/>
    <w:rsid w:val="00163CCC"/>
    <w:rsid w:val="00171400"/>
    <w:rsid w:val="0017266A"/>
    <w:rsid w:val="0017342D"/>
    <w:rsid w:val="00176EE1"/>
    <w:rsid w:val="00181E34"/>
    <w:rsid w:val="00183F21"/>
    <w:rsid w:val="0018404D"/>
    <w:rsid w:val="0018569D"/>
    <w:rsid w:val="00185764"/>
    <w:rsid w:val="00186834"/>
    <w:rsid w:val="00186BBC"/>
    <w:rsid w:val="00186F5E"/>
    <w:rsid w:val="001919E3"/>
    <w:rsid w:val="001921A7"/>
    <w:rsid w:val="00192327"/>
    <w:rsid w:val="00194539"/>
    <w:rsid w:val="00194E74"/>
    <w:rsid w:val="00195C20"/>
    <w:rsid w:val="00196668"/>
    <w:rsid w:val="00196AE5"/>
    <w:rsid w:val="001974BA"/>
    <w:rsid w:val="001A221C"/>
    <w:rsid w:val="001A323F"/>
    <w:rsid w:val="001A4E05"/>
    <w:rsid w:val="001A61F7"/>
    <w:rsid w:val="001B1D31"/>
    <w:rsid w:val="001B24D2"/>
    <w:rsid w:val="001B5728"/>
    <w:rsid w:val="001C13A9"/>
    <w:rsid w:val="001C1E0C"/>
    <w:rsid w:val="001C3A55"/>
    <w:rsid w:val="001C4834"/>
    <w:rsid w:val="001C7243"/>
    <w:rsid w:val="001C7B5B"/>
    <w:rsid w:val="001D0103"/>
    <w:rsid w:val="001D0BAD"/>
    <w:rsid w:val="001D0EC3"/>
    <w:rsid w:val="001D4098"/>
    <w:rsid w:val="001E01B3"/>
    <w:rsid w:val="001E0225"/>
    <w:rsid w:val="001E1067"/>
    <w:rsid w:val="001E11F4"/>
    <w:rsid w:val="001E178D"/>
    <w:rsid w:val="001E2AB9"/>
    <w:rsid w:val="001E2C2C"/>
    <w:rsid w:val="001E378C"/>
    <w:rsid w:val="001E5694"/>
    <w:rsid w:val="001E61AD"/>
    <w:rsid w:val="001E6E0A"/>
    <w:rsid w:val="001F17F7"/>
    <w:rsid w:val="001F34FF"/>
    <w:rsid w:val="001F437D"/>
    <w:rsid w:val="001F5A16"/>
    <w:rsid w:val="001F66EA"/>
    <w:rsid w:val="002024A6"/>
    <w:rsid w:val="002051A2"/>
    <w:rsid w:val="00206B16"/>
    <w:rsid w:val="00210081"/>
    <w:rsid w:val="0021207C"/>
    <w:rsid w:val="002123FB"/>
    <w:rsid w:val="002166FF"/>
    <w:rsid w:val="0021724B"/>
    <w:rsid w:val="00220859"/>
    <w:rsid w:val="0022321B"/>
    <w:rsid w:val="0022343B"/>
    <w:rsid w:val="00223973"/>
    <w:rsid w:val="00223FAE"/>
    <w:rsid w:val="00224378"/>
    <w:rsid w:val="0022478A"/>
    <w:rsid w:val="0022515F"/>
    <w:rsid w:val="00226527"/>
    <w:rsid w:val="002267FA"/>
    <w:rsid w:val="00226C5A"/>
    <w:rsid w:val="0022741D"/>
    <w:rsid w:val="00227B1D"/>
    <w:rsid w:val="00227EC7"/>
    <w:rsid w:val="002302C3"/>
    <w:rsid w:val="002312BC"/>
    <w:rsid w:val="0023211B"/>
    <w:rsid w:val="00233884"/>
    <w:rsid w:val="0023388E"/>
    <w:rsid w:val="00233BFC"/>
    <w:rsid w:val="00235AFE"/>
    <w:rsid w:val="00237CFF"/>
    <w:rsid w:val="00240C10"/>
    <w:rsid w:val="00240FDB"/>
    <w:rsid w:val="00241F9B"/>
    <w:rsid w:val="00242453"/>
    <w:rsid w:val="002451EA"/>
    <w:rsid w:val="00246671"/>
    <w:rsid w:val="00247B36"/>
    <w:rsid w:val="00247ED2"/>
    <w:rsid w:val="002510AC"/>
    <w:rsid w:val="002514D6"/>
    <w:rsid w:val="00251C78"/>
    <w:rsid w:val="00251E12"/>
    <w:rsid w:val="00254D8E"/>
    <w:rsid w:val="00255232"/>
    <w:rsid w:val="00255C1A"/>
    <w:rsid w:val="00255C2E"/>
    <w:rsid w:val="002563E1"/>
    <w:rsid w:val="00256DF3"/>
    <w:rsid w:val="002626AB"/>
    <w:rsid w:val="00262A3C"/>
    <w:rsid w:val="0026346C"/>
    <w:rsid w:val="00264E81"/>
    <w:rsid w:val="00266048"/>
    <w:rsid w:val="00266387"/>
    <w:rsid w:val="00266613"/>
    <w:rsid w:val="002668AC"/>
    <w:rsid w:val="00270227"/>
    <w:rsid w:val="002711F3"/>
    <w:rsid w:val="00273344"/>
    <w:rsid w:val="00273EE8"/>
    <w:rsid w:val="00274EB2"/>
    <w:rsid w:val="00276D4A"/>
    <w:rsid w:val="00276D52"/>
    <w:rsid w:val="00276E8F"/>
    <w:rsid w:val="00280128"/>
    <w:rsid w:val="00280C97"/>
    <w:rsid w:val="0028119F"/>
    <w:rsid w:val="002822D1"/>
    <w:rsid w:val="00284961"/>
    <w:rsid w:val="00285719"/>
    <w:rsid w:val="00287281"/>
    <w:rsid w:val="00287A77"/>
    <w:rsid w:val="00287C25"/>
    <w:rsid w:val="00287D5A"/>
    <w:rsid w:val="00291663"/>
    <w:rsid w:val="002950DB"/>
    <w:rsid w:val="002955FC"/>
    <w:rsid w:val="00297DDC"/>
    <w:rsid w:val="002A07B8"/>
    <w:rsid w:val="002A14A3"/>
    <w:rsid w:val="002A26CF"/>
    <w:rsid w:val="002A34DF"/>
    <w:rsid w:val="002A367D"/>
    <w:rsid w:val="002A3BB8"/>
    <w:rsid w:val="002A5651"/>
    <w:rsid w:val="002A6140"/>
    <w:rsid w:val="002A61C5"/>
    <w:rsid w:val="002B036D"/>
    <w:rsid w:val="002B043A"/>
    <w:rsid w:val="002B069A"/>
    <w:rsid w:val="002B19F6"/>
    <w:rsid w:val="002B2403"/>
    <w:rsid w:val="002B402F"/>
    <w:rsid w:val="002B696D"/>
    <w:rsid w:val="002B78E6"/>
    <w:rsid w:val="002C0F49"/>
    <w:rsid w:val="002C13D6"/>
    <w:rsid w:val="002C15D6"/>
    <w:rsid w:val="002C1E1D"/>
    <w:rsid w:val="002C244D"/>
    <w:rsid w:val="002C2D89"/>
    <w:rsid w:val="002C2DDE"/>
    <w:rsid w:val="002C48FB"/>
    <w:rsid w:val="002C5E92"/>
    <w:rsid w:val="002C6B7B"/>
    <w:rsid w:val="002C72DC"/>
    <w:rsid w:val="002C7C63"/>
    <w:rsid w:val="002C7EB8"/>
    <w:rsid w:val="002D3615"/>
    <w:rsid w:val="002D4034"/>
    <w:rsid w:val="002D46C2"/>
    <w:rsid w:val="002D4AA7"/>
    <w:rsid w:val="002D5E86"/>
    <w:rsid w:val="002D6804"/>
    <w:rsid w:val="002D7131"/>
    <w:rsid w:val="002D7391"/>
    <w:rsid w:val="002E08ED"/>
    <w:rsid w:val="002E15E7"/>
    <w:rsid w:val="002E22B1"/>
    <w:rsid w:val="002E2835"/>
    <w:rsid w:val="002E3612"/>
    <w:rsid w:val="002E4CE8"/>
    <w:rsid w:val="002E4F25"/>
    <w:rsid w:val="002E5366"/>
    <w:rsid w:val="002E688B"/>
    <w:rsid w:val="002E6B93"/>
    <w:rsid w:val="002E73BE"/>
    <w:rsid w:val="002E7C55"/>
    <w:rsid w:val="002F0EE5"/>
    <w:rsid w:val="002F287D"/>
    <w:rsid w:val="002F378B"/>
    <w:rsid w:val="002F4F36"/>
    <w:rsid w:val="002F6A4F"/>
    <w:rsid w:val="002F7CB1"/>
    <w:rsid w:val="00300A34"/>
    <w:rsid w:val="00301FD9"/>
    <w:rsid w:val="0030240A"/>
    <w:rsid w:val="0030295A"/>
    <w:rsid w:val="00303B47"/>
    <w:rsid w:val="00305F4B"/>
    <w:rsid w:val="00306200"/>
    <w:rsid w:val="003069DF"/>
    <w:rsid w:val="003112A6"/>
    <w:rsid w:val="003129AE"/>
    <w:rsid w:val="003149AA"/>
    <w:rsid w:val="00314C02"/>
    <w:rsid w:val="00316F73"/>
    <w:rsid w:val="003202C7"/>
    <w:rsid w:val="0032237E"/>
    <w:rsid w:val="00322B50"/>
    <w:rsid w:val="00322D3A"/>
    <w:rsid w:val="00324D98"/>
    <w:rsid w:val="00325EA0"/>
    <w:rsid w:val="00326503"/>
    <w:rsid w:val="00326813"/>
    <w:rsid w:val="00331A4C"/>
    <w:rsid w:val="003335EA"/>
    <w:rsid w:val="00333A0D"/>
    <w:rsid w:val="003341E9"/>
    <w:rsid w:val="00334AEE"/>
    <w:rsid w:val="00334C06"/>
    <w:rsid w:val="0033512A"/>
    <w:rsid w:val="003410E7"/>
    <w:rsid w:val="00342188"/>
    <w:rsid w:val="00343910"/>
    <w:rsid w:val="00346321"/>
    <w:rsid w:val="0034670B"/>
    <w:rsid w:val="00347739"/>
    <w:rsid w:val="003477C9"/>
    <w:rsid w:val="00350787"/>
    <w:rsid w:val="00351D20"/>
    <w:rsid w:val="0035385B"/>
    <w:rsid w:val="00356349"/>
    <w:rsid w:val="00356CDE"/>
    <w:rsid w:val="003571F4"/>
    <w:rsid w:val="003609CC"/>
    <w:rsid w:val="00360E96"/>
    <w:rsid w:val="003613B0"/>
    <w:rsid w:val="00361CBE"/>
    <w:rsid w:val="00364B65"/>
    <w:rsid w:val="00364F5C"/>
    <w:rsid w:val="00366946"/>
    <w:rsid w:val="003713C2"/>
    <w:rsid w:val="003739A1"/>
    <w:rsid w:val="00373B99"/>
    <w:rsid w:val="00373C74"/>
    <w:rsid w:val="00373F0C"/>
    <w:rsid w:val="00376D70"/>
    <w:rsid w:val="003828BA"/>
    <w:rsid w:val="003848CC"/>
    <w:rsid w:val="0038491E"/>
    <w:rsid w:val="00384D5E"/>
    <w:rsid w:val="00390924"/>
    <w:rsid w:val="00390C5D"/>
    <w:rsid w:val="003913B1"/>
    <w:rsid w:val="0039303F"/>
    <w:rsid w:val="00395086"/>
    <w:rsid w:val="00396B30"/>
    <w:rsid w:val="00396F79"/>
    <w:rsid w:val="0039779C"/>
    <w:rsid w:val="00397F1D"/>
    <w:rsid w:val="003A2A14"/>
    <w:rsid w:val="003A2A2A"/>
    <w:rsid w:val="003A3CEC"/>
    <w:rsid w:val="003A4D96"/>
    <w:rsid w:val="003A5EB6"/>
    <w:rsid w:val="003A6F8D"/>
    <w:rsid w:val="003B5AB2"/>
    <w:rsid w:val="003B6812"/>
    <w:rsid w:val="003B6B83"/>
    <w:rsid w:val="003C0A13"/>
    <w:rsid w:val="003C2092"/>
    <w:rsid w:val="003C22E2"/>
    <w:rsid w:val="003C3038"/>
    <w:rsid w:val="003C3247"/>
    <w:rsid w:val="003D14C0"/>
    <w:rsid w:val="003D1930"/>
    <w:rsid w:val="003D28AB"/>
    <w:rsid w:val="003D58CE"/>
    <w:rsid w:val="003D5949"/>
    <w:rsid w:val="003D6A7E"/>
    <w:rsid w:val="003D6E79"/>
    <w:rsid w:val="003E024D"/>
    <w:rsid w:val="003E12C6"/>
    <w:rsid w:val="003E7196"/>
    <w:rsid w:val="003F0009"/>
    <w:rsid w:val="003F24FB"/>
    <w:rsid w:val="003F35E7"/>
    <w:rsid w:val="003F4278"/>
    <w:rsid w:val="003F4303"/>
    <w:rsid w:val="003F5FB4"/>
    <w:rsid w:val="003F603D"/>
    <w:rsid w:val="003F6E9B"/>
    <w:rsid w:val="00400F98"/>
    <w:rsid w:val="00401C6B"/>
    <w:rsid w:val="00402429"/>
    <w:rsid w:val="00403EC5"/>
    <w:rsid w:val="004040F0"/>
    <w:rsid w:val="00404D54"/>
    <w:rsid w:val="00407D20"/>
    <w:rsid w:val="00411315"/>
    <w:rsid w:val="00412FD2"/>
    <w:rsid w:val="004134D3"/>
    <w:rsid w:val="0041391B"/>
    <w:rsid w:val="004157FB"/>
    <w:rsid w:val="004171F3"/>
    <w:rsid w:val="00417A1B"/>
    <w:rsid w:val="00420DAF"/>
    <w:rsid w:val="0042387B"/>
    <w:rsid w:val="00424AA3"/>
    <w:rsid w:val="00426610"/>
    <w:rsid w:val="00427E50"/>
    <w:rsid w:val="00431E3F"/>
    <w:rsid w:val="00432CCA"/>
    <w:rsid w:val="004343A4"/>
    <w:rsid w:val="00434E0D"/>
    <w:rsid w:val="00435729"/>
    <w:rsid w:val="00435B20"/>
    <w:rsid w:val="0043643A"/>
    <w:rsid w:val="00437D6E"/>
    <w:rsid w:val="004410FD"/>
    <w:rsid w:val="00441A5B"/>
    <w:rsid w:val="00442C45"/>
    <w:rsid w:val="00444D1D"/>
    <w:rsid w:val="00445565"/>
    <w:rsid w:val="00445AD4"/>
    <w:rsid w:val="00450AB2"/>
    <w:rsid w:val="00450F0C"/>
    <w:rsid w:val="00450F0F"/>
    <w:rsid w:val="0045378A"/>
    <w:rsid w:val="00453839"/>
    <w:rsid w:val="00455ADA"/>
    <w:rsid w:val="004571B1"/>
    <w:rsid w:val="00457FB2"/>
    <w:rsid w:val="00460343"/>
    <w:rsid w:val="00460710"/>
    <w:rsid w:val="0046298E"/>
    <w:rsid w:val="00462BAC"/>
    <w:rsid w:val="00463166"/>
    <w:rsid w:val="004632E9"/>
    <w:rsid w:val="00463FA4"/>
    <w:rsid w:val="00466C12"/>
    <w:rsid w:val="00467454"/>
    <w:rsid w:val="004675E4"/>
    <w:rsid w:val="00470208"/>
    <w:rsid w:val="004741E4"/>
    <w:rsid w:val="00475481"/>
    <w:rsid w:val="00480E1F"/>
    <w:rsid w:val="00481D1B"/>
    <w:rsid w:val="00482152"/>
    <w:rsid w:val="00482687"/>
    <w:rsid w:val="00483AFB"/>
    <w:rsid w:val="004845E2"/>
    <w:rsid w:val="00486D97"/>
    <w:rsid w:val="00487FAB"/>
    <w:rsid w:val="00490A48"/>
    <w:rsid w:val="00492AE0"/>
    <w:rsid w:val="00493DB8"/>
    <w:rsid w:val="0049424D"/>
    <w:rsid w:val="00495F34"/>
    <w:rsid w:val="00497B91"/>
    <w:rsid w:val="004A1630"/>
    <w:rsid w:val="004A1D24"/>
    <w:rsid w:val="004A29DF"/>
    <w:rsid w:val="004A2C0D"/>
    <w:rsid w:val="004A2CD1"/>
    <w:rsid w:val="004A2D4B"/>
    <w:rsid w:val="004A66B8"/>
    <w:rsid w:val="004A679D"/>
    <w:rsid w:val="004A6D75"/>
    <w:rsid w:val="004A6F3D"/>
    <w:rsid w:val="004A708B"/>
    <w:rsid w:val="004A7A33"/>
    <w:rsid w:val="004B23FE"/>
    <w:rsid w:val="004B4CCD"/>
    <w:rsid w:val="004B746C"/>
    <w:rsid w:val="004C3B1C"/>
    <w:rsid w:val="004C580B"/>
    <w:rsid w:val="004C63C7"/>
    <w:rsid w:val="004C6552"/>
    <w:rsid w:val="004C68D6"/>
    <w:rsid w:val="004C70D1"/>
    <w:rsid w:val="004D388B"/>
    <w:rsid w:val="004D4625"/>
    <w:rsid w:val="004D54A4"/>
    <w:rsid w:val="004D6707"/>
    <w:rsid w:val="004D70BC"/>
    <w:rsid w:val="004D7A41"/>
    <w:rsid w:val="004D7FB4"/>
    <w:rsid w:val="004E0D1F"/>
    <w:rsid w:val="004E2E98"/>
    <w:rsid w:val="004E32C8"/>
    <w:rsid w:val="004E4220"/>
    <w:rsid w:val="004E5D45"/>
    <w:rsid w:val="004E7868"/>
    <w:rsid w:val="004F0D24"/>
    <w:rsid w:val="004F4613"/>
    <w:rsid w:val="004F6133"/>
    <w:rsid w:val="004F738A"/>
    <w:rsid w:val="0050310B"/>
    <w:rsid w:val="0050776A"/>
    <w:rsid w:val="005100B2"/>
    <w:rsid w:val="00510771"/>
    <w:rsid w:val="00510DE6"/>
    <w:rsid w:val="0051264A"/>
    <w:rsid w:val="00512FAD"/>
    <w:rsid w:val="00513AAC"/>
    <w:rsid w:val="005147B4"/>
    <w:rsid w:val="00520131"/>
    <w:rsid w:val="00520532"/>
    <w:rsid w:val="005214E6"/>
    <w:rsid w:val="00522751"/>
    <w:rsid w:val="00522A76"/>
    <w:rsid w:val="005235AC"/>
    <w:rsid w:val="0052751D"/>
    <w:rsid w:val="00527CBE"/>
    <w:rsid w:val="00530975"/>
    <w:rsid w:val="005319AE"/>
    <w:rsid w:val="005325B6"/>
    <w:rsid w:val="005339ED"/>
    <w:rsid w:val="005349E9"/>
    <w:rsid w:val="00536276"/>
    <w:rsid w:val="00541329"/>
    <w:rsid w:val="00541499"/>
    <w:rsid w:val="00541ADA"/>
    <w:rsid w:val="00542871"/>
    <w:rsid w:val="00542978"/>
    <w:rsid w:val="00543D47"/>
    <w:rsid w:val="00545C36"/>
    <w:rsid w:val="00546B69"/>
    <w:rsid w:val="00547892"/>
    <w:rsid w:val="005515D2"/>
    <w:rsid w:val="00552933"/>
    <w:rsid w:val="00553200"/>
    <w:rsid w:val="005534B2"/>
    <w:rsid w:val="00553950"/>
    <w:rsid w:val="00554A0E"/>
    <w:rsid w:val="005553F4"/>
    <w:rsid w:val="005568DE"/>
    <w:rsid w:val="00556BB6"/>
    <w:rsid w:val="00557DB1"/>
    <w:rsid w:val="0056018D"/>
    <w:rsid w:val="005614C9"/>
    <w:rsid w:val="00563189"/>
    <w:rsid w:val="0056447F"/>
    <w:rsid w:val="005664B9"/>
    <w:rsid w:val="00566E5A"/>
    <w:rsid w:val="005711A9"/>
    <w:rsid w:val="005714DC"/>
    <w:rsid w:val="00571BEA"/>
    <w:rsid w:val="00572E3A"/>
    <w:rsid w:val="005734CB"/>
    <w:rsid w:val="00575596"/>
    <w:rsid w:val="00575816"/>
    <w:rsid w:val="005779A9"/>
    <w:rsid w:val="00581FC4"/>
    <w:rsid w:val="00582FB1"/>
    <w:rsid w:val="00586F02"/>
    <w:rsid w:val="00587196"/>
    <w:rsid w:val="00590758"/>
    <w:rsid w:val="00597C74"/>
    <w:rsid w:val="005A0D36"/>
    <w:rsid w:val="005A1A62"/>
    <w:rsid w:val="005A2DF2"/>
    <w:rsid w:val="005A44AE"/>
    <w:rsid w:val="005B013A"/>
    <w:rsid w:val="005B17D2"/>
    <w:rsid w:val="005B35C6"/>
    <w:rsid w:val="005B434A"/>
    <w:rsid w:val="005B7F14"/>
    <w:rsid w:val="005C1C8F"/>
    <w:rsid w:val="005C2FD8"/>
    <w:rsid w:val="005C5671"/>
    <w:rsid w:val="005C72C6"/>
    <w:rsid w:val="005C77BC"/>
    <w:rsid w:val="005C7CFE"/>
    <w:rsid w:val="005D0A2D"/>
    <w:rsid w:val="005D1D0E"/>
    <w:rsid w:val="005D2B6B"/>
    <w:rsid w:val="005D3898"/>
    <w:rsid w:val="005D3C31"/>
    <w:rsid w:val="005D3C90"/>
    <w:rsid w:val="005D3F41"/>
    <w:rsid w:val="005D4A6B"/>
    <w:rsid w:val="005D5824"/>
    <w:rsid w:val="005D6C6D"/>
    <w:rsid w:val="005E0122"/>
    <w:rsid w:val="005E11DB"/>
    <w:rsid w:val="005E128F"/>
    <w:rsid w:val="005E3CC7"/>
    <w:rsid w:val="005E45FE"/>
    <w:rsid w:val="005E527B"/>
    <w:rsid w:val="005E532E"/>
    <w:rsid w:val="005F1FB9"/>
    <w:rsid w:val="005F2227"/>
    <w:rsid w:val="005F3464"/>
    <w:rsid w:val="005F34C5"/>
    <w:rsid w:val="005F4CC3"/>
    <w:rsid w:val="005F570E"/>
    <w:rsid w:val="005F6DDB"/>
    <w:rsid w:val="00600712"/>
    <w:rsid w:val="006021ED"/>
    <w:rsid w:val="00602E48"/>
    <w:rsid w:val="00603223"/>
    <w:rsid w:val="00603575"/>
    <w:rsid w:val="00603722"/>
    <w:rsid w:val="0060500A"/>
    <w:rsid w:val="00605C97"/>
    <w:rsid w:val="00606752"/>
    <w:rsid w:val="006108C7"/>
    <w:rsid w:val="006110D4"/>
    <w:rsid w:val="006114F6"/>
    <w:rsid w:val="0061188A"/>
    <w:rsid w:val="00611D00"/>
    <w:rsid w:val="0061215F"/>
    <w:rsid w:val="0061371E"/>
    <w:rsid w:val="006155DC"/>
    <w:rsid w:val="00615FBF"/>
    <w:rsid w:val="00617A38"/>
    <w:rsid w:val="006213D8"/>
    <w:rsid w:val="00622E63"/>
    <w:rsid w:val="006243EF"/>
    <w:rsid w:val="006305D3"/>
    <w:rsid w:val="00631567"/>
    <w:rsid w:val="00633AA6"/>
    <w:rsid w:val="00635827"/>
    <w:rsid w:val="00635C02"/>
    <w:rsid w:val="00635D24"/>
    <w:rsid w:val="006371C7"/>
    <w:rsid w:val="00640760"/>
    <w:rsid w:val="0064226B"/>
    <w:rsid w:val="006428F5"/>
    <w:rsid w:val="006436EE"/>
    <w:rsid w:val="00645A13"/>
    <w:rsid w:val="00645C89"/>
    <w:rsid w:val="006469C7"/>
    <w:rsid w:val="00651DE4"/>
    <w:rsid w:val="0065438B"/>
    <w:rsid w:val="00655D6F"/>
    <w:rsid w:val="00656E01"/>
    <w:rsid w:val="006573F5"/>
    <w:rsid w:val="00660CD7"/>
    <w:rsid w:val="00661CCF"/>
    <w:rsid w:val="00663270"/>
    <w:rsid w:val="00665910"/>
    <w:rsid w:val="00665CE2"/>
    <w:rsid w:val="00666F55"/>
    <w:rsid w:val="00670E4D"/>
    <w:rsid w:val="006718D7"/>
    <w:rsid w:val="00672016"/>
    <w:rsid w:val="006727F1"/>
    <w:rsid w:val="00673311"/>
    <w:rsid w:val="00674086"/>
    <w:rsid w:val="00674C8C"/>
    <w:rsid w:val="0067709E"/>
    <w:rsid w:val="006777FE"/>
    <w:rsid w:val="006779DD"/>
    <w:rsid w:val="00677E4F"/>
    <w:rsid w:val="00680D01"/>
    <w:rsid w:val="00682198"/>
    <w:rsid w:val="006826DA"/>
    <w:rsid w:val="00683144"/>
    <w:rsid w:val="006834D4"/>
    <w:rsid w:val="00683BB9"/>
    <w:rsid w:val="00683C54"/>
    <w:rsid w:val="00686FF9"/>
    <w:rsid w:val="00687C88"/>
    <w:rsid w:val="0069443D"/>
    <w:rsid w:val="006959DC"/>
    <w:rsid w:val="00696D88"/>
    <w:rsid w:val="006A4D1E"/>
    <w:rsid w:val="006A5297"/>
    <w:rsid w:val="006A52E0"/>
    <w:rsid w:val="006A5FFF"/>
    <w:rsid w:val="006A7223"/>
    <w:rsid w:val="006B08AB"/>
    <w:rsid w:val="006B0DD5"/>
    <w:rsid w:val="006B2AF0"/>
    <w:rsid w:val="006B36A2"/>
    <w:rsid w:val="006B36A3"/>
    <w:rsid w:val="006B3A63"/>
    <w:rsid w:val="006B5E83"/>
    <w:rsid w:val="006B71FF"/>
    <w:rsid w:val="006C057C"/>
    <w:rsid w:val="006C1AF3"/>
    <w:rsid w:val="006C1B6F"/>
    <w:rsid w:val="006C1BC5"/>
    <w:rsid w:val="006C1CD8"/>
    <w:rsid w:val="006C32D6"/>
    <w:rsid w:val="006C3F21"/>
    <w:rsid w:val="006C4971"/>
    <w:rsid w:val="006C5C35"/>
    <w:rsid w:val="006C5D88"/>
    <w:rsid w:val="006C75F3"/>
    <w:rsid w:val="006C7B6D"/>
    <w:rsid w:val="006D030D"/>
    <w:rsid w:val="006D0DB2"/>
    <w:rsid w:val="006D16DC"/>
    <w:rsid w:val="006D3B5F"/>
    <w:rsid w:val="006D4BFA"/>
    <w:rsid w:val="006D4F3F"/>
    <w:rsid w:val="006D54EC"/>
    <w:rsid w:val="006D7ED8"/>
    <w:rsid w:val="006D7F36"/>
    <w:rsid w:val="006E005A"/>
    <w:rsid w:val="006E0874"/>
    <w:rsid w:val="006E41F3"/>
    <w:rsid w:val="006F1107"/>
    <w:rsid w:val="006F1532"/>
    <w:rsid w:val="006F251C"/>
    <w:rsid w:val="006F4D33"/>
    <w:rsid w:val="006F5914"/>
    <w:rsid w:val="006F6873"/>
    <w:rsid w:val="00700996"/>
    <w:rsid w:val="0070247E"/>
    <w:rsid w:val="00702A66"/>
    <w:rsid w:val="00702CB7"/>
    <w:rsid w:val="0070390C"/>
    <w:rsid w:val="0070391F"/>
    <w:rsid w:val="00706D8B"/>
    <w:rsid w:val="00707FCF"/>
    <w:rsid w:val="00710432"/>
    <w:rsid w:val="00712420"/>
    <w:rsid w:val="007149B4"/>
    <w:rsid w:val="007168D8"/>
    <w:rsid w:val="00716CF0"/>
    <w:rsid w:val="00717C50"/>
    <w:rsid w:val="00722C1B"/>
    <w:rsid w:val="00722F14"/>
    <w:rsid w:val="007253BC"/>
    <w:rsid w:val="0072739A"/>
    <w:rsid w:val="007327D3"/>
    <w:rsid w:val="007331F1"/>
    <w:rsid w:val="007366A3"/>
    <w:rsid w:val="00736C60"/>
    <w:rsid w:val="007370D7"/>
    <w:rsid w:val="00737D9C"/>
    <w:rsid w:val="0074139D"/>
    <w:rsid w:val="00743208"/>
    <w:rsid w:val="00743FDA"/>
    <w:rsid w:val="007449D8"/>
    <w:rsid w:val="00745257"/>
    <w:rsid w:val="00745D63"/>
    <w:rsid w:val="007476D1"/>
    <w:rsid w:val="00747BAD"/>
    <w:rsid w:val="00747C95"/>
    <w:rsid w:val="00753610"/>
    <w:rsid w:val="0075463F"/>
    <w:rsid w:val="0075519E"/>
    <w:rsid w:val="00756077"/>
    <w:rsid w:val="0075642A"/>
    <w:rsid w:val="00756AD4"/>
    <w:rsid w:val="00757270"/>
    <w:rsid w:val="00760620"/>
    <w:rsid w:val="00762D8B"/>
    <w:rsid w:val="007630DE"/>
    <w:rsid w:val="00764327"/>
    <w:rsid w:val="00764572"/>
    <w:rsid w:val="0076549E"/>
    <w:rsid w:val="00767501"/>
    <w:rsid w:val="0077003D"/>
    <w:rsid w:val="00770412"/>
    <w:rsid w:val="00772B33"/>
    <w:rsid w:val="00774DA3"/>
    <w:rsid w:val="0077543D"/>
    <w:rsid w:val="0077654E"/>
    <w:rsid w:val="00776BD5"/>
    <w:rsid w:val="00777900"/>
    <w:rsid w:val="00777CD8"/>
    <w:rsid w:val="0078351D"/>
    <w:rsid w:val="007837F1"/>
    <w:rsid w:val="00785590"/>
    <w:rsid w:val="007857B8"/>
    <w:rsid w:val="0079020B"/>
    <w:rsid w:val="007910EF"/>
    <w:rsid w:val="007963C5"/>
    <w:rsid w:val="00797BF3"/>
    <w:rsid w:val="007A1418"/>
    <w:rsid w:val="007A16DF"/>
    <w:rsid w:val="007A1A4D"/>
    <w:rsid w:val="007A2C79"/>
    <w:rsid w:val="007A2CA1"/>
    <w:rsid w:val="007A3449"/>
    <w:rsid w:val="007A53B5"/>
    <w:rsid w:val="007A5A36"/>
    <w:rsid w:val="007A624A"/>
    <w:rsid w:val="007A6491"/>
    <w:rsid w:val="007A7E77"/>
    <w:rsid w:val="007B4317"/>
    <w:rsid w:val="007B4E8D"/>
    <w:rsid w:val="007B6CB6"/>
    <w:rsid w:val="007B732D"/>
    <w:rsid w:val="007C24AF"/>
    <w:rsid w:val="007C2558"/>
    <w:rsid w:val="007C458D"/>
    <w:rsid w:val="007C4C11"/>
    <w:rsid w:val="007C4CC1"/>
    <w:rsid w:val="007C4EFC"/>
    <w:rsid w:val="007C61BE"/>
    <w:rsid w:val="007C790E"/>
    <w:rsid w:val="007D168C"/>
    <w:rsid w:val="007D27F6"/>
    <w:rsid w:val="007D4132"/>
    <w:rsid w:val="007D4EC9"/>
    <w:rsid w:val="007D5B50"/>
    <w:rsid w:val="007D5CFC"/>
    <w:rsid w:val="007D5F2F"/>
    <w:rsid w:val="007D6C32"/>
    <w:rsid w:val="007D702D"/>
    <w:rsid w:val="007E0522"/>
    <w:rsid w:val="007E0CC3"/>
    <w:rsid w:val="007E1985"/>
    <w:rsid w:val="007E1EBE"/>
    <w:rsid w:val="007E341F"/>
    <w:rsid w:val="007E367C"/>
    <w:rsid w:val="007E3C63"/>
    <w:rsid w:val="007E4971"/>
    <w:rsid w:val="007E557E"/>
    <w:rsid w:val="007E6630"/>
    <w:rsid w:val="007F0950"/>
    <w:rsid w:val="007F334A"/>
    <w:rsid w:val="007F3886"/>
    <w:rsid w:val="007F3BFD"/>
    <w:rsid w:val="007F4B1B"/>
    <w:rsid w:val="007F5331"/>
    <w:rsid w:val="007F6748"/>
    <w:rsid w:val="007F6953"/>
    <w:rsid w:val="007F69D5"/>
    <w:rsid w:val="007F72B6"/>
    <w:rsid w:val="0080037B"/>
    <w:rsid w:val="008004ED"/>
    <w:rsid w:val="00800617"/>
    <w:rsid w:val="00800EA0"/>
    <w:rsid w:val="00802052"/>
    <w:rsid w:val="0080383C"/>
    <w:rsid w:val="00805842"/>
    <w:rsid w:val="00806C68"/>
    <w:rsid w:val="00807E80"/>
    <w:rsid w:val="008108B6"/>
    <w:rsid w:val="00811AEB"/>
    <w:rsid w:val="00811E82"/>
    <w:rsid w:val="00811F80"/>
    <w:rsid w:val="00812AD6"/>
    <w:rsid w:val="0081386A"/>
    <w:rsid w:val="00813A4B"/>
    <w:rsid w:val="00814AB2"/>
    <w:rsid w:val="00814F53"/>
    <w:rsid w:val="008165CA"/>
    <w:rsid w:val="0081709C"/>
    <w:rsid w:val="00817411"/>
    <w:rsid w:val="00817C56"/>
    <w:rsid w:val="00820093"/>
    <w:rsid w:val="008232FD"/>
    <w:rsid w:val="00826342"/>
    <w:rsid w:val="00826F6E"/>
    <w:rsid w:val="00830931"/>
    <w:rsid w:val="00831BA0"/>
    <w:rsid w:val="008326A0"/>
    <w:rsid w:val="008330EB"/>
    <w:rsid w:val="0083623E"/>
    <w:rsid w:val="00836DEC"/>
    <w:rsid w:val="0084133D"/>
    <w:rsid w:val="00841422"/>
    <w:rsid w:val="00841C71"/>
    <w:rsid w:val="00843FCE"/>
    <w:rsid w:val="00844748"/>
    <w:rsid w:val="00845E8A"/>
    <w:rsid w:val="008500DB"/>
    <w:rsid w:val="00850479"/>
    <w:rsid w:val="008506EB"/>
    <w:rsid w:val="00851B92"/>
    <w:rsid w:val="00851DB2"/>
    <w:rsid w:val="008520FD"/>
    <w:rsid w:val="008547CA"/>
    <w:rsid w:val="00855059"/>
    <w:rsid w:val="00856053"/>
    <w:rsid w:val="00856830"/>
    <w:rsid w:val="0085734F"/>
    <w:rsid w:val="00857A12"/>
    <w:rsid w:val="008607F3"/>
    <w:rsid w:val="00861680"/>
    <w:rsid w:val="008663B4"/>
    <w:rsid w:val="00866AFF"/>
    <w:rsid w:val="00867291"/>
    <w:rsid w:val="0087594E"/>
    <w:rsid w:val="0087749A"/>
    <w:rsid w:val="00877DFF"/>
    <w:rsid w:val="00880CCA"/>
    <w:rsid w:val="008816F5"/>
    <w:rsid w:val="008821E0"/>
    <w:rsid w:val="00883793"/>
    <w:rsid w:val="00884BB8"/>
    <w:rsid w:val="0088771E"/>
    <w:rsid w:val="00890231"/>
    <w:rsid w:val="00890495"/>
    <w:rsid w:val="00893783"/>
    <w:rsid w:val="00893D99"/>
    <w:rsid w:val="0089723F"/>
    <w:rsid w:val="00897856"/>
    <w:rsid w:val="008A1553"/>
    <w:rsid w:val="008A2C76"/>
    <w:rsid w:val="008A3540"/>
    <w:rsid w:val="008A3E5A"/>
    <w:rsid w:val="008A5B5E"/>
    <w:rsid w:val="008A6A50"/>
    <w:rsid w:val="008A78A6"/>
    <w:rsid w:val="008B003F"/>
    <w:rsid w:val="008B099E"/>
    <w:rsid w:val="008B0E1F"/>
    <w:rsid w:val="008B10A9"/>
    <w:rsid w:val="008B182B"/>
    <w:rsid w:val="008B28B2"/>
    <w:rsid w:val="008B2E8F"/>
    <w:rsid w:val="008B3C41"/>
    <w:rsid w:val="008B4938"/>
    <w:rsid w:val="008B527C"/>
    <w:rsid w:val="008B63DF"/>
    <w:rsid w:val="008B6547"/>
    <w:rsid w:val="008B6C33"/>
    <w:rsid w:val="008C0178"/>
    <w:rsid w:val="008C03F7"/>
    <w:rsid w:val="008C1717"/>
    <w:rsid w:val="008C198A"/>
    <w:rsid w:val="008C1F47"/>
    <w:rsid w:val="008C2CD9"/>
    <w:rsid w:val="008C3589"/>
    <w:rsid w:val="008C5458"/>
    <w:rsid w:val="008C563A"/>
    <w:rsid w:val="008C5C8D"/>
    <w:rsid w:val="008C5DBF"/>
    <w:rsid w:val="008C67E2"/>
    <w:rsid w:val="008C68F7"/>
    <w:rsid w:val="008C79F2"/>
    <w:rsid w:val="008D01E2"/>
    <w:rsid w:val="008D1E57"/>
    <w:rsid w:val="008D2E57"/>
    <w:rsid w:val="008D2F7A"/>
    <w:rsid w:val="008D467E"/>
    <w:rsid w:val="008D574F"/>
    <w:rsid w:val="008D609A"/>
    <w:rsid w:val="008E032C"/>
    <w:rsid w:val="008E0B54"/>
    <w:rsid w:val="008E16B1"/>
    <w:rsid w:val="008E5E27"/>
    <w:rsid w:val="008E5EB2"/>
    <w:rsid w:val="008E7C7A"/>
    <w:rsid w:val="008F0F44"/>
    <w:rsid w:val="008F44F3"/>
    <w:rsid w:val="008F4E90"/>
    <w:rsid w:val="008F6D02"/>
    <w:rsid w:val="008F77AA"/>
    <w:rsid w:val="009021E0"/>
    <w:rsid w:val="0090294A"/>
    <w:rsid w:val="00902B83"/>
    <w:rsid w:val="00903351"/>
    <w:rsid w:val="00904885"/>
    <w:rsid w:val="0090512B"/>
    <w:rsid w:val="00906BAA"/>
    <w:rsid w:val="00907B6B"/>
    <w:rsid w:val="00910200"/>
    <w:rsid w:val="009114B5"/>
    <w:rsid w:val="00914162"/>
    <w:rsid w:val="00914581"/>
    <w:rsid w:val="00915A29"/>
    <w:rsid w:val="00916A81"/>
    <w:rsid w:val="009175AD"/>
    <w:rsid w:val="009177A3"/>
    <w:rsid w:val="009179A0"/>
    <w:rsid w:val="0092276F"/>
    <w:rsid w:val="00922874"/>
    <w:rsid w:val="00922A75"/>
    <w:rsid w:val="0092526F"/>
    <w:rsid w:val="009257D9"/>
    <w:rsid w:val="009263A1"/>
    <w:rsid w:val="009273A9"/>
    <w:rsid w:val="00927405"/>
    <w:rsid w:val="009278D3"/>
    <w:rsid w:val="009311A3"/>
    <w:rsid w:val="0093182C"/>
    <w:rsid w:val="00931FD1"/>
    <w:rsid w:val="00934B2C"/>
    <w:rsid w:val="00935484"/>
    <w:rsid w:val="0093770C"/>
    <w:rsid w:val="00940151"/>
    <w:rsid w:val="00942B58"/>
    <w:rsid w:val="00944A7C"/>
    <w:rsid w:val="00945BE4"/>
    <w:rsid w:val="00946013"/>
    <w:rsid w:val="00947BAA"/>
    <w:rsid w:val="00947DFD"/>
    <w:rsid w:val="0095385E"/>
    <w:rsid w:val="00956C33"/>
    <w:rsid w:val="00956C71"/>
    <w:rsid w:val="00957B30"/>
    <w:rsid w:val="00957B46"/>
    <w:rsid w:val="00957E98"/>
    <w:rsid w:val="00960983"/>
    <w:rsid w:val="00960CDC"/>
    <w:rsid w:val="00964415"/>
    <w:rsid w:val="00965BB5"/>
    <w:rsid w:val="009666CB"/>
    <w:rsid w:val="00970318"/>
    <w:rsid w:val="0097044D"/>
    <w:rsid w:val="00972150"/>
    <w:rsid w:val="00973AB7"/>
    <w:rsid w:val="00973F7A"/>
    <w:rsid w:val="0097413C"/>
    <w:rsid w:val="0097423F"/>
    <w:rsid w:val="00974280"/>
    <w:rsid w:val="00974A33"/>
    <w:rsid w:val="00976DA2"/>
    <w:rsid w:val="0098035F"/>
    <w:rsid w:val="00981858"/>
    <w:rsid w:val="009824D3"/>
    <w:rsid w:val="00982D10"/>
    <w:rsid w:val="00983C83"/>
    <w:rsid w:val="00985D7D"/>
    <w:rsid w:val="009866C7"/>
    <w:rsid w:val="00987BE3"/>
    <w:rsid w:val="00987CF8"/>
    <w:rsid w:val="009904DF"/>
    <w:rsid w:val="009915F0"/>
    <w:rsid w:val="00991B58"/>
    <w:rsid w:val="00993003"/>
    <w:rsid w:val="00993D0C"/>
    <w:rsid w:val="009943C3"/>
    <w:rsid w:val="0099556C"/>
    <w:rsid w:val="00996C0E"/>
    <w:rsid w:val="009978C7"/>
    <w:rsid w:val="009A063E"/>
    <w:rsid w:val="009A170F"/>
    <w:rsid w:val="009A17B3"/>
    <w:rsid w:val="009A1E33"/>
    <w:rsid w:val="009A2FA9"/>
    <w:rsid w:val="009A458B"/>
    <w:rsid w:val="009A5BDA"/>
    <w:rsid w:val="009A6030"/>
    <w:rsid w:val="009A6475"/>
    <w:rsid w:val="009A65CC"/>
    <w:rsid w:val="009A7E62"/>
    <w:rsid w:val="009B0C43"/>
    <w:rsid w:val="009B1352"/>
    <w:rsid w:val="009B54AD"/>
    <w:rsid w:val="009B55EA"/>
    <w:rsid w:val="009C0621"/>
    <w:rsid w:val="009C1255"/>
    <w:rsid w:val="009C220B"/>
    <w:rsid w:val="009C39E2"/>
    <w:rsid w:val="009C47FB"/>
    <w:rsid w:val="009C489A"/>
    <w:rsid w:val="009C5338"/>
    <w:rsid w:val="009D0B47"/>
    <w:rsid w:val="009D1812"/>
    <w:rsid w:val="009D3095"/>
    <w:rsid w:val="009D500E"/>
    <w:rsid w:val="009D50D9"/>
    <w:rsid w:val="009D580D"/>
    <w:rsid w:val="009D5FC0"/>
    <w:rsid w:val="009D6A79"/>
    <w:rsid w:val="009D78AE"/>
    <w:rsid w:val="009D79BF"/>
    <w:rsid w:val="009E0AB6"/>
    <w:rsid w:val="009E5AF8"/>
    <w:rsid w:val="009E7D41"/>
    <w:rsid w:val="009F088A"/>
    <w:rsid w:val="009F13DB"/>
    <w:rsid w:val="009F52AF"/>
    <w:rsid w:val="009F6440"/>
    <w:rsid w:val="009F7339"/>
    <w:rsid w:val="00A0009D"/>
    <w:rsid w:val="00A01364"/>
    <w:rsid w:val="00A015EB"/>
    <w:rsid w:val="00A03024"/>
    <w:rsid w:val="00A04C38"/>
    <w:rsid w:val="00A04D4D"/>
    <w:rsid w:val="00A05602"/>
    <w:rsid w:val="00A0735B"/>
    <w:rsid w:val="00A077EB"/>
    <w:rsid w:val="00A11EE1"/>
    <w:rsid w:val="00A16437"/>
    <w:rsid w:val="00A16617"/>
    <w:rsid w:val="00A16D0E"/>
    <w:rsid w:val="00A200D2"/>
    <w:rsid w:val="00A2470D"/>
    <w:rsid w:val="00A24831"/>
    <w:rsid w:val="00A24F67"/>
    <w:rsid w:val="00A26E80"/>
    <w:rsid w:val="00A30150"/>
    <w:rsid w:val="00A309A9"/>
    <w:rsid w:val="00A325E5"/>
    <w:rsid w:val="00A34F8F"/>
    <w:rsid w:val="00A360EF"/>
    <w:rsid w:val="00A40AE2"/>
    <w:rsid w:val="00A41EE4"/>
    <w:rsid w:val="00A42F99"/>
    <w:rsid w:val="00A4339E"/>
    <w:rsid w:val="00A4396C"/>
    <w:rsid w:val="00A43C33"/>
    <w:rsid w:val="00A441F0"/>
    <w:rsid w:val="00A461CD"/>
    <w:rsid w:val="00A463B2"/>
    <w:rsid w:val="00A4689D"/>
    <w:rsid w:val="00A47232"/>
    <w:rsid w:val="00A53A2E"/>
    <w:rsid w:val="00A572E7"/>
    <w:rsid w:val="00A57784"/>
    <w:rsid w:val="00A62296"/>
    <w:rsid w:val="00A635E3"/>
    <w:rsid w:val="00A63866"/>
    <w:rsid w:val="00A66478"/>
    <w:rsid w:val="00A7107F"/>
    <w:rsid w:val="00A71A71"/>
    <w:rsid w:val="00A71B64"/>
    <w:rsid w:val="00A732CE"/>
    <w:rsid w:val="00A7367B"/>
    <w:rsid w:val="00A73FBD"/>
    <w:rsid w:val="00A74413"/>
    <w:rsid w:val="00A746D8"/>
    <w:rsid w:val="00A75B3A"/>
    <w:rsid w:val="00A77444"/>
    <w:rsid w:val="00A774CD"/>
    <w:rsid w:val="00A776FC"/>
    <w:rsid w:val="00A77FC2"/>
    <w:rsid w:val="00A80DA6"/>
    <w:rsid w:val="00A81B03"/>
    <w:rsid w:val="00A82846"/>
    <w:rsid w:val="00A83794"/>
    <w:rsid w:val="00A84F55"/>
    <w:rsid w:val="00A85742"/>
    <w:rsid w:val="00A872D2"/>
    <w:rsid w:val="00A900E0"/>
    <w:rsid w:val="00A902A9"/>
    <w:rsid w:val="00A90F6D"/>
    <w:rsid w:val="00A920EB"/>
    <w:rsid w:val="00A966F5"/>
    <w:rsid w:val="00A96759"/>
    <w:rsid w:val="00AA2644"/>
    <w:rsid w:val="00AA50A5"/>
    <w:rsid w:val="00AA5288"/>
    <w:rsid w:val="00AA564E"/>
    <w:rsid w:val="00AA6562"/>
    <w:rsid w:val="00AA670E"/>
    <w:rsid w:val="00AB052F"/>
    <w:rsid w:val="00AB21A7"/>
    <w:rsid w:val="00AB241E"/>
    <w:rsid w:val="00AB3D26"/>
    <w:rsid w:val="00AB444C"/>
    <w:rsid w:val="00AB4A18"/>
    <w:rsid w:val="00AB63C4"/>
    <w:rsid w:val="00AB6DB2"/>
    <w:rsid w:val="00AC1052"/>
    <w:rsid w:val="00AC1DAD"/>
    <w:rsid w:val="00AC2B90"/>
    <w:rsid w:val="00AC5A5A"/>
    <w:rsid w:val="00AD0B7E"/>
    <w:rsid w:val="00AD2893"/>
    <w:rsid w:val="00AD3C91"/>
    <w:rsid w:val="00AD5EB9"/>
    <w:rsid w:val="00AD635C"/>
    <w:rsid w:val="00AD7623"/>
    <w:rsid w:val="00AD7C10"/>
    <w:rsid w:val="00AE058C"/>
    <w:rsid w:val="00AE0C43"/>
    <w:rsid w:val="00AE14F7"/>
    <w:rsid w:val="00AE3B39"/>
    <w:rsid w:val="00AE3D6C"/>
    <w:rsid w:val="00AE5513"/>
    <w:rsid w:val="00AE5940"/>
    <w:rsid w:val="00AE7A9F"/>
    <w:rsid w:val="00AE7DD8"/>
    <w:rsid w:val="00AF035E"/>
    <w:rsid w:val="00AF150E"/>
    <w:rsid w:val="00AF28D0"/>
    <w:rsid w:val="00AF2C13"/>
    <w:rsid w:val="00AF3723"/>
    <w:rsid w:val="00AF47CC"/>
    <w:rsid w:val="00AF7E98"/>
    <w:rsid w:val="00B01B57"/>
    <w:rsid w:val="00B02F24"/>
    <w:rsid w:val="00B03472"/>
    <w:rsid w:val="00B04E09"/>
    <w:rsid w:val="00B04F89"/>
    <w:rsid w:val="00B0619C"/>
    <w:rsid w:val="00B06321"/>
    <w:rsid w:val="00B1066B"/>
    <w:rsid w:val="00B10D7F"/>
    <w:rsid w:val="00B130BF"/>
    <w:rsid w:val="00B14294"/>
    <w:rsid w:val="00B145B6"/>
    <w:rsid w:val="00B15799"/>
    <w:rsid w:val="00B2131A"/>
    <w:rsid w:val="00B21BC0"/>
    <w:rsid w:val="00B22C6E"/>
    <w:rsid w:val="00B237B4"/>
    <w:rsid w:val="00B24239"/>
    <w:rsid w:val="00B247D2"/>
    <w:rsid w:val="00B26386"/>
    <w:rsid w:val="00B26DDC"/>
    <w:rsid w:val="00B26F67"/>
    <w:rsid w:val="00B27B9F"/>
    <w:rsid w:val="00B314A3"/>
    <w:rsid w:val="00B31B92"/>
    <w:rsid w:val="00B3249C"/>
    <w:rsid w:val="00B3374F"/>
    <w:rsid w:val="00B33965"/>
    <w:rsid w:val="00B34CF6"/>
    <w:rsid w:val="00B362E4"/>
    <w:rsid w:val="00B36441"/>
    <w:rsid w:val="00B364D6"/>
    <w:rsid w:val="00B4068F"/>
    <w:rsid w:val="00B41586"/>
    <w:rsid w:val="00B4179A"/>
    <w:rsid w:val="00B41C7E"/>
    <w:rsid w:val="00B440EC"/>
    <w:rsid w:val="00B455F1"/>
    <w:rsid w:val="00B46F2C"/>
    <w:rsid w:val="00B50FDD"/>
    <w:rsid w:val="00B51A37"/>
    <w:rsid w:val="00B52513"/>
    <w:rsid w:val="00B536EB"/>
    <w:rsid w:val="00B54BB9"/>
    <w:rsid w:val="00B5542B"/>
    <w:rsid w:val="00B56EF0"/>
    <w:rsid w:val="00B574B9"/>
    <w:rsid w:val="00B577B3"/>
    <w:rsid w:val="00B60508"/>
    <w:rsid w:val="00B6057F"/>
    <w:rsid w:val="00B61A2F"/>
    <w:rsid w:val="00B62378"/>
    <w:rsid w:val="00B6553C"/>
    <w:rsid w:val="00B661EB"/>
    <w:rsid w:val="00B67BC4"/>
    <w:rsid w:val="00B70C8E"/>
    <w:rsid w:val="00B70D6A"/>
    <w:rsid w:val="00B73189"/>
    <w:rsid w:val="00B73278"/>
    <w:rsid w:val="00B73753"/>
    <w:rsid w:val="00B738FE"/>
    <w:rsid w:val="00B744EB"/>
    <w:rsid w:val="00B76D52"/>
    <w:rsid w:val="00B805F3"/>
    <w:rsid w:val="00B80852"/>
    <w:rsid w:val="00B814EE"/>
    <w:rsid w:val="00B819E3"/>
    <w:rsid w:val="00B8217E"/>
    <w:rsid w:val="00B82669"/>
    <w:rsid w:val="00B828B5"/>
    <w:rsid w:val="00B83ADF"/>
    <w:rsid w:val="00B83F27"/>
    <w:rsid w:val="00B86A17"/>
    <w:rsid w:val="00B871D6"/>
    <w:rsid w:val="00B903D5"/>
    <w:rsid w:val="00B912AD"/>
    <w:rsid w:val="00B9208A"/>
    <w:rsid w:val="00B92810"/>
    <w:rsid w:val="00B945E1"/>
    <w:rsid w:val="00B97646"/>
    <w:rsid w:val="00B976C1"/>
    <w:rsid w:val="00BA001C"/>
    <w:rsid w:val="00BA0539"/>
    <w:rsid w:val="00BA20D3"/>
    <w:rsid w:val="00BA3839"/>
    <w:rsid w:val="00BA4DA3"/>
    <w:rsid w:val="00BA527E"/>
    <w:rsid w:val="00BA5AD1"/>
    <w:rsid w:val="00BA6F93"/>
    <w:rsid w:val="00BB0D32"/>
    <w:rsid w:val="00BB1B76"/>
    <w:rsid w:val="00BB21B5"/>
    <w:rsid w:val="00BC2E3F"/>
    <w:rsid w:val="00BC5B9B"/>
    <w:rsid w:val="00BC6872"/>
    <w:rsid w:val="00BD0A0E"/>
    <w:rsid w:val="00BD30E5"/>
    <w:rsid w:val="00BD3939"/>
    <w:rsid w:val="00BD4AC1"/>
    <w:rsid w:val="00BD57FE"/>
    <w:rsid w:val="00BD5CD7"/>
    <w:rsid w:val="00BD6535"/>
    <w:rsid w:val="00BD729A"/>
    <w:rsid w:val="00BD7EDA"/>
    <w:rsid w:val="00BE0041"/>
    <w:rsid w:val="00BE09FD"/>
    <w:rsid w:val="00BE251E"/>
    <w:rsid w:val="00BE475C"/>
    <w:rsid w:val="00BE47FE"/>
    <w:rsid w:val="00BE5D92"/>
    <w:rsid w:val="00BE6881"/>
    <w:rsid w:val="00BE778C"/>
    <w:rsid w:val="00BF0235"/>
    <w:rsid w:val="00BF09E0"/>
    <w:rsid w:val="00BF0E3C"/>
    <w:rsid w:val="00BF196B"/>
    <w:rsid w:val="00BF1BD3"/>
    <w:rsid w:val="00BF2100"/>
    <w:rsid w:val="00BF2BE3"/>
    <w:rsid w:val="00BF2C01"/>
    <w:rsid w:val="00BF43DF"/>
    <w:rsid w:val="00BF4729"/>
    <w:rsid w:val="00BF48F0"/>
    <w:rsid w:val="00BF5D10"/>
    <w:rsid w:val="00BF7C87"/>
    <w:rsid w:val="00C00973"/>
    <w:rsid w:val="00C00D56"/>
    <w:rsid w:val="00C016C3"/>
    <w:rsid w:val="00C03793"/>
    <w:rsid w:val="00C047EF"/>
    <w:rsid w:val="00C05A28"/>
    <w:rsid w:val="00C063B8"/>
    <w:rsid w:val="00C07AB1"/>
    <w:rsid w:val="00C12ECB"/>
    <w:rsid w:val="00C131ED"/>
    <w:rsid w:val="00C13C3C"/>
    <w:rsid w:val="00C1423C"/>
    <w:rsid w:val="00C15B29"/>
    <w:rsid w:val="00C1666A"/>
    <w:rsid w:val="00C20FCD"/>
    <w:rsid w:val="00C23261"/>
    <w:rsid w:val="00C23942"/>
    <w:rsid w:val="00C315A6"/>
    <w:rsid w:val="00C31C1C"/>
    <w:rsid w:val="00C3232F"/>
    <w:rsid w:val="00C356C6"/>
    <w:rsid w:val="00C37C05"/>
    <w:rsid w:val="00C41B29"/>
    <w:rsid w:val="00C41CCE"/>
    <w:rsid w:val="00C42D45"/>
    <w:rsid w:val="00C4535F"/>
    <w:rsid w:val="00C4665E"/>
    <w:rsid w:val="00C475D6"/>
    <w:rsid w:val="00C475E6"/>
    <w:rsid w:val="00C476D1"/>
    <w:rsid w:val="00C47E0B"/>
    <w:rsid w:val="00C47F13"/>
    <w:rsid w:val="00C503D6"/>
    <w:rsid w:val="00C522E5"/>
    <w:rsid w:val="00C555DA"/>
    <w:rsid w:val="00C5641E"/>
    <w:rsid w:val="00C57ABF"/>
    <w:rsid w:val="00C60068"/>
    <w:rsid w:val="00C61E4F"/>
    <w:rsid w:val="00C63DB1"/>
    <w:rsid w:val="00C65678"/>
    <w:rsid w:val="00C668CF"/>
    <w:rsid w:val="00C66D46"/>
    <w:rsid w:val="00C707EB"/>
    <w:rsid w:val="00C711EE"/>
    <w:rsid w:val="00C754C8"/>
    <w:rsid w:val="00C7634D"/>
    <w:rsid w:val="00C77092"/>
    <w:rsid w:val="00C777A0"/>
    <w:rsid w:val="00C77B54"/>
    <w:rsid w:val="00C80904"/>
    <w:rsid w:val="00C80CB4"/>
    <w:rsid w:val="00C834CC"/>
    <w:rsid w:val="00C8407E"/>
    <w:rsid w:val="00C864D4"/>
    <w:rsid w:val="00C86658"/>
    <w:rsid w:val="00C8686F"/>
    <w:rsid w:val="00C87508"/>
    <w:rsid w:val="00C879CA"/>
    <w:rsid w:val="00C90FDF"/>
    <w:rsid w:val="00C9108A"/>
    <w:rsid w:val="00C913EA"/>
    <w:rsid w:val="00C91D15"/>
    <w:rsid w:val="00C9430C"/>
    <w:rsid w:val="00C9474A"/>
    <w:rsid w:val="00C94FDC"/>
    <w:rsid w:val="00C961DB"/>
    <w:rsid w:val="00C9752D"/>
    <w:rsid w:val="00CA020A"/>
    <w:rsid w:val="00CA0B7B"/>
    <w:rsid w:val="00CA20DD"/>
    <w:rsid w:val="00CA247C"/>
    <w:rsid w:val="00CA25C8"/>
    <w:rsid w:val="00CA276B"/>
    <w:rsid w:val="00CA27AA"/>
    <w:rsid w:val="00CA2944"/>
    <w:rsid w:val="00CA3419"/>
    <w:rsid w:val="00CA39BD"/>
    <w:rsid w:val="00CA4176"/>
    <w:rsid w:val="00CA54C7"/>
    <w:rsid w:val="00CA57E0"/>
    <w:rsid w:val="00CA7505"/>
    <w:rsid w:val="00CB16C6"/>
    <w:rsid w:val="00CB5C10"/>
    <w:rsid w:val="00CB708C"/>
    <w:rsid w:val="00CC0BD6"/>
    <w:rsid w:val="00CC272C"/>
    <w:rsid w:val="00CC5053"/>
    <w:rsid w:val="00CC5228"/>
    <w:rsid w:val="00CC609D"/>
    <w:rsid w:val="00CC7DF7"/>
    <w:rsid w:val="00CD17F6"/>
    <w:rsid w:val="00CD256A"/>
    <w:rsid w:val="00CD316D"/>
    <w:rsid w:val="00CD361D"/>
    <w:rsid w:val="00CD4C16"/>
    <w:rsid w:val="00CD7711"/>
    <w:rsid w:val="00CD7EEA"/>
    <w:rsid w:val="00CE0C90"/>
    <w:rsid w:val="00CE1132"/>
    <w:rsid w:val="00CE18F4"/>
    <w:rsid w:val="00CE5058"/>
    <w:rsid w:val="00CE542E"/>
    <w:rsid w:val="00CE636F"/>
    <w:rsid w:val="00CE6438"/>
    <w:rsid w:val="00CF4E63"/>
    <w:rsid w:val="00CF5B26"/>
    <w:rsid w:val="00D00340"/>
    <w:rsid w:val="00D0041E"/>
    <w:rsid w:val="00D00BF7"/>
    <w:rsid w:val="00D029B3"/>
    <w:rsid w:val="00D04393"/>
    <w:rsid w:val="00D04559"/>
    <w:rsid w:val="00D0552D"/>
    <w:rsid w:val="00D078BB"/>
    <w:rsid w:val="00D1071A"/>
    <w:rsid w:val="00D128E4"/>
    <w:rsid w:val="00D14005"/>
    <w:rsid w:val="00D148A0"/>
    <w:rsid w:val="00D15AE6"/>
    <w:rsid w:val="00D1634B"/>
    <w:rsid w:val="00D224C0"/>
    <w:rsid w:val="00D22CBE"/>
    <w:rsid w:val="00D2563E"/>
    <w:rsid w:val="00D2592D"/>
    <w:rsid w:val="00D26B21"/>
    <w:rsid w:val="00D27401"/>
    <w:rsid w:val="00D313CE"/>
    <w:rsid w:val="00D324A7"/>
    <w:rsid w:val="00D34248"/>
    <w:rsid w:val="00D34B3E"/>
    <w:rsid w:val="00D354E7"/>
    <w:rsid w:val="00D35DAF"/>
    <w:rsid w:val="00D40FD9"/>
    <w:rsid w:val="00D42516"/>
    <w:rsid w:val="00D43F8A"/>
    <w:rsid w:val="00D45707"/>
    <w:rsid w:val="00D45F70"/>
    <w:rsid w:val="00D5067D"/>
    <w:rsid w:val="00D520CC"/>
    <w:rsid w:val="00D54E77"/>
    <w:rsid w:val="00D55D5B"/>
    <w:rsid w:val="00D56C6C"/>
    <w:rsid w:val="00D57099"/>
    <w:rsid w:val="00D572F8"/>
    <w:rsid w:val="00D57317"/>
    <w:rsid w:val="00D57B55"/>
    <w:rsid w:val="00D62F4D"/>
    <w:rsid w:val="00D644E2"/>
    <w:rsid w:val="00D64EB4"/>
    <w:rsid w:val="00D65C6C"/>
    <w:rsid w:val="00D668BB"/>
    <w:rsid w:val="00D725AB"/>
    <w:rsid w:val="00D74796"/>
    <w:rsid w:val="00D76FF7"/>
    <w:rsid w:val="00D77296"/>
    <w:rsid w:val="00D7749E"/>
    <w:rsid w:val="00D80493"/>
    <w:rsid w:val="00D809B5"/>
    <w:rsid w:val="00D80AEE"/>
    <w:rsid w:val="00D83715"/>
    <w:rsid w:val="00D85000"/>
    <w:rsid w:val="00D85394"/>
    <w:rsid w:val="00D86E3F"/>
    <w:rsid w:val="00D8753D"/>
    <w:rsid w:val="00D90087"/>
    <w:rsid w:val="00D91849"/>
    <w:rsid w:val="00D91877"/>
    <w:rsid w:val="00D93EDE"/>
    <w:rsid w:val="00D95707"/>
    <w:rsid w:val="00D96192"/>
    <w:rsid w:val="00D966F3"/>
    <w:rsid w:val="00D97054"/>
    <w:rsid w:val="00D97CA7"/>
    <w:rsid w:val="00D97E9B"/>
    <w:rsid w:val="00DA0D1A"/>
    <w:rsid w:val="00DA1738"/>
    <w:rsid w:val="00DA42C8"/>
    <w:rsid w:val="00DA62B9"/>
    <w:rsid w:val="00DA653A"/>
    <w:rsid w:val="00DA6A9B"/>
    <w:rsid w:val="00DB1077"/>
    <w:rsid w:val="00DB2CC1"/>
    <w:rsid w:val="00DB34CD"/>
    <w:rsid w:val="00DB426A"/>
    <w:rsid w:val="00DB56C2"/>
    <w:rsid w:val="00DB591B"/>
    <w:rsid w:val="00DB615F"/>
    <w:rsid w:val="00DB76EB"/>
    <w:rsid w:val="00DB7A50"/>
    <w:rsid w:val="00DB7F1A"/>
    <w:rsid w:val="00DC0158"/>
    <w:rsid w:val="00DC3E47"/>
    <w:rsid w:val="00DC4C37"/>
    <w:rsid w:val="00DC55A7"/>
    <w:rsid w:val="00DC5A09"/>
    <w:rsid w:val="00DC61C6"/>
    <w:rsid w:val="00DC6E66"/>
    <w:rsid w:val="00DC7442"/>
    <w:rsid w:val="00DC7D89"/>
    <w:rsid w:val="00DD038D"/>
    <w:rsid w:val="00DD4095"/>
    <w:rsid w:val="00DD46D4"/>
    <w:rsid w:val="00DD5184"/>
    <w:rsid w:val="00DD6ECD"/>
    <w:rsid w:val="00DD7329"/>
    <w:rsid w:val="00DD74A5"/>
    <w:rsid w:val="00DE0A3F"/>
    <w:rsid w:val="00DE0DC8"/>
    <w:rsid w:val="00DE1C8D"/>
    <w:rsid w:val="00DE2C7C"/>
    <w:rsid w:val="00DE3133"/>
    <w:rsid w:val="00DE5D39"/>
    <w:rsid w:val="00DE7A56"/>
    <w:rsid w:val="00DE7F85"/>
    <w:rsid w:val="00DF173D"/>
    <w:rsid w:val="00DF198D"/>
    <w:rsid w:val="00DF21DF"/>
    <w:rsid w:val="00DF3D0B"/>
    <w:rsid w:val="00DF4DA5"/>
    <w:rsid w:val="00DF5F72"/>
    <w:rsid w:val="00DF630C"/>
    <w:rsid w:val="00DF6E84"/>
    <w:rsid w:val="00E00E96"/>
    <w:rsid w:val="00E02905"/>
    <w:rsid w:val="00E07B2E"/>
    <w:rsid w:val="00E1317B"/>
    <w:rsid w:val="00E1462B"/>
    <w:rsid w:val="00E1485E"/>
    <w:rsid w:val="00E150D3"/>
    <w:rsid w:val="00E2079D"/>
    <w:rsid w:val="00E2084E"/>
    <w:rsid w:val="00E20DCF"/>
    <w:rsid w:val="00E22612"/>
    <w:rsid w:val="00E22C82"/>
    <w:rsid w:val="00E23DE4"/>
    <w:rsid w:val="00E30600"/>
    <w:rsid w:val="00E315E1"/>
    <w:rsid w:val="00E3187F"/>
    <w:rsid w:val="00E31E4E"/>
    <w:rsid w:val="00E32AF7"/>
    <w:rsid w:val="00E32F37"/>
    <w:rsid w:val="00E34CF8"/>
    <w:rsid w:val="00E352EA"/>
    <w:rsid w:val="00E36F66"/>
    <w:rsid w:val="00E4083B"/>
    <w:rsid w:val="00E42064"/>
    <w:rsid w:val="00E427EC"/>
    <w:rsid w:val="00E42918"/>
    <w:rsid w:val="00E42A19"/>
    <w:rsid w:val="00E42A41"/>
    <w:rsid w:val="00E42BAC"/>
    <w:rsid w:val="00E430A9"/>
    <w:rsid w:val="00E4585D"/>
    <w:rsid w:val="00E4635C"/>
    <w:rsid w:val="00E472E0"/>
    <w:rsid w:val="00E5058F"/>
    <w:rsid w:val="00E506F8"/>
    <w:rsid w:val="00E51202"/>
    <w:rsid w:val="00E5138F"/>
    <w:rsid w:val="00E52394"/>
    <w:rsid w:val="00E5288F"/>
    <w:rsid w:val="00E55CF6"/>
    <w:rsid w:val="00E57295"/>
    <w:rsid w:val="00E57DD3"/>
    <w:rsid w:val="00E601EF"/>
    <w:rsid w:val="00E60E24"/>
    <w:rsid w:val="00E644E8"/>
    <w:rsid w:val="00E6480A"/>
    <w:rsid w:val="00E652F1"/>
    <w:rsid w:val="00E671F6"/>
    <w:rsid w:val="00E70AAD"/>
    <w:rsid w:val="00E712D0"/>
    <w:rsid w:val="00E7226F"/>
    <w:rsid w:val="00E73404"/>
    <w:rsid w:val="00E73CA6"/>
    <w:rsid w:val="00E747CA"/>
    <w:rsid w:val="00E752E0"/>
    <w:rsid w:val="00E76189"/>
    <w:rsid w:val="00E76302"/>
    <w:rsid w:val="00E764FC"/>
    <w:rsid w:val="00E76D5E"/>
    <w:rsid w:val="00E7747B"/>
    <w:rsid w:val="00E82912"/>
    <w:rsid w:val="00E839B5"/>
    <w:rsid w:val="00E8412F"/>
    <w:rsid w:val="00E8419D"/>
    <w:rsid w:val="00E85D3B"/>
    <w:rsid w:val="00E86506"/>
    <w:rsid w:val="00E86611"/>
    <w:rsid w:val="00E87411"/>
    <w:rsid w:val="00E87DF2"/>
    <w:rsid w:val="00E87EFB"/>
    <w:rsid w:val="00E900CE"/>
    <w:rsid w:val="00E911E9"/>
    <w:rsid w:val="00E92BDB"/>
    <w:rsid w:val="00E93182"/>
    <w:rsid w:val="00E94679"/>
    <w:rsid w:val="00E94A71"/>
    <w:rsid w:val="00E97481"/>
    <w:rsid w:val="00EA0281"/>
    <w:rsid w:val="00EA0471"/>
    <w:rsid w:val="00EA1BBC"/>
    <w:rsid w:val="00EA356A"/>
    <w:rsid w:val="00EA3763"/>
    <w:rsid w:val="00EA5D97"/>
    <w:rsid w:val="00EA633F"/>
    <w:rsid w:val="00EB086C"/>
    <w:rsid w:val="00EB2449"/>
    <w:rsid w:val="00EB3770"/>
    <w:rsid w:val="00EB4F67"/>
    <w:rsid w:val="00EB5A1F"/>
    <w:rsid w:val="00EC152D"/>
    <w:rsid w:val="00EC15F5"/>
    <w:rsid w:val="00EC2BB4"/>
    <w:rsid w:val="00EC33F9"/>
    <w:rsid w:val="00EC7F27"/>
    <w:rsid w:val="00ED181E"/>
    <w:rsid w:val="00ED1966"/>
    <w:rsid w:val="00ED3E13"/>
    <w:rsid w:val="00ED3F5B"/>
    <w:rsid w:val="00ED4F26"/>
    <w:rsid w:val="00ED6398"/>
    <w:rsid w:val="00ED63F2"/>
    <w:rsid w:val="00ED6E74"/>
    <w:rsid w:val="00ED6F25"/>
    <w:rsid w:val="00ED7FCE"/>
    <w:rsid w:val="00EE0887"/>
    <w:rsid w:val="00EE177B"/>
    <w:rsid w:val="00EE23E5"/>
    <w:rsid w:val="00EE506E"/>
    <w:rsid w:val="00EE5135"/>
    <w:rsid w:val="00EE59C8"/>
    <w:rsid w:val="00EE6C3A"/>
    <w:rsid w:val="00EE6CBD"/>
    <w:rsid w:val="00EE73D2"/>
    <w:rsid w:val="00EE7C97"/>
    <w:rsid w:val="00EF4533"/>
    <w:rsid w:val="00EF4A6B"/>
    <w:rsid w:val="00EF4C9C"/>
    <w:rsid w:val="00EF5AE4"/>
    <w:rsid w:val="00EF7ECD"/>
    <w:rsid w:val="00F00557"/>
    <w:rsid w:val="00F02287"/>
    <w:rsid w:val="00F043FC"/>
    <w:rsid w:val="00F04628"/>
    <w:rsid w:val="00F1058A"/>
    <w:rsid w:val="00F106DC"/>
    <w:rsid w:val="00F10835"/>
    <w:rsid w:val="00F11DE0"/>
    <w:rsid w:val="00F12E62"/>
    <w:rsid w:val="00F14D0F"/>
    <w:rsid w:val="00F14EB4"/>
    <w:rsid w:val="00F15474"/>
    <w:rsid w:val="00F156CD"/>
    <w:rsid w:val="00F16B5A"/>
    <w:rsid w:val="00F170E8"/>
    <w:rsid w:val="00F21C92"/>
    <w:rsid w:val="00F23DE7"/>
    <w:rsid w:val="00F24703"/>
    <w:rsid w:val="00F2472B"/>
    <w:rsid w:val="00F24A21"/>
    <w:rsid w:val="00F26F12"/>
    <w:rsid w:val="00F27363"/>
    <w:rsid w:val="00F27613"/>
    <w:rsid w:val="00F27FC5"/>
    <w:rsid w:val="00F30AD3"/>
    <w:rsid w:val="00F3160B"/>
    <w:rsid w:val="00F31D1E"/>
    <w:rsid w:val="00F31FB9"/>
    <w:rsid w:val="00F3293C"/>
    <w:rsid w:val="00F4047A"/>
    <w:rsid w:val="00F4251D"/>
    <w:rsid w:val="00F431DE"/>
    <w:rsid w:val="00F446E3"/>
    <w:rsid w:val="00F479D0"/>
    <w:rsid w:val="00F5049D"/>
    <w:rsid w:val="00F5224B"/>
    <w:rsid w:val="00F525EE"/>
    <w:rsid w:val="00F5279B"/>
    <w:rsid w:val="00F60B1F"/>
    <w:rsid w:val="00F613BB"/>
    <w:rsid w:val="00F61484"/>
    <w:rsid w:val="00F62131"/>
    <w:rsid w:val="00F64A2C"/>
    <w:rsid w:val="00F66218"/>
    <w:rsid w:val="00F67848"/>
    <w:rsid w:val="00F703A1"/>
    <w:rsid w:val="00F703B6"/>
    <w:rsid w:val="00F70B50"/>
    <w:rsid w:val="00F70EE8"/>
    <w:rsid w:val="00F733E7"/>
    <w:rsid w:val="00F7392A"/>
    <w:rsid w:val="00F75B90"/>
    <w:rsid w:val="00F7692B"/>
    <w:rsid w:val="00F7751B"/>
    <w:rsid w:val="00F80A51"/>
    <w:rsid w:val="00F80C74"/>
    <w:rsid w:val="00F82528"/>
    <w:rsid w:val="00F826DE"/>
    <w:rsid w:val="00F84AE4"/>
    <w:rsid w:val="00F85DF4"/>
    <w:rsid w:val="00F87574"/>
    <w:rsid w:val="00F90A92"/>
    <w:rsid w:val="00F91C36"/>
    <w:rsid w:val="00F91F67"/>
    <w:rsid w:val="00F95E90"/>
    <w:rsid w:val="00F979B5"/>
    <w:rsid w:val="00FA0C2E"/>
    <w:rsid w:val="00FA2A8A"/>
    <w:rsid w:val="00FA3AF1"/>
    <w:rsid w:val="00FA5BC9"/>
    <w:rsid w:val="00FA6018"/>
    <w:rsid w:val="00FA6735"/>
    <w:rsid w:val="00FB075D"/>
    <w:rsid w:val="00FB08B9"/>
    <w:rsid w:val="00FB165C"/>
    <w:rsid w:val="00FB2C65"/>
    <w:rsid w:val="00FB2EE0"/>
    <w:rsid w:val="00FB55D6"/>
    <w:rsid w:val="00FB5E9F"/>
    <w:rsid w:val="00FC10CA"/>
    <w:rsid w:val="00FC22A0"/>
    <w:rsid w:val="00FC4781"/>
    <w:rsid w:val="00FC53E7"/>
    <w:rsid w:val="00FC5EFF"/>
    <w:rsid w:val="00FC6187"/>
    <w:rsid w:val="00FD02EE"/>
    <w:rsid w:val="00FD0CBA"/>
    <w:rsid w:val="00FD11FE"/>
    <w:rsid w:val="00FD1983"/>
    <w:rsid w:val="00FD1F17"/>
    <w:rsid w:val="00FD1FC9"/>
    <w:rsid w:val="00FD209A"/>
    <w:rsid w:val="00FD23F0"/>
    <w:rsid w:val="00FD3172"/>
    <w:rsid w:val="00FD31FC"/>
    <w:rsid w:val="00FD3A0A"/>
    <w:rsid w:val="00FD3E59"/>
    <w:rsid w:val="00FD4954"/>
    <w:rsid w:val="00FD5E8A"/>
    <w:rsid w:val="00FD79A1"/>
    <w:rsid w:val="00FE203B"/>
    <w:rsid w:val="00FE2D61"/>
    <w:rsid w:val="00FE3107"/>
    <w:rsid w:val="00FE542C"/>
    <w:rsid w:val="00FF2B51"/>
    <w:rsid w:val="00FF393F"/>
    <w:rsid w:val="00FF5C52"/>
    <w:rsid w:val="00FF6B5F"/>
    <w:rsid w:val="00FF74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97"/>
    <o:shapelayout v:ext="edit">
      <o:idmap v:ext="edit" data="1"/>
    </o:shapelayout>
  </w:shapeDefaults>
  <w:decimalSymbol w:val="."/>
  <w:listSeparator w:val=","/>
  <w14:docId w14:val="4FB086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5EB9"/>
    <w:pPr>
      <w:spacing w:before="240" w:after="240"/>
      <w:jc w:val="both"/>
    </w:pPr>
    <w:rPr>
      <w:rFonts w:ascii="Palatino Linotype" w:eastAsiaTheme="minorHAnsi" w:hAnsi="Palatino Linotype"/>
      <w:sz w:val="22"/>
      <w:szCs w:val="22"/>
      <w:lang w:val="en-CA" w:eastAsia="en-US"/>
    </w:rPr>
  </w:style>
  <w:style w:type="paragraph" w:styleId="Heading1">
    <w:name w:val="heading 1"/>
    <w:basedOn w:val="Normal"/>
    <w:next w:val="Normal"/>
    <w:link w:val="Heading1Char"/>
    <w:uiPriority w:val="9"/>
    <w:qFormat/>
    <w:rsid w:val="009114B5"/>
    <w:pPr>
      <w:keepNext/>
      <w:keepLines/>
      <w:numPr>
        <w:numId w:val="7"/>
      </w:numPr>
      <w:spacing w:before="480" w:after="360"/>
      <w:contextualSpacing/>
      <w:jc w:val="left"/>
      <w:outlineLvl w:val="0"/>
    </w:pPr>
    <w:rPr>
      <w:rFonts w:eastAsiaTheme="majorEastAsia" w:cstheme="majorBidi"/>
      <w:b/>
      <w:smallCaps/>
      <w:spacing w:val="4"/>
      <w:sz w:val="32"/>
      <w:szCs w:val="32"/>
    </w:rPr>
  </w:style>
  <w:style w:type="paragraph" w:styleId="Heading2">
    <w:name w:val="heading 2"/>
    <w:basedOn w:val="Normal"/>
    <w:next w:val="Normal"/>
    <w:link w:val="Heading2Char"/>
    <w:uiPriority w:val="9"/>
    <w:unhideWhenUsed/>
    <w:qFormat/>
    <w:rsid w:val="00E36F66"/>
    <w:pPr>
      <w:keepNext/>
      <w:keepLines/>
      <w:numPr>
        <w:ilvl w:val="1"/>
        <w:numId w:val="7"/>
      </w:numPr>
      <w:spacing w:before="360"/>
      <w:contextualSpacing/>
      <w:jc w:val="left"/>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E36F66"/>
    <w:pPr>
      <w:keepNext/>
      <w:keepLines/>
      <w:numPr>
        <w:ilvl w:val="2"/>
        <w:numId w:val="7"/>
      </w:numPr>
      <w:ind w:left="1247" w:hanging="680"/>
      <w:contextualSpacing/>
      <w:jc w:val="left"/>
      <w:outlineLvl w:val="2"/>
    </w:pPr>
    <w:rPr>
      <w:rFonts w:eastAsiaTheme="majorEastAsia" w:cstheme="majorBidi"/>
      <w:b/>
      <w:sz w:val="24"/>
      <w:szCs w:val="24"/>
    </w:rPr>
  </w:style>
  <w:style w:type="paragraph" w:styleId="Heading4">
    <w:name w:val="heading 4"/>
    <w:basedOn w:val="Normal"/>
    <w:next w:val="Normal"/>
    <w:link w:val="Heading4Char"/>
    <w:uiPriority w:val="9"/>
    <w:unhideWhenUsed/>
    <w:qFormat/>
    <w:rsid w:val="002C7C63"/>
    <w:pPr>
      <w:keepNext/>
      <w:keepLines/>
      <w:numPr>
        <w:ilvl w:val="3"/>
        <w:numId w:val="7"/>
      </w:numPr>
      <w:ind w:left="2098" w:hanging="851"/>
      <w:contextualSpacing/>
      <w:jc w:val="left"/>
      <w:outlineLvl w:val="3"/>
    </w:pPr>
    <w:rPr>
      <w:rFonts w:eastAsiaTheme="majorEastAsia" w:cstheme="majorBidi"/>
      <w:b/>
      <w:iCs/>
      <w:sz w:val="24"/>
    </w:rPr>
  </w:style>
  <w:style w:type="paragraph" w:styleId="Heading5">
    <w:name w:val="heading 5"/>
    <w:basedOn w:val="Normal"/>
    <w:next w:val="Normal"/>
    <w:link w:val="Heading5Char"/>
    <w:uiPriority w:val="9"/>
    <w:semiHidden/>
    <w:unhideWhenUsed/>
    <w:rsid w:val="00811E82"/>
    <w:pPr>
      <w:keepNext/>
      <w:keepLines/>
      <w:spacing w:before="200"/>
      <w:outlineLvl w:val="4"/>
    </w:pPr>
    <w:rPr>
      <w:rFonts w:eastAsiaTheme="majorEastAsia" w:cstheme="majorBidi"/>
    </w:rPr>
  </w:style>
  <w:style w:type="paragraph" w:styleId="Heading6">
    <w:name w:val="heading 6"/>
    <w:basedOn w:val="Normal"/>
    <w:next w:val="Normal"/>
    <w:link w:val="Heading6Char"/>
    <w:uiPriority w:val="9"/>
    <w:unhideWhenUsed/>
    <w:rsid w:val="00811E82"/>
    <w:pPr>
      <w:keepNext/>
      <w:keepLines/>
      <w:spacing w:before="200"/>
      <w:outlineLvl w:val="5"/>
    </w:pPr>
    <w:rPr>
      <w:rFonts w:eastAsiaTheme="majorEastAsia" w:cstheme="majorBidi"/>
      <w:iCs/>
      <w:color w:val="243F60" w:themeColor="accent1" w:themeShade="7F"/>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14B5"/>
    <w:rPr>
      <w:rFonts w:eastAsiaTheme="majorEastAsia" w:cstheme="majorBidi"/>
      <w:b/>
      <w:smallCaps/>
      <w:spacing w:val="4"/>
      <w:sz w:val="32"/>
      <w:szCs w:val="32"/>
      <w:lang w:val="en-CA" w:eastAsia="en-US"/>
    </w:rPr>
  </w:style>
  <w:style w:type="character" w:customStyle="1" w:styleId="Heading2Char">
    <w:name w:val="Heading 2 Char"/>
    <w:basedOn w:val="DefaultParagraphFont"/>
    <w:link w:val="Heading2"/>
    <w:uiPriority w:val="9"/>
    <w:rsid w:val="00E36F66"/>
    <w:rPr>
      <w:rFonts w:eastAsiaTheme="majorEastAsia" w:cstheme="majorBidi"/>
      <w:b/>
      <w:sz w:val="28"/>
      <w:szCs w:val="26"/>
      <w:lang w:val="en-CA" w:eastAsia="en-US"/>
    </w:rPr>
  </w:style>
  <w:style w:type="character" w:customStyle="1" w:styleId="Heading4Char">
    <w:name w:val="Heading 4 Char"/>
    <w:basedOn w:val="DefaultParagraphFont"/>
    <w:link w:val="Heading4"/>
    <w:uiPriority w:val="9"/>
    <w:rsid w:val="002C7C63"/>
    <w:rPr>
      <w:rFonts w:ascii="Palatino Linotype" w:eastAsiaTheme="majorEastAsia" w:hAnsi="Palatino Linotype" w:cstheme="majorBidi"/>
      <w:b/>
      <w:iCs/>
      <w:szCs w:val="22"/>
      <w:lang w:val="en-CA" w:eastAsia="en-US"/>
    </w:rPr>
  </w:style>
  <w:style w:type="character" w:customStyle="1" w:styleId="Heading3Char">
    <w:name w:val="Heading 3 Char"/>
    <w:basedOn w:val="DefaultParagraphFont"/>
    <w:link w:val="Heading3"/>
    <w:uiPriority w:val="9"/>
    <w:rsid w:val="00E36F66"/>
    <w:rPr>
      <w:rFonts w:eastAsiaTheme="majorEastAsia" w:cstheme="majorBidi"/>
      <w:b/>
      <w:lang w:val="en-CA" w:eastAsia="en-US"/>
    </w:rPr>
  </w:style>
  <w:style w:type="character" w:customStyle="1" w:styleId="Heading5Char">
    <w:name w:val="Heading 5 Char"/>
    <w:basedOn w:val="DefaultParagraphFont"/>
    <w:link w:val="Heading5"/>
    <w:uiPriority w:val="9"/>
    <w:semiHidden/>
    <w:rsid w:val="00AD2893"/>
    <w:rPr>
      <w:rFonts w:eastAsiaTheme="majorEastAsia" w:cstheme="majorBidi"/>
      <w:szCs w:val="22"/>
      <w:lang w:val="en-CA" w:eastAsia="en-US"/>
    </w:rPr>
  </w:style>
  <w:style w:type="character" w:customStyle="1" w:styleId="Heading6Char">
    <w:name w:val="Heading 6 Char"/>
    <w:basedOn w:val="DefaultParagraphFont"/>
    <w:link w:val="Heading6"/>
    <w:uiPriority w:val="9"/>
    <w:rsid w:val="00C63DB1"/>
    <w:rPr>
      <w:rFonts w:eastAsiaTheme="majorEastAsia" w:cstheme="majorBidi"/>
      <w:iCs/>
      <w:color w:val="243F60" w:themeColor="accent1" w:themeShade="7F"/>
      <w:lang w:eastAsia="en-US"/>
    </w:rPr>
  </w:style>
  <w:style w:type="paragraph" w:styleId="ListParagraph">
    <w:name w:val="List Paragraph"/>
    <w:basedOn w:val="Normal"/>
    <w:uiPriority w:val="34"/>
    <w:qFormat/>
    <w:rsid w:val="008004ED"/>
    <w:pPr>
      <w:spacing w:before="60" w:after="0"/>
      <w:ind w:left="720"/>
      <w:contextualSpacing/>
      <w:jc w:val="left"/>
    </w:pPr>
    <w:rPr>
      <w:rFonts w:eastAsiaTheme="minorEastAsia"/>
      <w:lang w:val="en-US"/>
    </w:rPr>
  </w:style>
  <w:style w:type="paragraph" w:styleId="BalloonText">
    <w:name w:val="Balloon Text"/>
    <w:basedOn w:val="Normal"/>
    <w:link w:val="BalloonTextChar"/>
    <w:uiPriority w:val="99"/>
    <w:semiHidden/>
    <w:unhideWhenUsed/>
    <w:rsid w:val="00E4291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2918"/>
    <w:rPr>
      <w:rFonts w:ascii="Lucida Grande" w:eastAsiaTheme="minorHAnsi" w:hAnsi="Lucida Grande" w:cs="Lucida Grande"/>
      <w:sz w:val="18"/>
      <w:szCs w:val="18"/>
      <w:lang w:val="en-CA" w:eastAsia="en-US"/>
    </w:rPr>
  </w:style>
  <w:style w:type="paragraph" w:styleId="TOC1">
    <w:name w:val="toc 1"/>
    <w:basedOn w:val="Normal"/>
    <w:next w:val="Normal"/>
    <w:autoRedefine/>
    <w:uiPriority w:val="39"/>
    <w:unhideWhenUsed/>
    <w:qFormat/>
    <w:rsid w:val="002A3BB8"/>
    <w:pPr>
      <w:spacing w:after="100"/>
    </w:pPr>
    <w:rPr>
      <w:b/>
      <w:smallCaps/>
    </w:rPr>
  </w:style>
  <w:style w:type="paragraph" w:styleId="TOC2">
    <w:name w:val="toc 2"/>
    <w:basedOn w:val="Normal"/>
    <w:next w:val="Normal"/>
    <w:autoRedefine/>
    <w:uiPriority w:val="39"/>
    <w:unhideWhenUsed/>
    <w:rsid w:val="00F61484"/>
    <w:pPr>
      <w:tabs>
        <w:tab w:val="left" w:pos="426"/>
        <w:tab w:val="left" w:pos="709"/>
        <w:tab w:val="right" w:leader="dot" w:pos="9350"/>
      </w:tabs>
      <w:ind w:left="240"/>
    </w:pPr>
    <w:rPr>
      <w:rFonts w:cs="Times New Roman"/>
      <w:noProof/>
      <w:sz w:val="18"/>
      <w:szCs w:val="18"/>
    </w:rPr>
  </w:style>
  <w:style w:type="paragraph" w:styleId="TOC3">
    <w:name w:val="toc 3"/>
    <w:basedOn w:val="Normal"/>
    <w:next w:val="Normal"/>
    <w:autoRedefine/>
    <w:uiPriority w:val="39"/>
    <w:unhideWhenUsed/>
    <w:rsid w:val="004A1630"/>
    <w:pPr>
      <w:ind w:left="480"/>
    </w:pPr>
    <w:rPr>
      <w:rFonts w:asciiTheme="minorHAnsi" w:hAnsiTheme="minorHAnsi"/>
    </w:rPr>
  </w:style>
  <w:style w:type="paragraph" w:styleId="TOC4">
    <w:name w:val="toc 4"/>
    <w:basedOn w:val="Normal"/>
    <w:next w:val="Normal"/>
    <w:autoRedefine/>
    <w:uiPriority w:val="39"/>
    <w:unhideWhenUsed/>
    <w:rsid w:val="004A1630"/>
    <w:pPr>
      <w:ind w:left="720"/>
    </w:pPr>
    <w:rPr>
      <w:rFonts w:asciiTheme="minorHAnsi" w:hAnsiTheme="minorHAnsi"/>
      <w:sz w:val="20"/>
      <w:szCs w:val="20"/>
    </w:rPr>
  </w:style>
  <w:style w:type="paragraph" w:styleId="TOC5">
    <w:name w:val="toc 5"/>
    <w:basedOn w:val="Normal"/>
    <w:next w:val="Normal"/>
    <w:autoRedefine/>
    <w:uiPriority w:val="39"/>
    <w:unhideWhenUsed/>
    <w:rsid w:val="004A1630"/>
    <w:pPr>
      <w:ind w:left="960"/>
    </w:pPr>
    <w:rPr>
      <w:rFonts w:asciiTheme="minorHAnsi" w:hAnsiTheme="minorHAnsi"/>
      <w:sz w:val="20"/>
      <w:szCs w:val="20"/>
    </w:rPr>
  </w:style>
  <w:style w:type="paragraph" w:styleId="TOC6">
    <w:name w:val="toc 6"/>
    <w:basedOn w:val="Normal"/>
    <w:next w:val="Normal"/>
    <w:autoRedefine/>
    <w:uiPriority w:val="39"/>
    <w:unhideWhenUsed/>
    <w:rsid w:val="004A1630"/>
    <w:pPr>
      <w:ind w:left="1200"/>
    </w:pPr>
    <w:rPr>
      <w:rFonts w:asciiTheme="minorHAnsi" w:hAnsiTheme="minorHAnsi"/>
      <w:sz w:val="20"/>
      <w:szCs w:val="20"/>
    </w:rPr>
  </w:style>
  <w:style w:type="paragraph" w:styleId="TOC7">
    <w:name w:val="toc 7"/>
    <w:basedOn w:val="Normal"/>
    <w:next w:val="Normal"/>
    <w:autoRedefine/>
    <w:uiPriority w:val="39"/>
    <w:unhideWhenUsed/>
    <w:rsid w:val="004A1630"/>
    <w:pPr>
      <w:ind w:left="1440"/>
    </w:pPr>
    <w:rPr>
      <w:rFonts w:asciiTheme="minorHAnsi" w:hAnsiTheme="minorHAnsi"/>
      <w:sz w:val="20"/>
      <w:szCs w:val="20"/>
    </w:rPr>
  </w:style>
  <w:style w:type="paragraph" w:styleId="TOC8">
    <w:name w:val="toc 8"/>
    <w:basedOn w:val="Normal"/>
    <w:next w:val="Normal"/>
    <w:autoRedefine/>
    <w:uiPriority w:val="39"/>
    <w:unhideWhenUsed/>
    <w:rsid w:val="004A1630"/>
    <w:pPr>
      <w:ind w:left="1680"/>
    </w:pPr>
    <w:rPr>
      <w:rFonts w:asciiTheme="minorHAnsi" w:hAnsiTheme="minorHAnsi"/>
      <w:sz w:val="20"/>
      <w:szCs w:val="20"/>
    </w:rPr>
  </w:style>
  <w:style w:type="paragraph" w:styleId="TOC9">
    <w:name w:val="toc 9"/>
    <w:basedOn w:val="Normal"/>
    <w:next w:val="Normal"/>
    <w:autoRedefine/>
    <w:uiPriority w:val="39"/>
    <w:unhideWhenUsed/>
    <w:rsid w:val="004A1630"/>
    <w:pPr>
      <w:ind w:left="1920"/>
    </w:pPr>
    <w:rPr>
      <w:rFonts w:asciiTheme="minorHAnsi" w:hAnsiTheme="minorHAnsi"/>
      <w:sz w:val="20"/>
      <w:szCs w:val="20"/>
    </w:rPr>
  </w:style>
  <w:style w:type="paragraph" w:styleId="FootnoteText">
    <w:name w:val="footnote text"/>
    <w:basedOn w:val="Normal"/>
    <w:link w:val="FootnoteTextChar"/>
    <w:uiPriority w:val="99"/>
    <w:rsid w:val="002822D1"/>
    <w:pPr>
      <w:keepLines/>
      <w:spacing w:before="0" w:after="0"/>
      <w:contextualSpacing/>
      <w:jc w:val="left"/>
    </w:pPr>
    <w:rPr>
      <w:sz w:val="18"/>
      <w:szCs w:val="20"/>
    </w:rPr>
  </w:style>
  <w:style w:type="character" w:customStyle="1" w:styleId="FootnoteTextChar">
    <w:name w:val="Footnote Text Char"/>
    <w:basedOn w:val="DefaultParagraphFont"/>
    <w:link w:val="FootnoteText"/>
    <w:uiPriority w:val="99"/>
    <w:rsid w:val="002822D1"/>
    <w:rPr>
      <w:rFonts w:eastAsiaTheme="minorHAnsi"/>
      <w:sz w:val="18"/>
      <w:szCs w:val="20"/>
      <w:lang w:val="en-CA" w:eastAsia="en-US"/>
    </w:rPr>
  </w:style>
  <w:style w:type="character" w:styleId="FootnoteReference">
    <w:name w:val="footnote reference"/>
    <w:basedOn w:val="DefaultParagraphFont"/>
    <w:uiPriority w:val="99"/>
    <w:rsid w:val="0097044D"/>
    <w:rPr>
      <w:rFonts w:ascii="Palatino Linotype" w:hAnsi="Palatino Linotype"/>
      <w:vertAlign w:val="superscript"/>
    </w:rPr>
  </w:style>
  <w:style w:type="character" w:styleId="Hyperlink">
    <w:name w:val="Hyperlink"/>
    <w:basedOn w:val="DefaultParagraphFont"/>
    <w:uiPriority w:val="99"/>
    <w:unhideWhenUsed/>
    <w:rsid w:val="00114F6F"/>
    <w:rPr>
      <w:color w:val="0000FF"/>
      <w:u w:val="single"/>
    </w:rPr>
  </w:style>
  <w:style w:type="paragraph" w:styleId="NormalWeb">
    <w:name w:val="Normal (Web)"/>
    <w:basedOn w:val="Normal"/>
    <w:uiPriority w:val="99"/>
    <w:unhideWhenUsed/>
    <w:rsid w:val="00114F6F"/>
    <w:pPr>
      <w:spacing w:before="100" w:beforeAutospacing="1" w:after="100" w:afterAutospacing="1"/>
    </w:pPr>
    <w:rPr>
      <w:rFonts w:ascii="Times" w:eastAsiaTheme="minorEastAsia" w:hAnsi="Times" w:cs="Times New Roman"/>
      <w:sz w:val="20"/>
      <w:szCs w:val="20"/>
      <w:lang w:val="en-US"/>
    </w:rPr>
  </w:style>
  <w:style w:type="character" w:customStyle="1" w:styleId="apple-converted-space">
    <w:name w:val="apple-converted-space"/>
    <w:basedOn w:val="DefaultParagraphFont"/>
    <w:rsid w:val="00114F6F"/>
  </w:style>
  <w:style w:type="character" w:styleId="Strong">
    <w:name w:val="Strong"/>
    <w:basedOn w:val="DefaultParagraphFont"/>
    <w:uiPriority w:val="22"/>
    <w:rsid w:val="00114F6F"/>
    <w:rPr>
      <w:b/>
      <w:bCs/>
    </w:rPr>
  </w:style>
  <w:style w:type="paragraph" w:styleId="Footer">
    <w:name w:val="footer"/>
    <w:basedOn w:val="Normal"/>
    <w:link w:val="FooterChar"/>
    <w:uiPriority w:val="99"/>
    <w:unhideWhenUsed/>
    <w:rsid w:val="00420DAF"/>
    <w:pPr>
      <w:tabs>
        <w:tab w:val="center" w:pos="4320"/>
        <w:tab w:val="right" w:pos="8640"/>
      </w:tabs>
    </w:pPr>
  </w:style>
  <w:style w:type="character" w:customStyle="1" w:styleId="FooterChar">
    <w:name w:val="Footer Char"/>
    <w:basedOn w:val="DefaultParagraphFont"/>
    <w:link w:val="Footer"/>
    <w:uiPriority w:val="99"/>
    <w:rsid w:val="00420DAF"/>
    <w:rPr>
      <w:rFonts w:eastAsiaTheme="minorHAnsi"/>
      <w:szCs w:val="22"/>
      <w:lang w:val="en-CA" w:eastAsia="en-US"/>
    </w:rPr>
  </w:style>
  <w:style w:type="character" w:styleId="PageNumber">
    <w:name w:val="page number"/>
    <w:basedOn w:val="DefaultParagraphFont"/>
    <w:uiPriority w:val="99"/>
    <w:semiHidden/>
    <w:unhideWhenUsed/>
    <w:rsid w:val="00420DAF"/>
  </w:style>
  <w:style w:type="character" w:styleId="FollowedHyperlink">
    <w:name w:val="FollowedHyperlink"/>
    <w:basedOn w:val="DefaultParagraphFont"/>
    <w:uiPriority w:val="99"/>
    <w:semiHidden/>
    <w:unhideWhenUsed/>
    <w:rsid w:val="00A463B2"/>
    <w:rPr>
      <w:color w:val="800080" w:themeColor="followedHyperlink"/>
      <w:u w:val="single"/>
    </w:rPr>
  </w:style>
  <w:style w:type="character" w:styleId="Emphasis">
    <w:name w:val="Emphasis"/>
    <w:basedOn w:val="DefaultParagraphFont"/>
    <w:uiPriority w:val="20"/>
    <w:rsid w:val="00087007"/>
    <w:rPr>
      <w:i/>
      <w:iCs/>
    </w:rPr>
  </w:style>
  <w:style w:type="paragraph" w:styleId="Header">
    <w:name w:val="header"/>
    <w:basedOn w:val="Normal"/>
    <w:link w:val="HeaderChar"/>
    <w:uiPriority w:val="99"/>
    <w:unhideWhenUsed/>
    <w:rsid w:val="00101E92"/>
    <w:pPr>
      <w:tabs>
        <w:tab w:val="center" w:pos="4320"/>
        <w:tab w:val="right" w:pos="8640"/>
      </w:tabs>
    </w:pPr>
  </w:style>
  <w:style w:type="character" w:customStyle="1" w:styleId="HeaderChar">
    <w:name w:val="Header Char"/>
    <w:basedOn w:val="DefaultParagraphFont"/>
    <w:link w:val="Header"/>
    <w:uiPriority w:val="99"/>
    <w:rsid w:val="00101E92"/>
    <w:rPr>
      <w:rFonts w:eastAsiaTheme="minorHAnsi"/>
      <w:szCs w:val="22"/>
      <w:lang w:val="en-CA" w:eastAsia="en-US"/>
    </w:rPr>
  </w:style>
  <w:style w:type="paragraph" w:customStyle="1" w:styleId="subsection">
    <w:name w:val="subsection"/>
    <w:basedOn w:val="Normal"/>
    <w:rsid w:val="00FD209A"/>
    <w:pPr>
      <w:spacing w:before="100" w:beforeAutospacing="1" w:after="100" w:afterAutospacing="1"/>
    </w:pPr>
    <w:rPr>
      <w:rFonts w:ascii="Times" w:eastAsiaTheme="minorEastAsia" w:hAnsi="Times"/>
      <w:sz w:val="20"/>
      <w:szCs w:val="20"/>
      <w:lang w:val="en-US"/>
    </w:rPr>
  </w:style>
  <w:style w:type="character" w:customStyle="1" w:styleId="sectionlabel">
    <w:name w:val="sectionlabel"/>
    <w:basedOn w:val="DefaultParagraphFont"/>
    <w:rsid w:val="00FD209A"/>
  </w:style>
  <w:style w:type="paragraph" w:customStyle="1" w:styleId="paragraph">
    <w:name w:val="paragraph"/>
    <w:basedOn w:val="Normal"/>
    <w:rsid w:val="00FD209A"/>
    <w:pPr>
      <w:spacing w:before="100" w:beforeAutospacing="1" w:after="100" w:afterAutospacing="1"/>
    </w:pPr>
    <w:rPr>
      <w:rFonts w:ascii="Times" w:eastAsiaTheme="minorEastAsia" w:hAnsi="Times"/>
      <w:sz w:val="20"/>
      <w:szCs w:val="20"/>
      <w:lang w:val="en-US"/>
    </w:rPr>
  </w:style>
  <w:style w:type="paragraph" w:customStyle="1" w:styleId="legclearfix">
    <w:name w:val="legclearfix"/>
    <w:basedOn w:val="Normal"/>
    <w:rsid w:val="00C00D56"/>
    <w:pPr>
      <w:spacing w:before="100" w:beforeAutospacing="1" w:after="100" w:afterAutospacing="1"/>
    </w:pPr>
    <w:rPr>
      <w:rFonts w:ascii="Times" w:eastAsiaTheme="minorEastAsia" w:hAnsi="Times"/>
      <w:sz w:val="20"/>
      <w:szCs w:val="20"/>
      <w:lang w:val="en-US"/>
    </w:rPr>
  </w:style>
  <w:style w:type="character" w:customStyle="1" w:styleId="legds">
    <w:name w:val="legds"/>
    <w:basedOn w:val="DefaultParagraphFont"/>
    <w:rsid w:val="00C00D56"/>
  </w:style>
  <w:style w:type="character" w:styleId="CommentReference">
    <w:name w:val="annotation reference"/>
    <w:basedOn w:val="DefaultParagraphFont"/>
    <w:uiPriority w:val="99"/>
    <w:semiHidden/>
    <w:unhideWhenUsed/>
    <w:rsid w:val="002B036D"/>
    <w:rPr>
      <w:sz w:val="18"/>
      <w:szCs w:val="18"/>
    </w:rPr>
  </w:style>
  <w:style w:type="paragraph" w:styleId="CommentText">
    <w:name w:val="annotation text"/>
    <w:basedOn w:val="Normal"/>
    <w:link w:val="CommentTextChar"/>
    <w:uiPriority w:val="99"/>
    <w:semiHidden/>
    <w:unhideWhenUsed/>
    <w:rsid w:val="002B036D"/>
    <w:rPr>
      <w:szCs w:val="24"/>
    </w:rPr>
  </w:style>
  <w:style w:type="character" w:customStyle="1" w:styleId="CommentTextChar">
    <w:name w:val="Comment Text Char"/>
    <w:basedOn w:val="DefaultParagraphFont"/>
    <w:link w:val="CommentText"/>
    <w:uiPriority w:val="99"/>
    <w:semiHidden/>
    <w:rsid w:val="002B036D"/>
    <w:rPr>
      <w:rFonts w:eastAsiaTheme="minorHAnsi"/>
      <w:lang w:val="en-CA" w:eastAsia="en-US"/>
    </w:rPr>
  </w:style>
  <w:style w:type="paragraph" w:styleId="CommentSubject">
    <w:name w:val="annotation subject"/>
    <w:basedOn w:val="CommentText"/>
    <w:next w:val="CommentText"/>
    <w:link w:val="CommentSubjectChar"/>
    <w:uiPriority w:val="99"/>
    <w:semiHidden/>
    <w:unhideWhenUsed/>
    <w:rsid w:val="002B036D"/>
    <w:rPr>
      <w:b/>
      <w:bCs/>
      <w:sz w:val="20"/>
      <w:szCs w:val="20"/>
    </w:rPr>
  </w:style>
  <w:style w:type="character" w:customStyle="1" w:styleId="CommentSubjectChar">
    <w:name w:val="Comment Subject Char"/>
    <w:basedOn w:val="CommentTextChar"/>
    <w:link w:val="CommentSubject"/>
    <w:uiPriority w:val="99"/>
    <w:semiHidden/>
    <w:rsid w:val="002B036D"/>
    <w:rPr>
      <w:rFonts w:eastAsiaTheme="minorHAnsi"/>
      <w:b/>
      <w:bCs/>
      <w:sz w:val="20"/>
      <w:szCs w:val="20"/>
      <w:lang w:val="en-CA" w:eastAsia="en-US"/>
    </w:rPr>
  </w:style>
  <w:style w:type="table" w:styleId="TableGrid">
    <w:name w:val="Table Grid"/>
    <w:basedOn w:val="TableNormal"/>
    <w:uiPriority w:val="59"/>
    <w:rsid w:val="005E53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FD0CBA"/>
    <w:pPr>
      <w:outlineLvl w:val="9"/>
    </w:pPr>
    <w:rPr>
      <w:rFonts w:asciiTheme="majorHAnsi" w:hAnsiTheme="majorHAnsi"/>
      <w:color w:val="365F91" w:themeColor="accent1" w:themeShade="BF"/>
      <w:sz w:val="28"/>
    </w:rPr>
  </w:style>
  <w:style w:type="paragraph" w:styleId="BodyText2">
    <w:name w:val="Body Text 2"/>
    <w:basedOn w:val="Normal"/>
    <w:link w:val="BodyText2Char"/>
    <w:rsid w:val="007C4CC1"/>
    <w:pPr>
      <w:widowControl w:val="0"/>
      <w:spacing w:after="200"/>
    </w:pPr>
    <w:rPr>
      <w:rFonts w:eastAsiaTheme="minorEastAsia" w:cs="Times New Roman"/>
      <w:szCs w:val="24"/>
      <w:lang w:val="en-US"/>
    </w:rPr>
  </w:style>
  <w:style w:type="character" w:customStyle="1" w:styleId="BodyText2Char">
    <w:name w:val="Body Text 2 Char"/>
    <w:basedOn w:val="DefaultParagraphFont"/>
    <w:link w:val="BodyText2"/>
    <w:rsid w:val="007C4CC1"/>
    <w:rPr>
      <w:rFonts w:cs="Times New Roman"/>
      <w:sz w:val="22"/>
      <w:lang w:eastAsia="en-US"/>
    </w:rPr>
  </w:style>
  <w:style w:type="paragraph" w:styleId="NoSpacing">
    <w:name w:val="No Spacing"/>
    <w:uiPriority w:val="1"/>
    <w:rsid w:val="007E1985"/>
    <w:rPr>
      <w:rFonts w:eastAsiaTheme="minorHAnsi"/>
      <w:szCs w:val="22"/>
      <w:lang w:val="en-CA" w:eastAsia="en-US"/>
    </w:rPr>
  </w:style>
  <w:style w:type="paragraph" w:customStyle="1" w:styleId="Default">
    <w:name w:val="Default"/>
    <w:rsid w:val="005D2B6B"/>
    <w:pPr>
      <w:autoSpaceDE w:val="0"/>
      <w:autoSpaceDN w:val="0"/>
      <w:adjustRightInd w:val="0"/>
    </w:pPr>
    <w:rPr>
      <w:rFonts w:ascii="Arial" w:hAnsi="Arial" w:cs="Arial"/>
      <w:color w:val="000000"/>
      <w:lang w:val="en-CA"/>
    </w:rPr>
  </w:style>
  <w:style w:type="paragraph" w:customStyle="1" w:styleId="BlockQuote">
    <w:name w:val="Block Quote"/>
    <w:basedOn w:val="Normal"/>
    <w:link w:val="BlockQuoteChar"/>
    <w:qFormat/>
    <w:rsid w:val="002822D1"/>
    <w:pPr>
      <w:spacing w:before="120" w:after="120"/>
      <w:ind w:left="720" w:right="720"/>
    </w:pPr>
    <w:rPr>
      <w:sz w:val="21"/>
    </w:rPr>
  </w:style>
  <w:style w:type="character" w:customStyle="1" w:styleId="BlockQuoteChar">
    <w:name w:val="Block Quote Char"/>
    <w:basedOn w:val="DefaultParagraphFont"/>
    <w:link w:val="BlockQuote"/>
    <w:rsid w:val="002822D1"/>
    <w:rPr>
      <w:rFonts w:eastAsiaTheme="minorHAnsi"/>
      <w:sz w:val="21"/>
      <w:szCs w:val="22"/>
      <w:lang w:val="en-CA" w:eastAsia="en-US"/>
    </w:rPr>
  </w:style>
  <w:style w:type="paragraph" w:customStyle="1" w:styleId="ExcerptMarker">
    <w:name w:val="Excerpt Marker"/>
    <w:basedOn w:val="Normal"/>
    <w:link w:val="ExcerptMarkerChar"/>
    <w:qFormat/>
    <w:rsid w:val="002A3BB8"/>
    <w:pPr>
      <w:spacing w:before="120" w:after="120"/>
      <w:jc w:val="center"/>
    </w:pPr>
    <w:rPr>
      <w:rFonts w:eastAsiaTheme="minorEastAsia" w:cs="Times New Roman"/>
      <w:smallCaps/>
      <w:sz w:val="18"/>
      <w:lang w:val="en-US" w:eastAsia="zh-CN"/>
    </w:rPr>
  </w:style>
  <w:style w:type="character" w:customStyle="1" w:styleId="ExcerptMarkerChar">
    <w:name w:val="Excerpt Marker Char"/>
    <w:basedOn w:val="DefaultParagraphFont"/>
    <w:link w:val="ExcerptMarker"/>
    <w:rsid w:val="002A3BB8"/>
    <w:rPr>
      <w:rFonts w:cs="Times New Roman"/>
      <w:smallCaps/>
      <w:sz w:val="18"/>
      <w:szCs w:val="22"/>
      <w:lang w:eastAsia="zh-CN"/>
    </w:rPr>
  </w:style>
  <w:style w:type="paragraph" w:customStyle="1" w:styleId="TitlePgChTitle">
    <w:name w:val="Title Pg Ch. Title"/>
    <w:basedOn w:val="Normal"/>
    <w:link w:val="TitlePgChTitleChar"/>
    <w:qFormat/>
    <w:rsid w:val="002A3BB8"/>
    <w:pPr>
      <w:jc w:val="center"/>
    </w:pPr>
    <w:rPr>
      <w:b/>
      <w:smallCaps/>
      <w:spacing w:val="10"/>
      <w:sz w:val="36"/>
    </w:rPr>
  </w:style>
  <w:style w:type="character" w:customStyle="1" w:styleId="TitlePgChTitleChar">
    <w:name w:val="Title Pg Ch. Title Char"/>
    <w:basedOn w:val="DefaultParagraphFont"/>
    <w:link w:val="TitlePgChTitle"/>
    <w:rsid w:val="002A3BB8"/>
    <w:rPr>
      <w:rFonts w:eastAsiaTheme="minorHAnsi"/>
      <w:b/>
      <w:smallCaps/>
      <w:spacing w:val="10"/>
      <w:sz w:val="36"/>
      <w:szCs w:val="22"/>
      <w:lang w:val="en-CA" w:eastAsia="en-US"/>
    </w:rPr>
  </w:style>
  <w:style w:type="paragraph" w:customStyle="1" w:styleId="TitlePgCh">
    <w:name w:val="Title Pg Ch.#"/>
    <w:basedOn w:val="Normal"/>
    <w:link w:val="TitlePgChChar"/>
    <w:qFormat/>
    <w:rsid w:val="002A3BB8"/>
    <w:pPr>
      <w:spacing w:after="480"/>
      <w:jc w:val="center"/>
    </w:pPr>
    <w:rPr>
      <w:b/>
      <w:smallCaps/>
      <w:spacing w:val="20"/>
      <w:sz w:val="28"/>
    </w:rPr>
  </w:style>
  <w:style w:type="character" w:customStyle="1" w:styleId="TitlePgChChar">
    <w:name w:val="Title Pg Ch.# Char"/>
    <w:basedOn w:val="DefaultParagraphFont"/>
    <w:link w:val="TitlePgCh"/>
    <w:rsid w:val="002A3BB8"/>
    <w:rPr>
      <w:rFonts w:eastAsiaTheme="minorHAnsi"/>
      <w:b/>
      <w:smallCaps/>
      <w:spacing w:val="20"/>
      <w:sz w:val="28"/>
      <w:szCs w:val="22"/>
      <w:lang w:val="en-CA" w:eastAsia="en-US"/>
    </w:rPr>
  </w:style>
  <w:style w:type="paragraph" w:customStyle="1" w:styleId="TOCHeading1">
    <w:name w:val="TOC Heading1"/>
    <w:basedOn w:val="Normal"/>
    <w:link w:val="ToCHeadingChar"/>
    <w:qFormat/>
    <w:rsid w:val="002A3BB8"/>
    <w:pPr>
      <w:jc w:val="left"/>
    </w:pPr>
    <w:rPr>
      <w:b/>
      <w:smallCaps/>
      <w:spacing w:val="4"/>
      <w:sz w:val="32"/>
    </w:rPr>
  </w:style>
  <w:style w:type="character" w:customStyle="1" w:styleId="ToCHeadingChar">
    <w:name w:val="ToC Heading Char"/>
    <w:basedOn w:val="DefaultParagraphFont"/>
    <w:link w:val="TOCHeading1"/>
    <w:rsid w:val="002A3BB8"/>
    <w:rPr>
      <w:rFonts w:eastAsiaTheme="minorHAnsi"/>
      <w:b/>
      <w:smallCaps/>
      <w:spacing w:val="4"/>
      <w:sz w:val="32"/>
      <w:szCs w:val="22"/>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727564">
      <w:bodyDiv w:val="1"/>
      <w:marLeft w:val="0"/>
      <w:marRight w:val="0"/>
      <w:marTop w:val="0"/>
      <w:marBottom w:val="0"/>
      <w:divBdr>
        <w:top w:val="none" w:sz="0" w:space="0" w:color="auto"/>
        <w:left w:val="none" w:sz="0" w:space="0" w:color="auto"/>
        <w:bottom w:val="none" w:sz="0" w:space="0" w:color="auto"/>
        <w:right w:val="none" w:sz="0" w:space="0" w:color="auto"/>
      </w:divBdr>
    </w:div>
    <w:div w:id="360515258">
      <w:bodyDiv w:val="1"/>
      <w:marLeft w:val="0"/>
      <w:marRight w:val="0"/>
      <w:marTop w:val="0"/>
      <w:marBottom w:val="0"/>
      <w:divBdr>
        <w:top w:val="none" w:sz="0" w:space="0" w:color="auto"/>
        <w:left w:val="none" w:sz="0" w:space="0" w:color="auto"/>
        <w:bottom w:val="none" w:sz="0" w:space="0" w:color="auto"/>
        <w:right w:val="none" w:sz="0" w:space="0" w:color="auto"/>
      </w:divBdr>
    </w:div>
    <w:div w:id="371536954">
      <w:bodyDiv w:val="1"/>
      <w:marLeft w:val="0"/>
      <w:marRight w:val="0"/>
      <w:marTop w:val="0"/>
      <w:marBottom w:val="0"/>
      <w:divBdr>
        <w:top w:val="none" w:sz="0" w:space="0" w:color="auto"/>
        <w:left w:val="none" w:sz="0" w:space="0" w:color="auto"/>
        <w:bottom w:val="none" w:sz="0" w:space="0" w:color="auto"/>
        <w:right w:val="none" w:sz="0" w:space="0" w:color="auto"/>
      </w:divBdr>
    </w:div>
    <w:div w:id="662658435">
      <w:bodyDiv w:val="1"/>
      <w:marLeft w:val="0"/>
      <w:marRight w:val="0"/>
      <w:marTop w:val="0"/>
      <w:marBottom w:val="0"/>
      <w:divBdr>
        <w:top w:val="none" w:sz="0" w:space="0" w:color="auto"/>
        <w:left w:val="none" w:sz="0" w:space="0" w:color="auto"/>
        <w:bottom w:val="none" w:sz="0" w:space="0" w:color="auto"/>
        <w:right w:val="none" w:sz="0" w:space="0" w:color="auto"/>
      </w:divBdr>
    </w:div>
    <w:div w:id="753474763">
      <w:bodyDiv w:val="1"/>
      <w:marLeft w:val="0"/>
      <w:marRight w:val="0"/>
      <w:marTop w:val="0"/>
      <w:marBottom w:val="0"/>
      <w:divBdr>
        <w:top w:val="none" w:sz="0" w:space="0" w:color="auto"/>
        <w:left w:val="none" w:sz="0" w:space="0" w:color="auto"/>
        <w:bottom w:val="none" w:sz="0" w:space="0" w:color="auto"/>
        <w:right w:val="none" w:sz="0" w:space="0" w:color="auto"/>
      </w:divBdr>
    </w:div>
    <w:div w:id="805514503">
      <w:bodyDiv w:val="1"/>
      <w:marLeft w:val="0"/>
      <w:marRight w:val="0"/>
      <w:marTop w:val="0"/>
      <w:marBottom w:val="0"/>
      <w:divBdr>
        <w:top w:val="none" w:sz="0" w:space="0" w:color="auto"/>
        <w:left w:val="none" w:sz="0" w:space="0" w:color="auto"/>
        <w:bottom w:val="none" w:sz="0" w:space="0" w:color="auto"/>
        <w:right w:val="none" w:sz="0" w:space="0" w:color="auto"/>
      </w:divBdr>
    </w:div>
    <w:div w:id="950091587">
      <w:bodyDiv w:val="1"/>
      <w:marLeft w:val="0"/>
      <w:marRight w:val="0"/>
      <w:marTop w:val="0"/>
      <w:marBottom w:val="0"/>
      <w:divBdr>
        <w:top w:val="none" w:sz="0" w:space="0" w:color="auto"/>
        <w:left w:val="none" w:sz="0" w:space="0" w:color="auto"/>
        <w:bottom w:val="none" w:sz="0" w:space="0" w:color="auto"/>
        <w:right w:val="none" w:sz="0" w:space="0" w:color="auto"/>
      </w:divBdr>
    </w:div>
    <w:div w:id="992948925">
      <w:bodyDiv w:val="1"/>
      <w:marLeft w:val="0"/>
      <w:marRight w:val="0"/>
      <w:marTop w:val="0"/>
      <w:marBottom w:val="0"/>
      <w:divBdr>
        <w:top w:val="none" w:sz="0" w:space="0" w:color="auto"/>
        <w:left w:val="none" w:sz="0" w:space="0" w:color="auto"/>
        <w:bottom w:val="none" w:sz="0" w:space="0" w:color="auto"/>
        <w:right w:val="none" w:sz="0" w:space="0" w:color="auto"/>
      </w:divBdr>
    </w:div>
    <w:div w:id="1109399707">
      <w:bodyDiv w:val="1"/>
      <w:marLeft w:val="0"/>
      <w:marRight w:val="0"/>
      <w:marTop w:val="0"/>
      <w:marBottom w:val="0"/>
      <w:divBdr>
        <w:top w:val="none" w:sz="0" w:space="0" w:color="auto"/>
        <w:left w:val="none" w:sz="0" w:space="0" w:color="auto"/>
        <w:bottom w:val="none" w:sz="0" w:space="0" w:color="auto"/>
        <w:right w:val="none" w:sz="0" w:space="0" w:color="auto"/>
      </w:divBdr>
      <w:divsChild>
        <w:div w:id="917983316">
          <w:marLeft w:val="0"/>
          <w:marRight w:val="0"/>
          <w:marTop w:val="0"/>
          <w:marBottom w:val="0"/>
          <w:divBdr>
            <w:top w:val="none" w:sz="0" w:space="0" w:color="auto"/>
            <w:left w:val="none" w:sz="0" w:space="0" w:color="auto"/>
            <w:bottom w:val="none" w:sz="0" w:space="0" w:color="auto"/>
            <w:right w:val="none" w:sz="0" w:space="0" w:color="auto"/>
          </w:divBdr>
          <w:divsChild>
            <w:div w:id="1698118698">
              <w:marLeft w:val="0"/>
              <w:marRight w:val="0"/>
              <w:marTop w:val="0"/>
              <w:marBottom w:val="0"/>
              <w:divBdr>
                <w:top w:val="none" w:sz="0" w:space="0" w:color="auto"/>
                <w:left w:val="none" w:sz="0" w:space="0" w:color="auto"/>
                <w:bottom w:val="none" w:sz="0" w:space="0" w:color="auto"/>
                <w:right w:val="none" w:sz="0" w:space="0" w:color="auto"/>
              </w:divBdr>
              <w:divsChild>
                <w:div w:id="60451400">
                  <w:marLeft w:val="0"/>
                  <w:marRight w:val="0"/>
                  <w:marTop w:val="0"/>
                  <w:marBottom w:val="0"/>
                  <w:divBdr>
                    <w:top w:val="none" w:sz="0" w:space="0" w:color="auto"/>
                    <w:left w:val="none" w:sz="0" w:space="0" w:color="auto"/>
                    <w:bottom w:val="none" w:sz="0" w:space="0" w:color="auto"/>
                    <w:right w:val="none" w:sz="0" w:space="0" w:color="auto"/>
                  </w:divBdr>
                  <w:divsChild>
                    <w:div w:id="182840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469989">
      <w:bodyDiv w:val="1"/>
      <w:marLeft w:val="0"/>
      <w:marRight w:val="0"/>
      <w:marTop w:val="0"/>
      <w:marBottom w:val="0"/>
      <w:divBdr>
        <w:top w:val="none" w:sz="0" w:space="0" w:color="auto"/>
        <w:left w:val="none" w:sz="0" w:space="0" w:color="auto"/>
        <w:bottom w:val="none" w:sz="0" w:space="0" w:color="auto"/>
        <w:right w:val="none" w:sz="0" w:space="0" w:color="auto"/>
      </w:divBdr>
    </w:div>
    <w:div w:id="1234780530">
      <w:bodyDiv w:val="1"/>
      <w:marLeft w:val="0"/>
      <w:marRight w:val="0"/>
      <w:marTop w:val="0"/>
      <w:marBottom w:val="0"/>
      <w:divBdr>
        <w:top w:val="none" w:sz="0" w:space="0" w:color="auto"/>
        <w:left w:val="none" w:sz="0" w:space="0" w:color="auto"/>
        <w:bottom w:val="none" w:sz="0" w:space="0" w:color="auto"/>
        <w:right w:val="none" w:sz="0" w:space="0" w:color="auto"/>
      </w:divBdr>
    </w:div>
    <w:div w:id="1279072147">
      <w:bodyDiv w:val="1"/>
      <w:marLeft w:val="0"/>
      <w:marRight w:val="0"/>
      <w:marTop w:val="0"/>
      <w:marBottom w:val="0"/>
      <w:divBdr>
        <w:top w:val="none" w:sz="0" w:space="0" w:color="auto"/>
        <w:left w:val="none" w:sz="0" w:space="0" w:color="auto"/>
        <w:bottom w:val="none" w:sz="0" w:space="0" w:color="auto"/>
        <w:right w:val="none" w:sz="0" w:space="0" w:color="auto"/>
      </w:divBdr>
    </w:div>
    <w:div w:id="1321739450">
      <w:bodyDiv w:val="1"/>
      <w:marLeft w:val="0"/>
      <w:marRight w:val="0"/>
      <w:marTop w:val="0"/>
      <w:marBottom w:val="0"/>
      <w:divBdr>
        <w:top w:val="none" w:sz="0" w:space="0" w:color="auto"/>
        <w:left w:val="none" w:sz="0" w:space="0" w:color="auto"/>
        <w:bottom w:val="none" w:sz="0" w:space="0" w:color="auto"/>
        <w:right w:val="none" w:sz="0" w:space="0" w:color="auto"/>
      </w:divBdr>
    </w:div>
    <w:div w:id="1352537378">
      <w:bodyDiv w:val="1"/>
      <w:marLeft w:val="0"/>
      <w:marRight w:val="0"/>
      <w:marTop w:val="0"/>
      <w:marBottom w:val="0"/>
      <w:divBdr>
        <w:top w:val="none" w:sz="0" w:space="0" w:color="auto"/>
        <w:left w:val="none" w:sz="0" w:space="0" w:color="auto"/>
        <w:bottom w:val="none" w:sz="0" w:space="0" w:color="auto"/>
        <w:right w:val="none" w:sz="0" w:space="0" w:color="auto"/>
      </w:divBdr>
    </w:div>
    <w:div w:id="1376345949">
      <w:bodyDiv w:val="1"/>
      <w:marLeft w:val="0"/>
      <w:marRight w:val="0"/>
      <w:marTop w:val="0"/>
      <w:marBottom w:val="0"/>
      <w:divBdr>
        <w:top w:val="none" w:sz="0" w:space="0" w:color="auto"/>
        <w:left w:val="none" w:sz="0" w:space="0" w:color="auto"/>
        <w:bottom w:val="none" w:sz="0" w:space="0" w:color="auto"/>
        <w:right w:val="none" w:sz="0" w:space="0" w:color="auto"/>
      </w:divBdr>
    </w:div>
    <w:div w:id="1379431048">
      <w:bodyDiv w:val="1"/>
      <w:marLeft w:val="0"/>
      <w:marRight w:val="0"/>
      <w:marTop w:val="0"/>
      <w:marBottom w:val="0"/>
      <w:divBdr>
        <w:top w:val="none" w:sz="0" w:space="0" w:color="auto"/>
        <w:left w:val="none" w:sz="0" w:space="0" w:color="auto"/>
        <w:bottom w:val="none" w:sz="0" w:space="0" w:color="auto"/>
        <w:right w:val="none" w:sz="0" w:space="0" w:color="auto"/>
      </w:divBdr>
    </w:div>
    <w:div w:id="1629429135">
      <w:bodyDiv w:val="1"/>
      <w:marLeft w:val="0"/>
      <w:marRight w:val="0"/>
      <w:marTop w:val="0"/>
      <w:marBottom w:val="0"/>
      <w:divBdr>
        <w:top w:val="none" w:sz="0" w:space="0" w:color="auto"/>
        <w:left w:val="none" w:sz="0" w:space="0" w:color="auto"/>
        <w:bottom w:val="none" w:sz="0" w:space="0" w:color="auto"/>
        <w:right w:val="none" w:sz="0" w:space="0" w:color="auto"/>
      </w:divBdr>
    </w:div>
    <w:div w:id="1711609067">
      <w:bodyDiv w:val="1"/>
      <w:marLeft w:val="0"/>
      <w:marRight w:val="0"/>
      <w:marTop w:val="0"/>
      <w:marBottom w:val="0"/>
      <w:divBdr>
        <w:top w:val="none" w:sz="0" w:space="0" w:color="auto"/>
        <w:left w:val="none" w:sz="0" w:space="0" w:color="auto"/>
        <w:bottom w:val="none" w:sz="0" w:space="0" w:color="auto"/>
        <w:right w:val="none" w:sz="0" w:space="0" w:color="auto"/>
      </w:divBdr>
    </w:div>
    <w:div w:id="1737969165">
      <w:bodyDiv w:val="1"/>
      <w:marLeft w:val="0"/>
      <w:marRight w:val="0"/>
      <w:marTop w:val="0"/>
      <w:marBottom w:val="0"/>
      <w:divBdr>
        <w:top w:val="none" w:sz="0" w:space="0" w:color="auto"/>
        <w:left w:val="none" w:sz="0" w:space="0" w:color="auto"/>
        <w:bottom w:val="none" w:sz="0" w:space="0" w:color="auto"/>
        <w:right w:val="none" w:sz="0" w:space="0" w:color="auto"/>
      </w:divBdr>
    </w:div>
    <w:div w:id="1806046105">
      <w:bodyDiv w:val="1"/>
      <w:marLeft w:val="0"/>
      <w:marRight w:val="0"/>
      <w:marTop w:val="0"/>
      <w:marBottom w:val="0"/>
      <w:divBdr>
        <w:top w:val="none" w:sz="0" w:space="0" w:color="auto"/>
        <w:left w:val="none" w:sz="0" w:space="0" w:color="auto"/>
        <w:bottom w:val="none" w:sz="0" w:space="0" w:color="auto"/>
        <w:right w:val="none" w:sz="0" w:space="0" w:color="auto"/>
      </w:divBdr>
    </w:div>
    <w:div w:id="1811360360">
      <w:bodyDiv w:val="1"/>
      <w:marLeft w:val="0"/>
      <w:marRight w:val="0"/>
      <w:marTop w:val="0"/>
      <w:marBottom w:val="0"/>
      <w:divBdr>
        <w:top w:val="none" w:sz="0" w:space="0" w:color="auto"/>
        <w:left w:val="none" w:sz="0" w:space="0" w:color="auto"/>
        <w:bottom w:val="none" w:sz="0" w:space="0" w:color="auto"/>
        <w:right w:val="none" w:sz="0" w:space="0" w:color="auto"/>
      </w:divBdr>
    </w:div>
    <w:div w:id="1852378864">
      <w:bodyDiv w:val="1"/>
      <w:marLeft w:val="0"/>
      <w:marRight w:val="0"/>
      <w:marTop w:val="0"/>
      <w:marBottom w:val="0"/>
      <w:divBdr>
        <w:top w:val="none" w:sz="0" w:space="0" w:color="auto"/>
        <w:left w:val="none" w:sz="0" w:space="0" w:color="auto"/>
        <w:bottom w:val="none" w:sz="0" w:space="0" w:color="auto"/>
        <w:right w:val="none" w:sz="0" w:space="0" w:color="auto"/>
      </w:divBdr>
    </w:div>
    <w:div w:id="1916430850">
      <w:bodyDiv w:val="1"/>
      <w:marLeft w:val="0"/>
      <w:marRight w:val="0"/>
      <w:marTop w:val="0"/>
      <w:marBottom w:val="0"/>
      <w:divBdr>
        <w:top w:val="none" w:sz="0" w:space="0" w:color="auto"/>
        <w:left w:val="none" w:sz="0" w:space="0" w:color="auto"/>
        <w:bottom w:val="none" w:sz="0" w:space="0" w:color="auto"/>
        <w:right w:val="none" w:sz="0" w:space="0" w:color="auto"/>
      </w:divBdr>
    </w:div>
    <w:div w:id="1975721041">
      <w:bodyDiv w:val="1"/>
      <w:marLeft w:val="0"/>
      <w:marRight w:val="0"/>
      <w:marTop w:val="0"/>
      <w:marBottom w:val="0"/>
      <w:divBdr>
        <w:top w:val="none" w:sz="0" w:space="0" w:color="auto"/>
        <w:left w:val="none" w:sz="0" w:space="0" w:color="auto"/>
        <w:bottom w:val="none" w:sz="0" w:space="0" w:color="auto"/>
        <w:right w:val="none" w:sz="0" w:space="0" w:color="auto"/>
      </w:divBdr>
    </w:div>
    <w:div w:id="2016223644">
      <w:bodyDiv w:val="1"/>
      <w:marLeft w:val="0"/>
      <w:marRight w:val="0"/>
      <w:marTop w:val="0"/>
      <w:marBottom w:val="0"/>
      <w:divBdr>
        <w:top w:val="none" w:sz="0" w:space="0" w:color="auto"/>
        <w:left w:val="none" w:sz="0" w:space="0" w:color="auto"/>
        <w:bottom w:val="none" w:sz="0" w:space="0" w:color="auto"/>
        <w:right w:val="none" w:sz="0" w:space="0" w:color="auto"/>
      </w:divBdr>
    </w:div>
    <w:div w:id="2032027795">
      <w:bodyDiv w:val="1"/>
      <w:marLeft w:val="0"/>
      <w:marRight w:val="0"/>
      <w:marTop w:val="0"/>
      <w:marBottom w:val="0"/>
      <w:divBdr>
        <w:top w:val="none" w:sz="0" w:space="0" w:color="auto"/>
        <w:left w:val="none" w:sz="0" w:space="0" w:color="auto"/>
        <w:bottom w:val="none" w:sz="0" w:space="0" w:color="auto"/>
        <w:right w:val="none" w:sz="0" w:space="0" w:color="auto"/>
      </w:divBdr>
    </w:div>
    <w:div w:id="20947442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tf-gafi.org/topics/high-riskandnon-cooperativejurisdictions/" TargetMode="External"/><Relationship Id="rId13" Type="http://schemas.openxmlformats.org/officeDocument/2006/relationships/image" Target="media/image1.png"/><Relationship Id="rId18" Type="http://schemas.openxmlformats.org/officeDocument/2006/relationships/hyperlink" Target="http://www.fatf-gafi.org/media/fatf/documents/assessments/Global-assessment-calendar.p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fatf-gafi.org/media/fatf/documents/reports/mer/FoR%20UK.pdf" TargetMode="External"/><Relationship Id="rId7" Type="http://schemas.openxmlformats.org/officeDocument/2006/relationships/endnotes" Target="endnotes.xml"/><Relationship Id="rId12" Type="http://schemas.openxmlformats.org/officeDocument/2006/relationships/hyperlink" Target="file:///\\netdrive.uvic.ca\libr\Copyright%20and%20Scholarly%20Communication\Scholarly%20Communication\Book%20Publishing\Gerry%20Ferguson\Chapter%204\www.crs.gov" TargetMode="External"/><Relationship Id="rId17" Type="http://schemas.openxmlformats.org/officeDocument/2006/relationships/hyperlink" Target="http://www.lawsociety.org.uk/support-services/advice/articles/new-global-aml-guidance/"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lawsociety.org.uk/advice/practice-notes/aml/legal-professional-privilege/"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incen.gov/news-room/enforcement-actions"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http://www.egmontgroup.org/"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www.fatf-gafi.org/documents/guidance/" TargetMode="External"/><Relationship Id="rId14" Type="http://schemas.openxmlformats.org/officeDocument/2006/relationships/image" Target="media/image2.png"/><Relationship Id="rId22" Type="http://schemas.openxmlformats.org/officeDocument/2006/relationships/header" Target="header1.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www.fatf-gafi.org/pdf/TY2004_en.PDF" TargetMode="External"/><Relationship Id="rId18" Type="http://schemas.openxmlformats.org/officeDocument/2006/relationships/hyperlink" Target="http://www.fincen.gov/" TargetMode="External"/><Relationship Id="rId26" Type="http://schemas.openxmlformats.org/officeDocument/2006/relationships/hyperlink" Target="http://www.fcpablog.com/blog/2015/5/7/ripple-labs-becomes-first-virtual-money-exchange-fined-by-fi.html" TargetMode="External"/><Relationship Id="rId39" Type="http://schemas.openxmlformats.org/officeDocument/2006/relationships/hyperlink" Target="http://www.anti-moneylaundering.org/Lawyers_and_Money_Laundering.aspx" TargetMode="External"/><Relationship Id="rId3" Type="http://schemas.openxmlformats.org/officeDocument/2006/relationships/hyperlink" Target="http://www.fatf-gafi.org/media/fatf/documents/reports/Laundering%20the%20Proceeds%20of%20Corruption.pdf" TargetMode="External"/><Relationship Id="rId21" Type="http://schemas.openxmlformats.org/officeDocument/2006/relationships/hyperlink" Target="https://www.fincen.gov/what-we-do" TargetMode="External"/><Relationship Id="rId34" Type="http://schemas.openxmlformats.org/officeDocument/2006/relationships/hyperlink" Target="http://www.fincen.gov/statutes_regs/files/CDD-NPRM-Final.pdf" TargetMode="External"/><Relationship Id="rId42" Type="http://schemas.openxmlformats.org/officeDocument/2006/relationships/hyperlink" Target="https://www.lawsociety.bc.ca/page.cfm?cid=2638&amp;t=Chapter-3-&#8211;-Relationship-to-Clients" TargetMode="External"/><Relationship Id="rId47" Type="http://schemas.openxmlformats.org/officeDocument/2006/relationships/hyperlink" Target="https://index.baselgovernance.org/sites/index/documents/Basel_AML_Index_Report_2016.pdf" TargetMode="External"/><Relationship Id="rId50" Type="http://schemas.openxmlformats.org/officeDocument/2006/relationships/hyperlink" Target="http://www.fatf-gafi.org/media/fatf/documents/reports/mer/MER%20UK%20ES.pdf" TargetMode="External"/><Relationship Id="rId7" Type="http://schemas.openxmlformats.org/officeDocument/2006/relationships/hyperlink" Target="https://www.unodc.org/documents/treaties/UNCAC/Publications/LegislativeGuide/UNCAC_Legislative_Guide_E.pdf" TargetMode="External"/><Relationship Id="rId12" Type="http://schemas.openxmlformats.org/officeDocument/2006/relationships/hyperlink" Target="http://www.fatf-gafi.org/media/fatf/documents/FATF%20Standards%20-%2040%20Recommendations%20rc.pdf" TargetMode="External"/><Relationship Id="rId17" Type="http://schemas.openxmlformats.org/officeDocument/2006/relationships/hyperlink" Target="http://www.fatf-gafi.org/topics/fatfrecommendations/documents/fatf-recommendations.html" TargetMode="External"/><Relationship Id="rId25" Type="http://schemas.openxmlformats.org/officeDocument/2006/relationships/hyperlink" Target="http://www.fincen.gov/news_room/ea/" TargetMode="External"/><Relationship Id="rId33" Type="http://schemas.openxmlformats.org/officeDocument/2006/relationships/hyperlink" Target="http://www.fintrac-canafe.gc.ca/" TargetMode="External"/><Relationship Id="rId38" Type="http://schemas.openxmlformats.org/officeDocument/2006/relationships/hyperlink" Target="http://www.fatf-gafi.org/publications/mutualevaluations/documents/mer-canada-2016.html" TargetMode="External"/><Relationship Id="rId46" Type="http://schemas.openxmlformats.org/officeDocument/2006/relationships/hyperlink" Target="http://index.baselgovernance.org/index/about" TargetMode="External"/><Relationship Id="rId2" Type="http://schemas.openxmlformats.org/officeDocument/2006/relationships/hyperlink" Target="https://www.justice.gov/sites/default/files/usao-sdny/legacy/2013/05/30/visual.pdf" TargetMode="External"/><Relationship Id="rId16" Type="http://schemas.openxmlformats.org/officeDocument/2006/relationships/hyperlink" Target="http://www.fatf-gafi.org/SAQTF_en.htm" TargetMode="External"/><Relationship Id="rId20" Type="http://schemas.openxmlformats.org/officeDocument/2006/relationships/hyperlink" Target="http://www.nationalcrimeagency.gov.uk/about-us/what-we-do/economic-crime/ukfiu" TargetMode="External"/><Relationship Id="rId29" Type="http://schemas.openxmlformats.org/officeDocument/2006/relationships/hyperlink" Target="http://www.nationalcrimeagency.gov.uk/about-us/what-we-do/economic-crime/ukfiu" TargetMode="External"/><Relationship Id="rId41" Type="http://schemas.openxmlformats.org/officeDocument/2006/relationships/hyperlink" Target="http://www.flsc.ca/en/federation-model-code-of-professional-conduct/" TargetMode="External"/><Relationship Id="rId54" Type="http://schemas.openxmlformats.org/officeDocument/2006/relationships/hyperlink" Target="https://www.gov.uk/government/news/financial-red-tape-targeted-in-new-review" TargetMode="External"/><Relationship Id="rId1" Type="http://schemas.openxmlformats.org/officeDocument/2006/relationships/hyperlink" Target="http://www.gopacnetwork.org/Docs/GOPAC_AML_ActionGuide_EN.pdf" TargetMode="External"/><Relationship Id="rId6" Type="http://schemas.openxmlformats.org/officeDocument/2006/relationships/hyperlink" Target="http://ssrn.com/abstract=1409628" TargetMode="External"/><Relationship Id="rId11" Type="http://schemas.openxmlformats.org/officeDocument/2006/relationships/hyperlink" Target="http://www.fatf-gafi.org/" TargetMode="External"/><Relationship Id="rId24" Type="http://schemas.openxmlformats.org/officeDocument/2006/relationships/hyperlink" Target="https://www.fincen.gov/what-we-do" TargetMode="External"/><Relationship Id="rId32" Type="http://schemas.openxmlformats.org/officeDocument/2006/relationships/hyperlink" Target="http://www.fca.org.uk/" TargetMode="External"/><Relationship Id="rId37" Type="http://schemas.openxmlformats.org/officeDocument/2006/relationships/hyperlink" Target="http://www.parl.gc.ca/Content/SEN/Committee/411/BANC/rep/rep10mar13-e.pdf" TargetMode="External"/><Relationship Id="rId40" Type="http://schemas.openxmlformats.org/officeDocument/2006/relationships/hyperlink" Target="http://openjurist.org/15/f3d/592" TargetMode="External"/><Relationship Id="rId45" Type="http://schemas.openxmlformats.org/officeDocument/2006/relationships/hyperlink" Target="https://www.lawsociety.bc.ca/page.cfm?cid=4089&amp;t=Law-Society-Rules-2015" TargetMode="External"/><Relationship Id="rId53" Type="http://schemas.openxmlformats.org/officeDocument/2006/relationships/hyperlink" Target="http://www.cbc.ca/news/business/hsbc-s-1-9b-money-laundering-settlement-approved-by-judge-1.1377272" TargetMode="External"/><Relationship Id="rId5" Type="http://schemas.openxmlformats.org/officeDocument/2006/relationships/hyperlink" Target="http://untreaty.un.org/ilc/texts/instruments/english/conventions/9_1_1961.pdf" TargetMode="External"/><Relationship Id="rId15" Type="http://schemas.openxmlformats.org/officeDocument/2006/relationships/hyperlink" Target="http://www.fatf-gafi.org/pdf/SRecTF_en.pdf" TargetMode="External"/><Relationship Id="rId23" Type="http://schemas.openxmlformats.org/officeDocument/2006/relationships/hyperlink" Target="http://www.nationalcrimeagency.gov.uk/about-us/what-we-do" TargetMode="External"/><Relationship Id="rId28" Type="http://schemas.openxmlformats.org/officeDocument/2006/relationships/hyperlink" Target="http://www.fcpablog.com/blog/2015/7/27/tanzania-bank-is-shocked-after-unexplained-fincen-ban.html" TargetMode="External"/><Relationship Id="rId36" Type="http://schemas.openxmlformats.org/officeDocument/2006/relationships/hyperlink" Target="http://www.fatf-gafi.org/media/fatf/documents/reports/mer4/MER-United-States-2016.pdf" TargetMode="External"/><Relationship Id="rId49" Type="http://schemas.openxmlformats.org/officeDocument/2006/relationships/hyperlink" Target="http://www.fatf-gafi.org/topics/mutualevaluations/documents/mutualevaluationofunitedkingdomofgreatbritainandnorthernireland.html" TargetMode="External"/><Relationship Id="rId10" Type="http://schemas.openxmlformats.org/officeDocument/2006/relationships/hyperlink" Target="http://www.oecd.org/cleangovbiz/toolkit/moneylaundering.htm" TargetMode="External"/><Relationship Id="rId19" Type="http://schemas.openxmlformats.org/officeDocument/2006/relationships/hyperlink" Target="http://www.fintrac-canafe.gc.ca/intro-eng.asp" TargetMode="External"/><Relationship Id="rId31" Type="http://schemas.openxmlformats.org/officeDocument/2006/relationships/hyperlink" Target="http://www.fintrac.gc.ca/guidance-directives/1-eng.asp" TargetMode="External"/><Relationship Id="rId44" Type="http://schemas.openxmlformats.org/officeDocument/2006/relationships/hyperlink" Target="http://flsc.ca/wp-content/uploads/2014/10/terror1.pdf" TargetMode="External"/><Relationship Id="rId52" Type="http://schemas.openxmlformats.org/officeDocument/2006/relationships/hyperlink" Target="http://www.parl.gc.ca/Content/SEN/Committee/411/BANC/rep/rep10mar13-e.pdf" TargetMode="External"/><Relationship Id="rId4" Type="http://schemas.openxmlformats.org/officeDocument/2006/relationships/hyperlink" Target="http://www.pogar.org/publications/finances/anticor/anticorruptiontoolkit.pdf" TargetMode="External"/><Relationship Id="rId9" Type="http://schemas.openxmlformats.org/officeDocument/2006/relationships/hyperlink" Target="http://www.fatf-gafi.org/" TargetMode="External"/><Relationship Id="rId14" Type="http://schemas.openxmlformats.org/officeDocument/2006/relationships/hyperlink" Target="http://www.fatf-gafi.org/NCCT_en.htm" TargetMode="External"/><Relationship Id="rId22" Type="http://schemas.openxmlformats.org/officeDocument/2006/relationships/hyperlink" Target="http://www.fintrac-canafe.gc.ca/fintrac-canafe/1-eng.asp" TargetMode="External"/><Relationship Id="rId27" Type="http://schemas.openxmlformats.org/officeDocument/2006/relationships/hyperlink" Target="http://www.fcpablog.com/blog/2015/6/4/fincen-fines-pacific-island-casino-75-million-for-egregious.html" TargetMode="External"/><Relationship Id="rId30" Type="http://schemas.openxmlformats.org/officeDocument/2006/relationships/hyperlink" Target="http://www.fintrac-canafe.gc.ca/fintrac-canafe/1-eng.asp" TargetMode="External"/><Relationship Id="rId35" Type="http://schemas.openxmlformats.org/officeDocument/2006/relationships/hyperlink" Target="http://www.fincen.gov/statutes_regs/frn/pdf/31_CFR_Part_103_312_EDD_Rule.pdf" TargetMode="External"/><Relationship Id="rId43" Type="http://schemas.openxmlformats.org/officeDocument/2006/relationships/hyperlink" Target="http://www.cle.bc.ca/" TargetMode="External"/><Relationship Id="rId48" Type="http://schemas.openxmlformats.org/officeDocument/2006/relationships/hyperlink" Target="http://www.fatf-gafi.org/media/fatf/documents/methodology/FATF-4th-Round-Procedures.pdf" TargetMode="External"/><Relationship Id="rId8" Type="http://schemas.openxmlformats.org/officeDocument/2006/relationships/hyperlink" Target="http://www.egmontgroup.org/" TargetMode="External"/><Relationship Id="rId51" Type="http://schemas.openxmlformats.org/officeDocument/2006/relationships/hyperlink" Target="http://www.fatf-gafi.org/media/fatf/documents/reports/mer/FoR%20UK.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E9280-E97C-4E43-B492-5B6BB9057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79</Pages>
  <Words>26525</Words>
  <Characters>147800</Characters>
  <Application>Microsoft Office Word</Application>
  <DocSecurity>0</DocSecurity>
  <Lines>1231</Lines>
  <Paragraphs>347</Paragraphs>
  <ScaleCrop>false</ScaleCrop>
  <HeadingPairs>
    <vt:vector size="2" baseType="variant">
      <vt:variant>
        <vt:lpstr>Title</vt:lpstr>
      </vt:variant>
      <vt:variant>
        <vt:i4>1</vt:i4>
      </vt:variant>
    </vt:vector>
  </HeadingPairs>
  <TitlesOfParts>
    <vt:vector size="1" baseType="lpstr">
      <vt:lpstr/>
    </vt:vector>
  </TitlesOfParts>
  <Company>University of Victoria</Company>
  <LinksUpToDate>false</LinksUpToDate>
  <CharactersWithSpaces>173978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Hoffman</dc:creator>
  <cp:lastModifiedBy>Yenny Lim</cp:lastModifiedBy>
  <cp:revision>27</cp:revision>
  <cp:lastPrinted>2017-02-02T00:45:00Z</cp:lastPrinted>
  <dcterms:created xsi:type="dcterms:W3CDTF">2018-04-03T20:07:00Z</dcterms:created>
  <dcterms:modified xsi:type="dcterms:W3CDTF">2018-05-11T22:49:00Z</dcterms:modified>
</cp:coreProperties>
</file>