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C4CB90" w14:textId="77777777" w:rsidR="003F14E9" w:rsidRPr="00BC2BC4" w:rsidRDefault="003F14E9" w:rsidP="00ED3317">
      <w:pPr>
        <w:pStyle w:val="TitlePgCh"/>
        <w:rPr>
          <w:sz w:val="24"/>
        </w:rPr>
      </w:pPr>
      <w:bookmarkStart w:id="0" w:name="_Toc420920776"/>
      <w:r w:rsidRPr="00BC2BC4">
        <w:rPr>
          <w:sz w:val="24"/>
        </w:rPr>
        <w:t>Chapter 11</w:t>
      </w:r>
    </w:p>
    <w:p w14:paraId="23C2109B" w14:textId="77777777" w:rsidR="00E66A72" w:rsidRPr="00BC2BC4" w:rsidRDefault="006B0E35" w:rsidP="00ED3317">
      <w:pPr>
        <w:pStyle w:val="TitlePgChTitle"/>
        <w:rPr>
          <w:sz w:val="32"/>
        </w:rPr>
      </w:pPr>
      <w:r w:rsidRPr="00BC2BC4">
        <w:rPr>
          <w:sz w:val="32"/>
        </w:rPr>
        <w:t>Corruption and</w:t>
      </w:r>
      <w:r w:rsidR="00E66A72" w:rsidRPr="00BC2BC4">
        <w:rPr>
          <w:sz w:val="32"/>
        </w:rPr>
        <w:t xml:space="preserve"> Public Procurement</w:t>
      </w:r>
    </w:p>
    <w:p w14:paraId="6703D41C" w14:textId="4C31790F" w:rsidR="00530C80" w:rsidRPr="00BC2BC4" w:rsidRDefault="00530C80" w:rsidP="00ED3317">
      <w:pPr>
        <w:spacing w:before="480"/>
        <w:rPr>
          <w:i/>
          <w:kern w:val="2"/>
          <w:sz w:val="20"/>
        </w:rPr>
      </w:pPr>
      <w:r w:rsidRPr="00BC2BC4">
        <w:rPr>
          <w:kern w:val="2"/>
          <w:sz w:val="20"/>
        </w:rPr>
        <w:t>[</w:t>
      </w:r>
      <w:r w:rsidRPr="00BC2BC4">
        <w:rPr>
          <w:i/>
          <w:kern w:val="2"/>
          <w:sz w:val="20"/>
        </w:rPr>
        <w:t xml:space="preserve">This chapter was </w:t>
      </w:r>
      <w:r w:rsidR="003D55FF" w:rsidRPr="00BC2BC4">
        <w:rPr>
          <w:i/>
          <w:kern w:val="2"/>
          <w:sz w:val="20"/>
        </w:rPr>
        <w:t xml:space="preserve">first </w:t>
      </w:r>
      <w:r w:rsidRPr="00BC2BC4">
        <w:rPr>
          <w:i/>
          <w:kern w:val="2"/>
          <w:sz w:val="20"/>
        </w:rPr>
        <w:t xml:space="preserve">prepared </w:t>
      </w:r>
      <w:r w:rsidR="00E52877" w:rsidRPr="00BC2BC4">
        <w:rPr>
          <w:i/>
          <w:kern w:val="2"/>
          <w:sz w:val="20"/>
        </w:rPr>
        <w:t xml:space="preserve">in part </w:t>
      </w:r>
      <w:r w:rsidRPr="00BC2BC4">
        <w:rPr>
          <w:i/>
          <w:kern w:val="2"/>
          <w:sz w:val="20"/>
        </w:rPr>
        <w:t xml:space="preserve">by Mollie Deyong as a directed research and writing paper on corruption in Canada’s MASH sector under Professor Ferguson’s supervision. </w:t>
      </w:r>
      <w:r w:rsidR="003C4AD5" w:rsidRPr="00BC2BC4">
        <w:rPr>
          <w:i/>
          <w:kern w:val="2"/>
          <w:sz w:val="20"/>
        </w:rPr>
        <w:t>Professor Ferguson then expanded the chapter</w:t>
      </w:r>
      <w:r w:rsidR="00944378" w:rsidRPr="00BC2BC4">
        <w:rPr>
          <w:i/>
          <w:kern w:val="2"/>
          <w:sz w:val="20"/>
        </w:rPr>
        <w:t xml:space="preserve"> </w:t>
      </w:r>
      <w:r w:rsidRPr="00BC2BC4">
        <w:rPr>
          <w:i/>
          <w:kern w:val="2"/>
          <w:sz w:val="20"/>
        </w:rPr>
        <w:t>with the research and writing assistance of Erin Halma.</w:t>
      </w:r>
      <w:r w:rsidR="001B04D3" w:rsidRPr="00BC2BC4">
        <w:rPr>
          <w:i/>
          <w:kern w:val="2"/>
          <w:sz w:val="20"/>
        </w:rPr>
        <w:t xml:space="preserve"> </w:t>
      </w:r>
      <w:r w:rsidR="003C4AD5" w:rsidRPr="00BC2BC4">
        <w:rPr>
          <w:i/>
          <w:kern w:val="2"/>
          <w:sz w:val="20"/>
        </w:rPr>
        <w:t>Connor Bildfell made extensive revisions</w:t>
      </w:r>
      <w:r w:rsidR="00C836C8" w:rsidRPr="00BC2BC4">
        <w:rPr>
          <w:i/>
          <w:kern w:val="2"/>
          <w:sz w:val="20"/>
        </w:rPr>
        <w:t xml:space="preserve"> in</w:t>
      </w:r>
      <w:r w:rsidR="003C4AD5" w:rsidRPr="00BC2BC4">
        <w:rPr>
          <w:i/>
          <w:kern w:val="2"/>
          <w:sz w:val="20"/>
        </w:rPr>
        <w:t xml:space="preserve"> 2017</w:t>
      </w:r>
      <w:r w:rsidR="00C836C8" w:rsidRPr="00BC2BC4">
        <w:rPr>
          <w:i/>
          <w:kern w:val="2"/>
          <w:sz w:val="20"/>
        </w:rPr>
        <w:t>.</w:t>
      </w:r>
      <w:r w:rsidRPr="00BC2BC4">
        <w:rPr>
          <w:kern w:val="2"/>
          <w:sz w:val="20"/>
        </w:rPr>
        <w:t>]</w:t>
      </w:r>
    </w:p>
    <w:p w14:paraId="4D30EC48" w14:textId="43CC697E" w:rsidR="00A9473C" w:rsidRPr="00BC2BC4" w:rsidRDefault="00A9473C">
      <w:pPr>
        <w:spacing w:after="0" w:line="20" w:lineRule="atLeast"/>
        <w:jc w:val="left"/>
        <w:rPr>
          <w:rFonts w:cs="Times New Roman"/>
          <w:kern w:val="2"/>
          <w:sz w:val="20"/>
        </w:rPr>
      </w:pPr>
      <w:r w:rsidRPr="00BC2BC4">
        <w:rPr>
          <w:rFonts w:cs="Times New Roman"/>
          <w:kern w:val="2"/>
          <w:sz w:val="20"/>
        </w:rPr>
        <w:br w:type="page"/>
      </w:r>
    </w:p>
    <w:p w14:paraId="4D573FD5" w14:textId="77777777" w:rsidR="00E4657F" w:rsidRPr="00BC2BC4" w:rsidRDefault="00E4657F" w:rsidP="00E4657F">
      <w:pPr>
        <w:pStyle w:val="TOCHeading1"/>
        <w:rPr>
          <w:spacing w:val="0"/>
          <w:kern w:val="2"/>
          <w:sz w:val="28"/>
        </w:rPr>
      </w:pPr>
      <w:bookmarkStart w:id="1" w:name="_Toc424485011"/>
      <w:r w:rsidRPr="00BC2BC4">
        <w:rPr>
          <w:spacing w:val="0"/>
          <w:kern w:val="2"/>
          <w:sz w:val="28"/>
        </w:rPr>
        <w:lastRenderedPageBreak/>
        <w:t>Contents</w:t>
      </w:r>
    </w:p>
    <w:p w14:paraId="142E98C3" w14:textId="20279A01" w:rsidR="00900AB4" w:rsidRPr="00BC2BC4" w:rsidRDefault="00E4657F" w:rsidP="00DE3D34">
      <w:pPr>
        <w:pStyle w:val="TOC1"/>
        <w:tabs>
          <w:tab w:val="left" w:pos="480"/>
          <w:tab w:val="right" w:leader="dot" w:pos="9350"/>
        </w:tabs>
        <w:ind w:left="567" w:hanging="567"/>
        <w:jc w:val="left"/>
        <w:rPr>
          <w:rFonts w:eastAsiaTheme="minorEastAsia"/>
          <w:b w:val="0"/>
          <w:smallCaps w:val="0"/>
          <w:noProof/>
          <w:kern w:val="2"/>
          <w:sz w:val="20"/>
          <w:lang w:eastAsia="en-CA"/>
        </w:rPr>
      </w:pPr>
      <w:r w:rsidRPr="00BC2BC4">
        <w:rPr>
          <w:kern w:val="2"/>
          <w:sz w:val="20"/>
        </w:rPr>
        <w:fldChar w:fldCharType="begin"/>
      </w:r>
      <w:r w:rsidRPr="00BC2BC4">
        <w:rPr>
          <w:kern w:val="2"/>
          <w:sz w:val="20"/>
        </w:rPr>
        <w:instrText xml:space="preserve"> TOC \o "1-1" \n \h \z \u </w:instrText>
      </w:r>
      <w:r w:rsidRPr="00BC2BC4">
        <w:rPr>
          <w:kern w:val="2"/>
          <w:sz w:val="20"/>
        </w:rPr>
        <w:fldChar w:fldCharType="separate"/>
      </w:r>
      <w:hyperlink w:anchor="_Toc502666009" w:history="1">
        <w:r w:rsidR="00900AB4" w:rsidRPr="00BC2BC4">
          <w:rPr>
            <w:rStyle w:val="Hyperlink"/>
            <w:noProof/>
            <w:kern w:val="2"/>
            <w:sz w:val="20"/>
          </w:rPr>
          <w:t>1.</w:t>
        </w:r>
        <w:r w:rsidR="00900AB4" w:rsidRPr="00BC2BC4">
          <w:rPr>
            <w:rFonts w:eastAsiaTheme="minorEastAsia"/>
            <w:b w:val="0"/>
            <w:smallCaps w:val="0"/>
            <w:noProof/>
            <w:kern w:val="2"/>
            <w:sz w:val="20"/>
            <w:lang w:eastAsia="en-CA"/>
          </w:rPr>
          <w:tab/>
        </w:r>
        <w:r w:rsidR="00DE3D34" w:rsidRPr="00BC2BC4">
          <w:rPr>
            <w:rFonts w:eastAsiaTheme="minorEastAsia"/>
            <w:b w:val="0"/>
            <w:smallCaps w:val="0"/>
            <w:noProof/>
            <w:kern w:val="2"/>
            <w:sz w:val="20"/>
            <w:lang w:eastAsia="en-CA"/>
          </w:rPr>
          <w:tab/>
        </w:r>
        <w:r w:rsidR="00900AB4" w:rsidRPr="00BC2BC4">
          <w:rPr>
            <w:rStyle w:val="Hyperlink"/>
            <w:noProof/>
            <w:kern w:val="2"/>
            <w:sz w:val="20"/>
          </w:rPr>
          <w:t>Introduction</w:t>
        </w:r>
      </w:hyperlink>
    </w:p>
    <w:p w14:paraId="5AA72CB5" w14:textId="7A81285D" w:rsidR="00900AB4" w:rsidRPr="00BC2BC4" w:rsidRDefault="00C34EEA" w:rsidP="00DE3D34">
      <w:pPr>
        <w:pStyle w:val="TOC1"/>
        <w:tabs>
          <w:tab w:val="left" w:pos="480"/>
          <w:tab w:val="right" w:leader="dot" w:pos="9350"/>
        </w:tabs>
        <w:ind w:left="567" w:hanging="567"/>
        <w:jc w:val="left"/>
        <w:rPr>
          <w:rFonts w:eastAsiaTheme="minorEastAsia"/>
          <w:b w:val="0"/>
          <w:smallCaps w:val="0"/>
          <w:noProof/>
          <w:kern w:val="2"/>
          <w:sz w:val="20"/>
          <w:lang w:eastAsia="en-CA"/>
        </w:rPr>
      </w:pPr>
      <w:hyperlink w:anchor="_Toc502666010" w:history="1">
        <w:r w:rsidR="00900AB4" w:rsidRPr="00BC2BC4">
          <w:rPr>
            <w:rStyle w:val="Hyperlink"/>
            <w:noProof/>
            <w:kern w:val="2"/>
            <w:sz w:val="20"/>
          </w:rPr>
          <w:t>2.</w:t>
        </w:r>
        <w:r w:rsidR="00900AB4" w:rsidRPr="00BC2BC4">
          <w:rPr>
            <w:rFonts w:eastAsiaTheme="minorEastAsia"/>
            <w:b w:val="0"/>
            <w:smallCaps w:val="0"/>
            <w:noProof/>
            <w:kern w:val="2"/>
            <w:sz w:val="20"/>
            <w:lang w:eastAsia="en-CA"/>
          </w:rPr>
          <w:tab/>
        </w:r>
        <w:r w:rsidR="00DE3D34" w:rsidRPr="00BC2BC4">
          <w:rPr>
            <w:rFonts w:eastAsiaTheme="minorEastAsia"/>
            <w:b w:val="0"/>
            <w:smallCaps w:val="0"/>
            <w:noProof/>
            <w:kern w:val="2"/>
            <w:sz w:val="20"/>
            <w:lang w:eastAsia="en-CA"/>
          </w:rPr>
          <w:tab/>
        </w:r>
        <w:r w:rsidR="00900AB4" w:rsidRPr="00BC2BC4">
          <w:rPr>
            <w:rStyle w:val="Hyperlink"/>
            <w:noProof/>
            <w:kern w:val="2"/>
            <w:sz w:val="20"/>
          </w:rPr>
          <w:t>Risks and Stages of Corruption in Public Procurement</w:t>
        </w:r>
      </w:hyperlink>
    </w:p>
    <w:p w14:paraId="5A6AFA9D" w14:textId="47F66687" w:rsidR="00900AB4" w:rsidRPr="00BC2BC4" w:rsidRDefault="00C34EEA" w:rsidP="00DE3D34">
      <w:pPr>
        <w:pStyle w:val="TOC1"/>
        <w:tabs>
          <w:tab w:val="left" w:pos="480"/>
          <w:tab w:val="right" w:leader="dot" w:pos="9350"/>
        </w:tabs>
        <w:ind w:left="567" w:hanging="567"/>
        <w:jc w:val="left"/>
        <w:rPr>
          <w:rFonts w:eastAsiaTheme="minorEastAsia"/>
          <w:b w:val="0"/>
          <w:smallCaps w:val="0"/>
          <w:noProof/>
          <w:kern w:val="2"/>
          <w:sz w:val="20"/>
          <w:lang w:eastAsia="en-CA"/>
        </w:rPr>
      </w:pPr>
      <w:hyperlink w:anchor="_Toc502666011" w:history="1">
        <w:r w:rsidR="00900AB4" w:rsidRPr="00BC2BC4">
          <w:rPr>
            <w:rStyle w:val="Hyperlink"/>
            <w:noProof/>
            <w:kern w:val="2"/>
            <w:sz w:val="20"/>
          </w:rPr>
          <w:t>3.</w:t>
        </w:r>
        <w:r w:rsidR="00900AB4" w:rsidRPr="00BC2BC4">
          <w:rPr>
            <w:rFonts w:eastAsiaTheme="minorEastAsia"/>
            <w:b w:val="0"/>
            <w:smallCaps w:val="0"/>
            <w:noProof/>
            <w:kern w:val="2"/>
            <w:sz w:val="20"/>
            <w:lang w:eastAsia="en-CA"/>
          </w:rPr>
          <w:tab/>
        </w:r>
        <w:r w:rsidR="00DE3D34" w:rsidRPr="00BC2BC4">
          <w:rPr>
            <w:rFonts w:eastAsiaTheme="minorEastAsia"/>
            <w:b w:val="0"/>
            <w:smallCaps w:val="0"/>
            <w:noProof/>
            <w:kern w:val="2"/>
            <w:sz w:val="20"/>
            <w:lang w:eastAsia="en-CA"/>
          </w:rPr>
          <w:tab/>
        </w:r>
        <w:r w:rsidR="00900AB4" w:rsidRPr="00BC2BC4">
          <w:rPr>
            <w:rStyle w:val="Hyperlink"/>
            <w:noProof/>
            <w:kern w:val="2"/>
            <w:sz w:val="20"/>
          </w:rPr>
          <w:t>Types of Public Procurement: P3s, Sole Sourcing and Competitive Bidding</w:t>
        </w:r>
      </w:hyperlink>
    </w:p>
    <w:p w14:paraId="551D313A" w14:textId="52C834DD" w:rsidR="00900AB4" w:rsidRPr="00BC2BC4" w:rsidRDefault="00C34EEA" w:rsidP="00DE3D34">
      <w:pPr>
        <w:pStyle w:val="TOC1"/>
        <w:tabs>
          <w:tab w:val="left" w:pos="480"/>
          <w:tab w:val="right" w:leader="dot" w:pos="9350"/>
        </w:tabs>
        <w:ind w:left="567" w:hanging="567"/>
        <w:jc w:val="left"/>
        <w:rPr>
          <w:rFonts w:eastAsiaTheme="minorEastAsia"/>
          <w:b w:val="0"/>
          <w:smallCaps w:val="0"/>
          <w:noProof/>
          <w:kern w:val="2"/>
          <w:sz w:val="20"/>
          <w:lang w:eastAsia="en-CA"/>
        </w:rPr>
      </w:pPr>
      <w:hyperlink w:anchor="_Toc502666012" w:history="1">
        <w:r w:rsidR="00900AB4" w:rsidRPr="00BC2BC4">
          <w:rPr>
            <w:rStyle w:val="Hyperlink"/>
            <w:noProof/>
            <w:kern w:val="2"/>
            <w:sz w:val="20"/>
          </w:rPr>
          <w:t>4.</w:t>
        </w:r>
        <w:r w:rsidR="00900AB4" w:rsidRPr="00BC2BC4">
          <w:rPr>
            <w:rFonts w:eastAsiaTheme="minorEastAsia"/>
            <w:b w:val="0"/>
            <w:smallCaps w:val="0"/>
            <w:noProof/>
            <w:kern w:val="2"/>
            <w:sz w:val="20"/>
            <w:lang w:eastAsia="en-CA"/>
          </w:rPr>
          <w:tab/>
        </w:r>
        <w:r w:rsidR="00DE3D34" w:rsidRPr="00BC2BC4">
          <w:rPr>
            <w:rFonts w:eastAsiaTheme="minorEastAsia"/>
            <w:b w:val="0"/>
            <w:smallCaps w:val="0"/>
            <w:noProof/>
            <w:kern w:val="2"/>
            <w:sz w:val="20"/>
            <w:lang w:eastAsia="en-CA"/>
          </w:rPr>
          <w:tab/>
        </w:r>
        <w:r w:rsidR="00900AB4" w:rsidRPr="00BC2BC4">
          <w:rPr>
            <w:rStyle w:val="Hyperlink"/>
            <w:noProof/>
            <w:kern w:val="2"/>
            <w:sz w:val="20"/>
          </w:rPr>
          <w:t>Hallmarks of a Good Procurement System</w:t>
        </w:r>
      </w:hyperlink>
    </w:p>
    <w:p w14:paraId="5BF64FE4" w14:textId="65A0EABC" w:rsidR="00900AB4" w:rsidRPr="00BC2BC4" w:rsidRDefault="00C34EEA" w:rsidP="00DE3D34">
      <w:pPr>
        <w:pStyle w:val="TOC1"/>
        <w:tabs>
          <w:tab w:val="left" w:pos="480"/>
          <w:tab w:val="right" w:leader="dot" w:pos="9350"/>
        </w:tabs>
        <w:ind w:left="567" w:hanging="567"/>
        <w:jc w:val="left"/>
        <w:rPr>
          <w:rFonts w:eastAsiaTheme="minorEastAsia"/>
          <w:b w:val="0"/>
          <w:smallCaps w:val="0"/>
          <w:noProof/>
          <w:kern w:val="2"/>
          <w:sz w:val="20"/>
          <w:lang w:eastAsia="en-CA"/>
        </w:rPr>
      </w:pPr>
      <w:hyperlink w:anchor="_Toc502666013" w:history="1">
        <w:r w:rsidR="00900AB4" w:rsidRPr="00BC2BC4">
          <w:rPr>
            <w:rStyle w:val="Hyperlink"/>
            <w:noProof/>
            <w:kern w:val="2"/>
            <w:sz w:val="20"/>
          </w:rPr>
          <w:t>5.</w:t>
        </w:r>
        <w:r w:rsidR="00900AB4" w:rsidRPr="00BC2BC4">
          <w:rPr>
            <w:rFonts w:eastAsiaTheme="minorEastAsia"/>
            <w:b w:val="0"/>
            <w:smallCaps w:val="0"/>
            <w:noProof/>
            <w:kern w:val="2"/>
            <w:sz w:val="20"/>
            <w:lang w:eastAsia="en-CA"/>
          </w:rPr>
          <w:tab/>
        </w:r>
        <w:r w:rsidR="00DE3D34" w:rsidRPr="00BC2BC4">
          <w:rPr>
            <w:rFonts w:eastAsiaTheme="minorEastAsia"/>
            <w:b w:val="0"/>
            <w:smallCaps w:val="0"/>
            <w:noProof/>
            <w:kern w:val="2"/>
            <w:sz w:val="20"/>
            <w:lang w:eastAsia="en-CA"/>
          </w:rPr>
          <w:tab/>
        </w:r>
        <w:r w:rsidR="00900AB4" w:rsidRPr="00BC2BC4">
          <w:rPr>
            <w:rStyle w:val="Hyperlink"/>
            <w:noProof/>
            <w:kern w:val="2"/>
            <w:sz w:val="20"/>
          </w:rPr>
          <w:t>Private Law Enforcement of Tendering for Public Contracts</w:t>
        </w:r>
      </w:hyperlink>
    </w:p>
    <w:p w14:paraId="1363C528" w14:textId="695A1013" w:rsidR="00900AB4" w:rsidRPr="00BC2BC4" w:rsidRDefault="00C34EEA" w:rsidP="00DE3D34">
      <w:pPr>
        <w:pStyle w:val="TOC1"/>
        <w:tabs>
          <w:tab w:val="left" w:pos="480"/>
          <w:tab w:val="right" w:leader="dot" w:pos="9350"/>
        </w:tabs>
        <w:ind w:left="567" w:hanging="567"/>
        <w:jc w:val="left"/>
        <w:rPr>
          <w:rFonts w:eastAsiaTheme="minorEastAsia"/>
          <w:b w:val="0"/>
          <w:smallCaps w:val="0"/>
          <w:noProof/>
          <w:kern w:val="2"/>
          <w:sz w:val="20"/>
          <w:lang w:eastAsia="en-CA"/>
        </w:rPr>
      </w:pPr>
      <w:hyperlink w:anchor="_Toc502666014" w:history="1">
        <w:r w:rsidR="00900AB4" w:rsidRPr="00BC2BC4">
          <w:rPr>
            <w:rStyle w:val="Hyperlink"/>
            <w:noProof/>
            <w:kern w:val="2"/>
            <w:sz w:val="20"/>
          </w:rPr>
          <w:t>6.</w:t>
        </w:r>
        <w:r w:rsidR="00900AB4" w:rsidRPr="00BC2BC4">
          <w:rPr>
            <w:rFonts w:eastAsiaTheme="minorEastAsia"/>
            <w:b w:val="0"/>
            <w:smallCaps w:val="0"/>
            <w:noProof/>
            <w:kern w:val="2"/>
            <w:sz w:val="20"/>
            <w:lang w:eastAsia="en-CA"/>
          </w:rPr>
          <w:tab/>
        </w:r>
        <w:r w:rsidR="00DE3D34" w:rsidRPr="00BC2BC4">
          <w:rPr>
            <w:rFonts w:eastAsiaTheme="minorEastAsia"/>
            <w:b w:val="0"/>
            <w:smallCaps w:val="0"/>
            <w:noProof/>
            <w:kern w:val="2"/>
            <w:sz w:val="20"/>
            <w:lang w:eastAsia="en-CA"/>
          </w:rPr>
          <w:tab/>
        </w:r>
        <w:r w:rsidR="00900AB4" w:rsidRPr="00BC2BC4">
          <w:rPr>
            <w:rStyle w:val="Hyperlink"/>
            <w:noProof/>
            <w:kern w:val="2"/>
            <w:sz w:val="20"/>
          </w:rPr>
          <w:t>Public Law Framework</w:t>
        </w:r>
      </w:hyperlink>
    </w:p>
    <w:p w14:paraId="758F5583" w14:textId="3F27AAAE" w:rsidR="00900AB4" w:rsidRPr="00BC2BC4" w:rsidRDefault="00C34EEA" w:rsidP="00DE3D34">
      <w:pPr>
        <w:pStyle w:val="TOC1"/>
        <w:tabs>
          <w:tab w:val="left" w:pos="480"/>
          <w:tab w:val="right" w:leader="dot" w:pos="9350"/>
        </w:tabs>
        <w:ind w:left="567" w:hanging="567"/>
        <w:jc w:val="left"/>
        <w:rPr>
          <w:rFonts w:eastAsiaTheme="minorEastAsia"/>
          <w:b w:val="0"/>
          <w:smallCaps w:val="0"/>
          <w:noProof/>
          <w:kern w:val="2"/>
          <w:sz w:val="20"/>
          <w:lang w:eastAsia="en-CA"/>
        </w:rPr>
      </w:pPr>
      <w:hyperlink w:anchor="_Toc502666015" w:history="1">
        <w:r w:rsidR="00900AB4" w:rsidRPr="00BC2BC4">
          <w:rPr>
            <w:rStyle w:val="Hyperlink"/>
            <w:noProof/>
            <w:kern w:val="2"/>
            <w:sz w:val="20"/>
          </w:rPr>
          <w:t>7.</w:t>
        </w:r>
        <w:r w:rsidR="00900AB4" w:rsidRPr="00BC2BC4">
          <w:rPr>
            <w:rFonts w:eastAsiaTheme="minorEastAsia"/>
            <w:b w:val="0"/>
            <w:smallCaps w:val="0"/>
            <w:noProof/>
            <w:kern w:val="2"/>
            <w:sz w:val="20"/>
            <w:lang w:eastAsia="en-CA"/>
          </w:rPr>
          <w:tab/>
        </w:r>
        <w:r w:rsidR="00DE3D34" w:rsidRPr="00BC2BC4">
          <w:rPr>
            <w:rFonts w:eastAsiaTheme="minorEastAsia"/>
            <w:b w:val="0"/>
            <w:smallCaps w:val="0"/>
            <w:noProof/>
            <w:kern w:val="2"/>
            <w:sz w:val="20"/>
            <w:lang w:eastAsia="en-CA"/>
          </w:rPr>
          <w:tab/>
        </w:r>
        <w:r w:rsidR="00900AB4" w:rsidRPr="00BC2BC4">
          <w:rPr>
            <w:rStyle w:val="Hyperlink"/>
            <w:noProof/>
            <w:kern w:val="2"/>
            <w:sz w:val="20"/>
          </w:rPr>
          <w:t>Evaluation of Procurement Laws and Procedures</w:t>
        </w:r>
      </w:hyperlink>
    </w:p>
    <w:p w14:paraId="5C1EFD67" w14:textId="72A4552D" w:rsidR="00817799" w:rsidRPr="00BC2BC4" w:rsidRDefault="00E4657F" w:rsidP="00ED3317">
      <w:pPr>
        <w:pStyle w:val="Heading1"/>
        <w:rPr>
          <w:sz w:val="28"/>
        </w:rPr>
      </w:pPr>
      <w:r w:rsidRPr="00BC2BC4">
        <w:rPr>
          <w:sz w:val="28"/>
        </w:rPr>
        <w:fldChar w:fldCharType="end"/>
      </w:r>
      <w:bookmarkStart w:id="2" w:name="_Toc502666009"/>
      <w:r w:rsidR="00817799" w:rsidRPr="00BC2BC4">
        <w:rPr>
          <w:sz w:val="28"/>
        </w:rPr>
        <w:t>Introduction</w:t>
      </w:r>
      <w:bookmarkEnd w:id="0"/>
      <w:bookmarkEnd w:id="1"/>
      <w:bookmarkEnd w:id="2"/>
    </w:p>
    <w:p w14:paraId="2BEC2DFD" w14:textId="317D76F5" w:rsidR="000653CF" w:rsidRPr="00BC2BC4" w:rsidRDefault="000653CF" w:rsidP="00A9473C">
      <w:pPr>
        <w:rPr>
          <w:kern w:val="2"/>
          <w:sz w:val="20"/>
          <w:lang w:val="en-GB"/>
        </w:rPr>
      </w:pPr>
      <w:r w:rsidRPr="00BC2BC4">
        <w:rPr>
          <w:kern w:val="2"/>
          <w:sz w:val="20"/>
        </w:rPr>
        <w:t>Transparency International</w:t>
      </w:r>
      <w:r w:rsidR="00B635AB" w:rsidRPr="00BC2BC4">
        <w:rPr>
          <w:kern w:val="2"/>
          <w:sz w:val="20"/>
        </w:rPr>
        <w:t xml:space="preserve"> (TI)</w:t>
      </w:r>
      <w:r w:rsidRPr="00BC2BC4">
        <w:rPr>
          <w:kern w:val="2"/>
          <w:sz w:val="20"/>
        </w:rPr>
        <w:t xml:space="preserve"> defines public procurement as “the acquisition by a government department or any government-owned institution of goods or services.”</w:t>
      </w:r>
      <w:r w:rsidRPr="00BC2BC4">
        <w:rPr>
          <w:rStyle w:val="FootnoteReference"/>
          <w:rFonts w:cs="Times New Roman"/>
          <w:kern w:val="2"/>
          <w:sz w:val="20"/>
        </w:rPr>
        <w:footnoteReference w:id="1"/>
      </w:r>
      <w:r w:rsidRPr="00BC2BC4">
        <w:rPr>
          <w:kern w:val="2"/>
          <w:sz w:val="20"/>
        </w:rPr>
        <w:t xml:space="preserve"> Although large-scale items and projects, such as armaments or infrastructure buildings, are the most obvious examples of public procurement, the term also refers to the acquisition of supplies and services including school supplies (such as textbooks), hospital supplies (such as bed sheets) and financial or legal services.</w:t>
      </w:r>
      <w:r w:rsidRPr="00BC2BC4">
        <w:rPr>
          <w:rStyle w:val="FootnoteReference"/>
          <w:rFonts w:cs="Times New Roman"/>
          <w:kern w:val="2"/>
          <w:sz w:val="20"/>
        </w:rPr>
        <w:footnoteReference w:id="2"/>
      </w:r>
    </w:p>
    <w:p w14:paraId="1EAD0706" w14:textId="3766868A" w:rsidR="00282963" w:rsidRPr="00BC2BC4" w:rsidRDefault="00FA0501" w:rsidP="00686618">
      <w:pPr>
        <w:rPr>
          <w:kern w:val="2"/>
          <w:sz w:val="20"/>
        </w:rPr>
      </w:pPr>
      <w:r w:rsidRPr="00BC2BC4">
        <w:rPr>
          <w:rFonts w:cs="Times New Roman"/>
          <w:kern w:val="2"/>
          <w:sz w:val="20"/>
          <w:lang w:val="en-GB"/>
        </w:rPr>
        <w:t xml:space="preserve">This chapter </w:t>
      </w:r>
      <w:r w:rsidR="00CE0422" w:rsidRPr="00BC2BC4">
        <w:rPr>
          <w:rFonts w:cs="Times New Roman"/>
          <w:kern w:val="2"/>
          <w:sz w:val="20"/>
          <w:lang w:val="en-GB"/>
        </w:rPr>
        <w:t>introduces</w:t>
      </w:r>
      <w:r w:rsidRPr="00BC2BC4">
        <w:rPr>
          <w:rFonts w:cs="Times New Roman"/>
          <w:kern w:val="2"/>
          <w:sz w:val="20"/>
          <w:lang w:val="en-GB"/>
        </w:rPr>
        <w:t xml:space="preserve"> the vast topic of corruption in public procurement.</w:t>
      </w:r>
      <w:r w:rsidRPr="00BC2BC4">
        <w:rPr>
          <w:rStyle w:val="FootnoteReference"/>
          <w:rFonts w:cs="Times New Roman"/>
          <w:kern w:val="2"/>
          <w:sz w:val="20"/>
          <w:lang w:val="en-GB"/>
        </w:rPr>
        <w:footnoteReference w:id="3"/>
      </w:r>
      <w:r w:rsidRPr="00BC2BC4">
        <w:rPr>
          <w:rFonts w:cs="Times New Roman"/>
          <w:kern w:val="2"/>
          <w:sz w:val="20"/>
          <w:lang w:val="en-GB"/>
        </w:rPr>
        <w:t xml:space="preserve"> </w:t>
      </w:r>
      <w:r w:rsidR="007D4FFD" w:rsidRPr="00BC2BC4">
        <w:rPr>
          <w:rFonts w:cs="Times New Roman"/>
          <w:kern w:val="2"/>
          <w:sz w:val="20"/>
          <w:lang w:val="en-GB"/>
        </w:rPr>
        <w:t>After setting out the context</w:t>
      </w:r>
      <w:r w:rsidR="00BD0617" w:rsidRPr="00BC2BC4">
        <w:rPr>
          <w:rFonts w:cs="Times New Roman"/>
          <w:kern w:val="2"/>
          <w:sz w:val="20"/>
          <w:lang w:val="en-GB"/>
        </w:rPr>
        <w:t>ual backdrop</w:t>
      </w:r>
      <w:r w:rsidR="007D4FFD" w:rsidRPr="00BC2BC4">
        <w:rPr>
          <w:rFonts w:cs="Times New Roman"/>
          <w:kern w:val="2"/>
          <w:sz w:val="20"/>
          <w:lang w:val="en-GB"/>
        </w:rPr>
        <w:t>—including the negative effects and prevalence of corruption in public procurement—</w:t>
      </w:r>
      <w:r w:rsidR="007D4FFD" w:rsidRPr="00BC2BC4">
        <w:rPr>
          <w:kern w:val="2"/>
          <w:sz w:val="20"/>
        </w:rPr>
        <w:t>t</w:t>
      </w:r>
      <w:r w:rsidRPr="00BC2BC4">
        <w:rPr>
          <w:kern w:val="2"/>
          <w:sz w:val="20"/>
        </w:rPr>
        <w:t>h</w:t>
      </w:r>
      <w:r w:rsidR="000E4F12" w:rsidRPr="00BC2BC4">
        <w:rPr>
          <w:kern w:val="2"/>
          <w:sz w:val="20"/>
        </w:rPr>
        <w:t>e</w:t>
      </w:r>
      <w:r w:rsidRPr="00BC2BC4">
        <w:rPr>
          <w:kern w:val="2"/>
          <w:sz w:val="20"/>
        </w:rPr>
        <w:t xml:space="preserve"> chapter will explore how public procurement works and which industries suffer from the highest levels of procurement corruption, along with the key elements of effective procurement systems. </w:t>
      </w:r>
      <w:r w:rsidR="000E4F12" w:rsidRPr="00BC2BC4">
        <w:rPr>
          <w:kern w:val="2"/>
          <w:sz w:val="20"/>
        </w:rPr>
        <w:t>It wi</w:t>
      </w:r>
      <w:r w:rsidR="00173F88" w:rsidRPr="00BC2BC4">
        <w:rPr>
          <w:kern w:val="2"/>
          <w:sz w:val="20"/>
        </w:rPr>
        <w:t>ll conclude with a discussion on</w:t>
      </w:r>
      <w:r w:rsidR="000E4F12" w:rsidRPr="00BC2BC4">
        <w:rPr>
          <w:kern w:val="2"/>
          <w:sz w:val="20"/>
        </w:rPr>
        <w:t xml:space="preserve"> </w:t>
      </w:r>
      <w:r w:rsidRPr="00BC2BC4">
        <w:rPr>
          <w:kern w:val="2"/>
          <w:sz w:val="20"/>
        </w:rPr>
        <w:t>international legal instruments and standards for regulating procurement</w:t>
      </w:r>
      <w:r w:rsidR="001B5E41" w:rsidRPr="00BC2BC4">
        <w:rPr>
          <w:kern w:val="2"/>
          <w:sz w:val="20"/>
        </w:rPr>
        <w:t>, as well as</w:t>
      </w:r>
      <w:r w:rsidRPr="00BC2BC4">
        <w:rPr>
          <w:kern w:val="2"/>
          <w:sz w:val="20"/>
        </w:rPr>
        <w:t xml:space="preserve"> private and public law </w:t>
      </w:r>
      <w:r w:rsidR="001B5E41" w:rsidRPr="00BC2BC4">
        <w:rPr>
          <w:kern w:val="2"/>
          <w:sz w:val="20"/>
        </w:rPr>
        <w:t>governing</w:t>
      </w:r>
      <w:r w:rsidRPr="00BC2BC4">
        <w:rPr>
          <w:kern w:val="2"/>
          <w:sz w:val="20"/>
        </w:rPr>
        <w:t xml:space="preserve"> the public procurement process in the US, UK and Canada. </w:t>
      </w:r>
    </w:p>
    <w:p w14:paraId="6EF328EC" w14:textId="437F8DC3" w:rsidR="00FA0501" w:rsidRPr="00BC2BC4" w:rsidRDefault="00FA0501" w:rsidP="00686618">
      <w:pPr>
        <w:rPr>
          <w:kern w:val="2"/>
          <w:sz w:val="20"/>
        </w:rPr>
      </w:pPr>
      <w:r w:rsidRPr="00BC2BC4">
        <w:rPr>
          <w:kern w:val="2"/>
          <w:sz w:val="20"/>
        </w:rPr>
        <w:lastRenderedPageBreak/>
        <w:t xml:space="preserve">For convenience, many examples of corruption and methods for reducing corruption </w:t>
      </w:r>
      <w:r w:rsidR="00E1436F" w:rsidRPr="00BC2BC4">
        <w:rPr>
          <w:kern w:val="2"/>
          <w:sz w:val="20"/>
        </w:rPr>
        <w:t>tend to</w:t>
      </w:r>
      <w:r w:rsidRPr="00BC2BC4">
        <w:rPr>
          <w:kern w:val="2"/>
          <w:sz w:val="20"/>
        </w:rPr>
        <w:t xml:space="preserve"> be drawn from the </w:t>
      </w:r>
      <w:r w:rsidR="001A24B5" w:rsidRPr="00BC2BC4">
        <w:rPr>
          <w:kern w:val="2"/>
          <w:sz w:val="20"/>
        </w:rPr>
        <w:t>most prevalent</w:t>
      </w:r>
      <w:r w:rsidRPr="00BC2BC4">
        <w:rPr>
          <w:kern w:val="2"/>
          <w:sz w:val="20"/>
        </w:rPr>
        <w:t xml:space="preserve"> area of public procurement corruption</w:t>
      </w:r>
      <w:r w:rsidR="007924F6" w:rsidRPr="00BC2BC4">
        <w:rPr>
          <w:kern w:val="2"/>
          <w:sz w:val="20"/>
        </w:rPr>
        <w:t xml:space="preserve">: </w:t>
      </w:r>
      <w:r w:rsidRPr="00BC2BC4">
        <w:rPr>
          <w:kern w:val="2"/>
          <w:sz w:val="20"/>
        </w:rPr>
        <w:t xml:space="preserve">the construction industry. This should not be taken as an </w:t>
      </w:r>
      <w:r w:rsidR="00C836C8" w:rsidRPr="00BC2BC4">
        <w:rPr>
          <w:kern w:val="2"/>
          <w:sz w:val="20"/>
        </w:rPr>
        <w:t xml:space="preserve">indication </w:t>
      </w:r>
      <w:r w:rsidRPr="00BC2BC4">
        <w:rPr>
          <w:kern w:val="2"/>
          <w:sz w:val="20"/>
        </w:rPr>
        <w:t>that procurement corruption and its prevention are identical in all public procurement sectors. For example, military defence procurement is typically governed by a process separate from the general government procurement regime.</w:t>
      </w:r>
      <w:r w:rsidRPr="00BC2BC4">
        <w:rPr>
          <w:rStyle w:val="FootnoteReference"/>
          <w:kern w:val="2"/>
          <w:sz w:val="20"/>
        </w:rPr>
        <w:footnoteReference w:id="4"/>
      </w:r>
      <w:r w:rsidR="007924F6" w:rsidRPr="00BC2BC4">
        <w:rPr>
          <w:kern w:val="2"/>
          <w:sz w:val="20"/>
        </w:rPr>
        <w:t xml:space="preserve"> The absence of a full discussion of other sectors and procurement regimes is primarily a product of the limited space that can be dedicated to the subject</w:t>
      </w:r>
      <w:r w:rsidR="000B65C8" w:rsidRPr="00BC2BC4">
        <w:rPr>
          <w:kern w:val="2"/>
          <w:sz w:val="20"/>
        </w:rPr>
        <w:t xml:space="preserve"> of procureme</w:t>
      </w:r>
      <w:r w:rsidR="00E123E0" w:rsidRPr="00BC2BC4">
        <w:rPr>
          <w:kern w:val="2"/>
          <w:sz w:val="20"/>
        </w:rPr>
        <w:t>nt corruption in this book</w:t>
      </w:r>
      <w:r w:rsidR="007924F6" w:rsidRPr="00BC2BC4">
        <w:rPr>
          <w:kern w:val="2"/>
          <w:sz w:val="20"/>
        </w:rPr>
        <w:t>.</w:t>
      </w:r>
    </w:p>
    <w:p w14:paraId="0175EB56" w14:textId="20569040" w:rsidR="00DB2B41" w:rsidRPr="00BC2BC4" w:rsidRDefault="00E66A72" w:rsidP="00A9473C">
      <w:pPr>
        <w:pStyle w:val="Heading2"/>
        <w:rPr>
          <w:kern w:val="2"/>
          <w:sz w:val="24"/>
        </w:rPr>
      </w:pPr>
      <w:bookmarkStart w:id="4" w:name="_Toc420920777"/>
      <w:bookmarkStart w:id="5" w:name="_Toc424485012"/>
      <w:r w:rsidRPr="00BC2BC4">
        <w:rPr>
          <w:kern w:val="2"/>
          <w:sz w:val="24"/>
        </w:rPr>
        <w:t>Adverse Consequences of</w:t>
      </w:r>
      <w:r w:rsidR="003B4781" w:rsidRPr="00BC2BC4">
        <w:rPr>
          <w:kern w:val="2"/>
          <w:sz w:val="24"/>
        </w:rPr>
        <w:t xml:space="preserve"> Corruption in Public P</w:t>
      </w:r>
      <w:r w:rsidR="00DB2B41" w:rsidRPr="00BC2BC4">
        <w:rPr>
          <w:kern w:val="2"/>
          <w:sz w:val="24"/>
        </w:rPr>
        <w:t>rocurement</w:t>
      </w:r>
      <w:bookmarkEnd w:id="4"/>
      <w:bookmarkEnd w:id="5"/>
    </w:p>
    <w:p w14:paraId="23D1F0A0" w14:textId="03CC385E" w:rsidR="006E08D1" w:rsidRPr="00BC2BC4" w:rsidRDefault="004B1854" w:rsidP="006E08D1">
      <w:pPr>
        <w:rPr>
          <w:rFonts w:cs="Times New Roman"/>
          <w:kern w:val="2"/>
          <w:sz w:val="20"/>
          <w:lang w:val="en-GB"/>
        </w:rPr>
      </w:pPr>
      <w:r w:rsidRPr="00BC2BC4">
        <w:rPr>
          <w:rFonts w:cs="Times New Roman"/>
          <w:kern w:val="2"/>
          <w:sz w:val="20"/>
          <w:lang w:val="en-GB"/>
        </w:rPr>
        <w:t xml:space="preserve"> </w:t>
      </w:r>
      <w:r w:rsidR="006671D9" w:rsidRPr="00BC2BC4">
        <w:rPr>
          <w:rFonts w:cs="Times New Roman"/>
          <w:kern w:val="2"/>
          <w:sz w:val="20"/>
          <w:lang w:val="en-GB"/>
        </w:rPr>
        <w:t xml:space="preserve">The World Bank </w:t>
      </w:r>
      <w:r w:rsidR="00AD7A82" w:rsidRPr="00BC2BC4">
        <w:rPr>
          <w:rFonts w:cs="Times New Roman"/>
          <w:kern w:val="2"/>
          <w:sz w:val="20"/>
          <w:lang w:val="en-GB"/>
        </w:rPr>
        <w:t>makes</w:t>
      </w:r>
      <w:r w:rsidR="00C20320" w:rsidRPr="00BC2BC4">
        <w:rPr>
          <w:rFonts w:cs="Times New Roman"/>
          <w:kern w:val="2"/>
          <w:sz w:val="20"/>
          <w:lang w:val="en-GB"/>
        </w:rPr>
        <w:t xml:space="preserve"> a </w:t>
      </w:r>
      <w:r w:rsidR="00A9473C" w:rsidRPr="00BC2BC4">
        <w:rPr>
          <w:rFonts w:cs="Times New Roman"/>
          <w:kern w:val="2"/>
          <w:sz w:val="20"/>
          <w:lang w:val="en-GB"/>
        </w:rPr>
        <w:t>distinction</w:t>
      </w:r>
      <w:r w:rsidR="008C10D0" w:rsidRPr="00BC2BC4">
        <w:rPr>
          <w:rFonts w:cs="Times New Roman"/>
          <w:kern w:val="2"/>
          <w:sz w:val="20"/>
          <w:lang w:val="en-GB"/>
        </w:rPr>
        <w:t xml:space="preserve"> </w:t>
      </w:r>
      <w:r w:rsidR="006671D9" w:rsidRPr="00BC2BC4">
        <w:rPr>
          <w:rFonts w:cs="Times New Roman"/>
          <w:kern w:val="2"/>
          <w:sz w:val="20"/>
          <w:lang w:val="en-GB"/>
        </w:rPr>
        <w:t>between t</w:t>
      </w:r>
      <w:r w:rsidRPr="00BC2BC4">
        <w:rPr>
          <w:rFonts w:cs="Times New Roman"/>
          <w:kern w:val="2"/>
          <w:sz w:val="20"/>
          <w:lang w:val="en-GB"/>
        </w:rPr>
        <w:t xml:space="preserve">wo broad categories of corruption: </w:t>
      </w:r>
    </w:p>
    <w:p w14:paraId="4808EE50" w14:textId="0F6E538D" w:rsidR="006E08D1" w:rsidRPr="00BC2BC4" w:rsidRDefault="00EA67D8" w:rsidP="00A75BC0">
      <w:pPr>
        <w:pStyle w:val="ListParagraph"/>
        <w:numPr>
          <w:ilvl w:val="0"/>
          <w:numId w:val="10"/>
        </w:numPr>
        <w:spacing w:after="120"/>
        <w:rPr>
          <w:rFonts w:cs="Times New Roman"/>
          <w:kern w:val="2"/>
          <w:sz w:val="20"/>
          <w:lang w:val="en-GB"/>
        </w:rPr>
      </w:pPr>
      <w:r w:rsidRPr="00BC2BC4">
        <w:rPr>
          <w:rFonts w:cs="Times New Roman"/>
          <w:b/>
          <w:kern w:val="2"/>
          <w:sz w:val="20"/>
          <w:lang w:val="en-GB"/>
        </w:rPr>
        <w:t>state capture</w:t>
      </w:r>
      <w:r w:rsidR="004B1854" w:rsidRPr="00BC2BC4">
        <w:rPr>
          <w:rFonts w:cs="Times New Roman"/>
          <w:kern w:val="2"/>
          <w:sz w:val="20"/>
          <w:lang w:val="en-GB"/>
        </w:rPr>
        <w:t>, which refers to actions by individuals, groups, or organizations to influence</w:t>
      </w:r>
      <w:r w:rsidR="00C836C8" w:rsidRPr="00BC2BC4">
        <w:rPr>
          <w:rFonts w:cs="Times New Roman"/>
          <w:kern w:val="2"/>
          <w:sz w:val="20"/>
          <w:lang w:val="en-GB"/>
        </w:rPr>
        <w:t xml:space="preserve"> public</w:t>
      </w:r>
      <w:r w:rsidR="004B1854" w:rsidRPr="00BC2BC4">
        <w:rPr>
          <w:rFonts w:cs="Times New Roman"/>
          <w:kern w:val="2"/>
          <w:sz w:val="20"/>
          <w:lang w:val="en-GB"/>
        </w:rPr>
        <w:t xml:space="preserve"> policy formation by illegally transferring private benefits to public officials</w:t>
      </w:r>
      <w:r w:rsidR="006E08D1" w:rsidRPr="00BC2BC4">
        <w:rPr>
          <w:rFonts w:cs="Times New Roman"/>
          <w:kern w:val="2"/>
          <w:sz w:val="20"/>
          <w:lang w:val="en-GB"/>
        </w:rPr>
        <w:t xml:space="preserve"> (i.e., </w:t>
      </w:r>
      <w:r w:rsidR="006E08D1" w:rsidRPr="00BC2BC4">
        <w:rPr>
          <w:rFonts w:cs="Times New Roman"/>
          <w:kern w:val="2"/>
          <w:sz w:val="20"/>
        </w:rPr>
        <w:t>efforts by private actors to shape the institutional environment in which they operate)</w:t>
      </w:r>
      <w:r w:rsidR="004B1854" w:rsidRPr="00BC2BC4">
        <w:rPr>
          <w:rFonts w:cs="Times New Roman"/>
          <w:kern w:val="2"/>
          <w:sz w:val="20"/>
          <w:lang w:val="en-GB"/>
        </w:rPr>
        <w:t xml:space="preserve">; and </w:t>
      </w:r>
    </w:p>
    <w:p w14:paraId="19AB3D48" w14:textId="76441E22" w:rsidR="006E08D1" w:rsidRPr="00BC2BC4" w:rsidRDefault="00EA67D8" w:rsidP="00A75BC0">
      <w:pPr>
        <w:pStyle w:val="ListParagraph"/>
        <w:numPr>
          <w:ilvl w:val="0"/>
          <w:numId w:val="10"/>
        </w:numPr>
        <w:spacing w:before="120" w:after="240"/>
        <w:rPr>
          <w:rFonts w:cs="Times New Roman"/>
          <w:kern w:val="2"/>
          <w:sz w:val="20"/>
          <w:lang w:val="en-GB"/>
        </w:rPr>
      </w:pPr>
      <w:r w:rsidRPr="00BC2BC4">
        <w:rPr>
          <w:rFonts w:cs="Times New Roman"/>
          <w:b/>
          <w:kern w:val="2"/>
          <w:sz w:val="20"/>
          <w:lang w:val="en-GB"/>
        </w:rPr>
        <w:t>administrative corruption</w:t>
      </w:r>
      <w:r w:rsidR="004B1854" w:rsidRPr="00BC2BC4">
        <w:rPr>
          <w:rFonts w:cs="Times New Roman"/>
          <w:kern w:val="2"/>
          <w:sz w:val="20"/>
          <w:lang w:val="en-GB"/>
        </w:rPr>
        <w:t xml:space="preserve">, which refers to the use of the same type of </w:t>
      </w:r>
      <w:r w:rsidR="00C836C8" w:rsidRPr="00BC2BC4">
        <w:rPr>
          <w:rFonts w:cs="Times New Roman"/>
          <w:kern w:val="2"/>
          <w:sz w:val="20"/>
          <w:lang w:val="en-GB"/>
        </w:rPr>
        <w:t>corruption and bribes</w:t>
      </w:r>
      <w:r w:rsidR="004B1854" w:rsidRPr="00BC2BC4">
        <w:rPr>
          <w:rFonts w:cs="Times New Roman"/>
          <w:kern w:val="2"/>
          <w:sz w:val="20"/>
          <w:lang w:val="en-GB"/>
        </w:rPr>
        <w:t xml:space="preserve"> by the same actors to interfere with the proper implementation of laws, rules, and regulations.</w:t>
      </w:r>
      <w:r w:rsidR="004B1854" w:rsidRPr="00BC2BC4">
        <w:rPr>
          <w:kern w:val="2"/>
          <w:sz w:val="20"/>
          <w:vertAlign w:val="superscript"/>
          <w:lang w:val="en-GB"/>
        </w:rPr>
        <w:footnoteReference w:id="5"/>
      </w:r>
      <w:r w:rsidR="004B1854" w:rsidRPr="00BC2BC4">
        <w:rPr>
          <w:rFonts w:cs="Times New Roman"/>
          <w:kern w:val="2"/>
          <w:sz w:val="20"/>
          <w:lang w:val="en-GB"/>
        </w:rPr>
        <w:t xml:space="preserve"> </w:t>
      </w:r>
    </w:p>
    <w:p w14:paraId="595AB697" w14:textId="57957146" w:rsidR="004B1854" w:rsidRPr="00BC2BC4" w:rsidRDefault="00D831F7" w:rsidP="006E08D1">
      <w:pPr>
        <w:rPr>
          <w:rFonts w:cs="Times New Roman"/>
          <w:kern w:val="2"/>
          <w:sz w:val="20"/>
        </w:rPr>
      </w:pPr>
      <w:r w:rsidRPr="00BC2BC4">
        <w:rPr>
          <w:rFonts w:cs="Times New Roman"/>
          <w:kern w:val="2"/>
          <w:sz w:val="20"/>
          <w:lang w:val="en-GB"/>
        </w:rPr>
        <w:t>E</w:t>
      </w:r>
      <w:r w:rsidR="009A46E0" w:rsidRPr="00BC2BC4">
        <w:rPr>
          <w:rFonts w:cs="Times New Roman"/>
          <w:kern w:val="2"/>
          <w:sz w:val="20"/>
          <w:lang w:val="en-GB"/>
        </w:rPr>
        <w:t xml:space="preserve">xamples </w:t>
      </w:r>
      <w:r w:rsidRPr="00BC2BC4">
        <w:rPr>
          <w:rFonts w:cs="Times New Roman"/>
          <w:kern w:val="2"/>
          <w:sz w:val="20"/>
          <w:lang w:val="en-GB"/>
        </w:rPr>
        <w:t xml:space="preserve">of </w:t>
      </w:r>
      <w:r w:rsidR="001215C2" w:rsidRPr="00BC2BC4">
        <w:rPr>
          <w:rFonts w:cs="Times New Roman"/>
          <w:kern w:val="2"/>
          <w:sz w:val="20"/>
          <w:lang w:val="en-GB"/>
        </w:rPr>
        <w:t xml:space="preserve">public </w:t>
      </w:r>
      <w:r w:rsidRPr="00BC2BC4">
        <w:rPr>
          <w:rFonts w:cs="Times New Roman"/>
          <w:kern w:val="2"/>
          <w:sz w:val="20"/>
          <w:lang w:val="en-GB"/>
        </w:rPr>
        <w:t xml:space="preserve">procurement corruption </w:t>
      </w:r>
      <w:r w:rsidR="00CC5624" w:rsidRPr="00BC2BC4">
        <w:rPr>
          <w:rFonts w:cs="Times New Roman"/>
          <w:kern w:val="2"/>
          <w:sz w:val="20"/>
          <w:lang w:val="en-GB"/>
        </w:rPr>
        <w:t xml:space="preserve">can </w:t>
      </w:r>
      <w:r w:rsidR="009A46E0" w:rsidRPr="00BC2BC4">
        <w:rPr>
          <w:rFonts w:cs="Times New Roman"/>
          <w:kern w:val="2"/>
          <w:sz w:val="20"/>
          <w:lang w:val="en-GB"/>
        </w:rPr>
        <w:t>be found in</w:t>
      </w:r>
      <w:r w:rsidRPr="00BC2BC4">
        <w:rPr>
          <w:rFonts w:cs="Times New Roman"/>
          <w:kern w:val="2"/>
          <w:sz w:val="20"/>
          <w:lang w:val="en-GB"/>
        </w:rPr>
        <w:t xml:space="preserve"> either category. </w:t>
      </w:r>
      <w:r w:rsidR="00B56B50" w:rsidRPr="00BC2BC4">
        <w:rPr>
          <w:rFonts w:cs="Times New Roman"/>
          <w:kern w:val="2"/>
          <w:sz w:val="20"/>
        </w:rPr>
        <w:t>Corruption in the nature of “state capture</w:t>
      </w:r>
      <w:r w:rsidR="00C20320" w:rsidRPr="00BC2BC4">
        <w:rPr>
          <w:rFonts w:cs="Times New Roman"/>
          <w:kern w:val="2"/>
          <w:sz w:val="20"/>
        </w:rPr>
        <w:t>,</w:t>
      </w:r>
      <w:r w:rsidR="00B56B50" w:rsidRPr="00BC2BC4">
        <w:rPr>
          <w:rFonts w:cs="Times New Roman"/>
          <w:kern w:val="2"/>
          <w:sz w:val="20"/>
        </w:rPr>
        <w:t xml:space="preserve">” for example, </w:t>
      </w:r>
      <w:r w:rsidR="00C20320" w:rsidRPr="00BC2BC4">
        <w:rPr>
          <w:rFonts w:cs="Times New Roman"/>
          <w:kern w:val="2"/>
          <w:sz w:val="20"/>
        </w:rPr>
        <w:t xml:space="preserve">may </w:t>
      </w:r>
      <w:r w:rsidR="00B56B50" w:rsidRPr="00BC2BC4">
        <w:rPr>
          <w:rFonts w:cs="Times New Roman"/>
          <w:kern w:val="2"/>
          <w:sz w:val="20"/>
        </w:rPr>
        <w:t xml:space="preserve">involve attempts by private firms to influence the </w:t>
      </w:r>
      <w:r w:rsidR="00234DB5" w:rsidRPr="00BC2BC4">
        <w:rPr>
          <w:rFonts w:cs="Times New Roman"/>
          <w:kern w:val="2"/>
          <w:sz w:val="20"/>
        </w:rPr>
        <w:t xml:space="preserve">broader </w:t>
      </w:r>
      <w:r w:rsidR="00B56B50" w:rsidRPr="00BC2BC4">
        <w:rPr>
          <w:rFonts w:cs="Times New Roman"/>
          <w:kern w:val="2"/>
          <w:sz w:val="20"/>
        </w:rPr>
        <w:t>project appraisal, design, and budgeting process by making illicit campaign contributions.</w:t>
      </w:r>
      <w:r w:rsidR="004B1854" w:rsidRPr="00BC2BC4">
        <w:rPr>
          <w:rFonts w:cs="Times New Roman"/>
          <w:kern w:val="2"/>
          <w:sz w:val="20"/>
          <w:lang w:val="en-GB"/>
        </w:rPr>
        <w:t xml:space="preserve"> </w:t>
      </w:r>
      <w:r w:rsidR="00234DB5" w:rsidRPr="00BC2BC4">
        <w:rPr>
          <w:rFonts w:cs="Times New Roman"/>
          <w:kern w:val="2"/>
          <w:sz w:val="20"/>
          <w:lang w:val="en-GB"/>
        </w:rPr>
        <w:t>“Administrative corruption” c</w:t>
      </w:r>
      <w:r w:rsidR="00B56B50" w:rsidRPr="00BC2BC4">
        <w:rPr>
          <w:rFonts w:cs="Times New Roman"/>
          <w:kern w:val="2"/>
          <w:sz w:val="20"/>
          <w:lang w:val="en-GB"/>
        </w:rPr>
        <w:t>ould include</w:t>
      </w:r>
      <w:r w:rsidR="00234DB5" w:rsidRPr="00BC2BC4">
        <w:rPr>
          <w:rFonts w:cs="Times New Roman"/>
          <w:kern w:val="2"/>
          <w:sz w:val="20"/>
          <w:lang w:val="en-GB"/>
        </w:rPr>
        <w:t>, for example,</w:t>
      </w:r>
      <w:r w:rsidR="004B1854" w:rsidRPr="00BC2BC4">
        <w:rPr>
          <w:rFonts w:cs="Times New Roman"/>
          <w:kern w:val="2"/>
          <w:sz w:val="20"/>
          <w:lang w:val="en-GB"/>
        </w:rPr>
        <w:t xml:space="preserve"> </w:t>
      </w:r>
      <w:r w:rsidR="00B56B50" w:rsidRPr="00BC2BC4">
        <w:rPr>
          <w:rFonts w:cs="Times New Roman"/>
          <w:kern w:val="2"/>
          <w:sz w:val="20"/>
          <w:lang w:val="en-GB"/>
        </w:rPr>
        <w:t>a bidder’s attempt</w:t>
      </w:r>
      <w:r w:rsidR="006E08D1" w:rsidRPr="00BC2BC4">
        <w:rPr>
          <w:rFonts w:cs="Times New Roman"/>
          <w:kern w:val="2"/>
          <w:sz w:val="20"/>
          <w:lang w:val="en-GB"/>
        </w:rPr>
        <w:t xml:space="preserve"> </w:t>
      </w:r>
      <w:r w:rsidR="0023182F" w:rsidRPr="00BC2BC4">
        <w:rPr>
          <w:rFonts w:cs="Times New Roman"/>
          <w:kern w:val="2"/>
          <w:sz w:val="20"/>
          <w:lang w:val="en-GB"/>
        </w:rPr>
        <w:t xml:space="preserve">to </w:t>
      </w:r>
      <w:r w:rsidR="006E08D1" w:rsidRPr="00BC2BC4">
        <w:rPr>
          <w:rFonts w:cs="Times New Roman"/>
          <w:kern w:val="2"/>
          <w:sz w:val="20"/>
          <w:lang w:val="en-GB"/>
        </w:rPr>
        <w:t>bribe</w:t>
      </w:r>
      <w:r w:rsidR="004B1854" w:rsidRPr="00BC2BC4">
        <w:rPr>
          <w:rFonts w:cs="Times New Roman"/>
          <w:kern w:val="2"/>
          <w:sz w:val="20"/>
          <w:lang w:val="en-GB"/>
        </w:rPr>
        <w:t xml:space="preserve"> an administrative decision maker in order to </w:t>
      </w:r>
      <w:r w:rsidR="00153908" w:rsidRPr="00BC2BC4">
        <w:rPr>
          <w:rFonts w:cs="Times New Roman"/>
          <w:kern w:val="2"/>
          <w:sz w:val="20"/>
          <w:lang w:val="en-GB"/>
        </w:rPr>
        <w:t xml:space="preserve">secure </w:t>
      </w:r>
      <w:r w:rsidR="00B56B50" w:rsidRPr="00BC2BC4">
        <w:rPr>
          <w:rFonts w:cs="Times New Roman"/>
          <w:kern w:val="2"/>
          <w:sz w:val="20"/>
          <w:lang w:val="en-GB"/>
        </w:rPr>
        <w:t>a lucrative public procurement</w:t>
      </w:r>
      <w:r w:rsidR="004B1854" w:rsidRPr="00BC2BC4">
        <w:rPr>
          <w:rFonts w:cs="Times New Roman"/>
          <w:kern w:val="2"/>
          <w:sz w:val="20"/>
          <w:lang w:val="en-GB"/>
        </w:rPr>
        <w:t xml:space="preserve"> contrac</w:t>
      </w:r>
      <w:r w:rsidR="003B68D7" w:rsidRPr="00BC2BC4">
        <w:rPr>
          <w:rFonts w:cs="Times New Roman"/>
          <w:kern w:val="2"/>
          <w:sz w:val="20"/>
          <w:lang w:val="en-GB"/>
        </w:rPr>
        <w:t>t</w:t>
      </w:r>
      <w:r w:rsidR="008F28BC" w:rsidRPr="00BC2BC4">
        <w:rPr>
          <w:rFonts w:cs="Times New Roman"/>
          <w:kern w:val="2"/>
          <w:sz w:val="20"/>
          <w:lang w:val="en-GB"/>
        </w:rPr>
        <w:t>. A further example would be the giving of a bribe by a</w:t>
      </w:r>
      <w:r w:rsidR="00153908" w:rsidRPr="00BC2BC4">
        <w:rPr>
          <w:rFonts w:cs="Times New Roman"/>
          <w:kern w:val="2"/>
          <w:sz w:val="20"/>
          <w:lang w:val="en-GB"/>
        </w:rPr>
        <w:t xml:space="preserve"> contractor </w:t>
      </w:r>
      <w:r w:rsidR="008F28BC" w:rsidRPr="00BC2BC4">
        <w:rPr>
          <w:rFonts w:cs="Times New Roman"/>
          <w:kern w:val="2"/>
          <w:sz w:val="20"/>
          <w:lang w:val="en-GB"/>
        </w:rPr>
        <w:t xml:space="preserve">to </w:t>
      </w:r>
      <w:r w:rsidR="003B68D7" w:rsidRPr="00BC2BC4">
        <w:rPr>
          <w:rFonts w:cs="Times New Roman"/>
          <w:kern w:val="2"/>
          <w:sz w:val="20"/>
          <w:lang w:val="en-GB"/>
        </w:rPr>
        <w:t>a</w:t>
      </w:r>
      <w:r w:rsidR="00153908" w:rsidRPr="00BC2BC4">
        <w:rPr>
          <w:rFonts w:cs="Times New Roman"/>
          <w:kern w:val="2"/>
          <w:sz w:val="20"/>
          <w:lang w:val="en-GB"/>
        </w:rPr>
        <w:t xml:space="preserve"> government</w:t>
      </w:r>
      <w:r w:rsidR="003B68D7" w:rsidRPr="00BC2BC4">
        <w:rPr>
          <w:rFonts w:cs="Times New Roman"/>
          <w:kern w:val="2"/>
          <w:sz w:val="20"/>
          <w:lang w:val="en-GB"/>
        </w:rPr>
        <w:t xml:space="preserve"> </w:t>
      </w:r>
      <w:r w:rsidR="00153908" w:rsidRPr="00BC2BC4">
        <w:rPr>
          <w:rFonts w:cs="Times New Roman"/>
          <w:kern w:val="2"/>
          <w:sz w:val="20"/>
          <w:lang w:val="en-GB"/>
        </w:rPr>
        <w:t xml:space="preserve">engineer or </w:t>
      </w:r>
      <w:r w:rsidR="003B68D7" w:rsidRPr="00BC2BC4">
        <w:rPr>
          <w:rFonts w:cs="Times New Roman"/>
          <w:kern w:val="2"/>
          <w:sz w:val="20"/>
          <w:lang w:val="en-GB"/>
        </w:rPr>
        <w:t xml:space="preserve">inspector to “ease up” on his or her inspection of </w:t>
      </w:r>
      <w:r w:rsidR="00E9322B" w:rsidRPr="00BC2BC4">
        <w:rPr>
          <w:rFonts w:cs="Times New Roman"/>
          <w:kern w:val="2"/>
          <w:sz w:val="20"/>
          <w:lang w:val="en-GB"/>
        </w:rPr>
        <w:t>sub</w:t>
      </w:r>
      <w:r w:rsidR="00962E47" w:rsidRPr="00BC2BC4">
        <w:rPr>
          <w:rFonts w:cs="Times New Roman"/>
          <w:kern w:val="2"/>
          <w:sz w:val="20"/>
          <w:lang w:val="en-GB"/>
        </w:rPr>
        <w:t>standard</w:t>
      </w:r>
      <w:r w:rsidR="003B68D7" w:rsidRPr="00BC2BC4">
        <w:rPr>
          <w:rFonts w:cs="Times New Roman"/>
          <w:kern w:val="2"/>
          <w:sz w:val="20"/>
          <w:lang w:val="en-GB"/>
        </w:rPr>
        <w:t xml:space="preserve"> goods </w:t>
      </w:r>
      <w:r w:rsidR="00C26E30" w:rsidRPr="00BC2BC4">
        <w:rPr>
          <w:rFonts w:cs="Times New Roman"/>
          <w:kern w:val="2"/>
          <w:sz w:val="20"/>
          <w:lang w:val="en-GB"/>
        </w:rPr>
        <w:t>or</w:t>
      </w:r>
      <w:r w:rsidR="003B68D7" w:rsidRPr="00BC2BC4">
        <w:rPr>
          <w:rFonts w:cs="Times New Roman"/>
          <w:kern w:val="2"/>
          <w:sz w:val="20"/>
          <w:lang w:val="en-GB"/>
        </w:rPr>
        <w:t xml:space="preserve"> services</w:t>
      </w:r>
      <w:r w:rsidR="00962E47" w:rsidRPr="00BC2BC4">
        <w:rPr>
          <w:rFonts w:cs="Times New Roman"/>
          <w:kern w:val="2"/>
          <w:sz w:val="20"/>
          <w:lang w:val="en-GB"/>
        </w:rPr>
        <w:t xml:space="preserve"> provided by the contractor</w:t>
      </w:r>
      <w:r w:rsidR="004B1854" w:rsidRPr="00BC2BC4">
        <w:rPr>
          <w:rFonts w:cs="Times New Roman"/>
          <w:kern w:val="2"/>
          <w:sz w:val="20"/>
          <w:lang w:val="en-GB"/>
        </w:rPr>
        <w:t xml:space="preserve">. </w:t>
      </w:r>
      <w:r w:rsidR="00934BE2" w:rsidRPr="00BC2BC4">
        <w:rPr>
          <w:rFonts w:cs="Times New Roman"/>
          <w:kern w:val="2"/>
          <w:sz w:val="20"/>
          <w:lang w:val="en-GB"/>
        </w:rPr>
        <w:t xml:space="preserve">Although such actions may be seen by </w:t>
      </w:r>
      <w:r w:rsidR="008F28BC" w:rsidRPr="00BC2BC4">
        <w:rPr>
          <w:rFonts w:cs="Times New Roman"/>
          <w:kern w:val="2"/>
          <w:sz w:val="20"/>
          <w:lang w:val="en-GB"/>
        </w:rPr>
        <w:t>the parties involved</w:t>
      </w:r>
      <w:r w:rsidR="00934BE2" w:rsidRPr="00BC2BC4">
        <w:rPr>
          <w:rFonts w:cs="Times New Roman"/>
          <w:kern w:val="2"/>
          <w:sz w:val="20"/>
          <w:lang w:val="en-GB"/>
        </w:rPr>
        <w:t xml:space="preserve"> as relatively harmless,</w:t>
      </w:r>
      <w:r w:rsidR="004B1854" w:rsidRPr="00BC2BC4">
        <w:rPr>
          <w:rFonts w:cs="Times New Roman"/>
          <w:kern w:val="2"/>
          <w:sz w:val="20"/>
          <w:lang w:val="en-GB"/>
        </w:rPr>
        <w:t xml:space="preserve"> </w:t>
      </w:r>
      <w:r w:rsidR="00FC7D24" w:rsidRPr="00BC2BC4">
        <w:rPr>
          <w:rFonts w:cs="Times New Roman"/>
          <w:kern w:val="2"/>
          <w:sz w:val="20"/>
          <w:lang w:val="en-GB"/>
        </w:rPr>
        <w:t>the</w:t>
      </w:r>
      <w:r w:rsidR="004B1854" w:rsidRPr="00BC2BC4">
        <w:rPr>
          <w:rFonts w:cs="Times New Roman"/>
          <w:kern w:val="2"/>
          <w:sz w:val="20"/>
          <w:lang w:val="en-GB"/>
        </w:rPr>
        <w:t xml:space="preserve"> </w:t>
      </w:r>
      <w:r w:rsidR="00934BE2" w:rsidRPr="00BC2BC4">
        <w:rPr>
          <w:rFonts w:cs="Times New Roman"/>
          <w:kern w:val="2"/>
          <w:sz w:val="20"/>
          <w:lang w:val="en-GB"/>
        </w:rPr>
        <w:t xml:space="preserve">reality is that the </w:t>
      </w:r>
      <w:r w:rsidR="004B1854" w:rsidRPr="00BC2BC4">
        <w:rPr>
          <w:rFonts w:cs="Times New Roman"/>
          <w:kern w:val="2"/>
          <w:sz w:val="20"/>
          <w:lang w:val="en-GB"/>
        </w:rPr>
        <w:t xml:space="preserve">effects </w:t>
      </w:r>
      <w:r w:rsidR="00FC7D24" w:rsidRPr="00BC2BC4">
        <w:rPr>
          <w:rFonts w:cs="Times New Roman"/>
          <w:kern w:val="2"/>
          <w:sz w:val="20"/>
          <w:lang w:val="en-GB"/>
        </w:rPr>
        <w:t>of</w:t>
      </w:r>
      <w:r w:rsidR="007D0CD0" w:rsidRPr="00BC2BC4">
        <w:rPr>
          <w:rFonts w:cs="Times New Roman"/>
          <w:kern w:val="2"/>
          <w:sz w:val="20"/>
          <w:lang w:val="en-GB"/>
        </w:rPr>
        <w:t xml:space="preserve"> </w:t>
      </w:r>
      <w:r w:rsidR="004B1854" w:rsidRPr="00BC2BC4">
        <w:rPr>
          <w:rFonts w:cs="Times New Roman"/>
          <w:kern w:val="2"/>
          <w:sz w:val="20"/>
          <w:lang w:val="en-GB"/>
        </w:rPr>
        <w:t>corruption in public procurement</w:t>
      </w:r>
      <w:r w:rsidR="00EB120C" w:rsidRPr="00BC2BC4">
        <w:rPr>
          <w:rFonts w:cs="Times New Roman"/>
          <w:kern w:val="2"/>
          <w:sz w:val="20"/>
          <w:lang w:val="en-GB"/>
        </w:rPr>
        <w:t>, no matter how “small” the act,</w:t>
      </w:r>
      <w:r w:rsidR="00FC7D24" w:rsidRPr="00BC2BC4">
        <w:rPr>
          <w:rFonts w:cs="Times New Roman"/>
          <w:kern w:val="2"/>
          <w:sz w:val="20"/>
          <w:lang w:val="en-GB"/>
        </w:rPr>
        <w:t xml:space="preserve"> can be devastating</w:t>
      </w:r>
      <w:r w:rsidR="004B1854" w:rsidRPr="00BC2BC4">
        <w:rPr>
          <w:rFonts w:cs="Times New Roman"/>
          <w:kern w:val="2"/>
          <w:sz w:val="20"/>
          <w:lang w:val="en-GB"/>
        </w:rPr>
        <w:t>.</w:t>
      </w:r>
    </w:p>
    <w:p w14:paraId="081BAAFB" w14:textId="50DFA101" w:rsidR="000E52AB" w:rsidRPr="00BC2BC4" w:rsidRDefault="000E52AB" w:rsidP="003F14E9">
      <w:pPr>
        <w:rPr>
          <w:rFonts w:cs="Times New Roman"/>
          <w:kern w:val="2"/>
          <w:sz w:val="20"/>
        </w:rPr>
      </w:pPr>
      <w:r w:rsidRPr="00BC2BC4">
        <w:rPr>
          <w:rFonts w:cs="Times New Roman"/>
          <w:kern w:val="2"/>
          <w:sz w:val="20"/>
        </w:rPr>
        <w:lastRenderedPageBreak/>
        <w:t>Corrup</w:t>
      </w:r>
      <w:r w:rsidR="007D601C" w:rsidRPr="00BC2BC4">
        <w:rPr>
          <w:rFonts w:cs="Times New Roman"/>
          <w:kern w:val="2"/>
          <w:sz w:val="20"/>
        </w:rPr>
        <w:t xml:space="preserve">tion in public procurement can have many </w:t>
      </w:r>
      <w:r w:rsidRPr="00BC2BC4">
        <w:rPr>
          <w:rFonts w:cs="Times New Roman"/>
          <w:kern w:val="2"/>
          <w:sz w:val="20"/>
        </w:rPr>
        <w:t>detrimental effect</w:t>
      </w:r>
      <w:r w:rsidR="00E66A72" w:rsidRPr="00BC2BC4">
        <w:rPr>
          <w:rFonts w:cs="Times New Roman"/>
          <w:kern w:val="2"/>
          <w:sz w:val="20"/>
        </w:rPr>
        <w:t>s</w:t>
      </w:r>
      <w:r w:rsidR="007D601C" w:rsidRPr="00BC2BC4">
        <w:rPr>
          <w:rFonts w:cs="Times New Roman"/>
          <w:kern w:val="2"/>
          <w:sz w:val="20"/>
        </w:rPr>
        <w:t xml:space="preserve">. For </w:t>
      </w:r>
      <w:r w:rsidR="00256C59" w:rsidRPr="00BC2BC4">
        <w:rPr>
          <w:rFonts w:cs="Times New Roman"/>
          <w:kern w:val="2"/>
          <w:sz w:val="20"/>
        </w:rPr>
        <w:t>instance</w:t>
      </w:r>
      <w:r w:rsidR="007D601C" w:rsidRPr="00BC2BC4">
        <w:rPr>
          <w:rFonts w:cs="Times New Roman"/>
          <w:kern w:val="2"/>
          <w:sz w:val="20"/>
        </w:rPr>
        <w:t>,</w:t>
      </w:r>
      <w:r w:rsidRPr="00BC2BC4">
        <w:rPr>
          <w:rFonts w:cs="Times New Roman"/>
          <w:kern w:val="2"/>
          <w:sz w:val="20"/>
        </w:rPr>
        <w:t xml:space="preserve"> </w:t>
      </w:r>
      <w:r w:rsidR="00D211A9" w:rsidRPr="00BC2BC4">
        <w:rPr>
          <w:rFonts w:cs="Times New Roman"/>
          <w:kern w:val="2"/>
          <w:sz w:val="20"/>
        </w:rPr>
        <w:t>corruption</w:t>
      </w:r>
      <w:r w:rsidR="009612BF" w:rsidRPr="00BC2BC4">
        <w:rPr>
          <w:rFonts w:cs="Times New Roman"/>
          <w:kern w:val="2"/>
          <w:sz w:val="20"/>
        </w:rPr>
        <w:t xml:space="preserve"> often increases the co</w:t>
      </w:r>
      <w:r w:rsidR="007D601C" w:rsidRPr="00BC2BC4">
        <w:rPr>
          <w:rFonts w:cs="Times New Roman"/>
          <w:kern w:val="2"/>
          <w:sz w:val="20"/>
        </w:rPr>
        <w:t>st and</w:t>
      </w:r>
      <w:r w:rsidR="009612BF" w:rsidRPr="00BC2BC4">
        <w:rPr>
          <w:rFonts w:cs="Times New Roman"/>
          <w:kern w:val="2"/>
          <w:sz w:val="20"/>
        </w:rPr>
        <w:t xml:space="preserve"> </w:t>
      </w:r>
      <w:r w:rsidR="00E66A72" w:rsidRPr="00BC2BC4">
        <w:rPr>
          <w:rFonts w:cs="Times New Roman"/>
          <w:kern w:val="2"/>
          <w:sz w:val="20"/>
        </w:rPr>
        <w:t>lowers the quality of goods or services acquired</w:t>
      </w:r>
      <w:r w:rsidR="00D211A9" w:rsidRPr="00BC2BC4">
        <w:rPr>
          <w:rFonts w:cs="Times New Roman"/>
          <w:kern w:val="2"/>
          <w:sz w:val="20"/>
        </w:rPr>
        <w:t xml:space="preserve"> </w:t>
      </w:r>
      <w:r w:rsidR="007D601C" w:rsidRPr="00BC2BC4">
        <w:rPr>
          <w:rFonts w:cs="Times New Roman"/>
          <w:kern w:val="2"/>
          <w:sz w:val="20"/>
        </w:rPr>
        <w:t>while</w:t>
      </w:r>
      <w:r w:rsidR="009612BF" w:rsidRPr="00BC2BC4">
        <w:rPr>
          <w:rFonts w:cs="Times New Roman"/>
          <w:kern w:val="2"/>
          <w:sz w:val="20"/>
        </w:rPr>
        <w:t xml:space="preserve"> reduc</w:t>
      </w:r>
      <w:r w:rsidR="007D601C" w:rsidRPr="00BC2BC4">
        <w:rPr>
          <w:rFonts w:cs="Times New Roman"/>
          <w:kern w:val="2"/>
          <w:sz w:val="20"/>
        </w:rPr>
        <w:t>ing</w:t>
      </w:r>
      <w:r w:rsidR="009612BF" w:rsidRPr="00BC2BC4">
        <w:rPr>
          <w:rFonts w:cs="Times New Roman"/>
          <w:kern w:val="2"/>
          <w:sz w:val="20"/>
        </w:rPr>
        <w:t xml:space="preserve"> the likelihood that the goods or services purchased</w:t>
      </w:r>
      <w:r w:rsidR="007D601C" w:rsidRPr="00BC2BC4">
        <w:rPr>
          <w:rFonts w:cs="Times New Roman"/>
          <w:kern w:val="2"/>
          <w:sz w:val="20"/>
        </w:rPr>
        <w:t xml:space="preserve"> will</w:t>
      </w:r>
      <w:r w:rsidR="009612BF" w:rsidRPr="00BC2BC4">
        <w:rPr>
          <w:rFonts w:cs="Times New Roman"/>
          <w:kern w:val="2"/>
          <w:sz w:val="20"/>
        </w:rPr>
        <w:t xml:space="preserve"> meet the public’s needs</w:t>
      </w:r>
      <w:r w:rsidR="00E66A72" w:rsidRPr="00BC2BC4">
        <w:rPr>
          <w:rFonts w:cs="Times New Roman"/>
          <w:kern w:val="2"/>
          <w:sz w:val="20"/>
        </w:rPr>
        <w:t>.</w:t>
      </w:r>
      <w:r w:rsidR="009612BF" w:rsidRPr="00BC2BC4">
        <w:rPr>
          <w:rStyle w:val="FootnoteReference"/>
          <w:rFonts w:cs="Times New Roman"/>
          <w:kern w:val="2"/>
          <w:sz w:val="20"/>
        </w:rPr>
        <w:footnoteReference w:id="6"/>
      </w:r>
      <w:r w:rsidR="00E66A72" w:rsidRPr="00BC2BC4">
        <w:rPr>
          <w:rFonts w:cs="Times New Roman"/>
          <w:kern w:val="2"/>
          <w:sz w:val="20"/>
        </w:rPr>
        <w:t xml:space="preserve"> </w:t>
      </w:r>
      <w:r w:rsidR="005C7466" w:rsidRPr="00BC2BC4">
        <w:rPr>
          <w:rFonts w:cs="Times New Roman"/>
          <w:kern w:val="2"/>
          <w:sz w:val="20"/>
        </w:rPr>
        <w:t>The OECD estimates that corruption drains off between 20 and 25</w:t>
      </w:r>
      <w:r w:rsidR="001A0386" w:rsidRPr="00BC2BC4">
        <w:rPr>
          <w:rFonts w:cs="Times New Roman"/>
          <w:kern w:val="2"/>
          <w:sz w:val="20"/>
        </w:rPr>
        <w:t>%</w:t>
      </w:r>
      <w:r w:rsidR="005C7466" w:rsidRPr="00BC2BC4">
        <w:rPr>
          <w:rFonts w:cs="Times New Roman"/>
          <w:kern w:val="2"/>
          <w:sz w:val="20"/>
        </w:rPr>
        <w:t xml:space="preserve"> of national procurement budgets.</w:t>
      </w:r>
      <w:r w:rsidR="00FC55A2" w:rsidRPr="00BC2BC4">
        <w:rPr>
          <w:rStyle w:val="FootnoteReference"/>
          <w:rFonts w:cs="Times New Roman"/>
          <w:kern w:val="2"/>
          <w:sz w:val="20"/>
        </w:rPr>
        <w:footnoteReference w:id="7"/>
      </w:r>
      <w:r w:rsidR="005C7466" w:rsidRPr="00BC2BC4">
        <w:rPr>
          <w:rFonts w:cs="Times New Roman"/>
          <w:kern w:val="2"/>
          <w:sz w:val="20"/>
        </w:rPr>
        <w:t xml:space="preserve"> </w:t>
      </w:r>
      <w:r w:rsidR="009156D0" w:rsidRPr="00BC2BC4">
        <w:rPr>
          <w:rFonts w:cs="Times New Roman"/>
          <w:kern w:val="2"/>
          <w:sz w:val="20"/>
        </w:rPr>
        <w:t xml:space="preserve">Furthermore, corruption in public procurement may </w:t>
      </w:r>
      <w:r w:rsidR="007D601C" w:rsidRPr="00BC2BC4">
        <w:rPr>
          <w:rFonts w:cs="Times New Roman"/>
          <w:kern w:val="2"/>
          <w:sz w:val="20"/>
        </w:rPr>
        <w:t xml:space="preserve">adversely </w:t>
      </w:r>
      <w:r w:rsidR="009156D0" w:rsidRPr="00BC2BC4">
        <w:rPr>
          <w:rFonts w:cs="Times New Roman"/>
          <w:kern w:val="2"/>
          <w:sz w:val="20"/>
        </w:rPr>
        <w:t xml:space="preserve">shape </w:t>
      </w:r>
      <w:r w:rsidR="007D601C" w:rsidRPr="00BC2BC4">
        <w:rPr>
          <w:rFonts w:cs="Times New Roman"/>
          <w:kern w:val="2"/>
          <w:sz w:val="20"/>
        </w:rPr>
        <w:t>a country’s</w:t>
      </w:r>
      <w:r w:rsidR="009156D0" w:rsidRPr="00BC2BC4">
        <w:rPr>
          <w:rFonts w:cs="Times New Roman"/>
          <w:kern w:val="2"/>
          <w:sz w:val="20"/>
        </w:rPr>
        <w:t xml:space="preserve"> economy as corrupt officials </w:t>
      </w:r>
      <w:r w:rsidR="001F117F" w:rsidRPr="00BC2BC4">
        <w:rPr>
          <w:rFonts w:cs="Times New Roman"/>
          <w:kern w:val="2"/>
          <w:sz w:val="20"/>
        </w:rPr>
        <w:t xml:space="preserve">allocate budgets based on the bribes they </w:t>
      </w:r>
      <w:r w:rsidR="007D601C" w:rsidRPr="00BC2BC4">
        <w:rPr>
          <w:rFonts w:cs="Times New Roman"/>
          <w:kern w:val="2"/>
          <w:sz w:val="20"/>
        </w:rPr>
        <w:t>can</w:t>
      </w:r>
      <w:r w:rsidR="001F117F" w:rsidRPr="00BC2BC4">
        <w:rPr>
          <w:rFonts w:cs="Times New Roman"/>
          <w:kern w:val="2"/>
          <w:sz w:val="20"/>
        </w:rPr>
        <w:t xml:space="preserve"> solicit rather than the needs of the country.</w:t>
      </w:r>
      <w:r w:rsidR="001F117F" w:rsidRPr="00BC2BC4">
        <w:rPr>
          <w:rStyle w:val="FootnoteReference"/>
          <w:rFonts w:cs="Times New Roman"/>
          <w:kern w:val="2"/>
          <w:sz w:val="20"/>
        </w:rPr>
        <w:footnoteReference w:id="8"/>
      </w:r>
      <w:r w:rsidR="001F117F" w:rsidRPr="00BC2BC4">
        <w:rPr>
          <w:rFonts w:cs="Times New Roman"/>
          <w:kern w:val="2"/>
          <w:sz w:val="20"/>
        </w:rPr>
        <w:t xml:space="preserve"> This often results in </w:t>
      </w:r>
      <w:r w:rsidR="007D601C" w:rsidRPr="00BC2BC4">
        <w:rPr>
          <w:rFonts w:cs="Times New Roman"/>
          <w:kern w:val="2"/>
          <w:sz w:val="20"/>
        </w:rPr>
        <w:t xml:space="preserve">the approval of </w:t>
      </w:r>
      <w:r w:rsidR="001F117F" w:rsidRPr="00BC2BC4">
        <w:rPr>
          <w:rFonts w:cs="Times New Roman"/>
          <w:kern w:val="2"/>
          <w:sz w:val="20"/>
        </w:rPr>
        <w:t>large-scale</w:t>
      </w:r>
      <w:r w:rsidR="009156D0" w:rsidRPr="00BC2BC4">
        <w:rPr>
          <w:rFonts w:cs="Times New Roman"/>
          <w:kern w:val="2"/>
          <w:sz w:val="20"/>
        </w:rPr>
        <w:t xml:space="preserve"> infrastructure projects</w:t>
      </w:r>
      <w:r w:rsidR="001F117F" w:rsidRPr="00BC2BC4">
        <w:rPr>
          <w:rFonts w:cs="Times New Roman"/>
          <w:kern w:val="2"/>
          <w:sz w:val="20"/>
        </w:rPr>
        <w:t xml:space="preserve"> because these projects provide </w:t>
      </w:r>
      <w:r w:rsidR="00DA7433" w:rsidRPr="00BC2BC4">
        <w:rPr>
          <w:rFonts w:cs="Times New Roman"/>
          <w:kern w:val="2"/>
          <w:sz w:val="20"/>
        </w:rPr>
        <w:t>many</w:t>
      </w:r>
      <w:r w:rsidR="009156D0" w:rsidRPr="00BC2BC4">
        <w:rPr>
          <w:rFonts w:cs="Times New Roman"/>
          <w:kern w:val="2"/>
          <w:sz w:val="20"/>
        </w:rPr>
        <w:t xml:space="preserve"> opportunities for corruption through </w:t>
      </w:r>
      <w:r w:rsidR="007D601C" w:rsidRPr="00BC2BC4">
        <w:rPr>
          <w:rFonts w:cs="Times New Roman"/>
          <w:kern w:val="2"/>
          <w:sz w:val="20"/>
        </w:rPr>
        <w:t>frequent</w:t>
      </w:r>
      <w:r w:rsidR="009156D0" w:rsidRPr="00BC2BC4">
        <w:rPr>
          <w:rFonts w:cs="Times New Roman"/>
          <w:kern w:val="2"/>
          <w:sz w:val="20"/>
        </w:rPr>
        <w:t xml:space="preserve"> delays and </w:t>
      </w:r>
      <w:r w:rsidR="00D211A9" w:rsidRPr="00BC2BC4">
        <w:rPr>
          <w:rFonts w:cs="Times New Roman"/>
          <w:kern w:val="2"/>
          <w:sz w:val="20"/>
        </w:rPr>
        <w:t xml:space="preserve">the </w:t>
      </w:r>
      <w:r w:rsidR="009156D0" w:rsidRPr="00BC2BC4">
        <w:rPr>
          <w:rFonts w:cs="Times New Roman"/>
          <w:kern w:val="2"/>
          <w:sz w:val="20"/>
        </w:rPr>
        <w:t>various levels of government approvals</w:t>
      </w:r>
      <w:r w:rsidR="001F117F" w:rsidRPr="00BC2BC4">
        <w:rPr>
          <w:rFonts w:cs="Times New Roman"/>
          <w:kern w:val="2"/>
          <w:sz w:val="20"/>
        </w:rPr>
        <w:t xml:space="preserve"> required</w:t>
      </w:r>
      <w:r w:rsidR="009156D0" w:rsidRPr="00BC2BC4">
        <w:rPr>
          <w:rFonts w:cs="Times New Roman"/>
          <w:kern w:val="2"/>
          <w:sz w:val="20"/>
        </w:rPr>
        <w:t>.</w:t>
      </w:r>
      <w:r w:rsidR="001F117F" w:rsidRPr="00BC2BC4">
        <w:rPr>
          <w:rFonts w:cs="Times New Roman"/>
          <w:kern w:val="2"/>
          <w:sz w:val="20"/>
        </w:rPr>
        <w:t xml:space="preserve"> </w:t>
      </w:r>
      <w:r w:rsidRPr="00BC2BC4">
        <w:rPr>
          <w:rFonts w:cs="Times New Roman"/>
          <w:kern w:val="2"/>
          <w:sz w:val="20"/>
        </w:rPr>
        <w:t>When public infrastructure projects are tainted by corruption, project owners, funders, employees, construction firms and suppliers, government officials</w:t>
      </w:r>
      <w:r w:rsidR="00AC706C" w:rsidRPr="00BC2BC4">
        <w:rPr>
          <w:rFonts w:cs="Times New Roman"/>
          <w:kern w:val="2"/>
          <w:sz w:val="20"/>
        </w:rPr>
        <w:t>,</w:t>
      </w:r>
      <w:r w:rsidRPr="00BC2BC4">
        <w:rPr>
          <w:rFonts w:cs="Times New Roman"/>
          <w:kern w:val="2"/>
          <w:sz w:val="20"/>
        </w:rPr>
        <w:t xml:space="preserve"> and the public suffer.</w:t>
      </w:r>
      <w:r w:rsidRPr="00BC2BC4">
        <w:rPr>
          <w:rStyle w:val="FootnoteReference"/>
          <w:rFonts w:cs="Times New Roman"/>
          <w:kern w:val="2"/>
          <w:sz w:val="20"/>
          <w:lang w:val="en-GB"/>
        </w:rPr>
        <w:footnoteReference w:id="9"/>
      </w:r>
      <w:r w:rsidRPr="00BC2BC4">
        <w:rPr>
          <w:rStyle w:val="FootnoteReference"/>
          <w:rFonts w:cs="Times New Roman"/>
          <w:kern w:val="2"/>
          <w:sz w:val="20"/>
          <w:lang w:val="en-GB"/>
        </w:rPr>
        <w:t xml:space="preserve"> </w:t>
      </w:r>
    </w:p>
    <w:p w14:paraId="287B16C8" w14:textId="66D731C1" w:rsidR="000E52AB" w:rsidRPr="00BC2BC4" w:rsidRDefault="000E52AB" w:rsidP="003F14E9">
      <w:pPr>
        <w:rPr>
          <w:rFonts w:cs="Times New Roman"/>
          <w:kern w:val="2"/>
          <w:sz w:val="20"/>
        </w:rPr>
      </w:pPr>
      <w:r w:rsidRPr="00BC2BC4">
        <w:rPr>
          <w:rFonts w:cs="Times New Roman"/>
          <w:kern w:val="2"/>
          <w:sz w:val="20"/>
        </w:rPr>
        <w:t xml:space="preserve">Corruption in public procurement </w:t>
      </w:r>
      <w:r w:rsidR="00E66A72" w:rsidRPr="00BC2BC4">
        <w:rPr>
          <w:rFonts w:cs="Times New Roman"/>
          <w:kern w:val="2"/>
          <w:sz w:val="20"/>
        </w:rPr>
        <w:t xml:space="preserve">can be profoundly </w:t>
      </w:r>
      <w:r w:rsidRPr="00BC2BC4">
        <w:rPr>
          <w:rFonts w:cs="Times New Roman"/>
          <w:kern w:val="2"/>
          <w:sz w:val="20"/>
        </w:rPr>
        <w:t xml:space="preserve">harmful to a country’s economy. </w:t>
      </w:r>
      <w:r w:rsidR="00864810" w:rsidRPr="00BC2BC4">
        <w:rPr>
          <w:rFonts w:cs="Times New Roman"/>
          <w:kern w:val="2"/>
          <w:sz w:val="20"/>
        </w:rPr>
        <w:t>T</w:t>
      </w:r>
      <w:r w:rsidRPr="00BC2BC4">
        <w:rPr>
          <w:rFonts w:cs="Times New Roman"/>
          <w:kern w:val="2"/>
          <w:sz w:val="20"/>
        </w:rPr>
        <w:t xml:space="preserve">he Padma Bridge </w:t>
      </w:r>
      <w:r w:rsidR="00847370" w:rsidRPr="00BC2BC4">
        <w:rPr>
          <w:rFonts w:cs="Times New Roman"/>
          <w:kern w:val="2"/>
          <w:sz w:val="20"/>
        </w:rPr>
        <w:t xml:space="preserve">corruption </w:t>
      </w:r>
      <w:r w:rsidRPr="00BC2BC4">
        <w:rPr>
          <w:rFonts w:cs="Times New Roman"/>
          <w:kern w:val="2"/>
          <w:sz w:val="20"/>
        </w:rPr>
        <w:t xml:space="preserve">scandal </w:t>
      </w:r>
      <w:r w:rsidR="007D601C" w:rsidRPr="00BC2BC4">
        <w:rPr>
          <w:rFonts w:cs="Times New Roman"/>
          <w:kern w:val="2"/>
          <w:sz w:val="20"/>
        </w:rPr>
        <w:t>in Bangladesh led</w:t>
      </w:r>
      <w:r w:rsidRPr="00BC2BC4">
        <w:rPr>
          <w:rFonts w:cs="Times New Roman"/>
          <w:kern w:val="2"/>
          <w:sz w:val="20"/>
        </w:rPr>
        <w:t xml:space="preserve"> the World Bank to cancel a </w:t>
      </w:r>
      <w:r w:rsidR="00EF26E4" w:rsidRPr="00BC2BC4">
        <w:rPr>
          <w:rFonts w:cs="Times New Roman"/>
          <w:kern w:val="2"/>
          <w:sz w:val="20"/>
        </w:rPr>
        <w:t>US</w:t>
      </w:r>
      <w:r w:rsidRPr="00BC2BC4">
        <w:rPr>
          <w:rFonts w:cs="Times New Roman"/>
          <w:kern w:val="2"/>
          <w:sz w:val="20"/>
        </w:rPr>
        <w:t>$1.2 billion</w:t>
      </w:r>
      <w:r w:rsidR="00690058" w:rsidRPr="00BC2BC4">
        <w:rPr>
          <w:rFonts w:cs="Times New Roman"/>
          <w:kern w:val="2"/>
          <w:sz w:val="20"/>
        </w:rPr>
        <w:t xml:space="preserve"> </w:t>
      </w:r>
      <w:r w:rsidR="00E66A72" w:rsidRPr="00BC2BC4">
        <w:rPr>
          <w:rFonts w:cs="Times New Roman"/>
          <w:kern w:val="2"/>
          <w:sz w:val="20"/>
        </w:rPr>
        <w:t>loan to build the bridge</w:t>
      </w:r>
      <w:r w:rsidRPr="00BC2BC4">
        <w:rPr>
          <w:rFonts w:cs="Times New Roman"/>
          <w:kern w:val="2"/>
          <w:sz w:val="20"/>
        </w:rPr>
        <w:t xml:space="preserve">. </w:t>
      </w:r>
      <w:r w:rsidR="007D601C" w:rsidRPr="00BC2BC4">
        <w:rPr>
          <w:rFonts w:cs="Times New Roman"/>
          <w:kern w:val="2"/>
          <w:sz w:val="20"/>
        </w:rPr>
        <w:t xml:space="preserve">Even if the </w:t>
      </w:r>
      <w:r w:rsidR="008B04BF" w:rsidRPr="00BC2BC4">
        <w:rPr>
          <w:rFonts w:cs="Times New Roman"/>
          <w:kern w:val="2"/>
          <w:sz w:val="20"/>
        </w:rPr>
        <w:t>g</w:t>
      </w:r>
      <w:r w:rsidR="007D601C" w:rsidRPr="00BC2BC4">
        <w:rPr>
          <w:rFonts w:cs="Times New Roman"/>
          <w:kern w:val="2"/>
          <w:sz w:val="20"/>
        </w:rPr>
        <w:t xml:space="preserve">overnment of Bangladesh is able to secure other financing </w:t>
      </w:r>
      <w:r w:rsidR="006B0BD4" w:rsidRPr="00BC2BC4">
        <w:rPr>
          <w:rFonts w:cs="Times New Roman"/>
          <w:kern w:val="2"/>
          <w:sz w:val="20"/>
        </w:rPr>
        <w:t>for</w:t>
      </w:r>
      <w:r w:rsidR="007D601C" w:rsidRPr="00BC2BC4">
        <w:rPr>
          <w:rFonts w:cs="Times New Roman"/>
          <w:kern w:val="2"/>
          <w:sz w:val="20"/>
        </w:rPr>
        <w:t xml:space="preserve"> the project</w:t>
      </w:r>
      <w:r w:rsidR="00E9322B" w:rsidRPr="00BC2BC4">
        <w:rPr>
          <w:rFonts w:cs="Times New Roman"/>
          <w:kern w:val="2"/>
          <w:sz w:val="20"/>
        </w:rPr>
        <w:t xml:space="preserve"> in the future</w:t>
      </w:r>
      <w:r w:rsidR="007D601C" w:rsidRPr="00BC2BC4">
        <w:rPr>
          <w:rFonts w:cs="Times New Roman"/>
          <w:kern w:val="2"/>
          <w:sz w:val="20"/>
        </w:rPr>
        <w:t xml:space="preserve">, the delay to this project has caused significant physical and economic harms. </w:t>
      </w:r>
      <w:r w:rsidR="00E66A72" w:rsidRPr="00BC2BC4">
        <w:rPr>
          <w:rFonts w:cs="Times New Roman"/>
          <w:kern w:val="2"/>
          <w:sz w:val="20"/>
        </w:rPr>
        <w:t>The proposed bridge project is crucial to increasing economic activity in Bangladesh</w:t>
      </w:r>
      <w:r w:rsidRPr="00BC2BC4">
        <w:rPr>
          <w:rFonts w:cs="Times New Roman"/>
          <w:kern w:val="2"/>
          <w:sz w:val="20"/>
        </w:rPr>
        <w:t>.</w:t>
      </w:r>
      <w:r w:rsidR="00847370" w:rsidRPr="00BC2BC4">
        <w:rPr>
          <w:rStyle w:val="FootnoteReference"/>
          <w:rFonts w:cs="Times New Roman"/>
          <w:kern w:val="2"/>
          <w:sz w:val="20"/>
        </w:rPr>
        <w:footnoteReference w:id="10"/>
      </w:r>
      <w:r w:rsidRPr="00BC2BC4">
        <w:rPr>
          <w:rFonts w:cs="Times New Roman"/>
          <w:kern w:val="2"/>
          <w:sz w:val="20"/>
        </w:rPr>
        <w:t xml:space="preserve"> </w:t>
      </w:r>
      <w:r w:rsidR="00D872B9" w:rsidRPr="00BC2BC4">
        <w:rPr>
          <w:rFonts w:cs="Times New Roman"/>
          <w:kern w:val="2"/>
          <w:sz w:val="20"/>
        </w:rPr>
        <w:t>The bridge was intended to facilitate the transport</w:t>
      </w:r>
      <w:r w:rsidR="002D3FA5" w:rsidRPr="00BC2BC4">
        <w:rPr>
          <w:rFonts w:cs="Times New Roman"/>
          <w:kern w:val="2"/>
          <w:sz w:val="20"/>
        </w:rPr>
        <w:t>ation</w:t>
      </w:r>
      <w:r w:rsidR="00D872B9" w:rsidRPr="00BC2BC4">
        <w:rPr>
          <w:rFonts w:cs="Times New Roman"/>
          <w:kern w:val="2"/>
          <w:sz w:val="20"/>
        </w:rPr>
        <w:t xml:space="preserve"> of goods and passengers in a timely and cost-effective manner. </w:t>
      </w:r>
      <w:r w:rsidRPr="00BC2BC4">
        <w:rPr>
          <w:rFonts w:cs="Times New Roman"/>
          <w:kern w:val="2"/>
          <w:sz w:val="20"/>
        </w:rPr>
        <w:t>Currently</w:t>
      </w:r>
      <w:r w:rsidR="00E9322B" w:rsidRPr="00BC2BC4">
        <w:rPr>
          <w:rFonts w:cs="Times New Roman"/>
          <w:kern w:val="2"/>
          <w:sz w:val="20"/>
        </w:rPr>
        <w:t>,</w:t>
      </w:r>
      <w:r w:rsidRPr="00BC2BC4">
        <w:rPr>
          <w:rFonts w:cs="Times New Roman"/>
          <w:kern w:val="2"/>
          <w:sz w:val="20"/>
        </w:rPr>
        <w:t xml:space="preserve"> </w:t>
      </w:r>
      <w:r w:rsidR="00D872B9" w:rsidRPr="00BC2BC4">
        <w:rPr>
          <w:rFonts w:cs="Times New Roman"/>
          <w:kern w:val="2"/>
          <w:sz w:val="20"/>
        </w:rPr>
        <w:t xml:space="preserve">in the absence of the bridge, </w:t>
      </w:r>
      <w:r w:rsidRPr="00BC2BC4">
        <w:rPr>
          <w:rFonts w:cs="Times New Roman"/>
          <w:kern w:val="2"/>
          <w:sz w:val="20"/>
        </w:rPr>
        <w:t xml:space="preserve">transport across the Padma River </w:t>
      </w:r>
      <w:r w:rsidR="006B0BD4" w:rsidRPr="00BC2BC4">
        <w:rPr>
          <w:rFonts w:cs="Times New Roman"/>
          <w:kern w:val="2"/>
          <w:sz w:val="20"/>
        </w:rPr>
        <w:t>requires an inefficient and dangerous trip by</w:t>
      </w:r>
      <w:r w:rsidRPr="00BC2BC4">
        <w:rPr>
          <w:rFonts w:cs="Times New Roman"/>
          <w:kern w:val="2"/>
          <w:sz w:val="20"/>
        </w:rPr>
        <w:t xml:space="preserve"> boat or barge. </w:t>
      </w:r>
    </w:p>
    <w:p w14:paraId="1525C7F5" w14:textId="613A3CEC" w:rsidR="000E52AB" w:rsidRPr="00BC2BC4" w:rsidRDefault="000E52AB" w:rsidP="003F14E9">
      <w:pPr>
        <w:rPr>
          <w:rFonts w:cs="Times New Roman"/>
          <w:kern w:val="2"/>
          <w:sz w:val="20"/>
        </w:rPr>
      </w:pPr>
      <w:r w:rsidRPr="00BC2BC4">
        <w:rPr>
          <w:rFonts w:cs="Times New Roman"/>
          <w:kern w:val="2"/>
          <w:sz w:val="20"/>
        </w:rPr>
        <w:t xml:space="preserve">Corruption </w:t>
      </w:r>
      <w:r w:rsidR="00877DA1" w:rsidRPr="00BC2BC4">
        <w:rPr>
          <w:rFonts w:cs="Times New Roman"/>
          <w:kern w:val="2"/>
          <w:sz w:val="20"/>
        </w:rPr>
        <w:t xml:space="preserve">in public procurement </w:t>
      </w:r>
      <w:r w:rsidRPr="00BC2BC4">
        <w:rPr>
          <w:rFonts w:cs="Times New Roman"/>
          <w:kern w:val="2"/>
          <w:sz w:val="20"/>
        </w:rPr>
        <w:t xml:space="preserve">can </w:t>
      </w:r>
      <w:r w:rsidR="00E66A72" w:rsidRPr="00BC2BC4">
        <w:rPr>
          <w:rFonts w:cs="Times New Roman"/>
          <w:kern w:val="2"/>
          <w:sz w:val="20"/>
        </w:rPr>
        <w:t xml:space="preserve">also </w:t>
      </w:r>
      <w:r w:rsidRPr="00BC2BC4">
        <w:rPr>
          <w:rFonts w:cs="Times New Roman"/>
          <w:kern w:val="2"/>
          <w:sz w:val="20"/>
        </w:rPr>
        <w:t xml:space="preserve">be detrimental to the environment. In the Philippines, a contract for a </w:t>
      </w:r>
      <w:r w:rsidR="000D2F45" w:rsidRPr="00BC2BC4">
        <w:rPr>
          <w:rFonts w:cs="Times New Roman"/>
          <w:kern w:val="2"/>
          <w:sz w:val="20"/>
        </w:rPr>
        <w:t>US</w:t>
      </w:r>
      <w:r w:rsidRPr="00BC2BC4">
        <w:rPr>
          <w:rFonts w:cs="Times New Roman"/>
          <w:kern w:val="2"/>
          <w:sz w:val="20"/>
        </w:rPr>
        <w:t xml:space="preserve">$2 billion nuclear power plant was controversially awarded to Westinghouse, who later admitted </w:t>
      </w:r>
      <w:r w:rsidR="00855C1B" w:rsidRPr="00BC2BC4">
        <w:rPr>
          <w:rFonts w:cs="Times New Roman"/>
          <w:kern w:val="2"/>
          <w:sz w:val="20"/>
        </w:rPr>
        <w:t xml:space="preserve">to having </w:t>
      </w:r>
      <w:r w:rsidRPr="00BC2BC4">
        <w:rPr>
          <w:rFonts w:cs="Times New Roman"/>
          <w:kern w:val="2"/>
          <w:sz w:val="20"/>
        </w:rPr>
        <w:t>pa</w:t>
      </w:r>
      <w:r w:rsidR="00855C1B" w:rsidRPr="00BC2BC4">
        <w:rPr>
          <w:rFonts w:cs="Times New Roman"/>
          <w:kern w:val="2"/>
          <w:sz w:val="20"/>
        </w:rPr>
        <w:t>id</w:t>
      </w:r>
      <w:r w:rsidRPr="00BC2BC4">
        <w:rPr>
          <w:rFonts w:cs="Times New Roman"/>
          <w:kern w:val="2"/>
          <w:sz w:val="20"/>
        </w:rPr>
        <w:t xml:space="preserve"> </w:t>
      </w:r>
      <w:r w:rsidR="00A91DD6" w:rsidRPr="00BC2BC4">
        <w:rPr>
          <w:rFonts w:cs="Times New Roman"/>
          <w:kern w:val="2"/>
          <w:sz w:val="20"/>
        </w:rPr>
        <w:t>US</w:t>
      </w:r>
      <w:r w:rsidRPr="00BC2BC4">
        <w:rPr>
          <w:rFonts w:cs="Times New Roman"/>
          <w:kern w:val="2"/>
          <w:sz w:val="20"/>
        </w:rPr>
        <w:t>$17 million</w:t>
      </w:r>
      <w:r w:rsidR="00A40B07" w:rsidRPr="00BC2BC4">
        <w:rPr>
          <w:rFonts w:cs="Times New Roman"/>
          <w:kern w:val="2"/>
          <w:sz w:val="20"/>
        </w:rPr>
        <w:t xml:space="preserve"> </w:t>
      </w:r>
      <w:r w:rsidRPr="00BC2BC4">
        <w:rPr>
          <w:rFonts w:cs="Times New Roman"/>
          <w:kern w:val="2"/>
          <w:sz w:val="20"/>
        </w:rPr>
        <w:t xml:space="preserve">in commissions to a friend of </w:t>
      </w:r>
      <w:r w:rsidR="00FD01BD" w:rsidRPr="00BC2BC4">
        <w:rPr>
          <w:rFonts w:cs="Times New Roman"/>
          <w:kern w:val="2"/>
          <w:sz w:val="20"/>
        </w:rPr>
        <w:t xml:space="preserve">Ferdinand </w:t>
      </w:r>
      <w:r w:rsidRPr="00BC2BC4">
        <w:rPr>
          <w:rFonts w:cs="Times New Roman"/>
          <w:kern w:val="2"/>
          <w:sz w:val="20"/>
        </w:rPr>
        <w:t>Marcos, the Filipino dictator.</w:t>
      </w:r>
      <w:r w:rsidR="00E845A6" w:rsidRPr="00BC2BC4">
        <w:rPr>
          <w:rStyle w:val="FootnoteReference"/>
          <w:rFonts w:cs="Times New Roman"/>
          <w:kern w:val="2"/>
          <w:sz w:val="20"/>
        </w:rPr>
        <w:footnoteReference w:id="11"/>
      </w:r>
      <w:r w:rsidRPr="00BC2BC4">
        <w:rPr>
          <w:rFonts w:cs="Times New Roman"/>
          <w:kern w:val="2"/>
          <w:sz w:val="20"/>
        </w:rPr>
        <w:t xml:space="preserve"> </w:t>
      </w:r>
      <w:r w:rsidR="004E40D1" w:rsidRPr="00BC2BC4">
        <w:rPr>
          <w:rFonts w:cs="Times New Roman"/>
          <w:kern w:val="2"/>
          <w:sz w:val="20"/>
        </w:rPr>
        <w:t>T</w:t>
      </w:r>
      <w:r w:rsidRPr="00BC2BC4">
        <w:rPr>
          <w:rFonts w:cs="Times New Roman"/>
          <w:kern w:val="2"/>
          <w:sz w:val="20"/>
        </w:rPr>
        <w:t xml:space="preserve">he contract </w:t>
      </w:r>
      <w:r w:rsidR="004E40D1" w:rsidRPr="00BC2BC4">
        <w:rPr>
          <w:rFonts w:cs="Times New Roman"/>
          <w:kern w:val="2"/>
          <w:sz w:val="20"/>
        </w:rPr>
        <w:t>was</w:t>
      </w:r>
      <w:r w:rsidRPr="00BC2BC4">
        <w:rPr>
          <w:rFonts w:cs="Times New Roman"/>
          <w:kern w:val="2"/>
          <w:sz w:val="20"/>
        </w:rPr>
        <w:t xml:space="preserve"> </w:t>
      </w:r>
      <w:r w:rsidR="004E40D1" w:rsidRPr="00BC2BC4">
        <w:rPr>
          <w:rFonts w:cs="Times New Roman"/>
          <w:kern w:val="2"/>
          <w:sz w:val="20"/>
        </w:rPr>
        <w:t xml:space="preserve">initially </w:t>
      </w:r>
      <w:r w:rsidRPr="00BC2BC4">
        <w:rPr>
          <w:rFonts w:cs="Times New Roman"/>
          <w:kern w:val="2"/>
          <w:sz w:val="20"/>
        </w:rPr>
        <w:t>denied, but Marcos reversed the decision. Westinghouse claimed these commissions were not a bribe. The nuclear reactor sits on a fault line</w:t>
      </w:r>
      <w:r w:rsidR="00E9322B" w:rsidRPr="00BC2BC4">
        <w:rPr>
          <w:rFonts w:cs="Times New Roman"/>
          <w:kern w:val="2"/>
          <w:sz w:val="20"/>
        </w:rPr>
        <w:t>,</w:t>
      </w:r>
      <w:r w:rsidRPr="00BC2BC4">
        <w:rPr>
          <w:rFonts w:cs="Times New Roman"/>
          <w:kern w:val="2"/>
          <w:sz w:val="20"/>
        </w:rPr>
        <w:t xml:space="preserve"> and if </w:t>
      </w:r>
      <w:r w:rsidR="007D601C" w:rsidRPr="00BC2BC4">
        <w:rPr>
          <w:rFonts w:cs="Times New Roman"/>
          <w:kern w:val="2"/>
          <w:sz w:val="20"/>
        </w:rPr>
        <w:t>an earthquake occurs while</w:t>
      </w:r>
      <w:r w:rsidRPr="00BC2BC4">
        <w:rPr>
          <w:rFonts w:cs="Times New Roman"/>
          <w:kern w:val="2"/>
          <w:sz w:val="20"/>
        </w:rPr>
        <w:t xml:space="preserve"> the nuclear reactor </w:t>
      </w:r>
      <w:r w:rsidR="007D601C" w:rsidRPr="00BC2BC4">
        <w:rPr>
          <w:rFonts w:cs="Times New Roman"/>
          <w:kern w:val="2"/>
          <w:sz w:val="20"/>
        </w:rPr>
        <w:t>i</w:t>
      </w:r>
      <w:r w:rsidRPr="00BC2BC4">
        <w:rPr>
          <w:rFonts w:cs="Times New Roman"/>
          <w:kern w:val="2"/>
          <w:sz w:val="20"/>
        </w:rPr>
        <w:t xml:space="preserve">s operational, there </w:t>
      </w:r>
      <w:r w:rsidR="007D601C" w:rsidRPr="00BC2BC4">
        <w:rPr>
          <w:rFonts w:cs="Times New Roman"/>
          <w:kern w:val="2"/>
          <w:sz w:val="20"/>
        </w:rPr>
        <w:t>is</w:t>
      </w:r>
      <w:r w:rsidRPr="00BC2BC4">
        <w:rPr>
          <w:rFonts w:cs="Times New Roman"/>
          <w:kern w:val="2"/>
          <w:sz w:val="20"/>
        </w:rPr>
        <w:t xml:space="preserve"> a major risk of nuclear contamination. The power plant has not been operational or produced any electricity since its completion in the 1980s. This project was a massive </w:t>
      </w:r>
      <w:r w:rsidR="00847370" w:rsidRPr="00BC2BC4">
        <w:rPr>
          <w:rFonts w:cs="Times New Roman"/>
          <w:kern w:val="2"/>
          <w:sz w:val="20"/>
        </w:rPr>
        <w:t xml:space="preserve">misuse </w:t>
      </w:r>
      <w:r w:rsidR="006B0BD4" w:rsidRPr="00BC2BC4">
        <w:rPr>
          <w:rFonts w:cs="Times New Roman"/>
          <w:kern w:val="2"/>
          <w:sz w:val="20"/>
        </w:rPr>
        <w:t>of public funds</w:t>
      </w:r>
      <w:r w:rsidRPr="00BC2BC4">
        <w:rPr>
          <w:rFonts w:cs="Times New Roman"/>
          <w:kern w:val="2"/>
          <w:sz w:val="20"/>
        </w:rPr>
        <w:t xml:space="preserve"> and would be a health and environmental nightmare if operational. </w:t>
      </w:r>
    </w:p>
    <w:p w14:paraId="6574B88D" w14:textId="3E0B9D3C" w:rsidR="00DA7433" w:rsidRPr="00BC2BC4" w:rsidRDefault="00DA7433" w:rsidP="003F14E9">
      <w:pPr>
        <w:rPr>
          <w:rFonts w:cs="Times New Roman"/>
          <w:kern w:val="2"/>
          <w:sz w:val="20"/>
        </w:rPr>
      </w:pPr>
      <w:r w:rsidRPr="00BC2BC4">
        <w:rPr>
          <w:rFonts w:cs="Times New Roman"/>
          <w:kern w:val="2"/>
          <w:sz w:val="20"/>
        </w:rPr>
        <w:t>Corru</w:t>
      </w:r>
      <w:r w:rsidR="006B0BD4" w:rsidRPr="00BC2BC4">
        <w:rPr>
          <w:rFonts w:cs="Times New Roman"/>
          <w:kern w:val="2"/>
          <w:sz w:val="20"/>
        </w:rPr>
        <w:t>ption in public procurement is</w:t>
      </w:r>
      <w:r w:rsidRPr="00BC2BC4">
        <w:rPr>
          <w:rFonts w:cs="Times New Roman"/>
          <w:kern w:val="2"/>
          <w:sz w:val="20"/>
        </w:rPr>
        <w:t xml:space="preserve"> suspected of increasing </w:t>
      </w:r>
      <w:r w:rsidR="0015732E" w:rsidRPr="00BC2BC4">
        <w:rPr>
          <w:rFonts w:cs="Times New Roman"/>
          <w:kern w:val="2"/>
          <w:sz w:val="20"/>
        </w:rPr>
        <w:t>deaths and injuries</w:t>
      </w:r>
      <w:r w:rsidR="006B0BD4" w:rsidRPr="00BC2BC4">
        <w:rPr>
          <w:rFonts w:cs="Times New Roman"/>
          <w:kern w:val="2"/>
          <w:sz w:val="20"/>
        </w:rPr>
        <w:t xml:space="preserve"> in earthquakes</w:t>
      </w:r>
      <w:r w:rsidRPr="00BC2BC4">
        <w:rPr>
          <w:rFonts w:cs="Times New Roman"/>
          <w:kern w:val="2"/>
          <w:sz w:val="20"/>
        </w:rPr>
        <w:t>. In the past 15 years, there have been approximately 156,000 earthquake</w:t>
      </w:r>
      <w:r w:rsidR="007D601C" w:rsidRPr="00BC2BC4">
        <w:rPr>
          <w:rFonts w:cs="Times New Roman"/>
          <w:kern w:val="2"/>
          <w:sz w:val="20"/>
        </w:rPr>
        <w:t>-</w:t>
      </w:r>
      <w:r w:rsidRPr="00BC2BC4">
        <w:rPr>
          <w:rFonts w:cs="Times New Roman"/>
          <w:kern w:val="2"/>
          <w:sz w:val="20"/>
        </w:rPr>
        <w:t>related deaths and 584,000 injuries.</w:t>
      </w:r>
      <w:r w:rsidR="00F24323" w:rsidRPr="00BC2BC4">
        <w:rPr>
          <w:rStyle w:val="FootnoteReference"/>
          <w:rFonts w:cs="Times New Roman"/>
          <w:kern w:val="2"/>
          <w:sz w:val="20"/>
        </w:rPr>
        <w:footnoteReference w:id="12"/>
      </w:r>
      <w:r w:rsidRPr="00BC2BC4">
        <w:rPr>
          <w:rFonts w:cs="Times New Roman"/>
          <w:kern w:val="2"/>
          <w:sz w:val="20"/>
        </w:rPr>
        <w:t xml:space="preserve"> Many of these deaths and inju</w:t>
      </w:r>
      <w:r w:rsidR="00F13D1C" w:rsidRPr="00BC2BC4">
        <w:rPr>
          <w:rFonts w:cs="Times New Roman"/>
          <w:kern w:val="2"/>
          <w:sz w:val="20"/>
        </w:rPr>
        <w:t>ries were the result of building collapses caused by</w:t>
      </w:r>
      <w:r w:rsidRPr="00BC2BC4">
        <w:rPr>
          <w:rFonts w:cs="Times New Roman"/>
          <w:kern w:val="2"/>
          <w:sz w:val="20"/>
        </w:rPr>
        <w:t xml:space="preserve"> substandard building practices</w:t>
      </w:r>
      <w:r w:rsidR="00F24323" w:rsidRPr="00BC2BC4">
        <w:rPr>
          <w:rFonts w:cs="Times New Roman"/>
          <w:kern w:val="2"/>
          <w:sz w:val="20"/>
        </w:rPr>
        <w:t>.</w:t>
      </w:r>
      <w:r w:rsidR="00F24323" w:rsidRPr="00BC2BC4">
        <w:rPr>
          <w:rStyle w:val="FootnoteReference"/>
          <w:rFonts w:cs="Times New Roman"/>
          <w:kern w:val="2"/>
          <w:sz w:val="20"/>
        </w:rPr>
        <w:footnoteReference w:id="13"/>
      </w:r>
      <w:r w:rsidR="00F24323" w:rsidRPr="00BC2BC4">
        <w:rPr>
          <w:rFonts w:cs="Times New Roman"/>
          <w:kern w:val="2"/>
          <w:sz w:val="20"/>
        </w:rPr>
        <w:t xml:space="preserve"> In southern Italy, a maternity wing of a six</w:t>
      </w:r>
      <w:r w:rsidR="007D601C" w:rsidRPr="00BC2BC4">
        <w:rPr>
          <w:rFonts w:cs="Times New Roman"/>
          <w:kern w:val="2"/>
          <w:sz w:val="20"/>
        </w:rPr>
        <w:t>-story</w:t>
      </w:r>
      <w:r w:rsidR="00F24323" w:rsidRPr="00BC2BC4">
        <w:rPr>
          <w:rFonts w:cs="Times New Roman"/>
          <w:kern w:val="2"/>
          <w:sz w:val="20"/>
        </w:rPr>
        <w:t xml:space="preserve"> hospital collapsed and almost </w:t>
      </w:r>
      <w:r w:rsidR="0015732E" w:rsidRPr="00BC2BC4">
        <w:rPr>
          <w:rFonts w:cs="Times New Roman"/>
          <w:kern w:val="2"/>
          <w:sz w:val="20"/>
        </w:rPr>
        <w:t>no</w:t>
      </w:r>
      <w:r w:rsidR="00F24323" w:rsidRPr="00BC2BC4">
        <w:rPr>
          <w:rFonts w:cs="Times New Roman"/>
          <w:kern w:val="2"/>
          <w:sz w:val="20"/>
        </w:rPr>
        <w:t xml:space="preserve"> occupants </w:t>
      </w:r>
      <w:r w:rsidR="0015732E" w:rsidRPr="00BC2BC4">
        <w:rPr>
          <w:rFonts w:cs="Times New Roman"/>
          <w:kern w:val="2"/>
          <w:sz w:val="20"/>
        </w:rPr>
        <w:t>survived</w:t>
      </w:r>
      <w:r w:rsidR="00F24323" w:rsidRPr="00BC2BC4">
        <w:rPr>
          <w:rFonts w:cs="Times New Roman"/>
          <w:kern w:val="2"/>
          <w:sz w:val="20"/>
        </w:rPr>
        <w:t>.</w:t>
      </w:r>
      <w:r w:rsidR="00F24323" w:rsidRPr="00BC2BC4">
        <w:rPr>
          <w:rStyle w:val="FootnoteReference"/>
          <w:rFonts w:cs="Times New Roman"/>
          <w:kern w:val="2"/>
          <w:sz w:val="20"/>
        </w:rPr>
        <w:footnoteReference w:id="14"/>
      </w:r>
      <w:r w:rsidR="00F24323" w:rsidRPr="00BC2BC4">
        <w:rPr>
          <w:rFonts w:cs="Times New Roman"/>
          <w:kern w:val="2"/>
          <w:sz w:val="20"/>
        </w:rPr>
        <w:t xml:space="preserve"> Investigation into the incident found that although the plan</w:t>
      </w:r>
      <w:r w:rsidR="00D42247" w:rsidRPr="00BC2BC4">
        <w:rPr>
          <w:rFonts w:cs="Times New Roman"/>
          <w:kern w:val="2"/>
          <w:sz w:val="20"/>
        </w:rPr>
        <w:t>ning</w:t>
      </w:r>
      <w:r w:rsidR="00F24323" w:rsidRPr="00BC2BC4">
        <w:rPr>
          <w:rFonts w:cs="Times New Roman"/>
          <w:kern w:val="2"/>
          <w:sz w:val="20"/>
        </w:rPr>
        <w:t xml:space="preserve"> for the hospital w</w:t>
      </w:r>
      <w:r w:rsidR="00D42247" w:rsidRPr="00BC2BC4">
        <w:rPr>
          <w:rFonts w:cs="Times New Roman"/>
          <w:kern w:val="2"/>
          <w:sz w:val="20"/>
        </w:rPr>
        <w:t>as</w:t>
      </w:r>
      <w:r w:rsidR="00F24323" w:rsidRPr="00BC2BC4">
        <w:rPr>
          <w:rFonts w:cs="Times New Roman"/>
          <w:kern w:val="2"/>
          <w:sz w:val="20"/>
        </w:rPr>
        <w:t xml:space="preserve"> designed to code and included adequate materials to prevent the collapse, the building had not been built to code.</w:t>
      </w:r>
      <w:r w:rsidR="00D04D6C" w:rsidRPr="00BC2BC4">
        <w:rPr>
          <w:rStyle w:val="FootnoteReference"/>
          <w:rFonts w:cs="Times New Roman"/>
          <w:kern w:val="2"/>
          <w:sz w:val="20"/>
        </w:rPr>
        <w:footnoteReference w:id="15"/>
      </w:r>
      <w:r w:rsidR="00F24323" w:rsidRPr="00BC2BC4">
        <w:rPr>
          <w:rFonts w:cs="Times New Roman"/>
          <w:kern w:val="2"/>
          <w:sz w:val="20"/>
        </w:rPr>
        <w:t xml:space="preserve"> The builders</w:t>
      </w:r>
      <w:r w:rsidR="007D601C" w:rsidRPr="00BC2BC4">
        <w:rPr>
          <w:rFonts w:cs="Times New Roman"/>
          <w:kern w:val="2"/>
          <w:sz w:val="20"/>
        </w:rPr>
        <w:t>’</w:t>
      </w:r>
      <w:r w:rsidR="00F24323" w:rsidRPr="00BC2BC4">
        <w:rPr>
          <w:rFonts w:cs="Times New Roman"/>
          <w:kern w:val="2"/>
          <w:sz w:val="20"/>
        </w:rPr>
        <w:t xml:space="preserve"> disregard for building </w:t>
      </w:r>
      <w:r w:rsidR="009759A0" w:rsidRPr="00BC2BC4">
        <w:rPr>
          <w:rFonts w:cs="Times New Roman"/>
          <w:kern w:val="2"/>
          <w:sz w:val="20"/>
        </w:rPr>
        <w:t xml:space="preserve">regulations </w:t>
      </w:r>
      <w:r w:rsidR="00F24323" w:rsidRPr="00BC2BC4">
        <w:rPr>
          <w:rFonts w:cs="Times New Roman"/>
          <w:kern w:val="2"/>
          <w:sz w:val="20"/>
        </w:rPr>
        <w:t xml:space="preserve">and the </w:t>
      </w:r>
      <w:r w:rsidR="00FE1CD7" w:rsidRPr="00BC2BC4">
        <w:rPr>
          <w:rFonts w:cs="Times New Roman"/>
          <w:kern w:val="2"/>
          <w:sz w:val="20"/>
        </w:rPr>
        <w:t xml:space="preserve">inspectors’ </w:t>
      </w:r>
      <w:r w:rsidR="00F24323" w:rsidRPr="00BC2BC4">
        <w:rPr>
          <w:rFonts w:cs="Times New Roman"/>
          <w:kern w:val="2"/>
          <w:sz w:val="20"/>
        </w:rPr>
        <w:t>failure to properly control and inspect the building resulted i</w:t>
      </w:r>
      <w:r w:rsidR="0070689F" w:rsidRPr="00BC2BC4">
        <w:rPr>
          <w:rFonts w:cs="Times New Roman"/>
          <w:kern w:val="2"/>
          <w:sz w:val="20"/>
        </w:rPr>
        <w:t xml:space="preserve">n a preventable catastrophe and </w:t>
      </w:r>
      <w:r w:rsidR="00F24323" w:rsidRPr="00BC2BC4">
        <w:rPr>
          <w:rFonts w:cs="Times New Roman"/>
          <w:kern w:val="2"/>
          <w:sz w:val="20"/>
        </w:rPr>
        <w:t xml:space="preserve">many preventable deaths. </w:t>
      </w:r>
    </w:p>
    <w:p w14:paraId="2231F555" w14:textId="1EA710C8" w:rsidR="003C3D17" w:rsidRPr="00BC2BC4" w:rsidRDefault="00C0555C" w:rsidP="003F14E9">
      <w:pPr>
        <w:rPr>
          <w:rFonts w:cs="Times New Roman"/>
          <w:kern w:val="2"/>
          <w:sz w:val="20"/>
        </w:rPr>
      </w:pPr>
      <w:r w:rsidRPr="00BC2BC4">
        <w:rPr>
          <w:rFonts w:cs="Times New Roman"/>
          <w:kern w:val="2"/>
          <w:sz w:val="20"/>
        </w:rPr>
        <w:t xml:space="preserve">Finally, corruption in public procurement can lead to an erosion of public confidence in government institutions. </w:t>
      </w:r>
      <w:r w:rsidR="003C3D17" w:rsidRPr="00BC2BC4">
        <w:rPr>
          <w:rFonts w:cs="Times New Roman"/>
          <w:kern w:val="2"/>
          <w:sz w:val="20"/>
        </w:rPr>
        <w:t xml:space="preserve">As Managing Director of </w:t>
      </w:r>
      <w:r w:rsidR="001A14B9" w:rsidRPr="00BC2BC4">
        <w:rPr>
          <w:rFonts w:cs="Times New Roman"/>
          <w:kern w:val="2"/>
          <w:sz w:val="20"/>
        </w:rPr>
        <w:t>TI,</w:t>
      </w:r>
      <w:r w:rsidR="003C3D17" w:rsidRPr="00BC2BC4">
        <w:rPr>
          <w:rFonts w:cs="Times New Roman"/>
          <w:kern w:val="2"/>
          <w:sz w:val="20"/>
        </w:rPr>
        <w:t xml:space="preserve"> Cobus </w:t>
      </w:r>
      <w:r w:rsidR="00855C1B" w:rsidRPr="00BC2BC4">
        <w:rPr>
          <w:rFonts w:cs="Times New Roman"/>
          <w:kern w:val="2"/>
          <w:sz w:val="20"/>
        </w:rPr>
        <w:t>de Swardt writes:</w:t>
      </w:r>
      <w:r w:rsidR="008B14B0" w:rsidRPr="00BC2BC4">
        <w:rPr>
          <w:rStyle w:val="FootnoteReference"/>
          <w:rFonts w:cs="Times New Roman"/>
          <w:kern w:val="2"/>
          <w:sz w:val="20"/>
          <w:szCs w:val="21"/>
        </w:rPr>
        <w:t xml:space="preserve"> </w:t>
      </w:r>
    </w:p>
    <w:p w14:paraId="7A7ACEFE" w14:textId="0A3B84E7" w:rsidR="00C0555C" w:rsidRPr="00BC2BC4" w:rsidRDefault="003C3D17" w:rsidP="00A9473C">
      <w:pPr>
        <w:pStyle w:val="BlockQuote"/>
        <w:rPr>
          <w:kern w:val="2"/>
          <w:sz w:val="20"/>
        </w:rPr>
      </w:pPr>
      <w:r w:rsidRPr="00BC2BC4">
        <w:rPr>
          <w:kern w:val="2"/>
          <w:sz w:val="20"/>
        </w:rPr>
        <w:t>When the products that citizens ultimately pay for are dangerous, inappropriate or costly there will be an inevitable loss of public confidence and trust in governments. Corrupted bidding processes also make a mockery of the level playing field for businesses, especially for younger, innovative companies eager to compete in a fair manner who may not have the backdoor contacts to buy contracts.</w:t>
      </w:r>
      <w:r w:rsidR="00DD31C6" w:rsidRPr="00BC2BC4">
        <w:rPr>
          <w:rStyle w:val="FootnoteReference"/>
          <w:rFonts w:cs="Times New Roman"/>
          <w:kern w:val="2"/>
          <w:sz w:val="20"/>
          <w:szCs w:val="21"/>
        </w:rPr>
        <w:footnoteReference w:id="16"/>
      </w:r>
    </w:p>
    <w:p w14:paraId="22B0662D" w14:textId="569420FB" w:rsidR="003C3D17" w:rsidRPr="00BC2BC4" w:rsidRDefault="00987722" w:rsidP="003F14E9">
      <w:pPr>
        <w:rPr>
          <w:rFonts w:cs="Times New Roman"/>
          <w:kern w:val="2"/>
          <w:sz w:val="20"/>
        </w:rPr>
      </w:pPr>
      <w:r w:rsidRPr="00BC2BC4">
        <w:rPr>
          <w:rFonts w:cs="Times New Roman"/>
          <w:kern w:val="2"/>
          <w:sz w:val="20"/>
        </w:rPr>
        <w:t xml:space="preserve">Thus, public procurement corruption results not only in immediate, tangible losses to the public, but also in a deeper erosion of public trust in the government. </w:t>
      </w:r>
      <w:r w:rsidR="00EB0790" w:rsidRPr="00BC2BC4">
        <w:rPr>
          <w:rFonts w:cs="Times New Roman"/>
          <w:kern w:val="2"/>
          <w:sz w:val="20"/>
        </w:rPr>
        <w:t xml:space="preserve">The effect may be to </w:t>
      </w:r>
      <w:r w:rsidR="00A2562B" w:rsidRPr="00BC2BC4">
        <w:rPr>
          <w:rFonts w:cs="Times New Roman"/>
          <w:kern w:val="2"/>
          <w:sz w:val="20"/>
        </w:rPr>
        <w:t xml:space="preserve">drive away good companies </w:t>
      </w:r>
      <w:r w:rsidR="002D4DC4" w:rsidRPr="00BC2BC4">
        <w:rPr>
          <w:rFonts w:cs="Times New Roman"/>
          <w:kern w:val="2"/>
          <w:sz w:val="20"/>
        </w:rPr>
        <w:t xml:space="preserve">who are unwilling to buy their way into procurement contracts, leaving </w:t>
      </w:r>
      <w:r w:rsidR="003B078B" w:rsidRPr="00BC2BC4">
        <w:rPr>
          <w:rFonts w:cs="Times New Roman"/>
          <w:kern w:val="2"/>
          <w:sz w:val="20"/>
        </w:rPr>
        <w:t xml:space="preserve">behind </w:t>
      </w:r>
      <w:r w:rsidR="002D4DC4" w:rsidRPr="00BC2BC4">
        <w:rPr>
          <w:rFonts w:cs="Times New Roman"/>
          <w:kern w:val="2"/>
          <w:sz w:val="20"/>
        </w:rPr>
        <w:t>a pool of unscrupulous and inexperienced contractors to carry out the projects.</w:t>
      </w:r>
    </w:p>
    <w:p w14:paraId="45F3047F" w14:textId="286646E5" w:rsidR="005040D2" w:rsidRPr="00BC2BC4" w:rsidRDefault="005040D2" w:rsidP="003F14E9">
      <w:pPr>
        <w:rPr>
          <w:rFonts w:cs="Times New Roman"/>
          <w:kern w:val="2"/>
          <w:sz w:val="20"/>
        </w:rPr>
      </w:pPr>
      <w:r w:rsidRPr="00BC2BC4">
        <w:rPr>
          <w:rFonts w:cs="Times New Roman"/>
          <w:kern w:val="2"/>
          <w:sz w:val="20"/>
        </w:rPr>
        <w:t xml:space="preserve">The </w:t>
      </w:r>
      <w:r w:rsidR="00855C1B" w:rsidRPr="00BC2BC4">
        <w:rPr>
          <w:rFonts w:cs="Times New Roman"/>
          <w:kern w:val="2"/>
          <w:sz w:val="20"/>
        </w:rPr>
        <w:t xml:space="preserve">broader </w:t>
      </w:r>
      <w:r w:rsidR="0019395D" w:rsidRPr="00BC2BC4">
        <w:rPr>
          <w:rFonts w:cs="Times New Roman"/>
          <w:kern w:val="2"/>
          <w:sz w:val="20"/>
        </w:rPr>
        <w:t>implications</w:t>
      </w:r>
      <w:r w:rsidRPr="00BC2BC4">
        <w:rPr>
          <w:rFonts w:cs="Times New Roman"/>
          <w:kern w:val="2"/>
          <w:sz w:val="20"/>
        </w:rPr>
        <w:t xml:space="preserve"> of a loss of confidence in the </w:t>
      </w:r>
      <w:r w:rsidR="00882511" w:rsidRPr="00BC2BC4">
        <w:rPr>
          <w:rFonts w:cs="Times New Roman"/>
          <w:kern w:val="2"/>
          <w:sz w:val="20"/>
        </w:rPr>
        <w:t>S</w:t>
      </w:r>
      <w:r w:rsidRPr="00BC2BC4">
        <w:rPr>
          <w:rFonts w:cs="Times New Roman"/>
          <w:kern w:val="2"/>
          <w:sz w:val="20"/>
        </w:rPr>
        <w:t xml:space="preserve">tate and its institutions </w:t>
      </w:r>
      <w:r w:rsidR="0019395D" w:rsidRPr="00BC2BC4">
        <w:rPr>
          <w:rFonts w:cs="Times New Roman"/>
          <w:kern w:val="2"/>
          <w:sz w:val="20"/>
        </w:rPr>
        <w:t>are severe</w:t>
      </w:r>
      <w:r w:rsidRPr="00BC2BC4">
        <w:rPr>
          <w:rFonts w:cs="Times New Roman"/>
          <w:kern w:val="2"/>
          <w:sz w:val="20"/>
        </w:rPr>
        <w:t>. Professor Larry Diamond observes:</w:t>
      </w:r>
      <w:r w:rsidR="004B6B6F" w:rsidRPr="00BC2BC4">
        <w:rPr>
          <w:rStyle w:val="FootnoteReference"/>
          <w:rFonts w:cs="Times New Roman"/>
          <w:kern w:val="2"/>
          <w:sz w:val="20"/>
          <w:szCs w:val="21"/>
        </w:rPr>
        <w:t xml:space="preserve"> </w:t>
      </w:r>
    </w:p>
    <w:p w14:paraId="795F77CE" w14:textId="61F2110F" w:rsidR="005040D2" w:rsidRPr="00BC2BC4" w:rsidRDefault="0005317C" w:rsidP="00A9473C">
      <w:pPr>
        <w:pStyle w:val="BlockQuote"/>
        <w:rPr>
          <w:kern w:val="2"/>
          <w:sz w:val="20"/>
        </w:rPr>
      </w:pPr>
      <w:r w:rsidRPr="00BC2BC4">
        <w:rPr>
          <w:kern w:val="2"/>
          <w:sz w:val="20"/>
        </w:rPr>
        <w:t>In the absence of trust, citizens become cynical about their political system and disaffected with the existing order. Distrust may produce alienation and withdrawal from the political process, leaving behind a shallow, fragile state that cannot mobilize national resources or shape a collective vision for national development. If it festers for very long, widespread and intense distrust may eventually generate a backlash against the political order and a search for more radical, anti-system alternatives. Failed states, revolutions, civil wars, and other related traumatic failures of governance all share in common th</w:t>
      </w:r>
      <w:r w:rsidR="0059618D" w:rsidRPr="00BC2BC4">
        <w:rPr>
          <w:kern w:val="2"/>
          <w:sz w:val="20"/>
        </w:rPr>
        <w:t>e absence or collapse of trust.</w:t>
      </w:r>
      <w:r w:rsidR="00C11785" w:rsidRPr="00BC2BC4">
        <w:rPr>
          <w:rStyle w:val="FootnoteReference"/>
          <w:rFonts w:cs="Times New Roman"/>
          <w:kern w:val="2"/>
          <w:sz w:val="20"/>
          <w:szCs w:val="21"/>
        </w:rPr>
        <w:footnoteReference w:id="17"/>
      </w:r>
      <w:r w:rsidRPr="00BC2BC4">
        <w:rPr>
          <w:kern w:val="2"/>
          <w:sz w:val="20"/>
        </w:rPr>
        <w:t xml:space="preserve"> </w:t>
      </w:r>
    </w:p>
    <w:p w14:paraId="49D8DC0E" w14:textId="1721202B" w:rsidR="000E52AB" w:rsidRPr="00BC2BC4" w:rsidRDefault="000E52AB" w:rsidP="00A9473C">
      <w:pPr>
        <w:pStyle w:val="Heading2"/>
        <w:rPr>
          <w:kern w:val="2"/>
          <w:sz w:val="24"/>
        </w:rPr>
      </w:pPr>
      <w:bookmarkStart w:id="6" w:name="_Toc424485013"/>
      <w:r w:rsidRPr="00BC2BC4">
        <w:rPr>
          <w:kern w:val="2"/>
          <w:sz w:val="24"/>
        </w:rPr>
        <w:t xml:space="preserve">How Much Money </w:t>
      </w:r>
      <w:r w:rsidR="00B90143" w:rsidRPr="00BC2BC4">
        <w:rPr>
          <w:kern w:val="2"/>
          <w:sz w:val="24"/>
        </w:rPr>
        <w:t>I</w:t>
      </w:r>
      <w:r w:rsidRPr="00BC2BC4">
        <w:rPr>
          <w:kern w:val="2"/>
          <w:sz w:val="24"/>
        </w:rPr>
        <w:t>s Spent on Public Procurement?</w:t>
      </w:r>
      <w:bookmarkEnd w:id="6"/>
    </w:p>
    <w:p w14:paraId="1F7ECEF8" w14:textId="2763480A" w:rsidR="00C60A24" w:rsidRPr="00BC2BC4" w:rsidRDefault="00DB2B41" w:rsidP="003F14E9">
      <w:pPr>
        <w:rPr>
          <w:rFonts w:cs="Times New Roman"/>
          <w:kern w:val="2"/>
          <w:sz w:val="20"/>
        </w:rPr>
      </w:pPr>
      <w:r w:rsidRPr="00BC2BC4">
        <w:rPr>
          <w:rFonts w:cs="Times New Roman"/>
          <w:kern w:val="2"/>
          <w:sz w:val="20"/>
        </w:rPr>
        <w:t xml:space="preserve">Annually, governments </w:t>
      </w:r>
      <w:r w:rsidR="00F13D1C" w:rsidRPr="00BC2BC4">
        <w:rPr>
          <w:rFonts w:cs="Times New Roman"/>
          <w:kern w:val="2"/>
          <w:sz w:val="20"/>
        </w:rPr>
        <w:t>worldwide</w:t>
      </w:r>
      <w:r w:rsidRPr="00BC2BC4">
        <w:rPr>
          <w:rFonts w:cs="Times New Roman"/>
          <w:kern w:val="2"/>
          <w:sz w:val="20"/>
        </w:rPr>
        <w:t xml:space="preserve"> spend approximately </w:t>
      </w:r>
      <w:r w:rsidR="00567B28" w:rsidRPr="00BC2BC4">
        <w:rPr>
          <w:rFonts w:cs="Times New Roman"/>
          <w:kern w:val="2"/>
          <w:sz w:val="20"/>
        </w:rPr>
        <w:t>US</w:t>
      </w:r>
      <w:r w:rsidRPr="00BC2BC4">
        <w:rPr>
          <w:rFonts w:cs="Times New Roman"/>
          <w:kern w:val="2"/>
          <w:sz w:val="20"/>
        </w:rPr>
        <w:t>$9.5 trillion</w:t>
      </w:r>
      <w:r w:rsidR="00A40B07" w:rsidRPr="00BC2BC4">
        <w:rPr>
          <w:rFonts w:cs="Times New Roman"/>
          <w:kern w:val="2"/>
          <w:sz w:val="20"/>
        </w:rPr>
        <w:t xml:space="preserve"> </w:t>
      </w:r>
      <w:r w:rsidRPr="00BC2BC4">
        <w:rPr>
          <w:rFonts w:cs="Times New Roman"/>
          <w:kern w:val="2"/>
          <w:sz w:val="20"/>
        </w:rPr>
        <w:t xml:space="preserve">on public </w:t>
      </w:r>
      <w:r w:rsidR="00F359EA" w:rsidRPr="00BC2BC4">
        <w:rPr>
          <w:rFonts w:cs="Times New Roman"/>
          <w:kern w:val="2"/>
          <w:sz w:val="20"/>
        </w:rPr>
        <w:t>procurement projects</w:t>
      </w:r>
      <w:r w:rsidR="00F5374C" w:rsidRPr="00BC2BC4">
        <w:rPr>
          <w:rFonts w:cs="Times New Roman"/>
          <w:kern w:val="2"/>
          <w:sz w:val="20"/>
        </w:rPr>
        <w:t>,</w:t>
      </w:r>
      <w:r w:rsidR="00F359EA" w:rsidRPr="00BC2BC4">
        <w:rPr>
          <w:rFonts w:cs="Times New Roman"/>
          <w:kern w:val="2"/>
          <w:sz w:val="20"/>
        </w:rPr>
        <w:t xml:space="preserve"> which represents 10</w:t>
      </w:r>
      <w:r w:rsidR="00F5374C" w:rsidRPr="00BC2BC4">
        <w:rPr>
          <w:rFonts w:cs="Times New Roman"/>
          <w:kern w:val="2"/>
          <w:sz w:val="20"/>
        </w:rPr>
        <w:t xml:space="preserve"> to </w:t>
      </w:r>
      <w:r w:rsidR="00F359EA" w:rsidRPr="00BC2BC4">
        <w:rPr>
          <w:rFonts w:cs="Times New Roman"/>
          <w:kern w:val="2"/>
          <w:sz w:val="20"/>
        </w:rPr>
        <w:t>20</w:t>
      </w:r>
      <w:r w:rsidR="001A0386" w:rsidRPr="00BC2BC4">
        <w:rPr>
          <w:rFonts w:cs="Times New Roman"/>
          <w:kern w:val="2"/>
          <w:sz w:val="20"/>
        </w:rPr>
        <w:t>%</w:t>
      </w:r>
      <w:r w:rsidR="00F5374C" w:rsidRPr="00BC2BC4">
        <w:rPr>
          <w:rFonts w:cs="Times New Roman"/>
          <w:kern w:val="2"/>
          <w:sz w:val="20"/>
        </w:rPr>
        <w:t xml:space="preserve"> </w:t>
      </w:r>
      <w:r w:rsidR="00F359EA" w:rsidRPr="00BC2BC4">
        <w:rPr>
          <w:rFonts w:cs="Times New Roman"/>
          <w:kern w:val="2"/>
          <w:sz w:val="20"/>
        </w:rPr>
        <w:t>of GDP and up to 50</w:t>
      </w:r>
      <w:r w:rsidR="001A0386" w:rsidRPr="00BC2BC4">
        <w:rPr>
          <w:rFonts w:cs="Times New Roman"/>
          <w:kern w:val="2"/>
          <w:sz w:val="20"/>
        </w:rPr>
        <w:t>%</w:t>
      </w:r>
      <w:r w:rsidR="00F359EA" w:rsidRPr="00BC2BC4">
        <w:rPr>
          <w:rFonts w:cs="Times New Roman"/>
          <w:kern w:val="2"/>
          <w:sz w:val="20"/>
        </w:rPr>
        <w:t xml:space="preserve"> or more of total government spending.</w:t>
      </w:r>
      <w:r w:rsidRPr="00BC2BC4">
        <w:rPr>
          <w:rStyle w:val="FootnoteReference"/>
          <w:rFonts w:cs="Times New Roman"/>
          <w:kern w:val="2"/>
          <w:sz w:val="20"/>
          <w:lang w:val="en-GB"/>
        </w:rPr>
        <w:footnoteReference w:id="18"/>
      </w:r>
      <w:r w:rsidRPr="00BC2BC4">
        <w:rPr>
          <w:rStyle w:val="FootnoteReference"/>
          <w:rFonts w:cs="Times New Roman"/>
          <w:kern w:val="2"/>
          <w:sz w:val="20"/>
          <w:lang w:val="en-GB"/>
        </w:rPr>
        <w:t xml:space="preserve"> </w:t>
      </w:r>
      <w:r w:rsidRPr="00BC2BC4">
        <w:rPr>
          <w:rFonts w:cs="Times New Roman"/>
          <w:kern w:val="2"/>
          <w:sz w:val="20"/>
        </w:rPr>
        <w:t xml:space="preserve">The </w:t>
      </w:r>
      <w:r w:rsidR="00FE1CD7" w:rsidRPr="00BC2BC4">
        <w:rPr>
          <w:rFonts w:cs="Times New Roman"/>
          <w:kern w:val="2"/>
          <w:sz w:val="20"/>
        </w:rPr>
        <w:t>OECD</w:t>
      </w:r>
      <w:r w:rsidRPr="00BC2BC4">
        <w:rPr>
          <w:rFonts w:cs="Times New Roman"/>
          <w:kern w:val="2"/>
          <w:sz w:val="20"/>
        </w:rPr>
        <w:t xml:space="preserve"> estimates that</w:t>
      </w:r>
      <w:r w:rsidR="00280DCF" w:rsidRPr="00BC2BC4">
        <w:rPr>
          <w:rFonts w:cs="Times New Roman"/>
          <w:kern w:val="2"/>
          <w:sz w:val="20"/>
        </w:rPr>
        <w:t xml:space="preserve"> corruption costs account for</w:t>
      </w:r>
      <w:r w:rsidRPr="00BC2BC4">
        <w:rPr>
          <w:rFonts w:cs="Times New Roman"/>
          <w:kern w:val="2"/>
          <w:sz w:val="20"/>
        </w:rPr>
        <w:t xml:space="preserve"> around </w:t>
      </w:r>
      <w:r w:rsidR="00567B28" w:rsidRPr="00BC2BC4">
        <w:rPr>
          <w:rFonts w:cs="Times New Roman"/>
          <w:kern w:val="2"/>
          <w:sz w:val="20"/>
        </w:rPr>
        <w:t>US</w:t>
      </w:r>
      <w:r w:rsidRPr="00BC2BC4">
        <w:rPr>
          <w:rFonts w:cs="Times New Roman"/>
          <w:kern w:val="2"/>
          <w:sz w:val="20"/>
        </w:rPr>
        <w:t>$2 trillion</w:t>
      </w:r>
      <w:r w:rsidR="00A40B07" w:rsidRPr="00BC2BC4">
        <w:rPr>
          <w:rFonts w:cs="Times New Roman"/>
          <w:kern w:val="2"/>
          <w:sz w:val="20"/>
        </w:rPr>
        <w:t xml:space="preserve"> </w:t>
      </w:r>
      <w:r w:rsidRPr="00BC2BC4">
        <w:rPr>
          <w:rFonts w:cs="Times New Roman"/>
          <w:kern w:val="2"/>
          <w:sz w:val="20"/>
        </w:rPr>
        <w:t>of this annual procurement budget.</w:t>
      </w:r>
      <w:r w:rsidRPr="00BC2BC4">
        <w:rPr>
          <w:rStyle w:val="FootnoteReference"/>
          <w:rFonts w:cs="Times New Roman"/>
          <w:kern w:val="2"/>
          <w:sz w:val="20"/>
          <w:lang w:val="en-GB"/>
        </w:rPr>
        <w:footnoteReference w:id="19"/>
      </w:r>
      <w:r w:rsidRPr="00BC2BC4">
        <w:rPr>
          <w:rFonts w:cs="Times New Roman"/>
          <w:kern w:val="2"/>
          <w:sz w:val="20"/>
        </w:rPr>
        <w:t xml:space="preserve"> Broadly speaking, this </w:t>
      </w:r>
      <w:r w:rsidR="00280DCF" w:rsidRPr="00BC2BC4">
        <w:rPr>
          <w:rFonts w:cs="Times New Roman"/>
          <w:kern w:val="2"/>
          <w:sz w:val="20"/>
        </w:rPr>
        <w:t>distorts competition, compromises</w:t>
      </w:r>
      <w:r w:rsidRPr="00BC2BC4">
        <w:rPr>
          <w:rFonts w:cs="Times New Roman"/>
          <w:kern w:val="2"/>
          <w:sz w:val="20"/>
        </w:rPr>
        <w:t xml:space="preserve"> the quality of public</w:t>
      </w:r>
      <w:r w:rsidR="00280DCF" w:rsidRPr="00BC2BC4">
        <w:rPr>
          <w:rFonts w:cs="Times New Roman"/>
          <w:kern w:val="2"/>
          <w:sz w:val="20"/>
        </w:rPr>
        <w:t xml:space="preserve"> projects and purchases, wastes</w:t>
      </w:r>
      <w:r w:rsidRPr="00BC2BC4">
        <w:rPr>
          <w:rFonts w:cs="Times New Roman"/>
          <w:kern w:val="2"/>
          <w:sz w:val="20"/>
        </w:rPr>
        <w:t xml:space="preserve"> t</w:t>
      </w:r>
      <w:r w:rsidR="00280DCF" w:rsidRPr="00BC2BC4">
        <w:rPr>
          <w:rFonts w:cs="Times New Roman"/>
          <w:kern w:val="2"/>
          <w:sz w:val="20"/>
        </w:rPr>
        <w:t>axpayer dollars and contributes</w:t>
      </w:r>
      <w:r w:rsidRPr="00BC2BC4">
        <w:rPr>
          <w:rFonts w:cs="Times New Roman"/>
          <w:kern w:val="2"/>
          <w:sz w:val="20"/>
        </w:rPr>
        <w:t xml:space="preserve"> to endemic corruption, thus eroding trust in government.</w:t>
      </w:r>
      <w:r w:rsidRPr="00BC2BC4">
        <w:rPr>
          <w:rStyle w:val="FootnoteReference"/>
          <w:rFonts w:cs="Times New Roman"/>
          <w:kern w:val="2"/>
          <w:sz w:val="20"/>
          <w:lang w:val="en-GB"/>
        </w:rPr>
        <w:footnoteReference w:id="20"/>
      </w:r>
      <w:r w:rsidRPr="00BC2BC4">
        <w:rPr>
          <w:rFonts w:cs="Times New Roman"/>
          <w:kern w:val="2"/>
          <w:sz w:val="20"/>
        </w:rPr>
        <w:t xml:space="preserve"> </w:t>
      </w:r>
      <w:r w:rsidR="00C60A24" w:rsidRPr="00BC2BC4">
        <w:rPr>
          <w:rFonts w:cs="Times New Roman"/>
          <w:kern w:val="2"/>
          <w:sz w:val="20"/>
        </w:rPr>
        <w:t>Some procurement projects</w:t>
      </w:r>
      <w:r w:rsidR="005A6572" w:rsidRPr="00BC2BC4">
        <w:rPr>
          <w:rFonts w:cs="Times New Roman"/>
          <w:kern w:val="2"/>
          <w:sz w:val="20"/>
        </w:rPr>
        <w:t xml:space="preserve">—such as the construction of facilities for major sporting events </w:t>
      </w:r>
      <w:r w:rsidR="00DD1983" w:rsidRPr="00BC2BC4">
        <w:rPr>
          <w:rFonts w:cs="Times New Roman"/>
          <w:kern w:val="2"/>
          <w:sz w:val="20"/>
        </w:rPr>
        <w:t>like</w:t>
      </w:r>
      <w:r w:rsidR="00D62730" w:rsidRPr="00BC2BC4">
        <w:rPr>
          <w:rFonts w:cs="Times New Roman"/>
          <w:kern w:val="2"/>
          <w:sz w:val="20"/>
        </w:rPr>
        <w:t xml:space="preserve"> </w:t>
      </w:r>
      <w:r w:rsidR="005A6572" w:rsidRPr="00BC2BC4">
        <w:rPr>
          <w:rFonts w:cs="Times New Roman"/>
          <w:kern w:val="2"/>
          <w:sz w:val="20"/>
        </w:rPr>
        <w:t>the Olympics or the construction of airports—</w:t>
      </w:r>
      <w:r w:rsidR="00C60A24" w:rsidRPr="00BC2BC4">
        <w:rPr>
          <w:rFonts w:cs="Times New Roman"/>
          <w:kern w:val="2"/>
          <w:sz w:val="20"/>
        </w:rPr>
        <w:t>are so large</w:t>
      </w:r>
      <w:r w:rsidR="005A6572" w:rsidRPr="00BC2BC4">
        <w:rPr>
          <w:rFonts w:cs="Times New Roman"/>
          <w:kern w:val="2"/>
          <w:sz w:val="20"/>
        </w:rPr>
        <w:t xml:space="preserve"> in relation to local econom</w:t>
      </w:r>
      <w:r w:rsidR="00DD1983" w:rsidRPr="00BC2BC4">
        <w:rPr>
          <w:rFonts w:cs="Times New Roman"/>
          <w:kern w:val="2"/>
          <w:sz w:val="20"/>
        </w:rPr>
        <w:t>ies</w:t>
      </w:r>
      <w:r w:rsidR="00C60A24" w:rsidRPr="00BC2BC4">
        <w:rPr>
          <w:rFonts w:cs="Times New Roman"/>
          <w:kern w:val="2"/>
          <w:sz w:val="20"/>
        </w:rPr>
        <w:t xml:space="preserve"> that cost overruns may distort a</w:t>
      </w:r>
      <w:r w:rsidR="00280DCF" w:rsidRPr="00BC2BC4">
        <w:rPr>
          <w:rFonts w:cs="Times New Roman"/>
          <w:kern w:val="2"/>
          <w:sz w:val="20"/>
        </w:rPr>
        <w:t>n entire</w:t>
      </w:r>
      <w:r w:rsidR="00C60A24" w:rsidRPr="00BC2BC4">
        <w:rPr>
          <w:rFonts w:cs="Times New Roman"/>
          <w:kern w:val="2"/>
          <w:sz w:val="20"/>
        </w:rPr>
        <w:t xml:space="preserve"> country or region’s economy.</w:t>
      </w:r>
      <w:r w:rsidR="00C60A24" w:rsidRPr="00BC2BC4">
        <w:rPr>
          <w:rStyle w:val="FootnoteReference"/>
          <w:rFonts w:cs="Times New Roman"/>
          <w:kern w:val="2"/>
          <w:sz w:val="20"/>
        </w:rPr>
        <w:footnoteReference w:id="21"/>
      </w:r>
      <w:r w:rsidR="005A6572" w:rsidRPr="00BC2BC4">
        <w:rPr>
          <w:rFonts w:cs="Times New Roman"/>
          <w:kern w:val="2"/>
          <w:sz w:val="20"/>
        </w:rPr>
        <w:t xml:space="preserve"> To the extent that such cost overruns are due to corruption, corruption contributes to the destabilization of local economies.</w:t>
      </w:r>
    </w:p>
    <w:p w14:paraId="5ED6B750" w14:textId="32567FC9" w:rsidR="009F023B" w:rsidRPr="00BC2BC4" w:rsidRDefault="009F023B" w:rsidP="00A9473C">
      <w:pPr>
        <w:pStyle w:val="Heading2"/>
        <w:rPr>
          <w:kern w:val="2"/>
          <w:sz w:val="24"/>
        </w:rPr>
      </w:pPr>
      <w:r w:rsidRPr="00BC2BC4">
        <w:rPr>
          <w:kern w:val="2"/>
          <w:sz w:val="24"/>
        </w:rPr>
        <w:t xml:space="preserve">Public Procurement Corruption </w:t>
      </w:r>
      <w:r w:rsidR="008F12B6" w:rsidRPr="00BC2BC4">
        <w:rPr>
          <w:kern w:val="2"/>
          <w:sz w:val="24"/>
        </w:rPr>
        <w:t>within</w:t>
      </w:r>
      <w:r w:rsidRPr="00BC2BC4">
        <w:rPr>
          <w:kern w:val="2"/>
          <w:sz w:val="24"/>
        </w:rPr>
        <w:t xml:space="preserve"> Developed Countries</w:t>
      </w:r>
    </w:p>
    <w:p w14:paraId="6E43733E" w14:textId="2AAB2172" w:rsidR="00297E02" w:rsidRPr="00BC2BC4" w:rsidRDefault="00067A12" w:rsidP="003F14E9">
      <w:pPr>
        <w:rPr>
          <w:rFonts w:cs="Times New Roman"/>
          <w:kern w:val="2"/>
          <w:sz w:val="20"/>
          <w:lang w:val="en-GB"/>
        </w:rPr>
      </w:pPr>
      <w:r w:rsidRPr="00BC2BC4">
        <w:rPr>
          <w:rFonts w:cs="Times New Roman"/>
          <w:kern w:val="2"/>
          <w:sz w:val="20"/>
        </w:rPr>
        <w:t xml:space="preserve">Corruption in public procurement is not </w:t>
      </w:r>
      <w:r w:rsidR="00FE1CD7" w:rsidRPr="00BC2BC4">
        <w:rPr>
          <w:rFonts w:cs="Times New Roman"/>
          <w:kern w:val="2"/>
          <w:sz w:val="20"/>
        </w:rPr>
        <w:t>only</w:t>
      </w:r>
      <w:r w:rsidRPr="00BC2BC4">
        <w:rPr>
          <w:rFonts w:cs="Times New Roman"/>
          <w:kern w:val="2"/>
          <w:sz w:val="20"/>
        </w:rPr>
        <w:t xml:space="preserve"> a concern for the developing world</w:t>
      </w:r>
      <w:r w:rsidR="00072314" w:rsidRPr="00BC2BC4">
        <w:rPr>
          <w:rFonts w:cs="Times New Roman"/>
          <w:kern w:val="2"/>
          <w:sz w:val="20"/>
        </w:rPr>
        <w:t>,</w:t>
      </w:r>
      <w:r w:rsidR="00FE1CD7" w:rsidRPr="00BC2BC4">
        <w:rPr>
          <w:rFonts w:cs="Times New Roman"/>
          <w:kern w:val="2"/>
          <w:sz w:val="20"/>
        </w:rPr>
        <w:t xml:space="preserve"> but</w:t>
      </w:r>
      <w:r w:rsidRPr="00BC2BC4">
        <w:rPr>
          <w:rFonts w:cs="Times New Roman"/>
          <w:kern w:val="2"/>
          <w:sz w:val="20"/>
        </w:rPr>
        <w:t xml:space="preserve"> also exists in developed </w:t>
      </w:r>
      <w:r w:rsidR="00FE1CD7" w:rsidRPr="00BC2BC4">
        <w:rPr>
          <w:rFonts w:cs="Times New Roman"/>
          <w:kern w:val="2"/>
          <w:sz w:val="20"/>
        </w:rPr>
        <w:t>countries</w:t>
      </w:r>
      <w:r w:rsidR="00280DCF" w:rsidRPr="00BC2BC4">
        <w:rPr>
          <w:rFonts w:cs="Times New Roman"/>
          <w:kern w:val="2"/>
          <w:sz w:val="20"/>
        </w:rPr>
        <w:t>. Therefore,</w:t>
      </w:r>
      <w:r w:rsidRPr="00BC2BC4">
        <w:rPr>
          <w:rFonts w:cs="Times New Roman"/>
          <w:kern w:val="2"/>
          <w:sz w:val="20"/>
        </w:rPr>
        <w:t xml:space="preserve"> adequate controls are needed in all countries. </w:t>
      </w:r>
      <w:r w:rsidR="00635F04" w:rsidRPr="00BC2BC4">
        <w:rPr>
          <w:rFonts w:cs="Times New Roman"/>
          <w:kern w:val="2"/>
          <w:sz w:val="20"/>
        </w:rPr>
        <w:t xml:space="preserve">The US spends approximately </w:t>
      </w:r>
      <w:r w:rsidR="004E0FBE" w:rsidRPr="00BC2BC4">
        <w:rPr>
          <w:rFonts w:cs="Times New Roman"/>
          <w:kern w:val="2"/>
          <w:sz w:val="20"/>
        </w:rPr>
        <w:t>US</w:t>
      </w:r>
      <w:r w:rsidR="00635F04" w:rsidRPr="00BC2BC4">
        <w:rPr>
          <w:rFonts w:cs="Times New Roman"/>
          <w:kern w:val="2"/>
          <w:sz w:val="20"/>
        </w:rPr>
        <w:t>$530 billion a year on procurement, and although it has extensive laws and regulations in place, its system is not free from corruption</w:t>
      </w:r>
      <w:r w:rsidR="00280DCF" w:rsidRPr="00BC2BC4">
        <w:rPr>
          <w:rFonts w:cs="Times New Roman"/>
          <w:kern w:val="2"/>
          <w:sz w:val="20"/>
        </w:rPr>
        <w:t>.</w:t>
      </w:r>
      <w:r w:rsidR="00635F04" w:rsidRPr="00BC2BC4">
        <w:rPr>
          <w:rStyle w:val="FootnoteReference"/>
          <w:rFonts w:cs="Times New Roman"/>
          <w:kern w:val="2"/>
          <w:sz w:val="20"/>
        </w:rPr>
        <w:footnoteReference w:id="22"/>
      </w:r>
      <w:r w:rsidR="00635F04" w:rsidRPr="00BC2BC4">
        <w:rPr>
          <w:rFonts w:cs="Times New Roman"/>
          <w:kern w:val="2"/>
          <w:sz w:val="20"/>
        </w:rPr>
        <w:t xml:space="preserve"> </w:t>
      </w:r>
      <w:r w:rsidR="00B26F71" w:rsidRPr="00BC2BC4">
        <w:rPr>
          <w:rFonts w:cs="Times New Roman"/>
          <w:kern w:val="2"/>
          <w:sz w:val="20"/>
        </w:rPr>
        <w:t xml:space="preserve">For example, in the US in 2013, </w:t>
      </w:r>
      <w:r w:rsidR="003208AB" w:rsidRPr="00BC2BC4">
        <w:rPr>
          <w:rFonts w:cs="Times New Roman"/>
          <w:kern w:val="2"/>
          <w:sz w:val="20"/>
        </w:rPr>
        <w:t xml:space="preserve">a </w:t>
      </w:r>
      <w:r w:rsidR="00B26F71" w:rsidRPr="00BC2BC4">
        <w:rPr>
          <w:rFonts w:cs="Times New Roman"/>
          <w:kern w:val="2"/>
          <w:sz w:val="20"/>
        </w:rPr>
        <w:t>former manager of the Army Corps of Engineers was found guilty of accepting bribes from construction contractors for certifying bogus and inflated invoices.</w:t>
      </w:r>
      <w:r w:rsidR="00B26F71" w:rsidRPr="00BC2BC4">
        <w:rPr>
          <w:rStyle w:val="FootnoteReference"/>
          <w:rFonts w:cs="Times New Roman"/>
          <w:kern w:val="2"/>
          <w:sz w:val="20"/>
          <w:lang w:val="en-GB"/>
        </w:rPr>
        <w:footnoteReference w:id="23"/>
      </w:r>
      <w:r w:rsidR="00950075" w:rsidRPr="00BC2BC4">
        <w:rPr>
          <w:rFonts w:cs="Times New Roman"/>
          <w:kern w:val="2"/>
          <w:sz w:val="20"/>
        </w:rPr>
        <w:t xml:space="preserve"> </w:t>
      </w:r>
      <w:r w:rsidR="00FE1CD7" w:rsidRPr="00BC2BC4">
        <w:rPr>
          <w:rFonts w:cs="Times New Roman"/>
          <w:kern w:val="2"/>
          <w:sz w:val="20"/>
          <w:lang w:val="en-GB"/>
        </w:rPr>
        <w:t>Italy provides another example</w:t>
      </w:r>
      <w:r w:rsidR="00297E02" w:rsidRPr="00BC2BC4">
        <w:rPr>
          <w:rFonts w:cs="Times New Roman"/>
          <w:kern w:val="2"/>
          <w:sz w:val="20"/>
          <w:lang w:val="en-GB"/>
        </w:rPr>
        <w:t>:</w:t>
      </w:r>
      <w:r w:rsidR="00950075" w:rsidRPr="00BC2BC4">
        <w:rPr>
          <w:rStyle w:val="FootnoteReference"/>
          <w:rFonts w:cs="Times New Roman"/>
          <w:kern w:val="2"/>
          <w:sz w:val="20"/>
          <w:szCs w:val="21"/>
        </w:rPr>
        <w:t xml:space="preserve"> </w:t>
      </w:r>
    </w:p>
    <w:p w14:paraId="2CA9030B" w14:textId="1E854D7C" w:rsidR="00297E02" w:rsidRPr="00BC2BC4" w:rsidRDefault="00297E02" w:rsidP="00A9473C">
      <w:pPr>
        <w:pStyle w:val="BlockQuote"/>
        <w:rPr>
          <w:kern w:val="2"/>
          <w:sz w:val="20"/>
        </w:rPr>
      </w:pPr>
      <w:r w:rsidRPr="00BC2BC4">
        <w:rPr>
          <w:kern w:val="2"/>
          <w:sz w:val="20"/>
        </w:rPr>
        <w:t>Italian economists found that the cost of several major public construction projects fell dramatically after the anti-corruption investigations in the early nineties. The construction cost of the Milan subway fell from $227 million per kilometre in 1991 to $97 million in 1995. The cost of a rail link fell from $54 million per kilometre to $26 million, and a new airport terminal is estimated to cost $1.3 billion instead of $3.2 billion</w:t>
      </w:r>
      <w:r w:rsidR="00C22AF5" w:rsidRPr="00BC2BC4">
        <w:rPr>
          <w:kern w:val="2"/>
          <w:sz w:val="20"/>
        </w:rPr>
        <w:t>.</w:t>
      </w:r>
      <w:r w:rsidR="002B2D80" w:rsidRPr="00BC2BC4">
        <w:rPr>
          <w:rStyle w:val="FootnoteReference"/>
          <w:rFonts w:cs="Times New Roman"/>
          <w:kern w:val="2"/>
          <w:sz w:val="20"/>
          <w:szCs w:val="21"/>
        </w:rPr>
        <w:footnoteReference w:id="24"/>
      </w:r>
    </w:p>
    <w:p w14:paraId="6AE677AA" w14:textId="4567BF6B" w:rsidR="00232876" w:rsidRPr="00BC2BC4" w:rsidRDefault="00FC33E3" w:rsidP="00232876">
      <w:pPr>
        <w:rPr>
          <w:rFonts w:cs="Times New Roman"/>
          <w:kern w:val="2"/>
          <w:sz w:val="20"/>
        </w:rPr>
      </w:pPr>
      <w:r w:rsidRPr="00BC2BC4">
        <w:rPr>
          <w:rFonts w:cs="Times New Roman"/>
          <w:kern w:val="2"/>
          <w:sz w:val="20"/>
        </w:rPr>
        <w:t>A further example</w:t>
      </w:r>
      <w:r w:rsidR="009F023B" w:rsidRPr="00BC2BC4">
        <w:rPr>
          <w:rFonts w:cs="Times New Roman"/>
          <w:kern w:val="2"/>
          <w:sz w:val="20"/>
        </w:rPr>
        <w:t xml:space="preserve"> of public procurement corruption within developed countries</w:t>
      </w:r>
      <w:r w:rsidRPr="00BC2BC4">
        <w:rPr>
          <w:rFonts w:cs="Times New Roman"/>
          <w:kern w:val="2"/>
          <w:sz w:val="20"/>
        </w:rPr>
        <w:t xml:space="preserve"> is </w:t>
      </w:r>
      <w:r w:rsidR="00280DCF" w:rsidRPr="00BC2BC4">
        <w:rPr>
          <w:rFonts w:cs="Times New Roman"/>
          <w:kern w:val="2"/>
          <w:sz w:val="20"/>
        </w:rPr>
        <w:t>provided by</w:t>
      </w:r>
      <w:r w:rsidR="00FE1CD7" w:rsidRPr="00BC2BC4">
        <w:rPr>
          <w:rFonts w:cs="Times New Roman"/>
          <w:kern w:val="2"/>
          <w:sz w:val="20"/>
        </w:rPr>
        <w:t xml:space="preserve"> the </w:t>
      </w:r>
      <w:r w:rsidR="009F023B" w:rsidRPr="00BC2BC4">
        <w:rPr>
          <w:rFonts w:cs="Times New Roman"/>
          <w:kern w:val="2"/>
          <w:sz w:val="20"/>
        </w:rPr>
        <w:t>findings of the</w:t>
      </w:r>
      <w:r w:rsidR="003937CA" w:rsidRPr="00BC2BC4">
        <w:rPr>
          <w:rFonts w:cs="Times New Roman"/>
          <w:kern w:val="2"/>
          <w:sz w:val="20"/>
        </w:rPr>
        <w:t xml:space="preserve"> Charbonneau Commission</w:t>
      </w:r>
      <w:r w:rsidRPr="00BC2BC4">
        <w:rPr>
          <w:rFonts w:cs="Times New Roman"/>
          <w:kern w:val="2"/>
          <w:sz w:val="20"/>
        </w:rPr>
        <w:t>.</w:t>
      </w:r>
      <w:r w:rsidR="00232876" w:rsidRPr="00BC2BC4">
        <w:rPr>
          <w:rFonts w:cs="Times New Roman"/>
          <w:kern w:val="2"/>
          <w:sz w:val="20"/>
        </w:rPr>
        <w:t xml:space="preserve"> </w:t>
      </w:r>
      <w:r w:rsidR="00232876" w:rsidRPr="00BC2BC4">
        <w:rPr>
          <w:rFonts w:cs="Times New Roman"/>
          <w:kern w:val="2"/>
          <w:sz w:val="20"/>
          <w:lang w:val="en-GB"/>
        </w:rPr>
        <w:t xml:space="preserve">The Charbonneau Commission, known officially as the </w:t>
      </w:r>
      <w:r w:rsidR="00232876" w:rsidRPr="00BC2BC4">
        <w:rPr>
          <w:rFonts w:cs="Times New Roman"/>
          <w:i/>
          <w:kern w:val="2"/>
          <w:sz w:val="20"/>
          <w:lang w:val="en-GB"/>
        </w:rPr>
        <w:t>Commission of Inquiry on the Awarding and Management of Public Contracts in the Construction Industry</w:t>
      </w:r>
      <w:r w:rsidR="00232876" w:rsidRPr="00BC2BC4">
        <w:rPr>
          <w:rFonts w:cs="Times New Roman"/>
          <w:kern w:val="2"/>
          <w:sz w:val="20"/>
          <w:lang w:val="en-GB"/>
        </w:rPr>
        <w:t>, was a major public inquiry into corruption in public contracting in Quebec.</w:t>
      </w:r>
      <w:r w:rsidR="00232876" w:rsidRPr="00BC2BC4">
        <w:rPr>
          <w:rFonts w:cs="Times New Roman"/>
          <w:kern w:val="2"/>
          <w:sz w:val="20"/>
          <w:vertAlign w:val="superscript"/>
          <w:lang w:val="en-GB"/>
        </w:rPr>
        <w:footnoteReference w:id="25"/>
      </w:r>
      <w:r w:rsidR="00232876" w:rsidRPr="00BC2BC4">
        <w:rPr>
          <w:rFonts w:cs="Times New Roman"/>
          <w:kern w:val="2"/>
          <w:sz w:val="20"/>
          <w:lang w:val="en-GB"/>
        </w:rPr>
        <w:t xml:space="preserve"> </w:t>
      </w:r>
      <w:r w:rsidR="002C0115" w:rsidRPr="00BC2BC4">
        <w:rPr>
          <w:rFonts w:cs="Times New Roman"/>
          <w:kern w:val="2"/>
          <w:sz w:val="20"/>
          <w:lang w:val="en-GB"/>
        </w:rPr>
        <w:t>Justice France Charbonneau chaired t</w:t>
      </w:r>
      <w:r w:rsidR="00232876" w:rsidRPr="00BC2BC4">
        <w:rPr>
          <w:rFonts w:cs="Times New Roman"/>
          <w:kern w:val="2"/>
          <w:sz w:val="20"/>
          <w:lang w:val="en-GB"/>
        </w:rPr>
        <w:t xml:space="preserve">he </w:t>
      </w:r>
      <w:r w:rsidR="009354ED" w:rsidRPr="00BC2BC4">
        <w:rPr>
          <w:rFonts w:cs="Times New Roman"/>
          <w:kern w:val="2"/>
          <w:sz w:val="20"/>
          <w:lang w:val="en-GB"/>
        </w:rPr>
        <w:t>c</w:t>
      </w:r>
      <w:r w:rsidR="00232876" w:rsidRPr="00BC2BC4">
        <w:rPr>
          <w:rFonts w:cs="Times New Roman"/>
          <w:kern w:val="2"/>
          <w:sz w:val="20"/>
          <w:lang w:val="en-GB"/>
        </w:rPr>
        <w:t>ommission launched on O</w:t>
      </w:r>
      <w:r w:rsidR="0020472E" w:rsidRPr="00BC2BC4">
        <w:rPr>
          <w:rFonts w:cs="Times New Roman"/>
          <w:kern w:val="2"/>
          <w:sz w:val="20"/>
          <w:lang w:val="en-GB"/>
        </w:rPr>
        <w:t>ctober 19, 2011 by</w:t>
      </w:r>
      <w:r w:rsidR="00C836C8" w:rsidRPr="00BC2BC4">
        <w:rPr>
          <w:rFonts w:cs="Times New Roman"/>
          <w:kern w:val="2"/>
          <w:sz w:val="20"/>
          <w:lang w:val="en-GB"/>
        </w:rPr>
        <w:t xml:space="preserve"> Premier</w:t>
      </w:r>
      <w:r w:rsidR="0020472E" w:rsidRPr="00BC2BC4">
        <w:rPr>
          <w:rFonts w:cs="Times New Roman"/>
          <w:kern w:val="2"/>
          <w:sz w:val="20"/>
          <w:lang w:val="en-GB"/>
        </w:rPr>
        <w:t xml:space="preserve"> Jean Charest</w:t>
      </w:r>
      <w:r w:rsidR="00232876" w:rsidRPr="00BC2BC4">
        <w:rPr>
          <w:rFonts w:cs="Times New Roman"/>
          <w:kern w:val="2"/>
          <w:sz w:val="20"/>
          <w:lang w:val="en-GB"/>
        </w:rPr>
        <w:t xml:space="preserve">. The Commission had a three-fold mandate: </w:t>
      </w:r>
    </w:p>
    <w:p w14:paraId="26899737" w14:textId="77777777" w:rsidR="00232876" w:rsidRPr="00BC2BC4" w:rsidRDefault="00232876" w:rsidP="00A75BC0">
      <w:pPr>
        <w:pStyle w:val="ListParagraph"/>
        <w:numPr>
          <w:ilvl w:val="0"/>
          <w:numId w:val="31"/>
        </w:numPr>
        <w:rPr>
          <w:kern w:val="2"/>
          <w:sz w:val="20"/>
          <w:lang w:val="en-GB"/>
        </w:rPr>
      </w:pPr>
      <w:r w:rsidRPr="00BC2BC4">
        <w:rPr>
          <w:kern w:val="2"/>
          <w:sz w:val="20"/>
        </w:rPr>
        <w:t>Examine the existence of schemes and, where appropriate, paint a portrait of activities involving collusion and corruption in the provision and management of public contracts in the construction industry (including private organizations, government enterprises, and municipalities) and include any links with the financing of political parties.</w:t>
      </w:r>
    </w:p>
    <w:p w14:paraId="077AE689" w14:textId="77777777" w:rsidR="00232876" w:rsidRPr="00BC2BC4" w:rsidRDefault="00232876" w:rsidP="00A75BC0">
      <w:pPr>
        <w:pStyle w:val="ListParagraph"/>
        <w:numPr>
          <w:ilvl w:val="0"/>
          <w:numId w:val="31"/>
        </w:numPr>
        <w:rPr>
          <w:kern w:val="2"/>
          <w:sz w:val="20"/>
          <w:lang w:val="en-GB"/>
        </w:rPr>
      </w:pPr>
      <w:r w:rsidRPr="00BC2BC4">
        <w:rPr>
          <w:kern w:val="2"/>
          <w:sz w:val="20"/>
        </w:rPr>
        <w:t>Investigate possible infiltration of organized crime in the construction industry.</w:t>
      </w:r>
    </w:p>
    <w:p w14:paraId="10EAC92C" w14:textId="77777777" w:rsidR="00232876" w:rsidRPr="00BC2BC4" w:rsidRDefault="00232876" w:rsidP="00A75BC0">
      <w:pPr>
        <w:pStyle w:val="ListParagraph"/>
        <w:numPr>
          <w:ilvl w:val="0"/>
          <w:numId w:val="31"/>
        </w:numPr>
        <w:rPr>
          <w:kern w:val="2"/>
          <w:sz w:val="20"/>
          <w:lang w:val="en-GB"/>
        </w:rPr>
      </w:pPr>
      <w:r w:rsidRPr="00BC2BC4">
        <w:rPr>
          <w:kern w:val="2"/>
          <w:sz w:val="20"/>
        </w:rPr>
        <w:t>Consider possible solutions and make recommendations establishing measures to identify, reduce, and prevent collusion and corruption in awarding and managing public contracts in the construction industry.</w:t>
      </w:r>
      <w:r w:rsidRPr="00BC2BC4">
        <w:rPr>
          <w:kern w:val="2"/>
          <w:sz w:val="20"/>
          <w:vertAlign w:val="superscript"/>
        </w:rPr>
        <w:footnoteReference w:id="26"/>
      </w:r>
    </w:p>
    <w:p w14:paraId="1A3467B1" w14:textId="0A10F114" w:rsidR="00232876" w:rsidRPr="00BC2BC4" w:rsidDel="00232876" w:rsidRDefault="00232876" w:rsidP="00A9473C">
      <w:pPr>
        <w:rPr>
          <w:kern w:val="2"/>
          <w:sz w:val="20"/>
        </w:rPr>
      </w:pPr>
      <w:r w:rsidRPr="00BC2BC4">
        <w:rPr>
          <w:kern w:val="2"/>
          <w:sz w:val="20"/>
        </w:rPr>
        <w:t>In her final report, Justice Charbonneau concluded that corruption and collusion in the awarding of government contracts</w:t>
      </w:r>
      <w:r w:rsidR="0020472E" w:rsidRPr="00BC2BC4">
        <w:rPr>
          <w:kern w:val="2"/>
          <w:sz w:val="20"/>
        </w:rPr>
        <w:t xml:space="preserve"> in Quebec</w:t>
      </w:r>
      <w:r w:rsidRPr="00BC2BC4">
        <w:rPr>
          <w:kern w:val="2"/>
          <w:sz w:val="20"/>
        </w:rPr>
        <w:t xml:space="preserve"> </w:t>
      </w:r>
      <w:r w:rsidR="0020472E" w:rsidRPr="00BC2BC4">
        <w:rPr>
          <w:kern w:val="2"/>
          <w:sz w:val="20"/>
        </w:rPr>
        <w:t>was</w:t>
      </w:r>
      <w:r w:rsidRPr="00BC2BC4">
        <w:rPr>
          <w:kern w:val="2"/>
          <w:sz w:val="20"/>
        </w:rPr>
        <w:t xml:space="preserve"> far more widespread than originally believed.</w:t>
      </w:r>
      <w:r w:rsidR="0059618D" w:rsidRPr="00BC2BC4">
        <w:rPr>
          <w:kern w:val="2"/>
          <w:sz w:val="20"/>
          <w:vertAlign w:val="superscript"/>
        </w:rPr>
        <w:footnoteReference w:id="27"/>
      </w:r>
      <w:r w:rsidRPr="00BC2BC4">
        <w:rPr>
          <w:kern w:val="2"/>
          <w:sz w:val="20"/>
        </w:rPr>
        <w:t xml:space="preserve"> Influence peddling </w:t>
      </w:r>
      <w:r w:rsidR="0020472E" w:rsidRPr="00BC2BC4">
        <w:rPr>
          <w:kern w:val="2"/>
          <w:sz w:val="20"/>
        </w:rPr>
        <w:t>was found to be</w:t>
      </w:r>
      <w:r w:rsidRPr="00BC2BC4">
        <w:rPr>
          <w:kern w:val="2"/>
          <w:sz w:val="20"/>
        </w:rPr>
        <w:t xml:space="preserve"> a serious issue in Quebec’s construction sector and organized crime had infiltrated the industry. As Justice Charbonneau writes in the preamble to the full report, “</w:t>
      </w:r>
      <w:r w:rsidR="00604A65" w:rsidRPr="00BC2BC4">
        <w:rPr>
          <w:kern w:val="2"/>
          <w:sz w:val="20"/>
        </w:rPr>
        <w:t>[t]</w:t>
      </w:r>
      <w:r w:rsidRPr="00BC2BC4">
        <w:rPr>
          <w:kern w:val="2"/>
          <w:sz w:val="20"/>
        </w:rPr>
        <w:t>his inquiry confirmed that there is a real problem in Quebec, one that was more extensive and ingrained than we could have thought</w:t>
      </w:r>
      <w:r w:rsidR="00AE44F1" w:rsidRPr="00BC2BC4">
        <w:rPr>
          <w:kern w:val="2"/>
          <w:sz w:val="20"/>
        </w:rPr>
        <w:t>.</w:t>
      </w:r>
      <w:r w:rsidRPr="00BC2BC4">
        <w:rPr>
          <w:kern w:val="2"/>
          <w:sz w:val="20"/>
        </w:rPr>
        <w:t>”</w:t>
      </w:r>
      <w:r w:rsidRPr="00BC2BC4">
        <w:rPr>
          <w:kern w:val="2"/>
          <w:sz w:val="20"/>
          <w:vertAlign w:val="superscript"/>
        </w:rPr>
        <w:footnoteReference w:id="28"/>
      </w:r>
    </w:p>
    <w:p w14:paraId="5CEA1F3E" w14:textId="37201F0E" w:rsidR="00FC33E3" w:rsidRPr="00BC2BC4" w:rsidRDefault="00280DCF">
      <w:pPr>
        <w:rPr>
          <w:rFonts w:cs="Times New Roman"/>
          <w:kern w:val="2"/>
          <w:sz w:val="20"/>
        </w:rPr>
      </w:pPr>
      <w:r w:rsidRPr="00BC2BC4">
        <w:rPr>
          <w:rFonts w:cs="Times New Roman"/>
          <w:kern w:val="2"/>
          <w:sz w:val="20"/>
        </w:rPr>
        <w:t>While Quebec has faced significant corruption issues,</w:t>
      </w:r>
      <w:r w:rsidR="00FC33E3" w:rsidRPr="00BC2BC4">
        <w:rPr>
          <w:rFonts w:cs="Times New Roman"/>
          <w:kern w:val="2"/>
          <w:sz w:val="20"/>
        </w:rPr>
        <w:t xml:space="preserve"> </w:t>
      </w:r>
      <w:r w:rsidR="005026AF" w:rsidRPr="00BC2BC4">
        <w:rPr>
          <w:rFonts w:cs="Times New Roman"/>
          <w:kern w:val="2"/>
          <w:sz w:val="20"/>
        </w:rPr>
        <w:t xml:space="preserve">journalist </w:t>
      </w:r>
      <w:r w:rsidR="00FC33E3" w:rsidRPr="00BC2BC4">
        <w:rPr>
          <w:rFonts w:cs="Times New Roman"/>
          <w:kern w:val="2"/>
          <w:sz w:val="20"/>
        </w:rPr>
        <w:t xml:space="preserve">McKenna </w:t>
      </w:r>
      <w:r w:rsidR="003937CA" w:rsidRPr="00BC2BC4">
        <w:rPr>
          <w:rFonts w:cs="Times New Roman"/>
          <w:kern w:val="2"/>
          <w:sz w:val="20"/>
        </w:rPr>
        <w:t>suggests</w:t>
      </w:r>
      <w:r w:rsidR="00FC33E3" w:rsidRPr="00BC2BC4">
        <w:rPr>
          <w:rFonts w:cs="Times New Roman"/>
          <w:kern w:val="2"/>
          <w:sz w:val="20"/>
        </w:rPr>
        <w:t xml:space="preserve"> that </w:t>
      </w:r>
      <w:r w:rsidR="0074585D" w:rsidRPr="00BC2BC4">
        <w:rPr>
          <w:rFonts w:cs="Times New Roman"/>
          <w:kern w:val="2"/>
          <w:sz w:val="20"/>
        </w:rPr>
        <w:t xml:space="preserve">it </w:t>
      </w:r>
      <w:r w:rsidR="00FC33E3" w:rsidRPr="00BC2BC4">
        <w:rPr>
          <w:rFonts w:cs="Times New Roman"/>
          <w:kern w:val="2"/>
          <w:sz w:val="20"/>
        </w:rPr>
        <w:t xml:space="preserve">is not the only Canadian province </w:t>
      </w:r>
      <w:r w:rsidR="003937CA" w:rsidRPr="00BC2BC4">
        <w:rPr>
          <w:rFonts w:cs="Times New Roman"/>
          <w:kern w:val="2"/>
          <w:sz w:val="20"/>
        </w:rPr>
        <w:t xml:space="preserve">affected by </w:t>
      </w:r>
      <w:r w:rsidR="00FE1CD7" w:rsidRPr="00BC2BC4">
        <w:rPr>
          <w:rFonts w:cs="Times New Roman"/>
          <w:kern w:val="2"/>
          <w:sz w:val="20"/>
        </w:rPr>
        <w:t>ongoing corruption</w:t>
      </w:r>
      <w:r w:rsidR="00C60E4E" w:rsidRPr="00BC2BC4">
        <w:rPr>
          <w:rFonts w:cs="Times New Roman"/>
          <w:kern w:val="2"/>
          <w:sz w:val="20"/>
        </w:rPr>
        <w:t xml:space="preserve"> scandals involving the Montreal construction sector and Montreal-based SNC-Lavalin</w:t>
      </w:r>
      <w:r w:rsidR="00FE1CD7" w:rsidRPr="00BC2BC4">
        <w:rPr>
          <w:rFonts w:cs="Times New Roman"/>
          <w:kern w:val="2"/>
          <w:sz w:val="20"/>
        </w:rPr>
        <w:t>.</w:t>
      </w:r>
      <w:r w:rsidR="00FC7E00" w:rsidRPr="00BC2BC4">
        <w:rPr>
          <w:rStyle w:val="FootnoteReference"/>
          <w:rFonts w:cs="Times New Roman"/>
          <w:kern w:val="2"/>
          <w:sz w:val="20"/>
        </w:rPr>
        <w:footnoteReference w:id="29"/>
      </w:r>
      <w:r w:rsidR="00FE1CD7" w:rsidRPr="00BC2BC4">
        <w:rPr>
          <w:rFonts w:cs="Times New Roman"/>
          <w:kern w:val="2"/>
          <w:sz w:val="20"/>
        </w:rPr>
        <w:t xml:space="preserve"> He</w:t>
      </w:r>
      <w:r w:rsidR="003937CA" w:rsidRPr="00BC2BC4">
        <w:rPr>
          <w:rFonts w:cs="Times New Roman"/>
          <w:kern w:val="2"/>
          <w:sz w:val="20"/>
        </w:rPr>
        <w:t xml:space="preserve"> provides three reasons </w:t>
      </w:r>
      <w:r w:rsidR="00622564" w:rsidRPr="00BC2BC4">
        <w:rPr>
          <w:rFonts w:cs="Times New Roman"/>
          <w:kern w:val="2"/>
          <w:sz w:val="20"/>
        </w:rPr>
        <w:t>for th</w:t>
      </w:r>
      <w:r w:rsidR="00135A76" w:rsidRPr="00BC2BC4">
        <w:rPr>
          <w:rFonts w:cs="Times New Roman"/>
          <w:kern w:val="2"/>
          <w:sz w:val="20"/>
        </w:rPr>
        <w:t>is</w:t>
      </w:r>
      <w:r w:rsidR="00622564" w:rsidRPr="00BC2BC4">
        <w:rPr>
          <w:rFonts w:cs="Times New Roman"/>
          <w:kern w:val="2"/>
          <w:sz w:val="20"/>
        </w:rPr>
        <w:t xml:space="preserve"> assertion</w:t>
      </w:r>
      <w:r w:rsidR="003937CA" w:rsidRPr="00BC2BC4">
        <w:rPr>
          <w:rFonts w:cs="Times New Roman"/>
          <w:kern w:val="2"/>
          <w:sz w:val="20"/>
        </w:rPr>
        <w:t>: (1) federal tax money</w:t>
      </w:r>
      <w:r w:rsidR="00C60E4E" w:rsidRPr="00BC2BC4">
        <w:rPr>
          <w:rFonts w:cs="Times New Roman"/>
          <w:kern w:val="2"/>
          <w:sz w:val="20"/>
        </w:rPr>
        <w:t xml:space="preserve"> i</w:t>
      </w:r>
      <w:r w:rsidR="00A03CBD" w:rsidRPr="00BC2BC4">
        <w:rPr>
          <w:rFonts w:cs="Times New Roman"/>
          <w:kern w:val="2"/>
          <w:sz w:val="20"/>
        </w:rPr>
        <w:t>s wasted, (2) the negative reputation of a Canadian company engag</w:t>
      </w:r>
      <w:r w:rsidR="002611DD" w:rsidRPr="00BC2BC4">
        <w:rPr>
          <w:rFonts w:cs="Times New Roman"/>
          <w:kern w:val="2"/>
          <w:sz w:val="20"/>
        </w:rPr>
        <w:t>ing</w:t>
      </w:r>
      <w:r w:rsidR="00A03CBD" w:rsidRPr="00BC2BC4">
        <w:rPr>
          <w:rFonts w:cs="Times New Roman"/>
          <w:kern w:val="2"/>
          <w:sz w:val="20"/>
        </w:rPr>
        <w:t xml:space="preserve"> in international business affects all Canadian companies, and (3) corruption spreads and is not necessarily stopped by provincial borders.</w:t>
      </w:r>
      <w:r w:rsidR="00A03CBD" w:rsidRPr="00BC2BC4">
        <w:rPr>
          <w:rStyle w:val="FootnoteReference"/>
          <w:rFonts w:cs="Times New Roman"/>
          <w:kern w:val="2"/>
          <w:sz w:val="20"/>
        </w:rPr>
        <w:footnoteReference w:id="30"/>
      </w:r>
      <w:r w:rsidR="00A03CBD" w:rsidRPr="00BC2BC4">
        <w:rPr>
          <w:rFonts w:cs="Times New Roman"/>
          <w:kern w:val="2"/>
          <w:sz w:val="20"/>
        </w:rPr>
        <w:t xml:space="preserve"> </w:t>
      </w:r>
      <w:r w:rsidR="00FC33E3" w:rsidRPr="00BC2BC4">
        <w:rPr>
          <w:rFonts w:cs="Times New Roman"/>
          <w:kern w:val="2"/>
          <w:sz w:val="20"/>
        </w:rPr>
        <w:t>He claims</w:t>
      </w:r>
      <w:r w:rsidR="007F3AD4" w:rsidRPr="00BC2BC4">
        <w:rPr>
          <w:rFonts w:cs="Times New Roman"/>
          <w:kern w:val="2"/>
          <w:sz w:val="20"/>
        </w:rPr>
        <w:t>,</w:t>
      </w:r>
      <w:r w:rsidR="00FE1CD7" w:rsidRPr="00BC2BC4">
        <w:rPr>
          <w:rFonts w:cs="Times New Roman"/>
          <w:kern w:val="2"/>
          <w:sz w:val="20"/>
        </w:rPr>
        <w:t xml:space="preserve"> </w:t>
      </w:r>
      <w:r w:rsidR="00FC33E3" w:rsidRPr="00BC2BC4">
        <w:rPr>
          <w:rFonts w:cs="Times New Roman"/>
          <w:kern w:val="2"/>
          <w:sz w:val="20"/>
        </w:rPr>
        <w:t>“</w:t>
      </w:r>
      <w:r w:rsidR="00FE1CD7" w:rsidRPr="00BC2BC4">
        <w:rPr>
          <w:rFonts w:cs="Times New Roman"/>
          <w:kern w:val="2"/>
          <w:sz w:val="20"/>
        </w:rPr>
        <w:t>[i]</w:t>
      </w:r>
      <w:r w:rsidR="00FC33E3" w:rsidRPr="00BC2BC4">
        <w:rPr>
          <w:rFonts w:cs="Times New Roman"/>
          <w:kern w:val="2"/>
          <w:sz w:val="20"/>
        </w:rPr>
        <w:t>t defies logic that corruption would be a way of life in one province and virtually absent in the rest of the country.”</w:t>
      </w:r>
      <w:r w:rsidR="003937CA" w:rsidRPr="00BC2BC4">
        <w:rPr>
          <w:rStyle w:val="FootnoteReference"/>
          <w:rFonts w:cs="Times New Roman"/>
          <w:kern w:val="2"/>
          <w:sz w:val="20"/>
        </w:rPr>
        <w:footnoteReference w:id="31"/>
      </w:r>
      <w:r w:rsidR="003937CA" w:rsidRPr="00BC2BC4">
        <w:rPr>
          <w:rFonts w:cs="Times New Roman"/>
          <w:kern w:val="2"/>
          <w:sz w:val="20"/>
        </w:rPr>
        <w:t xml:space="preserve"> </w:t>
      </w:r>
    </w:p>
    <w:p w14:paraId="1CBD73A7" w14:textId="77777777" w:rsidR="00067A12" w:rsidRPr="00BC2BC4" w:rsidRDefault="00F359EA" w:rsidP="003F14E9">
      <w:pPr>
        <w:rPr>
          <w:rFonts w:cs="Times New Roman"/>
          <w:kern w:val="2"/>
          <w:sz w:val="20"/>
        </w:rPr>
      </w:pPr>
      <w:r w:rsidRPr="00BC2BC4">
        <w:rPr>
          <w:rFonts w:cs="Times New Roman"/>
          <w:kern w:val="2"/>
          <w:sz w:val="20"/>
        </w:rPr>
        <w:t>Th</w:t>
      </w:r>
      <w:r w:rsidR="00C60E4E" w:rsidRPr="00BC2BC4">
        <w:rPr>
          <w:rFonts w:cs="Times New Roman"/>
          <w:kern w:val="2"/>
          <w:sz w:val="20"/>
        </w:rPr>
        <w:t>ese examples demonstrate that</w:t>
      </w:r>
      <w:r w:rsidRPr="00BC2BC4">
        <w:rPr>
          <w:rFonts w:cs="Times New Roman"/>
          <w:kern w:val="2"/>
          <w:sz w:val="20"/>
        </w:rPr>
        <w:t xml:space="preserve"> </w:t>
      </w:r>
      <w:r w:rsidR="00C60E4E" w:rsidRPr="00BC2BC4">
        <w:rPr>
          <w:rFonts w:cs="Times New Roman"/>
          <w:kern w:val="2"/>
          <w:sz w:val="20"/>
        </w:rPr>
        <w:t>all countries, whether</w:t>
      </w:r>
      <w:r w:rsidRPr="00BC2BC4">
        <w:rPr>
          <w:rFonts w:cs="Times New Roman"/>
          <w:kern w:val="2"/>
          <w:sz w:val="20"/>
        </w:rPr>
        <w:t xml:space="preserve"> d</w:t>
      </w:r>
      <w:r w:rsidR="00067A12" w:rsidRPr="00BC2BC4">
        <w:rPr>
          <w:rFonts w:cs="Times New Roman"/>
          <w:kern w:val="2"/>
          <w:sz w:val="20"/>
        </w:rPr>
        <w:t xml:space="preserve">eveloped </w:t>
      </w:r>
      <w:r w:rsidR="00C60E4E" w:rsidRPr="00BC2BC4">
        <w:rPr>
          <w:rFonts w:cs="Times New Roman"/>
          <w:kern w:val="2"/>
          <w:sz w:val="20"/>
        </w:rPr>
        <w:t>or</w:t>
      </w:r>
      <w:r w:rsidRPr="00BC2BC4">
        <w:rPr>
          <w:rFonts w:cs="Times New Roman"/>
          <w:kern w:val="2"/>
          <w:sz w:val="20"/>
        </w:rPr>
        <w:t xml:space="preserve"> developing</w:t>
      </w:r>
      <w:r w:rsidR="00C60E4E" w:rsidRPr="00BC2BC4">
        <w:rPr>
          <w:rFonts w:cs="Times New Roman"/>
          <w:kern w:val="2"/>
          <w:sz w:val="20"/>
        </w:rPr>
        <w:t xml:space="preserve">, </w:t>
      </w:r>
      <w:r w:rsidR="00067A12" w:rsidRPr="00BC2BC4">
        <w:rPr>
          <w:rFonts w:cs="Times New Roman"/>
          <w:kern w:val="2"/>
          <w:sz w:val="20"/>
        </w:rPr>
        <w:t xml:space="preserve">need </w:t>
      </w:r>
      <w:r w:rsidR="00DF6F65" w:rsidRPr="00BC2BC4">
        <w:rPr>
          <w:rFonts w:cs="Times New Roman"/>
          <w:kern w:val="2"/>
          <w:sz w:val="20"/>
        </w:rPr>
        <w:t>effective</w:t>
      </w:r>
      <w:r w:rsidR="00067A12" w:rsidRPr="00BC2BC4">
        <w:rPr>
          <w:rFonts w:cs="Times New Roman"/>
          <w:kern w:val="2"/>
          <w:sz w:val="20"/>
        </w:rPr>
        <w:t xml:space="preserve"> procedures and laws in place </w:t>
      </w:r>
      <w:r w:rsidRPr="00BC2BC4">
        <w:rPr>
          <w:rFonts w:cs="Times New Roman"/>
          <w:kern w:val="2"/>
          <w:sz w:val="20"/>
        </w:rPr>
        <w:t xml:space="preserve">to </w:t>
      </w:r>
      <w:r w:rsidR="00067A12" w:rsidRPr="00BC2BC4">
        <w:rPr>
          <w:rFonts w:cs="Times New Roman"/>
          <w:kern w:val="2"/>
          <w:sz w:val="20"/>
        </w:rPr>
        <w:t xml:space="preserve">reduce the opportunity for </w:t>
      </w:r>
      <w:r w:rsidRPr="00BC2BC4">
        <w:rPr>
          <w:rFonts w:cs="Times New Roman"/>
          <w:kern w:val="2"/>
          <w:sz w:val="20"/>
        </w:rPr>
        <w:t>corruption in public procurement</w:t>
      </w:r>
      <w:r w:rsidR="00067A12" w:rsidRPr="00BC2BC4">
        <w:rPr>
          <w:rFonts w:cs="Times New Roman"/>
          <w:kern w:val="2"/>
          <w:sz w:val="20"/>
        </w:rPr>
        <w:t xml:space="preserve">. </w:t>
      </w:r>
    </w:p>
    <w:p w14:paraId="2B0A9740" w14:textId="77777777" w:rsidR="00FA0501" w:rsidRPr="00BC2BC4" w:rsidRDefault="00FA0501" w:rsidP="00BE42DB">
      <w:pPr>
        <w:pStyle w:val="Heading2"/>
        <w:rPr>
          <w:kern w:val="2"/>
          <w:sz w:val="24"/>
        </w:rPr>
      </w:pPr>
      <w:r w:rsidRPr="00BC2BC4">
        <w:rPr>
          <w:kern w:val="2"/>
          <w:sz w:val="24"/>
        </w:rPr>
        <w:t>The Importance of Maintaining a Low-Risk Environment</w:t>
      </w:r>
    </w:p>
    <w:p w14:paraId="092B49AD" w14:textId="5E943CB5" w:rsidR="00597136" w:rsidRPr="00BC2BC4" w:rsidRDefault="00C60E4E" w:rsidP="00D74BCE">
      <w:pPr>
        <w:rPr>
          <w:kern w:val="2"/>
          <w:sz w:val="20"/>
        </w:rPr>
      </w:pPr>
      <w:r w:rsidRPr="00BC2BC4">
        <w:rPr>
          <w:kern w:val="2"/>
          <w:sz w:val="20"/>
        </w:rPr>
        <w:t>Anti</w:t>
      </w:r>
      <w:r w:rsidR="00280DCF" w:rsidRPr="00BC2BC4">
        <w:rPr>
          <w:kern w:val="2"/>
          <w:sz w:val="20"/>
        </w:rPr>
        <w:t>-</w:t>
      </w:r>
      <w:r w:rsidR="00F359EA" w:rsidRPr="00BC2BC4">
        <w:rPr>
          <w:kern w:val="2"/>
          <w:sz w:val="20"/>
        </w:rPr>
        <w:t>corruption scholars and practitioners</w:t>
      </w:r>
      <w:r w:rsidRPr="00BC2BC4">
        <w:rPr>
          <w:kern w:val="2"/>
          <w:sz w:val="20"/>
        </w:rPr>
        <w:t xml:space="preserve"> agree</w:t>
      </w:r>
      <w:r w:rsidR="00F359EA" w:rsidRPr="00BC2BC4">
        <w:rPr>
          <w:kern w:val="2"/>
          <w:sz w:val="20"/>
        </w:rPr>
        <w:t xml:space="preserve"> </w:t>
      </w:r>
      <w:r w:rsidR="00DB2B41" w:rsidRPr="00BC2BC4">
        <w:rPr>
          <w:kern w:val="2"/>
          <w:sz w:val="20"/>
        </w:rPr>
        <w:t xml:space="preserve">that </w:t>
      </w:r>
      <w:r w:rsidRPr="00BC2BC4">
        <w:rPr>
          <w:kern w:val="2"/>
          <w:sz w:val="20"/>
        </w:rPr>
        <w:t xml:space="preserve">increased </w:t>
      </w:r>
      <w:r w:rsidR="00DB2B41" w:rsidRPr="00BC2BC4">
        <w:rPr>
          <w:kern w:val="2"/>
          <w:sz w:val="20"/>
        </w:rPr>
        <w:t>opportunit</w:t>
      </w:r>
      <w:r w:rsidRPr="00BC2BC4">
        <w:rPr>
          <w:kern w:val="2"/>
          <w:sz w:val="20"/>
        </w:rPr>
        <w:t>ies</w:t>
      </w:r>
      <w:r w:rsidR="00DB2B41" w:rsidRPr="00BC2BC4">
        <w:rPr>
          <w:kern w:val="2"/>
          <w:sz w:val="20"/>
        </w:rPr>
        <w:t xml:space="preserve"> for corruption ha</w:t>
      </w:r>
      <w:r w:rsidRPr="00BC2BC4">
        <w:rPr>
          <w:kern w:val="2"/>
          <w:sz w:val="20"/>
        </w:rPr>
        <w:t>ve</w:t>
      </w:r>
      <w:r w:rsidR="00DB2B41" w:rsidRPr="00BC2BC4">
        <w:rPr>
          <w:kern w:val="2"/>
          <w:sz w:val="20"/>
        </w:rPr>
        <w:t xml:space="preserve"> a positive relationship with</w:t>
      </w:r>
      <w:r w:rsidR="00F359EA" w:rsidRPr="00BC2BC4">
        <w:rPr>
          <w:kern w:val="2"/>
          <w:sz w:val="20"/>
        </w:rPr>
        <w:t xml:space="preserve"> actual</w:t>
      </w:r>
      <w:r w:rsidR="00DB2B41" w:rsidRPr="00BC2BC4">
        <w:rPr>
          <w:kern w:val="2"/>
          <w:sz w:val="20"/>
        </w:rPr>
        <w:t xml:space="preserve"> incidences of corruption. It is therefore crucial to maintain a low-risk environment. The lack of accountability enabled by a loose regulatory framework produces opportunities for corr</w:t>
      </w:r>
      <w:r w:rsidR="00F359EA" w:rsidRPr="00BC2BC4">
        <w:rPr>
          <w:kern w:val="2"/>
          <w:sz w:val="20"/>
        </w:rPr>
        <w:t xml:space="preserve">uption. The World Bank explains </w:t>
      </w:r>
      <w:r w:rsidR="009601F0" w:rsidRPr="00BC2BC4">
        <w:rPr>
          <w:kern w:val="2"/>
          <w:sz w:val="20"/>
        </w:rPr>
        <w:t xml:space="preserve">the connection between accountability and decreased corruption risk </w:t>
      </w:r>
      <w:r w:rsidR="00F359EA" w:rsidRPr="00BC2BC4">
        <w:rPr>
          <w:kern w:val="2"/>
          <w:sz w:val="20"/>
        </w:rPr>
        <w:t>as follows:</w:t>
      </w:r>
    </w:p>
    <w:p w14:paraId="06E9C9AA" w14:textId="45CE2BFB" w:rsidR="00FA0501" w:rsidRPr="00BC2BC4" w:rsidRDefault="00DB2B41" w:rsidP="00BE42DB">
      <w:pPr>
        <w:pStyle w:val="BlockQuote"/>
        <w:rPr>
          <w:kern w:val="2"/>
          <w:sz w:val="20"/>
        </w:rPr>
      </w:pPr>
      <w:r w:rsidRPr="00BC2BC4">
        <w:rPr>
          <w:kern w:val="2"/>
          <w:sz w:val="20"/>
        </w:rPr>
        <w:t xml:space="preserve">Accountability </w:t>
      </w:r>
      <w:r w:rsidR="00215CFF" w:rsidRPr="00BC2BC4">
        <w:rPr>
          <w:kern w:val="2"/>
          <w:sz w:val="20"/>
        </w:rPr>
        <w:t xml:space="preserve">… </w:t>
      </w:r>
      <w:r w:rsidRPr="00BC2BC4">
        <w:rPr>
          <w:kern w:val="2"/>
          <w:sz w:val="20"/>
        </w:rPr>
        <w:t>is the degree to which local governments have to explain or justify what they have done or failed to do.</w:t>
      </w:r>
      <w:r w:rsidR="00215CFF" w:rsidRPr="00BC2BC4">
        <w:rPr>
          <w:kern w:val="2"/>
          <w:sz w:val="20"/>
        </w:rPr>
        <w:t>…</w:t>
      </w:r>
      <w:r w:rsidRPr="00BC2BC4">
        <w:rPr>
          <w:kern w:val="2"/>
          <w:sz w:val="20"/>
        </w:rPr>
        <w:t xml:space="preserve"> </w:t>
      </w:r>
      <w:r w:rsidR="00215CFF" w:rsidRPr="00BC2BC4">
        <w:rPr>
          <w:kern w:val="2"/>
          <w:sz w:val="20"/>
        </w:rPr>
        <w:t xml:space="preserve">Accountability </w:t>
      </w:r>
      <w:r w:rsidRPr="00BC2BC4">
        <w:rPr>
          <w:kern w:val="2"/>
          <w:sz w:val="20"/>
        </w:rPr>
        <w:t xml:space="preserve">can be seen as the validation of participation, </w:t>
      </w:r>
      <w:r w:rsidR="00215CFF" w:rsidRPr="00BC2BC4">
        <w:rPr>
          <w:kern w:val="2"/>
          <w:sz w:val="20"/>
        </w:rPr>
        <w:t xml:space="preserve">in that the test of whether attempts to increase participation prove successful is the extent </w:t>
      </w:r>
      <w:r w:rsidRPr="00BC2BC4">
        <w:rPr>
          <w:kern w:val="2"/>
          <w:sz w:val="20"/>
        </w:rPr>
        <w:t xml:space="preserve">to which [the public] can </w:t>
      </w:r>
      <w:r w:rsidR="00215CFF" w:rsidRPr="00BC2BC4">
        <w:rPr>
          <w:kern w:val="2"/>
          <w:sz w:val="20"/>
        </w:rPr>
        <w:t xml:space="preserve">use participation to </w:t>
      </w:r>
      <w:r w:rsidRPr="00BC2BC4">
        <w:rPr>
          <w:kern w:val="2"/>
          <w:sz w:val="20"/>
        </w:rPr>
        <w:t>hold a local government responsible for its actions</w:t>
      </w:r>
      <w:r w:rsidR="00AD4259" w:rsidRPr="00BC2BC4">
        <w:rPr>
          <w:kern w:val="2"/>
          <w:sz w:val="20"/>
        </w:rPr>
        <w:t xml:space="preserve"> </w:t>
      </w:r>
      <w:r w:rsidRPr="00BC2BC4">
        <w:rPr>
          <w:kern w:val="2"/>
          <w:sz w:val="20"/>
        </w:rPr>
        <w:t>…</w:t>
      </w:r>
      <w:r w:rsidR="00B00A33" w:rsidRPr="00BC2BC4">
        <w:rPr>
          <w:kern w:val="2"/>
          <w:sz w:val="20"/>
        </w:rPr>
        <w:t>.</w:t>
      </w:r>
      <w:r w:rsidRPr="00BC2BC4">
        <w:rPr>
          <w:kern w:val="2"/>
          <w:sz w:val="20"/>
        </w:rPr>
        <w:t xml:space="preserve"> In theory,</w:t>
      </w:r>
      <w:r w:rsidR="00FC7E00" w:rsidRPr="00BC2BC4">
        <w:rPr>
          <w:kern w:val="2"/>
          <w:sz w:val="20"/>
        </w:rPr>
        <w:t xml:space="preserve"> </w:t>
      </w:r>
      <w:r w:rsidR="00215CFF" w:rsidRPr="00BC2BC4">
        <w:rPr>
          <w:kern w:val="2"/>
          <w:sz w:val="20"/>
        </w:rPr>
        <w:t xml:space="preserve">… more </w:t>
      </w:r>
      <w:r w:rsidRPr="00BC2BC4">
        <w:rPr>
          <w:kern w:val="2"/>
          <w:sz w:val="20"/>
        </w:rPr>
        <w:t>transparency in local governance should mean less scope for corruption, in that dishonest behavior would become more easily detectable, punished and discouraged in the future.</w:t>
      </w:r>
      <w:r w:rsidR="000F6028" w:rsidRPr="00BC2BC4">
        <w:rPr>
          <w:rStyle w:val="FootnoteReference"/>
          <w:kern w:val="2"/>
          <w:sz w:val="20"/>
          <w:szCs w:val="21"/>
        </w:rPr>
        <w:footnoteReference w:id="32"/>
      </w:r>
      <w:r w:rsidRPr="00BC2BC4">
        <w:rPr>
          <w:kern w:val="2"/>
          <w:sz w:val="20"/>
        </w:rPr>
        <w:t xml:space="preserve"> </w:t>
      </w:r>
    </w:p>
    <w:p w14:paraId="5087030D" w14:textId="2D42C90A" w:rsidR="000E52AB" w:rsidRPr="00BC2BC4" w:rsidRDefault="00567AC0" w:rsidP="00ED3317">
      <w:pPr>
        <w:pStyle w:val="Heading1"/>
        <w:rPr>
          <w:sz w:val="28"/>
        </w:rPr>
      </w:pPr>
      <w:bookmarkStart w:id="7" w:name="_Toc424485014"/>
      <w:bookmarkStart w:id="8" w:name="_Toc502666010"/>
      <w:r w:rsidRPr="00BC2BC4">
        <w:rPr>
          <w:sz w:val="28"/>
        </w:rPr>
        <w:t xml:space="preserve">Risks and </w:t>
      </w:r>
      <w:r w:rsidR="007E02CF" w:rsidRPr="00BC2BC4">
        <w:rPr>
          <w:sz w:val="28"/>
        </w:rPr>
        <w:t>Stage</w:t>
      </w:r>
      <w:r w:rsidRPr="00BC2BC4">
        <w:rPr>
          <w:sz w:val="28"/>
        </w:rPr>
        <w:t xml:space="preserve">s of </w:t>
      </w:r>
      <w:r w:rsidR="000E52AB" w:rsidRPr="00BC2BC4">
        <w:rPr>
          <w:sz w:val="28"/>
        </w:rPr>
        <w:t>Corruption in Public Procurement</w:t>
      </w:r>
      <w:bookmarkEnd w:id="7"/>
      <w:bookmarkEnd w:id="8"/>
      <w:r w:rsidR="000E52AB" w:rsidRPr="00BC2BC4">
        <w:rPr>
          <w:sz w:val="28"/>
        </w:rPr>
        <w:t xml:space="preserve"> </w:t>
      </w:r>
    </w:p>
    <w:p w14:paraId="49ABF2D3" w14:textId="34068600" w:rsidR="007E02CF" w:rsidRPr="00BC2BC4" w:rsidRDefault="007E02CF" w:rsidP="00BE42DB">
      <w:pPr>
        <w:pStyle w:val="Heading2"/>
        <w:rPr>
          <w:kern w:val="2"/>
          <w:sz w:val="24"/>
        </w:rPr>
      </w:pPr>
      <w:r w:rsidRPr="00BC2BC4">
        <w:rPr>
          <w:kern w:val="2"/>
          <w:sz w:val="24"/>
        </w:rPr>
        <w:t>Risk of Corruption by Industry and Sector</w:t>
      </w:r>
    </w:p>
    <w:p w14:paraId="648F614A" w14:textId="664F28BD" w:rsidR="000E52AB" w:rsidRPr="00BC2BC4" w:rsidRDefault="00567AC0" w:rsidP="006B0E35">
      <w:pPr>
        <w:spacing w:line="23" w:lineRule="atLeast"/>
        <w:rPr>
          <w:kern w:val="2"/>
          <w:sz w:val="20"/>
        </w:rPr>
      </w:pPr>
      <w:r w:rsidRPr="00BC2BC4">
        <w:rPr>
          <w:kern w:val="2"/>
          <w:sz w:val="20"/>
        </w:rPr>
        <w:t>Transparency International</w:t>
      </w:r>
      <w:r w:rsidR="000E52AB" w:rsidRPr="00BC2BC4">
        <w:rPr>
          <w:kern w:val="2"/>
          <w:sz w:val="20"/>
        </w:rPr>
        <w:t>’s</w:t>
      </w:r>
      <w:r w:rsidRPr="00BC2BC4">
        <w:rPr>
          <w:kern w:val="2"/>
          <w:sz w:val="20"/>
        </w:rPr>
        <w:t xml:space="preserve"> </w:t>
      </w:r>
      <w:r w:rsidR="000E52AB" w:rsidRPr="00BC2BC4">
        <w:rPr>
          <w:kern w:val="2"/>
          <w:sz w:val="20"/>
        </w:rPr>
        <w:t>Bribe Payer’s Index</w:t>
      </w:r>
      <w:r w:rsidR="005F2A2F" w:rsidRPr="00BC2BC4">
        <w:rPr>
          <w:kern w:val="2"/>
          <w:sz w:val="20"/>
        </w:rPr>
        <w:t xml:space="preserve"> (2011)</w:t>
      </w:r>
      <w:r w:rsidR="000E52AB" w:rsidRPr="00BC2BC4">
        <w:rPr>
          <w:kern w:val="2"/>
          <w:sz w:val="20"/>
        </w:rPr>
        <w:t xml:space="preserve"> ranked 19 industries fo</w:t>
      </w:r>
      <w:r w:rsidR="00D84106" w:rsidRPr="00BC2BC4">
        <w:rPr>
          <w:kern w:val="2"/>
          <w:sz w:val="20"/>
        </w:rPr>
        <w:t>r prevalence of foreign bribery. The p</w:t>
      </w:r>
      <w:r w:rsidR="000E52AB" w:rsidRPr="00BC2BC4">
        <w:rPr>
          <w:kern w:val="2"/>
          <w:sz w:val="20"/>
        </w:rPr>
        <w:t xml:space="preserve">ublic works </w:t>
      </w:r>
      <w:r w:rsidR="00D84106" w:rsidRPr="00BC2BC4">
        <w:rPr>
          <w:kern w:val="2"/>
          <w:sz w:val="20"/>
        </w:rPr>
        <w:t>and construction sector scored lowest</w:t>
      </w:r>
      <w:r w:rsidR="000E52AB" w:rsidRPr="00BC2BC4">
        <w:rPr>
          <w:kern w:val="2"/>
          <w:sz w:val="20"/>
        </w:rPr>
        <w:t xml:space="preserve">, </w:t>
      </w:r>
      <w:r w:rsidR="00D84106" w:rsidRPr="00BC2BC4">
        <w:rPr>
          <w:kern w:val="2"/>
          <w:sz w:val="20"/>
        </w:rPr>
        <w:t xml:space="preserve">making it the industry sector </w:t>
      </w:r>
      <w:r w:rsidR="000E52AB" w:rsidRPr="00BC2BC4">
        <w:rPr>
          <w:kern w:val="2"/>
          <w:sz w:val="20"/>
        </w:rPr>
        <w:t>most vulnerable to bribery.</w:t>
      </w:r>
      <w:r w:rsidR="000E52AB" w:rsidRPr="00BC2BC4">
        <w:rPr>
          <w:rStyle w:val="FootnoteReference"/>
          <w:kern w:val="2"/>
          <w:sz w:val="20"/>
        </w:rPr>
        <w:footnoteReference w:id="33"/>
      </w:r>
      <w:r w:rsidR="000E52AB" w:rsidRPr="00BC2BC4">
        <w:rPr>
          <w:kern w:val="2"/>
          <w:sz w:val="20"/>
        </w:rPr>
        <w:t xml:space="preserve"> </w:t>
      </w:r>
      <w:r w:rsidRPr="00BC2BC4">
        <w:rPr>
          <w:kern w:val="2"/>
          <w:sz w:val="20"/>
        </w:rPr>
        <w:t xml:space="preserve">The list below ranks the industries and business sectors </w:t>
      </w:r>
      <w:r w:rsidR="000E52AB" w:rsidRPr="00BC2BC4">
        <w:rPr>
          <w:kern w:val="2"/>
          <w:sz w:val="20"/>
        </w:rPr>
        <w:t>from highest prevalence of foreign bribery to lowest prevalence of foreign bribery:</w:t>
      </w:r>
    </w:p>
    <w:p w14:paraId="6B944F83" w14:textId="77777777" w:rsidR="000E52AB" w:rsidRPr="00BC2BC4" w:rsidRDefault="000E52AB" w:rsidP="00A75BC0">
      <w:pPr>
        <w:pStyle w:val="ListParagraph"/>
        <w:numPr>
          <w:ilvl w:val="0"/>
          <w:numId w:val="12"/>
        </w:numPr>
        <w:rPr>
          <w:kern w:val="2"/>
          <w:sz w:val="20"/>
        </w:rPr>
      </w:pPr>
      <w:r w:rsidRPr="00BC2BC4">
        <w:rPr>
          <w:kern w:val="2"/>
          <w:sz w:val="20"/>
        </w:rPr>
        <w:t xml:space="preserve">Public </w:t>
      </w:r>
      <w:r w:rsidR="00567AC0" w:rsidRPr="00BC2BC4">
        <w:rPr>
          <w:kern w:val="2"/>
          <w:sz w:val="20"/>
        </w:rPr>
        <w:t>works contracts and c</w:t>
      </w:r>
      <w:r w:rsidRPr="00BC2BC4">
        <w:rPr>
          <w:kern w:val="2"/>
          <w:sz w:val="20"/>
        </w:rPr>
        <w:t>onstruction</w:t>
      </w:r>
    </w:p>
    <w:p w14:paraId="33BB498E" w14:textId="77777777" w:rsidR="000E52AB" w:rsidRPr="00BC2BC4" w:rsidRDefault="000E52AB" w:rsidP="00A75BC0">
      <w:pPr>
        <w:pStyle w:val="ListParagraph"/>
        <w:numPr>
          <w:ilvl w:val="0"/>
          <w:numId w:val="12"/>
        </w:numPr>
        <w:rPr>
          <w:kern w:val="2"/>
          <w:sz w:val="20"/>
          <w:lang w:val="en-GB"/>
        </w:rPr>
      </w:pPr>
      <w:r w:rsidRPr="00BC2BC4">
        <w:rPr>
          <w:kern w:val="2"/>
          <w:sz w:val="20"/>
        </w:rPr>
        <w:t>Utilities</w:t>
      </w:r>
    </w:p>
    <w:p w14:paraId="330194E5" w14:textId="77777777" w:rsidR="000E52AB" w:rsidRPr="00BC2BC4" w:rsidRDefault="00567AC0" w:rsidP="00A75BC0">
      <w:pPr>
        <w:pStyle w:val="ListParagraph"/>
        <w:numPr>
          <w:ilvl w:val="0"/>
          <w:numId w:val="12"/>
        </w:numPr>
        <w:rPr>
          <w:kern w:val="2"/>
          <w:sz w:val="20"/>
          <w:lang w:val="en-GB"/>
        </w:rPr>
      </w:pPr>
      <w:r w:rsidRPr="00BC2BC4">
        <w:rPr>
          <w:kern w:val="2"/>
          <w:sz w:val="20"/>
        </w:rPr>
        <w:t>Real estate, p</w:t>
      </w:r>
      <w:r w:rsidR="000E52AB" w:rsidRPr="00BC2BC4">
        <w:rPr>
          <w:kern w:val="2"/>
          <w:sz w:val="20"/>
        </w:rPr>
        <w:t>roperty, legal and business services</w:t>
      </w:r>
    </w:p>
    <w:p w14:paraId="5EB9D388" w14:textId="77777777" w:rsidR="000E52AB" w:rsidRPr="00BC2BC4" w:rsidRDefault="000E52AB" w:rsidP="00A75BC0">
      <w:pPr>
        <w:pStyle w:val="ListParagraph"/>
        <w:numPr>
          <w:ilvl w:val="0"/>
          <w:numId w:val="12"/>
        </w:numPr>
        <w:rPr>
          <w:kern w:val="2"/>
          <w:sz w:val="20"/>
        </w:rPr>
      </w:pPr>
      <w:r w:rsidRPr="00BC2BC4">
        <w:rPr>
          <w:kern w:val="2"/>
          <w:sz w:val="20"/>
        </w:rPr>
        <w:t xml:space="preserve">Oil </w:t>
      </w:r>
      <w:r w:rsidR="00567AC0" w:rsidRPr="00BC2BC4">
        <w:rPr>
          <w:kern w:val="2"/>
          <w:sz w:val="20"/>
        </w:rPr>
        <w:t>and</w:t>
      </w:r>
      <w:r w:rsidRPr="00BC2BC4">
        <w:rPr>
          <w:kern w:val="2"/>
          <w:sz w:val="20"/>
        </w:rPr>
        <w:t xml:space="preserve"> gas</w:t>
      </w:r>
    </w:p>
    <w:p w14:paraId="19F4E70B" w14:textId="77777777" w:rsidR="000E52AB" w:rsidRPr="00BC2BC4" w:rsidRDefault="000E52AB" w:rsidP="00A75BC0">
      <w:pPr>
        <w:pStyle w:val="ListParagraph"/>
        <w:numPr>
          <w:ilvl w:val="0"/>
          <w:numId w:val="12"/>
        </w:numPr>
        <w:rPr>
          <w:kern w:val="2"/>
          <w:sz w:val="20"/>
        </w:rPr>
      </w:pPr>
      <w:r w:rsidRPr="00BC2BC4">
        <w:rPr>
          <w:kern w:val="2"/>
          <w:sz w:val="20"/>
        </w:rPr>
        <w:t>Mining</w:t>
      </w:r>
    </w:p>
    <w:p w14:paraId="63505448" w14:textId="77777777" w:rsidR="000E52AB" w:rsidRPr="00BC2BC4" w:rsidRDefault="000E52AB" w:rsidP="00A75BC0">
      <w:pPr>
        <w:pStyle w:val="ListParagraph"/>
        <w:numPr>
          <w:ilvl w:val="0"/>
          <w:numId w:val="12"/>
        </w:numPr>
        <w:rPr>
          <w:kern w:val="2"/>
          <w:sz w:val="20"/>
        </w:rPr>
      </w:pPr>
      <w:r w:rsidRPr="00BC2BC4">
        <w:rPr>
          <w:kern w:val="2"/>
          <w:sz w:val="20"/>
        </w:rPr>
        <w:t>Power generation and transmission</w:t>
      </w:r>
    </w:p>
    <w:p w14:paraId="1BBE2C58" w14:textId="77777777" w:rsidR="000E52AB" w:rsidRPr="00BC2BC4" w:rsidRDefault="000E52AB" w:rsidP="00A75BC0">
      <w:pPr>
        <w:pStyle w:val="ListParagraph"/>
        <w:numPr>
          <w:ilvl w:val="0"/>
          <w:numId w:val="12"/>
        </w:numPr>
        <w:rPr>
          <w:kern w:val="2"/>
          <w:sz w:val="20"/>
        </w:rPr>
      </w:pPr>
      <w:r w:rsidRPr="00BC2BC4">
        <w:rPr>
          <w:kern w:val="2"/>
          <w:sz w:val="20"/>
        </w:rPr>
        <w:t>Pharmaceutical and healthcare</w:t>
      </w:r>
    </w:p>
    <w:p w14:paraId="69B7EBCE" w14:textId="77777777" w:rsidR="000E52AB" w:rsidRPr="00BC2BC4" w:rsidRDefault="00567AC0" w:rsidP="00A75BC0">
      <w:pPr>
        <w:pStyle w:val="ListParagraph"/>
        <w:numPr>
          <w:ilvl w:val="0"/>
          <w:numId w:val="12"/>
        </w:numPr>
        <w:rPr>
          <w:kern w:val="2"/>
          <w:sz w:val="20"/>
        </w:rPr>
      </w:pPr>
      <w:r w:rsidRPr="00BC2BC4">
        <w:rPr>
          <w:kern w:val="2"/>
          <w:sz w:val="20"/>
        </w:rPr>
        <w:t>Heavy m</w:t>
      </w:r>
      <w:r w:rsidR="000E52AB" w:rsidRPr="00BC2BC4">
        <w:rPr>
          <w:kern w:val="2"/>
          <w:sz w:val="20"/>
        </w:rPr>
        <w:t>anufacturing</w:t>
      </w:r>
    </w:p>
    <w:p w14:paraId="4FDE34BF" w14:textId="77777777" w:rsidR="000E52AB" w:rsidRPr="00BC2BC4" w:rsidRDefault="000E52AB" w:rsidP="00A75BC0">
      <w:pPr>
        <w:pStyle w:val="ListParagraph"/>
        <w:numPr>
          <w:ilvl w:val="0"/>
          <w:numId w:val="12"/>
        </w:numPr>
        <w:rPr>
          <w:kern w:val="2"/>
          <w:sz w:val="20"/>
        </w:rPr>
      </w:pPr>
      <w:r w:rsidRPr="00BC2BC4">
        <w:rPr>
          <w:kern w:val="2"/>
          <w:sz w:val="20"/>
        </w:rPr>
        <w:t>Fisheries</w:t>
      </w:r>
    </w:p>
    <w:p w14:paraId="1A9A6758" w14:textId="77777777" w:rsidR="000E52AB" w:rsidRPr="00BC2BC4" w:rsidRDefault="000E52AB" w:rsidP="00A75BC0">
      <w:pPr>
        <w:pStyle w:val="ListParagraph"/>
        <w:numPr>
          <w:ilvl w:val="0"/>
          <w:numId w:val="12"/>
        </w:numPr>
        <w:rPr>
          <w:kern w:val="2"/>
          <w:sz w:val="20"/>
        </w:rPr>
      </w:pPr>
      <w:r w:rsidRPr="00BC2BC4">
        <w:rPr>
          <w:kern w:val="2"/>
          <w:sz w:val="20"/>
        </w:rPr>
        <w:t>Arms, defence, and military</w:t>
      </w:r>
    </w:p>
    <w:p w14:paraId="307B5A49" w14:textId="77777777" w:rsidR="000E52AB" w:rsidRPr="00BC2BC4" w:rsidRDefault="000E52AB" w:rsidP="00A75BC0">
      <w:pPr>
        <w:pStyle w:val="ListParagraph"/>
        <w:numPr>
          <w:ilvl w:val="0"/>
          <w:numId w:val="12"/>
        </w:numPr>
        <w:rPr>
          <w:kern w:val="2"/>
          <w:sz w:val="20"/>
        </w:rPr>
      </w:pPr>
      <w:r w:rsidRPr="00BC2BC4">
        <w:rPr>
          <w:kern w:val="2"/>
          <w:sz w:val="20"/>
        </w:rPr>
        <w:t>Transportation and storage</w:t>
      </w:r>
    </w:p>
    <w:p w14:paraId="074368A8" w14:textId="77777777" w:rsidR="000E52AB" w:rsidRPr="00BC2BC4" w:rsidRDefault="000E52AB" w:rsidP="00A75BC0">
      <w:pPr>
        <w:pStyle w:val="ListParagraph"/>
        <w:numPr>
          <w:ilvl w:val="0"/>
          <w:numId w:val="12"/>
        </w:numPr>
        <w:rPr>
          <w:kern w:val="2"/>
          <w:sz w:val="20"/>
        </w:rPr>
      </w:pPr>
      <w:r w:rsidRPr="00BC2BC4">
        <w:rPr>
          <w:kern w:val="2"/>
          <w:sz w:val="20"/>
        </w:rPr>
        <w:t>Telecommunications</w:t>
      </w:r>
    </w:p>
    <w:p w14:paraId="4012A91B" w14:textId="77777777" w:rsidR="000E52AB" w:rsidRPr="00BC2BC4" w:rsidRDefault="00567AC0" w:rsidP="00A75BC0">
      <w:pPr>
        <w:pStyle w:val="ListParagraph"/>
        <w:numPr>
          <w:ilvl w:val="0"/>
          <w:numId w:val="12"/>
        </w:numPr>
        <w:rPr>
          <w:kern w:val="2"/>
          <w:sz w:val="20"/>
        </w:rPr>
      </w:pPr>
      <w:r w:rsidRPr="00BC2BC4">
        <w:rPr>
          <w:kern w:val="2"/>
          <w:sz w:val="20"/>
        </w:rPr>
        <w:t>Consumer s</w:t>
      </w:r>
      <w:r w:rsidR="000E52AB" w:rsidRPr="00BC2BC4">
        <w:rPr>
          <w:kern w:val="2"/>
          <w:sz w:val="20"/>
        </w:rPr>
        <w:t>ervices</w:t>
      </w:r>
    </w:p>
    <w:p w14:paraId="26EE53DE" w14:textId="77777777" w:rsidR="000E52AB" w:rsidRPr="00BC2BC4" w:rsidRDefault="000E52AB" w:rsidP="00A75BC0">
      <w:pPr>
        <w:pStyle w:val="ListParagraph"/>
        <w:numPr>
          <w:ilvl w:val="0"/>
          <w:numId w:val="12"/>
        </w:numPr>
        <w:rPr>
          <w:kern w:val="2"/>
          <w:sz w:val="20"/>
        </w:rPr>
      </w:pPr>
      <w:r w:rsidRPr="00BC2BC4">
        <w:rPr>
          <w:kern w:val="2"/>
          <w:sz w:val="20"/>
        </w:rPr>
        <w:t>Forestry</w:t>
      </w:r>
    </w:p>
    <w:p w14:paraId="20142412" w14:textId="77777777" w:rsidR="000E52AB" w:rsidRPr="00BC2BC4" w:rsidRDefault="000E52AB" w:rsidP="00A75BC0">
      <w:pPr>
        <w:pStyle w:val="ListParagraph"/>
        <w:numPr>
          <w:ilvl w:val="0"/>
          <w:numId w:val="12"/>
        </w:numPr>
        <w:rPr>
          <w:kern w:val="2"/>
          <w:sz w:val="20"/>
        </w:rPr>
      </w:pPr>
      <w:r w:rsidRPr="00BC2BC4">
        <w:rPr>
          <w:kern w:val="2"/>
          <w:sz w:val="20"/>
        </w:rPr>
        <w:t>Banking and finance</w:t>
      </w:r>
    </w:p>
    <w:p w14:paraId="3FB897C3" w14:textId="77777777" w:rsidR="000E52AB" w:rsidRPr="00BC2BC4" w:rsidRDefault="000E52AB" w:rsidP="00A75BC0">
      <w:pPr>
        <w:pStyle w:val="ListParagraph"/>
        <w:numPr>
          <w:ilvl w:val="0"/>
          <w:numId w:val="12"/>
        </w:numPr>
        <w:rPr>
          <w:kern w:val="2"/>
          <w:sz w:val="20"/>
        </w:rPr>
      </w:pPr>
      <w:r w:rsidRPr="00BC2BC4">
        <w:rPr>
          <w:kern w:val="2"/>
          <w:sz w:val="20"/>
        </w:rPr>
        <w:t>Information technology</w:t>
      </w:r>
    </w:p>
    <w:p w14:paraId="27A2E9C9" w14:textId="77777777" w:rsidR="000E52AB" w:rsidRPr="00BC2BC4" w:rsidRDefault="000E52AB" w:rsidP="00A75BC0">
      <w:pPr>
        <w:pStyle w:val="ListParagraph"/>
        <w:numPr>
          <w:ilvl w:val="0"/>
          <w:numId w:val="12"/>
        </w:numPr>
        <w:rPr>
          <w:kern w:val="2"/>
          <w:sz w:val="20"/>
        </w:rPr>
      </w:pPr>
      <w:r w:rsidRPr="00BC2BC4">
        <w:rPr>
          <w:kern w:val="2"/>
          <w:sz w:val="20"/>
        </w:rPr>
        <w:t>Civilian aerospace</w:t>
      </w:r>
    </w:p>
    <w:p w14:paraId="2FEF849C" w14:textId="77777777" w:rsidR="000E52AB" w:rsidRPr="00BC2BC4" w:rsidRDefault="00567AC0" w:rsidP="00A75BC0">
      <w:pPr>
        <w:pStyle w:val="ListParagraph"/>
        <w:numPr>
          <w:ilvl w:val="0"/>
          <w:numId w:val="12"/>
        </w:numPr>
        <w:rPr>
          <w:kern w:val="2"/>
          <w:sz w:val="20"/>
        </w:rPr>
      </w:pPr>
      <w:r w:rsidRPr="00BC2BC4">
        <w:rPr>
          <w:kern w:val="2"/>
          <w:sz w:val="20"/>
        </w:rPr>
        <w:t>Light m</w:t>
      </w:r>
      <w:r w:rsidR="000E52AB" w:rsidRPr="00BC2BC4">
        <w:rPr>
          <w:kern w:val="2"/>
          <w:sz w:val="20"/>
        </w:rPr>
        <w:t>anufacturing</w:t>
      </w:r>
    </w:p>
    <w:p w14:paraId="12BF1E2E" w14:textId="77777777" w:rsidR="000E52AB" w:rsidRPr="00BC2BC4" w:rsidRDefault="000E52AB" w:rsidP="00A75BC0">
      <w:pPr>
        <w:pStyle w:val="ListParagraph"/>
        <w:numPr>
          <w:ilvl w:val="0"/>
          <w:numId w:val="12"/>
        </w:numPr>
        <w:spacing w:after="240"/>
        <w:rPr>
          <w:kern w:val="2"/>
          <w:sz w:val="20"/>
        </w:rPr>
      </w:pPr>
      <w:r w:rsidRPr="00BC2BC4">
        <w:rPr>
          <w:kern w:val="2"/>
          <w:sz w:val="20"/>
        </w:rPr>
        <w:t>Agriculture</w:t>
      </w:r>
    </w:p>
    <w:p w14:paraId="0E0D9C91" w14:textId="38274257" w:rsidR="00270542" w:rsidRPr="00BC2BC4" w:rsidRDefault="000E52AB" w:rsidP="006B0E35">
      <w:pPr>
        <w:spacing w:line="23" w:lineRule="atLeast"/>
        <w:rPr>
          <w:kern w:val="2"/>
          <w:sz w:val="20"/>
        </w:rPr>
      </w:pPr>
      <w:r w:rsidRPr="00BC2BC4">
        <w:rPr>
          <w:kern w:val="2"/>
          <w:sz w:val="20"/>
        </w:rPr>
        <w:t>TI suggests that the construction industry is particularly vulnerable to bribery because of the large size and fragmented nature of construction projects, which often involve multiple contractors and sub-contractors.</w:t>
      </w:r>
      <w:r w:rsidRPr="00BC2BC4">
        <w:rPr>
          <w:rStyle w:val="FootnoteReference"/>
          <w:kern w:val="2"/>
          <w:sz w:val="20"/>
        </w:rPr>
        <w:footnoteReference w:id="34"/>
      </w:r>
      <w:r w:rsidRPr="00BC2BC4">
        <w:rPr>
          <w:kern w:val="2"/>
          <w:sz w:val="20"/>
        </w:rPr>
        <w:t xml:space="preserve"> The large and complex nature of many construction projects makes it difficult to monitor payments and</w:t>
      </w:r>
      <w:r w:rsidR="00280DCF" w:rsidRPr="00BC2BC4">
        <w:rPr>
          <w:kern w:val="2"/>
          <w:sz w:val="20"/>
        </w:rPr>
        <w:t xml:space="preserve"> implement effective </w:t>
      </w:r>
      <w:r w:rsidRPr="00BC2BC4">
        <w:rPr>
          <w:kern w:val="2"/>
          <w:sz w:val="20"/>
        </w:rPr>
        <w:t>policies and standards.</w:t>
      </w:r>
      <w:r w:rsidR="00D84106" w:rsidRPr="00BC2BC4">
        <w:rPr>
          <w:kern w:val="2"/>
          <w:sz w:val="20"/>
        </w:rPr>
        <w:t xml:space="preserve"> </w:t>
      </w:r>
      <w:r w:rsidR="00580899" w:rsidRPr="00BC2BC4">
        <w:rPr>
          <w:kern w:val="2"/>
          <w:sz w:val="20"/>
          <w:lang w:val="en-GB"/>
        </w:rPr>
        <w:t>Since</w:t>
      </w:r>
      <w:r w:rsidR="00990E6C" w:rsidRPr="00BC2BC4">
        <w:rPr>
          <w:kern w:val="2"/>
          <w:sz w:val="20"/>
          <w:lang w:val="en-GB"/>
        </w:rPr>
        <w:t xml:space="preserve"> </w:t>
      </w:r>
      <w:r w:rsidR="007006C5" w:rsidRPr="00BC2BC4">
        <w:rPr>
          <w:kern w:val="2"/>
          <w:sz w:val="20"/>
          <w:lang w:val="en-GB"/>
        </w:rPr>
        <w:t>major public infrastructure projects are often “special purpose, one-of-a-kind deals” that are massive in scale, produce high levels of economic rents, present difficulties in establishing benchmarks for cost and quality and can be challenging to monitor, corruption risks abound.</w:t>
      </w:r>
      <w:r w:rsidR="007006C5" w:rsidRPr="00BC2BC4">
        <w:rPr>
          <w:rStyle w:val="FootnoteReference"/>
          <w:kern w:val="2"/>
          <w:sz w:val="20"/>
          <w:lang w:val="en-GB"/>
        </w:rPr>
        <w:footnoteReference w:id="35"/>
      </w:r>
      <w:r w:rsidR="007006C5" w:rsidRPr="00BC2BC4">
        <w:rPr>
          <w:kern w:val="2"/>
          <w:sz w:val="20"/>
          <w:lang w:val="en-GB"/>
        </w:rPr>
        <w:t xml:space="preserve"> </w:t>
      </w:r>
      <w:r w:rsidR="00D84106" w:rsidRPr="00BC2BC4">
        <w:rPr>
          <w:kern w:val="2"/>
          <w:sz w:val="20"/>
        </w:rPr>
        <w:t>Construction projects</w:t>
      </w:r>
      <w:r w:rsidRPr="00BC2BC4">
        <w:rPr>
          <w:kern w:val="2"/>
          <w:sz w:val="20"/>
        </w:rPr>
        <w:t xml:space="preserve"> also </w:t>
      </w:r>
      <w:r w:rsidR="00D84106" w:rsidRPr="00BC2BC4">
        <w:rPr>
          <w:kern w:val="2"/>
          <w:sz w:val="20"/>
        </w:rPr>
        <w:t>involve many instances in which</w:t>
      </w:r>
      <w:r w:rsidRPr="00BC2BC4">
        <w:rPr>
          <w:kern w:val="2"/>
          <w:sz w:val="20"/>
        </w:rPr>
        <w:t xml:space="preserve"> private actors require government</w:t>
      </w:r>
      <w:r w:rsidR="00D84106" w:rsidRPr="00BC2BC4">
        <w:rPr>
          <w:kern w:val="2"/>
          <w:sz w:val="20"/>
        </w:rPr>
        <w:t xml:space="preserve"> approval, resulting in opportunities for the offering or demanding of bribes</w:t>
      </w:r>
      <w:r w:rsidRPr="00BC2BC4">
        <w:rPr>
          <w:kern w:val="2"/>
          <w:sz w:val="20"/>
        </w:rPr>
        <w:t xml:space="preserve">. </w:t>
      </w:r>
      <w:r w:rsidR="00BE11CE" w:rsidRPr="00BC2BC4">
        <w:rPr>
          <w:kern w:val="2"/>
          <w:sz w:val="20"/>
        </w:rPr>
        <w:t xml:space="preserve">The prevalence of bribery in the procurement industry is </w:t>
      </w:r>
      <w:r w:rsidR="00EB11F3" w:rsidRPr="00BC2BC4">
        <w:rPr>
          <w:kern w:val="2"/>
          <w:sz w:val="20"/>
        </w:rPr>
        <w:t>illustrated</w:t>
      </w:r>
      <w:r w:rsidR="00BE11CE" w:rsidRPr="00BC2BC4">
        <w:rPr>
          <w:kern w:val="2"/>
          <w:sz w:val="20"/>
        </w:rPr>
        <w:t xml:space="preserve"> by the OECD’s finding</w:t>
      </w:r>
      <w:r w:rsidR="009A7E8E" w:rsidRPr="00BC2BC4">
        <w:rPr>
          <w:kern w:val="2"/>
          <w:sz w:val="20"/>
        </w:rPr>
        <w:t>:</w:t>
      </w:r>
      <w:r w:rsidR="00BE11CE" w:rsidRPr="00BC2BC4">
        <w:rPr>
          <w:kern w:val="2"/>
          <w:sz w:val="20"/>
        </w:rPr>
        <w:t xml:space="preserve"> 57</w:t>
      </w:r>
      <w:r w:rsidR="001A0386" w:rsidRPr="00BC2BC4">
        <w:rPr>
          <w:kern w:val="2"/>
          <w:sz w:val="20"/>
        </w:rPr>
        <w:t>%</w:t>
      </w:r>
      <w:r w:rsidR="00BE11CE" w:rsidRPr="00BC2BC4">
        <w:rPr>
          <w:kern w:val="2"/>
          <w:sz w:val="20"/>
        </w:rPr>
        <w:t xml:space="preserve"> of the 427 foreign bribery cases prosecuted under the OECD </w:t>
      </w:r>
      <w:r w:rsidR="00D908E5" w:rsidRPr="00BC2BC4">
        <w:rPr>
          <w:kern w:val="2"/>
          <w:sz w:val="20"/>
        </w:rPr>
        <w:t xml:space="preserve">Anti-Bribery </w:t>
      </w:r>
      <w:r w:rsidR="00BE11CE" w:rsidRPr="00BC2BC4">
        <w:rPr>
          <w:kern w:val="2"/>
          <w:sz w:val="20"/>
        </w:rPr>
        <w:t>Convention between 1999 and 2014 involved bribes to obtain public</w:t>
      </w:r>
      <w:r w:rsidR="00C836C8" w:rsidRPr="00BC2BC4">
        <w:rPr>
          <w:kern w:val="2"/>
          <w:sz w:val="20"/>
        </w:rPr>
        <w:t xml:space="preserve"> procurement</w:t>
      </w:r>
      <w:r w:rsidR="00BE11CE" w:rsidRPr="00BC2BC4">
        <w:rPr>
          <w:kern w:val="2"/>
          <w:sz w:val="20"/>
        </w:rPr>
        <w:t xml:space="preserve"> contracts.</w:t>
      </w:r>
      <w:r w:rsidR="00BE11CE" w:rsidRPr="00BC2BC4">
        <w:rPr>
          <w:rStyle w:val="FootnoteReference"/>
          <w:kern w:val="2"/>
          <w:sz w:val="20"/>
        </w:rPr>
        <w:footnoteReference w:id="36"/>
      </w:r>
    </w:p>
    <w:p w14:paraId="3B3C2FF5" w14:textId="39564179" w:rsidR="007E02CF" w:rsidRPr="00BC2BC4" w:rsidRDefault="007E02CF" w:rsidP="00BE42DB">
      <w:pPr>
        <w:pStyle w:val="Heading2"/>
        <w:rPr>
          <w:kern w:val="2"/>
          <w:sz w:val="24"/>
        </w:rPr>
      </w:pPr>
      <w:r w:rsidRPr="00BC2BC4">
        <w:rPr>
          <w:kern w:val="2"/>
          <w:sz w:val="24"/>
        </w:rPr>
        <w:t>Stages and Opportunities for Procurement Corruption</w:t>
      </w:r>
    </w:p>
    <w:p w14:paraId="0F089636" w14:textId="469C5F27" w:rsidR="006378AD" w:rsidRPr="00BC2BC4" w:rsidRDefault="00F002E6" w:rsidP="003F14E9">
      <w:pPr>
        <w:rPr>
          <w:rFonts w:cs="Times New Roman"/>
          <w:kern w:val="2"/>
          <w:sz w:val="20"/>
        </w:rPr>
      </w:pPr>
      <w:r w:rsidRPr="00BC2BC4">
        <w:rPr>
          <w:rFonts w:cs="Times New Roman"/>
          <w:kern w:val="2"/>
          <w:sz w:val="20"/>
        </w:rPr>
        <w:t xml:space="preserve">Corruption </w:t>
      </w:r>
      <w:r w:rsidR="00A81A58" w:rsidRPr="00BC2BC4">
        <w:rPr>
          <w:rFonts w:cs="Times New Roman"/>
          <w:kern w:val="2"/>
          <w:sz w:val="20"/>
        </w:rPr>
        <w:t xml:space="preserve">in public procurement </w:t>
      </w:r>
      <w:r w:rsidRPr="00BC2BC4">
        <w:rPr>
          <w:rFonts w:cs="Times New Roman"/>
          <w:kern w:val="2"/>
          <w:sz w:val="20"/>
        </w:rPr>
        <w:t>can take many forms and can occur at any time throughout th</w:t>
      </w:r>
      <w:r w:rsidR="00567AC0" w:rsidRPr="00BC2BC4">
        <w:rPr>
          <w:rFonts w:cs="Times New Roman"/>
          <w:kern w:val="2"/>
          <w:sz w:val="20"/>
        </w:rPr>
        <w:t xml:space="preserve">e lengthy procurement process. </w:t>
      </w:r>
      <w:r w:rsidR="00877DA1" w:rsidRPr="00BC2BC4">
        <w:rPr>
          <w:rFonts w:cs="Times New Roman"/>
          <w:kern w:val="2"/>
          <w:sz w:val="20"/>
        </w:rPr>
        <w:t xml:space="preserve">Most corruption experts agree that the following factors magnify </w:t>
      </w:r>
      <w:r w:rsidR="00D84106" w:rsidRPr="00BC2BC4">
        <w:rPr>
          <w:rFonts w:cs="Times New Roman"/>
          <w:kern w:val="2"/>
          <w:sz w:val="20"/>
        </w:rPr>
        <w:t>opportunities</w:t>
      </w:r>
      <w:r w:rsidR="00877DA1" w:rsidRPr="00BC2BC4">
        <w:rPr>
          <w:rFonts w:cs="Times New Roman"/>
          <w:kern w:val="2"/>
          <w:sz w:val="20"/>
        </w:rPr>
        <w:t xml:space="preserve"> for corruption: (1) monopoly of power</w:t>
      </w:r>
      <w:r w:rsidR="001A0386" w:rsidRPr="00BC2BC4">
        <w:rPr>
          <w:rFonts w:cs="Times New Roman"/>
          <w:kern w:val="2"/>
          <w:sz w:val="20"/>
        </w:rPr>
        <w:t>,</w:t>
      </w:r>
      <w:r w:rsidR="00877DA1" w:rsidRPr="00BC2BC4">
        <w:rPr>
          <w:rFonts w:cs="Times New Roman"/>
          <w:kern w:val="2"/>
          <w:sz w:val="20"/>
        </w:rPr>
        <w:t xml:space="preserve"> (2) wide discretion</w:t>
      </w:r>
      <w:r w:rsidR="001A0386" w:rsidRPr="00BC2BC4">
        <w:rPr>
          <w:rFonts w:cs="Times New Roman"/>
          <w:kern w:val="2"/>
          <w:sz w:val="20"/>
        </w:rPr>
        <w:t>,</w:t>
      </w:r>
      <w:r w:rsidR="00877DA1" w:rsidRPr="00BC2BC4">
        <w:rPr>
          <w:rFonts w:cs="Times New Roman"/>
          <w:kern w:val="2"/>
          <w:sz w:val="20"/>
        </w:rPr>
        <w:t xml:space="preserve"> (3) weak accountability and (4) lack of transparency.</w:t>
      </w:r>
      <w:r w:rsidR="00877DA1" w:rsidRPr="00BC2BC4">
        <w:rPr>
          <w:rStyle w:val="FootnoteReference"/>
          <w:rFonts w:cs="Times New Roman"/>
          <w:kern w:val="2"/>
          <w:sz w:val="20"/>
        </w:rPr>
        <w:footnoteReference w:id="37"/>
      </w:r>
      <w:r w:rsidR="009C0F77" w:rsidRPr="00BC2BC4">
        <w:rPr>
          <w:rFonts w:cs="Times New Roman"/>
          <w:kern w:val="2"/>
          <w:sz w:val="20"/>
        </w:rPr>
        <w:t xml:space="preserve"> </w:t>
      </w:r>
      <w:r w:rsidR="006378AD" w:rsidRPr="00BC2BC4">
        <w:rPr>
          <w:rFonts w:cs="Times New Roman"/>
          <w:kern w:val="2"/>
          <w:sz w:val="20"/>
        </w:rPr>
        <w:t xml:space="preserve">Government agencies in developing countries tend to display these characteristics, creating more opportunities for corruption in procurement in those countries. Procurement in developing countries </w:t>
      </w:r>
      <w:r w:rsidR="00280DCF" w:rsidRPr="00BC2BC4">
        <w:rPr>
          <w:rFonts w:cs="Times New Roman"/>
          <w:kern w:val="2"/>
          <w:sz w:val="20"/>
        </w:rPr>
        <w:t>can comprise</w:t>
      </w:r>
      <w:r w:rsidR="006378AD" w:rsidRPr="00BC2BC4">
        <w:rPr>
          <w:rFonts w:cs="Times New Roman"/>
          <w:kern w:val="2"/>
          <w:sz w:val="20"/>
        </w:rPr>
        <w:t xml:space="preserve"> up to 20% of the country’s GDP, and the high proportion of the economy occupied by public procurement makes it difficult for companies to find contracts outside the public sphere. This motivates companies to resort to corruption when competing for contracts in developing countries,</w:t>
      </w:r>
      <w:r w:rsidR="006378AD" w:rsidRPr="00BC2BC4">
        <w:rPr>
          <w:rStyle w:val="FootnoteReference"/>
          <w:rFonts w:cs="Times New Roman"/>
          <w:kern w:val="2"/>
          <w:sz w:val="20"/>
        </w:rPr>
        <w:footnoteReference w:id="38"/>
      </w:r>
      <w:r w:rsidR="006378AD" w:rsidRPr="00BC2BC4">
        <w:rPr>
          <w:rFonts w:cs="Times New Roman"/>
          <w:kern w:val="2"/>
          <w:sz w:val="20"/>
        </w:rPr>
        <w:t xml:space="preserve"> while public officials are often motivated by low wages.</w:t>
      </w:r>
      <w:r w:rsidR="00DA7581" w:rsidRPr="00BC2BC4">
        <w:rPr>
          <w:rStyle w:val="FootnoteReference"/>
          <w:rFonts w:cs="Times New Roman"/>
          <w:kern w:val="2"/>
          <w:sz w:val="20"/>
        </w:rPr>
        <w:footnoteReference w:id="39"/>
      </w:r>
      <w:r w:rsidR="006378AD" w:rsidRPr="00BC2BC4">
        <w:rPr>
          <w:rFonts w:cs="Times New Roman"/>
          <w:kern w:val="2"/>
          <w:sz w:val="20"/>
        </w:rPr>
        <w:t xml:space="preserve"> Meanwhile, the broad discretion afforded to officials in making procurement decisions and the lack of capacity to monitor and punish corruption exacerbates opportunities for corruption. </w:t>
      </w:r>
    </w:p>
    <w:p w14:paraId="57773EAD" w14:textId="347BF4F2" w:rsidR="00040E6F" w:rsidRPr="00BC2BC4" w:rsidRDefault="006466F0" w:rsidP="003F14E9">
      <w:pPr>
        <w:rPr>
          <w:rFonts w:cs="Times New Roman"/>
          <w:kern w:val="2"/>
          <w:sz w:val="20"/>
        </w:rPr>
      </w:pPr>
      <w:r w:rsidRPr="00BC2BC4">
        <w:rPr>
          <w:rFonts w:cs="Times New Roman"/>
          <w:kern w:val="2"/>
          <w:sz w:val="20"/>
        </w:rPr>
        <w:t xml:space="preserve">Wells </w:t>
      </w:r>
      <w:r w:rsidR="009A7E8E" w:rsidRPr="00BC2BC4">
        <w:rPr>
          <w:rFonts w:cs="Times New Roman"/>
          <w:kern w:val="2"/>
          <w:sz w:val="20"/>
        </w:rPr>
        <w:t>wrote</w:t>
      </w:r>
      <w:r w:rsidRPr="00BC2BC4">
        <w:rPr>
          <w:rFonts w:cs="Times New Roman"/>
          <w:kern w:val="2"/>
          <w:sz w:val="20"/>
        </w:rPr>
        <w:t xml:space="preserve"> a </w:t>
      </w:r>
      <w:r w:rsidR="00040E6F" w:rsidRPr="00BC2BC4">
        <w:rPr>
          <w:rFonts w:cs="Times New Roman"/>
          <w:kern w:val="2"/>
          <w:sz w:val="20"/>
        </w:rPr>
        <w:t>helpful article for the U4 Anti-C</w:t>
      </w:r>
      <w:r w:rsidRPr="00BC2BC4">
        <w:rPr>
          <w:rFonts w:cs="Times New Roman"/>
          <w:kern w:val="2"/>
          <w:sz w:val="20"/>
        </w:rPr>
        <w:t xml:space="preserve">orruption Resource Centre entitled “Corruption in the </w:t>
      </w:r>
      <w:r w:rsidR="00AF1AE0" w:rsidRPr="00BC2BC4">
        <w:rPr>
          <w:rFonts w:cs="Times New Roman"/>
          <w:kern w:val="2"/>
          <w:sz w:val="20"/>
        </w:rPr>
        <w:t>C</w:t>
      </w:r>
      <w:r w:rsidRPr="00BC2BC4">
        <w:rPr>
          <w:rFonts w:cs="Times New Roman"/>
          <w:kern w:val="2"/>
          <w:sz w:val="20"/>
        </w:rPr>
        <w:t xml:space="preserve">onstruction of </w:t>
      </w:r>
      <w:r w:rsidR="00AF1AE0" w:rsidRPr="00BC2BC4">
        <w:rPr>
          <w:rFonts w:cs="Times New Roman"/>
          <w:kern w:val="2"/>
          <w:sz w:val="20"/>
        </w:rPr>
        <w:t>P</w:t>
      </w:r>
      <w:r w:rsidRPr="00BC2BC4">
        <w:rPr>
          <w:rFonts w:cs="Times New Roman"/>
          <w:kern w:val="2"/>
          <w:sz w:val="20"/>
        </w:rPr>
        <w:t xml:space="preserve">ublic </w:t>
      </w:r>
      <w:r w:rsidR="00AF1AE0" w:rsidRPr="00BC2BC4">
        <w:rPr>
          <w:rFonts w:cs="Times New Roman"/>
          <w:kern w:val="2"/>
          <w:sz w:val="20"/>
        </w:rPr>
        <w:t>I</w:t>
      </w:r>
      <w:r w:rsidR="00040E6F" w:rsidRPr="00BC2BC4">
        <w:rPr>
          <w:rFonts w:cs="Times New Roman"/>
          <w:kern w:val="2"/>
          <w:sz w:val="20"/>
        </w:rPr>
        <w:t>nfrastructur</w:t>
      </w:r>
      <w:r w:rsidRPr="00BC2BC4">
        <w:rPr>
          <w:rFonts w:cs="Times New Roman"/>
          <w:kern w:val="2"/>
          <w:sz w:val="20"/>
        </w:rPr>
        <w:t xml:space="preserve">e: Critical </w:t>
      </w:r>
      <w:r w:rsidR="00AF1AE0" w:rsidRPr="00BC2BC4">
        <w:rPr>
          <w:rFonts w:cs="Times New Roman"/>
          <w:kern w:val="2"/>
          <w:sz w:val="20"/>
        </w:rPr>
        <w:t>I</w:t>
      </w:r>
      <w:r w:rsidRPr="00BC2BC4">
        <w:rPr>
          <w:rFonts w:cs="Times New Roman"/>
          <w:kern w:val="2"/>
          <w:sz w:val="20"/>
        </w:rPr>
        <w:t xml:space="preserve">ssues in </w:t>
      </w:r>
      <w:r w:rsidR="00AF1AE0" w:rsidRPr="00BC2BC4">
        <w:rPr>
          <w:rFonts w:cs="Times New Roman"/>
          <w:kern w:val="2"/>
          <w:sz w:val="20"/>
        </w:rPr>
        <w:t>P</w:t>
      </w:r>
      <w:r w:rsidRPr="00BC2BC4">
        <w:rPr>
          <w:rFonts w:cs="Times New Roman"/>
          <w:kern w:val="2"/>
          <w:sz w:val="20"/>
        </w:rPr>
        <w:t xml:space="preserve">roject </w:t>
      </w:r>
      <w:r w:rsidR="00AF1AE0" w:rsidRPr="00BC2BC4">
        <w:rPr>
          <w:rFonts w:cs="Times New Roman"/>
          <w:kern w:val="2"/>
          <w:sz w:val="20"/>
        </w:rPr>
        <w:t>P</w:t>
      </w:r>
      <w:r w:rsidR="00040E6F" w:rsidRPr="00BC2BC4">
        <w:rPr>
          <w:rFonts w:cs="Times New Roman"/>
          <w:kern w:val="2"/>
          <w:sz w:val="20"/>
        </w:rPr>
        <w:t>reparation</w:t>
      </w:r>
      <w:r w:rsidR="00FB7451" w:rsidRPr="00BC2BC4">
        <w:rPr>
          <w:rFonts w:cs="Times New Roman"/>
          <w:kern w:val="2"/>
          <w:sz w:val="20"/>
        </w:rPr>
        <w:t>.</w:t>
      </w:r>
      <w:r w:rsidRPr="00BC2BC4">
        <w:rPr>
          <w:rFonts w:cs="Times New Roman"/>
          <w:kern w:val="2"/>
          <w:sz w:val="20"/>
        </w:rPr>
        <w:t>”</w:t>
      </w:r>
      <w:r w:rsidRPr="00BC2BC4">
        <w:rPr>
          <w:rStyle w:val="FootnoteReference"/>
          <w:rFonts w:cs="Times New Roman"/>
          <w:kern w:val="2"/>
          <w:sz w:val="20"/>
        </w:rPr>
        <w:footnoteReference w:id="40"/>
      </w:r>
      <w:r w:rsidR="00CD23C5" w:rsidRPr="00BC2BC4">
        <w:rPr>
          <w:rFonts w:cs="Times New Roman"/>
          <w:kern w:val="2"/>
          <w:sz w:val="20"/>
        </w:rPr>
        <w:t xml:space="preserve"> This</w:t>
      </w:r>
      <w:r w:rsidR="00040E6F" w:rsidRPr="00BC2BC4">
        <w:rPr>
          <w:rFonts w:cs="Times New Roman"/>
          <w:kern w:val="2"/>
          <w:sz w:val="20"/>
        </w:rPr>
        <w:t xml:space="preserve"> article explores how corruption opportunities arise, especially in the project selection and project preparation stages of the procurement process for public infrastructure projects. Since public infrastructure projects carry the highest risk for procurement corruption and consume “roughly one half of all fixed capital investment by governments</w:t>
      </w:r>
      <w:r w:rsidR="00FB7451" w:rsidRPr="00BC2BC4">
        <w:rPr>
          <w:rFonts w:cs="Times New Roman"/>
          <w:kern w:val="2"/>
          <w:sz w:val="20"/>
        </w:rPr>
        <w:t>,</w:t>
      </w:r>
      <w:r w:rsidR="00040E6F" w:rsidRPr="00BC2BC4">
        <w:rPr>
          <w:rFonts w:cs="Times New Roman"/>
          <w:kern w:val="2"/>
          <w:sz w:val="20"/>
        </w:rPr>
        <w:t>”</w:t>
      </w:r>
      <w:r w:rsidR="007A58E9" w:rsidRPr="00BC2BC4">
        <w:rPr>
          <w:rStyle w:val="FootnoteReference"/>
          <w:rFonts w:cs="Times New Roman"/>
          <w:kern w:val="2"/>
          <w:sz w:val="20"/>
        </w:rPr>
        <w:footnoteReference w:id="41"/>
      </w:r>
      <w:r w:rsidR="00040E6F" w:rsidRPr="00BC2BC4">
        <w:rPr>
          <w:rFonts w:cs="Times New Roman"/>
          <w:kern w:val="2"/>
          <w:sz w:val="20"/>
        </w:rPr>
        <w:t xml:space="preserve"> the public infrastructure sector is a worthy area for more detailed </w:t>
      </w:r>
      <w:r w:rsidR="00DD68F6" w:rsidRPr="00BC2BC4">
        <w:rPr>
          <w:rFonts w:cs="Times New Roman"/>
          <w:kern w:val="2"/>
          <w:sz w:val="20"/>
        </w:rPr>
        <w:t xml:space="preserve">analysis. According to Wells, </w:t>
      </w:r>
      <w:r w:rsidR="00040E6F" w:rsidRPr="00BC2BC4">
        <w:rPr>
          <w:rFonts w:cs="Times New Roman"/>
          <w:kern w:val="2"/>
          <w:sz w:val="20"/>
        </w:rPr>
        <w:t xml:space="preserve">estimates of bribery payments in public infrastructure construction “vary globally from 5% to 20% </w:t>
      </w:r>
      <w:r w:rsidR="001D5664" w:rsidRPr="00BC2BC4">
        <w:rPr>
          <w:rFonts w:cs="Times New Roman"/>
          <w:kern w:val="2"/>
          <w:sz w:val="20"/>
        </w:rPr>
        <w:t xml:space="preserve">[of construction costs] </w:t>
      </w:r>
      <w:r w:rsidR="00040E6F" w:rsidRPr="00BC2BC4">
        <w:rPr>
          <w:rFonts w:cs="Times New Roman"/>
          <w:kern w:val="2"/>
          <w:sz w:val="20"/>
        </w:rPr>
        <w:t>or even higher.”</w:t>
      </w:r>
      <w:r w:rsidR="007A58E9" w:rsidRPr="00BC2BC4">
        <w:rPr>
          <w:rStyle w:val="FootnoteReference"/>
          <w:rFonts w:cs="Times New Roman"/>
          <w:kern w:val="2"/>
          <w:sz w:val="20"/>
        </w:rPr>
        <w:footnoteReference w:id="42"/>
      </w:r>
      <w:r w:rsidR="00CD23C5" w:rsidRPr="00BC2BC4">
        <w:rPr>
          <w:rFonts w:cs="Times New Roman"/>
          <w:kern w:val="2"/>
          <w:sz w:val="20"/>
        </w:rPr>
        <w:t xml:space="preserve"> However, focusing solely</w:t>
      </w:r>
      <w:r w:rsidR="001D5664" w:rsidRPr="00BC2BC4">
        <w:rPr>
          <w:rFonts w:cs="Times New Roman"/>
          <w:kern w:val="2"/>
          <w:sz w:val="20"/>
        </w:rPr>
        <w:t xml:space="preserve"> on bribe payments distorts the overall size and impact of corruption. </w:t>
      </w:r>
      <w:r w:rsidR="00C47E75" w:rsidRPr="00BC2BC4">
        <w:rPr>
          <w:rFonts w:cs="Times New Roman"/>
          <w:kern w:val="2"/>
          <w:sz w:val="20"/>
        </w:rPr>
        <w:t xml:space="preserve">Wells cites the work of </w:t>
      </w:r>
      <w:r w:rsidR="001D5664" w:rsidRPr="00BC2BC4">
        <w:rPr>
          <w:rFonts w:cs="Times New Roman"/>
          <w:kern w:val="2"/>
          <w:sz w:val="20"/>
        </w:rPr>
        <w:t>Kenny</w:t>
      </w:r>
      <w:r w:rsidR="00C47E75" w:rsidRPr="00BC2BC4">
        <w:rPr>
          <w:rFonts w:cs="Times New Roman"/>
          <w:kern w:val="2"/>
          <w:sz w:val="20"/>
        </w:rPr>
        <w:t xml:space="preserve">, who </w:t>
      </w:r>
      <w:r w:rsidR="002225D3" w:rsidRPr="00BC2BC4">
        <w:rPr>
          <w:rFonts w:cs="Times New Roman"/>
          <w:kern w:val="2"/>
          <w:sz w:val="20"/>
        </w:rPr>
        <w:t>engages in</w:t>
      </w:r>
      <w:r w:rsidR="00CD23C5" w:rsidRPr="00BC2BC4">
        <w:rPr>
          <w:rFonts w:cs="Times New Roman"/>
          <w:kern w:val="2"/>
          <w:sz w:val="20"/>
        </w:rPr>
        <w:t xml:space="preserve"> a broader impact analysis and</w:t>
      </w:r>
      <w:r w:rsidR="001D5664" w:rsidRPr="00BC2BC4">
        <w:rPr>
          <w:rFonts w:cs="Times New Roman"/>
          <w:kern w:val="2"/>
          <w:sz w:val="20"/>
        </w:rPr>
        <w:t xml:space="preserve"> suggests that the most harmful forms of corruption for development outcomes are: </w:t>
      </w:r>
    </w:p>
    <w:p w14:paraId="14AC615F" w14:textId="77777777" w:rsidR="001D5664" w:rsidRPr="00BC2BC4" w:rsidRDefault="001D5664" w:rsidP="00BE42DB">
      <w:pPr>
        <w:pStyle w:val="BlockQuote"/>
        <w:rPr>
          <w:kern w:val="2"/>
          <w:sz w:val="20"/>
        </w:rPr>
      </w:pPr>
      <w:r w:rsidRPr="00BC2BC4">
        <w:rPr>
          <w:kern w:val="2"/>
          <w:sz w:val="20"/>
        </w:rPr>
        <w:t>(1) Corruption that influences the project appraisal, design, and budgeting process by diverting investment towards projects with low returns and towards new construction at the expense of maintenance and (2) corruption during project implementation that results in substandard construction that shortens the life of projects and hence drastically reduces the economic rate of return (ERR).</w:t>
      </w:r>
      <w:r w:rsidR="00C47E75" w:rsidRPr="00BC2BC4">
        <w:rPr>
          <w:rStyle w:val="FootnoteReference"/>
          <w:rFonts w:cs="Times New Roman"/>
          <w:kern w:val="2"/>
          <w:sz w:val="20"/>
        </w:rPr>
        <w:footnoteReference w:id="43"/>
      </w:r>
    </w:p>
    <w:p w14:paraId="342029EB" w14:textId="25B2BE46" w:rsidR="001D5664" w:rsidRPr="00BC2BC4" w:rsidRDefault="001D5664">
      <w:pPr>
        <w:rPr>
          <w:kern w:val="2"/>
          <w:sz w:val="20"/>
        </w:rPr>
      </w:pPr>
      <w:r w:rsidRPr="00BC2BC4">
        <w:rPr>
          <w:kern w:val="2"/>
          <w:sz w:val="20"/>
        </w:rPr>
        <w:t>Procurement scholars and practitioners agree that public investment in infrastructure projects requires an effective public investment management system (PIM System). Absence of such a system, or a weak management s</w:t>
      </w:r>
      <w:r w:rsidR="00682A0D" w:rsidRPr="00BC2BC4">
        <w:rPr>
          <w:kern w:val="2"/>
          <w:sz w:val="20"/>
        </w:rPr>
        <w:t>ystem, is a sure means of promoting</w:t>
      </w:r>
      <w:r w:rsidRPr="00BC2BC4">
        <w:rPr>
          <w:kern w:val="2"/>
          <w:sz w:val="20"/>
        </w:rPr>
        <w:t xml:space="preserve"> high levels of corruption.</w:t>
      </w:r>
      <w:r w:rsidR="00682A0D" w:rsidRPr="00BC2BC4">
        <w:rPr>
          <w:rStyle w:val="FootnoteReference"/>
          <w:kern w:val="2"/>
          <w:sz w:val="20"/>
        </w:rPr>
        <w:footnoteReference w:id="44"/>
      </w:r>
      <w:r w:rsidRPr="00BC2BC4">
        <w:rPr>
          <w:kern w:val="2"/>
          <w:sz w:val="20"/>
        </w:rPr>
        <w:t xml:space="preserve"> Wells notes that management systems should include an analysis of whether the proposed project is a strategic priority, whether there are alternatives, whether the proposed project is likely to be economically feasible</w:t>
      </w:r>
      <w:r w:rsidR="00FB7451" w:rsidRPr="00BC2BC4">
        <w:rPr>
          <w:kern w:val="2"/>
          <w:sz w:val="20"/>
        </w:rPr>
        <w:t>,</w:t>
      </w:r>
      <w:r w:rsidRPr="00BC2BC4">
        <w:rPr>
          <w:kern w:val="2"/>
          <w:sz w:val="20"/>
        </w:rPr>
        <w:t xml:space="preserve"> and whether the project is likely to survive environmental and social impact assessments. Before an infrastructure project is chosen, it should be subject to an independent, professional appraisal to ensure that improper, irrelevant or corrupt influences were not driving the project proposal. Once a project is selected, a detailed design and budget must be prepared in a manner that ensures</w:t>
      </w:r>
      <w:r w:rsidR="00693D3A" w:rsidRPr="00BC2BC4">
        <w:rPr>
          <w:kern w:val="2"/>
          <w:sz w:val="20"/>
        </w:rPr>
        <w:t xml:space="preserve"> against,</w:t>
      </w:r>
      <w:r w:rsidRPr="00BC2BC4">
        <w:rPr>
          <w:kern w:val="2"/>
          <w:sz w:val="20"/>
        </w:rPr>
        <w:t xml:space="preserve"> or </w:t>
      </w:r>
      <w:r w:rsidR="007A621A" w:rsidRPr="00BC2BC4">
        <w:rPr>
          <w:kern w:val="2"/>
          <w:sz w:val="20"/>
        </w:rPr>
        <w:t xml:space="preserve">at least </w:t>
      </w:r>
      <w:r w:rsidRPr="00BC2BC4">
        <w:rPr>
          <w:kern w:val="2"/>
          <w:sz w:val="20"/>
        </w:rPr>
        <w:t>minimizes the risk of</w:t>
      </w:r>
      <w:r w:rsidR="00693D3A" w:rsidRPr="00BC2BC4">
        <w:rPr>
          <w:kern w:val="2"/>
          <w:sz w:val="20"/>
        </w:rPr>
        <w:t>,</w:t>
      </w:r>
      <w:r w:rsidRPr="00BC2BC4">
        <w:rPr>
          <w:kern w:val="2"/>
          <w:sz w:val="20"/>
        </w:rPr>
        <w:t xml:space="preserve"> corruption influencing the design and budget phases. The other stages of the procurement process involve tenders for the project, implementation of the project, supervision of the project’s implementation</w:t>
      </w:r>
      <w:r w:rsidR="005A3102" w:rsidRPr="00BC2BC4">
        <w:rPr>
          <w:kern w:val="2"/>
          <w:sz w:val="20"/>
        </w:rPr>
        <w:t>,</w:t>
      </w:r>
      <w:r w:rsidRPr="00BC2BC4">
        <w:rPr>
          <w:kern w:val="2"/>
          <w:sz w:val="20"/>
        </w:rPr>
        <w:t xml:space="preserve"> and a final audit upon completion.</w:t>
      </w:r>
    </w:p>
    <w:p w14:paraId="50F4DCE2" w14:textId="19E54DB6" w:rsidR="001D5664" w:rsidRPr="00BC2BC4" w:rsidRDefault="001D5664">
      <w:pPr>
        <w:rPr>
          <w:kern w:val="2"/>
          <w:sz w:val="20"/>
        </w:rPr>
      </w:pPr>
      <w:r w:rsidRPr="00BC2BC4">
        <w:rPr>
          <w:kern w:val="2"/>
          <w:sz w:val="20"/>
        </w:rPr>
        <w:t xml:space="preserve">Wells provides an overview of corruption risks </w:t>
      </w:r>
      <w:r w:rsidR="005B5AD5" w:rsidRPr="00BC2BC4">
        <w:rPr>
          <w:kern w:val="2"/>
          <w:sz w:val="20"/>
        </w:rPr>
        <w:t xml:space="preserve">at various stages of the </w:t>
      </w:r>
      <w:r w:rsidRPr="00BC2BC4">
        <w:rPr>
          <w:kern w:val="2"/>
          <w:sz w:val="20"/>
        </w:rPr>
        <w:t xml:space="preserve">public procurement </w:t>
      </w:r>
      <w:r w:rsidR="005B5AD5" w:rsidRPr="00BC2BC4">
        <w:rPr>
          <w:kern w:val="2"/>
          <w:sz w:val="20"/>
        </w:rPr>
        <w:t xml:space="preserve">process </w:t>
      </w:r>
      <w:r w:rsidRPr="00BC2BC4">
        <w:rPr>
          <w:kern w:val="2"/>
          <w:sz w:val="20"/>
        </w:rPr>
        <w:t xml:space="preserve">for infrastructure projects: </w:t>
      </w:r>
    </w:p>
    <w:p w14:paraId="58E88F6A" w14:textId="7B9F7103" w:rsidR="006A7EDE" w:rsidRPr="00BC2BC4" w:rsidRDefault="00983590" w:rsidP="009233FB">
      <w:pPr>
        <w:spacing w:after="120"/>
        <w:jc w:val="left"/>
        <w:rPr>
          <w:kern w:val="2"/>
          <w:sz w:val="20"/>
        </w:rPr>
      </w:pPr>
      <w:r w:rsidRPr="00BC2BC4">
        <w:rPr>
          <w:b/>
          <w:kern w:val="2"/>
          <w:sz w:val="20"/>
        </w:rPr>
        <w:t>T</w:t>
      </w:r>
      <w:r w:rsidR="001A40BD" w:rsidRPr="00BC2BC4">
        <w:rPr>
          <w:b/>
          <w:kern w:val="2"/>
          <w:sz w:val="20"/>
        </w:rPr>
        <w:t>able</w:t>
      </w:r>
      <w:r w:rsidRPr="00BC2BC4">
        <w:rPr>
          <w:b/>
          <w:kern w:val="2"/>
          <w:sz w:val="20"/>
        </w:rPr>
        <w:t xml:space="preserve"> 11.1</w:t>
      </w:r>
      <w:r w:rsidR="00460FBC" w:rsidRPr="00BC2BC4">
        <w:rPr>
          <w:kern w:val="2"/>
          <w:sz w:val="20"/>
        </w:rPr>
        <w:t xml:space="preserve"> </w:t>
      </w:r>
      <w:r w:rsidRPr="00BC2BC4">
        <w:rPr>
          <w:kern w:val="2"/>
          <w:sz w:val="20"/>
        </w:rPr>
        <w:t xml:space="preserve">Overview of Corruption Risks </w:t>
      </w:r>
      <w:r w:rsidR="00E9783B" w:rsidRPr="00BC2BC4">
        <w:rPr>
          <w:kern w:val="2"/>
          <w:sz w:val="20"/>
        </w:rPr>
        <w:t>during</w:t>
      </w:r>
      <w:r w:rsidRPr="00BC2BC4">
        <w:rPr>
          <w:kern w:val="2"/>
          <w:sz w:val="20"/>
        </w:rPr>
        <w:t xml:space="preserve"> Public Procurement Process for Infrastructure Projects</w:t>
      </w:r>
      <w:r w:rsidR="000F6028" w:rsidRPr="00BC2BC4">
        <w:rPr>
          <w:rStyle w:val="FootnoteReference"/>
          <w:kern w:val="2"/>
          <w:sz w:val="20"/>
        </w:rPr>
        <w:footnoteReference w:id="45"/>
      </w:r>
    </w:p>
    <w:tbl>
      <w:tblPr>
        <w:tblStyle w:val="TableGrid"/>
        <w:tblW w:w="0" w:type="auto"/>
        <w:tblInd w:w="108" w:type="dxa"/>
        <w:tblLook w:val="04A0" w:firstRow="1" w:lastRow="0" w:firstColumn="1" w:lastColumn="0" w:noHBand="0" w:noVBand="1"/>
      </w:tblPr>
      <w:tblGrid>
        <w:gridCol w:w="1588"/>
        <w:gridCol w:w="3970"/>
        <w:gridCol w:w="2404"/>
      </w:tblGrid>
      <w:tr w:rsidR="005B5AD5" w:rsidRPr="00D649B2" w14:paraId="78C4B00F" w14:textId="77777777" w:rsidTr="004C1B5D">
        <w:trPr>
          <w:tblHeader/>
        </w:trPr>
        <w:tc>
          <w:tcPr>
            <w:tcW w:w="1588" w:type="dxa"/>
            <w:vAlign w:val="center"/>
          </w:tcPr>
          <w:p w14:paraId="5CCAB300" w14:textId="77777777" w:rsidR="005B5AD5" w:rsidRPr="00D649B2" w:rsidRDefault="005B5AD5" w:rsidP="00D74BCE">
            <w:pPr>
              <w:spacing w:before="40" w:after="0"/>
              <w:rPr>
                <w:b/>
                <w:kern w:val="2"/>
                <w:sz w:val="18"/>
                <w:szCs w:val="18"/>
              </w:rPr>
            </w:pPr>
            <w:r w:rsidRPr="00D649B2">
              <w:rPr>
                <w:b/>
                <w:kern w:val="2"/>
                <w:sz w:val="18"/>
                <w:szCs w:val="18"/>
              </w:rPr>
              <w:t>Stages</w:t>
            </w:r>
          </w:p>
        </w:tc>
        <w:tc>
          <w:tcPr>
            <w:tcW w:w="3970" w:type="dxa"/>
            <w:vAlign w:val="center"/>
          </w:tcPr>
          <w:p w14:paraId="6741EC3A" w14:textId="77777777" w:rsidR="005B5AD5" w:rsidRPr="00D649B2" w:rsidRDefault="005B5AD5" w:rsidP="00D74BCE">
            <w:pPr>
              <w:spacing w:before="40" w:after="0"/>
              <w:rPr>
                <w:b/>
                <w:kern w:val="2"/>
                <w:sz w:val="18"/>
                <w:szCs w:val="18"/>
              </w:rPr>
            </w:pPr>
            <w:r w:rsidRPr="00D649B2">
              <w:rPr>
                <w:b/>
                <w:kern w:val="2"/>
                <w:sz w:val="18"/>
                <w:szCs w:val="18"/>
              </w:rPr>
              <w:t>Risks</w:t>
            </w:r>
          </w:p>
        </w:tc>
        <w:tc>
          <w:tcPr>
            <w:tcW w:w="2404" w:type="dxa"/>
            <w:vAlign w:val="center"/>
          </w:tcPr>
          <w:p w14:paraId="6710561E" w14:textId="77777777" w:rsidR="005B5AD5" w:rsidRPr="00D649B2" w:rsidRDefault="005B5AD5" w:rsidP="00D74BCE">
            <w:pPr>
              <w:spacing w:before="40" w:after="0"/>
              <w:rPr>
                <w:b/>
                <w:kern w:val="2"/>
                <w:sz w:val="18"/>
                <w:szCs w:val="18"/>
              </w:rPr>
            </w:pPr>
            <w:r w:rsidRPr="00D649B2">
              <w:rPr>
                <w:b/>
                <w:kern w:val="2"/>
                <w:sz w:val="18"/>
                <w:szCs w:val="18"/>
              </w:rPr>
              <w:t>Main actors</w:t>
            </w:r>
          </w:p>
        </w:tc>
      </w:tr>
      <w:tr w:rsidR="005B5AD5" w:rsidRPr="00D649B2" w14:paraId="7B9CB0E7" w14:textId="77777777" w:rsidTr="004C1B5D">
        <w:tc>
          <w:tcPr>
            <w:tcW w:w="1588" w:type="dxa"/>
          </w:tcPr>
          <w:p w14:paraId="2CA3369F" w14:textId="77777777" w:rsidR="005B5AD5" w:rsidRPr="00D649B2" w:rsidRDefault="005B5AD5" w:rsidP="00D74BCE">
            <w:pPr>
              <w:spacing w:before="40" w:after="0"/>
              <w:jc w:val="left"/>
              <w:rPr>
                <w:kern w:val="2"/>
                <w:sz w:val="18"/>
                <w:szCs w:val="18"/>
              </w:rPr>
            </w:pPr>
            <w:r w:rsidRPr="00D649B2">
              <w:rPr>
                <w:kern w:val="2"/>
                <w:sz w:val="18"/>
                <w:szCs w:val="18"/>
              </w:rPr>
              <w:t>Project appraisal</w:t>
            </w:r>
          </w:p>
        </w:tc>
        <w:tc>
          <w:tcPr>
            <w:tcW w:w="3970" w:type="dxa"/>
          </w:tcPr>
          <w:p w14:paraId="0C733F51" w14:textId="77777777" w:rsidR="005B5AD5" w:rsidRPr="00D649B2" w:rsidRDefault="005B5AD5" w:rsidP="00A75BC0">
            <w:pPr>
              <w:pStyle w:val="ListParagraph"/>
              <w:numPr>
                <w:ilvl w:val="0"/>
                <w:numId w:val="4"/>
              </w:numPr>
              <w:spacing w:before="40"/>
              <w:ind w:left="357" w:hanging="357"/>
              <w:rPr>
                <w:kern w:val="2"/>
                <w:sz w:val="18"/>
                <w:szCs w:val="18"/>
              </w:rPr>
            </w:pPr>
            <w:r w:rsidRPr="00D649B2">
              <w:rPr>
                <w:kern w:val="2"/>
                <w:sz w:val="18"/>
                <w:szCs w:val="18"/>
              </w:rPr>
              <w:t xml:space="preserve">Political influence or lobbying by private firms that biases selection to suit political or private interests </w:t>
            </w:r>
          </w:p>
          <w:p w14:paraId="3C50B9D4" w14:textId="77777777" w:rsidR="005B5AD5" w:rsidRPr="00D649B2" w:rsidRDefault="005B5AD5" w:rsidP="00A75BC0">
            <w:pPr>
              <w:pStyle w:val="ListParagraph"/>
              <w:numPr>
                <w:ilvl w:val="0"/>
                <w:numId w:val="4"/>
              </w:numPr>
              <w:spacing w:before="40"/>
              <w:ind w:left="357" w:hanging="357"/>
              <w:rPr>
                <w:kern w:val="2"/>
                <w:sz w:val="18"/>
                <w:szCs w:val="18"/>
              </w:rPr>
            </w:pPr>
            <w:r w:rsidRPr="00D649B2">
              <w:rPr>
                <w:kern w:val="2"/>
                <w:sz w:val="18"/>
                <w:szCs w:val="18"/>
              </w:rPr>
              <w:t xml:space="preserve">Promotion of projects in return for party funds </w:t>
            </w:r>
          </w:p>
          <w:p w14:paraId="7FF5C4B7" w14:textId="77777777" w:rsidR="005B5AD5" w:rsidRPr="00D649B2" w:rsidRDefault="005B5AD5" w:rsidP="00A75BC0">
            <w:pPr>
              <w:pStyle w:val="ListParagraph"/>
              <w:numPr>
                <w:ilvl w:val="0"/>
                <w:numId w:val="4"/>
              </w:numPr>
              <w:spacing w:before="40"/>
              <w:ind w:left="357" w:hanging="357"/>
              <w:rPr>
                <w:kern w:val="2"/>
                <w:sz w:val="18"/>
                <w:szCs w:val="18"/>
              </w:rPr>
            </w:pPr>
            <w:r w:rsidRPr="00D649B2">
              <w:rPr>
                <w:kern w:val="2"/>
                <w:sz w:val="18"/>
                <w:szCs w:val="18"/>
              </w:rPr>
              <w:t xml:space="preserve">Political influence to favour large projects and new construction over maintenance </w:t>
            </w:r>
          </w:p>
          <w:p w14:paraId="1288A45B" w14:textId="77777777" w:rsidR="005B5AD5" w:rsidRPr="00D649B2" w:rsidRDefault="005B5AD5" w:rsidP="00A75BC0">
            <w:pPr>
              <w:pStyle w:val="ListParagraph"/>
              <w:numPr>
                <w:ilvl w:val="0"/>
                <w:numId w:val="4"/>
              </w:numPr>
              <w:spacing w:before="40"/>
              <w:ind w:left="357" w:hanging="357"/>
              <w:rPr>
                <w:kern w:val="2"/>
                <w:sz w:val="18"/>
                <w:szCs w:val="18"/>
              </w:rPr>
            </w:pPr>
            <w:r w:rsidRPr="00D649B2">
              <w:rPr>
                <w:kern w:val="2"/>
                <w:sz w:val="18"/>
                <w:szCs w:val="18"/>
              </w:rPr>
              <w:t>Underestimated costs and overestimated benefits to get projects approved without adequate economic justification</w:t>
            </w:r>
          </w:p>
        </w:tc>
        <w:tc>
          <w:tcPr>
            <w:tcW w:w="2404" w:type="dxa"/>
          </w:tcPr>
          <w:p w14:paraId="2AC72DEC" w14:textId="77777777" w:rsidR="005B5AD5" w:rsidRPr="00D649B2" w:rsidRDefault="005B5AD5" w:rsidP="00A75BC0">
            <w:pPr>
              <w:pStyle w:val="ListParagraph"/>
              <w:numPr>
                <w:ilvl w:val="0"/>
                <w:numId w:val="4"/>
              </w:numPr>
              <w:spacing w:before="40"/>
              <w:ind w:left="357" w:hanging="357"/>
              <w:rPr>
                <w:kern w:val="2"/>
                <w:sz w:val="18"/>
                <w:szCs w:val="18"/>
              </w:rPr>
            </w:pPr>
            <w:r w:rsidRPr="00D649B2">
              <w:rPr>
                <w:kern w:val="2"/>
                <w:sz w:val="18"/>
                <w:szCs w:val="18"/>
              </w:rPr>
              <w:t xml:space="preserve">Government ministers </w:t>
            </w:r>
          </w:p>
          <w:p w14:paraId="363970F4" w14:textId="77777777" w:rsidR="005B5AD5" w:rsidRPr="00D649B2" w:rsidRDefault="005B5AD5" w:rsidP="00A75BC0">
            <w:pPr>
              <w:pStyle w:val="ListParagraph"/>
              <w:numPr>
                <w:ilvl w:val="0"/>
                <w:numId w:val="4"/>
              </w:numPr>
              <w:spacing w:before="40"/>
              <w:ind w:left="357" w:hanging="357"/>
              <w:rPr>
                <w:kern w:val="2"/>
                <w:sz w:val="18"/>
                <w:szCs w:val="18"/>
              </w:rPr>
            </w:pPr>
            <w:r w:rsidRPr="00D649B2">
              <w:rPr>
                <w:kern w:val="2"/>
                <w:sz w:val="18"/>
                <w:szCs w:val="18"/>
              </w:rPr>
              <w:t xml:space="preserve">Senior civil servants </w:t>
            </w:r>
          </w:p>
          <w:p w14:paraId="54AF1FA6" w14:textId="77777777" w:rsidR="005B5AD5" w:rsidRPr="00D649B2" w:rsidRDefault="005B5AD5" w:rsidP="00A75BC0">
            <w:pPr>
              <w:pStyle w:val="ListParagraph"/>
              <w:numPr>
                <w:ilvl w:val="0"/>
                <w:numId w:val="4"/>
              </w:numPr>
              <w:spacing w:before="40"/>
              <w:ind w:left="357" w:hanging="357"/>
              <w:rPr>
                <w:kern w:val="2"/>
                <w:sz w:val="18"/>
                <w:szCs w:val="18"/>
              </w:rPr>
            </w:pPr>
            <w:r w:rsidRPr="00D649B2">
              <w:rPr>
                <w:kern w:val="2"/>
                <w:sz w:val="18"/>
                <w:szCs w:val="18"/>
              </w:rPr>
              <w:t xml:space="preserve">Procurement officers </w:t>
            </w:r>
          </w:p>
          <w:p w14:paraId="5D5E096E" w14:textId="77777777" w:rsidR="005B5AD5" w:rsidRPr="00D649B2" w:rsidRDefault="005B5AD5" w:rsidP="00A75BC0">
            <w:pPr>
              <w:pStyle w:val="ListParagraph"/>
              <w:numPr>
                <w:ilvl w:val="0"/>
                <w:numId w:val="4"/>
              </w:numPr>
              <w:spacing w:before="40"/>
              <w:ind w:left="357" w:hanging="357"/>
              <w:rPr>
                <w:kern w:val="2"/>
                <w:sz w:val="18"/>
                <w:szCs w:val="18"/>
              </w:rPr>
            </w:pPr>
            <w:r w:rsidRPr="00D649B2">
              <w:rPr>
                <w:kern w:val="2"/>
                <w:sz w:val="18"/>
                <w:szCs w:val="18"/>
              </w:rPr>
              <w:t>Private consultants (e.g., planners, designers, engineers, and surveyors)</w:t>
            </w:r>
          </w:p>
        </w:tc>
      </w:tr>
      <w:tr w:rsidR="005B5AD5" w:rsidRPr="00D649B2" w14:paraId="398A87DD" w14:textId="77777777" w:rsidTr="004C1B5D">
        <w:tc>
          <w:tcPr>
            <w:tcW w:w="1588" w:type="dxa"/>
          </w:tcPr>
          <w:p w14:paraId="453B75FE" w14:textId="62070880" w:rsidR="005B5AD5" w:rsidRPr="00D649B2" w:rsidRDefault="005B5AD5" w:rsidP="00D74BCE">
            <w:pPr>
              <w:spacing w:before="40" w:after="0"/>
              <w:jc w:val="left"/>
              <w:rPr>
                <w:kern w:val="2"/>
                <w:sz w:val="18"/>
                <w:szCs w:val="18"/>
              </w:rPr>
            </w:pPr>
            <w:r w:rsidRPr="00D649B2">
              <w:rPr>
                <w:kern w:val="2"/>
                <w:sz w:val="18"/>
                <w:szCs w:val="18"/>
              </w:rPr>
              <w:t>Project selection, design, and budgeting</w:t>
            </w:r>
          </w:p>
        </w:tc>
        <w:tc>
          <w:tcPr>
            <w:tcW w:w="3970" w:type="dxa"/>
          </w:tcPr>
          <w:p w14:paraId="152A76A8" w14:textId="77777777" w:rsidR="005B5AD5" w:rsidRPr="00D649B2" w:rsidRDefault="005B5AD5" w:rsidP="00A75BC0">
            <w:pPr>
              <w:pStyle w:val="ListParagraph"/>
              <w:numPr>
                <w:ilvl w:val="0"/>
                <w:numId w:val="5"/>
              </w:numPr>
              <w:spacing w:before="40"/>
              <w:ind w:left="357" w:hanging="357"/>
              <w:rPr>
                <w:kern w:val="2"/>
                <w:sz w:val="18"/>
                <w:szCs w:val="18"/>
              </w:rPr>
            </w:pPr>
            <w:r w:rsidRPr="00D649B2">
              <w:rPr>
                <w:kern w:val="2"/>
                <w:sz w:val="18"/>
                <w:szCs w:val="18"/>
              </w:rPr>
              <w:t xml:space="preserve">Costly designs that increase consultants’ fees and contractors’ profits </w:t>
            </w:r>
          </w:p>
          <w:p w14:paraId="1916B54B" w14:textId="77777777" w:rsidR="005B5AD5" w:rsidRPr="00D649B2" w:rsidRDefault="005B5AD5" w:rsidP="00A75BC0">
            <w:pPr>
              <w:pStyle w:val="ListParagraph"/>
              <w:numPr>
                <w:ilvl w:val="0"/>
                <w:numId w:val="5"/>
              </w:numPr>
              <w:spacing w:before="40"/>
              <w:ind w:left="357" w:hanging="357"/>
              <w:rPr>
                <w:kern w:val="2"/>
                <w:sz w:val="18"/>
                <w:szCs w:val="18"/>
              </w:rPr>
            </w:pPr>
            <w:r w:rsidRPr="00D649B2">
              <w:rPr>
                <w:kern w:val="2"/>
                <w:sz w:val="18"/>
                <w:szCs w:val="18"/>
              </w:rPr>
              <w:t xml:space="preserve">Designs that favour a specific contractor </w:t>
            </w:r>
          </w:p>
          <w:p w14:paraId="1735C2CF" w14:textId="77777777" w:rsidR="005B5AD5" w:rsidRPr="00D649B2" w:rsidRDefault="005B5AD5" w:rsidP="00A75BC0">
            <w:pPr>
              <w:pStyle w:val="ListParagraph"/>
              <w:numPr>
                <w:ilvl w:val="0"/>
                <w:numId w:val="5"/>
              </w:numPr>
              <w:spacing w:before="40"/>
              <w:ind w:left="357" w:hanging="357"/>
              <w:rPr>
                <w:kern w:val="2"/>
                <w:sz w:val="18"/>
                <w:szCs w:val="18"/>
              </w:rPr>
            </w:pPr>
            <w:r w:rsidRPr="00D649B2">
              <w:rPr>
                <w:kern w:val="2"/>
                <w:sz w:val="18"/>
                <w:szCs w:val="18"/>
              </w:rPr>
              <w:t xml:space="preserve">Incomplete designs that leave room for later adjustments (which can be manipulated) </w:t>
            </w:r>
          </w:p>
          <w:p w14:paraId="047F3A66" w14:textId="77777777" w:rsidR="005B5AD5" w:rsidRPr="00D649B2" w:rsidRDefault="005B5AD5" w:rsidP="00A75BC0">
            <w:pPr>
              <w:pStyle w:val="ListParagraph"/>
              <w:numPr>
                <w:ilvl w:val="0"/>
                <w:numId w:val="5"/>
              </w:numPr>
              <w:spacing w:before="40"/>
              <w:ind w:left="357" w:hanging="357"/>
              <w:rPr>
                <w:kern w:val="2"/>
                <w:sz w:val="18"/>
                <w:szCs w:val="18"/>
              </w:rPr>
            </w:pPr>
            <w:r w:rsidRPr="00D649B2">
              <w:rPr>
                <w:kern w:val="2"/>
                <w:sz w:val="18"/>
                <w:szCs w:val="18"/>
              </w:rPr>
              <w:t xml:space="preserve">High cost estimates to provide a cushion for the later diversion of funds </w:t>
            </w:r>
          </w:p>
          <w:p w14:paraId="1FEFFB34" w14:textId="77777777" w:rsidR="005B5AD5" w:rsidRPr="00D649B2" w:rsidRDefault="005B5AD5" w:rsidP="00A75BC0">
            <w:pPr>
              <w:pStyle w:val="ListParagraph"/>
              <w:numPr>
                <w:ilvl w:val="0"/>
                <w:numId w:val="5"/>
              </w:numPr>
              <w:spacing w:before="40"/>
              <w:ind w:left="357" w:hanging="357"/>
              <w:rPr>
                <w:kern w:val="2"/>
                <w:sz w:val="18"/>
                <w:szCs w:val="18"/>
              </w:rPr>
            </w:pPr>
            <w:r w:rsidRPr="00D649B2">
              <w:rPr>
                <w:kern w:val="2"/>
                <w:sz w:val="18"/>
                <w:szCs w:val="18"/>
              </w:rPr>
              <w:t>Political influence to get projects into the budget without appraisal</w:t>
            </w:r>
          </w:p>
        </w:tc>
        <w:tc>
          <w:tcPr>
            <w:tcW w:w="2404" w:type="dxa"/>
          </w:tcPr>
          <w:p w14:paraId="008BA5DE" w14:textId="77777777" w:rsidR="002827C9" w:rsidRPr="00D649B2" w:rsidRDefault="002827C9" w:rsidP="00A75BC0">
            <w:pPr>
              <w:pStyle w:val="ListParagraph"/>
              <w:numPr>
                <w:ilvl w:val="0"/>
                <w:numId w:val="4"/>
              </w:numPr>
              <w:spacing w:before="40"/>
              <w:ind w:left="357" w:hanging="357"/>
              <w:rPr>
                <w:kern w:val="2"/>
                <w:sz w:val="18"/>
                <w:szCs w:val="18"/>
              </w:rPr>
            </w:pPr>
            <w:r w:rsidRPr="00D649B2">
              <w:rPr>
                <w:kern w:val="2"/>
                <w:sz w:val="18"/>
                <w:szCs w:val="18"/>
              </w:rPr>
              <w:t xml:space="preserve">Government ministers </w:t>
            </w:r>
          </w:p>
          <w:p w14:paraId="0866EFF2" w14:textId="77777777" w:rsidR="002827C9" w:rsidRPr="00D649B2" w:rsidRDefault="002827C9" w:rsidP="00A75BC0">
            <w:pPr>
              <w:pStyle w:val="ListParagraph"/>
              <w:numPr>
                <w:ilvl w:val="0"/>
                <w:numId w:val="4"/>
              </w:numPr>
              <w:spacing w:before="40"/>
              <w:ind w:left="357" w:hanging="357"/>
              <w:rPr>
                <w:kern w:val="2"/>
                <w:sz w:val="18"/>
                <w:szCs w:val="18"/>
              </w:rPr>
            </w:pPr>
            <w:r w:rsidRPr="00D649B2">
              <w:rPr>
                <w:kern w:val="2"/>
                <w:sz w:val="18"/>
                <w:szCs w:val="18"/>
              </w:rPr>
              <w:t xml:space="preserve">Senior civil servants </w:t>
            </w:r>
          </w:p>
          <w:p w14:paraId="700FD687" w14:textId="77777777" w:rsidR="002827C9" w:rsidRPr="00D649B2" w:rsidRDefault="002827C9" w:rsidP="00A75BC0">
            <w:pPr>
              <w:pStyle w:val="ListParagraph"/>
              <w:numPr>
                <w:ilvl w:val="0"/>
                <w:numId w:val="4"/>
              </w:numPr>
              <w:spacing w:before="40"/>
              <w:ind w:left="357" w:hanging="357"/>
              <w:rPr>
                <w:kern w:val="2"/>
                <w:sz w:val="18"/>
                <w:szCs w:val="18"/>
              </w:rPr>
            </w:pPr>
            <w:r w:rsidRPr="00D649B2">
              <w:rPr>
                <w:kern w:val="2"/>
                <w:sz w:val="18"/>
                <w:szCs w:val="18"/>
              </w:rPr>
              <w:t xml:space="preserve">Procurement officers </w:t>
            </w:r>
          </w:p>
          <w:p w14:paraId="2AA5E68D" w14:textId="77777777" w:rsidR="005B5AD5" w:rsidRPr="00D649B2" w:rsidRDefault="002827C9" w:rsidP="00A75BC0">
            <w:pPr>
              <w:pStyle w:val="ListParagraph"/>
              <w:numPr>
                <w:ilvl w:val="0"/>
                <w:numId w:val="4"/>
              </w:numPr>
              <w:spacing w:before="40"/>
              <w:ind w:left="357" w:hanging="357"/>
              <w:rPr>
                <w:kern w:val="2"/>
                <w:sz w:val="18"/>
                <w:szCs w:val="18"/>
              </w:rPr>
            </w:pPr>
            <w:r w:rsidRPr="00D649B2">
              <w:rPr>
                <w:kern w:val="2"/>
                <w:sz w:val="18"/>
                <w:szCs w:val="18"/>
              </w:rPr>
              <w:t>Private consultants (e.g., planners, designers, engineers, and surveyors)</w:t>
            </w:r>
          </w:p>
        </w:tc>
      </w:tr>
      <w:tr w:rsidR="005B5AD5" w:rsidRPr="00D649B2" w14:paraId="54DA224D" w14:textId="77777777" w:rsidTr="004C1B5D">
        <w:tc>
          <w:tcPr>
            <w:tcW w:w="1588" w:type="dxa"/>
          </w:tcPr>
          <w:p w14:paraId="128AFE8F" w14:textId="77777777" w:rsidR="005B5AD5" w:rsidRPr="00D649B2" w:rsidRDefault="005B5AD5" w:rsidP="00D74BCE">
            <w:pPr>
              <w:spacing w:before="40" w:after="0"/>
              <w:jc w:val="left"/>
              <w:rPr>
                <w:kern w:val="2"/>
                <w:sz w:val="18"/>
                <w:szCs w:val="18"/>
              </w:rPr>
            </w:pPr>
            <w:r w:rsidRPr="00D649B2">
              <w:rPr>
                <w:kern w:val="2"/>
                <w:sz w:val="18"/>
                <w:szCs w:val="18"/>
              </w:rPr>
              <w:t>Tender for works and supervision contracts</w:t>
            </w:r>
          </w:p>
        </w:tc>
        <w:tc>
          <w:tcPr>
            <w:tcW w:w="3970" w:type="dxa"/>
          </w:tcPr>
          <w:p w14:paraId="79545C2F" w14:textId="77777777" w:rsidR="00A64267" w:rsidRPr="00D649B2" w:rsidRDefault="00A64267" w:rsidP="00A75BC0">
            <w:pPr>
              <w:pStyle w:val="ListParagraph"/>
              <w:numPr>
                <w:ilvl w:val="0"/>
                <w:numId w:val="6"/>
              </w:numPr>
              <w:spacing w:before="40"/>
              <w:ind w:left="357" w:hanging="357"/>
              <w:rPr>
                <w:kern w:val="2"/>
                <w:sz w:val="18"/>
                <w:szCs w:val="18"/>
              </w:rPr>
            </w:pPr>
            <w:r w:rsidRPr="00D649B2">
              <w:rPr>
                <w:kern w:val="2"/>
                <w:sz w:val="18"/>
                <w:szCs w:val="18"/>
              </w:rPr>
              <w:t xml:space="preserve">Bribery to obtain contracts (leaving costs to be recovered at later stages) </w:t>
            </w:r>
          </w:p>
          <w:p w14:paraId="346165AB" w14:textId="77777777" w:rsidR="00A64267" w:rsidRPr="00D649B2" w:rsidRDefault="00A64267" w:rsidP="00A75BC0">
            <w:pPr>
              <w:pStyle w:val="ListParagraph"/>
              <w:numPr>
                <w:ilvl w:val="0"/>
                <w:numId w:val="6"/>
              </w:numPr>
              <w:spacing w:before="40"/>
              <w:ind w:left="357" w:hanging="357"/>
              <w:rPr>
                <w:kern w:val="2"/>
                <w:sz w:val="18"/>
                <w:szCs w:val="18"/>
              </w:rPr>
            </w:pPr>
            <w:r w:rsidRPr="00D649B2">
              <w:rPr>
                <w:kern w:val="2"/>
                <w:sz w:val="18"/>
                <w:szCs w:val="18"/>
              </w:rPr>
              <w:t xml:space="preserve">Collusion among bidders to allocate contracts and/or raise prices (potentially with assistance from procurement officers) </w:t>
            </w:r>
          </w:p>
          <w:p w14:paraId="17862EDC" w14:textId="77777777" w:rsidR="00A64267" w:rsidRPr="00D649B2" w:rsidRDefault="00A64267" w:rsidP="00A75BC0">
            <w:pPr>
              <w:pStyle w:val="ListParagraph"/>
              <w:numPr>
                <w:ilvl w:val="0"/>
                <w:numId w:val="6"/>
              </w:numPr>
              <w:spacing w:before="40"/>
              <w:ind w:left="357" w:hanging="357"/>
              <w:rPr>
                <w:kern w:val="2"/>
                <w:sz w:val="18"/>
                <w:szCs w:val="18"/>
              </w:rPr>
            </w:pPr>
            <w:r w:rsidRPr="00D649B2">
              <w:rPr>
                <w:kern w:val="2"/>
                <w:sz w:val="18"/>
                <w:szCs w:val="18"/>
              </w:rPr>
              <w:t xml:space="preserve">Interference by procurement officers to favour specific firms or individuals </w:t>
            </w:r>
          </w:p>
          <w:p w14:paraId="11C06A51" w14:textId="77777777" w:rsidR="005B5AD5" w:rsidRPr="00D649B2" w:rsidRDefault="00A64267" w:rsidP="00A75BC0">
            <w:pPr>
              <w:pStyle w:val="ListParagraph"/>
              <w:numPr>
                <w:ilvl w:val="0"/>
                <w:numId w:val="6"/>
              </w:numPr>
              <w:spacing w:before="40"/>
              <w:ind w:left="357" w:hanging="357"/>
              <w:rPr>
                <w:kern w:val="2"/>
                <w:sz w:val="18"/>
                <w:szCs w:val="18"/>
              </w:rPr>
            </w:pPr>
            <w:r w:rsidRPr="00D649B2">
              <w:rPr>
                <w:kern w:val="2"/>
                <w:sz w:val="18"/>
                <w:szCs w:val="18"/>
              </w:rPr>
              <w:t>Going to tender and signing contracts for projects that are not in the budget</w:t>
            </w:r>
          </w:p>
        </w:tc>
        <w:tc>
          <w:tcPr>
            <w:tcW w:w="2404" w:type="dxa"/>
          </w:tcPr>
          <w:p w14:paraId="399E8CF3" w14:textId="77777777" w:rsidR="00A64267" w:rsidRPr="00D649B2" w:rsidRDefault="00A64267" w:rsidP="00A75BC0">
            <w:pPr>
              <w:pStyle w:val="ListParagraph"/>
              <w:numPr>
                <w:ilvl w:val="0"/>
                <w:numId w:val="4"/>
              </w:numPr>
              <w:spacing w:before="40"/>
              <w:ind w:left="357" w:hanging="357"/>
              <w:rPr>
                <w:kern w:val="2"/>
                <w:sz w:val="18"/>
                <w:szCs w:val="18"/>
              </w:rPr>
            </w:pPr>
            <w:r w:rsidRPr="00D649B2">
              <w:rPr>
                <w:kern w:val="2"/>
                <w:sz w:val="18"/>
                <w:szCs w:val="18"/>
              </w:rPr>
              <w:t xml:space="preserve">Procurement officers </w:t>
            </w:r>
          </w:p>
          <w:p w14:paraId="12921ABA" w14:textId="77777777" w:rsidR="005B5AD5" w:rsidRPr="00D649B2" w:rsidRDefault="00A64267" w:rsidP="00A75BC0">
            <w:pPr>
              <w:pStyle w:val="ListParagraph"/>
              <w:numPr>
                <w:ilvl w:val="0"/>
                <w:numId w:val="4"/>
              </w:numPr>
              <w:spacing w:before="40"/>
              <w:ind w:left="357" w:hanging="357"/>
              <w:rPr>
                <w:kern w:val="2"/>
                <w:sz w:val="18"/>
                <w:szCs w:val="18"/>
              </w:rPr>
            </w:pPr>
            <w:r w:rsidRPr="00D649B2">
              <w:rPr>
                <w:kern w:val="2"/>
                <w:sz w:val="18"/>
                <w:szCs w:val="18"/>
              </w:rPr>
              <w:t>Private consultants (e.g., supervising engineer)</w:t>
            </w:r>
          </w:p>
          <w:p w14:paraId="0A17F9E3" w14:textId="77777777" w:rsidR="00A64267" w:rsidRPr="00D649B2" w:rsidRDefault="00A64267" w:rsidP="00A75BC0">
            <w:pPr>
              <w:pStyle w:val="ListParagraph"/>
              <w:numPr>
                <w:ilvl w:val="0"/>
                <w:numId w:val="4"/>
              </w:numPr>
              <w:spacing w:before="40"/>
              <w:ind w:left="357" w:hanging="357"/>
              <w:rPr>
                <w:kern w:val="2"/>
                <w:sz w:val="18"/>
                <w:szCs w:val="18"/>
              </w:rPr>
            </w:pPr>
            <w:r w:rsidRPr="00D649B2">
              <w:rPr>
                <w:kern w:val="2"/>
                <w:sz w:val="18"/>
                <w:szCs w:val="18"/>
              </w:rPr>
              <w:t>Contractors</w:t>
            </w:r>
          </w:p>
        </w:tc>
      </w:tr>
      <w:tr w:rsidR="005B5AD5" w:rsidRPr="00D649B2" w14:paraId="2FBA38E7" w14:textId="77777777" w:rsidTr="004C1B5D">
        <w:tc>
          <w:tcPr>
            <w:tcW w:w="1588" w:type="dxa"/>
          </w:tcPr>
          <w:p w14:paraId="4F62BD96" w14:textId="77777777" w:rsidR="005B5AD5" w:rsidRPr="00D649B2" w:rsidRDefault="005B5AD5" w:rsidP="00D74BCE">
            <w:pPr>
              <w:spacing w:before="40" w:after="0"/>
              <w:jc w:val="left"/>
              <w:rPr>
                <w:kern w:val="2"/>
                <w:sz w:val="18"/>
                <w:szCs w:val="18"/>
              </w:rPr>
            </w:pPr>
            <w:r w:rsidRPr="00D649B2">
              <w:rPr>
                <w:kern w:val="2"/>
                <w:sz w:val="18"/>
                <w:szCs w:val="18"/>
              </w:rPr>
              <w:t>Implementation</w:t>
            </w:r>
          </w:p>
        </w:tc>
        <w:tc>
          <w:tcPr>
            <w:tcW w:w="3970" w:type="dxa"/>
          </w:tcPr>
          <w:p w14:paraId="1A1006A0" w14:textId="77777777" w:rsidR="00AF1DF8" w:rsidRPr="00D649B2" w:rsidRDefault="00AF1DF8" w:rsidP="00A75BC0">
            <w:pPr>
              <w:pStyle w:val="ListParagraph"/>
              <w:numPr>
                <w:ilvl w:val="0"/>
                <w:numId w:val="7"/>
              </w:numPr>
              <w:spacing w:before="40"/>
              <w:ind w:left="357" w:hanging="357"/>
              <w:rPr>
                <w:kern w:val="2"/>
                <w:sz w:val="18"/>
                <w:szCs w:val="18"/>
              </w:rPr>
            </w:pPr>
            <w:r w:rsidRPr="00D649B2">
              <w:rPr>
                <w:kern w:val="2"/>
                <w:sz w:val="18"/>
                <w:szCs w:val="18"/>
              </w:rPr>
              <w:t xml:space="preserve">Collusion between contractor and the supervising engineer (with or without the client’s knowledge) that results in the use of lower quality materials and substandard work </w:t>
            </w:r>
          </w:p>
          <w:p w14:paraId="73DAE783" w14:textId="77777777" w:rsidR="005B5AD5" w:rsidRPr="00D649B2" w:rsidRDefault="00AF1DF8" w:rsidP="00A75BC0">
            <w:pPr>
              <w:pStyle w:val="ListParagraph"/>
              <w:numPr>
                <w:ilvl w:val="0"/>
                <w:numId w:val="7"/>
              </w:numPr>
              <w:spacing w:before="40"/>
              <w:ind w:left="357" w:hanging="357"/>
              <w:rPr>
                <w:kern w:val="2"/>
                <w:sz w:val="18"/>
                <w:szCs w:val="18"/>
              </w:rPr>
            </w:pPr>
            <w:r w:rsidRPr="00D649B2">
              <w:rPr>
                <w:kern w:val="2"/>
                <w:sz w:val="18"/>
                <w:szCs w:val="18"/>
              </w:rPr>
              <w:t>Collusion between contractors and the supervising engineer to increase the contract price or adjust the work required in order to make extra profits, cover potential losses, or recover money spent on bribes</w:t>
            </w:r>
          </w:p>
        </w:tc>
        <w:tc>
          <w:tcPr>
            <w:tcW w:w="2404" w:type="dxa"/>
          </w:tcPr>
          <w:p w14:paraId="386D6F7B" w14:textId="77777777" w:rsidR="00A64267" w:rsidRPr="00D649B2" w:rsidRDefault="00A64267" w:rsidP="00A75BC0">
            <w:pPr>
              <w:pStyle w:val="ListParagraph"/>
              <w:numPr>
                <w:ilvl w:val="0"/>
                <w:numId w:val="4"/>
              </w:numPr>
              <w:spacing w:before="40"/>
              <w:ind w:left="357" w:hanging="357"/>
              <w:rPr>
                <w:kern w:val="2"/>
                <w:sz w:val="18"/>
                <w:szCs w:val="18"/>
              </w:rPr>
            </w:pPr>
            <w:r w:rsidRPr="00D649B2">
              <w:rPr>
                <w:kern w:val="2"/>
                <w:sz w:val="18"/>
                <w:szCs w:val="18"/>
              </w:rPr>
              <w:t xml:space="preserve">Procurement officers </w:t>
            </w:r>
          </w:p>
          <w:p w14:paraId="595A85B8" w14:textId="77777777" w:rsidR="00A64267" w:rsidRPr="00D649B2" w:rsidRDefault="00A64267" w:rsidP="00A75BC0">
            <w:pPr>
              <w:pStyle w:val="ListParagraph"/>
              <w:numPr>
                <w:ilvl w:val="0"/>
                <w:numId w:val="4"/>
              </w:numPr>
              <w:spacing w:before="40"/>
              <w:ind w:left="357" w:hanging="357"/>
              <w:rPr>
                <w:kern w:val="2"/>
                <w:sz w:val="18"/>
                <w:szCs w:val="18"/>
              </w:rPr>
            </w:pPr>
            <w:r w:rsidRPr="00D649B2">
              <w:rPr>
                <w:kern w:val="2"/>
                <w:sz w:val="18"/>
                <w:szCs w:val="18"/>
              </w:rPr>
              <w:t>Private consultants (e.g., supervising engineer)</w:t>
            </w:r>
          </w:p>
          <w:p w14:paraId="00C8BAFD" w14:textId="77777777" w:rsidR="005B5AD5" w:rsidRPr="00D649B2" w:rsidRDefault="00A64267" w:rsidP="00A75BC0">
            <w:pPr>
              <w:pStyle w:val="ListParagraph"/>
              <w:numPr>
                <w:ilvl w:val="0"/>
                <w:numId w:val="4"/>
              </w:numPr>
              <w:spacing w:before="40"/>
              <w:ind w:left="357" w:hanging="357"/>
              <w:rPr>
                <w:kern w:val="2"/>
                <w:sz w:val="18"/>
                <w:szCs w:val="18"/>
              </w:rPr>
            </w:pPr>
            <w:r w:rsidRPr="00D649B2">
              <w:rPr>
                <w:kern w:val="2"/>
                <w:sz w:val="18"/>
                <w:szCs w:val="18"/>
              </w:rPr>
              <w:t>Contractors and subcontractors</w:t>
            </w:r>
          </w:p>
        </w:tc>
      </w:tr>
      <w:tr w:rsidR="005B5AD5" w:rsidRPr="00D649B2" w14:paraId="66E0BD67" w14:textId="77777777" w:rsidTr="004C1B5D">
        <w:tc>
          <w:tcPr>
            <w:tcW w:w="1588" w:type="dxa"/>
          </w:tcPr>
          <w:p w14:paraId="1625CA37" w14:textId="77777777" w:rsidR="005B5AD5" w:rsidRPr="00D649B2" w:rsidRDefault="005B5AD5" w:rsidP="00D74BCE">
            <w:pPr>
              <w:spacing w:before="40" w:after="0"/>
              <w:jc w:val="left"/>
              <w:rPr>
                <w:kern w:val="2"/>
                <w:sz w:val="18"/>
                <w:szCs w:val="18"/>
              </w:rPr>
            </w:pPr>
            <w:r w:rsidRPr="00D649B2">
              <w:rPr>
                <w:kern w:val="2"/>
                <w:sz w:val="18"/>
                <w:szCs w:val="18"/>
              </w:rPr>
              <w:t>Operation and maintenance, including evaluation and audit</w:t>
            </w:r>
          </w:p>
        </w:tc>
        <w:tc>
          <w:tcPr>
            <w:tcW w:w="3970" w:type="dxa"/>
          </w:tcPr>
          <w:p w14:paraId="42CB6C38" w14:textId="77777777" w:rsidR="00AF1DF8" w:rsidRPr="00D649B2" w:rsidRDefault="00AF1DF8" w:rsidP="00A75BC0">
            <w:pPr>
              <w:pStyle w:val="ListParagraph"/>
              <w:numPr>
                <w:ilvl w:val="0"/>
                <w:numId w:val="8"/>
              </w:numPr>
              <w:spacing w:before="40"/>
              <w:ind w:left="357" w:hanging="357"/>
              <w:rPr>
                <w:kern w:val="2"/>
                <w:sz w:val="18"/>
                <w:szCs w:val="18"/>
              </w:rPr>
            </w:pPr>
            <w:r w:rsidRPr="00D649B2">
              <w:rPr>
                <w:kern w:val="2"/>
                <w:sz w:val="18"/>
                <w:szCs w:val="18"/>
              </w:rPr>
              <w:t xml:space="preserve">Agreement by the supervising engineer to accept poor quality work or work below the specification, leading to rapid deterioration of assets </w:t>
            </w:r>
          </w:p>
          <w:p w14:paraId="11038670" w14:textId="77777777" w:rsidR="005B5AD5" w:rsidRPr="00D649B2" w:rsidRDefault="00AF1DF8" w:rsidP="00A75BC0">
            <w:pPr>
              <w:pStyle w:val="ListParagraph"/>
              <w:numPr>
                <w:ilvl w:val="0"/>
                <w:numId w:val="8"/>
              </w:numPr>
              <w:spacing w:before="40" w:after="120"/>
              <w:ind w:left="357" w:hanging="357"/>
              <w:rPr>
                <w:kern w:val="2"/>
                <w:sz w:val="18"/>
                <w:szCs w:val="18"/>
              </w:rPr>
            </w:pPr>
            <w:r w:rsidRPr="00D649B2">
              <w:rPr>
                <w:kern w:val="2"/>
                <w:sz w:val="18"/>
                <w:szCs w:val="18"/>
              </w:rPr>
              <w:t>A lack of allocated funds for maintenance, as new construction takes precedence in the project identification stage for future projects</w:t>
            </w:r>
          </w:p>
        </w:tc>
        <w:tc>
          <w:tcPr>
            <w:tcW w:w="2404" w:type="dxa"/>
          </w:tcPr>
          <w:p w14:paraId="44CF3FD6" w14:textId="77777777" w:rsidR="00A64267" w:rsidRPr="00D649B2" w:rsidRDefault="00A64267" w:rsidP="00A75BC0">
            <w:pPr>
              <w:pStyle w:val="ListParagraph"/>
              <w:numPr>
                <w:ilvl w:val="0"/>
                <w:numId w:val="4"/>
              </w:numPr>
              <w:spacing w:before="40"/>
              <w:ind w:left="357" w:hanging="357"/>
              <w:rPr>
                <w:kern w:val="2"/>
                <w:sz w:val="18"/>
                <w:szCs w:val="18"/>
              </w:rPr>
            </w:pPr>
            <w:r w:rsidRPr="00D649B2">
              <w:rPr>
                <w:kern w:val="2"/>
                <w:sz w:val="18"/>
                <w:szCs w:val="18"/>
              </w:rPr>
              <w:t xml:space="preserve">Procurement officers </w:t>
            </w:r>
          </w:p>
          <w:p w14:paraId="5DD0C49D" w14:textId="77777777" w:rsidR="00A64267" w:rsidRPr="00D649B2" w:rsidRDefault="00A64267" w:rsidP="00A75BC0">
            <w:pPr>
              <w:pStyle w:val="ListParagraph"/>
              <w:numPr>
                <w:ilvl w:val="0"/>
                <w:numId w:val="4"/>
              </w:numPr>
              <w:spacing w:before="40"/>
              <w:ind w:left="357" w:hanging="357"/>
              <w:rPr>
                <w:kern w:val="2"/>
                <w:sz w:val="18"/>
                <w:szCs w:val="18"/>
              </w:rPr>
            </w:pPr>
            <w:r w:rsidRPr="00D649B2">
              <w:rPr>
                <w:kern w:val="2"/>
                <w:sz w:val="18"/>
                <w:szCs w:val="18"/>
              </w:rPr>
              <w:t>Private consultants (e.g., supervising engineer)</w:t>
            </w:r>
          </w:p>
          <w:p w14:paraId="2D13AD01" w14:textId="77777777" w:rsidR="005B5AD5" w:rsidRPr="00D649B2" w:rsidRDefault="00A64267" w:rsidP="00A75BC0">
            <w:pPr>
              <w:pStyle w:val="ListParagraph"/>
              <w:numPr>
                <w:ilvl w:val="0"/>
                <w:numId w:val="4"/>
              </w:numPr>
              <w:spacing w:before="40"/>
              <w:ind w:left="357" w:hanging="357"/>
              <w:rPr>
                <w:kern w:val="2"/>
                <w:sz w:val="18"/>
                <w:szCs w:val="18"/>
              </w:rPr>
            </w:pPr>
            <w:r w:rsidRPr="00D649B2">
              <w:rPr>
                <w:kern w:val="2"/>
                <w:sz w:val="18"/>
                <w:szCs w:val="18"/>
              </w:rPr>
              <w:t>Contractors and subcontractors</w:t>
            </w:r>
          </w:p>
        </w:tc>
      </w:tr>
    </w:tbl>
    <w:p w14:paraId="56CF018B" w14:textId="33A3B247" w:rsidR="001D5664" w:rsidRPr="00BC2BC4" w:rsidRDefault="00C34B93" w:rsidP="008F12B6">
      <w:pPr>
        <w:spacing w:before="360"/>
        <w:rPr>
          <w:kern w:val="2"/>
          <w:sz w:val="20"/>
        </w:rPr>
      </w:pPr>
      <w:r w:rsidRPr="00BC2BC4">
        <w:rPr>
          <w:kern w:val="2"/>
          <w:sz w:val="20"/>
        </w:rPr>
        <w:t>Wel</w:t>
      </w:r>
      <w:r w:rsidR="003D55FF" w:rsidRPr="00BC2BC4">
        <w:rPr>
          <w:kern w:val="2"/>
          <w:sz w:val="20"/>
        </w:rPr>
        <w:t>l</w:t>
      </w:r>
      <w:r w:rsidRPr="00BC2BC4">
        <w:rPr>
          <w:kern w:val="2"/>
          <w:sz w:val="20"/>
        </w:rPr>
        <w:t>s refers to an index developed by Dabla-Norris et al</w:t>
      </w:r>
      <w:r w:rsidR="004D1AD8" w:rsidRPr="00BC2BC4">
        <w:rPr>
          <w:kern w:val="2"/>
          <w:sz w:val="20"/>
        </w:rPr>
        <w:t>.</w:t>
      </w:r>
      <w:r w:rsidRPr="00BC2BC4">
        <w:rPr>
          <w:i/>
          <w:kern w:val="2"/>
          <w:sz w:val="20"/>
        </w:rPr>
        <w:t xml:space="preserve"> </w:t>
      </w:r>
      <w:r w:rsidRPr="00BC2BC4">
        <w:rPr>
          <w:kern w:val="2"/>
          <w:sz w:val="20"/>
        </w:rPr>
        <w:t>to measure the efficiency (effectiveness) of public management of public investments in various countries.</w:t>
      </w:r>
      <w:r w:rsidR="004D1AD8" w:rsidRPr="00BC2BC4">
        <w:rPr>
          <w:rStyle w:val="FootnoteReference"/>
          <w:kern w:val="2"/>
          <w:sz w:val="20"/>
        </w:rPr>
        <w:footnoteReference w:id="46"/>
      </w:r>
      <w:r w:rsidRPr="00BC2BC4">
        <w:rPr>
          <w:kern w:val="2"/>
          <w:sz w:val="20"/>
        </w:rPr>
        <w:t xml:space="preserve"> Wells summarizes the index and the results of its application:</w:t>
      </w:r>
    </w:p>
    <w:p w14:paraId="5E7B0544" w14:textId="1270ACA0" w:rsidR="00C34B93" w:rsidRPr="00BC2BC4" w:rsidRDefault="00C34B93" w:rsidP="001A40BD">
      <w:pPr>
        <w:pStyle w:val="BlockQuote"/>
        <w:rPr>
          <w:kern w:val="2"/>
          <w:sz w:val="20"/>
        </w:rPr>
      </w:pPr>
      <w:r w:rsidRPr="00BC2BC4">
        <w:rPr>
          <w:kern w:val="2"/>
          <w:sz w:val="20"/>
        </w:rPr>
        <w:t>The index records the quality and efficiency of the investment process across four stages: (1) ex ante project appraisal, (2) project selection and budgeting, (3) project implementation, and (4) ex-post evaluation and audit.</w:t>
      </w:r>
      <w:r w:rsidR="00E44AA7" w:rsidRPr="00BC2BC4">
        <w:rPr>
          <w:kern w:val="2"/>
          <w:sz w:val="20"/>
        </w:rPr>
        <w:t>…</w:t>
      </w:r>
      <w:r w:rsidRPr="00BC2BC4">
        <w:rPr>
          <w:kern w:val="2"/>
          <w:sz w:val="20"/>
        </w:rPr>
        <w:t xml:space="preserve"> A total of 71 low and middle income countries were scored on each of the four stages. The scoring involved making qualitative assessments on 17 individual components in each stage, with each component scored on a scale of 0 to 4 (with a higher score reflecting better performance). The various components were then combined to form a composite PIM index....</w:t>
      </w:r>
    </w:p>
    <w:p w14:paraId="3085DE64" w14:textId="079B3F42" w:rsidR="00C34B93" w:rsidRPr="00BC2BC4" w:rsidRDefault="00C34B93" w:rsidP="001A40BD">
      <w:pPr>
        <w:pStyle w:val="BlockQuote"/>
        <w:rPr>
          <w:kern w:val="2"/>
          <w:sz w:val="20"/>
        </w:rPr>
      </w:pPr>
      <w:r w:rsidRPr="00BC2BC4">
        <w:rPr>
          <w:kern w:val="2"/>
          <w:sz w:val="20"/>
        </w:rPr>
        <w:t xml:space="preserve">Unsurprisingly, Dabla-Norris et.al. (2011) found that low income countries and oil exporting countries had the lowest overall scores. The overall median score was 1.68, but scores ranged from a low of 0.27 (Belize) to a high of 3.50 (South Africa). The highest scores were among middle income countries (South Africa, Brazil, Colombia, Tunisia, and Thailand). Across regions, </w:t>
      </w:r>
      <w:r w:rsidR="00983EA9" w:rsidRPr="00BC2BC4">
        <w:rPr>
          <w:kern w:val="2"/>
          <w:sz w:val="20"/>
        </w:rPr>
        <w:t>Eastern</w:t>
      </w:r>
      <w:r w:rsidRPr="00BC2BC4">
        <w:rPr>
          <w:kern w:val="2"/>
          <w:sz w:val="20"/>
        </w:rPr>
        <w:t xml:space="preserve"> Europe and central Asian countries had relatively more developed PIM processes, followed by Latin America, East Asia, and the Pacific. The Middle East, North Africa, and sub-Saharan Africa regions trailed furthest behind....</w:t>
      </w:r>
    </w:p>
    <w:p w14:paraId="1AB17042" w14:textId="77777777" w:rsidR="00C34B93" w:rsidRPr="00BC2BC4" w:rsidRDefault="00C34B93" w:rsidP="001A40BD">
      <w:pPr>
        <w:pStyle w:val="BlockQuote"/>
        <w:rPr>
          <w:kern w:val="2"/>
          <w:sz w:val="20"/>
        </w:rPr>
      </w:pPr>
      <w:r w:rsidRPr="00BC2BC4">
        <w:rPr>
          <w:kern w:val="2"/>
          <w:sz w:val="20"/>
        </w:rPr>
        <w:t xml:space="preserve">More interesting than variations across countries and regions was the considerable variation in individual scores for each of the four stages. Generally, the first and last stages (ex-ante appraisal and ex post evaluation) were the weakest. The median score for project appraisal was only 1.33, with country scores ranging from 4 for South Africa and Colombia down to 0 for a number of low income countries. These included several in sub-Saharan Africa (Guinea, Chad, Sierra Leone, the Republic of Congo, and Sao Tome and Principe), as well as Trinidad and Tobago, Belize, the West Bank and Gaza, and the Solomon Islands.... </w:t>
      </w:r>
    </w:p>
    <w:p w14:paraId="242C43DC" w14:textId="77777777" w:rsidR="00C34B93" w:rsidRPr="00BC2BC4" w:rsidRDefault="00C34B93" w:rsidP="001A40BD">
      <w:pPr>
        <w:pStyle w:val="BlockQuote"/>
        <w:rPr>
          <w:kern w:val="2"/>
          <w:sz w:val="20"/>
        </w:rPr>
      </w:pPr>
      <w:r w:rsidRPr="00BC2BC4">
        <w:rPr>
          <w:kern w:val="2"/>
          <w:sz w:val="20"/>
        </w:rPr>
        <w:t>The conclusion emerging from this exercise is that, while a number of countries have improved their project implementation (mainly through the introduction of procurement reforms), only a handful of developing countries have been able to improve the processes of project appraisal, design, and selection – hence moving towards better construction project management.</w:t>
      </w:r>
      <w:r w:rsidR="00BC5F12" w:rsidRPr="00BC2BC4">
        <w:rPr>
          <w:rStyle w:val="FootnoteReference"/>
          <w:kern w:val="2"/>
          <w:sz w:val="20"/>
        </w:rPr>
        <w:footnoteReference w:id="47"/>
      </w:r>
    </w:p>
    <w:p w14:paraId="51340505" w14:textId="4F6676FF" w:rsidR="000D547C" w:rsidRPr="00BC2BC4" w:rsidRDefault="000D547C" w:rsidP="001A40BD">
      <w:pPr>
        <w:rPr>
          <w:kern w:val="2"/>
          <w:sz w:val="20"/>
        </w:rPr>
      </w:pPr>
      <w:r w:rsidRPr="00BC2BC4">
        <w:rPr>
          <w:kern w:val="2"/>
          <w:sz w:val="20"/>
        </w:rPr>
        <w:t xml:space="preserve">As </w:t>
      </w:r>
      <w:r w:rsidR="00CD23C5" w:rsidRPr="00BC2BC4">
        <w:rPr>
          <w:kern w:val="2"/>
          <w:sz w:val="20"/>
        </w:rPr>
        <w:t>discovered by governments in many countries</w:t>
      </w:r>
      <w:r w:rsidRPr="00BC2BC4">
        <w:rPr>
          <w:kern w:val="2"/>
          <w:sz w:val="20"/>
        </w:rPr>
        <w:t>, infrastructure procu</w:t>
      </w:r>
      <w:r w:rsidR="007A58E9" w:rsidRPr="00BC2BC4">
        <w:rPr>
          <w:kern w:val="2"/>
          <w:sz w:val="20"/>
        </w:rPr>
        <w:t xml:space="preserve">rement projects can be used for </w:t>
      </w:r>
      <w:r w:rsidRPr="00BC2BC4">
        <w:rPr>
          <w:kern w:val="2"/>
          <w:sz w:val="20"/>
        </w:rPr>
        <w:t>improper personal gain by public officials and others (e.g.</w:t>
      </w:r>
      <w:r w:rsidR="00E44AA7" w:rsidRPr="00BC2BC4">
        <w:rPr>
          <w:kern w:val="2"/>
          <w:sz w:val="20"/>
        </w:rPr>
        <w:t>, through</w:t>
      </w:r>
      <w:r w:rsidRPr="00BC2BC4">
        <w:rPr>
          <w:kern w:val="2"/>
          <w:sz w:val="20"/>
        </w:rPr>
        <w:t xml:space="preserve"> bribes, kickbacks, etc.) or for overt or clandestine political purposes. Wells refers to a study in Uganda in which </w:t>
      </w:r>
      <w:r w:rsidR="00F15CA5" w:rsidRPr="00BC2BC4">
        <w:rPr>
          <w:kern w:val="2"/>
          <w:sz w:val="20"/>
        </w:rPr>
        <w:t xml:space="preserve">Booth and </w:t>
      </w:r>
      <w:r w:rsidRPr="00BC2BC4">
        <w:rPr>
          <w:kern w:val="2"/>
          <w:sz w:val="20"/>
        </w:rPr>
        <w:t>Golooba-Mutebi</w:t>
      </w:r>
      <w:r w:rsidR="00E667D7" w:rsidRPr="00BC2BC4">
        <w:rPr>
          <w:rStyle w:val="FootnoteReference"/>
          <w:kern w:val="2"/>
          <w:sz w:val="20"/>
          <w:szCs w:val="21"/>
        </w:rPr>
        <w:footnoteReference w:id="48"/>
      </w:r>
      <w:r w:rsidRPr="00BC2BC4">
        <w:rPr>
          <w:kern w:val="2"/>
          <w:sz w:val="20"/>
        </w:rPr>
        <w:t xml:space="preserve"> found that the price of road construction per kilometer in Uganda was twice as high as similar road construction in Zambia</w:t>
      </w:r>
      <w:r w:rsidR="00F15CA5" w:rsidRPr="00BC2BC4">
        <w:rPr>
          <w:kern w:val="2"/>
          <w:sz w:val="20"/>
        </w:rPr>
        <w:t>:</w:t>
      </w:r>
    </w:p>
    <w:p w14:paraId="53B17033" w14:textId="77777777" w:rsidR="00F15CA5" w:rsidRPr="00BC2BC4" w:rsidRDefault="00F15CA5" w:rsidP="001A40BD">
      <w:pPr>
        <w:pStyle w:val="BlockQuote"/>
        <w:rPr>
          <w:kern w:val="2"/>
          <w:sz w:val="20"/>
        </w:rPr>
      </w:pPr>
      <w:r w:rsidRPr="00BC2BC4">
        <w:rPr>
          <w:kern w:val="2"/>
          <w:sz w:val="20"/>
        </w:rPr>
        <w:t>Booth and Golooba-Mutebi (2009, 5) concluded, “All of the evidence indicates that, under the pre-2008 arrangements, the roads divisions of the Ministry of Works operated as a well-oiled machine for generating corrupt earnings from kickbacks.” They went on to show how this operated as a complex system of political patronage. In addition to ensuring the personal enrichment of the minister, chief engineer, and many senior civil servants, the arrangement also provided a reliable means of accumulating funds to be made available to state house and other top government offices for “political” uses (such as patronage and campaign finance). Public officials raised money through a variety of means including accepting bribes for awarding contracts and signing completion certificates. The relative difficulty of skimming resources from donor-funded projects led to a situation where only a fraction of project funds made available by donors was being utilised.</w:t>
      </w:r>
      <w:r w:rsidR="00D31D75" w:rsidRPr="00BC2BC4">
        <w:rPr>
          <w:rStyle w:val="FootnoteReference"/>
          <w:kern w:val="2"/>
          <w:sz w:val="20"/>
          <w:szCs w:val="21"/>
        </w:rPr>
        <w:footnoteReference w:id="49"/>
      </w:r>
    </w:p>
    <w:p w14:paraId="592A3722" w14:textId="65C27330" w:rsidR="00F15CA5" w:rsidRPr="00BC2BC4" w:rsidRDefault="007A58E9">
      <w:pPr>
        <w:rPr>
          <w:kern w:val="2"/>
          <w:sz w:val="20"/>
          <w:szCs w:val="21"/>
        </w:rPr>
      </w:pPr>
      <w:r w:rsidRPr="00BC2BC4">
        <w:rPr>
          <w:kern w:val="2"/>
          <w:sz w:val="20"/>
          <w:szCs w:val="21"/>
        </w:rPr>
        <w:t>The evidence before</w:t>
      </w:r>
      <w:r w:rsidR="00F15CA5" w:rsidRPr="00BC2BC4">
        <w:rPr>
          <w:kern w:val="2"/>
          <w:sz w:val="20"/>
          <w:szCs w:val="21"/>
        </w:rPr>
        <w:t xml:space="preserve"> the Charbonneau Commission</w:t>
      </w:r>
      <w:r w:rsidR="00B61E02" w:rsidRPr="00BC2BC4">
        <w:rPr>
          <w:kern w:val="2"/>
          <w:sz w:val="20"/>
          <w:szCs w:val="21"/>
        </w:rPr>
        <w:t xml:space="preserve">, discussed above in </w:t>
      </w:r>
      <w:r w:rsidR="00A87757" w:rsidRPr="00BC2BC4">
        <w:rPr>
          <w:kern w:val="2"/>
          <w:sz w:val="20"/>
          <w:szCs w:val="21"/>
          <w:highlight w:val="cyan"/>
        </w:rPr>
        <w:t>S</w:t>
      </w:r>
      <w:r w:rsidR="009701A8" w:rsidRPr="00BC2BC4">
        <w:rPr>
          <w:kern w:val="2"/>
          <w:sz w:val="20"/>
          <w:szCs w:val="21"/>
          <w:highlight w:val="cyan"/>
        </w:rPr>
        <w:t>ection 1.3</w:t>
      </w:r>
      <w:r w:rsidR="009701A8" w:rsidRPr="00BC2BC4">
        <w:rPr>
          <w:kern w:val="2"/>
          <w:sz w:val="20"/>
          <w:szCs w:val="21"/>
        </w:rPr>
        <w:t>,</w:t>
      </w:r>
      <w:r w:rsidR="00F15CA5" w:rsidRPr="00BC2BC4">
        <w:rPr>
          <w:kern w:val="2"/>
          <w:sz w:val="20"/>
          <w:szCs w:val="21"/>
        </w:rPr>
        <w:t xml:space="preserve"> in relation to corruption in public infrastructure projects in Quebec and the connection between those corrupt funds and illegal campaign financing demonstrates that these types of corrupt public infrastructure pr</w:t>
      </w:r>
      <w:r w:rsidRPr="00BC2BC4">
        <w:rPr>
          <w:kern w:val="2"/>
          <w:sz w:val="20"/>
          <w:szCs w:val="21"/>
        </w:rPr>
        <w:t>actices can also exist in count</w:t>
      </w:r>
      <w:r w:rsidR="00CD23C5" w:rsidRPr="00BC2BC4">
        <w:rPr>
          <w:kern w:val="2"/>
          <w:sz w:val="20"/>
          <w:szCs w:val="21"/>
        </w:rPr>
        <w:t>ries</w:t>
      </w:r>
      <w:r w:rsidR="004B24B0" w:rsidRPr="00BC2BC4">
        <w:rPr>
          <w:kern w:val="2"/>
          <w:sz w:val="20"/>
          <w:szCs w:val="21"/>
        </w:rPr>
        <w:t xml:space="preserve">, such as Canada, </w:t>
      </w:r>
      <w:r w:rsidR="00CD23C5" w:rsidRPr="00BC2BC4">
        <w:rPr>
          <w:kern w:val="2"/>
          <w:sz w:val="20"/>
          <w:szCs w:val="21"/>
        </w:rPr>
        <w:t>that are perceived</w:t>
      </w:r>
      <w:r w:rsidR="00F15CA5" w:rsidRPr="00BC2BC4">
        <w:rPr>
          <w:kern w:val="2"/>
          <w:sz w:val="20"/>
          <w:szCs w:val="21"/>
        </w:rPr>
        <w:t xml:space="preserve"> to have low levels of corruption. </w:t>
      </w:r>
    </w:p>
    <w:p w14:paraId="4391EEB0" w14:textId="5C06D73D" w:rsidR="00F15CA5" w:rsidRPr="00BC2BC4" w:rsidRDefault="00CD23C5">
      <w:pPr>
        <w:rPr>
          <w:kern w:val="2"/>
          <w:sz w:val="20"/>
          <w:szCs w:val="21"/>
        </w:rPr>
      </w:pPr>
      <w:r w:rsidRPr="00BC2BC4">
        <w:rPr>
          <w:kern w:val="2"/>
          <w:sz w:val="20"/>
          <w:szCs w:val="21"/>
        </w:rPr>
        <w:t xml:space="preserve">Effective project screening will align proposed investment with actual development needs. Wells </w:t>
      </w:r>
      <w:r w:rsidR="00F15CA5" w:rsidRPr="00BC2BC4">
        <w:rPr>
          <w:kern w:val="2"/>
          <w:sz w:val="20"/>
          <w:szCs w:val="21"/>
        </w:rPr>
        <w:t xml:space="preserve">notes that inadequate independent </w:t>
      </w:r>
      <w:r w:rsidRPr="00BC2BC4">
        <w:rPr>
          <w:kern w:val="2"/>
          <w:sz w:val="20"/>
          <w:szCs w:val="21"/>
        </w:rPr>
        <w:t>pre-</w:t>
      </w:r>
      <w:r w:rsidR="00F15CA5" w:rsidRPr="00BC2BC4">
        <w:rPr>
          <w:kern w:val="2"/>
          <w:sz w:val="20"/>
          <w:szCs w:val="21"/>
        </w:rPr>
        <w:t xml:space="preserve">screening of infrastructure projects </w:t>
      </w:r>
      <w:r w:rsidR="007A58E9" w:rsidRPr="00BC2BC4">
        <w:rPr>
          <w:kern w:val="2"/>
          <w:sz w:val="20"/>
          <w:szCs w:val="21"/>
        </w:rPr>
        <w:t>can lead</w:t>
      </w:r>
      <w:r w:rsidR="00F15CA5" w:rsidRPr="00BC2BC4">
        <w:rPr>
          <w:kern w:val="2"/>
          <w:sz w:val="20"/>
          <w:szCs w:val="21"/>
        </w:rPr>
        <w:t xml:space="preserve"> to the proverbial “white elephant”</w:t>
      </w:r>
      <w:r w:rsidR="007A58E9" w:rsidRPr="00BC2BC4">
        <w:rPr>
          <w:kern w:val="2"/>
          <w:sz w:val="20"/>
          <w:szCs w:val="21"/>
        </w:rPr>
        <w:t xml:space="preserve"> phenomenon. She refers to a</w:t>
      </w:r>
      <w:r w:rsidR="00F15CA5" w:rsidRPr="00BC2BC4">
        <w:rPr>
          <w:kern w:val="2"/>
          <w:sz w:val="20"/>
          <w:szCs w:val="21"/>
        </w:rPr>
        <w:t xml:space="preserve"> 2013 World Bank study</w:t>
      </w:r>
      <w:r w:rsidR="007A58E9" w:rsidRPr="00BC2BC4">
        <w:rPr>
          <w:rStyle w:val="FootnoteReference"/>
          <w:kern w:val="2"/>
          <w:sz w:val="20"/>
          <w:szCs w:val="21"/>
        </w:rPr>
        <w:footnoteReference w:id="50"/>
      </w:r>
      <w:r w:rsidR="00F15CA5" w:rsidRPr="00BC2BC4">
        <w:rPr>
          <w:kern w:val="2"/>
          <w:sz w:val="20"/>
          <w:szCs w:val="21"/>
        </w:rPr>
        <w:t xml:space="preserve"> that describes three types of white elephant projects: </w:t>
      </w:r>
    </w:p>
    <w:p w14:paraId="507EBFE3" w14:textId="77777777" w:rsidR="00F15CA5" w:rsidRPr="00BC2BC4" w:rsidRDefault="00F15CA5" w:rsidP="00A75BC0">
      <w:pPr>
        <w:pStyle w:val="BlockQuote"/>
        <w:numPr>
          <w:ilvl w:val="0"/>
          <w:numId w:val="32"/>
        </w:numPr>
        <w:jc w:val="left"/>
        <w:rPr>
          <w:kern w:val="2"/>
          <w:sz w:val="20"/>
        </w:rPr>
      </w:pPr>
      <w:r w:rsidRPr="00BC2BC4">
        <w:rPr>
          <w:kern w:val="2"/>
          <w:sz w:val="20"/>
        </w:rPr>
        <w:t xml:space="preserve">[Projects involving e]xcess capacity infrastructure, such as a road or airport with little or no traffic demand; </w:t>
      </w:r>
    </w:p>
    <w:p w14:paraId="29943B29" w14:textId="77777777" w:rsidR="00F15CA5" w:rsidRPr="00BC2BC4" w:rsidRDefault="00F15CA5" w:rsidP="00A75BC0">
      <w:pPr>
        <w:pStyle w:val="BlockQuote"/>
        <w:numPr>
          <w:ilvl w:val="0"/>
          <w:numId w:val="32"/>
        </w:numPr>
        <w:jc w:val="left"/>
        <w:rPr>
          <w:kern w:val="2"/>
          <w:sz w:val="20"/>
        </w:rPr>
      </w:pPr>
      <w:r w:rsidRPr="00BC2BC4">
        <w:rPr>
          <w:kern w:val="2"/>
          <w:sz w:val="20"/>
        </w:rPr>
        <w:t xml:space="preserve">Projects for which there is no operational budget to provide services that will be needed for success (such as hospitals or schools); and </w:t>
      </w:r>
    </w:p>
    <w:p w14:paraId="36AE699D" w14:textId="4FA32682" w:rsidR="00F15CA5" w:rsidRPr="00BC2BC4" w:rsidRDefault="00F15CA5" w:rsidP="00A75BC0">
      <w:pPr>
        <w:pStyle w:val="BlockQuote"/>
        <w:numPr>
          <w:ilvl w:val="0"/>
          <w:numId w:val="32"/>
        </w:numPr>
        <w:jc w:val="left"/>
        <w:rPr>
          <w:kern w:val="2"/>
          <w:sz w:val="20"/>
        </w:rPr>
      </w:pPr>
      <w:r w:rsidRPr="00BC2BC4">
        <w:rPr>
          <w:kern w:val="2"/>
          <w:sz w:val="20"/>
        </w:rPr>
        <w:t xml:space="preserve">Capital investment in projects that are never completed (sometimes not even started) but are used to secure access to the contract value. </w:t>
      </w:r>
    </w:p>
    <w:p w14:paraId="5C167E15" w14:textId="0F3353F8" w:rsidR="00F15CA5" w:rsidRPr="00BC2BC4" w:rsidRDefault="00F15CA5" w:rsidP="001A40BD">
      <w:pPr>
        <w:pStyle w:val="BlockQuote"/>
        <w:rPr>
          <w:kern w:val="2"/>
          <w:sz w:val="20"/>
        </w:rPr>
      </w:pPr>
      <w:r w:rsidRPr="00BC2BC4">
        <w:rPr>
          <w:kern w:val="2"/>
          <w:sz w:val="20"/>
        </w:rPr>
        <w:t xml:space="preserve">An example of the first type can be found in Angola, where close examination of the list of projects in 2011 revealed a bridge to be built in a remote area of the country’s southeast region </w:t>
      </w:r>
      <w:r w:rsidR="00593798" w:rsidRPr="00BC2BC4">
        <w:rPr>
          <w:kern w:val="2"/>
          <w:sz w:val="20"/>
        </w:rPr>
        <w:t xml:space="preserve">for </w:t>
      </w:r>
      <w:r w:rsidRPr="00BC2BC4">
        <w:rPr>
          <w:kern w:val="2"/>
          <w:sz w:val="20"/>
        </w:rPr>
        <w:t>which there were no connecting roads</w:t>
      </w:r>
      <w:r w:rsidR="00593798" w:rsidRPr="00BC2BC4">
        <w:rPr>
          <w:kern w:val="2"/>
          <w:sz w:val="20"/>
        </w:rPr>
        <w:t>—</w:t>
      </w:r>
      <w:r w:rsidRPr="00BC2BC4">
        <w:rPr>
          <w:kern w:val="2"/>
          <w:sz w:val="20"/>
        </w:rPr>
        <w:t>quite literally, this was a “bridge to nowhere.” This project could not have been approved with even a cursory evaluation (Wells</w:t>
      </w:r>
      <w:r w:rsidR="00EC7A5F" w:rsidRPr="00BC2BC4">
        <w:rPr>
          <w:kern w:val="2"/>
          <w:sz w:val="20"/>
        </w:rPr>
        <w:t>,</w:t>
      </w:r>
      <w:r w:rsidRPr="00BC2BC4">
        <w:rPr>
          <w:kern w:val="2"/>
          <w:sz w:val="20"/>
        </w:rPr>
        <w:t xml:space="preserve"> 2011). </w:t>
      </w:r>
    </w:p>
    <w:p w14:paraId="65EFC17F" w14:textId="10B45754" w:rsidR="00F15CA5" w:rsidRPr="00BC2BC4" w:rsidRDefault="00F15CA5" w:rsidP="001A40BD">
      <w:pPr>
        <w:pStyle w:val="BlockQuote"/>
        <w:rPr>
          <w:kern w:val="2"/>
          <w:sz w:val="20"/>
        </w:rPr>
      </w:pPr>
      <w:r w:rsidRPr="00BC2BC4">
        <w:rPr>
          <w:kern w:val="2"/>
          <w:sz w:val="20"/>
        </w:rPr>
        <w:t>The second type (also in Angola) is illustrated by the expansion of power generation capacity that was not matched by investment in transmission and distribution, so that the power could get to the users (Pushak and Foster</w:t>
      </w:r>
      <w:r w:rsidR="00C074EE" w:rsidRPr="00BC2BC4">
        <w:rPr>
          <w:kern w:val="2"/>
          <w:sz w:val="20"/>
        </w:rPr>
        <w:t>,</w:t>
      </w:r>
      <w:r w:rsidRPr="00BC2BC4">
        <w:rPr>
          <w:kern w:val="2"/>
          <w:sz w:val="20"/>
        </w:rPr>
        <w:t xml:space="preserve"> 2011). </w:t>
      </w:r>
    </w:p>
    <w:p w14:paraId="39DF051F" w14:textId="460585B8" w:rsidR="00F15CA5" w:rsidRPr="00BC2BC4" w:rsidRDefault="00F15CA5" w:rsidP="001A40BD">
      <w:pPr>
        <w:pStyle w:val="BlockQuote"/>
        <w:rPr>
          <w:kern w:val="2"/>
          <w:sz w:val="20"/>
        </w:rPr>
      </w:pPr>
      <w:r w:rsidRPr="00BC2BC4">
        <w:rPr>
          <w:kern w:val="2"/>
          <w:sz w:val="20"/>
        </w:rPr>
        <w:t>The third type has been well-illustrated by the award of a contract for major road projects in Uganda. Part of the contract value was siphoned off and used for patronage payments, and many of the projects were never completed (Booth and Golooba-Mutebi</w:t>
      </w:r>
      <w:r w:rsidR="00C074EE" w:rsidRPr="00BC2BC4">
        <w:rPr>
          <w:kern w:val="2"/>
          <w:sz w:val="20"/>
        </w:rPr>
        <w:t>,</w:t>
      </w:r>
      <w:r w:rsidRPr="00BC2BC4">
        <w:rPr>
          <w:kern w:val="2"/>
          <w:sz w:val="20"/>
        </w:rPr>
        <w:t xml:space="preserve"> 2009).</w:t>
      </w:r>
      <w:r w:rsidR="007645BD" w:rsidRPr="00BC2BC4">
        <w:rPr>
          <w:kern w:val="2"/>
          <w:sz w:val="20"/>
        </w:rPr>
        <w:t xml:space="preserve"> [footnotes omitted]</w:t>
      </w:r>
      <w:r w:rsidR="000B3B3F" w:rsidRPr="00BC2BC4">
        <w:rPr>
          <w:rStyle w:val="FootnoteReference"/>
          <w:kern w:val="2"/>
          <w:sz w:val="20"/>
          <w:szCs w:val="21"/>
        </w:rPr>
        <w:footnoteReference w:id="51"/>
      </w:r>
    </w:p>
    <w:p w14:paraId="3BD443E3" w14:textId="0AB0A8FA" w:rsidR="00040E6F" w:rsidRPr="00BC2BC4" w:rsidRDefault="00040E6F" w:rsidP="001A40BD">
      <w:pPr>
        <w:pStyle w:val="Heading2"/>
        <w:rPr>
          <w:kern w:val="2"/>
          <w:sz w:val="24"/>
        </w:rPr>
      </w:pPr>
      <w:r w:rsidRPr="00BC2BC4">
        <w:rPr>
          <w:kern w:val="2"/>
          <w:sz w:val="24"/>
        </w:rPr>
        <w:t>Corrupt Procurement Offences</w:t>
      </w:r>
    </w:p>
    <w:p w14:paraId="28F53313" w14:textId="6571C859" w:rsidR="00102305" w:rsidRPr="00BC2BC4" w:rsidRDefault="00567AC0" w:rsidP="003F14E9">
      <w:pPr>
        <w:rPr>
          <w:rFonts w:cs="Times New Roman"/>
          <w:kern w:val="2"/>
          <w:sz w:val="20"/>
        </w:rPr>
      </w:pPr>
      <w:r w:rsidRPr="00BC2BC4">
        <w:rPr>
          <w:rFonts w:cs="Times New Roman"/>
          <w:kern w:val="2"/>
          <w:sz w:val="20"/>
        </w:rPr>
        <w:t>Corruption in public procurement occurs m</w:t>
      </w:r>
      <w:r w:rsidR="00CD23C5" w:rsidRPr="00BC2BC4">
        <w:rPr>
          <w:rFonts w:cs="Times New Roman"/>
          <w:kern w:val="2"/>
          <w:sz w:val="20"/>
        </w:rPr>
        <w:t>ost frequently through</w:t>
      </w:r>
      <w:r w:rsidR="004A7ECD" w:rsidRPr="00BC2BC4">
        <w:rPr>
          <w:rFonts w:cs="Times New Roman"/>
          <w:kern w:val="2"/>
          <w:sz w:val="20"/>
        </w:rPr>
        <w:t xml:space="preserve"> bribes, extortion</w:t>
      </w:r>
      <w:r w:rsidR="004D69E9" w:rsidRPr="00BC2BC4">
        <w:rPr>
          <w:rFonts w:cs="Times New Roman"/>
          <w:kern w:val="2"/>
          <w:sz w:val="20"/>
        </w:rPr>
        <w:t>,</w:t>
      </w:r>
      <w:r w:rsidR="004A7ECD" w:rsidRPr="00BC2BC4">
        <w:rPr>
          <w:rFonts w:cs="Times New Roman"/>
          <w:kern w:val="2"/>
          <w:sz w:val="20"/>
        </w:rPr>
        <w:t xml:space="preserve"> </w:t>
      </w:r>
      <w:r w:rsidR="00040E6F" w:rsidRPr="00BC2BC4">
        <w:rPr>
          <w:rFonts w:cs="Times New Roman"/>
          <w:kern w:val="2"/>
          <w:sz w:val="20"/>
        </w:rPr>
        <w:t xml:space="preserve">bid-rigging and other forms of </w:t>
      </w:r>
      <w:r w:rsidR="004A7ECD" w:rsidRPr="00BC2BC4">
        <w:rPr>
          <w:rFonts w:cs="Times New Roman"/>
          <w:kern w:val="2"/>
          <w:sz w:val="20"/>
        </w:rPr>
        <w:t xml:space="preserve">fraud. </w:t>
      </w:r>
      <w:r w:rsidR="006378AD" w:rsidRPr="00BC2BC4">
        <w:rPr>
          <w:rFonts w:cs="Times New Roman"/>
          <w:kern w:val="2"/>
          <w:sz w:val="20"/>
        </w:rPr>
        <w:t>These types of corruption are discussed in more detail below.</w:t>
      </w:r>
    </w:p>
    <w:p w14:paraId="1D3B371D" w14:textId="364F2FC0" w:rsidR="00F002E6" w:rsidRPr="00BC2BC4" w:rsidRDefault="00F002E6" w:rsidP="001A40BD">
      <w:pPr>
        <w:pStyle w:val="Heading3"/>
        <w:rPr>
          <w:kern w:val="2"/>
          <w:sz w:val="22"/>
        </w:rPr>
      </w:pPr>
      <w:bookmarkStart w:id="9" w:name="_Toc420920787"/>
      <w:bookmarkStart w:id="10" w:name="_Toc424485015"/>
      <w:r w:rsidRPr="00BC2BC4">
        <w:rPr>
          <w:kern w:val="2"/>
          <w:sz w:val="22"/>
        </w:rPr>
        <w:t>Bribery</w:t>
      </w:r>
      <w:bookmarkEnd w:id="9"/>
      <w:bookmarkEnd w:id="10"/>
    </w:p>
    <w:p w14:paraId="03BE0B10" w14:textId="3B41A480" w:rsidR="00F002E6" w:rsidRPr="00BC2BC4" w:rsidRDefault="00F002E6" w:rsidP="006B0E35">
      <w:pPr>
        <w:spacing w:line="23" w:lineRule="atLeast"/>
        <w:rPr>
          <w:kern w:val="2"/>
          <w:sz w:val="20"/>
        </w:rPr>
      </w:pPr>
      <w:r w:rsidRPr="00BC2BC4">
        <w:rPr>
          <w:kern w:val="2"/>
          <w:sz w:val="20"/>
        </w:rPr>
        <w:t xml:space="preserve">The OECD estimates that bribery in government procurement in OECD countries </w:t>
      </w:r>
      <w:r w:rsidR="00CD23C5" w:rsidRPr="00BC2BC4">
        <w:rPr>
          <w:kern w:val="2"/>
          <w:sz w:val="20"/>
        </w:rPr>
        <w:t>increases contract costs by</w:t>
      </w:r>
      <w:r w:rsidRPr="00BC2BC4">
        <w:rPr>
          <w:kern w:val="2"/>
          <w:sz w:val="20"/>
        </w:rPr>
        <w:t xml:space="preserve"> 10-20%</w:t>
      </w:r>
      <w:r w:rsidR="00CD23C5" w:rsidRPr="00BC2BC4">
        <w:rPr>
          <w:kern w:val="2"/>
          <w:sz w:val="20"/>
        </w:rPr>
        <w:t>, suggesting that</w:t>
      </w:r>
      <w:r w:rsidRPr="00BC2BC4">
        <w:rPr>
          <w:kern w:val="2"/>
          <w:sz w:val="20"/>
        </w:rPr>
        <w:t xml:space="preserve"> at least </w:t>
      </w:r>
      <w:r w:rsidR="004A57CF" w:rsidRPr="00BC2BC4">
        <w:rPr>
          <w:kern w:val="2"/>
          <w:sz w:val="20"/>
        </w:rPr>
        <w:t>US</w:t>
      </w:r>
      <w:r w:rsidRPr="00BC2BC4">
        <w:rPr>
          <w:kern w:val="2"/>
          <w:sz w:val="20"/>
        </w:rPr>
        <w:t xml:space="preserve">$400 billion </w:t>
      </w:r>
      <w:r w:rsidR="00CD23C5" w:rsidRPr="00BC2BC4">
        <w:rPr>
          <w:kern w:val="2"/>
          <w:sz w:val="20"/>
        </w:rPr>
        <w:t>is lost to bribery</w:t>
      </w:r>
      <w:r w:rsidR="00E003E1" w:rsidRPr="00BC2BC4">
        <w:rPr>
          <w:kern w:val="2"/>
          <w:sz w:val="20"/>
        </w:rPr>
        <w:t xml:space="preserve"> every year</w:t>
      </w:r>
      <w:r w:rsidRPr="00BC2BC4">
        <w:rPr>
          <w:kern w:val="2"/>
          <w:sz w:val="20"/>
        </w:rPr>
        <w:t>.</w:t>
      </w:r>
      <w:r w:rsidRPr="00BC2BC4">
        <w:rPr>
          <w:rStyle w:val="FootnoteReference"/>
          <w:kern w:val="2"/>
          <w:sz w:val="20"/>
        </w:rPr>
        <w:footnoteReference w:id="52"/>
      </w:r>
      <w:r w:rsidRPr="00BC2BC4">
        <w:rPr>
          <w:kern w:val="2"/>
          <w:sz w:val="20"/>
        </w:rPr>
        <w:t xml:space="preserve"> The following are a few examples of how bribery of public officials can occur in relation to an infrastructure project:</w:t>
      </w:r>
    </w:p>
    <w:p w14:paraId="2CBB08C8" w14:textId="77777777" w:rsidR="00F002E6" w:rsidRPr="00BC2BC4" w:rsidRDefault="00F002E6" w:rsidP="000A7168">
      <w:pPr>
        <w:pStyle w:val="ListParagraph"/>
        <w:numPr>
          <w:ilvl w:val="0"/>
          <w:numId w:val="1"/>
        </w:numPr>
        <w:spacing w:line="23" w:lineRule="atLeast"/>
        <w:rPr>
          <w:kern w:val="2"/>
          <w:sz w:val="20"/>
        </w:rPr>
      </w:pPr>
      <w:r w:rsidRPr="00BC2BC4">
        <w:rPr>
          <w:kern w:val="2"/>
          <w:sz w:val="20"/>
        </w:rPr>
        <w:t>a government official may be bribed to either provide planning permission for a project or approve a design which does not meet the necessary regulations;</w:t>
      </w:r>
    </w:p>
    <w:p w14:paraId="1E4C9B54" w14:textId="77777777" w:rsidR="00F002E6" w:rsidRPr="00BC2BC4" w:rsidRDefault="00F002E6" w:rsidP="000A7168">
      <w:pPr>
        <w:pStyle w:val="ListParagraph"/>
        <w:numPr>
          <w:ilvl w:val="0"/>
          <w:numId w:val="1"/>
        </w:numPr>
        <w:spacing w:line="23" w:lineRule="atLeast"/>
        <w:rPr>
          <w:kern w:val="2"/>
          <w:sz w:val="20"/>
        </w:rPr>
      </w:pPr>
      <w:r w:rsidRPr="00BC2BC4">
        <w:rPr>
          <w:kern w:val="2"/>
          <w:sz w:val="20"/>
        </w:rPr>
        <w:t>a bidder may offer bribes to a government official in order to be improperly favoured throughout the bidding process, or to induce the official to manipulate the tender evaluation; or</w:t>
      </w:r>
    </w:p>
    <w:p w14:paraId="7BEFA19B" w14:textId="77777777" w:rsidR="00F002E6" w:rsidRPr="00BC2BC4" w:rsidRDefault="00F002E6" w:rsidP="00A7189D">
      <w:pPr>
        <w:pStyle w:val="ListParagraph"/>
        <w:numPr>
          <w:ilvl w:val="0"/>
          <w:numId w:val="1"/>
        </w:numPr>
        <w:spacing w:after="240" w:line="23" w:lineRule="atLeast"/>
        <w:rPr>
          <w:kern w:val="2"/>
          <w:sz w:val="20"/>
        </w:rPr>
      </w:pPr>
      <w:r w:rsidRPr="00BC2BC4">
        <w:rPr>
          <w:kern w:val="2"/>
          <w:sz w:val="20"/>
        </w:rPr>
        <w:t>a bidder may make a donation to a certain political party in order to ensure preferential treatment.</w:t>
      </w:r>
      <w:r w:rsidRPr="00BC2BC4">
        <w:rPr>
          <w:rStyle w:val="FootnoteReference"/>
          <w:kern w:val="2"/>
          <w:sz w:val="20"/>
        </w:rPr>
        <w:footnoteReference w:id="53"/>
      </w:r>
    </w:p>
    <w:p w14:paraId="3317AB13" w14:textId="77777777" w:rsidR="00F002E6" w:rsidRPr="00BC2BC4" w:rsidRDefault="00F002E6" w:rsidP="006B0E35">
      <w:pPr>
        <w:spacing w:line="23" w:lineRule="atLeast"/>
        <w:rPr>
          <w:kern w:val="2"/>
          <w:sz w:val="20"/>
        </w:rPr>
      </w:pPr>
      <w:r w:rsidRPr="00BC2BC4">
        <w:rPr>
          <w:kern w:val="2"/>
          <w:sz w:val="20"/>
        </w:rPr>
        <w:t>Bribery and corrupt behaviour can also constitute other criminal offences such as extortion and fraud.</w:t>
      </w:r>
    </w:p>
    <w:p w14:paraId="6E068FBF" w14:textId="18612157" w:rsidR="002378BB" w:rsidRPr="00BC2BC4" w:rsidRDefault="00F002E6" w:rsidP="001A40BD">
      <w:pPr>
        <w:pStyle w:val="Heading3"/>
        <w:rPr>
          <w:kern w:val="2"/>
          <w:sz w:val="22"/>
        </w:rPr>
      </w:pPr>
      <w:bookmarkStart w:id="11" w:name="_Toc420920788"/>
      <w:bookmarkStart w:id="12" w:name="_Toc424485016"/>
      <w:r w:rsidRPr="00BC2BC4">
        <w:rPr>
          <w:kern w:val="2"/>
          <w:sz w:val="22"/>
        </w:rPr>
        <w:t>Extortion</w:t>
      </w:r>
      <w:bookmarkEnd w:id="11"/>
      <w:bookmarkEnd w:id="12"/>
    </w:p>
    <w:p w14:paraId="0CC59165" w14:textId="34DB1B9C" w:rsidR="00F002E6" w:rsidRPr="00BC2BC4" w:rsidRDefault="00F002E6" w:rsidP="006B0E35">
      <w:pPr>
        <w:spacing w:line="23" w:lineRule="atLeast"/>
        <w:rPr>
          <w:kern w:val="2"/>
          <w:sz w:val="20"/>
        </w:rPr>
      </w:pPr>
      <w:r w:rsidRPr="00BC2BC4">
        <w:rPr>
          <w:kern w:val="2"/>
          <w:sz w:val="20"/>
        </w:rPr>
        <w:t>The following are examples of how extortion</w:t>
      </w:r>
      <w:r w:rsidR="00D520F5" w:rsidRPr="00BC2BC4">
        <w:rPr>
          <w:kern w:val="2"/>
          <w:sz w:val="20"/>
        </w:rPr>
        <w:t>—the making of a demand backed by force or threat—</w:t>
      </w:r>
      <w:r w:rsidRPr="00BC2BC4">
        <w:rPr>
          <w:kern w:val="2"/>
          <w:sz w:val="20"/>
        </w:rPr>
        <w:t>can manifest in public procurement:</w:t>
      </w:r>
    </w:p>
    <w:p w14:paraId="12677EAD" w14:textId="77777777" w:rsidR="00F002E6" w:rsidRPr="00BC2BC4" w:rsidRDefault="00F002E6" w:rsidP="000A7168">
      <w:pPr>
        <w:pStyle w:val="ListParagraph"/>
        <w:numPr>
          <w:ilvl w:val="0"/>
          <w:numId w:val="2"/>
        </w:numPr>
        <w:spacing w:line="23" w:lineRule="atLeast"/>
        <w:rPr>
          <w:kern w:val="2"/>
          <w:sz w:val="20"/>
        </w:rPr>
      </w:pPr>
      <w:r w:rsidRPr="00BC2BC4">
        <w:rPr>
          <w:kern w:val="2"/>
          <w:sz w:val="20"/>
        </w:rPr>
        <w:t xml:space="preserve">a bidder may threaten </w:t>
      </w:r>
      <w:r w:rsidR="006378AD" w:rsidRPr="00BC2BC4">
        <w:rPr>
          <w:kern w:val="2"/>
          <w:sz w:val="20"/>
        </w:rPr>
        <w:t xml:space="preserve">to </w:t>
      </w:r>
      <w:r w:rsidRPr="00BC2BC4">
        <w:rPr>
          <w:kern w:val="2"/>
          <w:sz w:val="20"/>
        </w:rPr>
        <w:t>harm a government official or the official’s family unless the official gives unwarranted favourable treatment to the bidder;</w:t>
      </w:r>
    </w:p>
    <w:p w14:paraId="2773620E" w14:textId="77777777" w:rsidR="00F002E6" w:rsidRPr="00BC2BC4" w:rsidRDefault="00F002E6" w:rsidP="000A7168">
      <w:pPr>
        <w:pStyle w:val="ListParagraph"/>
        <w:numPr>
          <w:ilvl w:val="0"/>
          <w:numId w:val="2"/>
        </w:numPr>
        <w:spacing w:line="23" w:lineRule="atLeast"/>
        <w:rPr>
          <w:kern w:val="2"/>
          <w:sz w:val="20"/>
        </w:rPr>
      </w:pPr>
      <w:r w:rsidRPr="00BC2BC4">
        <w:rPr>
          <w:kern w:val="2"/>
          <w:sz w:val="20"/>
        </w:rPr>
        <w:t>a government official may demand something in return for assisting a company to win a bid</w:t>
      </w:r>
      <w:r w:rsidR="006378AD" w:rsidRPr="00BC2BC4">
        <w:rPr>
          <w:kern w:val="2"/>
          <w:sz w:val="20"/>
        </w:rPr>
        <w:t xml:space="preserve"> or for</w:t>
      </w:r>
      <w:r w:rsidRPr="00BC2BC4">
        <w:rPr>
          <w:kern w:val="2"/>
          <w:sz w:val="20"/>
        </w:rPr>
        <w:t xml:space="preserve"> </w:t>
      </w:r>
      <w:r w:rsidR="006378AD" w:rsidRPr="00BC2BC4">
        <w:rPr>
          <w:kern w:val="2"/>
          <w:sz w:val="20"/>
        </w:rPr>
        <w:t>fair treatment</w:t>
      </w:r>
      <w:r w:rsidRPr="00BC2BC4">
        <w:rPr>
          <w:kern w:val="2"/>
          <w:sz w:val="20"/>
        </w:rPr>
        <w:t xml:space="preserve"> </w:t>
      </w:r>
      <w:r w:rsidR="006378AD" w:rsidRPr="00BC2BC4">
        <w:rPr>
          <w:kern w:val="2"/>
          <w:sz w:val="20"/>
        </w:rPr>
        <w:t xml:space="preserve">of the company </w:t>
      </w:r>
      <w:r w:rsidRPr="00BC2BC4">
        <w:rPr>
          <w:kern w:val="2"/>
          <w:sz w:val="20"/>
        </w:rPr>
        <w:t>in the bidding process; and</w:t>
      </w:r>
    </w:p>
    <w:p w14:paraId="10857733" w14:textId="77777777" w:rsidR="00985A16" w:rsidRPr="00BC2BC4" w:rsidRDefault="00F002E6" w:rsidP="00A7189D">
      <w:pPr>
        <w:pStyle w:val="ListParagraph"/>
        <w:numPr>
          <w:ilvl w:val="0"/>
          <w:numId w:val="2"/>
        </w:numPr>
        <w:spacing w:after="240" w:line="23" w:lineRule="atLeast"/>
        <w:rPr>
          <w:kern w:val="2"/>
          <w:sz w:val="20"/>
        </w:rPr>
      </w:pPr>
      <w:r w:rsidRPr="00BC2BC4">
        <w:rPr>
          <w:kern w:val="2"/>
          <w:sz w:val="20"/>
        </w:rPr>
        <w:t>any situation that involves the payment of bribes can include an element of extortion.</w:t>
      </w:r>
    </w:p>
    <w:p w14:paraId="41CA37AA" w14:textId="4BBBF8ED" w:rsidR="00F002E6" w:rsidRPr="00BC2BC4" w:rsidRDefault="00944378" w:rsidP="001A40BD">
      <w:pPr>
        <w:pStyle w:val="Heading3"/>
        <w:rPr>
          <w:kern w:val="2"/>
          <w:sz w:val="22"/>
        </w:rPr>
      </w:pPr>
      <w:bookmarkStart w:id="13" w:name="_Toc420920789"/>
      <w:bookmarkStart w:id="14" w:name="_Toc424485017"/>
      <w:r w:rsidRPr="00BC2BC4">
        <w:rPr>
          <w:kern w:val="2"/>
          <w:sz w:val="22"/>
        </w:rPr>
        <w:t>Bid-</w:t>
      </w:r>
      <w:r w:rsidR="00875BC2" w:rsidRPr="00BC2BC4">
        <w:rPr>
          <w:kern w:val="2"/>
          <w:sz w:val="22"/>
        </w:rPr>
        <w:t>R</w:t>
      </w:r>
      <w:r w:rsidRPr="00BC2BC4">
        <w:rPr>
          <w:kern w:val="2"/>
          <w:sz w:val="22"/>
        </w:rPr>
        <w:t xml:space="preserve">igging, Kickbacks and Other Forms of </w:t>
      </w:r>
      <w:r w:rsidR="00F002E6" w:rsidRPr="00BC2BC4">
        <w:rPr>
          <w:kern w:val="2"/>
          <w:sz w:val="22"/>
        </w:rPr>
        <w:t>Fraud</w:t>
      </w:r>
      <w:bookmarkEnd w:id="13"/>
      <w:bookmarkEnd w:id="14"/>
    </w:p>
    <w:p w14:paraId="05C64981" w14:textId="761C42BB" w:rsidR="00F002E6" w:rsidRPr="00BC2BC4" w:rsidRDefault="00F002E6" w:rsidP="006B0E35">
      <w:pPr>
        <w:spacing w:line="23" w:lineRule="atLeast"/>
        <w:rPr>
          <w:kern w:val="2"/>
          <w:sz w:val="20"/>
        </w:rPr>
      </w:pPr>
      <w:r w:rsidRPr="00BC2BC4">
        <w:rPr>
          <w:kern w:val="2"/>
          <w:sz w:val="20"/>
        </w:rPr>
        <w:t>The public procurement process attracts fraudulent behaviour because it involves the exchange of mass</w:t>
      </w:r>
      <w:r w:rsidR="00A452C0" w:rsidRPr="00BC2BC4">
        <w:rPr>
          <w:kern w:val="2"/>
          <w:sz w:val="20"/>
        </w:rPr>
        <w:t>ive</w:t>
      </w:r>
      <w:r w:rsidRPr="00BC2BC4">
        <w:rPr>
          <w:kern w:val="2"/>
          <w:sz w:val="20"/>
        </w:rPr>
        <w:t xml:space="preserve"> amounts of money and resources.</w:t>
      </w:r>
      <w:r w:rsidRPr="00BC2BC4">
        <w:rPr>
          <w:rStyle w:val="FootnoteReference"/>
          <w:kern w:val="2"/>
          <w:sz w:val="20"/>
        </w:rPr>
        <w:footnoteReference w:id="54"/>
      </w:r>
      <w:r w:rsidRPr="00BC2BC4">
        <w:rPr>
          <w:kern w:val="2"/>
          <w:sz w:val="20"/>
        </w:rPr>
        <w:t xml:space="preserve"> Examples of fraud in public procurement include:</w:t>
      </w:r>
    </w:p>
    <w:p w14:paraId="22FE9E0D" w14:textId="77777777" w:rsidR="00F002E6" w:rsidRPr="00BC2BC4" w:rsidRDefault="00F002E6" w:rsidP="000A7168">
      <w:pPr>
        <w:pStyle w:val="ListParagraph"/>
        <w:numPr>
          <w:ilvl w:val="0"/>
          <w:numId w:val="3"/>
        </w:numPr>
        <w:spacing w:line="23" w:lineRule="atLeast"/>
        <w:rPr>
          <w:kern w:val="2"/>
          <w:sz w:val="20"/>
        </w:rPr>
      </w:pPr>
      <w:r w:rsidRPr="00BC2BC4">
        <w:rPr>
          <w:kern w:val="2"/>
          <w:sz w:val="20"/>
        </w:rPr>
        <w:t>where a bidder deliberately submits false invoices or other false documentation</w:t>
      </w:r>
      <w:r w:rsidR="00944378" w:rsidRPr="00BC2BC4">
        <w:rPr>
          <w:kern w:val="2"/>
          <w:sz w:val="20"/>
        </w:rPr>
        <w:t xml:space="preserve"> (with or without collusion of public officials)</w:t>
      </w:r>
      <w:r w:rsidRPr="00BC2BC4">
        <w:rPr>
          <w:kern w:val="2"/>
          <w:sz w:val="20"/>
        </w:rPr>
        <w:t>;</w:t>
      </w:r>
    </w:p>
    <w:p w14:paraId="1D021771" w14:textId="77777777" w:rsidR="00F002E6" w:rsidRPr="00BC2BC4" w:rsidRDefault="00F002E6" w:rsidP="000A7168">
      <w:pPr>
        <w:pStyle w:val="ListParagraph"/>
        <w:numPr>
          <w:ilvl w:val="0"/>
          <w:numId w:val="3"/>
        </w:numPr>
        <w:spacing w:line="23" w:lineRule="atLeast"/>
        <w:rPr>
          <w:kern w:val="2"/>
          <w:sz w:val="20"/>
        </w:rPr>
      </w:pPr>
      <w:r w:rsidRPr="00BC2BC4">
        <w:rPr>
          <w:kern w:val="2"/>
          <w:sz w:val="20"/>
        </w:rPr>
        <w:t>where bidders form a cartel and secretly pre-select the winners for certain projects;</w:t>
      </w:r>
    </w:p>
    <w:p w14:paraId="7449FECC" w14:textId="77777777" w:rsidR="00F002E6" w:rsidRPr="00BC2BC4" w:rsidRDefault="00F002E6" w:rsidP="000A7168">
      <w:pPr>
        <w:pStyle w:val="ListParagraph"/>
        <w:numPr>
          <w:ilvl w:val="0"/>
          <w:numId w:val="3"/>
        </w:numPr>
        <w:spacing w:line="23" w:lineRule="atLeast"/>
        <w:rPr>
          <w:kern w:val="2"/>
          <w:sz w:val="20"/>
        </w:rPr>
      </w:pPr>
      <w:r w:rsidRPr="00BC2BC4">
        <w:rPr>
          <w:kern w:val="2"/>
          <w:sz w:val="20"/>
        </w:rPr>
        <w:t>where a contractor submits false claims in order to receive more money or more time to complete a project; or</w:t>
      </w:r>
    </w:p>
    <w:p w14:paraId="55C0D384" w14:textId="29C66F6E" w:rsidR="00F002E6" w:rsidRPr="00BC2BC4" w:rsidRDefault="00F002E6" w:rsidP="00A7189D">
      <w:pPr>
        <w:pStyle w:val="ListParagraph"/>
        <w:numPr>
          <w:ilvl w:val="0"/>
          <w:numId w:val="3"/>
        </w:numPr>
        <w:spacing w:after="240" w:line="23" w:lineRule="atLeast"/>
        <w:rPr>
          <w:kern w:val="2"/>
          <w:sz w:val="20"/>
        </w:rPr>
      </w:pPr>
      <w:r w:rsidRPr="00BC2BC4">
        <w:rPr>
          <w:kern w:val="2"/>
          <w:sz w:val="20"/>
        </w:rPr>
        <w:t>various forms of illegally diverting money, such as money</w:t>
      </w:r>
      <w:r w:rsidR="00565292" w:rsidRPr="00BC2BC4">
        <w:rPr>
          <w:kern w:val="2"/>
          <w:sz w:val="20"/>
        </w:rPr>
        <w:t xml:space="preserve"> </w:t>
      </w:r>
      <w:r w:rsidRPr="00BC2BC4">
        <w:rPr>
          <w:kern w:val="2"/>
          <w:sz w:val="20"/>
        </w:rPr>
        <w:t>laundering and embezzlement.</w:t>
      </w:r>
    </w:p>
    <w:p w14:paraId="25D0FFE4" w14:textId="2F861B7E" w:rsidR="006312A6" w:rsidRPr="00BC2BC4" w:rsidRDefault="0070689F" w:rsidP="0070689F">
      <w:pPr>
        <w:spacing w:line="23" w:lineRule="atLeast"/>
        <w:rPr>
          <w:kern w:val="2"/>
          <w:sz w:val="20"/>
        </w:rPr>
      </w:pPr>
      <w:r w:rsidRPr="00BC2BC4">
        <w:rPr>
          <w:kern w:val="2"/>
          <w:sz w:val="20"/>
        </w:rPr>
        <w:t>The</w:t>
      </w:r>
      <w:r w:rsidR="00C0738B" w:rsidRPr="00BC2BC4">
        <w:rPr>
          <w:kern w:val="2"/>
          <w:sz w:val="20"/>
        </w:rPr>
        <w:t>se</w:t>
      </w:r>
      <w:r w:rsidRPr="00BC2BC4">
        <w:rPr>
          <w:kern w:val="2"/>
          <w:sz w:val="20"/>
        </w:rPr>
        <w:t xml:space="preserve"> examples are </w:t>
      </w:r>
      <w:r w:rsidR="00C0738B" w:rsidRPr="00BC2BC4">
        <w:rPr>
          <w:kern w:val="2"/>
          <w:sz w:val="20"/>
        </w:rPr>
        <w:t>just a few of the</w:t>
      </w:r>
      <w:r w:rsidRPr="00BC2BC4">
        <w:rPr>
          <w:kern w:val="2"/>
          <w:sz w:val="20"/>
        </w:rPr>
        <w:t xml:space="preserve"> ways corruption </w:t>
      </w:r>
      <w:r w:rsidR="00CD23C5" w:rsidRPr="00BC2BC4">
        <w:rPr>
          <w:kern w:val="2"/>
          <w:sz w:val="20"/>
        </w:rPr>
        <w:t>manifests</w:t>
      </w:r>
      <w:r w:rsidRPr="00BC2BC4">
        <w:rPr>
          <w:kern w:val="2"/>
          <w:sz w:val="20"/>
        </w:rPr>
        <w:t xml:space="preserve"> in pu</w:t>
      </w:r>
      <w:r w:rsidR="00CD23C5" w:rsidRPr="00BC2BC4">
        <w:rPr>
          <w:kern w:val="2"/>
          <w:sz w:val="20"/>
        </w:rPr>
        <w:t>blic procurement. Given the great potential for many</w:t>
      </w:r>
      <w:r w:rsidRPr="00BC2BC4">
        <w:rPr>
          <w:kern w:val="2"/>
          <w:sz w:val="20"/>
        </w:rPr>
        <w:t xml:space="preserve"> types of corrupt practices in public procurement, regulation of public procurement procedures should be a priority at all levels of government.</w:t>
      </w:r>
    </w:p>
    <w:p w14:paraId="51125213" w14:textId="294DCF89" w:rsidR="00817799" w:rsidRPr="00BC2BC4" w:rsidRDefault="00567AC0" w:rsidP="00ED3317">
      <w:pPr>
        <w:pStyle w:val="Heading1"/>
        <w:rPr>
          <w:sz w:val="28"/>
        </w:rPr>
      </w:pPr>
      <w:bookmarkStart w:id="15" w:name="_Toc424485018"/>
      <w:bookmarkStart w:id="16" w:name="_Toc502666011"/>
      <w:r w:rsidRPr="00BC2BC4">
        <w:rPr>
          <w:sz w:val="28"/>
        </w:rPr>
        <w:t xml:space="preserve">Types of Public </w:t>
      </w:r>
      <w:r w:rsidR="00FF7781" w:rsidRPr="00BC2BC4">
        <w:rPr>
          <w:sz w:val="28"/>
        </w:rPr>
        <w:t>Procurement: P3s, Sole Sourcing</w:t>
      </w:r>
      <w:r w:rsidRPr="00BC2BC4">
        <w:rPr>
          <w:sz w:val="28"/>
        </w:rPr>
        <w:t xml:space="preserve"> and Competitive Bidding</w:t>
      </w:r>
      <w:bookmarkEnd w:id="15"/>
      <w:bookmarkEnd w:id="16"/>
    </w:p>
    <w:p w14:paraId="46E390AC" w14:textId="4B16E698" w:rsidR="00DC2FFA" w:rsidRPr="00BC2BC4" w:rsidRDefault="00877DA1" w:rsidP="003F14E9">
      <w:pPr>
        <w:rPr>
          <w:rFonts w:cs="Times New Roman"/>
          <w:kern w:val="2"/>
          <w:sz w:val="20"/>
        </w:rPr>
      </w:pPr>
      <w:r w:rsidRPr="00BC2BC4">
        <w:rPr>
          <w:rFonts w:cs="Times New Roman"/>
          <w:kern w:val="2"/>
          <w:sz w:val="20"/>
        </w:rPr>
        <w:t xml:space="preserve">This section will describe </w:t>
      </w:r>
      <w:r w:rsidR="00C0738B" w:rsidRPr="00BC2BC4">
        <w:rPr>
          <w:rFonts w:cs="Times New Roman"/>
          <w:kern w:val="2"/>
          <w:sz w:val="20"/>
        </w:rPr>
        <w:t xml:space="preserve">the </w:t>
      </w:r>
      <w:r w:rsidRPr="00BC2BC4">
        <w:rPr>
          <w:rFonts w:cs="Times New Roman"/>
          <w:kern w:val="2"/>
          <w:sz w:val="20"/>
        </w:rPr>
        <w:t xml:space="preserve">three </w:t>
      </w:r>
      <w:r w:rsidR="00C0738B" w:rsidRPr="00BC2BC4">
        <w:rPr>
          <w:rFonts w:cs="Times New Roman"/>
          <w:kern w:val="2"/>
          <w:sz w:val="20"/>
        </w:rPr>
        <w:t>main</w:t>
      </w:r>
      <w:r w:rsidRPr="00BC2BC4">
        <w:rPr>
          <w:rFonts w:cs="Times New Roman"/>
          <w:kern w:val="2"/>
          <w:sz w:val="20"/>
        </w:rPr>
        <w:t xml:space="preserve"> ways procurement occurs: P3s, sole sourcing and competitive bidding. </w:t>
      </w:r>
    </w:p>
    <w:p w14:paraId="2331F44C" w14:textId="5985F030" w:rsidR="00817799" w:rsidRPr="00BC2BC4" w:rsidRDefault="00817799" w:rsidP="001A40BD">
      <w:pPr>
        <w:pStyle w:val="Heading2"/>
        <w:rPr>
          <w:kern w:val="2"/>
          <w:sz w:val="24"/>
        </w:rPr>
      </w:pPr>
      <w:bookmarkStart w:id="17" w:name="_Toc420920781"/>
      <w:bookmarkStart w:id="18" w:name="_Toc424485019"/>
      <w:r w:rsidRPr="00BC2BC4">
        <w:rPr>
          <w:kern w:val="2"/>
          <w:sz w:val="24"/>
        </w:rPr>
        <w:t>P3s</w:t>
      </w:r>
      <w:bookmarkEnd w:id="17"/>
      <w:bookmarkEnd w:id="18"/>
    </w:p>
    <w:p w14:paraId="4E75CAF8" w14:textId="746B6F12" w:rsidR="00817799" w:rsidRPr="00BC2BC4" w:rsidRDefault="00817799" w:rsidP="003F14E9">
      <w:pPr>
        <w:rPr>
          <w:rFonts w:cs="Times New Roman"/>
          <w:kern w:val="2"/>
          <w:sz w:val="20"/>
        </w:rPr>
      </w:pPr>
      <w:r w:rsidRPr="00BC2BC4">
        <w:rPr>
          <w:rFonts w:cs="Times New Roman"/>
          <w:kern w:val="2"/>
          <w:sz w:val="20"/>
        </w:rPr>
        <w:t>Procurement of large</w:t>
      </w:r>
      <w:r w:rsidR="00B56F20" w:rsidRPr="00BC2BC4">
        <w:rPr>
          <w:rFonts w:cs="Times New Roman"/>
          <w:kern w:val="2"/>
          <w:sz w:val="20"/>
        </w:rPr>
        <w:t>-</w:t>
      </w:r>
      <w:r w:rsidRPr="00BC2BC4">
        <w:rPr>
          <w:rFonts w:cs="Times New Roman"/>
          <w:kern w:val="2"/>
          <w:sz w:val="20"/>
        </w:rPr>
        <w:t>scale</w:t>
      </w:r>
      <w:r w:rsidR="00F00E40" w:rsidRPr="00BC2BC4">
        <w:rPr>
          <w:rFonts w:cs="Times New Roman"/>
          <w:kern w:val="2"/>
          <w:sz w:val="20"/>
        </w:rPr>
        <w:t>, complex</w:t>
      </w:r>
      <w:r w:rsidRPr="00BC2BC4">
        <w:rPr>
          <w:rFonts w:cs="Times New Roman"/>
          <w:kern w:val="2"/>
          <w:sz w:val="20"/>
        </w:rPr>
        <w:t xml:space="preserve"> projects such as public infrastructure </w:t>
      </w:r>
      <w:r w:rsidR="00F80E95" w:rsidRPr="00BC2BC4">
        <w:rPr>
          <w:rFonts w:cs="Times New Roman"/>
          <w:kern w:val="2"/>
          <w:sz w:val="20"/>
        </w:rPr>
        <w:t xml:space="preserve">can </w:t>
      </w:r>
      <w:r w:rsidRPr="00BC2BC4">
        <w:rPr>
          <w:rFonts w:cs="Times New Roman"/>
          <w:kern w:val="2"/>
          <w:sz w:val="20"/>
        </w:rPr>
        <w:t>involve construction-related public-private partnerships (P3s). P</w:t>
      </w:r>
      <w:r w:rsidR="00567AC0" w:rsidRPr="00BC2BC4">
        <w:rPr>
          <w:rFonts w:cs="Times New Roman"/>
          <w:kern w:val="2"/>
          <w:sz w:val="20"/>
        </w:rPr>
        <w:t xml:space="preserve">ublic Private Partnership </w:t>
      </w:r>
      <w:r w:rsidRPr="00BC2BC4">
        <w:rPr>
          <w:rFonts w:cs="Times New Roman"/>
          <w:kern w:val="2"/>
          <w:sz w:val="20"/>
        </w:rPr>
        <w:t xml:space="preserve">Canada </w:t>
      </w:r>
      <w:r w:rsidR="00567AC0" w:rsidRPr="00BC2BC4">
        <w:rPr>
          <w:rFonts w:cs="Times New Roman"/>
          <w:kern w:val="2"/>
          <w:sz w:val="20"/>
        </w:rPr>
        <w:t>(PPP</w:t>
      </w:r>
      <w:r w:rsidR="001244E0" w:rsidRPr="00BC2BC4">
        <w:rPr>
          <w:rFonts w:cs="Times New Roman"/>
          <w:kern w:val="2"/>
          <w:sz w:val="20"/>
        </w:rPr>
        <w:t xml:space="preserve"> Canada</w:t>
      </w:r>
      <w:r w:rsidR="00567AC0" w:rsidRPr="00BC2BC4">
        <w:rPr>
          <w:rFonts w:cs="Times New Roman"/>
          <w:kern w:val="2"/>
          <w:sz w:val="20"/>
        </w:rPr>
        <w:t>),</w:t>
      </w:r>
      <w:r w:rsidR="00FC7E00" w:rsidRPr="00BC2BC4">
        <w:rPr>
          <w:rStyle w:val="FootnoteReference"/>
          <w:rFonts w:cs="Times New Roman"/>
          <w:kern w:val="2"/>
          <w:sz w:val="20"/>
        </w:rPr>
        <w:footnoteReference w:id="55"/>
      </w:r>
      <w:r w:rsidR="00567AC0" w:rsidRPr="00BC2BC4">
        <w:rPr>
          <w:rFonts w:cs="Times New Roman"/>
          <w:kern w:val="2"/>
          <w:sz w:val="20"/>
        </w:rPr>
        <w:t xml:space="preserve"> a federal Crown corporation </w:t>
      </w:r>
      <w:r w:rsidR="00A47149" w:rsidRPr="00BC2BC4">
        <w:rPr>
          <w:rFonts w:cs="Times New Roman"/>
          <w:kern w:val="2"/>
          <w:sz w:val="20"/>
        </w:rPr>
        <w:t xml:space="preserve">that </w:t>
      </w:r>
      <w:r w:rsidR="00567AC0" w:rsidRPr="00BC2BC4">
        <w:rPr>
          <w:rFonts w:cs="Times New Roman"/>
          <w:kern w:val="2"/>
          <w:sz w:val="20"/>
        </w:rPr>
        <w:t xml:space="preserve">facilitates P3 projects, </w:t>
      </w:r>
      <w:r w:rsidRPr="00BC2BC4">
        <w:rPr>
          <w:rFonts w:cs="Times New Roman"/>
          <w:kern w:val="2"/>
          <w:sz w:val="20"/>
        </w:rPr>
        <w:t>defines a P3 as:</w:t>
      </w:r>
    </w:p>
    <w:p w14:paraId="311D5FF8" w14:textId="4E4B91C5" w:rsidR="009F164A" w:rsidRPr="00BC2BC4" w:rsidRDefault="00817799" w:rsidP="001A40BD">
      <w:pPr>
        <w:pStyle w:val="BlockQuote"/>
        <w:rPr>
          <w:kern w:val="2"/>
          <w:sz w:val="20"/>
        </w:rPr>
      </w:pPr>
      <w:r w:rsidRPr="00BC2BC4">
        <w:rPr>
          <w:kern w:val="2"/>
          <w:sz w:val="20"/>
        </w:rPr>
        <w:t>A long-term performance-based approach to procuring public infrastructure where the private sector assumes a major share of the risks in terms of financing and construction and ensuring effective performance of the infrastructure, form design and planning, to long-term maintenance.</w:t>
      </w:r>
      <w:r w:rsidR="00E25CE3" w:rsidRPr="00BC2BC4">
        <w:rPr>
          <w:rStyle w:val="FootnoteReference"/>
          <w:kern w:val="2"/>
          <w:sz w:val="20"/>
          <w:szCs w:val="21"/>
        </w:rPr>
        <w:footnoteReference w:id="56"/>
      </w:r>
    </w:p>
    <w:p w14:paraId="4EF77E04" w14:textId="7900259D" w:rsidR="00E82744" w:rsidRPr="00BC2BC4" w:rsidRDefault="00661442" w:rsidP="003F14E9">
      <w:pPr>
        <w:rPr>
          <w:rFonts w:cs="Times New Roman"/>
          <w:kern w:val="2"/>
          <w:sz w:val="20"/>
        </w:rPr>
      </w:pPr>
      <w:r w:rsidRPr="00BC2BC4">
        <w:rPr>
          <w:rFonts w:cs="Times New Roman"/>
          <w:kern w:val="2"/>
          <w:sz w:val="20"/>
        </w:rPr>
        <w:t xml:space="preserve">Although </w:t>
      </w:r>
      <w:r w:rsidR="00E82744" w:rsidRPr="00BC2BC4">
        <w:rPr>
          <w:rFonts w:cs="Times New Roman"/>
          <w:kern w:val="2"/>
          <w:sz w:val="20"/>
        </w:rPr>
        <w:t>P3s in the public infrastructure context can take many forms</w:t>
      </w:r>
      <w:r w:rsidRPr="00BC2BC4">
        <w:rPr>
          <w:rFonts w:cs="Times New Roman"/>
          <w:kern w:val="2"/>
          <w:sz w:val="20"/>
        </w:rPr>
        <w:t xml:space="preserve"> and can include </w:t>
      </w:r>
      <w:r w:rsidR="00B42A0B" w:rsidRPr="00BC2BC4">
        <w:rPr>
          <w:rFonts w:cs="Times New Roman"/>
          <w:kern w:val="2"/>
          <w:sz w:val="20"/>
        </w:rPr>
        <w:t>a variety of</w:t>
      </w:r>
      <w:r w:rsidRPr="00BC2BC4">
        <w:rPr>
          <w:rFonts w:cs="Times New Roman"/>
          <w:kern w:val="2"/>
          <w:sz w:val="20"/>
        </w:rPr>
        <w:t xml:space="preserve"> attributes</w:t>
      </w:r>
      <w:r w:rsidR="00E82744" w:rsidRPr="00BC2BC4">
        <w:rPr>
          <w:rFonts w:cs="Times New Roman"/>
          <w:kern w:val="2"/>
          <w:sz w:val="20"/>
        </w:rPr>
        <w:t>, at least three features tend to be present</w:t>
      </w:r>
      <w:r w:rsidR="003D3EE5" w:rsidRPr="00BC2BC4">
        <w:rPr>
          <w:rFonts w:cs="Times New Roman"/>
          <w:kern w:val="2"/>
          <w:sz w:val="20"/>
        </w:rPr>
        <w:t xml:space="preserve">: (1) </w:t>
      </w:r>
      <w:r w:rsidR="00E82744" w:rsidRPr="00BC2BC4">
        <w:rPr>
          <w:rFonts w:cs="Times New Roman"/>
          <w:kern w:val="2"/>
          <w:sz w:val="20"/>
        </w:rPr>
        <w:t>bundlin</w:t>
      </w:r>
      <w:r w:rsidR="003D3EE5" w:rsidRPr="00BC2BC4">
        <w:rPr>
          <w:rFonts w:cs="Times New Roman"/>
          <w:kern w:val="2"/>
          <w:sz w:val="20"/>
        </w:rPr>
        <w:t xml:space="preserve">g of construction and operation, (2) </w:t>
      </w:r>
      <w:r w:rsidR="00E82744" w:rsidRPr="00BC2BC4">
        <w:rPr>
          <w:rFonts w:cs="Times New Roman"/>
          <w:kern w:val="2"/>
          <w:sz w:val="20"/>
        </w:rPr>
        <w:t xml:space="preserve">private </w:t>
      </w:r>
      <w:r w:rsidR="007B5D85" w:rsidRPr="00BC2BC4">
        <w:rPr>
          <w:rFonts w:cs="Times New Roman"/>
          <w:kern w:val="2"/>
          <w:sz w:val="20"/>
        </w:rPr>
        <w:t xml:space="preserve">but temporary </w:t>
      </w:r>
      <w:r w:rsidR="003D3EE5" w:rsidRPr="00BC2BC4">
        <w:rPr>
          <w:rFonts w:cs="Times New Roman"/>
          <w:kern w:val="2"/>
          <w:sz w:val="20"/>
        </w:rPr>
        <w:t>ownership of assets</w:t>
      </w:r>
      <w:r w:rsidR="00E82744" w:rsidRPr="00BC2BC4">
        <w:rPr>
          <w:rFonts w:cs="Times New Roman"/>
          <w:kern w:val="2"/>
          <w:sz w:val="20"/>
        </w:rPr>
        <w:t xml:space="preserve"> </w:t>
      </w:r>
      <w:r w:rsidR="00684741" w:rsidRPr="00BC2BC4">
        <w:rPr>
          <w:rFonts w:cs="Times New Roman"/>
          <w:kern w:val="2"/>
          <w:sz w:val="20"/>
        </w:rPr>
        <w:t xml:space="preserve">and </w:t>
      </w:r>
      <w:r w:rsidR="003D3EE5" w:rsidRPr="00BC2BC4">
        <w:rPr>
          <w:rFonts w:cs="Times New Roman"/>
          <w:kern w:val="2"/>
          <w:sz w:val="20"/>
        </w:rPr>
        <w:t xml:space="preserve">(3) </w:t>
      </w:r>
      <w:r w:rsidR="00E82744" w:rsidRPr="00BC2BC4">
        <w:rPr>
          <w:rFonts w:cs="Times New Roman"/>
          <w:kern w:val="2"/>
          <w:sz w:val="20"/>
        </w:rPr>
        <w:t>risk sharing</w:t>
      </w:r>
      <w:r w:rsidR="003D3EE5" w:rsidRPr="00BC2BC4">
        <w:rPr>
          <w:rFonts w:cs="Times New Roman"/>
          <w:kern w:val="2"/>
          <w:sz w:val="20"/>
        </w:rPr>
        <w:t xml:space="preserve"> over time between the public and private sector</w:t>
      </w:r>
      <w:r w:rsidR="00E82744" w:rsidRPr="00BC2BC4">
        <w:rPr>
          <w:rFonts w:cs="Times New Roman"/>
          <w:kern w:val="2"/>
          <w:sz w:val="20"/>
        </w:rPr>
        <w:t>.</w:t>
      </w:r>
      <w:r w:rsidR="00E82744" w:rsidRPr="00BC2BC4">
        <w:rPr>
          <w:rFonts w:cs="Times New Roman"/>
          <w:kern w:val="2"/>
          <w:sz w:val="20"/>
          <w:vertAlign w:val="superscript"/>
        </w:rPr>
        <w:footnoteReference w:id="57"/>
      </w:r>
      <w:r w:rsidR="00684741" w:rsidRPr="00BC2BC4">
        <w:rPr>
          <w:rFonts w:cs="Times New Roman"/>
          <w:kern w:val="2"/>
          <w:sz w:val="20"/>
        </w:rPr>
        <w:t xml:space="preserve"> </w:t>
      </w:r>
      <w:r w:rsidR="00E06686" w:rsidRPr="00BC2BC4">
        <w:rPr>
          <w:rFonts w:cs="Times New Roman"/>
          <w:kern w:val="2"/>
          <w:sz w:val="20"/>
        </w:rPr>
        <w:t>One</w:t>
      </w:r>
      <w:r w:rsidR="00684741" w:rsidRPr="00BC2BC4">
        <w:rPr>
          <w:rFonts w:cs="Times New Roman"/>
          <w:kern w:val="2"/>
          <w:sz w:val="20"/>
        </w:rPr>
        <w:t xml:space="preserve"> distinguishing feature found in </w:t>
      </w:r>
      <w:r w:rsidR="00637AE7" w:rsidRPr="00BC2BC4">
        <w:rPr>
          <w:rFonts w:cs="Times New Roman"/>
          <w:kern w:val="2"/>
          <w:sz w:val="20"/>
        </w:rPr>
        <w:t xml:space="preserve">most major infrastructure </w:t>
      </w:r>
      <w:r w:rsidR="00684741" w:rsidRPr="00BC2BC4">
        <w:rPr>
          <w:rFonts w:cs="Times New Roman"/>
          <w:kern w:val="2"/>
          <w:sz w:val="20"/>
        </w:rPr>
        <w:t>P3s is that the private sector bears considerable (if not complete) responsibility for project financing.</w:t>
      </w:r>
      <w:r w:rsidR="003053F4" w:rsidRPr="00BC2BC4">
        <w:rPr>
          <w:rFonts w:cs="Times New Roman"/>
          <w:kern w:val="2"/>
          <w:sz w:val="20"/>
        </w:rPr>
        <w:t xml:space="preserve"> This follows from a core conceptual underpinning of the P3 model: project risks should be transferred to the party best able to manage those risks.</w:t>
      </w:r>
      <w:r w:rsidR="00B75406" w:rsidRPr="00BC2BC4">
        <w:rPr>
          <w:rStyle w:val="FootnoteReference"/>
          <w:rFonts w:cs="Times New Roman"/>
          <w:kern w:val="2"/>
          <w:sz w:val="20"/>
        </w:rPr>
        <w:footnoteReference w:id="58"/>
      </w:r>
      <w:r w:rsidR="003053F4" w:rsidRPr="00BC2BC4">
        <w:rPr>
          <w:rFonts w:cs="Times New Roman"/>
          <w:kern w:val="2"/>
          <w:sz w:val="20"/>
        </w:rPr>
        <w:t xml:space="preserve"> The transfer of financing responsibilities to the private sector</w:t>
      </w:r>
      <w:r w:rsidR="00684741" w:rsidRPr="00BC2BC4">
        <w:rPr>
          <w:rFonts w:cs="Times New Roman"/>
          <w:kern w:val="2"/>
          <w:sz w:val="20"/>
        </w:rPr>
        <w:t xml:space="preserve"> </w:t>
      </w:r>
      <w:r w:rsidR="00637AE7" w:rsidRPr="00BC2BC4">
        <w:rPr>
          <w:rFonts w:cs="Times New Roman"/>
          <w:kern w:val="2"/>
          <w:sz w:val="20"/>
        </w:rPr>
        <w:t>is said to alleviate</w:t>
      </w:r>
      <w:r w:rsidR="00684741" w:rsidRPr="00BC2BC4">
        <w:rPr>
          <w:rFonts w:cs="Times New Roman"/>
          <w:kern w:val="2"/>
          <w:sz w:val="20"/>
        </w:rPr>
        <w:t xml:space="preserve"> strains</w:t>
      </w:r>
      <w:r w:rsidR="00637AE7" w:rsidRPr="00BC2BC4">
        <w:rPr>
          <w:rFonts w:cs="Times New Roman"/>
          <w:kern w:val="2"/>
          <w:sz w:val="20"/>
        </w:rPr>
        <w:t xml:space="preserve"> on public budgets and harness</w:t>
      </w:r>
      <w:r w:rsidR="00684741" w:rsidRPr="00BC2BC4">
        <w:rPr>
          <w:rFonts w:cs="Times New Roman"/>
          <w:kern w:val="2"/>
          <w:sz w:val="20"/>
        </w:rPr>
        <w:t xml:space="preserve"> the efficiency and depth of private finance markets.</w:t>
      </w:r>
      <w:r w:rsidR="00EB6E5A" w:rsidRPr="00BC2BC4">
        <w:rPr>
          <w:rFonts w:cs="Times New Roman"/>
          <w:kern w:val="2"/>
          <w:sz w:val="20"/>
        </w:rPr>
        <w:t xml:space="preserve"> </w:t>
      </w:r>
      <w:r w:rsidR="006D543B" w:rsidRPr="00BC2BC4">
        <w:rPr>
          <w:rFonts w:cs="Times New Roman"/>
          <w:kern w:val="2"/>
          <w:sz w:val="20"/>
        </w:rPr>
        <w:t>Through a P3 arrangement, t</w:t>
      </w:r>
      <w:r w:rsidR="00EB6E5A" w:rsidRPr="00BC2BC4">
        <w:rPr>
          <w:rFonts w:cs="Times New Roman"/>
          <w:kern w:val="2"/>
          <w:sz w:val="20"/>
        </w:rPr>
        <w:t xml:space="preserve">he costs of a project can be paid off </w:t>
      </w:r>
      <w:r w:rsidR="00444C7D" w:rsidRPr="00BC2BC4">
        <w:rPr>
          <w:rFonts w:cs="Times New Roman"/>
          <w:kern w:val="2"/>
          <w:sz w:val="20"/>
        </w:rPr>
        <w:t>over</w:t>
      </w:r>
      <w:r w:rsidR="00EB6E5A" w:rsidRPr="00BC2BC4">
        <w:rPr>
          <w:rFonts w:cs="Times New Roman"/>
          <w:kern w:val="2"/>
          <w:sz w:val="20"/>
        </w:rPr>
        <w:t xml:space="preserve"> </w:t>
      </w:r>
      <w:r w:rsidR="00444C7D" w:rsidRPr="00BC2BC4">
        <w:rPr>
          <w:rFonts w:cs="Times New Roman"/>
          <w:kern w:val="2"/>
          <w:sz w:val="20"/>
        </w:rPr>
        <w:t xml:space="preserve">the project </w:t>
      </w:r>
      <w:r w:rsidR="003D089C" w:rsidRPr="00BC2BC4">
        <w:rPr>
          <w:rFonts w:cs="Times New Roman"/>
          <w:kern w:val="2"/>
          <w:sz w:val="20"/>
        </w:rPr>
        <w:t>life</w:t>
      </w:r>
      <w:r w:rsidR="00570C17" w:rsidRPr="00BC2BC4">
        <w:rPr>
          <w:rFonts w:cs="Times New Roman"/>
          <w:kern w:val="2"/>
          <w:sz w:val="20"/>
        </w:rPr>
        <w:t>cycle</w:t>
      </w:r>
      <w:r w:rsidR="00EB6E5A" w:rsidRPr="00BC2BC4">
        <w:rPr>
          <w:rFonts w:cs="Times New Roman"/>
          <w:kern w:val="2"/>
          <w:sz w:val="20"/>
        </w:rPr>
        <w:t>, which poses less risk to both governments and taxpayers as compared to front-loaded arrangements.</w:t>
      </w:r>
      <w:r w:rsidR="00EB6E5A" w:rsidRPr="00BC2BC4">
        <w:rPr>
          <w:rStyle w:val="FootnoteReference"/>
          <w:rFonts w:cs="Times New Roman"/>
          <w:kern w:val="2"/>
          <w:sz w:val="20"/>
        </w:rPr>
        <w:footnoteReference w:id="59"/>
      </w:r>
      <w:r w:rsidR="00EB6E5A" w:rsidRPr="00BC2BC4">
        <w:rPr>
          <w:rFonts w:cs="Times New Roman"/>
          <w:kern w:val="2"/>
          <w:sz w:val="20"/>
        </w:rPr>
        <w:t xml:space="preserve"> </w:t>
      </w:r>
      <w:r w:rsidR="00A41BB7" w:rsidRPr="00BC2BC4">
        <w:rPr>
          <w:rFonts w:cs="Times New Roman"/>
          <w:kern w:val="2"/>
          <w:sz w:val="20"/>
        </w:rPr>
        <w:t xml:space="preserve">In addition, many P3 arrangements </w:t>
      </w:r>
      <w:r w:rsidR="00F82F87" w:rsidRPr="00BC2BC4">
        <w:rPr>
          <w:rFonts w:cs="Times New Roman"/>
          <w:kern w:val="2"/>
          <w:sz w:val="20"/>
        </w:rPr>
        <w:t>take</w:t>
      </w:r>
      <w:r w:rsidR="00A41BB7" w:rsidRPr="00BC2BC4">
        <w:rPr>
          <w:rFonts w:cs="Times New Roman"/>
          <w:kern w:val="2"/>
          <w:sz w:val="20"/>
        </w:rPr>
        <w:t xml:space="preserve"> some form of a “concession” model, whereby a private sector conce</w:t>
      </w:r>
      <w:r w:rsidR="00F82F87" w:rsidRPr="00BC2BC4">
        <w:rPr>
          <w:rFonts w:cs="Times New Roman"/>
          <w:kern w:val="2"/>
          <w:sz w:val="20"/>
        </w:rPr>
        <w:t>ssionaire undertakes investment and operation</w:t>
      </w:r>
      <w:r w:rsidR="00A41BB7" w:rsidRPr="00BC2BC4">
        <w:rPr>
          <w:rFonts w:cs="Times New Roman"/>
          <w:kern w:val="2"/>
          <w:sz w:val="20"/>
        </w:rPr>
        <w:t xml:space="preserve"> </w:t>
      </w:r>
      <w:r w:rsidR="00F82F87" w:rsidRPr="00BC2BC4">
        <w:rPr>
          <w:rFonts w:cs="Times New Roman"/>
          <w:kern w:val="2"/>
          <w:sz w:val="20"/>
        </w:rPr>
        <w:t>of the project</w:t>
      </w:r>
      <w:r w:rsidR="00A41BB7" w:rsidRPr="00BC2BC4">
        <w:rPr>
          <w:rFonts w:cs="Times New Roman"/>
          <w:kern w:val="2"/>
          <w:sz w:val="20"/>
        </w:rPr>
        <w:t xml:space="preserve"> for a fixed period of time after which ownership </w:t>
      </w:r>
      <w:r w:rsidR="00F82F87" w:rsidRPr="00BC2BC4">
        <w:rPr>
          <w:rFonts w:cs="Times New Roman"/>
          <w:kern w:val="2"/>
          <w:sz w:val="20"/>
        </w:rPr>
        <w:t xml:space="preserve">of the assets </w:t>
      </w:r>
      <w:r w:rsidR="00A41BB7" w:rsidRPr="00BC2BC4">
        <w:rPr>
          <w:rFonts w:cs="Times New Roman"/>
          <w:kern w:val="2"/>
          <w:sz w:val="20"/>
        </w:rPr>
        <w:t>reverts to the public sector.</w:t>
      </w:r>
    </w:p>
    <w:p w14:paraId="07AA3FE4" w14:textId="6230667D" w:rsidR="00C5042C" w:rsidRPr="00BC2BC4" w:rsidRDefault="00C5042C" w:rsidP="003F14E9">
      <w:pPr>
        <w:rPr>
          <w:rFonts w:cs="Times New Roman"/>
          <w:kern w:val="2"/>
          <w:sz w:val="20"/>
        </w:rPr>
      </w:pPr>
      <w:r w:rsidRPr="00BC2BC4">
        <w:rPr>
          <w:rFonts w:cs="Times New Roman"/>
          <w:kern w:val="2"/>
          <w:sz w:val="20"/>
        </w:rPr>
        <w:t xml:space="preserve">Each P3 </w:t>
      </w:r>
      <w:r w:rsidR="009F44C3" w:rsidRPr="00BC2BC4">
        <w:rPr>
          <w:rFonts w:cs="Times New Roman"/>
          <w:kern w:val="2"/>
          <w:sz w:val="20"/>
        </w:rPr>
        <w:t>arrangement</w:t>
      </w:r>
      <w:r w:rsidRPr="00BC2BC4">
        <w:rPr>
          <w:rFonts w:cs="Times New Roman"/>
          <w:kern w:val="2"/>
          <w:sz w:val="20"/>
        </w:rPr>
        <w:t xml:space="preserve"> sits along a continuum between “purely public” and “purely private</w:t>
      </w:r>
      <w:r w:rsidR="003635FB" w:rsidRPr="00BC2BC4">
        <w:rPr>
          <w:rFonts w:cs="Times New Roman"/>
          <w:kern w:val="2"/>
          <w:sz w:val="20"/>
        </w:rPr>
        <w:t>.</w:t>
      </w:r>
      <w:r w:rsidRPr="00BC2BC4">
        <w:rPr>
          <w:rFonts w:cs="Times New Roman"/>
          <w:kern w:val="2"/>
          <w:sz w:val="20"/>
        </w:rPr>
        <w:t>”</w:t>
      </w:r>
      <w:r w:rsidRPr="00BC2BC4">
        <w:rPr>
          <w:rFonts w:cs="Times New Roman"/>
          <w:kern w:val="2"/>
          <w:sz w:val="20"/>
          <w:vertAlign w:val="superscript"/>
        </w:rPr>
        <w:footnoteReference w:id="60"/>
      </w:r>
      <w:r w:rsidRPr="00BC2BC4">
        <w:rPr>
          <w:rFonts w:cs="Times New Roman"/>
          <w:kern w:val="2"/>
          <w:sz w:val="20"/>
        </w:rPr>
        <w:t xml:space="preserve"> </w:t>
      </w:r>
      <w:r w:rsidR="007229BC" w:rsidRPr="00BC2BC4">
        <w:rPr>
          <w:rFonts w:cs="Times New Roman"/>
          <w:kern w:val="2"/>
          <w:sz w:val="20"/>
        </w:rPr>
        <w:t>A project sitting closer to the “private” end of the spectrum might include</w:t>
      </w:r>
      <w:r w:rsidRPr="00BC2BC4">
        <w:rPr>
          <w:rFonts w:cs="Times New Roman"/>
          <w:kern w:val="2"/>
          <w:sz w:val="20"/>
        </w:rPr>
        <w:t xml:space="preserve"> an agreement whereby private sector participants build, own and operate the infrastructure</w:t>
      </w:r>
      <w:r w:rsidR="007229BC" w:rsidRPr="00BC2BC4">
        <w:rPr>
          <w:rFonts w:cs="Times New Roman"/>
          <w:kern w:val="2"/>
          <w:sz w:val="20"/>
        </w:rPr>
        <w:t>. This is</w:t>
      </w:r>
      <w:r w:rsidR="00F43DEF" w:rsidRPr="00BC2BC4">
        <w:rPr>
          <w:rFonts w:cs="Times New Roman"/>
          <w:kern w:val="2"/>
          <w:sz w:val="20"/>
        </w:rPr>
        <w:t xml:space="preserve"> commonly</w:t>
      </w:r>
      <w:r w:rsidR="007229BC" w:rsidRPr="00BC2BC4">
        <w:rPr>
          <w:rFonts w:cs="Times New Roman"/>
          <w:kern w:val="2"/>
          <w:sz w:val="20"/>
        </w:rPr>
        <w:t xml:space="preserve"> referred to as a </w:t>
      </w:r>
      <w:r w:rsidR="008E028C" w:rsidRPr="00BC2BC4">
        <w:rPr>
          <w:kern w:val="2"/>
          <w:sz w:val="20"/>
        </w:rPr>
        <w:t>public investment management system</w:t>
      </w:r>
      <w:r w:rsidR="00895B33" w:rsidRPr="00BC2BC4">
        <w:rPr>
          <w:kern w:val="2"/>
          <w:sz w:val="20"/>
        </w:rPr>
        <w:t xml:space="preserve"> </w:t>
      </w:r>
      <w:r w:rsidR="007229BC" w:rsidRPr="00BC2BC4">
        <w:rPr>
          <w:rFonts w:cs="Times New Roman"/>
          <w:kern w:val="2"/>
          <w:sz w:val="20"/>
        </w:rPr>
        <w:t xml:space="preserve">“BOO” </w:t>
      </w:r>
      <w:r w:rsidR="00F43DEF" w:rsidRPr="00BC2BC4">
        <w:rPr>
          <w:rFonts w:cs="Times New Roman"/>
          <w:kern w:val="2"/>
          <w:sz w:val="20"/>
        </w:rPr>
        <w:t xml:space="preserve">(build-own-operate) </w:t>
      </w:r>
      <w:r w:rsidR="007229BC" w:rsidRPr="00BC2BC4">
        <w:rPr>
          <w:rFonts w:cs="Times New Roman"/>
          <w:kern w:val="2"/>
          <w:sz w:val="20"/>
        </w:rPr>
        <w:t>arrangement.</w:t>
      </w:r>
      <w:r w:rsidR="00094240" w:rsidRPr="00BC2BC4">
        <w:rPr>
          <w:rStyle w:val="FootnoteReference"/>
          <w:rFonts w:cs="Times New Roman"/>
          <w:kern w:val="2"/>
          <w:sz w:val="20"/>
        </w:rPr>
        <w:footnoteReference w:id="61"/>
      </w:r>
      <w:r w:rsidR="00A41BB7" w:rsidRPr="00BC2BC4">
        <w:rPr>
          <w:rFonts w:cs="Times New Roman"/>
          <w:kern w:val="2"/>
          <w:sz w:val="20"/>
        </w:rPr>
        <w:t xml:space="preserve"> </w:t>
      </w:r>
      <w:r w:rsidR="007229BC" w:rsidRPr="00BC2BC4">
        <w:rPr>
          <w:rFonts w:cs="Times New Roman"/>
          <w:kern w:val="2"/>
          <w:sz w:val="20"/>
        </w:rPr>
        <w:t xml:space="preserve">By contrast, a project sitting closer to the “public” end of the spectrum might involve </w:t>
      </w:r>
      <w:r w:rsidRPr="00BC2BC4">
        <w:rPr>
          <w:rFonts w:cs="Times New Roman"/>
          <w:kern w:val="2"/>
          <w:sz w:val="20"/>
        </w:rPr>
        <w:t>an agreement whereby private sector participants merely operate and maintain the infrastructure</w:t>
      </w:r>
      <w:r w:rsidR="007229BC" w:rsidRPr="00BC2BC4">
        <w:rPr>
          <w:rFonts w:cs="Times New Roman"/>
          <w:kern w:val="2"/>
          <w:sz w:val="20"/>
        </w:rPr>
        <w:t xml:space="preserve">. This is referred to as an “OM” </w:t>
      </w:r>
      <w:r w:rsidR="00F43DEF" w:rsidRPr="00BC2BC4">
        <w:rPr>
          <w:rFonts w:cs="Times New Roman"/>
          <w:kern w:val="2"/>
          <w:sz w:val="20"/>
        </w:rPr>
        <w:t xml:space="preserve">(operate and maintain) </w:t>
      </w:r>
      <w:r w:rsidR="007229BC" w:rsidRPr="00BC2BC4">
        <w:rPr>
          <w:rFonts w:cs="Times New Roman"/>
          <w:kern w:val="2"/>
          <w:sz w:val="20"/>
        </w:rPr>
        <w:t>arrangement</w:t>
      </w:r>
      <w:r w:rsidRPr="00BC2BC4">
        <w:rPr>
          <w:rFonts w:cs="Times New Roman"/>
          <w:kern w:val="2"/>
          <w:sz w:val="20"/>
        </w:rPr>
        <w:t>.</w:t>
      </w:r>
      <w:r w:rsidRPr="00BC2BC4">
        <w:rPr>
          <w:rFonts w:cs="Times New Roman"/>
          <w:kern w:val="2"/>
          <w:sz w:val="20"/>
          <w:vertAlign w:val="superscript"/>
        </w:rPr>
        <w:footnoteReference w:id="62"/>
      </w:r>
    </w:p>
    <w:p w14:paraId="2961B88A" w14:textId="15AFEAE7" w:rsidR="00A73E0A" w:rsidRPr="00BC2BC4" w:rsidRDefault="00A73E0A" w:rsidP="003F14E9">
      <w:pPr>
        <w:rPr>
          <w:rFonts w:cs="Times New Roman"/>
          <w:kern w:val="2"/>
          <w:sz w:val="20"/>
        </w:rPr>
      </w:pPr>
      <w:r w:rsidRPr="00BC2BC4">
        <w:rPr>
          <w:rFonts w:cs="Times New Roman"/>
          <w:kern w:val="2"/>
          <w:sz w:val="20"/>
        </w:rPr>
        <w:t xml:space="preserve">Despite substantial private-sector involvement in many P3 arrangements, governments </w:t>
      </w:r>
      <w:r w:rsidR="000C476B" w:rsidRPr="00BC2BC4">
        <w:rPr>
          <w:rFonts w:cs="Times New Roman"/>
          <w:kern w:val="2"/>
          <w:sz w:val="20"/>
        </w:rPr>
        <w:t xml:space="preserve">continue to </w:t>
      </w:r>
      <w:r w:rsidRPr="00BC2BC4">
        <w:rPr>
          <w:rFonts w:cs="Times New Roman"/>
          <w:kern w:val="2"/>
          <w:sz w:val="20"/>
        </w:rPr>
        <w:t xml:space="preserve">maintain a </w:t>
      </w:r>
      <w:r w:rsidR="00B378B5" w:rsidRPr="00BC2BC4">
        <w:rPr>
          <w:rFonts w:cs="Times New Roman"/>
          <w:kern w:val="2"/>
          <w:sz w:val="20"/>
        </w:rPr>
        <w:t>substantial</w:t>
      </w:r>
      <w:r w:rsidRPr="00BC2BC4">
        <w:rPr>
          <w:rFonts w:cs="Times New Roman"/>
          <w:kern w:val="2"/>
          <w:sz w:val="20"/>
        </w:rPr>
        <w:t xml:space="preserve"> role in ensuring that P3 projects operate effectively. The government must provide a favourable investment environment, establish adequate regulatory frameworks and chains of authority, select a suitable procurement process</w:t>
      </w:r>
      <w:r w:rsidR="003635FB" w:rsidRPr="00BC2BC4">
        <w:rPr>
          <w:rFonts w:cs="Times New Roman"/>
          <w:kern w:val="2"/>
          <w:sz w:val="20"/>
        </w:rPr>
        <w:t>,</w:t>
      </w:r>
      <w:r w:rsidRPr="00BC2BC4">
        <w:rPr>
          <w:rFonts w:cs="Times New Roman"/>
          <w:kern w:val="2"/>
          <w:sz w:val="20"/>
        </w:rPr>
        <w:t xml:space="preserve"> and maintain active involvement </w:t>
      </w:r>
      <w:r w:rsidR="001E6E97" w:rsidRPr="00BC2BC4">
        <w:rPr>
          <w:rFonts w:cs="Times New Roman"/>
          <w:kern w:val="2"/>
          <w:sz w:val="20"/>
        </w:rPr>
        <w:t>throughout</w:t>
      </w:r>
      <w:r w:rsidRPr="00BC2BC4">
        <w:rPr>
          <w:rFonts w:cs="Times New Roman"/>
          <w:kern w:val="2"/>
          <w:sz w:val="20"/>
        </w:rPr>
        <w:t xml:space="preserve"> the project </w:t>
      </w:r>
      <w:r w:rsidR="003D089C" w:rsidRPr="00BC2BC4">
        <w:rPr>
          <w:rFonts w:cs="Times New Roman"/>
          <w:kern w:val="2"/>
          <w:sz w:val="20"/>
        </w:rPr>
        <w:t>life</w:t>
      </w:r>
      <w:r w:rsidR="00AD770A" w:rsidRPr="00BC2BC4">
        <w:rPr>
          <w:rFonts w:cs="Times New Roman"/>
          <w:kern w:val="2"/>
          <w:sz w:val="20"/>
        </w:rPr>
        <w:t>cycle</w:t>
      </w:r>
      <w:r w:rsidRPr="00BC2BC4">
        <w:rPr>
          <w:rFonts w:cs="Times New Roman"/>
          <w:kern w:val="2"/>
          <w:sz w:val="20"/>
        </w:rPr>
        <w:t>.</w:t>
      </w:r>
      <w:r w:rsidRPr="00BC2BC4">
        <w:rPr>
          <w:rStyle w:val="FootnoteReference"/>
          <w:rFonts w:cs="Times New Roman"/>
          <w:kern w:val="2"/>
          <w:sz w:val="20"/>
        </w:rPr>
        <w:footnoteReference w:id="63"/>
      </w:r>
      <w:r w:rsidRPr="00BC2BC4">
        <w:rPr>
          <w:rFonts w:cs="Times New Roman"/>
          <w:kern w:val="2"/>
          <w:sz w:val="20"/>
        </w:rPr>
        <w:t xml:space="preserve"> These responsibilities highlight the need to ensure that government officials are acting with honesty and integrity.</w:t>
      </w:r>
    </w:p>
    <w:p w14:paraId="24F14E24" w14:textId="18D364EE" w:rsidR="00357E08" w:rsidRPr="00BC2BC4" w:rsidRDefault="007251C1" w:rsidP="00357E08">
      <w:pPr>
        <w:rPr>
          <w:rFonts w:cs="Times New Roman"/>
          <w:kern w:val="2"/>
          <w:sz w:val="20"/>
        </w:rPr>
      </w:pPr>
      <w:r w:rsidRPr="00BC2BC4">
        <w:rPr>
          <w:rFonts w:cs="Times New Roman"/>
          <w:kern w:val="2"/>
          <w:sz w:val="20"/>
        </w:rPr>
        <w:t xml:space="preserve">To distinguish </w:t>
      </w:r>
      <w:r w:rsidR="003B1DC7" w:rsidRPr="00BC2BC4">
        <w:rPr>
          <w:rFonts w:cs="Times New Roman"/>
          <w:kern w:val="2"/>
          <w:sz w:val="20"/>
        </w:rPr>
        <w:t xml:space="preserve">between </w:t>
      </w:r>
      <w:r w:rsidRPr="00BC2BC4">
        <w:rPr>
          <w:rFonts w:cs="Times New Roman"/>
          <w:kern w:val="2"/>
          <w:sz w:val="20"/>
        </w:rPr>
        <w:t xml:space="preserve">P3s </w:t>
      </w:r>
      <w:r w:rsidR="003B1DC7" w:rsidRPr="00BC2BC4">
        <w:rPr>
          <w:rFonts w:cs="Times New Roman"/>
          <w:kern w:val="2"/>
          <w:sz w:val="20"/>
        </w:rPr>
        <w:t>and</w:t>
      </w:r>
      <w:r w:rsidRPr="00BC2BC4">
        <w:rPr>
          <w:rFonts w:cs="Times New Roman"/>
          <w:kern w:val="2"/>
          <w:sz w:val="20"/>
        </w:rPr>
        <w:t xml:space="preserve"> the other two models discussed below, we can look to the list of five </w:t>
      </w:r>
      <w:r w:rsidR="008426FA" w:rsidRPr="00BC2BC4">
        <w:rPr>
          <w:rFonts w:cs="Times New Roman"/>
          <w:kern w:val="2"/>
          <w:sz w:val="20"/>
        </w:rPr>
        <w:t>essential</w:t>
      </w:r>
      <w:r w:rsidRPr="00BC2BC4">
        <w:rPr>
          <w:rFonts w:cs="Times New Roman"/>
          <w:kern w:val="2"/>
          <w:sz w:val="20"/>
        </w:rPr>
        <w:t xml:space="preserve"> differences between </w:t>
      </w:r>
      <w:r w:rsidR="009419ED" w:rsidRPr="00BC2BC4">
        <w:rPr>
          <w:rFonts w:cs="Times New Roman"/>
          <w:kern w:val="2"/>
          <w:sz w:val="20"/>
        </w:rPr>
        <w:t>so-called “</w:t>
      </w:r>
      <w:r w:rsidRPr="00BC2BC4">
        <w:rPr>
          <w:rFonts w:cs="Times New Roman"/>
          <w:kern w:val="2"/>
          <w:sz w:val="20"/>
        </w:rPr>
        <w:t>conventional procurement</w:t>
      </w:r>
      <w:r w:rsidR="009419ED" w:rsidRPr="00BC2BC4">
        <w:rPr>
          <w:rFonts w:cs="Times New Roman"/>
          <w:kern w:val="2"/>
          <w:sz w:val="20"/>
        </w:rPr>
        <w:t>”</w:t>
      </w:r>
      <w:r w:rsidRPr="00BC2BC4">
        <w:rPr>
          <w:rFonts w:cs="Times New Roman"/>
          <w:kern w:val="2"/>
          <w:sz w:val="20"/>
        </w:rPr>
        <w:t xml:space="preserve"> and P3</w:t>
      </w:r>
      <w:r w:rsidR="008426FA" w:rsidRPr="00BC2BC4">
        <w:rPr>
          <w:rFonts w:cs="Times New Roman"/>
          <w:kern w:val="2"/>
          <w:sz w:val="20"/>
        </w:rPr>
        <w:t>s, as</w:t>
      </w:r>
      <w:r w:rsidRPr="00BC2BC4">
        <w:rPr>
          <w:rFonts w:cs="Times New Roman"/>
          <w:kern w:val="2"/>
          <w:sz w:val="20"/>
        </w:rPr>
        <w:t xml:space="preserve"> outlined by the</w:t>
      </w:r>
      <w:r w:rsidR="00357E08" w:rsidRPr="00BC2BC4">
        <w:rPr>
          <w:rFonts w:cs="Times New Roman"/>
          <w:kern w:val="2"/>
          <w:sz w:val="20"/>
        </w:rPr>
        <w:t xml:space="preserve"> World Bank</w:t>
      </w:r>
      <w:bookmarkStart w:id="19" w:name="_Ref313087074"/>
      <w:r w:rsidRPr="00BC2BC4">
        <w:rPr>
          <w:rFonts w:cs="Times New Roman"/>
          <w:kern w:val="2"/>
          <w:sz w:val="20"/>
        </w:rPr>
        <w:t>:</w:t>
      </w:r>
      <w:bookmarkEnd w:id="19"/>
    </w:p>
    <w:p w14:paraId="584F83E8" w14:textId="77777777" w:rsidR="003B1DC7" w:rsidRPr="00BC2BC4" w:rsidRDefault="003B1DC7" w:rsidP="00A75BC0">
      <w:pPr>
        <w:pStyle w:val="ListParagraph"/>
        <w:numPr>
          <w:ilvl w:val="0"/>
          <w:numId w:val="13"/>
        </w:numPr>
        <w:rPr>
          <w:kern w:val="2"/>
          <w:sz w:val="20"/>
        </w:rPr>
      </w:pPr>
      <w:r w:rsidRPr="00BC2BC4">
        <w:rPr>
          <w:kern w:val="2"/>
          <w:sz w:val="20"/>
        </w:rPr>
        <w:t>C</w:t>
      </w:r>
      <w:r w:rsidR="00357E08" w:rsidRPr="00BC2BC4">
        <w:rPr>
          <w:kern w:val="2"/>
          <w:sz w:val="20"/>
        </w:rPr>
        <w:t xml:space="preserve">onventional public procurement contracts for </w:t>
      </w:r>
      <w:r w:rsidRPr="00BC2BC4">
        <w:rPr>
          <w:kern w:val="2"/>
          <w:sz w:val="20"/>
        </w:rPr>
        <w:t xml:space="preserve">major public </w:t>
      </w:r>
      <w:r w:rsidR="00357E08" w:rsidRPr="00BC2BC4">
        <w:rPr>
          <w:kern w:val="2"/>
          <w:sz w:val="20"/>
        </w:rPr>
        <w:t>infrastructure typically last</w:t>
      </w:r>
      <w:r w:rsidRPr="00BC2BC4">
        <w:rPr>
          <w:kern w:val="2"/>
          <w:sz w:val="20"/>
        </w:rPr>
        <w:t>, at most, for only a few years</w:t>
      </w:r>
      <w:r w:rsidR="00357E08" w:rsidRPr="00BC2BC4">
        <w:rPr>
          <w:kern w:val="2"/>
          <w:sz w:val="20"/>
        </w:rPr>
        <w:t xml:space="preserve"> </w:t>
      </w:r>
      <w:r w:rsidRPr="00BC2BC4">
        <w:rPr>
          <w:kern w:val="2"/>
          <w:sz w:val="20"/>
        </w:rPr>
        <w:t>(</w:t>
      </w:r>
      <w:r w:rsidR="00357E08" w:rsidRPr="00BC2BC4">
        <w:rPr>
          <w:kern w:val="2"/>
          <w:sz w:val="20"/>
        </w:rPr>
        <w:t>typically expiring within five years</w:t>
      </w:r>
      <w:r w:rsidRPr="00BC2BC4">
        <w:rPr>
          <w:kern w:val="2"/>
          <w:sz w:val="20"/>
        </w:rPr>
        <w:t>)</w:t>
      </w:r>
      <w:r w:rsidR="00357E08" w:rsidRPr="00BC2BC4">
        <w:rPr>
          <w:kern w:val="2"/>
          <w:sz w:val="20"/>
        </w:rPr>
        <w:t xml:space="preserve">. P3s, by contrast, are long-term contracts that can exceed 30 years in duration. This creates an ongoing partnership relationship of interdependency and, </w:t>
      </w:r>
      <w:r w:rsidRPr="00BC2BC4">
        <w:rPr>
          <w:kern w:val="2"/>
          <w:sz w:val="20"/>
        </w:rPr>
        <w:t>as a result</w:t>
      </w:r>
      <w:r w:rsidR="00357E08" w:rsidRPr="00BC2BC4">
        <w:rPr>
          <w:kern w:val="2"/>
          <w:sz w:val="20"/>
        </w:rPr>
        <w:t>, the selection requirements, expectations, and procedures are very different.</w:t>
      </w:r>
    </w:p>
    <w:p w14:paraId="7D844A65" w14:textId="77777777" w:rsidR="00575E47" w:rsidRPr="00BC2BC4" w:rsidRDefault="003B1DC7" w:rsidP="00A75BC0">
      <w:pPr>
        <w:pStyle w:val="ListParagraph"/>
        <w:numPr>
          <w:ilvl w:val="0"/>
          <w:numId w:val="13"/>
        </w:numPr>
        <w:rPr>
          <w:kern w:val="2"/>
          <w:sz w:val="20"/>
        </w:rPr>
      </w:pPr>
      <w:r w:rsidRPr="00BC2BC4">
        <w:rPr>
          <w:kern w:val="2"/>
          <w:sz w:val="20"/>
        </w:rPr>
        <w:t>C</w:t>
      </w:r>
      <w:r w:rsidR="00357E08" w:rsidRPr="00BC2BC4">
        <w:rPr>
          <w:kern w:val="2"/>
          <w:sz w:val="20"/>
        </w:rPr>
        <w:t>onventional public procurement contracts typically have as their object the construction of facilities, and the final product—which is often designed and planned by the public authority—can be tested and accepted at the end</w:t>
      </w:r>
      <w:r w:rsidR="00D172E9" w:rsidRPr="00BC2BC4">
        <w:rPr>
          <w:kern w:val="2"/>
          <w:sz w:val="20"/>
        </w:rPr>
        <w:t xml:space="preserve"> of the construction. P3s</w:t>
      </w:r>
      <w:r w:rsidR="00357E08" w:rsidRPr="00BC2BC4">
        <w:rPr>
          <w:kern w:val="2"/>
          <w:sz w:val="20"/>
        </w:rPr>
        <w:t xml:space="preserve"> focus instead on the provision of a service</w:t>
      </w:r>
      <w:r w:rsidR="004F4625" w:rsidRPr="00BC2BC4">
        <w:rPr>
          <w:kern w:val="2"/>
          <w:sz w:val="20"/>
        </w:rPr>
        <w:t xml:space="preserve"> with private sector participation in the delivery of that service</w:t>
      </w:r>
      <w:r w:rsidR="00357E08" w:rsidRPr="00BC2BC4">
        <w:rPr>
          <w:kern w:val="2"/>
          <w:sz w:val="20"/>
        </w:rPr>
        <w:t xml:space="preserve">. As such, conventional procurement </w:t>
      </w:r>
      <w:r w:rsidR="00E24344" w:rsidRPr="00BC2BC4">
        <w:rPr>
          <w:kern w:val="2"/>
          <w:sz w:val="20"/>
        </w:rPr>
        <w:t>tends to be</w:t>
      </w:r>
      <w:r w:rsidR="00357E08" w:rsidRPr="00BC2BC4">
        <w:rPr>
          <w:kern w:val="2"/>
          <w:sz w:val="20"/>
        </w:rPr>
        <w:t xml:space="preserve"> more </w:t>
      </w:r>
      <w:r w:rsidR="00357E08" w:rsidRPr="00BC2BC4">
        <w:rPr>
          <w:i/>
          <w:kern w:val="2"/>
          <w:sz w:val="20"/>
        </w:rPr>
        <w:t>input oriented</w:t>
      </w:r>
      <w:r w:rsidR="00357E08" w:rsidRPr="00BC2BC4">
        <w:rPr>
          <w:kern w:val="2"/>
          <w:sz w:val="20"/>
        </w:rPr>
        <w:t xml:space="preserve">, whereas P3s are more </w:t>
      </w:r>
      <w:r w:rsidR="00357E08" w:rsidRPr="00BC2BC4">
        <w:rPr>
          <w:i/>
          <w:kern w:val="2"/>
          <w:sz w:val="20"/>
        </w:rPr>
        <w:t>output oriented</w:t>
      </w:r>
      <w:r w:rsidR="00357E08" w:rsidRPr="00BC2BC4">
        <w:rPr>
          <w:kern w:val="2"/>
          <w:sz w:val="20"/>
        </w:rPr>
        <w:t>.</w:t>
      </w:r>
    </w:p>
    <w:p w14:paraId="57271334" w14:textId="77777777" w:rsidR="00575E47" w:rsidRPr="00BC2BC4" w:rsidRDefault="00E24344" w:rsidP="00A75BC0">
      <w:pPr>
        <w:pStyle w:val="ListParagraph"/>
        <w:numPr>
          <w:ilvl w:val="0"/>
          <w:numId w:val="13"/>
        </w:numPr>
        <w:rPr>
          <w:kern w:val="2"/>
          <w:sz w:val="20"/>
        </w:rPr>
      </w:pPr>
      <w:r w:rsidRPr="00BC2BC4">
        <w:rPr>
          <w:kern w:val="2"/>
          <w:sz w:val="20"/>
        </w:rPr>
        <w:t>I</w:t>
      </w:r>
      <w:r w:rsidR="00357E08" w:rsidRPr="00BC2BC4">
        <w:rPr>
          <w:kern w:val="2"/>
          <w:sz w:val="20"/>
        </w:rPr>
        <w:t>n most P3s, the project proponent</w:t>
      </w:r>
      <w:r w:rsidRPr="00BC2BC4">
        <w:rPr>
          <w:kern w:val="2"/>
          <w:sz w:val="20"/>
        </w:rPr>
        <w:t xml:space="preserve"> (i.e., the lead firm carrying out the project)</w:t>
      </w:r>
      <w:r w:rsidR="00357E08" w:rsidRPr="00BC2BC4">
        <w:rPr>
          <w:kern w:val="2"/>
          <w:sz w:val="20"/>
        </w:rPr>
        <w:t xml:space="preserve"> creates a Special Purpose Vehicle (SPV) to develop, build, maintain, and operate the asset(s) for the life of the contract. The SPV constitutes a consortium that includes the building contractor, bank lender(s), and other private sector participants. The SPV is the entity that signs the contract with the government, and the SPV subcontracts out its various obligations.</w:t>
      </w:r>
      <w:r w:rsidRPr="00BC2BC4">
        <w:rPr>
          <w:kern w:val="2"/>
          <w:sz w:val="20"/>
        </w:rPr>
        <w:t xml:space="preserve"> This unique way of structuring the contract and the various obligations is not typically found in conventional procurement.</w:t>
      </w:r>
    </w:p>
    <w:p w14:paraId="11189E51" w14:textId="118DEEF8" w:rsidR="00575E47" w:rsidRPr="00BC2BC4" w:rsidRDefault="00E24344" w:rsidP="00A75BC0">
      <w:pPr>
        <w:pStyle w:val="ListParagraph"/>
        <w:numPr>
          <w:ilvl w:val="0"/>
          <w:numId w:val="13"/>
        </w:numPr>
        <w:rPr>
          <w:kern w:val="2"/>
          <w:sz w:val="20"/>
        </w:rPr>
      </w:pPr>
      <w:r w:rsidRPr="00BC2BC4">
        <w:rPr>
          <w:kern w:val="2"/>
          <w:sz w:val="20"/>
        </w:rPr>
        <w:t>C</w:t>
      </w:r>
      <w:r w:rsidR="00357E08" w:rsidRPr="00BC2BC4">
        <w:rPr>
          <w:kern w:val="2"/>
          <w:sz w:val="20"/>
        </w:rPr>
        <w:t>onventional procurement is typically a p</w:t>
      </w:r>
      <w:r w:rsidR="00E80826" w:rsidRPr="00BC2BC4">
        <w:rPr>
          <w:kern w:val="2"/>
          <w:sz w:val="20"/>
        </w:rPr>
        <w:t>ublic-sector financed endeavor.</w:t>
      </w:r>
      <w:r w:rsidR="00357E08" w:rsidRPr="00BC2BC4">
        <w:rPr>
          <w:kern w:val="2"/>
          <w:sz w:val="20"/>
        </w:rPr>
        <w:t xml:space="preserve"> </w:t>
      </w:r>
      <w:r w:rsidR="00E80826" w:rsidRPr="00BC2BC4">
        <w:rPr>
          <w:kern w:val="2"/>
          <w:sz w:val="20"/>
        </w:rPr>
        <w:t>I</w:t>
      </w:r>
      <w:r w:rsidR="00357E08" w:rsidRPr="00BC2BC4">
        <w:rPr>
          <w:kern w:val="2"/>
          <w:sz w:val="20"/>
        </w:rPr>
        <w:t xml:space="preserve">t relies ultimately on taxpayer dollars. </w:t>
      </w:r>
      <w:r w:rsidR="00AD770A" w:rsidRPr="00BC2BC4">
        <w:rPr>
          <w:kern w:val="2"/>
          <w:sz w:val="20"/>
        </w:rPr>
        <w:t>User fees, tariffs, direct payments from the public authority, loans, guarantees from lenders, equity contributions from P3 partners, or some combination thereof, by contrast, often finance P3s</w:t>
      </w:r>
      <w:r w:rsidR="00357E08" w:rsidRPr="00BC2BC4">
        <w:rPr>
          <w:kern w:val="2"/>
          <w:sz w:val="20"/>
        </w:rPr>
        <w:t>.</w:t>
      </w:r>
    </w:p>
    <w:p w14:paraId="787E3688" w14:textId="77777777" w:rsidR="00E82744" w:rsidRPr="00BC2BC4" w:rsidRDefault="00357E08" w:rsidP="00A75BC0">
      <w:pPr>
        <w:pStyle w:val="ListParagraph"/>
        <w:numPr>
          <w:ilvl w:val="0"/>
          <w:numId w:val="13"/>
        </w:numPr>
        <w:spacing w:after="240"/>
        <w:rPr>
          <w:kern w:val="2"/>
          <w:sz w:val="20"/>
        </w:rPr>
      </w:pPr>
      <w:r w:rsidRPr="00BC2BC4">
        <w:rPr>
          <w:kern w:val="2"/>
          <w:sz w:val="20"/>
        </w:rPr>
        <w:t>P3s</w:t>
      </w:r>
      <w:r w:rsidR="00E33776" w:rsidRPr="00BC2BC4">
        <w:rPr>
          <w:kern w:val="2"/>
          <w:sz w:val="20"/>
        </w:rPr>
        <w:t>, some argue,</w:t>
      </w:r>
      <w:r w:rsidRPr="00BC2BC4">
        <w:rPr>
          <w:kern w:val="2"/>
          <w:sz w:val="20"/>
        </w:rPr>
        <w:t xml:space="preserve"> can reduce costs by allocating risks such as project failure or delays to parties best able to manage them, and private sector participants have stronger incentives to reduce costs in P3s as compared to conventional procurement.</w:t>
      </w:r>
      <w:r w:rsidR="00575E47" w:rsidRPr="00BC2BC4">
        <w:rPr>
          <w:kern w:val="2"/>
          <w:sz w:val="20"/>
          <w:vertAlign w:val="superscript"/>
        </w:rPr>
        <w:footnoteReference w:id="64"/>
      </w:r>
    </w:p>
    <w:p w14:paraId="7D918CBF" w14:textId="77777777" w:rsidR="003053F4" w:rsidRPr="00BC2BC4" w:rsidRDefault="003053F4" w:rsidP="00DF6D9E">
      <w:pPr>
        <w:rPr>
          <w:rFonts w:cs="Times New Roman"/>
          <w:kern w:val="2"/>
          <w:sz w:val="20"/>
        </w:rPr>
      </w:pPr>
      <w:r w:rsidRPr="00BC2BC4">
        <w:rPr>
          <w:rFonts w:cs="Times New Roman"/>
          <w:kern w:val="2"/>
          <w:sz w:val="20"/>
        </w:rPr>
        <w:t>PPP Canada suggests that the P3 model may be preferred over alternative models such as competitive bidding where the following conditions are present:</w:t>
      </w:r>
    </w:p>
    <w:p w14:paraId="10D6E73D" w14:textId="09F25109" w:rsidR="00275D6F" w:rsidRPr="00BC2BC4" w:rsidRDefault="003053F4" w:rsidP="00A75BC0">
      <w:pPr>
        <w:pStyle w:val="ListParagraph"/>
        <w:numPr>
          <w:ilvl w:val="0"/>
          <w:numId w:val="14"/>
        </w:numPr>
        <w:rPr>
          <w:kern w:val="2"/>
          <w:sz w:val="20"/>
        </w:rPr>
      </w:pPr>
      <w:r w:rsidRPr="00BC2BC4">
        <w:rPr>
          <w:kern w:val="2"/>
          <w:sz w:val="20"/>
        </w:rPr>
        <w:t>You have a major project, requiring effective risk management throughout the lifecycle;</w:t>
      </w:r>
    </w:p>
    <w:p w14:paraId="1F71B8AC" w14:textId="63B760C0" w:rsidR="00275D6F" w:rsidRPr="00BC2BC4" w:rsidRDefault="003053F4" w:rsidP="00A75BC0">
      <w:pPr>
        <w:pStyle w:val="ListParagraph"/>
        <w:numPr>
          <w:ilvl w:val="0"/>
          <w:numId w:val="14"/>
        </w:numPr>
        <w:rPr>
          <w:kern w:val="2"/>
          <w:sz w:val="20"/>
        </w:rPr>
      </w:pPr>
      <w:r w:rsidRPr="00BC2BC4">
        <w:rPr>
          <w:kern w:val="2"/>
          <w:sz w:val="20"/>
        </w:rPr>
        <w:t>There is an opportunity to leverage private sector expertise;</w:t>
      </w:r>
    </w:p>
    <w:p w14:paraId="68C66A16" w14:textId="3DC36401" w:rsidR="00275D6F" w:rsidRPr="00BC2BC4" w:rsidRDefault="003053F4" w:rsidP="00A75BC0">
      <w:pPr>
        <w:pStyle w:val="ListParagraph"/>
        <w:numPr>
          <w:ilvl w:val="0"/>
          <w:numId w:val="14"/>
        </w:numPr>
        <w:rPr>
          <w:kern w:val="2"/>
          <w:sz w:val="20"/>
        </w:rPr>
      </w:pPr>
      <w:r w:rsidRPr="00BC2BC4">
        <w:rPr>
          <w:kern w:val="2"/>
          <w:sz w:val="20"/>
        </w:rPr>
        <w:t>The structure of the project could allow the public sector to define its performance needs as outputs/outcomes that can be contracted for in a way that ensures the delivery of the infrastructure in the long term;</w:t>
      </w:r>
    </w:p>
    <w:p w14:paraId="1EE0B266" w14:textId="084DD587" w:rsidR="00275D6F" w:rsidRPr="00BC2BC4" w:rsidRDefault="003053F4" w:rsidP="00A75BC0">
      <w:pPr>
        <w:pStyle w:val="ListParagraph"/>
        <w:numPr>
          <w:ilvl w:val="0"/>
          <w:numId w:val="14"/>
        </w:numPr>
        <w:rPr>
          <w:kern w:val="2"/>
          <w:sz w:val="20"/>
        </w:rPr>
      </w:pPr>
      <w:r w:rsidRPr="00BC2BC4">
        <w:rPr>
          <w:kern w:val="2"/>
          <w:sz w:val="20"/>
        </w:rPr>
        <w:t>The risk allocation between the public and private sectors can be clearly identified and contractually assigned;</w:t>
      </w:r>
    </w:p>
    <w:p w14:paraId="2D28B5D1" w14:textId="3339A8BD" w:rsidR="00275D6F" w:rsidRPr="00BC2BC4" w:rsidRDefault="003053F4" w:rsidP="00A75BC0">
      <w:pPr>
        <w:pStyle w:val="ListParagraph"/>
        <w:numPr>
          <w:ilvl w:val="0"/>
          <w:numId w:val="14"/>
        </w:numPr>
        <w:rPr>
          <w:kern w:val="2"/>
          <w:sz w:val="20"/>
        </w:rPr>
      </w:pPr>
      <w:r w:rsidRPr="00BC2BC4">
        <w:rPr>
          <w:kern w:val="2"/>
          <w:sz w:val="20"/>
        </w:rPr>
        <w:t>The value of the project is sufficiently large to ensure that procurement costs are not disproportionate;</w:t>
      </w:r>
    </w:p>
    <w:p w14:paraId="0DD3E6B3" w14:textId="56CAC788" w:rsidR="00275D6F" w:rsidRPr="00BC2BC4" w:rsidRDefault="003053F4" w:rsidP="00A75BC0">
      <w:pPr>
        <w:pStyle w:val="ListParagraph"/>
        <w:numPr>
          <w:ilvl w:val="0"/>
          <w:numId w:val="14"/>
        </w:numPr>
        <w:rPr>
          <w:kern w:val="2"/>
          <w:sz w:val="20"/>
        </w:rPr>
      </w:pPr>
      <w:r w:rsidRPr="00BC2BC4">
        <w:rPr>
          <w:kern w:val="2"/>
          <w:sz w:val="20"/>
        </w:rPr>
        <w:t>The technology and other aspects of the project are proven and not susceptible to short-term obsolescence; and</w:t>
      </w:r>
    </w:p>
    <w:p w14:paraId="4E68E980" w14:textId="0D1549D5" w:rsidR="003053F4" w:rsidRPr="00BC2BC4" w:rsidRDefault="003053F4" w:rsidP="00A75BC0">
      <w:pPr>
        <w:pStyle w:val="ListParagraph"/>
        <w:numPr>
          <w:ilvl w:val="0"/>
          <w:numId w:val="14"/>
        </w:numPr>
        <w:spacing w:after="240"/>
        <w:rPr>
          <w:kern w:val="2"/>
          <w:sz w:val="20"/>
        </w:rPr>
      </w:pPr>
      <w:r w:rsidRPr="00BC2BC4">
        <w:rPr>
          <w:kern w:val="2"/>
          <w:sz w:val="20"/>
        </w:rPr>
        <w:t>The planning horizons are long-term, with assets used over long periods and are capable of being financed on a lifecycle basis.</w:t>
      </w:r>
      <w:r w:rsidRPr="00BC2BC4">
        <w:rPr>
          <w:rStyle w:val="FootnoteReference"/>
          <w:rFonts w:cs="Times New Roman"/>
          <w:kern w:val="2"/>
          <w:sz w:val="20"/>
          <w:szCs w:val="21"/>
        </w:rPr>
        <w:footnoteReference w:id="65"/>
      </w:r>
    </w:p>
    <w:p w14:paraId="6E41426A" w14:textId="0E722EB9" w:rsidR="002204E1" w:rsidRPr="00BC2BC4" w:rsidRDefault="00D22159" w:rsidP="003F14E9">
      <w:pPr>
        <w:rPr>
          <w:rFonts w:cs="Times New Roman"/>
          <w:kern w:val="2"/>
          <w:sz w:val="20"/>
        </w:rPr>
      </w:pPr>
      <w:r w:rsidRPr="00BC2BC4">
        <w:rPr>
          <w:rFonts w:cs="Times New Roman"/>
          <w:kern w:val="2"/>
          <w:sz w:val="20"/>
        </w:rPr>
        <w:t xml:space="preserve">The </w:t>
      </w:r>
      <w:r w:rsidR="000B3397" w:rsidRPr="00BC2BC4">
        <w:rPr>
          <w:rFonts w:cs="Times New Roman"/>
          <w:kern w:val="2"/>
          <w:sz w:val="20"/>
        </w:rPr>
        <w:t>likelihood that the</w:t>
      </w:r>
      <w:r w:rsidRPr="00BC2BC4">
        <w:rPr>
          <w:rFonts w:cs="Times New Roman"/>
          <w:kern w:val="2"/>
          <w:sz w:val="20"/>
        </w:rPr>
        <w:t xml:space="preserve"> P3 model will be selected over </w:t>
      </w:r>
      <w:r w:rsidR="002E6FDD" w:rsidRPr="00BC2BC4">
        <w:rPr>
          <w:rFonts w:cs="Times New Roman"/>
          <w:kern w:val="2"/>
          <w:sz w:val="20"/>
        </w:rPr>
        <w:t>alternative</w:t>
      </w:r>
      <w:r w:rsidRPr="00BC2BC4">
        <w:rPr>
          <w:rFonts w:cs="Times New Roman"/>
          <w:kern w:val="2"/>
          <w:sz w:val="20"/>
        </w:rPr>
        <w:t xml:space="preserve"> models</w:t>
      </w:r>
      <w:r w:rsidR="002E6FDD" w:rsidRPr="00BC2BC4">
        <w:rPr>
          <w:rFonts w:cs="Times New Roman"/>
          <w:kern w:val="2"/>
          <w:sz w:val="20"/>
        </w:rPr>
        <w:t xml:space="preserve"> such as competitive bidding</w:t>
      </w:r>
      <w:r w:rsidRPr="00BC2BC4">
        <w:rPr>
          <w:rFonts w:cs="Times New Roman"/>
          <w:kern w:val="2"/>
          <w:sz w:val="20"/>
        </w:rPr>
        <w:t xml:space="preserve"> </w:t>
      </w:r>
      <w:r w:rsidR="00A17CC7" w:rsidRPr="00BC2BC4">
        <w:rPr>
          <w:rFonts w:cs="Times New Roman"/>
          <w:kern w:val="2"/>
          <w:sz w:val="20"/>
        </w:rPr>
        <w:t>increases</w:t>
      </w:r>
      <w:r w:rsidRPr="00BC2BC4">
        <w:rPr>
          <w:rFonts w:cs="Times New Roman"/>
          <w:kern w:val="2"/>
          <w:sz w:val="20"/>
        </w:rPr>
        <w:t xml:space="preserve"> where there is significant scope for innovation</w:t>
      </w:r>
      <w:r w:rsidR="002204E1" w:rsidRPr="00BC2BC4">
        <w:rPr>
          <w:rFonts w:cs="Times New Roman"/>
          <w:kern w:val="2"/>
          <w:sz w:val="20"/>
        </w:rPr>
        <w:t xml:space="preserve"> and a long project lifecycle</w:t>
      </w:r>
      <w:r w:rsidR="00EB4EE5" w:rsidRPr="00BC2BC4">
        <w:rPr>
          <w:rFonts w:cs="Times New Roman"/>
          <w:kern w:val="2"/>
          <w:sz w:val="20"/>
        </w:rPr>
        <w:t xml:space="preserve"> (e.g., the design, construction and operation of state-of-the-art hospitals). By contrast, where the project is </w:t>
      </w:r>
      <w:r w:rsidR="00A90739" w:rsidRPr="00BC2BC4">
        <w:rPr>
          <w:rFonts w:cs="Times New Roman"/>
          <w:kern w:val="2"/>
          <w:sz w:val="20"/>
        </w:rPr>
        <w:t>comparatively simple</w:t>
      </w:r>
      <w:r w:rsidR="002204E1" w:rsidRPr="00BC2BC4">
        <w:rPr>
          <w:rFonts w:cs="Times New Roman"/>
          <w:kern w:val="2"/>
          <w:sz w:val="20"/>
        </w:rPr>
        <w:t xml:space="preserve"> and has a short project lifecycle</w:t>
      </w:r>
      <w:r w:rsidR="00EB4EE5" w:rsidRPr="00BC2BC4">
        <w:rPr>
          <w:rFonts w:cs="Times New Roman"/>
          <w:kern w:val="2"/>
          <w:sz w:val="20"/>
        </w:rPr>
        <w:t xml:space="preserve"> (e.g., the installation of a simple transmission line), </w:t>
      </w:r>
      <w:r w:rsidR="00BA53C0" w:rsidRPr="00BC2BC4">
        <w:rPr>
          <w:rFonts w:cs="Times New Roman"/>
          <w:kern w:val="2"/>
          <w:sz w:val="20"/>
        </w:rPr>
        <w:t>the likelihood that some other form</w:t>
      </w:r>
      <w:r w:rsidR="00EB4EE5" w:rsidRPr="00BC2BC4">
        <w:rPr>
          <w:rFonts w:cs="Times New Roman"/>
          <w:kern w:val="2"/>
          <w:sz w:val="20"/>
        </w:rPr>
        <w:t xml:space="preserve"> of procurement</w:t>
      </w:r>
      <w:r w:rsidR="00BA53C0" w:rsidRPr="00BC2BC4">
        <w:rPr>
          <w:rFonts w:cs="Times New Roman"/>
          <w:kern w:val="2"/>
          <w:sz w:val="20"/>
        </w:rPr>
        <w:t xml:space="preserve"> will be selected </w:t>
      </w:r>
      <w:r w:rsidR="00A17CC7" w:rsidRPr="00BC2BC4">
        <w:rPr>
          <w:rFonts w:cs="Times New Roman"/>
          <w:kern w:val="2"/>
          <w:sz w:val="20"/>
        </w:rPr>
        <w:t>increases</w:t>
      </w:r>
      <w:r w:rsidR="00EB4EE5" w:rsidRPr="00BC2BC4">
        <w:rPr>
          <w:rFonts w:cs="Times New Roman"/>
          <w:kern w:val="2"/>
          <w:sz w:val="20"/>
        </w:rPr>
        <w:t>.</w:t>
      </w:r>
      <w:r w:rsidR="00711283" w:rsidRPr="00BC2BC4">
        <w:rPr>
          <w:rFonts w:cs="Times New Roman"/>
          <w:kern w:val="2"/>
          <w:sz w:val="20"/>
        </w:rPr>
        <w:t xml:space="preserve"> </w:t>
      </w:r>
    </w:p>
    <w:p w14:paraId="560BDEC8" w14:textId="4D773317" w:rsidR="00D22159" w:rsidRPr="00BC2BC4" w:rsidRDefault="00711283" w:rsidP="003F14E9">
      <w:pPr>
        <w:rPr>
          <w:rFonts w:cs="Times New Roman"/>
          <w:kern w:val="2"/>
          <w:sz w:val="20"/>
        </w:rPr>
      </w:pPr>
      <w:r w:rsidRPr="00BC2BC4">
        <w:rPr>
          <w:rFonts w:cs="Times New Roman"/>
          <w:kern w:val="2"/>
          <w:sz w:val="20"/>
        </w:rPr>
        <w:t>Professors Engel, Fischer</w:t>
      </w:r>
      <w:r w:rsidR="00245FAA" w:rsidRPr="00BC2BC4">
        <w:rPr>
          <w:rFonts w:cs="Times New Roman"/>
          <w:kern w:val="2"/>
          <w:sz w:val="20"/>
        </w:rPr>
        <w:t>,</w:t>
      </w:r>
      <w:r w:rsidRPr="00BC2BC4">
        <w:rPr>
          <w:rFonts w:cs="Times New Roman"/>
          <w:kern w:val="2"/>
          <w:sz w:val="20"/>
        </w:rPr>
        <w:t xml:space="preserve"> and Galetovic suggest that P3s are the superior choice where there is a need to provide strong incentives to reduce </w:t>
      </w:r>
      <w:r w:rsidR="00EC72AD" w:rsidRPr="00BC2BC4">
        <w:rPr>
          <w:rFonts w:cs="Times New Roman"/>
          <w:kern w:val="2"/>
          <w:sz w:val="20"/>
        </w:rPr>
        <w:t xml:space="preserve">or control </w:t>
      </w:r>
      <w:r w:rsidRPr="00BC2BC4">
        <w:rPr>
          <w:rFonts w:cs="Times New Roman"/>
          <w:kern w:val="2"/>
          <w:sz w:val="20"/>
        </w:rPr>
        <w:t>project lifecycle costs.</w:t>
      </w:r>
      <w:r w:rsidRPr="00BC2BC4">
        <w:rPr>
          <w:rStyle w:val="FootnoteReference"/>
          <w:rFonts w:cs="Times New Roman"/>
          <w:kern w:val="2"/>
          <w:sz w:val="20"/>
        </w:rPr>
        <w:footnoteReference w:id="66"/>
      </w:r>
      <w:r w:rsidRPr="00BC2BC4">
        <w:rPr>
          <w:rFonts w:cs="Times New Roman"/>
          <w:kern w:val="2"/>
          <w:sz w:val="20"/>
        </w:rPr>
        <w:t xml:space="preserve"> This is because </w:t>
      </w:r>
      <w:r w:rsidR="00306D39" w:rsidRPr="00BC2BC4">
        <w:rPr>
          <w:rFonts w:cs="Times New Roman"/>
          <w:kern w:val="2"/>
          <w:sz w:val="20"/>
        </w:rPr>
        <w:t xml:space="preserve">in the P3 arrangement, </w:t>
      </w:r>
      <w:r w:rsidRPr="00BC2BC4">
        <w:rPr>
          <w:rFonts w:cs="Times New Roman"/>
          <w:kern w:val="2"/>
          <w:sz w:val="20"/>
        </w:rPr>
        <w:t>the private</w:t>
      </w:r>
      <w:r w:rsidR="00306D39" w:rsidRPr="00BC2BC4">
        <w:rPr>
          <w:rFonts w:cs="Times New Roman"/>
          <w:kern w:val="2"/>
          <w:sz w:val="20"/>
        </w:rPr>
        <w:t>-sector</w:t>
      </w:r>
      <w:r w:rsidRPr="00BC2BC4">
        <w:rPr>
          <w:rFonts w:cs="Times New Roman"/>
          <w:kern w:val="2"/>
          <w:sz w:val="20"/>
        </w:rPr>
        <w:t xml:space="preserve"> </w:t>
      </w:r>
      <w:r w:rsidR="00306D39" w:rsidRPr="00BC2BC4">
        <w:rPr>
          <w:rFonts w:cs="Times New Roman"/>
          <w:kern w:val="2"/>
          <w:sz w:val="20"/>
        </w:rPr>
        <w:t>participant</w:t>
      </w:r>
      <w:r w:rsidRPr="00BC2BC4">
        <w:rPr>
          <w:rFonts w:cs="Times New Roman"/>
          <w:kern w:val="2"/>
          <w:sz w:val="20"/>
        </w:rPr>
        <w:t xml:space="preserve"> involved in the operation of the project </w:t>
      </w:r>
      <w:r w:rsidR="00306D39" w:rsidRPr="00BC2BC4">
        <w:rPr>
          <w:rFonts w:cs="Times New Roman"/>
          <w:kern w:val="2"/>
          <w:sz w:val="20"/>
        </w:rPr>
        <w:t xml:space="preserve">has an incentive to minimize costs while still meeting project standards, </w:t>
      </w:r>
      <w:r w:rsidR="00EE0B0E" w:rsidRPr="00BC2BC4">
        <w:rPr>
          <w:rFonts w:cs="Times New Roman"/>
          <w:kern w:val="2"/>
          <w:sz w:val="20"/>
        </w:rPr>
        <w:t>since</w:t>
      </w:r>
      <w:r w:rsidR="00306D39" w:rsidRPr="00BC2BC4">
        <w:rPr>
          <w:rFonts w:cs="Times New Roman"/>
          <w:kern w:val="2"/>
          <w:sz w:val="20"/>
        </w:rPr>
        <w:t xml:space="preserve"> the firm </w:t>
      </w:r>
      <w:r w:rsidR="00494C37" w:rsidRPr="00BC2BC4">
        <w:rPr>
          <w:rFonts w:cs="Times New Roman"/>
          <w:kern w:val="2"/>
          <w:sz w:val="20"/>
        </w:rPr>
        <w:t>shares in</w:t>
      </w:r>
      <w:r w:rsidRPr="00BC2BC4">
        <w:rPr>
          <w:rFonts w:cs="Times New Roman"/>
          <w:kern w:val="2"/>
          <w:sz w:val="20"/>
        </w:rPr>
        <w:t xml:space="preserve"> </w:t>
      </w:r>
      <w:r w:rsidR="00494C37" w:rsidRPr="00BC2BC4">
        <w:rPr>
          <w:rFonts w:cs="Times New Roman"/>
          <w:kern w:val="2"/>
          <w:sz w:val="20"/>
        </w:rPr>
        <w:t>the</w:t>
      </w:r>
      <w:r w:rsidRPr="00BC2BC4">
        <w:rPr>
          <w:rFonts w:cs="Times New Roman"/>
          <w:kern w:val="2"/>
          <w:sz w:val="20"/>
        </w:rPr>
        <w:t xml:space="preserve"> economic </w:t>
      </w:r>
      <w:r w:rsidR="00494C37" w:rsidRPr="00BC2BC4">
        <w:rPr>
          <w:rFonts w:cs="Times New Roman"/>
          <w:kern w:val="2"/>
          <w:sz w:val="20"/>
        </w:rPr>
        <w:t>savings derived</w:t>
      </w:r>
      <w:r w:rsidRPr="00BC2BC4">
        <w:rPr>
          <w:rFonts w:cs="Times New Roman"/>
          <w:kern w:val="2"/>
          <w:sz w:val="20"/>
        </w:rPr>
        <w:t xml:space="preserve"> from any cost-cutting measures </w:t>
      </w:r>
      <w:r w:rsidR="00306D39" w:rsidRPr="00BC2BC4">
        <w:rPr>
          <w:rFonts w:cs="Times New Roman"/>
          <w:kern w:val="2"/>
          <w:sz w:val="20"/>
        </w:rPr>
        <w:t>that enhance</w:t>
      </w:r>
      <w:r w:rsidR="004D6175" w:rsidRPr="00BC2BC4">
        <w:rPr>
          <w:rFonts w:cs="Times New Roman"/>
          <w:kern w:val="2"/>
          <w:sz w:val="20"/>
        </w:rPr>
        <w:t xml:space="preserve"> the project. This can, however, present problems to the extent that such measures reduce the quality of service.</w:t>
      </w:r>
      <w:r w:rsidR="004D6175" w:rsidRPr="00BC2BC4">
        <w:rPr>
          <w:rStyle w:val="FootnoteReference"/>
          <w:rFonts w:cs="Times New Roman"/>
          <w:kern w:val="2"/>
          <w:sz w:val="20"/>
        </w:rPr>
        <w:footnoteReference w:id="67"/>
      </w:r>
      <w:r w:rsidR="00B240D2" w:rsidRPr="00BC2BC4">
        <w:rPr>
          <w:rFonts w:cs="Times New Roman"/>
          <w:kern w:val="2"/>
          <w:sz w:val="20"/>
        </w:rPr>
        <w:t xml:space="preserve"> </w:t>
      </w:r>
      <w:r w:rsidR="00776ADC" w:rsidRPr="00BC2BC4">
        <w:rPr>
          <w:rFonts w:cs="Times New Roman"/>
          <w:kern w:val="2"/>
          <w:sz w:val="20"/>
        </w:rPr>
        <w:t>Engel, Fischer</w:t>
      </w:r>
      <w:r w:rsidR="00245FAA" w:rsidRPr="00BC2BC4">
        <w:rPr>
          <w:rFonts w:cs="Times New Roman"/>
          <w:kern w:val="2"/>
          <w:sz w:val="20"/>
        </w:rPr>
        <w:t>,</w:t>
      </w:r>
      <w:r w:rsidR="00776ADC" w:rsidRPr="00BC2BC4">
        <w:rPr>
          <w:rFonts w:cs="Times New Roman"/>
          <w:kern w:val="2"/>
          <w:sz w:val="20"/>
        </w:rPr>
        <w:t xml:space="preserve"> and Galetovic </w:t>
      </w:r>
      <w:r w:rsidR="000F78F3" w:rsidRPr="00BC2BC4">
        <w:rPr>
          <w:rFonts w:cs="Times New Roman"/>
          <w:kern w:val="2"/>
          <w:sz w:val="20"/>
        </w:rPr>
        <w:t>also suggest that P3s may be the superior choice where demand risk is largely exogenous and there is a large upfront investment.</w:t>
      </w:r>
      <w:r w:rsidR="000F78F3" w:rsidRPr="00BC2BC4">
        <w:rPr>
          <w:rStyle w:val="FootnoteReference"/>
          <w:rFonts w:cs="Times New Roman"/>
          <w:kern w:val="2"/>
          <w:sz w:val="20"/>
        </w:rPr>
        <w:footnoteReference w:id="68"/>
      </w:r>
      <w:r w:rsidR="000F78F3" w:rsidRPr="00BC2BC4">
        <w:rPr>
          <w:rFonts w:cs="Times New Roman"/>
          <w:kern w:val="2"/>
          <w:sz w:val="20"/>
        </w:rPr>
        <w:t xml:space="preserve"> </w:t>
      </w:r>
      <w:r w:rsidR="00776ADC" w:rsidRPr="00BC2BC4">
        <w:rPr>
          <w:rFonts w:cs="Times New Roman"/>
          <w:kern w:val="2"/>
          <w:sz w:val="20"/>
        </w:rPr>
        <w:t>The authors</w:t>
      </w:r>
      <w:r w:rsidR="00B240D2" w:rsidRPr="00BC2BC4">
        <w:rPr>
          <w:rFonts w:cs="Times New Roman"/>
          <w:kern w:val="2"/>
          <w:sz w:val="20"/>
        </w:rPr>
        <w:t xml:space="preserve"> add, however, that any form of public procurement—such as P3s </w:t>
      </w:r>
      <w:r w:rsidR="00494C37" w:rsidRPr="00BC2BC4">
        <w:rPr>
          <w:rFonts w:cs="Times New Roman"/>
          <w:kern w:val="2"/>
          <w:sz w:val="20"/>
        </w:rPr>
        <w:t>or</w:t>
      </w:r>
      <w:r w:rsidR="00B240D2" w:rsidRPr="00BC2BC4">
        <w:rPr>
          <w:rFonts w:cs="Times New Roman"/>
          <w:kern w:val="2"/>
          <w:sz w:val="20"/>
        </w:rPr>
        <w:t xml:space="preserve"> competitive bidding—should be pursued only where full privatization is not possible.</w:t>
      </w:r>
      <w:r w:rsidR="00B240D2" w:rsidRPr="00BC2BC4">
        <w:rPr>
          <w:rStyle w:val="FootnoteReference"/>
          <w:rFonts w:cs="Times New Roman"/>
          <w:kern w:val="2"/>
          <w:sz w:val="20"/>
        </w:rPr>
        <w:footnoteReference w:id="69"/>
      </w:r>
      <w:r w:rsidR="00B240D2" w:rsidRPr="00BC2BC4">
        <w:rPr>
          <w:rFonts w:cs="Times New Roman"/>
          <w:kern w:val="2"/>
          <w:sz w:val="20"/>
        </w:rPr>
        <w:t xml:space="preserve"> This will generally be the case where competition is not feasible.</w:t>
      </w:r>
      <w:r w:rsidR="00B240D2" w:rsidRPr="00BC2BC4">
        <w:rPr>
          <w:rStyle w:val="FootnoteReference"/>
          <w:rFonts w:cs="Times New Roman"/>
          <w:kern w:val="2"/>
          <w:sz w:val="20"/>
        </w:rPr>
        <w:footnoteReference w:id="70"/>
      </w:r>
    </w:p>
    <w:p w14:paraId="3529602B" w14:textId="7241C5F5" w:rsidR="00377F98" w:rsidRPr="00BC2BC4" w:rsidRDefault="000B6A3E" w:rsidP="003F14E9">
      <w:pPr>
        <w:rPr>
          <w:rFonts w:cs="Times New Roman"/>
          <w:kern w:val="2"/>
          <w:sz w:val="20"/>
        </w:rPr>
      </w:pPr>
      <w:r w:rsidRPr="00BC2BC4">
        <w:rPr>
          <w:rFonts w:cs="Times New Roman"/>
          <w:kern w:val="2"/>
          <w:sz w:val="20"/>
        </w:rPr>
        <w:t>Note that d</w:t>
      </w:r>
      <w:r w:rsidR="00377F98" w:rsidRPr="00BC2BC4">
        <w:rPr>
          <w:rFonts w:cs="Times New Roman"/>
          <w:kern w:val="2"/>
          <w:sz w:val="20"/>
        </w:rPr>
        <w:t xml:space="preserve">espite the foregoing observations, P3s can—and often do—contain elements of the competitive bidding model. For example, private-sector partners are often selected </w:t>
      </w:r>
      <w:r w:rsidR="00DD181A" w:rsidRPr="00BC2BC4">
        <w:rPr>
          <w:rFonts w:cs="Times New Roman"/>
          <w:kern w:val="2"/>
          <w:sz w:val="20"/>
        </w:rPr>
        <w:t>based on</w:t>
      </w:r>
      <w:r w:rsidR="00377F98" w:rsidRPr="00BC2BC4">
        <w:rPr>
          <w:rFonts w:cs="Times New Roman"/>
          <w:kern w:val="2"/>
          <w:sz w:val="20"/>
        </w:rPr>
        <w:t xml:space="preserve"> a competitive bidding process</w:t>
      </w:r>
      <w:r w:rsidR="0082214D" w:rsidRPr="00BC2BC4">
        <w:rPr>
          <w:rFonts w:cs="Times New Roman"/>
          <w:kern w:val="2"/>
          <w:sz w:val="20"/>
        </w:rPr>
        <w:t xml:space="preserve">, as described in </w:t>
      </w:r>
      <w:r w:rsidR="00451988" w:rsidRPr="00BC2BC4">
        <w:rPr>
          <w:rFonts w:cs="Times New Roman"/>
          <w:kern w:val="2"/>
          <w:sz w:val="20"/>
          <w:highlight w:val="cyan"/>
        </w:rPr>
        <w:t>S</w:t>
      </w:r>
      <w:r w:rsidR="0082214D" w:rsidRPr="00BC2BC4">
        <w:rPr>
          <w:rFonts w:cs="Times New Roman"/>
          <w:kern w:val="2"/>
          <w:sz w:val="20"/>
          <w:highlight w:val="cyan"/>
        </w:rPr>
        <w:t xml:space="preserve">ection </w:t>
      </w:r>
      <w:r w:rsidR="001A784D" w:rsidRPr="00BC2BC4">
        <w:rPr>
          <w:rFonts w:cs="Times New Roman"/>
          <w:kern w:val="2"/>
          <w:sz w:val="20"/>
          <w:highlight w:val="cyan"/>
        </w:rPr>
        <w:t>3.3</w:t>
      </w:r>
      <w:r w:rsidR="00523E73" w:rsidRPr="00BC2BC4">
        <w:rPr>
          <w:rFonts w:cs="Times New Roman"/>
          <w:kern w:val="2"/>
          <w:sz w:val="20"/>
        </w:rPr>
        <w:t xml:space="preserve"> </w:t>
      </w:r>
      <w:r w:rsidR="0082214D" w:rsidRPr="00BC2BC4">
        <w:rPr>
          <w:rFonts w:cs="Times New Roman"/>
          <w:kern w:val="2"/>
          <w:sz w:val="20"/>
        </w:rPr>
        <w:t>below</w:t>
      </w:r>
      <w:r w:rsidR="00377F98" w:rsidRPr="00BC2BC4">
        <w:rPr>
          <w:rFonts w:cs="Times New Roman"/>
          <w:kern w:val="2"/>
          <w:sz w:val="20"/>
        </w:rPr>
        <w:t>.</w:t>
      </w:r>
    </w:p>
    <w:p w14:paraId="1CFEE696" w14:textId="282764A9" w:rsidR="00A012CF" w:rsidRPr="00BC2BC4" w:rsidRDefault="00A012CF" w:rsidP="003F14E9">
      <w:pPr>
        <w:rPr>
          <w:rFonts w:cs="Times New Roman"/>
          <w:kern w:val="2"/>
          <w:sz w:val="20"/>
        </w:rPr>
      </w:pPr>
      <w:r w:rsidRPr="00BC2BC4">
        <w:rPr>
          <w:rFonts w:cs="Times New Roman"/>
          <w:kern w:val="2"/>
          <w:sz w:val="20"/>
        </w:rPr>
        <w:t>P3s have gained ascendency</w:t>
      </w:r>
      <w:r w:rsidR="00463BD6" w:rsidRPr="00BC2BC4">
        <w:rPr>
          <w:rFonts w:cs="Times New Roman"/>
          <w:kern w:val="2"/>
          <w:sz w:val="20"/>
        </w:rPr>
        <w:t xml:space="preserve"> on the world stage</w:t>
      </w:r>
      <w:r w:rsidRPr="00BC2BC4">
        <w:rPr>
          <w:rFonts w:cs="Times New Roman"/>
          <w:kern w:val="2"/>
          <w:sz w:val="20"/>
        </w:rPr>
        <w:t xml:space="preserve"> as a preferred model of delivering large-scale infrastructure goods and services to the public.</w:t>
      </w:r>
      <w:r w:rsidR="00E04C33" w:rsidRPr="00BC2BC4">
        <w:rPr>
          <w:rFonts w:cs="Times New Roman"/>
          <w:kern w:val="2"/>
          <w:sz w:val="20"/>
        </w:rPr>
        <w:t xml:space="preserve"> B</w:t>
      </w:r>
      <w:r w:rsidRPr="00BC2BC4">
        <w:rPr>
          <w:rFonts w:cs="Times New Roman"/>
          <w:kern w:val="2"/>
          <w:sz w:val="20"/>
        </w:rPr>
        <w:t xml:space="preserve">etween 1985 and 2004, </w:t>
      </w:r>
      <w:r w:rsidR="00DD181A" w:rsidRPr="00BC2BC4">
        <w:rPr>
          <w:rFonts w:cs="Times New Roman"/>
          <w:kern w:val="2"/>
          <w:sz w:val="20"/>
        </w:rPr>
        <w:t>2,096</w:t>
      </w:r>
      <w:r w:rsidRPr="00BC2BC4">
        <w:rPr>
          <w:rFonts w:cs="Times New Roman"/>
          <w:kern w:val="2"/>
          <w:sz w:val="20"/>
        </w:rPr>
        <w:t xml:space="preserve"> P3 infrastructure projects were undertaken worldwide, with a combined capital value of nearly </w:t>
      </w:r>
      <w:r w:rsidR="0043287F" w:rsidRPr="00BC2BC4">
        <w:rPr>
          <w:rFonts w:cs="Times New Roman"/>
          <w:kern w:val="2"/>
          <w:sz w:val="20"/>
        </w:rPr>
        <w:t>US</w:t>
      </w:r>
      <w:r w:rsidRPr="00BC2BC4">
        <w:rPr>
          <w:rFonts w:cs="Times New Roman"/>
          <w:kern w:val="2"/>
          <w:sz w:val="20"/>
        </w:rPr>
        <w:t>$887 billion.</w:t>
      </w:r>
      <w:bookmarkStart w:id="20" w:name="_Ref313039336"/>
      <w:r w:rsidRPr="00BC2BC4">
        <w:rPr>
          <w:rFonts w:cs="Times New Roman"/>
          <w:kern w:val="2"/>
          <w:sz w:val="20"/>
          <w:vertAlign w:val="superscript"/>
        </w:rPr>
        <w:footnoteReference w:id="71"/>
      </w:r>
      <w:bookmarkEnd w:id="20"/>
      <w:r w:rsidRPr="00BC2BC4">
        <w:rPr>
          <w:rFonts w:cs="Times New Roman"/>
          <w:kern w:val="2"/>
          <w:sz w:val="20"/>
        </w:rPr>
        <w:t xml:space="preserve"> The World Bank estimates that the private sector financed approximately 20% of infrastructure investments in developing countries in the 1990s, totaling about </w:t>
      </w:r>
      <w:r w:rsidR="00234CC4" w:rsidRPr="00BC2BC4">
        <w:rPr>
          <w:rFonts w:cs="Times New Roman"/>
          <w:kern w:val="2"/>
          <w:sz w:val="20"/>
        </w:rPr>
        <w:t>US</w:t>
      </w:r>
      <w:r w:rsidRPr="00BC2BC4">
        <w:rPr>
          <w:rFonts w:cs="Times New Roman"/>
          <w:kern w:val="2"/>
          <w:sz w:val="20"/>
        </w:rPr>
        <w:t>$850 billion.</w:t>
      </w:r>
      <w:bookmarkStart w:id="21" w:name="_Ref313039302"/>
      <w:r w:rsidRPr="00BC2BC4">
        <w:rPr>
          <w:rFonts w:cs="Times New Roman"/>
          <w:kern w:val="2"/>
          <w:sz w:val="20"/>
          <w:vertAlign w:val="superscript"/>
        </w:rPr>
        <w:footnoteReference w:id="72"/>
      </w:r>
      <w:bookmarkEnd w:id="21"/>
      <w:r w:rsidR="00857397" w:rsidRPr="00BC2BC4">
        <w:rPr>
          <w:rFonts w:cs="Times New Roman"/>
          <w:kern w:val="2"/>
          <w:sz w:val="20"/>
        </w:rPr>
        <w:t xml:space="preserve"> </w:t>
      </w:r>
    </w:p>
    <w:p w14:paraId="79E0C09C" w14:textId="4890E865" w:rsidR="00C5042C" w:rsidRPr="00BC2BC4" w:rsidRDefault="009F164A" w:rsidP="003F14E9">
      <w:pPr>
        <w:rPr>
          <w:rFonts w:cs="Times New Roman"/>
          <w:kern w:val="2"/>
          <w:sz w:val="20"/>
        </w:rPr>
      </w:pPr>
      <w:r w:rsidRPr="00BC2BC4">
        <w:rPr>
          <w:rFonts w:cs="Times New Roman"/>
          <w:kern w:val="2"/>
          <w:sz w:val="20"/>
        </w:rPr>
        <w:t xml:space="preserve">Enthusiasm for P3s </w:t>
      </w:r>
      <w:r w:rsidR="005D633F" w:rsidRPr="00BC2BC4">
        <w:rPr>
          <w:rFonts w:cs="Times New Roman"/>
          <w:kern w:val="2"/>
          <w:sz w:val="20"/>
        </w:rPr>
        <w:t>can be</w:t>
      </w:r>
      <w:r w:rsidRPr="00BC2BC4">
        <w:rPr>
          <w:rFonts w:cs="Times New Roman"/>
          <w:kern w:val="2"/>
          <w:sz w:val="20"/>
        </w:rPr>
        <w:t xml:space="preserve"> found in Canada as well. In 2009, then–prime minister Stephen Harper created P3 Canada Inc.—a Crown corporation—in order to deepen Canada’s commitment to P3s. Harper opined, “[P3s are] an excellent additional tool to allow taxpayers to share risk and thus help get projects completed on time and on budget.”</w:t>
      </w:r>
      <w:r w:rsidRPr="00BC2BC4">
        <w:rPr>
          <w:rFonts w:cs="Times New Roman"/>
          <w:kern w:val="2"/>
          <w:sz w:val="20"/>
          <w:vertAlign w:val="superscript"/>
        </w:rPr>
        <w:footnoteReference w:id="73"/>
      </w:r>
      <w:r w:rsidRPr="00BC2BC4">
        <w:rPr>
          <w:rFonts w:cs="Times New Roman"/>
          <w:kern w:val="2"/>
          <w:sz w:val="20"/>
        </w:rPr>
        <w:t xml:space="preserve"> As noted by the Council of Canadians</w:t>
      </w:r>
      <w:r w:rsidR="000A2D01" w:rsidRPr="00BC2BC4">
        <w:rPr>
          <w:rFonts w:cs="Times New Roman"/>
          <w:kern w:val="2"/>
          <w:sz w:val="20"/>
        </w:rPr>
        <w:t xml:space="preserve">, </w:t>
      </w:r>
      <w:r w:rsidRPr="00BC2BC4">
        <w:rPr>
          <w:rFonts w:cs="Times New Roman"/>
          <w:kern w:val="2"/>
          <w:sz w:val="20"/>
        </w:rPr>
        <w:t>the Harper gove</w:t>
      </w:r>
      <w:r w:rsidR="00B57A34" w:rsidRPr="00BC2BC4">
        <w:rPr>
          <w:rFonts w:cs="Times New Roman"/>
          <w:kern w:val="2"/>
          <w:sz w:val="20"/>
        </w:rPr>
        <w:t xml:space="preserve">rnment originally created a $14 </w:t>
      </w:r>
      <w:r w:rsidRPr="00BC2BC4">
        <w:rPr>
          <w:rFonts w:cs="Times New Roman"/>
          <w:kern w:val="2"/>
          <w:sz w:val="20"/>
        </w:rPr>
        <w:t xml:space="preserve">billion Building Canada Fund that required federal support be approved by P3 Canada, essentially entrenching the P3 model as the </w:t>
      </w:r>
      <w:r w:rsidR="00606AD7" w:rsidRPr="00BC2BC4">
        <w:rPr>
          <w:rFonts w:cs="Times New Roman"/>
          <w:kern w:val="2"/>
          <w:sz w:val="20"/>
        </w:rPr>
        <w:t>preferred</w:t>
      </w:r>
      <w:r w:rsidRPr="00BC2BC4">
        <w:rPr>
          <w:rFonts w:cs="Times New Roman"/>
          <w:kern w:val="2"/>
          <w:sz w:val="20"/>
        </w:rPr>
        <w:t xml:space="preserve"> model for large, federally funded infrastructure projects.</w:t>
      </w:r>
      <w:r w:rsidRPr="00BC2BC4">
        <w:rPr>
          <w:rFonts w:cs="Times New Roman"/>
          <w:kern w:val="2"/>
          <w:sz w:val="20"/>
          <w:vertAlign w:val="superscript"/>
        </w:rPr>
        <w:footnoteReference w:id="74"/>
      </w:r>
      <w:r w:rsidRPr="00BC2BC4">
        <w:rPr>
          <w:rFonts w:cs="Times New Roman"/>
          <w:kern w:val="2"/>
          <w:sz w:val="20"/>
        </w:rPr>
        <w:t xml:space="preserve"> In addition, provinces such as British Columbia and Ontario have, at various times</w:t>
      </w:r>
      <w:r w:rsidR="00192FFD" w:rsidRPr="00BC2BC4">
        <w:rPr>
          <w:rFonts w:cs="Times New Roman"/>
          <w:kern w:val="2"/>
          <w:sz w:val="20"/>
        </w:rPr>
        <w:t xml:space="preserve"> and in various capacities</w:t>
      </w:r>
      <w:r w:rsidRPr="00BC2BC4">
        <w:rPr>
          <w:rFonts w:cs="Times New Roman"/>
          <w:kern w:val="2"/>
          <w:sz w:val="20"/>
        </w:rPr>
        <w:t xml:space="preserve">, </w:t>
      </w:r>
      <w:r w:rsidR="00606AD7" w:rsidRPr="00BC2BC4">
        <w:rPr>
          <w:rFonts w:cs="Times New Roman"/>
          <w:kern w:val="2"/>
          <w:sz w:val="20"/>
        </w:rPr>
        <w:t xml:space="preserve">adopted and </w:t>
      </w:r>
      <w:r w:rsidR="002F46AE" w:rsidRPr="00BC2BC4">
        <w:rPr>
          <w:rFonts w:cs="Times New Roman"/>
          <w:kern w:val="2"/>
          <w:sz w:val="20"/>
        </w:rPr>
        <w:t>expressed support for the P3 model</w:t>
      </w:r>
      <w:r w:rsidRPr="00BC2BC4">
        <w:rPr>
          <w:rFonts w:cs="Times New Roman"/>
          <w:kern w:val="2"/>
          <w:sz w:val="20"/>
        </w:rPr>
        <w:t xml:space="preserve">. </w:t>
      </w:r>
      <w:r w:rsidR="00EB6E5A" w:rsidRPr="00BC2BC4">
        <w:rPr>
          <w:rFonts w:cs="Times New Roman"/>
          <w:kern w:val="2"/>
          <w:sz w:val="20"/>
        </w:rPr>
        <w:t>Thus, in Canada, P3s are an increasingly popular mechanism for public procurement, with proponents highlighting their economic efficiency.</w:t>
      </w:r>
      <w:r w:rsidR="00EB6E5A" w:rsidRPr="00BC2BC4">
        <w:rPr>
          <w:rStyle w:val="FootnoteReference"/>
          <w:rFonts w:cs="Times New Roman"/>
          <w:kern w:val="2"/>
          <w:sz w:val="20"/>
        </w:rPr>
        <w:footnoteReference w:id="75"/>
      </w:r>
    </w:p>
    <w:p w14:paraId="568DF341" w14:textId="5C5265F8" w:rsidR="00407FDA" w:rsidRPr="00BC2BC4" w:rsidRDefault="002F10D6" w:rsidP="003F14E9">
      <w:pPr>
        <w:rPr>
          <w:rFonts w:cs="Times New Roman"/>
          <w:kern w:val="2"/>
          <w:sz w:val="20"/>
        </w:rPr>
      </w:pPr>
      <w:r w:rsidRPr="00BC2BC4">
        <w:rPr>
          <w:rFonts w:cs="Times New Roman"/>
          <w:kern w:val="2"/>
          <w:sz w:val="20"/>
        </w:rPr>
        <w:t>However</w:t>
      </w:r>
      <w:r w:rsidR="009F164A" w:rsidRPr="00BC2BC4">
        <w:rPr>
          <w:rFonts w:cs="Times New Roman"/>
          <w:kern w:val="2"/>
          <w:sz w:val="20"/>
        </w:rPr>
        <w:t xml:space="preserve">, views on the advisability </w:t>
      </w:r>
      <w:r w:rsidR="0031395D" w:rsidRPr="00BC2BC4">
        <w:rPr>
          <w:rFonts w:cs="Times New Roman"/>
          <w:kern w:val="2"/>
          <w:sz w:val="20"/>
        </w:rPr>
        <w:t xml:space="preserve">of </w:t>
      </w:r>
      <w:r w:rsidR="009F164A" w:rsidRPr="00BC2BC4">
        <w:rPr>
          <w:rFonts w:cs="Times New Roman"/>
          <w:kern w:val="2"/>
          <w:sz w:val="20"/>
        </w:rPr>
        <w:t>P3</w:t>
      </w:r>
      <w:r w:rsidR="0031395D" w:rsidRPr="00BC2BC4">
        <w:rPr>
          <w:rFonts w:cs="Times New Roman"/>
          <w:kern w:val="2"/>
          <w:sz w:val="20"/>
        </w:rPr>
        <w:t>s</w:t>
      </w:r>
      <w:r w:rsidR="00597797" w:rsidRPr="00BC2BC4">
        <w:rPr>
          <w:rFonts w:cs="Times New Roman"/>
          <w:kern w:val="2"/>
          <w:sz w:val="20"/>
        </w:rPr>
        <w:t xml:space="preserve"> are mixed.</w:t>
      </w:r>
      <w:r w:rsidR="009F164A" w:rsidRPr="00BC2BC4">
        <w:rPr>
          <w:rFonts w:cs="Times New Roman"/>
          <w:kern w:val="2"/>
          <w:sz w:val="20"/>
        </w:rPr>
        <w:t xml:space="preserve"> </w:t>
      </w:r>
      <w:r w:rsidR="00597797" w:rsidRPr="00BC2BC4">
        <w:rPr>
          <w:rFonts w:cs="Times New Roman"/>
          <w:kern w:val="2"/>
          <w:sz w:val="20"/>
        </w:rPr>
        <w:t>Detractors argue</w:t>
      </w:r>
      <w:r w:rsidR="009F164A" w:rsidRPr="00BC2BC4">
        <w:rPr>
          <w:rFonts w:cs="Times New Roman"/>
          <w:kern w:val="2"/>
          <w:sz w:val="20"/>
        </w:rPr>
        <w:t xml:space="preserve"> that P3s—rather than being efficient, revolutionary models of delivering public goods and services—“cost more and deliver less</w:t>
      </w:r>
      <w:r w:rsidR="009D57FC" w:rsidRPr="00BC2BC4">
        <w:rPr>
          <w:rFonts w:cs="Times New Roman"/>
          <w:kern w:val="2"/>
          <w:sz w:val="20"/>
        </w:rPr>
        <w:t>.</w:t>
      </w:r>
      <w:r w:rsidR="009F164A" w:rsidRPr="00BC2BC4">
        <w:rPr>
          <w:rFonts w:cs="Times New Roman"/>
          <w:kern w:val="2"/>
          <w:sz w:val="20"/>
        </w:rPr>
        <w:t>”</w:t>
      </w:r>
      <w:r w:rsidR="009F164A" w:rsidRPr="00BC2BC4">
        <w:rPr>
          <w:rStyle w:val="FootnoteReference"/>
          <w:rFonts w:cs="Times New Roman"/>
          <w:kern w:val="2"/>
          <w:sz w:val="20"/>
        </w:rPr>
        <w:footnoteReference w:id="76"/>
      </w:r>
      <w:r w:rsidR="00357E08" w:rsidRPr="00BC2BC4">
        <w:rPr>
          <w:rFonts w:cs="Times New Roman"/>
          <w:kern w:val="2"/>
          <w:sz w:val="20"/>
        </w:rPr>
        <w:t xml:space="preserve"> Some scholars</w:t>
      </w:r>
      <w:r w:rsidR="00303CB3" w:rsidRPr="00BC2BC4">
        <w:rPr>
          <w:rFonts w:cs="Times New Roman"/>
          <w:kern w:val="2"/>
          <w:sz w:val="20"/>
        </w:rPr>
        <w:t>,</w:t>
      </w:r>
      <w:r w:rsidR="00357E08" w:rsidRPr="00BC2BC4">
        <w:rPr>
          <w:rFonts w:cs="Times New Roman"/>
          <w:kern w:val="2"/>
          <w:sz w:val="20"/>
        </w:rPr>
        <w:t xml:space="preserve"> such as Minow, Custos and Reitz</w:t>
      </w:r>
      <w:r w:rsidR="00303CB3" w:rsidRPr="00BC2BC4">
        <w:rPr>
          <w:rFonts w:cs="Times New Roman"/>
          <w:kern w:val="2"/>
          <w:sz w:val="20"/>
        </w:rPr>
        <w:t>,</w:t>
      </w:r>
      <w:r w:rsidR="00357E08" w:rsidRPr="00BC2BC4">
        <w:rPr>
          <w:rFonts w:cs="Times New Roman"/>
          <w:kern w:val="2"/>
          <w:sz w:val="20"/>
        </w:rPr>
        <w:t xml:space="preserve"> have criticized P3s </w:t>
      </w:r>
      <w:r w:rsidR="001D3CAA" w:rsidRPr="00BC2BC4">
        <w:rPr>
          <w:rFonts w:cs="Times New Roman"/>
          <w:kern w:val="2"/>
          <w:sz w:val="20"/>
        </w:rPr>
        <w:t>for failing</w:t>
      </w:r>
      <w:r w:rsidR="00357E08" w:rsidRPr="00BC2BC4">
        <w:rPr>
          <w:rFonts w:cs="Times New Roman"/>
          <w:kern w:val="2"/>
          <w:sz w:val="20"/>
        </w:rPr>
        <w:t xml:space="preserve"> to sufficiently protect public values and interests.</w:t>
      </w:r>
      <w:bookmarkStart w:id="22" w:name="_Ref313040962"/>
      <w:r w:rsidR="00357E08" w:rsidRPr="00BC2BC4">
        <w:rPr>
          <w:rFonts w:cs="Times New Roman"/>
          <w:kern w:val="2"/>
          <w:sz w:val="20"/>
          <w:vertAlign w:val="superscript"/>
        </w:rPr>
        <w:footnoteReference w:id="77"/>
      </w:r>
      <w:bookmarkEnd w:id="22"/>
      <w:r w:rsidR="00357E08" w:rsidRPr="00BC2BC4">
        <w:rPr>
          <w:rFonts w:cs="Times New Roman"/>
          <w:kern w:val="2"/>
          <w:sz w:val="20"/>
        </w:rPr>
        <w:t xml:space="preserve"> Scholars who espouse this view argue that P3s </w:t>
      </w:r>
      <w:r w:rsidR="006D1D5A" w:rsidRPr="00BC2BC4">
        <w:rPr>
          <w:rFonts w:cs="Times New Roman"/>
          <w:kern w:val="2"/>
          <w:sz w:val="20"/>
        </w:rPr>
        <w:t xml:space="preserve">can </w:t>
      </w:r>
      <w:r w:rsidR="00357E08" w:rsidRPr="00BC2BC4">
        <w:rPr>
          <w:rFonts w:cs="Times New Roman"/>
          <w:kern w:val="2"/>
          <w:sz w:val="20"/>
        </w:rPr>
        <w:t>open the door to private capture of public decision makers.</w:t>
      </w:r>
      <w:r w:rsidR="00357E08" w:rsidRPr="00BC2BC4">
        <w:rPr>
          <w:rFonts w:cs="Times New Roman"/>
          <w:kern w:val="2"/>
          <w:sz w:val="20"/>
          <w:vertAlign w:val="superscript"/>
        </w:rPr>
        <w:footnoteReference w:id="78"/>
      </w:r>
    </w:p>
    <w:p w14:paraId="244E1404" w14:textId="70540CB8" w:rsidR="00817799" w:rsidRPr="00BC2BC4" w:rsidRDefault="00817799" w:rsidP="000A7168">
      <w:pPr>
        <w:pStyle w:val="Heading2"/>
        <w:rPr>
          <w:kern w:val="2"/>
          <w:sz w:val="24"/>
        </w:rPr>
      </w:pPr>
      <w:bookmarkStart w:id="23" w:name="_Toc420920782"/>
      <w:bookmarkStart w:id="24" w:name="_Toc424485020"/>
      <w:r w:rsidRPr="00BC2BC4">
        <w:rPr>
          <w:kern w:val="2"/>
          <w:sz w:val="24"/>
        </w:rPr>
        <w:t>Sole Sourcing</w:t>
      </w:r>
      <w:bookmarkEnd w:id="23"/>
      <w:bookmarkEnd w:id="24"/>
      <w:r w:rsidR="00E60C2F" w:rsidRPr="00BC2BC4">
        <w:rPr>
          <w:kern w:val="2"/>
          <w:sz w:val="24"/>
        </w:rPr>
        <w:t xml:space="preserve"> </w:t>
      </w:r>
    </w:p>
    <w:p w14:paraId="6262B50B" w14:textId="601ECF15" w:rsidR="00817799" w:rsidRPr="00BC2BC4" w:rsidRDefault="00817799" w:rsidP="006B0E35">
      <w:pPr>
        <w:spacing w:line="23" w:lineRule="atLeast"/>
        <w:rPr>
          <w:kern w:val="2"/>
          <w:sz w:val="20"/>
        </w:rPr>
      </w:pPr>
      <w:r w:rsidRPr="00BC2BC4">
        <w:rPr>
          <w:kern w:val="2"/>
          <w:sz w:val="20"/>
        </w:rPr>
        <w:t>Although most public procurement now occurs through a competitive bidding process, the sole source contracting method is still used for some services. Plainly stated, sole source contracting involves two parties negotiating a contract, without an open competitive process.</w:t>
      </w:r>
      <w:r w:rsidRPr="00BC2BC4">
        <w:rPr>
          <w:rStyle w:val="FootnoteReference"/>
          <w:kern w:val="2"/>
          <w:sz w:val="20"/>
        </w:rPr>
        <w:footnoteReference w:id="79"/>
      </w:r>
      <w:r w:rsidRPr="00BC2BC4">
        <w:rPr>
          <w:kern w:val="2"/>
          <w:sz w:val="20"/>
        </w:rPr>
        <w:t xml:space="preserve"> Sole sourcing may be preferred for efficiency purposes in emergencies</w:t>
      </w:r>
      <w:r w:rsidR="004C1B94" w:rsidRPr="00BC2BC4">
        <w:rPr>
          <w:kern w:val="2"/>
          <w:sz w:val="20"/>
        </w:rPr>
        <w:t>,</w:t>
      </w:r>
      <w:r w:rsidRPr="00BC2BC4">
        <w:rPr>
          <w:kern w:val="2"/>
          <w:sz w:val="20"/>
        </w:rPr>
        <w:t xml:space="preserve"> for small value contracts, or where there are confidentiality concerns.</w:t>
      </w:r>
      <w:r w:rsidRPr="00BC2BC4">
        <w:rPr>
          <w:rStyle w:val="FootnoteReference"/>
          <w:kern w:val="2"/>
          <w:sz w:val="20"/>
        </w:rPr>
        <w:footnoteReference w:id="80"/>
      </w:r>
      <w:r w:rsidRPr="00BC2BC4">
        <w:rPr>
          <w:kern w:val="2"/>
          <w:sz w:val="20"/>
        </w:rPr>
        <w:t xml:space="preserve"> However, as sole sourcing is not a public and transparent process, it can be difficult for public bodies to justify this method due to concerns relating to fairness and discrimination.</w:t>
      </w:r>
      <w:r w:rsidRPr="00BC2BC4">
        <w:rPr>
          <w:rStyle w:val="FootnoteReference"/>
          <w:kern w:val="2"/>
          <w:sz w:val="20"/>
        </w:rPr>
        <w:footnoteReference w:id="81"/>
      </w:r>
      <w:r w:rsidRPr="00BC2BC4">
        <w:rPr>
          <w:kern w:val="2"/>
          <w:sz w:val="20"/>
        </w:rPr>
        <w:t xml:space="preserve"> From an a</w:t>
      </w:r>
      <w:r w:rsidR="00B56F20" w:rsidRPr="00BC2BC4">
        <w:rPr>
          <w:kern w:val="2"/>
          <w:sz w:val="20"/>
        </w:rPr>
        <w:t>nti</w:t>
      </w:r>
      <w:r w:rsidR="00DA3C13" w:rsidRPr="00BC2BC4">
        <w:rPr>
          <w:kern w:val="2"/>
          <w:sz w:val="20"/>
        </w:rPr>
        <w:t>-</w:t>
      </w:r>
      <w:r w:rsidRPr="00BC2BC4">
        <w:rPr>
          <w:kern w:val="2"/>
          <w:sz w:val="20"/>
        </w:rPr>
        <w:t xml:space="preserve">corruption perspective, a public entity should sole source its contracts as seldom as possible. </w:t>
      </w:r>
    </w:p>
    <w:p w14:paraId="7FC84DCB" w14:textId="5FB8B861" w:rsidR="00F1525E" w:rsidRPr="00BC2BC4" w:rsidRDefault="001A4306" w:rsidP="006B0E35">
      <w:pPr>
        <w:spacing w:line="23" w:lineRule="atLeast"/>
        <w:rPr>
          <w:kern w:val="2"/>
          <w:sz w:val="20"/>
        </w:rPr>
      </w:pPr>
      <w:r w:rsidRPr="00BC2BC4">
        <w:rPr>
          <w:kern w:val="2"/>
          <w:sz w:val="20"/>
        </w:rPr>
        <w:t xml:space="preserve">One added complication in the sole-sourcing context is the phenomenon of </w:t>
      </w:r>
      <w:r w:rsidR="00F50282" w:rsidRPr="00BC2BC4">
        <w:rPr>
          <w:kern w:val="2"/>
          <w:sz w:val="20"/>
        </w:rPr>
        <w:t>unsolicited bids</w:t>
      </w:r>
      <w:r w:rsidRPr="00BC2BC4">
        <w:rPr>
          <w:kern w:val="2"/>
          <w:sz w:val="20"/>
        </w:rPr>
        <w:t>.</w:t>
      </w:r>
      <w:r w:rsidR="00BD60D4" w:rsidRPr="00BC2BC4">
        <w:rPr>
          <w:rStyle w:val="FootnoteReference"/>
          <w:kern w:val="2"/>
          <w:sz w:val="20"/>
        </w:rPr>
        <w:footnoteReference w:id="82"/>
      </w:r>
      <w:r w:rsidRPr="00BC2BC4">
        <w:rPr>
          <w:kern w:val="2"/>
          <w:sz w:val="20"/>
        </w:rPr>
        <w:t xml:space="preserve"> </w:t>
      </w:r>
      <w:r w:rsidR="00E14B38" w:rsidRPr="00BC2BC4">
        <w:rPr>
          <w:kern w:val="2"/>
          <w:sz w:val="20"/>
        </w:rPr>
        <w:t>Some public authorities are willing to consider project proposals initiated, designed and submitted by private firms</w:t>
      </w:r>
      <w:r w:rsidR="00F50282" w:rsidRPr="00BC2BC4">
        <w:rPr>
          <w:kern w:val="2"/>
          <w:sz w:val="20"/>
        </w:rPr>
        <w:t>, rather than the authority itself</w:t>
      </w:r>
      <w:r w:rsidR="00E14B38" w:rsidRPr="00BC2BC4">
        <w:rPr>
          <w:kern w:val="2"/>
          <w:sz w:val="20"/>
        </w:rPr>
        <w:t xml:space="preserve">. This flips the </w:t>
      </w:r>
      <w:r w:rsidR="007C5CAD" w:rsidRPr="00BC2BC4">
        <w:rPr>
          <w:kern w:val="2"/>
          <w:sz w:val="20"/>
        </w:rPr>
        <w:t xml:space="preserve">traditional </w:t>
      </w:r>
      <w:r w:rsidR="003C0E25" w:rsidRPr="00BC2BC4">
        <w:rPr>
          <w:kern w:val="2"/>
          <w:sz w:val="20"/>
        </w:rPr>
        <w:t>competitive bidding</w:t>
      </w:r>
      <w:r w:rsidR="00E14B38" w:rsidRPr="00BC2BC4">
        <w:rPr>
          <w:kern w:val="2"/>
          <w:sz w:val="20"/>
        </w:rPr>
        <w:t xml:space="preserve"> model</w:t>
      </w:r>
      <w:r w:rsidR="003C0E25" w:rsidRPr="00BC2BC4">
        <w:rPr>
          <w:kern w:val="2"/>
          <w:sz w:val="20"/>
        </w:rPr>
        <w:t xml:space="preserve"> </w:t>
      </w:r>
      <w:r w:rsidR="00E14B38" w:rsidRPr="00BC2BC4">
        <w:rPr>
          <w:kern w:val="2"/>
          <w:sz w:val="20"/>
        </w:rPr>
        <w:t xml:space="preserve">on its head: </w:t>
      </w:r>
      <w:r w:rsidR="00A60FE6" w:rsidRPr="00BC2BC4">
        <w:rPr>
          <w:kern w:val="2"/>
          <w:sz w:val="20"/>
        </w:rPr>
        <w:t>t</w:t>
      </w:r>
      <w:r w:rsidR="00E14B38" w:rsidRPr="00BC2BC4">
        <w:rPr>
          <w:kern w:val="2"/>
          <w:sz w:val="20"/>
        </w:rPr>
        <w:t xml:space="preserve">he idea for the project comes not from the public authority, but from the private sector. </w:t>
      </w:r>
    </w:p>
    <w:p w14:paraId="5F214A72" w14:textId="18FB395D" w:rsidR="00772789" w:rsidRPr="00BC2BC4" w:rsidRDefault="00A90BFE" w:rsidP="006B0E35">
      <w:pPr>
        <w:spacing w:line="23" w:lineRule="atLeast"/>
        <w:rPr>
          <w:kern w:val="2"/>
          <w:sz w:val="20"/>
        </w:rPr>
      </w:pPr>
      <w:r w:rsidRPr="00BC2BC4">
        <w:rPr>
          <w:kern w:val="2"/>
          <w:sz w:val="20"/>
        </w:rPr>
        <w:t>Although unsolicited bids may</w:t>
      </w:r>
      <w:r w:rsidR="008F5CAC" w:rsidRPr="00BC2BC4">
        <w:rPr>
          <w:kern w:val="2"/>
          <w:sz w:val="20"/>
        </w:rPr>
        <w:t xml:space="preserve"> be seen as a welcome</w:t>
      </w:r>
      <w:r w:rsidRPr="00BC2BC4">
        <w:rPr>
          <w:kern w:val="2"/>
          <w:sz w:val="20"/>
        </w:rPr>
        <w:t xml:space="preserve"> opportunity to </w:t>
      </w:r>
      <w:r w:rsidR="004B7156" w:rsidRPr="00BC2BC4">
        <w:rPr>
          <w:kern w:val="2"/>
          <w:sz w:val="20"/>
        </w:rPr>
        <w:t>introduce greater</w:t>
      </w:r>
      <w:r w:rsidR="00E14B38" w:rsidRPr="00BC2BC4">
        <w:rPr>
          <w:kern w:val="2"/>
          <w:sz w:val="20"/>
        </w:rPr>
        <w:t xml:space="preserve"> private sector </w:t>
      </w:r>
      <w:r w:rsidR="004B7156" w:rsidRPr="00BC2BC4">
        <w:rPr>
          <w:kern w:val="2"/>
          <w:sz w:val="20"/>
        </w:rPr>
        <w:t>participation</w:t>
      </w:r>
      <w:r w:rsidR="00E14B38" w:rsidRPr="00BC2BC4">
        <w:rPr>
          <w:kern w:val="2"/>
          <w:sz w:val="20"/>
        </w:rPr>
        <w:t xml:space="preserve"> </w:t>
      </w:r>
      <w:r w:rsidR="004B7156" w:rsidRPr="00BC2BC4">
        <w:rPr>
          <w:kern w:val="2"/>
          <w:sz w:val="20"/>
        </w:rPr>
        <w:t>in</w:t>
      </w:r>
      <w:r w:rsidRPr="00BC2BC4">
        <w:rPr>
          <w:kern w:val="2"/>
          <w:sz w:val="20"/>
        </w:rPr>
        <w:t xml:space="preserve"> the </w:t>
      </w:r>
      <w:r w:rsidR="004B7156" w:rsidRPr="00BC2BC4">
        <w:rPr>
          <w:kern w:val="2"/>
          <w:sz w:val="20"/>
        </w:rPr>
        <w:t xml:space="preserve">identification of public needs, as well as to inject private sector innovation into the </w:t>
      </w:r>
      <w:r w:rsidRPr="00BC2BC4">
        <w:rPr>
          <w:kern w:val="2"/>
          <w:sz w:val="20"/>
        </w:rPr>
        <w:t>delivery of public goods and services,</w:t>
      </w:r>
      <w:r w:rsidR="00E14B38" w:rsidRPr="00BC2BC4">
        <w:rPr>
          <w:kern w:val="2"/>
          <w:sz w:val="20"/>
        </w:rPr>
        <w:t xml:space="preserve"> </w:t>
      </w:r>
      <w:r w:rsidR="004C1B94" w:rsidRPr="00BC2BC4">
        <w:rPr>
          <w:kern w:val="2"/>
          <w:sz w:val="20"/>
        </w:rPr>
        <w:t>they</w:t>
      </w:r>
      <w:r w:rsidR="00E14B38" w:rsidRPr="00BC2BC4">
        <w:rPr>
          <w:kern w:val="2"/>
          <w:sz w:val="20"/>
        </w:rPr>
        <w:t xml:space="preserve"> </w:t>
      </w:r>
      <w:r w:rsidRPr="00BC2BC4">
        <w:rPr>
          <w:kern w:val="2"/>
          <w:sz w:val="20"/>
        </w:rPr>
        <w:t>may also be a dangerous proposition. T</w:t>
      </w:r>
      <w:r w:rsidR="00E14B38" w:rsidRPr="00BC2BC4">
        <w:rPr>
          <w:kern w:val="2"/>
          <w:sz w:val="20"/>
        </w:rPr>
        <w:t xml:space="preserve">he </w:t>
      </w:r>
      <w:r w:rsidRPr="00BC2BC4">
        <w:rPr>
          <w:kern w:val="2"/>
          <w:sz w:val="20"/>
        </w:rPr>
        <w:t xml:space="preserve">result </w:t>
      </w:r>
      <w:r w:rsidR="001942DF" w:rsidRPr="00BC2BC4">
        <w:rPr>
          <w:kern w:val="2"/>
          <w:sz w:val="20"/>
        </w:rPr>
        <w:t xml:space="preserve">of increased acceptance of unsolicited bids </w:t>
      </w:r>
      <w:r w:rsidRPr="00BC2BC4">
        <w:rPr>
          <w:kern w:val="2"/>
          <w:sz w:val="20"/>
        </w:rPr>
        <w:t xml:space="preserve">may be to allow </w:t>
      </w:r>
      <w:r w:rsidR="00E14B38" w:rsidRPr="00BC2BC4">
        <w:rPr>
          <w:kern w:val="2"/>
          <w:sz w:val="20"/>
        </w:rPr>
        <w:t xml:space="preserve">private </w:t>
      </w:r>
      <w:r w:rsidRPr="00BC2BC4">
        <w:rPr>
          <w:kern w:val="2"/>
          <w:sz w:val="20"/>
        </w:rPr>
        <w:t>firms to intrude upon</w:t>
      </w:r>
      <w:r w:rsidR="00E14B38" w:rsidRPr="00BC2BC4">
        <w:rPr>
          <w:kern w:val="2"/>
          <w:sz w:val="20"/>
        </w:rPr>
        <w:t xml:space="preserve"> the government’s role in formulating policy and designing public infrastructure to achieve </w:t>
      </w:r>
      <w:r w:rsidRPr="00BC2BC4">
        <w:rPr>
          <w:kern w:val="2"/>
          <w:sz w:val="20"/>
        </w:rPr>
        <w:t>public</w:t>
      </w:r>
      <w:r w:rsidR="00E14B38" w:rsidRPr="00BC2BC4">
        <w:rPr>
          <w:kern w:val="2"/>
          <w:sz w:val="20"/>
        </w:rPr>
        <w:t xml:space="preserve"> policies.</w:t>
      </w:r>
      <w:r w:rsidRPr="00BC2BC4">
        <w:rPr>
          <w:kern w:val="2"/>
          <w:sz w:val="20"/>
        </w:rPr>
        <w:t xml:space="preserve"> </w:t>
      </w:r>
    </w:p>
    <w:p w14:paraId="425D6D0A" w14:textId="7C44ACFB" w:rsidR="0037412E" w:rsidRPr="00BC2BC4" w:rsidRDefault="0037412E" w:rsidP="006B0E35">
      <w:pPr>
        <w:spacing w:line="23" w:lineRule="atLeast"/>
        <w:rPr>
          <w:kern w:val="2"/>
          <w:sz w:val="20"/>
        </w:rPr>
      </w:pPr>
      <w:r w:rsidRPr="00BC2BC4">
        <w:rPr>
          <w:kern w:val="2"/>
          <w:sz w:val="20"/>
        </w:rPr>
        <w:t xml:space="preserve">Perhaps the principal issue with unsolicited bids is that they </w:t>
      </w:r>
      <w:r w:rsidR="002F3370" w:rsidRPr="00BC2BC4">
        <w:rPr>
          <w:kern w:val="2"/>
          <w:sz w:val="20"/>
        </w:rPr>
        <w:t>may</w:t>
      </w:r>
      <w:r w:rsidRPr="00BC2BC4">
        <w:rPr>
          <w:kern w:val="2"/>
          <w:sz w:val="20"/>
        </w:rPr>
        <w:t xml:space="preserve"> be associated with a lack of competition and transparency</w:t>
      </w:r>
      <w:bookmarkStart w:id="25" w:name="_Ref313079548"/>
      <w:r w:rsidRPr="00BC2BC4">
        <w:rPr>
          <w:kern w:val="2"/>
          <w:sz w:val="20"/>
        </w:rPr>
        <w:t>.</w:t>
      </w:r>
      <w:r w:rsidRPr="00BC2BC4">
        <w:rPr>
          <w:kern w:val="2"/>
          <w:sz w:val="20"/>
          <w:vertAlign w:val="superscript"/>
        </w:rPr>
        <w:footnoteReference w:id="83"/>
      </w:r>
      <w:bookmarkEnd w:id="25"/>
      <w:r w:rsidRPr="00BC2BC4">
        <w:rPr>
          <w:kern w:val="2"/>
          <w:sz w:val="20"/>
        </w:rPr>
        <w:t xml:space="preserve"> In an unsolicited bid, where there is only one party seeking an exclusive contract for a project that was drawn up by that party, t</w:t>
      </w:r>
      <w:r w:rsidR="00F1525E" w:rsidRPr="00BC2BC4">
        <w:rPr>
          <w:kern w:val="2"/>
          <w:sz w:val="20"/>
        </w:rPr>
        <w:t>he public might perceive the proposed project</w:t>
      </w:r>
      <w:r w:rsidRPr="00BC2BC4">
        <w:rPr>
          <w:kern w:val="2"/>
          <w:sz w:val="20"/>
        </w:rPr>
        <w:t xml:space="preserve"> as serving special interests or being tainted by corruption.</w:t>
      </w:r>
      <w:r w:rsidRPr="00BC2BC4">
        <w:rPr>
          <w:kern w:val="2"/>
          <w:sz w:val="20"/>
          <w:vertAlign w:val="superscript"/>
        </w:rPr>
        <w:footnoteReference w:id="84"/>
      </w:r>
    </w:p>
    <w:p w14:paraId="152D020F" w14:textId="0827D30A" w:rsidR="00F1525E" w:rsidRPr="00BC2BC4" w:rsidRDefault="00FD61D5" w:rsidP="00F1525E">
      <w:pPr>
        <w:spacing w:line="23" w:lineRule="atLeast"/>
        <w:rPr>
          <w:kern w:val="2"/>
          <w:sz w:val="20"/>
        </w:rPr>
      </w:pPr>
      <w:r w:rsidRPr="00BC2BC4">
        <w:rPr>
          <w:rFonts w:cs="Times New Roman"/>
          <w:kern w:val="2"/>
          <w:sz w:val="20"/>
        </w:rPr>
        <w:t>Professors</w:t>
      </w:r>
      <w:r w:rsidR="0085409A" w:rsidRPr="00BC2BC4">
        <w:rPr>
          <w:rFonts w:cs="Times New Roman"/>
          <w:kern w:val="2"/>
          <w:sz w:val="20"/>
        </w:rPr>
        <w:t xml:space="preserve"> </w:t>
      </w:r>
      <w:r w:rsidR="00F1525E" w:rsidRPr="00BC2BC4">
        <w:rPr>
          <w:kern w:val="2"/>
          <w:sz w:val="20"/>
        </w:rPr>
        <w:t>Hodge and Greve summarize the concerns raised over unsolicited bids:</w:t>
      </w:r>
    </w:p>
    <w:p w14:paraId="7AB4C2BA" w14:textId="77777777" w:rsidR="00F1525E" w:rsidRPr="00BC2BC4" w:rsidRDefault="00F1525E" w:rsidP="000A7168">
      <w:pPr>
        <w:pStyle w:val="BlockQuote"/>
        <w:rPr>
          <w:kern w:val="2"/>
          <w:sz w:val="20"/>
        </w:rPr>
      </w:pPr>
      <w:r w:rsidRPr="00BC2BC4">
        <w:rPr>
          <w:kern w:val="2"/>
          <w:sz w:val="20"/>
        </w:rPr>
        <w:t>[Unsolicited bids add] a whole new dimension to project initiation, planning and completion with new powerful interest groups moving in alongside elected governments. Thus, we see today new infrastructure projects being suggested by real estate agents as well as various project financiers and merchant bankers, rather than bureaucrats—whose purpose, one would have thought, would be to do just this, as well as analyzing a range of smaller packages of alternative improvement options. Whilst such government-business deals may well end up meeting the public interest, it would seem more by coincidence than by design.</w:t>
      </w:r>
      <w:r w:rsidRPr="00BC2BC4">
        <w:rPr>
          <w:kern w:val="2"/>
          <w:sz w:val="20"/>
          <w:vertAlign w:val="superscript"/>
        </w:rPr>
        <w:footnoteReference w:id="85"/>
      </w:r>
    </w:p>
    <w:p w14:paraId="039F4C24" w14:textId="341B9A33" w:rsidR="00C94CAD" w:rsidRPr="00BC2BC4" w:rsidRDefault="00C94CAD" w:rsidP="006B0E35">
      <w:pPr>
        <w:spacing w:line="23" w:lineRule="atLeast"/>
        <w:rPr>
          <w:kern w:val="2"/>
          <w:sz w:val="20"/>
        </w:rPr>
      </w:pPr>
      <w:r w:rsidRPr="00BC2BC4">
        <w:rPr>
          <w:kern w:val="2"/>
          <w:sz w:val="20"/>
        </w:rPr>
        <w:t xml:space="preserve">Hodges and Dellacha suggest that, </w:t>
      </w:r>
      <w:r w:rsidR="006053D0" w:rsidRPr="00BC2BC4">
        <w:rPr>
          <w:kern w:val="2"/>
          <w:sz w:val="20"/>
        </w:rPr>
        <w:t>with</w:t>
      </w:r>
      <w:r w:rsidRPr="00BC2BC4">
        <w:rPr>
          <w:kern w:val="2"/>
          <w:sz w:val="20"/>
        </w:rPr>
        <w:t xml:space="preserve"> unsolicited bid submi</w:t>
      </w:r>
      <w:r w:rsidR="006053D0" w:rsidRPr="00BC2BC4">
        <w:rPr>
          <w:kern w:val="2"/>
          <w:sz w:val="20"/>
        </w:rPr>
        <w:t>ssions</w:t>
      </w:r>
      <w:r w:rsidRPr="00BC2BC4">
        <w:rPr>
          <w:kern w:val="2"/>
          <w:sz w:val="20"/>
        </w:rPr>
        <w:t xml:space="preserve">, it may be best for the public authority to hold a tendering process </w:t>
      </w:r>
      <w:r w:rsidR="00C65269" w:rsidRPr="00BC2BC4">
        <w:rPr>
          <w:kern w:val="2"/>
          <w:sz w:val="20"/>
        </w:rPr>
        <w:t xml:space="preserve">nonetheless </w:t>
      </w:r>
      <w:r w:rsidRPr="00BC2BC4">
        <w:rPr>
          <w:kern w:val="2"/>
          <w:sz w:val="20"/>
        </w:rPr>
        <w:t>in order to preserve some level of competition and enhance transparency, even if there is only one bidder.</w:t>
      </w:r>
      <w:r w:rsidRPr="00BC2BC4">
        <w:rPr>
          <w:kern w:val="2"/>
          <w:sz w:val="20"/>
          <w:vertAlign w:val="superscript"/>
        </w:rPr>
        <w:footnoteReference w:id="86"/>
      </w:r>
      <w:r w:rsidRPr="00BC2BC4">
        <w:rPr>
          <w:kern w:val="2"/>
          <w:sz w:val="20"/>
        </w:rPr>
        <w:t xml:space="preserve"> This is said to (1) evidence the government’s commitment to transparency and (2) demonstrate that there is in fact only one interested bidder.</w:t>
      </w:r>
      <w:r w:rsidRPr="00BC2BC4">
        <w:rPr>
          <w:kern w:val="2"/>
          <w:sz w:val="20"/>
          <w:vertAlign w:val="superscript"/>
        </w:rPr>
        <w:footnoteReference w:id="87"/>
      </w:r>
      <w:r w:rsidRPr="00BC2BC4">
        <w:rPr>
          <w:kern w:val="2"/>
          <w:sz w:val="20"/>
        </w:rPr>
        <w:t xml:space="preserve"> The effect is to lend the project greater legitimacy in the public eye.</w:t>
      </w:r>
    </w:p>
    <w:p w14:paraId="28E8F395" w14:textId="79E49253" w:rsidR="008B02EF" w:rsidRPr="00BC2BC4" w:rsidRDefault="00B349A7" w:rsidP="006B0E35">
      <w:pPr>
        <w:spacing w:line="23" w:lineRule="atLeast"/>
        <w:rPr>
          <w:kern w:val="2"/>
          <w:sz w:val="20"/>
        </w:rPr>
      </w:pPr>
      <w:r w:rsidRPr="00BC2BC4">
        <w:rPr>
          <w:kern w:val="2"/>
          <w:sz w:val="20"/>
        </w:rPr>
        <w:t>At the end of the day, whether unsolicited bids serve the public interest will depend on the particular circumstances surrounding the proposed project</w:t>
      </w:r>
      <w:r w:rsidR="00416270" w:rsidRPr="00BC2BC4">
        <w:rPr>
          <w:kern w:val="2"/>
          <w:sz w:val="20"/>
        </w:rPr>
        <w:t xml:space="preserve">, including the actors involved, the need for the project, </w:t>
      </w:r>
      <w:r w:rsidR="005A6F93" w:rsidRPr="00BC2BC4">
        <w:rPr>
          <w:kern w:val="2"/>
          <w:sz w:val="20"/>
        </w:rPr>
        <w:t xml:space="preserve">whether the </w:t>
      </w:r>
      <w:r w:rsidR="00C65269" w:rsidRPr="00BC2BC4">
        <w:rPr>
          <w:kern w:val="2"/>
          <w:sz w:val="20"/>
        </w:rPr>
        <w:t xml:space="preserve">party proposing the </w:t>
      </w:r>
      <w:r w:rsidR="005A6F93" w:rsidRPr="00BC2BC4">
        <w:rPr>
          <w:kern w:val="2"/>
          <w:sz w:val="20"/>
        </w:rPr>
        <w:t xml:space="preserve">project </w:t>
      </w:r>
      <w:r w:rsidR="00C65269" w:rsidRPr="00BC2BC4">
        <w:rPr>
          <w:kern w:val="2"/>
          <w:sz w:val="20"/>
        </w:rPr>
        <w:t>is the only one who could successfully carry it out</w:t>
      </w:r>
      <w:r w:rsidR="00E02CC0" w:rsidRPr="00BC2BC4">
        <w:rPr>
          <w:kern w:val="2"/>
          <w:sz w:val="20"/>
        </w:rPr>
        <w:t>,</w:t>
      </w:r>
      <w:r w:rsidR="005A6F93" w:rsidRPr="00BC2BC4">
        <w:rPr>
          <w:kern w:val="2"/>
          <w:sz w:val="20"/>
        </w:rPr>
        <w:t xml:space="preserve"> </w:t>
      </w:r>
      <w:r w:rsidR="00416270" w:rsidRPr="00BC2BC4">
        <w:rPr>
          <w:kern w:val="2"/>
          <w:sz w:val="20"/>
        </w:rPr>
        <w:t>and other factors.</w:t>
      </w:r>
    </w:p>
    <w:p w14:paraId="45E6CF1B" w14:textId="7E24C754" w:rsidR="00817799" w:rsidRPr="00BC2BC4" w:rsidRDefault="00817799" w:rsidP="000A7168">
      <w:pPr>
        <w:pStyle w:val="Heading2"/>
        <w:rPr>
          <w:kern w:val="2"/>
          <w:sz w:val="24"/>
        </w:rPr>
      </w:pPr>
      <w:bookmarkStart w:id="26" w:name="_Toc420920783"/>
      <w:bookmarkStart w:id="27" w:name="_Toc424485021"/>
      <w:r w:rsidRPr="00BC2BC4">
        <w:rPr>
          <w:kern w:val="2"/>
          <w:sz w:val="24"/>
        </w:rPr>
        <w:t>Competitive Bidding</w:t>
      </w:r>
      <w:bookmarkEnd w:id="26"/>
      <w:bookmarkEnd w:id="27"/>
    </w:p>
    <w:p w14:paraId="68723962" w14:textId="4EC128CC" w:rsidR="000A7168" w:rsidRPr="00BC2BC4" w:rsidRDefault="00817799" w:rsidP="000A7168">
      <w:pPr>
        <w:rPr>
          <w:kern w:val="2"/>
          <w:sz w:val="20"/>
        </w:rPr>
      </w:pPr>
      <w:r w:rsidRPr="00BC2BC4">
        <w:rPr>
          <w:kern w:val="2"/>
          <w:sz w:val="20"/>
        </w:rPr>
        <w:t xml:space="preserve">Public procurement more often occurs through the process of competitive bidding, or tendering. Though tendering is often used synonymously with bidding, tendering is a specific type of competitive bidding. The tendering process involves particular contractual relationships and obligations, which will be discussed </w:t>
      </w:r>
      <w:r w:rsidR="00327303" w:rsidRPr="00BC2BC4">
        <w:rPr>
          <w:kern w:val="2"/>
          <w:sz w:val="20"/>
        </w:rPr>
        <w:t>later in this</w:t>
      </w:r>
      <w:r w:rsidRPr="00BC2BC4">
        <w:rPr>
          <w:kern w:val="2"/>
          <w:sz w:val="20"/>
        </w:rPr>
        <w:t xml:space="preserve"> chapter. Broadly speaking, there are four stages of the traditional competitive bidding process: planning, bidding, bid</w:t>
      </w:r>
      <w:r w:rsidR="00BC6AF8" w:rsidRPr="00BC2BC4">
        <w:rPr>
          <w:kern w:val="2"/>
          <w:sz w:val="20"/>
        </w:rPr>
        <w:t xml:space="preserve"> </w:t>
      </w:r>
      <w:r w:rsidRPr="00BC2BC4">
        <w:rPr>
          <w:kern w:val="2"/>
          <w:sz w:val="20"/>
        </w:rPr>
        <w:t>evaluation</w:t>
      </w:r>
      <w:r w:rsidR="002B2898" w:rsidRPr="00BC2BC4">
        <w:rPr>
          <w:kern w:val="2"/>
          <w:sz w:val="20"/>
        </w:rPr>
        <w:t>,</w:t>
      </w:r>
      <w:r w:rsidRPr="00BC2BC4">
        <w:rPr>
          <w:kern w:val="2"/>
          <w:sz w:val="20"/>
        </w:rPr>
        <w:t xml:space="preserve"> and implementation and monitoring.</w:t>
      </w:r>
      <w:r w:rsidRPr="00BC2BC4">
        <w:rPr>
          <w:rStyle w:val="FootnoteReference"/>
          <w:kern w:val="2"/>
          <w:sz w:val="20"/>
        </w:rPr>
        <w:footnoteReference w:id="88"/>
      </w:r>
      <w:r w:rsidRPr="00BC2BC4">
        <w:rPr>
          <w:kern w:val="2"/>
          <w:sz w:val="20"/>
        </w:rPr>
        <w:t xml:space="preserve"> These are also the basic stages in the P3 context, although some details vary. </w:t>
      </w:r>
      <w:r w:rsidR="002B2898" w:rsidRPr="00BC2BC4">
        <w:rPr>
          <w:kern w:val="2"/>
          <w:sz w:val="20"/>
        </w:rPr>
        <w:t>T</w:t>
      </w:r>
      <w:r w:rsidRPr="00BC2BC4">
        <w:rPr>
          <w:kern w:val="2"/>
          <w:sz w:val="20"/>
        </w:rPr>
        <w:t xml:space="preserve">here can be many parties involved throughout the various stages of the bidding process. The bidder is the party or individual responding to the call for bids in </w:t>
      </w:r>
      <w:r w:rsidR="004A5E0A" w:rsidRPr="00BC2BC4">
        <w:rPr>
          <w:kern w:val="2"/>
          <w:sz w:val="20"/>
        </w:rPr>
        <w:t xml:space="preserve">the </w:t>
      </w:r>
      <w:r w:rsidRPr="00BC2BC4">
        <w:rPr>
          <w:kern w:val="2"/>
          <w:sz w:val="20"/>
        </w:rPr>
        <w:t xml:space="preserve">hope of </w:t>
      </w:r>
      <w:r w:rsidR="00DD5BD1" w:rsidRPr="00BC2BC4">
        <w:rPr>
          <w:kern w:val="2"/>
          <w:sz w:val="20"/>
        </w:rPr>
        <w:t>winning</w:t>
      </w:r>
      <w:r w:rsidRPr="00BC2BC4">
        <w:rPr>
          <w:kern w:val="2"/>
          <w:sz w:val="20"/>
        </w:rPr>
        <w:t xml:space="preserve"> the contract. </w:t>
      </w:r>
      <w:r w:rsidR="000F096E" w:rsidRPr="00BC2BC4">
        <w:rPr>
          <w:kern w:val="2"/>
          <w:sz w:val="20"/>
        </w:rPr>
        <w:t>T</w:t>
      </w:r>
      <w:r w:rsidR="00B56F20" w:rsidRPr="00BC2BC4">
        <w:rPr>
          <w:kern w:val="2"/>
          <w:sz w:val="20"/>
        </w:rPr>
        <w:t>h</w:t>
      </w:r>
      <w:r w:rsidR="00EF7A76" w:rsidRPr="00BC2BC4">
        <w:rPr>
          <w:kern w:val="2"/>
          <w:sz w:val="20"/>
        </w:rPr>
        <w:t>e</w:t>
      </w:r>
      <w:r w:rsidR="00B56F20" w:rsidRPr="00BC2BC4">
        <w:rPr>
          <w:kern w:val="2"/>
          <w:sz w:val="20"/>
        </w:rPr>
        <w:t xml:space="preserve"> </w:t>
      </w:r>
      <w:r w:rsidR="00EF7A76" w:rsidRPr="00BC2BC4">
        <w:rPr>
          <w:kern w:val="2"/>
          <w:sz w:val="20"/>
        </w:rPr>
        <w:t>next section</w:t>
      </w:r>
      <w:r w:rsidR="00B56F20" w:rsidRPr="00BC2BC4">
        <w:rPr>
          <w:kern w:val="2"/>
          <w:sz w:val="20"/>
        </w:rPr>
        <w:t xml:space="preserve"> will focus on situations in which a government entity or official is the party requesting tenders. </w:t>
      </w:r>
      <w:r w:rsidRPr="00BC2BC4">
        <w:rPr>
          <w:kern w:val="2"/>
          <w:sz w:val="20"/>
        </w:rPr>
        <w:t xml:space="preserve">Other stakeholders can include contractors, engineers, agents, sub-contractors and suppliers. The </w:t>
      </w:r>
      <w:r w:rsidR="00E6390D" w:rsidRPr="00BC2BC4">
        <w:rPr>
          <w:kern w:val="2"/>
          <w:sz w:val="20"/>
        </w:rPr>
        <w:t xml:space="preserve">following </w:t>
      </w:r>
      <w:r w:rsidRPr="00BC2BC4">
        <w:rPr>
          <w:kern w:val="2"/>
          <w:sz w:val="20"/>
        </w:rPr>
        <w:t xml:space="preserve">four stages </w:t>
      </w:r>
      <w:r w:rsidR="00E6390D" w:rsidRPr="00BC2BC4">
        <w:rPr>
          <w:kern w:val="2"/>
          <w:sz w:val="20"/>
        </w:rPr>
        <w:t xml:space="preserve">briefly describe </w:t>
      </w:r>
      <w:r w:rsidRPr="00BC2BC4">
        <w:rPr>
          <w:kern w:val="2"/>
          <w:sz w:val="20"/>
        </w:rPr>
        <w:t>the procurement process:</w:t>
      </w:r>
    </w:p>
    <w:p w14:paraId="1650BFB5" w14:textId="571D93AB" w:rsidR="00817799" w:rsidRPr="00BC2BC4" w:rsidRDefault="00817799" w:rsidP="00A75BC0">
      <w:pPr>
        <w:pStyle w:val="ListParagraph"/>
        <w:numPr>
          <w:ilvl w:val="0"/>
          <w:numId w:val="30"/>
        </w:numPr>
        <w:spacing w:after="240"/>
        <w:rPr>
          <w:kern w:val="2"/>
          <w:sz w:val="20"/>
        </w:rPr>
      </w:pPr>
      <w:r w:rsidRPr="00BC2BC4">
        <w:rPr>
          <w:b/>
          <w:kern w:val="2"/>
          <w:sz w:val="20"/>
        </w:rPr>
        <w:t>Planning</w:t>
      </w:r>
      <w:r w:rsidRPr="00BC2BC4">
        <w:rPr>
          <w:kern w:val="2"/>
          <w:sz w:val="20"/>
        </w:rPr>
        <w:t>: This stage involves needs assessment, advertising, the production of bidding documents, and the formation of a procurement plan.</w:t>
      </w:r>
      <w:r w:rsidRPr="00BC2BC4">
        <w:rPr>
          <w:rStyle w:val="FootnoteReference"/>
          <w:kern w:val="2"/>
          <w:sz w:val="20"/>
        </w:rPr>
        <w:footnoteReference w:id="89"/>
      </w:r>
      <w:r w:rsidRPr="00BC2BC4">
        <w:rPr>
          <w:kern w:val="2"/>
          <w:sz w:val="20"/>
        </w:rPr>
        <w:t xml:space="preserve"> At this stage, the government assesses what is necessary to serve the public interest, </w:t>
      </w:r>
      <w:r w:rsidR="00307670" w:rsidRPr="00BC2BC4">
        <w:rPr>
          <w:kern w:val="2"/>
          <w:sz w:val="20"/>
        </w:rPr>
        <w:t xml:space="preserve">with </w:t>
      </w:r>
      <w:r w:rsidRPr="00BC2BC4">
        <w:rPr>
          <w:kern w:val="2"/>
          <w:sz w:val="20"/>
        </w:rPr>
        <w:t>consideration to factors such as cost and timeliness.</w:t>
      </w:r>
      <w:r w:rsidRPr="00BC2BC4">
        <w:rPr>
          <w:rStyle w:val="FootnoteReference"/>
          <w:kern w:val="2"/>
          <w:sz w:val="20"/>
        </w:rPr>
        <w:footnoteReference w:id="90"/>
      </w:r>
      <w:r w:rsidRPr="00BC2BC4">
        <w:rPr>
          <w:kern w:val="2"/>
          <w:sz w:val="20"/>
        </w:rPr>
        <w:t xml:space="preserve"> The administrative and technical documents needed for launching the call for bids are prepared.</w:t>
      </w:r>
      <w:r w:rsidRPr="00BC2BC4">
        <w:rPr>
          <w:rStyle w:val="FootnoteReference"/>
          <w:kern w:val="2"/>
          <w:sz w:val="20"/>
        </w:rPr>
        <w:footnoteReference w:id="91"/>
      </w:r>
    </w:p>
    <w:p w14:paraId="32D75361" w14:textId="1850FE7D" w:rsidR="00817799" w:rsidRPr="00BC2BC4" w:rsidRDefault="00817799" w:rsidP="00A75BC0">
      <w:pPr>
        <w:pStyle w:val="ListParagraph"/>
        <w:numPr>
          <w:ilvl w:val="0"/>
          <w:numId w:val="30"/>
        </w:numPr>
        <w:rPr>
          <w:kern w:val="2"/>
          <w:sz w:val="20"/>
        </w:rPr>
      </w:pPr>
      <w:r w:rsidRPr="00BC2BC4">
        <w:rPr>
          <w:b/>
          <w:kern w:val="2"/>
          <w:sz w:val="20"/>
        </w:rPr>
        <w:t>Bidding</w:t>
      </w:r>
      <w:r w:rsidRPr="00BC2BC4">
        <w:rPr>
          <w:kern w:val="2"/>
          <w:sz w:val="20"/>
        </w:rPr>
        <w:t>: Candidates are short-listed, the government holds pre-bid conferences, the bids are submitted</w:t>
      </w:r>
      <w:r w:rsidR="000465A1" w:rsidRPr="00BC2BC4">
        <w:rPr>
          <w:kern w:val="2"/>
          <w:sz w:val="20"/>
        </w:rPr>
        <w:t>,</w:t>
      </w:r>
      <w:r w:rsidRPr="00BC2BC4">
        <w:rPr>
          <w:kern w:val="2"/>
          <w:sz w:val="20"/>
        </w:rPr>
        <w:t xml:space="preserve"> and questions about the respective bids are clarified.</w:t>
      </w:r>
      <w:r w:rsidRPr="00BC2BC4">
        <w:rPr>
          <w:rStyle w:val="FootnoteReference"/>
          <w:kern w:val="2"/>
          <w:sz w:val="20"/>
        </w:rPr>
        <w:footnoteReference w:id="92"/>
      </w:r>
      <w:r w:rsidRPr="00BC2BC4">
        <w:rPr>
          <w:kern w:val="2"/>
          <w:sz w:val="20"/>
        </w:rPr>
        <w:t xml:space="preserve"> There are various types of bidding procedures that may be employed at this stage. For example, Public Works and Government Services Canada (PWGSC) uses two bidding approaches</w:t>
      </w:r>
      <w:r w:rsidR="00B56F20" w:rsidRPr="00BC2BC4">
        <w:rPr>
          <w:kern w:val="2"/>
          <w:sz w:val="20"/>
        </w:rPr>
        <w:t>:</w:t>
      </w:r>
      <w:r w:rsidRPr="00BC2BC4">
        <w:rPr>
          <w:kern w:val="2"/>
          <w:sz w:val="20"/>
        </w:rPr>
        <w:t xml:space="preserve"> tenders and proposal calls.</w:t>
      </w:r>
      <w:r w:rsidRPr="00BC2BC4">
        <w:rPr>
          <w:rStyle w:val="FootnoteReference"/>
          <w:kern w:val="2"/>
          <w:sz w:val="20"/>
        </w:rPr>
        <w:footnoteReference w:id="93"/>
      </w:r>
      <w:r w:rsidRPr="00BC2BC4">
        <w:rPr>
          <w:kern w:val="2"/>
          <w:sz w:val="20"/>
        </w:rPr>
        <w:t xml:space="preserve"> In the tender process, the government will solicit tenders through an Invitation to Tender (ITT) or Request for Quotation (RFQ).</w:t>
      </w:r>
      <w:r w:rsidRPr="00BC2BC4">
        <w:rPr>
          <w:rStyle w:val="FootnoteReference"/>
          <w:kern w:val="2"/>
          <w:sz w:val="20"/>
        </w:rPr>
        <w:footnoteReference w:id="94"/>
      </w:r>
      <w:r w:rsidRPr="00BC2BC4">
        <w:rPr>
          <w:kern w:val="2"/>
          <w:sz w:val="20"/>
        </w:rPr>
        <w:t xml:space="preserve"> Tenders are used when the government is searching for technical compliance with contract requirements and the lowest acceptable price for a specifically defined project.</w:t>
      </w:r>
      <w:r w:rsidRPr="00BC2BC4">
        <w:rPr>
          <w:rStyle w:val="FootnoteReference"/>
          <w:kern w:val="2"/>
          <w:sz w:val="20"/>
        </w:rPr>
        <w:footnoteReference w:id="95"/>
      </w:r>
      <w:r w:rsidRPr="00BC2BC4">
        <w:rPr>
          <w:kern w:val="2"/>
          <w:sz w:val="20"/>
        </w:rPr>
        <w:t xml:space="preserve"> On the other hand, when using the call for proposals approach, the government will issue a Request for Proposal (RFP), Request for Standing Offer (RFSO), or Request for Supply Arrangement (RFSA). Proposal calls—particularly RFPs—are used for complex or lengthy construction projects, and are most likely to be used in the P3 context.</w:t>
      </w:r>
      <w:r w:rsidRPr="00BC2BC4">
        <w:rPr>
          <w:rStyle w:val="FootnoteReference"/>
          <w:kern w:val="2"/>
          <w:sz w:val="20"/>
        </w:rPr>
        <w:footnoteReference w:id="96"/>
      </w:r>
      <w:r w:rsidRPr="00BC2BC4">
        <w:rPr>
          <w:kern w:val="2"/>
          <w:sz w:val="20"/>
        </w:rPr>
        <w:t xml:space="preserve"> Where the government is contemplating a P3, a Request for Qualifications (RFQu) </w:t>
      </w:r>
      <w:r w:rsidR="00A40984" w:rsidRPr="00BC2BC4">
        <w:rPr>
          <w:kern w:val="2"/>
          <w:sz w:val="20"/>
        </w:rPr>
        <w:t xml:space="preserve">is </w:t>
      </w:r>
      <w:r w:rsidRPr="00BC2BC4">
        <w:rPr>
          <w:kern w:val="2"/>
          <w:sz w:val="20"/>
        </w:rPr>
        <w:t>often issued prior to RFPs.</w:t>
      </w:r>
      <w:r w:rsidRPr="00BC2BC4">
        <w:rPr>
          <w:rStyle w:val="FootnoteReference"/>
          <w:kern w:val="2"/>
          <w:sz w:val="20"/>
        </w:rPr>
        <w:footnoteReference w:id="97"/>
      </w:r>
      <w:r w:rsidRPr="00BC2BC4">
        <w:rPr>
          <w:kern w:val="2"/>
          <w:sz w:val="20"/>
        </w:rPr>
        <w:t xml:space="preserve"> RFQus help the government to identify a shortlist of qualified bidders who will be invited to submit proposals at the RFP stage.</w:t>
      </w:r>
    </w:p>
    <w:p w14:paraId="51DB97AA" w14:textId="5EB2D92D" w:rsidR="00DA2BCE" w:rsidRPr="00BC2BC4" w:rsidRDefault="00817799" w:rsidP="00A75BC0">
      <w:pPr>
        <w:pStyle w:val="ListParagraph"/>
        <w:numPr>
          <w:ilvl w:val="0"/>
          <w:numId w:val="30"/>
        </w:numPr>
        <w:rPr>
          <w:kern w:val="2"/>
          <w:sz w:val="20"/>
        </w:rPr>
      </w:pPr>
      <w:r w:rsidRPr="00BC2BC4">
        <w:rPr>
          <w:b/>
          <w:kern w:val="2"/>
          <w:sz w:val="20"/>
        </w:rPr>
        <w:t>Bid</w:t>
      </w:r>
      <w:r w:rsidR="00BC6AF8" w:rsidRPr="00BC2BC4">
        <w:rPr>
          <w:kern w:val="2"/>
          <w:sz w:val="20"/>
        </w:rPr>
        <w:t xml:space="preserve"> </w:t>
      </w:r>
      <w:r w:rsidRPr="00BC2BC4">
        <w:rPr>
          <w:b/>
          <w:kern w:val="2"/>
          <w:sz w:val="20"/>
        </w:rPr>
        <w:t>evaluation</w:t>
      </w:r>
      <w:r w:rsidRPr="00BC2BC4">
        <w:rPr>
          <w:kern w:val="2"/>
          <w:sz w:val="20"/>
        </w:rPr>
        <w:t>: The bids are evaluated, the government compiles a bid evaluation report</w:t>
      </w:r>
      <w:r w:rsidR="00F03737" w:rsidRPr="00BC2BC4">
        <w:rPr>
          <w:kern w:val="2"/>
          <w:sz w:val="20"/>
        </w:rPr>
        <w:t>,</w:t>
      </w:r>
      <w:r w:rsidRPr="00BC2BC4">
        <w:rPr>
          <w:kern w:val="2"/>
          <w:sz w:val="20"/>
        </w:rPr>
        <w:t xml:space="preserve"> and the contract is awarded to the winning bidder.</w:t>
      </w:r>
      <w:r w:rsidRPr="00BC2BC4">
        <w:rPr>
          <w:rStyle w:val="FootnoteReference"/>
          <w:kern w:val="2"/>
          <w:sz w:val="20"/>
        </w:rPr>
        <w:footnoteReference w:id="98"/>
      </w:r>
      <w:r w:rsidRPr="00BC2BC4">
        <w:rPr>
          <w:kern w:val="2"/>
          <w:sz w:val="20"/>
        </w:rPr>
        <w:t xml:space="preserve"> The process by which the bids are evaluated and the contract granted varies according to the bidding approach selected, as well as the governing legislation.</w:t>
      </w:r>
      <w:r w:rsidR="00B56F20" w:rsidRPr="00BC2BC4">
        <w:rPr>
          <w:kern w:val="2"/>
          <w:sz w:val="20"/>
        </w:rPr>
        <w:t xml:space="preserve"> For example, in Canada, PWGSC requires that RFPs be evaluated transparently and that debriefs be provided to losing bidders.</w:t>
      </w:r>
      <w:r w:rsidR="00B56F20" w:rsidRPr="00BC2BC4">
        <w:rPr>
          <w:rStyle w:val="FootnoteReference"/>
          <w:kern w:val="2"/>
          <w:sz w:val="20"/>
        </w:rPr>
        <w:footnoteReference w:id="99"/>
      </w:r>
    </w:p>
    <w:p w14:paraId="705641A0" w14:textId="6CD2CA8B" w:rsidR="00B56F20" w:rsidRPr="00BC2BC4" w:rsidRDefault="00817799" w:rsidP="00A75BC0">
      <w:pPr>
        <w:pStyle w:val="ListParagraph"/>
        <w:numPr>
          <w:ilvl w:val="0"/>
          <w:numId w:val="30"/>
        </w:numPr>
        <w:spacing w:after="240"/>
        <w:rPr>
          <w:kern w:val="2"/>
          <w:sz w:val="20"/>
        </w:rPr>
      </w:pPr>
      <w:r w:rsidRPr="00BC2BC4">
        <w:rPr>
          <w:b/>
          <w:kern w:val="2"/>
          <w:sz w:val="20"/>
        </w:rPr>
        <w:t>Implementation and monitoring</w:t>
      </w:r>
      <w:r w:rsidRPr="00BC2BC4">
        <w:rPr>
          <w:kern w:val="2"/>
          <w:sz w:val="20"/>
        </w:rPr>
        <w:t>: The final contract between the bidder and the government is drafted and implemented, any changes are incorporated, the bidder’s project is monitored and audited, and any appeals are launched.</w:t>
      </w:r>
      <w:r w:rsidRPr="00BC2BC4">
        <w:rPr>
          <w:rStyle w:val="FootnoteReference"/>
          <w:kern w:val="2"/>
          <w:sz w:val="20"/>
        </w:rPr>
        <w:footnoteReference w:id="100"/>
      </w:r>
    </w:p>
    <w:p w14:paraId="36164018" w14:textId="36F6EBD5" w:rsidR="00492A53" w:rsidRPr="00BC2BC4" w:rsidRDefault="00492A53" w:rsidP="00ED3317">
      <w:pPr>
        <w:pStyle w:val="Heading1"/>
        <w:rPr>
          <w:sz w:val="28"/>
        </w:rPr>
      </w:pPr>
      <w:bookmarkStart w:id="28" w:name="_Toc424485022"/>
      <w:bookmarkStart w:id="29" w:name="_Toc502666012"/>
      <w:r w:rsidRPr="00BC2BC4">
        <w:rPr>
          <w:sz w:val="28"/>
        </w:rPr>
        <w:t>Hallmarks of</w:t>
      </w:r>
      <w:r w:rsidR="00327303" w:rsidRPr="00BC2BC4">
        <w:rPr>
          <w:sz w:val="28"/>
        </w:rPr>
        <w:t xml:space="preserve"> </w:t>
      </w:r>
      <w:r w:rsidR="0055134D" w:rsidRPr="00BC2BC4">
        <w:rPr>
          <w:sz w:val="28"/>
        </w:rPr>
        <w:t>a</w:t>
      </w:r>
      <w:r w:rsidR="00327303" w:rsidRPr="00BC2BC4">
        <w:rPr>
          <w:sz w:val="28"/>
        </w:rPr>
        <w:t xml:space="preserve"> Good Procurement System</w:t>
      </w:r>
      <w:bookmarkEnd w:id="28"/>
      <w:bookmarkEnd w:id="29"/>
    </w:p>
    <w:p w14:paraId="0F7B9DE9" w14:textId="5FCF0C29" w:rsidR="003F43ED" w:rsidRPr="00BC2BC4" w:rsidRDefault="00492A53" w:rsidP="003F14E9">
      <w:pPr>
        <w:rPr>
          <w:rFonts w:cs="Times New Roman"/>
          <w:kern w:val="2"/>
          <w:sz w:val="20"/>
        </w:rPr>
      </w:pPr>
      <w:r w:rsidRPr="00BC2BC4">
        <w:rPr>
          <w:rFonts w:cs="Times New Roman"/>
          <w:kern w:val="2"/>
          <w:sz w:val="20"/>
        </w:rPr>
        <w:t xml:space="preserve">Governments have many goals in </w:t>
      </w:r>
      <w:r w:rsidR="00226CC4" w:rsidRPr="00BC2BC4">
        <w:rPr>
          <w:rFonts w:cs="Times New Roman"/>
          <w:kern w:val="2"/>
          <w:sz w:val="20"/>
        </w:rPr>
        <w:t xml:space="preserve">enacting </w:t>
      </w:r>
      <w:r w:rsidRPr="00BC2BC4">
        <w:rPr>
          <w:rFonts w:cs="Times New Roman"/>
          <w:kern w:val="2"/>
          <w:sz w:val="20"/>
        </w:rPr>
        <w:t>public procurement law</w:t>
      </w:r>
      <w:r w:rsidR="00226CC4" w:rsidRPr="00BC2BC4">
        <w:rPr>
          <w:rFonts w:cs="Times New Roman"/>
          <w:kern w:val="2"/>
          <w:sz w:val="20"/>
        </w:rPr>
        <w:t>s</w:t>
      </w:r>
      <w:r w:rsidR="00F002E6" w:rsidRPr="00BC2BC4">
        <w:rPr>
          <w:rFonts w:cs="Times New Roman"/>
          <w:kern w:val="2"/>
          <w:sz w:val="20"/>
        </w:rPr>
        <w:t>,</w:t>
      </w:r>
      <w:r w:rsidR="00F002E6" w:rsidRPr="00BC2BC4">
        <w:rPr>
          <w:rFonts w:cs="Times New Roman"/>
          <w:i/>
          <w:kern w:val="2"/>
          <w:sz w:val="20"/>
        </w:rPr>
        <w:t xml:space="preserve"> </w:t>
      </w:r>
      <w:r w:rsidR="00CD23C5" w:rsidRPr="00BC2BC4">
        <w:rPr>
          <w:rFonts w:cs="Times New Roman"/>
          <w:kern w:val="2"/>
          <w:sz w:val="20"/>
        </w:rPr>
        <w:t>including</w:t>
      </w:r>
      <w:r w:rsidR="00327303" w:rsidRPr="00BC2BC4">
        <w:rPr>
          <w:rFonts w:cs="Times New Roman"/>
          <w:kern w:val="2"/>
          <w:sz w:val="20"/>
        </w:rPr>
        <w:t xml:space="preserve"> </w:t>
      </w:r>
      <w:r w:rsidR="00226CC4" w:rsidRPr="00BC2BC4">
        <w:rPr>
          <w:rFonts w:cs="Times New Roman"/>
          <w:kern w:val="2"/>
          <w:sz w:val="20"/>
        </w:rPr>
        <w:t xml:space="preserve">fair </w:t>
      </w:r>
      <w:r w:rsidR="00327303" w:rsidRPr="00BC2BC4">
        <w:rPr>
          <w:rFonts w:cs="Times New Roman"/>
          <w:kern w:val="2"/>
          <w:sz w:val="20"/>
        </w:rPr>
        <w:t>competition, integrity, transparency, efficiency, customer satisfaction, best value, wealth distribution, risk avoidance</w:t>
      </w:r>
      <w:r w:rsidR="005E0953" w:rsidRPr="00BC2BC4">
        <w:rPr>
          <w:rFonts w:cs="Times New Roman"/>
          <w:kern w:val="2"/>
          <w:sz w:val="20"/>
        </w:rPr>
        <w:t>,</w:t>
      </w:r>
      <w:r w:rsidR="00327303" w:rsidRPr="00BC2BC4">
        <w:rPr>
          <w:rFonts w:cs="Times New Roman"/>
          <w:kern w:val="2"/>
          <w:sz w:val="20"/>
        </w:rPr>
        <w:t xml:space="preserve"> and uniformity</w:t>
      </w:r>
      <w:r w:rsidR="00226CC4" w:rsidRPr="00BC2BC4">
        <w:rPr>
          <w:rFonts w:cs="Times New Roman"/>
          <w:kern w:val="2"/>
          <w:sz w:val="20"/>
        </w:rPr>
        <w:t>. Competition, integrity and transparency are often viewed as most important</w:t>
      </w:r>
      <w:r w:rsidRPr="00BC2BC4">
        <w:rPr>
          <w:rFonts w:cs="Times New Roman"/>
          <w:kern w:val="2"/>
          <w:sz w:val="20"/>
        </w:rPr>
        <w:t>.</w:t>
      </w:r>
      <w:r w:rsidRPr="00BC2BC4">
        <w:rPr>
          <w:rStyle w:val="FootnoteReference"/>
          <w:rFonts w:cs="Times New Roman"/>
          <w:kern w:val="2"/>
          <w:sz w:val="20"/>
        </w:rPr>
        <w:footnoteReference w:id="101"/>
      </w:r>
      <w:r w:rsidRPr="00BC2BC4">
        <w:rPr>
          <w:rFonts w:cs="Times New Roman"/>
          <w:kern w:val="2"/>
          <w:sz w:val="20"/>
        </w:rPr>
        <w:t xml:space="preserve"> </w:t>
      </w:r>
    </w:p>
    <w:p w14:paraId="1D4FE4D6" w14:textId="578AE096" w:rsidR="003F43ED" w:rsidRPr="00BC2BC4" w:rsidRDefault="003F43ED" w:rsidP="000A7168">
      <w:pPr>
        <w:pStyle w:val="Heading2"/>
        <w:rPr>
          <w:kern w:val="2"/>
          <w:sz w:val="24"/>
        </w:rPr>
      </w:pPr>
      <w:r w:rsidRPr="00BC2BC4">
        <w:rPr>
          <w:kern w:val="2"/>
          <w:sz w:val="24"/>
        </w:rPr>
        <w:t>Transparency</w:t>
      </w:r>
    </w:p>
    <w:p w14:paraId="0EA59856" w14:textId="18B04B22" w:rsidR="00492A53" w:rsidRPr="00BC2BC4" w:rsidRDefault="00492A53" w:rsidP="003F14E9">
      <w:pPr>
        <w:rPr>
          <w:rFonts w:cs="Times New Roman"/>
          <w:kern w:val="2"/>
          <w:sz w:val="20"/>
        </w:rPr>
      </w:pPr>
      <w:r w:rsidRPr="00BC2BC4">
        <w:rPr>
          <w:rFonts w:cs="Times New Roman"/>
          <w:kern w:val="2"/>
          <w:sz w:val="20"/>
        </w:rPr>
        <w:t xml:space="preserve">Transparency is important because it reduces the risk of </w:t>
      </w:r>
      <w:r w:rsidR="00F53F08" w:rsidRPr="00BC2BC4">
        <w:rPr>
          <w:rFonts w:cs="Times New Roman"/>
          <w:kern w:val="2"/>
          <w:sz w:val="20"/>
        </w:rPr>
        <w:t xml:space="preserve">corruption and </w:t>
      </w:r>
      <w:r w:rsidRPr="00BC2BC4">
        <w:rPr>
          <w:rFonts w:cs="Times New Roman"/>
          <w:kern w:val="2"/>
          <w:sz w:val="20"/>
        </w:rPr>
        <w:t>bribe</w:t>
      </w:r>
      <w:r w:rsidR="00584CC5" w:rsidRPr="00BC2BC4">
        <w:rPr>
          <w:rFonts w:cs="Times New Roman"/>
          <w:kern w:val="2"/>
          <w:sz w:val="20"/>
        </w:rPr>
        <w:t>ry by</w:t>
      </w:r>
      <w:r w:rsidRPr="00BC2BC4">
        <w:rPr>
          <w:rFonts w:cs="Times New Roman"/>
          <w:kern w:val="2"/>
          <w:sz w:val="20"/>
        </w:rPr>
        <w:t xml:space="preserve"> opening up the procurement process to monitoring, review, comment and influence by stakeholders.</w:t>
      </w:r>
      <w:r w:rsidRPr="00BC2BC4">
        <w:rPr>
          <w:rStyle w:val="FootnoteReference"/>
          <w:rFonts w:cs="Times New Roman"/>
          <w:kern w:val="2"/>
          <w:sz w:val="20"/>
        </w:rPr>
        <w:footnoteReference w:id="102"/>
      </w:r>
      <w:r w:rsidR="00327303" w:rsidRPr="00BC2BC4">
        <w:rPr>
          <w:rFonts w:cs="Times New Roman"/>
          <w:kern w:val="2"/>
          <w:sz w:val="20"/>
        </w:rPr>
        <w:t xml:space="preserve"> </w:t>
      </w:r>
      <w:r w:rsidRPr="00BC2BC4">
        <w:rPr>
          <w:rFonts w:cs="Times New Roman"/>
          <w:iCs/>
          <w:kern w:val="2"/>
          <w:sz w:val="20"/>
        </w:rPr>
        <w:t xml:space="preserve">Transparency was explained </w:t>
      </w:r>
      <w:r w:rsidR="00815A47" w:rsidRPr="00BC2BC4">
        <w:rPr>
          <w:rFonts w:cs="Times New Roman"/>
          <w:iCs/>
          <w:kern w:val="2"/>
          <w:sz w:val="20"/>
        </w:rPr>
        <w:t>at</w:t>
      </w:r>
      <w:r w:rsidRPr="00BC2BC4">
        <w:rPr>
          <w:rFonts w:cs="Times New Roman"/>
          <w:iCs/>
          <w:kern w:val="2"/>
          <w:sz w:val="20"/>
        </w:rPr>
        <w:t xml:space="preserve"> the </w:t>
      </w:r>
      <w:r w:rsidR="00CC5A14" w:rsidRPr="00BC2BC4">
        <w:rPr>
          <w:rFonts w:cs="Times New Roman"/>
          <w:iCs/>
          <w:kern w:val="2"/>
          <w:sz w:val="20"/>
        </w:rPr>
        <w:t xml:space="preserve">1999 </w:t>
      </w:r>
      <w:r w:rsidR="00815A47" w:rsidRPr="00BC2BC4">
        <w:rPr>
          <w:rFonts w:cs="Times New Roman"/>
          <w:iCs/>
          <w:kern w:val="2"/>
          <w:sz w:val="20"/>
        </w:rPr>
        <w:t xml:space="preserve">International Anti-Corruption Conference </w:t>
      </w:r>
      <w:r w:rsidRPr="00BC2BC4">
        <w:rPr>
          <w:rFonts w:cs="Times New Roman"/>
          <w:iCs/>
          <w:kern w:val="2"/>
          <w:sz w:val="20"/>
        </w:rPr>
        <w:t>as:</w:t>
      </w:r>
    </w:p>
    <w:p w14:paraId="01D1D6E4" w14:textId="6265BCAC" w:rsidR="00492A53" w:rsidRPr="00BC2BC4" w:rsidRDefault="00815A47" w:rsidP="000A7168">
      <w:pPr>
        <w:pStyle w:val="BlockQuote"/>
        <w:rPr>
          <w:kern w:val="2"/>
          <w:sz w:val="20"/>
        </w:rPr>
      </w:pPr>
      <w:r w:rsidRPr="00BC2BC4">
        <w:rPr>
          <w:kern w:val="2"/>
          <w:sz w:val="20"/>
        </w:rPr>
        <w:t xml:space="preserve">Transparency, in the context of public procurement, refers to the ability of all interested participants to know and understand the actual means and processes by which contracts are awarded and managed. </w:t>
      </w:r>
      <w:r w:rsidR="00492A53" w:rsidRPr="00BC2BC4">
        <w:rPr>
          <w:kern w:val="2"/>
          <w:sz w:val="20"/>
        </w:rPr>
        <w:t>Transparency is a central characteristic of a sound and efficient public procurement system and is characterised by well-defined regulations and procedures open to public scrutiny, clear standardised tender documents, bidding and tender documents containing complete information, and equal opportunity for all in the bidding process.</w:t>
      </w:r>
      <w:r w:rsidRPr="00BC2BC4">
        <w:rPr>
          <w:color w:val="000000"/>
          <w:kern w:val="2"/>
          <w:sz w:val="20"/>
          <w:shd w:val="clear" w:color="auto" w:fill="FFFFFF"/>
        </w:rPr>
        <w:t xml:space="preserve"> </w:t>
      </w:r>
      <w:r w:rsidRPr="00BC2BC4">
        <w:rPr>
          <w:kern w:val="2"/>
          <w:sz w:val="20"/>
        </w:rPr>
        <w:t>In other words, transparency means the same rules apply to all bidders and that these rules are publicised as the basis for procurement decisions prior to their actual use.</w:t>
      </w:r>
      <w:r w:rsidR="00813A7D" w:rsidRPr="00BC2BC4">
        <w:rPr>
          <w:rStyle w:val="FootnoteReference"/>
          <w:rFonts w:cs="Times New Roman"/>
          <w:kern w:val="2"/>
          <w:sz w:val="20"/>
          <w:szCs w:val="21"/>
        </w:rPr>
        <w:footnoteReference w:id="103"/>
      </w:r>
    </w:p>
    <w:p w14:paraId="5CFBC200" w14:textId="551705BF" w:rsidR="00793E47" w:rsidRPr="00BC2BC4" w:rsidRDefault="009A4002" w:rsidP="000A7168">
      <w:pPr>
        <w:rPr>
          <w:kern w:val="2"/>
          <w:sz w:val="20"/>
        </w:rPr>
      </w:pPr>
      <w:r w:rsidRPr="00BC2BC4">
        <w:rPr>
          <w:kern w:val="2"/>
          <w:sz w:val="20"/>
        </w:rPr>
        <w:t xml:space="preserve">Former </w:t>
      </w:r>
      <w:r w:rsidR="00793E47" w:rsidRPr="00BC2BC4">
        <w:rPr>
          <w:kern w:val="2"/>
          <w:sz w:val="20"/>
        </w:rPr>
        <w:t>Secretary-Genera</w:t>
      </w:r>
      <w:r w:rsidR="001B2626" w:rsidRPr="00BC2BC4">
        <w:rPr>
          <w:kern w:val="2"/>
          <w:sz w:val="20"/>
        </w:rPr>
        <w:t>l of the United Nations Ban Ki-m</w:t>
      </w:r>
      <w:r w:rsidR="00793E47" w:rsidRPr="00BC2BC4">
        <w:rPr>
          <w:kern w:val="2"/>
          <w:sz w:val="20"/>
        </w:rPr>
        <w:t>oon describes the connection between transparency and public procurement in the following terms:</w:t>
      </w:r>
    </w:p>
    <w:p w14:paraId="25D8D947" w14:textId="3B2C0BBB" w:rsidR="00793E47" w:rsidRPr="00BC2BC4" w:rsidRDefault="00793E47" w:rsidP="000A7168">
      <w:pPr>
        <w:pStyle w:val="BlockQuote"/>
        <w:rPr>
          <w:kern w:val="2"/>
          <w:sz w:val="20"/>
        </w:rPr>
      </w:pPr>
      <w:r w:rsidRPr="00BC2BC4">
        <w:rPr>
          <w:kern w:val="2"/>
          <w:sz w:val="20"/>
        </w:rPr>
        <w:t>Transparency is a core principle of high-quality public procurement. An open and transparent procurement process improves competition, increases efficiency and reduces the threat of unfairness or corruption. A robust transparency regime enables people to hold public bodies and politicians to account, thereby instilling trust in a nation’s institutions. Transparency also supports the wise use of limited development funds, from planning investments in advance to measuring the results.</w:t>
      </w:r>
      <w:r w:rsidRPr="00BC2BC4">
        <w:rPr>
          <w:rStyle w:val="FootnoteReference"/>
          <w:rFonts w:cs="Times New Roman"/>
          <w:kern w:val="2"/>
          <w:sz w:val="20"/>
          <w:szCs w:val="21"/>
        </w:rPr>
        <w:footnoteReference w:id="104"/>
      </w:r>
    </w:p>
    <w:p w14:paraId="5CA89841" w14:textId="7F14F907" w:rsidR="00934B9D" w:rsidRPr="00BC2BC4" w:rsidRDefault="001940F9" w:rsidP="000A7168">
      <w:pPr>
        <w:rPr>
          <w:kern w:val="2"/>
          <w:sz w:val="20"/>
        </w:rPr>
      </w:pPr>
      <w:r w:rsidRPr="00BC2BC4">
        <w:rPr>
          <w:kern w:val="2"/>
          <w:sz w:val="20"/>
        </w:rPr>
        <w:t xml:space="preserve">Transparency in public procurement can </w:t>
      </w:r>
      <w:r w:rsidR="00934B9D" w:rsidRPr="00BC2BC4">
        <w:rPr>
          <w:kern w:val="2"/>
          <w:sz w:val="20"/>
        </w:rPr>
        <w:t>be enhanced by implementing</w:t>
      </w:r>
      <w:r w:rsidRPr="00BC2BC4">
        <w:rPr>
          <w:kern w:val="2"/>
          <w:sz w:val="20"/>
        </w:rPr>
        <w:t xml:space="preserve"> a number </w:t>
      </w:r>
      <w:r w:rsidR="00934B9D" w:rsidRPr="00BC2BC4">
        <w:rPr>
          <w:kern w:val="2"/>
          <w:sz w:val="20"/>
        </w:rPr>
        <w:t xml:space="preserve">of </w:t>
      </w:r>
      <w:r w:rsidRPr="00BC2BC4">
        <w:rPr>
          <w:kern w:val="2"/>
          <w:sz w:val="20"/>
        </w:rPr>
        <w:t>best practices, including</w:t>
      </w:r>
      <w:r w:rsidR="00934B9D" w:rsidRPr="00BC2BC4">
        <w:rPr>
          <w:kern w:val="2"/>
          <w:sz w:val="20"/>
        </w:rPr>
        <w:t>:</w:t>
      </w:r>
      <w:r w:rsidRPr="00BC2BC4">
        <w:rPr>
          <w:kern w:val="2"/>
          <w:sz w:val="20"/>
        </w:rPr>
        <w:t xml:space="preserve"> </w:t>
      </w:r>
    </w:p>
    <w:p w14:paraId="0BD3667F" w14:textId="10EABC08" w:rsidR="00934B9D" w:rsidRPr="00BC2BC4" w:rsidRDefault="00934B9D" w:rsidP="00A75BC0">
      <w:pPr>
        <w:pStyle w:val="ListParagraph"/>
        <w:numPr>
          <w:ilvl w:val="0"/>
          <w:numId w:val="15"/>
        </w:numPr>
        <w:rPr>
          <w:kern w:val="2"/>
          <w:sz w:val="20"/>
        </w:rPr>
      </w:pPr>
      <w:r w:rsidRPr="00BC2BC4">
        <w:rPr>
          <w:kern w:val="2"/>
          <w:sz w:val="20"/>
        </w:rPr>
        <w:t>publishing procurement policies;</w:t>
      </w:r>
      <w:r w:rsidR="001940F9" w:rsidRPr="00BC2BC4">
        <w:rPr>
          <w:kern w:val="2"/>
          <w:sz w:val="20"/>
        </w:rPr>
        <w:t xml:space="preserve"> </w:t>
      </w:r>
    </w:p>
    <w:p w14:paraId="2051C23C" w14:textId="28691AC0" w:rsidR="00934B9D" w:rsidRPr="00BC2BC4" w:rsidRDefault="001940F9" w:rsidP="00A75BC0">
      <w:pPr>
        <w:pStyle w:val="ListParagraph"/>
        <w:numPr>
          <w:ilvl w:val="0"/>
          <w:numId w:val="15"/>
        </w:numPr>
        <w:rPr>
          <w:kern w:val="2"/>
          <w:sz w:val="20"/>
        </w:rPr>
      </w:pPr>
      <w:r w:rsidRPr="00BC2BC4">
        <w:rPr>
          <w:kern w:val="2"/>
          <w:sz w:val="20"/>
        </w:rPr>
        <w:t>advance</w:t>
      </w:r>
      <w:r w:rsidR="00E123E0" w:rsidRPr="00BC2BC4">
        <w:rPr>
          <w:kern w:val="2"/>
          <w:sz w:val="20"/>
        </w:rPr>
        <w:t xml:space="preserve"> publication of procurement </w:t>
      </w:r>
      <w:r w:rsidRPr="00BC2BC4">
        <w:rPr>
          <w:kern w:val="2"/>
          <w:sz w:val="20"/>
        </w:rPr>
        <w:t>plans</w:t>
      </w:r>
      <w:r w:rsidR="00934B9D" w:rsidRPr="00BC2BC4">
        <w:rPr>
          <w:kern w:val="2"/>
          <w:sz w:val="20"/>
        </w:rPr>
        <w:t>;</w:t>
      </w:r>
    </w:p>
    <w:p w14:paraId="28F6DC92" w14:textId="0B173C6F" w:rsidR="00934B9D" w:rsidRPr="00BC2BC4" w:rsidRDefault="001940F9" w:rsidP="00A75BC0">
      <w:pPr>
        <w:pStyle w:val="ListParagraph"/>
        <w:numPr>
          <w:ilvl w:val="0"/>
          <w:numId w:val="15"/>
        </w:numPr>
        <w:rPr>
          <w:kern w:val="2"/>
          <w:sz w:val="20"/>
        </w:rPr>
      </w:pPr>
      <w:r w:rsidRPr="00BC2BC4">
        <w:rPr>
          <w:kern w:val="2"/>
          <w:sz w:val="20"/>
        </w:rPr>
        <w:t>advertisement of tender notices</w:t>
      </w:r>
      <w:r w:rsidR="00934B9D" w:rsidRPr="00BC2BC4">
        <w:rPr>
          <w:kern w:val="2"/>
          <w:sz w:val="20"/>
        </w:rPr>
        <w:t>;</w:t>
      </w:r>
      <w:r w:rsidRPr="00BC2BC4">
        <w:rPr>
          <w:kern w:val="2"/>
          <w:sz w:val="20"/>
        </w:rPr>
        <w:t xml:space="preserve"> </w:t>
      </w:r>
    </w:p>
    <w:p w14:paraId="2BC6A180" w14:textId="7286CF4A" w:rsidR="00934B9D" w:rsidRPr="00BC2BC4" w:rsidRDefault="001940F9" w:rsidP="00A75BC0">
      <w:pPr>
        <w:pStyle w:val="ListParagraph"/>
        <w:numPr>
          <w:ilvl w:val="0"/>
          <w:numId w:val="15"/>
        </w:numPr>
        <w:rPr>
          <w:kern w:val="2"/>
          <w:sz w:val="20"/>
        </w:rPr>
      </w:pPr>
      <w:r w:rsidRPr="00BC2BC4">
        <w:rPr>
          <w:kern w:val="2"/>
          <w:sz w:val="20"/>
        </w:rPr>
        <w:t>disclosure of evaluation criteria in solicitation documents</w:t>
      </w:r>
      <w:r w:rsidR="00934B9D" w:rsidRPr="00BC2BC4">
        <w:rPr>
          <w:kern w:val="2"/>
          <w:sz w:val="20"/>
        </w:rPr>
        <w:t>;</w:t>
      </w:r>
    </w:p>
    <w:p w14:paraId="561AD62E" w14:textId="1A109035" w:rsidR="00934B9D" w:rsidRPr="00BC2BC4" w:rsidRDefault="001940F9" w:rsidP="00A75BC0">
      <w:pPr>
        <w:pStyle w:val="ListParagraph"/>
        <w:numPr>
          <w:ilvl w:val="0"/>
          <w:numId w:val="15"/>
        </w:numPr>
        <w:rPr>
          <w:kern w:val="2"/>
          <w:sz w:val="20"/>
        </w:rPr>
      </w:pPr>
      <w:r w:rsidRPr="00BC2BC4">
        <w:rPr>
          <w:kern w:val="2"/>
          <w:sz w:val="20"/>
        </w:rPr>
        <w:t>publication of contract awards and prices paid</w:t>
      </w:r>
      <w:r w:rsidR="00934B9D" w:rsidRPr="00BC2BC4">
        <w:rPr>
          <w:kern w:val="2"/>
          <w:sz w:val="20"/>
        </w:rPr>
        <w:t>;</w:t>
      </w:r>
    </w:p>
    <w:p w14:paraId="73670C57" w14:textId="0B8F509E" w:rsidR="00934B9D" w:rsidRPr="00BC2BC4" w:rsidRDefault="001940F9" w:rsidP="00A75BC0">
      <w:pPr>
        <w:pStyle w:val="ListParagraph"/>
        <w:numPr>
          <w:ilvl w:val="0"/>
          <w:numId w:val="15"/>
        </w:numPr>
        <w:rPr>
          <w:kern w:val="2"/>
          <w:sz w:val="20"/>
        </w:rPr>
      </w:pPr>
      <w:r w:rsidRPr="00BC2BC4">
        <w:rPr>
          <w:kern w:val="2"/>
          <w:sz w:val="20"/>
        </w:rPr>
        <w:t>establishing appropriate and timely complaint and dispute mechanisms</w:t>
      </w:r>
      <w:r w:rsidR="00934B9D" w:rsidRPr="00BC2BC4">
        <w:rPr>
          <w:kern w:val="2"/>
          <w:sz w:val="20"/>
        </w:rPr>
        <w:t>;</w:t>
      </w:r>
    </w:p>
    <w:p w14:paraId="75A73D57" w14:textId="6D5548E7" w:rsidR="00934B9D" w:rsidRPr="00BC2BC4" w:rsidRDefault="001940F9" w:rsidP="00A75BC0">
      <w:pPr>
        <w:pStyle w:val="ListParagraph"/>
        <w:keepNext/>
        <w:numPr>
          <w:ilvl w:val="0"/>
          <w:numId w:val="15"/>
        </w:numPr>
        <w:ind w:left="714" w:hanging="357"/>
        <w:rPr>
          <w:kern w:val="2"/>
          <w:sz w:val="20"/>
        </w:rPr>
      </w:pPr>
      <w:r w:rsidRPr="00BC2BC4">
        <w:rPr>
          <w:kern w:val="2"/>
          <w:sz w:val="20"/>
        </w:rPr>
        <w:t>implementing financial and conflict of interest disclosure requirements for public procurement o</w:t>
      </w:r>
      <w:r w:rsidR="00934B9D" w:rsidRPr="00BC2BC4">
        <w:rPr>
          <w:kern w:val="2"/>
          <w:sz w:val="20"/>
        </w:rPr>
        <w:t>fficials;</w:t>
      </w:r>
      <w:r w:rsidRPr="00BC2BC4">
        <w:rPr>
          <w:kern w:val="2"/>
          <w:sz w:val="20"/>
        </w:rPr>
        <w:t xml:space="preserve"> and </w:t>
      </w:r>
    </w:p>
    <w:p w14:paraId="4846C75E" w14:textId="2BE91A4F" w:rsidR="001940F9" w:rsidRPr="00BC2BC4" w:rsidRDefault="001940F9" w:rsidP="00A75BC0">
      <w:pPr>
        <w:pStyle w:val="ListParagraph"/>
        <w:numPr>
          <w:ilvl w:val="0"/>
          <w:numId w:val="15"/>
        </w:numPr>
        <w:spacing w:after="240"/>
        <w:rPr>
          <w:kern w:val="2"/>
          <w:sz w:val="20"/>
        </w:rPr>
      </w:pPr>
      <w:r w:rsidRPr="00BC2BC4">
        <w:rPr>
          <w:kern w:val="2"/>
          <w:sz w:val="20"/>
        </w:rPr>
        <w:t>publishing supplier sanction lists.</w:t>
      </w:r>
      <w:r w:rsidRPr="00BC2BC4">
        <w:rPr>
          <w:rStyle w:val="FootnoteReference"/>
          <w:rFonts w:cs="Times New Roman"/>
          <w:kern w:val="2"/>
          <w:sz w:val="20"/>
          <w:szCs w:val="24"/>
        </w:rPr>
        <w:footnoteReference w:id="105"/>
      </w:r>
    </w:p>
    <w:p w14:paraId="7070C96D" w14:textId="7FC326B2" w:rsidR="00226CC4" w:rsidRPr="00BC2BC4" w:rsidRDefault="00C01297" w:rsidP="006B0E35">
      <w:pPr>
        <w:autoSpaceDE w:val="0"/>
        <w:autoSpaceDN w:val="0"/>
        <w:adjustRightInd w:val="0"/>
        <w:spacing w:after="0"/>
        <w:rPr>
          <w:rFonts w:cs="Times New Roman"/>
          <w:iCs/>
          <w:kern w:val="2"/>
          <w:sz w:val="20"/>
          <w:szCs w:val="24"/>
          <w:lang w:val="en-GB"/>
        </w:rPr>
      </w:pPr>
      <w:r w:rsidRPr="00BC2BC4">
        <w:rPr>
          <w:rFonts w:cs="Times New Roman"/>
          <w:kern w:val="2"/>
          <w:sz w:val="20"/>
          <w:szCs w:val="24"/>
        </w:rPr>
        <w:t xml:space="preserve">Transparency </w:t>
      </w:r>
      <w:r w:rsidR="00226CC4" w:rsidRPr="00BC2BC4">
        <w:rPr>
          <w:rFonts w:cs="Times New Roman"/>
          <w:kern w:val="2"/>
          <w:sz w:val="20"/>
          <w:szCs w:val="24"/>
        </w:rPr>
        <w:t xml:space="preserve">encourages public confidence in </w:t>
      </w:r>
      <w:r w:rsidRPr="00BC2BC4">
        <w:rPr>
          <w:rFonts w:cs="Times New Roman"/>
          <w:kern w:val="2"/>
          <w:sz w:val="20"/>
          <w:szCs w:val="24"/>
        </w:rPr>
        <w:t>the proj</w:t>
      </w:r>
      <w:r w:rsidR="00815A47" w:rsidRPr="00BC2BC4">
        <w:rPr>
          <w:rFonts w:cs="Times New Roman"/>
          <w:kern w:val="2"/>
          <w:sz w:val="20"/>
          <w:szCs w:val="24"/>
        </w:rPr>
        <w:t xml:space="preserve">ect, </w:t>
      </w:r>
      <w:r w:rsidR="00226CC4" w:rsidRPr="00BC2BC4">
        <w:rPr>
          <w:rFonts w:cs="Times New Roman"/>
          <w:kern w:val="2"/>
          <w:sz w:val="20"/>
          <w:szCs w:val="24"/>
        </w:rPr>
        <w:t xml:space="preserve">which is </w:t>
      </w:r>
      <w:r w:rsidRPr="00BC2BC4">
        <w:rPr>
          <w:rFonts w:cs="Times New Roman"/>
          <w:kern w:val="2"/>
          <w:sz w:val="20"/>
          <w:szCs w:val="24"/>
        </w:rPr>
        <w:t xml:space="preserve">particularly </w:t>
      </w:r>
      <w:r w:rsidR="00226CC4" w:rsidRPr="00BC2BC4">
        <w:rPr>
          <w:rFonts w:cs="Times New Roman"/>
          <w:kern w:val="2"/>
          <w:sz w:val="20"/>
          <w:szCs w:val="24"/>
        </w:rPr>
        <w:t xml:space="preserve">important </w:t>
      </w:r>
      <w:r w:rsidRPr="00BC2BC4">
        <w:rPr>
          <w:rFonts w:cs="Times New Roman"/>
          <w:kern w:val="2"/>
          <w:sz w:val="20"/>
          <w:szCs w:val="24"/>
        </w:rPr>
        <w:t xml:space="preserve">in a democracy. </w:t>
      </w:r>
      <w:r w:rsidR="00296844" w:rsidRPr="00BC2BC4">
        <w:rPr>
          <w:rFonts w:cs="Times New Roman"/>
          <w:kern w:val="2"/>
          <w:sz w:val="20"/>
          <w:szCs w:val="24"/>
        </w:rPr>
        <w:t xml:space="preserve">Without transparency, corruption is free to continue in the shadows. With transparency, corruption </w:t>
      </w:r>
      <w:r w:rsidR="00960730" w:rsidRPr="00BC2BC4">
        <w:rPr>
          <w:rFonts w:cs="Times New Roman"/>
          <w:kern w:val="2"/>
          <w:sz w:val="20"/>
          <w:szCs w:val="24"/>
        </w:rPr>
        <w:t xml:space="preserve">is </w:t>
      </w:r>
      <w:r w:rsidR="00226CC4" w:rsidRPr="00BC2BC4">
        <w:rPr>
          <w:rFonts w:cs="Times New Roman"/>
          <w:kern w:val="2"/>
          <w:sz w:val="20"/>
          <w:szCs w:val="24"/>
        </w:rPr>
        <w:t>subject to</w:t>
      </w:r>
      <w:r w:rsidR="00960730" w:rsidRPr="00BC2BC4">
        <w:rPr>
          <w:rFonts w:cs="Times New Roman"/>
          <w:kern w:val="2"/>
          <w:sz w:val="20"/>
          <w:szCs w:val="24"/>
        </w:rPr>
        <w:t xml:space="preserve"> the</w:t>
      </w:r>
      <w:r w:rsidR="00296844" w:rsidRPr="00BC2BC4">
        <w:rPr>
          <w:rFonts w:cs="Times New Roman"/>
          <w:kern w:val="2"/>
          <w:sz w:val="20"/>
          <w:szCs w:val="24"/>
        </w:rPr>
        <w:t xml:space="preserve"> glare of public scrutiny.</w:t>
      </w:r>
      <w:r w:rsidR="00960730" w:rsidRPr="00BC2BC4">
        <w:rPr>
          <w:rFonts w:cs="Times New Roman"/>
          <w:iCs/>
          <w:kern w:val="2"/>
          <w:sz w:val="20"/>
          <w:szCs w:val="24"/>
        </w:rPr>
        <w:t xml:space="preserve"> </w:t>
      </w:r>
      <w:r w:rsidR="000217B6" w:rsidRPr="00BC2BC4">
        <w:rPr>
          <w:rFonts w:cs="Times New Roman"/>
          <w:iCs/>
          <w:kern w:val="2"/>
          <w:sz w:val="20"/>
          <w:szCs w:val="24"/>
        </w:rPr>
        <w:t xml:space="preserve">As </w:t>
      </w:r>
      <w:r w:rsidR="000217B6" w:rsidRPr="00BC2BC4">
        <w:rPr>
          <w:rFonts w:cs="Times New Roman"/>
          <w:iCs/>
          <w:kern w:val="2"/>
          <w:sz w:val="20"/>
          <w:szCs w:val="24"/>
          <w:lang w:val="en-GB"/>
        </w:rPr>
        <w:t>Justice Louis Brandeis once wrote, “</w:t>
      </w:r>
      <w:r w:rsidR="00CA41B0" w:rsidRPr="00BC2BC4">
        <w:rPr>
          <w:rFonts w:cs="Times New Roman"/>
          <w:iCs/>
          <w:kern w:val="2"/>
          <w:sz w:val="20"/>
          <w:szCs w:val="24"/>
          <w:lang w:val="en-GB"/>
        </w:rPr>
        <w:t>[s]</w:t>
      </w:r>
      <w:r w:rsidR="000217B6" w:rsidRPr="00BC2BC4">
        <w:rPr>
          <w:rFonts w:cs="Times New Roman"/>
          <w:iCs/>
          <w:kern w:val="2"/>
          <w:sz w:val="20"/>
          <w:szCs w:val="24"/>
          <w:lang w:val="en-GB"/>
        </w:rPr>
        <w:t>unlight is said to be the best of disinfectants</w:t>
      </w:r>
      <w:r w:rsidR="002E4EFB" w:rsidRPr="00BC2BC4">
        <w:rPr>
          <w:rFonts w:cs="Times New Roman"/>
          <w:iCs/>
          <w:kern w:val="2"/>
          <w:sz w:val="20"/>
          <w:szCs w:val="24"/>
          <w:lang w:val="en-GB"/>
        </w:rPr>
        <w:t>.</w:t>
      </w:r>
      <w:r w:rsidR="000217B6" w:rsidRPr="00BC2BC4">
        <w:rPr>
          <w:rFonts w:cs="Times New Roman"/>
          <w:iCs/>
          <w:kern w:val="2"/>
          <w:sz w:val="20"/>
          <w:szCs w:val="24"/>
          <w:lang w:val="en-GB"/>
        </w:rPr>
        <w:t>”</w:t>
      </w:r>
      <w:r w:rsidR="000217B6" w:rsidRPr="00BC2BC4">
        <w:rPr>
          <w:rFonts w:cs="Times New Roman"/>
          <w:iCs/>
          <w:kern w:val="2"/>
          <w:sz w:val="20"/>
          <w:szCs w:val="24"/>
          <w:vertAlign w:val="superscript"/>
          <w:lang w:val="en-GB"/>
        </w:rPr>
        <w:footnoteReference w:id="106"/>
      </w:r>
    </w:p>
    <w:p w14:paraId="7D2BBA1E" w14:textId="77777777" w:rsidR="00421616" w:rsidRPr="00BC2BC4" w:rsidRDefault="00421616" w:rsidP="006B0E35">
      <w:pPr>
        <w:autoSpaceDE w:val="0"/>
        <w:autoSpaceDN w:val="0"/>
        <w:adjustRightInd w:val="0"/>
        <w:spacing w:after="0"/>
        <w:rPr>
          <w:rFonts w:cs="Times New Roman"/>
          <w:iCs/>
          <w:kern w:val="2"/>
          <w:sz w:val="20"/>
          <w:szCs w:val="24"/>
          <w:lang w:val="en-GB"/>
        </w:rPr>
      </w:pPr>
    </w:p>
    <w:p w14:paraId="67F33B98" w14:textId="383454C6" w:rsidR="003F43ED" w:rsidRPr="00BC2BC4" w:rsidRDefault="00421616" w:rsidP="006B0E35">
      <w:pPr>
        <w:autoSpaceDE w:val="0"/>
        <w:autoSpaceDN w:val="0"/>
        <w:adjustRightInd w:val="0"/>
        <w:spacing w:after="0"/>
        <w:rPr>
          <w:rFonts w:cs="Times New Roman"/>
          <w:iCs/>
          <w:kern w:val="2"/>
          <w:sz w:val="20"/>
          <w:szCs w:val="24"/>
        </w:rPr>
      </w:pPr>
      <w:r w:rsidRPr="00BC2BC4">
        <w:rPr>
          <w:rFonts w:cs="Times New Roman"/>
          <w:iCs/>
          <w:kern w:val="2"/>
          <w:sz w:val="20"/>
          <w:szCs w:val="24"/>
        </w:rPr>
        <w:t xml:space="preserve">Although transparency </w:t>
      </w:r>
      <w:r w:rsidR="005B1FB9" w:rsidRPr="00BC2BC4">
        <w:rPr>
          <w:rFonts w:cs="Times New Roman"/>
          <w:iCs/>
          <w:kern w:val="2"/>
          <w:sz w:val="20"/>
          <w:szCs w:val="24"/>
        </w:rPr>
        <w:t>is</w:t>
      </w:r>
      <w:r w:rsidRPr="00BC2BC4">
        <w:rPr>
          <w:rFonts w:cs="Times New Roman"/>
          <w:iCs/>
          <w:kern w:val="2"/>
          <w:sz w:val="20"/>
          <w:szCs w:val="24"/>
        </w:rPr>
        <w:t xml:space="preserve"> recognized as a key condition for promoting integrity and preventing corruption in public procurement, </w:t>
      </w:r>
      <w:r w:rsidR="00362554" w:rsidRPr="00BC2BC4">
        <w:rPr>
          <w:rFonts w:cs="Times New Roman"/>
          <w:iCs/>
          <w:kern w:val="2"/>
          <w:sz w:val="20"/>
          <w:szCs w:val="24"/>
        </w:rPr>
        <w:t xml:space="preserve">it </w:t>
      </w:r>
      <w:r w:rsidRPr="00BC2BC4">
        <w:rPr>
          <w:rFonts w:cs="Times New Roman"/>
          <w:iCs/>
          <w:kern w:val="2"/>
          <w:sz w:val="20"/>
          <w:szCs w:val="24"/>
        </w:rPr>
        <w:t>must be balanced with other imperative</w:t>
      </w:r>
      <w:r w:rsidR="00E123E0" w:rsidRPr="00BC2BC4">
        <w:rPr>
          <w:rFonts w:cs="Times New Roman"/>
          <w:iCs/>
          <w:kern w:val="2"/>
          <w:sz w:val="20"/>
          <w:szCs w:val="24"/>
        </w:rPr>
        <w:t>s of good governance</w:t>
      </w:r>
      <w:r w:rsidRPr="00BC2BC4">
        <w:rPr>
          <w:rFonts w:cs="Times New Roman"/>
          <w:iCs/>
          <w:kern w:val="2"/>
          <w:sz w:val="20"/>
          <w:szCs w:val="24"/>
        </w:rPr>
        <w:t>.</w:t>
      </w:r>
      <w:r w:rsidRPr="00BC2BC4">
        <w:rPr>
          <w:rStyle w:val="FootnoteReference"/>
          <w:rFonts w:cs="Times New Roman"/>
          <w:iCs/>
          <w:kern w:val="2"/>
          <w:sz w:val="20"/>
          <w:szCs w:val="24"/>
        </w:rPr>
        <w:footnoteReference w:id="107"/>
      </w:r>
      <w:r w:rsidRPr="00BC2BC4">
        <w:rPr>
          <w:rFonts w:cs="Times New Roman"/>
          <w:iCs/>
          <w:kern w:val="2"/>
          <w:sz w:val="20"/>
          <w:szCs w:val="24"/>
        </w:rPr>
        <w:t xml:space="preserve"> For example, demands for greater transparency </w:t>
      </w:r>
      <w:r w:rsidR="00E123E0" w:rsidRPr="00BC2BC4">
        <w:rPr>
          <w:rFonts w:cs="Times New Roman"/>
          <w:iCs/>
          <w:kern w:val="2"/>
          <w:sz w:val="20"/>
          <w:szCs w:val="24"/>
        </w:rPr>
        <w:t xml:space="preserve">and accountability may create </w:t>
      </w:r>
      <w:r w:rsidRPr="00BC2BC4">
        <w:rPr>
          <w:rFonts w:cs="Times New Roman"/>
          <w:iCs/>
          <w:kern w:val="2"/>
          <w:sz w:val="20"/>
          <w:szCs w:val="24"/>
        </w:rPr>
        <w:t>some tension with the objective of ensuring an efficient management of public resources (administrative efficiency) or providing guarantees for fair competition.</w:t>
      </w:r>
      <w:r w:rsidRPr="00BC2BC4">
        <w:rPr>
          <w:rStyle w:val="FootnoteReference"/>
          <w:rFonts w:cs="Times New Roman"/>
          <w:iCs/>
          <w:kern w:val="2"/>
          <w:sz w:val="20"/>
          <w:szCs w:val="24"/>
        </w:rPr>
        <w:footnoteReference w:id="108"/>
      </w:r>
      <w:r w:rsidRPr="00BC2BC4">
        <w:rPr>
          <w:rFonts w:cs="Times New Roman"/>
          <w:iCs/>
          <w:kern w:val="2"/>
          <w:sz w:val="20"/>
          <w:szCs w:val="24"/>
        </w:rPr>
        <w:t xml:space="preserve"> The challenge for policy makers is to design a system in which an appropriate degree of transparency and accountability </w:t>
      </w:r>
      <w:r w:rsidR="00741FB5" w:rsidRPr="00BC2BC4">
        <w:rPr>
          <w:rFonts w:cs="Times New Roman"/>
          <w:iCs/>
          <w:kern w:val="2"/>
          <w:sz w:val="20"/>
          <w:szCs w:val="24"/>
        </w:rPr>
        <w:t xml:space="preserve">is </w:t>
      </w:r>
      <w:r w:rsidRPr="00BC2BC4">
        <w:rPr>
          <w:rFonts w:cs="Times New Roman"/>
          <w:iCs/>
          <w:kern w:val="2"/>
          <w:sz w:val="20"/>
          <w:szCs w:val="24"/>
        </w:rPr>
        <w:t>present to reduce corruption risks while still pursuing other aims of public procurement.</w:t>
      </w:r>
    </w:p>
    <w:p w14:paraId="79421E97" w14:textId="39134A60" w:rsidR="003F43ED" w:rsidRPr="00BC2BC4" w:rsidRDefault="003F43ED" w:rsidP="000A7168">
      <w:pPr>
        <w:pStyle w:val="Heading2"/>
        <w:rPr>
          <w:kern w:val="2"/>
          <w:sz w:val="24"/>
        </w:rPr>
      </w:pPr>
      <w:r w:rsidRPr="00BC2BC4">
        <w:rPr>
          <w:kern w:val="2"/>
          <w:sz w:val="24"/>
        </w:rPr>
        <w:t>Competition</w:t>
      </w:r>
    </w:p>
    <w:p w14:paraId="115EE622" w14:textId="4AA4F40A" w:rsidR="00881F94" w:rsidRPr="00BC2BC4" w:rsidRDefault="00492A53" w:rsidP="000A7168">
      <w:pPr>
        <w:rPr>
          <w:kern w:val="2"/>
          <w:sz w:val="20"/>
        </w:rPr>
      </w:pPr>
      <w:r w:rsidRPr="00BC2BC4">
        <w:rPr>
          <w:kern w:val="2"/>
          <w:sz w:val="20"/>
        </w:rPr>
        <w:t xml:space="preserve">Competition is seen </w:t>
      </w:r>
      <w:r w:rsidR="006E4D12" w:rsidRPr="00BC2BC4">
        <w:rPr>
          <w:kern w:val="2"/>
          <w:sz w:val="20"/>
        </w:rPr>
        <w:t>as</w:t>
      </w:r>
      <w:r w:rsidRPr="00BC2BC4">
        <w:rPr>
          <w:kern w:val="2"/>
          <w:sz w:val="20"/>
        </w:rPr>
        <w:t xml:space="preserve"> vital to the process because</w:t>
      </w:r>
      <w:r w:rsidR="006E4D12" w:rsidRPr="00BC2BC4">
        <w:rPr>
          <w:kern w:val="2"/>
          <w:sz w:val="20"/>
        </w:rPr>
        <w:t>,</w:t>
      </w:r>
      <w:r w:rsidRPr="00BC2BC4">
        <w:rPr>
          <w:kern w:val="2"/>
          <w:sz w:val="20"/>
        </w:rPr>
        <w:t xml:space="preserve"> under laissez-faire economic theory, </w:t>
      </w:r>
      <w:r w:rsidR="00960318" w:rsidRPr="00BC2BC4">
        <w:rPr>
          <w:kern w:val="2"/>
          <w:sz w:val="20"/>
        </w:rPr>
        <w:t xml:space="preserve">it </w:t>
      </w:r>
      <w:r w:rsidR="00AA3820" w:rsidRPr="00BC2BC4">
        <w:rPr>
          <w:kern w:val="2"/>
          <w:sz w:val="20"/>
        </w:rPr>
        <w:t xml:space="preserve">provides </w:t>
      </w:r>
      <w:r w:rsidRPr="00BC2BC4">
        <w:rPr>
          <w:kern w:val="2"/>
          <w:sz w:val="20"/>
        </w:rPr>
        <w:t xml:space="preserve">governments </w:t>
      </w:r>
      <w:r w:rsidR="00AA3820" w:rsidRPr="00BC2BC4">
        <w:rPr>
          <w:kern w:val="2"/>
          <w:sz w:val="20"/>
        </w:rPr>
        <w:t>with</w:t>
      </w:r>
      <w:r w:rsidRPr="00BC2BC4">
        <w:rPr>
          <w:kern w:val="2"/>
          <w:sz w:val="20"/>
        </w:rPr>
        <w:t xml:space="preserve"> the best quality for the best price.</w:t>
      </w:r>
      <w:r w:rsidR="00C01297" w:rsidRPr="00BC2BC4">
        <w:rPr>
          <w:rStyle w:val="FootnoteReference"/>
          <w:rFonts w:cs="Times New Roman"/>
          <w:iCs/>
          <w:kern w:val="2"/>
          <w:sz w:val="20"/>
          <w:szCs w:val="24"/>
        </w:rPr>
        <w:footnoteReference w:id="109"/>
      </w:r>
      <w:r w:rsidR="0079482E" w:rsidRPr="00BC2BC4">
        <w:rPr>
          <w:kern w:val="2"/>
          <w:sz w:val="20"/>
        </w:rPr>
        <w:t xml:space="preserve"> </w:t>
      </w:r>
      <w:r w:rsidR="00881F94" w:rsidRPr="00BC2BC4">
        <w:rPr>
          <w:kern w:val="2"/>
          <w:sz w:val="20"/>
        </w:rPr>
        <w:t>Anderson, Kovacic and Müller identify three leading reasons why competition is important in public procurement:</w:t>
      </w:r>
    </w:p>
    <w:p w14:paraId="6FE88D22" w14:textId="5C53A027" w:rsidR="00881F94" w:rsidRPr="00BC2BC4" w:rsidRDefault="00881F94" w:rsidP="00A75BC0">
      <w:pPr>
        <w:pStyle w:val="ListParagraph"/>
        <w:numPr>
          <w:ilvl w:val="0"/>
          <w:numId w:val="16"/>
        </w:numPr>
        <w:rPr>
          <w:kern w:val="2"/>
          <w:sz w:val="20"/>
        </w:rPr>
      </w:pPr>
      <w:r w:rsidRPr="00BC2BC4">
        <w:rPr>
          <w:kern w:val="2"/>
          <w:sz w:val="20"/>
        </w:rPr>
        <w:t>with free entry and an absence of collusion, prices will be driven towards marginal costs;</w:t>
      </w:r>
    </w:p>
    <w:p w14:paraId="5F3CBA31" w14:textId="4E5CE4E2" w:rsidR="00881F94" w:rsidRPr="00BC2BC4" w:rsidRDefault="00881F94" w:rsidP="00A75BC0">
      <w:pPr>
        <w:pStyle w:val="ListParagraph"/>
        <w:numPr>
          <w:ilvl w:val="0"/>
          <w:numId w:val="16"/>
        </w:numPr>
        <w:rPr>
          <w:kern w:val="2"/>
          <w:sz w:val="20"/>
        </w:rPr>
      </w:pPr>
      <w:r w:rsidRPr="00BC2BC4">
        <w:rPr>
          <w:kern w:val="2"/>
          <w:sz w:val="20"/>
        </w:rPr>
        <w:t xml:space="preserve">suppliers will have an incentive to reduce their production and other costs over time; and </w:t>
      </w:r>
    </w:p>
    <w:p w14:paraId="046093BB" w14:textId="454E4C96" w:rsidR="00881F94" w:rsidRPr="00BC2BC4" w:rsidRDefault="00881F94" w:rsidP="00A75BC0">
      <w:pPr>
        <w:pStyle w:val="ListParagraph"/>
        <w:numPr>
          <w:ilvl w:val="0"/>
          <w:numId w:val="16"/>
        </w:numPr>
        <w:spacing w:after="240"/>
        <w:rPr>
          <w:kern w:val="2"/>
          <w:sz w:val="20"/>
        </w:rPr>
      </w:pPr>
      <w:r w:rsidRPr="00BC2BC4">
        <w:rPr>
          <w:kern w:val="2"/>
          <w:sz w:val="20"/>
        </w:rPr>
        <w:t>competition drives innovation.</w:t>
      </w:r>
      <w:r w:rsidR="000A361D" w:rsidRPr="00BC2BC4">
        <w:rPr>
          <w:rStyle w:val="FootnoteReference"/>
          <w:rFonts w:cs="Times New Roman"/>
          <w:iCs/>
          <w:kern w:val="2"/>
          <w:sz w:val="20"/>
          <w:szCs w:val="24"/>
        </w:rPr>
        <w:footnoteReference w:id="110"/>
      </w:r>
    </w:p>
    <w:p w14:paraId="60E23CA0" w14:textId="2C8AFDA2" w:rsidR="003F43ED" w:rsidRPr="00BC2BC4" w:rsidRDefault="003F43ED" w:rsidP="000A7168">
      <w:pPr>
        <w:pStyle w:val="Heading2"/>
        <w:rPr>
          <w:kern w:val="2"/>
          <w:sz w:val="24"/>
        </w:rPr>
      </w:pPr>
      <w:r w:rsidRPr="00BC2BC4">
        <w:rPr>
          <w:kern w:val="2"/>
          <w:sz w:val="24"/>
        </w:rPr>
        <w:t>Integrity</w:t>
      </w:r>
    </w:p>
    <w:p w14:paraId="23DFA26E" w14:textId="72DE0107" w:rsidR="00881F94" w:rsidRPr="00BC2BC4" w:rsidRDefault="00296844" w:rsidP="000A7168">
      <w:pPr>
        <w:rPr>
          <w:kern w:val="2"/>
          <w:sz w:val="20"/>
        </w:rPr>
      </w:pPr>
      <w:r w:rsidRPr="00BC2BC4">
        <w:rPr>
          <w:kern w:val="2"/>
          <w:sz w:val="20"/>
        </w:rPr>
        <w:t>TI defines i</w:t>
      </w:r>
      <w:r w:rsidR="00492A53" w:rsidRPr="00BC2BC4">
        <w:rPr>
          <w:kern w:val="2"/>
          <w:sz w:val="20"/>
        </w:rPr>
        <w:t>n</w:t>
      </w:r>
      <w:r w:rsidR="0079482E" w:rsidRPr="00BC2BC4">
        <w:rPr>
          <w:kern w:val="2"/>
          <w:sz w:val="20"/>
        </w:rPr>
        <w:t>tegrity a</w:t>
      </w:r>
      <w:r w:rsidR="00492A53" w:rsidRPr="00BC2BC4">
        <w:rPr>
          <w:kern w:val="2"/>
          <w:sz w:val="20"/>
        </w:rPr>
        <w:t xml:space="preserve">s “behaviours and actions consistent with a set of moral or ethical principles and standards, embraced by individuals as well as </w:t>
      </w:r>
      <w:r w:rsidR="001012B0" w:rsidRPr="00BC2BC4">
        <w:rPr>
          <w:kern w:val="2"/>
          <w:sz w:val="20"/>
        </w:rPr>
        <w:t>institutions that</w:t>
      </w:r>
      <w:r w:rsidR="00492A53" w:rsidRPr="00BC2BC4">
        <w:rPr>
          <w:kern w:val="2"/>
          <w:sz w:val="20"/>
        </w:rPr>
        <w:t xml:space="preserve"> create a barrier to corruption”</w:t>
      </w:r>
      <w:r w:rsidR="001012B0" w:rsidRPr="00BC2BC4">
        <w:rPr>
          <w:kern w:val="2"/>
          <w:sz w:val="20"/>
        </w:rPr>
        <w:t xml:space="preserve"> and notes that integrity requires </w:t>
      </w:r>
      <w:r w:rsidR="00492A53" w:rsidRPr="00BC2BC4">
        <w:rPr>
          <w:kern w:val="2"/>
          <w:sz w:val="20"/>
        </w:rPr>
        <w:t xml:space="preserve">that procurement </w:t>
      </w:r>
      <w:r w:rsidR="00AC76C1" w:rsidRPr="00BC2BC4">
        <w:rPr>
          <w:kern w:val="2"/>
          <w:sz w:val="20"/>
        </w:rPr>
        <w:t xml:space="preserve">be </w:t>
      </w:r>
      <w:r w:rsidR="00492A53" w:rsidRPr="00BC2BC4">
        <w:rPr>
          <w:kern w:val="2"/>
          <w:sz w:val="20"/>
        </w:rPr>
        <w:t>carried out in accordance with the law and without discrimination or favo</w:t>
      </w:r>
      <w:r w:rsidR="00747DA3" w:rsidRPr="00BC2BC4">
        <w:rPr>
          <w:kern w:val="2"/>
          <w:sz w:val="20"/>
        </w:rPr>
        <w:t>u</w:t>
      </w:r>
      <w:r w:rsidR="00492A53" w:rsidRPr="00BC2BC4">
        <w:rPr>
          <w:kern w:val="2"/>
          <w:sz w:val="20"/>
        </w:rPr>
        <w:t>ritism.</w:t>
      </w:r>
      <w:r w:rsidR="00492A53" w:rsidRPr="00BC2BC4">
        <w:rPr>
          <w:rStyle w:val="FootnoteReference"/>
          <w:rFonts w:cs="Times New Roman"/>
          <w:iCs/>
          <w:kern w:val="2"/>
          <w:sz w:val="20"/>
          <w:szCs w:val="24"/>
        </w:rPr>
        <w:footnoteReference w:id="111"/>
      </w:r>
    </w:p>
    <w:p w14:paraId="6B72EE95" w14:textId="115BE2C6" w:rsidR="002E0EB5" w:rsidRPr="00BC2BC4" w:rsidRDefault="002E0EB5" w:rsidP="000A7168">
      <w:pPr>
        <w:rPr>
          <w:kern w:val="2"/>
          <w:sz w:val="20"/>
        </w:rPr>
      </w:pPr>
      <w:r w:rsidRPr="00BC2BC4">
        <w:rPr>
          <w:kern w:val="2"/>
          <w:sz w:val="20"/>
        </w:rPr>
        <w:t>In 2008</w:t>
      </w:r>
      <w:r w:rsidR="007C1AD8" w:rsidRPr="00BC2BC4">
        <w:rPr>
          <w:kern w:val="2"/>
          <w:sz w:val="20"/>
        </w:rPr>
        <w:t>,</w:t>
      </w:r>
      <w:r w:rsidRPr="00BC2BC4">
        <w:rPr>
          <w:kern w:val="2"/>
          <w:sz w:val="20"/>
        </w:rPr>
        <w:t xml:space="preserve"> the OECD developed best practices guidance to “reinforce </w:t>
      </w:r>
      <w:r w:rsidR="00904473" w:rsidRPr="00BC2BC4">
        <w:rPr>
          <w:kern w:val="2"/>
          <w:sz w:val="20"/>
        </w:rPr>
        <w:t>integrity</w:t>
      </w:r>
      <w:r w:rsidRPr="00BC2BC4">
        <w:rPr>
          <w:kern w:val="2"/>
          <w:sz w:val="20"/>
        </w:rPr>
        <w:t xml:space="preserve"> and public trust in how </w:t>
      </w:r>
      <w:r w:rsidR="00904473" w:rsidRPr="00BC2BC4">
        <w:rPr>
          <w:kern w:val="2"/>
          <w:sz w:val="20"/>
        </w:rPr>
        <w:t>public</w:t>
      </w:r>
      <w:r w:rsidRPr="00BC2BC4">
        <w:rPr>
          <w:kern w:val="2"/>
          <w:sz w:val="20"/>
        </w:rPr>
        <w:t xml:space="preserve"> funds are managed</w:t>
      </w:r>
      <w:r w:rsidR="00904473" w:rsidRPr="00BC2BC4">
        <w:rPr>
          <w:kern w:val="2"/>
          <w:sz w:val="20"/>
        </w:rPr>
        <w:t>”</w:t>
      </w:r>
      <w:r w:rsidR="00904473" w:rsidRPr="00BC2BC4">
        <w:rPr>
          <w:rStyle w:val="FootnoteReference"/>
          <w:rFonts w:cs="Times New Roman"/>
          <w:iCs/>
          <w:kern w:val="2"/>
          <w:sz w:val="20"/>
          <w:szCs w:val="24"/>
        </w:rPr>
        <w:footnoteReference w:id="112"/>
      </w:r>
      <w:r w:rsidR="00904473" w:rsidRPr="00BC2BC4">
        <w:rPr>
          <w:kern w:val="2"/>
          <w:sz w:val="20"/>
        </w:rPr>
        <w:t xml:space="preserve"> and promote a good governance approach to procurement</w:t>
      </w:r>
      <w:r w:rsidR="0098740F" w:rsidRPr="00BC2BC4">
        <w:rPr>
          <w:kern w:val="2"/>
          <w:sz w:val="20"/>
        </w:rPr>
        <w:t xml:space="preserve"> based on the following principles</w:t>
      </w:r>
      <w:r w:rsidR="00904473" w:rsidRPr="00BC2BC4">
        <w:rPr>
          <w:kern w:val="2"/>
          <w:sz w:val="20"/>
        </w:rPr>
        <w:t>:</w:t>
      </w:r>
    </w:p>
    <w:p w14:paraId="3337B74D" w14:textId="77777777" w:rsidR="002E0EB5" w:rsidRPr="00BC2BC4" w:rsidRDefault="002E0EB5" w:rsidP="005176F0">
      <w:pPr>
        <w:pStyle w:val="BlockQuote"/>
        <w:spacing w:after="120"/>
        <w:rPr>
          <w:b/>
          <w:kern w:val="2"/>
          <w:sz w:val="20"/>
        </w:rPr>
      </w:pPr>
      <w:r w:rsidRPr="00BC2BC4">
        <w:rPr>
          <w:b/>
          <w:kern w:val="2"/>
          <w:sz w:val="20"/>
        </w:rPr>
        <w:t>Transparency</w:t>
      </w:r>
    </w:p>
    <w:p w14:paraId="7B7FD179" w14:textId="77777777" w:rsidR="002E0EB5" w:rsidRPr="00BC2BC4" w:rsidRDefault="002E0EB5" w:rsidP="00A75BC0">
      <w:pPr>
        <w:pStyle w:val="BlockQuote"/>
        <w:numPr>
          <w:ilvl w:val="0"/>
          <w:numId w:val="25"/>
        </w:numPr>
        <w:spacing w:after="60"/>
        <w:rPr>
          <w:kern w:val="2"/>
          <w:sz w:val="20"/>
        </w:rPr>
      </w:pPr>
      <w:r w:rsidRPr="00BC2BC4">
        <w:rPr>
          <w:kern w:val="2"/>
          <w:sz w:val="20"/>
        </w:rPr>
        <w:t xml:space="preserve">Provide an adequate degree of transparency in the entire procurement cycle in order to promote fair and equitable treatment for potential suppliers. </w:t>
      </w:r>
    </w:p>
    <w:p w14:paraId="7193FA40" w14:textId="77777777" w:rsidR="002E0EB5" w:rsidRPr="00BC2BC4" w:rsidRDefault="002E0EB5" w:rsidP="00A75BC0">
      <w:pPr>
        <w:pStyle w:val="BlockQuote"/>
        <w:numPr>
          <w:ilvl w:val="0"/>
          <w:numId w:val="25"/>
        </w:numPr>
        <w:spacing w:after="120"/>
        <w:rPr>
          <w:kern w:val="2"/>
          <w:sz w:val="20"/>
        </w:rPr>
      </w:pPr>
      <w:r w:rsidRPr="00BC2BC4">
        <w:rPr>
          <w:kern w:val="2"/>
          <w:sz w:val="20"/>
        </w:rPr>
        <w:t xml:space="preserve">Maximise transparency in competitive tendering and take precautionary measures to enhance integrity, in particular for exceptions to competitive tendering. </w:t>
      </w:r>
    </w:p>
    <w:p w14:paraId="54F46DA6" w14:textId="77777777" w:rsidR="002E0EB5" w:rsidRPr="00BC2BC4" w:rsidRDefault="002E0EB5" w:rsidP="00680B8A">
      <w:pPr>
        <w:pStyle w:val="BlockQuote"/>
        <w:keepNext/>
        <w:spacing w:after="120"/>
        <w:rPr>
          <w:b/>
          <w:kern w:val="2"/>
          <w:sz w:val="20"/>
        </w:rPr>
      </w:pPr>
      <w:r w:rsidRPr="00BC2BC4">
        <w:rPr>
          <w:b/>
          <w:kern w:val="2"/>
          <w:sz w:val="20"/>
        </w:rPr>
        <w:t>Good management</w:t>
      </w:r>
    </w:p>
    <w:p w14:paraId="401F51A5" w14:textId="77777777" w:rsidR="002E0EB5" w:rsidRPr="00BC2BC4" w:rsidRDefault="002E0EB5" w:rsidP="00A75BC0">
      <w:pPr>
        <w:pStyle w:val="BlockQuote"/>
        <w:numPr>
          <w:ilvl w:val="0"/>
          <w:numId w:val="25"/>
        </w:numPr>
        <w:spacing w:after="60"/>
        <w:rPr>
          <w:kern w:val="2"/>
          <w:sz w:val="20"/>
        </w:rPr>
      </w:pPr>
      <w:r w:rsidRPr="00BC2BC4">
        <w:rPr>
          <w:kern w:val="2"/>
          <w:sz w:val="20"/>
        </w:rPr>
        <w:t xml:space="preserve">Ensure that public funds are used in procurement according to the purposes intended. </w:t>
      </w:r>
    </w:p>
    <w:p w14:paraId="0C8C06B4" w14:textId="77777777" w:rsidR="002E0EB5" w:rsidRPr="00BC2BC4" w:rsidRDefault="002E0EB5" w:rsidP="00A75BC0">
      <w:pPr>
        <w:pStyle w:val="BlockQuote"/>
        <w:numPr>
          <w:ilvl w:val="0"/>
          <w:numId w:val="25"/>
        </w:numPr>
        <w:spacing w:after="120"/>
        <w:rPr>
          <w:kern w:val="2"/>
          <w:sz w:val="20"/>
        </w:rPr>
      </w:pPr>
      <w:r w:rsidRPr="00BC2BC4">
        <w:rPr>
          <w:kern w:val="2"/>
          <w:sz w:val="20"/>
        </w:rPr>
        <w:t xml:space="preserve">Ensure that procurement officials meet high professional standards of knowledge, skills, and integrity. </w:t>
      </w:r>
    </w:p>
    <w:p w14:paraId="72E9E01C" w14:textId="77777777" w:rsidR="002E0EB5" w:rsidRPr="00BC2BC4" w:rsidRDefault="002E0EB5" w:rsidP="005176F0">
      <w:pPr>
        <w:pStyle w:val="BlockQuote"/>
        <w:spacing w:after="120"/>
        <w:rPr>
          <w:b/>
          <w:kern w:val="2"/>
          <w:sz w:val="20"/>
        </w:rPr>
      </w:pPr>
      <w:r w:rsidRPr="00BC2BC4">
        <w:rPr>
          <w:b/>
          <w:kern w:val="2"/>
          <w:sz w:val="20"/>
        </w:rPr>
        <w:t>Prevention of misconduct, compliance and monitoring</w:t>
      </w:r>
    </w:p>
    <w:p w14:paraId="11477F45" w14:textId="77777777" w:rsidR="002E0EB5" w:rsidRPr="00BC2BC4" w:rsidRDefault="002E0EB5" w:rsidP="00A75BC0">
      <w:pPr>
        <w:pStyle w:val="BlockQuote"/>
        <w:numPr>
          <w:ilvl w:val="0"/>
          <w:numId w:val="25"/>
        </w:numPr>
        <w:spacing w:after="60"/>
        <w:rPr>
          <w:kern w:val="2"/>
          <w:sz w:val="20"/>
        </w:rPr>
      </w:pPr>
      <w:r w:rsidRPr="00BC2BC4">
        <w:rPr>
          <w:kern w:val="2"/>
          <w:sz w:val="20"/>
        </w:rPr>
        <w:t>Put mechanisms in place to prevent risks to integr</w:t>
      </w:r>
      <w:r w:rsidR="00296844" w:rsidRPr="00BC2BC4">
        <w:rPr>
          <w:kern w:val="2"/>
          <w:sz w:val="20"/>
        </w:rPr>
        <w:t>it</w:t>
      </w:r>
      <w:r w:rsidRPr="00BC2BC4">
        <w:rPr>
          <w:kern w:val="2"/>
          <w:sz w:val="20"/>
        </w:rPr>
        <w:t xml:space="preserve">y in public procurement. </w:t>
      </w:r>
    </w:p>
    <w:p w14:paraId="7EEA3F85" w14:textId="77777777" w:rsidR="002E0EB5" w:rsidRPr="00BC2BC4" w:rsidRDefault="002E0EB5" w:rsidP="00A75BC0">
      <w:pPr>
        <w:pStyle w:val="BlockQuote"/>
        <w:numPr>
          <w:ilvl w:val="0"/>
          <w:numId w:val="25"/>
        </w:numPr>
        <w:spacing w:after="60"/>
        <w:rPr>
          <w:kern w:val="2"/>
          <w:sz w:val="20"/>
        </w:rPr>
      </w:pPr>
      <w:r w:rsidRPr="00BC2BC4">
        <w:rPr>
          <w:kern w:val="2"/>
          <w:sz w:val="20"/>
        </w:rPr>
        <w:t xml:space="preserve">Encourage close co-operation between government and the private sector to maintain high standards of integrity, particularly in contract management. </w:t>
      </w:r>
    </w:p>
    <w:p w14:paraId="7B93E020" w14:textId="77777777" w:rsidR="002E0EB5" w:rsidRPr="00BC2BC4" w:rsidRDefault="002E0EB5" w:rsidP="00A75BC0">
      <w:pPr>
        <w:pStyle w:val="BlockQuote"/>
        <w:numPr>
          <w:ilvl w:val="0"/>
          <w:numId w:val="25"/>
        </w:numPr>
        <w:spacing w:after="120"/>
        <w:rPr>
          <w:kern w:val="2"/>
          <w:sz w:val="20"/>
        </w:rPr>
      </w:pPr>
      <w:r w:rsidRPr="00BC2BC4">
        <w:rPr>
          <w:kern w:val="2"/>
          <w:sz w:val="20"/>
        </w:rPr>
        <w:t>Provide specific mechanisms to monitor publ</w:t>
      </w:r>
      <w:r w:rsidR="00296844" w:rsidRPr="00BC2BC4">
        <w:rPr>
          <w:kern w:val="2"/>
          <w:sz w:val="20"/>
        </w:rPr>
        <w:t>ic procurement as well as to de</w:t>
      </w:r>
      <w:r w:rsidRPr="00BC2BC4">
        <w:rPr>
          <w:kern w:val="2"/>
          <w:sz w:val="20"/>
        </w:rPr>
        <w:t xml:space="preserve">tect misconduct and apply sanctions accordingly. </w:t>
      </w:r>
    </w:p>
    <w:p w14:paraId="730A33EB" w14:textId="77777777" w:rsidR="002E0EB5" w:rsidRPr="00BC2BC4" w:rsidRDefault="002E0EB5" w:rsidP="00F07F3D">
      <w:pPr>
        <w:pStyle w:val="BlockQuote"/>
        <w:keepNext/>
        <w:spacing w:after="120"/>
        <w:rPr>
          <w:b/>
          <w:kern w:val="2"/>
          <w:sz w:val="20"/>
        </w:rPr>
      </w:pPr>
      <w:r w:rsidRPr="00BC2BC4">
        <w:rPr>
          <w:b/>
          <w:kern w:val="2"/>
          <w:sz w:val="20"/>
        </w:rPr>
        <w:t>Accountability and control</w:t>
      </w:r>
    </w:p>
    <w:p w14:paraId="6976A7CB" w14:textId="77777777" w:rsidR="002E0EB5" w:rsidRPr="00BC2BC4" w:rsidRDefault="002E0EB5" w:rsidP="00A75BC0">
      <w:pPr>
        <w:pStyle w:val="BlockQuote"/>
        <w:numPr>
          <w:ilvl w:val="0"/>
          <w:numId w:val="25"/>
        </w:numPr>
        <w:spacing w:after="60"/>
        <w:rPr>
          <w:kern w:val="2"/>
          <w:sz w:val="20"/>
        </w:rPr>
      </w:pPr>
      <w:r w:rsidRPr="00BC2BC4">
        <w:rPr>
          <w:kern w:val="2"/>
          <w:sz w:val="20"/>
        </w:rPr>
        <w:t>Establish a clear chain of responsibility together with effective control mechanisms.</w:t>
      </w:r>
    </w:p>
    <w:p w14:paraId="08100678" w14:textId="77777777" w:rsidR="002E0EB5" w:rsidRPr="00BC2BC4" w:rsidRDefault="002E0EB5" w:rsidP="00A75BC0">
      <w:pPr>
        <w:pStyle w:val="BlockQuote"/>
        <w:numPr>
          <w:ilvl w:val="0"/>
          <w:numId w:val="25"/>
        </w:numPr>
        <w:spacing w:after="60"/>
        <w:rPr>
          <w:kern w:val="2"/>
          <w:sz w:val="20"/>
        </w:rPr>
      </w:pPr>
      <w:r w:rsidRPr="00BC2BC4">
        <w:rPr>
          <w:kern w:val="2"/>
          <w:sz w:val="20"/>
        </w:rPr>
        <w:t xml:space="preserve">Handle complaints from potential suppliers in a fair and timely manner. </w:t>
      </w:r>
    </w:p>
    <w:p w14:paraId="1C0BD828" w14:textId="77777777" w:rsidR="0092085A" w:rsidRPr="00BC2BC4" w:rsidRDefault="002E0EB5" w:rsidP="00A75BC0">
      <w:pPr>
        <w:pStyle w:val="BlockQuote"/>
        <w:numPr>
          <w:ilvl w:val="0"/>
          <w:numId w:val="25"/>
        </w:numPr>
        <w:rPr>
          <w:kern w:val="2"/>
          <w:sz w:val="20"/>
        </w:rPr>
      </w:pPr>
      <w:r w:rsidRPr="00BC2BC4">
        <w:rPr>
          <w:kern w:val="2"/>
          <w:sz w:val="20"/>
        </w:rPr>
        <w:t>Empower civil society organizations, media and the wider public to scrutinise public procurement.</w:t>
      </w:r>
      <w:r w:rsidR="007C1AD8" w:rsidRPr="00BC2BC4">
        <w:rPr>
          <w:rStyle w:val="FootnoteReference"/>
          <w:rFonts w:cs="Times New Roman"/>
          <w:iCs/>
          <w:kern w:val="2"/>
          <w:sz w:val="20"/>
          <w:szCs w:val="24"/>
        </w:rPr>
        <w:footnoteReference w:id="113"/>
      </w:r>
    </w:p>
    <w:p w14:paraId="2BBDB00F" w14:textId="2E3FF7B3" w:rsidR="00E643EA" w:rsidRPr="00BC2BC4" w:rsidRDefault="00E643EA" w:rsidP="000A7168">
      <w:pPr>
        <w:rPr>
          <w:kern w:val="2"/>
          <w:sz w:val="20"/>
        </w:rPr>
      </w:pPr>
      <w:r w:rsidRPr="00BC2BC4">
        <w:rPr>
          <w:kern w:val="2"/>
          <w:sz w:val="20"/>
        </w:rPr>
        <w:t xml:space="preserve">This list illustrates how the three key pillars of an effective procurement system—transparency, competition, and integrity—are closely </w:t>
      </w:r>
      <w:r w:rsidR="000250ED" w:rsidRPr="00BC2BC4">
        <w:rPr>
          <w:kern w:val="2"/>
          <w:sz w:val="20"/>
        </w:rPr>
        <w:t>connected to one another</w:t>
      </w:r>
      <w:r w:rsidRPr="00BC2BC4">
        <w:rPr>
          <w:kern w:val="2"/>
          <w:sz w:val="20"/>
        </w:rPr>
        <w:t>.</w:t>
      </w:r>
    </w:p>
    <w:p w14:paraId="0275B1E6" w14:textId="11D39272" w:rsidR="0092085A" w:rsidRPr="00BC2BC4" w:rsidRDefault="004A6382" w:rsidP="000A7168">
      <w:pPr>
        <w:rPr>
          <w:kern w:val="2"/>
          <w:sz w:val="20"/>
        </w:rPr>
      </w:pPr>
      <w:r w:rsidRPr="00BC2BC4">
        <w:rPr>
          <w:kern w:val="2"/>
          <w:sz w:val="20"/>
        </w:rPr>
        <w:t xml:space="preserve">Although </w:t>
      </w:r>
      <w:r w:rsidR="0092085A" w:rsidRPr="00BC2BC4">
        <w:rPr>
          <w:kern w:val="2"/>
          <w:sz w:val="20"/>
        </w:rPr>
        <w:t>sound procurement rules are</w:t>
      </w:r>
      <w:r w:rsidRPr="00BC2BC4">
        <w:rPr>
          <w:kern w:val="2"/>
          <w:sz w:val="20"/>
        </w:rPr>
        <w:t xml:space="preserve"> essential to the achievement of </w:t>
      </w:r>
      <w:r w:rsidR="000F02EB" w:rsidRPr="00BC2BC4">
        <w:rPr>
          <w:kern w:val="2"/>
          <w:sz w:val="20"/>
        </w:rPr>
        <w:t xml:space="preserve">a </w:t>
      </w:r>
      <w:r w:rsidRPr="00BC2BC4">
        <w:rPr>
          <w:kern w:val="2"/>
          <w:sz w:val="20"/>
        </w:rPr>
        <w:t>robust procurement system, rules alone are</w:t>
      </w:r>
      <w:r w:rsidR="0092085A" w:rsidRPr="00BC2BC4">
        <w:rPr>
          <w:kern w:val="2"/>
          <w:sz w:val="20"/>
        </w:rPr>
        <w:t xml:space="preserve"> not sufficient. As the OECD observes:</w:t>
      </w:r>
    </w:p>
    <w:p w14:paraId="44411FDC" w14:textId="5054CACD" w:rsidR="0092085A" w:rsidRPr="00BC2BC4" w:rsidRDefault="0092085A" w:rsidP="000A7168">
      <w:pPr>
        <w:pStyle w:val="BlockQuote"/>
        <w:rPr>
          <w:kern w:val="2"/>
          <w:sz w:val="20"/>
        </w:rPr>
      </w:pPr>
      <w:r w:rsidRPr="00BC2BC4">
        <w:rPr>
          <w:kern w:val="2"/>
          <w:sz w:val="20"/>
        </w:rPr>
        <w:t>Implementing rules requires a wider governance framework that encompasses: an adequate institutional and administrative infrastructure; an effective review and accountability regime; mechanisms to identify and close off opportunities for corruption; as well as adequate human, financial and technological resources to support all of the elements of the system. They also require a sustained political commitment to apply these rules and regularly update them.</w:t>
      </w:r>
      <w:r w:rsidR="00B57456" w:rsidRPr="00BC2BC4">
        <w:rPr>
          <w:rStyle w:val="FootnoteReference"/>
          <w:rFonts w:cs="Times New Roman"/>
          <w:iCs/>
          <w:kern w:val="2"/>
          <w:sz w:val="20"/>
          <w:szCs w:val="21"/>
        </w:rPr>
        <w:footnoteReference w:id="114"/>
      </w:r>
    </w:p>
    <w:p w14:paraId="3964288E" w14:textId="7BFAF4FD" w:rsidR="00817799" w:rsidRPr="00BC2BC4" w:rsidRDefault="00817799" w:rsidP="00ED3317">
      <w:pPr>
        <w:pStyle w:val="Heading1"/>
        <w:rPr>
          <w:sz w:val="28"/>
        </w:rPr>
      </w:pPr>
      <w:bookmarkStart w:id="30" w:name="_Toc420920790"/>
      <w:bookmarkStart w:id="31" w:name="_Toc424485023"/>
      <w:bookmarkStart w:id="32" w:name="_Toc502666013"/>
      <w:r w:rsidRPr="00BC2BC4">
        <w:rPr>
          <w:sz w:val="28"/>
        </w:rPr>
        <w:t xml:space="preserve">Private Law </w:t>
      </w:r>
      <w:bookmarkEnd w:id="30"/>
      <w:r w:rsidR="001012B0" w:rsidRPr="00BC2BC4">
        <w:rPr>
          <w:sz w:val="28"/>
        </w:rPr>
        <w:t>Enforcement of Tendering for Public Contracts</w:t>
      </w:r>
      <w:bookmarkEnd w:id="31"/>
      <w:bookmarkEnd w:id="32"/>
    </w:p>
    <w:p w14:paraId="527493FF" w14:textId="49DA58F6" w:rsidR="00817799" w:rsidRPr="00BC2BC4" w:rsidRDefault="00817799" w:rsidP="006B0E35">
      <w:pPr>
        <w:spacing w:line="23" w:lineRule="atLeast"/>
        <w:rPr>
          <w:kern w:val="2"/>
          <w:sz w:val="20"/>
        </w:rPr>
      </w:pPr>
      <w:r w:rsidRPr="00BC2BC4">
        <w:rPr>
          <w:kern w:val="2"/>
          <w:sz w:val="20"/>
        </w:rPr>
        <w:t xml:space="preserve">Private law remedies are not the focus of </w:t>
      </w:r>
      <w:r w:rsidR="005838EB" w:rsidRPr="00BC2BC4">
        <w:rPr>
          <w:kern w:val="2"/>
          <w:sz w:val="20"/>
        </w:rPr>
        <w:t xml:space="preserve">the analysis of procurement in </w:t>
      </w:r>
      <w:r w:rsidRPr="00BC2BC4">
        <w:rPr>
          <w:kern w:val="2"/>
          <w:sz w:val="20"/>
        </w:rPr>
        <w:t>this chapter</w:t>
      </w:r>
      <w:r w:rsidR="008B323A" w:rsidRPr="00BC2BC4">
        <w:rPr>
          <w:kern w:val="2"/>
          <w:sz w:val="20"/>
        </w:rPr>
        <w:t>. H</w:t>
      </w:r>
      <w:r w:rsidR="00EA71B0" w:rsidRPr="00BC2BC4">
        <w:rPr>
          <w:kern w:val="2"/>
          <w:sz w:val="20"/>
        </w:rPr>
        <w:t xml:space="preserve">owever, </w:t>
      </w:r>
      <w:r w:rsidR="008B323A" w:rsidRPr="00BC2BC4">
        <w:rPr>
          <w:kern w:val="2"/>
          <w:sz w:val="20"/>
        </w:rPr>
        <w:t xml:space="preserve">the following is </w:t>
      </w:r>
      <w:r w:rsidR="00EA71B0" w:rsidRPr="00BC2BC4">
        <w:rPr>
          <w:kern w:val="2"/>
          <w:sz w:val="20"/>
        </w:rPr>
        <w:t>a brief overview</w:t>
      </w:r>
      <w:r w:rsidR="008B323A" w:rsidRPr="00BC2BC4">
        <w:rPr>
          <w:kern w:val="2"/>
          <w:sz w:val="20"/>
        </w:rPr>
        <w:t xml:space="preserve"> </w:t>
      </w:r>
      <w:r w:rsidR="00EA71B0" w:rsidRPr="00BC2BC4">
        <w:rPr>
          <w:kern w:val="2"/>
          <w:sz w:val="20"/>
        </w:rPr>
        <w:t xml:space="preserve">of </w:t>
      </w:r>
      <w:r w:rsidR="001012B0" w:rsidRPr="00BC2BC4">
        <w:rPr>
          <w:kern w:val="2"/>
          <w:sz w:val="20"/>
        </w:rPr>
        <w:t>how companies may use</w:t>
      </w:r>
      <w:r w:rsidR="008B323A" w:rsidRPr="00BC2BC4">
        <w:rPr>
          <w:kern w:val="2"/>
          <w:sz w:val="20"/>
        </w:rPr>
        <w:t xml:space="preserve"> </w:t>
      </w:r>
      <w:r w:rsidR="00EA71B0" w:rsidRPr="00BC2BC4">
        <w:rPr>
          <w:kern w:val="2"/>
          <w:sz w:val="20"/>
        </w:rPr>
        <w:t xml:space="preserve">private law </w:t>
      </w:r>
      <w:r w:rsidR="008B323A" w:rsidRPr="00BC2BC4">
        <w:rPr>
          <w:kern w:val="2"/>
          <w:sz w:val="20"/>
        </w:rPr>
        <w:t>tools to ensure that government bodies in the US, UK a</w:t>
      </w:r>
      <w:r w:rsidR="00902D5A" w:rsidRPr="00BC2BC4">
        <w:rPr>
          <w:kern w:val="2"/>
          <w:sz w:val="20"/>
        </w:rPr>
        <w:t>n</w:t>
      </w:r>
      <w:r w:rsidR="008B323A" w:rsidRPr="00BC2BC4">
        <w:rPr>
          <w:kern w:val="2"/>
          <w:sz w:val="20"/>
        </w:rPr>
        <w:t xml:space="preserve">d Canada follow tendering processes. </w:t>
      </w:r>
      <w:r w:rsidRPr="00BC2BC4">
        <w:rPr>
          <w:kern w:val="2"/>
          <w:sz w:val="20"/>
        </w:rPr>
        <w:t xml:space="preserve">Even where the purchaser is a government body, procurement contracts are considered “generally commercial in nature” and therefore typically </w:t>
      </w:r>
      <w:r w:rsidR="00CD23C5" w:rsidRPr="00BC2BC4">
        <w:rPr>
          <w:kern w:val="2"/>
          <w:sz w:val="20"/>
        </w:rPr>
        <w:t>fall into the realm of</w:t>
      </w:r>
      <w:r w:rsidRPr="00BC2BC4">
        <w:rPr>
          <w:kern w:val="2"/>
          <w:sz w:val="20"/>
        </w:rPr>
        <w:t xml:space="preserve"> private law remedies.</w:t>
      </w:r>
      <w:r w:rsidRPr="00BC2BC4">
        <w:rPr>
          <w:rStyle w:val="FootnoteReference"/>
          <w:kern w:val="2"/>
          <w:sz w:val="20"/>
        </w:rPr>
        <w:footnoteReference w:id="115"/>
      </w:r>
      <w:r w:rsidR="00BC4CD1" w:rsidRPr="00BC2BC4">
        <w:rPr>
          <w:kern w:val="2"/>
          <w:sz w:val="20"/>
        </w:rPr>
        <w:t xml:space="preserve"> Generally, the private law framework allows companies to seek a private law remedy (damages) against the public body.  </w:t>
      </w:r>
    </w:p>
    <w:p w14:paraId="5D5E7141" w14:textId="04AA79F0" w:rsidR="00817799" w:rsidRPr="00BC2BC4" w:rsidRDefault="00817799" w:rsidP="006B0E35">
      <w:pPr>
        <w:spacing w:line="23" w:lineRule="atLeast"/>
        <w:rPr>
          <w:kern w:val="2"/>
          <w:sz w:val="20"/>
        </w:rPr>
      </w:pPr>
      <w:r w:rsidRPr="00BC2BC4">
        <w:rPr>
          <w:kern w:val="2"/>
          <w:sz w:val="20"/>
        </w:rPr>
        <w:t>It</w:t>
      </w:r>
      <w:r w:rsidR="001012B0" w:rsidRPr="00BC2BC4">
        <w:rPr>
          <w:kern w:val="2"/>
          <w:sz w:val="20"/>
        </w:rPr>
        <w:t xml:space="preserve"> is somewhat problematic that a private law</w:t>
      </w:r>
      <w:r w:rsidRPr="00BC2BC4">
        <w:rPr>
          <w:kern w:val="2"/>
          <w:sz w:val="20"/>
        </w:rPr>
        <w:t xml:space="preserve"> action for damages is by far the most common remedy sought in </w:t>
      </w:r>
      <w:r w:rsidR="001012B0" w:rsidRPr="00BC2BC4">
        <w:rPr>
          <w:kern w:val="2"/>
          <w:sz w:val="20"/>
        </w:rPr>
        <w:t xml:space="preserve">public </w:t>
      </w:r>
      <w:r w:rsidR="00ED0909" w:rsidRPr="00BC2BC4">
        <w:rPr>
          <w:kern w:val="2"/>
          <w:sz w:val="20"/>
        </w:rPr>
        <w:t>procurement disputes</w:t>
      </w:r>
      <w:r w:rsidRPr="00BC2BC4">
        <w:rPr>
          <w:kern w:val="2"/>
          <w:sz w:val="20"/>
        </w:rPr>
        <w:t>.</w:t>
      </w:r>
      <w:r w:rsidRPr="00BC2BC4">
        <w:rPr>
          <w:rStyle w:val="FootnoteReference"/>
          <w:kern w:val="2"/>
          <w:sz w:val="20"/>
        </w:rPr>
        <w:footnoteReference w:id="116"/>
      </w:r>
      <w:r w:rsidRPr="00BC2BC4">
        <w:rPr>
          <w:kern w:val="2"/>
          <w:sz w:val="20"/>
        </w:rPr>
        <w:t xml:space="preserve"> </w:t>
      </w:r>
      <w:r w:rsidR="00ED0909" w:rsidRPr="00BC2BC4">
        <w:rPr>
          <w:kern w:val="2"/>
          <w:sz w:val="20"/>
        </w:rPr>
        <w:t xml:space="preserve">Because civil actions are expensive, </w:t>
      </w:r>
      <w:r w:rsidRPr="00BC2BC4">
        <w:rPr>
          <w:kern w:val="2"/>
          <w:sz w:val="20"/>
        </w:rPr>
        <w:t xml:space="preserve">legal recourse is </w:t>
      </w:r>
      <w:r w:rsidR="00BC4CD1" w:rsidRPr="00BC2BC4">
        <w:rPr>
          <w:kern w:val="2"/>
          <w:sz w:val="20"/>
        </w:rPr>
        <w:t>often in</w:t>
      </w:r>
      <w:r w:rsidRPr="00BC2BC4">
        <w:rPr>
          <w:kern w:val="2"/>
          <w:sz w:val="20"/>
        </w:rPr>
        <w:t xml:space="preserve">accessible to smaller bidders who cannot afford the legal costs, or where the value of the procurement contract does not economically warrant a lawsuit. Moreover, the settlement of private </w:t>
      </w:r>
      <w:r w:rsidR="00122BB3" w:rsidRPr="00BC2BC4">
        <w:rPr>
          <w:kern w:val="2"/>
          <w:sz w:val="20"/>
        </w:rPr>
        <w:t>lawsuits</w:t>
      </w:r>
      <w:r w:rsidRPr="00BC2BC4">
        <w:rPr>
          <w:kern w:val="2"/>
          <w:sz w:val="20"/>
        </w:rPr>
        <w:t xml:space="preserve"> often involves confidential</w:t>
      </w:r>
      <w:r w:rsidR="00ED0909" w:rsidRPr="00BC2BC4">
        <w:rPr>
          <w:kern w:val="2"/>
          <w:sz w:val="20"/>
        </w:rPr>
        <w:t>it</w:t>
      </w:r>
      <w:r w:rsidRPr="00BC2BC4">
        <w:rPr>
          <w:kern w:val="2"/>
          <w:sz w:val="20"/>
        </w:rPr>
        <w:t>y agreements that impede public transparency.</w:t>
      </w:r>
      <w:r w:rsidR="00D82CDB" w:rsidRPr="00BC2BC4">
        <w:rPr>
          <w:kern w:val="2"/>
          <w:sz w:val="20"/>
        </w:rPr>
        <w:t xml:space="preserve"> All three countries have public law bodies in place to hear complaints about the procurement process and resolve disputes between the contracting bodies. However, the remedies available in the public law context do not always sufficiently account for the damages the contracting party has suffered. </w:t>
      </w:r>
    </w:p>
    <w:p w14:paraId="0B2BBFBB" w14:textId="474239C5" w:rsidR="00BF4780" w:rsidRPr="00BC2BC4" w:rsidRDefault="00817799" w:rsidP="000A7168">
      <w:pPr>
        <w:pStyle w:val="Heading2"/>
        <w:rPr>
          <w:rFonts w:cs="Times New Roman"/>
          <w:kern w:val="2"/>
          <w:sz w:val="24"/>
        </w:rPr>
      </w:pPr>
      <w:bookmarkStart w:id="33" w:name="_Toc424485024"/>
      <w:r w:rsidRPr="00BC2BC4">
        <w:rPr>
          <w:kern w:val="2"/>
          <w:sz w:val="24"/>
        </w:rPr>
        <w:t>US Private Law</w:t>
      </w:r>
      <w:bookmarkEnd w:id="33"/>
      <w:r w:rsidRPr="00BC2BC4">
        <w:rPr>
          <w:kern w:val="2"/>
          <w:sz w:val="24"/>
        </w:rPr>
        <w:t xml:space="preserve"> </w:t>
      </w:r>
    </w:p>
    <w:p w14:paraId="286718BD" w14:textId="47BBC66E" w:rsidR="0043020C" w:rsidRPr="00BC2BC4" w:rsidRDefault="0043020C" w:rsidP="003F14E9">
      <w:pPr>
        <w:rPr>
          <w:rFonts w:cs="Times New Roman"/>
          <w:kern w:val="2"/>
          <w:sz w:val="20"/>
        </w:rPr>
      </w:pPr>
      <w:r w:rsidRPr="00BC2BC4">
        <w:rPr>
          <w:rFonts w:cs="Times New Roman"/>
          <w:kern w:val="2"/>
          <w:sz w:val="20"/>
        </w:rPr>
        <w:t xml:space="preserve">The </w:t>
      </w:r>
      <w:r w:rsidRPr="00BC2BC4">
        <w:rPr>
          <w:rFonts w:cs="Times New Roman"/>
          <w:i/>
          <w:kern w:val="2"/>
          <w:sz w:val="20"/>
        </w:rPr>
        <w:t>Contract Disputes Act</w:t>
      </w:r>
      <w:r w:rsidRPr="00BC2BC4">
        <w:rPr>
          <w:rFonts w:cs="Times New Roman"/>
          <w:kern w:val="2"/>
          <w:sz w:val="20"/>
        </w:rPr>
        <w:t xml:space="preserve"> </w:t>
      </w:r>
      <w:r w:rsidRPr="00BC2BC4">
        <w:rPr>
          <w:rFonts w:cs="Times New Roman"/>
          <w:i/>
          <w:kern w:val="2"/>
          <w:sz w:val="20"/>
        </w:rPr>
        <w:t xml:space="preserve">of 1978 </w:t>
      </w:r>
      <w:r w:rsidRPr="00BC2BC4">
        <w:rPr>
          <w:rFonts w:cs="Times New Roman"/>
          <w:kern w:val="2"/>
          <w:sz w:val="20"/>
        </w:rPr>
        <w:t>(</w:t>
      </w:r>
      <w:r w:rsidRPr="00BC2BC4">
        <w:rPr>
          <w:rFonts w:cs="Times New Roman"/>
          <w:i/>
          <w:kern w:val="2"/>
          <w:sz w:val="20"/>
        </w:rPr>
        <w:t>CDA</w:t>
      </w:r>
      <w:r w:rsidRPr="00BC2BC4">
        <w:rPr>
          <w:rFonts w:cs="Times New Roman"/>
          <w:kern w:val="2"/>
          <w:sz w:val="20"/>
        </w:rPr>
        <w:t>)</w:t>
      </w:r>
      <w:r w:rsidRPr="00BC2BC4">
        <w:rPr>
          <w:rStyle w:val="FootnoteReference"/>
          <w:rFonts w:cs="Times New Roman"/>
          <w:kern w:val="2"/>
          <w:sz w:val="20"/>
        </w:rPr>
        <w:footnoteReference w:id="117"/>
      </w:r>
      <w:r w:rsidRPr="00BC2BC4">
        <w:rPr>
          <w:rFonts w:cs="Times New Roman"/>
          <w:kern w:val="2"/>
          <w:sz w:val="20"/>
        </w:rPr>
        <w:t xml:space="preserve"> </w:t>
      </w:r>
      <w:r w:rsidR="007238C9" w:rsidRPr="00BC2BC4">
        <w:rPr>
          <w:rFonts w:cs="Times New Roman"/>
          <w:kern w:val="2"/>
          <w:sz w:val="20"/>
        </w:rPr>
        <w:t>provides a mechanism for</w:t>
      </w:r>
      <w:r w:rsidRPr="00BC2BC4">
        <w:rPr>
          <w:rFonts w:cs="Times New Roman"/>
          <w:kern w:val="2"/>
          <w:sz w:val="20"/>
        </w:rPr>
        <w:t xml:space="preserve"> parties to make a claim in contract law against the federal government</w:t>
      </w:r>
      <w:r w:rsidR="0038539F" w:rsidRPr="00BC2BC4">
        <w:rPr>
          <w:rFonts w:cs="Times New Roman"/>
          <w:kern w:val="2"/>
          <w:sz w:val="20"/>
        </w:rPr>
        <w:t>.</w:t>
      </w:r>
      <w:r w:rsidRPr="00BC2BC4">
        <w:rPr>
          <w:rFonts w:cs="Times New Roman"/>
          <w:kern w:val="2"/>
          <w:sz w:val="20"/>
        </w:rPr>
        <w:t xml:space="preserve"> </w:t>
      </w:r>
      <w:r w:rsidR="007632A7" w:rsidRPr="00BC2BC4">
        <w:rPr>
          <w:rFonts w:cs="Times New Roman"/>
          <w:kern w:val="2"/>
          <w:sz w:val="20"/>
        </w:rPr>
        <w:t>Bid protests</w:t>
      </w:r>
      <w:r w:rsidR="006E199C" w:rsidRPr="00BC2BC4">
        <w:rPr>
          <w:rFonts w:cs="Times New Roman"/>
          <w:kern w:val="2"/>
          <w:sz w:val="20"/>
        </w:rPr>
        <w:t xml:space="preserve"> are heard by the Government Accountability Office (GAO) or the Court of Federal Claims. The GAO hears </w:t>
      </w:r>
      <w:r w:rsidR="007632A7" w:rsidRPr="00BC2BC4">
        <w:rPr>
          <w:rFonts w:cs="Times New Roman"/>
          <w:kern w:val="2"/>
          <w:sz w:val="20"/>
        </w:rPr>
        <w:t>the majority of the protests</w:t>
      </w:r>
      <w:r w:rsidR="006E199C" w:rsidRPr="00BC2BC4">
        <w:rPr>
          <w:rFonts w:cs="Times New Roman"/>
          <w:kern w:val="2"/>
          <w:sz w:val="20"/>
        </w:rPr>
        <w:t>.</w:t>
      </w:r>
      <w:r w:rsidR="007632A7" w:rsidRPr="00BC2BC4">
        <w:rPr>
          <w:rStyle w:val="FootnoteReference"/>
          <w:rFonts w:cs="Times New Roman"/>
          <w:kern w:val="2"/>
          <w:sz w:val="20"/>
        </w:rPr>
        <w:footnoteReference w:id="118"/>
      </w:r>
      <w:r w:rsidR="006E199C" w:rsidRPr="00BC2BC4">
        <w:rPr>
          <w:rFonts w:cs="Times New Roman"/>
          <w:kern w:val="2"/>
          <w:sz w:val="20"/>
        </w:rPr>
        <w:t xml:space="preserve"> The</w:t>
      </w:r>
      <w:r w:rsidR="00E522C6" w:rsidRPr="00BC2BC4">
        <w:rPr>
          <w:rFonts w:cs="Times New Roman"/>
          <w:kern w:val="2"/>
          <w:sz w:val="20"/>
        </w:rPr>
        <w:t xml:space="preserve"> GAO </w:t>
      </w:r>
      <w:r w:rsidR="00925591" w:rsidRPr="00BC2BC4">
        <w:rPr>
          <w:rFonts w:cs="Times New Roman"/>
          <w:kern w:val="2"/>
          <w:sz w:val="20"/>
        </w:rPr>
        <w:t>has not allowed</w:t>
      </w:r>
      <w:r w:rsidR="00E522C6" w:rsidRPr="00BC2BC4">
        <w:rPr>
          <w:rFonts w:cs="Times New Roman"/>
          <w:kern w:val="2"/>
          <w:sz w:val="20"/>
        </w:rPr>
        <w:t xml:space="preserve"> </w:t>
      </w:r>
      <w:r w:rsidR="00925591" w:rsidRPr="00BC2BC4">
        <w:rPr>
          <w:rFonts w:cs="Times New Roman"/>
          <w:kern w:val="2"/>
          <w:sz w:val="20"/>
        </w:rPr>
        <w:t>losing bidders</w:t>
      </w:r>
      <w:r w:rsidR="00E522C6" w:rsidRPr="00BC2BC4">
        <w:rPr>
          <w:rFonts w:cs="Times New Roman"/>
          <w:kern w:val="2"/>
          <w:sz w:val="20"/>
        </w:rPr>
        <w:t xml:space="preserve"> </w:t>
      </w:r>
      <w:r w:rsidR="00925591" w:rsidRPr="00BC2BC4">
        <w:rPr>
          <w:rFonts w:cs="Times New Roman"/>
          <w:kern w:val="2"/>
          <w:sz w:val="20"/>
        </w:rPr>
        <w:t>to</w:t>
      </w:r>
      <w:r w:rsidR="00E522C6" w:rsidRPr="00BC2BC4">
        <w:rPr>
          <w:rFonts w:cs="Times New Roman"/>
          <w:kern w:val="2"/>
          <w:sz w:val="20"/>
        </w:rPr>
        <w:t xml:space="preserve"> claim lost profits as part of their </w:t>
      </w:r>
      <w:r w:rsidR="0038539F" w:rsidRPr="00BC2BC4">
        <w:rPr>
          <w:rFonts w:cs="Times New Roman"/>
          <w:kern w:val="2"/>
          <w:sz w:val="20"/>
        </w:rPr>
        <w:t>damages</w:t>
      </w:r>
      <w:r w:rsidR="001A7158" w:rsidRPr="00BC2BC4">
        <w:rPr>
          <w:rFonts w:cs="Times New Roman"/>
          <w:kern w:val="2"/>
          <w:sz w:val="20"/>
        </w:rPr>
        <w:t>. Instead,</w:t>
      </w:r>
      <w:r w:rsidR="00E522C6" w:rsidRPr="00BC2BC4">
        <w:rPr>
          <w:rFonts w:cs="Times New Roman"/>
          <w:kern w:val="2"/>
          <w:sz w:val="20"/>
        </w:rPr>
        <w:t xml:space="preserve"> </w:t>
      </w:r>
      <w:r w:rsidR="0038539F" w:rsidRPr="00BC2BC4">
        <w:rPr>
          <w:rFonts w:cs="Times New Roman"/>
          <w:kern w:val="2"/>
          <w:sz w:val="20"/>
        </w:rPr>
        <w:t xml:space="preserve">companies </w:t>
      </w:r>
      <w:r w:rsidR="00E522C6" w:rsidRPr="00BC2BC4">
        <w:rPr>
          <w:rFonts w:cs="Times New Roman"/>
          <w:kern w:val="2"/>
          <w:sz w:val="20"/>
        </w:rPr>
        <w:t xml:space="preserve">are limited to </w:t>
      </w:r>
      <w:r w:rsidR="0038539F" w:rsidRPr="00BC2BC4">
        <w:rPr>
          <w:rFonts w:cs="Times New Roman"/>
          <w:kern w:val="2"/>
          <w:sz w:val="20"/>
        </w:rPr>
        <w:t>seeking the</w:t>
      </w:r>
      <w:r w:rsidR="00E522C6" w:rsidRPr="00BC2BC4">
        <w:rPr>
          <w:rFonts w:cs="Times New Roman"/>
          <w:kern w:val="2"/>
          <w:sz w:val="20"/>
        </w:rPr>
        <w:t xml:space="preserve"> costs of preparing the</w:t>
      </w:r>
      <w:r w:rsidR="00925591" w:rsidRPr="00BC2BC4">
        <w:rPr>
          <w:rFonts w:cs="Times New Roman"/>
          <w:kern w:val="2"/>
          <w:sz w:val="20"/>
        </w:rPr>
        <w:t>ir</w:t>
      </w:r>
      <w:r w:rsidR="00E522C6" w:rsidRPr="00BC2BC4">
        <w:rPr>
          <w:rFonts w:cs="Times New Roman"/>
          <w:kern w:val="2"/>
          <w:sz w:val="20"/>
        </w:rPr>
        <w:t xml:space="preserve"> quotation and filing their protest.</w:t>
      </w:r>
      <w:r w:rsidR="00E522C6" w:rsidRPr="00BC2BC4">
        <w:rPr>
          <w:rStyle w:val="FootnoteReference"/>
          <w:rFonts w:cs="Times New Roman"/>
          <w:kern w:val="2"/>
          <w:sz w:val="20"/>
        </w:rPr>
        <w:footnoteReference w:id="119"/>
      </w:r>
      <w:r w:rsidR="00E522C6" w:rsidRPr="00BC2BC4">
        <w:rPr>
          <w:rFonts w:cs="Times New Roman"/>
          <w:kern w:val="2"/>
          <w:sz w:val="20"/>
        </w:rPr>
        <w:t xml:space="preserve"> This </w:t>
      </w:r>
      <w:r w:rsidR="00A44801" w:rsidRPr="00BC2BC4">
        <w:rPr>
          <w:rFonts w:cs="Times New Roman"/>
          <w:kern w:val="2"/>
          <w:sz w:val="20"/>
        </w:rPr>
        <w:t>position was solidified in the</w:t>
      </w:r>
      <w:r w:rsidR="00E522C6" w:rsidRPr="00BC2BC4">
        <w:rPr>
          <w:rFonts w:cs="Times New Roman"/>
          <w:kern w:val="2"/>
          <w:sz w:val="20"/>
        </w:rPr>
        <w:t xml:space="preserve"> </w:t>
      </w:r>
      <w:r w:rsidR="00E522C6" w:rsidRPr="00BC2BC4">
        <w:rPr>
          <w:rFonts w:cs="Times New Roman"/>
          <w:i/>
          <w:kern w:val="2"/>
          <w:sz w:val="20"/>
        </w:rPr>
        <w:t xml:space="preserve">Effective Learning </w:t>
      </w:r>
      <w:r w:rsidR="00E522C6" w:rsidRPr="00BC2BC4">
        <w:rPr>
          <w:rFonts w:cs="Times New Roman"/>
          <w:kern w:val="2"/>
          <w:sz w:val="20"/>
        </w:rPr>
        <w:t>decision:</w:t>
      </w:r>
    </w:p>
    <w:p w14:paraId="162CE028" w14:textId="77777777" w:rsidR="00E522C6" w:rsidRPr="00BC2BC4" w:rsidRDefault="00E522C6" w:rsidP="006666A8">
      <w:pPr>
        <w:pStyle w:val="BlockQuote"/>
        <w:rPr>
          <w:kern w:val="2"/>
          <w:sz w:val="20"/>
        </w:rPr>
      </w:pPr>
      <w:r w:rsidRPr="00BC2BC4">
        <w:rPr>
          <w:kern w:val="2"/>
          <w:sz w:val="20"/>
        </w:rPr>
        <w:t>[W]e know of no situation where antic</w:t>
      </w:r>
      <w:r w:rsidR="008A15BD" w:rsidRPr="00BC2BC4">
        <w:rPr>
          <w:kern w:val="2"/>
          <w:sz w:val="20"/>
        </w:rPr>
        <w:t>i</w:t>
      </w:r>
      <w:r w:rsidRPr="00BC2BC4">
        <w:rPr>
          <w:kern w:val="2"/>
          <w:sz w:val="20"/>
        </w:rPr>
        <w:t>pated profits may be recovered when the underlying claim is based upon equitable, rather than legal principles…Here, since a contract between the government and Effective Learning never came into being, the only relief possible was equitable in nature. Hence, the monetary recovery in this situation was limited to the reasonable value of services and did not encompass any potential profits that might have been earned by Effective Learning.</w:t>
      </w:r>
      <w:r w:rsidR="006F3FAD" w:rsidRPr="00BC2BC4">
        <w:rPr>
          <w:rStyle w:val="FootnoteReference"/>
          <w:kern w:val="2"/>
          <w:sz w:val="20"/>
          <w:szCs w:val="21"/>
        </w:rPr>
        <w:footnoteReference w:id="120"/>
      </w:r>
      <w:r w:rsidR="007632A7" w:rsidRPr="00BC2BC4">
        <w:rPr>
          <w:kern w:val="2"/>
          <w:sz w:val="20"/>
        </w:rPr>
        <w:tab/>
      </w:r>
    </w:p>
    <w:p w14:paraId="52A01BAC" w14:textId="11FBC0CE" w:rsidR="0038539F" w:rsidRPr="00BC2BC4" w:rsidRDefault="007632A7" w:rsidP="003F14E9">
      <w:pPr>
        <w:rPr>
          <w:rFonts w:cs="Times New Roman"/>
          <w:kern w:val="2"/>
          <w:sz w:val="20"/>
        </w:rPr>
      </w:pPr>
      <w:r w:rsidRPr="00BC2BC4">
        <w:rPr>
          <w:rFonts w:cs="Times New Roman"/>
          <w:kern w:val="2"/>
          <w:sz w:val="20"/>
        </w:rPr>
        <w:t>The GAO’s position o</w:t>
      </w:r>
      <w:r w:rsidR="0038539F" w:rsidRPr="00BC2BC4">
        <w:rPr>
          <w:rFonts w:cs="Times New Roman"/>
          <w:kern w:val="2"/>
          <w:sz w:val="20"/>
        </w:rPr>
        <w:t>n damages stems from precedent</w:t>
      </w:r>
      <w:r w:rsidR="00925591" w:rsidRPr="00BC2BC4">
        <w:rPr>
          <w:rFonts w:cs="Times New Roman"/>
          <w:kern w:val="2"/>
          <w:sz w:val="20"/>
        </w:rPr>
        <w:t>ial</w:t>
      </w:r>
      <w:r w:rsidRPr="00BC2BC4">
        <w:rPr>
          <w:rFonts w:cs="Times New Roman"/>
          <w:kern w:val="2"/>
          <w:sz w:val="20"/>
        </w:rPr>
        <w:t xml:space="preserve"> </w:t>
      </w:r>
      <w:r w:rsidR="00144510" w:rsidRPr="00BC2BC4">
        <w:rPr>
          <w:rFonts w:cs="Times New Roman"/>
          <w:kern w:val="2"/>
          <w:sz w:val="20"/>
        </w:rPr>
        <w:t>in</w:t>
      </w:r>
      <w:r w:rsidRPr="00BC2BC4">
        <w:rPr>
          <w:rFonts w:cs="Times New Roman"/>
          <w:kern w:val="2"/>
          <w:sz w:val="20"/>
        </w:rPr>
        <w:t xml:space="preserve">ability </w:t>
      </w:r>
      <w:r w:rsidR="00925591" w:rsidRPr="00BC2BC4">
        <w:rPr>
          <w:rFonts w:cs="Times New Roman"/>
          <w:kern w:val="2"/>
          <w:sz w:val="20"/>
        </w:rPr>
        <w:t xml:space="preserve">of parties who do not secure a contract to </w:t>
      </w:r>
      <w:r w:rsidRPr="00BC2BC4">
        <w:rPr>
          <w:rFonts w:cs="Times New Roman"/>
          <w:kern w:val="2"/>
          <w:sz w:val="20"/>
        </w:rPr>
        <w:t>sue and seek damages</w:t>
      </w:r>
      <w:r w:rsidR="00E522C6" w:rsidRPr="00BC2BC4">
        <w:rPr>
          <w:rFonts w:cs="Times New Roman"/>
          <w:kern w:val="2"/>
          <w:sz w:val="20"/>
        </w:rPr>
        <w:t>.</w:t>
      </w:r>
      <w:r w:rsidR="00E522C6" w:rsidRPr="00BC2BC4">
        <w:rPr>
          <w:rStyle w:val="FootnoteReference"/>
          <w:rFonts w:cs="Times New Roman"/>
          <w:kern w:val="2"/>
          <w:sz w:val="20"/>
        </w:rPr>
        <w:footnoteReference w:id="121"/>
      </w:r>
      <w:r w:rsidR="00E522C6" w:rsidRPr="00BC2BC4">
        <w:rPr>
          <w:rFonts w:cs="Times New Roman"/>
          <w:kern w:val="2"/>
          <w:sz w:val="20"/>
        </w:rPr>
        <w:t xml:space="preserve"> </w:t>
      </w:r>
      <w:r w:rsidR="0038539F" w:rsidRPr="00BC2BC4">
        <w:rPr>
          <w:rFonts w:cs="Times New Roman"/>
          <w:kern w:val="2"/>
          <w:sz w:val="20"/>
        </w:rPr>
        <w:t xml:space="preserve">US law requires a contract to exist between the parties </w:t>
      </w:r>
      <w:r w:rsidR="00200F09" w:rsidRPr="00BC2BC4">
        <w:rPr>
          <w:rFonts w:cs="Times New Roman"/>
          <w:kern w:val="2"/>
          <w:sz w:val="20"/>
        </w:rPr>
        <w:t>before a plaintiff is entitled t</w:t>
      </w:r>
      <w:r w:rsidR="0038539F" w:rsidRPr="00BC2BC4">
        <w:rPr>
          <w:rFonts w:cs="Times New Roman"/>
          <w:kern w:val="2"/>
          <w:sz w:val="20"/>
        </w:rPr>
        <w:t>o seek anticipated profits.</w:t>
      </w:r>
      <w:r w:rsidR="00A44801" w:rsidRPr="00BC2BC4">
        <w:rPr>
          <w:rStyle w:val="FootnoteReference"/>
          <w:rFonts w:cs="Times New Roman"/>
          <w:kern w:val="2"/>
          <w:sz w:val="20"/>
        </w:rPr>
        <w:footnoteReference w:id="122"/>
      </w:r>
      <w:r w:rsidR="0038539F" w:rsidRPr="00BC2BC4">
        <w:rPr>
          <w:rFonts w:cs="Times New Roman"/>
          <w:kern w:val="2"/>
          <w:sz w:val="20"/>
        </w:rPr>
        <w:t xml:space="preserve"> </w:t>
      </w:r>
      <w:r w:rsidR="00200F09" w:rsidRPr="00BC2BC4">
        <w:rPr>
          <w:rFonts w:cs="Times New Roman"/>
          <w:kern w:val="2"/>
          <w:sz w:val="20"/>
        </w:rPr>
        <w:t xml:space="preserve">Unlike in Canada and the UK, </w:t>
      </w:r>
      <w:r w:rsidR="0038539F" w:rsidRPr="00BC2BC4">
        <w:rPr>
          <w:rFonts w:cs="Times New Roman"/>
          <w:kern w:val="2"/>
          <w:sz w:val="20"/>
        </w:rPr>
        <w:t>US law does not imply a contract between the party</w:t>
      </w:r>
      <w:r w:rsidR="006F3FAD" w:rsidRPr="00BC2BC4">
        <w:rPr>
          <w:rFonts w:cs="Times New Roman"/>
          <w:kern w:val="2"/>
          <w:sz w:val="20"/>
        </w:rPr>
        <w:t xml:space="preserve"> soliciting bids</w:t>
      </w:r>
      <w:r w:rsidR="0038539F" w:rsidRPr="00BC2BC4">
        <w:rPr>
          <w:rFonts w:cs="Times New Roman"/>
          <w:kern w:val="2"/>
          <w:sz w:val="20"/>
        </w:rPr>
        <w:t xml:space="preserve"> and the bidding parties; the only contract that exists is when the party </w:t>
      </w:r>
      <w:r w:rsidR="006F3FAD" w:rsidRPr="00BC2BC4">
        <w:rPr>
          <w:rFonts w:cs="Times New Roman"/>
          <w:kern w:val="2"/>
          <w:sz w:val="20"/>
        </w:rPr>
        <w:t xml:space="preserve">soliciting bids </w:t>
      </w:r>
      <w:r w:rsidR="0038539F" w:rsidRPr="00BC2BC4">
        <w:rPr>
          <w:rFonts w:cs="Times New Roman"/>
          <w:kern w:val="2"/>
          <w:sz w:val="20"/>
        </w:rPr>
        <w:t xml:space="preserve">selects one of the bids. At that point, the government agency and the bidding party form a contract for services, goods or construction. </w:t>
      </w:r>
    </w:p>
    <w:p w14:paraId="635277B7" w14:textId="29A12CD3" w:rsidR="00E522C6" w:rsidRPr="00BC2BC4" w:rsidRDefault="00925591" w:rsidP="003F14E9">
      <w:pPr>
        <w:rPr>
          <w:rFonts w:cs="Times New Roman"/>
          <w:kern w:val="2"/>
          <w:sz w:val="20"/>
        </w:rPr>
      </w:pPr>
      <w:r w:rsidRPr="00BC2BC4">
        <w:rPr>
          <w:rFonts w:cs="Times New Roman"/>
          <w:kern w:val="2"/>
          <w:sz w:val="20"/>
        </w:rPr>
        <w:t xml:space="preserve">However, </w:t>
      </w:r>
      <w:r w:rsidR="0038539F" w:rsidRPr="00BC2BC4">
        <w:rPr>
          <w:rFonts w:cs="Times New Roman"/>
          <w:kern w:val="2"/>
          <w:sz w:val="20"/>
        </w:rPr>
        <w:t>US law has developed to</w:t>
      </w:r>
      <w:r w:rsidR="00944378" w:rsidRPr="00BC2BC4">
        <w:rPr>
          <w:rFonts w:cs="Times New Roman"/>
          <w:kern w:val="2"/>
          <w:sz w:val="20"/>
        </w:rPr>
        <w:t xml:space="preserve"> a point that</w:t>
      </w:r>
      <w:r w:rsidR="0038539F" w:rsidRPr="00BC2BC4">
        <w:rPr>
          <w:rFonts w:cs="Times New Roman"/>
          <w:kern w:val="2"/>
          <w:sz w:val="20"/>
        </w:rPr>
        <w:t xml:space="preserve"> allow</w:t>
      </w:r>
      <w:r w:rsidR="00944378" w:rsidRPr="00BC2BC4">
        <w:rPr>
          <w:rFonts w:cs="Times New Roman"/>
          <w:kern w:val="2"/>
          <w:sz w:val="20"/>
        </w:rPr>
        <w:t>s</w:t>
      </w:r>
      <w:r w:rsidR="0038539F" w:rsidRPr="00BC2BC4">
        <w:rPr>
          <w:rFonts w:cs="Times New Roman"/>
          <w:kern w:val="2"/>
          <w:sz w:val="20"/>
        </w:rPr>
        <w:t xml:space="preserve"> disgruntled bidding parties to bring an action against the federal government for failure to follow its</w:t>
      </w:r>
      <w:r w:rsidR="003B4BD5" w:rsidRPr="00BC2BC4">
        <w:rPr>
          <w:rFonts w:cs="Times New Roman"/>
          <w:kern w:val="2"/>
          <w:sz w:val="20"/>
        </w:rPr>
        <w:t xml:space="preserve"> procurement laws and procedures. </w:t>
      </w:r>
      <w:r w:rsidR="00E522C6" w:rsidRPr="00BC2BC4">
        <w:rPr>
          <w:rFonts w:cs="Times New Roman"/>
          <w:kern w:val="2"/>
          <w:sz w:val="20"/>
        </w:rPr>
        <w:t xml:space="preserve">In 1940, the Supreme Court held in </w:t>
      </w:r>
      <w:r w:rsidR="00E522C6" w:rsidRPr="00BC2BC4">
        <w:rPr>
          <w:rFonts w:cs="Times New Roman"/>
          <w:i/>
          <w:kern w:val="2"/>
          <w:sz w:val="20"/>
        </w:rPr>
        <w:t>Perkins v Lukens Steel Co</w:t>
      </w:r>
      <w:r w:rsidR="00E522C6" w:rsidRPr="00BC2BC4">
        <w:rPr>
          <w:rFonts w:cs="Times New Roman"/>
          <w:kern w:val="2"/>
          <w:sz w:val="20"/>
        </w:rPr>
        <w:t xml:space="preserve"> that aggrieved parties lacked standing in federal court to challenge government contract awards where they failed to receive the contract</w:t>
      </w:r>
      <w:r w:rsidR="0038539F" w:rsidRPr="00BC2BC4">
        <w:rPr>
          <w:rFonts w:cs="Times New Roman"/>
          <w:kern w:val="2"/>
          <w:sz w:val="20"/>
        </w:rPr>
        <w:t>.</w:t>
      </w:r>
      <w:r w:rsidR="006E199C" w:rsidRPr="00BC2BC4">
        <w:rPr>
          <w:rStyle w:val="FootnoteReference"/>
          <w:rFonts w:cs="Times New Roman"/>
          <w:kern w:val="2"/>
          <w:sz w:val="20"/>
        </w:rPr>
        <w:footnoteReference w:id="123"/>
      </w:r>
      <w:r w:rsidR="00E522C6" w:rsidRPr="00BC2BC4">
        <w:rPr>
          <w:rFonts w:cs="Times New Roman"/>
          <w:kern w:val="2"/>
          <w:sz w:val="20"/>
        </w:rPr>
        <w:t xml:space="preserve"> </w:t>
      </w:r>
      <w:r w:rsidR="00921532" w:rsidRPr="00BC2BC4">
        <w:rPr>
          <w:rFonts w:cs="Times New Roman"/>
          <w:kern w:val="2"/>
          <w:sz w:val="20"/>
        </w:rPr>
        <w:t xml:space="preserve">In a subsequent case, </w:t>
      </w:r>
      <w:r w:rsidR="00921532" w:rsidRPr="00BC2BC4">
        <w:rPr>
          <w:rFonts w:cs="Times New Roman"/>
          <w:i/>
          <w:kern w:val="2"/>
          <w:sz w:val="20"/>
        </w:rPr>
        <w:t>Heyer Products Co v United States</w:t>
      </w:r>
      <w:r w:rsidR="00E522C6" w:rsidRPr="00BC2BC4">
        <w:rPr>
          <w:rFonts w:cs="Times New Roman"/>
          <w:kern w:val="2"/>
          <w:sz w:val="20"/>
        </w:rPr>
        <w:t xml:space="preserve">, the </w:t>
      </w:r>
      <w:r w:rsidR="002F3F2E" w:rsidRPr="00BC2BC4">
        <w:rPr>
          <w:rFonts w:cs="Times New Roman"/>
          <w:kern w:val="2"/>
          <w:sz w:val="20"/>
        </w:rPr>
        <w:t xml:space="preserve">United States </w:t>
      </w:r>
      <w:r w:rsidR="00E522C6" w:rsidRPr="00BC2BC4">
        <w:rPr>
          <w:rFonts w:cs="Times New Roman"/>
          <w:kern w:val="2"/>
          <w:sz w:val="20"/>
        </w:rPr>
        <w:t>Court</w:t>
      </w:r>
      <w:r w:rsidR="002F3F2E" w:rsidRPr="00BC2BC4">
        <w:rPr>
          <w:rFonts w:cs="Times New Roman"/>
          <w:kern w:val="2"/>
          <w:sz w:val="20"/>
        </w:rPr>
        <w:t xml:space="preserve"> of Claims</w:t>
      </w:r>
      <w:r w:rsidR="00E522C6" w:rsidRPr="00BC2BC4">
        <w:rPr>
          <w:rFonts w:cs="Times New Roman"/>
          <w:kern w:val="2"/>
          <w:sz w:val="20"/>
        </w:rPr>
        <w:t xml:space="preserve"> found an implied commitment in procurement request</w:t>
      </w:r>
      <w:r w:rsidRPr="00BC2BC4">
        <w:rPr>
          <w:rFonts w:cs="Times New Roman"/>
          <w:kern w:val="2"/>
          <w:sz w:val="20"/>
        </w:rPr>
        <w:t xml:space="preserve">s to consider </w:t>
      </w:r>
      <w:r w:rsidR="00E522C6" w:rsidRPr="00BC2BC4">
        <w:rPr>
          <w:rFonts w:cs="Times New Roman"/>
          <w:kern w:val="2"/>
          <w:sz w:val="20"/>
        </w:rPr>
        <w:t>each bid</w:t>
      </w:r>
      <w:r w:rsidRPr="00BC2BC4">
        <w:rPr>
          <w:rFonts w:cs="Times New Roman"/>
          <w:kern w:val="2"/>
          <w:sz w:val="20"/>
        </w:rPr>
        <w:t xml:space="preserve"> </w:t>
      </w:r>
      <w:r w:rsidR="00E522C6" w:rsidRPr="00BC2BC4">
        <w:rPr>
          <w:rFonts w:cs="Times New Roman"/>
          <w:kern w:val="2"/>
          <w:sz w:val="20"/>
        </w:rPr>
        <w:t xml:space="preserve">fairly and honestly, and allowed an unsuccessful bidder to file a claim for </w:t>
      </w:r>
      <w:r w:rsidR="00BF7513" w:rsidRPr="00BC2BC4">
        <w:rPr>
          <w:rFonts w:cs="Times New Roman"/>
          <w:kern w:val="2"/>
          <w:sz w:val="20"/>
        </w:rPr>
        <w:t>“</w:t>
      </w:r>
      <w:r w:rsidR="00E522C6" w:rsidRPr="00BC2BC4">
        <w:rPr>
          <w:rFonts w:cs="Times New Roman"/>
          <w:kern w:val="2"/>
          <w:sz w:val="20"/>
        </w:rPr>
        <w:t>bid preparation expenses</w:t>
      </w:r>
      <w:r w:rsidR="0038539F" w:rsidRPr="00BC2BC4">
        <w:rPr>
          <w:rFonts w:cs="Times New Roman"/>
          <w:kern w:val="2"/>
          <w:sz w:val="20"/>
        </w:rPr>
        <w:t>.</w:t>
      </w:r>
      <w:r w:rsidR="00BF7513" w:rsidRPr="00BC2BC4">
        <w:rPr>
          <w:rFonts w:cs="Times New Roman"/>
          <w:kern w:val="2"/>
          <w:sz w:val="20"/>
        </w:rPr>
        <w:t>”</w:t>
      </w:r>
      <w:r w:rsidR="006E199C" w:rsidRPr="00BC2BC4">
        <w:rPr>
          <w:rStyle w:val="FootnoteReference"/>
          <w:rFonts w:cs="Times New Roman"/>
          <w:kern w:val="2"/>
          <w:sz w:val="20"/>
        </w:rPr>
        <w:footnoteReference w:id="124"/>
      </w:r>
      <w:r w:rsidR="006E199C" w:rsidRPr="00BC2BC4">
        <w:rPr>
          <w:rFonts w:cs="Times New Roman"/>
          <w:kern w:val="2"/>
          <w:sz w:val="20"/>
        </w:rPr>
        <w:t xml:space="preserve"> In </w:t>
      </w:r>
      <w:r w:rsidR="006E199C" w:rsidRPr="00BC2BC4">
        <w:rPr>
          <w:rFonts w:cs="Times New Roman"/>
          <w:i/>
          <w:kern w:val="2"/>
          <w:sz w:val="20"/>
        </w:rPr>
        <w:t>Scanwell Laboratories v Shaffer</w:t>
      </w:r>
      <w:r w:rsidR="00944378" w:rsidRPr="00BC2BC4">
        <w:rPr>
          <w:rFonts w:cs="Times New Roman"/>
          <w:kern w:val="2"/>
          <w:sz w:val="20"/>
        </w:rPr>
        <w:t>,</w:t>
      </w:r>
      <w:r w:rsidR="006E199C" w:rsidRPr="00BC2BC4">
        <w:rPr>
          <w:rFonts w:cs="Times New Roman"/>
          <w:kern w:val="2"/>
          <w:sz w:val="20"/>
        </w:rPr>
        <w:t xml:space="preserve"> the </w:t>
      </w:r>
      <w:r w:rsidR="003226B0" w:rsidRPr="00BC2BC4">
        <w:rPr>
          <w:rFonts w:cs="Times New Roman"/>
          <w:kern w:val="2"/>
          <w:sz w:val="20"/>
        </w:rPr>
        <w:t xml:space="preserve">US Court of Appeals for the District of Columbia Circuit </w:t>
      </w:r>
      <w:r w:rsidR="006E199C" w:rsidRPr="00BC2BC4">
        <w:rPr>
          <w:rFonts w:cs="Times New Roman"/>
          <w:kern w:val="2"/>
          <w:sz w:val="20"/>
        </w:rPr>
        <w:t xml:space="preserve">held that the </w:t>
      </w:r>
      <w:r w:rsidR="006E199C" w:rsidRPr="00BC2BC4">
        <w:rPr>
          <w:rFonts w:cs="Times New Roman"/>
          <w:i/>
          <w:kern w:val="2"/>
          <w:sz w:val="20"/>
        </w:rPr>
        <w:t>Administrative Procedure Act</w:t>
      </w:r>
      <w:r w:rsidR="006E199C" w:rsidRPr="00BC2BC4">
        <w:rPr>
          <w:rStyle w:val="FootnoteReference"/>
          <w:rFonts w:cs="Times New Roman"/>
          <w:kern w:val="2"/>
          <w:sz w:val="20"/>
        </w:rPr>
        <w:footnoteReference w:id="125"/>
      </w:r>
      <w:r w:rsidRPr="00BC2BC4">
        <w:rPr>
          <w:rFonts w:cs="Times New Roman"/>
          <w:i/>
          <w:kern w:val="2"/>
          <w:sz w:val="20"/>
        </w:rPr>
        <w:t xml:space="preserve"> </w:t>
      </w:r>
      <w:r w:rsidRPr="00BC2BC4">
        <w:rPr>
          <w:rFonts w:cs="Times New Roman"/>
          <w:kern w:val="2"/>
          <w:sz w:val="20"/>
        </w:rPr>
        <w:t>reversed</w:t>
      </w:r>
      <w:r w:rsidRPr="00BC2BC4">
        <w:rPr>
          <w:rFonts w:cs="Times New Roman"/>
          <w:i/>
          <w:kern w:val="2"/>
          <w:sz w:val="20"/>
        </w:rPr>
        <w:t xml:space="preserve"> P</w:t>
      </w:r>
      <w:r w:rsidR="006E199C" w:rsidRPr="00BC2BC4">
        <w:rPr>
          <w:rFonts w:cs="Times New Roman"/>
          <w:i/>
          <w:kern w:val="2"/>
          <w:sz w:val="20"/>
        </w:rPr>
        <w:t>erkins</w:t>
      </w:r>
      <w:r w:rsidR="006E199C" w:rsidRPr="00BC2BC4">
        <w:rPr>
          <w:rFonts w:cs="Times New Roman"/>
          <w:kern w:val="2"/>
          <w:sz w:val="20"/>
        </w:rPr>
        <w:t xml:space="preserve"> and that review of publ</w:t>
      </w:r>
      <w:r w:rsidR="0038539F" w:rsidRPr="00BC2BC4">
        <w:rPr>
          <w:rFonts w:cs="Times New Roman"/>
          <w:kern w:val="2"/>
          <w:sz w:val="20"/>
        </w:rPr>
        <w:t>ic procurement decisions was</w:t>
      </w:r>
      <w:r w:rsidR="006E199C" w:rsidRPr="00BC2BC4">
        <w:rPr>
          <w:rFonts w:cs="Times New Roman"/>
          <w:kern w:val="2"/>
          <w:sz w:val="20"/>
        </w:rPr>
        <w:t xml:space="preserve"> available in district courts</w:t>
      </w:r>
      <w:r w:rsidRPr="00BC2BC4">
        <w:rPr>
          <w:rFonts w:cs="Times New Roman"/>
          <w:kern w:val="2"/>
          <w:sz w:val="20"/>
        </w:rPr>
        <w:t>.</w:t>
      </w:r>
      <w:r w:rsidR="006E199C" w:rsidRPr="00BC2BC4">
        <w:rPr>
          <w:rStyle w:val="FootnoteReference"/>
          <w:rFonts w:cs="Times New Roman"/>
          <w:kern w:val="2"/>
          <w:sz w:val="20"/>
        </w:rPr>
        <w:footnoteReference w:id="126"/>
      </w:r>
    </w:p>
    <w:p w14:paraId="6DC78656" w14:textId="063820DF" w:rsidR="00817799" w:rsidRPr="00BC2BC4" w:rsidRDefault="00817799" w:rsidP="00C74A64">
      <w:pPr>
        <w:pStyle w:val="Heading2"/>
        <w:rPr>
          <w:kern w:val="2"/>
          <w:sz w:val="24"/>
        </w:rPr>
      </w:pPr>
      <w:bookmarkStart w:id="34" w:name="_Toc424485025"/>
      <w:r w:rsidRPr="00BC2BC4">
        <w:rPr>
          <w:kern w:val="2"/>
          <w:sz w:val="24"/>
        </w:rPr>
        <w:t>UK Private Law</w:t>
      </w:r>
      <w:bookmarkEnd w:id="34"/>
      <w:r w:rsidRPr="00BC2BC4">
        <w:rPr>
          <w:kern w:val="2"/>
          <w:sz w:val="24"/>
        </w:rPr>
        <w:t xml:space="preserve"> </w:t>
      </w:r>
    </w:p>
    <w:p w14:paraId="1A798FCC" w14:textId="3D6F1F06" w:rsidR="0038539F" w:rsidRPr="00BC2BC4" w:rsidRDefault="00787AC3" w:rsidP="003F14E9">
      <w:pPr>
        <w:rPr>
          <w:rFonts w:cs="Times New Roman"/>
          <w:kern w:val="2"/>
          <w:sz w:val="20"/>
        </w:rPr>
      </w:pPr>
      <w:r w:rsidRPr="00BC2BC4">
        <w:rPr>
          <w:rFonts w:cs="Times New Roman"/>
          <w:kern w:val="2"/>
          <w:sz w:val="20"/>
        </w:rPr>
        <w:t xml:space="preserve">English courts established in </w:t>
      </w:r>
      <w:r w:rsidRPr="00BC2BC4">
        <w:rPr>
          <w:rFonts w:cs="Times New Roman"/>
          <w:i/>
          <w:kern w:val="2"/>
          <w:sz w:val="20"/>
        </w:rPr>
        <w:t xml:space="preserve">Blackpool &amp; Fylde Aero Club Ltd v Blackpool Borough Council </w:t>
      </w:r>
      <w:r w:rsidRPr="00BC2BC4">
        <w:rPr>
          <w:rFonts w:cs="Times New Roman"/>
          <w:kern w:val="2"/>
          <w:sz w:val="20"/>
        </w:rPr>
        <w:t>that when an organization, particularly a public sector body, invites tenders to be submitted they are giving an implicit promise to strictly adhere to the tendering rules set out for the particular tender.</w:t>
      </w:r>
      <w:r w:rsidRPr="00BC2BC4">
        <w:rPr>
          <w:rStyle w:val="FootnoteReference"/>
          <w:rFonts w:cs="Times New Roman"/>
          <w:kern w:val="2"/>
          <w:sz w:val="20"/>
        </w:rPr>
        <w:footnoteReference w:id="127"/>
      </w:r>
      <w:r w:rsidR="006F1821" w:rsidRPr="00BC2BC4">
        <w:rPr>
          <w:rFonts w:cs="Times New Roman"/>
          <w:kern w:val="2"/>
          <w:sz w:val="20"/>
        </w:rPr>
        <w:t xml:space="preserve"> Failure to do so will give </w:t>
      </w:r>
      <w:r w:rsidR="00944378" w:rsidRPr="00BC2BC4">
        <w:rPr>
          <w:rFonts w:cs="Times New Roman"/>
          <w:kern w:val="2"/>
          <w:sz w:val="20"/>
        </w:rPr>
        <w:t xml:space="preserve">aggrieved parties the </w:t>
      </w:r>
      <w:r w:rsidR="006F1821" w:rsidRPr="00BC2BC4">
        <w:rPr>
          <w:rFonts w:cs="Times New Roman"/>
          <w:kern w:val="2"/>
          <w:sz w:val="20"/>
        </w:rPr>
        <w:t>right to</w:t>
      </w:r>
      <w:r w:rsidR="00944378" w:rsidRPr="00BC2BC4">
        <w:rPr>
          <w:rFonts w:cs="Times New Roman"/>
          <w:kern w:val="2"/>
          <w:sz w:val="20"/>
        </w:rPr>
        <w:t xml:space="preserve"> bring</w:t>
      </w:r>
      <w:r w:rsidR="006F1821" w:rsidRPr="00BC2BC4">
        <w:rPr>
          <w:rFonts w:cs="Times New Roman"/>
          <w:kern w:val="2"/>
          <w:sz w:val="20"/>
        </w:rPr>
        <w:t xml:space="preserve"> an action for damages</w:t>
      </w:r>
      <w:r w:rsidR="003471AB" w:rsidRPr="00BC2BC4">
        <w:rPr>
          <w:rFonts w:cs="Times New Roman"/>
          <w:kern w:val="2"/>
          <w:sz w:val="20"/>
        </w:rPr>
        <w:t xml:space="preserve">. Further, in </w:t>
      </w:r>
      <w:r w:rsidR="003471AB" w:rsidRPr="00BC2BC4">
        <w:rPr>
          <w:rFonts w:cs="Times New Roman"/>
          <w:i/>
          <w:kern w:val="2"/>
          <w:sz w:val="20"/>
        </w:rPr>
        <w:t>Hughes Aircraft Systems International v Airservices Australia</w:t>
      </w:r>
      <w:r w:rsidR="008E6548" w:rsidRPr="00BC2BC4">
        <w:rPr>
          <w:rFonts w:cs="Times New Roman"/>
          <w:kern w:val="2"/>
          <w:sz w:val="20"/>
        </w:rPr>
        <w:t>,</w:t>
      </w:r>
      <w:r w:rsidR="003471AB" w:rsidRPr="00BC2BC4">
        <w:rPr>
          <w:rFonts w:cs="Times New Roman"/>
          <w:kern w:val="2"/>
          <w:sz w:val="20"/>
        </w:rPr>
        <w:t xml:space="preserve"> the </w:t>
      </w:r>
      <w:r w:rsidR="008E6548" w:rsidRPr="00BC2BC4">
        <w:rPr>
          <w:rFonts w:cs="Times New Roman"/>
          <w:kern w:val="2"/>
          <w:sz w:val="20"/>
        </w:rPr>
        <w:t>Federal C</w:t>
      </w:r>
      <w:r w:rsidR="003471AB" w:rsidRPr="00BC2BC4">
        <w:rPr>
          <w:rFonts w:cs="Times New Roman"/>
          <w:kern w:val="2"/>
          <w:sz w:val="20"/>
        </w:rPr>
        <w:t>ourt</w:t>
      </w:r>
      <w:r w:rsidR="008E6548" w:rsidRPr="00BC2BC4">
        <w:rPr>
          <w:rFonts w:cs="Times New Roman"/>
          <w:kern w:val="2"/>
          <w:sz w:val="20"/>
        </w:rPr>
        <w:t xml:space="preserve"> of Australia</w:t>
      </w:r>
      <w:r w:rsidR="003471AB" w:rsidRPr="00BC2BC4">
        <w:rPr>
          <w:rFonts w:cs="Times New Roman"/>
          <w:kern w:val="2"/>
          <w:sz w:val="20"/>
        </w:rPr>
        <w:t xml:space="preserve"> held that </w:t>
      </w:r>
      <w:r w:rsidR="001A7158" w:rsidRPr="00BC2BC4">
        <w:rPr>
          <w:rFonts w:cs="Times New Roman"/>
          <w:kern w:val="2"/>
          <w:sz w:val="20"/>
        </w:rPr>
        <w:t xml:space="preserve">the </w:t>
      </w:r>
      <w:r w:rsidR="003471AB" w:rsidRPr="00BC2BC4">
        <w:rPr>
          <w:rFonts w:cs="Times New Roman"/>
          <w:kern w:val="2"/>
          <w:sz w:val="20"/>
        </w:rPr>
        <w:t>procuring party was under a contractual obligation to apply the tender process criteria they had advertised along with the call for tenders.</w:t>
      </w:r>
      <w:r w:rsidR="003471AB" w:rsidRPr="00BC2BC4">
        <w:rPr>
          <w:rStyle w:val="FootnoteReference"/>
          <w:rFonts w:cs="Times New Roman"/>
          <w:kern w:val="2"/>
          <w:sz w:val="20"/>
        </w:rPr>
        <w:footnoteReference w:id="128"/>
      </w:r>
      <w:r w:rsidR="003471AB" w:rsidRPr="00BC2BC4">
        <w:rPr>
          <w:rFonts w:cs="Times New Roman"/>
          <w:kern w:val="2"/>
          <w:sz w:val="20"/>
        </w:rPr>
        <w:t xml:space="preserve"> </w:t>
      </w:r>
    </w:p>
    <w:p w14:paraId="448E5702" w14:textId="15FC14AE" w:rsidR="003471AB" w:rsidRPr="00BC2BC4" w:rsidRDefault="003471AB" w:rsidP="003F14E9">
      <w:pPr>
        <w:rPr>
          <w:rFonts w:cs="Times New Roman"/>
          <w:kern w:val="2"/>
          <w:sz w:val="20"/>
        </w:rPr>
      </w:pPr>
      <w:r w:rsidRPr="00BC2BC4">
        <w:rPr>
          <w:rFonts w:cs="Times New Roman"/>
          <w:kern w:val="2"/>
          <w:sz w:val="20"/>
        </w:rPr>
        <w:t xml:space="preserve">This principle developed further in </w:t>
      </w:r>
      <w:r w:rsidRPr="00BC2BC4">
        <w:rPr>
          <w:rFonts w:cs="Times New Roman"/>
          <w:i/>
          <w:kern w:val="2"/>
          <w:sz w:val="20"/>
        </w:rPr>
        <w:t>Harmon CFEM Facades (UK) Ltd v Corporate Officer of the House of Commons</w:t>
      </w:r>
      <w:r w:rsidR="001A7158" w:rsidRPr="00BC2BC4">
        <w:rPr>
          <w:rFonts w:cs="Times New Roman"/>
          <w:kern w:val="2"/>
          <w:sz w:val="20"/>
        </w:rPr>
        <w:t>,</w:t>
      </w:r>
      <w:r w:rsidR="001A7158" w:rsidRPr="00BC2BC4">
        <w:rPr>
          <w:rFonts w:cs="Times New Roman"/>
          <w:i/>
          <w:kern w:val="2"/>
          <w:sz w:val="20"/>
        </w:rPr>
        <w:t xml:space="preserve"> </w:t>
      </w:r>
      <w:r w:rsidR="001A7158" w:rsidRPr="00BC2BC4">
        <w:rPr>
          <w:rFonts w:cs="Times New Roman"/>
          <w:kern w:val="2"/>
          <w:sz w:val="20"/>
        </w:rPr>
        <w:t>in which</w:t>
      </w:r>
      <w:r w:rsidR="006F1821" w:rsidRPr="00BC2BC4">
        <w:rPr>
          <w:rFonts w:cs="Times New Roman"/>
          <w:kern w:val="2"/>
          <w:sz w:val="20"/>
        </w:rPr>
        <w:t xml:space="preserve"> the </w:t>
      </w:r>
      <w:r w:rsidR="008E6548" w:rsidRPr="00BC2BC4">
        <w:rPr>
          <w:rFonts w:cs="Times New Roman"/>
          <w:kern w:val="2"/>
          <w:sz w:val="20"/>
        </w:rPr>
        <w:t>High C</w:t>
      </w:r>
      <w:r w:rsidR="006F1821" w:rsidRPr="00BC2BC4">
        <w:rPr>
          <w:rFonts w:cs="Times New Roman"/>
          <w:kern w:val="2"/>
          <w:sz w:val="20"/>
        </w:rPr>
        <w:t>ourt pronounced that when tenders are sought by the public sector, a contract exists between the</w:t>
      </w:r>
      <w:r w:rsidR="001A7158" w:rsidRPr="00BC2BC4">
        <w:rPr>
          <w:rFonts w:cs="Times New Roman"/>
          <w:kern w:val="2"/>
          <w:sz w:val="20"/>
        </w:rPr>
        <w:t xml:space="preserve"> bidder and public body</w:t>
      </w:r>
      <w:r w:rsidR="006F1821" w:rsidRPr="00BC2BC4">
        <w:rPr>
          <w:rFonts w:cs="Times New Roman"/>
          <w:kern w:val="2"/>
          <w:sz w:val="20"/>
        </w:rPr>
        <w:t xml:space="preserve"> that requires all tenders to be considered fairly. In </w:t>
      </w:r>
      <w:r w:rsidR="006F1821" w:rsidRPr="00BC2BC4">
        <w:rPr>
          <w:rFonts w:cs="Times New Roman"/>
          <w:i/>
          <w:kern w:val="2"/>
          <w:sz w:val="20"/>
        </w:rPr>
        <w:t>Harmon</w:t>
      </w:r>
      <w:r w:rsidR="006F1821" w:rsidRPr="00BC2BC4">
        <w:rPr>
          <w:rFonts w:cs="Times New Roman"/>
          <w:kern w:val="2"/>
          <w:sz w:val="20"/>
        </w:rPr>
        <w:t xml:space="preserve">, </w:t>
      </w:r>
      <w:r w:rsidRPr="00BC2BC4">
        <w:rPr>
          <w:rFonts w:cs="Times New Roman"/>
          <w:kern w:val="2"/>
          <w:sz w:val="20"/>
        </w:rPr>
        <w:t>the trial judge found that the bids had been manipulated and the defendant had chosen a bid over the plaintiff’s, who was in fact the lowest bidder.</w:t>
      </w:r>
      <w:r w:rsidRPr="00BC2BC4">
        <w:rPr>
          <w:rStyle w:val="FootnoteReference"/>
          <w:rFonts w:cs="Times New Roman"/>
          <w:kern w:val="2"/>
          <w:sz w:val="20"/>
        </w:rPr>
        <w:footnoteReference w:id="129"/>
      </w:r>
      <w:r w:rsidRPr="00BC2BC4">
        <w:rPr>
          <w:rFonts w:cs="Times New Roman"/>
          <w:kern w:val="2"/>
          <w:sz w:val="20"/>
        </w:rPr>
        <w:t xml:space="preserve"> The judge found this to be a breach of contract:</w:t>
      </w:r>
    </w:p>
    <w:p w14:paraId="23ACAFA9" w14:textId="14AC3E81" w:rsidR="003471AB" w:rsidRPr="00BC2BC4" w:rsidRDefault="003471AB" w:rsidP="00C74A64">
      <w:pPr>
        <w:pStyle w:val="BlockQuote"/>
        <w:rPr>
          <w:kern w:val="2"/>
          <w:sz w:val="20"/>
        </w:rPr>
      </w:pPr>
      <w:r w:rsidRPr="00BC2BC4">
        <w:rPr>
          <w:kern w:val="2"/>
          <w:sz w:val="20"/>
        </w:rPr>
        <w:t>In the public sector where competitive tenders are sought and responded to, a contract comes into existence whereby the prospective employer impliedly agrees to consider all tenders fairly.</w:t>
      </w:r>
      <w:r w:rsidR="00D86B71" w:rsidRPr="00BC2BC4">
        <w:rPr>
          <w:rStyle w:val="FootnoteReference"/>
          <w:kern w:val="2"/>
          <w:sz w:val="20"/>
          <w:szCs w:val="21"/>
        </w:rPr>
        <w:footnoteReference w:id="130"/>
      </w:r>
    </w:p>
    <w:p w14:paraId="32DBA842" w14:textId="44A1CEF2" w:rsidR="00AC24C0" w:rsidRPr="00BC2BC4" w:rsidRDefault="002D66D2" w:rsidP="003F14E9">
      <w:pPr>
        <w:rPr>
          <w:rFonts w:cs="Times New Roman"/>
          <w:kern w:val="2"/>
          <w:sz w:val="20"/>
        </w:rPr>
      </w:pPr>
      <w:r w:rsidRPr="00BC2BC4">
        <w:rPr>
          <w:rFonts w:cs="Times New Roman"/>
          <w:kern w:val="2"/>
          <w:sz w:val="20"/>
        </w:rPr>
        <w:t xml:space="preserve">This </w:t>
      </w:r>
      <w:r w:rsidR="00A2156C" w:rsidRPr="00BC2BC4">
        <w:rPr>
          <w:rFonts w:cs="Times New Roman"/>
          <w:kern w:val="2"/>
          <w:sz w:val="20"/>
        </w:rPr>
        <w:t xml:space="preserve">creates a contract distinct from the contract being tendered for and requires that the purchaser abide by the terms </w:t>
      </w:r>
      <w:r w:rsidR="00D86B71" w:rsidRPr="00BC2BC4">
        <w:rPr>
          <w:rFonts w:cs="Times New Roman"/>
          <w:kern w:val="2"/>
          <w:sz w:val="20"/>
        </w:rPr>
        <w:t xml:space="preserve">it </w:t>
      </w:r>
      <w:r w:rsidR="00A2156C" w:rsidRPr="00BC2BC4">
        <w:rPr>
          <w:rFonts w:cs="Times New Roman"/>
          <w:kern w:val="2"/>
          <w:sz w:val="20"/>
        </w:rPr>
        <w:t>set</w:t>
      </w:r>
      <w:r w:rsidR="00D86B71" w:rsidRPr="00BC2BC4">
        <w:rPr>
          <w:rFonts w:cs="Times New Roman"/>
          <w:kern w:val="2"/>
          <w:sz w:val="20"/>
        </w:rPr>
        <w:t>s</w:t>
      </w:r>
      <w:r w:rsidR="00A2156C" w:rsidRPr="00BC2BC4">
        <w:rPr>
          <w:rFonts w:cs="Times New Roman"/>
          <w:kern w:val="2"/>
          <w:sz w:val="20"/>
        </w:rPr>
        <w:t xml:space="preserve"> out in </w:t>
      </w:r>
      <w:r w:rsidR="00921532" w:rsidRPr="00BC2BC4">
        <w:rPr>
          <w:rFonts w:cs="Times New Roman"/>
          <w:kern w:val="2"/>
          <w:sz w:val="20"/>
        </w:rPr>
        <w:t xml:space="preserve">its </w:t>
      </w:r>
      <w:r w:rsidR="00A2156C" w:rsidRPr="00BC2BC4">
        <w:rPr>
          <w:rFonts w:cs="Times New Roman"/>
          <w:kern w:val="2"/>
          <w:sz w:val="20"/>
        </w:rPr>
        <w:t>call for tenders.</w:t>
      </w:r>
    </w:p>
    <w:p w14:paraId="420A6AF9" w14:textId="50F05CC2" w:rsidR="007632A7" w:rsidRPr="00BC2BC4" w:rsidRDefault="00787AC3" w:rsidP="00C74A64">
      <w:pPr>
        <w:pStyle w:val="Heading2"/>
        <w:rPr>
          <w:kern w:val="2"/>
          <w:sz w:val="24"/>
        </w:rPr>
      </w:pPr>
      <w:bookmarkStart w:id="35" w:name="_Toc424485026"/>
      <w:r w:rsidRPr="00BC2BC4">
        <w:rPr>
          <w:kern w:val="2"/>
          <w:sz w:val="24"/>
        </w:rPr>
        <w:t>Canadian</w:t>
      </w:r>
      <w:r w:rsidR="007632A7" w:rsidRPr="00BC2BC4">
        <w:rPr>
          <w:kern w:val="2"/>
          <w:sz w:val="24"/>
        </w:rPr>
        <w:t xml:space="preserve"> Private Law</w:t>
      </w:r>
      <w:bookmarkEnd w:id="35"/>
      <w:r w:rsidR="007632A7" w:rsidRPr="00BC2BC4">
        <w:rPr>
          <w:kern w:val="2"/>
          <w:sz w:val="24"/>
        </w:rPr>
        <w:t xml:space="preserve"> </w:t>
      </w:r>
    </w:p>
    <w:p w14:paraId="24B69BE4" w14:textId="78C1345F" w:rsidR="000602BF" w:rsidRPr="00BC2BC4" w:rsidRDefault="007632A7" w:rsidP="006B0E35">
      <w:pPr>
        <w:rPr>
          <w:kern w:val="2"/>
          <w:sz w:val="20"/>
        </w:rPr>
      </w:pPr>
      <w:r w:rsidRPr="00BC2BC4">
        <w:rPr>
          <w:kern w:val="2"/>
          <w:sz w:val="20"/>
        </w:rPr>
        <w:t xml:space="preserve">The legal framework for procurement in Canada was established in the seminal case </w:t>
      </w:r>
      <w:r w:rsidRPr="00BC2BC4">
        <w:rPr>
          <w:i/>
          <w:kern w:val="2"/>
          <w:sz w:val="20"/>
        </w:rPr>
        <w:t>The Queen (Ont) v Ron Engineering</w:t>
      </w:r>
      <w:r w:rsidRPr="00BC2BC4">
        <w:rPr>
          <w:kern w:val="2"/>
          <w:sz w:val="20"/>
        </w:rPr>
        <w:t>.</w:t>
      </w:r>
      <w:r w:rsidRPr="00BC2BC4">
        <w:rPr>
          <w:rStyle w:val="FootnoteReference"/>
          <w:kern w:val="2"/>
          <w:sz w:val="20"/>
        </w:rPr>
        <w:footnoteReference w:id="131"/>
      </w:r>
      <w:r w:rsidRPr="00BC2BC4">
        <w:rPr>
          <w:kern w:val="2"/>
          <w:sz w:val="20"/>
        </w:rPr>
        <w:t xml:space="preserve"> This case </w:t>
      </w:r>
      <w:r w:rsidR="00944378" w:rsidRPr="00BC2BC4">
        <w:rPr>
          <w:kern w:val="2"/>
          <w:sz w:val="20"/>
        </w:rPr>
        <w:t>created the concept of dual contracts in procurement cases</w:t>
      </w:r>
      <w:r w:rsidRPr="00BC2BC4">
        <w:rPr>
          <w:kern w:val="2"/>
          <w:sz w:val="20"/>
        </w:rPr>
        <w:t>.</w:t>
      </w:r>
      <w:r w:rsidR="00004FBE" w:rsidRPr="00BC2BC4">
        <w:rPr>
          <w:rStyle w:val="FootnoteReference"/>
          <w:kern w:val="2"/>
          <w:sz w:val="20"/>
        </w:rPr>
        <w:footnoteReference w:id="132"/>
      </w:r>
      <w:r w:rsidRPr="00BC2BC4">
        <w:rPr>
          <w:kern w:val="2"/>
          <w:sz w:val="20"/>
        </w:rPr>
        <w:t xml:space="preserve"> Contract A is formed when a call for tenders is issued (the offer) and a bid is submitted in response (the acceptance).</w:t>
      </w:r>
      <w:r w:rsidRPr="00BC2BC4">
        <w:rPr>
          <w:rStyle w:val="FootnoteReference"/>
          <w:kern w:val="2"/>
          <w:sz w:val="20"/>
        </w:rPr>
        <w:footnoteReference w:id="133"/>
      </w:r>
      <w:r w:rsidRPr="00BC2BC4">
        <w:rPr>
          <w:kern w:val="2"/>
          <w:sz w:val="20"/>
        </w:rPr>
        <w:t xml:space="preserve"> Contract B arises between the entity calling for tenders and the successful bidder. </w:t>
      </w:r>
    </w:p>
    <w:p w14:paraId="23CC0B57" w14:textId="20DCC735" w:rsidR="00067BED" w:rsidRPr="00BC2BC4" w:rsidRDefault="00067BED" w:rsidP="006B0E35">
      <w:pPr>
        <w:rPr>
          <w:kern w:val="2"/>
          <w:sz w:val="20"/>
        </w:rPr>
      </w:pPr>
      <w:r w:rsidRPr="00BC2BC4">
        <w:rPr>
          <w:kern w:val="2"/>
          <w:sz w:val="20"/>
        </w:rPr>
        <w:t xml:space="preserve">In Quebec, although </w:t>
      </w:r>
      <w:r w:rsidRPr="00BC2BC4">
        <w:rPr>
          <w:bCs/>
          <w:i/>
          <w:iCs/>
          <w:kern w:val="2"/>
          <w:sz w:val="20"/>
        </w:rPr>
        <w:t>Ron Engineering</w:t>
      </w:r>
      <w:r w:rsidRPr="00BC2BC4">
        <w:rPr>
          <w:kern w:val="2"/>
          <w:sz w:val="20"/>
        </w:rPr>
        <w:t xml:space="preserve"> has been applied</w:t>
      </w:r>
      <w:r w:rsidR="00E10545" w:rsidRPr="00BC2BC4">
        <w:rPr>
          <w:kern w:val="2"/>
          <w:sz w:val="20"/>
        </w:rPr>
        <w:t xml:space="preserve"> by the courts</w:t>
      </w:r>
      <w:r w:rsidRPr="00BC2BC4">
        <w:rPr>
          <w:kern w:val="2"/>
          <w:sz w:val="20"/>
        </w:rPr>
        <w:t>, the same results</w:t>
      </w:r>
      <w:r w:rsidR="004E103A" w:rsidRPr="00BC2BC4">
        <w:rPr>
          <w:kern w:val="2"/>
          <w:sz w:val="20"/>
        </w:rPr>
        <w:t xml:space="preserve"> are</w:t>
      </w:r>
      <w:r w:rsidRPr="00BC2BC4">
        <w:rPr>
          <w:kern w:val="2"/>
          <w:sz w:val="20"/>
        </w:rPr>
        <w:t xml:space="preserve"> obtain</w:t>
      </w:r>
      <w:r w:rsidR="004E103A" w:rsidRPr="00BC2BC4">
        <w:rPr>
          <w:kern w:val="2"/>
          <w:sz w:val="20"/>
        </w:rPr>
        <w:t>ed</w:t>
      </w:r>
      <w:r w:rsidRPr="00BC2BC4">
        <w:rPr>
          <w:kern w:val="2"/>
          <w:sz w:val="20"/>
        </w:rPr>
        <w:t xml:space="preserve"> under civil law principles of offer and acceptance.</w:t>
      </w:r>
      <w:r w:rsidR="00284314" w:rsidRPr="00BC2BC4">
        <w:rPr>
          <w:rStyle w:val="FootnoteReference"/>
          <w:kern w:val="2"/>
          <w:sz w:val="20"/>
        </w:rPr>
        <w:footnoteReference w:id="134"/>
      </w:r>
      <w:r w:rsidRPr="00BC2BC4">
        <w:rPr>
          <w:kern w:val="2"/>
          <w:sz w:val="20"/>
        </w:rPr>
        <w:t xml:space="preserve"> </w:t>
      </w:r>
      <w:r w:rsidR="005D72C6" w:rsidRPr="00BC2BC4">
        <w:rPr>
          <w:kern w:val="2"/>
          <w:sz w:val="20"/>
        </w:rPr>
        <w:t>This is because Quebec’s</w:t>
      </w:r>
      <w:r w:rsidRPr="00BC2BC4">
        <w:rPr>
          <w:kern w:val="2"/>
          <w:sz w:val="20"/>
        </w:rPr>
        <w:t xml:space="preserve"> </w:t>
      </w:r>
      <w:r w:rsidRPr="00BC2BC4">
        <w:rPr>
          <w:i/>
          <w:iCs/>
          <w:kern w:val="2"/>
          <w:sz w:val="20"/>
        </w:rPr>
        <w:t>Civil Code</w:t>
      </w:r>
      <w:r w:rsidRPr="00BC2BC4">
        <w:rPr>
          <w:kern w:val="2"/>
          <w:sz w:val="20"/>
        </w:rPr>
        <w:t xml:space="preserve"> imposes obligations </w:t>
      </w:r>
      <w:r w:rsidR="00CC2F38" w:rsidRPr="00BC2BC4">
        <w:rPr>
          <w:kern w:val="2"/>
          <w:sz w:val="20"/>
        </w:rPr>
        <w:t xml:space="preserve">on the parties </w:t>
      </w:r>
      <w:r w:rsidRPr="00BC2BC4">
        <w:rPr>
          <w:kern w:val="2"/>
          <w:sz w:val="20"/>
        </w:rPr>
        <w:t>arising from pre-contractual negotiations</w:t>
      </w:r>
      <w:r w:rsidR="005D72C6" w:rsidRPr="00BC2BC4">
        <w:rPr>
          <w:kern w:val="2"/>
          <w:sz w:val="20"/>
        </w:rPr>
        <w:t xml:space="preserve"> </w:t>
      </w:r>
      <w:r w:rsidRPr="00BC2BC4">
        <w:rPr>
          <w:kern w:val="2"/>
          <w:sz w:val="20"/>
        </w:rPr>
        <w:t xml:space="preserve">even though no contractual relationship arises between </w:t>
      </w:r>
      <w:r w:rsidR="006F708C" w:rsidRPr="00BC2BC4">
        <w:rPr>
          <w:kern w:val="2"/>
          <w:sz w:val="20"/>
        </w:rPr>
        <w:t>the party calling for tenders</w:t>
      </w:r>
      <w:r w:rsidRPr="00BC2BC4">
        <w:rPr>
          <w:kern w:val="2"/>
          <w:sz w:val="20"/>
        </w:rPr>
        <w:t xml:space="preserve"> and </w:t>
      </w:r>
      <w:r w:rsidR="006F708C" w:rsidRPr="00BC2BC4">
        <w:rPr>
          <w:kern w:val="2"/>
          <w:sz w:val="20"/>
        </w:rPr>
        <w:t xml:space="preserve">the </w:t>
      </w:r>
      <w:r w:rsidRPr="00BC2BC4">
        <w:rPr>
          <w:kern w:val="2"/>
          <w:sz w:val="20"/>
        </w:rPr>
        <w:t>bidder before acceptance of the bid.</w:t>
      </w:r>
      <w:r w:rsidR="00CC2F38" w:rsidRPr="00BC2BC4">
        <w:rPr>
          <w:rStyle w:val="FootnoteReference"/>
          <w:kern w:val="2"/>
          <w:sz w:val="20"/>
        </w:rPr>
        <w:footnoteReference w:id="135"/>
      </w:r>
    </w:p>
    <w:p w14:paraId="38ED5A7E" w14:textId="7FAE549E" w:rsidR="007632A7" w:rsidRPr="00BC2BC4" w:rsidRDefault="007632A7" w:rsidP="006B0E35">
      <w:pPr>
        <w:rPr>
          <w:kern w:val="2"/>
          <w:sz w:val="20"/>
        </w:rPr>
      </w:pPr>
      <w:r w:rsidRPr="00BC2BC4">
        <w:rPr>
          <w:kern w:val="2"/>
          <w:sz w:val="20"/>
        </w:rPr>
        <w:t xml:space="preserve">After </w:t>
      </w:r>
      <w:r w:rsidRPr="00BC2BC4">
        <w:rPr>
          <w:i/>
          <w:kern w:val="2"/>
          <w:sz w:val="20"/>
        </w:rPr>
        <w:t>Ron Engineering</w:t>
      </w:r>
      <w:r w:rsidRPr="00BC2BC4">
        <w:rPr>
          <w:kern w:val="2"/>
          <w:sz w:val="20"/>
        </w:rPr>
        <w:t xml:space="preserve">, </w:t>
      </w:r>
      <w:r w:rsidR="00200F09" w:rsidRPr="00BC2BC4">
        <w:rPr>
          <w:kern w:val="2"/>
          <w:sz w:val="20"/>
        </w:rPr>
        <w:t>the</w:t>
      </w:r>
      <w:r w:rsidRPr="00BC2BC4">
        <w:rPr>
          <w:kern w:val="2"/>
          <w:sz w:val="20"/>
        </w:rPr>
        <w:t xml:space="preserve"> Supreme Court of Canada further developed </w:t>
      </w:r>
      <w:r w:rsidR="001A7158" w:rsidRPr="00BC2BC4">
        <w:rPr>
          <w:kern w:val="2"/>
          <w:sz w:val="20"/>
        </w:rPr>
        <w:t xml:space="preserve">this </w:t>
      </w:r>
      <w:r w:rsidRPr="00BC2BC4">
        <w:rPr>
          <w:kern w:val="2"/>
          <w:sz w:val="20"/>
        </w:rPr>
        <w:t>dual</w:t>
      </w:r>
      <w:r w:rsidR="00944378" w:rsidRPr="00BC2BC4">
        <w:rPr>
          <w:kern w:val="2"/>
          <w:sz w:val="20"/>
        </w:rPr>
        <w:t xml:space="preserve"> contract</w:t>
      </w:r>
      <w:r w:rsidRPr="00BC2BC4">
        <w:rPr>
          <w:kern w:val="2"/>
          <w:sz w:val="20"/>
        </w:rPr>
        <w:t xml:space="preserve"> procurement</w:t>
      </w:r>
      <w:r w:rsidR="00944378" w:rsidRPr="00BC2BC4">
        <w:rPr>
          <w:kern w:val="2"/>
          <w:sz w:val="20"/>
        </w:rPr>
        <w:t xml:space="preserve"> </w:t>
      </w:r>
      <w:r w:rsidRPr="00BC2BC4">
        <w:rPr>
          <w:kern w:val="2"/>
          <w:sz w:val="20"/>
        </w:rPr>
        <w:t>paradigm.</w:t>
      </w:r>
      <w:r w:rsidR="000602BF" w:rsidRPr="00BC2BC4">
        <w:rPr>
          <w:kern w:val="2"/>
          <w:sz w:val="20"/>
        </w:rPr>
        <w:t xml:space="preserve"> </w:t>
      </w:r>
      <w:r w:rsidRPr="00BC2BC4">
        <w:rPr>
          <w:kern w:val="2"/>
          <w:sz w:val="20"/>
        </w:rPr>
        <w:t xml:space="preserve">In </w:t>
      </w:r>
      <w:r w:rsidR="006B0E35" w:rsidRPr="00BC2BC4">
        <w:rPr>
          <w:i/>
          <w:kern w:val="2"/>
          <w:sz w:val="20"/>
        </w:rPr>
        <w:t>MJB Enterprises Ltd v</w:t>
      </w:r>
      <w:r w:rsidRPr="00BC2BC4">
        <w:rPr>
          <w:i/>
          <w:kern w:val="2"/>
          <w:sz w:val="20"/>
        </w:rPr>
        <w:t xml:space="preserve"> Defence Construction</w:t>
      </w:r>
      <w:r w:rsidRPr="00BC2BC4">
        <w:rPr>
          <w:kern w:val="2"/>
          <w:sz w:val="20"/>
        </w:rPr>
        <w:t>, the Court established that Contract A will only form between the procuring entity and compliant bidders.</w:t>
      </w:r>
      <w:r w:rsidRPr="00BC2BC4">
        <w:rPr>
          <w:rStyle w:val="FootnoteReference"/>
          <w:kern w:val="2"/>
          <w:sz w:val="20"/>
        </w:rPr>
        <w:footnoteReference w:id="136"/>
      </w:r>
      <w:r w:rsidRPr="00BC2BC4">
        <w:rPr>
          <w:kern w:val="2"/>
          <w:sz w:val="20"/>
        </w:rPr>
        <w:t xml:space="preserve"> A compliant bidder is one whose bid complies with the requirements of the tender documents. This requirement ensures a degree of fairness and transparency. </w:t>
      </w:r>
      <w:r w:rsidRPr="00BC2BC4">
        <w:rPr>
          <w:i/>
          <w:kern w:val="2"/>
          <w:sz w:val="20"/>
        </w:rPr>
        <w:t>MJB</w:t>
      </w:r>
      <w:r w:rsidRPr="00BC2BC4">
        <w:rPr>
          <w:kern w:val="2"/>
          <w:sz w:val="20"/>
        </w:rPr>
        <w:t xml:space="preserve"> also clarified that the terms of Contract A are dictated by the terms and conditions of the tender call.</w:t>
      </w:r>
      <w:r w:rsidRPr="00BC2BC4">
        <w:rPr>
          <w:rStyle w:val="FootnoteReference"/>
          <w:kern w:val="2"/>
          <w:sz w:val="20"/>
        </w:rPr>
        <w:footnoteReference w:id="137"/>
      </w:r>
      <w:r w:rsidRPr="00BC2BC4">
        <w:rPr>
          <w:kern w:val="2"/>
          <w:sz w:val="20"/>
        </w:rPr>
        <w:t xml:space="preserve"> In </w:t>
      </w:r>
      <w:r w:rsidRPr="00BC2BC4">
        <w:rPr>
          <w:i/>
          <w:kern w:val="2"/>
          <w:sz w:val="20"/>
        </w:rPr>
        <w:t>Martel Building Ltd v Canada</w:t>
      </w:r>
      <w:r w:rsidRPr="00BC2BC4">
        <w:rPr>
          <w:kern w:val="2"/>
          <w:sz w:val="20"/>
        </w:rPr>
        <w:t>, the Court held that procuring entities have an obligation of fairness towards bidders with whom Contract A has formed.</w:t>
      </w:r>
      <w:r w:rsidRPr="00BC2BC4">
        <w:rPr>
          <w:rStyle w:val="FootnoteReference"/>
          <w:kern w:val="2"/>
          <w:sz w:val="20"/>
        </w:rPr>
        <w:footnoteReference w:id="138"/>
      </w:r>
      <w:r w:rsidRPr="00BC2BC4">
        <w:rPr>
          <w:kern w:val="2"/>
          <w:sz w:val="20"/>
        </w:rPr>
        <w:t xml:space="preserve"> Purchasers must be “fair and consistent</w:t>
      </w:r>
      <w:r w:rsidR="004F7041" w:rsidRPr="00BC2BC4">
        <w:rPr>
          <w:kern w:val="2"/>
          <w:sz w:val="20"/>
        </w:rPr>
        <w:t>,</w:t>
      </w:r>
      <w:r w:rsidRPr="00BC2BC4">
        <w:rPr>
          <w:kern w:val="2"/>
          <w:sz w:val="20"/>
        </w:rPr>
        <w:t>” and treat all bidders “fairly and equally.”</w:t>
      </w:r>
      <w:r w:rsidRPr="00BC2BC4">
        <w:rPr>
          <w:rStyle w:val="FootnoteReference"/>
          <w:kern w:val="2"/>
          <w:sz w:val="20"/>
        </w:rPr>
        <w:footnoteReference w:id="139"/>
      </w:r>
      <w:r w:rsidRPr="00BC2BC4">
        <w:rPr>
          <w:kern w:val="2"/>
          <w:sz w:val="20"/>
        </w:rPr>
        <w:t xml:space="preserve"> This means, at minimum, that when a purchaser sets the bid requirements, the purchasing entity must fairly evaluate each bidder based upon the indicated criteria.</w:t>
      </w:r>
      <w:r w:rsidRPr="00BC2BC4">
        <w:rPr>
          <w:i/>
          <w:kern w:val="2"/>
          <w:sz w:val="20"/>
        </w:rPr>
        <w:t xml:space="preserve"> Design Services Ltd v Canada</w:t>
      </w:r>
      <w:r w:rsidRPr="00BC2BC4">
        <w:rPr>
          <w:kern w:val="2"/>
          <w:sz w:val="20"/>
        </w:rPr>
        <w:t xml:space="preserve"> clarified that the duty of care</w:t>
      </w:r>
      <w:r w:rsidR="001B02BE" w:rsidRPr="00BC2BC4">
        <w:rPr>
          <w:kern w:val="2"/>
          <w:sz w:val="20"/>
        </w:rPr>
        <w:t xml:space="preserve"> owed by</w:t>
      </w:r>
      <w:r w:rsidRPr="00BC2BC4">
        <w:rPr>
          <w:kern w:val="2"/>
          <w:sz w:val="20"/>
        </w:rPr>
        <w:t xml:space="preserve"> the procuring entity to bidders does not extend to subcontractors.</w:t>
      </w:r>
      <w:r w:rsidRPr="00BC2BC4">
        <w:rPr>
          <w:rStyle w:val="FootnoteReference"/>
          <w:kern w:val="2"/>
          <w:sz w:val="20"/>
        </w:rPr>
        <w:footnoteReference w:id="140"/>
      </w:r>
      <w:r w:rsidRPr="00BC2BC4">
        <w:rPr>
          <w:kern w:val="2"/>
          <w:sz w:val="20"/>
        </w:rPr>
        <w:t xml:space="preserve"> </w:t>
      </w:r>
    </w:p>
    <w:p w14:paraId="04B55CAF" w14:textId="3167DBCF" w:rsidR="00817799" w:rsidRPr="00BC2BC4" w:rsidRDefault="007632A7" w:rsidP="006B0E35">
      <w:pPr>
        <w:rPr>
          <w:kern w:val="2"/>
          <w:sz w:val="20"/>
        </w:rPr>
      </w:pPr>
      <w:r w:rsidRPr="00BC2BC4">
        <w:rPr>
          <w:kern w:val="2"/>
          <w:sz w:val="20"/>
        </w:rPr>
        <w:t xml:space="preserve">The 2014 Federal Court case </w:t>
      </w:r>
      <w:r w:rsidRPr="00BC2BC4">
        <w:rPr>
          <w:i/>
          <w:kern w:val="2"/>
          <w:sz w:val="20"/>
        </w:rPr>
        <w:t xml:space="preserve">Rapiscan Systems, Inc v Canada (AG) </w:t>
      </w:r>
      <w:r w:rsidRPr="00BC2BC4">
        <w:rPr>
          <w:kern w:val="2"/>
          <w:sz w:val="20"/>
        </w:rPr>
        <w:t>held that government procurement decisions could be subject to the administrative law remedy of judicial review if an “additional public element”</w:t>
      </w:r>
      <w:r w:rsidR="001B02BE" w:rsidRPr="00BC2BC4">
        <w:rPr>
          <w:kern w:val="2"/>
          <w:sz w:val="20"/>
        </w:rPr>
        <w:t xml:space="preserve"> exists.</w:t>
      </w:r>
      <w:r w:rsidRPr="00BC2BC4">
        <w:rPr>
          <w:rStyle w:val="FootnoteReference"/>
          <w:kern w:val="2"/>
          <w:sz w:val="20"/>
        </w:rPr>
        <w:footnoteReference w:id="141"/>
      </w:r>
      <w:r w:rsidRPr="00BC2BC4">
        <w:rPr>
          <w:kern w:val="2"/>
          <w:sz w:val="20"/>
        </w:rPr>
        <w:t xml:space="preserve"> The Federal Court outlined numerous considerations to help determine the presence of an “additional public element</w:t>
      </w:r>
      <w:r w:rsidR="004F7041" w:rsidRPr="00BC2BC4">
        <w:rPr>
          <w:kern w:val="2"/>
          <w:sz w:val="20"/>
        </w:rPr>
        <w:t>;</w:t>
      </w:r>
      <w:r w:rsidRPr="00BC2BC4">
        <w:rPr>
          <w:kern w:val="2"/>
          <w:sz w:val="20"/>
        </w:rPr>
        <w:t>” where the procurement decision is closely connected to the procuring entity’s statutory powers or mandate, it is more likely that the public law remedy of judicial review will be available.</w:t>
      </w:r>
      <w:r w:rsidRPr="00BC2BC4">
        <w:rPr>
          <w:rStyle w:val="FootnoteReference"/>
          <w:kern w:val="2"/>
          <w:sz w:val="20"/>
        </w:rPr>
        <w:footnoteReference w:id="142"/>
      </w:r>
      <w:r w:rsidRPr="00BC2BC4">
        <w:rPr>
          <w:kern w:val="2"/>
          <w:sz w:val="20"/>
        </w:rPr>
        <w:t xml:space="preserve"> The operative question is whether “the matter is coloured with a </w:t>
      </w:r>
      <w:r w:rsidR="00E84175" w:rsidRPr="00BC2BC4">
        <w:rPr>
          <w:kern w:val="2"/>
          <w:sz w:val="20"/>
        </w:rPr>
        <w:t>“</w:t>
      </w:r>
      <w:r w:rsidRPr="00BC2BC4">
        <w:rPr>
          <w:kern w:val="2"/>
          <w:sz w:val="20"/>
        </w:rPr>
        <w:t>public element</w:t>
      </w:r>
      <w:r w:rsidR="00E84175" w:rsidRPr="00BC2BC4">
        <w:rPr>
          <w:kern w:val="2"/>
          <w:sz w:val="20"/>
        </w:rPr>
        <w:t>”</w:t>
      </w:r>
      <w:r w:rsidRPr="00BC2BC4">
        <w:rPr>
          <w:kern w:val="2"/>
          <w:sz w:val="20"/>
        </w:rPr>
        <w:t xml:space="preserve"> sufficient to bring it within the purview of the public law and therefore review by the Court on the rationale that (i) it involves a breach of a statutory duty, or (ii) it undermines the integrity of government procurement processes.”</w:t>
      </w:r>
      <w:r w:rsidRPr="00BC2BC4">
        <w:rPr>
          <w:rStyle w:val="FootnoteReference"/>
          <w:kern w:val="2"/>
          <w:sz w:val="20"/>
        </w:rPr>
        <w:footnoteReference w:id="143"/>
      </w:r>
      <w:r w:rsidRPr="00BC2BC4">
        <w:rPr>
          <w:kern w:val="2"/>
          <w:sz w:val="20"/>
        </w:rPr>
        <w:t xml:space="preserve"> </w:t>
      </w:r>
    </w:p>
    <w:p w14:paraId="0C594345" w14:textId="491E5A6B" w:rsidR="004557D7" w:rsidRPr="00BC2BC4" w:rsidRDefault="004557D7" w:rsidP="006B0E35">
      <w:pPr>
        <w:rPr>
          <w:kern w:val="2"/>
          <w:sz w:val="20"/>
        </w:rPr>
      </w:pPr>
      <w:r w:rsidRPr="00BC2BC4">
        <w:rPr>
          <w:kern w:val="2"/>
          <w:sz w:val="20"/>
        </w:rPr>
        <w:t xml:space="preserve">Judy Wilson and Joel Richler of Blake, Cassels &amp; Graydon LLP extract three principles from the </w:t>
      </w:r>
      <w:r w:rsidR="006F2829" w:rsidRPr="00BC2BC4">
        <w:rPr>
          <w:kern w:val="2"/>
          <w:sz w:val="20"/>
        </w:rPr>
        <w:t xml:space="preserve">line of </w:t>
      </w:r>
      <w:r w:rsidRPr="00BC2BC4">
        <w:rPr>
          <w:kern w:val="2"/>
          <w:sz w:val="20"/>
        </w:rPr>
        <w:t xml:space="preserve">jurisprudence emanating from </w:t>
      </w:r>
      <w:r w:rsidRPr="00BC2BC4">
        <w:rPr>
          <w:i/>
          <w:kern w:val="2"/>
          <w:sz w:val="20"/>
        </w:rPr>
        <w:t>Ron Engineering</w:t>
      </w:r>
      <w:r w:rsidRPr="00BC2BC4">
        <w:rPr>
          <w:kern w:val="2"/>
          <w:sz w:val="20"/>
        </w:rPr>
        <w:t>:</w:t>
      </w:r>
    </w:p>
    <w:p w14:paraId="6DA298E9" w14:textId="271EB142" w:rsidR="004557D7" w:rsidRPr="00BC2BC4" w:rsidRDefault="004557D7" w:rsidP="001576CD">
      <w:pPr>
        <w:pStyle w:val="BlockQuote"/>
        <w:spacing w:after="120"/>
        <w:rPr>
          <w:kern w:val="2"/>
          <w:sz w:val="20"/>
        </w:rPr>
      </w:pPr>
      <w:r w:rsidRPr="00BC2BC4">
        <w:rPr>
          <w:kern w:val="2"/>
          <w:sz w:val="20"/>
        </w:rPr>
        <w:t>[F]irst, the law imposes obligations on both the procuring authorities and the bidders. Procuring authorities must, at all times, adhere to the terms and conditions of Contract A and cannot accept any non-compliant bids, no matter how attractive they may be. As well, procuring authorities must act towards all compliant bidders fairly and in good faith, particularly during the evaluation of any bidder’s submission. Also, procuring authorities cannot make their ultimate decisions to award or reject submissions based on criteria that are not disclosed in the terms and conditions of the procurement documents. Bidders, for their part, cannot revoke or supplement their submissions, unless permitted to do so by the terms and conditions of Contract A.</w:t>
      </w:r>
    </w:p>
    <w:p w14:paraId="11D11E0E" w14:textId="77777777" w:rsidR="004557D7" w:rsidRPr="00BC2BC4" w:rsidRDefault="004557D7" w:rsidP="001576CD">
      <w:pPr>
        <w:pStyle w:val="BlockQuote"/>
        <w:spacing w:after="120"/>
        <w:rPr>
          <w:kern w:val="2"/>
          <w:sz w:val="20"/>
        </w:rPr>
      </w:pPr>
      <w:r w:rsidRPr="00BC2BC4">
        <w:rPr>
          <w:kern w:val="2"/>
          <w:sz w:val="20"/>
        </w:rPr>
        <w:t xml:space="preserve">Second, the law </w:t>
      </w:r>
      <w:r w:rsidRPr="00BC2BC4">
        <w:rPr>
          <w:i/>
          <w:iCs/>
          <w:kern w:val="2"/>
          <w:sz w:val="20"/>
        </w:rPr>
        <w:t>does</w:t>
      </w:r>
      <w:r w:rsidRPr="00BC2BC4">
        <w:rPr>
          <w:kern w:val="2"/>
          <w:sz w:val="20"/>
        </w:rPr>
        <w:t xml:space="preserve"> permit procuring authorities to create the terms and conditions of Contract “A” as they see fit. Thus, privilege clauses – clauses which provide the procuring authority with discretionary rights – are recognized as fully enforceable and, if properly drafted, allow procuring authorities to reserve to themselves the right to award contracts to bids that may not be for the lowest price, or not to award contracts at all. As well, procuring authorities are free to impose any number of criteria on bidders such as: prior similar work experience; the absence of claims or prior litigation; local contracting; scheduling criteria; composition of construction teams; and so on.</w:t>
      </w:r>
    </w:p>
    <w:p w14:paraId="7630C11E" w14:textId="222FB640" w:rsidR="00454102" w:rsidRPr="00BC2BC4" w:rsidRDefault="004557D7" w:rsidP="00C74A64">
      <w:pPr>
        <w:pStyle w:val="BlockQuote"/>
        <w:rPr>
          <w:kern w:val="2"/>
          <w:sz w:val="20"/>
        </w:rPr>
      </w:pPr>
      <w:r w:rsidRPr="00BC2BC4">
        <w:rPr>
          <w:kern w:val="2"/>
          <w:sz w:val="20"/>
        </w:rPr>
        <w:t>Third, and perhaps somewhat contradictory of the second principle, while the list of requirements and criteria imposed on bidders may be extensive, it will always be open to the courts to impose limitations where the discretion retained by the procuring authority is extreme. The courts have made it clear that maintaining the integrity of competitive procurement processes was a fundamental goa</w:t>
      </w:r>
      <w:r w:rsidR="005A6197" w:rsidRPr="00BC2BC4">
        <w:rPr>
          <w:kern w:val="2"/>
          <w:sz w:val="20"/>
        </w:rPr>
        <w:t>l of procurement law in Canada.</w:t>
      </w:r>
      <w:r w:rsidRPr="00BC2BC4">
        <w:rPr>
          <w:rStyle w:val="FootnoteReference"/>
          <w:kern w:val="2"/>
          <w:sz w:val="20"/>
          <w:szCs w:val="21"/>
        </w:rPr>
        <w:footnoteReference w:id="144"/>
      </w:r>
      <w:bookmarkStart w:id="36" w:name="_Toc424485027"/>
      <w:r w:rsidR="00407FDA" w:rsidRPr="00BC2BC4">
        <w:rPr>
          <w:kern w:val="2"/>
          <w:sz w:val="20"/>
        </w:rPr>
        <w:t xml:space="preserve">   </w:t>
      </w:r>
    </w:p>
    <w:p w14:paraId="792E0ADA" w14:textId="7A000545" w:rsidR="00DA3C13" w:rsidRPr="00BC2BC4" w:rsidRDefault="00817799" w:rsidP="00ED3317">
      <w:pPr>
        <w:pStyle w:val="Heading1"/>
        <w:rPr>
          <w:sz w:val="28"/>
        </w:rPr>
      </w:pPr>
      <w:bookmarkStart w:id="37" w:name="_Toc502666014"/>
      <w:r w:rsidRPr="00BC2BC4">
        <w:rPr>
          <w:sz w:val="28"/>
        </w:rPr>
        <w:t>Public Law Framework</w:t>
      </w:r>
      <w:bookmarkStart w:id="38" w:name="_Toc424485028"/>
      <w:bookmarkEnd w:id="36"/>
      <w:bookmarkEnd w:id="37"/>
    </w:p>
    <w:p w14:paraId="57AED5A1" w14:textId="4FF96095" w:rsidR="00817799" w:rsidRPr="00BC2BC4" w:rsidRDefault="00817799" w:rsidP="00C74A64">
      <w:pPr>
        <w:pStyle w:val="Heading2"/>
        <w:rPr>
          <w:kern w:val="2"/>
          <w:sz w:val="24"/>
        </w:rPr>
      </w:pPr>
      <w:r w:rsidRPr="00BC2BC4">
        <w:rPr>
          <w:kern w:val="2"/>
          <w:sz w:val="24"/>
        </w:rPr>
        <w:t>International Legal Instruments</w:t>
      </w:r>
      <w:bookmarkEnd w:id="38"/>
    </w:p>
    <w:p w14:paraId="4D695D52" w14:textId="69CA75C6" w:rsidR="00817799" w:rsidRPr="00BC2BC4" w:rsidRDefault="00817799" w:rsidP="00C74A64">
      <w:pPr>
        <w:pStyle w:val="Heading3"/>
        <w:rPr>
          <w:kern w:val="2"/>
          <w:sz w:val="22"/>
        </w:rPr>
      </w:pPr>
      <w:bookmarkStart w:id="39" w:name="_Toc424485029"/>
      <w:bookmarkStart w:id="40" w:name="_Toc291347562"/>
      <w:bookmarkStart w:id="41" w:name="_Toc420920793"/>
      <w:r w:rsidRPr="00BC2BC4">
        <w:rPr>
          <w:kern w:val="2"/>
          <w:sz w:val="22"/>
        </w:rPr>
        <w:t>UNCAC</w:t>
      </w:r>
      <w:bookmarkEnd w:id="39"/>
      <w:r w:rsidRPr="00BC2BC4">
        <w:rPr>
          <w:kern w:val="2"/>
          <w:sz w:val="22"/>
        </w:rPr>
        <w:t xml:space="preserve"> </w:t>
      </w:r>
      <w:bookmarkEnd w:id="40"/>
      <w:bookmarkEnd w:id="41"/>
    </w:p>
    <w:p w14:paraId="5E2DFFF5" w14:textId="75270BAC" w:rsidR="00817799" w:rsidRPr="00BC2BC4" w:rsidRDefault="00817799" w:rsidP="006B0E35">
      <w:pPr>
        <w:spacing w:line="23" w:lineRule="atLeast"/>
        <w:rPr>
          <w:kern w:val="2"/>
          <w:sz w:val="20"/>
        </w:rPr>
      </w:pPr>
      <w:r w:rsidRPr="00BC2BC4">
        <w:rPr>
          <w:kern w:val="2"/>
          <w:sz w:val="20"/>
        </w:rPr>
        <w:t xml:space="preserve">Article 9(1) </w:t>
      </w:r>
      <w:r w:rsidR="00D92500" w:rsidRPr="00BC2BC4">
        <w:rPr>
          <w:kern w:val="2"/>
          <w:sz w:val="20"/>
        </w:rPr>
        <w:t xml:space="preserve">of UNCAC </w:t>
      </w:r>
      <w:r w:rsidRPr="00BC2BC4">
        <w:rPr>
          <w:kern w:val="2"/>
          <w:sz w:val="20"/>
        </w:rPr>
        <w:t xml:space="preserve">requires </w:t>
      </w:r>
      <w:r w:rsidR="00EE67F2" w:rsidRPr="00BC2BC4">
        <w:rPr>
          <w:kern w:val="2"/>
          <w:sz w:val="20"/>
        </w:rPr>
        <w:t>S</w:t>
      </w:r>
      <w:r w:rsidRPr="00BC2BC4">
        <w:rPr>
          <w:kern w:val="2"/>
          <w:sz w:val="20"/>
        </w:rPr>
        <w:t>tate parties “establish systems of procurement based on transparency, competition and objective criteria in decision-making, and which are also effective in preventing corruption.”</w:t>
      </w:r>
      <w:r w:rsidRPr="00BC2BC4">
        <w:rPr>
          <w:rStyle w:val="FootnoteReference"/>
          <w:kern w:val="2"/>
          <w:sz w:val="20"/>
        </w:rPr>
        <w:footnoteReference w:id="145"/>
      </w:r>
      <w:r w:rsidRPr="00BC2BC4">
        <w:rPr>
          <w:kern w:val="2"/>
          <w:sz w:val="20"/>
        </w:rPr>
        <w:t xml:space="preserve"> As the </w:t>
      </w:r>
      <w:r w:rsidRPr="00BC2BC4">
        <w:rPr>
          <w:i/>
          <w:kern w:val="2"/>
          <w:sz w:val="20"/>
        </w:rPr>
        <w:t>Legislative Guide</w:t>
      </w:r>
      <w:r w:rsidRPr="00BC2BC4">
        <w:rPr>
          <w:kern w:val="2"/>
          <w:sz w:val="20"/>
        </w:rPr>
        <w:t xml:space="preserve"> to UNCAC notes, Article 9 includes, at minimum:</w:t>
      </w:r>
    </w:p>
    <w:p w14:paraId="25C14CCC" w14:textId="5D584A69" w:rsidR="00817799" w:rsidRPr="00BC2BC4" w:rsidRDefault="00817799" w:rsidP="00A75BC0">
      <w:pPr>
        <w:pStyle w:val="BlockQuote"/>
        <w:numPr>
          <w:ilvl w:val="0"/>
          <w:numId w:val="26"/>
        </w:numPr>
        <w:spacing w:after="120"/>
        <w:jc w:val="left"/>
        <w:rPr>
          <w:kern w:val="2"/>
          <w:sz w:val="20"/>
        </w:rPr>
      </w:pPr>
      <w:r w:rsidRPr="00BC2BC4">
        <w:rPr>
          <w:kern w:val="2"/>
          <w:sz w:val="20"/>
        </w:rPr>
        <w:t xml:space="preserve">The public distribution of information relating to procurement procedures and contracts, including information on invitations to tender and relevant or pertinent information on the award of contracts, allowing potential tenderers sufficient time to prepare and submit their tenders; </w:t>
      </w:r>
    </w:p>
    <w:p w14:paraId="03ABEC14" w14:textId="0D295732" w:rsidR="00817799" w:rsidRPr="00BC2BC4" w:rsidRDefault="00817799" w:rsidP="00A75BC0">
      <w:pPr>
        <w:pStyle w:val="BlockQuote"/>
        <w:numPr>
          <w:ilvl w:val="0"/>
          <w:numId w:val="26"/>
        </w:numPr>
        <w:spacing w:after="120"/>
        <w:jc w:val="left"/>
        <w:rPr>
          <w:kern w:val="2"/>
          <w:sz w:val="20"/>
        </w:rPr>
      </w:pPr>
      <w:r w:rsidRPr="00BC2BC4">
        <w:rPr>
          <w:kern w:val="2"/>
          <w:sz w:val="20"/>
        </w:rPr>
        <w:t xml:space="preserve">The establishment, in advance, of conditions for participation, including selection and award criteria and tendering rules, and their publication; </w:t>
      </w:r>
    </w:p>
    <w:p w14:paraId="758C770E" w14:textId="0602C500" w:rsidR="00817799" w:rsidRPr="00BC2BC4" w:rsidRDefault="00817799" w:rsidP="00A75BC0">
      <w:pPr>
        <w:pStyle w:val="BlockQuote"/>
        <w:numPr>
          <w:ilvl w:val="0"/>
          <w:numId w:val="26"/>
        </w:numPr>
        <w:spacing w:after="120"/>
        <w:jc w:val="left"/>
        <w:rPr>
          <w:kern w:val="2"/>
          <w:sz w:val="20"/>
        </w:rPr>
      </w:pPr>
      <w:r w:rsidRPr="00BC2BC4">
        <w:rPr>
          <w:kern w:val="2"/>
          <w:sz w:val="20"/>
        </w:rPr>
        <w:t xml:space="preserve">The use of objective and predetermined criteria for public procurement decisions, in order to facilitate the subsequent verification of the correct application of the rules or procedures; </w:t>
      </w:r>
    </w:p>
    <w:p w14:paraId="28C05258" w14:textId="334C4E71" w:rsidR="00817799" w:rsidRPr="00BC2BC4" w:rsidRDefault="00817799" w:rsidP="00A75BC0">
      <w:pPr>
        <w:pStyle w:val="BlockQuote"/>
        <w:numPr>
          <w:ilvl w:val="0"/>
          <w:numId w:val="26"/>
        </w:numPr>
        <w:spacing w:after="120"/>
        <w:jc w:val="left"/>
        <w:rPr>
          <w:kern w:val="2"/>
          <w:sz w:val="20"/>
        </w:rPr>
      </w:pPr>
      <w:r w:rsidRPr="00BC2BC4">
        <w:rPr>
          <w:kern w:val="2"/>
          <w:sz w:val="20"/>
        </w:rPr>
        <w:t xml:space="preserve">An effective system of domestic review, including an effective system of appeal, to ensure legal recourse and remedies in the event that the rules or procedures established pursuant to paragraph 1 of article 9 are not followed; </w:t>
      </w:r>
    </w:p>
    <w:p w14:paraId="7523AFFD" w14:textId="116A1CCC" w:rsidR="00817799" w:rsidRPr="00BC2BC4" w:rsidRDefault="00817799" w:rsidP="00A75BC0">
      <w:pPr>
        <w:pStyle w:val="BlockQuote"/>
        <w:numPr>
          <w:ilvl w:val="0"/>
          <w:numId w:val="26"/>
        </w:numPr>
        <w:jc w:val="left"/>
        <w:rPr>
          <w:kern w:val="2"/>
          <w:sz w:val="20"/>
        </w:rPr>
      </w:pPr>
      <w:r w:rsidRPr="00BC2BC4">
        <w:rPr>
          <w:kern w:val="2"/>
          <w:sz w:val="20"/>
        </w:rPr>
        <w:t>Where appropriate, measures to regulate matters regarding personnel responsible for procurement, such as declaration of interest in particular public procurements, screening procedures and training requirements.</w:t>
      </w:r>
      <w:r w:rsidR="0021585F" w:rsidRPr="00BC2BC4">
        <w:rPr>
          <w:rStyle w:val="FootnoteReference"/>
          <w:kern w:val="2"/>
          <w:sz w:val="20"/>
          <w:szCs w:val="21"/>
        </w:rPr>
        <w:footnoteReference w:id="146"/>
      </w:r>
      <w:r w:rsidRPr="00BC2BC4">
        <w:rPr>
          <w:kern w:val="2"/>
          <w:sz w:val="20"/>
        </w:rPr>
        <w:t xml:space="preserve"> </w:t>
      </w:r>
    </w:p>
    <w:p w14:paraId="75237BB0" w14:textId="0D17786F" w:rsidR="00817799" w:rsidRPr="00BC2BC4" w:rsidRDefault="00817799" w:rsidP="006B0E35">
      <w:pPr>
        <w:spacing w:line="23" w:lineRule="atLeast"/>
        <w:rPr>
          <w:kern w:val="2"/>
          <w:sz w:val="20"/>
        </w:rPr>
      </w:pPr>
      <w:r w:rsidRPr="00BC2BC4">
        <w:rPr>
          <w:kern w:val="2"/>
          <w:sz w:val="20"/>
        </w:rPr>
        <w:t xml:space="preserve">As with other international agreements </w:t>
      </w:r>
      <w:r w:rsidR="00200F09" w:rsidRPr="00BC2BC4">
        <w:rPr>
          <w:kern w:val="2"/>
          <w:sz w:val="20"/>
        </w:rPr>
        <w:t>that address</w:t>
      </w:r>
      <w:r w:rsidRPr="00BC2BC4">
        <w:rPr>
          <w:kern w:val="2"/>
          <w:sz w:val="20"/>
        </w:rPr>
        <w:t xml:space="preserve"> domestic procurement, UNCAC contemplates that these requirements may not apply to contracts below a certain dollar threshold.</w:t>
      </w:r>
      <w:r w:rsidRPr="00BC2BC4">
        <w:rPr>
          <w:rStyle w:val="FootnoteReference"/>
          <w:kern w:val="2"/>
          <w:sz w:val="20"/>
        </w:rPr>
        <w:footnoteReference w:id="147"/>
      </w:r>
      <w:r w:rsidRPr="00BC2BC4">
        <w:rPr>
          <w:kern w:val="2"/>
          <w:sz w:val="20"/>
        </w:rPr>
        <w:t xml:space="preserve"> The Legislative Guide to UNCAC justifies this </w:t>
      </w:r>
      <w:r w:rsidR="00200F09" w:rsidRPr="00BC2BC4">
        <w:rPr>
          <w:kern w:val="2"/>
          <w:sz w:val="20"/>
        </w:rPr>
        <w:t xml:space="preserve">exception </w:t>
      </w:r>
      <w:r w:rsidRPr="00BC2BC4">
        <w:rPr>
          <w:kern w:val="2"/>
          <w:sz w:val="20"/>
        </w:rPr>
        <w:t>on the grounds that “excessive regulation can be counterproductive by increasing rather than diminishing vulnerability to corrupt practices,” but does not provide further elaboration.</w:t>
      </w:r>
      <w:r w:rsidRPr="00BC2BC4">
        <w:rPr>
          <w:rStyle w:val="FootnoteReference"/>
          <w:kern w:val="2"/>
          <w:sz w:val="20"/>
        </w:rPr>
        <w:footnoteReference w:id="148"/>
      </w:r>
    </w:p>
    <w:p w14:paraId="6D4CF5A9" w14:textId="78D3C758" w:rsidR="00817799" w:rsidRPr="00BC2BC4" w:rsidRDefault="00817799" w:rsidP="00C74A64">
      <w:pPr>
        <w:pStyle w:val="Heading3"/>
        <w:rPr>
          <w:kern w:val="2"/>
          <w:sz w:val="22"/>
        </w:rPr>
      </w:pPr>
      <w:bookmarkStart w:id="42" w:name="_Toc291347563"/>
      <w:bookmarkStart w:id="43" w:name="_Toc420920794"/>
      <w:bookmarkStart w:id="44" w:name="_Toc424485030"/>
      <w:r w:rsidRPr="00BC2BC4">
        <w:rPr>
          <w:kern w:val="2"/>
          <w:sz w:val="22"/>
        </w:rPr>
        <w:t>OECD Anti-Bribery Convention</w:t>
      </w:r>
      <w:bookmarkEnd w:id="42"/>
      <w:bookmarkEnd w:id="43"/>
      <w:bookmarkEnd w:id="44"/>
    </w:p>
    <w:p w14:paraId="3C7955CC" w14:textId="7F85F2B7" w:rsidR="002A527F" w:rsidRPr="00BC2BC4" w:rsidRDefault="00817799" w:rsidP="006B0E35">
      <w:pPr>
        <w:spacing w:line="23" w:lineRule="atLeast"/>
        <w:rPr>
          <w:kern w:val="2"/>
          <w:sz w:val="20"/>
        </w:rPr>
      </w:pPr>
      <w:r w:rsidRPr="00BC2BC4">
        <w:rPr>
          <w:kern w:val="2"/>
          <w:sz w:val="20"/>
        </w:rPr>
        <w:t>Th</w:t>
      </w:r>
      <w:r w:rsidR="00D92500" w:rsidRPr="00BC2BC4">
        <w:rPr>
          <w:kern w:val="2"/>
          <w:sz w:val="20"/>
        </w:rPr>
        <w:t xml:space="preserve">e OECD Convention </w:t>
      </w:r>
      <w:r w:rsidR="00DB4839" w:rsidRPr="00BC2BC4">
        <w:rPr>
          <w:kern w:val="2"/>
          <w:sz w:val="20"/>
        </w:rPr>
        <w:t>contains no articles on public procurement. However</w:t>
      </w:r>
      <w:r w:rsidR="009E1EB8" w:rsidRPr="00BC2BC4">
        <w:rPr>
          <w:kern w:val="2"/>
          <w:sz w:val="20"/>
        </w:rPr>
        <w:t>,</w:t>
      </w:r>
      <w:r w:rsidR="00DB4839" w:rsidRPr="00BC2BC4">
        <w:rPr>
          <w:kern w:val="2"/>
          <w:sz w:val="20"/>
        </w:rPr>
        <w:t xml:space="preserve"> the </w:t>
      </w:r>
      <w:r w:rsidR="006A4767" w:rsidRPr="00BC2BC4">
        <w:rPr>
          <w:i/>
          <w:kern w:val="2"/>
          <w:sz w:val="20"/>
        </w:rPr>
        <w:t>R</w:t>
      </w:r>
      <w:r w:rsidR="00DB4839" w:rsidRPr="00BC2BC4">
        <w:rPr>
          <w:i/>
          <w:kern w:val="2"/>
          <w:sz w:val="20"/>
        </w:rPr>
        <w:t>ecommendations of the Council for Further Com</w:t>
      </w:r>
      <w:r w:rsidR="006A4767" w:rsidRPr="00BC2BC4">
        <w:rPr>
          <w:i/>
          <w:kern w:val="2"/>
          <w:sz w:val="20"/>
        </w:rPr>
        <w:t>b</w:t>
      </w:r>
      <w:r w:rsidR="00DB4839" w:rsidRPr="00BC2BC4">
        <w:rPr>
          <w:i/>
          <w:kern w:val="2"/>
          <w:sz w:val="20"/>
        </w:rPr>
        <w:t xml:space="preserve">ating Bribery of </w:t>
      </w:r>
      <w:r w:rsidR="006A4767" w:rsidRPr="00BC2BC4">
        <w:rPr>
          <w:i/>
          <w:kern w:val="2"/>
          <w:sz w:val="20"/>
        </w:rPr>
        <w:t>Foreign</w:t>
      </w:r>
      <w:r w:rsidR="00DB4839" w:rsidRPr="00BC2BC4">
        <w:rPr>
          <w:i/>
          <w:kern w:val="2"/>
          <w:sz w:val="20"/>
        </w:rPr>
        <w:t xml:space="preserve"> Public Officials</w:t>
      </w:r>
      <w:r w:rsidR="00DB4839" w:rsidRPr="00BC2BC4">
        <w:rPr>
          <w:kern w:val="2"/>
          <w:sz w:val="20"/>
        </w:rPr>
        <w:t xml:space="preserve">, adopted in November 2009, includes the following as </w:t>
      </w:r>
      <w:r w:rsidR="006A4767" w:rsidRPr="00BC2BC4">
        <w:rPr>
          <w:kern w:val="2"/>
          <w:sz w:val="20"/>
        </w:rPr>
        <w:t>Recommendation</w:t>
      </w:r>
      <w:r w:rsidR="00DB4839" w:rsidRPr="00BC2BC4">
        <w:rPr>
          <w:kern w:val="2"/>
          <w:sz w:val="20"/>
        </w:rPr>
        <w:t xml:space="preserve"> XI:</w:t>
      </w:r>
    </w:p>
    <w:p w14:paraId="15DD4143" w14:textId="77777777" w:rsidR="006A4767" w:rsidRPr="00BC2BC4" w:rsidRDefault="006A4767" w:rsidP="00C74A64">
      <w:pPr>
        <w:pStyle w:val="BlockQuote"/>
        <w:rPr>
          <w:kern w:val="2"/>
          <w:sz w:val="20"/>
        </w:rPr>
      </w:pPr>
      <w:r w:rsidRPr="00BC2BC4">
        <w:rPr>
          <w:kern w:val="2"/>
          <w:sz w:val="20"/>
        </w:rPr>
        <w:t>Member countries should support the efforts of the OECD Public Governance Committee to implement the principles contained in the 2008 Council Recommendation on Enhancing Integrity in Public Procurement [C(2008)105], as well as work on transparency in public procurement in other international governmental organizations such as the United Nations, the World Trade Organization (WTO) and the European Union, and are encouraged to adhere to relevant international standards such as the WTO Agreement on Government Procurement.</w:t>
      </w:r>
      <w:r w:rsidR="0021585F" w:rsidRPr="00BC2BC4">
        <w:rPr>
          <w:rStyle w:val="FootnoteReference"/>
          <w:kern w:val="2"/>
          <w:sz w:val="20"/>
        </w:rPr>
        <w:footnoteReference w:id="149"/>
      </w:r>
    </w:p>
    <w:p w14:paraId="58A8FA05" w14:textId="39F5749B" w:rsidR="00003C8E" w:rsidRPr="00BC2BC4" w:rsidRDefault="006A4767" w:rsidP="006B0E35">
      <w:pPr>
        <w:spacing w:line="23" w:lineRule="atLeast"/>
        <w:rPr>
          <w:kern w:val="2"/>
          <w:sz w:val="20"/>
        </w:rPr>
      </w:pPr>
      <w:r w:rsidRPr="00BC2BC4">
        <w:rPr>
          <w:kern w:val="2"/>
          <w:sz w:val="20"/>
        </w:rPr>
        <w:t xml:space="preserve">Recommendation XI(i) states that </w:t>
      </w:r>
      <w:r w:rsidR="00200F09" w:rsidRPr="00BC2BC4">
        <w:rPr>
          <w:kern w:val="2"/>
          <w:sz w:val="20"/>
        </w:rPr>
        <w:t>member states should, through</w:t>
      </w:r>
      <w:r w:rsidRPr="00BC2BC4">
        <w:rPr>
          <w:kern w:val="2"/>
          <w:sz w:val="20"/>
        </w:rPr>
        <w:t xml:space="preserve"> laws and regulations, permit authorities to suspend</w:t>
      </w:r>
      <w:r w:rsidR="00D01071" w:rsidRPr="00BC2BC4">
        <w:rPr>
          <w:kern w:val="2"/>
          <w:sz w:val="20"/>
        </w:rPr>
        <w:t xml:space="preserve"> enterprises convicted of bribery of foreign public officials</w:t>
      </w:r>
      <w:r w:rsidRPr="00BC2BC4">
        <w:rPr>
          <w:kern w:val="2"/>
          <w:sz w:val="20"/>
        </w:rPr>
        <w:t xml:space="preserve"> from competition for public contracts. </w:t>
      </w:r>
    </w:p>
    <w:p w14:paraId="57C9D7B9" w14:textId="77777777" w:rsidR="00E01374" w:rsidRPr="00BC2BC4" w:rsidRDefault="00E01374" w:rsidP="00C74A64">
      <w:pPr>
        <w:pStyle w:val="Heading3"/>
        <w:rPr>
          <w:kern w:val="2"/>
          <w:sz w:val="22"/>
        </w:rPr>
      </w:pPr>
      <w:bookmarkStart w:id="45" w:name="_Toc291347564"/>
      <w:bookmarkStart w:id="46" w:name="_Toc420920795"/>
      <w:bookmarkStart w:id="47" w:name="_Toc424485031"/>
      <w:r w:rsidRPr="00BC2BC4">
        <w:rPr>
          <w:kern w:val="2"/>
          <w:sz w:val="22"/>
        </w:rPr>
        <w:t>The World Bank</w:t>
      </w:r>
    </w:p>
    <w:p w14:paraId="7565B4B6" w14:textId="6F1E1F98" w:rsidR="00E01374" w:rsidRPr="00BC2BC4" w:rsidRDefault="00E01374" w:rsidP="00E01374">
      <w:pPr>
        <w:rPr>
          <w:kern w:val="2"/>
          <w:sz w:val="20"/>
        </w:rPr>
      </w:pPr>
      <w:r w:rsidRPr="00BC2BC4">
        <w:rPr>
          <w:kern w:val="2"/>
          <w:sz w:val="20"/>
        </w:rPr>
        <w:t>The World Bank funds large infrastructure projects throughout the developing world.</w:t>
      </w:r>
      <w:r w:rsidR="00555EAA" w:rsidRPr="00BC2BC4">
        <w:rPr>
          <w:kern w:val="2"/>
          <w:sz w:val="20"/>
        </w:rPr>
        <w:t xml:space="preserve"> </w:t>
      </w:r>
      <w:r w:rsidR="00555EAA" w:rsidRPr="00BC2BC4">
        <w:rPr>
          <w:rFonts w:eastAsia="MS Mincho" w:cs="Times New Roman"/>
          <w:kern w:val="2"/>
          <w:sz w:val="20"/>
          <w:szCs w:val="24"/>
        </w:rPr>
        <w:t xml:space="preserve">According to the World Bank, its procurement system </w:t>
      </w:r>
      <w:r w:rsidR="00797E04" w:rsidRPr="00BC2BC4">
        <w:rPr>
          <w:rFonts w:eastAsia="MS Mincho" w:cs="Times New Roman"/>
          <w:kern w:val="2"/>
          <w:sz w:val="20"/>
          <w:szCs w:val="24"/>
        </w:rPr>
        <w:t xml:space="preserve">includes </w:t>
      </w:r>
      <w:r w:rsidR="00555EAA" w:rsidRPr="00BC2BC4">
        <w:rPr>
          <w:rFonts w:eastAsia="MS Mincho" w:cs="Times New Roman"/>
          <w:kern w:val="2"/>
          <w:sz w:val="20"/>
          <w:szCs w:val="24"/>
        </w:rPr>
        <w:t xml:space="preserve">a portfolio of approximately </w:t>
      </w:r>
      <w:r w:rsidR="00E96D5D" w:rsidRPr="00BC2BC4">
        <w:rPr>
          <w:rFonts w:eastAsia="MS Mincho" w:cs="Times New Roman"/>
          <w:kern w:val="2"/>
          <w:sz w:val="20"/>
          <w:szCs w:val="24"/>
        </w:rPr>
        <w:t>US</w:t>
      </w:r>
      <w:r w:rsidR="00200F09" w:rsidRPr="00BC2BC4">
        <w:rPr>
          <w:rFonts w:eastAsia="MS Mincho" w:cs="Times New Roman"/>
          <w:kern w:val="2"/>
          <w:sz w:val="20"/>
          <w:szCs w:val="24"/>
        </w:rPr>
        <w:t>$</w:t>
      </w:r>
      <w:r w:rsidR="00BC1755" w:rsidRPr="00BC2BC4">
        <w:rPr>
          <w:rFonts w:eastAsia="MS Mincho" w:cs="Times New Roman"/>
          <w:kern w:val="2"/>
          <w:sz w:val="20"/>
          <w:szCs w:val="24"/>
        </w:rPr>
        <w:t>56</w:t>
      </w:r>
      <w:r w:rsidR="00555EAA" w:rsidRPr="00BC2BC4">
        <w:rPr>
          <w:rFonts w:eastAsia="MS Mincho" w:cs="Times New Roman"/>
          <w:kern w:val="2"/>
          <w:sz w:val="20"/>
          <w:szCs w:val="24"/>
        </w:rPr>
        <w:t xml:space="preserve"> billion</w:t>
      </w:r>
      <w:r w:rsidR="00B7557A" w:rsidRPr="00BC2BC4">
        <w:rPr>
          <w:rFonts w:eastAsia="MS Mincho" w:cs="Times New Roman"/>
          <w:kern w:val="2"/>
          <w:sz w:val="20"/>
          <w:szCs w:val="24"/>
        </w:rPr>
        <w:t xml:space="preserve"> </w:t>
      </w:r>
      <w:r w:rsidR="00797E04" w:rsidRPr="00BC2BC4">
        <w:rPr>
          <w:rFonts w:eastAsia="MS Mincho" w:cs="Times New Roman"/>
          <w:kern w:val="2"/>
          <w:sz w:val="20"/>
          <w:szCs w:val="24"/>
        </w:rPr>
        <w:t>across</w:t>
      </w:r>
      <w:r w:rsidR="00555EAA" w:rsidRPr="00BC2BC4">
        <w:rPr>
          <w:rFonts w:eastAsia="MS Mincho" w:cs="Times New Roman"/>
          <w:kern w:val="2"/>
          <w:sz w:val="20"/>
          <w:szCs w:val="24"/>
        </w:rPr>
        <w:t xml:space="preserve"> 172 countries.</w:t>
      </w:r>
      <w:r w:rsidR="00555EAA" w:rsidRPr="00BC2BC4">
        <w:rPr>
          <w:rFonts w:eastAsia="MS Mincho" w:cs="Times New Roman"/>
          <w:kern w:val="2"/>
          <w:sz w:val="18"/>
          <w:szCs w:val="24"/>
          <w:vertAlign w:val="superscript"/>
        </w:rPr>
        <w:footnoteReference w:id="150"/>
      </w:r>
      <w:r w:rsidRPr="00BC2BC4">
        <w:rPr>
          <w:kern w:val="2"/>
          <w:sz w:val="20"/>
        </w:rPr>
        <w:t xml:space="preserve"> To combat corruption, the World Bank has created its own sanctioning system, which relies heavily on debarment as a penalty. Because of a reciprocal agreement between the World Bank and other development banks, debarment from World Bank projects also leads to debarment from projects funded by the African Development Bank Group, the Asian Development Bank, the European Bank for Reconstruction and Development</w:t>
      </w:r>
      <w:r w:rsidR="0021585F" w:rsidRPr="00BC2BC4">
        <w:rPr>
          <w:kern w:val="2"/>
          <w:sz w:val="20"/>
        </w:rPr>
        <w:t>,</w:t>
      </w:r>
      <w:r w:rsidRPr="00BC2BC4">
        <w:rPr>
          <w:kern w:val="2"/>
          <w:sz w:val="20"/>
        </w:rPr>
        <w:t xml:space="preserve"> and the Inter-American Development Bank.</w:t>
      </w:r>
      <w:r w:rsidRPr="00BC2BC4">
        <w:rPr>
          <w:rStyle w:val="FootnoteReference"/>
          <w:kern w:val="2"/>
          <w:sz w:val="20"/>
        </w:rPr>
        <w:footnoteReference w:id="151"/>
      </w:r>
      <w:r w:rsidR="00D47889" w:rsidRPr="00BC2BC4">
        <w:rPr>
          <w:kern w:val="2"/>
          <w:sz w:val="20"/>
        </w:rPr>
        <w:t xml:space="preserve"> This is commonly referred to as “cross-debarment</w:t>
      </w:r>
      <w:r w:rsidR="002328F1" w:rsidRPr="00BC2BC4">
        <w:rPr>
          <w:kern w:val="2"/>
          <w:sz w:val="20"/>
        </w:rPr>
        <w:t>.</w:t>
      </w:r>
      <w:r w:rsidR="00D47889" w:rsidRPr="00BC2BC4">
        <w:rPr>
          <w:kern w:val="2"/>
          <w:sz w:val="20"/>
        </w:rPr>
        <w:t>”</w:t>
      </w:r>
      <w:r w:rsidRPr="00BC2BC4">
        <w:rPr>
          <w:kern w:val="2"/>
          <w:sz w:val="20"/>
        </w:rPr>
        <w:t xml:space="preserve"> For more on the World Bank’s sanctioning process, see </w:t>
      </w:r>
      <w:r w:rsidR="002755E2" w:rsidRPr="00BC2BC4">
        <w:rPr>
          <w:kern w:val="2"/>
          <w:sz w:val="20"/>
          <w:highlight w:val="cyan"/>
        </w:rPr>
        <w:t>Section</w:t>
      </w:r>
      <w:r w:rsidR="00E123E0" w:rsidRPr="00BC2BC4">
        <w:rPr>
          <w:kern w:val="2"/>
          <w:sz w:val="20"/>
          <w:highlight w:val="cyan"/>
        </w:rPr>
        <w:t xml:space="preserve"> 8.3 in Chapter 7</w:t>
      </w:r>
      <w:r w:rsidRPr="00BC2BC4">
        <w:rPr>
          <w:kern w:val="2"/>
          <w:sz w:val="20"/>
        </w:rPr>
        <w:t>.</w:t>
      </w:r>
    </w:p>
    <w:p w14:paraId="59D2A885" w14:textId="0C6AC187" w:rsidR="005D1B9D" w:rsidRPr="00BC2BC4" w:rsidRDefault="005D1B9D" w:rsidP="00E01374">
      <w:pPr>
        <w:rPr>
          <w:kern w:val="2"/>
          <w:sz w:val="20"/>
        </w:rPr>
      </w:pPr>
      <w:r w:rsidRPr="00BC2BC4">
        <w:rPr>
          <w:kern w:val="2"/>
          <w:sz w:val="20"/>
        </w:rPr>
        <w:t xml:space="preserve">In July 2015, the World Bank announced a new Procurement Framework, which </w:t>
      </w:r>
      <w:r w:rsidR="00871CB9" w:rsidRPr="00BC2BC4">
        <w:rPr>
          <w:kern w:val="2"/>
          <w:sz w:val="20"/>
        </w:rPr>
        <w:t>came</w:t>
      </w:r>
      <w:r w:rsidRPr="00BC2BC4">
        <w:rPr>
          <w:kern w:val="2"/>
          <w:sz w:val="20"/>
        </w:rPr>
        <w:t xml:space="preserve"> into effect </w:t>
      </w:r>
      <w:r w:rsidR="00871CB9" w:rsidRPr="00BC2BC4">
        <w:rPr>
          <w:kern w:val="2"/>
          <w:sz w:val="20"/>
        </w:rPr>
        <w:t>on July 1,</w:t>
      </w:r>
      <w:r w:rsidRPr="00BC2BC4">
        <w:rPr>
          <w:kern w:val="2"/>
          <w:sz w:val="20"/>
        </w:rPr>
        <w:t xml:space="preserve"> 2016.</w:t>
      </w:r>
      <w:r w:rsidRPr="00BC2BC4">
        <w:rPr>
          <w:rStyle w:val="FootnoteReference"/>
          <w:kern w:val="2"/>
          <w:sz w:val="20"/>
        </w:rPr>
        <w:footnoteReference w:id="152"/>
      </w:r>
      <w:r w:rsidRPr="00BC2BC4">
        <w:rPr>
          <w:kern w:val="2"/>
          <w:sz w:val="20"/>
        </w:rPr>
        <w:t xml:space="preserve"> Most notably, the new framework allow</w:t>
      </w:r>
      <w:r w:rsidR="00313805" w:rsidRPr="00BC2BC4">
        <w:rPr>
          <w:kern w:val="2"/>
          <w:sz w:val="20"/>
        </w:rPr>
        <w:t>s</w:t>
      </w:r>
      <w:r w:rsidRPr="00BC2BC4">
        <w:rPr>
          <w:kern w:val="2"/>
          <w:sz w:val="20"/>
        </w:rPr>
        <w:t xml:space="preserve"> contract award decisions </w:t>
      </w:r>
      <w:r w:rsidR="00617CF2" w:rsidRPr="00BC2BC4">
        <w:rPr>
          <w:kern w:val="2"/>
          <w:sz w:val="20"/>
        </w:rPr>
        <w:t xml:space="preserve">to </w:t>
      </w:r>
      <w:r w:rsidRPr="00BC2BC4">
        <w:rPr>
          <w:kern w:val="2"/>
          <w:sz w:val="20"/>
        </w:rPr>
        <w:t>be based on criteria other than lowest price</w:t>
      </w:r>
      <w:r w:rsidR="002C074C" w:rsidRPr="00BC2BC4">
        <w:rPr>
          <w:kern w:val="2"/>
          <w:sz w:val="20"/>
        </w:rPr>
        <w:t>. In this respect, “v</w:t>
      </w:r>
      <w:r w:rsidR="00313805" w:rsidRPr="00BC2BC4">
        <w:rPr>
          <w:kern w:val="2"/>
          <w:sz w:val="20"/>
        </w:rPr>
        <w:t xml:space="preserve">alue for money” </w:t>
      </w:r>
      <w:r w:rsidR="00452AC0" w:rsidRPr="00BC2BC4">
        <w:rPr>
          <w:kern w:val="2"/>
          <w:sz w:val="20"/>
        </w:rPr>
        <w:t>was</w:t>
      </w:r>
      <w:r w:rsidR="00313805" w:rsidRPr="00BC2BC4">
        <w:rPr>
          <w:kern w:val="2"/>
          <w:sz w:val="20"/>
        </w:rPr>
        <w:t xml:space="preserve"> introduced as a core procurement principle. This signals “</w:t>
      </w:r>
      <w:r w:rsidR="00313805" w:rsidRPr="00BC2BC4">
        <w:rPr>
          <w:kern w:val="2"/>
          <w:sz w:val="20"/>
          <w:lang w:val="en"/>
        </w:rPr>
        <w:t>a shift in focus from the lowest evaluated compliant bid to bids that provide the best overall value for money, taking into account quality, cost, and other factors as needed</w:t>
      </w:r>
      <w:r w:rsidR="008C7D66" w:rsidRPr="00BC2BC4">
        <w:rPr>
          <w:kern w:val="2"/>
          <w:sz w:val="20"/>
          <w:lang w:val="en"/>
        </w:rPr>
        <w:t>.</w:t>
      </w:r>
      <w:r w:rsidR="00313805" w:rsidRPr="00BC2BC4">
        <w:rPr>
          <w:kern w:val="2"/>
          <w:sz w:val="20"/>
          <w:lang w:val="en"/>
        </w:rPr>
        <w:t>”</w:t>
      </w:r>
      <w:r w:rsidR="00313805" w:rsidRPr="00BC2BC4">
        <w:rPr>
          <w:rStyle w:val="FootnoteReference"/>
          <w:kern w:val="2"/>
          <w:sz w:val="20"/>
          <w:lang w:val="en"/>
        </w:rPr>
        <w:footnoteReference w:id="153"/>
      </w:r>
      <w:r w:rsidRPr="00BC2BC4">
        <w:rPr>
          <w:kern w:val="2"/>
          <w:sz w:val="20"/>
        </w:rPr>
        <w:t xml:space="preserve"> </w:t>
      </w:r>
      <w:r w:rsidR="00313805" w:rsidRPr="00BC2BC4">
        <w:rPr>
          <w:kern w:val="2"/>
          <w:sz w:val="20"/>
        </w:rPr>
        <w:t>In addition, t</w:t>
      </w:r>
      <w:r w:rsidRPr="00BC2BC4">
        <w:rPr>
          <w:kern w:val="2"/>
          <w:sz w:val="20"/>
        </w:rPr>
        <w:t xml:space="preserve">he World Bank </w:t>
      </w:r>
      <w:r w:rsidR="00313805" w:rsidRPr="00BC2BC4">
        <w:rPr>
          <w:kern w:val="2"/>
          <w:sz w:val="20"/>
        </w:rPr>
        <w:t xml:space="preserve">prepared </w:t>
      </w:r>
      <w:r w:rsidR="003E4915" w:rsidRPr="00BC2BC4">
        <w:rPr>
          <w:kern w:val="2"/>
          <w:sz w:val="20"/>
        </w:rPr>
        <w:t xml:space="preserve">a series of </w:t>
      </w:r>
      <w:r w:rsidR="00313805" w:rsidRPr="00BC2BC4">
        <w:rPr>
          <w:kern w:val="2"/>
          <w:sz w:val="20"/>
        </w:rPr>
        <w:t>“Standard Procurement Documents” requiring bidders to provide beneficial ownership</w:t>
      </w:r>
      <w:r w:rsidR="00A21928" w:rsidRPr="00BC2BC4">
        <w:rPr>
          <w:kern w:val="2"/>
          <w:sz w:val="20"/>
        </w:rPr>
        <w:t xml:space="preserve"> information</w:t>
      </w:r>
      <w:r w:rsidR="00313805" w:rsidRPr="00BC2BC4">
        <w:rPr>
          <w:kern w:val="2"/>
          <w:sz w:val="20"/>
        </w:rPr>
        <w:t>.</w:t>
      </w:r>
      <w:r w:rsidR="00890971" w:rsidRPr="00BC2BC4">
        <w:rPr>
          <w:rStyle w:val="FootnoteReference"/>
          <w:kern w:val="2"/>
          <w:sz w:val="20"/>
        </w:rPr>
        <w:footnoteReference w:id="154"/>
      </w:r>
      <w:r w:rsidR="00313805" w:rsidRPr="00BC2BC4">
        <w:rPr>
          <w:kern w:val="2"/>
          <w:sz w:val="20"/>
        </w:rPr>
        <w:t xml:space="preserve"> This followed after the World Bank </w:t>
      </w:r>
      <w:r w:rsidR="005E203F" w:rsidRPr="00BC2BC4">
        <w:rPr>
          <w:kern w:val="2"/>
          <w:sz w:val="20"/>
        </w:rPr>
        <w:t xml:space="preserve">announced it would </w:t>
      </w:r>
      <w:r w:rsidRPr="00BC2BC4">
        <w:rPr>
          <w:kern w:val="2"/>
          <w:sz w:val="20"/>
        </w:rPr>
        <w:t>be considering ways of collecting and disseminating information on beneficial ownership of entities participating in its procurement processes</w:t>
      </w:r>
      <w:r w:rsidR="0016416B" w:rsidRPr="00BC2BC4">
        <w:rPr>
          <w:kern w:val="2"/>
          <w:sz w:val="20"/>
        </w:rPr>
        <w:t>, having received a letter signed by 107 civil society organizations encouraging it to do so</w:t>
      </w:r>
      <w:r w:rsidRPr="00BC2BC4">
        <w:rPr>
          <w:kern w:val="2"/>
          <w:sz w:val="20"/>
        </w:rPr>
        <w:t>.</w:t>
      </w:r>
      <w:r w:rsidRPr="00BC2BC4">
        <w:rPr>
          <w:rStyle w:val="FootnoteReference"/>
          <w:kern w:val="2"/>
          <w:sz w:val="20"/>
        </w:rPr>
        <w:footnoteReference w:id="155"/>
      </w:r>
      <w:r w:rsidRPr="00BC2BC4">
        <w:rPr>
          <w:kern w:val="2"/>
          <w:sz w:val="20"/>
        </w:rPr>
        <w:t xml:space="preserve"> </w:t>
      </w:r>
    </w:p>
    <w:p w14:paraId="0197E0A5" w14:textId="22891284" w:rsidR="003A20C1" w:rsidRPr="00BC2BC4" w:rsidRDefault="003A20C1" w:rsidP="00E01374">
      <w:pPr>
        <w:rPr>
          <w:kern w:val="2"/>
          <w:sz w:val="20"/>
        </w:rPr>
      </w:pPr>
      <w:r w:rsidRPr="00BC2BC4">
        <w:rPr>
          <w:kern w:val="2"/>
          <w:sz w:val="20"/>
        </w:rPr>
        <w:t xml:space="preserve">The procurement process has been subject to some criticism. After noting that the </w:t>
      </w:r>
      <w:r w:rsidRPr="00BC2BC4">
        <w:rPr>
          <w:i/>
          <w:kern w:val="2"/>
          <w:sz w:val="20"/>
        </w:rPr>
        <w:t xml:space="preserve">FCPA </w:t>
      </w:r>
      <w:r w:rsidRPr="00BC2BC4">
        <w:rPr>
          <w:kern w:val="2"/>
          <w:sz w:val="20"/>
        </w:rPr>
        <w:t>provides little deterrence to companies operating in countries where demand for bribes is high and profits to be made are great,</w:t>
      </w:r>
      <w:r w:rsidR="00F878FE" w:rsidRPr="00BC2BC4">
        <w:rPr>
          <w:kern w:val="2"/>
          <w:sz w:val="20"/>
        </w:rPr>
        <w:t xml:space="preserve"> US lawyer and academic</w:t>
      </w:r>
      <w:r w:rsidRPr="00BC2BC4">
        <w:rPr>
          <w:kern w:val="2"/>
          <w:sz w:val="20"/>
        </w:rPr>
        <w:t xml:space="preserve"> Leibold criticize</w:t>
      </w:r>
      <w:r w:rsidR="00827BE9" w:rsidRPr="00BC2BC4">
        <w:rPr>
          <w:kern w:val="2"/>
          <w:sz w:val="20"/>
        </w:rPr>
        <w:t>d</w:t>
      </w:r>
      <w:r w:rsidRPr="00BC2BC4">
        <w:rPr>
          <w:kern w:val="2"/>
          <w:sz w:val="20"/>
        </w:rPr>
        <w:t xml:space="preserve"> the World Bank’s conduct when financing a pipeline project in Chad:</w:t>
      </w:r>
    </w:p>
    <w:p w14:paraId="3A91C3C1" w14:textId="77777777" w:rsidR="003A20C1" w:rsidRPr="00BC2BC4" w:rsidRDefault="003A20C1" w:rsidP="00C74A64">
      <w:pPr>
        <w:pStyle w:val="BlockQuote"/>
        <w:rPr>
          <w:kern w:val="2"/>
          <w:sz w:val="20"/>
        </w:rPr>
      </w:pPr>
      <w:r w:rsidRPr="00BC2BC4">
        <w:rPr>
          <w:kern w:val="2"/>
          <w:sz w:val="20"/>
        </w:rPr>
        <w:t>Even the World Bank was ineffective at preventing corruption there. It rushed the pipeline project, ignored important information about the empirical nature of the resource curse, and divorced its own analysis from Chad’s political and economic context.</w:t>
      </w:r>
      <w:r w:rsidR="00871CB9" w:rsidRPr="00BC2BC4">
        <w:rPr>
          <w:rStyle w:val="FootnoteReference"/>
          <w:kern w:val="2"/>
          <w:sz w:val="20"/>
        </w:rPr>
        <w:footnoteReference w:id="156"/>
      </w:r>
      <w:r w:rsidRPr="00BC2BC4">
        <w:rPr>
          <w:kern w:val="2"/>
          <w:sz w:val="20"/>
        </w:rPr>
        <w:t xml:space="preserve"> </w:t>
      </w:r>
    </w:p>
    <w:p w14:paraId="050F843B" w14:textId="5AA1FCB3" w:rsidR="003A20C1" w:rsidRPr="00BC2BC4" w:rsidRDefault="000B792A">
      <w:pPr>
        <w:rPr>
          <w:kern w:val="2"/>
          <w:sz w:val="20"/>
          <w:szCs w:val="21"/>
        </w:rPr>
      </w:pPr>
      <w:r w:rsidRPr="00BC2BC4">
        <w:rPr>
          <w:kern w:val="2"/>
          <w:sz w:val="20"/>
          <w:szCs w:val="21"/>
        </w:rPr>
        <w:t xml:space="preserve">Another </w:t>
      </w:r>
      <w:r w:rsidR="0021585F" w:rsidRPr="00BC2BC4">
        <w:rPr>
          <w:kern w:val="2"/>
          <w:sz w:val="20"/>
          <w:szCs w:val="21"/>
        </w:rPr>
        <w:t xml:space="preserve">US </w:t>
      </w:r>
      <w:r w:rsidR="00A423BC" w:rsidRPr="00BC2BC4">
        <w:rPr>
          <w:kern w:val="2"/>
          <w:sz w:val="20"/>
          <w:szCs w:val="21"/>
        </w:rPr>
        <w:t>academic</w:t>
      </w:r>
      <w:r w:rsidR="0021585F" w:rsidRPr="00BC2BC4">
        <w:rPr>
          <w:kern w:val="2"/>
          <w:sz w:val="20"/>
          <w:szCs w:val="21"/>
        </w:rPr>
        <w:t xml:space="preserve"> </w:t>
      </w:r>
      <w:r w:rsidR="003A20C1" w:rsidRPr="00BC2BC4">
        <w:rPr>
          <w:kern w:val="2"/>
          <w:sz w:val="20"/>
          <w:szCs w:val="21"/>
        </w:rPr>
        <w:t>Sarlo criticize</w:t>
      </w:r>
      <w:r w:rsidR="004E352F" w:rsidRPr="00BC2BC4">
        <w:rPr>
          <w:kern w:val="2"/>
          <w:sz w:val="20"/>
          <w:szCs w:val="21"/>
        </w:rPr>
        <w:t>d</w:t>
      </w:r>
      <w:r w:rsidR="003A20C1" w:rsidRPr="00BC2BC4">
        <w:rPr>
          <w:kern w:val="2"/>
          <w:sz w:val="20"/>
          <w:szCs w:val="21"/>
        </w:rPr>
        <w:t xml:space="preserve"> the World Bank’s “undisciplined lending practices</w:t>
      </w:r>
      <w:r w:rsidR="004E352F" w:rsidRPr="00BC2BC4">
        <w:rPr>
          <w:kern w:val="2"/>
          <w:sz w:val="20"/>
          <w:szCs w:val="21"/>
        </w:rPr>
        <w:t>,</w:t>
      </w:r>
      <w:r w:rsidR="003A20C1" w:rsidRPr="00BC2BC4">
        <w:rPr>
          <w:kern w:val="2"/>
          <w:sz w:val="20"/>
          <w:szCs w:val="21"/>
        </w:rPr>
        <w:t>” stating that “[t]he World Bank undermines the transnational anti-corruption regime through its failure to carry out due diligence of project-implementing agencies when it advances loans to notoriously corrupt governments.”</w:t>
      </w:r>
      <w:r w:rsidR="002B7B0E" w:rsidRPr="00BC2BC4">
        <w:rPr>
          <w:rStyle w:val="FootnoteReference"/>
          <w:kern w:val="2"/>
          <w:sz w:val="20"/>
          <w:szCs w:val="21"/>
        </w:rPr>
        <w:footnoteReference w:id="157"/>
      </w:r>
      <w:r w:rsidR="003A20C1" w:rsidRPr="00BC2BC4">
        <w:rPr>
          <w:kern w:val="2"/>
          <w:sz w:val="20"/>
          <w:szCs w:val="21"/>
        </w:rPr>
        <w:t xml:space="preserve"> He points out that </w:t>
      </w:r>
      <w:r w:rsidR="009D28D6" w:rsidRPr="00BC2BC4">
        <w:rPr>
          <w:kern w:val="2"/>
          <w:sz w:val="20"/>
          <w:szCs w:val="21"/>
        </w:rPr>
        <w:t xml:space="preserve">the personal success of </w:t>
      </w:r>
      <w:r w:rsidR="003A20C1" w:rsidRPr="00BC2BC4">
        <w:rPr>
          <w:kern w:val="2"/>
          <w:sz w:val="20"/>
          <w:szCs w:val="21"/>
        </w:rPr>
        <w:t xml:space="preserve">World Bank officials </w:t>
      </w:r>
      <w:r w:rsidR="009D28D6" w:rsidRPr="00BC2BC4">
        <w:rPr>
          <w:kern w:val="2"/>
          <w:sz w:val="20"/>
          <w:szCs w:val="21"/>
        </w:rPr>
        <w:t>“</w:t>
      </w:r>
      <w:r w:rsidR="003A20C1" w:rsidRPr="00BC2BC4">
        <w:rPr>
          <w:kern w:val="2"/>
          <w:sz w:val="20"/>
          <w:szCs w:val="21"/>
        </w:rPr>
        <w:t>depend</w:t>
      </w:r>
      <w:r w:rsidR="009D28D6" w:rsidRPr="00BC2BC4">
        <w:rPr>
          <w:kern w:val="2"/>
          <w:sz w:val="20"/>
          <w:szCs w:val="21"/>
        </w:rPr>
        <w:t>[s]</w:t>
      </w:r>
      <w:r w:rsidR="003A20C1" w:rsidRPr="00BC2BC4">
        <w:rPr>
          <w:kern w:val="2"/>
          <w:sz w:val="20"/>
          <w:szCs w:val="21"/>
        </w:rPr>
        <w:t xml:space="preserve"> on the number of loans they approve”</w:t>
      </w:r>
      <w:r w:rsidR="009D28D6" w:rsidRPr="00BC2BC4">
        <w:rPr>
          <w:kern w:val="2"/>
          <w:sz w:val="20"/>
          <w:szCs w:val="21"/>
        </w:rPr>
        <w:t>.</w:t>
      </w:r>
      <w:r w:rsidR="002B7B0E" w:rsidRPr="00BC2BC4">
        <w:rPr>
          <w:rStyle w:val="FootnoteReference"/>
          <w:kern w:val="2"/>
          <w:sz w:val="20"/>
          <w:szCs w:val="21"/>
        </w:rPr>
        <w:footnoteReference w:id="158"/>
      </w:r>
      <w:r w:rsidR="009D28D6" w:rsidRPr="00BC2BC4">
        <w:rPr>
          <w:kern w:val="2"/>
          <w:sz w:val="20"/>
          <w:szCs w:val="21"/>
        </w:rPr>
        <w:t xml:space="preserve"> Further,</w:t>
      </w:r>
      <w:r w:rsidR="003A20C1" w:rsidRPr="00BC2BC4">
        <w:rPr>
          <w:kern w:val="2"/>
          <w:sz w:val="20"/>
          <w:szCs w:val="21"/>
        </w:rPr>
        <w:t xml:space="preserve"> “whether a loan is stolen should make little difference to the World Bank because of its ability to earn interest and even accelerate payment on that loan.”</w:t>
      </w:r>
      <w:r w:rsidR="002B7B0E" w:rsidRPr="00BC2BC4">
        <w:rPr>
          <w:rStyle w:val="FootnoteReference"/>
          <w:kern w:val="2"/>
          <w:sz w:val="20"/>
          <w:szCs w:val="21"/>
        </w:rPr>
        <w:footnoteReference w:id="159"/>
      </w:r>
      <w:r w:rsidR="003A20C1" w:rsidRPr="00BC2BC4">
        <w:rPr>
          <w:kern w:val="2"/>
          <w:sz w:val="20"/>
          <w:szCs w:val="21"/>
        </w:rPr>
        <w:t xml:space="preserve"> </w:t>
      </w:r>
      <w:r w:rsidR="00240BDC" w:rsidRPr="00BC2BC4">
        <w:rPr>
          <w:kern w:val="2"/>
          <w:sz w:val="20"/>
          <w:szCs w:val="21"/>
        </w:rPr>
        <w:t>Due to the</w:t>
      </w:r>
      <w:r w:rsidR="003A20C1" w:rsidRPr="00BC2BC4">
        <w:rPr>
          <w:kern w:val="2"/>
          <w:sz w:val="20"/>
          <w:szCs w:val="21"/>
        </w:rPr>
        <w:t xml:space="preserve"> lack of incentive to ensure loans are used for their intended purpose, Sarlo call</w:t>
      </w:r>
      <w:r w:rsidR="00A05111" w:rsidRPr="00BC2BC4">
        <w:rPr>
          <w:kern w:val="2"/>
          <w:sz w:val="20"/>
          <w:szCs w:val="21"/>
        </w:rPr>
        <w:t>ed</w:t>
      </w:r>
      <w:r w:rsidR="003A20C1" w:rsidRPr="00BC2BC4">
        <w:rPr>
          <w:kern w:val="2"/>
          <w:sz w:val="20"/>
          <w:szCs w:val="21"/>
        </w:rPr>
        <w:t xml:space="preserve"> for increased regulation of World Bank lending practices.  </w:t>
      </w:r>
    </w:p>
    <w:p w14:paraId="3F508474" w14:textId="7D7D6CF4" w:rsidR="00817799" w:rsidRPr="00BC2BC4" w:rsidRDefault="00817799" w:rsidP="00C74A64">
      <w:pPr>
        <w:pStyle w:val="Heading3"/>
        <w:rPr>
          <w:kern w:val="2"/>
          <w:sz w:val="22"/>
        </w:rPr>
      </w:pPr>
      <w:r w:rsidRPr="00BC2BC4">
        <w:rPr>
          <w:kern w:val="2"/>
          <w:sz w:val="22"/>
        </w:rPr>
        <w:t>WTO</w:t>
      </w:r>
      <w:bookmarkEnd w:id="45"/>
      <w:bookmarkEnd w:id="46"/>
      <w:r w:rsidR="00EA71B0" w:rsidRPr="00BC2BC4">
        <w:rPr>
          <w:kern w:val="2"/>
          <w:sz w:val="22"/>
        </w:rPr>
        <w:t xml:space="preserve"> </w:t>
      </w:r>
      <w:r w:rsidR="002B3E3E" w:rsidRPr="00BC2BC4">
        <w:rPr>
          <w:kern w:val="2"/>
          <w:sz w:val="22"/>
        </w:rPr>
        <w:t>Ag</w:t>
      </w:r>
      <w:r w:rsidR="006A4767" w:rsidRPr="00BC2BC4">
        <w:rPr>
          <w:kern w:val="2"/>
          <w:sz w:val="22"/>
        </w:rPr>
        <w:t xml:space="preserve">reement on Government </w:t>
      </w:r>
      <w:r w:rsidR="00D46ECD" w:rsidRPr="00BC2BC4">
        <w:rPr>
          <w:kern w:val="2"/>
          <w:sz w:val="22"/>
        </w:rPr>
        <w:t xml:space="preserve">Procurement </w:t>
      </w:r>
      <w:r w:rsidR="00D266DB" w:rsidRPr="00BC2BC4">
        <w:rPr>
          <w:kern w:val="2"/>
          <w:sz w:val="22"/>
        </w:rPr>
        <w:t>(WTO-AGP)</w:t>
      </w:r>
      <w:bookmarkEnd w:id="47"/>
    </w:p>
    <w:p w14:paraId="0EF638C0" w14:textId="689CAE39" w:rsidR="00817799" w:rsidRPr="00BC2BC4" w:rsidRDefault="00817799" w:rsidP="006B0E35">
      <w:pPr>
        <w:spacing w:line="23" w:lineRule="atLeast"/>
        <w:rPr>
          <w:kern w:val="2"/>
          <w:sz w:val="20"/>
        </w:rPr>
      </w:pPr>
      <w:r w:rsidRPr="00BC2BC4">
        <w:rPr>
          <w:kern w:val="2"/>
          <w:sz w:val="20"/>
        </w:rPr>
        <w:t>The WTO-AGP</w:t>
      </w:r>
      <w:r w:rsidR="00D46ECD" w:rsidRPr="00BC2BC4">
        <w:rPr>
          <w:rStyle w:val="FootnoteReference"/>
          <w:kern w:val="2"/>
          <w:sz w:val="20"/>
        </w:rPr>
        <w:footnoteReference w:id="160"/>
      </w:r>
      <w:r w:rsidRPr="00BC2BC4">
        <w:rPr>
          <w:kern w:val="2"/>
          <w:sz w:val="20"/>
        </w:rPr>
        <w:t xml:space="preserve"> has the status of a binding international treaty among its 43 members.</w:t>
      </w:r>
      <w:r w:rsidRPr="00BC2BC4">
        <w:rPr>
          <w:rStyle w:val="FootnoteReference"/>
          <w:kern w:val="2"/>
          <w:sz w:val="20"/>
        </w:rPr>
        <w:footnoteReference w:id="161"/>
      </w:r>
      <w:r w:rsidRPr="00BC2BC4">
        <w:rPr>
          <w:kern w:val="2"/>
          <w:sz w:val="20"/>
        </w:rPr>
        <w:t xml:space="preserve"> Although the primary objective of the WTO-AGP is to ensure free market access among </w:t>
      </w:r>
      <w:r w:rsidR="00142B56" w:rsidRPr="00BC2BC4">
        <w:rPr>
          <w:kern w:val="2"/>
          <w:sz w:val="20"/>
        </w:rPr>
        <w:t>St</w:t>
      </w:r>
      <w:r w:rsidRPr="00BC2BC4">
        <w:rPr>
          <w:kern w:val="2"/>
          <w:sz w:val="20"/>
        </w:rPr>
        <w:t xml:space="preserve">ate parties, it is relevant to </w:t>
      </w:r>
      <w:r w:rsidR="006A4767" w:rsidRPr="00BC2BC4">
        <w:rPr>
          <w:kern w:val="2"/>
          <w:sz w:val="20"/>
        </w:rPr>
        <w:t>procurement</w:t>
      </w:r>
      <w:r w:rsidRPr="00BC2BC4">
        <w:rPr>
          <w:kern w:val="2"/>
          <w:sz w:val="20"/>
        </w:rPr>
        <w:t xml:space="preserve"> in that it contains provisions that require fairness and transparency in government procurement.</w:t>
      </w:r>
      <w:r w:rsidRPr="00BC2BC4">
        <w:rPr>
          <w:rStyle w:val="FootnoteReference"/>
          <w:kern w:val="2"/>
          <w:sz w:val="20"/>
        </w:rPr>
        <w:footnoteReference w:id="162"/>
      </w:r>
      <w:r w:rsidRPr="00BC2BC4">
        <w:rPr>
          <w:kern w:val="2"/>
          <w:sz w:val="20"/>
        </w:rPr>
        <w:t xml:space="preserve"> For example, Article XVI.1 mandates that a procuring entity “promptly inform participating suppliers of the entity’s contract award decisions […and], on request, provide an unsuccessful supplier with an explanation of the reasons why the entity did not select its tender and the relative advantages of the successful supplier’s tender.”</w:t>
      </w:r>
      <w:r w:rsidRPr="00BC2BC4">
        <w:rPr>
          <w:rStyle w:val="FootnoteReference"/>
          <w:kern w:val="2"/>
          <w:sz w:val="20"/>
        </w:rPr>
        <w:footnoteReference w:id="163"/>
      </w:r>
      <w:r w:rsidRPr="00BC2BC4">
        <w:rPr>
          <w:kern w:val="2"/>
          <w:sz w:val="20"/>
        </w:rPr>
        <w:t xml:space="preserve"> Article XVII.1 requires that, upon request, “a Party shall provide promptly any information necessary to determine whether a procurement was conduct</w:t>
      </w:r>
      <w:r w:rsidR="00860E8E" w:rsidRPr="00BC2BC4">
        <w:rPr>
          <w:kern w:val="2"/>
          <w:sz w:val="20"/>
        </w:rPr>
        <w:t>ed</w:t>
      </w:r>
      <w:r w:rsidRPr="00BC2BC4">
        <w:rPr>
          <w:kern w:val="2"/>
          <w:sz w:val="20"/>
        </w:rPr>
        <w:t xml:space="preserve"> fairly, impartially, and in accordance with this Agreement, including information on the characteristics and relative advantages of the successful tender.”</w:t>
      </w:r>
      <w:r w:rsidRPr="00BC2BC4">
        <w:rPr>
          <w:rStyle w:val="FootnoteReference"/>
          <w:kern w:val="2"/>
          <w:sz w:val="20"/>
        </w:rPr>
        <w:footnoteReference w:id="164"/>
      </w:r>
      <w:r w:rsidRPr="00BC2BC4">
        <w:rPr>
          <w:kern w:val="2"/>
          <w:sz w:val="20"/>
        </w:rPr>
        <w:t xml:space="preserve"> However, The WTO-AGP applies only to “covered entities purchasing listed goods, services or construction services of a value exceeding specified threshold values</w:t>
      </w:r>
      <w:r w:rsidR="00922C6B" w:rsidRPr="00BC2BC4">
        <w:rPr>
          <w:kern w:val="2"/>
          <w:sz w:val="20"/>
        </w:rPr>
        <w:t>.</w:t>
      </w:r>
      <w:r w:rsidRPr="00BC2BC4">
        <w:rPr>
          <w:kern w:val="2"/>
          <w:sz w:val="20"/>
        </w:rPr>
        <w:t>”</w:t>
      </w:r>
      <w:r w:rsidRPr="00BC2BC4">
        <w:rPr>
          <w:rStyle w:val="FootnoteReference"/>
          <w:kern w:val="2"/>
          <w:sz w:val="20"/>
        </w:rPr>
        <w:footnoteReference w:id="165"/>
      </w:r>
      <w:r w:rsidRPr="00BC2BC4">
        <w:rPr>
          <w:kern w:val="2"/>
          <w:sz w:val="20"/>
        </w:rPr>
        <w:t xml:space="preserve"> In the context of government construction contracts in Canada, the WTO-AGP applies to:</w:t>
      </w:r>
    </w:p>
    <w:p w14:paraId="16EBD2BA" w14:textId="650F6C11" w:rsidR="00817799" w:rsidRPr="00BC2BC4" w:rsidRDefault="00392F14" w:rsidP="00A75BC0">
      <w:pPr>
        <w:pStyle w:val="ListParagraph"/>
        <w:numPr>
          <w:ilvl w:val="0"/>
          <w:numId w:val="17"/>
        </w:numPr>
        <w:rPr>
          <w:kern w:val="2"/>
          <w:sz w:val="20"/>
        </w:rPr>
      </w:pPr>
      <w:r w:rsidRPr="00BC2BC4">
        <w:rPr>
          <w:kern w:val="2"/>
          <w:sz w:val="20"/>
        </w:rPr>
        <w:t>l</w:t>
      </w:r>
      <w:r w:rsidR="00817799" w:rsidRPr="00BC2BC4">
        <w:rPr>
          <w:kern w:val="2"/>
          <w:sz w:val="20"/>
        </w:rPr>
        <w:t xml:space="preserve">isted central government entities procuring construction services in excess of </w:t>
      </w:r>
      <w:r w:rsidR="00860823" w:rsidRPr="00BC2BC4">
        <w:rPr>
          <w:kern w:val="2"/>
          <w:sz w:val="20"/>
        </w:rPr>
        <w:t>$8.5 million CAD;</w:t>
      </w:r>
    </w:p>
    <w:p w14:paraId="6FFFED27" w14:textId="18959F08" w:rsidR="00817799" w:rsidRPr="00BC2BC4" w:rsidRDefault="00392F14" w:rsidP="00A75BC0">
      <w:pPr>
        <w:pStyle w:val="ListParagraph"/>
        <w:numPr>
          <w:ilvl w:val="0"/>
          <w:numId w:val="17"/>
        </w:numPr>
        <w:rPr>
          <w:kern w:val="2"/>
          <w:sz w:val="20"/>
        </w:rPr>
      </w:pPr>
      <w:r w:rsidRPr="00BC2BC4">
        <w:rPr>
          <w:kern w:val="2"/>
          <w:sz w:val="20"/>
        </w:rPr>
        <w:t>l</w:t>
      </w:r>
      <w:r w:rsidR="00817799" w:rsidRPr="00BC2BC4">
        <w:rPr>
          <w:kern w:val="2"/>
          <w:sz w:val="20"/>
        </w:rPr>
        <w:t xml:space="preserve">isted sub-central government entities (which do not include provincial legislatures or Crown </w:t>
      </w:r>
      <w:r w:rsidR="00E94373" w:rsidRPr="00BC2BC4">
        <w:rPr>
          <w:kern w:val="2"/>
          <w:sz w:val="20"/>
        </w:rPr>
        <w:t>c</w:t>
      </w:r>
      <w:r w:rsidR="00817799" w:rsidRPr="00BC2BC4">
        <w:rPr>
          <w:kern w:val="2"/>
          <w:sz w:val="20"/>
        </w:rPr>
        <w:t>orporations but do include provincial departments and ministries) procuring construction services in excess of</w:t>
      </w:r>
      <w:r w:rsidR="00415E7B" w:rsidRPr="00BC2BC4">
        <w:rPr>
          <w:kern w:val="2"/>
          <w:sz w:val="20"/>
        </w:rPr>
        <w:t xml:space="preserve"> $8.5 million CAD</w:t>
      </w:r>
      <w:r w:rsidR="00817799" w:rsidRPr="00BC2BC4">
        <w:rPr>
          <w:kern w:val="2"/>
          <w:sz w:val="20"/>
        </w:rPr>
        <w:t>; and</w:t>
      </w:r>
    </w:p>
    <w:p w14:paraId="4839EB3A" w14:textId="3369017C" w:rsidR="00817799" w:rsidRPr="00BC2BC4" w:rsidRDefault="00392F14" w:rsidP="00A75BC0">
      <w:pPr>
        <w:pStyle w:val="ListParagraph"/>
        <w:numPr>
          <w:ilvl w:val="0"/>
          <w:numId w:val="17"/>
        </w:numPr>
        <w:spacing w:after="240"/>
        <w:rPr>
          <w:kern w:val="2"/>
          <w:sz w:val="20"/>
        </w:rPr>
      </w:pPr>
      <w:r w:rsidRPr="00BC2BC4">
        <w:rPr>
          <w:kern w:val="2"/>
          <w:sz w:val="20"/>
        </w:rPr>
        <w:t>a</w:t>
      </w:r>
      <w:r w:rsidR="00817799" w:rsidRPr="00BC2BC4">
        <w:rPr>
          <w:kern w:val="2"/>
          <w:sz w:val="20"/>
        </w:rPr>
        <w:t>ll construction services identified in Division 51 of the United Nations Provisional Central Product Classification.</w:t>
      </w:r>
      <w:r w:rsidR="00817799" w:rsidRPr="00BC2BC4">
        <w:rPr>
          <w:rStyle w:val="FootnoteReference"/>
          <w:kern w:val="2"/>
          <w:sz w:val="20"/>
        </w:rPr>
        <w:footnoteReference w:id="166"/>
      </w:r>
    </w:p>
    <w:p w14:paraId="70DC284C" w14:textId="4CB078BE" w:rsidR="00817799" w:rsidRPr="00BC2BC4" w:rsidRDefault="00817799" w:rsidP="00C74A64">
      <w:pPr>
        <w:pStyle w:val="Heading3"/>
        <w:rPr>
          <w:kern w:val="2"/>
          <w:sz w:val="22"/>
        </w:rPr>
      </w:pPr>
      <w:bookmarkStart w:id="48" w:name="_Toc291347565"/>
      <w:bookmarkStart w:id="49" w:name="_Toc420920796"/>
      <w:bookmarkStart w:id="50" w:name="_Toc424485032"/>
      <w:r w:rsidRPr="00BC2BC4">
        <w:rPr>
          <w:kern w:val="2"/>
          <w:sz w:val="22"/>
        </w:rPr>
        <w:t>NAFTA</w:t>
      </w:r>
      <w:bookmarkEnd w:id="48"/>
      <w:bookmarkEnd w:id="49"/>
      <w:bookmarkEnd w:id="50"/>
    </w:p>
    <w:p w14:paraId="4902E3B8" w14:textId="57F1C932" w:rsidR="00817799" w:rsidRPr="00BC2BC4" w:rsidRDefault="00817799" w:rsidP="006B0E35">
      <w:pPr>
        <w:spacing w:line="23" w:lineRule="atLeast"/>
        <w:rPr>
          <w:kern w:val="2"/>
          <w:sz w:val="20"/>
        </w:rPr>
      </w:pPr>
      <w:r w:rsidRPr="00BC2BC4">
        <w:rPr>
          <w:kern w:val="2"/>
          <w:sz w:val="20"/>
        </w:rPr>
        <w:t>One of the goals of NAFTA is to provide Canada, the US and Mexico with access to one another’s government procurement opportunities at the federal level.</w:t>
      </w:r>
      <w:r w:rsidRPr="00BC2BC4">
        <w:rPr>
          <w:rStyle w:val="FootnoteReference"/>
          <w:kern w:val="2"/>
          <w:sz w:val="20"/>
        </w:rPr>
        <w:footnoteReference w:id="167"/>
      </w:r>
      <w:r w:rsidR="00D01071" w:rsidRPr="00BC2BC4">
        <w:rPr>
          <w:kern w:val="2"/>
          <w:sz w:val="20"/>
        </w:rPr>
        <w:t xml:space="preserve"> </w:t>
      </w:r>
      <w:r w:rsidRPr="00BC2BC4">
        <w:rPr>
          <w:kern w:val="2"/>
          <w:sz w:val="20"/>
        </w:rPr>
        <w:t xml:space="preserve">Chapter 10 of NAFTA sets out requirements for tendering procedures with which the federal government of Canada must comply. The requirements of NAFTA focus </w:t>
      </w:r>
      <w:r w:rsidR="009772D8" w:rsidRPr="00BC2BC4">
        <w:rPr>
          <w:kern w:val="2"/>
          <w:sz w:val="20"/>
        </w:rPr>
        <w:t xml:space="preserve">mainly </w:t>
      </w:r>
      <w:r w:rsidRPr="00BC2BC4">
        <w:rPr>
          <w:kern w:val="2"/>
          <w:sz w:val="20"/>
        </w:rPr>
        <w:t>on free trade and fair competition</w:t>
      </w:r>
      <w:r w:rsidR="00D01071" w:rsidRPr="00BC2BC4">
        <w:rPr>
          <w:kern w:val="2"/>
          <w:sz w:val="20"/>
        </w:rPr>
        <w:t>,</w:t>
      </w:r>
      <w:r w:rsidRPr="00BC2BC4">
        <w:rPr>
          <w:kern w:val="2"/>
          <w:sz w:val="20"/>
        </w:rPr>
        <w:t xml:space="preserve"> and typically do not apply to Canadian provinces or municipalities. NAFTA</w:t>
      </w:r>
      <w:r w:rsidR="009772D8" w:rsidRPr="00BC2BC4">
        <w:rPr>
          <w:kern w:val="2"/>
          <w:sz w:val="20"/>
        </w:rPr>
        <w:t>’s requirements for tendering procedures</w:t>
      </w:r>
      <w:r w:rsidRPr="00BC2BC4">
        <w:rPr>
          <w:kern w:val="2"/>
          <w:sz w:val="20"/>
        </w:rPr>
        <w:t xml:space="preserve"> appl</w:t>
      </w:r>
      <w:r w:rsidR="009772D8" w:rsidRPr="00BC2BC4">
        <w:rPr>
          <w:kern w:val="2"/>
          <w:sz w:val="20"/>
        </w:rPr>
        <w:t>y</w:t>
      </w:r>
      <w:r w:rsidRPr="00BC2BC4">
        <w:rPr>
          <w:kern w:val="2"/>
          <w:sz w:val="20"/>
        </w:rPr>
        <w:t xml:space="preserve"> </w:t>
      </w:r>
      <w:r w:rsidR="009772D8" w:rsidRPr="00BC2BC4">
        <w:rPr>
          <w:kern w:val="2"/>
          <w:sz w:val="20"/>
        </w:rPr>
        <w:t xml:space="preserve">only </w:t>
      </w:r>
      <w:r w:rsidRPr="00BC2BC4">
        <w:rPr>
          <w:kern w:val="2"/>
          <w:sz w:val="20"/>
        </w:rPr>
        <w:t xml:space="preserve">to construction services contracts in excess of </w:t>
      </w:r>
      <w:r w:rsidR="00B82CA3" w:rsidRPr="00BC2BC4">
        <w:rPr>
          <w:kern w:val="2"/>
          <w:sz w:val="20"/>
        </w:rPr>
        <w:t>CAD</w:t>
      </w:r>
      <w:r w:rsidRPr="00BC2BC4">
        <w:rPr>
          <w:kern w:val="2"/>
          <w:sz w:val="20"/>
        </w:rPr>
        <w:t>$</w:t>
      </w:r>
      <w:r w:rsidR="00F05342" w:rsidRPr="00BC2BC4">
        <w:rPr>
          <w:kern w:val="2"/>
          <w:sz w:val="20"/>
        </w:rPr>
        <w:t>11</w:t>
      </w:r>
      <w:r w:rsidR="00B34DD1" w:rsidRPr="00BC2BC4">
        <w:rPr>
          <w:kern w:val="2"/>
          <w:sz w:val="20"/>
        </w:rPr>
        <w:t>.</w:t>
      </w:r>
      <w:r w:rsidR="00F05342" w:rsidRPr="00BC2BC4">
        <w:rPr>
          <w:kern w:val="2"/>
          <w:sz w:val="20"/>
        </w:rPr>
        <w:t>6</w:t>
      </w:r>
      <w:r w:rsidRPr="00BC2BC4">
        <w:rPr>
          <w:kern w:val="2"/>
          <w:sz w:val="20"/>
        </w:rPr>
        <w:t xml:space="preserve"> million</w:t>
      </w:r>
      <w:r w:rsidR="002A1702" w:rsidRPr="00BC2BC4">
        <w:rPr>
          <w:kern w:val="2"/>
          <w:sz w:val="20"/>
        </w:rPr>
        <w:t xml:space="preserve"> </w:t>
      </w:r>
      <w:r w:rsidR="00F05342" w:rsidRPr="00BC2BC4">
        <w:rPr>
          <w:kern w:val="2"/>
          <w:sz w:val="20"/>
        </w:rPr>
        <w:t xml:space="preserve">where a government department or agency is contracting, or </w:t>
      </w:r>
      <w:r w:rsidR="001F41A5" w:rsidRPr="00BC2BC4">
        <w:rPr>
          <w:kern w:val="2"/>
          <w:sz w:val="20"/>
        </w:rPr>
        <w:t>CAD</w:t>
      </w:r>
      <w:r w:rsidR="00F05342" w:rsidRPr="00BC2BC4">
        <w:rPr>
          <w:kern w:val="2"/>
          <w:sz w:val="20"/>
        </w:rPr>
        <w:t>$14.3 million where a Crown corporation is contracting</w:t>
      </w:r>
      <w:r w:rsidRPr="00BC2BC4">
        <w:rPr>
          <w:kern w:val="2"/>
          <w:sz w:val="20"/>
        </w:rPr>
        <w:t>.</w:t>
      </w:r>
      <w:r w:rsidRPr="00BC2BC4">
        <w:rPr>
          <w:rStyle w:val="FootnoteReference"/>
          <w:kern w:val="2"/>
          <w:sz w:val="20"/>
        </w:rPr>
        <w:footnoteReference w:id="168"/>
      </w:r>
    </w:p>
    <w:p w14:paraId="0EE6EA48" w14:textId="0681894E" w:rsidR="00817799" w:rsidRPr="00BC2BC4" w:rsidRDefault="006A4767" w:rsidP="00C74A64">
      <w:pPr>
        <w:pStyle w:val="Heading3"/>
        <w:rPr>
          <w:kern w:val="2"/>
          <w:sz w:val="22"/>
        </w:rPr>
      </w:pPr>
      <w:bookmarkStart w:id="51" w:name="_Toc291347567"/>
      <w:bookmarkStart w:id="52" w:name="_Toc420920797"/>
      <w:bookmarkStart w:id="53" w:name="_Toc424485033"/>
      <w:r w:rsidRPr="00BC2BC4">
        <w:rPr>
          <w:kern w:val="2"/>
          <w:sz w:val="22"/>
        </w:rPr>
        <w:t>Comprehensive Economic and Trade Agreement (</w:t>
      </w:r>
      <w:r w:rsidR="00817799" w:rsidRPr="00BC2BC4">
        <w:rPr>
          <w:kern w:val="2"/>
          <w:sz w:val="22"/>
        </w:rPr>
        <w:t>CETA</w:t>
      </w:r>
      <w:bookmarkEnd w:id="51"/>
      <w:bookmarkEnd w:id="52"/>
      <w:r w:rsidRPr="00BC2BC4">
        <w:rPr>
          <w:kern w:val="2"/>
          <w:sz w:val="22"/>
        </w:rPr>
        <w:t>)</w:t>
      </w:r>
      <w:bookmarkEnd w:id="53"/>
    </w:p>
    <w:p w14:paraId="4BB676DD" w14:textId="654CF3AB" w:rsidR="00AE2ED3" w:rsidRPr="00BC2BC4" w:rsidRDefault="00817799" w:rsidP="006B0E35">
      <w:pPr>
        <w:spacing w:line="23" w:lineRule="atLeast"/>
        <w:rPr>
          <w:kern w:val="2"/>
          <w:sz w:val="20"/>
          <w:lang w:val="en"/>
        </w:rPr>
      </w:pPr>
      <w:r w:rsidRPr="00BC2BC4">
        <w:rPr>
          <w:kern w:val="2"/>
          <w:sz w:val="20"/>
        </w:rPr>
        <w:t xml:space="preserve">Negotiations for </w:t>
      </w:r>
      <w:r w:rsidR="00D01071" w:rsidRPr="00BC2BC4">
        <w:rPr>
          <w:kern w:val="2"/>
          <w:sz w:val="20"/>
        </w:rPr>
        <w:t xml:space="preserve">the </w:t>
      </w:r>
      <w:r w:rsidRPr="00BC2BC4">
        <w:rPr>
          <w:kern w:val="2"/>
          <w:sz w:val="20"/>
        </w:rPr>
        <w:t>C</w:t>
      </w:r>
      <w:r w:rsidR="006A4767" w:rsidRPr="00BC2BC4">
        <w:rPr>
          <w:kern w:val="2"/>
          <w:sz w:val="20"/>
        </w:rPr>
        <w:t>omprehensive Economic and Trade Agreement (CETA)</w:t>
      </w:r>
      <w:r w:rsidR="00BD62ED" w:rsidRPr="00BC2BC4">
        <w:rPr>
          <w:kern w:val="2"/>
          <w:sz w:val="20"/>
        </w:rPr>
        <w:t>—</w:t>
      </w:r>
      <w:r w:rsidRPr="00BC2BC4">
        <w:rPr>
          <w:kern w:val="2"/>
          <w:sz w:val="20"/>
        </w:rPr>
        <w:t xml:space="preserve">Canada’s new trade agreement with the </w:t>
      </w:r>
      <w:r w:rsidR="00D01071" w:rsidRPr="00BC2BC4">
        <w:rPr>
          <w:kern w:val="2"/>
          <w:sz w:val="20"/>
        </w:rPr>
        <w:t>European Union</w:t>
      </w:r>
      <w:r w:rsidR="00BD62ED" w:rsidRPr="00BC2BC4">
        <w:rPr>
          <w:kern w:val="2"/>
          <w:sz w:val="20"/>
        </w:rPr>
        <w:t>—</w:t>
      </w:r>
      <w:r w:rsidR="003B006C" w:rsidRPr="00BC2BC4">
        <w:rPr>
          <w:kern w:val="2"/>
          <w:sz w:val="20"/>
        </w:rPr>
        <w:t xml:space="preserve">began during the EU-Canada Summit in Prague on May 6, 2009 and </w:t>
      </w:r>
      <w:r w:rsidRPr="00BC2BC4">
        <w:rPr>
          <w:kern w:val="2"/>
          <w:sz w:val="20"/>
        </w:rPr>
        <w:t xml:space="preserve">ended </w:t>
      </w:r>
      <w:r w:rsidR="003B006C" w:rsidRPr="00BC2BC4">
        <w:rPr>
          <w:kern w:val="2"/>
          <w:sz w:val="20"/>
        </w:rPr>
        <w:t>on September 26, 2014 at the EU-Canada Summit in Ottawa</w:t>
      </w:r>
      <w:r w:rsidR="00AE2ED3" w:rsidRPr="00BC2BC4">
        <w:rPr>
          <w:kern w:val="2"/>
          <w:sz w:val="20"/>
        </w:rPr>
        <w:t xml:space="preserve"> where leaders released the completed text of the Agreement</w:t>
      </w:r>
      <w:r w:rsidRPr="00BC2BC4">
        <w:rPr>
          <w:kern w:val="2"/>
          <w:sz w:val="20"/>
        </w:rPr>
        <w:t>.</w:t>
      </w:r>
      <w:r w:rsidRPr="00BC2BC4">
        <w:rPr>
          <w:rStyle w:val="FootnoteReference"/>
          <w:kern w:val="2"/>
          <w:sz w:val="20"/>
        </w:rPr>
        <w:footnoteReference w:id="169"/>
      </w:r>
      <w:r w:rsidR="00BD62ED" w:rsidRPr="00BC2BC4">
        <w:rPr>
          <w:kern w:val="2"/>
          <w:sz w:val="20"/>
        </w:rPr>
        <w:t xml:space="preserve"> On October 30, 2016, the EU and Canada approved and signed the agreement.</w:t>
      </w:r>
      <w:r w:rsidR="00BD62ED" w:rsidRPr="00BC2BC4">
        <w:rPr>
          <w:rStyle w:val="FootnoteReference"/>
          <w:kern w:val="2"/>
          <w:sz w:val="20"/>
        </w:rPr>
        <w:footnoteReference w:id="170"/>
      </w:r>
      <w:r w:rsidRPr="00BC2BC4">
        <w:rPr>
          <w:kern w:val="2"/>
          <w:sz w:val="20"/>
        </w:rPr>
        <w:t xml:space="preserve"> </w:t>
      </w:r>
      <w:r w:rsidR="00AE2ED3" w:rsidRPr="00BC2BC4">
        <w:rPr>
          <w:kern w:val="2"/>
          <w:sz w:val="20"/>
        </w:rPr>
        <w:t>The Government of Canada describes CETA as Canada’s “most ambitious trade agreement, broader in scope and deeper in ambition than the historic NAFTA.”</w:t>
      </w:r>
      <w:r w:rsidR="00AE2ED3" w:rsidRPr="00BC2BC4">
        <w:rPr>
          <w:rStyle w:val="FootnoteReference"/>
          <w:kern w:val="2"/>
          <w:sz w:val="20"/>
        </w:rPr>
        <w:footnoteReference w:id="171"/>
      </w:r>
      <w:r w:rsidR="00AE2ED3" w:rsidRPr="00BC2BC4">
        <w:rPr>
          <w:kern w:val="2"/>
          <w:sz w:val="20"/>
        </w:rPr>
        <w:t xml:space="preserve"> The Government adds, “</w:t>
      </w:r>
      <w:r w:rsidR="00AE2ED3" w:rsidRPr="00BC2BC4">
        <w:rPr>
          <w:kern w:val="2"/>
          <w:sz w:val="20"/>
          <w:lang w:val="en"/>
        </w:rPr>
        <w:t>CETA covers virtually all sectors and aspects of Canada-EU trade in order to eliminate or reduce barriers. CETA addresses everything from tariffs to product standards, investment, professional certification and many other areas of activity.”</w:t>
      </w:r>
      <w:r w:rsidR="00AE2ED3" w:rsidRPr="00BC2BC4">
        <w:rPr>
          <w:rStyle w:val="FootnoteReference"/>
          <w:kern w:val="2"/>
          <w:sz w:val="20"/>
          <w:lang w:val="en"/>
        </w:rPr>
        <w:footnoteReference w:id="172"/>
      </w:r>
    </w:p>
    <w:p w14:paraId="31FAEAA8" w14:textId="55E88E5E" w:rsidR="00505DB5" w:rsidRPr="00BC2BC4" w:rsidRDefault="00505DB5" w:rsidP="006B0E35">
      <w:pPr>
        <w:spacing w:line="23" w:lineRule="atLeast"/>
        <w:rPr>
          <w:kern w:val="2"/>
          <w:sz w:val="20"/>
        </w:rPr>
      </w:pPr>
      <w:r w:rsidRPr="00BC2BC4">
        <w:rPr>
          <w:kern w:val="2"/>
          <w:sz w:val="20"/>
        </w:rPr>
        <w:t xml:space="preserve">CETA </w:t>
      </w:r>
      <w:r w:rsidR="00BB418D" w:rsidRPr="00BC2BC4">
        <w:rPr>
          <w:kern w:val="2"/>
          <w:sz w:val="20"/>
        </w:rPr>
        <w:t xml:space="preserve">still </w:t>
      </w:r>
      <w:r w:rsidRPr="00BC2BC4">
        <w:rPr>
          <w:kern w:val="2"/>
          <w:sz w:val="20"/>
        </w:rPr>
        <w:t xml:space="preserve">has to go through </w:t>
      </w:r>
      <w:r w:rsidR="00BB418D" w:rsidRPr="00BC2BC4">
        <w:rPr>
          <w:kern w:val="2"/>
          <w:sz w:val="20"/>
        </w:rPr>
        <w:t xml:space="preserve">the </w:t>
      </w:r>
      <w:r w:rsidRPr="00BC2BC4">
        <w:rPr>
          <w:kern w:val="2"/>
          <w:sz w:val="20"/>
        </w:rPr>
        <w:t>stages of democratic oversight before it comes fully into force.</w:t>
      </w:r>
      <w:r w:rsidRPr="00BC2BC4">
        <w:rPr>
          <w:rStyle w:val="FootnoteReference"/>
          <w:kern w:val="2"/>
          <w:sz w:val="20"/>
        </w:rPr>
        <w:footnoteReference w:id="173"/>
      </w:r>
      <w:r w:rsidRPr="00BC2BC4">
        <w:rPr>
          <w:kern w:val="2"/>
          <w:sz w:val="20"/>
        </w:rPr>
        <w:t xml:space="preserve"> </w:t>
      </w:r>
      <w:r w:rsidR="00BB418D" w:rsidRPr="00BC2BC4">
        <w:rPr>
          <w:kern w:val="2"/>
          <w:sz w:val="20"/>
        </w:rPr>
        <w:t>Canada’s federal Parliament must enact implementing legislation. This process has already begun: on October 31, 2016, Minister of International Trade Chrystia Freeland tabled the treaty and introduced implementing legislation</w:t>
      </w:r>
      <w:r w:rsidR="000F6D0C" w:rsidRPr="00BC2BC4">
        <w:rPr>
          <w:kern w:val="2"/>
          <w:sz w:val="20"/>
        </w:rPr>
        <w:t>, Bill C-30,</w:t>
      </w:r>
      <w:r w:rsidR="000F6D0C" w:rsidRPr="00BC2BC4">
        <w:rPr>
          <w:rStyle w:val="FootnoteReference"/>
          <w:kern w:val="2"/>
          <w:sz w:val="20"/>
        </w:rPr>
        <w:footnoteReference w:id="174"/>
      </w:r>
      <w:r w:rsidR="00BB418D" w:rsidRPr="00BC2BC4">
        <w:rPr>
          <w:kern w:val="2"/>
          <w:sz w:val="20"/>
        </w:rPr>
        <w:t xml:space="preserve"> in the House of Commons.</w:t>
      </w:r>
      <w:r w:rsidR="00BB418D" w:rsidRPr="00BC2BC4">
        <w:rPr>
          <w:rStyle w:val="FootnoteReference"/>
          <w:kern w:val="2"/>
          <w:sz w:val="20"/>
        </w:rPr>
        <w:footnoteReference w:id="175"/>
      </w:r>
      <w:r w:rsidR="000F6D0C" w:rsidRPr="00BC2BC4">
        <w:rPr>
          <w:kern w:val="2"/>
          <w:sz w:val="20"/>
        </w:rPr>
        <w:t xml:space="preserve"> </w:t>
      </w:r>
      <w:r w:rsidR="00C836C8" w:rsidRPr="00BC2BC4">
        <w:rPr>
          <w:kern w:val="2"/>
          <w:sz w:val="20"/>
        </w:rPr>
        <w:t>Bill C-30 was enacted and received Royal Assent on May 16, 2017, and most of its provisions came into force on that date.</w:t>
      </w:r>
      <w:r w:rsidRPr="00BC2BC4">
        <w:rPr>
          <w:kern w:val="2"/>
          <w:sz w:val="20"/>
        </w:rPr>
        <w:t xml:space="preserve"> </w:t>
      </w:r>
      <w:r w:rsidR="00BB418D" w:rsidRPr="00BC2BC4">
        <w:rPr>
          <w:kern w:val="2"/>
          <w:sz w:val="20"/>
        </w:rPr>
        <w:t xml:space="preserve">A similar process </w:t>
      </w:r>
      <w:r w:rsidR="003C12D0" w:rsidRPr="00BC2BC4">
        <w:rPr>
          <w:kern w:val="2"/>
          <w:sz w:val="20"/>
        </w:rPr>
        <w:t>of parliamentary approval</w:t>
      </w:r>
      <w:r w:rsidR="00CD23A2" w:rsidRPr="00BC2BC4">
        <w:rPr>
          <w:kern w:val="2"/>
          <w:sz w:val="20"/>
        </w:rPr>
        <w:t xml:space="preserve"> and ratification</w:t>
      </w:r>
      <w:r w:rsidR="003C12D0" w:rsidRPr="00BC2BC4">
        <w:rPr>
          <w:kern w:val="2"/>
          <w:sz w:val="20"/>
        </w:rPr>
        <w:t xml:space="preserve"> </w:t>
      </w:r>
      <w:r w:rsidR="00BB418D" w:rsidRPr="00BC2BC4">
        <w:rPr>
          <w:kern w:val="2"/>
          <w:sz w:val="20"/>
        </w:rPr>
        <w:t>must also occur in EU countries. O</w:t>
      </w:r>
      <w:r w:rsidRPr="00BC2BC4">
        <w:rPr>
          <w:kern w:val="2"/>
          <w:sz w:val="20"/>
        </w:rPr>
        <w:t xml:space="preserve">nce </w:t>
      </w:r>
      <w:r w:rsidR="00BB418D" w:rsidRPr="00BC2BC4">
        <w:rPr>
          <w:kern w:val="2"/>
          <w:sz w:val="20"/>
        </w:rPr>
        <w:t xml:space="preserve">Canada’s federal Parliament and </w:t>
      </w:r>
      <w:r w:rsidRPr="00BC2BC4">
        <w:rPr>
          <w:kern w:val="2"/>
          <w:sz w:val="20"/>
        </w:rPr>
        <w:t xml:space="preserve">parliaments in EU </w:t>
      </w:r>
      <w:r w:rsidR="00BB418D" w:rsidRPr="00BC2BC4">
        <w:rPr>
          <w:kern w:val="2"/>
          <w:sz w:val="20"/>
        </w:rPr>
        <w:t xml:space="preserve">countries </w:t>
      </w:r>
      <w:r w:rsidRPr="00BC2BC4">
        <w:rPr>
          <w:kern w:val="2"/>
          <w:sz w:val="20"/>
        </w:rPr>
        <w:t>approve the agreement, CETA will fully come into force.</w:t>
      </w:r>
      <w:r w:rsidR="00B92199" w:rsidRPr="00BC2BC4">
        <w:rPr>
          <w:kern w:val="2"/>
          <w:sz w:val="20"/>
        </w:rPr>
        <w:t xml:space="preserve"> Until that time, assent from the European Parliament would allow CETA to enter force provisionally.</w:t>
      </w:r>
      <w:r w:rsidR="00B92199" w:rsidRPr="00BC2BC4">
        <w:rPr>
          <w:rStyle w:val="FootnoteReference"/>
          <w:kern w:val="2"/>
          <w:sz w:val="20"/>
        </w:rPr>
        <w:footnoteReference w:id="176"/>
      </w:r>
    </w:p>
    <w:p w14:paraId="0208F7DE" w14:textId="71AF071F" w:rsidR="00732105" w:rsidRPr="00BC2BC4" w:rsidRDefault="00817799" w:rsidP="006B0E35">
      <w:pPr>
        <w:spacing w:line="23" w:lineRule="atLeast"/>
        <w:rPr>
          <w:kern w:val="2"/>
          <w:sz w:val="20"/>
        </w:rPr>
      </w:pPr>
      <w:r w:rsidRPr="00BC2BC4">
        <w:rPr>
          <w:kern w:val="2"/>
          <w:sz w:val="20"/>
        </w:rPr>
        <w:t>Like NAFTA, the applicability of CETA to any given procurement will depend upon whether the procuring entity and good</w:t>
      </w:r>
      <w:r w:rsidR="00590A2D" w:rsidRPr="00BC2BC4">
        <w:rPr>
          <w:kern w:val="2"/>
          <w:sz w:val="20"/>
        </w:rPr>
        <w:t>s or services</w:t>
      </w:r>
      <w:r w:rsidRPr="00BC2BC4">
        <w:rPr>
          <w:kern w:val="2"/>
          <w:sz w:val="20"/>
        </w:rPr>
        <w:t xml:space="preserve"> being procured </w:t>
      </w:r>
      <w:r w:rsidR="00732105" w:rsidRPr="00BC2BC4">
        <w:rPr>
          <w:kern w:val="2"/>
          <w:sz w:val="20"/>
        </w:rPr>
        <w:t xml:space="preserve">are </w:t>
      </w:r>
      <w:r w:rsidRPr="00BC2BC4">
        <w:rPr>
          <w:kern w:val="2"/>
          <w:sz w:val="20"/>
        </w:rPr>
        <w:t xml:space="preserve">designated under the agreement and whether the necessary monetary threshold is exceeded. However, CETA designates a much broader list of applicable entities than does NAFTA. </w:t>
      </w:r>
      <w:r w:rsidR="00732105" w:rsidRPr="00BC2BC4">
        <w:rPr>
          <w:kern w:val="2"/>
          <w:sz w:val="20"/>
        </w:rPr>
        <w:t xml:space="preserve">CETA </w:t>
      </w:r>
      <w:r w:rsidRPr="00BC2BC4">
        <w:rPr>
          <w:kern w:val="2"/>
          <w:sz w:val="20"/>
        </w:rPr>
        <w:t xml:space="preserve">will apply to </w:t>
      </w:r>
      <w:r w:rsidR="00BF1152" w:rsidRPr="00BC2BC4">
        <w:rPr>
          <w:kern w:val="2"/>
          <w:sz w:val="20"/>
        </w:rPr>
        <w:t xml:space="preserve">Canadian and EU suppliers bidding on </w:t>
      </w:r>
      <w:r w:rsidRPr="00BC2BC4">
        <w:rPr>
          <w:kern w:val="2"/>
          <w:sz w:val="20"/>
        </w:rPr>
        <w:t>procurements by federal, provincial and MASH</w:t>
      </w:r>
      <w:r w:rsidR="006A4767" w:rsidRPr="00BC2BC4">
        <w:rPr>
          <w:rStyle w:val="FootnoteReference"/>
          <w:kern w:val="2"/>
          <w:sz w:val="20"/>
        </w:rPr>
        <w:footnoteReference w:id="177"/>
      </w:r>
      <w:r w:rsidRPr="00BC2BC4">
        <w:rPr>
          <w:kern w:val="2"/>
          <w:sz w:val="20"/>
        </w:rPr>
        <w:t xml:space="preserve"> entities.</w:t>
      </w:r>
      <w:r w:rsidRPr="00BC2BC4">
        <w:rPr>
          <w:rStyle w:val="FootnoteReference"/>
          <w:kern w:val="2"/>
          <w:sz w:val="20"/>
        </w:rPr>
        <w:footnoteReference w:id="178"/>
      </w:r>
      <w:r w:rsidRPr="00BC2BC4">
        <w:rPr>
          <w:kern w:val="2"/>
          <w:sz w:val="20"/>
        </w:rPr>
        <w:t xml:space="preserve"> The applicability of CETA to Canada’s MASH sector is noteworthy and signif</w:t>
      </w:r>
      <w:r w:rsidR="005771B2" w:rsidRPr="00BC2BC4">
        <w:rPr>
          <w:kern w:val="2"/>
          <w:sz w:val="20"/>
        </w:rPr>
        <w:t>ies</w:t>
      </w:r>
      <w:r w:rsidRPr="00BC2BC4">
        <w:rPr>
          <w:kern w:val="2"/>
          <w:sz w:val="20"/>
        </w:rPr>
        <w:t xml:space="preserve"> a “changing dynamic” in public procurement.</w:t>
      </w:r>
      <w:r w:rsidRPr="00BC2BC4">
        <w:rPr>
          <w:rStyle w:val="FootnoteReference"/>
          <w:kern w:val="2"/>
          <w:sz w:val="20"/>
        </w:rPr>
        <w:footnoteReference w:id="179"/>
      </w:r>
      <w:r w:rsidRPr="00BC2BC4">
        <w:rPr>
          <w:kern w:val="2"/>
          <w:sz w:val="20"/>
        </w:rPr>
        <w:t xml:space="preserve"> Moreover, CETA’s chapter on government procurement is very detailed, including </w:t>
      </w:r>
      <w:r w:rsidR="008D37FE" w:rsidRPr="00BC2BC4">
        <w:rPr>
          <w:kern w:val="2"/>
          <w:sz w:val="20"/>
        </w:rPr>
        <w:t xml:space="preserve">extensive </w:t>
      </w:r>
      <w:r w:rsidRPr="00BC2BC4">
        <w:rPr>
          <w:kern w:val="2"/>
          <w:sz w:val="20"/>
        </w:rPr>
        <w:t>sections on publication of procurement information and transparency in the procurement process.</w:t>
      </w:r>
      <w:r w:rsidRPr="00BC2BC4">
        <w:rPr>
          <w:rStyle w:val="FootnoteReference"/>
          <w:kern w:val="2"/>
          <w:sz w:val="20"/>
        </w:rPr>
        <w:footnoteReference w:id="180"/>
      </w:r>
      <w:r w:rsidRPr="00BC2BC4">
        <w:rPr>
          <w:kern w:val="2"/>
          <w:sz w:val="20"/>
        </w:rPr>
        <w:t xml:space="preserve"> </w:t>
      </w:r>
    </w:p>
    <w:p w14:paraId="2D19A20B" w14:textId="77777777" w:rsidR="00F9385B" w:rsidRPr="00BC2BC4" w:rsidRDefault="00817799" w:rsidP="006B0E35">
      <w:pPr>
        <w:spacing w:line="23" w:lineRule="atLeast"/>
        <w:rPr>
          <w:kern w:val="2"/>
          <w:sz w:val="20"/>
        </w:rPr>
      </w:pPr>
      <w:r w:rsidRPr="00BC2BC4">
        <w:rPr>
          <w:kern w:val="2"/>
          <w:sz w:val="20"/>
        </w:rPr>
        <w:t xml:space="preserve">CETA </w:t>
      </w:r>
      <w:r w:rsidR="00D01071" w:rsidRPr="00BC2BC4">
        <w:rPr>
          <w:kern w:val="2"/>
          <w:sz w:val="20"/>
        </w:rPr>
        <w:t xml:space="preserve">reflects </w:t>
      </w:r>
      <w:r w:rsidRPr="00BC2BC4">
        <w:rPr>
          <w:kern w:val="2"/>
          <w:sz w:val="20"/>
        </w:rPr>
        <w:t>the pressure on the federal government to open up the entire Canadian procurement market to international bidders</w:t>
      </w:r>
      <w:r w:rsidR="00D01071" w:rsidRPr="00BC2BC4">
        <w:rPr>
          <w:kern w:val="2"/>
          <w:sz w:val="20"/>
        </w:rPr>
        <w:t>. This</w:t>
      </w:r>
      <w:r w:rsidRPr="00BC2BC4">
        <w:rPr>
          <w:kern w:val="2"/>
          <w:sz w:val="20"/>
        </w:rPr>
        <w:t xml:space="preserve"> pressure results from</w:t>
      </w:r>
      <w:r w:rsidR="00D01071" w:rsidRPr="00BC2BC4">
        <w:rPr>
          <w:kern w:val="2"/>
          <w:sz w:val="20"/>
        </w:rPr>
        <w:t xml:space="preserve"> </w:t>
      </w:r>
      <w:r w:rsidR="00F9385B" w:rsidRPr="00BC2BC4">
        <w:rPr>
          <w:kern w:val="2"/>
          <w:sz w:val="20"/>
        </w:rPr>
        <w:t xml:space="preserve">the </w:t>
      </w:r>
      <w:r w:rsidRPr="00BC2BC4">
        <w:rPr>
          <w:kern w:val="2"/>
          <w:sz w:val="20"/>
        </w:rPr>
        <w:t>recognition that significant sums of money are exchanged via procurement at the MASH level.</w:t>
      </w:r>
      <w:r w:rsidRPr="00BC2BC4">
        <w:rPr>
          <w:rStyle w:val="FootnoteReference"/>
          <w:kern w:val="2"/>
          <w:sz w:val="20"/>
        </w:rPr>
        <w:footnoteReference w:id="181"/>
      </w:r>
      <w:r w:rsidRPr="00BC2BC4">
        <w:rPr>
          <w:kern w:val="2"/>
          <w:sz w:val="20"/>
        </w:rPr>
        <w:t xml:space="preserve"> </w:t>
      </w:r>
    </w:p>
    <w:p w14:paraId="4B6A41C9" w14:textId="65A22FAB" w:rsidR="00817799" w:rsidRPr="00BC2BC4" w:rsidRDefault="00817799" w:rsidP="006B0E35">
      <w:pPr>
        <w:spacing w:line="23" w:lineRule="atLeast"/>
        <w:rPr>
          <w:kern w:val="2"/>
          <w:sz w:val="20"/>
        </w:rPr>
      </w:pPr>
      <w:r w:rsidRPr="00BC2BC4">
        <w:rPr>
          <w:kern w:val="2"/>
          <w:sz w:val="20"/>
        </w:rPr>
        <w:t xml:space="preserve">Experts predict that </w:t>
      </w:r>
      <w:r w:rsidR="00200F09" w:rsidRPr="00BC2BC4">
        <w:rPr>
          <w:kern w:val="2"/>
          <w:sz w:val="20"/>
        </w:rPr>
        <w:t xml:space="preserve">under </w:t>
      </w:r>
      <w:r w:rsidRPr="00BC2BC4">
        <w:rPr>
          <w:kern w:val="2"/>
          <w:sz w:val="20"/>
        </w:rPr>
        <w:t>CETA</w:t>
      </w:r>
      <w:r w:rsidR="00200F09" w:rsidRPr="00BC2BC4">
        <w:rPr>
          <w:kern w:val="2"/>
          <w:sz w:val="20"/>
        </w:rPr>
        <w:t>, municipal procurements</w:t>
      </w:r>
      <w:r w:rsidRPr="00BC2BC4">
        <w:rPr>
          <w:kern w:val="2"/>
          <w:sz w:val="20"/>
        </w:rPr>
        <w:t xml:space="preserve"> </w:t>
      </w:r>
      <w:r w:rsidR="00200F09" w:rsidRPr="00BC2BC4">
        <w:rPr>
          <w:kern w:val="2"/>
          <w:sz w:val="20"/>
        </w:rPr>
        <w:t xml:space="preserve">will become </w:t>
      </w:r>
      <w:r w:rsidRPr="00BC2BC4">
        <w:rPr>
          <w:kern w:val="2"/>
          <w:sz w:val="20"/>
        </w:rPr>
        <w:t>more competitive, scrutinized</w:t>
      </w:r>
      <w:r w:rsidR="003D4A48" w:rsidRPr="00BC2BC4">
        <w:rPr>
          <w:kern w:val="2"/>
          <w:sz w:val="20"/>
        </w:rPr>
        <w:t>,</w:t>
      </w:r>
      <w:r w:rsidRPr="00BC2BC4">
        <w:rPr>
          <w:kern w:val="2"/>
          <w:sz w:val="20"/>
        </w:rPr>
        <w:t xml:space="preserve"> and susceptible to challenge, and will more closely mirror the federal government procurement experience.</w:t>
      </w:r>
      <w:r w:rsidRPr="00BC2BC4">
        <w:rPr>
          <w:rStyle w:val="FootnoteReference"/>
          <w:kern w:val="2"/>
          <w:sz w:val="20"/>
        </w:rPr>
        <w:footnoteReference w:id="182"/>
      </w:r>
      <w:r w:rsidRPr="00BC2BC4">
        <w:rPr>
          <w:kern w:val="2"/>
          <w:sz w:val="20"/>
        </w:rPr>
        <w:t xml:space="preserve"> </w:t>
      </w:r>
      <w:r w:rsidR="0039330C" w:rsidRPr="00BC2BC4">
        <w:rPr>
          <w:kern w:val="2"/>
          <w:sz w:val="20"/>
        </w:rPr>
        <w:t xml:space="preserve">One commentator suggested that </w:t>
      </w:r>
      <w:r w:rsidR="005D5061" w:rsidRPr="00BC2BC4">
        <w:rPr>
          <w:kern w:val="2"/>
          <w:sz w:val="20"/>
        </w:rPr>
        <w:t xml:space="preserve">under CETA </w:t>
      </w:r>
      <w:r w:rsidR="0039330C" w:rsidRPr="00BC2BC4">
        <w:rPr>
          <w:kern w:val="2"/>
          <w:sz w:val="20"/>
        </w:rPr>
        <w:t xml:space="preserve">municipalities and publicly funded organizations will lose some flexibility in the design and conduct of their procurements, </w:t>
      </w:r>
      <w:r w:rsidR="005D5061" w:rsidRPr="00BC2BC4">
        <w:rPr>
          <w:kern w:val="2"/>
          <w:sz w:val="20"/>
        </w:rPr>
        <w:t>as</w:t>
      </w:r>
      <w:r w:rsidR="0039330C" w:rsidRPr="00BC2BC4">
        <w:rPr>
          <w:kern w:val="2"/>
          <w:sz w:val="20"/>
        </w:rPr>
        <w:t xml:space="preserve"> they will be subject to various statutory duties and an implied duty of fairness and good faith in carrying out their procurements where they might not otherwise have been.</w:t>
      </w:r>
      <w:r w:rsidR="0039330C" w:rsidRPr="00BC2BC4">
        <w:rPr>
          <w:rStyle w:val="FootnoteReference"/>
          <w:kern w:val="2"/>
          <w:sz w:val="20"/>
        </w:rPr>
        <w:footnoteReference w:id="183"/>
      </w:r>
      <w:r w:rsidR="0039330C" w:rsidRPr="00BC2BC4">
        <w:rPr>
          <w:kern w:val="2"/>
          <w:sz w:val="20"/>
        </w:rPr>
        <w:t xml:space="preserve"> </w:t>
      </w:r>
      <w:r w:rsidRPr="00BC2BC4">
        <w:rPr>
          <w:kern w:val="2"/>
          <w:sz w:val="20"/>
        </w:rPr>
        <w:t xml:space="preserve">That said, CETA will only apply to MASH sector construction procurement valued at </w:t>
      </w:r>
      <w:r w:rsidR="004D11A7" w:rsidRPr="00BC2BC4">
        <w:rPr>
          <w:kern w:val="2"/>
          <w:sz w:val="20"/>
        </w:rPr>
        <w:t>CAD</w:t>
      </w:r>
      <w:r w:rsidRPr="00BC2BC4">
        <w:rPr>
          <w:kern w:val="2"/>
          <w:sz w:val="20"/>
        </w:rPr>
        <w:t>$7.8 million or greater, a threshold that will not be met by most MASH sector contracts.</w:t>
      </w:r>
      <w:r w:rsidRPr="00BC2BC4">
        <w:rPr>
          <w:rStyle w:val="FootnoteReference"/>
          <w:kern w:val="2"/>
          <w:sz w:val="20"/>
        </w:rPr>
        <w:footnoteReference w:id="184"/>
      </w:r>
    </w:p>
    <w:p w14:paraId="466A98EE" w14:textId="18376293" w:rsidR="002E0EB5" w:rsidRPr="00BC2BC4" w:rsidRDefault="002E0EB5" w:rsidP="00C74A64">
      <w:pPr>
        <w:pStyle w:val="Heading3"/>
        <w:rPr>
          <w:kern w:val="2"/>
          <w:sz w:val="22"/>
        </w:rPr>
      </w:pPr>
      <w:bookmarkStart w:id="54" w:name="_Toc424485034"/>
      <w:r w:rsidRPr="00BC2BC4">
        <w:rPr>
          <w:kern w:val="2"/>
          <w:sz w:val="22"/>
        </w:rPr>
        <w:t>African Union</w:t>
      </w:r>
      <w:r w:rsidR="00200F09" w:rsidRPr="00BC2BC4">
        <w:rPr>
          <w:kern w:val="2"/>
          <w:sz w:val="22"/>
        </w:rPr>
        <w:t xml:space="preserve"> Convention on Preventing and Co</w:t>
      </w:r>
      <w:r w:rsidRPr="00BC2BC4">
        <w:rPr>
          <w:kern w:val="2"/>
          <w:sz w:val="22"/>
        </w:rPr>
        <w:t>mbating Corruption</w:t>
      </w:r>
      <w:bookmarkEnd w:id="54"/>
    </w:p>
    <w:p w14:paraId="0279C54C" w14:textId="5DE88922" w:rsidR="00817799" w:rsidRPr="00BC2BC4" w:rsidRDefault="00D87AAD" w:rsidP="003F14E9">
      <w:pPr>
        <w:rPr>
          <w:rFonts w:cs="Times New Roman"/>
          <w:kern w:val="2"/>
          <w:sz w:val="20"/>
        </w:rPr>
      </w:pPr>
      <w:r w:rsidRPr="00BC2BC4">
        <w:rPr>
          <w:rFonts w:cs="Times New Roman"/>
          <w:kern w:val="2"/>
          <w:sz w:val="20"/>
        </w:rPr>
        <w:t>Article 11(2) of the</w:t>
      </w:r>
      <w:r w:rsidR="002E0EB5" w:rsidRPr="00BC2BC4">
        <w:rPr>
          <w:rFonts w:cs="Times New Roman"/>
          <w:kern w:val="2"/>
          <w:sz w:val="20"/>
        </w:rPr>
        <w:t xml:space="preserve"> AU Convention requires parties to establish mechanisms “to encourage participation by the private sector in the fight against unfair competition, respect of the tender procedures and property rights.”</w:t>
      </w:r>
      <w:r w:rsidR="002E0EB5" w:rsidRPr="00BC2BC4">
        <w:rPr>
          <w:rStyle w:val="FootnoteReference"/>
          <w:rFonts w:cs="Times New Roman"/>
          <w:kern w:val="2"/>
          <w:sz w:val="20"/>
        </w:rPr>
        <w:footnoteReference w:id="185"/>
      </w:r>
      <w:r w:rsidR="002E0EB5" w:rsidRPr="00BC2BC4">
        <w:rPr>
          <w:rFonts w:cs="Times New Roman"/>
          <w:kern w:val="2"/>
          <w:sz w:val="20"/>
        </w:rPr>
        <w:t xml:space="preserve"> This provision </w:t>
      </w:r>
      <w:r w:rsidR="00D92500" w:rsidRPr="00BC2BC4">
        <w:rPr>
          <w:rFonts w:cs="Times New Roman"/>
          <w:kern w:val="2"/>
          <w:sz w:val="20"/>
        </w:rPr>
        <w:t xml:space="preserve">can be </w:t>
      </w:r>
      <w:r w:rsidR="002E0EB5" w:rsidRPr="00BC2BC4">
        <w:rPr>
          <w:rFonts w:cs="Times New Roman"/>
          <w:kern w:val="2"/>
          <w:sz w:val="20"/>
        </w:rPr>
        <w:t>criticized as being too weak in comparison to the international community’s response to corruption in the procurement process. Article 11(3) requires state parties to adopt “other such measures as may be necessary to prevent companies from paying bribes to win tenders.”</w:t>
      </w:r>
      <w:r w:rsidR="002E0EB5" w:rsidRPr="00BC2BC4">
        <w:rPr>
          <w:rStyle w:val="FootnoteReference"/>
          <w:rFonts w:cs="Times New Roman"/>
          <w:kern w:val="2"/>
          <w:sz w:val="20"/>
        </w:rPr>
        <w:footnoteReference w:id="186"/>
      </w:r>
    </w:p>
    <w:p w14:paraId="14929821" w14:textId="0F57E79E" w:rsidR="00D92500" w:rsidRPr="00BC2BC4" w:rsidRDefault="00D92500" w:rsidP="00C74A64">
      <w:pPr>
        <w:pStyle w:val="Heading3"/>
        <w:rPr>
          <w:kern w:val="2"/>
          <w:sz w:val="22"/>
        </w:rPr>
      </w:pPr>
      <w:bookmarkStart w:id="55" w:name="_Toc424485035"/>
      <w:r w:rsidRPr="00BC2BC4">
        <w:rPr>
          <w:kern w:val="2"/>
          <w:sz w:val="22"/>
        </w:rPr>
        <w:t>UNCITRAL Model Law on Public Procurement</w:t>
      </w:r>
      <w:bookmarkEnd w:id="55"/>
    </w:p>
    <w:p w14:paraId="56E2E136" w14:textId="3CE1B77E" w:rsidR="00D92500" w:rsidRPr="00BC2BC4" w:rsidRDefault="00D92500" w:rsidP="003F14E9">
      <w:pPr>
        <w:rPr>
          <w:rFonts w:cs="Times New Roman"/>
          <w:kern w:val="2"/>
          <w:sz w:val="20"/>
        </w:rPr>
      </w:pPr>
      <w:r w:rsidRPr="00BC2BC4">
        <w:rPr>
          <w:rFonts w:cs="Times New Roman"/>
          <w:kern w:val="2"/>
          <w:sz w:val="20"/>
        </w:rPr>
        <w:t>On July 1, 2011</w:t>
      </w:r>
      <w:r w:rsidR="000A292F" w:rsidRPr="00BC2BC4">
        <w:rPr>
          <w:rFonts w:cs="Times New Roman"/>
          <w:kern w:val="2"/>
          <w:sz w:val="20"/>
        </w:rPr>
        <w:t>,</w:t>
      </w:r>
      <w:r w:rsidRPr="00BC2BC4">
        <w:rPr>
          <w:rFonts w:cs="Times New Roman"/>
          <w:kern w:val="2"/>
          <w:sz w:val="20"/>
        </w:rPr>
        <w:t xml:space="preserve"> the </w:t>
      </w:r>
      <w:hyperlink r:id="rId8" w:history="1">
        <w:r w:rsidRPr="00BC2BC4">
          <w:rPr>
            <w:rFonts w:cs="Times New Roman"/>
            <w:kern w:val="2"/>
            <w:sz w:val="20"/>
          </w:rPr>
          <w:t>United Nations Commission on International Trade Law</w:t>
        </w:r>
      </w:hyperlink>
      <w:r w:rsidRPr="00BC2BC4">
        <w:rPr>
          <w:rFonts w:cs="Times New Roman"/>
          <w:kern w:val="2"/>
          <w:sz w:val="20"/>
        </w:rPr>
        <w:t xml:space="preserve"> (UNCITRAL) published the UNCITRAL Model Law on Public Procurement (MLPP).</w:t>
      </w:r>
      <w:r w:rsidRPr="00BC2BC4">
        <w:rPr>
          <w:rStyle w:val="FootnoteReference"/>
          <w:rFonts w:cs="Times New Roman"/>
          <w:kern w:val="2"/>
          <w:sz w:val="20"/>
        </w:rPr>
        <w:footnoteReference w:id="187"/>
      </w:r>
      <w:r w:rsidRPr="00BC2BC4">
        <w:rPr>
          <w:rFonts w:cs="Times New Roman"/>
          <w:kern w:val="2"/>
          <w:sz w:val="20"/>
        </w:rPr>
        <w:t xml:space="preserve"> It has been designed as a tool for “modernizing and reforming procurement systems” and assisting countries in implementing legislation where none is currently in place.</w:t>
      </w:r>
      <w:r w:rsidRPr="00BC2BC4">
        <w:rPr>
          <w:rStyle w:val="FootnoteReference"/>
          <w:rFonts w:cs="Times New Roman"/>
          <w:kern w:val="2"/>
          <w:sz w:val="20"/>
        </w:rPr>
        <w:footnoteReference w:id="188"/>
      </w:r>
      <w:r w:rsidRPr="00BC2BC4">
        <w:rPr>
          <w:rFonts w:cs="Times New Roman"/>
          <w:kern w:val="2"/>
          <w:sz w:val="20"/>
        </w:rPr>
        <w:t xml:space="preserve"> It is an extensive, detailed model law (84 pages) and accompanied by a very detailed Guide (419 pages).</w:t>
      </w:r>
      <w:r w:rsidRPr="00BC2BC4">
        <w:rPr>
          <w:rStyle w:val="FootnoteReference"/>
          <w:rFonts w:cs="Times New Roman"/>
          <w:kern w:val="2"/>
          <w:sz w:val="20"/>
        </w:rPr>
        <w:footnoteReference w:id="189"/>
      </w:r>
    </w:p>
    <w:p w14:paraId="58E6C070" w14:textId="77777777" w:rsidR="00E24B21" w:rsidRPr="00BC2BC4" w:rsidRDefault="00D92500" w:rsidP="000E1A70">
      <w:pPr>
        <w:keepNext/>
        <w:rPr>
          <w:kern w:val="2"/>
          <w:sz w:val="20"/>
        </w:rPr>
      </w:pPr>
      <w:r w:rsidRPr="00BC2BC4">
        <w:rPr>
          <w:kern w:val="2"/>
          <w:sz w:val="20"/>
        </w:rPr>
        <w:t xml:space="preserve">The objectives of </w:t>
      </w:r>
      <w:r w:rsidR="00D87AAD" w:rsidRPr="00BC2BC4">
        <w:rPr>
          <w:kern w:val="2"/>
          <w:sz w:val="20"/>
        </w:rPr>
        <w:t xml:space="preserve">the </w:t>
      </w:r>
      <w:r w:rsidRPr="00BC2BC4">
        <w:rPr>
          <w:kern w:val="2"/>
          <w:sz w:val="20"/>
        </w:rPr>
        <w:t xml:space="preserve">MLPP are outlined in the preamble: </w:t>
      </w:r>
    </w:p>
    <w:p w14:paraId="27717124" w14:textId="48C9F8B3" w:rsidR="00E24B21" w:rsidRPr="00BC2BC4" w:rsidRDefault="00D37750" w:rsidP="00A75BC0">
      <w:pPr>
        <w:pStyle w:val="BlockQuote"/>
        <w:numPr>
          <w:ilvl w:val="0"/>
          <w:numId w:val="27"/>
        </w:numPr>
        <w:spacing w:before="60"/>
        <w:jc w:val="left"/>
        <w:rPr>
          <w:kern w:val="2"/>
          <w:sz w:val="20"/>
        </w:rPr>
      </w:pPr>
      <w:r w:rsidRPr="00BC2BC4">
        <w:rPr>
          <w:kern w:val="2"/>
          <w:sz w:val="20"/>
        </w:rPr>
        <w:t>A</w:t>
      </w:r>
      <w:r w:rsidR="00D92500" w:rsidRPr="00BC2BC4">
        <w:rPr>
          <w:kern w:val="2"/>
          <w:sz w:val="20"/>
        </w:rPr>
        <w:t xml:space="preserve">chieving economy and efficiency; </w:t>
      </w:r>
    </w:p>
    <w:p w14:paraId="460E2D7F" w14:textId="17B9ECAA" w:rsidR="00E24B21" w:rsidRPr="00BC2BC4" w:rsidRDefault="00D37750" w:rsidP="00A75BC0">
      <w:pPr>
        <w:pStyle w:val="BlockQuote"/>
        <w:numPr>
          <w:ilvl w:val="0"/>
          <w:numId w:val="27"/>
        </w:numPr>
        <w:spacing w:before="60"/>
        <w:jc w:val="left"/>
        <w:rPr>
          <w:kern w:val="2"/>
          <w:sz w:val="20"/>
        </w:rPr>
      </w:pPr>
      <w:r w:rsidRPr="00BC2BC4">
        <w:rPr>
          <w:kern w:val="2"/>
          <w:sz w:val="20"/>
        </w:rPr>
        <w:t>W</w:t>
      </w:r>
      <w:r w:rsidR="00D92500" w:rsidRPr="00BC2BC4">
        <w:rPr>
          <w:kern w:val="2"/>
          <w:sz w:val="20"/>
        </w:rPr>
        <w:t xml:space="preserve">ide participation by suppliers and contractors, with procurement open to international participation as a general rule; </w:t>
      </w:r>
    </w:p>
    <w:p w14:paraId="28F43C8D" w14:textId="1F853E0F" w:rsidR="00E24B21" w:rsidRPr="00BC2BC4" w:rsidRDefault="00D37750" w:rsidP="00A75BC0">
      <w:pPr>
        <w:pStyle w:val="BlockQuote"/>
        <w:numPr>
          <w:ilvl w:val="0"/>
          <w:numId w:val="27"/>
        </w:numPr>
        <w:spacing w:before="60"/>
        <w:jc w:val="left"/>
        <w:rPr>
          <w:kern w:val="2"/>
          <w:sz w:val="20"/>
        </w:rPr>
      </w:pPr>
      <w:r w:rsidRPr="00BC2BC4">
        <w:rPr>
          <w:kern w:val="2"/>
          <w:sz w:val="20"/>
        </w:rPr>
        <w:t>M</w:t>
      </w:r>
      <w:r w:rsidR="00D92500" w:rsidRPr="00BC2BC4">
        <w:rPr>
          <w:kern w:val="2"/>
          <w:sz w:val="20"/>
        </w:rPr>
        <w:t xml:space="preserve">aximizing competition; </w:t>
      </w:r>
    </w:p>
    <w:p w14:paraId="3CC3B7C7" w14:textId="0E876119" w:rsidR="00E24B21" w:rsidRPr="00BC2BC4" w:rsidRDefault="00D37750" w:rsidP="00A75BC0">
      <w:pPr>
        <w:pStyle w:val="BlockQuote"/>
        <w:numPr>
          <w:ilvl w:val="0"/>
          <w:numId w:val="27"/>
        </w:numPr>
        <w:spacing w:before="60"/>
        <w:jc w:val="left"/>
        <w:rPr>
          <w:kern w:val="2"/>
          <w:sz w:val="20"/>
        </w:rPr>
      </w:pPr>
      <w:r w:rsidRPr="00BC2BC4">
        <w:rPr>
          <w:kern w:val="2"/>
          <w:sz w:val="20"/>
        </w:rPr>
        <w:t>E</w:t>
      </w:r>
      <w:r w:rsidR="00D92500" w:rsidRPr="00BC2BC4">
        <w:rPr>
          <w:kern w:val="2"/>
          <w:sz w:val="20"/>
        </w:rPr>
        <w:t xml:space="preserve">nsuring fair, equal and equitable treatment; </w:t>
      </w:r>
    </w:p>
    <w:p w14:paraId="3B6E1CDE" w14:textId="08687841" w:rsidR="00E24B21" w:rsidRPr="00BC2BC4" w:rsidRDefault="00D37750" w:rsidP="00A75BC0">
      <w:pPr>
        <w:pStyle w:val="BlockQuote"/>
        <w:numPr>
          <w:ilvl w:val="0"/>
          <w:numId w:val="27"/>
        </w:numPr>
        <w:spacing w:before="60"/>
        <w:jc w:val="left"/>
        <w:rPr>
          <w:kern w:val="2"/>
          <w:sz w:val="20"/>
        </w:rPr>
      </w:pPr>
      <w:r w:rsidRPr="00BC2BC4">
        <w:rPr>
          <w:kern w:val="2"/>
          <w:sz w:val="20"/>
        </w:rPr>
        <w:t>A</w:t>
      </w:r>
      <w:r w:rsidR="00D92500" w:rsidRPr="00BC2BC4">
        <w:rPr>
          <w:kern w:val="2"/>
          <w:sz w:val="20"/>
        </w:rPr>
        <w:t xml:space="preserve">ssuring integrity, fairness and public confidence in the procurement process; and </w:t>
      </w:r>
    </w:p>
    <w:p w14:paraId="0A5646BF" w14:textId="4CE657E3" w:rsidR="00E24B21" w:rsidRPr="00BC2BC4" w:rsidRDefault="00D37750" w:rsidP="00A75BC0">
      <w:pPr>
        <w:pStyle w:val="BlockQuote"/>
        <w:numPr>
          <w:ilvl w:val="0"/>
          <w:numId w:val="27"/>
        </w:numPr>
        <w:spacing w:before="60"/>
        <w:jc w:val="left"/>
        <w:rPr>
          <w:kern w:val="2"/>
          <w:sz w:val="20"/>
        </w:rPr>
      </w:pPr>
      <w:r w:rsidRPr="00BC2BC4">
        <w:rPr>
          <w:kern w:val="2"/>
          <w:sz w:val="20"/>
        </w:rPr>
        <w:t>P</w:t>
      </w:r>
      <w:r w:rsidR="00D92500" w:rsidRPr="00BC2BC4">
        <w:rPr>
          <w:kern w:val="2"/>
          <w:sz w:val="20"/>
        </w:rPr>
        <w:t>romoting transparency.</w:t>
      </w:r>
      <w:r w:rsidR="00D92500" w:rsidRPr="00BC2BC4">
        <w:rPr>
          <w:rStyle w:val="FootnoteReference"/>
          <w:rFonts w:cs="Times New Roman"/>
          <w:kern w:val="2"/>
          <w:sz w:val="20"/>
        </w:rPr>
        <w:footnoteReference w:id="190"/>
      </w:r>
      <w:r w:rsidR="00D92500" w:rsidRPr="00BC2BC4">
        <w:rPr>
          <w:kern w:val="2"/>
          <w:sz w:val="20"/>
        </w:rPr>
        <w:t xml:space="preserve">  </w:t>
      </w:r>
    </w:p>
    <w:p w14:paraId="2315A37D" w14:textId="086F5328" w:rsidR="00E24B21" w:rsidRPr="00BC2BC4" w:rsidRDefault="00D87AAD" w:rsidP="00C74A64">
      <w:pPr>
        <w:rPr>
          <w:kern w:val="2"/>
          <w:sz w:val="20"/>
        </w:rPr>
      </w:pPr>
      <w:r w:rsidRPr="00BC2BC4">
        <w:rPr>
          <w:kern w:val="2"/>
          <w:sz w:val="20"/>
        </w:rPr>
        <w:t xml:space="preserve">The </w:t>
      </w:r>
      <w:r w:rsidR="00D92500" w:rsidRPr="00BC2BC4">
        <w:rPr>
          <w:kern w:val="2"/>
          <w:sz w:val="20"/>
        </w:rPr>
        <w:t xml:space="preserve">MLPP was </w:t>
      </w:r>
      <w:r w:rsidRPr="00BC2BC4">
        <w:rPr>
          <w:kern w:val="2"/>
          <w:sz w:val="20"/>
        </w:rPr>
        <w:t>intended to apply</w:t>
      </w:r>
      <w:r w:rsidR="00D92500" w:rsidRPr="00BC2BC4">
        <w:rPr>
          <w:kern w:val="2"/>
          <w:sz w:val="20"/>
        </w:rPr>
        <w:t xml:space="preserve"> to all types of procurement and </w:t>
      </w:r>
      <w:r w:rsidRPr="00BC2BC4">
        <w:rPr>
          <w:kern w:val="2"/>
          <w:sz w:val="20"/>
        </w:rPr>
        <w:t>requires no threshold amount for its application to transactions</w:t>
      </w:r>
      <w:r w:rsidR="00D92500" w:rsidRPr="00BC2BC4">
        <w:rPr>
          <w:kern w:val="2"/>
          <w:sz w:val="20"/>
        </w:rPr>
        <w:t xml:space="preserve">. </w:t>
      </w:r>
      <w:r w:rsidR="00A83556" w:rsidRPr="00BC2BC4">
        <w:rPr>
          <w:kern w:val="2"/>
          <w:sz w:val="20"/>
        </w:rPr>
        <w:t xml:space="preserve">The </w:t>
      </w:r>
      <w:r w:rsidR="00D92500" w:rsidRPr="00BC2BC4">
        <w:rPr>
          <w:kern w:val="2"/>
          <w:sz w:val="20"/>
        </w:rPr>
        <w:t>MLPP also provides guidance in applying procurement law to security and defen</w:t>
      </w:r>
      <w:r w:rsidR="00E24B21" w:rsidRPr="00BC2BC4">
        <w:rPr>
          <w:kern w:val="2"/>
          <w:sz w:val="20"/>
        </w:rPr>
        <w:t>c</w:t>
      </w:r>
      <w:r w:rsidR="00D92500" w:rsidRPr="00BC2BC4">
        <w:rPr>
          <w:kern w:val="2"/>
          <w:sz w:val="20"/>
        </w:rPr>
        <w:t xml:space="preserve">e contracts. </w:t>
      </w:r>
      <w:r w:rsidR="00A83556" w:rsidRPr="00BC2BC4">
        <w:rPr>
          <w:kern w:val="2"/>
          <w:sz w:val="20"/>
        </w:rPr>
        <w:t xml:space="preserve">The </w:t>
      </w:r>
      <w:r w:rsidR="00D92500" w:rsidRPr="00BC2BC4">
        <w:rPr>
          <w:kern w:val="2"/>
          <w:sz w:val="20"/>
        </w:rPr>
        <w:t xml:space="preserve">MLPP sets out </w:t>
      </w:r>
      <w:r w:rsidR="00A83556" w:rsidRPr="00BC2BC4">
        <w:rPr>
          <w:kern w:val="2"/>
          <w:sz w:val="20"/>
        </w:rPr>
        <w:t xml:space="preserve">the </w:t>
      </w:r>
      <w:r w:rsidR="00D92500" w:rsidRPr="00BC2BC4">
        <w:rPr>
          <w:kern w:val="2"/>
          <w:sz w:val="20"/>
        </w:rPr>
        <w:t>minimum requirements</w:t>
      </w:r>
      <w:r w:rsidR="00A83556" w:rsidRPr="00BC2BC4">
        <w:rPr>
          <w:kern w:val="2"/>
          <w:sz w:val="20"/>
        </w:rPr>
        <w:t xml:space="preserve"> and essential principles</w:t>
      </w:r>
      <w:r w:rsidR="00D92500" w:rsidRPr="00BC2BC4">
        <w:rPr>
          <w:kern w:val="2"/>
          <w:sz w:val="20"/>
        </w:rPr>
        <w:t xml:space="preserve"> for effective procurement legislation: </w:t>
      </w:r>
    </w:p>
    <w:p w14:paraId="4375594D" w14:textId="39BC3223" w:rsidR="00E24B21" w:rsidRPr="00BC2BC4" w:rsidRDefault="00E24B21" w:rsidP="00A75BC0">
      <w:pPr>
        <w:pStyle w:val="BlockQuote"/>
        <w:numPr>
          <w:ilvl w:val="0"/>
          <w:numId w:val="28"/>
        </w:numPr>
        <w:spacing w:before="60"/>
        <w:jc w:val="left"/>
        <w:rPr>
          <w:kern w:val="2"/>
          <w:sz w:val="20"/>
        </w:rPr>
      </w:pPr>
      <w:r w:rsidRPr="00BC2BC4">
        <w:rPr>
          <w:kern w:val="2"/>
          <w:sz w:val="20"/>
        </w:rPr>
        <w:t>t</w:t>
      </w:r>
      <w:r w:rsidR="00D92500" w:rsidRPr="00BC2BC4">
        <w:rPr>
          <w:kern w:val="2"/>
          <w:sz w:val="20"/>
        </w:rPr>
        <w:t>he applicable law, procurement regulations</w:t>
      </w:r>
      <w:r w:rsidR="006522C8" w:rsidRPr="00BC2BC4">
        <w:rPr>
          <w:kern w:val="2"/>
          <w:sz w:val="20"/>
        </w:rPr>
        <w:t>,</w:t>
      </w:r>
      <w:r w:rsidR="00D92500" w:rsidRPr="00BC2BC4">
        <w:rPr>
          <w:kern w:val="2"/>
          <w:sz w:val="20"/>
        </w:rPr>
        <w:t xml:space="preserve"> and other relevant information are to be made publicly available (article 5);</w:t>
      </w:r>
    </w:p>
    <w:p w14:paraId="0FA956BC" w14:textId="03DC3CCA" w:rsidR="00E24B21" w:rsidRPr="00BC2BC4" w:rsidRDefault="00E24B21" w:rsidP="00A75BC0">
      <w:pPr>
        <w:pStyle w:val="BlockQuote"/>
        <w:numPr>
          <w:ilvl w:val="0"/>
          <w:numId w:val="28"/>
        </w:numPr>
        <w:spacing w:before="60"/>
        <w:jc w:val="left"/>
        <w:rPr>
          <w:kern w:val="2"/>
          <w:sz w:val="20"/>
        </w:rPr>
      </w:pPr>
      <w:r w:rsidRPr="00BC2BC4">
        <w:rPr>
          <w:kern w:val="2"/>
          <w:sz w:val="20"/>
        </w:rPr>
        <w:t>r</w:t>
      </w:r>
      <w:r w:rsidR="00D92500" w:rsidRPr="00BC2BC4">
        <w:rPr>
          <w:kern w:val="2"/>
          <w:sz w:val="20"/>
        </w:rPr>
        <w:t>equirements for prior publication of announcements for each procurement procedure (with relevant details) (articles 33</w:t>
      </w:r>
      <w:r w:rsidR="006522C8" w:rsidRPr="00BC2BC4">
        <w:rPr>
          <w:kern w:val="2"/>
          <w:sz w:val="20"/>
        </w:rPr>
        <w:t>–</w:t>
      </w:r>
      <w:r w:rsidR="00D92500" w:rsidRPr="00BC2BC4">
        <w:rPr>
          <w:kern w:val="2"/>
          <w:sz w:val="20"/>
        </w:rPr>
        <w:t>35) and ex post facto notice of the award of procurement contracts (article 23);</w:t>
      </w:r>
    </w:p>
    <w:p w14:paraId="03793326" w14:textId="3314BD38" w:rsidR="00E24B21" w:rsidRPr="00BC2BC4" w:rsidRDefault="00E24B21" w:rsidP="00A75BC0">
      <w:pPr>
        <w:pStyle w:val="BlockQuote"/>
        <w:numPr>
          <w:ilvl w:val="0"/>
          <w:numId w:val="28"/>
        </w:numPr>
        <w:spacing w:before="60"/>
        <w:jc w:val="left"/>
        <w:rPr>
          <w:kern w:val="2"/>
          <w:sz w:val="20"/>
        </w:rPr>
      </w:pPr>
      <w:r w:rsidRPr="00BC2BC4">
        <w:rPr>
          <w:kern w:val="2"/>
          <w:sz w:val="20"/>
        </w:rPr>
        <w:t>i</w:t>
      </w:r>
      <w:r w:rsidR="00A83556" w:rsidRPr="00BC2BC4">
        <w:rPr>
          <w:kern w:val="2"/>
          <w:sz w:val="20"/>
        </w:rPr>
        <w:t>tems</w:t>
      </w:r>
      <w:r w:rsidR="00D92500" w:rsidRPr="00BC2BC4">
        <w:rPr>
          <w:kern w:val="2"/>
          <w:sz w:val="20"/>
        </w:rPr>
        <w:t xml:space="preserve"> to be procured</w:t>
      </w:r>
      <w:r w:rsidR="00A83556" w:rsidRPr="00BC2BC4">
        <w:rPr>
          <w:kern w:val="2"/>
          <w:sz w:val="20"/>
        </w:rPr>
        <w:t xml:space="preserve"> are to be described</w:t>
      </w:r>
      <w:r w:rsidR="00D92500" w:rsidRPr="00BC2BC4">
        <w:rPr>
          <w:kern w:val="2"/>
          <w:sz w:val="20"/>
        </w:rPr>
        <w:t xml:space="preserve"> in accordance with article 10 (that is, objectively and without reference to specific brand names as a general rule, so as to allow submissions to be prepared and compared on a</w:t>
      </w:r>
      <w:r w:rsidR="00A83556" w:rsidRPr="00BC2BC4">
        <w:rPr>
          <w:kern w:val="2"/>
          <w:sz w:val="20"/>
        </w:rPr>
        <w:t>n</w:t>
      </w:r>
      <w:r w:rsidR="00D92500" w:rsidRPr="00BC2BC4">
        <w:rPr>
          <w:kern w:val="2"/>
          <w:sz w:val="20"/>
        </w:rPr>
        <w:t xml:space="preserve"> objective basis);</w:t>
      </w:r>
    </w:p>
    <w:p w14:paraId="6FEFFCAB" w14:textId="3DABCAC9" w:rsidR="00E24B21" w:rsidRPr="00BC2BC4" w:rsidRDefault="00E24B21" w:rsidP="00A75BC0">
      <w:pPr>
        <w:pStyle w:val="BlockQuote"/>
        <w:numPr>
          <w:ilvl w:val="0"/>
          <w:numId w:val="28"/>
        </w:numPr>
        <w:spacing w:before="60"/>
        <w:jc w:val="left"/>
        <w:rPr>
          <w:kern w:val="2"/>
          <w:sz w:val="20"/>
        </w:rPr>
      </w:pPr>
      <w:r w:rsidRPr="00BC2BC4">
        <w:rPr>
          <w:kern w:val="2"/>
          <w:sz w:val="20"/>
        </w:rPr>
        <w:t>r</w:t>
      </w:r>
      <w:r w:rsidR="00D92500" w:rsidRPr="00BC2BC4">
        <w:rPr>
          <w:kern w:val="2"/>
          <w:sz w:val="20"/>
        </w:rPr>
        <w:t xml:space="preserve">equirements for qualification procedures and permissible criteria to determine which suppliers or contractors will be able to participate, </w:t>
      </w:r>
      <w:r w:rsidR="00A83556" w:rsidRPr="00BC2BC4">
        <w:rPr>
          <w:kern w:val="2"/>
          <w:sz w:val="20"/>
        </w:rPr>
        <w:t>with</w:t>
      </w:r>
      <w:r w:rsidR="00D92500" w:rsidRPr="00BC2BC4">
        <w:rPr>
          <w:kern w:val="2"/>
          <w:sz w:val="20"/>
        </w:rPr>
        <w:t xml:space="preserve"> the particular criteria that will determine whether or not suppliers or contractors are qualified </w:t>
      </w:r>
      <w:r w:rsidR="00A83556" w:rsidRPr="00BC2BC4">
        <w:rPr>
          <w:kern w:val="2"/>
          <w:sz w:val="20"/>
        </w:rPr>
        <w:t>communicated</w:t>
      </w:r>
      <w:r w:rsidR="00D92500" w:rsidRPr="00BC2BC4">
        <w:rPr>
          <w:kern w:val="2"/>
          <w:sz w:val="20"/>
        </w:rPr>
        <w:t xml:space="preserve"> to all potential suppliers or contractors (articles 9 and 18);</w:t>
      </w:r>
    </w:p>
    <w:p w14:paraId="4512E3AA" w14:textId="028F58C4" w:rsidR="00E24B21" w:rsidRPr="00BC2BC4" w:rsidRDefault="00E24B21" w:rsidP="00A75BC0">
      <w:pPr>
        <w:pStyle w:val="BlockQuote"/>
        <w:numPr>
          <w:ilvl w:val="0"/>
          <w:numId w:val="28"/>
        </w:numPr>
        <w:spacing w:before="60"/>
        <w:jc w:val="left"/>
        <w:rPr>
          <w:kern w:val="2"/>
          <w:sz w:val="20"/>
        </w:rPr>
      </w:pPr>
      <w:r w:rsidRPr="00BC2BC4">
        <w:rPr>
          <w:kern w:val="2"/>
          <w:sz w:val="20"/>
        </w:rPr>
        <w:t>o</w:t>
      </w:r>
      <w:r w:rsidR="00D92500" w:rsidRPr="00BC2BC4">
        <w:rPr>
          <w:kern w:val="2"/>
          <w:sz w:val="20"/>
        </w:rPr>
        <w:t xml:space="preserve">pen tendering </w:t>
      </w:r>
      <w:r w:rsidR="00A83556" w:rsidRPr="00BC2BC4">
        <w:rPr>
          <w:kern w:val="2"/>
          <w:sz w:val="20"/>
        </w:rPr>
        <w:t>is</w:t>
      </w:r>
      <w:r w:rsidR="00D92500" w:rsidRPr="00BC2BC4">
        <w:rPr>
          <w:kern w:val="2"/>
          <w:sz w:val="20"/>
        </w:rPr>
        <w:t xml:space="preserve"> the recommended procurement method and the use of any other procurement method</w:t>
      </w:r>
      <w:r w:rsidR="00A83556" w:rsidRPr="00BC2BC4">
        <w:rPr>
          <w:kern w:val="2"/>
          <w:sz w:val="20"/>
        </w:rPr>
        <w:t xml:space="preserve"> must be objectively justified</w:t>
      </w:r>
      <w:r w:rsidR="00D92500" w:rsidRPr="00BC2BC4">
        <w:rPr>
          <w:kern w:val="2"/>
          <w:sz w:val="20"/>
        </w:rPr>
        <w:t xml:space="preserve"> (article 28);</w:t>
      </w:r>
    </w:p>
    <w:p w14:paraId="3023DFE8" w14:textId="504CFF37" w:rsidR="00E24B21" w:rsidRPr="00BC2BC4" w:rsidRDefault="00E24B21" w:rsidP="00A75BC0">
      <w:pPr>
        <w:pStyle w:val="BlockQuote"/>
        <w:numPr>
          <w:ilvl w:val="0"/>
          <w:numId w:val="28"/>
        </w:numPr>
        <w:spacing w:before="60"/>
        <w:jc w:val="left"/>
        <w:rPr>
          <w:kern w:val="2"/>
          <w:sz w:val="20"/>
        </w:rPr>
      </w:pPr>
      <w:r w:rsidRPr="00BC2BC4">
        <w:rPr>
          <w:kern w:val="2"/>
          <w:sz w:val="20"/>
        </w:rPr>
        <w:t>o</w:t>
      </w:r>
      <w:r w:rsidR="00D92500" w:rsidRPr="00BC2BC4">
        <w:rPr>
          <w:kern w:val="2"/>
          <w:sz w:val="20"/>
        </w:rPr>
        <w:t xml:space="preserve">ther procurement methods </w:t>
      </w:r>
      <w:r w:rsidR="00A83556" w:rsidRPr="00BC2BC4">
        <w:rPr>
          <w:kern w:val="2"/>
          <w:sz w:val="20"/>
        </w:rPr>
        <w:t xml:space="preserve">should be available </w:t>
      </w:r>
      <w:r w:rsidR="00D92500" w:rsidRPr="00BC2BC4">
        <w:rPr>
          <w:kern w:val="2"/>
          <w:sz w:val="20"/>
        </w:rPr>
        <w:t xml:space="preserve">to cover the main circumstances likely to arise (simple or low-value procurement, urgent and emergency procurement, repeated procurement and the procurement of complex or specialized items or services) </w:t>
      </w:r>
      <w:r w:rsidR="00A83556" w:rsidRPr="00BC2BC4">
        <w:rPr>
          <w:kern w:val="2"/>
          <w:sz w:val="20"/>
        </w:rPr>
        <w:t>with</w:t>
      </w:r>
      <w:r w:rsidR="00D92500" w:rsidRPr="00BC2BC4">
        <w:rPr>
          <w:kern w:val="2"/>
          <w:sz w:val="20"/>
        </w:rPr>
        <w:t xml:space="preserve"> conditions for use of these procurement methods (articles 29</w:t>
      </w:r>
      <w:r w:rsidR="003800A1" w:rsidRPr="00BC2BC4">
        <w:rPr>
          <w:kern w:val="2"/>
          <w:sz w:val="20"/>
        </w:rPr>
        <w:t>–</w:t>
      </w:r>
      <w:r w:rsidR="00D92500" w:rsidRPr="00BC2BC4">
        <w:rPr>
          <w:kern w:val="2"/>
          <w:sz w:val="20"/>
        </w:rPr>
        <w:t>31);</w:t>
      </w:r>
    </w:p>
    <w:p w14:paraId="32718409" w14:textId="34E7BAAC" w:rsidR="00E24B21" w:rsidRPr="00BC2BC4" w:rsidRDefault="00E24B21" w:rsidP="00A75BC0">
      <w:pPr>
        <w:pStyle w:val="BlockQuote"/>
        <w:numPr>
          <w:ilvl w:val="0"/>
          <w:numId w:val="28"/>
        </w:numPr>
        <w:spacing w:before="60"/>
        <w:jc w:val="left"/>
        <w:rPr>
          <w:kern w:val="2"/>
          <w:sz w:val="20"/>
        </w:rPr>
      </w:pPr>
      <w:r w:rsidRPr="00BC2BC4">
        <w:rPr>
          <w:kern w:val="2"/>
          <w:sz w:val="20"/>
        </w:rPr>
        <w:t>a</w:t>
      </w:r>
      <w:r w:rsidR="00D92500" w:rsidRPr="00BC2BC4">
        <w:rPr>
          <w:kern w:val="2"/>
          <w:sz w:val="20"/>
        </w:rPr>
        <w:t xml:space="preserve"> requirement for standard procedures for the conduct of each procurement proce</w:t>
      </w:r>
      <w:r w:rsidR="00A83556" w:rsidRPr="00BC2BC4">
        <w:rPr>
          <w:kern w:val="2"/>
          <w:sz w:val="20"/>
        </w:rPr>
        <w:t>ss</w:t>
      </w:r>
      <w:r w:rsidR="00D92500" w:rsidRPr="00BC2BC4">
        <w:rPr>
          <w:kern w:val="2"/>
          <w:sz w:val="20"/>
        </w:rPr>
        <w:t xml:space="preserve"> (chapters III</w:t>
      </w:r>
      <w:r w:rsidR="003800A1" w:rsidRPr="00BC2BC4">
        <w:rPr>
          <w:kern w:val="2"/>
          <w:sz w:val="20"/>
        </w:rPr>
        <w:t>–</w:t>
      </w:r>
      <w:r w:rsidR="00D92500" w:rsidRPr="00BC2BC4">
        <w:rPr>
          <w:kern w:val="2"/>
          <w:sz w:val="20"/>
        </w:rPr>
        <w:t>VII);</w:t>
      </w:r>
    </w:p>
    <w:p w14:paraId="6F12BDD8" w14:textId="38F13339" w:rsidR="00E24B21" w:rsidRPr="00BC2BC4" w:rsidRDefault="00E24B21" w:rsidP="00A75BC0">
      <w:pPr>
        <w:pStyle w:val="BlockQuote"/>
        <w:numPr>
          <w:ilvl w:val="0"/>
          <w:numId w:val="28"/>
        </w:numPr>
        <w:spacing w:before="60"/>
        <w:jc w:val="left"/>
        <w:rPr>
          <w:kern w:val="2"/>
          <w:sz w:val="20"/>
        </w:rPr>
      </w:pPr>
      <w:r w:rsidRPr="00BC2BC4">
        <w:rPr>
          <w:kern w:val="2"/>
          <w:sz w:val="20"/>
        </w:rPr>
        <w:t>a</w:t>
      </w:r>
      <w:r w:rsidR="00D92500" w:rsidRPr="00BC2BC4">
        <w:rPr>
          <w:kern w:val="2"/>
          <w:sz w:val="20"/>
        </w:rPr>
        <w:t xml:space="preserve"> requirement for communications with suppliers or contractors to be in a form and manner that does not impede access to the procurement (article 7);</w:t>
      </w:r>
    </w:p>
    <w:p w14:paraId="41AA87B4" w14:textId="1846EA46" w:rsidR="00E24B21" w:rsidRPr="00BC2BC4" w:rsidRDefault="00E24B21" w:rsidP="00A75BC0">
      <w:pPr>
        <w:pStyle w:val="BlockQuote"/>
        <w:numPr>
          <w:ilvl w:val="0"/>
          <w:numId w:val="28"/>
        </w:numPr>
        <w:spacing w:before="60"/>
        <w:jc w:val="left"/>
        <w:rPr>
          <w:kern w:val="2"/>
          <w:sz w:val="20"/>
        </w:rPr>
      </w:pPr>
      <w:r w:rsidRPr="00BC2BC4">
        <w:rPr>
          <w:kern w:val="2"/>
          <w:sz w:val="20"/>
        </w:rPr>
        <w:t>a</w:t>
      </w:r>
      <w:r w:rsidR="00D92500" w:rsidRPr="00BC2BC4">
        <w:rPr>
          <w:kern w:val="2"/>
          <w:sz w:val="20"/>
        </w:rPr>
        <w:t xml:space="preserve"> requirement for </w:t>
      </w:r>
      <w:r w:rsidR="00A83556" w:rsidRPr="00BC2BC4">
        <w:rPr>
          <w:kern w:val="2"/>
          <w:sz w:val="20"/>
        </w:rPr>
        <w:t xml:space="preserve">a </w:t>
      </w:r>
      <w:r w:rsidR="00D92500" w:rsidRPr="00BC2BC4">
        <w:rPr>
          <w:kern w:val="2"/>
          <w:sz w:val="20"/>
        </w:rPr>
        <w:t>mandatory standstill period between the identification of the winning supplier or contractor and the award of the contract or framework agreement, in order to allow any non-compliance with the provisions of the Model Law to be addressed prior to any such contract entering into force (article 22(2)); and</w:t>
      </w:r>
    </w:p>
    <w:p w14:paraId="0C57D2AC" w14:textId="393F349D" w:rsidR="00D92500" w:rsidRPr="00BC2BC4" w:rsidRDefault="00E24B21" w:rsidP="00A75BC0">
      <w:pPr>
        <w:pStyle w:val="BlockQuote"/>
        <w:numPr>
          <w:ilvl w:val="0"/>
          <w:numId w:val="28"/>
        </w:numPr>
        <w:spacing w:before="60"/>
        <w:jc w:val="left"/>
        <w:rPr>
          <w:kern w:val="2"/>
          <w:sz w:val="20"/>
        </w:rPr>
      </w:pPr>
      <w:r w:rsidRPr="00BC2BC4">
        <w:rPr>
          <w:kern w:val="2"/>
          <w:sz w:val="20"/>
        </w:rPr>
        <w:t>m</w:t>
      </w:r>
      <w:r w:rsidR="00D92500" w:rsidRPr="00BC2BC4">
        <w:rPr>
          <w:kern w:val="2"/>
          <w:sz w:val="20"/>
        </w:rPr>
        <w:t>andatory challenge and appeal procedures if rules or procedures are breached (chapter VIII).</w:t>
      </w:r>
      <w:r w:rsidR="00D92500" w:rsidRPr="00BC2BC4">
        <w:rPr>
          <w:rStyle w:val="FootnoteReference"/>
          <w:kern w:val="2"/>
          <w:sz w:val="20"/>
        </w:rPr>
        <w:footnoteReference w:id="191"/>
      </w:r>
    </w:p>
    <w:p w14:paraId="2039D845" w14:textId="77777777" w:rsidR="00D92500" w:rsidRPr="00BC2BC4" w:rsidRDefault="00A83556" w:rsidP="00C74A64">
      <w:pPr>
        <w:rPr>
          <w:kern w:val="2"/>
          <w:sz w:val="20"/>
        </w:rPr>
      </w:pPr>
      <w:r w:rsidRPr="00BC2BC4">
        <w:rPr>
          <w:kern w:val="2"/>
          <w:sz w:val="20"/>
        </w:rPr>
        <w:t xml:space="preserve">The </w:t>
      </w:r>
      <w:r w:rsidR="00D92500" w:rsidRPr="00BC2BC4">
        <w:rPr>
          <w:kern w:val="2"/>
          <w:sz w:val="20"/>
        </w:rPr>
        <w:t xml:space="preserve">MLPP is a framework law and does not include all the regulations necessary </w:t>
      </w:r>
      <w:r w:rsidRPr="00BC2BC4">
        <w:rPr>
          <w:kern w:val="2"/>
          <w:sz w:val="20"/>
        </w:rPr>
        <w:t>for implementation</w:t>
      </w:r>
      <w:r w:rsidR="00D92500" w:rsidRPr="00BC2BC4">
        <w:rPr>
          <w:kern w:val="2"/>
          <w:sz w:val="20"/>
        </w:rPr>
        <w:t xml:space="preserve">.  However, it does provide insight into </w:t>
      </w:r>
      <w:r w:rsidRPr="00BC2BC4">
        <w:rPr>
          <w:kern w:val="2"/>
          <w:sz w:val="20"/>
        </w:rPr>
        <w:t>some important aspects of procurement law</w:t>
      </w:r>
      <w:r w:rsidR="00D92500" w:rsidRPr="00BC2BC4">
        <w:rPr>
          <w:kern w:val="2"/>
          <w:sz w:val="20"/>
        </w:rPr>
        <w:t xml:space="preserve"> and guidance on implementing effective pro</w:t>
      </w:r>
      <w:r w:rsidR="00DA3C13" w:rsidRPr="00BC2BC4">
        <w:rPr>
          <w:kern w:val="2"/>
          <w:sz w:val="20"/>
        </w:rPr>
        <w:t xml:space="preserve">curement laws and regulations. </w:t>
      </w:r>
    </w:p>
    <w:p w14:paraId="662A82FD" w14:textId="20F4E871" w:rsidR="00817799" w:rsidRPr="00BC2BC4" w:rsidRDefault="00C92426" w:rsidP="00C74A64">
      <w:pPr>
        <w:pStyle w:val="Heading2"/>
        <w:rPr>
          <w:kern w:val="2"/>
          <w:sz w:val="24"/>
        </w:rPr>
      </w:pPr>
      <w:bookmarkStart w:id="56" w:name="_Toc424485036"/>
      <w:r w:rsidRPr="00BC2BC4">
        <w:rPr>
          <w:kern w:val="2"/>
          <w:sz w:val="24"/>
        </w:rPr>
        <w:t>US Law and Procedures</w:t>
      </w:r>
      <w:bookmarkEnd w:id="56"/>
    </w:p>
    <w:p w14:paraId="07F01F65" w14:textId="3448585F" w:rsidR="00A83556" w:rsidRPr="00BC2BC4" w:rsidRDefault="00F87408" w:rsidP="003F14E9">
      <w:pPr>
        <w:rPr>
          <w:rFonts w:cs="Times New Roman"/>
          <w:kern w:val="2"/>
          <w:sz w:val="20"/>
        </w:rPr>
      </w:pPr>
      <w:r w:rsidRPr="00BC2BC4">
        <w:rPr>
          <w:rFonts w:cs="Times New Roman"/>
          <w:kern w:val="2"/>
          <w:sz w:val="20"/>
        </w:rPr>
        <w:t xml:space="preserve">The US procurement system is considered </w:t>
      </w:r>
      <w:r w:rsidR="006A4767" w:rsidRPr="00BC2BC4">
        <w:rPr>
          <w:rFonts w:cs="Times New Roman"/>
          <w:kern w:val="2"/>
          <w:sz w:val="20"/>
        </w:rPr>
        <w:t xml:space="preserve">by some </w:t>
      </w:r>
      <w:r w:rsidRPr="00BC2BC4">
        <w:rPr>
          <w:rFonts w:cs="Times New Roman"/>
          <w:kern w:val="2"/>
          <w:sz w:val="20"/>
        </w:rPr>
        <w:t>to be one of the most sophisticated and developed in the world.</w:t>
      </w:r>
      <w:r w:rsidRPr="00BC2BC4">
        <w:rPr>
          <w:rStyle w:val="FootnoteReference"/>
          <w:rFonts w:cs="Times New Roman"/>
          <w:kern w:val="2"/>
          <w:sz w:val="20"/>
        </w:rPr>
        <w:footnoteReference w:id="192"/>
      </w:r>
      <w:r w:rsidRPr="00BC2BC4">
        <w:rPr>
          <w:rFonts w:cs="Times New Roman"/>
          <w:kern w:val="2"/>
          <w:sz w:val="20"/>
        </w:rPr>
        <w:t xml:space="preserve"> </w:t>
      </w:r>
      <w:r w:rsidR="006A4767" w:rsidRPr="00BC2BC4">
        <w:rPr>
          <w:rFonts w:cs="Times New Roman"/>
          <w:kern w:val="2"/>
          <w:sz w:val="20"/>
        </w:rPr>
        <w:t>Even so</w:t>
      </w:r>
      <w:r w:rsidRPr="00BC2BC4">
        <w:rPr>
          <w:rFonts w:cs="Times New Roman"/>
          <w:kern w:val="2"/>
          <w:sz w:val="20"/>
        </w:rPr>
        <w:t>,</w:t>
      </w:r>
      <w:r w:rsidR="00635F04" w:rsidRPr="00BC2BC4">
        <w:rPr>
          <w:rFonts w:cs="Times New Roman"/>
          <w:kern w:val="2"/>
          <w:sz w:val="20"/>
        </w:rPr>
        <w:t xml:space="preserve"> it is unable to prevent all corruption, as demonstrated </w:t>
      </w:r>
      <w:r w:rsidR="00A83556" w:rsidRPr="00BC2BC4">
        <w:rPr>
          <w:rFonts w:cs="Times New Roman"/>
          <w:kern w:val="2"/>
          <w:sz w:val="20"/>
        </w:rPr>
        <w:t xml:space="preserve">by the case of </w:t>
      </w:r>
      <w:r w:rsidRPr="00BC2BC4">
        <w:rPr>
          <w:rFonts w:cs="Times New Roman"/>
          <w:kern w:val="2"/>
          <w:sz w:val="20"/>
        </w:rPr>
        <w:t xml:space="preserve">a senior US Department of Defense acquisition official </w:t>
      </w:r>
      <w:r w:rsidR="00A83556" w:rsidRPr="00BC2BC4">
        <w:rPr>
          <w:rFonts w:cs="Times New Roman"/>
          <w:kern w:val="2"/>
          <w:sz w:val="20"/>
        </w:rPr>
        <w:t xml:space="preserve">who </w:t>
      </w:r>
      <w:r w:rsidRPr="00BC2BC4">
        <w:rPr>
          <w:rFonts w:cs="Times New Roman"/>
          <w:kern w:val="2"/>
          <w:sz w:val="20"/>
        </w:rPr>
        <w:t>pled guilty t</w:t>
      </w:r>
      <w:r w:rsidR="003F09D8" w:rsidRPr="00BC2BC4">
        <w:rPr>
          <w:rFonts w:cs="Times New Roman"/>
          <w:kern w:val="2"/>
          <w:sz w:val="20"/>
        </w:rPr>
        <w:t>o criminal conspiracy regard</w:t>
      </w:r>
      <w:r w:rsidR="003800A1" w:rsidRPr="00BC2BC4">
        <w:rPr>
          <w:rFonts w:cs="Times New Roman"/>
          <w:kern w:val="2"/>
          <w:sz w:val="20"/>
        </w:rPr>
        <w:t>ing the</w:t>
      </w:r>
      <w:r w:rsidRPr="00BC2BC4">
        <w:rPr>
          <w:rFonts w:cs="Times New Roman"/>
          <w:kern w:val="2"/>
          <w:sz w:val="20"/>
        </w:rPr>
        <w:t xml:space="preserve"> negoti</w:t>
      </w:r>
      <w:r w:rsidR="003800A1" w:rsidRPr="00BC2BC4">
        <w:rPr>
          <w:rFonts w:cs="Times New Roman"/>
          <w:kern w:val="2"/>
          <w:sz w:val="20"/>
        </w:rPr>
        <w:t>ation of</w:t>
      </w:r>
      <w:r w:rsidRPr="00BC2BC4">
        <w:rPr>
          <w:rFonts w:cs="Times New Roman"/>
          <w:kern w:val="2"/>
          <w:sz w:val="20"/>
        </w:rPr>
        <w:t xml:space="preserve"> a </w:t>
      </w:r>
      <w:r w:rsidR="00310E7A" w:rsidRPr="00BC2BC4">
        <w:rPr>
          <w:rFonts w:cs="Times New Roman"/>
          <w:kern w:val="2"/>
          <w:sz w:val="20"/>
        </w:rPr>
        <w:t>US</w:t>
      </w:r>
      <w:r w:rsidRPr="00BC2BC4">
        <w:rPr>
          <w:rFonts w:cs="Times New Roman"/>
          <w:kern w:val="2"/>
          <w:sz w:val="20"/>
        </w:rPr>
        <w:t>$23 billion</w:t>
      </w:r>
      <w:r w:rsidR="003800A1" w:rsidRPr="00BC2BC4">
        <w:rPr>
          <w:rFonts w:cs="Times New Roman"/>
          <w:kern w:val="2"/>
          <w:sz w:val="20"/>
        </w:rPr>
        <w:t xml:space="preserve"> </w:t>
      </w:r>
      <w:r w:rsidRPr="00BC2BC4">
        <w:rPr>
          <w:rFonts w:cs="Times New Roman"/>
          <w:kern w:val="2"/>
          <w:sz w:val="20"/>
        </w:rPr>
        <w:t>acquisition from Boeing.</w:t>
      </w:r>
      <w:r w:rsidRPr="00BC2BC4">
        <w:rPr>
          <w:rStyle w:val="FootnoteReference"/>
          <w:rFonts w:cs="Times New Roman"/>
          <w:kern w:val="2"/>
          <w:sz w:val="20"/>
        </w:rPr>
        <w:footnoteReference w:id="193"/>
      </w:r>
      <w:r w:rsidR="00635F04" w:rsidRPr="00BC2BC4">
        <w:rPr>
          <w:rFonts w:cs="Times New Roman"/>
          <w:kern w:val="2"/>
          <w:sz w:val="20"/>
        </w:rPr>
        <w:t xml:space="preserve"> </w:t>
      </w:r>
    </w:p>
    <w:p w14:paraId="21F1265B" w14:textId="7F0054F5" w:rsidR="00817799" w:rsidRPr="00BC2BC4" w:rsidRDefault="00635F04" w:rsidP="003F14E9">
      <w:pPr>
        <w:rPr>
          <w:rFonts w:cs="Times New Roman"/>
          <w:kern w:val="2"/>
          <w:sz w:val="20"/>
        </w:rPr>
      </w:pPr>
      <w:r w:rsidRPr="00BC2BC4">
        <w:rPr>
          <w:rFonts w:cs="Times New Roman"/>
          <w:kern w:val="2"/>
          <w:sz w:val="20"/>
        </w:rPr>
        <w:t xml:space="preserve">US law on public procurement falls under the </w:t>
      </w:r>
      <w:r w:rsidRPr="00BC2BC4">
        <w:rPr>
          <w:rFonts w:cs="Times New Roman"/>
          <w:i/>
          <w:kern w:val="2"/>
          <w:sz w:val="20"/>
        </w:rPr>
        <w:t xml:space="preserve">Competition in Contracting Act </w:t>
      </w:r>
      <w:r w:rsidR="006D1C5E" w:rsidRPr="00BC2BC4">
        <w:rPr>
          <w:rFonts w:cs="Times New Roman"/>
          <w:kern w:val="2"/>
          <w:sz w:val="20"/>
        </w:rPr>
        <w:t xml:space="preserve">of 1984. </w:t>
      </w:r>
      <w:r w:rsidR="00095932" w:rsidRPr="00BC2BC4">
        <w:rPr>
          <w:rFonts w:cs="Times New Roman"/>
          <w:kern w:val="2"/>
          <w:sz w:val="20"/>
        </w:rPr>
        <w:t xml:space="preserve">The </w:t>
      </w:r>
      <w:r w:rsidR="00095932" w:rsidRPr="00BC2BC4">
        <w:rPr>
          <w:rFonts w:cs="Times New Roman"/>
          <w:i/>
          <w:kern w:val="2"/>
          <w:sz w:val="20"/>
        </w:rPr>
        <w:t>Federal Acquisition Regulation</w:t>
      </w:r>
      <w:r w:rsidR="00095932" w:rsidRPr="00BC2BC4">
        <w:rPr>
          <w:rFonts w:cs="Times New Roman"/>
          <w:kern w:val="2"/>
          <w:sz w:val="20"/>
        </w:rPr>
        <w:t xml:space="preserve"> further details the rules of hosting and participating in public procurement.</w:t>
      </w:r>
      <w:r w:rsidR="006D1C5E" w:rsidRPr="00BC2BC4">
        <w:rPr>
          <w:rFonts w:cs="Times New Roman"/>
          <w:kern w:val="2"/>
          <w:sz w:val="20"/>
        </w:rPr>
        <w:t xml:space="preserve"> </w:t>
      </w:r>
      <w:r w:rsidR="003F09D8" w:rsidRPr="00BC2BC4">
        <w:rPr>
          <w:rFonts w:cs="Times New Roman"/>
          <w:kern w:val="2"/>
          <w:sz w:val="20"/>
        </w:rPr>
        <w:t xml:space="preserve">Although </w:t>
      </w:r>
      <w:r w:rsidR="007823AC" w:rsidRPr="00BC2BC4">
        <w:rPr>
          <w:rFonts w:cs="Times New Roman"/>
          <w:kern w:val="2"/>
          <w:sz w:val="20"/>
        </w:rPr>
        <w:t>the Government Accountability Office (GAO) and the Court of Federal Claims have heard hundreds of protests under the Federal Acquisition Regulation</w:t>
      </w:r>
      <w:r w:rsidR="00095932" w:rsidRPr="00BC2BC4">
        <w:rPr>
          <w:rFonts w:cs="Times New Roman"/>
          <w:kern w:val="2"/>
          <w:sz w:val="20"/>
        </w:rPr>
        <w:t xml:space="preserve">, these </w:t>
      </w:r>
      <w:r w:rsidR="003F09D8" w:rsidRPr="00BC2BC4">
        <w:rPr>
          <w:rFonts w:cs="Times New Roman"/>
          <w:kern w:val="2"/>
          <w:sz w:val="20"/>
        </w:rPr>
        <w:t xml:space="preserve">cases </w:t>
      </w:r>
      <w:r w:rsidR="00095932" w:rsidRPr="00BC2BC4">
        <w:rPr>
          <w:rFonts w:cs="Times New Roman"/>
          <w:kern w:val="2"/>
          <w:sz w:val="20"/>
        </w:rPr>
        <w:t xml:space="preserve">have rarely resulted </w:t>
      </w:r>
      <w:r w:rsidR="003F09D8" w:rsidRPr="00BC2BC4">
        <w:rPr>
          <w:rFonts w:cs="Times New Roman"/>
          <w:kern w:val="2"/>
          <w:sz w:val="20"/>
        </w:rPr>
        <w:t>in a finding</w:t>
      </w:r>
      <w:r w:rsidR="00095932" w:rsidRPr="00BC2BC4">
        <w:rPr>
          <w:rFonts w:cs="Times New Roman"/>
          <w:kern w:val="2"/>
          <w:sz w:val="20"/>
        </w:rPr>
        <w:t xml:space="preserve"> that there was improper motivation for deviating from the rules. </w:t>
      </w:r>
    </w:p>
    <w:p w14:paraId="3B594188" w14:textId="00C4DF80" w:rsidR="006D1C5E" w:rsidRPr="00BC2BC4" w:rsidRDefault="006D1C5E" w:rsidP="00C74A64">
      <w:pPr>
        <w:pStyle w:val="Heading3"/>
        <w:rPr>
          <w:i/>
          <w:kern w:val="2"/>
          <w:sz w:val="22"/>
        </w:rPr>
      </w:pPr>
      <w:bookmarkStart w:id="57" w:name="_Toc424485037"/>
      <w:r w:rsidRPr="00BC2BC4">
        <w:rPr>
          <w:i/>
          <w:kern w:val="2"/>
          <w:sz w:val="22"/>
        </w:rPr>
        <w:t>Competition in Contracting Act</w:t>
      </w:r>
      <w:bookmarkEnd w:id="57"/>
      <w:r w:rsidRPr="00BC2BC4">
        <w:rPr>
          <w:i/>
          <w:kern w:val="2"/>
          <w:sz w:val="22"/>
        </w:rPr>
        <w:t xml:space="preserve"> </w:t>
      </w:r>
    </w:p>
    <w:p w14:paraId="6A33DB64" w14:textId="5078E197" w:rsidR="0038414D" w:rsidRPr="00BC2BC4" w:rsidRDefault="007632A7" w:rsidP="00C74A64">
      <w:pPr>
        <w:rPr>
          <w:kern w:val="2"/>
          <w:sz w:val="20"/>
        </w:rPr>
      </w:pPr>
      <w:r w:rsidRPr="00BC2BC4">
        <w:rPr>
          <w:kern w:val="2"/>
          <w:sz w:val="20"/>
        </w:rPr>
        <w:t xml:space="preserve">The </w:t>
      </w:r>
      <w:r w:rsidRPr="00BC2BC4">
        <w:rPr>
          <w:i/>
          <w:kern w:val="2"/>
          <w:sz w:val="20"/>
        </w:rPr>
        <w:t xml:space="preserve">Competition in Contracting Act </w:t>
      </w:r>
      <w:r w:rsidRPr="00BC2BC4">
        <w:rPr>
          <w:kern w:val="2"/>
          <w:sz w:val="20"/>
        </w:rPr>
        <w:t>(</w:t>
      </w:r>
      <w:r w:rsidRPr="00BC2BC4">
        <w:rPr>
          <w:i/>
          <w:kern w:val="2"/>
          <w:sz w:val="20"/>
        </w:rPr>
        <w:t>CICA</w:t>
      </w:r>
      <w:r w:rsidRPr="00BC2BC4">
        <w:rPr>
          <w:kern w:val="2"/>
          <w:sz w:val="20"/>
        </w:rPr>
        <w:t>) was passed in 1984 to promote competition and reduce government costs of procurement.</w:t>
      </w:r>
      <w:r w:rsidR="00D92214" w:rsidRPr="00BC2BC4">
        <w:rPr>
          <w:rStyle w:val="FootnoteReference"/>
          <w:rFonts w:cs="Times New Roman"/>
          <w:kern w:val="2"/>
          <w:sz w:val="20"/>
        </w:rPr>
        <w:footnoteReference w:id="194"/>
      </w:r>
      <w:r w:rsidRPr="00BC2BC4">
        <w:rPr>
          <w:kern w:val="2"/>
          <w:sz w:val="20"/>
        </w:rPr>
        <w:t xml:space="preserve"> </w:t>
      </w:r>
      <w:r w:rsidRPr="00BC2BC4">
        <w:rPr>
          <w:i/>
          <w:kern w:val="2"/>
          <w:sz w:val="20"/>
        </w:rPr>
        <w:t>CICA</w:t>
      </w:r>
      <w:r w:rsidRPr="00BC2BC4">
        <w:rPr>
          <w:kern w:val="2"/>
          <w:sz w:val="20"/>
        </w:rPr>
        <w:t xml:space="preserve"> requires all procurements </w:t>
      </w:r>
      <w:r w:rsidR="00E51D31" w:rsidRPr="00BC2BC4">
        <w:rPr>
          <w:kern w:val="2"/>
          <w:sz w:val="20"/>
        </w:rPr>
        <w:t>have a</w:t>
      </w:r>
      <w:r w:rsidRPr="00BC2BC4">
        <w:rPr>
          <w:kern w:val="2"/>
          <w:sz w:val="20"/>
        </w:rPr>
        <w:t xml:space="preserve"> </w:t>
      </w:r>
      <w:r w:rsidR="00C70C18" w:rsidRPr="00BC2BC4">
        <w:rPr>
          <w:kern w:val="2"/>
          <w:sz w:val="20"/>
        </w:rPr>
        <w:t xml:space="preserve">“full and open competition through the use of competitive procedures” </w:t>
      </w:r>
      <w:r w:rsidRPr="00BC2BC4">
        <w:rPr>
          <w:kern w:val="2"/>
          <w:sz w:val="20"/>
        </w:rPr>
        <w:t>(subject to some exceptions)</w:t>
      </w:r>
      <w:r w:rsidR="0027226C" w:rsidRPr="00BC2BC4">
        <w:rPr>
          <w:kern w:val="2"/>
          <w:sz w:val="20"/>
        </w:rPr>
        <w:t>; the Act also</w:t>
      </w:r>
      <w:r w:rsidRPr="00BC2BC4">
        <w:rPr>
          <w:kern w:val="2"/>
          <w:sz w:val="20"/>
        </w:rPr>
        <w:t xml:space="preserve"> </w:t>
      </w:r>
      <w:r w:rsidR="00884D9D" w:rsidRPr="00BC2BC4">
        <w:rPr>
          <w:kern w:val="2"/>
          <w:sz w:val="20"/>
        </w:rPr>
        <w:t xml:space="preserve">places </w:t>
      </w:r>
      <w:r w:rsidR="003F09D8" w:rsidRPr="00BC2BC4">
        <w:rPr>
          <w:kern w:val="2"/>
          <w:sz w:val="20"/>
        </w:rPr>
        <w:t xml:space="preserve">various </w:t>
      </w:r>
      <w:r w:rsidRPr="00BC2BC4">
        <w:rPr>
          <w:kern w:val="2"/>
          <w:sz w:val="20"/>
        </w:rPr>
        <w:t>requirements on all contracts over $25,000.</w:t>
      </w:r>
      <w:r w:rsidRPr="00BC2BC4">
        <w:rPr>
          <w:rStyle w:val="FootnoteReference"/>
          <w:rFonts w:cs="Times New Roman"/>
          <w:kern w:val="2"/>
          <w:sz w:val="20"/>
        </w:rPr>
        <w:footnoteReference w:id="195"/>
      </w:r>
      <w:r w:rsidRPr="00BC2BC4">
        <w:rPr>
          <w:kern w:val="2"/>
          <w:sz w:val="20"/>
        </w:rPr>
        <w:t xml:space="preserve"> </w:t>
      </w:r>
      <w:r w:rsidR="00C70C18" w:rsidRPr="00BC2BC4">
        <w:rPr>
          <w:i/>
          <w:kern w:val="2"/>
          <w:sz w:val="20"/>
        </w:rPr>
        <w:t xml:space="preserve">CICA </w:t>
      </w:r>
      <w:r w:rsidR="00C70C18" w:rsidRPr="00BC2BC4">
        <w:rPr>
          <w:kern w:val="2"/>
          <w:sz w:val="20"/>
        </w:rPr>
        <w:t xml:space="preserve">governs all procurement contracts that do not fall under more specific procurement legislation. Exceptions to </w:t>
      </w:r>
      <w:r w:rsidR="00C70C18" w:rsidRPr="00BC2BC4">
        <w:rPr>
          <w:i/>
          <w:kern w:val="2"/>
          <w:sz w:val="20"/>
        </w:rPr>
        <w:t>CICA</w:t>
      </w:r>
      <w:r w:rsidR="00C70C18" w:rsidRPr="00BC2BC4">
        <w:rPr>
          <w:kern w:val="2"/>
          <w:sz w:val="20"/>
        </w:rPr>
        <w:t>’s “full and open competition” requirements</w:t>
      </w:r>
      <w:r w:rsidR="00D92500" w:rsidRPr="00BC2BC4">
        <w:rPr>
          <w:rStyle w:val="FootnoteReference"/>
          <w:rFonts w:cs="Times New Roman"/>
          <w:kern w:val="2"/>
          <w:sz w:val="20"/>
        </w:rPr>
        <w:footnoteReference w:id="196"/>
      </w:r>
      <w:r w:rsidR="00D92500" w:rsidRPr="00BC2BC4">
        <w:rPr>
          <w:kern w:val="2"/>
          <w:sz w:val="20"/>
        </w:rPr>
        <w:t xml:space="preserve"> </w:t>
      </w:r>
      <w:r w:rsidR="002C30E4" w:rsidRPr="00BC2BC4">
        <w:rPr>
          <w:kern w:val="2"/>
          <w:sz w:val="20"/>
        </w:rPr>
        <w:t>include</w:t>
      </w:r>
      <w:r w:rsidR="00FC5459" w:rsidRPr="00BC2BC4">
        <w:rPr>
          <w:kern w:val="2"/>
          <w:sz w:val="20"/>
        </w:rPr>
        <w:t>:</w:t>
      </w:r>
    </w:p>
    <w:p w14:paraId="62747520" w14:textId="5073BD22" w:rsidR="0038414D" w:rsidRPr="00BC2BC4" w:rsidRDefault="00C70C18" w:rsidP="00A75BC0">
      <w:pPr>
        <w:pStyle w:val="BlockQuote"/>
        <w:numPr>
          <w:ilvl w:val="0"/>
          <w:numId w:val="29"/>
        </w:numPr>
        <w:spacing w:before="60"/>
        <w:jc w:val="left"/>
        <w:rPr>
          <w:kern w:val="2"/>
          <w:sz w:val="20"/>
        </w:rPr>
      </w:pPr>
      <w:r w:rsidRPr="00BC2BC4">
        <w:rPr>
          <w:kern w:val="2"/>
          <w:sz w:val="20"/>
        </w:rPr>
        <w:t xml:space="preserve">single source contracts for goods or services; </w:t>
      </w:r>
    </w:p>
    <w:p w14:paraId="28BE38C0" w14:textId="4B3F1791" w:rsidR="0038414D" w:rsidRPr="00BC2BC4" w:rsidRDefault="006A6818" w:rsidP="00A75BC0">
      <w:pPr>
        <w:pStyle w:val="BlockQuote"/>
        <w:numPr>
          <w:ilvl w:val="0"/>
          <w:numId w:val="29"/>
        </w:numPr>
        <w:spacing w:before="60"/>
        <w:jc w:val="left"/>
        <w:rPr>
          <w:kern w:val="2"/>
          <w:sz w:val="20"/>
        </w:rPr>
      </w:pPr>
      <w:r w:rsidRPr="00BC2BC4">
        <w:rPr>
          <w:kern w:val="2"/>
          <w:sz w:val="20"/>
        </w:rPr>
        <w:t xml:space="preserve">cases of </w:t>
      </w:r>
      <w:r w:rsidR="00C70C18" w:rsidRPr="00BC2BC4">
        <w:rPr>
          <w:kern w:val="2"/>
          <w:sz w:val="20"/>
        </w:rPr>
        <w:t xml:space="preserve">unusual and compelling urgency; </w:t>
      </w:r>
    </w:p>
    <w:p w14:paraId="2493D559" w14:textId="618B052B" w:rsidR="0038414D" w:rsidRPr="00BC2BC4" w:rsidRDefault="006A6818" w:rsidP="00A75BC0">
      <w:pPr>
        <w:pStyle w:val="BlockQuote"/>
        <w:numPr>
          <w:ilvl w:val="0"/>
          <w:numId w:val="29"/>
        </w:numPr>
        <w:spacing w:before="60"/>
        <w:jc w:val="left"/>
        <w:rPr>
          <w:kern w:val="2"/>
          <w:sz w:val="20"/>
        </w:rPr>
      </w:pPr>
      <w:r w:rsidRPr="00BC2BC4">
        <w:rPr>
          <w:kern w:val="2"/>
          <w:sz w:val="20"/>
        </w:rPr>
        <w:t xml:space="preserve">the </w:t>
      </w:r>
      <w:r w:rsidR="00C70C18" w:rsidRPr="00BC2BC4">
        <w:rPr>
          <w:kern w:val="2"/>
          <w:sz w:val="20"/>
        </w:rPr>
        <w:t>maint</w:t>
      </w:r>
      <w:r w:rsidRPr="00BC2BC4">
        <w:rPr>
          <w:kern w:val="2"/>
          <w:sz w:val="20"/>
        </w:rPr>
        <w:t>enance of</w:t>
      </w:r>
      <w:r w:rsidR="00C70C18" w:rsidRPr="00BC2BC4">
        <w:rPr>
          <w:kern w:val="2"/>
          <w:sz w:val="20"/>
        </w:rPr>
        <w:t xml:space="preserve"> expertise or certain capacity; </w:t>
      </w:r>
    </w:p>
    <w:p w14:paraId="566C88A1" w14:textId="3E75B4F1" w:rsidR="0038414D" w:rsidRPr="00BC2BC4" w:rsidRDefault="00C70C18" w:rsidP="00A75BC0">
      <w:pPr>
        <w:pStyle w:val="BlockQuote"/>
        <w:numPr>
          <w:ilvl w:val="0"/>
          <w:numId w:val="29"/>
        </w:numPr>
        <w:spacing w:before="60"/>
        <w:jc w:val="left"/>
        <w:rPr>
          <w:kern w:val="2"/>
          <w:sz w:val="20"/>
        </w:rPr>
      </w:pPr>
      <w:r w:rsidRPr="00BC2BC4">
        <w:rPr>
          <w:kern w:val="2"/>
          <w:sz w:val="20"/>
        </w:rPr>
        <w:t xml:space="preserve">requirements under international agreements; </w:t>
      </w:r>
    </w:p>
    <w:p w14:paraId="1CC26567" w14:textId="4D7383AB" w:rsidR="0038414D" w:rsidRPr="00BC2BC4" w:rsidRDefault="006A6818" w:rsidP="00A75BC0">
      <w:pPr>
        <w:pStyle w:val="BlockQuote"/>
        <w:numPr>
          <w:ilvl w:val="0"/>
          <w:numId w:val="29"/>
        </w:numPr>
        <w:spacing w:before="60"/>
        <w:jc w:val="left"/>
        <w:rPr>
          <w:kern w:val="2"/>
          <w:sz w:val="20"/>
        </w:rPr>
      </w:pPr>
      <w:r w:rsidRPr="00BC2BC4">
        <w:rPr>
          <w:kern w:val="2"/>
          <w:sz w:val="20"/>
        </w:rPr>
        <w:t xml:space="preserve">situations with </w:t>
      </w:r>
      <w:r w:rsidR="00C70C18" w:rsidRPr="00BC2BC4">
        <w:rPr>
          <w:kern w:val="2"/>
          <w:sz w:val="20"/>
        </w:rPr>
        <w:t xml:space="preserve">express authorization by statute; </w:t>
      </w:r>
    </w:p>
    <w:p w14:paraId="68B8DCE2" w14:textId="1B573B69" w:rsidR="0038414D" w:rsidRPr="00BC2BC4" w:rsidRDefault="00C70C18" w:rsidP="00A75BC0">
      <w:pPr>
        <w:pStyle w:val="BlockQuote"/>
        <w:numPr>
          <w:ilvl w:val="0"/>
          <w:numId w:val="29"/>
        </w:numPr>
        <w:spacing w:before="60"/>
        <w:jc w:val="left"/>
        <w:rPr>
          <w:kern w:val="2"/>
          <w:sz w:val="20"/>
        </w:rPr>
      </w:pPr>
      <w:r w:rsidRPr="00BC2BC4">
        <w:rPr>
          <w:kern w:val="2"/>
          <w:sz w:val="20"/>
        </w:rPr>
        <w:t xml:space="preserve">national security interests; and </w:t>
      </w:r>
    </w:p>
    <w:p w14:paraId="16FEBA59" w14:textId="77777777" w:rsidR="0038414D" w:rsidRPr="00BC2BC4" w:rsidRDefault="006A6818" w:rsidP="00A75BC0">
      <w:pPr>
        <w:pStyle w:val="BlockQuote"/>
        <w:numPr>
          <w:ilvl w:val="0"/>
          <w:numId w:val="29"/>
        </w:numPr>
        <w:spacing w:before="60"/>
        <w:jc w:val="left"/>
        <w:rPr>
          <w:kern w:val="2"/>
          <w:sz w:val="20"/>
        </w:rPr>
      </w:pPr>
      <w:r w:rsidRPr="00BC2BC4">
        <w:rPr>
          <w:kern w:val="2"/>
          <w:sz w:val="20"/>
        </w:rPr>
        <w:t xml:space="preserve">cases in which </w:t>
      </w:r>
      <w:r w:rsidR="00C70C18" w:rsidRPr="00BC2BC4">
        <w:rPr>
          <w:kern w:val="2"/>
          <w:sz w:val="20"/>
        </w:rPr>
        <w:t xml:space="preserve">the head of the agency determines </w:t>
      </w:r>
      <w:r w:rsidRPr="00BC2BC4">
        <w:rPr>
          <w:kern w:val="2"/>
          <w:sz w:val="20"/>
        </w:rPr>
        <w:t xml:space="preserve">the exception is </w:t>
      </w:r>
      <w:r w:rsidR="00C70C18" w:rsidRPr="00BC2BC4">
        <w:rPr>
          <w:kern w:val="2"/>
          <w:sz w:val="20"/>
        </w:rPr>
        <w:t>necessary and notifies Congress in writing.</w:t>
      </w:r>
      <w:r w:rsidR="00884D9D" w:rsidRPr="00BC2BC4">
        <w:rPr>
          <w:rStyle w:val="FootnoteReference"/>
          <w:rFonts w:cs="Times New Roman"/>
          <w:kern w:val="2"/>
          <w:sz w:val="20"/>
        </w:rPr>
        <w:footnoteReference w:id="197"/>
      </w:r>
      <w:r w:rsidR="00C70C18" w:rsidRPr="00BC2BC4">
        <w:rPr>
          <w:kern w:val="2"/>
          <w:sz w:val="20"/>
        </w:rPr>
        <w:t xml:space="preserve"> </w:t>
      </w:r>
    </w:p>
    <w:p w14:paraId="453F9F8E" w14:textId="77777777" w:rsidR="006D1C5E" w:rsidRPr="00BC2BC4" w:rsidRDefault="00884D9D" w:rsidP="00C74A64">
      <w:pPr>
        <w:rPr>
          <w:kern w:val="2"/>
          <w:sz w:val="20"/>
        </w:rPr>
      </w:pPr>
      <w:r w:rsidRPr="00BC2BC4">
        <w:rPr>
          <w:kern w:val="2"/>
          <w:sz w:val="20"/>
        </w:rPr>
        <w:t>“Full and open competition” is fulfilled when “all responsible sources are permitted to submit sealed bids or competitive proposals.”</w:t>
      </w:r>
      <w:r w:rsidRPr="00BC2BC4">
        <w:rPr>
          <w:rStyle w:val="FootnoteReference"/>
          <w:rFonts w:cs="Times New Roman"/>
          <w:kern w:val="2"/>
          <w:sz w:val="20"/>
        </w:rPr>
        <w:footnoteReference w:id="198"/>
      </w:r>
      <w:r w:rsidRPr="00BC2BC4">
        <w:rPr>
          <w:kern w:val="2"/>
          <w:sz w:val="20"/>
        </w:rPr>
        <w:t xml:space="preserve"> </w:t>
      </w:r>
    </w:p>
    <w:p w14:paraId="34D8DF68" w14:textId="2E87F180" w:rsidR="006D1C5E" w:rsidRPr="00BC2BC4" w:rsidRDefault="006D1C5E" w:rsidP="00C74A64">
      <w:pPr>
        <w:pStyle w:val="Heading3"/>
        <w:rPr>
          <w:i/>
          <w:kern w:val="2"/>
          <w:sz w:val="22"/>
        </w:rPr>
      </w:pPr>
      <w:bookmarkStart w:id="58" w:name="_Toc424485038"/>
      <w:r w:rsidRPr="00BC2BC4">
        <w:rPr>
          <w:i/>
          <w:kern w:val="2"/>
          <w:sz w:val="22"/>
        </w:rPr>
        <w:t>Federal Acquisition Regulation</w:t>
      </w:r>
      <w:bookmarkEnd w:id="58"/>
    </w:p>
    <w:p w14:paraId="7EFF63EE" w14:textId="5DD4BD3D" w:rsidR="006D1C5E" w:rsidRPr="00BC2BC4" w:rsidRDefault="00884D9D" w:rsidP="003F14E9">
      <w:pPr>
        <w:rPr>
          <w:rFonts w:cs="Times New Roman"/>
          <w:kern w:val="2"/>
          <w:sz w:val="20"/>
        </w:rPr>
      </w:pPr>
      <w:r w:rsidRPr="00BC2BC4">
        <w:rPr>
          <w:rFonts w:cs="Times New Roman"/>
          <w:kern w:val="2"/>
          <w:sz w:val="20"/>
        </w:rPr>
        <w:t xml:space="preserve">The </w:t>
      </w:r>
      <w:r w:rsidRPr="00BC2BC4">
        <w:rPr>
          <w:rFonts w:cs="Times New Roman"/>
          <w:i/>
          <w:kern w:val="2"/>
          <w:sz w:val="20"/>
        </w:rPr>
        <w:t>Federal Acquisition Regulation</w:t>
      </w:r>
      <w:r w:rsidRPr="00BC2BC4">
        <w:rPr>
          <w:rFonts w:cs="Times New Roman"/>
          <w:kern w:val="2"/>
          <w:sz w:val="20"/>
        </w:rPr>
        <w:t xml:space="preserve"> (</w:t>
      </w:r>
      <w:r w:rsidRPr="00BC2BC4">
        <w:rPr>
          <w:rFonts w:cs="Times New Roman"/>
          <w:i/>
          <w:kern w:val="2"/>
          <w:sz w:val="20"/>
        </w:rPr>
        <w:t>FAR</w:t>
      </w:r>
      <w:r w:rsidRPr="00BC2BC4">
        <w:rPr>
          <w:rFonts w:cs="Times New Roman"/>
          <w:kern w:val="2"/>
          <w:sz w:val="20"/>
        </w:rPr>
        <w:t xml:space="preserve">) </w:t>
      </w:r>
      <w:r w:rsidR="00FC5459" w:rsidRPr="00BC2BC4">
        <w:rPr>
          <w:rFonts w:cs="Times New Roman"/>
          <w:kern w:val="2"/>
          <w:sz w:val="20"/>
        </w:rPr>
        <w:t>took effect</w:t>
      </w:r>
      <w:r w:rsidR="00581391" w:rsidRPr="00BC2BC4">
        <w:rPr>
          <w:rFonts w:cs="Times New Roman"/>
          <w:kern w:val="2"/>
          <w:sz w:val="20"/>
        </w:rPr>
        <w:t xml:space="preserve"> on April 1, 1984. Its purpose is to codify and publish uniform policies and procedures for all acquisitions by executive agencies.</w:t>
      </w:r>
      <w:r w:rsidR="00581391" w:rsidRPr="00BC2BC4">
        <w:rPr>
          <w:rStyle w:val="FootnoteReference"/>
          <w:rFonts w:cs="Times New Roman"/>
          <w:kern w:val="2"/>
          <w:sz w:val="20"/>
        </w:rPr>
        <w:footnoteReference w:id="199"/>
      </w:r>
      <w:r w:rsidR="00581391" w:rsidRPr="00BC2BC4">
        <w:rPr>
          <w:rFonts w:cs="Times New Roman"/>
          <w:kern w:val="2"/>
          <w:sz w:val="20"/>
        </w:rPr>
        <w:t xml:space="preserve"> The system is designed to efficiently deliver the product or service necessary to </w:t>
      </w:r>
      <w:r w:rsidR="00820E48" w:rsidRPr="00BC2BC4">
        <w:rPr>
          <w:rFonts w:cs="Times New Roman"/>
          <w:kern w:val="2"/>
          <w:sz w:val="20"/>
        </w:rPr>
        <w:t xml:space="preserve">not only </w:t>
      </w:r>
      <w:r w:rsidR="00581391" w:rsidRPr="00BC2BC4">
        <w:rPr>
          <w:rFonts w:cs="Times New Roman"/>
          <w:kern w:val="2"/>
          <w:sz w:val="20"/>
        </w:rPr>
        <w:t>fulfill public policy objectives</w:t>
      </w:r>
      <w:r w:rsidR="00820E48" w:rsidRPr="00BC2BC4">
        <w:rPr>
          <w:rFonts w:cs="Times New Roman"/>
          <w:kern w:val="2"/>
          <w:sz w:val="20"/>
        </w:rPr>
        <w:t xml:space="preserve">, but provide </w:t>
      </w:r>
      <w:r w:rsidR="00581391" w:rsidRPr="00BC2BC4">
        <w:rPr>
          <w:rFonts w:cs="Times New Roman"/>
          <w:kern w:val="2"/>
          <w:sz w:val="20"/>
        </w:rPr>
        <w:t xml:space="preserve">the best value while promoting the public’s trust. </w:t>
      </w:r>
      <w:r w:rsidR="00581391" w:rsidRPr="00BC2BC4">
        <w:rPr>
          <w:rFonts w:cs="Times New Roman"/>
          <w:i/>
          <w:kern w:val="2"/>
          <w:sz w:val="20"/>
        </w:rPr>
        <w:t>FAR</w:t>
      </w:r>
      <w:r w:rsidR="00581391" w:rsidRPr="00BC2BC4">
        <w:rPr>
          <w:rFonts w:cs="Times New Roman"/>
          <w:kern w:val="2"/>
          <w:sz w:val="20"/>
        </w:rPr>
        <w:t xml:space="preserve"> sets out detailed requirements </w:t>
      </w:r>
      <w:r w:rsidR="0094029B" w:rsidRPr="00BC2BC4">
        <w:rPr>
          <w:rFonts w:cs="Times New Roman"/>
          <w:kern w:val="2"/>
          <w:sz w:val="20"/>
        </w:rPr>
        <w:t xml:space="preserve">with which </w:t>
      </w:r>
      <w:r w:rsidR="00581391" w:rsidRPr="00BC2BC4">
        <w:rPr>
          <w:rFonts w:cs="Times New Roman"/>
          <w:kern w:val="2"/>
          <w:sz w:val="20"/>
        </w:rPr>
        <w:t xml:space="preserve">executive agencies must comply when procuring contractors for a specific project. </w:t>
      </w:r>
    </w:p>
    <w:p w14:paraId="26A9A8C9" w14:textId="421233D0" w:rsidR="00681A3A" w:rsidRPr="00BC2BC4" w:rsidRDefault="001A23ED" w:rsidP="003F14E9">
      <w:pPr>
        <w:rPr>
          <w:rFonts w:cs="Times New Roman"/>
          <w:kern w:val="2"/>
          <w:sz w:val="20"/>
        </w:rPr>
      </w:pPr>
      <w:r w:rsidRPr="00BC2BC4">
        <w:rPr>
          <w:rFonts w:cs="Times New Roman"/>
          <w:kern w:val="2"/>
          <w:sz w:val="20"/>
        </w:rPr>
        <w:t xml:space="preserve">According to </w:t>
      </w:r>
      <w:r w:rsidR="00E123E0" w:rsidRPr="00BC2BC4">
        <w:rPr>
          <w:rFonts w:cs="Times New Roman"/>
          <w:kern w:val="2"/>
          <w:sz w:val="20"/>
        </w:rPr>
        <w:t>section</w:t>
      </w:r>
      <w:r w:rsidR="00681A3A" w:rsidRPr="00BC2BC4">
        <w:rPr>
          <w:rFonts w:cs="Times New Roman"/>
          <w:kern w:val="2"/>
          <w:sz w:val="20"/>
        </w:rPr>
        <w:t xml:space="preserve"> 9.103</w:t>
      </w:r>
      <w:r w:rsidR="004C4EBB" w:rsidRPr="00BC2BC4">
        <w:rPr>
          <w:rFonts w:cs="Times New Roman"/>
          <w:kern w:val="2"/>
          <w:sz w:val="20"/>
        </w:rPr>
        <w:t xml:space="preserve"> of </w:t>
      </w:r>
      <w:r w:rsidR="004C4EBB" w:rsidRPr="00BC2BC4">
        <w:rPr>
          <w:rFonts w:cs="Times New Roman"/>
          <w:i/>
          <w:kern w:val="2"/>
          <w:sz w:val="20"/>
        </w:rPr>
        <w:t>FAR</w:t>
      </w:r>
      <w:r w:rsidR="00681A3A" w:rsidRPr="00BC2BC4">
        <w:rPr>
          <w:rFonts w:cs="Times New Roman"/>
          <w:kern w:val="2"/>
          <w:sz w:val="20"/>
        </w:rPr>
        <w:t xml:space="preserve">, the US </w:t>
      </w:r>
      <w:r w:rsidR="002F0197" w:rsidRPr="00BC2BC4">
        <w:rPr>
          <w:rFonts w:cs="Times New Roman"/>
          <w:kern w:val="2"/>
          <w:sz w:val="20"/>
        </w:rPr>
        <w:t>g</w:t>
      </w:r>
      <w:r w:rsidR="00681A3A" w:rsidRPr="00BC2BC4">
        <w:rPr>
          <w:rFonts w:cs="Times New Roman"/>
          <w:kern w:val="2"/>
          <w:sz w:val="20"/>
        </w:rPr>
        <w:t>overnment will only contract with “responsible contractors</w:t>
      </w:r>
      <w:r w:rsidR="002639BA" w:rsidRPr="00BC2BC4">
        <w:rPr>
          <w:rFonts w:cs="Times New Roman"/>
          <w:kern w:val="2"/>
          <w:sz w:val="20"/>
        </w:rPr>
        <w:t>.</w:t>
      </w:r>
      <w:r w:rsidR="00681A3A" w:rsidRPr="00BC2BC4">
        <w:rPr>
          <w:rFonts w:cs="Times New Roman"/>
          <w:kern w:val="2"/>
          <w:sz w:val="20"/>
        </w:rPr>
        <w:t>”</w:t>
      </w:r>
      <w:r w:rsidR="001F1D8A" w:rsidRPr="00BC2BC4">
        <w:rPr>
          <w:rFonts w:cs="Times New Roman"/>
          <w:kern w:val="2"/>
          <w:sz w:val="20"/>
        </w:rPr>
        <w:t xml:space="preserve"> </w:t>
      </w:r>
      <w:r w:rsidR="00F862B5" w:rsidRPr="00BC2BC4">
        <w:rPr>
          <w:rFonts w:cs="Times New Roman"/>
          <w:kern w:val="2"/>
          <w:sz w:val="20"/>
        </w:rPr>
        <w:t xml:space="preserve">To </w:t>
      </w:r>
      <w:r w:rsidR="00681A3A" w:rsidRPr="00BC2BC4">
        <w:rPr>
          <w:rFonts w:cs="Times New Roman"/>
          <w:kern w:val="2"/>
          <w:sz w:val="20"/>
        </w:rPr>
        <w:t>be deemed “responsible</w:t>
      </w:r>
      <w:r w:rsidR="009E16C4" w:rsidRPr="00BC2BC4">
        <w:rPr>
          <w:rFonts w:cs="Times New Roman"/>
          <w:kern w:val="2"/>
          <w:sz w:val="20"/>
        </w:rPr>
        <w:t>,</w:t>
      </w:r>
      <w:r w:rsidR="00681A3A" w:rsidRPr="00BC2BC4">
        <w:rPr>
          <w:rFonts w:cs="Times New Roman"/>
          <w:kern w:val="2"/>
          <w:sz w:val="20"/>
        </w:rPr>
        <w:t>” contractors must meet a set o</w:t>
      </w:r>
      <w:r w:rsidRPr="00BC2BC4">
        <w:rPr>
          <w:rFonts w:cs="Times New Roman"/>
          <w:kern w:val="2"/>
          <w:sz w:val="20"/>
        </w:rPr>
        <w:t xml:space="preserve">f standards contained in </w:t>
      </w:r>
      <w:r w:rsidR="00E123E0" w:rsidRPr="00BC2BC4">
        <w:rPr>
          <w:rFonts w:cs="Times New Roman"/>
          <w:kern w:val="2"/>
          <w:sz w:val="20"/>
        </w:rPr>
        <w:t>section</w:t>
      </w:r>
      <w:r w:rsidR="00BC21B2" w:rsidRPr="00BC2BC4">
        <w:rPr>
          <w:rFonts w:cs="Times New Roman"/>
          <w:kern w:val="2"/>
          <w:sz w:val="20"/>
        </w:rPr>
        <w:t xml:space="preserve"> 9</w:t>
      </w:r>
      <w:r w:rsidR="00681A3A" w:rsidRPr="00BC2BC4">
        <w:rPr>
          <w:rFonts w:cs="Times New Roman"/>
          <w:kern w:val="2"/>
          <w:sz w:val="20"/>
        </w:rPr>
        <w:t>.104, including a “satisfactory record of integrity and business ethics</w:t>
      </w:r>
      <w:r w:rsidR="00F50CFE" w:rsidRPr="00BC2BC4">
        <w:rPr>
          <w:rFonts w:cs="Times New Roman"/>
          <w:kern w:val="2"/>
          <w:sz w:val="20"/>
        </w:rPr>
        <w:t>.</w:t>
      </w:r>
      <w:r w:rsidR="00681A3A" w:rsidRPr="00BC2BC4">
        <w:rPr>
          <w:rFonts w:cs="Times New Roman"/>
          <w:kern w:val="2"/>
          <w:sz w:val="20"/>
        </w:rPr>
        <w:t>”</w:t>
      </w:r>
      <w:r w:rsidRPr="00BC2BC4">
        <w:rPr>
          <w:rStyle w:val="FootnoteReference"/>
          <w:rFonts w:cs="Times New Roman"/>
          <w:kern w:val="2"/>
          <w:sz w:val="20"/>
        </w:rPr>
        <w:footnoteReference w:id="200"/>
      </w:r>
      <w:r w:rsidR="00314803" w:rsidRPr="00BC2BC4">
        <w:rPr>
          <w:rFonts w:cs="Times New Roman"/>
          <w:kern w:val="2"/>
          <w:sz w:val="20"/>
        </w:rPr>
        <w:t xml:space="preserve"> </w:t>
      </w:r>
      <w:r w:rsidR="001A5CB4" w:rsidRPr="00BC2BC4">
        <w:rPr>
          <w:rFonts w:cs="Times New Roman"/>
          <w:kern w:val="2"/>
          <w:sz w:val="20"/>
        </w:rPr>
        <w:t>C</w:t>
      </w:r>
      <w:r w:rsidRPr="00BC2BC4">
        <w:rPr>
          <w:rFonts w:cs="Times New Roman"/>
          <w:kern w:val="2"/>
          <w:sz w:val="20"/>
        </w:rPr>
        <w:t>ontractors that fail to meet the standard of</w:t>
      </w:r>
      <w:r w:rsidR="00314803" w:rsidRPr="00BC2BC4">
        <w:rPr>
          <w:rFonts w:cs="Times New Roman"/>
          <w:kern w:val="2"/>
          <w:sz w:val="20"/>
        </w:rPr>
        <w:t xml:space="preserve"> “presently responsible” can be debarred or suspended from public procurement. </w:t>
      </w:r>
      <w:r w:rsidR="009D7F65" w:rsidRPr="00BC2BC4">
        <w:rPr>
          <w:rFonts w:cs="Times New Roman"/>
          <w:kern w:val="2"/>
          <w:sz w:val="20"/>
        </w:rPr>
        <w:t>Causes for debarment include conviction</w:t>
      </w:r>
      <w:r w:rsidRPr="00BC2BC4">
        <w:rPr>
          <w:rFonts w:cs="Times New Roman"/>
          <w:kern w:val="2"/>
          <w:sz w:val="20"/>
        </w:rPr>
        <w:t>s</w:t>
      </w:r>
      <w:r w:rsidR="009D7F65" w:rsidRPr="00BC2BC4">
        <w:rPr>
          <w:rFonts w:cs="Times New Roman"/>
          <w:kern w:val="2"/>
          <w:sz w:val="20"/>
        </w:rPr>
        <w:t xml:space="preserve"> for fraud, bribery, embezzlement or “any other offense indicating a lack of business integrity or business honesty that seriously and directly affects the present responsibility of a Government contractor or subcontractor.”</w:t>
      </w:r>
      <w:r w:rsidRPr="00BC2BC4">
        <w:rPr>
          <w:rStyle w:val="FootnoteReference"/>
          <w:rFonts w:cs="Times New Roman"/>
          <w:kern w:val="2"/>
          <w:sz w:val="20"/>
        </w:rPr>
        <w:footnoteReference w:id="201"/>
      </w:r>
      <w:r w:rsidR="009D7F65" w:rsidRPr="00BC2BC4">
        <w:rPr>
          <w:rFonts w:cs="Times New Roman"/>
          <w:kern w:val="2"/>
          <w:sz w:val="20"/>
        </w:rPr>
        <w:t xml:space="preserve"> </w:t>
      </w:r>
      <w:r w:rsidR="004C4EBB" w:rsidRPr="00BC2BC4">
        <w:rPr>
          <w:rFonts w:cs="Times New Roman"/>
          <w:i/>
          <w:kern w:val="2"/>
          <w:sz w:val="20"/>
        </w:rPr>
        <w:t xml:space="preserve">FAR </w:t>
      </w:r>
      <w:r w:rsidR="004C4EBB" w:rsidRPr="00BC2BC4">
        <w:rPr>
          <w:rFonts w:cs="Times New Roman"/>
          <w:kern w:val="2"/>
          <w:sz w:val="20"/>
        </w:rPr>
        <w:t xml:space="preserve">also includes a catch-all provision that facilitates debarment for “any other cause of so serious or compelling nature that it affects the </w:t>
      </w:r>
      <w:r w:rsidR="00C018D7" w:rsidRPr="00BC2BC4">
        <w:rPr>
          <w:rFonts w:cs="Times New Roman"/>
          <w:kern w:val="2"/>
          <w:sz w:val="20"/>
        </w:rPr>
        <w:t>p</w:t>
      </w:r>
      <w:r w:rsidR="004C4EBB" w:rsidRPr="00BC2BC4">
        <w:rPr>
          <w:rFonts w:cs="Times New Roman"/>
          <w:kern w:val="2"/>
          <w:sz w:val="20"/>
        </w:rPr>
        <w:t>resent responsibility of a Government contractor</w:t>
      </w:r>
      <w:r w:rsidR="00E10110" w:rsidRPr="00BC2BC4">
        <w:rPr>
          <w:rFonts w:cs="Times New Roman"/>
          <w:kern w:val="2"/>
          <w:sz w:val="20"/>
        </w:rPr>
        <w:t>.</w:t>
      </w:r>
      <w:r w:rsidR="004C4EBB" w:rsidRPr="00BC2BC4">
        <w:rPr>
          <w:rFonts w:cs="Times New Roman"/>
          <w:kern w:val="2"/>
          <w:sz w:val="20"/>
        </w:rPr>
        <w:t>”</w:t>
      </w:r>
      <w:r w:rsidRPr="00BC2BC4">
        <w:rPr>
          <w:rStyle w:val="FootnoteReference"/>
          <w:rFonts w:cs="Times New Roman"/>
          <w:kern w:val="2"/>
          <w:sz w:val="20"/>
        </w:rPr>
        <w:footnoteReference w:id="202"/>
      </w:r>
      <w:r w:rsidR="004C4EBB" w:rsidRPr="00BC2BC4">
        <w:rPr>
          <w:rFonts w:cs="Times New Roman"/>
          <w:kern w:val="2"/>
          <w:sz w:val="20"/>
        </w:rPr>
        <w:t xml:space="preserve"> As pointed out by Barletta, causes for debarment might arise from conduct connected to contracts, or non-contractual conduct, such as environmental misdemeanours.</w:t>
      </w:r>
      <w:r w:rsidRPr="00BC2BC4">
        <w:rPr>
          <w:rStyle w:val="FootnoteReference"/>
          <w:rFonts w:cs="Times New Roman"/>
          <w:kern w:val="2"/>
          <w:sz w:val="20"/>
        </w:rPr>
        <w:footnoteReference w:id="203"/>
      </w:r>
      <w:r w:rsidR="004C4EBB" w:rsidRPr="00BC2BC4">
        <w:rPr>
          <w:rFonts w:cs="Times New Roman"/>
          <w:kern w:val="2"/>
          <w:sz w:val="20"/>
        </w:rPr>
        <w:t xml:space="preserve"> </w:t>
      </w:r>
      <w:r w:rsidR="00C018D7" w:rsidRPr="00BC2BC4">
        <w:rPr>
          <w:rFonts w:cs="Times New Roman"/>
          <w:kern w:val="2"/>
          <w:sz w:val="20"/>
        </w:rPr>
        <w:t>O</w:t>
      </w:r>
      <w:r w:rsidR="00314803" w:rsidRPr="00BC2BC4">
        <w:rPr>
          <w:rFonts w:cs="Times New Roman"/>
          <w:kern w:val="2"/>
          <w:sz w:val="20"/>
        </w:rPr>
        <w:t xml:space="preserve">fficials </w:t>
      </w:r>
      <w:r w:rsidR="00C018D7" w:rsidRPr="00BC2BC4">
        <w:rPr>
          <w:rFonts w:cs="Times New Roman"/>
          <w:kern w:val="2"/>
          <w:sz w:val="20"/>
        </w:rPr>
        <w:t xml:space="preserve">in charge of debarment </w:t>
      </w:r>
      <w:r w:rsidR="00314803" w:rsidRPr="00BC2BC4">
        <w:rPr>
          <w:rFonts w:cs="Times New Roman"/>
          <w:kern w:val="2"/>
          <w:sz w:val="20"/>
        </w:rPr>
        <w:t>have wide discretion and may consider mitigating factors or remedial measures implemented by the contractor.</w:t>
      </w:r>
      <w:r w:rsidRPr="00BC2BC4">
        <w:rPr>
          <w:rStyle w:val="FootnoteReference"/>
          <w:rFonts w:cs="Times New Roman"/>
          <w:kern w:val="2"/>
          <w:sz w:val="20"/>
        </w:rPr>
        <w:footnoteReference w:id="204"/>
      </w:r>
      <w:r w:rsidR="00C6045D" w:rsidRPr="00BC2BC4">
        <w:rPr>
          <w:rFonts w:cs="Times New Roman"/>
          <w:kern w:val="2"/>
          <w:sz w:val="20"/>
        </w:rPr>
        <w:t xml:space="preserve"> Debarment is government-wide and company-wide and generally lasts no more than three years.</w:t>
      </w:r>
      <w:r w:rsidR="00F862B5" w:rsidRPr="00BC2BC4">
        <w:rPr>
          <w:rStyle w:val="FootnoteReference"/>
          <w:rFonts w:cs="Times New Roman"/>
          <w:kern w:val="2"/>
          <w:sz w:val="20"/>
        </w:rPr>
        <w:footnoteReference w:id="205"/>
      </w:r>
    </w:p>
    <w:p w14:paraId="55BCDC4B" w14:textId="51B8A4A8" w:rsidR="00C6045D" w:rsidRPr="00BC2BC4" w:rsidRDefault="00C6045D" w:rsidP="003F14E9">
      <w:pPr>
        <w:rPr>
          <w:rFonts w:cs="Times New Roman"/>
          <w:kern w:val="2"/>
          <w:sz w:val="20"/>
        </w:rPr>
      </w:pPr>
      <w:r w:rsidRPr="00BC2BC4">
        <w:rPr>
          <w:rFonts w:cs="Times New Roman"/>
          <w:kern w:val="2"/>
          <w:sz w:val="20"/>
        </w:rPr>
        <w:t>Suspensions are imposed pending investigations or legal proceedings when necessary to protect the Government’s interest. The imposition of a suspension must be based on “adequate evidence</w:t>
      </w:r>
      <w:r w:rsidR="00447361" w:rsidRPr="00BC2BC4">
        <w:rPr>
          <w:rFonts w:cs="Times New Roman"/>
          <w:kern w:val="2"/>
          <w:sz w:val="20"/>
        </w:rPr>
        <w:t>.</w:t>
      </w:r>
      <w:r w:rsidRPr="00BC2BC4">
        <w:rPr>
          <w:rFonts w:cs="Times New Roman"/>
          <w:kern w:val="2"/>
          <w:sz w:val="20"/>
        </w:rPr>
        <w:t>”</w:t>
      </w:r>
      <w:r w:rsidR="00F862B5" w:rsidRPr="00BC2BC4">
        <w:rPr>
          <w:rStyle w:val="FootnoteReference"/>
          <w:rFonts w:cs="Times New Roman"/>
          <w:kern w:val="2"/>
          <w:sz w:val="20"/>
        </w:rPr>
        <w:footnoteReference w:id="206"/>
      </w:r>
      <w:r w:rsidRPr="00BC2BC4">
        <w:rPr>
          <w:rFonts w:cs="Times New Roman"/>
          <w:kern w:val="2"/>
          <w:sz w:val="20"/>
        </w:rPr>
        <w:t xml:space="preserve"> Causes for suspension are similar to causes for debarment, except only </w:t>
      </w:r>
      <w:r w:rsidR="009B7FE6" w:rsidRPr="00BC2BC4">
        <w:rPr>
          <w:rFonts w:cs="Times New Roman"/>
          <w:kern w:val="2"/>
          <w:sz w:val="20"/>
        </w:rPr>
        <w:t xml:space="preserve">adequate </w:t>
      </w:r>
      <w:r w:rsidRPr="00BC2BC4">
        <w:rPr>
          <w:rFonts w:cs="Times New Roman"/>
          <w:kern w:val="2"/>
          <w:sz w:val="20"/>
        </w:rPr>
        <w:t>evidence of th</w:t>
      </w:r>
      <w:r w:rsidR="009B7FE6" w:rsidRPr="00BC2BC4">
        <w:rPr>
          <w:rFonts w:cs="Times New Roman"/>
          <w:kern w:val="2"/>
          <w:sz w:val="20"/>
        </w:rPr>
        <w:t xml:space="preserve">e commission of an offence, rather than </w:t>
      </w:r>
      <w:r w:rsidRPr="00BC2BC4">
        <w:rPr>
          <w:rFonts w:cs="Times New Roman"/>
          <w:kern w:val="2"/>
          <w:sz w:val="20"/>
        </w:rPr>
        <w:t xml:space="preserve">a conviction, is required.    </w:t>
      </w:r>
    </w:p>
    <w:p w14:paraId="495C08B4" w14:textId="01C80F49" w:rsidR="004C4EBB" w:rsidRPr="00BC2BC4" w:rsidRDefault="00E123E0" w:rsidP="003F14E9">
      <w:pPr>
        <w:rPr>
          <w:rFonts w:cs="Times New Roman"/>
          <w:kern w:val="2"/>
          <w:sz w:val="20"/>
        </w:rPr>
      </w:pPr>
      <w:r w:rsidRPr="00BC2BC4">
        <w:rPr>
          <w:rFonts w:cs="Times New Roman"/>
          <w:kern w:val="2"/>
          <w:sz w:val="20"/>
        </w:rPr>
        <w:t>Part</w:t>
      </w:r>
      <w:r w:rsidR="007A5759" w:rsidRPr="00BC2BC4">
        <w:rPr>
          <w:rFonts w:cs="Times New Roman"/>
          <w:kern w:val="2"/>
          <w:sz w:val="20"/>
        </w:rPr>
        <w:t xml:space="preserve"> 3.10 of </w:t>
      </w:r>
      <w:r w:rsidR="007A5759" w:rsidRPr="00BC2BC4">
        <w:rPr>
          <w:rFonts w:cs="Times New Roman"/>
          <w:i/>
          <w:kern w:val="2"/>
          <w:sz w:val="20"/>
        </w:rPr>
        <w:t xml:space="preserve">FAR </w:t>
      </w:r>
      <w:r w:rsidR="00BC21B2" w:rsidRPr="00BC2BC4">
        <w:rPr>
          <w:rFonts w:cs="Times New Roman"/>
          <w:kern w:val="2"/>
          <w:sz w:val="20"/>
        </w:rPr>
        <w:t>introduces</w:t>
      </w:r>
      <w:r w:rsidR="007A5759" w:rsidRPr="00BC2BC4">
        <w:rPr>
          <w:rFonts w:cs="Times New Roman"/>
          <w:kern w:val="2"/>
          <w:sz w:val="20"/>
        </w:rPr>
        <w:t xml:space="preserve"> the Contractor Code </w:t>
      </w:r>
      <w:r w:rsidR="00F862B5" w:rsidRPr="00BC2BC4">
        <w:rPr>
          <w:rFonts w:cs="Times New Roman"/>
          <w:kern w:val="2"/>
          <w:sz w:val="20"/>
        </w:rPr>
        <w:t>of Business Ethics and Conduct. Section</w:t>
      </w:r>
      <w:r w:rsidR="007A5759" w:rsidRPr="00BC2BC4">
        <w:rPr>
          <w:rFonts w:cs="Times New Roman"/>
          <w:kern w:val="2"/>
          <w:sz w:val="20"/>
        </w:rPr>
        <w:t xml:space="preserve"> 3.1002 states that contractors must operate “with the highest degree of honesty and integrity” and have a written code of business ethics and conduct, along with a compliance training program and internal controls system that will promote compliance with that code of conduct. </w:t>
      </w:r>
      <w:r w:rsidR="00BC21B2" w:rsidRPr="00BC2BC4">
        <w:rPr>
          <w:rFonts w:cs="Times New Roman"/>
          <w:kern w:val="2"/>
          <w:sz w:val="20"/>
        </w:rPr>
        <w:t xml:space="preserve">Other requirements for various types of contracts are laid out in </w:t>
      </w:r>
      <w:r w:rsidR="00407FDA" w:rsidRPr="00BC2BC4">
        <w:rPr>
          <w:rFonts w:cs="Times New Roman"/>
          <w:kern w:val="2"/>
          <w:sz w:val="20"/>
        </w:rPr>
        <w:t>section</w:t>
      </w:r>
      <w:r w:rsidR="00F862B5" w:rsidRPr="00BC2BC4">
        <w:rPr>
          <w:rFonts w:cs="Times New Roman"/>
          <w:kern w:val="2"/>
          <w:sz w:val="16"/>
          <w:szCs w:val="18"/>
        </w:rPr>
        <w:t xml:space="preserve"> </w:t>
      </w:r>
      <w:r w:rsidR="00BC21B2" w:rsidRPr="00BC2BC4">
        <w:rPr>
          <w:rFonts w:cs="Times New Roman"/>
          <w:kern w:val="2"/>
          <w:sz w:val="20"/>
        </w:rPr>
        <w:t>52.203-13.</w:t>
      </w:r>
    </w:p>
    <w:p w14:paraId="6AC6CAF6" w14:textId="603EF7C9" w:rsidR="006D1C5E" w:rsidRPr="00BC2BC4" w:rsidRDefault="00311798" w:rsidP="003F14E9">
      <w:pPr>
        <w:rPr>
          <w:rFonts w:cs="Times New Roman"/>
          <w:kern w:val="2"/>
          <w:sz w:val="20"/>
        </w:rPr>
      </w:pPr>
      <w:r w:rsidRPr="00BC2BC4">
        <w:rPr>
          <w:rFonts w:cs="Times New Roman"/>
          <w:kern w:val="2"/>
          <w:sz w:val="20"/>
        </w:rPr>
        <w:t xml:space="preserve">To promote </w:t>
      </w:r>
      <w:r w:rsidR="003F09D8" w:rsidRPr="00BC2BC4">
        <w:rPr>
          <w:rFonts w:cs="Times New Roman"/>
          <w:kern w:val="2"/>
          <w:sz w:val="20"/>
        </w:rPr>
        <w:t>accountability</w:t>
      </w:r>
      <w:r w:rsidRPr="00BC2BC4">
        <w:rPr>
          <w:rFonts w:cs="Times New Roman"/>
          <w:kern w:val="2"/>
          <w:sz w:val="20"/>
        </w:rPr>
        <w:t xml:space="preserve"> in decision making, the GAO operates a bid protest system. </w:t>
      </w:r>
      <w:r w:rsidR="003F09D8" w:rsidRPr="00BC2BC4">
        <w:rPr>
          <w:rFonts w:cs="Times New Roman"/>
          <w:kern w:val="2"/>
          <w:sz w:val="20"/>
        </w:rPr>
        <w:t xml:space="preserve">The bid protest system allows </w:t>
      </w:r>
      <w:r w:rsidRPr="00BC2BC4">
        <w:rPr>
          <w:rFonts w:cs="Times New Roman"/>
          <w:kern w:val="2"/>
          <w:sz w:val="20"/>
        </w:rPr>
        <w:t>parties</w:t>
      </w:r>
      <w:r w:rsidR="00447361" w:rsidRPr="00BC2BC4">
        <w:rPr>
          <w:rFonts w:cs="Times New Roman"/>
          <w:kern w:val="2"/>
          <w:sz w:val="20"/>
        </w:rPr>
        <w:t>,</w:t>
      </w:r>
      <w:r w:rsidRPr="00BC2BC4">
        <w:rPr>
          <w:rFonts w:cs="Times New Roman"/>
          <w:kern w:val="2"/>
          <w:sz w:val="20"/>
        </w:rPr>
        <w:t xml:space="preserve"> who believe </w:t>
      </w:r>
      <w:r w:rsidR="00447361" w:rsidRPr="00BC2BC4">
        <w:rPr>
          <w:rFonts w:cs="Times New Roman"/>
          <w:kern w:val="2"/>
          <w:sz w:val="20"/>
        </w:rPr>
        <w:t xml:space="preserve">a </w:t>
      </w:r>
      <w:r w:rsidRPr="00BC2BC4">
        <w:rPr>
          <w:rFonts w:cs="Times New Roman"/>
          <w:kern w:val="2"/>
          <w:sz w:val="20"/>
        </w:rPr>
        <w:t>federal agency offering the tender has failed to comply with procurement laws an</w:t>
      </w:r>
      <w:r w:rsidR="003F09D8" w:rsidRPr="00BC2BC4">
        <w:rPr>
          <w:rFonts w:cs="Times New Roman"/>
          <w:kern w:val="2"/>
          <w:sz w:val="20"/>
        </w:rPr>
        <w:t>d regulations on a specific bid</w:t>
      </w:r>
      <w:r w:rsidR="00447361" w:rsidRPr="00BC2BC4">
        <w:rPr>
          <w:rFonts w:cs="Times New Roman"/>
          <w:kern w:val="2"/>
          <w:sz w:val="20"/>
        </w:rPr>
        <w:t xml:space="preserve">, </w:t>
      </w:r>
      <w:r w:rsidR="003F09D8" w:rsidRPr="00BC2BC4">
        <w:rPr>
          <w:rFonts w:cs="Times New Roman"/>
          <w:kern w:val="2"/>
          <w:sz w:val="20"/>
        </w:rPr>
        <w:t xml:space="preserve">to </w:t>
      </w:r>
      <w:r w:rsidRPr="00BC2BC4">
        <w:rPr>
          <w:rFonts w:cs="Times New Roman"/>
          <w:kern w:val="2"/>
          <w:sz w:val="20"/>
        </w:rPr>
        <w:t xml:space="preserve">file a protest with the GAO in order to have their complaint resolved </w:t>
      </w:r>
      <w:r w:rsidR="003F09D8" w:rsidRPr="00BC2BC4">
        <w:rPr>
          <w:rFonts w:cs="Times New Roman"/>
          <w:kern w:val="2"/>
          <w:sz w:val="20"/>
        </w:rPr>
        <w:t>expeditiously</w:t>
      </w:r>
      <w:r w:rsidRPr="00BC2BC4">
        <w:rPr>
          <w:rFonts w:cs="Times New Roman"/>
          <w:kern w:val="2"/>
          <w:sz w:val="20"/>
        </w:rPr>
        <w:t>.</w:t>
      </w:r>
      <w:r w:rsidRPr="00BC2BC4">
        <w:rPr>
          <w:rStyle w:val="FootnoteReference"/>
          <w:rFonts w:cs="Times New Roman"/>
          <w:kern w:val="2"/>
          <w:sz w:val="20"/>
        </w:rPr>
        <w:footnoteReference w:id="207"/>
      </w:r>
    </w:p>
    <w:p w14:paraId="67653CF2" w14:textId="1565FEF9" w:rsidR="00817799" w:rsidRPr="00BC2BC4" w:rsidRDefault="00817799" w:rsidP="00C74A64">
      <w:pPr>
        <w:pStyle w:val="Heading2"/>
        <w:rPr>
          <w:kern w:val="2"/>
          <w:sz w:val="24"/>
        </w:rPr>
      </w:pPr>
      <w:bookmarkStart w:id="59" w:name="_Toc424485039"/>
      <w:r w:rsidRPr="00BC2BC4">
        <w:rPr>
          <w:kern w:val="2"/>
          <w:sz w:val="24"/>
        </w:rPr>
        <w:t>UK</w:t>
      </w:r>
      <w:r w:rsidR="003F09D8" w:rsidRPr="00BC2BC4">
        <w:rPr>
          <w:kern w:val="2"/>
          <w:sz w:val="24"/>
        </w:rPr>
        <w:t xml:space="preserve"> </w:t>
      </w:r>
      <w:r w:rsidR="00C92426" w:rsidRPr="00BC2BC4">
        <w:rPr>
          <w:kern w:val="2"/>
          <w:sz w:val="24"/>
        </w:rPr>
        <w:t>Law and Procedures</w:t>
      </w:r>
      <w:bookmarkEnd w:id="59"/>
    </w:p>
    <w:p w14:paraId="31DFFA3D" w14:textId="456CA2A7" w:rsidR="009E6600" w:rsidRPr="00BC2BC4" w:rsidRDefault="004870D6" w:rsidP="003F14E9">
      <w:pPr>
        <w:rPr>
          <w:rFonts w:cs="Times New Roman"/>
          <w:kern w:val="2"/>
          <w:sz w:val="20"/>
        </w:rPr>
      </w:pPr>
      <w:r w:rsidRPr="00BC2BC4">
        <w:rPr>
          <w:rFonts w:cs="Times New Roman"/>
          <w:kern w:val="2"/>
          <w:sz w:val="20"/>
        </w:rPr>
        <w:t xml:space="preserve">On June 23, 2016, the UK held a referendum to decide whether </w:t>
      </w:r>
      <w:r w:rsidR="00447361" w:rsidRPr="00BC2BC4">
        <w:rPr>
          <w:rFonts w:cs="Times New Roman"/>
          <w:kern w:val="2"/>
          <w:sz w:val="20"/>
        </w:rPr>
        <w:t>it</w:t>
      </w:r>
      <w:r w:rsidRPr="00BC2BC4">
        <w:rPr>
          <w:rFonts w:cs="Times New Roman"/>
          <w:kern w:val="2"/>
          <w:sz w:val="20"/>
        </w:rPr>
        <w:t xml:space="preserve"> should leave the European Union.</w:t>
      </w:r>
      <w:r w:rsidRPr="00BC2BC4">
        <w:rPr>
          <w:rStyle w:val="FootnoteReference"/>
          <w:rFonts w:cs="Times New Roman"/>
          <w:kern w:val="2"/>
          <w:sz w:val="20"/>
        </w:rPr>
        <w:footnoteReference w:id="208"/>
      </w:r>
      <w:r w:rsidRPr="00BC2BC4">
        <w:rPr>
          <w:rFonts w:cs="Times New Roman"/>
          <w:kern w:val="2"/>
          <w:sz w:val="20"/>
        </w:rPr>
        <w:t xml:space="preserve"> </w:t>
      </w:r>
      <w:r w:rsidR="006C5DB5" w:rsidRPr="00BC2BC4">
        <w:rPr>
          <w:rFonts w:cs="Times New Roman"/>
          <w:kern w:val="2"/>
          <w:sz w:val="20"/>
        </w:rPr>
        <w:t>A majority of voters elected to leave the EU</w:t>
      </w:r>
      <w:r w:rsidR="001B0D2D" w:rsidRPr="00BC2BC4">
        <w:rPr>
          <w:rFonts w:cs="Times New Roman"/>
          <w:kern w:val="2"/>
          <w:sz w:val="20"/>
        </w:rPr>
        <w:t>, an event commonly referred to as “Brexit</w:t>
      </w:r>
      <w:r w:rsidR="006C775C" w:rsidRPr="00BC2BC4">
        <w:rPr>
          <w:rFonts w:cs="Times New Roman"/>
          <w:kern w:val="2"/>
          <w:sz w:val="20"/>
        </w:rPr>
        <w:t>.</w:t>
      </w:r>
      <w:r w:rsidR="001B0D2D" w:rsidRPr="00BC2BC4">
        <w:rPr>
          <w:rFonts w:cs="Times New Roman"/>
          <w:kern w:val="2"/>
          <w:sz w:val="20"/>
        </w:rPr>
        <w:t>”</w:t>
      </w:r>
      <w:r w:rsidR="006C5DB5" w:rsidRPr="00BC2BC4">
        <w:rPr>
          <w:rFonts w:cs="Times New Roman"/>
          <w:kern w:val="2"/>
          <w:sz w:val="20"/>
        </w:rPr>
        <w:t xml:space="preserve"> The full implications of this decision have yet to be determined. For the UK to formally leave the EU, it must invoke Article 50 of the Lisbon Treaty, </w:t>
      </w:r>
      <w:r w:rsidR="001D5EB1" w:rsidRPr="00BC2BC4">
        <w:rPr>
          <w:rFonts w:cs="Times New Roman"/>
          <w:kern w:val="2"/>
          <w:sz w:val="20"/>
        </w:rPr>
        <w:t xml:space="preserve">which provides that “[a]ny Member State may decide to withdraw from the Union in accordance with its own constitutional requirements” and gives the parties </w:t>
      </w:r>
      <w:r w:rsidR="006C5DB5" w:rsidRPr="00BC2BC4">
        <w:rPr>
          <w:rFonts w:cs="Times New Roman"/>
          <w:kern w:val="2"/>
          <w:sz w:val="20"/>
        </w:rPr>
        <w:t xml:space="preserve">two years to </w:t>
      </w:r>
      <w:r w:rsidR="001D5EB1" w:rsidRPr="00BC2BC4">
        <w:rPr>
          <w:rFonts w:cs="Times New Roman"/>
          <w:kern w:val="2"/>
          <w:sz w:val="20"/>
        </w:rPr>
        <w:t xml:space="preserve">agree </w:t>
      </w:r>
      <w:r w:rsidR="00812158" w:rsidRPr="00BC2BC4">
        <w:rPr>
          <w:rFonts w:cs="Times New Roman"/>
          <w:kern w:val="2"/>
          <w:sz w:val="20"/>
        </w:rPr>
        <w:t>on</w:t>
      </w:r>
      <w:r w:rsidR="001D5EB1" w:rsidRPr="00BC2BC4">
        <w:rPr>
          <w:rFonts w:cs="Times New Roman"/>
          <w:kern w:val="2"/>
          <w:sz w:val="20"/>
        </w:rPr>
        <w:t xml:space="preserve"> the terms of the exit.</w:t>
      </w:r>
      <w:r w:rsidR="001D5EB1" w:rsidRPr="00BC2BC4">
        <w:rPr>
          <w:rStyle w:val="FootnoteReference"/>
          <w:rFonts w:cs="Times New Roman"/>
          <w:kern w:val="2"/>
          <w:sz w:val="20"/>
        </w:rPr>
        <w:footnoteReference w:id="209"/>
      </w:r>
      <w:r w:rsidR="001D5EB1" w:rsidRPr="00BC2BC4">
        <w:rPr>
          <w:rFonts w:cs="Times New Roman"/>
          <w:kern w:val="2"/>
          <w:sz w:val="20"/>
        </w:rPr>
        <w:t xml:space="preserve"> </w:t>
      </w:r>
    </w:p>
    <w:p w14:paraId="788FC655" w14:textId="78813756" w:rsidR="003D03D8" w:rsidRPr="00BC2BC4" w:rsidRDefault="00C42E5B" w:rsidP="003F14E9">
      <w:pPr>
        <w:rPr>
          <w:rFonts w:cs="Times New Roman"/>
          <w:kern w:val="2"/>
          <w:sz w:val="20"/>
        </w:rPr>
      </w:pPr>
      <w:r w:rsidRPr="00BC2BC4">
        <w:rPr>
          <w:rFonts w:cs="Times New Roman"/>
          <w:kern w:val="2"/>
          <w:sz w:val="20"/>
        </w:rPr>
        <w:t xml:space="preserve">The government’s assumption </w:t>
      </w:r>
      <w:r w:rsidR="003D03D8" w:rsidRPr="00BC2BC4">
        <w:rPr>
          <w:rFonts w:cs="Times New Roman"/>
          <w:kern w:val="2"/>
          <w:sz w:val="20"/>
        </w:rPr>
        <w:t xml:space="preserve">that it could trigger the Article 50 process without Parliament’s approval </w:t>
      </w:r>
      <w:r w:rsidR="009E6600" w:rsidRPr="00BC2BC4">
        <w:rPr>
          <w:rFonts w:cs="Times New Roman"/>
          <w:kern w:val="2"/>
          <w:sz w:val="20"/>
        </w:rPr>
        <w:t>was</w:t>
      </w:r>
      <w:r w:rsidR="003D03D8" w:rsidRPr="00BC2BC4">
        <w:rPr>
          <w:rFonts w:cs="Times New Roman"/>
          <w:kern w:val="2"/>
          <w:sz w:val="20"/>
        </w:rPr>
        <w:t xml:space="preserve"> challenged successfully</w:t>
      </w:r>
      <w:r w:rsidR="009E6600" w:rsidRPr="00BC2BC4">
        <w:rPr>
          <w:rFonts w:cs="Times New Roman"/>
          <w:kern w:val="2"/>
          <w:sz w:val="20"/>
        </w:rPr>
        <w:t xml:space="preserve"> in the UK High Court of Justice.</w:t>
      </w:r>
      <w:r w:rsidR="009E6600" w:rsidRPr="00BC2BC4">
        <w:rPr>
          <w:rStyle w:val="FootnoteReference"/>
          <w:rFonts w:cs="Times New Roman"/>
          <w:kern w:val="2"/>
          <w:sz w:val="20"/>
        </w:rPr>
        <w:footnoteReference w:id="210"/>
      </w:r>
      <w:r w:rsidR="009E6600" w:rsidRPr="00BC2BC4">
        <w:rPr>
          <w:rFonts w:cs="Times New Roman"/>
          <w:kern w:val="2"/>
          <w:sz w:val="20"/>
        </w:rPr>
        <w:t xml:space="preserve"> The </w:t>
      </w:r>
      <w:r w:rsidR="009E6600" w:rsidRPr="00BC2BC4">
        <w:rPr>
          <w:rFonts w:cs="Times New Roman"/>
          <w:kern w:val="2"/>
          <w:sz w:val="20"/>
          <w:lang w:val="en-GB"/>
        </w:rPr>
        <w:t xml:space="preserve">High Court issued its ruling on November 11, 2016, concluding that the Secretary of State does not hold the power under the Crown’s prerogative to give notice of the UK’s intention to leave the EU. Rather, the High Court held, the matter must be put to a vote in both Houses of Parliament before Article 50 </w:t>
      </w:r>
      <w:r w:rsidR="001B0D2D" w:rsidRPr="00BC2BC4">
        <w:rPr>
          <w:rFonts w:cs="Times New Roman"/>
          <w:kern w:val="2"/>
          <w:sz w:val="20"/>
          <w:lang w:val="en-GB"/>
        </w:rPr>
        <w:t xml:space="preserve">of the Lisbon Treaty </w:t>
      </w:r>
      <w:r w:rsidR="009E6600" w:rsidRPr="00BC2BC4">
        <w:rPr>
          <w:rFonts w:cs="Times New Roman"/>
          <w:kern w:val="2"/>
          <w:sz w:val="20"/>
          <w:lang w:val="en-GB"/>
        </w:rPr>
        <w:t>can be triggered.</w:t>
      </w:r>
      <w:r w:rsidR="002D7B14" w:rsidRPr="00BC2BC4">
        <w:rPr>
          <w:rStyle w:val="FootnoteReference"/>
          <w:rFonts w:cs="Times New Roman"/>
          <w:kern w:val="2"/>
          <w:sz w:val="20"/>
        </w:rPr>
        <w:footnoteReference w:id="211"/>
      </w:r>
      <w:r w:rsidR="009E6600" w:rsidRPr="00BC2BC4">
        <w:rPr>
          <w:rFonts w:cs="Times New Roman"/>
          <w:kern w:val="2"/>
          <w:sz w:val="20"/>
        </w:rPr>
        <w:t xml:space="preserve"> T</w:t>
      </w:r>
      <w:r w:rsidR="00377515" w:rsidRPr="00BC2BC4">
        <w:rPr>
          <w:rFonts w:cs="Times New Roman"/>
          <w:kern w:val="2"/>
          <w:sz w:val="20"/>
        </w:rPr>
        <w:t>he High Court’s</w:t>
      </w:r>
      <w:r w:rsidR="003D03D8" w:rsidRPr="00BC2BC4">
        <w:rPr>
          <w:rFonts w:cs="Times New Roman"/>
          <w:kern w:val="2"/>
          <w:sz w:val="20"/>
        </w:rPr>
        <w:t xml:space="preserve"> decision </w:t>
      </w:r>
      <w:r w:rsidR="002D7B14" w:rsidRPr="00BC2BC4">
        <w:rPr>
          <w:rFonts w:cs="Times New Roman"/>
          <w:kern w:val="2"/>
          <w:sz w:val="20"/>
        </w:rPr>
        <w:t>was</w:t>
      </w:r>
      <w:r w:rsidR="003D03D8" w:rsidRPr="00BC2BC4">
        <w:rPr>
          <w:rFonts w:cs="Times New Roman"/>
          <w:kern w:val="2"/>
          <w:sz w:val="20"/>
        </w:rPr>
        <w:t xml:space="preserve"> </w:t>
      </w:r>
      <w:r w:rsidR="002D7B14" w:rsidRPr="00BC2BC4">
        <w:rPr>
          <w:rFonts w:cs="Times New Roman"/>
          <w:kern w:val="2"/>
          <w:sz w:val="20"/>
        </w:rPr>
        <w:t>affirmed by</w:t>
      </w:r>
      <w:r w:rsidR="003D03D8" w:rsidRPr="00BC2BC4">
        <w:rPr>
          <w:rFonts w:cs="Times New Roman"/>
          <w:kern w:val="2"/>
          <w:sz w:val="20"/>
        </w:rPr>
        <w:t xml:space="preserve"> the Supreme Cour</w:t>
      </w:r>
      <w:r w:rsidR="002D7B14" w:rsidRPr="00BC2BC4">
        <w:rPr>
          <w:rFonts w:cs="Times New Roman"/>
          <w:kern w:val="2"/>
          <w:sz w:val="20"/>
        </w:rPr>
        <w:t>t in</w:t>
      </w:r>
      <w:r w:rsidR="009E6600" w:rsidRPr="00BC2BC4">
        <w:rPr>
          <w:rFonts w:cs="Times New Roman"/>
          <w:kern w:val="2"/>
          <w:sz w:val="20"/>
        </w:rPr>
        <w:t xml:space="preserve"> January 2017</w:t>
      </w:r>
      <w:r w:rsidR="003D03D8" w:rsidRPr="00BC2BC4">
        <w:rPr>
          <w:rFonts w:cs="Times New Roman"/>
          <w:kern w:val="2"/>
          <w:sz w:val="20"/>
        </w:rPr>
        <w:t>.</w:t>
      </w:r>
      <w:r w:rsidR="002D7B14" w:rsidRPr="00BC2BC4">
        <w:rPr>
          <w:rStyle w:val="FootnoteReference"/>
          <w:rFonts w:cs="Times New Roman"/>
          <w:kern w:val="2"/>
          <w:sz w:val="20"/>
        </w:rPr>
        <w:footnoteReference w:id="212"/>
      </w:r>
      <w:r w:rsidR="000450B3" w:rsidRPr="00BC2BC4">
        <w:rPr>
          <w:rFonts w:cs="Times New Roman"/>
          <w:kern w:val="2"/>
          <w:sz w:val="20"/>
        </w:rPr>
        <w:t xml:space="preserve"> </w:t>
      </w:r>
      <w:r w:rsidR="00C75588" w:rsidRPr="00BC2BC4">
        <w:rPr>
          <w:rFonts w:cs="Times New Roman"/>
          <w:kern w:val="2"/>
          <w:sz w:val="20"/>
        </w:rPr>
        <w:t xml:space="preserve">In March of 2017, </w:t>
      </w:r>
      <w:r w:rsidR="00D62730" w:rsidRPr="00BC2BC4">
        <w:rPr>
          <w:rFonts w:cs="Times New Roman"/>
          <w:kern w:val="2"/>
          <w:sz w:val="20"/>
        </w:rPr>
        <w:t xml:space="preserve">however, </w:t>
      </w:r>
      <w:r w:rsidR="00C75588" w:rsidRPr="00BC2BC4">
        <w:rPr>
          <w:rFonts w:cs="Times New Roman"/>
          <w:kern w:val="2"/>
          <w:sz w:val="20"/>
        </w:rPr>
        <w:t>Pa</w:t>
      </w:r>
      <w:r w:rsidR="000254BB" w:rsidRPr="00BC2BC4">
        <w:rPr>
          <w:rFonts w:cs="Times New Roman"/>
          <w:kern w:val="2"/>
          <w:sz w:val="20"/>
        </w:rPr>
        <w:t>rliament passed a bill that allowed ministers to trigger Article 50.</w:t>
      </w:r>
      <w:r w:rsidR="000254BB" w:rsidRPr="00BC2BC4">
        <w:rPr>
          <w:rStyle w:val="FootnoteReference"/>
          <w:rFonts w:cs="Times New Roman"/>
          <w:kern w:val="2"/>
          <w:sz w:val="20"/>
        </w:rPr>
        <w:footnoteReference w:id="213"/>
      </w:r>
      <w:r w:rsidR="000254BB" w:rsidRPr="00BC2BC4">
        <w:rPr>
          <w:rFonts w:cs="Times New Roman"/>
          <w:kern w:val="2"/>
          <w:sz w:val="20"/>
        </w:rPr>
        <w:t xml:space="preserve"> </w:t>
      </w:r>
      <w:r w:rsidR="000450B3" w:rsidRPr="00BC2BC4">
        <w:rPr>
          <w:rFonts w:cs="Times New Roman"/>
          <w:kern w:val="2"/>
          <w:sz w:val="20"/>
        </w:rPr>
        <w:t xml:space="preserve">On March 29, 2017, UK Prime Minister Theresa May triggered </w:t>
      </w:r>
      <w:r w:rsidR="000254BB" w:rsidRPr="00BC2BC4">
        <w:rPr>
          <w:rFonts w:cs="Times New Roman"/>
          <w:kern w:val="2"/>
          <w:sz w:val="20"/>
        </w:rPr>
        <w:t>the exit process</w:t>
      </w:r>
      <w:r w:rsidR="000450B3" w:rsidRPr="00BC2BC4">
        <w:rPr>
          <w:rFonts w:cs="Times New Roman"/>
          <w:kern w:val="2"/>
          <w:sz w:val="20"/>
        </w:rPr>
        <w:t xml:space="preserve"> by sending a letter to EU Council President Donald Tusk. </w:t>
      </w:r>
      <w:r w:rsidR="00CD147E" w:rsidRPr="00BC2BC4">
        <w:rPr>
          <w:rFonts w:cs="Times New Roman"/>
          <w:kern w:val="2"/>
          <w:sz w:val="20"/>
        </w:rPr>
        <w:t>The two-year negotiation period will end on March 29, 2019 unless the remaining 27 EU member States agree to extend the deadline for talks.</w:t>
      </w:r>
      <w:r w:rsidR="00CD147E" w:rsidRPr="00BC2BC4">
        <w:rPr>
          <w:rStyle w:val="FootnoteReference"/>
          <w:rFonts w:cs="Times New Roman"/>
          <w:kern w:val="2"/>
          <w:sz w:val="20"/>
        </w:rPr>
        <w:footnoteReference w:id="214"/>
      </w:r>
    </w:p>
    <w:p w14:paraId="3EB8925B" w14:textId="114D7DC7" w:rsidR="00C23EDB" w:rsidRPr="00BC2BC4" w:rsidRDefault="00C23EDB" w:rsidP="003F14E9">
      <w:pPr>
        <w:rPr>
          <w:rFonts w:cs="Times New Roman"/>
          <w:kern w:val="2"/>
          <w:sz w:val="20"/>
        </w:rPr>
      </w:pPr>
      <w:r w:rsidRPr="00BC2BC4">
        <w:rPr>
          <w:rFonts w:cs="Times New Roman"/>
          <w:kern w:val="2"/>
          <w:sz w:val="20"/>
        </w:rPr>
        <w:t xml:space="preserve">It is difficult to predict what the impacts </w:t>
      </w:r>
      <w:r w:rsidR="003D03D8" w:rsidRPr="00BC2BC4">
        <w:rPr>
          <w:rFonts w:cs="Times New Roman"/>
          <w:kern w:val="2"/>
          <w:sz w:val="20"/>
        </w:rPr>
        <w:t xml:space="preserve">of Brexit </w:t>
      </w:r>
      <w:r w:rsidRPr="00BC2BC4">
        <w:rPr>
          <w:rFonts w:cs="Times New Roman"/>
          <w:kern w:val="2"/>
          <w:sz w:val="20"/>
        </w:rPr>
        <w:t>will be on the UK’s procurement laws</w:t>
      </w:r>
      <w:r w:rsidR="007B416A" w:rsidRPr="00BC2BC4">
        <w:rPr>
          <w:rFonts w:cs="Times New Roman"/>
          <w:kern w:val="2"/>
          <w:sz w:val="20"/>
        </w:rPr>
        <w:t>, especially since it</w:t>
      </w:r>
      <w:r w:rsidR="00D62730" w:rsidRPr="00BC2BC4">
        <w:rPr>
          <w:rFonts w:cs="Times New Roman"/>
          <w:kern w:val="2"/>
          <w:sz w:val="20"/>
        </w:rPr>
        <w:t xml:space="preserve"> is</w:t>
      </w:r>
      <w:r w:rsidR="007B416A" w:rsidRPr="00BC2BC4">
        <w:rPr>
          <w:rFonts w:cs="Times New Roman"/>
          <w:kern w:val="2"/>
          <w:sz w:val="20"/>
        </w:rPr>
        <w:t xml:space="preserve"> the first time in history that Article 50 </w:t>
      </w:r>
      <w:r w:rsidR="00D62730" w:rsidRPr="00BC2BC4">
        <w:rPr>
          <w:rFonts w:cs="Times New Roman"/>
          <w:kern w:val="2"/>
          <w:sz w:val="20"/>
        </w:rPr>
        <w:t>has been</w:t>
      </w:r>
      <w:r w:rsidR="007B416A" w:rsidRPr="00BC2BC4">
        <w:rPr>
          <w:rFonts w:cs="Times New Roman"/>
          <w:kern w:val="2"/>
          <w:sz w:val="20"/>
        </w:rPr>
        <w:t xml:space="preserve"> triggered.</w:t>
      </w:r>
      <w:r w:rsidR="006952B5" w:rsidRPr="00BC2BC4">
        <w:rPr>
          <w:rStyle w:val="FootnoteReference"/>
          <w:rFonts w:cs="Times New Roman"/>
          <w:kern w:val="2"/>
          <w:sz w:val="20"/>
        </w:rPr>
        <w:footnoteReference w:id="215"/>
      </w:r>
      <w:r w:rsidR="002957F8" w:rsidRPr="00BC2BC4">
        <w:rPr>
          <w:rFonts w:cs="Times New Roman"/>
          <w:kern w:val="2"/>
          <w:sz w:val="20"/>
        </w:rPr>
        <w:t xml:space="preserve"> </w:t>
      </w:r>
      <w:r w:rsidR="00CE0FBB" w:rsidRPr="00BC2BC4">
        <w:rPr>
          <w:rFonts w:cs="Times New Roman"/>
          <w:kern w:val="2"/>
          <w:sz w:val="20"/>
        </w:rPr>
        <w:t xml:space="preserve">The UK will have to decide how it will disentangle its own law from EU law. </w:t>
      </w:r>
      <w:r w:rsidR="002957F8" w:rsidRPr="00BC2BC4">
        <w:rPr>
          <w:rFonts w:cs="Times New Roman"/>
          <w:kern w:val="2"/>
          <w:sz w:val="20"/>
        </w:rPr>
        <w:t xml:space="preserve">However, until the UK formally ceases to be a member of the EU, EU law </w:t>
      </w:r>
      <w:r w:rsidR="00507BB6" w:rsidRPr="00BC2BC4">
        <w:rPr>
          <w:rFonts w:cs="Times New Roman"/>
          <w:kern w:val="2"/>
          <w:sz w:val="20"/>
        </w:rPr>
        <w:t>will continue to apply</w:t>
      </w:r>
      <w:r w:rsidR="002957F8" w:rsidRPr="00BC2BC4">
        <w:rPr>
          <w:rFonts w:cs="Times New Roman"/>
          <w:kern w:val="2"/>
          <w:sz w:val="20"/>
        </w:rPr>
        <w:t xml:space="preserve"> in the UK.</w:t>
      </w:r>
      <w:r w:rsidR="00507BB6" w:rsidRPr="00BC2BC4">
        <w:rPr>
          <w:rFonts w:cs="Times New Roman"/>
          <w:kern w:val="2"/>
          <w:sz w:val="20"/>
        </w:rPr>
        <w:t xml:space="preserve"> Moreover, the UK’s exit from the EU will not generally affect the operation of </w:t>
      </w:r>
      <w:r w:rsidR="00A16F64" w:rsidRPr="00BC2BC4">
        <w:rPr>
          <w:rFonts w:cs="Times New Roman"/>
          <w:kern w:val="2"/>
          <w:sz w:val="20"/>
        </w:rPr>
        <w:t>policies</w:t>
      </w:r>
      <w:r w:rsidR="00507BB6" w:rsidRPr="00BC2BC4">
        <w:rPr>
          <w:rFonts w:cs="Times New Roman"/>
          <w:kern w:val="2"/>
          <w:sz w:val="20"/>
        </w:rPr>
        <w:t xml:space="preserve"> that have been transposed into domestic law.</w:t>
      </w:r>
    </w:p>
    <w:p w14:paraId="49D3810E" w14:textId="15F054CC" w:rsidR="00C00C46" w:rsidRPr="00BC2BC4" w:rsidRDefault="00C00C46" w:rsidP="003F14E9">
      <w:pPr>
        <w:rPr>
          <w:rFonts w:cs="Times New Roman"/>
          <w:kern w:val="2"/>
          <w:sz w:val="20"/>
        </w:rPr>
      </w:pPr>
      <w:r w:rsidRPr="00BC2BC4">
        <w:rPr>
          <w:rFonts w:cs="Times New Roman"/>
          <w:kern w:val="2"/>
          <w:sz w:val="20"/>
        </w:rPr>
        <w:t>One law firm commenting on the potential impact of Brexit on the UK’s procurement laws ma</w:t>
      </w:r>
      <w:r w:rsidR="00C67A24" w:rsidRPr="00BC2BC4">
        <w:rPr>
          <w:rFonts w:cs="Times New Roman"/>
          <w:kern w:val="2"/>
          <w:sz w:val="20"/>
        </w:rPr>
        <w:t>de</w:t>
      </w:r>
      <w:r w:rsidRPr="00BC2BC4">
        <w:rPr>
          <w:rFonts w:cs="Times New Roman"/>
          <w:kern w:val="2"/>
          <w:sz w:val="20"/>
        </w:rPr>
        <w:t xml:space="preserve"> the following observations:</w:t>
      </w:r>
    </w:p>
    <w:p w14:paraId="520AC150" w14:textId="77777777" w:rsidR="00C00C46" w:rsidRPr="00BC2BC4" w:rsidRDefault="00C00C46" w:rsidP="00C74A64">
      <w:pPr>
        <w:pStyle w:val="BlockQuote"/>
        <w:rPr>
          <w:kern w:val="2"/>
          <w:sz w:val="20"/>
        </w:rPr>
      </w:pPr>
      <w:r w:rsidRPr="00BC2BC4">
        <w:rPr>
          <w:kern w:val="2"/>
          <w:sz w:val="20"/>
        </w:rPr>
        <w:t>Once it leaves the EU, the UK would no longer need to comply with the EU’s public procurement rules and could in theory select UK bidders to a greater extent. However, as a non-EU country, the UK may find it difficult to complain about public procurement rules being applied “unfairly” against UK companies tendering for EU work. Ultimately, irrespective of any trading relationship that is negotiated with the EU, it is likely that the UK would have rules similar to the existing public procurement regime.</w:t>
      </w:r>
      <w:r w:rsidRPr="00BC2BC4">
        <w:rPr>
          <w:rStyle w:val="FootnoteReference"/>
          <w:rFonts w:cs="Times New Roman"/>
          <w:kern w:val="2"/>
          <w:sz w:val="20"/>
          <w:szCs w:val="21"/>
        </w:rPr>
        <w:footnoteReference w:id="216"/>
      </w:r>
    </w:p>
    <w:p w14:paraId="01A701FE" w14:textId="3FF1DF64" w:rsidR="00FB1880" w:rsidRPr="00BC2BC4" w:rsidRDefault="00FB1880" w:rsidP="003F14E9">
      <w:pPr>
        <w:rPr>
          <w:rFonts w:cs="Times New Roman"/>
          <w:kern w:val="2"/>
          <w:sz w:val="20"/>
        </w:rPr>
      </w:pPr>
      <w:r w:rsidRPr="00BC2BC4">
        <w:rPr>
          <w:rFonts w:cs="Times New Roman"/>
          <w:kern w:val="2"/>
          <w:sz w:val="20"/>
        </w:rPr>
        <w:t>Another law firm explain</w:t>
      </w:r>
      <w:r w:rsidR="004025FC" w:rsidRPr="00BC2BC4">
        <w:rPr>
          <w:rFonts w:cs="Times New Roman"/>
          <w:kern w:val="2"/>
          <w:sz w:val="20"/>
        </w:rPr>
        <w:t>ed</w:t>
      </w:r>
      <w:r w:rsidRPr="00BC2BC4">
        <w:rPr>
          <w:rFonts w:cs="Times New Roman"/>
          <w:kern w:val="2"/>
          <w:sz w:val="20"/>
        </w:rPr>
        <w:t xml:space="preserve"> the potential implications in the following terms:</w:t>
      </w:r>
    </w:p>
    <w:p w14:paraId="7F041E46" w14:textId="77777777" w:rsidR="00FB1880" w:rsidRPr="00BC2BC4" w:rsidRDefault="00FB1880" w:rsidP="008F12B6">
      <w:pPr>
        <w:pStyle w:val="BlockQuote"/>
        <w:spacing w:after="120"/>
        <w:rPr>
          <w:kern w:val="2"/>
          <w:sz w:val="20"/>
        </w:rPr>
      </w:pPr>
      <w:r w:rsidRPr="00BC2BC4">
        <w:rPr>
          <w:kern w:val="2"/>
          <w:sz w:val="20"/>
        </w:rPr>
        <w:t>Depending on the exit model and the future trading relationship agreed between the UK and the EU, many EU imposed regulations may at first blush appear to “fall away”.</w:t>
      </w:r>
    </w:p>
    <w:p w14:paraId="5C0A5BB0" w14:textId="77777777" w:rsidR="00FB1880" w:rsidRPr="00BC2BC4" w:rsidRDefault="00FB1880" w:rsidP="008F12B6">
      <w:pPr>
        <w:pStyle w:val="BlockQuote"/>
        <w:spacing w:after="120"/>
        <w:rPr>
          <w:kern w:val="2"/>
          <w:sz w:val="20"/>
        </w:rPr>
      </w:pPr>
      <w:r w:rsidRPr="00BC2BC4">
        <w:rPr>
          <w:kern w:val="2"/>
          <w:sz w:val="20"/>
        </w:rPr>
        <w:t>However, this overlooks the fact that many EU Regulations have either already been transposed into UK law, or stem from or are reflected in other public international law obligations (including WTO agreements and the UN conventions) which have been adopted and ratified by the UK.</w:t>
      </w:r>
    </w:p>
    <w:p w14:paraId="0F39CC11" w14:textId="1D23E80A" w:rsidR="00642509" w:rsidRPr="00BC2BC4" w:rsidRDefault="00FB1880" w:rsidP="008F12B6">
      <w:pPr>
        <w:pStyle w:val="BlockQuote"/>
        <w:spacing w:after="120"/>
        <w:rPr>
          <w:kern w:val="2"/>
          <w:sz w:val="20"/>
        </w:rPr>
      </w:pPr>
      <w:r w:rsidRPr="00BC2BC4">
        <w:rPr>
          <w:kern w:val="2"/>
          <w:sz w:val="20"/>
        </w:rPr>
        <w:t>These international obligations will continue in force even after the UK exits unless the UK takes further steps to repeal/secede from these international agreements.</w:t>
      </w:r>
      <w:r w:rsidR="004E7ADD" w:rsidRPr="00BC2BC4">
        <w:rPr>
          <w:rStyle w:val="FootnoteReference"/>
          <w:rFonts w:cs="Times New Roman"/>
          <w:kern w:val="2"/>
          <w:sz w:val="20"/>
          <w:szCs w:val="21"/>
        </w:rPr>
        <w:footnoteReference w:id="217"/>
      </w:r>
    </w:p>
    <w:p w14:paraId="72FE3F30" w14:textId="3B73EFD5" w:rsidR="00642509" w:rsidRPr="00BC2BC4" w:rsidRDefault="00642509" w:rsidP="008F12B6">
      <w:pPr>
        <w:rPr>
          <w:kern w:val="2"/>
          <w:sz w:val="20"/>
        </w:rPr>
      </w:pPr>
      <w:r w:rsidRPr="00BC2BC4">
        <w:rPr>
          <w:kern w:val="2"/>
          <w:sz w:val="20"/>
        </w:rPr>
        <w:t>UK procurement lawyers Smith and Benjamin add</w:t>
      </w:r>
      <w:r w:rsidR="00D22916" w:rsidRPr="00BC2BC4">
        <w:rPr>
          <w:kern w:val="2"/>
          <w:sz w:val="20"/>
        </w:rPr>
        <w:t>ed</w:t>
      </w:r>
      <w:r w:rsidRPr="00BC2BC4">
        <w:rPr>
          <w:kern w:val="2"/>
          <w:sz w:val="20"/>
        </w:rPr>
        <w:t xml:space="preserve"> the following:</w:t>
      </w:r>
    </w:p>
    <w:p w14:paraId="71145B9D" w14:textId="77777777" w:rsidR="00642509" w:rsidRPr="00BC2BC4" w:rsidRDefault="00642509" w:rsidP="00C74A64">
      <w:pPr>
        <w:pStyle w:val="BlockQuote"/>
        <w:rPr>
          <w:kern w:val="2"/>
          <w:sz w:val="20"/>
        </w:rPr>
      </w:pPr>
      <w:r w:rsidRPr="00BC2BC4">
        <w:rPr>
          <w:kern w:val="2"/>
          <w:sz w:val="20"/>
          <w:lang w:bidi="en-US"/>
        </w:rPr>
        <w:t>Whilst the EU Treaty and EU Procurement Directives would no longer apply in the UK [after the UK formally withdraws from the EU], an ‘out’ decision would have no impact on the validity of the UK legislation put in place to transpose those directives (i.e. the Public Contracts Regulations 2015 and the … Utilities Contracts Regulations 2016 and Concession Contracts Regulations 2016). Instead, there is likely to be a drawn-out process of repeal and reform in sectors in which the UK has traditionally been dissatisfied with the EU position. Wholesale reform of the public procurement regime is unlikely to be top of the government’s list.</w:t>
      </w:r>
      <w:r w:rsidRPr="00BC2BC4">
        <w:rPr>
          <w:rStyle w:val="FootnoteReference"/>
          <w:rFonts w:cs="Times New Roman"/>
          <w:kern w:val="2"/>
          <w:sz w:val="20"/>
          <w:szCs w:val="21"/>
          <w:lang w:bidi="en-US"/>
        </w:rPr>
        <w:footnoteReference w:id="218"/>
      </w:r>
    </w:p>
    <w:p w14:paraId="37565895" w14:textId="69C48688" w:rsidR="00642509" w:rsidRPr="00BC2BC4" w:rsidRDefault="00642509" w:rsidP="00C74A64">
      <w:pPr>
        <w:rPr>
          <w:kern w:val="2"/>
          <w:sz w:val="20"/>
        </w:rPr>
      </w:pPr>
      <w:r w:rsidRPr="00BC2BC4">
        <w:rPr>
          <w:kern w:val="2"/>
          <w:sz w:val="20"/>
        </w:rPr>
        <w:t xml:space="preserve">Others observed that the UK is unlikely to dismantle its domestic legislation implementing the </w:t>
      </w:r>
      <w:r w:rsidRPr="00BC2BC4">
        <w:rPr>
          <w:i/>
          <w:kern w:val="2"/>
          <w:sz w:val="20"/>
        </w:rPr>
        <w:t>EU Directive</w:t>
      </w:r>
      <w:r w:rsidRPr="00BC2BC4">
        <w:rPr>
          <w:kern w:val="2"/>
          <w:sz w:val="20"/>
        </w:rPr>
        <w:t xml:space="preserve">, discussed below, since the UK was influential in the drafting of the </w:t>
      </w:r>
      <w:r w:rsidRPr="00BC2BC4">
        <w:rPr>
          <w:i/>
          <w:kern w:val="2"/>
          <w:sz w:val="20"/>
        </w:rPr>
        <w:t>Directive</w:t>
      </w:r>
      <w:r w:rsidRPr="00BC2BC4">
        <w:rPr>
          <w:kern w:val="2"/>
          <w:sz w:val="20"/>
        </w:rPr>
        <w:t>.</w:t>
      </w:r>
      <w:r w:rsidRPr="00BC2BC4">
        <w:rPr>
          <w:rStyle w:val="FootnoteReference"/>
          <w:rFonts w:cs="Times New Roman"/>
          <w:kern w:val="2"/>
          <w:sz w:val="20"/>
        </w:rPr>
        <w:footnoteReference w:id="219"/>
      </w:r>
    </w:p>
    <w:p w14:paraId="1DFF149E" w14:textId="2BD1CAC3" w:rsidR="008A4066" w:rsidRPr="00BC2BC4" w:rsidRDefault="00FB1880" w:rsidP="00C74A64">
      <w:pPr>
        <w:rPr>
          <w:kern w:val="2"/>
          <w:sz w:val="20"/>
        </w:rPr>
      </w:pPr>
      <w:r w:rsidRPr="00BC2BC4">
        <w:rPr>
          <w:kern w:val="2"/>
          <w:sz w:val="20"/>
        </w:rPr>
        <w:t>Against this backdrop</w:t>
      </w:r>
      <w:r w:rsidR="004070D7" w:rsidRPr="00BC2BC4">
        <w:rPr>
          <w:kern w:val="2"/>
          <w:sz w:val="20"/>
        </w:rPr>
        <w:t xml:space="preserve"> </w:t>
      </w:r>
      <w:r w:rsidRPr="00BC2BC4">
        <w:rPr>
          <w:kern w:val="2"/>
          <w:sz w:val="20"/>
        </w:rPr>
        <w:t>t</w:t>
      </w:r>
      <w:r w:rsidR="00D65A87" w:rsidRPr="00BC2BC4">
        <w:rPr>
          <w:kern w:val="2"/>
          <w:sz w:val="20"/>
        </w:rPr>
        <w:t xml:space="preserve">he UK has </w:t>
      </w:r>
      <w:r w:rsidR="004070D7" w:rsidRPr="00BC2BC4">
        <w:rPr>
          <w:kern w:val="2"/>
          <w:sz w:val="20"/>
        </w:rPr>
        <w:t xml:space="preserve">at present </w:t>
      </w:r>
      <w:r w:rsidR="00D65A87" w:rsidRPr="00BC2BC4">
        <w:rPr>
          <w:kern w:val="2"/>
          <w:sz w:val="20"/>
        </w:rPr>
        <w:t xml:space="preserve">two similar sets of regulations </w:t>
      </w:r>
      <w:r w:rsidR="00AB48C4" w:rsidRPr="00BC2BC4">
        <w:rPr>
          <w:kern w:val="2"/>
          <w:sz w:val="20"/>
        </w:rPr>
        <w:t xml:space="preserve">that </w:t>
      </w:r>
      <w:r w:rsidR="00D65A87" w:rsidRPr="00BC2BC4">
        <w:rPr>
          <w:kern w:val="2"/>
          <w:sz w:val="20"/>
        </w:rPr>
        <w:t>govern public procurement</w:t>
      </w:r>
      <w:r w:rsidR="00B01B34" w:rsidRPr="00BC2BC4">
        <w:rPr>
          <w:kern w:val="2"/>
          <w:sz w:val="20"/>
        </w:rPr>
        <w:t>: one for England, Wales, and Northern Ireland</w:t>
      </w:r>
      <w:r w:rsidR="004855F8" w:rsidRPr="00BC2BC4">
        <w:rPr>
          <w:kern w:val="2"/>
          <w:sz w:val="20"/>
        </w:rPr>
        <w:t>,</w:t>
      </w:r>
      <w:r w:rsidR="00B01B34" w:rsidRPr="00BC2BC4">
        <w:rPr>
          <w:kern w:val="2"/>
          <w:sz w:val="20"/>
        </w:rPr>
        <w:t xml:space="preserve"> and the other for Scotland.</w:t>
      </w:r>
      <w:r w:rsidR="00D65A87" w:rsidRPr="00BC2BC4">
        <w:rPr>
          <w:kern w:val="2"/>
          <w:sz w:val="20"/>
        </w:rPr>
        <w:t xml:space="preserve"> </w:t>
      </w:r>
      <w:r w:rsidR="00D132FA" w:rsidRPr="00BC2BC4">
        <w:rPr>
          <w:kern w:val="2"/>
          <w:sz w:val="20"/>
        </w:rPr>
        <w:t xml:space="preserve">These regulations were </w:t>
      </w:r>
      <w:r w:rsidR="005043CE" w:rsidRPr="00BC2BC4">
        <w:rPr>
          <w:kern w:val="2"/>
          <w:sz w:val="20"/>
        </w:rPr>
        <w:t xml:space="preserve">enacted </w:t>
      </w:r>
      <w:r w:rsidR="00D132FA" w:rsidRPr="00BC2BC4">
        <w:rPr>
          <w:kern w:val="2"/>
          <w:sz w:val="20"/>
        </w:rPr>
        <w:t xml:space="preserve">to ensure the UK’s compliance with </w:t>
      </w:r>
      <w:r w:rsidR="003F695F" w:rsidRPr="00BC2BC4">
        <w:rPr>
          <w:kern w:val="2"/>
          <w:sz w:val="20"/>
        </w:rPr>
        <w:t>EU requirements</w:t>
      </w:r>
      <w:r w:rsidR="00B01B34" w:rsidRPr="00BC2BC4">
        <w:rPr>
          <w:kern w:val="2"/>
          <w:sz w:val="20"/>
        </w:rPr>
        <w:t>, discussed in the next section</w:t>
      </w:r>
      <w:r w:rsidR="003F695F" w:rsidRPr="00BC2BC4">
        <w:rPr>
          <w:kern w:val="2"/>
          <w:sz w:val="20"/>
        </w:rPr>
        <w:t>.</w:t>
      </w:r>
      <w:r w:rsidR="003F695F" w:rsidRPr="00BC2BC4">
        <w:rPr>
          <w:i/>
          <w:kern w:val="2"/>
          <w:sz w:val="20"/>
        </w:rPr>
        <w:t xml:space="preserve"> </w:t>
      </w:r>
      <w:r w:rsidR="008A4066" w:rsidRPr="00BC2BC4">
        <w:rPr>
          <w:kern w:val="2"/>
          <w:sz w:val="20"/>
        </w:rPr>
        <w:t>These regulations apply if the following pre-conditions are met:</w:t>
      </w:r>
    </w:p>
    <w:p w14:paraId="5DC6A552" w14:textId="09369BBA" w:rsidR="008A4066" w:rsidRPr="00BC2BC4" w:rsidRDefault="008A4066" w:rsidP="00A75BC0">
      <w:pPr>
        <w:pStyle w:val="ListParagraph"/>
        <w:numPr>
          <w:ilvl w:val="0"/>
          <w:numId w:val="18"/>
        </w:numPr>
        <w:rPr>
          <w:kern w:val="2"/>
          <w:sz w:val="20"/>
        </w:rPr>
      </w:pPr>
      <w:r w:rsidRPr="00BC2BC4">
        <w:rPr>
          <w:b/>
          <w:kern w:val="2"/>
          <w:sz w:val="20"/>
        </w:rPr>
        <w:t>The body doing the buying is a contracting authority.</w:t>
      </w:r>
      <w:r w:rsidRPr="00BC2BC4">
        <w:rPr>
          <w:kern w:val="2"/>
          <w:sz w:val="20"/>
        </w:rPr>
        <w:t xml:space="preserve"> The definition</w:t>
      </w:r>
      <w:r w:rsidR="00AB48C4" w:rsidRPr="00BC2BC4">
        <w:rPr>
          <w:kern w:val="2"/>
          <w:sz w:val="20"/>
        </w:rPr>
        <w:t xml:space="preserve"> of “contracting authority”</w:t>
      </w:r>
      <w:r w:rsidRPr="00BC2BC4">
        <w:rPr>
          <w:kern w:val="2"/>
          <w:sz w:val="20"/>
        </w:rPr>
        <w:t xml:space="preserve"> is wide and includes central government, local authorities, associations formed by one or more contracting authorities, and other bodies governed by public law;</w:t>
      </w:r>
    </w:p>
    <w:p w14:paraId="136FFCD2" w14:textId="77777777" w:rsidR="00A749B7" w:rsidRPr="00BC2BC4" w:rsidRDefault="008A4066" w:rsidP="00A75BC0">
      <w:pPr>
        <w:pStyle w:val="ListParagraph"/>
        <w:numPr>
          <w:ilvl w:val="0"/>
          <w:numId w:val="18"/>
        </w:numPr>
        <w:rPr>
          <w:kern w:val="2"/>
          <w:sz w:val="20"/>
        </w:rPr>
      </w:pPr>
      <w:r w:rsidRPr="00BC2BC4">
        <w:rPr>
          <w:b/>
          <w:kern w:val="2"/>
          <w:sz w:val="20"/>
        </w:rPr>
        <w:t>The contract is for public works, public services, or public supplies.</w:t>
      </w:r>
      <w:r w:rsidRPr="00BC2BC4">
        <w:rPr>
          <w:kern w:val="2"/>
          <w:sz w:val="20"/>
        </w:rPr>
        <w:t xml:space="preserve"> Sometimes the contract will be a mixed contract (e.g.</w:t>
      </w:r>
      <w:r w:rsidR="007927AD" w:rsidRPr="00BC2BC4">
        <w:rPr>
          <w:kern w:val="2"/>
          <w:sz w:val="20"/>
        </w:rPr>
        <w:t>,</w:t>
      </w:r>
      <w:r w:rsidRPr="00BC2BC4">
        <w:rPr>
          <w:kern w:val="2"/>
          <w:sz w:val="20"/>
        </w:rPr>
        <w:t xml:space="preserve"> the supply and maintenance of computers). Where it is, a contracting authority must determine which element (e</w:t>
      </w:r>
      <w:r w:rsidR="00150F4F" w:rsidRPr="00BC2BC4">
        <w:rPr>
          <w:kern w:val="2"/>
          <w:sz w:val="20"/>
        </w:rPr>
        <w:t>.</w:t>
      </w:r>
      <w:r w:rsidRPr="00BC2BC4">
        <w:rPr>
          <w:kern w:val="2"/>
          <w:sz w:val="20"/>
        </w:rPr>
        <w:t>g</w:t>
      </w:r>
      <w:r w:rsidR="00150F4F" w:rsidRPr="00BC2BC4">
        <w:rPr>
          <w:kern w:val="2"/>
          <w:sz w:val="20"/>
        </w:rPr>
        <w:t>.,</w:t>
      </w:r>
      <w:r w:rsidRPr="00BC2BC4">
        <w:rPr>
          <w:kern w:val="2"/>
          <w:sz w:val="20"/>
        </w:rPr>
        <w:t xml:space="preserve"> the supply element or the service element) is the predominant element and, therefore, which set of rules will apply. This can be important to get right as the rules vary slightly depending on the type of contract (e.g.</w:t>
      </w:r>
      <w:r w:rsidR="00150F4F" w:rsidRPr="00BC2BC4">
        <w:rPr>
          <w:kern w:val="2"/>
          <w:sz w:val="20"/>
        </w:rPr>
        <w:t>,</w:t>
      </w:r>
      <w:r w:rsidRPr="00BC2BC4">
        <w:rPr>
          <w:kern w:val="2"/>
          <w:sz w:val="20"/>
        </w:rPr>
        <w:t xml:space="preserve"> lower financial thresholds apply to services and supplies contracts than to works contracts);</w:t>
      </w:r>
      <w:r w:rsidR="00150F4F" w:rsidRPr="00BC2BC4">
        <w:rPr>
          <w:kern w:val="2"/>
          <w:sz w:val="20"/>
        </w:rPr>
        <w:t xml:space="preserve"> and</w:t>
      </w:r>
    </w:p>
    <w:p w14:paraId="174BDC18" w14:textId="26FCD652" w:rsidR="005043CE" w:rsidRPr="00BC2BC4" w:rsidRDefault="008A4066" w:rsidP="00A75BC0">
      <w:pPr>
        <w:pStyle w:val="ListParagraph"/>
        <w:numPr>
          <w:ilvl w:val="0"/>
          <w:numId w:val="18"/>
        </w:numPr>
        <w:rPr>
          <w:kern w:val="2"/>
          <w:sz w:val="20"/>
        </w:rPr>
      </w:pPr>
      <w:r w:rsidRPr="00BC2BC4">
        <w:rPr>
          <w:b/>
          <w:kern w:val="2"/>
          <w:sz w:val="20"/>
        </w:rPr>
        <w:t>The estimated value of the contract (net of VAT)</w:t>
      </w:r>
      <w:r w:rsidRPr="00BC2BC4">
        <w:rPr>
          <w:rStyle w:val="Heading1Char"/>
          <w:rFonts w:ascii="Palatino Linotype" w:hAnsi="Palatino Linotype"/>
          <w:b w:val="0"/>
          <w:color w:val="000000"/>
          <w:spacing w:val="0"/>
          <w:kern w:val="2"/>
          <w:sz w:val="20"/>
          <w:shd w:val="clear" w:color="auto" w:fill="FFFFFF"/>
        </w:rPr>
        <w:t xml:space="preserve"> </w:t>
      </w:r>
      <w:r w:rsidRPr="00BC2BC4">
        <w:rPr>
          <w:b/>
          <w:bCs/>
          <w:kern w:val="2"/>
          <w:sz w:val="20"/>
        </w:rPr>
        <w:t>equals or exceeds the relevant financial threshold.</w:t>
      </w:r>
      <w:r w:rsidRPr="00BC2BC4">
        <w:rPr>
          <w:b/>
          <w:kern w:val="2"/>
          <w:sz w:val="20"/>
        </w:rPr>
        <w:t> </w:t>
      </w:r>
      <w:r w:rsidRPr="00BC2BC4">
        <w:rPr>
          <w:kern w:val="2"/>
          <w:sz w:val="20"/>
        </w:rPr>
        <w:t>The rules expressly prohibit deliberately splitting contracts to bring them below the thresholds.</w:t>
      </w:r>
      <w:r w:rsidR="00B56E07" w:rsidRPr="00BC2BC4">
        <w:rPr>
          <w:kern w:val="2"/>
          <w:sz w:val="20"/>
        </w:rPr>
        <w:t xml:space="preserve"> These thresholds are </w:t>
      </w:r>
      <w:r w:rsidR="004171D5" w:rsidRPr="00BC2BC4">
        <w:rPr>
          <w:kern w:val="2"/>
          <w:sz w:val="20"/>
        </w:rPr>
        <w:t xml:space="preserve">dealt with </w:t>
      </w:r>
      <w:r w:rsidR="00B56E07" w:rsidRPr="00BC2BC4">
        <w:rPr>
          <w:kern w:val="2"/>
          <w:sz w:val="20"/>
        </w:rPr>
        <w:t xml:space="preserve">under </w:t>
      </w:r>
      <w:r w:rsidR="00363F7C" w:rsidRPr="00BC2BC4">
        <w:rPr>
          <w:kern w:val="2"/>
          <w:sz w:val="20"/>
        </w:rPr>
        <w:t xml:space="preserve">the </w:t>
      </w:r>
      <w:r w:rsidR="00B01B34" w:rsidRPr="00BC2BC4">
        <w:rPr>
          <w:kern w:val="2"/>
          <w:sz w:val="20"/>
        </w:rPr>
        <w:t>2014</w:t>
      </w:r>
      <w:r w:rsidR="00B56E07" w:rsidRPr="00BC2BC4">
        <w:rPr>
          <w:kern w:val="2"/>
          <w:sz w:val="20"/>
        </w:rPr>
        <w:t xml:space="preserve"> </w:t>
      </w:r>
      <w:r w:rsidR="00B56E07" w:rsidRPr="00BC2BC4">
        <w:rPr>
          <w:i/>
          <w:kern w:val="2"/>
          <w:sz w:val="20"/>
        </w:rPr>
        <w:t>EU Directive</w:t>
      </w:r>
      <w:r w:rsidR="00B01B34" w:rsidRPr="00BC2BC4">
        <w:rPr>
          <w:kern w:val="2"/>
          <w:sz w:val="20"/>
        </w:rPr>
        <w:t>, discussed below</w:t>
      </w:r>
      <w:r w:rsidR="00B56E07" w:rsidRPr="00BC2BC4">
        <w:rPr>
          <w:kern w:val="2"/>
          <w:sz w:val="20"/>
        </w:rPr>
        <w:t xml:space="preserve">. </w:t>
      </w:r>
      <w:bookmarkStart w:id="60" w:name="_Toc424485040"/>
    </w:p>
    <w:p w14:paraId="4F9C15C9" w14:textId="0A64E59D" w:rsidR="00B56E07" w:rsidRPr="00BC2BC4" w:rsidRDefault="00B56E07" w:rsidP="00C74A64">
      <w:pPr>
        <w:pStyle w:val="Heading3"/>
        <w:rPr>
          <w:kern w:val="2"/>
          <w:sz w:val="22"/>
          <w:lang w:val="fr-CA"/>
        </w:rPr>
      </w:pPr>
      <w:r w:rsidRPr="00BC2BC4">
        <w:rPr>
          <w:kern w:val="2"/>
          <w:sz w:val="22"/>
          <w:lang w:val="fr-CA"/>
        </w:rPr>
        <w:t>EU Directive</w:t>
      </w:r>
      <w:bookmarkEnd w:id="60"/>
      <w:r w:rsidRPr="00BC2BC4">
        <w:rPr>
          <w:kern w:val="2"/>
          <w:sz w:val="22"/>
          <w:lang w:val="fr-CA"/>
        </w:rPr>
        <w:t xml:space="preserve">  </w:t>
      </w:r>
    </w:p>
    <w:p w14:paraId="31FCA9D2" w14:textId="336A0C8A" w:rsidR="00D46ECD" w:rsidRPr="00BC2BC4" w:rsidRDefault="00B56E07" w:rsidP="00C74A64">
      <w:pPr>
        <w:rPr>
          <w:kern w:val="2"/>
          <w:sz w:val="20"/>
        </w:rPr>
      </w:pPr>
      <w:r w:rsidRPr="00BC2BC4">
        <w:rPr>
          <w:kern w:val="2"/>
          <w:sz w:val="20"/>
        </w:rPr>
        <w:t xml:space="preserve">The </w:t>
      </w:r>
      <w:r w:rsidRPr="00BC2BC4">
        <w:rPr>
          <w:i/>
          <w:kern w:val="2"/>
          <w:sz w:val="20"/>
        </w:rPr>
        <w:t>EU Directive</w:t>
      </w:r>
      <w:r w:rsidR="00166449" w:rsidRPr="00BC2BC4">
        <w:rPr>
          <w:i/>
          <w:kern w:val="2"/>
          <w:sz w:val="20"/>
        </w:rPr>
        <w:t xml:space="preserve"> on Public Procuremen</w:t>
      </w:r>
      <w:r w:rsidR="00D132FA" w:rsidRPr="00BC2BC4">
        <w:rPr>
          <w:i/>
          <w:kern w:val="2"/>
          <w:sz w:val="20"/>
        </w:rPr>
        <w:t xml:space="preserve">t </w:t>
      </w:r>
      <w:r w:rsidR="00D132FA" w:rsidRPr="00BC2BC4">
        <w:rPr>
          <w:kern w:val="2"/>
          <w:sz w:val="20"/>
        </w:rPr>
        <w:t>(</w:t>
      </w:r>
      <w:r w:rsidR="007927AD" w:rsidRPr="00BC2BC4">
        <w:rPr>
          <w:kern w:val="2"/>
          <w:sz w:val="20"/>
        </w:rPr>
        <w:t xml:space="preserve">the </w:t>
      </w:r>
      <w:r w:rsidR="0034765A" w:rsidRPr="00BC2BC4">
        <w:rPr>
          <w:i/>
          <w:kern w:val="2"/>
          <w:sz w:val="20"/>
        </w:rPr>
        <w:t xml:space="preserve">EU </w:t>
      </w:r>
      <w:r w:rsidR="00D132FA" w:rsidRPr="00BC2BC4">
        <w:rPr>
          <w:i/>
          <w:kern w:val="2"/>
          <w:sz w:val="20"/>
        </w:rPr>
        <w:t>Directive</w:t>
      </w:r>
      <w:r w:rsidR="00D132FA" w:rsidRPr="00BC2BC4">
        <w:rPr>
          <w:kern w:val="2"/>
          <w:sz w:val="20"/>
        </w:rPr>
        <w:t>)</w:t>
      </w:r>
      <w:r w:rsidR="00B01B34" w:rsidRPr="00BC2BC4">
        <w:rPr>
          <w:rStyle w:val="FootnoteReference"/>
          <w:rFonts w:cs="Times New Roman"/>
          <w:kern w:val="2"/>
          <w:sz w:val="20"/>
        </w:rPr>
        <w:footnoteReference w:id="220"/>
      </w:r>
      <w:r w:rsidR="00166449" w:rsidRPr="00BC2BC4">
        <w:rPr>
          <w:kern w:val="2"/>
          <w:sz w:val="20"/>
        </w:rPr>
        <w:t xml:space="preserve"> is a regulatory tool that </w:t>
      </w:r>
      <w:r w:rsidR="00115DA2" w:rsidRPr="00BC2BC4">
        <w:rPr>
          <w:kern w:val="2"/>
          <w:sz w:val="20"/>
        </w:rPr>
        <w:t>promotes</w:t>
      </w:r>
      <w:r w:rsidR="00166449" w:rsidRPr="00BC2BC4">
        <w:rPr>
          <w:kern w:val="2"/>
          <w:sz w:val="20"/>
        </w:rPr>
        <w:t xml:space="preserve"> free trade </w:t>
      </w:r>
      <w:r w:rsidR="00115DA2" w:rsidRPr="00BC2BC4">
        <w:rPr>
          <w:kern w:val="2"/>
          <w:sz w:val="20"/>
        </w:rPr>
        <w:t xml:space="preserve">and fair competition </w:t>
      </w:r>
      <w:r w:rsidR="00200F09" w:rsidRPr="00BC2BC4">
        <w:rPr>
          <w:kern w:val="2"/>
          <w:sz w:val="20"/>
        </w:rPr>
        <w:t>for</w:t>
      </w:r>
      <w:r w:rsidR="00166449" w:rsidRPr="00BC2BC4">
        <w:rPr>
          <w:kern w:val="2"/>
          <w:sz w:val="20"/>
        </w:rPr>
        <w:t xml:space="preserve"> procurement contracts throughout the European Union. It requires EU members</w:t>
      </w:r>
      <w:r w:rsidR="003F09D8" w:rsidRPr="00BC2BC4">
        <w:rPr>
          <w:kern w:val="2"/>
          <w:sz w:val="20"/>
        </w:rPr>
        <w:t xml:space="preserve"> </w:t>
      </w:r>
      <w:r w:rsidRPr="00BC2BC4">
        <w:rPr>
          <w:kern w:val="2"/>
          <w:sz w:val="20"/>
        </w:rPr>
        <w:t xml:space="preserve">to implement a </w:t>
      </w:r>
      <w:r w:rsidR="00166449" w:rsidRPr="00BC2BC4">
        <w:rPr>
          <w:kern w:val="2"/>
          <w:sz w:val="20"/>
        </w:rPr>
        <w:t>regulatory</w:t>
      </w:r>
      <w:r w:rsidRPr="00BC2BC4">
        <w:rPr>
          <w:kern w:val="2"/>
          <w:sz w:val="20"/>
        </w:rPr>
        <w:t xml:space="preserve"> regime </w:t>
      </w:r>
      <w:r w:rsidR="005043CE" w:rsidRPr="00BC2BC4">
        <w:rPr>
          <w:kern w:val="2"/>
          <w:sz w:val="20"/>
        </w:rPr>
        <w:t xml:space="preserve">that, </w:t>
      </w:r>
      <w:r w:rsidRPr="00BC2BC4">
        <w:rPr>
          <w:kern w:val="2"/>
          <w:sz w:val="20"/>
        </w:rPr>
        <w:t xml:space="preserve">in accordance with the </w:t>
      </w:r>
      <w:r w:rsidR="0034765A" w:rsidRPr="00BC2BC4">
        <w:rPr>
          <w:i/>
          <w:kern w:val="2"/>
          <w:sz w:val="20"/>
        </w:rPr>
        <w:t xml:space="preserve">EU </w:t>
      </w:r>
      <w:r w:rsidRPr="00BC2BC4">
        <w:rPr>
          <w:i/>
          <w:kern w:val="2"/>
          <w:sz w:val="20"/>
        </w:rPr>
        <w:t>Directive</w:t>
      </w:r>
      <w:r w:rsidR="005043CE" w:rsidRPr="00BC2BC4">
        <w:rPr>
          <w:kern w:val="2"/>
          <w:sz w:val="20"/>
        </w:rPr>
        <w:t xml:space="preserve">, </w:t>
      </w:r>
      <w:r w:rsidR="00115DA2" w:rsidRPr="00BC2BC4">
        <w:rPr>
          <w:kern w:val="2"/>
          <w:sz w:val="20"/>
        </w:rPr>
        <w:t>promotes transparency, equal</w:t>
      </w:r>
      <w:r w:rsidR="00115DA2" w:rsidRPr="00BC2BC4">
        <w:rPr>
          <w:kern w:val="2"/>
          <w:sz w:val="16"/>
          <w:szCs w:val="19"/>
        </w:rPr>
        <w:t xml:space="preserve"> </w:t>
      </w:r>
      <w:r w:rsidR="00115DA2" w:rsidRPr="00BC2BC4">
        <w:rPr>
          <w:kern w:val="2"/>
          <w:sz w:val="20"/>
        </w:rPr>
        <w:t>treatment, non-discrimination, mutual recognition, and proportionality</w:t>
      </w:r>
      <w:r w:rsidRPr="00BC2BC4">
        <w:rPr>
          <w:kern w:val="2"/>
          <w:sz w:val="20"/>
        </w:rPr>
        <w:t>.</w:t>
      </w:r>
      <w:r w:rsidR="00115DA2" w:rsidRPr="00BC2BC4">
        <w:rPr>
          <w:rStyle w:val="FootnoteReference"/>
          <w:rFonts w:cs="Times New Roman"/>
          <w:kern w:val="2"/>
          <w:sz w:val="20"/>
        </w:rPr>
        <w:footnoteReference w:id="221"/>
      </w:r>
      <w:r w:rsidRPr="00BC2BC4">
        <w:rPr>
          <w:kern w:val="2"/>
          <w:sz w:val="20"/>
        </w:rPr>
        <w:t xml:space="preserve"> </w:t>
      </w:r>
      <w:r w:rsidR="00166449" w:rsidRPr="00BC2BC4">
        <w:rPr>
          <w:kern w:val="2"/>
          <w:sz w:val="20"/>
        </w:rPr>
        <w:t xml:space="preserve">In doing so, it helps create uniform law across the </w:t>
      </w:r>
      <w:r w:rsidR="00D46ECD" w:rsidRPr="00BC2BC4">
        <w:rPr>
          <w:kern w:val="2"/>
          <w:sz w:val="20"/>
        </w:rPr>
        <w:t>EU</w:t>
      </w:r>
      <w:r w:rsidR="00166449" w:rsidRPr="00BC2BC4">
        <w:rPr>
          <w:kern w:val="2"/>
          <w:sz w:val="20"/>
        </w:rPr>
        <w:t xml:space="preserve"> and also lowers barriers for companies hoping to gain contracts in other </w:t>
      </w:r>
      <w:r w:rsidR="00200F09" w:rsidRPr="00BC2BC4">
        <w:rPr>
          <w:kern w:val="2"/>
          <w:sz w:val="20"/>
        </w:rPr>
        <w:t xml:space="preserve">EU </w:t>
      </w:r>
      <w:r w:rsidR="00166449" w:rsidRPr="00BC2BC4">
        <w:rPr>
          <w:kern w:val="2"/>
          <w:sz w:val="20"/>
        </w:rPr>
        <w:t xml:space="preserve">countries. </w:t>
      </w:r>
    </w:p>
    <w:p w14:paraId="0722D817" w14:textId="1C0C03D0" w:rsidR="00D46ECD" w:rsidRPr="00BC2BC4" w:rsidRDefault="00166449" w:rsidP="00C74A64">
      <w:pPr>
        <w:rPr>
          <w:kern w:val="2"/>
          <w:sz w:val="20"/>
        </w:rPr>
      </w:pPr>
      <w:r w:rsidRPr="00BC2BC4">
        <w:rPr>
          <w:kern w:val="2"/>
          <w:sz w:val="20"/>
        </w:rPr>
        <w:t xml:space="preserve">The </w:t>
      </w:r>
      <w:r w:rsidR="0034765A" w:rsidRPr="00BC2BC4">
        <w:rPr>
          <w:i/>
          <w:kern w:val="2"/>
          <w:sz w:val="20"/>
        </w:rPr>
        <w:t xml:space="preserve">EU </w:t>
      </w:r>
      <w:r w:rsidRPr="00BC2BC4">
        <w:rPr>
          <w:i/>
          <w:kern w:val="2"/>
          <w:sz w:val="20"/>
        </w:rPr>
        <w:t>Directive</w:t>
      </w:r>
      <w:r w:rsidR="00B56E07" w:rsidRPr="00BC2BC4">
        <w:rPr>
          <w:kern w:val="2"/>
          <w:sz w:val="20"/>
        </w:rPr>
        <w:t xml:space="preserve"> requires that the regime apply to public procurement contracts </w:t>
      </w:r>
      <w:r w:rsidR="00D46ECD" w:rsidRPr="00BC2BC4">
        <w:rPr>
          <w:kern w:val="2"/>
          <w:sz w:val="20"/>
        </w:rPr>
        <w:t xml:space="preserve">that </w:t>
      </w:r>
      <w:r w:rsidR="00B56E07" w:rsidRPr="00BC2BC4">
        <w:rPr>
          <w:kern w:val="2"/>
          <w:sz w:val="20"/>
        </w:rPr>
        <w:t>are of greater value</w:t>
      </w:r>
      <w:r w:rsidR="00200F09" w:rsidRPr="00BC2BC4">
        <w:rPr>
          <w:kern w:val="2"/>
          <w:sz w:val="20"/>
        </w:rPr>
        <w:t xml:space="preserve"> than, pre</w:t>
      </w:r>
      <w:r w:rsidR="00D46ECD" w:rsidRPr="00BC2BC4">
        <w:rPr>
          <w:kern w:val="2"/>
          <w:sz w:val="20"/>
        </w:rPr>
        <w:t>-</w:t>
      </w:r>
      <w:r w:rsidR="00200F09" w:rsidRPr="00BC2BC4">
        <w:rPr>
          <w:kern w:val="2"/>
          <w:sz w:val="20"/>
        </w:rPr>
        <w:t>VAT, €</w:t>
      </w:r>
      <w:r w:rsidR="00B56E07" w:rsidRPr="00BC2BC4">
        <w:rPr>
          <w:kern w:val="2"/>
          <w:sz w:val="20"/>
        </w:rPr>
        <w:t>5,186,000 for</w:t>
      </w:r>
      <w:r w:rsidR="00200F09" w:rsidRPr="00BC2BC4">
        <w:rPr>
          <w:kern w:val="2"/>
          <w:sz w:val="20"/>
        </w:rPr>
        <w:t xml:space="preserve"> public works contracts and €</w:t>
      </w:r>
      <w:r w:rsidR="00B56E07" w:rsidRPr="00BC2BC4">
        <w:rPr>
          <w:kern w:val="2"/>
          <w:sz w:val="20"/>
        </w:rPr>
        <w:t>134,000 for public supply and services contracts awar</w:t>
      </w:r>
      <w:r w:rsidR="00200F09" w:rsidRPr="00BC2BC4">
        <w:rPr>
          <w:kern w:val="2"/>
          <w:sz w:val="20"/>
        </w:rPr>
        <w:t>ded by central governments, €</w:t>
      </w:r>
      <w:r w:rsidR="00B56E07" w:rsidRPr="00BC2BC4">
        <w:rPr>
          <w:kern w:val="2"/>
          <w:sz w:val="20"/>
        </w:rPr>
        <w:t>207,000 for public supply and services contracts awarded by s</w:t>
      </w:r>
      <w:r w:rsidR="00200F09" w:rsidRPr="00BC2BC4">
        <w:rPr>
          <w:kern w:val="2"/>
          <w:sz w:val="20"/>
        </w:rPr>
        <w:t>ub-central governments, and €</w:t>
      </w:r>
      <w:r w:rsidR="00B56E07" w:rsidRPr="00BC2BC4">
        <w:rPr>
          <w:kern w:val="2"/>
          <w:sz w:val="20"/>
        </w:rPr>
        <w:t>750,000 for spe</w:t>
      </w:r>
      <w:r w:rsidR="00200F09" w:rsidRPr="00BC2BC4">
        <w:rPr>
          <w:kern w:val="2"/>
          <w:sz w:val="20"/>
        </w:rPr>
        <w:t>cific public service contracts.</w:t>
      </w:r>
      <w:r w:rsidR="00B56E07" w:rsidRPr="00BC2BC4">
        <w:rPr>
          <w:rStyle w:val="FootnoteReference"/>
          <w:rFonts w:cs="Times New Roman"/>
          <w:kern w:val="2"/>
          <w:sz w:val="20"/>
        </w:rPr>
        <w:footnoteReference w:id="222"/>
      </w:r>
      <w:r w:rsidR="00B56E07" w:rsidRPr="00BC2BC4">
        <w:rPr>
          <w:kern w:val="2"/>
          <w:sz w:val="20"/>
        </w:rPr>
        <w:t xml:space="preserve"> These thresholds are based on the </w:t>
      </w:r>
      <w:r w:rsidR="00B56E07" w:rsidRPr="00BC2BC4">
        <w:rPr>
          <w:i/>
          <w:kern w:val="2"/>
          <w:sz w:val="20"/>
        </w:rPr>
        <w:t>WTO Agreement on Government Proc</w:t>
      </w:r>
      <w:r w:rsidR="00D46ECD" w:rsidRPr="00BC2BC4">
        <w:rPr>
          <w:i/>
          <w:kern w:val="2"/>
          <w:sz w:val="20"/>
        </w:rPr>
        <w:t>ur</w:t>
      </w:r>
      <w:r w:rsidR="00B56E07" w:rsidRPr="00BC2BC4">
        <w:rPr>
          <w:i/>
          <w:kern w:val="2"/>
          <w:sz w:val="20"/>
        </w:rPr>
        <w:t>e</w:t>
      </w:r>
      <w:r w:rsidR="00D46ECD" w:rsidRPr="00BC2BC4">
        <w:rPr>
          <w:i/>
          <w:kern w:val="2"/>
          <w:sz w:val="20"/>
        </w:rPr>
        <w:t>ment</w:t>
      </w:r>
      <w:r w:rsidR="00B56E07" w:rsidRPr="00BC2BC4">
        <w:rPr>
          <w:kern w:val="2"/>
          <w:sz w:val="20"/>
        </w:rPr>
        <w:t xml:space="preserve">. </w:t>
      </w:r>
      <w:r w:rsidR="004A032F" w:rsidRPr="00BC2BC4">
        <w:rPr>
          <w:kern w:val="2"/>
          <w:sz w:val="20"/>
        </w:rPr>
        <w:t>T</w:t>
      </w:r>
      <w:r w:rsidR="00D132FA" w:rsidRPr="00BC2BC4">
        <w:rPr>
          <w:kern w:val="2"/>
          <w:sz w:val="20"/>
        </w:rPr>
        <w:t xml:space="preserve">he </w:t>
      </w:r>
      <w:r w:rsidR="0034765A" w:rsidRPr="00BC2BC4">
        <w:rPr>
          <w:i/>
          <w:kern w:val="2"/>
          <w:sz w:val="20"/>
        </w:rPr>
        <w:t xml:space="preserve">EU </w:t>
      </w:r>
      <w:r w:rsidR="00D90DA6" w:rsidRPr="00BC2BC4">
        <w:rPr>
          <w:i/>
          <w:kern w:val="2"/>
          <w:sz w:val="20"/>
        </w:rPr>
        <w:t>Directive</w:t>
      </w:r>
      <w:r w:rsidR="00D90DA6" w:rsidRPr="00BC2BC4">
        <w:rPr>
          <w:kern w:val="2"/>
          <w:sz w:val="20"/>
        </w:rPr>
        <w:t xml:space="preserve"> made several changes to previous public procurement </w:t>
      </w:r>
      <w:r w:rsidR="00B01B34" w:rsidRPr="00BC2BC4">
        <w:rPr>
          <w:kern w:val="2"/>
          <w:sz w:val="20"/>
        </w:rPr>
        <w:t>provisions</w:t>
      </w:r>
      <w:r w:rsidR="00D90DA6" w:rsidRPr="00BC2BC4">
        <w:rPr>
          <w:kern w:val="2"/>
          <w:sz w:val="20"/>
        </w:rPr>
        <w:t>.</w:t>
      </w:r>
      <w:r w:rsidR="004A032F" w:rsidRPr="00BC2BC4">
        <w:rPr>
          <w:kern w:val="2"/>
          <w:sz w:val="20"/>
        </w:rPr>
        <w:t xml:space="preserve"> Besides trying to adapt the rules to </w:t>
      </w:r>
      <w:r w:rsidR="005043CE" w:rsidRPr="00BC2BC4">
        <w:rPr>
          <w:kern w:val="2"/>
          <w:sz w:val="20"/>
        </w:rPr>
        <w:t>maximize efficiency and</w:t>
      </w:r>
      <w:r w:rsidR="004A032F" w:rsidRPr="00BC2BC4">
        <w:rPr>
          <w:kern w:val="2"/>
          <w:sz w:val="20"/>
        </w:rPr>
        <w:t xml:space="preserve"> competition, th</w:t>
      </w:r>
      <w:r w:rsidR="00D90DA6" w:rsidRPr="00BC2BC4">
        <w:rPr>
          <w:kern w:val="2"/>
          <w:sz w:val="20"/>
        </w:rPr>
        <w:t xml:space="preserve">e </w:t>
      </w:r>
      <w:r w:rsidR="007500C4" w:rsidRPr="00BC2BC4">
        <w:rPr>
          <w:i/>
          <w:kern w:val="2"/>
          <w:sz w:val="20"/>
        </w:rPr>
        <w:t>D</w:t>
      </w:r>
      <w:r w:rsidR="00D90DA6" w:rsidRPr="00BC2BC4">
        <w:rPr>
          <w:i/>
          <w:kern w:val="2"/>
          <w:sz w:val="20"/>
        </w:rPr>
        <w:t>irective</w:t>
      </w:r>
      <w:r w:rsidR="00D90DA6" w:rsidRPr="00BC2BC4">
        <w:rPr>
          <w:kern w:val="2"/>
          <w:sz w:val="20"/>
        </w:rPr>
        <w:t xml:space="preserve"> </w:t>
      </w:r>
      <w:r w:rsidR="004A032F" w:rsidRPr="00BC2BC4">
        <w:rPr>
          <w:kern w:val="2"/>
          <w:sz w:val="20"/>
        </w:rPr>
        <w:t>striv</w:t>
      </w:r>
      <w:r w:rsidR="007500C4" w:rsidRPr="00BC2BC4">
        <w:rPr>
          <w:kern w:val="2"/>
          <w:sz w:val="20"/>
        </w:rPr>
        <w:t>es</w:t>
      </w:r>
      <w:r w:rsidR="004A032F" w:rsidRPr="00BC2BC4">
        <w:rPr>
          <w:kern w:val="2"/>
          <w:sz w:val="20"/>
        </w:rPr>
        <w:t xml:space="preserve"> to increase the number of contracts awarded to </w:t>
      </w:r>
      <w:r w:rsidR="00E4544B" w:rsidRPr="00BC2BC4">
        <w:rPr>
          <w:kern w:val="2"/>
          <w:sz w:val="20"/>
        </w:rPr>
        <w:t>Small and Medium Sized Enterprises (</w:t>
      </w:r>
      <w:r w:rsidR="004A032F" w:rsidRPr="00BC2BC4">
        <w:rPr>
          <w:kern w:val="2"/>
          <w:sz w:val="20"/>
        </w:rPr>
        <w:t>SME</w:t>
      </w:r>
      <w:r w:rsidR="00E4544B" w:rsidRPr="00BC2BC4">
        <w:rPr>
          <w:kern w:val="2"/>
          <w:sz w:val="20"/>
        </w:rPr>
        <w:t>s)</w:t>
      </w:r>
      <w:r w:rsidR="007500C4" w:rsidRPr="00BC2BC4">
        <w:rPr>
          <w:kern w:val="2"/>
          <w:sz w:val="20"/>
        </w:rPr>
        <w:t>;</w:t>
      </w:r>
      <w:r w:rsidR="004A032F" w:rsidRPr="00BC2BC4">
        <w:rPr>
          <w:kern w:val="2"/>
          <w:sz w:val="20"/>
        </w:rPr>
        <w:t xml:space="preserve"> allow public purchasers to consider social policy in the tender they choose (such as the envir</w:t>
      </w:r>
      <w:r w:rsidR="005043CE" w:rsidRPr="00BC2BC4">
        <w:rPr>
          <w:kern w:val="2"/>
          <w:sz w:val="20"/>
        </w:rPr>
        <w:t>onmental impact of each tender)</w:t>
      </w:r>
      <w:r w:rsidR="007500C4" w:rsidRPr="00BC2BC4">
        <w:rPr>
          <w:kern w:val="2"/>
          <w:sz w:val="20"/>
        </w:rPr>
        <w:t>;</w:t>
      </w:r>
      <w:r w:rsidR="004A032F" w:rsidRPr="00BC2BC4">
        <w:rPr>
          <w:kern w:val="2"/>
          <w:sz w:val="20"/>
        </w:rPr>
        <w:t xml:space="preserve"> and increase measures to reduce conflicts of interest, favouritism</w:t>
      </w:r>
      <w:r w:rsidR="007500C4" w:rsidRPr="00BC2BC4">
        <w:rPr>
          <w:kern w:val="2"/>
          <w:sz w:val="20"/>
        </w:rPr>
        <w:t>,</w:t>
      </w:r>
      <w:r w:rsidR="004A032F" w:rsidRPr="00BC2BC4">
        <w:rPr>
          <w:kern w:val="2"/>
          <w:sz w:val="20"/>
        </w:rPr>
        <w:t xml:space="preserve"> and corruption.</w:t>
      </w:r>
      <w:r w:rsidR="004A032F" w:rsidRPr="00BC2BC4">
        <w:rPr>
          <w:rStyle w:val="FootnoteReference"/>
          <w:rFonts w:cs="Times New Roman"/>
          <w:kern w:val="2"/>
          <w:sz w:val="20"/>
        </w:rPr>
        <w:footnoteReference w:id="223"/>
      </w:r>
    </w:p>
    <w:p w14:paraId="66805ACB" w14:textId="3F90C723" w:rsidR="008A4066" w:rsidRPr="00BC2BC4" w:rsidRDefault="008A4066" w:rsidP="00C74A64">
      <w:pPr>
        <w:pStyle w:val="Heading3"/>
        <w:rPr>
          <w:i/>
          <w:kern w:val="2"/>
          <w:sz w:val="22"/>
        </w:rPr>
      </w:pPr>
      <w:bookmarkStart w:id="61" w:name="_Toc424485041"/>
      <w:r w:rsidRPr="00BC2BC4">
        <w:rPr>
          <w:i/>
          <w:kern w:val="2"/>
          <w:sz w:val="22"/>
        </w:rPr>
        <w:t>Public Contracts Regulations 20</w:t>
      </w:r>
      <w:r w:rsidR="00F33DDB" w:rsidRPr="00BC2BC4">
        <w:rPr>
          <w:i/>
          <w:kern w:val="2"/>
          <w:sz w:val="22"/>
        </w:rPr>
        <w:t>15</w:t>
      </w:r>
      <w:bookmarkEnd w:id="61"/>
    </w:p>
    <w:p w14:paraId="6528163B" w14:textId="4EF9A2E4" w:rsidR="00AF76AF" w:rsidRPr="00BC2BC4" w:rsidRDefault="00115DA2" w:rsidP="003F14E9">
      <w:pPr>
        <w:rPr>
          <w:rFonts w:cs="Times New Roman"/>
          <w:kern w:val="2"/>
          <w:sz w:val="20"/>
        </w:rPr>
      </w:pPr>
      <w:r w:rsidRPr="00BC2BC4">
        <w:rPr>
          <w:rFonts w:cs="Times New Roman"/>
          <w:kern w:val="2"/>
          <w:sz w:val="20"/>
        </w:rPr>
        <w:t xml:space="preserve">The </w:t>
      </w:r>
      <w:r w:rsidRPr="00BC2BC4">
        <w:rPr>
          <w:rFonts w:cs="Times New Roman"/>
          <w:i/>
          <w:kern w:val="2"/>
          <w:sz w:val="20"/>
        </w:rPr>
        <w:t>Public Contracts Regulations 2015</w:t>
      </w:r>
      <w:r w:rsidRPr="00BC2BC4">
        <w:rPr>
          <w:rFonts w:cs="Times New Roman"/>
          <w:kern w:val="2"/>
          <w:sz w:val="20"/>
        </w:rPr>
        <w:t xml:space="preserve"> (</w:t>
      </w:r>
      <w:r w:rsidR="00C827C7" w:rsidRPr="00BC2BC4">
        <w:rPr>
          <w:rFonts w:cs="Times New Roman"/>
          <w:i/>
          <w:kern w:val="2"/>
          <w:sz w:val="20"/>
        </w:rPr>
        <w:t>PCR</w:t>
      </w:r>
      <w:r w:rsidRPr="00BC2BC4">
        <w:rPr>
          <w:rFonts w:cs="Times New Roman"/>
          <w:kern w:val="2"/>
          <w:sz w:val="20"/>
        </w:rPr>
        <w:t>)</w:t>
      </w:r>
      <w:r w:rsidR="00200F09" w:rsidRPr="00BC2BC4">
        <w:rPr>
          <w:rStyle w:val="FootnoteReference"/>
          <w:kern w:val="2"/>
          <w:sz w:val="20"/>
        </w:rPr>
        <w:footnoteReference w:id="224"/>
      </w:r>
      <w:r w:rsidR="005043CE" w:rsidRPr="00BC2BC4">
        <w:rPr>
          <w:rFonts w:cs="Times New Roman"/>
          <w:kern w:val="2"/>
          <w:sz w:val="20"/>
        </w:rPr>
        <w:t xml:space="preserve"> </w:t>
      </w:r>
      <w:r w:rsidR="00200F09" w:rsidRPr="00BC2BC4">
        <w:rPr>
          <w:rFonts w:cs="Times New Roman"/>
          <w:kern w:val="2"/>
          <w:sz w:val="20"/>
        </w:rPr>
        <w:t xml:space="preserve">introduced </w:t>
      </w:r>
      <w:r w:rsidR="00F527CA" w:rsidRPr="00BC2BC4">
        <w:rPr>
          <w:rFonts w:cs="Times New Roman"/>
          <w:kern w:val="2"/>
          <w:sz w:val="20"/>
        </w:rPr>
        <w:t xml:space="preserve">in </w:t>
      </w:r>
      <w:r w:rsidRPr="00BC2BC4">
        <w:rPr>
          <w:rFonts w:cs="Times New Roman"/>
          <w:kern w:val="2"/>
          <w:sz w:val="20"/>
        </w:rPr>
        <w:t>Parliament on February 5, 2015</w:t>
      </w:r>
      <w:r w:rsidR="00BB1AD5" w:rsidRPr="00BC2BC4">
        <w:rPr>
          <w:rFonts w:cs="Times New Roman"/>
          <w:kern w:val="2"/>
          <w:sz w:val="20"/>
        </w:rPr>
        <w:t xml:space="preserve"> </w:t>
      </w:r>
      <w:r w:rsidR="005043CE" w:rsidRPr="00BC2BC4">
        <w:rPr>
          <w:rFonts w:cs="Times New Roman"/>
          <w:kern w:val="2"/>
          <w:sz w:val="20"/>
        </w:rPr>
        <w:t>apply</w:t>
      </w:r>
      <w:r w:rsidR="00DB2B41" w:rsidRPr="00BC2BC4">
        <w:rPr>
          <w:rFonts w:cs="Times New Roman"/>
          <w:kern w:val="2"/>
          <w:sz w:val="20"/>
        </w:rPr>
        <w:t xml:space="preserve"> to contracts offered by Contracting Authorities </w:t>
      </w:r>
      <w:r w:rsidR="005043CE" w:rsidRPr="00BC2BC4">
        <w:rPr>
          <w:rFonts w:cs="Times New Roman"/>
          <w:kern w:val="2"/>
          <w:sz w:val="20"/>
        </w:rPr>
        <w:t>in England, Wales</w:t>
      </w:r>
      <w:r w:rsidR="00AF76AF" w:rsidRPr="00BC2BC4">
        <w:rPr>
          <w:rFonts w:cs="Times New Roman"/>
          <w:kern w:val="2"/>
          <w:sz w:val="20"/>
        </w:rPr>
        <w:t>,</w:t>
      </w:r>
      <w:r w:rsidR="00DB2B41" w:rsidRPr="00BC2BC4">
        <w:rPr>
          <w:rFonts w:cs="Times New Roman"/>
          <w:kern w:val="2"/>
          <w:sz w:val="20"/>
        </w:rPr>
        <w:t xml:space="preserve"> and North</w:t>
      </w:r>
      <w:r w:rsidR="005043CE" w:rsidRPr="00BC2BC4">
        <w:rPr>
          <w:rFonts w:cs="Times New Roman"/>
          <w:kern w:val="2"/>
          <w:sz w:val="20"/>
        </w:rPr>
        <w:t>ern</w:t>
      </w:r>
      <w:r w:rsidR="00DB2B41" w:rsidRPr="00BC2BC4">
        <w:rPr>
          <w:rFonts w:cs="Times New Roman"/>
          <w:kern w:val="2"/>
          <w:sz w:val="20"/>
        </w:rPr>
        <w:t xml:space="preserve"> Ireland</w:t>
      </w:r>
      <w:r w:rsidR="005043CE" w:rsidRPr="00BC2BC4">
        <w:rPr>
          <w:rFonts w:cs="Times New Roman"/>
          <w:kern w:val="2"/>
          <w:sz w:val="20"/>
        </w:rPr>
        <w:t>.</w:t>
      </w:r>
      <w:r w:rsidR="00E4544B" w:rsidRPr="00BC2BC4">
        <w:rPr>
          <w:rStyle w:val="FootnoteReference"/>
          <w:rFonts w:cs="Times New Roman"/>
          <w:kern w:val="2"/>
          <w:sz w:val="20"/>
        </w:rPr>
        <w:footnoteReference w:id="225"/>
      </w:r>
      <w:r w:rsidR="00DB2B41" w:rsidRPr="00BC2BC4">
        <w:rPr>
          <w:rFonts w:cs="Times New Roman"/>
          <w:kern w:val="2"/>
          <w:sz w:val="20"/>
        </w:rPr>
        <w:t xml:space="preserve"> </w:t>
      </w:r>
      <w:r w:rsidRPr="00BC2BC4">
        <w:rPr>
          <w:rFonts w:cs="Times New Roman"/>
          <w:kern w:val="2"/>
          <w:sz w:val="20"/>
        </w:rPr>
        <w:t xml:space="preserve">The majority of </w:t>
      </w:r>
      <w:r w:rsidR="005043CE" w:rsidRPr="00BC2BC4">
        <w:rPr>
          <w:rFonts w:cs="Times New Roman"/>
          <w:kern w:val="2"/>
          <w:sz w:val="20"/>
        </w:rPr>
        <w:t xml:space="preserve">the </w:t>
      </w:r>
      <w:r w:rsidR="00C827C7" w:rsidRPr="00BC2BC4">
        <w:rPr>
          <w:rFonts w:cs="Times New Roman"/>
          <w:i/>
          <w:kern w:val="2"/>
          <w:sz w:val="20"/>
        </w:rPr>
        <w:t>PCR</w:t>
      </w:r>
      <w:r w:rsidRPr="00BC2BC4">
        <w:rPr>
          <w:rFonts w:cs="Times New Roman"/>
          <w:kern w:val="2"/>
          <w:sz w:val="20"/>
        </w:rPr>
        <w:t xml:space="preserve"> came into force on February 26, 2015; however, certain prov</w:t>
      </w:r>
      <w:r w:rsidR="005043CE" w:rsidRPr="00BC2BC4">
        <w:rPr>
          <w:rFonts w:cs="Times New Roman"/>
          <w:kern w:val="2"/>
          <w:sz w:val="20"/>
        </w:rPr>
        <w:t>isions, such as the requirement to advertise</w:t>
      </w:r>
      <w:r w:rsidRPr="00BC2BC4">
        <w:rPr>
          <w:rFonts w:cs="Times New Roman"/>
          <w:kern w:val="2"/>
          <w:sz w:val="20"/>
        </w:rPr>
        <w:t xml:space="preserve"> all offers of procurement online, will not come into force until </w:t>
      </w:r>
      <w:r w:rsidR="005043CE" w:rsidRPr="00BC2BC4">
        <w:rPr>
          <w:rFonts w:cs="Times New Roman"/>
          <w:kern w:val="2"/>
          <w:sz w:val="20"/>
        </w:rPr>
        <w:t xml:space="preserve">a </w:t>
      </w:r>
      <w:r w:rsidRPr="00BC2BC4">
        <w:rPr>
          <w:rFonts w:cs="Times New Roman"/>
          <w:kern w:val="2"/>
          <w:sz w:val="20"/>
        </w:rPr>
        <w:t>later</w:t>
      </w:r>
      <w:r w:rsidR="005043CE" w:rsidRPr="00BC2BC4">
        <w:rPr>
          <w:rFonts w:cs="Times New Roman"/>
          <w:kern w:val="2"/>
          <w:sz w:val="20"/>
        </w:rPr>
        <w:t xml:space="preserve"> date</w:t>
      </w:r>
      <w:r w:rsidR="00BB1AD5" w:rsidRPr="00BC2BC4">
        <w:rPr>
          <w:rFonts w:cs="Times New Roman"/>
          <w:kern w:val="2"/>
          <w:sz w:val="20"/>
        </w:rPr>
        <w:t xml:space="preserve"> as set out in section 1 of the regulation (no later than October 18, 2018)</w:t>
      </w:r>
      <w:r w:rsidRPr="00BC2BC4">
        <w:rPr>
          <w:rFonts w:cs="Times New Roman"/>
          <w:kern w:val="2"/>
          <w:sz w:val="20"/>
        </w:rPr>
        <w:t>.</w:t>
      </w:r>
      <w:r w:rsidR="005043CE" w:rsidRPr="00BC2BC4">
        <w:rPr>
          <w:rFonts w:cs="Times New Roman"/>
          <w:kern w:val="2"/>
          <w:sz w:val="20"/>
        </w:rPr>
        <w:t xml:space="preserve"> </w:t>
      </w:r>
    </w:p>
    <w:p w14:paraId="4DE9B245" w14:textId="7A38D380" w:rsidR="00B927AA" w:rsidRPr="00BC2BC4" w:rsidRDefault="005043CE" w:rsidP="003F14E9">
      <w:pPr>
        <w:rPr>
          <w:rFonts w:cs="Times New Roman"/>
          <w:kern w:val="2"/>
          <w:sz w:val="20"/>
        </w:rPr>
      </w:pPr>
      <w:r w:rsidRPr="00BC2BC4">
        <w:rPr>
          <w:rFonts w:cs="Times New Roman"/>
          <w:kern w:val="2"/>
          <w:sz w:val="20"/>
        </w:rPr>
        <w:t>The</w:t>
      </w:r>
      <w:r w:rsidR="00115DA2" w:rsidRPr="00BC2BC4">
        <w:rPr>
          <w:rFonts w:cs="Times New Roman"/>
          <w:kern w:val="2"/>
          <w:sz w:val="20"/>
        </w:rPr>
        <w:t xml:space="preserve"> </w:t>
      </w:r>
      <w:r w:rsidR="00C827C7" w:rsidRPr="00BC2BC4">
        <w:rPr>
          <w:rFonts w:cs="Times New Roman"/>
          <w:i/>
          <w:kern w:val="2"/>
          <w:sz w:val="20"/>
        </w:rPr>
        <w:t>PCR</w:t>
      </w:r>
      <w:r w:rsidR="00C827C7" w:rsidRPr="00BC2BC4">
        <w:rPr>
          <w:rFonts w:cs="Times New Roman"/>
          <w:kern w:val="2"/>
          <w:sz w:val="20"/>
        </w:rPr>
        <w:t xml:space="preserve"> </w:t>
      </w:r>
      <w:r w:rsidR="00115DA2" w:rsidRPr="00BC2BC4">
        <w:rPr>
          <w:rFonts w:cs="Times New Roman"/>
          <w:kern w:val="2"/>
          <w:sz w:val="20"/>
        </w:rPr>
        <w:t xml:space="preserve">repealed and replaced the </w:t>
      </w:r>
      <w:r w:rsidR="00115DA2" w:rsidRPr="00BC2BC4">
        <w:rPr>
          <w:rFonts w:cs="Times New Roman"/>
          <w:i/>
          <w:kern w:val="2"/>
          <w:sz w:val="20"/>
        </w:rPr>
        <w:t>Public Contracts Regulations 2006</w:t>
      </w:r>
      <w:r w:rsidR="00115DA2" w:rsidRPr="00BC2BC4">
        <w:rPr>
          <w:rFonts w:cs="Times New Roman"/>
          <w:kern w:val="2"/>
          <w:sz w:val="20"/>
        </w:rPr>
        <w:t xml:space="preserve"> and w</w:t>
      </w:r>
      <w:r w:rsidR="00DB3AB0" w:rsidRPr="00BC2BC4">
        <w:rPr>
          <w:rFonts w:cs="Times New Roman"/>
          <w:kern w:val="2"/>
          <w:sz w:val="20"/>
        </w:rPr>
        <w:t>as</w:t>
      </w:r>
      <w:r w:rsidR="00115DA2" w:rsidRPr="00BC2BC4">
        <w:rPr>
          <w:rFonts w:cs="Times New Roman"/>
          <w:kern w:val="2"/>
          <w:sz w:val="20"/>
        </w:rPr>
        <w:t xml:space="preserve"> drafted </w:t>
      </w:r>
      <w:r w:rsidR="00D6105B" w:rsidRPr="00BC2BC4">
        <w:rPr>
          <w:rFonts w:cs="Times New Roman"/>
          <w:kern w:val="2"/>
          <w:sz w:val="20"/>
        </w:rPr>
        <w:t>in</w:t>
      </w:r>
      <w:r w:rsidR="00115DA2" w:rsidRPr="00BC2BC4">
        <w:rPr>
          <w:rFonts w:cs="Times New Roman"/>
          <w:kern w:val="2"/>
          <w:sz w:val="20"/>
        </w:rPr>
        <w:t xml:space="preserve"> response to the updated requirements in the </w:t>
      </w:r>
      <w:r w:rsidR="00115DA2" w:rsidRPr="00BC2BC4">
        <w:rPr>
          <w:rFonts w:cs="Times New Roman"/>
          <w:i/>
          <w:kern w:val="2"/>
          <w:sz w:val="20"/>
        </w:rPr>
        <w:t>EU Directive on Public Procurement</w:t>
      </w:r>
      <w:r w:rsidR="00115DA2" w:rsidRPr="00BC2BC4">
        <w:rPr>
          <w:rFonts w:cs="Times New Roman"/>
          <w:kern w:val="2"/>
          <w:sz w:val="20"/>
        </w:rPr>
        <w:t xml:space="preserve">. </w:t>
      </w:r>
      <w:r w:rsidR="00C827C7" w:rsidRPr="00BC2BC4">
        <w:rPr>
          <w:rFonts w:cs="Times New Roman"/>
          <w:kern w:val="2"/>
          <w:sz w:val="20"/>
        </w:rPr>
        <w:t>The principles of procurement are set out</w:t>
      </w:r>
      <w:r w:rsidR="00115DA2" w:rsidRPr="00BC2BC4">
        <w:rPr>
          <w:rFonts w:cs="Times New Roman"/>
          <w:kern w:val="2"/>
          <w:sz w:val="20"/>
        </w:rPr>
        <w:t xml:space="preserve"> in s</w:t>
      </w:r>
      <w:r w:rsidR="00DB3AB0" w:rsidRPr="00BC2BC4">
        <w:rPr>
          <w:rFonts w:cs="Times New Roman"/>
          <w:kern w:val="2"/>
          <w:sz w:val="20"/>
        </w:rPr>
        <w:t xml:space="preserve">ection </w:t>
      </w:r>
      <w:r w:rsidR="00B56E07" w:rsidRPr="00BC2BC4">
        <w:rPr>
          <w:rFonts w:cs="Times New Roman"/>
          <w:kern w:val="2"/>
          <w:sz w:val="20"/>
        </w:rPr>
        <w:t>18</w:t>
      </w:r>
      <w:r w:rsidR="00C827C7" w:rsidRPr="00BC2BC4">
        <w:rPr>
          <w:rFonts w:cs="Times New Roman"/>
          <w:kern w:val="2"/>
          <w:sz w:val="20"/>
        </w:rPr>
        <w:t>:</w:t>
      </w:r>
      <w:r w:rsidR="00B56E07" w:rsidRPr="00BC2BC4">
        <w:rPr>
          <w:rFonts w:cs="Times New Roman"/>
          <w:kern w:val="2"/>
          <w:sz w:val="20"/>
        </w:rPr>
        <w:t xml:space="preserve"> treating economic operators equally, without discri</w:t>
      </w:r>
      <w:r w:rsidRPr="00BC2BC4">
        <w:rPr>
          <w:rFonts w:cs="Times New Roman"/>
          <w:kern w:val="2"/>
          <w:sz w:val="20"/>
        </w:rPr>
        <w:t>mination</w:t>
      </w:r>
      <w:r w:rsidR="00B56E07" w:rsidRPr="00BC2BC4">
        <w:rPr>
          <w:rFonts w:cs="Times New Roman"/>
          <w:kern w:val="2"/>
          <w:sz w:val="20"/>
        </w:rPr>
        <w:t xml:space="preserve"> and in </w:t>
      </w:r>
      <w:r w:rsidR="00115DA2" w:rsidRPr="00BC2BC4">
        <w:rPr>
          <w:rFonts w:cs="Times New Roman"/>
          <w:kern w:val="2"/>
          <w:sz w:val="20"/>
        </w:rPr>
        <w:t xml:space="preserve">a </w:t>
      </w:r>
      <w:r w:rsidR="00B56E07" w:rsidRPr="00BC2BC4">
        <w:rPr>
          <w:rFonts w:cs="Times New Roman"/>
          <w:kern w:val="2"/>
          <w:sz w:val="20"/>
        </w:rPr>
        <w:t>transparent manner.</w:t>
      </w:r>
      <w:r w:rsidR="00B56E07" w:rsidRPr="00BC2BC4">
        <w:rPr>
          <w:rStyle w:val="FootnoteReference"/>
          <w:rFonts w:cs="Times New Roman"/>
          <w:kern w:val="2"/>
          <w:sz w:val="20"/>
        </w:rPr>
        <w:footnoteReference w:id="226"/>
      </w:r>
      <w:r w:rsidR="00C827C7" w:rsidRPr="00BC2BC4">
        <w:rPr>
          <w:rFonts w:cs="Times New Roman"/>
          <w:i/>
          <w:kern w:val="2"/>
          <w:sz w:val="20"/>
        </w:rPr>
        <w:t xml:space="preserve"> </w:t>
      </w:r>
      <w:r w:rsidRPr="00BC2BC4">
        <w:rPr>
          <w:rFonts w:cs="Times New Roman"/>
          <w:kern w:val="2"/>
          <w:sz w:val="20"/>
        </w:rPr>
        <w:t xml:space="preserve">The </w:t>
      </w:r>
      <w:r w:rsidR="00C827C7" w:rsidRPr="00BC2BC4">
        <w:rPr>
          <w:rFonts w:cs="Times New Roman"/>
          <w:i/>
          <w:kern w:val="2"/>
          <w:sz w:val="20"/>
        </w:rPr>
        <w:t>PCR</w:t>
      </w:r>
      <w:r w:rsidR="00C827C7" w:rsidRPr="00BC2BC4">
        <w:rPr>
          <w:rFonts w:cs="Times New Roman"/>
          <w:kern w:val="2"/>
          <w:sz w:val="20"/>
        </w:rPr>
        <w:t xml:space="preserve"> </w:t>
      </w:r>
      <w:r w:rsidR="00B56E07" w:rsidRPr="00BC2BC4">
        <w:rPr>
          <w:rFonts w:cs="Times New Roman"/>
          <w:kern w:val="2"/>
          <w:sz w:val="20"/>
        </w:rPr>
        <w:t>also provide</w:t>
      </w:r>
      <w:r w:rsidR="00C827C7" w:rsidRPr="00BC2BC4">
        <w:rPr>
          <w:rFonts w:cs="Times New Roman"/>
          <w:kern w:val="2"/>
          <w:sz w:val="20"/>
        </w:rPr>
        <w:t>s</w:t>
      </w:r>
      <w:r w:rsidR="00B56E07" w:rsidRPr="00BC2BC4">
        <w:rPr>
          <w:rFonts w:cs="Times New Roman"/>
          <w:kern w:val="2"/>
          <w:sz w:val="20"/>
        </w:rPr>
        <w:t xml:space="preserve"> that Contracting Authorities are not to design a procurement</w:t>
      </w:r>
      <w:r w:rsidRPr="00BC2BC4">
        <w:rPr>
          <w:rFonts w:cs="Times New Roman"/>
          <w:kern w:val="2"/>
          <w:sz w:val="20"/>
        </w:rPr>
        <w:t xml:space="preserve"> process</w:t>
      </w:r>
      <w:r w:rsidR="00B56E07" w:rsidRPr="00BC2BC4">
        <w:rPr>
          <w:rFonts w:cs="Times New Roman"/>
          <w:kern w:val="2"/>
          <w:sz w:val="20"/>
        </w:rPr>
        <w:t xml:space="preserve"> </w:t>
      </w:r>
      <w:r w:rsidR="00832DCA" w:rsidRPr="00BC2BC4">
        <w:rPr>
          <w:rFonts w:cs="Times New Roman"/>
          <w:kern w:val="2"/>
          <w:sz w:val="20"/>
        </w:rPr>
        <w:t>to</w:t>
      </w:r>
      <w:r w:rsidR="00B56E07" w:rsidRPr="00BC2BC4">
        <w:rPr>
          <w:rFonts w:cs="Times New Roman"/>
          <w:kern w:val="2"/>
          <w:sz w:val="20"/>
        </w:rPr>
        <w:t xml:space="preserve"> artificially narrow competition or intentionally exclude it from certain provisions of</w:t>
      </w:r>
      <w:r w:rsidRPr="00BC2BC4">
        <w:rPr>
          <w:rFonts w:cs="Times New Roman"/>
          <w:kern w:val="2"/>
          <w:sz w:val="20"/>
        </w:rPr>
        <w:t xml:space="preserve"> the</w:t>
      </w:r>
      <w:r w:rsidR="00B56E07" w:rsidRPr="00BC2BC4">
        <w:rPr>
          <w:rFonts w:cs="Times New Roman"/>
          <w:kern w:val="2"/>
          <w:sz w:val="20"/>
        </w:rPr>
        <w:t xml:space="preserve"> </w:t>
      </w:r>
      <w:r w:rsidR="00C827C7" w:rsidRPr="00BC2BC4">
        <w:rPr>
          <w:rFonts w:cs="Times New Roman"/>
          <w:i/>
          <w:kern w:val="2"/>
          <w:sz w:val="20"/>
        </w:rPr>
        <w:t>PCR</w:t>
      </w:r>
      <w:r w:rsidR="00B56E07" w:rsidRPr="00BC2BC4">
        <w:rPr>
          <w:rFonts w:cs="Times New Roman"/>
          <w:kern w:val="2"/>
          <w:sz w:val="20"/>
        </w:rPr>
        <w:t>.</w:t>
      </w:r>
      <w:r w:rsidR="00B56E07" w:rsidRPr="00BC2BC4">
        <w:rPr>
          <w:rStyle w:val="FootnoteReference"/>
          <w:rFonts w:cs="Times New Roman"/>
          <w:kern w:val="2"/>
          <w:sz w:val="20"/>
        </w:rPr>
        <w:footnoteReference w:id="227"/>
      </w:r>
      <w:r w:rsidR="00B56E07" w:rsidRPr="00BC2BC4">
        <w:rPr>
          <w:rFonts w:cs="Times New Roman"/>
          <w:kern w:val="2"/>
          <w:sz w:val="20"/>
        </w:rPr>
        <w:t xml:space="preserve"> </w:t>
      </w:r>
      <w:r w:rsidRPr="00BC2BC4">
        <w:rPr>
          <w:rFonts w:cs="Times New Roman"/>
          <w:kern w:val="2"/>
          <w:sz w:val="20"/>
        </w:rPr>
        <w:t xml:space="preserve">The </w:t>
      </w:r>
      <w:r w:rsidR="00C827C7" w:rsidRPr="00BC2BC4">
        <w:rPr>
          <w:rFonts w:cs="Times New Roman"/>
          <w:i/>
          <w:kern w:val="2"/>
          <w:sz w:val="20"/>
        </w:rPr>
        <w:t>PCR</w:t>
      </w:r>
      <w:r w:rsidR="00C827C7" w:rsidRPr="00BC2BC4">
        <w:rPr>
          <w:rFonts w:cs="Times New Roman"/>
          <w:kern w:val="2"/>
          <w:sz w:val="20"/>
        </w:rPr>
        <w:t xml:space="preserve"> </w:t>
      </w:r>
      <w:r w:rsidR="009F22F0" w:rsidRPr="00BC2BC4">
        <w:rPr>
          <w:rFonts w:cs="Times New Roman"/>
          <w:kern w:val="2"/>
          <w:sz w:val="20"/>
        </w:rPr>
        <w:t>imposes</w:t>
      </w:r>
      <w:r w:rsidRPr="00BC2BC4">
        <w:rPr>
          <w:rFonts w:cs="Times New Roman"/>
          <w:kern w:val="2"/>
          <w:sz w:val="20"/>
        </w:rPr>
        <w:t xml:space="preserve"> a duty on </w:t>
      </w:r>
      <w:r w:rsidR="00B56E07" w:rsidRPr="00BC2BC4">
        <w:rPr>
          <w:rFonts w:cs="Times New Roman"/>
          <w:kern w:val="2"/>
          <w:sz w:val="20"/>
        </w:rPr>
        <w:t>the Cont</w:t>
      </w:r>
      <w:r w:rsidR="009F22F0" w:rsidRPr="00BC2BC4">
        <w:rPr>
          <w:rFonts w:cs="Times New Roman"/>
          <w:kern w:val="2"/>
          <w:sz w:val="20"/>
        </w:rPr>
        <w:t xml:space="preserve">racting Authority in relation to </w:t>
      </w:r>
      <w:r w:rsidR="00B56E07" w:rsidRPr="00BC2BC4">
        <w:rPr>
          <w:rFonts w:cs="Times New Roman"/>
          <w:kern w:val="2"/>
          <w:sz w:val="20"/>
        </w:rPr>
        <w:t>economic operators, and if this duty is breached</w:t>
      </w:r>
      <w:r w:rsidR="009F22F0" w:rsidRPr="00BC2BC4">
        <w:rPr>
          <w:rFonts w:cs="Times New Roman"/>
          <w:kern w:val="2"/>
          <w:sz w:val="20"/>
        </w:rPr>
        <w:t xml:space="preserve"> and the breach causes loss, an economic operator</w:t>
      </w:r>
      <w:r w:rsidR="00B56E07" w:rsidRPr="00BC2BC4">
        <w:rPr>
          <w:rFonts w:cs="Times New Roman"/>
          <w:kern w:val="2"/>
          <w:sz w:val="20"/>
        </w:rPr>
        <w:t xml:space="preserve"> can bring a claim under</w:t>
      </w:r>
      <w:r w:rsidR="009F22F0" w:rsidRPr="00BC2BC4">
        <w:rPr>
          <w:rFonts w:cs="Times New Roman"/>
          <w:kern w:val="2"/>
          <w:sz w:val="20"/>
        </w:rPr>
        <w:t xml:space="preserve"> the</w:t>
      </w:r>
      <w:r w:rsidR="00B56E07" w:rsidRPr="00BC2BC4">
        <w:rPr>
          <w:rFonts w:cs="Times New Roman"/>
          <w:kern w:val="2"/>
          <w:sz w:val="20"/>
        </w:rPr>
        <w:t xml:space="preserve"> </w:t>
      </w:r>
      <w:r w:rsidR="00C827C7" w:rsidRPr="00BC2BC4">
        <w:rPr>
          <w:rFonts w:cs="Times New Roman"/>
          <w:i/>
          <w:kern w:val="2"/>
          <w:sz w:val="20"/>
        </w:rPr>
        <w:t>PCR</w:t>
      </w:r>
      <w:r w:rsidR="00B56E07" w:rsidRPr="00BC2BC4">
        <w:rPr>
          <w:rFonts w:cs="Times New Roman"/>
          <w:kern w:val="2"/>
          <w:sz w:val="20"/>
        </w:rPr>
        <w:t>.</w:t>
      </w:r>
      <w:r w:rsidR="00B56E07" w:rsidRPr="00BC2BC4">
        <w:rPr>
          <w:rStyle w:val="FootnoteReference"/>
          <w:rFonts w:cs="Times New Roman"/>
          <w:kern w:val="2"/>
          <w:sz w:val="20"/>
        </w:rPr>
        <w:footnoteReference w:id="228"/>
      </w:r>
      <w:r w:rsidR="00B56E07" w:rsidRPr="00BC2BC4">
        <w:rPr>
          <w:rFonts w:cs="Times New Roman"/>
          <w:kern w:val="2"/>
          <w:sz w:val="20"/>
        </w:rPr>
        <w:t xml:space="preserve"> </w:t>
      </w:r>
      <w:r w:rsidR="009F22F0" w:rsidRPr="00BC2BC4">
        <w:rPr>
          <w:rFonts w:cs="Times New Roman"/>
          <w:kern w:val="2"/>
          <w:sz w:val="20"/>
        </w:rPr>
        <w:t xml:space="preserve">The </w:t>
      </w:r>
      <w:r w:rsidR="00C827C7" w:rsidRPr="00BC2BC4">
        <w:rPr>
          <w:rFonts w:cs="Times New Roman"/>
          <w:i/>
          <w:kern w:val="2"/>
          <w:sz w:val="20"/>
        </w:rPr>
        <w:t>PCR</w:t>
      </w:r>
      <w:r w:rsidR="00C827C7" w:rsidRPr="00BC2BC4">
        <w:rPr>
          <w:rFonts w:cs="Times New Roman"/>
          <w:kern w:val="2"/>
          <w:sz w:val="20"/>
        </w:rPr>
        <w:t xml:space="preserve"> specifies</w:t>
      </w:r>
      <w:r w:rsidR="00B56E07" w:rsidRPr="00BC2BC4">
        <w:rPr>
          <w:rFonts w:cs="Times New Roman"/>
          <w:kern w:val="2"/>
          <w:sz w:val="20"/>
        </w:rPr>
        <w:t xml:space="preserve"> the remedies </w:t>
      </w:r>
      <w:r w:rsidR="00AC315C" w:rsidRPr="00BC2BC4">
        <w:rPr>
          <w:rFonts w:cs="Times New Roman"/>
          <w:kern w:val="2"/>
          <w:sz w:val="20"/>
        </w:rPr>
        <w:t xml:space="preserve">that </w:t>
      </w:r>
      <w:r w:rsidR="00B56E07" w:rsidRPr="00BC2BC4">
        <w:rPr>
          <w:rFonts w:cs="Times New Roman"/>
          <w:kern w:val="2"/>
          <w:sz w:val="20"/>
        </w:rPr>
        <w:t>may b</w:t>
      </w:r>
      <w:r w:rsidR="009F22F0" w:rsidRPr="00BC2BC4">
        <w:rPr>
          <w:rFonts w:cs="Times New Roman"/>
          <w:kern w:val="2"/>
          <w:sz w:val="20"/>
        </w:rPr>
        <w:t>e sought by economic operators.</w:t>
      </w:r>
      <w:r w:rsidR="00B56E07" w:rsidRPr="00BC2BC4">
        <w:rPr>
          <w:rFonts w:cs="Times New Roman"/>
          <w:kern w:val="2"/>
          <w:sz w:val="20"/>
        </w:rPr>
        <w:t xml:space="preserve"> </w:t>
      </w:r>
      <w:r w:rsidR="009F22F0" w:rsidRPr="00BC2BC4">
        <w:rPr>
          <w:rFonts w:cs="Times New Roman"/>
          <w:kern w:val="2"/>
          <w:sz w:val="20"/>
        </w:rPr>
        <w:t>There are exclusions as to when the</w:t>
      </w:r>
      <w:r w:rsidR="00B927AA" w:rsidRPr="00BC2BC4">
        <w:rPr>
          <w:rFonts w:cs="Times New Roman"/>
          <w:kern w:val="2"/>
          <w:sz w:val="20"/>
        </w:rPr>
        <w:t xml:space="preserve"> </w:t>
      </w:r>
      <w:r w:rsidR="00B927AA" w:rsidRPr="00BC2BC4">
        <w:rPr>
          <w:rFonts w:cs="Times New Roman"/>
          <w:i/>
          <w:kern w:val="2"/>
          <w:sz w:val="20"/>
        </w:rPr>
        <w:t>PCR</w:t>
      </w:r>
      <w:r w:rsidR="00B927AA" w:rsidRPr="00BC2BC4">
        <w:rPr>
          <w:rFonts w:cs="Times New Roman"/>
          <w:kern w:val="2"/>
          <w:sz w:val="20"/>
        </w:rPr>
        <w:t xml:space="preserve"> applies</w:t>
      </w:r>
      <w:r w:rsidR="009F22F0" w:rsidRPr="00BC2BC4">
        <w:rPr>
          <w:rFonts w:cs="Times New Roman"/>
          <w:kern w:val="2"/>
          <w:sz w:val="20"/>
        </w:rPr>
        <w:t>,</w:t>
      </w:r>
      <w:r w:rsidR="00B927AA" w:rsidRPr="00BC2BC4">
        <w:rPr>
          <w:rFonts w:cs="Times New Roman"/>
          <w:kern w:val="2"/>
          <w:sz w:val="20"/>
        </w:rPr>
        <w:t xml:space="preserve"> such as where </w:t>
      </w:r>
      <w:r w:rsidR="00004E77" w:rsidRPr="00BC2BC4">
        <w:rPr>
          <w:rFonts w:cs="Times New Roman"/>
          <w:kern w:val="2"/>
          <w:sz w:val="20"/>
          <w:lang w:val="en"/>
        </w:rPr>
        <w:t xml:space="preserve">the authority is buying for the defence and security sector, in which case the </w:t>
      </w:r>
      <w:r w:rsidR="00832DCA" w:rsidRPr="00BC2BC4">
        <w:rPr>
          <w:rFonts w:cs="Times New Roman"/>
          <w:i/>
          <w:kern w:val="2"/>
          <w:sz w:val="20"/>
          <w:lang w:val="en"/>
        </w:rPr>
        <w:t>Defence and Security Public Contracts Regulations 2011</w:t>
      </w:r>
      <w:r w:rsidR="00832DCA" w:rsidRPr="00BC2BC4">
        <w:rPr>
          <w:rFonts w:cs="Times New Roman"/>
          <w:kern w:val="2"/>
          <w:sz w:val="20"/>
          <w:lang w:val="en"/>
        </w:rPr>
        <w:t xml:space="preserve"> may cover the situation</w:t>
      </w:r>
      <w:r w:rsidR="00B927AA" w:rsidRPr="00BC2BC4">
        <w:rPr>
          <w:rFonts w:cs="Times New Roman"/>
          <w:kern w:val="2"/>
          <w:sz w:val="20"/>
        </w:rPr>
        <w:t>.</w:t>
      </w:r>
      <w:r w:rsidR="00B927AA" w:rsidRPr="00BC2BC4">
        <w:rPr>
          <w:rStyle w:val="FootnoteReference"/>
          <w:rFonts w:cs="Times New Roman"/>
          <w:kern w:val="2"/>
          <w:sz w:val="20"/>
        </w:rPr>
        <w:footnoteReference w:id="229"/>
      </w:r>
    </w:p>
    <w:p w14:paraId="1968DCEE" w14:textId="2E7414C9" w:rsidR="00B60546" w:rsidRPr="00BC2BC4" w:rsidRDefault="009F22F0" w:rsidP="003F14E9">
      <w:pPr>
        <w:rPr>
          <w:rFonts w:cs="Times New Roman"/>
          <w:kern w:val="2"/>
          <w:sz w:val="20"/>
        </w:rPr>
      </w:pPr>
      <w:r w:rsidRPr="00BC2BC4">
        <w:rPr>
          <w:rFonts w:cs="Times New Roman"/>
          <w:kern w:val="2"/>
          <w:sz w:val="20"/>
        </w:rPr>
        <w:t xml:space="preserve">The </w:t>
      </w:r>
      <w:r w:rsidR="00B60546" w:rsidRPr="00BC2BC4">
        <w:rPr>
          <w:rFonts w:cs="Times New Roman"/>
          <w:i/>
          <w:kern w:val="2"/>
          <w:sz w:val="20"/>
        </w:rPr>
        <w:t>PCR</w:t>
      </w:r>
      <w:r w:rsidR="00B60546" w:rsidRPr="00BC2BC4">
        <w:rPr>
          <w:rFonts w:cs="Times New Roman"/>
          <w:kern w:val="2"/>
          <w:sz w:val="20"/>
        </w:rPr>
        <w:t xml:space="preserve"> strives </w:t>
      </w:r>
      <w:r w:rsidR="002457CA" w:rsidRPr="00BC2BC4">
        <w:rPr>
          <w:rFonts w:cs="Times New Roman"/>
          <w:kern w:val="2"/>
          <w:sz w:val="20"/>
        </w:rPr>
        <w:t xml:space="preserve">to improve the public procurement environment and make it easier for more companies to compete in procurement offers. Changes to </w:t>
      </w:r>
      <w:r w:rsidR="00C4574C" w:rsidRPr="00BC2BC4">
        <w:rPr>
          <w:rFonts w:cs="Times New Roman"/>
          <w:kern w:val="2"/>
          <w:sz w:val="20"/>
        </w:rPr>
        <w:t xml:space="preserve">the </w:t>
      </w:r>
      <w:r w:rsidR="002457CA" w:rsidRPr="00BC2BC4">
        <w:rPr>
          <w:rFonts w:cs="Times New Roman"/>
          <w:i/>
          <w:kern w:val="2"/>
          <w:sz w:val="20"/>
        </w:rPr>
        <w:t xml:space="preserve">PCR </w:t>
      </w:r>
      <w:r w:rsidR="002457CA" w:rsidRPr="00BC2BC4">
        <w:rPr>
          <w:rFonts w:cs="Times New Roman"/>
          <w:kern w:val="2"/>
          <w:sz w:val="20"/>
        </w:rPr>
        <w:t>include reducing</w:t>
      </w:r>
      <w:r w:rsidR="00B60546" w:rsidRPr="00BC2BC4">
        <w:rPr>
          <w:rFonts w:cs="Times New Roman"/>
          <w:kern w:val="2"/>
          <w:sz w:val="20"/>
        </w:rPr>
        <w:t xml:space="preserve"> red tape, open</w:t>
      </w:r>
      <w:r w:rsidR="002457CA" w:rsidRPr="00BC2BC4">
        <w:rPr>
          <w:rFonts w:cs="Times New Roman"/>
          <w:kern w:val="2"/>
          <w:sz w:val="20"/>
        </w:rPr>
        <w:t>ing the market to SMEs, clarifying</w:t>
      </w:r>
      <w:r w:rsidR="00B60546" w:rsidRPr="00BC2BC4">
        <w:rPr>
          <w:rFonts w:cs="Times New Roman"/>
          <w:kern w:val="2"/>
          <w:sz w:val="20"/>
        </w:rPr>
        <w:t xml:space="preserve"> that poor performance by a bidder will lead to that bidder</w:t>
      </w:r>
      <w:r w:rsidR="00C4574C" w:rsidRPr="00BC2BC4">
        <w:rPr>
          <w:rFonts w:cs="Times New Roman"/>
          <w:kern w:val="2"/>
          <w:sz w:val="20"/>
        </w:rPr>
        <w:t>’</w:t>
      </w:r>
      <w:r w:rsidR="00B60546" w:rsidRPr="00BC2BC4">
        <w:rPr>
          <w:rFonts w:cs="Times New Roman"/>
          <w:kern w:val="2"/>
          <w:sz w:val="20"/>
        </w:rPr>
        <w:t>s exclusion from future offers,</w:t>
      </w:r>
      <w:r w:rsidR="00DD6411" w:rsidRPr="00BC2BC4">
        <w:rPr>
          <w:rFonts w:cs="Times New Roman"/>
          <w:kern w:val="2"/>
          <w:sz w:val="20"/>
        </w:rPr>
        <w:t xml:space="preserve"> allowing the creation of innovation partnerships,</w:t>
      </w:r>
      <w:r w:rsidR="00A43977" w:rsidRPr="00BC2BC4">
        <w:rPr>
          <w:rFonts w:cs="Times New Roman"/>
          <w:kern w:val="2"/>
          <w:sz w:val="20"/>
        </w:rPr>
        <w:t xml:space="preserve"> introducing</w:t>
      </w:r>
      <w:r w:rsidR="00B60546" w:rsidRPr="00BC2BC4">
        <w:rPr>
          <w:rFonts w:cs="Times New Roman"/>
          <w:kern w:val="2"/>
          <w:sz w:val="20"/>
        </w:rPr>
        <w:t xml:space="preserve"> </w:t>
      </w:r>
      <w:r w:rsidR="002457CA" w:rsidRPr="00BC2BC4">
        <w:rPr>
          <w:rFonts w:cs="Times New Roman"/>
          <w:kern w:val="2"/>
          <w:sz w:val="20"/>
        </w:rPr>
        <w:t>a requirement for contracting authorities to demand explanation for abnormally low tenders</w:t>
      </w:r>
      <w:r w:rsidR="00B247BC" w:rsidRPr="00BC2BC4">
        <w:rPr>
          <w:rFonts w:cs="Times New Roman"/>
          <w:kern w:val="2"/>
          <w:sz w:val="20"/>
        </w:rPr>
        <w:t>,</w:t>
      </w:r>
      <w:r w:rsidR="002457CA" w:rsidRPr="00BC2BC4">
        <w:rPr>
          <w:rFonts w:cs="Times New Roman"/>
          <w:kern w:val="2"/>
          <w:sz w:val="20"/>
        </w:rPr>
        <w:t xml:space="preserve"> a</w:t>
      </w:r>
      <w:r w:rsidR="00C4574C" w:rsidRPr="00BC2BC4">
        <w:rPr>
          <w:rFonts w:cs="Times New Roman"/>
          <w:kern w:val="2"/>
          <w:sz w:val="20"/>
        </w:rPr>
        <w:t xml:space="preserve">nd </w:t>
      </w:r>
      <w:r w:rsidR="00A43977" w:rsidRPr="00BC2BC4">
        <w:rPr>
          <w:rFonts w:cs="Times New Roman"/>
          <w:kern w:val="2"/>
          <w:sz w:val="20"/>
        </w:rPr>
        <w:t xml:space="preserve">introducing </w:t>
      </w:r>
      <w:r w:rsidR="00C4574C" w:rsidRPr="00BC2BC4">
        <w:rPr>
          <w:rFonts w:cs="Times New Roman"/>
          <w:kern w:val="2"/>
          <w:sz w:val="20"/>
        </w:rPr>
        <w:t>a requirement that the bid be</w:t>
      </w:r>
      <w:r w:rsidR="002457CA" w:rsidRPr="00BC2BC4">
        <w:rPr>
          <w:rFonts w:cs="Times New Roman"/>
          <w:kern w:val="2"/>
          <w:sz w:val="20"/>
        </w:rPr>
        <w:t xml:space="preserve"> rejected if it is low </w:t>
      </w:r>
      <w:r w:rsidR="00A23C6B" w:rsidRPr="00BC2BC4">
        <w:rPr>
          <w:rFonts w:cs="Times New Roman"/>
          <w:kern w:val="2"/>
          <w:sz w:val="20"/>
        </w:rPr>
        <w:t xml:space="preserve">as a result of </w:t>
      </w:r>
      <w:r w:rsidR="002457CA" w:rsidRPr="00BC2BC4">
        <w:rPr>
          <w:rFonts w:cs="Times New Roman"/>
          <w:kern w:val="2"/>
          <w:sz w:val="20"/>
        </w:rPr>
        <w:t>breaches to environmental, social or labour laws</w:t>
      </w:r>
      <w:r w:rsidR="00DD6411" w:rsidRPr="00BC2BC4">
        <w:rPr>
          <w:rFonts w:cs="Times New Roman"/>
          <w:kern w:val="2"/>
          <w:sz w:val="20"/>
        </w:rPr>
        <w:t>.</w:t>
      </w:r>
      <w:r w:rsidR="002457CA" w:rsidRPr="00BC2BC4">
        <w:rPr>
          <w:rFonts w:cs="Times New Roman"/>
          <w:kern w:val="2"/>
          <w:sz w:val="20"/>
        </w:rPr>
        <w:t xml:space="preserve"> It is thought that the changes to the </w:t>
      </w:r>
      <w:r w:rsidR="002457CA" w:rsidRPr="00BC2BC4">
        <w:rPr>
          <w:rFonts w:cs="Times New Roman"/>
          <w:i/>
          <w:kern w:val="2"/>
          <w:sz w:val="20"/>
        </w:rPr>
        <w:t>PCR</w:t>
      </w:r>
      <w:r w:rsidR="002457CA" w:rsidRPr="00BC2BC4">
        <w:rPr>
          <w:rFonts w:cs="Times New Roman"/>
          <w:kern w:val="2"/>
          <w:sz w:val="20"/>
        </w:rPr>
        <w:t xml:space="preserve"> will allow for more flexibility and simplicity in procurement law. </w:t>
      </w:r>
    </w:p>
    <w:p w14:paraId="66F06476" w14:textId="73846A7D" w:rsidR="008A4066" w:rsidRPr="00BC2BC4" w:rsidRDefault="00D65A87" w:rsidP="00C74A64">
      <w:pPr>
        <w:pStyle w:val="Heading3"/>
        <w:rPr>
          <w:i/>
          <w:kern w:val="2"/>
          <w:sz w:val="22"/>
        </w:rPr>
      </w:pPr>
      <w:bookmarkStart w:id="62" w:name="_Toc424485042"/>
      <w:r w:rsidRPr="00BC2BC4">
        <w:rPr>
          <w:i/>
          <w:kern w:val="2"/>
          <w:sz w:val="22"/>
        </w:rPr>
        <w:t>Public Services (Social Value) Act 2012</w:t>
      </w:r>
      <w:bookmarkEnd w:id="62"/>
    </w:p>
    <w:p w14:paraId="2F4AE014" w14:textId="5C225101" w:rsidR="00D65A87" w:rsidRPr="00BC2BC4" w:rsidRDefault="00115DA2" w:rsidP="003F14E9">
      <w:pPr>
        <w:rPr>
          <w:rFonts w:cs="Times New Roman"/>
          <w:kern w:val="2"/>
          <w:sz w:val="20"/>
        </w:rPr>
      </w:pPr>
      <w:r w:rsidRPr="00BC2BC4">
        <w:rPr>
          <w:rFonts w:cs="Times New Roman"/>
          <w:kern w:val="2"/>
          <w:sz w:val="20"/>
        </w:rPr>
        <w:t xml:space="preserve">The </w:t>
      </w:r>
      <w:r w:rsidR="00AC315C" w:rsidRPr="00BC2BC4">
        <w:rPr>
          <w:rFonts w:cs="Times New Roman"/>
          <w:i/>
          <w:kern w:val="2"/>
          <w:sz w:val="20"/>
        </w:rPr>
        <w:t xml:space="preserve">Public Services (Social Value) Act 2012 </w:t>
      </w:r>
      <w:r w:rsidR="00DD6411" w:rsidRPr="00BC2BC4">
        <w:rPr>
          <w:rFonts w:cs="Times New Roman"/>
          <w:kern w:val="2"/>
          <w:sz w:val="20"/>
        </w:rPr>
        <w:t>(</w:t>
      </w:r>
      <w:r w:rsidR="00DD6411" w:rsidRPr="00BC2BC4">
        <w:rPr>
          <w:rFonts w:cs="Times New Roman"/>
          <w:i/>
          <w:kern w:val="2"/>
          <w:sz w:val="20"/>
        </w:rPr>
        <w:t>PSA</w:t>
      </w:r>
      <w:r w:rsidR="00C827C7" w:rsidRPr="00BC2BC4">
        <w:rPr>
          <w:rFonts w:cs="Times New Roman"/>
          <w:kern w:val="2"/>
          <w:sz w:val="20"/>
        </w:rPr>
        <w:t>)</w:t>
      </w:r>
      <w:r w:rsidR="003F26A9" w:rsidRPr="00BC2BC4">
        <w:rPr>
          <w:rStyle w:val="FootnoteReference"/>
          <w:rFonts w:cs="Times New Roman"/>
          <w:kern w:val="2"/>
          <w:sz w:val="20"/>
        </w:rPr>
        <w:footnoteReference w:id="230"/>
      </w:r>
      <w:r w:rsidR="00D65A87" w:rsidRPr="00BC2BC4">
        <w:rPr>
          <w:rFonts w:cs="Times New Roman"/>
          <w:kern w:val="2"/>
          <w:sz w:val="20"/>
        </w:rPr>
        <w:t xml:space="preserve"> receive</w:t>
      </w:r>
      <w:r w:rsidR="00DD6411" w:rsidRPr="00BC2BC4">
        <w:rPr>
          <w:rFonts w:cs="Times New Roman"/>
          <w:kern w:val="2"/>
          <w:sz w:val="20"/>
        </w:rPr>
        <w:t>d royal assent on March 8, 2012</w:t>
      </w:r>
      <w:r w:rsidR="00AC315C" w:rsidRPr="00BC2BC4">
        <w:rPr>
          <w:rFonts w:cs="Times New Roman"/>
          <w:kern w:val="2"/>
          <w:sz w:val="20"/>
        </w:rPr>
        <w:t xml:space="preserve"> and came into force </w:t>
      </w:r>
      <w:r w:rsidR="00405694" w:rsidRPr="00BC2BC4">
        <w:rPr>
          <w:rFonts w:cs="Times New Roman"/>
          <w:kern w:val="2"/>
          <w:sz w:val="20"/>
        </w:rPr>
        <w:t xml:space="preserve">on </w:t>
      </w:r>
      <w:r w:rsidR="00AC315C" w:rsidRPr="00BC2BC4">
        <w:rPr>
          <w:rFonts w:cs="Times New Roman"/>
          <w:kern w:val="2"/>
          <w:sz w:val="20"/>
        </w:rPr>
        <w:t>January 31, 2013</w:t>
      </w:r>
      <w:r w:rsidR="00DD6411" w:rsidRPr="00BC2BC4">
        <w:rPr>
          <w:rFonts w:cs="Times New Roman"/>
          <w:kern w:val="2"/>
          <w:sz w:val="20"/>
        </w:rPr>
        <w:t>. It</w:t>
      </w:r>
      <w:r w:rsidR="00D65A87" w:rsidRPr="00BC2BC4">
        <w:rPr>
          <w:rFonts w:cs="Times New Roman"/>
          <w:kern w:val="2"/>
          <w:sz w:val="20"/>
        </w:rPr>
        <w:t xml:space="preserve"> creates a statutory requirement for public authorities</w:t>
      </w:r>
      <w:r w:rsidR="00A313F2" w:rsidRPr="00BC2BC4">
        <w:rPr>
          <w:rFonts w:cs="Times New Roman"/>
          <w:kern w:val="2"/>
          <w:sz w:val="20"/>
        </w:rPr>
        <w:t xml:space="preserve"> in England and Wales</w:t>
      </w:r>
      <w:r w:rsidR="00D65A87" w:rsidRPr="00BC2BC4">
        <w:rPr>
          <w:rFonts w:cs="Times New Roman"/>
          <w:kern w:val="2"/>
          <w:sz w:val="20"/>
        </w:rPr>
        <w:t xml:space="preserve"> “to have regard to economic, social and environmental well-being in connection with public services contracts.”</w:t>
      </w:r>
      <w:r w:rsidR="00D65A87" w:rsidRPr="00BC2BC4">
        <w:rPr>
          <w:rStyle w:val="FootnoteReference"/>
          <w:rFonts w:cs="Times New Roman"/>
          <w:kern w:val="2"/>
          <w:sz w:val="20"/>
        </w:rPr>
        <w:footnoteReference w:id="231"/>
      </w:r>
      <w:r w:rsidR="00D65A87" w:rsidRPr="00BC2BC4">
        <w:rPr>
          <w:rFonts w:cs="Times New Roman"/>
          <w:kern w:val="2"/>
          <w:sz w:val="20"/>
        </w:rPr>
        <w:t xml:space="preserve"> </w:t>
      </w:r>
      <w:r w:rsidR="00DD6411" w:rsidRPr="00BC2BC4">
        <w:rPr>
          <w:rFonts w:cs="Times New Roman"/>
          <w:kern w:val="2"/>
          <w:sz w:val="20"/>
        </w:rPr>
        <w:t xml:space="preserve">The </w:t>
      </w:r>
      <w:r w:rsidR="00A313F2" w:rsidRPr="00BC2BC4">
        <w:rPr>
          <w:rFonts w:cs="Times New Roman"/>
          <w:i/>
          <w:kern w:val="2"/>
          <w:sz w:val="20"/>
        </w:rPr>
        <w:t>PSA</w:t>
      </w:r>
      <w:r w:rsidR="00D65A87" w:rsidRPr="00BC2BC4">
        <w:rPr>
          <w:rFonts w:cs="Times New Roman"/>
          <w:kern w:val="2"/>
          <w:sz w:val="20"/>
        </w:rPr>
        <w:t xml:space="preserve"> </w:t>
      </w:r>
      <w:r w:rsidR="00DD6411" w:rsidRPr="00BC2BC4">
        <w:rPr>
          <w:rFonts w:cs="Times New Roman"/>
          <w:kern w:val="2"/>
          <w:sz w:val="20"/>
        </w:rPr>
        <w:t>applies only to public service contracts, not</w:t>
      </w:r>
      <w:r w:rsidR="00D65A87" w:rsidRPr="00BC2BC4">
        <w:rPr>
          <w:rFonts w:cs="Times New Roman"/>
          <w:kern w:val="2"/>
          <w:sz w:val="20"/>
        </w:rPr>
        <w:t xml:space="preserve"> publ</w:t>
      </w:r>
      <w:r w:rsidR="00DD6411" w:rsidRPr="00BC2BC4">
        <w:rPr>
          <w:rFonts w:cs="Times New Roman"/>
          <w:kern w:val="2"/>
          <w:sz w:val="20"/>
        </w:rPr>
        <w:t>ic works or supplies contra</w:t>
      </w:r>
      <w:r w:rsidR="00D65A87" w:rsidRPr="00BC2BC4">
        <w:rPr>
          <w:rFonts w:cs="Times New Roman"/>
          <w:kern w:val="2"/>
          <w:sz w:val="20"/>
        </w:rPr>
        <w:t xml:space="preserve">cts. </w:t>
      </w:r>
      <w:r w:rsidR="00A313F2" w:rsidRPr="00BC2BC4">
        <w:rPr>
          <w:rFonts w:cs="Times New Roman"/>
          <w:kern w:val="2"/>
          <w:sz w:val="20"/>
        </w:rPr>
        <w:t xml:space="preserve">A </w:t>
      </w:r>
      <w:r w:rsidR="00DD6411" w:rsidRPr="00BC2BC4">
        <w:rPr>
          <w:rFonts w:cs="Times New Roman"/>
          <w:kern w:val="2"/>
          <w:sz w:val="20"/>
        </w:rPr>
        <w:t xml:space="preserve">2014 </w:t>
      </w:r>
      <w:r w:rsidR="00A313F2" w:rsidRPr="00BC2BC4">
        <w:rPr>
          <w:rFonts w:cs="Times New Roman"/>
          <w:kern w:val="2"/>
          <w:sz w:val="20"/>
        </w:rPr>
        <w:t xml:space="preserve">review of </w:t>
      </w:r>
      <w:r w:rsidR="00DD6411" w:rsidRPr="00BC2BC4">
        <w:rPr>
          <w:rFonts w:cs="Times New Roman"/>
          <w:kern w:val="2"/>
          <w:sz w:val="20"/>
        </w:rPr>
        <w:t xml:space="preserve">the </w:t>
      </w:r>
      <w:r w:rsidR="00A313F2" w:rsidRPr="00BC2BC4">
        <w:rPr>
          <w:rFonts w:cs="Times New Roman"/>
          <w:i/>
          <w:kern w:val="2"/>
          <w:sz w:val="20"/>
        </w:rPr>
        <w:t>PSA</w:t>
      </w:r>
      <w:r w:rsidR="00A313F2" w:rsidRPr="00BC2BC4">
        <w:rPr>
          <w:rFonts w:cs="Times New Roman"/>
          <w:kern w:val="2"/>
          <w:sz w:val="20"/>
        </w:rPr>
        <w:t xml:space="preserve"> found that</w:t>
      </w:r>
      <w:r w:rsidR="002A2FF5" w:rsidRPr="00BC2BC4">
        <w:rPr>
          <w:rFonts w:cs="Times New Roman"/>
          <w:kern w:val="2"/>
          <w:sz w:val="20"/>
        </w:rPr>
        <w:t>, although</w:t>
      </w:r>
      <w:r w:rsidR="00A313F2" w:rsidRPr="00BC2BC4">
        <w:rPr>
          <w:rFonts w:cs="Times New Roman"/>
          <w:kern w:val="2"/>
          <w:sz w:val="20"/>
        </w:rPr>
        <w:t xml:space="preserve"> implementation </w:t>
      </w:r>
      <w:r w:rsidR="00DD6411" w:rsidRPr="00BC2BC4">
        <w:rPr>
          <w:rFonts w:cs="Times New Roman"/>
          <w:kern w:val="2"/>
          <w:sz w:val="20"/>
        </w:rPr>
        <w:t xml:space="preserve">was </w:t>
      </w:r>
      <w:r w:rsidR="00B43112" w:rsidRPr="00BC2BC4">
        <w:rPr>
          <w:rFonts w:cs="Times New Roman"/>
          <w:kern w:val="2"/>
          <w:sz w:val="20"/>
        </w:rPr>
        <w:t>under way</w:t>
      </w:r>
      <w:r w:rsidR="002A2FF5" w:rsidRPr="00BC2BC4">
        <w:rPr>
          <w:rFonts w:cs="Times New Roman"/>
          <w:kern w:val="2"/>
          <w:sz w:val="20"/>
        </w:rPr>
        <w:t xml:space="preserve">, </w:t>
      </w:r>
      <w:r w:rsidR="00A313F2" w:rsidRPr="00BC2BC4">
        <w:rPr>
          <w:rFonts w:cs="Times New Roman"/>
          <w:kern w:val="2"/>
          <w:sz w:val="20"/>
        </w:rPr>
        <w:t>there were struggles in defining the measurement technique of social value and lack of clarity on what should be measured. These issues made it difficult to compare bids objectively.</w:t>
      </w:r>
      <w:r w:rsidR="00A313F2" w:rsidRPr="00BC2BC4">
        <w:rPr>
          <w:rStyle w:val="FootnoteReference"/>
          <w:rFonts w:cs="Times New Roman"/>
          <w:kern w:val="2"/>
          <w:sz w:val="20"/>
        </w:rPr>
        <w:footnoteReference w:id="232"/>
      </w:r>
      <w:r w:rsidR="00A313F2" w:rsidRPr="00BC2BC4">
        <w:rPr>
          <w:rFonts w:cs="Times New Roman"/>
          <w:kern w:val="2"/>
          <w:sz w:val="20"/>
        </w:rPr>
        <w:t xml:space="preserve"> In </w:t>
      </w:r>
      <w:r w:rsidR="00DD6411" w:rsidRPr="00BC2BC4">
        <w:rPr>
          <w:rFonts w:cs="Times New Roman"/>
          <w:kern w:val="2"/>
          <w:sz w:val="20"/>
        </w:rPr>
        <w:t>conducting</w:t>
      </w:r>
      <w:r w:rsidR="00A313F2" w:rsidRPr="00BC2BC4">
        <w:rPr>
          <w:rFonts w:cs="Times New Roman"/>
          <w:kern w:val="2"/>
          <w:sz w:val="20"/>
        </w:rPr>
        <w:t xml:space="preserve"> this review, the government provided some guidance </w:t>
      </w:r>
      <w:r w:rsidR="00D132FA" w:rsidRPr="00BC2BC4">
        <w:rPr>
          <w:rFonts w:cs="Times New Roman"/>
          <w:kern w:val="2"/>
          <w:sz w:val="20"/>
        </w:rPr>
        <w:t>for public authorities on</w:t>
      </w:r>
      <w:r w:rsidR="00A313F2" w:rsidRPr="00BC2BC4">
        <w:rPr>
          <w:rFonts w:cs="Times New Roman"/>
          <w:kern w:val="2"/>
          <w:sz w:val="20"/>
        </w:rPr>
        <w:t xml:space="preserve"> how to comply with</w:t>
      </w:r>
      <w:r w:rsidR="00DD6411" w:rsidRPr="00BC2BC4">
        <w:rPr>
          <w:rFonts w:cs="Times New Roman"/>
          <w:kern w:val="2"/>
          <w:sz w:val="20"/>
        </w:rPr>
        <w:t xml:space="preserve"> the</w:t>
      </w:r>
      <w:r w:rsidR="00A313F2" w:rsidRPr="00BC2BC4">
        <w:rPr>
          <w:rFonts w:cs="Times New Roman"/>
          <w:kern w:val="2"/>
          <w:sz w:val="20"/>
        </w:rPr>
        <w:t xml:space="preserve"> </w:t>
      </w:r>
      <w:r w:rsidR="00A313F2" w:rsidRPr="00BC2BC4">
        <w:rPr>
          <w:rFonts w:cs="Times New Roman"/>
          <w:i/>
          <w:kern w:val="2"/>
          <w:sz w:val="20"/>
        </w:rPr>
        <w:t>PSA</w:t>
      </w:r>
      <w:r w:rsidR="00DD6411" w:rsidRPr="00BC2BC4">
        <w:rPr>
          <w:rFonts w:cs="Times New Roman"/>
          <w:kern w:val="2"/>
          <w:sz w:val="20"/>
        </w:rPr>
        <w:t xml:space="preserve"> and </w:t>
      </w:r>
      <w:r w:rsidR="00A313F2" w:rsidRPr="00BC2BC4">
        <w:rPr>
          <w:rFonts w:cs="Times New Roman"/>
          <w:kern w:val="2"/>
          <w:sz w:val="20"/>
        </w:rPr>
        <w:t xml:space="preserve">include </w:t>
      </w:r>
      <w:r w:rsidR="00A313F2" w:rsidRPr="00BC2BC4">
        <w:rPr>
          <w:rFonts w:cs="Times New Roman"/>
          <w:i/>
          <w:kern w:val="2"/>
          <w:sz w:val="20"/>
        </w:rPr>
        <w:t>PSA</w:t>
      </w:r>
      <w:r w:rsidR="00DD6411" w:rsidRPr="00BC2BC4">
        <w:rPr>
          <w:rFonts w:cs="Times New Roman"/>
          <w:kern w:val="2"/>
          <w:sz w:val="20"/>
        </w:rPr>
        <w:t xml:space="preserve"> considerations in</w:t>
      </w:r>
      <w:r w:rsidR="00A313F2" w:rsidRPr="00BC2BC4">
        <w:rPr>
          <w:rFonts w:cs="Times New Roman"/>
          <w:kern w:val="2"/>
          <w:sz w:val="20"/>
        </w:rPr>
        <w:t xml:space="preserve"> the tendering process. The </w:t>
      </w:r>
      <w:r w:rsidR="00A313F2" w:rsidRPr="00BC2BC4">
        <w:rPr>
          <w:rFonts w:cs="Times New Roman"/>
          <w:i/>
          <w:kern w:val="2"/>
          <w:sz w:val="20"/>
        </w:rPr>
        <w:t>PSA</w:t>
      </w:r>
      <w:r w:rsidR="00A313F2" w:rsidRPr="00BC2BC4">
        <w:rPr>
          <w:rFonts w:cs="Times New Roman"/>
          <w:kern w:val="2"/>
          <w:sz w:val="20"/>
        </w:rPr>
        <w:t xml:space="preserve"> may be seen as a toothless initiative as there are no penalties within the </w:t>
      </w:r>
      <w:r w:rsidR="00A313F2" w:rsidRPr="00BC2BC4">
        <w:rPr>
          <w:rFonts w:cs="Times New Roman"/>
          <w:i/>
          <w:kern w:val="2"/>
          <w:sz w:val="20"/>
        </w:rPr>
        <w:t>Act</w:t>
      </w:r>
      <w:r w:rsidR="00A313F2" w:rsidRPr="00BC2BC4">
        <w:rPr>
          <w:rFonts w:cs="Times New Roman"/>
          <w:kern w:val="2"/>
          <w:sz w:val="20"/>
        </w:rPr>
        <w:t xml:space="preserve"> for non-compliance. However, </w:t>
      </w:r>
      <w:r w:rsidR="00D132FA" w:rsidRPr="00BC2BC4">
        <w:rPr>
          <w:rFonts w:cs="Times New Roman"/>
          <w:kern w:val="2"/>
          <w:sz w:val="20"/>
        </w:rPr>
        <w:t xml:space="preserve">the </w:t>
      </w:r>
      <w:r w:rsidR="00D132FA" w:rsidRPr="00BC2BC4">
        <w:rPr>
          <w:rFonts w:cs="Times New Roman"/>
          <w:i/>
          <w:kern w:val="2"/>
          <w:sz w:val="20"/>
        </w:rPr>
        <w:t xml:space="preserve">PSA </w:t>
      </w:r>
      <w:r w:rsidR="00DD6411" w:rsidRPr="00BC2BC4">
        <w:rPr>
          <w:rFonts w:cs="Times New Roman"/>
          <w:kern w:val="2"/>
          <w:sz w:val="20"/>
        </w:rPr>
        <w:t xml:space="preserve">does provide for holistic consideration of the environmental, societal and economic impacts of tender submissions, rather than limiting consideration to the actual cost of the initial procurement project. </w:t>
      </w:r>
    </w:p>
    <w:p w14:paraId="6683379B" w14:textId="10ED598B" w:rsidR="00D90DA6" w:rsidRPr="00BC2BC4" w:rsidRDefault="00C92426" w:rsidP="00C74A64">
      <w:pPr>
        <w:pStyle w:val="Heading2"/>
        <w:rPr>
          <w:kern w:val="2"/>
          <w:sz w:val="24"/>
        </w:rPr>
      </w:pPr>
      <w:bookmarkStart w:id="63" w:name="_Toc424485043"/>
      <w:r w:rsidRPr="00BC2BC4">
        <w:rPr>
          <w:kern w:val="2"/>
          <w:sz w:val="24"/>
        </w:rPr>
        <w:t>Canadian Law and Procedures</w:t>
      </w:r>
      <w:bookmarkEnd w:id="63"/>
    </w:p>
    <w:p w14:paraId="52F91511" w14:textId="6E8ED702" w:rsidR="00D90DA6" w:rsidRPr="00BC2BC4" w:rsidRDefault="00D90DA6" w:rsidP="00DD6411">
      <w:pPr>
        <w:rPr>
          <w:kern w:val="2"/>
          <w:sz w:val="20"/>
        </w:rPr>
      </w:pPr>
      <w:r w:rsidRPr="00BC2BC4">
        <w:rPr>
          <w:kern w:val="2"/>
          <w:sz w:val="20"/>
        </w:rPr>
        <w:t xml:space="preserve">This section </w:t>
      </w:r>
      <w:r w:rsidR="00B01B34" w:rsidRPr="00BC2BC4">
        <w:rPr>
          <w:kern w:val="2"/>
          <w:sz w:val="20"/>
        </w:rPr>
        <w:t xml:space="preserve">on Canadian law </w:t>
      </w:r>
      <w:r w:rsidR="00E4544B" w:rsidRPr="00BC2BC4">
        <w:rPr>
          <w:kern w:val="2"/>
          <w:sz w:val="20"/>
        </w:rPr>
        <w:t>i</w:t>
      </w:r>
      <w:r w:rsidRPr="00BC2BC4">
        <w:rPr>
          <w:kern w:val="2"/>
          <w:sz w:val="20"/>
        </w:rPr>
        <w:t>s</w:t>
      </w:r>
      <w:r w:rsidR="00E4544B" w:rsidRPr="00BC2BC4">
        <w:rPr>
          <w:kern w:val="2"/>
          <w:sz w:val="20"/>
        </w:rPr>
        <w:t xml:space="preserve"> restricted to</w:t>
      </w:r>
      <w:r w:rsidRPr="00BC2BC4">
        <w:rPr>
          <w:kern w:val="2"/>
          <w:sz w:val="20"/>
        </w:rPr>
        <w:t xml:space="preserve"> the public procurement policy framework at the federal level. These </w:t>
      </w:r>
      <w:r w:rsidR="00E4544B" w:rsidRPr="00BC2BC4">
        <w:rPr>
          <w:kern w:val="2"/>
          <w:sz w:val="20"/>
        </w:rPr>
        <w:t xml:space="preserve">federal </w:t>
      </w:r>
      <w:r w:rsidRPr="00BC2BC4">
        <w:rPr>
          <w:kern w:val="2"/>
          <w:sz w:val="20"/>
        </w:rPr>
        <w:t xml:space="preserve">laws and policies </w:t>
      </w:r>
      <w:r w:rsidR="00DD6411" w:rsidRPr="00BC2BC4">
        <w:rPr>
          <w:kern w:val="2"/>
          <w:sz w:val="20"/>
        </w:rPr>
        <w:t>aim</w:t>
      </w:r>
      <w:r w:rsidRPr="00BC2BC4">
        <w:rPr>
          <w:kern w:val="2"/>
          <w:sz w:val="20"/>
        </w:rPr>
        <w:t xml:space="preserve"> </w:t>
      </w:r>
      <w:r w:rsidR="00825CF1" w:rsidRPr="00BC2BC4">
        <w:rPr>
          <w:kern w:val="2"/>
          <w:sz w:val="20"/>
        </w:rPr>
        <w:t>to not only</w:t>
      </w:r>
      <w:r w:rsidRPr="00BC2BC4">
        <w:rPr>
          <w:kern w:val="2"/>
          <w:sz w:val="20"/>
        </w:rPr>
        <w:t xml:space="preserve"> ensure good governance and enforce the rule of law, but also to ensure compliance with Canada’s international treaty obligations. As Canada is a federal state, federal laws and policies generally govern federal public procurement only. Any reference to “sub-federal procurement” refers to procurement that </w:t>
      </w:r>
      <w:r w:rsidR="00C92426" w:rsidRPr="00BC2BC4">
        <w:rPr>
          <w:kern w:val="2"/>
          <w:sz w:val="20"/>
        </w:rPr>
        <w:t>occurs below th</w:t>
      </w:r>
      <w:r w:rsidR="00B01B34" w:rsidRPr="00BC2BC4">
        <w:rPr>
          <w:kern w:val="2"/>
          <w:sz w:val="20"/>
        </w:rPr>
        <w:t>e federal level (i</w:t>
      </w:r>
      <w:r w:rsidR="00DD6411" w:rsidRPr="00BC2BC4">
        <w:rPr>
          <w:kern w:val="2"/>
          <w:sz w:val="20"/>
        </w:rPr>
        <w:t>.</w:t>
      </w:r>
      <w:r w:rsidR="00B01B34" w:rsidRPr="00BC2BC4">
        <w:rPr>
          <w:kern w:val="2"/>
          <w:sz w:val="20"/>
        </w:rPr>
        <w:t>e.</w:t>
      </w:r>
      <w:r w:rsidR="005957D9" w:rsidRPr="00BC2BC4">
        <w:rPr>
          <w:kern w:val="2"/>
          <w:sz w:val="20"/>
        </w:rPr>
        <w:t>,</w:t>
      </w:r>
      <w:r w:rsidR="00B01B34" w:rsidRPr="00BC2BC4">
        <w:rPr>
          <w:kern w:val="2"/>
          <w:sz w:val="20"/>
        </w:rPr>
        <w:t xml:space="preserve"> </w:t>
      </w:r>
      <w:r w:rsidR="005957D9" w:rsidRPr="00BC2BC4">
        <w:rPr>
          <w:kern w:val="2"/>
          <w:sz w:val="20"/>
        </w:rPr>
        <w:t>p</w:t>
      </w:r>
      <w:r w:rsidR="00B01B34" w:rsidRPr="00BC2BC4">
        <w:rPr>
          <w:kern w:val="2"/>
          <w:sz w:val="20"/>
        </w:rPr>
        <w:t xml:space="preserve">rovincial, </w:t>
      </w:r>
      <w:r w:rsidR="00C92426" w:rsidRPr="00BC2BC4">
        <w:rPr>
          <w:kern w:val="2"/>
          <w:sz w:val="20"/>
        </w:rPr>
        <w:t>municipal</w:t>
      </w:r>
      <w:r w:rsidR="00B01B34" w:rsidRPr="00BC2BC4">
        <w:rPr>
          <w:kern w:val="2"/>
          <w:sz w:val="20"/>
        </w:rPr>
        <w:t xml:space="preserve"> or MASH</w:t>
      </w:r>
      <w:r w:rsidR="00C92426" w:rsidRPr="00BC2BC4">
        <w:rPr>
          <w:kern w:val="2"/>
          <w:sz w:val="20"/>
        </w:rPr>
        <w:t>).</w:t>
      </w:r>
      <w:r w:rsidR="00B01B34" w:rsidRPr="00BC2BC4">
        <w:rPr>
          <w:kern w:val="2"/>
          <w:sz w:val="20"/>
        </w:rPr>
        <w:t xml:space="preserve"> Describing procurement laws and procedures only at the federal government level is a serious limitation. Federal procurement laws and procedures are in general far more detailed and stringent than most provincial and municipal procurement regimes. Improvement of these latter regimes is a pressing need in Canada. </w:t>
      </w:r>
    </w:p>
    <w:p w14:paraId="38AA0C43" w14:textId="46545127" w:rsidR="00D90DA6" w:rsidRPr="00BC2BC4" w:rsidRDefault="00E4544B" w:rsidP="00C74A64">
      <w:pPr>
        <w:pStyle w:val="Heading3"/>
        <w:rPr>
          <w:kern w:val="2"/>
          <w:sz w:val="22"/>
        </w:rPr>
      </w:pPr>
      <w:bookmarkStart w:id="64" w:name="_Toc424485044"/>
      <w:r w:rsidRPr="00BC2BC4">
        <w:rPr>
          <w:kern w:val="2"/>
          <w:sz w:val="22"/>
        </w:rPr>
        <w:t>Canada-US Agreement on Government P</w:t>
      </w:r>
      <w:r w:rsidR="00504137" w:rsidRPr="00BC2BC4">
        <w:rPr>
          <w:kern w:val="2"/>
          <w:sz w:val="22"/>
        </w:rPr>
        <w:t>r</w:t>
      </w:r>
      <w:r w:rsidRPr="00BC2BC4">
        <w:rPr>
          <w:kern w:val="2"/>
          <w:sz w:val="22"/>
        </w:rPr>
        <w:t>ocurement (CU</w:t>
      </w:r>
      <w:r w:rsidR="00866A8F" w:rsidRPr="00BC2BC4">
        <w:rPr>
          <w:kern w:val="2"/>
          <w:sz w:val="22"/>
        </w:rPr>
        <w:t>S</w:t>
      </w:r>
      <w:r w:rsidRPr="00BC2BC4">
        <w:rPr>
          <w:kern w:val="2"/>
          <w:sz w:val="22"/>
        </w:rPr>
        <w:t>AGP)</w:t>
      </w:r>
      <w:bookmarkEnd w:id="64"/>
    </w:p>
    <w:p w14:paraId="6EA52D12" w14:textId="78DB53FF" w:rsidR="00D90DA6" w:rsidRPr="00BC2BC4" w:rsidRDefault="00732005" w:rsidP="00504137">
      <w:pPr>
        <w:rPr>
          <w:kern w:val="2"/>
          <w:sz w:val="20"/>
        </w:rPr>
      </w:pPr>
      <w:r w:rsidRPr="00BC2BC4">
        <w:rPr>
          <w:kern w:val="2"/>
          <w:sz w:val="20"/>
        </w:rPr>
        <w:t>The CU</w:t>
      </w:r>
      <w:r w:rsidR="00866A8F" w:rsidRPr="00BC2BC4">
        <w:rPr>
          <w:kern w:val="2"/>
          <w:sz w:val="20"/>
        </w:rPr>
        <w:t>S</w:t>
      </w:r>
      <w:r w:rsidRPr="00BC2BC4">
        <w:rPr>
          <w:kern w:val="2"/>
          <w:sz w:val="20"/>
        </w:rPr>
        <w:t>AGP came into effect on February 16, 2010.</w:t>
      </w:r>
      <w:r w:rsidR="001127F8" w:rsidRPr="00BC2BC4">
        <w:rPr>
          <w:rStyle w:val="FootnoteReference"/>
          <w:kern w:val="2"/>
          <w:sz w:val="20"/>
        </w:rPr>
        <w:footnoteReference w:id="233"/>
      </w:r>
      <w:r w:rsidR="002E2CF8" w:rsidRPr="00BC2BC4">
        <w:rPr>
          <w:kern w:val="2"/>
          <w:sz w:val="20"/>
        </w:rPr>
        <w:t xml:space="preserve"> </w:t>
      </w:r>
      <w:r w:rsidRPr="00BC2BC4">
        <w:rPr>
          <w:kern w:val="2"/>
          <w:sz w:val="20"/>
        </w:rPr>
        <w:t>Its primary goal, similar to NAFTA and the WTO-AGP, is</w:t>
      </w:r>
      <w:r w:rsidR="00D90DA6" w:rsidRPr="00BC2BC4">
        <w:rPr>
          <w:kern w:val="2"/>
          <w:sz w:val="20"/>
        </w:rPr>
        <w:t xml:space="preserve"> to grant Canada and the US access to </w:t>
      </w:r>
      <w:r w:rsidR="005957D9" w:rsidRPr="00BC2BC4">
        <w:rPr>
          <w:kern w:val="2"/>
          <w:sz w:val="20"/>
        </w:rPr>
        <w:t xml:space="preserve">each </w:t>
      </w:r>
      <w:r w:rsidR="00D90DA6" w:rsidRPr="00BC2BC4">
        <w:rPr>
          <w:kern w:val="2"/>
          <w:sz w:val="20"/>
        </w:rPr>
        <w:t>other’s public infrastructure industry.</w:t>
      </w:r>
      <w:r w:rsidR="00D90DA6" w:rsidRPr="00BC2BC4">
        <w:rPr>
          <w:rStyle w:val="FootnoteReference"/>
          <w:kern w:val="2"/>
          <w:sz w:val="20"/>
        </w:rPr>
        <w:footnoteReference w:id="234"/>
      </w:r>
      <w:r w:rsidR="00D90DA6" w:rsidRPr="00BC2BC4">
        <w:rPr>
          <w:kern w:val="2"/>
          <w:sz w:val="20"/>
        </w:rPr>
        <w:t xml:space="preserve"> However, CU</w:t>
      </w:r>
      <w:r w:rsidR="00866A8F" w:rsidRPr="00BC2BC4">
        <w:rPr>
          <w:kern w:val="2"/>
          <w:sz w:val="20"/>
        </w:rPr>
        <w:t>S</w:t>
      </w:r>
      <w:r w:rsidR="00D90DA6" w:rsidRPr="00BC2BC4">
        <w:rPr>
          <w:kern w:val="2"/>
          <w:sz w:val="20"/>
        </w:rPr>
        <w:t>AGP is significant in that it represents the extension of sub-federal procurement commitments, something Canada would not agree to under the WTO.</w:t>
      </w:r>
      <w:r w:rsidR="00D90DA6" w:rsidRPr="00BC2BC4">
        <w:rPr>
          <w:rStyle w:val="FootnoteReference"/>
          <w:kern w:val="2"/>
          <w:sz w:val="20"/>
        </w:rPr>
        <w:footnoteReference w:id="235"/>
      </w:r>
      <w:r w:rsidR="00D90DA6" w:rsidRPr="00BC2BC4">
        <w:rPr>
          <w:kern w:val="2"/>
          <w:sz w:val="20"/>
        </w:rPr>
        <w:t xml:space="preserve"> Unlike the US, Canada still has not extended access to sub-</w:t>
      </w:r>
      <w:r w:rsidR="009049C7" w:rsidRPr="00BC2BC4">
        <w:rPr>
          <w:kern w:val="2"/>
          <w:sz w:val="20"/>
        </w:rPr>
        <w:t>federal</w:t>
      </w:r>
      <w:r w:rsidR="00D90DA6" w:rsidRPr="00BC2BC4">
        <w:rPr>
          <w:kern w:val="2"/>
          <w:sz w:val="20"/>
        </w:rPr>
        <w:t xml:space="preserve"> procurement to other WTO signatories.</w:t>
      </w:r>
      <w:r w:rsidR="00D90DA6" w:rsidRPr="00BC2BC4">
        <w:rPr>
          <w:rStyle w:val="FootnoteReference"/>
          <w:kern w:val="2"/>
          <w:sz w:val="20"/>
        </w:rPr>
        <w:footnoteReference w:id="236"/>
      </w:r>
      <w:r w:rsidR="00D90DA6" w:rsidRPr="00BC2BC4">
        <w:rPr>
          <w:kern w:val="2"/>
          <w:sz w:val="20"/>
        </w:rPr>
        <w:t xml:space="preserve"> The Agreement provides an exemption to </w:t>
      </w:r>
      <w:r w:rsidR="003D6297" w:rsidRPr="00BC2BC4">
        <w:rPr>
          <w:kern w:val="2"/>
          <w:sz w:val="20"/>
        </w:rPr>
        <w:t>“</w:t>
      </w:r>
      <w:r w:rsidR="00D90DA6" w:rsidRPr="00BC2BC4">
        <w:rPr>
          <w:kern w:val="2"/>
          <w:sz w:val="20"/>
        </w:rPr>
        <w:t>Buy American</w:t>
      </w:r>
      <w:r w:rsidR="003D6297" w:rsidRPr="00BC2BC4">
        <w:rPr>
          <w:kern w:val="2"/>
          <w:sz w:val="20"/>
        </w:rPr>
        <w:t>”</w:t>
      </w:r>
      <w:r w:rsidR="00D90DA6" w:rsidRPr="00BC2BC4">
        <w:rPr>
          <w:kern w:val="2"/>
          <w:sz w:val="20"/>
        </w:rPr>
        <w:t xml:space="preserve"> provisions for Canadian bidders and guarantees American access to provincial markets and contracts, with the exception of Nunavut.</w:t>
      </w:r>
      <w:r w:rsidR="00D90DA6" w:rsidRPr="00BC2BC4">
        <w:rPr>
          <w:rStyle w:val="FootnoteReference"/>
          <w:kern w:val="2"/>
          <w:sz w:val="20"/>
        </w:rPr>
        <w:footnoteReference w:id="237"/>
      </w:r>
      <w:r w:rsidR="00D90DA6" w:rsidRPr="00BC2BC4">
        <w:rPr>
          <w:kern w:val="2"/>
          <w:sz w:val="20"/>
        </w:rPr>
        <w:t xml:space="preserve"> </w:t>
      </w:r>
    </w:p>
    <w:p w14:paraId="51BEF75C" w14:textId="2E427204" w:rsidR="00D90DA6" w:rsidRPr="00BC2BC4" w:rsidRDefault="00D90DA6" w:rsidP="00504137">
      <w:pPr>
        <w:rPr>
          <w:kern w:val="2"/>
          <w:sz w:val="20"/>
        </w:rPr>
      </w:pPr>
      <w:r w:rsidRPr="00BC2BC4">
        <w:rPr>
          <w:kern w:val="2"/>
          <w:sz w:val="20"/>
        </w:rPr>
        <w:t>The core principles of CU</w:t>
      </w:r>
      <w:r w:rsidR="00866A8F" w:rsidRPr="00BC2BC4">
        <w:rPr>
          <w:kern w:val="2"/>
          <w:sz w:val="20"/>
        </w:rPr>
        <w:t>S</w:t>
      </w:r>
      <w:r w:rsidRPr="00BC2BC4">
        <w:rPr>
          <w:kern w:val="2"/>
          <w:sz w:val="20"/>
        </w:rPr>
        <w:t xml:space="preserve">AGP </w:t>
      </w:r>
      <w:r w:rsidR="00086D2C" w:rsidRPr="00BC2BC4">
        <w:rPr>
          <w:kern w:val="2"/>
          <w:sz w:val="20"/>
        </w:rPr>
        <w:t>address</w:t>
      </w:r>
      <w:r w:rsidRPr="00BC2BC4">
        <w:rPr>
          <w:kern w:val="2"/>
          <w:sz w:val="20"/>
        </w:rPr>
        <w:t xml:space="preserve"> non-discrimination and transparency. For the purposes of transparency, entities subject to the Agreement are obligated to make their procurement policies readily accessible and </w:t>
      </w:r>
      <w:r w:rsidR="002639C6" w:rsidRPr="00BC2BC4">
        <w:rPr>
          <w:kern w:val="2"/>
          <w:sz w:val="20"/>
        </w:rPr>
        <w:t xml:space="preserve">to </w:t>
      </w:r>
      <w:r w:rsidRPr="00BC2BC4">
        <w:rPr>
          <w:kern w:val="2"/>
          <w:sz w:val="20"/>
        </w:rPr>
        <w:t>use competitive tendering processes except in certain circumstances.</w:t>
      </w:r>
      <w:r w:rsidRPr="00BC2BC4">
        <w:rPr>
          <w:rStyle w:val="FootnoteReference"/>
          <w:kern w:val="2"/>
          <w:sz w:val="20"/>
        </w:rPr>
        <w:footnoteReference w:id="238"/>
      </w:r>
      <w:r w:rsidRPr="00BC2BC4">
        <w:rPr>
          <w:kern w:val="2"/>
          <w:sz w:val="20"/>
        </w:rPr>
        <w:t xml:space="preserve"> The exceptions cover the typical scenarios in which competitive tenders are not necessary, such as in the event of an emergency.</w:t>
      </w:r>
    </w:p>
    <w:p w14:paraId="26246CF3" w14:textId="4BA2BA6B" w:rsidR="00D90DA6" w:rsidRPr="00BC2BC4" w:rsidRDefault="00D90DA6" w:rsidP="00504137">
      <w:pPr>
        <w:rPr>
          <w:kern w:val="2"/>
          <w:sz w:val="20"/>
        </w:rPr>
      </w:pPr>
      <w:r w:rsidRPr="00BC2BC4">
        <w:rPr>
          <w:kern w:val="2"/>
          <w:sz w:val="20"/>
        </w:rPr>
        <w:t>In Canada, the CU</w:t>
      </w:r>
      <w:r w:rsidR="00866A8F" w:rsidRPr="00BC2BC4">
        <w:rPr>
          <w:kern w:val="2"/>
          <w:sz w:val="20"/>
        </w:rPr>
        <w:t>S</w:t>
      </w:r>
      <w:r w:rsidRPr="00BC2BC4">
        <w:rPr>
          <w:kern w:val="2"/>
          <w:sz w:val="20"/>
        </w:rPr>
        <w:t>AGP applies to procurement for construction services</w:t>
      </w:r>
      <w:r w:rsidRPr="00BC2BC4">
        <w:rPr>
          <w:rStyle w:val="FootnoteReference"/>
          <w:kern w:val="2"/>
          <w:sz w:val="20"/>
        </w:rPr>
        <w:footnoteReference w:id="239"/>
      </w:r>
      <w:r w:rsidRPr="00BC2BC4">
        <w:rPr>
          <w:kern w:val="2"/>
          <w:sz w:val="20"/>
        </w:rPr>
        <w:t xml:space="preserve"> in the provinces where the value of the services is greater than or equal to </w:t>
      </w:r>
      <w:r w:rsidR="00B01D9D" w:rsidRPr="00BC2BC4">
        <w:rPr>
          <w:kern w:val="2"/>
          <w:sz w:val="20"/>
        </w:rPr>
        <w:t>CAD</w:t>
      </w:r>
      <w:r w:rsidR="00E92897" w:rsidRPr="00BC2BC4">
        <w:rPr>
          <w:kern w:val="2"/>
          <w:sz w:val="20"/>
        </w:rPr>
        <w:t>$5 million</w:t>
      </w:r>
      <w:r w:rsidRPr="00BC2BC4">
        <w:rPr>
          <w:kern w:val="2"/>
          <w:sz w:val="20"/>
        </w:rPr>
        <w:t>.</w:t>
      </w:r>
      <w:r w:rsidRPr="00BC2BC4">
        <w:rPr>
          <w:rStyle w:val="FootnoteReference"/>
          <w:kern w:val="2"/>
          <w:sz w:val="20"/>
        </w:rPr>
        <w:footnoteReference w:id="240"/>
      </w:r>
      <w:r w:rsidRPr="00BC2BC4">
        <w:rPr>
          <w:kern w:val="2"/>
          <w:sz w:val="20"/>
        </w:rPr>
        <w:t xml:space="preserve"> For Crown </w:t>
      </w:r>
      <w:r w:rsidR="00E94373" w:rsidRPr="00BC2BC4">
        <w:rPr>
          <w:kern w:val="2"/>
          <w:sz w:val="20"/>
        </w:rPr>
        <w:t>c</w:t>
      </w:r>
      <w:r w:rsidRPr="00BC2BC4">
        <w:rPr>
          <w:kern w:val="2"/>
          <w:sz w:val="20"/>
        </w:rPr>
        <w:t xml:space="preserve">orporations and municipalities, it applies to contracts valued at </w:t>
      </w:r>
      <w:r w:rsidR="00B01D9D" w:rsidRPr="00BC2BC4">
        <w:rPr>
          <w:kern w:val="2"/>
          <w:sz w:val="20"/>
        </w:rPr>
        <w:t>CAD</w:t>
      </w:r>
      <w:r w:rsidR="00E92897" w:rsidRPr="00BC2BC4">
        <w:rPr>
          <w:kern w:val="2"/>
          <w:sz w:val="20"/>
        </w:rPr>
        <w:t xml:space="preserve">$8.5 million </w:t>
      </w:r>
      <w:r w:rsidRPr="00BC2BC4">
        <w:rPr>
          <w:kern w:val="2"/>
          <w:sz w:val="20"/>
        </w:rPr>
        <w:t>or more.</w:t>
      </w:r>
      <w:r w:rsidRPr="00BC2BC4">
        <w:rPr>
          <w:rStyle w:val="FootnoteReference"/>
          <w:kern w:val="2"/>
          <w:sz w:val="20"/>
        </w:rPr>
        <w:footnoteReference w:id="241"/>
      </w:r>
      <w:r w:rsidRPr="00BC2BC4">
        <w:rPr>
          <w:kern w:val="2"/>
          <w:sz w:val="20"/>
        </w:rPr>
        <w:t xml:space="preserve"> </w:t>
      </w:r>
      <w:r w:rsidR="00B95FEB" w:rsidRPr="00BC2BC4">
        <w:rPr>
          <w:kern w:val="2"/>
          <w:sz w:val="20"/>
        </w:rPr>
        <w:t>Relatively few municipal contracts</w:t>
      </w:r>
      <w:r w:rsidRPr="00BC2BC4">
        <w:rPr>
          <w:kern w:val="2"/>
          <w:sz w:val="20"/>
        </w:rPr>
        <w:t xml:space="preserve"> meet this monetary threshold. </w:t>
      </w:r>
    </w:p>
    <w:p w14:paraId="5E7468AA" w14:textId="3EB8D7E3" w:rsidR="00D90DA6" w:rsidRPr="00BC2BC4" w:rsidRDefault="00D90DA6" w:rsidP="00913132">
      <w:pPr>
        <w:pStyle w:val="Heading3"/>
        <w:rPr>
          <w:kern w:val="2"/>
          <w:sz w:val="22"/>
        </w:rPr>
      </w:pPr>
      <w:bookmarkStart w:id="65" w:name="_Toc424485045"/>
      <w:r w:rsidRPr="00BC2BC4">
        <w:rPr>
          <w:kern w:val="2"/>
          <w:sz w:val="22"/>
        </w:rPr>
        <w:t>Agreement on Internal Trade (AIT)</w:t>
      </w:r>
      <w:bookmarkEnd w:id="65"/>
    </w:p>
    <w:p w14:paraId="32E0190D" w14:textId="4EC56124" w:rsidR="00D90DA6" w:rsidRPr="00BC2BC4" w:rsidRDefault="00D90DA6" w:rsidP="00504137">
      <w:pPr>
        <w:rPr>
          <w:kern w:val="2"/>
          <w:sz w:val="20"/>
        </w:rPr>
      </w:pPr>
      <w:r w:rsidRPr="00BC2BC4">
        <w:rPr>
          <w:kern w:val="2"/>
          <w:sz w:val="20"/>
        </w:rPr>
        <w:t>The AIT is an intergovernmental trade agreement that came into force in 1995 and has been signed by all provinces</w:t>
      </w:r>
      <w:r w:rsidR="00E4544B" w:rsidRPr="00BC2BC4">
        <w:rPr>
          <w:kern w:val="2"/>
          <w:sz w:val="20"/>
        </w:rPr>
        <w:t xml:space="preserve"> and territories</w:t>
      </w:r>
      <w:r w:rsidRPr="00BC2BC4">
        <w:rPr>
          <w:kern w:val="2"/>
          <w:sz w:val="20"/>
        </w:rPr>
        <w:t xml:space="preserve"> except Nunavut.</w:t>
      </w:r>
      <w:r w:rsidRPr="00BC2BC4">
        <w:rPr>
          <w:rStyle w:val="FootnoteReference"/>
          <w:kern w:val="2"/>
          <w:sz w:val="20"/>
        </w:rPr>
        <w:footnoteReference w:id="242"/>
      </w:r>
      <w:r w:rsidRPr="00BC2BC4">
        <w:rPr>
          <w:kern w:val="2"/>
          <w:sz w:val="20"/>
        </w:rPr>
        <w:t xml:space="preserve"> </w:t>
      </w:r>
      <w:r w:rsidR="00A9708C" w:rsidRPr="00BC2BC4">
        <w:rPr>
          <w:kern w:val="2"/>
          <w:sz w:val="20"/>
        </w:rPr>
        <w:t>Its purpose is “to foster improved interprovincial trade by addressing obstacles to the free movement of persons, goods, services and investments within Canada.”</w:t>
      </w:r>
      <w:r w:rsidR="00A9708C" w:rsidRPr="00BC2BC4">
        <w:rPr>
          <w:rStyle w:val="FootnoteReference"/>
          <w:kern w:val="2"/>
          <w:sz w:val="20"/>
        </w:rPr>
        <w:footnoteReference w:id="243"/>
      </w:r>
      <w:r w:rsidR="00A9708C" w:rsidRPr="00BC2BC4">
        <w:rPr>
          <w:kern w:val="2"/>
          <w:sz w:val="20"/>
        </w:rPr>
        <w:t xml:space="preserve"> </w:t>
      </w:r>
      <w:r w:rsidR="004A72F9" w:rsidRPr="00BC2BC4">
        <w:rPr>
          <w:kern w:val="2"/>
          <w:sz w:val="20"/>
        </w:rPr>
        <w:t xml:space="preserve">Chapter 5 of the AIT sets out procurement rules for </w:t>
      </w:r>
      <w:r w:rsidRPr="00BC2BC4">
        <w:rPr>
          <w:kern w:val="2"/>
          <w:sz w:val="20"/>
        </w:rPr>
        <w:t xml:space="preserve">entities in all signatory </w:t>
      </w:r>
      <w:r w:rsidR="00A9708C" w:rsidRPr="00BC2BC4">
        <w:rPr>
          <w:kern w:val="2"/>
          <w:sz w:val="20"/>
        </w:rPr>
        <w:t>p</w:t>
      </w:r>
      <w:r w:rsidRPr="00BC2BC4">
        <w:rPr>
          <w:kern w:val="2"/>
          <w:sz w:val="20"/>
        </w:rPr>
        <w:t xml:space="preserve">rovinces and </w:t>
      </w:r>
      <w:r w:rsidR="00A9708C" w:rsidRPr="00BC2BC4">
        <w:rPr>
          <w:kern w:val="2"/>
          <w:sz w:val="20"/>
        </w:rPr>
        <w:t>t</w:t>
      </w:r>
      <w:r w:rsidRPr="00BC2BC4">
        <w:rPr>
          <w:kern w:val="2"/>
          <w:sz w:val="20"/>
        </w:rPr>
        <w:t>erritories.</w:t>
      </w:r>
      <w:r w:rsidR="004A72F9" w:rsidRPr="00BC2BC4">
        <w:rPr>
          <w:kern w:val="2"/>
          <w:sz w:val="20"/>
        </w:rPr>
        <w:t xml:space="preserve"> AIT applies to purchase of goods contracts over $25,000</w:t>
      </w:r>
      <w:r w:rsidR="00504137" w:rsidRPr="00BC2BC4">
        <w:rPr>
          <w:kern w:val="2"/>
          <w:sz w:val="20"/>
        </w:rPr>
        <w:t>, purchase</w:t>
      </w:r>
      <w:r w:rsidR="004A72F9" w:rsidRPr="00BC2BC4">
        <w:rPr>
          <w:kern w:val="2"/>
          <w:sz w:val="20"/>
        </w:rPr>
        <w:t xml:space="preserve"> of services contracts over $100,000 and purchase of construction contracts over $100,000.</w:t>
      </w:r>
      <w:r w:rsidRPr="00BC2BC4">
        <w:rPr>
          <w:kern w:val="2"/>
          <w:sz w:val="20"/>
        </w:rPr>
        <w:t xml:space="preserve"> </w:t>
      </w:r>
      <w:r w:rsidR="004A72F9" w:rsidRPr="00BC2BC4">
        <w:rPr>
          <w:kern w:val="2"/>
          <w:sz w:val="20"/>
        </w:rPr>
        <w:t xml:space="preserve">For the AIT to apply to purchases </w:t>
      </w:r>
      <w:r w:rsidR="00E4544B" w:rsidRPr="00BC2BC4">
        <w:rPr>
          <w:kern w:val="2"/>
          <w:sz w:val="20"/>
        </w:rPr>
        <w:t xml:space="preserve">by </w:t>
      </w:r>
      <w:r w:rsidR="004A72F9" w:rsidRPr="00BC2BC4">
        <w:rPr>
          <w:kern w:val="2"/>
          <w:sz w:val="20"/>
        </w:rPr>
        <w:t>municipalities, the province must subscri</w:t>
      </w:r>
      <w:r w:rsidR="00086D2C" w:rsidRPr="00BC2BC4">
        <w:rPr>
          <w:kern w:val="2"/>
          <w:sz w:val="20"/>
        </w:rPr>
        <w:t>be to the MASH</w:t>
      </w:r>
      <w:r w:rsidR="004A72F9" w:rsidRPr="00BC2BC4">
        <w:rPr>
          <w:kern w:val="2"/>
          <w:sz w:val="20"/>
        </w:rPr>
        <w:t xml:space="preserve"> Annex. </w:t>
      </w:r>
      <w:r w:rsidRPr="00BC2BC4">
        <w:rPr>
          <w:kern w:val="2"/>
          <w:sz w:val="20"/>
        </w:rPr>
        <w:t>The MASH Annex applies to construction procurement where the value is in excess of $250,000.</w:t>
      </w:r>
      <w:r w:rsidRPr="00BC2BC4">
        <w:rPr>
          <w:rStyle w:val="FootnoteReference"/>
          <w:kern w:val="2"/>
          <w:sz w:val="20"/>
        </w:rPr>
        <w:footnoteReference w:id="244"/>
      </w:r>
    </w:p>
    <w:p w14:paraId="5A2DD2A6" w14:textId="68D269DC" w:rsidR="00D90DA6" w:rsidRPr="00BC2BC4" w:rsidRDefault="00D90DA6" w:rsidP="00504137">
      <w:pPr>
        <w:rPr>
          <w:kern w:val="2"/>
          <w:sz w:val="20"/>
        </w:rPr>
      </w:pPr>
      <w:r w:rsidRPr="00BC2BC4">
        <w:rPr>
          <w:kern w:val="2"/>
          <w:sz w:val="20"/>
        </w:rPr>
        <w:t xml:space="preserve">Under Chapter 5.P.5 of the AIT, each province is obligated to establish standard terms for tender documents and standardized procedures for complaint processes used by entities covered by the MASH Annex. The goal is </w:t>
      </w:r>
      <w:r w:rsidR="008303EA" w:rsidRPr="00BC2BC4">
        <w:rPr>
          <w:kern w:val="2"/>
          <w:sz w:val="20"/>
        </w:rPr>
        <w:t>to have these</w:t>
      </w:r>
      <w:r w:rsidRPr="00BC2BC4">
        <w:rPr>
          <w:kern w:val="2"/>
          <w:sz w:val="20"/>
        </w:rPr>
        <w:t xml:space="preserve"> standard terms and procedures harmonized </w:t>
      </w:r>
      <w:r w:rsidR="00A02BBA" w:rsidRPr="00BC2BC4">
        <w:rPr>
          <w:kern w:val="2"/>
          <w:sz w:val="20"/>
        </w:rPr>
        <w:t xml:space="preserve">across </w:t>
      </w:r>
      <w:r w:rsidRPr="00BC2BC4">
        <w:rPr>
          <w:kern w:val="2"/>
          <w:sz w:val="20"/>
        </w:rPr>
        <w:t>the provinces.</w:t>
      </w:r>
    </w:p>
    <w:p w14:paraId="2AF71CB9" w14:textId="03389137" w:rsidR="00D90DA6" w:rsidRPr="00BC2BC4" w:rsidRDefault="00D90DA6" w:rsidP="00504137">
      <w:pPr>
        <w:rPr>
          <w:kern w:val="2"/>
          <w:sz w:val="20"/>
        </w:rPr>
      </w:pPr>
      <w:r w:rsidRPr="00BC2BC4">
        <w:rPr>
          <w:kern w:val="2"/>
          <w:sz w:val="20"/>
        </w:rPr>
        <w:t>The MASH Annex applies principles of non-discrimination, transparency and fair acquisition to MASH</w:t>
      </w:r>
      <w:r w:rsidR="00504137" w:rsidRPr="00BC2BC4">
        <w:rPr>
          <w:kern w:val="2"/>
          <w:sz w:val="20"/>
        </w:rPr>
        <w:t xml:space="preserve"> procurement.</w:t>
      </w:r>
      <w:r w:rsidR="008F201B" w:rsidRPr="00BC2BC4">
        <w:rPr>
          <w:kern w:val="2"/>
          <w:sz w:val="20"/>
        </w:rPr>
        <w:t xml:space="preserve"> </w:t>
      </w:r>
      <w:r w:rsidR="00504137" w:rsidRPr="00BC2BC4">
        <w:rPr>
          <w:kern w:val="2"/>
          <w:sz w:val="20"/>
        </w:rPr>
        <w:t>However, the anti</w:t>
      </w:r>
      <w:r w:rsidR="00DA3C13" w:rsidRPr="00BC2BC4">
        <w:rPr>
          <w:kern w:val="2"/>
          <w:sz w:val="20"/>
        </w:rPr>
        <w:t>-</w:t>
      </w:r>
      <w:r w:rsidRPr="00BC2BC4">
        <w:rPr>
          <w:kern w:val="2"/>
          <w:sz w:val="20"/>
        </w:rPr>
        <w:t>corruption provisions are basic and present a low threshold for compliance: discriminatory practices are not permitted (subject to exceptions),</w:t>
      </w:r>
      <w:r w:rsidRPr="00BC2BC4">
        <w:rPr>
          <w:rStyle w:val="FootnoteReference"/>
          <w:kern w:val="2"/>
          <w:sz w:val="20"/>
        </w:rPr>
        <w:footnoteReference w:id="245"/>
      </w:r>
      <w:r w:rsidRPr="00BC2BC4">
        <w:rPr>
          <w:kern w:val="2"/>
          <w:sz w:val="20"/>
        </w:rPr>
        <w:t xml:space="preserve"> provincial and MASH entities must make their procurement laws and procedures accessible</w:t>
      </w:r>
      <w:r w:rsidR="008F201B" w:rsidRPr="00BC2BC4">
        <w:rPr>
          <w:kern w:val="2"/>
          <w:sz w:val="20"/>
        </w:rPr>
        <w:t>,</w:t>
      </w:r>
      <w:r w:rsidRPr="00BC2BC4">
        <w:rPr>
          <w:rStyle w:val="FootnoteReference"/>
          <w:kern w:val="2"/>
          <w:sz w:val="20"/>
        </w:rPr>
        <w:footnoteReference w:id="246"/>
      </w:r>
      <w:r w:rsidRPr="00BC2BC4">
        <w:rPr>
          <w:kern w:val="2"/>
          <w:sz w:val="20"/>
        </w:rPr>
        <w:t xml:space="preserve"> and procurements within the ambit of AIT must occur via competitive tendering process (subject to exceptions).</w:t>
      </w:r>
      <w:r w:rsidRPr="00BC2BC4">
        <w:rPr>
          <w:rStyle w:val="FootnoteReference"/>
          <w:kern w:val="2"/>
          <w:sz w:val="20"/>
        </w:rPr>
        <w:footnoteReference w:id="247"/>
      </w:r>
      <w:r w:rsidRPr="00BC2BC4">
        <w:rPr>
          <w:kern w:val="2"/>
          <w:sz w:val="20"/>
        </w:rPr>
        <w:t xml:space="preserve"> Appendix C lists circumstances for exclusions, including emergencies and confidentiality, and Appendix D outlines circumstances in which sole supplier procurement is appropriate. Section F provides a broad exception to the non-discrimination provisions where a “legitimate objective” can be established.</w:t>
      </w:r>
      <w:r w:rsidRPr="00BC2BC4">
        <w:rPr>
          <w:rStyle w:val="FootnoteReference"/>
          <w:kern w:val="2"/>
          <w:sz w:val="20"/>
        </w:rPr>
        <w:footnoteReference w:id="248"/>
      </w:r>
      <w:r w:rsidRPr="00BC2BC4">
        <w:rPr>
          <w:kern w:val="2"/>
          <w:sz w:val="20"/>
        </w:rPr>
        <w:t xml:space="preserve"> The MASH Annex is also subject to Article 1600 of the AIT, which means that MASH sector procurement is subject to a provincial Committee on Internal Trade. Article 1600 obligates each province to establish a Committee on Internal Trade that supervises the implementation of </w:t>
      </w:r>
      <w:r w:rsidR="007D064A" w:rsidRPr="00BC2BC4">
        <w:rPr>
          <w:kern w:val="2"/>
          <w:sz w:val="20"/>
        </w:rPr>
        <w:t xml:space="preserve">the </w:t>
      </w:r>
      <w:r w:rsidRPr="00BC2BC4">
        <w:rPr>
          <w:kern w:val="2"/>
          <w:sz w:val="20"/>
        </w:rPr>
        <w:t xml:space="preserve">AIT, assists in dispute resolution arising out of the application of </w:t>
      </w:r>
      <w:r w:rsidR="007D064A" w:rsidRPr="00BC2BC4">
        <w:rPr>
          <w:kern w:val="2"/>
          <w:sz w:val="20"/>
        </w:rPr>
        <w:t xml:space="preserve">the </w:t>
      </w:r>
      <w:r w:rsidRPr="00BC2BC4">
        <w:rPr>
          <w:kern w:val="2"/>
          <w:sz w:val="20"/>
        </w:rPr>
        <w:t>AIT</w:t>
      </w:r>
      <w:r w:rsidR="00BF789D" w:rsidRPr="00BC2BC4">
        <w:rPr>
          <w:kern w:val="2"/>
          <w:sz w:val="20"/>
        </w:rPr>
        <w:t>,</w:t>
      </w:r>
      <w:r w:rsidRPr="00BC2BC4">
        <w:rPr>
          <w:kern w:val="2"/>
          <w:sz w:val="20"/>
        </w:rPr>
        <w:t xml:space="preserve"> and considers other matters relevant to the operation of </w:t>
      </w:r>
      <w:r w:rsidR="007D064A" w:rsidRPr="00BC2BC4">
        <w:rPr>
          <w:kern w:val="2"/>
          <w:sz w:val="20"/>
        </w:rPr>
        <w:t xml:space="preserve">the </w:t>
      </w:r>
      <w:r w:rsidRPr="00BC2BC4">
        <w:rPr>
          <w:kern w:val="2"/>
          <w:sz w:val="20"/>
        </w:rPr>
        <w:t>AIT. The non-judicial complaint process facilitated by the committees must be documented, and the provinces are obligated to attempt to resolve complaints.</w:t>
      </w:r>
      <w:r w:rsidRPr="00BC2BC4">
        <w:rPr>
          <w:rStyle w:val="FootnoteReference"/>
          <w:kern w:val="2"/>
          <w:sz w:val="20"/>
        </w:rPr>
        <w:footnoteReference w:id="249"/>
      </w:r>
      <w:r w:rsidRPr="00BC2BC4">
        <w:rPr>
          <w:kern w:val="2"/>
          <w:sz w:val="20"/>
        </w:rPr>
        <w:t xml:space="preserve"> Where the complaints fail to be resolved, they may be referred to an expert panel.</w:t>
      </w:r>
      <w:r w:rsidRPr="00BC2BC4">
        <w:rPr>
          <w:rStyle w:val="FootnoteReference"/>
          <w:kern w:val="2"/>
          <w:sz w:val="20"/>
        </w:rPr>
        <w:footnoteReference w:id="250"/>
      </w:r>
    </w:p>
    <w:p w14:paraId="6515A6B1" w14:textId="412A1327" w:rsidR="00D90DA6" w:rsidRPr="00BC2BC4" w:rsidRDefault="00D90DA6" w:rsidP="00504137">
      <w:pPr>
        <w:rPr>
          <w:kern w:val="2"/>
          <w:sz w:val="20"/>
        </w:rPr>
      </w:pPr>
      <w:r w:rsidRPr="00BC2BC4">
        <w:rPr>
          <w:kern w:val="2"/>
          <w:sz w:val="20"/>
        </w:rPr>
        <w:t>Many provincial entities have not yet established the complaint procedures required under the AIT, and it is unclear when these procedures will be established given that there are no concrete consequences for failing to do so.</w:t>
      </w:r>
      <w:r w:rsidRPr="00BC2BC4">
        <w:rPr>
          <w:rStyle w:val="FootnoteReference"/>
          <w:kern w:val="2"/>
          <w:sz w:val="20"/>
        </w:rPr>
        <w:footnoteReference w:id="251"/>
      </w:r>
      <w:r w:rsidRPr="00BC2BC4">
        <w:rPr>
          <w:kern w:val="2"/>
          <w:sz w:val="20"/>
        </w:rPr>
        <w:t xml:space="preserve"> As stated </w:t>
      </w:r>
      <w:r w:rsidR="00C403F0" w:rsidRPr="00BC2BC4">
        <w:rPr>
          <w:kern w:val="2"/>
          <w:sz w:val="20"/>
        </w:rPr>
        <w:t xml:space="preserve">in a report prepared for </w:t>
      </w:r>
      <w:r w:rsidRPr="00BC2BC4">
        <w:rPr>
          <w:kern w:val="2"/>
          <w:sz w:val="20"/>
        </w:rPr>
        <w:t>the Certified General Accountants Association of Canada</w:t>
      </w:r>
      <w:r w:rsidR="009B0411" w:rsidRPr="00BC2BC4">
        <w:rPr>
          <w:kern w:val="2"/>
          <w:sz w:val="20"/>
        </w:rPr>
        <w:t xml:space="preserve"> (which has since been integrated into the Chartered Professional Accountants of Canada organization)</w:t>
      </w:r>
      <w:r w:rsidRPr="00BC2BC4">
        <w:rPr>
          <w:kern w:val="2"/>
          <w:sz w:val="20"/>
        </w:rPr>
        <w:t>, “the dispute resolution provisions, which should be the glue of the [AIT], providing its integrity and credibility, are slow, complicated, expensive and apparently not respected by all governments.”</w:t>
      </w:r>
      <w:r w:rsidRPr="00BC2BC4">
        <w:rPr>
          <w:rStyle w:val="FootnoteReference"/>
          <w:kern w:val="2"/>
          <w:sz w:val="20"/>
        </w:rPr>
        <w:footnoteReference w:id="252"/>
      </w:r>
      <w:r w:rsidRPr="00BC2BC4">
        <w:rPr>
          <w:kern w:val="2"/>
          <w:sz w:val="20"/>
        </w:rPr>
        <w:t xml:space="preserve"> This means that the MASH Annex to the AIT is, in many circumstances, toothless. </w:t>
      </w:r>
    </w:p>
    <w:p w14:paraId="0AA8CB11" w14:textId="3D2AFD75" w:rsidR="00D90DA6" w:rsidRPr="00BC2BC4" w:rsidRDefault="00D90DA6" w:rsidP="00913132">
      <w:pPr>
        <w:pStyle w:val="Heading3"/>
        <w:rPr>
          <w:i/>
          <w:kern w:val="2"/>
          <w:sz w:val="22"/>
        </w:rPr>
      </w:pPr>
      <w:bookmarkStart w:id="66" w:name="_Toc291347570"/>
      <w:bookmarkStart w:id="67" w:name="_Toc420920801"/>
      <w:bookmarkStart w:id="68" w:name="_Toc424485046"/>
      <w:r w:rsidRPr="00BC2BC4">
        <w:rPr>
          <w:i/>
          <w:kern w:val="2"/>
          <w:sz w:val="22"/>
        </w:rPr>
        <w:t>Criminal Code</w:t>
      </w:r>
      <w:bookmarkEnd w:id="66"/>
      <w:bookmarkEnd w:id="67"/>
      <w:bookmarkEnd w:id="68"/>
    </w:p>
    <w:p w14:paraId="0882FAD5" w14:textId="366A69B0" w:rsidR="002B3E3E" w:rsidRPr="00BC2BC4" w:rsidRDefault="00D90DA6" w:rsidP="00A749B7">
      <w:pPr>
        <w:rPr>
          <w:kern w:val="2"/>
          <w:sz w:val="20"/>
        </w:rPr>
      </w:pPr>
      <w:r w:rsidRPr="00BC2BC4">
        <w:rPr>
          <w:kern w:val="2"/>
          <w:sz w:val="20"/>
        </w:rPr>
        <w:t xml:space="preserve">Public procurement is also regulated or limited by a number of </w:t>
      </w:r>
      <w:r w:rsidRPr="00BC2BC4">
        <w:rPr>
          <w:i/>
          <w:kern w:val="2"/>
          <w:sz w:val="20"/>
        </w:rPr>
        <w:t>Criminal Code</w:t>
      </w:r>
      <w:r w:rsidRPr="00BC2BC4">
        <w:rPr>
          <w:kern w:val="2"/>
          <w:sz w:val="20"/>
        </w:rPr>
        <w:t xml:space="preserve"> offences, including </w:t>
      </w:r>
      <w:r w:rsidR="00302B30" w:rsidRPr="00BC2BC4">
        <w:rPr>
          <w:kern w:val="2"/>
          <w:sz w:val="20"/>
        </w:rPr>
        <w:t>b</w:t>
      </w:r>
      <w:r w:rsidRPr="00BC2BC4">
        <w:rPr>
          <w:kern w:val="2"/>
          <w:sz w:val="20"/>
        </w:rPr>
        <w:t xml:space="preserve">ribery of </w:t>
      </w:r>
      <w:r w:rsidR="00302B30" w:rsidRPr="00BC2BC4">
        <w:rPr>
          <w:kern w:val="2"/>
          <w:sz w:val="20"/>
        </w:rPr>
        <w:t>o</w:t>
      </w:r>
      <w:r w:rsidRPr="00BC2BC4">
        <w:rPr>
          <w:kern w:val="2"/>
          <w:sz w:val="20"/>
        </w:rPr>
        <w:t>fficers,</w:t>
      </w:r>
      <w:r w:rsidRPr="00BC2BC4">
        <w:rPr>
          <w:rStyle w:val="FootnoteReference"/>
          <w:kern w:val="2"/>
          <w:sz w:val="20"/>
        </w:rPr>
        <w:footnoteReference w:id="253"/>
      </w:r>
      <w:r w:rsidRPr="00BC2BC4">
        <w:rPr>
          <w:kern w:val="2"/>
          <w:sz w:val="20"/>
        </w:rPr>
        <w:t xml:space="preserve"> </w:t>
      </w:r>
      <w:r w:rsidR="00302B30" w:rsidRPr="00BC2BC4">
        <w:rPr>
          <w:kern w:val="2"/>
          <w:sz w:val="20"/>
        </w:rPr>
        <w:t>f</w:t>
      </w:r>
      <w:r w:rsidRPr="00BC2BC4">
        <w:rPr>
          <w:kern w:val="2"/>
          <w:sz w:val="20"/>
        </w:rPr>
        <w:t xml:space="preserve">rauds on the </w:t>
      </w:r>
      <w:r w:rsidR="00302B30" w:rsidRPr="00BC2BC4">
        <w:rPr>
          <w:kern w:val="2"/>
          <w:sz w:val="20"/>
        </w:rPr>
        <w:t>g</w:t>
      </w:r>
      <w:r w:rsidRPr="00BC2BC4">
        <w:rPr>
          <w:kern w:val="2"/>
          <w:sz w:val="20"/>
        </w:rPr>
        <w:t>overnment,</w:t>
      </w:r>
      <w:r w:rsidRPr="00BC2BC4">
        <w:rPr>
          <w:rStyle w:val="FootnoteReference"/>
          <w:kern w:val="2"/>
          <w:sz w:val="20"/>
        </w:rPr>
        <w:footnoteReference w:id="254"/>
      </w:r>
      <w:r w:rsidRPr="00BC2BC4">
        <w:rPr>
          <w:kern w:val="2"/>
          <w:sz w:val="20"/>
        </w:rPr>
        <w:t xml:space="preserve"> </w:t>
      </w:r>
      <w:r w:rsidR="00302B30" w:rsidRPr="00BC2BC4">
        <w:rPr>
          <w:kern w:val="2"/>
          <w:sz w:val="20"/>
        </w:rPr>
        <w:t>b</w:t>
      </w:r>
      <w:r w:rsidRPr="00BC2BC4">
        <w:rPr>
          <w:kern w:val="2"/>
          <w:sz w:val="20"/>
        </w:rPr>
        <w:t xml:space="preserve">reach of </w:t>
      </w:r>
      <w:r w:rsidR="00302B30" w:rsidRPr="00BC2BC4">
        <w:rPr>
          <w:kern w:val="2"/>
          <w:sz w:val="20"/>
        </w:rPr>
        <w:t>t</w:t>
      </w:r>
      <w:r w:rsidRPr="00BC2BC4">
        <w:rPr>
          <w:kern w:val="2"/>
          <w:sz w:val="20"/>
        </w:rPr>
        <w:t xml:space="preserve">rust of a </w:t>
      </w:r>
      <w:r w:rsidR="00302B30" w:rsidRPr="00BC2BC4">
        <w:rPr>
          <w:kern w:val="2"/>
          <w:sz w:val="20"/>
        </w:rPr>
        <w:t>p</w:t>
      </w:r>
      <w:r w:rsidRPr="00BC2BC4">
        <w:rPr>
          <w:kern w:val="2"/>
          <w:sz w:val="20"/>
        </w:rPr>
        <w:t>ublic</w:t>
      </w:r>
      <w:r w:rsidR="00302B30" w:rsidRPr="00BC2BC4">
        <w:rPr>
          <w:kern w:val="2"/>
          <w:sz w:val="20"/>
        </w:rPr>
        <w:t xml:space="preserve"> o</w:t>
      </w:r>
      <w:r w:rsidRPr="00BC2BC4">
        <w:rPr>
          <w:kern w:val="2"/>
          <w:sz w:val="20"/>
        </w:rPr>
        <w:t>fficer,</w:t>
      </w:r>
      <w:r w:rsidRPr="00BC2BC4">
        <w:rPr>
          <w:rStyle w:val="FootnoteReference"/>
          <w:kern w:val="2"/>
          <w:sz w:val="20"/>
        </w:rPr>
        <w:footnoteReference w:id="255"/>
      </w:r>
      <w:r w:rsidRPr="00BC2BC4">
        <w:rPr>
          <w:kern w:val="2"/>
          <w:sz w:val="20"/>
        </w:rPr>
        <w:t xml:space="preserve"> </w:t>
      </w:r>
      <w:r w:rsidR="00302B30" w:rsidRPr="00BC2BC4">
        <w:rPr>
          <w:kern w:val="2"/>
          <w:sz w:val="20"/>
        </w:rPr>
        <w:t>m</w:t>
      </w:r>
      <w:r w:rsidRPr="00BC2BC4">
        <w:rPr>
          <w:kern w:val="2"/>
          <w:sz w:val="20"/>
        </w:rPr>
        <w:t xml:space="preserve">unicipal </w:t>
      </w:r>
      <w:r w:rsidR="00302B30" w:rsidRPr="00BC2BC4">
        <w:rPr>
          <w:kern w:val="2"/>
          <w:sz w:val="20"/>
        </w:rPr>
        <w:t>c</w:t>
      </w:r>
      <w:r w:rsidRPr="00BC2BC4">
        <w:rPr>
          <w:kern w:val="2"/>
          <w:sz w:val="20"/>
        </w:rPr>
        <w:t>orruption,</w:t>
      </w:r>
      <w:r w:rsidRPr="00BC2BC4">
        <w:rPr>
          <w:rStyle w:val="FootnoteReference"/>
          <w:kern w:val="2"/>
          <w:sz w:val="20"/>
        </w:rPr>
        <w:footnoteReference w:id="256"/>
      </w:r>
      <w:r w:rsidRPr="00BC2BC4">
        <w:rPr>
          <w:kern w:val="2"/>
          <w:sz w:val="20"/>
        </w:rPr>
        <w:t xml:space="preserve"> </w:t>
      </w:r>
      <w:r w:rsidR="00302B30" w:rsidRPr="00BC2BC4">
        <w:rPr>
          <w:kern w:val="2"/>
          <w:sz w:val="20"/>
        </w:rPr>
        <w:t>f</w:t>
      </w:r>
      <w:r w:rsidRPr="00BC2BC4">
        <w:rPr>
          <w:kern w:val="2"/>
          <w:sz w:val="20"/>
        </w:rPr>
        <w:t xml:space="preserve">raudulent </w:t>
      </w:r>
      <w:r w:rsidR="00302B30" w:rsidRPr="00BC2BC4">
        <w:rPr>
          <w:kern w:val="2"/>
          <w:sz w:val="20"/>
        </w:rPr>
        <w:t>d</w:t>
      </w:r>
      <w:r w:rsidRPr="00BC2BC4">
        <w:rPr>
          <w:kern w:val="2"/>
          <w:sz w:val="20"/>
        </w:rPr>
        <w:t xml:space="preserve">isposal of </w:t>
      </w:r>
      <w:r w:rsidR="00302B30" w:rsidRPr="00BC2BC4">
        <w:rPr>
          <w:kern w:val="2"/>
          <w:sz w:val="20"/>
        </w:rPr>
        <w:t>g</w:t>
      </w:r>
      <w:r w:rsidRPr="00BC2BC4">
        <w:rPr>
          <w:kern w:val="2"/>
          <w:sz w:val="20"/>
        </w:rPr>
        <w:t xml:space="preserve">oods on </w:t>
      </w:r>
      <w:r w:rsidR="00302B30" w:rsidRPr="00BC2BC4">
        <w:rPr>
          <w:kern w:val="2"/>
          <w:sz w:val="20"/>
        </w:rPr>
        <w:t>w</w:t>
      </w:r>
      <w:r w:rsidRPr="00BC2BC4">
        <w:rPr>
          <w:kern w:val="2"/>
          <w:sz w:val="20"/>
        </w:rPr>
        <w:t xml:space="preserve">hich </w:t>
      </w:r>
      <w:r w:rsidR="00302B30" w:rsidRPr="00BC2BC4">
        <w:rPr>
          <w:kern w:val="2"/>
          <w:sz w:val="20"/>
        </w:rPr>
        <w:t>m</w:t>
      </w:r>
      <w:r w:rsidRPr="00BC2BC4">
        <w:rPr>
          <w:kern w:val="2"/>
          <w:sz w:val="20"/>
        </w:rPr>
        <w:t>oney</w:t>
      </w:r>
      <w:r w:rsidR="00C836C8" w:rsidRPr="00BC2BC4">
        <w:rPr>
          <w:kern w:val="2"/>
          <w:sz w:val="20"/>
        </w:rPr>
        <w:t xml:space="preserve"> has been</w:t>
      </w:r>
      <w:r w:rsidRPr="00BC2BC4">
        <w:rPr>
          <w:kern w:val="2"/>
          <w:sz w:val="20"/>
        </w:rPr>
        <w:t xml:space="preserve"> </w:t>
      </w:r>
      <w:r w:rsidR="00302B30" w:rsidRPr="00BC2BC4">
        <w:rPr>
          <w:kern w:val="2"/>
          <w:sz w:val="20"/>
        </w:rPr>
        <w:t>a</w:t>
      </w:r>
      <w:r w:rsidRPr="00BC2BC4">
        <w:rPr>
          <w:kern w:val="2"/>
          <w:sz w:val="20"/>
        </w:rPr>
        <w:t>dvanced,</w:t>
      </w:r>
      <w:r w:rsidRPr="00BC2BC4">
        <w:rPr>
          <w:rStyle w:val="FootnoteReference"/>
          <w:kern w:val="2"/>
          <w:sz w:val="20"/>
        </w:rPr>
        <w:footnoteReference w:id="257"/>
      </w:r>
      <w:r w:rsidRPr="00BC2BC4">
        <w:rPr>
          <w:kern w:val="2"/>
          <w:sz w:val="20"/>
        </w:rPr>
        <w:t xml:space="preserve"> </w:t>
      </w:r>
      <w:r w:rsidR="00302B30" w:rsidRPr="00BC2BC4">
        <w:rPr>
          <w:kern w:val="2"/>
          <w:sz w:val="20"/>
        </w:rPr>
        <w:t>e</w:t>
      </w:r>
      <w:r w:rsidRPr="00BC2BC4">
        <w:rPr>
          <w:kern w:val="2"/>
          <w:sz w:val="20"/>
        </w:rPr>
        <w:t>xtortion</w:t>
      </w:r>
      <w:r w:rsidR="00302B30" w:rsidRPr="00BC2BC4">
        <w:rPr>
          <w:kern w:val="2"/>
          <w:sz w:val="20"/>
        </w:rPr>
        <w:t>,</w:t>
      </w:r>
      <w:r w:rsidRPr="00BC2BC4">
        <w:rPr>
          <w:rStyle w:val="FootnoteReference"/>
          <w:kern w:val="2"/>
          <w:sz w:val="20"/>
        </w:rPr>
        <w:footnoteReference w:id="258"/>
      </w:r>
      <w:r w:rsidRPr="00BC2BC4">
        <w:rPr>
          <w:kern w:val="2"/>
          <w:sz w:val="20"/>
        </w:rPr>
        <w:t xml:space="preserve"> and </w:t>
      </w:r>
      <w:r w:rsidR="00302B30" w:rsidRPr="00BC2BC4">
        <w:rPr>
          <w:kern w:val="2"/>
          <w:sz w:val="20"/>
        </w:rPr>
        <w:t>s</w:t>
      </w:r>
      <w:r w:rsidRPr="00BC2BC4">
        <w:rPr>
          <w:kern w:val="2"/>
          <w:sz w:val="20"/>
        </w:rPr>
        <w:t xml:space="preserve">ecret </w:t>
      </w:r>
      <w:r w:rsidR="00302B30" w:rsidRPr="00BC2BC4">
        <w:rPr>
          <w:kern w:val="2"/>
          <w:sz w:val="20"/>
        </w:rPr>
        <w:t>c</w:t>
      </w:r>
      <w:r w:rsidRPr="00BC2BC4">
        <w:rPr>
          <w:kern w:val="2"/>
          <w:sz w:val="20"/>
        </w:rPr>
        <w:t>ommissions.</w:t>
      </w:r>
      <w:r w:rsidRPr="00BC2BC4">
        <w:rPr>
          <w:rStyle w:val="FootnoteReference"/>
          <w:kern w:val="2"/>
          <w:sz w:val="20"/>
        </w:rPr>
        <w:footnoteReference w:id="259"/>
      </w:r>
      <w:r w:rsidR="009049C7" w:rsidRPr="00BC2BC4">
        <w:rPr>
          <w:kern w:val="2"/>
          <w:sz w:val="20"/>
        </w:rPr>
        <w:t xml:space="preserve"> These offences are briefly described in </w:t>
      </w:r>
      <w:r w:rsidR="009049C7" w:rsidRPr="00BC2BC4">
        <w:rPr>
          <w:kern w:val="2"/>
          <w:sz w:val="20"/>
          <w:highlight w:val="cyan"/>
        </w:rPr>
        <w:t>Chapter 2,</w:t>
      </w:r>
      <w:r w:rsidR="00504137" w:rsidRPr="00BC2BC4">
        <w:rPr>
          <w:kern w:val="2"/>
          <w:sz w:val="20"/>
          <w:highlight w:val="cyan"/>
        </w:rPr>
        <w:t xml:space="preserve"> </w:t>
      </w:r>
      <w:r w:rsidR="0011313C" w:rsidRPr="00BC2BC4">
        <w:rPr>
          <w:kern w:val="2"/>
          <w:sz w:val="20"/>
          <w:highlight w:val="cyan"/>
        </w:rPr>
        <w:t>Section</w:t>
      </w:r>
      <w:r w:rsidR="009049C7" w:rsidRPr="00BC2BC4">
        <w:rPr>
          <w:kern w:val="2"/>
          <w:sz w:val="20"/>
          <w:highlight w:val="cyan"/>
        </w:rPr>
        <w:t xml:space="preserve"> 2.5</w:t>
      </w:r>
      <w:r w:rsidR="009049C7" w:rsidRPr="00BC2BC4">
        <w:rPr>
          <w:kern w:val="2"/>
          <w:sz w:val="20"/>
        </w:rPr>
        <w:t xml:space="preserve">. </w:t>
      </w:r>
      <w:r w:rsidR="000B797F" w:rsidRPr="00BC2BC4">
        <w:rPr>
          <w:kern w:val="2"/>
          <w:sz w:val="20"/>
        </w:rPr>
        <w:t xml:space="preserve">Sections 121(1)(f) and 121(2) </w:t>
      </w:r>
      <w:r w:rsidR="00E76C87" w:rsidRPr="00BC2BC4">
        <w:rPr>
          <w:kern w:val="2"/>
          <w:sz w:val="20"/>
        </w:rPr>
        <w:t xml:space="preserve">of the </w:t>
      </w:r>
      <w:r w:rsidR="00E76C87" w:rsidRPr="00BC2BC4">
        <w:rPr>
          <w:i/>
          <w:kern w:val="2"/>
          <w:sz w:val="20"/>
        </w:rPr>
        <w:t>Criminal Code</w:t>
      </w:r>
      <w:r w:rsidR="00E76C87" w:rsidRPr="00BC2BC4">
        <w:rPr>
          <w:kern w:val="2"/>
          <w:sz w:val="20"/>
        </w:rPr>
        <w:t xml:space="preserve"> </w:t>
      </w:r>
      <w:r w:rsidR="000B797F" w:rsidRPr="00BC2BC4">
        <w:rPr>
          <w:kern w:val="2"/>
          <w:sz w:val="20"/>
        </w:rPr>
        <w:t>are specific offences in respect to federal and pr</w:t>
      </w:r>
      <w:r w:rsidR="00FD55E6" w:rsidRPr="00BC2BC4">
        <w:rPr>
          <w:kern w:val="2"/>
          <w:sz w:val="20"/>
        </w:rPr>
        <w:t>ovincial procurement but</w:t>
      </w:r>
      <w:r w:rsidR="000B797F" w:rsidRPr="00BC2BC4">
        <w:rPr>
          <w:kern w:val="2"/>
          <w:sz w:val="20"/>
        </w:rPr>
        <w:t xml:space="preserve"> do not cover municipal procurement</w:t>
      </w:r>
      <w:r w:rsidR="00086D2C" w:rsidRPr="00BC2BC4">
        <w:rPr>
          <w:kern w:val="2"/>
          <w:sz w:val="20"/>
        </w:rPr>
        <w:t xml:space="preserve"> offences. At the time of writing, t</w:t>
      </w:r>
      <w:r w:rsidR="00FD55E6" w:rsidRPr="00BC2BC4">
        <w:rPr>
          <w:kern w:val="2"/>
          <w:sz w:val="20"/>
        </w:rPr>
        <w:t>h</w:t>
      </w:r>
      <w:r w:rsidR="00DF6DC1" w:rsidRPr="00BC2BC4">
        <w:rPr>
          <w:kern w:val="2"/>
          <w:sz w:val="20"/>
        </w:rPr>
        <w:t>e</w:t>
      </w:r>
      <w:r w:rsidR="00FD55E6" w:rsidRPr="00BC2BC4">
        <w:rPr>
          <w:kern w:val="2"/>
          <w:sz w:val="20"/>
        </w:rPr>
        <w:t xml:space="preserve">se </w:t>
      </w:r>
      <w:r w:rsidR="00FD55E6" w:rsidRPr="00BC2BC4">
        <w:rPr>
          <w:i/>
          <w:kern w:val="2"/>
          <w:sz w:val="20"/>
        </w:rPr>
        <w:t xml:space="preserve">Criminal Code </w:t>
      </w:r>
      <w:r w:rsidR="00FD55E6" w:rsidRPr="00BC2BC4">
        <w:rPr>
          <w:kern w:val="2"/>
          <w:sz w:val="20"/>
        </w:rPr>
        <w:t>sections</w:t>
      </w:r>
      <w:r w:rsidR="000B797F" w:rsidRPr="00BC2BC4">
        <w:rPr>
          <w:kern w:val="2"/>
          <w:sz w:val="20"/>
        </w:rPr>
        <w:t xml:space="preserve"> have not been used to prosecute unlawful procurement actions. Instead,</w:t>
      </w:r>
      <w:r w:rsidR="00FD55E6" w:rsidRPr="00BC2BC4">
        <w:rPr>
          <w:kern w:val="2"/>
          <w:sz w:val="20"/>
        </w:rPr>
        <w:t xml:space="preserve"> procurement offences are prosecuted under</w:t>
      </w:r>
      <w:r w:rsidR="000B797F" w:rsidRPr="00BC2BC4">
        <w:rPr>
          <w:kern w:val="2"/>
          <w:sz w:val="20"/>
        </w:rPr>
        <w:t xml:space="preserve"> the fraud and breach of trust offences</w:t>
      </w:r>
      <w:r w:rsidR="00FD55E6" w:rsidRPr="00BC2BC4">
        <w:rPr>
          <w:kern w:val="2"/>
          <w:sz w:val="20"/>
        </w:rPr>
        <w:t xml:space="preserve"> in the </w:t>
      </w:r>
      <w:r w:rsidR="00FD55E6" w:rsidRPr="00BC2BC4">
        <w:rPr>
          <w:i/>
          <w:kern w:val="2"/>
          <w:sz w:val="20"/>
        </w:rPr>
        <w:t>Criminal Code</w:t>
      </w:r>
      <w:r w:rsidR="000B797F" w:rsidRPr="00BC2BC4">
        <w:rPr>
          <w:kern w:val="2"/>
          <w:sz w:val="20"/>
        </w:rPr>
        <w:t xml:space="preserve">, or the offence of “bid-rigging” under s. 47 of the </w:t>
      </w:r>
      <w:r w:rsidR="000B797F" w:rsidRPr="00BC2BC4">
        <w:rPr>
          <w:i/>
          <w:kern w:val="2"/>
          <w:sz w:val="20"/>
        </w:rPr>
        <w:t>Competition Act</w:t>
      </w:r>
      <w:r w:rsidR="004044E4" w:rsidRPr="00BC2BC4">
        <w:rPr>
          <w:rStyle w:val="FootnoteReference"/>
          <w:kern w:val="2"/>
          <w:sz w:val="20"/>
        </w:rPr>
        <w:footnoteReference w:id="260"/>
      </w:r>
      <w:r w:rsidR="000B797F" w:rsidRPr="00BC2BC4">
        <w:rPr>
          <w:i/>
          <w:kern w:val="2"/>
          <w:sz w:val="20"/>
        </w:rPr>
        <w:t xml:space="preserve"> </w:t>
      </w:r>
      <w:r w:rsidR="000B797F" w:rsidRPr="00BC2BC4">
        <w:rPr>
          <w:kern w:val="2"/>
          <w:sz w:val="20"/>
        </w:rPr>
        <w:t>(punishable by fine and/or a maximum of 14 years</w:t>
      </w:r>
      <w:r w:rsidR="004044E4" w:rsidRPr="00BC2BC4">
        <w:rPr>
          <w:kern w:val="2"/>
          <w:sz w:val="20"/>
        </w:rPr>
        <w:t>’</w:t>
      </w:r>
      <w:r w:rsidR="000B797F" w:rsidRPr="00BC2BC4">
        <w:rPr>
          <w:kern w:val="2"/>
          <w:sz w:val="20"/>
        </w:rPr>
        <w:t xml:space="preserve"> imprisonment). </w:t>
      </w:r>
    </w:p>
    <w:p w14:paraId="23DD84F0" w14:textId="32D6EEF5" w:rsidR="00D90DA6" w:rsidRPr="00BC2BC4" w:rsidRDefault="00D90DA6" w:rsidP="00913132">
      <w:pPr>
        <w:pStyle w:val="Heading3"/>
        <w:rPr>
          <w:kern w:val="2"/>
          <w:sz w:val="22"/>
        </w:rPr>
      </w:pPr>
      <w:bookmarkStart w:id="69" w:name="_Toc291347571"/>
      <w:bookmarkStart w:id="70" w:name="_Toc420920802"/>
      <w:bookmarkStart w:id="71" w:name="_Toc424485047"/>
      <w:r w:rsidRPr="00BC2BC4">
        <w:rPr>
          <w:kern w:val="2"/>
          <w:sz w:val="22"/>
        </w:rPr>
        <w:t>Overview</w:t>
      </w:r>
      <w:r w:rsidR="003C23B8" w:rsidRPr="00BC2BC4">
        <w:rPr>
          <w:kern w:val="2"/>
          <w:sz w:val="22"/>
        </w:rPr>
        <w:t xml:space="preserve"> </w:t>
      </w:r>
      <w:r w:rsidRPr="00BC2BC4">
        <w:rPr>
          <w:kern w:val="2"/>
          <w:sz w:val="22"/>
        </w:rPr>
        <w:t>of the Federal Policy Framework</w:t>
      </w:r>
      <w:bookmarkEnd w:id="69"/>
      <w:bookmarkEnd w:id="70"/>
      <w:bookmarkEnd w:id="71"/>
      <w:r w:rsidR="003C23B8" w:rsidRPr="00BC2BC4">
        <w:rPr>
          <w:kern w:val="2"/>
          <w:sz w:val="22"/>
        </w:rPr>
        <w:t xml:space="preserve"> and Integrity Provisions</w:t>
      </w:r>
    </w:p>
    <w:p w14:paraId="0441B093" w14:textId="609C9D97" w:rsidR="00D90DA6" w:rsidRPr="00BC2BC4" w:rsidRDefault="00D90DA6" w:rsidP="00FD01BD">
      <w:pPr>
        <w:spacing w:line="23" w:lineRule="atLeast"/>
        <w:rPr>
          <w:kern w:val="2"/>
          <w:sz w:val="20"/>
        </w:rPr>
      </w:pPr>
      <w:r w:rsidRPr="00BC2BC4">
        <w:rPr>
          <w:kern w:val="2"/>
          <w:sz w:val="20"/>
        </w:rPr>
        <w:t xml:space="preserve">The policy framework for federal public procurement is set out in the </w:t>
      </w:r>
      <w:r w:rsidRPr="00BC2BC4">
        <w:rPr>
          <w:i/>
          <w:kern w:val="2"/>
          <w:sz w:val="20"/>
        </w:rPr>
        <w:t>Financial Administration Act</w:t>
      </w:r>
      <w:r w:rsidR="00366E6D" w:rsidRPr="00BC2BC4">
        <w:rPr>
          <w:rStyle w:val="FootnoteReference"/>
          <w:kern w:val="2"/>
          <w:sz w:val="20"/>
        </w:rPr>
        <w:footnoteReference w:id="261"/>
      </w:r>
      <w:r w:rsidRPr="00BC2BC4">
        <w:rPr>
          <w:kern w:val="2"/>
          <w:sz w:val="20"/>
        </w:rPr>
        <w:t xml:space="preserve"> (and subordinate Government Contracts Regulations), the </w:t>
      </w:r>
      <w:r w:rsidRPr="00BC2BC4">
        <w:rPr>
          <w:i/>
          <w:kern w:val="2"/>
          <w:sz w:val="20"/>
        </w:rPr>
        <w:t>Federal Accountability Act</w:t>
      </w:r>
      <w:r w:rsidR="00086D2C" w:rsidRPr="00BC2BC4">
        <w:rPr>
          <w:kern w:val="2"/>
          <w:sz w:val="20"/>
        </w:rPr>
        <w:t>,</w:t>
      </w:r>
      <w:r w:rsidR="00366E6D" w:rsidRPr="00BC2BC4">
        <w:rPr>
          <w:rStyle w:val="FootnoteReference"/>
          <w:kern w:val="2"/>
          <w:sz w:val="20"/>
        </w:rPr>
        <w:footnoteReference w:id="262"/>
      </w:r>
      <w:r w:rsidRPr="00BC2BC4">
        <w:rPr>
          <w:kern w:val="2"/>
          <w:sz w:val="20"/>
        </w:rPr>
        <w:t xml:space="preserve"> </w:t>
      </w:r>
      <w:r w:rsidR="00D15074" w:rsidRPr="00BC2BC4">
        <w:rPr>
          <w:kern w:val="2"/>
          <w:sz w:val="20"/>
        </w:rPr>
        <w:t xml:space="preserve">the </w:t>
      </w:r>
      <w:r w:rsidRPr="00BC2BC4">
        <w:rPr>
          <w:i/>
          <w:kern w:val="2"/>
          <w:sz w:val="20"/>
        </w:rPr>
        <w:t>Auditor General Act</w:t>
      </w:r>
      <w:r w:rsidR="00086D2C" w:rsidRPr="00BC2BC4">
        <w:rPr>
          <w:kern w:val="2"/>
          <w:sz w:val="20"/>
        </w:rPr>
        <w:t>,</w:t>
      </w:r>
      <w:r w:rsidR="00366E6D" w:rsidRPr="00BC2BC4">
        <w:rPr>
          <w:rStyle w:val="FootnoteReference"/>
          <w:kern w:val="2"/>
          <w:sz w:val="20"/>
        </w:rPr>
        <w:footnoteReference w:id="263"/>
      </w:r>
      <w:r w:rsidRPr="00BC2BC4">
        <w:rPr>
          <w:kern w:val="2"/>
          <w:sz w:val="20"/>
        </w:rPr>
        <w:t xml:space="preserve"> and the </w:t>
      </w:r>
      <w:r w:rsidRPr="00BC2BC4">
        <w:rPr>
          <w:i/>
          <w:kern w:val="2"/>
          <w:sz w:val="20"/>
        </w:rPr>
        <w:t>Department of Public Works and</w:t>
      </w:r>
      <w:r w:rsidR="00366E6D" w:rsidRPr="00BC2BC4">
        <w:rPr>
          <w:i/>
          <w:kern w:val="2"/>
          <w:sz w:val="20"/>
        </w:rPr>
        <w:t xml:space="preserve"> Government</w:t>
      </w:r>
      <w:r w:rsidRPr="00BC2BC4">
        <w:rPr>
          <w:i/>
          <w:kern w:val="2"/>
          <w:sz w:val="20"/>
        </w:rPr>
        <w:t xml:space="preserve"> Services Act</w:t>
      </w:r>
      <w:r w:rsidRPr="00BC2BC4">
        <w:rPr>
          <w:kern w:val="2"/>
          <w:sz w:val="20"/>
        </w:rPr>
        <w:t>.</w:t>
      </w:r>
      <w:r w:rsidRPr="00BC2BC4">
        <w:rPr>
          <w:rStyle w:val="FootnoteReference"/>
          <w:kern w:val="2"/>
          <w:sz w:val="20"/>
        </w:rPr>
        <w:footnoteReference w:id="264"/>
      </w:r>
      <w:r w:rsidRPr="00BC2BC4">
        <w:rPr>
          <w:kern w:val="2"/>
          <w:sz w:val="20"/>
        </w:rPr>
        <w:t xml:space="preserve"> Stobo and Leschinsky from </w:t>
      </w:r>
      <w:r w:rsidR="00424F30" w:rsidRPr="00BC2BC4">
        <w:rPr>
          <w:kern w:val="2"/>
          <w:sz w:val="20"/>
        </w:rPr>
        <w:t xml:space="preserve">the </w:t>
      </w:r>
      <w:r w:rsidRPr="00BC2BC4">
        <w:rPr>
          <w:kern w:val="2"/>
          <w:sz w:val="20"/>
        </w:rPr>
        <w:t>Canadian law firm Borden Ladner Gervais explain</w:t>
      </w:r>
      <w:r w:rsidR="00504137" w:rsidRPr="00BC2BC4">
        <w:rPr>
          <w:kern w:val="2"/>
          <w:sz w:val="20"/>
        </w:rPr>
        <w:t>:</w:t>
      </w:r>
    </w:p>
    <w:p w14:paraId="671FB285" w14:textId="77777777" w:rsidR="00D90DA6" w:rsidRPr="00BC2BC4" w:rsidRDefault="00504137" w:rsidP="008F12B6">
      <w:pPr>
        <w:pStyle w:val="BlockQuote"/>
        <w:spacing w:after="120"/>
        <w:rPr>
          <w:kern w:val="2"/>
          <w:sz w:val="20"/>
        </w:rPr>
      </w:pPr>
      <w:r w:rsidRPr="00BC2BC4">
        <w:rPr>
          <w:kern w:val="2"/>
          <w:sz w:val="20"/>
        </w:rPr>
        <w:t>Th</w:t>
      </w:r>
      <w:r w:rsidR="00D90DA6" w:rsidRPr="00BC2BC4">
        <w:rPr>
          <w:kern w:val="2"/>
          <w:sz w:val="20"/>
        </w:rPr>
        <w:t>e [</w:t>
      </w:r>
      <w:r w:rsidR="00D90DA6" w:rsidRPr="00BC2BC4">
        <w:rPr>
          <w:i/>
          <w:kern w:val="2"/>
          <w:sz w:val="20"/>
        </w:rPr>
        <w:t>Financial Administration Act</w:t>
      </w:r>
      <w:r w:rsidR="00D90DA6" w:rsidRPr="00BC2BC4">
        <w:rPr>
          <w:kern w:val="2"/>
          <w:sz w:val="20"/>
        </w:rPr>
        <w:t xml:space="preserve">] provides the legal framework for the collection and expenditure of public funds. The Government Contracts Regulations, which were enacted pursuant to the </w:t>
      </w:r>
      <w:r w:rsidR="00D90DA6" w:rsidRPr="00BC2BC4">
        <w:rPr>
          <w:i/>
          <w:kern w:val="2"/>
          <w:sz w:val="20"/>
        </w:rPr>
        <w:t>Financial Administration Act</w:t>
      </w:r>
      <w:r w:rsidR="00D90DA6" w:rsidRPr="00BC2BC4">
        <w:rPr>
          <w:kern w:val="2"/>
          <w:sz w:val="20"/>
        </w:rPr>
        <w:t>, also provide the conditions for entering into a contract and the general requirements for the acquisition of goods and services.</w:t>
      </w:r>
    </w:p>
    <w:p w14:paraId="46107E38" w14:textId="77777777" w:rsidR="00D90DA6" w:rsidRPr="00BC2BC4" w:rsidRDefault="00D90DA6" w:rsidP="008F12B6">
      <w:pPr>
        <w:pStyle w:val="BlockQuote"/>
        <w:spacing w:after="120"/>
        <w:rPr>
          <w:kern w:val="2"/>
          <w:sz w:val="20"/>
        </w:rPr>
      </w:pPr>
      <w:r w:rsidRPr="00BC2BC4">
        <w:rPr>
          <w:kern w:val="2"/>
          <w:sz w:val="20"/>
        </w:rPr>
        <w:t>Within the scope of this broad framework, the Treasury Board of Canada (“Treasury Board”) has been delegated overall responsibility for establishing general expenditure policies as they pertain to the federal procurement process. In addition to setting general principles of contracting, the Treasury Board is also responsible for approving contracts entered into by federal contracting agencies when such contracts exceed certain dollar-value thresholds as established from time to time by the Treasury Board.</w:t>
      </w:r>
    </w:p>
    <w:p w14:paraId="01C70563" w14:textId="4D20A026" w:rsidR="00D90DA6" w:rsidRPr="00BC2BC4" w:rsidRDefault="009D5526" w:rsidP="008F12B6">
      <w:pPr>
        <w:pStyle w:val="BlockQuote"/>
        <w:spacing w:after="120"/>
        <w:rPr>
          <w:kern w:val="2"/>
          <w:sz w:val="20"/>
        </w:rPr>
      </w:pPr>
      <w:r w:rsidRPr="00BC2BC4">
        <w:rPr>
          <w:kern w:val="2"/>
          <w:sz w:val="20"/>
        </w:rPr>
        <w:t>[Public Works and Government Services Canada (</w:t>
      </w:r>
      <w:r w:rsidR="00D90DA6" w:rsidRPr="00BC2BC4">
        <w:rPr>
          <w:kern w:val="2"/>
          <w:sz w:val="20"/>
        </w:rPr>
        <w:t>PWGSC</w:t>
      </w:r>
      <w:r w:rsidRPr="00BC2BC4">
        <w:rPr>
          <w:kern w:val="2"/>
          <w:sz w:val="20"/>
        </w:rPr>
        <w:t>)]</w:t>
      </w:r>
      <w:r w:rsidR="00D90DA6" w:rsidRPr="00BC2BC4">
        <w:rPr>
          <w:kern w:val="2"/>
          <w:sz w:val="20"/>
        </w:rPr>
        <w:t xml:space="preserve"> … is the principal purchasing agent of the federal government of Canada and is responsible for providing procurement sources for the majority of federal departments. The statutory basis and administrative framework of PWGSC is established by the </w:t>
      </w:r>
      <w:r w:rsidR="00D90DA6" w:rsidRPr="00BC2BC4">
        <w:rPr>
          <w:i/>
          <w:kern w:val="2"/>
          <w:sz w:val="20"/>
        </w:rPr>
        <w:t>Department of Public Works and Government Services Act</w:t>
      </w:r>
      <w:r w:rsidR="00D90DA6" w:rsidRPr="00BC2BC4">
        <w:rPr>
          <w:kern w:val="2"/>
          <w:sz w:val="20"/>
        </w:rPr>
        <w:t>.</w:t>
      </w:r>
      <w:r w:rsidR="00373368" w:rsidRPr="00BC2BC4">
        <w:rPr>
          <w:rStyle w:val="FootnoteReference"/>
          <w:kern w:val="2"/>
          <w:sz w:val="20"/>
        </w:rPr>
        <w:footnoteReference w:id="265"/>
      </w:r>
      <w:r w:rsidR="00D90DA6" w:rsidRPr="00BC2BC4">
        <w:rPr>
          <w:kern w:val="2"/>
          <w:sz w:val="20"/>
        </w:rPr>
        <w:tab/>
      </w:r>
    </w:p>
    <w:p w14:paraId="4B264EAD" w14:textId="020BFCB4" w:rsidR="00484A83" w:rsidRPr="00BC2BC4" w:rsidRDefault="009D5526" w:rsidP="008F12B6">
      <w:pPr>
        <w:rPr>
          <w:rFonts w:eastAsia="MS Mincho"/>
          <w:kern w:val="2"/>
          <w:sz w:val="20"/>
          <w:lang w:val="en"/>
        </w:rPr>
      </w:pPr>
      <w:r w:rsidRPr="00BC2BC4">
        <w:rPr>
          <w:kern w:val="2"/>
          <w:sz w:val="20"/>
        </w:rPr>
        <w:t>On July 3, 2015, PWGSC put in place a new “Integrity Regime”</w:t>
      </w:r>
      <w:r w:rsidR="00383C11" w:rsidRPr="00BC2BC4">
        <w:rPr>
          <w:kern w:val="2"/>
          <w:sz w:val="20"/>
        </w:rPr>
        <w:t xml:space="preserve"> which replaced</w:t>
      </w:r>
      <w:r w:rsidR="00351D1C" w:rsidRPr="00BC2BC4">
        <w:rPr>
          <w:kern w:val="2"/>
          <w:sz w:val="20"/>
        </w:rPr>
        <w:t xml:space="preserve"> </w:t>
      </w:r>
      <w:r w:rsidRPr="00BC2BC4">
        <w:rPr>
          <w:kern w:val="2"/>
          <w:sz w:val="20"/>
        </w:rPr>
        <w:t>the previous “Integrity Framework</w:t>
      </w:r>
      <w:r w:rsidR="007179D5" w:rsidRPr="00BC2BC4">
        <w:rPr>
          <w:kern w:val="2"/>
          <w:sz w:val="20"/>
        </w:rPr>
        <w:t>.</w:t>
      </w:r>
      <w:r w:rsidRPr="00BC2BC4">
        <w:rPr>
          <w:kern w:val="2"/>
          <w:sz w:val="20"/>
        </w:rPr>
        <w:t>”</w:t>
      </w:r>
      <w:r w:rsidRPr="00BC2BC4">
        <w:rPr>
          <w:kern w:val="2"/>
          <w:sz w:val="20"/>
          <w:vertAlign w:val="superscript"/>
        </w:rPr>
        <w:footnoteReference w:id="266"/>
      </w:r>
      <w:r w:rsidRPr="00BC2BC4">
        <w:rPr>
          <w:kern w:val="2"/>
          <w:sz w:val="20"/>
        </w:rPr>
        <w:t xml:space="preserve"> The new Integrity Regime emphasizes the importance of fostering ethical business practices and reducing the risk of Canada’s entering into contracts with suppliers convicted of an offence linked to unethical business conduct. </w:t>
      </w:r>
      <w:r w:rsidR="002A01BB" w:rsidRPr="00BC2BC4">
        <w:rPr>
          <w:kern w:val="2"/>
          <w:sz w:val="20"/>
        </w:rPr>
        <w:t>On its website, PWGSC describes the basic structure</w:t>
      </w:r>
      <w:r w:rsidR="002A01BB" w:rsidRPr="00BC2BC4">
        <w:rPr>
          <w:rFonts w:eastAsia="MS Mincho"/>
          <w:kern w:val="2"/>
          <w:sz w:val="20"/>
          <w:lang w:val="en"/>
        </w:rPr>
        <w:t xml:space="preserve"> of the new Integrity Framework and its application</w:t>
      </w:r>
      <w:r w:rsidR="00484A83" w:rsidRPr="00BC2BC4">
        <w:rPr>
          <w:rFonts w:eastAsia="MS Mincho"/>
          <w:kern w:val="2"/>
          <w:sz w:val="20"/>
          <w:lang w:val="en"/>
        </w:rPr>
        <w:t>:</w:t>
      </w:r>
    </w:p>
    <w:p w14:paraId="17A52708" w14:textId="35E71DF2" w:rsidR="002A01BB" w:rsidRPr="00BC2BC4" w:rsidRDefault="002A01BB" w:rsidP="001329FD">
      <w:pPr>
        <w:pStyle w:val="BlockQuote"/>
        <w:spacing w:after="120"/>
        <w:rPr>
          <w:kern w:val="2"/>
          <w:sz w:val="20"/>
          <w:lang w:val="en"/>
        </w:rPr>
      </w:pPr>
      <w:r w:rsidRPr="00BC2BC4">
        <w:rPr>
          <w:kern w:val="2"/>
          <w:sz w:val="20"/>
          <w:lang w:val="en"/>
        </w:rPr>
        <w:t xml:space="preserve">The regime is applied across government through agreements between </w:t>
      </w:r>
      <w:r w:rsidR="00EF1C3B" w:rsidRPr="00BC2BC4">
        <w:rPr>
          <w:kern w:val="2"/>
          <w:sz w:val="20"/>
          <w:lang w:val="en"/>
        </w:rPr>
        <w:t xml:space="preserve">[PWGSC] </w:t>
      </w:r>
      <w:r w:rsidRPr="00BC2BC4">
        <w:rPr>
          <w:kern w:val="2"/>
          <w:sz w:val="20"/>
          <w:lang w:val="en"/>
        </w:rPr>
        <w:t>and other federal departments and agencies.</w:t>
      </w:r>
    </w:p>
    <w:p w14:paraId="195D9046" w14:textId="77777777" w:rsidR="00B642AA" w:rsidRPr="00BC2BC4" w:rsidRDefault="002A01BB" w:rsidP="00913132">
      <w:pPr>
        <w:pStyle w:val="BlockQuote"/>
        <w:spacing w:after="120"/>
        <w:rPr>
          <w:kern w:val="2"/>
          <w:sz w:val="20"/>
          <w:lang w:val="en"/>
        </w:rPr>
      </w:pPr>
      <w:r w:rsidRPr="00BC2BC4">
        <w:rPr>
          <w:kern w:val="2"/>
          <w:sz w:val="20"/>
          <w:lang w:val="en"/>
        </w:rPr>
        <w:t>The regime applies to:</w:t>
      </w:r>
    </w:p>
    <w:p w14:paraId="35748374" w14:textId="77777777" w:rsidR="002A01BB" w:rsidRPr="00BC2BC4" w:rsidRDefault="002A01BB" w:rsidP="00A75BC0">
      <w:pPr>
        <w:pStyle w:val="BlockQuote"/>
        <w:numPr>
          <w:ilvl w:val="0"/>
          <w:numId w:val="19"/>
        </w:numPr>
        <w:spacing w:after="60"/>
        <w:jc w:val="left"/>
        <w:rPr>
          <w:kern w:val="2"/>
          <w:sz w:val="20"/>
          <w:lang w:val="en"/>
        </w:rPr>
      </w:pPr>
      <w:r w:rsidRPr="00BC2BC4">
        <w:rPr>
          <w:kern w:val="2"/>
          <w:sz w:val="20"/>
          <w:lang w:val="en"/>
        </w:rPr>
        <w:t xml:space="preserve">goods, services and construction contracts, subcontracts and real property agreements with a transaction value </w:t>
      </w:r>
      <w:r w:rsidRPr="00BC2BC4">
        <w:rPr>
          <w:bCs/>
          <w:kern w:val="2"/>
          <w:sz w:val="20"/>
          <w:lang w:val="en"/>
        </w:rPr>
        <w:t>over $10,000</w:t>
      </w:r>
    </w:p>
    <w:p w14:paraId="51E3D18E" w14:textId="77777777" w:rsidR="002A01BB" w:rsidRPr="00BC2BC4" w:rsidRDefault="002A01BB" w:rsidP="00A75BC0">
      <w:pPr>
        <w:pStyle w:val="BlockQuote"/>
        <w:numPr>
          <w:ilvl w:val="0"/>
          <w:numId w:val="19"/>
        </w:numPr>
        <w:spacing w:before="60" w:after="60"/>
        <w:jc w:val="left"/>
        <w:rPr>
          <w:kern w:val="2"/>
          <w:sz w:val="20"/>
          <w:lang w:val="en"/>
        </w:rPr>
      </w:pPr>
      <w:r w:rsidRPr="00BC2BC4">
        <w:rPr>
          <w:kern w:val="2"/>
          <w:sz w:val="20"/>
          <w:lang w:val="en"/>
        </w:rPr>
        <w:t>contracts that:</w:t>
      </w:r>
    </w:p>
    <w:p w14:paraId="2BEB1B50" w14:textId="77777777" w:rsidR="002A01BB" w:rsidRPr="00BC2BC4" w:rsidRDefault="002A01BB" w:rsidP="00A75BC0">
      <w:pPr>
        <w:pStyle w:val="BlockQuote"/>
        <w:numPr>
          <w:ilvl w:val="1"/>
          <w:numId w:val="33"/>
        </w:numPr>
        <w:spacing w:before="60" w:after="60"/>
        <w:jc w:val="left"/>
        <w:rPr>
          <w:kern w:val="2"/>
          <w:sz w:val="20"/>
          <w:lang w:val="en"/>
        </w:rPr>
      </w:pPr>
      <w:r w:rsidRPr="00BC2BC4">
        <w:rPr>
          <w:kern w:val="2"/>
          <w:sz w:val="20"/>
          <w:lang w:val="en"/>
        </w:rPr>
        <w:t xml:space="preserve">are issued by a federal department or agency listed in schedule I, I.1 or II of the </w:t>
      </w:r>
      <w:r w:rsidRPr="00BC2BC4">
        <w:rPr>
          <w:kern w:val="2"/>
          <w:sz w:val="20"/>
        </w:rPr>
        <w:t>Federal Administration Act</w:t>
      </w:r>
    </w:p>
    <w:p w14:paraId="56AB7EA6" w14:textId="2FE927BF" w:rsidR="00B642AA" w:rsidRPr="00BC2BC4" w:rsidRDefault="002A01BB" w:rsidP="00A75BC0">
      <w:pPr>
        <w:pStyle w:val="BlockQuote"/>
        <w:numPr>
          <w:ilvl w:val="1"/>
          <w:numId w:val="33"/>
        </w:numPr>
        <w:spacing w:before="60" w:after="60"/>
        <w:jc w:val="left"/>
        <w:rPr>
          <w:kern w:val="2"/>
          <w:sz w:val="20"/>
          <w:lang w:val="en"/>
        </w:rPr>
      </w:pPr>
      <w:r w:rsidRPr="00BC2BC4">
        <w:rPr>
          <w:kern w:val="2"/>
          <w:sz w:val="20"/>
          <w:lang w:val="en"/>
        </w:rPr>
        <w:t xml:space="preserve">contain provisions of the </w:t>
      </w:r>
      <w:r w:rsidRPr="00BC2BC4">
        <w:rPr>
          <w:kern w:val="2"/>
          <w:sz w:val="20"/>
        </w:rPr>
        <w:t>Ineligibility and Suspension Policy</w:t>
      </w:r>
    </w:p>
    <w:p w14:paraId="0C268EAF" w14:textId="77777777" w:rsidR="002A01BB" w:rsidRPr="00BC2BC4" w:rsidRDefault="002A01BB" w:rsidP="001329FD">
      <w:pPr>
        <w:pStyle w:val="BlockQuote"/>
        <w:spacing w:after="120"/>
        <w:rPr>
          <w:kern w:val="2"/>
          <w:sz w:val="20"/>
          <w:lang w:val="en"/>
        </w:rPr>
      </w:pPr>
      <w:r w:rsidRPr="00BC2BC4">
        <w:rPr>
          <w:kern w:val="2"/>
          <w:sz w:val="20"/>
          <w:lang w:val="en"/>
        </w:rPr>
        <w:t>It does not apply to contracts and real property agreements below $10,000. It also does not apply to transfer payments.</w:t>
      </w:r>
    </w:p>
    <w:p w14:paraId="3E3C8406" w14:textId="77777777" w:rsidR="002A01BB" w:rsidRPr="00BC2BC4" w:rsidRDefault="002A01BB" w:rsidP="001329FD">
      <w:pPr>
        <w:pStyle w:val="BlockQuote"/>
        <w:spacing w:after="120"/>
        <w:rPr>
          <w:kern w:val="2"/>
          <w:sz w:val="20"/>
          <w:lang w:val="en"/>
        </w:rPr>
      </w:pPr>
      <w:r w:rsidRPr="00BC2BC4">
        <w:rPr>
          <w:kern w:val="2"/>
          <w:sz w:val="20"/>
          <w:lang w:val="en"/>
        </w:rPr>
        <w:t>…</w:t>
      </w:r>
    </w:p>
    <w:p w14:paraId="32A1B9B7" w14:textId="77777777" w:rsidR="002A01BB" w:rsidRPr="00BC2BC4" w:rsidRDefault="002A01BB" w:rsidP="001329FD">
      <w:pPr>
        <w:pStyle w:val="BlockQuote"/>
        <w:spacing w:after="120"/>
        <w:rPr>
          <w:kern w:val="2"/>
          <w:sz w:val="20"/>
          <w:lang w:val="en"/>
        </w:rPr>
      </w:pPr>
      <w:r w:rsidRPr="00BC2BC4">
        <w:rPr>
          <w:kern w:val="2"/>
          <w:sz w:val="20"/>
          <w:lang w:val="en"/>
        </w:rPr>
        <w:t>The regime is made up of three parts:</w:t>
      </w:r>
    </w:p>
    <w:p w14:paraId="015E6BAA" w14:textId="77777777" w:rsidR="002A01BB" w:rsidRPr="00BC2BC4" w:rsidRDefault="002A01BB" w:rsidP="00A75BC0">
      <w:pPr>
        <w:pStyle w:val="BlockQuote"/>
        <w:numPr>
          <w:ilvl w:val="0"/>
          <w:numId w:val="20"/>
        </w:numPr>
        <w:spacing w:after="60"/>
        <w:jc w:val="left"/>
        <w:rPr>
          <w:kern w:val="2"/>
          <w:sz w:val="20"/>
          <w:lang w:val="en"/>
        </w:rPr>
      </w:pPr>
      <w:r w:rsidRPr="00BC2BC4">
        <w:rPr>
          <w:kern w:val="2"/>
          <w:sz w:val="20"/>
        </w:rPr>
        <w:t>Ineligibility and Suspension Policy</w:t>
      </w:r>
      <w:r w:rsidRPr="00BC2BC4">
        <w:rPr>
          <w:kern w:val="2"/>
          <w:sz w:val="20"/>
          <w:lang w:val="en"/>
        </w:rPr>
        <w:t xml:space="preserve"> – sets out when and how a supplier may be declared ineligible or suspended from doing business with the government</w:t>
      </w:r>
    </w:p>
    <w:p w14:paraId="1E55057E" w14:textId="77777777" w:rsidR="002A01BB" w:rsidRPr="00BC2BC4" w:rsidRDefault="002A01BB" w:rsidP="00A75BC0">
      <w:pPr>
        <w:pStyle w:val="BlockQuote"/>
        <w:numPr>
          <w:ilvl w:val="0"/>
          <w:numId w:val="20"/>
        </w:numPr>
        <w:spacing w:after="60"/>
        <w:jc w:val="left"/>
        <w:rPr>
          <w:kern w:val="2"/>
          <w:sz w:val="20"/>
          <w:lang w:val="en"/>
        </w:rPr>
      </w:pPr>
      <w:r w:rsidRPr="00BC2BC4">
        <w:rPr>
          <w:kern w:val="2"/>
          <w:sz w:val="20"/>
        </w:rPr>
        <w:t>Integrity directives – provide formal instructions to the federal departments and agencies that follow the policy</w:t>
      </w:r>
    </w:p>
    <w:p w14:paraId="3EC0771C" w14:textId="77777777" w:rsidR="002A01BB" w:rsidRPr="00BC2BC4" w:rsidRDefault="002A01BB" w:rsidP="00A75BC0">
      <w:pPr>
        <w:pStyle w:val="BlockQuote"/>
        <w:numPr>
          <w:ilvl w:val="0"/>
          <w:numId w:val="20"/>
        </w:numPr>
        <w:spacing w:after="60"/>
        <w:jc w:val="left"/>
        <w:rPr>
          <w:kern w:val="2"/>
          <w:sz w:val="20"/>
          <w:lang w:val="en"/>
        </w:rPr>
      </w:pPr>
      <w:r w:rsidRPr="00BC2BC4">
        <w:rPr>
          <w:kern w:val="2"/>
          <w:sz w:val="20"/>
        </w:rPr>
        <w:t>Integrity provisions – clauses that incorporate the policy into solicitations and the resulting contracts and real property agreements</w:t>
      </w:r>
    </w:p>
    <w:p w14:paraId="78A64552" w14:textId="77777777" w:rsidR="002A01BB" w:rsidRPr="00BC2BC4" w:rsidRDefault="00B642AA" w:rsidP="001329FD">
      <w:pPr>
        <w:pStyle w:val="BlockQuote"/>
        <w:spacing w:after="120"/>
        <w:rPr>
          <w:kern w:val="2"/>
          <w:sz w:val="20"/>
          <w:lang w:val="en"/>
        </w:rPr>
      </w:pPr>
      <w:r w:rsidRPr="00BC2BC4">
        <w:rPr>
          <w:kern w:val="2"/>
          <w:sz w:val="20"/>
          <w:lang w:val="en"/>
        </w:rPr>
        <w:t>…</w:t>
      </w:r>
    </w:p>
    <w:p w14:paraId="1DBE62B6" w14:textId="77777777" w:rsidR="00B642AA" w:rsidRPr="00BC2BC4" w:rsidRDefault="00B642AA" w:rsidP="001329FD">
      <w:pPr>
        <w:pStyle w:val="BlockQuote"/>
        <w:spacing w:after="120"/>
        <w:rPr>
          <w:kern w:val="2"/>
          <w:sz w:val="20"/>
          <w:lang w:val="en"/>
        </w:rPr>
      </w:pPr>
      <w:r w:rsidRPr="00BC2BC4">
        <w:rPr>
          <w:kern w:val="2"/>
          <w:sz w:val="20"/>
          <w:lang w:val="en"/>
        </w:rPr>
        <w:t>These are the main reasons why a supplier will or may be ineligible to do business with the government. …</w:t>
      </w:r>
    </w:p>
    <w:p w14:paraId="2BDDA6C7" w14:textId="77777777" w:rsidR="00B642AA" w:rsidRPr="00BC2BC4" w:rsidRDefault="00B642AA" w:rsidP="00A75BC0">
      <w:pPr>
        <w:pStyle w:val="BlockQuote"/>
        <w:numPr>
          <w:ilvl w:val="0"/>
          <w:numId w:val="21"/>
        </w:numPr>
        <w:spacing w:after="60"/>
        <w:jc w:val="left"/>
        <w:rPr>
          <w:kern w:val="2"/>
          <w:sz w:val="20"/>
          <w:lang w:val="en"/>
        </w:rPr>
      </w:pPr>
      <w:r w:rsidRPr="00BC2BC4">
        <w:rPr>
          <w:kern w:val="2"/>
          <w:sz w:val="20"/>
          <w:lang w:val="en"/>
        </w:rPr>
        <w:t xml:space="preserve">The supplier or any of its affiliates have been convicted of certain offences under the </w:t>
      </w:r>
      <w:r w:rsidRPr="00BC2BC4">
        <w:rPr>
          <w:bCs/>
          <w:i/>
          <w:iCs/>
          <w:kern w:val="2"/>
          <w:sz w:val="20"/>
          <w:lang w:val="en"/>
        </w:rPr>
        <w:t>Criminal Code</w:t>
      </w:r>
      <w:r w:rsidRPr="00BC2BC4">
        <w:rPr>
          <w:kern w:val="2"/>
          <w:sz w:val="20"/>
          <w:lang w:val="en"/>
        </w:rPr>
        <w:t xml:space="preserve"> or under these acts:</w:t>
      </w:r>
    </w:p>
    <w:p w14:paraId="7153DEC8" w14:textId="77777777" w:rsidR="00B642AA" w:rsidRPr="00BC2BC4" w:rsidRDefault="00B642AA" w:rsidP="00A75BC0">
      <w:pPr>
        <w:pStyle w:val="BlockQuote"/>
        <w:numPr>
          <w:ilvl w:val="1"/>
          <w:numId w:val="21"/>
        </w:numPr>
        <w:spacing w:before="60" w:after="60"/>
        <w:jc w:val="left"/>
        <w:rPr>
          <w:kern w:val="2"/>
          <w:sz w:val="20"/>
          <w:lang w:val="en"/>
        </w:rPr>
      </w:pPr>
      <w:r w:rsidRPr="00BC2BC4">
        <w:rPr>
          <w:i/>
          <w:iCs/>
          <w:kern w:val="2"/>
          <w:sz w:val="20"/>
          <w:lang w:val="en"/>
        </w:rPr>
        <w:t>Competition Act</w:t>
      </w:r>
    </w:p>
    <w:p w14:paraId="39968B3A" w14:textId="77777777" w:rsidR="00B642AA" w:rsidRPr="00BC2BC4" w:rsidRDefault="00B642AA" w:rsidP="00A75BC0">
      <w:pPr>
        <w:pStyle w:val="BlockQuote"/>
        <w:numPr>
          <w:ilvl w:val="1"/>
          <w:numId w:val="21"/>
        </w:numPr>
        <w:spacing w:before="60" w:after="60"/>
        <w:jc w:val="left"/>
        <w:rPr>
          <w:kern w:val="2"/>
          <w:sz w:val="20"/>
          <w:lang w:val="en"/>
        </w:rPr>
      </w:pPr>
      <w:r w:rsidRPr="00BC2BC4">
        <w:rPr>
          <w:i/>
          <w:iCs/>
          <w:kern w:val="2"/>
          <w:sz w:val="20"/>
          <w:lang w:val="en"/>
        </w:rPr>
        <w:t>Controlled Drugs and Substance Act</w:t>
      </w:r>
    </w:p>
    <w:p w14:paraId="5F68118D" w14:textId="77777777" w:rsidR="00B642AA" w:rsidRPr="00BC2BC4" w:rsidRDefault="00B642AA" w:rsidP="00A75BC0">
      <w:pPr>
        <w:pStyle w:val="BlockQuote"/>
        <w:numPr>
          <w:ilvl w:val="1"/>
          <w:numId w:val="21"/>
        </w:numPr>
        <w:spacing w:before="60" w:after="60"/>
        <w:jc w:val="left"/>
        <w:rPr>
          <w:kern w:val="2"/>
          <w:sz w:val="20"/>
          <w:lang w:val="en"/>
        </w:rPr>
      </w:pPr>
      <w:r w:rsidRPr="00BC2BC4">
        <w:rPr>
          <w:i/>
          <w:iCs/>
          <w:kern w:val="2"/>
          <w:sz w:val="20"/>
          <w:lang w:val="en"/>
        </w:rPr>
        <w:t>Corruption of Foreign Officials Act</w:t>
      </w:r>
    </w:p>
    <w:p w14:paraId="36763420" w14:textId="77777777" w:rsidR="00B642AA" w:rsidRPr="00BC2BC4" w:rsidRDefault="00B642AA" w:rsidP="00A75BC0">
      <w:pPr>
        <w:pStyle w:val="BlockQuote"/>
        <w:numPr>
          <w:ilvl w:val="1"/>
          <w:numId w:val="21"/>
        </w:numPr>
        <w:spacing w:before="60" w:after="60"/>
        <w:jc w:val="left"/>
        <w:rPr>
          <w:kern w:val="2"/>
          <w:sz w:val="20"/>
          <w:lang w:val="en"/>
        </w:rPr>
      </w:pPr>
      <w:r w:rsidRPr="00BC2BC4">
        <w:rPr>
          <w:i/>
          <w:iCs/>
          <w:kern w:val="2"/>
          <w:sz w:val="20"/>
          <w:lang w:val="en"/>
        </w:rPr>
        <w:t>Excise Tax Act</w:t>
      </w:r>
    </w:p>
    <w:p w14:paraId="6FBA8AA9" w14:textId="77777777" w:rsidR="00B642AA" w:rsidRPr="00BC2BC4" w:rsidRDefault="00B642AA" w:rsidP="00A75BC0">
      <w:pPr>
        <w:pStyle w:val="BlockQuote"/>
        <w:numPr>
          <w:ilvl w:val="1"/>
          <w:numId w:val="21"/>
        </w:numPr>
        <w:spacing w:before="60" w:after="60"/>
        <w:jc w:val="left"/>
        <w:rPr>
          <w:kern w:val="2"/>
          <w:sz w:val="20"/>
          <w:lang w:val="en"/>
        </w:rPr>
      </w:pPr>
      <w:r w:rsidRPr="00BC2BC4">
        <w:rPr>
          <w:i/>
          <w:iCs/>
          <w:kern w:val="2"/>
          <w:sz w:val="20"/>
          <w:lang w:val="en"/>
        </w:rPr>
        <w:t>Financial Administration Act</w:t>
      </w:r>
    </w:p>
    <w:p w14:paraId="626669D5" w14:textId="77777777" w:rsidR="00B642AA" w:rsidRPr="00BC2BC4" w:rsidRDefault="00B642AA" w:rsidP="00A75BC0">
      <w:pPr>
        <w:pStyle w:val="BlockQuote"/>
        <w:numPr>
          <w:ilvl w:val="1"/>
          <w:numId w:val="21"/>
        </w:numPr>
        <w:spacing w:before="60" w:after="60"/>
        <w:jc w:val="left"/>
        <w:rPr>
          <w:kern w:val="2"/>
          <w:sz w:val="20"/>
          <w:lang w:val="en"/>
        </w:rPr>
      </w:pPr>
      <w:r w:rsidRPr="00BC2BC4">
        <w:rPr>
          <w:i/>
          <w:iCs/>
          <w:kern w:val="2"/>
          <w:sz w:val="20"/>
          <w:lang w:val="en"/>
        </w:rPr>
        <w:t>Income Tax Act</w:t>
      </w:r>
    </w:p>
    <w:p w14:paraId="0DF6F4B6" w14:textId="77777777" w:rsidR="00B642AA" w:rsidRPr="00BC2BC4" w:rsidRDefault="00B642AA" w:rsidP="00A75BC0">
      <w:pPr>
        <w:pStyle w:val="BlockQuote"/>
        <w:numPr>
          <w:ilvl w:val="1"/>
          <w:numId w:val="21"/>
        </w:numPr>
        <w:spacing w:before="60" w:after="60"/>
        <w:jc w:val="left"/>
        <w:rPr>
          <w:kern w:val="2"/>
          <w:sz w:val="20"/>
          <w:lang w:val="en"/>
        </w:rPr>
      </w:pPr>
      <w:r w:rsidRPr="00BC2BC4">
        <w:rPr>
          <w:i/>
          <w:iCs/>
          <w:kern w:val="2"/>
          <w:sz w:val="20"/>
          <w:lang w:val="en"/>
        </w:rPr>
        <w:t>Lobbying Act</w:t>
      </w:r>
    </w:p>
    <w:p w14:paraId="5616A5E9" w14:textId="77777777" w:rsidR="00B642AA" w:rsidRPr="00BC2BC4" w:rsidRDefault="00B642AA" w:rsidP="00A75BC0">
      <w:pPr>
        <w:pStyle w:val="BlockQuote"/>
        <w:numPr>
          <w:ilvl w:val="0"/>
          <w:numId w:val="21"/>
        </w:numPr>
        <w:spacing w:before="60" w:after="60"/>
        <w:jc w:val="left"/>
        <w:rPr>
          <w:kern w:val="2"/>
          <w:sz w:val="20"/>
          <w:lang w:val="en"/>
        </w:rPr>
      </w:pPr>
      <w:r w:rsidRPr="00BC2BC4">
        <w:rPr>
          <w:kern w:val="2"/>
          <w:sz w:val="20"/>
          <w:lang w:val="en"/>
        </w:rPr>
        <w:t>The supplier entered into a subcontract with an ineligible supplier</w:t>
      </w:r>
    </w:p>
    <w:p w14:paraId="3DE7B389" w14:textId="77777777" w:rsidR="00B642AA" w:rsidRPr="00BC2BC4" w:rsidRDefault="00B642AA" w:rsidP="00A75BC0">
      <w:pPr>
        <w:pStyle w:val="BlockQuote"/>
        <w:numPr>
          <w:ilvl w:val="0"/>
          <w:numId w:val="21"/>
        </w:numPr>
        <w:spacing w:before="60" w:after="60"/>
        <w:jc w:val="left"/>
        <w:rPr>
          <w:kern w:val="2"/>
          <w:sz w:val="20"/>
          <w:lang w:val="en"/>
        </w:rPr>
      </w:pPr>
      <w:r w:rsidRPr="00BC2BC4">
        <w:rPr>
          <w:kern w:val="2"/>
          <w:sz w:val="20"/>
          <w:lang w:val="en"/>
        </w:rPr>
        <w:t>The supplier provided a false or misleading certification or declaration to Public Services and Procurement Canada</w:t>
      </w:r>
    </w:p>
    <w:p w14:paraId="7CDF6B14" w14:textId="77777777" w:rsidR="00B642AA" w:rsidRPr="00BC2BC4" w:rsidRDefault="00B642AA" w:rsidP="00A75BC0">
      <w:pPr>
        <w:pStyle w:val="BlockQuote"/>
        <w:numPr>
          <w:ilvl w:val="0"/>
          <w:numId w:val="21"/>
        </w:numPr>
        <w:spacing w:before="60" w:after="60"/>
        <w:jc w:val="left"/>
        <w:rPr>
          <w:kern w:val="2"/>
          <w:sz w:val="20"/>
          <w:lang w:val="en"/>
        </w:rPr>
      </w:pPr>
      <w:r w:rsidRPr="00BC2BC4">
        <w:rPr>
          <w:kern w:val="2"/>
          <w:sz w:val="20"/>
          <w:lang w:val="en"/>
        </w:rPr>
        <w:t>The supplier breached any term or condition of an administrative agreement under the policy</w:t>
      </w:r>
      <w:r w:rsidRPr="00BC2BC4">
        <w:rPr>
          <w:rStyle w:val="FootnoteReference"/>
          <w:rFonts w:eastAsia="MS Mincho"/>
          <w:kern w:val="2"/>
          <w:sz w:val="20"/>
          <w:szCs w:val="21"/>
          <w:lang w:val="en"/>
        </w:rPr>
        <w:footnoteReference w:id="267"/>
      </w:r>
    </w:p>
    <w:p w14:paraId="221BD614" w14:textId="77777777" w:rsidR="00CF7CF3" w:rsidRPr="00BC2BC4" w:rsidRDefault="00CF7CF3" w:rsidP="008F12B6">
      <w:pPr>
        <w:rPr>
          <w:kern w:val="2"/>
          <w:sz w:val="20"/>
          <w:lang w:val="en"/>
        </w:rPr>
      </w:pPr>
      <w:r w:rsidRPr="00BC2BC4">
        <w:rPr>
          <w:kern w:val="2"/>
          <w:sz w:val="20"/>
          <w:lang w:val="en"/>
        </w:rPr>
        <w:t>The following are the key features of the Integrity Regime:</w:t>
      </w:r>
    </w:p>
    <w:p w14:paraId="20F081D4" w14:textId="77777777" w:rsidR="005D487C" w:rsidRPr="00BC2BC4" w:rsidRDefault="006B171B" w:rsidP="00A75BC0">
      <w:pPr>
        <w:pStyle w:val="ListParagraph"/>
        <w:numPr>
          <w:ilvl w:val="0"/>
          <w:numId w:val="22"/>
        </w:numPr>
        <w:rPr>
          <w:kern w:val="2"/>
          <w:sz w:val="20"/>
          <w:lang w:val="en"/>
        </w:rPr>
      </w:pPr>
      <w:r w:rsidRPr="00BC2BC4">
        <w:rPr>
          <w:kern w:val="2"/>
          <w:sz w:val="20"/>
          <w:lang w:val="en"/>
        </w:rPr>
        <w:t>a</w:t>
      </w:r>
      <w:r w:rsidR="00CF7CF3" w:rsidRPr="00BC2BC4">
        <w:rPr>
          <w:kern w:val="2"/>
          <w:sz w:val="20"/>
          <w:lang w:val="en"/>
        </w:rPr>
        <w:t xml:space="preserve"> supplier convicted of a listed offence in Canada or abroad will remain ineligible for a period of ten years t</w:t>
      </w:r>
      <w:r w:rsidRPr="00BC2BC4">
        <w:rPr>
          <w:kern w:val="2"/>
          <w:sz w:val="20"/>
          <w:lang w:val="en"/>
        </w:rPr>
        <w:t xml:space="preserve">o enter into </w:t>
      </w:r>
      <w:r w:rsidR="00405B6E" w:rsidRPr="00BC2BC4">
        <w:rPr>
          <w:kern w:val="2"/>
          <w:sz w:val="20"/>
          <w:lang w:val="en"/>
        </w:rPr>
        <w:t xml:space="preserve">a procurement </w:t>
      </w:r>
      <w:r w:rsidRPr="00BC2BC4">
        <w:rPr>
          <w:kern w:val="2"/>
          <w:sz w:val="20"/>
          <w:lang w:val="en"/>
        </w:rPr>
        <w:t>contract with the federal g</w:t>
      </w:r>
      <w:r w:rsidR="00CF7CF3" w:rsidRPr="00BC2BC4">
        <w:rPr>
          <w:kern w:val="2"/>
          <w:sz w:val="20"/>
          <w:lang w:val="en"/>
        </w:rPr>
        <w:t>overnment</w:t>
      </w:r>
      <w:r w:rsidRPr="00BC2BC4">
        <w:rPr>
          <w:kern w:val="2"/>
          <w:sz w:val="20"/>
          <w:lang w:val="en"/>
        </w:rPr>
        <w:t>;</w:t>
      </w:r>
    </w:p>
    <w:p w14:paraId="45B15D35" w14:textId="77777777" w:rsidR="005D487C" w:rsidRPr="00BC2BC4" w:rsidRDefault="00405B6E" w:rsidP="00A75BC0">
      <w:pPr>
        <w:pStyle w:val="ListParagraph"/>
        <w:numPr>
          <w:ilvl w:val="0"/>
          <w:numId w:val="22"/>
        </w:numPr>
        <w:rPr>
          <w:kern w:val="2"/>
          <w:sz w:val="20"/>
          <w:lang w:val="en"/>
        </w:rPr>
      </w:pPr>
      <w:r w:rsidRPr="00BC2BC4">
        <w:rPr>
          <w:kern w:val="2"/>
          <w:sz w:val="20"/>
          <w:lang w:val="en"/>
        </w:rPr>
        <w:t>a</w:t>
      </w:r>
      <w:r w:rsidR="00CF7CF3" w:rsidRPr="00BC2BC4">
        <w:rPr>
          <w:kern w:val="2"/>
          <w:sz w:val="20"/>
          <w:lang w:val="en"/>
        </w:rPr>
        <w:t xml:space="preserve"> supplier can apply to have their ineligibility period reduced by up to five years if </w:t>
      </w:r>
      <w:r w:rsidRPr="00BC2BC4">
        <w:rPr>
          <w:kern w:val="2"/>
          <w:sz w:val="20"/>
          <w:lang w:val="en"/>
        </w:rPr>
        <w:t>it</w:t>
      </w:r>
      <w:r w:rsidR="00CF7CF3" w:rsidRPr="00BC2BC4">
        <w:rPr>
          <w:kern w:val="2"/>
          <w:sz w:val="20"/>
          <w:lang w:val="en"/>
        </w:rPr>
        <w:t xml:space="preserve"> address</w:t>
      </w:r>
      <w:r w:rsidRPr="00BC2BC4">
        <w:rPr>
          <w:kern w:val="2"/>
          <w:sz w:val="20"/>
          <w:lang w:val="en"/>
        </w:rPr>
        <w:t>es</w:t>
      </w:r>
      <w:r w:rsidR="00CF7CF3" w:rsidRPr="00BC2BC4">
        <w:rPr>
          <w:kern w:val="2"/>
          <w:sz w:val="20"/>
          <w:lang w:val="en"/>
        </w:rPr>
        <w:t xml:space="preserve"> th</w:t>
      </w:r>
      <w:r w:rsidRPr="00BC2BC4">
        <w:rPr>
          <w:kern w:val="2"/>
          <w:sz w:val="20"/>
          <w:lang w:val="en"/>
        </w:rPr>
        <w:t>e causes of the conduct that le</w:t>
      </w:r>
      <w:r w:rsidR="00CF7CF3" w:rsidRPr="00BC2BC4">
        <w:rPr>
          <w:kern w:val="2"/>
          <w:sz w:val="20"/>
          <w:lang w:val="en"/>
        </w:rPr>
        <w:t>d to</w:t>
      </w:r>
      <w:r w:rsidRPr="00BC2BC4">
        <w:rPr>
          <w:kern w:val="2"/>
          <w:sz w:val="20"/>
          <w:lang w:val="en"/>
        </w:rPr>
        <w:t xml:space="preserve"> its</w:t>
      </w:r>
      <w:r w:rsidR="00CF7CF3" w:rsidRPr="00BC2BC4">
        <w:rPr>
          <w:kern w:val="2"/>
          <w:sz w:val="20"/>
          <w:lang w:val="en"/>
        </w:rPr>
        <w:t xml:space="preserve"> ineligibility</w:t>
      </w:r>
      <w:r w:rsidRPr="00BC2BC4">
        <w:rPr>
          <w:kern w:val="2"/>
          <w:sz w:val="20"/>
          <w:lang w:val="en"/>
        </w:rPr>
        <w:t>;</w:t>
      </w:r>
    </w:p>
    <w:p w14:paraId="4051A720" w14:textId="77777777" w:rsidR="005D487C" w:rsidRPr="00BC2BC4" w:rsidRDefault="00405B6E" w:rsidP="00A75BC0">
      <w:pPr>
        <w:pStyle w:val="ListParagraph"/>
        <w:numPr>
          <w:ilvl w:val="0"/>
          <w:numId w:val="22"/>
        </w:numPr>
        <w:rPr>
          <w:kern w:val="2"/>
          <w:sz w:val="20"/>
          <w:lang w:val="en"/>
        </w:rPr>
      </w:pPr>
      <w:r w:rsidRPr="00BC2BC4">
        <w:rPr>
          <w:kern w:val="2"/>
          <w:sz w:val="20"/>
          <w:lang w:val="en"/>
        </w:rPr>
        <w:t>a</w:t>
      </w:r>
      <w:r w:rsidR="00CF7CF3" w:rsidRPr="00BC2BC4">
        <w:rPr>
          <w:kern w:val="2"/>
          <w:sz w:val="20"/>
          <w:lang w:val="en"/>
        </w:rPr>
        <w:t xml:space="preserve"> supplier will no</w:t>
      </w:r>
      <w:r w:rsidRPr="00BC2BC4">
        <w:rPr>
          <w:kern w:val="2"/>
          <w:sz w:val="20"/>
          <w:lang w:val="en"/>
        </w:rPr>
        <w:t xml:space="preserve"> longer</w:t>
      </w:r>
      <w:r w:rsidR="00CF7CF3" w:rsidRPr="00BC2BC4">
        <w:rPr>
          <w:kern w:val="2"/>
          <w:sz w:val="20"/>
          <w:lang w:val="en"/>
        </w:rPr>
        <w:t xml:space="preserve"> be automatically penalized for the actions of an affiliate i</w:t>
      </w:r>
      <w:r w:rsidRPr="00BC2BC4">
        <w:rPr>
          <w:kern w:val="2"/>
          <w:sz w:val="20"/>
          <w:lang w:val="en"/>
        </w:rPr>
        <w:t>n which it had no involvement, which was the case under the previous Integrity Framework;</w:t>
      </w:r>
      <w:r w:rsidR="00CF7CF3" w:rsidRPr="00BC2BC4">
        <w:rPr>
          <w:kern w:val="2"/>
          <w:sz w:val="20"/>
          <w:lang w:val="en"/>
        </w:rPr>
        <w:t xml:space="preserve"> </w:t>
      </w:r>
    </w:p>
    <w:p w14:paraId="17854D8B" w14:textId="77777777" w:rsidR="005D487C" w:rsidRPr="00BC2BC4" w:rsidRDefault="00CF7CF3" w:rsidP="00A75BC0">
      <w:pPr>
        <w:pStyle w:val="ListParagraph"/>
        <w:numPr>
          <w:ilvl w:val="0"/>
          <w:numId w:val="22"/>
        </w:numPr>
        <w:rPr>
          <w:kern w:val="2"/>
          <w:sz w:val="20"/>
          <w:lang w:val="en"/>
        </w:rPr>
      </w:pPr>
      <w:r w:rsidRPr="00BC2BC4">
        <w:rPr>
          <w:kern w:val="2"/>
          <w:sz w:val="20"/>
          <w:lang w:val="en"/>
        </w:rPr>
        <w:t>new tools</w:t>
      </w:r>
      <w:r w:rsidR="00405B6E" w:rsidRPr="00BC2BC4">
        <w:rPr>
          <w:kern w:val="2"/>
          <w:sz w:val="20"/>
          <w:lang w:val="en"/>
        </w:rPr>
        <w:t xml:space="preserve"> are provided</w:t>
      </w:r>
      <w:r w:rsidRPr="00BC2BC4">
        <w:rPr>
          <w:kern w:val="2"/>
          <w:sz w:val="20"/>
          <w:lang w:val="en"/>
        </w:rPr>
        <w:t xml:space="preserve"> such as independent expert third-party assessments and administrative agreements that will specify required corrective actions and ensure their effectiveness</w:t>
      </w:r>
      <w:r w:rsidR="00947E36" w:rsidRPr="00BC2BC4">
        <w:rPr>
          <w:kern w:val="2"/>
          <w:sz w:val="20"/>
          <w:lang w:val="en"/>
        </w:rPr>
        <w:t>;</w:t>
      </w:r>
    </w:p>
    <w:p w14:paraId="6FFC9BF2" w14:textId="1E1EB41B" w:rsidR="00947E36" w:rsidRPr="00BC2BC4" w:rsidRDefault="00EF1C3B" w:rsidP="00A75BC0">
      <w:pPr>
        <w:pStyle w:val="ListParagraph"/>
        <w:numPr>
          <w:ilvl w:val="0"/>
          <w:numId w:val="22"/>
        </w:numPr>
        <w:rPr>
          <w:kern w:val="2"/>
          <w:sz w:val="20"/>
          <w:lang w:val="en"/>
        </w:rPr>
      </w:pPr>
      <w:r w:rsidRPr="00BC2BC4">
        <w:rPr>
          <w:kern w:val="2"/>
          <w:sz w:val="20"/>
          <w:lang w:val="en"/>
        </w:rPr>
        <w:t>the g</w:t>
      </w:r>
      <w:r w:rsidR="00CF7CF3" w:rsidRPr="00BC2BC4">
        <w:rPr>
          <w:kern w:val="2"/>
          <w:sz w:val="20"/>
          <w:lang w:val="en"/>
        </w:rPr>
        <w:t xml:space="preserve">overnment </w:t>
      </w:r>
      <w:r w:rsidR="00405B6E" w:rsidRPr="00BC2BC4">
        <w:rPr>
          <w:kern w:val="2"/>
          <w:sz w:val="20"/>
          <w:lang w:val="en"/>
        </w:rPr>
        <w:t xml:space="preserve">is given </w:t>
      </w:r>
      <w:r w:rsidR="00CF7CF3" w:rsidRPr="00BC2BC4">
        <w:rPr>
          <w:kern w:val="2"/>
          <w:sz w:val="20"/>
          <w:lang w:val="en"/>
        </w:rPr>
        <w:t xml:space="preserve">the ability to suspend a supplier </w:t>
      </w:r>
      <w:r w:rsidR="00405B6E" w:rsidRPr="00BC2BC4">
        <w:rPr>
          <w:kern w:val="2"/>
          <w:sz w:val="20"/>
          <w:lang w:val="en"/>
        </w:rPr>
        <w:t xml:space="preserve">for </w:t>
      </w:r>
      <w:r w:rsidR="00CF7CF3" w:rsidRPr="00BC2BC4">
        <w:rPr>
          <w:kern w:val="2"/>
          <w:sz w:val="20"/>
          <w:lang w:val="en"/>
        </w:rPr>
        <w:t xml:space="preserve">up to 18 months if </w:t>
      </w:r>
      <w:r w:rsidR="00405B6E" w:rsidRPr="00BC2BC4">
        <w:rPr>
          <w:kern w:val="2"/>
          <w:sz w:val="20"/>
          <w:lang w:val="en"/>
        </w:rPr>
        <w:t>it</w:t>
      </w:r>
      <w:r w:rsidR="00CF7CF3" w:rsidRPr="00BC2BC4">
        <w:rPr>
          <w:kern w:val="2"/>
          <w:sz w:val="20"/>
          <w:lang w:val="en"/>
        </w:rPr>
        <w:t xml:space="preserve"> ha</w:t>
      </w:r>
      <w:r w:rsidR="00405B6E" w:rsidRPr="00BC2BC4">
        <w:rPr>
          <w:kern w:val="2"/>
          <w:sz w:val="20"/>
          <w:lang w:val="en"/>
        </w:rPr>
        <w:t>s</w:t>
      </w:r>
      <w:r w:rsidR="00CF7CF3" w:rsidRPr="00BC2BC4">
        <w:rPr>
          <w:kern w:val="2"/>
          <w:sz w:val="20"/>
          <w:lang w:val="en"/>
        </w:rPr>
        <w:t xml:space="preserve"> been charged </w:t>
      </w:r>
      <w:r w:rsidR="00405B6E" w:rsidRPr="00BC2BC4">
        <w:rPr>
          <w:kern w:val="2"/>
          <w:sz w:val="20"/>
          <w:lang w:val="en"/>
        </w:rPr>
        <w:t>with a listed offence or has</w:t>
      </w:r>
      <w:r w:rsidR="00CF7CF3" w:rsidRPr="00BC2BC4">
        <w:rPr>
          <w:kern w:val="2"/>
          <w:sz w:val="20"/>
          <w:lang w:val="en"/>
        </w:rPr>
        <w:t xml:space="preserve"> admitted guilt</w:t>
      </w:r>
      <w:r w:rsidR="00947E36" w:rsidRPr="00BC2BC4">
        <w:rPr>
          <w:kern w:val="2"/>
          <w:sz w:val="20"/>
          <w:lang w:val="en"/>
        </w:rPr>
        <w:t>; and</w:t>
      </w:r>
    </w:p>
    <w:p w14:paraId="48F77392" w14:textId="77777777" w:rsidR="00CF7CF3" w:rsidRPr="00BC2BC4" w:rsidRDefault="00947E36" w:rsidP="00A75BC0">
      <w:pPr>
        <w:pStyle w:val="ListParagraph"/>
        <w:numPr>
          <w:ilvl w:val="0"/>
          <w:numId w:val="22"/>
        </w:numPr>
        <w:spacing w:after="240"/>
        <w:rPr>
          <w:kern w:val="2"/>
          <w:sz w:val="20"/>
          <w:lang w:val="en"/>
        </w:rPr>
      </w:pPr>
      <w:r w:rsidRPr="00BC2BC4">
        <w:rPr>
          <w:kern w:val="2"/>
          <w:sz w:val="20"/>
        </w:rPr>
        <w:t>the Integrity Provisions also apply to the subcontractors of winning bidders.</w:t>
      </w:r>
      <w:r w:rsidR="005D487C" w:rsidRPr="00BC2BC4">
        <w:rPr>
          <w:rStyle w:val="FootnoteReference"/>
          <w:kern w:val="2"/>
          <w:sz w:val="20"/>
          <w:lang w:val="en"/>
        </w:rPr>
        <w:footnoteReference w:id="268"/>
      </w:r>
    </w:p>
    <w:p w14:paraId="58198E2A" w14:textId="02114E25" w:rsidR="00D90DA6" w:rsidRPr="00BC2BC4" w:rsidRDefault="009D1BEC" w:rsidP="00913132">
      <w:pPr>
        <w:rPr>
          <w:kern w:val="2"/>
          <w:sz w:val="20"/>
        </w:rPr>
      </w:pPr>
      <w:r w:rsidRPr="00BC2BC4">
        <w:rPr>
          <w:kern w:val="2"/>
          <w:sz w:val="20"/>
        </w:rPr>
        <w:t xml:space="preserve">More information on the Integrity </w:t>
      </w:r>
      <w:r w:rsidR="006F5B31" w:rsidRPr="00BC2BC4">
        <w:rPr>
          <w:kern w:val="2"/>
          <w:sz w:val="20"/>
        </w:rPr>
        <w:t>Regime</w:t>
      </w:r>
      <w:r w:rsidR="00C836C8" w:rsidRPr="00BC2BC4">
        <w:rPr>
          <w:kern w:val="2"/>
          <w:sz w:val="20"/>
        </w:rPr>
        <w:t>, including further public consultations on amending it</w:t>
      </w:r>
      <w:r w:rsidR="00D677B3" w:rsidRPr="00BC2BC4">
        <w:rPr>
          <w:kern w:val="2"/>
          <w:sz w:val="20"/>
        </w:rPr>
        <w:t>—and in particular, the role of debarment within the Integrity Regime—</w:t>
      </w:r>
      <w:r w:rsidRPr="00BC2BC4">
        <w:rPr>
          <w:kern w:val="2"/>
          <w:sz w:val="20"/>
        </w:rPr>
        <w:t xml:space="preserve">can be found in </w:t>
      </w:r>
      <w:r w:rsidRPr="00BC2BC4">
        <w:rPr>
          <w:kern w:val="2"/>
          <w:sz w:val="20"/>
          <w:highlight w:val="cyan"/>
        </w:rPr>
        <w:t xml:space="preserve">Chapter </w:t>
      </w:r>
      <w:r w:rsidR="00504137" w:rsidRPr="00BC2BC4">
        <w:rPr>
          <w:kern w:val="2"/>
          <w:sz w:val="20"/>
          <w:highlight w:val="cyan"/>
        </w:rPr>
        <w:t>7</w:t>
      </w:r>
      <w:r w:rsidRPr="00BC2BC4">
        <w:rPr>
          <w:kern w:val="2"/>
          <w:sz w:val="20"/>
          <w:highlight w:val="cyan"/>
        </w:rPr>
        <w:t xml:space="preserve">, </w:t>
      </w:r>
      <w:r w:rsidR="006E12A0" w:rsidRPr="00BC2BC4">
        <w:rPr>
          <w:kern w:val="2"/>
          <w:sz w:val="20"/>
          <w:highlight w:val="cyan"/>
        </w:rPr>
        <w:t>Section</w:t>
      </w:r>
      <w:r w:rsidR="00504137" w:rsidRPr="00BC2BC4">
        <w:rPr>
          <w:kern w:val="2"/>
          <w:sz w:val="20"/>
          <w:highlight w:val="cyan"/>
        </w:rPr>
        <w:t xml:space="preserve"> 8.6</w:t>
      </w:r>
      <w:r w:rsidRPr="00BC2BC4">
        <w:rPr>
          <w:kern w:val="2"/>
          <w:sz w:val="20"/>
        </w:rPr>
        <w:t xml:space="preserve">. </w:t>
      </w:r>
      <w:r w:rsidR="00C836C8" w:rsidRPr="00BC2BC4">
        <w:rPr>
          <w:kern w:val="2"/>
          <w:sz w:val="20"/>
        </w:rPr>
        <w:t>At the end of Section 8.6, there is also a discussion of the Canadian government's most recent discussions on altering the Integrity Regime, and in particular the rules on suspensions and debarments.</w:t>
      </w:r>
    </w:p>
    <w:p w14:paraId="71707A62" w14:textId="18D4A2D5" w:rsidR="00875EE6" w:rsidRPr="00BC2BC4" w:rsidRDefault="00D90DA6" w:rsidP="00985A16">
      <w:pPr>
        <w:spacing w:line="23" w:lineRule="atLeast"/>
        <w:rPr>
          <w:kern w:val="2"/>
          <w:sz w:val="20"/>
        </w:rPr>
      </w:pPr>
      <w:r w:rsidRPr="00BC2BC4">
        <w:rPr>
          <w:kern w:val="2"/>
          <w:sz w:val="20"/>
        </w:rPr>
        <w:t xml:space="preserve">Part 5 of the </w:t>
      </w:r>
      <w:r w:rsidRPr="00BC2BC4">
        <w:rPr>
          <w:i/>
          <w:kern w:val="2"/>
          <w:sz w:val="20"/>
        </w:rPr>
        <w:t>Federal Accountability Act</w:t>
      </w:r>
      <w:r w:rsidR="000442FD" w:rsidRPr="00BC2BC4">
        <w:rPr>
          <w:kern w:val="2"/>
          <w:sz w:val="20"/>
        </w:rPr>
        <w:t xml:space="preserve"> addresses</w:t>
      </w:r>
      <w:r w:rsidRPr="00BC2BC4">
        <w:rPr>
          <w:kern w:val="2"/>
          <w:sz w:val="20"/>
        </w:rPr>
        <w:t xml:space="preserve"> public procurement </w:t>
      </w:r>
      <w:r w:rsidR="000442FD" w:rsidRPr="00BC2BC4">
        <w:rPr>
          <w:kern w:val="2"/>
          <w:sz w:val="20"/>
        </w:rPr>
        <w:t>and amends</w:t>
      </w:r>
      <w:r w:rsidRPr="00BC2BC4">
        <w:rPr>
          <w:kern w:val="2"/>
          <w:sz w:val="20"/>
        </w:rPr>
        <w:t xml:space="preserve"> the </w:t>
      </w:r>
      <w:r w:rsidRPr="00BC2BC4">
        <w:rPr>
          <w:i/>
          <w:kern w:val="2"/>
          <w:sz w:val="20"/>
        </w:rPr>
        <w:t>Auditor General Act</w:t>
      </w:r>
      <w:r w:rsidRPr="00BC2BC4">
        <w:rPr>
          <w:kern w:val="2"/>
          <w:sz w:val="20"/>
        </w:rPr>
        <w:t xml:space="preserve">, the </w:t>
      </w:r>
      <w:r w:rsidRPr="00BC2BC4">
        <w:rPr>
          <w:i/>
          <w:kern w:val="2"/>
          <w:sz w:val="20"/>
        </w:rPr>
        <w:t>Department of Public Works and Services Act</w:t>
      </w:r>
      <w:r w:rsidRPr="00BC2BC4">
        <w:rPr>
          <w:kern w:val="2"/>
          <w:sz w:val="20"/>
        </w:rPr>
        <w:t xml:space="preserve"> and the </w:t>
      </w:r>
      <w:r w:rsidRPr="00BC2BC4">
        <w:rPr>
          <w:i/>
          <w:kern w:val="2"/>
          <w:sz w:val="20"/>
        </w:rPr>
        <w:t>Financial Administration Act</w:t>
      </w:r>
      <w:r w:rsidR="000442FD" w:rsidRPr="00BC2BC4">
        <w:rPr>
          <w:kern w:val="2"/>
          <w:sz w:val="20"/>
        </w:rPr>
        <w:t>. It expands</w:t>
      </w:r>
      <w:r w:rsidRPr="00BC2BC4">
        <w:rPr>
          <w:kern w:val="2"/>
          <w:sz w:val="20"/>
        </w:rPr>
        <w:t xml:space="preserve"> the class of funding recipients into which the Auditor General may inquire as to the use of funds under the </w:t>
      </w:r>
      <w:r w:rsidRPr="00BC2BC4">
        <w:rPr>
          <w:i/>
          <w:kern w:val="2"/>
          <w:sz w:val="20"/>
        </w:rPr>
        <w:t>Auditor General Act</w:t>
      </w:r>
      <w:r w:rsidRPr="00BC2BC4">
        <w:rPr>
          <w:kern w:val="2"/>
          <w:sz w:val="20"/>
        </w:rPr>
        <w:t xml:space="preserve"> and provides for the appointment and mandate of a Procurement Auditor under the</w:t>
      </w:r>
      <w:r w:rsidRPr="00BC2BC4">
        <w:rPr>
          <w:i/>
          <w:kern w:val="2"/>
          <w:sz w:val="20"/>
        </w:rPr>
        <w:t xml:space="preserve"> Department of Public Works and Services Act</w:t>
      </w:r>
      <w:r w:rsidRPr="00BC2BC4">
        <w:rPr>
          <w:kern w:val="2"/>
          <w:sz w:val="20"/>
        </w:rPr>
        <w:t xml:space="preserve">. The </w:t>
      </w:r>
      <w:r w:rsidRPr="00BC2BC4">
        <w:rPr>
          <w:i/>
          <w:kern w:val="2"/>
          <w:sz w:val="20"/>
        </w:rPr>
        <w:t xml:space="preserve">Financial Administration Act </w:t>
      </w:r>
      <w:r w:rsidRPr="00BC2BC4">
        <w:rPr>
          <w:kern w:val="2"/>
          <w:sz w:val="20"/>
        </w:rPr>
        <w:t>was amended to reflect a government commitment to fairness, openness and transparency in government contract bidding, as well as to provide a power to implement deemed anti-corruption clauses in government contracts.</w:t>
      </w:r>
    </w:p>
    <w:p w14:paraId="676FD133" w14:textId="0F7E6DBE" w:rsidR="00985A16" w:rsidRPr="00BC2BC4" w:rsidRDefault="00937299" w:rsidP="001329FD">
      <w:pPr>
        <w:pStyle w:val="Heading3"/>
        <w:rPr>
          <w:kern w:val="2"/>
          <w:sz w:val="22"/>
        </w:rPr>
      </w:pPr>
      <w:r w:rsidRPr="00BC2BC4">
        <w:rPr>
          <w:kern w:val="2"/>
          <w:sz w:val="22"/>
        </w:rPr>
        <w:t xml:space="preserve">Quebec’s Solution to Public Procurement Corruption: </w:t>
      </w:r>
      <w:r w:rsidR="00C836C8" w:rsidRPr="00BC2BC4">
        <w:rPr>
          <w:kern w:val="2"/>
          <w:sz w:val="22"/>
        </w:rPr>
        <w:t xml:space="preserve">Is It </w:t>
      </w:r>
      <w:r w:rsidRPr="00BC2BC4">
        <w:rPr>
          <w:kern w:val="2"/>
          <w:sz w:val="22"/>
        </w:rPr>
        <w:t>Enough?</w:t>
      </w:r>
      <w:bookmarkStart w:id="72" w:name="_Toc424485048"/>
    </w:p>
    <w:p w14:paraId="5412D6E7" w14:textId="447AA335" w:rsidR="00FD55E6" w:rsidRPr="00BC2BC4" w:rsidRDefault="003731FC" w:rsidP="00FD55E6">
      <w:pPr>
        <w:rPr>
          <w:rFonts w:cs="Times New Roman"/>
          <w:kern w:val="2"/>
          <w:sz w:val="20"/>
        </w:rPr>
      </w:pPr>
      <w:r w:rsidRPr="00BC2BC4">
        <w:rPr>
          <w:rFonts w:cs="Times New Roman"/>
          <w:kern w:val="2"/>
          <w:sz w:val="20"/>
        </w:rPr>
        <w:t xml:space="preserve">The issue of </w:t>
      </w:r>
      <w:r w:rsidR="00FD55E6" w:rsidRPr="00BC2BC4">
        <w:rPr>
          <w:rFonts w:cs="Times New Roman"/>
          <w:kern w:val="2"/>
          <w:sz w:val="20"/>
        </w:rPr>
        <w:t>corruption</w:t>
      </w:r>
      <w:r w:rsidRPr="00BC2BC4">
        <w:rPr>
          <w:rFonts w:cs="Times New Roman"/>
          <w:kern w:val="2"/>
          <w:sz w:val="20"/>
        </w:rPr>
        <w:t xml:space="preserve"> in Quebec’s construction sector was thrust into the spotlight in</w:t>
      </w:r>
      <w:r w:rsidR="00FD55E6" w:rsidRPr="00BC2BC4">
        <w:rPr>
          <w:rFonts w:cs="Times New Roman"/>
          <w:kern w:val="2"/>
          <w:sz w:val="20"/>
        </w:rPr>
        <w:t xml:space="preserve"> 2009 after </w:t>
      </w:r>
      <w:r w:rsidRPr="00BC2BC4">
        <w:rPr>
          <w:rFonts w:cs="Times New Roman"/>
          <w:kern w:val="2"/>
          <w:sz w:val="20"/>
        </w:rPr>
        <w:t xml:space="preserve">reports </w:t>
      </w:r>
      <w:r w:rsidR="009F3D40" w:rsidRPr="00BC2BC4">
        <w:rPr>
          <w:rFonts w:cs="Times New Roman"/>
          <w:kern w:val="2"/>
          <w:sz w:val="20"/>
        </w:rPr>
        <w:t>revealed</w:t>
      </w:r>
      <w:r w:rsidRPr="00BC2BC4">
        <w:rPr>
          <w:rFonts w:cs="Times New Roman"/>
          <w:kern w:val="2"/>
          <w:sz w:val="20"/>
        </w:rPr>
        <w:t xml:space="preserve"> </w:t>
      </w:r>
      <w:r w:rsidR="00AE6C03" w:rsidRPr="00BC2BC4">
        <w:rPr>
          <w:rFonts w:cs="Times New Roman"/>
          <w:kern w:val="2"/>
          <w:sz w:val="20"/>
        </w:rPr>
        <w:t>widespread</w:t>
      </w:r>
      <w:r w:rsidR="009F3D40" w:rsidRPr="00BC2BC4">
        <w:rPr>
          <w:rFonts w:cs="Times New Roman"/>
          <w:kern w:val="2"/>
          <w:sz w:val="20"/>
        </w:rPr>
        <w:t xml:space="preserve"> </w:t>
      </w:r>
      <w:r w:rsidR="00FD55E6" w:rsidRPr="00BC2BC4">
        <w:rPr>
          <w:rFonts w:cs="Times New Roman"/>
          <w:kern w:val="2"/>
          <w:sz w:val="20"/>
        </w:rPr>
        <w:t xml:space="preserve">bid-rigging and collusion, causing public outrage. The Liberal </w:t>
      </w:r>
      <w:r w:rsidR="007D4032" w:rsidRPr="00BC2BC4">
        <w:rPr>
          <w:rFonts w:cs="Times New Roman"/>
          <w:kern w:val="2"/>
          <w:sz w:val="20"/>
        </w:rPr>
        <w:t>P</w:t>
      </w:r>
      <w:r w:rsidR="00FD55E6" w:rsidRPr="00BC2BC4">
        <w:rPr>
          <w:rFonts w:cs="Times New Roman"/>
          <w:kern w:val="2"/>
          <w:sz w:val="20"/>
        </w:rPr>
        <w:t>arty, led by Premier</w:t>
      </w:r>
      <w:r w:rsidR="007D2189" w:rsidRPr="00BC2BC4">
        <w:rPr>
          <w:rFonts w:cs="Times New Roman"/>
          <w:kern w:val="2"/>
          <w:sz w:val="20"/>
        </w:rPr>
        <w:t xml:space="preserve"> Jean</w:t>
      </w:r>
      <w:r w:rsidR="00FD55E6" w:rsidRPr="00BC2BC4">
        <w:rPr>
          <w:rFonts w:cs="Times New Roman"/>
          <w:kern w:val="2"/>
          <w:sz w:val="20"/>
        </w:rPr>
        <w:t xml:space="preserve"> Charest, was in power at the t</w:t>
      </w:r>
      <w:r w:rsidR="000442FD" w:rsidRPr="00BC2BC4">
        <w:rPr>
          <w:rFonts w:cs="Times New Roman"/>
          <w:kern w:val="2"/>
          <w:sz w:val="20"/>
        </w:rPr>
        <w:t xml:space="preserve">ime. As mentioned in </w:t>
      </w:r>
      <w:r w:rsidR="006E12A0" w:rsidRPr="00BC2BC4">
        <w:rPr>
          <w:rFonts w:cs="Times New Roman"/>
          <w:kern w:val="2"/>
          <w:sz w:val="20"/>
          <w:highlight w:val="cyan"/>
        </w:rPr>
        <w:t>Section</w:t>
      </w:r>
      <w:r w:rsidR="000442FD" w:rsidRPr="00BC2BC4">
        <w:rPr>
          <w:rFonts w:cs="Times New Roman"/>
          <w:kern w:val="2"/>
          <w:sz w:val="20"/>
          <w:highlight w:val="cyan"/>
        </w:rPr>
        <w:t xml:space="preserve"> 1.</w:t>
      </w:r>
      <w:r w:rsidR="005159BC" w:rsidRPr="00BC2BC4">
        <w:rPr>
          <w:rFonts w:cs="Times New Roman"/>
          <w:kern w:val="2"/>
          <w:sz w:val="20"/>
          <w:highlight w:val="cyan"/>
        </w:rPr>
        <w:t>3</w:t>
      </w:r>
      <w:r w:rsidR="00FD55E6" w:rsidRPr="00BC2BC4">
        <w:rPr>
          <w:rFonts w:cs="Times New Roman"/>
          <w:kern w:val="2"/>
          <w:sz w:val="20"/>
        </w:rPr>
        <w:t>, Charest</w:t>
      </w:r>
      <w:r w:rsidR="00C836C8" w:rsidRPr="00BC2BC4">
        <w:rPr>
          <w:rFonts w:cs="Times New Roman"/>
          <w:kern w:val="2"/>
          <w:sz w:val="20"/>
        </w:rPr>
        <w:t>, after some stonewalling,</w:t>
      </w:r>
      <w:r w:rsidR="00FD55E6" w:rsidRPr="00BC2BC4">
        <w:rPr>
          <w:rFonts w:cs="Times New Roman"/>
          <w:kern w:val="2"/>
          <w:sz w:val="20"/>
        </w:rPr>
        <w:t xml:space="preserve"> appointed the Charbonneau Commission to conduct a public inquiry into corruption in the awarding and management of public contracts in the province’s construction industry. The Commission’s report </w:t>
      </w:r>
      <w:r w:rsidR="00936FCE" w:rsidRPr="00BC2BC4">
        <w:rPr>
          <w:rFonts w:cs="Times New Roman"/>
          <w:kern w:val="2"/>
          <w:sz w:val="20"/>
        </w:rPr>
        <w:t>can be accessed online (though the full report is available only in French)</w:t>
      </w:r>
      <w:r w:rsidR="00FD55E6" w:rsidRPr="00BC2BC4">
        <w:rPr>
          <w:rFonts w:cs="Times New Roman"/>
          <w:kern w:val="2"/>
          <w:sz w:val="20"/>
        </w:rPr>
        <w:t>.</w:t>
      </w:r>
      <w:r w:rsidR="00FE49AD" w:rsidRPr="00BC2BC4">
        <w:rPr>
          <w:rStyle w:val="FootnoteReference"/>
          <w:rFonts w:cs="Times New Roman"/>
          <w:kern w:val="2"/>
          <w:sz w:val="20"/>
        </w:rPr>
        <w:footnoteReference w:id="269"/>
      </w:r>
      <w:r w:rsidR="00FD55E6" w:rsidRPr="00BC2BC4">
        <w:rPr>
          <w:rFonts w:cs="Times New Roman"/>
          <w:kern w:val="2"/>
          <w:sz w:val="20"/>
        </w:rPr>
        <w:t xml:space="preserve"> Evidence at the public inquiry revealed a thick web of corruption in the construction sector at the provincial and municipal level and a connection between this corruption and political party and election financing.</w:t>
      </w:r>
      <w:r w:rsidR="00673465" w:rsidRPr="00BC2BC4">
        <w:rPr>
          <w:rFonts w:cs="Times New Roman"/>
          <w:kern w:val="2"/>
          <w:sz w:val="20"/>
        </w:rPr>
        <w:t xml:space="preserve"> The evidence also revealed that organized crime had infiltrated Quebec’s construction industry.</w:t>
      </w:r>
    </w:p>
    <w:p w14:paraId="71CB4AF5" w14:textId="340DDEF6" w:rsidR="00FD55E6" w:rsidRPr="00BC2BC4" w:rsidRDefault="00FD55E6" w:rsidP="00FD55E6">
      <w:pPr>
        <w:rPr>
          <w:rFonts w:cs="Times New Roman"/>
          <w:kern w:val="2"/>
          <w:sz w:val="20"/>
        </w:rPr>
      </w:pPr>
      <w:r w:rsidRPr="00BC2BC4">
        <w:rPr>
          <w:rFonts w:cs="Times New Roman"/>
          <w:kern w:val="2"/>
          <w:sz w:val="20"/>
        </w:rPr>
        <w:t>In Quebec’s 2012 elections, the Parti Qu</w:t>
      </w:r>
      <w:r w:rsidR="001E644B" w:rsidRPr="00BC2BC4">
        <w:rPr>
          <w:rFonts w:cs="Times New Roman"/>
          <w:kern w:val="2"/>
          <w:sz w:val="20"/>
        </w:rPr>
        <w:t>é</w:t>
      </w:r>
      <w:r w:rsidRPr="00BC2BC4">
        <w:rPr>
          <w:rFonts w:cs="Times New Roman"/>
          <w:kern w:val="2"/>
          <w:sz w:val="20"/>
        </w:rPr>
        <w:t>b</w:t>
      </w:r>
      <w:r w:rsidR="001E644B" w:rsidRPr="00BC2BC4">
        <w:rPr>
          <w:rFonts w:cs="Times New Roman"/>
          <w:kern w:val="2"/>
          <w:sz w:val="20"/>
        </w:rPr>
        <w:t>é</w:t>
      </w:r>
      <w:r w:rsidRPr="00BC2BC4">
        <w:rPr>
          <w:rFonts w:cs="Times New Roman"/>
          <w:kern w:val="2"/>
          <w:sz w:val="20"/>
        </w:rPr>
        <w:t xml:space="preserve">cois (PQ) under Pauline Marois was elected. Anxious to demonstrate the difference between the new government and the old, the PQ’s first bill, put together in about six weeks, was the </w:t>
      </w:r>
      <w:r w:rsidRPr="00BC2BC4">
        <w:rPr>
          <w:rFonts w:cs="Times New Roman"/>
          <w:i/>
          <w:kern w:val="2"/>
          <w:sz w:val="20"/>
        </w:rPr>
        <w:t>Integrity of Public Contracts Act</w:t>
      </w:r>
      <w:r w:rsidRPr="00BC2BC4">
        <w:rPr>
          <w:rFonts w:cs="Times New Roman"/>
          <w:kern w:val="2"/>
          <w:sz w:val="20"/>
        </w:rPr>
        <w:t>.</w:t>
      </w:r>
      <w:r w:rsidR="00E55E7C" w:rsidRPr="00BC2BC4">
        <w:rPr>
          <w:rStyle w:val="FootnoteReference"/>
          <w:rFonts w:cs="Times New Roman"/>
          <w:kern w:val="2"/>
          <w:sz w:val="20"/>
        </w:rPr>
        <w:footnoteReference w:id="270"/>
      </w:r>
      <w:r w:rsidRPr="00BC2BC4">
        <w:rPr>
          <w:rFonts w:cs="Times New Roman"/>
          <w:kern w:val="2"/>
          <w:sz w:val="20"/>
        </w:rPr>
        <w:t xml:space="preserve"> </w:t>
      </w:r>
      <w:r w:rsidR="00376B4C" w:rsidRPr="00BC2BC4">
        <w:rPr>
          <w:rFonts w:cs="Times New Roman"/>
          <w:kern w:val="2"/>
          <w:sz w:val="20"/>
        </w:rPr>
        <w:t>The</w:t>
      </w:r>
      <w:r w:rsidRPr="00BC2BC4">
        <w:rPr>
          <w:rFonts w:cs="Times New Roman"/>
          <w:kern w:val="2"/>
          <w:sz w:val="20"/>
        </w:rPr>
        <w:t xml:space="preserve"> central feature </w:t>
      </w:r>
      <w:r w:rsidR="00376B4C" w:rsidRPr="00BC2BC4">
        <w:rPr>
          <w:rFonts w:cs="Times New Roman"/>
          <w:kern w:val="2"/>
          <w:sz w:val="20"/>
        </w:rPr>
        <w:t xml:space="preserve">of Bill 1 </w:t>
      </w:r>
      <w:r w:rsidRPr="00BC2BC4">
        <w:rPr>
          <w:rFonts w:cs="Times New Roman"/>
          <w:kern w:val="2"/>
          <w:sz w:val="20"/>
        </w:rPr>
        <w:t>was a new system of pre-authorization for companies involved in public procurement. Under the provisions of Bill 1, companies must obtain a certificate of integrity from the Autorit</w:t>
      </w:r>
      <w:r w:rsidRPr="00BC2BC4">
        <w:rPr>
          <w:rFonts w:cs="Times New Roman"/>
          <w:color w:val="000000"/>
          <w:kern w:val="2"/>
          <w:sz w:val="20"/>
        </w:rPr>
        <w:t>é</w:t>
      </w:r>
      <w:r w:rsidRPr="00BC2BC4">
        <w:rPr>
          <w:rFonts w:cs="Times New Roman"/>
          <w:kern w:val="2"/>
          <w:sz w:val="20"/>
        </w:rPr>
        <w:t xml:space="preserve"> des march</w:t>
      </w:r>
      <w:r w:rsidR="005739FF" w:rsidRPr="00BC2BC4">
        <w:rPr>
          <w:rFonts w:cs="Times New Roman"/>
          <w:color w:val="000000"/>
          <w:kern w:val="2"/>
          <w:sz w:val="20"/>
        </w:rPr>
        <w:t>é</w:t>
      </w:r>
      <w:r w:rsidRPr="00BC2BC4">
        <w:rPr>
          <w:rFonts w:cs="Times New Roman"/>
          <w:kern w:val="2"/>
          <w:sz w:val="20"/>
        </w:rPr>
        <w:t>s financiers (AMF)</w:t>
      </w:r>
      <w:r w:rsidR="000643BD" w:rsidRPr="00BC2BC4">
        <w:rPr>
          <w:rFonts w:cs="Times New Roman"/>
          <w:kern w:val="2"/>
          <w:sz w:val="20"/>
        </w:rPr>
        <w:t>, Quebec’s securities markets regulator,</w:t>
      </w:r>
      <w:r w:rsidRPr="00BC2BC4">
        <w:rPr>
          <w:rFonts w:cs="Times New Roman"/>
          <w:kern w:val="2"/>
          <w:sz w:val="20"/>
        </w:rPr>
        <w:t xml:space="preserve"> before entering into </w:t>
      </w:r>
      <w:r w:rsidR="0039110F" w:rsidRPr="00BC2BC4">
        <w:rPr>
          <w:rFonts w:cs="Times New Roman"/>
          <w:kern w:val="2"/>
          <w:sz w:val="20"/>
        </w:rPr>
        <w:t xml:space="preserve">construction and service </w:t>
      </w:r>
      <w:r w:rsidRPr="00BC2BC4">
        <w:rPr>
          <w:rFonts w:cs="Times New Roman"/>
          <w:kern w:val="2"/>
          <w:sz w:val="20"/>
        </w:rPr>
        <w:t>co</w:t>
      </w:r>
      <w:r w:rsidR="0039110F" w:rsidRPr="00BC2BC4">
        <w:rPr>
          <w:rFonts w:cs="Times New Roman"/>
          <w:kern w:val="2"/>
          <w:sz w:val="20"/>
        </w:rPr>
        <w:t xml:space="preserve">ntracts or subcontracts involving expenditures of </w:t>
      </w:r>
      <w:r w:rsidR="005D5A1B" w:rsidRPr="00BC2BC4">
        <w:rPr>
          <w:rFonts w:cs="Times New Roman"/>
          <w:kern w:val="2"/>
          <w:sz w:val="20"/>
        </w:rPr>
        <w:t>CAD</w:t>
      </w:r>
      <w:r w:rsidR="0039110F" w:rsidRPr="00BC2BC4">
        <w:rPr>
          <w:rFonts w:cs="Times New Roman"/>
          <w:kern w:val="2"/>
          <w:sz w:val="20"/>
        </w:rPr>
        <w:t>$5 million</w:t>
      </w:r>
      <w:r w:rsidR="003F4C3E" w:rsidRPr="00BC2BC4">
        <w:rPr>
          <w:rFonts w:cs="Times New Roman"/>
          <w:kern w:val="2"/>
          <w:sz w:val="20"/>
        </w:rPr>
        <w:t xml:space="preserve"> </w:t>
      </w:r>
      <w:r w:rsidR="0039110F" w:rsidRPr="00BC2BC4">
        <w:rPr>
          <w:rFonts w:cs="Times New Roman"/>
          <w:kern w:val="2"/>
          <w:sz w:val="20"/>
        </w:rPr>
        <w:t xml:space="preserve">or more, </w:t>
      </w:r>
      <w:r w:rsidR="0039110F" w:rsidRPr="00BC2BC4">
        <w:rPr>
          <w:rFonts w:cs="Times New Roman"/>
          <w:i/>
          <w:kern w:val="2"/>
          <w:sz w:val="20"/>
        </w:rPr>
        <w:t>Ville de Montr</w:t>
      </w:r>
      <w:r w:rsidR="00CC7282" w:rsidRPr="00BC2BC4">
        <w:rPr>
          <w:rFonts w:cs="Times New Roman"/>
          <w:i/>
          <w:color w:val="000000"/>
          <w:kern w:val="2"/>
          <w:sz w:val="20"/>
        </w:rPr>
        <w:t>é</w:t>
      </w:r>
      <w:r w:rsidR="0039110F" w:rsidRPr="00BC2BC4">
        <w:rPr>
          <w:rFonts w:cs="Times New Roman"/>
          <w:i/>
          <w:kern w:val="2"/>
          <w:sz w:val="20"/>
        </w:rPr>
        <w:t xml:space="preserve">al </w:t>
      </w:r>
      <w:r w:rsidR="0039110F" w:rsidRPr="00BC2BC4">
        <w:rPr>
          <w:rFonts w:cs="Times New Roman"/>
          <w:kern w:val="2"/>
          <w:sz w:val="20"/>
        </w:rPr>
        <w:t>contracts covered by Orders in Council and certain public-private partnership contracts</w:t>
      </w:r>
      <w:r w:rsidRPr="00BC2BC4">
        <w:rPr>
          <w:rFonts w:cs="Times New Roman"/>
          <w:kern w:val="2"/>
          <w:sz w:val="20"/>
        </w:rPr>
        <w:t>.</w:t>
      </w:r>
      <w:r w:rsidR="0039110F" w:rsidRPr="00BC2BC4">
        <w:rPr>
          <w:rStyle w:val="FootnoteReference"/>
          <w:rFonts w:cs="Times New Roman"/>
          <w:kern w:val="2"/>
          <w:sz w:val="20"/>
        </w:rPr>
        <w:footnoteReference w:id="271"/>
      </w:r>
      <w:r w:rsidRPr="00BC2BC4">
        <w:rPr>
          <w:rFonts w:cs="Times New Roman"/>
          <w:kern w:val="2"/>
          <w:sz w:val="20"/>
        </w:rPr>
        <w:t xml:space="preserve"> </w:t>
      </w:r>
      <w:r w:rsidR="00773193" w:rsidRPr="00BC2BC4">
        <w:rPr>
          <w:rFonts w:cs="Times New Roman"/>
          <w:kern w:val="2"/>
          <w:sz w:val="20"/>
        </w:rPr>
        <w:t xml:space="preserve">Beginning </w:t>
      </w:r>
      <w:r w:rsidR="009C5052" w:rsidRPr="00BC2BC4">
        <w:rPr>
          <w:rFonts w:cs="Times New Roman"/>
          <w:kern w:val="2"/>
          <w:sz w:val="20"/>
        </w:rPr>
        <w:t xml:space="preserve">November 2015, the threshold for pre-authorization for public service contracts </w:t>
      </w:r>
      <w:r w:rsidR="00773193" w:rsidRPr="00BC2BC4">
        <w:rPr>
          <w:rFonts w:cs="Times New Roman"/>
          <w:kern w:val="2"/>
          <w:sz w:val="20"/>
        </w:rPr>
        <w:t xml:space="preserve">was </w:t>
      </w:r>
      <w:r w:rsidR="009C5052" w:rsidRPr="00BC2BC4">
        <w:rPr>
          <w:rFonts w:cs="Times New Roman"/>
          <w:kern w:val="2"/>
          <w:sz w:val="20"/>
        </w:rPr>
        <w:t xml:space="preserve">lowered to </w:t>
      </w:r>
      <w:r w:rsidR="005D5A1B" w:rsidRPr="00BC2BC4">
        <w:rPr>
          <w:rFonts w:cs="Times New Roman"/>
          <w:kern w:val="2"/>
          <w:sz w:val="20"/>
        </w:rPr>
        <w:t>CAD</w:t>
      </w:r>
      <w:r w:rsidR="009C5052" w:rsidRPr="00BC2BC4">
        <w:rPr>
          <w:rFonts w:cs="Times New Roman"/>
          <w:kern w:val="2"/>
          <w:sz w:val="20"/>
        </w:rPr>
        <w:t xml:space="preserve">$1 million, and the Quebec government intends to eventually lower the threshold to </w:t>
      </w:r>
      <w:r w:rsidR="005D5A1B" w:rsidRPr="00BC2BC4">
        <w:rPr>
          <w:rFonts w:cs="Times New Roman"/>
          <w:kern w:val="2"/>
          <w:sz w:val="20"/>
        </w:rPr>
        <w:t>CAD</w:t>
      </w:r>
      <w:r w:rsidR="009C5052" w:rsidRPr="00BC2BC4">
        <w:rPr>
          <w:rFonts w:cs="Times New Roman"/>
          <w:kern w:val="2"/>
          <w:sz w:val="20"/>
        </w:rPr>
        <w:t>$100</w:t>
      </w:r>
      <w:r w:rsidR="00773193" w:rsidRPr="00BC2BC4">
        <w:rPr>
          <w:rFonts w:cs="Times New Roman"/>
          <w:kern w:val="2"/>
          <w:sz w:val="20"/>
        </w:rPr>
        <w:t>,</w:t>
      </w:r>
      <w:r w:rsidR="009C5052" w:rsidRPr="00BC2BC4">
        <w:rPr>
          <w:rFonts w:cs="Times New Roman"/>
          <w:kern w:val="2"/>
          <w:sz w:val="20"/>
        </w:rPr>
        <w:t>000 for all public contracts (except those in the City of Montreal, which are subject to different thresholds).</w:t>
      </w:r>
      <w:r w:rsidR="009C5052" w:rsidRPr="00BC2BC4">
        <w:rPr>
          <w:rStyle w:val="FootnoteReference"/>
          <w:rFonts w:cs="Times New Roman"/>
          <w:kern w:val="2"/>
          <w:sz w:val="20"/>
        </w:rPr>
        <w:footnoteReference w:id="272"/>
      </w:r>
      <w:r w:rsidR="009C5052" w:rsidRPr="00BC2BC4">
        <w:rPr>
          <w:rFonts w:cs="Times New Roman"/>
          <w:kern w:val="2"/>
          <w:sz w:val="20"/>
        </w:rPr>
        <w:t xml:space="preserve"> </w:t>
      </w:r>
      <w:r w:rsidRPr="00BC2BC4">
        <w:rPr>
          <w:rFonts w:cs="Times New Roman"/>
          <w:kern w:val="2"/>
          <w:sz w:val="20"/>
        </w:rPr>
        <w:t>The certificate will</w:t>
      </w:r>
      <w:r w:rsidR="00C53055" w:rsidRPr="00BC2BC4">
        <w:rPr>
          <w:rFonts w:cs="Times New Roman"/>
          <w:kern w:val="2"/>
          <w:sz w:val="20"/>
        </w:rPr>
        <w:t xml:space="preserve"> be</w:t>
      </w:r>
      <w:r w:rsidRPr="00BC2BC4">
        <w:rPr>
          <w:rFonts w:cs="Times New Roman"/>
          <w:kern w:val="2"/>
          <w:sz w:val="20"/>
        </w:rPr>
        <w:t xml:space="preserve"> automatically denied if any of a set of objective criteria are </w:t>
      </w:r>
      <w:r w:rsidR="00C53055" w:rsidRPr="00BC2BC4">
        <w:rPr>
          <w:rFonts w:cs="Times New Roman"/>
          <w:kern w:val="2"/>
          <w:sz w:val="20"/>
        </w:rPr>
        <w:t xml:space="preserve">not </w:t>
      </w:r>
      <w:r w:rsidRPr="00BC2BC4">
        <w:rPr>
          <w:rFonts w:cs="Times New Roman"/>
          <w:kern w:val="2"/>
          <w:sz w:val="20"/>
        </w:rPr>
        <w:t>met.</w:t>
      </w:r>
      <w:r w:rsidR="00375D63" w:rsidRPr="00BC2BC4">
        <w:rPr>
          <w:rStyle w:val="FootnoteReference"/>
          <w:rFonts w:cs="Times New Roman"/>
          <w:kern w:val="2"/>
          <w:sz w:val="20"/>
        </w:rPr>
        <w:footnoteReference w:id="273"/>
      </w:r>
      <w:r w:rsidRPr="00BC2BC4">
        <w:rPr>
          <w:rFonts w:cs="Times New Roman"/>
          <w:kern w:val="2"/>
          <w:sz w:val="20"/>
        </w:rPr>
        <w:t xml:space="preserve"> The decision also depends on subjective criteria, as the AMF has discretion to deny applications “if the enterprise concerned fails to meet the high standards of integrity that the public is entitled to expect from a party to a public contract</w:t>
      </w:r>
      <w:r w:rsidR="00C53055" w:rsidRPr="00BC2BC4">
        <w:rPr>
          <w:rFonts w:cs="Times New Roman"/>
          <w:kern w:val="2"/>
          <w:sz w:val="20"/>
        </w:rPr>
        <w:t>.</w:t>
      </w:r>
      <w:r w:rsidRPr="00BC2BC4">
        <w:rPr>
          <w:rFonts w:cs="Times New Roman"/>
          <w:kern w:val="2"/>
          <w:sz w:val="20"/>
        </w:rPr>
        <w:t>”</w:t>
      </w:r>
      <w:r w:rsidRPr="00BC2BC4">
        <w:rPr>
          <w:rStyle w:val="FootnoteReference"/>
          <w:rFonts w:cs="Times New Roman"/>
          <w:kern w:val="2"/>
          <w:sz w:val="20"/>
        </w:rPr>
        <w:footnoteReference w:id="274"/>
      </w:r>
      <w:r w:rsidRPr="00BC2BC4">
        <w:rPr>
          <w:rFonts w:cs="Times New Roman"/>
          <w:kern w:val="2"/>
          <w:sz w:val="20"/>
        </w:rPr>
        <w:t xml:space="preserve"> The legislation provides some potentially relevant factors in making this determination. As pointed out by Steele, this provision is “startlingly subjective</w:t>
      </w:r>
      <w:r w:rsidR="00C53055" w:rsidRPr="00BC2BC4">
        <w:rPr>
          <w:rFonts w:cs="Times New Roman"/>
          <w:kern w:val="2"/>
          <w:sz w:val="20"/>
        </w:rPr>
        <w:t>.</w:t>
      </w:r>
      <w:r w:rsidRPr="00BC2BC4">
        <w:rPr>
          <w:rFonts w:cs="Times New Roman"/>
          <w:kern w:val="2"/>
          <w:sz w:val="20"/>
        </w:rPr>
        <w:t>”</w:t>
      </w:r>
      <w:r w:rsidRPr="00BC2BC4">
        <w:rPr>
          <w:rStyle w:val="FootnoteReference"/>
          <w:rFonts w:cs="Times New Roman"/>
          <w:kern w:val="2"/>
          <w:sz w:val="20"/>
        </w:rPr>
        <w:footnoteReference w:id="275"/>
      </w:r>
    </w:p>
    <w:p w14:paraId="1F07A08D" w14:textId="7E52B599" w:rsidR="00FD55E6" w:rsidRPr="00BC2BC4" w:rsidRDefault="00FD55E6" w:rsidP="00FD55E6">
      <w:pPr>
        <w:rPr>
          <w:rFonts w:cs="Times New Roman"/>
          <w:kern w:val="2"/>
          <w:sz w:val="20"/>
        </w:rPr>
      </w:pPr>
      <w:r w:rsidRPr="00BC2BC4">
        <w:rPr>
          <w:rFonts w:cs="Times New Roman"/>
          <w:kern w:val="2"/>
          <w:sz w:val="20"/>
        </w:rPr>
        <w:t>Steele notes that there is “no obvious precedent” for these provisions in any other jurisdiction.</w:t>
      </w:r>
      <w:r w:rsidRPr="00BC2BC4">
        <w:rPr>
          <w:rStyle w:val="FootnoteReference"/>
          <w:rFonts w:cs="Times New Roman"/>
          <w:kern w:val="2"/>
          <w:sz w:val="20"/>
        </w:rPr>
        <w:footnoteReference w:id="276"/>
      </w:r>
      <w:r w:rsidRPr="00BC2BC4">
        <w:rPr>
          <w:rFonts w:cs="Times New Roman"/>
          <w:kern w:val="2"/>
          <w:sz w:val="20"/>
        </w:rPr>
        <w:t xml:space="preserve"> Looking at the legislative debates, no reference was made to other anti</w:t>
      </w:r>
      <w:r w:rsidR="00DA3C13" w:rsidRPr="00BC2BC4">
        <w:rPr>
          <w:rFonts w:cs="Times New Roman"/>
          <w:kern w:val="2"/>
          <w:sz w:val="20"/>
        </w:rPr>
        <w:t>-</w:t>
      </w:r>
      <w:r w:rsidRPr="00BC2BC4">
        <w:rPr>
          <w:rFonts w:cs="Times New Roman"/>
          <w:kern w:val="2"/>
          <w:sz w:val="20"/>
        </w:rPr>
        <w:t>corruption precedents, such as that of New York City. Based on New York’s experiences, Steele argues that there is “serious doubt whether Bill 1 represents a sustainable anti-corruption agenda.”</w:t>
      </w:r>
      <w:r w:rsidRPr="00BC2BC4">
        <w:rPr>
          <w:rStyle w:val="FootnoteReference"/>
          <w:rFonts w:cs="Times New Roman"/>
          <w:kern w:val="2"/>
          <w:sz w:val="20"/>
        </w:rPr>
        <w:footnoteReference w:id="277"/>
      </w:r>
      <w:r w:rsidRPr="00BC2BC4">
        <w:rPr>
          <w:rFonts w:cs="Times New Roman"/>
          <w:kern w:val="2"/>
          <w:sz w:val="20"/>
        </w:rPr>
        <w:t xml:space="preserve"> New York City experienced a similar corruption scandal in its construction sector in the 1980s, but has since instituted successful anti</w:t>
      </w:r>
      <w:r w:rsidR="00DA3C13" w:rsidRPr="00BC2BC4">
        <w:rPr>
          <w:rFonts w:cs="Times New Roman"/>
          <w:kern w:val="2"/>
          <w:sz w:val="20"/>
        </w:rPr>
        <w:t>-</w:t>
      </w:r>
      <w:r w:rsidRPr="00BC2BC4">
        <w:rPr>
          <w:rFonts w:cs="Times New Roman"/>
          <w:kern w:val="2"/>
          <w:sz w:val="20"/>
        </w:rPr>
        <w:t xml:space="preserve">corruption measures. Although New York’s system includes a process of pre-authorization, this measure is combined with other reforms, such as a strengthened Department of Investigations and independent monitors for contract administration. In 2014, a witness invited to the Charbonneau Commission from New York </w:t>
      </w:r>
      <w:r w:rsidR="00BA6D3A" w:rsidRPr="00BC2BC4">
        <w:rPr>
          <w:rFonts w:cs="Times New Roman"/>
          <w:kern w:val="2"/>
          <w:sz w:val="20"/>
        </w:rPr>
        <w:t xml:space="preserve">indicated </w:t>
      </w:r>
      <w:r w:rsidRPr="00BC2BC4">
        <w:rPr>
          <w:rFonts w:cs="Times New Roman"/>
          <w:kern w:val="2"/>
          <w:sz w:val="20"/>
        </w:rPr>
        <w:t>that pre-authorization is only a small part of a successful anti</w:t>
      </w:r>
      <w:r w:rsidR="00DA3C13" w:rsidRPr="00BC2BC4">
        <w:rPr>
          <w:rFonts w:cs="Times New Roman"/>
          <w:kern w:val="2"/>
          <w:sz w:val="20"/>
        </w:rPr>
        <w:t>-</w:t>
      </w:r>
      <w:r w:rsidRPr="00BC2BC4">
        <w:rPr>
          <w:rFonts w:cs="Times New Roman"/>
          <w:kern w:val="2"/>
          <w:sz w:val="20"/>
        </w:rPr>
        <w:t>corruption system, adding that pre-authorization would be ineffective on its own or</w:t>
      </w:r>
      <w:r w:rsidR="00BA6D3A" w:rsidRPr="00BC2BC4">
        <w:rPr>
          <w:rFonts w:cs="Times New Roman"/>
          <w:kern w:val="2"/>
          <w:sz w:val="20"/>
        </w:rPr>
        <w:t xml:space="preserve"> would</w:t>
      </w:r>
      <w:r w:rsidRPr="00BC2BC4">
        <w:rPr>
          <w:rFonts w:cs="Times New Roman"/>
          <w:kern w:val="2"/>
          <w:sz w:val="20"/>
        </w:rPr>
        <w:t xml:space="preserve"> even increase costs by reducing the pool of eligible bidders.</w:t>
      </w:r>
      <w:r w:rsidRPr="00BC2BC4">
        <w:rPr>
          <w:rStyle w:val="FootnoteReference"/>
          <w:rFonts w:cs="Times New Roman"/>
          <w:kern w:val="2"/>
          <w:sz w:val="20"/>
        </w:rPr>
        <w:footnoteReference w:id="278"/>
      </w:r>
    </w:p>
    <w:p w14:paraId="02A70B55" w14:textId="14E93B25" w:rsidR="00FD55E6" w:rsidRPr="00BC2BC4" w:rsidRDefault="00FD55E6" w:rsidP="00FD55E6">
      <w:pPr>
        <w:rPr>
          <w:rFonts w:cs="Times New Roman"/>
          <w:kern w:val="2"/>
          <w:sz w:val="20"/>
        </w:rPr>
      </w:pPr>
      <w:r w:rsidRPr="00BC2BC4">
        <w:rPr>
          <w:rFonts w:cs="Times New Roman"/>
          <w:kern w:val="2"/>
          <w:sz w:val="20"/>
        </w:rPr>
        <w:t>However, New York’s experience was not considered in the legislative debates. The debates also did not reference the international and national anti</w:t>
      </w:r>
      <w:r w:rsidR="00DA3C13" w:rsidRPr="00BC2BC4">
        <w:rPr>
          <w:rFonts w:cs="Times New Roman"/>
          <w:kern w:val="2"/>
          <w:sz w:val="20"/>
        </w:rPr>
        <w:t>-</w:t>
      </w:r>
      <w:r w:rsidRPr="00BC2BC4">
        <w:rPr>
          <w:rFonts w:cs="Times New Roman"/>
          <w:kern w:val="2"/>
          <w:sz w:val="20"/>
        </w:rPr>
        <w:t>corruption framework or anti</w:t>
      </w:r>
      <w:r w:rsidR="00DA3C13" w:rsidRPr="00BC2BC4">
        <w:rPr>
          <w:rFonts w:cs="Times New Roman"/>
          <w:kern w:val="2"/>
          <w:sz w:val="20"/>
        </w:rPr>
        <w:t>-</w:t>
      </w:r>
      <w:r w:rsidRPr="00BC2BC4">
        <w:rPr>
          <w:rFonts w:cs="Times New Roman"/>
          <w:kern w:val="2"/>
          <w:sz w:val="20"/>
        </w:rPr>
        <w:t>corruption literature. In addition, Steele criticizes the fact that “the Bill 1 debate is devoid of any real diagnosis of why or where the corruption is occurring</w:t>
      </w:r>
      <w:r w:rsidR="00C53055" w:rsidRPr="00BC2BC4">
        <w:rPr>
          <w:rFonts w:cs="Times New Roman"/>
          <w:kern w:val="2"/>
          <w:sz w:val="20"/>
        </w:rPr>
        <w:t>.</w:t>
      </w:r>
      <w:r w:rsidRPr="00BC2BC4">
        <w:rPr>
          <w:rFonts w:cs="Times New Roman"/>
          <w:kern w:val="2"/>
          <w:sz w:val="20"/>
        </w:rPr>
        <w:t>”</w:t>
      </w:r>
      <w:r w:rsidRPr="00BC2BC4">
        <w:rPr>
          <w:rStyle w:val="FootnoteReference"/>
          <w:rFonts w:cs="Times New Roman"/>
          <w:kern w:val="2"/>
          <w:sz w:val="20"/>
        </w:rPr>
        <w:footnoteReference w:id="279"/>
      </w:r>
      <w:r w:rsidRPr="00BC2BC4">
        <w:rPr>
          <w:rFonts w:cs="Times New Roman"/>
          <w:kern w:val="2"/>
          <w:sz w:val="20"/>
        </w:rPr>
        <w:t xml:space="preserve"> Other issues that were not properly </w:t>
      </w:r>
      <w:r w:rsidR="00C53055" w:rsidRPr="00BC2BC4">
        <w:rPr>
          <w:rFonts w:cs="Times New Roman"/>
          <w:kern w:val="2"/>
          <w:sz w:val="20"/>
        </w:rPr>
        <w:t>addressed</w:t>
      </w:r>
      <w:r w:rsidRPr="00BC2BC4">
        <w:rPr>
          <w:rFonts w:cs="Times New Roman"/>
          <w:kern w:val="2"/>
          <w:sz w:val="20"/>
        </w:rPr>
        <w:t xml:space="preserve"> include the subjectivity of the proposed provisions and the AMF’s lack of resources to handle the large volume of verifications in issuing certificates of integrity.</w:t>
      </w:r>
    </w:p>
    <w:p w14:paraId="76E2D709" w14:textId="537A2C29" w:rsidR="00937299" w:rsidRPr="00BC2BC4" w:rsidRDefault="00FD55E6" w:rsidP="00E504F7">
      <w:pPr>
        <w:rPr>
          <w:rFonts w:cs="Times New Roman"/>
          <w:kern w:val="2"/>
          <w:sz w:val="20"/>
        </w:rPr>
      </w:pPr>
      <w:r w:rsidRPr="00BC2BC4">
        <w:rPr>
          <w:rFonts w:cs="Times New Roman"/>
          <w:kern w:val="2"/>
          <w:sz w:val="20"/>
        </w:rPr>
        <w:t>Because of these gaps in the debate, Steele argues that Quebec’s lawmakers had almost no objective evidence to support a belief that their anti-corruption legislation would work to stem corruption.</w:t>
      </w:r>
      <w:r w:rsidRPr="00BC2BC4">
        <w:rPr>
          <w:rStyle w:val="FootnoteReference"/>
          <w:rFonts w:cs="Times New Roman"/>
          <w:kern w:val="2"/>
          <w:sz w:val="20"/>
        </w:rPr>
        <w:footnoteReference w:id="280"/>
      </w:r>
      <w:r w:rsidRPr="00BC2BC4">
        <w:rPr>
          <w:rFonts w:cs="Times New Roman"/>
          <w:kern w:val="2"/>
          <w:sz w:val="20"/>
        </w:rPr>
        <w:t xml:space="preserve"> Yet no one opposed the bill. He suggests that the public outcry pushed legislators to simply “do something, and do it quickly</w:t>
      </w:r>
      <w:r w:rsidR="00037350" w:rsidRPr="00BC2BC4">
        <w:rPr>
          <w:rFonts w:cs="Times New Roman"/>
          <w:kern w:val="2"/>
          <w:sz w:val="20"/>
        </w:rPr>
        <w:t>,</w:t>
      </w:r>
      <w:r w:rsidRPr="00BC2BC4">
        <w:rPr>
          <w:rFonts w:cs="Times New Roman"/>
          <w:kern w:val="2"/>
          <w:sz w:val="20"/>
        </w:rPr>
        <w:t xml:space="preserve">” therefore focusing efforts on “building an edifice that sounds like it </w:t>
      </w:r>
      <w:r w:rsidRPr="00BC2BC4">
        <w:rPr>
          <w:rFonts w:cs="Times New Roman"/>
          <w:i/>
          <w:kern w:val="2"/>
          <w:sz w:val="20"/>
        </w:rPr>
        <w:t xml:space="preserve">might </w:t>
      </w:r>
      <w:r w:rsidRPr="00BC2BC4">
        <w:rPr>
          <w:rFonts w:cs="Times New Roman"/>
          <w:kern w:val="2"/>
          <w:sz w:val="20"/>
        </w:rPr>
        <w:t xml:space="preserve">work to stem corruption, rather than examining the evidence, in the literature and precedents from around the world, for what </w:t>
      </w:r>
      <w:r w:rsidR="008A61DE" w:rsidRPr="00BC2BC4">
        <w:rPr>
          <w:rFonts w:cs="Times New Roman"/>
          <w:kern w:val="2"/>
          <w:sz w:val="20"/>
        </w:rPr>
        <w:t xml:space="preserve">was </w:t>
      </w:r>
      <w:r w:rsidRPr="00BC2BC4">
        <w:rPr>
          <w:rFonts w:cs="Times New Roman"/>
          <w:i/>
          <w:kern w:val="2"/>
          <w:sz w:val="20"/>
        </w:rPr>
        <w:t xml:space="preserve">likely </w:t>
      </w:r>
      <w:r w:rsidRPr="00BC2BC4">
        <w:rPr>
          <w:rFonts w:cs="Times New Roman"/>
          <w:kern w:val="2"/>
          <w:sz w:val="20"/>
        </w:rPr>
        <w:t>to work.”</w:t>
      </w:r>
      <w:r w:rsidRPr="00BC2BC4">
        <w:rPr>
          <w:rStyle w:val="FootnoteReference"/>
          <w:rFonts w:cs="Times New Roman"/>
          <w:kern w:val="2"/>
          <w:sz w:val="20"/>
        </w:rPr>
        <w:footnoteReference w:id="281"/>
      </w:r>
      <w:r w:rsidRPr="00BC2BC4">
        <w:rPr>
          <w:rFonts w:cs="Times New Roman"/>
          <w:kern w:val="2"/>
          <w:sz w:val="20"/>
        </w:rPr>
        <w:t xml:space="preserve"> While public outcry was placated, Steele suggests that, in reality, Bill 1 has had “an almost entirely nominal effect.”</w:t>
      </w:r>
      <w:r w:rsidRPr="00BC2BC4">
        <w:rPr>
          <w:rStyle w:val="FootnoteReference"/>
          <w:rFonts w:cs="Times New Roman"/>
          <w:kern w:val="2"/>
          <w:sz w:val="20"/>
        </w:rPr>
        <w:footnoteReference w:id="282"/>
      </w:r>
    </w:p>
    <w:p w14:paraId="5B150A14" w14:textId="70CDF223" w:rsidR="00937299" w:rsidRPr="00BC2BC4" w:rsidRDefault="00937299" w:rsidP="001329FD">
      <w:pPr>
        <w:pStyle w:val="Heading3"/>
        <w:rPr>
          <w:kern w:val="2"/>
          <w:sz w:val="22"/>
        </w:rPr>
      </w:pPr>
      <w:r w:rsidRPr="00BC2BC4">
        <w:rPr>
          <w:kern w:val="2"/>
          <w:sz w:val="22"/>
        </w:rPr>
        <w:t>Office of the Procurement Ombudsman</w:t>
      </w:r>
    </w:p>
    <w:p w14:paraId="76ACB23B" w14:textId="22EEBFB0" w:rsidR="00B60A58" w:rsidRPr="00BC2BC4" w:rsidRDefault="00937299" w:rsidP="001329FD">
      <w:pPr>
        <w:rPr>
          <w:kern w:val="2"/>
          <w:sz w:val="20"/>
        </w:rPr>
      </w:pPr>
      <w:r w:rsidRPr="00BC2BC4">
        <w:rPr>
          <w:kern w:val="2"/>
          <w:sz w:val="20"/>
        </w:rPr>
        <w:t>The Government of Canada has put in place a Procurement Ombudsperson.</w:t>
      </w:r>
      <w:r w:rsidRPr="00BC2BC4">
        <w:rPr>
          <w:rStyle w:val="FootnoteReference"/>
          <w:rFonts w:cs="Times New Roman"/>
          <w:kern w:val="2"/>
          <w:sz w:val="20"/>
        </w:rPr>
        <w:footnoteReference w:id="283"/>
      </w:r>
      <w:r w:rsidRPr="00BC2BC4">
        <w:rPr>
          <w:kern w:val="2"/>
          <w:sz w:val="20"/>
        </w:rPr>
        <w:t xml:space="preserve"> </w:t>
      </w:r>
      <w:r w:rsidR="009D1ECA" w:rsidRPr="00BC2BC4">
        <w:rPr>
          <w:kern w:val="2"/>
          <w:sz w:val="20"/>
        </w:rPr>
        <w:t xml:space="preserve">As set out in </w:t>
      </w:r>
      <w:r w:rsidR="00B60A58" w:rsidRPr="00BC2BC4">
        <w:rPr>
          <w:kern w:val="2"/>
          <w:sz w:val="20"/>
        </w:rPr>
        <w:t xml:space="preserve">subsection 22.1(3) of </w:t>
      </w:r>
      <w:r w:rsidR="009D1ECA" w:rsidRPr="00BC2BC4">
        <w:rPr>
          <w:kern w:val="2"/>
          <w:sz w:val="20"/>
        </w:rPr>
        <w:t xml:space="preserve">the </w:t>
      </w:r>
      <w:r w:rsidR="009D1ECA" w:rsidRPr="00BC2BC4">
        <w:rPr>
          <w:i/>
          <w:kern w:val="2"/>
          <w:sz w:val="20"/>
        </w:rPr>
        <w:t>Department of Public Works and Government Services Act</w:t>
      </w:r>
      <w:r w:rsidR="009D1ECA" w:rsidRPr="00BC2BC4">
        <w:rPr>
          <w:kern w:val="2"/>
          <w:sz w:val="20"/>
        </w:rPr>
        <w:t>, the mandate of the Procurement Ombudsman is to:</w:t>
      </w:r>
    </w:p>
    <w:p w14:paraId="60C30423" w14:textId="15EAA7A5" w:rsidR="00B60A58" w:rsidRPr="00BC2BC4" w:rsidRDefault="00AD7BE5" w:rsidP="00A75BC0">
      <w:pPr>
        <w:pStyle w:val="ListParagraph"/>
        <w:numPr>
          <w:ilvl w:val="0"/>
          <w:numId w:val="23"/>
        </w:numPr>
        <w:rPr>
          <w:kern w:val="2"/>
          <w:sz w:val="20"/>
        </w:rPr>
      </w:pPr>
      <w:r w:rsidRPr="00BC2BC4">
        <w:rPr>
          <w:kern w:val="2"/>
          <w:sz w:val="20"/>
        </w:rPr>
        <w:t>r</w:t>
      </w:r>
      <w:r w:rsidR="009D1ECA" w:rsidRPr="00BC2BC4">
        <w:rPr>
          <w:kern w:val="2"/>
          <w:sz w:val="20"/>
        </w:rPr>
        <w:t>eview the practices of federal departments for acquiring materiel and services to assess their fairness, openness and transparency and make any appropriate recommendations to the relevant department for the improvement of those practices;</w:t>
      </w:r>
    </w:p>
    <w:p w14:paraId="58348DD3" w14:textId="2F401AB2" w:rsidR="00B60A58" w:rsidRPr="00BC2BC4" w:rsidRDefault="00AD7BE5" w:rsidP="00A75BC0">
      <w:pPr>
        <w:pStyle w:val="ListParagraph"/>
        <w:numPr>
          <w:ilvl w:val="0"/>
          <w:numId w:val="23"/>
        </w:numPr>
        <w:rPr>
          <w:kern w:val="2"/>
          <w:sz w:val="20"/>
        </w:rPr>
      </w:pPr>
      <w:r w:rsidRPr="00BC2BC4">
        <w:rPr>
          <w:kern w:val="2"/>
          <w:sz w:val="20"/>
        </w:rPr>
        <w:t>r</w:t>
      </w:r>
      <w:r w:rsidR="009D1ECA" w:rsidRPr="00BC2BC4">
        <w:rPr>
          <w:kern w:val="2"/>
          <w:sz w:val="20"/>
        </w:rPr>
        <w:t>eview any complaint respecting the award of a contract for the acquisition of goods below the value of $25,000 and services below the value of $100,000 where the criteria of Canada's Agreement on Internal Trade would apply;</w:t>
      </w:r>
    </w:p>
    <w:p w14:paraId="7F716703" w14:textId="1EF81BCA" w:rsidR="00B60A58" w:rsidRPr="00BC2BC4" w:rsidRDefault="00AD7BE5" w:rsidP="00A75BC0">
      <w:pPr>
        <w:pStyle w:val="ListParagraph"/>
        <w:numPr>
          <w:ilvl w:val="0"/>
          <w:numId w:val="23"/>
        </w:numPr>
        <w:rPr>
          <w:kern w:val="2"/>
          <w:sz w:val="20"/>
        </w:rPr>
      </w:pPr>
      <w:r w:rsidRPr="00BC2BC4">
        <w:rPr>
          <w:kern w:val="2"/>
          <w:sz w:val="20"/>
        </w:rPr>
        <w:t>r</w:t>
      </w:r>
      <w:r w:rsidR="009D1ECA" w:rsidRPr="00BC2BC4">
        <w:rPr>
          <w:kern w:val="2"/>
          <w:sz w:val="20"/>
        </w:rPr>
        <w:t>eview any complaint respecting the administration of a contract for the acquisition of materiel or services by a department, regardless of dollar value;</w:t>
      </w:r>
      <w:r w:rsidR="00E123E0" w:rsidRPr="00BC2BC4">
        <w:rPr>
          <w:kern w:val="2"/>
          <w:sz w:val="20"/>
        </w:rPr>
        <w:t xml:space="preserve"> and</w:t>
      </w:r>
    </w:p>
    <w:p w14:paraId="5530BF66" w14:textId="2359BF91" w:rsidR="00620115" w:rsidRPr="00BC2BC4" w:rsidRDefault="00AD7BE5" w:rsidP="00A75BC0">
      <w:pPr>
        <w:pStyle w:val="ListParagraph"/>
        <w:numPr>
          <w:ilvl w:val="0"/>
          <w:numId w:val="23"/>
        </w:numPr>
        <w:spacing w:after="240"/>
        <w:rPr>
          <w:kern w:val="2"/>
          <w:sz w:val="20"/>
        </w:rPr>
      </w:pPr>
      <w:r w:rsidRPr="00BC2BC4">
        <w:rPr>
          <w:kern w:val="2"/>
          <w:sz w:val="20"/>
        </w:rPr>
        <w:t>e</w:t>
      </w:r>
      <w:r w:rsidR="009D1ECA" w:rsidRPr="00BC2BC4">
        <w:rPr>
          <w:kern w:val="2"/>
          <w:sz w:val="20"/>
        </w:rPr>
        <w:t>nsure that an alternative dispute resolution process is provided, if both parties to the contract agree to participate.</w:t>
      </w:r>
      <w:r w:rsidR="00EF7207" w:rsidRPr="00BC2BC4">
        <w:rPr>
          <w:rStyle w:val="FootnoteReference"/>
          <w:rFonts w:cs="Times New Roman"/>
          <w:kern w:val="2"/>
          <w:sz w:val="20"/>
        </w:rPr>
        <w:footnoteReference w:id="284"/>
      </w:r>
    </w:p>
    <w:p w14:paraId="47E05DAB" w14:textId="5B96232D" w:rsidR="006246BC" w:rsidRPr="00BC2BC4" w:rsidRDefault="006246BC" w:rsidP="001329FD">
      <w:pPr>
        <w:rPr>
          <w:kern w:val="2"/>
          <w:sz w:val="20"/>
        </w:rPr>
      </w:pPr>
      <w:r w:rsidRPr="00BC2BC4">
        <w:rPr>
          <w:kern w:val="2"/>
          <w:sz w:val="20"/>
        </w:rPr>
        <w:t xml:space="preserve">Current Procurement Ombudsman Lorenzo Ieraci has stated that the purpose of the </w:t>
      </w:r>
      <w:r w:rsidR="00EB307F" w:rsidRPr="00BC2BC4">
        <w:rPr>
          <w:kern w:val="2"/>
          <w:sz w:val="20"/>
        </w:rPr>
        <w:t xml:space="preserve">Office of the </w:t>
      </w:r>
      <w:r w:rsidRPr="00BC2BC4">
        <w:rPr>
          <w:kern w:val="2"/>
          <w:sz w:val="20"/>
        </w:rPr>
        <w:t>Procurement Ombudsman is to “bridge gaps that sometimes materialize between Canadian suppliers and federal organizations</w:t>
      </w:r>
      <w:r w:rsidR="00037350" w:rsidRPr="00BC2BC4">
        <w:rPr>
          <w:kern w:val="2"/>
          <w:sz w:val="20"/>
        </w:rPr>
        <w:t>.</w:t>
      </w:r>
      <w:r w:rsidRPr="00BC2BC4">
        <w:rPr>
          <w:kern w:val="2"/>
          <w:sz w:val="20"/>
        </w:rPr>
        <w:t>”</w:t>
      </w:r>
      <w:r w:rsidRPr="00BC2BC4">
        <w:rPr>
          <w:rStyle w:val="FootnoteReference"/>
          <w:rFonts w:cs="Times New Roman"/>
          <w:kern w:val="2"/>
          <w:sz w:val="20"/>
        </w:rPr>
        <w:footnoteReference w:id="285"/>
      </w:r>
      <w:r w:rsidRPr="00BC2BC4">
        <w:rPr>
          <w:kern w:val="2"/>
          <w:sz w:val="20"/>
        </w:rPr>
        <w:t xml:space="preserve"> </w:t>
      </w:r>
      <w:r w:rsidR="009406E7" w:rsidRPr="00BC2BC4">
        <w:rPr>
          <w:kern w:val="2"/>
          <w:sz w:val="20"/>
        </w:rPr>
        <w:t>Its objective is to promote fairness, openness, and transparency in federal government procurement. A primary function of the Procurement Ombudsman is to review the procurement practices of departments, including PWGSC, and publicly report on the results.</w:t>
      </w:r>
      <w:r w:rsidR="00E25EC7" w:rsidRPr="00BC2BC4">
        <w:rPr>
          <w:kern w:val="2"/>
          <w:sz w:val="20"/>
        </w:rPr>
        <w:t xml:space="preserve"> </w:t>
      </w:r>
      <w:r w:rsidR="009821A6" w:rsidRPr="00BC2BC4">
        <w:rPr>
          <w:kern w:val="2"/>
          <w:sz w:val="20"/>
        </w:rPr>
        <w:t>In order to ensure its independence</w:t>
      </w:r>
      <w:r w:rsidR="00EB307F" w:rsidRPr="00BC2BC4">
        <w:rPr>
          <w:kern w:val="2"/>
          <w:sz w:val="20"/>
        </w:rPr>
        <w:t xml:space="preserve"> in carrying out this duty</w:t>
      </w:r>
      <w:r w:rsidR="009821A6" w:rsidRPr="00BC2BC4">
        <w:rPr>
          <w:kern w:val="2"/>
          <w:sz w:val="20"/>
        </w:rPr>
        <w:t>, t</w:t>
      </w:r>
      <w:r w:rsidR="009710CC" w:rsidRPr="00BC2BC4">
        <w:rPr>
          <w:kern w:val="2"/>
          <w:sz w:val="20"/>
        </w:rPr>
        <w:t xml:space="preserve">he Procurement </w:t>
      </w:r>
      <w:r w:rsidR="009A3D49" w:rsidRPr="00BC2BC4">
        <w:rPr>
          <w:kern w:val="2"/>
          <w:sz w:val="20"/>
        </w:rPr>
        <w:t>Ombudsman operates at arm’</w:t>
      </w:r>
      <w:r w:rsidR="009710CC" w:rsidRPr="00BC2BC4">
        <w:rPr>
          <w:kern w:val="2"/>
          <w:sz w:val="20"/>
        </w:rPr>
        <w:t xml:space="preserve">s length from </w:t>
      </w:r>
      <w:r w:rsidR="009A3D49" w:rsidRPr="00BC2BC4">
        <w:rPr>
          <w:kern w:val="2"/>
          <w:sz w:val="20"/>
        </w:rPr>
        <w:t>PWGSC</w:t>
      </w:r>
      <w:r w:rsidR="009710CC" w:rsidRPr="00BC2BC4">
        <w:rPr>
          <w:kern w:val="2"/>
          <w:sz w:val="20"/>
        </w:rPr>
        <w:t xml:space="preserve">. </w:t>
      </w:r>
    </w:p>
    <w:p w14:paraId="216097AD" w14:textId="5AA2AEC4" w:rsidR="00D51BFF" w:rsidRPr="00BC2BC4" w:rsidRDefault="00335966" w:rsidP="001329FD">
      <w:pPr>
        <w:rPr>
          <w:kern w:val="2"/>
          <w:sz w:val="20"/>
        </w:rPr>
      </w:pPr>
      <w:r w:rsidRPr="00BC2BC4">
        <w:rPr>
          <w:kern w:val="2"/>
          <w:sz w:val="20"/>
        </w:rPr>
        <w:t xml:space="preserve">The </w:t>
      </w:r>
      <w:r w:rsidR="00AA00A3" w:rsidRPr="00BC2BC4">
        <w:rPr>
          <w:kern w:val="2"/>
          <w:sz w:val="20"/>
        </w:rPr>
        <w:t>Office</w:t>
      </w:r>
      <w:r w:rsidR="00D51BFF" w:rsidRPr="00BC2BC4">
        <w:rPr>
          <w:kern w:val="2"/>
          <w:sz w:val="20"/>
        </w:rPr>
        <w:t xml:space="preserve"> of the Procurement Ombudsman:</w:t>
      </w:r>
      <w:r w:rsidR="00407FDA" w:rsidRPr="00BC2BC4">
        <w:rPr>
          <w:rStyle w:val="FootnoteReference"/>
          <w:rFonts w:cs="Times New Roman"/>
          <w:kern w:val="2"/>
          <w:sz w:val="20"/>
        </w:rPr>
        <w:t xml:space="preserve"> </w:t>
      </w:r>
    </w:p>
    <w:p w14:paraId="5325D2C3" w14:textId="3A0ECE96" w:rsidR="00D51BFF" w:rsidRPr="00BC2BC4" w:rsidRDefault="00335966" w:rsidP="00A75BC0">
      <w:pPr>
        <w:pStyle w:val="ListParagraph"/>
        <w:numPr>
          <w:ilvl w:val="0"/>
          <w:numId w:val="24"/>
        </w:numPr>
        <w:rPr>
          <w:kern w:val="2"/>
          <w:sz w:val="20"/>
        </w:rPr>
      </w:pPr>
      <w:r w:rsidRPr="00BC2BC4">
        <w:rPr>
          <w:kern w:val="2"/>
          <w:sz w:val="20"/>
        </w:rPr>
        <w:t>works with suppliers and federal departments to clarify</w:t>
      </w:r>
      <w:r w:rsidR="00D51BFF" w:rsidRPr="00BC2BC4">
        <w:rPr>
          <w:kern w:val="2"/>
          <w:sz w:val="20"/>
        </w:rPr>
        <w:t xml:space="preserve"> and address procurement issues;</w:t>
      </w:r>
      <w:r w:rsidRPr="00BC2BC4">
        <w:rPr>
          <w:kern w:val="2"/>
          <w:sz w:val="20"/>
        </w:rPr>
        <w:t xml:space="preserve"> </w:t>
      </w:r>
    </w:p>
    <w:p w14:paraId="4493A118" w14:textId="2E3B27C3" w:rsidR="00D51BFF" w:rsidRPr="00BC2BC4" w:rsidRDefault="00335966" w:rsidP="00A75BC0">
      <w:pPr>
        <w:pStyle w:val="ListParagraph"/>
        <w:numPr>
          <w:ilvl w:val="0"/>
          <w:numId w:val="24"/>
        </w:numPr>
        <w:rPr>
          <w:kern w:val="2"/>
          <w:sz w:val="20"/>
        </w:rPr>
      </w:pPr>
      <w:r w:rsidRPr="00BC2BC4">
        <w:rPr>
          <w:kern w:val="2"/>
          <w:sz w:val="20"/>
        </w:rPr>
        <w:t>helps preserve the integrity of the federal procurement process by reviewing complaints from suppliers about the award or administration of a contract and making balanced recommendations</w:t>
      </w:r>
      <w:r w:rsidR="00D51BFF" w:rsidRPr="00BC2BC4">
        <w:rPr>
          <w:kern w:val="2"/>
          <w:sz w:val="20"/>
        </w:rPr>
        <w:t>;</w:t>
      </w:r>
    </w:p>
    <w:p w14:paraId="1254F64E" w14:textId="77777777" w:rsidR="00D51BFF" w:rsidRPr="00BC2BC4" w:rsidRDefault="00BD602B" w:rsidP="00A75BC0">
      <w:pPr>
        <w:pStyle w:val="ListParagraph"/>
        <w:numPr>
          <w:ilvl w:val="0"/>
          <w:numId w:val="24"/>
        </w:numPr>
        <w:rPr>
          <w:kern w:val="2"/>
          <w:sz w:val="20"/>
        </w:rPr>
      </w:pPr>
      <w:r w:rsidRPr="00BC2BC4">
        <w:rPr>
          <w:kern w:val="2"/>
          <w:sz w:val="20"/>
        </w:rPr>
        <w:t>helps facilitate the resolution of contract disputes through alternative dispute resolution</w:t>
      </w:r>
      <w:r w:rsidR="00D51BFF" w:rsidRPr="00BC2BC4">
        <w:rPr>
          <w:kern w:val="2"/>
          <w:sz w:val="20"/>
        </w:rPr>
        <w:t>;</w:t>
      </w:r>
      <w:r w:rsidRPr="00BC2BC4">
        <w:rPr>
          <w:kern w:val="2"/>
          <w:sz w:val="20"/>
        </w:rPr>
        <w:t xml:space="preserve"> </w:t>
      </w:r>
    </w:p>
    <w:p w14:paraId="0100F205" w14:textId="14CE7EA0" w:rsidR="000B155F" w:rsidRPr="00BC2BC4" w:rsidRDefault="00BD602B" w:rsidP="00A75BC0">
      <w:pPr>
        <w:pStyle w:val="ListParagraph"/>
        <w:numPr>
          <w:ilvl w:val="0"/>
          <w:numId w:val="24"/>
        </w:numPr>
        <w:rPr>
          <w:kern w:val="2"/>
          <w:sz w:val="20"/>
        </w:rPr>
      </w:pPr>
      <w:r w:rsidRPr="00BC2BC4">
        <w:rPr>
          <w:kern w:val="2"/>
          <w:sz w:val="20"/>
        </w:rPr>
        <w:t>review</w:t>
      </w:r>
      <w:r w:rsidR="004C7408" w:rsidRPr="00BC2BC4">
        <w:rPr>
          <w:kern w:val="2"/>
          <w:sz w:val="20"/>
        </w:rPr>
        <w:t>s</w:t>
      </w:r>
      <w:r w:rsidRPr="00BC2BC4">
        <w:rPr>
          <w:kern w:val="2"/>
          <w:sz w:val="20"/>
        </w:rPr>
        <w:t xml:space="preserve"> procurement practices in one or across a number of federal departments</w:t>
      </w:r>
      <w:r w:rsidR="00D51BFF" w:rsidRPr="00BC2BC4">
        <w:rPr>
          <w:kern w:val="2"/>
          <w:sz w:val="20"/>
        </w:rPr>
        <w:t xml:space="preserve"> where recurring or systemic procurement issues are present;</w:t>
      </w:r>
      <w:r w:rsidRPr="00BC2BC4">
        <w:rPr>
          <w:kern w:val="2"/>
          <w:sz w:val="20"/>
        </w:rPr>
        <w:t xml:space="preserve"> </w:t>
      </w:r>
    </w:p>
    <w:p w14:paraId="23CA4337" w14:textId="6DFF40B1" w:rsidR="000B155F" w:rsidRPr="00BC2BC4" w:rsidRDefault="00BD602B" w:rsidP="00A75BC0">
      <w:pPr>
        <w:pStyle w:val="ListParagraph"/>
        <w:numPr>
          <w:ilvl w:val="0"/>
          <w:numId w:val="24"/>
        </w:numPr>
        <w:rPr>
          <w:kern w:val="2"/>
          <w:sz w:val="20"/>
        </w:rPr>
      </w:pPr>
      <w:r w:rsidRPr="00BC2BC4">
        <w:rPr>
          <w:kern w:val="2"/>
          <w:sz w:val="20"/>
        </w:rPr>
        <w:t>make</w:t>
      </w:r>
      <w:r w:rsidR="000B155F" w:rsidRPr="00BC2BC4">
        <w:rPr>
          <w:kern w:val="2"/>
          <w:sz w:val="20"/>
        </w:rPr>
        <w:t>s</w:t>
      </w:r>
      <w:r w:rsidRPr="00BC2BC4">
        <w:rPr>
          <w:kern w:val="2"/>
          <w:sz w:val="20"/>
        </w:rPr>
        <w:t xml:space="preserve"> recommendations to strengthen fairness, openness</w:t>
      </w:r>
      <w:r w:rsidR="000B155F" w:rsidRPr="00BC2BC4">
        <w:rPr>
          <w:kern w:val="2"/>
          <w:sz w:val="20"/>
        </w:rPr>
        <w:t>,</w:t>
      </w:r>
      <w:r w:rsidRPr="00BC2BC4">
        <w:rPr>
          <w:kern w:val="2"/>
          <w:sz w:val="20"/>
        </w:rPr>
        <w:t xml:space="preserve"> and transparency i</w:t>
      </w:r>
      <w:r w:rsidR="000B155F" w:rsidRPr="00BC2BC4">
        <w:rPr>
          <w:kern w:val="2"/>
          <w:sz w:val="20"/>
        </w:rPr>
        <w:t>n federal procurement practices;</w:t>
      </w:r>
      <w:r w:rsidRPr="00BC2BC4">
        <w:rPr>
          <w:kern w:val="2"/>
          <w:sz w:val="20"/>
        </w:rPr>
        <w:t xml:space="preserve"> </w:t>
      </w:r>
      <w:r w:rsidR="000B155F" w:rsidRPr="00BC2BC4">
        <w:rPr>
          <w:kern w:val="2"/>
          <w:sz w:val="20"/>
        </w:rPr>
        <w:t>and</w:t>
      </w:r>
    </w:p>
    <w:p w14:paraId="4D42A081" w14:textId="40F4495C" w:rsidR="00937299" w:rsidRPr="00BC2BC4" w:rsidRDefault="00BD602B" w:rsidP="00A75BC0">
      <w:pPr>
        <w:pStyle w:val="ListParagraph"/>
        <w:numPr>
          <w:ilvl w:val="0"/>
          <w:numId w:val="24"/>
        </w:numPr>
        <w:spacing w:after="240"/>
        <w:rPr>
          <w:kern w:val="2"/>
          <w:sz w:val="20"/>
        </w:rPr>
      </w:pPr>
      <w:r w:rsidRPr="00BC2BC4">
        <w:rPr>
          <w:kern w:val="2"/>
          <w:sz w:val="20"/>
        </w:rPr>
        <w:t>shares information on effective practices identified in the federal government and other jurisdictions to highlight leadership and reinforce positive initiatives in the field of procurement.</w:t>
      </w:r>
      <w:r w:rsidR="00EF7207" w:rsidRPr="00BC2BC4">
        <w:rPr>
          <w:rStyle w:val="FootnoteReference"/>
          <w:rFonts w:cs="Times New Roman"/>
          <w:kern w:val="2"/>
          <w:sz w:val="20"/>
        </w:rPr>
        <w:footnoteReference w:id="286"/>
      </w:r>
    </w:p>
    <w:p w14:paraId="4A2B8F56" w14:textId="1FAD4AF5" w:rsidR="00B70C11" w:rsidRPr="00BC2BC4" w:rsidRDefault="00504137" w:rsidP="00ED3317">
      <w:pPr>
        <w:pStyle w:val="Heading1"/>
        <w:rPr>
          <w:sz w:val="28"/>
        </w:rPr>
      </w:pPr>
      <w:bookmarkStart w:id="73" w:name="_Toc502666015"/>
      <w:r w:rsidRPr="00BC2BC4">
        <w:rPr>
          <w:sz w:val="28"/>
        </w:rPr>
        <w:t>Evaluation</w:t>
      </w:r>
      <w:r w:rsidR="00B70C11" w:rsidRPr="00BC2BC4">
        <w:rPr>
          <w:sz w:val="28"/>
        </w:rPr>
        <w:t xml:space="preserve"> of Procurement</w:t>
      </w:r>
      <w:r w:rsidR="0099191B" w:rsidRPr="00BC2BC4">
        <w:rPr>
          <w:sz w:val="28"/>
        </w:rPr>
        <w:t xml:space="preserve"> La</w:t>
      </w:r>
      <w:r w:rsidR="00B70C11" w:rsidRPr="00BC2BC4">
        <w:rPr>
          <w:sz w:val="28"/>
        </w:rPr>
        <w:t>w</w:t>
      </w:r>
      <w:r w:rsidR="00586A66" w:rsidRPr="00BC2BC4">
        <w:rPr>
          <w:sz w:val="28"/>
        </w:rPr>
        <w:t>s and Procedures</w:t>
      </w:r>
      <w:bookmarkEnd w:id="72"/>
      <w:bookmarkEnd w:id="73"/>
    </w:p>
    <w:p w14:paraId="0426A392" w14:textId="3BA86FB8" w:rsidR="00661E83" w:rsidRPr="00BC2BC4" w:rsidRDefault="00661E83" w:rsidP="001329FD">
      <w:pPr>
        <w:pStyle w:val="Heading2"/>
        <w:rPr>
          <w:kern w:val="2"/>
          <w:sz w:val="24"/>
        </w:rPr>
      </w:pPr>
      <w:bookmarkStart w:id="74" w:name="_Toc424485049"/>
      <w:r w:rsidRPr="00BC2BC4">
        <w:rPr>
          <w:kern w:val="2"/>
          <w:sz w:val="24"/>
        </w:rPr>
        <w:t>OECD Review of Country Compliance</w:t>
      </w:r>
      <w:bookmarkEnd w:id="74"/>
    </w:p>
    <w:p w14:paraId="595DDCE6" w14:textId="10FD0BE5" w:rsidR="004E11C5" w:rsidRPr="00BC2BC4" w:rsidRDefault="00550F28" w:rsidP="003F14E9">
      <w:pPr>
        <w:rPr>
          <w:rFonts w:cs="Times New Roman"/>
          <w:kern w:val="2"/>
          <w:sz w:val="20"/>
        </w:rPr>
      </w:pPr>
      <w:r w:rsidRPr="00BC2BC4">
        <w:rPr>
          <w:rFonts w:cs="Times New Roman"/>
          <w:kern w:val="2"/>
          <w:sz w:val="20"/>
        </w:rPr>
        <w:t xml:space="preserve">The OECD established the OECD Working Group on Bribery (Working Group), a </w:t>
      </w:r>
      <w:r w:rsidR="00037350" w:rsidRPr="00BC2BC4">
        <w:rPr>
          <w:rFonts w:cs="Times New Roman"/>
          <w:kern w:val="2"/>
          <w:sz w:val="20"/>
        </w:rPr>
        <w:t>peer-monitoring</w:t>
      </w:r>
      <w:r w:rsidRPr="00BC2BC4">
        <w:rPr>
          <w:rFonts w:cs="Times New Roman"/>
          <w:kern w:val="2"/>
          <w:sz w:val="20"/>
        </w:rPr>
        <w:t xml:space="preserve"> group, to evaluate each country’s performance in implementing the OECD Anti-Bribery Convention. Phase 1 evaluated the country’s legislation, phase 2 evaluated whether the country was applying their legislation and phase 3 evaluated the country’s enforcement of the Convention. In each </w:t>
      </w:r>
      <w:r w:rsidR="00037350" w:rsidRPr="00BC2BC4">
        <w:rPr>
          <w:rFonts w:cs="Times New Roman"/>
          <w:kern w:val="2"/>
          <w:sz w:val="20"/>
        </w:rPr>
        <w:t>phase,</w:t>
      </w:r>
      <w:r w:rsidRPr="00BC2BC4">
        <w:rPr>
          <w:rFonts w:cs="Times New Roman"/>
          <w:kern w:val="2"/>
          <w:sz w:val="20"/>
        </w:rPr>
        <w:t xml:space="preserve"> the Working Group provided recommendations for the country to improve their compliance. The Working Group then published a follow</w:t>
      </w:r>
      <w:r w:rsidR="00504137" w:rsidRPr="00BC2BC4">
        <w:rPr>
          <w:rFonts w:cs="Times New Roman"/>
          <w:kern w:val="2"/>
          <w:sz w:val="20"/>
        </w:rPr>
        <w:t>-</w:t>
      </w:r>
      <w:r w:rsidRPr="00BC2BC4">
        <w:rPr>
          <w:rFonts w:cs="Times New Roman"/>
          <w:kern w:val="2"/>
          <w:sz w:val="20"/>
        </w:rPr>
        <w:t>up on the recommendations of each phase to evaluate whether the country ha</w:t>
      </w:r>
      <w:r w:rsidR="00067C79" w:rsidRPr="00BC2BC4">
        <w:rPr>
          <w:rFonts w:cs="Times New Roman"/>
          <w:kern w:val="2"/>
          <w:sz w:val="20"/>
        </w:rPr>
        <w:t>d</w:t>
      </w:r>
      <w:r w:rsidRPr="00BC2BC4">
        <w:rPr>
          <w:rFonts w:cs="Times New Roman"/>
          <w:kern w:val="2"/>
          <w:sz w:val="20"/>
        </w:rPr>
        <w:t xml:space="preserve"> implemented the recommendations.</w:t>
      </w:r>
      <w:r w:rsidR="00E81682" w:rsidRPr="00BC2BC4">
        <w:rPr>
          <w:rStyle w:val="FootnoteReference"/>
          <w:rFonts w:cs="Times New Roman"/>
          <w:kern w:val="2"/>
          <w:sz w:val="20"/>
        </w:rPr>
        <w:footnoteReference w:id="287"/>
      </w:r>
      <w:r w:rsidRPr="00BC2BC4">
        <w:rPr>
          <w:rFonts w:cs="Times New Roman"/>
          <w:kern w:val="2"/>
          <w:sz w:val="20"/>
        </w:rPr>
        <w:t xml:space="preserve"> </w:t>
      </w:r>
    </w:p>
    <w:p w14:paraId="00F03AA0" w14:textId="6E77C76D" w:rsidR="00586A66" w:rsidRPr="00BC2BC4" w:rsidRDefault="00586A66" w:rsidP="00B96CDF">
      <w:pPr>
        <w:pStyle w:val="Heading3"/>
        <w:rPr>
          <w:kern w:val="2"/>
          <w:sz w:val="22"/>
        </w:rPr>
      </w:pPr>
      <w:bookmarkStart w:id="75" w:name="_Toc424485050"/>
      <w:r w:rsidRPr="00BC2BC4">
        <w:rPr>
          <w:kern w:val="2"/>
          <w:sz w:val="22"/>
        </w:rPr>
        <w:t>US Law and Procedure</w:t>
      </w:r>
      <w:bookmarkEnd w:id="75"/>
    </w:p>
    <w:p w14:paraId="1B05C227" w14:textId="3238A167" w:rsidR="005841A8" w:rsidRPr="00BC2BC4" w:rsidRDefault="004E11C5" w:rsidP="003F14E9">
      <w:pPr>
        <w:rPr>
          <w:rFonts w:cs="Times New Roman"/>
          <w:kern w:val="2"/>
          <w:sz w:val="20"/>
        </w:rPr>
      </w:pPr>
      <w:r w:rsidRPr="00BC2BC4">
        <w:rPr>
          <w:rFonts w:cs="Times New Roman"/>
          <w:kern w:val="2"/>
          <w:sz w:val="20"/>
        </w:rPr>
        <w:t xml:space="preserve">The Phase 3 Report on Implementing the OECD Anti-Bribery Convention in the </w:t>
      </w:r>
      <w:r w:rsidR="00A369A0" w:rsidRPr="00BC2BC4">
        <w:rPr>
          <w:rFonts w:cs="Times New Roman"/>
          <w:kern w:val="2"/>
          <w:sz w:val="20"/>
        </w:rPr>
        <w:t>US</w:t>
      </w:r>
      <w:r w:rsidRPr="00BC2BC4">
        <w:rPr>
          <w:rFonts w:cs="Times New Roman"/>
          <w:kern w:val="2"/>
          <w:sz w:val="20"/>
        </w:rPr>
        <w:t xml:space="preserve"> did not </w:t>
      </w:r>
      <w:r w:rsidR="00A369A0" w:rsidRPr="00BC2BC4">
        <w:rPr>
          <w:rFonts w:cs="Times New Roman"/>
          <w:kern w:val="2"/>
          <w:sz w:val="20"/>
        </w:rPr>
        <w:t>criticize the US’s implementation of</w:t>
      </w:r>
      <w:r w:rsidRPr="00BC2BC4">
        <w:rPr>
          <w:rFonts w:cs="Times New Roman"/>
          <w:kern w:val="2"/>
          <w:sz w:val="20"/>
        </w:rPr>
        <w:t xml:space="preserve"> the Convention in respect of </w:t>
      </w:r>
      <w:r w:rsidR="00BE3B24" w:rsidRPr="00BC2BC4">
        <w:rPr>
          <w:rFonts w:cs="Times New Roman"/>
          <w:kern w:val="2"/>
          <w:sz w:val="20"/>
        </w:rPr>
        <w:t xml:space="preserve">its </w:t>
      </w:r>
      <w:r w:rsidRPr="00BC2BC4">
        <w:rPr>
          <w:rFonts w:cs="Times New Roman"/>
          <w:kern w:val="2"/>
          <w:sz w:val="20"/>
        </w:rPr>
        <w:t xml:space="preserve">public procurement regime. </w:t>
      </w:r>
      <w:r w:rsidR="00A369A0" w:rsidRPr="00BC2BC4">
        <w:rPr>
          <w:rFonts w:cs="Times New Roman"/>
          <w:kern w:val="2"/>
          <w:sz w:val="20"/>
        </w:rPr>
        <w:t>However, i</w:t>
      </w:r>
      <w:r w:rsidRPr="00BC2BC4">
        <w:rPr>
          <w:rFonts w:cs="Times New Roman"/>
          <w:kern w:val="2"/>
          <w:sz w:val="20"/>
        </w:rPr>
        <w:t>t did</w:t>
      </w:r>
      <w:r w:rsidR="00A369A0" w:rsidRPr="00BC2BC4">
        <w:rPr>
          <w:rFonts w:cs="Times New Roman"/>
          <w:kern w:val="2"/>
          <w:sz w:val="20"/>
        </w:rPr>
        <w:t xml:space="preserve"> </w:t>
      </w:r>
      <w:r w:rsidRPr="00BC2BC4">
        <w:rPr>
          <w:rFonts w:cs="Times New Roman"/>
          <w:kern w:val="2"/>
          <w:sz w:val="20"/>
        </w:rPr>
        <w:t>note that</w:t>
      </w:r>
      <w:r w:rsidR="00A369A0" w:rsidRPr="00BC2BC4">
        <w:rPr>
          <w:rFonts w:cs="Times New Roman"/>
          <w:kern w:val="2"/>
          <w:sz w:val="20"/>
        </w:rPr>
        <w:t xml:space="preserve"> the US rarely chose to debar companies </w:t>
      </w:r>
      <w:r w:rsidR="00BE3B24" w:rsidRPr="00BC2BC4">
        <w:rPr>
          <w:rFonts w:cs="Times New Roman"/>
          <w:kern w:val="2"/>
          <w:sz w:val="20"/>
        </w:rPr>
        <w:t xml:space="preserve">that </w:t>
      </w:r>
      <w:r w:rsidR="00A369A0" w:rsidRPr="00BC2BC4">
        <w:rPr>
          <w:rFonts w:cs="Times New Roman"/>
          <w:kern w:val="2"/>
          <w:sz w:val="20"/>
        </w:rPr>
        <w:t xml:space="preserve">were convicted of bribery of a foreign public official even though </w:t>
      </w:r>
      <w:r w:rsidRPr="00BC2BC4">
        <w:rPr>
          <w:rFonts w:cs="Times New Roman"/>
          <w:kern w:val="2"/>
          <w:sz w:val="20"/>
        </w:rPr>
        <w:t xml:space="preserve">American laws provided that companies could be debarred from federal contracts for up to </w:t>
      </w:r>
      <w:r w:rsidR="00BE3B24" w:rsidRPr="00BC2BC4">
        <w:rPr>
          <w:rFonts w:cs="Times New Roman"/>
          <w:kern w:val="2"/>
          <w:sz w:val="20"/>
        </w:rPr>
        <w:t>three</w:t>
      </w:r>
      <w:r w:rsidRPr="00BC2BC4">
        <w:rPr>
          <w:rFonts w:cs="Times New Roman"/>
          <w:kern w:val="2"/>
          <w:sz w:val="20"/>
        </w:rPr>
        <w:t xml:space="preserve"> years for convictions under domestic and foreign anti-bribery laws</w:t>
      </w:r>
      <w:r w:rsidR="00A369A0" w:rsidRPr="00BC2BC4">
        <w:rPr>
          <w:rFonts w:cs="Times New Roman"/>
          <w:kern w:val="2"/>
          <w:sz w:val="20"/>
        </w:rPr>
        <w:t>.</w:t>
      </w:r>
      <w:r w:rsidRPr="00BC2BC4">
        <w:rPr>
          <w:rFonts w:cs="Times New Roman"/>
          <w:kern w:val="2"/>
          <w:sz w:val="20"/>
        </w:rPr>
        <w:t xml:space="preserve"> </w:t>
      </w:r>
      <w:r w:rsidR="005841A8" w:rsidRPr="00BC2BC4">
        <w:rPr>
          <w:rFonts w:cs="Times New Roman"/>
          <w:kern w:val="2"/>
          <w:sz w:val="20"/>
        </w:rPr>
        <w:t xml:space="preserve">Recommendation 4 </w:t>
      </w:r>
      <w:r w:rsidR="00097D80" w:rsidRPr="00BC2BC4">
        <w:rPr>
          <w:rFonts w:cs="Times New Roman"/>
          <w:kern w:val="2"/>
          <w:sz w:val="20"/>
        </w:rPr>
        <w:t>suggested</w:t>
      </w:r>
      <w:r w:rsidR="005841A8" w:rsidRPr="00BC2BC4">
        <w:rPr>
          <w:rFonts w:cs="Times New Roman"/>
          <w:kern w:val="2"/>
          <w:sz w:val="20"/>
        </w:rPr>
        <w:t xml:space="preserve"> debarments</w:t>
      </w:r>
      <w:r w:rsidR="000F2AC4" w:rsidRPr="00BC2BC4">
        <w:rPr>
          <w:rFonts w:cs="Times New Roman"/>
          <w:kern w:val="2"/>
          <w:sz w:val="20"/>
        </w:rPr>
        <w:t xml:space="preserve"> </w:t>
      </w:r>
      <w:r w:rsidR="005841A8" w:rsidRPr="00BC2BC4">
        <w:rPr>
          <w:rFonts w:cs="Times New Roman"/>
          <w:kern w:val="2"/>
          <w:sz w:val="20"/>
        </w:rPr>
        <w:t>be applied equally</w:t>
      </w:r>
      <w:r w:rsidR="00A369A0" w:rsidRPr="00BC2BC4">
        <w:rPr>
          <w:rFonts w:cs="Times New Roman"/>
          <w:kern w:val="2"/>
          <w:sz w:val="20"/>
        </w:rPr>
        <w:t xml:space="preserve"> to companies convicted of domestic and foreign bribery</w:t>
      </w:r>
      <w:r w:rsidR="00BE3B24" w:rsidRPr="00BC2BC4">
        <w:rPr>
          <w:rFonts w:cs="Times New Roman"/>
          <w:kern w:val="2"/>
          <w:sz w:val="20"/>
        </w:rPr>
        <w:t>.</w:t>
      </w:r>
      <w:r w:rsidR="00971106" w:rsidRPr="00BC2BC4">
        <w:rPr>
          <w:rStyle w:val="FootnoteReference"/>
          <w:kern w:val="2"/>
          <w:sz w:val="20"/>
          <w:szCs w:val="21"/>
        </w:rPr>
        <w:footnoteReference w:id="288"/>
      </w:r>
    </w:p>
    <w:p w14:paraId="70C42CAF" w14:textId="71364B57" w:rsidR="005841A8" w:rsidRPr="00BC2BC4" w:rsidRDefault="005841A8" w:rsidP="008570E3">
      <w:pPr>
        <w:rPr>
          <w:kern w:val="2"/>
          <w:sz w:val="20"/>
          <w:szCs w:val="21"/>
        </w:rPr>
      </w:pPr>
      <w:r w:rsidRPr="00BC2BC4">
        <w:rPr>
          <w:rFonts w:cs="Times New Roman"/>
          <w:kern w:val="2"/>
          <w:sz w:val="20"/>
        </w:rPr>
        <w:t xml:space="preserve">The Working Group’s </w:t>
      </w:r>
      <w:r w:rsidR="00EC5900" w:rsidRPr="00BC2BC4">
        <w:rPr>
          <w:rFonts w:cs="Times New Roman"/>
          <w:kern w:val="2"/>
          <w:sz w:val="20"/>
        </w:rPr>
        <w:t xml:space="preserve">2012 </w:t>
      </w:r>
      <w:r w:rsidRPr="00BC2BC4">
        <w:rPr>
          <w:rFonts w:cs="Times New Roman"/>
          <w:kern w:val="2"/>
          <w:sz w:val="20"/>
        </w:rPr>
        <w:t>follow</w:t>
      </w:r>
      <w:r w:rsidR="00A369A0" w:rsidRPr="00BC2BC4">
        <w:rPr>
          <w:rFonts w:cs="Times New Roman"/>
          <w:kern w:val="2"/>
          <w:sz w:val="20"/>
        </w:rPr>
        <w:t>-</w:t>
      </w:r>
      <w:r w:rsidRPr="00BC2BC4">
        <w:rPr>
          <w:rFonts w:cs="Times New Roman"/>
          <w:kern w:val="2"/>
          <w:sz w:val="20"/>
        </w:rPr>
        <w:t xml:space="preserve">up </w:t>
      </w:r>
      <w:r w:rsidR="00A369A0" w:rsidRPr="00BC2BC4">
        <w:rPr>
          <w:rFonts w:cs="Times New Roman"/>
          <w:kern w:val="2"/>
          <w:sz w:val="20"/>
        </w:rPr>
        <w:t xml:space="preserve">for the US </w:t>
      </w:r>
      <w:r w:rsidR="00EC5900" w:rsidRPr="00BC2BC4">
        <w:rPr>
          <w:rFonts w:cs="Times New Roman"/>
          <w:kern w:val="2"/>
          <w:sz w:val="20"/>
        </w:rPr>
        <w:t>described the actions taken to implement the OECD’</w:t>
      </w:r>
      <w:r w:rsidR="00D42824" w:rsidRPr="00BC2BC4">
        <w:rPr>
          <w:rFonts w:cs="Times New Roman"/>
          <w:kern w:val="2"/>
          <w:sz w:val="20"/>
        </w:rPr>
        <w:t>s recommendation</w:t>
      </w:r>
      <w:r w:rsidR="00EC5900" w:rsidRPr="00BC2BC4">
        <w:rPr>
          <w:rFonts w:cs="Times New Roman"/>
          <w:kern w:val="2"/>
          <w:sz w:val="20"/>
        </w:rPr>
        <w:t xml:space="preserve"> on debarment. The follow-up </w:t>
      </w:r>
      <w:r w:rsidR="00D42824" w:rsidRPr="00BC2BC4">
        <w:rPr>
          <w:rFonts w:cs="Times New Roman"/>
          <w:kern w:val="2"/>
          <w:sz w:val="20"/>
        </w:rPr>
        <w:t xml:space="preserve">report </w:t>
      </w:r>
      <w:r w:rsidR="00EC5900" w:rsidRPr="00BC2BC4">
        <w:rPr>
          <w:rFonts w:cs="Times New Roman"/>
          <w:kern w:val="2"/>
          <w:sz w:val="20"/>
        </w:rPr>
        <w:t>confirmed</w:t>
      </w:r>
      <w:r w:rsidRPr="00BC2BC4">
        <w:rPr>
          <w:rFonts w:cs="Times New Roman"/>
          <w:kern w:val="2"/>
          <w:sz w:val="20"/>
        </w:rPr>
        <w:t xml:space="preserve"> that there is a statutory</w:t>
      </w:r>
      <w:r w:rsidR="00376B4C" w:rsidRPr="00BC2BC4">
        <w:rPr>
          <w:rFonts w:cs="Times New Roman"/>
          <w:kern w:val="2"/>
          <w:sz w:val="20"/>
        </w:rPr>
        <w:t xml:space="preserve"> mechanism for the debarment of</w:t>
      </w:r>
      <w:r w:rsidRPr="00BC2BC4">
        <w:rPr>
          <w:rFonts w:cs="Times New Roman"/>
          <w:kern w:val="2"/>
          <w:sz w:val="20"/>
        </w:rPr>
        <w:t xml:space="preserve"> persons convicted of violations of the </w:t>
      </w:r>
      <w:r w:rsidRPr="00BC2BC4">
        <w:rPr>
          <w:rFonts w:cs="Times New Roman"/>
          <w:i/>
          <w:kern w:val="2"/>
          <w:sz w:val="20"/>
        </w:rPr>
        <w:t>Arms Export Control Act.</w:t>
      </w:r>
      <w:r w:rsidR="00C60173" w:rsidRPr="00BC2BC4">
        <w:rPr>
          <w:rStyle w:val="FootnoteReference"/>
          <w:rFonts w:cs="Times New Roman"/>
          <w:kern w:val="2"/>
          <w:sz w:val="20"/>
        </w:rPr>
        <w:footnoteReference w:id="289"/>
      </w:r>
      <w:r w:rsidRPr="00BC2BC4">
        <w:rPr>
          <w:rFonts w:cs="Times New Roman"/>
          <w:i/>
          <w:kern w:val="2"/>
          <w:sz w:val="20"/>
        </w:rPr>
        <w:t xml:space="preserve"> </w:t>
      </w:r>
      <w:r w:rsidR="00EC5900" w:rsidRPr="00BC2BC4">
        <w:rPr>
          <w:rFonts w:cs="Times New Roman"/>
          <w:kern w:val="2"/>
          <w:sz w:val="20"/>
        </w:rPr>
        <w:t>In addition,</w:t>
      </w:r>
      <w:r w:rsidR="00D42824" w:rsidRPr="00BC2BC4">
        <w:rPr>
          <w:rFonts w:cs="Times New Roman"/>
          <w:kern w:val="2"/>
          <w:sz w:val="20"/>
        </w:rPr>
        <w:t xml:space="preserve"> the report noted that</w:t>
      </w:r>
      <w:r w:rsidR="00EC5900" w:rsidRPr="00BC2BC4">
        <w:rPr>
          <w:rFonts w:cs="Times New Roman"/>
          <w:kern w:val="2"/>
          <w:sz w:val="20"/>
        </w:rPr>
        <w:t xml:space="preserve"> a</w:t>
      </w:r>
      <w:r w:rsidRPr="00BC2BC4">
        <w:rPr>
          <w:rFonts w:cs="Times New Roman"/>
          <w:kern w:val="2"/>
          <w:sz w:val="20"/>
        </w:rPr>
        <w:t xml:space="preserve">lthough the </w:t>
      </w:r>
      <w:r w:rsidRPr="00BC2BC4">
        <w:rPr>
          <w:rFonts w:cs="Times New Roman"/>
          <w:i/>
          <w:kern w:val="2"/>
          <w:sz w:val="20"/>
        </w:rPr>
        <w:t xml:space="preserve">FCPA </w:t>
      </w:r>
      <w:r w:rsidRPr="00BC2BC4">
        <w:rPr>
          <w:rFonts w:cs="Times New Roman"/>
          <w:kern w:val="2"/>
          <w:sz w:val="20"/>
        </w:rPr>
        <w:t xml:space="preserve">does not </w:t>
      </w:r>
      <w:r w:rsidR="00971106" w:rsidRPr="00BC2BC4">
        <w:rPr>
          <w:rFonts w:cs="Times New Roman"/>
          <w:kern w:val="2"/>
          <w:sz w:val="20"/>
        </w:rPr>
        <w:t>impose mandatory</w:t>
      </w:r>
      <w:r w:rsidRPr="00BC2BC4">
        <w:rPr>
          <w:rFonts w:cs="Times New Roman"/>
          <w:kern w:val="2"/>
          <w:sz w:val="20"/>
        </w:rPr>
        <w:t xml:space="preserve"> statutory debarment, debarment </w:t>
      </w:r>
      <w:r w:rsidR="00D42824" w:rsidRPr="00BC2BC4">
        <w:rPr>
          <w:rFonts w:cs="Times New Roman"/>
          <w:kern w:val="2"/>
          <w:sz w:val="20"/>
        </w:rPr>
        <w:t>wa</w:t>
      </w:r>
      <w:r w:rsidRPr="00BC2BC4">
        <w:rPr>
          <w:rFonts w:cs="Times New Roman"/>
          <w:kern w:val="2"/>
          <w:sz w:val="20"/>
        </w:rPr>
        <w:t>s usually the result of indictment and/or conviction</w:t>
      </w:r>
      <w:r w:rsidR="00AF432A" w:rsidRPr="00BC2BC4">
        <w:rPr>
          <w:kern w:val="2"/>
          <w:sz w:val="20"/>
          <w:szCs w:val="21"/>
        </w:rPr>
        <w:t>.</w:t>
      </w:r>
      <w:r w:rsidRPr="00BC2BC4">
        <w:rPr>
          <w:rStyle w:val="FootnoteReference"/>
          <w:kern w:val="2"/>
          <w:sz w:val="20"/>
          <w:szCs w:val="21"/>
        </w:rPr>
        <w:footnoteReference w:id="290"/>
      </w:r>
    </w:p>
    <w:p w14:paraId="30F33A20" w14:textId="10A6D7E4" w:rsidR="00586A66" w:rsidRPr="00BC2BC4" w:rsidRDefault="00586A66" w:rsidP="00B96CDF">
      <w:pPr>
        <w:pStyle w:val="Heading3"/>
        <w:rPr>
          <w:kern w:val="2"/>
          <w:sz w:val="22"/>
        </w:rPr>
      </w:pPr>
      <w:bookmarkStart w:id="76" w:name="_Toc424485051"/>
      <w:r w:rsidRPr="00BC2BC4">
        <w:rPr>
          <w:kern w:val="2"/>
          <w:sz w:val="22"/>
        </w:rPr>
        <w:t>UK Law and Procedure</w:t>
      </w:r>
      <w:bookmarkEnd w:id="76"/>
    </w:p>
    <w:p w14:paraId="7E099D89" w14:textId="0F18084F" w:rsidR="005841A8" w:rsidRPr="00BC2BC4" w:rsidRDefault="005841A8" w:rsidP="003F14E9">
      <w:pPr>
        <w:rPr>
          <w:rFonts w:cs="Times New Roman"/>
          <w:kern w:val="2"/>
          <w:sz w:val="20"/>
        </w:rPr>
      </w:pPr>
      <w:r w:rsidRPr="00BC2BC4">
        <w:rPr>
          <w:rFonts w:cs="Times New Roman"/>
          <w:kern w:val="2"/>
          <w:sz w:val="20"/>
        </w:rPr>
        <w:t xml:space="preserve">The Phase 3 Report on Implementing the OECD Anti-Bribery Convention in the </w:t>
      </w:r>
      <w:r w:rsidR="00D42824" w:rsidRPr="00BC2BC4">
        <w:rPr>
          <w:rFonts w:cs="Times New Roman"/>
          <w:kern w:val="2"/>
          <w:sz w:val="20"/>
        </w:rPr>
        <w:t>UK</w:t>
      </w:r>
      <w:r w:rsidR="00376B4C" w:rsidRPr="00BC2BC4">
        <w:rPr>
          <w:rFonts w:cs="Times New Roman"/>
          <w:kern w:val="2"/>
          <w:sz w:val="20"/>
        </w:rPr>
        <w:t xml:space="preserve"> advanced</w:t>
      </w:r>
      <w:r w:rsidR="00586A66" w:rsidRPr="00BC2BC4">
        <w:rPr>
          <w:rFonts w:cs="Times New Roman"/>
          <w:kern w:val="2"/>
          <w:sz w:val="20"/>
        </w:rPr>
        <w:t xml:space="preserve"> two main criticisms</w:t>
      </w:r>
      <w:r w:rsidR="00081497" w:rsidRPr="00BC2BC4">
        <w:rPr>
          <w:rFonts w:cs="Times New Roman"/>
          <w:kern w:val="2"/>
          <w:sz w:val="20"/>
        </w:rPr>
        <w:t>, contained in recommendations 3 and 6,</w:t>
      </w:r>
      <w:r w:rsidR="00586A66" w:rsidRPr="00BC2BC4">
        <w:rPr>
          <w:rFonts w:cs="Times New Roman"/>
          <w:kern w:val="2"/>
          <w:sz w:val="20"/>
        </w:rPr>
        <w:t xml:space="preserve"> </w:t>
      </w:r>
      <w:r w:rsidR="00376B4C" w:rsidRPr="00BC2BC4">
        <w:rPr>
          <w:rFonts w:cs="Times New Roman"/>
          <w:kern w:val="2"/>
          <w:sz w:val="20"/>
        </w:rPr>
        <w:t>of</w:t>
      </w:r>
      <w:r w:rsidRPr="00BC2BC4">
        <w:rPr>
          <w:rFonts w:cs="Times New Roman"/>
          <w:kern w:val="2"/>
          <w:sz w:val="20"/>
        </w:rPr>
        <w:t xml:space="preserve"> the UK’s pro</w:t>
      </w:r>
      <w:r w:rsidR="00FB4FE6" w:rsidRPr="00BC2BC4">
        <w:rPr>
          <w:rFonts w:cs="Times New Roman"/>
          <w:kern w:val="2"/>
          <w:sz w:val="20"/>
        </w:rPr>
        <w:t>curement regime. Recommendation 3 called for the UK to remove the requirement that persons convicted of bribery face permanent mandatory exclusion from future government contracts.</w:t>
      </w:r>
      <w:r w:rsidR="00FB4FE6" w:rsidRPr="00BC2BC4">
        <w:rPr>
          <w:rStyle w:val="FootnoteReference"/>
          <w:rFonts w:cs="Times New Roman"/>
          <w:kern w:val="2"/>
          <w:sz w:val="20"/>
        </w:rPr>
        <w:footnoteReference w:id="291"/>
      </w:r>
      <w:r w:rsidR="00FB4FE6" w:rsidRPr="00BC2BC4">
        <w:rPr>
          <w:rFonts w:cs="Times New Roman"/>
          <w:kern w:val="2"/>
          <w:sz w:val="20"/>
        </w:rPr>
        <w:t xml:space="preserve"> </w:t>
      </w:r>
      <w:r w:rsidR="00884FF0" w:rsidRPr="00BC2BC4">
        <w:rPr>
          <w:rFonts w:cs="Times New Roman"/>
          <w:kern w:val="2"/>
          <w:sz w:val="20"/>
        </w:rPr>
        <w:t>The</w:t>
      </w:r>
      <w:r w:rsidR="006F01C3" w:rsidRPr="00BC2BC4">
        <w:rPr>
          <w:rFonts w:cs="Times New Roman"/>
          <w:kern w:val="2"/>
          <w:sz w:val="20"/>
        </w:rPr>
        <w:t xml:space="preserve"> UK updated </w:t>
      </w:r>
      <w:r w:rsidR="00081497" w:rsidRPr="00BC2BC4">
        <w:rPr>
          <w:rFonts w:cs="Times New Roman"/>
          <w:kern w:val="2"/>
          <w:sz w:val="20"/>
        </w:rPr>
        <w:t xml:space="preserve">its </w:t>
      </w:r>
      <w:r w:rsidR="006F01C3" w:rsidRPr="00BC2BC4">
        <w:rPr>
          <w:rFonts w:cs="Times New Roman"/>
          <w:kern w:val="2"/>
          <w:sz w:val="20"/>
        </w:rPr>
        <w:t>Code for Crown Prosecutors</w:t>
      </w:r>
      <w:r w:rsidR="00081497" w:rsidRPr="00BC2BC4">
        <w:rPr>
          <w:rFonts w:cs="Times New Roman"/>
          <w:kern w:val="2"/>
          <w:sz w:val="20"/>
        </w:rPr>
        <w:t xml:space="preserve"> in January 2013</w:t>
      </w:r>
      <w:r w:rsidR="006F01C3" w:rsidRPr="00BC2BC4">
        <w:rPr>
          <w:rFonts w:cs="Times New Roman"/>
          <w:kern w:val="2"/>
          <w:sz w:val="20"/>
        </w:rPr>
        <w:t xml:space="preserve"> so that it no longer mentions mandatory exclusions from EU public procurement con</w:t>
      </w:r>
      <w:r w:rsidR="00522010" w:rsidRPr="00BC2BC4">
        <w:rPr>
          <w:rFonts w:cs="Times New Roman"/>
          <w:kern w:val="2"/>
          <w:sz w:val="20"/>
        </w:rPr>
        <w:t>-</w:t>
      </w:r>
      <w:r w:rsidR="006F01C3" w:rsidRPr="00BC2BC4">
        <w:rPr>
          <w:rFonts w:cs="Times New Roman"/>
          <w:kern w:val="2"/>
          <w:sz w:val="20"/>
        </w:rPr>
        <w:t>tracts</w:t>
      </w:r>
      <w:r w:rsidR="00FB4FE6" w:rsidRPr="00BC2BC4">
        <w:rPr>
          <w:rFonts w:cs="Times New Roman"/>
          <w:kern w:val="2"/>
          <w:sz w:val="20"/>
        </w:rPr>
        <w:t>.</w:t>
      </w:r>
      <w:r w:rsidR="00FB4FE6" w:rsidRPr="00BC2BC4">
        <w:rPr>
          <w:rStyle w:val="FootnoteReference"/>
          <w:rFonts w:cs="Times New Roman"/>
          <w:kern w:val="2"/>
          <w:sz w:val="20"/>
        </w:rPr>
        <w:footnoteReference w:id="292"/>
      </w:r>
      <w:r w:rsidR="00FB4FE6" w:rsidRPr="00BC2BC4">
        <w:rPr>
          <w:rFonts w:cs="Times New Roman"/>
          <w:kern w:val="2"/>
          <w:sz w:val="20"/>
        </w:rPr>
        <w:t xml:space="preserve"> Recommendation 6 called for the UK to implement easy access to a list of companies sanctioned for corruption charges, as the UK did not have a method in place of ensuring that exclusion from future government contracts was applied across the government.</w:t>
      </w:r>
      <w:r w:rsidR="00FB4FE6" w:rsidRPr="00BC2BC4">
        <w:rPr>
          <w:rStyle w:val="FootnoteReference"/>
          <w:rFonts w:cs="Times New Roman"/>
          <w:kern w:val="2"/>
          <w:sz w:val="20"/>
        </w:rPr>
        <w:footnoteReference w:id="293"/>
      </w:r>
      <w:r w:rsidR="006F01C3" w:rsidRPr="00BC2BC4">
        <w:rPr>
          <w:rFonts w:cs="Times New Roman"/>
          <w:kern w:val="2"/>
          <w:sz w:val="20"/>
        </w:rPr>
        <w:t xml:space="preserve"> This recommendation is </w:t>
      </w:r>
      <w:r w:rsidR="00D62730" w:rsidRPr="00BC2BC4">
        <w:rPr>
          <w:rFonts w:cs="Times New Roman"/>
          <w:kern w:val="2"/>
          <w:sz w:val="20"/>
        </w:rPr>
        <w:t xml:space="preserve">still </w:t>
      </w:r>
      <w:r w:rsidR="006F01C3" w:rsidRPr="00BC2BC4">
        <w:rPr>
          <w:rFonts w:cs="Times New Roman"/>
          <w:kern w:val="2"/>
          <w:sz w:val="20"/>
        </w:rPr>
        <w:t>under consideration by the UK National Anti-Corruption Plan.</w:t>
      </w:r>
      <w:r w:rsidR="006F01C3" w:rsidRPr="00BC2BC4">
        <w:rPr>
          <w:rStyle w:val="FootnoteReference"/>
          <w:rFonts w:cs="Times New Roman"/>
          <w:kern w:val="2"/>
          <w:sz w:val="20"/>
        </w:rPr>
        <w:footnoteReference w:id="294"/>
      </w:r>
      <w:r w:rsidR="006F01C3" w:rsidRPr="00BC2BC4">
        <w:rPr>
          <w:rFonts w:cs="Times New Roman"/>
          <w:kern w:val="2"/>
          <w:sz w:val="20"/>
        </w:rPr>
        <w:t xml:space="preserve"> </w:t>
      </w:r>
    </w:p>
    <w:p w14:paraId="51ED8EA6" w14:textId="2C996201" w:rsidR="00586A66" w:rsidRPr="00BC2BC4" w:rsidRDefault="00586A66" w:rsidP="00B96CDF">
      <w:pPr>
        <w:pStyle w:val="Heading3"/>
        <w:rPr>
          <w:kern w:val="2"/>
          <w:sz w:val="22"/>
        </w:rPr>
      </w:pPr>
      <w:bookmarkStart w:id="77" w:name="_Toc424485052"/>
      <w:r w:rsidRPr="00BC2BC4">
        <w:rPr>
          <w:kern w:val="2"/>
          <w:sz w:val="22"/>
        </w:rPr>
        <w:t>Canadian Law and Procedure</w:t>
      </w:r>
      <w:bookmarkEnd w:id="77"/>
    </w:p>
    <w:p w14:paraId="21865624" w14:textId="2C38E6F4" w:rsidR="00FA0E8C" w:rsidRPr="00BC2BC4" w:rsidRDefault="00550F28" w:rsidP="003F14E9">
      <w:pPr>
        <w:rPr>
          <w:rFonts w:cs="Times New Roman"/>
          <w:kern w:val="2"/>
          <w:sz w:val="20"/>
        </w:rPr>
      </w:pPr>
      <w:r w:rsidRPr="00BC2BC4">
        <w:rPr>
          <w:rFonts w:cs="Times New Roman"/>
          <w:kern w:val="2"/>
          <w:sz w:val="20"/>
        </w:rPr>
        <w:t>The</w:t>
      </w:r>
      <w:r w:rsidR="00BA6D3A" w:rsidRPr="00BC2BC4">
        <w:rPr>
          <w:rFonts w:cs="Times New Roman"/>
          <w:kern w:val="2"/>
          <w:sz w:val="20"/>
        </w:rPr>
        <w:t xml:space="preserve"> 2011</w:t>
      </w:r>
      <w:r w:rsidRPr="00BC2BC4">
        <w:rPr>
          <w:rFonts w:cs="Times New Roman"/>
          <w:kern w:val="2"/>
          <w:sz w:val="20"/>
        </w:rPr>
        <w:t xml:space="preserve"> Phase 3 Report on Implementing the OECD Anti-Bribery Convention in Canada found that the </w:t>
      </w:r>
      <w:r w:rsidRPr="00BC2BC4">
        <w:rPr>
          <w:rFonts w:cs="Times New Roman"/>
          <w:i/>
          <w:kern w:val="2"/>
          <w:sz w:val="20"/>
        </w:rPr>
        <w:t>CFPOA</w:t>
      </w:r>
      <w:r w:rsidRPr="00BC2BC4">
        <w:rPr>
          <w:rFonts w:cs="Times New Roman"/>
          <w:kern w:val="2"/>
          <w:sz w:val="20"/>
        </w:rPr>
        <w:t xml:space="preserve"> was lacking because it did not </w:t>
      </w:r>
      <w:r w:rsidR="00D42824" w:rsidRPr="00BC2BC4">
        <w:rPr>
          <w:rFonts w:cs="Times New Roman"/>
          <w:kern w:val="2"/>
          <w:sz w:val="20"/>
        </w:rPr>
        <w:t>include</w:t>
      </w:r>
      <w:r w:rsidR="00376B4C" w:rsidRPr="00BC2BC4">
        <w:rPr>
          <w:rFonts w:cs="Times New Roman"/>
          <w:kern w:val="2"/>
          <w:sz w:val="20"/>
        </w:rPr>
        <w:t xml:space="preserve"> </w:t>
      </w:r>
      <w:r w:rsidRPr="00BC2BC4">
        <w:rPr>
          <w:rFonts w:cs="Times New Roman"/>
          <w:kern w:val="2"/>
          <w:sz w:val="20"/>
        </w:rPr>
        <w:t xml:space="preserve">civil or administrative </w:t>
      </w:r>
      <w:r w:rsidR="00586A66" w:rsidRPr="00BC2BC4">
        <w:rPr>
          <w:rFonts w:cs="Times New Roman"/>
          <w:kern w:val="2"/>
          <w:sz w:val="20"/>
        </w:rPr>
        <w:t xml:space="preserve">debarment </w:t>
      </w:r>
      <w:r w:rsidRPr="00BC2BC4">
        <w:rPr>
          <w:rFonts w:cs="Times New Roman"/>
          <w:kern w:val="2"/>
          <w:sz w:val="20"/>
        </w:rPr>
        <w:t>sanction</w:t>
      </w:r>
      <w:r w:rsidR="00376B4C" w:rsidRPr="00BC2BC4">
        <w:rPr>
          <w:rFonts w:cs="Times New Roman"/>
          <w:kern w:val="2"/>
          <w:sz w:val="20"/>
        </w:rPr>
        <w:t>s</w:t>
      </w:r>
      <w:r w:rsidRPr="00BC2BC4">
        <w:rPr>
          <w:rFonts w:cs="Times New Roman"/>
          <w:kern w:val="2"/>
          <w:sz w:val="20"/>
        </w:rPr>
        <w:t xml:space="preserve"> </w:t>
      </w:r>
      <w:r w:rsidR="00D42824" w:rsidRPr="00BC2BC4">
        <w:rPr>
          <w:rFonts w:cs="Times New Roman"/>
          <w:kern w:val="2"/>
          <w:sz w:val="20"/>
        </w:rPr>
        <w:t xml:space="preserve">for companies convicted under </w:t>
      </w:r>
      <w:r w:rsidR="00586A66" w:rsidRPr="00BC2BC4">
        <w:rPr>
          <w:rFonts w:cs="Times New Roman"/>
          <w:kern w:val="2"/>
          <w:sz w:val="20"/>
        </w:rPr>
        <w:t>the A</w:t>
      </w:r>
      <w:r w:rsidRPr="00BC2BC4">
        <w:rPr>
          <w:rFonts w:cs="Times New Roman"/>
          <w:kern w:val="2"/>
          <w:sz w:val="20"/>
        </w:rPr>
        <w:t>ct.</w:t>
      </w:r>
      <w:r w:rsidR="004E11C5" w:rsidRPr="00BC2BC4">
        <w:rPr>
          <w:rStyle w:val="FootnoteReference"/>
          <w:rFonts w:cs="Times New Roman"/>
          <w:kern w:val="2"/>
          <w:sz w:val="20"/>
        </w:rPr>
        <w:footnoteReference w:id="295"/>
      </w:r>
      <w:r w:rsidRPr="00BC2BC4">
        <w:rPr>
          <w:rFonts w:cs="Times New Roman"/>
          <w:kern w:val="2"/>
          <w:sz w:val="20"/>
        </w:rPr>
        <w:t xml:space="preserve"> The sugg</w:t>
      </w:r>
      <w:r w:rsidR="00586A66" w:rsidRPr="00BC2BC4">
        <w:rPr>
          <w:rFonts w:cs="Times New Roman"/>
          <w:kern w:val="2"/>
          <w:sz w:val="20"/>
        </w:rPr>
        <w:t xml:space="preserve">ested sanction was </w:t>
      </w:r>
      <w:r w:rsidR="001B61C0" w:rsidRPr="00BC2BC4">
        <w:rPr>
          <w:rFonts w:cs="Times New Roman"/>
          <w:kern w:val="2"/>
          <w:sz w:val="20"/>
        </w:rPr>
        <w:t>exclusion from bidding o</w:t>
      </w:r>
      <w:r w:rsidRPr="00BC2BC4">
        <w:rPr>
          <w:rFonts w:cs="Times New Roman"/>
          <w:kern w:val="2"/>
          <w:sz w:val="20"/>
        </w:rPr>
        <w:t>n government contracts for a set period after conviction</w:t>
      </w:r>
      <w:r w:rsidR="001B61C0" w:rsidRPr="00BC2BC4">
        <w:rPr>
          <w:rFonts w:cs="Times New Roman"/>
          <w:kern w:val="2"/>
          <w:sz w:val="20"/>
        </w:rPr>
        <w:t xml:space="preserve"> under the </w:t>
      </w:r>
      <w:r w:rsidR="001B61C0" w:rsidRPr="00BC2BC4">
        <w:rPr>
          <w:rFonts w:cs="Times New Roman"/>
          <w:i/>
          <w:kern w:val="2"/>
          <w:sz w:val="20"/>
        </w:rPr>
        <w:t>CFPOA</w:t>
      </w:r>
      <w:r w:rsidRPr="00BC2BC4">
        <w:rPr>
          <w:rFonts w:cs="Times New Roman"/>
          <w:kern w:val="2"/>
          <w:sz w:val="20"/>
        </w:rPr>
        <w:t>.</w:t>
      </w:r>
      <w:r w:rsidR="004E11C5" w:rsidRPr="00BC2BC4">
        <w:rPr>
          <w:rStyle w:val="FootnoteReference"/>
          <w:rFonts w:cs="Times New Roman"/>
          <w:kern w:val="2"/>
          <w:sz w:val="20"/>
        </w:rPr>
        <w:footnoteReference w:id="296"/>
      </w:r>
      <w:r w:rsidRPr="00BC2BC4">
        <w:rPr>
          <w:rFonts w:cs="Times New Roman"/>
          <w:kern w:val="2"/>
          <w:sz w:val="20"/>
        </w:rPr>
        <w:t xml:space="preserve"> Canada’s domestic bribery laws already provided for thi</w:t>
      </w:r>
      <w:r w:rsidR="001B61C0" w:rsidRPr="00BC2BC4">
        <w:rPr>
          <w:rFonts w:cs="Times New Roman"/>
          <w:kern w:val="2"/>
          <w:sz w:val="20"/>
        </w:rPr>
        <w:t>s:</w:t>
      </w:r>
    </w:p>
    <w:p w14:paraId="39A362C5" w14:textId="1F0BBA8D" w:rsidR="00FA0E8C" w:rsidRPr="00BC2BC4" w:rsidRDefault="00FA0E8C" w:rsidP="00B96CDF">
      <w:pPr>
        <w:pStyle w:val="BlockQuote"/>
        <w:rPr>
          <w:kern w:val="2"/>
          <w:sz w:val="20"/>
        </w:rPr>
      </w:pPr>
      <w:r w:rsidRPr="00BC2BC4">
        <w:rPr>
          <w:kern w:val="2"/>
          <w:sz w:val="20"/>
        </w:rPr>
        <w:t>Persons convicted under section 121 of the Criminal Code of bribing an official of the Government of Canada, government of a province, or Her Majesty in right of Canada or a province (“Frauds on the Government”), have no capacity to contract with Her Majesty or receive any benefit under a contract with Her Majesty, pursuant to subsection 750(3) of the Criminal Code, under Part XXIII, entitled “Sentencing</w:t>
      </w:r>
      <w:r w:rsidR="005154A4" w:rsidRPr="00BC2BC4">
        <w:rPr>
          <w:kern w:val="2"/>
          <w:sz w:val="20"/>
        </w:rPr>
        <w:t>.</w:t>
      </w:r>
      <w:r w:rsidRPr="00BC2BC4">
        <w:rPr>
          <w:kern w:val="2"/>
          <w:sz w:val="20"/>
        </w:rPr>
        <w:t>”</w:t>
      </w:r>
      <w:r w:rsidRPr="00BC2BC4">
        <w:rPr>
          <w:rStyle w:val="FootnoteReference"/>
          <w:kern w:val="2"/>
          <w:sz w:val="20"/>
          <w:szCs w:val="21"/>
        </w:rPr>
        <w:footnoteReference w:id="297"/>
      </w:r>
    </w:p>
    <w:p w14:paraId="4C10E22D" w14:textId="33A7B54F" w:rsidR="00550F28" w:rsidRPr="00BC2BC4" w:rsidRDefault="00FA0E8C" w:rsidP="003F14E9">
      <w:pPr>
        <w:rPr>
          <w:rFonts w:cs="Times New Roman"/>
          <w:kern w:val="2"/>
          <w:sz w:val="20"/>
        </w:rPr>
      </w:pPr>
      <w:r w:rsidRPr="00BC2BC4">
        <w:rPr>
          <w:rFonts w:cs="Times New Roman"/>
          <w:kern w:val="2"/>
          <w:sz w:val="20"/>
        </w:rPr>
        <w:t>This provision applie</w:t>
      </w:r>
      <w:r w:rsidR="009E6018" w:rsidRPr="00BC2BC4">
        <w:rPr>
          <w:rFonts w:cs="Times New Roman"/>
          <w:kern w:val="2"/>
          <w:sz w:val="20"/>
        </w:rPr>
        <w:t>s only</w:t>
      </w:r>
      <w:r w:rsidRPr="00BC2BC4">
        <w:rPr>
          <w:rFonts w:cs="Times New Roman"/>
          <w:kern w:val="2"/>
          <w:sz w:val="20"/>
        </w:rPr>
        <w:t xml:space="preserve"> to charges of domestic bribery</w:t>
      </w:r>
      <w:r w:rsidR="009E6018" w:rsidRPr="00BC2BC4">
        <w:rPr>
          <w:rFonts w:cs="Times New Roman"/>
          <w:kern w:val="2"/>
          <w:sz w:val="20"/>
        </w:rPr>
        <w:t xml:space="preserve">, and thus it does not capture </w:t>
      </w:r>
      <w:r w:rsidR="009E6018" w:rsidRPr="00BC2BC4">
        <w:rPr>
          <w:rFonts w:cs="Times New Roman"/>
          <w:i/>
          <w:kern w:val="2"/>
          <w:sz w:val="20"/>
        </w:rPr>
        <w:t>CFPOA</w:t>
      </w:r>
      <w:r w:rsidR="009E6018" w:rsidRPr="00BC2BC4">
        <w:rPr>
          <w:rFonts w:cs="Times New Roman"/>
          <w:kern w:val="2"/>
          <w:sz w:val="20"/>
        </w:rPr>
        <w:t xml:space="preserve"> offences</w:t>
      </w:r>
      <w:r w:rsidRPr="00BC2BC4">
        <w:rPr>
          <w:rFonts w:cs="Times New Roman"/>
          <w:kern w:val="2"/>
          <w:sz w:val="20"/>
        </w:rPr>
        <w:t xml:space="preserve">. </w:t>
      </w:r>
      <w:r w:rsidR="009E6018" w:rsidRPr="00BC2BC4">
        <w:rPr>
          <w:rFonts w:cs="Times New Roman"/>
          <w:kern w:val="2"/>
          <w:sz w:val="20"/>
        </w:rPr>
        <w:t>However, t</w:t>
      </w:r>
      <w:r w:rsidR="004E11C5" w:rsidRPr="00BC2BC4">
        <w:rPr>
          <w:rFonts w:cs="Times New Roman"/>
          <w:kern w:val="2"/>
          <w:sz w:val="20"/>
        </w:rPr>
        <w:t xml:space="preserve">he Working Group’s follow up on Canada’s sanctions for convictions under the </w:t>
      </w:r>
      <w:r w:rsidR="004E11C5" w:rsidRPr="00BC2BC4">
        <w:rPr>
          <w:rFonts w:cs="Times New Roman"/>
          <w:i/>
          <w:kern w:val="2"/>
          <w:sz w:val="20"/>
        </w:rPr>
        <w:t>CFPOA</w:t>
      </w:r>
      <w:r w:rsidR="004E11C5" w:rsidRPr="00BC2BC4">
        <w:rPr>
          <w:rFonts w:cs="Times New Roman"/>
          <w:kern w:val="2"/>
          <w:sz w:val="20"/>
        </w:rPr>
        <w:t xml:space="preserve"> found that Canada had remedied this problem</w:t>
      </w:r>
      <w:r w:rsidR="009E6018" w:rsidRPr="00BC2BC4">
        <w:rPr>
          <w:rFonts w:cs="Times New Roman"/>
          <w:kern w:val="2"/>
          <w:sz w:val="20"/>
        </w:rPr>
        <w:t xml:space="preserve"> in July 2012, when PWGSC added convictions for foreign bribery under s. 3 of the </w:t>
      </w:r>
      <w:r w:rsidR="009E6018" w:rsidRPr="00BC2BC4">
        <w:rPr>
          <w:rFonts w:cs="Times New Roman"/>
          <w:i/>
          <w:kern w:val="2"/>
          <w:sz w:val="20"/>
        </w:rPr>
        <w:t>CFPOA</w:t>
      </w:r>
      <w:r w:rsidR="009E6018" w:rsidRPr="00BC2BC4">
        <w:rPr>
          <w:rFonts w:cs="Times New Roman"/>
          <w:kern w:val="2"/>
          <w:sz w:val="20"/>
        </w:rPr>
        <w:t xml:space="preserve"> to the list of offences that would automatically result in debarment.</w:t>
      </w:r>
      <w:r w:rsidR="009E6018" w:rsidRPr="00BC2BC4">
        <w:rPr>
          <w:rStyle w:val="FootnoteReference"/>
          <w:rFonts w:cs="Times New Roman"/>
          <w:kern w:val="2"/>
          <w:sz w:val="20"/>
        </w:rPr>
        <w:footnoteReference w:id="298"/>
      </w:r>
      <w:r w:rsidR="009E6018" w:rsidRPr="00BC2BC4">
        <w:rPr>
          <w:rFonts w:cs="Times New Roman"/>
          <w:kern w:val="2"/>
          <w:sz w:val="20"/>
        </w:rPr>
        <w:t xml:space="preserve"> For more information on PWGSC’s debarment policies, see </w:t>
      </w:r>
      <w:r w:rsidR="006E12A0" w:rsidRPr="00BC2BC4">
        <w:rPr>
          <w:rFonts w:cs="Times New Roman"/>
          <w:kern w:val="2"/>
          <w:sz w:val="20"/>
          <w:highlight w:val="cyan"/>
        </w:rPr>
        <w:t>Section</w:t>
      </w:r>
      <w:r w:rsidR="00D3248D" w:rsidRPr="00BC2BC4">
        <w:rPr>
          <w:rFonts w:cs="Times New Roman"/>
          <w:kern w:val="2"/>
          <w:sz w:val="20"/>
          <w:highlight w:val="cyan"/>
        </w:rPr>
        <w:t xml:space="preserve"> </w:t>
      </w:r>
      <w:r w:rsidR="005157FA" w:rsidRPr="00BC2BC4">
        <w:rPr>
          <w:rFonts w:cs="Times New Roman"/>
          <w:kern w:val="2"/>
          <w:sz w:val="20"/>
          <w:highlight w:val="cyan"/>
        </w:rPr>
        <w:t>8.</w:t>
      </w:r>
      <w:r w:rsidR="00D3248D" w:rsidRPr="00BC2BC4">
        <w:rPr>
          <w:rFonts w:cs="Times New Roman"/>
          <w:kern w:val="2"/>
          <w:sz w:val="20"/>
          <w:highlight w:val="cyan"/>
        </w:rPr>
        <w:t>6 of Chapter 7</w:t>
      </w:r>
      <w:r w:rsidR="004E11C5" w:rsidRPr="00BC2BC4">
        <w:rPr>
          <w:rFonts w:cs="Times New Roman"/>
          <w:kern w:val="2"/>
          <w:sz w:val="20"/>
        </w:rPr>
        <w:t>.</w:t>
      </w:r>
    </w:p>
    <w:p w14:paraId="3EC1C48B" w14:textId="77777777" w:rsidR="00550F28" w:rsidRPr="00BC2BC4" w:rsidRDefault="00DC7157" w:rsidP="00B96CDF">
      <w:pPr>
        <w:pStyle w:val="Heading2"/>
        <w:rPr>
          <w:kern w:val="2"/>
          <w:sz w:val="24"/>
        </w:rPr>
      </w:pPr>
      <w:bookmarkStart w:id="78" w:name="_Toc424485053"/>
      <w:r w:rsidRPr="00BC2BC4">
        <w:rPr>
          <w:kern w:val="2"/>
          <w:sz w:val="24"/>
        </w:rPr>
        <w:t>Other Procurement Issues and Concerns</w:t>
      </w:r>
      <w:bookmarkEnd w:id="78"/>
    </w:p>
    <w:p w14:paraId="2A9DED6D" w14:textId="562A6EB3" w:rsidR="008E22E7" w:rsidRPr="00BC2BC4" w:rsidRDefault="001B61C0" w:rsidP="003F14E9">
      <w:pPr>
        <w:rPr>
          <w:rFonts w:cs="Times New Roman"/>
          <w:kern w:val="2"/>
          <w:sz w:val="20"/>
        </w:rPr>
      </w:pPr>
      <w:r w:rsidRPr="00BC2BC4">
        <w:rPr>
          <w:rFonts w:cs="Times New Roman"/>
          <w:kern w:val="2"/>
          <w:sz w:val="20"/>
        </w:rPr>
        <w:t>Procurement systems face the challenge of</w:t>
      </w:r>
      <w:r w:rsidR="00B70C11" w:rsidRPr="00BC2BC4">
        <w:rPr>
          <w:rFonts w:cs="Times New Roman"/>
          <w:kern w:val="2"/>
          <w:sz w:val="20"/>
        </w:rPr>
        <w:t xml:space="preserve"> balancing the requirements placed on offering and bidding parties to ensure fairness and transparency with the size of the contract and the risk of corruption in the contract. </w:t>
      </w:r>
      <w:r w:rsidRPr="00BC2BC4">
        <w:rPr>
          <w:rFonts w:cs="Times New Roman"/>
          <w:kern w:val="2"/>
          <w:sz w:val="20"/>
        </w:rPr>
        <w:t>Anti</w:t>
      </w:r>
      <w:r w:rsidR="00DA3C13" w:rsidRPr="00BC2BC4">
        <w:rPr>
          <w:rFonts w:cs="Times New Roman"/>
          <w:kern w:val="2"/>
          <w:sz w:val="20"/>
        </w:rPr>
        <w:t>-</w:t>
      </w:r>
      <w:r w:rsidRPr="00BC2BC4">
        <w:rPr>
          <w:rFonts w:cs="Times New Roman"/>
          <w:kern w:val="2"/>
          <w:sz w:val="20"/>
        </w:rPr>
        <w:t>corruption measures</w:t>
      </w:r>
      <w:r w:rsidR="00B70C11" w:rsidRPr="00BC2BC4">
        <w:rPr>
          <w:rFonts w:cs="Times New Roman"/>
          <w:kern w:val="2"/>
          <w:sz w:val="20"/>
        </w:rPr>
        <w:t xml:space="preserve"> </w:t>
      </w:r>
      <w:r w:rsidRPr="00BC2BC4">
        <w:rPr>
          <w:rFonts w:cs="Times New Roman"/>
          <w:kern w:val="2"/>
          <w:sz w:val="20"/>
        </w:rPr>
        <w:t>carry</w:t>
      </w:r>
      <w:r w:rsidR="00B70C11" w:rsidRPr="00BC2BC4">
        <w:rPr>
          <w:rFonts w:cs="Times New Roman"/>
          <w:kern w:val="2"/>
          <w:sz w:val="20"/>
        </w:rPr>
        <w:t xml:space="preserve"> economic and intangible costs and procurement systems should strive to minimize those costs</w:t>
      </w:r>
      <w:r w:rsidRPr="00BC2BC4">
        <w:rPr>
          <w:rFonts w:cs="Times New Roman"/>
          <w:kern w:val="2"/>
          <w:sz w:val="20"/>
        </w:rPr>
        <w:t>,</w:t>
      </w:r>
      <w:r w:rsidR="00B70C11" w:rsidRPr="00BC2BC4">
        <w:rPr>
          <w:rFonts w:cs="Times New Roman"/>
          <w:kern w:val="2"/>
          <w:sz w:val="20"/>
        </w:rPr>
        <w:t xml:space="preserve"> as they are often born</w:t>
      </w:r>
      <w:r w:rsidRPr="00BC2BC4">
        <w:rPr>
          <w:rFonts w:cs="Times New Roman"/>
          <w:kern w:val="2"/>
          <w:sz w:val="20"/>
        </w:rPr>
        <w:t>e</w:t>
      </w:r>
      <w:r w:rsidR="00B70C11" w:rsidRPr="00BC2BC4">
        <w:rPr>
          <w:rFonts w:cs="Times New Roman"/>
          <w:kern w:val="2"/>
          <w:sz w:val="20"/>
        </w:rPr>
        <w:t xml:space="preserve"> by the public. </w:t>
      </w:r>
      <w:r w:rsidRPr="00BC2BC4">
        <w:rPr>
          <w:rFonts w:cs="Times New Roman"/>
          <w:kern w:val="2"/>
          <w:sz w:val="20"/>
        </w:rPr>
        <w:t xml:space="preserve">The degree to which discretion should be regulated is another issue facing governments in designing procurement systems. Although </w:t>
      </w:r>
      <w:r w:rsidR="00704B56" w:rsidRPr="00BC2BC4">
        <w:rPr>
          <w:rFonts w:cs="Times New Roman"/>
          <w:kern w:val="2"/>
          <w:sz w:val="20"/>
        </w:rPr>
        <w:t xml:space="preserve">unfettered </w:t>
      </w:r>
      <w:r w:rsidRPr="00BC2BC4">
        <w:rPr>
          <w:rFonts w:cs="Times New Roman"/>
          <w:kern w:val="2"/>
          <w:sz w:val="20"/>
        </w:rPr>
        <w:t xml:space="preserve">discretion leaves space for corruption, some discretion is required in order to choose the best bid. </w:t>
      </w:r>
      <w:r w:rsidR="00B70C11" w:rsidRPr="00BC2BC4">
        <w:rPr>
          <w:rFonts w:cs="Times New Roman"/>
          <w:kern w:val="2"/>
          <w:sz w:val="20"/>
        </w:rPr>
        <w:t xml:space="preserve">As the projects being procured are often complex and </w:t>
      </w:r>
      <w:r w:rsidR="00297D66" w:rsidRPr="00BC2BC4">
        <w:rPr>
          <w:rFonts w:cs="Times New Roman"/>
          <w:kern w:val="2"/>
          <w:sz w:val="20"/>
        </w:rPr>
        <w:t>encounter</w:t>
      </w:r>
      <w:r w:rsidR="00B70C11" w:rsidRPr="00BC2BC4">
        <w:rPr>
          <w:rFonts w:cs="Times New Roman"/>
          <w:kern w:val="2"/>
          <w:sz w:val="20"/>
        </w:rPr>
        <w:t xml:space="preserve"> unforeseen issues, it is difficult to create a formula to calculate the full societal, environmental and economic cost of each proposal. </w:t>
      </w:r>
      <w:r w:rsidRPr="00BC2BC4">
        <w:rPr>
          <w:rFonts w:cs="Times New Roman"/>
          <w:kern w:val="2"/>
          <w:sz w:val="20"/>
        </w:rPr>
        <w:t>Therefore, public</w:t>
      </w:r>
      <w:r w:rsidR="00B70C11" w:rsidRPr="00BC2BC4">
        <w:rPr>
          <w:rFonts w:cs="Times New Roman"/>
          <w:kern w:val="2"/>
          <w:sz w:val="20"/>
        </w:rPr>
        <w:t xml:space="preserve"> officials </w:t>
      </w:r>
      <w:r w:rsidRPr="00BC2BC4">
        <w:rPr>
          <w:rFonts w:cs="Times New Roman"/>
          <w:kern w:val="2"/>
          <w:sz w:val="20"/>
        </w:rPr>
        <w:t>must</w:t>
      </w:r>
      <w:r w:rsidR="00B70C11" w:rsidRPr="00BC2BC4">
        <w:rPr>
          <w:rFonts w:cs="Times New Roman"/>
          <w:kern w:val="2"/>
          <w:sz w:val="20"/>
        </w:rPr>
        <w:t xml:space="preserve"> exercise </w:t>
      </w:r>
      <w:r w:rsidRPr="00BC2BC4">
        <w:rPr>
          <w:rFonts w:cs="Times New Roman"/>
          <w:kern w:val="2"/>
          <w:sz w:val="20"/>
        </w:rPr>
        <w:t xml:space="preserve">some </w:t>
      </w:r>
      <w:r w:rsidR="00B70C11" w:rsidRPr="00BC2BC4">
        <w:rPr>
          <w:rFonts w:cs="Times New Roman"/>
          <w:kern w:val="2"/>
          <w:sz w:val="20"/>
        </w:rPr>
        <w:t>discretion in order to balance the costs and benefits of each project.</w:t>
      </w:r>
      <w:r w:rsidRPr="00BC2BC4">
        <w:rPr>
          <w:rFonts w:cs="Times New Roman"/>
          <w:kern w:val="2"/>
          <w:sz w:val="20"/>
        </w:rPr>
        <w:t xml:space="preserve"> Piga describes other problems associated with strict regulation of discretion:</w:t>
      </w:r>
    </w:p>
    <w:p w14:paraId="07AA3BC7" w14:textId="5951558D" w:rsidR="00B70C11" w:rsidRPr="00BC2BC4" w:rsidRDefault="008E22E7" w:rsidP="00B96CDF">
      <w:pPr>
        <w:pStyle w:val="BlockQuote"/>
        <w:rPr>
          <w:kern w:val="2"/>
          <w:sz w:val="20"/>
        </w:rPr>
      </w:pPr>
      <w:r w:rsidRPr="00BC2BC4">
        <w:rPr>
          <w:kern w:val="2"/>
          <w:sz w:val="20"/>
        </w:rPr>
        <w:t>Reducing discretion has other drawbacks that are seldom considered in the fight against corruption. First, rigid procedures may shield procurement officials/politicians from responsibility for poor performance and failures (‘not my fault, the rules’ fault), while favoritism may be hidden by a wall of complex procedural rules. Second, if the agent is competent, discretion offers valuable flexibility, especially in complex procurement situations.</w:t>
      </w:r>
      <w:r w:rsidR="00CE588A" w:rsidRPr="00BC2BC4">
        <w:rPr>
          <w:rStyle w:val="FootnoteReference"/>
          <w:kern w:val="2"/>
          <w:sz w:val="20"/>
          <w:szCs w:val="21"/>
        </w:rPr>
        <w:footnoteReference w:id="299"/>
      </w:r>
    </w:p>
    <w:p w14:paraId="28C3F838" w14:textId="77777777" w:rsidR="008E22E7" w:rsidRPr="00BC2BC4" w:rsidRDefault="008E22E7" w:rsidP="00B96CDF">
      <w:pPr>
        <w:rPr>
          <w:kern w:val="2"/>
          <w:sz w:val="20"/>
        </w:rPr>
      </w:pPr>
      <w:r w:rsidRPr="00BC2BC4">
        <w:rPr>
          <w:kern w:val="2"/>
          <w:sz w:val="20"/>
        </w:rPr>
        <w:t>Instead of removing discretion to prevent corruption, holding official</w:t>
      </w:r>
      <w:r w:rsidR="001B61C0" w:rsidRPr="00BC2BC4">
        <w:rPr>
          <w:kern w:val="2"/>
          <w:sz w:val="20"/>
        </w:rPr>
        <w:t>s</w:t>
      </w:r>
      <w:r w:rsidRPr="00BC2BC4">
        <w:rPr>
          <w:kern w:val="2"/>
          <w:sz w:val="20"/>
        </w:rPr>
        <w:t xml:space="preserve"> accountable for defects in the procurement process is </w:t>
      </w:r>
      <w:r w:rsidR="001B61C0" w:rsidRPr="00BC2BC4">
        <w:rPr>
          <w:kern w:val="2"/>
          <w:sz w:val="20"/>
        </w:rPr>
        <w:t>viewed as</w:t>
      </w:r>
      <w:r w:rsidRPr="00BC2BC4">
        <w:rPr>
          <w:kern w:val="2"/>
          <w:sz w:val="20"/>
        </w:rPr>
        <w:t xml:space="preserve"> a more efficient way of reducing corruption.</w:t>
      </w:r>
      <w:r w:rsidRPr="00BC2BC4">
        <w:rPr>
          <w:rStyle w:val="FootnoteReference"/>
          <w:rFonts w:cs="Times New Roman"/>
          <w:kern w:val="2"/>
          <w:sz w:val="20"/>
        </w:rPr>
        <w:footnoteReference w:id="300"/>
      </w:r>
      <w:r w:rsidRPr="00BC2BC4">
        <w:rPr>
          <w:kern w:val="2"/>
          <w:sz w:val="20"/>
        </w:rPr>
        <w:t xml:space="preserve"> </w:t>
      </w:r>
    </w:p>
    <w:p w14:paraId="0116354B" w14:textId="038ED2DA" w:rsidR="001B61C0" w:rsidRPr="00BC2BC4" w:rsidRDefault="001B61C0" w:rsidP="00B96CDF">
      <w:pPr>
        <w:rPr>
          <w:kern w:val="2"/>
          <w:sz w:val="20"/>
        </w:rPr>
      </w:pPr>
      <w:r w:rsidRPr="00BC2BC4">
        <w:rPr>
          <w:kern w:val="2"/>
          <w:sz w:val="20"/>
        </w:rPr>
        <w:t xml:space="preserve">Public procurement projects also face the potential problem of </w:t>
      </w:r>
      <w:r w:rsidR="0099191B" w:rsidRPr="00BC2BC4">
        <w:rPr>
          <w:kern w:val="2"/>
          <w:sz w:val="20"/>
        </w:rPr>
        <w:t>inaccurate</w:t>
      </w:r>
      <w:r w:rsidR="001A2945" w:rsidRPr="00BC2BC4">
        <w:rPr>
          <w:kern w:val="2"/>
          <w:sz w:val="20"/>
        </w:rPr>
        <w:t xml:space="preserve"> estimation</w:t>
      </w:r>
      <w:r w:rsidR="0099191B" w:rsidRPr="00BC2BC4">
        <w:rPr>
          <w:kern w:val="2"/>
          <w:sz w:val="20"/>
        </w:rPr>
        <w:t>s</w:t>
      </w:r>
      <w:r w:rsidR="001A2945" w:rsidRPr="00BC2BC4">
        <w:rPr>
          <w:kern w:val="2"/>
          <w:sz w:val="20"/>
        </w:rPr>
        <w:t xml:space="preserve"> of costs and benefit</w:t>
      </w:r>
      <w:r w:rsidR="0099191B" w:rsidRPr="00BC2BC4">
        <w:rPr>
          <w:kern w:val="2"/>
          <w:sz w:val="20"/>
        </w:rPr>
        <w:t>s</w:t>
      </w:r>
      <w:r w:rsidR="00DC7157" w:rsidRPr="00BC2BC4">
        <w:rPr>
          <w:kern w:val="2"/>
          <w:sz w:val="20"/>
        </w:rPr>
        <w:t xml:space="preserve">. First, public officials </w:t>
      </w:r>
      <w:r w:rsidR="002D5CA9" w:rsidRPr="00BC2BC4">
        <w:rPr>
          <w:kern w:val="2"/>
          <w:sz w:val="20"/>
        </w:rPr>
        <w:t xml:space="preserve">may </w:t>
      </w:r>
      <w:r w:rsidR="00DC7157" w:rsidRPr="00BC2BC4">
        <w:rPr>
          <w:kern w:val="2"/>
          <w:sz w:val="20"/>
        </w:rPr>
        <w:t xml:space="preserve">promote and support “low-ball” estimates of projects in order to gain public support for the project. Subsequently, as the project evolves, those initial estimates </w:t>
      </w:r>
      <w:r w:rsidR="002D5CA9" w:rsidRPr="00BC2BC4">
        <w:rPr>
          <w:kern w:val="2"/>
          <w:sz w:val="20"/>
        </w:rPr>
        <w:t xml:space="preserve">may </w:t>
      </w:r>
      <w:r w:rsidR="00DC7157" w:rsidRPr="00BC2BC4">
        <w:rPr>
          <w:kern w:val="2"/>
          <w:sz w:val="20"/>
        </w:rPr>
        <w:t xml:space="preserve">prove to be wildly low. </w:t>
      </w:r>
      <w:r w:rsidR="00263ECE" w:rsidRPr="00BC2BC4">
        <w:rPr>
          <w:kern w:val="2"/>
          <w:sz w:val="20"/>
        </w:rPr>
        <w:t xml:space="preserve">Recent studies showcase the role </w:t>
      </w:r>
      <w:r w:rsidR="006579BE" w:rsidRPr="00BC2BC4">
        <w:rPr>
          <w:kern w:val="2"/>
          <w:sz w:val="20"/>
        </w:rPr>
        <w:t xml:space="preserve">that </w:t>
      </w:r>
      <w:r w:rsidR="00263ECE" w:rsidRPr="00BC2BC4">
        <w:rPr>
          <w:kern w:val="2"/>
          <w:sz w:val="20"/>
        </w:rPr>
        <w:t xml:space="preserve">“delusion, deception, and corruption” play in explaining underperformance </w:t>
      </w:r>
      <w:r w:rsidR="002D5CA9" w:rsidRPr="00BC2BC4">
        <w:rPr>
          <w:kern w:val="2"/>
          <w:sz w:val="20"/>
        </w:rPr>
        <w:t xml:space="preserve">with </w:t>
      </w:r>
      <w:r w:rsidR="00263ECE" w:rsidRPr="00BC2BC4">
        <w:rPr>
          <w:kern w:val="2"/>
          <w:sz w:val="20"/>
        </w:rPr>
        <w:t>regard to cost estimates and benefit delivery of major infrastructure projects.</w:t>
      </w:r>
      <w:r w:rsidR="00263ECE" w:rsidRPr="00BC2BC4">
        <w:rPr>
          <w:rStyle w:val="FootnoteReference"/>
          <w:rFonts w:cs="Times New Roman"/>
          <w:kern w:val="2"/>
          <w:sz w:val="20"/>
        </w:rPr>
        <w:footnoteReference w:id="301"/>
      </w:r>
      <w:r w:rsidR="00263ECE" w:rsidRPr="00BC2BC4">
        <w:rPr>
          <w:kern w:val="2"/>
          <w:sz w:val="20"/>
        </w:rPr>
        <w:t xml:space="preserve"> Research done by Flyvbjerg and Molloy suggest that </w:t>
      </w:r>
      <w:r w:rsidR="00DC7157" w:rsidRPr="00BC2BC4">
        <w:rPr>
          <w:kern w:val="2"/>
          <w:sz w:val="20"/>
        </w:rPr>
        <w:t xml:space="preserve">an important step in curbing corruption is focusing on accurate cost and benefits estimates at </w:t>
      </w:r>
      <w:r w:rsidR="00263ECE" w:rsidRPr="00BC2BC4">
        <w:rPr>
          <w:kern w:val="2"/>
          <w:sz w:val="20"/>
        </w:rPr>
        <w:t xml:space="preserve">the planning and approval stage. They suggest that </w:t>
      </w:r>
      <w:r w:rsidR="006132AB" w:rsidRPr="00BC2BC4">
        <w:rPr>
          <w:kern w:val="2"/>
          <w:sz w:val="20"/>
        </w:rPr>
        <w:t>“</w:t>
      </w:r>
      <w:r w:rsidR="00263ECE" w:rsidRPr="00BC2BC4">
        <w:rPr>
          <w:kern w:val="2"/>
          <w:sz w:val="20"/>
        </w:rPr>
        <w:t>planning fallac</w:t>
      </w:r>
      <w:r w:rsidR="0099191B" w:rsidRPr="00BC2BC4">
        <w:rPr>
          <w:kern w:val="2"/>
          <w:sz w:val="20"/>
        </w:rPr>
        <w:t>y</w:t>
      </w:r>
      <w:r w:rsidR="00E2508F" w:rsidRPr="00BC2BC4">
        <w:rPr>
          <w:kern w:val="2"/>
          <w:sz w:val="20"/>
        </w:rPr>
        <w:t>,</w:t>
      </w:r>
      <w:r w:rsidR="006132AB" w:rsidRPr="00BC2BC4">
        <w:rPr>
          <w:kern w:val="2"/>
          <w:sz w:val="20"/>
        </w:rPr>
        <w:t>”</w:t>
      </w:r>
      <w:r w:rsidR="00263ECE" w:rsidRPr="00BC2BC4">
        <w:rPr>
          <w:kern w:val="2"/>
          <w:sz w:val="20"/>
        </w:rPr>
        <w:t xml:space="preserve"> a psychological phenomenon</w:t>
      </w:r>
      <w:r w:rsidR="004236AA" w:rsidRPr="00BC2BC4">
        <w:rPr>
          <w:kern w:val="2"/>
          <w:sz w:val="20"/>
        </w:rPr>
        <w:t xml:space="preserve"> that influences planners and project promoters to “make decisions based on delusional optimism rather than on rational weighing of gains, losses, and probabilities</w:t>
      </w:r>
      <w:r w:rsidR="00E2508F" w:rsidRPr="00BC2BC4">
        <w:rPr>
          <w:kern w:val="2"/>
          <w:sz w:val="20"/>
        </w:rPr>
        <w:t>,</w:t>
      </w:r>
      <w:r w:rsidR="004236AA" w:rsidRPr="00BC2BC4">
        <w:rPr>
          <w:kern w:val="2"/>
          <w:sz w:val="20"/>
        </w:rPr>
        <w:t xml:space="preserve">” contributes to the tendency </w:t>
      </w:r>
      <w:r w:rsidRPr="00BC2BC4">
        <w:rPr>
          <w:kern w:val="2"/>
          <w:sz w:val="20"/>
        </w:rPr>
        <w:t>of</w:t>
      </w:r>
      <w:r w:rsidR="004236AA" w:rsidRPr="00BC2BC4">
        <w:rPr>
          <w:kern w:val="2"/>
          <w:sz w:val="20"/>
        </w:rPr>
        <w:t xml:space="preserve"> projects to run significantly over budget.</w:t>
      </w:r>
      <w:r w:rsidR="004236AA" w:rsidRPr="00BC2BC4">
        <w:rPr>
          <w:rStyle w:val="FootnoteReference"/>
          <w:rFonts w:cs="Times New Roman"/>
          <w:kern w:val="2"/>
          <w:sz w:val="20"/>
        </w:rPr>
        <w:footnoteReference w:id="302"/>
      </w:r>
      <w:r w:rsidR="004236AA" w:rsidRPr="00BC2BC4">
        <w:rPr>
          <w:kern w:val="2"/>
          <w:sz w:val="20"/>
        </w:rPr>
        <w:t xml:space="preserve"> Planning fallacy</w:t>
      </w:r>
      <w:r w:rsidR="0099191B" w:rsidRPr="00BC2BC4">
        <w:rPr>
          <w:kern w:val="2"/>
          <w:sz w:val="20"/>
        </w:rPr>
        <w:t xml:space="preserve">, or </w:t>
      </w:r>
      <w:r w:rsidR="006132AB" w:rsidRPr="00BC2BC4">
        <w:rPr>
          <w:kern w:val="2"/>
          <w:sz w:val="20"/>
        </w:rPr>
        <w:t>“</w:t>
      </w:r>
      <w:r w:rsidR="0099191B" w:rsidRPr="00BC2BC4">
        <w:rPr>
          <w:kern w:val="2"/>
          <w:sz w:val="20"/>
        </w:rPr>
        <w:t>optimism bias</w:t>
      </w:r>
      <w:r w:rsidR="00E2508F" w:rsidRPr="00BC2BC4">
        <w:rPr>
          <w:kern w:val="2"/>
          <w:sz w:val="20"/>
        </w:rPr>
        <w:t>,</w:t>
      </w:r>
      <w:r w:rsidR="006132AB" w:rsidRPr="00BC2BC4">
        <w:rPr>
          <w:kern w:val="2"/>
          <w:sz w:val="20"/>
        </w:rPr>
        <w:t>”</w:t>
      </w:r>
      <w:r w:rsidR="004236AA" w:rsidRPr="00BC2BC4">
        <w:rPr>
          <w:kern w:val="2"/>
          <w:sz w:val="20"/>
        </w:rPr>
        <w:t xml:space="preserve"> may result in the incorrect tender being chosen, as it rewards individuals for exaggerating the benefits of their design and underestimating</w:t>
      </w:r>
      <w:r w:rsidR="001A2945" w:rsidRPr="00BC2BC4">
        <w:rPr>
          <w:kern w:val="2"/>
          <w:sz w:val="20"/>
        </w:rPr>
        <w:t xml:space="preserve"> the cost of the project.</w:t>
      </w:r>
      <w:r w:rsidR="001A2945" w:rsidRPr="00BC2BC4">
        <w:rPr>
          <w:rStyle w:val="FootnoteReference"/>
          <w:rFonts w:cs="Times New Roman"/>
          <w:kern w:val="2"/>
          <w:sz w:val="20"/>
        </w:rPr>
        <w:footnoteReference w:id="303"/>
      </w:r>
      <w:r w:rsidR="001A2945" w:rsidRPr="00BC2BC4">
        <w:rPr>
          <w:kern w:val="2"/>
          <w:sz w:val="20"/>
        </w:rPr>
        <w:t xml:space="preserve"> </w:t>
      </w:r>
      <w:r w:rsidRPr="00BC2BC4">
        <w:rPr>
          <w:kern w:val="2"/>
          <w:sz w:val="20"/>
        </w:rPr>
        <w:t>Optimism bias can also be dangerous because when contracts are awarded for below their reasonable cost, contractors may cut corners by using inferior materials and compromising on quality in order to stay within the budget.</w:t>
      </w:r>
      <w:r w:rsidRPr="00BC2BC4">
        <w:rPr>
          <w:rStyle w:val="FootnoteReference"/>
          <w:rFonts w:cs="Times New Roman"/>
          <w:kern w:val="2"/>
          <w:sz w:val="20"/>
        </w:rPr>
        <w:footnoteReference w:id="304"/>
      </w:r>
    </w:p>
    <w:p w14:paraId="4B5054C7" w14:textId="34E5A916" w:rsidR="00B70C11" w:rsidRPr="00BC2BC4" w:rsidRDefault="001B61C0" w:rsidP="00B96CDF">
      <w:pPr>
        <w:rPr>
          <w:kern w:val="2"/>
          <w:sz w:val="20"/>
        </w:rPr>
      </w:pPr>
      <w:r w:rsidRPr="00BC2BC4">
        <w:rPr>
          <w:kern w:val="2"/>
          <w:sz w:val="20"/>
        </w:rPr>
        <w:t>P</w:t>
      </w:r>
      <w:r w:rsidR="00225A33" w:rsidRPr="00BC2BC4">
        <w:rPr>
          <w:kern w:val="2"/>
          <w:sz w:val="20"/>
        </w:rPr>
        <w:t xml:space="preserve">lanners need to be aware of optimism bias </w:t>
      </w:r>
      <w:r w:rsidRPr="00BC2BC4">
        <w:rPr>
          <w:kern w:val="2"/>
          <w:sz w:val="20"/>
        </w:rPr>
        <w:t>in order to take</w:t>
      </w:r>
      <w:r w:rsidR="00225A33" w:rsidRPr="00BC2BC4">
        <w:rPr>
          <w:kern w:val="2"/>
          <w:sz w:val="20"/>
        </w:rPr>
        <w:t xml:space="preserve"> steps to prevent it. Flyvbjerg and Molloy</w:t>
      </w:r>
      <w:r w:rsidR="001A2945" w:rsidRPr="00BC2BC4">
        <w:rPr>
          <w:kern w:val="2"/>
          <w:sz w:val="20"/>
        </w:rPr>
        <w:t xml:space="preserve"> suggest</w:t>
      </w:r>
      <w:r w:rsidR="004236AA" w:rsidRPr="00BC2BC4">
        <w:rPr>
          <w:kern w:val="2"/>
          <w:sz w:val="20"/>
        </w:rPr>
        <w:t xml:space="preserve"> that strategically implementing p</w:t>
      </w:r>
      <w:r w:rsidR="00376B4C" w:rsidRPr="00BC2BC4">
        <w:rPr>
          <w:kern w:val="2"/>
          <w:sz w:val="20"/>
        </w:rPr>
        <w:t>rocedures to monitor and review forecasts</w:t>
      </w:r>
      <w:r w:rsidR="00DC7157" w:rsidRPr="00BC2BC4">
        <w:rPr>
          <w:kern w:val="2"/>
          <w:sz w:val="20"/>
        </w:rPr>
        <w:t xml:space="preserve"> </w:t>
      </w:r>
      <w:r w:rsidR="001A2945" w:rsidRPr="00BC2BC4">
        <w:rPr>
          <w:kern w:val="2"/>
          <w:sz w:val="20"/>
        </w:rPr>
        <w:t xml:space="preserve">can assist in </w:t>
      </w:r>
      <w:r w:rsidR="00376B4C" w:rsidRPr="00BC2BC4">
        <w:rPr>
          <w:kern w:val="2"/>
          <w:sz w:val="20"/>
        </w:rPr>
        <w:t>reducing</w:t>
      </w:r>
      <w:r w:rsidR="004236AA" w:rsidRPr="00BC2BC4">
        <w:rPr>
          <w:kern w:val="2"/>
          <w:sz w:val="20"/>
        </w:rPr>
        <w:t xml:space="preserve"> the prevalence of corruption and deception in public procurement.</w:t>
      </w:r>
      <w:r w:rsidR="001A2945" w:rsidRPr="00BC2BC4">
        <w:rPr>
          <w:rStyle w:val="FootnoteReference"/>
          <w:rFonts w:cs="Times New Roman"/>
          <w:kern w:val="2"/>
          <w:sz w:val="20"/>
        </w:rPr>
        <w:footnoteReference w:id="305"/>
      </w:r>
      <w:r w:rsidR="00DC7157" w:rsidRPr="00BC2BC4">
        <w:rPr>
          <w:kern w:val="2"/>
          <w:sz w:val="20"/>
        </w:rPr>
        <w:t xml:space="preserve"> </w:t>
      </w:r>
      <w:r w:rsidR="001A2945" w:rsidRPr="00BC2BC4">
        <w:rPr>
          <w:kern w:val="2"/>
          <w:sz w:val="20"/>
        </w:rPr>
        <w:t>Their suggestions include developing financial, prof</w:t>
      </w:r>
      <w:r w:rsidR="00A2156C" w:rsidRPr="00BC2BC4">
        <w:rPr>
          <w:kern w:val="2"/>
          <w:sz w:val="20"/>
        </w:rPr>
        <w:t>essional or criminal penalties</w:t>
      </w:r>
      <w:r w:rsidR="001A2945" w:rsidRPr="00BC2BC4">
        <w:rPr>
          <w:kern w:val="2"/>
          <w:sz w:val="20"/>
        </w:rPr>
        <w:t xml:space="preserve"> for “consistent and unjustifiable biases in claims and estimates of costs, benefits, and risks.”</w:t>
      </w:r>
      <w:r w:rsidR="001A2945" w:rsidRPr="00BC2BC4">
        <w:rPr>
          <w:rStyle w:val="FootnoteReference"/>
          <w:rFonts w:cs="Times New Roman"/>
          <w:kern w:val="2"/>
          <w:sz w:val="20"/>
        </w:rPr>
        <w:footnoteReference w:id="306"/>
      </w:r>
      <w:r w:rsidR="0099191B" w:rsidRPr="00BC2BC4">
        <w:rPr>
          <w:kern w:val="2"/>
          <w:sz w:val="20"/>
        </w:rPr>
        <w:t xml:space="preserve"> The Treasury of the </w:t>
      </w:r>
      <w:r w:rsidRPr="00BC2BC4">
        <w:rPr>
          <w:kern w:val="2"/>
          <w:sz w:val="20"/>
        </w:rPr>
        <w:t>UK</w:t>
      </w:r>
      <w:r w:rsidR="0099191B" w:rsidRPr="00BC2BC4">
        <w:rPr>
          <w:kern w:val="2"/>
          <w:sz w:val="20"/>
        </w:rPr>
        <w:t xml:space="preserve"> </w:t>
      </w:r>
      <w:r w:rsidRPr="00BC2BC4">
        <w:rPr>
          <w:kern w:val="2"/>
          <w:sz w:val="20"/>
        </w:rPr>
        <w:t>addressed this issue by denying</w:t>
      </w:r>
      <w:r w:rsidR="0099191B" w:rsidRPr="00BC2BC4">
        <w:rPr>
          <w:kern w:val="2"/>
          <w:sz w:val="20"/>
        </w:rPr>
        <w:t xml:space="preserve"> access to funding </w:t>
      </w:r>
      <w:r w:rsidRPr="00BC2BC4">
        <w:rPr>
          <w:kern w:val="2"/>
          <w:sz w:val="20"/>
        </w:rPr>
        <w:t>for</w:t>
      </w:r>
      <w:r w:rsidR="0099191B" w:rsidRPr="00BC2BC4">
        <w:rPr>
          <w:kern w:val="2"/>
          <w:sz w:val="20"/>
        </w:rPr>
        <w:t xml:space="preserve"> infrastructure project proposals that do not show that they have </w:t>
      </w:r>
      <w:r w:rsidR="00DC7157" w:rsidRPr="00BC2BC4">
        <w:rPr>
          <w:kern w:val="2"/>
          <w:sz w:val="20"/>
        </w:rPr>
        <w:t xml:space="preserve">accounted for </w:t>
      </w:r>
      <w:r w:rsidR="0099191B" w:rsidRPr="00BC2BC4">
        <w:rPr>
          <w:kern w:val="2"/>
          <w:sz w:val="20"/>
        </w:rPr>
        <w:t>optimism bias in their planning.</w:t>
      </w:r>
      <w:r w:rsidR="0099191B" w:rsidRPr="00BC2BC4">
        <w:rPr>
          <w:rStyle w:val="FootnoteReference"/>
          <w:rFonts w:cs="Times New Roman"/>
          <w:kern w:val="2"/>
          <w:sz w:val="20"/>
        </w:rPr>
        <w:footnoteReference w:id="307"/>
      </w:r>
      <w:r w:rsidR="0099191B" w:rsidRPr="00BC2BC4">
        <w:rPr>
          <w:kern w:val="2"/>
          <w:sz w:val="20"/>
        </w:rPr>
        <w:t xml:space="preserve"> </w:t>
      </w:r>
    </w:p>
    <w:p w14:paraId="7AA7453B" w14:textId="77777777" w:rsidR="00B96CDF" w:rsidRPr="00BC2BC4" w:rsidRDefault="00495333" w:rsidP="00B96CDF">
      <w:pPr>
        <w:rPr>
          <w:rFonts w:cs="Times New Roman"/>
          <w:kern w:val="2"/>
          <w:sz w:val="20"/>
        </w:rPr>
      </w:pPr>
      <w:r w:rsidRPr="00BC2BC4">
        <w:rPr>
          <w:rFonts w:cs="Times New Roman"/>
          <w:kern w:val="2"/>
          <w:sz w:val="20"/>
        </w:rPr>
        <w:t xml:space="preserve">As </w:t>
      </w:r>
      <w:r w:rsidR="0023574F" w:rsidRPr="00BC2BC4">
        <w:rPr>
          <w:rFonts w:cs="Times New Roman"/>
          <w:kern w:val="2"/>
          <w:sz w:val="20"/>
        </w:rPr>
        <w:t>stated above</w:t>
      </w:r>
      <w:r w:rsidRPr="00BC2BC4">
        <w:rPr>
          <w:rFonts w:cs="Times New Roman"/>
          <w:kern w:val="2"/>
          <w:sz w:val="20"/>
        </w:rPr>
        <w:t xml:space="preserve">, corruption that occurs in </w:t>
      </w:r>
      <w:r w:rsidR="006132AB" w:rsidRPr="00BC2BC4">
        <w:rPr>
          <w:rFonts w:cs="Times New Roman"/>
          <w:kern w:val="2"/>
          <w:sz w:val="20"/>
        </w:rPr>
        <w:t xml:space="preserve">the </w:t>
      </w:r>
      <w:r w:rsidRPr="00BC2BC4">
        <w:rPr>
          <w:rFonts w:cs="Times New Roman"/>
          <w:kern w:val="2"/>
          <w:sz w:val="20"/>
        </w:rPr>
        <w:t>planning and project development stages</w:t>
      </w:r>
      <w:r w:rsidR="001B61C0" w:rsidRPr="00BC2BC4">
        <w:rPr>
          <w:rFonts w:cs="Times New Roman"/>
          <w:kern w:val="2"/>
          <w:sz w:val="20"/>
        </w:rPr>
        <w:t xml:space="preserve"> is of particular concern</w:t>
      </w:r>
      <w:r w:rsidRPr="00BC2BC4">
        <w:rPr>
          <w:rFonts w:cs="Times New Roman"/>
          <w:kern w:val="2"/>
          <w:sz w:val="20"/>
        </w:rPr>
        <w:t>. Corrupt politicians may choose projects that do not provide significant, or any, benefit to the public</w:t>
      </w:r>
      <w:r w:rsidR="0023574F" w:rsidRPr="00BC2BC4">
        <w:rPr>
          <w:rFonts w:cs="Times New Roman"/>
          <w:kern w:val="2"/>
          <w:sz w:val="20"/>
        </w:rPr>
        <w:t xml:space="preserve"> because they know that certain projects allow them to ex</w:t>
      </w:r>
      <w:r w:rsidR="001B61C0" w:rsidRPr="00BC2BC4">
        <w:rPr>
          <w:rFonts w:cs="Times New Roman"/>
          <w:kern w:val="2"/>
          <w:sz w:val="20"/>
        </w:rPr>
        <w:t>tr</w:t>
      </w:r>
      <w:r w:rsidR="0023574F" w:rsidRPr="00BC2BC4">
        <w:rPr>
          <w:rFonts w:cs="Times New Roman"/>
          <w:kern w:val="2"/>
          <w:sz w:val="20"/>
        </w:rPr>
        <w:t>act more bribes from contractors, or because they owe a contractor a favour</w:t>
      </w:r>
      <w:r w:rsidRPr="00BC2BC4">
        <w:rPr>
          <w:rFonts w:cs="Times New Roman"/>
          <w:kern w:val="2"/>
          <w:sz w:val="20"/>
        </w:rPr>
        <w:t xml:space="preserve">. </w:t>
      </w:r>
      <w:r w:rsidR="001B61C0" w:rsidRPr="00BC2BC4">
        <w:rPr>
          <w:rFonts w:cs="Times New Roman"/>
          <w:kern w:val="2"/>
          <w:sz w:val="20"/>
        </w:rPr>
        <w:t>This kind of d</w:t>
      </w:r>
      <w:r w:rsidR="0023574F" w:rsidRPr="00BC2BC4">
        <w:rPr>
          <w:rFonts w:cs="Times New Roman"/>
          <w:kern w:val="2"/>
          <w:sz w:val="20"/>
        </w:rPr>
        <w:t>eliberate</w:t>
      </w:r>
      <w:r w:rsidRPr="00BC2BC4">
        <w:rPr>
          <w:rFonts w:cs="Times New Roman"/>
          <w:kern w:val="2"/>
          <w:sz w:val="20"/>
        </w:rPr>
        <w:t xml:space="preserve"> manipulation</w:t>
      </w:r>
      <w:r w:rsidR="001B61C0" w:rsidRPr="00BC2BC4">
        <w:rPr>
          <w:rFonts w:cs="Times New Roman"/>
          <w:kern w:val="2"/>
          <w:sz w:val="20"/>
        </w:rPr>
        <w:t xml:space="preserve"> </w:t>
      </w:r>
      <w:r w:rsidRPr="00BC2BC4">
        <w:rPr>
          <w:rFonts w:cs="Times New Roman"/>
          <w:kern w:val="2"/>
          <w:sz w:val="20"/>
        </w:rPr>
        <w:t>during project planning is likely to facilitate corrupt acts throughout the project lifecycle.</w:t>
      </w:r>
      <w:r w:rsidR="0023574F" w:rsidRPr="00BC2BC4">
        <w:rPr>
          <w:rStyle w:val="FootnoteReference"/>
          <w:rFonts w:cs="Times New Roman"/>
          <w:kern w:val="2"/>
          <w:sz w:val="20"/>
        </w:rPr>
        <w:footnoteReference w:id="308"/>
      </w:r>
      <w:r w:rsidRPr="00BC2BC4">
        <w:rPr>
          <w:rFonts w:cs="Times New Roman"/>
          <w:kern w:val="2"/>
          <w:sz w:val="20"/>
        </w:rPr>
        <w:t xml:space="preserve"> As construction </w:t>
      </w:r>
      <w:r w:rsidR="00113AB2" w:rsidRPr="00BC2BC4">
        <w:rPr>
          <w:rFonts w:cs="Times New Roman"/>
          <w:kern w:val="2"/>
          <w:sz w:val="20"/>
        </w:rPr>
        <w:t xml:space="preserve">projects </w:t>
      </w:r>
      <w:r w:rsidRPr="00BC2BC4">
        <w:rPr>
          <w:rFonts w:cs="Times New Roman"/>
          <w:kern w:val="2"/>
          <w:sz w:val="20"/>
        </w:rPr>
        <w:t>provide significant opportunity for corruption, countries may be infrastructure</w:t>
      </w:r>
      <w:r w:rsidR="001B61C0" w:rsidRPr="00BC2BC4">
        <w:rPr>
          <w:rFonts w:cs="Times New Roman"/>
          <w:kern w:val="2"/>
          <w:sz w:val="20"/>
        </w:rPr>
        <w:t>-</w:t>
      </w:r>
      <w:r w:rsidRPr="00BC2BC4">
        <w:rPr>
          <w:rFonts w:cs="Times New Roman"/>
          <w:kern w:val="2"/>
          <w:sz w:val="20"/>
        </w:rPr>
        <w:t xml:space="preserve">heavy and </w:t>
      </w:r>
      <w:r w:rsidR="001B61C0" w:rsidRPr="00BC2BC4">
        <w:rPr>
          <w:rFonts w:cs="Times New Roman"/>
          <w:kern w:val="2"/>
          <w:sz w:val="20"/>
        </w:rPr>
        <w:t xml:space="preserve">yet </w:t>
      </w:r>
      <w:r w:rsidRPr="00BC2BC4">
        <w:rPr>
          <w:rFonts w:cs="Times New Roman"/>
          <w:kern w:val="2"/>
          <w:sz w:val="20"/>
        </w:rPr>
        <w:t xml:space="preserve">have </w:t>
      </w:r>
      <w:r w:rsidR="001B61C0" w:rsidRPr="00BC2BC4">
        <w:rPr>
          <w:rFonts w:cs="Times New Roman"/>
          <w:kern w:val="2"/>
          <w:sz w:val="20"/>
        </w:rPr>
        <w:t>in</w:t>
      </w:r>
      <w:r w:rsidRPr="00BC2BC4">
        <w:rPr>
          <w:rFonts w:cs="Times New Roman"/>
          <w:kern w:val="2"/>
          <w:sz w:val="20"/>
        </w:rPr>
        <w:t xml:space="preserve">sufficient capacity to </w:t>
      </w:r>
      <w:r w:rsidR="00113AB2" w:rsidRPr="00BC2BC4">
        <w:rPr>
          <w:rFonts w:cs="Times New Roman"/>
          <w:kern w:val="2"/>
          <w:sz w:val="20"/>
        </w:rPr>
        <w:t xml:space="preserve">maintain and </w:t>
      </w:r>
      <w:r w:rsidRPr="00BC2BC4">
        <w:rPr>
          <w:rFonts w:cs="Times New Roman"/>
          <w:kern w:val="2"/>
          <w:sz w:val="20"/>
        </w:rPr>
        <w:t xml:space="preserve">use the infrastructure. </w:t>
      </w:r>
      <w:r w:rsidR="001B61C0" w:rsidRPr="00BC2BC4">
        <w:rPr>
          <w:rFonts w:cs="Times New Roman"/>
          <w:kern w:val="2"/>
          <w:sz w:val="20"/>
        </w:rPr>
        <w:t xml:space="preserve">For example, a country may build hospitals that it </w:t>
      </w:r>
      <w:r w:rsidR="0023574F" w:rsidRPr="00BC2BC4">
        <w:rPr>
          <w:rFonts w:cs="Times New Roman"/>
          <w:kern w:val="2"/>
          <w:sz w:val="20"/>
        </w:rPr>
        <w:t xml:space="preserve">cannot afford to staff or supply. </w:t>
      </w:r>
      <w:r w:rsidR="001B61C0" w:rsidRPr="00BC2BC4">
        <w:rPr>
          <w:rFonts w:cs="Times New Roman"/>
          <w:kern w:val="2"/>
          <w:sz w:val="20"/>
        </w:rPr>
        <w:t xml:space="preserve">As noted by </w:t>
      </w:r>
      <w:r w:rsidR="004906FC" w:rsidRPr="00BC2BC4">
        <w:rPr>
          <w:rFonts w:cs="Times New Roman"/>
          <w:kern w:val="2"/>
          <w:sz w:val="20"/>
        </w:rPr>
        <w:t>the consulting firm</w:t>
      </w:r>
      <w:r w:rsidR="00692060" w:rsidRPr="00BC2BC4">
        <w:rPr>
          <w:rFonts w:cs="Times New Roman"/>
          <w:kern w:val="2"/>
          <w:sz w:val="20"/>
        </w:rPr>
        <w:t xml:space="preserve"> </w:t>
      </w:r>
      <w:r w:rsidR="001B61C0" w:rsidRPr="00BC2BC4">
        <w:rPr>
          <w:rFonts w:cs="Times New Roman"/>
          <w:kern w:val="2"/>
          <w:sz w:val="20"/>
        </w:rPr>
        <w:t>M</w:t>
      </w:r>
      <w:r w:rsidR="00D65128" w:rsidRPr="00BC2BC4">
        <w:rPr>
          <w:rFonts w:cs="Times New Roman"/>
          <w:kern w:val="2"/>
          <w:sz w:val="20"/>
        </w:rPr>
        <w:t>o</w:t>
      </w:r>
      <w:r w:rsidR="001B61C0" w:rsidRPr="00BC2BC4">
        <w:rPr>
          <w:rFonts w:cs="Times New Roman"/>
          <w:kern w:val="2"/>
          <w:sz w:val="20"/>
        </w:rPr>
        <w:t>tt Macdonald, o</w:t>
      </w:r>
      <w:r w:rsidR="0023574F" w:rsidRPr="00BC2BC4">
        <w:rPr>
          <w:rFonts w:cs="Times New Roman"/>
          <w:kern w:val="2"/>
          <w:sz w:val="20"/>
        </w:rPr>
        <w:t>nce</w:t>
      </w:r>
      <w:r w:rsidRPr="00BC2BC4">
        <w:rPr>
          <w:rFonts w:cs="Times New Roman"/>
          <w:kern w:val="2"/>
          <w:sz w:val="20"/>
        </w:rPr>
        <w:t xml:space="preserve"> a public need is found and officials determine that public funds will be </w:t>
      </w:r>
      <w:r w:rsidR="0023574F" w:rsidRPr="00BC2BC4">
        <w:rPr>
          <w:rFonts w:cs="Times New Roman"/>
          <w:kern w:val="2"/>
          <w:sz w:val="20"/>
        </w:rPr>
        <w:t>allocated</w:t>
      </w:r>
      <w:r w:rsidRPr="00BC2BC4">
        <w:rPr>
          <w:rFonts w:cs="Times New Roman"/>
          <w:kern w:val="2"/>
          <w:sz w:val="20"/>
        </w:rPr>
        <w:t xml:space="preserve"> to meet this need, care </w:t>
      </w:r>
      <w:r w:rsidR="00A0512A" w:rsidRPr="00BC2BC4">
        <w:rPr>
          <w:rFonts w:cs="Times New Roman"/>
          <w:kern w:val="2"/>
          <w:sz w:val="20"/>
        </w:rPr>
        <w:t>must</w:t>
      </w:r>
      <w:r w:rsidRPr="00BC2BC4">
        <w:rPr>
          <w:rFonts w:cs="Times New Roman"/>
          <w:kern w:val="2"/>
          <w:sz w:val="20"/>
        </w:rPr>
        <w:t xml:space="preserve"> be taken in setting the parameters and budget for the project:</w:t>
      </w:r>
    </w:p>
    <w:p w14:paraId="09FECFDD" w14:textId="7E17EEB4" w:rsidR="00495333" w:rsidRPr="00BC2BC4" w:rsidRDefault="00495333" w:rsidP="00B96CDF">
      <w:pPr>
        <w:pStyle w:val="BlockQuote"/>
        <w:rPr>
          <w:kern w:val="2"/>
          <w:sz w:val="20"/>
        </w:rPr>
      </w:pPr>
      <w:r w:rsidRPr="00BC2BC4">
        <w:rPr>
          <w:kern w:val="2"/>
          <w:sz w:val="20"/>
        </w:rPr>
        <w:t xml:space="preserve">During the project </w:t>
      </w:r>
      <w:r w:rsidR="0023574F" w:rsidRPr="00BC2BC4">
        <w:rPr>
          <w:kern w:val="2"/>
          <w:sz w:val="20"/>
        </w:rPr>
        <w:t>preparation</w:t>
      </w:r>
      <w:r w:rsidRPr="00BC2BC4">
        <w:rPr>
          <w:kern w:val="2"/>
          <w:sz w:val="20"/>
        </w:rPr>
        <w:t xml:space="preserve"> period, significant opportunities arise for the diversion of public resources to favour political or private interests. This stage of the project cycle is when some of the worst forms of grand corruption and state capture occur. But this is not all. Failures in project preparation (whether due to corruption, negligence, or capacity constraints) can also open up opportunities for corruption at later stages of the project cycle. For example, inadequate project preparation may lead to subsequent </w:t>
      </w:r>
      <w:r w:rsidR="0023574F" w:rsidRPr="00BC2BC4">
        <w:rPr>
          <w:kern w:val="2"/>
          <w:sz w:val="20"/>
        </w:rPr>
        <w:t>implementation</w:t>
      </w:r>
      <w:r w:rsidRPr="00BC2BC4">
        <w:rPr>
          <w:kern w:val="2"/>
          <w:sz w:val="20"/>
        </w:rPr>
        <w:t xml:space="preserve"> delays that may require changes that can be manipulated to benefit individuals or companies. The preparation stage is especially likely to facilitate corrupt acts at a later stage when failures at this stage are deliberate.</w:t>
      </w:r>
      <w:r w:rsidR="0035021F" w:rsidRPr="00BC2BC4">
        <w:rPr>
          <w:rStyle w:val="FootnoteReference"/>
          <w:kern w:val="2"/>
          <w:sz w:val="20"/>
          <w:szCs w:val="21"/>
        </w:rPr>
        <w:footnoteReference w:id="309"/>
      </w:r>
    </w:p>
    <w:p w14:paraId="0F790E0E" w14:textId="77777777" w:rsidR="00262404" w:rsidRPr="00BC2BC4" w:rsidRDefault="0023574F" w:rsidP="003F14E9">
      <w:pPr>
        <w:contextualSpacing/>
        <w:rPr>
          <w:rFonts w:cs="Times New Roman"/>
          <w:kern w:val="2"/>
          <w:sz w:val="20"/>
        </w:rPr>
      </w:pPr>
      <w:r w:rsidRPr="00BC2BC4">
        <w:rPr>
          <w:rFonts w:cs="Times New Roman"/>
          <w:kern w:val="2"/>
          <w:sz w:val="20"/>
        </w:rPr>
        <w:t>It is important to screen out projects with high costs and grossly negative rates of return as early as possible</w:t>
      </w:r>
      <w:r w:rsidR="004359E0" w:rsidRPr="00BC2BC4">
        <w:rPr>
          <w:rFonts w:cs="Times New Roman"/>
          <w:kern w:val="2"/>
          <w:sz w:val="20"/>
        </w:rPr>
        <w:t>, as this is the most serious consequence of inadequate project screening</w:t>
      </w:r>
      <w:r w:rsidRPr="00BC2BC4">
        <w:rPr>
          <w:rFonts w:cs="Times New Roman"/>
          <w:kern w:val="2"/>
          <w:sz w:val="20"/>
        </w:rPr>
        <w:t>.</w:t>
      </w:r>
      <w:r w:rsidR="004359E0" w:rsidRPr="00BC2BC4">
        <w:rPr>
          <w:rStyle w:val="FootnoteReference"/>
          <w:rFonts w:cs="Times New Roman"/>
          <w:kern w:val="2"/>
          <w:sz w:val="20"/>
        </w:rPr>
        <w:footnoteReference w:id="310"/>
      </w:r>
      <w:r w:rsidRPr="00BC2BC4">
        <w:rPr>
          <w:rFonts w:cs="Times New Roman"/>
          <w:kern w:val="2"/>
          <w:sz w:val="20"/>
        </w:rPr>
        <w:t xml:space="preserve"> Governments spend a significant amount of money on consulting during appraisal and planning of the project, and thus should ensure projects are feasible and valuable to the public prior to expendi</w:t>
      </w:r>
      <w:r w:rsidR="00D22DEB" w:rsidRPr="00BC2BC4">
        <w:rPr>
          <w:rFonts w:cs="Times New Roman"/>
          <w:kern w:val="2"/>
          <w:sz w:val="20"/>
        </w:rPr>
        <w:t>ng public funds for consulting.</w:t>
      </w:r>
      <w:r w:rsidRPr="00BC2BC4">
        <w:rPr>
          <w:rStyle w:val="FootnoteReference"/>
          <w:rFonts w:cs="Times New Roman"/>
          <w:kern w:val="2"/>
          <w:sz w:val="20"/>
        </w:rPr>
        <w:footnoteReference w:id="311"/>
      </w:r>
    </w:p>
    <w:sectPr w:rsidR="00262404" w:rsidRPr="00BC2BC4" w:rsidSect="00C34EEA">
      <w:headerReference w:type="even" r:id="rId9"/>
      <w:headerReference w:type="default" r:id="rId10"/>
      <w:footerReference w:type="even" r:id="rId11"/>
      <w:footerReference w:type="default" r:id="rId12"/>
      <w:headerReference w:type="first" r:id="rId13"/>
      <w:footerReference w:type="first" r:id="rId14"/>
      <w:type w:val="continuous"/>
      <w:pgSz w:w="10801" w:h="15122" w:code="1"/>
      <w:pgMar w:top="1440" w:right="1077" w:bottom="1440" w:left="1077" w:header="567" w:footer="567" w:gutter="567"/>
      <w:pgNumType w:start="94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A279F5" w14:textId="77777777" w:rsidR="003B45D5" w:rsidRDefault="003B45D5" w:rsidP="00817799">
      <w:pPr>
        <w:spacing w:after="0"/>
      </w:pPr>
      <w:r>
        <w:separator/>
      </w:r>
    </w:p>
  </w:endnote>
  <w:endnote w:type="continuationSeparator" w:id="0">
    <w:p w14:paraId="527C9E39" w14:textId="77777777" w:rsidR="003B45D5" w:rsidRDefault="003B45D5" w:rsidP="008177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3534529"/>
      <w:docPartObj>
        <w:docPartGallery w:val="Page Numbers (Bottom of Page)"/>
        <w:docPartUnique/>
      </w:docPartObj>
    </w:sdtPr>
    <w:sdtEndPr>
      <w:rPr>
        <w:noProof/>
      </w:rPr>
    </w:sdtEndPr>
    <w:sdtContent>
      <w:sdt>
        <w:sdtPr>
          <w:rPr>
            <w:rFonts w:eastAsia="Calibri" w:cs="Times New Roman"/>
          </w:rPr>
          <w:id w:val="1900777855"/>
          <w:docPartObj>
            <w:docPartGallery w:val="Page Numbers (Bottom of Page)"/>
            <w:docPartUnique/>
          </w:docPartObj>
        </w:sdtPr>
        <w:sdtEndPr>
          <w:rPr>
            <w:noProof/>
            <w:sz w:val="18"/>
          </w:rPr>
        </w:sdtEndPr>
        <w:sdtContent>
          <w:p w14:paraId="7C9C8461" w14:textId="6C132F64" w:rsidR="003B45D5" w:rsidRPr="00976578" w:rsidRDefault="003B45D5" w:rsidP="00976578">
            <w:pPr>
              <w:tabs>
                <w:tab w:val="center" w:pos="4680"/>
              </w:tabs>
              <w:spacing w:before="0" w:after="0"/>
              <w:ind w:left="-283" w:right="-283"/>
              <w:rPr>
                <w:rFonts w:eastAsia="Calibri" w:cs="Times New Roman"/>
                <w:noProof/>
                <w:sz w:val="18"/>
              </w:rPr>
            </w:pPr>
            <w:r w:rsidRPr="00976578">
              <w:rPr>
                <w:rFonts w:eastAsia="Calibri" w:cs="Times New Roman"/>
              </w:rPr>
              <w:fldChar w:fldCharType="begin"/>
            </w:r>
            <w:r w:rsidRPr="00976578">
              <w:rPr>
                <w:rFonts w:eastAsia="Calibri" w:cs="Times New Roman"/>
              </w:rPr>
              <w:instrText xml:space="preserve"> PAGE   \* MERGEFORMAT </w:instrText>
            </w:r>
            <w:r w:rsidRPr="00976578">
              <w:rPr>
                <w:rFonts w:eastAsia="Calibri" w:cs="Times New Roman"/>
              </w:rPr>
              <w:fldChar w:fldCharType="separate"/>
            </w:r>
            <w:r w:rsidR="00C34EEA">
              <w:rPr>
                <w:rFonts w:eastAsia="Calibri" w:cs="Times New Roman"/>
                <w:noProof/>
              </w:rPr>
              <w:t>1004</w:t>
            </w:r>
            <w:r w:rsidRPr="00976578">
              <w:rPr>
                <w:rFonts w:eastAsia="Calibri" w:cs="Times New Roman"/>
                <w:noProof/>
              </w:rPr>
              <w:fldChar w:fldCharType="end"/>
            </w:r>
            <w:r w:rsidRPr="00976578">
              <w:rPr>
                <w:rFonts w:eastAsia="Calibri" w:cs="Times New Roman"/>
              </w:rPr>
              <w:tab/>
            </w:r>
            <w:r w:rsidRPr="00976578">
              <w:rPr>
                <w:rFonts w:eastAsia="Calibri" w:cs="Times New Roman"/>
              </w:rPr>
              <w:tab/>
            </w:r>
            <w:r w:rsidRPr="00976578">
              <w:rPr>
                <w:rFonts w:eastAsia="Calibri" w:cs="Times New Roman"/>
              </w:rPr>
              <w:tab/>
              <w:t xml:space="preserve">       </w:t>
            </w:r>
            <w:r w:rsidRPr="00976578">
              <w:rPr>
                <w:rFonts w:eastAsia="Calibri" w:cs="Times New Roman"/>
                <w:sz w:val="18"/>
              </w:rPr>
              <w:t xml:space="preserve">                   </w:t>
            </w:r>
            <w:r>
              <w:rPr>
                <w:rFonts w:eastAsia="Calibri" w:cs="Times New Roman"/>
                <w:sz w:val="18"/>
              </w:rPr>
              <w:t xml:space="preserve">    </w:t>
            </w:r>
            <w:r w:rsidR="006F61C5">
              <w:rPr>
                <w:rFonts w:eastAsia="Calibri" w:cs="Times New Roman"/>
                <w:sz w:val="18"/>
              </w:rPr>
              <w:t xml:space="preserve">       </w:t>
            </w:r>
            <w:r w:rsidR="006F61C5">
              <w:rPr>
                <w:rFonts w:eastAsia="Calibri" w:cs="Times New Roman"/>
                <w:smallCaps/>
                <w:sz w:val="18"/>
              </w:rPr>
              <w:t>April</w:t>
            </w:r>
            <w:r w:rsidRPr="00976578">
              <w:rPr>
                <w:rFonts w:eastAsia="Calibri" w:cs="Times New Roman"/>
                <w:sz w:val="18"/>
              </w:rPr>
              <w:t xml:space="preserve"> 2018</w: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2832562"/>
      <w:docPartObj>
        <w:docPartGallery w:val="Page Numbers (Bottom of Page)"/>
        <w:docPartUnique/>
      </w:docPartObj>
    </w:sdtPr>
    <w:sdtEndPr>
      <w:rPr>
        <w:noProof/>
      </w:rPr>
    </w:sdtEndPr>
    <w:sdtContent>
      <w:sdt>
        <w:sdtPr>
          <w:rPr>
            <w:rFonts w:eastAsia="Calibri" w:cs="Times New Roman"/>
          </w:rPr>
          <w:id w:val="76958116"/>
          <w:docPartObj>
            <w:docPartGallery w:val="Page Numbers (Bottom of Page)"/>
            <w:docPartUnique/>
          </w:docPartObj>
        </w:sdtPr>
        <w:sdtEndPr>
          <w:rPr>
            <w:noProof/>
          </w:rPr>
        </w:sdtEndPr>
        <w:sdtContent>
          <w:p w14:paraId="6AFD0786" w14:textId="0A034F25" w:rsidR="003B45D5" w:rsidRPr="00976578" w:rsidRDefault="006F61C5" w:rsidP="00976578">
            <w:pPr>
              <w:tabs>
                <w:tab w:val="center" w:pos="4680"/>
                <w:tab w:val="right" w:pos="9639"/>
              </w:tabs>
              <w:spacing w:before="0" w:after="0"/>
              <w:ind w:left="-283" w:right="-283"/>
              <w:jc w:val="left"/>
              <w:rPr>
                <w:rFonts w:eastAsia="Calibri" w:cs="Times New Roman"/>
                <w:noProof/>
              </w:rPr>
            </w:pPr>
            <w:r>
              <w:rPr>
                <w:rFonts w:eastAsia="Calibri" w:cs="Times New Roman"/>
                <w:smallCaps/>
                <w:sz w:val="18"/>
              </w:rPr>
              <w:t>April</w:t>
            </w:r>
            <w:r w:rsidR="003B45D5" w:rsidRPr="00E64604">
              <w:rPr>
                <w:rFonts w:eastAsia="Calibri" w:cs="Times New Roman"/>
                <w:smallCaps/>
                <w:sz w:val="18"/>
              </w:rPr>
              <w:t xml:space="preserve"> 2018</w:t>
            </w:r>
            <w:r w:rsidR="003B45D5" w:rsidRPr="00E64604">
              <w:rPr>
                <w:rFonts w:eastAsia="Calibri" w:cs="Times New Roman"/>
              </w:rPr>
              <w:tab/>
            </w:r>
            <w:r w:rsidR="003B45D5" w:rsidRPr="00E64604">
              <w:rPr>
                <w:rFonts w:eastAsia="Calibri" w:cs="Times New Roman"/>
              </w:rPr>
              <w:tab/>
            </w:r>
            <w:r w:rsidR="003B45D5" w:rsidRPr="00E64604">
              <w:rPr>
                <w:rFonts w:eastAsia="Calibri" w:cs="Times New Roman"/>
              </w:rPr>
              <w:fldChar w:fldCharType="begin"/>
            </w:r>
            <w:r w:rsidR="003B45D5" w:rsidRPr="00E64604">
              <w:rPr>
                <w:rFonts w:eastAsia="Calibri" w:cs="Times New Roman"/>
              </w:rPr>
              <w:instrText xml:space="preserve"> PAGE   \* MERGEFORMAT </w:instrText>
            </w:r>
            <w:r w:rsidR="003B45D5" w:rsidRPr="00E64604">
              <w:rPr>
                <w:rFonts w:eastAsia="Calibri" w:cs="Times New Roman"/>
              </w:rPr>
              <w:fldChar w:fldCharType="separate"/>
            </w:r>
            <w:r w:rsidR="00C34EEA">
              <w:rPr>
                <w:rFonts w:eastAsia="Calibri" w:cs="Times New Roman"/>
                <w:noProof/>
              </w:rPr>
              <w:t>1005</w:t>
            </w:r>
            <w:r w:rsidR="003B45D5" w:rsidRPr="00E64604">
              <w:rPr>
                <w:rFonts w:eastAsia="Calibri" w:cs="Times New Roman"/>
                <w:noProof/>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FAE07" w14:textId="77777777" w:rsidR="003B45D5" w:rsidRDefault="003B45D5" w:rsidP="00976578">
    <w:pPr>
      <w:pStyle w:val="Footer"/>
      <w:spacing w:befor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D29C49" w14:textId="77777777" w:rsidR="003B45D5" w:rsidRDefault="003B45D5" w:rsidP="00817799">
      <w:pPr>
        <w:spacing w:after="0"/>
      </w:pPr>
      <w:r>
        <w:separator/>
      </w:r>
    </w:p>
  </w:footnote>
  <w:footnote w:type="continuationSeparator" w:id="0">
    <w:p w14:paraId="544C4437" w14:textId="77777777" w:rsidR="003B45D5" w:rsidRDefault="003B45D5" w:rsidP="00817799">
      <w:pPr>
        <w:spacing w:after="0"/>
      </w:pPr>
      <w:r>
        <w:continuationSeparator/>
      </w:r>
    </w:p>
  </w:footnote>
  <w:footnote w:id="1">
    <w:p w14:paraId="6F94AD46" w14:textId="6DF52901"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Susanne Kühn &amp; Laura B Sherman, </w:t>
      </w:r>
      <w:r w:rsidRPr="00BC2BC4">
        <w:rPr>
          <w:rFonts w:cs="Times New Roman"/>
          <w:i/>
          <w:szCs w:val="18"/>
        </w:rPr>
        <w:t>Curbing Corruption in Public Procurement: A Practical Guide</w:t>
      </w:r>
      <w:r w:rsidRPr="00BC2BC4">
        <w:rPr>
          <w:rFonts w:cs="Times New Roman"/>
          <w:szCs w:val="18"/>
        </w:rPr>
        <w:t xml:space="preserve"> (Transparency International, 2014) at 4, online: &lt;</w:t>
      </w:r>
      <w:hyperlink r:id="rId1" w:history="1">
        <w:r w:rsidR="00EF3B7C" w:rsidRPr="00B87CEC">
          <w:rPr>
            <w:rStyle w:val="Hyperlink"/>
            <w:rFonts w:cs="Times New Roman"/>
            <w:szCs w:val="18"/>
          </w:rPr>
          <w:t>www.acec.ca/source/2014/november/pdf/</w:t>
        </w:r>
        <w:r w:rsidR="00EF3B7C" w:rsidRPr="00B87CEC">
          <w:rPr>
            <w:rStyle w:val="Hyperlink"/>
            <w:rFonts w:cs="Times New Roman"/>
            <w:szCs w:val="18"/>
          </w:rPr>
          <w:br/>
          <w:t>2014_AntiCorruption_PublicProcurement_Guide_EN.pdf</w:t>
        </w:r>
      </w:hyperlink>
      <w:r w:rsidRPr="00BC2BC4">
        <w:rPr>
          <w:rFonts w:cs="Times New Roman"/>
          <w:szCs w:val="18"/>
        </w:rPr>
        <w:t>&gt;.</w:t>
      </w:r>
    </w:p>
  </w:footnote>
  <w:footnote w:id="2">
    <w:p w14:paraId="35C83AAF" w14:textId="77777777"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 xml:space="preserve">Ibid. </w:t>
      </w:r>
    </w:p>
  </w:footnote>
  <w:footnote w:id="3">
    <w:p w14:paraId="5D8026E9" w14:textId="6FF312B1"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As referenced by Graham Steele at footnote 124 of his LLM thesis, </w:t>
      </w:r>
      <w:r w:rsidRPr="00BC2BC4">
        <w:rPr>
          <w:rFonts w:cs="Times New Roman"/>
          <w:i/>
          <w:szCs w:val="18"/>
        </w:rPr>
        <w:t xml:space="preserve">Quebec’s Bill 1: A Case Study in Anti-Corruption Legislation and the Barriers to Evidence-Based Law-Making </w:t>
      </w:r>
      <w:r w:rsidRPr="00BC2BC4">
        <w:rPr>
          <w:rFonts w:cs="Times New Roman"/>
          <w:szCs w:val="18"/>
        </w:rPr>
        <w:t>(Dalhousie University Schulich School of Law, 2015), online: &lt;</w:t>
      </w:r>
      <w:hyperlink r:id="rId2" w:history="1">
        <w:r w:rsidRPr="00BC2BC4">
          <w:rPr>
            <w:rStyle w:val="Hyperlink"/>
            <w:rFonts w:cs="Times New Roman"/>
            <w:szCs w:val="18"/>
          </w:rPr>
          <w:t>dalspace.library.dal.ca/handle/10222/56272</w:t>
        </w:r>
      </w:hyperlink>
      <w:r w:rsidRPr="00BC2BC4">
        <w:rPr>
          <w:rFonts w:cs="Times New Roman"/>
          <w:szCs w:val="18"/>
        </w:rPr>
        <w:t xml:space="preserve">&gt;, the most recent version of the </w:t>
      </w:r>
      <w:r w:rsidRPr="00BC2BC4">
        <w:rPr>
          <w:rFonts w:cs="Times New Roman"/>
          <w:i/>
          <w:szCs w:val="18"/>
        </w:rPr>
        <w:t xml:space="preserve">Bibliography on Public Procurement Law and Regulation </w:t>
      </w:r>
      <w:r w:rsidRPr="00BC2BC4">
        <w:rPr>
          <w:rFonts w:cs="Times New Roman"/>
          <w:szCs w:val="18"/>
        </w:rPr>
        <w:t>(Public Procurement Research Group, University of Nottingham, online: &lt;</w:t>
      </w:r>
      <w:hyperlink r:id="rId3" w:history="1">
        <w:r w:rsidR="00377A70" w:rsidRPr="00B87CEC">
          <w:rPr>
            <w:rStyle w:val="Hyperlink"/>
            <w:rFonts w:cs="Times New Roman"/>
            <w:szCs w:val="18"/>
          </w:rPr>
          <w:t>https://www.nottingham.ac.uk/pprg/documentsarchive/</w:t>
        </w:r>
        <w:r w:rsidR="00377A70" w:rsidRPr="00B87CEC">
          <w:rPr>
            <w:rStyle w:val="Hyperlink"/>
            <w:rFonts w:cs="Times New Roman"/>
            <w:szCs w:val="18"/>
          </w:rPr>
          <w:br/>
        </w:r>
        <w:bookmarkStart w:id="3" w:name="_GoBack"/>
        <w:bookmarkEnd w:id="3"/>
        <w:r w:rsidR="00377A70" w:rsidRPr="00B87CEC">
          <w:rPr>
            <w:rStyle w:val="Hyperlink"/>
            <w:rFonts w:cs="Times New Roman"/>
            <w:szCs w:val="18"/>
          </w:rPr>
          <w:t>bibliography-at-nov-2012.pdf</w:t>
        </w:r>
      </w:hyperlink>
      <w:r w:rsidRPr="00BC2BC4">
        <w:rPr>
          <w:rFonts w:cs="Times New Roman"/>
          <w:szCs w:val="18"/>
        </w:rPr>
        <w:t>&gt;) amounts to 343 pages.</w:t>
      </w:r>
    </w:p>
  </w:footnote>
  <w:footnote w:id="4">
    <w:p w14:paraId="1861A299" w14:textId="2F1CB0BF"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Martin Auger, </w:t>
      </w:r>
      <w:r w:rsidRPr="00BC2BC4">
        <w:rPr>
          <w:rFonts w:cs="Times New Roman"/>
          <w:i/>
          <w:szCs w:val="18"/>
        </w:rPr>
        <w:t>Defence Procurement Organizations: A Global Comparison</w:t>
      </w:r>
      <w:r w:rsidRPr="00BC2BC4">
        <w:rPr>
          <w:rFonts w:cs="Times New Roman"/>
          <w:szCs w:val="18"/>
        </w:rPr>
        <w:t xml:space="preserve"> (Library of Parliament, 2014), online: &lt;http://www.parl.gc.ca/Content/LOP/ResearchPublications/2014-82-e.html&gt;.</w:t>
      </w:r>
    </w:p>
  </w:footnote>
  <w:footnote w:id="5">
    <w:p w14:paraId="573D0ABA" w14:textId="700238BD"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Elizabeth Anderson, “Municipal ‘Best Practices’: Preventing Fraud, Bribery and Corruption” (Vancouver, BC: International Centre for Criminal Law Reform and Criminal Justice Policy, 2013) at 2, online: &lt;</w:t>
      </w:r>
      <w:hyperlink r:id="rId4" w:history="1">
        <w:r w:rsidRPr="00BC2BC4">
          <w:rPr>
            <w:rStyle w:val="Hyperlink"/>
            <w:rFonts w:cs="Times New Roman"/>
            <w:szCs w:val="18"/>
          </w:rPr>
          <w:t>icclr.law.ubc.ca/sites/icclr.law.ubc.ca/files/publications/pdfs/Municipal Best Practices - Preventing Fraud, Bribery and Corruption FINAL.pdf</w:t>
        </w:r>
      </w:hyperlink>
      <w:r w:rsidRPr="00BC2BC4">
        <w:rPr>
          <w:rFonts w:cs="Times New Roman"/>
          <w:szCs w:val="18"/>
        </w:rPr>
        <w:t xml:space="preserve">&gt;. </w:t>
      </w:r>
      <w:r w:rsidRPr="00BC2BC4">
        <w:rPr>
          <w:rFonts w:cs="Times New Roman"/>
          <w:szCs w:val="18"/>
          <w:lang w:val="en-US"/>
        </w:rPr>
        <w:t>See also Joel S Hellman, Geraint Jones &amp; Daniel Kaufmann, “Seize the State, Seize the Day: An Empirical Analysis of State Capture and Corruption in Transition” (Paper prepared for the ABCDE 2000 Conference, Washington, DC, 18–20 April 2000), online: &lt;</w:t>
      </w:r>
      <w:hyperlink r:id="rId5" w:history="1">
        <w:r w:rsidRPr="00BC2BC4">
          <w:rPr>
            <w:rStyle w:val="Hyperlink"/>
            <w:rFonts w:cs="Times New Roman"/>
            <w:szCs w:val="18"/>
            <w:lang w:val="en-US"/>
          </w:rPr>
          <w:t>siteresources.worldbank.org/INTABCDEWASHINGTON2000/Resources/hellman.pdf</w:t>
        </w:r>
      </w:hyperlink>
      <w:r w:rsidRPr="00BC2BC4">
        <w:rPr>
          <w:rFonts w:cs="Times New Roman"/>
          <w:szCs w:val="18"/>
          <w:lang w:val="en-US"/>
        </w:rPr>
        <w:t>&gt;.</w:t>
      </w:r>
    </w:p>
  </w:footnote>
  <w:footnote w:id="6">
    <w:p w14:paraId="5BD1539E" w14:textId="0DBDB28B"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Kühn &amp; Sherman (2014) at 4, online: &lt;</w:t>
      </w:r>
      <w:hyperlink r:id="rId6" w:history="1">
        <w:r w:rsidRPr="00BC2BC4">
          <w:rPr>
            <w:rStyle w:val="Hyperlink"/>
            <w:rFonts w:cs="Times New Roman"/>
            <w:szCs w:val="18"/>
          </w:rPr>
          <w:t>www.acec.ca/source/2014/november/pdf/2014_AntiCorruption_PublicProcurement_Guide_EN.pdf&gt;.</w:t>
        </w:r>
      </w:hyperlink>
      <w:r w:rsidRPr="00BC2BC4">
        <w:rPr>
          <w:rStyle w:val="Hyperlink"/>
          <w:rFonts w:cs="Times New Roman"/>
          <w:szCs w:val="18"/>
        </w:rPr>
        <w:t xml:space="preserve"> </w:t>
      </w:r>
      <w:r w:rsidRPr="00BC2BC4">
        <w:rPr>
          <w:rFonts w:cs="Times New Roman"/>
          <w:szCs w:val="18"/>
        </w:rPr>
        <w:t>Kühn</w:t>
      </w:r>
      <w:r w:rsidRPr="00BC2BC4" w:rsidDel="00091AB6">
        <w:rPr>
          <w:rFonts w:cs="Times New Roman"/>
          <w:szCs w:val="18"/>
        </w:rPr>
        <w:t xml:space="preserve"> </w:t>
      </w:r>
      <w:r w:rsidRPr="00BC2BC4">
        <w:rPr>
          <w:rFonts w:cs="Times New Roman"/>
          <w:szCs w:val="18"/>
        </w:rPr>
        <w:t xml:space="preserve">and Sherman provide a number of examples of the detrimental effects of corruption in public procurement. According to estimates by Transparency International, </w:t>
      </w:r>
      <w:r w:rsidRPr="00BC2BC4">
        <w:rPr>
          <w:rFonts w:cs="Times New Roman"/>
          <w:szCs w:val="18"/>
          <w:lang w:val="en-US"/>
        </w:rPr>
        <w:t>corruption can add as much as 50% to a project’s costs: Transparency International, “Public Procurement”, online: &lt;</w:t>
      </w:r>
      <w:hyperlink r:id="rId7" w:history="1">
        <w:r w:rsidRPr="00BC2BC4">
          <w:rPr>
            <w:rStyle w:val="Hyperlink"/>
            <w:rFonts w:cs="Times New Roman"/>
            <w:szCs w:val="18"/>
            <w:lang w:val="en-US"/>
          </w:rPr>
          <w:t>www.transparency.org/topic/detail/public_procurement</w:t>
        </w:r>
      </w:hyperlink>
      <w:r w:rsidRPr="00BC2BC4">
        <w:rPr>
          <w:rFonts w:cs="Times New Roman"/>
          <w:szCs w:val="18"/>
          <w:lang w:val="en-US"/>
        </w:rPr>
        <w:t>&gt;.</w:t>
      </w:r>
    </w:p>
  </w:footnote>
  <w:footnote w:id="7">
    <w:p w14:paraId="529FB60D" w14:textId="46BB5406"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 xml:space="preserve">OECD, </w:t>
      </w:r>
      <w:r w:rsidRPr="00BC2BC4">
        <w:rPr>
          <w:rFonts w:cs="Times New Roman"/>
          <w:i/>
          <w:szCs w:val="18"/>
        </w:rPr>
        <w:t>Implementing the OECD Principles for Integrity in Public Procurement:</w:t>
      </w:r>
      <w:r w:rsidRPr="00BC2BC4">
        <w:rPr>
          <w:rFonts w:cs="Times New Roman"/>
          <w:szCs w:val="18"/>
        </w:rPr>
        <w:t xml:space="preserve"> </w:t>
      </w:r>
      <w:r w:rsidRPr="00BC2BC4">
        <w:rPr>
          <w:rFonts w:cs="Times New Roman"/>
          <w:i/>
          <w:iCs/>
          <w:szCs w:val="18"/>
          <w:lang w:val="en-US"/>
        </w:rPr>
        <w:t>Progress Since 2008</w:t>
      </w:r>
      <w:r w:rsidRPr="00BC2BC4">
        <w:rPr>
          <w:rFonts w:cs="Times New Roman"/>
          <w:iCs/>
          <w:szCs w:val="18"/>
          <w:lang w:val="en-US"/>
        </w:rPr>
        <w:t xml:space="preserve"> (2013), online: &lt;</w:t>
      </w:r>
      <w:hyperlink r:id="rId8" w:history="1">
        <w:r w:rsidRPr="00BC2BC4">
          <w:rPr>
            <w:rStyle w:val="Hyperlink"/>
            <w:rFonts w:cs="Times New Roman"/>
            <w:iCs/>
            <w:szCs w:val="18"/>
            <w:lang w:val="en-US"/>
          </w:rPr>
          <w:t>www.oecd-ilibrary.org/governance/implementing-the-oecd-principles-for-integrity-in-public-procurement_9789264201385-en</w:t>
        </w:r>
      </w:hyperlink>
      <w:r w:rsidRPr="00BC2BC4">
        <w:rPr>
          <w:rFonts w:cs="Times New Roman"/>
          <w:iCs/>
          <w:szCs w:val="18"/>
          <w:lang w:val="en-US"/>
        </w:rPr>
        <w:t>&gt;.</w:t>
      </w:r>
    </w:p>
  </w:footnote>
  <w:footnote w:id="8">
    <w:p w14:paraId="0881AA45" w14:textId="33D06F84"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Paul Collier &amp; Anke Hoeffler, “The Economic Costs of Corruption in Infrastructure” in Diana Rodriguez, Gerard Waite &amp; Toby Wolfe, eds, </w:t>
      </w:r>
      <w:r w:rsidRPr="00BC2BC4">
        <w:rPr>
          <w:rFonts w:cs="Times New Roman"/>
          <w:i/>
          <w:szCs w:val="18"/>
        </w:rPr>
        <w:t>Global Corruption Report 2005</w:t>
      </w:r>
      <w:r w:rsidRPr="00BC2BC4">
        <w:rPr>
          <w:rFonts w:cs="Times New Roman"/>
          <w:szCs w:val="18"/>
        </w:rPr>
        <w:t xml:space="preserve"> (Pluto Press in association with Transparency International, 2005) 12 at 13, online: &lt;</w:t>
      </w:r>
      <w:hyperlink r:id="rId9" w:history="1">
        <w:r w:rsidR="002D27B8" w:rsidRPr="00B87CEC">
          <w:rPr>
            <w:rStyle w:val="Hyperlink"/>
            <w:rFonts w:cs="Times New Roman"/>
            <w:szCs w:val="18"/>
          </w:rPr>
          <w:t>www.transparency.org/whatwedo/</w:t>
        </w:r>
        <w:r w:rsidR="002D27B8" w:rsidRPr="00B87CEC">
          <w:rPr>
            <w:rStyle w:val="Hyperlink"/>
            <w:rFonts w:cs="Times New Roman"/>
            <w:szCs w:val="18"/>
          </w:rPr>
          <w:br/>
          <w:t>publication/global_corruption_report_2005_corruption_in_construction_and_post_conflict</w:t>
        </w:r>
      </w:hyperlink>
      <w:r w:rsidRPr="00BC2BC4">
        <w:rPr>
          <w:rFonts w:cs="Times New Roman"/>
          <w:szCs w:val="18"/>
        </w:rPr>
        <w:t xml:space="preserve">&gt;. </w:t>
      </w:r>
    </w:p>
  </w:footnote>
  <w:footnote w:id="9">
    <w:p w14:paraId="716DD2AF" w14:textId="5609F0C5"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i/>
          <w:szCs w:val="18"/>
        </w:rPr>
        <w:t xml:space="preserve"> Ibid</w:t>
      </w:r>
      <w:r w:rsidRPr="00BC2BC4">
        <w:rPr>
          <w:rFonts w:cs="Times New Roman"/>
          <w:szCs w:val="18"/>
        </w:rPr>
        <w:t xml:space="preserve"> at 6. For an example of the complex web of different parties that can be involved in procurement projects, see Global Infrastructure Anti-Corruption Centre, “Why Corruption Occurs” (1 May 2008), online: &lt;</w:t>
      </w:r>
      <w:hyperlink r:id="rId10" w:history="1">
        <w:r w:rsidRPr="00BC2BC4">
          <w:rPr>
            <w:rStyle w:val="Hyperlink"/>
            <w:rFonts w:cs="Times New Roman"/>
            <w:color w:val="0000FF"/>
            <w:szCs w:val="18"/>
          </w:rPr>
          <w:t>www.giaccentre.org/why_corruption_occurs.php</w:t>
        </w:r>
      </w:hyperlink>
      <w:r w:rsidRPr="00BC2BC4">
        <w:rPr>
          <w:rFonts w:cs="Times New Roman"/>
          <w:szCs w:val="18"/>
        </w:rPr>
        <w:t>&gt;.</w:t>
      </w:r>
    </w:p>
  </w:footnote>
  <w:footnote w:id="10">
    <w:p w14:paraId="1D387791" w14:textId="4D64DAE3"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World Bank, Press Release, “World Bank to Finalize Padma Bridge Financing” (19 December 2010), online: &lt;</w:t>
      </w:r>
      <w:r w:rsidRPr="00BC2BC4">
        <w:rPr>
          <w:szCs w:val="18"/>
        </w:rPr>
        <w:t xml:space="preserve"> http://www.worldbank.org/en/news/press-release/2010/12/19/world-bank-to-finalize-padma-bridge-financing&gt;.</w:t>
      </w:r>
    </w:p>
  </w:footnote>
  <w:footnote w:id="11">
    <w:p w14:paraId="78AF3BC2" w14:textId="1732359F"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Peter Bosshard, “The Environment at Risk from Monuments of Corruption” in Rodriguez, Waite &amp; Wolfe, eds, (2005) 19 at 20.</w:t>
      </w:r>
    </w:p>
  </w:footnote>
  <w:footnote w:id="12">
    <w:p w14:paraId="7E2182F0" w14:textId="5E52935D"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James Lewis, “Earthquake Destruction: Corruption on the Fault Line” in Rodriguez, Waite &amp; Wolfe, eds, (2005) 23 at 23.</w:t>
      </w:r>
    </w:p>
  </w:footnote>
  <w:footnote w:id="13">
    <w:p w14:paraId="66A9356F" w14:textId="77777777" w:rsidR="003B45D5" w:rsidRPr="00BC2BC4" w:rsidRDefault="003B45D5" w:rsidP="0063252F">
      <w:pPr>
        <w:pStyle w:val="FootnoteText"/>
        <w:contextualSpacing/>
        <w:rPr>
          <w:rFonts w:cs="Times New Roman"/>
          <w:i/>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 xml:space="preserve">Ibid. </w:t>
      </w:r>
    </w:p>
  </w:footnote>
  <w:footnote w:id="14">
    <w:p w14:paraId="0473D418" w14:textId="332CF9BE"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David Alexander, “The Italian Mafia’s Legacy of High-Rise Death Traps” in Rodriguez, Waite &amp; Wolfe, eds, (2005) 26 at 26.</w:t>
      </w:r>
    </w:p>
  </w:footnote>
  <w:footnote w:id="15">
    <w:p w14:paraId="6A9C5E5B" w14:textId="77777777" w:rsidR="003B45D5" w:rsidRPr="00BC2BC4" w:rsidRDefault="003B45D5" w:rsidP="0063252F">
      <w:pPr>
        <w:pStyle w:val="FootnoteText"/>
        <w:contextualSpacing/>
        <w:rPr>
          <w:rFonts w:cs="Times New Roman"/>
          <w:i/>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 xml:space="preserve">Ibid. </w:t>
      </w:r>
    </w:p>
  </w:footnote>
  <w:footnote w:id="16">
    <w:p w14:paraId="7CAE15CA" w14:textId="77777777"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Cobus de Swardt, “Transparency in Public Procurement: Moving Away from the Abstract”, Transparency International (27 March 2015), online: &lt;</w:t>
      </w:r>
      <w:hyperlink r:id="rId11" w:history="1">
        <w:r w:rsidRPr="00BC2BC4">
          <w:rPr>
            <w:rStyle w:val="Hyperlink"/>
            <w:rFonts w:cs="Times New Roman"/>
            <w:szCs w:val="18"/>
            <w:lang w:val="en-US"/>
          </w:rPr>
          <w:t>oecdinsights.org/2015/03/27/transparency-in-public-procurement-moving-away-from-the-abstract/</w:t>
        </w:r>
      </w:hyperlink>
      <w:r w:rsidRPr="00BC2BC4">
        <w:rPr>
          <w:rFonts w:cs="Times New Roman"/>
          <w:szCs w:val="18"/>
          <w:lang w:val="en-US"/>
        </w:rPr>
        <w:t>&gt;.</w:t>
      </w:r>
    </w:p>
    <w:p w14:paraId="3D86E5D6" w14:textId="77777777" w:rsidR="003B45D5" w:rsidRPr="00BC2BC4" w:rsidRDefault="003B45D5" w:rsidP="0063252F">
      <w:pPr>
        <w:pStyle w:val="FootnoteText"/>
        <w:rPr>
          <w:rFonts w:cs="Times New Roman"/>
          <w:szCs w:val="18"/>
          <w:lang w:val="en-US"/>
        </w:rPr>
      </w:pPr>
    </w:p>
  </w:footnote>
  <w:footnote w:id="17">
    <w:p w14:paraId="3A5C7AD5" w14:textId="77777777"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Larry Diamond, “Building Trust in Government by Improving Governance” (Paper presented to the 7th Global Forum on Reinventing Government, Vienna, 27 June 2007), online: &lt;</w:t>
      </w:r>
      <w:hyperlink r:id="rId12" w:history="1">
        <w:r w:rsidRPr="00BC2BC4">
          <w:rPr>
            <w:rStyle w:val="Hyperlink"/>
            <w:rFonts w:cs="Times New Roman"/>
            <w:szCs w:val="18"/>
            <w:lang w:val="en-US"/>
          </w:rPr>
          <w:t>https://stanford.edu/~ldiamond/paperssd/BuildingTrustinGovernmentUNGLobalForum.pdf</w:t>
        </w:r>
      </w:hyperlink>
      <w:r w:rsidRPr="00BC2BC4">
        <w:rPr>
          <w:rFonts w:cs="Times New Roman"/>
          <w:szCs w:val="18"/>
          <w:lang w:val="en-US"/>
        </w:rPr>
        <w:t>&gt;.</w:t>
      </w:r>
    </w:p>
  </w:footnote>
  <w:footnote w:id="18">
    <w:p w14:paraId="0BDCA766" w14:textId="762EAB01"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Kühn &amp; Sherman (2014)  at 4, online: &lt;</w:t>
      </w:r>
      <w:hyperlink r:id="rId13" w:history="1">
        <w:r w:rsidR="002D27B8" w:rsidRPr="00B87CEC">
          <w:rPr>
            <w:rStyle w:val="Hyperlink"/>
            <w:rFonts w:cs="Times New Roman"/>
            <w:szCs w:val="18"/>
          </w:rPr>
          <w:t>www.acec.ca/source/2014/november/pdf/</w:t>
        </w:r>
        <w:r w:rsidR="002D27B8" w:rsidRPr="00B87CEC">
          <w:rPr>
            <w:rStyle w:val="Hyperlink"/>
            <w:rFonts w:cs="Times New Roman"/>
            <w:szCs w:val="18"/>
          </w:rPr>
          <w:br/>
          <w:t>2014_AntiCorruption_PublicProcurement_Guide_EN.pdf</w:t>
        </w:r>
      </w:hyperlink>
      <w:r w:rsidRPr="00BC2BC4">
        <w:rPr>
          <w:rFonts w:cs="Times New Roman"/>
          <w:szCs w:val="18"/>
        </w:rPr>
        <w:t xml:space="preserve">&gt;. Canadian federal departments and agencies alone spend about CAD$18 billion annually: </w:t>
      </w:r>
      <w:r w:rsidRPr="00BC2BC4">
        <w:rPr>
          <w:rFonts w:cs="Times New Roman"/>
          <w:szCs w:val="18"/>
          <w:lang w:val="en-US"/>
        </w:rPr>
        <w:t xml:space="preserve">Office of the Procurement Ombudsman, </w:t>
      </w:r>
      <w:r w:rsidRPr="00BC2BC4">
        <w:rPr>
          <w:rFonts w:cs="Times New Roman"/>
          <w:i/>
          <w:szCs w:val="18"/>
          <w:lang w:val="en-US"/>
        </w:rPr>
        <w:t>Annual Report 2015–16</w:t>
      </w:r>
      <w:r w:rsidRPr="00BC2BC4">
        <w:rPr>
          <w:rFonts w:cs="Times New Roman"/>
          <w:szCs w:val="18"/>
          <w:lang w:val="en-US"/>
        </w:rPr>
        <w:t xml:space="preserve"> at 7, online: &lt;</w:t>
      </w:r>
      <w:hyperlink r:id="rId14" w:history="1">
        <w:r w:rsidRPr="00BC2BC4">
          <w:rPr>
            <w:rStyle w:val="Hyperlink"/>
            <w:rFonts w:cs="Times New Roman"/>
            <w:szCs w:val="18"/>
            <w:lang w:val="en-US"/>
          </w:rPr>
          <w:t>opo-boa.gc.ca/documents/rapports-reports/2015-2016/annuel-annual-2015-2016-eng.pdf</w:t>
        </w:r>
      </w:hyperlink>
      <w:r w:rsidRPr="00BC2BC4">
        <w:rPr>
          <w:rFonts w:cs="Times New Roman"/>
          <w:szCs w:val="18"/>
          <w:lang w:val="en-US"/>
        </w:rPr>
        <w:t>&gt;.</w:t>
      </w:r>
    </w:p>
  </w:footnote>
  <w:footnote w:id="19">
    <w:p w14:paraId="2B0E9B78"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w:t>
      </w:r>
    </w:p>
  </w:footnote>
  <w:footnote w:id="20">
    <w:p w14:paraId="6A6F12E6" w14:textId="65748BDF"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Like all forms of corruption, corruption in public procurement is extremely difficult to quantify. Even where corrupt activities are identified, it can be very difficult to trace and calculate the chain of losses that flow from incidences of corruption. It is often practically impossible to calculate the quantum of loss. See e.g., Global Infrastructure Anti-Corruption Centre, “Section 1: Understanding the Cost of Corruption in Relation to Infrastructure Projects”, online: &lt;</w:t>
      </w:r>
      <w:hyperlink r:id="rId15" w:history="1">
        <w:r w:rsidRPr="00BC2BC4">
          <w:rPr>
            <w:rStyle w:val="Hyperlink"/>
            <w:rFonts w:cs="Times New Roman"/>
            <w:szCs w:val="18"/>
          </w:rPr>
          <w:t>www.giaccentre.org/cost_of_corruption.php</w:t>
        </w:r>
      </w:hyperlink>
      <w:r w:rsidRPr="00BC2BC4">
        <w:rPr>
          <w:rFonts w:cs="Times New Roman"/>
          <w:szCs w:val="18"/>
        </w:rPr>
        <w:t xml:space="preserve">&gt;. </w:t>
      </w:r>
    </w:p>
  </w:footnote>
  <w:footnote w:id="21">
    <w:p w14:paraId="4234E642" w14:textId="65225F8E"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Bent Flyvbjerg &amp; Eamonn Molloy, “Delusion, Deception and Corruption in Major Infrastructure Projects: Cases, Consequences, and Cures” in Susan Rose-Ackerman &amp; Tina Søreide, eds, </w:t>
      </w:r>
      <w:r w:rsidRPr="00BC2BC4">
        <w:rPr>
          <w:rFonts w:cs="Times New Roman"/>
          <w:i/>
          <w:szCs w:val="18"/>
        </w:rPr>
        <w:t>International Handbook on the Economics of Corruption</w:t>
      </w:r>
      <w:r w:rsidRPr="00BC2BC4">
        <w:rPr>
          <w:rFonts w:cs="Times New Roman"/>
          <w:szCs w:val="18"/>
        </w:rPr>
        <w:t>, vol 2 (Edward Elgar, 2011) at 87.</w:t>
      </w:r>
    </w:p>
  </w:footnote>
  <w:footnote w:id="22">
    <w:p w14:paraId="0272509D" w14:textId="339AC094"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Daniel I Gordon, “Protecting the Integrity of the U.S. Federal Procurement System: Conflict of Interest Rules and Aspects of the System That Help Reduce Corruption” in Jean-Bernard Auby, Emmanuel Breen &amp; Thomas Perroud, eds, </w:t>
      </w:r>
      <w:r w:rsidRPr="00BC2BC4">
        <w:rPr>
          <w:rFonts w:cs="Times New Roman"/>
          <w:i/>
          <w:szCs w:val="18"/>
        </w:rPr>
        <w:t>Corruption and Conflicts of Interest: A Comparative Law Approach</w:t>
      </w:r>
      <w:r w:rsidRPr="00BC2BC4">
        <w:rPr>
          <w:rFonts w:cs="Times New Roman"/>
          <w:szCs w:val="18"/>
        </w:rPr>
        <w:t xml:space="preserve"> (Edward Elgar, 2014) 39 at 39.</w:t>
      </w:r>
    </w:p>
  </w:footnote>
  <w:footnote w:id="23">
    <w:p w14:paraId="768B5A51" w14:textId="56CF54C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“19-Year Corruption Sentence for Ex-Manager with Army Corps of Engineers”, </w:t>
      </w:r>
      <w:r w:rsidRPr="00BC2BC4">
        <w:rPr>
          <w:rFonts w:cs="Times New Roman"/>
          <w:i/>
          <w:szCs w:val="18"/>
        </w:rPr>
        <w:t>The New York Times</w:t>
      </w:r>
      <w:r w:rsidRPr="00BC2BC4">
        <w:rPr>
          <w:rFonts w:cs="Times New Roman"/>
          <w:szCs w:val="18"/>
        </w:rPr>
        <w:t xml:space="preserve"> (12 July 2013), online: &lt;</w:t>
      </w:r>
      <w:hyperlink r:id="rId16" w:history="1">
        <w:r w:rsidRPr="00BC2BC4">
          <w:rPr>
            <w:rStyle w:val="Hyperlink"/>
            <w:rFonts w:cs="Times New Roman"/>
            <w:szCs w:val="18"/>
          </w:rPr>
          <w:t>www.nytimes.com/2013/07/12/us/19-year-corruption-sentence-for-ex-manager-with-army-corps-of-engineers.html?_r=0</w:t>
        </w:r>
      </w:hyperlink>
      <w:r w:rsidRPr="00BC2BC4">
        <w:rPr>
          <w:rFonts w:cs="Times New Roman"/>
          <w:szCs w:val="18"/>
        </w:rPr>
        <w:t>&gt;.</w:t>
      </w:r>
    </w:p>
  </w:footnote>
  <w:footnote w:id="24">
    <w:p w14:paraId="504EA731" w14:textId="77777777" w:rsidR="003B45D5" w:rsidRPr="00BC2BC4" w:rsidRDefault="003B45D5" w:rsidP="0063252F">
      <w:pPr>
        <w:pStyle w:val="FootnoteText"/>
        <w:contextualSpacing/>
        <w:rPr>
          <w:rFonts w:cs="Times New Roman"/>
          <w:i/>
          <w:szCs w:val="18"/>
        </w:rPr>
      </w:pPr>
      <w:r w:rsidRPr="00BC2BC4">
        <w:rPr>
          <w:rStyle w:val="FootnoteReference"/>
          <w:rFonts w:cs="Times New Roman"/>
          <w:szCs w:val="18"/>
        </w:rPr>
        <w:footnoteRef/>
      </w:r>
      <w:r w:rsidRPr="00BC2BC4">
        <w:rPr>
          <w:rFonts w:cs="Times New Roman"/>
          <w:szCs w:val="18"/>
        </w:rPr>
        <w:t xml:space="preserve"> Tina Søreide, “Corruption in Public Procurement: Causes, Consequences, and Cures” (Chr Michelson Institute, 2002) at 1, online: &lt;</w:t>
      </w:r>
      <w:hyperlink r:id="rId17" w:history="1">
        <w:r w:rsidRPr="00BC2BC4">
          <w:rPr>
            <w:rStyle w:val="Hyperlink"/>
            <w:rFonts w:cs="Times New Roman"/>
            <w:szCs w:val="18"/>
          </w:rPr>
          <w:t>https://www.cmi.no/publications/file/843-corruption-in-public-procurement-causes.pdf</w:t>
        </w:r>
      </w:hyperlink>
      <w:r w:rsidRPr="00BC2BC4">
        <w:rPr>
          <w:rFonts w:cs="Times New Roman"/>
          <w:szCs w:val="18"/>
        </w:rPr>
        <w:t>&gt;.</w:t>
      </w:r>
    </w:p>
  </w:footnote>
  <w:footnote w:id="25">
    <w:p w14:paraId="426D9B3D" w14:textId="1D77E0F0"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 xml:space="preserve">For a concise summary of the Charbonneau Commission’s activities and findings, see “Charbonneau Commission Finds Corruption Widespread in Quebec’s Construction Sector”, </w:t>
      </w:r>
      <w:r w:rsidRPr="00BC2BC4">
        <w:rPr>
          <w:rFonts w:cs="Times New Roman"/>
          <w:i/>
          <w:szCs w:val="18"/>
          <w:lang w:val="en-US"/>
        </w:rPr>
        <w:t>CBC News</w:t>
      </w:r>
      <w:r w:rsidRPr="00BC2BC4">
        <w:rPr>
          <w:rFonts w:cs="Times New Roman"/>
          <w:szCs w:val="18"/>
          <w:lang w:val="en-US"/>
        </w:rPr>
        <w:t xml:space="preserve"> (24 November 2015), online: &lt;</w:t>
      </w:r>
      <w:hyperlink r:id="rId18" w:history="1">
        <w:r w:rsidRPr="00BC2BC4">
          <w:rPr>
            <w:rStyle w:val="Hyperlink"/>
            <w:rFonts w:cs="Times New Roman"/>
            <w:szCs w:val="18"/>
            <w:lang w:val="en-US"/>
          </w:rPr>
          <w:t>www.cbc.ca/news/canada/montreal/charbonneau-corruption-inquiry-findings-released-1.3331577</w:t>
        </w:r>
      </w:hyperlink>
      <w:r w:rsidRPr="00BC2BC4">
        <w:rPr>
          <w:rFonts w:cs="Times New Roman"/>
          <w:szCs w:val="18"/>
          <w:lang w:val="en-US"/>
        </w:rPr>
        <w:t>&gt;.</w:t>
      </w:r>
    </w:p>
  </w:footnote>
  <w:footnote w:id="26">
    <w:p w14:paraId="01E957F1" w14:textId="04B5F372"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Gouvernement du Québec, “Mandat” (9 November 2011), online: &lt;</w:t>
      </w:r>
      <w:hyperlink r:id="rId19" w:history="1">
        <w:r w:rsidRPr="00BC2BC4">
          <w:rPr>
            <w:rStyle w:val="Hyperlink"/>
            <w:rFonts w:cs="Times New Roman"/>
            <w:szCs w:val="18"/>
            <w:lang w:val="en-US"/>
          </w:rPr>
          <w:t>www.ceic.gouv.qc.ca/la-commission/mandat.html</w:t>
        </w:r>
      </w:hyperlink>
      <w:r w:rsidRPr="00BC2BC4">
        <w:rPr>
          <w:rFonts w:cs="Times New Roman"/>
          <w:szCs w:val="18"/>
          <w:lang w:val="en-US"/>
        </w:rPr>
        <w:t>&gt;.</w:t>
      </w:r>
    </w:p>
  </w:footnote>
  <w:footnote w:id="27">
    <w:p w14:paraId="1F17851F" w14:textId="77777777" w:rsidR="003B45D5" w:rsidRPr="00BC2BC4" w:rsidRDefault="003B45D5" w:rsidP="0059618D">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France Charbonneau, </w:t>
      </w:r>
      <w:r w:rsidRPr="00BC2BC4">
        <w:rPr>
          <w:rFonts w:cs="Times New Roman"/>
          <w:szCs w:val="18"/>
          <w:lang w:val="en-US"/>
        </w:rPr>
        <w:t>“Rapport final de la Commission d’enquête sur l’octroi et la gestion des contrats publics dan l’industrie de la construction” (November 2015), online: &lt;</w:t>
      </w:r>
      <w:hyperlink r:id="rId20" w:history="1">
        <w:r w:rsidRPr="00BC2BC4">
          <w:rPr>
            <w:rStyle w:val="Hyperlink"/>
            <w:rFonts w:cs="Times New Roman"/>
            <w:szCs w:val="18"/>
            <w:lang w:val="en-US"/>
          </w:rPr>
          <w:t>s3.documentcloud.org/documents/2599890/charbonneau-report-final-recommendations.pdf</w:t>
        </w:r>
      </w:hyperlink>
      <w:r w:rsidRPr="00BC2BC4">
        <w:rPr>
          <w:rFonts w:cs="Times New Roman"/>
          <w:szCs w:val="18"/>
          <w:lang w:val="en-US"/>
        </w:rPr>
        <w:t>&gt;.</w:t>
      </w:r>
    </w:p>
  </w:footnote>
  <w:footnote w:id="28">
    <w:p w14:paraId="6B0365E9" w14:textId="6C4EF700"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 xml:space="preserve">Martin Patriquin, “No One Can Deny It Now: Quebec Is Facing a Corruption Crisis”, </w:t>
      </w:r>
      <w:r w:rsidRPr="00BC2BC4">
        <w:rPr>
          <w:rFonts w:cs="Times New Roman"/>
          <w:i/>
          <w:szCs w:val="18"/>
          <w:lang w:val="en-US"/>
        </w:rPr>
        <w:t xml:space="preserve">Maclean’s </w:t>
      </w:r>
      <w:r w:rsidRPr="00BC2BC4">
        <w:rPr>
          <w:rFonts w:cs="Times New Roman"/>
          <w:szCs w:val="18"/>
          <w:lang w:val="en-US"/>
        </w:rPr>
        <w:t>(24 November 2015), online: &lt;</w:t>
      </w:r>
      <w:hyperlink r:id="rId21" w:history="1">
        <w:r w:rsidRPr="00BC2BC4">
          <w:rPr>
            <w:rStyle w:val="Hyperlink"/>
            <w:rFonts w:cs="Times New Roman"/>
            <w:szCs w:val="18"/>
            <w:lang w:val="en-US"/>
          </w:rPr>
          <w:t>www.macleans.ca/news/canada/quebecs-now-undeniable-corruption-crisis/</w:t>
        </w:r>
      </w:hyperlink>
      <w:r w:rsidRPr="00BC2BC4">
        <w:rPr>
          <w:rFonts w:cs="Times New Roman"/>
          <w:szCs w:val="18"/>
          <w:lang w:val="en-US"/>
        </w:rPr>
        <w:t>&gt;.</w:t>
      </w:r>
    </w:p>
  </w:footnote>
  <w:footnote w:id="29">
    <w:p w14:paraId="66A68695" w14:textId="77777777" w:rsidR="003B45D5" w:rsidRPr="00BC2BC4" w:rsidRDefault="003B45D5" w:rsidP="00FC7E00">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Martin Patriquin, “carbonneauQuebec: The Most Corrupt Province”, </w:t>
      </w:r>
      <w:r w:rsidRPr="00BC2BC4">
        <w:rPr>
          <w:rFonts w:cs="Times New Roman"/>
          <w:i/>
          <w:szCs w:val="18"/>
        </w:rPr>
        <w:t>Maclean’s</w:t>
      </w:r>
      <w:r w:rsidRPr="00BC2BC4">
        <w:rPr>
          <w:rFonts w:cs="Times New Roman"/>
          <w:szCs w:val="18"/>
        </w:rPr>
        <w:t xml:space="preserve"> (24 September 2010), online: &lt;</w:t>
      </w:r>
      <w:hyperlink r:id="rId22" w:history="1">
        <w:r w:rsidRPr="00BC2BC4">
          <w:rPr>
            <w:rStyle w:val="Hyperlink"/>
            <w:rFonts w:cs="Times New Roman"/>
            <w:szCs w:val="18"/>
          </w:rPr>
          <w:t>www.macleans.ca/news/canada/the-most-corrupt-province/</w:t>
        </w:r>
      </w:hyperlink>
      <w:r w:rsidRPr="00BC2BC4">
        <w:rPr>
          <w:rFonts w:cs="Times New Roman"/>
          <w:szCs w:val="18"/>
        </w:rPr>
        <w:t>&gt;.</w:t>
      </w:r>
    </w:p>
  </w:footnote>
  <w:footnote w:id="30">
    <w:p w14:paraId="55AA42B9" w14:textId="590844B8"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Barrie McKenna, “Quebec’s Corruption Scandal Is a Canadian Problem”, </w:t>
      </w:r>
      <w:r w:rsidRPr="00BC2BC4">
        <w:rPr>
          <w:rFonts w:cs="Times New Roman"/>
          <w:i/>
          <w:szCs w:val="18"/>
        </w:rPr>
        <w:t xml:space="preserve">The Globe and Mail </w:t>
      </w:r>
      <w:r w:rsidRPr="00BC2BC4">
        <w:rPr>
          <w:rFonts w:cs="Times New Roman"/>
          <w:szCs w:val="18"/>
        </w:rPr>
        <w:t>(10 December 2012), online: &lt;</w:t>
      </w:r>
      <w:hyperlink r:id="rId23" w:history="1">
        <w:r w:rsidRPr="00BC2BC4">
          <w:rPr>
            <w:rStyle w:val="Hyperlink"/>
            <w:rFonts w:cs="Times New Roman"/>
            <w:szCs w:val="18"/>
          </w:rPr>
          <w:t>www.theglobeandmail.com/report-on-business/quebecs-corruption-scandal-is-a-canadian-problem/article6140631/</w:t>
        </w:r>
      </w:hyperlink>
      <w:r w:rsidRPr="00BC2BC4">
        <w:rPr>
          <w:rFonts w:cs="Times New Roman"/>
          <w:szCs w:val="18"/>
        </w:rPr>
        <w:t>&gt;.</w:t>
      </w:r>
    </w:p>
  </w:footnote>
  <w:footnote w:id="31">
    <w:p w14:paraId="7FCE9BE1" w14:textId="1B33933E"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xml:space="preserve">. </w:t>
      </w:r>
    </w:p>
  </w:footnote>
  <w:footnote w:id="32">
    <w:p w14:paraId="36810AF8" w14:textId="5269BB11" w:rsidR="003B45D5" w:rsidRPr="00BC2BC4" w:rsidRDefault="003B45D5" w:rsidP="0063252F">
      <w:pPr>
        <w:pStyle w:val="FootnoteText"/>
      </w:pPr>
      <w:r w:rsidRPr="00BC2BC4">
        <w:rPr>
          <w:rStyle w:val="FootnoteReference"/>
          <w:szCs w:val="18"/>
        </w:rPr>
        <w:footnoteRef/>
      </w:r>
      <w:r w:rsidRPr="00BC2BC4">
        <w:t xml:space="preserve"> Decentralization Thematic Team, “</w:t>
      </w:r>
      <w:r w:rsidRPr="00BC2BC4">
        <w:rPr>
          <w:iCs/>
        </w:rPr>
        <w:t xml:space="preserve">Accountability, Transparency and Corruption in Decentralized Governance”, </w:t>
      </w:r>
      <w:r w:rsidRPr="00BC2BC4">
        <w:t>World Bank, online: &lt;</w:t>
      </w:r>
      <w:hyperlink r:id="rId24" w:history="1">
        <w:r w:rsidR="00E52A86" w:rsidRPr="00B87CEC">
          <w:rPr>
            <w:rStyle w:val="Hyperlink"/>
            <w:szCs w:val="18"/>
          </w:rPr>
          <w:t>https://www.ciesin.columbia.edu/decentralization/English/Issues/Accountability.html</w:t>
        </w:r>
      </w:hyperlink>
      <w:r w:rsidRPr="00BC2BC4">
        <w:t xml:space="preserve">&gt;. </w:t>
      </w:r>
    </w:p>
  </w:footnote>
  <w:footnote w:id="33">
    <w:p w14:paraId="7A9BDCB4" w14:textId="02D90982" w:rsidR="003B45D5" w:rsidRPr="00BC2BC4" w:rsidRDefault="003B45D5" w:rsidP="0063252F">
      <w:pPr>
        <w:pStyle w:val="FootnoteText"/>
        <w:rPr>
          <w:rFonts w:cs="Times New Roman"/>
        </w:rPr>
      </w:pPr>
      <w:r w:rsidRPr="00BC2BC4">
        <w:rPr>
          <w:rStyle w:val="FootnoteReference"/>
          <w:rFonts w:cs="Times New Roman"/>
          <w:szCs w:val="18"/>
        </w:rPr>
        <w:footnoteRef/>
      </w:r>
      <w:r w:rsidRPr="00BC2BC4">
        <w:rPr>
          <w:rFonts w:cs="Times New Roman"/>
        </w:rPr>
        <w:t xml:space="preserve"> Transparency International, </w:t>
      </w:r>
      <w:r w:rsidRPr="00BC2BC4">
        <w:rPr>
          <w:rFonts w:cs="Times New Roman"/>
          <w:i/>
        </w:rPr>
        <w:t>Bribe Payers Index 2011</w:t>
      </w:r>
      <w:r w:rsidRPr="00BC2BC4">
        <w:rPr>
          <w:rFonts w:cs="Times New Roman"/>
        </w:rPr>
        <w:t xml:space="preserve"> at 15, online: &lt;</w:t>
      </w:r>
      <w:hyperlink r:id="rId25" w:history="1">
        <w:r w:rsidRPr="00BC2BC4">
          <w:rPr>
            <w:rStyle w:val="Hyperlink"/>
            <w:rFonts w:cs="Times New Roman"/>
            <w:szCs w:val="18"/>
          </w:rPr>
          <w:t>www.transparency.org/bpi2011/results</w:t>
        </w:r>
      </w:hyperlink>
      <w:r w:rsidRPr="00BC2BC4">
        <w:rPr>
          <w:rFonts w:cs="Times New Roman"/>
        </w:rPr>
        <w:t>&gt;. The 2011 Bribe Payers Index is Transparency International’s most recent Bribery Index.</w:t>
      </w:r>
    </w:p>
  </w:footnote>
  <w:footnote w:id="34">
    <w:p w14:paraId="486ED855" w14:textId="1EEE573A" w:rsidR="003B45D5" w:rsidRPr="00BC2BC4" w:rsidRDefault="003B45D5" w:rsidP="0063252F">
      <w:pPr>
        <w:pStyle w:val="FootnoteText"/>
        <w:rPr>
          <w:rFonts w:eastAsia="SimSun"/>
        </w:rPr>
      </w:pPr>
      <w:r w:rsidRPr="00BC2BC4">
        <w:rPr>
          <w:rStyle w:val="FootnoteReference"/>
          <w:rFonts w:cs="Times New Roman"/>
          <w:szCs w:val="18"/>
        </w:rPr>
        <w:footnoteRef/>
      </w:r>
      <w:r w:rsidRPr="00BC2BC4">
        <w:t xml:space="preserve"> Kühn &amp; Sherman (2014)</w:t>
      </w:r>
      <w:r w:rsidRPr="00BC2BC4">
        <w:rPr>
          <w:rFonts w:eastAsia="SimSun"/>
        </w:rPr>
        <w:t xml:space="preserve"> at 20.</w:t>
      </w:r>
    </w:p>
  </w:footnote>
  <w:footnote w:id="35">
    <w:p w14:paraId="4AF6F5A6" w14:textId="508E2E74" w:rsidR="003B45D5" w:rsidRPr="00BC2BC4" w:rsidRDefault="003B45D5" w:rsidP="0063252F">
      <w:pPr>
        <w:pStyle w:val="FootnoteText"/>
        <w:rPr>
          <w:lang w:val="en-US"/>
        </w:rPr>
      </w:pPr>
      <w:r w:rsidRPr="00BC2BC4">
        <w:rPr>
          <w:rStyle w:val="FootnoteReference"/>
          <w:rFonts w:cs="Times New Roman"/>
          <w:szCs w:val="18"/>
        </w:rPr>
        <w:footnoteRef/>
      </w:r>
      <w:r w:rsidRPr="00BC2BC4">
        <w:t xml:space="preserve"> Susan </w:t>
      </w:r>
      <w:r w:rsidRPr="00BC2BC4">
        <w:rPr>
          <w:lang w:val="en-US"/>
        </w:rPr>
        <w:t>Rose-Ackerman &amp; Rory Truex, “Corruption and Policy Reform” (2012) Yale Law &amp; Economics Research Paper 444 at 24, online: &lt;</w:t>
      </w:r>
      <w:hyperlink r:id="rId26" w:history="1">
        <w:r w:rsidRPr="00BC2BC4">
          <w:rPr>
            <w:rStyle w:val="Hyperlink"/>
            <w:rFonts w:cs="Times New Roman"/>
            <w:szCs w:val="18"/>
            <w:lang w:val="en-US"/>
          </w:rPr>
          <w:t>papers.ssrn.com/sol3/Papers.cfm?abstract_id=2007152</w:t>
        </w:r>
      </w:hyperlink>
      <w:r w:rsidRPr="00BC2BC4">
        <w:rPr>
          <w:lang w:val="en-US"/>
        </w:rPr>
        <w:t>&gt;.</w:t>
      </w:r>
    </w:p>
  </w:footnote>
  <w:footnote w:id="36">
    <w:p w14:paraId="180BA9C3" w14:textId="33462C42" w:rsidR="003B45D5" w:rsidRPr="00BC2BC4" w:rsidRDefault="003B45D5" w:rsidP="0063252F">
      <w:pPr>
        <w:pStyle w:val="FootnoteText"/>
        <w:rPr>
          <w:lang w:val="en-US"/>
        </w:rPr>
      </w:pPr>
      <w:r w:rsidRPr="00BC2BC4">
        <w:rPr>
          <w:rStyle w:val="FootnoteReference"/>
          <w:rFonts w:cs="Times New Roman"/>
          <w:szCs w:val="18"/>
        </w:rPr>
        <w:footnoteRef/>
      </w:r>
      <w:r w:rsidRPr="00BC2BC4">
        <w:t xml:space="preserve"> OECD, </w:t>
      </w:r>
      <w:r w:rsidRPr="00BC2BC4">
        <w:rPr>
          <w:i/>
        </w:rPr>
        <w:t>OECD Foreign Bribery Report: An Analysis of the Crime of Bribery of Foreign Public Officials</w:t>
      </w:r>
      <w:r w:rsidRPr="00BC2BC4">
        <w:t xml:space="preserve"> (2014) at 8, online: &lt;http://dx.doi.org/10.1787/9789264226616-en&gt;.</w:t>
      </w:r>
    </w:p>
  </w:footnote>
  <w:footnote w:id="37">
    <w:p w14:paraId="5F6E00EE" w14:textId="4DEECC72" w:rsidR="003B45D5" w:rsidRPr="00BC2BC4" w:rsidRDefault="003B45D5" w:rsidP="0063252F">
      <w:pPr>
        <w:pStyle w:val="FootnoteText"/>
      </w:pPr>
      <w:r w:rsidRPr="00BC2BC4">
        <w:rPr>
          <w:rStyle w:val="FootnoteReference"/>
          <w:rFonts w:cs="Times New Roman"/>
          <w:szCs w:val="18"/>
        </w:rPr>
        <w:footnoteRef/>
      </w:r>
      <w:r w:rsidRPr="00BC2BC4">
        <w:t xml:space="preserve"> Glenn T Ware et al (2011) 65 at 67.</w:t>
      </w:r>
    </w:p>
  </w:footnote>
  <w:footnote w:id="38">
    <w:p w14:paraId="1A269250" w14:textId="77777777" w:rsidR="003B45D5" w:rsidRPr="00BC2BC4" w:rsidRDefault="003B45D5" w:rsidP="0063252F">
      <w:pPr>
        <w:pStyle w:val="FootnoteText"/>
      </w:pPr>
      <w:r w:rsidRPr="00BC2BC4">
        <w:rPr>
          <w:rStyle w:val="FootnoteReference"/>
          <w:rFonts w:cs="Times New Roman"/>
          <w:szCs w:val="18"/>
        </w:rPr>
        <w:footnoteRef/>
      </w:r>
      <w:r w:rsidRPr="00BC2BC4">
        <w:t xml:space="preserve"> </w:t>
      </w:r>
      <w:r w:rsidRPr="00BC2BC4">
        <w:rPr>
          <w:i/>
        </w:rPr>
        <w:t>Ibid</w:t>
      </w:r>
      <w:r w:rsidRPr="00BC2BC4">
        <w:t xml:space="preserve"> at 66. </w:t>
      </w:r>
    </w:p>
  </w:footnote>
  <w:footnote w:id="39">
    <w:p w14:paraId="3D3C9788" w14:textId="7D96A0ED" w:rsidR="003B45D5" w:rsidRPr="00BC2BC4" w:rsidRDefault="003B45D5" w:rsidP="0063252F">
      <w:pPr>
        <w:pStyle w:val="FootnoteText"/>
        <w:rPr>
          <w:lang w:val="en-US"/>
        </w:rPr>
      </w:pPr>
      <w:r w:rsidRPr="00BC2BC4">
        <w:rPr>
          <w:rStyle w:val="FootnoteReference"/>
          <w:rFonts w:cs="Times New Roman"/>
          <w:szCs w:val="18"/>
        </w:rPr>
        <w:footnoteRef/>
      </w:r>
      <w:r w:rsidRPr="00BC2BC4">
        <w:t xml:space="preserve"> </w:t>
      </w:r>
      <w:r w:rsidRPr="00BC2BC4">
        <w:rPr>
          <w:lang w:val="en-US"/>
        </w:rPr>
        <w:t>Marie Chêne, “Low Salaries, the Culture of Per Diems and Corruption”, U4 Expert Answer (23 November 2009), online: &lt;</w:t>
      </w:r>
      <w:hyperlink r:id="rId27" w:history="1">
        <w:r w:rsidRPr="00BC2BC4">
          <w:rPr>
            <w:rStyle w:val="Hyperlink"/>
            <w:rFonts w:cs="Times New Roman"/>
            <w:szCs w:val="18"/>
            <w:lang w:val="en-US"/>
          </w:rPr>
          <w:t>www.u4.no/publications/low-salaries-the-culture-of-per-diems-and-corruption/</w:t>
        </w:r>
      </w:hyperlink>
      <w:r w:rsidRPr="00BC2BC4">
        <w:rPr>
          <w:lang w:val="en-US"/>
        </w:rPr>
        <w:t>&gt;.</w:t>
      </w:r>
    </w:p>
  </w:footnote>
  <w:footnote w:id="40">
    <w:p w14:paraId="54C7D776" w14:textId="4C9AB9F2" w:rsidR="003B45D5" w:rsidRPr="00BC2BC4" w:rsidRDefault="003B45D5" w:rsidP="0063252F">
      <w:pPr>
        <w:pStyle w:val="FootnoteText"/>
      </w:pPr>
      <w:r w:rsidRPr="00BC2BC4">
        <w:rPr>
          <w:rStyle w:val="FootnoteReference"/>
          <w:rFonts w:cs="Times New Roman"/>
          <w:szCs w:val="18"/>
        </w:rPr>
        <w:footnoteRef/>
      </w:r>
      <w:r w:rsidRPr="00BC2BC4">
        <w:t xml:space="preserve"> Jill Wells, “Corruption in the Construction of Public Infrastructure: Critical Issues in Project Preparation”, U4 (March 2015, Issue No 8), online: &lt;</w:t>
      </w:r>
      <w:hyperlink r:id="rId28" w:history="1">
        <w:r w:rsidRPr="00BC2BC4">
          <w:rPr>
            <w:rStyle w:val="Hyperlink"/>
            <w:rFonts w:cs="Times New Roman"/>
            <w:szCs w:val="18"/>
          </w:rPr>
          <w:t>www.u4.no/publications/corruption-in-the-construction-of-public-infrastructure-critical-issues-in-project-preparation/</w:t>
        </w:r>
      </w:hyperlink>
      <w:r w:rsidRPr="00BC2BC4">
        <w:t>&gt;.</w:t>
      </w:r>
    </w:p>
  </w:footnote>
  <w:footnote w:id="41">
    <w:p w14:paraId="11A19FE3" w14:textId="77777777" w:rsidR="003B45D5" w:rsidRPr="00BC2BC4" w:rsidRDefault="003B45D5" w:rsidP="0063252F">
      <w:pPr>
        <w:pStyle w:val="FootnoteText"/>
      </w:pPr>
      <w:r w:rsidRPr="00BC2BC4">
        <w:rPr>
          <w:rStyle w:val="FootnoteReference"/>
          <w:rFonts w:cs="Times New Roman"/>
          <w:szCs w:val="18"/>
        </w:rPr>
        <w:footnoteRef/>
      </w:r>
      <w:r w:rsidRPr="00BC2BC4">
        <w:t xml:space="preserve"> </w:t>
      </w:r>
      <w:r w:rsidRPr="00BC2BC4">
        <w:rPr>
          <w:i/>
        </w:rPr>
        <w:t xml:space="preserve">Ibid </w:t>
      </w:r>
      <w:r w:rsidRPr="00BC2BC4">
        <w:t xml:space="preserve">at 1. </w:t>
      </w:r>
    </w:p>
  </w:footnote>
  <w:footnote w:id="42">
    <w:p w14:paraId="007F8F07" w14:textId="77777777" w:rsidR="003B45D5" w:rsidRPr="00BC2BC4" w:rsidRDefault="003B45D5" w:rsidP="0063252F">
      <w:pPr>
        <w:pStyle w:val="FootnoteText"/>
        <w:rPr>
          <w:i/>
        </w:rPr>
      </w:pPr>
      <w:r w:rsidRPr="00BC2BC4">
        <w:rPr>
          <w:rStyle w:val="FootnoteReference"/>
          <w:rFonts w:cs="Times New Roman"/>
          <w:szCs w:val="18"/>
        </w:rPr>
        <w:footnoteRef/>
      </w:r>
      <w:r w:rsidRPr="00BC2BC4">
        <w:t xml:space="preserve"> </w:t>
      </w:r>
      <w:r w:rsidRPr="00BC2BC4">
        <w:rPr>
          <w:i/>
        </w:rPr>
        <w:t>Ibid.</w:t>
      </w:r>
    </w:p>
  </w:footnote>
  <w:footnote w:id="43">
    <w:p w14:paraId="3835DBCC" w14:textId="77777777"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p>
  </w:footnote>
  <w:footnote w:id="44">
    <w:p w14:paraId="053DEC1E" w14:textId="51E5F320"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Anand Rajaram et al,</w:t>
      </w:r>
      <w:r w:rsidRPr="00BC2BC4">
        <w:rPr>
          <w:rFonts w:cs="Times New Roman"/>
          <w:i/>
          <w:szCs w:val="18"/>
        </w:rPr>
        <w:t xml:space="preserve"> </w:t>
      </w:r>
      <w:r w:rsidRPr="00BC2BC4">
        <w:rPr>
          <w:rFonts w:cs="Times New Roman"/>
          <w:szCs w:val="18"/>
        </w:rPr>
        <w:t>“A Diagnostic Framework for Assessing Public Investment Management” (World Bank, 2010), online: &lt;</w:t>
      </w:r>
      <w:hyperlink r:id="rId29" w:history="1">
        <w:r w:rsidRPr="00BC2BC4">
          <w:rPr>
            <w:rStyle w:val="Hyperlink"/>
            <w:rFonts w:cs="Times New Roman"/>
            <w:szCs w:val="18"/>
          </w:rPr>
          <w:t>siteresources.worldbank.org/PUBLICSECTORANDGOVERNANCE/Resources/FrameworkRajaram.pdf</w:t>
        </w:r>
      </w:hyperlink>
      <w:r w:rsidRPr="00BC2BC4">
        <w:rPr>
          <w:rFonts w:cs="Times New Roman"/>
          <w:szCs w:val="18"/>
        </w:rPr>
        <w:t>&gt;.</w:t>
      </w:r>
    </w:p>
  </w:footnote>
  <w:footnote w:id="45">
    <w:p w14:paraId="17DEDB8B" w14:textId="4B2F8AF2"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Wells (March 2015) at 18.</w:t>
      </w:r>
    </w:p>
  </w:footnote>
  <w:footnote w:id="46">
    <w:p w14:paraId="3B84E777" w14:textId="29FB0CCF" w:rsidR="003B45D5" w:rsidRPr="00BC2BC4" w:rsidRDefault="003B45D5" w:rsidP="004D1AD8">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Era Debla-Norris et al, “Investing in Public Investment: An Index of Public Investment Efficiency”, IMF Working Paper WP/11/37 (2010), online: &lt;</w:t>
      </w:r>
      <w:hyperlink r:id="rId30" w:history="1">
        <w:r w:rsidRPr="00BC2BC4">
          <w:rPr>
            <w:rStyle w:val="Hyperlink"/>
            <w:rFonts w:cs="Times New Roman"/>
            <w:szCs w:val="18"/>
          </w:rPr>
          <w:t>https://www.imf.org/external/pubs/ft/wp/2011/wp1137.pdf</w:t>
        </w:r>
      </w:hyperlink>
      <w:r w:rsidRPr="00BC2BC4">
        <w:rPr>
          <w:rFonts w:cs="Times New Roman"/>
          <w:szCs w:val="18"/>
        </w:rPr>
        <w:t>&gt;.</w:t>
      </w:r>
    </w:p>
  </w:footnote>
  <w:footnote w:id="47">
    <w:p w14:paraId="575F6106" w14:textId="44EEDDA0"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Wells (March 2015) at 5.</w:t>
      </w:r>
    </w:p>
  </w:footnote>
  <w:footnote w:id="48">
    <w:p w14:paraId="0119FC80" w14:textId="5589CFC1"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David Booth and Frederick Golooba-Mutebi, “Aiding Economic Growth in Africa: The Political Economy of Roads Reform in Uganda”, Overseas Development Institute Working Paper No 307 (September 2009), online: &lt;</w:t>
      </w:r>
      <w:hyperlink r:id="rId31" w:history="1">
        <w:r w:rsidRPr="00BC2BC4">
          <w:rPr>
            <w:rStyle w:val="Hyperlink"/>
            <w:rFonts w:cs="Times New Roman"/>
            <w:szCs w:val="18"/>
          </w:rPr>
          <w:t>www.odi.org/sites/odi.org.uk/files/odi-assets/publications-opinionfiles/4965.pdf</w:t>
        </w:r>
      </w:hyperlink>
      <w:r w:rsidRPr="00BC2BC4">
        <w:rPr>
          <w:rFonts w:cs="Times New Roman"/>
          <w:szCs w:val="18"/>
        </w:rPr>
        <w:t>&gt;.</w:t>
      </w:r>
    </w:p>
  </w:footnote>
  <w:footnote w:id="49">
    <w:p w14:paraId="3ED70191" w14:textId="4325AB3B"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Wells (March 2015) at 7.</w:t>
      </w:r>
    </w:p>
  </w:footnote>
  <w:footnote w:id="50">
    <w:p w14:paraId="5963EEBE" w14:textId="7DACF0CE"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“Investing to Invest: Strengthening Public Investment Management” (World Bank Poverty Reduction and Economic Management Network, May 2013) [unpublished, Country Clearance Version]. </w:t>
      </w:r>
    </w:p>
  </w:footnote>
  <w:footnote w:id="51">
    <w:p w14:paraId="487CA2B8" w14:textId="6224B6CB" w:rsidR="003B45D5" w:rsidRPr="00BC2BC4" w:rsidRDefault="003B45D5" w:rsidP="000B3B3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Wells (March 2015) at 10.</w:t>
      </w:r>
    </w:p>
  </w:footnote>
  <w:footnote w:id="52">
    <w:p w14:paraId="23EA5390" w14:textId="3E554D3A"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OECD, </w:t>
      </w:r>
      <w:r w:rsidRPr="00BC2BC4">
        <w:rPr>
          <w:rFonts w:cs="Times New Roman"/>
          <w:i/>
          <w:szCs w:val="18"/>
        </w:rPr>
        <w:t>OECD Principles for Integrity in Public Procurement</w:t>
      </w:r>
      <w:r w:rsidRPr="00BC2BC4">
        <w:rPr>
          <w:rFonts w:cs="Times New Roman"/>
          <w:szCs w:val="18"/>
        </w:rPr>
        <w:t xml:space="preserve"> (2009) at 9, online: &lt;</w:t>
      </w:r>
      <w:hyperlink r:id="rId32" w:history="1">
        <w:r w:rsidRPr="00BC2BC4">
          <w:rPr>
            <w:rStyle w:val="Hyperlink"/>
            <w:rFonts w:cs="Times New Roman"/>
            <w:szCs w:val="18"/>
          </w:rPr>
          <w:t>www.oecd.org/gov/ethics/48994520.pdf</w:t>
        </w:r>
      </w:hyperlink>
      <w:r w:rsidRPr="00BC2BC4">
        <w:rPr>
          <w:rFonts w:cs="Times New Roman"/>
          <w:szCs w:val="18"/>
        </w:rPr>
        <w:t xml:space="preserve">&gt;. </w:t>
      </w:r>
    </w:p>
  </w:footnote>
  <w:footnote w:id="53">
    <w:p w14:paraId="6F947BAC" w14:textId="6634D91F"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Global Infrastructure Anti-Corruption Centre, “How Corruption Occurs”, online: &lt;</w:t>
      </w:r>
      <w:hyperlink r:id="rId33" w:history="1">
        <w:r w:rsidRPr="00BC2BC4">
          <w:rPr>
            <w:rStyle w:val="Hyperlink"/>
            <w:rFonts w:cs="Times New Roman"/>
            <w:szCs w:val="18"/>
          </w:rPr>
          <w:t>www.giaccentre.org/how_corruption_occurs.php</w:t>
        </w:r>
      </w:hyperlink>
      <w:r w:rsidRPr="00BC2BC4">
        <w:rPr>
          <w:rStyle w:val="Hyperlink"/>
          <w:rFonts w:cs="Times New Roman"/>
          <w:color w:val="auto"/>
          <w:szCs w:val="18"/>
          <w:u w:val="none"/>
        </w:rPr>
        <w:t>&gt;</w:t>
      </w:r>
      <w:r w:rsidRPr="00BC2BC4">
        <w:rPr>
          <w:rFonts w:cs="Times New Roman"/>
          <w:szCs w:val="18"/>
        </w:rPr>
        <w:t>.</w:t>
      </w:r>
    </w:p>
  </w:footnote>
  <w:footnote w:id="54">
    <w:p w14:paraId="2E5976D0" w14:textId="1F2731D3"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8C2081">
        <w:rPr>
          <w:rFonts w:cs="Times New Roman"/>
          <w:spacing w:val="-2"/>
          <w:szCs w:val="18"/>
        </w:rPr>
        <w:t xml:space="preserve">Paul Fontanot et al, “Are You Tendering for Fraud?”, </w:t>
      </w:r>
      <w:r w:rsidRPr="008C2081">
        <w:rPr>
          <w:rFonts w:cs="Times New Roman"/>
          <w:i/>
          <w:spacing w:val="-2"/>
          <w:szCs w:val="18"/>
        </w:rPr>
        <w:t>Keeping Good Companies</w:t>
      </w:r>
      <w:r w:rsidRPr="008C2081">
        <w:rPr>
          <w:rFonts w:cs="Times New Roman"/>
          <w:spacing w:val="-2"/>
          <w:szCs w:val="18"/>
        </w:rPr>
        <w:t xml:space="preserve"> (April 2010) 146 at 146.</w:t>
      </w:r>
    </w:p>
  </w:footnote>
  <w:footnote w:id="55">
    <w:p w14:paraId="24A2DBD3" w14:textId="77777777" w:rsidR="003B45D5" w:rsidRPr="00BC2BC4" w:rsidRDefault="003B45D5" w:rsidP="00FC7E00">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 xml:space="preserve">In 2015, PPP Canada contributed to 13 P3 projects entering the market, 21 projects reaching financial close (with a combined value of over CAD$14.1 billion), and 7 municipal P3 projects reaching financial close: PPP Canada, </w:t>
      </w:r>
      <w:r w:rsidRPr="00BC2BC4">
        <w:rPr>
          <w:rFonts w:cs="Times New Roman"/>
          <w:i/>
          <w:szCs w:val="18"/>
          <w:lang w:val="en-US"/>
        </w:rPr>
        <w:t>Annual Report 2015–16</w:t>
      </w:r>
      <w:r w:rsidRPr="00BC2BC4">
        <w:rPr>
          <w:rFonts w:cs="Times New Roman"/>
          <w:szCs w:val="18"/>
          <w:lang w:val="en-US"/>
        </w:rPr>
        <w:t xml:space="preserve"> at 7, online: &lt;</w:t>
      </w:r>
      <w:hyperlink r:id="rId34" w:history="1">
        <w:r w:rsidRPr="00BC2BC4">
          <w:rPr>
            <w:rStyle w:val="Hyperlink"/>
            <w:rFonts w:cs="Times New Roman"/>
            <w:szCs w:val="18"/>
            <w:lang w:val="en-US"/>
          </w:rPr>
          <w:t>www.p3canada.ca/~/media/english/annual-reports/files/2015-2016 annual report.pdf</w:t>
        </w:r>
      </w:hyperlink>
      <w:r w:rsidRPr="00BC2BC4">
        <w:rPr>
          <w:rFonts w:cs="Times New Roman"/>
          <w:szCs w:val="18"/>
          <w:lang w:val="en-US"/>
        </w:rPr>
        <w:t>&gt;.</w:t>
      </w:r>
    </w:p>
  </w:footnote>
  <w:footnote w:id="56">
    <w:p w14:paraId="6DBC7266" w14:textId="0512AB68"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PPP Canada, “Frequently Asked Questions: What Is a P3?”, online: &lt;www.p3canada.ca/en/about-p3s/frequently-asked-questions&gt;</w:t>
      </w:r>
      <w:r w:rsidRPr="00BC2BC4">
        <w:rPr>
          <w:rStyle w:val="Hyperlink"/>
          <w:rFonts w:cs="Times New Roman"/>
          <w:color w:val="auto"/>
          <w:szCs w:val="18"/>
          <w:u w:val="none"/>
        </w:rPr>
        <w:t>.</w:t>
      </w:r>
    </w:p>
  </w:footnote>
  <w:footnote w:id="57">
    <w:p w14:paraId="717DA338" w14:textId="06267F05"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Eduardo Engel, Ronald Fischer &amp; Alexander Galetovic, “Public-Private Partnerships: When and How” (19 July 2008) at 49, online: &lt;</w:t>
      </w:r>
      <w:hyperlink r:id="rId35" w:history="1">
        <w:r w:rsidRPr="00BC2BC4">
          <w:rPr>
            <w:rStyle w:val="Hyperlink"/>
            <w:rFonts w:cs="Times New Roman"/>
            <w:szCs w:val="18"/>
            <w:lang w:val="en-US"/>
          </w:rPr>
          <w:t>www.econ.uchile.cl/uploads/publicacion/c9b9ea69d84d4c93714c2d3b2d5982a5ca0a67d7.pdf</w:t>
        </w:r>
      </w:hyperlink>
      <w:r w:rsidRPr="00BC2BC4">
        <w:rPr>
          <w:rFonts w:cs="Times New Roman"/>
          <w:szCs w:val="18"/>
          <w:lang w:val="en-US"/>
        </w:rPr>
        <w:t xml:space="preserve">&gt;. </w:t>
      </w:r>
    </w:p>
  </w:footnote>
  <w:footnote w:id="58">
    <w:p w14:paraId="0DA508C6" w14:textId="20A3145D"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PPP Canada, “Frequently Asked Questions: What Is a P3?”</w:t>
      </w:r>
    </w:p>
  </w:footnote>
  <w:footnote w:id="59">
    <w:p w14:paraId="7BEB9865" w14:textId="1D7344C8"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Engel, Fischer &amp; Galetovic (19 July 2008) at 49.</w:t>
      </w:r>
    </w:p>
  </w:footnote>
  <w:footnote w:id="60">
    <w:p w14:paraId="1842610A" w14:textId="37EEE677"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Young Hoon Kwak, YingYi Chih &amp; C William Ibbs, “Towards a Comprehensive Understanding of Public Private Partnership for Infrastructure Development” (2009) 51:2 California Management Review 51 </w:t>
      </w:r>
      <w:r w:rsidRPr="00BC2BC4">
        <w:rPr>
          <w:rFonts w:cs="Times New Roman"/>
          <w:szCs w:val="18"/>
          <w:lang w:val="en-US"/>
        </w:rPr>
        <w:t xml:space="preserve">at 54. Some suggest that based on the nature of the public–private relationship inherent in P3s, governments </w:t>
      </w:r>
      <w:r w:rsidRPr="00BC2BC4">
        <w:rPr>
          <w:rFonts w:cs="Times New Roman"/>
          <w:i/>
          <w:szCs w:val="18"/>
          <w:lang w:val="en-US"/>
        </w:rPr>
        <w:t xml:space="preserve">set </w:t>
      </w:r>
      <w:r w:rsidRPr="00BC2BC4">
        <w:rPr>
          <w:rFonts w:cs="Times New Roman"/>
          <w:szCs w:val="18"/>
          <w:lang w:val="en-US"/>
        </w:rPr>
        <w:t xml:space="preserve">policy while the private sector </w:t>
      </w:r>
      <w:r w:rsidRPr="00BC2BC4">
        <w:rPr>
          <w:rFonts w:cs="Times New Roman"/>
          <w:i/>
          <w:szCs w:val="18"/>
          <w:lang w:val="en-US"/>
        </w:rPr>
        <w:t>implements</w:t>
      </w:r>
      <w:r w:rsidRPr="00BC2BC4">
        <w:rPr>
          <w:rFonts w:cs="Times New Roman"/>
          <w:szCs w:val="18"/>
          <w:lang w:val="en-US"/>
        </w:rPr>
        <w:t xml:space="preserve"> policy, invoking the metaphor of “governments steering and the private sector rowing”: Joan Price Boase, “Beyond Government? The Appeal of Public</w:t>
      </w:r>
      <w:r w:rsidRPr="00BC2BC4">
        <w:rPr>
          <w:rFonts w:cs="Times New Roman"/>
          <w:szCs w:val="18"/>
          <w:lang w:val="en-US"/>
        </w:rPr>
        <w:softHyphen/>
        <w:t>–Private Partnerships” (2000) 43:1 Canadian Public Administration 75 at 75.</w:t>
      </w:r>
    </w:p>
  </w:footnote>
  <w:footnote w:id="61">
    <w:p w14:paraId="45918A55" w14:textId="77777777"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lang w:val="en-US"/>
        </w:rPr>
        <w:t>Ibid</w:t>
      </w:r>
      <w:r w:rsidRPr="00BC2BC4">
        <w:rPr>
          <w:rFonts w:cs="Times New Roman"/>
          <w:szCs w:val="18"/>
          <w:lang w:val="en-US"/>
        </w:rPr>
        <w:t>.</w:t>
      </w:r>
    </w:p>
  </w:footnote>
  <w:footnote w:id="62">
    <w:p w14:paraId="7B74C694" w14:textId="77777777"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lang w:val="en-US"/>
        </w:rPr>
        <w:t>Ibid</w:t>
      </w:r>
      <w:r w:rsidRPr="00BC2BC4">
        <w:rPr>
          <w:rFonts w:cs="Times New Roman"/>
          <w:szCs w:val="18"/>
          <w:lang w:val="en-US"/>
        </w:rPr>
        <w:t>.</w:t>
      </w:r>
    </w:p>
  </w:footnote>
  <w:footnote w:id="63">
    <w:p w14:paraId="49F30497" w14:textId="77777777"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lang w:val="en-US"/>
        </w:rPr>
        <w:t>Ibid</w:t>
      </w:r>
      <w:r w:rsidRPr="00BC2BC4">
        <w:rPr>
          <w:rFonts w:cs="Times New Roman"/>
          <w:szCs w:val="18"/>
        </w:rPr>
        <w:t>.</w:t>
      </w:r>
    </w:p>
  </w:footnote>
  <w:footnote w:id="64">
    <w:p w14:paraId="0B03F332" w14:textId="37068795"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World Bank, “Procurement Arrangements Application to Public-Private Partnerships (PPP) Contracts Financed under World Bank Projects”, Guidance Note (September 2010) at 14, online: &lt;</w:t>
      </w:r>
      <w:hyperlink r:id="rId36" w:history="1">
        <w:r w:rsidRPr="00BC2BC4">
          <w:rPr>
            <w:rStyle w:val="Hyperlink"/>
            <w:rFonts w:cs="Times New Roman"/>
            <w:szCs w:val="18"/>
          </w:rPr>
          <w:t>ppp.worldbank.org/public-private-partnership/sites/ppp.worldbank.org/files/documents/</w:t>
        </w:r>
        <w:r w:rsidR="00580711">
          <w:rPr>
            <w:rStyle w:val="Hyperlink"/>
            <w:rFonts w:cs="Times New Roman"/>
            <w:szCs w:val="18"/>
          </w:rPr>
          <w:br/>
        </w:r>
        <w:r w:rsidRPr="00BC2BC4">
          <w:rPr>
            <w:rStyle w:val="Hyperlink"/>
            <w:rFonts w:cs="Times New Roman"/>
            <w:szCs w:val="18"/>
          </w:rPr>
          <w:t>GuidanceNote_PPP_September2010.pdf</w:t>
        </w:r>
      </w:hyperlink>
      <w:r w:rsidRPr="00BC2BC4">
        <w:rPr>
          <w:rFonts w:cs="Times New Roman"/>
          <w:szCs w:val="18"/>
        </w:rPr>
        <w:t>&gt;.</w:t>
      </w:r>
    </w:p>
  </w:footnote>
  <w:footnote w:id="65">
    <w:p w14:paraId="37B846DC" w14:textId="29294083"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PPP Canada, “Frequently Asked Questions: What Is a P3?”</w:t>
      </w:r>
    </w:p>
  </w:footnote>
  <w:footnote w:id="66">
    <w:p w14:paraId="018D48C8" w14:textId="78428E80"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Engel, Fischer &amp; Galetovic (19 July 2008) at 49.</w:t>
      </w:r>
    </w:p>
  </w:footnote>
  <w:footnote w:id="67">
    <w:p w14:paraId="7F690C10" w14:textId="77116425"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lang w:val="en-US"/>
        </w:rPr>
        <w:t xml:space="preserve">Ibid </w:t>
      </w:r>
      <w:r w:rsidRPr="00BC2BC4">
        <w:rPr>
          <w:rFonts w:cs="Times New Roman"/>
          <w:szCs w:val="18"/>
          <w:lang w:val="en-US"/>
        </w:rPr>
        <w:t>at 50.</w:t>
      </w:r>
    </w:p>
  </w:footnote>
  <w:footnote w:id="68">
    <w:p w14:paraId="7196F448" w14:textId="22611EDC"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lang w:val="en-US"/>
        </w:rPr>
        <w:t xml:space="preserve">Ibid </w:t>
      </w:r>
      <w:r w:rsidRPr="00BC2BC4">
        <w:rPr>
          <w:rFonts w:cs="Times New Roman"/>
          <w:szCs w:val="18"/>
          <w:lang w:val="en-US"/>
        </w:rPr>
        <w:t>at 49.</w:t>
      </w:r>
    </w:p>
  </w:footnote>
  <w:footnote w:id="69">
    <w:p w14:paraId="55884B6F" w14:textId="589C329C" w:rsidR="003B45D5" w:rsidRPr="00BC2BC4" w:rsidRDefault="003B45D5" w:rsidP="0063252F">
      <w:pPr>
        <w:pStyle w:val="FootnoteText"/>
        <w:rPr>
          <w:lang w:val="en-US"/>
        </w:rPr>
      </w:pPr>
      <w:r w:rsidRPr="00BC2BC4">
        <w:rPr>
          <w:rStyle w:val="FootnoteReference"/>
          <w:rFonts w:cs="Times New Roman"/>
          <w:szCs w:val="18"/>
        </w:rPr>
        <w:footnoteRef/>
      </w:r>
      <w:r w:rsidRPr="00BC2BC4">
        <w:t xml:space="preserve"> </w:t>
      </w:r>
      <w:r w:rsidRPr="00BC2BC4">
        <w:rPr>
          <w:i/>
          <w:lang w:val="en-US"/>
        </w:rPr>
        <w:t>Ibid</w:t>
      </w:r>
      <w:r w:rsidRPr="00BC2BC4">
        <w:rPr>
          <w:lang w:val="en-US"/>
        </w:rPr>
        <w:t>.</w:t>
      </w:r>
    </w:p>
  </w:footnote>
  <w:footnote w:id="70">
    <w:p w14:paraId="5E8156F3" w14:textId="60F40DBE" w:rsidR="003B45D5" w:rsidRPr="00BC2BC4" w:rsidRDefault="003B45D5" w:rsidP="0063252F">
      <w:pPr>
        <w:pStyle w:val="FootnoteText"/>
        <w:rPr>
          <w:lang w:val="en-US"/>
        </w:rPr>
      </w:pPr>
      <w:r w:rsidRPr="00BC2BC4">
        <w:rPr>
          <w:rStyle w:val="FootnoteReference"/>
          <w:rFonts w:cs="Times New Roman"/>
          <w:szCs w:val="18"/>
        </w:rPr>
        <w:footnoteRef/>
      </w:r>
      <w:r w:rsidRPr="00BC2BC4">
        <w:t xml:space="preserve"> </w:t>
      </w:r>
      <w:r w:rsidRPr="00BC2BC4">
        <w:rPr>
          <w:i/>
          <w:lang w:val="en-US"/>
        </w:rPr>
        <w:t>Ibid</w:t>
      </w:r>
      <w:r w:rsidRPr="00BC2BC4">
        <w:rPr>
          <w:lang w:val="en-US"/>
        </w:rPr>
        <w:t>.</w:t>
      </w:r>
    </w:p>
  </w:footnote>
  <w:footnote w:id="71">
    <w:p w14:paraId="31956C94" w14:textId="4FE67C15" w:rsidR="003B45D5" w:rsidRPr="00BC2BC4" w:rsidRDefault="003B45D5" w:rsidP="0063252F">
      <w:pPr>
        <w:pStyle w:val="FootnoteText"/>
      </w:pPr>
      <w:r w:rsidRPr="00BC2BC4">
        <w:rPr>
          <w:rStyle w:val="FootnoteReference"/>
          <w:rFonts w:cs="Times New Roman"/>
          <w:szCs w:val="18"/>
        </w:rPr>
        <w:footnoteRef/>
      </w:r>
      <w:r w:rsidRPr="00BC2BC4">
        <w:t xml:space="preserve"> AECOM Consult, Inc, “</w:t>
      </w:r>
      <w:r w:rsidRPr="00BC2BC4">
        <w:rPr>
          <w:iCs/>
        </w:rPr>
        <w:t xml:space="preserve">Synthesis of Public-Private Partnership Projects for Roads, Bridges &amp; Tunnels from Around the World, 1985-2004” </w:t>
      </w:r>
      <w:r w:rsidRPr="00BC2BC4">
        <w:t>(United States Department of Transportation, 2005), cited in Young Hoon Kwak, YingYi Chih &amp; C William Ibbs (2009) at 56.</w:t>
      </w:r>
    </w:p>
  </w:footnote>
  <w:footnote w:id="72">
    <w:p w14:paraId="4C733212" w14:textId="5B35CA71" w:rsidR="003B45D5" w:rsidRPr="00BC2BC4" w:rsidRDefault="003B45D5" w:rsidP="0063252F">
      <w:pPr>
        <w:pStyle w:val="FootnoteText"/>
        <w:rPr>
          <w:lang w:val="en-US"/>
        </w:rPr>
      </w:pPr>
      <w:r w:rsidRPr="00BC2BC4">
        <w:rPr>
          <w:rStyle w:val="FootnoteReference"/>
          <w:rFonts w:cs="Times New Roman"/>
          <w:szCs w:val="18"/>
        </w:rPr>
        <w:footnoteRef/>
      </w:r>
      <w:r w:rsidRPr="00BC2BC4">
        <w:t xml:space="preserve"> See Mona Hammami, Jean-Francois Ruhashyankiko &amp; Etienne B Yehoue, “Determinants of Public-Private Partnerships in Infrastructure”, International Monetary Fund, WP/06/99 (April 2006) at 3, online: &lt;</w:t>
      </w:r>
      <w:hyperlink r:id="rId37" w:history="1">
        <w:r w:rsidRPr="00BC2BC4">
          <w:rPr>
            <w:rStyle w:val="Hyperlink"/>
            <w:rFonts w:cs="Times New Roman"/>
            <w:szCs w:val="18"/>
          </w:rPr>
          <w:t>www.imf.org/external/pubs/ft/wp/2006/wp0699.pdf</w:t>
        </w:r>
      </w:hyperlink>
      <w:r w:rsidRPr="00BC2BC4">
        <w:t>&gt;.</w:t>
      </w:r>
    </w:p>
  </w:footnote>
  <w:footnote w:id="73">
    <w:p w14:paraId="20864629" w14:textId="7FDC1432" w:rsidR="003B45D5" w:rsidRPr="00BC2BC4" w:rsidRDefault="003B45D5" w:rsidP="0063252F">
      <w:pPr>
        <w:pStyle w:val="FootnoteText"/>
        <w:rPr>
          <w:lang w:val="en-US"/>
        </w:rPr>
      </w:pPr>
      <w:r w:rsidRPr="00BC2BC4">
        <w:rPr>
          <w:rStyle w:val="FootnoteReference"/>
          <w:rFonts w:cs="Times New Roman"/>
          <w:szCs w:val="18"/>
        </w:rPr>
        <w:footnoteRef/>
      </w:r>
      <w:r w:rsidRPr="00BC2BC4">
        <w:t xml:space="preserve"> </w:t>
      </w:r>
      <w:r w:rsidRPr="00BC2BC4">
        <w:rPr>
          <w:lang w:val="en-US"/>
        </w:rPr>
        <w:t>Brent Patterson, “Trudeau Abandons Harper’s Unpopular P3 Requirement for Infrastructure Funding”, The Council of Canadians (19 November 2015), online: &lt;</w:t>
      </w:r>
      <w:hyperlink r:id="rId38" w:history="1">
        <w:r w:rsidRPr="00BC2BC4">
          <w:rPr>
            <w:rStyle w:val="Hyperlink"/>
            <w:rFonts w:cs="Times New Roman"/>
            <w:szCs w:val="18"/>
            <w:lang w:val="en-US"/>
          </w:rPr>
          <w:t>canadians.org/blog/trudeau-abandons-harpers-unpopular-p3-requirement-infrastructure-funding</w:t>
        </w:r>
      </w:hyperlink>
      <w:r w:rsidRPr="00BC2BC4">
        <w:rPr>
          <w:lang w:val="en-US"/>
        </w:rPr>
        <w:t>&gt;.</w:t>
      </w:r>
    </w:p>
  </w:footnote>
  <w:footnote w:id="74">
    <w:p w14:paraId="5A3E5641" w14:textId="77777777" w:rsidR="003B45D5" w:rsidRPr="00BC2BC4" w:rsidRDefault="003B45D5" w:rsidP="0063252F">
      <w:pPr>
        <w:pStyle w:val="FootnoteText"/>
        <w:rPr>
          <w:lang w:val="en-US"/>
        </w:rPr>
      </w:pPr>
      <w:r w:rsidRPr="00BC2BC4">
        <w:rPr>
          <w:rStyle w:val="FootnoteReference"/>
          <w:rFonts w:cs="Times New Roman"/>
          <w:szCs w:val="18"/>
        </w:rPr>
        <w:footnoteRef/>
      </w:r>
      <w:r w:rsidRPr="00BC2BC4">
        <w:t xml:space="preserve"> </w:t>
      </w:r>
      <w:r w:rsidRPr="00BC2BC4">
        <w:rPr>
          <w:i/>
        </w:rPr>
        <w:t>Ibid</w:t>
      </w:r>
      <w:r w:rsidRPr="00BC2BC4">
        <w:t>.</w:t>
      </w:r>
    </w:p>
  </w:footnote>
  <w:footnote w:id="75">
    <w:p w14:paraId="247FE0C5" w14:textId="4EF09451" w:rsidR="003B45D5" w:rsidRPr="00BC2BC4" w:rsidRDefault="003B45D5" w:rsidP="0063252F">
      <w:pPr>
        <w:pStyle w:val="FootnoteText"/>
      </w:pPr>
      <w:r w:rsidRPr="00BC2BC4">
        <w:rPr>
          <w:rStyle w:val="FootnoteReference"/>
          <w:rFonts w:cs="Times New Roman"/>
          <w:szCs w:val="18"/>
        </w:rPr>
        <w:footnoteRef/>
      </w:r>
      <w:r w:rsidRPr="00BC2BC4">
        <w:t xml:space="preserve"> The Canadian Council for Public-Private Partnerships, Public-Private Partnerships, A Guide for Municipalities (2011) at 10, online: &lt;</w:t>
      </w:r>
      <w:hyperlink r:id="rId39" w:history="1">
        <w:r w:rsidRPr="00BC2BC4">
          <w:rPr>
            <w:rStyle w:val="Hyperlink"/>
            <w:rFonts w:cs="Times New Roman"/>
            <w:szCs w:val="18"/>
          </w:rPr>
          <w:t>www.p3canada.ca/en/about-p3s/p3-resource-library/public-private-partnerships-a-guide-for-municipalities/ &gt;.</w:t>
        </w:r>
      </w:hyperlink>
      <w:r w:rsidRPr="00BC2BC4">
        <w:t xml:space="preserve">See also Maurice Rachwalski, </w:t>
      </w:r>
      <w:r w:rsidRPr="00BC2BC4">
        <w:rPr>
          <w:i/>
        </w:rPr>
        <w:t>Public Sector Capacity to Plan and Deliver Public/Private Infrastructure Partnerships (P3s): A Case Study of British Columbia’s Healthcare Sector</w:t>
      </w:r>
      <w:r w:rsidRPr="00BC2BC4">
        <w:t xml:space="preserve"> (PhD Thesis, University of Victoria School of Public Administration, 2013) [unpublished].</w:t>
      </w:r>
    </w:p>
  </w:footnote>
  <w:footnote w:id="76">
    <w:p w14:paraId="58DEA148" w14:textId="27168EE0" w:rsidR="003B45D5" w:rsidRPr="00BC2BC4" w:rsidRDefault="003B45D5" w:rsidP="0063252F">
      <w:pPr>
        <w:pStyle w:val="FootnoteText"/>
        <w:rPr>
          <w:lang w:val="en-US"/>
        </w:rPr>
      </w:pPr>
      <w:r w:rsidRPr="00BC2BC4">
        <w:rPr>
          <w:rStyle w:val="FootnoteReference"/>
          <w:rFonts w:cs="Times New Roman"/>
          <w:szCs w:val="18"/>
        </w:rPr>
        <w:footnoteRef/>
      </w:r>
      <w:r w:rsidRPr="00BC2BC4">
        <w:t xml:space="preserve"> </w:t>
      </w:r>
      <w:r w:rsidRPr="00BC2BC4">
        <w:rPr>
          <w:lang w:val="en-US"/>
        </w:rPr>
        <w:t>See e.g. Toby Sanger, “Ontario Audit Throws Cold Water on Federal-Provincial Love Affair with P3s”, Canadian Centre for Policy Alternatives (2 February 2015), online: &lt;</w:t>
      </w:r>
      <w:hyperlink r:id="rId40" w:anchor="sthash.SKJBMSP6.dpuf" w:history="1">
        <w:r w:rsidRPr="00BC2BC4">
          <w:rPr>
            <w:rStyle w:val="Hyperlink"/>
            <w:rFonts w:cs="Times New Roman"/>
            <w:szCs w:val="18"/>
            <w:lang w:val="en-US"/>
          </w:rPr>
          <w:t>https://www.policyalternatives.ca/publications/monitor/ontario-audit-throws-cold-water-federal-provincial-love-affair-p3s - sthash.SKJBMSP6.dpuf</w:t>
        </w:r>
      </w:hyperlink>
      <w:r w:rsidRPr="00BC2BC4">
        <w:rPr>
          <w:lang w:val="en-US"/>
        </w:rPr>
        <w:t>&gt;. For an extended discussion of the merits and critiques of P3s, see Young Hoon Kwak, YingYi Chih &amp; C William Ibbs, “Towards a Comprehensive Understanding of Public Private Partnership for Infrastructure Development” (2009) 51:2 California Management Review 51; Eduardo Engel, Ronald Fischer &amp; Alexander Galetovic, “Public-Private Partnerships: When and How” (19 July 2008), online: &lt;</w:t>
      </w:r>
      <w:hyperlink r:id="rId41" w:history="1">
        <w:r w:rsidRPr="00BC2BC4">
          <w:rPr>
            <w:rStyle w:val="Hyperlink"/>
            <w:rFonts w:cs="Times New Roman"/>
            <w:szCs w:val="18"/>
            <w:lang w:val="en-US"/>
          </w:rPr>
          <w:t>www.econ.uchile.cl/uploads/publicacion/c9b9ea69d84d4c93714c2d3b2d5982a5ca0a67d7.pdf</w:t>
        </w:r>
      </w:hyperlink>
      <w:r w:rsidRPr="00BC2BC4">
        <w:rPr>
          <w:lang w:val="en-US"/>
        </w:rPr>
        <w:t>&gt;; World Bank, Asian Development Bank &amp; Inter-American Development Bank, “Public-Private Partnerships Reference Guide”, Version 2.0 (2014), online: &lt;</w:t>
      </w:r>
      <w:hyperlink r:id="rId42" w:history="1">
        <w:r w:rsidRPr="00BC2BC4">
          <w:rPr>
            <w:rStyle w:val="Hyperlink"/>
            <w:rFonts w:cs="Times New Roman"/>
            <w:szCs w:val="18"/>
            <w:lang w:val="en-US"/>
          </w:rPr>
          <w:t>api.ning.com/files/Iumatxx-0jz3owSB05xZDkmWIE7GTVYA3cXwt4K4s3Uy0NtPPRgPWYO1lLrWaTUqybQeTXIeuSYUxbPFWlysuyNI5rL6b2Ms/PPPReferenceGuidev02Web.pdf</w:t>
        </w:r>
      </w:hyperlink>
      <w:r w:rsidRPr="00BC2BC4">
        <w:rPr>
          <w:lang w:val="en-US"/>
        </w:rPr>
        <w:t>&gt;.</w:t>
      </w:r>
    </w:p>
  </w:footnote>
  <w:footnote w:id="77">
    <w:p w14:paraId="6FDE3E71" w14:textId="2FB436AE"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 xml:space="preserve">Robert Klitgaard, </w:t>
      </w:r>
      <w:r w:rsidRPr="00BC2BC4">
        <w:rPr>
          <w:rFonts w:cs="Times New Roman"/>
          <w:i/>
          <w:szCs w:val="18"/>
          <w:lang w:val="en-US"/>
        </w:rPr>
        <w:t>Addressing Corruption Together</w:t>
      </w:r>
      <w:r w:rsidRPr="00BC2BC4">
        <w:rPr>
          <w:rFonts w:cs="Times New Roman"/>
          <w:szCs w:val="18"/>
          <w:lang w:val="en-US"/>
        </w:rPr>
        <w:t xml:space="preserve"> (OECD, 2015) at 5, online: &lt;</w:t>
      </w:r>
      <w:hyperlink r:id="rId43" w:history="1">
        <w:r w:rsidRPr="00BC2BC4">
          <w:rPr>
            <w:rStyle w:val="Hyperlink"/>
            <w:rFonts w:cs="Times New Roman"/>
            <w:szCs w:val="18"/>
            <w:lang w:val="en-US"/>
          </w:rPr>
          <w:t>www.oecd.org/dac/governance-peace/publications/FINAL Addressing corruption together.pdf</w:t>
        </w:r>
      </w:hyperlink>
      <w:r w:rsidRPr="00BC2BC4">
        <w:rPr>
          <w:rFonts w:cs="Times New Roman"/>
          <w:szCs w:val="18"/>
          <w:lang w:val="en-US"/>
        </w:rPr>
        <w:t>&gt;.</w:t>
      </w:r>
    </w:p>
  </w:footnote>
  <w:footnote w:id="78">
    <w:p w14:paraId="3C0E557C" w14:textId="77777777"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 xml:space="preserve">See </w:t>
      </w:r>
      <w:r w:rsidRPr="00BC2BC4">
        <w:rPr>
          <w:rFonts w:cs="Times New Roman"/>
          <w:i/>
          <w:szCs w:val="18"/>
          <w:lang w:val="en-US"/>
        </w:rPr>
        <w:t>ibid</w:t>
      </w:r>
      <w:r w:rsidRPr="00BC2BC4">
        <w:rPr>
          <w:rFonts w:cs="Times New Roman"/>
          <w:szCs w:val="18"/>
          <w:lang w:val="en-US"/>
        </w:rPr>
        <w:t xml:space="preserve"> at 5, 7.</w:t>
      </w:r>
    </w:p>
  </w:footnote>
  <w:footnote w:id="79">
    <w:p w14:paraId="62D6CB83" w14:textId="51558B3B"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Robert C Worthington, “Legal Obligations of Public Purchasers” (Treasury Board of Canada Secretariat, May 2002), online: &lt;</w:t>
      </w:r>
      <w:hyperlink r:id="rId44" w:history="1">
        <w:r w:rsidRPr="00BC2BC4">
          <w:rPr>
            <w:rStyle w:val="Hyperlink"/>
            <w:rFonts w:cs="Times New Roman"/>
            <w:szCs w:val="18"/>
          </w:rPr>
          <w:t>www.tbs-sct.gc.ca/cmp/doc/lopp_olap/lopp_olap-eng.asp</w:t>
        </w:r>
      </w:hyperlink>
      <w:r w:rsidRPr="00BC2BC4">
        <w:rPr>
          <w:rStyle w:val="Hyperlink"/>
          <w:rFonts w:cs="Times New Roman"/>
          <w:color w:val="auto"/>
          <w:szCs w:val="18"/>
          <w:u w:val="none"/>
        </w:rPr>
        <w:t>&gt;</w:t>
      </w:r>
      <w:r w:rsidRPr="00BC2BC4">
        <w:rPr>
          <w:rFonts w:cs="Times New Roman"/>
          <w:szCs w:val="18"/>
        </w:rPr>
        <w:t>.</w:t>
      </w:r>
    </w:p>
  </w:footnote>
  <w:footnote w:id="80">
    <w:p w14:paraId="654A4537" w14:textId="77777777"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w:t>
      </w:r>
    </w:p>
  </w:footnote>
  <w:footnote w:id="81">
    <w:p w14:paraId="6D4E4D02" w14:textId="77777777"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w:t>
      </w:r>
    </w:p>
  </w:footnote>
  <w:footnote w:id="82">
    <w:p w14:paraId="6FED337E" w14:textId="3F2A4CF8"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For a detailed discussion of unsolicited bids, see John T Hodges &amp; Georgina Dellacha, “Unsolicited Infrastructure Proposals: How Some Countries Introduce Competition and Transparency”, Working Paper No 1 (Public Private Infrastructure Advisory Facility, 2007), online: &lt;</w:t>
      </w:r>
      <w:hyperlink r:id="rId45" w:history="1">
        <w:r w:rsidRPr="00BC2BC4">
          <w:rPr>
            <w:rStyle w:val="Hyperlink"/>
            <w:rFonts w:cs="Times New Roman"/>
            <w:szCs w:val="18"/>
            <w:lang w:val="en-US"/>
          </w:rPr>
          <w:t>www.ppiaf.org/sites/ppiaf.org/files/publication/WP1-Unsolicited Infra Proposals - JHodges GDellacha.pdf</w:t>
        </w:r>
      </w:hyperlink>
      <w:r w:rsidRPr="00BC2BC4">
        <w:rPr>
          <w:rFonts w:cs="Times New Roman"/>
          <w:szCs w:val="18"/>
          <w:lang w:val="en-US"/>
        </w:rPr>
        <w:t>&gt;.</w:t>
      </w:r>
    </w:p>
  </w:footnote>
  <w:footnote w:id="83">
    <w:p w14:paraId="79DD6D05" w14:textId="627B15FE"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See Hodges &amp; Dellacha (2007) at vi.</w:t>
      </w:r>
    </w:p>
  </w:footnote>
  <w:footnote w:id="84">
    <w:p w14:paraId="3EAC4995" w14:textId="77777777"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lang w:val="en-US"/>
        </w:rPr>
        <w:t>Ibid</w:t>
      </w:r>
      <w:r w:rsidRPr="00BC2BC4">
        <w:rPr>
          <w:rFonts w:cs="Times New Roman"/>
          <w:szCs w:val="18"/>
          <w:lang w:val="en-US"/>
        </w:rPr>
        <w:t xml:space="preserve"> at 1.</w:t>
      </w:r>
    </w:p>
  </w:footnote>
  <w:footnote w:id="85">
    <w:p w14:paraId="728FC134" w14:textId="5816843C" w:rsidR="003B45D5" w:rsidRPr="00BC2BC4" w:rsidRDefault="003B45D5" w:rsidP="0063252F">
      <w:pPr>
        <w:pStyle w:val="FootnoteText"/>
      </w:pPr>
      <w:r w:rsidRPr="00BC2BC4">
        <w:rPr>
          <w:rStyle w:val="FootnoteReference"/>
          <w:rFonts w:cs="Times New Roman"/>
          <w:szCs w:val="18"/>
        </w:rPr>
        <w:footnoteRef/>
      </w:r>
      <w:r w:rsidRPr="00BC2BC4">
        <w:t xml:space="preserve"> Graeme Hodge &amp; Carsten Greve, “The PPP Debate: Taking Stock of the Issues and Renewing the Research Agenda” (Paper presented at the International Research Society for Public Management Annual Conference, Brisbane, Australia, 26-28 March 2008), cited in </w:t>
      </w:r>
      <w:r w:rsidRPr="00BC2BC4">
        <w:rPr>
          <w:lang w:val="en-GB"/>
        </w:rPr>
        <w:t xml:space="preserve">World Bank &amp; Department for International Development of the United Kingdom, </w:t>
      </w:r>
      <w:r w:rsidRPr="00BC2BC4">
        <w:rPr>
          <w:i/>
          <w:lang w:val="en-GB"/>
        </w:rPr>
        <w:t>Good Governance in Public-Private Partnerships: A Resource Guide for Practitioners</w:t>
      </w:r>
      <w:r w:rsidRPr="00BC2BC4">
        <w:rPr>
          <w:lang w:val="en-GB"/>
        </w:rPr>
        <w:t xml:space="preserve"> (June 2009) at </w:t>
      </w:r>
      <w:r w:rsidRPr="00BC2BC4">
        <w:t>36, n 30</w:t>
      </w:r>
      <w:r w:rsidRPr="00BC2BC4">
        <w:rPr>
          <w:lang w:val="en-GB"/>
        </w:rPr>
        <w:t>, online: &lt;</w:t>
      </w:r>
      <w:hyperlink r:id="rId46" w:history="1">
        <w:r w:rsidRPr="00BC2BC4">
          <w:rPr>
            <w:rStyle w:val="Hyperlink"/>
            <w:rFonts w:cs="Times New Roman"/>
            <w:szCs w:val="18"/>
          </w:rPr>
          <w:t>www-wds.worldbank.org/external/</w:t>
        </w:r>
        <w:r w:rsidR="00D54406">
          <w:rPr>
            <w:rStyle w:val="Hyperlink"/>
            <w:rFonts w:cs="Times New Roman"/>
            <w:szCs w:val="18"/>
          </w:rPr>
          <w:br/>
        </w:r>
        <w:r w:rsidRPr="00BC2BC4">
          <w:rPr>
            <w:rStyle w:val="Hyperlink"/>
            <w:rFonts w:cs="Times New Roman"/>
            <w:szCs w:val="18"/>
          </w:rPr>
          <w:t>default/WDSContentServer/WDSP/IB/2012/07/04/000386194_20120704034652/Rendered/PDF/708460ESW0P1050e0Practices0in0PPPs.pdf</w:t>
        </w:r>
      </w:hyperlink>
      <w:r w:rsidRPr="00BC2BC4">
        <w:rPr>
          <w:lang w:val="en-GB"/>
        </w:rPr>
        <w:t>&gt;</w:t>
      </w:r>
      <w:r w:rsidRPr="00BC2BC4">
        <w:t>.</w:t>
      </w:r>
    </w:p>
  </w:footnote>
  <w:footnote w:id="86">
    <w:p w14:paraId="0FF3CD32" w14:textId="3DDF2C62" w:rsidR="003B45D5" w:rsidRPr="00BC2BC4" w:rsidRDefault="003B45D5" w:rsidP="0063252F">
      <w:pPr>
        <w:pStyle w:val="FootnoteText"/>
        <w:rPr>
          <w:lang w:val="en-US"/>
        </w:rPr>
      </w:pPr>
      <w:r w:rsidRPr="00BC2BC4">
        <w:rPr>
          <w:rStyle w:val="FootnoteReference"/>
          <w:rFonts w:cs="Times New Roman"/>
          <w:szCs w:val="18"/>
        </w:rPr>
        <w:footnoteRef/>
      </w:r>
      <w:r w:rsidRPr="00BC2BC4">
        <w:t xml:space="preserve"> Hodges &amp; Dellacha (2007) at 3.</w:t>
      </w:r>
    </w:p>
  </w:footnote>
  <w:footnote w:id="87">
    <w:p w14:paraId="1713C0D2" w14:textId="77777777" w:rsidR="003B45D5" w:rsidRPr="00BC2BC4" w:rsidRDefault="003B45D5" w:rsidP="0063252F">
      <w:pPr>
        <w:pStyle w:val="FootnoteText"/>
        <w:rPr>
          <w:lang w:val="en-US"/>
        </w:rPr>
      </w:pPr>
      <w:r w:rsidRPr="00BC2BC4">
        <w:rPr>
          <w:rStyle w:val="FootnoteReference"/>
          <w:rFonts w:cs="Times New Roman"/>
          <w:szCs w:val="18"/>
        </w:rPr>
        <w:footnoteRef/>
      </w:r>
      <w:r w:rsidRPr="00BC2BC4">
        <w:t xml:space="preserve"> </w:t>
      </w:r>
      <w:r w:rsidRPr="00BC2BC4">
        <w:rPr>
          <w:i/>
          <w:lang w:val="en-US"/>
        </w:rPr>
        <w:t>Ibid</w:t>
      </w:r>
      <w:r w:rsidRPr="00BC2BC4">
        <w:rPr>
          <w:lang w:val="en-US"/>
        </w:rPr>
        <w:t>.</w:t>
      </w:r>
    </w:p>
  </w:footnote>
  <w:footnote w:id="88">
    <w:p w14:paraId="6BD900F8" w14:textId="1E540D57" w:rsidR="003B45D5" w:rsidRPr="00BC2BC4" w:rsidRDefault="003B45D5" w:rsidP="0063252F">
      <w:pPr>
        <w:pStyle w:val="FootnoteText"/>
      </w:pPr>
      <w:r w:rsidRPr="00BC2BC4">
        <w:rPr>
          <w:rStyle w:val="FootnoteReference"/>
          <w:rFonts w:cs="Times New Roman"/>
          <w:szCs w:val="18"/>
        </w:rPr>
        <w:footnoteRef/>
      </w:r>
      <w:r w:rsidRPr="00BC2BC4">
        <w:t xml:space="preserve"> Kühn &amp; Sherman (2014) at 7.</w:t>
      </w:r>
    </w:p>
  </w:footnote>
  <w:footnote w:id="89">
    <w:p w14:paraId="7F070B46" w14:textId="77777777" w:rsidR="003B45D5" w:rsidRPr="00BC2BC4" w:rsidRDefault="003B45D5" w:rsidP="0063252F">
      <w:pPr>
        <w:pStyle w:val="FootnoteText"/>
      </w:pPr>
      <w:r w:rsidRPr="00BC2BC4">
        <w:rPr>
          <w:rStyle w:val="FootnoteReference"/>
          <w:rFonts w:cs="Times New Roman"/>
          <w:szCs w:val="18"/>
        </w:rPr>
        <w:footnoteRef/>
      </w:r>
      <w:r w:rsidRPr="00BC2BC4">
        <w:t xml:space="preserve"> </w:t>
      </w:r>
      <w:r w:rsidRPr="00BC2BC4">
        <w:rPr>
          <w:i/>
        </w:rPr>
        <w:t>Ibid</w:t>
      </w:r>
      <w:r w:rsidRPr="00BC2BC4">
        <w:t>.</w:t>
      </w:r>
    </w:p>
  </w:footnote>
  <w:footnote w:id="90">
    <w:p w14:paraId="4C486CE6" w14:textId="71C58706" w:rsidR="003B45D5" w:rsidRPr="00BC2BC4" w:rsidRDefault="003B45D5" w:rsidP="0063252F">
      <w:pPr>
        <w:pStyle w:val="FootnoteText"/>
      </w:pPr>
      <w:r w:rsidRPr="00BC2BC4">
        <w:rPr>
          <w:rStyle w:val="FootnoteReference"/>
          <w:rFonts w:cs="Times New Roman"/>
          <w:szCs w:val="18"/>
        </w:rPr>
        <w:footnoteRef/>
      </w:r>
      <w:r w:rsidRPr="00BC2BC4">
        <w:t xml:space="preserve"> </w:t>
      </w:r>
      <w:r w:rsidRPr="00BC2BC4">
        <w:rPr>
          <w:i/>
        </w:rPr>
        <w:t>OECD Principles for Integrity in Public Procurement</w:t>
      </w:r>
      <w:r w:rsidRPr="00BC2BC4">
        <w:t xml:space="preserve"> (2009) at 77.</w:t>
      </w:r>
    </w:p>
  </w:footnote>
  <w:footnote w:id="91">
    <w:p w14:paraId="11867FC3" w14:textId="77777777" w:rsidR="003B45D5" w:rsidRPr="00BC2BC4" w:rsidRDefault="003B45D5" w:rsidP="0063252F">
      <w:pPr>
        <w:pStyle w:val="FootnoteText"/>
      </w:pPr>
      <w:r w:rsidRPr="00BC2BC4">
        <w:rPr>
          <w:rStyle w:val="FootnoteReference"/>
          <w:rFonts w:cs="Times New Roman"/>
          <w:szCs w:val="18"/>
        </w:rPr>
        <w:footnoteRef/>
      </w:r>
      <w:r w:rsidRPr="00BC2BC4">
        <w:t xml:space="preserve"> </w:t>
      </w:r>
      <w:r w:rsidRPr="00BC2BC4">
        <w:rPr>
          <w:i/>
        </w:rPr>
        <w:t>Ibid</w:t>
      </w:r>
      <w:r w:rsidRPr="00BC2BC4">
        <w:t xml:space="preserve"> at 81.</w:t>
      </w:r>
    </w:p>
  </w:footnote>
  <w:footnote w:id="92">
    <w:p w14:paraId="6FE004E6" w14:textId="1C23E38C" w:rsidR="003B45D5" w:rsidRPr="00BC2BC4" w:rsidRDefault="003B45D5" w:rsidP="0063252F">
      <w:pPr>
        <w:pStyle w:val="FootnoteText"/>
      </w:pPr>
      <w:r w:rsidRPr="00BC2BC4">
        <w:rPr>
          <w:rStyle w:val="FootnoteReference"/>
          <w:rFonts w:cs="Times New Roman"/>
          <w:szCs w:val="18"/>
        </w:rPr>
        <w:footnoteRef/>
      </w:r>
      <w:r w:rsidRPr="00BC2BC4">
        <w:t xml:space="preserve"> Kühn &amp; Sherman (2014) at 7.</w:t>
      </w:r>
    </w:p>
  </w:footnote>
  <w:footnote w:id="93">
    <w:p w14:paraId="0028DA14" w14:textId="2E6373F2"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Public Works and Government Services Canada, “Procurement Management Manual”, online: &lt;</w:t>
      </w:r>
      <w:hyperlink r:id="rId47" w:history="1">
        <w:r w:rsidRPr="00BC2BC4">
          <w:rPr>
            <w:rStyle w:val="Hyperlink"/>
            <w:rFonts w:cs="Times New Roman"/>
            <w:szCs w:val="18"/>
          </w:rPr>
          <w:t>www.tpsgc-pwgsc.gc.ca/biens-property/sngp-npms/bi-rp/conn-know/approv-procure/manuelga-pmmanual-8-eng.html</w:t>
        </w:r>
      </w:hyperlink>
      <w:r w:rsidRPr="00BC2BC4">
        <w:rPr>
          <w:rStyle w:val="Hyperlink"/>
          <w:rFonts w:cs="Times New Roman"/>
          <w:color w:val="auto"/>
          <w:szCs w:val="18"/>
          <w:u w:val="none"/>
        </w:rPr>
        <w:t>&gt;</w:t>
      </w:r>
      <w:r w:rsidRPr="00BC2BC4">
        <w:rPr>
          <w:rFonts w:cs="Times New Roman"/>
          <w:szCs w:val="18"/>
        </w:rPr>
        <w:t>.</w:t>
      </w:r>
    </w:p>
  </w:footnote>
  <w:footnote w:id="94">
    <w:p w14:paraId="3A42E1BF"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i/>
          <w:szCs w:val="18"/>
        </w:rPr>
        <w:t xml:space="preserve"> Ibid</w:t>
      </w:r>
      <w:r w:rsidRPr="00BC2BC4">
        <w:rPr>
          <w:rFonts w:cs="Times New Roman"/>
          <w:szCs w:val="18"/>
        </w:rPr>
        <w:t>.</w:t>
      </w:r>
    </w:p>
  </w:footnote>
  <w:footnote w:id="95">
    <w:p w14:paraId="32DB23DF"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i/>
          <w:szCs w:val="18"/>
        </w:rPr>
        <w:t xml:space="preserve"> Ibid</w:t>
      </w:r>
      <w:r w:rsidRPr="00BC2BC4">
        <w:rPr>
          <w:rFonts w:cs="Times New Roman"/>
          <w:szCs w:val="18"/>
        </w:rPr>
        <w:t>.</w:t>
      </w:r>
    </w:p>
  </w:footnote>
  <w:footnote w:id="96">
    <w:p w14:paraId="1BFBEED1"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w:t>
      </w:r>
    </w:p>
  </w:footnote>
  <w:footnote w:id="97">
    <w:p w14:paraId="2B05825F" w14:textId="503F397E"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The Canadian Council for Public-Private Partnerships,</w:t>
      </w:r>
      <w:r w:rsidRPr="00BC2BC4">
        <w:rPr>
          <w:rFonts w:cs="Times New Roman"/>
          <w:i/>
          <w:szCs w:val="18"/>
        </w:rPr>
        <w:t xml:space="preserve"> Public-Private Partnerships, A Guide for Municipalities</w:t>
      </w:r>
      <w:r w:rsidRPr="00BC2BC4">
        <w:rPr>
          <w:rFonts w:cs="Times New Roman"/>
          <w:szCs w:val="18"/>
        </w:rPr>
        <w:t xml:space="preserve"> (2011) at 29, online: &lt;</w:t>
      </w:r>
      <w:hyperlink r:id="rId48" w:history="1">
        <w:r w:rsidRPr="00BC2BC4">
          <w:rPr>
            <w:rStyle w:val="Hyperlink"/>
            <w:rFonts w:cs="Times New Roman"/>
            <w:szCs w:val="18"/>
          </w:rPr>
          <w:t>www.p3canada.ca/en/about-p3s/p3-resource-library/public-private-partnerships-a-guide-for-municipalities/</w:t>
        </w:r>
      </w:hyperlink>
      <w:r w:rsidRPr="00BC2BC4">
        <w:rPr>
          <w:rFonts w:cs="Times New Roman"/>
          <w:szCs w:val="18"/>
        </w:rPr>
        <w:t>&gt;.</w:t>
      </w:r>
    </w:p>
  </w:footnote>
  <w:footnote w:id="98">
    <w:p w14:paraId="0D674411" w14:textId="6911D1D0"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Kühn &amp; Sherman (2014) at 7.</w:t>
      </w:r>
    </w:p>
  </w:footnote>
  <w:footnote w:id="99">
    <w:p w14:paraId="4DAAF393"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xml:space="preserve"> at 30.</w:t>
      </w:r>
    </w:p>
  </w:footnote>
  <w:footnote w:id="100">
    <w:p w14:paraId="324F3F78"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i/>
          <w:szCs w:val="18"/>
        </w:rPr>
        <w:t xml:space="preserve"> Ibid</w:t>
      </w:r>
      <w:r w:rsidRPr="00BC2BC4">
        <w:rPr>
          <w:rFonts w:cs="Times New Roman"/>
          <w:szCs w:val="18"/>
        </w:rPr>
        <w:t>.</w:t>
      </w:r>
    </w:p>
  </w:footnote>
  <w:footnote w:id="101">
    <w:p w14:paraId="2542BC1B" w14:textId="4F655EC8"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Steven L Schooner, “Desiderata: Objective for a System of Government Contract Law” (2002) 11:2 Public Procurement Law Review 103 at 104.</w:t>
      </w:r>
    </w:p>
  </w:footnote>
  <w:footnote w:id="102">
    <w:p w14:paraId="0C3725AA" w14:textId="64BE8FF5"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Kühn &amp; Sherman (2014) at 12.</w:t>
      </w:r>
    </w:p>
  </w:footnote>
  <w:footnote w:id="103">
    <w:p w14:paraId="09A9E7B5" w14:textId="070ED7CF"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Wayne A Wittig, “A Strategy for Improving Corruption in Public Procurement”</w:t>
      </w:r>
      <w:r w:rsidRPr="00BC2BC4">
        <w:rPr>
          <w:rFonts w:cs="Times New Roman"/>
          <w:i/>
          <w:szCs w:val="18"/>
        </w:rPr>
        <w:t xml:space="preserve"> </w:t>
      </w:r>
      <w:r w:rsidRPr="00BC2BC4">
        <w:rPr>
          <w:rFonts w:cs="Times New Roman"/>
          <w:szCs w:val="18"/>
        </w:rPr>
        <w:t>(Paper presented at the International Anti-Corruption Conference, Durban, ZA, 10–15 October 1999), online: &lt;</w:t>
      </w:r>
      <w:hyperlink r:id="rId49" w:history="1">
        <w:r w:rsidRPr="00BC2BC4">
          <w:rPr>
            <w:rStyle w:val="Hyperlink"/>
            <w:rFonts w:cs="Times New Roman"/>
            <w:szCs w:val="18"/>
          </w:rPr>
          <w:t>http://9iacc.org/papers/day2/ws2/d2ws2_wwittig2.html</w:t>
        </w:r>
      </w:hyperlink>
      <w:r w:rsidRPr="00BC2BC4">
        <w:rPr>
          <w:rStyle w:val="Hyperlink"/>
          <w:rFonts w:cs="Times New Roman"/>
          <w:color w:val="auto"/>
          <w:szCs w:val="18"/>
          <w:u w:val="none"/>
        </w:rPr>
        <w:t>&gt;</w:t>
      </w:r>
      <w:r w:rsidRPr="00BC2BC4">
        <w:rPr>
          <w:rFonts w:cs="Times New Roman"/>
          <w:szCs w:val="18"/>
        </w:rPr>
        <w:t xml:space="preserve">. </w:t>
      </w:r>
    </w:p>
  </w:footnote>
  <w:footnote w:id="104">
    <w:p w14:paraId="23CAC599" w14:textId="3C3BE7CF"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 xml:space="preserve">Ban Ki-moon, “Foreword” in United Nations, </w:t>
      </w:r>
      <w:r w:rsidRPr="00BC2BC4">
        <w:rPr>
          <w:rFonts w:cs="Times New Roman"/>
          <w:i/>
          <w:szCs w:val="18"/>
        </w:rPr>
        <w:t>Supplement to the 2011 Annual Statistical Report on United Nations Procurement</w:t>
      </w:r>
      <w:r w:rsidRPr="00BC2BC4">
        <w:rPr>
          <w:rFonts w:cs="Times New Roman"/>
          <w:szCs w:val="18"/>
        </w:rPr>
        <w:t xml:space="preserve"> (2011) i, online: &lt;</w:t>
      </w:r>
      <w:hyperlink r:id="rId50" w:history="1">
        <w:r w:rsidRPr="00BC2BC4">
          <w:rPr>
            <w:rStyle w:val="Hyperlink"/>
            <w:rFonts w:cs="Times New Roman"/>
            <w:szCs w:val="18"/>
          </w:rPr>
          <w:t>https://www.ungm.org/Areas/Public/Downloads/ASR_2011_supplement.pdf</w:t>
        </w:r>
      </w:hyperlink>
      <w:r w:rsidRPr="00BC2BC4">
        <w:rPr>
          <w:rFonts w:cs="Times New Roman"/>
          <w:szCs w:val="18"/>
        </w:rPr>
        <w:t>&gt;.</w:t>
      </w:r>
    </w:p>
  </w:footnote>
  <w:footnote w:id="105">
    <w:p w14:paraId="354535B2" w14:textId="4B9B115C"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Therese Ballard, “Transparency in Public Procurement” in </w:t>
      </w:r>
      <w:r w:rsidRPr="00BC2BC4">
        <w:rPr>
          <w:rFonts w:cs="Times New Roman"/>
          <w:szCs w:val="18"/>
          <w:lang w:val="en-US"/>
        </w:rPr>
        <w:t xml:space="preserve">United Nations, </w:t>
      </w:r>
      <w:r w:rsidRPr="00BC2BC4">
        <w:rPr>
          <w:rFonts w:cs="Times New Roman"/>
          <w:i/>
          <w:szCs w:val="18"/>
        </w:rPr>
        <w:t>Supplement to the 2011 Annual Statistical Report on United Nations Procurement</w:t>
      </w:r>
      <w:r w:rsidRPr="00BC2BC4">
        <w:rPr>
          <w:rFonts w:cs="Times New Roman"/>
          <w:szCs w:val="18"/>
        </w:rPr>
        <w:t xml:space="preserve"> (2011) 2 at 2, online: &lt;</w:t>
      </w:r>
      <w:hyperlink r:id="rId51" w:history="1">
        <w:r w:rsidRPr="00BC2BC4">
          <w:rPr>
            <w:rStyle w:val="Hyperlink"/>
            <w:rFonts w:cs="Times New Roman"/>
            <w:szCs w:val="18"/>
          </w:rPr>
          <w:t>https://www.ungm.org/Areas/Public/Downloads/ASR_2011_supplement.pdf</w:t>
        </w:r>
      </w:hyperlink>
      <w:r w:rsidRPr="00BC2BC4">
        <w:rPr>
          <w:rFonts w:cs="Times New Roman"/>
          <w:szCs w:val="18"/>
        </w:rPr>
        <w:t>&gt;</w:t>
      </w:r>
    </w:p>
  </w:footnote>
  <w:footnote w:id="106">
    <w:p w14:paraId="562AC366" w14:textId="21941B9C"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 xml:space="preserve">Louis D Brandeis, </w:t>
      </w:r>
      <w:r w:rsidRPr="00BC2BC4">
        <w:rPr>
          <w:rFonts w:cs="Times New Roman"/>
          <w:i/>
          <w:szCs w:val="18"/>
          <w:lang w:val="en-US"/>
        </w:rPr>
        <w:t>Other People’s Money</w:t>
      </w:r>
      <w:r w:rsidRPr="00BC2BC4">
        <w:rPr>
          <w:rFonts w:cs="Times New Roman"/>
          <w:szCs w:val="18"/>
          <w:lang w:val="en-US"/>
        </w:rPr>
        <w:t>, online: University of Louisville &lt;</w:t>
      </w:r>
      <w:hyperlink r:id="rId52" w:history="1">
        <w:r w:rsidRPr="00BC2BC4">
          <w:rPr>
            <w:rStyle w:val="Hyperlink"/>
            <w:rFonts w:cs="Times New Roman"/>
            <w:szCs w:val="18"/>
            <w:lang w:val="en-US"/>
          </w:rPr>
          <w:t>www.law.louisville.edu/library/collections/brandeis/node/196</w:t>
        </w:r>
      </w:hyperlink>
      <w:r w:rsidRPr="00BC2BC4">
        <w:rPr>
          <w:rFonts w:cs="Times New Roman"/>
          <w:szCs w:val="18"/>
          <w:lang w:val="en-US"/>
        </w:rPr>
        <w:t>&gt;.</w:t>
      </w:r>
    </w:p>
  </w:footnote>
  <w:footnote w:id="107">
    <w:p w14:paraId="691E5365" w14:textId="76B8B69D"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OECD, </w:t>
      </w:r>
      <w:r w:rsidRPr="00BC2BC4">
        <w:rPr>
          <w:rFonts w:cs="Times New Roman"/>
          <w:i/>
          <w:szCs w:val="18"/>
        </w:rPr>
        <w:t>Integrity in Public Procurement: Good Practice from A to Z</w:t>
      </w:r>
      <w:r w:rsidRPr="00BC2BC4">
        <w:rPr>
          <w:rFonts w:cs="Times New Roman"/>
          <w:szCs w:val="18"/>
        </w:rPr>
        <w:t xml:space="preserve"> (2007) at 10, online: &lt;</w:t>
      </w:r>
      <w:hyperlink r:id="rId53" w:history="1">
        <w:r w:rsidRPr="00BC2BC4">
          <w:rPr>
            <w:rStyle w:val="Hyperlink"/>
            <w:rFonts w:cs="Times New Roman"/>
            <w:szCs w:val="18"/>
          </w:rPr>
          <w:t>www.oecd.org/development/effectiveness/38588964.pdf</w:t>
        </w:r>
      </w:hyperlink>
      <w:r w:rsidRPr="00BC2BC4">
        <w:rPr>
          <w:rFonts w:cs="Times New Roman"/>
          <w:szCs w:val="18"/>
        </w:rPr>
        <w:t>&gt;.</w:t>
      </w:r>
    </w:p>
  </w:footnote>
  <w:footnote w:id="108">
    <w:p w14:paraId="233100B1" w14:textId="36BF1ADF"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w:t>
      </w:r>
    </w:p>
  </w:footnote>
  <w:footnote w:id="109">
    <w:p w14:paraId="4197062F" w14:textId="606F4B56" w:rsidR="003B45D5" w:rsidRPr="00BC2BC4" w:rsidRDefault="003B45D5" w:rsidP="0063252F">
      <w:pPr>
        <w:pStyle w:val="FootnoteText"/>
      </w:pPr>
      <w:r w:rsidRPr="00BC2BC4">
        <w:rPr>
          <w:rStyle w:val="FootnoteReference"/>
          <w:rFonts w:cs="Times New Roman"/>
          <w:szCs w:val="18"/>
        </w:rPr>
        <w:footnoteRef/>
      </w:r>
      <w:r w:rsidRPr="00BC2BC4">
        <w:t xml:space="preserve"> Schooner (2002) at 105.</w:t>
      </w:r>
    </w:p>
  </w:footnote>
  <w:footnote w:id="110">
    <w:p w14:paraId="67DCEB29" w14:textId="000E664C" w:rsidR="003B45D5" w:rsidRPr="00BC2BC4" w:rsidRDefault="003B45D5" w:rsidP="0063252F">
      <w:pPr>
        <w:pStyle w:val="FootnoteText"/>
      </w:pPr>
      <w:r w:rsidRPr="00BC2BC4">
        <w:rPr>
          <w:rStyle w:val="FootnoteReference"/>
          <w:rFonts w:cs="Times New Roman"/>
          <w:szCs w:val="18"/>
        </w:rPr>
        <w:footnoteRef/>
      </w:r>
      <w:r w:rsidRPr="00BC2BC4">
        <w:t xml:space="preserve"> </w:t>
      </w:r>
      <w:r w:rsidRPr="00BC2BC4">
        <w:rPr>
          <w:lang w:val="en-US"/>
        </w:rPr>
        <w:t>Robert D Anderson, William E Kovacic &amp; Anna Caroline Müller, “</w:t>
      </w:r>
      <w:r w:rsidRPr="00BC2BC4">
        <w:t xml:space="preserve">Ensuring Integrity and Competition in Public Procurement Markets: A Dual Challenge for Good Governance” in </w:t>
      </w:r>
      <w:r w:rsidRPr="00BC2BC4">
        <w:rPr>
          <w:lang w:val="en-US"/>
        </w:rPr>
        <w:t xml:space="preserve">United Nations, </w:t>
      </w:r>
      <w:r w:rsidRPr="00BC2BC4">
        <w:rPr>
          <w:i/>
        </w:rPr>
        <w:t>Supplement to the 2011 Annual Statistical Report on United Nations Procurement</w:t>
      </w:r>
      <w:r w:rsidRPr="00BC2BC4">
        <w:t xml:space="preserve"> (2011) 9 at 10, online: &lt;</w:t>
      </w:r>
      <w:hyperlink r:id="rId54" w:history="1">
        <w:r w:rsidRPr="00BC2BC4">
          <w:rPr>
            <w:rStyle w:val="Hyperlink"/>
            <w:rFonts w:cs="Times New Roman"/>
            <w:szCs w:val="18"/>
          </w:rPr>
          <w:t>https://www.ungm.org/Areas/Public/Downloads/ASR_2011_supplement.pdf</w:t>
        </w:r>
      </w:hyperlink>
      <w:r w:rsidRPr="00BC2BC4">
        <w:t>&gt;.</w:t>
      </w:r>
    </w:p>
  </w:footnote>
  <w:footnote w:id="111">
    <w:p w14:paraId="59D502A7" w14:textId="00724149" w:rsidR="003B45D5" w:rsidRPr="00BC2BC4" w:rsidRDefault="003B45D5" w:rsidP="0063252F">
      <w:pPr>
        <w:pStyle w:val="FootnoteText"/>
        <w:rPr>
          <w:iCs/>
        </w:rPr>
      </w:pPr>
      <w:r w:rsidRPr="00BC2BC4">
        <w:rPr>
          <w:rStyle w:val="FootnoteReference"/>
          <w:rFonts w:cs="Times New Roman"/>
          <w:szCs w:val="18"/>
        </w:rPr>
        <w:footnoteRef/>
      </w:r>
      <w:r w:rsidRPr="00BC2BC4">
        <w:t xml:space="preserve"> Transparency International, </w:t>
      </w:r>
      <w:r w:rsidRPr="00BC2BC4">
        <w:rPr>
          <w:i/>
          <w:iCs/>
        </w:rPr>
        <w:t xml:space="preserve">The Anti-Corruption Plain Language Guide </w:t>
      </w:r>
      <w:r w:rsidRPr="00BC2BC4">
        <w:rPr>
          <w:iCs/>
        </w:rPr>
        <w:t>(2009)</w:t>
      </w:r>
      <w:r w:rsidRPr="00BC2BC4">
        <w:rPr>
          <w:i/>
          <w:iCs/>
        </w:rPr>
        <w:t xml:space="preserve"> </w:t>
      </w:r>
      <w:r w:rsidRPr="00BC2BC4">
        <w:rPr>
          <w:iCs/>
        </w:rPr>
        <w:t>at 24, online: &lt;</w:t>
      </w:r>
      <w:hyperlink r:id="rId55" w:history="1">
        <w:r w:rsidRPr="00BC2BC4">
          <w:rPr>
            <w:rStyle w:val="Hyperlink"/>
            <w:rFonts w:cs="Times New Roman"/>
            <w:iCs/>
            <w:szCs w:val="18"/>
          </w:rPr>
          <w:t>https://www.transparency.de/fileadmin/pdfs/Themen/Wirtschaft/TI_Plain_Language_Guide_280709.pdf</w:t>
        </w:r>
      </w:hyperlink>
      <w:r w:rsidRPr="00BC2BC4">
        <w:rPr>
          <w:iCs/>
        </w:rPr>
        <w:t>&gt;.</w:t>
      </w:r>
      <w:r w:rsidRPr="00BC2BC4">
        <w:rPr>
          <w:i/>
          <w:iCs/>
        </w:rPr>
        <w:t xml:space="preserve"> </w:t>
      </w:r>
      <w:r w:rsidRPr="00BC2BC4">
        <w:rPr>
          <w:iCs/>
        </w:rPr>
        <w:t xml:space="preserve"> </w:t>
      </w:r>
    </w:p>
  </w:footnote>
  <w:footnote w:id="112">
    <w:p w14:paraId="5BD3A8BE" w14:textId="1EBD5598" w:rsidR="003B45D5" w:rsidRPr="00BC2BC4" w:rsidRDefault="003B45D5" w:rsidP="0063252F">
      <w:pPr>
        <w:pStyle w:val="FootnoteText"/>
      </w:pPr>
      <w:r w:rsidRPr="00BC2BC4">
        <w:rPr>
          <w:rStyle w:val="FootnoteReference"/>
          <w:rFonts w:cs="Times New Roman"/>
          <w:szCs w:val="18"/>
        </w:rPr>
        <w:footnoteRef/>
      </w:r>
      <w:r w:rsidRPr="00BC2BC4">
        <w:rPr>
          <w:i/>
        </w:rPr>
        <w:t xml:space="preserve"> </w:t>
      </w:r>
      <w:r w:rsidRPr="00BC2BC4">
        <w:t xml:space="preserve">OECD, </w:t>
      </w:r>
      <w:r w:rsidRPr="00BC2BC4">
        <w:rPr>
          <w:i/>
        </w:rPr>
        <w:t>OECD Principles for Integrity in Public Procurement</w:t>
      </w:r>
      <w:r w:rsidRPr="00BC2BC4">
        <w:t xml:space="preserve"> (2009) at 3, online: &lt;</w:t>
      </w:r>
      <w:hyperlink r:id="rId56" w:history="1">
        <w:r w:rsidRPr="00BC2BC4">
          <w:rPr>
            <w:rStyle w:val="Hyperlink"/>
            <w:rFonts w:cs="Times New Roman"/>
            <w:szCs w:val="18"/>
          </w:rPr>
          <w:t>www.oecd.org/gov/ethics/48994520.pdf</w:t>
        </w:r>
      </w:hyperlink>
      <w:r w:rsidRPr="00BC2BC4">
        <w:t>&gt;.</w:t>
      </w:r>
    </w:p>
  </w:footnote>
  <w:footnote w:id="113">
    <w:p w14:paraId="514B6E2B" w14:textId="5B390A33" w:rsidR="003B45D5" w:rsidRPr="00BC2BC4" w:rsidRDefault="003B45D5" w:rsidP="0063252F">
      <w:pPr>
        <w:pStyle w:val="FootnoteText"/>
      </w:pPr>
      <w:r w:rsidRPr="00BC2BC4">
        <w:rPr>
          <w:rStyle w:val="FootnoteReference"/>
          <w:rFonts w:cs="Times New Roman"/>
          <w:szCs w:val="18"/>
        </w:rPr>
        <w:footnoteRef/>
      </w:r>
      <w:r w:rsidRPr="00BC2BC4">
        <w:t xml:space="preserve"> OECD, </w:t>
      </w:r>
      <w:r w:rsidRPr="00BC2BC4">
        <w:rPr>
          <w:i/>
        </w:rPr>
        <w:t xml:space="preserve">Checklist for Enhancing Integrity in Public Procurement </w:t>
      </w:r>
      <w:r w:rsidRPr="00BC2BC4">
        <w:t>(2008), online: &lt;</w:t>
      </w:r>
      <w:hyperlink r:id="rId57" w:history="1">
        <w:r w:rsidRPr="00BC2BC4">
          <w:rPr>
            <w:rStyle w:val="Hyperlink"/>
            <w:rFonts w:cs="Times New Roman"/>
            <w:szCs w:val="18"/>
          </w:rPr>
          <w:t>https://www.oecd.org/gov/41760991.pdf</w:t>
        </w:r>
      </w:hyperlink>
      <w:r w:rsidRPr="00BC2BC4">
        <w:rPr>
          <w:rStyle w:val="Hyperlink"/>
          <w:rFonts w:cs="Times New Roman"/>
          <w:color w:val="auto"/>
          <w:szCs w:val="18"/>
          <w:u w:val="none"/>
        </w:rPr>
        <w:t>&gt;</w:t>
      </w:r>
      <w:r w:rsidRPr="00BC2BC4">
        <w:t>.</w:t>
      </w:r>
    </w:p>
  </w:footnote>
  <w:footnote w:id="114">
    <w:p w14:paraId="5FF50432" w14:textId="57203DC7" w:rsidR="003B45D5" w:rsidRPr="00BC2BC4" w:rsidRDefault="003B45D5" w:rsidP="0063252F">
      <w:pPr>
        <w:pStyle w:val="FootnoteText"/>
        <w:rPr>
          <w:lang w:val="en-US"/>
        </w:rPr>
      </w:pPr>
      <w:r w:rsidRPr="00BC2BC4">
        <w:rPr>
          <w:rStyle w:val="FootnoteReference"/>
          <w:rFonts w:cs="Times New Roman"/>
          <w:szCs w:val="18"/>
        </w:rPr>
        <w:footnoteRef/>
      </w:r>
      <w:r w:rsidRPr="00BC2BC4">
        <w:t xml:space="preserve"> </w:t>
      </w:r>
      <w:r w:rsidRPr="00BC2BC4">
        <w:rPr>
          <w:lang w:val="en-US"/>
        </w:rPr>
        <w:t xml:space="preserve">OECD, </w:t>
      </w:r>
      <w:r w:rsidRPr="00BC2BC4">
        <w:rPr>
          <w:i/>
        </w:rPr>
        <w:t>Implementing the OECD Principles for Integrity in Public Procurement:</w:t>
      </w:r>
      <w:r w:rsidRPr="00BC2BC4">
        <w:t xml:space="preserve"> </w:t>
      </w:r>
      <w:r w:rsidRPr="00BC2BC4">
        <w:rPr>
          <w:i/>
          <w:iCs/>
          <w:lang w:val="en-US"/>
        </w:rPr>
        <w:t>Progress Since 2008</w:t>
      </w:r>
      <w:r w:rsidRPr="00BC2BC4">
        <w:rPr>
          <w:iCs/>
          <w:lang w:val="en-US"/>
        </w:rPr>
        <w:t xml:space="preserve"> (2013) at 24–25, online:&lt;</w:t>
      </w:r>
      <w:hyperlink r:id="rId58" w:history="1">
        <w:r w:rsidRPr="00BC2BC4">
          <w:rPr>
            <w:rStyle w:val="Hyperlink"/>
            <w:rFonts w:cs="Times New Roman"/>
            <w:iCs/>
            <w:szCs w:val="18"/>
            <w:lang w:val="en-US"/>
          </w:rPr>
          <w:t>www.oecd-ilibrary.org/governance/implementing-the-oecd-principles-for-integrity-in-public-procurement_9789264201385-en</w:t>
        </w:r>
      </w:hyperlink>
      <w:r w:rsidRPr="00BC2BC4">
        <w:rPr>
          <w:iCs/>
          <w:lang w:val="en-US"/>
        </w:rPr>
        <w:t>&gt;.</w:t>
      </w:r>
    </w:p>
  </w:footnote>
  <w:footnote w:id="115">
    <w:p w14:paraId="55CE56AA" w14:textId="7AAB9E96" w:rsidR="003B45D5" w:rsidRPr="00BC2BC4" w:rsidRDefault="003B45D5" w:rsidP="0063252F">
      <w:pPr>
        <w:pStyle w:val="FootnoteText"/>
      </w:pPr>
      <w:r w:rsidRPr="00BC2BC4">
        <w:rPr>
          <w:rStyle w:val="FootnoteReference"/>
          <w:rFonts w:cs="Times New Roman"/>
          <w:szCs w:val="18"/>
        </w:rPr>
        <w:footnoteRef/>
      </w:r>
      <w:r w:rsidRPr="00BC2BC4">
        <w:t xml:space="preserve"> </w:t>
      </w:r>
      <w:r w:rsidRPr="00BC2BC4">
        <w:rPr>
          <w:i/>
        </w:rPr>
        <w:t>Irving Shipbuilding Inc v Canada (AG)</w:t>
      </w:r>
      <w:r w:rsidRPr="00BC2BC4">
        <w:t>, 2009 FCA 116 at para 21, 314 DLR (4th) 340.</w:t>
      </w:r>
    </w:p>
  </w:footnote>
  <w:footnote w:id="116">
    <w:p w14:paraId="67DF98F0" w14:textId="26E6E260" w:rsidR="003B45D5" w:rsidRPr="00BC2BC4" w:rsidRDefault="003B45D5" w:rsidP="0063252F">
      <w:pPr>
        <w:pStyle w:val="FootnoteText"/>
      </w:pPr>
      <w:r w:rsidRPr="00BC2BC4">
        <w:rPr>
          <w:rStyle w:val="FootnoteReference"/>
          <w:rFonts w:cs="Times New Roman"/>
          <w:szCs w:val="18"/>
        </w:rPr>
        <w:footnoteRef/>
      </w:r>
      <w:r w:rsidRPr="00BC2BC4">
        <w:t xml:space="preserve"> Decentralization Thematic Team, “</w:t>
      </w:r>
      <w:r w:rsidRPr="00BC2BC4">
        <w:rPr>
          <w:iCs/>
        </w:rPr>
        <w:t xml:space="preserve">Accountability, Transparency and Corruption in Decentralized Governance”, </w:t>
      </w:r>
      <w:r w:rsidRPr="00BC2BC4">
        <w:t>World Bank, online:</w:t>
      </w:r>
      <w:r w:rsidR="00680B8A">
        <w:t xml:space="preserve"> </w:t>
      </w:r>
      <w:r w:rsidRPr="00BC2BC4">
        <w:t>&lt;</w:t>
      </w:r>
      <w:hyperlink r:id="rId59" w:history="1">
        <w:r w:rsidRPr="00BC2BC4">
          <w:rPr>
            <w:rStyle w:val="Hyperlink"/>
            <w:rFonts w:cs="Times New Roman"/>
            <w:szCs w:val="18"/>
          </w:rPr>
          <w:t>https://www.ciesin.columbia.edu/decentralization/English/Issues/Accountability.html</w:t>
        </w:r>
      </w:hyperlink>
      <w:r w:rsidRPr="00BC2BC4">
        <w:t>&gt;.</w:t>
      </w:r>
    </w:p>
  </w:footnote>
  <w:footnote w:id="117">
    <w:p w14:paraId="07FB1F95" w14:textId="2FC61DEE" w:rsidR="003B45D5" w:rsidRPr="00BC2BC4" w:rsidRDefault="003B45D5" w:rsidP="0063252F">
      <w:pPr>
        <w:pStyle w:val="FootnoteText"/>
      </w:pPr>
      <w:r w:rsidRPr="00BC2BC4">
        <w:rPr>
          <w:rStyle w:val="FootnoteReference"/>
          <w:rFonts w:cs="Times New Roman"/>
          <w:szCs w:val="18"/>
        </w:rPr>
        <w:footnoteRef/>
      </w:r>
      <w:r w:rsidRPr="00BC2BC4">
        <w:t xml:space="preserve"> </w:t>
      </w:r>
      <w:r w:rsidRPr="00BC2BC4">
        <w:rPr>
          <w:i/>
        </w:rPr>
        <w:t>Contract Disputes Act of 1978</w:t>
      </w:r>
      <w:r w:rsidRPr="00BC2BC4">
        <w:t xml:space="preserve">, codified as amended at 41 USC §§ 4101–7109. </w:t>
      </w:r>
    </w:p>
  </w:footnote>
  <w:footnote w:id="118">
    <w:p w14:paraId="47F75C4A" w14:textId="228D841B"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Kate M Manuel &amp; Moshe Schwartz, </w:t>
      </w:r>
      <w:r w:rsidRPr="00BC2BC4">
        <w:rPr>
          <w:rFonts w:cs="Times New Roman"/>
          <w:i/>
          <w:szCs w:val="18"/>
        </w:rPr>
        <w:t>GAO Bid Protests: An Overview of Time Frames and Procedures</w:t>
      </w:r>
      <w:r w:rsidRPr="00BC2BC4">
        <w:rPr>
          <w:rFonts w:cs="Times New Roman"/>
          <w:szCs w:val="18"/>
        </w:rPr>
        <w:t xml:space="preserve"> (Congressional Research Services, 2014) at 1, online: &lt;</w:t>
      </w:r>
      <w:hyperlink r:id="rId60" w:history="1">
        <w:r w:rsidRPr="00BC2BC4">
          <w:rPr>
            <w:rStyle w:val="Hyperlink"/>
            <w:szCs w:val="18"/>
          </w:rPr>
          <w:t>https://www.fas.org/sgp/crs/misc/R40228.pdf</w:t>
        </w:r>
      </w:hyperlink>
      <w:r w:rsidRPr="00BC2BC4">
        <w:rPr>
          <w:rFonts w:cs="Times New Roman"/>
          <w:szCs w:val="18"/>
        </w:rPr>
        <w:t>&gt;.</w:t>
      </w:r>
    </w:p>
  </w:footnote>
  <w:footnote w:id="119">
    <w:p w14:paraId="779C4F75" w14:textId="31D4B00E"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Introl Corp</w:t>
      </w:r>
      <w:r w:rsidRPr="00BC2BC4">
        <w:rPr>
          <w:rFonts w:cs="Times New Roman"/>
          <w:szCs w:val="18"/>
        </w:rPr>
        <w:t xml:space="preserve"> B-218339, 9 July 1985, 85-2 CPD 35, online at: &lt;</w:t>
      </w:r>
      <w:hyperlink r:id="rId61" w:anchor="mt=e-report" w:history="1">
        <w:r w:rsidRPr="00BC2BC4">
          <w:rPr>
            <w:rStyle w:val="Hyperlink"/>
            <w:rFonts w:cs="Times New Roman"/>
            <w:szCs w:val="18"/>
          </w:rPr>
          <w:t>www.gao.gov/products/422301 - mt=e-report</w:t>
        </w:r>
      </w:hyperlink>
      <w:r w:rsidRPr="00BC2BC4">
        <w:rPr>
          <w:rFonts w:cs="Times New Roman"/>
          <w:szCs w:val="18"/>
        </w:rPr>
        <w:t xml:space="preserve">&gt;. </w:t>
      </w:r>
    </w:p>
  </w:footnote>
  <w:footnote w:id="120">
    <w:p w14:paraId="3C65B88E" w14:textId="0ACA1EAD"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Effective Learning, Inc</w:t>
      </w:r>
      <w:r w:rsidRPr="00BC2BC4">
        <w:rPr>
          <w:rFonts w:cs="Times New Roman"/>
          <w:szCs w:val="18"/>
        </w:rPr>
        <w:t xml:space="preserve"> </w:t>
      </w:r>
      <w:r w:rsidRPr="00BC2BC4">
        <w:rPr>
          <w:rFonts w:cs="Times New Roman"/>
          <w:szCs w:val="18"/>
        </w:rPr>
        <w:softHyphen/>
      </w:r>
      <w:r w:rsidRPr="00BC2BC4">
        <w:rPr>
          <w:rFonts w:cs="Times New Roman"/>
          <w:i/>
          <w:szCs w:val="18"/>
        </w:rPr>
        <w:t xml:space="preserve">– Request for Review of Prior Claim Decision, </w:t>
      </w:r>
      <w:r w:rsidRPr="00BC2BC4">
        <w:rPr>
          <w:rFonts w:cs="Times New Roman"/>
          <w:szCs w:val="18"/>
        </w:rPr>
        <w:t>B-215505, 19 Feb 1985, 85-1 CPD 207, online: &lt;</w:t>
      </w:r>
      <w:hyperlink r:id="rId62" w:history="1">
        <w:r w:rsidRPr="00BC2BC4">
          <w:rPr>
            <w:rStyle w:val="Hyperlink"/>
            <w:rFonts w:cs="Times New Roman"/>
            <w:szCs w:val="18"/>
          </w:rPr>
          <w:t>www.gao.gov/assets/470/461929.pdf</w:t>
        </w:r>
      </w:hyperlink>
      <w:r w:rsidRPr="00BC2BC4">
        <w:rPr>
          <w:rFonts w:cs="Times New Roman"/>
          <w:szCs w:val="18"/>
        </w:rPr>
        <w:t xml:space="preserve">&gt;. </w:t>
      </w:r>
    </w:p>
  </w:footnote>
  <w:footnote w:id="121">
    <w:p w14:paraId="2565FF32" w14:textId="7EF1CE99"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Duncan Fairgrieve &amp; François Lichère, eds, </w:t>
      </w:r>
      <w:r w:rsidRPr="00BC2BC4">
        <w:rPr>
          <w:rFonts w:cs="Times New Roman"/>
          <w:i/>
          <w:szCs w:val="18"/>
        </w:rPr>
        <w:t>Public Procurement Law: Damages as an Effective Remedy</w:t>
      </w:r>
      <w:r w:rsidRPr="00BC2BC4">
        <w:rPr>
          <w:rFonts w:cs="Times New Roman"/>
          <w:szCs w:val="18"/>
        </w:rPr>
        <w:t xml:space="preserve"> (Portland: Hart, 2011) at 202. </w:t>
      </w:r>
    </w:p>
  </w:footnote>
  <w:footnote w:id="122">
    <w:p w14:paraId="54FBF24F" w14:textId="7E0D3644"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Heyer Products Co v United States</w:t>
      </w:r>
      <w:r w:rsidRPr="00BC2BC4">
        <w:rPr>
          <w:rFonts w:cs="Times New Roman"/>
          <w:szCs w:val="18"/>
        </w:rPr>
        <w:t xml:space="preserve">, 140 F Supp 409 (Ct Cl 1956), prevented unsuccessful bidders from making a claim for lost profits because there was no contract upon which to base this claim. </w:t>
      </w:r>
      <w:r w:rsidRPr="00BC2BC4">
        <w:rPr>
          <w:rFonts w:cs="Times New Roman"/>
          <w:i/>
          <w:szCs w:val="18"/>
        </w:rPr>
        <w:t>Cincinnati Electric Corp v Kleppe</w:t>
      </w:r>
      <w:r w:rsidRPr="00BC2BC4">
        <w:rPr>
          <w:rFonts w:cs="Times New Roman"/>
          <w:szCs w:val="18"/>
        </w:rPr>
        <w:t xml:space="preserve">, </w:t>
      </w:r>
      <w:r w:rsidRPr="00BC2BC4">
        <w:rPr>
          <w:rFonts w:cs="Times New Roman"/>
          <w:szCs w:val="18"/>
          <w:lang w:val="it-IT"/>
        </w:rPr>
        <w:t xml:space="preserve">509 F (2d) 1080 (6th Cir 1975), </w:t>
      </w:r>
      <w:r w:rsidRPr="00BC2BC4">
        <w:rPr>
          <w:rFonts w:cs="Times New Roman"/>
          <w:szCs w:val="18"/>
        </w:rPr>
        <w:t>upheld the finding that the only loss the unsuccessful bidder could claim was the cost of preparing the bid.</w:t>
      </w:r>
    </w:p>
  </w:footnote>
  <w:footnote w:id="123">
    <w:p w14:paraId="608BB609"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Perkins v Lukens Steel Co</w:t>
      </w:r>
      <w:r w:rsidRPr="00BC2BC4">
        <w:rPr>
          <w:rFonts w:cs="Times New Roman"/>
          <w:szCs w:val="18"/>
        </w:rPr>
        <w:t>,</w:t>
      </w:r>
      <w:r w:rsidRPr="00BC2BC4">
        <w:rPr>
          <w:rFonts w:cs="Times New Roman"/>
          <w:i/>
          <w:szCs w:val="18"/>
        </w:rPr>
        <w:t xml:space="preserve"> </w:t>
      </w:r>
      <w:r w:rsidRPr="00BC2BC4">
        <w:rPr>
          <w:rFonts w:cs="Times New Roman"/>
          <w:szCs w:val="18"/>
        </w:rPr>
        <w:t xml:space="preserve">310 US 113 (1940). </w:t>
      </w:r>
    </w:p>
  </w:footnote>
  <w:footnote w:id="124">
    <w:p w14:paraId="6AD36257" w14:textId="39A6242F"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Heyer Products Co v United States</w:t>
      </w:r>
      <w:r w:rsidRPr="00BC2BC4">
        <w:rPr>
          <w:rFonts w:cs="Times New Roman"/>
          <w:szCs w:val="18"/>
        </w:rPr>
        <w:t>,</w:t>
      </w:r>
      <w:r w:rsidRPr="00BC2BC4">
        <w:rPr>
          <w:rFonts w:cs="Times New Roman"/>
          <w:i/>
          <w:szCs w:val="18"/>
        </w:rPr>
        <w:t xml:space="preserve"> </w:t>
      </w:r>
      <w:r w:rsidRPr="00BC2BC4">
        <w:rPr>
          <w:rFonts w:cs="Times New Roman"/>
          <w:szCs w:val="18"/>
        </w:rPr>
        <w:t xml:space="preserve">140 F Supp 409 (Ct Cl 1956). </w:t>
      </w:r>
    </w:p>
  </w:footnote>
  <w:footnote w:id="125">
    <w:p w14:paraId="4A709319"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Administrative Procedure Act</w:t>
      </w:r>
      <w:r w:rsidRPr="00BC2BC4">
        <w:rPr>
          <w:rFonts w:cs="Times New Roman"/>
          <w:szCs w:val="18"/>
        </w:rPr>
        <w:t>,</w:t>
      </w:r>
      <w:r w:rsidRPr="00BC2BC4">
        <w:rPr>
          <w:rFonts w:cs="Times New Roman"/>
          <w:i/>
          <w:szCs w:val="18"/>
        </w:rPr>
        <w:t xml:space="preserve"> </w:t>
      </w:r>
      <w:r w:rsidRPr="00BC2BC4">
        <w:rPr>
          <w:rFonts w:cs="Times New Roman"/>
          <w:szCs w:val="18"/>
        </w:rPr>
        <w:t xml:space="preserve">codified as amended at 5 USC §§ 551-59 (1946). </w:t>
      </w:r>
    </w:p>
  </w:footnote>
  <w:footnote w:id="126">
    <w:p w14:paraId="5BC80AB6" w14:textId="40A0D32F"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 xml:space="preserve">Scanwell Laboratories v Shaffer, </w:t>
      </w:r>
      <w:r w:rsidRPr="00BC2BC4">
        <w:rPr>
          <w:rFonts w:cs="Times New Roman"/>
          <w:szCs w:val="18"/>
        </w:rPr>
        <w:t xml:space="preserve">424 F (2d) 859 (DC Cir 1970). </w:t>
      </w:r>
    </w:p>
  </w:footnote>
  <w:footnote w:id="127">
    <w:p w14:paraId="244FBFC9" w14:textId="77777777"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 xml:space="preserve">Blackpool &amp; Fylde Aero Club Ltd v Blackpool Borough Council </w:t>
      </w:r>
      <w:r w:rsidRPr="00BC2BC4">
        <w:rPr>
          <w:rFonts w:cs="Times New Roman"/>
          <w:szCs w:val="18"/>
        </w:rPr>
        <w:t xml:space="preserve">[1990] 3 All ER 25, [1990] 1 WLR 1195 (CA). </w:t>
      </w:r>
    </w:p>
  </w:footnote>
  <w:footnote w:id="128">
    <w:p w14:paraId="227D496E"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Hughes Aircraft Systems International v Airservices Australia</w:t>
      </w:r>
      <w:r w:rsidRPr="00BC2BC4">
        <w:rPr>
          <w:rFonts w:cs="Times New Roman"/>
          <w:szCs w:val="18"/>
        </w:rPr>
        <w:t>,</w:t>
      </w:r>
      <w:r w:rsidRPr="00BC2BC4">
        <w:rPr>
          <w:rFonts w:cs="Times New Roman"/>
          <w:i/>
          <w:szCs w:val="18"/>
        </w:rPr>
        <w:t xml:space="preserve"> </w:t>
      </w:r>
      <w:r w:rsidRPr="00BC2BC4">
        <w:rPr>
          <w:rFonts w:cs="Times New Roman"/>
          <w:szCs w:val="18"/>
        </w:rPr>
        <w:t xml:space="preserve">(1997) 146 ALR 1 (FC). </w:t>
      </w:r>
    </w:p>
  </w:footnote>
  <w:footnote w:id="129">
    <w:p w14:paraId="3B76B869"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Harmon CFEM Facades (UK) Ltd v Corporate Officer of the House of Commons</w:t>
      </w:r>
      <w:r w:rsidRPr="00BC2BC4">
        <w:rPr>
          <w:rFonts w:cs="Times New Roman"/>
          <w:szCs w:val="18"/>
        </w:rPr>
        <w:t>,</w:t>
      </w:r>
      <w:r w:rsidRPr="00BC2BC4">
        <w:rPr>
          <w:rFonts w:cs="Times New Roman"/>
          <w:i/>
          <w:szCs w:val="18"/>
        </w:rPr>
        <w:t xml:space="preserve"> </w:t>
      </w:r>
      <w:r w:rsidRPr="00BC2BC4">
        <w:rPr>
          <w:rFonts w:cs="Times New Roman"/>
          <w:szCs w:val="18"/>
        </w:rPr>
        <w:t xml:space="preserve">(1999) 67 Con LR 1, </w:t>
      </w:r>
      <w:r w:rsidRPr="00BC2BC4">
        <w:rPr>
          <w:rFonts w:cs="Times New Roman"/>
          <w:szCs w:val="18"/>
          <w:lang w:val="en-US"/>
        </w:rPr>
        <w:t>[1999] EWHC Technology 199</w:t>
      </w:r>
      <w:r w:rsidRPr="00BC2BC4">
        <w:rPr>
          <w:rFonts w:cs="Times New Roman"/>
          <w:szCs w:val="18"/>
        </w:rPr>
        <w:t>.</w:t>
      </w:r>
      <w:r w:rsidRPr="00BC2BC4">
        <w:rPr>
          <w:rFonts w:cs="Times New Roman"/>
          <w:i/>
          <w:szCs w:val="18"/>
        </w:rPr>
        <w:t xml:space="preserve"> </w:t>
      </w:r>
    </w:p>
  </w:footnote>
  <w:footnote w:id="130">
    <w:p w14:paraId="17AAA6AB"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 xml:space="preserve">Ibid. </w:t>
      </w:r>
    </w:p>
  </w:footnote>
  <w:footnote w:id="131">
    <w:p w14:paraId="4D62D504" w14:textId="48F0DB0C"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The Queen (Ont) v Ron Engineering</w:t>
      </w:r>
      <w:r w:rsidRPr="00BC2BC4">
        <w:rPr>
          <w:rFonts w:cs="Times New Roman"/>
          <w:szCs w:val="18"/>
        </w:rPr>
        <w:t xml:space="preserve">, [1981] 1 SCR 27, </w:t>
      </w:r>
      <w:r w:rsidRPr="00BC2BC4">
        <w:rPr>
          <w:rFonts w:cs="Times New Roman"/>
          <w:szCs w:val="18"/>
          <w:lang w:val="en-US"/>
        </w:rPr>
        <w:t>1981 CanLII 17</w:t>
      </w:r>
      <w:r w:rsidRPr="00BC2BC4">
        <w:rPr>
          <w:rFonts w:cs="Times New Roman"/>
          <w:szCs w:val="18"/>
        </w:rPr>
        <w:t>.</w:t>
      </w:r>
    </w:p>
  </w:footnote>
  <w:footnote w:id="132">
    <w:p w14:paraId="1B0C1B37" w14:textId="1468A6BD"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 xml:space="preserve">Prior to </w:t>
      </w:r>
      <w:r w:rsidRPr="00BC2BC4">
        <w:rPr>
          <w:rFonts w:cs="Times New Roman"/>
          <w:i/>
          <w:szCs w:val="18"/>
          <w:lang w:val="en-US"/>
        </w:rPr>
        <w:t>Ron Engineering</w:t>
      </w:r>
      <w:r w:rsidRPr="00BC2BC4">
        <w:rPr>
          <w:rFonts w:cs="Times New Roman"/>
          <w:szCs w:val="18"/>
          <w:lang w:val="en-US"/>
        </w:rPr>
        <w:t xml:space="preserve">, it was believed that no formal contractual relationships arose until the acceptance of a bid. See e.g. </w:t>
      </w:r>
      <w:r w:rsidRPr="00BC2BC4">
        <w:rPr>
          <w:rFonts w:cs="Times New Roman"/>
          <w:i/>
          <w:iCs/>
          <w:szCs w:val="18"/>
          <w:lang w:val="en-US"/>
        </w:rPr>
        <w:t>Belle River Community Arena Inc v WJC Kaufmann Co</w:t>
      </w:r>
      <w:r w:rsidRPr="00BC2BC4">
        <w:rPr>
          <w:rFonts w:cs="Times New Roman"/>
          <w:szCs w:val="18"/>
          <w:lang w:val="en-US"/>
        </w:rPr>
        <w:t>, 20 OR</w:t>
      </w:r>
      <w:r w:rsidRPr="00BC2BC4">
        <w:rPr>
          <w:rFonts w:cs="Times New Roman"/>
          <w:szCs w:val="18"/>
        </w:rPr>
        <w:t xml:space="preserve"> (2d) 447</w:t>
      </w:r>
      <w:r w:rsidRPr="00BC2BC4">
        <w:rPr>
          <w:rFonts w:cs="Times New Roman"/>
          <w:szCs w:val="18"/>
          <w:lang w:val="en-US"/>
        </w:rPr>
        <w:t>, 87 DLR (3d) 761 (CA).</w:t>
      </w:r>
    </w:p>
  </w:footnote>
  <w:footnote w:id="133">
    <w:p w14:paraId="6392DC88" w14:textId="2463122D"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This is a simplification; Contract A will not always be formed upon the submission of a tender. For example, a contract will arise only where there is a clear intention to contract. However, what is relevant is that the submission of a tender will often give rise to contractual obligations. See </w:t>
      </w:r>
      <w:r w:rsidRPr="00BC2BC4">
        <w:rPr>
          <w:rFonts w:cs="Times New Roman"/>
          <w:i/>
          <w:szCs w:val="18"/>
        </w:rPr>
        <w:t>MJB Enterprises Ltd v Defence Construction (1951) Ltd</w:t>
      </w:r>
      <w:r w:rsidRPr="00BC2BC4">
        <w:rPr>
          <w:rFonts w:cs="Times New Roman"/>
          <w:szCs w:val="18"/>
        </w:rPr>
        <w:t>, [1999] 1 SCR 619 at paras 17, 19, 23, 170 DLR (4th) 577.</w:t>
      </w:r>
    </w:p>
  </w:footnote>
  <w:footnote w:id="134">
    <w:p w14:paraId="3338D1C6" w14:textId="200538C8"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i/>
          <w:iCs/>
          <w:szCs w:val="18"/>
          <w:lang w:val="en-US"/>
        </w:rPr>
        <w:t>Civil Code of Québec</w:t>
      </w:r>
      <w:r w:rsidRPr="00BC2BC4">
        <w:rPr>
          <w:rFonts w:cs="Times New Roman"/>
          <w:szCs w:val="18"/>
          <w:lang w:val="en-US"/>
        </w:rPr>
        <w:t xml:space="preserve">, SQ 1991, c 64, Articles 1385, 1396. See </w:t>
      </w:r>
      <w:r w:rsidRPr="00BC2BC4">
        <w:rPr>
          <w:rFonts w:cs="Times New Roman"/>
          <w:i/>
          <w:szCs w:val="18"/>
          <w:lang w:val="en-US"/>
        </w:rPr>
        <w:t>Halsbury’s Laws of Canada</w:t>
      </w:r>
      <w:r w:rsidRPr="00BC2BC4">
        <w:rPr>
          <w:rFonts w:cs="Times New Roman"/>
          <w:szCs w:val="18"/>
          <w:lang w:val="en-US"/>
        </w:rPr>
        <w:t xml:space="preserve">, </w:t>
      </w:r>
      <w:r w:rsidRPr="00BC2BC4">
        <w:rPr>
          <w:rFonts w:cs="Times New Roman"/>
          <w:i/>
          <w:szCs w:val="18"/>
          <w:lang w:val="en-US"/>
        </w:rPr>
        <w:t>Construction</w:t>
      </w:r>
      <w:r w:rsidRPr="00BC2BC4">
        <w:rPr>
          <w:rFonts w:cs="Times New Roman"/>
          <w:szCs w:val="18"/>
          <w:lang w:val="en-US"/>
        </w:rPr>
        <w:t xml:space="preserve"> (2013 Reissue) at para HCU-18 [online edition].</w:t>
      </w:r>
    </w:p>
  </w:footnote>
  <w:footnote w:id="135">
    <w:p w14:paraId="0C5F477C" w14:textId="373874FB"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lang w:val="en-US"/>
        </w:rPr>
        <w:t>Ibid</w:t>
      </w:r>
      <w:r w:rsidRPr="00BC2BC4">
        <w:rPr>
          <w:rFonts w:cs="Times New Roman"/>
          <w:szCs w:val="18"/>
          <w:lang w:val="en-US"/>
        </w:rPr>
        <w:t>.</w:t>
      </w:r>
    </w:p>
  </w:footnote>
  <w:footnote w:id="136">
    <w:p w14:paraId="142344B2" w14:textId="021C5F34"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MJB Enterprises Ltd v Defence Construction (1951) Ltd</w:t>
      </w:r>
      <w:r w:rsidRPr="00BC2BC4">
        <w:rPr>
          <w:rFonts w:cs="Times New Roman"/>
          <w:szCs w:val="18"/>
        </w:rPr>
        <w:t>, [1999] 1 SCR 619 at para 30, 170 DLR (4th) 577.</w:t>
      </w:r>
    </w:p>
  </w:footnote>
  <w:footnote w:id="137">
    <w:p w14:paraId="280F1ABC" w14:textId="77777777"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xml:space="preserve"> at para 22.</w:t>
      </w:r>
    </w:p>
  </w:footnote>
  <w:footnote w:id="138">
    <w:p w14:paraId="66816F5E" w14:textId="4A5DD95F"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This is a simplification. This will be true except where it is clear that the parties did not expect and intend fair and consistent treatment. See </w:t>
      </w:r>
      <w:r w:rsidRPr="00BC2BC4">
        <w:rPr>
          <w:rFonts w:cs="Times New Roman"/>
          <w:i/>
          <w:szCs w:val="18"/>
        </w:rPr>
        <w:t>Martel Building Ltd v R</w:t>
      </w:r>
      <w:r w:rsidRPr="00BC2BC4">
        <w:rPr>
          <w:rFonts w:cs="Times New Roman"/>
          <w:szCs w:val="18"/>
        </w:rPr>
        <w:t>, 2000 SCC 60 at para 88, 193 DLR (4th) 1.</w:t>
      </w:r>
    </w:p>
  </w:footnote>
  <w:footnote w:id="139">
    <w:p w14:paraId="0E9A5785" w14:textId="77777777"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xml:space="preserve"> at paras 88, 84. </w:t>
      </w:r>
    </w:p>
  </w:footnote>
  <w:footnote w:id="140">
    <w:p w14:paraId="521C5225" w14:textId="13CD1EC9"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Design Services Ltd v Canada</w:t>
      </w:r>
      <w:r w:rsidRPr="00BC2BC4">
        <w:rPr>
          <w:rFonts w:cs="Times New Roman"/>
          <w:szCs w:val="18"/>
        </w:rPr>
        <w:t>, 2008 SCC 22, [2008] 1 SCR 737.</w:t>
      </w:r>
    </w:p>
  </w:footnote>
  <w:footnote w:id="141">
    <w:p w14:paraId="23884490" w14:textId="045C4978"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Rapiscan Systems, Inc v Canada (Attorney General)</w:t>
      </w:r>
      <w:r w:rsidRPr="00BC2BC4">
        <w:rPr>
          <w:rFonts w:cs="Times New Roman"/>
          <w:szCs w:val="18"/>
        </w:rPr>
        <w:t xml:space="preserve">, 2014 FC 68 at paras 50–51, </w:t>
      </w:r>
      <w:r w:rsidRPr="00BC2BC4">
        <w:rPr>
          <w:rFonts w:cs="Times New Roman"/>
          <w:szCs w:val="18"/>
          <w:lang w:val="en-US"/>
        </w:rPr>
        <w:t>369 DLR (4th) 526</w:t>
      </w:r>
      <w:r w:rsidRPr="00BC2BC4">
        <w:rPr>
          <w:rFonts w:cs="Times New Roman"/>
          <w:szCs w:val="18"/>
        </w:rPr>
        <w:t>.</w:t>
      </w:r>
    </w:p>
  </w:footnote>
  <w:footnote w:id="142">
    <w:p w14:paraId="3DBB0A1A"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i/>
          <w:szCs w:val="18"/>
        </w:rPr>
        <w:t xml:space="preserve"> Ibid </w:t>
      </w:r>
      <w:r w:rsidRPr="00BC2BC4">
        <w:rPr>
          <w:rFonts w:cs="Times New Roman"/>
          <w:szCs w:val="18"/>
        </w:rPr>
        <w:t>at para 51.</w:t>
      </w:r>
    </w:p>
  </w:footnote>
  <w:footnote w:id="143">
    <w:p w14:paraId="4B7F4D5A"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w:t>
      </w:r>
    </w:p>
  </w:footnote>
  <w:footnote w:id="144">
    <w:p w14:paraId="1FC85805" w14:textId="17954305"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Jody</w:t>
      </w:r>
      <w:r w:rsidRPr="00BC2BC4">
        <w:rPr>
          <w:rFonts w:cs="Times New Roman"/>
          <w:szCs w:val="18"/>
          <w:lang w:val="en-US"/>
        </w:rPr>
        <w:t xml:space="preserve"> Wilson &amp; Joel Richler, “Canadian Procurement Law: The Basics”, Blake, Cassels &amp; Graydon LLP (23 September 2011) [emphasis in original], online: &lt;</w:t>
      </w:r>
      <w:hyperlink r:id="rId63" w:history="1">
        <w:r w:rsidRPr="00BC2BC4">
          <w:rPr>
            <w:rStyle w:val="Hyperlink"/>
            <w:rFonts w:cs="Times New Roman"/>
            <w:szCs w:val="18"/>
            <w:lang w:val="en-US"/>
          </w:rPr>
          <w:t>www.blakes.com/English/Resources/Bulletins/Pages/Details.aspx?BulletinID=1385</w:t>
        </w:r>
      </w:hyperlink>
      <w:r w:rsidRPr="00BC2BC4">
        <w:rPr>
          <w:rFonts w:cs="Times New Roman"/>
          <w:szCs w:val="18"/>
          <w:lang w:val="en-US"/>
        </w:rPr>
        <w:t>&gt;.</w:t>
      </w:r>
    </w:p>
  </w:footnote>
  <w:footnote w:id="145">
    <w:p w14:paraId="6DC76197" w14:textId="05A9A908" w:rsidR="003B45D5" w:rsidRPr="00BC2BC4" w:rsidRDefault="003B45D5" w:rsidP="0063252F">
      <w:pPr>
        <w:pStyle w:val="FootnoteText"/>
        <w:rPr>
          <w:rFonts w:eastAsia="Cambria"/>
        </w:rPr>
      </w:pPr>
      <w:r w:rsidRPr="00BC2BC4">
        <w:rPr>
          <w:rStyle w:val="FootnoteReference"/>
          <w:rFonts w:cs="Times New Roman"/>
          <w:szCs w:val="18"/>
        </w:rPr>
        <w:footnoteRef/>
      </w:r>
      <w:r w:rsidRPr="00BC2BC4">
        <w:t xml:space="preserve"> United Nations Office on Drugs and Crime, </w:t>
      </w:r>
      <w:r w:rsidRPr="00BC2BC4">
        <w:rPr>
          <w:i/>
        </w:rPr>
        <w:t>Legislative Guide for the Implementation of the United Nations Convention against Corruption</w:t>
      </w:r>
      <w:r w:rsidRPr="00BC2BC4">
        <w:t>, 2nd revised ed</w:t>
      </w:r>
      <w:r w:rsidRPr="00BC2BC4">
        <w:rPr>
          <w:i/>
        </w:rPr>
        <w:t xml:space="preserve"> </w:t>
      </w:r>
      <w:r w:rsidRPr="00BC2BC4">
        <w:t>(United Nations, 2012) at 28, online: &lt;</w:t>
      </w:r>
      <w:hyperlink r:id="rId64" w:history="1">
        <w:r w:rsidRPr="00BC2BC4">
          <w:rPr>
            <w:rStyle w:val="Hyperlink"/>
            <w:rFonts w:cs="Times New Roman"/>
            <w:szCs w:val="18"/>
          </w:rPr>
          <w:t>https://www.unodc.org/documents/treaties/UNCAC/Publications/LegislativeGuide/UNCAC_Legislative_Guide_E.pdf</w:t>
        </w:r>
      </w:hyperlink>
      <w:r w:rsidRPr="00BC2BC4">
        <w:t xml:space="preserve">&gt;. </w:t>
      </w:r>
    </w:p>
  </w:footnote>
  <w:footnote w:id="146">
    <w:p w14:paraId="018AD42B"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xml:space="preserve"> at 29–30.</w:t>
      </w:r>
    </w:p>
  </w:footnote>
  <w:footnote w:id="147">
    <w:p w14:paraId="45FA3203"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 xml:space="preserve">Ibid </w:t>
      </w:r>
      <w:r w:rsidRPr="00BC2BC4">
        <w:rPr>
          <w:rFonts w:cs="Times New Roman"/>
          <w:szCs w:val="18"/>
        </w:rPr>
        <w:t>at 29.</w:t>
      </w:r>
    </w:p>
  </w:footnote>
  <w:footnote w:id="148">
    <w:p w14:paraId="2A5D865E"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i/>
          <w:szCs w:val="18"/>
        </w:rPr>
        <w:t xml:space="preserve"> Ibid</w:t>
      </w:r>
      <w:r w:rsidRPr="00BC2BC4">
        <w:rPr>
          <w:rFonts w:cs="Times New Roman"/>
          <w:szCs w:val="18"/>
        </w:rPr>
        <w:t>.</w:t>
      </w:r>
    </w:p>
  </w:footnote>
  <w:footnote w:id="149">
    <w:p w14:paraId="39F7A56E" w14:textId="1FDC8B18"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OECD,</w:t>
      </w:r>
      <w:r w:rsidRPr="00BC2BC4">
        <w:rPr>
          <w:rFonts w:cs="Times New Roman"/>
          <w:i/>
          <w:szCs w:val="18"/>
        </w:rPr>
        <w:t xml:space="preserve"> Recommendation of the Council for Further Combating Bribery of Foreign Public Officials in International Business Transactions</w:t>
      </w:r>
      <w:r w:rsidRPr="00BC2BC4">
        <w:rPr>
          <w:rFonts w:cs="Times New Roman"/>
          <w:szCs w:val="18"/>
        </w:rPr>
        <w:t xml:space="preserve"> (26 November 2009), online: &lt;</w:t>
      </w:r>
      <w:hyperlink r:id="rId65" w:history="1">
        <w:r w:rsidRPr="00BC2BC4">
          <w:rPr>
            <w:rStyle w:val="Hyperlink"/>
            <w:rFonts w:cs="Times New Roman"/>
            <w:szCs w:val="18"/>
          </w:rPr>
          <w:t>www.oecd.org/daf/anti-bribery/44176910.pdf</w:t>
        </w:r>
      </w:hyperlink>
      <w:r w:rsidRPr="00BC2BC4">
        <w:rPr>
          <w:rFonts w:cs="Times New Roman"/>
          <w:szCs w:val="18"/>
        </w:rPr>
        <w:t>&gt;.</w:t>
      </w:r>
    </w:p>
  </w:footnote>
  <w:footnote w:id="150">
    <w:p w14:paraId="6C92514A" w14:textId="048B2296"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World Bank, Press Release, “</w:t>
      </w:r>
      <w:r w:rsidRPr="00BC2BC4">
        <w:rPr>
          <w:rFonts w:cs="Times New Roman"/>
          <w:szCs w:val="18"/>
          <w:lang w:val="en"/>
        </w:rPr>
        <w:t xml:space="preserve">New World Bank Procurement Framework Promotes Strengthened National Procurement Systems </w:t>
      </w:r>
      <w:r w:rsidRPr="00BC2BC4">
        <w:rPr>
          <w:rFonts w:cs="Times New Roman"/>
          <w:szCs w:val="18"/>
        </w:rPr>
        <w:t>” (30 June 2016), online: &lt;</w:t>
      </w:r>
      <w:hyperlink r:id="rId66" w:history="1">
        <w:r w:rsidRPr="00BC2BC4">
          <w:rPr>
            <w:rStyle w:val="Hyperlink"/>
            <w:rFonts w:cs="Times New Roman"/>
            <w:szCs w:val="18"/>
          </w:rPr>
          <w:t>www.worldbank.org/en/news/press-release/2016/06/30/new-world-bank-procurement-framework-promotes-strengthened-national-procurement-systems</w:t>
        </w:r>
      </w:hyperlink>
      <w:r w:rsidRPr="00BC2BC4">
        <w:rPr>
          <w:rFonts w:cs="Times New Roman"/>
          <w:szCs w:val="18"/>
        </w:rPr>
        <w:t>&gt;.</w:t>
      </w:r>
    </w:p>
  </w:footnote>
  <w:footnote w:id="151">
    <w:p w14:paraId="4445660A" w14:textId="73474DFA"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Graham Steele, </w:t>
      </w:r>
      <w:r w:rsidRPr="00BC2BC4">
        <w:rPr>
          <w:rFonts w:cs="Times New Roman"/>
          <w:i/>
          <w:szCs w:val="18"/>
        </w:rPr>
        <w:t xml:space="preserve">Quebec’s Bill 1: A Case Study in Anti-Corruption Legislation and the Barriers to Evidence-Based Law-Making </w:t>
      </w:r>
      <w:r w:rsidRPr="00BC2BC4">
        <w:rPr>
          <w:rFonts w:cs="Times New Roman"/>
          <w:szCs w:val="18"/>
        </w:rPr>
        <w:t>(LLM Thesis, Dalhousie University Schulich School of Law, 2015) at 54, online: &lt;</w:t>
      </w:r>
      <w:hyperlink r:id="rId67" w:history="1">
        <w:r w:rsidRPr="00BC2BC4">
          <w:rPr>
            <w:rStyle w:val="Hyperlink"/>
            <w:rFonts w:cs="Times New Roman"/>
            <w:szCs w:val="18"/>
          </w:rPr>
          <w:t>dalspace.library.dal.ca/handle/10222/56272</w:t>
        </w:r>
      </w:hyperlink>
      <w:r w:rsidRPr="00BC2BC4">
        <w:rPr>
          <w:rFonts w:cs="Times New Roman"/>
          <w:szCs w:val="18"/>
        </w:rPr>
        <w:t>&gt;.</w:t>
      </w:r>
    </w:p>
  </w:footnote>
  <w:footnote w:id="152">
    <w:p w14:paraId="356865AD" w14:textId="4AF6EBC3"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Guidance on the framework, as well as the framework itself, can be accessed online: &lt;</w:t>
      </w:r>
      <w:hyperlink r:id="rId68" w:history="1">
        <w:r w:rsidRPr="00BC2BC4">
          <w:rPr>
            <w:rStyle w:val="Hyperlink"/>
            <w:rFonts w:cs="Times New Roman"/>
            <w:szCs w:val="18"/>
          </w:rPr>
          <w:t>www.worldbank.org/en/projects-operations/products-and-services/brief/procurement-new-framework</w:t>
        </w:r>
      </w:hyperlink>
      <w:r w:rsidRPr="00BC2BC4">
        <w:rPr>
          <w:rFonts w:cs="Times New Roman"/>
          <w:szCs w:val="18"/>
        </w:rPr>
        <w:t>&gt;.</w:t>
      </w:r>
    </w:p>
  </w:footnote>
  <w:footnote w:id="153">
    <w:p w14:paraId="011161BD" w14:textId="77777777"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lang w:val="en-US"/>
        </w:rPr>
        <w:t>Ibid</w:t>
      </w:r>
      <w:r w:rsidRPr="00BC2BC4">
        <w:rPr>
          <w:rFonts w:cs="Times New Roman"/>
          <w:szCs w:val="18"/>
          <w:lang w:val="en-US"/>
        </w:rPr>
        <w:t>.</w:t>
      </w:r>
    </w:p>
  </w:footnote>
  <w:footnote w:id="154">
    <w:p w14:paraId="12DF3281" w14:textId="1852CE00"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These forms can be accessed online: &lt;</w:t>
      </w:r>
      <w:hyperlink r:id="rId69" w:history="1">
        <w:r w:rsidRPr="00BC2BC4">
          <w:rPr>
            <w:rStyle w:val="Hyperlink"/>
            <w:rFonts w:cs="Times New Roman"/>
            <w:szCs w:val="18"/>
            <w:lang w:val="en-US"/>
          </w:rPr>
          <w:t>www.worldbank.org/en/projects-operations/products-and-services/brief/procurement-new-framework</w:t>
        </w:r>
      </w:hyperlink>
      <w:r w:rsidRPr="00BC2BC4">
        <w:rPr>
          <w:rFonts w:cs="Times New Roman"/>
          <w:szCs w:val="18"/>
          <w:lang w:val="en-US"/>
        </w:rPr>
        <w:t>&gt;.</w:t>
      </w:r>
    </w:p>
  </w:footnote>
  <w:footnote w:id="155">
    <w:p w14:paraId="17A1441A" w14:textId="2FB05C9F"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Richard L Cassin, “Compliance Alert: World Bank Adopts More Flexible and Transparent Procurement Reforms”, </w:t>
      </w:r>
      <w:r w:rsidRPr="00BC2BC4">
        <w:rPr>
          <w:rFonts w:cs="Times New Roman"/>
          <w:i/>
          <w:szCs w:val="18"/>
        </w:rPr>
        <w:t>The FCPA Blog</w:t>
      </w:r>
      <w:r w:rsidRPr="00BC2BC4">
        <w:rPr>
          <w:rFonts w:cs="Times New Roman"/>
          <w:szCs w:val="18"/>
        </w:rPr>
        <w:t xml:space="preserve"> (22 July 2015), online: &lt;</w:t>
      </w:r>
      <w:hyperlink r:id="rId70" w:history="1">
        <w:r w:rsidRPr="00BC2BC4">
          <w:rPr>
            <w:rStyle w:val="Hyperlink"/>
            <w:rFonts w:cs="Times New Roman"/>
            <w:szCs w:val="18"/>
          </w:rPr>
          <w:t>www.fcpablog.com/blog/2015/7/22/compliance-alert-world-bank-adopts-more-flexible-and-transpa.html</w:t>
        </w:r>
      </w:hyperlink>
      <w:r w:rsidRPr="00BC2BC4">
        <w:rPr>
          <w:rFonts w:cs="Times New Roman"/>
          <w:szCs w:val="18"/>
        </w:rPr>
        <w:t>&gt;; Daniel Dudis, “World Bank Adopts Key Transparency International Goals in New Procurement Policies”, Transparency International (31 July 2015), online: &lt;</w:t>
      </w:r>
      <w:hyperlink r:id="rId71" w:history="1">
        <w:r w:rsidRPr="00BC2BC4">
          <w:rPr>
            <w:rStyle w:val="Hyperlink"/>
            <w:rFonts w:cs="Times New Roman"/>
            <w:szCs w:val="18"/>
          </w:rPr>
          <w:t>blog.transparency.org/2015/07/31/world-bank-adopts-key-transparency-international-goals-in-new-procurement-policies/</w:t>
        </w:r>
      </w:hyperlink>
      <w:r w:rsidRPr="00BC2BC4">
        <w:rPr>
          <w:rFonts w:cs="Times New Roman"/>
          <w:szCs w:val="18"/>
        </w:rPr>
        <w:t>&gt;.</w:t>
      </w:r>
    </w:p>
  </w:footnote>
  <w:footnote w:id="156">
    <w:p w14:paraId="4061926B" w14:textId="28A619F0"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Annalisa Leibold, “Chad: Corruption Is Real, the FCPA Not So Much”, </w:t>
      </w:r>
      <w:r w:rsidRPr="00BC2BC4">
        <w:rPr>
          <w:rFonts w:cs="Times New Roman"/>
          <w:i/>
          <w:szCs w:val="18"/>
        </w:rPr>
        <w:t>The FCPA Blog</w:t>
      </w:r>
      <w:r w:rsidRPr="00BC2BC4">
        <w:rPr>
          <w:rFonts w:cs="Times New Roman"/>
          <w:szCs w:val="18"/>
        </w:rPr>
        <w:t xml:space="preserve"> (8 July 2015),</w:t>
      </w:r>
      <w:r w:rsidRPr="00BC2BC4">
        <w:rPr>
          <w:rFonts w:cs="Times New Roman"/>
          <w:i/>
          <w:szCs w:val="18"/>
        </w:rPr>
        <w:t xml:space="preserve"> </w:t>
      </w:r>
      <w:r w:rsidRPr="00BC2BC4">
        <w:rPr>
          <w:rFonts w:cs="Times New Roman"/>
          <w:szCs w:val="18"/>
        </w:rPr>
        <w:t>online: &lt;</w:t>
      </w:r>
      <w:hyperlink r:id="rId72" w:history="1">
        <w:r w:rsidRPr="00BC2BC4">
          <w:rPr>
            <w:rStyle w:val="Hyperlink"/>
            <w:rFonts w:cs="Times New Roman"/>
            <w:szCs w:val="18"/>
          </w:rPr>
          <w:t>www.fcpablog.com/blog/2015/7/8/chad-corruption-is-real-the-fcpa-not-so-much.html</w:t>
        </w:r>
      </w:hyperlink>
      <w:r w:rsidRPr="00BC2BC4">
        <w:rPr>
          <w:rFonts w:cs="Times New Roman"/>
          <w:szCs w:val="18"/>
        </w:rPr>
        <w:t>&gt;.</w:t>
      </w:r>
    </w:p>
  </w:footnote>
  <w:footnote w:id="157">
    <w:p w14:paraId="7A3AED92" w14:textId="089D4DF6"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Paul Sarlo, “The Global Financial Crisis and the Transnational Anti-Corruption Regime: A Call for Regulation of the World Bank’s Lending Practices” (2014) 45:4</w:t>
      </w:r>
      <w:r w:rsidRPr="00BC2BC4">
        <w:rPr>
          <w:rFonts w:cs="Times New Roman"/>
          <w:i/>
          <w:szCs w:val="18"/>
        </w:rPr>
        <w:t xml:space="preserve"> </w:t>
      </w:r>
      <w:r w:rsidRPr="00BC2BC4">
        <w:rPr>
          <w:rFonts w:cs="Times New Roman"/>
          <w:szCs w:val="18"/>
        </w:rPr>
        <w:t>Geo J Intl L 1293 at 1308.</w:t>
      </w:r>
    </w:p>
  </w:footnote>
  <w:footnote w:id="158">
    <w:p w14:paraId="41B8E257" w14:textId="77777777"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 xml:space="preserve">Ibid </w:t>
      </w:r>
      <w:r w:rsidRPr="00BC2BC4">
        <w:rPr>
          <w:rFonts w:cs="Times New Roman"/>
          <w:szCs w:val="18"/>
        </w:rPr>
        <w:t>at 1309.</w:t>
      </w:r>
    </w:p>
  </w:footnote>
  <w:footnote w:id="159">
    <w:p w14:paraId="6CCFF773" w14:textId="77777777"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p>
  </w:footnote>
  <w:footnote w:id="160">
    <w:p w14:paraId="0154DA70" w14:textId="2EF19FCE"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i/>
          <w:iCs/>
          <w:szCs w:val="18"/>
          <w:lang w:val="en-US"/>
        </w:rPr>
        <w:t>Agreement on Government Procurement</w:t>
      </w:r>
      <w:r w:rsidRPr="00BC2BC4">
        <w:rPr>
          <w:rFonts w:cs="Times New Roman"/>
          <w:szCs w:val="18"/>
          <w:lang w:val="en-US"/>
        </w:rPr>
        <w:t xml:space="preserve">, 1915 UNTS 103 (being Annex 4(b) of the </w:t>
      </w:r>
      <w:r w:rsidRPr="00BC2BC4">
        <w:rPr>
          <w:rFonts w:cs="Times New Roman"/>
          <w:i/>
          <w:iCs/>
          <w:szCs w:val="18"/>
          <w:lang w:val="en-US"/>
        </w:rPr>
        <w:t>Marrakesh Agreement Establishing the World Trade Organization</w:t>
      </w:r>
      <w:r w:rsidRPr="00BC2BC4">
        <w:rPr>
          <w:rFonts w:cs="Times New Roman"/>
          <w:szCs w:val="18"/>
          <w:lang w:val="en-US"/>
        </w:rPr>
        <w:t>, 1867 UNTS 3)</w:t>
      </w:r>
      <w:r w:rsidRPr="00BC2BC4">
        <w:rPr>
          <w:rFonts w:cs="Times New Roman"/>
          <w:szCs w:val="18"/>
          <w:lang w:val="en"/>
        </w:rPr>
        <w:t xml:space="preserve">. </w:t>
      </w:r>
    </w:p>
  </w:footnote>
  <w:footnote w:id="161">
    <w:p w14:paraId="2F4C9E48" w14:textId="54A257CC"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World Trade Organization, “Agreement on Government Procurement: Parties, Observers and Accessions”, online: &lt;</w:t>
      </w:r>
      <w:hyperlink r:id="rId73" w:history="1">
        <w:r w:rsidRPr="00BC2BC4">
          <w:rPr>
            <w:rStyle w:val="Hyperlink"/>
            <w:szCs w:val="18"/>
          </w:rPr>
          <w:t>https://www.wto.org/english/tratop_e/gproc_e/memobs_e.htm</w:t>
        </w:r>
      </w:hyperlink>
      <w:r w:rsidRPr="00BC2BC4">
        <w:rPr>
          <w:rStyle w:val="Hyperlink"/>
          <w:rFonts w:cs="Times New Roman"/>
          <w:color w:val="auto"/>
          <w:szCs w:val="18"/>
          <w:u w:val="none"/>
        </w:rPr>
        <w:t>&gt;</w:t>
      </w:r>
      <w:r w:rsidRPr="00BC2BC4">
        <w:rPr>
          <w:rFonts w:cs="Times New Roman"/>
          <w:szCs w:val="18"/>
        </w:rPr>
        <w:t>.</w:t>
      </w:r>
    </w:p>
  </w:footnote>
  <w:footnote w:id="162">
    <w:p w14:paraId="2960EE5A" w14:textId="54219E41"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World Trade Organization, “Government Procurement: Agreement on Government Procurement”, online: &lt;</w:t>
      </w:r>
      <w:hyperlink r:id="rId74" w:history="1">
        <w:r w:rsidRPr="00BC2BC4">
          <w:rPr>
            <w:rStyle w:val="Hyperlink"/>
            <w:szCs w:val="18"/>
          </w:rPr>
          <w:t>https://www.wto.org/english/tratop_e/gproc_e/gp_gpa_e.htm</w:t>
        </w:r>
      </w:hyperlink>
      <w:r w:rsidRPr="00BC2BC4">
        <w:rPr>
          <w:rFonts w:cs="Times New Roman"/>
          <w:szCs w:val="18"/>
        </w:rPr>
        <w:t>&gt;.</w:t>
      </w:r>
    </w:p>
  </w:footnote>
  <w:footnote w:id="163">
    <w:p w14:paraId="06A4A889" w14:textId="6F06F955"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Revised Agreement on Government Procurement</w:t>
      </w:r>
      <w:r w:rsidRPr="00BC2BC4">
        <w:rPr>
          <w:rFonts w:cs="Times New Roman"/>
          <w:szCs w:val="18"/>
        </w:rPr>
        <w:t>, Annex to the Protocol Amending the Agreement on Government Procurement (adopted on 30 March 2012) (GPA/113), online: &lt;</w:t>
      </w:r>
      <w:hyperlink r:id="rId75" w:history="1">
        <w:r w:rsidRPr="00BC2BC4">
          <w:rPr>
            <w:rStyle w:val="Hyperlink"/>
            <w:rFonts w:cs="Times New Roman"/>
            <w:szCs w:val="18"/>
          </w:rPr>
          <w:t>https://www.wto.org/english/docs_e/legal_e/rev-gpr-94_01_e.htm</w:t>
        </w:r>
      </w:hyperlink>
      <w:r w:rsidRPr="00BC2BC4">
        <w:rPr>
          <w:rFonts w:cs="Times New Roman"/>
          <w:szCs w:val="18"/>
        </w:rPr>
        <w:t>&gt;.</w:t>
      </w:r>
    </w:p>
  </w:footnote>
  <w:footnote w:id="164">
    <w:p w14:paraId="75E24394"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w:t>
      </w:r>
    </w:p>
  </w:footnote>
  <w:footnote w:id="165">
    <w:p w14:paraId="044788FB" w14:textId="0CC7A1F4"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WTO, “Agreement on Government Procurement: Parties, Observers and Accessions”.</w:t>
      </w:r>
    </w:p>
  </w:footnote>
  <w:footnote w:id="166">
    <w:p w14:paraId="17EA7C8D" w14:textId="3A6BEF48"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World Trade Organization, “Agreement on Government Procurement: Coverage Schedules”, online: &lt;</w:t>
      </w:r>
      <w:hyperlink r:id="rId76" w:history="1">
        <w:r w:rsidRPr="00BC2BC4">
          <w:rPr>
            <w:rStyle w:val="Hyperlink"/>
            <w:szCs w:val="18"/>
          </w:rPr>
          <w:t>https://www.wto.org/english/tratop_e/gproc_e/gp_app_agree_e.htm</w:t>
        </w:r>
      </w:hyperlink>
      <w:r w:rsidRPr="00BC2BC4">
        <w:rPr>
          <w:rStyle w:val="Hyperlink"/>
          <w:rFonts w:cs="Times New Roman"/>
          <w:color w:val="auto"/>
          <w:szCs w:val="18"/>
          <w:u w:val="none"/>
        </w:rPr>
        <w:t>&gt;</w:t>
      </w:r>
      <w:r w:rsidRPr="00BC2BC4">
        <w:rPr>
          <w:rFonts w:cs="Times New Roman"/>
          <w:szCs w:val="18"/>
        </w:rPr>
        <w:t>; World Trade Organization, “</w:t>
      </w:r>
      <w:r w:rsidRPr="00BC2BC4">
        <w:rPr>
          <w:rFonts w:cs="Times New Roman"/>
          <w:szCs w:val="18"/>
          <w:lang w:val="en-US"/>
        </w:rPr>
        <w:t>Thresholds in National Currencies (All Notifications by Canada)”, online: &lt;</w:t>
      </w:r>
      <w:hyperlink r:id="rId77" w:history="1">
        <w:r w:rsidRPr="00BC2BC4">
          <w:rPr>
            <w:rStyle w:val="Hyperlink"/>
            <w:rFonts w:cs="Times New Roman"/>
            <w:szCs w:val="18"/>
            <w:lang w:val="en-US"/>
          </w:rPr>
          <w:t>https://e-gpa.wto.org/en/ThresholdNotification?PartyId=216</w:t>
        </w:r>
      </w:hyperlink>
      <w:r w:rsidRPr="00BC2BC4">
        <w:rPr>
          <w:rFonts w:cs="Times New Roman"/>
          <w:szCs w:val="18"/>
          <w:lang w:val="en-US"/>
        </w:rPr>
        <w:t>&gt;.</w:t>
      </w:r>
    </w:p>
  </w:footnote>
  <w:footnote w:id="167">
    <w:p w14:paraId="19B8F621" w14:textId="147CC959"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 xml:space="preserve">North American Free Trade Agreement Between the Government of Canada, the Government of Mexico, and the Government of the United States, </w:t>
      </w:r>
      <w:r w:rsidRPr="00BC2BC4">
        <w:rPr>
          <w:rFonts w:cs="Times New Roman"/>
          <w:szCs w:val="18"/>
        </w:rPr>
        <w:t>17 December 1992, Can TS 1994 No 2, 32 ILM 289 (entered into force 1 January 1948), online: NAFTA &lt;</w:t>
      </w:r>
      <w:hyperlink r:id="rId78" w:history="1">
        <w:r w:rsidRPr="00BC2BC4">
          <w:rPr>
            <w:rStyle w:val="Hyperlink"/>
            <w:rFonts w:cs="Times New Roman"/>
            <w:szCs w:val="18"/>
          </w:rPr>
          <w:t>www.naftanow.org/agreement/default_en.asp</w:t>
        </w:r>
      </w:hyperlink>
      <w:r w:rsidRPr="00BC2BC4">
        <w:rPr>
          <w:rStyle w:val="Hyperlink"/>
          <w:rFonts w:cs="Times New Roman"/>
          <w:color w:val="auto"/>
          <w:szCs w:val="18"/>
          <w:u w:val="none"/>
        </w:rPr>
        <w:t>&gt;</w:t>
      </w:r>
      <w:r w:rsidRPr="00BC2BC4">
        <w:rPr>
          <w:rFonts w:cs="Times New Roman"/>
          <w:szCs w:val="18"/>
        </w:rPr>
        <w:t>.</w:t>
      </w:r>
    </w:p>
  </w:footnote>
  <w:footnote w:id="168">
    <w:p w14:paraId="67C71FB6" w14:textId="3495B69A"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Government of Canada, “Trade Agreements: Thresholds Update”, Contracting Policy Notice 2015-3 (30 December 2015), online: &lt;</w:t>
      </w:r>
      <w:hyperlink r:id="rId79" w:history="1">
        <w:r w:rsidRPr="00BC2BC4">
          <w:rPr>
            <w:rStyle w:val="Hyperlink"/>
            <w:rFonts w:cs="Times New Roman"/>
            <w:szCs w:val="18"/>
          </w:rPr>
          <w:t>www.tbs-sct.gc.ca/hgw-cgf/business-affaire/gcp-agc/notices-avis/2015/15-03-eng.asp</w:t>
        </w:r>
      </w:hyperlink>
      <w:r w:rsidRPr="00BC2BC4">
        <w:rPr>
          <w:rFonts w:cs="Times New Roman"/>
          <w:szCs w:val="18"/>
        </w:rPr>
        <w:t>&gt;.</w:t>
      </w:r>
    </w:p>
  </w:footnote>
  <w:footnote w:id="169">
    <w:p w14:paraId="5D186D25" w14:textId="58EC308C"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Elfriede Bierbrauer, “Negotiations on the EU-Canada Comprehensive Economic and Trade Agreement (CETA) Concluded” (Brussels: European Parliament, Policy Department, Directorate-General for External Policies, 2014) at 4, online: &lt;</w:t>
      </w:r>
      <w:hyperlink r:id="rId80" w:history="1">
        <w:r w:rsidRPr="00BC2BC4">
          <w:rPr>
            <w:rStyle w:val="Hyperlink"/>
            <w:rFonts w:cs="Times New Roman"/>
            <w:szCs w:val="18"/>
          </w:rPr>
          <w:t>www.europarl.europa.eu/RegData/etudes/IDAN/2014/536410/EXPO_IDA(2014)536410_EN.pdf</w:t>
        </w:r>
      </w:hyperlink>
      <w:r w:rsidRPr="00BC2BC4">
        <w:rPr>
          <w:rFonts w:cs="Times New Roman"/>
          <w:szCs w:val="18"/>
        </w:rPr>
        <w:t>&gt;. See also Government of Canada, “Chronology of Events and Key Milestones”, online: &lt;</w:t>
      </w:r>
      <w:hyperlink r:id="rId81" w:history="1">
        <w:r w:rsidRPr="00BC2BC4">
          <w:rPr>
            <w:rStyle w:val="Hyperlink"/>
            <w:rFonts w:cs="Times New Roman"/>
            <w:szCs w:val="18"/>
          </w:rPr>
          <w:t>www.international.gc.ca/trade-commerce/trade-agreements-accords-commerciaux/agr-acc/ceta-aecg/chronology-chronologie.aspx?lang=eng</w:t>
        </w:r>
      </w:hyperlink>
      <w:r w:rsidRPr="00BC2BC4">
        <w:rPr>
          <w:rFonts w:cs="Times New Roman"/>
          <w:szCs w:val="18"/>
        </w:rPr>
        <w:t>&gt;.</w:t>
      </w:r>
    </w:p>
  </w:footnote>
  <w:footnote w:id="170">
    <w:p w14:paraId="0D201117" w14:textId="6B5C1477"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The European Commission, “EU-Canada Summit: Newly Signed Trade Agreement Sets High Standards for Global Trade” (30 October 2016), online: &lt;</w:t>
      </w:r>
      <w:hyperlink r:id="rId82" w:history="1">
        <w:r w:rsidRPr="00BC2BC4">
          <w:rPr>
            <w:rStyle w:val="Hyperlink"/>
            <w:rFonts w:cs="Times New Roman"/>
            <w:szCs w:val="18"/>
            <w:lang w:val="en-US"/>
          </w:rPr>
          <w:t>trade.ec.europa.eu/doclib/press/index.cfm?id=1569</w:t>
        </w:r>
      </w:hyperlink>
      <w:r w:rsidRPr="00BC2BC4">
        <w:rPr>
          <w:rFonts w:cs="Times New Roman"/>
          <w:szCs w:val="18"/>
          <w:lang w:val="en-US"/>
        </w:rPr>
        <w:t>&gt;.</w:t>
      </w:r>
    </w:p>
  </w:footnote>
  <w:footnote w:id="171">
    <w:p w14:paraId="01702DF7" w14:textId="644F0219"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Canada-European Union Comprehensive Economic and Trade Agreement [CETA], online:  &lt;</w:t>
      </w:r>
      <w:hyperlink r:id="rId83" w:history="1">
        <w:r w:rsidRPr="00BC2BC4">
          <w:rPr>
            <w:rStyle w:val="Hyperlink"/>
            <w:rFonts w:cs="Times New Roman"/>
            <w:szCs w:val="18"/>
          </w:rPr>
          <w:t>www.international.gc.ca/trade-commerce/trade-agreements-accords-commerciaux/agr-acc/ceta-aecg/text-texte/toc-tdm.aspx?lang=eng</w:t>
        </w:r>
      </w:hyperlink>
      <w:r w:rsidRPr="00BC2BC4">
        <w:rPr>
          <w:rStyle w:val="Hyperlink"/>
          <w:rFonts w:cs="Times New Roman"/>
          <w:color w:val="auto"/>
          <w:szCs w:val="18"/>
          <w:u w:val="none"/>
        </w:rPr>
        <w:t>&gt;</w:t>
      </w:r>
      <w:r w:rsidRPr="00BC2BC4">
        <w:rPr>
          <w:rFonts w:cs="Times New Roman"/>
          <w:szCs w:val="18"/>
        </w:rPr>
        <w:t>.</w:t>
      </w:r>
    </w:p>
  </w:footnote>
  <w:footnote w:id="172">
    <w:p w14:paraId="47A015E7" w14:textId="09FA4BEC"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Government of Canada, “Agreement Overview”, online: &lt;</w:t>
      </w:r>
      <w:hyperlink r:id="rId84" w:history="1">
        <w:r w:rsidR="003860C1" w:rsidRPr="00B87CEC">
          <w:rPr>
            <w:rStyle w:val="Hyperlink"/>
            <w:rFonts w:cs="Times New Roman"/>
            <w:szCs w:val="18"/>
            <w:lang w:val="en-US"/>
          </w:rPr>
          <w:t>www.international.gc.ca/trade-commerce/trade-agreements-accords-commerciaux/agr-acc/ceta-aecg/overview-apercu.aspx?lang=eng</w:t>
        </w:r>
      </w:hyperlink>
      <w:r w:rsidRPr="00BC2BC4">
        <w:rPr>
          <w:rFonts w:cs="Times New Roman"/>
          <w:szCs w:val="18"/>
          <w:lang w:val="en-US"/>
        </w:rPr>
        <w:t>&gt;.</w:t>
      </w:r>
    </w:p>
  </w:footnote>
  <w:footnote w:id="173">
    <w:p w14:paraId="63750919" w14:textId="2324E397"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The European Commission, “CETA Explained”, online: &lt;</w:t>
      </w:r>
      <w:hyperlink r:id="rId85" w:history="1">
        <w:r w:rsidRPr="00BC2BC4">
          <w:rPr>
            <w:rStyle w:val="Hyperlink"/>
            <w:rFonts w:cs="Times New Roman"/>
            <w:szCs w:val="18"/>
            <w:lang w:val="en-US"/>
          </w:rPr>
          <w:t>ec.europa.eu/trade/policy/in-focus/</w:t>
        </w:r>
        <w:r w:rsidR="005563B3">
          <w:rPr>
            <w:rStyle w:val="Hyperlink"/>
            <w:rFonts w:cs="Times New Roman"/>
            <w:szCs w:val="18"/>
            <w:lang w:val="en-US"/>
          </w:rPr>
          <w:br/>
        </w:r>
        <w:r w:rsidRPr="00BC2BC4">
          <w:rPr>
            <w:rStyle w:val="Hyperlink"/>
            <w:rFonts w:cs="Times New Roman"/>
            <w:szCs w:val="18"/>
            <w:lang w:val="en-US"/>
          </w:rPr>
          <w:t>ceta/ceta-explained/</w:t>
        </w:r>
      </w:hyperlink>
      <w:r w:rsidRPr="00BC2BC4">
        <w:rPr>
          <w:rFonts w:cs="Times New Roman"/>
          <w:szCs w:val="18"/>
          <w:lang w:val="en-US"/>
        </w:rPr>
        <w:t>&gt;.</w:t>
      </w:r>
    </w:p>
  </w:footnote>
  <w:footnote w:id="174">
    <w:p w14:paraId="53E45EC7" w14:textId="34C3248C"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 xml:space="preserve">Bill C-30, </w:t>
      </w:r>
      <w:r w:rsidRPr="00BC2BC4">
        <w:rPr>
          <w:rFonts w:cs="Times New Roman"/>
          <w:bCs/>
          <w:i/>
          <w:szCs w:val="18"/>
          <w:lang w:val="en-US"/>
        </w:rPr>
        <w:t>An Act to implement the Comprehensive Economic and Trade Agreement between Canada and the European Union and its Member States and to provide for certain other measures</w:t>
      </w:r>
      <w:r w:rsidRPr="00BC2BC4">
        <w:rPr>
          <w:rFonts w:cs="Times New Roman"/>
          <w:bCs/>
          <w:szCs w:val="18"/>
          <w:lang w:val="en-US"/>
        </w:rPr>
        <w:t>, 1st Sess, 42nd Parl, 2016.</w:t>
      </w:r>
    </w:p>
  </w:footnote>
  <w:footnote w:id="175">
    <w:p w14:paraId="78F1D42E" w14:textId="0AC625F1"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Global Affairs Canada, Press Release, “</w:t>
      </w:r>
      <w:r w:rsidRPr="00BC2BC4">
        <w:rPr>
          <w:rFonts w:cs="Times New Roman"/>
          <w:bCs/>
          <w:szCs w:val="18"/>
        </w:rPr>
        <w:t>International Trade Minister Introduces Legislation to Parliament to Implement CETA” (31 October 2016), online: &lt;</w:t>
      </w:r>
      <w:r w:rsidRPr="00BC2BC4">
        <w:rPr>
          <w:szCs w:val="18"/>
        </w:rPr>
        <w:t xml:space="preserve"> https://www.canada.ca/en/global-affairs/news/2016/10/international-trade-minister-introduces-legislation-parliament-implement-ceta.html?wbdisable=true</w:t>
      </w:r>
      <w:r w:rsidRPr="00BC2BC4">
        <w:rPr>
          <w:rFonts w:cs="Times New Roman"/>
          <w:bCs/>
          <w:szCs w:val="18"/>
        </w:rPr>
        <w:t>&gt;.</w:t>
      </w:r>
    </w:p>
  </w:footnote>
  <w:footnote w:id="176">
    <w:p w14:paraId="6FD47FAA" w14:textId="3DC85BF4"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 xml:space="preserve">Philip Blenkinsop, “CETA: EU-Canada Trade Deal Clears Legal Hurdle in EU Parliament”, </w:t>
      </w:r>
      <w:r w:rsidRPr="00BC2BC4">
        <w:rPr>
          <w:rFonts w:cs="Times New Roman"/>
          <w:i/>
          <w:szCs w:val="18"/>
          <w:lang w:val="en-US"/>
        </w:rPr>
        <w:t>Global News</w:t>
      </w:r>
      <w:r w:rsidRPr="00BC2BC4">
        <w:rPr>
          <w:rFonts w:cs="Times New Roman"/>
          <w:szCs w:val="18"/>
          <w:lang w:val="en-US"/>
        </w:rPr>
        <w:t xml:space="preserve"> (23 November 2016), online: &lt;</w:t>
      </w:r>
      <w:hyperlink r:id="rId86" w:history="1">
        <w:r w:rsidRPr="00BC2BC4">
          <w:rPr>
            <w:rStyle w:val="Hyperlink"/>
            <w:rFonts w:cs="Times New Roman"/>
            <w:szCs w:val="18"/>
            <w:lang w:val="en-US"/>
          </w:rPr>
          <w:t>globalnews.ca/news/3083618/ceta-eu-canada-trade-deal-clears-legal-hurdle-in-eu-parliament/</w:t>
        </w:r>
      </w:hyperlink>
      <w:r w:rsidRPr="00BC2BC4">
        <w:rPr>
          <w:rFonts w:cs="Times New Roman"/>
          <w:szCs w:val="18"/>
          <w:lang w:val="en-US"/>
        </w:rPr>
        <w:t>&gt;.</w:t>
      </w:r>
    </w:p>
  </w:footnote>
  <w:footnote w:id="177">
    <w:p w14:paraId="1D059043" w14:textId="7736E6CA"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MASH is the acronym used in procurement laws and practices involving “Municipalities, Academic institutions, Schools, and Hospitals”.</w:t>
      </w:r>
    </w:p>
  </w:footnote>
  <w:footnote w:id="178">
    <w:p w14:paraId="797C1648" w14:textId="65054B15"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CETA explicitly applies to municipalities, school boards, publicly funded academic institutions, health and social services entities, Crown corporations, mass transit by provinces, and 75% of procurements by public utilities: Brenda C Swick, “A New Era in Municipal Procurement: Canada-EU Comprehensive Economic and Trade Agreement” (McCarthy T</w:t>
      </w:r>
      <w:r w:rsidRPr="00BC2BC4">
        <w:rPr>
          <w:rFonts w:cs="Times New Roman"/>
          <w:bCs/>
          <w:szCs w:val="18"/>
        </w:rPr>
        <w:t>é</w:t>
      </w:r>
      <w:r w:rsidRPr="00BC2BC4">
        <w:rPr>
          <w:rFonts w:cs="Times New Roman"/>
          <w:szCs w:val="18"/>
        </w:rPr>
        <w:t xml:space="preserve">trault LLP, presentation for Ontario Public Buyers Association, Thorold, Ontario, 17 November 2014) at 7, online: </w:t>
      </w:r>
      <w:r w:rsidRPr="00266A65">
        <w:rPr>
          <w:rFonts w:cs="Times New Roman"/>
          <w:spacing w:val="-2"/>
          <w:szCs w:val="18"/>
        </w:rPr>
        <w:t>&lt;</w:t>
      </w:r>
      <w:hyperlink r:id="rId87" w:history="1">
        <w:r w:rsidRPr="00266A65">
          <w:rPr>
            <w:rStyle w:val="Hyperlink"/>
            <w:rFonts w:cs="Times New Roman"/>
            <w:spacing w:val="-2"/>
            <w:szCs w:val="18"/>
          </w:rPr>
          <w:t>www.mccarthy.ca/pubs/New_Era_in_Municipal_Procurement_(November_17__2014_at_OPBA).pdf</w:t>
        </w:r>
      </w:hyperlink>
      <w:r w:rsidRPr="00266A65">
        <w:rPr>
          <w:rFonts w:cs="Times New Roman"/>
          <w:spacing w:val="-2"/>
          <w:szCs w:val="18"/>
        </w:rPr>
        <w:t>&gt;.</w:t>
      </w:r>
    </w:p>
  </w:footnote>
  <w:footnote w:id="179">
    <w:p w14:paraId="286FADFC"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xml:space="preserve">. </w:t>
      </w:r>
    </w:p>
  </w:footnote>
  <w:footnote w:id="180">
    <w:p w14:paraId="5F7270B1" w14:textId="58B151D0"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CETA, Chapter 19, online: Foreign Affairs, Trade and Development Canada &lt;</w:t>
      </w:r>
      <w:hyperlink r:id="rId88" w:history="1">
        <w:r w:rsidRPr="00BC2BC4">
          <w:rPr>
            <w:rStyle w:val="Hyperlink"/>
            <w:rFonts w:cs="Times New Roman"/>
            <w:szCs w:val="18"/>
          </w:rPr>
          <w:t>www.international.gc.ca/trade-commerce/trade-agreements-accords-commerciaux/agr-acc/ceta-aecg/text-texte/19.aspx?lang=eng</w:t>
        </w:r>
      </w:hyperlink>
      <w:r w:rsidRPr="00BC2BC4">
        <w:rPr>
          <w:rStyle w:val="Hyperlink"/>
          <w:rFonts w:cs="Times New Roman"/>
          <w:color w:val="auto"/>
          <w:szCs w:val="18"/>
          <w:u w:val="none"/>
        </w:rPr>
        <w:t>&gt;</w:t>
      </w:r>
      <w:r w:rsidRPr="00BC2BC4">
        <w:rPr>
          <w:rFonts w:cs="Times New Roman"/>
          <w:szCs w:val="18"/>
        </w:rPr>
        <w:t>.</w:t>
      </w:r>
    </w:p>
  </w:footnote>
  <w:footnote w:id="181">
    <w:p w14:paraId="445A0F77" w14:textId="22F32B21"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Swick (17 November 2014) at 3.</w:t>
      </w:r>
    </w:p>
  </w:footnote>
  <w:footnote w:id="182">
    <w:p w14:paraId="4E1027EA" w14:textId="5E65D909"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Brenda C Swick, Leila Rafi &amp; John Boscariol, “Update on Procurement Law in Canada”, McCarthy T</w:t>
      </w:r>
      <w:r w:rsidRPr="00BC2BC4">
        <w:rPr>
          <w:rFonts w:cs="Times New Roman"/>
          <w:bCs/>
          <w:szCs w:val="18"/>
        </w:rPr>
        <w:t>é</w:t>
      </w:r>
      <w:r w:rsidRPr="00BC2BC4">
        <w:rPr>
          <w:rFonts w:cs="Times New Roman"/>
          <w:szCs w:val="18"/>
        </w:rPr>
        <w:t>trault LLP (21 January 2015) at 51, online: &lt;</w:t>
      </w:r>
      <w:hyperlink r:id="rId89" w:history="1">
        <w:r w:rsidRPr="00BC2BC4">
          <w:rPr>
            <w:rStyle w:val="Hyperlink"/>
            <w:rFonts w:cs="Times New Roman"/>
            <w:szCs w:val="18"/>
          </w:rPr>
          <w:t>www.mccarthy.ca/pubs/McCarthy Tetrault_2015-01-21_Update Procurement Law Canada_Presentation.pdf</w:t>
        </w:r>
      </w:hyperlink>
      <w:r w:rsidRPr="00BC2BC4">
        <w:rPr>
          <w:rFonts w:cs="Times New Roman"/>
          <w:szCs w:val="18"/>
        </w:rPr>
        <w:t>&gt;.</w:t>
      </w:r>
    </w:p>
  </w:footnote>
  <w:footnote w:id="183">
    <w:p w14:paraId="2253907B" w14:textId="11192CD9"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PatryLaw, “Public Procurement Law in Canada: An Overview” (29 February 2016), online: &lt;</w:t>
      </w:r>
      <w:hyperlink r:id="rId90" w:anchor="_ednref10" w:history="1">
        <w:r w:rsidRPr="00BC2BC4">
          <w:rPr>
            <w:rStyle w:val="Hyperlink"/>
            <w:rFonts w:cs="Times New Roman"/>
            <w:szCs w:val="18"/>
            <w:lang w:val="en-US"/>
          </w:rPr>
          <w:t>https://patrylaw.ca/government-procurement-bidding-tendering/procurement-law-canada-overview/ - _ednref10</w:t>
        </w:r>
      </w:hyperlink>
      <w:r w:rsidRPr="00BC2BC4">
        <w:rPr>
          <w:rFonts w:cs="Times New Roman"/>
          <w:szCs w:val="18"/>
          <w:lang w:val="en-US"/>
        </w:rPr>
        <w:t>&gt;.</w:t>
      </w:r>
    </w:p>
  </w:footnote>
  <w:footnote w:id="184">
    <w:p w14:paraId="5CD8141F" w14:textId="4534E910"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Swick (17 November 2014) at 9.</w:t>
      </w:r>
    </w:p>
  </w:footnote>
  <w:footnote w:id="185">
    <w:p w14:paraId="6888DA7A" w14:textId="0CD8CBCF" w:rsidR="003B45D5" w:rsidRPr="00BC2BC4" w:rsidRDefault="003B45D5" w:rsidP="0063252F">
      <w:pPr>
        <w:pStyle w:val="FootnoteText"/>
        <w:contextualSpacing/>
        <w:rPr>
          <w:rFonts w:cs="Times New Roman"/>
          <w:i/>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African Union Convention on Preventing and Combating Corruption</w:t>
      </w:r>
      <w:r w:rsidRPr="00BC2BC4">
        <w:rPr>
          <w:rFonts w:cs="Times New Roman"/>
          <w:szCs w:val="18"/>
        </w:rPr>
        <w:t xml:space="preserve"> (adopted 11 July 2003), online: &lt;</w:t>
      </w:r>
      <w:hyperlink r:id="rId91" w:history="1">
        <w:r w:rsidR="00232FAD" w:rsidRPr="00B87CEC">
          <w:rPr>
            <w:rStyle w:val="Hyperlink"/>
            <w:rFonts w:cs="Times New Roman"/>
            <w:szCs w:val="18"/>
          </w:rPr>
          <w:t>https://www.legal-tools.org/uploads/tx_ltpdb/</w:t>
        </w:r>
        <w:r w:rsidR="00232FAD" w:rsidRPr="00B87CEC">
          <w:rPr>
            <w:rStyle w:val="Hyperlink"/>
            <w:rFonts w:cs="Times New Roman"/>
            <w:szCs w:val="18"/>
          </w:rPr>
          <w:br/>
          <w:t>AfricanUnionConventiononPreventingandCombatingCorruption_11-07-2003__E__04.pdf</w:t>
        </w:r>
      </w:hyperlink>
      <w:r w:rsidRPr="00BC2BC4">
        <w:rPr>
          <w:rFonts w:cs="Times New Roman"/>
          <w:szCs w:val="18"/>
        </w:rPr>
        <w:t>&gt;</w:t>
      </w:r>
      <w:r w:rsidRPr="00BC2BC4">
        <w:rPr>
          <w:rFonts w:cs="Times New Roman"/>
          <w:i/>
          <w:szCs w:val="18"/>
        </w:rPr>
        <w:t xml:space="preserve">. </w:t>
      </w:r>
    </w:p>
  </w:footnote>
  <w:footnote w:id="186">
    <w:p w14:paraId="653265C4" w14:textId="77777777" w:rsidR="003B45D5" w:rsidRPr="00BC2BC4" w:rsidRDefault="003B45D5" w:rsidP="0063252F">
      <w:pPr>
        <w:pStyle w:val="FootnoteText"/>
        <w:contextualSpacing/>
        <w:rPr>
          <w:rFonts w:cs="Times New Roman"/>
          <w:i/>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p>
  </w:footnote>
  <w:footnote w:id="187">
    <w:p w14:paraId="5976FC2C" w14:textId="69AFCB35"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UNCITRAL</w:t>
      </w:r>
      <w:r w:rsidRPr="00BC2BC4">
        <w:rPr>
          <w:rFonts w:cs="Times New Roman"/>
          <w:szCs w:val="18"/>
        </w:rPr>
        <w:t xml:space="preserve"> </w:t>
      </w:r>
      <w:r w:rsidRPr="00BC2BC4">
        <w:rPr>
          <w:rFonts w:cs="Times New Roman"/>
          <w:i/>
          <w:szCs w:val="18"/>
        </w:rPr>
        <w:t xml:space="preserve">Model Law on Public Procurement </w:t>
      </w:r>
      <w:r w:rsidRPr="00BC2BC4">
        <w:rPr>
          <w:rFonts w:cs="Times New Roman"/>
          <w:szCs w:val="18"/>
        </w:rPr>
        <w:t>(adopted 1 July 2011), online: &lt;</w:t>
      </w:r>
      <w:hyperlink r:id="rId92" w:history="1">
        <w:r w:rsidRPr="00BC2BC4">
          <w:rPr>
            <w:rStyle w:val="Hyperlink"/>
            <w:rFonts w:cs="Times New Roman"/>
            <w:szCs w:val="18"/>
          </w:rPr>
          <w:t>www.uncitral.org/pdf/english/texts/procurem/ml-procurement-2011/2011-Model-Law-on-Public-Procurement-e.pdf</w:t>
        </w:r>
      </w:hyperlink>
      <w:r w:rsidRPr="00BC2BC4">
        <w:rPr>
          <w:rFonts w:cs="Times New Roman"/>
          <w:szCs w:val="18"/>
        </w:rPr>
        <w:t>&gt;.</w:t>
      </w:r>
    </w:p>
  </w:footnote>
  <w:footnote w:id="188">
    <w:p w14:paraId="44B51A5F" w14:textId="4B213672"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United Nations Commission on International Trade Law, </w:t>
      </w:r>
      <w:r w:rsidRPr="00BC2BC4">
        <w:rPr>
          <w:rFonts w:cs="Times New Roman"/>
          <w:i/>
          <w:szCs w:val="18"/>
        </w:rPr>
        <w:t xml:space="preserve">Guide to Enactment of the UNCITRAL Model Law on Public Procurement </w:t>
      </w:r>
      <w:r w:rsidRPr="00BC2BC4">
        <w:rPr>
          <w:rFonts w:cs="Times New Roman"/>
          <w:szCs w:val="18"/>
        </w:rPr>
        <w:t>(United Nations, 2014) at iii, online: &lt;</w:t>
      </w:r>
      <w:hyperlink r:id="rId93" w:history="1">
        <w:r w:rsidRPr="00BC2BC4">
          <w:rPr>
            <w:rStyle w:val="Hyperlink"/>
            <w:rFonts w:cs="Times New Roman"/>
            <w:szCs w:val="18"/>
          </w:rPr>
          <w:t>www.uncitral.org/pdf/english/texts/procurem/ml-procurement-2011/Guide-Enactment-Model-Law-Public-Procurement-e.pdf</w:t>
        </w:r>
      </w:hyperlink>
      <w:r w:rsidRPr="00BC2BC4">
        <w:rPr>
          <w:rFonts w:cs="Times New Roman"/>
          <w:szCs w:val="18"/>
        </w:rPr>
        <w:t xml:space="preserve">&gt;. </w:t>
      </w:r>
    </w:p>
  </w:footnote>
  <w:footnote w:id="189">
    <w:p w14:paraId="72C1880C" w14:textId="354F36F6"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xml:space="preserve">. </w:t>
      </w:r>
    </w:p>
  </w:footnote>
  <w:footnote w:id="190">
    <w:p w14:paraId="058D36E3"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 xml:space="preserve">Ibid </w:t>
      </w:r>
      <w:r w:rsidRPr="00BC2BC4">
        <w:rPr>
          <w:rFonts w:cs="Times New Roman"/>
          <w:szCs w:val="18"/>
        </w:rPr>
        <w:t>at 3</w:t>
      </w:r>
      <w:r w:rsidRPr="00BC2BC4">
        <w:rPr>
          <w:rFonts w:cs="Times New Roman"/>
          <w:i/>
          <w:szCs w:val="18"/>
        </w:rPr>
        <w:t>.</w:t>
      </w:r>
      <w:r w:rsidRPr="00BC2BC4">
        <w:rPr>
          <w:rFonts w:cs="Times New Roman"/>
          <w:szCs w:val="18"/>
        </w:rPr>
        <w:t xml:space="preserve"> </w:t>
      </w:r>
    </w:p>
  </w:footnote>
  <w:footnote w:id="191">
    <w:p w14:paraId="157F6621" w14:textId="7ECBA9D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xml:space="preserve"> at 14–15. </w:t>
      </w:r>
    </w:p>
  </w:footnote>
  <w:footnote w:id="192">
    <w:p w14:paraId="537DB44A" w14:textId="3DAF3036" w:rsidR="003B45D5" w:rsidRPr="00BC2BC4" w:rsidRDefault="003B45D5" w:rsidP="0063252F">
      <w:pPr>
        <w:pStyle w:val="FootnoteText"/>
        <w:contextualSpacing/>
        <w:rPr>
          <w:rFonts w:cs="Times New Roman"/>
          <w:szCs w:val="18"/>
          <w:highlight w:val="yellow"/>
        </w:rPr>
      </w:pPr>
      <w:r w:rsidRPr="00BC2BC4">
        <w:rPr>
          <w:rStyle w:val="FootnoteReference"/>
          <w:rFonts w:cs="Times New Roman"/>
          <w:szCs w:val="18"/>
        </w:rPr>
        <w:footnoteRef/>
      </w:r>
      <w:r w:rsidRPr="00BC2BC4">
        <w:rPr>
          <w:rFonts w:cs="Times New Roman"/>
          <w:szCs w:val="18"/>
        </w:rPr>
        <w:t xml:space="preserve"> Glenn T Ware et al, “Corruption in Procurement” in Adam Graycar and Russell G Smith, eds, </w:t>
      </w:r>
      <w:r w:rsidRPr="00BC2BC4">
        <w:rPr>
          <w:rFonts w:cs="Times New Roman"/>
          <w:i/>
          <w:szCs w:val="18"/>
        </w:rPr>
        <w:t>Handbook of Global Research and Practice in Corruption</w:t>
      </w:r>
      <w:r w:rsidRPr="00BC2BC4">
        <w:rPr>
          <w:rFonts w:cs="Times New Roman"/>
          <w:szCs w:val="18"/>
        </w:rPr>
        <w:t xml:space="preserve"> (Edward Elgar, 2011). </w:t>
      </w:r>
    </w:p>
  </w:footnote>
  <w:footnote w:id="193">
    <w:p w14:paraId="187A4C7C" w14:textId="77777777" w:rsidR="003B45D5" w:rsidRPr="00BC2BC4" w:rsidRDefault="003B45D5" w:rsidP="0063252F">
      <w:pPr>
        <w:pStyle w:val="FootnoteText"/>
        <w:contextualSpacing/>
        <w:rPr>
          <w:rFonts w:cs="Times New Roman"/>
          <w:i/>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 xml:space="preserve">Ibid. </w:t>
      </w:r>
    </w:p>
  </w:footnote>
  <w:footnote w:id="194">
    <w:p w14:paraId="26D4DD1B"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Competition in Contracting Act</w:t>
      </w:r>
      <w:r w:rsidRPr="00BC2BC4">
        <w:rPr>
          <w:rFonts w:cs="Times New Roman"/>
          <w:szCs w:val="18"/>
        </w:rPr>
        <w:t>,</w:t>
      </w:r>
      <w:r w:rsidRPr="00BC2BC4">
        <w:rPr>
          <w:rFonts w:cs="Times New Roman"/>
          <w:i/>
          <w:szCs w:val="18"/>
        </w:rPr>
        <w:t xml:space="preserve"> </w:t>
      </w:r>
      <w:r w:rsidRPr="00BC2BC4">
        <w:rPr>
          <w:rFonts w:cs="Times New Roman"/>
          <w:szCs w:val="18"/>
        </w:rPr>
        <w:t>41 USC § 253 (1984).</w:t>
      </w:r>
    </w:p>
  </w:footnote>
  <w:footnote w:id="195">
    <w:p w14:paraId="4F332727"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 xml:space="preserve">Ibid. </w:t>
      </w:r>
      <w:r w:rsidRPr="00BC2BC4">
        <w:rPr>
          <w:rFonts w:cs="Times New Roman"/>
          <w:szCs w:val="18"/>
        </w:rPr>
        <w:t xml:space="preserve">However, requirements change based on the dollar value of the contract. </w:t>
      </w:r>
    </w:p>
  </w:footnote>
  <w:footnote w:id="196">
    <w:p w14:paraId="7871F4E8" w14:textId="55BA85A9"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For additional commentary on the “full and open competition” requirements, see generally Kate M Manuel, </w:t>
      </w:r>
      <w:r w:rsidRPr="00BC2BC4">
        <w:rPr>
          <w:rFonts w:cs="Times New Roman"/>
          <w:i/>
          <w:szCs w:val="18"/>
        </w:rPr>
        <w:t>Competition in Federal Contracting: An Overview of the Legal Requirements</w:t>
      </w:r>
      <w:r w:rsidRPr="00BC2BC4">
        <w:rPr>
          <w:rFonts w:cs="Times New Roman"/>
          <w:szCs w:val="18"/>
        </w:rPr>
        <w:t>, Congressional Research Service (30 June 2011), online: &lt;</w:t>
      </w:r>
      <w:hyperlink r:id="rId94" w:history="1">
        <w:r w:rsidRPr="00BC2BC4">
          <w:rPr>
            <w:rStyle w:val="Hyperlink"/>
            <w:szCs w:val="18"/>
          </w:rPr>
          <w:t>https://fas.org/sgp/crs/misc/R40516.pdf</w:t>
        </w:r>
      </w:hyperlink>
      <w:r w:rsidRPr="00BC2BC4">
        <w:rPr>
          <w:rFonts w:cs="Times New Roman"/>
          <w:szCs w:val="18"/>
        </w:rPr>
        <w:t xml:space="preserve">&gt;. </w:t>
      </w:r>
    </w:p>
  </w:footnote>
  <w:footnote w:id="197">
    <w:p w14:paraId="46CD5E25" w14:textId="77777777" w:rsidR="003B45D5" w:rsidRPr="00BC2BC4" w:rsidRDefault="003B45D5" w:rsidP="0063252F">
      <w:pPr>
        <w:pStyle w:val="FootnoteText"/>
        <w:contextualSpacing/>
        <w:rPr>
          <w:rFonts w:cs="Times New Roman"/>
          <w:szCs w:val="18"/>
          <w:lang w:val="en-US"/>
        </w:rPr>
      </w:pPr>
      <w:r w:rsidRPr="00BC2BC4">
        <w:rPr>
          <w:rStyle w:val="FootnoteReference"/>
          <w:rFonts w:cs="Times New Roman"/>
          <w:szCs w:val="18"/>
        </w:rPr>
        <w:footnoteRef/>
      </w:r>
      <w:r w:rsidRPr="00BC2BC4">
        <w:rPr>
          <w:rFonts w:cs="Times New Roman"/>
          <w:i/>
          <w:szCs w:val="18"/>
        </w:rPr>
        <w:t xml:space="preserve"> Competition in Contracting Act, </w:t>
      </w:r>
      <w:r w:rsidRPr="00BC2BC4">
        <w:rPr>
          <w:rFonts w:cs="Times New Roman"/>
          <w:szCs w:val="18"/>
        </w:rPr>
        <w:t xml:space="preserve">41 USC § 253 (1984). </w:t>
      </w:r>
    </w:p>
  </w:footnote>
  <w:footnote w:id="198">
    <w:p w14:paraId="4FA180A4"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41 USC § 403(6) (2009).</w:t>
      </w:r>
    </w:p>
  </w:footnote>
  <w:footnote w:id="199">
    <w:p w14:paraId="01D0ED32"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Federal Acquisition Regulation</w:t>
      </w:r>
      <w:r w:rsidRPr="00BC2BC4">
        <w:rPr>
          <w:rFonts w:cs="Times New Roman"/>
          <w:szCs w:val="18"/>
        </w:rPr>
        <w:t>,</w:t>
      </w:r>
      <w:r w:rsidRPr="00BC2BC4">
        <w:rPr>
          <w:rFonts w:cs="Times New Roman"/>
          <w:i/>
          <w:szCs w:val="18"/>
        </w:rPr>
        <w:t xml:space="preserve"> </w:t>
      </w:r>
      <w:r w:rsidRPr="00BC2BC4">
        <w:rPr>
          <w:rFonts w:cs="Times New Roman"/>
          <w:szCs w:val="18"/>
        </w:rPr>
        <w:t>48 CFR § 1.101 (1983).</w:t>
      </w:r>
    </w:p>
  </w:footnote>
  <w:footnote w:id="200">
    <w:p w14:paraId="472853EE" w14:textId="21C0BE40"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w:t>
      </w:r>
      <w:r w:rsidRPr="00BC2BC4">
        <w:rPr>
          <w:rFonts w:cs="Times New Roman"/>
          <w:i/>
          <w:szCs w:val="18"/>
        </w:rPr>
        <w:t xml:space="preserve"> </w:t>
      </w:r>
      <w:r w:rsidRPr="00BC2BC4">
        <w:rPr>
          <w:rFonts w:cs="Times New Roman"/>
          <w:szCs w:val="18"/>
        </w:rPr>
        <w:t>§ 9.104(d).</w:t>
      </w:r>
    </w:p>
  </w:footnote>
  <w:footnote w:id="201">
    <w:p w14:paraId="7128B737" w14:textId="12878C29"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w:t>
      </w:r>
      <w:r w:rsidRPr="00BC2BC4">
        <w:rPr>
          <w:rFonts w:cs="Times New Roman"/>
          <w:i/>
          <w:szCs w:val="18"/>
        </w:rPr>
        <w:t xml:space="preserve"> </w:t>
      </w:r>
      <w:r w:rsidRPr="00BC2BC4">
        <w:rPr>
          <w:rFonts w:cs="Times New Roman"/>
          <w:szCs w:val="18"/>
        </w:rPr>
        <w:t>§ 9.406-2(a)(5).</w:t>
      </w:r>
    </w:p>
  </w:footnote>
  <w:footnote w:id="202">
    <w:p w14:paraId="42099D16" w14:textId="3E15479B"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 9.406-2(c).</w:t>
      </w:r>
    </w:p>
  </w:footnote>
  <w:footnote w:id="203">
    <w:p w14:paraId="05DC223F" w14:textId="29055327"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Thomas P Barletta, “Procurement Integrity and Supplier Debarment – A U.S. Perspective” (Address delivered at the Transparency International Canada Day of Dialogue, Toronto, 6 May 2015) [unpublished].</w:t>
      </w:r>
    </w:p>
  </w:footnote>
  <w:footnote w:id="204">
    <w:p w14:paraId="691A88C6" w14:textId="77777777"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Federal Acquisition Regulation</w:t>
      </w:r>
      <w:r w:rsidRPr="00BC2BC4">
        <w:rPr>
          <w:rFonts w:cs="Times New Roman"/>
          <w:szCs w:val="18"/>
        </w:rPr>
        <w:t>, 48 CFR § 9.406-1 (1983).</w:t>
      </w:r>
    </w:p>
  </w:footnote>
  <w:footnote w:id="205">
    <w:p w14:paraId="39FE157B" w14:textId="5DE8FB3F"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Barletta (6 May 2015).</w:t>
      </w:r>
    </w:p>
  </w:footnote>
  <w:footnote w:id="206">
    <w:p w14:paraId="638AEBB2" w14:textId="77777777"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Federal Acquisition Regulation</w:t>
      </w:r>
      <w:r w:rsidRPr="00BC2BC4">
        <w:rPr>
          <w:rFonts w:cs="Times New Roman"/>
          <w:szCs w:val="18"/>
        </w:rPr>
        <w:t>,</w:t>
      </w:r>
      <w:r w:rsidRPr="00BC2BC4">
        <w:rPr>
          <w:rFonts w:cs="Times New Roman"/>
          <w:i/>
          <w:szCs w:val="18"/>
        </w:rPr>
        <w:t xml:space="preserve"> </w:t>
      </w:r>
      <w:r w:rsidRPr="00BC2BC4">
        <w:rPr>
          <w:rFonts w:cs="Times New Roman"/>
          <w:szCs w:val="18"/>
        </w:rPr>
        <w:t xml:space="preserve">48 CFR § 9.407-1(b)(1) (1983). </w:t>
      </w:r>
    </w:p>
  </w:footnote>
  <w:footnote w:id="207">
    <w:p w14:paraId="6380E799" w14:textId="5EE936D1"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US Government Accountability Office, “Bid Protests”, online: &lt;</w:t>
      </w:r>
      <w:hyperlink r:id="rId95" w:history="1">
        <w:r w:rsidRPr="00BC2BC4">
          <w:rPr>
            <w:rStyle w:val="Hyperlink"/>
            <w:rFonts w:cs="Times New Roman"/>
            <w:szCs w:val="18"/>
          </w:rPr>
          <w:t>www.gao.gov/legal/bid-protests</w:t>
        </w:r>
      </w:hyperlink>
      <w:r w:rsidRPr="00BC2BC4">
        <w:rPr>
          <w:rFonts w:cs="Times New Roman"/>
          <w:szCs w:val="18"/>
        </w:rPr>
        <w:t xml:space="preserve">&gt;. </w:t>
      </w:r>
    </w:p>
  </w:footnote>
  <w:footnote w:id="208">
    <w:p w14:paraId="6341D3EA" w14:textId="3A78431E"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 xml:space="preserve">Alex Hunt &amp; Brian Wheeler, “Brexit: All You Need to Know About the UK Leaving the EU”, </w:t>
      </w:r>
      <w:r w:rsidRPr="00BC2BC4">
        <w:rPr>
          <w:rFonts w:cs="Times New Roman"/>
          <w:i/>
          <w:szCs w:val="18"/>
          <w:lang w:val="en-US"/>
        </w:rPr>
        <w:t>BBC News</w:t>
      </w:r>
      <w:r w:rsidRPr="00BC2BC4">
        <w:rPr>
          <w:rFonts w:cs="Times New Roman"/>
          <w:szCs w:val="18"/>
          <w:lang w:val="en-US"/>
        </w:rPr>
        <w:t xml:space="preserve"> (12 December 2016), online: &lt;</w:t>
      </w:r>
      <w:hyperlink r:id="rId96" w:history="1">
        <w:r w:rsidRPr="00BC2BC4">
          <w:rPr>
            <w:rStyle w:val="Hyperlink"/>
            <w:rFonts w:cs="Times New Roman"/>
            <w:szCs w:val="18"/>
            <w:lang w:val="en-US"/>
          </w:rPr>
          <w:t>www.bbc.com/news/uk-politics-32810887</w:t>
        </w:r>
      </w:hyperlink>
      <w:r w:rsidRPr="00BC2BC4">
        <w:rPr>
          <w:rFonts w:cs="Times New Roman"/>
          <w:szCs w:val="18"/>
          <w:lang w:val="en-US"/>
        </w:rPr>
        <w:t>&gt;.</w:t>
      </w:r>
    </w:p>
  </w:footnote>
  <w:footnote w:id="209">
    <w:p w14:paraId="6F6B9118" w14:textId="77777777"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lang w:val="en-US"/>
        </w:rPr>
        <w:t>Treaty of Lisbon amending the Treaty on European Union and the Treaty establishing the European Community</w:t>
      </w:r>
      <w:r w:rsidRPr="00BC2BC4">
        <w:rPr>
          <w:rFonts w:cs="Times New Roman"/>
          <w:szCs w:val="18"/>
          <w:lang w:val="en-US"/>
        </w:rPr>
        <w:t xml:space="preserve"> [2007] OJ C306/01. Article 50 came into force in 2009 after amendments were made to the Lisbon Treaty of 2007.</w:t>
      </w:r>
    </w:p>
  </w:footnote>
  <w:footnote w:id="210">
    <w:p w14:paraId="7B1E2258" w14:textId="6D11E526"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Hunt &amp; Wheeler (12 December 2016).</w:t>
      </w:r>
    </w:p>
  </w:footnote>
  <w:footnote w:id="211">
    <w:p w14:paraId="6540B527" w14:textId="77777777"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 xml:space="preserve">Alex Hunt &amp; Brian Wheeler, “Brexit: All You Need to Know About the UK Leaving the EU”, </w:t>
      </w:r>
      <w:r w:rsidRPr="00BC2BC4">
        <w:rPr>
          <w:rFonts w:cs="Times New Roman"/>
          <w:i/>
          <w:szCs w:val="18"/>
          <w:lang w:val="en-US"/>
        </w:rPr>
        <w:t>BBC News</w:t>
      </w:r>
      <w:r w:rsidRPr="00BC2BC4">
        <w:rPr>
          <w:rFonts w:cs="Times New Roman"/>
          <w:szCs w:val="18"/>
          <w:lang w:val="en-US"/>
        </w:rPr>
        <w:t xml:space="preserve"> (12 December 2016), online: &lt;</w:t>
      </w:r>
      <w:hyperlink r:id="rId97" w:history="1">
        <w:r w:rsidRPr="00BC2BC4">
          <w:rPr>
            <w:rStyle w:val="Hyperlink"/>
            <w:rFonts w:cs="Times New Roman"/>
            <w:szCs w:val="18"/>
            <w:lang w:val="en-US"/>
          </w:rPr>
          <w:t>www.bbc.com/news/uk-politics-32810887</w:t>
        </w:r>
      </w:hyperlink>
      <w:r w:rsidRPr="00BC2BC4">
        <w:rPr>
          <w:rFonts w:cs="Times New Roman"/>
          <w:szCs w:val="18"/>
          <w:lang w:val="en-US"/>
        </w:rPr>
        <w:t>&gt;.</w:t>
      </w:r>
    </w:p>
  </w:footnote>
  <w:footnote w:id="212">
    <w:p w14:paraId="76F11EBA" w14:textId="21D756BE" w:rsidR="003B45D5" w:rsidRPr="00BC2BC4" w:rsidRDefault="003B45D5" w:rsidP="0063252F">
      <w:pPr>
        <w:pStyle w:val="FootnoteText"/>
      </w:pPr>
      <w:r w:rsidRPr="00BC2BC4">
        <w:rPr>
          <w:rStyle w:val="FootnoteReference"/>
        </w:rPr>
        <w:footnoteRef/>
      </w:r>
      <w:r w:rsidRPr="00BC2BC4">
        <w:t xml:space="preserve"> </w:t>
      </w:r>
      <w:r w:rsidRPr="00BC2BC4">
        <w:rPr>
          <w:rFonts w:cs="Times New Roman"/>
          <w:szCs w:val="18"/>
        </w:rPr>
        <w:t>Hunt &amp; Wheeler (12 December 2016).</w:t>
      </w:r>
    </w:p>
  </w:footnote>
  <w:footnote w:id="213">
    <w:p w14:paraId="2B476E8D" w14:textId="167D3CB9" w:rsidR="003B45D5" w:rsidRPr="00BC2BC4" w:rsidRDefault="003B45D5" w:rsidP="0063252F">
      <w:pPr>
        <w:pStyle w:val="FootnoteText"/>
      </w:pPr>
      <w:r w:rsidRPr="00BC2BC4">
        <w:rPr>
          <w:rStyle w:val="FootnoteReference"/>
        </w:rPr>
        <w:footnoteRef/>
      </w:r>
      <w:r w:rsidRPr="00BC2BC4">
        <w:t xml:space="preserve"> Anushka Asthana, Rowena Mason &amp; Lisa O’Carroll, “Parliament passes Brexit bill and opens way to triggering article 50”, </w:t>
      </w:r>
      <w:r w:rsidRPr="00BC2BC4">
        <w:rPr>
          <w:i/>
        </w:rPr>
        <w:t xml:space="preserve">The Guardian </w:t>
      </w:r>
      <w:r w:rsidRPr="00BC2BC4">
        <w:t>(13 March 2017), online: &lt;</w:t>
      </w:r>
      <w:hyperlink r:id="rId98" w:history="1">
        <w:r w:rsidR="00232FAD" w:rsidRPr="00B87CEC">
          <w:rPr>
            <w:rStyle w:val="Hyperlink"/>
          </w:rPr>
          <w:t>https://www.theguardian.com/</w:t>
        </w:r>
        <w:r w:rsidR="00232FAD" w:rsidRPr="00B87CEC">
          <w:rPr>
            <w:rStyle w:val="Hyperlink"/>
          </w:rPr>
          <w:br/>
          <w:t>politics/2017/mar/13/brexit-vote-article-50-eu-citizens-rights-lords-mps</w:t>
        </w:r>
      </w:hyperlink>
      <w:r w:rsidRPr="00BC2BC4">
        <w:t xml:space="preserve">&gt;. </w:t>
      </w:r>
    </w:p>
  </w:footnote>
  <w:footnote w:id="214">
    <w:p w14:paraId="20B62088" w14:textId="7F5C0D4A" w:rsidR="003B45D5" w:rsidRPr="00BC2BC4" w:rsidRDefault="003B45D5" w:rsidP="0063252F">
      <w:pPr>
        <w:pStyle w:val="FootnoteText"/>
      </w:pPr>
      <w:r w:rsidRPr="00BC2BC4">
        <w:rPr>
          <w:rStyle w:val="FootnoteReference"/>
        </w:rPr>
        <w:footnoteRef/>
      </w:r>
      <w:r w:rsidRPr="00BC2BC4">
        <w:t xml:space="preserve"> “‘No turning back’ on Brexit as Article 50 triggered”. </w:t>
      </w:r>
      <w:r w:rsidRPr="00BC2BC4">
        <w:rPr>
          <w:i/>
        </w:rPr>
        <w:t xml:space="preserve">BBC News </w:t>
      </w:r>
      <w:r w:rsidRPr="00BC2BC4">
        <w:t>(30 March 2017), online: &lt;</w:t>
      </w:r>
      <w:hyperlink r:id="rId99" w:history="1">
        <w:r w:rsidRPr="00BC2BC4">
          <w:rPr>
            <w:rStyle w:val="Hyperlink"/>
          </w:rPr>
          <w:t>http://www.bbc.com/news/uk-politics-39431428</w:t>
        </w:r>
      </w:hyperlink>
      <w:r w:rsidRPr="00BC2BC4">
        <w:t xml:space="preserve">&gt;. </w:t>
      </w:r>
    </w:p>
  </w:footnote>
  <w:footnote w:id="215">
    <w:p w14:paraId="1C2C4652" w14:textId="45C569D8"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t xml:space="preserve">Alex Hunt &amp; Brian Wheeler, “Brexit: All You Need to Know About the UK Leaving the EU”, </w:t>
      </w:r>
      <w:r w:rsidRPr="00BC2BC4">
        <w:rPr>
          <w:i/>
          <w:iCs/>
        </w:rPr>
        <w:t>BBC News</w:t>
      </w:r>
      <w:r w:rsidRPr="00BC2BC4">
        <w:t xml:space="preserve"> (12 December 2016), online: &lt;</w:t>
      </w:r>
      <w:hyperlink r:id="rId100" w:history="1">
        <w:r w:rsidRPr="00BC2BC4">
          <w:rPr>
            <w:rStyle w:val="Hyperlink"/>
          </w:rPr>
          <w:t>www.bbc.com/news/uk-politics-32810887</w:t>
        </w:r>
      </w:hyperlink>
      <w:r w:rsidRPr="00BC2BC4">
        <w:t>&gt;.</w:t>
      </w:r>
    </w:p>
  </w:footnote>
  <w:footnote w:id="216">
    <w:p w14:paraId="69927993" w14:textId="437C7104"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Linklaters LLP, “FAQs on the Impact of the UK’s Vote to Leave the EU” (24 June 2016) at 3, online: &lt;</w:t>
      </w:r>
      <w:hyperlink r:id="rId101" w:history="1">
        <w:r w:rsidRPr="00BC2BC4">
          <w:rPr>
            <w:rStyle w:val="Hyperlink"/>
            <w:rFonts w:cs="Times New Roman"/>
            <w:szCs w:val="18"/>
            <w:lang w:val="en-US"/>
          </w:rPr>
          <w:t>www.linklaters.com/pdfs/mkt/london/EU Ref Leave Vote FAQs.pdf</w:t>
        </w:r>
      </w:hyperlink>
      <w:r w:rsidRPr="00BC2BC4">
        <w:rPr>
          <w:rFonts w:cs="Times New Roman"/>
          <w:szCs w:val="18"/>
          <w:lang w:val="en-US"/>
        </w:rPr>
        <w:t>&gt;.</w:t>
      </w:r>
    </w:p>
  </w:footnote>
  <w:footnote w:id="217">
    <w:p w14:paraId="334EE8AD" w14:textId="4ED24F38"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Mills &amp; Reeve LLP, “Brexit: How Will It Impact on UK Procurement and Construction Law?” (24 June 2016), online: &lt;</w:t>
      </w:r>
      <w:hyperlink r:id="rId102" w:history="1">
        <w:r w:rsidRPr="00BC2BC4">
          <w:rPr>
            <w:rStyle w:val="Hyperlink"/>
            <w:rFonts w:cs="Times New Roman"/>
            <w:szCs w:val="18"/>
            <w:lang w:val="en-US"/>
          </w:rPr>
          <w:t>www.mills-reeve.com/brexit-how-will-it-impact-on-uk-procurement-and-construction-law/</w:t>
        </w:r>
      </w:hyperlink>
      <w:r w:rsidRPr="00BC2BC4">
        <w:rPr>
          <w:rFonts w:cs="Times New Roman"/>
          <w:szCs w:val="18"/>
          <w:lang w:val="en-US"/>
        </w:rPr>
        <w:t>&gt;.</w:t>
      </w:r>
    </w:p>
  </w:footnote>
  <w:footnote w:id="218">
    <w:p w14:paraId="01D3A1E9" w14:textId="318E02BB"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Ruth Smith &amp; Tom Benjamin, “Plus Ça Change … 5 Reasons Why Brexit Is Unlikely to Spell the End of Procurement Regulation in the UK”, Mills &amp; Reeve LLP (24 February 2016), online: &lt;</w:t>
      </w:r>
      <w:hyperlink r:id="rId103" w:history="1">
        <w:r w:rsidRPr="00BC2BC4">
          <w:rPr>
            <w:rStyle w:val="Hyperlink"/>
            <w:rFonts w:cs="Times New Roman"/>
            <w:szCs w:val="18"/>
            <w:lang w:val="en-US"/>
          </w:rPr>
          <w:t>www.procurementportal.com/blog/blog.aspx?entry=480</w:t>
        </w:r>
      </w:hyperlink>
      <w:r w:rsidRPr="00BC2BC4">
        <w:rPr>
          <w:rFonts w:cs="Times New Roman"/>
          <w:szCs w:val="18"/>
          <w:lang w:val="en-US"/>
        </w:rPr>
        <w:t>&gt;.</w:t>
      </w:r>
    </w:p>
  </w:footnote>
  <w:footnote w:id="219">
    <w:p w14:paraId="2EF70C49" w14:textId="1BD9B56F"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 xml:space="preserve">Colin Cram, “The Impact of Brexit on UK’s £200bn Public Procurement Spend”, </w:t>
      </w:r>
      <w:r w:rsidRPr="00BC2BC4">
        <w:rPr>
          <w:rFonts w:cs="Times New Roman"/>
          <w:i/>
          <w:szCs w:val="18"/>
          <w:lang w:val="en-US"/>
        </w:rPr>
        <w:t xml:space="preserve">The Guardian </w:t>
      </w:r>
      <w:r w:rsidRPr="00BC2BC4">
        <w:rPr>
          <w:rFonts w:cs="Times New Roman"/>
          <w:szCs w:val="18"/>
          <w:lang w:val="en-US"/>
        </w:rPr>
        <w:t>(13 June 2016), online: &lt;</w:t>
      </w:r>
      <w:hyperlink r:id="rId104" w:history="1">
        <w:r w:rsidRPr="00BC2BC4">
          <w:rPr>
            <w:rStyle w:val="Hyperlink"/>
            <w:rFonts w:cs="Times New Roman"/>
            <w:szCs w:val="18"/>
            <w:lang w:val="en-US"/>
          </w:rPr>
          <w:t>https://www.theguardian.com/public-leaders-network/2016/jun/13/brexit-uk-200bn-public-procurement-eu-rules</w:t>
        </w:r>
      </w:hyperlink>
      <w:r w:rsidRPr="00BC2BC4">
        <w:rPr>
          <w:rFonts w:cs="Times New Roman"/>
          <w:szCs w:val="18"/>
          <w:lang w:val="en-US"/>
        </w:rPr>
        <w:t>&gt;.</w:t>
      </w:r>
    </w:p>
  </w:footnote>
  <w:footnote w:id="220">
    <w:p w14:paraId="58D24AA8" w14:textId="13A1E6BB"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EC,</w:t>
      </w:r>
      <w:r w:rsidRPr="00BC2BC4">
        <w:rPr>
          <w:rFonts w:cs="Times New Roman"/>
          <w:i/>
          <w:szCs w:val="18"/>
        </w:rPr>
        <w:t xml:space="preserve"> </w:t>
      </w:r>
      <w:r w:rsidRPr="00BC2BC4">
        <w:rPr>
          <w:rFonts w:cs="Times New Roman"/>
          <w:bCs/>
          <w:i/>
          <w:szCs w:val="18"/>
        </w:rPr>
        <w:t>Directive 2014/24/EU of the European Parliament and of the Council of 26 February 2014 on public procurement and repealing Directive 2004/18/EC Text with EEA relevance</w:t>
      </w:r>
      <w:r w:rsidRPr="00BC2BC4">
        <w:rPr>
          <w:rFonts w:cs="Times New Roman"/>
          <w:bCs/>
          <w:szCs w:val="18"/>
        </w:rPr>
        <w:t xml:space="preserve"> [2014] OJ L 94/65, online: &lt;</w:t>
      </w:r>
      <w:hyperlink r:id="rId105" w:history="1">
        <w:r w:rsidRPr="00BC2BC4">
          <w:rPr>
            <w:rStyle w:val="Hyperlink"/>
            <w:rFonts w:cs="Times New Roman"/>
            <w:bCs/>
            <w:szCs w:val="18"/>
          </w:rPr>
          <w:t>eur-lex.europa.eu/legal-content/en/TXT/?uri=CELEX:32014L0024</w:t>
        </w:r>
      </w:hyperlink>
      <w:r w:rsidRPr="00BC2BC4">
        <w:rPr>
          <w:rFonts w:cs="Times New Roman"/>
          <w:bCs/>
          <w:szCs w:val="18"/>
        </w:rPr>
        <w:t>&gt;.</w:t>
      </w:r>
      <w:r w:rsidRPr="00BC2BC4">
        <w:rPr>
          <w:rStyle w:val="Strong"/>
          <w:rFonts w:cs="Times New Roman"/>
          <w:color w:val="444444"/>
          <w:szCs w:val="18"/>
          <w:bdr w:val="none" w:sz="0" w:space="0" w:color="auto" w:frame="1"/>
          <w:shd w:val="clear" w:color="auto" w:fill="FFFFFF"/>
        </w:rPr>
        <w:t xml:space="preserve"> </w:t>
      </w:r>
    </w:p>
  </w:footnote>
  <w:footnote w:id="221">
    <w:p w14:paraId="1686ECC5" w14:textId="569BB635"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xml:space="preserve">, Article 18(2). </w:t>
      </w:r>
    </w:p>
  </w:footnote>
  <w:footnote w:id="222">
    <w:p w14:paraId="5135FDF5" w14:textId="597852BE"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w:t>
      </w:r>
      <w:r w:rsidRPr="00BC2BC4">
        <w:rPr>
          <w:rFonts w:cs="Times New Roman"/>
          <w:i/>
          <w:szCs w:val="18"/>
        </w:rPr>
        <w:t xml:space="preserve"> </w:t>
      </w:r>
      <w:r w:rsidRPr="00BC2BC4">
        <w:rPr>
          <w:rFonts w:cs="Times New Roman"/>
          <w:szCs w:val="18"/>
        </w:rPr>
        <w:t xml:space="preserve">Article 4. </w:t>
      </w:r>
    </w:p>
  </w:footnote>
  <w:footnote w:id="223">
    <w:p w14:paraId="1F5C8948" w14:textId="55261A89"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EC, </w:t>
      </w:r>
      <w:r w:rsidRPr="00BC2BC4">
        <w:rPr>
          <w:rFonts w:cs="Times New Roman"/>
          <w:i/>
          <w:szCs w:val="18"/>
        </w:rPr>
        <w:t>Public Procurement Reform: Fact Sheet No 1: General Overview</w:t>
      </w:r>
      <w:r w:rsidRPr="00BC2BC4">
        <w:rPr>
          <w:rFonts w:cs="Times New Roman"/>
          <w:szCs w:val="18"/>
        </w:rPr>
        <w:t>, online:</w:t>
      </w:r>
      <w:r w:rsidRPr="00BC2BC4">
        <w:rPr>
          <w:rFonts w:cs="Times New Roman"/>
          <w:i/>
          <w:szCs w:val="18"/>
        </w:rPr>
        <w:t xml:space="preserve"> </w:t>
      </w:r>
      <w:r w:rsidRPr="00BC2BC4">
        <w:rPr>
          <w:rFonts w:cs="Times New Roman"/>
          <w:szCs w:val="18"/>
        </w:rPr>
        <w:t>&lt;</w:t>
      </w:r>
      <w:hyperlink r:id="rId106" w:history="1">
        <w:r w:rsidRPr="00BC2BC4">
          <w:rPr>
            <w:rStyle w:val="Hyperlink"/>
            <w:rFonts w:cs="Times New Roman"/>
            <w:szCs w:val="18"/>
          </w:rPr>
          <w:t>ec.europa.eu/internal_market/publicprocurement/docs/modernising_rules/reform/fact-sheets/fact-sheet-01-overview_en.pdf</w:t>
        </w:r>
      </w:hyperlink>
      <w:r w:rsidRPr="00BC2BC4">
        <w:rPr>
          <w:rFonts w:cs="Times New Roman"/>
          <w:szCs w:val="18"/>
        </w:rPr>
        <w:t>&gt;.</w:t>
      </w:r>
    </w:p>
  </w:footnote>
  <w:footnote w:id="224">
    <w:p w14:paraId="1835E4F2" w14:textId="453E961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i/>
          <w:szCs w:val="18"/>
        </w:rPr>
        <w:t xml:space="preserve"> Public Contracts Regulations 2015</w:t>
      </w:r>
      <w:r w:rsidRPr="00BC2BC4">
        <w:rPr>
          <w:rFonts w:cs="Times New Roman"/>
          <w:szCs w:val="18"/>
        </w:rPr>
        <w:t>,</w:t>
      </w:r>
      <w:r w:rsidRPr="00BC2BC4">
        <w:rPr>
          <w:rFonts w:cs="Times New Roman"/>
          <w:i/>
          <w:szCs w:val="18"/>
        </w:rPr>
        <w:t xml:space="preserve"> </w:t>
      </w:r>
      <w:r w:rsidRPr="00BC2BC4">
        <w:rPr>
          <w:rFonts w:cs="Times New Roman"/>
          <w:szCs w:val="18"/>
        </w:rPr>
        <w:t>SI 2015/102.</w:t>
      </w:r>
    </w:p>
  </w:footnote>
  <w:footnote w:id="225">
    <w:p w14:paraId="669CE696" w14:textId="6665C7DF"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The </w:t>
      </w:r>
      <w:r w:rsidRPr="00BC2BC4">
        <w:rPr>
          <w:rFonts w:cs="Times New Roman"/>
          <w:i/>
          <w:szCs w:val="18"/>
        </w:rPr>
        <w:t>Public Contracts (Scotland) Regulations 2015</w:t>
      </w:r>
      <w:r w:rsidRPr="00BC2BC4">
        <w:rPr>
          <w:rFonts w:cs="Times New Roman"/>
          <w:szCs w:val="18"/>
        </w:rPr>
        <w:t xml:space="preserve"> (PCRS) came into force on April 18, 2016. These regulations transposed the 2014 </w:t>
      </w:r>
      <w:r w:rsidRPr="00BC2BC4">
        <w:rPr>
          <w:rFonts w:cs="Times New Roman"/>
          <w:i/>
          <w:szCs w:val="18"/>
        </w:rPr>
        <w:t xml:space="preserve">EU Directive on Public Procurement </w:t>
      </w:r>
      <w:r w:rsidRPr="00BC2BC4">
        <w:rPr>
          <w:rFonts w:cs="Times New Roman"/>
          <w:szCs w:val="18"/>
        </w:rPr>
        <w:t xml:space="preserve">into domestic law in Scotland. </w:t>
      </w:r>
      <w:r w:rsidRPr="00BC2BC4">
        <w:rPr>
          <w:rFonts w:cs="Times New Roman"/>
          <w:szCs w:val="18"/>
          <w:lang w:val="en"/>
        </w:rPr>
        <w:t xml:space="preserve">Although broadly similar to the English </w:t>
      </w:r>
      <w:r w:rsidRPr="00BC2BC4">
        <w:rPr>
          <w:rFonts w:cs="Times New Roman"/>
          <w:i/>
          <w:szCs w:val="18"/>
          <w:lang w:val="en"/>
        </w:rPr>
        <w:t>PCR</w:t>
      </w:r>
      <w:r w:rsidRPr="00BC2BC4">
        <w:rPr>
          <w:rFonts w:cs="Times New Roman"/>
          <w:szCs w:val="18"/>
          <w:lang w:val="en"/>
        </w:rPr>
        <w:t xml:space="preserve">, the </w:t>
      </w:r>
      <w:r w:rsidRPr="00BC2BC4">
        <w:rPr>
          <w:rFonts w:cs="Times New Roman"/>
          <w:i/>
          <w:szCs w:val="18"/>
          <w:lang w:val="en"/>
        </w:rPr>
        <w:t xml:space="preserve">PCRS </w:t>
      </w:r>
      <w:r w:rsidRPr="00BC2BC4">
        <w:rPr>
          <w:rFonts w:cs="Times New Roman"/>
          <w:szCs w:val="18"/>
          <w:lang w:val="en"/>
        </w:rPr>
        <w:t xml:space="preserve">differ from its English counterpart in some respects. The reason for this discrepancy is that the </w:t>
      </w:r>
      <w:r w:rsidRPr="00BC2BC4">
        <w:rPr>
          <w:rFonts w:cs="Times New Roman"/>
          <w:i/>
          <w:szCs w:val="18"/>
          <w:lang w:val="en"/>
        </w:rPr>
        <w:t>EU Directive</w:t>
      </w:r>
      <w:r w:rsidRPr="00BC2BC4">
        <w:rPr>
          <w:rFonts w:cs="Times New Roman"/>
          <w:szCs w:val="18"/>
          <w:lang w:val="en"/>
        </w:rPr>
        <w:t xml:space="preserve"> contains a number of mandatory provisions to which all member states must adhere, but also gives member states a degree of discretion on how to implement certain provisions. The Scottish government has taken a different approach to certain issues than that taken by policy makers in England and Wales. See Claire Mills, “Procurement Reform in Scotland: Update, January 2016”, BTO Solicitors (15 January 2016), online: &lt;</w:t>
      </w:r>
      <w:hyperlink r:id="rId107" w:history="1">
        <w:r w:rsidRPr="00BC2BC4">
          <w:rPr>
            <w:rStyle w:val="Hyperlink"/>
            <w:rFonts w:cs="Times New Roman"/>
            <w:szCs w:val="18"/>
            <w:lang w:val="en"/>
          </w:rPr>
          <w:t>www.bto.co.uk/blog/procurement-reform-in-scotland-–-update,-january-2016.aspx</w:t>
        </w:r>
      </w:hyperlink>
      <w:r w:rsidRPr="00BC2BC4">
        <w:rPr>
          <w:rFonts w:cs="Times New Roman"/>
          <w:szCs w:val="18"/>
          <w:lang w:val="en"/>
        </w:rPr>
        <w:t xml:space="preserve">&gt;. </w:t>
      </w:r>
      <w:r w:rsidRPr="00BC2BC4">
        <w:rPr>
          <w:rFonts w:cs="Times New Roman"/>
          <w:szCs w:val="18"/>
        </w:rPr>
        <w:t xml:space="preserve">Scotland introduced further reforms to its public procurement regime through the </w:t>
      </w:r>
      <w:r w:rsidRPr="00BC2BC4">
        <w:rPr>
          <w:rFonts w:cs="Times New Roman"/>
          <w:i/>
          <w:szCs w:val="18"/>
        </w:rPr>
        <w:t>Procurement (Scotland) Regulations 2016</w:t>
      </w:r>
      <w:r w:rsidRPr="00BC2BC4">
        <w:rPr>
          <w:rFonts w:cs="Times New Roman"/>
          <w:szCs w:val="18"/>
        </w:rPr>
        <w:t>, which also came into force on April 18, 2016.</w:t>
      </w:r>
    </w:p>
  </w:footnote>
  <w:footnote w:id="226">
    <w:p w14:paraId="2C46FE0E" w14:textId="3DFFC11C"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i/>
          <w:szCs w:val="18"/>
        </w:rPr>
        <w:t xml:space="preserve"> Public Contracts Regulations 2015</w:t>
      </w:r>
      <w:r w:rsidRPr="00BC2BC4">
        <w:rPr>
          <w:rFonts w:cs="Times New Roman"/>
          <w:szCs w:val="18"/>
        </w:rPr>
        <w:t>,</w:t>
      </w:r>
      <w:r w:rsidRPr="00BC2BC4">
        <w:rPr>
          <w:rFonts w:cs="Times New Roman"/>
          <w:i/>
          <w:szCs w:val="18"/>
        </w:rPr>
        <w:t xml:space="preserve"> </w:t>
      </w:r>
      <w:r w:rsidRPr="00BC2BC4">
        <w:rPr>
          <w:rFonts w:cs="Times New Roman"/>
          <w:szCs w:val="18"/>
        </w:rPr>
        <w:t>SI 2015/102, s 18.</w:t>
      </w:r>
    </w:p>
  </w:footnote>
  <w:footnote w:id="227">
    <w:p w14:paraId="3A8D38B3" w14:textId="77777777" w:rsidR="003B45D5" w:rsidRPr="00BC2BC4" w:rsidRDefault="003B45D5" w:rsidP="0063252F">
      <w:pPr>
        <w:pStyle w:val="FootnoteText"/>
        <w:contextualSpacing/>
        <w:rPr>
          <w:rFonts w:cs="Times New Roman"/>
          <w:i/>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 xml:space="preserve">Ibid. </w:t>
      </w:r>
    </w:p>
  </w:footnote>
  <w:footnote w:id="228">
    <w:p w14:paraId="56C50E28" w14:textId="60C3EE19"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w:t>
      </w:r>
      <w:r w:rsidRPr="00BC2BC4">
        <w:rPr>
          <w:rFonts w:cs="Times New Roman"/>
          <w:i/>
          <w:szCs w:val="18"/>
        </w:rPr>
        <w:t xml:space="preserve"> </w:t>
      </w:r>
      <w:r w:rsidRPr="00BC2BC4">
        <w:rPr>
          <w:rFonts w:cs="Times New Roman"/>
          <w:szCs w:val="18"/>
        </w:rPr>
        <w:t xml:space="preserve">s 90. </w:t>
      </w:r>
    </w:p>
  </w:footnote>
  <w:footnote w:id="229">
    <w:p w14:paraId="60BCFA48" w14:textId="3B56F493"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UK, “Guidance: Public Procurement Policy” (6 October 2016), online: &lt;</w:t>
      </w:r>
      <w:hyperlink r:id="rId108" w:history="1">
        <w:r w:rsidR="001D566F" w:rsidRPr="00B87CEC">
          <w:rPr>
            <w:rStyle w:val="Hyperlink"/>
            <w:rFonts w:cs="Times New Roman"/>
            <w:szCs w:val="18"/>
          </w:rPr>
          <w:t>https://www.gov.uk/</w:t>
        </w:r>
        <w:r w:rsidR="001D566F" w:rsidRPr="00B87CEC">
          <w:rPr>
            <w:rStyle w:val="Hyperlink"/>
            <w:rFonts w:cs="Times New Roman"/>
            <w:szCs w:val="18"/>
          </w:rPr>
          <w:br/>
          <w:t>guidance/public-sector-procurement-policy - public-contracts-regulations-2015</w:t>
        </w:r>
      </w:hyperlink>
      <w:r w:rsidRPr="00BC2BC4">
        <w:rPr>
          <w:rFonts w:cs="Times New Roman"/>
          <w:szCs w:val="18"/>
        </w:rPr>
        <w:t xml:space="preserve">&gt;. </w:t>
      </w:r>
    </w:p>
  </w:footnote>
  <w:footnote w:id="230">
    <w:p w14:paraId="0B7841FA" w14:textId="77777777"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 xml:space="preserve">Public Services (Social Value) Act 2012 </w:t>
      </w:r>
      <w:r w:rsidRPr="00BC2BC4">
        <w:rPr>
          <w:rFonts w:cs="Times New Roman"/>
          <w:szCs w:val="18"/>
          <w:lang w:val="en-US"/>
        </w:rPr>
        <w:t>(UK), 2012, c 3.</w:t>
      </w:r>
    </w:p>
  </w:footnote>
  <w:footnote w:id="231">
    <w:p w14:paraId="1F87C32D" w14:textId="677A50F0"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xml:space="preserve">. </w:t>
      </w:r>
    </w:p>
  </w:footnote>
  <w:footnote w:id="232">
    <w:p w14:paraId="36576765" w14:textId="73B551D9"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UK, Cabinet Office, </w:t>
      </w:r>
      <w:r w:rsidRPr="00BC2BC4">
        <w:rPr>
          <w:rFonts w:cs="Times New Roman"/>
          <w:i/>
          <w:szCs w:val="18"/>
        </w:rPr>
        <w:t xml:space="preserve">Social Value Act Review </w:t>
      </w:r>
      <w:r w:rsidRPr="00BC2BC4">
        <w:rPr>
          <w:rFonts w:cs="Times New Roman"/>
          <w:szCs w:val="18"/>
        </w:rPr>
        <w:t>(Cabinet Office, 2015) at 11, online: &lt;</w:t>
      </w:r>
      <w:hyperlink r:id="rId109" w:history="1">
        <w:r w:rsidR="001D566F" w:rsidRPr="00B87CEC">
          <w:rPr>
            <w:rStyle w:val="Hyperlink"/>
            <w:rFonts w:cs="Times New Roman"/>
            <w:szCs w:val="18"/>
          </w:rPr>
          <w:t>https://www.gov.uk/government/uploads/system/uploads/attachment_data/file/403748/Social_Value_Act_review_report_150212.pdf</w:t>
        </w:r>
      </w:hyperlink>
      <w:r w:rsidRPr="00BC2BC4">
        <w:rPr>
          <w:rFonts w:cs="Times New Roman"/>
          <w:szCs w:val="18"/>
        </w:rPr>
        <w:t>&gt;.</w:t>
      </w:r>
    </w:p>
  </w:footnote>
  <w:footnote w:id="233">
    <w:p w14:paraId="5226638F" w14:textId="62CA8343"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Agreement Between the Government of Canada and the Government of the United States of American on Government Procurement</w:t>
      </w:r>
      <w:r w:rsidRPr="00BC2BC4">
        <w:rPr>
          <w:rFonts w:cs="Times New Roman"/>
          <w:szCs w:val="18"/>
        </w:rPr>
        <w:t>, online: &lt;</w:t>
      </w:r>
      <w:hyperlink r:id="rId110" w:history="1">
        <w:r w:rsidRPr="00BC2BC4">
          <w:rPr>
            <w:rStyle w:val="Hyperlink"/>
            <w:rFonts w:cs="Times New Roman"/>
            <w:szCs w:val="18"/>
          </w:rPr>
          <w:t>www.international.gc.ca/trade-agreements-accords-commerciaux/topics-domaines/gp-mp/agreement-accord.aspx?lang=eng</w:t>
        </w:r>
      </w:hyperlink>
      <w:r w:rsidRPr="00BC2BC4">
        <w:rPr>
          <w:rFonts w:cs="Times New Roman"/>
          <w:szCs w:val="18"/>
        </w:rPr>
        <w:t>&gt;.</w:t>
      </w:r>
    </w:p>
  </w:footnote>
  <w:footnote w:id="234">
    <w:p w14:paraId="25C644EF" w14:textId="5A2651A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For an overview of the CUSAGP, see Global Affairs Canada, “Canada-U.S. Agreement on Government Procurement”, online: &lt;</w:t>
      </w:r>
      <w:hyperlink r:id="rId111" w:history="1">
        <w:r w:rsidRPr="00BC2BC4">
          <w:rPr>
            <w:rStyle w:val="Hyperlink"/>
            <w:rFonts w:cs="Times New Roman"/>
            <w:szCs w:val="18"/>
          </w:rPr>
          <w:t>tradecommissioner.gc.ca/sell2usgov-vendreaugouvusa/procurement-marches/agreement-accord.aspx?lang=eng</w:t>
        </w:r>
      </w:hyperlink>
      <w:r w:rsidRPr="00BC2BC4">
        <w:rPr>
          <w:rFonts w:cs="Times New Roman"/>
          <w:szCs w:val="18"/>
        </w:rPr>
        <w:t>&gt;.</w:t>
      </w:r>
    </w:p>
  </w:footnote>
  <w:footnote w:id="235">
    <w:p w14:paraId="424F5273" w14:textId="3DB2A4E9"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Parliament of Canada, </w:t>
      </w:r>
      <w:r w:rsidRPr="00BC2BC4">
        <w:rPr>
          <w:rFonts w:cs="Times New Roman"/>
          <w:i/>
          <w:szCs w:val="18"/>
        </w:rPr>
        <w:t>Report on the Canada-US Agreement on Government Procurement</w:t>
      </w:r>
      <w:r w:rsidRPr="00BC2BC4">
        <w:rPr>
          <w:rFonts w:cs="Times New Roman"/>
          <w:szCs w:val="18"/>
        </w:rPr>
        <w:t>, online: &lt;</w:t>
      </w:r>
      <w:hyperlink r:id="rId112" w:history="1">
        <w:r w:rsidR="00BB26BE" w:rsidRPr="00B87CEC">
          <w:rPr>
            <w:rStyle w:val="Hyperlink"/>
            <w:rFonts w:cs="Times New Roman"/>
            <w:szCs w:val="18"/>
          </w:rPr>
          <w:t>http://www.parl.gc.ca/HousePublications/Publication.aspx?DocId=4416059&amp;Mode=1&amp;Parl=40&amp;Ses=3&amp;File=18&amp;Language=E</w:t>
        </w:r>
      </w:hyperlink>
      <w:r w:rsidRPr="00BC2BC4">
        <w:rPr>
          <w:rFonts w:cs="Times New Roman"/>
          <w:szCs w:val="18"/>
        </w:rPr>
        <w:t>&gt;.</w:t>
      </w:r>
    </w:p>
  </w:footnote>
  <w:footnote w:id="236">
    <w:p w14:paraId="781AE682"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p>
  </w:footnote>
  <w:footnote w:id="237">
    <w:p w14:paraId="3B09F62C" w14:textId="779D723D"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Global Affairs Canada, “Canada-U.S. Agreement on Government Procurement”, online: &lt;</w:t>
      </w:r>
      <w:hyperlink r:id="rId113" w:history="1">
        <w:r w:rsidRPr="00BC2BC4">
          <w:rPr>
            <w:rStyle w:val="Hyperlink"/>
            <w:rFonts w:cs="Times New Roman"/>
            <w:szCs w:val="18"/>
          </w:rPr>
          <w:t>http://www.international.gc.ca/trade-agreements-accords-commerciaux/agr-acc/other-autre/us-eu.aspx?lang=eng/</w:t>
        </w:r>
      </w:hyperlink>
      <w:r w:rsidRPr="00BC2BC4">
        <w:rPr>
          <w:rStyle w:val="Hyperlink"/>
          <w:rFonts w:cs="Times New Roman"/>
          <w:color w:val="auto"/>
          <w:szCs w:val="18"/>
          <w:u w:val="none"/>
        </w:rPr>
        <w:t>&gt;</w:t>
      </w:r>
      <w:r w:rsidRPr="00BC2BC4">
        <w:rPr>
          <w:rFonts w:cs="Times New Roman"/>
          <w:szCs w:val="18"/>
        </w:rPr>
        <w:t>.</w:t>
      </w:r>
    </w:p>
  </w:footnote>
  <w:footnote w:id="238">
    <w:p w14:paraId="0835D406" w14:textId="4FAD4C48"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Agreement Between the Government of Canada and the Government of the United States of American on Government Procurement</w:t>
      </w:r>
      <w:r w:rsidRPr="00BC2BC4">
        <w:rPr>
          <w:rFonts w:cs="Times New Roman"/>
          <w:szCs w:val="18"/>
        </w:rPr>
        <w:t>, Appendix C, Part A, ss 7–9, online: &lt;</w:t>
      </w:r>
      <w:hyperlink r:id="rId114" w:history="1">
        <w:r w:rsidRPr="00BC2BC4">
          <w:rPr>
            <w:rStyle w:val="Hyperlink"/>
            <w:rFonts w:cs="Times New Roman"/>
            <w:szCs w:val="18"/>
          </w:rPr>
          <w:t>http://www.international.gc.ca/trade-agreements-accords-commerciaux/topics-domaines/gp-mp/agreement-accord.aspx?lang=eng</w:t>
        </w:r>
      </w:hyperlink>
      <w:r w:rsidRPr="00BC2BC4">
        <w:rPr>
          <w:rFonts w:cs="Times New Roman"/>
          <w:szCs w:val="18"/>
        </w:rPr>
        <w:t xml:space="preserve">&gt;. </w:t>
      </w:r>
    </w:p>
  </w:footnote>
  <w:footnote w:id="239">
    <w:p w14:paraId="14139C16" w14:textId="7CD4F1DA"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A “construction services” contract is defined under the agreement as “a contract which has as its objective the realization by whatever means of civil or building works”: </w:t>
      </w:r>
      <w:r w:rsidRPr="00BC2BC4">
        <w:rPr>
          <w:rFonts w:cs="Times New Roman"/>
          <w:i/>
          <w:szCs w:val="18"/>
        </w:rPr>
        <w:t>ibid</w:t>
      </w:r>
      <w:r w:rsidRPr="00BC2BC4">
        <w:rPr>
          <w:rFonts w:cs="Times New Roman"/>
          <w:szCs w:val="18"/>
        </w:rPr>
        <w:t xml:space="preserve">, Annex 5. Procurement in this context is defined as “contractual transactions to acquire property or services for the direct benefit or use of the government”: </w:t>
      </w:r>
      <w:r w:rsidRPr="00BC2BC4">
        <w:rPr>
          <w:rFonts w:cs="Times New Roman"/>
          <w:i/>
          <w:szCs w:val="18"/>
        </w:rPr>
        <w:t>ibid</w:t>
      </w:r>
      <w:r w:rsidRPr="00BC2BC4">
        <w:rPr>
          <w:rFonts w:cs="Times New Roman"/>
          <w:szCs w:val="18"/>
        </w:rPr>
        <w:t>.</w:t>
      </w:r>
    </w:p>
  </w:footnote>
  <w:footnote w:id="240">
    <w:p w14:paraId="4F57AA6B" w14:textId="05EDFEC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Annex 2.</w:t>
      </w:r>
    </w:p>
  </w:footnote>
  <w:footnote w:id="241">
    <w:p w14:paraId="7131AE13" w14:textId="7CEA8083"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Appendix C, Part B. All municipalities and Crown corporations in BC are subject to the Agreement, though there is a list of Ontario ministries, agencies, and municipalities that are not covered by the Agreement.</w:t>
      </w:r>
    </w:p>
  </w:footnote>
  <w:footnote w:id="242">
    <w:p w14:paraId="19EFFBA0" w14:textId="1C77CCF9"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Agreement on Internal Trade (Consolidated Version)</w:t>
      </w:r>
      <w:r w:rsidRPr="00BC2BC4">
        <w:rPr>
          <w:rFonts w:cs="Times New Roman"/>
          <w:szCs w:val="18"/>
        </w:rPr>
        <w:t xml:space="preserve"> (2015), online: &lt;</w:t>
      </w:r>
      <w:hyperlink r:id="rId115" w:history="1">
        <w:r w:rsidRPr="00BC2BC4">
          <w:rPr>
            <w:rStyle w:val="Hyperlink"/>
            <w:rFonts w:cs="Times New Roman"/>
            <w:szCs w:val="18"/>
          </w:rPr>
          <w:t>www.ait-aci.ca/wp-content/uploads/2015/12/Consolidated-with-14th-Protocol-final-draft.pdf</w:t>
        </w:r>
      </w:hyperlink>
      <w:r w:rsidRPr="00BC2BC4">
        <w:rPr>
          <w:rFonts w:cs="Times New Roman"/>
          <w:szCs w:val="18"/>
        </w:rPr>
        <w:t>&gt;.</w:t>
      </w:r>
    </w:p>
  </w:footnote>
  <w:footnote w:id="243">
    <w:p w14:paraId="2694F22F" w14:textId="39743B6D"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Internal Trade Secretariat, </w:t>
      </w:r>
      <w:r w:rsidRPr="00BC2BC4">
        <w:rPr>
          <w:rFonts w:cs="Times New Roman"/>
          <w:szCs w:val="18"/>
          <w:lang w:val="en-US"/>
        </w:rPr>
        <w:t>“Overview of the Agreement on Internal Trade”, online: &lt;</w:t>
      </w:r>
      <w:hyperlink r:id="rId116" w:history="1">
        <w:r w:rsidRPr="00BC2BC4">
          <w:rPr>
            <w:rStyle w:val="Hyperlink"/>
            <w:rFonts w:cs="Times New Roman"/>
            <w:szCs w:val="18"/>
            <w:lang w:val="en-US"/>
          </w:rPr>
          <w:t>www.ait-aci.ca/overview-of-the-agreement/</w:t>
        </w:r>
      </w:hyperlink>
      <w:r w:rsidRPr="00BC2BC4">
        <w:rPr>
          <w:rFonts w:cs="Times New Roman"/>
          <w:szCs w:val="18"/>
          <w:lang w:val="en-US"/>
        </w:rPr>
        <w:t>&gt;.</w:t>
      </w:r>
    </w:p>
  </w:footnote>
  <w:footnote w:id="244">
    <w:p w14:paraId="3B1BAC5F" w14:textId="634327C3"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Annex 502.4.</w:t>
      </w:r>
    </w:p>
  </w:footnote>
  <w:footnote w:id="245">
    <w:p w14:paraId="2FB0944D" w14:textId="20661814"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Article 504.</w:t>
      </w:r>
    </w:p>
  </w:footnote>
  <w:footnote w:id="246">
    <w:p w14:paraId="24361502" w14:textId="31ADAE18"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Article 506.</w:t>
      </w:r>
    </w:p>
  </w:footnote>
  <w:footnote w:id="247">
    <w:p w14:paraId="49D0A8B2"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w:t>
      </w:r>
    </w:p>
  </w:footnote>
  <w:footnote w:id="248">
    <w:p w14:paraId="64E48CA1" w14:textId="3C1D1CFB"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w:t>
      </w:r>
      <w:r w:rsidRPr="00BC2BC4">
        <w:rPr>
          <w:rFonts w:cs="Times New Roman"/>
          <w:i/>
          <w:szCs w:val="18"/>
        </w:rPr>
        <w:t xml:space="preserve"> </w:t>
      </w:r>
      <w:r w:rsidRPr="00BC2BC4">
        <w:rPr>
          <w:rFonts w:cs="Times New Roman"/>
          <w:szCs w:val="18"/>
        </w:rPr>
        <w:t>Article 404 (definition of “legitimate objective”).</w:t>
      </w:r>
    </w:p>
  </w:footnote>
  <w:footnote w:id="249">
    <w:p w14:paraId="2EF3DFC5" w14:textId="211132E5"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Article 513.</w:t>
      </w:r>
    </w:p>
  </w:footnote>
  <w:footnote w:id="250">
    <w:p w14:paraId="5CDC55E4"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w:t>
      </w:r>
    </w:p>
  </w:footnote>
  <w:footnote w:id="251">
    <w:p w14:paraId="0BD7F70E" w14:textId="278C37C0"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Marilyn Brown, “Building a Bid Dispute Protocol: Complaint Procedures under Trade Treaties” in Paul Emanuelli, ed,</w:t>
      </w:r>
      <w:r w:rsidRPr="00BC2BC4">
        <w:rPr>
          <w:rFonts w:cs="Times New Roman"/>
          <w:i/>
          <w:szCs w:val="18"/>
        </w:rPr>
        <w:t xml:space="preserve"> Accelerating the Tender Cycle </w:t>
      </w:r>
      <w:r w:rsidRPr="00BC2BC4">
        <w:rPr>
          <w:rFonts w:cs="Times New Roman"/>
          <w:szCs w:val="18"/>
        </w:rPr>
        <w:t>(Northern Standard, 2012).</w:t>
      </w:r>
    </w:p>
  </w:footnote>
  <w:footnote w:id="252">
    <w:p w14:paraId="772D84C9" w14:textId="2778B5C9"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Robert H Knox, “Canada’s Agreement on Internal Trade: It Can Work If We Want It To” (Report prepared for the Certified General Accountants Association of Canada, April 2001) at 3.</w:t>
      </w:r>
    </w:p>
  </w:footnote>
  <w:footnote w:id="253">
    <w:p w14:paraId="284C15C5" w14:textId="63EFC5BF" w:rsidR="003B45D5" w:rsidRPr="00BC2BC4" w:rsidRDefault="003B45D5" w:rsidP="0063252F">
      <w:pPr>
        <w:pStyle w:val="FootnoteText"/>
        <w:contextualSpacing/>
        <w:rPr>
          <w:rFonts w:cs="Times New Roman"/>
          <w:szCs w:val="18"/>
          <w:lang w:val="fr-CA"/>
        </w:rPr>
      </w:pPr>
      <w:r w:rsidRPr="00BC2BC4">
        <w:rPr>
          <w:rStyle w:val="FootnoteReference"/>
          <w:rFonts w:cs="Times New Roman"/>
          <w:szCs w:val="18"/>
        </w:rPr>
        <w:footnoteRef/>
      </w:r>
      <w:r w:rsidRPr="00BC2BC4">
        <w:rPr>
          <w:rFonts w:cs="Times New Roman"/>
          <w:szCs w:val="18"/>
          <w:lang w:val="fr-CA"/>
        </w:rPr>
        <w:t xml:space="preserve"> </w:t>
      </w:r>
      <w:r w:rsidRPr="00BC2BC4">
        <w:rPr>
          <w:rFonts w:cs="Times New Roman"/>
          <w:i/>
          <w:szCs w:val="18"/>
          <w:lang w:val="fr-CA"/>
        </w:rPr>
        <w:t>Criminal Code</w:t>
      </w:r>
      <w:r w:rsidRPr="00BC2BC4">
        <w:rPr>
          <w:rFonts w:cs="Times New Roman"/>
          <w:szCs w:val="18"/>
          <w:lang w:val="fr-CA"/>
        </w:rPr>
        <w:t>, RSC 1985, c. C-46, s 120.</w:t>
      </w:r>
    </w:p>
  </w:footnote>
  <w:footnote w:id="254">
    <w:p w14:paraId="09EBFF0F" w14:textId="541BDECA"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s 121.</w:t>
      </w:r>
    </w:p>
  </w:footnote>
  <w:footnote w:id="255">
    <w:p w14:paraId="3DA4A9C8" w14:textId="48AF6AAA"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s 122.</w:t>
      </w:r>
    </w:p>
  </w:footnote>
  <w:footnote w:id="256">
    <w:p w14:paraId="7112347F" w14:textId="4C9BF101"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s 123.</w:t>
      </w:r>
    </w:p>
  </w:footnote>
  <w:footnote w:id="257">
    <w:p w14:paraId="6274D9FB" w14:textId="6933FD53"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s 389.</w:t>
      </w:r>
    </w:p>
  </w:footnote>
  <w:footnote w:id="258">
    <w:p w14:paraId="37DB571D" w14:textId="1335AC83"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s 346.</w:t>
      </w:r>
    </w:p>
  </w:footnote>
  <w:footnote w:id="259">
    <w:p w14:paraId="74A9C0B5" w14:textId="2044AC30"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s 426.</w:t>
      </w:r>
    </w:p>
  </w:footnote>
  <w:footnote w:id="260">
    <w:p w14:paraId="2F52E367" w14:textId="77777777"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RSC 1985, c C-34.</w:t>
      </w:r>
    </w:p>
  </w:footnote>
  <w:footnote w:id="261">
    <w:p w14:paraId="19EAC5CE" w14:textId="65F7FEC9"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Financial Administration Act</w:t>
      </w:r>
      <w:r w:rsidRPr="00BC2BC4">
        <w:rPr>
          <w:rFonts w:cs="Times New Roman"/>
          <w:szCs w:val="18"/>
        </w:rPr>
        <w:t>,</w:t>
      </w:r>
      <w:r w:rsidRPr="00BC2BC4">
        <w:rPr>
          <w:rFonts w:cs="Times New Roman"/>
          <w:i/>
          <w:szCs w:val="18"/>
        </w:rPr>
        <w:t xml:space="preserve"> </w:t>
      </w:r>
      <w:r w:rsidRPr="00BC2BC4">
        <w:rPr>
          <w:rFonts w:cs="Times New Roman"/>
          <w:szCs w:val="18"/>
        </w:rPr>
        <w:t xml:space="preserve">RSC 1985, c F-11. </w:t>
      </w:r>
    </w:p>
  </w:footnote>
  <w:footnote w:id="262">
    <w:p w14:paraId="5EB32C14" w14:textId="096D60CE"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Federal Accountability Act</w:t>
      </w:r>
      <w:r w:rsidRPr="00BC2BC4">
        <w:rPr>
          <w:rFonts w:cs="Times New Roman"/>
          <w:szCs w:val="18"/>
        </w:rPr>
        <w:t xml:space="preserve">, SC 2006, c 9, ss 308, 301, 306. This Act was largely the government’s response to the Sponsorship Scandal and the Gomery Commission’s Report that investigated the scandal: </w:t>
      </w:r>
      <w:r w:rsidRPr="00BC2BC4">
        <w:rPr>
          <w:rFonts w:cs="Times New Roman"/>
          <w:color w:val="000000"/>
          <w:szCs w:val="18"/>
          <w:shd w:val="clear" w:color="auto" w:fill="FFFFFF"/>
        </w:rPr>
        <w:t xml:space="preserve">Commission of Inquiry into the Sponsorship Program and Advertising Activities, </w:t>
      </w:r>
      <w:r w:rsidRPr="00BC2BC4">
        <w:rPr>
          <w:rStyle w:val="Emphasis"/>
          <w:rFonts w:cs="Times New Roman"/>
          <w:color w:val="000000"/>
          <w:szCs w:val="18"/>
          <w:shd w:val="clear" w:color="auto" w:fill="FFFFFF"/>
        </w:rPr>
        <w:t>Restoring Accountability: Recommendations</w:t>
      </w:r>
      <w:r w:rsidRPr="00BC2BC4">
        <w:rPr>
          <w:rFonts w:cs="Times New Roman"/>
          <w:color w:val="000000"/>
          <w:szCs w:val="18"/>
          <w:shd w:val="clear" w:color="auto" w:fill="FFFFFF"/>
        </w:rPr>
        <w:t xml:space="preserve"> (Ottawa: Government of Canada, 2006), online: &lt;</w:t>
      </w:r>
      <w:hyperlink r:id="rId117" w:history="1">
        <w:r w:rsidRPr="00BC2BC4">
          <w:rPr>
            <w:rStyle w:val="Hyperlink"/>
            <w:rFonts w:cs="Times New Roman"/>
            <w:szCs w:val="18"/>
            <w:shd w:val="clear" w:color="auto" w:fill="FFFFFF"/>
          </w:rPr>
          <w:t>www.parl.gc.ca/Content/LOP/researchpublications/prb0560-e.htm</w:t>
        </w:r>
      </w:hyperlink>
      <w:r w:rsidRPr="00BC2BC4">
        <w:rPr>
          <w:rFonts w:cs="Times New Roman"/>
          <w:color w:val="000000"/>
          <w:szCs w:val="18"/>
          <w:shd w:val="clear" w:color="auto" w:fill="FFFFFF"/>
        </w:rPr>
        <w:t xml:space="preserve">&gt;. See also Commission of Inquiry into the Sponsorship Program and Advertising Activities, </w:t>
      </w:r>
      <w:r w:rsidRPr="00BC2BC4">
        <w:rPr>
          <w:rStyle w:val="Emphasis"/>
          <w:rFonts w:cs="Times New Roman"/>
          <w:color w:val="000000"/>
          <w:szCs w:val="18"/>
          <w:shd w:val="clear" w:color="auto" w:fill="FFFFFF"/>
        </w:rPr>
        <w:t>Who is Responsible? Fact Finding Report</w:t>
      </w:r>
      <w:r w:rsidRPr="00BC2BC4">
        <w:rPr>
          <w:rFonts w:cs="Times New Roman"/>
          <w:color w:val="000000"/>
          <w:szCs w:val="18"/>
          <w:shd w:val="clear" w:color="auto" w:fill="FFFFFF"/>
        </w:rPr>
        <w:t xml:space="preserve"> (Government of Canada, 2005), online: &lt;</w:t>
      </w:r>
      <w:hyperlink r:id="rId118" w:history="1">
        <w:r w:rsidRPr="00BC2BC4">
          <w:rPr>
            <w:rStyle w:val="Hyperlink"/>
            <w:rFonts w:cs="Times New Roman"/>
            <w:szCs w:val="18"/>
            <w:shd w:val="clear" w:color="auto" w:fill="FFFFFF"/>
          </w:rPr>
          <w:t>epe.lac-bac.gc.ca/100/206/301/pco-bcp/commissions/</w:t>
        </w:r>
        <w:r w:rsidR="00BB26BE">
          <w:rPr>
            <w:rStyle w:val="Hyperlink"/>
            <w:rFonts w:cs="Times New Roman"/>
            <w:szCs w:val="18"/>
            <w:shd w:val="clear" w:color="auto" w:fill="FFFFFF"/>
          </w:rPr>
          <w:br/>
        </w:r>
        <w:r w:rsidRPr="00BC2BC4">
          <w:rPr>
            <w:rStyle w:val="Hyperlink"/>
            <w:rFonts w:cs="Times New Roman"/>
            <w:szCs w:val="18"/>
            <w:shd w:val="clear" w:color="auto" w:fill="FFFFFF"/>
          </w:rPr>
          <w:t>sponsorship-ef/06-02-10/www.gomery.ca/en/phase1report/default.htm</w:t>
        </w:r>
      </w:hyperlink>
      <w:r w:rsidRPr="00BC2BC4">
        <w:rPr>
          <w:rFonts w:cs="Times New Roman"/>
          <w:color w:val="000000"/>
          <w:szCs w:val="18"/>
          <w:shd w:val="clear" w:color="auto" w:fill="FFFFFF"/>
        </w:rPr>
        <w:t>&gt;.</w:t>
      </w:r>
    </w:p>
  </w:footnote>
  <w:footnote w:id="263">
    <w:p w14:paraId="1AAED69B" w14:textId="2C8A6251"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Auditor General Act</w:t>
      </w:r>
      <w:r w:rsidRPr="00BC2BC4">
        <w:rPr>
          <w:rFonts w:cs="Times New Roman"/>
          <w:szCs w:val="18"/>
        </w:rPr>
        <w:t>,</w:t>
      </w:r>
      <w:r w:rsidRPr="00BC2BC4">
        <w:rPr>
          <w:rFonts w:cs="Times New Roman"/>
          <w:i/>
          <w:szCs w:val="18"/>
        </w:rPr>
        <w:t xml:space="preserve"> </w:t>
      </w:r>
      <w:r w:rsidRPr="00BC2BC4">
        <w:rPr>
          <w:rFonts w:cs="Times New Roman"/>
          <w:szCs w:val="18"/>
        </w:rPr>
        <w:t>RSC 1985, c A-17.</w:t>
      </w:r>
    </w:p>
  </w:footnote>
  <w:footnote w:id="264">
    <w:p w14:paraId="406BBBE5" w14:textId="1564FE6B"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Department of Public Works and Government Services Act</w:t>
      </w:r>
      <w:r w:rsidRPr="00BC2BC4">
        <w:rPr>
          <w:rFonts w:cs="Times New Roman"/>
          <w:szCs w:val="18"/>
        </w:rPr>
        <w:t>,</w:t>
      </w:r>
      <w:r w:rsidRPr="00BC2BC4">
        <w:rPr>
          <w:rFonts w:cs="Times New Roman"/>
          <w:i/>
          <w:szCs w:val="18"/>
        </w:rPr>
        <w:t xml:space="preserve"> </w:t>
      </w:r>
      <w:r w:rsidRPr="00BC2BC4">
        <w:rPr>
          <w:rFonts w:cs="Times New Roman"/>
          <w:szCs w:val="18"/>
        </w:rPr>
        <w:t>SC 1996, c 16.</w:t>
      </w:r>
    </w:p>
  </w:footnote>
  <w:footnote w:id="265">
    <w:p w14:paraId="1D4BC12F" w14:textId="15D0BD81"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Gerry Stobo &amp; Derek Leschinsky, </w:t>
      </w:r>
      <w:r w:rsidRPr="00BC2BC4">
        <w:rPr>
          <w:rFonts w:cs="Times New Roman"/>
          <w:i/>
          <w:szCs w:val="18"/>
        </w:rPr>
        <w:t>Pocketbook on the Canadian Public Procurement Regime</w:t>
      </w:r>
      <w:r w:rsidRPr="00BC2BC4">
        <w:rPr>
          <w:rFonts w:cs="Times New Roman"/>
          <w:szCs w:val="18"/>
        </w:rPr>
        <w:t xml:space="preserve"> (Borden Ladner Gervais, 2009) at 18, online: &lt;</w:t>
      </w:r>
      <w:hyperlink r:id="rId119" w:history="1">
        <w:r w:rsidRPr="00BC2BC4">
          <w:rPr>
            <w:rStyle w:val="Hyperlink"/>
            <w:rFonts w:cs="Times New Roman"/>
            <w:szCs w:val="18"/>
          </w:rPr>
          <w:t>blg.com/en/News-And-Publications/documents/</w:t>
        </w:r>
        <w:r w:rsidR="00706930">
          <w:rPr>
            <w:rStyle w:val="Hyperlink"/>
            <w:rFonts w:cs="Times New Roman"/>
            <w:szCs w:val="18"/>
          </w:rPr>
          <w:br/>
        </w:r>
        <w:r w:rsidRPr="00BC2BC4">
          <w:rPr>
            <w:rStyle w:val="Hyperlink"/>
            <w:rFonts w:cs="Times New Roman"/>
            <w:szCs w:val="18"/>
          </w:rPr>
          <w:t>publication_1799.pdf</w:t>
        </w:r>
      </w:hyperlink>
      <w:r w:rsidRPr="00BC2BC4">
        <w:rPr>
          <w:rFonts w:cs="Times New Roman"/>
          <w:szCs w:val="18"/>
        </w:rPr>
        <w:t xml:space="preserve">&gt;. See also the following three publications by Paul Emanuelli: </w:t>
      </w:r>
      <w:r w:rsidRPr="00BC2BC4">
        <w:rPr>
          <w:rFonts w:cs="Times New Roman"/>
          <w:i/>
          <w:szCs w:val="18"/>
        </w:rPr>
        <w:t xml:space="preserve">Government Procurement </w:t>
      </w:r>
      <w:r w:rsidRPr="00BC2BC4">
        <w:rPr>
          <w:rFonts w:cs="Times New Roman"/>
          <w:szCs w:val="18"/>
        </w:rPr>
        <w:t xml:space="preserve">(Lexis-Nexis, 2012), </w:t>
      </w:r>
      <w:r w:rsidRPr="00BC2BC4">
        <w:rPr>
          <w:rFonts w:cs="Times New Roman"/>
          <w:i/>
          <w:szCs w:val="18"/>
        </w:rPr>
        <w:t xml:space="preserve">Accelerating the Tendering Cycle: A Legal Due Diligence Guide </w:t>
      </w:r>
      <w:r w:rsidRPr="00BC2BC4">
        <w:rPr>
          <w:rFonts w:cs="Times New Roman"/>
          <w:szCs w:val="18"/>
        </w:rPr>
        <w:t xml:space="preserve">(Northern Standard, 2012), and </w:t>
      </w:r>
      <w:r w:rsidRPr="00BC2BC4">
        <w:rPr>
          <w:rFonts w:cs="Times New Roman"/>
          <w:i/>
          <w:szCs w:val="18"/>
        </w:rPr>
        <w:t xml:space="preserve">The Laws of Precision Drafting: A Handbook for Tenders and RFPs </w:t>
      </w:r>
      <w:r w:rsidRPr="00BC2BC4">
        <w:rPr>
          <w:rFonts w:cs="Times New Roman"/>
          <w:szCs w:val="18"/>
        </w:rPr>
        <w:t xml:space="preserve">(Northern Standard Publishing, 2009). See also Robert C Worthington, </w:t>
      </w:r>
      <w:r w:rsidRPr="00BC2BC4">
        <w:rPr>
          <w:rFonts w:cs="Times New Roman"/>
          <w:i/>
          <w:szCs w:val="18"/>
        </w:rPr>
        <w:t xml:space="preserve">Desktop Guide to Procurement Law </w:t>
      </w:r>
      <w:r w:rsidRPr="00BC2BC4">
        <w:rPr>
          <w:rFonts w:cs="Times New Roman"/>
          <w:szCs w:val="18"/>
        </w:rPr>
        <w:t xml:space="preserve">(LexisNexis Canada, 2013). </w:t>
      </w:r>
    </w:p>
  </w:footnote>
  <w:footnote w:id="266">
    <w:p w14:paraId="7E3EFA1E" w14:textId="3E20E9A9"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See Public Works and Government Services Canada, “About the Integrity Regime”, online: &lt;</w:t>
      </w:r>
      <w:hyperlink r:id="rId120" w:history="1">
        <w:r w:rsidRPr="00BC2BC4">
          <w:rPr>
            <w:rStyle w:val="Hyperlink"/>
            <w:rFonts w:cs="Times New Roman"/>
            <w:szCs w:val="18"/>
          </w:rPr>
          <w:t>www.tpsgc-pwgsc.gc.ca/ci-if/apropos-about-eng.html</w:t>
        </w:r>
      </w:hyperlink>
      <w:r w:rsidRPr="00BC2BC4">
        <w:rPr>
          <w:rFonts w:cs="Times New Roman"/>
          <w:szCs w:val="18"/>
        </w:rPr>
        <w:t>&gt;. See also John W Boscariol &amp; Robert A Glasgow, “</w:t>
      </w:r>
      <w:r w:rsidRPr="00BC2BC4">
        <w:rPr>
          <w:rFonts w:cs="Times New Roman"/>
          <w:bCs/>
          <w:szCs w:val="18"/>
        </w:rPr>
        <w:t>Canada Implements New Integrity Regime for Public Procurement”, McCarthy Tétrault LLP (6 July 2015), online: &lt;</w:t>
      </w:r>
      <w:hyperlink r:id="rId121" w:history="1">
        <w:r w:rsidRPr="00BC2BC4">
          <w:rPr>
            <w:rStyle w:val="Hyperlink"/>
            <w:rFonts w:cs="Times New Roman"/>
            <w:bCs/>
            <w:szCs w:val="18"/>
          </w:rPr>
          <w:t>www.mccarthy.ca/article_detail.aspx?id=7126</w:t>
        </w:r>
      </w:hyperlink>
      <w:r w:rsidRPr="00BC2BC4">
        <w:rPr>
          <w:rFonts w:cs="Times New Roman"/>
          <w:bCs/>
          <w:szCs w:val="18"/>
        </w:rPr>
        <w:t>&gt;.</w:t>
      </w:r>
    </w:p>
  </w:footnote>
  <w:footnote w:id="267">
    <w:p w14:paraId="2EBCF36F" w14:textId="766D0556" w:rsidR="003B45D5" w:rsidRPr="00BC2BC4" w:rsidRDefault="003B45D5" w:rsidP="0063252F">
      <w:pPr>
        <w:pStyle w:val="FootnoteText"/>
        <w:rPr>
          <w:rFonts w:cs="Times New Roman"/>
          <w:szCs w:val="18"/>
        </w:rPr>
      </w:pPr>
      <w:r w:rsidRPr="00BC2BC4">
        <w:rPr>
          <w:rStyle w:val="FootnoteReference"/>
          <w:rFonts w:cs="Times New Roman"/>
          <w:szCs w:val="18"/>
        </w:rPr>
        <w:footnoteRef/>
      </w:r>
      <w:r w:rsidRPr="00BC2BC4">
        <w:rPr>
          <w:rFonts w:cs="Times New Roman"/>
          <w:szCs w:val="18"/>
        </w:rPr>
        <w:t xml:space="preserve"> Public Works and Government Services Canada, “Government of Canada’s Integrity Regime”, online: &lt;</w:t>
      </w:r>
      <w:hyperlink r:id="rId122" w:history="1">
        <w:r w:rsidRPr="00BC2BC4">
          <w:rPr>
            <w:rStyle w:val="Hyperlink"/>
            <w:rFonts w:cs="Times New Roman"/>
            <w:szCs w:val="18"/>
          </w:rPr>
          <w:t>www.tpsgc-pwgsc.gc.ca/ci-if/ci-if-eng.html</w:t>
        </w:r>
      </w:hyperlink>
      <w:r w:rsidRPr="00BC2BC4">
        <w:rPr>
          <w:rFonts w:cs="Times New Roman"/>
          <w:szCs w:val="18"/>
        </w:rPr>
        <w:t>&gt;.</w:t>
      </w:r>
    </w:p>
  </w:footnote>
  <w:footnote w:id="268">
    <w:p w14:paraId="21D3C830" w14:textId="4D6EAF5A"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Public Works and Government Services Canada, “Backgrounder on the New Government-Wide Integrity Regime”, online: &lt;</w:t>
      </w:r>
      <w:hyperlink r:id="rId123" w:history="1">
        <w:r w:rsidRPr="00BC2BC4">
          <w:rPr>
            <w:rStyle w:val="Hyperlink"/>
            <w:rFonts w:cs="Times New Roman"/>
            <w:szCs w:val="18"/>
          </w:rPr>
          <w:t>https://www.tpsgc-pwgsc.gc.ca/ci-if/synopsis-backgrounder-eng.html</w:t>
        </w:r>
      </w:hyperlink>
      <w:r w:rsidRPr="00BC2BC4">
        <w:rPr>
          <w:rFonts w:cs="Times New Roman"/>
          <w:szCs w:val="18"/>
        </w:rPr>
        <w:t>&gt;.</w:t>
      </w:r>
    </w:p>
  </w:footnote>
  <w:footnote w:id="269">
    <w:p w14:paraId="6DA367B2" w14:textId="5BD59B9F"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France Charbonneau, </w:t>
      </w:r>
      <w:r w:rsidRPr="00BC2BC4">
        <w:rPr>
          <w:rFonts w:cs="Times New Roman"/>
          <w:szCs w:val="18"/>
          <w:lang w:val="en-US"/>
        </w:rPr>
        <w:t>“Rapport final de la Commission d’enquête sur l’octroi et la gestion des contrats publics dan l’industrie de la construction” (November 2015), online: &lt;</w:t>
      </w:r>
      <w:hyperlink r:id="rId124" w:history="1">
        <w:r w:rsidRPr="00BC2BC4">
          <w:rPr>
            <w:rStyle w:val="Hyperlink"/>
            <w:rFonts w:cs="Times New Roman"/>
            <w:szCs w:val="18"/>
            <w:lang w:val="en-US"/>
          </w:rPr>
          <w:t>s3.documentcloud.org/documents/2599890/charbonneau-report-final-recommendations.pdf</w:t>
        </w:r>
      </w:hyperlink>
      <w:r w:rsidRPr="00BC2BC4">
        <w:rPr>
          <w:rFonts w:cs="Times New Roman"/>
          <w:szCs w:val="18"/>
          <w:lang w:val="en-US"/>
        </w:rPr>
        <w:t xml:space="preserve">&gt;. </w:t>
      </w:r>
      <w:r w:rsidRPr="00BC2BC4">
        <w:rPr>
          <w:rFonts w:cs="Times New Roman"/>
          <w:szCs w:val="18"/>
        </w:rPr>
        <w:t>The English translation of the recommendations can be found online at &lt;</w:t>
      </w:r>
      <w:hyperlink r:id="rId125" w:history="1">
        <w:r w:rsidRPr="00BC2BC4">
          <w:rPr>
            <w:rStyle w:val="Hyperlink"/>
            <w:rFonts w:cs="Times New Roman"/>
            <w:szCs w:val="18"/>
          </w:rPr>
          <w:t>https://icclr.law.ubc.ca/wp-content/uploads/2017/06/9503929_001_EN_Rapport_final_CEIC_Tome3-1.pdf</w:t>
        </w:r>
      </w:hyperlink>
      <w:r w:rsidRPr="00BC2BC4">
        <w:rPr>
          <w:rFonts w:cs="Times New Roman"/>
          <w:szCs w:val="18"/>
        </w:rPr>
        <w:t>&gt;.</w:t>
      </w:r>
    </w:p>
  </w:footnote>
  <w:footnote w:id="270">
    <w:p w14:paraId="30CE164B" w14:textId="77777777"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szCs w:val="18"/>
          <w:lang w:val="en-US"/>
        </w:rPr>
        <w:t xml:space="preserve">Bill 1, </w:t>
      </w:r>
      <w:r w:rsidRPr="00BC2BC4">
        <w:rPr>
          <w:rFonts w:cs="Times New Roman"/>
          <w:i/>
          <w:szCs w:val="18"/>
        </w:rPr>
        <w:t>Loi sur l’</w:t>
      </w:r>
      <w:r w:rsidRPr="00BC2BC4">
        <w:rPr>
          <w:rFonts w:cs="Times New Roman"/>
          <w:i/>
          <w:iCs/>
          <w:szCs w:val="18"/>
        </w:rPr>
        <w:t xml:space="preserve">intégrité en matière de contrats public </w:t>
      </w:r>
      <w:r w:rsidRPr="00BC2BC4">
        <w:rPr>
          <w:rFonts w:cs="Times New Roman"/>
          <w:szCs w:val="18"/>
        </w:rPr>
        <w:t>[</w:t>
      </w:r>
      <w:r w:rsidRPr="00BC2BC4">
        <w:rPr>
          <w:rFonts w:cs="Times New Roman"/>
          <w:i/>
          <w:szCs w:val="18"/>
          <w:lang w:val="en-US"/>
        </w:rPr>
        <w:t>Integrity in Public Contracts Act</w:t>
      </w:r>
      <w:r w:rsidRPr="00BC2BC4">
        <w:rPr>
          <w:rFonts w:cs="Times New Roman"/>
          <w:szCs w:val="18"/>
          <w:lang w:val="en-US"/>
        </w:rPr>
        <w:t xml:space="preserve">], 40th Legis, 1st Sess, Quebec (SQ 2012, c 25) (received assent and entered into force December 7, 2012). </w:t>
      </w:r>
    </w:p>
  </w:footnote>
  <w:footnote w:id="271">
    <w:p w14:paraId="6D3A142F" w14:textId="7F47809D" w:rsidR="003B45D5" w:rsidRPr="00BC2BC4" w:rsidRDefault="003B45D5" w:rsidP="0063252F">
      <w:pPr>
        <w:pStyle w:val="FootnoteText"/>
      </w:pPr>
      <w:r w:rsidRPr="00BC2BC4">
        <w:rPr>
          <w:rStyle w:val="FootnoteReference"/>
          <w:rFonts w:cs="Times New Roman"/>
          <w:szCs w:val="18"/>
        </w:rPr>
        <w:footnoteRef/>
      </w:r>
      <w:r w:rsidRPr="00BC2BC4">
        <w:t xml:space="preserve"> Louis Letellier, “Application of An Act Respecting Contracting by Public Bodies” (Address delivered at the Transparency International Canada 5th Annual Day of Dialogue, Toronto, 6 May 2015) [unpublished].</w:t>
      </w:r>
    </w:p>
  </w:footnote>
  <w:footnote w:id="272">
    <w:p w14:paraId="68254037" w14:textId="06A85E71" w:rsidR="003B45D5" w:rsidRPr="00BC2BC4" w:rsidRDefault="003B45D5" w:rsidP="0063252F">
      <w:pPr>
        <w:pStyle w:val="FootnoteText"/>
        <w:rPr>
          <w:rFonts w:eastAsia="SimSun"/>
        </w:rPr>
      </w:pPr>
      <w:r w:rsidRPr="00BC2BC4">
        <w:rPr>
          <w:rStyle w:val="FootnoteReference"/>
          <w:rFonts w:cs="Times New Roman"/>
          <w:szCs w:val="18"/>
        </w:rPr>
        <w:footnoteRef/>
      </w:r>
      <w:r w:rsidRPr="00BC2BC4">
        <w:t xml:space="preserve"> Linda Gyulai, “More Contract Bidders to Be Vetted under Provincial Decree”, </w:t>
      </w:r>
      <w:r w:rsidRPr="00BC2BC4">
        <w:rPr>
          <w:i/>
        </w:rPr>
        <w:t xml:space="preserve">The Montreal Gazette </w:t>
      </w:r>
      <w:r w:rsidRPr="00BC2BC4">
        <w:t>(11 June 2015), online: &lt;</w:t>
      </w:r>
      <w:hyperlink r:id="rId126" w:history="1">
        <w:r w:rsidRPr="00BC2BC4">
          <w:rPr>
            <w:rStyle w:val="Hyperlink"/>
            <w:rFonts w:cs="Times New Roman"/>
            <w:szCs w:val="18"/>
          </w:rPr>
          <w:t>montrealgazette.com/news/local-news/more-contract-bidders-to-be-vetted-under-provincial-decree</w:t>
        </w:r>
      </w:hyperlink>
      <w:r w:rsidRPr="00BC2BC4">
        <w:t>&gt;.</w:t>
      </w:r>
    </w:p>
  </w:footnote>
  <w:footnote w:id="273">
    <w:p w14:paraId="781D629B" w14:textId="6B9555E9" w:rsidR="003B45D5" w:rsidRPr="00BC2BC4" w:rsidRDefault="003B45D5" w:rsidP="0063252F">
      <w:pPr>
        <w:pStyle w:val="FootnoteText"/>
      </w:pPr>
      <w:r w:rsidRPr="00BC2BC4">
        <w:rPr>
          <w:rStyle w:val="FootnoteReference"/>
          <w:rFonts w:cs="Times New Roman"/>
          <w:szCs w:val="18"/>
        </w:rPr>
        <w:footnoteRef/>
      </w:r>
      <w:r w:rsidRPr="00BC2BC4">
        <w:t xml:space="preserve"> </w:t>
      </w:r>
      <w:r w:rsidRPr="00BC2BC4">
        <w:rPr>
          <w:i/>
        </w:rPr>
        <w:t>An Act Respecting Contracting by Public Bodies</w:t>
      </w:r>
      <w:r w:rsidRPr="00BC2BC4">
        <w:t>,</w:t>
      </w:r>
      <w:r w:rsidRPr="00BC2BC4">
        <w:rPr>
          <w:i/>
        </w:rPr>
        <w:t xml:space="preserve"> </w:t>
      </w:r>
      <w:r w:rsidRPr="00BC2BC4">
        <w:t xml:space="preserve">CQLR 2012, c C-65.1, s 21.26. The objective criteria in s. 21.26 involve previous convictions for various offences. However, Bill 26 (enacted in April 2015) amended the </w:t>
      </w:r>
      <w:r w:rsidRPr="00BC2BC4">
        <w:rPr>
          <w:i/>
        </w:rPr>
        <w:t xml:space="preserve">Act </w:t>
      </w:r>
      <w:r w:rsidRPr="00BC2BC4">
        <w:t xml:space="preserve">by describing two situations in which the AMF need not automatically refuse to issue a certificate even though the objective criteria in s. 21.26 are met. See Bill 26, </w:t>
      </w:r>
      <w:r w:rsidRPr="00BC2BC4">
        <w:rPr>
          <w:i/>
        </w:rPr>
        <w:t>An Act to ensure mainly the recovery of amounts improperly paid as a result of fraud or fraudulent tactics in connection with public contracts</w:t>
      </w:r>
      <w:r w:rsidRPr="00BC2BC4">
        <w:t>, 1st Sess, 41st Leg, Quebec, 2014, c 6, cl 26 (assented to 1 April 2015).</w:t>
      </w:r>
    </w:p>
  </w:footnote>
  <w:footnote w:id="274">
    <w:p w14:paraId="1A5CD257" w14:textId="140880C4" w:rsidR="003B45D5" w:rsidRPr="00BC2BC4" w:rsidRDefault="003B45D5" w:rsidP="0063252F">
      <w:pPr>
        <w:pStyle w:val="FootnoteText"/>
      </w:pPr>
      <w:r w:rsidRPr="00BC2BC4">
        <w:rPr>
          <w:rStyle w:val="FootnoteReference"/>
          <w:rFonts w:cs="Times New Roman"/>
          <w:szCs w:val="18"/>
        </w:rPr>
        <w:footnoteRef/>
      </w:r>
      <w:r w:rsidRPr="00BC2BC4">
        <w:t xml:space="preserve"> </w:t>
      </w:r>
      <w:r w:rsidRPr="00BC2BC4">
        <w:rPr>
          <w:i/>
        </w:rPr>
        <w:t>An Act Respecting Contracting by Public Bodies</w:t>
      </w:r>
      <w:r w:rsidRPr="00BC2BC4">
        <w:t>,</w:t>
      </w:r>
      <w:r w:rsidRPr="00BC2BC4">
        <w:rPr>
          <w:i/>
        </w:rPr>
        <w:t xml:space="preserve"> </w:t>
      </w:r>
      <w:r w:rsidRPr="00BC2BC4">
        <w:t>CQLR 2012, c C-65.1, s 21.27.</w:t>
      </w:r>
    </w:p>
  </w:footnote>
  <w:footnote w:id="275">
    <w:p w14:paraId="75FE1B29" w14:textId="54283039" w:rsidR="003B45D5" w:rsidRPr="00BC2BC4" w:rsidRDefault="003B45D5" w:rsidP="0063252F">
      <w:pPr>
        <w:pStyle w:val="FootnoteText"/>
      </w:pPr>
      <w:r w:rsidRPr="00BC2BC4">
        <w:rPr>
          <w:rStyle w:val="FootnoteReference"/>
          <w:rFonts w:cs="Times New Roman"/>
          <w:szCs w:val="18"/>
        </w:rPr>
        <w:footnoteRef/>
      </w:r>
      <w:r w:rsidRPr="00BC2BC4">
        <w:t xml:space="preserve"> Steele (2015) at 79.</w:t>
      </w:r>
    </w:p>
  </w:footnote>
  <w:footnote w:id="276">
    <w:p w14:paraId="3064DFA5" w14:textId="33E22286" w:rsidR="003B45D5" w:rsidRPr="00BC2BC4" w:rsidRDefault="003B45D5" w:rsidP="0063252F">
      <w:pPr>
        <w:pStyle w:val="FootnoteText"/>
      </w:pPr>
      <w:r w:rsidRPr="00BC2BC4">
        <w:rPr>
          <w:rStyle w:val="FootnoteReference"/>
          <w:rFonts w:cs="Times New Roman"/>
          <w:szCs w:val="18"/>
        </w:rPr>
        <w:footnoteRef/>
      </w:r>
      <w:r w:rsidRPr="00BC2BC4">
        <w:t xml:space="preserve"> </w:t>
      </w:r>
      <w:r w:rsidRPr="00BC2BC4">
        <w:rPr>
          <w:i/>
        </w:rPr>
        <w:t xml:space="preserve">Ibid </w:t>
      </w:r>
      <w:r w:rsidRPr="00BC2BC4">
        <w:t xml:space="preserve">at 81. </w:t>
      </w:r>
    </w:p>
  </w:footnote>
  <w:footnote w:id="277">
    <w:p w14:paraId="28E47836" w14:textId="1F4BC578" w:rsidR="003B45D5" w:rsidRPr="00BC2BC4" w:rsidRDefault="003B45D5" w:rsidP="0063252F">
      <w:pPr>
        <w:pStyle w:val="FootnoteText"/>
      </w:pPr>
      <w:r w:rsidRPr="00BC2BC4">
        <w:rPr>
          <w:rStyle w:val="FootnoteReference"/>
          <w:rFonts w:cs="Times New Roman"/>
          <w:szCs w:val="18"/>
        </w:rPr>
        <w:footnoteRef/>
      </w:r>
      <w:r w:rsidRPr="00BC2BC4">
        <w:t xml:space="preserve"> </w:t>
      </w:r>
      <w:r w:rsidRPr="00BC2BC4">
        <w:rPr>
          <w:i/>
        </w:rPr>
        <w:t xml:space="preserve">Ibid </w:t>
      </w:r>
      <w:r w:rsidRPr="00BC2BC4">
        <w:t>at 117.</w:t>
      </w:r>
    </w:p>
  </w:footnote>
  <w:footnote w:id="278">
    <w:p w14:paraId="5FE47D17" w14:textId="21F43E57" w:rsidR="003B45D5" w:rsidRPr="00BC2BC4" w:rsidRDefault="003B45D5" w:rsidP="0063252F">
      <w:pPr>
        <w:pStyle w:val="FootnoteText"/>
      </w:pPr>
      <w:r w:rsidRPr="00BC2BC4">
        <w:rPr>
          <w:rStyle w:val="FootnoteReference"/>
          <w:rFonts w:cs="Times New Roman"/>
          <w:szCs w:val="18"/>
        </w:rPr>
        <w:footnoteRef/>
      </w:r>
      <w:r w:rsidRPr="00BC2BC4">
        <w:t xml:space="preserve"> </w:t>
      </w:r>
      <w:r w:rsidRPr="00BC2BC4">
        <w:rPr>
          <w:i/>
        </w:rPr>
        <w:t xml:space="preserve">Ibid </w:t>
      </w:r>
      <w:r w:rsidRPr="00BC2BC4">
        <w:t xml:space="preserve">at 107–08. </w:t>
      </w:r>
    </w:p>
  </w:footnote>
  <w:footnote w:id="279">
    <w:p w14:paraId="5B9FD483" w14:textId="0C103E31" w:rsidR="003B45D5" w:rsidRPr="00BC2BC4" w:rsidRDefault="003B45D5" w:rsidP="0063252F">
      <w:pPr>
        <w:pStyle w:val="FootnoteText"/>
      </w:pPr>
      <w:r w:rsidRPr="00BC2BC4">
        <w:rPr>
          <w:rStyle w:val="FootnoteReference"/>
          <w:rFonts w:cs="Times New Roman"/>
          <w:szCs w:val="18"/>
        </w:rPr>
        <w:footnoteRef/>
      </w:r>
      <w:r w:rsidRPr="00BC2BC4">
        <w:t xml:space="preserve"> </w:t>
      </w:r>
      <w:r w:rsidRPr="00BC2BC4">
        <w:rPr>
          <w:i/>
        </w:rPr>
        <w:t xml:space="preserve">Ibid </w:t>
      </w:r>
      <w:r w:rsidRPr="00BC2BC4">
        <w:t>at 102.</w:t>
      </w:r>
    </w:p>
  </w:footnote>
  <w:footnote w:id="280">
    <w:p w14:paraId="1DA89AC8" w14:textId="61B315B3" w:rsidR="003B45D5" w:rsidRPr="00BC2BC4" w:rsidRDefault="003B45D5" w:rsidP="0063252F">
      <w:pPr>
        <w:pStyle w:val="FootnoteText"/>
      </w:pPr>
      <w:r w:rsidRPr="00BC2BC4">
        <w:rPr>
          <w:rStyle w:val="FootnoteReference"/>
          <w:rFonts w:cs="Times New Roman"/>
          <w:szCs w:val="18"/>
        </w:rPr>
        <w:footnoteRef/>
      </w:r>
      <w:r w:rsidRPr="00BC2BC4">
        <w:t xml:space="preserve"> </w:t>
      </w:r>
      <w:r w:rsidRPr="00BC2BC4">
        <w:rPr>
          <w:i/>
        </w:rPr>
        <w:t xml:space="preserve">Ibid </w:t>
      </w:r>
      <w:r w:rsidRPr="00BC2BC4">
        <w:t>at 114.</w:t>
      </w:r>
    </w:p>
  </w:footnote>
  <w:footnote w:id="281">
    <w:p w14:paraId="6846A16D" w14:textId="24CA3869" w:rsidR="003B45D5" w:rsidRPr="00BC2BC4" w:rsidRDefault="003B45D5" w:rsidP="0063252F">
      <w:pPr>
        <w:pStyle w:val="FootnoteText"/>
      </w:pPr>
      <w:r w:rsidRPr="00BC2BC4">
        <w:rPr>
          <w:rStyle w:val="FootnoteReference"/>
          <w:rFonts w:cs="Times New Roman"/>
          <w:szCs w:val="18"/>
        </w:rPr>
        <w:footnoteRef/>
      </w:r>
      <w:r w:rsidRPr="00BC2BC4">
        <w:t xml:space="preserve"> </w:t>
      </w:r>
      <w:r w:rsidRPr="00BC2BC4">
        <w:rPr>
          <w:i/>
        </w:rPr>
        <w:t xml:space="preserve">Ibid </w:t>
      </w:r>
      <w:r w:rsidRPr="00BC2BC4">
        <w:t xml:space="preserve">at 116 [emphasis in original]. </w:t>
      </w:r>
    </w:p>
  </w:footnote>
  <w:footnote w:id="282">
    <w:p w14:paraId="78ABCA54" w14:textId="742AED51" w:rsidR="003B45D5" w:rsidRPr="00BC2BC4" w:rsidRDefault="003B45D5" w:rsidP="0063252F">
      <w:pPr>
        <w:pStyle w:val="FootnoteText"/>
      </w:pPr>
      <w:r w:rsidRPr="00BC2BC4">
        <w:rPr>
          <w:rStyle w:val="FootnoteReference"/>
          <w:rFonts w:cs="Times New Roman"/>
          <w:szCs w:val="18"/>
        </w:rPr>
        <w:footnoteRef/>
      </w:r>
      <w:r w:rsidRPr="00BC2BC4">
        <w:t xml:space="preserve"> </w:t>
      </w:r>
      <w:r w:rsidRPr="00BC2BC4">
        <w:rPr>
          <w:i/>
        </w:rPr>
        <w:t xml:space="preserve">Ibid </w:t>
      </w:r>
      <w:r w:rsidRPr="00BC2BC4">
        <w:t>at 118. As of June 2015, 1,300 companies have been approved by the AMF and six or seven have been rejected. See Gyulai,</w:t>
      </w:r>
      <w:r w:rsidRPr="00BC2BC4">
        <w:rPr>
          <w:i/>
        </w:rPr>
        <w:t xml:space="preserve"> </w:t>
      </w:r>
      <w:r w:rsidRPr="00BC2BC4">
        <w:t xml:space="preserve">(11 June 2015). SNC-Lavalin received approval to bid on public contracts in Quebec in February 2014: “SNC-Lavalin, WSP Green-Lit to Bid on Public Contracts in Quebec” </w:t>
      </w:r>
      <w:r w:rsidRPr="00BC2BC4">
        <w:rPr>
          <w:i/>
        </w:rPr>
        <w:t xml:space="preserve">CBC News </w:t>
      </w:r>
      <w:r w:rsidRPr="00BC2BC4">
        <w:t>(5 February 2014), online: &lt;</w:t>
      </w:r>
      <w:hyperlink r:id="rId127" w:history="1">
        <w:r w:rsidRPr="00BC2BC4">
          <w:rPr>
            <w:rStyle w:val="Hyperlink"/>
            <w:rFonts w:cs="Times New Roman"/>
            <w:szCs w:val="18"/>
          </w:rPr>
          <w:t>www.cbc.ca/news/canada/montreal/snc-lavalin-wsp-green-lit-to-bid-on-public-contracts-in-quebec-1.2524363</w:t>
        </w:r>
      </w:hyperlink>
      <w:r w:rsidRPr="00BC2BC4">
        <w:t xml:space="preserve">&gt;. For more on the realities of Bill 1 for companies, see Linda Gyulai, “Anti-Corruption Legislation Creates Niche Market for Private-Eye and Accounting Firms”, </w:t>
      </w:r>
      <w:r w:rsidRPr="00BC2BC4">
        <w:rPr>
          <w:i/>
        </w:rPr>
        <w:t>The Montreal Gazette</w:t>
      </w:r>
      <w:r w:rsidRPr="00BC2BC4">
        <w:t xml:space="preserve"> (17 July 2014), online: &lt;</w:t>
      </w:r>
      <w:hyperlink r:id="rId128" w:history="1">
        <w:r w:rsidRPr="00BC2BC4">
          <w:rPr>
            <w:rStyle w:val="Hyperlink"/>
            <w:rFonts w:cs="Times New Roman"/>
            <w:szCs w:val="18"/>
          </w:rPr>
          <w:t>montrealgazette.com/news/local-news/anti-corruption-legislation-creates-niche-market-for-private-eye-and-accounting-firms</w:t>
        </w:r>
      </w:hyperlink>
      <w:r w:rsidRPr="00BC2BC4">
        <w:t xml:space="preserve">&gt;. For the first decision on the legality of the AMF’s refusal of authorization, see </w:t>
      </w:r>
      <w:r w:rsidRPr="00BC2BC4">
        <w:rPr>
          <w:i/>
        </w:rPr>
        <w:t>9129-2201 Québec inc c Autorité des marchés financiers</w:t>
      </w:r>
      <w:r w:rsidRPr="00BC2BC4">
        <w:t>, 2014 QCCS 2070, leave to appeal to QCCA ref’d 2014 QCCA 1383.</w:t>
      </w:r>
    </w:p>
  </w:footnote>
  <w:footnote w:id="283">
    <w:p w14:paraId="2FA869B0" w14:textId="68D107FA" w:rsidR="003B45D5" w:rsidRPr="00BC2BC4" w:rsidRDefault="003B45D5" w:rsidP="0063252F">
      <w:pPr>
        <w:pStyle w:val="FootnoteText"/>
      </w:pPr>
      <w:r w:rsidRPr="00BC2BC4">
        <w:rPr>
          <w:rStyle w:val="FootnoteReference"/>
          <w:rFonts w:cs="Times New Roman"/>
          <w:szCs w:val="18"/>
        </w:rPr>
        <w:footnoteRef/>
      </w:r>
      <w:r w:rsidRPr="00BC2BC4">
        <w:t xml:space="preserve"> Office of the Procurement Ombudsman, “Frequently Asked Questions”, online: &lt;</w:t>
      </w:r>
      <w:hyperlink r:id="rId129" w:history="1">
        <w:r w:rsidRPr="00BC2BC4">
          <w:rPr>
            <w:rStyle w:val="Hyperlink"/>
            <w:rFonts w:cs="Times New Roman"/>
            <w:szCs w:val="18"/>
          </w:rPr>
          <w:t>http://opo-boa.gc.ca/faq-eng.html</w:t>
        </w:r>
      </w:hyperlink>
      <w:r w:rsidRPr="00BC2BC4">
        <w:t xml:space="preserve">&gt;. </w:t>
      </w:r>
      <w:r w:rsidRPr="00BC2BC4">
        <w:rPr>
          <w:lang w:val="en-US"/>
        </w:rPr>
        <w:t xml:space="preserve">An ombudsman is an “independent, objective investigator of people’s complaints against government and/or private sector organizations”: </w:t>
      </w:r>
      <w:r w:rsidRPr="00BC2BC4">
        <w:t xml:space="preserve">Office of the Procurement Ombudsman, </w:t>
      </w:r>
      <w:r w:rsidRPr="00BC2BC4">
        <w:rPr>
          <w:i/>
        </w:rPr>
        <w:t>Annual Report 2015–16</w:t>
      </w:r>
      <w:r w:rsidRPr="00BC2BC4">
        <w:t xml:space="preserve"> at 6. </w:t>
      </w:r>
      <w:r w:rsidRPr="00BC2BC4">
        <w:rPr>
          <w:lang w:val="en-US"/>
        </w:rPr>
        <w:t xml:space="preserve">The Procurement Ombudsman is one of </w:t>
      </w:r>
      <w:r w:rsidRPr="00BC2BC4">
        <w:t>14 ombudsmen for Canadian federal organizations.</w:t>
      </w:r>
    </w:p>
  </w:footnote>
  <w:footnote w:id="284">
    <w:p w14:paraId="7B3ABCC4" w14:textId="77777777" w:rsidR="003B45D5" w:rsidRPr="00BC2BC4" w:rsidRDefault="003B45D5" w:rsidP="00EF7207">
      <w:pPr>
        <w:pStyle w:val="FootnoteText"/>
        <w:rPr>
          <w:lang w:val="en-US"/>
        </w:rPr>
      </w:pPr>
      <w:r w:rsidRPr="00BC2BC4">
        <w:rPr>
          <w:rStyle w:val="FootnoteReference"/>
          <w:rFonts w:cs="Times New Roman"/>
          <w:szCs w:val="18"/>
        </w:rPr>
        <w:footnoteRef/>
      </w:r>
      <w:r w:rsidRPr="00BC2BC4">
        <w:t xml:space="preserve"> </w:t>
      </w:r>
      <w:r w:rsidRPr="00BC2BC4">
        <w:rPr>
          <w:i/>
          <w:iCs/>
        </w:rPr>
        <w:t>Department of Public Works and Government Services Act</w:t>
      </w:r>
      <w:r w:rsidRPr="00BC2BC4">
        <w:rPr>
          <w:iCs/>
        </w:rPr>
        <w:t>, SC 1996, c 16.</w:t>
      </w:r>
    </w:p>
  </w:footnote>
  <w:footnote w:id="285">
    <w:p w14:paraId="3A49AAF3" w14:textId="5F3A6BF6" w:rsidR="003B45D5" w:rsidRPr="00BC2BC4" w:rsidRDefault="003B45D5" w:rsidP="0063252F">
      <w:pPr>
        <w:pStyle w:val="FootnoteText"/>
        <w:rPr>
          <w:lang w:val="en-US"/>
        </w:rPr>
      </w:pPr>
      <w:r w:rsidRPr="00BC2BC4">
        <w:rPr>
          <w:rStyle w:val="FootnoteReference"/>
          <w:rFonts w:cs="Times New Roman"/>
          <w:szCs w:val="18"/>
        </w:rPr>
        <w:footnoteRef/>
      </w:r>
      <w:r w:rsidRPr="00BC2BC4">
        <w:t xml:space="preserve"> Office of the Procurement Ombudsman, </w:t>
      </w:r>
      <w:r w:rsidRPr="00BC2BC4">
        <w:rPr>
          <w:i/>
        </w:rPr>
        <w:t>Annual Report 2015–16</w:t>
      </w:r>
      <w:r w:rsidRPr="00BC2BC4">
        <w:t xml:space="preserve"> at 3.</w:t>
      </w:r>
    </w:p>
  </w:footnote>
  <w:footnote w:id="286">
    <w:p w14:paraId="54A143F1" w14:textId="77777777" w:rsidR="003B45D5" w:rsidRPr="00BC2BC4" w:rsidRDefault="003B45D5" w:rsidP="00EF7207">
      <w:pPr>
        <w:pStyle w:val="FootnoteText"/>
        <w:rPr>
          <w:lang w:val="en-US"/>
        </w:rPr>
      </w:pPr>
      <w:r w:rsidRPr="00BC2BC4">
        <w:rPr>
          <w:rStyle w:val="FootnoteReference"/>
          <w:rFonts w:cs="Times New Roman"/>
          <w:szCs w:val="18"/>
        </w:rPr>
        <w:footnoteRef/>
      </w:r>
      <w:r w:rsidRPr="00BC2BC4">
        <w:t xml:space="preserve"> Office of the Procurement Ombudsman, “Frequently Asked Questions”.</w:t>
      </w:r>
    </w:p>
  </w:footnote>
  <w:footnote w:id="287">
    <w:p w14:paraId="717E02C1" w14:textId="286DF03F"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For more information on the OECD monitoring process see OECD, “Country Monitoring of the OECD Anti-Bribery Convention”, online: &lt;</w:t>
      </w:r>
      <w:hyperlink r:id="rId130" w:history="1">
        <w:r w:rsidR="00AD325D" w:rsidRPr="00B87CEC">
          <w:rPr>
            <w:rStyle w:val="Hyperlink"/>
            <w:rFonts w:cs="Times New Roman"/>
            <w:szCs w:val="18"/>
          </w:rPr>
          <w:t>www.oecd.org/daf/anti-bribery/</w:t>
        </w:r>
        <w:r w:rsidR="00AD325D" w:rsidRPr="00B87CEC">
          <w:rPr>
            <w:rStyle w:val="Hyperlink"/>
            <w:rFonts w:cs="Times New Roman"/>
            <w:szCs w:val="18"/>
          </w:rPr>
          <w:br/>
          <w:t>countrymonitoringoftheoecdanti-briberyconvention.htm</w:t>
        </w:r>
      </w:hyperlink>
      <w:r w:rsidRPr="00BC2BC4">
        <w:rPr>
          <w:rStyle w:val="Hyperlink"/>
          <w:rFonts w:cs="Times New Roman"/>
          <w:color w:val="auto"/>
          <w:szCs w:val="18"/>
          <w:u w:val="none"/>
        </w:rPr>
        <w:t>&gt;</w:t>
      </w:r>
      <w:r w:rsidRPr="00BC2BC4">
        <w:rPr>
          <w:rFonts w:cs="Times New Roman"/>
          <w:szCs w:val="18"/>
        </w:rPr>
        <w:t xml:space="preserve">. </w:t>
      </w:r>
    </w:p>
  </w:footnote>
  <w:footnote w:id="288">
    <w:p w14:paraId="0A3CAB44" w14:textId="0FEB8D11"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AD325D">
        <w:rPr>
          <w:rFonts w:cs="Times New Roman"/>
          <w:spacing w:val="-2"/>
          <w:szCs w:val="18"/>
        </w:rPr>
        <w:t xml:space="preserve">OECD, Working Group on Bribery, </w:t>
      </w:r>
      <w:r w:rsidRPr="00AD325D">
        <w:rPr>
          <w:rFonts w:cs="Times New Roman"/>
          <w:i/>
          <w:spacing w:val="-2"/>
          <w:szCs w:val="18"/>
        </w:rPr>
        <w:t xml:space="preserve">Phase 3 Report on Implementing the OECD Anti-Bribery Convention in the United States </w:t>
      </w:r>
      <w:r w:rsidRPr="00AD325D">
        <w:rPr>
          <w:rFonts w:cs="Times New Roman"/>
          <w:spacing w:val="-2"/>
          <w:szCs w:val="18"/>
        </w:rPr>
        <w:t>(2010), online: &lt;</w:t>
      </w:r>
      <w:hyperlink r:id="rId131" w:history="1">
        <w:r w:rsidRPr="00AD325D">
          <w:rPr>
            <w:rStyle w:val="Hyperlink"/>
            <w:rFonts w:cs="Times New Roman"/>
            <w:spacing w:val="-2"/>
            <w:szCs w:val="18"/>
          </w:rPr>
          <w:t>www.oecd.org/unitedstates/UnitedStatesphase3reportEN.pdf</w:t>
        </w:r>
      </w:hyperlink>
      <w:r w:rsidRPr="00AD325D">
        <w:rPr>
          <w:rFonts w:cs="Times New Roman"/>
          <w:spacing w:val="-2"/>
          <w:szCs w:val="18"/>
        </w:rPr>
        <w:t>&gt;.</w:t>
      </w:r>
    </w:p>
  </w:footnote>
  <w:footnote w:id="289">
    <w:p w14:paraId="5482FAA3" w14:textId="77777777" w:rsidR="003B45D5" w:rsidRPr="00BC2BC4" w:rsidRDefault="003B45D5" w:rsidP="0063252F">
      <w:pPr>
        <w:pStyle w:val="FootnoteText"/>
        <w:rPr>
          <w:rFonts w:cs="Times New Roman"/>
          <w:szCs w:val="18"/>
          <w:lang w:val="en-US"/>
        </w:rPr>
      </w:pPr>
      <w:r w:rsidRPr="00BC2BC4">
        <w:rPr>
          <w:rStyle w:val="FootnoteReference"/>
          <w:rFonts w:cs="Times New Roman"/>
          <w:szCs w:val="18"/>
        </w:rPr>
        <w:footnoteRef/>
      </w:r>
      <w:r w:rsidRPr="00BC2BC4">
        <w:rPr>
          <w:rFonts w:cs="Times New Roman"/>
          <w:szCs w:val="18"/>
        </w:rPr>
        <w:t xml:space="preserve"> </w:t>
      </w:r>
      <w:r w:rsidRPr="00BC2BC4">
        <w:rPr>
          <w:rFonts w:cs="Times New Roman"/>
          <w:bCs/>
          <w:i/>
          <w:szCs w:val="18"/>
          <w:lang w:val="en"/>
        </w:rPr>
        <w:t>Arms Export Control Act</w:t>
      </w:r>
      <w:r w:rsidRPr="00BC2BC4">
        <w:rPr>
          <w:rFonts w:cs="Times New Roman"/>
          <w:i/>
          <w:szCs w:val="18"/>
          <w:lang w:val="en"/>
        </w:rPr>
        <w:t xml:space="preserve"> of 1976</w:t>
      </w:r>
      <w:r w:rsidRPr="00BC2BC4">
        <w:rPr>
          <w:rFonts w:cs="Times New Roman"/>
          <w:szCs w:val="18"/>
          <w:lang w:val="en"/>
        </w:rPr>
        <w:t xml:space="preserve"> (Title II of Pub </w:t>
      </w:r>
      <w:r w:rsidRPr="00BC2BC4">
        <w:rPr>
          <w:rFonts w:cs="Times New Roman"/>
          <w:szCs w:val="18"/>
        </w:rPr>
        <w:t>L 94–329</w:t>
      </w:r>
      <w:r w:rsidRPr="00BC2BC4">
        <w:rPr>
          <w:rFonts w:cs="Times New Roman"/>
          <w:szCs w:val="18"/>
          <w:lang w:val="en"/>
        </w:rPr>
        <w:t>, 90 </w:t>
      </w:r>
      <w:r w:rsidRPr="00BC2BC4">
        <w:rPr>
          <w:rFonts w:cs="Times New Roman"/>
          <w:szCs w:val="18"/>
        </w:rPr>
        <w:t>Stat</w:t>
      </w:r>
      <w:r w:rsidRPr="00BC2BC4">
        <w:rPr>
          <w:rFonts w:cs="Times New Roman"/>
          <w:szCs w:val="18"/>
          <w:lang w:val="en"/>
        </w:rPr>
        <w:t> </w:t>
      </w:r>
      <w:r w:rsidRPr="00BC2BC4">
        <w:rPr>
          <w:rFonts w:cs="Times New Roman"/>
          <w:szCs w:val="18"/>
        </w:rPr>
        <w:t>729</w:t>
      </w:r>
      <w:r w:rsidRPr="00BC2BC4">
        <w:rPr>
          <w:rFonts w:cs="Times New Roman"/>
          <w:szCs w:val="18"/>
          <w:lang w:val="en"/>
        </w:rPr>
        <w:t>, enacted June 30, 1976, codified at 22 US</w:t>
      </w:r>
      <w:r w:rsidRPr="00BC2BC4">
        <w:rPr>
          <w:rFonts w:cs="Times New Roman"/>
          <w:szCs w:val="18"/>
        </w:rPr>
        <w:t>C</w:t>
      </w:r>
      <w:r w:rsidRPr="00BC2BC4">
        <w:rPr>
          <w:rFonts w:cs="Times New Roman"/>
          <w:szCs w:val="18"/>
          <w:lang w:val="en"/>
        </w:rPr>
        <w:t xml:space="preserve"> ch</w:t>
      </w:r>
      <w:r w:rsidRPr="00BC2BC4">
        <w:rPr>
          <w:rFonts w:cs="Times New Roman"/>
          <w:szCs w:val="18"/>
        </w:rPr>
        <w:t xml:space="preserve"> 39</w:t>
      </w:r>
      <w:r w:rsidRPr="00BC2BC4">
        <w:rPr>
          <w:rFonts w:cs="Times New Roman"/>
          <w:szCs w:val="18"/>
          <w:lang w:val="en"/>
        </w:rPr>
        <w:t>).</w:t>
      </w:r>
    </w:p>
  </w:footnote>
  <w:footnote w:id="290">
    <w:p w14:paraId="3FD61C20" w14:textId="3024F442"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OECD, Working Group on Bribery, </w:t>
      </w:r>
      <w:r w:rsidRPr="00BC2BC4">
        <w:rPr>
          <w:rFonts w:cs="Times New Roman"/>
          <w:i/>
          <w:szCs w:val="18"/>
        </w:rPr>
        <w:t>United States: Follow-Up to the</w:t>
      </w:r>
      <w:r w:rsidRPr="00BC2BC4">
        <w:rPr>
          <w:rFonts w:cs="Times New Roman"/>
          <w:szCs w:val="18"/>
        </w:rPr>
        <w:t xml:space="preserve"> </w:t>
      </w:r>
      <w:r w:rsidRPr="00BC2BC4">
        <w:rPr>
          <w:rFonts w:cs="Times New Roman"/>
          <w:i/>
          <w:szCs w:val="18"/>
        </w:rPr>
        <w:t xml:space="preserve">Phase 3 Report and Recommendations </w:t>
      </w:r>
      <w:r w:rsidRPr="00BC2BC4">
        <w:rPr>
          <w:rFonts w:cs="Times New Roman"/>
          <w:szCs w:val="18"/>
        </w:rPr>
        <w:t>(2012) at 13, online: &lt;</w:t>
      </w:r>
      <w:hyperlink r:id="rId132" w:history="1">
        <w:r w:rsidR="00AD325D" w:rsidRPr="00B87CEC">
          <w:rPr>
            <w:rStyle w:val="Hyperlink"/>
            <w:rFonts w:cs="Times New Roman"/>
            <w:szCs w:val="18"/>
          </w:rPr>
          <w:t>www.oecd.org/daf/anti-bribery/</w:t>
        </w:r>
        <w:r w:rsidR="00AD325D" w:rsidRPr="00B87CEC">
          <w:rPr>
            <w:rStyle w:val="Hyperlink"/>
            <w:rFonts w:cs="Times New Roman"/>
            <w:szCs w:val="18"/>
          </w:rPr>
          <w:br/>
          <w:t>UnitedStatesphase3writtenfollowupreportEN.pdf</w:t>
        </w:r>
      </w:hyperlink>
      <w:r w:rsidRPr="00BC2BC4">
        <w:rPr>
          <w:rFonts w:cs="Times New Roman"/>
          <w:szCs w:val="18"/>
        </w:rPr>
        <w:t xml:space="preserve">&gt;. </w:t>
      </w:r>
    </w:p>
  </w:footnote>
  <w:footnote w:id="291">
    <w:p w14:paraId="1401DA75" w14:textId="0400C1AA"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OECD, Working Group on Bribery, </w:t>
      </w:r>
      <w:r w:rsidRPr="00BC2BC4">
        <w:rPr>
          <w:i/>
        </w:rPr>
        <w:t>Phase 3 Report on Implementing the OECD Anti-Bribery Convention in the United Kingdom</w:t>
      </w:r>
      <w:r w:rsidRPr="00BC2BC4">
        <w:rPr>
          <w:rFonts w:cs="Times New Roman"/>
          <w:szCs w:val="18"/>
        </w:rPr>
        <w:t xml:space="preserve"> (2012), online:&lt;</w:t>
      </w:r>
      <w:r w:rsidRPr="00BC2BC4">
        <w:t xml:space="preserve"> </w:t>
      </w:r>
      <w:hyperlink r:id="rId133" w:history="1">
        <w:r w:rsidR="00AD325D" w:rsidRPr="00B87CEC">
          <w:rPr>
            <w:rStyle w:val="Hyperlink"/>
          </w:rPr>
          <w:t>https://www.oecd.org/daf/anti-bribery/</w:t>
        </w:r>
        <w:r w:rsidR="00AD325D" w:rsidRPr="00B87CEC">
          <w:rPr>
            <w:rStyle w:val="Hyperlink"/>
          </w:rPr>
          <w:br/>
          <w:t>UnitedKingdomphase3reportEN.pdf</w:t>
        </w:r>
      </w:hyperlink>
      <w:r w:rsidRPr="00BC2BC4">
        <w:rPr>
          <w:rStyle w:val="Hyperlink"/>
        </w:rPr>
        <w:t>&gt;</w:t>
      </w:r>
      <w:r w:rsidRPr="00BC2BC4">
        <w:rPr>
          <w:rFonts w:cs="Times New Roman"/>
          <w:szCs w:val="18"/>
        </w:rPr>
        <w:t>.</w:t>
      </w:r>
    </w:p>
  </w:footnote>
  <w:footnote w:id="292">
    <w:p w14:paraId="26268463" w14:textId="008FC391"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OECD, Working Group on Bribery, </w:t>
      </w:r>
      <w:r w:rsidRPr="00BC2BC4">
        <w:rPr>
          <w:rFonts w:cs="Times New Roman"/>
          <w:i/>
          <w:szCs w:val="18"/>
        </w:rPr>
        <w:t>United Kingdom: Follow-Up to the</w:t>
      </w:r>
      <w:r w:rsidRPr="00BC2BC4">
        <w:rPr>
          <w:rFonts w:cs="Times New Roman"/>
          <w:szCs w:val="18"/>
        </w:rPr>
        <w:t xml:space="preserve"> </w:t>
      </w:r>
      <w:r w:rsidRPr="00BC2BC4">
        <w:rPr>
          <w:rFonts w:cs="Times New Roman"/>
          <w:i/>
          <w:szCs w:val="18"/>
        </w:rPr>
        <w:t xml:space="preserve">Phase 3 Report and Recommendations </w:t>
      </w:r>
      <w:r w:rsidRPr="00BC2BC4">
        <w:rPr>
          <w:rFonts w:cs="Times New Roman"/>
          <w:szCs w:val="18"/>
        </w:rPr>
        <w:t>(2014) at 11, online: &lt;</w:t>
      </w:r>
      <w:hyperlink r:id="rId134" w:history="1">
        <w:r w:rsidR="000F25AE" w:rsidRPr="00B87CEC">
          <w:rPr>
            <w:rStyle w:val="Hyperlink"/>
            <w:rFonts w:cs="Times New Roman"/>
            <w:szCs w:val="18"/>
          </w:rPr>
          <w:t>www.oecd.org/daf/anti-bribery/</w:t>
        </w:r>
        <w:r w:rsidR="000F25AE" w:rsidRPr="00B87CEC">
          <w:rPr>
            <w:rStyle w:val="Hyperlink"/>
            <w:rFonts w:cs="Times New Roman"/>
            <w:szCs w:val="18"/>
          </w:rPr>
          <w:br/>
          <w:t>UnitedKingdomPhase3WrittenFollowUpEN.pdf</w:t>
        </w:r>
      </w:hyperlink>
      <w:r w:rsidRPr="00BC2BC4">
        <w:rPr>
          <w:rFonts w:cs="Times New Roman"/>
          <w:szCs w:val="18"/>
        </w:rPr>
        <w:t>&gt;.</w:t>
      </w:r>
    </w:p>
  </w:footnote>
  <w:footnote w:id="293">
    <w:p w14:paraId="2EB18130" w14:textId="135122B1"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OECD, Working Group on Bribery, </w:t>
      </w:r>
      <w:r w:rsidRPr="00BC2BC4">
        <w:rPr>
          <w:rFonts w:cs="Times New Roman"/>
          <w:i/>
          <w:szCs w:val="18"/>
        </w:rPr>
        <w:t xml:space="preserve">Phase 3 Report [UK], </w:t>
      </w:r>
      <w:r w:rsidRPr="00BC2BC4">
        <w:rPr>
          <w:rFonts w:cs="Times New Roman"/>
          <w:szCs w:val="18"/>
        </w:rPr>
        <w:t>(2012).</w:t>
      </w:r>
    </w:p>
  </w:footnote>
  <w:footnote w:id="294">
    <w:p w14:paraId="6AB5E341" w14:textId="184C7423"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Sue Hawley, “Yawn and You’ll Miss It: New EU Debarment Rules, Old Problems”, </w:t>
      </w:r>
      <w:r w:rsidRPr="00BC2BC4">
        <w:rPr>
          <w:rFonts w:cs="Times New Roman"/>
          <w:i/>
          <w:szCs w:val="18"/>
        </w:rPr>
        <w:t xml:space="preserve">Corruption Watch </w:t>
      </w:r>
      <w:r w:rsidRPr="00BC2BC4">
        <w:rPr>
          <w:rFonts w:cs="Times New Roman"/>
          <w:szCs w:val="18"/>
        </w:rPr>
        <w:t>(4 March 2015), online: &lt;</w:t>
      </w:r>
      <w:hyperlink r:id="rId135" w:history="1">
        <w:r w:rsidRPr="00BC2BC4">
          <w:rPr>
            <w:rStyle w:val="Hyperlink"/>
            <w:rFonts w:cs="Times New Roman"/>
            <w:szCs w:val="18"/>
          </w:rPr>
          <w:t>www.cw-uk.org/2015/03/04/yawn-and-youll-miss-it-new-eu-debarment-rules-old-problems/</w:t>
        </w:r>
      </w:hyperlink>
      <w:r w:rsidRPr="00BC2BC4">
        <w:rPr>
          <w:rFonts w:cs="Times New Roman"/>
          <w:szCs w:val="18"/>
        </w:rPr>
        <w:t>&gt;.</w:t>
      </w:r>
    </w:p>
  </w:footnote>
  <w:footnote w:id="295">
    <w:p w14:paraId="5EDC2621" w14:textId="60656731"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OECD, Working Group on Bribery, </w:t>
      </w:r>
      <w:r w:rsidRPr="00BC2BC4">
        <w:rPr>
          <w:i/>
        </w:rPr>
        <w:t xml:space="preserve">Phase 3 Report on Implementing the OECD Anti-Bribery Convention in Canada , </w:t>
      </w:r>
      <w:r w:rsidRPr="00BC2BC4">
        <w:rPr>
          <w:rFonts w:cs="Times New Roman"/>
          <w:szCs w:val="18"/>
        </w:rPr>
        <w:t>(2011), online:&lt;</w:t>
      </w:r>
      <w:r w:rsidRPr="00BC2BC4">
        <w:t xml:space="preserve"> </w:t>
      </w:r>
      <w:hyperlink r:id="rId136" w:history="1">
        <w:r w:rsidRPr="00BC2BC4">
          <w:rPr>
            <w:rStyle w:val="Hyperlink"/>
          </w:rPr>
          <w:t>https://www.oecd.org/canada/Canadaphase3reportEN.pdf</w:t>
        </w:r>
      </w:hyperlink>
      <w:r w:rsidRPr="00BC2BC4">
        <w:rPr>
          <w:rFonts w:cs="Times New Roman"/>
          <w:szCs w:val="18"/>
        </w:rPr>
        <w:t>.&gt;.</w:t>
      </w:r>
    </w:p>
  </w:footnote>
  <w:footnote w:id="296">
    <w:p w14:paraId="3EAFA0F2" w14:textId="396A0966"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xml:space="preserve">, recommendation 2. </w:t>
      </w:r>
    </w:p>
  </w:footnote>
  <w:footnote w:id="297">
    <w:p w14:paraId="72BE3F66"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 xml:space="preserve">Ibid </w:t>
      </w:r>
      <w:r w:rsidRPr="00BC2BC4">
        <w:rPr>
          <w:rFonts w:cs="Times New Roman"/>
          <w:szCs w:val="18"/>
        </w:rPr>
        <w:t xml:space="preserve">at 23. </w:t>
      </w:r>
    </w:p>
  </w:footnote>
  <w:footnote w:id="298">
    <w:p w14:paraId="079323F2" w14:textId="747FC7B9"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OECD, Working Group on Bribery, </w:t>
      </w:r>
      <w:r w:rsidRPr="00BC2BC4">
        <w:rPr>
          <w:rFonts w:cs="Times New Roman"/>
          <w:i/>
          <w:szCs w:val="18"/>
        </w:rPr>
        <w:t>Canada: Follow-Up to the</w:t>
      </w:r>
      <w:r w:rsidRPr="00BC2BC4">
        <w:rPr>
          <w:rFonts w:cs="Times New Roman"/>
          <w:szCs w:val="18"/>
        </w:rPr>
        <w:t xml:space="preserve"> </w:t>
      </w:r>
      <w:r w:rsidRPr="00BC2BC4">
        <w:rPr>
          <w:rFonts w:cs="Times New Roman"/>
          <w:i/>
          <w:szCs w:val="18"/>
        </w:rPr>
        <w:t xml:space="preserve">Phase 3 Report and Recommendations </w:t>
      </w:r>
      <w:r w:rsidRPr="00BC2BC4">
        <w:rPr>
          <w:rFonts w:cs="Times New Roman"/>
          <w:szCs w:val="18"/>
        </w:rPr>
        <w:t>(2013) at 6–7, online: &lt;</w:t>
      </w:r>
      <w:hyperlink r:id="rId137" w:history="1">
        <w:r w:rsidRPr="00BC2BC4">
          <w:rPr>
            <w:rStyle w:val="Hyperlink"/>
            <w:rFonts w:cs="Times New Roman"/>
            <w:szCs w:val="18"/>
          </w:rPr>
          <w:t>www.oecd.org/daf/anti-bribery/CanadaP3writtenfollowupreportEN.pdf</w:t>
        </w:r>
      </w:hyperlink>
      <w:r w:rsidRPr="00BC2BC4">
        <w:rPr>
          <w:rFonts w:cs="Times New Roman"/>
          <w:szCs w:val="18"/>
        </w:rPr>
        <w:t>&gt;.</w:t>
      </w:r>
    </w:p>
  </w:footnote>
  <w:footnote w:id="299">
    <w:p w14:paraId="1AEFE262" w14:textId="6683A8AD"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Gustavo Piga, “A Fighting Chance Against Corruption in Public Procurement?”</w:t>
      </w:r>
      <w:r w:rsidRPr="00BC2BC4">
        <w:rPr>
          <w:rFonts w:cs="Times New Roman"/>
          <w:i/>
          <w:szCs w:val="18"/>
        </w:rPr>
        <w:t xml:space="preserve"> </w:t>
      </w:r>
      <w:r w:rsidRPr="00BC2BC4">
        <w:rPr>
          <w:rFonts w:cs="Times New Roman"/>
          <w:szCs w:val="18"/>
        </w:rPr>
        <w:t>in</w:t>
      </w:r>
      <w:r w:rsidRPr="00BC2BC4">
        <w:rPr>
          <w:rFonts w:cs="Times New Roman"/>
          <w:i/>
          <w:szCs w:val="18"/>
        </w:rPr>
        <w:t xml:space="preserve"> </w:t>
      </w:r>
      <w:r w:rsidRPr="00BC2BC4">
        <w:rPr>
          <w:rFonts w:cs="Times New Roman"/>
          <w:szCs w:val="18"/>
        </w:rPr>
        <w:t>Rose-Ackerman &amp; Søreide, eds, (2011), 141 at 152.</w:t>
      </w:r>
    </w:p>
  </w:footnote>
  <w:footnote w:id="300">
    <w:p w14:paraId="7FCC9CB2" w14:textId="7C02378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Ariane Lambert-Mogiliansky &amp; Konstantin Sonin, “Collusive Market-Sharing and Corruption in Procurement” (2006) 15:4</w:t>
      </w:r>
      <w:r w:rsidRPr="00BC2BC4">
        <w:rPr>
          <w:rFonts w:cs="Times New Roman"/>
          <w:i/>
          <w:szCs w:val="18"/>
        </w:rPr>
        <w:t xml:space="preserve"> </w:t>
      </w:r>
      <w:r w:rsidRPr="00BC2BC4">
        <w:rPr>
          <w:rFonts w:cs="Times New Roman"/>
          <w:szCs w:val="18"/>
        </w:rPr>
        <w:t xml:space="preserve">Journal of Economics and Management Strategy 883 at 900. </w:t>
      </w:r>
    </w:p>
  </w:footnote>
  <w:footnote w:id="301">
    <w:p w14:paraId="67A4435C" w14:textId="2F4A76A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Bent Flyvbjerg &amp; Eamonn Molloy, “Delusion, Deception and Corruption in Major Infrastructure Projects: Cases, Consequences, and Cures” in Rose-Ackerman &amp; Søreide, eds, (2011), at 81.</w:t>
      </w:r>
    </w:p>
  </w:footnote>
  <w:footnote w:id="302">
    <w:p w14:paraId="23B91370"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 xml:space="preserve">Ibid </w:t>
      </w:r>
      <w:r w:rsidRPr="00BC2BC4">
        <w:rPr>
          <w:rFonts w:cs="Times New Roman"/>
          <w:szCs w:val="18"/>
        </w:rPr>
        <w:t xml:space="preserve">at 88. </w:t>
      </w:r>
    </w:p>
  </w:footnote>
  <w:footnote w:id="303">
    <w:p w14:paraId="0E2B8290"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 xml:space="preserve">Ibid </w:t>
      </w:r>
      <w:r w:rsidRPr="00BC2BC4">
        <w:rPr>
          <w:rFonts w:cs="Times New Roman"/>
          <w:szCs w:val="18"/>
        </w:rPr>
        <w:t xml:space="preserve">at 99. </w:t>
      </w:r>
    </w:p>
  </w:footnote>
  <w:footnote w:id="304">
    <w:p w14:paraId="363C7DBE" w14:textId="111085AF" w:rsidR="003B45D5" w:rsidRPr="00BC2BC4" w:rsidRDefault="003B45D5" w:rsidP="0063252F">
      <w:pPr>
        <w:pStyle w:val="FootnoteText"/>
        <w:contextualSpacing/>
        <w:rPr>
          <w:rFonts w:cs="Times New Roman"/>
          <w:i/>
          <w:szCs w:val="18"/>
        </w:rPr>
      </w:pPr>
      <w:r w:rsidRPr="00BC2BC4">
        <w:rPr>
          <w:rStyle w:val="FootnoteReference"/>
          <w:rFonts w:cs="Times New Roman"/>
          <w:szCs w:val="18"/>
        </w:rPr>
        <w:footnoteRef/>
      </w:r>
      <w:r w:rsidRPr="00BC2BC4">
        <w:rPr>
          <w:rFonts w:cs="Times New Roman"/>
          <w:szCs w:val="18"/>
        </w:rPr>
        <w:t xml:space="preserve"> Wells (March 2015).</w:t>
      </w:r>
    </w:p>
  </w:footnote>
  <w:footnote w:id="305">
    <w:p w14:paraId="49B0BB0A" w14:textId="57748A6F"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Bent Flyvbjerg &amp; Eamonn Molloy, “Delusion, Deception and Corruption in Major Infrastructure Projects: Cases, Consequences, and Cures” in Rose-Ackerman &amp; Søreide, eds, (2011), at 104.</w:t>
      </w:r>
    </w:p>
  </w:footnote>
  <w:footnote w:id="306">
    <w:p w14:paraId="1C044062"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 xml:space="preserve">Ibid. </w:t>
      </w:r>
    </w:p>
  </w:footnote>
  <w:footnote w:id="307">
    <w:p w14:paraId="6A26A998" w14:textId="2EDFEC3A"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Mott MacDonald, </w:t>
      </w:r>
      <w:r w:rsidRPr="00BC2BC4">
        <w:rPr>
          <w:rFonts w:cs="Times New Roman"/>
          <w:i/>
          <w:szCs w:val="18"/>
        </w:rPr>
        <w:t>Review of Large Public Procurement in the UK</w:t>
      </w:r>
      <w:r w:rsidRPr="00BC2BC4">
        <w:rPr>
          <w:rFonts w:cs="Times New Roman"/>
          <w:szCs w:val="18"/>
        </w:rPr>
        <w:t>,</w:t>
      </w:r>
      <w:r w:rsidRPr="00BC2BC4">
        <w:rPr>
          <w:rFonts w:cs="Times New Roman"/>
          <w:i/>
          <w:szCs w:val="18"/>
        </w:rPr>
        <w:t xml:space="preserve"> </w:t>
      </w:r>
      <w:r w:rsidRPr="00BC2BC4">
        <w:rPr>
          <w:rFonts w:cs="Times New Roman"/>
          <w:szCs w:val="18"/>
        </w:rPr>
        <w:t>study commissioned by Her Majesty’s Treasury (London: HM Treasury, 2002), online: &lt;</w:t>
      </w:r>
      <w:hyperlink r:id="rId138" w:history="1">
        <w:r w:rsidR="000F25AE" w:rsidRPr="00B87CEC">
          <w:rPr>
            <w:rStyle w:val="Hyperlink"/>
            <w:rFonts w:cs="Times New Roman"/>
            <w:szCs w:val="18"/>
          </w:rPr>
          <w:t>www.parliament.vic.gov.au/images/stories/committees/paec/2010-11_Budget_Estimates/</w:t>
        </w:r>
        <w:r w:rsidR="000F25AE" w:rsidRPr="00B87CEC">
          <w:rPr>
            <w:rStyle w:val="Hyperlink"/>
            <w:rFonts w:cs="Times New Roman"/>
            <w:szCs w:val="18"/>
          </w:rPr>
          <w:br/>
          <w:t>Extra_bits/Mott_McDonald_Flyvberg_Blake_Dawson_Waldron_studies.pdf</w:t>
        </w:r>
      </w:hyperlink>
      <w:r w:rsidRPr="00BC2BC4">
        <w:rPr>
          <w:rFonts w:cs="Times New Roman"/>
          <w:szCs w:val="18"/>
        </w:rPr>
        <w:t xml:space="preserve">&gt;. </w:t>
      </w:r>
    </w:p>
  </w:footnote>
  <w:footnote w:id="308">
    <w:p w14:paraId="68451CAF"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 xml:space="preserve">Ibid </w:t>
      </w:r>
      <w:r w:rsidRPr="00BC2BC4">
        <w:rPr>
          <w:rFonts w:cs="Times New Roman"/>
          <w:szCs w:val="18"/>
        </w:rPr>
        <w:t xml:space="preserve">at 2. </w:t>
      </w:r>
    </w:p>
  </w:footnote>
  <w:footnote w:id="309">
    <w:p w14:paraId="10C14CA2"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 xml:space="preserve">. </w:t>
      </w:r>
    </w:p>
  </w:footnote>
  <w:footnote w:id="310">
    <w:p w14:paraId="62A5AF20"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 xml:space="preserve">Ibid </w:t>
      </w:r>
      <w:r w:rsidRPr="00BC2BC4">
        <w:rPr>
          <w:rFonts w:cs="Times New Roman"/>
          <w:szCs w:val="18"/>
        </w:rPr>
        <w:t>at 9.</w:t>
      </w:r>
    </w:p>
  </w:footnote>
  <w:footnote w:id="311">
    <w:p w14:paraId="093C5B62" w14:textId="77777777" w:rsidR="003B45D5" w:rsidRPr="00BC2BC4" w:rsidRDefault="003B45D5" w:rsidP="0063252F">
      <w:pPr>
        <w:pStyle w:val="FootnoteText"/>
        <w:contextualSpacing/>
        <w:rPr>
          <w:rFonts w:cs="Times New Roman"/>
          <w:szCs w:val="18"/>
        </w:rPr>
      </w:pPr>
      <w:r w:rsidRPr="00BC2BC4">
        <w:rPr>
          <w:rStyle w:val="FootnoteReference"/>
          <w:rFonts w:cs="Times New Roman"/>
          <w:szCs w:val="18"/>
        </w:rPr>
        <w:footnoteRef/>
      </w:r>
      <w:r w:rsidRPr="00BC2BC4">
        <w:rPr>
          <w:rFonts w:cs="Times New Roman"/>
          <w:szCs w:val="18"/>
        </w:rPr>
        <w:t xml:space="preserve"> </w:t>
      </w:r>
      <w:r w:rsidRPr="00BC2BC4">
        <w:rPr>
          <w:rFonts w:cs="Times New Roman"/>
          <w:i/>
          <w:szCs w:val="18"/>
        </w:rPr>
        <w:t>Ibid</w:t>
      </w:r>
      <w:r w:rsidRPr="00BC2BC4">
        <w:rPr>
          <w:rFonts w:cs="Times New Roman"/>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6DFE3" w14:textId="2ED341BB" w:rsidR="003B45D5" w:rsidRPr="00A70F24" w:rsidRDefault="003B45D5" w:rsidP="00976578">
    <w:pPr>
      <w:tabs>
        <w:tab w:val="center" w:pos="4680"/>
        <w:tab w:val="right" w:pos="9360"/>
      </w:tabs>
      <w:spacing w:before="0" w:after="0"/>
      <w:ind w:left="-283"/>
      <w:jc w:val="left"/>
      <w:rPr>
        <w:smallCaps/>
      </w:rPr>
    </w:pPr>
    <w:r w:rsidRPr="00725584">
      <w:rPr>
        <w:smallCaps/>
      </w:rPr>
      <w:t>Global Corruption: Law, Theory &amp; Practice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5B7EE" w14:textId="602063F1" w:rsidR="003B45D5" w:rsidRDefault="003B45D5" w:rsidP="00976578">
    <w:pPr>
      <w:pStyle w:val="Header"/>
      <w:spacing w:before="0"/>
      <w:ind w:right="-283"/>
      <w:jc w:val="right"/>
    </w:pPr>
    <w:r>
      <w:rPr>
        <w:smallCaps/>
      </w:rPr>
      <w:t xml:space="preserve">Chapter 11 </w:t>
    </w:r>
    <w:r w:rsidR="00D330C5">
      <w:rPr>
        <w:smallCaps/>
      </w:rPr>
      <w:sym w:font="Webdings" w:char="F07C"/>
    </w:r>
    <w:r>
      <w:rPr>
        <w:smallCaps/>
      </w:rPr>
      <w:t xml:space="preserve"> Evaluation of Procurement Laws and Procedures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D898E" w14:textId="77777777" w:rsidR="003B45D5" w:rsidRDefault="003B45D5" w:rsidP="00976578">
    <w:pPr>
      <w:pStyle w:val="Header"/>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C2595"/>
    <w:multiLevelType w:val="multilevel"/>
    <w:tmpl w:val="B2061B06"/>
    <w:styleLink w:val="TOCStyle2"/>
    <w:lvl w:ilvl="0">
      <w:start w:val="1"/>
      <w:numFmt w:val="decimal"/>
      <w:lvlText w:val="%1."/>
      <w:lvlJc w:val="left"/>
      <w:pPr>
        <w:ind w:left="360" w:hanging="360"/>
      </w:pPr>
      <w:rPr>
        <w:rFonts w:ascii="Times New Roman" w:hAnsi="Times New Roman" w:hint="default"/>
        <w:b/>
        <w:sz w:val="28"/>
      </w:rPr>
    </w:lvl>
    <w:lvl w:ilvl="1">
      <w:start w:val="1"/>
      <w:numFmt w:val="decimal"/>
      <w:lvlText w:val="%1.%2"/>
      <w:lvlJc w:val="left"/>
      <w:pPr>
        <w:ind w:left="792" w:hanging="432"/>
      </w:pPr>
      <w:rPr>
        <w:rFonts w:ascii="Times New Roman" w:hAnsi="Times New Roman" w:hint="default"/>
        <w:b/>
        <w:bCs w:val="0"/>
        <w:sz w:val="24"/>
      </w:rPr>
    </w:lvl>
    <w:lvl w:ilvl="2">
      <w:start w:val="1"/>
      <w:numFmt w:val="decimal"/>
      <w:lvlText w:val="%1.%2.%3"/>
      <w:lvlJc w:val="left"/>
      <w:pPr>
        <w:ind w:left="1224" w:hanging="504"/>
      </w:pPr>
      <w:rPr>
        <w:rFonts w:ascii="Times New Roman" w:hAnsi="Times New Roman" w:hint="default"/>
        <w:b/>
        <w:bCs/>
        <w:sz w:val="24"/>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bCs/>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7931FC"/>
    <w:multiLevelType w:val="hybridMultilevel"/>
    <w:tmpl w:val="8FFE7F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5D618F6"/>
    <w:multiLevelType w:val="hybridMultilevel"/>
    <w:tmpl w:val="7910F25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850182B"/>
    <w:multiLevelType w:val="hybridMultilevel"/>
    <w:tmpl w:val="BC70C07C"/>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A510429"/>
    <w:multiLevelType w:val="hybridMultilevel"/>
    <w:tmpl w:val="AA96F0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0D7A43D3"/>
    <w:multiLevelType w:val="hybridMultilevel"/>
    <w:tmpl w:val="008AEB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00555A8"/>
    <w:multiLevelType w:val="hybridMultilevel"/>
    <w:tmpl w:val="A6A0E0D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C4378F5"/>
    <w:multiLevelType w:val="hybridMultilevel"/>
    <w:tmpl w:val="373AF762"/>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2213752A"/>
    <w:multiLevelType w:val="hybridMultilevel"/>
    <w:tmpl w:val="210AD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6B5B65"/>
    <w:multiLevelType w:val="hybridMultilevel"/>
    <w:tmpl w:val="0DF6E0C2"/>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15:restartNumberingAfterBreak="0">
    <w:nsid w:val="297C47DC"/>
    <w:multiLevelType w:val="hybridMultilevel"/>
    <w:tmpl w:val="170204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29DC2036"/>
    <w:multiLevelType w:val="hybridMultilevel"/>
    <w:tmpl w:val="C3BEF570"/>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2C0D2B9A"/>
    <w:multiLevelType w:val="hybridMultilevel"/>
    <w:tmpl w:val="F3FC9804"/>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2D97255B"/>
    <w:multiLevelType w:val="hybridMultilevel"/>
    <w:tmpl w:val="B9DE2394"/>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31E268E0"/>
    <w:multiLevelType w:val="hybridMultilevel"/>
    <w:tmpl w:val="4F5E2A28"/>
    <w:lvl w:ilvl="0" w:tplc="10090017">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5" w15:restartNumberingAfterBreak="0">
    <w:nsid w:val="32633016"/>
    <w:multiLevelType w:val="multilevel"/>
    <w:tmpl w:val="DF346BDA"/>
    <w:lvl w:ilvl="0">
      <w:start w:val="1"/>
      <w:numFmt w:val="decimal"/>
      <w:pStyle w:val="Heading1"/>
      <w:lvlText w:val="%1."/>
      <w:lvlJc w:val="left"/>
      <w:pPr>
        <w:ind w:left="432" w:hanging="432"/>
      </w:pPr>
    </w:lvl>
    <w:lvl w:ilvl="1">
      <w:start w:val="1"/>
      <w:numFmt w:val="decimal"/>
      <w:pStyle w:val="Heading2"/>
      <w:lvlText w:val="%1.%2"/>
      <w:lvlJc w:val="left"/>
      <w:pPr>
        <w:ind w:left="718" w:hanging="576"/>
      </w:pPr>
    </w:lvl>
    <w:lvl w:ilvl="2">
      <w:start w:val="1"/>
      <w:numFmt w:val="decimal"/>
      <w:pStyle w:val="Heading3"/>
      <w:lvlText w:val="%1.%2.%3"/>
      <w:lvlJc w:val="left"/>
      <w:pPr>
        <w:ind w:left="720" w:hanging="720"/>
      </w:pPr>
      <w:rPr>
        <w:i w:val="0"/>
      </w:r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328E210B"/>
    <w:multiLevelType w:val="hybridMultilevel"/>
    <w:tmpl w:val="3E105E14"/>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7" w15:restartNumberingAfterBreak="0">
    <w:nsid w:val="32AC1FF1"/>
    <w:multiLevelType w:val="hybridMultilevel"/>
    <w:tmpl w:val="3AA644E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DC56A2C"/>
    <w:multiLevelType w:val="hybridMultilevel"/>
    <w:tmpl w:val="E692046E"/>
    <w:lvl w:ilvl="0" w:tplc="10090017">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9" w15:restartNumberingAfterBreak="0">
    <w:nsid w:val="42044EE4"/>
    <w:multiLevelType w:val="hybridMultilevel"/>
    <w:tmpl w:val="947AA624"/>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42143821"/>
    <w:multiLevelType w:val="hybridMultilevel"/>
    <w:tmpl w:val="20526C6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44F236EA"/>
    <w:multiLevelType w:val="hybridMultilevel"/>
    <w:tmpl w:val="C2D8585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52392CB7"/>
    <w:multiLevelType w:val="hybridMultilevel"/>
    <w:tmpl w:val="27EAC5DE"/>
    <w:lvl w:ilvl="0" w:tplc="10090001">
      <w:start w:val="1"/>
      <w:numFmt w:val="bullet"/>
      <w:lvlText w:val=""/>
      <w:lvlJc w:val="left"/>
      <w:pPr>
        <w:ind w:left="1440" w:hanging="360"/>
      </w:pPr>
      <w:rPr>
        <w:rFonts w:ascii="Symbol" w:hAnsi="Symbol" w:hint="default"/>
      </w:rPr>
    </w:lvl>
    <w:lvl w:ilvl="1" w:tplc="10090019">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3" w15:restartNumberingAfterBreak="0">
    <w:nsid w:val="54742CE7"/>
    <w:multiLevelType w:val="hybridMultilevel"/>
    <w:tmpl w:val="86D4E8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59293B34"/>
    <w:multiLevelType w:val="hybridMultilevel"/>
    <w:tmpl w:val="D91EFF26"/>
    <w:lvl w:ilvl="0" w:tplc="6616DDFC">
      <w:start w:val="1"/>
      <w:numFmt w:val="decimal"/>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5" w15:restartNumberingAfterBreak="0">
    <w:nsid w:val="5C8E0C7C"/>
    <w:multiLevelType w:val="hybridMultilevel"/>
    <w:tmpl w:val="95929D8E"/>
    <w:lvl w:ilvl="0" w:tplc="008C3F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046B9F"/>
    <w:multiLevelType w:val="hybridMultilevel"/>
    <w:tmpl w:val="20887B7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7" w15:restartNumberingAfterBreak="0">
    <w:nsid w:val="67E34B27"/>
    <w:multiLevelType w:val="hybridMultilevel"/>
    <w:tmpl w:val="B658EBB0"/>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68472EC7"/>
    <w:multiLevelType w:val="hybridMultilevel"/>
    <w:tmpl w:val="A5F2E11E"/>
    <w:lvl w:ilvl="0" w:tplc="10090001">
      <w:start w:val="1"/>
      <w:numFmt w:val="bullet"/>
      <w:lvlText w:val=""/>
      <w:lvlJc w:val="left"/>
      <w:pPr>
        <w:ind w:left="1440" w:hanging="360"/>
      </w:pPr>
      <w:rPr>
        <w:rFonts w:ascii="Symbol" w:hAnsi="Symbol" w:hint="default"/>
      </w:rPr>
    </w:lvl>
    <w:lvl w:ilvl="1" w:tplc="F2DED9C6">
      <w:start w:val="1"/>
      <w:numFmt w:val="bullet"/>
      <w:lvlText w:val="-"/>
      <w:lvlJc w:val="left"/>
      <w:pPr>
        <w:ind w:left="2160" w:hanging="360"/>
      </w:pPr>
      <w:rPr>
        <w:rFonts w:ascii="Courier New" w:hAnsi="Courier New" w:hint="default"/>
      </w:r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9" w15:restartNumberingAfterBreak="0">
    <w:nsid w:val="6E272960"/>
    <w:multiLevelType w:val="hybridMultilevel"/>
    <w:tmpl w:val="05587566"/>
    <w:lvl w:ilvl="0" w:tplc="6616DDFC">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6EBD21BB"/>
    <w:multiLevelType w:val="hybridMultilevel"/>
    <w:tmpl w:val="6958E840"/>
    <w:lvl w:ilvl="0" w:tplc="10090011">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1" w15:restartNumberingAfterBreak="0">
    <w:nsid w:val="72242D7E"/>
    <w:multiLevelType w:val="hybridMultilevel"/>
    <w:tmpl w:val="0A06EA6E"/>
    <w:lvl w:ilvl="0" w:tplc="10090017">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2" w15:restartNumberingAfterBreak="0">
    <w:nsid w:val="73834BE6"/>
    <w:multiLevelType w:val="hybridMultilevel"/>
    <w:tmpl w:val="0D5A76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17"/>
  </w:num>
  <w:num w:numId="3">
    <w:abstractNumId w:val="8"/>
  </w:num>
  <w:num w:numId="4">
    <w:abstractNumId w:val="5"/>
  </w:num>
  <w:num w:numId="5">
    <w:abstractNumId w:val="4"/>
  </w:num>
  <w:num w:numId="6">
    <w:abstractNumId w:val="23"/>
  </w:num>
  <w:num w:numId="7">
    <w:abstractNumId w:val="10"/>
  </w:num>
  <w:num w:numId="8">
    <w:abstractNumId w:val="32"/>
  </w:num>
  <w:num w:numId="9">
    <w:abstractNumId w:val="0"/>
  </w:num>
  <w:num w:numId="10">
    <w:abstractNumId w:val="25"/>
  </w:num>
  <w:num w:numId="11">
    <w:abstractNumId w:val="15"/>
  </w:num>
  <w:num w:numId="12">
    <w:abstractNumId w:val="29"/>
  </w:num>
  <w:num w:numId="13">
    <w:abstractNumId w:val="12"/>
  </w:num>
  <w:num w:numId="14">
    <w:abstractNumId w:val="1"/>
  </w:num>
  <w:num w:numId="15">
    <w:abstractNumId w:val="2"/>
  </w:num>
  <w:num w:numId="16">
    <w:abstractNumId w:val="19"/>
  </w:num>
  <w:num w:numId="17">
    <w:abstractNumId w:val="20"/>
  </w:num>
  <w:num w:numId="18">
    <w:abstractNumId w:val="11"/>
  </w:num>
  <w:num w:numId="19">
    <w:abstractNumId w:val="22"/>
  </w:num>
  <w:num w:numId="20">
    <w:abstractNumId w:val="24"/>
  </w:num>
  <w:num w:numId="21">
    <w:abstractNumId w:val="9"/>
  </w:num>
  <w:num w:numId="22">
    <w:abstractNumId w:val="27"/>
  </w:num>
  <w:num w:numId="23">
    <w:abstractNumId w:val="13"/>
  </w:num>
  <w:num w:numId="24">
    <w:abstractNumId w:val="6"/>
  </w:num>
  <w:num w:numId="25">
    <w:abstractNumId w:val="16"/>
  </w:num>
  <w:num w:numId="26">
    <w:abstractNumId w:val="14"/>
  </w:num>
  <w:num w:numId="27">
    <w:abstractNumId w:val="18"/>
  </w:num>
  <w:num w:numId="28">
    <w:abstractNumId w:val="31"/>
  </w:num>
  <w:num w:numId="29">
    <w:abstractNumId w:val="30"/>
  </w:num>
  <w:num w:numId="30">
    <w:abstractNumId w:val="21"/>
  </w:num>
  <w:num w:numId="31">
    <w:abstractNumId w:val="7"/>
  </w:num>
  <w:num w:numId="32">
    <w:abstractNumId w:val="26"/>
  </w:num>
  <w:num w:numId="33">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CA" w:vendorID="64" w:dllVersion="6" w:nlCheck="1" w:checkStyle="0"/>
  <w:activeWritingStyle w:appName="MSWord" w:lang="en-GB" w:vendorID="64" w:dllVersion="6" w:nlCheck="1" w:checkStyle="0"/>
  <w:activeWritingStyle w:appName="MSWord" w:lang="en-CA" w:vendorID="64" w:dllVersion="6" w:nlCheck="1" w:checkStyle="0"/>
  <w:activeWritingStyle w:appName="MSWord" w:lang="en-US" w:vendorID="64" w:dllVersion="6" w:nlCheck="1" w:checkStyle="0"/>
  <w:activeWritingStyle w:appName="MSWord" w:lang="en-CA" w:vendorID="64" w:dllVersion="4096" w:nlCheck="1" w:checkStyle="0"/>
  <w:activeWritingStyle w:appName="MSWord" w:lang="en-GB" w:vendorID="64" w:dllVersion="4096" w:nlCheck="1" w:checkStyle="0"/>
  <w:activeWritingStyle w:appName="MSWord" w:lang="fr-CA" w:vendorID="64" w:dllVersion="4096" w:nlCheck="1" w:checkStyle="0"/>
  <w:activeWritingStyle w:appName="MSWord" w:lang="en-US" w:vendorID="64" w:dllVersion="4096" w:nlCheck="1" w:checkStyle="0"/>
  <w:activeWritingStyle w:appName="MSWord" w:lang="en-CA"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CA" w:vendorID="64" w:dllVersion="131078" w:nlCheck="1" w:checkStyle="0"/>
  <w:defaultTabStop w:val="720"/>
  <w:evenAndOddHeaders/>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799"/>
    <w:rsid w:val="00002FDF"/>
    <w:rsid w:val="000036E9"/>
    <w:rsid w:val="00003750"/>
    <w:rsid w:val="00003A9E"/>
    <w:rsid w:val="00003C8E"/>
    <w:rsid w:val="00004E77"/>
    <w:rsid w:val="00004FBE"/>
    <w:rsid w:val="00005A79"/>
    <w:rsid w:val="000101B1"/>
    <w:rsid w:val="00010638"/>
    <w:rsid w:val="00010AF5"/>
    <w:rsid w:val="00011780"/>
    <w:rsid w:val="00017E5A"/>
    <w:rsid w:val="000217B6"/>
    <w:rsid w:val="00024D72"/>
    <w:rsid w:val="000250ED"/>
    <w:rsid w:val="000254BB"/>
    <w:rsid w:val="00025BFA"/>
    <w:rsid w:val="0003324F"/>
    <w:rsid w:val="000339FC"/>
    <w:rsid w:val="00037350"/>
    <w:rsid w:val="0004081C"/>
    <w:rsid w:val="00040E6F"/>
    <w:rsid w:val="000442FD"/>
    <w:rsid w:val="000450B3"/>
    <w:rsid w:val="000465A1"/>
    <w:rsid w:val="0004752E"/>
    <w:rsid w:val="000477F5"/>
    <w:rsid w:val="00047D18"/>
    <w:rsid w:val="00047D81"/>
    <w:rsid w:val="0005260A"/>
    <w:rsid w:val="00053113"/>
    <w:rsid w:val="0005317C"/>
    <w:rsid w:val="00053699"/>
    <w:rsid w:val="000539DB"/>
    <w:rsid w:val="00053B92"/>
    <w:rsid w:val="0005602F"/>
    <w:rsid w:val="0006028F"/>
    <w:rsid w:val="000602BF"/>
    <w:rsid w:val="000643BD"/>
    <w:rsid w:val="00065268"/>
    <w:rsid w:val="000653CF"/>
    <w:rsid w:val="000679F9"/>
    <w:rsid w:val="00067A12"/>
    <w:rsid w:val="00067BED"/>
    <w:rsid w:val="00067C79"/>
    <w:rsid w:val="00071149"/>
    <w:rsid w:val="00072314"/>
    <w:rsid w:val="00073673"/>
    <w:rsid w:val="000773FA"/>
    <w:rsid w:val="00080599"/>
    <w:rsid w:val="00081497"/>
    <w:rsid w:val="000841E9"/>
    <w:rsid w:val="00086D2C"/>
    <w:rsid w:val="00091103"/>
    <w:rsid w:val="00091AB6"/>
    <w:rsid w:val="0009409D"/>
    <w:rsid w:val="00094240"/>
    <w:rsid w:val="00094726"/>
    <w:rsid w:val="0009515B"/>
    <w:rsid w:val="00095932"/>
    <w:rsid w:val="00097D80"/>
    <w:rsid w:val="000A0155"/>
    <w:rsid w:val="000A11C4"/>
    <w:rsid w:val="000A1D2F"/>
    <w:rsid w:val="000A21EE"/>
    <w:rsid w:val="000A292F"/>
    <w:rsid w:val="000A2B6A"/>
    <w:rsid w:val="000A2D01"/>
    <w:rsid w:val="000A361D"/>
    <w:rsid w:val="000A5843"/>
    <w:rsid w:val="000A5B38"/>
    <w:rsid w:val="000A7168"/>
    <w:rsid w:val="000B155F"/>
    <w:rsid w:val="000B2361"/>
    <w:rsid w:val="000B3397"/>
    <w:rsid w:val="000B3B3F"/>
    <w:rsid w:val="000B4031"/>
    <w:rsid w:val="000B4ABB"/>
    <w:rsid w:val="000B4B24"/>
    <w:rsid w:val="000B65C8"/>
    <w:rsid w:val="000B6A3E"/>
    <w:rsid w:val="000B792A"/>
    <w:rsid w:val="000B797F"/>
    <w:rsid w:val="000C1FF3"/>
    <w:rsid w:val="000C2CF3"/>
    <w:rsid w:val="000C476B"/>
    <w:rsid w:val="000D2A14"/>
    <w:rsid w:val="000D2F45"/>
    <w:rsid w:val="000D35E2"/>
    <w:rsid w:val="000D4148"/>
    <w:rsid w:val="000D547C"/>
    <w:rsid w:val="000D6946"/>
    <w:rsid w:val="000D725B"/>
    <w:rsid w:val="000E04DA"/>
    <w:rsid w:val="000E1A70"/>
    <w:rsid w:val="000E4F12"/>
    <w:rsid w:val="000E52AB"/>
    <w:rsid w:val="000E6507"/>
    <w:rsid w:val="000F02EB"/>
    <w:rsid w:val="000F096E"/>
    <w:rsid w:val="000F25AE"/>
    <w:rsid w:val="000F2AC4"/>
    <w:rsid w:val="000F330D"/>
    <w:rsid w:val="000F3E80"/>
    <w:rsid w:val="000F6028"/>
    <w:rsid w:val="000F6D0C"/>
    <w:rsid w:val="000F6DD1"/>
    <w:rsid w:val="000F78F3"/>
    <w:rsid w:val="001012B0"/>
    <w:rsid w:val="00102305"/>
    <w:rsid w:val="0010405F"/>
    <w:rsid w:val="001045D1"/>
    <w:rsid w:val="00104EF4"/>
    <w:rsid w:val="00107BBC"/>
    <w:rsid w:val="00110EE3"/>
    <w:rsid w:val="001127F8"/>
    <w:rsid w:val="0011313C"/>
    <w:rsid w:val="00113AB2"/>
    <w:rsid w:val="00114118"/>
    <w:rsid w:val="0011529D"/>
    <w:rsid w:val="00115DA2"/>
    <w:rsid w:val="00116307"/>
    <w:rsid w:val="001215C2"/>
    <w:rsid w:val="00122BB3"/>
    <w:rsid w:val="00123316"/>
    <w:rsid w:val="001244E0"/>
    <w:rsid w:val="0012491C"/>
    <w:rsid w:val="00124AA2"/>
    <w:rsid w:val="00124FF1"/>
    <w:rsid w:val="001264D1"/>
    <w:rsid w:val="00126EC4"/>
    <w:rsid w:val="00130703"/>
    <w:rsid w:val="0013190A"/>
    <w:rsid w:val="001329FD"/>
    <w:rsid w:val="00135A76"/>
    <w:rsid w:val="001402F9"/>
    <w:rsid w:val="001409C4"/>
    <w:rsid w:val="00140CE9"/>
    <w:rsid w:val="00142B56"/>
    <w:rsid w:val="00144510"/>
    <w:rsid w:val="00145002"/>
    <w:rsid w:val="001454D5"/>
    <w:rsid w:val="00145B50"/>
    <w:rsid w:val="00145C65"/>
    <w:rsid w:val="00150F4F"/>
    <w:rsid w:val="00153908"/>
    <w:rsid w:val="00153DD8"/>
    <w:rsid w:val="00154498"/>
    <w:rsid w:val="00156213"/>
    <w:rsid w:val="001566D4"/>
    <w:rsid w:val="0015677F"/>
    <w:rsid w:val="001571D8"/>
    <w:rsid w:val="0015732E"/>
    <w:rsid w:val="001576CD"/>
    <w:rsid w:val="00160B89"/>
    <w:rsid w:val="00162002"/>
    <w:rsid w:val="00162E94"/>
    <w:rsid w:val="0016416B"/>
    <w:rsid w:val="00166449"/>
    <w:rsid w:val="00166B16"/>
    <w:rsid w:val="00170036"/>
    <w:rsid w:val="00173F88"/>
    <w:rsid w:val="0017660E"/>
    <w:rsid w:val="00180E7E"/>
    <w:rsid w:val="00185861"/>
    <w:rsid w:val="001926CC"/>
    <w:rsid w:val="00192CFA"/>
    <w:rsid w:val="00192FFD"/>
    <w:rsid w:val="001934F8"/>
    <w:rsid w:val="0019395D"/>
    <w:rsid w:val="001940F9"/>
    <w:rsid w:val="001942DF"/>
    <w:rsid w:val="00194ECA"/>
    <w:rsid w:val="00196DEF"/>
    <w:rsid w:val="001A0386"/>
    <w:rsid w:val="001A1313"/>
    <w:rsid w:val="001A14B9"/>
    <w:rsid w:val="001A15BF"/>
    <w:rsid w:val="001A23ED"/>
    <w:rsid w:val="001A24B5"/>
    <w:rsid w:val="001A2945"/>
    <w:rsid w:val="001A2DE3"/>
    <w:rsid w:val="001A3DC9"/>
    <w:rsid w:val="001A40BD"/>
    <w:rsid w:val="001A4306"/>
    <w:rsid w:val="001A4373"/>
    <w:rsid w:val="001A5CB4"/>
    <w:rsid w:val="001A7158"/>
    <w:rsid w:val="001A784D"/>
    <w:rsid w:val="001B02BE"/>
    <w:rsid w:val="001B04D3"/>
    <w:rsid w:val="001B0D2D"/>
    <w:rsid w:val="001B0EFF"/>
    <w:rsid w:val="001B2626"/>
    <w:rsid w:val="001B2C41"/>
    <w:rsid w:val="001B5E41"/>
    <w:rsid w:val="001B61C0"/>
    <w:rsid w:val="001B6FED"/>
    <w:rsid w:val="001C025A"/>
    <w:rsid w:val="001C27B0"/>
    <w:rsid w:val="001C2C10"/>
    <w:rsid w:val="001C37B5"/>
    <w:rsid w:val="001C382A"/>
    <w:rsid w:val="001C6305"/>
    <w:rsid w:val="001C6948"/>
    <w:rsid w:val="001C7A17"/>
    <w:rsid w:val="001C7CF4"/>
    <w:rsid w:val="001D1BF1"/>
    <w:rsid w:val="001D3CAA"/>
    <w:rsid w:val="001D5482"/>
    <w:rsid w:val="001D5664"/>
    <w:rsid w:val="001D566F"/>
    <w:rsid w:val="001D5EB1"/>
    <w:rsid w:val="001E15B2"/>
    <w:rsid w:val="001E3E82"/>
    <w:rsid w:val="001E644B"/>
    <w:rsid w:val="001E667D"/>
    <w:rsid w:val="001E6E97"/>
    <w:rsid w:val="001F117F"/>
    <w:rsid w:val="001F1B53"/>
    <w:rsid w:val="001F1B86"/>
    <w:rsid w:val="001F1D8A"/>
    <w:rsid w:val="001F2211"/>
    <w:rsid w:val="001F41A5"/>
    <w:rsid w:val="001F6878"/>
    <w:rsid w:val="00200F09"/>
    <w:rsid w:val="002029DE"/>
    <w:rsid w:val="00204646"/>
    <w:rsid w:val="0020472E"/>
    <w:rsid w:val="0020655A"/>
    <w:rsid w:val="0020659E"/>
    <w:rsid w:val="002074A3"/>
    <w:rsid w:val="00210EC4"/>
    <w:rsid w:val="0021585F"/>
    <w:rsid w:val="00215CFF"/>
    <w:rsid w:val="00216399"/>
    <w:rsid w:val="002166D6"/>
    <w:rsid w:val="00220167"/>
    <w:rsid w:val="002201E8"/>
    <w:rsid w:val="002204E1"/>
    <w:rsid w:val="002225D3"/>
    <w:rsid w:val="002243D8"/>
    <w:rsid w:val="00225A33"/>
    <w:rsid w:val="00226CC4"/>
    <w:rsid w:val="00227F91"/>
    <w:rsid w:val="002317D9"/>
    <w:rsid w:val="0023182F"/>
    <w:rsid w:val="00231F20"/>
    <w:rsid w:val="00232876"/>
    <w:rsid w:val="002328F1"/>
    <w:rsid w:val="00232F7E"/>
    <w:rsid w:val="00232FAD"/>
    <w:rsid w:val="0023400C"/>
    <w:rsid w:val="00234CC4"/>
    <w:rsid w:val="00234DB5"/>
    <w:rsid w:val="0023574F"/>
    <w:rsid w:val="002378BB"/>
    <w:rsid w:val="00240BDC"/>
    <w:rsid w:val="002457CA"/>
    <w:rsid w:val="00245FAA"/>
    <w:rsid w:val="00246A77"/>
    <w:rsid w:val="00250260"/>
    <w:rsid w:val="002521D8"/>
    <w:rsid w:val="002561D6"/>
    <w:rsid w:val="00256C59"/>
    <w:rsid w:val="002606DA"/>
    <w:rsid w:val="00260D36"/>
    <w:rsid w:val="002611DD"/>
    <w:rsid w:val="0026205B"/>
    <w:rsid w:val="00262404"/>
    <w:rsid w:val="002639BA"/>
    <w:rsid w:val="002639C6"/>
    <w:rsid w:val="00263BAE"/>
    <w:rsid w:val="00263E77"/>
    <w:rsid w:val="00263ECE"/>
    <w:rsid w:val="00266A65"/>
    <w:rsid w:val="00266AF7"/>
    <w:rsid w:val="00266F47"/>
    <w:rsid w:val="00267754"/>
    <w:rsid w:val="00270542"/>
    <w:rsid w:val="0027061A"/>
    <w:rsid w:val="00270AAB"/>
    <w:rsid w:val="00271DC7"/>
    <w:rsid w:val="00271E47"/>
    <w:rsid w:val="0027226C"/>
    <w:rsid w:val="00274D0E"/>
    <w:rsid w:val="002753BC"/>
    <w:rsid w:val="002755E2"/>
    <w:rsid w:val="00275D6F"/>
    <w:rsid w:val="0027639B"/>
    <w:rsid w:val="00280302"/>
    <w:rsid w:val="00280641"/>
    <w:rsid w:val="00280DCF"/>
    <w:rsid w:val="0028143B"/>
    <w:rsid w:val="0028241E"/>
    <w:rsid w:val="002827C9"/>
    <w:rsid w:val="00282963"/>
    <w:rsid w:val="00284314"/>
    <w:rsid w:val="00287202"/>
    <w:rsid w:val="0029408D"/>
    <w:rsid w:val="002957F8"/>
    <w:rsid w:val="00296844"/>
    <w:rsid w:val="00297D66"/>
    <w:rsid w:val="00297E02"/>
    <w:rsid w:val="002A01BB"/>
    <w:rsid w:val="002A1702"/>
    <w:rsid w:val="002A209C"/>
    <w:rsid w:val="002A2FF5"/>
    <w:rsid w:val="002A527F"/>
    <w:rsid w:val="002A7E39"/>
    <w:rsid w:val="002B19F8"/>
    <w:rsid w:val="002B1FDD"/>
    <w:rsid w:val="002B2898"/>
    <w:rsid w:val="002B2954"/>
    <w:rsid w:val="002B2D80"/>
    <w:rsid w:val="002B3E3E"/>
    <w:rsid w:val="002B5F18"/>
    <w:rsid w:val="002B603E"/>
    <w:rsid w:val="002B66E8"/>
    <w:rsid w:val="002B6E8A"/>
    <w:rsid w:val="002B7B0E"/>
    <w:rsid w:val="002C0115"/>
    <w:rsid w:val="002C074C"/>
    <w:rsid w:val="002C0DF7"/>
    <w:rsid w:val="002C1DB6"/>
    <w:rsid w:val="002C275F"/>
    <w:rsid w:val="002C30E4"/>
    <w:rsid w:val="002C39D2"/>
    <w:rsid w:val="002C4972"/>
    <w:rsid w:val="002C598B"/>
    <w:rsid w:val="002C5D6B"/>
    <w:rsid w:val="002C68FB"/>
    <w:rsid w:val="002D21BD"/>
    <w:rsid w:val="002D27B8"/>
    <w:rsid w:val="002D296F"/>
    <w:rsid w:val="002D2EC2"/>
    <w:rsid w:val="002D3FA5"/>
    <w:rsid w:val="002D4116"/>
    <w:rsid w:val="002D4DC4"/>
    <w:rsid w:val="002D503A"/>
    <w:rsid w:val="002D5880"/>
    <w:rsid w:val="002D5CA9"/>
    <w:rsid w:val="002D5DF1"/>
    <w:rsid w:val="002D66D2"/>
    <w:rsid w:val="002D69B2"/>
    <w:rsid w:val="002D6E8C"/>
    <w:rsid w:val="002D7B14"/>
    <w:rsid w:val="002E0E66"/>
    <w:rsid w:val="002E0EB5"/>
    <w:rsid w:val="002E2CF8"/>
    <w:rsid w:val="002E4EFB"/>
    <w:rsid w:val="002E5C02"/>
    <w:rsid w:val="002E6FDD"/>
    <w:rsid w:val="002E73A7"/>
    <w:rsid w:val="002E7EBB"/>
    <w:rsid w:val="002F0197"/>
    <w:rsid w:val="002F10D6"/>
    <w:rsid w:val="002F274E"/>
    <w:rsid w:val="002F3370"/>
    <w:rsid w:val="002F33CC"/>
    <w:rsid w:val="002F3F2E"/>
    <w:rsid w:val="002F46AE"/>
    <w:rsid w:val="002F7C66"/>
    <w:rsid w:val="0030037E"/>
    <w:rsid w:val="00301850"/>
    <w:rsid w:val="00302B30"/>
    <w:rsid w:val="00303CB3"/>
    <w:rsid w:val="003053F4"/>
    <w:rsid w:val="00306D39"/>
    <w:rsid w:val="00307670"/>
    <w:rsid w:val="00310E7A"/>
    <w:rsid w:val="003114AA"/>
    <w:rsid w:val="00311798"/>
    <w:rsid w:val="00312618"/>
    <w:rsid w:val="0031298E"/>
    <w:rsid w:val="00313462"/>
    <w:rsid w:val="00313805"/>
    <w:rsid w:val="0031395D"/>
    <w:rsid w:val="00314803"/>
    <w:rsid w:val="0031488D"/>
    <w:rsid w:val="0031493E"/>
    <w:rsid w:val="00316BC8"/>
    <w:rsid w:val="003208AB"/>
    <w:rsid w:val="00321607"/>
    <w:rsid w:val="003226B0"/>
    <w:rsid w:val="00322748"/>
    <w:rsid w:val="00322BD5"/>
    <w:rsid w:val="0032313B"/>
    <w:rsid w:val="00324858"/>
    <w:rsid w:val="0032526B"/>
    <w:rsid w:val="003268B5"/>
    <w:rsid w:val="00327303"/>
    <w:rsid w:val="00333AD4"/>
    <w:rsid w:val="0033437F"/>
    <w:rsid w:val="00334447"/>
    <w:rsid w:val="00334550"/>
    <w:rsid w:val="00334878"/>
    <w:rsid w:val="00335359"/>
    <w:rsid w:val="00335966"/>
    <w:rsid w:val="00342730"/>
    <w:rsid w:val="00344CF5"/>
    <w:rsid w:val="00345065"/>
    <w:rsid w:val="00346F38"/>
    <w:rsid w:val="003471AB"/>
    <w:rsid w:val="0034765A"/>
    <w:rsid w:val="0035021F"/>
    <w:rsid w:val="0035138D"/>
    <w:rsid w:val="00351D1C"/>
    <w:rsid w:val="00353007"/>
    <w:rsid w:val="003562A3"/>
    <w:rsid w:val="00357E08"/>
    <w:rsid w:val="003619C4"/>
    <w:rsid w:val="00362123"/>
    <w:rsid w:val="00362554"/>
    <w:rsid w:val="003635FB"/>
    <w:rsid w:val="00363F7C"/>
    <w:rsid w:val="0036453F"/>
    <w:rsid w:val="0036477A"/>
    <w:rsid w:val="00364A9C"/>
    <w:rsid w:val="0036569C"/>
    <w:rsid w:val="00365E90"/>
    <w:rsid w:val="00366E6D"/>
    <w:rsid w:val="003731FC"/>
    <w:rsid w:val="00373368"/>
    <w:rsid w:val="00373895"/>
    <w:rsid w:val="00373A52"/>
    <w:rsid w:val="00373D5B"/>
    <w:rsid w:val="0037412E"/>
    <w:rsid w:val="003753FA"/>
    <w:rsid w:val="00375D63"/>
    <w:rsid w:val="00376B4C"/>
    <w:rsid w:val="00377515"/>
    <w:rsid w:val="00377A70"/>
    <w:rsid w:val="00377F98"/>
    <w:rsid w:val="003800A1"/>
    <w:rsid w:val="00380FA4"/>
    <w:rsid w:val="003833C9"/>
    <w:rsid w:val="00383C11"/>
    <w:rsid w:val="0038414D"/>
    <w:rsid w:val="00384F35"/>
    <w:rsid w:val="0038539F"/>
    <w:rsid w:val="003860C1"/>
    <w:rsid w:val="00390EF8"/>
    <w:rsid w:val="0039110F"/>
    <w:rsid w:val="00391315"/>
    <w:rsid w:val="00392F14"/>
    <w:rsid w:val="0039330C"/>
    <w:rsid w:val="003937CA"/>
    <w:rsid w:val="00395824"/>
    <w:rsid w:val="003959B2"/>
    <w:rsid w:val="003A0AAA"/>
    <w:rsid w:val="003A20C1"/>
    <w:rsid w:val="003A2919"/>
    <w:rsid w:val="003A4254"/>
    <w:rsid w:val="003A4559"/>
    <w:rsid w:val="003A72B4"/>
    <w:rsid w:val="003B006C"/>
    <w:rsid w:val="003B078B"/>
    <w:rsid w:val="003B1C41"/>
    <w:rsid w:val="003B1DC7"/>
    <w:rsid w:val="003B33D0"/>
    <w:rsid w:val="003B45D5"/>
    <w:rsid w:val="003B4781"/>
    <w:rsid w:val="003B4BD5"/>
    <w:rsid w:val="003B61F3"/>
    <w:rsid w:val="003B68D7"/>
    <w:rsid w:val="003B7097"/>
    <w:rsid w:val="003C0E25"/>
    <w:rsid w:val="003C12D0"/>
    <w:rsid w:val="003C22E5"/>
    <w:rsid w:val="003C23B8"/>
    <w:rsid w:val="003C3D17"/>
    <w:rsid w:val="003C4AD5"/>
    <w:rsid w:val="003C588F"/>
    <w:rsid w:val="003C5B54"/>
    <w:rsid w:val="003C5DB5"/>
    <w:rsid w:val="003C63B7"/>
    <w:rsid w:val="003D0037"/>
    <w:rsid w:val="003D03D8"/>
    <w:rsid w:val="003D089C"/>
    <w:rsid w:val="003D28C7"/>
    <w:rsid w:val="003D3EE5"/>
    <w:rsid w:val="003D4A48"/>
    <w:rsid w:val="003D55FF"/>
    <w:rsid w:val="003D5A96"/>
    <w:rsid w:val="003D6297"/>
    <w:rsid w:val="003D65D5"/>
    <w:rsid w:val="003E4915"/>
    <w:rsid w:val="003E57D6"/>
    <w:rsid w:val="003E7329"/>
    <w:rsid w:val="003E74E0"/>
    <w:rsid w:val="003E7709"/>
    <w:rsid w:val="003F09D8"/>
    <w:rsid w:val="003F14E9"/>
    <w:rsid w:val="003F26A9"/>
    <w:rsid w:val="003F37DA"/>
    <w:rsid w:val="003F3C05"/>
    <w:rsid w:val="003F43ED"/>
    <w:rsid w:val="003F4C3E"/>
    <w:rsid w:val="003F695F"/>
    <w:rsid w:val="00400AFB"/>
    <w:rsid w:val="004025FC"/>
    <w:rsid w:val="0040387C"/>
    <w:rsid w:val="00404267"/>
    <w:rsid w:val="004044E4"/>
    <w:rsid w:val="00405694"/>
    <w:rsid w:val="00405B6E"/>
    <w:rsid w:val="004070D7"/>
    <w:rsid w:val="00407FDA"/>
    <w:rsid w:val="00411BBE"/>
    <w:rsid w:val="0041312F"/>
    <w:rsid w:val="004134D8"/>
    <w:rsid w:val="00415BEA"/>
    <w:rsid w:val="00415E7B"/>
    <w:rsid w:val="00416254"/>
    <w:rsid w:val="00416270"/>
    <w:rsid w:val="004171D5"/>
    <w:rsid w:val="00421616"/>
    <w:rsid w:val="004236AA"/>
    <w:rsid w:val="00423E60"/>
    <w:rsid w:val="00424F30"/>
    <w:rsid w:val="0042512D"/>
    <w:rsid w:val="00426969"/>
    <w:rsid w:val="0043020C"/>
    <w:rsid w:val="00430289"/>
    <w:rsid w:val="00432079"/>
    <w:rsid w:val="0043287F"/>
    <w:rsid w:val="00433897"/>
    <w:rsid w:val="004359E0"/>
    <w:rsid w:val="00435ABB"/>
    <w:rsid w:val="004379B1"/>
    <w:rsid w:val="00441E9D"/>
    <w:rsid w:val="00442AEB"/>
    <w:rsid w:val="00443C5F"/>
    <w:rsid w:val="00444C7D"/>
    <w:rsid w:val="004454EC"/>
    <w:rsid w:val="0044667E"/>
    <w:rsid w:val="00447361"/>
    <w:rsid w:val="00450209"/>
    <w:rsid w:val="0045128B"/>
    <w:rsid w:val="00451988"/>
    <w:rsid w:val="00452AC0"/>
    <w:rsid w:val="004540CC"/>
    <w:rsid w:val="00454102"/>
    <w:rsid w:val="004557D7"/>
    <w:rsid w:val="00457CE3"/>
    <w:rsid w:val="004603F9"/>
    <w:rsid w:val="00460FBC"/>
    <w:rsid w:val="00462B2D"/>
    <w:rsid w:val="00463B0E"/>
    <w:rsid w:val="00463BD6"/>
    <w:rsid w:val="00464A9F"/>
    <w:rsid w:val="00472484"/>
    <w:rsid w:val="00472CA3"/>
    <w:rsid w:val="00473184"/>
    <w:rsid w:val="00475AC0"/>
    <w:rsid w:val="00476966"/>
    <w:rsid w:val="00477C6A"/>
    <w:rsid w:val="0048056F"/>
    <w:rsid w:val="00483891"/>
    <w:rsid w:val="00484A83"/>
    <w:rsid w:val="004855F8"/>
    <w:rsid w:val="004870D6"/>
    <w:rsid w:val="0048726A"/>
    <w:rsid w:val="00487F88"/>
    <w:rsid w:val="0049048F"/>
    <w:rsid w:val="004906FC"/>
    <w:rsid w:val="00491166"/>
    <w:rsid w:val="004929F5"/>
    <w:rsid w:val="00492A53"/>
    <w:rsid w:val="00494C37"/>
    <w:rsid w:val="00495333"/>
    <w:rsid w:val="00496160"/>
    <w:rsid w:val="004A032F"/>
    <w:rsid w:val="004A1AEE"/>
    <w:rsid w:val="004A202C"/>
    <w:rsid w:val="004A227A"/>
    <w:rsid w:val="004A2E34"/>
    <w:rsid w:val="004A34BF"/>
    <w:rsid w:val="004A57CF"/>
    <w:rsid w:val="004A5921"/>
    <w:rsid w:val="004A5E0A"/>
    <w:rsid w:val="004A6382"/>
    <w:rsid w:val="004A72F9"/>
    <w:rsid w:val="004A7373"/>
    <w:rsid w:val="004A7871"/>
    <w:rsid w:val="004A7ECD"/>
    <w:rsid w:val="004B1854"/>
    <w:rsid w:val="004B24B0"/>
    <w:rsid w:val="004B2D2C"/>
    <w:rsid w:val="004B49A6"/>
    <w:rsid w:val="004B6B6F"/>
    <w:rsid w:val="004B7156"/>
    <w:rsid w:val="004B7F53"/>
    <w:rsid w:val="004C147A"/>
    <w:rsid w:val="004C1B5D"/>
    <w:rsid w:val="004C1B94"/>
    <w:rsid w:val="004C2169"/>
    <w:rsid w:val="004C4EBB"/>
    <w:rsid w:val="004C7408"/>
    <w:rsid w:val="004D0E82"/>
    <w:rsid w:val="004D11A7"/>
    <w:rsid w:val="004D1A10"/>
    <w:rsid w:val="004D1AD8"/>
    <w:rsid w:val="004D1DE4"/>
    <w:rsid w:val="004D257D"/>
    <w:rsid w:val="004D259F"/>
    <w:rsid w:val="004D6175"/>
    <w:rsid w:val="004D69E9"/>
    <w:rsid w:val="004E0FBE"/>
    <w:rsid w:val="004E103A"/>
    <w:rsid w:val="004E11C5"/>
    <w:rsid w:val="004E1554"/>
    <w:rsid w:val="004E352F"/>
    <w:rsid w:val="004E40D1"/>
    <w:rsid w:val="004E4592"/>
    <w:rsid w:val="004E7ADD"/>
    <w:rsid w:val="004F265F"/>
    <w:rsid w:val="004F4625"/>
    <w:rsid w:val="004F5E35"/>
    <w:rsid w:val="004F6B19"/>
    <w:rsid w:val="004F7041"/>
    <w:rsid w:val="00501BAA"/>
    <w:rsid w:val="005026AF"/>
    <w:rsid w:val="00503953"/>
    <w:rsid w:val="005040D2"/>
    <w:rsid w:val="00504137"/>
    <w:rsid w:val="005042E2"/>
    <w:rsid w:val="005043CE"/>
    <w:rsid w:val="005045A5"/>
    <w:rsid w:val="00504AAE"/>
    <w:rsid w:val="005050E7"/>
    <w:rsid w:val="005052CD"/>
    <w:rsid w:val="00505DB5"/>
    <w:rsid w:val="00507BB6"/>
    <w:rsid w:val="00507BC4"/>
    <w:rsid w:val="00507E2D"/>
    <w:rsid w:val="005102BC"/>
    <w:rsid w:val="005108F6"/>
    <w:rsid w:val="00512EF9"/>
    <w:rsid w:val="00513F07"/>
    <w:rsid w:val="005154A4"/>
    <w:rsid w:val="005157FA"/>
    <w:rsid w:val="005159BC"/>
    <w:rsid w:val="00515A35"/>
    <w:rsid w:val="005174A7"/>
    <w:rsid w:val="005176F0"/>
    <w:rsid w:val="00517701"/>
    <w:rsid w:val="00517A57"/>
    <w:rsid w:val="00520F91"/>
    <w:rsid w:val="00521790"/>
    <w:rsid w:val="00522010"/>
    <w:rsid w:val="00523E73"/>
    <w:rsid w:val="00527F31"/>
    <w:rsid w:val="00530C80"/>
    <w:rsid w:val="00530D2C"/>
    <w:rsid w:val="00530D58"/>
    <w:rsid w:val="00534DF4"/>
    <w:rsid w:val="00536082"/>
    <w:rsid w:val="00540793"/>
    <w:rsid w:val="005425F7"/>
    <w:rsid w:val="005426BE"/>
    <w:rsid w:val="00542875"/>
    <w:rsid w:val="00543414"/>
    <w:rsid w:val="00544A2F"/>
    <w:rsid w:val="005472C8"/>
    <w:rsid w:val="00550306"/>
    <w:rsid w:val="00550F08"/>
    <w:rsid w:val="00550F28"/>
    <w:rsid w:val="0055134D"/>
    <w:rsid w:val="00552980"/>
    <w:rsid w:val="0055380C"/>
    <w:rsid w:val="00554B96"/>
    <w:rsid w:val="00555EAA"/>
    <w:rsid w:val="005563B3"/>
    <w:rsid w:val="00557567"/>
    <w:rsid w:val="00560A9A"/>
    <w:rsid w:val="0056187D"/>
    <w:rsid w:val="00565292"/>
    <w:rsid w:val="00567AC0"/>
    <w:rsid w:val="00567B28"/>
    <w:rsid w:val="00570C17"/>
    <w:rsid w:val="00571EA5"/>
    <w:rsid w:val="005739FF"/>
    <w:rsid w:val="00574A28"/>
    <w:rsid w:val="00575E47"/>
    <w:rsid w:val="005771B2"/>
    <w:rsid w:val="00580711"/>
    <w:rsid w:val="00580899"/>
    <w:rsid w:val="00581391"/>
    <w:rsid w:val="005838EB"/>
    <w:rsid w:val="00583B92"/>
    <w:rsid w:val="005841A8"/>
    <w:rsid w:val="00584CC5"/>
    <w:rsid w:val="005869DE"/>
    <w:rsid w:val="00586A66"/>
    <w:rsid w:val="00587426"/>
    <w:rsid w:val="00587D54"/>
    <w:rsid w:val="00587EE7"/>
    <w:rsid w:val="00590A2D"/>
    <w:rsid w:val="00590D3B"/>
    <w:rsid w:val="005911C1"/>
    <w:rsid w:val="00591651"/>
    <w:rsid w:val="00591F25"/>
    <w:rsid w:val="00593798"/>
    <w:rsid w:val="00593BF7"/>
    <w:rsid w:val="005957D9"/>
    <w:rsid w:val="00595E5C"/>
    <w:rsid w:val="0059618D"/>
    <w:rsid w:val="00596574"/>
    <w:rsid w:val="00597136"/>
    <w:rsid w:val="00597797"/>
    <w:rsid w:val="005A30FA"/>
    <w:rsid w:val="005A3102"/>
    <w:rsid w:val="005A37D0"/>
    <w:rsid w:val="005A47A8"/>
    <w:rsid w:val="005A6163"/>
    <w:rsid w:val="005A6197"/>
    <w:rsid w:val="005A6572"/>
    <w:rsid w:val="005A6F93"/>
    <w:rsid w:val="005B1FB9"/>
    <w:rsid w:val="005B45AB"/>
    <w:rsid w:val="005B5AD5"/>
    <w:rsid w:val="005B686C"/>
    <w:rsid w:val="005C14D1"/>
    <w:rsid w:val="005C2A78"/>
    <w:rsid w:val="005C40EC"/>
    <w:rsid w:val="005C5082"/>
    <w:rsid w:val="005C7466"/>
    <w:rsid w:val="005D068B"/>
    <w:rsid w:val="005D1B9D"/>
    <w:rsid w:val="005D4265"/>
    <w:rsid w:val="005D4353"/>
    <w:rsid w:val="005D487C"/>
    <w:rsid w:val="005D5061"/>
    <w:rsid w:val="005D56E2"/>
    <w:rsid w:val="005D5A1B"/>
    <w:rsid w:val="005D5D55"/>
    <w:rsid w:val="005D633F"/>
    <w:rsid w:val="005D72C6"/>
    <w:rsid w:val="005E0953"/>
    <w:rsid w:val="005E12CD"/>
    <w:rsid w:val="005E203F"/>
    <w:rsid w:val="005E35F3"/>
    <w:rsid w:val="005E53DF"/>
    <w:rsid w:val="005E5493"/>
    <w:rsid w:val="005E7429"/>
    <w:rsid w:val="005E7F05"/>
    <w:rsid w:val="005F2901"/>
    <w:rsid w:val="005F2A2F"/>
    <w:rsid w:val="005F549C"/>
    <w:rsid w:val="005F54A7"/>
    <w:rsid w:val="005F5BB2"/>
    <w:rsid w:val="00601602"/>
    <w:rsid w:val="00602F63"/>
    <w:rsid w:val="00604A65"/>
    <w:rsid w:val="006053D0"/>
    <w:rsid w:val="006064E1"/>
    <w:rsid w:val="006065B0"/>
    <w:rsid w:val="00606AD7"/>
    <w:rsid w:val="00607AA4"/>
    <w:rsid w:val="006106C0"/>
    <w:rsid w:val="006114E4"/>
    <w:rsid w:val="006132AB"/>
    <w:rsid w:val="0061683F"/>
    <w:rsid w:val="0061774E"/>
    <w:rsid w:val="00617CF2"/>
    <w:rsid w:val="00620115"/>
    <w:rsid w:val="006204E9"/>
    <w:rsid w:val="00620A0E"/>
    <w:rsid w:val="00622564"/>
    <w:rsid w:val="00623101"/>
    <w:rsid w:val="0062319D"/>
    <w:rsid w:val="006246BC"/>
    <w:rsid w:val="006249D1"/>
    <w:rsid w:val="006254CB"/>
    <w:rsid w:val="00625901"/>
    <w:rsid w:val="006260C8"/>
    <w:rsid w:val="00626D22"/>
    <w:rsid w:val="0063040B"/>
    <w:rsid w:val="00630495"/>
    <w:rsid w:val="006312A6"/>
    <w:rsid w:val="0063214E"/>
    <w:rsid w:val="0063252F"/>
    <w:rsid w:val="00635F04"/>
    <w:rsid w:val="006378AD"/>
    <w:rsid w:val="00637AE7"/>
    <w:rsid w:val="006407F2"/>
    <w:rsid w:val="00642509"/>
    <w:rsid w:val="0064576F"/>
    <w:rsid w:val="006466F0"/>
    <w:rsid w:val="0064780E"/>
    <w:rsid w:val="00647BEF"/>
    <w:rsid w:val="006500FB"/>
    <w:rsid w:val="0065117C"/>
    <w:rsid w:val="006522C8"/>
    <w:rsid w:val="00653578"/>
    <w:rsid w:val="00654029"/>
    <w:rsid w:val="00654063"/>
    <w:rsid w:val="0065423A"/>
    <w:rsid w:val="00654307"/>
    <w:rsid w:val="0065498A"/>
    <w:rsid w:val="00656DBC"/>
    <w:rsid w:val="006579BE"/>
    <w:rsid w:val="00661442"/>
    <w:rsid w:val="00661E83"/>
    <w:rsid w:val="006666A8"/>
    <w:rsid w:val="00666CD9"/>
    <w:rsid w:val="006671D9"/>
    <w:rsid w:val="00667438"/>
    <w:rsid w:val="00667E82"/>
    <w:rsid w:val="00670337"/>
    <w:rsid w:val="00672E03"/>
    <w:rsid w:val="00673465"/>
    <w:rsid w:val="00677A8E"/>
    <w:rsid w:val="00677AC9"/>
    <w:rsid w:val="006804F6"/>
    <w:rsid w:val="00680B8A"/>
    <w:rsid w:val="00681A3A"/>
    <w:rsid w:val="00682A0D"/>
    <w:rsid w:val="00684741"/>
    <w:rsid w:val="00686618"/>
    <w:rsid w:val="006868DF"/>
    <w:rsid w:val="00690058"/>
    <w:rsid w:val="006914EA"/>
    <w:rsid w:val="006917EF"/>
    <w:rsid w:val="00691B24"/>
    <w:rsid w:val="00692060"/>
    <w:rsid w:val="006920CC"/>
    <w:rsid w:val="00693D3A"/>
    <w:rsid w:val="00694388"/>
    <w:rsid w:val="006952B5"/>
    <w:rsid w:val="006A38DB"/>
    <w:rsid w:val="006A4767"/>
    <w:rsid w:val="006A5144"/>
    <w:rsid w:val="006A5471"/>
    <w:rsid w:val="006A61AD"/>
    <w:rsid w:val="006A6818"/>
    <w:rsid w:val="006A7EDE"/>
    <w:rsid w:val="006B0BD4"/>
    <w:rsid w:val="006B0E35"/>
    <w:rsid w:val="006B171B"/>
    <w:rsid w:val="006B41D8"/>
    <w:rsid w:val="006B5165"/>
    <w:rsid w:val="006B5692"/>
    <w:rsid w:val="006B5D14"/>
    <w:rsid w:val="006C059A"/>
    <w:rsid w:val="006C5D21"/>
    <w:rsid w:val="006C5DB5"/>
    <w:rsid w:val="006C775C"/>
    <w:rsid w:val="006C7DEA"/>
    <w:rsid w:val="006D1C5E"/>
    <w:rsid w:val="006D1D5A"/>
    <w:rsid w:val="006D3A04"/>
    <w:rsid w:val="006D543B"/>
    <w:rsid w:val="006D7589"/>
    <w:rsid w:val="006D7BEE"/>
    <w:rsid w:val="006E08D1"/>
    <w:rsid w:val="006E12A0"/>
    <w:rsid w:val="006E199C"/>
    <w:rsid w:val="006E4D12"/>
    <w:rsid w:val="006E52E0"/>
    <w:rsid w:val="006E5B33"/>
    <w:rsid w:val="006E6952"/>
    <w:rsid w:val="006E6BDB"/>
    <w:rsid w:val="006E7DA7"/>
    <w:rsid w:val="006F0193"/>
    <w:rsid w:val="006F01C3"/>
    <w:rsid w:val="006F056A"/>
    <w:rsid w:val="006F1821"/>
    <w:rsid w:val="006F2829"/>
    <w:rsid w:val="006F36ED"/>
    <w:rsid w:val="006F3FAD"/>
    <w:rsid w:val="006F5B31"/>
    <w:rsid w:val="006F61C5"/>
    <w:rsid w:val="006F66CA"/>
    <w:rsid w:val="006F708C"/>
    <w:rsid w:val="006F74BD"/>
    <w:rsid w:val="006F76A5"/>
    <w:rsid w:val="007006C5"/>
    <w:rsid w:val="00700F4B"/>
    <w:rsid w:val="00701B05"/>
    <w:rsid w:val="00704B56"/>
    <w:rsid w:val="00704E3B"/>
    <w:rsid w:val="0070689F"/>
    <w:rsid w:val="00706930"/>
    <w:rsid w:val="007102F9"/>
    <w:rsid w:val="00710E67"/>
    <w:rsid w:val="00711283"/>
    <w:rsid w:val="00713DCD"/>
    <w:rsid w:val="00715453"/>
    <w:rsid w:val="00715ECB"/>
    <w:rsid w:val="007179D5"/>
    <w:rsid w:val="007229BC"/>
    <w:rsid w:val="007238C9"/>
    <w:rsid w:val="007251C1"/>
    <w:rsid w:val="00730399"/>
    <w:rsid w:val="007313F6"/>
    <w:rsid w:val="00732005"/>
    <w:rsid w:val="00732105"/>
    <w:rsid w:val="007333E5"/>
    <w:rsid w:val="00734186"/>
    <w:rsid w:val="007358D6"/>
    <w:rsid w:val="00741FB5"/>
    <w:rsid w:val="00742C5E"/>
    <w:rsid w:val="007445D6"/>
    <w:rsid w:val="0074585D"/>
    <w:rsid w:val="007465CB"/>
    <w:rsid w:val="00746C59"/>
    <w:rsid w:val="00747015"/>
    <w:rsid w:val="00747AA9"/>
    <w:rsid w:val="00747DA3"/>
    <w:rsid w:val="007500C4"/>
    <w:rsid w:val="00750300"/>
    <w:rsid w:val="007507A9"/>
    <w:rsid w:val="00751A7F"/>
    <w:rsid w:val="00753B38"/>
    <w:rsid w:val="00755B42"/>
    <w:rsid w:val="0075627F"/>
    <w:rsid w:val="007575BA"/>
    <w:rsid w:val="007619FA"/>
    <w:rsid w:val="007630C1"/>
    <w:rsid w:val="007632A7"/>
    <w:rsid w:val="007645BD"/>
    <w:rsid w:val="007652CA"/>
    <w:rsid w:val="00765737"/>
    <w:rsid w:val="00766C07"/>
    <w:rsid w:val="00770248"/>
    <w:rsid w:val="00772789"/>
    <w:rsid w:val="00773193"/>
    <w:rsid w:val="00776ADC"/>
    <w:rsid w:val="007823AC"/>
    <w:rsid w:val="00782E3D"/>
    <w:rsid w:val="00783259"/>
    <w:rsid w:val="00783BF5"/>
    <w:rsid w:val="0078744C"/>
    <w:rsid w:val="00787AC3"/>
    <w:rsid w:val="007903AF"/>
    <w:rsid w:val="00790F24"/>
    <w:rsid w:val="00791213"/>
    <w:rsid w:val="00791651"/>
    <w:rsid w:val="007924F6"/>
    <w:rsid w:val="007927AD"/>
    <w:rsid w:val="00792B21"/>
    <w:rsid w:val="00793E47"/>
    <w:rsid w:val="0079482E"/>
    <w:rsid w:val="00797E04"/>
    <w:rsid w:val="007A04F7"/>
    <w:rsid w:val="007A241C"/>
    <w:rsid w:val="007A28EF"/>
    <w:rsid w:val="007A348E"/>
    <w:rsid w:val="007A4C26"/>
    <w:rsid w:val="007A5759"/>
    <w:rsid w:val="007A58E9"/>
    <w:rsid w:val="007A621A"/>
    <w:rsid w:val="007B25B6"/>
    <w:rsid w:val="007B416A"/>
    <w:rsid w:val="007B5D85"/>
    <w:rsid w:val="007B61BD"/>
    <w:rsid w:val="007B65F5"/>
    <w:rsid w:val="007C1AD8"/>
    <w:rsid w:val="007C2280"/>
    <w:rsid w:val="007C2844"/>
    <w:rsid w:val="007C5CAD"/>
    <w:rsid w:val="007D064A"/>
    <w:rsid w:val="007D0CD0"/>
    <w:rsid w:val="007D1730"/>
    <w:rsid w:val="007D2189"/>
    <w:rsid w:val="007D4032"/>
    <w:rsid w:val="007D4FFD"/>
    <w:rsid w:val="007D601C"/>
    <w:rsid w:val="007E02CF"/>
    <w:rsid w:val="007E60B5"/>
    <w:rsid w:val="007F0DDB"/>
    <w:rsid w:val="007F1018"/>
    <w:rsid w:val="007F1745"/>
    <w:rsid w:val="007F3AD4"/>
    <w:rsid w:val="007F42AA"/>
    <w:rsid w:val="007F5385"/>
    <w:rsid w:val="007F5DCE"/>
    <w:rsid w:val="008008F3"/>
    <w:rsid w:val="008011B8"/>
    <w:rsid w:val="008067DE"/>
    <w:rsid w:val="00812158"/>
    <w:rsid w:val="00813A7D"/>
    <w:rsid w:val="00814A2A"/>
    <w:rsid w:val="00815A47"/>
    <w:rsid w:val="00816D8A"/>
    <w:rsid w:val="00817799"/>
    <w:rsid w:val="008207E0"/>
    <w:rsid w:val="00820E48"/>
    <w:rsid w:val="0082214D"/>
    <w:rsid w:val="00823722"/>
    <w:rsid w:val="00825494"/>
    <w:rsid w:val="00825CF1"/>
    <w:rsid w:val="00826B65"/>
    <w:rsid w:val="00827BE9"/>
    <w:rsid w:val="008303EA"/>
    <w:rsid w:val="00832DCA"/>
    <w:rsid w:val="0083708A"/>
    <w:rsid w:val="00837274"/>
    <w:rsid w:val="0084001F"/>
    <w:rsid w:val="008424A4"/>
    <w:rsid w:val="008426FA"/>
    <w:rsid w:val="00847370"/>
    <w:rsid w:val="00850A47"/>
    <w:rsid w:val="00851182"/>
    <w:rsid w:val="00853122"/>
    <w:rsid w:val="0085409A"/>
    <w:rsid w:val="0085550F"/>
    <w:rsid w:val="00855C1B"/>
    <w:rsid w:val="008570E3"/>
    <w:rsid w:val="00857397"/>
    <w:rsid w:val="00860823"/>
    <w:rsid w:val="00860E8E"/>
    <w:rsid w:val="00861DDF"/>
    <w:rsid w:val="00864810"/>
    <w:rsid w:val="00866A8F"/>
    <w:rsid w:val="00867BBF"/>
    <w:rsid w:val="00870F25"/>
    <w:rsid w:val="00871CB9"/>
    <w:rsid w:val="00875B6F"/>
    <w:rsid w:val="00875BC2"/>
    <w:rsid w:val="00875EE6"/>
    <w:rsid w:val="00875F39"/>
    <w:rsid w:val="008768CB"/>
    <w:rsid w:val="00877DA1"/>
    <w:rsid w:val="00881F03"/>
    <w:rsid w:val="00881F94"/>
    <w:rsid w:val="00882511"/>
    <w:rsid w:val="00884274"/>
    <w:rsid w:val="00884D9D"/>
    <w:rsid w:val="00884FF0"/>
    <w:rsid w:val="00886973"/>
    <w:rsid w:val="0089055F"/>
    <w:rsid w:val="00890971"/>
    <w:rsid w:val="00892B0D"/>
    <w:rsid w:val="00894575"/>
    <w:rsid w:val="00894A95"/>
    <w:rsid w:val="00895B33"/>
    <w:rsid w:val="008A096D"/>
    <w:rsid w:val="008A15BD"/>
    <w:rsid w:val="008A4066"/>
    <w:rsid w:val="008A5348"/>
    <w:rsid w:val="008A61DE"/>
    <w:rsid w:val="008B02EF"/>
    <w:rsid w:val="008B04BF"/>
    <w:rsid w:val="008B14B0"/>
    <w:rsid w:val="008B306F"/>
    <w:rsid w:val="008B323A"/>
    <w:rsid w:val="008B3797"/>
    <w:rsid w:val="008B46D8"/>
    <w:rsid w:val="008B4E16"/>
    <w:rsid w:val="008B61F7"/>
    <w:rsid w:val="008B6C33"/>
    <w:rsid w:val="008C051B"/>
    <w:rsid w:val="008C08EA"/>
    <w:rsid w:val="008C10D0"/>
    <w:rsid w:val="008C2081"/>
    <w:rsid w:val="008C3399"/>
    <w:rsid w:val="008C35C5"/>
    <w:rsid w:val="008C74CD"/>
    <w:rsid w:val="008C7D66"/>
    <w:rsid w:val="008D1384"/>
    <w:rsid w:val="008D15DB"/>
    <w:rsid w:val="008D20E1"/>
    <w:rsid w:val="008D2EF6"/>
    <w:rsid w:val="008D37FE"/>
    <w:rsid w:val="008D3E81"/>
    <w:rsid w:val="008E028C"/>
    <w:rsid w:val="008E143E"/>
    <w:rsid w:val="008E22E7"/>
    <w:rsid w:val="008E42ED"/>
    <w:rsid w:val="008E4446"/>
    <w:rsid w:val="008E6548"/>
    <w:rsid w:val="008F12B6"/>
    <w:rsid w:val="008F201B"/>
    <w:rsid w:val="008F21FC"/>
    <w:rsid w:val="008F28BC"/>
    <w:rsid w:val="008F5CAC"/>
    <w:rsid w:val="00900AB4"/>
    <w:rsid w:val="00901DE6"/>
    <w:rsid w:val="00901E89"/>
    <w:rsid w:val="00902757"/>
    <w:rsid w:val="00902D5A"/>
    <w:rsid w:val="009041FA"/>
    <w:rsid w:val="00904473"/>
    <w:rsid w:val="009049C7"/>
    <w:rsid w:val="00904BE3"/>
    <w:rsid w:val="00907364"/>
    <w:rsid w:val="009075A5"/>
    <w:rsid w:val="00913132"/>
    <w:rsid w:val="009156D0"/>
    <w:rsid w:val="0092085A"/>
    <w:rsid w:val="00920BD8"/>
    <w:rsid w:val="00921532"/>
    <w:rsid w:val="00921D1A"/>
    <w:rsid w:val="00922C6B"/>
    <w:rsid w:val="009233FB"/>
    <w:rsid w:val="00923D94"/>
    <w:rsid w:val="00925591"/>
    <w:rsid w:val="00930565"/>
    <w:rsid w:val="00931E5D"/>
    <w:rsid w:val="00932C40"/>
    <w:rsid w:val="0093429E"/>
    <w:rsid w:val="00934B9D"/>
    <w:rsid w:val="00934BE2"/>
    <w:rsid w:val="009354ED"/>
    <w:rsid w:val="009368D5"/>
    <w:rsid w:val="00936FCE"/>
    <w:rsid w:val="00937299"/>
    <w:rsid w:val="00937A22"/>
    <w:rsid w:val="0094029B"/>
    <w:rsid w:val="009406E7"/>
    <w:rsid w:val="009419ED"/>
    <w:rsid w:val="009420F2"/>
    <w:rsid w:val="009424D9"/>
    <w:rsid w:val="009428AA"/>
    <w:rsid w:val="00944378"/>
    <w:rsid w:val="00945C85"/>
    <w:rsid w:val="00947E36"/>
    <w:rsid w:val="00950075"/>
    <w:rsid w:val="00950943"/>
    <w:rsid w:val="00950F6D"/>
    <w:rsid w:val="00951C56"/>
    <w:rsid w:val="009538EF"/>
    <w:rsid w:val="00953CA9"/>
    <w:rsid w:val="00954B17"/>
    <w:rsid w:val="00957EA1"/>
    <w:rsid w:val="009601F0"/>
    <w:rsid w:val="00960318"/>
    <w:rsid w:val="00960596"/>
    <w:rsid w:val="00960730"/>
    <w:rsid w:val="009612BF"/>
    <w:rsid w:val="009619D7"/>
    <w:rsid w:val="00961C8B"/>
    <w:rsid w:val="00962E47"/>
    <w:rsid w:val="00965E5F"/>
    <w:rsid w:val="00965FF2"/>
    <w:rsid w:val="009701A8"/>
    <w:rsid w:val="0097100A"/>
    <w:rsid w:val="009710CC"/>
    <w:rsid w:val="00971106"/>
    <w:rsid w:val="009735C2"/>
    <w:rsid w:val="00973EF6"/>
    <w:rsid w:val="0097531D"/>
    <w:rsid w:val="009759A0"/>
    <w:rsid w:val="00976578"/>
    <w:rsid w:val="009772D8"/>
    <w:rsid w:val="00977875"/>
    <w:rsid w:val="00980771"/>
    <w:rsid w:val="009821A6"/>
    <w:rsid w:val="00982F95"/>
    <w:rsid w:val="00983590"/>
    <w:rsid w:val="009838FA"/>
    <w:rsid w:val="00983EA9"/>
    <w:rsid w:val="00985A16"/>
    <w:rsid w:val="0098740F"/>
    <w:rsid w:val="00987722"/>
    <w:rsid w:val="00987CF8"/>
    <w:rsid w:val="0099036B"/>
    <w:rsid w:val="00990E6C"/>
    <w:rsid w:val="0099191B"/>
    <w:rsid w:val="0099197F"/>
    <w:rsid w:val="00992FC6"/>
    <w:rsid w:val="00993B6A"/>
    <w:rsid w:val="009958C4"/>
    <w:rsid w:val="009976D1"/>
    <w:rsid w:val="009A394F"/>
    <w:rsid w:val="009A3D49"/>
    <w:rsid w:val="009A4002"/>
    <w:rsid w:val="009A46E0"/>
    <w:rsid w:val="009A79EB"/>
    <w:rsid w:val="009A7E8E"/>
    <w:rsid w:val="009B0411"/>
    <w:rsid w:val="009B08B9"/>
    <w:rsid w:val="009B326C"/>
    <w:rsid w:val="009B7FBD"/>
    <w:rsid w:val="009B7FE6"/>
    <w:rsid w:val="009C0637"/>
    <w:rsid w:val="009C0F77"/>
    <w:rsid w:val="009C126B"/>
    <w:rsid w:val="009C28E0"/>
    <w:rsid w:val="009C2C52"/>
    <w:rsid w:val="009C33D8"/>
    <w:rsid w:val="009C43AA"/>
    <w:rsid w:val="009C445A"/>
    <w:rsid w:val="009C5052"/>
    <w:rsid w:val="009C6DDF"/>
    <w:rsid w:val="009D0844"/>
    <w:rsid w:val="009D1BEC"/>
    <w:rsid w:val="009D1ECA"/>
    <w:rsid w:val="009D1F65"/>
    <w:rsid w:val="009D2500"/>
    <w:rsid w:val="009D2556"/>
    <w:rsid w:val="009D28D6"/>
    <w:rsid w:val="009D5526"/>
    <w:rsid w:val="009D57FC"/>
    <w:rsid w:val="009D7F65"/>
    <w:rsid w:val="009E0F3F"/>
    <w:rsid w:val="009E16C4"/>
    <w:rsid w:val="009E1ADF"/>
    <w:rsid w:val="009E1EB8"/>
    <w:rsid w:val="009E332A"/>
    <w:rsid w:val="009E3648"/>
    <w:rsid w:val="009E3845"/>
    <w:rsid w:val="009E4F4B"/>
    <w:rsid w:val="009E5F54"/>
    <w:rsid w:val="009E6018"/>
    <w:rsid w:val="009E6600"/>
    <w:rsid w:val="009E673B"/>
    <w:rsid w:val="009E7E55"/>
    <w:rsid w:val="009F0026"/>
    <w:rsid w:val="009F023B"/>
    <w:rsid w:val="009F164A"/>
    <w:rsid w:val="009F22F0"/>
    <w:rsid w:val="009F2ABD"/>
    <w:rsid w:val="009F3D40"/>
    <w:rsid w:val="009F44C3"/>
    <w:rsid w:val="009F50F1"/>
    <w:rsid w:val="009F55A9"/>
    <w:rsid w:val="00A012CF"/>
    <w:rsid w:val="00A02375"/>
    <w:rsid w:val="00A02BBA"/>
    <w:rsid w:val="00A03CBD"/>
    <w:rsid w:val="00A05111"/>
    <w:rsid w:val="00A0512A"/>
    <w:rsid w:val="00A100B6"/>
    <w:rsid w:val="00A10115"/>
    <w:rsid w:val="00A10B19"/>
    <w:rsid w:val="00A12814"/>
    <w:rsid w:val="00A16F64"/>
    <w:rsid w:val="00A17CC7"/>
    <w:rsid w:val="00A206E0"/>
    <w:rsid w:val="00A2156C"/>
    <w:rsid w:val="00A21928"/>
    <w:rsid w:val="00A22693"/>
    <w:rsid w:val="00A22FBE"/>
    <w:rsid w:val="00A2346B"/>
    <w:rsid w:val="00A23C6B"/>
    <w:rsid w:val="00A24655"/>
    <w:rsid w:val="00A2562B"/>
    <w:rsid w:val="00A27565"/>
    <w:rsid w:val="00A313F2"/>
    <w:rsid w:val="00A33658"/>
    <w:rsid w:val="00A369A0"/>
    <w:rsid w:val="00A40984"/>
    <w:rsid w:val="00A40B07"/>
    <w:rsid w:val="00A41BB7"/>
    <w:rsid w:val="00A4209C"/>
    <w:rsid w:val="00A423BC"/>
    <w:rsid w:val="00A43977"/>
    <w:rsid w:val="00A4443D"/>
    <w:rsid w:val="00A44801"/>
    <w:rsid w:val="00A452C0"/>
    <w:rsid w:val="00A457C9"/>
    <w:rsid w:val="00A47149"/>
    <w:rsid w:val="00A474E6"/>
    <w:rsid w:val="00A51DEA"/>
    <w:rsid w:val="00A54182"/>
    <w:rsid w:val="00A55414"/>
    <w:rsid w:val="00A55B98"/>
    <w:rsid w:val="00A563FB"/>
    <w:rsid w:val="00A60FE6"/>
    <w:rsid w:val="00A61F43"/>
    <w:rsid w:val="00A63876"/>
    <w:rsid w:val="00A64267"/>
    <w:rsid w:val="00A70F24"/>
    <w:rsid w:val="00A71223"/>
    <w:rsid w:val="00A7189D"/>
    <w:rsid w:val="00A73E0A"/>
    <w:rsid w:val="00A749B7"/>
    <w:rsid w:val="00A75BC0"/>
    <w:rsid w:val="00A81A58"/>
    <w:rsid w:val="00A83419"/>
    <w:rsid w:val="00A83556"/>
    <w:rsid w:val="00A84AE1"/>
    <w:rsid w:val="00A852AE"/>
    <w:rsid w:val="00A87757"/>
    <w:rsid w:val="00A90739"/>
    <w:rsid w:val="00A90BFE"/>
    <w:rsid w:val="00A91DD6"/>
    <w:rsid w:val="00A9473C"/>
    <w:rsid w:val="00A94ADD"/>
    <w:rsid w:val="00A95025"/>
    <w:rsid w:val="00A9708C"/>
    <w:rsid w:val="00AA00A3"/>
    <w:rsid w:val="00AA050C"/>
    <w:rsid w:val="00AA142C"/>
    <w:rsid w:val="00AA1D45"/>
    <w:rsid w:val="00AA3820"/>
    <w:rsid w:val="00AA3D9B"/>
    <w:rsid w:val="00AA5024"/>
    <w:rsid w:val="00AA5466"/>
    <w:rsid w:val="00AB1D11"/>
    <w:rsid w:val="00AB233D"/>
    <w:rsid w:val="00AB29D0"/>
    <w:rsid w:val="00AB3A2F"/>
    <w:rsid w:val="00AB48C4"/>
    <w:rsid w:val="00AB6679"/>
    <w:rsid w:val="00AC0A99"/>
    <w:rsid w:val="00AC2387"/>
    <w:rsid w:val="00AC24C0"/>
    <w:rsid w:val="00AC315C"/>
    <w:rsid w:val="00AC4A45"/>
    <w:rsid w:val="00AC706C"/>
    <w:rsid w:val="00AC76C1"/>
    <w:rsid w:val="00AD144D"/>
    <w:rsid w:val="00AD325D"/>
    <w:rsid w:val="00AD3288"/>
    <w:rsid w:val="00AD3AA1"/>
    <w:rsid w:val="00AD4259"/>
    <w:rsid w:val="00AD6A8B"/>
    <w:rsid w:val="00AD770A"/>
    <w:rsid w:val="00AD7A82"/>
    <w:rsid w:val="00AD7BE5"/>
    <w:rsid w:val="00AD7CD9"/>
    <w:rsid w:val="00AE2ED3"/>
    <w:rsid w:val="00AE372B"/>
    <w:rsid w:val="00AE44F1"/>
    <w:rsid w:val="00AE4A25"/>
    <w:rsid w:val="00AE6C03"/>
    <w:rsid w:val="00AF1AE0"/>
    <w:rsid w:val="00AF1DF8"/>
    <w:rsid w:val="00AF432A"/>
    <w:rsid w:val="00AF76AF"/>
    <w:rsid w:val="00B004A6"/>
    <w:rsid w:val="00B00A33"/>
    <w:rsid w:val="00B01B34"/>
    <w:rsid w:val="00B01D9D"/>
    <w:rsid w:val="00B030A8"/>
    <w:rsid w:val="00B0327C"/>
    <w:rsid w:val="00B06072"/>
    <w:rsid w:val="00B0619B"/>
    <w:rsid w:val="00B068A7"/>
    <w:rsid w:val="00B07ADC"/>
    <w:rsid w:val="00B15882"/>
    <w:rsid w:val="00B16101"/>
    <w:rsid w:val="00B1656B"/>
    <w:rsid w:val="00B16646"/>
    <w:rsid w:val="00B21A83"/>
    <w:rsid w:val="00B22DEF"/>
    <w:rsid w:val="00B23931"/>
    <w:rsid w:val="00B240D2"/>
    <w:rsid w:val="00B247BC"/>
    <w:rsid w:val="00B26BF8"/>
    <w:rsid w:val="00B26DE3"/>
    <w:rsid w:val="00B26F71"/>
    <w:rsid w:val="00B3002C"/>
    <w:rsid w:val="00B3323E"/>
    <w:rsid w:val="00B339E8"/>
    <w:rsid w:val="00B349A7"/>
    <w:rsid w:val="00B34DD1"/>
    <w:rsid w:val="00B352BC"/>
    <w:rsid w:val="00B36824"/>
    <w:rsid w:val="00B378B5"/>
    <w:rsid w:val="00B407D1"/>
    <w:rsid w:val="00B4232B"/>
    <w:rsid w:val="00B42A0B"/>
    <w:rsid w:val="00B43112"/>
    <w:rsid w:val="00B456C3"/>
    <w:rsid w:val="00B45881"/>
    <w:rsid w:val="00B46A41"/>
    <w:rsid w:val="00B50C96"/>
    <w:rsid w:val="00B51C72"/>
    <w:rsid w:val="00B51F00"/>
    <w:rsid w:val="00B52443"/>
    <w:rsid w:val="00B5338A"/>
    <w:rsid w:val="00B541AB"/>
    <w:rsid w:val="00B56B50"/>
    <w:rsid w:val="00B56E07"/>
    <w:rsid w:val="00B56F20"/>
    <w:rsid w:val="00B57456"/>
    <w:rsid w:val="00B57A34"/>
    <w:rsid w:val="00B60546"/>
    <w:rsid w:val="00B60A58"/>
    <w:rsid w:val="00B615EF"/>
    <w:rsid w:val="00B61E02"/>
    <w:rsid w:val="00B6287E"/>
    <w:rsid w:val="00B635AB"/>
    <w:rsid w:val="00B642AA"/>
    <w:rsid w:val="00B70C11"/>
    <w:rsid w:val="00B7179F"/>
    <w:rsid w:val="00B75406"/>
    <w:rsid w:val="00B7557A"/>
    <w:rsid w:val="00B76A7C"/>
    <w:rsid w:val="00B804F3"/>
    <w:rsid w:val="00B82182"/>
    <w:rsid w:val="00B82CA3"/>
    <w:rsid w:val="00B83138"/>
    <w:rsid w:val="00B90143"/>
    <w:rsid w:val="00B92199"/>
    <w:rsid w:val="00B927AA"/>
    <w:rsid w:val="00B938A0"/>
    <w:rsid w:val="00B946CF"/>
    <w:rsid w:val="00B95FEB"/>
    <w:rsid w:val="00B96CDF"/>
    <w:rsid w:val="00B96E0F"/>
    <w:rsid w:val="00B978BF"/>
    <w:rsid w:val="00BA4CA8"/>
    <w:rsid w:val="00BA53C0"/>
    <w:rsid w:val="00BA6D3A"/>
    <w:rsid w:val="00BB1AD5"/>
    <w:rsid w:val="00BB26BE"/>
    <w:rsid w:val="00BB418D"/>
    <w:rsid w:val="00BB6176"/>
    <w:rsid w:val="00BC1755"/>
    <w:rsid w:val="00BC1FE9"/>
    <w:rsid w:val="00BC21B2"/>
    <w:rsid w:val="00BC2BC4"/>
    <w:rsid w:val="00BC4CD1"/>
    <w:rsid w:val="00BC5F12"/>
    <w:rsid w:val="00BC694A"/>
    <w:rsid w:val="00BC6AF8"/>
    <w:rsid w:val="00BD0617"/>
    <w:rsid w:val="00BD121E"/>
    <w:rsid w:val="00BD35DA"/>
    <w:rsid w:val="00BD362D"/>
    <w:rsid w:val="00BD5979"/>
    <w:rsid w:val="00BD602B"/>
    <w:rsid w:val="00BD60D4"/>
    <w:rsid w:val="00BD62ED"/>
    <w:rsid w:val="00BE0D61"/>
    <w:rsid w:val="00BE11CE"/>
    <w:rsid w:val="00BE2C93"/>
    <w:rsid w:val="00BE3A6E"/>
    <w:rsid w:val="00BE3B24"/>
    <w:rsid w:val="00BE42DB"/>
    <w:rsid w:val="00BE4D64"/>
    <w:rsid w:val="00BE5C83"/>
    <w:rsid w:val="00BE61F3"/>
    <w:rsid w:val="00BE7659"/>
    <w:rsid w:val="00BE7870"/>
    <w:rsid w:val="00BF1152"/>
    <w:rsid w:val="00BF1246"/>
    <w:rsid w:val="00BF4780"/>
    <w:rsid w:val="00BF69EB"/>
    <w:rsid w:val="00BF6F23"/>
    <w:rsid w:val="00BF7513"/>
    <w:rsid w:val="00BF789D"/>
    <w:rsid w:val="00C008F3"/>
    <w:rsid w:val="00C00C46"/>
    <w:rsid w:val="00C01297"/>
    <w:rsid w:val="00C0163C"/>
    <w:rsid w:val="00C018D7"/>
    <w:rsid w:val="00C03380"/>
    <w:rsid w:val="00C03FD8"/>
    <w:rsid w:val="00C0555C"/>
    <w:rsid w:val="00C0738B"/>
    <w:rsid w:val="00C074EE"/>
    <w:rsid w:val="00C11785"/>
    <w:rsid w:val="00C1280F"/>
    <w:rsid w:val="00C13400"/>
    <w:rsid w:val="00C15B17"/>
    <w:rsid w:val="00C17B08"/>
    <w:rsid w:val="00C20320"/>
    <w:rsid w:val="00C20A26"/>
    <w:rsid w:val="00C21EEB"/>
    <w:rsid w:val="00C22AF5"/>
    <w:rsid w:val="00C23EDB"/>
    <w:rsid w:val="00C243B5"/>
    <w:rsid w:val="00C24C33"/>
    <w:rsid w:val="00C24D83"/>
    <w:rsid w:val="00C266DD"/>
    <w:rsid w:val="00C26AEC"/>
    <w:rsid w:val="00C26E30"/>
    <w:rsid w:val="00C34ACE"/>
    <w:rsid w:val="00C34B93"/>
    <w:rsid w:val="00C34EEA"/>
    <w:rsid w:val="00C403F0"/>
    <w:rsid w:val="00C40E26"/>
    <w:rsid w:val="00C421CE"/>
    <w:rsid w:val="00C42E5B"/>
    <w:rsid w:val="00C443DA"/>
    <w:rsid w:val="00C4574C"/>
    <w:rsid w:val="00C45B7A"/>
    <w:rsid w:val="00C476C6"/>
    <w:rsid w:val="00C47E75"/>
    <w:rsid w:val="00C5042C"/>
    <w:rsid w:val="00C528C1"/>
    <w:rsid w:val="00C53055"/>
    <w:rsid w:val="00C552AC"/>
    <w:rsid w:val="00C60173"/>
    <w:rsid w:val="00C6045D"/>
    <w:rsid w:val="00C60A24"/>
    <w:rsid w:val="00C60C7F"/>
    <w:rsid w:val="00C60E4E"/>
    <w:rsid w:val="00C61092"/>
    <w:rsid w:val="00C617AC"/>
    <w:rsid w:val="00C65269"/>
    <w:rsid w:val="00C6547A"/>
    <w:rsid w:val="00C66F1E"/>
    <w:rsid w:val="00C67676"/>
    <w:rsid w:val="00C67A21"/>
    <w:rsid w:val="00C67A24"/>
    <w:rsid w:val="00C70C18"/>
    <w:rsid w:val="00C71BC3"/>
    <w:rsid w:val="00C72FFC"/>
    <w:rsid w:val="00C74A64"/>
    <w:rsid w:val="00C75588"/>
    <w:rsid w:val="00C76FC5"/>
    <w:rsid w:val="00C827C7"/>
    <w:rsid w:val="00C836C8"/>
    <w:rsid w:val="00C844BB"/>
    <w:rsid w:val="00C85069"/>
    <w:rsid w:val="00C85249"/>
    <w:rsid w:val="00C85991"/>
    <w:rsid w:val="00C86815"/>
    <w:rsid w:val="00C86D5D"/>
    <w:rsid w:val="00C92426"/>
    <w:rsid w:val="00C93D41"/>
    <w:rsid w:val="00C94CAD"/>
    <w:rsid w:val="00CA2B48"/>
    <w:rsid w:val="00CA3EAC"/>
    <w:rsid w:val="00CA41B0"/>
    <w:rsid w:val="00CA48C1"/>
    <w:rsid w:val="00CA490B"/>
    <w:rsid w:val="00CA68A4"/>
    <w:rsid w:val="00CB09A3"/>
    <w:rsid w:val="00CB0B4E"/>
    <w:rsid w:val="00CB1A1E"/>
    <w:rsid w:val="00CB3908"/>
    <w:rsid w:val="00CB45AE"/>
    <w:rsid w:val="00CC07B0"/>
    <w:rsid w:val="00CC2F38"/>
    <w:rsid w:val="00CC503A"/>
    <w:rsid w:val="00CC5624"/>
    <w:rsid w:val="00CC5767"/>
    <w:rsid w:val="00CC5A14"/>
    <w:rsid w:val="00CC7282"/>
    <w:rsid w:val="00CD079A"/>
    <w:rsid w:val="00CD080A"/>
    <w:rsid w:val="00CD147E"/>
    <w:rsid w:val="00CD23A2"/>
    <w:rsid w:val="00CD23C5"/>
    <w:rsid w:val="00CD3C6A"/>
    <w:rsid w:val="00CD4693"/>
    <w:rsid w:val="00CD6FB6"/>
    <w:rsid w:val="00CE0422"/>
    <w:rsid w:val="00CE0FBB"/>
    <w:rsid w:val="00CE112C"/>
    <w:rsid w:val="00CE1D5B"/>
    <w:rsid w:val="00CE5006"/>
    <w:rsid w:val="00CE588A"/>
    <w:rsid w:val="00CE617E"/>
    <w:rsid w:val="00CE6BEB"/>
    <w:rsid w:val="00CF09E3"/>
    <w:rsid w:val="00CF46F7"/>
    <w:rsid w:val="00CF472A"/>
    <w:rsid w:val="00CF6112"/>
    <w:rsid w:val="00CF7CF3"/>
    <w:rsid w:val="00CF7D7F"/>
    <w:rsid w:val="00D0081B"/>
    <w:rsid w:val="00D01071"/>
    <w:rsid w:val="00D0153C"/>
    <w:rsid w:val="00D02985"/>
    <w:rsid w:val="00D04D6C"/>
    <w:rsid w:val="00D075E8"/>
    <w:rsid w:val="00D10511"/>
    <w:rsid w:val="00D132FA"/>
    <w:rsid w:val="00D15074"/>
    <w:rsid w:val="00D16189"/>
    <w:rsid w:val="00D172E9"/>
    <w:rsid w:val="00D2056F"/>
    <w:rsid w:val="00D211A9"/>
    <w:rsid w:val="00D22159"/>
    <w:rsid w:val="00D22916"/>
    <w:rsid w:val="00D22DEB"/>
    <w:rsid w:val="00D2369B"/>
    <w:rsid w:val="00D238E1"/>
    <w:rsid w:val="00D266DB"/>
    <w:rsid w:val="00D267D5"/>
    <w:rsid w:val="00D279C6"/>
    <w:rsid w:val="00D30B5D"/>
    <w:rsid w:val="00D30B60"/>
    <w:rsid w:val="00D30DD0"/>
    <w:rsid w:val="00D31D75"/>
    <w:rsid w:val="00D3248D"/>
    <w:rsid w:val="00D330C5"/>
    <w:rsid w:val="00D337DC"/>
    <w:rsid w:val="00D37750"/>
    <w:rsid w:val="00D4118D"/>
    <w:rsid w:val="00D41D4F"/>
    <w:rsid w:val="00D42247"/>
    <w:rsid w:val="00D42824"/>
    <w:rsid w:val="00D42E9B"/>
    <w:rsid w:val="00D438B3"/>
    <w:rsid w:val="00D43C48"/>
    <w:rsid w:val="00D45E5D"/>
    <w:rsid w:val="00D46ECD"/>
    <w:rsid w:val="00D47889"/>
    <w:rsid w:val="00D50901"/>
    <w:rsid w:val="00D51BFF"/>
    <w:rsid w:val="00D520F5"/>
    <w:rsid w:val="00D54406"/>
    <w:rsid w:val="00D56B59"/>
    <w:rsid w:val="00D6105B"/>
    <w:rsid w:val="00D62730"/>
    <w:rsid w:val="00D64913"/>
    <w:rsid w:val="00D649B2"/>
    <w:rsid w:val="00D65128"/>
    <w:rsid w:val="00D65A87"/>
    <w:rsid w:val="00D677B3"/>
    <w:rsid w:val="00D70208"/>
    <w:rsid w:val="00D72FB0"/>
    <w:rsid w:val="00D73923"/>
    <w:rsid w:val="00D74529"/>
    <w:rsid w:val="00D74BCE"/>
    <w:rsid w:val="00D74C9F"/>
    <w:rsid w:val="00D7654E"/>
    <w:rsid w:val="00D776DF"/>
    <w:rsid w:val="00D82CDB"/>
    <w:rsid w:val="00D831F7"/>
    <w:rsid w:val="00D84106"/>
    <w:rsid w:val="00D84A80"/>
    <w:rsid w:val="00D84B5E"/>
    <w:rsid w:val="00D85386"/>
    <w:rsid w:val="00D86B71"/>
    <w:rsid w:val="00D872B9"/>
    <w:rsid w:val="00D87AAD"/>
    <w:rsid w:val="00D87FF9"/>
    <w:rsid w:val="00D90127"/>
    <w:rsid w:val="00D908E5"/>
    <w:rsid w:val="00D90DA6"/>
    <w:rsid w:val="00D913CF"/>
    <w:rsid w:val="00D918C4"/>
    <w:rsid w:val="00D92214"/>
    <w:rsid w:val="00D92500"/>
    <w:rsid w:val="00D925AC"/>
    <w:rsid w:val="00D95DFD"/>
    <w:rsid w:val="00D96CA6"/>
    <w:rsid w:val="00D97C7F"/>
    <w:rsid w:val="00DA1EBA"/>
    <w:rsid w:val="00DA2BCE"/>
    <w:rsid w:val="00DA3C13"/>
    <w:rsid w:val="00DA57D0"/>
    <w:rsid w:val="00DA7433"/>
    <w:rsid w:val="00DA7581"/>
    <w:rsid w:val="00DA7E1A"/>
    <w:rsid w:val="00DB2B41"/>
    <w:rsid w:val="00DB389B"/>
    <w:rsid w:val="00DB3AB0"/>
    <w:rsid w:val="00DB4839"/>
    <w:rsid w:val="00DB6455"/>
    <w:rsid w:val="00DC27FF"/>
    <w:rsid w:val="00DC29AC"/>
    <w:rsid w:val="00DC2FFA"/>
    <w:rsid w:val="00DC7157"/>
    <w:rsid w:val="00DD181A"/>
    <w:rsid w:val="00DD1983"/>
    <w:rsid w:val="00DD23A3"/>
    <w:rsid w:val="00DD31C6"/>
    <w:rsid w:val="00DD33FE"/>
    <w:rsid w:val="00DD3817"/>
    <w:rsid w:val="00DD3F4B"/>
    <w:rsid w:val="00DD586B"/>
    <w:rsid w:val="00DD5BD1"/>
    <w:rsid w:val="00DD6411"/>
    <w:rsid w:val="00DD68F6"/>
    <w:rsid w:val="00DE0423"/>
    <w:rsid w:val="00DE3D34"/>
    <w:rsid w:val="00DE3E01"/>
    <w:rsid w:val="00DE64A0"/>
    <w:rsid w:val="00DE6ED4"/>
    <w:rsid w:val="00DE70CB"/>
    <w:rsid w:val="00DF53AF"/>
    <w:rsid w:val="00DF53F4"/>
    <w:rsid w:val="00DF6A27"/>
    <w:rsid w:val="00DF6D9E"/>
    <w:rsid w:val="00DF6DC1"/>
    <w:rsid w:val="00DF6F65"/>
    <w:rsid w:val="00E003E1"/>
    <w:rsid w:val="00E01374"/>
    <w:rsid w:val="00E0168C"/>
    <w:rsid w:val="00E02380"/>
    <w:rsid w:val="00E02CC0"/>
    <w:rsid w:val="00E02D8B"/>
    <w:rsid w:val="00E04C33"/>
    <w:rsid w:val="00E063F3"/>
    <w:rsid w:val="00E06686"/>
    <w:rsid w:val="00E07585"/>
    <w:rsid w:val="00E07F2B"/>
    <w:rsid w:val="00E10110"/>
    <w:rsid w:val="00E10545"/>
    <w:rsid w:val="00E123E0"/>
    <w:rsid w:val="00E12E81"/>
    <w:rsid w:val="00E13410"/>
    <w:rsid w:val="00E1402B"/>
    <w:rsid w:val="00E1436F"/>
    <w:rsid w:val="00E14B38"/>
    <w:rsid w:val="00E15F4B"/>
    <w:rsid w:val="00E24344"/>
    <w:rsid w:val="00E24B21"/>
    <w:rsid w:val="00E2508F"/>
    <w:rsid w:val="00E25CE3"/>
    <w:rsid w:val="00E25EC7"/>
    <w:rsid w:val="00E261F3"/>
    <w:rsid w:val="00E27B0A"/>
    <w:rsid w:val="00E32219"/>
    <w:rsid w:val="00E33776"/>
    <w:rsid w:val="00E34DC8"/>
    <w:rsid w:val="00E35EAB"/>
    <w:rsid w:val="00E37B0D"/>
    <w:rsid w:val="00E40993"/>
    <w:rsid w:val="00E42079"/>
    <w:rsid w:val="00E42903"/>
    <w:rsid w:val="00E441CF"/>
    <w:rsid w:val="00E44AA7"/>
    <w:rsid w:val="00E4544B"/>
    <w:rsid w:val="00E4619F"/>
    <w:rsid w:val="00E4657F"/>
    <w:rsid w:val="00E46A96"/>
    <w:rsid w:val="00E500B3"/>
    <w:rsid w:val="00E504F7"/>
    <w:rsid w:val="00E5095D"/>
    <w:rsid w:val="00E50C9A"/>
    <w:rsid w:val="00E51D31"/>
    <w:rsid w:val="00E522C6"/>
    <w:rsid w:val="00E52877"/>
    <w:rsid w:val="00E52A86"/>
    <w:rsid w:val="00E52B40"/>
    <w:rsid w:val="00E52C77"/>
    <w:rsid w:val="00E55E7C"/>
    <w:rsid w:val="00E56A95"/>
    <w:rsid w:val="00E57304"/>
    <w:rsid w:val="00E60C2F"/>
    <w:rsid w:val="00E60EC0"/>
    <w:rsid w:val="00E6390D"/>
    <w:rsid w:val="00E64001"/>
    <w:rsid w:val="00E643EA"/>
    <w:rsid w:val="00E667D7"/>
    <w:rsid w:val="00E66A72"/>
    <w:rsid w:val="00E71A08"/>
    <w:rsid w:val="00E71B6F"/>
    <w:rsid w:val="00E73123"/>
    <w:rsid w:val="00E76C87"/>
    <w:rsid w:val="00E76E53"/>
    <w:rsid w:val="00E80826"/>
    <w:rsid w:val="00E81682"/>
    <w:rsid w:val="00E82744"/>
    <w:rsid w:val="00E84175"/>
    <w:rsid w:val="00E845A6"/>
    <w:rsid w:val="00E8671A"/>
    <w:rsid w:val="00E86F5B"/>
    <w:rsid w:val="00E90452"/>
    <w:rsid w:val="00E91654"/>
    <w:rsid w:val="00E92897"/>
    <w:rsid w:val="00E9322B"/>
    <w:rsid w:val="00E94373"/>
    <w:rsid w:val="00E956FE"/>
    <w:rsid w:val="00E969DC"/>
    <w:rsid w:val="00E96D5D"/>
    <w:rsid w:val="00E9783B"/>
    <w:rsid w:val="00E97BA5"/>
    <w:rsid w:val="00EA1A7A"/>
    <w:rsid w:val="00EA35A2"/>
    <w:rsid w:val="00EA4D2F"/>
    <w:rsid w:val="00EA56DD"/>
    <w:rsid w:val="00EA67D8"/>
    <w:rsid w:val="00EA71B0"/>
    <w:rsid w:val="00EB0790"/>
    <w:rsid w:val="00EB11F3"/>
    <w:rsid w:val="00EB120C"/>
    <w:rsid w:val="00EB307F"/>
    <w:rsid w:val="00EB36FD"/>
    <w:rsid w:val="00EB4EE5"/>
    <w:rsid w:val="00EB6E5A"/>
    <w:rsid w:val="00EC0E69"/>
    <w:rsid w:val="00EC34F8"/>
    <w:rsid w:val="00EC5900"/>
    <w:rsid w:val="00EC72AD"/>
    <w:rsid w:val="00EC7A5F"/>
    <w:rsid w:val="00ED0909"/>
    <w:rsid w:val="00ED0AEC"/>
    <w:rsid w:val="00ED0AF8"/>
    <w:rsid w:val="00ED2C8B"/>
    <w:rsid w:val="00ED3317"/>
    <w:rsid w:val="00ED51B2"/>
    <w:rsid w:val="00ED52BB"/>
    <w:rsid w:val="00ED6ED4"/>
    <w:rsid w:val="00ED7F59"/>
    <w:rsid w:val="00EE0B0E"/>
    <w:rsid w:val="00EE39FE"/>
    <w:rsid w:val="00EE4137"/>
    <w:rsid w:val="00EE56F2"/>
    <w:rsid w:val="00EE5A40"/>
    <w:rsid w:val="00EE67F2"/>
    <w:rsid w:val="00EE7057"/>
    <w:rsid w:val="00EE7543"/>
    <w:rsid w:val="00EF1C3B"/>
    <w:rsid w:val="00EF26E4"/>
    <w:rsid w:val="00EF3B7C"/>
    <w:rsid w:val="00EF7207"/>
    <w:rsid w:val="00EF7A76"/>
    <w:rsid w:val="00EF7D40"/>
    <w:rsid w:val="00F002E6"/>
    <w:rsid w:val="00F00E40"/>
    <w:rsid w:val="00F01D15"/>
    <w:rsid w:val="00F02D0A"/>
    <w:rsid w:val="00F03737"/>
    <w:rsid w:val="00F03BB8"/>
    <w:rsid w:val="00F05342"/>
    <w:rsid w:val="00F0617E"/>
    <w:rsid w:val="00F07F3D"/>
    <w:rsid w:val="00F10337"/>
    <w:rsid w:val="00F1191B"/>
    <w:rsid w:val="00F12135"/>
    <w:rsid w:val="00F13D1C"/>
    <w:rsid w:val="00F1525E"/>
    <w:rsid w:val="00F15CA5"/>
    <w:rsid w:val="00F20594"/>
    <w:rsid w:val="00F205A0"/>
    <w:rsid w:val="00F22D5B"/>
    <w:rsid w:val="00F24323"/>
    <w:rsid w:val="00F257CE"/>
    <w:rsid w:val="00F30135"/>
    <w:rsid w:val="00F33DDB"/>
    <w:rsid w:val="00F359EA"/>
    <w:rsid w:val="00F3694E"/>
    <w:rsid w:val="00F40A98"/>
    <w:rsid w:val="00F41061"/>
    <w:rsid w:val="00F43DEF"/>
    <w:rsid w:val="00F43FB5"/>
    <w:rsid w:val="00F44C3E"/>
    <w:rsid w:val="00F45E18"/>
    <w:rsid w:val="00F460EE"/>
    <w:rsid w:val="00F46D42"/>
    <w:rsid w:val="00F470E7"/>
    <w:rsid w:val="00F47967"/>
    <w:rsid w:val="00F50282"/>
    <w:rsid w:val="00F50CFE"/>
    <w:rsid w:val="00F51577"/>
    <w:rsid w:val="00F51C0B"/>
    <w:rsid w:val="00F527CA"/>
    <w:rsid w:val="00F5374C"/>
    <w:rsid w:val="00F53F08"/>
    <w:rsid w:val="00F54E47"/>
    <w:rsid w:val="00F55B04"/>
    <w:rsid w:val="00F5784F"/>
    <w:rsid w:val="00F57AC7"/>
    <w:rsid w:val="00F615BC"/>
    <w:rsid w:val="00F661CA"/>
    <w:rsid w:val="00F66DE9"/>
    <w:rsid w:val="00F705A1"/>
    <w:rsid w:val="00F730EC"/>
    <w:rsid w:val="00F80E95"/>
    <w:rsid w:val="00F820E9"/>
    <w:rsid w:val="00F82188"/>
    <w:rsid w:val="00F82F87"/>
    <w:rsid w:val="00F8464B"/>
    <w:rsid w:val="00F85D8B"/>
    <w:rsid w:val="00F862B5"/>
    <w:rsid w:val="00F867BC"/>
    <w:rsid w:val="00F86F4C"/>
    <w:rsid w:val="00F87408"/>
    <w:rsid w:val="00F878FE"/>
    <w:rsid w:val="00F91622"/>
    <w:rsid w:val="00F9385B"/>
    <w:rsid w:val="00FA0501"/>
    <w:rsid w:val="00FA0ABA"/>
    <w:rsid w:val="00FA0E8C"/>
    <w:rsid w:val="00FA55F1"/>
    <w:rsid w:val="00FB17D0"/>
    <w:rsid w:val="00FB1880"/>
    <w:rsid w:val="00FB1C1D"/>
    <w:rsid w:val="00FB46FD"/>
    <w:rsid w:val="00FB4FE6"/>
    <w:rsid w:val="00FB7451"/>
    <w:rsid w:val="00FC27AF"/>
    <w:rsid w:val="00FC33E3"/>
    <w:rsid w:val="00FC5459"/>
    <w:rsid w:val="00FC55A2"/>
    <w:rsid w:val="00FC5933"/>
    <w:rsid w:val="00FC5BD3"/>
    <w:rsid w:val="00FC6E99"/>
    <w:rsid w:val="00FC73BA"/>
    <w:rsid w:val="00FC7D24"/>
    <w:rsid w:val="00FC7E00"/>
    <w:rsid w:val="00FD01BD"/>
    <w:rsid w:val="00FD3CA7"/>
    <w:rsid w:val="00FD40D2"/>
    <w:rsid w:val="00FD55E6"/>
    <w:rsid w:val="00FD61D5"/>
    <w:rsid w:val="00FE003E"/>
    <w:rsid w:val="00FE1CD7"/>
    <w:rsid w:val="00FE2570"/>
    <w:rsid w:val="00FE390E"/>
    <w:rsid w:val="00FE3CC7"/>
    <w:rsid w:val="00FE45CE"/>
    <w:rsid w:val="00FE49AD"/>
    <w:rsid w:val="00FE4A23"/>
    <w:rsid w:val="00FE4CCE"/>
    <w:rsid w:val="00FE568A"/>
    <w:rsid w:val="00FE61B3"/>
    <w:rsid w:val="00FF6DF6"/>
    <w:rsid w:val="00FF7781"/>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5537"/>
    <o:shapelayout v:ext="edit">
      <o:idmap v:ext="edit" data="1"/>
    </o:shapelayout>
  </w:shapeDefaults>
  <w:decimalSymbol w:val="."/>
  <w:listSeparator w:val=","/>
  <w14:docId w14:val="2F764C7D"/>
  <w15:docId w15:val="{D856EE84-0082-46F3-A279-985FBD880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line="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317"/>
    <w:pPr>
      <w:spacing w:before="240" w:after="240" w:line="240" w:lineRule="auto"/>
      <w:jc w:val="both"/>
    </w:pPr>
    <w:rPr>
      <w:rFonts w:ascii="Palatino Linotype" w:hAnsi="Palatino Linotype"/>
    </w:rPr>
  </w:style>
  <w:style w:type="paragraph" w:styleId="Heading1">
    <w:name w:val="heading 1"/>
    <w:basedOn w:val="Normal"/>
    <w:next w:val="Normal"/>
    <w:link w:val="Heading1Char"/>
    <w:uiPriority w:val="9"/>
    <w:qFormat/>
    <w:rsid w:val="00A7189D"/>
    <w:pPr>
      <w:keepNext/>
      <w:keepLines/>
      <w:numPr>
        <w:numId w:val="11"/>
      </w:numPr>
      <w:spacing w:before="480" w:after="360"/>
      <w:ind w:left="567" w:hanging="567"/>
      <w:contextualSpacing/>
      <w:jc w:val="left"/>
      <w:outlineLvl w:val="0"/>
    </w:pPr>
    <w:rPr>
      <w:rFonts w:eastAsiaTheme="majorEastAsia" w:cstheme="majorBidi"/>
      <w:b/>
      <w:smallCaps/>
      <w:spacing w:val="4"/>
      <w:sz w:val="32"/>
      <w:szCs w:val="32"/>
    </w:rPr>
  </w:style>
  <w:style w:type="paragraph" w:styleId="Heading2">
    <w:name w:val="heading 2"/>
    <w:basedOn w:val="Normal"/>
    <w:next w:val="Normal"/>
    <w:link w:val="Heading2Char"/>
    <w:uiPriority w:val="9"/>
    <w:unhideWhenUsed/>
    <w:qFormat/>
    <w:rsid w:val="00A7189D"/>
    <w:pPr>
      <w:keepNext/>
      <w:keepLines/>
      <w:numPr>
        <w:ilvl w:val="1"/>
        <w:numId w:val="11"/>
      </w:numPr>
      <w:spacing w:before="360"/>
      <w:ind w:left="567" w:hanging="567"/>
      <w:contextualSpacing/>
      <w:jc w:val="left"/>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A7189D"/>
    <w:pPr>
      <w:keepNext/>
      <w:keepLines/>
      <w:numPr>
        <w:ilvl w:val="2"/>
        <w:numId w:val="11"/>
      </w:numPr>
      <w:ind w:left="1247" w:hanging="680"/>
      <w:contextualSpacing/>
      <w:jc w:val="left"/>
      <w:outlineLvl w:val="2"/>
    </w:pPr>
    <w:rPr>
      <w:rFonts w:eastAsiaTheme="majorEastAsia" w:cstheme="majorBidi"/>
      <w:b/>
      <w:sz w:val="24"/>
      <w:szCs w:val="24"/>
    </w:rPr>
  </w:style>
  <w:style w:type="paragraph" w:styleId="Heading4">
    <w:name w:val="heading 4"/>
    <w:basedOn w:val="Normal"/>
    <w:next w:val="Normal"/>
    <w:link w:val="Heading4Char"/>
    <w:uiPriority w:val="9"/>
    <w:unhideWhenUsed/>
    <w:qFormat/>
    <w:rsid w:val="00A7189D"/>
    <w:pPr>
      <w:keepNext/>
      <w:keepLines/>
      <w:numPr>
        <w:ilvl w:val="3"/>
        <w:numId w:val="11"/>
      </w:numPr>
      <w:ind w:left="2098" w:hanging="851"/>
      <w:jc w:val="left"/>
      <w:outlineLvl w:val="3"/>
    </w:pPr>
    <w:rPr>
      <w:rFonts w:eastAsiaTheme="majorEastAsia" w:cstheme="majorBidi"/>
      <w:b/>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189D"/>
    <w:rPr>
      <w:rFonts w:ascii="Times New Roman" w:eastAsiaTheme="majorEastAsia" w:hAnsi="Times New Roman" w:cstheme="majorBidi"/>
      <w:b/>
      <w:smallCaps/>
      <w:spacing w:val="4"/>
      <w:sz w:val="32"/>
      <w:szCs w:val="32"/>
    </w:rPr>
  </w:style>
  <w:style w:type="character" w:customStyle="1" w:styleId="Heading2Char">
    <w:name w:val="Heading 2 Char"/>
    <w:basedOn w:val="DefaultParagraphFont"/>
    <w:link w:val="Heading2"/>
    <w:uiPriority w:val="9"/>
    <w:rsid w:val="00A7189D"/>
    <w:rPr>
      <w:rFonts w:ascii="Times New Roman" w:eastAsiaTheme="majorEastAsia" w:hAnsi="Times New Roman" w:cstheme="majorBidi"/>
      <w:b/>
      <w:sz w:val="28"/>
      <w:szCs w:val="26"/>
    </w:rPr>
  </w:style>
  <w:style w:type="character" w:customStyle="1" w:styleId="Heading3Char">
    <w:name w:val="Heading 3 Char"/>
    <w:basedOn w:val="DefaultParagraphFont"/>
    <w:link w:val="Heading3"/>
    <w:uiPriority w:val="9"/>
    <w:rsid w:val="00A7189D"/>
    <w:rPr>
      <w:rFonts w:ascii="Times New Roman" w:eastAsiaTheme="majorEastAsia" w:hAnsi="Times New Roman" w:cstheme="majorBidi"/>
      <w:b/>
      <w:sz w:val="24"/>
      <w:szCs w:val="24"/>
    </w:rPr>
  </w:style>
  <w:style w:type="character" w:styleId="FootnoteReference">
    <w:name w:val="footnote reference"/>
    <w:basedOn w:val="DefaultParagraphFont"/>
    <w:uiPriority w:val="99"/>
    <w:unhideWhenUsed/>
    <w:rsid w:val="00C836C8"/>
    <w:rPr>
      <w:rFonts w:ascii="Palatino Linotype" w:hAnsi="Palatino Linotype"/>
      <w:vertAlign w:val="superscript"/>
    </w:rPr>
  </w:style>
  <w:style w:type="paragraph" w:styleId="NormalWeb">
    <w:name w:val="Normal (Web)"/>
    <w:basedOn w:val="Normal"/>
    <w:uiPriority w:val="99"/>
    <w:rsid w:val="00817799"/>
    <w:pPr>
      <w:spacing w:beforeLines="1" w:afterLines="1"/>
    </w:pPr>
    <w:rPr>
      <w:rFonts w:ascii="Times" w:hAnsi="Times" w:cs="Times New Roman"/>
      <w:sz w:val="20"/>
    </w:rPr>
  </w:style>
  <w:style w:type="paragraph" w:styleId="ListParagraph">
    <w:name w:val="List Paragraph"/>
    <w:basedOn w:val="Normal"/>
    <w:link w:val="ListParagraphChar"/>
    <w:uiPriority w:val="34"/>
    <w:qFormat/>
    <w:rsid w:val="0063252F"/>
    <w:pPr>
      <w:spacing w:before="60" w:after="0"/>
      <w:ind w:left="720"/>
      <w:jc w:val="left"/>
    </w:pPr>
  </w:style>
  <w:style w:type="paragraph" w:styleId="FootnoteText">
    <w:name w:val="footnote text"/>
    <w:link w:val="FootnoteTextChar"/>
    <w:uiPriority w:val="99"/>
    <w:qFormat/>
    <w:rsid w:val="00BA6D3A"/>
    <w:pPr>
      <w:keepLines/>
      <w:spacing w:line="240" w:lineRule="auto"/>
    </w:pPr>
    <w:rPr>
      <w:rFonts w:ascii="Palatino Linotype" w:hAnsi="Palatino Linotype"/>
      <w:sz w:val="18"/>
      <w:szCs w:val="20"/>
    </w:rPr>
  </w:style>
  <w:style w:type="character" w:customStyle="1" w:styleId="FootnoteTextChar">
    <w:name w:val="Footnote Text Char"/>
    <w:basedOn w:val="DefaultParagraphFont"/>
    <w:link w:val="FootnoteText"/>
    <w:uiPriority w:val="99"/>
    <w:rsid w:val="00BA6D3A"/>
    <w:rPr>
      <w:rFonts w:ascii="Palatino Linotype" w:hAnsi="Palatino Linotype"/>
      <w:sz w:val="18"/>
      <w:szCs w:val="20"/>
    </w:rPr>
  </w:style>
  <w:style w:type="character" w:styleId="Hyperlink">
    <w:name w:val="Hyperlink"/>
    <w:basedOn w:val="DefaultParagraphFont"/>
    <w:uiPriority w:val="99"/>
    <w:unhideWhenUsed/>
    <w:rsid w:val="00817799"/>
    <w:rPr>
      <w:color w:val="0000FF" w:themeColor="hyperlink"/>
      <w:u w:val="single"/>
    </w:rPr>
  </w:style>
  <w:style w:type="character" w:styleId="CommentReference">
    <w:name w:val="annotation reference"/>
    <w:basedOn w:val="DefaultParagraphFont"/>
    <w:uiPriority w:val="99"/>
    <w:semiHidden/>
    <w:unhideWhenUsed/>
    <w:rsid w:val="00817799"/>
    <w:rPr>
      <w:sz w:val="18"/>
      <w:szCs w:val="18"/>
    </w:rPr>
  </w:style>
  <w:style w:type="paragraph" w:styleId="CommentText">
    <w:name w:val="annotation text"/>
    <w:basedOn w:val="Normal"/>
    <w:link w:val="CommentTextChar"/>
    <w:uiPriority w:val="99"/>
    <w:semiHidden/>
    <w:unhideWhenUsed/>
    <w:rsid w:val="00817799"/>
    <w:rPr>
      <w:szCs w:val="24"/>
      <w:lang w:val="en-GB"/>
    </w:rPr>
  </w:style>
  <w:style w:type="character" w:customStyle="1" w:styleId="CommentTextChar">
    <w:name w:val="Comment Text Char"/>
    <w:basedOn w:val="DefaultParagraphFont"/>
    <w:link w:val="CommentText"/>
    <w:uiPriority w:val="99"/>
    <w:semiHidden/>
    <w:rsid w:val="00817799"/>
    <w:rPr>
      <w:rFonts w:ascii="Times New Roman" w:eastAsiaTheme="minorEastAsia" w:hAnsi="Times New Roman"/>
      <w:sz w:val="24"/>
      <w:szCs w:val="24"/>
      <w:lang w:val="en-GB" w:bidi="en-US"/>
    </w:rPr>
  </w:style>
  <w:style w:type="paragraph" w:styleId="NoSpacing">
    <w:name w:val="No Spacing"/>
    <w:basedOn w:val="Normal"/>
    <w:link w:val="NoSpacingChar"/>
    <w:uiPriority w:val="1"/>
    <w:rsid w:val="00817799"/>
    <w:pPr>
      <w:spacing w:after="0"/>
    </w:pPr>
  </w:style>
  <w:style w:type="character" w:customStyle="1" w:styleId="NoSpacingChar">
    <w:name w:val="No Spacing Char"/>
    <w:basedOn w:val="DefaultParagraphFont"/>
    <w:link w:val="NoSpacing"/>
    <w:uiPriority w:val="1"/>
    <w:rsid w:val="00817799"/>
    <w:rPr>
      <w:rFonts w:ascii="Times New Roman" w:eastAsiaTheme="minorEastAsia" w:hAnsi="Times New Roman"/>
      <w:sz w:val="24"/>
      <w:szCs w:val="20"/>
      <w:lang w:val="en-US" w:bidi="en-US"/>
    </w:rPr>
  </w:style>
  <w:style w:type="paragraph" w:styleId="BalloonText">
    <w:name w:val="Balloon Text"/>
    <w:basedOn w:val="Normal"/>
    <w:link w:val="BalloonTextChar"/>
    <w:uiPriority w:val="99"/>
    <w:semiHidden/>
    <w:unhideWhenUsed/>
    <w:rsid w:val="0081779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7799"/>
    <w:rPr>
      <w:rFonts w:ascii="Tahoma" w:eastAsiaTheme="minorEastAsia" w:hAnsi="Tahoma" w:cs="Tahoma"/>
      <w:sz w:val="16"/>
      <w:szCs w:val="16"/>
      <w:lang w:val="en-US" w:bidi="en-US"/>
    </w:rPr>
  </w:style>
  <w:style w:type="character" w:styleId="FollowedHyperlink">
    <w:name w:val="FollowedHyperlink"/>
    <w:basedOn w:val="DefaultParagraphFont"/>
    <w:uiPriority w:val="99"/>
    <w:semiHidden/>
    <w:unhideWhenUsed/>
    <w:rsid w:val="00817799"/>
    <w:rPr>
      <w:color w:val="800080" w:themeColor="followedHyperlink"/>
      <w:u w:val="single"/>
    </w:rPr>
  </w:style>
  <w:style w:type="character" w:styleId="Strong">
    <w:name w:val="Strong"/>
    <w:basedOn w:val="DefaultParagraphFont"/>
    <w:uiPriority w:val="22"/>
    <w:rsid w:val="008A4066"/>
    <w:rPr>
      <w:b/>
      <w:bCs/>
    </w:rPr>
  </w:style>
  <w:style w:type="character" w:customStyle="1" w:styleId="apple-converted-space">
    <w:name w:val="apple-converted-space"/>
    <w:basedOn w:val="DefaultParagraphFont"/>
    <w:rsid w:val="008A4066"/>
  </w:style>
  <w:style w:type="paragraph" w:styleId="CommentSubject">
    <w:name w:val="annotation subject"/>
    <w:basedOn w:val="CommentText"/>
    <w:next w:val="CommentText"/>
    <w:link w:val="CommentSubjectChar"/>
    <w:uiPriority w:val="99"/>
    <w:semiHidden/>
    <w:unhideWhenUsed/>
    <w:rsid w:val="00DC2FFA"/>
    <w:rPr>
      <w:b/>
      <w:bCs/>
      <w:sz w:val="20"/>
      <w:szCs w:val="20"/>
      <w:lang w:val="en-US"/>
    </w:rPr>
  </w:style>
  <w:style w:type="character" w:customStyle="1" w:styleId="CommentSubjectChar">
    <w:name w:val="Comment Subject Char"/>
    <w:basedOn w:val="CommentTextChar"/>
    <w:link w:val="CommentSubject"/>
    <w:uiPriority w:val="99"/>
    <w:semiHidden/>
    <w:rsid w:val="00DC2FFA"/>
    <w:rPr>
      <w:rFonts w:ascii="Times New Roman" w:eastAsiaTheme="minorEastAsia" w:hAnsi="Times New Roman"/>
      <w:b/>
      <w:bCs/>
      <w:sz w:val="20"/>
      <w:szCs w:val="20"/>
      <w:lang w:val="en-US" w:bidi="en-US"/>
    </w:rPr>
  </w:style>
  <w:style w:type="paragraph" w:customStyle="1" w:styleId="Default">
    <w:name w:val="Default"/>
    <w:rsid w:val="00115DA2"/>
    <w:pPr>
      <w:autoSpaceDE w:val="0"/>
      <w:autoSpaceDN w:val="0"/>
      <w:adjustRightInd w:val="0"/>
      <w:spacing w:line="240" w:lineRule="auto"/>
    </w:pPr>
    <w:rPr>
      <w:rFonts w:ascii="EUAlbertina" w:hAnsi="EUAlbertina" w:cs="EUAlbertina"/>
      <w:color w:val="000000"/>
      <w:sz w:val="24"/>
      <w:szCs w:val="24"/>
    </w:rPr>
  </w:style>
  <w:style w:type="paragraph" w:customStyle="1" w:styleId="CM1">
    <w:name w:val="CM1"/>
    <w:basedOn w:val="Default"/>
    <w:next w:val="Default"/>
    <w:uiPriority w:val="99"/>
    <w:rsid w:val="00115DA2"/>
    <w:rPr>
      <w:rFonts w:cstheme="minorBidi"/>
      <w:color w:val="auto"/>
    </w:rPr>
  </w:style>
  <w:style w:type="paragraph" w:customStyle="1" w:styleId="CM3">
    <w:name w:val="CM3"/>
    <w:basedOn w:val="Default"/>
    <w:next w:val="Default"/>
    <w:uiPriority w:val="99"/>
    <w:rsid w:val="00115DA2"/>
    <w:rPr>
      <w:rFonts w:cstheme="minorBidi"/>
      <w:color w:val="auto"/>
    </w:rPr>
  </w:style>
  <w:style w:type="paragraph" w:styleId="Title">
    <w:name w:val="Title"/>
    <w:basedOn w:val="Normal"/>
    <w:next w:val="Normal"/>
    <w:link w:val="TitleChar"/>
    <w:uiPriority w:val="10"/>
    <w:rsid w:val="00E66A7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66A72"/>
    <w:rPr>
      <w:rFonts w:asciiTheme="majorHAnsi" w:eastAsiaTheme="majorEastAsia" w:hAnsiTheme="majorHAnsi" w:cstheme="majorBidi"/>
      <w:color w:val="17365D" w:themeColor="text2" w:themeShade="BF"/>
      <w:spacing w:val="5"/>
      <w:kern w:val="28"/>
      <w:sz w:val="52"/>
      <w:szCs w:val="52"/>
      <w:lang w:val="en-US" w:bidi="en-US"/>
    </w:rPr>
  </w:style>
  <w:style w:type="paragraph" w:styleId="TOCHeading">
    <w:name w:val="TOC Heading"/>
    <w:basedOn w:val="Heading1"/>
    <w:next w:val="Normal"/>
    <w:uiPriority w:val="39"/>
    <w:unhideWhenUsed/>
    <w:rsid w:val="00E66A72"/>
    <w:pPr>
      <w:outlineLvl w:val="9"/>
    </w:pPr>
    <w:rPr>
      <w:rFonts w:asciiTheme="majorHAnsi" w:hAnsiTheme="majorHAnsi"/>
      <w:caps/>
      <w:color w:val="365F91" w:themeColor="accent1" w:themeShade="BF"/>
      <w:spacing w:val="0"/>
      <w:sz w:val="28"/>
      <w:szCs w:val="28"/>
    </w:rPr>
  </w:style>
  <w:style w:type="paragraph" w:styleId="TOC1">
    <w:name w:val="toc 1"/>
    <w:basedOn w:val="Normal"/>
    <w:next w:val="Normal"/>
    <w:uiPriority w:val="39"/>
    <w:unhideWhenUsed/>
    <w:qFormat/>
    <w:rsid w:val="00A9473C"/>
    <w:pPr>
      <w:spacing w:after="100"/>
    </w:pPr>
    <w:rPr>
      <w:b/>
      <w:smallCaps/>
    </w:rPr>
  </w:style>
  <w:style w:type="paragraph" w:styleId="TOC2">
    <w:name w:val="toc 2"/>
    <w:basedOn w:val="Normal"/>
    <w:next w:val="Normal"/>
    <w:autoRedefine/>
    <w:uiPriority w:val="39"/>
    <w:unhideWhenUsed/>
    <w:rsid w:val="00E86F5B"/>
    <w:pPr>
      <w:spacing w:after="0"/>
      <w:ind w:left="240"/>
    </w:pPr>
    <w:rPr>
      <w:rFonts w:cs="Times New Roman"/>
      <w:bCs/>
      <w:color w:val="000000" w:themeColor="text1"/>
      <w:sz w:val="20"/>
    </w:rPr>
  </w:style>
  <w:style w:type="paragraph" w:styleId="TOC3">
    <w:name w:val="toc 3"/>
    <w:basedOn w:val="Normal"/>
    <w:next w:val="Normal"/>
    <w:autoRedefine/>
    <w:uiPriority w:val="39"/>
    <w:unhideWhenUsed/>
    <w:rsid w:val="00E66A72"/>
    <w:pPr>
      <w:spacing w:after="0"/>
      <w:ind w:left="480"/>
    </w:pPr>
    <w:rPr>
      <w:rFonts w:asciiTheme="minorHAnsi" w:hAnsiTheme="minorHAnsi"/>
    </w:rPr>
  </w:style>
  <w:style w:type="paragraph" w:styleId="Header">
    <w:name w:val="header"/>
    <w:basedOn w:val="Normal"/>
    <w:link w:val="HeaderChar"/>
    <w:uiPriority w:val="99"/>
    <w:unhideWhenUsed/>
    <w:rsid w:val="00F359EA"/>
    <w:pPr>
      <w:tabs>
        <w:tab w:val="center" w:pos="4680"/>
        <w:tab w:val="right" w:pos="9360"/>
      </w:tabs>
      <w:spacing w:after="0"/>
    </w:pPr>
  </w:style>
  <w:style w:type="character" w:customStyle="1" w:styleId="HeaderChar">
    <w:name w:val="Header Char"/>
    <w:basedOn w:val="DefaultParagraphFont"/>
    <w:link w:val="Header"/>
    <w:uiPriority w:val="99"/>
    <w:rsid w:val="00F359EA"/>
    <w:rPr>
      <w:rFonts w:ascii="Times New Roman" w:eastAsiaTheme="minorEastAsia" w:hAnsi="Times New Roman"/>
      <w:sz w:val="24"/>
      <w:szCs w:val="20"/>
      <w:lang w:val="en-US" w:bidi="en-US"/>
    </w:rPr>
  </w:style>
  <w:style w:type="paragraph" w:styleId="Footer">
    <w:name w:val="footer"/>
    <w:basedOn w:val="Normal"/>
    <w:link w:val="FooterChar"/>
    <w:uiPriority w:val="99"/>
    <w:unhideWhenUsed/>
    <w:rsid w:val="00F359EA"/>
    <w:pPr>
      <w:tabs>
        <w:tab w:val="center" w:pos="4680"/>
        <w:tab w:val="right" w:pos="9360"/>
      </w:tabs>
      <w:spacing w:after="0"/>
    </w:pPr>
  </w:style>
  <w:style w:type="character" w:customStyle="1" w:styleId="FooterChar">
    <w:name w:val="Footer Char"/>
    <w:basedOn w:val="DefaultParagraphFont"/>
    <w:link w:val="Footer"/>
    <w:uiPriority w:val="99"/>
    <w:rsid w:val="00F359EA"/>
    <w:rPr>
      <w:rFonts w:ascii="Times New Roman" w:eastAsiaTheme="minorEastAsia" w:hAnsi="Times New Roman"/>
      <w:sz w:val="24"/>
      <w:szCs w:val="20"/>
      <w:lang w:val="en-US" w:bidi="en-US"/>
    </w:rPr>
  </w:style>
  <w:style w:type="character" w:styleId="Emphasis">
    <w:name w:val="Emphasis"/>
    <w:basedOn w:val="DefaultParagraphFont"/>
    <w:uiPriority w:val="20"/>
    <w:rsid w:val="00E02D8B"/>
    <w:rPr>
      <w:i/>
      <w:iCs/>
    </w:rPr>
  </w:style>
  <w:style w:type="character" w:customStyle="1" w:styleId="notranslate">
    <w:name w:val="notranslate"/>
    <w:basedOn w:val="DefaultParagraphFont"/>
    <w:rsid w:val="00CA2B48"/>
  </w:style>
  <w:style w:type="table" w:styleId="TableGrid">
    <w:name w:val="Table Grid"/>
    <w:basedOn w:val="TableNormal"/>
    <w:uiPriority w:val="59"/>
    <w:rsid w:val="005B5AD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OCStyle2">
    <w:name w:val="TOC Style 2"/>
    <w:uiPriority w:val="99"/>
    <w:rsid w:val="00484A83"/>
    <w:pPr>
      <w:numPr>
        <w:numId w:val="9"/>
      </w:numPr>
    </w:pPr>
  </w:style>
  <w:style w:type="paragraph" w:customStyle="1" w:styleId="TOC3rd">
    <w:name w:val="TOC 3rd"/>
    <w:basedOn w:val="ListParagraph"/>
    <w:rsid w:val="00484A83"/>
    <w:pPr>
      <w:ind w:left="1224" w:hanging="504"/>
    </w:pPr>
    <w:rPr>
      <w:rFonts w:cstheme="majorBidi"/>
      <w:b/>
      <w:bCs/>
      <w:szCs w:val="24"/>
    </w:rPr>
  </w:style>
  <w:style w:type="character" w:customStyle="1" w:styleId="ListParagraphChar">
    <w:name w:val="List Paragraph Char"/>
    <w:basedOn w:val="DefaultParagraphFont"/>
    <w:link w:val="ListParagraph"/>
    <w:uiPriority w:val="34"/>
    <w:rsid w:val="0063252F"/>
    <w:rPr>
      <w:rFonts w:ascii="Times New Roman" w:hAnsi="Times New Roman"/>
    </w:rPr>
  </w:style>
  <w:style w:type="character" w:customStyle="1" w:styleId="wb-invisible">
    <w:name w:val="wb-invisible"/>
    <w:basedOn w:val="DefaultParagraphFont"/>
    <w:rsid w:val="00484A83"/>
  </w:style>
  <w:style w:type="character" w:styleId="PlaceholderText">
    <w:name w:val="Placeholder Text"/>
    <w:basedOn w:val="DefaultParagraphFont"/>
    <w:uiPriority w:val="99"/>
    <w:semiHidden/>
    <w:rsid w:val="00BD62ED"/>
    <w:rPr>
      <w:color w:val="808080"/>
    </w:rPr>
  </w:style>
  <w:style w:type="paragraph" w:styleId="EndnoteText">
    <w:name w:val="endnote text"/>
    <w:basedOn w:val="Normal"/>
    <w:link w:val="EndnoteTextChar"/>
    <w:uiPriority w:val="99"/>
    <w:semiHidden/>
    <w:unhideWhenUsed/>
    <w:rsid w:val="009E6600"/>
    <w:pPr>
      <w:spacing w:after="0"/>
    </w:pPr>
    <w:rPr>
      <w:sz w:val="20"/>
    </w:rPr>
  </w:style>
  <w:style w:type="character" w:customStyle="1" w:styleId="EndnoteTextChar">
    <w:name w:val="Endnote Text Char"/>
    <w:basedOn w:val="DefaultParagraphFont"/>
    <w:link w:val="EndnoteText"/>
    <w:uiPriority w:val="99"/>
    <w:semiHidden/>
    <w:rsid w:val="009E6600"/>
    <w:rPr>
      <w:rFonts w:ascii="Times New Roman" w:eastAsiaTheme="minorEastAsia" w:hAnsi="Times New Roman"/>
      <w:sz w:val="20"/>
      <w:szCs w:val="20"/>
      <w:lang w:val="en-US" w:bidi="en-US"/>
    </w:rPr>
  </w:style>
  <w:style w:type="character" w:styleId="EndnoteReference">
    <w:name w:val="endnote reference"/>
    <w:basedOn w:val="DefaultParagraphFont"/>
    <w:uiPriority w:val="99"/>
    <w:semiHidden/>
    <w:unhideWhenUsed/>
    <w:rsid w:val="009E6600"/>
    <w:rPr>
      <w:vertAlign w:val="superscript"/>
    </w:rPr>
  </w:style>
  <w:style w:type="paragraph" w:styleId="Revision">
    <w:name w:val="Revision"/>
    <w:hidden/>
    <w:uiPriority w:val="99"/>
    <w:semiHidden/>
    <w:rsid w:val="004A2E34"/>
    <w:pPr>
      <w:spacing w:line="240" w:lineRule="auto"/>
    </w:pPr>
    <w:rPr>
      <w:rFonts w:ascii="Times New Roman" w:eastAsiaTheme="minorEastAsia" w:hAnsi="Times New Roman"/>
      <w:sz w:val="24"/>
      <w:szCs w:val="20"/>
      <w:lang w:val="en-US" w:bidi="en-US"/>
    </w:rPr>
  </w:style>
  <w:style w:type="paragraph" w:styleId="TableofFigures">
    <w:name w:val="table of figures"/>
    <w:basedOn w:val="Normal"/>
    <w:next w:val="Normal"/>
    <w:uiPriority w:val="99"/>
    <w:unhideWhenUsed/>
    <w:rsid w:val="009C126B"/>
    <w:pPr>
      <w:ind w:left="480" w:hanging="480"/>
    </w:pPr>
  </w:style>
  <w:style w:type="paragraph" w:styleId="TOC4">
    <w:name w:val="toc 4"/>
    <w:basedOn w:val="Normal"/>
    <w:next w:val="Normal"/>
    <w:autoRedefine/>
    <w:uiPriority w:val="39"/>
    <w:semiHidden/>
    <w:unhideWhenUsed/>
    <w:rsid w:val="00904BE3"/>
    <w:pPr>
      <w:spacing w:after="0"/>
      <w:ind w:left="720"/>
    </w:pPr>
    <w:rPr>
      <w:rFonts w:asciiTheme="minorHAnsi" w:hAnsiTheme="minorHAnsi"/>
      <w:sz w:val="20"/>
    </w:rPr>
  </w:style>
  <w:style w:type="paragraph" w:styleId="TOC5">
    <w:name w:val="toc 5"/>
    <w:basedOn w:val="Normal"/>
    <w:next w:val="Normal"/>
    <w:autoRedefine/>
    <w:uiPriority w:val="39"/>
    <w:semiHidden/>
    <w:unhideWhenUsed/>
    <w:rsid w:val="00904BE3"/>
    <w:pPr>
      <w:spacing w:after="0"/>
      <w:ind w:left="960"/>
    </w:pPr>
    <w:rPr>
      <w:rFonts w:asciiTheme="minorHAnsi" w:hAnsiTheme="minorHAnsi"/>
      <w:sz w:val="20"/>
    </w:rPr>
  </w:style>
  <w:style w:type="paragraph" w:styleId="TOC6">
    <w:name w:val="toc 6"/>
    <w:basedOn w:val="Normal"/>
    <w:next w:val="Normal"/>
    <w:autoRedefine/>
    <w:uiPriority w:val="39"/>
    <w:semiHidden/>
    <w:unhideWhenUsed/>
    <w:rsid w:val="00904BE3"/>
    <w:pPr>
      <w:spacing w:after="0"/>
      <w:ind w:left="1200"/>
    </w:pPr>
    <w:rPr>
      <w:rFonts w:asciiTheme="minorHAnsi" w:hAnsiTheme="minorHAnsi"/>
      <w:sz w:val="20"/>
    </w:rPr>
  </w:style>
  <w:style w:type="paragraph" w:styleId="TOC7">
    <w:name w:val="toc 7"/>
    <w:basedOn w:val="Normal"/>
    <w:next w:val="Normal"/>
    <w:autoRedefine/>
    <w:uiPriority w:val="39"/>
    <w:semiHidden/>
    <w:unhideWhenUsed/>
    <w:rsid w:val="00904BE3"/>
    <w:pPr>
      <w:spacing w:after="0"/>
      <w:ind w:left="1440"/>
    </w:pPr>
    <w:rPr>
      <w:rFonts w:asciiTheme="minorHAnsi" w:hAnsiTheme="minorHAnsi"/>
      <w:sz w:val="20"/>
    </w:rPr>
  </w:style>
  <w:style w:type="paragraph" w:styleId="TOC8">
    <w:name w:val="toc 8"/>
    <w:basedOn w:val="Normal"/>
    <w:next w:val="Normal"/>
    <w:autoRedefine/>
    <w:uiPriority w:val="39"/>
    <w:semiHidden/>
    <w:unhideWhenUsed/>
    <w:rsid w:val="00904BE3"/>
    <w:pPr>
      <w:spacing w:after="0"/>
      <w:ind w:left="1680"/>
    </w:pPr>
    <w:rPr>
      <w:rFonts w:asciiTheme="minorHAnsi" w:hAnsiTheme="minorHAnsi"/>
      <w:sz w:val="20"/>
    </w:rPr>
  </w:style>
  <w:style w:type="paragraph" w:styleId="TOC9">
    <w:name w:val="toc 9"/>
    <w:basedOn w:val="Normal"/>
    <w:next w:val="Normal"/>
    <w:autoRedefine/>
    <w:uiPriority w:val="39"/>
    <w:semiHidden/>
    <w:unhideWhenUsed/>
    <w:rsid w:val="00904BE3"/>
    <w:pPr>
      <w:spacing w:after="0"/>
      <w:ind w:left="1920"/>
    </w:pPr>
    <w:rPr>
      <w:rFonts w:asciiTheme="minorHAnsi" w:hAnsiTheme="minorHAnsi"/>
      <w:sz w:val="20"/>
    </w:rPr>
  </w:style>
  <w:style w:type="paragraph" w:customStyle="1" w:styleId="BlockQuote">
    <w:name w:val="Block Quote"/>
    <w:basedOn w:val="Normal"/>
    <w:link w:val="BlockQuoteChar"/>
    <w:qFormat/>
    <w:rsid w:val="00D74BCE"/>
    <w:pPr>
      <w:spacing w:before="120" w:after="0"/>
      <w:ind w:left="720" w:right="720"/>
    </w:pPr>
    <w:rPr>
      <w:sz w:val="21"/>
    </w:rPr>
  </w:style>
  <w:style w:type="character" w:customStyle="1" w:styleId="BlockQuoteChar">
    <w:name w:val="Block Quote Char"/>
    <w:basedOn w:val="DefaultParagraphFont"/>
    <w:link w:val="BlockQuote"/>
    <w:rsid w:val="00D74BCE"/>
    <w:rPr>
      <w:rFonts w:ascii="Times New Roman" w:hAnsi="Times New Roman"/>
      <w:sz w:val="21"/>
    </w:rPr>
  </w:style>
  <w:style w:type="paragraph" w:customStyle="1" w:styleId="ExcerptMarker">
    <w:name w:val="Excerpt Marker"/>
    <w:basedOn w:val="Normal"/>
    <w:link w:val="ExcerptMarkerChar"/>
    <w:qFormat/>
    <w:rsid w:val="00A9473C"/>
    <w:pPr>
      <w:spacing w:before="120" w:after="120"/>
      <w:jc w:val="center"/>
    </w:pPr>
    <w:rPr>
      <w:rFonts w:eastAsiaTheme="minorEastAsia" w:cs="Times New Roman"/>
      <w:smallCaps/>
      <w:sz w:val="18"/>
      <w:lang w:val="en-US" w:eastAsia="zh-CN"/>
    </w:rPr>
  </w:style>
  <w:style w:type="character" w:customStyle="1" w:styleId="ExcerptMarkerChar">
    <w:name w:val="Excerpt Marker Char"/>
    <w:basedOn w:val="DefaultParagraphFont"/>
    <w:link w:val="ExcerptMarker"/>
    <w:rsid w:val="00A9473C"/>
    <w:rPr>
      <w:rFonts w:ascii="Times New Roman" w:eastAsiaTheme="minorEastAsia" w:hAnsi="Times New Roman" w:cs="Times New Roman"/>
      <w:smallCaps/>
      <w:sz w:val="18"/>
      <w:lang w:val="en-US" w:eastAsia="zh-CN"/>
    </w:rPr>
  </w:style>
  <w:style w:type="character" w:customStyle="1" w:styleId="Heading4Char">
    <w:name w:val="Heading 4 Char"/>
    <w:basedOn w:val="DefaultParagraphFont"/>
    <w:link w:val="Heading4"/>
    <w:uiPriority w:val="9"/>
    <w:rsid w:val="00A7189D"/>
    <w:rPr>
      <w:rFonts w:ascii="Times New Roman" w:eastAsiaTheme="majorEastAsia" w:hAnsi="Times New Roman" w:cstheme="majorBidi"/>
      <w:b/>
      <w:iCs/>
      <w:sz w:val="24"/>
    </w:rPr>
  </w:style>
  <w:style w:type="paragraph" w:customStyle="1" w:styleId="TitlePgChTitle">
    <w:name w:val="Title Pg Ch. Title"/>
    <w:basedOn w:val="Normal"/>
    <w:link w:val="TitlePgChTitleChar"/>
    <w:qFormat/>
    <w:rsid w:val="00A9473C"/>
    <w:pPr>
      <w:jc w:val="center"/>
    </w:pPr>
    <w:rPr>
      <w:b/>
      <w:smallCaps/>
      <w:spacing w:val="10"/>
      <w:sz w:val="36"/>
    </w:rPr>
  </w:style>
  <w:style w:type="character" w:customStyle="1" w:styleId="TitlePgChTitleChar">
    <w:name w:val="Title Pg Ch. Title Char"/>
    <w:basedOn w:val="DefaultParagraphFont"/>
    <w:link w:val="TitlePgChTitle"/>
    <w:rsid w:val="00A9473C"/>
    <w:rPr>
      <w:rFonts w:ascii="Times New Roman" w:hAnsi="Times New Roman"/>
      <w:b/>
      <w:smallCaps/>
      <w:spacing w:val="10"/>
      <w:sz w:val="36"/>
    </w:rPr>
  </w:style>
  <w:style w:type="paragraph" w:customStyle="1" w:styleId="TitlePgCh">
    <w:name w:val="Title Pg Ch.#"/>
    <w:basedOn w:val="Normal"/>
    <w:link w:val="TitlePgChChar"/>
    <w:qFormat/>
    <w:rsid w:val="00A9473C"/>
    <w:pPr>
      <w:spacing w:after="480"/>
      <w:jc w:val="center"/>
    </w:pPr>
    <w:rPr>
      <w:b/>
      <w:smallCaps/>
      <w:spacing w:val="20"/>
      <w:sz w:val="28"/>
    </w:rPr>
  </w:style>
  <w:style w:type="character" w:customStyle="1" w:styleId="TitlePgChChar">
    <w:name w:val="Title Pg Ch.# Char"/>
    <w:basedOn w:val="DefaultParagraphFont"/>
    <w:link w:val="TitlePgCh"/>
    <w:rsid w:val="00A9473C"/>
    <w:rPr>
      <w:rFonts w:ascii="Times New Roman" w:hAnsi="Times New Roman"/>
      <w:b/>
      <w:smallCaps/>
      <w:spacing w:val="20"/>
      <w:sz w:val="28"/>
    </w:rPr>
  </w:style>
  <w:style w:type="paragraph" w:customStyle="1" w:styleId="TOCHeading1">
    <w:name w:val="TOC Heading1"/>
    <w:basedOn w:val="Normal"/>
    <w:link w:val="ToCHeadingChar"/>
    <w:qFormat/>
    <w:rsid w:val="00A9473C"/>
    <w:pPr>
      <w:jc w:val="left"/>
    </w:pPr>
    <w:rPr>
      <w:b/>
      <w:smallCaps/>
      <w:spacing w:val="4"/>
      <w:sz w:val="32"/>
    </w:rPr>
  </w:style>
  <w:style w:type="character" w:customStyle="1" w:styleId="ToCHeadingChar">
    <w:name w:val="ToC Heading Char"/>
    <w:basedOn w:val="DefaultParagraphFont"/>
    <w:link w:val="TOCHeading1"/>
    <w:rsid w:val="00A9473C"/>
    <w:rPr>
      <w:rFonts w:ascii="Times New Roman" w:hAnsi="Times New Roman"/>
      <w:b/>
      <w:smallCaps/>
      <w:spacing w:val="4"/>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8182">
      <w:bodyDiv w:val="1"/>
      <w:marLeft w:val="0"/>
      <w:marRight w:val="0"/>
      <w:marTop w:val="0"/>
      <w:marBottom w:val="0"/>
      <w:divBdr>
        <w:top w:val="none" w:sz="0" w:space="0" w:color="auto"/>
        <w:left w:val="none" w:sz="0" w:space="0" w:color="auto"/>
        <w:bottom w:val="none" w:sz="0" w:space="0" w:color="auto"/>
        <w:right w:val="none" w:sz="0" w:space="0" w:color="auto"/>
      </w:divBdr>
    </w:div>
    <w:div w:id="308288300">
      <w:bodyDiv w:val="1"/>
      <w:marLeft w:val="0"/>
      <w:marRight w:val="0"/>
      <w:marTop w:val="0"/>
      <w:marBottom w:val="0"/>
      <w:divBdr>
        <w:top w:val="none" w:sz="0" w:space="0" w:color="auto"/>
        <w:left w:val="none" w:sz="0" w:space="0" w:color="auto"/>
        <w:bottom w:val="none" w:sz="0" w:space="0" w:color="auto"/>
        <w:right w:val="none" w:sz="0" w:space="0" w:color="auto"/>
      </w:divBdr>
    </w:div>
    <w:div w:id="327831535">
      <w:bodyDiv w:val="1"/>
      <w:marLeft w:val="0"/>
      <w:marRight w:val="0"/>
      <w:marTop w:val="0"/>
      <w:marBottom w:val="0"/>
      <w:divBdr>
        <w:top w:val="none" w:sz="0" w:space="0" w:color="auto"/>
        <w:left w:val="none" w:sz="0" w:space="0" w:color="auto"/>
        <w:bottom w:val="none" w:sz="0" w:space="0" w:color="auto"/>
        <w:right w:val="none" w:sz="0" w:space="0" w:color="auto"/>
      </w:divBdr>
    </w:div>
    <w:div w:id="573590001">
      <w:bodyDiv w:val="1"/>
      <w:marLeft w:val="0"/>
      <w:marRight w:val="0"/>
      <w:marTop w:val="0"/>
      <w:marBottom w:val="0"/>
      <w:divBdr>
        <w:top w:val="none" w:sz="0" w:space="0" w:color="auto"/>
        <w:left w:val="none" w:sz="0" w:space="0" w:color="auto"/>
        <w:bottom w:val="none" w:sz="0" w:space="0" w:color="auto"/>
        <w:right w:val="none" w:sz="0" w:space="0" w:color="auto"/>
      </w:divBdr>
    </w:div>
    <w:div w:id="824469008">
      <w:bodyDiv w:val="1"/>
      <w:marLeft w:val="0"/>
      <w:marRight w:val="0"/>
      <w:marTop w:val="0"/>
      <w:marBottom w:val="0"/>
      <w:divBdr>
        <w:top w:val="none" w:sz="0" w:space="0" w:color="auto"/>
        <w:left w:val="none" w:sz="0" w:space="0" w:color="auto"/>
        <w:bottom w:val="none" w:sz="0" w:space="0" w:color="auto"/>
        <w:right w:val="none" w:sz="0" w:space="0" w:color="auto"/>
      </w:divBdr>
    </w:div>
    <w:div w:id="835925889">
      <w:bodyDiv w:val="1"/>
      <w:marLeft w:val="0"/>
      <w:marRight w:val="0"/>
      <w:marTop w:val="0"/>
      <w:marBottom w:val="0"/>
      <w:divBdr>
        <w:top w:val="none" w:sz="0" w:space="0" w:color="auto"/>
        <w:left w:val="none" w:sz="0" w:space="0" w:color="auto"/>
        <w:bottom w:val="none" w:sz="0" w:space="0" w:color="auto"/>
        <w:right w:val="none" w:sz="0" w:space="0" w:color="auto"/>
      </w:divBdr>
      <w:divsChild>
        <w:div w:id="153110688">
          <w:marLeft w:val="0"/>
          <w:marRight w:val="0"/>
          <w:marTop w:val="0"/>
          <w:marBottom w:val="0"/>
          <w:divBdr>
            <w:top w:val="none" w:sz="0" w:space="0" w:color="auto"/>
            <w:left w:val="none" w:sz="0" w:space="0" w:color="auto"/>
            <w:bottom w:val="none" w:sz="0" w:space="0" w:color="auto"/>
            <w:right w:val="none" w:sz="0" w:space="0" w:color="auto"/>
          </w:divBdr>
          <w:divsChild>
            <w:div w:id="826633234">
              <w:marLeft w:val="0"/>
              <w:marRight w:val="0"/>
              <w:marTop w:val="0"/>
              <w:marBottom w:val="0"/>
              <w:divBdr>
                <w:top w:val="none" w:sz="0" w:space="0" w:color="auto"/>
                <w:left w:val="none" w:sz="0" w:space="0" w:color="auto"/>
                <w:bottom w:val="none" w:sz="0" w:space="0" w:color="auto"/>
                <w:right w:val="none" w:sz="0" w:space="0" w:color="auto"/>
              </w:divBdr>
              <w:divsChild>
                <w:div w:id="1998459746">
                  <w:marLeft w:val="0"/>
                  <w:marRight w:val="0"/>
                  <w:marTop w:val="0"/>
                  <w:marBottom w:val="0"/>
                  <w:divBdr>
                    <w:top w:val="none" w:sz="0" w:space="0" w:color="auto"/>
                    <w:left w:val="none" w:sz="0" w:space="0" w:color="auto"/>
                    <w:bottom w:val="none" w:sz="0" w:space="0" w:color="auto"/>
                    <w:right w:val="none" w:sz="0" w:space="0" w:color="auto"/>
                  </w:divBdr>
                  <w:divsChild>
                    <w:div w:id="1857036263">
                      <w:marLeft w:val="0"/>
                      <w:marRight w:val="0"/>
                      <w:marTop w:val="0"/>
                      <w:marBottom w:val="0"/>
                      <w:divBdr>
                        <w:top w:val="none" w:sz="0" w:space="0" w:color="auto"/>
                        <w:left w:val="none" w:sz="0" w:space="0" w:color="auto"/>
                        <w:bottom w:val="none" w:sz="0" w:space="0" w:color="auto"/>
                        <w:right w:val="none" w:sz="0" w:space="0" w:color="auto"/>
                      </w:divBdr>
                      <w:divsChild>
                        <w:div w:id="206212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1593263">
      <w:bodyDiv w:val="1"/>
      <w:marLeft w:val="0"/>
      <w:marRight w:val="0"/>
      <w:marTop w:val="0"/>
      <w:marBottom w:val="0"/>
      <w:divBdr>
        <w:top w:val="none" w:sz="0" w:space="0" w:color="auto"/>
        <w:left w:val="none" w:sz="0" w:space="0" w:color="auto"/>
        <w:bottom w:val="none" w:sz="0" w:space="0" w:color="auto"/>
        <w:right w:val="none" w:sz="0" w:space="0" w:color="auto"/>
      </w:divBdr>
    </w:div>
    <w:div w:id="1046637762">
      <w:bodyDiv w:val="1"/>
      <w:marLeft w:val="0"/>
      <w:marRight w:val="0"/>
      <w:marTop w:val="0"/>
      <w:marBottom w:val="0"/>
      <w:divBdr>
        <w:top w:val="none" w:sz="0" w:space="0" w:color="auto"/>
        <w:left w:val="none" w:sz="0" w:space="0" w:color="auto"/>
        <w:bottom w:val="none" w:sz="0" w:space="0" w:color="auto"/>
        <w:right w:val="none" w:sz="0" w:space="0" w:color="auto"/>
      </w:divBdr>
    </w:div>
    <w:div w:id="1557354428">
      <w:bodyDiv w:val="1"/>
      <w:marLeft w:val="0"/>
      <w:marRight w:val="0"/>
      <w:marTop w:val="0"/>
      <w:marBottom w:val="0"/>
      <w:divBdr>
        <w:top w:val="none" w:sz="0" w:space="0" w:color="auto"/>
        <w:left w:val="none" w:sz="0" w:space="0" w:color="auto"/>
        <w:bottom w:val="none" w:sz="0" w:space="0" w:color="auto"/>
        <w:right w:val="none" w:sz="0" w:space="0" w:color="auto"/>
      </w:divBdr>
    </w:div>
    <w:div w:id="1667434601">
      <w:bodyDiv w:val="1"/>
      <w:marLeft w:val="0"/>
      <w:marRight w:val="0"/>
      <w:marTop w:val="0"/>
      <w:marBottom w:val="0"/>
      <w:divBdr>
        <w:top w:val="none" w:sz="0" w:space="0" w:color="auto"/>
        <w:left w:val="none" w:sz="0" w:space="0" w:color="auto"/>
        <w:bottom w:val="none" w:sz="0" w:space="0" w:color="auto"/>
        <w:right w:val="none" w:sz="0" w:space="0" w:color="auto"/>
      </w:divBdr>
    </w:div>
    <w:div w:id="1689916089">
      <w:bodyDiv w:val="1"/>
      <w:marLeft w:val="0"/>
      <w:marRight w:val="0"/>
      <w:marTop w:val="0"/>
      <w:marBottom w:val="0"/>
      <w:divBdr>
        <w:top w:val="none" w:sz="0" w:space="0" w:color="auto"/>
        <w:left w:val="none" w:sz="0" w:space="0" w:color="auto"/>
        <w:bottom w:val="none" w:sz="0" w:space="0" w:color="auto"/>
        <w:right w:val="none" w:sz="0" w:space="0" w:color="auto"/>
      </w:divBdr>
    </w:div>
    <w:div w:id="2065714819">
      <w:bodyDiv w:val="1"/>
      <w:marLeft w:val="0"/>
      <w:marRight w:val="0"/>
      <w:marTop w:val="0"/>
      <w:marBottom w:val="0"/>
      <w:divBdr>
        <w:top w:val="none" w:sz="0" w:space="0" w:color="auto"/>
        <w:left w:val="none" w:sz="0" w:space="0" w:color="auto"/>
        <w:bottom w:val="none" w:sz="0" w:space="0" w:color="auto"/>
        <w:right w:val="none" w:sz="0" w:space="0" w:color="auto"/>
      </w:divBdr>
      <w:divsChild>
        <w:div w:id="1370759987">
          <w:marLeft w:val="0"/>
          <w:marRight w:val="0"/>
          <w:marTop w:val="0"/>
          <w:marBottom w:val="0"/>
          <w:divBdr>
            <w:top w:val="none" w:sz="0" w:space="0" w:color="auto"/>
            <w:left w:val="none" w:sz="0" w:space="0" w:color="auto"/>
            <w:bottom w:val="none" w:sz="0" w:space="0" w:color="auto"/>
            <w:right w:val="none" w:sz="0" w:space="0" w:color="auto"/>
          </w:divBdr>
          <w:divsChild>
            <w:div w:id="1475831490">
              <w:marLeft w:val="0"/>
              <w:marRight w:val="0"/>
              <w:marTop w:val="0"/>
              <w:marBottom w:val="0"/>
              <w:divBdr>
                <w:top w:val="none" w:sz="0" w:space="0" w:color="auto"/>
                <w:left w:val="none" w:sz="0" w:space="0" w:color="auto"/>
                <w:bottom w:val="none" w:sz="0" w:space="0" w:color="auto"/>
                <w:right w:val="none" w:sz="0" w:space="0" w:color="auto"/>
              </w:divBdr>
              <w:divsChild>
                <w:div w:id="1832258199">
                  <w:marLeft w:val="0"/>
                  <w:marRight w:val="0"/>
                  <w:marTop w:val="0"/>
                  <w:marBottom w:val="0"/>
                  <w:divBdr>
                    <w:top w:val="none" w:sz="0" w:space="0" w:color="auto"/>
                    <w:left w:val="none" w:sz="0" w:space="0" w:color="auto"/>
                    <w:bottom w:val="none" w:sz="0" w:space="0" w:color="auto"/>
                    <w:right w:val="none" w:sz="0" w:space="0" w:color="auto"/>
                  </w:divBdr>
                  <w:divsChild>
                    <w:div w:id="373769984">
                      <w:marLeft w:val="0"/>
                      <w:marRight w:val="0"/>
                      <w:marTop w:val="0"/>
                      <w:marBottom w:val="0"/>
                      <w:divBdr>
                        <w:top w:val="none" w:sz="0" w:space="0" w:color="auto"/>
                        <w:left w:val="none" w:sz="0" w:space="0" w:color="auto"/>
                        <w:bottom w:val="none" w:sz="0" w:space="0" w:color="auto"/>
                        <w:right w:val="none" w:sz="0" w:space="0" w:color="auto"/>
                      </w:divBdr>
                      <w:divsChild>
                        <w:div w:id="86456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citral.org/uncitral/index.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6" Type="http://schemas.openxmlformats.org/officeDocument/2006/relationships/hyperlink" Target="http://papers.ssrn.com/sol3/Papers.cfm?abstract_id=2007152" TargetMode="External"/><Relationship Id="rId117" Type="http://schemas.openxmlformats.org/officeDocument/2006/relationships/hyperlink" Target="http://www.parl.gc.ca/Content/LOP/researchpublications/prb0560-e.htm" TargetMode="External"/><Relationship Id="rId21" Type="http://schemas.openxmlformats.org/officeDocument/2006/relationships/hyperlink" Target="http://www.macleans.ca/news/canada/quebecs-now-undeniable-corruption-crisis/" TargetMode="External"/><Relationship Id="rId42" Type="http://schemas.openxmlformats.org/officeDocument/2006/relationships/hyperlink" Target="file:///C:\Users\gferguso\AppData\Local\Microsoft\Windows\Temporary%20Internet%20Files\Content.Outlook\8GGKHXHK\api.ning.com\files\Iumatxx-0jz3owSB05xZDkmWIE7GTVYA3cXwt4K4s3Uy0NtPPRgPWYO1lLrWaTUqybQeTXIeuSYUxbPFWlysuyNI5rL6b2Ms\PPPReferenceGuidev02Web.pdf" TargetMode="External"/><Relationship Id="rId47" Type="http://schemas.openxmlformats.org/officeDocument/2006/relationships/hyperlink" Target="http://www.tpsgc-pwgsc.gc.ca/biens-property/sngp-npms/bi-rp/conn-know/approv-procure/manuelga-pmmanual-8-eng.html" TargetMode="External"/><Relationship Id="rId63" Type="http://schemas.openxmlformats.org/officeDocument/2006/relationships/hyperlink" Target="http://www.blakes.com/English/Resources/Bulletins/Pages/Details.aspx?BulletinID=1385" TargetMode="External"/><Relationship Id="rId68" Type="http://schemas.openxmlformats.org/officeDocument/2006/relationships/hyperlink" Target="http://www.worldbank.org/en/projects-operations/products-and-services/brief/procurement-new-framework" TargetMode="External"/><Relationship Id="rId84" Type="http://schemas.openxmlformats.org/officeDocument/2006/relationships/hyperlink" Target="http://www.international.gc.ca/trade-commerce/trade-agreements-accords-commerciaux/agr-acc/ceta-aecg/overview-apercu.aspx?lang=eng" TargetMode="External"/><Relationship Id="rId89" Type="http://schemas.openxmlformats.org/officeDocument/2006/relationships/hyperlink" Target="http://www.mccarthy.ca/pubs/McCarthy%20Tetrault_2015-01-21_Update%20Procurement%20Law%20Canada_Presentation.pdf" TargetMode="External"/><Relationship Id="rId112" Type="http://schemas.openxmlformats.org/officeDocument/2006/relationships/hyperlink" Target="http://www.parl.gc.ca/HousePublications/Publication.aspx?DocId=4416059&amp;Mode=1&amp;Parl=40&amp;Ses=3&amp;File=18&amp;Language=E" TargetMode="External"/><Relationship Id="rId133" Type="http://schemas.openxmlformats.org/officeDocument/2006/relationships/hyperlink" Target="https://www.oecd.org/daf/anti-bribery/UnitedKingdomphase3reportEN.pdf" TargetMode="External"/><Relationship Id="rId138" Type="http://schemas.openxmlformats.org/officeDocument/2006/relationships/hyperlink" Target="http://www.parliament.vic.gov.au/images/stories/committees/paec/2010-11_Budget_Estimates/Extra_bits/Mott_McDonald_Flyvberg_Blake_Dawson_Waldron_studies.pdf" TargetMode="External"/><Relationship Id="rId16" Type="http://schemas.openxmlformats.org/officeDocument/2006/relationships/hyperlink" Target="http://www.nytimes.com/2013/07/12/us/19-year-corruption-sentence-for-ex-manager-with-army-corps-of-engineers.html?_r=0" TargetMode="External"/><Relationship Id="rId107" Type="http://schemas.openxmlformats.org/officeDocument/2006/relationships/hyperlink" Target="http://www.bto.co.uk/blog/procurement-reform-in-scotland-%E2%80%93-update,-january-2016.aspx" TargetMode="External"/><Relationship Id="rId11" Type="http://schemas.openxmlformats.org/officeDocument/2006/relationships/hyperlink" Target="http://oecdinsights.org/2015/03/27/transparency-in-public-procurement-moving-away-from-the-abstract/" TargetMode="External"/><Relationship Id="rId32" Type="http://schemas.openxmlformats.org/officeDocument/2006/relationships/hyperlink" Target="http://www.oecd.org/gov/ethics/48994520.pdf" TargetMode="External"/><Relationship Id="rId37" Type="http://schemas.openxmlformats.org/officeDocument/2006/relationships/hyperlink" Target="https://www.imf.org/external/pubs/ft/wp/2006/wp0699.pdf" TargetMode="External"/><Relationship Id="rId53" Type="http://schemas.openxmlformats.org/officeDocument/2006/relationships/hyperlink" Target="http://www.oecd.org/development/effectiveness/38588964.pdf" TargetMode="External"/><Relationship Id="rId58" Type="http://schemas.openxmlformats.org/officeDocument/2006/relationships/hyperlink" Target="http://www.oecd-ilibrary.org/governance/implementing-the-oecd-principles-for-integrity-in-public-procurement_9789264201385-en" TargetMode="External"/><Relationship Id="rId74" Type="http://schemas.openxmlformats.org/officeDocument/2006/relationships/hyperlink" Target="https://www.wto.org/english/tratop_e/gproc_e/gp_gpa_e.htm" TargetMode="External"/><Relationship Id="rId79" Type="http://schemas.openxmlformats.org/officeDocument/2006/relationships/hyperlink" Target="http://www.tbs-sct.gc.ca/hgw-cgf/business-affaire/gcp-agc/notices-avis/2015/15-03-eng.asp" TargetMode="External"/><Relationship Id="rId102" Type="http://schemas.openxmlformats.org/officeDocument/2006/relationships/hyperlink" Target="http://www.mills-reeve.com/brexit-how-will-it-impact-on-uk-procurement-and-construction-law/" TargetMode="External"/><Relationship Id="rId123" Type="http://schemas.openxmlformats.org/officeDocument/2006/relationships/hyperlink" Target="https://www.tpsgc-pwgsc.gc.ca/ci-if/synopsis-backgrounder-eng.html" TargetMode="External"/><Relationship Id="rId128" Type="http://schemas.openxmlformats.org/officeDocument/2006/relationships/hyperlink" Target="http://montrealgazette.com/news/local-news/anti-corruption-legislation-creates-niche-market-for-private-eye-and-accounting-firms" TargetMode="External"/><Relationship Id="rId5" Type="http://schemas.openxmlformats.org/officeDocument/2006/relationships/hyperlink" Target="http://siteresources.worldbank.org/INTABCDEWASHINGTON2000/Resources/hellman.pdf" TargetMode="External"/><Relationship Id="rId90" Type="http://schemas.openxmlformats.org/officeDocument/2006/relationships/hyperlink" Target="https://patrylaw.ca/government-procurement-bidding-tendering/procurement-law-canada-overview/" TargetMode="External"/><Relationship Id="rId95" Type="http://schemas.openxmlformats.org/officeDocument/2006/relationships/hyperlink" Target="http://www.gao.gov/legal/bid-protests" TargetMode="External"/><Relationship Id="rId14" Type="http://schemas.openxmlformats.org/officeDocument/2006/relationships/hyperlink" Target="http://opo-boa.gc.ca/documents/rapports-reports/2015-2016/annuel-annual-2015-2016-eng.pdf" TargetMode="External"/><Relationship Id="rId22" Type="http://schemas.openxmlformats.org/officeDocument/2006/relationships/hyperlink" Target="http://www.macleans.ca/news/canada/the-most-corrupt-province/" TargetMode="External"/><Relationship Id="rId27" Type="http://schemas.openxmlformats.org/officeDocument/2006/relationships/hyperlink" Target="http://www.u4.no/publications/low-salaries-the-culture-of-per-diems-and-corruption/" TargetMode="External"/><Relationship Id="rId30" Type="http://schemas.openxmlformats.org/officeDocument/2006/relationships/hyperlink" Target="https://www.imf.org/external/pubs/ft/wp/2011/wp1137.pdf" TargetMode="External"/><Relationship Id="rId35" Type="http://schemas.openxmlformats.org/officeDocument/2006/relationships/hyperlink" Target="http://www.econ.uchile.cl/uploads/publicacion/c9b9ea69d84d4c93714c2d3b2d5982a5ca0a67d7.pdf" TargetMode="External"/><Relationship Id="rId43" Type="http://schemas.openxmlformats.org/officeDocument/2006/relationships/hyperlink" Target="http://www.oecd.org/dac/governance-peace/publications/FINAL%20Addressing%20corruption%20together.pdf" TargetMode="External"/><Relationship Id="rId48" Type="http://schemas.openxmlformats.org/officeDocument/2006/relationships/hyperlink" Target="http://www.p3canada.ca/en/about-p3s/p3-resource-library/public-private-partnerships-a-guide-for-municipalities/" TargetMode="External"/><Relationship Id="rId56" Type="http://schemas.openxmlformats.org/officeDocument/2006/relationships/hyperlink" Target="http://www.oecd.org/gov/ethics/48994520.pdf" TargetMode="External"/><Relationship Id="rId64" Type="http://schemas.openxmlformats.org/officeDocument/2006/relationships/hyperlink" Target="https://www.unodc.org/documents/treaties/UNCAC/Publications/LegislativeGuide/UNCAC_Legislative_Guide_E.pdf" TargetMode="External"/><Relationship Id="rId69" Type="http://schemas.openxmlformats.org/officeDocument/2006/relationships/hyperlink" Target="http://www.worldbank.org/en/projects-operations/products-and-services/brief/procurement-new-framework" TargetMode="External"/><Relationship Id="rId77" Type="http://schemas.openxmlformats.org/officeDocument/2006/relationships/hyperlink" Target="https://e-gpa.wto.org/en/ThresholdNotification?PartyId=216" TargetMode="External"/><Relationship Id="rId100" Type="http://schemas.openxmlformats.org/officeDocument/2006/relationships/hyperlink" Target="http://www.bbc.com/news/uk-politics-32810887" TargetMode="External"/><Relationship Id="rId105" Type="http://schemas.openxmlformats.org/officeDocument/2006/relationships/hyperlink" Target="http://eur-lex.europa.eu/legal-content/en/TXT/?uri=CELEX:32014L0024" TargetMode="External"/><Relationship Id="rId113" Type="http://schemas.openxmlformats.org/officeDocument/2006/relationships/hyperlink" Target="http://www.international.gc.ca/trade-agreements-accords-commerciaux/agr-acc/other-autre/us-eu.aspx?lang=eng/" TargetMode="External"/><Relationship Id="rId118" Type="http://schemas.openxmlformats.org/officeDocument/2006/relationships/hyperlink" Target="http://epe.lac-bac.gc.ca/100/206/301/pco-bcp/commissions/sponsorship-ef/06-02-10/www.gomery.ca/en/phase1report/default.htm" TargetMode="External"/><Relationship Id="rId126" Type="http://schemas.openxmlformats.org/officeDocument/2006/relationships/hyperlink" Target="http://montrealgazette.com/news/local-news/more-contract-bidders-to-be-vetted-under-provincial-decree" TargetMode="External"/><Relationship Id="rId134" Type="http://schemas.openxmlformats.org/officeDocument/2006/relationships/hyperlink" Target="http://www.oecd.org/daf/anti-bribery/UnitedKingdomPhase3WrittenFollowUpEN.pdf" TargetMode="External"/><Relationship Id="rId8" Type="http://schemas.openxmlformats.org/officeDocument/2006/relationships/hyperlink" Target="http://www.oecd-ilibrary.org/governance/implementing-the-oecd-principles-for-integrity-in-public-procurement_9789264201385-en" TargetMode="External"/><Relationship Id="rId51" Type="http://schemas.openxmlformats.org/officeDocument/2006/relationships/hyperlink" Target="https://www.ungm.org/Areas/Public/Downloads/ASR_2011_supplement.pdf" TargetMode="External"/><Relationship Id="rId72" Type="http://schemas.openxmlformats.org/officeDocument/2006/relationships/hyperlink" Target="http://www.fcpablog.com/blog/2015/7/8/chad-corruption-is-real-the-fcpa-not-so-much.html" TargetMode="External"/><Relationship Id="rId80" Type="http://schemas.openxmlformats.org/officeDocument/2006/relationships/hyperlink" Target="http://www.europarl.europa.eu/RegData/etudes/IDAN/2014/536410/EXPO_IDA(2014)536410_EN.pdf" TargetMode="External"/><Relationship Id="rId85" Type="http://schemas.openxmlformats.org/officeDocument/2006/relationships/hyperlink" Target="http://ec.europa.eu/trade/policy/in-focus/ceta/ceta-explained/" TargetMode="External"/><Relationship Id="rId93" Type="http://schemas.openxmlformats.org/officeDocument/2006/relationships/hyperlink" Target="http://www.uncitral.org/pdf/english/texts/procurem/ml-procurement-2011/Guide-Enactment-Model-Law-Public-Procurement-e.pdf" TargetMode="External"/><Relationship Id="rId98" Type="http://schemas.openxmlformats.org/officeDocument/2006/relationships/hyperlink" Target="https://www.theguardian.com/politics/2017/mar/13/brexit-vote-article-50-eu-citizens-rights-lords-mps" TargetMode="External"/><Relationship Id="rId121" Type="http://schemas.openxmlformats.org/officeDocument/2006/relationships/hyperlink" Target="http://www.mccarthy.ca/article_detail.aspx?id=7126" TargetMode="External"/><Relationship Id="rId3" Type="http://schemas.openxmlformats.org/officeDocument/2006/relationships/hyperlink" Target="https://www.nottingham.ac.uk/pprg/documentsarchive/bibliography-at-nov-2012.pdf" TargetMode="External"/><Relationship Id="rId12" Type="http://schemas.openxmlformats.org/officeDocument/2006/relationships/hyperlink" Target="https://stanford.edu/~ldiamond/paperssd/BuildingTrustinGovernmentUNGLobalForum.pdf" TargetMode="External"/><Relationship Id="rId17" Type="http://schemas.openxmlformats.org/officeDocument/2006/relationships/hyperlink" Target="https://www.cmi.no/publications/file/843-corruption-in-public-procurement-causes.pdf" TargetMode="External"/><Relationship Id="rId25" Type="http://schemas.openxmlformats.org/officeDocument/2006/relationships/hyperlink" Target="http://www.transparency.org/bpi2011/results" TargetMode="External"/><Relationship Id="rId33" Type="http://schemas.openxmlformats.org/officeDocument/2006/relationships/hyperlink" Target="http://www.giaccentre.org/how_corruption_occurs.php" TargetMode="External"/><Relationship Id="rId38" Type="http://schemas.openxmlformats.org/officeDocument/2006/relationships/hyperlink" Target="file:///C:\Users\gferguso\AppData\Local\Microsoft\Windows\Temporary%20Internet%20Files\Content.Outlook\8GGKHXHK\canadians.org\blog\trudeau-abandons-harpers-unpopular-p3-requirement-infrastructure-funding" TargetMode="External"/><Relationship Id="rId46" Type="http://schemas.openxmlformats.org/officeDocument/2006/relationships/hyperlink" Target="file:///C:\Users\gferguso\AppData\Local\Microsoft\Windows\Temporary%20Internet%20Files\Content.Outlook\8GGKHXHK\www-wds.worldbank.org\external\default\WDSContentServer\WDSP\IB\2012\07\04\000386194_20120704034652\Rendered\PDF\708460ESW0P1050e0Practices0in0PPPs.pdf" TargetMode="External"/><Relationship Id="rId59" Type="http://schemas.openxmlformats.org/officeDocument/2006/relationships/hyperlink" Target="https://www.ciesin.columbia.edu/decentralization/English/Issues/Accountability.html" TargetMode="External"/><Relationship Id="rId67" Type="http://schemas.openxmlformats.org/officeDocument/2006/relationships/hyperlink" Target="http://dalspace.library.dal.ca/handle/10222/56272" TargetMode="External"/><Relationship Id="rId103" Type="http://schemas.openxmlformats.org/officeDocument/2006/relationships/hyperlink" Target="http://www.procurementportal.com/blog/blog.aspx?entry=480" TargetMode="External"/><Relationship Id="rId108" Type="http://schemas.openxmlformats.org/officeDocument/2006/relationships/hyperlink" Target="https://www.gov.uk/guidance/public-sector-procurement-policy%20-%20public-contracts-regulations-2015" TargetMode="External"/><Relationship Id="rId116" Type="http://schemas.openxmlformats.org/officeDocument/2006/relationships/hyperlink" Target="http://www.ait-aci.ca/overview-of-the-agreement/" TargetMode="External"/><Relationship Id="rId124" Type="http://schemas.openxmlformats.org/officeDocument/2006/relationships/hyperlink" Target="file:///C:\Users\gferguso\AppData\Local\Microsoft\Windows\Temporary%20Internet%20Files\Content.Outlook\8GGKHXHK\s3.documentcloud.org\documents\2599890\charbonneau-report-final-recommendations.pdf" TargetMode="External"/><Relationship Id="rId129" Type="http://schemas.openxmlformats.org/officeDocument/2006/relationships/hyperlink" Target="http://opo-boa.gc.ca/faq-eng.html" TargetMode="External"/><Relationship Id="rId137" Type="http://schemas.openxmlformats.org/officeDocument/2006/relationships/hyperlink" Target="http://www.oecd.org/daf/anti-bribery/CanadaP3writtenfollowupreportEN.pdf" TargetMode="External"/><Relationship Id="rId20" Type="http://schemas.openxmlformats.org/officeDocument/2006/relationships/hyperlink" Target="file:///C:\Users\gferguso\AppData\Local\Microsoft\Windows\Temporary%20Internet%20Files\Content.Outlook\8GGKHXHK\s3.documentcloud.org\documents\2599890\charbonneau-report-final-recommendations.pdf" TargetMode="External"/><Relationship Id="rId41" Type="http://schemas.openxmlformats.org/officeDocument/2006/relationships/hyperlink" Target="http://www.econ.uchile.cl/uploads/publicacion/c9b9ea69d84d4c93714c2d3b2d5982a5ca0a67d7.pdf" TargetMode="External"/><Relationship Id="rId54" Type="http://schemas.openxmlformats.org/officeDocument/2006/relationships/hyperlink" Target="https://www.ungm.org/Areas/Public/Downloads/ASR_2011_supplement.pdf" TargetMode="External"/><Relationship Id="rId62" Type="http://schemas.openxmlformats.org/officeDocument/2006/relationships/hyperlink" Target="http://www.gao.gov/assets/470/461929.pdf" TargetMode="External"/><Relationship Id="rId70" Type="http://schemas.openxmlformats.org/officeDocument/2006/relationships/hyperlink" Target="http://www.fcpablog.com/blog/2015/7/22/compliance-alert-world-bank-adopts-more-flexible-and-transpa.html" TargetMode="External"/><Relationship Id="rId75" Type="http://schemas.openxmlformats.org/officeDocument/2006/relationships/hyperlink" Target="https://www.wto.org/english/docs_e/legal_e/rev-gpr-94_01_e.htm" TargetMode="External"/><Relationship Id="rId83" Type="http://schemas.openxmlformats.org/officeDocument/2006/relationships/hyperlink" Target="http://www.international.gc.ca/trade-commerce/trade-agreements-accords-commerciaux/agr-acc/ceta-aecg/text-texte/toc-tdm.aspx?lang=eng" TargetMode="External"/><Relationship Id="rId88" Type="http://schemas.openxmlformats.org/officeDocument/2006/relationships/hyperlink" Target="http://www.international.gc.ca/trade-commerce/trade-agreements-accords-commerciaux/agr-acc/ceta-aecg/text-texte/19.aspx?lang=eng" TargetMode="External"/><Relationship Id="rId91" Type="http://schemas.openxmlformats.org/officeDocument/2006/relationships/hyperlink" Target="https://www.legal-tools.org/uploads/tx_ltpdb/AfricanUnionConventiononPreventingandCombatingCorruption_11-07-2003__E__04.pdf" TargetMode="External"/><Relationship Id="rId96" Type="http://schemas.openxmlformats.org/officeDocument/2006/relationships/hyperlink" Target="http://www.bbc.com/news/uk-politics-32810887" TargetMode="External"/><Relationship Id="rId111" Type="http://schemas.openxmlformats.org/officeDocument/2006/relationships/hyperlink" Target="http://tradecommissioner.gc.ca/sell2usgov-vendreaugouvusa/procurement-marches/agreement-accord.aspx?lang=eng" TargetMode="External"/><Relationship Id="rId132" Type="http://schemas.openxmlformats.org/officeDocument/2006/relationships/hyperlink" Target="http://www.oecd.org/daf/anti-bribery/UnitedStatesphase3writtenfollowupreportEN.pdf" TargetMode="External"/><Relationship Id="rId1" Type="http://schemas.openxmlformats.org/officeDocument/2006/relationships/hyperlink" Target="http://www.acec.ca/source/2014/november/pdf/2014_AntiCorruption_PublicProcurement_Guide_EN.pdf" TargetMode="External"/><Relationship Id="rId6" Type="http://schemas.openxmlformats.org/officeDocument/2006/relationships/hyperlink" Target="http://www.acec.ca/source/2014/november/pdf/2014_AntiCorruption_PublicProcurement_Guide_EN.pdf%3E." TargetMode="External"/><Relationship Id="rId15" Type="http://schemas.openxmlformats.org/officeDocument/2006/relationships/hyperlink" Target="http://www.giaccentre.org/cost_of_corruption.php" TargetMode="External"/><Relationship Id="rId23" Type="http://schemas.openxmlformats.org/officeDocument/2006/relationships/hyperlink" Target="http://www.theglobeandmail.com/report-on-business/quebecs-corruption-scandal-is-a-canadian-problem/article6140631/" TargetMode="External"/><Relationship Id="rId28" Type="http://schemas.openxmlformats.org/officeDocument/2006/relationships/hyperlink" Target="http://www.u4.no/publications/corruption-in-the-construction-of-public-infrastructure-critical-issues-in-project-preparation/" TargetMode="External"/><Relationship Id="rId36" Type="http://schemas.openxmlformats.org/officeDocument/2006/relationships/hyperlink" Target="file:///C:\Users\gferguso\AppData\Local\Microsoft\Windows\Temporary%20Internet%20Files\Content.Outlook\8GGKHXHK\ppp.worldbank.org\public-private-partnership\sites\ppp.worldbank.org\files\documents\GuidanceNote_PPP_September2010.pdf" TargetMode="External"/><Relationship Id="rId49" Type="http://schemas.openxmlformats.org/officeDocument/2006/relationships/hyperlink" Target="http://9iacc.org/papers/day2/ws2/d2ws2_wwittig2.html" TargetMode="External"/><Relationship Id="rId57" Type="http://schemas.openxmlformats.org/officeDocument/2006/relationships/hyperlink" Target="https://www.oecd.org/gov/41760991.pdf" TargetMode="External"/><Relationship Id="rId106" Type="http://schemas.openxmlformats.org/officeDocument/2006/relationships/hyperlink" Target="http://ec.europa.eu/internal_market/publicprocurement/docs/modernising_rules/reform/fact-sheets/fact-sheet-01-overview_en.pdf" TargetMode="External"/><Relationship Id="rId114" Type="http://schemas.openxmlformats.org/officeDocument/2006/relationships/hyperlink" Target="http://www.international.gc.ca/trade-agreements-accords-commerciaux/topics-domaines/gp-mp/agreement-accord.aspx?lang=eng" TargetMode="External"/><Relationship Id="rId119" Type="http://schemas.openxmlformats.org/officeDocument/2006/relationships/hyperlink" Target="http://blg.com/en/News-And-Publications/documents/publication_1799.pdf" TargetMode="External"/><Relationship Id="rId127" Type="http://schemas.openxmlformats.org/officeDocument/2006/relationships/hyperlink" Target="http://www.cbc.ca/news/canada/montreal/snc-lavalin-wsp-green-lit-to-bid-on-public-contracts-in-quebec-1.2524363" TargetMode="External"/><Relationship Id="rId10" Type="http://schemas.openxmlformats.org/officeDocument/2006/relationships/hyperlink" Target="http://www.giaccentre.org/why_corruption_occurs.php" TargetMode="External"/><Relationship Id="rId31" Type="http://schemas.openxmlformats.org/officeDocument/2006/relationships/hyperlink" Target="http://www.odi.org/sites/odi.org.uk/files/odi-assets/publications-opinionfiles/4965.pdf" TargetMode="External"/><Relationship Id="rId44" Type="http://schemas.openxmlformats.org/officeDocument/2006/relationships/hyperlink" Target="http://www.tbs-sct.gc.ca/cmp/doc/lopp_olap/lopp_olap-eng.asp" TargetMode="External"/><Relationship Id="rId52" Type="http://schemas.openxmlformats.org/officeDocument/2006/relationships/hyperlink" Target="http://www.law.louisville.edu/library/collections/brandeis/node/196" TargetMode="External"/><Relationship Id="rId60" Type="http://schemas.openxmlformats.org/officeDocument/2006/relationships/hyperlink" Target="https://www.fas.org/sgp/crs/misc/R40228.pdf" TargetMode="External"/><Relationship Id="rId65" Type="http://schemas.openxmlformats.org/officeDocument/2006/relationships/hyperlink" Target="http://www.oecd.org/daf/anti-bribery/44176910.pdf" TargetMode="External"/><Relationship Id="rId73" Type="http://schemas.openxmlformats.org/officeDocument/2006/relationships/hyperlink" Target="https://www.wto.org/english/tratop_e/gproc_e/memobs_e.htm" TargetMode="External"/><Relationship Id="rId78" Type="http://schemas.openxmlformats.org/officeDocument/2006/relationships/hyperlink" Target="http://www.naftanow.org/agreement/default_en.asp" TargetMode="External"/><Relationship Id="rId81" Type="http://schemas.openxmlformats.org/officeDocument/2006/relationships/hyperlink" Target="http://www.international.gc.ca/trade-commerce/trade-agreements-accords-commerciaux/agr-acc/ceta-aecg/chronology-chronologie.aspx?lang=eng" TargetMode="External"/><Relationship Id="rId86" Type="http://schemas.openxmlformats.org/officeDocument/2006/relationships/hyperlink" Target="http://globalnews.ca/news/3083618/ceta-eu-canada-trade-deal-clears-legal-hurdle-in-eu-parliament/" TargetMode="External"/><Relationship Id="rId94" Type="http://schemas.openxmlformats.org/officeDocument/2006/relationships/hyperlink" Target="https://fas.org/sgp/crs/misc/R40516.pdf" TargetMode="External"/><Relationship Id="rId99" Type="http://schemas.openxmlformats.org/officeDocument/2006/relationships/hyperlink" Target="http://www.bbc.com/news/uk-politics-39431428" TargetMode="External"/><Relationship Id="rId101" Type="http://schemas.openxmlformats.org/officeDocument/2006/relationships/hyperlink" Target="http://www.linklaters.com/pdfs/mkt/london/EU%20Ref%20Leave%20Vote%20FAQs.pdf" TargetMode="External"/><Relationship Id="rId122" Type="http://schemas.openxmlformats.org/officeDocument/2006/relationships/hyperlink" Target="http://www.tpsgc-pwgsc.gc.ca/ci-if/ci-if-eng.html" TargetMode="External"/><Relationship Id="rId130" Type="http://schemas.openxmlformats.org/officeDocument/2006/relationships/hyperlink" Target="http://www.oecd.org/daf/anti-bribery/countrymonitoringoftheoecdanti-briberyconvention.htm" TargetMode="External"/><Relationship Id="rId135" Type="http://schemas.openxmlformats.org/officeDocument/2006/relationships/hyperlink" Target="http://www.cw-uk.org/2015/03/04/yawn-and-youll-miss-it-new-eu-debarment-rules-old-problems/" TargetMode="External"/><Relationship Id="rId4" Type="http://schemas.openxmlformats.org/officeDocument/2006/relationships/hyperlink" Target="http://icclr.law.ubc.ca/sites/icclr.law.ubc.ca/files/publications/pdfs/Municipal%20Best%20Practices%20-%20Preventing%20Fraud,%20Bribery%20and%20Corruption%20FINAL.pdf" TargetMode="External"/><Relationship Id="rId9" Type="http://schemas.openxmlformats.org/officeDocument/2006/relationships/hyperlink" Target="http://www.transparency.org/whatwedo/publication/global_corruption_report_2005_corruption_in_construction_and_post_conflict" TargetMode="External"/><Relationship Id="rId13" Type="http://schemas.openxmlformats.org/officeDocument/2006/relationships/hyperlink" Target="http://www.acec.ca/source/2014/november/pdf/2014_AntiCorruption_PublicProcurement_Guide_EN.pdf" TargetMode="External"/><Relationship Id="rId18" Type="http://schemas.openxmlformats.org/officeDocument/2006/relationships/hyperlink" Target="http://www.cbc.ca/news/canada/montreal/charbonneau-corruption-inquiry-findings-released-1.3331577" TargetMode="External"/><Relationship Id="rId39" Type="http://schemas.openxmlformats.org/officeDocument/2006/relationships/hyperlink" Target="http://www.p3canada.ca/en/about-p3s/p3-resource-library/public-private-partnerships-a-guide-for-municipalities/%20%3E." TargetMode="External"/><Relationship Id="rId109" Type="http://schemas.openxmlformats.org/officeDocument/2006/relationships/hyperlink" Target="https://www.gov.uk/government/uploads/system/uploads/attachment_data/file/403748/Social_Value_Act_review_report_150212.pdf" TargetMode="External"/><Relationship Id="rId34" Type="http://schemas.openxmlformats.org/officeDocument/2006/relationships/hyperlink" Target="http://www.p3canada.ca/~/media/english/annual-reports/files/2015-2016%20annual%20report.pdf" TargetMode="External"/><Relationship Id="rId50" Type="http://schemas.openxmlformats.org/officeDocument/2006/relationships/hyperlink" Target="https://www.ungm.org/Areas/Public/Downloads/ASR_2011_supplement.pdf" TargetMode="External"/><Relationship Id="rId55" Type="http://schemas.openxmlformats.org/officeDocument/2006/relationships/hyperlink" Target="https://www.transparency.de/fileadmin/pdfs/Themen/Wirtschaft/TI_Plain_Language_Guide_280709.pdf" TargetMode="External"/><Relationship Id="rId76" Type="http://schemas.openxmlformats.org/officeDocument/2006/relationships/hyperlink" Target="https://www.wto.org/english/tratop_e/gproc_e/gp_app_agree_e.htm" TargetMode="External"/><Relationship Id="rId97" Type="http://schemas.openxmlformats.org/officeDocument/2006/relationships/hyperlink" Target="http://www.bbc.com/news/uk-politics-32810887" TargetMode="External"/><Relationship Id="rId104" Type="http://schemas.openxmlformats.org/officeDocument/2006/relationships/hyperlink" Target="https://www.theguardian.com/public-leaders-network/2016/jun/13/brexit-uk-200bn-public-procurement-eu-rules" TargetMode="External"/><Relationship Id="rId120" Type="http://schemas.openxmlformats.org/officeDocument/2006/relationships/hyperlink" Target="http://www.tpsgc-pwgsc.gc.ca/ci-if/apropos-about-eng.html" TargetMode="External"/><Relationship Id="rId125" Type="http://schemas.openxmlformats.org/officeDocument/2006/relationships/hyperlink" Target="https://icclr.law.ubc.ca/wp-content/uploads/2017/06/9503929_001_EN_Rapport_final_CEIC_Tome3-1.pdf" TargetMode="External"/><Relationship Id="rId7" Type="http://schemas.openxmlformats.org/officeDocument/2006/relationships/hyperlink" Target="http://www.transparency.org/topic/detail/public_procurement" TargetMode="External"/><Relationship Id="rId71" Type="http://schemas.openxmlformats.org/officeDocument/2006/relationships/hyperlink" Target="http://blog.transparency.org/2015/07/31/world-bank-adopts-key-transparency-international-goals-in-new-procurement-policies/" TargetMode="External"/><Relationship Id="rId92" Type="http://schemas.openxmlformats.org/officeDocument/2006/relationships/hyperlink" Target="http://www.uncitral.org/pdf/english/texts/procurem/ml-procurement-2011/2011-Model-Law-on-Public-Procurement-e.pdf" TargetMode="External"/><Relationship Id="rId2" Type="http://schemas.openxmlformats.org/officeDocument/2006/relationships/hyperlink" Target="http://dalspace.library.dal.ca/handle/10222/56272" TargetMode="External"/><Relationship Id="rId29" Type="http://schemas.openxmlformats.org/officeDocument/2006/relationships/hyperlink" Target="http://siteresources.worldbank.org/PUBLICSECTORANDGOVERNANCE/Resources/FrameworkRajaram.pdf" TargetMode="External"/><Relationship Id="rId24" Type="http://schemas.openxmlformats.org/officeDocument/2006/relationships/hyperlink" Target="https://www.ciesin.columbia.edu/decentralization/English/Issues/Accountability.html" TargetMode="External"/><Relationship Id="rId40" Type="http://schemas.openxmlformats.org/officeDocument/2006/relationships/hyperlink" Target="https://www.policyalternatives.ca/publications/monitor/ontario-audit-throws-cold-water-federal-provincial-love-affair-p3s" TargetMode="External"/><Relationship Id="rId45" Type="http://schemas.openxmlformats.org/officeDocument/2006/relationships/hyperlink" Target="http://www.ppiaf.org/sites/ppiaf.org/files/publication/WP1-Unsolicited%20Infra%20Proposals%20-%20JHodges%20GDellacha.pdf" TargetMode="External"/><Relationship Id="rId66" Type="http://schemas.openxmlformats.org/officeDocument/2006/relationships/hyperlink" Target="http://www.worldbank.org/en/news/press-release/2016/06/30/new-world-bank-procurement-framework-promotes-strengthened-national-procurement-systems" TargetMode="External"/><Relationship Id="rId87" Type="http://schemas.openxmlformats.org/officeDocument/2006/relationships/hyperlink" Target="http://www.mccarthy.ca/pubs/New_Era_in_Municipal_Procurement_(November_17__2014_at_OPBA).pdf" TargetMode="External"/><Relationship Id="rId110" Type="http://schemas.openxmlformats.org/officeDocument/2006/relationships/hyperlink" Target="http://www.international.gc.ca/trade-agreements-accords-commerciaux/topics-domaines/gp-mp/agreement-accord.aspx?lang=eng" TargetMode="External"/><Relationship Id="rId115" Type="http://schemas.openxmlformats.org/officeDocument/2006/relationships/hyperlink" Target="http://www.ait-aci.ca/wp-content/uploads/2015/12/Consolidated-with-14th-Protocol-final-draft.pdf" TargetMode="External"/><Relationship Id="rId131" Type="http://schemas.openxmlformats.org/officeDocument/2006/relationships/hyperlink" Target="http://www.oecd.org/unitedstates/UnitedStatesphase3reportEN.pdf" TargetMode="External"/><Relationship Id="rId136" Type="http://schemas.openxmlformats.org/officeDocument/2006/relationships/hyperlink" Target="https://www.oecd.org/canada/Canadaphase3reportEN.pdf" TargetMode="External"/><Relationship Id="rId61" Type="http://schemas.openxmlformats.org/officeDocument/2006/relationships/hyperlink" Target="http://www.gao.gov/products/422301" TargetMode="External"/><Relationship Id="rId82" Type="http://schemas.openxmlformats.org/officeDocument/2006/relationships/hyperlink" Target="http://trade.ec.europa.eu/doclib/press/index.cfm?id=1569" TargetMode="External"/><Relationship Id="rId19" Type="http://schemas.openxmlformats.org/officeDocument/2006/relationships/hyperlink" Target="http://www.ceic.gouv.qc.ca/la-commission/manda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FB64B9-4AE3-4497-8357-FF331A86F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65</Pages>
  <Words>18766</Words>
  <Characters>106967</Characters>
  <Application>Microsoft Office Word</Application>
  <DocSecurity>0</DocSecurity>
  <Lines>891</Lines>
  <Paragraphs>250</Paragraphs>
  <ScaleCrop>false</ScaleCrop>
  <HeadingPairs>
    <vt:vector size="2" baseType="variant">
      <vt:variant>
        <vt:lpstr>Title</vt:lpstr>
      </vt:variant>
      <vt:variant>
        <vt:i4>1</vt:i4>
      </vt:variant>
    </vt:vector>
  </HeadingPairs>
  <TitlesOfParts>
    <vt:vector size="1" baseType="lpstr">
      <vt:lpstr/>
    </vt:vector>
  </TitlesOfParts>
  <Company>University of Victoria</Company>
  <LinksUpToDate>false</LinksUpToDate>
  <CharactersWithSpaces>125483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dc:creator>
  <cp:lastModifiedBy>Yenny Lim</cp:lastModifiedBy>
  <cp:revision>31</cp:revision>
  <cp:lastPrinted>2017-02-01T20:30:00Z</cp:lastPrinted>
  <dcterms:created xsi:type="dcterms:W3CDTF">2018-04-03T20:20:00Z</dcterms:created>
  <dcterms:modified xsi:type="dcterms:W3CDTF">2018-04-19T23:05:00Z</dcterms:modified>
</cp:coreProperties>
</file>