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CF605" w14:textId="57038227" w:rsidR="00584A95" w:rsidRPr="005C2179" w:rsidRDefault="00584A95" w:rsidP="00A8357B">
      <w:pPr>
        <w:pStyle w:val="TitlePgCh"/>
        <w:rPr>
          <w:sz w:val="24"/>
        </w:rPr>
      </w:pPr>
      <w:r w:rsidRPr="005C2179">
        <w:rPr>
          <w:sz w:val="24"/>
        </w:rPr>
        <w:t>Chapter 13</w:t>
      </w:r>
    </w:p>
    <w:p w14:paraId="0346F9C2" w14:textId="1F182E3C" w:rsidR="00584A95" w:rsidRPr="005C2179" w:rsidRDefault="00584A95" w:rsidP="00A8357B">
      <w:pPr>
        <w:pStyle w:val="TitlePgChTitle"/>
        <w:rPr>
          <w:sz w:val="32"/>
        </w:rPr>
      </w:pPr>
      <w:r w:rsidRPr="005C2179">
        <w:rPr>
          <w:sz w:val="32"/>
        </w:rPr>
        <w:t>Campaign Finance Laws: Controlling the Risks of Corruption and Public Cynicism</w:t>
      </w:r>
    </w:p>
    <w:p w14:paraId="4730EE4C" w14:textId="6B1422B8" w:rsidR="00584A95" w:rsidRPr="005C2179" w:rsidRDefault="00584A95" w:rsidP="00B23EFC">
      <w:pPr>
        <w:spacing w:before="480"/>
        <w:jc w:val="center"/>
        <w:rPr>
          <w:rFonts w:cs="Times New Roman"/>
          <w:i/>
          <w:kern w:val="2"/>
          <w:szCs w:val="24"/>
          <w:lang w:val="en-US"/>
        </w:rPr>
      </w:pPr>
      <w:r w:rsidRPr="005C2179">
        <w:rPr>
          <w:rFonts w:cs="Times New Roman"/>
          <w:i/>
          <w:kern w:val="2"/>
          <w:szCs w:val="24"/>
          <w:lang w:val="en-US"/>
        </w:rPr>
        <w:t xml:space="preserve">[This chapter was written by Madeline Reid as a directed research and writing paper </w:t>
      </w:r>
      <w:r w:rsidR="00B23EFC" w:rsidRPr="005C2179">
        <w:rPr>
          <w:rFonts w:cs="Times New Roman"/>
          <w:i/>
          <w:kern w:val="2"/>
          <w:szCs w:val="24"/>
          <w:lang w:val="en-US"/>
        </w:rPr>
        <w:br/>
      </w:r>
      <w:r w:rsidRPr="005C2179">
        <w:rPr>
          <w:rFonts w:cs="Times New Roman"/>
          <w:i/>
          <w:kern w:val="2"/>
          <w:szCs w:val="24"/>
          <w:lang w:val="en-US"/>
        </w:rPr>
        <w:t>under the supervision of Professor Ferguson.]</w:t>
      </w:r>
    </w:p>
    <w:p w14:paraId="3FB51FAA" w14:textId="77777777" w:rsidR="00584A95" w:rsidRPr="005C2179" w:rsidRDefault="00584A95" w:rsidP="00584A95">
      <w:pPr>
        <w:rPr>
          <w:kern w:val="2"/>
          <w:sz w:val="20"/>
          <w:lang w:val="en-US"/>
        </w:rPr>
      </w:pPr>
    </w:p>
    <w:p w14:paraId="1A2F447E" w14:textId="77777777" w:rsidR="00584A95" w:rsidRPr="005C2179" w:rsidRDefault="00584A95">
      <w:pPr>
        <w:spacing w:before="0" w:after="160" w:line="259" w:lineRule="auto"/>
        <w:jc w:val="left"/>
        <w:rPr>
          <w:b/>
          <w:smallCaps/>
          <w:kern w:val="2"/>
          <w:sz w:val="28"/>
        </w:rPr>
      </w:pPr>
      <w:r w:rsidRPr="005C2179">
        <w:rPr>
          <w:kern w:val="2"/>
          <w:sz w:val="20"/>
        </w:rPr>
        <w:br w:type="page"/>
      </w:r>
    </w:p>
    <w:p w14:paraId="082AE508" w14:textId="68AB9991" w:rsidR="00AC15A6" w:rsidRPr="005C2179" w:rsidRDefault="00AC15A6" w:rsidP="00AC15A6">
      <w:pPr>
        <w:pStyle w:val="TOCHeading1"/>
        <w:rPr>
          <w:spacing w:val="0"/>
          <w:kern w:val="2"/>
          <w:sz w:val="28"/>
        </w:rPr>
      </w:pPr>
      <w:r w:rsidRPr="005C2179">
        <w:rPr>
          <w:spacing w:val="0"/>
          <w:kern w:val="2"/>
          <w:sz w:val="28"/>
        </w:rPr>
        <w:lastRenderedPageBreak/>
        <w:t>Contents</w:t>
      </w:r>
    </w:p>
    <w:p w14:paraId="37A119D4" w14:textId="6DFAEF6D" w:rsidR="002B293E" w:rsidRPr="005C2179" w:rsidRDefault="00584A95">
      <w:pPr>
        <w:pStyle w:val="TOC1"/>
        <w:rPr>
          <w:rFonts w:ascii="Palatino Linotype" w:eastAsiaTheme="minorEastAsia" w:hAnsi="Palatino Linotype"/>
          <w:b w:val="0"/>
          <w:smallCaps w:val="0"/>
          <w:noProof/>
          <w:spacing w:val="0"/>
          <w:sz w:val="20"/>
          <w:lang w:eastAsia="en-CA"/>
        </w:rPr>
      </w:pPr>
      <w:r w:rsidRPr="005C2179">
        <w:rPr>
          <w:rFonts w:ascii="Palatino Linotype" w:hAnsi="Palatino Linotype"/>
          <w:spacing w:val="0"/>
          <w:kern w:val="2"/>
          <w:sz w:val="20"/>
        </w:rPr>
        <w:fldChar w:fldCharType="begin"/>
      </w:r>
      <w:r w:rsidRPr="005C2179">
        <w:rPr>
          <w:rFonts w:ascii="Palatino Linotype" w:hAnsi="Palatino Linotype"/>
          <w:spacing w:val="0"/>
          <w:kern w:val="2"/>
          <w:sz w:val="20"/>
        </w:rPr>
        <w:instrText xml:space="preserve"> TOC \o "1-1" \n \h \z \u </w:instrText>
      </w:r>
      <w:r w:rsidRPr="005C2179">
        <w:rPr>
          <w:rFonts w:ascii="Palatino Linotype" w:hAnsi="Palatino Linotype"/>
          <w:spacing w:val="0"/>
          <w:kern w:val="2"/>
          <w:sz w:val="20"/>
        </w:rPr>
        <w:fldChar w:fldCharType="separate"/>
      </w:r>
      <w:hyperlink w:anchor="_Toc509569389" w:history="1">
        <w:r w:rsidR="002B293E" w:rsidRPr="005C2179">
          <w:rPr>
            <w:rStyle w:val="Hyperlink"/>
            <w:rFonts w:ascii="Palatino Linotype" w:hAnsi="Palatino Linotype"/>
            <w:noProof/>
            <w:sz w:val="20"/>
          </w:rPr>
          <w:t>1.</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Introduction</w:t>
        </w:r>
      </w:hyperlink>
    </w:p>
    <w:p w14:paraId="3A68A3BF" w14:textId="1D549AB5"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390" w:history="1">
        <w:r w:rsidR="002B293E" w:rsidRPr="005C2179">
          <w:rPr>
            <w:rStyle w:val="Hyperlink"/>
            <w:rFonts w:ascii="Palatino Linotype" w:hAnsi="Palatino Linotype"/>
            <w:noProof/>
            <w:sz w:val="20"/>
          </w:rPr>
          <w:t>2.</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How Election Campaigns Are Financed</w:t>
        </w:r>
      </w:hyperlink>
    </w:p>
    <w:p w14:paraId="5B5EA609" w14:textId="51BFE479"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391" w:history="1">
        <w:r w:rsidR="002B293E" w:rsidRPr="005C2179">
          <w:rPr>
            <w:rStyle w:val="Hyperlink"/>
            <w:rFonts w:ascii="Palatino Linotype" w:hAnsi="Palatino Linotype"/>
            <w:noProof/>
            <w:sz w:val="20"/>
          </w:rPr>
          <w:t>3.</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Overview of Types of Campaign Finance Regulation</w:t>
        </w:r>
      </w:hyperlink>
    </w:p>
    <w:p w14:paraId="59148454" w14:textId="49ACE42D"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392" w:history="1">
        <w:r w:rsidR="002B293E" w:rsidRPr="005C2179">
          <w:rPr>
            <w:rStyle w:val="Hyperlink"/>
            <w:rFonts w:ascii="Palatino Linotype" w:hAnsi="Palatino Linotype"/>
            <w:noProof/>
            <w:sz w:val="20"/>
          </w:rPr>
          <w:t>4.</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Rationales for campaign finance regulation</w:t>
        </w:r>
      </w:hyperlink>
    </w:p>
    <w:p w14:paraId="03257B49" w14:textId="08BA739C"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393" w:history="1">
        <w:r w:rsidR="002B293E" w:rsidRPr="005C2179">
          <w:rPr>
            <w:rStyle w:val="Hyperlink"/>
            <w:rFonts w:ascii="Palatino Linotype" w:hAnsi="Palatino Linotype"/>
            <w:noProof/>
            <w:sz w:val="20"/>
          </w:rPr>
          <w:t>5.</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Overview of Challenges in Regulating Campaign Finance</w:t>
        </w:r>
      </w:hyperlink>
    </w:p>
    <w:p w14:paraId="4FF76128" w14:textId="73F1D24E"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394" w:history="1">
        <w:r w:rsidR="002B293E" w:rsidRPr="005C2179">
          <w:rPr>
            <w:rStyle w:val="Hyperlink"/>
            <w:rFonts w:ascii="Palatino Linotype" w:hAnsi="Palatino Linotype"/>
            <w:noProof/>
            <w:sz w:val="20"/>
          </w:rPr>
          <w:t>6.</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The Regulation of Third-Party Campaigners</w:t>
        </w:r>
      </w:hyperlink>
    </w:p>
    <w:p w14:paraId="605719DE" w14:textId="1F1DE1BD"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395" w:history="1">
        <w:r w:rsidR="002B293E" w:rsidRPr="005C2179">
          <w:rPr>
            <w:rStyle w:val="Hyperlink"/>
            <w:rFonts w:ascii="Palatino Linotype" w:hAnsi="Palatino Linotype"/>
            <w:noProof/>
            <w:sz w:val="20"/>
          </w:rPr>
          <w:t>7.</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International Law</w:t>
        </w:r>
      </w:hyperlink>
    </w:p>
    <w:p w14:paraId="08883E6E" w14:textId="5869DC9C"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396" w:history="1">
        <w:r w:rsidR="002B293E" w:rsidRPr="005C2179">
          <w:rPr>
            <w:rStyle w:val="Hyperlink"/>
            <w:rFonts w:ascii="Palatino Linotype" w:hAnsi="Palatino Linotype"/>
            <w:noProof/>
            <w:sz w:val="20"/>
          </w:rPr>
          <w:t>8.</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US Law</w:t>
        </w:r>
      </w:hyperlink>
    </w:p>
    <w:p w14:paraId="6DCFC133" w14:textId="70413B6A"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397" w:history="1">
        <w:r w:rsidR="002B293E" w:rsidRPr="005C2179">
          <w:rPr>
            <w:rStyle w:val="Hyperlink"/>
            <w:rFonts w:ascii="Palatino Linotype" w:hAnsi="Palatino Linotype"/>
            <w:noProof/>
            <w:sz w:val="20"/>
          </w:rPr>
          <w:t>9.</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UK Law</w:t>
        </w:r>
      </w:hyperlink>
    </w:p>
    <w:p w14:paraId="5633A70E" w14:textId="11913D2F"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398" w:history="1">
        <w:r w:rsidR="002B293E" w:rsidRPr="005C2179">
          <w:rPr>
            <w:rStyle w:val="Hyperlink"/>
            <w:rFonts w:ascii="Palatino Linotype" w:hAnsi="Palatino Linotype"/>
            <w:noProof/>
            <w:sz w:val="20"/>
          </w:rPr>
          <w:t>10.</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Canadian Law</w:t>
        </w:r>
      </w:hyperlink>
    </w:p>
    <w:p w14:paraId="169CA2B9" w14:textId="0BE4E84E" w:rsidR="002B293E" w:rsidRPr="005C2179" w:rsidRDefault="000052C6">
      <w:pPr>
        <w:pStyle w:val="TOC1"/>
        <w:rPr>
          <w:rFonts w:ascii="Palatino Linotype" w:eastAsiaTheme="minorEastAsia" w:hAnsi="Palatino Linotype"/>
          <w:b w:val="0"/>
          <w:smallCaps w:val="0"/>
          <w:noProof/>
          <w:spacing w:val="0"/>
          <w:sz w:val="20"/>
          <w:lang w:eastAsia="en-CA"/>
        </w:rPr>
      </w:pPr>
      <w:hyperlink w:anchor="_Toc509569590" w:history="1">
        <w:r w:rsidR="002B293E" w:rsidRPr="005C2179">
          <w:rPr>
            <w:rStyle w:val="Hyperlink"/>
            <w:rFonts w:ascii="Palatino Linotype" w:hAnsi="Palatino Linotype"/>
            <w:noProof/>
            <w:sz w:val="20"/>
          </w:rPr>
          <w:t>11.</w:t>
        </w:r>
        <w:r w:rsidR="002B293E" w:rsidRPr="005C2179">
          <w:rPr>
            <w:rFonts w:ascii="Palatino Linotype" w:eastAsiaTheme="minorEastAsia" w:hAnsi="Palatino Linotype"/>
            <w:b w:val="0"/>
            <w:smallCaps w:val="0"/>
            <w:noProof/>
            <w:spacing w:val="0"/>
            <w:sz w:val="20"/>
            <w:lang w:eastAsia="en-CA"/>
          </w:rPr>
          <w:tab/>
        </w:r>
        <w:r w:rsidR="002B293E" w:rsidRPr="005C2179">
          <w:rPr>
            <w:rFonts w:ascii="Palatino Linotype" w:eastAsiaTheme="minorEastAsia" w:hAnsi="Palatino Linotype"/>
            <w:b w:val="0"/>
            <w:smallCaps w:val="0"/>
            <w:noProof/>
            <w:spacing w:val="0"/>
            <w:sz w:val="20"/>
            <w:lang w:eastAsia="en-CA"/>
          </w:rPr>
          <w:tab/>
        </w:r>
        <w:r w:rsidR="002B293E" w:rsidRPr="005C2179">
          <w:rPr>
            <w:rStyle w:val="Hyperlink"/>
            <w:rFonts w:ascii="Palatino Linotype" w:hAnsi="Palatino Linotype"/>
            <w:noProof/>
            <w:sz w:val="20"/>
          </w:rPr>
          <w:t>Conclusion</w:t>
        </w:r>
      </w:hyperlink>
    </w:p>
    <w:p w14:paraId="7FCB7BE0" w14:textId="1171034A" w:rsidR="00347E08" w:rsidRPr="005C2179" w:rsidRDefault="00584A95" w:rsidP="00A8357B">
      <w:pPr>
        <w:pStyle w:val="Heading1"/>
        <w:rPr>
          <w:sz w:val="28"/>
        </w:rPr>
      </w:pPr>
      <w:r w:rsidRPr="005C2179">
        <w:rPr>
          <w:sz w:val="28"/>
        </w:rPr>
        <w:fldChar w:fldCharType="end"/>
      </w:r>
      <w:bookmarkStart w:id="0" w:name="_Toc503443951"/>
      <w:bookmarkStart w:id="1" w:name="_Toc509569389"/>
      <w:r w:rsidR="00347E08" w:rsidRPr="005C2179">
        <w:rPr>
          <w:sz w:val="28"/>
        </w:rPr>
        <w:t>Intro</w:t>
      </w:r>
      <w:r w:rsidR="005214F3" w:rsidRPr="005C2179">
        <w:rPr>
          <w:sz w:val="28"/>
        </w:rPr>
        <w:t>duction</w:t>
      </w:r>
      <w:bookmarkEnd w:id="0"/>
      <w:bookmarkEnd w:id="1"/>
    </w:p>
    <w:p w14:paraId="3C5C4E97" w14:textId="77777777" w:rsidR="00E832B3" w:rsidRPr="005C2179" w:rsidRDefault="00347E08" w:rsidP="00330F4B">
      <w:pPr>
        <w:rPr>
          <w:kern w:val="2"/>
          <w:sz w:val="20"/>
        </w:rPr>
      </w:pPr>
      <w:r w:rsidRPr="005C2179">
        <w:rPr>
          <w:kern w:val="2"/>
          <w:sz w:val="20"/>
        </w:rPr>
        <w:t>Campaigni</w:t>
      </w:r>
      <w:r w:rsidR="00F4127D" w:rsidRPr="005C2179">
        <w:rPr>
          <w:kern w:val="2"/>
          <w:sz w:val="20"/>
        </w:rPr>
        <w:t xml:space="preserve">ng for public office takes money. </w:t>
      </w:r>
      <w:r w:rsidR="00E832B3" w:rsidRPr="005C2179">
        <w:rPr>
          <w:kern w:val="2"/>
          <w:sz w:val="20"/>
        </w:rPr>
        <w:t>Election campaigns are becoming increasingly expensive</w:t>
      </w:r>
      <w:r w:rsidR="00E832B3" w:rsidRPr="005C2179">
        <w:rPr>
          <w:rStyle w:val="FootnoteReference"/>
          <w:kern w:val="2"/>
          <w:sz w:val="20"/>
        </w:rPr>
        <w:footnoteReference w:id="2"/>
      </w:r>
      <w:r w:rsidR="00E832B3" w:rsidRPr="005C2179">
        <w:rPr>
          <w:kern w:val="2"/>
          <w:sz w:val="20"/>
        </w:rPr>
        <w:t xml:space="preserve"> and evidence shows that higher spending correlates with electoral success.</w:t>
      </w:r>
      <w:r w:rsidR="00E832B3" w:rsidRPr="005C2179">
        <w:rPr>
          <w:rStyle w:val="FootnoteReference"/>
          <w:kern w:val="2"/>
          <w:sz w:val="20"/>
        </w:rPr>
        <w:footnoteReference w:id="3"/>
      </w:r>
      <w:r w:rsidR="00E832B3" w:rsidRPr="005C2179">
        <w:rPr>
          <w:kern w:val="2"/>
          <w:sz w:val="20"/>
        </w:rPr>
        <w:t xml:space="preserve"> </w:t>
      </w:r>
      <w:r w:rsidR="0042618B" w:rsidRPr="005C2179">
        <w:rPr>
          <w:kern w:val="2"/>
          <w:sz w:val="20"/>
        </w:rPr>
        <w:t xml:space="preserve">The </w:t>
      </w:r>
      <w:r w:rsidR="00531B0B" w:rsidRPr="005C2179">
        <w:rPr>
          <w:kern w:val="2"/>
          <w:sz w:val="20"/>
        </w:rPr>
        <w:t xml:space="preserve">need for cash </w:t>
      </w:r>
      <w:r w:rsidR="006E5D2C" w:rsidRPr="005C2179">
        <w:rPr>
          <w:kern w:val="2"/>
          <w:sz w:val="20"/>
        </w:rPr>
        <w:t>produces various</w:t>
      </w:r>
      <w:r w:rsidR="0017731D" w:rsidRPr="005C2179">
        <w:rPr>
          <w:kern w:val="2"/>
          <w:sz w:val="20"/>
        </w:rPr>
        <w:t xml:space="preserve"> threats to democratic systems</w:t>
      </w:r>
      <w:r w:rsidR="0070450E" w:rsidRPr="005C2179">
        <w:rPr>
          <w:kern w:val="2"/>
          <w:sz w:val="20"/>
        </w:rPr>
        <w:t xml:space="preserve">, the first being corruption. </w:t>
      </w:r>
      <w:r w:rsidR="0062749D" w:rsidRPr="005C2179">
        <w:rPr>
          <w:kern w:val="2"/>
          <w:sz w:val="20"/>
        </w:rPr>
        <w:t xml:space="preserve">Politicians may be inclined to reward wealthy </w:t>
      </w:r>
      <w:r w:rsidR="005D3D76" w:rsidRPr="005C2179">
        <w:rPr>
          <w:kern w:val="2"/>
          <w:sz w:val="20"/>
        </w:rPr>
        <w:t xml:space="preserve">campaign </w:t>
      </w:r>
      <w:r w:rsidR="0062749D" w:rsidRPr="005C2179">
        <w:rPr>
          <w:kern w:val="2"/>
          <w:sz w:val="20"/>
        </w:rPr>
        <w:t xml:space="preserve">backers with favours, influence, or access. </w:t>
      </w:r>
      <w:r w:rsidR="000B0BAC" w:rsidRPr="005C2179">
        <w:rPr>
          <w:kern w:val="2"/>
          <w:sz w:val="20"/>
        </w:rPr>
        <w:t xml:space="preserve">Campaign finance </w:t>
      </w:r>
      <w:r w:rsidR="0096321B" w:rsidRPr="005C2179">
        <w:rPr>
          <w:kern w:val="2"/>
          <w:sz w:val="20"/>
        </w:rPr>
        <w:t xml:space="preserve">also </w:t>
      </w:r>
      <w:r w:rsidR="004D2434" w:rsidRPr="005C2179">
        <w:rPr>
          <w:kern w:val="2"/>
          <w:sz w:val="20"/>
        </w:rPr>
        <w:t>carrie</w:t>
      </w:r>
      <w:r w:rsidR="009C5EF2" w:rsidRPr="005C2179">
        <w:rPr>
          <w:kern w:val="2"/>
          <w:sz w:val="20"/>
        </w:rPr>
        <w:t>s</w:t>
      </w:r>
      <w:r w:rsidR="0070450E" w:rsidRPr="005C2179">
        <w:rPr>
          <w:kern w:val="2"/>
          <w:sz w:val="20"/>
        </w:rPr>
        <w:t xml:space="preserve"> </w:t>
      </w:r>
      <w:r w:rsidR="000B0BAC" w:rsidRPr="005C2179">
        <w:rPr>
          <w:kern w:val="2"/>
          <w:sz w:val="20"/>
        </w:rPr>
        <w:t xml:space="preserve">other </w:t>
      </w:r>
      <w:r w:rsidR="0070450E" w:rsidRPr="005C2179">
        <w:rPr>
          <w:kern w:val="2"/>
          <w:sz w:val="20"/>
        </w:rPr>
        <w:t xml:space="preserve">implications for equality and fairness. Unregulated </w:t>
      </w:r>
      <w:r w:rsidR="00AD474E" w:rsidRPr="005C2179">
        <w:rPr>
          <w:kern w:val="2"/>
          <w:sz w:val="20"/>
        </w:rPr>
        <w:t>financing</w:t>
      </w:r>
      <w:r w:rsidR="0070450E" w:rsidRPr="005C2179">
        <w:rPr>
          <w:kern w:val="2"/>
          <w:sz w:val="20"/>
        </w:rPr>
        <w:t xml:space="preserve"> </w:t>
      </w:r>
      <w:r w:rsidR="00E718B3" w:rsidRPr="005C2179">
        <w:rPr>
          <w:kern w:val="2"/>
          <w:sz w:val="20"/>
        </w:rPr>
        <w:t>may give</w:t>
      </w:r>
      <w:r w:rsidR="0070450E" w:rsidRPr="005C2179">
        <w:rPr>
          <w:kern w:val="2"/>
          <w:sz w:val="20"/>
        </w:rPr>
        <w:t xml:space="preserve"> well-resourced members of society </w:t>
      </w:r>
      <w:r w:rsidR="00A57C03" w:rsidRPr="005C2179">
        <w:rPr>
          <w:kern w:val="2"/>
          <w:sz w:val="20"/>
        </w:rPr>
        <w:t>disproportionate</w:t>
      </w:r>
      <w:r w:rsidR="0062749D" w:rsidRPr="005C2179">
        <w:rPr>
          <w:kern w:val="2"/>
          <w:sz w:val="20"/>
        </w:rPr>
        <w:t xml:space="preserve"> </w:t>
      </w:r>
      <w:r w:rsidR="00102022" w:rsidRPr="005C2179">
        <w:rPr>
          <w:kern w:val="2"/>
          <w:sz w:val="20"/>
        </w:rPr>
        <w:t xml:space="preserve">influence over </w:t>
      </w:r>
      <w:r w:rsidR="0062749D" w:rsidRPr="005C2179">
        <w:rPr>
          <w:kern w:val="2"/>
          <w:sz w:val="20"/>
        </w:rPr>
        <w:t>electoral debate</w:t>
      </w:r>
      <w:r w:rsidR="00102022" w:rsidRPr="005C2179">
        <w:rPr>
          <w:kern w:val="2"/>
          <w:sz w:val="20"/>
        </w:rPr>
        <w:t>, electoral outcomes,</w:t>
      </w:r>
      <w:r w:rsidR="009A5934" w:rsidRPr="005C2179">
        <w:rPr>
          <w:kern w:val="2"/>
          <w:sz w:val="20"/>
        </w:rPr>
        <w:t xml:space="preserve"> and </w:t>
      </w:r>
      <w:r w:rsidR="009F6AC6" w:rsidRPr="005C2179">
        <w:rPr>
          <w:kern w:val="2"/>
          <w:sz w:val="20"/>
        </w:rPr>
        <w:t>elected officials</w:t>
      </w:r>
      <w:r w:rsidR="009A5934" w:rsidRPr="005C2179">
        <w:rPr>
          <w:kern w:val="2"/>
          <w:sz w:val="20"/>
        </w:rPr>
        <w:t xml:space="preserve">. </w:t>
      </w:r>
      <w:r w:rsidR="00627D96" w:rsidRPr="005C2179">
        <w:rPr>
          <w:kern w:val="2"/>
          <w:sz w:val="20"/>
        </w:rPr>
        <w:t>In addition, w</w:t>
      </w:r>
      <w:r w:rsidR="004D2434" w:rsidRPr="005C2179">
        <w:rPr>
          <w:kern w:val="2"/>
          <w:sz w:val="20"/>
        </w:rPr>
        <w:t>ithout regulation, c</w:t>
      </w:r>
      <w:r w:rsidR="00F91307" w:rsidRPr="005C2179">
        <w:rPr>
          <w:kern w:val="2"/>
          <w:sz w:val="20"/>
        </w:rPr>
        <w:t xml:space="preserve">andidates and parties may </w:t>
      </w:r>
      <w:r w:rsidR="001823EF" w:rsidRPr="005C2179">
        <w:rPr>
          <w:kern w:val="2"/>
          <w:sz w:val="20"/>
        </w:rPr>
        <w:t>face an</w:t>
      </w:r>
      <w:r w:rsidR="0065114A" w:rsidRPr="005C2179">
        <w:rPr>
          <w:kern w:val="2"/>
          <w:sz w:val="20"/>
        </w:rPr>
        <w:t xml:space="preserve"> unfair disadvantage if</w:t>
      </w:r>
      <w:r w:rsidR="004D2434" w:rsidRPr="005C2179">
        <w:rPr>
          <w:kern w:val="2"/>
          <w:sz w:val="20"/>
        </w:rPr>
        <w:t xml:space="preserve"> they lack</w:t>
      </w:r>
      <w:r w:rsidR="001823EF" w:rsidRPr="005C2179">
        <w:rPr>
          <w:kern w:val="2"/>
          <w:sz w:val="20"/>
        </w:rPr>
        <w:t xml:space="preserve"> personal wealth or wealthy supporters. </w:t>
      </w:r>
      <w:r w:rsidR="003806B1" w:rsidRPr="005C2179">
        <w:rPr>
          <w:kern w:val="2"/>
          <w:sz w:val="20"/>
        </w:rPr>
        <w:t>Fina</w:t>
      </w:r>
      <w:r w:rsidR="006D3377" w:rsidRPr="005C2179">
        <w:rPr>
          <w:kern w:val="2"/>
          <w:sz w:val="20"/>
        </w:rPr>
        <w:t>lly, campaign financing is</w:t>
      </w:r>
      <w:r w:rsidR="003806B1" w:rsidRPr="005C2179">
        <w:rPr>
          <w:kern w:val="2"/>
          <w:sz w:val="20"/>
        </w:rPr>
        <w:t xml:space="preserve"> </w:t>
      </w:r>
      <w:r w:rsidR="006D3377" w:rsidRPr="005C2179">
        <w:rPr>
          <w:kern w:val="2"/>
          <w:sz w:val="20"/>
        </w:rPr>
        <w:t xml:space="preserve">often </w:t>
      </w:r>
      <w:r w:rsidR="003806B1" w:rsidRPr="005C2179">
        <w:rPr>
          <w:kern w:val="2"/>
          <w:sz w:val="20"/>
        </w:rPr>
        <w:t xml:space="preserve">disastrous for public confidence. </w:t>
      </w:r>
      <w:r w:rsidR="004226CF" w:rsidRPr="005C2179">
        <w:rPr>
          <w:kern w:val="2"/>
          <w:sz w:val="20"/>
        </w:rPr>
        <w:t>Cynicism creeps in</w:t>
      </w:r>
      <w:r w:rsidR="00776710" w:rsidRPr="005C2179">
        <w:rPr>
          <w:kern w:val="2"/>
          <w:sz w:val="20"/>
        </w:rPr>
        <w:t xml:space="preserve"> when </w:t>
      </w:r>
      <w:r w:rsidR="00C57701" w:rsidRPr="005C2179">
        <w:rPr>
          <w:kern w:val="2"/>
          <w:sz w:val="20"/>
        </w:rPr>
        <w:t xml:space="preserve">politicians accept hefty donations or benefit from </w:t>
      </w:r>
      <w:r w:rsidR="008231CF" w:rsidRPr="005C2179">
        <w:rPr>
          <w:kern w:val="2"/>
          <w:sz w:val="20"/>
        </w:rPr>
        <w:t xml:space="preserve">expensive campaign </w:t>
      </w:r>
      <w:r w:rsidR="008D6267" w:rsidRPr="005C2179">
        <w:rPr>
          <w:kern w:val="2"/>
          <w:sz w:val="20"/>
        </w:rPr>
        <w:t>advertising funded by corporations or wealthy individuals.</w:t>
      </w:r>
      <w:r w:rsidR="00E77FC8" w:rsidRPr="005C2179">
        <w:rPr>
          <w:kern w:val="2"/>
          <w:sz w:val="20"/>
        </w:rPr>
        <w:t xml:space="preserve"> Scandals </w:t>
      </w:r>
      <w:r w:rsidR="00E77FC8" w:rsidRPr="005C2179">
        <w:rPr>
          <w:kern w:val="2"/>
          <w:sz w:val="20"/>
        </w:rPr>
        <w:lastRenderedPageBreak/>
        <w:t>are common</w:t>
      </w:r>
      <w:r w:rsidR="003F5667" w:rsidRPr="005C2179">
        <w:rPr>
          <w:kern w:val="2"/>
          <w:sz w:val="20"/>
        </w:rPr>
        <w:t xml:space="preserve"> and further erode public confidence</w:t>
      </w:r>
      <w:r w:rsidR="008231CF" w:rsidRPr="005C2179">
        <w:rPr>
          <w:kern w:val="2"/>
          <w:sz w:val="20"/>
        </w:rPr>
        <w:t xml:space="preserve">. </w:t>
      </w:r>
      <w:r w:rsidR="00544913" w:rsidRPr="005C2179">
        <w:rPr>
          <w:kern w:val="2"/>
          <w:sz w:val="20"/>
        </w:rPr>
        <w:t>For example,</w:t>
      </w:r>
      <w:r w:rsidR="00FF062A" w:rsidRPr="005C2179">
        <w:rPr>
          <w:kern w:val="2"/>
          <w:sz w:val="20"/>
        </w:rPr>
        <w:t xml:space="preserve"> Canada’s 2003 spate of campaign finance reform was</w:t>
      </w:r>
      <w:r w:rsidR="008F63E5" w:rsidRPr="005C2179">
        <w:rPr>
          <w:kern w:val="2"/>
          <w:sz w:val="20"/>
        </w:rPr>
        <w:t xml:space="preserve"> likely an attempt to cushion the worst impacts of the sponsorship scandal, </w:t>
      </w:r>
      <w:r w:rsidR="006C08FE" w:rsidRPr="005C2179">
        <w:rPr>
          <w:kern w:val="2"/>
          <w:sz w:val="20"/>
        </w:rPr>
        <w:t>which erupted after</w:t>
      </w:r>
      <w:r w:rsidR="004B44E8" w:rsidRPr="005C2179">
        <w:rPr>
          <w:kern w:val="2"/>
          <w:sz w:val="20"/>
        </w:rPr>
        <w:t xml:space="preserve"> </w:t>
      </w:r>
      <w:r w:rsidR="008F63E5" w:rsidRPr="005C2179">
        <w:rPr>
          <w:kern w:val="2"/>
          <w:sz w:val="20"/>
        </w:rPr>
        <w:t>Quebec advertising firms who</w:t>
      </w:r>
      <w:r w:rsidR="009F15A9" w:rsidRPr="005C2179">
        <w:rPr>
          <w:kern w:val="2"/>
          <w:sz w:val="20"/>
        </w:rPr>
        <w:t xml:space="preserve"> had</w:t>
      </w:r>
      <w:r w:rsidR="008F63E5" w:rsidRPr="005C2179">
        <w:rPr>
          <w:kern w:val="2"/>
          <w:sz w:val="20"/>
        </w:rPr>
        <w:t xml:space="preserve"> </w:t>
      </w:r>
      <w:r w:rsidR="006C08FE" w:rsidRPr="005C2179">
        <w:rPr>
          <w:kern w:val="2"/>
          <w:sz w:val="20"/>
        </w:rPr>
        <w:t xml:space="preserve">donated to the </w:t>
      </w:r>
      <w:r w:rsidR="00FF062A" w:rsidRPr="005C2179">
        <w:rPr>
          <w:kern w:val="2"/>
          <w:sz w:val="20"/>
        </w:rPr>
        <w:t xml:space="preserve">federal </w:t>
      </w:r>
      <w:r w:rsidR="006C08FE" w:rsidRPr="005C2179">
        <w:rPr>
          <w:kern w:val="2"/>
          <w:sz w:val="20"/>
        </w:rPr>
        <w:t xml:space="preserve">Liberal Party </w:t>
      </w:r>
      <w:r w:rsidR="008F63E5" w:rsidRPr="005C2179">
        <w:rPr>
          <w:kern w:val="2"/>
          <w:sz w:val="20"/>
        </w:rPr>
        <w:t>received lucrative government contracts in return for little work.</w:t>
      </w:r>
      <w:r w:rsidR="008F63E5" w:rsidRPr="005C2179">
        <w:rPr>
          <w:rStyle w:val="FootnoteReference"/>
          <w:kern w:val="2"/>
          <w:sz w:val="20"/>
        </w:rPr>
        <w:footnoteReference w:id="4"/>
      </w:r>
    </w:p>
    <w:p w14:paraId="3C3FC767" w14:textId="77777777" w:rsidR="00666254" w:rsidRPr="005C2179" w:rsidRDefault="00FA077C" w:rsidP="00330F4B">
      <w:pPr>
        <w:rPr>
          <w:kern w:val="2"/>
          <w:sz w:val="20"/>
        </w:rPr>
      </w:pPr>
      <w:r w:rsidRPr="005C2179">
        <w:rPr>
          <w:kern w:val="2"/>
          <w:sz w:val="20"/>
        </w:rPr>
        <w:t>C</w:t>
      </w:r>
      <w:r w:rsidR="005C3EB4" w:rsidRPr="005C2179">
        <w:rPr>
          <w:kern w:val="2"/>
          <w:sz w:val="20"/>
        </w:rPr>
        <w:t>ampaign finance laws can help</w:t>
      </w:r>
      <w:r w:rsidR="00666254" w:rsidRPr="005C2179">
        <w:rPr>
          <w:kern w:val="2"/>
          <w:sz w:val="20"/>
        </w:rPr>
        <w:t xml:space="preserve"> address the </w:t>
      </w:r>
      <w:r w:rsidR="00D35119" w:rsidRPr="005C2179">
        <w:rPr>
          <w:kern w:val="2"/>
          <w:sz w:val="20"/>
        </w:rPr>
        <w:t>risks of corruption, inequality, unfairness, and public cynicism</w:t>
      </w:r>
      <w:r w:rsidR="00522E4C" w:rsidRPr="005C2179">
        <w:rPr>
          <w:kern w:val="2"/>
          <w:sz w:val="20"/>
        </w:rPr>
        <w:t>.</w:t>
      </w:r>
      <w:r w:rsidR="00807ACD" w:rsidRPr="005C2179">
        <w:rPr>
          <w:kern w:val="2"/>
          <w:sz w:val="20"/>
        </w:rPr>
        <w:t xml:space="preserve"> </w:t>
      </w:r>
      <w:r w:rsidR="00034B1B" w:rsidRPr="005C2179">
        <w:rPr>
          <w:kern w:val="2"/>
          <w:sz w:val="20"/>
        </w:rPr>
        <w:t>Lawmakers</w:t>
      </w:r>
      <w:r w:rsidR="00020B38" w:rsidRPr="005C2179">
        <w:rPr>
          <w:kern w:val="2"/>
          <w:sz w:val="20"/>
        </w:rPr>
        <w:t xml:space="preserve"> </w:t>
      </w:r>
      <w:r w:rsidR="00034B1B" w:rsidRPr="005C2179">
        <w:rPr>
          <w:kern w:val="2"/>
          <w:sz w:val="20"/>
        </w:rPr>
        <w:t xml:space="preserve">may </w:t>
      </w:r>
      <w:r w:rsidR="00020B38" w:rsidRPr="005C2179">
        <w:rPr>
          <w:kern w:val="2"/>
          <w:sz w:val="20"/>
        </w:rPr>
        <w:t>attempt to reduce these ri</w:t>
      </w:r>
      <w:r w:rsidR="00034B1B" w:rsidRPr="005C2179">
        <w:rPr>
          <w:kern w:val="2"/>
          <w:sz w:val="20"/>
        </w:rPr>
        <w:t xml:space="preserve">sks by </w:t>
      </w:r>
      <w:r w:rsidR="007D6B01" w:rsidRPr="005C2179">
        <w:rPr>
          <w:kern w:val="2"/>
          <w:sz w:val="20"/>
        </w:rPr>
        <w:t>pro</w:t>
      </w:r>
      <w:r w:rsidR="00034B1B" w:rsidRPr="005C2179">
        <w:rPr>
          <w:kern w:val="2"/>
          <w:sz w:val="20"/>
        </w:rPr>
        <w:t>moting transparency, reducing</w:t>
      </w:r>
      <w:r w:rsidR="007D6B01" w:rsidRPr="005C2179">
        <w:rPr>
          <w:kern w:val="2"/>
          <w:sz w:val="20"/>
        </w:rPr>
        <w:t xml:space="preserve"> politicians’ reliance on large donors, and encourag</w:t>
      </w:r>
      <w:r w:rsidR="00034B1B" w:rsidRPr="005C2179">
        <w:rPr>
          <w:kern w:val="2"/>
          <w:sz w:val="20"/>
        </w:rPr>
        <w:t>ing</w:t>
      </w:r>
      <w:r w:rsidR="007D6B01" w:rsidRPr="005C2179">
        <w:rPr>
          <w:kern w:val="2"/>
          <w:sz w:val="20"/>
        </w:rPr>
        <w:t xml:space="preserve"> the financing of campaigns th</w:t>
      </w:r>
      <w:r w:rsidR="00666254" w:rsidRPr="005C2179">
        <w:rPr>
          <w:kern w:val="2"/>
          <w:sz w:val="20"/>
        </w:rPr>
        <w:t>rough small outlays from a wide</w:t>
      </w:r>
      <w:r w:rsidR="007D6B01" w:rsidRPr="005C2179">
        <w:rPr>
          <w:kern w:val="2"/>
          <w:sz w:val="20"/>
        </w:rPr>
        <w:t xml:space="preserve"> range of individuals. </w:t>
      </w:r>
      <w:r w:rsidR="009F1E88" w:rsidRPr="005C2179">
        <w:rPr>
          <w:kern w:val="2"/>
          <w:sz w:val="20"/>
        </w:rPr>
        <w:t>Disclosure requirements,</w:t>
      </w:r>
      <w:r w:rsidR="00666254" w:rsidRPr="005C2179">
        <w:rPr>
          <w:kern w:val="2"/>
          <w:sz w:val="20"/>
        </w:rPr>
        <w:t xml:space="preserve"> contribution limits</w:t>
      </w:r>
      <w:r w:rsidR="009F1E88" w:rsidRPr="005C2179">
        <w:rPr>
          <w:kern w:val="2"/>
          <w:sz w:val="20"/>
        </w:rPr>
        <w:t>, and other measures</w:t>
      </w:r>
      <w:r w:rsidR="00666254" w:rsidRPr="005C2179">
        <w:rPr>
          <w:kern w:val="2"/>
          <w:sz w:val="20"/>
        </w:rPr>
        <w:t xml:space="preserve"> may further these goals. Public funding of </w:t>
      </w:r>
      <w:r w:rsidR="008E475A" w:rsidRPr="005C2179">
        <w:rPr>
          <w:kern w:val="2"/>
          <w:sz w:val="20"/>
        </w:rPr>
        <w:t>election</w:t>
      </w:r>
      <w:r w:rsidR="00666254" w:rsidRPr="005C2179">
        <w:rPr>
          <w:kern w:val="2"/>
          <w:sz w:val="20"/>
        </w:rPr>
        <w:t xml:space="preserve"> campaigns is another option. Cana</w:t>
      </w:r>
      <w:r w:rsidR="00E44380" w:rsidRPr="005C2179">
        <w:rPr>
          <w:kern w:val="2"/>
          <w:sz w:val="20"/>
        </w:rPr>
        <w:t>da, the UK, and the US each provide</w:t>
      </w:r>
      <w:r w:rsidR="00666254" w:rsidRPr="005C2179">
        <w:rPr>
          <w:kern w:val="2"/>
          <w:sz w:val="20"/>
        </w:rPr>
        <w:t xml:space="preserve"> some form of partial public funding. Private fundraising, however, remains indispensable to parties and candidates in all three countries.</w:t>
      </w:r>
    </w:p>
    <w:p w14:paraId="75D19E5F" w14:textId="77777777" w:rsidR="00666254" w:rsidRPr="005C2179" w:rsidRDefault="00666254" w:rsidP="00330F4B">
      <w:pPr>
        <w:rPr>
          <w:kern w:val="2"/>
          <w:sz w:val="20"/>
        </w:rPr>
      </w:pPr>
      <w:r w:rsidRPr="005C2179">
        <w:rPr>
          <w:kern w:val="2"/>
          <w:sz w:val="20"/>
        </w:rPr>
        <w:t>Regulation generally targets not only parties and candidates but also third-party campaigners. Third-party campaigners fund their own advertising and other activities in support of a candidate or party. If parties and candidates are regulated and third parties are not, private money will simply be funnelled to unregulated third-party groups. Even with full public funding of parties and candidates, the use of private money in third-party campaigns would require regulatory attention.</w:t>
      </w:r>
    </w:p>
    <w:p w14:paraId="05B58831" w14:textId="77777777" w:rsidR="00103811" w:rsidRPr="005C2179" w:rsidRDefault="0004719E" w:rsidP="00330F4B">
      <w:pPr>
        <w:rPr>
          <w:kern w:val="2"/>
          <w:sz w:val="20"/>
        </w:rPr>
      </w:pPr>
      <w:r w:rsidRPr="005C2179">
        <w:rPr>
          <w:kern w:val="2"/>
          <w:sz w:val="20"/>
        </w:rPr>
        <w:t>L</w:t>
      </w:r>
      <w:r w:rsidR="008D21E7" w:rsidRPr="005C2179">
        <w:rPr>
          <w:kern w:val="2"/>
          <w:sz w:val="20"/>
        </w:rPr>
        <w:t>awmakers face v</w:t>
      </w:r>
      <w:r w:rsidR="00226467" w:rsidRPr="005C2179">
        <w:rPr>
          <w:kern w:val="2"/>
          <w:sz w:val="20"/>
        </w:rPr>
        <w:t>arious stumbling blocks</w:t>
      </w:r>
      <w:r w:rsidRPr="005C2179">
        <w:rPr>
          <w:kern w:val="2"/>
          <w:sz w:val="20"/>
        </w:rPr>
        <w:t xml:space="preserve"> when designing campaign finance regimes</w:t>
      </w:r>
      <w:r w:rsidR="00226467" w:rsidRPr="005C2179">
        <w:rPr>
          <w:kern w:val="2"/>
          <w:sz w:val="20"/>
        </w:rPr>
        <w:t>. C</w:t>
      </w:r>
      <w:r w:rsidR="008D21E7" w:rsidRPr="005C2179">
        <w:rPr>
          <w:kern w:val="2"/>
          <w:sz w:val="20"/>
        </w:rPr>
        <w:t xml:space="preserve">ampaign finance laws may infringe constitutional guarantees such as freedom of expression, freedom of association, and voting rights. </w:t>
      </w:r>
      <w:r w:rsidR="008439A7" w:rsidRPr="005C2179">
        <w:rPr>
          <w:kern w:val="2"/>
          <w:sz w:val="20"/>
        </w:rPr>
        <w:t>Courts may, however,</w:t>
      </w:r>
      <w:r w:rsidR="008D21E7" w:rsidRPr="005C2179">
        <w:rPr>
          <w:kern w:val="2"/>
          <w:sz w:val="20"/>
        </w:rPr>
        <w:t xml:space="preserve"> be willing to allow infringements of constitutional rights for the sake of equality, fairness, p</w:t>
      </w:r>
      <w:r w:rsidR="00D76477" w:rsidRPr="005C2179">
        <w:rPr>
          <w:kern w:val="2"/>
          <w:sz w:val="20"/>
        </w:rPr>
        <w:t>ublic confidence, and the prevention of</w:t>
      </w:r>
      <w:r w:rsidR="008D21E7" w:rsidRPr="005C2179">
        <w:rPr>
          <w:kern w:val="2"/>
          <w:sz w:val="20"/>
        </w:rPr>
        <w:t xml:space="preserve"> corruption. </w:t>
      </w:r>
      <w:r w:rsidR="00226467" w:rsidRPr="005C2179">
        <w:rPr>
          <w:kern w:val="2"/>
          <w:sz w:val="20"/>
        </w:rPr>
        <w:t>L</w:t>
      </w:r>
      <w:r w:rsidR="00AE6F9D" w:rsidRPr="005C2179">
        <w:rPr>
          <w:kern w:val="2"/>
          <w:sz w:val="20"/>
        </w:rPr>
        <w:t>awmakers</w:t>
      </w:r>
      <w:r w:rsidR="0000071A" w:rsidRPr="005C2179">
        <w:rPr>
          <w:kern w:val="2"/>
          <w:sz w:val="20"/>
        </w:rPr>
        <w:t xml:space="preserve"> must</w:t>
      </w:r>
      <w:r w:rsidR="00226467" w:rsidRPr="005C2179">
        <w:rPr>
          <w:kern w:val="2"/>
          <w:sz w:val="20"/>
        </w:rPr>
        <w:t xml:space="preserve"> also</w:t>
      </w:r>
      <w:r w:rsidR="0000071A" w:rsidRPr="005C2179">
        <w:rPr>
          <w:kern w:val="2"/>
          <w:sz w:val="20"/>
        </w:rPr>
        <w:t xml:space="preserve"> ensure regulations do</w:t>
      </w:r>
      <w:r w:rsidR="00AE6F9D" w:rsidRPr="005C2179">
        <w:rPr>
          <w:kern w:val="2"/>
          <w:sz w:val="20"/>
        </w:rPr>
        <w:t xml:space="preserve"> not entrench incumbents</w:t>
      </w:r>
      <w:r w:rsidR="00557C06" w:rsidRPr="005C2179">
        <w:rPr>
          <w:kern w:val="2"/>
          <w:sz w:val="20"/>
        </w:rPr>
        <w:t xml:space="preserve"> by, for example, imposing spending limits that disadvantage challengers</w:t>
      </w:r>
      <w:r w:rsidR="00AE6F9D" w:rsidRPr="005C2179">
        <w:rPr>
          <w:kern w:val="2"/>
          <w:sz w:val="20"/>
        </w:rPr>
        <w:t>.</w:t>
      </w:r>
      <w:r w:rsidR="003F55A6" w:rsidRPr="005C2179">
        <w:rPr>
          <w:rStyle w:val="FootnoteReference"/>
          <w:kern w:val="2"/>
          <w:sz w:val="20"/>
        </w:rPr>
        <w:footnoteReference w:id="5"/>
      </w:r>
      <w:r w:rsidR="00226467" w:rsidRPr="005C2179">
        <w:rPr>
          <w:kern w:val="2"/>
          <w:sz w:val="20"/>
        </w:rPr>
        <w:t xml:space="preserve"> </w:t>
      </w:r>
      <w:r w:rsidR="005330AF" w:rsidRPr="005C2179">
        <w:rPr>
          <w:kern w:val="2"/>
          <w:sz w:val="20"/>
        </w:rPr>
        <w:t>Ot</w:t>
      </w:r>
      <w:r w:rsidR="00252C33" w:rsidRPr="005C2179">
        <w:rPr>
          <w:kern w:val="2"/>
          <w:sz w:val="20"/>
        </w:rPr>
        <w:t>her difficulties</w:t>
      </w:r>
      <w:r w:rsidR="005330AF" w:rsidRPr="005C2179">
        <w:rPr>
          <w:kern w:val="2"/>
          <w:sz w:val="20"/>
        </w:rPr>
        <w:t xml:space="preserve"> include anticipating loopholes and </w:t>
      </w:r>
      <w:r w:rsidR="00BF68F4" w:rsidRPr="005C2179">
        <w:rPr>
          <w:kern w:val="2"/>
          <w:sz w:val="20"/>
        </w:rPr>
        <w:t>defining the scope of regulated activities</w:t>
      </w:r>
      <w:r w:rsidR="00226467" w:rsidRPr="005C2179">
        <w:rPr>
          <w:kern w:val="2"/>
          <w:sz w:val="20"/>
        </w:rPr>
        <w:t>. Finally, lawmakers face the</w:t>
      </w:r>
      <w:r w:rsidR="00252C33" w:rsidRPr="005C2179">
        <w:rPr>
          <w:kern w:val="2"/>
          <w:sz w:val="20"/>
        </w:rPr>
        <w:t xml:space="preserve"> challenge</w:t>
      </w:r>
      <w:r w:rsidR="00226467" w:rsidRPr="005C2179">
        <w:rPr>
          <w:kern w:val="2"/>
          <w:sz w:val="20"/>
        </w:rPr>
        <w:t xml:space="preserve"> of determining how to apply old regulatory approaches to new digital campaigning techniques. </w:t>
      </w:r>
    </w:p>
    <w:p w14:paraId="20368603" w14:textId="5020BC9B" w:rsidR="00EA50F0" w:rsidRPr="005C2179" w:rsidRDefault="00A419F4" w:rsidP="00330F4B">
      <w:pPr>
        <w:rPr>
          <w:kern w:val="2"/>
          <w:sz w:val="20"/>
        </w:rPr>
      </w:pPr>
      <w:r w:rsidRPr="005C2179">
        <w:rPr>
          <w:kern w:val="2"/>
          <w:sz w:val="20"/>
        </w:rPr>
        <w:t>Canada, the US, and UK each take a different approach to the regulation of campaign finance, although all three impose transparency requirements</w:t>
      </w:r>
      <w:r w:rsidR="00DA6869" w:rsidRPr="005C2179">
        <w:rPr>
          <w:kern w:val="2"/>
          <w:sz w:val="20"/>
        </w:rPr>
        <w:t xml:space="preserve"> </w:t>
      </w:r>
      <w:r w:rsidR="00666254" w:rsidRPr="005C2179">
        <w:rPr>
          <w:kern w:val="2"/>
          <w:sz w:val="20"/>
        </w:rPr>
        <w:t>for</w:t>
      </w:r>
      <w:r w:rsidR="00DA6869" w:rsidRPr="005C2179">
        <w:rPr>
          <w:kern w:val="2"/>
          <w:sz w:val="20"/>
        </w:rPr>
        <w:t xml:space="preserve"> parties, candidates, and third-party campaigners</w:t>
      </w:r>
      <w:r w:rsidRPr="005C2179">
        <w:rPr>
          <w:kern w:val="2"/>
          <w:sz w:val="20"/>
        </w:rPr>
        <w:t xml:space="preserve">. At the federal level, Canada </w:t>
      </w:r>
      <w:r w:rsidR="00163C32" w:rsidRPr="005C2179">
        <w:rPr>
          <w:kern w:val="2"/>
          <w:sz w:val="20"/>
        </w:rPr>
        <w:t>caps</w:t>
      </w:r>
      <w:r w:rsidRPr="005C2179">
        <w:rPr>
          <w:kern w:val="2"/>
          <w:sz w:val="20"/>
        </w:rPr>
        <w:t xml:space="preserve"> </w:t>
      </w:r>
      <w:r w:rsidR="00E66A50" w:rsidRPr="005C2179">
        <w:rPr>
          <w:kern w:val="2"/>
          <w:sz w:val="20"/>
        </w:rPr>
        <w:t xml:space="preserve">both </w:t>
      </w:r>
      <w:r w:rsidRPr="005C2179">
        <w:rPr>
          <w:kern w:val="2"/>
          <w:sz w:val="20"/>
        </w:rPr>
        <w:t>contributions</w:t>
      </w:r>
      <w:r w:rsidR="00022A39" w:rsidRPr="005C2179">
        <w:rPr>
          <w:kern w:val="2"/>
          <w:sz w:val="20"/>
        </w:rPr>
        <w:t xml:space="preserve"> </w:t>
      </w:r>
      <w:r w:rsidR="003B5EED" w:rsidRPr="005C2179">
        <w:rPr>
          <w:kern w:val="2"/>
          <w:sz w:val="20"/>
        </w:rPr>
        <w:t xml:space="preserve">and spending. </w:t>
      </w:r>
      <w:r w:rsidR="00C767F8" w:rsidRPr="005C2179">
        <w:rPr>
          <w:kern w:val="2"/>
          <w:sz w:val="20"/>
        </w:rPr>
        <w:t>Corporations and other organizations are prohibited from making c</w:t>
      </w:r>
      <w:r w:rsidR="00022A39" w:rsidRPr="005C2179">
        <w:rPr>
          <w:kern w:val="2"/>
          <w:sz w:val="20"/>
        </w:rPr>
        <w:t xml:space="preserve">ontributions </w:t>
      </w:r>
      <w:r w:rsidR="003B5EED" w:rsidRPr="005C2179">
        <w:rPr>
          <w:kern w:val="2"/>
          <w:sz w:val="20"/>
        </w:rPr>
        <w:t>to parties and candidates</w:t>
      </w:r>
      <w:r w:rsidR="00022A39" w:rsidRPr="005C2179">
        <w:rPr>
          <w:kern w:val="2"/>
          <w:sz w:val="20"/>
        </w:rPr>
        <w:t>.</w:t>
      </w:r>
      <w:r w:rsidRPr="005C2179">
        <w:rPr>
          <w:kern w:val="2"/>
          <w:sz w:val="20"/>
        </w:rPr>
        <w:t xml:space="preserve"> </w:t>
      </w:r>
      <w:r w:rsidR="00022A39" w:rsidRPr="005C2179">
        <w:rPr>
          <w:kern w:val="2"/>
          <w:sz w:val="20"/>
        </w:rPr>
        <w:t>The federal regime also</w:t>
      </w:r>
      <w:r w:rsidRPr="005C2179">
        <w:rPr>
          <w:kern w:val="2"/>
          <w:sz w:val="20"/>
        </w:rPr>
        <w:t xml:space="preserve"> </w:t>
      </w:r>
      <w:r w:rsidR="008200BB" w:rsidRPr="005C2179">
        <w:rPr>
          <w:kern w:val="2"/>
          <w:sz w:val="20"/>
        </w:rPr>
        <w:t>provides some public funding to</w:t>
      </w:r>
      <w:r w:rsidRPr="005C2179">
        <w:rPr>
          <w:kern w:val="2"/>
          <w:sz w:val="20"/>
        </w:rPr>
        <w:t xml:space="preserve"> parties and candidates. The UK limits spending</w:t>
      </w:r>
      <w:r w:rsidR="00E66A50" w:rsidRPr="005C2179">
        <w:rPr>
          <w:kern w:val="2"/>
          <w:sz w:val="20"/>
        </w:rPr>
        <w:t>,</w:t>
      </w:r>
      <w:r w:rsidRPr="005C2179">
        <w:rPr>
          <w:kern w:val="2"/>
          <w:sz w:val="20"/>
        </w:rPr>
        <w:t xml:space="preserve"> but political contributions are uncapped. Further, </w:t>
      </w:r>
      <w:r w:rsidR="00022A39" w:rsidRPr="005C2179">
        <w:rPr>
          <w:kern w:val="2"/>
          <w:sz w:val="20"/>
        </w:rPr>
        <w:t xml:space="preserve">unlike in Canada, </w:t>
      </w:r>
      <w:r w:rsidRPr="005C2179">
        <w:rPr>
          <w:kern w:val="2"/>
          <w:sz w:val="20"/>
        </w:rPr>
        <w:t>corporations,</w:t>
      </w:r>
      <w:r w:rsidR="008200BB" w:rsidRPr="005C2179">
        <w:rPr>
          <w:kern w:val="2"/>
          <w:sz w:val="20"/>
        </w:rPr>
        <w:t xml:space="preserve"> labour</w:t>
      </w:r>
      <w:r w:rsidRPr="005C2179">
        <w:rPr>
          <w:kern w:val="2"/>
          <w:sz w:val="20"/>
        </w:rPr>
        <w:t xml:space="preserve"> unions, and other </w:t>
      </w:r>
      <w:r w:rsidR="00163C32" w:rsidRPr="005C2179">
        <w:rPr>
          <w:kern w:val="2"/>
          <w:sz w:val="20"/>
        </w:rPr>
        <w:t>entities</w:t>
      </w:r>
      <w:r w:rsidRPr="005C2179">
        <w:rPr>
          <w:kern w:val="2"/>
          <w:sz w:val="20"/>
        </w:rPr>
        <w:t xml:space="preserve"> are permitted to make </w:t>
      </w:r>
      <w:r w:rsidRPr="005C2179">
        <w:rPr>
          <w:kern w:val="2"/>
          <w:sz w:val="20"/>
        </w:rPr>
        <w:lastRenderedPageBreak/>
        <w:t xml:space="preserve">donations to parties and candidates. </w:t>
      </w:r>
      <w:r w:rsidR="00BA74F8" w:rsidRPr="005C2179">
        <w:rPr>
          <w:kern w:val="2"/>
          <w:sz w:val="20"/>
        </w:rPr>
        <w:t>In</w:t>
      </w:r>
      <w:r w:rsidR="002B283D" w:rsidRPr="005C2179">
        <w:rPr>
          <w:kern w:val="2"/>
          <w:sz w:val="20"/>
        </w:rPr>
        <w:t xml:space="preserve"> the US, freedom of speech jurisprudence has</w:t>
      </w:r>
      <w:r w:rsidR="00FA616F" w:rsidRPr="005C2179">
        <w:rPr>
          <w:kern w:val="2"/>
          <w:sz w:val="20"/>
        </w:rPr>
        <w:t xml:space="preserve"> defeated various pieces</w:t>
      </w:r>
      <w:r w:rsidR="002B283D" w:rsidRPr="005C2179">
        <w:rPr>
          <w:kern w:val="2"/>
          <w:sz w:val="20"/>
        </w:rPr>
        <w:t xml:space="preserve"> of the</w:t>
      </w:r>
      <w:r w:rsidR="00163C32" w:rsidRPr="005C2179">
        <w:rPr>
          <w:kern w:val="2"/>
          <w:sz w:val="20"/>
        </w:rPr>
        <w:t xml:space="preserve"> federal</w:t>
      </w:r>
      <w:r w:rsidR="002B283D" w:rsidRPr="005C2179">
        <w:rPr>
          <w:kern w:val="2"/>
          <w:sz w:val="20"/>
        </w:rPr>
        <w:t xml:space="preserve"> campaign finance regime, </w:t>
      </w:r>
      <w:r w:rsidR="00163C32" w:rsidRPr="005C2179">
        <w:rPr>
          <w:kern w:val="2"/>
          <w:sz w:val="20"/>
        </w:rPr>
        <w:t>including</w:t>
      </w:r>
      <w:r w:rsidR="002B283D" w:rsidRPr="005C2179">
        <w:rPr>
          <w:kern w:val="2"/>
          <w:sz w:val="20"/>
        </w:rPr>
        <w:t xml:space="preserve"> spending caps. </w:t>
      </w:r>
      <w:r w:rsidRPr="005C2179">
        <w:rPr>
          <w:kern w:val="2"/>
          <w:sz w:val="20"/>
        </w:rPr>
        <w:t xml:space="preserve">Caps on </w:t>
      </w:r>
      <w:r w:rsidR="006E6FDE" w:rsidRPr="005C2179">
        <w:rPr>
          <w:kern w:val="2"/>
          <w:sz w:val="20"/>
        </w:rPr>
        <w:t xml:space="preserve">contributions to candidates </w:t>
      </w:r>
      <w:r w:rsidRPr="005C2179">
        <w:rPr>
          <w:kern w:val="2"/>
          <w:sz w:val="20"/>
        </w:rPr>
        <w:t xml:space="preserve">have survived, along with a ban on corporate and union </w:t>
      </w:r>
      <w:r w:rsidR="006E6FDE" w:rsidRPr="005C2179">
        <w:rPr>
          <w:kern w:val="2"/>
          <w:sz w:val="20"/>
        </w:rPr>
        <w:t>donations</w:t>
      </w:r>
      <w:r w:rsidRPr="005C2179">
        <w:rPr>
          <w:kern w:val="2"/>
          <w:sz w:val="20"/>
        </w:rPr>
        <w:t xml:space="preserve">. </w:t>
      </w:r>
      <w:r w:rsidR="002B283D" w:rsidRPr="005C2179">
        <w:rPr>
          <w:kern w:val="2"/>
          <w:sz w:val="20"/>
        </w:rPr>
        <w:t>Although t</w:t>
      </w:r>
      <w:r w:rsidRPr="005C2179">
        <w:rPr>
          <w:kern w:val="2"/>
          <w:sz w:val="20"/>
        </w:rPr>
        <w:t>ransparency requirements</w:t>
      </w:r>
      <w:r w:rsidR="006E6FDE" w:rsidRPr="005C2179">
        <w:rPr>
          <w:kern w:val="2"/>
          <w:sz w:val="20"/>
        </w:rPr>
        <w:t xml:space="preserve"> </w:t>
      </w:r>
      <w:r w:rsidR="002B283D" w:rsidRPr="005C2179">
        <w:rPr>
          <w:kern w:val="2"/>
          <w:sz w:val="20"/>
        </w:rPr>
        <w:t xml:space="preserve">in the US </w:t>
      </w:r>
      <w:r w:rsidR="006E6FDE" w:rsidRPr="005C2179">
        <w:rPr>
          <w:kern w:val="2"/>
          <w:sz w:val="20"/>
        </w:rPr>
        <w:t>apply to parties, candidates, and t</w:t>
      </w:r>
      <w:r w:rsidR="00263D27" w:rsidRPr="005C2179">
        <w:rPr>
          <w:kern w:val="2"/>
          <w:sz w:val="20"/>
        </w:rPr>
        <w:t xml:space="preserve">hird </w:t>
      </w:r>
      <w:r w:rsidR="002B283D" w:rsidRPr="005C2179">
        <w:rPr>
          <w:kern w:val="2"/>
          <w:sz w:val="20"/>
        </w:rPr>
        <w:t>parties, transparency is</w:t>
      </w:r>
      <w:r w:rsidR="006E6FDE" w:rsidRPr="005C2179">
        <w:rPr>
          <w:kern w:val="2"/>
          <w:sz w:val="20"/>
        </w:rPr>
        <w:t xml:space="preserve"> weak for some types of institutional third-party campaigners.</w:t>
      </w:r>
      <w:r w:rsidR="005B0229" w:rsidRPr="005C2179">
        <w:rPr>
          <w:rStyle w:val="FootnoteReference"/>
          <w:kern w:val="2"/>
          <w:sz w:val="20"/>
        </w:rPr>
        <w:footnoteReference w:id="6"/>
      </w:r>
      <w:r w:rsidR="006E6FDE" w:rsidRPr="005C2179">
        <w:rPr>
          <w:kern w:val="2"/>
          <w:sz w:val="20"/>
        </w:rPr>
        <w:t xml:space="preserve"> </w:t>
      </w:r>
      <w:r w:rsidRPr="005C2179">
        <w:rPr>
          <w:kern w:val="2"/>
          <w:sz w:val="20"/>
        </w:rPr>
        <w:t xml:space="preserve"> </w:t>
      </w:r>
    </w:p>
    <w:p w14:paraId="66BFDC22" w14:textId="12F05FED" w:rsidR="00856889" w:rsidRPr="005C2179" w:rsidRDefault="00856889" w:rsidP="00330F4B">
      <w:pPr>
        <w:rPr>
          <w:kern w:val="2"/>
          <w:sz w:val="20"/>
        </w:rPr>
      </w:pPr>
      <w:r w:rsidRPr="005C2179">
        <w:rPr>
          <w:kern w:val="2"/>
          <w:sz w:val="20"/>
        </w:rPr>
        <w:t>In this chapter, I will begin by summarizing how election campaigns are financed</w:t>
      </w:r>
      <w:r w:rsidR="00E91099" w:rsidRPr="005C2179">
        <w:rPr>
          <w:kern w:val="2"/>
          <w:sz w:val="20"/>
        </w:rPr>
        <w:t xml:space="preserve"> and how campaign finance may be regulated</w:t>
      </w:r>
      <w:r w:rsidRPr="005C2179">
        <w:rPr>
          <w:kern w:val="2"/>
          <w:sz w:val="20"/>
        </w:rPr>
        <w:t xml:space="preserve">. </w:t>
      </w:r>
      <w:r w:rsidR="00CF514E" w:rsidRPr="005C2179">
        <w:rPr>
          <w:kern w:val="2"/>
          <w:sz w:val="20"/>
        </w:rPr>
        <w:t>Next, I</w:t>
      </w:r>
      <w:r w:rsidRPr="005C2179">
        <w:rPr>
          <w:kern w:val="2"/>
          <w:sz w:val="20"/>
        </w:rPr>
        <w:t xml:space="preserve"> will discuss rationales for campaign finance regulation and the challenges involved i</w:t>
      </w:r>
      <w:r w:rsidR="00565B94" w:rsidRPr="005C2179">
        <w:rPr>
          <w:kern w:val="2"/>
          <w:sz w:val="20"/>
        </w:rPr>
        <w:t>n designing regulatory measures, follo</w:t>
      </w:r>
      <w:r w:rsidR="00263D27" w:rsidRPr="005C2179">
        <w:rPr>
          <w:kern w:val="2"/>
          <w:sz w:val="20"/>
        </w:rPr>
        <w:t>wed by a discussion of</w:t>
      </w:r>
      <w:r w:rsidR="00565B94" w:rsidRPr="005C2179">
        <w:rPr>
          <w:kern w:val="2"/>
          <w:sz w:val="20"/>
        </w:rPr>
        <w:t xml:space="preserve"> </w:t>
      </w:r>
      <w:r w:rsidR="00B930A4" w:rsidRPr="005C2179">
        <w:rPr>
          <w:kern w:val="2"/>
          <w:sz w:val="20"/>
        </w:rPr>
        <w:t xml:space="preserve">the </w:t>
      </w:r>
      <w:r w:rsidR="00565B94" w:rsidRPr="005C2179">
        <w:rPr>
          <w:kern w:val="2"/>
          <w:sz w:val="20"/>
        </w:rPr>
        <w:t>regulation of third-party campaigners</w:t>
      </w:r>
      <w:r w:rsidR="00E91099" w:rsidRPr="005C2179">
        <w:rPr>
          <w:kern w:val="2"/>
          <w:sz w:val="20"/>
        </w:rPr>
        <w:t xml:space="preserve">. Finally, I will </w:t>
      </w:r>
      <w:r w:rsidR="008F115C" w:rsidRPr="005C2179">
        <w:rPr>
          <w:kern w:val="2"/>
          <w:sz w:val="20"/>
        </w:rPr>
        <w:t xml:space="preserve">briefly note the paucity of provisions directed at campaign financing in UNCAC and the OECD Convention on Foreign Bribery and then examine in some detail the </w:t>
      </w:r>
      <w:r w:rsidR="00E91099" w:rsidRPr="005C2179">
        <w:rPr>
          <w:kern w:val="2"/>
          <w:sz w:val="20"/>
        </w:rPr>
        <w:t>campaign finance</w:t>
      </w:r>
      <w:r w:rsidR="00CF514E" w:rsidRPr="005C2179">
        <w:rPr>
          <w:kern w:val="2"/>
          <w:sz w:val="20"/>
        </w:rPr>
        <w:t xml:space="preserve"> laws</w:t>
      </w:r>
      <w:r w:rsidR="00E91099" w:rsidRPr="005C2179">
        <w:rPr>
          <w:kern w:val="2"/>
          <w:sz w:val="20"/>
        </w:rPr>
        <w:t xml:space="preserve"> in each of Canada, the UK, and US. For each country, I will first discuss the le</w:t>
      </w:r>
      <w:r w:rsidR="00BE7786" w:rsidRPr="005C2179">
        <w:rPr>
          <w:kern w:val="2"/>
          <w:sz w:val="20"/>
        </w:rPr>
        <w:t>ading cases on freedom of expression</w:t>
      </w:r>
      <w:r w:rsidR="00E91099" w:rsidRPr="005C2179">
        <w:rPr>
          <w:kern w:val="2"/>
          <w:sz w:val="20"/>
        </w:rPr>
        <w:t xml:space="preserve"> and campaign finance. I will then describe each country’s regulatory regime and common criticisms </w:t>
      </w:r>
      <w:r w:rsidR="0084451F" w:rsidRPr="005C2179">
        <w:rPr>
          <w:kern w:val="2"/>
          <w:sz w:val="20"/>
        </w:rPr>
        <w:t xml:space="preserve">of those regimes. </w:t>
      </w:r>
    </w:p>
    <w:p w14:paraId="115846AE" w14:textId="042924C6" w:rsidR="00F86A8A" w:rsidRPr="005C2179" w:rsidRDefault="00F86A8A" w:rsidP="00A8357B">
      <w:pPr>
        <w:pStyle w:val="Heading1"/>
        <w:rPr>
          <w:sz w:val="28"/>
        </w:rPr>
      </w:pPr>
      <w:bookmarkStart w:id="3" w:name="_Toc503443952"/>
      <w:bookmarkStart w:id="4" w:name="_Toc509569390"/>
      <w:r w:rsidRPr="005C2179">
        <w:rPr>
          <w:sz w:val="28"/>
        </w:rPr>
        <w:t xml:space="preserve">How </w:t>
      </w:r>
      <w:r w:rsidR="00D125AA" w:rsidRPr="005C2179">
        <w:rPr>
          <w:sz w:val="28"/>
        </w:rPr>
        <w:t>Election Campaigns A</w:t>
      </w:r>
      <w:r w:rsidR="00D105CD" w:rsidRPr="005C2179">
        <w:rPr>
          <w:sz w:val="28"/>
        </w:rPr>
        <w:t>re Financed</w:t>
      </w:r>
      <w:bookmarkEnd w:id="3"/>
      <w:bookmarkEnd w:id="4"/>
      <w:r w:rsidR="00D105CD" w:rsidRPr="005C2179">
        <w:rPr>
          <w:sz w:val="28"/>
        </w:rPr>
        <w:t xml:space="preserve"> </w:t>
      </w:r>
    </w:p>
    <w:p w14:paraId="029C4EEA" w14:textId="38AC0EED" w:rsidR="00F86A8A" w:rsidRPr="005C2179" w:rsidRDefault="00A90093" w:rsidP="00BF63B6">
      <w:pPr>
        <w:pStyle w:val="Heading2"/>
        <w:rPr>
          <w:kern w:val="2"/>
          <w:sz w:val="24"/>
        </w:rPr>
      </w:pPr>
      <w:r w:rsidRPr="005C2179">
        <w:rPr>
          <w:kern w:val="2"/>
          <w:sz w:val="24"/>
        </w:rPr>
        <w:t>Direct C</w:t>
      </w:r>
      <w:r w:rsidR="00B4039C" w:rsidRPr="005C2179">
        <w:rPr>
          <w:kern w:val="2"/>
          <w:sz w:val="24"/>
        </w:rPr>
        <w:t xml:space="preserve">ontributions or </w:t>
      </w:r>
      <w:r w:rsidRPr="005C2179">
        <w:rPr>
          <w:kern w:val="2"/>
          <w:sz w:val="24"/>
        </w:rPr>
        <w:t>L</w:t>
      </w:r>
      <w:r w:rsidR="00F53E88" w:rsidRPr="005C2179">
        <w:rPr>
          <w:kern w:val="2"/>
          <w:sz w:val="24"/>
        </w:rPr>
        <w:t xml:space="preserve">oans to </w:t>
      </w:r>
      <w:r w:rsidRPr="005C2179">
        <w:rPr>
          <w:kern w:val="2"/>
          <w:sz w:val="24"/>
        </w:rPr>
        <w:t>Candidates and Political P</w:t>
      </w:r>
      <w:r w:rsidR="00F53E88" w:rsidRPr="005C2179">
        <w:rPr>
          <w:kern w:val="2"/>
          <w:sz w:val="24"/>
        </w:rPr>
        <w:t xml:space="preserve">arties </w:t>
      </w:r>
    </w:p>
    <w:p w14:paraId="418C2858" w14:textId="77777777" w:rsidR="000A59B8" w:rsidRPr="005C2179" w:rsidRDefault="000A59B8" w:rsidP="00330F4B">
      <w:pPr>
        <w:rPr>
          <w:kern w:val="2"/>
          <w:sz w:val="20"/>
        </w:rPr>
      </w:pPr>
      <w:r w:rsidRPr="005C2179">
        <w:rPr>
          <w:kern w:val="2"/>
          <w:sz w:val="20"/>
        </w:rPr>
        <w:t>Campaigns may be financed by direct contributions to candidates or political pa</w:t>
      </w:r>
      <w:r w:rsidR="00D105CD" w:rsidRPr="005C2179">
        <w:rPr>
          <w:kern w:val="2"/>
          <w:sz w:val="20"/>
        </w:rPr>
        <w:t xml:space="preserve">rties. Contributions </w:t>
      </w:r>
      <w:r w:rsidR="00183CA7" w:rsidRPr="005C2179">
        <w:rPr>
          <w:kern w:val="2"/>
          <w:sz w:val="20"/>
        </w:rPr>
        <w:t xml:space="preserve">can </w:t>
      </w:r>
      <w:r w:rsidR="00D105CD" w:rsidRPr="005C2179">
        <w:rPr>
          <w:kern w:val="2"/>
          <w:sz w:val="20"/>
        </w:rPr>
        <w:t>take</w:t>
      </w:r>
      <w:r w:rsidRPr="005C2179">
        <w:rPr>
          <w:kern w:val="2"/>
          <w:sz w:val="20"/>
        </w:rPr>
        <w:t xml:space="preserve"> the form of cash, goods and services, or loans. In the US, if a political party o</w:t>
      </w:r>
      <w:r w:rsidR="00B811A5" w:rsidRPr="005C2179">
        <w:rPr>
          <w:kern w:val="2"/>
          <w:sz w:val="20"/>
        </w:rPr>
        <w:t xml:space="preserve">r third party coordinates </w:t>
      </w:r>
      <w:r w:rsidRPr="005C2179">
        <w:rPr>
          <w:kern w:val="2"/>
          <w:sz w:val="20"/>
        </w:rPr>
        <w:t xml:space="preserve">spending with a candidate, this </w:t>
      </w:r>
      <w:r w:rsidR="00B811A5" w:rsidRPr="005C2179">
        <w:rPr>
          <w:kern w:val="2"/>
          <w:sz w:val="20"/>
        </w:rPr>
        <w:t xml:space="preserve">spending </w:t>
      </w:r>
      <w:r w:rsidRPr="005C2179">
        <w:rPr>
          <w:kern w:val="2"/>
          <w:sz w:val="20"/>
        </w:rPr>
        <w:t xml:space="preserve">is viewed as a contribution to the candidate. </w:t>
      </w:r>
    </w:p>
    <w:p w14:paraId="38F4A0CC" w14:textId="42BBE61A" w:rsidR="006E44C4" w:rsidRPr="005C2179" w:rsidRDefault="00A90093" w:rsidP="00BF63B6">
      <w:pPr>
        <w:pStyle w:val="Heading2"/>
        <w:rPr>
          <w:kern w:val="2"/>
          <w:sz w:val="24"/>
        </w:rPr>
      </w:pPr>
      <w:r w:rsidRPr="005C2179">
        <w:rPr>
          <w:kern w:val="2"/>
          <w:sz w:val="24"/>
        </w:rPr>
        <w:t>Public F</w:t>
      </w:r>
      <w:r w:rsidR="00F53E88" w:rsidRPr="005C2179">
        <w:rPr>
          <w:kern w:val="2"/>
          <w:sz w:val="24"/>
        </w:rPr>
        <w:t xml:space="preserve">unding </w:t>
      </w:r>
    </w:p>
    <w:p w14:paraId="1BC98103" w14:textId="77777777" w:rsidR="00F03B75" w:rsidRPr="005C2179" w:rsidRDefault="00F03B75" w:rsidP="00330F4B">
      <w:pPr>
        <w:rPr>
          <w:kern w:val="2"/>
          <w:sz w:val="20"/>
        </w:rPr>
      </w:pPr>
      <w:r w:rsidRPr="005C2179">
        <w:rPr>
          <w:kern w:val="2"/>
          <w:sz w:val="20"/>
        </w:rPr>
        <w:t>The state may fund political parties and candidate</w:t>
      </w:r>
      <w:r w:rsidR="00EE4A46" w:rsidRPr="005C2179">
        <w:rPr>
          <w:kern w:val="2"/>
          <w:sz w:val="20"/>
        </w:rPr>
        <w:t>s</w:t>
      </w:r>
      <w:r w:rsidRPr="005C2179">
        <w:rPr>
          <w:kern w:val="2"/>
          <w:sz w:val="20"/>
        </w:rPr>
        <w:t xml:space="preserve"> through grants, reimbursement of election expenses, tax deductions for donors, allocation of free or discounted broadcasting time, or other subsidies. </w:t>
      </w:r>
    </w:p>
    <w:p w14:paraId="1C670DD5" w14:textId="3D774A96" w:rsidR="00F53E88" w:rsidRPr="005C2179" w:rsidRDefault="00A90093" w:rsidP="00BF63B6">
      <w:pPr>
        <w:pStyle w:val="Heading2"/>
        <w:rPr>
          <w:kern w:val="2"/>
          <w:sz w:val="24"/>
        </w:rPr>
      </w:pPr>
      <w:r w:rsidRPr="005C2179">
        <w:rPr>
          <w:kern w:val="2"/>
          <w:sz w:val="24"/>
        </w:rPr>
        <w:t>Independent Expenditures by Third P</w:t>
      </w:r>
      <w:r w:rsidR="00F53E88" w:rsidRPr="005C2179">
        <w:rPr>
          <w:kern w:val="2"/>
          <w:sz w:val="24"/>
        </w:rPr>
        <w:t xml:space="preserve">arties </w:t>
      </w:r>
    </w:p>
    <w:p w14:paraId="388A71A1" w14:textId="77777777" w:rsidR="00F03B75" w:rsidRPr="005C2179" w:rsidRDefault="00320A22" w:rsidP="00330F4B">
      <w:pPr>
        <w:rPr>
          <w:kern w:val="2"/>
          <w:sz w:val="20"/>
        </w:rPr>
      </w:pPr>
      <w:r w:rsidRPr="005C2179">
        <w:rPr>
          <w:kern w:val="2"/>
          <w:sz w:val="20"/>
        </w:rPr>
        <w:t xml:space="preserve">Individuals and entities other than political parties and candidates may wish to fund advertising and other initiatives to support or oppose the electoral success of a party or candidate. This is </w:t>
      </w:r>
      <w:r w:rsidR="000D1DB6" w:rsidRPr="005C2179">
        <w:rPr>
          <w:kern w:val="2"/>
          <w:sz w:val="20"/>
        </w:rPr>
        <w:t>referred to as</w:t>
      </w:r>
      <w:r w:rsidRPr="005C2179">
        <w:rPr>
          <w:kern w:val="2"/>
          <w:sz w:val="20"/>
        </w:rPr>
        <w:t xml:space="preserve"> third-party campaigning or outside spending. </w:t>
      </w:r>
      <w:r w:rsidR="00705484" w:rsidRPr="005C2179">
        <w:rPr>
          <w:kern w:val="2"/>
          <w:sz w:val="20"/>
        </w:rPr>
        <w:t xml:space="preserve">Individuals and organizations may choose to contribute to a third-party campaigner instead of a candidate or party. </w:t>
      </w:r>
      <w:r w:rsidR="00E954FE" w:rsidRPr="005C2179">
        <w:rPr>
          <w:kern w:val="2"/>
          <w:sz w:val="20"/>
        </w:rPr>
        <w:t>Third-party campaigners include</w:t>
      </w:r>
      <w:r w:rsidR="00B83EB6" w:rsidRPr="005C2179">
        <w:rPr>
          <w:kern w:val="2"/>
          <w:sz w:val="20"/>
        </w:rPr>
        <w:t xml:space="preserve"> </w:t>
      </w:r>
      <w:r w:rsidR="00761FEB" w:rsidRPr="005C2179">
        <w:rPr>
          <w:kern w:val="2"/>
          <w:sz w:val="20"/>
        </w:rPr>
        <w:t xml:space="preserve">individuals, </w:t>
      </w:r>
      <w:r w:rsidR="00B83EB6" w:rsidRPr="005C2179">
        <w:rPr>
          <w:kern w:val="2"/>
          <w:sz w:val="20"/>
        </w:rPr>
        <w:t xml:space="preserve">corporations, labour </w:t>
      </w:r>
      <w:r w:rsidR="00E954FE" w:rsidRPr="005C2179">
        <w:rPr>
          <w:kern w:val="2"/>
          <w:sz w:val="20"/>
        </w:rPr>
        <w:t>unions, non-profit interest groups</w:t>
      </w:r>
      <w:r w:rsidR="000C056D" w:rsidRPr="005C2179">
        <w:rPr>
          <w:kern w:val="2"/>
          <w:sz w:val="20"/>
        </w:rPr>
        <w:t>, or other organizations</w:t>
      </w:r>
      <w:r w:rsidR="00B83EB6" w:rsidRPr="005C2179">
        <w:rPr>
          <w:kern w:val="2"/>
          <w:sz w:val="20"/>
        </w:rPr>
        <w:t>, such as the ubiquitous political action committee, or “PAC</w:t>
      </w:r>
      <w:r w:rsidR="001B5D7C" w:rsidRPr="005C2179">
        <w:rPr>
          <w:kern w:val="2"/>
          <w:sz w:val="20"/>
        </w:rPr>
        <w:t>,</w:t>
      </w:r>
      <w:r w:rsidR="00B83EB6" w:rsidRPr="005C2179">
        <w:rPr>
          <w:kern w:val="2"/>
          <w:sz w:val="20"/>
        </w:rPr>
        <w:t xml:space="preserve">” in the US. </w:t>
      </w:r>
      <w:r w:rsidR="00761FEB" w:rsidRPr="005C2179">
        <w:rPr>
          <w:kern w:val="2"/>
          <w:sz w:val="20"/>
        </w:rPr>
        <w:t>Third-</w:t>
      </w:r>
      <w:r w:rsidR="003123AA" w:rsidRPr="005C2179">
        <w:rPr>
          <w:kern w:val="2"/>
          <w:sz w:val="20"/>
        </w:rPr>
        <w:t>party campaign</w:t>
      </w:r>
      <w:r w:rsidR="000D1DB6" w:rsidRPr="005C2179">
        <w:rPr>
          <w:kern w:val="2"/>
          <w:sz w:val="20"/>
        </w:rPr>
        <w:t xml:space="preserve"> activities sometimes</w:t>
      </w:r>
      <w:r w:rsidR="003123AA" w:rsidRPr="005C2179">
        <w:rPr>
          <w:kern w:val="2"/>
          <w:sz w:val="20"/>
        </w:rPr>
        <w:t xml:space="preserve"> expressly support or oppose a candidate or </w:t>
      </w:r>
      <w:r w:rsidR="00761FEB" w:rsidRPr="005C2179">
        <w:rPr>
          <w:kern w:val="2"/>
          <w:sz w:val="20"/>
        </w:rPr>
        <w:t>party. In other instances</w:t>
      </w:r>
      <w:r w:rsidR="000D1DB6" w:rsidRPr="005C2179">
        <w:rPr>
          <w:kern w:val="2"/>
          <w:sz w:val="20"/>
        </w:rPr>
        <w:t>, third parties advertise about an issue associated with a</w:t>
      </w:r>
      <w:r w:rsidR="00F03B75" w:rsidRPr="005C2179">
        <w:rPr>
          <w:kern w:val="2"/>
          <w:sz w:val="20"/>
        </w:rPr>
        <w:t xml:space="preserve"> candidate or political party</w:t>
      </w:r>
      <w:r w:rsidR="000D1DB6" w:rsidRPr="005C2179">
        <w:rPr>
          <w:kern w:val="2"/>
          <w:sz w:val="20"/>
        </w:rPr>
        <w:t>, often termed “issue advertising</w:t>
      </w:r>
      <w:r w:rsidR="001B5D7C" w:rsidRPr="005C2179">
        <w:rPr>
          <w:kern w:val="2"/>
          <w:sz w:val="20"/>
        </w:rPr>
        <w:t>.</w:t>
      </w:r>
      <w:r w:rsidR="000D1DB6" w:rsidRPr="005C2179">
        <w:rPr>
          <w:kern w:val="2"/>
          <w:sz w:val="20"/>
        </w:rPr>
        <w:t>”</w:t>
      </w:r>
      <w:r w:rsidR="00F03B75" w:rsidRPr="005C2179">
        <w:rPr>
          <w:kern w:val="2"/>
          <w:sz w:val="20"/>
        </w:rPr>
        <w:t xml:space="preserve"> </w:t>
      </w:r>
      <w:r w:rsidR="00256F9A" w:rsidRPr="005C2179">
        <w:rPr>
          <w:kern w:val="2"/>
          <w:sz w:val="20"/>
        </w:rPr>
        <w:t>Third-party campaign</w:t>
      </w:r>
      <w:r w:rsidR="000D1DB6" w:rsidRPr="005C2179">
        <w:rPr>
          <w:kern w:val="2"/>
          <w:sz w:val="20"/>
        </w:rPr>
        <w:t>ing can be</w:t>
      </w:r>
      <w:r w:rsidR="00256F9A" w:rsidRPr="005C2179">
        <w:rPr>
          <w:kern w:val="2"/>
          <w:sz w:val="20"/>
        </w:rPr>
        <w:t xml:space="preserve"> entirely independent from parties and candidates</w:t>
      </w:r>
      <w:r w:rsidR="000C056D" w:rsidRPr="005C2179">
        <w:rPr>
          <w:kern w:val="2"/>
          <w:sz w:val="20"/>
        </w:rPr>
        <w:t>,</w:t>
      </w:r>
      <w:r w:rsidR="00761FEB" w:rsidRPr="005C2179">
        <w:rPr>
          <w:kern w:val="2"/>
          <w:sz w:val="20"/>
        </w:rPr>
        <w:t xml:space="preserve"> or third parties may</w:t>
      </w:r>
      <w:r w:rsidR="00256F9A" w:rsidRPr="005C2179">
        <w:rPr>
          <w:kern w:val="2"/>
          <w:sz w:val="20"/>
        </w:rPr>
        <w:t xml:space="preserve"> </w:t>
      </w:r>
      <w:r w:rsidR="000C056D" w:rsidRPr="005C2179">
        <w:rPr>
          <w:kern w:val="2"/>
          <w:sz w:val="20"/>
        </w:rPr>
        <w:t xml:space="preserve">work </w:t>
      </w:r>
      <w:r w:rsidR="00256F9A" w:rsidRPr="005C2179">
        <w:rPr>
          <w:kern w:val="2"/>
          <w:sz w:val="20"/>
        </w:rPr>
        <w:t>“in the shadow of political parties” or “in close concert with them.”</w:t>
      </w:r>
      <w:r w:rsidR="00256F9A" w:rsidRPr="005C2179">
        <w:rPr>
          <w:rStyle w:val="FootnoteReference"/>
          <w:kern w:val="2"/>
          <w:sz w:val="20"/>
        </w:rPr>
        <w:footnoteReference w:id="7"/>
      </w:r>
      <w:r w:rsidR="00256F9A" w:rsidRPr="005C2179">
        <w:rPr>
          <w:kern w:val="2"/>
          <w:sz w:val="20"/>
        </w:rPr>
        <w:t xml:space="preserve"> </w:t>
      </w:r>
    </w:p>
    <w:p w14:paraId="323611BE" w14:textId="24753FD9" w:rsidR="00415A91" w:rsidRPr="005C2179" w:rsidRDefault="00415A91" w:rsidP="00BF63B6">
      <w:pPr>
        <w:pStyle w:val="Heading2"/>
        <w:rPr>
          <w:kern w:val="2"/>
          <w:sz w:val="24"/>
        </w:rPr>
      </w:pPr>
      <w:r w:rsidRPr="005C2179">
        <w:rPr>
          <w:kern w:val="2"/>
          <w:sz w:val="24"/>
        </w:rPr>
        <w:t>Self-funding</w:t>
      </w:r>
    </w:p>
    <w:p w14:paraId="5F538136" w14:textId="77777777" w:rsidR="00415A91" w:rsidRPr="005C2179" w:rsidRDefault="00415A91" w:rsidP="00330F4B">
      <w:pPr>
        <w:rPr>
          <w:kern w:val="2"/>
          <w:sz w:val="20"/>
        </w:rPr>
      </w:pPr>
      <w:r w:rsidRPr="005C2179">
        <w:rPr>
          <w:kern w:val="2"/>
          <w:sz w:val="20"/>
        </w:rPr>
        <w:t>Wealthy candidates for public office may</w:t>
      </w:r>
      <w:r w:rsidR="00761FEB" w:rsidRPr="005C2179">
        <w:rPr>
          <w:kern w:val="2"/>
          <w:sz w:val="20"/>
        </w:rPr>
        <w:t xml:space="preserve"> wish to</w:t>
      </w:r>
      <w:r w:rsidRPr="005C2179">
        <w:rPr>
          <w:kern w:val="2"/>
          <w:sz w:val="20"/>
        </w:rPr>
        <w:t xml:space="preserve"> finance their own campaigns</w:t>
      </w:r>
      <w:r w:rsidR="006A590A" w:rsidRPr="005C2179">
        <w:rPr>
          <w:kern w:val="2"/>
          <w:sz w:val="20"/>
        </w:rPr>
        <w:t xml:space="preserve"> with</w:t>
      </w:r>
      <w:r w:rsidR="00DF0F46" w:rsidRPr="005C2179">
        <w:rPr>
          <w:kern w:val="2"/>
          <w:sz w:val="20"/>
        </w:rPr>
        <w:t xml:space="preserve"> personal resources</w:t>
      </w:r>
      <w:r w:rsidRPr="005C2179">
        <w:rPr>
          <w:kern w:val="2"/>
          <w:sz w:val="20"/>
        </w:rPr>
        <w:t>.</w:t>
      </w:r>
      <w:r w:rsidR="00DF0F46" w:rsidRPr="005C2179">
        <w:rPr>
          <w:kern w:val="2"/>
          <w:sz w:val="20"/>
        </w:rPr>
        <w:t xml:space="preserve"> Canada imposes limits on candidate self-funding,</w:t>
      </w:r>
      <w:r w:rsidR="00C37BAD" w:rsidRPr="005C2179">
        <w:rPr>
          <w:rStyle w:val="FootnoteReference"/>
          <w:kern w:val="2"/>
          <w:sz w:val="20"/>
        </w:rPr>
        <w:footnoteReference w:id="8"/>
      </w:r>
      <w:r w:rsidR="00DF0F46" w:rsidRPr="005C2179">
        <w:rPr>
          <w:kern w:val="2"/>
          <w:sz w:val="20"/>
        </w:rPr>
        <w:t xml:space="preserve"> but </w:t>
      </w:r>
      <w:r w:rsidRPr="005C2179">
        <w:rPr>
          <w:kern w:val="2"/>
          <w:sz w:val="20"/>
        </w:rPr>
        <w:t xml:space="preserve">in the US, </w:t>
      </w:r>
      <w:r w:rsidR="00DF0F46" w:rsidRPr="005C2179">
        <w:rPr>
          <w:kern w:val="2"/>
          <w:sz w:val="20"/>
        </w:rPr>
        <w:t>jurisprudence on freedom of speech precludes such limits.</w:t>
      </w:r>
      <w:r w:rsidR="00761FEB" w:rsidRPr="005C2179">
        <w:rPr>
          <w:rStyle w:val="FootnoteReference"/>
          <w:kern w:val="2"/>
          <w:sz w:val="20"/>
        </w:rPr>
        <w:footnoteReference w:id="9"/>
      </w:r>
      <w:r w:rsidRPr="005C2179">
        <w:rPr>
          <w:kern w:val="2"/>
          <w:sz w:val="20"/>
        </w:rPr>
        <w:t xml:space="preserve"> </w:t>
      </w:r>
    </w:p>
    <w:p w14:paraId="2190D0A2" w14:textId="411F3C20" w:rsidR="001B6470" w:rsidRPr="005C2179" w:rsidRDefault="001B6470" w:rsidP="00A8357B">
      <w:pPr>
        <w:pStyle w:val="Heading1"/>
        <w:rPr>
          <w:sz w:val="28"/>
        </w:rPr>
      </w:pPr>
      <w:bookmarkStart w:id="5" w:name="_Toc503443953"/>
      <w:bookmarkStart w:id="6" w:name="_Toc509569391"/>
      <w:r w:rsidRPr="005C2179">
        <w:rPr>
          <w:sz w:val="28"/>
        </w:rPr>
        <w:t xml:space="preserve">Overview of </w:t>
      </w:r>
      <w:r w:rsidR="0063450D" w:rsidRPr="005C2179">
        <w:rPr>
          <w:sz w:val="28"/>
        </w:rPr>
        <w:t>Types of Campaign Finance R</w:t>
      </w:r>
      <w:r w:rsidRPr="005C2179">
        <w:rPr>
          <w:sz w:val="28"/>
        </w:rPr>
        <w:t>egulation</w:t>
      </w:r>
      <w:bookmarkEnd w:id="5"/>
      <w:bookmarkEnd w:id="6"/>
    </w:p>
    <w:p w14:paraId="4BA08C6D" w14:textId="77777777" w:rsidR="00DD4FD0" w:rsidRPr="005C2179" w:rsidRDefault="00DD4FD0" w:rsidP="00330F4B">
      <w:pPr>
        <w:rPr>
          <w:kern w:val="2"/>
          <w:sz w:val="20"/>
        </w:rPr>
      </w:pPr>
      <w:r w:rsidRPr="005C2179">
        <w:rPr>
          <w:kern w:val="2"/>
          <w:sz w:val="20"/>
        </w:rPr>
        <w:t xml:space="preserve">In this section, I will describe </w:t>
      </w:r>
      <w:r w:rsidR="00A46F40" w:rsidRPr="005C2179">
        <w:rPr>
          <w:kern w:val="2"/>
          <w:sz w:val="20"/>
        </w:rPr>
        <w:t xml:space="preserve">the </w:t>
      </w:r>
      <w:r w:rsidR="001D494B" w:rsidRPr="005C2179">
        <w:rPr>
          <w:kern w:val="2"/>
          <w:sz w:val="20"/>
        </w:rPr>
        <w:t>tools used to regulate</w:t>
      </w:r>
      <w:r w:rsidRPr="005C2179">
        <w:rPr>
          <w:kern w:val="2"/>
          <w:sz w:val="20"/>
        </w:rPr>
        <w:t xml:space="preserve"> campaign finance. The regulatory approaches</w:t>
      </w:r>
      <w:r w:rsidR="001D494B" w:rsidRPr="005C2179">
        <w:rPr>
          <w:kern w:val="2"/>
          <w:sz w:val="20"/>
        </w:rPr>
        <w:t xml:space="preserve"> described below are often</w:t>
      </w:r>
      <w:r w:rsidRPr="005C2179">
        <w:rPr>
          <w:kern w:val="2"/>
          <w:sz w:val="20"/>
        </w:rPr>
        <w:t xml:space="preserve"> applied not only to general elections but also to nomination contests, leadership campaigns, and referendums.</w:t>
      </w:r>
    </w:p>
    <w:p w14:paraId="69380690" w14:textId="77777777" w:rsidR="00DD4FD0" w:rsidRPr="005C2179" w:rsidRDefault="0063450D" w:rsidP="00330F4B">
      <w:pPr>
        <w:rPr>
          <w:kern w:val="2"/>
          <w:sz w:val="20"/>
        </w:rPr>
      </w:pPr>
      <w:r w:rsidRPr="005C2179">
        <w:rPr>
          <w:kern w:val="2"/>
          <w:sz w:val="20"/>
        </w:rPr>
        <w:t>Campaign finance regulation</w:t>
      </w:r>
      <w:r w:rsidR="00461AEE" w:rsidRPr="005C2179">
        <w:rPr>
          <w:kern w:val="2"/>
          <w:sz w:val="20"/>
        </w:rPr>
        <w:t xml:space="preserve"> should </w:t>
      </w:r>
      <w:r w:rsidR="00F72754" w:rsidRPr="005C2179">
        <w:rPr>
          <w:kern w:val="2"/>
          <w:sz w:val="20"/>
        </w:rPr>
        <w:t>be complemented by other laws promoting integrity in politics, such as rules on lobbying, conflict of interes</w:t>
      </w:r>
      <w:r w:rsidR="00461AEE" w:rsidRPr="005C2179">
        <w:rPr>
          <w:kern w:val="2"/>
          <w:sz w:val="20"/>
        </w:rPr>
        <w:t>t, and whistleblower protection</w:t>
      </w:r>
      <w:r w:rsidR="00F72754" w:rsidRPr="005C2179">
        <w:rPr>
          <w:kern w:val="2"/>
          <w:sz w:val="20"/>
        </w:rPr>
        <w:t>.</w:t>
      </w:r>
      <w:r w:rsidR="006833EA" w:rsidRPr="005C2179">
        <w:rPr>
          <w:rStyle w:val="FootnoteReference"/>
          <w:kern w:val="2"/>
          <w:sz w:val="20"/>
        </w:rPr>
        <w:footnoteReference w:id="10"/>
      </w:r>
      <w:r w:rsidR="00F72754" w:rsidRPr="005C2179">
        <w:rPr>
          <w:kern w:val="2"/>
          <w:sz w:val="20"/>
        </w:rPr>
        <w:t xml:space="preserve"> Without these rules, the</w:t>
      </w:r>
      <w:r w:rsidR="009C416E" w:rsidRPr="005C2179">
        <w:rPr>
          <w:kern w:val="2"/>
          <w:sz w:val="20"/>
        </w:rPr>
        <w:t xml:space="preserve"> improper influence of money could</w:t>
      </w:r>
      <w:r w:rsidRPr="005C2179">
        <w:rPr>
          <w:kern w:val="2"/>
          <w:sz w:val="20"/>
        </w:rPr>
        <w:t xml:space="preserve"> simply</w:t>
      </w:r>
      <w:r w:rsidR="00F72754" w:rsidRPr="005C2179">
        <w:rPr>
          <w:kern w:val="2"/>
          <w:sz w:val="20"/>
        </w:rPr>
        <w:t xml:space="preserve"> be redirected </w:t>
      </w:r>
      <w:r w:rsidR="00461AEE" w:rsidRPr="005C2179">
        <w:rPr>
          <w:kern w:val="2"/>
          <w:sz w:val="20"/>
        </w:rPr>
        <w:t xml:space="preserve">from campaign finance </w:t>
      </w:r>
      <w:r w:rsidR="00F72754" w:rsidRPr="005C2179">
        <w:rPr>
          <w:kern w:val="2"/>
          <w:sz w:val="20"/>
        </w:rPr>
        <w:t xml:space="preserve">to </w:t>
      </w:r>
      <w:r w:rsidR="00461AEE" w:rsidRPr="005C2179">
        <w:rPr>
          <w:kern w:val="2"/>
          <w:sz w:val="20"/>
        </w:rPr>
        <w:t xml:space="preserve">other </w:t>
      </w:r>
      <w:r w:rsidR="00F72754" w:rsidRPr="005C2179">
        <w:rPr>
          <w:kern w:val="2"/>
          <w:sz w:val="20"/>
        </w:rPr>
        <w:t>activities like lobbying.</w:t>
      </w:r>
      <w:r w:rsidR="00F72754" w:rsidRPr="005C2179">
        <w:rPr>
          <w:rStyle w:val="FootnoteReference"/>
          <w:kern w:val="2"/>
          <w:sz w:val="20"/>
        </w:rPr>
        <w:footnoteReference w:id="11"/>
      </w:r>
      <w:r w:rsidR="00DD4FD0" w:rsidRPr="005C2179">
        <w:rPr>
          <w:kern w:val="2"/>
          <w:sz w:val="20"/>
        </w:rPr>
        <w:t xml:space="preserve"> </w:t>
      </w:r>
    </w:p>
    <w:p w14:paraId="2560C1C4" w14:textId="66527EB9" w:rsidR="004F60FB" w:rsidRPr="005C2179" w:rsidRDefault="004F60FB" w:rsidP="00BF63B6">
      <w:pPr>
        <w:pStyle w:val="Heading2"/>
        <w:rPr>
          <w:kern w:val="2"/>
          <w:sz w:val="24"/>
        </w:rPr>
      </w:pPr>
      <w:r w:rsidRPr="005C2179">
        <w:rPr>
          <w:kern w:val="2"/>
          <w:sz w:val="24"/>
        </w:rPr>
        <w:t>Transparency Requirements</w:t>
      </w:r>
    </w:p>
    <w:p w14:paraId="0BF654EC" w14:textId="77777777" w:rsidR="007A78B3" w:rsidRPr="005C2179" w:rsidRDefault="004F60FB" w:rsidP="00330F4B">
      <w:pPr>
        <w:rPr>
          <w:kern w:val="2"/>
          <w:sz w:val="20"/>
        </w:rPr>
      </w:pPr>
      <w:r w:rsidRPr="005C2179">
        <w:rPr>
          <w:kern w:val="2"/>
          <w:sz w:val="20"/>
        </w:rPr>
        <w:t>Justice Brandeis wrote</w:t>
      </w:r>
      <w:r w:rsidR="00F03B75" w:rsidRPr="005C2179">
        <w:rPr>
          <w:kern w:val="2"/>
          <w:sz w:val="20"/>
        </w:rPr>
        <w:t xml:space="preserve"> in 1913 that “[s]unlight is said to be the best of disinfectants; electric light the most efficient policeman.”</w:t>
      </w:r>
      <w:r w:rsidR="00F03B75" w:rsidRPr="005C2179">
        <w:rPr>
          <w:rStyle w:val="FootnoteReference"/>
          <w:kern w:val="2"/>
          <w:sz w:val="20"/>
        </w:rPr>
        <w:footnoteReference w:id="12"/>
      </w:r>
      <w:r w:rsidR="0092790D" w:rsidRPr="005C2179">
        <w:rPr>
          <w:kern w:val="2"/>
          <w:sz w:val="20"/>
        </w:rPr>
        <w:t xml:space="preserve"> </w:t>
      </w:r>
      <w:r w:rsidR="00212B25" w:rsidRPr="005C2179">
        <w:rPr>
          <w:kern w:val="2"/>
          <w:sz w:val="20"/>
        </w:rPr>
        <w:t>Campaign finance</w:t>
      </w:r>
      <w:r w:rsidR="00E02AB7" w:rsidRPr="005C2179">
        <w:rPr>
          <w:kern w:val="2"/>
          <w:sz w:val="20"/>
        </w:rPr>
        <w:t xml:space="preserve"> regimes</w:t>
      </w:r>
      <w:r w:rsidR="00764E57" w:rsidRPr="005C2179">
        <w:rPr>
          <w:kern w:val="2"/>
          <w:sz w:val="20"/>
        </w:rPr>
        <w:t xml:space="preserve"> often attempt</w:t>
      </w:r>
      <w:r w:rsidR="00212B25" w:rsidRPr="005C2179">
        <w:rPr>
          <w:kern w:val="2"/>
          <w:sz w:val="20"/>
        </w:rPr>
        <w:t xml:space="preserve"> to prevent corruption through </w:t>
      </w:r>
      <w:r w:rsidR="00A54D88" w:rsidRPr="005C2179">
        <w:rPr>
          <w:kern w:val="2"/>
          <w:sz w:val="20"/>
        </w:rPr>
        <w:t xml:space="preserve">the </w:t>
      </w:r>
      <w:r w:rsidR="00212B25" w:rsidRPr="005C2179">
        <w:rPr>
          <w:kern w:val="2"/>
          <w:sz w:val="20"/>
        </w:rPr>
        <w:t xml:space="preserve">disclosure </w:t>
      </w:r>
      <w:r w:rsidR="00A54D88" w:rsidRPr="005C2179">
        <w:rPr>
          <w:kern w:val="2"/>
          <w:sz w:val="20"/>
        </w:rPr>
        <w:t>of</w:t>
      </w:r>
      <w:r w:rsidR="00212B25" w:rsidRPr="005C2179">
        <w:rPr>
          <w:kern w:val="2"/>
          <w:sz w:val="20"/>
        </w:rPr>
        <w:t xml:space="preserve"> political contributions and spending</w:t>
      </w:r>
      <w:r w:rsidR="00AC58A7" w:rsidRPr="005C2179">
        <w:rPr>
          <w:kern w:val="2"/>
          <w:sz w:val="20"/>
        </w:rPr>
        <w:t xml:space="preserve">. </w:t>
      </w:r>
      <w:r w:rsidR="00A75065" w:rsidRPr="005C2179">
        <w:rPr>
          <w:kern w:val="2"/>
          <w:sz w:val="20"/>
        </w:rPr>
        <w:t xml:space="preserve">Disclosure may </w:t>
      </w:r>
      <w:r w:rsidR="006553DE" w:rsidRPr="005C2179">
        <w:rPr>
          <w:kern w:val="2"/>
          <w:sz w:val="20"/>
        </w:rPr>
        <w:t xml:space="preserve">discourage large donations and </w:t>
      </w:r>
      <w:r w:rsidR="00A54D14" w:rsidRPr="005C2179">
        <w:rPr>
          <w:kern w:val="2"/>
          <w:sz w:val="20"/>
        </w:rPr>
        <w:t xml:space="preserve">deter </w:t>
      </w:r>
      <w:r w:rsidR="00A75065" w:rsidRPr="005C2179">
        <w:rPr>
          <w:kern w:val="2"/>
          <w:sz w:val="20"/>
        </w:rPr>
        <w:t xml:space="preserve">politicians from rewarding donors </w:t>
      </w:r>
      <w:r w:rsidR="0069527D" w:rsidRPr="005C2179">
        <w:rPr>
          <w:kern w:val="2"/>
          <w:sz w:val="20"/>
        </w:rPr>
        <w:t xml:space="preserve">or supportive third-party campaigners </w:t>
      </w:r>
      <w:r w:rsidR="00A75065" w:rsidRPr="005C2179">
        <w:rPr>
          <w:kern w:val="2"/>
          <w:sz w:val="20"/>
        </w:rPr>
        <w:t>with favours.</w:t>
      </w:r>
      <w:r w:rsidR="00285366" w:rsidRPr="005C2179">
        <w:rPr>
          <w:rStyle w:val="FootnoteReference"/>
          <w:kern w:val="2"/>
          <w:sz w:val="20"/>
        </w:rPr>
        <w:footnoteReference w:id="13"/>
      </w:r>
      <w:r w:rsidR="00A75065" w:rsidRPr="005C2179">
        <w:rPr>
          <w:kern w:val="2"/>
          <w:sz w:val="20"/>
        </w:rPr>
        <w:t xml:space="preserve"> </w:t>
      </w:r>
      <w:r w:rsidR="00A54D14" w:rsidRPr="005C2179">
        <w:rPr>
          <w:kern w:val="2"/>
          <w:sz w:val="20"/>
        </w:rPr>
        <w:t>Disclosure</w:t>
      </w:r>
      <w:r w:rsidR="00F03B75" w:rsidRPr="005C2179">
        <w:rPr>
          <w:kern w:val="2"/>
          <w:sz w:val="20"/>
        </w:rPr>
        <w:t xml:space="preserve"> </w:t>
      </w:r>
      <w:r w:rsidR="0069527D" w:rsidRPr="005C2179">
        <w:rPr>
          <w:kern w:val="2"/>
          <w:sz w:val="20"/>
        </w:rPr>
        <w:t xml:space="preserve">of contributions </w:t>
      </w:r>
      <w:r w:rsidR="00D436B9" w:rsidRPr="005C2179">
        <w:rPr>
          <w:kern w:val="2"/>
          <w:sz w:val="20"/>
        </w:rPr>
        <w:t xml:space="preserve">and third-party spending </w:t>
      </w:r>
      <w:r w:rsidR="0069527D" w:rsidRPr="005C2179">
        <w:rPr>
          <w:kern w:val="2"/>
          <w:sz w:val="20"/>
        </w:rPr>
        <w:t xml:space="preserve">also </w:t>
      </w:r>
      <w:r w:rsidR="00AC08E7" w:rsidRPr="005C2179">
        <w:rPr>
          <w:kern w:val="2"/>
          <w:sz w:val="20"/>
        </w:rPr>
        <w:t xml:space="preserve">helps to facilitate </w:t>
      </w:r>
      <w:r w:rsidR="00F03B75" w:rsidRPr="005C2179">
        <w:rPr>
          <w:kern w:val="2"/>
          <w:sz w:val="20"/>
        </w:rPr>
        <w:t xml:space="preserve">informed voting, as </w:t>
      </w:r>
      <w:r w:rsidR="00910E5F" w:rsidRPr="005C2179">
        <w:rPr>
          <w:kern w:val="2"/>
          <w:sz w:val="20"/>
        </w:rPr>
        <w:t>awareness</w:t>
      </w:r>
      <w:r w:rsidR="00F03B75" w:rsidRPr="005C2179">
        <w:rPr>
          <w:kern w:val="2"/>
          <w:sz w:val="20"/>
        </w:rPr>
        <w:t xml:space="preserve"> of the “interested money behind a candidate may give voters insight into what interests the candidate will promote if elected</w:t>
      </w:r>
      <w:r w:rsidR="00DE52E1" w:rsidRPr="005C2179">
        <w:rPr>
          <w:kern w:val="2"/>
          <w:sz w:val="20"/>
        </w:rPr>
        <w:t>.</w:t>
      </w:r>
      <w:r w:rsidR="00F03B75" w:rsidRPr="005C2179">
        <w:rPr>
          <w:kern w:val="2"/>
          <w:sz w:val="20"/>
        </w:rPr>
        <w:t>”</w:t>
      </w:r>
      <w:r w:rsidR="00F03B75" w:rsidRPr="005C2179">
        <w:rPr>
          <w:rStyle w:val="FootnoteReference"/>
          <w:kern w:val="2"/>
          <w:sz w:val="20"/>
        </w:rPr>
        <w:footnoteReference w:id="14"/>
      </w:r>
      <w:r w:rsidR="007E4453" w:rsidRPr="005C2179">
        <w:rPr>
          <w:kern w:val="2"/>
          <w:sz w:val="20"/>
        </w:rPr>
        <w:t xml:space="preserve"> </w:t>
      </w:r>
      <w:r w:rsidR="00764E57" w:rsidRPr="005C2179">
        <w:rPr>
          <w:kern w:val="2"/>
          <w:sz w:val="20"/>
        </w:rPr>
        <w:t>Critics of disclosure requirements argue that</w:t>
      </w:r>
      <w:r w:rsidR="00D936C3" w:rsidRPr="005C2179">
        <w:rPr>
          <w:kern w:val="2"/>
          <w:sz w:val="20"/>
        </w:rPr>
        <w:t xml:space="preserve"> revealing</w:t>
      </w:r>
      <w:r w:rsidR="00764E57" w:rsidRPr="005C2179">
        <w:rPr>
          <w:kern w:val="2"/>
          <w:sz w:val="20"/>
        </w:rPr>
        <w:t xml:space="preserve"> the identity of donors represents an unacceptable incursion on donors’ privacy interest</w:t>
      </w:r>
      <w:r w:rsidR="007A78B3" w:rsidRPr="005C2179">
        <w:rPr>
          <w:kern w:val="2"/>
          <w:sz w:val="20"/>
        </w:rPr>
        <w:t>.</w:t>
      </w:r>
      <w:r w:rsidR="007A78B3" w:rsidRPr="005C2179">
        <w:rPr>
          <w:rStyle w:val="FootnoteReference"/>
          <w:kern w:val="2"/>
          <w:sz w:val="20"/>
        </w:rPr>
        <w:footnoteReference w:id="15"/>
      </w:r>
    </w:p>
    <w:p w14:paraId="0424979D" w14:textId="05D47D04" w:rsidR="00910E5F" w:rsidRPr="005C2179" w:rsidRDefault="00910E5F" w:rsidP="00BF63B6">
      <w:pPr>
        <w:pStyle w:val="Heading2"/>
        <w:rPr>
          <w:kern w:val="2"/>
          <w:sz w:val="24"/>
        </w:rPr>
      </w:pPr>
      <w:r w:rsidRPr="005C2179">
        <w:rPr>
          <w:kern w:val="2"/>
          <w:sz w:val="24"/>
        </w:rPr>
        <w:t xml:space="preserve">Spending and Contribution Limits </w:t>
      </w:r>
    </w:p>
    <w:p w14:paraId="0AD90627" w14:textId="77777777" w:rsidR="00D16D02" w:rsidRPr="005C2179" w:rsidRDefault="00D16D02" w:rsidP="00330F4B">
      <w:pPr>
        <w:rPr>
          <w:kern w:val="2"/>
          <w:sz w:val="20"/>
        </w:rPr>
      </w:pPr>
      <w:r w:rsidRPr="005C2179">
        <w:rPr>
          <w:kern w:val="2"/>
          <w:sz w:val="20"/>
        </w:rPr>
        <w:t>Campaig</w:t>
      </w:r>
      <w:r w:rsidR="003D045F" w:rsidRPr="005C2179">
        <w:rPr>
          <w:kern w:val="2"/>
          <w:sz w:val="20"/>
        </w:rPr>
        <w:t>n finance regimes may attempt to</w:t>
      </w:r>
      <w:r w:rsidR="00260B2C" w:rsidRPr="005C2179">
        <w:rPr>
          <w:kern w:val="2"/>
          <w:sz w:val="20"/>
        </w:rPr>
        <w:t xml:space="preserve"> curb</w:t>
      </w:r>
      <w:r w:rsidR="00891C67" w:rsidRPr="005C2179">
        <w:rPr>
          <w:kern w:val="2"/>
          <w:sz w:val="20"/>
        </w:rPr>
        <w:t xml:space="preserve"> demand for </w:t>
      </w:r>
      <w:r w:rsidR="003D045F" w:rsidRPr="005C2179">
        <w:rPr>
          <w:kern w:val="2"/>
          <w:sz w:val="20"/>
        </w:rPr>
        <w:t xml:space="preserve">political </w:t>
      </w:r>
      <w:r w:rsidR="00891C67" w:rsidRPr="005C2179">
        <w:rPr>
          <w:kern w:val="2"/>
          <w:sz w:val="20"/>
        </w:rPr>
        <w:t>money by imposing</w:t>
      </w:r>
      <w:r w:rsidRPr="005C2179">
        <w:rPr>
          <w:kern w:val="2"/>
          <w:sz w:val="20"/>
        </w:rPr>
        <w:t xml:space="preserve"> ceilings on spending by candidates, political partie</w:t>
      </w:r>
      <w:r w:rsidR="00891C67" w:rsidRPr="005C2179">
        <w:rPr>
          <w:kern w:val="2"/>
          <w:sz w:val="20"/>
        </w:rPr>
        <w:t>s, an</w:t>
      </w:r>
      <w:r w:rsidR="00275EF1" w:rsidRPr="005C2179">
        <w:rPr>
          <w:kern w:val="2"/>
          <w:sz w:val="20"/>
        </w:rPr>
        <w:t>d third par</w:t>
      </w:r>
      <w:r w:rsidR="00767561" w:rsidRPr="005C2179">
        <w:rPr>
          <w:kern w:val="2"/>
          <w:sz w:val="20"/>
        </w:rPr>
        <w:t>ties. The supply of political money</w:t>
      </w:r>
      <w:r w:rsidR="00260B2C" w:rsidRPr="005C2179">
        <w:rPr>
          <w:kern w:val="2"/>
          <w:sz w:val="20"/>
        </w:rPr>
        <w:t xml:space="preserve"> can be</w:t>
      </w:r>
      <w:r w:rsidR="00891C67" w:rsidRPr="005C2179">
        <w:rPr>
          <w:kern w:val="2"/>
          <w:sz w:val="20"/>
        </w:rPr>
        <w:t xml:space="preserve"> limited by imposing</w:t>
      </w:r>
      <w:r w:rsidRPr="005C2179">
        <w:rPr>
          <w:kern w:val="2"/>
          <w:sz w:val="20"/>
        </w:rPr>
        <w:t xml:space="preserve"> ce</w:t>
      </w:r>
      <w:r w:rsidR="003D045F" w:rsidRPr="005C2179">
        <w:rPr>
          <w:kern w:val="2"/>
          <w:sz w:val="20"/>
        </w:rPr>
        <w:t>ilings on donations</w:t>
      </w:r>
      <w:r w:rsidRPr="005C2179">
        <w:rPr>
          <w:kern w:val="2"/>
          <w:sz w:val="20"/>
        </w:rPr>
        <w:t xml:space="preserve">. </w:t>
      </w:r>
      <w:r w:rsidR="00AE39A2" w:rsidRPr="005C2179">
        <w:rPr>
          <w:kern w:val="2"/>
          <w:sz w:val="20"/>
        </w:rPr>
        <w:t xml:space="preserve">Donation caps </w:t>
      </w:r>
      <w:r w:rsidR="00DB7598" w:rsidRPr="005C2179">
        <w:rPr>
          <w:kern w:val="2"/>
          <w:sz w:val="20"/>
        </w:rPr>
        <w:t>address corruption and equality concerns by encouraging candidates</w:t>
      </w:r>
      <w:r w:rsidR="00C969F3" w:rsidRPr="005C2179">
        <w:rPr>
          <w:kern w:val="2"/>
          <w:sz w:val="20"/>
        </w:rPr>
        <w:t xml:space="preserve">, </w:t>
      </w:r>
      <w:r w:rsidR="00DB7598" w:rsidRPr="005C2179">
        <w:rPr>
          <w:kern w:val="2"/>
          <w:sz w:val="20"/>
        </w:rPr>
        <w:t>parties</w:t>
      </w:r>
      <w:r w:rsidR="00767561" w:rsidRPr="005C2179">
        <w:rPr>
          <w:kern w:val="2"/>
          <w:sz w:val="20"/>
        </w:rPr>
        <w:t>, and</w:t>
      </w:r>
      <w:r w:rsidR="00C969F3" w:rsidRPr="005C2179">
        <w:rPr>
          <w:kern w:val="2"/>
          <w:sz w:val="20"/>
        </w:rPr>
        <w:t xml:space="preserve"> third-party campaigners to seek small</w:t>
      </w:r>
      <w:r w:rsidR="00260B2C" w:rsidRPr="005C2179">
        <w:rPr>
          <w:kern w:val="2"/>
          <w:sz w:val="20"/>
        </w:rPr>
        <w:t xml:space="preserve"> donations from a broad</w:t>
      </w:r>
      <w:r w:rsidR="00DB7598" w:rsidRPr="005C2179">
        <w:rPr>
          <w:kern w:val="2"/>
          <w:sz w:val="20"/>
        </w:rPr>
        <w:t xml:space="preserve"> range of donors. </w:t>
      </w:r>
    </w:p>
    <w:p w14:paraId="42CDCEC6" w14:textId="43CCB4F4" w:rsidR="00275EF1" w:rsidRPr="005C2179" w:rsidRDefault="00275EF1" w:rsidP="00BF63B6">
      <w:pPr>
        <w:pStyle w:val="Heading2"/>
        <w:rPr>
          <w:kern w:val="2"/>
          <w:sz w:val="24"/>
        </w:rPr>
      </w:pPr>
      <w:r w:rsidRPr="005C2179">
        <w:rPr>
          <w:kern w:val="2"/>
          <w:sz w:val="24"/>
        </w:rPr>
        <w:t xml:space="preserve">Public Funding </w:t>
      </w:r>
    </w:p>
    <w:p w14:paraId="6C825C24" w14:textId="77777777" w:rsidR="00E91D22" w:rsidRPr="005C2179" w:rsidRDefault="00260B2C" w:rsidP="00330F4B">
      <w:pPr>
        <w:rPr>
          <w:kern w:val="2"/>
          <w:sz w:val="20"/>
        </w:rPr>
      </w:pPr>
      <w:r w:rsidRPr="005C2179">
        <w:rPr>
          <w:kern w:val="2"/>
          <w:sz w:val="20"/>
        </w:rPr>
        <w:t xml:space="preserve">Some campaign finance regimes </w:t>
      </w:r>
      <w:r w:rsidR="00A42517" w:rsidRPr="005C2179">
        <w:rPr>
          <w:kern w:val="2"/>
          <w:sz w:val="20"/>
        </w:rPr>
        <w:t xml:space="preserve">provide public funding to political parties and candidates. </w:t>
      </w:r>
      <w:r w:rsidR="000F6067" w:rsidRPr="005C2179">
        <w:rPr>
          <w:kern w:val="2"/>
          <w:sz w:val="20"/>
        </w:rPr>
        <w:t xml:space="preserve">Public funding is intended to dilute </w:t>
      </w:r>
      <w:r w:rsidR="008C1815" w:rsidRPr="005C2179">
        <w:rPr>
          <w:kern w:val="2"/>
          <w:sz w:val="20"/>
        </w:rPr>
        <w:t>the influence of wealthy supporters</w:t>
      </w:r>
      <w:r w:rsidR="00766778" w:rsidRPr="005C2179">
        <w:rPr>
          <w:kern w:val="2"/>
          <w:sz w:val="20"/>
        </w:rPr>
        <w:t xml:space="preserve"> and</w:t>
      </w:r>
      <w:r w:rsidR="00217F10" w:rsidRPr="005C2179">
        <w:rPr>
          <w:kern w:val="2"/>
          <w:sz w:val="20"/>
        </w:rPr>
        <w:t xml:space="preserve"> </w:t>
      </w:r>
      <w:r w:rsidR="00866EAF" w:rsidRPr="005C2179">
        <w:rPr>
          <w:kern w:val="2"/>
          <w:sz w:val="20"/>
        </w:rPr>
        <w:t>level the playing field for small or new parties,</w:t>
      </w:r>
      <w:r w:rsidR="00866EAF" w:rsidRPr="005C2179">
        <w:rPr>
          <w:rStyle w:val="FootnoteReference"/>
          <w:kern w:val="2"/>
          <w:sz w:val="20"/>
        </w:rPr>
        <w:footnoteReference w:id="16"/>
      </w:r>
      <w:r w:rsidR="00866EAF" w:rsidRPr="005C2179">
        <w:rPr>
          <w:kern w:val="2"/>
          <w:sz w:val="20"/>
        </w:rPr>
        <w:t xml:space="preserve"> although legislation sometimes favours large parties and incumbents by calibrating funding to electoral performance.</w:t>
      </w:r>
      <w:r w:rsidR="00866EAF" w:rsidRPr="005C2179">
        <w:rPr>
          <w:rStyle w:val="FootnoteReference"/>
          <w:kern w:val="2"/>
          <w:sz w:val="20"/>
        </w:rPr>
        <w:footnoteReference w:id="17"/>
      </w:r>
      <w:r w:rsidR="00866EAF" w:rsidRPr="005C2179">
        <w:rPr>
          <w:kern w:val="2"/>
          <w:sz w:val="20"/>
        </w:rPr>
        <w:t xml:space="preserve"> Public funding also compensates for falling party incomes and increasing campaign costs.</w:t>
      </w:r>
      <w:r w:rsidR="00866EAF" w:rsidRPr="005C2179">
        <w:rPr>
          <w:rStyle w:val="FootnoteReference"/>
          <w:kern w:val="2"/>
          <w:sz w:val="20"/>
        </w:rPr>
        <w:footnoteReference w:id="18"/>
      </w:r>
      <w:r w:rsidR="00866EAF" w:rsidRPr="005C2179">
        <w:rPr>
          <w:kern w:val="2"/>
          <w:sz w:val="20"/>
        </w:rPr>
        <w:t xml:space="preserve"> </w:t>
      </w:r>
      <w:r w:rsidR="00766778" w:rsidRPr="005C2179">
        <w:rPr>
          <w:kern w:val="2"/>
          <w:sz w:val="20"/>
        </w:rPr>
        <w:t>The cost of ele</w:t>
      </w:r>
      <w:r w:rsidR="00452212" w:rsidRPr="005C2179">
        <w:rPr>
          <w:kern w:val="2"/>
          <w:sz w:val="20"/>
        </w:rPr>
        <w:t xml:space="preserve">ction campaigns has skyrocketed </w:t>
      </w:r>
      <w:r w:rsidR="000A3A9C" w:rsidRPr="005C2179">
        <w:rPr>
          <w:kern w:val="2"/>
          <w:sz w:val="20"/>
        </w:rPr>
        <w:t>owing to</w:t>
      </w:r>
      <w:r w:rsidR="00766778" w:rsidRPr="005C2179">
        <w:rPr>
          <w:kern w:val="2"/>
          <w:sz w:val="20"/>
        </w:rPr>
        <w:t xml:space="preserve"> expensive mass media techniques and the professionalization of par</w:t>
      </w:r>
      <w:r w:rsidR="00C77F3E" w:rsidRPr="005C2179">
        <w:rPr>
          <w:kern w:val="2"/>
          <w:sz w:val="20"/>
        </w:rPr>
        <w:t>ties.</w:t>
      </w:r>
      <w:r w:rsidR="00214996" w:rsidRPr="005C2179">
        <w:rPr>
          <w:rStyle w:val="FootnoteReference"/>
          <w:kern w:val="2"/>
          <w:sz w:val="20"/>
        </w:rPr>
        <w:footnoteReference w:id="19"/>
      </w:r>
      <w:r w:rsidR="00C77F3E" w:rsidRPr="005C2179">
        <w:rPr>
          <w:kern w:val="2"/>
          <w:sz w:val="20"/>
        </w:rPr>
        <w:t xml:space="preserve"> Meanwhile, </w:t>
      </w:r>
      <w:r w:rsidR="008C1815" w:rsidRPr="005C2179">
        <w:rPr>
          <w:kern w:val="2"/>
          <w:sz w:val="20"/>
        </w:rPr>
        <w:t>revenues are declining</w:t>
      </w:r>
      <w:r w:rsidR="00452212" w:rsidRPr="005C2179">
        <w:rPr>
          <w:kern w:val="2"/>
          <w:sz w:val="20"/>
        </w:rPr>
        <w:t xml:space="preserve"> because of</w:t>
      </w:r>
      <w:r w:rsidR="00766778" w:rsidRPr="005C2179">
        <w:rPr>
          <w:kern w:val="2"/>
          <w:sz w:val="20"/>
        </w:rPr>
        <w:t xml:space="preserve"> falling </w:t>
      </w:r>
      <w:r w:rsidR="00916D2D" w:rsidRPr="005C2179">
        <w:rPr>
          <w:kern w:val="2"/>
          <w:sz w:val="20"/>
        </w:rPr>
        <w:t xml:space="preserve">party </w:t>
      </w:r>
      <w:r w:rsidR="00766778" w:rsidRPr="005C2179">
        <w:rPr>
          <w:kern w:val="2"/>
          <w:sz w:val="20"/>
        </w:rPr>
        <w:t>membership.</w:t>
      </w:r>
      <w:r w:rsidR="00766778" w:rsidRPr="005C2179">
        <w:rPr>
          <w:rStyle w:val="FootnoteReference"/>
          <w:kern w:val="2"/>
          <w:sz w:val="20"/>
        </w:rPr>
        <w:footnoteReference w:id="20"/>
      </w:r>
      <w:r w:rsidR="00766778" w:rsidRPr="005C2179">
        <w:rPr>
          <w:kern w:val="2"/>
          <w:sz w:val="20"/>
        </w:rPr>
        <w:t xml:space="preserve"> </w:t>
      </w:r>
    </w:p>
    <w:p w14:paraId="6015C597" w14:textId="77777777" w:rsidR="00E02AB7" w:rsidRPr="005C2179" w:rsidRDefault="00E02AB7" w:rsidP="00330F4B">
      <w:pPr>
        <w:rPr>
          <w:kern w:val="2"/>
          <w:sz w:val="20"/>
        </w:rPr>
      </w:pPr>
      <w:r w:rsidRPr="005C2179">
        <w:rPr>
          <w:kern w:val="2"/>
          <w:sz w:val="20"/>
        </w:rPr>
        <w:t xml:space="preserve">Another means of reducing reliance on </w:t>
      </w:r>
      <w:r w:rsidR="001E5252" w:rsidRPr="005C2179">
        <w:rPr>
          <w:kern w:val="2"/>
          <w:sz w:val="20"/>
        </w:rPr>
        <w:t xml:space="preserve">large </w:t>
      </w:r>
      <w:r w:rsidRPr="005C2179">
        <w:rPr>
          <w:kern w:val="2"/>
          <w:sz w:val="20"/>
        </w:rPr>
        <w:t xml:space="preserve">donations is to </w:t>
      </w:r>
      <w:r w:rsidR="0061002D" w:rsidRPr="005C2179">
        <w:rPr>
          <w:kern w:val="2"/>
          <w:sz w:val="20"/>
        </w:rPr>
        <w:t>allocate</w:t>
      </w:r>
      <w:r w:rsidRPr="005C2179">
        <w:rPr>
          <w:kern w:val="2"/>
          <w:sz w:val="20"/>
        </w:rPr>
        <w:t xml:space="preserve"> </w:t>
      </w:r>
      <w:r w:rsidR="0061002D" w:rsidRPr="005C2179">
        <w:rPr>
          <w:kern w:val="2"/>
          <w:sz w:val="20"/>
        </w:rPr>
        <w:t xml:space="preserve">free </w:t>
      </w:r>
      <w:r w:rsidRPr="005C2179">
        <w:rPr>
          <w:kern w:val="2"/>
          <w:sz w:val="20"/>
        </w:rPr>
        <w:t>broadcasting</w:t>
      </w:r>
      <w:r w:rsidR="0061002D" w:rsidRPr="005C2179">
        <w:rPr>
          <w:kern w:val="2"/>
          <w:sz w:val="20"/>
        </w:rPr>
        <w:t xml:space="preserve"> time to political parties and candidates</w:t>
      </w:r>
      <w:r w:rsidRPr="005C2179">
        <w:rPr>
          <w:kern w:val="2"/>
          <w:sz w:val="20"/>
        </w:rPr>
        <w:t xml:space="preserve">. </w:t>
      </w:r>
      <w:r w:rsidR="00547B7A" w:rsidRPr="005C2179">
        <w:rPr>
          <w:kern w:val="2"/>
          <w:sz w:val="20"/>
        </w:rPr>
        <w:t>For example, t</w:t>
      </w:r>
      <w:r w:rsidR="009A0030" w:rsidRPr="005C2179">
        <w:rPr>
          <w:kern w:val="2"/>
          <w:sz w:val="20"/>
        </w:rPr>
        <w:t>he UK</w:t>
      </w:r>
      <w:r w:rsidR="00547B7A" w:rsidRPr="005C2179">
        <w:rPr>
          <w:kern w:val="2"/>
          <w:sz w:val="20"/>
        </w:rPr>
        <w:t xml:space="preserve"> </w:t>
      </w:r>
      <w:r w:rsidR="009A0030" w:rsidRPr="005C2179">
        <w:rPr>
          <w:kern w:val="2"/>
          <w:sz w:val="20"/>
        </w:rPr>
        <w:t xml:space="preserve">has </w:t>
      </w:r>
      <w:r w:rsidR="00547B7A" w:rsidRPr="005C2179">
        <w:rPr>
          <w:kern w:val="2"/>
          <w:sz w:val="20"/>
        </w:rPr>
        <w:t>imposed a blanket ban on paid political advertis</w:t>
      </w:r>
      <w:r w:rsidR="00BE3664" w:rsidRPr="005C2179">
        <w:rPr>
          <w:kern w:val="2"/>
          <w:sz w:val="20"/>
        </w:rPr>
        <w:t>ing on television and radio and</w:t>
      </w:r>
      <w:r w:rsidR="00547B7A" w:rsidRPr="005C2179">
        <w:rPr>
          <w:kern w:val="2"/>
          <w:sz w:val="20"/>
        </w:rPr>
        <w:t xml:space="preserve"> provides free airtime to political parties during elections.</w:t>
      </w:r>
      <w:r w:rsidR="00214D6F" w:rsidRPr="005C2179">
        <w:rPr>
          <w:rStyle w:val="FootnoteReference"/>
          <w:kern w:val="2"/>
          <w:sz w:val="20"/>
        </w:rPr>
        <w:footnoteReference w:id="21"/>
      </w:r>
      <w:r w:rsidR="00547B7A" w:rsidRPr="005C2179">
        <w:rPr>
          <w:kern w:val="2"/>
          <w:sz w:val="20"/>
        </w:rPr>
        <w:t xml:space="preserve"> </w:t>
      </w:r>
      <w:r w:rsidR="001E5252" w:rsidRPr="005C2179">
        <w:rPr>
          <w:kern w:val="2"/>
          <w:sz w:val="20"/>
        </w:rPr>
        <w:t xml:space="preserve">The scheme aims </w:t>
      </w:r>
      <w:r w:rsidRPr="005C2179">
        <w:rPr>
          <w:kern w:val="2"/>
          <w:sz w:val="20"/>
        </w:rPr>
        <w:t xml:space="preserve">to reduce </w:t>
      </w:r>
      <w:r w:rsidR="009A0030" w:rsidRPr="005C2179">
        <w:rPr>
          <w:kern w:val="2"/>
          <w:sz w:val="20"/>
        </w:rPr>
        <w:t>demand for money during</w:t>
      </w:r>
      <w:r w:rsidRPr="005C2179">
        <w:rPr>
          <w:kern w:val="2"/>
          <w:sz w:val="20"/>
        </w:rPr>
        <w:t xml:space="preserve"> election campaigns, level the playing field between competitors, and prevent distortion of electoral debate by the wealthy.</w:t>
      </w:r>
      <w:r w:rsidR="00547B7A" w:rsidRPr="005C2179">
        <w:rPr>
          <w:rStyle w:val="FootnoteReference"/>
          <w:kern w:val="2"/>
          <w:sz w:val="20"/>
        </w:rPr>
        <w:footnoteReference w:id="22"/>
      </w:r>
      <w:r w:rsidR="00547B7A" w:rsidRPr="005C2179">
        <w:rPr>
          <w:kern w:val="2"/>
          <w:sz w:val="20"/>
        </w:rPr>
        <w:t xml:space="preserve"> </w:t>
      </w:r>
      <w:r w:rsidR="009A0030" w:rsidRPr="005C2179">
        <w:rPr>
          <w:kern w:val="2"/>
          <w:sz w:val="20"/>
        </w:rPr>
        <w:t>The question remains whether such measures are</w:t>
      </w:r>
      <w:r w:rsidRPr="005C2179">
        <w:rPr>
          <w:kern w:val="2"/>
          <w:sz w:val="20"/>
        </w:rPr>
        <w:t xml:space="preserve"> becoming irrelevant in the age of digital campaigning. </w:t>
      </w:r>
    </w:p>
    <w:p w14:paraId="3E4A1D14" w14:textId="77777777" w:rsidR="00B01D30" w:rsidRPr="005C2179" w:rsidRDefault="00E02AB7" w:rsidP="00330F4B">
      <w:pPr>
        <w:rPr>
          <w:kern w:val="2"/>
          <w:sz w:val="20"/>
        </w:rPr>
      </w:pPr>
      <w:r w:rsidRPr="005C2179">
        <w:rPr>
          <w:kern w:val="2"/>
          <w:sz w:val="20"/>
        </w:rPr>
        <w:t xml:space="preserve">Opponents of </w:t>
      </w:r>
      <w:r w:rsidR="0061002D" w:rsidRPr="005C2179">
        <w:rPr>
          <w:kern w:val="2"/>
          <w:sz w:val="20"/>
        </w:rPr>
        <w:t xml:space="preserve">public funding </w:t>
      </w:r>
      <w:r w:rsidR="00B01D30" w:rsidRPr="005C2179">
        <w:rPr>
          <w:kern w:val="2"/>
          <w:sz w:val="20"/>
        </w:rPr>
        <w:t>argue that taxpayers should not be forced to fun</w:t>
      </w:r>
      <w:r w:rsidR="00E34983" w:rsidRPr="005C2179">
        <w:rPr>
          <w:kern w:val="2"/>
          <w:sz w:val="20"/>
        </w:rPr>
        <w:t>d parties with whom they dis</w:t>
      </w:r>
      <w:r w:rsidR="00B01D30" w:rsidRPr="005C2179">
        <w:rPr>
          <w:kern w:val="2"/>
          <w:sz w:val="20"/>
        </w:rPr>
        <w:t>agree.</w:t>
      </w:r>
      <w:r w:rsidR="00B01D30" w:rsidRPr="005C2179">
        <w:rPr>
          <w:rStyle w:val="FootnoteReference"/>
          <w:kern w:val="2"/>
          <w:sz w:val="20"/>
        </w:rPr>
        <w:footnoteReference w:id="23"/>
      </w:r>
      <w:r w:rsidRPr="005C2179">
        <w:rPr>
          <w:kern w:val="2"/>
          <w:sz w:val="20"/>
        </w:rPr>
        <w:t xml:space="preserve"> They also point out </w:t>
      </w:r>
      <w:r w:rsidR="007E3825" w:rsidRPr="005C2179">
        <w:rPr>
          <w:kern w:val="2"/>
          <w:sz w:val="20"/>
        </w:rPr>
        <w:t>that public funding of</w:t>
      </w:r>
      <w:r w:rsidR="00B01D30" w:rsidRPr="005C2179">
        <w:rPr>
          <w:kern w:val="2"/>
          <w:sz w:val="20"/>
        </w:rPr>
        <w:t xml:space="preserve"> political parties diminishes the</w:t>
      </w:r>
      <w:r w:rsidR="007E3825" w:rsidRPr="005C2179">
        <w:rPr>
          <w:kern w:val="2"/>
          <w:sz w:val="20"/>
        </w:rPr>
        <w:t>ir</w:t>
      </w:r>
      <w:r w:rsidR="00B01D30" w:rsidRPr="005C2179">
        <w:rPr>
          <w:kern w:val="2"/>
          <w:sz w:val="20"/>
        </w:rPr>
        <w:t xml:space="preserve"> participatory character by replacing “labour and fund-raising efforts once provided by party members and interested citizens.”</w:t>
      </w:r>
      <w:r w:rsidR="00B01D30" w:rsidRPr="005C2179">
        <w:rPr>
          <w:rStyle w:val="FootnoteReference"/>
          <w:kern w:val="2"/>
          <w:sz w:val="20"/>
        </w:rPr>
        <w:footnoteReference w:id="24"/>
      </w:r>
      <w:r w:rsidR="002A1AC9" w:rsidRPr="005C2179">
        <w:rPr>
          <w:kern w:val="2"/>
          <w:sz w:val="20"/>
        </w:rPr>
        <w:t xml:space="preserve"> </w:t>
      </w:r>
    </w:p>
    <w:p w14:paraId="3C4A5F55" w14:textId="1F46DED1" w:rsidR="000E4098" w:rsidRPr="005C2179" w:rsidRDefault="00FD10DE" w:rsidP="00A8357B">
      <w:pPr>
        <w:pStyle w:val="Heading1"/>
        <w:rPr>
          <w:sz w:val="28"/>
        </w:rPr>
      </w:pPr>
      <w:bookmarkStart w:id="7" w:name="_Toc503443954"/>
      <w:bookmarkStart w:id="8" w:name="_Toc509569392"/>
      <w:r w:rsidRPr="005C2179">
        <w:rPr>
          <w:sz w:val="28"/>
        </w:rPr>
        <w:t xml:space="preserve">Rationales for </w:t>
      </w:r>
      <w:r w:rsidR="003823F5" w:rsidRPr="005C2179">
        <w:rPr>
          <w:sz w:val="28"/>
        </w:rPr>
        <w:t>campaign finance</w:t>
      </w:r>
      <w:r w:rsidRPr="005C2179">
        <w:rPr>
          <w:sz w:val="28"/>
        </w:rPr>
        <w:t xml:space="preserve"> regulation</w:t>
      </w:r>
      <w:bookmarkEnd w:id="7"/>
      <w:bookmarkEnd w:id="8"/>
    </w:p>
    <w:p w14:paraId="0C381C45" w14:textId="7CDEBA29" w:rsidR="003823F5" w:rsidRPr="005C2179" w:rsidRDefault="001C5EA4" w:rsidP="00BF63B6">
      <w:pPr>
        <w:pStyle w:val="Heading2"/>
        <w:rPr>
          <w:kern w:val="2"/>
          <w:sz w:val="24"/>
        </w:rPr>
      </w:pPr>
      <w:r w:rsidRPr="005C2179">
        <w:rPr>
          <w:kern w:val="2"/>
          <w:sz w:val="24"/>
        </w:rPr>
        <w:t>Corruption and the Appearance of C</w:t>
      </w:r>
      <w:r w:rsidR="003823F5" w:rsidRPr="005C2179">
        <w:rPr>
          <w:kern w:val="2"/>
          <w:sz w:val="24"/>
        </w:rPr>
        <w:t xml:space="preserve">orruption  </w:t>
      </w:r>
    </w:p>
    <w:p w14:paraId="5FA1351E" w14:textId="77777777" w:rsidR="00DA2754" w:rsidRPr="005C2179" w:rsidRDefault="00D94120" w:rsidP="00330F4B">
      <w:pPr>
        <w:rPr>
          <w:kern w:val="2"/>
          <w:sz w:val="20"/>
        </w:rPr>
      </w:pPr>
      <w:r w:rsidRPr="005C2179">
        <w:rPr>
          <w:kern w:val="2"/>
          <w:sz w:val="20"/>
        </w:rPr>
        <w:t>If</w:t>
      </w:r>
      <w:r w:rsidR="00EE6EBD" w:rsidRPr="005C2179">
        <w:rPr>
          <w:kern w:val="2"/>
          <w:sz w:val="20"/>
        </w:rPr>
        <w:t xml:space="preserve"> </w:t>
      </w:r>
      <w:r w:rsidR="002D727E" w:rsidRPr="005C2179">
        <w:rPr>
          <w:kern w:val="2"/>
          <w:sz w:val="20"/>
        </w:rPr>
        <w:t>an individual or entity</w:t>
      </w:r>
      <w:r w:rsidR="00EE6EBD" w:rsidRPr="005C2179">
        <w:rPr>
          <w:kern w:val="2"/>
          <w:sz w:val="20"/>
        </w:rPr>
        <w:t xml:space="preserve"> spend</w:t>
      </w:r>
      <w:r w:rsidR="002D727E" w:rsidRPr="005C2179">
        <w:rPr>
          <w:kern w:val="2"/>
          <w:sz w:val="20"/>
        </w:rPr>
        <w:t>s</w:t>
      </w:r>
      <w:r w:rsidR="00EE6EBD" w:rsidRPr="005C2179">
        <w:rPr>
          <w:kern w:val="2"/>
          <w:sz w:val="20"/>
        </w:rPr>
        <w:t xml:space="preserve"> large sums supporting</w:t>
      </w:r>
      <w:r w:rsidRPr="005C2179">
        <w:rPr>
          <w:kern w:val="2"/>
          <w:sz w:val="20"/>
        </w:rPr>
        <w:t xml:space="preserve"> a politician’s election campaign, the politician</w:t>
      </w:r>
      <w:r w:rsidR="00EE6EBD" w:rsidRPr="005C2179">
        <w:rPr>
          <w:kern w:val="2"/>
          <w:sz w:val="20"/>
        </w:rPr>
        <w:t xml:space="preserve"> </w:t>
      </w:r>
      <w:r w:rsidR="00991601" w:rsidRPr="005C2179">
        <w:rPr>
          <w:kern w:val="2"/>
          <w:sz w:val="20"/>
        </w:rPr>
        <w:t xml:space="preserve">may feel obliged </w:t>
      </w:r>
      <w:r w:rsidR="00E34983" w:rsidRPr="005C2179">
        <w:rPr>
          <w:kern w:val="2"/>
          <w:sz w:val="20"/>
        </w:rPr>
        <w:t>to repay the favour</w:t>
      </w:r>
      <w:r w:rsidR="00C42CE1" w:rsidRPr="005C2179">
        <w:rPr>
          <w:kern w:val="2"/>
          <w:sz w:val="20"/>
        </w:rPr>
        <w:t>. C</w:t>
      </w:r>
      <w:r w:rsidR="00EE6EBD" w:rsidRPr="005C2179">
        <w:rPr>
          <w:kern w:val="2"/>
          <w:sz w:val="20"/>
        </w:rPr>
        <w:t xml:space="preserve">orruption could come in the form of </w:t>
      </w:r>
      <w:r w:rsidR="00EE6EBD" w:rsidRPr="005C2179">
        <w:rPr>
          <w:i/>
          <w:kern w:val="2"/>
          <w:sz w:val="20"/>
        </w:rPr>
        <w:t>quid pro quos</w:t>
      </w:r>
      <w:r w:rsidR="00EE6EBD" w:rsidRPr="005C2179">
        <w:rPr>
          <w:kern w:val="2"/>
          <w:sz w:val="20"/>
        </w:rPr>
        <w:t xml:space="preserve">, such as the provision of contracts, </w:t>
      </w:r>
      <w:r w:rsidR="005E59BC" w:rsidRPr="005C2179">
        <w:rPr>
          <w:kern w:val="2"/>
          <w:sz w:val="20"/>
        </w:rPr>
        <w:t>licenses, or tax breaks</w:t>
      </w:r>
      <w:r w:rsidR="00EE6EBD" w:rsidRPr="005C2179">
        <w:rPr>
          <w:kern w:val="2"/>
          <w:sz w:val="20"/>
        </w:rPr>
        <w:t xml:space="preserve"> in exchange for large political donations.</w:t>
      </w:r>
      <w:r w:rsidR="00EE6EBD" w:rsidRPr="005C2179">
        <w:rPr>
          <w:rStyle w:val="FootnoteReference"/>
          <w:kern w:val="2"/>
          <w:sz w:val="20"/>
        </w:rPr>
        <w:footnoteReference w:id="25"/>
      </w:r>
      <w:r w:rsidR="00EE6EBD" w:rsidRPr="005C2179">
        <w:rPr>
          <w:kern w:val="2"/>
          <w:sz w:val="20"/>
        </w:rPr>
        <w:t xml:space="preserve"> Campaign financing may also </w:t>
      </w:r>
      <w:r w:rsidR="00F214A5" w:rsidRPr="005C2179">
        <w:rPr>
          <w:kern w:val="2"/>
          <w:sz w:val="20"/>
        </w:rPr>
        <w:t>produce</w:t>
      </w:r>
      <w:r w:rsidR="00EE6EBD" w:rsidRPr="005C2179">
        <w:rPr>
          <w:kern w:val="2"/>
          <w:sz w:val="20"/>
        </w:rPr>
        <w:t xml:space="preserve"> more subtle yet pernicious forms of corruption. </w:t>
      </w:r>
      <w:r w:rsidR="00FD7C74" w:rsidRPr="005C2179">
        <w:rPr>
          <w:kern w:val="2"/>
          <w:sz w:val="20"/>
        </w:rPr>
        <w:t xml:space="preserve">First, </w:t>
      </w:r>
      <w:r w:rsidR="00F214A5" w:rsidRPr="005C2179">
        <w:rPr>
          <w:kern w:val="2"/>
          <w:sz w:val="20"/>
        </w:rPr>
        <w:t xml:space="preserve">politicians </w:t>
      </w:r>
      <w:r w:rsidR="00C86955" w:rsidRPr="005C2179">
        <w:rPr>
          <w:kern w:val="2"/>
          <w:sz w:val="20"/>
        </w:rPr>
        <w:t>often</w:t>
      </w:r>
      <w:r w:rsidR="00F214A5" w:rsidRPr="005C2179">
        <w:rPr>
          <w:kern w:val="2"/>
          <w:sz w:val="20"/>
        </w:rPr>
        <w:t xml:space="preserve"> provide wealthy backers</w:t>
      </w:r>
      <w:r w:rsidR="00FD7C74" w:rsidRPr="005C2179">
        <w:rPr>
          <w:kern w:val="2"/>
          <w:sz w:val="20"/>
        </w:rPr>
        <w:t xml:space="preserve"> with special access.</w:t>
      </w:r>
      <w:r w:rsidR="00E92287" w:rsidRPr="005C2179">
        <w:rPr>
          <w:rStyle w:val="FootnoteReference"/>
          <w:kern w:val="2"/>
          <w:sz w:val="20"/>
        </w:rPr>
        <w:footnoteReference w:id="26"/>
      </w:r>
      <w:r w:rsidR="00FD7C74" w:rsidRPr="005C2179">
        <w:rPr>
          <w:kern w:val="2"/>
          <w:sz w:val="20"/>
        </w:rPr>
        <w:t xml:space="preserve"> As noted by the dissenting justices in </w:t>
      </w:r>
      <w:r w:rsidR="00FD7C74" w:rsidRPr="005C2179">
        <w:rPr>
          <w:i/>
          <w:kern w:val="2"/>
          <w:sz w:val="20"/>
        </w:rPr>
        <w:t xml:space="preserve">Citizens United v Federal Election Commission, </w:t>
      </w:r>
      <w:r w:rsidR="00FD7C74" w:rsidRPr="005C2179">
        <w:rPr>
          <w:kern w:val="2"/>
          <w:sz w:val="20"/>
        </w:rPr>
        <w:t>access</w:t>
      </w:r>
      <w:r w:rsidR="006A24B4" w:rsidRPr="005C2179">
        <w:rPr>
          <w:kern w:val="2"/>
          <w:sz w:val="20"/>
        </w:rPr>
        <w:t xml:space="preserve"> is</w:t>
      </w:r>
      <w:r w:rsidR="00FD7C74" w:rsidRPr="005C2179">
        <w:rPr>
          <w:kern w:val="2"/>
          <w:sz w:val="20"/>
        </w:rPr>
        <w:t xml:space="preserve"> a precondition for influence in the legislative process.</w:t>
      </w:r>
      <w:r w:rsidR="00FD7C74" w:rsidRPr="005C2179">
        <w:rPr>
          <w:rStyle w:val="FootnoteReference"/>
          <w:kern w:val="2"/>
          <w:sz w:val="20"/>
        </w:rPr>
        <w:footnoteReference w:id="27"/>
      </w:r>
      <w:r w:rsidR="008C4390" w:rsidRPr="005C2179">
        <w:rPr>
          <w:kern w:val="2"/>
          <w:sz w:val="20"/>
        </w:rPr>
        <w:t xml:space="preserve"> Privileged</w:t>
      </w:r>
      <w:r w:rsidR="00E92287" w:rsidRPr="005C2179">
        <w:rPr>
          <w:kern w:val="2"/>
          <w:sz w:val="20"/>
        </w:rPr>
        <w:t xml:space="preserve"> access </w:t>
      </w:r>
      <w:r w:rsidR="006B11AD" w:rsidRPr="005C2179">
        <w:rPr>
          <w:kern w:val="2"/>
          <w:sz w:val="20"/>
        </w:rPr>
        <w:t>may also</w:t>
      </w:r>
      <w:r w:rsidR="00E92287" w:rsidRPr="005C2179">
        <w:rPr>
          <w:kern w:val="2"/>
          <w:sz w:val="20"/>
        </w:rPr>
        <w:t xml:space="preserve"> lead to </w:t>
      </w:r>
      <w:r w:rsidR="0028703A" w:rsidRPr="005C2179">
        <w:rPr>
          <w:kern w:val="2"/>
          <w:sz w:val="20"/>
        </w:rPr>
        <w:t xml:space="preserve">public </w:t>
      </w:r>
      <w:r w:rsidR="00E92287" w:rsidRPr="005C2179">
        <w:rPr>
          <w:kern w:val="2"/>
          <w:sz w:val="20"/>
        </w:rPr>
        <w:t>cynicism. Second, monetary support for a candidate’</w:t>
      </w:r>
      <w:r w:rsidR="006A24B4" w:rsidRPr="005C2179">
        <w:rPr>
          <w:kern w:val="2"/>
          <w:sz w:val="20"/>
        </w:rPr>
        <w:t xml:space="preserve">s campaign could taint </w:t>
      </w:r>
      <w:r w:rsidR="00C86955" w:rsidRPr="005C2179">
        <w:rPr>
          <w:kern w:val="2"/>
          <w:sz w:val="20"/>
        </w:rPr>
        <w:t>the candidate’s</w:t>
      </w:r>
      <w:r w:rsidR="00E92287" w:rsidRPr="005C2179">
        <w:rPr>
          <w:kern w:val="2"/>
          <w:sz w:val="20"/>
        </w:rPr>
        <w:t xml:space="preserve"> judgement </w:t>
      </w:r>
      <w:r w:rsidR="00C86955" w:rsidRPr="005C2179">
        <w:rPr>
          <w:kern w:val="2"/>
          <w:sz w:val="20"/>
        </w:rPr>
        <w:t>once elected</w:t>
      </w:r>
      <w:r w:rsidR="00613F7D" w:rsidRPr="005C2179">
        <w:rPr>
          <w:kern w:val="2"/>
          <w:sz w:val="20"/>
        </w:rPr>
        <w:t xml:space="preserve"> and give</w:t>
      </w:r>
      <w:r w:rsidR="00991601" w:rsidRPr="005C2179">
        <w:rPr>
          <w:kern w:val="2"/>
          <w:sz w:val="20"/>
        </w:rPr>
        <w:t xml:space="preserve"> </w:t>
      </w:r>
      <w:r w:rsidR="00697FF3" w:rsidRPr="005C2179">
        <w:rPr>
          <w:kern w:val="2"/>
          <w:sz w:val="20"/>
        </w:rPr>
        <w:t>wealthy supporters undue influence</w:t>
      </w:r>
      <w:r w:rsidR="00991601" w:rsidRPr="005C2179">
        <w:rPr>
          <w:kern w:val="2"/>
          <w:sz w:val="20"/>
        </w:rPr>
        <w:t xml:space="preserve"> over lawmakers</w:t>
      </w:r>
      <w:r w:rsidR="006F619B" w:rsidRPr="005C2179">
        <w:rPr>
          <w:kern w:val="2"/>
          <w:sz w:val="20"/>
        </w:rPr>
        <w:t>.</w:t>
      </w:r>
      <w:r w:rsidR="00E92287" w:rsidRPr="005C2179">
        <w:rPr>
          <w:kern w:val="2"/>
          <w:sz w:val="20"/>
        </w:rPr>
        <w:t xml:space="preserve"> </w:t>
      </w:r>
      <w:r w:rsidR="009034F1" w:rsidRPr="005C2179">
        <w:rPr>
          <w:kern w:val="2"/>
          <w:sz w:val="20"/>
        </w:rPr>
        <w:t>There are many opportunities for influence and distortion throughout the legislative process, starting with the decision to introduce bills or amendments in the first place.</w:t>
      </w:r>
      <w:r w:rsidR="009034F1" w:rsidRPr="005C2179">
        <w:rPr>
          <w:rStyle w:val="FootnoteReference"/>
          <w:kern w:val="2"/>
          <w:sz w:val="20"/>
        </w:rPr>
        <w:footnoteReference w:id="28"/>
      </w:r>
      <w:r w:rsidR="009034F1" w:rsidRPr="005C2179">
        <w:rPr>
          <w:kern w:val="2"/>
          <w:sz w:val="20"/>
        </w:rPr>
        <w:t xml:space="preserve"> </w:t>
      </w:r>
      <w:r w:rsidR="00613F7D" w:rsidRPr="005C2179">
        <w:rPr>
          <w:kern w:val="2"/>
          <w:sz w:val="20"/>
        </w:rPr>
        <w:t>Issacharoff observes</w:t>
      </w:r>
      <w:r w:rsidR="005E59BC" w:rsidRPr="005C2179">
        <w:rPr>
          <w:kern w:val="2"/>
          <w:sz w:val="20"/>
        </w:rPr>
        <w:t xml:space="preserve"> that, aft</w:t>
      </w:r>
      <w:r w:rsidR="00E245FD" w:rsidRPr="005C2179">
        <w:rPr>
          <w:kern w:val="2"/>
          <w:sz w:val="20"/>
        </w:rPr>
        <w:t>er the election, lawmakers may</w:t>
      </w:r>
      <w:r w:rsidR="006A24B4" w:rsidRPr="005C2179">
        <w:rPr>
          <w:kern w:val="2"/>
          <w:sz w:val="20"/>
        </w:rPr>
        <w:t xml:space="preserve"> be influenced by</w:t>
      </w:r>
      <w:r w:rsidR="005E59BC" w:rsidRPr="005C2179">
        <w:rPr>
          <w:kern w:val="2"/>
          <w:sz w:val="20"/>
        </w:rPr>
        <w:t xml:space="preserve"> gratitude </w:t>
      </w:r>
      <w:r w:rsidR="006A24B4" w:rsidRPr="005C2179">
        <w:rPr>
          <w:kern w:val="2"/>
          <w:sz w:val="20"/>
        </w:rPr>
        <w:t xml:space="preserve">to large donors </w:t>
      </w:r>
      <w:r w:rsidR="005E59BC" w:rsidRPr="005C2179">
        <w:rPr>
          <w:kern w:val="2"/>
          <w:sz w:val="20"/>
        </w:rPr>
        <w:t>and a desire to secure “future support in order to retain the perquisites of office.”</w:t>
      </w:r>
      <w:r w:rsidR="005E59BC" w:rsidRPr="005C2179">
        <w:rPr>
          <w:rStyle w:val="FootnoteReference"/>
          <w:kern w:val="2"/>
          <w:sz w:val="20"/>
        </w:rPr>
        <w:footnoteReference w:id="29"/>
      </w:r>
      <w:r w:rsidR="005E59BC" w:rsidRPr="005C2179">
        <w:rPr>
          <w:kern w:val="2"/>
          <w:sz w:val="20"/>
        </w:rPr>
        <w:t xml:space="preserve"> This can </w:t>
      </w:r>
      <w:r w:rsidR="0020242C" w:rsidRPr="005C2179">
        <w:rPr>
          <w:kern w:val="2"/>
          <w:sz w:val="20"/>
        </w:rPr>
        <w:t>produce</w:t>
      </w:r>
      <w:r w:rsidR="005E59BC" w:rsidRPr="005C2179">
        <w:rPr>
          <w:kern w:val="2"/>
          <w:sz w:val="20"/>
        </w:rPr>
        <w:t xml:space="preserve"> a kind of “clientelism</w:t>
      </w:r>
      <w:r w:rsidR="00724FE9" w:rsidRPr="005C2179">
        <w:rPr>
          <w:kern w:val="2"/>
          <w:sz w:val="20"/>
        </w:rPr>
        <w:t>,</w:t>
      </w:r>
      <w:r w:rsidR="005E59BC" w:rsidRPr="005C2179">
        <w:rPr>
          <w:kern w:val="2"/>
          <w:sz w:val="20"/>
        </w:rPr>
        <w:t>” in which private intere</w:t>
      </w:r>
      <w:r w:rsidR="0020242C" w:rsidRPr="005C2179">
        <w:rPr>
          <w:kern w:val="2"/>
          <w:sz w:val="20"/>
        </w:rPr>
        <w:t>sts capture the powers of</w:t>
      </w:r>
      <w:r w:rsidR="00E555D6" w:rsidRPr="005C2179">
        <w:rPr>
          <w:kern w:val="2"/>
          <w:sz w:val="20"/>
        </w:rPr>
        <w:t xml:space="preserve"> the</w:t>
      </w:r>
      <w:r w:rsidR="0020242C" w:rsidRPr="005C2179">
        <w:rPr>
          <w:kern w:val="2"/>
          <w:sz w:val="20"/>
        </w:rPr>
        <w:t xml:space="preserve"> state </w:t>
      </w:r>
      <w:r w:rsidR="009034F1" w:rsidRPr="005C2179">
        <w:rPr>
          <w:kern w:val="2"/>
          <w:sz w:val="20"/>
        </w:rPr>
        <w:t>and obtain</w:t>
      </w:r>
      <w:r w:rsidR="0020242C" w:rsidRPr="005C2179">
        <w:rPr>
          <w:kern w:val="2"/>
          <w:sz w:val="20"/>
        </w:rPr>
        <w:t xml:space="preserve"> </w:t>
      </w:r>
      <w:r w:rsidR="005E59BC" w:rsidRPr="005C2179">
        <w:rPr>
          <w:kern w:val="2"/>
          <w:sz w:val="20"/>
        </w:rPr>
        <w:t>“legislation in the private interest</w:t>
      </w:r>
      <w:r w:rsidR="00724FE9" w:rsidRPr="005C2179">
        <w:rPr>
          <w:kern w:val="2"/>
          <w:sz w:val="20"/>
        </w:rPr>
        <w:t>.</w:t>
      </w:r>
      <w:r w:rsidR="005E59BC" w:rsidRPr="005C2179">
        <w:rPr>
          <w:kern w:val="2"/>
          <w:sz w:val="20"/>
        </w:rPr>
        <w:t>”</w:t>
      </w:r>
      <w:r w:rsidR="005E59BC" w:rsidRPr="005C2179">
        <w:rPr>
          <w:rStyle w:val="FootnoteReference"/>
          <w:kern w:val="2"/>
          <w:sz w:val="20"/>
        </w:rPr>
        <w:footnoteReference w:id="30"/>
      </w:r>
      <w:r w:rsidR="00E245FD" w:rsidRPr="005C2179">
        <w:rPr>
          <w:kern w:val="2"/>
          <w:sz w:val="20"/>
        </w:rPr>
        <w:t xml:space="preserve"> Yet t</w:t>
      </w:r>
      <w:r w:rsidR="00050BB9" w:rsidRPr="005C2179">
        <w:rPr>
          <w:kern w:val="2"/>
          <w:sz w:val="20"/>
        </w:rPr>
        <w:t xml:space="preserve">he subtlety of such influence may </w:t>
      </w:r>
      <w:r w:rsidR="00E245FD" w:rsidRPr="005C2179">
        <w:rPr>
          <w:kern w:val="2"/>
          <w:sz w:val="20"/>
        </w:rPr>
        <w:t xml:space="preserve">allow </w:t>
      </w:r>
      <w:r w:rsidR="00050BB9" w:rsidRPr="005C2179">
        <w:rPr>
          <w:kern w:val="2"/>
          <w:sz w:val="20"/>
        </w:rPr>
        <w:t>politicians to “feel as if nothing improper has occurred.”</w:t>
      </w:r>
      <w:r w:rsidR="00050BB9" w:rsidRPr="005C2179">
        <w:rPr>
          <w:rStyle w:val="FootnoteReference"/>
          <w:kern w:val="2"/>
          <w:sz w:val="20"/>
        </w:rPr>
        <w:footnoteReference w:id="31"/>
      </w:r>
      <w:r w:rsidR="00050BB9" w:rsidRPr="005C2179">
        <w:rPr>
          <w:kern w:val="2"/>
          <w:sz w:val="20"/>
        </w:rPr>
        <w:t xml:space="preserve"> </w:t>
      </w:r>
      <w:r w:rsidR="00DA2754" w:rsidRPr="005C2179">
        <w:rPr>
          <w:kern w:val="2"/>
          <w:sz w:val="20"/>
        </w:rPr>
        <w:t>Aside from effective governance</w:t>
      </w:r>
      <w:r w:rsidR="00C86955" w:rsidRPr="005C2179">
        <w:rPr>
          <w:kern w:val="2"/>
          <w:sz w:val="20"/>
        </w:rPr>
        <w:t xml:space="preserve"> issues</w:t>
      </w:r>
      <w:r w:rsidR="00DA2754" w:rsidRPr="005C2179">
        <w:rPr>
          <w:kern w:val="2"/>
          <w:sz w:val="20"/>
        </w:rPr>
        <w:t>, the potential for</w:t>
      </w:r>
      <w:r w:rsidR="00C86955" w:rsidRPr="005C2179">
        <w:rPr>
          <w:kern w:val="2"/>
          <w:sz w:val="20"/>
        </w:rPr>
        <w:t xml:space="preserve"> the</w:t>
      </w:r>
      <w:r w:rsidR="00DA2754" w:rsidRPr="005C2179">
        <w:rPr>
          <w:kern w:val="2"/>
          <w:sz w:val="20"/>
        </w:rPr>
        <w:t xml:space="preserve"> </w:t>
      </w:r>
      <w:r w:rsidR="00C86955" w:rsidRPr="005C2179">
        <w:rPr>
          <w:kern w:val="2"/>
          <w:sz w:val="20"/>
        </w:rPr>
        <w:t>wealthy to exert</w:t>
      </w:r>
      <w:r w:rsidR="00E555D6" w:rsidRPr="005C2179">
        <w:rPr>
          <w:kern w:val="2"/>
          <w:sz w:val="20"/>
        </w:rPr>
        <w:t xml:space="preserve"> undue</w:t>
      </w:r>
      <w:r w:rsidR="00C86955" w:rsidRPr="005C2179">
        <w:rPr>
          <w:kern w:val="2"/>
          <w:sz w:val="20"/>
        </w:rPr>
        <w:t xml:space="preserve"> </w:t>
      </w:r>
      <w:r w:rsidR="00DA2754" w:rsidRPr="005C2179">
        <w:rPr>
          <w:kern w:val="2"/>
          <w:sz w:val="20"/>
        </w:rPr>
        <w:t xml:space="preserve">influence on the legislative process </w:t>
      </w:r>
      <w:r w:rsidR="006240B9" w:rsidRPr="005C2179">
        <w:rPr>
          <w:kern w:val="2"/>
          <w:sz w:val="20"/>
        </w:rPr>
        <w:t>raises obvious</w:t>
      </w:r>
      <w:r w:rsidR="00DA2754" w:rsidRPr="005C2179">
        <w:rPr>
          <w:kern w:val="2"/>
          <w:sz w:val="20"/>
        </w:rPr>
        <w:t xml:space="preserve"> equality concerns</w:t>
      </w:r>
      <w:r w:rsidR="00486B47" w:rsidRPr="005C2179">
        <w:rPr>
          <w:kern w:val="2"/>
          <w:sz w:val="20"/>
        </w:rPr>
        <w:t>.</w:t>
      </w:r>
      <w:r w:rsidR="00C86955" w:rsidRPr="005C2179">
        <w:rPr>
          <w:rStyle w:val="FootnoteReference"/>
          <w:kern w:val="2"/>
          <w:sz w:val="20"/>
        </w:rPr>
        <w:footnoteReference w:id="32"/>
      </w:r>
      <w:r w:rsidR="00DA2754" w:rsidRPr="005C2179">
        <w:rPr>
          <w:kern w:val="2"/>
          <w:sz w:val="20"/>
        </w:rPr>
        <w:t xml:space="preserve"> </w:t>
      </w:r>
    </w:p>
    <w:p w14:paraId="467FA6A0" w14:textId="59D22BB3" w:rsidR="00050BB9" w:rsidRPr="005C2179" w:rsidRDefault="003444A4" w:rsidP="00330F4B">
      <w:pPr>
        <w:rPr>
          <w:kern w:val="2"/>
          <w:sz w:val="20"/>
        </w:rPr>
      </w:pPr>
      <w:r w:rsidRPr="005C2179">
        <w:rPr>
          <w:kern w:val="2"/>
          <w:sz w:val="20"/>
        </w:rPr>
        <w:t>It</w:t>
      </w:r>
      <w:r w:rsidR="006F227C" w:rsidRPr="005C2179">
        <w:rPr>
          <w:kern w:val="2"/>
          <w:sz w:val="20"/>
        </w:rPr>
        <w:t xml:space="preserve"> may be </w:t>
      </w:r>
      <w:r w:rsidR="00050BB9" w:rsidRPr="005C2179">
        <w:rPr>
          <w:kern w:val="2"/>
          <w:sz w:val="20"/>
        </w:rPr>
        <w:t>impossible to separate the influence of</w:t>
      </w:r>
      <w:r w:rsidR="00E245FD" w:rsidRPr="005C2179">
        <w:rPr>
          <w:kern w:val="2"/>
          <w:sz w:val="20"/>
        </w:rPr>
        <w:t xml:space="preserve"> large</w:t>
      </w:r>
      <w:r w:rsidR="00050BB9" w:rsidRPr="005C2179">
        <w:rPr>
          <w:kern w:val="2"/>
          <w:sz w:val="20"/>
        </w:rPr>
        <w:t xml:space="preserve"> donors </w:t>
      </w:r>
      <w:r w:rsidR="00E245FD" w:rsidRPr="005C2179">
        <w:rPr>
          <w:kern w:val="2"/>
          <w:sz w:val="20"/>
        </w:rPr>
        <w:t xml:space="preserve">and supportive third-party campaigners </w:t>
      </w:r>
      <w:r w:rsidRPr="005C2179">
        <w:rPr>
          <w:kern w:val="2"/>
          <w:sz w:val="20"/>
        </w:rPr>
        <w:t xml:space="preserve">over lawmakers </w:t>
      </w:r>
      <w:r w:rsidR="00050BB9" w:rsidRPr="005C2179">
        <w:rPr>
          <w:kern w:val="2"/>
          <w:sz w:val="20"/>
        </w:rPr>
        <w:t>from the influence of principles, constituents, and other factors.</w:t>
      </w:r>
      <w:r w:rsidR="00050BB9" w:rsidRPr="005C2179">
        <w:rPr>
          <w:rStyle w:val="FootnoteReference"/>
          <w:kern w:val="2"/>
          <w:sz w:val="20"/>
        </w:rPr>
        <w:footnoteReference w:id="33"/>
      </w:r>
      <w:r w:rsidR="00050BB9" w:rsidRPr="005C2179">
        <w:rPr>
          <w:kern w:val="2"/>
          <w:sz w:val="20"/>
        </w:rPr>
        <w:t xml:space="preserve"> An example of this difficulty is provided by </w:t>
      </w:r>
      <w:r w:rsidR="00050BB9" w:rsidRPr="005C2179">
        <w:rPr>
          <w:i/>
          <w:kern w:val="2"/>
          <w:sz w:val="20"/>
        </w:rPr>
        <w:t>McCormick v U</w:t>
      </w:r>
      <w:r w:rsidR="00EB3B9C" w:rsidRPr="005C2179">
        <w:rPr>
          <w:i/>
          <w:kern w:val="2"/>
          <w:sz w:val="20"/>
        </w:rPr>
        <w:t xml:space="preserve">nited </w:t>
      </w:r>
      <w:r w:rsidR="00050BB9" w:rsidRPr="005C2179">
        <w:rPr>
          <w:i/>
          <w:kern w:val="2"/>
          <w:sz w:val="20"/>
        </w:rPr>
        <w:t>S</w:t>
      </w:r>
      <w:r w:rsidR="00EB3B9C" w:rsidRPr="005C2179">
        <w:rPr>
          <w:i/>
          <w:kern w:val="2"/>
          <w:sz w:val="20"/>
        </w:rPr>
        <w:t>tates</w:t>
      </w:r>
      <w:r w:rsidR="00050BB9" w:rsidRPr="005C2179">
        <w:rPr>
          <w:kern w:val="2"/>
          <w:sz w:val="20"/>
        </w:rPr>
        <w:t>,</w:t>
      </w:r>
      <w:r w:rsidR="00050BB9" w:rsidRPr="005C2179">
        <w:rPr>
          <w:i/>
          <w:kern w:val="2"/>
          <w:sz w:val="20"/>
        </w:rPr>
        <w:t xml:space="preserve"> </w:t>
      </w:r>
      <w:r w:rsidR="00050BB9" w:rsidRPr="005C2179">
        <w:rPr>
          <w:kern w:val="2"/>
          <w:sz w:val="20"/>
        </w:rPr>
        <w:t>in which the US Supreme Court overturned an elected official’s conviction for corruption and struck down the law criminalizing his conduct.</w:t>
      </w:r>
      <w:r w:rsidR="00BA4208" w:rsidRPr="005C2179">
        <w:rPr>
          <w:rStyle w:val="FootnoteReference"/>
          <w:kern w:val="2"/>
          <w:sz w:val="20"/>
        </w:rPr>
        <w:footnoteReference w:id="34"/>
      </w:r>
      <w:r w:rsidR="00050BB9" w:rsidRPr="005C2179">
        <w:rPr>
          <w:kern w:val="2"/>
          <w:sz w:val="20"/>
        </w:rPr>
        <w:t xml:space="preserve"> The defendant politician had a long-standing reputation for favouring legislation beneficial to foreign doctors. He was charged with corruption after </w:t>
      </w:r>
      <w:r w:rsidR="00C37DD9" w:rsidRPr="005C2179">
        <w:rPr>
          <w:kern w:val="2"/>
          <w:sz w:val="20"/>
        </w:rPr>
        <w:t>he accepted</w:t>
      </w:r>
      <w:r w:rsidRPr="005C2179">
        <w:rPr>
          <w:kern w:val="2"/>
          <w:sz w:val="20"/>
        </w:rPr>
        <w:t xml:space="preserve"> money from foreign doctors for his</w:t>
      </w:r>
      <w:r w:rsidR="00050BB9" w:rsidRPr="005C2179">
        <w:rPr>
          <w:kern w:val="2"/>
          <w:sz w:val="20"/>
        </w:rPr>
        <w:t xml:space="preserve"> election campaign and </w:t>
      </w:r>
      <w:r w:rsidR="00C37DD9" w:rsidRPr="005C2179">
        <w:rPr>
          <w:kern w:val="2"/>
          <w:sz w:val="20"/>
        </w:rPr>
        <w:t>subsequently sponsored</w:t>
      </w:r>
      <w:r w:rsidR="00050BB9" w:rsidRPr="005C2179">
        <w:rPr>
          <w:kern w:val="2"/>
          <w:sz w:val="20"/>
        </w:rPr>
        <w:t xml:space="preserve"> legislation favourable to them. </w:t>
      </w:r>
      <w:r w:rsidRPr="005C2179">
        <w:rPr>
          <w:kern w:val="2"/>
          <w:sz w:val="20"/>
        </w:rPr>
        <w:t xml:space="preserve">Because this was not a clear </w:t>
      </w:r>
      <w:r w:rsidRPr="005C2179">
        <w:rPr>
          <w:i/>
          <w:kern w:val="2"/>
          <w:sz w:val="20"/>
        </w:rPr>
        <w:t xml:space="preserve">quid pro quo, </w:t>
      </w:r>
      <w:r w:rsidRPr="005C2179">
        <w:rPr>
          <w:kern w:val="2"/>
          <w:sz w:val="20"/>
        </w:rPr>
        <w:t xml:space="preserve">the Court held that the defendant’s actions did not constitute corruption. </w:t>
      </w:r>
      <w:r w:rsidR="00050BB9" w:rsidRPr="005C2179">
        <w:rPr>
          <w:kern w:val="2"/>
          <w:sz w:val="20"/>
        </w:rPr>
        <w:t>Dembitskiy criticizes this decision for its failure to address the appearance of corruption, which may be present even where an elected official is guided by their own principles, not their donors.</w:t>
      </w:r>
      <w:r w:rsidR="00050BB9" w:rsidRPr="005C2179">
        <w:rPr>
          <w:rStyle w:val="FootnoteReference"/>
          <w:kern w:val="2"/>
          <w:sz w:val="20"/>
        </w:rPr>
        <w:footnoteReference w:id="35"/>
      </w:r>
    </w:p>
    <w:p w14:paraId="2A282317" w14:textId="639320E9" w:rsidR="004C5F55" w:rsidRPr="005C2179" w:rsidRDefault="001E6368" w:rsidP="00330F4B">
      <w:pPr>
        <w:rPr>
          <w:kern w:val="2"/>
          <w:sz w:val="20"/>
        </w:rPr>
      </w:pPr>
      <w:r w:rsidRPr="005C2179">
        <w:rPr>
          <w:kern w:val="2"/>
          <w:sz w:val="20"/>
        </w:rPr>
        <w:t>Publicly funded election campaigns</w:t>
      </w:r>
      <w:r w:rsidR="004F6159" w:rsidRPr="005C2179">
        <w:rPr>
          <w:kern w:val="2"/>
          <w:sz w:val="20"/>
        </w:rPr>
        <w:t xml:space="preserve"> help</w:t>
      </w:r>
      <w:r w:rsidRPr="005C2179">
        <w:rPr>
          <w:kern w:val="2"/>
          <w:sz w:val="20"/>
        </w:rPr>
        <w:t xml:space="preserve"> </w:t>
      </w:r>
      <w:r w:rsidR="00EB769F" w:rsidRPr="005C2179">
        <w:rPr>
          <w:kern w:val="2"/>
          <w:sz w:val="20"/>
        </w:rPr>
        <w:t>address</w:t>
      </w:r>
      <w:r w:rsidRPr="005C2179">
        <w:rPr>
          <w:kern w:val="2"/>
          <w:sz w:val="20"/>
        </w:rPr>
        <w:t xml:space="preserve"> </w:t>
      </w:r>
      <w:r w:rsidR="004F6159" w:rsidRPr="005C2179">
        <w:rPr>
          <w:kern w:val="2"/>
          <w:sz w:val="20"/>
        </w:rPr>
        <w:t>the risk of corruption</w:t>
      </w:r>
      <w:r w:rsidRPr="005C2179">
        <w:rPr>
          <w:kern w:val="2"/>
          <w:sz w:val="20"/>
        </w:rPr>
        <w:t>, but comprehensive public funding requires public support and political will.</w:t>
      </w:r>
      <w:r w:rsidR="008743AD" w:rsidRPr="005C2179">
        <w:rPr>
          <w:kern w:val="2"/>
          <w:sz w:val="20"/>
        </w:rPr>
        <w:t xml:space="preserve"> </w:t>
      </w:r>
      <w:r w:rsidR="00EB769F" w:rsidRPr="005C2179">
        <w:rPr>
          <w:kern w:val="2"/>
          <w:sz w:val="20"/>
        </w:rPr>
        <w:t>If election campaigns continue to be financed wholly or partly through private funds</w:t>
      </w:r>
      <w:r w:rsidR="008743AD" w:rsidRPr="005C2179">
        <w:rPr>
          <w:kern w:val="2"/>
          <w:sz w:val="20"/>
        </w:rPr>
        <w:t>, m</w:t>
      </w:r>
      <w:r w:rsidR="00B50D24" w:rsidRPr="005C2179">
        <w:rPr>
          <w:kern w:val="2"/>
          <w:sz w:val="20"/>
        </w:rPr>
        <w:t>any</w:t>
      </w:r>
      <w:r w:rsidR="002A6B57" w:rsidRPr="005C2179">
        <w:rPr>
          <w:kern w:val="2"/>
          <w:sz w:val="20"/>
        </w:rPr>
        <w:t xml:space="preserve"> argue that </w:t>
      </w:r>
      <w:r w:rsidR="00B50D24" w:rsidRPr="005C2179">
        <w:rPr>
          <w:kern w:val="2"/>
          <w:sz w:val="20"/>
        </w:rPr>
        <w:t>corruption can be reduced by encouraging smaller donations from more sources</w:t>
      </w:r>
      <w:r w:rsidR="00866589" w:rsidRPr="005C2179">
        <w:rPr>
          <w:kern w:val="2"/>
          <w:sz w:val="20"/>
        </w:rPr>
        <w:t>.</w:t>
      </w:r>
      <w:r w:rsidR="00866589" w:rsidRPr="005C2179">
        <w:rPr>
          <w:rStyle w:val="FootnoteReference"/>
          <w:kern w:val="2"/>
          <w:sz w:val="20"/>
        </w:rPr>
        <w:footnoteReference w:id="36"/>
      </w:r>
      <w:r w:rsidR="004C5F55" w:rsidRPr="005C2179">
        <w:rPr>
          <w:kern w:val="2"/>
          <w:sz w:val="20"/>
        </w:rPr>
        <w:t xml:space="preserve"> </w:t>
      </w:r>
      <w:r w:rsidR="002A6B57" w:rsidRPr="005C2179">
        <w:rPr>
          <w:kern w:val="2"/>
          <w:sz w:val="20"/>
        </w:rPr>
        <w:t xml:space="preserve">This approach </w:t>
      </w:r>
      <w:r w:rsidR="00225E75" w:rsidRPr="005C2179">
        <w:rPr>
          <w:kern w:val="2"/>
          <w:sz w:val="20"/>
        </w:rPr>
        <w:t xml:space="preserve">also </w:t>
      </w:r>
      <w:r w:rsidR="002A6B57" w:rsidRPr="005C2179">
        <w:rPr>
          <w:kern w:val="2"/>
          <w:sz w:val="20"/>
        </w:rPr>
        <w:t>accords</w:t>
      </w:r>
      <w:r w:rsidR="00866589" w:rsidRPr="005C2179">
        <w:rPr>
          <w:kern w:val="2"/>
          <w:sz w:val="20"/>
        </w:rPr>
        <w:t xml:space="preserve"> with the </w:t>
      </w:r>
      <w:r w:rsidR="002A6B57" w:rsidRPr="005C2179">
        <w:rPr>
          <w:kern w:val="2"/>
          <w:sz w:val="20"/>
        </w:rPr>
        <w:t xml:space="preserve">argument </w:t>
      </w:r>
      <w:r w:rsidR="00866589" w:rsidRPr="005C2179">
        <w:rPr>
          <w:kern w:val="2"/>
          <w:sz w:val="20"/>
        </w:rPr>
        <w:t xml:space="preserve">that contributions are a </w:t>
      </w:r>
      <w:r w:rsidR="002A6B57" w:rsidRPr="005C2179">
        <w:rPr>
          <w:kern w:val="2"/>
          <w:sz w:val="20"/>
        </w:rPr>
        <w:t xml:space="preserve">valid </w:t>
      </w:r>
      <w:r w:rsidR="00866589" w:rsidRPr="005C2179">
        <w:rPr>
          <w:kern w:val="2"/>
          <w:sz w:val="20"/>
        </w:rPr>
        <w:t>form of participation in electoral debate.</w:t>
      </w:r>
      <w:r w:rsidR="00866589" w:rsidRPr="005C2179">
        <w:rPr>
          <w:rStyle w:val="FootnoteReference"/>
          <w:kern w:val="2"/>
          <w:sz w:val="20"/>
        </w:rPr>
        <w:footnoteReference w:id="37"/>
      </w:r>
      <w:r w:rsidR="004C5F55" w:rsidRPr="005C2179">
        <w:rPr>
          <w:kern w:val="2"/>
          <w:sz w:val="20"/>
        </w:rPr>
        <w:t xml:space="preserve"> In the US, micro-donations have become increasingly important</w:t>
      </w:r>
      <w:r w:rsidR="0016776E" w:rsidRPr="005C2179">
        <w:rPr>
          <w:kern w:val="2"/>
          <w:sz w:val="20"/>
        </w:rPr>
        <w:t xml:space="preserve"> in elections</w:t>
      </w:r>
      <w:r w:rsidR="004C5F55" w:rsidRPr="005C2179">
        <w:rPr>
          <w:kern w:val="2"/>
          <w:sz w:val="20"/>
        </w:rPr>
        <w:t>.</w:t>
      </w:r>
      <w:r w:rsidR="004C5F55" w:rsidRPr="005C2179">
        <w:rPr>
          <w:rStyle w:val="FootnoteReference"/>
          <w:kern w:val="2"/>
          <w:sz w:val="20"/>
        </w:rPr>
        <w:footnoteReference w:id="38"/>
      </w:r>
      <w:r w:rsidR="004C5F55" w:rsidRPr="005C2179">
        <w:rPr>
          <w:kern w:val="2"/>
          <w:sz w:val="20"/>
        </w:rPr>
        <w:t xml:space="preserve"> For example, President Trump raised as much from small donors </w:t>
      </w:r>
      <w:r w:rsidR="0023005E" w:rsidRPr="005C2179">
        <w:rPr>
          <w:kern w:val="2"/>
          <w:sz w:val="20"/>
        </w:rPr>
        <w:t>(</w:t>
      </w:r>
      <w:r w:rsidR="004C5F55" w:rsidRPr="005C2179">
        <w:rPr>
          <w:kern w:val="2"/>
          <w:sz w:val="20"/>
        </w:rPr>
        <w:t>contributing $200 or less</w:t>
      </w:r>
      <w:r w:rsidR="0023005E" w:rsidRPr="005C2179">
        <w:rPr>
          <w:kern w:val="2"/>
          <w:sz w:val="20"/>
        </w:rPr>
        <w:t>)</w:t>
      </w:r>
      <w:r w:rsidR="004C5F55" w:rsidRPr="005C2179">
        <w:rPr>
          <w:kern w:val="2"/>
          <w:sz w:val="20"/>
        </w:rPr>
        <w:t xml:space="preserve"> as Clinton and Sanders combined.</w:t>
      </w:r>
      <w:r w:rsidR="004C5F55" w:rsidRPr="005C2179">
        <w:rPr>
          <w:rStyle w:val="FootnoteReference"/>
          <w:kern w:val="2"/>
          <w:sz w:val="20"/>
        </w:rPr>
        <w:footnoteReference w:id="39"/>
      </w:r>
      <w:r w:rsidR="004C5F55" w:rsidRPr="005C2179">
        <w:rPr>
          <w:kern w:val="2"/>
          <w:sz w:val="20"/>
        </w:rPr>
        <w:t xml:space="preserve"> </w:t>
      </w:r>
      <w:r w:rsidR="00651E5F" w:rsidRPr="005C2179">
        <w:rPr>
          <w:kern w:val="2"/>
          <w:sz w:val="20"/>
        </w:rPr>
        <w:t>Ninety-nine percent</w:t>
      </w:r>
      <w:r w:rsidR="004C5F55" w:rsidRPr="005C2179">
        <w:rPr>
          <w:kern w:val="2"/>
          <w:sz w:val="20"/>
        </w:rPr>
        <w:t xml:space="preserve"> of the $229 million raised by Sanders came from individual donors.</w:t>
      </w:r>
      <w:r w:rsidR="004C5F55" w:rsidRPr="005C2179">
        <w:rPr>
          <w:rStyle w:val="FootnoteReference"/>
          <w:kern w:val="2"/>
          <w:sz w:val="20"/>
        </w:rPr>
        <w:footnoteReference w:id="40"/>
      </w:r>
      <w:r w:rsidR="004C5F55" w:rsidRPr="005C2179">
        <w:rPr>
          <w:kern w:val="2"/>
          <w:sz w:val="20"/>
        </w:rPr>
        <w:t xml:space="preserve"> In 2008, 38% of contributions to major party candidates seeking nomination came from micro-donors, compared to 25% in 2000.</w:t>
      </w:r>
      <w:r w:rsidR="004C5F55" w:rsidRPr="005C2179">
        <w:rPr>
          <w:rStyle w:val="FootnoteReference"/>
          <w:kern w:val="2"/>
          <w:sz w:val="20"/>
        </w:rPr>
        <w:footnoteReference w:id="41"/>
      </w:r>
      <w:r w:rsidR="0023005E" w:rsidRPr="005C2179">
        <w:rPr>
          <w:kern w:val="2"/>
          <w:sz w:val="20"/>
        </w:rPr>
        <w:t xml:space="preserve"> </w:t>
      </w:r>
      <w:r w:rsidR="004C5F55" w:rsidRPr="005C2179">
        <w:rPr>
          <w:kern w:val="2"/>
          <w:sz w:val="20"/>
        </w:rPr>
        <w:t>From the perspective of corruption, fairness, equality, and public confidence, this trend is promising.</w:t>
      </w:r>
      <w:r w:rsidR="00866589" w:rsidRPr="005C2179">
        <w:rPr>
          <w:kern w:val="2"/>
          <w:sz w:val="20"/>
        </w:rPr>
        <w:t xml:space="preserve"> On the other hand, some point out t</w:t>
      </w:r>
      <w:r w:rsidR="00167BBD" w:rsidRPr="005C2179">
        <w:rPr>
          <w:kern w:val="2"/>
          <w:sz w:val="20"/>
        </w:rPr>
        <w:t xml:space="preserve">hat reliance on small individual donations </w:t>
      </w:r>
      <w:r w:rsidR="00866589" w:rsidRPr="005C2179">
        <w:rPr>
          <w:kern w:val="2"/>
          <w:sz w:val="20"/>
        </w:rPr>
        <w:t>could lead politicia</w:t>
      </w:r>
      <w:r w:rsidR="00167BBD" w:rsidRPr="005C2179">
        <w:rPr>
          <w:kern w:val="2"/>
          <w:sz w:val="20"/>
        </w:rPr>
        <w:t xml:space="preserve">ns to cater to </w:t>
      </w:r>
      <w:r w:rsidR="00866589" w:rsidRPr="005C2179">
        <w:rPr>
          <w:kern w:val="2"/>
          <w:sz w:val="20"/>
        </w:rPr>
        <w:t>groups of small donors</w:t>
      </w:r>
      <w:r w:rsidR="00167BBD" w:rsidRPr="005C2179">
        <w:rPr>
          <w:kern w:val="2"/>
          <w:sz w:val="20"/>
        </w:rPr>
        <w:t xml:space="preserve"> on the fringes</w:t>
      </w:r>
      <w:r w:rsidR="00866589" w:rsidRPr="005C2179">
        <w:rPr>
          <w:kern w:val="2"/>
          <w:sz w:val="20"/>
        </w:rPr>
        <w:t xml:space="preserve">, as opposed to </w:t>
      </w:r>
      <w:r w:rsidR="00F80401" w:rsidRPr="005C2179">
        <w:rPr>
          <w:kern w:val="2"/>
          <w:sz w:val="20"/>
        </w:rPr>
        <w:t>cultivating</w:t>
      </w:r>
      <w:r w:rsidR="00866589" w:rsidRPr="005C2179">
        <w:rPr>
          <w:kern w:val="2"/>
          <w:sz w:val="20"/>
        </w:rPr>
        <w:t xml:space="preserve"> the electoral support of voters</w:t>
      </w:r>
      <w:r w:rsidR="004F5703" w:rsidRPr="005C2179">
        <w:rPr>
          <w:kern w:val="2"/>
          <w:sz w:val="20"/>
        </w:rPr>
        <w:t xml:space="preserve"> who are more centrist but un</w:t>
      </w:r>
      <w:r w:rsidR="00866589" w:rsidRPr="005C2179">
        <w:rPr>
          <w:kern w:val="2"/>
          <w:sz w:val="20"/>
        </w:rPr>
        <w:t>likely to make a donation.</w:t>
      </w:r>
      <w:r w:rsidR="00866589" w:rsidRPr="005C2179">
        <w:rPr>
          <w:rStyle w:val="FootnoteReference"/>
          <w:kern w:val="2"/>
          <w:sz w:val="20"/>
        </w:rPr>
        <w:footnoteReference w:id="42"/>
      </w:r>
      <w:r w:rsidR="004C5F55" w:rsidRPr="005C2179">
        <w:rPr>
          <w:kern w:val="2"/>
          <w:sz w:val="20"/>
        </w:rPr>
        <w:t xml:space="preserve"> </w:t>
      </w:r>
    </w:p>
    <w:p w14:paraId="60D6F076" w14:textId="1E626456" w:rsidR="00392988" w:rsidRPr="005C2179" w:rsidRDefault="00C526A7" w:rsidP="00330F4B">
      <w:pPr>
        <w:rPr>
          <w:kern w:val="2"/>
          <w:sz w:val="20"/>
        </w:rPr>
      </w:pPr>
      <w:r w:rsidRPr="005C2179">
        <w:rPr>
          <w:kern w:val="2"/>
          <w:sz w:val="20"/>
        </w:rPr>
        <w:t xml:space="preserve">The </w:t>
      </w:r>
      <w:r w:rsidR="00F143B7" w:rsidRPr="005C2179">
        <w:rPr>
          <w:kern w:val="2"/>
          <w:sz w:val="20"/>
        </w:rPr>
        <w:t>prevention of corruption</w:t>
      </w:r>
      <w:r w:rsidR="00C3371B" w:rsidRPr="005C2179">
        <w:rPr>
          <w:kern w:val="2"/>
          <w:sz w:val="20"/>
        </w:rPr>
        <w:t xml:space="preserve"> is accepted by courts in Canada, the UK, and US </w:t>
      </w:r>
      <w:r w:rsidR="004E0341" w:rsidRPr="005C2179">
        <w:rPr>
          <w:kern w:val="2"/>
          <w:sz w:val="20"/>
        </w:rPr>
        <w:t>as a legitimate</w:t>
      </w:r>
      <w:r w:rsidRPr="005C2179">
        <w:rPr>
          <w:kern w:val="2"/>
          <w:sz w:val="20"/>
        </w:rPr>
        <w:t xml:space="preserve"> justification for </w:t>
      </w:r>
      <w:r w:rsidR="000C6F7A" w:rsidRPr="005C2179">
        <w:rPr>
          <w:kern w:val="2"/>
          <w:sz w:val="20"/>
        </w:rPr>
        <w:t xml:space="preserve">the </w:t>
      </w:r>
      <w:r w:rsidR="00C3371B" w:rsidRPr="005C2179">
        <w:rPr>
          <w:kern w:val="2"/>
          <w:sz w:val="20"/>
        </w:rPr>
        <w:t>burden</w:t>
      </w:r>
      <w:r w:rsidR="00D31017" w:rsidRPr="005C2179">
        <w:rPr>
          <w:kern w:val="2"/>
          <w:sz w:val="20"/>
        </w:rPr>
        <w:t>s</w:t>
      </w:r>
      <w:r w:rsidR="00C3371B" w:rsidRPr="005C2179">
        <w:rPr>
          <w:kern w:val="2"/>
          <w:sz w:val="20"/>
        </w:rPr>
        <w:t xml:space="preserve"> on </w:t>
      </w:r>
      <w:r w:rsidRPr="005C2179">
        <w:rPr>
          <w:kern w:val="2"/>
          <w:sz w:val="20"/>
        </w:rPr>
        <w:t>freedom of expression</w:t>
      </w:r>
      <w:r w:rsidR="00C3371B" w:rsidRPr="005C2179">
        <w:rPr>
          <w:kern w:val="2"/>
          <w:sz w:val="20"/>
        </w:rPr>
        <w:t xml:space="preserve"> </w:t>
      </w:r>
      <w:r w:rsidR="000C6F7A" w:rsidRPr="005C2179">
        <w:rPr>
          <w:kern w:val="2"/>
          <w:sz w:val="20"/>
        </w:rPr>
        <w:t>involved</w:t>
      </w:r>
      <w:r w:rsidR="00C3371B" w:rsidRPr="005C2179">
        <w:rPr>
          <w:kern w:val="2"/>
          <w:sz w:val="20"/>
        </w:rPr>
        <w:t xml:space="preserve"> in campaign finance regulation. </w:t>
      </w:r>
      <w:r w:rsidR="00542BD3" w:rsidRPr="005C2179">
        <w:rPr>
          <w:kern w:val="2"/>
          <w:sz w:val="20"/>
        </w:rPr>
        <w:t>T</w:t>
      </w:r>
      <w:r w:rsidR="004E0341" w:rsidRPr="005C2179">
        <w:rPr>
          <w:kern w:val="2"/>
          <w:sz w:val="20"/>
        </w:rPr>
        <w:t xml:space="preserve">he US Supreme Court has </w:t>
      </w:r>
      <w:r w:rsidR="00542BD3" w:rsidRPr="005C2179">
        <w:rPr>
          <w:kern w:val="2"/>
          <w:sz w:val="20"/>
        </w:rPr>
        <w:t xml:space="preserve">further </w:t>
      </w:r>
      <w:r w:rsidR="004E0341" w:rsidRPr="005C2179">
        <w:rPr>
          <w:kern w:val="2"/>
          <w:sz w:val="20"/>
        </w:rPr>
        <w:t xml:space="preserve">held that </w:t>
      </w:r>
      <w:r w:rsidR="00542BD3" w:rsidRPr="005C2179">
        <w:rPr>
          <w:kern w:val="2"/>
          <w:sz w:val="20"/>
        </w:rPr>
        <w:t>preventing corruption or the appearance of corruption</w:t>
      </w:r>
      <w:r w:rsidR="004E0341" w:rsidRPr="005C2179">
        <w:rPr>
          <w:kern w:val="2"/>
          <w:sz w:val="20"/>
        </w:rPr>
        <w:t xml:space="preserve"> is the </w:t>
      </w:r>
      <w:r w:rsidR="004E0341" w:rsidRPr="005C2179">
        <w:rPr>
          <w:i/>
          <w:kern w:val="2"/>
          <w:sz w:val="20"/>
        </w:rPr>
        <w:t xml:space="preserve">only </w:t>
      </w:r>
      <w:r w:rsidR="00F143B7" w:rsidRPr="005C2179">
        <w:rPr>
          <w:kern w:val="2"/>
          <w:sz w:val="20"/>
        </w:rPr>
        <w:t>possible justification for</w:t>
      </w:r>
      <w:r w:rsidR="00D31017" w:rsidRPr="005C2179">
        <w:rPr>
          <w:kern w:val="2"/>
          <w:sz w:val="20"/>
        </w:rPr>
        <w:t xml:space="preserve"> the</w:t>
      </w:r>
      <w:r w:rsidR="00542BD3" w:rsidRPr="005C2179">
        <w:rPr>
          <w:kern w:val="2"/>
          <w:sz w:val="20"/>
        </w:rPr>
        <w:t xml:space="preserve"> limits on political speech caused by contribution limits, spending limits, and other campaign finance laws</w:t>
      </w:r>
      <w:r w:rsidR="004E0341" w:rsidRPr="005C2179">
        <w:rPr>
          <w:kern w:val="2"/>
          <w:sz w:val="20"/>
        </w:rPr>
        <w:t xml:space="preserve">. </w:t>
      </w:r>
      <w:r w:rsidR="00542BD3" w:rsidRPr="005C2179">
        <w:rPr>
          <w:kern w:val="2"/>
          <w:sz w:val="20"/>
        </w:rPr>
        <w:t xml:space="preserve">However, </w:t>
      </w:r>
      <w:r w:rsidR="00FD7C74" w:rsidRPr="005C2179">
        <w:rPr>
          <w:kern w:val="2"/>
          <w:sz w:val="20"/>
        </w:rPr>
        <w:t xml:space="preserve">judicial </w:t>
      </w:r>
      <w:r w:rsidR="00542BD3" w:rsidRPr="005C2179">
        <w:rPr>
          <w:kern w:val="2"/>
          <w:sz w:val="20"/>
        </w:rPr>
        <w:t>definitions of “corruption”</w:t>
      </w:r>
      <w:r w:rsidR="00FD7C74" w:rsidRPr="005C2179">
        <w:rPr>
          <w:kern w:val="2"/>
          <w:sz w:val="20"/>
        </w:rPr>
        <w:t xml:space="preserve"> vary</w:t>
      </w:r>
      <w:r w:rsidR="00542BD3" w:rsidRPr="005C2179">
        <w:rPr>
          <w:kern w:val="2"/>
          <w:sz w:val="20"/>
        </w:rPr>
        <w:t xml:space="preserve">. </w:t>
      </w:r>
      <w:r w:rsidRPr="005C2179">
        <w:rPr>
          <w:kern w:val="2"/>
          <w:sz w:val="20"/>
        </w:rPr>
        <w:t xml:space="preserve">The majority of the US Supreme Court has defined corruption narrowly to include </w:t>
      </w:r>
      <w:r w:rsidR="004E0341" w:rsidRPr="005C2179">
        <w:rPr>
          <w:kern w:val="2"/>
          <w:sz w:val="20"/>
        </w:rPr>
        <w:t xml:space="preserve">only </w:t>
      </w:r>
      <w:r w:rsidR="00542BD3" w:rsidRPr="005C2179">
        <w:rPr>
          <w:kern w:val="2"/>
          <w:sz w:val="20"/>
        </w:rPr>
        <w:t>direct</w:t>
      </w:r>
      <w:r w:rsidR="004E0341" w:rsidRPr="005C2179">
        <w:rPr>
          <w:kern w:val="2"/>
          <w:sz w:val="20"/>
        </w:rPr>
        <w:t xml:space="preserve"> </w:t>
      </w:r>
      <w:r w:rsidR="004E0341" w:rsidRPr="005C2179">
        <w:rPr>
          <w:i/>
          <w:kern w:val="2"/>
          <w:sz w:val="20"/>
        </w:rPr>
        <w:t>quid pro quo</w:t>
      </w:r>
      <w:r w:rsidR="004E0341" w:rsidRPr="005C2179">
        <w:rPr>
          <w:kern w:val="2"/>
          <w:sz w:val="20"/>
        </w:rPr>
        <w:t xml:space="preserve"> exchanges</w:t>
      </w:r>
      <w:r w:rsidR="008A4AE4" w:rsidRPr="005C2179">
        <w:rPr>
          <w:kern w:val="2"/>
          <w:sz w:val="20"/>
        </w:rPr>
        <w:t xml:space="preserve">, not </w:t>
      </w:r>
      <w:r w:rsidR="00542BD3" w:rsidRPr="005C2179">
        <w:rPr>
          <w:kern w:val="2"/>
          <w:sz w:val="20"/>
        </w:rPr>
        <w:t xml:space="preserve">undue influence and </w:t>
      </w:r>
      <w:r w:rsidR="008A4AE4" w:rsidRPr="005C2179">
        <w:rPr>
          <w:kern w:val="2"/>
          <w:sz w:val="20"/>
        </w:rPr>
        <w:t>access</w:t>
      </w:r>
      <w:r w:rsidR="004E0341" w:rsidRPr="005C2179">
        <w:rPr>
          <w:kern w:val="2"/>
          <w:sz w:val="20"/>
        </w:rPr>
        <w:t xml:space="preserve">. </w:t>
      </w:r>
      <w:r w:rsidR="00542BD3" w:rsidRPr="005C2179">
        <w:rPr>
          <w:kern w:val="2"/>
          <w:sz w:val="20"/>
        </w:rPr>
        <w:t>However, direct</w:t>
      </w:r>
      <w:r w:rsidR="004E0341" w:rsidRPr="005C2179">
        <w:rPr>
          <w:kern w:val="2"/>
          <w:sz w:val="20"/>
        </w:rPr>
        <w:t xml:space="preserve"> </w:t>
      </w:r>
      <w:r w:rsidR="004E0341" w:rsidRPr="005C2179">
        <w:rPr>
          <w:i/>
          <w:kern w:val="2"/>
          <w:sz w:val="20"/>
        </w:rPr>
        <w:t>quid pro quos</w:t>
      </w:r>
      <w:r w:rsidR="004E0341" w:rsidRPr="005C2179">
        <w:rPr>
          <w:kern w:val="2"/>
          <w:sz w:val="20"/>
        </w:rPr>
        <w:t xml:space="preserve"> are almost impossible</w:t>
      </w:r>
      <w:r w:rsidR="00542BD3" w:rsidRPr="005C2179">
        <w:rPr>
          <w:kern w:val="2"/>
          <w:sz w:val="20"/>
        </w:rPr>
        <w:t xml:space="preserve"> to prove and are already captured</w:t>
      </w:r>
      <w:r w:rsidR="004E0341" w:rsidRPr="005C2179">
        <w:rPr>
          <w:kern w:val="2"/>
          <w:sz w:val="20"/>
        </w:rPr>
        <w:t xml:space="preserve"> by bribery laws</w:t>
      </w:r>
      <w:r w:rsidR="00DC2BC3" w:rsidRPr="005C2179">
        <w:rPr>
          <w:kern w:val="2"/>
          <w:sz w:val="20"/>
        </w:rPr>
        <w:t>.</w:t>
      </w:r>
      <w:r w:rsidR="00DC2BC3" w:rsidRPr="005C2179">
        <w:rPr>
          <w:rStyle w:val="FootnoteReference"/>
          <w:kern w:val="2"/>
          <w:sz w:val="20"/>
        </w:rPr>
        <w:footnoteReference w:id="43"/>
      </w:r>
      <w:r w:rsidR="00DB04AB" w:rsidRPr="005C2179">
        <w:rPr>
          <w:kern w:val="2"/>
          <w:sz w:val="20"/>
        </w:rPr>
        <w:t xml:space="preserve"> </w:t>
      </w:r>
      <w:r w:rsidR="00FE0C20" w:rsidRPr="005C2179">
        <w:rPr>
          <w:kern w:val="2"/>
          <w:sz w:val="20"/>
        </w:rPr>
        <w:t>The dissenting judges</w:t>
      </w:r>
      <w:r w:rsidR="008A4AE4" w:rsidRPr="005C2179">
        <w:rPr>
          <w:kern w:val="2"/>
          <w:sz w:val="20"/>
        </w:rPr>
        <w:t xml:space="preserve"> of the US Supreme Court</w:t>
      </w:r>
      <w:r w:rsidR="00FE0C20" w:rsidRPr="005C2179">
        <w:rPr>
          <w:kern w:val="2"/>
          <w:sz w:val="20"/>
        </w:rPr>
        <w:t xml:space="preserve"> in </w:t>
      </w:r>
      <w:r w:rsidR="00FE0C20" w:rsidRPr="005C2179">
        <w:rPr>
          <w:i/>
          <w:kern w:val="2"/>
          <w:sz w:val="20"/>
        </w:rPr>
        <w:t>Citizens United</w:t>
      </w:r>
      <w:r w:rsidR="00F143B7" w:rsidRPr="005C2179">
        <w:rPr>
          <w:i/>
          <w:kern w:val="2"/>
          <w:sz w:val="20"/>
        </w:rPr>
        <w:t xml:space="preserve"> v Federal Election Commission</w:t>
      </w:r>
      <w:r w:rsidR="00FE0C20" w:rsidRPr="005C2179">
        <w:rPr>
          <w:i/>
          <w:kern w:val="2"/>
          <w:sz w:val="20"/>
        </w:rPr>
        <w:t xml:space="preserve"> </w:t>
      </w:r>
      <w:r w:rsidR="00D31017" w:rsidRPr="005C2179">
        <w:rPr>
          <w:kern w:val="2"/>
          <w:sz w:val="20"/>
        </w:rPr>
        <w:t>argued in favour of viewing</w:t>
      </w:r>
      <w:r w:rsidR="0029458B" w:rsidRPr="005C2179">
        <w:rPr>
          <w:kern w:val="2"/>
          <w:sz w:val="20"/>
        </w:rPr>
        <w:t xml:space="preserve"> corruption as</w:t>
      </w:r>
      <w:r w:rsidR="00FE0C20" w:rsidRPr="005C2179">
        <w:rPr>
          <w:kern w:val="2"/>
          <w:sz w:val="20"/>
        </w:rPr>
        <w:t xml:space="preserve"> a “spectrum</w:t>
      </w:r>
      <w:r w:rsidR="00467A8F" w:rsidRPr="005C2179">
        <w:rPr>
          <w:kern w:val="2"/>
          <w:sz w:val="20"/>
        </w:rPr>
        <w:t>,</w:t>
      </w:r>
      <w:r w:rsidR="00FE0C20" w:rsidRPr="005C2179">
        <w:rPr>
          <w:kern w:val="2"/>
          <w:sz w:val="20"/>
        </w:rPr>
        <w:t>”</w:t>
      </w:r>
      <w:r w:rsidR="00EE05DA" w:rsidRPr="005C2179">
        <w:rPr>
          <w:kern w:val="2"/>
          <w:sz w:val="20"/>
        </w:rPr>
        <w:t xml:space="preserve"> noting that</w:t>
      </w:r>
      <w:r w:rsidR="00FE0C20" w:rsidRPr="005C2179">
        <w:rPr>
          <w:kern w:val="2"/>
          <w:sz w:val="20"/>
        </w:rPr>
        <w:t xml:space="preserve"> “the difference between selling a vote and selling access is a matter of degree, not kind</w:t>
      </w:r>
      <w:r w:rsidR="00467A8F" w:rsidRPr="005C2179">
        <w:rPr>
          <w:kern w:val="2"/>
          <w:sz w:val="20"/>
        </w:rPr>
        <w:t>.</w:t>
      </w:r>
      <w:r w:rsidR="00FE0C20" w:rsidRPr="005C2179">
        <w:rPr>
          <w:kern w:val="2"/>
          <w:sz w:val="20"/>
        </w:rPr>
        <w:t>”</w:t>
      </w:r>
      <w:r w:rsidR="00EE05DA" w:rsidRPr="005C2179">
        <w:rPr>
          <w:rStyle w:val="FootnoteReference"/>
          <w:kern w:val="2"/>
          <w:sz w:val="20"/>
        </w:rPr>
        <w:footnoteReference w:id="44"/>
      </w:r>
      <w:r w:rsidR="00EE05DA" w:rsidRPr="005C2179">
        <w:rPr>
          <w:kern w:val="2"/>
          <w:sz w:val="20"/>
        </w:rPr>
        <w:t xml:space="preserve"> </w:t>
      </w:r>
    </w:p>
    <w:p w14:paraId="30D3C72B" w14:textId="40747EDE" w:rsidR="00600CD4" w:rsidRPr="005C2179" w:rsidRDefault="000A1F1B" w:rsidP="00330F4B">
      <w:pPr>
        <w:rPr>
          <w:kern w:val="2"/>
          <w:sz w:val="20"/>
        </w:rPr>
      </w:pPr>
      <w:r w:rsidRPr="005C2179">
        <w:rPr>
          <w:kern w:val="2"/>
          <w:sz w:val="20"/>
        </w:rPr>
        <w:t xml:space="preserve">Even under a broader conception of corruption, the anticorruption rationale for campaign finance regulation </w:t>
      </w:r>
      <w:r w:rsidR="009F13E8" w:rsidRPr="005C2179">
        <w:rPr>
          <w:kern w:val="2"/>
          <w:sz w:val="20"/>
        </w:rPr>
        <w:t>fails to</w:t>
      </w:r>
      <w:r w:rsidRPr="005C2179">
        <w:rPr>
          <w:kern w:val="2"/>
          <w:sz w:val="20"/>
        </w:rPr>
        <w:t xml:space="preserve"> </w:t>
      </w:r>
      <w:r w:rsidR="00600CD4" w:rsidRPr="005C2179">
        <w:rPr>
          <w:kern w:val="2"/>
          <w:sz w:val="20"/>
        </w:rPr>
        <w:t>justify</w:t>
      </w:r>
      <w:r w:rsidR="009F13E8" w:rsidRPr="005C2179">
        <w:rPr>
          <w:kern w:val="2"/>
          <w:sz w:val="20"/>
        </w:rPr>
        <w:t xml:space="preserve"> some</w:t>
      </w:r>
      <w:r w:rsidR="006408E7" w:rsidRPr="005C2179">
        <w:rPr>
          <w:kern w:val="2"/>
          <w:sz w:val="20"/>
        </w:rPr>
        <w:t xml:space="preserve"> types of regulation</w:t>
      </w:r>
      <w:r w:rsidRPr="005C2179">
        <w:rPr>
          <w:kern w:val="2"/>
          <w:sz w:val="20"/>
        </w:rPr>
        <w:t>.</w:t>
      </w:r>
      <w:r w:rsidR="00CB2C95" w:rsidRPr="005C2179">
        <w:rPr>
          <w:rStyle w:val="FootnoteReference"/>
          <w:kern w:val="2"/>
          <w:sz w:val="20"/>
        </w:rPr>
        <w:footnoteReference w:id="45"/>
      </w:r>
      <w:r w:rsidR="00B92AEA" w:rsidRPr="005C2179">
        <w:rPr>
          <w:kern w:val="2"/>
          <w:sz w:val="20"/>
        </w:rPr>
        <w:t xml:space="preserve"> </w:t>
      </w:r>
      <w:r w:rsidR="0082269A" w:rsidRPr="005C2179">
        <w:rPr>
          <w:kern w:val="2"/>
          <w:sz w:val="20"/>
        </w:rPr>
        <w:t>C</w:t>
      </w:r>
      <w:r w:rsidR="00B92AEA" w:rsidRPr="005C2179">
        <w:rPr>
          <w:kern w:val="2"/>
          <w:sz w:val="20"/>
        </w:rPr>
        <w:t xml:space="preserve">ourts must </w:t>
      </w:r>
      <w:r w:rsidR="009F13E8" w:rsidRPr="005C2179">
        <w:rPr>
          <w:kern w:val="2"/>
          <w:sz w:val="20"/>
        </w:rPr>
        <w:t xml:space="preserve">therefore </w:t>
      </w:r>
      <w:r w:rsidR="00B92AEA" w:rsidRPr="005C2179">
        <w:rPr>
          <w:kern w:val="2"/>
          <w:sz w:val="20"/>
        </w:rPr>
        <w:t xml:space="preserve">turn to other </w:t>
      </w:r>
      <w:r w:rsidR="00BF6FE4" w:rsidRPr="005C2179">
        <w:rPr>
          <w:kern w:val="2"/>
          <w:sz w:val="20"/>
        </w:rPr>
        <w:t>justificatory theor</w:t>
      </w:r>
      <w:r w:rsidR="009F13E8" w:rsidRPr="005C2179">
        <w:rPr>
          <w:kern w:val="2"/>
          <w:sz w:val="20"/>
        </w:rPr>
        <w:t xml:space="preserve">ies if such </w:t>
      </w:r>
      <w:r w:rsidR="00BF6FE4" w:rsidRPr="005C2179">
        <w:rPr>
          <w:kern w:val="2"/>
          <w:sz w:val="20"/>
        </w:rPr>
        <w:t>regulations</w:t>
      </w:r>
      <w:r w:rsidR="0082269A" w:rsidRPr="005C2179">
        <w:rPr>
          <w:kern w:val="2"/>
          <w:sz w:val="20"/>
        </w:rPr>
        <w:t xml:space="preserve"> </w:t>
      </w:r>
      <w:r w:rsidR="00BF6FE4" w:rsidRPr="005C2179">
        <w:rPr>
          <w:kern w:val="2"/>
          <w:sz w:val="20"/>
        </w:rPr>
        <w:t>infringe constitutional rights</w:t>
      </w:r>
      <w:r w:rsidR="00B92AEA" w:rsidRPr="005C2179">
        <w:rPr>
          <w:kern w:val="2"/>
          <w:sz w:val="20"/>
        </w:rPr>
        <w:t xml:space="preserve">. </w:t>
      </w:r>
      <w:r w:rsidR="006408E7" w:rsidRPr="005C2179">
        <w:rPr>
          <w:kern w:val="2"/>
          <w:sz w:val="20"/>
        </w:rPr>
        <w:t>For example, spending</w:t>
      </w:r>
      <w:r w:rsidR="008051A9" w:rsidRPr="005C2179">
        <w:rPr>
          <w:kern w:val="2"/>
          <w:sz w:val="20"/>
        </w:rPr>
        <w:t xml:space="preserve"> limits </w:t>
      </w:r>
      <w:r w:rsidR="006408E7" w:rsidRPr="005C2179">
        <w:rPr>
          <w:kern w:val="2"/>
          <w:sz w:val="20"/>
        </w:rPr>
        <w:t>for</w:t>
      </w:r>
      <w:r w:rsidR="00BF6FE4" w:rsidRPr="005C2179">
        <w:rPr>
          <w:kern w:val="2"/>
          <w:sz w:val="20"/>
        </w:rPr>
        <w:t xml:space="preserve"> candidates and parties do little to </w:t>
      </w:r>
      <w:r w:rsidR="006408E7" w:rsidRPr="005C2179">
        <w:rPr>
          <w:kern w:val="2"/>
          <w:sz w:val="20"/>
        </w:rPr>
        <w:t xml:space="preserve">prevent reliance on big donors, although such limits </w:t>
      </w:r>
      <w:r w:rsidR="00085150" w:rsidRPr="005C2179">
        <w:rPr>
          <w:kern w:val="2"/>
          <w:sz w:val="20"/>
        </w:rPr>
        <w:t>reduce the amount of money needed by candidates and parties</w:t>
      </w:r>
      <w:r w:rsidRPr="005C2179">
        <w:rPr>
          <w:kern w:val="2"/>
          <w:sz w:val="20"/>
        </w:rPr>
        <w:t>.</w:t>
      </w:r>
      <w:r w:rsidR="00BA4208" w:rsidRPr="005C2179">
        <w:rPr>
          <w:rStyle w:val="FootnoteReference"/>
          <w:kern w:val="2"/>
          <w:sz w:val="20"/>
        </w:rPr>
        <w:footnoteReference w:id="46"/>
      </w:r>
      <w:r w:rsidR="00600CD4" w:rsidRPr="005C2179">
        <w:rPr>
          <w:kern w:val="2"/>
          <w:sz w:val="20"/>
        </w:rPr>
        <w:t xml:space="preserve"> </w:t>
      </w:r>
      <w:r w:rsidR="001B68C7" w:rsidRPr="005C2179">
        <w:rPr>
          <w:kern w:val="2"/>
          <w:sz w:val="20"/>
        </w:rPr>
        <w:t xml:space="preserve">In the US, </w:t>
      </w:r>
      <w:r w:rsidR="00124605" w:rsidRPr="005C2179">
        <w:rPr>
          <w:kern w:val="2"/>
          <w:sz w:val="20"/>
        </w:rPr>
        <w:t xml:space="preserve">courts view </w:t>
      </w:r>
      <w:r w:rsidR="001B68C7" w:rsidRPr="005C2179">
        <w:rPr>
          <w:kern w:val="2"/>
          <w:sz w:val="20"/>
        </w:rPr>
        <w:t>the anticorruption rationale as insufficient to justify restrictions on third-party independent expenditures. According to the majority of the US Supreme Court,</w:t>
      </w:r>
      <w:r w:rsidR="003C003D" w:rsidRPr="005C2179">
        <w:rPr>
          <w:kern w:val="2"/>
          <w:sz w:val="20"/>
        </w:rPr>
        <w:t xml:space="preserve"> the lack of coordination between the third party and the candidate</w:t>
      </w:r>
      <w:r w:rsidR="00124605" w:rsidRPr="005C2179">
        <w:rPr>
          <w:kern w:val="2"/>
          <w:sz w:val="20"/>
        </w:rPr>
        <w:t xml:space="preserve"> </w:t>
      </w:r>
      <w:r w:rsidR="001B68C7" w:rsidRPr="005C2179">
        <w:rPr>
          <w:kern w:val="2"/>
          <w:sz w:val="20"/>
        </w:rPr>
        <w:t>re</w:t>
      </w:r>
      <w:r w:rsidR="0006616B" w:rsidRPr="005C2179">
        <w:rPr>
          <w:kern w:val="2"/>
          <w:sz w:val="20"/>
        </w:rPr>
        <w:t xml:space="preserve">duces the value </w:t>
      </w:r>
      <w:r w:rsidR="002E53CA" w:rsidRPr="005C2179">
        <w:rPr>
          <w:kern w:val="2"/>
          <w:sz w:val="20"/>
        </w:rPr>
        <w:t xml:space="preserve">of </w:t>
      </w:r>
      <w:r w:rsidR="009F13E8" w:rsidRPr="005C2179">
        <w:rPr>
          <w:kern w:val="2"/>
          <w:sz w:val="20"/>
        </w:rPr>
        <w:t xml:space="preserve">the expenditure </w:t>
      </w:r>
      <w:r w:rsidR="001B68C7" w:rsidRPr="005C2179">
        <w:rPr>
          <w:kern w:val="2"/>
          <w:sz w:val="20"/>
        </w:rPr>
        <w:t xml:space="preserve">to </w:t>
      </w:r>
      <w:r w:rsidR="00960EBC" w:rsidRPr="005C2179">
        <w:rPr>
          <w:kern w:val="2"/>
          <w:sz w:val="20"/>
        </w:rPr>
        <w:t>the candidate</w:t>
      </w:r>
      <w:r w:rsidR="001B68C7" w:rsidRPr="005C2179">
        <w:rPr>
          <w:kern w:val="2"/>
          <w:sz w:val="20"/>
        </w:rPr>
        <w:t xml:space="preserve">, </w:t>
      </w:r>
      <w:r w:rsidR="00960EBC" w:rsidRPr="005C2179">
        <w:rPr>
          <w:kern w:val="2"/>
          <w:sz w:val="20"/>
        </w:rPr>
        <w:t xml:space="preserve">therefore </w:t>
      </w:r>
      <w:r w:rsidR="001B68C7" w:rsidRPr="005C2179">
        <w:rPr>
          <w:kern w:val="2"/>
          <w:sz w:val="20"/>
        </w:rPr>
        <w:t xml:space="preserve">reducing the risk of </w:t>
      </w:r>
      <w:r w:rsidR="001B68C7" w:rsidRPr="005C2179">
        <w:rPr>
          <w:i/>
          <w:kern w:val="2"/>
          <w:sz w:val="20"/>
        </w:rPr>
        <w:t>quid pro quo</w:t>
      </w:r>
      <w:r w:rsidR="00CE53C3" w:rsidRPr="005C2179">
        <w:rPr>
          <w:i/>
          <w:kern w:val="2"/>
          <w:sz w:val="20"/>
        </w:rPr>
        <w:t xml:space="preserve"> </w:t>
      </w:r>
      <w:r w:rsidR="00CE53C3" w:rsidRPr="005C2179">
        <w:rPr>
          <w:kern w:val="2"/>
          <w:sz w:val="20"/>
        </w:rPr>
        <w:t>exchanges</w:t>
      </w:r>
      <w:r w:rsidR="001B68C7" w:rsidRPr="005C2179">
        <w:rPr>
          <w:kern w:val="2"/>
          <w:sz w:val="20"/>
        </w:rPr>
        <w:t>.</w:t>
      </w:r>
      <w:r w:rsidR="001B68C7" w:rsidRPr="005C2179">
        <w:rPr>
          <w:rStyle w:val="FootnoteReference"/>
          <w:kern w:val="2"/>
          <w:sz w:val="20"/>
        </w:rPr>
        <w:footnoteReference w:id="47"/>
      </w:r>
      <w:r w:rsidR="0006616B" w:rsidRPr="005C2179">
        <w:rPr>
          <w:kern w:val="2"/>
          <w:sz w:val="20"/>
        </w:rPr>
        <w:t xml:space="preserve"> However, </w:t>
      </w:r>
      <w:r w:rsidR="00322A41" w:rsidRPr="005C2179">
        <w:rPr>
          <w:kern w:val="2"/>
          <w:sz w:val="20"/>
        </w:rPr>
        <w:t xml:space="preserve">others argue that </w:t>
      </w:r>
      <w:r w:rsidR="009F13E8" w:rsidRPr="005C2179">
        <w:rPr>
          <w:kern w:val="2"/>
          <w:sz w:val="20"/>
        </w:rPr>
        <w:t xml:space="preserve">the absence of coordination does not </w:t>
      </w:r>
      <w:r w:rsidR="00BE0604" w:rsidRPr="005C2179">
        <w:rPr>
          <w:kern w:val="2"/>
          <w:sz w:val="20"/>
        </w:rPr>
        <w:t>prevent candidates from feeling</w:t>
      </w:r>
      <w:r w:rsidR="003818A9" w:rsidRPr="005C2179">
        <w:rPr>
          <w:kern w:val="2"/>
          <w:sz w:val="20"/>
        </w:rPr>
        <w:t xml:space="preserve"> grateful to third parties who have spent vast sums supporting their candidacies, or from wishing to maintain their support for future elections.</w:t>
      </w:r>
      <w:r w:rsidR="00486490" w:rsidRPr="005C2179">
        <w:rPr>
          <w:rStyle w:val="FootnoteReference"/>
          <w:kern w:val="2"/>
          <w:sz w:val="20"/>
        </w:rPr>
        <w:footnoteReference w:id="48"/>
      </w:r>
      <w:r w:rsidR="003818A9" w:rsidRPr="005C2179">
        <w:rPr>
          <w:kern w:val="2"/>
          <w:sz w:val="20"/>
        </w:rPr>
        <w:t xml:space="preserve"> </w:t>
      </w:r>
    </w:p>
    <w:p w14:paraId="478C9077" w14:textId="0798A69E" w:rsidR="003823F5" w:rsidRPr="005C2179" w:rsidRDefault="00E72247" w:rsidP="00BF63B6">
      <w:pPr>
        <w:pStyle w:val="Heading2"/>
        <w:rPr>
          <w:kern w:val="2"/>
          <w:sz w:val="24"/>
        </w:rPr>
      </w:pPr>
      <w:r w:rsidRPr="005C2179">
        <w:rPr>
          <w:kern w:val="2"/>
          <w:sz w:val="24"/>
        </w:rPr>
        <w:t>Equality,</w:t>
      </w:r>
      <w:r w:rsidR="001C5EA4" w:rsidRPr="005C2179">
        <w:rPr>
          <w:kern w:val="2"/>
          <w:sz w:val="24"/>
        </w:rPr>
        <w:t xml:space="preserve"> F</w:t>
      </w:r>
      <w:r w:rsidR="00F75E3F" w:rsidRPr="005C2179">
        <w:rPr>
          <w:kern w:val="2"/>
          <w:sz w:val="24"/>
        </w:rPr>
        <w:t>airness</w:t>
      </w:r>
      <w:r w:rsidR="001C5EA4" w:rsidRPr="005C2179">
        <w:rPr>
          <w:kern w:val="2"/>
          <w:sz w:val="24"/>
        </w:rPr>
        <w:t>, and P</w:t>
      </w:r>
      <w:r w:rsidRPr="005C2179">
        <w:rPr>
          <w:kern w:val="2"/>
          <w:sz w:val="24"/>
        </w:rPr>
        <w:t>articipation</w:t>
      </w:r>
      <w:r w:rsidR="00F75E3F" w:rsidRPr="005C2179">
        <w:rPr>
          <w:kern w:val="2"/>
          <w:sz w:val="24"/>
        </w:rPr>
        <w:t xml:space="preserve"> </w:t>
      </w:r>
    </w:p>
    <w:p w14:paraId="768F08E2" w14:textId="77777777" w:rsidR="008051A9" w:rsidRPr="005C2179" w:rsidRDefault="009D18FE" w:rsidP="00330F4B">
      <w:pPr>
        <w:rPr>
          <w:kern w:val="2"/>
          <w:sz w:val="20"/>
        </w:rPr>
      </w:pPr>
      <w:r w:rsidRPr="005C2179">
        <w:rPr>
          <w:kern w:val="2"/>
          <w:sz w:val="20"/>
        </w:rPr>
        <w:t>C</w:t>
      </w:r>
      <w:r w:rsidR="00CA39B4" w:rsidRPr="005C2179">
        <w:rPr>
          <w:kern w:val="2"/>
          <w:sz w:val="20"/>
        </w:rPr>
        <w:t>am</w:t>
      </w:r>
      <w:r w:rsidR="008051A9" w:rsidRPr="005C2179">
        <w:rPr>
          <w:kern w:val="2"/>
          <w:sz w:val="20"/>
        </w:rPr>
        <w:t>pai</w:t>
      </w:r>
      <w:r w:rsidR="00FF1497" w:rsidRPr="005C2179">
        <w:rPr>
          <w:kern w:val="2"/>
          <w:sz w:val="20"/>
        </w:rPr>
        <w:t>gn finance regulations are sometimes</w:t>
      </w:r>
      <w:r w:rsidR="008051A9" w:rsidRPr="005C2179">
        <w:rPr>
          <w:kern w:val="2"/>
          <w:sz w:val="20"/>
        </w:rPr>
        <w:t xml:space="preserve"> </w:t>
      </w:r>
      <w:r w:rsidR="00E72247" w:rsidRPr="005C2179">
        <w:rPr>
          <w:kern w:val="2"/>
          <w:sz w:val="20"/>
        </w:rPr>
        <w:t xml:space="preserve">motivated by </w:t>
      </w:r>
      <w:r w:rsidR="008051A9" w:rsidRPr="005C2179">
        <w:rPr>
          <w:kern w:val="2"/>
          <w:sz w:val="20"/>
        </w:rPr>
        <w:t xml:space="preserve">the desire to promote equality and </w:t>
      </w:r>
      <w:r w:rsidR="00E72247" w:rsidRPr="005C2179">
        <w:rPr>
          <w:kern w:val="2"/>
          <w:sz w:val="20"/>
        </w:rPr>
        <w:t>fairness</w:t>
      </w:r>
      <w:r w:rsidR="00580963" w:rsidRPr="005C2179">
        <w:rPr>
          <w:kern w:val="2"/>
          <w:sz w:val="20"/>
        </w:rPr>
        <w:t xml:space="preserve"> in the electoral system</w:t>
      </w:r>
      <w:r w:rsidR="00E72247" w:rsidRPr="005C2179">
        <w:rPr>
          <w:kern w:val="2"/>
          <w:sz w:val="20"/>
        </w:rPr>
        <w:t xml:space="preserve">. </w:t>
      </w:r>
      <w:r w:rsidR="00666156" w:rsidRPr="005C2179">
        <w:rPr>
          <w:kern w:val="2"/>
          <w:sz w:val="20"/>
        </w:rPr>
        <w:t>Th</w:t>
      </w:r>
      <w:r w:rsidR="00580963" w:rsidRPr="005C2179">
        <w:rPr>
          <w:kern w:val="2"/>
          <w:sz w:val="20"/>
        </w:rPr>
        <w:t>is</w:t>
      </w:r>
      <w:r w:rsidR="00666156" w:rsidRPr="005C2179">
        <w:rPr>
          <w:kern w:val="2"/>
          <w:sz w:val="20"/>
        </w:rPr>
        <w:t xml:space="preserve"> </w:t>
      </w:r>
      <w:r w:rsidR="008051A9" w:rsidRPr="005C2179">
        <w:rPr>
          <w:kern w:val="2"/>
          <w:sz w:val="20"/>
        </w:rPr>
        <w:t>egalitarian model of campaign finance</w:t>
      </w:r>
      <w:r w:rsidR="00666156" w:rsidRPr="005C2179">
        <w:rPr>
          <w:kern w:val="2"/>
          <w:sz w:val="20"/>
        </w:rPr>
        <w:t xml:space="preserve"> can be contrasted with the libertarian model</w:t>
      </w:r>
      <w:r w:rsidRPr="005C2179">
        <w:rPr>
          <w:kern w:val="2"/>
          <w:sz w:val="20"/>
        </w:rPr>
        <w:t xml:space="preserve">. The libertarian model responds to fears that </w:t>
      </w:r>
      <w:r w:rsidR="00666156" w:rsidRPr="005C2179">
        <w:rPr>
          <w:kern w:val="2"/>
          <w:sz w:val="20"/>
        </w:rPr>
        <w:t>“a regulated marketplace of ideas may result in the entrenchment of the powerful</w:t>
      </w:r>
      <w:r w:rsidR="00467A8F" w:rsidRPr="005C2179">
        <w:rPr>
          <w:kern w:val="2"/>
          <w:sz w:val="20"/>
        </w:rPr>
        <w:t>,</w:t>
      </w:r>
      <w:r w:rsidR="00666156" w:rsidRPr="005C2179">
        <w:rPr>
          <w:kern w:val="2"/>
          <w:sz w:val="20"/>
        </w:rPr>
        <w:t xml:space="preserve">” </w:t>
      </w:r>
      <w:r w:rsidR="00C77F3E" w:rsidRPr="005C2179">
        <w:rPr>
          <w:kern w:val="2"/>
          <w:sz w:val="20"/>
        </w:rPr>
        <w:t>whereas</w:t>
      </w:r>
      <w:r w:rsidR="00666156" w:rsidRPr="005C2179">
        <w:rPr>
          <w:kern w:val="2"/>
          <w:sz w:val="20"/>
        </w:rPr>
        <w:t xml:space="preserve"> the egalitarian model responds to concerns that “an unregulated marketplace of ideas may result in the entrenchment of the wealthy</w:t>
      </w:r>
      <w:r w:rsidR="00467A8F" w:rsidRPr="005C2179">
        <w:rPr>
          <w:kern w:val="2"/>
          <w:sz w:val="20"/>
        </w:rPr>
        <w:t>.</w:t>
      </w:r>
      <w:r w:rsidR="00666156" w:rsidRPr="005C2179">
        <w:rPr>
          <w:kern w:val="2"/>
          <w:sz w:val="20"/>
        </w:rPr>
        <w:t>”</w:t>
      </w:r>
      <w:r w:rsidR="00666156" w:rsidRPr="005C2179">
        <w:rPr>
          <w:rStyle w:val="FootnoteReference"/>
          <w:kern w:val="2"/>
          <w:sz w:val="20"/>
        </w:rPr>
        <w:footnoteReference w:id="49"/>
      </w:r>
      <w:r w:rsidR="00666156" w:rsidRPr="005C2179">
        <w:rPr>
          <w:kern w:val="2"/>
          <w:sz w:val="20"/>
        </w:rPr>
        <w:t xml:space="preserve"> The egalitarian model</w:t>
      </w:r>
      <w:r w:rsidR="00580963" w:rsidRPr="005C2179">
        <w:rPr>
          <w:kern w:val="2"/>
          <w:sz w:val="20"/>
        </w:rPr>
        <w:t xml:space="preserve"> of campaign finance</w:t>
      </w:r>
      <w:r w:rsidR="00666156" w:rsidRPr="005C2179">
        <w:rPr>
          <w:kern w:val="2"/>
          <w:sz w:val="20"/>
        </w:rPr>
        <w:t xml:space="preserve"> has been accepted </w:t>
      </w:r>
      <w:r w:rsidRPr="005C2179">
        <w:rPr>
          <w:kern w:val="2"/>
          <w:sz w:val="20"/>
        </w:rPr>
        <w:t xml:space="preserve">as a valid </w:t>
      </w:r>
      <w:r w:rsidR="00CA39B4" w:rsidRPr="005C2179">
        <w:rPr>
          <w:kern w:val="2"/>
          <w:sz w:val="20"/>
        </w:rPr>
        <w:t xml:space="preserve">legislative </w:t>
      </w:r>
      <w:r w:rsidRPr="005C2179">
        <w:rPr>
          <w:kern w:val="2"/>
          <w:sz w:val="20"/>
        </w:rPr>
        <w:t xml:space="preserve">choice </w:t>
      </w:r>
      <w:r w:rsidR="00AB0887" w:rsidRPr="005C2179">
        <w:rPr>
          <w:kern w:val="2"/>
          <w:sz w:val="20"/>
        </w:rPr>
        <w:t>by the Supreme Court of Canada.</w:t>
      </w:r>
      <w:r w:rsidR="004C052F" w:rsidRPr="005C2179">
        <w:rPr>
          <w:rStyle w:val="FootnoteReference"/>
          <w:kern w:val="2"/>
          <w:sz w:val="20"/>
        </w:rPr>
        <w:footnoteReference w:id="50"/>
      </w:r>
      <w:r w:rsidR="00666156" w:rsidRPr="005C2179">
        <w:rPr>
          <w:kern w:val="2"/>
          <w:sz w:val="20"/>
        </w:rPr>
        <w:t xml:space="preserve"> </w:t>
      </w:r>
      <w:r w:rsidR="008157E9" w:rsidRPr="005C2179">
        <w:rPr>
          <w:kern w:val="2"/>
          <w:sz w:val="20"/>
        </w:rPr>
        <w:t>T</w:t>
      </w:r>
      <w:r w:rsidR="00666156" w:rsidRPr="005C2179">
        <w:rPr>
          <w:kern w:val="2"/>
          <w:sz w:val="20"/>
        </w:rPr>
        <w:t>he majority of the US Supreme Court</w:t>
      </w:r>
      <w:r w:rsidR="008157E9" w:rsidRPr="005C2179">
        <w:rPr>
          <w:kern w:val="2"/>
          <w:sz w:val="20"/>
        </w:rPr>
        <w:t>, on the other hand,</w:t>
      </w:r>
      <w:r w:rsidR="00666156" w:rsidRPr="005C2179">
        <w:rPr>
          <w:kern w:val="2"/>
          <w:sz w:val="20"/>
        </w:rPr>
        <w:t xml:space="preserve"> has </w:t>
      </w:r>
      <w:r w:rsidR="00AB0887" w:rsidRPr="005C2179">
        <w:rPr>
          <w:kern w:val="2"/>
          <w:sz w:val="20"/>
        </w:rPr>
        <w:t>settled on the libertarian model</w:t>
      </w:r>
      <w:r w:rsidR="00666156" w:rsidRPr="005C2179">
        <w:rPr>
          <w:kern w:val="2"/>
          <w:sz w:val="20"/>
        </w:rPr>
        <w:t>.</w:t>
      </w:r>
      <w:r w:rsidR="00AB0887" w:rsidRPr="005C2179">
        <w:rPr>
          <w:rStyle w:val="FootnoteReference"/>
          <w:kern w:val="2"/>
          <w:sz w:val="20"/>
        </w:rPr>
        <w:footnoteReference w:id="51"/>
      </w:r>
      <w:r w:rsidR="00AB0887" w:rsidRPr="005C2179">
        <w:rPr>
          <w:kern w:val="2"/>
          <w:sz w:val="20"/>
        </w:rPr>
        <w:t xml:space="preserve"> </w:t>
      </w:r>
    </w:p>
    <w:p w14:paraId="6854B644" w14:textId="77777777" w:rsidR="006C528E" w:rsidRPr="005C2179" w:rsidRDefault="00FE13FB" w:rsidP="00330F4B">
      <w:pPr>
        <w:rPr>
          <w:kern w:val="2"/>
          <w:sz w:val="20"/>
        </w:rPr>
      </w:pPr>
      <w:r w:rsidRPr="005C2179">
        <w:rPr>
          <w:kern w:val="2"/>
          <w:sz w:val="20"/>
        </w:rPr>
        <w:t>Various goa</w:t>
      </w:r>
      <w:r w:rsidR="00E226F6" w:rsidRPr="005C2179">
        <w:rPr>
          <w:kern w:val="2"/>
          <w:sz w:val="20"/>
        </w:rPr>
        <w:t>ls are</w:t>
      </w:r>
      <w:r w:rsidR="006F3C72" w:rsidRPr="005C2179">
        <w:rPr>
          <w:kern w:val="2"/>
          <w:sz w:val="20"/>
        </w:rPr>
        <w:t xml:space="preserve"> tied to the equality and fairness rationale</w:t>
      </w:r>
      <w:r w:rsidR="006C528E" w:rsidRPr="005C2179">
        <w:rPr>
          <w:kern w:val="2"/>
          <w:sz w:val="20"/>
        </w:rPr>
        <w:t>. First, many argue that campaign finance must be regulated to</w:t>
      </w:r>
      <w:r w:rsidR="00E226F6" w:rsidRPr="005C2179">
        <w:rPr>
          <w:kern w:val="2"/>
          <w:sz w:val="20"/>
        </w:rPr>
        <w:t xml:space="preserve"> </w:t>
      </w:r>
      <w:r w:rsidR="003E082C" w:rsidRPr="005C2179">
        <w:rPr>
          <w:kern w:val="2"/>
          <w:sz w:val="20"/>
        </w:rPr>
        <w:t>prevent the wealthy from</w:t>
      </w:r>
      <w:r w:rsidR="006C528E" w:rsidRPr="005C2179">
        <w:rPr>
          <w:kern w:val="2"/>
          <w:sz w:val="20"/>
        </w:rPr>
        <w:t xml:space="preserve"> drown</w:t>
      </w:r>
      <w:r w:rsidR="003E082C" w:rsidRPr="005C2179">
        <w:rPr>
          <w:kern w:val="2"/>
          <w:sz w:val="20"/>
        </w:rPr>
        <w:t>ing</w:t>
      </w:r>
      <w:r w:rsidR="006C528E" w:rsidRPr="005C2179">
        <w:rPr>
          <w:kern w:val="2"/>
          <w:sz w:val="20"/>
        </w:rPr>
        <w:t xml:space="preserve"> out other speakers and set</w:t>
      </w:r>
      <w:r w:rsidR="003E082C" w:rsidRPr="005C2179">
        <w:rPr>
          <w:kern w:val="2"/>
          <w:sz w:val="20"/>
        </w:rPr>
        <w:t>ting</w:t>
      </w:r>
      <w:r w:rsidR="006C528E" w:rsidRPr="005C2179">
        <w:rPr>
          <w:kern w:val="2"/>
          <w:sz w:val="20"/>
        </w:rPr>
        <w:t xml:space="preserve"> the issue agenda of electoral debate.</w:t>
      </w:r>
      <w:r w:rsidR="006C528E" w:rsidRPr="005C2179">
        <w:rPr>
          <w:rStyle w:val="FootnoteReference"/>
          <w:kern w:val="2"/>
          <w:sz w:val="20"/>
        </w:rPr>
        <w:footnoteReference w:id="52"/>
      </w:r>
      <w:r w:rsidR="006C528E" w:rsidRPr="005C2179">
        <w:rPr>
          <w:kern w:val="2"/>
          <w:sz w:val="20"/>
        </w:rPr>
        <w:t xml:space="preserve"> Otherwise, under-resourced viewpoints will be lost and under-resourced citizens will be barred from </w:t>
      </w:r>
      <w:r w:rsidR="008051A9" w:rsidRPr="005C2179">
        <w:rPr>
          <w:kern w:val="2"/>
          <w:sz w:val="20"/>
        </w:rPr>
        <w:t>meaningful</w:t>
      </w:r>
      <w:r w:rsidR="006C528E" w:rsidRPr="005C2179">
        <w:rPr>
          <w:kern w:val="2"/>
          <w:sz w:val="20"/>
        </w:rPr>
        <w:t xml:space="preserve"> participation in debate, leading to cynicism. In the House of Lords’ decision in </w:t>
      </w:r>
      <w:r w:rsidR="006C528E" w:rsidRPr="005C2179">
        <w:rPr>
          <w:i/>
          <w:kern w:val="2"/>
          <w:sz w:val="20"/>
        </w:rPr>
        <w:t>Animal Defenders International v the United Kingdom</w:t>
      </w:r>
      <w:r w:rsidR="00B83377" w:rsidRPr="005C2179">
        <w:rPr>
          <w:kern w:val="2"/>
          <w:sz w:val="20"/>
        </w:rPr>
        <w:t>,</w:t>
      </w:r>
      <w:r w:rsidR="006C528E" w:rsidRPr="005C2179">
        <w:rPr>
          <w:i/>
          <w:kern w:val="2"/>
          <w:sz w:val="20"/>
        </w:rPr>
        <w:t xml:space="preserve"> </w:t>
      </w:r>
      <w:r w:rsidR="006C528E" w:rsidRPr="005C2179">
        <w:rPr>
          <w:kern w:val="2"/>
          <w:sz w:val="20"/>
        </w:rPr>
        <w:t xml:space="preserve">Lord Bingham </w:t>
      </w:r>
      <w:r w:rsidR="00394DA6" w:rsidRPr="005C2179">
        <w:rPr>
          <w:kern w:val="2"/>
          <w:sz w:val="20"/>
        </w:rPr>
        <w:t xml:space="preserve">pointed out that, if “the playing field of debate” is not level, views </w:t>
      </w:r>
      <w:r w:rsidR="006C528E" w:rsidRPr="005C2179">
        <w:rPr>
          <w:kern w:val="2"/>
          <w:sz w:val="20"/>
        </w:rPr>
        <w:t>“may come to be accepted by the public not because they are shown in public debate to be right but because, by dint of constant repetition, the public have been conditioned to accept them.”</w:t>
      </w:r>
      <w:r w:rsidR="00394DA6" w:rsidRPr="005C2179">
        <w:rPr>
          <w:rStyle w:val="FootnoteReference"/>
          <w:kern w:val="2"/>
          <w:sz w:val="20"/>
        </w:rPr>
        <w:footnoteReference w:id="53"/>
      </w:r>
      <w:r w:rsidR="006C528E" w:rsidRPr="005C2179">
        <w:rPr>
          <w:kern w:val="2"/>
          <w:sz w:val="20"/>
        </w:rPr>
        <w:t xml:space="preserve"> The Supreme Court of Canada has similarly emphasized </w:t>
      </w:r>
      <w:r w:rsidR="0071408D" w:rsidRPr="005C2179">
        <w:rPr>
          <w:kern w:val="2"/>
          <w:sz w:val="20"/>
        </w:rPr>
        <w:t>that,</w:t>
      </w:r>
      <w:r w:rsidR="006C528E" w:rsidRPr="005C2179">
        <w:rPr>
          <w:kern w:val="2"/>
          <w:sz w:val="20"/>
        </w:rPr>
        <w:t xml:space="preserve"> “[t]o ensure a right of equal participation in democratic government, laws limiting spending are needed to</w:t>
      </w:r>
      <w:r w:rsidR="00467A8F" w:rsidRPr="005C2179">
        <w:rPr>
          <w:kern w:val="2"/>
          <w:sz w:val="20"/>
        </w:rPr>
        <w:t xml:space="preserve"> </w:t>
      </w:r>
      <w:r w:rsidR="006C528E" w:rsidRPr="005C2179">
        <w:rPr>
          <w:kern w:val="2"/>
          <w:sz w:val="20"/>
        </w:rPr>
        <w:t>...</w:t>
      </w:r>
      <w:r w:rsidR="00467A8F" w:rsidRPr="005C2179">
        <w:rPr>
          <w:kern w:val="2"/>
          <w:sz w:val="20"/>
        </w:rPr>
        <w:t xml:space="preserve"> </w:t>
      </w:r>
      <w:r w:rsidR="006C528E" w:rsidRPr="005C2179">
        <w:rPr>
          <w:kern w:val="2"/>
          <w:sz w:val="20"/>
        </w:rPr>
        <w:t>ensure that one person’s exercise of the freedom to spend does not hinder the communication opportunities of others.”</w:t>
      </w:r>
      <w:r w:rsidR="0071408D" w:rsidRPr="005C2179">
        <w:rPr>
          <w:rStyle w:val="FootnoteReference"/>
          <w:kern w:val="2"/>
          <w:sz w:val="20"/>
        </w:rPr>
        <w:footnoteReference w:id="54"/>
      </w:r>
    </w:p>
    <w:p w14:paraId="14E14BC3" w14:textId="77777777" w:rsidR="00F237F0" w:rsidRPr="005C2179" w:rsidRDefault="00B6385B" w:rsidP="00330F4B">
      <w:pPr>
        <w:rPr>
          <w:kern w:val="2"/>
          <w:sz w:val="20"/>
        </w:rPr>
      </w:pPr>
      <w:r w:rsidRPr="005C2179">
        <w:rPr>
          <w:kern w:val="2"/>
          <w:sz w:val="20"/>
        </w:rPr>
        <w:t xml:space="preserve">Second, </w:t>
      </w:r>
      <w:r w:rsidR="00C10EF5" w:rsidRPr="005C2179">
        <w:rPr>
          <w:kern w:val="2"/>
          <w:sz w:val="20"/>
        </w:rPr>
        <w:t xml:space="preserve">many argue that </w:t>
      </w:r>
      <w:r w:rsidR="003F729E" w:rsidRPr="005C2179">
        <w:rPr>
          <w:kern w:val="2"/>
          <w:sz w:val="20"/>
        </w:rPr>
        <w:t xml:space="preserve">unregulated </w:t>
      </w:r>
      <w:r w:rsidR="00C10EF5" w:rsidRPr="005C2179">
        <w:rPr>
          <w:kern w:val="2"/>
          <w:sz w:val="20"/>
        </w:rPr>
        <w:t>campaign finance</w:t>
      </w:r>
      <w:r w:rsidR="003F729E" w:rsidRPr="005C2179">
        <w:rPr>
          <w:kern w:val="2"/>
          <w:sz w:val="20"/>
        </w:rPr>
        <w:t xml:space="preserve"> </w:t>
      </w:r>
      <w:r w:rsidR="00C82C13" w:rsidRPr="005C2179">
        <w:rPr>
          <w:kern w:val="2"/>
          <w:sz w:val="20"/>
        </w:rPr>
        <w:t>allows</w:t>
      </w:r>
      <w:r w:rsidR="00F447DC" w:rsidRPr="005C2179">
        <w:rPr>
          <w:kern w:val="2"/>
          <w:sz w:val="20"/>
        </w:rPr>
        <w:t xml:space="preserve"> the wealthy to have a</w:t>
      </w:r>
      <w:r w:rsidR="003F729E" w:rsidRPr="005C2179">
        <w:rPr>
          <w:kern w:val="2"/>
          <w:sz w:val="20"/>
        </w:rPr>
        <w:t xml:space="preserve"> disproportionate impact on electoral outcomes</w:t>
      </w:r>
      <w:r w:rsidR="00FE13FB" w:rsidRPr="005C2179">
        <w:rPr>
          <w:kern w:val="2"/>
          <w:sz w:val="20"/>
        </w:rPr>
        <w:t>.</w:t>
      </w:r>
      <w:r w:rsidR="003F729E" w:rsidRPr="005C2179">
        <w:rPr>
          <w:rStyle w:val="FootnoteReference"/>
          <w:kern w:val="2"/>
          <w:sz w:val="20"/>
        </w:rPr>
        <w:footnoteReference w:id="55"/>
      </w:r>
      <w:r w:rsidR="003F729E" w:rsidRPr="005C2179">
        <w:rPr>
          <w:kern w:val="2"/>
          <w:sz w:val="20"/>
        </w:rPr>
        <w:t xml:space="preserve"> </w:t>
      </w:r>
      <w:r w:rsidR="00580963" w:rsidRPr="005C2179">
        <w:rPr>
          <w:kern w:val="2"/>
          <w:sz w:val="20"/>
        </w:rPr>
        <w:t>Various studies suggest</w:t>
      </w:r>
      <w:r w:rsidR="00F237F0" w:rsidRPr="005C2179">
        <w:rPr>
          <w:kern w:val="2"/>
          <w:sz w:val="20"/>
        </w:rPr>
        <w:t xml:space="preserve"> that the candidate who spends the most is more likely to win the election.</w:t>
      </w:r>
      <w:r w:rsidR="00F237F0" w:rsidRPr="005C2179">
        <w:rPr>
          <w:rStyle w:val="FootnoteReference"/>
          <w:kern w:val="2"/>
          <w:sz w:val="20"/>
        </w:rPr>
        <w:footnoteReference w:id="56"/>
      </w:r>
      <w:r w:rsidR="00F237F0" w:rsidRPr="005C2179">
        <w:rPr>
          <w:kern w:val="2"/>
          <w:sz w:val="20"/>
        </w:rPr>
        <w:t xml:space="preserve"> </w:t>
      </w:r>
      <w:r w:rsidR="00C82C13" w:rsidRPr="005C2179">
        <w:rPr>
          <w:kern w:val="2"/>
          <w:sz w:val="20"/>
        </w:rPr>
        <w:t>This</w:t>
      </w:r>
      <w:r w:rsidR="00B37D90" w:rsidRPr="005C2179">
        <w:rPr>
          <w:kern w:val="2"/>
          <w:sz w:val="20"/>
        </w:rPr>
        <w:t xml:space="preserve"> is sometimes seen as a form of corruption, but a corruption of voters</w:t>
      </w:r>
      <w:r w:rsidR="00F237F0" w:rsidRPr="005C2179">
        <w:rPr>
          <w:kern w:val="2"/>
          <w:sz w:val="20"/>
        </w:rPr>
        <w:t xml:space="preserve"> and the electoral system</w:t>
      </w:r>
      <w:r w:rsidR="003A1B17" w:rsidRPr="005C2179">
        <w:rPr>
          <w:kern w:val="2"/>
          <w:sz w:val="20"/>
        </w:rPr>
        <w:t xml:space="preserve"> rather than elected officials</w:t>
      </w:r>
      <w:r w:rsidR="00B37D90" w:rsidRPr="005C2179">
        <w:rPr>
          <w:kern w:val="2"/>
          <w:sz w:val="20"/>
        </w:rPr>
        <w:t>.</w:t>
      </w:r>
      <w:r w:rsidR="00B37D90" w:rsidRPr="005C2179">
        <w:rPr>
          <w:rStyle w:val="FootnoteReference"/>
          <w:kern w:val="2"/>
          <w:sz w:val="20"/>
        </w:rPr>
        <w:footnoteReference w:id="57"/>
      </w:r>
      <w:r w:rsidR="00B67692" w:rsidRPr="005C2179">
        <w:rPr>
          <w:kern w:val="2"/>
          <w:sz w:val="20"/>
        </w:rPr>
        <w:t xml:space="preserve"> </w:t>
      </w:r>
      <w:r w:rsidR="00E226F6" w:rsidRPr="005C2179">
        <w:rPr>
          <w:kern w:val="2"/>
          <w:sz w:val="20"/>
        </w:rPr>
        <w:t xml:space="preserve">Third, as discussed above in the context of the anticorruption rationale, campaign finance regulation </w:t>
      </w:r>
      <w:r w:rsidR="00580963" w:rsidRPr="005C2179">
        <w:rPr>
          <w:kern w:val="2"/>
          <w:sz w:val="20"/>
        </w:rPr>
        <w:t xml:space="preserve">seeks </w:t>
      </w:r>
      <w:r w:rsidR="00E226F6" w:rsidRPr="005C2179">
        <w:rPr>
          <w:kern w:val="2"/>
          <w:sz w:val="20"/>
        </w:rPr>
        <w:t>to ensure the wealthy do not ha</w:t>
      </w:r>
      <w:r w:rsidR="00242354" w:rsidRPr="005C2179">
        <w:rPr>
          <w:kern w:val="2"/>
          <w:sz w:val="20"/>
        </w:rPr>
        <w:t>ve disproportionate influence over</w:t>
      </w:r>
      <w:r w:rsidR="00E226F6" w:rsidRPr="005C2179">
        <w:rPr>
          <w:kern w:val="2"/>
          <w:sz w:val="20"/>
        </w:rPr>
        <w:t xml:space="preserve"> policy outcomes after the election.</w:t>
      </w:r>
      <w:r w:rsidR="007525FB" w:rsidRPr="005C2179">
        <w:rPr>
          <w:kern w:val="2"/>
          <w:sz w:val="20"/>
        </w:rPr>
        <w:t xml:space="preserve"> Finally, the equality and fairness rational</w:t>
      </w:r>
      <w:r w:rsidR="00CF0133" w:rsidRPr="005C2179">
        <w:rPr>
          <w:kern w:val="2"/>
          <w:sz w:val="20"/>
        </w:rPr>
        <w:t xml:space="preserve">e </w:t>
      </w:r>
      <w:r w:rsidR="001256E5" w:rsidRPr="005C2179">
        <w:rPr>
          <w:kern w:val="2"/>
          <w:sz w:val="20"/>
        </w:rPr>
        <w:t>calls for regulation to level</w:t>
      </w:r>
      <w:r w:rsidR="007525FB" w:rsidRPr="005C2179">
        <w:rPr>
          <w:kern w:val="2"/>
          <w:sz w:val="20"/>
        </w:rPr>
        <w:t xml:space="preserve"> </w:t>
      </w:r>
      <w:r w:rsidR="00A00710" w:rsidRPr="005C2179">
        <w:rPr>
          <w:kern w:val="2"/>
          <w:sz w:val="20"/>
        </w:rPr>
        <w:t>the</w:t>
      </w:r>
      <w:r w:rsidR="00F237F0" w:rsidRPr="005C2179">
        <w:rPr>
          <w:kern w:val="2"/>
          <w:sz w:val="20"/>
        </w:rPr>
        <w:t xml:space="preserve"> playing fi</w:t>
      </w:r>
      <w:r w:rsidR="00C10EF5" w:rsidRPr="005C2179">
        <w:rPr>
          <w:kern w:val="2"/>
          <w:sz w:val="20"/>
        </w:rPr>
        <w:t>eld for</w:t>
      </w:r>
      <w:r w:rsidR="00F237F0" w:rsidRPr="005C2179">
        <w:rPr>
          <w:kern w:val="2"/>
          <w:sz w:val="20"/>
        </w:rPr>
        <w:t xml:space="preserve"> parties</w:t>
      </w:r>
      <w:r w:rsidR="00C81A5C" w:rsidRPr="005C2179">
        <w:rPr>
          <w:kern w:val="2"/>
          <w:sz w:val="20"/>
        </w:rPr>
        <w:t xml:space="preserve"> and c</w:t>
      </w:r>
      <w:r w:rsidR="0046290D" w:rsidRPr="005C2179">
        <w:rPr>
          <w:kern w:val="2"/>
          <w:sz w:val="20"/>
        </w:rPr>
        <w:t xml:space="preserve">andidates. </w:t>
      </w:r>
      <w:r w:rsidR="007525FB" w:rsidRPr="005C2179">
        <w:rPr>
          <w:kern w:val="2"/>
          <w:sz w:val="20"/>
        </w:rPr>
        <w:t>Unregulated campaigns may give candidates with personal wealth or wealthy supporters an unfair advantage. For example, i</w:t>
      </w:r>
      <w:r w:rsidR="0046290D" w:rsidRPr="005C2179">
        <w:rPr>
          <w:kern w:val="2"/>
          <w:sz w:val="20"/>
        </w:rPr>
        <w:t xml:space="preserve">n the US, the </w:t>
      </w:r>
      <w:r w:rsidR="001256E5" w:rsidRPr="005C2179">
        <w:rPr>
          <w:kern w:val="2"/>
          <w:sz w:val="20"/>
        </w:rPr>
        <w:t xml:space="preserve">so-called </w:t>
      </w:r>
      <w:r w:rsidR="0046290D" w:rsidRPr="005C2179">
        <w:rPr>
          <w:kern w:val="2"/>
          <w:sz w:val="20"/>
        </w:rPr>
        <w:t>“</w:t>
      </w:r>
      <w:r w:rsidR="006F3EC0" w:rsidRPr="005C2179">
        <w:rPr>
          <w:kern w:val="2"/>
          <w:sz w:val="20"/>
        </w:rPr>
        <w:t xml:space="preserve">wealth primary” screens </w:t>
      </w:r>
      <w:r w:rsidR="003A1B17" w:rsidRPr="005C2179">
        <w:rPr>
          <w:kern w:val="2"/>
          <w:sz w:val="20"/>
        </w:rPr>
        <w:t>out candidates with in</w:t>
      </w:r>
      <w:r w:rsidR="006F3EC0" w:rsidRPr="005C2179">
        <w:rPr>
          <w:kern w:val="2"/>
          <w:sz w:val="20"/>
        </w:rPr>
        <w:t xml:space="preserve">sufficient financial heft, </w:t>
      </w:r>
      <w:r w:rsidR="00F237F0" w:rsidRPr="005C2179">
        <w:rPr>
          <w:kern w:val="2"/>
          <w:sz w:val="20"/>
        </w:rPr>
        <w:t xml:space="preserve">which </w:t>
      </w:r>
      <w:r w:rsidR="0052756A" w:rsidRPr="005C2179">
        <w:rPr>
          <w:kern w:val="2"/>
          <w:sz w:val="20"/>
        </w:rPr>
        <w:t>bodes</w:t>
      </w:r>
      <w:r w:rsidR="005258CD" w:rsidRPr="005C2179">
        <w:rPr>
          <w:kern w:val="2"/>
          <w:sz w:val="20"/>
        </w:rPr>
        <w:t xml:space="preserve"> poorly</w:t>
      </w:r>
      <w:r w:rsidR="005B3D5E" w:rsidRPr="005C2179">
        <w:rPr>
          <w:kern w:val="2"/>
          <w:sz w:val="20"/>
        </w:rPr>
        <w:t xml:space="preserve"> for </w:t>
      </w:r>
      <w:r w:rsidR="00F237F0" w:rsidRPr="005C2179">
        <w:rPr>
          <w:kern w:val="2"/>
          <w:sz w:val="20"/>
        </w:rPr>
        <w:t>racial and gender diversity in public office.</w:t>
      </w:r>
      <w:r w:rsidR="00F237F0" w:rsidRPr="005C2179">
        <w:rPr>
          <w:rStyle w:val="FootnoteReference"/>
          <w:kern w:val="2"/>
          <w:sz w:val="20"/>
        </w:rPr>
        <w:footnoteReference w:id="58"/>
      </w:r>
      <w:r w:rsidR="00F237F0" w:rsidRPr="005C2179">
        <w:rPr>
          <w:kern w:val="2"/>
          <w:sz w:val="20"/>
        </w:rPr>
        <w:t xml:space="preserve"> </w:t>
      </w:r>
    </w:p>
    <w:p w14:paraId="22243163" w14:textId="1A8C3CAF" w:rsidR="00B01B2B" w:rsidRPr="005C2179" w:rsidRDefault="00580963" w:rsidP="00330F4B">
      <w:pPr>
        <w:rPr>
          <w:kern w:val="2"/>
          <w:sz w:val="20"/>
        </w:rPr>
      </w:pPr>
      <w:r w:rsidRPr="005C2179">
        <w:rPr>
          <w:kern w:val="2"/>
          <w:sz w:val="20"/>
        </w:rPr>
        <w:t>In attempting</w:t>
      </w:r>
      <w:r w:rsidR="00683913" w:rsidRPr="005C2179">
        <w:rPr>
          <w:kern w:val="2"/>
          <w:sz w:val="20"/>
        </w:rPr>
        <w:t xml:space="preserve"> t</w:t>
      </w:r>
      <w:r w:rsidR="00F447DC" w:rsidRPr="005C2179">
        <w:rPr>
          <w:kern w:val="2"/>
          <w:sz w:val="20"/>
        </w:rPr>
        <w:t>o ensure the wealthy do not wield</w:t>
      </w:r>
      <w:r w:rsidR="00683913" w:rsidRPr="005C2179">
        <w:rPr>
          <w:kern w:val="2"/>
          <w:sz w:val="20"/>
        </w:rPr>
        <w:t xml:space="preserve"> disproportionate influence over debate, electoral outcomes, and post-election policy, the egalitarian model responds to concerns that wealthy donors and third-party campaigners are unrepresentative of wider society</w:t>
      </w:r>
      <w:r w:rsidR="003517A3" w:rsidRPr="005C2179">
        <w:rPr>
          <w:kern w:val="2"/>
          <w:sz w:val="20"/>
        </w:rPr>
        <w:t>.</w:t>
      </w:r>
      <w:r w:rsidR="0089041C" w:rsidRPr="005C2179">
        <w:rPr>
          <w:kern w:val="2"/>
          <w:sz w:val="20"/>
        </w:rPr>
        <w:t xml:space="preserve"> </w:t>
      </w:r>
      <w:r w:rsidR="003517A3" w:rsidRPr="005C2179">
        <w:rPr>
          <w:kern w:val="2"/>
          <w:sz w:val="20"/>
        </w:rPr>
        <w:t xml:space="preserve">In the US, </w:t>
      </w:r>
      <w:r w:rsidR="00683913" w:rsidRPr="005C2179">
        <w:rPr>
          <w:kern w:val="2"/>
          <w:sz w:val="20"/>
        </w:rPr>
        <w:t>studies have found the donor</w:t>
      </w:r>
      <w:r w:rsidR="0041605D" w:rsidRPr="005C2179">
        <w:rPr>
          <w:kern w:val="2"/>
          <w:sz w:val="20"/>
        </w:rPr>
        <w:t xml:space="preserve"> </w:t>
      </w:r>
      <w:r w:rsidR="00683913" w:rsidRPr="005C2179">
        <w:rPr>
          <w:kern w:val="2"/>
          <w:sz w:val="20"/>
        </w:rPr>
        <w:t>class to be</w:t>
      </w:r>
      <w:r w:rsidR="003517A3" w:rsidRPr="005C2179">
        <w:rPr>
          <w:kern w:val="2"/>
          <w:sz w:val="20"/>
        </w:rPr>
        <w:t xml:space="preserve"> </w:t>
      </w:r>
      <w:r w:rsidR="006A1D2E" w:rsidRPr="005C2179">
        <w:rPr>
          <w:kern w:val="2"/>
          <w:sz w:val="20"/>
        </w:rPr>
        <w:t>“underrepresentative of most Americans</w:t>
      </w:r>
      <w:r w:rsidR="00C869B4" w:rsidRPr="005C2179">
        <w:rPr>
          <w:kern w:val="2"/>
          <w:sz w:val="20"/>
        </w:rPr>
        <w:t>.</w:t>
      </w:r>
      <w:r w:rsidR="006A1D2E" w:rsidRPr="005C2179">
        <w:rPr>
          <w:kern w:val="2"/>
          <w:sz w:val="20"/>
        </w:rPr>
        <w:t>”</w:t>
      </w:r>
      <w:r w:rsidR="006A1D2E" w:rsidRPr="005C2179">
        <w:rPr>
          <w:rStyle w:val="FootnoteReference"/>
          <w:kern w:val="2"/>
          <w:sz w:val="20"/>
        </w:rPr>
        <w:footnoteReference w:id="59"/>
      </w:r>
      <w:r w:rsidR="003517A3" w:rsidRPr="005C2179">
        <w:rPr>
          <w:kern w:val="2"/>
          <w:sz w:val="20"/>
        </w:rPr>
        <w:t xml:space="preserve"> </w:t>
      </w:r>
      <w:r w:rsidR="00BE43BD" w:rsidRPr="005C2179">
        <w:rPr>
          <w:kern w:val="2"/>
          <w:sz w:val="20"/>
        </w:rPr>
        <w:t>M</w:t>
      </w:r>
      <w:r w:rsidR="00DC250C" w:rsidRPr="005C2179">
        <w:rPr>
          <w:kern w:val="2"/>
          <w:sz w:val="20"/>
        </w:rPr>
        <w:t>ost donors are “wealthier and older than average Americans, and they are mo</w:t>
      </w:r>
      <w:r w:rsidR="00BE43BD" w:rsidRPr="005C2179">
        <w:rPr>
          <w:kern w:val="2"/>
          <w:sz w:val="20"/>
        </w:rPr>
        <w:t>re likely to be white and male tha</w:t>
      </w:r>
      <w:r w:rsidR="00DC250C" w:rsidRPr="005C2179">
        <w:rPr>
          <w:kern w:val="2"/>
          <w:sz w:val="20"/>
        </w:rPr>
        <w:t>n the general population.”</w:t>
      </w:r>
      <w:r w:rsidR="00DC250C" w:rsidRPr="005C2179">
        <w:rPr>
          <w:rStyle w:val="FootnoteReference"/>
          <w:kern w:val="2"/>
          <w:sz w:val="20"/>
        </w:rPr>
        <w:footnoteReference w:id="60"/>
      </w:r>
      <w:r w:rsidR="00DC250C" w:rsidRPr="005C2179">
        <w:rPr>
          <w:kern w:val="2"/>
          <w:sz w:val="20"/>
        </w:rPr>
        <w:t xml:space="preserve"> </w:t>
      </w:r>
      <w:r w:rsidR="003517A3" w:rsidRPr="005C2179">
        <w:rPr>
          <w:kern w:val="2"/>
          <w:sz w:val="20"/>
        </w:rPr>
        <w:t>Gilen and Page found that the policy preferences of wealthy donors differ from non-donors and people of colour.</w:t>
      </w:r>
      <w:r w:rsidR="00AB7950" w:rsidRPr="005C2179">
        <w:rPr>
          <w:rStyle w:val="FootnoteReference"/>
          <w:kern w:val="2"/>
          <w:sz w:val="20"/>
        </w:rPr>
        <w:footnoteReference w:id="61"/>
      </w:r>
      <w:r w:rsidR="003517A3" w:rsidRPr="005C2179">
        <w:rPr>
          <w:kern w:val="2"/>
          <w:sz w:val="20"/>
        </w:rPr>
        <w:t xml:space="preserve"> For example, a</w:t>
      </w:r>
      <w:r w:rsidR="00C10EF5" w:rsidRPr="005C2179">
        <w:rPr>
          <w:kern w:val="2"/>
          <w:sz w:val="20"/>
        </w:rPr>
        <w:t>n American</w:t>
      </w:r>
      <w:r w:rsidR="00CB6445" w:rsidRPr="005C2179">
        <w:rPr>
          <w:kern w:val="2"/>
          <w:sz w:val="20"/>
        </w:rPr>
        <w:t xml:space="preserve"> study in 2016</w:t>
      </w:r>
      <w:r w:rsidR="003517A3" w:rsidRPr="005C2179">
        <w:rPr>
          <w:kern w:val="2"/>
          <w:sz w:val="20"/>
        </w:rPr>
        <w:t xml:space="preserve"> found that 44% of donors giving $5</w:t>
      </w:r>
      <w:r w:rsidR="003006B8" w:rsidRPr="005C2179">
        <w:rPr>
          <w:kern w:val="2"/>
          <w:sz w:val="20"/>
        </w:rPr>
        <w:t>,</w:t>
      </w:r>
      <w:r w:rsidR="003517A3" w:rsidRPr="005C2179">
        <w:rPr>
          <w:kern w:val="2"/>
          <w:sz w:val="20"/>
        </w:rPr>
        <w:t xml:space="preserve">000 or more supported the </w:t>
      </w:r>
      <w:r w:rsidR="003517A3" w:rsidRPr="005C2179">
        <w:rPr>
          <w:i/>
          <w:kern w:val="2"/>
          <w:sz w:val="20"/>
        </w:rPr>
        <w:t>Affordable Care Act</w:t>
      </w:r>
      <w:r w:rsidR="003517A3" w:rsidRPr="005C2179">
        <w:rPr>
          <w:kern w:val="2"/>
          <w:sz w:val="20"/>
        </w:rPr>
        <w:t>, compar</w:t>
      </w:r>
      <w:r w:rsidR="00CB6445" w:rsidRPr="005C2179">
        <w:rPr>
          <w:kern w:val="2"/>
          <w:sz w:val="20"/>
        </w:rPr>
        <w:t>ed to 53% of American adults</w:t>
      </w:r>
      <w:r w:rsidR="00BA4047" w:rsidRPr="005C2179">
        <w:rPr>
          <w:kern w:val="2"/>
          <w:sz w:val="20"/>
        </w:rPr>
        <w:t xml:space="preserve">. Likewise, </w:t>
      </w:r>
      <w:r w:rsidR="003517A3" w:rsidRPr="005C2179">
        <w:rPr>
          <w:kern w:val="2"/>
          <w:sz w:val="20"/>
        </w:rPr>
        <w:t>39% of donors contributing $1</w:t>
      </w:r>
      <w:r w:rsidR="003006B8" w:rsidRPr="005C2179">
        <w:rPr>
          <w:kern w:val="2"/>
          <w:sz w:val="20"/>
        </w:rPr>
        <w:t>,</w:t>
      </w:r>
      <w:r w:rsidR="003517A3" w:rsidRPr="005C2179">
        <w:rPr>
          <w:kern w:val="2"/>
          <w:sz w:val="20"/>
        </w:rPr>
        <w:t>000 or more supported the Waxman-Markey clean energy bill, compared to 63% of non-donors.</w:t>
      </w:r>
      <w:r w:rsidR="003517A3" w:rsidRPr="005C2179">
        <w:rPr>
          <w:rStyle w:val="FootnoteReference"/>
          <w:kern w:val="2"/>
          <w:sz w:val="20"/>
        </w:rPr>
        <w:footnoteReference w:id="62"/>
      </w:r>
      <w:r w:rsidR="00BE43BD" w:rsidRPr="005C2179">
        <w:rPr>
          <w:kern w:val="2"/>
          <w:sz w:val="20"/>
        </w:rPr>
        <w:t xml:space="preserve"> </w:t>
      </w:r>
      <w:r w:rsidR="002E622E" w:rsidRPr="005C2179">
        <w:rPr>
          <w:kern w:val="2"/>
          <w:sz w:val="20"/>
        </w:rPr>
        <w:t xml:space="preserve">Even if the policy preferences of the wealthy sometimes align with those of the general public, </w:t>
      </w:r>
      <w:r w:rsidR="00CB6445" w:rsidRPr="005C2179">
        <w:rPr>
          <w:kern w:val="2"/>
          <w:sz w:val="20"/>
        </w:rPr>
        <w:t>Sarbanes argues</w:t>
      </w:r>
      <w:r w:rsidR="002E622E" w:rsidRPr="005C2179">
        <w:rPr>
          <w:kern w:val="2"/>
          <w:sz w:val="20"/>
        </w:rPr>
        <w:t xml:space="preserve"> we should not be distracted from</w:t>
      </w:r>
      <w:r w:rsidR="00BE43BD" w:rsidRPr="005C2179">
        <w:rPr>
          <w:kern w:val="2"/>
          <w:sz w:val="20"/>
        </w:rPr>
        <w:t xml:space="preserve"> the problem</w:t>
      </w:r>
      <w:r w:rsidR="002A2EE9" w:rsidRPr="005C2179">
        <w:rPr>
          <w:kern w:val="2"/>
          <w:sz w:val="20"/>
        </w:rPr>
        <w:t>atic</w:t>
      </w:r>
      <w:r w:rsidR="00CE5258" w:rsidRPr="005C2179">
        <w:rPr>
          <w:kern w:val="2"/>
          <w:sz w:val="20"/>
        </w:rPr>
        <w:t xml:space="preserve"> nature</w:t>
      </w:r>
      <w:r w:rsidR="00BE43BD" w:rsidRPr="005C2179">
        <w:rPr>
          <w:kern w:val="2"/>
          <w:sz w:val="20"/>
        </w:rPr>
        <w:t xml:space="preserve"> </w:t>
      </w:r>
      <w:r w:rsidR="00292C63" w:rsidRPr="005C2179">
        <w:rPr>
          <w:kern w:val="2"/>
          <w:sz w:val="20"/>
        </w:rPr>
        <w:t>of</w:t>
      </w:r>
      <w:r w:rsidR="00BE43BD" w:rsidRPr="005C2179">
        <w:rPr>
          <w:kern w:val="2"/>
          <w:sz w:val="20"/>
        </w:rPr>
        <w:t xml:space="preserve"> </w:t>
      </w:r>
      <w:r w:rsidR="00B01B2B" w:rsidRPr="005C2179">
        <w:rPr>
          <w:kern w:val="2"/>
          <w:sz w:val="20"/>
        </w:rPr>
        <w:t>the outsized imp</w:t>
      </w:r>
      <w:r w:rsidR="002A2150" w:rsidRPr="005C2179">
        <w:rPr>
          <w:kern w:val="2"/>
          <w:sz w:val="20"/>
        </w:rPr>
        <w:t xml:space="preserve">act </w:t>
      </w:r>
      <w:r w:rsidR="00B01B2B" w:rsidRPr="005C2179">
        <w:rPr>
          <w:kern w:val="2"/>
          <w:sz w:val="20"/>
        </w:rPr>
        <w:t>of the wealthy</w:t>
      </w:r>
      <w:r w:rsidR="00BE43BD" w:rsidRPr="005C2179">
        <w:rPr>
          <w:kern w:val="2"/>
          <w:sz w:val="20"/>
        </w:rPr>
        <w:t xml:space="preserve"> in </w:t>
      </w:r>
      <w:r w:rsidR="005641B3" w:rsidRPr="005C2179">
        <w:rPr>
          <w:kern w:val="2"/>
          <w:sz w:val="20"/>
        </w:rPr>
        <w:t>policy outcomes</w:t>
      </w:r>
      <w:r w:rsidR="00B01B2B" w:rsidRPr="005C2179">
        <w:rPr>
          <w:kern w:val="2"/>
          <w:sz w:val="20"/>
        </w:rPr>
        <w:t>.</w:t>
      </w:r>
      <w:r w:rsidR="00B01B2B" w:rsidRPr="005C2179">
        <w:rPr>
          <w:rStyle w:val="FootnoteReference"/>
          <w:kern w:val="2"/>
          <w:sz w:val="20"/>
        </w:rPr>
        <w:footnoteReference w:id="63"/>
      </w:r>
    </w:p>
    <w:p w14:paraId="6187699F" w14:textId="7980D45E" w:rsidR="0023474D" w:rsidRPr="005C2179" w:rsidRDefault="001C5EA4" w:rsidP="00BF63B6">
      <w:pPr>
        <w:pStyle w:val="Heading2"/>
        <w:rPr>
          <w:kern w:val="2"/>
          <w:sz w:val="24"/>
        </w:rPr>
      </w:pPr>
      <w:r w:rsidRPr="005C2179">
        <w:rPr>
          <w:kern w:val="2"/>
          <w:sz w:val="24"/>
        </w:rPr>
        <w:t>Informed V</w:t>
      </w:r>
      <w:r w:rsidR="0023474D" w:rsidRPr="005C2179">
        <w:rPr>
          <w:kern w:val="2"/>
          <w:sz w:val="24"/>
        </w:rPr>
        <w:t>oting</w:t>
      </w:r>
    </w:p>
    <w:p w14:paraId="22EBDD9E" w14:textId="77777777" w:rsidR="001D7AC0" w:rsidRPr="005C2179" w:rsidRDefault="00544BAD" w:rsidP="00330F4B">
      <w:pPr>
        <w:rPr>
          <w:kern w:val="2"/>
          <w:sz w:val="20"/>
        </w:rPr>
      </w:pPr>
      <w:r w:rsidRPr="005C2179">
        <w:rPr>
          <w:kern w:val="2"/>
          <w:sz w:val="20"/>
        </w:rPr>
        <w:t xml:space="preserve">Campaign finance </w:t>
      </w:r>
      <w:r w:rsidR="000A23B2" w:rsidRPr="005C2179">
        <w:rPr>
          <w:kern w:val="2"/>
          <w:sz w:val="20"/>
        </w:rPr>
        <w:t>regulation is</w:t>
      </w:r>
      <w:r w:rsidR="008D692E" w:rsidRPr="005C2179">
        <w:rPr>
          <w:kern w:val="2"/>
          <w:sz w:val="20"/>
        </w:rPr>
        <w:t xml:space="preserve"> </w:t>
      </w:r>
      <w:r w:rsidR="00170547" w:rsidRPr="005C2179">
        <w:rPr>
          <w:kern w:val="2"/>
          <w:sz w:val="20"/>
        </w:rPr>
        <w:t>often touted</w:t>
      </w:r>
      <w:r w:rsidR="00CD0486" w:rsidRPr="005C2179">
        <w:rPr>
          <w:kern w:val="2"/>
          <w:sz w:val="20"/>
        </w:rPr>
        <w:t xml:space="preserve"> </w:t>
      </w:r>
      <w:r w:rsidR="00170547" w:rsidRPr="005C2179">
        <w:rPr>
          <w:kern w:val="2"/>
          <w:sz w:val="20"/>
        </w:rPr>
        <w:t>as a means of facilitating</w:t>
      </w:r>
      <w:r w:rsidRPr="005C2179">
        <w:rPr>
          <w:kern w:val="2"/>
          <w:sz w:val="20"/>
        </w:rPr>
        <w:t xml:space="preserve"> informed voti</w:t>
      </w:r>
      <w:r w:rsidR="00ED2002" w:rsidRPr="005C2179">
        <w:rPr>
          <w:kern w:val="2"/>
          <w:sz w:val="20"/>
        </w:rPr>
        <w:t xml:space="preserve">ng. </w:t>
      </w:r>
      <w:r w:rsidR="003C1ECB" w:rsidRPr="005C2179">
        <w:rPr>
          <w:kern w:val="2"/>
          <w:sz w:val="20"/>
        </w:rPr>
        <w:t xml:space="preserve">Measures </w:t>
      </w:r>
      <w:r w:rsidR="00CD48CB" w:rsidRPr="005C2179">
        <w:rPr>
          <w:kern w:val="2"/>
          <w:sz w:val="20"/>
        </w:rPr>
        <w:t>such as</w:t>
      </w:r>
      <w:r w:rsidR="003C1ECB" w:rsidRPr="005C2179">
        <w:rPr>
          <w:kern w:val="2"/>
          <w:sz w:val="20"/>
        </w:rPr>
        <w:t xml:space="preserve"> spending and contribution </w:t>
      </w:r>
      <w:r w:rsidR="00CD48CB" w:rsidRPr="005C2179">
        <w:rPr>
          <w:kern w:val="2"/>
          <w:sz w:val="20"/>
        </w:rPr>
        <w:t xml:space="preserve">caps </w:t>
      </w:r>
      <w:r w:rsidR="003C1ECB" w:rsidRPr="005C2179">
        <w:rPr>
          <w:kern w:val="2"/>
          <w:sz w:val="20"/>
        </w:rPr>
        <w:t>prevent well-resourced speakers from drown</w:t>
      </w:r>
      <w:r w:rsidR="001565C3" w:rsidRPr="005C2179">
        <w:rPr>
          <w:kern w:val="2"/>
          <w:sz w:val="20"/>
        </w:rPr>
        <w:t>ing out other speakers, thus making</w:t>
      </w:r>
      <w:r w:rsidR="00D02069" w:rsidRPr="005C2179">
        <w:rPr>
          <w:kern w:val="2"/>
          <w:sz w:val="20"/>
        </w:rPr>
        <w:t xml:space="preserve"> space for</w:t>
      </w:r>
      <w:r w:rsidR="003C1ECB" w:rsidRPr="005C2179">
        <w:rPr>
          <w:kern w:val="2"/>
          <w:sz w:val="20"/>
        </w:rPr>
        <w:t xml:space="preserve"> the </w:t>
      </w:r>
      <w:r w:rsidR="005E1F21" w:rsidRPr="005C2179">
        <w:rPr>
          <w:kern w:val="2"/>
          <w:sz w:val="20"/>
        </w:rPr>
        <w:t xml:space="preserve">effective </w:t>
      </w:r>
      <w:r w:rsidR="003C1ECB" w:rsidRPr="005C2179">
        <w:rPr>
          <w:kern w:val="2"/>
          <w:sz w:val="20"/>
        </w:rPr>
        <w:t>dissemination of more inform</w:t>
      </w:r>
      <w:r w:rsidR="0076687C" w:rsidRPr="005C2179">
        <w:rPr>
          <w:kern w:val="2"/>
          <w:sz w:val="20"/>
        </w:rPr>
        <w:t>ation and viewpoi</w:t>
      </w:r>
      <w:r w:rsidR="00ED2002" w:rsidRPr="005C2179">
        <w:rPr>
          <w:kern w:val="2"/>
          <w:sz w:val="20"/>
        </w:rPr>
        <w:t xml:space="preserve">nts. </w:t>
      </w:r>
      <w:r w:rsidR="00406A9D" w:rsidRPr="005C2179">
        <w:rPr>
          <w:kern w:val="2"/>
          <w:sz w:val="20"/>
        </w:rPr>
        <w:t>Courts in Canada and Europe have upheld campaign finance regulations on the basis of the informed voting rationale. They interpret constitutional voting rights to include the right to an informed vote</w:t>
      </w:r>
      <w:r w:rsidR="00B217C7" w:rsidRPr="005C2179">
        <w:rPr>
          <w:kern w:val="2"/>
          <w:sz w:val="20"/>
        </w:rPr>
        <w:t>.</w:t>
      </w:r>
      <w:r w:rsidR="00A83981" w:rsidRPr="005C2179">
        <w:rPr>
          <w:rStyle w:val="FootnoteReference"/>
          <w:kern w:val="2"/>
          <w:sz w:val="20"/>
        </w:rPr>
        <w:footnoteReference w:id="64"/>
      </w:r>
      <w:r w:rsidR="0076687C" w:rsidRPr="005C2179">
        <w:rPr>
          <w:kern w:val="2"/>
          <w:sz w:val="20"/>
        </w:rPr>
        <w:t xml:space="preserve"> </w:t>
      </w:r>
      <w:r w:rsidR="00557805" w:rsidRPr="005C2179">
        <w:rPr>
          <w:kern w:val="2"/>
          <w:sz w:val="20"/>
        </w:rPr>
        <w:t>On the other hand, others</w:t>
      </w:r>
      <w:r w:rsidR="00A97181" w:rsidRPr="005C2179">
        <w:rPr>
          <w:kern w:val="2"/>
          <w:sz w:val="20"/>
        </w:rPr>
        <w:t xml:space="preserve"> argue that</w:t>
      </w:r>
      <w:r w:rsidR="0054005C" w:rsidRPr="005C2179">
        <w:rPr>
          <w:kern w:val="2"/>
          <w:sz w:val="20"/>
        </w:rPr>
        <w:t xml:space="preserve"> informed voting is better served by </w:t>
      </w:r>
      <w:r w:rsidR="00FD6367" w:rsidRPr="005C2179">
        <w:rPr>
          <w:kern w:val="2"/>
          <w:sz w:val="20"/>
        </w:rPr>
        <w:t>relaxing campaign finance and allowing</w:t>
      </w:r>
      <w:r w:rsidR="0054005C" w:rsidRPr="005C2179">
        <w:rPr>
          <w:kern w:val="2"/>
          <w:sz w:val="20"/>
        </w:rPr>
        <w:t xml:space="preserve"> unfettered dissemination of information</w:t>
      </w:r>
      <w:r w:rsidR="0023474D" w:rsidRPr="005C2179">
        <w:rPr>
          <w:kern w:val="2"/>
          <w:sz w:val="20"/>
        </w:rPr>
        <w:t xml:space="preserve">. </w:t>
      </w:r>
      <w:r w:rsidR="00E23707" w:rsidRPr="005C2179">
        <w:rPr>
          <w:kern w:val="2"/>
          <w:sz w:val="20"/>
        </w:rPr>
        <w:t>For example</w:t>
      </w:r>
      <w:r w:rsidR="0054005C" w:rsidRPr="005C2179">
        <w:rPr>
          <w:kern w:val="2"/>
          <w:sz w:val="20"/>
        </w:rPr>
        <w:t>, t</w:t>
      </w:r>
      <w:r w:rsidR="0023474D" w:rsidRPr="005C2179">
        <w:rPr>
          <w:kern w:val="2"/>
          <w:sz w:val="20"/>
        </w:rPr>
        <w:t>he majority of the US Supreme Cour</w:t>
      </w:r>
      <w:r w:rsidR="0089086E" w:rsidRPr="005C2179">
        <w:rPr>
          <w:kern w:val="2"/>
          <w:sz w:val="20"/>
        </w:rPr>
        <w:t xml:space="preserve">t </w:t>
      </w:r>
      <w:r w:rsidR="0054005C" w:rsidRPr="005C2179">
        <w:rPr>
          <w:kern w:val="2"/>
          <w:sz w:val="20"/>
        </w:rPr>
        <w:t>views</w:t>
      </w:r>
      <w:r w:rsidR="0023474D" w:rsidRPr="005C2179">
        <w:rPr>
          <w:kern w:val="2"/>
          <w:sz w:val="20"/>
        </w:rPr>
        <w:t xml:space="preserve"> spending restrictions as a dangerous limitation on the quantity of information accessible to voters.</w:t>
      </w:r>
      <w:r w:rsidR="0089086E" w:rsidRPr="005C2179">
        <w:rPr>
          <w:rStyle w:val="FootnoteReference"/>
          <w:kern w:val="2"/>
          <w:sz w:val="20"/>
        </w:rPr>
        <w:footnoteReference w:id="65"/>
      </w:r>
      <w:r w:rsidR="0023474D" w:rsidRPr="005C2179">
        <w:rPr>
          <w:kern w:val="2"/>
          <w:sz w:val="20"/>
        </w:rPr>
        <w:t xml:space="preserve">  </w:t>
      </w:r>
    </w:p>
    <w:p w14:paraId="4DA1BC9B" w14:textId="5E601421" w:rsidR="007555D1" w:rsidRPr="005C2179" w:rsidRDefault="00126FE3" w:rsidP="00BF63B6">
      <w:pPr>
        <w:pStyle w:val="Heading2"/>
        <w:rPr>
          <w:kern w:val="2"/>
          <w:sz w:val="24"/>
        </w:rPr>
      </w:pPr>
      <w:r w:rsidRPr="005C2179">
        <w:rPr>
          <w:kern w:val="2"/>
          <w:sz w:val="24"/>
        </w:rPr>
        <w:t>P</w:t>
      </w:r>
      <w:r w:rsidR="007D6B93" w:rsidRPr="005C2179">
        <w:rPr>
          <w:kern w:val="2"/>
          <w:sz w:val="24"/>
        </w:rPr>
        <w:t>ublic C</w:t>
      </w:r>
      <w:r w:rsidR="007555D1" w:rsidRPr="005C2179">
        <w:rPr>
          <w:kern w:val="2"/>
          <w:sz w:val="24"/>
        </w:rPr>
        <w:t>onfidence</w:t>
      </w:r>
    </w:p>
    <w:p w14:paraId="50CD67B7" w14:textId="300E6C5B" w:rsidR="009C3444" w:rsidRPr="005C2179" w:rsidRDefault="007946BF" w:rsidP="00330F4B">
      <w:pPr>
        <w:rPr>
          <w:kern w:val="2"/>
          <w:sz w:val="20"/>
        </w:rPr>
      </w:pPr>
      <w:r w:rsidRPr="005C2179">
        <w:rPr>
          <w:kern w:val="2"/>
          <w:sz w:val="20"/>
        </w:rPr>
        <w:t>Various studies in t</w:t>
      </w:r>
      <w:r w:rsidR="00905950" w:rsidRPr="005C2179">
        <w:rPr>
          <w:kern w:val="2"/>
          <w:sz w:val="20"/>
        </w:rPr>
        <w:t>he US, UK, and Canada show falling public conf</w:t>
      </w:r>
      <w:r w:rsidR="009C3444" w:rsidRPr="005C2179">
        <w:rPr>
          <w:kern w:val="2"/>
          <w:sz w:val="20"/>
        </w:rPr>
        <w:t>idence in the electoral system, risking</w:t>
      </w:r>
      <w:r w:rsidR="00905950" w:rsidRPr="005C2179">
        <w:rPr>
          <w:kern w:val="2"/>
          <w:sz w:val="20"/>
        </w:rPr>
        <w:t xml:space="preserve"> the “decay of civic engagement</w:t>
      </w:r>
      <w:r w:rsidR="009C5074" w:rsidRPr="005C2179">
        <w:rPr>
          <w:kern w:val="2"/>
          <w:sz w:val="20"/>
        </w:rPr>
        <w:t>.</w:t>
      </w:r>
      <w:r w:rsidR="00905950" w:rsidRPr="005C2179">
        <w:rPr>
          <w:kern w:val="2"/>
          <w:sz w:val="20"/>
        </w:rPr>
        <w:t>”</w:t>
      </w:r>
      <w:r w:rsidR="00905950" w:rsidRPr="005C2179">
        <w:rPr>
          <w:rStyle w:val="FootnoteReference"/>
          <w:kern w:val="2"/>
          <w:sz w:val="20"/>
        </w:rPr>
        <w:footnoteReference w:id="66"/>
      </w:r>
      <w:r w:rsidR="00D31DFA" w:rsidRPr="005C2179">
        <w:rPr>
          <w:kern w:val="2"/>
          <w:sz w:val="20"/>
        </w:rPr>
        <w:t xml:space="preserve"> </w:t>
      </w:r>
      <w:r w:rsidR="0086702F" w:rsidRPr="005C2179">
        <w:rPr>
          <w:kern w:val="2"/>
          <w:sz w:val="20"/>
        </w:rPr>
        <w:t xml:space="preserve">In </w:t>
      </w:r>
      <w:r w:rsidR="00467F70" w:rsidRPr="005C2179">
        <w:rPr>
          <w:kern w:val="2"/>
          <w:sz w:val="20"/>
        </w:rPr>
        <w:t>a</w:t>
      </w:r>
      <w:r w:rsidR="0086702F" w:rsidRPr="005C2179">
        <w:rPr>
          <w:kern w:val="2"/>
          <w:sz w:val="20"/>
        </w:rPr>
        <w:t xml:space="preserve"> study by vanHe</w:t>
      </w:r>
      <w:r w:rsidR="00467F70" w:rsidRPr="005C2179">
        <w:rPr>
          <w:kern w:val="2"/>
          <w:sz w:val="20"/>
        </w:rPr>
        <w:t xml:space="preserve">erde-Hudson and Fisher in the UK, public opinion was characterized by the perception that </w:t>
      </w:r>
      <w:r w:rsidR="003A5C45" w:rsidRPr="005C2179">
        <w:rPr>
          <w:kern w:val="2"/>
          <w:sz w:val="20"/>
        </w:rPr>
        <w:t xml:space="preserve">“there is just ‘too much money’ in politics” and the belief that </w:t>
      </w:r>
      <w:r w:rsidR="00467F70" w:rsidRPr="005C2179">
        <w:rPr>
          <w:kern w:val="2"/>
          <w:sz w:val="20"/>
        </w:rPr>
        <w:t>wealthy donors have undue influence</w:t>
      </w:r>
      <w:r w:rsidR="00A00EB5" w:rsidRPr="005C2179">
        <w:rPr>
          <w:kern w:val="2"/>
          <w:sz w:val="20"/>
        </w:rPr>
        <w:t xml:space="preserve"> over politicians</w:t>
      </w:r>
      <w:r w:rsidR="003A5C45" w:rsidRPr="005C2179">
        <w:rPr>
          <w:kern w:val="2"/>
          <w:sz w:val="20"/>
        </w:rPr>
        <w:t>.</w:t>
      </w:r>
      <w:r w:rsidR="0086702F" w:rsidRPr="005C2179">
        <w:rPr>
          <w:rStyle w:val="FootnoteReference"/>
          <w:kern w:val="2"/>
          <w:sz w:val="20"/>
        </w:rPr>
        <w:footnoteReference w:id="67"/>
      </w:r>
      <w:r w:rsidR="00905950" w:rsidRPr="005C2179">
        <w:rPr>
          <w:kern w:val="2"/>
          <w:sz w:val="20"/>
        </w:rPr>
        <w:t xml:space="preserve"> </w:t>
      </w:r>
      <w:r w:rsidR="00E93F74" w:rsidRPr="005C2179">
        <w:rPr>
          <w:kern w:val="2"/>
          <w:sz w:val="20"/>
        </w:rPr>
        <w:t>In</w:t>
      </w:r>
      <w:r w:rsidR="00905950" w:rsidRPr="005C2179">
        <w:rPr>
          <w:kern w:val="2"/>
          <w:sz w:val="20"/>
        </w:rPr>
        <w:t xml:space="preserve"> a 2012 survey in the </w:t>
      </w:r>
      <w:r w:rsidR="009C3444" w:rsidRPr="005C2179">
        <w:rPr>
          <w:kern w:val="2"/>
          <w:sz w:val="20"/>
        </w:rPr>
        <w:t>US</w:t>
      </w:r>
      <w:r w:rsidR="00905950" w:rsidRPr="005C2179">
        <w:rPr>
          <w:kern w:val="2"/>
          <w:sz w:val="20"/>
        </w:rPr>
        <w:t>,</w:t>
      </w:r>
      <w:r w:rsidR="00E93F74" w:rsidRPr="005C2179">
        <w:rPr>
          <w:kern w:val="2"/>
          <w:sz w:val="20"/>
        </w:rPr>
        <w:t xml:space="preserve"> </w:t>
      </w:r>
      <w:r w:rsidR="007555D1" w:rsidRPr="005C2179">
        <w:rPr>
          <w:kern w:val="2"/>
          <w:sz w:val="20"/>
        </w:rPr>
        <w:t>77% of re</w:t>
      </w:r>
      <w:r w:rsidR="00E93F74" w:rsidRPr="005C2179">
        <w:rPr>
          <w:kern w:val="2"/>
          <w:sz w:val="20"/>
        </w:rPr>
        <w:t>spondents thought</w:t>
      </w:r>
      <w:r w:rsidR="00982A2A" w:rsidRPr="005C2179">
        <w:rPr>
          <w:kern w:val="2"/>
          <w:sz w:val="20"/>
        </w:rPr>
        <w:t xml:space="preserve"> members of</w:t>
      </w:r>
      <w:r w:rsidR="00E93F74" w:rsidRPr="005C2179">
        <w:rPr>
          <w:kern w:val="2"/>
          <w:sz w:val="20"/>
        </w:rPr>
        <w:t xml:space="preserve"> Congress </w:t>
      </w:r>
      <w:r w:rsidR="007555D1" w:rsidRPr="005C2179">
        <w:rPr>
          <w:kern w:val="2"/>
          <w:sz w:val="20"/>
        </w:rPr>
        <w:t xml:space="preserve">were more likely to act in the interests of those who spent money supporting </w:t>
      </w:r>
      <w:r w:rsidR="00CC78B4" w:rsidRPr="005C2179">
        <w:rPr>
          <w:kern w:val="2"/>
          <w:sz w:val="20"/>
        </w:rPr>
        <w:t>their election campaigns</w:t>
      </w:r>
      <w:r w:rsidR="007555D1" w:rsidRPr="005C2179">
        <w:rPr>
          <w:kern w:val="2"/>
          <w:sz w:val="20"/>
        </w:rPr>
        <w:t xml:space="preserve"> than</w:t>
      </w:r>
      <w:r w:rsidR="00F478C4" w:rsidRPr="005C2179">
        <w:rPr>
          <w:kern w:val="2"/>
          <w:sz w:val="20"/>
        </w:rPr>
        <w:t xml:space="preserve"> they were to act</w:t>
      </w:r>
      <w:r w:rsidR="00925102" w:rsidRPr="005C2179">
        <w:rPr>
          <w:kern w:val="2"/>
          <w:sz w:val="20"/>
        </w:rPr>
        <w:t xml:space="preserve"> in the public interest</w:t>
      </w:r>
      <w:r w:rsidR="007555D1" w:rsidRPr="005C2179">
        <w:rPr>
          <w:kern w:val="2"/>
          <w:sz w:val="20"/>
        </w:rPr>
        <w:t>.</w:t>
      </w:r>
      <w:r w:rsidR="00E93F74" w:rsidRPr="005C2179">
        <w:rPr>
          <w:rStyle w:val="FootnoteReference"/>
          <w:kern w:val="2"/>
          <w:sz w:val="20"/>
        </w:rPr>
        <w:footnoteReference w:id="68"/>
      </w:r>
      <w:r w:rsidR="007555D1" w:rsidRPr="005C2179">
        <w:rPr>
          <w:kern w:val="2"/>
          <w:sz w:val="20"/>
        </w:rPr>
        <w:t xml:space="preserve"> </w:t>
      </w:r>
      <w:r w:rsidR="00AA613A" w:rsidRPr="005C2179">
        <w:rPr>
          <w:kern w:val="2"/>
          <w:sz w:val="20"/>
        </w:rPr>
        <w:t>A 2014 poll indicated that three in four American voters think wealthy individuals have a better shot at influencing elections</w:t>
      </w:r>
      <w:r w:rsidR="00905950" w:rsidRPr="005C2179">
        <w:rPr>
          <w:kern w:val="2"/>
          <w:sz w:val="20"/>
        </w:rPr>
        <w:t xml:space="preserve"> than the rest of the population</w:t>
      </w:r>
      <w:r w:rsidR="00816784" w:rsidRPr="005C2179">
        <w:rPr>
          <w:kern w:val="2"/>
          <w:sz w:val="20"/>
        </w:rPr>
        <w:t xml:space="preserve"> has</w:t>
      </w:r>
      <w:r w:rsidR="00AA613A" w:rsidRPr="005C2179">
        <w:rPr>
          <w:kern w:val="2"/>
          <w:sz w:val="20"/>
        </w:rPr>
        <w:t>.</w:t>
      </w:r>
      <w:r w:rsidR="00AA613A" w:rsidRPr="005C2179">
        <w:rPr>
          <w:rStyle w:val="FootnoteReference"/>
          <w:kern w:val="2"/>
          <w:sz w:val="20"/>
        </w:rPr>
        <w:footnoteReference w:id="69"/>
      </w:r>
      <w:r w:rsidR="00AA613A" w:rsidRPr="005C2179">
        <w:rPr>
          <w:kern w:val="2"/>
          <w:sz w:val="20"/>
        </w:rPr>
        <w:t xml:space="preserve"> </w:t>
      </w:r>
    </w:p>
    <w:p w14:paraId="7310B669" w14:textId="3C3162BE" w:rsidR="00C34854" w:rsidRPr="005C2179" w:rsidRDefault="00F6366F" w:rsidP="00330F4B">
      <w:pPr>
        <w:rPr>
          <w:kern w:val="2"/>
          <w:sz w:val="20"/>
        </w:rPr>
      </w:pPr>
      <w:r w:rsidRPr="005C2179">
        <w:rPr>
          <w:kern w:val="2"/>
          <w:sz w:val="20"/>
        </w:rPr>
        <w:t xml:space="preserve">Arguments in favour of stricter campaign finance regulation often raise the issue of voter confidence. For example, in </w:t>
      </w:r>
      <w:r w:rsidR="00DC1BDB" w:rsidRPr="005C2179">
        <w:rPr>
          <w:i/>
          <w:kern w:val="2"/>
          <w:sz w:val="20"/>
        </w:rPr>
        <w:t>Canada (Attorney General) v Somerville</w:t>
      </w:r>
      <w:r w:rsidRPr="005C2179">
        <w:rPr>
          <w:i/>
          <w:kern w:val="2"/>
          <w:sz w:val="20"/>
        </w:rPr>
        <w:t xml:space="preserve">, </w:t>
      </w:r>
      <w:r w:rsidR="00FE54D6" w:rsidRPr="005C2179">
        <w:rPr>
          <w:kern w:val="2"/>
          <w:sz w:val="20"/>
        </w:rPr>
        <w:t xml:space="preserve">the </w:t>
      </w:r>
      <w:r w:rsidR="007276E2" w:rsidRPr="005C2179">
        <w:rPr>
          <w:kern w:val="2"/>
          <w:sz w:val="20"/>
        </w:rPr>
        <w:t>government</w:t>
      </w:r>
      <w:r w:rsidRPr="005C2179">
        <w:rPr>
          <w:kern w:val="2"/>
          <w:sz w:val="20"/>
        </w:rPr>
        <w:t xml:space="preserve"> argued that third-party spending limits are necessary to prevent the perception that lawmakers are more accountable to their wealthy supporte</w:t>
      </w:r>
      <w:r w:rsidR="00FE54D6" w:rsidRPr="005C2179">
        <w:rPr>
          <w:kern w:val="2"/>
          <w:sz w:val="20"/>
        </w:rPr>
        <w:t xml:space="preserve">rs than </w:t>
      </w:r>
      <w:r w:rsidR="00F60761" w:rsidRPr="005C2179">
        <w:rPr>
          <w:kern w:val="2"/>
          <w:sz w:val="20"/>
        </w:rPr>
        <w:t xml:space="preserve">to </w:t>
      </w:r>
      <w:r w:rsidR="00FE54D6" w:rsidRPr="005C2179">
        <w:rPr>
          <w:kern w:val="2"/>
          <w:sz w:val="20"/>
        </w:rPr>
        <w:t>their electors</w:t>
      </w:r>
      <w:r w:rsidRPr="005C2179">
        <w:rPr>
          <w:kern w:val="2"/>
          <w:sz w:val="20"/>
        </w:rPr>
        <w:t>.</w:t>
      </w:r>
      <w:r w:rsidR="00FE54D6" w:rsidRPr="005C2179">
        <w:rPr>
          <w:rStyle w:val="FootnoteReference"/>
          <w:kern w:val="2"/>
          <w:sz w:val="20"/>
        </w:rPr>
        <w:footnoteReference w:id="70"/>
      </w:r>
      <w:r w:rsidRPr="005C2179">
        <w:rPr>
          <w:kern w:val="2"/>
          <w:sz w:val="20"/>
        </w:rPr>
        <w:t xml:space="preserve"> </w:t>
      </w:r>
      <w:r w:rsidR="00375F6F" w:rsidRPr="005C2179">
        <w:rPr>
          <w:kern w:val="2"/>
          <w:sz w:val="20"/>
        </w:rPr>
        <w:t xml:space="preserve">In </w:t>
      </w:r>
      <w:r w:rsidR="00FE54D6" w:rsidRPr="005C2179">
        <w:rPr>
          <w:i/>
          <w:kern w:val="2"/>
          <w:sz w:val="20"/>
        </w:rPr>
        <w:t>Harper v Canada (Attorney General)</w:t>
      </w:r>
      <w:r w:rsidR="00375F6F" w:rsidRPr="005C2179">
        <w:rPr>
          <w:kern w:val="2"/>
          <w:sz w:val="20"/>
        </w:rPr>
        <w:t>, the Supreme Court of Canada cited public confidence as a permissible justification for third-party spending limits</w:t>
      </w:r>
      <w:r w:rsidR="00AB16B3" w:rsidRPr="005C2179">
        <w:rPr>
          <w:kern w:val="2"/>
          <w:sz w:val="20"/>
        </w:rPr>
        <w:t xml:space="preserve"> and their limits on freedom of expression</w:t>
      </w:r>
      <w:r w:rsidR="00375F6F" w:rsidRPr="005C2179">
        <w:rPr>
          <w:kern w:val="2"/>
          <w:sz w:val="20"/>
        </w:rPr>
        <w:t>.</w:t>
      </w:r>
      <w:r w:rsidR="00BA4208" w:rsidRPr="005C2179">
        <w:rPr>
          <w:rStyle w:val="FootnoteReference"/>
          <w:kern w:val="2"/>
          <w:sz w:val="20"/>
        </w:rPr>
        <w:footnoteReference w:id="71"/>
      </w:r>
      <w:r w:rsidR="00375F6F" w:rsidRPr="005C2179">
        <w:rPr>
          <w:kern w:val="2"/>
          <w:sz w:val="20"/>
        </w:rPr>
        <w:t xml:space="preserve"> </w:t>
      </w:r>
      <w:r w:rsidR="00FE42A6" w:rsidRPr="005C2179">
        <w:rPr>
          <w:kern w:val="2"/>
          <w:sz w:val="20"/>
        </w:rPr>
        <w:t>The</w:t>
      </w:r>
      <w:r w:rsidR="001125A8" w:rsidRPr="005C2179">
        <w:rPr>
          <w:kern w:val="2"/>
          <w:sz w:val="20"/>
        </w:rPr>
        <w:t xml:space="preserve"> US Supreme Court</w:t>
      </w:r>
      <w:r w:rsidR="00375F6F" w:rsidRPr="005C2179">
        <w:rPr>
          <w:kern w:val="2"/>
          <w:sz w:val="20"/>
        </w:rPr>
        <w:t xml:space="preserve"> </w:t>
      </w:r>
      <w:r w:rsidR="00FE42A6" w:rsidRPr="005C2179">
        <w:rPr>
          <w:kern w:val="2"/>
          <w:sz w:val="20"/>
        </w:rPr>
        <w:t xml:space="preserve">also </w:t>
      </w:r>
      <w:r w:rsidR="00375F6F" w:rsidRPr="005C2179">
        <w:rPr>
          <w:kern w:val="2"/>
          <w:sz w:val="20"/>
        </w:rPr>
        <w:t xml:space="preserve">accepts </w:t>
      </w:r>
      <w:r w:rsidR="001125A8" w:rsidRPr="005C2179">
        <w:rPr>
          <w:kern w:val="2"/>
          <w:sz w:val="20"/>
        </w:rPr>
        <w:t xml:space="preserve">that </w:t>
      </w:r>
      <w:r w:rsidR="00544F5C" w:rsidRPr="005C2179">
        <w:rPr>
          <w:kern w:val="2"/>
          <w:sz w:val="20"/>
        </w:rPr>
        <w:t>the government</w:t>
      </w:r>
      <w:r w:rsidR="00FE42A6" w:rsidRPr="005C2179">
        <w:rPr>
          <w:kern w:val="2"/>
          <w:sz w:val="20"/>
        </w:rPr>
        <w:t xml:space="preserve"> may limit free speech to prevent the appearance of corruption, but the majority defines corruption narrowly to include only direct </w:t>
      </w:r>
      <w:r w:rsidR="00FE42A6" w:rsidRPr="005C2179">
        <w:rPr>
          <w:i/>
          <w:kern w:val="2"/>
          <w:sz w:val="20"/>
        </w:rPr>
        <w:t xml:space="preserve">quid pro quo </w:t>
      </w:r>
      <w:r w:rsidR="00FE42A6" w:rsidRPr="005C2179">
        <w:rPr>
          <w:kern w:val="2"/>
          <w:sz w:val="20"/>
        </w:rPr>
        <w:t>exchanges</w:t>
      </w:r>
      <w:r w:rsidR="001125A8" w:rsidRPr="005C2179">
        <w:rPr>
          <w:kern w:val="2"/>
          <w:sz w:val="20"/>
        </w:rPr>
        <w:t>.</w:t>
      </w:r>
      <w:r w:rsidR="001125A8" w:rsidRPr="005C2179">
        <w:rPr>
          <w:rStyle w:val="FootnoteReference"/>
          <w:kern w:val="2"/>
          <w:sz w:val="20"/>
        </w:rPr>
        <w:footnoteReference w:id="72"/>
      </w:r>
      <w:r w:rsidR="001125A8" w:rsidRPr="005C2179">
        <w:rPr>
          <w:kern w:val="2"/>
          <w:sz w:val="20"/>
        </w:rPr>
        <w:t xml:space="preserve">  </w:t>
      </w:r>
      <w:r w:rsidR="00375F6F" w:rsidRPr="005C2179">
        <w:rPr>
          <w:kern w:val="2"/>
          <w:sz w:val="20"/>
        </w:rPr>
        <w:t xml:space="preserve"> </w:t>
      </w:r>
    </w:p>
    <w:p w14:paraId="6332DFAA" w14:textId="21140E88" w:rsidR="00F75E3F" w:rsidRPr="005C2179" w:rsidRDefault="005F2EC1" w:rsidP="00BF63B6">
      <w:pPr>
        <w:pStyle w:val="Heading2"/>
        <w:rPr>
          <w:kern w:val="2"/>
          <w:sz w:val="24"/>
        </w:rPr>
      </w:pPr>
      <w:r w:rsidRPr="005C2179">
        <w:rPr>
          <w:kern w:val="2"/>
          <w:sz w:val="24"/>
        </w:rPr>
        <w:t xml:space="preserve">Other </w:t>
      </w:r>
      <w:r w:rsidR="00BD054A" w:rsidRPr="005C2179">
        <w:rPr>
          <w:kern w:val="2"/>
          <w:sz w:val="24"/>
        </w:rPr>
        <w:t>Rationales</w:t>
      </w:r>
    </w:p>
    <w:p w14:paraId="31BB70F9" w14:textId="77777777" w:rsidR="000F5F1C" w:rsidRPr="005C2179" w:rsidRDefault="00193508" w:rsidP="00330F4B">
      <w:pPr>
        <w:rPr>
          <w:kern w:val="2"/>
          <w:sz w:val="20"/>
        </w:rPr>
      </w:pPr>
      <w:r w:rsidRPr="005C2179">
        <w:rPr>
          <w:kern w:val="2"/>
          <w:sz w:val="20"/>
        </w:rPr>
        <w:t xml:space="preserve">Campaign </w:t>
      </w:r>
      <w:r w:rsidR="00A42F3F" w:rsidRPr="005C2179">
        <w:rPr>
          <w:kern w:val="2"/>
          <w:sz w:val="20"/>
        </w:rPr>
        <w:t>fundraising</w:t>
      </w:r>
      <w:r w:rsidRPr="005C2179">
        <w:rPr>
          <w:kern w:val="2"/>
          <w:sz w:val="20"/>
        </w:rPr>
        <w:t xml:space="preserve"> is time-consuming for politicians. </w:t>
      </w:r>
      <w:r w:rsidR="00067310" w:rsidRPr="005C2179">
        <w:rPr>
          <w:kern w:val="2"/>
          <w:sz w:val="20"/>
        </w:rPr>
        <w:t>Limits</w:t>
      </w:r>
      <w:r w:rsidR="005F2EC1" w:rsidRPr="005C2179">
        <w:rPr>
          <w:kern w:val="2"/>
          <w:sz w:val="20"/>
        </w:rPr>
        <w:t xml:space="preserve"> on campaign spending </w:t>
      </w:r>
      <w:r w:rsidR="00067310" w:rsidRPr="005C2179">
        <w:rPr>
          <w:kern w:val="2"/>
          <w:sz w:val="20"/>
        </w:rPr>
        <w:t xml:space="preserve">may </w:t>
      </w:r>
      <w:r w:rsidR="005F2EC1" w:rsidRPr="005C2179">
        <w:rPr>
          <w:kern w:val="2"/>
          <w:sz w:val="20"/>
        </w:rPr>
        <w:t xml:space="preserve">reduce the time </w:t>
      </w:r>
      <w:r w:rsidR="00AB16B3" w:rsidRPr="005C2179">
        <w:rPr>
          <w:kern w:val="2"/>
          <w:sz w:val="20"/>
        </w:rPr>
        <w:t>politicians spend</w:t>
      </w:r>
      <w:r w:rsidR="005F2EC1" w:rsidRPr="005C2179">
        <w:rPr>
          <w:kern w:val="2"/>
          <w:sz w:val="20"/>
        </w:rPr>
        <w:t xml:space="preserve"> on fundraising, allowing them to focus on policy development and other </w:t>
      </w:r>
      <w:r w:rsidR="00AB16B3" w:rsidRPr="005C2179">
        <w:rPr>
          <w:kern w:val="2"/>
          <w:sz w:val="20"/>
        </w:rPr>
        <w:t>valuable</w:t>
      </w:r>
      <w:r w:rsidR="005F2EC1" w:rsidRPr="005C2179">
        <w:rPr>
          <w:kern w:val="2"/>
          <w:sz w:val="20"/>
        </w:rPr>
        <w:t xml:space="preserve"> functions.</w:t>
      </w:r>
      <w:r w:rsidR="005F2EC1" w:rsidRPr="005C2179">
        <w:rPr>
          <w:rStyle w:val="FootnoteReference"/>
          <w:kern w:val="2"/>
          <w:sz w:val="20"/>
        </w:rPr>
        <w:footnoteReference w:id="73"/>
      </w:r>
      <w:r w:rsidR="005F2EC1" w:rsidRPr="005C2179">
        <w:rPr>
          <w:kern w:val="2"/>
          <w:sz w:val="20"/>
        </w:rPr>
        <w:t xml:space="preserve"> </w:t>
      </w:r>
      <w:r w:rsidR="00067310" w:rsidRPr="005C2179">
        <w:rPr>
          <w:kern w:val="2"/>
          <w:sz w:val="20"/>
        </w:rPr>
        <w:t>In addition, some argue that u</w:t>
      </w:r>
      <w:r w:rsidR="00DF7B6F" w:rsidRPr="005C2179">
        <w:rPr>
          <w:kern w:val="2"/>
          <w:sz w:val="20"/>
        </w:rPr>
        <w:t xml:space="preserve">nrestrained </w:t>
      </w:r>
      <w:r w:rsidR="005F2EC1" w:rsidRPr="005C2179">
        <w:rPr>
          <w:kern w:val="2"/>
          <w:sz w:val="20"/>
        </w:rPr>
        <w:t xml:space="preserve">campaign </w:t>
      </w:r>
      <w:r w:rsidR="00067310" w:rsidRPr="005C2179">
        <w:rPr>
          <w:kern w:val="2"/>
          <w:sz w:val="20"/>
        </w:rPr>
        <w:t>spending</w:t>
      </w:r>
      <w:r w:rsidR="00DF7B6F" w:rsidRPr="005C2179">
        <w:rPr>
          <w:kern w:val="2"/>
          <w:sz w:val="20"/>
        </w:rPr>
        <w:t xml:space="preserve"> </w:t>
      </w:r>
      <w:r w:rsidR="00067310" w:rsidRPr="005C2179">
        <w:rPr>
          <w:kern w:val="2"/>
          <w:sz w:val="20"/>
        </w:rPr>
        <w:t xml:space="preserve">compromises </w:t>
      </w:r>
      <w:r w:rsidR="00DF7B6F" w:rsidRPr="005C2179">
        <w:rPr>
          <w:kern w:val="2"/>
          <w:sz w:val="20"/>
        </w:rPr>
        <w:t xml:space="preserve">the quality of public debate. </w:t>
      </w:r>
      <w:r w:rsidR="00BA175E" w:rsidRPr="005C2179">
        <w:rPr>
          <w:kern w:val="2"/>
          <w:sz w:val="20"/>
        </w:rPr>
        <w:t>For example, Dworkin argues that, if electoral debate is simply a free-for-all, discourse may “be so cheapened as to altogether lose its democratic character.”</w:t>
      </w:r>
      <w:r w:rsidR="00BA175E" w:rsidRPr="005C2179">
        <w:rPr>
          <w:rStyle w:val="FootnoteReference"/>
          <w:kern w:val="2"/>
          <w:sz w:val="20"/>
        </w:rPr>
        <w:footnoteReference w:id="74"/>
      </w:r>
      <w:r w:rsidR="00BA175E" w:rsidRPr="005C2179">
        <w:rPr>
          <w:kern w:val="2"/>
          <w:sz w:val="20"/>
        </w:rPr>
        <w:t xml:space="preserve"> </w:t>
      </w:r>
      <w:r w:rsidR="00F177F1" w:rsidRPr="005C2179">
        <w:rPr>
          <w:kern w:val="2"/>
          <w:sz w:val="20"/>
        </w:rPr>
        <w:t>Similarly</w:t>
      </w:r>
      <w:r w:rsidR="00927A1A" w:rsidRPr="005C2179">
        <w:rPr>
          <w:kern w:val="2"/>
          <w:sz w:val="20"/>
        </w:rPr>
        <w:t>, t</w:t>
      </w:r>
      <w:r w:rsidR="00BA175E" w:rsidRPr="005C2179">
        <w:rPr>
          <w:kern w:val="2"/>
          <w:sz w:val="20"/>
        </w:rPr>
        <w:t xml:space="preserve">he </w:t>
      </w:r>
      <w:r w:rsidR="003B2712" w:rsidRPr="005C2179">
        <w:rPr>
          <w:kern w:val="2"/>
          <w:sz w:val="20"/>
        </w:rPr>
        <w:t xml:space="preserve">Neill Committee </w:t>
      </w:r>
      <w:r w:rsidR="00BA175E" w:rsidRPr="005C2179">
        <w:rPr>
          <w:kern w:val="2"/>
          <w:sz w:val="20"/>
        </w:rPr>
        <w:t xml:space="preserve">in the UK justified </w:t>
      </w:r>
      <w:r w:rsidR="00F177F1" w:rsidRPr="005C2179">
        <w:rPr>
          <w:kern w:val="2"/>
          <w:sz w:val="20"/>
        </w:rPr>
        <w:t>a</w:t>
      </w:r>
      <w:r w:rsidR="00BA175E" w:rsidRPr="005C2179">
        <w:rPr>
          <w:kern w:val="2"/>
          <w:sz w:val="20"/>
        </w:rPr>
        <w:t xml:space="preserve"> </w:t>
      </w:r>
      <w:r w:rsidR="00DF7B6F" w:rsidRPr="005C2179">
        <w:rPr>
          <w:kern w:val="2"/>
          <w:sz w:val="20"/>
        </w:rPr>
        <w:t xml:space="preserve">ban on paid political advertising </w:t>
      </w:r>
      <w:r w:rsidR="00BA175E" w:rsidRPr="005C2179">
        <w:rPr>
          <w:kern w:val="2"/>
          <w:sz w:val="20"/>
        </w:rPr>
        <w:t>on broadcast media</w:t>
      </w:r>
      <w:r w:rsidR="00DF7B6F" w:rsidRPr="005C2179">
        <w:rPr>
          <w:kern w:val="2"/>
          <w:sz w:val="20"/>
        </w:rPr>
        <w:t xml:space="preserve"> </w:t>
      </w:r>
      <w:r w:rsidR="00BA175E" w:rsidRPr="005C2179">
        <w:rPr>
          <w:kern w:val="2"/>
          <w:sz w:val="20"/>
        </w:rPr>
        <w:t xml:space="preserve">by </w:t>
      </w:r>
      <w:r w:rsidR="00F177F1" w:rsidRPr="005C2179">
        <w:rPr>
          <w:kern w:val="2"/>
          <w:sz w:val="20"/>
        </w:rPr>
        <w:t>pointing to the undesirability of</w:t>
      </w:r>
      <w:r w:rsidR="00DF7B6F" w:rsidRPr="005C2179">
        <w:rPr>
          <w:kern w:val="2"/>
          <w:sz w:val="20"/>
        </w:rPr>
        <w:t xml:space="preserve"> a “continuous barrage of party political propaganda</w:t>
      </w:r>
      <w:r w:rsidR="009C5074" w:rsidRPr="005C2179">
        <w:rPr>
          <w:kern w:val="2"/>
          <w:sz w:val="20"/>
        </w:rPr>
        <w:t>.</w:t>
      </w:r>
      <w:r w:rsidR="00DF7B6F" w:rsidRPr="005C2179">
        <w:rPr>
          <w:kern w:val="2"/>
          <w:sz w:val="20"/>
        </w:rPr>
        <w:t>”</w:t>
      </w:r>
      <w:r w:rsidR="005F2EC1" w:rsidRPr="005C2179">
        <w:rPr>
          <w:rStyle w:val="FootnoteReference"/>
          <w:kern w:val="2"/>
          <w:sz w:val="20"/>
        </w:rPr>
        <w:footnoteReference w:id="75"/>
      </w:r>
      <w:r w:rsidR="00DF7B6F" w:rsidRPr="005C2179">
        <w:rPr>
          <w:kern w:val="2"/>
          <w:sz w:val="20"/>
        </w:rPr>
        <w:t xml:space="preserve"> </w:t>
      </w:r>
    </w:p>
    <w:p w14:paraId="7EE9CFBA" w14:textId="197E348D" w:rsidR="00565903" w:rsidRPr="005C2179" w:rsidRDefault="003503C8" w:rsidP="00A8357B">
      <w:pPr>
        <w:pStyle w:val="Heading1"/>
        <w:rPr>
          <w:sz w:val="28"/>
        </w:rPr>
      </w:pPr>
      <w:bookmarkStart w:id="9" w:name="_Toc503443955"/>
      <w:bookmarkStart w:id="10" w:name="_Toc509569393"/>
      <w:r w:rsidRPr="005C2179">
        <w:rPr>
          <w:sz w:val="28"/>
        </w:rPr>
        <w:t xml:space="preserve">Overview </w:t>
      </w:r>
      <w:r w:rsidR="007D6B93" w:rsidRPr="005C2179">
        <w:rPr>
          <w:sz w:val="28"/>
        </w:rPr>
        <w:t xml:space="preserve">of Challenges </w:t>
      </w:r>
      <w:r w:rsidR="00D336D2" w:rsidRPr="005C2179">
        <w:rPr>
          <w:sz w:val="28"/>
        </w:rPr>
        <w:t>i</w:t>
      </w:r>
      <w:r w:rsidR="007D6B93" w:rsidRPr="005C2179">
        <w:rPr>
          <w:sz w:val="28"/>
        </w:rPr>
        <w:t>n Regulating Campaign Finance</w:t>
      </w:r>
      <w:bookmarkEnd w:id="9"/>
      <w:bookmarkEnd w:id="10"/>
      <w:r w:rsidR="007D6B93" w:rsidRPr="005C2179">
        <w:rPr>
          <w:sz w:val="28"/>
        </w:rPr>
        <w:t xml:space="preserve"> </w:t>
      </w:r>
    </w:p>
    <w:p w14:paraId="6AD31984" w14:textId="19B2C118" w:rsidR="00236381" w:rsidRPr="005C2179" w:rsidRDefault="007D6B93" w:rsidP="00BF63B6">
      <w:pPr>
        <w:pStyle w:val="Heading2"/>
        <w:rPr>
          <w:kern w:val="2"/>
          <w:sz w:val="24"/>
        </w:rPr>
      </w:pPr>
      <w:r w:rsidRPr="005C2179">
        <w:rPr>
          <w:kern w:val="2"/>
          <w:sz w:val="24"/>
        </w:rPr>
        <w:t>Freedom of E</w:t>
      </w:r>
      <w:r w:rsidR="00565903" w:rsidRPr="005C2179">
        <w:rPr>
          <w:kern w:val="2"/>
          <w:sz w:val="24"/>
        </w:rPr>
        <w:t xml:space="preserve">xpression and </w:t>
      </w:r>
      <w:r w:rsidRPr="005C2179">
        <w:rPr>
          <w:kern w:val="2"/>
          <w:sz w:val="24"/>
        </w:rPr>
        <w:t>A</w:t>
      </w:r>
      <w:r w:rsidR="00565903" w:rsidRPr="005C2179">
        <w:rPr>
          <w:kern w:val="2"/>
          <w:sz w:val="24"/>
        </w:rPr>
        <w:t xml:space="preserve">ssociation </w:t>
      </w:r>
    </w:p>
    <w:p w14:paraId="3F86BC0A" w14:textId="77777777" w:rsidR="00F60901" w:rsidRPr="005C2179" w:rsidRDefault="00DE7CA6" w:rsidP="00330F4B">
      <w:pPr>
        <w:rPr>
          <w:kern w:val="2"/>
          <w:sz w:val="20"/>
        </w:rPr>
      </w:pPr>
      <w:r w:rsidRPr="005C2179">
        <w:rPr>
          <w:kern w:val="2"/>
          <w:sz w:val="20"/>
        </w:rPr>
        <w:t>Campaign finance regulation</w:t>
      </w:r>
      <w:r w:rsidR="00180893" w:rsidRPr="005C2179">
        <w:rPr>
          <w:kern w:val="2"/>
          <w:sz w:val="20"/>
        </w:rPr>
        <w:t xml:space="preserve"> </w:t>
      </w:r>
      <w:r w:rsidR="00044C43" w:rsidRPr="005C2179">
        <w:rPr>
          <w:kern w:val="2"/>
          <w:sz w:val="20"/>
        </w:rPr>
        <w:t xml:space="preserve">often </w:t>
      </w:r>
      <w:r w:rsidR="003009BC" w:rsidRPr="005C2179">
        <w:rPr>
          <w:kern w:val="2"/>
          <w:sz w:val="20"/>
        </w:rPr>
        <w:t>entails</w:t>
      </w:r>
      <w:r w:rsidR="00180893" w:rsidRPr="005C2179">
        <w:rPr>
          <w:kern w:val="2"/>
          <w:sz w:val="20"/>
        </w:rPr>
        <w:t xml:space="preserve"> limits on</w:t>
      </w:r>
      <w:r w:rsidR="0053384D" w:rsidRPr="005C2179">
        <w:rPr>
          <w:kern w:val="2"/>
          <w:sz w:val="20"/>
        </w:rPr>
        <w:t xml:space="preserve"> freedom of expression</w:t>
      </w:r>
      <w:r w:rsidR="00005597" w:rsidRPr="005C2179">
        <w:rPr>
          <w:kern w:val="2"/>
          <w:sz w:val="20"/>
        </w:rPr>
        <w:t>. As the US Supreme Court remarked</w:t>
      </w:r>
      <w:r w:rsidR="0053384D" w:rsidRPr="005C2179">
        <w:rPr>
          <w:kern w:val="2"/>
          <w:sz w:val="20"/>
        </w:rPr>
        <w:t xml:space="preserve"> in </w:t>
      </w:r>
      <w:r w:rsidR="0053384D" w:rsidRPr="005C2179">
        <w:rPr>
          <w:i/>
          <w:kern w:val="2"/>
          <w:sz w:val="20"/>
        </w:rPr>
        <w:t>Buckley</w:t>
      </w:r>
      <w:r w:rsidR="00AE42D0" w:rsidRPr="005C2179">
        <w:rPr>
          <w:i/>
          <w:kern w:val="2"/>
          <w:sz w:val="20"/>
        </w:rPr>
        <w:t xml:space="preserve"> v Valeo</w:t>
      </w:r>
      <w:r w:rsidR="0053384D" w:rsidRPr="005C2179">
        <w:rPr>
          <w:i/>
          <w:kern w:val="2"/>
          <w:sz w:val="20"/>
        </w:rPr>
        <w:t xml:space="preserve">, </w:t>
      </w:r>
      <w:r w:rsidR="0053384D" w:rsidRPr="005C2179">
        <w:rPr>
          <w:kern w:val="2"/>
          <w:sz w:val="20"/>
        </w:rPr>
        <w:t>“virtually every type of communication in a modern mass democracy is dependent on expenditure</w:t>
      </w:r>
      <w:r w:rsidR="00215315" w:rsidRPr="005C2179">
        <w:rPr>
          <w:kern w:val="2"/>
          <w:sz w:val="20"/>
        </w:rPr>
        <w:t>.</w:t>
      </w:r>
      <w:r w:rsidR="0053384D" w:rsidRPr="005C2179">
        <w:rPr>
          <w:kern w:val="2"/>
          <w:sz w:val="20"/>
        </w:rPr>
        <w:t>”</w:t>
      </w:r>
      <w:r w:rsidR="00A0419C" w:rsidRPr="005C2179">
        <w:rPr>
          <w:rStyle w:val="FootnoteReference"/>
          <w:kern w:val="2"/>
          <w:sz w:val="20"/>
        </w:rPr>
        <w:footnoteReference w:id="76"/>
      </w:r>
      <w:r w:rsidR="0053384D" w:rsidRPr="005C2179">
        <w:rPr>
          <w:kern w:val="2"/>
          <w:sz w:val="20"/>
        </w:rPr>
        <w:t xml:space="preserve"> Limiting spending </w:t>
      </w:r>
      <w:r w:rsidR="00AA2C76" w:rsidRPr="005C2179">
        <w:rPr>
          <w:kern w:val="2"/>
          <w:sz w:val="20"/>
        </w:rPr>
        <w:t xml:space="preserve">and fundraising </w:t>
      </w:r>
      <w:r w:rsidR="00E17EDF" w:rsidRPr="005C2179">
        <w:rPr>
          <w:kern w:val="2"/>
          <w:sz w:val="20"/>
        </w:rPr>
        <w:t xml:space="preserve">therefore </w:t>
      </w:r>
      <w:r w:rsidR="0053384D" w:rsidRPr="005C2179">
        <w:rPr>
          <w:kern w:val="2"/>
          <w:sz w:val="20"/>
        </w:rPr>
        <w:t>limits the “quanti</w:t>
      </w:r>
      <w:r w:rsidR="00152B85" w:rsidRPr="005C2179">
        <w:rPr>
          <w:kern w:val="2"/>
          <w:sz w:val="20"/>
        </w:rPr>
        <w:t>ty of expression</w:t>
      </w:r>
      <w:r w:rsidR="00215315" w:rsidRPr="005C2179">
        <w:rPr>
          <w:kern w:val="2"/>
          <w:sz w:val="20"/>
        </w:rPr>
        <w:t>.</w:t>
      </w:r>
      <w:r w:rsidR="0053384D" w:rsidRPr="005C2179">
        <w:rPr>
          <w:kern w:val="2"/>
          <w:sz w:val="20"/>
        </w:rPr>
        <w:t>”</w:t>
      </w:r>
      <w:r w:rsidR="00A0419C" w:rsidRPr="005C2179">
        <w:rPr>
          <w:rStyle w:val="FootnoteReference"/>
          <w:kern w:val="2"/>
          <w:sz w:val="20"/>
        </w:rPr>
        <w:footnoteReference w:id="77"/>
      </w:r>
      <w:r w:rsidR="0053384D" w:rsidRPr="005C2179">
        <w:rPr>
          <w:kern w:val="2"/>
          <w:sz w:val="20"/>
        </w:rPr>
        <w:t xml:space="preserve"> Further, campaign finance regulations impact </w:t>
      </w:r>
      <w:r w:rsidR="0053384D" w:rsidRPr="005C2179">
        <w:rPr>
          <w:i/>
          <w:kern w:val="2"/>
          <w:sz w:val="20"/>
        </w:rPr>
        <w:t xml:space="preserve">political </w:t>
      </w:r>
      <w:r w:rsidR="0053384D" w:rsidRPr="005C2179">
        <w:rPr>
          <w:kern w:val="2"/>
          <w:sz w:val="20"/>
        </w:rPr>
        <w:t xml:space="preserve">speech, which </w:t>
      </w:r>
      <w:r w:rsidR="006A6ADC" w:rsidRPr="005C2179">
        <w:rPr>
          <w:kern w:val="2"/>
          <w:sz w:val="20"/>
        </w:rPr>
        <w:t>enjoys</w:t>
      </w:r>
      <w:r w:rsidR="00D26A69" w:rsidRPr="005C2179">
        <w:rPr>
          <w:kern w:val="2"/>
          <w:sz w:val="20"/>
        </w:rPr>
        <w:t xml:space="preserve"> a preferred position under US law and </w:t>
      </w:r>
      <w:r w:rsidR="00AA2C76" w:rsidRPr="005C2179">
        <w:rPr>
          <w:kern w:val="2"/>
          <w:sz w:val="20"/>
        </w:rPr>
        <w:t>stronger protection</w:t>
      </w:r>
      <w:r w:rsidR="00D26A69" w:rsidRPr="005C2179">
        <w:rPr>
          <w:kern w:val="2"/>
          <w:sz w:val="20"/>
        </w:rPr>
        <w:t xml:space="preserve"> </w:t>
      </w:r>
      <w:r w:rsidR="0053384D" w:rsidRPr="005C2179">
        <w:rPr>
          <w:kern w:val="2"/>
          <w:sz w:val="20"/>
        </w:rPr>
        <w:t>under the European Convention on Human Rights</w:t>
      </w:r>
      <w:r w:rsidR="00AA2C76" w:rsidRPr="005C2179">
        <w:rPr>
          <w:kern w:val="2"/>
          <w:sz w:val="20"/>
        </w:rPr>
        <w:t>.</w:t>
      </w:r>
      <w:r w:rsidR="00AA2C76" w:rsidRPr="005C2179">
        <w:rPr>
          <w:rStyle w:val="FootnoteReference"/>
          <w:kern w:val="2"/>
          <w:sz w:val="20"/>
        </w:rPr>
        <w:footnoteReference w:id="78"/>
      </w:r>
      <w:r w:rsidR="0053384D" w:rsidRPr="005C2179">
        <w:rPr>
          <w:kern w:val="2"/>
          <w:sz w:val="20"/>
        </w:rPr>
        <w:t xml:space="preserve"> </w:t>
      </w:r>
      <w:r w:rsidR="008956C8" w:rsidRPr="005C2179">
        <w:rPr>
          <w:kern w:val="2"/>
          <w:sz w:val="20"/>
        </w:rPr>
        <w:t>Some regulations also hinder freedom of association by preventing individuals from freely pooling their resources to finance a political message.</w:t>
      </w:r>
      <w:r w:rsidR="0053384D" w:rsidRPr="005C2179">
        <w:rPr>
          <w:kern w:val="2"/>
          <w:sz w:val="20"/>
        </w:rPr>
        <w:t xml:space="preserve"> </w:t>
      </w:r>
      <w:r w:rsidR="00044C43" w:rsidRPr="005C2179">
        <w:rPr>
          <w:kern w:val="2"/>
          <w:sz w:val="20"/>
        </w:rPr>
        <w:t>Governments</w:t>
      </w:r>
      <w:r w:rsidR="005D38AA" w:rsidRPr="005C2179">
        <w:rPr>
          <w:kern w:val="2"/>
          <w:sz w:val="20"/>
        </w:rPr>
        <w:t xml:space="preserve"> attempting to restrict spending, fundraising, broadcasting, and other aspects of election campaigns must </w:t>
      </w:r>
      <w:r w:rsidR="00044C43" w:rsidRPr="005C2179">
        <w:rPr>
          <w:kern w:val="2"/>
          <w:sz w:val="20"/>
        </w:rPr>
        <w:t xml:space="preserve">therefore </w:t>
      </w:r>
      <w:r w:rsidR="005D38AA" w:rsidRPr="005C2179">
        <w:rPr>
          <w:kern w:val="2"/>
          <w:sz w:val="20"/>
        </w:rPr>
        <w:t>show that restrictions are a justified infringement of freedom of expression and association.</w:t>
      </w:r>
    </w:p>
    <w:p w14:paraId="2EE89271" w14:textId="77777777" w:rsidR="00BB0D09" w:rsidRPr="005C2179" w:rsidRDefault="00242825" w:rsidP="00330F4B">
      <w:pPr>
        <w:rPr>
          <w:kern w:val="2"/>
          <w:sz w:val="20"/>
        </w:rPr>
      </w:pPr>
      <w:r w:rsidRPr="005C2179">
        <w:rPr>
          <w:kern w:val="2"/>
          <w:sz w:val="20"/>
        </w:rPr>
        <w:t>As Dworkin observes</w:t>
      </w:r>
      <w:r w:rsidR="00C820F7" w:rsidRPr="005C2179">
        <w:rPr>
          <w:kern w:val="2"/>
          <w:sz w:val="20"/>
        </w:rPr>
        <w:t xml:space="preserve">, </w:t>
      </w:r>
      <w:r w:rsidR="00C8202F" w:rsidRPr="005C2179">
        <w:rPr>
          <w:kern w:val="2"/>
          <w:sz w:val="20"/>
        </w:rPr>
        <w:t>critics of campaign finance regulation view</w:t>
      </w:r>
      <w:r w:rsidR="0052026F" w:rsidRPr="005C2179">
        <w:rPr>
          <w:kern w:val="2"/>
          <w:sz w:val="20"/>
        </w:rPr>
        <w:t xml:space="preserve"> any</w:t>
      </w:r>
      <w:r w:rsidR="00E17EDF" w:rsidRPr="005C2179">
        <w:rPr>
          <w:kern w:val="2"/>
          <w:sz w:val="20"/>
        </w:rPr>
        <w:t xml:space="preserve"> restrictio</w:t>
      </w:r>
      <w:r w:rsidR="00157E1B" w:rsidRPr="005C2179">
        <w:rPr>
          <w:kern w:val="2"/>
          <w:sz w:val="20"/>
        </w:rPr>
        <w:t>n of</w:t>
      </w:r>
      <w:r w:rsidR="00681C2B" w:rsidRPr="005C2179">
        <w:rPr>
          <w:kern w:val="2"/>
          <w:sz w:val="20"/>
        </w:rPr>
        <w:t xml:space="preserve"> political speech </w:t>
      </w:r>
      <w:r w:rsidR="00E17EDF" w:rsidRPr="005C2179">
        <w:rPr>
          <w:kern w:val="2"/>
          <w:sz w:val="20"/>
        </w:rPr>
        <w:t xml:space="preserve">as harmful to democracy, even if </w:t>
      </w:r>
      <w:r w:rsidR="0052026F" w:rsidRPr="005C2179">
        <w:rPr>
          <w:kern w:val="2"/>
          <w:sz w:val="20"/>
        </w:rPr>
        <w:t>that restriction is</w:t>
      </w:r>
      <w:r w:rsidR="00E17EDF" w:rsidRPr="005C2179">
        <w:rPr>
          <w:kern w:val="2"/>
          <w:sz w:val="20"/>
        </w:rPr>
        <w:t xml:space="preserve"> aimed at enhancing the quality of democracy.</w:t>
      </w:r>
      <w:r w:rsidR="00157E1B" w:rsidRPr="005C2179">
        <w:rPr>
          <w:rStyle w:val="FootnoteReference"/>
          <w:kern w:val="2"/>
          <w:sz w:val="20"/>
        </w:rPr>
        <w:footnoteReference w:id="79"/>
      </w:r>
      <w:r w:rsidR="00E17EDF" w:rsidRPr="005C2179">
        <w:rPr>
          <w:kern w:val="2"/>
          <w:sz w:val="20"/>
        </w:rPr>
        <w:t xml:space="preserve"> </w:t>
      </w:r>
      <w:r w:rsidR="00C8202F" w:rsidRPr="005C2179">
        <w:rPr>
          <w:kern w:val="2"/>
          <w:sz w:val="20"/>
        </w:rPr>
        <w:t xml:space="preserve">These critics focus on the danger posed by government, rather than the wealthy, to democracy and individual freedom. </w:t>
      </w:r>
      <w:r w:rsidR="009229B4" w:rsidRPr="005C2179">
        <w:rPr>
          <w:kern w:val="2"/>
          <w:sz w:val="20"/>
        </w:rPr>
        <w:t>The majority of the US Supreme Court</w:t>
      </w:r>
      <w:r w:rsidR="00BB1DE0" w:rsidRPr="005C2179">
        <w:rPr>
          <w:kern w:val="2"/>
          <w:sz w:val="20"/>
        </w:rPr>
        <w:t xml:space="preserve"> </w:t>
      </w:r>
      <w:r w:rsidR="004C4E4B" w:rsidRPr="005C2179">
        <w:rPr>
          <w:kern w:val="2"/>
          <w:sz w:val="20"/>
        </w:rPr>
        <w:t>follows</w:t>
      </w:r>
      <w:r w:rsidR="0092009F" w:rsidRPr="005C2179">
        <w:rPr>
          <w:kern w:val="2"/>
          <w:sz w:val="20"/>
        </w:rPr>
        <w:t xml:space="preserve"> </w:t>
      </w:r>
      <w:r w:rsidR="0052026F" w:rsidRPr="005C2179">
        <w:rPr>
          <w:kern w:val="2"/>
          <w:sz w:val="20"/>
        </w:rPr>
        <w:t xml:space="preserve">this </w:t>
      </w:r>
      <w:r w:rsidR="00157E1B" w:rsidRPr="005C2179">
        <w:rPr>
          <w:kern w:val="2"/>
          <w:sz w:val="20"/>
        </w:rPr>
        <w:t xml:space="preserve">libertarian approach to </w:t>
      </w:r>
      <w:r w:rsidR="0052026F" w:rsidRPr="005C2179">
        <w:rPr>
          <w:kern w:val="2"/>
          <w:sz w:val="20"/>
        </w:rPr>
        <w:t>freedom of speech</w:t>
      </w:r>
      <w:r w:rsidR="0092009F" w:rsidRPr="005C2179">
        <w:rPr>
          <w:kern w:val="2"/>
          <w:sz w:val="20"/>
        </w:rPr>
        <w:t xml:space="preserve">. </w:t>
      </w:r>
      <w:r w:rsidR="00157E1B" w:rsidRPr="005C2179">
        <w:rPr>
          <w:kern w:val="2"/>
          <w:sz w:val="20"/>
        </w:rPr>
        <w:t>In</w:t>
      </w:r>
      <w:r w:rsidR="00C85144" w:rsidRPr="005C2179">
        <w:rPr>
          <w:kern w:val="2"/>
          <w:sz w:val="20"/>
        </w:rPr>
        <w:t xml:space="preserve"> </w:t>
      </w:r>
      <w:r w:rsidR="00C85144" w:rsidRPr="005C2179">
        <w:rPr>
          <w:i/>
          <w:kern w:val="2"/>
          <w:sz w:val="20"/>
        </w:rPr>
        <w:t>McCutcheon</w:t>
      </w:r>
      <w:r w:rsidR="00272488" w:rsidRPr="005C2179">
        <w:rPr>
          <w:i/>
          <w:kern w:val="2"/>
          <w:sz w:val="20"/>
        </w:rPr>
        <w:t xml:space="preserve"> v Federal Election Commission</w:t>
      </w:r>
      <w:r w:rsidR="0092009F" w:rsidRPr="005C2179">
        <w:rPr>
          <w:kern w:val="2"/>
          <w:sz w:val="20"/>
        </w:rPr>
        <w:t xml:space="preserve">, </w:t>
      </w:r>
      <w:r w:rsidR="00941717" w:rsidRPr="005C2179">
        <w:rPr>
          <w:kern w:val="2"/>
          <w:sz w:val="20"/>
        </w:rPr>
        <w:t xml:space="preserve">for example, </w:t>
      </w:r>
      <w:r w:rsidR="0092009F" w:rsidRPr="005C2179">
        <w:rPr>
          <w:kern w:val="2"/>
          <w:sz w:val="20"/>
        </w:rPr>
        <w:t>Chief Justice Roberts</w:t>
      </w:r>
      <w:r w:rsidR="00C85144" w:rsidRPr="005C2179">
        <w:rPr>
          <w:kern w:val="2"/>
          <w:sz w:val="20"/>
        </w:rPr>
        <w:t xml:space="preserve"> maintained that the government cannot be trusted to judge the value of certain speech over other speech, “even when the government purports to act through legislation reflecting ‘collective speech.’”</w:t>
      </w:r>
      <w:r w:rsidR="00C85144" w:rsidRPr="005C2179">
        <w:rPr>
          <w:rStyle w:val="FootnoteReference"/>
          <w:kern w:val="2"/>
          <w:sz w:val="20"/>
        </w:rPr>
        <w:footnoteReference w:id="80"/>
      </w:r>
    </w:p>
    <w:p w14:paraId="2B46C57B" w14:textId="771E2137" w:rsidR="000F7413" w:rsidRPr="005C2179" w:rsidRDefault="000F7413" w:rsidP="00330F4B">
      <w:pPr>
        <w:rPr>
          <w:kern w:val="2"/>
          <w:sz w:val="20"/>
        </w:rPr>
      </w:pPr>
      <w:r w:rsidRPr="005C2179">
        <w:rPr>
          <w:kern w:val="2"/>
          <w:sz w:val="20"/>
        </w:rPr>
        <w:t xml:space="preserve">Dworkin </w:t>
      </w:r>
      <w:r w:rsidR="004C4E4B" w:rsidRPr="005C2179">
        <w:rPr>
          <w:kern w:val="2"/>
          <w:sz w:val="20"/>
        </w:rPr>
        <w:t>dismisses</w:t>
      </w:r>
      <w:r w:rsidRPr="005C2179">
        <w:rPr>
          <w:kern w:val="2"/>
          <w:sz w:val="20"/>
        </w:rPr>
        <w:t xml:space="preserve"> this libertarian </w:t>
      </w:r>
      <w:r w:rsidR="00DE7CA6" w:rsidRPr="005C2179">
        <w:rPr>
          <w:kern w:val="2"/>
          <w:sz w:val="20"/>
        </w:rPr>
        <w:t>model</w:t>
      </w:r>
      <w:r w:rsidR="00DC43A1" w:rsidRPr="005C2179">
        <w:rPr>
          <w:kern w:val="2"/>
          <w:sz w:val="20"/>
        </w:rPr>
        <w:t xml:space="preserve"> </w:t>
      </w:r>
      <w:r w:rsidR="004C4E4B" w:rsidRPr="005C2179">
        <w:rPr>
          <w:kern w:val="2"/>
          <w:sz w:val="20"/>
        </w:rPr>
        <w:t>as</w:t>
      </w:r>
      <w:r w:rsidRPr="005C2179">
        <w:rPr>
          <w:kern w:val="2"/>
          <w:sz w:val="20"/>
        </w:rPr>
        <w:t xml:space="preserve"> “prophylactic overkill</w:t>
      </w:r>
      <w:r w:rsidR="00215315" w:rsidRPr="005C2179">
        <w:rPr>
          <w:kern w:val="2"/>
          <w:sz w:val="20"/>
        </w:rPr>
        <w:t>.</w:t>
      </w:r>
      <w:r w:rsidRPr="005C2179">
        <w:rPr>
          <w:kern w:val="2"/>
          <w:sz w:val="20"/>
        </w:rPr>
        <w:t>”</w:t>
      </w:r>
      <w:r w:rsidRPr="005C2179">
        <w:rPr>
          <w:rStyle w:val="FootnoteReference"/>
          <w:kern w:val="2"/>
          <w:sz w:val="20"/>
        </w:rPr>
        <w:footnoteReference w:id="81"/>
      </w:r>
      <w:r w:rsidRPr="005C2179">
        <w:rPr>
          <w:kern w:val="2"/>
          <w:sz w:val="20"/>
        </w:rPr>
        <w:t xml:space="preserve"> Under Dworkin’s “partnership” model of democracy, citizens participate in elections not only by voting, but by attempting to influence the opinions of others.</w:t>
      </w:r>
      <w:r w:rsidR="004C4E4B" w:rsidRPr="005C2179">
        <w:rPr>
          <w:rStyle w:val="FootnoteReference"/>
          <w:kern w:val="2"/>
          <w:sz w:val="20"/>
        </w:rPr>
        <w:footnoteReference w:id="82"/>
      </w:r>
      <w:r w:rsidRPr="005C2179">
        <w:rPr>
          <w:kern w:val="2"/>
          <w:sz w:val="20"/>
        </w:rPr>
        <w:t xml:space="preserve"> Dworkin argues that citizens who lose must be “satisfied that they had a chance to convince others</w:t>
      </w:r>
      <w:r w:rsidR="00215315" w:rsidRPr="005C2179">
        <w:rPr>
          <w:kern w:val="2"/>
          <w:sz w:val="20"/>
        </w:rPr>
        <w:t xml:space="preserve"> </w:t>
      </w:r>
      <w:r w:rsidRPr="005C2179">
        <w:rPr>
          <w:kern w:val="2"/>
          <w:sz w:val="20"/>
        </w:rPr>
        <w:t>....</w:t>
      </w:r>
      <w:r w:rsidR="00215315" w:rsidRPr="005C2179">
        <w:rPr>
          <w:kern w:val="2"/>
          <w:sz w:val="20"/>
        </w:rPr>
        <w:t xml:space="preserve"> </w:t>
      </w:r>
      <w:r w:rsidRPr="005C2179">
        <w:rPr>
          <w:kern w:val="2"/>
          <w:sz w:val="20"/>
        </w:rPr>
        <w:t>not merely that they have been outnumbered</w:t>
      </w:r>
      <w:r w:rsidR="00215315" w:rsidRPr="005C2179">
        <w:rPr>
          <w:kern w:val="2"/>
          <w:sz w:val="20"/>
        </w:rPr>
        <w:t>.</w:t>
      </w:r>
      <w:r w:rsidRPr="005C2179">
        <w:rPr>
          <w:kern w:val="2"/>
          <w:sz w:val="20"/>
        </w:rPr>
        <w:t>”</w:t>
      </w:r>
      <w:r w:rsidRPr="005C2179">
        <w:rPr>
          <w:rStyle w:val="FootnoteReference"/>
          <w:kern w:val="2"/>
          <w:sz w:val="20"/>
        </w:rPr>
        <w:footnoteReference w:id="83"/>
      </w:r>
      <w:r w:rsidRPr="005C2179">
        <w:rPr>
          <w:kern w:val="2"/>
          <w:sz w:val="20"/>
        </w:rPr>
        <w:t xml:space="preserve"> However, if the “admission price” to political debate is too high, citizens will be denied the opportunity to make persuasive efforts on the basis of wealth, “a circumstance...</w:t>
      </w:r>
      <w:r w:rsidR="000B5191" w:rsidRPr="005C2179">
        <w:rPr>
          <w:kern w:val="2"/>
          <w:sz w:val="20"/>
        </w:rPr>
        <w:t xml:space="preserve"> </w:t>
      </w:r>
      <w:r w:rsidRPr="005C2179">
        <w:rPr>
          <w:kern w:val="2"/>
          <w:sz w:val="20"/>
        </w:rPr>
        <w:t>remote from the substance of opinion or argument</w:t>
      </w:r>
      <w:r w:rsidR="000B5191" w:rsidRPr="005C2179">
        <w:rPr>
          <w:kern w:val="2"/>
          <w:sz w:val="20"/>
        </w:rPr>
        <w:t>.</w:t>
      </w:r>
      <w:r w:rsidRPr="005C2179">
        <w:rPr>
          <w:kern w:val="2"/>
          <w:sz w:val="20"/>
        </w:rPr>
        <w:t>”</w:t>
      </w:r>
      <w:r w:rsidRPr="005C2179">
        <w:rPr>
          <w:rStyle w:val="FootnoteReference"/>
          <w:kern w:val="2"/>
          <w:sz w:val="20"/>
        </w:rPr>
        <w:footnoteReference w:id="84"/>
      </w:r>
    </w:p>
    <w:p w14:paraId="5512BDA6" w14:textId="77777777" w:rsidR="00C9528E" w:rsidRPr="005C2179" w:rsidRDefault="001F6A78" w:rsidP="00330F4B">
      <w:pPr>
        <w:rPr>
          <w:kern w:val="2"/>
          <w:sz w:val="20"/>
        </w:rPr>
      </w:pPr>
      <w:r w:rsidRPr="005C2179">
        <w:rPr>
          <w:kern w:val="2"/>
          <w:sz w:val="20"/>
        </w:rPr>
        <w:t xml:space="preserve">Many commentators agree with Dworkin that </w:t>
      </w:r>
      <w:r w:rsidR="00C718C2" w:rsidRPr="005C2179">
        <w:rPr>
          <w:kern w:val="2"/>
          <w:sz w:val="20"/>
        </w:rPr>
        <w:t>campaign finance regulation</w:t>
      </w:r>
      <w:r w:rsidRPr="005C2179">
        <w:rPr>
          <w:kern w:val="2"/>
          <w:sz w:val="20"/>
        </w:rPr>
        <w:t xml:space="preserve"> </w:t>
      </w:r>
      <w:r w:rsidR="00D93350" w:rsidRPr="005C2179">
        <w:rPr>
          <w:kern w:val="2"/>
          <w:sz w:val="20"/>
        </w:rPr>
        <w:t xml:space="preserve">can be </w:t>
      </w:r>
      <w:r w:rsidR="00C718C2" w:rsidRPr="005C2179">
        <w:rPr>
          <w:kern w:val="2"/>
          <w:sz w:val="20"/>
        </w:rPr>
        <w:t>a justified limit</w:t>
      </w:r>
      <w:r w:rsidRPr="005C2179">
        <w:rPr>
          <w:kern w:val="2"/>
          <w:sz w:val="20"/>
        </w:rPr>
        <w:t xml:space="preserve"> on freedom of speech. </w:t>
      </w:r>
      <w:r w:rsidR="00F50B27" w:rsidRPr="005C2179">
        <w:rPr>
          <w:kern w:val="2"/>
          <w:sz w:val="20"/>
        </w:rPr>
        <w:t>Some p</w:t>
      </w:r>
      <w:r w:rsidR="00D61923" w:rsidRPr="005C2179">
        <w:rPr>
          <w:kern w:val="2"/>
          <w:sz w:val="20"/>
        </w:rPr>
        <w:t>roponents of campaign finance re</w:t>
      </w:r>
      <w:r w:rsidR="00E40DA5" w:rsidRPr="005C2179">
        <w:rPr>
          <w:kern w:val="2"/>
          <w:sz w:val="20"/>
        </w:rPr>
        <w:t>form</w:t>
      </w:r>
      <w:r w:rsidR="00327117" w:rsidRPr="005C2179">
        <w:rPr>
          <w:kern w:val="2"/>
          <w:sz w:val="20"/>
        </w:rPr>
        <w:t xml:space="preserve"> </w:t>
      </w:r>
      <w:r w:rsidR="00F66D53" w:rsidRPr="005C2179">
        <w:rPr>
          <w:kern w:val="2"/>
          <w:sz w:val="20"/>
        </w:rPr>
        <w:t xml:space="preserve">go further, arguing that </w:t>
      </w:r>
      <w:r w:rsidR="00274428" w:rsidRPr="005C2179">
        <w:rPr>
          <w:kern w:val="2"/>
          <w:sz w:val="20"/>
        </w:rPr>
        <w:t>restrictions on spending and fundraising, for example,</w:t>
      </w:r>
      <w:r w:rsidRPr="005C2179">
        <w:rPr>
          <w:kern w:val="2"/>
          <w:sz w:val="20"/>
        </w:rPr>
        <w:t xml:space="preserve"> may </w:t>
      </w:r>
      <w:r w:rsidR="00E04CD5" w:rsidRPr="005C2179">
        <w:rPr>
          <w:kern w:val="2"/>
          <w:sz w:val="20"/>
        </w:rPr>
        <w:t xml:space="preserve">actually </w:t>
      </w:r>
      <w:r w:rsidR="00F66D53" w:rsidRPr="005C2179">
        <w:rPr>
          <w:kern w:val="2"/>
          <w:sz w:val="20"/>
        </w:rPr>
        <w:t>enhance free speech values</w:t>
      </w:r>
      <w:r w:rsidR="00274428" w:rsidRPr="005C2179">
        <w:rPr>
          <w:kern w:val="2"/>
          <w:sz w:val="20"/>
        </w:rPr>
        <w:t>.</w:t>
      </w:r>
      <w:r w:rsidR="00F50B27" w:rsidRPr="005C2179">
        <w:rPr>
          <w:kern w:val="2"/>
          <w:sz w:val="20"/>
        </w:rPr>
        <w:t xml:space="preserve"> </w:t>
      </w:r>
      <w:r w:rsidR="00C718C2" w:rsidRPr="005C2179">
        <w:rPr>
          <w:kern w:val="2"/>
          <w:sz w:val="20"/>
        </w:rPr>
        <w:t>Restrictions may</w:t>
      </w:r>
      <w:r w:rsidR="004047D8" w:rsidRPr="005C2179">
        <w:rPr>
          <w:kern w:val="2"/>
          <w:sz w:val="20"/>
        </w:rPr>
        <w:t xml:space="preserve"> </w:t>
      </w:r>
      <w:r w:rsidR="00A95961" w:rsidRPr="005C2179">
        <w:rPr>
          <w:kern w:val="2"/>
          <w:sz w:val="20"/>
        </w:rPr>
        <w:t xml:space="preserve">prevent </w:t>
      </w:r>
      <w:r w:rsidR="000B56C3" w:rsidRPr="005C2179">
        <w:rPr>
          <w:kern w:val="2"/>
          <w:sz w:val="20"/>
        </w:rPr>
        <w:t>the wealthy</w:t>
      </w:r>
      <w:r w:rsidR="00391B18" w:rsidRPr="005C2179">
        <w:rPr>
          <w:kern w:val="2"/>
          <w:sz w:val="20"/>
        </w:rPr>
        <w:t xml:space="preserve"> from d</w:t>
      </w:r>
      <w:r w:rsidR="002E10D3" w:rsidRPr="005C2179">
        <w:rPr>
          <w:kern w:val="2"/>
          <w:sz w:val="20"/>
        </w:rPr>
        <w:t>rowning out other speakers</w:t>
      </w:r>
      <w:r w:rsidR="00202302" w:rsidRPr="005C2179">
        <w:rPr>
          <w:kern w:val="2"/>
          <w:sz w:val="20"/>
        </w:rPr>
        <w:t xml:space="preserve"> and</w:t>
      </w:r>
      <w:r w:rsidR="00EF165E" w:rsidRPr="005C2179">
        <w:rPr>
          <w:kern w:val="2"/>
          <w:sz w:val="20"/>
        </w:rPr>
        <w:t xml:space="preserve"> thus</w:t>
      </w:r>
      <w:r w:rsidR="00202302" w:rsidRPr="005C2179">
        <w:rPr>
          <w:kern w:val="2"/>
          <w:sz w:val="20"/>
        </w:rPr>
        <w:t xml:space="preserve"> facilitate</w:t>
      </w:r>
      <w:r w:rsidR="00E04CD5" w:rsidRPr="005C2179">
        <w:rPr>
          <w:kern w:val="2"/>
          <w:sz w:val="20"/>
        </w:rPr>
        <w:t xml:space="preserve"> </w:t>
      </w:r>
      <w:r w:rsidR="00F50B27" w:rsidRPr="005C2179">
        <w:rPr>
          <w:kern w:val="2"/>
          <w:sz w:val="20"/>
        </w:rPr>
        <w:t xml:space="preserve">the </w:t>
      </w:r>
      <w:r w:rsidR="00391B18" w:rsidRPr="005C2179">
        <w:rPr>
          <w:kern w:val="2"/>
          <w:sz w:val="20"/>
        </w:rPr>
        <w:t xml:space="preserve">dissemination of </w:t>
      </w:r>
      <w:r w:rsidR="009C4C0B" w:rsidRPr="005C2179">
        <w:rPr>
          <w:kern w:val="2"/>
          <w:sz w:val="20"/>
        </w:rPr>
        <w:t>a wide</w:t>
      </w:r>
      <w:r w:rsidR="005672EB" w:rsidRPr="005C2179">
        <w:rPr>
          <w:kern w:val="2"/>
          <w:sz w:val="20"/>
        </w:rPr>
        <w:t>r</w:t>
      </w:r>
      <w:r w:rsidR="009C4C0B" w:rsidRPr="005C2179">
        <w:rPr>
          <w:kern w:val="2"/>
          <w:sz w:val="20"/>
        </w:rPr>
        <w:t xml:space="preserve"> range of perspectives.</w:t>
      </w:r>
      <w:r w:rsidR="005E3C90" w:rsidRPr="005C2179">
        <w:rPr>
          <w:kern w:val="2"/>
          <w:sz w:val="20"/>
        </w:rPr>
        <w:t xml:space="preserve"> </w:t>
      </w:r>
      <w:r w:rsidR="00CE0C1F" w:rsidRPr="005C2179">
        <w:rPr>
          <w:kern w:val="2"/>
          <w:sz w:val="20"/>
        </w:rPr>
        <w:t xml:space="preserve">In this vein, </w:t>
      </w:r>
      <w:r w:rsidR="004D5678" w:rsidRPr="005C2179">
        <w:rPr>
          <w:kern w:val="2"/>
          <w:sz w:val="20"/>
        </w:rPr>
        <w:t>Fiss argues that the state can be “a friend of speech</w:t>
      </w:r>
      <w:r w:rsidR="00215315" w:rsidRPr="005C2179">
        <w:rPr>
          <w:kern w:val="2"/>
          <w:sz w:val="20"/>
        </w:rPr>
        <w:t>,</w:t>
      </w:r>
      <w:r w:rsidR="004D5678" w:rsidRPr="005C2179">
        <w:rPr>
          <w:kern w:val="2"/>
          <w:sz w:val="20"/>
        </w:rPr>
        <w:t>” not just its enemy</w:t>
      </w:r>
      <w:r w:rsidR="00F50B27" w:rsidRPr="005C2179">
        <w:rPr>
          <w:kern w:val="2"/>
          <w:sz w:val="20"/>
        </w:rPr>
        <w:t>.</w:t>
      </w:r>
      <w:r w:rsidR="00F50B27" w:rsidRPr="005C2179">
        <w:rPr>
          <w:rStyle w:val="FootnoteReference"/>
          <w:kern w:val="2"/>
          <w:sz w:val="20"/>
        </w:rPr>
        <w:footnoteReference w:id="85"/>
      </w:r>
      <w:r w:rsidR="00CB0C37" w:rsidRPr="005C2179">
        <w:rPr>
          <w:kern w:val="2"/>
          <w:sz w:val="20"/>
        </w:rPr>
        <w:t xml:space="preserve"> According to Fiss, </w:t>
      </w:r>
      <w:r w:rsidR="00DB3635" w:rsidRPr="005C2179">
        <w:rPr>
          <w:kern w:val="2"/>
          <w:sz w:val="20"/>
        </w:rPr>
        <w:t xml:space="preserve">free speech should protect </w:t>
      </w:r>
      <w:r w:rsidR="00C41BED" w:rsidRPr="005C2179">
        <w:rPr>
          <w:kern w:val="2"/>
          <w:sz w:val="20"/>
        </w:rPr>
        <w:t xml:space="preserve">not only individual self-expression but also </w:t>
      </w:r>
      <w:r w:rsidR="00DB3635" w:rsidRPr="005C2179">
        <w:rPr>
          <w:kern w:val="2"/>
          <w:sz w:val="20"/>
        </w:rPr>
        <w:t>popular sovereignty</w:t>
      </w:r>
      <w:r w:rsidR="006322C7" w:rsidRPr="005C2179">
        <w:rPr>
          <w:kern w:val="2"/>
          <w:sz w:val="20"/>
        </w:rPr>
        <w:t>.</w:t>
      </w:r>
      <w:r w:rsidR="006322C7" w:rsidRPr="005C2179">
        <w:rPr>
          <w:rStyle w:val="FootnoteReference"/>
          <w:kern w:val="2"/>
          <w:sz w:val="20"/>
        </w:rPr>
        <w:footnoteReference w:id="86"/>
      </w:r>
      <w:r w:rsidR="006322C7" w:rsidRPr="005C2179">
        <w:rPr>
          <w:kern w:val="2"/>
          <w:sz w:val="20"/>
        </w:rPr>
        <w:t xml:space="preserve"> To accomplish this,</w:t>
      </w:r>
      <w:r w:rsidR="00DB3635" w:rsidRPr="005C2179">
        <w:rPr>
          <w:kern w:val="2"/>
          <w:sz w:val="20"/>
        </w:rPr>
        <w:t xml:space="preserve"> </w:t>
      </w:r>
      <w:r w:rsidR="00C9528E" w:rsidRPr="005C2179">
        <w:rPr>
          <w:kern w:val="2"/>
          <w:sz w:val="20"/>
        </w:rPr>
        <w:t>“the state may have to act to further the robustness of public debate in circumstances where powers outside the state are stifling speech.”</w:t>
      </w:r>
      <w:r w:rsidR="002E10D3" w:rsidRPr="005C2179">
        <w:rPr>
          <w:rStyle w:val="FootnoteReference"/>
          <w:kern w:val="2"/>
          <w:sz w:val="20"/>
        </w:rPr>
        <w:footnoteReference w:id="87"/>
      </w:r>
      <w:r w:rsidR="005672EB" w:rsidRPr="005C2179">
        <w:rPr>
          <w:kern w:val="2"/>
          <w:sz w:val="20"/>
        </w:rPr>
        <w:t xml:space="preserve"> </w:t>
      </w:r>
    </w:p>
    <w:p w14:paraId="4B026B76" w14:textId="79A66E36" w:rsidR="00565903" w:rsidRPr="005C2179" w:rsidRDefault="00565903" w:rsidP="00BF63B6">
      <w:pPr>
        <w:pStyle w:val="Heading2"/>
        <w:rPr>
          <w:kern w:val="2"/>
          <w:sz w:val="24"/>
        </w:rPr>
      </w:pPr>
      <w:r w:rsidRPr="005C2179">
        <w:rPr>
          <w:kern w:val="2"/>
          <w:sz w:val="24"/>
        </w:rPr>
        <w:t xml:space="preserve">Entrenching </w:t>
      </w:r>
      <w:r w:rsidR="007D6B93" w:rsidRPr="005C2179">
        <w:rPr>
          <w:kern w:val="2"/>
          <w:sz w:val="24"/>
        </w:rPr>
        <w:t>Incumbents and Differential Impacts on Different Political Parties</w:t>
      </w:r>
    </w:p>
    <w:p w14:paraId="36E165C2" w14:textId="284440EF" w:rsidR="00011427" w:rsidRPr="005C2179" w:rsidRDefault="00011427" w:rsidP="00330F4B">
      <w:pPr>
        <w:rPr>
          <w:kern w:val="2"/>
          <w:sz w:val="20"/>
        </w:rPr>
      </w:pPr>
      <w:r w:rsidRPr="005C2179">
        <w:rPr>
          <w:kern w:val="2"/>
          <w:sz w:val="20"/>
        </w:rPr>
        <w:t>C</w:t>
      </w:r>
      <w:r w:rsidR="0008196E" w:rsidRPr="005C2179">
        <w:rPr>
          <w:kern w:val="2"/>
          <w:sz w:val="20"/>
        </w:rPr>
        <w:t xml:space="preserve">ampaign finance regulations tend to </w:t>
      </w:r>
      <w:r w:rsidRPr="005C2179">
        <w:rPr>
          <w:kern w:val="2"/>
          <w:sz w:val="20"/>
        </w:rPr>
        <w:t xml:space="preserve">have disproportionate impacts on different parties and candidates. </w:t>
      </w:r>
      <w:r w:rsidR="000052FF" w:rsidRPr="005C2179">
        <w:rPr>
          <w:kern w:val="2"/>
          <w:sz w:val="20"/>
        </w:rPr>
        <w:t>These impacts may be unintended</w:t>
      </w:r>
      <w:r w:rsidR="001E284B" w:rsidRPr="005C2179">
        <w:rPr>
          <w:kern w:val="2"/>
          <w:sz w:val="20"/>
        </w:rPr>
        <w:t>.</w:t>
      </w:r>
      <w:r w:rsidR="000052FF" w:rsidRPr="005C2179">
        <w:rPr>
          <w:kern w:val="2"/>
          <w:sz w:val="20"/>
        </w:rPr>
        <w:t xml:space="preserve"> </w:t>
      </w:r>
      <w:r w:rsidR="00020DD5" w:rsidRPr="005C2179">
        <w:rPr>
          <w:kern w:val="2"/>
          <w:sz w:val="20"/>
        </w:rPr>
        <w:t xml:space="preserve">For example, </w:t>
      </w:r>
      <w:r w:rsidR="007A6297" w:rsidRPr="005C2179">
        <w:rPr>
          <w:kern w:val="2"/>
          <w:sz w:val="20"/>
        </w:rPr>
        <w:t>in Canada, the</w:t>
      </w:r>
      <w:r w:rsidR="00AA5D9B" w:rsidRPr="005C2179">
        <w:rPr>
          <w:kern w:val="2"/>
          <w:sz w:val="20"/>
        </w:rPr>
        <w:t xml:space="preserve"> federal</w:t>
      </w:r>
      <w:r w:rsidR="007A6297" w:rsidRPr="005C2179">
        <w:rPr>
          <w:kern w:val="2"/>
          <w:sz w:val="20"/>
        </w:rPr>
        <w:t xml:space="preserve"> Liberal Party introduced campaign finance measures</w:t>
      </w:r>
      <w:r w:rsidR="00BA4047" w:rsidRPr="005C2179">
        <w:rPr>
          <w:kern w:val="2"/>
          <w:sz w:val="20"/>
        </w:rPr>
        <w:t>, which ultimately turned out to be</w:t>
      </w:r>
      <w:r w:rsidR="007A6297" w:rsidRPr="005C2179">
        <w:rPr>
          <w:kern w:val="2"/>
          <w:sz w:val="20"/>
        </w:rPr>
        <w:t xml:space="preserve"> most favourable to the Conservative Party.</w:t>
      </w:r>
      <w:r w:rsidR="00694E93" w:rsidRPr="005C2179">
        <w:rPr>
          <w:rStyle w:val="FootnoteReference"/>
          <w:kern w:val="2"/>
          <w:sz w:val="20"/>
        </w:rPr>
        <w:footnoteReference w:id="88"/>
      </w:r>
      <w:r w:rsidR="003171AF" w:rsidRPr="005C2179">
        <w:rPr>
          <w:kern w:val="2"/>
          <w:sz w:val="20"/>
        </w:rPr>
        <w:t xml:space="preserve"> In other instances, partisan </w:t>
      </w:r>
      <w:r w:rsidR="000052FF" w:rsidRPr="005C2179">
        <w:rPr>
          <w:kern w:val="2"/>
          <w:sz w:val="20"/>
        </w:rPr>
        <w:t>finagling</w:t>
      </w:r>
      <w:r w:rsidR="003171AF" w:rsidRPr="005C2179">
        <w:rPr>
          <w:kern w:val="2"/>
          <w:sz w:val="20"/>
        </w:rPr>
        <w:t xml:space="preserve"> may be at work</w:t>
      </w:r>
      <w:r w:rsidR="000052FF" w:rsidRPr="005C2179">
        <w:rPr>
          <w:kern w:val="2"/>
          <w:sz w:val="20"/>
        </w:rPr>
        <w:t xml:space="preserve">. </w:t>
      </w:r>
      <w:r w:rsidR="002B782C" w:rsidRPr="005C2179">
        <w:rPr>
          <w:kern w:val="2"/>
          <w:sz w:val="20"/>
        </w:rPr>
        <w:t>La Raja argues that</w:t>
      </w:r>
      <w:r w:rsidR="00A83749" w:rsidRPr="005C2179">
        <w:rPr>
          <w:kern w:val="2"/>
          <w:sz w:val="20"/>
        </w:rPr>
        <w:t xml:space="preserve"> the design of</w:t>
      </w:r>
      <w:r w:rsidR="002B782C" w:rsidRPr="005C2179">
        <w:rPr>
          <w:kern w:val="2"/>
          <w:sz w:val="20"/>
        </w:rPr>
        <w:t xml:space="preserve"> campaign finance regulation</w:t>
      </w:r>
      <w:r w:rsidR="008C5C16" w:rsidRPr="005C2179">
        <w:rPr>
          <w:kern w:val="2"/>
          <w:sz w:val="20"/>
        </w:rPr>
        <w:t xml:space="preserve"> often</w:t>
      </w:r>
      <w:r w:rsidR="002B782C" w:rsidRPr="005C2179">
        <w:rPr>
          <w:kern w:val="2"/>
          <w:sz w:val="20"/>
        </w:rPr>
        <w:t xml:space="preserve"> “can be tied to partisan strategies for influencing the value of one faction’s resources relative to one’s rivals.”</w:t>
      </w:r>
      <w:r w:rsidR="002B782C" w:rsidRPr="005C2179">
        <w:rPr>
          <w:rStyle w:val="FootnoteReference"/>
          <w:kern w:val="2"/>
          <w:sz w:val="20"/>
        </w:rPr>
        <w:footnoteReference w:id="89"/>
      </w:r>
      <w:r w:rsidR="0008196E" w:rsidRPr="005C2179">
        <w:rPr>
          <w:kern w:val="2"/>
          <w:sz w:val="20"/>
        </w:rPr>
        <w:t xml:space="preserve"> </w:t>
      </w:r>
    </w:p>
    <w:p w14:paraId="00099FCB" w14:textId="77777777" w:rsidR="004D13D9" w:rsidRPr="005C2179" w:rsidRDefault="0063213D" w:rsidP="00330F4B">
      <w:pPr>
        <w:rPr>
          <w:kern w:val="2"/>
          <w:sz w:val="20"/>
        </w:rPr>
      </w:pPr>
      <w:r w:rsidRPr="005C2179">
        <w:rPr>
          <w:kern w:val="2"/>
          <w:sz w:val="20"/>
        </w:rPr>
        <w:t>Most</w:t>
      </w:r>
      <w:r w:rsidR="00810913" w:rsidRPr="005C2179">
        <w:rPr>
          <w:kern w:val="2"/>
          <w:sz w:val="20"/>
        </w:rPr>
        <w:t xml:space="preserve"> concerning is the potential for</w:t>
      </w:r>
      <w:r w:rsidR="001239EC" w:rsidRPr="005C2179">
        <w:rPr>
          <w:kern w:val="2"/>
          <w:sz w:val="20"/>
        </w:rPr>
        <w:t xml:space="preserve"> campaign finance regulation</w:t>
      </w:r>
      <w:r w:rsidR="00810913" w:rsidRPr="005C2179">
        <w:rPr>
          <w:kern w:val="2"/>
          <w:sz w:val="20"/>
        </w:rPr>
        <w:t xml:space="preserve"> to </w:t>
      </w:r>
      <w:r w:rsidR="00460F79" w:rsidRPr="005C2179">
        <w:rPr>
          <w:kern w:val="2"/>
          <w:sz w:val="20"/>
        </w:rPr>
        <w:t>favour incumbents.</w:t>
      </w:r>
      <w:r w:rsidR="003410EA" w:rsidRPr="005C2179">
        <w:rPr>
          <w:rStyle w:val="FootnoteReference"/>
          <w:kern w:val="2"/>
          <w:sz w:val="20"/>
        </w:rPr>
        <w:footnoteReference w:id="90"/>
      </w:r>
      <w:r w:rsidR="00460F79" w:rsidRPr="005C2179">
        <w:rPr>
          <w:kern w:val="2"/>
          <w:sz w:val="20"/>
        </w:rPr>
        <w:t xml:space="preserve"> For example, </w:t>
      </w:r>
      <w:r w:rsidR="00957A2A" w:rsidRPr="005C2179">
        <w:rPr>
          <w:kern w:val="2"/>
          <w:sz w:val="20"/>
        </w:rPr>
        <w:t xml:space="preserve">ceilings on candidate spending </w:t>
      </w:r>
      <w:r w:rsidR="00D95EC7" w:rsidRPr="005C2179">
        <w:rPr>
          <w:kern w:val="2"/>
          <w:sz w:val="20"/>
        </w:rPr>
        <w:t xml:space="preserve">may </w:t>
      </w:r>
      <w:r w:rsidR="00AA5D9B" w:rsidRPr="005C2179">
        <w:rPr>
          <w:kern w:val="2"/>
          <w:sz w:val="20"/>
        </w:rPr>
        <w:t>give</w:t>
      </w:r>
      <w:r w:rsidR="00460F79" w:rsidRPr="005C2179">
        <w:rPr>
          <w:kern w:val="2"/>
          <w:sz w:val="20"/>
        </w:rPr>
        <w:t xml:space="preserve"> incumbents</w:t>
      </w:r>
      <w:r w:rsidR="007C26B3" w:rsidRPr="005C2179">
        <w:rPr>
          <w:kern w:val="2"/>
          <w:sz w:val="20"/>
        </w:rPr>
        <w:t xml:space="preserve"> </w:t>
      </w:r>
      <w:r w:rsidR="00AA5D9B" w:rsidRPr="005C2179">
        <w:rPr>
          <w:kern w:val="2"/>
          <w:sz w:val="20"/>
        </w:rPr>
        <w:t xml:space="preserve">an advantage </w:t>
      </w:r>
      <w:r w:rsidR="007C26B3" w:rsidRPr="005C2179">
        <w:rPr>
          <w:kern w:val="2"/>
          <w:sz w:val="20"/>
        </w:rPr>
        <w:t>because they</w:t>
      </w:r>
      <w:r w:rsidR="00260922" w:rsidRPr="005C2179">
        <w:rPr>
          <w:kern w:val="2"/>
          <w:sz w:val="20"/>
        </w:rPr>
        <w:t xml:space="preserve"> already have publicity</w:t>
      </w:r>
      <w:r w:rsidR="00D95EC7" w:rsidRPr="005C2179">
        <w:rPr>
          <w:kern w:val="2"/>
          <w:sz w:val="20"/>
        </w:rPr>
        <w:t>.</w:t>
      </w:r>
      <w:r w:rsidR="004D13D9" w:rsidRPr="005C2179">
        <w:rPr>
          <w:rStyle w:val="FootnoteReference"/>
          <w:kern w:val="2"/>
          <w:sz w:val="20"/>
        </w:rPr>
        <w:footnoteReference w:id="91"/>
      </w:r>
      <w:r w:rsidR="004D13D9" w:rsidRPr="005C2179">
        <w:rPr>
          <w:kern w:val="2"/>
          <w:sz w:val="20"/>
        </w:rPr>
        <w:t xml:space="preserve"> </w:t>
      </w:r>
      <w:r w:rsidR="00957A2A" w:rsidRPr="005C2179">
        <w:rPr>
          <w:kern w:val="2"/>
          <w:sz w:val="20"/>
        </w:rPr>
        <w:t>As a result, c</w:t>
      </w:r>
      <w:r w:rsidR="007C26B3" w:rsidRPr="005C2179">
        <w:rPr>
          <w:kern w:val="2"/>
          <w:sz w:val="20"/>
        </w:rPr>
        <w:t>ritics</w:t>
      </w:r>
      <w:r w:rsidR="004D13D9" w:rsidRPr="005C2179">
        <w:rPr>
          <w:kern w:val="2"/>
          <w:sz w:val="20"/>
        </w:rPr>
        <w:t xml:space="preserve"> </w:t>
      </w:r>
      <w:r w:rsidR="00957A2A" w:rsidRPr="005C2179">
        <w:rPr>
          <w:kern w:val="2"/>
          <w:sz w:val="20"/>
        </w:rPr>
        <w:t>argue that spending caps</w:t>
      </w:r>
      <w:r w:rsidR="007C26B3" w:rsidRPr="005C2179">
        <w:rPr>
          <w:kern w:val="2"/>
          <w:sz w:val="20"/>
        </w:rPr>
        <w:t xml:space="preserve"> “</w:t>
      </w:r>
      <w:r w:rsidR="004D13D9" w:rsidRPr="005C2179">
        <w:rPr>
          <w:kern w:val="2"/>
          <w:sz w:val="20"/>
        </w:rPr>
        <w:t xml:space="preserve">limit competition and undemocratically serve to preserve the </w:t>
      </w:r>
      <w:r w:rsidR="004D13D9" w:rsidRPr="005C2179">
        <w:rPr>
          <w:i/>
          <w:kern w:val="2"/>
          <w:sz w:val="20"/>
        </w:rPr>
        <w:t>status quo.</w:t>
      </w:r>
      <w:r w:rsidR="004D13D9" w:rsidRPr="005C2179">
        <w:rPr>
          <w:kern w:val="2"/>
          <w:sz w:val="20"/>
        </w:rPr>
        <w:t>”</w:t>
      </w:r>
      <w:r w:rsidR="004D13D9" w:rsidRPr="005C2179">
        <w:rPr>
          <w:rStyle w:val="FootnoteReference"/>
          <w:kern w:val="2"/>
          <w:sz w:val="20"/>
        </w:rPr>
        <w:footnoteReference w:id="92"/>
      </w:r>
      <w:r w:rsidR="004D13D9" w:rsidRPr="005C2179">
        <w:rPr>
          <w:kern w:val="2"/>
          <w:sz w:val="20"/>
        </w:rPr>
        <w:t xml:space="preserve"> </w:t>
      </w:r>
      <w:r w:rsidR="00D41D28" w:rsidRPr="005C2179">
        <w:rPr>
          <w:kern w:val="2"/>
          <w:sz w:val="20"/>
        </w:rPr>
        <w:t>Such arguments are particul</w:t>
      </w:r>
      <w:r w:rsidR="007E4781" w:rsidRPr="005C2179">
        <w:rPr>
          <w:kern w:val="2"/>
          <w:sz w:val="20"/>
        </w:rPr>
        <w:t>arly salient in the US, where</w:t>
      </w:r>
      <w:r w:rsidR="00D41D28" w:rsidRPr="005C2179">
        <w:rPr>
          <w:kern w:val="2"/>
          <w:sz w:val="20"/>
        </w:rPr>
        <w:t xml:space="preserve"> “elections are candidate-centered and big campaigns are sometimes needed to blast out incumbents.”</w:t>
      </w:r>
      <w:r w:rsidR="00D41D28" w:rsidRPr="005C2179">
        <w:rPr>
          <w:rStyle w:val="FootnoteReference"/>
          <w:kern w:val="2"/>
          <w:sz w:val="20"/>
        </w:rPr>
        <w:footnoteReference w:id="93"/>
      </w:r>
      <w:r w:rsidR="0059246B" w:rsidRPr="005C2179">
        <w:rPr>
          <w:kern w:val="2"/>
          <w:sz w:val="20"/>
        </w:rPr>
        <w:t xml:space="preserve"> </w:t>
      </w:r>
    </w:p>
    <w:p w14:paraId="0C43D9D5" w14:textId="77777777" w:rsidR="003E52FC" w:rsidRPr="005C2179" w:rsidRDefault="00972655" w:rsidP="00330F4B">
      <w:pPr>
        <w:rPr>
          <w:kern w:val="2"/>
          <w:sz w:val="20"/>
        </w:rPr>
      </w:pPr>
      <w:r w:rsidRPr="005C2179">
        <w:rPr>
          <w:kern w:val="2"/>
          <w:sz w:val="20"/>
        </w:rPr>
        <w:t>Campaign finance regulations may also have differential imp</w:t>
      </w:r>
      <w:r w:rsidR="00140274" w:rsidRPr="005C2179">
        <w:rPr>
          <w:kern w:val="2"/>
          <w:sz w:val="20"/>
        </w:rPr>
        <w:t>acts depending on the ideology</w:t>
      </w:r>
      <w:r w:rsidRPr="005C2179">
        <w:rPr>
          <w:kern w:val="2"/>
          <w:sz w:val="20"/>
        </w:rPr>
        <w:t xml:space="preserve"> and fundraising methods of different political parties. For example, </w:t>
      </w:r>
      <w:r w:rsidR="003E52FC" w:rsidRPr="005C2179">
        <w:rPr>
          <w:kern w:val="2"/>
          <w:sz w:val="20"/>
        </w:rPr>
        <w:t xml:space="preserve">in </w:t>
      </w:r>
      <w:r w:rsidR="00CC5407" w:rsidRPr="005C2179">
        <w:rPr>
          <w:kern w:val="2"/>
          <w:sz w:val="20"/>
        </w:rPr>
        <w:t xml:space="preserve">the UK, restrictions on donations </w:t>
      </w:r>
      <w:r w:rsidR="003E52FC" w:rsidRPr="005C2179">
        <w:rPr>
          <w:kern w:val="2"/>
          <w:sz w:val="20"/>
        </w:rPr>
        <w:t xml:space="preserve">from </w:t>
      </w:r>
      <w:r w:rsidR="00957A2A" w:rsidRPr="005C2179">
        <w:rPr>
          <w:kern w:val="2"/>
          <w:sz w:val="20"/>
        </w:rPr>
        <w:t xml:space="preserve">labour </w:t>
      </w:r>
      <w:r w:rsidR="003E52FC" w:rsidRPr="005C2179">
        <w:rPr>
          <w:kern w:val="2"/>
          <w:sz w:val="20"/>
        </w:rPr>
        <w:t>unions would clearly disadvantage</w:t>
      </w:r>
      <w:r w:rsidR="00CC5407" w:rsidRPr="005C2179">
        <w:rPr>
          <w:kern w:val="2"/>
          <w:sz w:val="20"/>
        </w:rPr>
        <w:t xml:space="preserve"> </w:t>
      </w:r>
      <w:r w:rsidR="001E12D0" w:rsidRPr="005C2179">
        <w:rPr>
          <w:kern w:val="2"/>
          <w:sz w:val="20"/>
        </w:rPr>
        <w:t xml:space="preserve">the </w:t>
      </w:r>
      <w:r w:rsidR="00CC5407" w:rsidRPr="005C2179">
        <w:rPr>
          <w:kern w:val="2"/>
          <w:sz w:val="20"/>
        </w:rPr>
        <w:t xml:space="preserve">Labour </w:t>
      </w:r>
      <w:r w:rsidR="003E52FC" w:rsidRPr="005C2179">
        <w:rPr>
          <w:kern w:val="2"/>
          <w:sz w:val="20"/>
        </w:rPr>
        <w:t>Party</w:t>
      </w:r>
      <w:r w:rsidR="00CC5407" w:rsidRPr="005C2179">
        <w:rPr>
          <w:kern w:val="2"/>
          <w:sz w:val="20"/>
        </w:rPr>
        <w:t xml:space="preserve">. </w:t>
      </w:r>
      <w:r w:rsidR="00274837" w:rsidRPr="005C2179">
        <w:rPr>
          <w:kern w:val="2"/>
          <w:sz w:val="20"/>
        </w:rPr>
        <w:t>In Canada</w:t>
      </w:r>
      <w:r w:rsidR="00710703" w:rsidRPr="005C2179">
        <w:rPr>
          <w:kern w:val="2"/>
          <w:sz w:val="20"/>
        </w:rPr>
        <w:t xml:space="preserve">, Feasby argues that “contribution limits have created a persistent funding advantage for the </w:t>
      </w:r>
      <w:r w:rsidR="00B97371" w:rsidRPr="005C2179">
        <w:rPr>
          <w:kern w:val="2"/>
          <w:sz w:val="20"/>
        </w:rPr>
        <w:t xml:space="preserve">federal </w:t>
      </w:r>
      <w:r w:rsidR="00710703" w:rsidRPr="005C2179">
        <w:rPr>
          <w:kern w:val="2"/>
          <w:sz w:val="20"/>
        </w:rPr>
        <w:t>Conservative Party</w:t>
      </w:r>
      <w:r w:rsidR="00D0380F" w:rsidRPr="005C2179">
        <w:rPr>
          <w:kern w:val="2"/>
          <w:sz w:val="20"/>
        </w:rPr>
        <w:t>,</w:t>
      </w:r>
      <w:r w:rsidR="00274837" w:rsidRPr="005C2179">
        <w:rPr>
          <w:kern w:val="2"/>
          <w:sz w:val="20"/>
        </w:rPr>
        <w:t>”</w:t>
      </w:r>
      <w:r w:rsidR="00045FDF" w:rsidRPr="005C2179">
        <w:rPr>
          <w:kern w:val="2"/>
          <w:sz w:val="20"/>
        </w:rPr>
        <w:t xml:space="preserve"> which </w:t>
      </w:r>
      <w:r w:rsidR="00274837" w:rsidRPr="005C2179">
        <w:rPr>
          <w:kern w:val="2"/>
          <w:sz w:val="20"/>
        </w:rPr>
        <w:t xml:space="preserve">has </w:t>
      </w:r>
      <w:r w:rsidR="003177F8" w:rsidRPr="005C2179">
        <w:rPr>
          <w:kern w:val="2"/>
          <w:sz w:val="20"/>
        </w:rPr>
        <w:t>had success</w:t>
      </w:r>
      <w:r w:rsidR="00B97371" w:rsidRPr="005C2179">
        <w:rPr>
          <w:kern w:val="2"/>
          <w:sz w:val="20"/>
        </w:rPr>
        <w:t xml:space="preserve"> </w:t>
      </w:r>
      <w:r w:rsidR="00274837" w:rsidRPr="005C2179">
        <w:rPr>
          <w:kern w:val="2"/>
          <w:sz w:val="20"/>
        </w:rPr>
        <w:t>gathering many small donations from individuals.</w:t>
      </w:r>
      <w:r w:rsidR="00274837" w:rsidRPr="005C2179">
        <w:rPr>
          <w:rStyle w:val="FootnoteReference"/>
          <w:kern w:val="2"/>
          <w:sz w:val="20"/>
        </w:rPr>
        <w:footnoteReference w:id="94"/>
      </w:r>
      <w:r w:rsidR="00802431" w:rsidRPr="005C2179">
        <w:rPr>
          <w:kern w:val="2"/>
          <w:sz w:val="20"/>
        </w:rPr>
        <w:t xml:space="preserve"> </w:t>
      </w:r>
      <w:r w:rsidR="00B97371" w:rsidRPr="005C2179">
        <w:rPr>
          <w:kern w:val="2"/>
          <w:sz w:val="20"/>
        </w:rPr>
        <w:t xml:space="preserve">Because party expenditure is also limited, </w:t>
      </w:r>
      <w:r w:rsidR="00710703" w:rsidRPr="005C2179">
        <w:rPr>
          <w:kern w:val="2"/>
          <w:sz w:val="20"/>
        </w:rPr>
        <w:t>the Conservative</w:t>
      </w:r>
      <w:r w:rsidR="0010089B" w:rsidRPr="005C2179">
        <w:rPr>
          <w:kern w:val="2"/>
          <w:sz w:val="20"/>
        </w:rPr>
        <w:t xml:space="preserve"> Party often has</w:t>
      </w:r>
      <w:r w:rsidR="003177F8" w:rsidRPr="005C2179">
        <w:rPr>
          <w:kern w:val="2"/>
          <w:sz w:val="20"/>
        </w:rPr>
        <w:t xml:space="preserve"> money left over to spend on attack ads</w:t>
      </w:r>
      <w:r w:rsidR="00710703" w:rsidRPr="005C2179">
        <w:rPr>
          <w:kern w:val="2"/>
          <w:sz w:val="20"/>
        </w:rPr>
        <w:t xml:space="preserve"> between elections.</w:t>
      </w:r>
      <w:r w:rsidR="00710703" w:rsidRPr="005C2179">
        <w:rPr>
          <w:rStyle w:val="FootnoteReference"/>
          <w:kern w:val="2"/>
          <w:sz w:val="20"/>
        </w:rPr>
        <w:footnoteReference w:id="95"/>
      </w:r>
      <w:r w:rsidR="00710703" w:rsidRPr="005C2179">
        <w:rPr>
          <w:kern w:val="2"/>
          <w:sz w:val="20"/>
        </w:rPr>
        <w:t xml:space="preserve"> The</w:t>
      </w:r>
      <w:r w:rsidR="00B97371" w:rsidRPr="005C2179">
        <w:rPr>
          <w:kern w:val="2"/>
          <w:sz w:val="20"/>
        </w:rPr>
        <w:t xml:space="preserve"> federal</w:t>
      </w:r>
      <w:r w:rsidR="00710703" w:rsidRPr="005C2179">
        <w:rPr>
          <w:kern w:val="2"/>
          <w:sz w:val="20"/>
        </w:rPr>
        <w:t xml:space="preserve"> New Democratic Party, on the other hand, </w:t>
      </w:r>
      <w:r w:rsidR="00B97371" w:rsidRPr="005C2179">
        <w:rPr>
          <w:kern w:val="2"/>
          <w:sz w:val="20"/>
        </w:rPr>
        <w:t xml:space="preserve">faced a greater disadvantage </w:t>
      </w:r>
      <w:r w:rsidR="00E435A7" w:rsidRPr="005C2179">
        <w:rPr>
          <w:kern w:val="2"/>
          <w:sz w:val="20"/>
        </w:rPr>
        <w:t>than the Liberals and</w:t>
      </w:r>
      <w:r w:rsidR="00710703" w:rsidRPr="005C2179">
        <w:rPr>
          <w:kern w:val="2"/>
          <w:sz w:val="20"/>
        </w:rPr>
        <w:t xml:space="preserve"> Conservatives</w:t>
      </w:r>
      <w:r w:rsidR="00641F87" w:rsidRPr="005C2179">
        <w:rPr>
          <w:kern w:val="2"/>
          <w:sz w:val="20"/>
        </w:rPr>
        <w:t xml:space="preserve"> </w:t>
      </w:r>
      <w:r w:rsidR="00A27E53" w:rsidRPr="005C2179">
        <w:rPr>
          <w:kern w:val="2"/>
          <w:sz w:val="20"/>
        </w:rPr>
        <w:t>after</w:t>
      </w:r>
      <w:r w:rsidR="00B97371" w:rsidRPr="005C2179">
        <w:rPr>
          <w:kern w:val="2"/>
          <w:sz w:val="20"/>
        </w:rPr>
        <w:t xml:space="preserve"> </w:t>
      </w:r>
      <w:r w:rsidR="00A27E53" w:rsidRPr="005C2179">
        <w:rPr>
          <w:kern w:val="2"/>
          <w:sz w:val="20"/>
        </w:rPr>
        <w:t xml:space="preserve">the erosion of </w:t>
      </w:r>
      <w:r w:rsidR="00B97371" w:rsidRPr="005C2179">
        <w:rPr>
          <w:kern w:val="2"/>
          <w:sz w:val="20"/>
        </w:rPr>
        <w:t>public funding in</w:t>
      </w:r>
      <w:r w:rsidR="00A27E53" w:rsidRPr="005C2179">
        <w:rPr>
          <w:kern w:val="2"/>
          <w:sz w:val="20"/>
        </w:rPr>
        <w:t xml:space="preserve"> Canada in</w:t>
      </w:r>
      <w:r w:rsidR="00B97371" w:rsidRPr="005C2179">
        <w:rPr>
          <w:kern w:val="2"/>
          <w:sz w:val="20"/>
        </w:rPr>
        <w:t xml:space="preserve"> 2014, since the New Democrats</w:t>
      </w:r>
      <w:r w:rsidR="00710703" w:rsidRPr="005C2179">
        <w:rPr>
          <w:kern w:val="2"/>
          <w:sz w:val="20"/>
        </w:rPr>
        <w:t xml:space="preserve"> derived a larger portion of their income from the public funding regime.</w:t>
      </w:r>
      <w:r w:rsidR="00710703" w:rsidRPr="005C2179">
        <w:rPr>
          <w:rStyle w:val="FootnoteReference"/>
          <w:kern w:val="2"/>
          <w:sz w:val="20"/>
        </w:rPr>
        <w:footnoteReference w:id="96"/>
      </w:r>
      <w:r w:rsidR="00831200" w:rsidRPr="005C2179">
        <w:rPr>
          <w:kern w:val="2"/>
          <w:sz w:val="20"/>
        </w:rPr>
        <w:t xml:space="preserve"> </w:t>
      </w:r>
    </w:p>
    <w:p w14:paraId="220884DE" w14:textId="00DF0C2D" w:rsidR="009E7120" w:rsidRPr="005C2179" w:rsidRDefault="00BD054A" w:rsidP="00BF63B6">
      <w:pPr>
        <w:pStyle w:val="Heading2"/>
        <w:rPr>
          <w:kern w:val="2"/>
          <w:sz w:val="24"/>
        </w:rPr>
      </w:pPr>
      <w:r w:rsidRPr="005C2179">
        <w:rPr>
          <w:kern w:val="2"/>
          <w:sz w:val="24"/>
        </w:rPr>
        <w:t>Loopholes</w:t>
      </w:r>
    </w:p>
    <w:p w14:paraId="3BDDFA88" w14:textId="77777777" w:rsidR="000350BF" w:rsidRPr="005C2179" w:rsidRDefault="002E2124" w:rsidP="00330F4B">
      <w:pPr>
        <w:rPr>
          <w:kern w:val="2"/>
          <w:sz w:val="20"/>
        </w:rPr>
      </w:pPr>
      <w:r w:rsidRPr="005C2179">
        <w:rPr>
          <w:kern w:val="2"/>
          <w:sz w:val="20"/>
        </w:rPr>
        <w:t>Loopholes are a</w:t>
      </w:r>
      <w:r w:rsidR="00EE133A" w:rsidRPr="005C2179">
        <w:rPr>
          <w:kern w:val="2"/>
          <w:sz w:val="20"/>
        </w:rPr>
        <w:t>nother challenge in crafting</w:t>
      </w:r>
      <w:r w:rsidR="009E7120" w:rsidRPr="005C2179">
        <w:rPr>
          <w:kern w:val="2"/>
          <w:sz w:val="20"/>
        </w:rPr>
        <w:t xml:space="preserve"> effective campaign finance</w:t>
      </w:r>
      <w:r w:rsidR="000C127A" w:rsidRPr="005C2179">
        <w:rPr>
          <w:kern w:val="2"/>
          <w:sz w:val="20"/>
        </w:rPr>
        <w:t xml:space="preserve"> regimes</w:t>
      </w:r>
      <w:r w:rsidR="009E7120" w:rsidRPr="005C2179">
        <w:rPr>
          <w:kern w:val="2"/>
          <w:sz w:val="20"/>
        </w:rPr>
        <w:t xml:space="preserve">. The goals of </w:t>
      </w:r>
      <w:r w:rsidR="003F70EA" w:rsidRPr="005C2179">
        <w:rPr>
          <w:kern w:val="2"/>
          <w:sz w:val="20"/>
        </w:rPr>
        <w:t>ameliorating</w:t>
      </w:r>
      <w:r w:rsidR="009E7120" w:rsidRPr="005C2179">
        <w:rPr>
          <w:kern w:val="2"/>
          <w:sz w:val="20"/>
        </w:rPr>
        <w:t xml:space="preserve"> corruption, unfairness, and inequality will be subve</w:t>
      </w:r>
      <w:r w:rsidR="001A1078" w:rsidRPr="005C2179">
        <w:rPr>
          <w:kern w:val="2"/>
          <w:sz w:val="20"/>
        </w:rPr>
        <w:t xml:space="preserve">rted if donors </w:t>
      </w:r>
      <w:r w:rsidRPr="005C2179">
        <w:rPr>
          <w:kern w:val="2"/>
          <w:sz w:val="20"/>
        </w:rPr>
        <w:t>simply find new ways to funnel money to politicians</w:t>
      </w:r>
      <w:r w:rsidR="009E7120" w:rsidRPr="005C2179">
        <w:rPr>
          <w:kern w:val="2"/>
          <w:sz w:val="20"/>
        </w:rPr>
        <w:t xml:space="preserve">. </w:t>
      </w:r>
      <w:r w:rsidR="003C1713" w:rsidRPr="005C2179">
        <w:rPr>
          <w:kern w:val="2"/>
          <w:sz w:val="20"/>
        </w:rPr>
        <w:t>Issacharoff</w:t>
      </w:r>
      <w:r w:rsidR="009E7120" w:rsidRPr="005C2179">
        <w:rPr>
          <w:kern w:val="2"/>
          <w:sz w:val="20"/>
        </w:rPr>
        <w:t xml:space="preserve"> </w:t>
      </w:r>
      <w:r w:rsidR="00EF5B1C" w:rsidRPr="005C2179">
        <w:rPr>
          <w:kern w:val="2"/>
          <w:sz w:val="20"/>
        </w:rPr>
        <w:t>points out that</w:t>
      </w:r>
      <w:r w:rsidR="009E7120" w:rsidRPr="005C2179">
        <w:rPr>
          <w:kern w:val="2"/>
          <w:sz w:val="20"/>
        </w:rPr>
        <w:t xml:space="preserve"> </w:t>
      </w:r>
      <w:r w:rsidR="002B78B4" w:rsidRPr="005C2179">
        <w:rPr>
          <w:kern w:val="2"/>
          <w:sz w:val="20"/>
        </w:rPr>
        <w:t>“the perverse ‘hydraulic’ of money finding its outlet</w:t>
      </w:r>
      <w:r w:rsidR="00EF5B1C" w:rsidRPr="005C2179">
        <w:rPr>
          <w:kern w:val="2"/>
          <w:sz w:val="20"/>
        </w:rPr>
        <w:t xml:space="preserve">” </w:t>
      </w:r>
      <w:r w:rsidR="002B78B4" w:rsidRPr="005C2179">
        <w:rPr>
          <w:kern w:val="2"/>
          <w:sz w:val="20"/>
        </w:rPr>
        <w:t xml:space="preserve">has caused many attempts </w:t>
      </w:r>
      <w:r w:rsidR="00B16F44" w:rsidRPr="005C2179">
        <w:rPr>
          <w:kern w:val="2"/>
          <w:sz w:val="20"/>
        </w:rPr>
        <w:t>at campaign finance reform</w:t>
      </w:r>
      <w:r w:rsidR="00EF5B1C" w:rsidRPr="005C2179">
        <w:rPr>
          <w:kern w:val="2"/>
          <w:sz w:val="20"/>
        </w:rPr>
        <w:t xml:space="preserve"> to “backfire</w:t>
      </w:r>
      <w:r w:rsidR="00740B1B" w:rsidRPr="005C2179">
        <w:rPr>
          <w:kern w:val="2"/>
          <w:sz w:val="20"/>
        </w:rPr>
        <w:t>.</w:t>
      </w:r>
      <w:r w:rsidR="00EF5B1C" w:rsidRPr="005C2179">
        <w:rPr>
          <w:kern w:val="2"/>
          <w:sz w:val="20"/>
        </w:rPr>
        <w:t>”</w:t>
      </w:r>
      <w:r w:rsidR="00EF5B1C" w:rsidRPr="005C2179">
        <w:rPr>
          <w:rStyle w:val="FootnoteReference"/>
          <w:kern w:val="2"/>
          <w:sz w:val="20"/>
        </w:rPr>
        <w:footnoteReference w:id="97"/>
      </w:r>
      <w:r w:rsidR="009E7120" w:rsidRPr="005C2179">
        <w:rPr>
          <w:kern w:val="2"/>
          <w:sz w:val="20"/>
        </w:rPr>
        <w:t xml:space="preserve"> </w:t>
      </w:r>
      <w:r w:rsidR="00F92361" w:rsidRPr="005C2179">
        <w:rPr>
          <w:kern w:val="2"/>
          <w:sz w:val="20"/>
        </w:rPr>
        <w:t>For example, after</w:t>
      </w:r>
      <w:r w:rsidR="000350BF" w:rsidRPr="005C2179">
        <w:rPr>
          <w:kern w:val="2"/>
          <w:sz w:val="20"/>
        </w:rPr>
        <w:t xml:space="preserve"> Congress tightened </w:t>
      </w:r>
      <w:r w:rsidR="000C127A" w:rsidRPr="005C2179">
        <w:rPr>
          <w:kern w:val="2"/>
          <w:sz w:val="20"/>
        </w:rPr>
        <w:t>regulations governing</w:t>
      </w:r>
      <w:r w:rsidR="000350BF" w:rsidRPr="005C2179">
        <w:rPr>
          <w:kern w:val="2"/>
          <w:sz w:val="20"/>
        </w:rPr>
        <w:t xml:space="preserve"> party fundraising and spending in</w:t>
      </w:r>
      <w:r w:rsidR="00E435A7" w:rsidRPr="005C2179">
        <w:rPr>
          <w:kern w:val="2"/>
          <w:sz w:val="20"/>
        </w:rPr>
        <w:t xml:space="preserve"> the US in</w:t>
      </w:r>
      <w:r w:rsidR="000350BF" w:rsidRPr="005C2179">
        <w:rPr>
          <w:kern w:val="2"/>
          <w:sz w:val="20"/>
        </w:rPr>
        <w:t xml:space="preserve"> 2002</w:t>
      </w:r>
      <w:r w:rsidR="00F92361" w:rsidRPr="005C2179">
        <w:rPr>
          <w:kern w:val="2"/>
          <w:sz w:val="20"/>
        </w:rPr>
        <w:t>,</w:t>
      </w:r>
      <w:r w:rsidR="00F92361" w:rsidRPr="005C2179">
        <w:rPr>
          <w:rStyle w:val="FootnoteReference"/>
          <w:kern w:val="2"/>
          <w:sz w:val="20"/>
        </w:rPr>
        <w:footnoteReference w:id="98"/>
      </w:r>
      <w:r w:rsidR="000350BF" w:rsidRPr="005C2179">
        <w:rPr>
          <w:kern w:val="2"/>
          <w:sz w:val="20"/>
        </w:rPr>
        <w:t xml:space="preserve"> spending </w:t>
      </w:r>
      <w:r w:rsidR="00EF5B1C" w:rsidRPr="005C2179">
        <w:rPr>
          <w:kern w:val="2"/>
          <w:sz w:val="20"/>
        </w:rPr>
        <w:t xml:space="preserve">by third-party campaigners jumped, suggesting that </w:t>
      </w:r>
      <w:r w:rsidR="000C127A" w:rsidRPr="005C2179">
        <w:rPr>
          <w:kern w:val="2"/>
          <w:sz w:val="20"/>
        </w:rPr>
        <w:t>money was simply redirected</w:t>
      </w:r>
      <w:r w:rsidR="00EF5B1C" w:rsidRPr="005C2179">
        <w:rPr>
          <w:kern w:val="2"/>
          <w:sz w:val="20"/>
        </w:rPr>
        <w:t xml:space="preserve"> to a new outlet</w:t>
      </w:r>
      <w:r w:rsidR="000350BF" w:rsidRPr="005C2179">
        <w:rPr>
          <w:kern w:val="2"/>
          <w:sz w:val="20"/>
        </w:rPr>
        <w:t>.</w:t>
      </w:r>
      <w:r w:rsidR="000350BF" w:rsidRPr="005C2179">
        <w:rPr>
          <w:rStyle w:val="FootnoteReference"/>
          <w:kern w:val="2"/>
          <w:sz w:val="20"/>
        </w:rPr>
        <w:footnoteReference w:id="99"/>
      </w:r>
      <w:r w:rsidR="00BE2D38" w:rsidRPr="005C2179">
        <w:rPr>
          <w:kern w:val="2"/>
          <w:sz w:val="20"/>
        </w:rPr>
        <w:t xml:space="preserve"> Even if campaign finance regulations are skillfully designed to minimize the</w:t>
      </w:r>
      <w:r w:rsidR="00202EA1" w:rsidRPr="005C2179">
        <w:rPr>
          <w:kern w:val="2"/>
          <w:sz w:val="20"/>
        </w:rPr>
        <w:t>se</w:t>
      </w:r>
      <w:r w:rsidR="00BE2D38" w:rsidRPr="005C2179">
        <w:rPr>
          <w:kern w:val="2"/>
          <w:sz w:val="20"/>
        </w:rPr>
        <w:t xml:space="preserve"> “hydraulics</w:t>
      </w:r>
      <w:r w:rsidR="00740B1B" w:rsidRPr="005C2179">
        <w:rPr>
          <w:kern w:val="2"/>
          <w:sz w:val="20"/>
        </w:rPr>
        <w:t>,</w:t>
      </w:r>
      <w:r w:rsidR="00BE2D38" w:rsidRPr="005C2179">
        <w:rPr>
          <w:kern w:val="2"/>
          <w:sz w:val="20"/>
        </w:rPr>
        <w:t xml:space="preserve">” prospective donors may </w:t>
      </w:r>
      <w:r w:rsidR="00202EA1" w:rsidRPr="005C2179">
        <w:rPr>
          <w:kern w:val="2"/>
          <w:sz w:val="20"/>
        </w:rPr>
        <w:t>direct money</w:t>
      </w:r>
      <w:r w:rsidR="00BE2D38" w:rsidRPr="005C2179">
        <w:rPr>
          <w:kern w:val="2"/>
          <w:sz w:val="20"/>
        </w:rPr>
        <w:t xml:space="preserve"> to other activities like lobbying to achieve their ends.</w:t>
      </w:r>
      <w:r w:rsidR="00C77EF6" w:rsidRPr="005C2179">
        <w:rPr>
          <w:rStyle w:val="FootnoteReference"/>
          <w:kern w:val="2"/>
          <w:sz w:val="20"/>
        </w:rPr>
        <w:footnoteReference w:id="100"/>
      </w:r>
      <w:r w:rsidR="00BE2D38" w:rsidRPr="005C2179">
        <w:rPr>
          <w:kern w:val="2"/>
          <w:sz w:val="20"/>
        </w:rPr>
        <w:t xml:space="preserve"> </w:t>
      </w:r>
    </w:p>
    <w:p w14:paraId="4DE0F86A" w14:textId="1DCD8E1A" w:rsidR="00595D37" w:rsidRPr="005C2179" w:rsidRDefault="00DE5E7F" w:rsidP="00BF63B6">
      <w:pPr>
        <w:pStyle w:val="Heading2"/>
        <w:rPr>
          <w:kern w:val="2"/>
          <w:sz w:val="24"/>
        </w:rPr>
      </w:pPr>
      <w:r w:rsidRPr="005C2179">
        <w:rPr>
          <w:kern w:val="2"/>
          <w:sz w:val="24"/>
        </w:rPr>
        <w:t>Circumscribing</w:t>
      </w:r>
      <w:r w:rsidR="0007520A" w:rsidRPr="005C2179">
        <w:rPr>
          <w:kern w:val="2"/>
          <w:sz w:val="24"/>
        </w:rPr>
        <w:t xml:space="preserve"> </w:t>
      </w:r>
      <w:r w:rsidR="007D6B93" w:rsidRPr="005C2179">
        <w:rPr>
          <w:kern w:val="2"/>
          <w:sz w:val="24"/>
        </w:rPr>
        <w:t>the Scope of Regulated A</w:t>
      </w:r>
      <w:r w:rsidR="0007520A" w:rsidRPr="005C2179">
        <w:rPr>
          <w:kern w:val="2"/>
          <w:sz w:val="24"/>
        </w:rPr>
        <w:t xml:space="preserve">ctivities </w:t>
      </w:r>
    </w:p>
    <w:p w14:paraId="4AA6DF83" w14:textId="77777777" w:rsidR="00291C72" w:rsidRPr="005C2179" w:rsidRDefault="0007520A" w:rsidP="00330F4B">
      <w:pPr>
        <w:rPr>
          <w:kern w:val="2"/>
          <w:sz w:val="20"/>
        </w:rPr>
      </w:pPr>
      <w:r w:rsidRPr="005C2179">
        <w:rPr>
          <w:kern w:val="2"/>
          <w:sz w:val="20"/>
        </w:rPr>
        <w:t>Another difficulty in designing campaign finance regulations is drawing the li</w:t>
      </w:r>
      <w:r w:rsidR="000020F9" w:rsidRPr="005C2179">
        <w:rPr>
          <w:kern w:val="2"/>
          <w:sz w:val="20"/>
        </w:rPr>
        <w:t xml:space="preserve">ne between regulated and unregulated activities. </w:t>
      </w:r>
      <w:r w:rsidR="003D169D" w:rsidRPr="005C2179">
        <w:rPr>
          <w:kern w:val="2"/>
          <w:sz w:val="20"/>
        </w:rPr>
        <w:t>Distinguishing</w:t>
      </w:r>
      <w:r w:rsidR="000020F9" w:rsidRPr="005C2179">
        <w:rPr>
          <w:kern w:val="2"/>
          <w:sz w:val="20"/>
        </w:rPr>
        <w:t xml:space="preserve"> between election activities and general political activities can be difficult, and entities and individuals will always try to fall on the unregulated side of the line.</w:t>
      </w:r>
      <w:r w:rsidR="000020F9" w:rsidRPr="005C2179">
        <w:rPr>
          <w:rStyle w:val="FootnoteReference"/>
          <w:kern w:val="2"/>
          <w:sz w:val="20"/>
        </w:rPr>
        <w:footnoteReference w:id="101"/>
      </w:r>
      <w:r w:rsidR="003C0EF8" w:rsidRPr="005C2179">
        <w:rPr>
          <w:kern w:val="2"/>
          <w:sz w:val="20"/>
        </w:rPr>
        <w:t xml:space="preserve"> Third parties might</w:t>
      </w:r>
      <w:r w:rsidR="00514433" w:rsidRPr="005C2179">
        <w:rPr>
          <w:kern w:val="2"/>
          <w:sz w:val="20"/>
        </w:rPr>
        <w:t xml:space="preserve"> attempt to</w:t>
      </w:r>
      <w:r w:rsidR="003C0EF8" w:rsidRPr="005C2179">
        <w:rPr>
          <w:kern w:val="2"/>
          <w:sz w:val="20"/>
        </w:rPr>
        <w:t xml:space="preserve"> split costs between election-related spending and general expenses in order to avoid hitting the thresholds for regulatory requirements.</w:t>
      </w:r>
      <w:r w:rsidR="003C0EF8" w:rsidRPr="005C2179">
        <w:rPr>
          <w:rStyle w:val="FootnoteReference"/>
          <w:kern w:val="2"/>
          <w:sz w:val="20"/>
        </w:rPr>
        <w:footnoteReference w:id="102"/>
      </w:r>
      <w:r w:rsidR="003C0EF8" w:rsidRPr="005C2179">
        <w:rPr>
          <w:kern w:val="2"/>
          <w:sz w:val="20"/>
        </w:rPr>
        <w:t xml:space="preserve"> In addition, i</w:t>
      </w:r>
      <w:r w:rsidR="009221DA" w:rsidRPr="005C2179">
        <w:rPr>
          <w:kern w:val="2"/>
          <w:sz w:val="20"/>
        </w:rPr>
        <w:t xml:space="preserve">t may be unclear whether an advertisement on a contentious political issue during an election aims to improve the chances of a certain political party or is merely part of general political debate. </w:t>
      </w:r>
      <w:r w:rsidR="00AE4350" w:rsidRPr="005C2179">
        <w:rPr>
          <w:kern w:val="2"/>
          <w:sz w:val="20"/>
        </w:rPr>
        <w:t xml:space="preserve">Responding to this difficulty, </w:t>
      </w:r>
      <w:r w:rsidR="000020F9" w:rsidRPr="005C2179">
        <w:rPr>
          <w:kern w:val="2"/>
          <w:sz w:val="20"/>
        </w:rPr>
        <w:t xml:space="preserve">Barendt has argued that the Supreme Court of Canada’s </w:t>
      </w:r>
      <w:r w:rsidR="009221DA" w:rsidRPr="005C2179">
        <w:rPr>
          <w:kern w:val="2"/>
          <w:sz w:val="20"/>
        </w:rPr>
        <w:t>willingness to allow</w:t>
      </w:r>
      <w:r w:rsidR="001E5994" w:rsidRPr="005C2179">
        <w:rPr>
          <w:kern w:val="2"/>
          <w:sz w:val="20"/>
        </w:rPr>
        <w:t xml:space="preserve"> </w:t>
      </w:r>
      <w:r w:rsidR="009619C4" w:rsidRPr="005C2179">
        <w:rPr>
          <w:kern w:val="2"/>
          <w:sz w:val="20"/>
        </w:rPr>
        <w:t xml:space="preserve">third party </w:t>
      </w:r>
      <w:r w:rsidR="001E5994" w:rsidRPr="005C2179">
        <w:rPr>
          <w:kern w:val="2"/>
          <w:sz w:val="20"/>
        </w:rPr>
        <w:t>spending limits</w:t>
      </w:r>
      <w:r w:rsidR="006E6F7F" w:rsidRPr="005C2179">
        <w:rPr>
          <w:rStyle w:val="FootnoteReference"/>
          <w:kern w:val="2"/>
          <w:sz w:val="20"/>
        </w:rPr>
        <w:footnoteReference w:id="103"/>
      </w:r>
      <w:r w:rsidR="009221DA" w:rsidRPr="005C2179">
        <w:rPr>
          <w:kern w:val="2"/>
          <w:sz w:val="20"/>
        </w:rPr>
        <w:t xml:space="preserve"> </w:t>
      </w:r>
      <w:r w:rsidR="000020F9" w:rsidRPr="005C2179">
        <w:rPr>
          <w:kern w:val="2"/>
          <w:sz w:val="20"/>
        </w:rPr>
        <w:t>is</w:t>
      </w:r>
      <w:r w:rsidR="00291C72" w:rsidRPr="005C2179">
        <w:rPr>
          <w:kern w:val="2"/>
          <w:sz w:val="20"/>
        </w:rPr>
        <w:t xml:space="preserve"> based on </w:t>
      </w:r>
      <w:r w:rsidR="00AE1A31" w:rsidRPr="005C2179">
        <w:rPr>
          <w:kern w:val="2"/>
          <w:sz w:val="20"/>
        </w:rPr>
        <w:t>the incorrect assumption</w:t>
      </w:r>
      <w:r w:rsidR="00291C72" w:rsidRPr="005C2179">
        <w:rPr>
          <w:kern w:val="2"/>
          <w:sz w:val="20"/>
        </w:rPr>
        <w:t xml:space="preserve"> that “a sensible line can be drawn between campaign expenditure on the one hand and expenditure on general political and social discussion” on the other</w:t>
      </w:r>
      <w:r w:rsidR="001E5994" w:rsidRPr="005C2179">
        <w:rPr>
          <w:kern w:val="2"/>
          <w:sz w:val="20"/>
        </w:rPr>
        <w:t>.</w:t>
      </w:r>
      <w:r w:rsidR="001E5994" w:rsidRPr="005C2179">
        <w:rPr>
          <w:rStyle w:val="FootnoteReference"/>
          <w:kern w:val="2"/>
          <w:sz w:val="20"/>
        </w:rPr>
        <w:footnoteReference w:id="104"/>
      </w:r>
      <w:r w:rsidR="00291C72" w:rsidRPr="005C2179">
        <w:rPr>
          <w:kern w:val="2"/>
          <w:sz w:val="20"/>
        </w:rPr>
        <w:t xml:space="preserve"> </w:t>
      </w:r>
    </w:p>
    <w:p w14:paraId="7ED978BB" w14:textId="77777777" w:rsidR="00802579" w:rsidRPr="005C2179" w:rsidRDefault="00BF04F6" w:rsidP="00330F4B">
      <w:pPr>
        <w:rPr>
          <w:kern w:val="2"/>
          <w:sz w:val="20"/>
        </w:rPr>
      </w:pPr>
      <w:r w:rsidRPr="005C2179">
        <w:rPr>
          <w:kern w:val="2"/>
          <w:sz w:val="20"/>
        </w:rPr>
        <w:t>Lawmakers</w:t>
      </w:r>
      <w:r w:rsidR="00EB3A70" w:rsidRPr="005C2179">
        <w:rPr>
          <w:kern w:val="2"/>
          <w:sz w:val="20"/>
        </w:rPr>
        <w:t xml:space="preserve"> may also encounter difficulty</w:t>
      </w:r>
      <w:r w:rsidRPr="005C2179">
        <w:rPr>
          <w:kern w:val="2"/>
          <w:sz w:val="20"/>
        </w:rPr>
        <w:t xml:space="preserve"> in drawing the</w:t>
      </w:r>
      <w:r w:rsidR="0065326F" w:rsidRPr="005C2179">
        <w:rPr>
          <w:kern w:val="2"/>
          <w:sz w:val="20"/>
        </w:rPr>
        <w:t xml:space="preserve"> line between regulated and un</w:t>
      </w:r>
      <w:r w:rsidRPr="005C2179">
        <w:rPr>
          <w:kern w:val="2"/>
          <w:sz w:val="20"/>
        </w:rPr>
        <w:t xml:space="preserve">regulated time periods. </w:t>
      </w:r>
      <w:r w:rsidR="00EB3A70" w:rsidRPr="005C2179">
        <w:rPr>
          <w:kern w:val="2"/>
          <w:sz w:val="20"/>
        </w:rPr>
        <w:t>Campaign</w:t>
      </w:r>
      <w:r w:rsidRPr="005C2179">
        <w:rPr>
          <w:kern w:val="2"/>
          <w:sz w:val="20"/>
        </w:rPr>
        <w:t xml:space="preserve"> finance regulation</w:t>
      </w:r>
      <w:r w:rsidR="00EB3A70" w:rsidRPr="005C2179">
        <w:rPr>
          <w:kern w:val="2"/>
          <w:sz w:val="20"/>
        </w:rPr>
        <w:t xml:space="preserve"> often kicks in when an</w:t>
      </w:r>
      <w:r w:rsidRPr="005C2179">
        <w:rPr>
          <w:kern w:val="2"/>
          <w:sz w:val="20"/>
        </w:rPr>
        <w:t xml:space="preserve"> election begins. However, </w:t>
      </w:r>
      <w:r w:rsidR="00EB3A70" w:rsidRPr="005C2179">
        <w:rPr>
          <w:kern w:val="2"/>
          <w:sz w:val="20"/>
        </w:rPr>
        <w:t xml:space="preserve">because election campaigning has become more or less permanent, </w:t>
      </w:r>
      <w:r w:rsidRPr="005C2179">
        <w:rPr>
          <w:kern w:val="2"/>
          <w:sz w:val="20"/>
        </w:rPr>
        <w:t xml:space="preserve">some commentators </w:t>
      </w:r>
      <w:r w:rsidR="00D83F74" w:rsidRPr="005C2179">
        <w:rPr>
          <w:kern w:val="2"/>
          <w:sz w:val="20"/>
        </w:rPr>
        <w:t>argue that lawmakers</w:t>
      </w:r>
      <w:r w:rsidRPr="005C2179">
        <w:rPr>
          <w:kern w:val="2"/>
          <w:sz w:val="20"/>
        </w:rPr>
        <w:t xml:space="preserve"> should </w:t>
      </w:r>
      <w:r w:rsidR="00514433" w:rsidRPr="005C2179">
        <w:rPr>
          <w:kern w:val="2"/>
          <w:sz w:val="20"/>
        </w:rPr>
        <w:t>approach</w:t>
      </w:r>
      <w:r w:rsidRPr="005C2179">
        <w:rPr>
          <w:kern w:val="2"/>
          <w:sz w:val="20"/>
        </w:rPr>
        <w:t xml:space="preserve"> political finance as a whole rather than focusing on campaign finance alone.</w:t>
      </w:r>
      <w:r w:rsidR="00835414" w:rsidRPr="005C2179">
        <w:rPr>
          <w:rStyle w:val="FootnoteReference"/>
          <w:kern w:val="2"/>
          <w:sz w:val="20"/>
        </w:rPr>
        <w:footnoteReference w:id="105"/>
      </w:r>
      <w:r w:rsidR="00802579" w:rsidRPr="005C2179">
        <w:rPr>
          <w:kern w:val="2"/>
          <w:sz w:val="20"/>
        </w:rPr>
        <w:t xml:space="preserve"> </w:t>
      </w:r>
      <w:r w:rsidR="00E60F51" w:rsidRPr="005C2179">
        <w:rPr>
          <w:kern w:val="2"/>
          <w:sz w:val="20"/>
        </w:rPr>
        <w:t xml:space="preserve">Further, contemporary digital campaigning techniques </w:t>
      </w:r>
      <w:r w:rsidR="00D83F74" w:rsidRPr="005C2179">
        <w:rPr>
          <w:kern w:val="2"/>
          <w:sz w:val="20"/>
        </w:rPr>
        <w:t>have</w:t>
      </w:r>
      <w:r w:rsidR="00E60F51" w:rsidRPr="005C2179">
        <w:rPr>
          <w:kern w:val="2"/>
          <w:sz w:val="20"/>
        </w:rPr>
        <w:t xml:space="preserve"> shifted the timing of expenses. Many costly activities</w:t>
      </w:r>
      <w:r w:rsidR="00B059F1" w:rsidRPr="005C2179">
        <w:rPr>
          <w:kern w:val="2"/>
          <w:sz w:val="20"/>
        </w:rPr>
        <w:t>, such as forming databases of voters,</w:t>
      </w:r>
      <w:r w:rsidR="00E60F51" w:rsidRPr="005C2179">
        <w:rPr>
          <w:kern w:val="2"/>
          <w:sz w:val="20"/>
        </w:rPr>
        <w:t xml:space="preserve"> occur before the election period begins, </w:t>
      </w:r>
      <w:r w:rsidR="00B059F1" w:rsidRPr="005C2179">
        <w:rPr>
          <w:kern w:val="2"/>
          <w:sz w:val="20"/>
        </w:rPr>
        <w:t xml:space="preserve">allowing </w:t>
      </w:r>
      <w:r w:rsidR="00AC5AB7" w:rsidRPr="005C2179">
        <w:rPr>
          <w:kern w:val="2"/>
          <w:sz w:val="20"/>
        </w:rPr>
        <w:t>expenses for these activities to slip through the regulatory net</w:t>
      </w:r>
      <w:r w:rsidR="00E60F51" w:rsidRPr="005C2179">
        <w:rPr>
          <w:kern w:val="2"/>
          <w:sz w:val="20"/>
        </w:rPr>
        <w:t>.</w:t>
      </w:r>
      <w:r w:rsidR="00E60F51" w:rsidRPr="005C2179">
        <w:rPr>
          <w:rStyle w:val="FootnoteReference"/>
          <w:kern w:val="2"/>
          <w:sz w:val="20"/>
        </w:rPr>
        <w:footnoteReference w:id="106"/>
      </w:r>
      <w:r w:rsidR="00E60F51" w:rsidRPr="005C2179">
        <w:rPr>
          <w:rStyle w:val="FootnoteReference"/>
          <w:kern w:val="2"/>
          <w:sz w:val="20"/>
        </w:rPr>
        <w:t xml:space="preserve"> </w:t>
      </w:r>
      <w:r w:rsidR="00E60F51" w:rsidRPr="005C2179">
        <w:rPr>
          <w:kern w:val="2"/>
          <w:sz w:val="20"/>
        </w:rPr>
        <w:t>On the other hand, an overly broad cap on general party expenditures could impact useful activities such as policy development.</w:t>
      </w:r>
      <w:r w:rsidR="009E6062" w:rsidRPr="005C2179">
        <w:rPr>
          <w:rStyle w:val="FootnoteReference"/>
          <w:kern w:val="2"/>
          <w:sz w:val="20"/>
        </w:rPr>
        <w:footnoteReference w:id="107"/>
      </w:r>
      <w:r w:rsidR="00E60F51" w:rsidRPr="005C2179">
        <w:rPr>
          <w:kern w:val="2"/>
          <w:sz w:val="20"/>
        </w:rPr>
        <w:t xml:space="preserve"> </w:t>
      </w:r>
    </w:p>
    <w:p w14:paraId="77F99D75" w14:textId="71D14852" w:rsidR="00C77EF6" w:rsidRPr="005C2179" w:rsidRDefault="00C77EF6" w:rsidP="00BF63B6">
      <w:pPr>
        <w:pStyle w:val="Heading2"/>
        <w:rPr>
          <w:kern w:val="2"/>
          <w:sz w:val="24"/>
        </w:rPr>
      </w:pPr>
      <w:r w:rsidRPr="005C2179">
        <w:rPr>
          <w:kern w:val="2"/>
          <w:sz w:val="24"/>
        </w:rPr>
        <w:t xml:space="preserve">New Campaigning Techniques </w:t>
      </w:r>
    </w:p>
    <w:p w14:paraId="3E1A97B3" w14:textId="12382B7E" w:rsidR="006F38C3" w:rsidRPr="005C2179" w:rsidRDefault="006F38C3" w:rsidP="00330F4B">
      <w:pPr>
        <w:rPr>
          <w:kern w:val="2"/>
          <w:sz w:val="20"/>
        </w:rPr>
      </w:pPr>
      <w:r w:rsidRPr="005C2179">
        <w:rPr>
          <w:kern w:val="2"/>
          <w:sz w:val="20"/>
        </w:rPr>
        <w:t>The next challenge in campaign finance is the application of old regulatory regimes to new methods of campaigning. Traditionally, campaign finance regulation is designed with media like television and radio in mind. However, campaigns are increasingly reliant on digital techniques like “micro-targeting</w:t>
      </w:r>
      <w:r w:rsidR="00931229" w:rsidRPr="005C2179">
        <w:rPr>
          <w:kern w:val="2"/>
          <w:sz w:val="20"/>
        </w:rPr>
        <w:t>,</w:t>
      </w:r>
      <w:r w:rsidRPr="005C2179">
        <w:rPr>
          <w:kern w:val="2"/>
          <w:sz w:val="20"/>
        </w:rPr>
        <w:t>” which involves using data purchased from data companies to predict how particular voters might feel about certain issues and targeting small groups of voters with tailored advertisements.</w:t>
      </w:r>
      <w:r w:rsidRPr="005C2179">
        <w:rPr>
          <w:rStyle w:val="FootnoteReference"/>
          <w:kern w:val="2"/>
          <w:sz w:val="20"/>
        </w:rPr>
        <w:footnoteReference w:id="108"/>
      </w:r>
      <w:r w:rsidRPr="005C2179">
        <w:rPr>
          <w:kern w:val="2"/>
          <w:sz w:val="20"/>
        </w:rPr>
        <w:t xml:space="preserve"> Existing regulatory frameworks may be ill-suited to these new techniques. For example, spending caps may be undermined by the difficulty of tracking online and social media expense</w:t>
      </w:r>
      <w:r w:rsidR="00486E1D" w:rsidRPr="005C2179">
        <w:rPr>
          <w:kern w:val="2"/>
          <w:sz w:val="20"/>
        </w:rPr>
        <w:t>s</w:t>
      </w:r>
      <w:r w:rsidRPr="005C2179">
        <w:rPr>
          <w:kern w:val="2"/>
          <w:sz w:val="20"/>
        </w:rPr>
        <w:t>.</w:t>
      </w:r>
      <w:r w:rsidRPr="005C2179">
        <w:rPr>
          <w:rStyle w:val="FootnoteReference"/>
          <w:kern w:val="2"/>
          <w:sz w:val="20"/>
        </w:rPr>
        <w:footnoteReference w:id="109"/>
      </w:r>
      <w:r w:rsidRPr="005C2179">
        <w:rPr>
          <w:kern w:val="2"/>
          <w:sz w:val="20"/>
        </w:rPr>
        <w:t xml:space="preserve"> Further,</w:t>
      </w:r>
      <w:r w:rsidR="00831B5C" w:rsidRPr="005C2179">
        <w:rPr>
          <w:kern w:val="2"/>
          <w:sz w:val="20"/>
        </w:rPr>
        <w:t xml:space="preserve"> as discussed above in </w:t>
      </w:r>
      <w:r w:rsidR="00AF1697" w:rsidRPr="005C2179">
        <w:rPr>
          <w:kern w:val="2"/>
          <w:sz w:val="20"/>
          <w:highlight w:val="cyan"/>
        </w:rPr>
        <w:t xml:space="preserve">Section </w:t>
      </w:r>
      <w:r w:rsidR="00831B5C" w:rsidRPr="005C2179">
        <w:rPr>
          <w:kern w:val="2"/>
          <w:sz w:val="20"/>
          <w:highlight w:val="cyan"/>
        </w:rPr>
        <w:t>5.4,</w:t>
      </w:r>
      <w:r w:rsidRPr="005C2179">
        <w:rPr>
          <w:kern w:val="2"/>
          <w:sz w:val="20"/>
        </w:rPr>
        <w:t xml:space="preserve"> some activities</w:t>
      </w:r>
      <w:r w:rsidR="00831B5C" w:rsidRPr="005C2179">
        <w:rPr>
          <w:kern w:val="2"/>
          <w:sz w:val="20"/>
        </w:rPr>
        <w:t xml:space="preserve"> involved in digital campaigning</w:t>
      </w:r>
      <w:r w:rsidR="00CD18EA" w:rsidRPr="005C2179">
        <w:rPr>
          <w:kern w:val="2"/>
          <w:sz w:val="20"/>
        </w:rPr>
        <w:t xml:space="preserve"> </w:t>
      </w:r>
      <w:r w:rsidRPr="005C2179">
        <w:rPr>
          <w:kern w:val="2"/>
          <w:sz w:val="20"/>
        </w:rPr>
        <w:t>may take pl</w:t>
      </w:r>
      <w:r w:rsidR="00CD18EA" w:rsidRPr="005C2179">
        <w:rPr>
          <w:kern w:val="2"/>
          <w:sz w:val="20"/>
        </w:rPr>
        <w:t>ace before the election period</w:t>
      </w:r>
      <w:r w:rsidRPr="005C2179">
        <w:rPr>
          <w:kern w:val="2"/>
          <w:sz w:val="20"/>
        </w:rPr>
        <w:t xml:space="preserve"> begins, allowing e</w:t>
      </w:r>
      <w:r w:rsidR="00CD18EA" w:rsidRPr="005C2179">
        <w:rPr>
          <w:kern w:val="2"/>
          <w:sz w:val="20"/>
        </w:rPr>
        <w:t>xpenses for these activities to escape unregulated</w:t>
      </w:r>
      <w:r w:rsidRPr="005C2179">
        <w:rPr>
          <w:kern w:val="2"/>
          <w:sz w:val="20"/>
        </w:rPr>
        <w:t>.</w:t>
      </w:r>
      <w:r w:rsidRPr="005C2179">
        <w:rPr>
          <w:rStyle w:val="FootnoteReference"/>
          <w:kern w:val="2"/>
          <w:sz w:val="20"/>
        </w:rPr>
        <w:footnoteReference w:id="110"/>
      </w:r>
    </w:p>
    <w:p w14:paraId="1D3A9428" w14:textId="16809AD2" w:rsidR="00236381" w:rsidRPr="005C2179" w:rsidRDefault="009B3E76" w:rsidP="00A8357B">
      <w:pPr>
        <w:pStyle w:val="Heading1"/>
        <w:rPr>
          <w:sz w:val="28"/>
        </w:rPr>
      </w:pPr>
      <w:bookmarkStart w:id="11" w:name="_Toc503443956"/>
      <w:bookmarkStart w:id="12" w:name="_Toc509569394"/>
      <w:r w:rsidRPr="005C2179">
        <w:rPr>
          <w:sz w:val="28"/>
        </w:rPr>
        <w:t>The</w:t>
      </w:r>
      <w:r w:rsidR="00DE5E7F" w:rsidRPr="005C2179">
        <w:rPr>
          <w:sz w:val="28"/>
        </w:rPr>
        <w:t xml:space="preserve"> Regulation of T</w:t>
      </w:r>
      <w:r w:rsidR="00236381" w:rsidRPr="005C2179">
        <w:rPr>
          <w:sz w:val="28"/>
        </w:rPr>
        <w:t>hi</w:t>
      </w:r>
      <w:r w:rsidR="00DE5E7F" w:rsidRPr="005C2179">
        <w:rPr>
          <w:sz w:val="28"/>
        </w:rPr>
        <w:t>rd-Party C</w:t>
      </w:r>
      <w:r w:rsidR="00236381" w:rsidRPr="005C2179">
        <w:rPr>
          <w:sz w:val="28"/>
        </w:rPr>
        <w:t>ampaigners</w:t>
      </w:r>
      <w:bookmarkEnd w:id="11"/>
      <w:bookmarkEnd w:id="12"/>
      <w:r w:rsidR="00236381" w:rsidRPr="005C2179">
        <w:rPr>
          <w:sz w:val="28"/>
        </w:rPr>
        <w:t xml:space="preserve"> </w:t>
      </w:r>
    </w:p>
    <w:p w14:paraId="6B528C1C" w14:textId="5EC02D59" w:rsidR="00B4039C" w:rsidRPr="005C2179" w:rsidRDefault="00403D59" w:rsidP="00BF63B6">
      <w:pPr>
        <w:pStyle w:val="Heading2"/>
        <w:rPr>
          <w:kern w:val="2"/>
          <w:sz w:val="24"/>
        </w:rPr>
      </w:pPr>
      <w:r w:rsidRPr="005C2179">
        <w:rPr>
          <w:kern w:val="2"/>
          <w:sz w:val="24"/>
        </w:rPr>
        <w:t>The Role</w:t>
      </w:r>
      <w:r w:rsidR="00951892" w:rsidRPr="005C2179">
        <w:rPr>
          <w:kern w:val="2"/>
          <w:sz w:val="24"/>
        </w:rPr>
        <w:t xml:space="preserve"> of</w:t>
      </w:r>
      <w:r w:rsidR="00256F9A" w:rsidRPr="005C2179">
        <w:rPr>
          <w:kern w:val="2"/>
          <w:sz w:val="24"/>
        </w:rPr>
        <w:t xml:space="preserve"> Third-P</w:t>
      </w:r>
      <w:r w:rsidR="009B7599" w:rsidRPr="005C2179">
        <w:rPr>
          <w:kern w:val="2"/>
          <w:sz w:val="24"/>
        </w:rPr>
        <w:t>arty Campaigners</w:t>
      </w:r>
      <w:r w:rsidR="00256F9A" w:rsidRPr="005C2179">
        <w:rPr>
          <w:kern w:val="2"/>
          <w:sz w:val="24"/>
        </w:rPr>
        <w:t xml:space="preserve"> </w:t>
      </w:r>
    </w:p>
    <w:p w14:paraId="58D5F63F" w14:textId="6DEA825E" w:rsidR="004F2C41" w:rsidRPr="005C2179" w:rsidRDefault="006E179C" w:rsidP="00330F4B">
      <w:pPr>
        <w:rPr>
          <w:kern w:val="2"/>
          <w:sz w:val="20"/>
        </w:rPr>
      </w:pPr>
      <w:r w:rsidRPr="005C2179">
        <w:rPr>
          <w:kern w:val="2"/>
          <w:sz w:val="20"/>
        </w:rPr>
        <w:t>The proper role of</w:t>
      </w:r>
      <w:r w:rsidR="00F13F69" w:rsidRPr="005C2179">
        <w:rPr>
          <w:kern w:val="2"/>
          <w:sz w:val="20"/>
        </w:rPr>
        <w:t xml:space="preserve"> </w:t>
      </w:r>
      <w:r w:rsidR="009B7599" w:rsidRPr="005C2179">
        <w:rPr>
          <w:kern w:val="2"/>
          <w:sz w:val="20"/>
        </w:rPr>
        <w:t>th</w:t>
      </w:r>
      <w:r w:rsidR="00A76361" w:rsidRPr="005C2179">
        <w:rPr>
          <w:kern w:val="2"/>
          <w:sz w:val="20"/>
        </w:rPr>
        <w:t xml:space="preserve">ird-party campaigners </w:t>
      </w:r>
      <w:r w:rsidRPr="005C2179">
        <w:rPr>
          <w:kern w:val="2"/>
          <w:sz w:val="20"/>
        </w:rPr>
        <w:t xml:space="preserve">in elections </w:t>
      </w:r>
      <w:r w:rsidR="00A76361" w:rsidRPr="005C2179">
        <w:rPr>
          <w:kern w:val="2"/>
          <w:sz w:val="20"/>
        </w:rPr>
        <w:t xml:space="preserve">is </w:t>
      </w:r>
      <w:r w:rsidR="001C4588" w:rsidRPr="005C2179">
        <w:rPr>
          <w:kern w:val="2"/>
          <w:sz w:val="20"/>
        </w:rPr>
        <w:t>debated</w:t>
      </w:r>
      <w:r w:rsidR="00A76361" w:rsidRPr="005C2179">
        <w:rPr>
          <w:kern w:val="2"/>
          <w:sz w:val="20"/>
        </w:rPr>
        <w:t xml:space="preserve">. </w:t>
      </w:r>
      <w:r w:rsidR="00DD34B7" w:rsidRPr="005C2179">
        <w:rPr>
          <w:kern w:val="2"/>
          <w:sz w:val="20"/>
        </w:rPr>
        <w:t>On</w:t>
      </w:r>
      <w:r w:rsidR="009B7599" w:rsidRPr="005C2179">
        <w:rPr>
          <w:kern w:val="2"/>
          <w:sz w:val="20"/>
        </w:rPr>
        <w:t xml:space="preserve"> one hand, t</w:t>
      </w:r>
      <w:r w:rsidR="004F2C41" w:rsidRPr="005C2179">
        <w:rPr>
          <w:kern w:val="2"/>
          <w:sz w:val="20"/>
        </w:rPr>
        <w:t>hird parties may provide helpful</w:t>
      </w:r>
      <w:r w:rsidR="00236381" w:rsidRPr="005C2179">
        <w:rPr>
          <w:kern w:val="2"/>
          <w:sz w:val="20"/>
        </w:rPr>
        <w:t xml:space="preserve"> perspectives and add</w:t>
      </w:r>
      <w:r w:rsidR="004F2C41" w:rsidRPr="005C2179">
        <w:rPr>
          <w:kern w:val="2"/>
          <w:sz w:val="20"/>
        </w:rPr>
        <w:t>itional information not offered</w:t>
      </w:r>
      <w:r w:rsidR="00236381" w:rsidRPr="005C2179">
        <w:rPr>
          <w:kern w:val="2"/>
          <w:sz w:val="20"/>
        </w:rPr>
        <w:t xml:space="preserve"> by parties </w:t>
      </w:r>
      <w:r w:rsidR="004F2C41" w:rsidRPr="005C2179">
        <w:rPr>
          <w:kern w:val="2"/>
          <w:sz w:val="20"/>
        </w:rPr>
        <w:t xml:space="preserve">and candidates. As the Alberta Court of Appeal observed in </w:t>
      </w:r>
      <w:r w:rsidR="004F2C41" w:rsidRPr="005C2179">
        <w:rPr>
          <w:i/>
          <w:kern w:val="2"/>
          <w:sz w:val="20"/>
        </w:rPr>
        <w:t>Somerville</w:t>
      </w:r>
      <w:r w:rsidR="00334859" w:rsidRPr="005C2179">
        <w:rPr>
          <w:kern w:val="2"/>
          <w:sz w:val="20"/>
        </w:rPr>
        <w:t>:</w:t>
      </w:r>
      <w:r w:rsidR="004F2C41" w:rsidRPr="005C2179">
        <w:rPr>
          <w:kern w:val="2"/>
          <w:sz w:val="20"/>
        </w:rPr>
        <w:t xml:space="preserve"> </w:t>
      </w:r>
    </w:p>
    <w:p w14:paraId="2354B444" w14:textId="62BD4791" w:rsidR="000A0444" w:rsidRPr="005C2179" w:rsidRDefault="00334859" w:rsidP="009F05FA">
      <w:pPr>
        <w:pStyle w:val="BlockQuote"/>
        <w:rPr>
          <w:kern w:val="2"/>
          <w:sz w:val="20"/>
        </w:rPr>
      </w:pPr>
      <w:r w:rsidRPr="005C2179">
        <w:rPr>
          <w:kern w:val="2"/>
          <w:sz w:val="20"/>
        </w:rPr>
        <w:t>T</w:t>
      </w:r>
      <w:r w:rsidR="004F2C41" w:rsidRPr="005C2179">
        <w:rPr>
          <w:kern w:val="2"/>
          <w:sz w:val="20"/>
        </w:rPr>
        <w:t>he citizenry looks to its community, political and religious leaders, and interest groups for input. Voters want the benefit of the independent advice and information on candidates and parties from others with similar ideologies and without the self interest involved in candidate and party advertising.</w:t>
      </w:r>
      <w:r w:rsidR="00FD5F1C" w:rsidRPr="005C2179">
        <w:rPr>
          <w:rStyle w:val="FootnoteReference"/>
          <w:kern w:val="2"/>
          <w:sz w:val="20"/>
        </w:rPr>
        <w:footnoteReference w:id="111"/>
      </w:r>
    </w:p>
    <w:p w14:paraId="03946554" w14:textId="77777777" w:rsidR="009B7599" w:rsidRPr="005C2179" w:rsidRDefault="00394CC8" w:rsidP="00330F4B">
      <w:pPr>
        <w:rPr>
          <w:kern w:val="2"/>
          <w:sz w:val="20"/>
        </w:rPr>
      </w:pPr>
      <w:r w:rsidRPr="005C2179">
        <w:rPr>
          <w:kern w:val="2"/>
          <w:sz w:val="20"/>
        </w:rPr>
        <w:t xml:space="preserve">The </w:t>
      </w:r>
      <w:r w:rsidR="008E3F7C" w:rsidRPr="005C2179">
        <w:rPr>
          <w:kern w:val="2"/>
          <w:sz w:val="20"/>
        </w:rPr>
        <w:t xml:space="preserve">Alberta </w:t>
      </w:r>
      <w:r w:rsidRPr="005C2179">
        <w:rPr>
          <w:kern w:val="2"/>
          <w:sz w:val="20"/>
        </w:rPr>
        <w:t xml:space="preserve">Court of Appeal </w:t>
      </w:r>
      <w:r w:rsidR="009B7599" w:rsidRPr="005C2179">
        <w:rPr>
          <w:kern w:val="2"/>
          <w:sz w:val="20"/>
        </w:rPr>
        <w:t>noted further that</w:t>
      </w:r>
      <w:r w:rsidRPr="005C2179">
        <w:rPr>
          <w:kern w:val="2"/>
          <w:sz w:val="20"/>
        </w:rPr>
        <w:t>, without third-party campaigners, voters would on</w:t>
      </w:r>
      <w:r w:rsidR="008E3F7C" w:rsidRPr="005C2179">
        <w:rPr>
          <w:kern w:val="2"/>
          <w:sz w:val="20"/>
        </w:rPr>
        <w:t xml:space="preserve">ly receive the information </w:t>
      </w:r>
      <w:r w:rsidRPr="005C2179">
        <w:rPr>
          <w:kern w:val="2"/>
          <w:sz w:val="20"/>
        </w:rPr>
        <w:t>politicians and the media choose to disseminate.</w:t>
      </w:r>
      <w:r w:rsidR="005A0DB1" w:rsidRPr="005C2179">
        <w:rPr>
          <w:rStyle w:val="FootnoteReference"/>
          <w:kern w:val="2"/>
          <w:sz w:val="20"/>
        </w:rPr>
        <w:footnoteReference w:id="112"/>
      </w:r>
      <w:r w:rsidRPr="005C2179">
        <w:rPr>
          <w:kern w:val="2"/>
          <w:sz w:val="20"/>
        </w:rPr>
        <w:t xml:space="preserve"> </w:t>
      </w:r>
      <w:r w:rsidR="005A0DB1" w:rsidRPr="005C2179">
        <w:rPr>
          <w:color w:val="000000"/>
          <w:kern w:val="2"/>
          <w:sz w:val="20"/>
          <w:shd w:val="clear" w:color="auto" w:fill="FFFFFF"/>
        </w:rPr>
        <w:t>This is particularly problematic in relation to issues avoided by political parties as “non-winners</w:t>
      </w:r>
      <w:r w:rsidR="00931229" w:rsidRPr="005C2179">
        <w:rPr>
          <w:color w:val="000000"/>
          <w:kern w:val="2"/>
          <w:sz w:val="20"/>
          <w:shd w:val="clear" w:color="auto" w:fill="FFFFFF"/>
        </w:rPr>
        <w:t>,</w:t>
      </w:r>
      <w:r w:rsidR="005A0DB1" w:rsidRPr="005C2179">
        <w:rPr>
          <w:color w:val="000000"/>
          <w:kern w:val="2"/>
          <w:sz w:val="20"/>
          <w:shd w:val="clear" w:color="auto" w:fill="FFFFFF"/>
        </w:rPr>
        <w:t xml:space="preserve">” since </w:t>
      </w:r>
      <w:r w:rsidR="00DD34B7" w:rsidRPr="005C2179">
        <w:rPr>
          <w:color w:val="000000"/>
          <w:kern w:val="2"/>
          <w:sz w:val="20"/>
          <w:shd w:val="clear" w:color="auto" w:fill="FFFFFF"/>
        </w:rPr>
        <w:t>their</w:t>
      </w:r>
      <w:r w:rsidR="005A0DB1" w:rsidRPr="005C2179">
        <w:rPr>
          <w:color w:val="000000"/>
          <w:kern w:val="2"/>
          <w:sz w:val="20"/>
          <w:shd w:val="clear" w:color="auto" w:fill="FFFFFF"/>
        </w:rPr>
        <w:t xml:space="preserve"> positions on such issues are “critical to the voter.”</w:t>
      </w:r>
      <w:r w:rsidR="00A76361" w:rsidRPr="005C2179">
        <w:rPr>
          <w:rStyle w:val="FootnoteReference"/>
          <w:color w:val="000000"/>
          <w:kern w:val="2"/>
          <w:sz w:val="20"/>
          <w:shd w:val="clear" w:color="auto" w:fill="FFFFFF"/>
        </w:rPr>
        <w:footnoteReference w:id="113"/>
      </w:r>
      <w:r w:rsidR="005A0DB1" w:rsidRPr="005C2179">
        <w:rPr>
          <w:color w:val="000000"/>
          <w:kern w:val="2"/>
          <w:sz w:val="20"/>
          <w:shd w:val="clear" w:color="auto" w:fill="FFFFFF"/>
        </w:rPr>
        <w:t xml:space="preserve"> </w:t>
      </w:r>
      <w:r w:rsidR="00A76361" w:rsidRPr="005C2179">
        <w:rPr>
          <w:color w:val="000000"/>
          <w:kern w:val="2"/>
          <w:sz w:val="20"/>
          <w:shd w:val="clear" w:color="auto" w:fill="FFFFFF"/>
        </w:rPr>
        <w:t>The</w:t>
      </w:r>
      <w:r w:rsidR="008E3F7C" w:rsidRPr="005C2179">
        <w:rPr>
          <w:color w:val="000000"/>
          <w:kern w:val="2"/>
          <w:sz w:val="20"/>
          <w:shd w:val="clear" w:color="auto" w:fill="FFFFFF"/>
        </w:rPr>
        <w:t xml:space="preserve"> dissent in </w:t>
      </w:r>
      <w:r w:rsidR="008E3F7C" w:rsidRPr="005C2179">
        <w:rPr>
          <w:i/>
          <w:kern w:val="2"/>
          <w:sz w:val="20"/>
        </w:rPr>
        <w:t xml:space="preserve">Harper v Canada (Attorney General) </w:t>
      </w:r>
      <w:r w:rsidR="008E3F7C" w:rsidRPr="005C2179">
        <w:rPr>
          <w:kern w:val="2"/>
          <w:sz w:val="20"/>
        </w:rPr>
        <w:t xml:space="preserve">echoed these points, </w:t>
      </w:r>
      <w:r w:rsidR="008E3F7C" w:rsidRPr="005C2179">
        <w:rPr>
          <w:color w:val="000000"/>
          <w:kern w:val="2"/>
          <w:sz w:val="20"/>
          <w:shd w:val="clear" w:color="auto" w:fill="FFFFFF"/>
        </w:rPr>
        <w:t xml:space="preserve">arguing </w:t>
      </w:r>
      <w:r w:rsidR="005A0DB1" w:rsidRPr="005C2179">
        <w:rPr>
          <w:color w:val="000000"/>
          <w:kern w:val="2"/>
          <w:sz w:val="20"/>
          <w:shd w:val="clear" w:color="auto" w:fill="FFFFFF"/>
        </w:rPr>
        <w:t xml:space="preserve">that deliberative democracy </w:t>
      </w:r>
      <w:r w:rsidR="008D5EA7" w:rsidRPr="005C2179">
        <w:rPr>
          <w:color w:val="000000"/>
          <w:kern w:val="2"/>
          <w:sz w:val="20"/>
          <w:shd w:val="clear" w:color="auto" w:fill="FFFFFF"/>
        </w:rPr>
        <w:t>necessitates giving a voice to</w:t>
      </w:r>
      <w:r w:rsidR="005A0DB1" w:rsidRPr="005C2179">
        <w:rPr>
          <w:color w:val="000000"/>
          <w:kern w:val="2"/>
          <w:sz w:val="20"/>
          <w:shd w:val="clear" w:color="auto" w:fill="FFFFFF"/>
        </w:rPr>
        <w:t xml:space="preserve"> unpopular views </w:t>
      </w:r>
      <w:r w:rsidR="0068591A" w:rsidRPr="005C2179">
        <w:rPr>
          <w:color w:val="000000"/>
          <w:kern w:val="2"/>
          <w:sz w:val="20"/>
          <w:shd w:val="clear" w:color="auto" w:fill="FFFFFF"/>
        </w:rPr>
        <w:t>avoided</w:t>
      </w:r>
      <w:r w:rsidR="00EC5621" w:rsidRPr="005C2179">
        <w:rPr>
          <w:color w:val="000000"/>
          <w:kern w:val="2"/>
          <w:sz w:val="20"/>
          <w:shd w:val="clear" w:color="auto" w:fill="FFFFFF"/>
        </w:rPr>
        <w:t xml:space="preserve"> </w:t>
      </w:r>
      <w:r w:rsidR="005A0DB1" w:rsidRPr="005C2179">
        <w:rPr>
          <w:color w:val="000000"/>
          <w:kern w:val="2"/>
          <w:sz w:val="20"/>
          <w:shd w:val="clear" w:color="auto" w:fill="FFFFFF"/>
        </w:rPr>
        <w:t>by political parties or candidates</w:t>
      </w:r>
      <w:r w:rsidR="00A76361" w:rsidRPr="005C2179">
        <w:rPr>
          <w:color w:val="000000"/>
          <w:kern w:val="2"/>
          <w:sz w:val="20"/>
          <w:shd w:val="clear" w:color="auto" w:fill="FFFFFF"/>
        </w:rPr>
        <w:t>.</w:t>
      </w:r>
      <w:r w:rsidR="00A76361" w:rsidRPr="005C2179">
        <w:rPr>
          <w:rStyle w:val="FootnoteReference"/>
          <w:color w:val="000000"/>
          <w:kern w:val="2"/>
          <w:sz w:val="20"/>
          <w:shd w:val="clear" w:color="auto" w:fill="FFFFFF"/>
        </w:rPr>
        <w:footnoteReference w:id="114"/>
      </w:r>
      <w:r w:rsidR="005A0DB1" w:rsidRPr="005C2179">
        <w:rPr>
          <w:color w:val="000000"/>
          <w:kern w:val="2"/>
          <w:sz w:val="20"/>
          <w:shd w:val="clear" w:color="auto" w:fill="FFFFFF"/>
        </w:rPr>
        <w:t xml:space="preserve"> In this conception of elections, “parties and third parties are</w:t>
      </w:r>
      <w:r w:rsidR="0068591A" w:rsidRPr="005C2179">
        <w:rPr>
          <w:color w:val="000000"/>
          <w:kern w:val="2"/>
          <w:sz w:val="20"/>
          <w:shd w:val="clear" w:color="auto" w:fill="FFFFFF"/>
        </w:rPr>
        <w:t xml:space="preserve"> on an equal footing” and third </w:t>
      </w:r>
      <w:r w:rsidR="005A0DB1" w:rsidRPr="005C2179">
        <w:rPr>
          <w:color w:val="000000"/>
          <w:kern w:val="2"/>
          <w:sz w:val="20"/>
          <w:shd w:val="clear" w:color="auto" w:fill="FFFFFF"/>
        </w:rPr>
        <w:t>party “voices are seen to be in the interests of either open deliberation or competitive pluralism.”</w:t>
      </w:r>
      <w:r w:rsidR="005A0DB1" w:rsidRPr="005C2179">
        <w:rPr>
          <w:rStyle w:val="FootnoteReference"/>
          <w:color w:val="000000"/>
          <w:kern w:val="2"/>
          <w:sz w:val="20"/>
          <w:shd w:val="clear" w:color="auto" w:fill="FFFFFF"/>
        </w:rPr>
        <w:footnoteReference w:id="115"/>
      </w:r>
      <w:r w:rsidR="005A0DB1" w:rsidRPr="005C2179">
        <w:rPr>
          <w:color w:val="000000"/>
          <w:kern w:val="2"/>
          <w:sz w:val="20"/>
          <w:shd w:val="clear" w:color="auto" w:fill="FFFFFF"/>
        </w:rPr>
        <w:t xml:space="preserve"> </w:t>
      </w:r>
    </w:p>
    <w:p w14:paraId="6F000C13" w14:textId="77777777" w:rsidR="001C3BEF" w:rsidRPr="005C2179" w:rsidRDefault="00A36C5D" w:rsidP="00330F4B">
      <w:pPr>
        <w:rPr>
          <w:kern w:val="2"/>
          <w:sz w:val="20"/>
        </w:rPr>
      </w:pPr>
      <w:r w:rsidRPr="005C2179">
        <w:rPr>
          <w:kern w:val="2"/>
          <w:sz w:val="20"/>
        </w:rPr>
        <w:t>On the</w:t>
      </w:r>
      <w:r w:rsidR="004F2C41" w:rsidRPr="005C2179">
        <w:rPr>
          <w:kern w:val="2"/>
          <w:sz w:val="20"/>
        </w:rPr>
        <w:t xml:space="preserve"> other hand, </w:t>
      </w:r>
      <w:r w:rsidR="00C901FB" w:rsidRPr="005C2179">
        <w:rPr>
          <w:kern w:val="2"/>
          <w:sz w:val="20"/>
        </w:rPr>
        <w:t xml:space="preserve">many commentators </w:t>
      </w:r>
      <w:r w:rsidR="00A014DD" w:rsidRPr="005C2179">
        <w:rPr>
          <w:kern w:val="2"/>
          <w:sz w:val="20"/>
        </w:rPr>
        <w:t>argue</w:t>
      </w:r>
      <w:r w:rsidR="00C901FB" w:rsidRPr="005C2179">
        <w:rPr>
          <w:kern w:val="2"/>
          <w:sz w:val="20"/>
        </w:rPr>
        <w:t xml:space="preserve"> that political parties and candidates should be the primary players in elections, </w:t>
      </w:r>
      <w:r w:rsidR="00C67CC4" w:rsidRPr="005C2179">
        <w:rPr>
          <w:kern w:val="2"/>
          <w:sz w:val="20"/>
        </w:rPr>
        <w:t>rather than unaccountable third-</w:t>
      </w:r>
      <w:r w:rsidR="00C901FB" w:rsidRPr="005C2179">
        <w:rPr>
          <w:kern w:val="2"/>
          <w:sz w:val="20"/>
        </w:rPr>
        <w:t>party groups with narrow interests.</w:t>
      </w:r>
      <w:r w:rsidR="00C901FB" w:rsidRPr="005C2179">
        <w:rPr>
          <w:rStyle w:val="FootnoteReference"/>
          <w:kern w:val="2"/>
          <w:sz w:val="20"/>
        </w:rPr>
        <w:footnoteReference w:id="116"/>
      </w:r>
      <w:r w:rsidR="00C901FB" w:rsidRPr="005C2179">
        <w:rPr>
          <w:kern w:val="2"/>
          <w:sz w:val="20"/>
        </w:rPr>
        <w:t xml:space="preserve"> </w:t>
      </w:r>
      <w:r w:rsidR="001C3BEF" w:rsidRPr="005C2179">
        <w:rPr>
          <w:kern w:val="2"/>
          <w:sz w:val="20"/>
        </w:rPr>
        <w:t>The</w:t>
      </w:r>
      <w:r w:rsidR="00C901FB" w:rsidRPr="005C2179">
        <w:rPr>
          <w:kern w:val="2"/>
          <w:sz w:val="20"/>
        </w:rPr>
        <w:t xml:space="preserve"> Canadian</w:t>
      </w:r>
      <w:r w:rsidR="001C3BEF" w:rsidRPr="005C2179">
        <w:rPr>
          <w:i/>
          <w:kern w:val="2"/>
          <w:sz w:val="20"/>
        </w:rPr>
        <w:t xml:space="preserve"> </w:t>
      </w:r>
      <w:r w:rsidR="001C3BEF" w:rsidRPr="005C2179">
        <w:rPr>
          <w:kern w:val="2"/>
          <w:sz w:val="20"/>
        </w:rPr>
        <w:t>Lortie Commission</w:t>
      </w:r>
      <w:r w:rsidR="001C3BEF" w:rsidRPr="005C2179">
        <w:rPr>
          <w:i/>
          <w:kern w:val="2"/>
          <w:sz w:val="20"/>
        </w:rPr>
        <w:t xml:space="preserve"> </w:t>
      </w:r>
      <w:r w:rsidR="00060181" w:rsidRPr="005C2179">
        <w:rPr>
          <w:kern w:val="2"/>
          <w:sz w:val="20"/>
        </w:rPr>
        <w:t>summarized</w:t>
      </w:r>
      <w:r w:rsidR="001C3BEF" w:rsidRPr="005C2179">
        <w:rPr>
          <w:kern w:val="2"/>
          <w:sz w:val="20"/>
        </w:rPr>
        <w:t xml:space="preserve"> this argument: </w:t>
      </w:r>
    </w:p>
    <w:p w14:paraId="6FDC1675" w14:textId="59C8AEE8" w:rsidR="001C3BEF" w:rsidRPr="005C2179" w:rsidRDefault="00334859" w:rsidP="009F05FA">
      <w:pPr>
        <w:pStyle w:val="BlockQuote"/>
        <w:rPr>
          <w:kern w:val="2"/>
          <w:sz w:val="20"/>
          <w:shd w:val="clear" w:color="auto" w:fill="FFFFFF"/>
        </w:rPr>
      </w:pPr>
      <w:r w:rsidRPr="00CF372C">
        <w:rPr>
          <w:spacing w:val="-1"/>
          <w:kern w:val="2"/>
          <w:sz w:val="20"/>
          <w:shd w:val="clear" w:color="auto" w:fill="FFFFFF"/>
        </w:rPr>
        <w:t>P</w:t>
      </w:r>
      <w:r w:rsidR="001C3BEF" w:rsidRPr="00CF372C">
        <w:rPr>
          <w:spacing w:val="-1"/>
          <w:kern w:val="2"/>
          <w:sz w:val="20"/>
          <w:shd w:val="clear" w:color="auto" w:fill="FFFFFF"/>
        </w:rPr>
        <w:t>arties remain the primary political organizations for recruiting and selecting candidates for election to the House of Commons, for organizing the processes of responsible parliamentary government, and for formulating policy that accommodates and reconciles competing regional and socio-economic interests.</w:t>
      </w:r>
      <w:r w:rsidR="001C3BEF" w:rsidRPr="005C2179">
        <w:rPr>
          <w:kern w:val="2"/>
          <w:sz w:val="20"/>
          <w:shd w:val="clear" w:color="auto" w:fill="FFFFFF"/>
        </w:rPr>
        <w:t xml:space="preserve"> As legitimate as interest groups are in a free and democratic society, by their nature they cannot perform these crucial functions....</w:t>
      </w:r>
      <w:r w:rsidR="001C3BEF" w:rsidRPr="005C2179">
        <w:rPr>
          <w:rStyle w:val="apple-converted-space"/>
          <w:color w:val="000000"/>
          <w:kern w:val="2"/>
          <w:sz w:val="20"/>
          <w:shd w:val="clear" w:color="auto" w:fill="FFFFFF"/>
        </w:rPr>
        <w:t> </w:t>
      </w:r>
      <w:r w:rsidR="001C3BEF" w:rsidRPr="005C2179">
        <w:rPr>
          <w:kern w:val="2"/>
          <w:sz w:val="20"/>
          <w:shd w:val="clear" w:color="auto" w:fill="FFFFFF"/>
        </w:rPr>
        <w:t>It is therefore imperative that electoral reform address the fundamental objective of strengthening political parties as primary political organizations.</w:t>
      </w:r>
      <w:r w:rsidR="00FD5F1C" w:rsidRPr="005C2179">
        <w:rPr>
          <w:rStyle w:val="FootnoteReference"/>
          <w:kern w:val="2"/>
          <w:sz w:val="20"/>
        </w:rPr>
        <w:footnoteReference w:id="117"/>
      </w:r>
    </w:p>
    <w:p w14:paraId="69567386" w14:textId="77777777" w:rsidR="00A014DD" w:rsidRPr="005C2179" w:rsidRDefault="000076E6" w:rsidP="00330F4B">
      <w:pPr>
        <w:rPr>
          <w:kern w:val="2"/>
          <w:sz w:val="20"/>
        </w:rPr>
      </w:pPr>
      <w:r w:rsidRPr="005C2179">
        <w:rPr>
          <w:kern w:val="2"/>
          <w:sz w:val="20"/>
        </w:rPr>
        <w:t>In addition, s</w:t>
      </w:r>
      <w:r w:rsidR="000B6361" w:rsidRPr="005C2179">
        <w:rPr>
          <w:kern w:val="2"/>
          <w:sz w:val="20"/>
        </w:rPr>
        <w:t xml:space="preserve">ince third-party organizations, such as corporations, </w:t>
      </w:r>
      <w:r w:rsidR="00A014DD" w:rsidRPr="005C2179">
        <w:rPr>
          <w:kern w:val="2"/>
          <w:sz w:val="20"/>
        </w:rPr>
        <w:t xml:space="preserve">do not have the right to vote, some </w:t>
      </w:r>
      <w:r w:rsidRPr="005C2179">
        <w:rPr>
          <w:kern w:val="2"/>
          <w:sz w:val="20"/>
        </w:rPr>
        <w:t>argue</w:t>
      </w:r>
      <w:r w:rsidR="00A014DD" w:rsidRPr="005C2179">
        <w:rPr>
          <w:kern w:val="2"/>
          <w:sz w:val="20"/>
        </w:rPr>
        <w:t xml:space="preserve"> they should be barred “from exercising an undue voice within the electoral process</w:t>
      </w:r>
      <w:r w:rsidR="00AB573F" w:rsidRPr="005C2179">
        <w:rPr>
          <w:kern w:val="2"/>
          <w:sz w:val="20"/>
        </w:rPr>
        <w:t>.</w:t>
      </w:r>
      <w:r w:rsidR="00A014DD" w:rsidRPr="005C2179">
        <w:rPr>
          <w:kern w:val="2"/>
          <w:sz w:val="20"/>
        </w:rPr>
        <w:t>”</w:t>
      </w:r>
      <w:r w:rsidR="00A014DD" w:rsidRPr="005C2179">
        <w:rPr>
          <w:rStyle w:val="FootnoteReference"/>
          <w:kern w:val="2"/>
          <w:sz w:val="20"/>
        </w:rPr>
        <w:footnoteReference w:id="118"/>
      </w:r>
      <w:r w:rsidR="00A014DD" w:rsidRPr="005C2179">
        <w:rPr>
          <w:kern w:val="2"/>
          <w:sz w:val="20"/>
        </w:rPr>
        <w:t xml:space="preserve"> </w:t>
      </w:r>
    </w:p>
    <w:p w14:paraId="349AC09C" w14:textId="77777777" w:rsidR="00451064" w:rsidRPr="005C2179" w:rsidRDefault="00451064" w:rsidP="00330F4B">
      <w:pPr>
        <w:rPr>
          <w:kern w:val="2"/>
          <w:sz w:val="20"/>
        </w:rPr>
      </w:pPr>
      <w:r w:rsidRPr="005C2179">
        <w:rPr>
          <w:kern w:val="2"/>
          <w:sz w:val="20"/>
        </w:rPr>
        <w:t xml:space="preserve">In the US, </w:t>
      </w:r>
      <w:r w:rsidR="00423FAB" w:rsidRPr="005C2179">
        <w:rPr>
          <w:kern w:val="2"/>
          <w:sz w:val="20"/>
        </w:rPr>
        <w:t>the growth of</w:t>
      </w:r>
      <w:r w:rsidRPr="005C2179">
        <w:rPr>
          <w:kern w:val="2"/>
          <w:sz w:val="20"/>
        </w:rPr>
        <w:t xml:space="preserve"> outside spending has deteriorated the centrality of candidates and political parties in campaigns. Dwyre argues that this deterioration is “detrimental to the overall health of American representative democracy.”</w:t>
      </w:r>
      <w:r w:rsidRPr="005C2179">
        <w:rPr>
          <w:rStyle w:val="FootnoteReference"/>
          <w:kern w:val="2"/>
          <w:sz w:val="20"/>
        </w:rPr>
        <w:footnoteReference w:id="119"/>
      </w:r>
      <w:r w:rsidRPr="005C2179">
        <w:rPr>
          <w:kern w:val="2"/>
          <w:sz w:val="20"/>
        </w:rPr>
        <w:t xml:space="preserve"> </w:t>
      </w:r>
      <w:r w:rsidR="00DF336E" w:rsidRPr="005C2179">
        <w:rPr>
          <w:kern w:val="2"/>
          <w:sz w:val="20"/>
        </w:rPr>
        <w:t>P</w:t>
      </w:r>
      <w:r w:rsidR="00654070" w:rsidRPr="005C2179">
        <w:rPr>
          <w:kern w:val="2"/>
          <w:sz w:val="20"/>
        </w:rPr>
        <w:t>arties</w:t>
      </w:r>
      <w:r w:rsidRPr="005C2179">
        <w:rPr>
          <w:kern w:val="2"/>
          <w:sz w:val="20"/>
        </w:rPr>
        <w:t xml:space="preserve"> “link voters to lawmakers” and provide an “accountability mechanism</w:t>
      </w:r>
      <w:r w:rsidR="00AB573F" w:rsidRPr="005C2179">
        <w:rPr>
          <w:kern w:val="2"/>
          <w:sz w:val="20"/>
        </w:rPr>
        <w:t>.</w:t>
      </w:r>
      <w:r w:rsidRPr="005C2179">
        <w:rPr>
          <w:kern w:val="2"/>
          <w:sz w:val="20"/>
        </w:rPr>
        <w:t>”</w:t>
      </w:r>
      <w:r w:rsidR="00DF336E" w:rsidRPr="005C2179">
        <w:rPr>
          <w:rStyle w:val="FootnoteReference"/>
          <w:kern w:val="2"/>
          <w:sz w:val="20"/>
        </w:rPr>
        <w:footnoteReference w:id="120"/>
      </w:r>
      <w:r w:rsidR="00DF336E" w:rsidRPr="005C2179">
        <w:rPr>
          <w:kern w:val="2"/>
          <w:sz w:val="20"/>
        </w:rPr>
        <w:t xml:space="preserve"> They also give voters an idea of what to expect from candidates.</w:t>
      </w:r>
      <w:r w:rsidR="00DF336E" w:rsidRPr="005C2179">
        <w:rPr>
          <w:rStyle w:val="FootnoteReference"/>
          <w:kern w:val="2"/>
          <w:sz w:val="20"/>
        </w:rPr>
        <w:footnoteReference w:id="121"/>
      </w:r>
      <w:r w:rsidR="00DF336E" w:rsidRPr="005C2179">
        <w:rPr>
          <w:kern w:val="2"/>
          <w:sz w:val="20"/>
        </w:rPr>
        <w:t xml:space="preserve"> However,</w:t>
      </w:r>
      <w:r w:rsidR="00E02D95" w:rsidRPr="005C2179">
        <w:rPr>
          <w:kern w:val="2"/>
          <w:sz w:val="20"/>
        </w:rPr>
        <w:t xml:space="preserve"> these functions are undermined</w:t>
      </w:r>
      <w:r w:rsidR="00654070" w:rsidRPr="005C2179">
        <w:rPr>
          <w:kern w:val="2"/>
          <w:sz w:val="20"/>
        </w:rPr>
        <w:t xml:space="preserve"> by the shrinking role of parties in electoral debate.</w:t>
      </w:r>
      <w:r w:rsidR="00654070" w:rsidRPr="005C2179">
        <w:rPr>
          <w:rStyle w:val="FootnoteReference"/>
          <w:kern w:val="2"/>
          <w:sz w:val="20"/>
        </w:rPr>
        <w:footnoteReference w:id="122"/>
      </w:r>
      <w:r w:rsidRPr="005C2179">
        <w:rPr>
          <w:kern w:val="2"/>
          <w:sz w:val="20"/>
        </w:rPr>
        <w:t xml:space="preserve"> </w:t>
      </w:r>
      <w:r w:rsidR="00654070" w:rsidRPr="005C2179">
        <w:rPr>
          <w:kern w:val="2"/>
          <w:sz w:val="20"/>
        </w:rPr>
        <w:t>In Dwyre’s view, t</w:t>
      </w:r>
      <w:r w:rsidRPr="005C2179">
        <w:rPr>
          <w:kern w:val="2"/>
          <w:sz w:val="20"/>
        </w:rPr>
        <w:t>he dimini</w:t>
      </w:r>
      <w:r w:rsidR="001C4588" w:rsidRPr="005C2179">
        <w:rPr>
          <w:kern w:val="2"/>
          <w:sz w:val="20"/>
        </w:rPr>
        <w:t>shing influence of parties will lead</w:t>
      </w:r>
      <w:r w:rsidRPr="005C2179">
        <w:rPr>
          <w:kern w:val="2"/>
          <w:sz w:val="20"/>
        </w:rPr>
        <w:t xml:space="preserve"> to a “democratic deficit” and a disenchanted electorate.</w:t>
      </w:r>
      <w:r w:rsidRPr="005C2179">
        <w:rPr>
          <w:rStyle w:val="FootnoteReference"/>
          <w:kern w:val="2"/>
          <w:sz w:val="20"/>
        </w:rPr>
        <w:footnoteReference w:id="123"/>
      </w:r>
      <w:r w:rsidRPr="005C2179">
        <w:rPr>
          <w:kern w:val="2"/>
          <w:sz w:val="20"/>
        </w:rPr>
        <w:t xml:space="preserve"> </w:t>
      </w:r>
    </w:p>
    <w:p w14:paraId="2FDBEDD9" w14:textId="0D989EFB" w:rsidR="009B7599" w:rsidRPr="005C2179" w:rsidRDefault="00403D59" w:rsidP="00BF63B6">
      <w:pPr>
        <w:pStyle w:val="Heading2"/>
        <w:rPr>
          <w:kern w:val="2"/>
          <w:sz w:val="24"/>
        </w:rPr>
      </w:pPr>
      <w:r w:rsidRPr="005C2179">
        <w:rPr>
          <w:kern w:val="2"/>
          <w:sz w:val="24"/>
        </w:rPr>
        <w:t xml:space="preserve">Regulating Third-Party Campaigners to Reinforce </w:t>
      </w:r>
      <w:r w:rsidR="00227DA5" w:rsidRPr="005C2179">
        <w:rPr>
          <w:kern w:val="2"/>
          <w:sz w:val="24"/>
        </w:rPr>
        <w:t>other Campaign Finance Controls</w:t>
      </w:r>
    </w:p>
    <w:p w14:paraId="23407B1F" w14:textId="77777777" w:rsidR="00796428" w:rsidRPr="005C2179" w:rsidRDefault="00F71604" w:rsidP="00330F4B">
      <w:pPr>
        <w:rPr>
          <w:kern w:val="2"/>
          <w:sz w:val="20"/>
        </w:rPr>
      </w:pPr>
      <w:r w:rsidRPr="005C2179">
        <w:rPr>
          <w:kern w:val="2"/>
          <w:sz w:val="20"/>
        </w:rPr>
        <w:t xml:space="preserve">Third-party campaign regulations </w:t>
      </w:r>
      <w:r w:rsidR="00227DA5" w:rsidRPr="005C2179">
        <w:rPr>
          <w:kern w:val="2"/>
          <w:sz w:val="20"/>
        </w:rPr>
        <w:t xml:space="preserve">may </w:t>
      </w:r>
      <w:r w:rsidR="0083490F" w:rsidRPr="005C2179">
        <w:rPr>
          <w:kern w:val="2"/>
          <w:sz w:val="20"/>
        </w:rPr>
        <w:t>help</w:t>
      </w:r>
      <w:r w:rsidR="00227DA5" w:rsidRPr="005C2179">
        <w:rPr>
          <w:kern w:val="2"/>
          <w:sz w:val="20"/>
        </w:rPr>
        <w:t xml:space="preserve"> ensure the effectiveness of</w:t>
      </w:r>
      <w:r w:rsidRPr="005C2179">
        <w:rPr>
          <w:kern w:val="2"/>
          <w:sz w:val="20"/>
        </w:rPr>
        <w:t xml:space="preserve"> </w:t>
      </w:r>
      <w:r w:rsidR="00227DA5" w:rsidRPr="005C2179">
        <w:rPr>
          <w:kern w:val="2"/>
          <w:sz w:val="20"/>
        </w:rPr>
        <w:t>regulations governing</w:t>
      </w:r>
      <w:r w:rsidRPr="005C2179">
        <w:rPr>
          <w:kern w:val="2"/>
          <w:sz w:val="20"/>
        </w:rPr>
        <w:t xml:space="preserve"> parties and candidates</w:t>
      </w:r>
      <w:r w:rsidR="00A74403" w:rsidRPr="005C2179">
        <w:rPr>
          <w:kern w:val="2"/>
          <w:sz w:val="20"/>
        </w:rPr>
        <w:t>. If</w:t>
      </w:r>
      <w:r w:rsidR="008445AE" w:rsidRPr="005C2179">
        <w:rPr>
          <w:kern w:val="2"/>
          <w:sz w:val="20"/>
        </w:rPr>
        <w:t xml:space="preserve"> party and candidate spending is </w:t>
      </w:r>
      <w:r w:rsidR="00673756" w:rsidRPr="005C2179">
        <w:rPr>
          <w:kern w:val="2"/>
          <w:sz w:val="20"/>
        </w:rPr>
        <w:t>limited</w:t>
      </w:r>
      <w:r w:rsidRPr="005C2179">
        <w:rPr>
          <w:kern w:val="2"/>
          <w:sz w:val="20"/>
        </w:rPr>
        <w:t xml:space="preserve"> withou</w:t>
      </w:r>
      <w:r w:rsidR="00A74403" w:rsidRPr="005C2179">
        <w:rPr>
          <w:kern w:val="2"/>
          <w:sz w:val="20"/>
        </w:rPr>
        <w:t>t corresponding limits on third-</w:t>
      </w:r>
      <w:r w:rsidRPr="005C2179">
        <w:rPr>
          <w:kern w:val="2"/>
          <w:sz w:val="20"/>
        </w:rPr>
        <w:t>party spending</w:t>
      </w:r>
      <w:r w:rsidR="008445AE" w:rsidRPr="005C2179">
        <w:rPr>
          <w:kern w:val="2"/>
          <w:sz w:val="20"/>
        </w:rPr>
        <w:t>, parties</w:t>
      </w:r>
      <w:r w:rsidR="00454F04" w:rsidRPr="005C2179">
        <w:rPr>
          <w:kern w:val="2"/>
          <w:sz w:val="20"/>
        </w:rPr>
        <w:t xml:space="preserve"> and candidates</w:t>
      </w:r>
      <w:r w:rsidR="008445AE" w:rsidRPr="005C2179">
        <w:rPr>
          <w:kern w:val="2"/>
          <w:sz w:val="20"/>
        </w:rPr>
        <w:t xml:space="preserve"> may be forced to use their limited spending capacity </w:t>
      </w:r>
      <w:r w:rsidRPr="005C2179">
        <w:rPr>
          <w:kern w:val="2"/>
          <w:sz w:val="20"/>
        </w:rPr>
        <w:t>to</w:t>
      </w:r>
      <w:r w:rsidR="008445AE" w:rsidRPr="005C2179">
        <w:rPr>
          <w:kern w:val="2"/>
          <w:sz w:val="20"/>
        </w:rPr>
        <w:t xml:space="preserve"> “</w:t>
      </w:r>
      <w:r w:rsidRPr="005C2179">
        <w:rPr>
          <w:kern w:val="2"/>
          <w:sz w:val="20"/>
        </w:rPr>
        <w:t>fend</w:t>
      </w:r>
      <w:r w:rsidR="00673756" w:rsidRPr="005C2179">
        <w:rPr>
          <w:kern w:val="2"/>
          <w:sz w:val="20"/>
        </w:rPr>
        <w:t xml:space="preserve"> off attack</w:t>
      </w:r>
      <w:r w:rsidR="008445AE" w:rsidRPr="005C2179">
        <w:rPr>
          <w:kern w:val="2"/>
          <w:sz w:val="20"/>
        </w:rPr>
        <w:t>s”</w:t>
      </w:r>
      <w:r w:rsidRPr="005C2179">
        <w:rPr>
          <w:kern w:val="2"/>
          <w:sz w:val="20"/>
        </w:rPr>
        <w:t xml:space="preserve"> by third parties</w:t>
      </w:r>
      <w:r w:rsidR="008445AE" w:rsidRPr="005C2179">
        <w:rPr>
          <w:kern w:val="2"/>
          <w:sz w:val="20"/>
        </w:rPr>
        <w:t xml:space="preserve"> rather than advertising their policy positions.</w:t>
      </w:r>
      <w:r w:rsidR="008445AE" w:rsidRPr="005C2179">
        <w:rPr>
          <w:rStyle w:val="FootnoteReference"/>
          <w:kern w:val="2"/>
          <w:sz w:val="20"/>
        </w:rPr>
        <w:footnoteReference w:id="124"/>
      </w:r>
      <w:r w:rsidR="008445AE" w:rsidRPr="005C2179">
        <w:rPr>
          <w:kern w:val="2"/>
          <w:sz w:val="20"/>
        </w:rPr>
        <w:t xml:space="preserve"> </w:t>
      </w:r>
      <w:r w:rsidR="00A74403" w:rsidRPr="005C2179">
        <w:rPr>
          <w:kern w:val="2"/>
          <w:sz w:val="20"/>
        </w:rPr>
        <w:t>The regulation of third parties</w:t>
      </w:r>
      <w:r w:rsidRPr="005C2179">
        <w:rPr>
          <w:kern w:val="2"/>
          <w:sz w:val="20"/>
        </w:rPr>
        <w:t xml:space="preserve"> </w:t>
      </w:r>
      <w:r w:rsidR="00A74403" w:rsidRPr="005C2179">
        <w:rPr>
          <w:kern w:val="2"/>
          <w:sz w:val="20"/>
        </w:rPr>
        <w:t>also prevents</w:t>
      </w:r>
      <w:r w:rsidR="00E83F16" w:rsidRPr="005C2179">
        <w:rPr>
          <w:kern w:val="2"/>
          <w:sz w:val="20"/>
        </w:rPr>
        <w:t xml:space="preserve"> </w:t>
      </w:r>
      <w:r w:rsidR="00895C75" w:rsidRPr="005C2179">
        <w:rPr>
          <w:kern w:val="2"/>
          <w:sz w:val="20"/>
        </w:rPr>
        <w:t xml:space="preserve">circumvention of </w:t>
      </w:r>
      <w:r w:rsidR="00E83F16" w:rsidRPr="005C2179">
        <w:rPr>
          <w:kern w:val="2"/>
          <w:sz w:val="20"/>
        </w:rPr>
        <w:t xml:space="preserve">regulations </w:t>
      </w:r>
      <w:r w:rsidR="00A74403" w:rsidRPr="005C2179">
        <w:rPr>
          <w:kern w:val="2"/>
          <w:sz w:val="20"/>
        </w:rPr>
        <w:t>governing</w:t>
      </w:r>
      <w:r w:rsidR="00E83F16" w:rsidRPr="005C2179">
        <w:rPr>
          <w:kern w:val="2"/>
          <w:sz w:val="20"/>
        </w:rPr>
        <w:t xml:space="preserve"> spending, contributions, and transparency </w:t>
      </w:r>
      <w:r w:rsidR="00480DB9" w:rsidRPr="005C2179">
        <w:rPr>
          <w:kern w:val="2"/>
          <w:sz w:val="20"/>
        </w:rPr>
        <w:t>for</w:t>
      </w:r>
      <w:r w:rsidR="00895C75" w:rsidRPr="005C2179">
        <w:rPr>
          <w:kern w:val="2"/>
          <w:sz w:val="20"/>
        </w:rPr>
        <w:t xml:space="preserve"> </w:t>
      </w:r>
      <w:r w:rsidR="00E83F16" w:rsidRPr="005C2179">
        <w:rPr>
          <w:kern w:val="2"/>
          <w:sz w:val="20"/>
        </w:rPr>
        <w:t>candidates and political parties</w:t>
      </w:r>
      <w:r w:rsidR="00895C75" w:rsidRPr="005C2179">
        <w:rPr>
          <w:kern w:val="2"/>
          <w:sz w:val="20"/>
        </w:rPr>
        <w:t>.</w:t>
      </w:r>
      <w:r w:rsidR="008445AE" w:rsidRPr="005C2179">
        <w:rPr>
          <w:kern w:val="2"/>
          <w:sz w:val="20"/>
        </w:rPr>
        <w:t xml:space="preserve"> </w:t>
      </w:r>
      <w:r w:rsidR="00A74403" w:rsidRPr="005C2179">
        <w:rPr>
          <w:kern w:val="2"/>
          <w:sz w:val="20"/>
        </w:rPr>
        <w:t>A failure to regulate third parties could produce</w:t>
      </w:r>
      <w:r w:rsidR="008445AE" w:rsidRPr="005C2179">
        <w:rPr>
          <w:kern w:val="2"/>
          <w:sz w:val="20"/>
        </w:rPr>
        <w:t xml:space="preserve"> </w:t>
      </w:r>
      <w:r w:rsidR="00454F04" w:rsidRPr="005C2179">
        <w:rPr>
          <w:kern w:val="2"/>
          <w:sz w:val="20"/>
        </w:rPr>
        <w:t>a</w:t>
      </w:r>
      <w:r w:rsidR="008445AE" w:rsidRPr="005C2179">
        <w:rPr>
          <w:kern w:val="2"/>
          <w:sz w:val="20"/>
        </w:rPr>
        <w:t xml:space="preserve"> </w:t>
      </w:r>
      <w:r w:rsidR="00454F04" w:rsidRPr="005C2179">
        <w:rPr>
          <w:kern w:val="2"/>
          <w:sz w:val="20"/>
        </w:rPr>
        <w:t>“waterbed effect”</w:t>
      </w:r>
      <w:r w:rsidR="008445AE" w:rsidRPr="005C2179">
        <w:rPr>
          <w:kern w:val="2"/>
          <w:sz w:val="20"/>
        </w:rPr>
        <w:t xml:space="preserve"> </w:t>
      </w:r>
      <w:r w:rsidRPr="005C2179">
        <w:rPr>
          <w:kern w:val="2"/>
          <w:sz w:val="20"/>
        </w:rPr>
        <w:t xml:space="preserve">in which </w:t>
      </w:r>
      <w:r w:rsidR="00454F04" w:rsidRPr="005C2179">
        <w:rPr>
          <w:kern w:val="2"/>
          <w:sz w:val="20"/>
        </w:rPr>
        <w:t>front groups are</w:t>
      </w:r>
      <w:r w:rsidR="008445AE" w:rsidRPr="005C2179">
        <w:rPr>
          <w:kern w:val="2"/>
          <w:sz w:val="20"/>
        </w:rPr>
        <w:t xml:space="preserve"> “used to channel spending for parties and candidates</w:t>
      </w:r>
      <w:r w:rsidR="008567A0" w:rsidRPr="005C2179">
        <w:rPr>
          <w:kern w:val="2"/>
          <w:sz w:val="20"/>
        </w:rPr>
        <w:t>.</w:t>
      </w:r>
      <w:r w:rsidR="008445AE" w:rsidRPr="005C2179">
        <w:rPr>
          <w:kern w:val="2"/>
          <w:sz w:val="20"/>
        </w:rPr>
        <w:t>”</w:t>
      </w:r>
      <w:r w:rsidR="008445AE" w:rsidRPr="005C2179">
        <w:rPr>
          <w:rStyle w:val="FootnoteReference"/>
          <w:kern w:val="2"/>
          <w:sz w:val="20"/>
        </w:rPr>
        <w:footnoteReference w:id="125"/>
      </w:r>
      <w:r w:rsidR="00895C75" w:rsidRPr="005C2179">
        <w:rPr>
          <w:kern w:val="2"/>
          <w:sz w:val="20"/>
        </w:rPr>
        <w:t xml:space="preserve"> </w:t>
      </w:r>
      <w:r w:rsidR="00632B41" w:rsidRPr="005C2179">
        <w:rPr>
          <w:kern w:val="2"/>
          <w:sz w:val="20"/>
        </w:rPr>
        <w:t xml:space="preserve">Gauja and Orr add that third-party </w:t>
      </w:r>
      <w:r w:rsidR="008612DE" w:rsidRPr="005C2179">
        <w:rPr>
          <w:kern w:val="2"/>
          <w:sz w:val="20"/>
        </w:rPr>
        <w:t xml:space="preserve">regulations must </w:t>
      </w:r>
      <w:r w:rsidR="00632B41" w:rsidRPr="005C2179">
        <w:rPr>
          <w:kern w:val="2"/>
          <w:sz w:val="20"/>
        </w:rPr>
        <w:t xml:space="preserve">prevent organizations from </w:t>
      </w:r>
      <w:r w:rsidR="008603FB" w:rsidRPr="005C2179">
        <w:rPr>
          <w:kern w:val="2"/>
          <w:sz w:val="20"/>
        </w:rPr>
        <w:t>proliferating to circumvent spending caps</w:t>
      </w:r>
      <w:r w:rsidR="00A74403" w:rsidRPr="005C2179">
        <w:rPr>
          <w:kern w:val="2"/>
          <w:sz w:val="20"/>
        </w:rPr>
        <w:t>.</w:t>
      </w:r>
      <w:r w:rsidR="007C4F12" w:rsidRPr="005C2179">
        <w:rPr>
          <w:rStyle w:val="FootnoteReference"/>
          <w:kern w:val="2"/>
          <w:sz w:val="20"/>
        </w:rPr>
        <w:footnoteReference w:id="126"/>
      </w:r>
      <w:r w:rsidR="00A74403" w:rsidRPr="005C2179">
        <w:rPr>
          <w:kern w:val="2"/>
          <w:sz w:val="20"/>
        </w:rPr>
        <w:t xml:space="preserve"> </w:t>
      </w:r>
    </w:p>
    <w:p w14:paraId="7BC00D34" w14:textId="3317A906" w:rsidR="00FD10EE" w:rsidRPr="005C2179" w:rsidRDefault="00424C81" w:rsidP="00BF63B6">
      <w:pPr>
        <w:pStyle w:val="Heading2"/>
        <w:rPr>
          <w:kern w:val="2"/>
          <w:sz w:val="24"/>
        </w:rPr>
      </w:pPr>
      <w:r w:rsidRPr="005C2179">
        <w:rPr>
          <w:kern w:val="2"/>
          <w:sz w:val="24"/>
        </w:rPr>
        <w:t>The Regulation of Third Parties</w:t>
      </w:r>
      <w:r w:rsidR="009B3E76" w:rsidRPr="005C2179">
        <w:rPr>
          <w:kern w:val="2"/>
          <w:sz w:val="24"/>
        </w:rPr>
        <w:t xml:space="preserve"> and Freedom of Speech </w:t>
      </w:r>
    </w:p>
    <w:p w14:paraId="11C785E5" w14:textId="77777777" w:rsidR="00BD2FD0" w:rsidRPr="005C2179" w:rsidRDefault="00424C81" w:rsidP="00330F4B">
      <w:pPr>
        <w:rPr>
          <w:kern w:val="2"/>
          <w:sz w:val="20"/>
        </w:rPr>
      </w:pPr>
      <w:r w:rsidRPr="005C2179">
        <w:rPr>
          <w:kern w:val="2"/>
          <w:sz w:val="20"/>
        </w:rPr>
        <w:t>Third-</w:t>
      </w:r>
      <w:r w:rsidR="00451064" w:rsidRPr="005C2179">
        <w:rPr>
          <w:kern w:val="2"/>
          <w:sz w:val="20"/>
        </w:rPr>
        <w:t xml:space="preserve">party </w:t>
      </w:r>
      <w:r w:rsidR="00F53AD4" w:rsidRPr="005C2179">
        <w:rPr>
          <w:kern w:val="2"/>
          <w:sz w:val="20"/>
        </w:rPr>
        <w:t>spending caps</w:t>
      </w:r>
      <w:r w:rsidR="00C81348" w:rsidRPr="005C2179">
        <w:rPr>
          <w:kern w:val="2"/>
          <w:sz w:val="20"/>
        </w:rPr>
        <w:t xml:space="preserve"> </w:t>
      </w:r>
      <w:r w:rsidR="00A10103" w:rsidRPr="005C2179">
        <w:rPr>
          <w:kern w:val="2"/>
          <w:sz w:val="20"/>
        </w:rPr>
        <w:t xml:space="preserve">raise particularly </w:t>
      </w:r>
      <w:r w:rsidR="00C81348" w:rsidRPr="005C2179">
        <w:rPr>
          <w:kern w:val="2"/>
          <w:sz w:val="20"/>
        </w:rPr>
        <w:t>potent</w:t>
      </w:r>
      <w:r w:rsidR="00451064" w:rsidRPr="005C2179">
        <w:rPr>
          <w:kern w:val="2"/>
          <w:sz w:val="20"/>
        </w:rPr>
        <w:t xml:space="preserve"> freedom of expression</w:t>
      </w:r>
      <w:r w:rsidR="00C81348" w:rsidRPr="005C2179">
        <w:rPr>
          <w:kern w:val="2"/>
          <w:sz w:val="20"/>
        </w:rPr>
        <w:t xml:space="preserve"> concerns</w:t>
      </w:r>
      <w:r w:rsidR="00451064" w:rsidRPr="005C2179">
        <w:rPr>
          <w:kern w:val="2"/>
          <w:sz w:val="20"/>
        </w:rPr>
        <w:t xml:space="preserve">. </w:t>
      </w:r>
      <w:r w:rsidR="00FC684C" w:rsidRPr="005C2179">
        <w:rPr>
          <w:kern w:val="2"/>
          <w:sz w:val="20"/>
        </w:rPr>
        <w:t xml:space="preserve">Their constitutional validity is therefore controversial. </w:t>
      </w:r>
      <w:r w:rsidR="00451064" w:rsidRPr="005C2179">
        <w:rPr>
          <w:kern w:val="2"/>
          <w:sz w:val="20"/>
        </w:rPr>
        <w:t xml:space="preserve">As noted by the </w:t>
      </w:r>
      <w:r w:rsidR="00A10103" w:rsidRPr="005C2179">
        <w:rPr>
          <w:kern w:val="2"/>
          <w:sz w:val="20"/>
        </w:rPr>
        <w:t xml:space="preserve">Alberta </w:t>
      </w:r>
      <w:r w:rsidR="00451064" w:rsidRPr="005C2179">
        <w:rPr>
          <w:kern w:val="2"/>
          <w:sz w:val="20"/>
        </w:rPr>
        <w:t>Court</w:t>
      </w:r>
      <w:r w:rsidR="00A10103" w:rsidRPr="005C2179">
        <w:rPr>
          <w:kern w:val="2"/>
          <w:sz w:val="20"/>
        </w:rPr>
        <w:t xml:space="preserve"> of Appeal</w:t>
      </w:r>
      <w:r w:rsidR="00451064" w:rsidRPr="005C2179">
        <w:rPr>
          <w:kern w:val="2"/>
          <w:sz w:val="20"/>
        </w:rPr>
        <w:t xml:space="preserve"> in </w:t>
      </w:r>
      <w:r w:rsidR="004C46D1" w:rsidRPr="005C2179">
        <w:rPr>
          <w:i/>
          <w:kern w:val="2"/>
          <w:sz w:val="20"/>
        </w:rPr>
        <w:t>Canada (Attorney General) v Somerville</w:t>
      </w:r>
      <w:r w:rsidR="00451064" w:rsidRPr="005C2179">
        <w:rPr>
          <w:i/>
          <w:kern w:val="2"/>
          <w:sz w:val="20"/>
        </w:rPr>
        <w:t xml:space="preserve">, </w:t>
      </w:r>
      <w:r w:rsidR="00451064" w:rsidRPr="005C2179">
        <w:rPr>
          <w:kern w:val="2"/>
          <w:sz w:val="20"/>
        </w:rPr>
        <w:t>limits on third party spending “purport</w:t>
      </w:r>
      <w:r w:rsidR="002F4ABB" w:rsidRPr="005C2179">
        <w:rPr>
          <w:kern w:val="2"/>
          <w:sz w:val="20"/>
        </w:rPr>
        <w:t xml:space="preserve"> </w:t>
      </w:r>
      <w:r w:rsidR="00451064" w:rsidRPr="005C2179">
        <w:rPr>
          <w:kern w:val="2"/>
          <w:sz w:val="20"/>
        </w:rPr>
        <w:t>...</w:t>
      </w:r>
      <w:r w:rsidR="002F4ABB" w:rsidRPr="005C2179">
        <w:rPr>
          <w:kern w:val="2"/>
          <w:sz w:val="20"/>
        </w:rPr>
        <w:t xml:space="preserve"> </w:t>
      </w:r>
      <w:r w:rsidR="00451064" w:rsidRPr="005C2179">
        <w:rPr>
          <w:kern w:val="2"/>
          <w:sz w:val="20"/>
        </w:rPr>
        <w:t>to protect the democratic process, by means of infringing the very rights which are fundamental to a democracy.”</w:t>
      </w:r>
      <w:r w:rsidR="00780FA4" w:rsidRPr="005C2179">
        <w:rPr>
          <w:rStyle w:val="FootnoteReference"/>
          <w:kern w:val="2"/>
          <w:sz w:val="20"/>
        </w:rPr>
        <w:footnoteReference w:id="127"/>
      </w:r>
      <w:r w:rsidR="00A10103" w:rsidRPr="005C2179">
        <w:rPr>
          <w:kern w:val="2"/>
          <w:sz w:val="20"/>
        </w:rPr>
        <w:t xml:space="preserve"> </w:t>
      </w:r>
    </w:p>
    <w:p w14:paraId="2E685B5D" w14:textId="6E76128A" w:rsidR="00451064" w:rsidRPr="005C2179" w:rsidRDefault="00A10103" w:rsidP="00330F4B">
      <w:pPr>
        <w:rPr>
          <w:kern w:val="2"/>
          <w:sz w:val="20"/>
        </w:rPr>
      </w:pPr>
      <w:r w:rsidRPr="005C2179">
        <w:rPr>
          <w:kern w:val="2"/>
          <w:sz w:val="20"/>
        </w:rPr>
        <w:t>Third-party spending limits have survived freedom of expression challenges in Canada and the UK, but i</w:t>
      </w:r>
      <w:r w:rsidR="0088178C" w:rsidRPr="005C2179">
        <w:rPr>
          <w:kern w:val="2"/>
          <w:sz w:val="20"/>
        </w:rPr>
        <w:t xml:space="preserve">n the US, </w:t>
      </w:r>
      <w:r w:rsidR="00041217" w:rsidRPr="005C2179">
        <w:rPr>
          <w:kern w:val="2"/>
          <w:sz w:val="20"/>
        </w:rPr>
        <w:t>cap</w:t>
      </w:r>
      <w:r w:rsidR="0088178C" w:rsidRPr="005C2179">
        <w:rPr>
          <w:kern w:val="2"/>
          <w:sz w:val="20"/>
        </w:rPr>
        <w:t>s on independent third-party expenditures have been struck down as an unjustifiable limit on freedom of speech.</w:t>
      </w:r>
      <w:r w:rsidR="0088178C" w:rsidRPr="005C2179">
        <w:rPr>
          <w:rStyle w:val="FootnoteReference"/>
          <w:kern w:val="2"/>
          <w:sz w:val="20"/>
        </w:rPr>
        <w:footnoteReference w:id="128"/>
      </w:r>
      <w:r w:rsidR="00780FA4" w:rsidRPr="005C2179">
        <w:rPr>
          <w:kern w:val="2"/>
          <w:sz w:val="20"/>
        </w:rPr>
        <w:t xml:space="preserve"> Freedom of expression and third-party spending limits are discussed</w:t>
      </w:r>
      <w:r w:rsidRPr="005C2179">
        <w:rPr>
          <w:kern w:val="2"/>
          <w:sz w:val="20"/>
        </w:rPr>
        <w:t xml:space="preserve"> further</w:t>
      </w:r>
      <w:r w:rsidR="00780FA4" w:rsidRPr="005C2179">
        <w:rPr>
          <w:kern w:val="2"/>
          <w:sz w:val="20"/>
        </w:rPr>
        <w:t xml:space="preserve"> below in the context of the Canadian cases of </w:t>
      </w:r>
      <w:r w:rsidR="004C46D1" w:rsidRPr="005C2179">
        <w:rPr>
          <w:i/>
          <w:kern w:val="2"/>
          <w:sz w:val="20"/>
        </w:rPr>
        <w:t>Canada (Attorney General) v Somerville</w:t>
      </w:r>
      <w:r w:rsidR="00FA756C" w:rsidRPr="005C2179">
        <w:rPr>
          <w:kern w:val="2"/>
          <w:sz w:val="20"/>
        </w:rPr>
        <w:t>,</w:t>
      </w:r>
      <w:r w:rsidR="00FA756C" w:rsidRPr="005C2179">
        <w:rPr>
          <w:rStyle w:val="FootnoteReference"/>
          <w:kern w:val="2"/>
          <w:sz w:val="20"/>
        </w:rPr>
        <w:footnoteReference w:id="129"/>
      </w:r>
      <w:r w:rsidR="00780FA4" w:rsidRPr="005C2179">
        <w:rPr>
          <w:i/>
          <w:kern w:val="2"/>
          <w:sz w:val="20"/>
        </w:rPr>
        <w:t xml:space="preserve"> </w:t>
      </w:r>
      <w:r w:rsidR="0033439B" w:rsidRPr="005C2179">
        <w:rPr>
          <w:i/>
          <w:kern w:val="2"/>
          <w:sz w:val="20"/>
        </w:rPr>
        <w:t>Libman v Quebec (Attorney General)</w:t>
      </w:r>
      <w:r w:rsidR="00FA756C" w:rsidRPr="005C2179">
        <w:rPr>
          <w:kern w:val="2"/>
          <w:sz w:val="20"/>
        </w:rPr>
        <w:t>,</w:t>
      </w:r>
      <w:r w:rsidR="00FA756C" w:rsidRPr="005C2179">
        <w:rPr>
          <w:rStyle w:val="FootnoteReference"/>
          <w:kern w:val="2"/>
          <w:sz w:val="20"/>
        </w:rPr>
        <w:footnoteReference w:id="130"/>
      </w:r>
      <w:r w:rsidR="00780FA4" w:rsidRPr="005C2179">
        <w:rPr>
          <w:i/>
          <w:kern w:val="2"/>
          <w:sz w:val="20"/>
        </w:rPr>
        <w:t xml:space="preserve"> </w:t>
      </w:r>
      <w:r w:rsidR="00780FA4" w:rsidRPr="005C2179">
        <w:rPr>
          <w:kern w:val="2"/>
          <w:sz w:val="20"/>
        </w:rPr>
        <w:t xml:space="preserve">and </w:t>
      </w:r>
      <w:r w:rsidR="00337753" w:rsidRPr="005C2179">
        <w:rPr>
          <w:i/>
          <w:kern w:val="2"/>
          <w:sz w:val="20"/>
        </w:rPr>
        <w:t>Harper v Canada (Attorney General)</w:t>
      </w:r>
      <w:r w:rsidR="00DD20C6" w:rsidRPr="005C2179">
        <w:rPr>
          <w:kern w:val="2"/>
          <w:sz w:val="20"/>
        </w:rPr>
        <w:t>;</w:t>
      </w:r>
      <w:r w:rsidR="00FA756C" w:rsidRPr="005C2179">
        <w:rPr>
          <w:rStyle w:val="FootnoteReference"/>
          <w:kern w:val="2"/>
          <w:sz w:val="20"/>
        </w:rPr>
        <w:footnoteReference w:id="131"/>
      </w:r>
      <w:r w:rsidR="00780FA4" w:rsidRPr="005C2179">
        <w:rPr>
          <w:i/>
          <w:kern w:val="2"/>
          <w:sz w:val="20"/>
        </w:rPr>
        <w:t xml:space="preserve"> </w:t>
      </w:r>
      <w:r w:rsidR="00780FA4" w:rsidRPr="005C2179">
        <w:rPr>
          <w:kern w:val="2"/>
          <w:sz w:val="20"/>
        </w:rPr>
        <w:t xml:space="preserve">the British case of </w:t>
      </w:r>
      <w:r w:rsidR="00FA756C" w:rsidRPr="005C2179">
        <w:rPr>
          <w:i/>
          <w:kern w:val="2"/>
          <w:sz w:val="20"/>
        </w:rPr>
        <w:t>Bowman v the United Kingdom</w:t>
      </w:r>
      <w:r w:rsidR="00DD20C6" w:rsidRPr="005C2179">
        <w:rPr>
          <w:kern w:val="2"/>
          <w:sz w:val="20"/>
        </w:rPr>
        <w:t>;</w:t>
      </w:r>
      <w:r w:rsidR="00FA756C" w:rsidRPr="005C2179">
        <w:rPr>
          <w:rStyle w:val="FootnoteReference"/>
          <w:kern w:val="2"/>
          <w:sz w:val="20"/>
        </w:rPr>
        <w:footnoteReference w:id="132"/>
      </w:r>
      <w:r w:rsidRPr="005C2179">
        <w:rPr>
          <w:kern w:val="2"/>
          <w:sz w:val="20"/>
        </w:rPr>
        <w:t xml:space="preserve"> and the American cases of </w:t>
      </w:r>
      <w:r w:rsidR="00392F8E" w:rsidRPr="005C2179">
        <w:rPr>
          <w:i/>
          <w:kern w:val="2"/>
          <w:sz w:val="20"/>
        </w:rPr>
        <w:t>Buckley v Valeo</w:t>
      </w:r>
      <w:r w:rsidR="00392F8E" w:rsidRPr="005C2179">
        <w:rPr>
          <w:kern w:val="2"/>
          <w:sz w:val="20"/>
        </w:rPr>
        <w:t>,</w:t>
      </w:r>
      <w:r w:rsidR="00392F8E" w:rsidRPr="005C2179">
        <w:rPr>
          <w:rStyle w:val="FootnoteReference"/>
          <w:kern w:val="2"/>
          <w:sz w:val="20"/>
        </w:rPr>
        <w:footnoteReference w:id="133"/>
      </w:r>
      <w:r w:rsidR="0066348B" w:rsidRPr="005C2179">
        <w:rPr>
          <w:i/>
          <w:kern w:val="2"/>
          <w:sz w:val="20"/>
        </w:rPr>
        <w:t xml:space="preserve"> </w:t>
      </w:r>
      <w:r w:rsidR="007C1137" w:rsidRPr="005C2179">
        <w:rPr>
          <w:i/>
          <w:kern w:val="2"/>
          <w:sz w:val="20"/>
        </w:rPr>
        <w:t>Austin</w:t>
      </w:r>
      <w:r w:rsidR="00392F8E" w:rsidRPr="005C2179">
        <w:rPr>
          <w:i/>
          <w:kern w:val="2"/>
          <w:sz w:val="20"/>
        </w:rPr>
        <w:t xml:space="preserve"> v Michigan Chamber of Commerce</w:t>
      </w:r>
      <w:r w:rsidR="00392F8E" w:rsidRPr="005C2179">
        <w:rPr>
          <w:kern w:val="2"/>
          <w:sz w:val="20"/>
        </w:rPr>
        <w:t>,</w:t>
      </w:r>
      <w:r w:rsidR="00392F8E" w:rsidRPr="005C2179">
        <w:rPr>
          <w:rStyle w:val="FootnoteReference"/>
          <w:kern w:val="2"/>
          <w:sz w:val="20"/>
        </w:rPr>
        <w:footnoteReference w:id="134"/>
      </w:r>
      <w:r w:rsidR="00392F8E" w:rsidRPr="005C2179">
        <w:rPr>
          <w:i/>
          <w:kern w:val="2"/>
          <w:sz w:val="20"/>
        </w:rPr>
        <w:t xml:space="preserve"> McConnell v FEC</w:t>
      </w:r>
      <w:r w:rsidR="00392F8E" w:rsidRPr="005C2179">
        <w:rPr>
          <w:kern w:val="2"/>
          <w:sz w:val="20"/>
        </w:rPr>
        <w:t>,</w:t>
      </w:r>
      <w:r w:rsidR="00392F8E" w:rsidRPr="005C2179">
        <w:rPr>
          <w:rStyle w:val="FootnoteReference"/>
          <w:kern w:val="2"/>
          <w:sz w:val="20"/>
        </w:rPr>
        <w:footnoteReference w:id="135"/>
      </w:r>
      <w:r w:rsidR="00392F8E" w:rsidRPr="005C2179">
        <w:rPr>
          <w:i/>
          <w:kern w:val="2"/>
          <w:sz w:val="20"/>
        </w:rPr>
        <w:t xml:space="preserve"> Citizens United v FEC</w:t>
      </w:r>
      <w:r w:rsidR="00392F8E" w:rsidRPr="005C2179">
        <w:rPr>
          <w:kern w:val="2"/>
          <w:sz w:val="20"/>
        </w:rPr>
        <w:t>,</w:t>
      </w:r>
      <w:r w:rsidR="00392F8E" w:rsidRPr="005C2179">
        <w:rPr>
          <w:rStyle w:val="FootnoteReference"/>
          <w:kern w:val="2"/>
          <w:sz w:val="20"/>
        </w:rPr>
        <w:footnoteReference w:id="136"/>
      </w:r>
      <w:r w:rsidR="007C1137" w:rsidRPr="005C2179">
        <w:rPr>
          <w:i/>
          <w:kern w:val="2"/>
          <w:sz w:val="20"/>
        </w:rPr>
        <w:t xml:space="preserve"> </w:t>
      </w:r>
      <w:r w:rsidR="007C1137" w:rsidRPr="005C2179">
        <w:rPr>
          <w:kern w:val="2"/>
          <w:sz w:val="20"/>
        </w:rPr>
        <w:t xml:space="preserve">and </w:t>
      </w:r>
      <w:r w:rsidR="007C1137" w:rsidRPr="005C2179">
        <w:rPr>
          <w:i/>
          <w:kern w:val="2"/>
          <w:sz w:val="20"/>
        </w:rPr>
        <w:t>SpeechNow.org v FEC</w:t>
      </w:r>
      <w:r w:rsidR="007C1137" w:rsidRPr="005C2179">
        <w:rPr>
          <w:kern w:val="2"/>
          <w:sz w:val="20"/>
        </w:rPr>
        <w:t>.</w:t>
      </w:r>
      <w:r w:rsidR="00392F8E" w:rsidRPr="005C2179">
        <w:rPr>
          <w:rStyle w:val="FootnoteReference"/>
          <w:kern w:val="2"/>
          <w:sz w:val="20"/>
        </w:rPr>
        <w:footnoteReference w:id="137"/>
      </w:r>
    </w:p>
    <w:p w14:paraId="7485C8F6" w14:textId="2DBC1A9B" w:rsidR="00451064" w:rsidRPr="005C2179" w:rsidRDefault="00451064" w:rsidP="00BF63B6">
      <w:pPr>
        <w:pStyle w:val="Heading2"/>
        <w:rPr>
          <w:kern w:val="2"/>
          <w:sz w:val="24"/>
        </w:rPr>
      </w:pPr>
      <w:r w:rsidRPr="005C2179">
        <w:rPr>
          <w:kern w:val="2"/>
          <w:sz w:val="24"/>
        </w:rPr>
        <w:t>Third-</w:t>
      </w:r>
      <w:r w:rsidR="005E37BC" w:rsidRPr="005C2179">
        <w:rPr>
          <w:kern w:val="2"/>
          <w:sz w:val="24"/>
        </w:rPr>
        <w:t>Party Spending and</w:t>
      </w:r>
      <w:r w:rsidR="00152117" w:rsidRPr="005C2179">
        <w:rPr>
          <w:kern w:val="2"/>
          <w:sz w:val="24"/>
        </w:rPr>
        <w:t xml:space="preserve"> Corruption</w:t>
      </w:r>
      <w:r w:rsidRPr="005C2179">
        <w:rPr>
          <w:kern w:val="2"/>
          <w:sz w:val="24"/>
        </w:rPr>
        <w:t xml:space="preserve"> </w:t>
      </w:r>
    </w:p>
    <w:p w14:paraId="4B7B7ED3" w14:textId="79C88B59" w:rsidR="00451064" w:rsidRPr="005C2179" w:rsidRDefault="0039083F" w:rsidP="00330F4B">
      <w:pPr>
        <w:rPr>
          <w:b/>
          <w:kern w:val="2"/>
          <w:sz w:val="20"/>
        </w:rPr>
      </w:pPr>
      <w:r w:rsidRPr="005C2179">
        <w:rPr>
          <w:kern w:val="2"/>
          <w:sz w:val="20"/>
        </w:rPr>
        <w:t>A lack of consensus persists</w:t>
      </w:r>
      <w:r w:rsidR="002C7546" w:rsidRPr="005C2179">
        <w:rPr>
          <w:kern w:val="2"/>
          <w:sz w:val="20"/>
        </w:rPr>
        <w:t xml:space="preserve"> regarding the</w:t>
      </w:r>
      <w:r w:rsidR="00ED54F0" w:rsidRPr="005C2179">
        <w:rPr>
          <w:kern w:val="2"/>
          <w:sz w:val="20"/>
        </w:rPr>
        <w:t xml:space="preserve"> extent </w:t>
      </w:r>
      <w:r w:rsidR="007E4F6D" w:rsidRPr="005C2179">
        <w:rPr>
          <w:kern w:val="2"/>
          <w:sz w:val="20"/>
        </w:rPr>
        <w:t xml:space="preserve">to which independent third-party campaigning entails a risk of corruption. </w:t>
      </w:r>
      <w:r w:rsidR="00A57190" w:rsidRPr="005C2179">
        <w:rPr>
          <w:kern w:val="2"/>
          <w:sz w:val="20"/>
        </w:rPr>
        <w:t>Many argue that</w:t>
      </w:r>
      <w:r w:rsidR="00831878" w:rsidRPr="005C2179">
        <w:rPr>
          <w:kern w:val="2"/>
          <w:sz w:val="20"/>
        </w:rPr>
        <w:t xml:space="preserve"> politic</w:t>
      </w:r>
      <w:r w:rsidR="0019083F" w:rsidRPr="005C2179">
        <w:rPr>
          <w:kern w:val="2"/>
          <w:sz w:val="20"/>
        </w:rPr>
        <w:t>ians may</w:t>
      </w:r>
      <w:r w:rsidR="006319C2" w:rsidRPr="005C2179">
        <w:rPr>
          <w:kern w:val="2"/>
          <w:sz w:val="20"/>
        </w:rPr>
        <w:t xml:space="preserve"> be inclined to reward third parties who fund advertising to support their campaigns</w:t>
      </w:r>
      <w:r w:rsidR="00681602" w:rsidRPr="005C2179">
        <w:rPr>
          <w:kern w:val="2"/>
          <w:sz w:val="20"/>
        </w:rPr>
        <w:t>, even if the third parties act</w:t>
      </w:r>
      <w:r w:rsidR="0001373D" w:rsidRPr="005C2179">
        <w:rPr>
          <w:kern w:val="2"/>
          <w:sz w:val="20"/>
        </w:rPr>
        <w:t xml:space="preserve"> independently</w:t>
      </w:r>
      <w:r w:rsidR="006319C2" w:rsidRPr="005C2179">
        <w:rPr>
          <w:kern w:val="2"/>
          <w:sz w:val="20"/>
        </w:rPr>
        <w:t>.</w:t>
      </w:r>
      <w:r w:rsidR="00831878" w:rsidRPr="005C2179">
        <w:rPr>
          <w:kern w:val="2"/>
          <w:sz w:val="20"/>
        </w:rPr>
        <w:t xml:space="preserve"> </w:t>
      </w:r>
      <w:r w:rsidR="00BD2FD0" w:rsidRPr="005C2179">
        <w:rPr>
          <w:kern w:val="2"/>
          <w:sz w:val="20"/>
        </w:rPr>
        <w:t xml:space="preserve">However, </w:t>
      </w:r>
      <w:r w:rsidR="00AC4CB0" w:rsidRPr="005C2179">
        <w:rPr>
          <w:kern w:val="2"/>
          <w:sz w:val="20"/>
        </w:rPr>
        <w:t xml:space="preserve">American </w:t>
      </w:r>
      <w:r w:rsidR="00A61771" w:rsidRPr="005C2179">
        <w:rPr>
          <w:kern w:val="2"/>
          <w:sz w:val="20"/>
        </w:rPr>
        <w:t>courts have</w:t>
      </w:r>
      <w:r w:rsidR="00AC4CB0" w:rsidRPr="005C2179">
        <w:rPr>
          <w:kern w:val="2"/>
          <w:sz w:val="20"/>
        </w:rPr>
        <w:t xml:space="preserve"> concluded that independent third-party </w:t>
      </w:r>
      <w:r w:rsidR="00280E3C" w:rsidRPr="005C2179">
        <w:rPr>
          <w:kern w:val="2"/>
          <w:sz w:val="20"/>
        </w:rPr>
        <w:t xml:space="preserve">campaign </w:t>
      </w:r>
      <w:r w:rsidR="00AC4CB0" w:rsidRPr="005C2179">
        <w:rPr>
          <w:kern w:val="2"/>
          <w:sz w:val="20"/>
        </w:rPr>
        <w:t xml:space="preserve">expenditures </w:t>
      </w:r>
      <w:r w:rsidR="00280E3C" w:rsidRPr="005C2179">
        <w:rPr>
          <w:kern w:val="2"/>
          <w:sz w:val="20"/>
        </w:rPr>
        <w:t xml:space="preserve">entail no </w:t>
      </w:r>
      <w:r w:rsidR="00BD61F0" w:rsidRPr="005C2179">
        <w:rPr>
          <w:kern w:val="2"/>
          <w:sz w:val="20"/>
        </w:rPr>
        <w:t>significant risk of</w:t>
      </w:r>
      <w:r w:rsidR="00AC4CB0" w:rsidRPr="005C2179">
        <w:rPr>
          <w:kern w:val="2"/>
          <w:sz w:val="20"/>
        </w:rPr>
        <w:t xml:space="preserve"> corruption or the app</w:t>
      </w:r>
      <w:r w:rsidR="00DF6858" w:rsidRPr="005C2179">
        <w:rPr>
          <w:kern w:val="2"/>
          <w:sz w:val="20"/>
        </w:rPr>
        <w:t>earance of corruption, assisted in</w:t>
      </w:r>
      <w:r w:rsidR="00AC4CB0" w:rsidRPr="005C2179">
        <w:rPr>
          <w:kern w:val="2"/>
          <w:sz w:val="20"/>
        </w:rPr>
        <w:t xml:space="preserve"> this conclusion by a narrow definition of corruption.</w:t>
      </w:r>
      <w:r w:rsidR="00F90681" w:rsidRPr="005C2179">
        <w:rPr>
          <w:kern w:val="2"/>
          <w:sz w:val="20"/>
        </w:rPr>
        <w:t xml:space="preserve"> </w:t>
      </w:r>
      <w:r w:rsidR="005E79D8" w:rsidRPr="005C2179">
        <w:rPr>
          <w:kern w:val="2"/>
          <w:sz w:val="20"/>
        </w:rPr>
        <w:t>This</w:t>
      </w:r>
      <w:r w:rsidR="00F93C6E" w:rsidRPr="005C2179">
        <w:rPr>
          <w:kern w:val="2"/>
          <w:sz w:val="20"/>
        </w:rPr>
        <w:t xml:space="preserve"> debate is summarized in </w:t>
      </w:r>
      <w:r w:rsidR="002F4ABB" w:rsidRPr="005C2179">
        <w:rPr>
          <w:kern w:val="2"/>
          <w:sz w:val="20"/>
          <w:highlight w:val="cyan"/>
        </w:rPr>
        <w:t xml:space="preserve">Section </w:t>
      </w:r>
      <w:r w:rsidR="00211A49" w:rsidRPr="005C2179">
        <w:rPr>
          <w:kern w:val="2"/>
          <w:sz w:val="20"/>
          <w:highlight w:val="cyan"/>
        </w:rPr>
        <w:t>8</w:t>
      </w:r>
      <w:r w:rsidR="005E79D8" w:rsidRPr="005C2179">
        <w:rPr>
          <w:kern w:val="2"/>
          <w:sz w:val="20"/>
          <w:highlight w:val="cyan"/>
        </w:rPr>
        <w:t>.3</w:t>
      </w:r>
      <w:r w:rsidR="005E79D8" w:rsidRPr="005C2179">
        <w:rPr>
          <w:kern w:val="2"/>
          <w:sz w:val="20"/>
        </w:rPr>
        <w:t>, below</w:t>
      </w:r>
      <w:r w:rsidR="00F93C6E" w:rsidRPr="005C2179">
        <w:rPr>
          <w:kern w:val="2"/>
          <w:sz w:val="20"/>
        </w:rPr>
        <w:t xml:space="preserve">.      </w:t>
      </w:r>
      <w:r w:rsidR="00AC4CB0" w:rsidRPr="005C2179">
        <w:rPr>
          <w:kern w:val="2"/>
          <w:sz w:val="20"/>
        </w:rPr>
        <w:t xml:space="preserve"> </w:t>
      </w:r>
    </w:p>
    <w:p w14:paraId="5BBD4F6C" w14:textId="24557477" w:rsidR="00451064" w:rsidRPr="005C2179" w:rsidRDefault="001940B8" w:rsidP="00BF63B6">
      <w:pPr>
        <w:pStyle w:val="Heading2"/>
        <w:rPr>
          <w:kern w:val="2"/>
          <w:sz w:val="24"/>
        </w:rPr>
      </w:pPr>
      <w:r w:rsidRPr="005C2179">
        <w:rPr>
          <w:kern w:val="2"/>
          <w:sz w:val="24"/>
        </w:rPr>
        <w:t>The</w:t>
      </w:r>
      <w:r w:rsidR="004C3336" w:rsidRPr="005C2179">
        <w:rPr>
          <w:kern w:val="2"/>
          <w:sz w:val="24"/>
        </w:rPr>
        <w:t xml:space="preserve"> Regulation of Institutional Third Parties</w:t>
      </w:r>
    </w:p>
    <w:p w14:paraId="089CDC39" w14:textId="68FD7976" w:rsidR="00717743" w:rsidRPr="005C2179" w:rsidRDefault="00D62306" w:rsidP="00330F4B">
      <w:pPr>
        <w:rPr>
          <w:kern w:val="2"/>
          <w:sz w:val="20"/>
        </w:rPr>
      </w:pPr>
      <w:r w:rsidRPr="005C2179">
        <w:rPr>
          <w:kern w:val="2"/>
          <w:sz w:val="20"/>
        </w:rPr>
        <w:t xml:space="preserve">Institutional campaign spending may carry different implications for the quality of democracy depending on the type of institution in question. </w:t>
      </w:r>
      <w:r w:rsidR="000F6331" w:rsidRPr="005C2179">
        <w:rPr>
          <w:kern w:val="2"/>
          <w:sz w:val="20"/>
        </w:rPr>
        <w:t>Rowbottom points out</w:t>
      </w:r>
      <w:r w:rsidR="00F90532" w:rsidRPr="005C2179">
        <w:rPr>
          <w:kern w:val="2"/>
          <w:sz w:val="20"/>
        </w:rPr>
        <w:t xml:space="preserve"> that “some institutions can be an important vehicle for participation</w:t>
      </w:r>
      <w:r w:rsidR="00225BAE" w:rsidRPr="005C2179">
        <w:rPr>
          <w:kern w:val="2"/>
          <w:sz w:val="20"/>
        </w:rPr>
        <w:t xml:space="preserve"> </w:t>
      </w:r>
      <w:r w:rsidR="00F90532" w:rsidRPr="005C2179">
        <w:rPr>
          <w:kern w:val="2"/>
          <w:sz w:val="20"/>
        </w:rPr>
        <w:t>... Other institutions, however, may act as a conduit for wealthy individuals and organisations.”</w:t>
      </w:r>
      <w:r w:rsidR="00F90532" w:rsidRPr="005C2179">
        <w:rPr>
          <w:rStyle w:val="FootnoteReference"/>
          <w:kern w:val="2"/>
          <w:sz w:val="20"/>
        </w:rPr>
        <w:footnoteReference w:id="138"/>
      </w:r>
      <w:r w:rsidR="00F90532" w:rsidRPr="005C2179">
        <w:rPr>
          <w:kern w:val="2"/>
          <w:sz w:val="20"/>
        </w:rPr>
        <w:t xml:space="preserve"> In some cases, the difference between an individual donation and an institutional donation m</w:t>
      </w:r>
      <w:r w:rsidR="00491156" w:rsidRPr="005C2179">
        <w:rPr>
          <w:kern w:val="2"/>
          <w:sz w:val="20"/>
        </w:rPr>
        <w:t>ay be meaningless,</w:t>
      </w:r>
      <w:r w:rsidR="004C69EE" w:rsidRPr="005C2179">
        <w:rPr>
          <w:kern w:val="2"/>
          <w:sz w:val="20"/>
        </w:rPr>
        <w:t xml:space="preserve"> as when</w:t>
      </w:r>
      <w:r w:rsidR="00F90532" w:rsidRPr="005C2179">
        <w:rPr>
          <w:kern w:val="2"/>
          <w:sz w:val="20"/>
        </w:rPr>
        <w:t xml:space="preserve"> an individual controls the institution</w:t>
      </w:r>
      <w:r w:rsidR="005177B2" w:rsidRPr="005C2179">
        <w:rPr>
          <w:kern w:val="2"/>
          <w:sz w:val="20"/>
        </w:rPr>
        <w:t xml:space="preserve"> and lacks accountability to members</w:t>
      </w:r>
      <w:r w:rsidR="00F90532" w:rsidRPr="005C2179">
        <w:rPr>
          <w:kern w:val="2"/>
          <w:sz w:val="20"/>
        </w:rPr>
        <w:t>.</w:t>
      </w:r>
      <w:r w:rsidR="00F90532" w:rsidRPr="005C2179">
        <w:rPr>
          <w:rStyle w:val="FootnoteReference"/>
          <w:kern w:val="2"/>
          <w:sz w:val="20"/>
        </w:rPr>
        <w:footnoteReference w:id="139"/>
      </w:r>
      <w:r w:rsidR="00AD7BB8" w:rsidRPr="005C2179">
        <w:rPr>
          <w:kern w:val="2"/>
          <w:sz w:val="20"/>
        </w:rPr>
        <w:t xml:space="preserve"> For example, Boatright notes that some interest groups in the US have a small membership to whom they are accountable, making them look more like </w:t>
      </w:r>
      <w:r w:rsidR="00717743" w:rsidRPr="005C2179">
        <w:rPr>
          <w:kern w:val="2"/>
          <w:sz w:val="20"/>
        </w:rPr>
        <w:t xml:space="preserve">for-profit </w:t>
      </w:r>
      <w:r w:rsidR="00D0161F" w:rsidRPr="005C2179">
        <w:rPr>
          <w:kern w:val="2"/>
          <w:sz w:val="20"/>
        </w:rPr>
        <w:t>corporations</w:t>
      </w:r>
      <w:r w:rsidR="006C57BC" w:rsidRPr="005C2179">
        <w:rPr>
          <w:kern w:val="2"/>
          <w:sz w:val="20"/>
        </w:rPr>
        <w:t xml:space="preserve"> than</w:t>
      </w:r>
      <w:r w:rsidR="00641F87" w:rsidRPr="005C2179">
        <w:rPr>
          <w:kern w:val="2"/>
          <w:sz w:val="20"/>
        </w:rPr>
        <w:t xml:space="preserve"> </w:t>
      </w:r>
      <w:r w:rsidR="00AD7BB8" w:rsidRPr="005C2179">
        <w:rPr>
          <w:kern w:val="2"/>
          <w:sz w:val="20"/>
        </w:rPr>
        <w:t>vehicles for “representing citizens’ views to politicians</w:t>
      </w:r>
      <w:r w:rsidR="00225BAE" w:rsidRPr="005C2179">
        <w:rPr>
          <w:kern w:val="2"/>
          <w:sz w:val="20"/>
        </w:rPr>
        <w:t>.</w:t>
      </w:r>
      <w:r w:rsidR="00AD7BB8" w:rsidRPr="005C2179">
        <w:rPr>
          <w:kern w:val="2"/>
          <w:sz w:val="20"/>
        </w:rPr>
        <w:t>”</w:t>
      </w:r>
      <w:r w:rsidR="00AD7BB8" w:rsidRPr="005C2179">
        <w:rPr>
          <w:rStyle w:val="FootnoteReference"/>
          <w:kern w:val="2"/>
          <w:sz w:val="20"/>
        </w:rPr>
        <w:footnoteReference w:id="140"/>
      </w:r>
      <w:r w:rsidR="00AD7BB8" w:rsidRPr="005C2179">
        <w:rPr>
          <w:kern w:val="2"/>
          <w:sz w:val="20"/>
        </w:rPr>
        <w:t xml:space="preserve"> </w:t>
      </w:r>
      <w:r w:rsidR="00F90532" w:rsidRPr="005C2179">
        <w:rPr>
          <w:kern w:val="2"/>
          <w:sz w:val="20"/>
        </w:rPr>
        <w:t xml:space="preserve">In other cases, institutional </w:t>
      </w:r>
      <w:r w:rsidR="00FF4320" w:rsidRPr="005C2179">
        <w:rPr>
          <w:kern w:val="2"/>
          <w:sz w:val="20"/>
        </w:rPr>
        <w:t>spending result</w:t>
      </w:r>
      <w:r w:rsidR="0074278D" w:rsidRPr="005C2179">
        <w:rPr>
          <w:kern w:val="2"/>
          <w:sz w:val="20"/>
        </w:rPr>
        <w:t>s</w:t>
      </w:r>
      <w:r w:rsidR="00F90532" w:rsidRPr="005C2179">
        <w:rPr>
          <w:kern w:val="2"/>
          <w:sz w:val="20"/>
        </w:rPr>
        <w:t xml:space="preserve"> from the “pooling of resources among lots of people</w:t>
      </w:r>
      <w:r w:rsidR="00225BAE" w:rsidRPr="005C2179">
        <w:rPr>
          <w:kern w:val="2"/>
          <w:sz w:val="20"/>
        </w:rPr>
        <w:t>,</w:t>
      </w:r>
      <w:r w:rsidR="00F90532" w:rsidRPr="005C2179">
        <w:rPr>
          <w:kern w:val="2"/>
          <w:sz w:val="20"/>
        </w:rPr>
        <w:t>” which reduces both corruption and equality concerns</w:t>
      </w:r>
      <w:r w:rsidR="00E05A95" w:rsidRPr="005C2179">
        <w:rPr>
          <w:kern w:val="2"/>
          <w:sz w:val="20"/>
        </w:rPr>
        <w:t>.</w:t>
      </w:r>
      <w:r w:rsidR="00AB7C1E" w:rsidRPr="005C2179">
        <w:rPr>
          <w:rStyle w:val="FootnoteReference"/>
          <w:kern w:val="2"/>
          <w:sz w:val="20"/>
        </w:rPr>
        <w:footnoteReference w:id="141"/>
      </w:r>
      <w:r w:rsidR="00E05A95" w:rsidRPr="005C2179">
        <w:rPr>
          <w:kern w:val="2"/>
          <w:sz w:val="20"/>
        </w:rPr>
        <w:t xml:space="preserve"> This type of institutional spending </w:t>
      </w:r>
      <w:r w:rsidR="0074278D" w:rsidRPr="005C2179">
        <w:rPr>
          <w:kern w:val="2"/>
          <w:sz w:val="20"/>
        </w:rPr>
        <w:t>is also a means of enhancing</w:t>
      </w:r>
      <w:r w:rsidR="000F6331" w:rsidRPr="005C2179">
        <w:rPr>
          <w:kern w:val="2"/>
          <w:sz w:val="20"/>
        </w:rPr>
        <w:t xml:space="preserve"> the effectiveness of small donations</w:t>
      </w:r>
      <w:r w:rsidR="00F90532" w:rsidRPr="005C2179">
        <w:rPr>
          <w:kern w:val="2"/>
          <w:sz w:val="20"/>
        </w:rPr>
        <w:t>.</w:t>
      </w:r>
      <w:r w:rsidR="00F90532" w:rsidRPr="005C2179">
        <w:rPr>
          <w:rStyle w:val="FootnoteReference"/>
          <w:kern w:val="2"/>
          <w:sz w:val="20"/>
        </w:rPr>
        <w:footnoteReference w:id="142"/>
      </w:r>
      <w:r w:rsidR="00F90532" w:rsidRPr="005C2179">
        <w:rPr>
          <w:kern w:val="2"/>
          <w:sz w:val="20"/>
        </w:rPr>
        <w:t xml:space="preserve"> </w:t>
      </w:r>
      <w:r w:rsidR="0074278D" w:rsidRPr="005C2179">
        <w:rPr>
          <w:kern w:val="2"/>
          <w:sz w:val="20"/>
        </w:rPr>
        <w:t>S</w:t>
      </w:r>
      <w:r w:rsidR="00E05A95" w:rsidRPr="005C2179">
        <w:rPr>
          <w:kern w:val="2"/>
          <w:sz w:val="20"/>
        </w:rPr>
        <w:t>ome institutions</w:t>
      </w:r>
      <w:r w:rsidR="0074278D" w:rsidRPr="005C2179">
        <w:rPr>
          <w:kern w:val="2"/>
          <w:sz w:val="20"/>
        </w:rPr>
        <w:t xml:space="preserve"> may also require</w:t>
      </w:r>
      <w:r w:rsidR="00E05A95" w:rsidRPr="005C2179">
        <w:rPr>
          <w:kern w:val="2"/>
          <w:sz w:val="20"/>
        </w:rPr>
        <w:t xml:space="preserve"> </w:t>
      </w:r>
      <w:r w:rsidR="00F90532" w:rsidRPr="005C2179">
        <w:rPr>
          <w:kern w:val="2"/>
          <w:sz w:val="20"/>
        </w:rPr>
        <w:t xml:space="preserve">“internal debate” </w:t>
      </w:r>
      <w:r w:rsidR="0074278D" w:rsidRPr="005C2179">
        <w:rPr>
          <w:kern w:val="2"/>
          <w:sz w:val="20"/>
        </w:rPr>
        <w:t>before making political expenditures</w:t>
      </w:r>
      <w:r w:rsidR="00F90532" w:rsidRPr="005C2179">
        <w:rPr>
          <w:kern w:val="2"/>
          <w:sz w:val="20"/>
        </w:rPr>
        <w:t xml:space="preserve">, </w:t>
      </w:r>
      <w:r w:rsidR="0074278D" w:rsidRPr="005C2179">
        <w:rPr>
          <w:kern w:val="2"/>
          <w:sz w:val="20"/>
        </w:rPr>
        <w:t>which contributes</w:t>
      </w:r>
      <w:r w:rsidR="00F90532" w:rsidRPr="005C2179">
        <w:rPr>
          <w:kern w:val="2"/>
          <w:sz w:val="20"/>
        </w:rPr>
        <w:t xml:space="preserve"> to the deliberative process.</w:t>
      </w:r>
      <w:r w:rsidR="00F90532" w:rsidRPr="005C2179">
        <w:rPr>
          <w:rStyle w:val="FootnoteReference"/>
          <w:kern w:val="2"/>
          <w:sz w:val="20"/>
        </w:rPr>
        <w:footnoteReference w:id="143"/>
      </w:r>
      <w:r w:rsidR="00F90532" w:rsidRPr="005C2179">
        <w:rPr>
          <w:kern w:val="2"/>
          <w:sz w:val="20"/>
        </w:rPr>
        <w:t xml:space="preserve"> </w:t>
      </w:r>
    </w:p>
    <w:p w14:paraId="04B91F19" w14:textId="77777777" w:rsidR="00717743" w:rsidRPr="005C2179" w:rsidRDefault="00860AEE" w:rsidP="00330F4B">
      <w:pPr>
        <w:rPr>
          <w:kern w:val="2"/>
          <w:sz w:val="20"/>
        </w:rPr>
      </w:pPr>
      <w:r w:rsidRPr="005C2179">
        <w:rPr>
          <w:kern w:val="2"/>
          <w:sz w:val="20"/>
        </w:rPr>
        <w:t>Blanket prohibitions</w:t>
      </w:r>
      <w:r w:rsidR="00F90532" w:rsidRPr="005C2179">
        <w:rPr>
          <w:kern w:val="2"/>
          <w:sz w:val="20"/>
        </w:rPr>
        <w:t xml:space="preserve"> </w:t>
      </w:r>
      <w:r w:rsidR="00E54325" w:rsidRPr="005C2179">
        <w:rPr>
          <w:kern w:val="2"/>
          <w:sz w:val="20"/>
        </w:rPr>
        <w:t>or cap</w:t>
      </w:r>
      <w:r w:rsidR="0078266A" w:rsidRPr="005C2179">
        <w:rPr>
          <w:kern w:val="2"/>
          <w:sz w:val="20"/>
        </w:rPr>
        <w:t>s</w:t>
      </w:r>
      <w:r w:rsidR="00E54325" w:rsidRPr="005C2179">
        <w:rPr>
          <w:kern w:val="2"/>
          <w:sz w:val="20"/>
        </w:rPr>
        <w:t xml:space="preserve"> </w:t>
      </w:r>
      <w:r w:rsidR="00F90532" w:rsidRPr="005C2179">
        <w:rPr>
          <w:kern w:val="2"/>
          <w:sz w:val="20"/>
        </w:rPr>
        <w:t xml:space="preserve">on institutional </w:t>
      </w:r>
      <w:r w:rsidR="00717743" w:rsidRPr="005C2179">
        <w:rPr>
          <w:kern w:val="2"/>
          <w:sz w:val="20"/>
        </w:rPr>
        <w:t>political spending may close off healthy “</w:t>
      </w:r>
      <w:r w:rsidR="00F90532" w:rsidRPr="005C2179">
        <w:rPr>
          <w:kern w:val="2"/>
          <w:sz w:val="20"/>
        </w:rPr>
        <w:t>channels for participation</w:t>
      </w:r>
      <w:r w:rsidR="00225BAE" w:rsidRPr="005C2179">
        <w:rPr>
          <w:kern w:val="2"/>
          <w:sz w:val="20"/>
        </w:rPr>
        <w:t>.</w:t>
      </w:r>
      <w:r w:rsidR="00F90532" w:rsidRPr="005C2179">
        <w:rPr>
          <w:kern w:val="2"/>
          <w:sz w:val="20"/>
        </w:rPr>
        <w:t>”</w:t>
      </w:r>
      <w:r w:rsidR="00F90532" w:rsidRPr="005C2179">
        <w:rPr>
          <w:rStyle w:val="FootnoteReference"/>
          <w:kern w:val="2"/>
          <w:sz w:val="20"/>
        </w:rPr>
        <w:footnoteReference w:id="144"/>
      </w:r>
      <w:r w:rsidR="00F90532" w:rsidRPr="005C2179">
        <w:rPr>
          <w:kern w:val="2"/>
          <w:sz w:val="20"/>
        </w:rPr>
        <w:t xml:space="preserve"> </w:t>
      </w:r>
      <w:r w:rsidR="00717743" w:rsidRPr="005C2179">
        <w:rPr>
          <w:kern w:val="2"/>
          <w:sz w:val="20"/>
        </w:rPr>
        <w:t>Rowbottom arg</w:t>
      </w:r>
      <w:r w:rsidR="0078266A" w:rsidRPr="005C2179">
        <w:rPr>
          <w:kern w:val="2"/>
          <w:sz w:val="20"/>
        </w:rPr>
        <w:t xml:space="preserve">ues that </w:t>
      </w:r>
      <w:r w:rsidR="00DC77D1" w:rsidRPr="005C2179">
        <w:rPr>
          <w:kern w:val="2"/>
          <w:sz w:val="20"/>
        </w:rPr>
        <w:t xml:space="preserve">the design of </w:t>
      </w:r>
      <w:r w:rsidR="0078266A" w:rsidRPr="005C2179">
        <w:rPr>
          <w:kern w:val="2"/>
          <w:sz w:val="20"/>
        </w:rPr>
        <w:t>campaigning controls for</w:t>
      </w:r>
      <w:r w:rsidR="00717743" w:rsidRPr="005C2179">
        <w:rPr>
          <w:kern w:val="2"/>
          <w:sz w:val="20"/>
        </w:rPr>
        <w:t xml:space="preserve"> institutions should not be based on their stat</w:t>
      </w:r>
      <w:r w:rsidR="0078266A" w:rsidRPr="005C2179">
        <w:rPr>
          <w:kern w:val="2"/>
          <w:sz w:val="20"/>
        </w:rPr>
        <w:t>u</w:t>
      </w:r>
      <w:r w:rsidR="00717743" w:rsidRPr="005C2179">
        <w:rPr>
          <w:kern w:val="2"/>
          <w:sz w:val="20"/>
        </w:rPr>
        <w:t>s as corporations, unions, or unincorporated associations, but rather on the “democratic credentials of</w:t>
      </w:r>
      <w:r w:rsidR="006E27EB" w:rsidRPr="005C2179">
        <w:rPr>
          <w:kern w:val="2"/>
          <w:sz w:val="20"/>
        </w:rPr>
        <w:t xml:space="preserve"> the institution” and </w:t>
      </w:r>
      <w:r w:rsidR="00054F22" w:rsidRPr="005C2179">
        <w:rPr>
          <w:kern w:val="2"/>
          <w:sz w:val="20"/>
        </w:rPr>
        <w:t xml:space="preserve">its ability to provide </w:t>
      </w:r>
      <w:r w:rsidR="00717743" w:rsidRPr="005C2179">
        <w:rPr>
          <w:kern w:val="2"/>
          <w:sz w:val="20"/>
        </w:rPr>
        <w:t>an effective channel for citizen participation.</w:t>
      </w:r>
      <w:r w:rsidR="00717743" w:rsidRPr="005C2179">
        <w:rPr>
          <w:rStyle w:val="FootnoteReference"/>
          <w:kern w:val="2"/>
          <w:sz w:val="20"/>
        </w:rPr>
        <w:footnoteReference w:id="145"/>
      </w:r>
    </w:p>
    <w:p w14:paraId="4CEAB1E3" w14:textId="507F9B2A" w:rsidR="00E54325" w:rsidRPr="005C2179" w:rsidRDefault="00E54325" w:rsidP="00330F4B">
      <w:pPr>
        <w:rPr>
          <w:b/>
          <w:kern w:val="2"/>
          <w:sz w:val="20"/>
        </w:rPr>
      </w:pPr>
      <w:r w:rsidRPr="005C2179">
        <w:rPr>
          <w:b/>
          <w:kern w:val="2"/>
          <w:sz w:val="20"/>
        </w:rPr>
        <w:t xml:space="preserve">a) Corporations </w:t>
      </w:r>
    </w:p>
    <w:p w14:paraId="62B726F5" w14:textId="5CE375FD" w:rsidR="00F90532" w:rsidRPr="005C2179" w:rsidRDefault="00CE6391" w:rsidP="00330F4B">
      <w:pPr>
        <w:rPr>
          <w:kern w:val="2"/>
          <w:sz w:val="20"/>
        </w:rPr>
      </w:pPr>
      <w:r w:rsidRPr="005C2179">
        <w:rPr>
          <w:kern w:val="2"/>
          <w:sz w:val="20"/>
        </w:rPr>
        <w:t>For-</w:t>
      </w:r>
      <w:r w:rsidR="00FF7E9C" w:rsidRPr="005C2179">
        <w:rPr>
          <w:kern w:val="2"/>
          <w:sz w:val="20"/>
        </w:rPr>
        <w:t>profit c</w:t>
      </w:r>
      <w:r w:rsidR="00F90532" w:rsidRPr="005C2179">
        <w:rPr>
          <w:kern w:val="2"/>
          <w:sz w:val="20"/>
        </w:rPr>
        <w:t>orporations are an example of an institution in which memb</w:t>
      </w:r>
      <w:r w:rsidR="000E6B79" w:rsidRPr="005C2179">
        <w:rPr>
          <w:kern w:val="2"/>
          <w:sz w:val="20"/>
        </w:rPr>
        <w:t>ers have little influence over</w:t>
      </w:r>
      <w:r w:rsidR="00F90532" w:rsidRPr="005C2179">
        <w:rPr>
          <w:kern w:val="2"/>
          <w:sz w:val="20"/>
        </w:rPr>
        <w:t xml:space="preserve"> political spending. </w:t>
      </w:r>
      <w:r w:rsidR="00FF7E9C" w:rsidRPr="005C2179">
        <w:rPr>
          <w:kern w:val="2"/>
          <w:sz w:val="20"/>
        </w:rPr>
        <w:t>Rowbottom points out that, “since a company does not represent its shareholders (or anyone else) and has its own legal identity</w:t>
      </w:r>
      <w:r w:rsidR="00212A3A" w:rsidRPr="005C2179">
        <w:rPr>
          <w:kern w:val="2"/>
          <w:sz w:val="20"/>
        </w:rPr>
        <w:t xml:space="preserve"> </w:t>
      </w:r>
      <w:r w:rsidR="00FF7E9C" w:rsidRPr="005C2179">
        <w:rPr>
          <w:kern w:val="2"/>
          <w:sz w:val="20"/>
        </w:rPr>
        <w:t>...</w:t>
      </w:r>
      <w:r w:rsidR="00212A3A" w:rsidRPr="005C2179">
        <w:rPr>
          <w:kern w:val="2"/>
          <w:sz w:val="20"/>
        </w:rPr>
        <w:t xml:space="preserve"> </w:t>
      </w:r>
      <w:r w:rsidR="00FF7E9C" w:rsidRPr="005C2179">
        <w:rPr>
          <w:kern w:val="2"/>
          <w:sz w:val="20"/>
        </w:rPr>
        <w:t>it may be questioned why companies are legally permissible donors at all.”</w:t>
      </w:r>
      <w:r w:rsidR="00FF7E9C" w:rsidRPr="005C2179">
        <w:rPr>
          <w:rStyle w:val="FootnoteReference"/>
          <w:kern w:val="2"/>
          <w:sz w:val="20"/>
        </w:rPr>
        <w:footnoteReference w:id="146"/>
      </w:r>
      <w:r w:rsidR="00FF7E9C" w:rsidRPr="005C2179">
        <w:rPr>
          <w:kern w:val="2"/>
          <w:sz w:val="20"/>
        </w:rPr>
        <w:t xml:space="preserve"> </w:t>
      </w:r>
      <w:r w:rsidR="00051869" w:rsidRPr="005C2179">
        <w:rPr>
          <w:kern w:val="2"/>
          <w:sz w:val="20"/>
        </w:rPr>
        <w:t>A</w:t>
      </w:r>
      <w:r w:rsidR="00F90532" w:rsidRPr="005C2179">
        <w:rPr>
          <w:kern w:val="2"/>
          <w:sz w:val="20"/>
        </w:rPr>
        <w:t xml:space="preserve"> corporation’s money is not the property of the shareholders. If a company makes a political donation or expenditure at odds with the views of a shareholder, the </w:t>
      </w:r>
      <w:r w:rsidR="00E54325" w:rsidRPr="005C2179">
        <w:rPr>
          <w:kern w:val="2"/>
          <w:sz w:val="20"/>
        </w:rPr>
        <w:t>shareholder’s only</w:t>
      </w:r>
      <w:r w:rsidR="00F90532" w:rsidRPr="005C2179">
        <w:rPr>
          <w:kern w:val="2"/>
          <w:sz w:val="20"/>
        </w:rPr>
        <w:t xml:space="preserve"> recourse is to sell their shares.</w:t>
      </w:r>
      <w:r w:rsidR="00F90532" w:rsidRPr="005C2179">
        <w:rPr>
          <w:rStyle w:val="FootnoteReference"/>
          <w:kern w:val="2"/>
          <w:sz w:val="20"/>
        </w:rPr>
        <w:footnoteReference w:id="147"/>
      </w:r>
      <w:r w:rsidR="00F90532" w:rsidRPr="005C2179">
        <w:rPr>
          <w:kern w:val="2"/>
          <w:sz w:val="20"/>
        </w:rPr>
        <w:t xml:space="preserve"> </w:t>
      </w:r>
      <w:r w:rsidR="008241E9" w:rsidRPr="005C2179">
        <w:rPr>
          <w:kern w:val="2"/>
          <w:sz w:val="20"/>
        </w:rPr>
        <w:t>As noted by the dissent in the American</w:t>
      </w:r>
      <w:r w:rsidR="00883183" w:rsidRPr="005C2179">
        <w:rPr>
          <w:kern w:val="2"/>
          <w:sz w:val="20"/>
        </w:rPr>
        <w:t xml:space="preserve"> case of </w:t>
      </w:r>
      <w:r w:rsidR="00883183" w:rsidRPr="005C2179">
        <w:rPr>
          <w:i/>
          <w:kern w:val="2"/>
          <w:sz w:val="20"/>
        </w:rPr>
        <w:t xml:space="preserve">Citizens United v Federal Election Commission, </w:t>
      </w:r>
      <w:r w:rsidR="00883183" w:rsidRPr="005C2179">
        <w:rPr>
          <w:kern w:val="2"/>
          <w:sz w:val="20"/>
        </w:rPr>
        <w:t>corporate communications are “at least one degree removed from the views of individual citizens, and</w:t>
      </w:r>
      <w:r w:rsidR="001F658B" w:rsidRPr="005C2179">
        <w:rPr>
          <w:kern w:val="2"/>
          <w:sz w:val="20"/>
        </w:rPr>
        <w:t xml:space="preserve"> </w:t>
      </w:r>
      <w:r w:rsidR="00883183" w:rsidRPr="005C2179">
        <w:rPr>
          <w:kern w:val="2"/>
          <w:sz w:val="20"/>
        </w:rPr>
        <w:t>...</w:t>
      </w:r>
      <w:r w:rsidR="001F658B" w:rsidRPr="005C2179">
        <w:rPr>
          <w:kern w:val="2"/>
          <w:sz w:val="20"/>
        </w:rPr>
        <w:t xml:space="preserve"> </w:t>
      </w:r>
      <w:r w:rsidR="00883183" w:rsidRPr="005C2179">
        <w:rPr>
          <w:kern w:val="2"/>
          <w:sz w:val="20"/>
        </w:rPr>
        <w:t>may not even reflect the views of those who pay for it.”</w:t>
      </w:r>
      <w:r w:rsidR="00883183" w:rsidRPr="005C2179">
        <w:rPr>
          <w:rStyle w:val="FootnoteReference"/>
          <w:kern w:val="2"/>
          <w:sz w:val="20"/>
        </w:rPr>
        <w:footnoteReference w:id="148"/>
      </w:r>
      <w:r w:rsidR="00883183" w:rsidRPr="005C2179">
        <w:rPr>
          <w:kern w:val="2"/>
          <w:sz w:val="20"/>
        </w:rPr>
        <w:t xml:space="preserve"> </w:t>
      </w:r>
      <w:r w:rsidR="00FF7E9C" w:rsidRPr="005C2179">
        <w:rPr>
          <w:kern w:val="2"/>
          <w:sz w:val="20"/>
        </w:rPr>
        <w:t xml:space="preserve">If a corporation is closely held or has a controlling shareholder, </w:t>
      </w:r>
      <w:r w:rsidR="00115542" w:rsidRPr="005C2179">
        <w:rPr>
          <w:kern w:val="2"/>
          <w:sz w:val="20"/>
        </w:rPr>
        <w:t>donations from the corporation</w:t>
      </w:r>
      <w:r w:rsidR="00FF7E9C" w:rsidRPr="005C2179">
        <w:rPr>
          <w:kern w:val="2"/>
          <w:sz w:val="20"/>
        </w:rPr>
        <w:t xml:space="preserve"> </w:t>
      </w:r>
      <w:r w:rsidR="004D7A5D" w:rsidRPr="005C2179">
        <w:rPr>
          <w:kern w:val="2"/>
          <w:sz w:val="20"/>
        </w:rPr>
        <w:t>could</w:t>
      </w:r>
      <w:r w:rsidR="006C401E" w:rsidRPr="005C2179">
        <w:rPr>
          <w:kern w:val="2"/>
          <w:sz w:val="20"/>
        </w:rPr>
        <w:t xml:space="preserve"> be viewed</w:t>
      </w:r>
      <w:r w:rsidR="00FF7E9C" w:rsidRPr="005C2179">
        <w:rPr>
          <w:kern w:val="2"/>
          <w:sz w:val="20"/>
        </w:rPr>
        <w:t xml:space="preserve"> by candidates and</w:t>
      </w:r>
      <w:r w:rsidR="00A52D6C" w:rsidRPr="005C2179">
        <w:rPr>
          <w:kern w:val="2"/>
          <w:sz w:val="20"/>
        </w:rPr>
        <w:t xml:space="preserve"> by</w:t>
      </w:r>
      <w:r w:rsidR="00FF7E9C" w:rsidRPr="005C2179">
        <w:rPr>
          <w:kern w:val="2"/>
          <w:sz w:val="20"/>
        </w:rPr>
        <w:t xml:space="preserve"> the public as</w:t>
      </w:r>
      <w:r w:rsidR="00115542" w:rsidRPr="005C2179">
        <w:rPr>
          <w:kern w:val="2"/>
          <w:sz w:val="20"/>
        </w:rPr>
        <w:t xml:space="preserve"> donations </w:t>
      </w:r>
      <w:r w:rsidR="00A52D6C" w:rsidRPr="005C2179">
        <w:rPr>
          <w:kern w:val="2"/>
          <w:sz w:val="20"/>
        </w:rPr>
        <w:t xml:space="preserve">from the </w:t>
      </w:r>
      <w:r w:rsidR="006C401E" w:rsidRPr="005C2179">
        <w:rPr>
          <w:kern w:val="2"/>
          <w:sz w:val="20"/>
        </w:rPr>
        <w:t xml:space="preserve">controlling individual, </w:t>
      </w:r>
      <w:r w:rsidR="00A52D6C" w:rsidRPr="005C2179">
        <w:rPr>
          <w:kern w:val="2"/>
          <w:sz w:val="20"/>
        </w:rPr>
        <w:t>which raises issues in relation to</w:t>
      </w:r>
      <w:r w:rsidR="00FF7E9C" w:rsidRPr="005C2179">
        <w:rPr>
          <w:kern w:val="2"/>
          <w:sz w:val="20"/>
        </w:rPr>
        <w:t xml:space="preserve"> corruption and public confidence.</w:t>
      </w:r>
      <w:r w:rsidR="00FF7E9C" w:rsidRPr="005C2179">
        <w:rPr>
          <w:rStyle w:val="FootnoteReference"/>
          <w:kern w:val="2"/>
          <w:sz w:val="20"/>
        </w:rPr>
        <w:footnoteReference w:id="149"/>
      </w:r>
      <w:r w:rsidR="00FF7E9C" w:rsidRPr="005C2179">
        <w:rPr>
          <w:kern w:val="2"/>
          <w:sz w:val="20"/>
        </w:rPr>
        <w:t xml:space="preserve"> D</w:t>
      </w:r>
      <w:r w:rsidR="00F90532" w:rsidRPr="005C2179">
        <w:rPr>
          <w:kern w:val="2"/>
          <w:sz w:val="20"/>
        </w:rPr>
        <w:t xml:space="preserve">irectors are restrained to some extent </w:t>
      </w:r>
      <w:r w:rsidR="00AA2444" w:rsidRPr="005C2179">
        <w:rPr>
          <w:kern w:val="2"/>
          <w:sz w:val="20"/>
        </w:rPr>
        <w:t xml:space="preserve">when directing money to political purposes </w:t>
      </w:r>
      <w:r w:rsidR="00F90532" w:rsidRPr="005C2179">
        <w:rPr>
          <w:kern w:val="2"/>
          <w:sz w:val="20"/>
        </w:rPr>
        <w:t>by their duty to further the company’s interests</w:t>
      </w:r>
      <w:r w:rsidR="008430EC" w:rsidRPr="005C2179">
        <w:rPr>
          <w:kern w:val="2"/>
          <w:sz w:val="20"/>
        </w:rPr>
        <w:t xml:space="preserve">, </w:t>
      </w:r>
      <w:r w:rsidR="00AC28DC" w:rsidRPr="005C2179">
        <w:rPr>
          <w:kern w:val="2"/>
          <w:sz w:val="20"/>
        </w:rPr>
        <w:t xml:space="preserve">but </w:t>
      </w:r>
      <w:r w:rsidR="008430EC" w:rsidRPr="005C2179">
        <w:rPr>
          <w:kern w:val="2"/>
          <w:sz w:val="20"/>
        </w:rPr>
        <w:t xml:space="preserve">this restraint </w:t>
      </w:r>
      <w:r w:rsidR="00446CCF" w:rsidRPr="005C2179">
        <w:rPr>
          <w:kern w:val="2"/>
          <w:sz w:val="20"/>
        </w:rPr>
        <w:t>seems</w:t>
      </w:r>
      <w:r w:rsidR="00AC28DC" w:rsidRPr="005C2179">
        <w:rPr>
          <w:kern w:val="2"/>
          <w:sz w:val="20"/>
        </w:rPr>
        <w:t xml:space="preserve"> irrelevant </w:t>
      </w:r>
      <w:r w:rsidR="00C30D7C" w:rsidRPr="005C2179">
        <w:rPr>
          <w:kern w:val="2"/>
          <w:sz w:val="20"/>
        </w:rPr>
        <w:t>to the prevention of</w:t>
      </w:r>
      <w:r w:rsidR="008430EC" w:rsidRPr="005C2179">
        <w:rPr>
          <w:kern w:val="2"/>
          <w:sz w:val="20"/>
        </w:rPr>
        <w:t xml:space="preserve"> corruption, inequality, unf</w:t>
      </w:r>
      <w:r w:rsidR="00AC28DC" w:rsidRPr="005C2179">
        <w:rPr>
          <w:kern w:val="2"/>
          <w:sz w:val="20"/>
        </w:rPr>
        <w:t xml:space="preserve">airness, and falling </w:t>
      </w:r>
      <w:r w:rsidR="008430EC" w:rsidRPr="005C2179">
        <w:rPr>
          <w:kern w:val="2"/>
          <w:sz w:val="20"/>
        </w:rPr>
        <w:t>public confidence in the electoral system</w:t>
      </w:r>
      <w:r w:rsidR="00F90532" w:rsidRPr="005C2179">
        <w:rPr>
          <w:kern w:val="2"/>
          <w:sz w:val="20"/>
        </w:rPr>
        <w:t>.</w:t>
      </w:r>
      <w:r w:rsidR="00241686" w:rsidRPr="005C2179">
        <w:rPr>
          <w:rStyle w:val="FootnoteReference"/>
          <w:kern w:val="2"/>
          <w:sz w:val="20"/>
        </w:rPr>
        <w:footnoteReference w:id="150"/>
      </w:r>
      <w:r w:rsidR="00F90532" w:rsidRPr="005C2179">
        <w:rPr>
          <w:kern w:val="2"/>
          <w:sz w:val="20"/>
        </w:rPr>
        <w:t xml:space="preserve"> </w:t>
      </w:r>
    </w:p>
    <w:p w14:paraId="275E6883" w14:textId="32114EDF" w:rsidR="00F90532" w:rsidRPr="005C2179" w:rsidRDefault="00F90532" w:rsidP="00330F4B">
      <w:pPr>
        <w:rPr>
          <w:kern w:val="2"/>
          <w:sz w:val="20"/>
        </w:rPr>
      </w:pPr>
      <w:r w:rsidRPr="005C2179">
        <w:rPr>
          <w:kern w:val="2"/>
          <w:sz w:val="20"/>
        </w:rPr>
        <w:t xml:space="preserve">In the UK, companies are required </w:t>
      </w:r>
      <w:r w:rsidR="00446CCF" w:rsidRPr="005C2179">
        <w:rPr>
          <w:kern w:val="2"/>
          <w:sz w:val="20"/>
        </w:rPr>
        <w:t xml:space="preserve">to obtain a member resolution </w:t>
      </w:r>
      <w:r w:rsidRPr="005C2179">
        <w:rPr>
          <w:kern w:val="2"/>
          <w:sz w:val="20"/>
        </w:rPr>
        <w:t>authorising any political donations or expenditures in advance.</w:t>
      </w:r>
      <w:r w:rsidRPr="005C2179">
        <w:rPr>
          <w:rStyle w:val="FootnoteReference"/>
          <w:kern w:val="2"/>
          <w:sz w:val="20"/>
        </w:rPr>
        <w:footnoteReference w:id="151"/>
      </w:r>
      <w:r w:rsidRPr="005C2179">
        <w:rPr>
          <w:kern w:val="2"/>
          <w:sz w:val="20"/>
        </w:rPr>
        <w:t xml:space="preserve"> However, the resolution “must be expressed in general terms</w:t>
      </w:r>
      <w:r w:rsidR="001F658B" w:rsidRPr="005C2179">
        <w:rPr>
          <w:kern w:val="2"/>
          <w:sz w:val="20"/>
        </w:rPr>
        <w:t xml:space="preserve"> </w:t>
      </w:r>
      <w:r w:rsidRPr="005C2179">
        <w:rPr>
          <w:kern w:val="2"/>
          <w:sz w:val="20"/>
        </w:rPr>
        <w:t>...</w:t>
      </w:r>
      <w:r w:rsidR="001F658B" w:rsidRPr="005C2179">
        <w:rPr>
          <w:kern w:val="2"/>
          <w:sz w:val="20"/>
        </w:rPr>
        <w:t xml:space="preserve"> </w:t>
      </w:r>
      <w:r w:rsidRPr="005C2179">
        <w:rPr>
          <w:kern w:val="2"/>
          <w:sz w:val="20"/>
        </w:rPr>
        <w:t>and must not purport to authori</w:t>
      </w:r>
      <w:r w:rsidR="00D125DE" w:rsidRPr="005C2179">
        <w:rPr>
          <w:kern w:val="2"/>
          <w:sz w:val="20"/>
        </w:rPr>
        <w:t>z</w:t>
      </w:r>
      <w:r w:rsidRPr="005C2179">
        <w:rPr>
          <w:kern w:val="2"/>
          <w:sz w:val="20"/>
        </w:rPr>
        <w:t>e particular donations or expenditure.”</w:t>
      </w:r>
      <w:r w:rsidRPr="005C2179">
        <w:rPr>
          <w:rStyle w:val="FootnoteReference"/>
          <w:kern w:val="2"/>
          <w:sz w:val="20"/>
        </w:rPr>
        <w:footnoteReference w:id="152"/>
      </w:r>
      <w:r w:rsidRPr="005C2179">
        <w:rPr>
          <w:kern w:val="2"/>
          <w:sz w:val="20"/>
        </w:rPr>
        <w:t xml:space="preserve"> Further, the resolution will have effect for four years.</w:t>
      </w:r>
      <w:r w:rsidRPr="005C2179">
        <w:rPr>
          <w:rStyle w:val="FootnoteReference"/>
          <w:kern w:val="2"/>
          <w:sz w:val="20"/>
        </w:rPr>
        <w:footnoteReference w:id="153"/>
      </w:r>
      <w:r w:rsidRPr="005C2179">
        <w:rPr>
          <w:kern w:val="2"/>
          <w:sz w:val="20"/>
        </w:rPr>
        <w:t xml:space="preserve"> </w:t>
      </w:r>
      <w:r w:rsidR="00C30D7C" w:rsidRPr="005C2179">
        <w:rPr>
          <w:kern w:val="2"/>
          <w:sz w:val="20"/>
        </w:rPr>
        <w:t>As a result, this</w:t>
      </w:r>
      <w:r w:rsidRPr="005C2179">
        <w:rPr>
          <w:kern w:val="2"/>
          <w:sz w:val="20"/>
        </w:rPr>
        <w:t xml:space="preserve"> mechanism does little to promote accountability or attenuate the control of the company’s management over political spending.</w:t>
      </w:r>
    </w:p>
    <w:p w14:paraId="6BDC2575" w14:textId="77777777" w:rsidR="00F90532" w:rsidRPr="005C2179" w:rsidRDefault="00F02F3B" w:rsidP="00330F4B">
      <w:pPr>
        <w:rPr>
          <w:kern w:val="2"/>
          <w:sz w:val="20"/>
        </w:rPr>
      </w:pPr>
      <w:r w:rsidRPr="005C2179">
        <w:rPr>
          <w:kern w:val="2"/>
          <w:sz w:val="20"/>
        </w:rPr>
        <w:t>In</w:t>
      </w:r>
      <w:r w:rsidR="00493DA3" w:rsidRPr="005C2179">
        <w:rPr>
          <w:kern w:val="2"/>
          <w:sz w:val="20"/>
        </w:rPr>
        <w:t xml:space="preserve"> </w:t>
      </w:r>
      <w:r w:rsidR="00446CCF" w:rsidRPr="005C2179">
        <w:rPr>
          <w:kern w:val="2"/>
          <w:sz w:val="20"/>
        </w:rPr>
        <w:t>contrast to for-</w:t>
      </w:r>
      <w:r w:rsidR="00F90532" w:rsidRPr="005C2179">
        <w:rPr>
          <w:kern w:val="2"/>
          <w:sz w:val="20"/>
        </w:rPr>
        <w:t xml:space="preserve">profit corporations, incorporated interest groups could be a </w:t>
      </w:r>
      <w:r w:rsidR="00FF7E9C" w:rsidRPr="005C2179">
        <w:rPr>
          <w:kern w:val="2"/>
          <w:sz w:val="20"/>
        </w:rPr>
        <w:t>healthy</w:t>
      </w:r>
      <w:r w:rsidR="00F90532" w:rsidRPr="005C2179">
        <w:rPr>
          <w:kern w:val="2"/>
          <w:sz w:val="20"/>
        </w:rPr>
        <w:t xml:space="preserve"> means of participation for small donors wishing to act collectively. </w:t>
      </w:r>
      <w:r w:rsidR="00207780" w:rsidRPr="005C2179">
        <w:rPr>
          <w:kern w:val="2"/>
          <w:sz w:val="20"/>
        </w:rPr>
        <w:t xml:space="preserve">Individuals </w:t>
      </w:r>
      <w:r w:rsidR="00BB1EFF" w:rsidRPr="005C2179">
        <w:rPr>
          <w:kern w:val="2"/>
          <w:sz w:val="20"/>
        </w:rPr>
        <w:t xml:space="preserve">contribute money to </w:t>
      </w:r>
      <w:r w:rsidR="00493DA3" w:rsidRPr="005C2179">
        <w:rPr>
          <w:kern w:val="2"/>
          <w:sz w:val="20"/>
        </w:rPr>
        <w:t>the</w:t>
      </w:r>
      <w:r w:rsidR="00BB1EFF" w:rsidRPr="005C2179">
        <w:rPr>
          <w:kern w:val="2"/>
          <w:sz w:val="20"/>
        </w:rPr>
        <w:t xml:space="preserve"> </w:t>
      </w:r>
      <w:r w:rsidR="00493DA3" w:rsidRPr="005C2179">
        <w:rPr>
          <w:kern w:val="2"/>
          <w:sz w:val="20"/>
        </w:rPr>
        <w:t xml:space="preserve">group </w:t>
      </w:r>
      <w:r w:rsidRPr="005C2179">
        <w:rPr>
          <w:kern w:val="2"/>
          <w:sz w:val="20"/>
        </w:rPr>
        <w:t>because</w:t>
      </w:r>
      <w:r w:rsidR="00FF7E9C" w:rsidRPr="005C2179">
        <w:rPr>
          <w:kern w:val="2"/>
          <w:sz w:val="20"/>
        </w:rPr>
        <w:t xml:space="preserve"> of </w:t>
      </w:r>
      <w:r w:rsidR="00493DA3" w:rsidRPr="005C2179">
        <w:rPr>
          <w:kern w:val="2"/>
          <w:sz w:val="20"/>
        </w:rPr>
        <w:t>its</w:t>
      </w:r>
      <w:r w:rsidR="00FF7E9C" w:rsidRPr="005C2179">
        <w:rPr>
          <w:kern w:val="2"/>
          <w:sz w:val="20"/>
        </w:rPr>
        <w:t xml:space="preserve"> political agenda, as opposed to </w:t>
      </w:r>
      <w:r w:rsidR="00F90532" w:rsidRPr="005C2179">
        <w:rPr>
          <w:kern w:val="2"/>
          <w:sz w:val="20"/>
        </w:rPr>
        <w:t>for-profit corporation</w:t>
      </w:r>
      <w:r w:rsidR="00FF7E9C" w:rsidRPr="005C2179">
        <w:rPr>
          <w:kern w:val="2"/>
          <w:sz w:val="20"/>
        </w:rPr>
        <w:t>s</w:t>
      </w:r>
      <w:r w:rsidR="00F90532" w:rsidRPr="005C2179">
        <w:rPr>
          <w:kern w:val="2"/>
          <w:sz w:val="20"/>
        </w:rPr>
        <w:t xml:space="preserve">, in which the company’s political activities have nothing to do with </w:t>
      </w:r>
      <w:r w:rsidR="00BB1EFF" w:rsidRPr="005C2179">
        <w:rPr>
          <w:kern w:val="2"/>
          <w:sz w:val="20"/>
        </w:rPr>
        <w:t>investor support</w:t>
      </w:r>
      <w:r w:rsidR="00F90532" w:rsidRPr="005C2179">
        <w:rPr>
          <w:kern w:val="2"/>
          <w:sz w:val="20"/>
        </w:rPr>
        <w:t>.</w:t>
      </w:r>
      <w:r w:rsidR="00F90532" w:rsidRPr="005C2179">
        <w:rPr>
          <w:rStyle w:val="FootnoteReference"/>
          <w:kern w:val="2"/>
          <w:sz w:val="20"/>
        </w:rPr>
        <w:footnoteReference w:id="154"/>
      </w:r>
      <w:r w:rsidR="00F90532" w:rsidRPr="005C2179">
        <w:rPr>
          <w:kern w:val="2"/>
          <w:sz w:val="20"/>
        </w:rPr>
        <w:t xml:space="preserve"> Thus, as Rowbottom points out, corporate status “says little about whether donations should be permissible or capped.”</w:t>
      </w:r>
      <w:r w:rsidR="00F90532" w:rsidRPr="005C2179">
        <w:rPr>
          <w:rStyle w:val="FootnoteReference"/>
          <w:kern w:val="2"/>
          <w:sz w:val="20"/>
        </w:rPr>
        <w:footnoteReference w:id="155"/>
      </w:r>
    </w:p>
    <w:p w14:paraId="7795D85C" w14:textId="4C327047" w:rsidR="001F1B37" w:rsidRPr="005C2179" w:rsidRDefault="001F1B37" w:rsidP="00330F4B">
      <w:pPr>
        <w:rPr>
          <w:kern w:val="2"/>
          <w:sz w:val="20"/>
        </w:rPr>
      </w:pPr>
      <w:r w:rsidRPr="005C2179">
        <w:rPr>
          <w:kern w:val="2"/>
          <w:sz w:val="20"/>
        </w:rPr>
        <w:t xml:space="preserve">Issacharoff </w:t>
      </w:r>
      <w:r w:rsidR="00D71603" w:rsidRPr="005C2179">
        <w:rPr>
          <w:kern w:val="2"/>
          <w:sz w:val="20"/>
        </w:rPr>
        <w:t>maintains</w:t>
      </w:r>
      <w:r w:rsidRPr="005C2179">
        <w:rPr>
          <w:kern w:val="2"/>
          <w:sz w:val="20"/>
        </w:rPr>
        <w:t xml:space="preserve"> that </w:t>
      </w:r>
      <w:r w:rsidR="00D71603" w:rsidRPr="005C2179">
        <w:rPr>
          <w:kern w:val="2"/>
          <w:sz w:val="20"/>
        </w:rPr>
        <w:t xml:space="preserve">for-profit </w:t>
      </w:r>
      <w:r w:rsidRPr="005C2179">
        <w:rPr>
          <w:kern w:val="2"/>
          <w:sz w:val="20"/>
        </w:rPr>
        <w:t xml:space="preserve">corporations </w:t>
      </w:r>
      <w:r w:rsidR="007925C8" w:rsidRPr="005C2179">
        <w:rPr>
          <w:kern w:val="2"/>
          <w:sz w:val="20"/>
        </w:rPr>
        <w:t xml:space="preserve">in the US </w:t>
      </w:r>
      <w:r w:rsidRPr="005C2179">
        <w:rPr>
          <w:kern w:val="2"/>
          <w:sz w:val="20"/>
        </w:rPr>
        <w:t>lack the desire and</w:t>
      </w:r>
      <w:r w:rsidR="006735E1" w:rsidRPr="005C2179">
        <w:rPr>
          <w:kern w:val="2"/>
          <w:sz w:val="20"/>
        </w:rPr>
        <w:t xml:space="preserve"> ability to overwhelm elections.</w:t>
      </w:r>
      <w:r w:rsidR="006735E1" w:rsidRPr="005C2179">
        <w:rPr>
          <w:rStyle w:val="FootnoteReference"/>
          <w:kern w:val="2"/>
          <w:sz w:val="20"/>
        </w:rPr>
        <w:footnoteReference w:id="156"/>
      </w:r>
      <w:r w:rsidR="00241686" w:rsidRPr="005C2179">
        <w:rPr>
          <w:kern w:val="2"/>
          <w:sz w:val="20"/>
        </w:rPr>
        <w:t xml:space="preserve"> </w:t>
      </w:r>
      <w:r w:rsidR="006735E1" w:rsidRPr="005C2179">
        <w:rPr>
          <w:kern w:val="2"/>
          <w:sz w:val="20"/>
        </w:rPr>
        <w:t>Studies indicate that corporate spending</w:t>
      </w:r>
      <w:r w:rsidR="007925C8" w:rsidRPr="005C2179">
        <w:rPr>
          <w:kern w:val="2"/>
          <w:sz w:val="20"/>
        </w:rPr>
        <w:t xml:space="preserve"> is low compared to other third party spending</w:t>
      </w:r>
      <w:r w:rsidR="006735E1" w:rsidRPr="005C2179">
        <w:rPr>
          <w:kern w:val="2"/>
          <w:sz w:val="20"/>
        </w:rPr>
        <w:t xml:space="preserve"> in the US</w:t>
      </w:r>
      <w:r w:rsidRPr="005C2179">
        <w:rPr>
          <w:kern w:val="2"/>
          <w:sz w:val="20"/>
        </w:rPr>
        <w:t>.</w:t>
      </w:r>
      <w:r w:rsidRPr="005C2179">
        <w:rPr>
          <w:rStyle w:val="FootnoteReference"/>
          <w:kern w:val="2"/>
          <w:sz w:val="20"/>
        </w:rPr>
        <w:footnoteReference w:id="157"/>
      </w:r>
      <w:r w:rsidR="00D71603" w:rsidRPr="005C2179">
        <w:rPr>
          <w:kern w:val="2"/>
          <w:sz w:val="20"/>
        </w:rPr>
        <w:t xml:space="preserve"> Further, a</w:t>
      </w:r>
      <w:r w:rsidRPr="005C2179">
        <w:rPr>
          <w:kern w:val="2"/>
          <w:sz w:val="20"/>
        </w:rPr>
        <w:t xml:space="preserve">fter a US Supreme Court decision struck down restrictions on corporate electioneering, there was no </w:t>
      </w:r>
      <w:r w:rsidR="007925C8" w:rsidRPr="005C2179">
        <w:rPr>
          <w:kern w:val="2"/>
          <w:sz w:val="20"/>
        </w:rPr>
        <w:t>explosion in corporate spending.</w:t>
      </w:r>
      <w:r w:rsidR="007925C8" w:rsidRPr="005C2179">
        <w:rPr>
          <w:rStyle w:val="FootnoteReference"/>
          <w:kern w:val="2"/>
          <w:sz w:val="20"/>
        </w:rPr>
        <w:footnoteReference w:id="158"/>
      </w:r>
      <w:r w:rsidRPr="005C2179">
        <w:rPr>
          <w:kern w:val="2"/>
          <w:sz w:val="20"/>
        </w:rPr>
        <w:t xml:space="preserve"> </w:t>
      </w:r>
      <w:r w:rsidR="007925C8" w:rsidRPr="005C2179">
        <w:rPr>
          <w:kern w:val="2"/>
          <w:sz w:val="20"/>
        </w:rPr>
        <w:t>Rather</w:t>
      </w:r>
      <w:r w:rsidRPr="005C2179">
        <w:rPr>
          <w:kern w:val="2"/>
          <w:sz w:val="20"/>
        </w:rPr>
        <w:t xml:space="preserve">, </w:t>
      </w:r>
      <w:r w:rsidR="007925C8" w:rsidRPr="005C2179">
        <w:rPr>
          <w:kern w:val="2"/>
          <w:sz w:val="20"/>
        </w:rPr>
        <w:t>money has come mostly from wealthy individuals</w:t>
      </w:r>
      <w:r w:rsidRPr="005C2179">
        <w:rPr>
          <w:kern w:val="2"/>
          <w:sz w:val="20"/>
        </w:rPr>
        <w:t>.</w:t>
      </w:r>
      <w:r w:rsidRPr="005C2179">
        <w:rPr>
          <w:rStyle w:val="FootnoteReference"/>
          <w:kern w:val="2"/>
          <w:sz w:val="20"/>
        </w:rPr>
        <w:footnoteReference w:id="159"/>
      </w:r>
      <w:r w:rsidR="007925C8" w:rsidRPr="005C2179">
        <w:rPr>
          <w:kern w:val="2"/>
          <w:sz w:val="20"/>
        </w:rPr>
        <w:t xml:space="preserve"> Issacharoff explains this phenomenon by pointing out that c</w:t>
      </w:r>
      <w:r w:rsidRPr="005C2179">
        <w:rPr>
          <w:kern w:val="2"/>
          <w:sz w:val="20"/>
        </w:rPr>
        <w:t>orporations are probably unwilling to risk backlash by supporting candidates with controversial positions.</w:t>
      </w:r>
      <w:r w:rsidRPr="005C2179">
        <w:rPr>
          <w:rStyle w:val="FootnoteReference"/>
          <w:kern w:val="2"/>
          <w:sz w:val="20"/>
        </w:rPr>
        <w:footnoteReference w:id="160"/>
      </w:r>
      <w:r w:rsidRPr="005C2179">
        <w:rPr>
          <w:kern w:val="2"/>
          <w:sz w:val="20"/>
        </w:rPr>
        <w:t xml:space="preserve"> For example, Target faced a boycott in 2010 after contributing to a candidate that opposed same-sex marriage.</w:t>
      </w:r>
      <w:r w:rsidRPr="005C2179">
        <w:rPr>
          <w:rStyle w:val="FootnoteReference"/>
          <w:kern w:val="2"/>
          <w:sz w:val="20"/>
        </w:rPr>
        <w:footnoteReference w:id="161"/>
      </w:r>
      <w:r w:rsidRPr="005C2179">
        <w:rPr>
          <w:kern w:val="2"/>
          <w:sz w:val="20"/>
        </w:rPr>
        <w:t xml:space="preserve"> </w:t>
      </w:r>
      <w:r w:rsidR="00F02F3B" w:rsidRPr="005C2179">
        <w:rPr>
          <w:kern w:val="2"/>
          <w:sz w:val="20"/>
        </w:rPr>
        <w:t>Issacharoff argues that f</w:t>
      </w:r>
      <w:r w:rsidR="009E37BB" w:rsidRPr="005C2179">
        <w:rPr>
          <w:kern w:val="2"/>
          <w:sz w:val="20"/>
        </w:rPr>
        <w:t>or-profit</w:t>
      </w:r>
      <w:r w:rsidRPr="005C2179">
        <w:rPr>
          <w:kern w:val="2"/>
          <w:sz w:val="20"/>
        </w:rPr>
        <w:t xml:space="preserve"> corporations are more likely to direct their money towards lobbying, which is more effective and discreet.</w:t>
      </w:r>
      <w:r w:rsidRPr="005C2179">
        <w:rPr>
          <w:rStyle w:val="FootnoteReference"/>
          <w:kern w:val="2"/>
          <w:sz w:val="20"/>
        </w:rPr>
        <w:footnoteReference w:id="162"/>
      </w:r>
      <w:r w:rsidRPr="005C2179">
        <w:rPr>
          <w:kern w:val="2"/>
          <w:sz w:val="20"/>
        </w:rPr>
        <w:t xml:space="preserve"> </w:t>
      </w:r>
    </w:p>
    <w:p w14:paraId="4A9A4020" w14:textId="77777777" w:rsidR="004D7A5D" w:rsidRPr="005C2179" w:rsidRDefault="004D7A5D" w:rsidP="009F05FA">
      <w:pPr>
        <w:rPr>
          <w:b/>
          <w:kern w:val="2"/>
          <w:sz w:val="20"/>
        </w:rPr>
      </w:pPr>
      <w:r w:rsidRPr="005C2179">
        <w:rPr>
          <w:b/>
          <w:kern w:val="2"/>
          <w:sz w:val="20"/>
        </w:rPr>
        <w:t>b) Labour Unions</w:t>
      </w:r>
      <w:r w:rsidR="00A83A75" w:rsidRPr="005C2179">
        <w:rPr>
          <w:rStyle w:val="FootnoteReference"/>
          <w:kern w:val="2"/>
          <w:sz w:val="20"/>
        </w:rPr>
        <w:footnoteReference w:id="163"/>
      </w:r>
      <w:r w:rsidRPr="005C2179">
        <w:rPr>
          <w:b/>
          <w:kern w:val="2"/>
          <w:sz w:val="20"/>
        </w:rPr>
        <w:t xml:space="preserve"> </w:t>
      </w:r>
    </w:p>
    <w:p w14:paraId="1A9AEB76" w14:textId="77777777" w:rsidR="00F90532" w:rsidRPr="005C2179" w:rsidRDefault="0067144D" w:rsidP="00330F4B">
      <w:pPr>
        <w:rPr>
          <w:kern w:val="2"/>
          <w:sz w:val="20"/>
        </w:rPr>
      </w:pPr>
      <w:r w:rsidRPr="005C2179">
        <w:rPr>
          <w:kern w:val="2"/>
          <w:sz w:val="20"/>
        </w:rPr>
        <w:t>Labour u</w:t>
      </w:r>
      <w:r w:rsidR="00B04BC6" w:rsidRPr="005C2179">
        <w:rPr>
          <w:kern w:val="2"/>
          <w:sz w:val="20"/>
        </w:rPr>
        <w:t>nions are often grouped</w:t>
      </w:r>
      <w:r w:rsidR="00870786" w:rsidRPr="005C2179">
        <w:rPr>
          <w:kern w:val="2"/>
          <w:sz w:val="20"/>
        </w:rPr>
        <w:t xml:space="preserve"> </w:t>
      </w:r>
      <w:r w:rsidR="00A05B8B" w:rsidRPr="005C2179">
        <w:rPr>
          <w:kern w:val="2"/>
          <w:sz w:val="20"/>
        </w:rPr>
        <w:t xml:space="preserve">with corporations </w:t>
      </w:r>
      <w:r w:rsidRPr="005C2179">
        <w:rPr>
          <w:kern w:val="2"/>
          <w:sz w:val="20"/>
        </w:rPr>
        <w:t xml:space="preserve">in </w:t>
      </w:r>
      <w:r w:rsidR="00165C36" w:rsidRPr="005C2179">
        <w:rPr>
          <w:kern w:val="2"/>
          <w:sz w:val="20"/>
        </w:rPr>
        <w:t xml:space="preserve">debates over and </w:t>
      </w:r>
      <w:r w:rsidRPr="005C2179">
        <w:rPr>
          <w:kern w:val="2"/>
          <w:sz w:val="20"/>
        </w:rPr>
        <w:t>legislation on</w:t>
      </w:r>
      <w:r w:rsidR="00B04BC6" w:rsidRPr="005C2179">
        <w:rPr>
          <w:kern w:val="2"/>
          <w:sz w:val="20"/>
        </w:rPr>
        <w:t xml:space="preserve"> campaign finance. For example, t</w:t>
      </w:r>
      <w:r w:rsidR="00F90532" w:rsidRPr="005C2179">
        <w:rPr>
          <w:kern w:val="2"/>
          <w:sz w:val="20"/>
        </w:rPr>
        <w:t xml:space="preserve">he dissenting justices </w:t>
      </w:r>
      <w:r w:rsidR="00183F39" w:rsidRPr="005C2179">
        <w:rPr>
          <w:kern w:val="2"/>
          <w:sz w:val="20"/>
        </w:rPr>
        <w:t xml:space="preserve">of the US Supreme Court </w:t>
      </w:r>
      <w:r w:rsidR="00F90532" w:rsidRPr="005C2179">
        <w:rPr>
          <w:kern w:val="2"/>
          <w:sz w:val="20"/>
        </w:rPr>
        <w:t xml:space="preserve">in </w:t>
      </w:r>
      <w:r w:rsidR="00F90532" w:rsidRPr="005C2179">
        <w:rPr>
          <w:i/>
          <w:kern w:val="2"/>
          <w:sz w:val="20"/>
        </w:rPr>
        <w:t xml:space="preserve">Citizens United </w:t>
      </w:r>
      <w:r w:rsidR="00183F39" w:rsidRPr="005C2179">
        <w:rPr>
          <w:i/>
          <w:kern w:val="2"/>
          <w:sz w:val="20"/>
        </w:rPr>
        <w:t xml:space="preserve">v Federal Election Commission </w:t>
      </w:r>
      <w:r w:rsidR="00D11EE9" w:rsidRPr="005C2179">
        <w:rPr>
          <w:kern w:val="2"/>
          <w:sz w:val="20"/>
        </w:rPr>
        <w:t>discussed</w:t>
      </w:r>
      <w:r w:rsidR="00F90532" w:rsidRPr="005C2179">
        <w:rPr>
          <w:kern w:val="2"/>
          <w:sz w:val="20"/>
        </w:rPr>
        <w:t xml:space="preserve"> corporations and unions together, stating that both represent “narrow interests</w:t>
      </w:r>
      <w:r w:rsidR="00464D69" w:rsidRPr="005C2179">
        <w:rPr>
          <w:kern w:val="2"/>
          <w:sz w:val="20"/>
        </w:rPr>
        <w:t>.</w:t>
      </w:r>
      <w:r w:rsidR="00F90532" w:rsidRPr="005C2179">
        <w:rPr>
          <w:kern w:val="2"/>
          <w:sz w:val="20"/>
        </w:rPr>
        <w:t>”</w:t>
      </w:r>
      <w:r w:rsidR="00B04BC6" w:rsidRPr="005C2179">
        <w:rPr>
          <w:rStyle w:val="FootnoteReference"/>
          <w:kern w:val="2"/>
          <w:sz w:val="20"/>
        </w:rPr>
        <w:footnoteReference w:id="164"/>
      </w:r>
      <w:r w:rsidR="00F90532" w:rsidRPr="005C2179">
        <w:rPr>
          <w:kern w:val="2"/>
          <w:sz w:val="20"/>
        </w:rPr>
        <w:t xml:space="preserve"> </w:t>
      </w:r>
      <w:r w:rsidR="00CB4429" w:rsidRPr="005C2179">
        <w:rPr>
          <w:kern w:val="2"/>
          <w:sz w:val="20"/>
        </w:rPr>
        <w:t>However, political spending by</w:t>
      </w:r>
      <w:r w:rsidR="005404ED" w:rsidRPr="005C2179">
        <w:rPr>
          <w:kern w:val="2"/>
          <w:sz w:val="20"/>
        </w:rPr>
        <w:t xml:space="preserve"> labour unions </w:t>
      </w:r>
      <w:r w:rsidR="002947D6" w:rsidRPr="005C2179">
        <w:rPr>
          <w:kern w:val="2"/>
          <w:sz w:val="20"/>
        </w:rPr>
        <w:t xml:space="preserve">arguably </w:t>
      </w:r>
      <w:r w:rsidR="005404ED" w:rsidRPr="005C2179">
        <w:rPr>
          <w:kern w:val="2"/>
          <w:sz w:val="20"/>
        </w:rPr>
        <w:t>differs from</w:t>
      </w:r>
      <w:r w:rsidR="009D5FC9" w:rsidRPr="005C2179">
        <w:rPr>
          <w:kern w:val="2"/>
          <w:sz w:val="20"/>
        </w:rPr>
        <w:t xml:space="preserve"> political spending by</w:t>
      </w:r>
      <w:r w:rsidR="00CB4429" w:rsidRPr="005C2179">
        <w:rPr>
          <w:kern w:val="2"/>
          <w:sz w:val="20"/>
        </w:rPr>
        <w:t xml:space="preserve"> for-profit corporations</w:t>
      </w:r>
      <w:r w:rsidR="005404ED" w:rsidRPr="005C2179">
        <w:rPr>
          <w:kern w:val="2"/>
          <w:sz w:val="20"/>
        </w:rPr>
        <w:t xml:space="preserve"> </w:t>
      </w:r>
      <w:r w:rsidR="00C6639C" w:rsidRPr="005C2179">
        <w:rPr>
          <w:kern w:val="2"/>
          <w:sz w:val="20"/>
        </w:rPr>
        <w:t>in</w:t>
      </w:r>
      <w:r w:rsidR="00165C36" w:rsidRPr="005C2179">
        <w:rPr>
          <w:kern w:val="2"/>
          <w:sz w:val="20"/>
        </w:rPr>
        <w:t xml:space="preserve"> regard to its</w:t>
      </w:r>
      <w:r w:rsidR="005404ED" w:rsidRPr="005C2179">
        <w:rPr>
          <w:kern w:val="2"/>
          <w:sz w:val="20"/>
        </w:rPr>
        <w:t xml:space="preserve"> implications for corruption and equality</w:t>
      </w:r>
      <w:r w:rsidR="009D5FC9" w:rsidRPr="005C2179">
        <w:rPr>
          <w:kern w:val="2"/>
          <w:sz w:val="20"/>
        </w:rPr>
        <w:t xml:space="preserve">. </w:t>
      </w:r>
      <w:r w:rsidR="00F90532" w:rsidRPr="005C2179">
        <w:rPr>
          <w:kern w:val="2"/>
          <w:sz w:val="20"/>
        </w:rPr>
        <w:t>Ewing, comm</w:t>
      </w:r>
      <w:r w:rsidR="00AC50E0" w:rsidRPr="005C2179">
        <w:rPr>
          <w:kern w:val="2"/>
          <w:sz w:val="20"/>
        </w:rPr>
        <w:t>enting in the UK context, points out</w:t>
      </w:r>
      <w:r w:rsidR="00F90532" w:rsidRPr="005C2179">
        <w:rPr>
          <w:kern w:val="2"/>
          <w:sz w:val="20"/>
        </w:rPr>
        <w:t xml:space="preserve"> that “the trade union model of party funding is one that involves millions of people of modest means making a small annual contribution to sustain the political process.</w:t>
      </w:r>
      <w:r w:rsidR="00AC50E0" w:rsidRPr="005C2179">
        <w:rPr>
          <w:kern w:val="2"/>
          <w:sz w:val="20"/>
        </w:rPr>
        <w:t>”</w:t>
      </w:r>
      <w:r w:rsidR="00AC50E0" w:rsidRPr="005C2179">
        <w:rPr>
          <w:rStyle w:val="FootnoteReference"/>
          <w:kern w:val="2"/>
          <w:sz w:val="20"/>
        </w:rPr>
        <w:footnoteReference w:id="165"/>
      </w:r>
      <w:r w:rsidR="00A73F53" w:rsidRPr="005C2179">
        <w:rPr>
          <w:kern w:val="2"/>
          <w:sz w:val="20"/>
        </w:rPr>
        <w:t xml:space="preserve"> In Ewing’s</w:t>
      </w:r>
      <w:r w:rsidR="00AC50E0" w:rsidRPr="005C2179">
        <w:rPr>
          <w:kern w:val="2"/>
          <w:sz w:val="20"/>
        </w:rPr>
        <w:t xml:space="preserve"> view, “[t]</w:t>
      </w:r>
      <w:r w:rsidR="00F90532" w:rsidRPr="005C2179">
        <w:rPr>
          <w:kern w:val="2"/>
          <w:sz w:val="20"/>
        </w:rPr>
        <w:t>his is precisely what we should be trying to encourage</w:t>
      </w:r>
      <w:r w:rsidR="00464D69" w:rsidRPr="005C2179">
        <w:rPr>
          <w:kern w:val="2"/>
          <w:sz w:val="20"/>
        </w:rPr>
        <w:t>.</w:t>
      </w:r>
      <w:r w:rsidR="00F90532" w:rsidRPr="005C2179">
        <w:rPr>
          <w:kern w:val="2"/>
          <w:sz w:val="20"/>
        </w:rPr>
        <w:t>”</w:t>
      </w:r>
      <w:r w:rsidR="00F90532" w:rsidRPr="005C2179">
        <w:rPr>
          <w:rStyle w:val="FootnoteReference"/>
          <w:kern w:val="2"/>
          <w:sz w:val="20"/>
        </w:rPr>
        <w:footnoteReference w:id="166"/>
      </w:r>
      <w:r w:rsidR="00F90532" w:rsidRPr="005C2179">
        <w:rPr>
          <w:kern w:val="2"/>
          <w:sz w:val="20"/>
        </w:rPr>
        <w:t xml:space="preserve"> Rowb</w:t>
      </w:r>
      <w:r w:rsidR="00D11EE9" w:rsidRPr="005C2179">
        <w:rPr>
          <w:kern w:val="2"/>
          <w:sz w:val="20"/>
        </w:rPr>
        <w:t>ottom</w:t>
      </w:r>
      <w:r w:rsidR="006857DE" w:rsidRPr="005C2179">
        <w:rPr>
          <w:kern w:val="2"/>
          <w:sz w:val="20"/>
        </w:rPr>
        <w:t xml:space="preserve"> adds</w:t>
      </w:r>
      <w:r w:rsidR="005404ED" w:rsidRPr="005C2179">
        <w:rPr>
          <w:kern w:val="2"/>
          <w:sz w:val="20"/>
        </w:rPr>
        <w:t xml:space="preserve"> that unions often have</w:t>
      </w:r>
      <w:r w:rsidR="006857DE" w:rsidRPr="005C2179">
        <w:rPr>
          <w:kern w:val="2"/>
          <w:sz w:val="20"/>
        </w:rPr>
        <w:t xml:space="preserve"> some</w:t>
      </w:r>
      <w:r w:rsidR="00F90532" w:rsidRPr="005C2179">
        <w:rPr>
          <w:kern w:val="2"/>
          <w:sz w:val="20"/>
        </w:rPr>
        <w:t xml:space="preserve"> form of “internal democracy</w:t>
      </w:r>
      <w:r w:rsidR="00464D69" w:rsidRPr="005C2179">
        <w:rPr>
          <w:kern w:val="2"/>
          <w:sz w:val="20"/>
        </w:rPr>
        <w:t>,</w:t>
      </w:r>
      <w:r w:rsidR="00F90532" w:rsidRPr="005C2179">
        <w:rPr>
          <w:kern w:val="2"/>
          <w:sz w:val="20"/>
        </w:rPr>
        <w:t>”</w:t>
      </w:r>
      <w:r w:rsidR="00D418A0" w:rsidRPr="005C2179">
        <w:rPr>
          <w:kern w:val="2"/>
          <w:sz w:val="20"/>
        </w:rPr>
        <w:t xml:space="preserve"> such as</w:t>
      </w:r>
      <w:r w:rsidR="007031E0" w:rsidRPr="005C2179">
        <w:rPr>
          <w:kern w:val="2"/>
          <w:sz w:val="20"/>
        </w:rPr>
        <w:t xml:space="preserve"> requirements for</w:t>
      </w:r>
      <w:r w:rsidR="00F90532" w:rsidRPr="005C2179">
        <w:rPr>
          <w:kern w:val="2"/>
          <w:sz w:val="20"/>
        </w:rPr>
        <w:t xml:space="preserve"> </w:t>
      </w:r>
      <w:r w:rsidR="00127FF7" w:rsidRPr="005C2179">
        <w:rPr>
          <w:kern w:val="2"/>
          <w:sz w:val="20"/>
        </w:rPr>
        <w:t>internal debate on proposed political spending</w:t>
      </w:r>
      <w:r w:rsidR="007031E0" w:rsidRPr="005C2179">
        <w:rPr>
          <w:kern w:val="2"/>
          <w:sz w:val="20"/>
        </w:rPr>
        <w:t xml:space="preserve"> and measures to promote</w:t>
      </w:r>
      <w:r w:rsidR="00127FF7" w:rsidRPr="005C2179">
        <w:rPr>
          <w:kern w:val="2"/>
          <w:sz w:val="20"/>
        </w:rPr>
        <w:t xml:space="preserve"> </w:t>
      </w:r>
      <w:r w:rsidR="006857DE" w:rsidRPr="005C2179">
        <w:rPr>
          <w:kern w:val="2"/>
          <w:sz w:val="20"/>
        </w:rPr>
        <w:t>the accountability of union leaders</w:t>
      </w:r>
      <w:r w:rsidR="00F90532" w:rsidRPr="005C2179">
        <w:rPr>
          <w:kern w:val="2"/>
          <w:sz w:val="20"/>
        </w:rPr>
        <w:t>.</w:t>
      </w:r>
      <w:r w:rsidR="00F90532" w:rsidRPr="005C2179">
        <w:rPr>
          <w:rStyle w:val="FootnoteReference"/>
          <w:kern w:val="2"/>
          <w:sz w:val="20"/>
        </w:rPr>
        <w:footnoteReference w:id="167"/>
      </w:r>
      <w:r w:rsidR="00822CCA" w:rsidRPr="005C2179">
        <w:rPr>
          <w:kern w:val="2"/>
          <w:sz w:val="20"/>
        </w:rPr>
        <w:t xml:space="preserve"> For these reasons, Rowbottom argues </w:t>
      </w:r>
      <w:r w:rsidR="00AE1E21" w:rsidRPr="005C2179">
        <w:rPr>
          <w:kern w:val="2"/>
          <w:sz w:val="20"/>
        </w:rPr>
        <w:t>that union spending</w:t>
      </w:r>
      <w:r w:rsidR="00822CCA" w:rsidRPr="005C2179">
        <w:rPr>
          <w:kern w:val="2"/>
          <w:sz w:val="20"/>
        </w:rPr>
        <w:t xml:space="preserve"> is</w:t>
      </w:r>
      <w:r w:rsidR="00F90532" w:rsidRPr="005C2179">
        <w:rPr>
          <w:kern w:val="2"/>
          <w:sz w:val="20"/>
        </w:rPr>
        <w:t xml:space="preserve"> not problematic from the perspective of equality.</w:t>
      </w:r>
      <w:r w:rsidR="00F90532" w:rsidRPr="005C2179">
        <w:rPr>
          <w:rStyle w:val="FootnoteReference"/>
          <w:kern w:val="2"/>
          <w:sz w:val="20"/>
        </w:rPr>
        <w:footnoteReference w:id="168"/>
      </w:r>
      <w:r w:rsidR="00F90532" w:rsidRPr="005C2179">
        <w:rPr>
          <w:kern w:val="2"/>
          <w:sz w:val="20"/>
        </w:rPr>
        <w:t xml:space="preserve"> </w:t>
      </w:r>
      <w:r w:rsidR="004232D8" w:rsidRPr="005C2179">
        <w:rPr>
          <w:kern w:val="2"/>
          <w:sz w:val="20"/>
        </w:rPr>
        <w:t>Yet</w:t>
      </w:r>
      <w:r w:rsidR="00F90532" w:rsidRPr="005C2179">
        <w:rPr>
          <w:kern w:val="2"/>
          <w:sz w:val="20"/>
        </w:rPr>
        <w:t xml:space="preserve"> unions are the most heavily regulated donors in the UK.</w:t>
      </w:r>
      <w:r w:rsidR="00F90532" w:rsidRPr="005C2179">
        <w:rPr>
          <w:rStyle w:val="FootnoteReference"/>
          <w:kern w:val="2"/>
          <w:sz w:val="20"/>
        </w:rPr>
        <w:footnoteReference w:id="169"/>
      </w:r>
      <w:r w:rsidR="00F90532" w:rsidRPr="005C2179">
        <w:rPr>
          <w:kern w:val="2"/>
          <w:sz w:val="20"/>
        </w:rPr>
        <w:t xml:space="preserve"> In contrast to the thin shareholder resolution requirement for UK corporations, unions in the UK must ballot their members to establish a separate political fund for any political spending.</w:t>
      </w:r>
      <w:r w:rsidR="00F90532" w:rsidRPr="005C2179">
        <w:rPr>
          <w:rStyle w:val="FootnoteReference"/>
          <w:kern w:val="2"/>
          <w:sz w:val="20"/>
        </w:rPr>
        <w:footnoteReference w:id="170"/>
      </w:r>
      <w:r w:rsidR="00F90532" w:rsidRPr="005C2179">
        <w:rPr>
          <w:kern w:val="2"/>
          <w:sz w:val="20"/>
        </w:rPr>
        <w:t xml:space="preserve"> Individual members </w:t>
      </w:r>
      <w:r w:rsidR="006E64FB" w:rsidRPr="005C2179">
        <w:rPr>
          <w:kern w:val="2"/>
          <w:sz w:val="20"/>
        </w:rPr>
        <w:t xml:space="preserve">must </w:t>
      </w:r>
      <w:r w:rsidR="00C96E9D" w:rsidRPr="005C2179">
        <w:rPr>
          <w:kern w:val="2"/>
          <w:sz w:val="20"/>
        </w:rPr>
        <w:t xml:space="preserve">then </w:t>
      </w:r>
      <w:r w:rsidR="006E64FB" w:rsidRPr="005C2179">
        <w:rPr>
          <w:kern w:val="2"/>
          <w:sz w:val="20"/>
        </w:rPr>
        <w:t xml:space="preserve">opt in to </w:t>
      </w:r>
      <w:r w:rsidR="00F90532" w:rsidRPr="005C2179">
        <w:rPr>
          <w:kern w:val="2"/>
          <w:sz w:val="20"/>
        </w:rPr>
        <w:t>payments into the fund.</w:t>
      </w:r>
      <w:r w:rsidR="00F90532" w:rsidRPr="005C2179">
        <w:rPr>
          <w:rStyle w:val="FootnoteReference"/>
          <w:kern w:val="2"/>
          <w:sz w:val="20"/>
        </w:rPr>
        <w:footnoteReference w:id="171"/>
      </w:r>
    </w:p>
    <w:p w14:paraId="4447CD8E" w14:textId="7D61CFFE" w:rsidR="004C3336" w:rsidRPr="005C2179" w:rsidRDefault="009E7AA7" w:rsidP="00BF63B6">
      <w:pPr>
        <w:pStyle w:val="Heading2"/>
        <w:rPr>
          <w:kern w:val="2"/>
          <w:sz w:val="24"/>
        </w:rPr>
      </w:pPr>
      <w:r w:rsidRPr="005C2179">
        <w:rPr>
          <w:kern w:val="2"/>
          <w:sz w:val="24"/>
        </w:rPr>
        <w:t>Incidence of Third-Party</w:t>
      </w:r>
      <w:r w:rsidR="00F90532" w:rsidRPr="005C2179">
        <w:rPr>
          <w:kern w:val="2"/>
          <w:sz w:val="24"/>
        </w:rPr>
        <w:t xml:space="preserve"> Electioneering </w:t>
      </w:r>
      <w:r w:rsidR="00B073B9" w:rsidRPr="005C2179">
        <w:rPr>
          <w:kern w:val="2"/>
          <w:sz w:val="24"/>
        </w:rPr>
        <w:t>in Canada and the UK</w:t>
      </w:r>
    </w:p>
    <w:p w14:paraId="11A5A990" w14:textId="77777777" w:rsidR="009E7AA7" w:rsidRPr="005C2179" w:rsidRDefault="00E62284" w:rsidP="00330F4B">
      <w:pPr>
        <w:rPr>
          <w:kern w:val="2"/>
          <w:sz w:val="20"/>
        </w:rPr>
      </w:pPr>
      <w:r w:rsidRPr="005C2179">
        <w:rPr>
          <w:kern w:val="2"/>
          <w:sz w:val="20"/>
        </w:rPr>
        <w:t xml:space="preserve">Gauja and Orr </w:t>
      </w:r>
      <w:r w:rsidR="00AE30A2" w:rsidRPr="005C2179">
        <w:rPr>
          <w:kern w:val="2"/>
          <w:sz w:val="20"/>
        </w:rPr>
        <w:t>argue</w:t>
      </w:r>
      <w:r w:rsidRPr="005C2179">
        <w:rPr>
          <w:kern w:val="2"/>
          <w:sz w:val="20"/>
        </w:rPr>
        <w:t xml:space="preserve"> that “there is relatively little demand for ‘big money’ third-party campaigning in parliamentary democracies</w:t>
      </w:r>
      <w:r w:rsidR="009A32FF" w:rsidRPr="005C2179">
        <w:rPr>
          <w:kern w:val="2"/>
          <w:sz w:val="20"/>
        </w:rPr>
        <w:t>,</w:t>
      </w:r>
      <w:r w:rsidRPr="005C2179">
        <w:rPr>
          <w:kern w:val="2"/>
          <w:sz w:val="20"/>
        </w:rPr>
        <w:t>” especially those, like Canada and</w:t>
      </w:r>
      <w:r w:rsidR="003E2D3B" w:rsidRPr="005C2179">
        <w:rPr>
          <w:kern w:val="2"/>
          <w:sz w:val="20"/>
        </w:rPr>
        <w:t xml:space="preserve"> the</w:t>
      </w:r>
      <w:r w:rsidRPr="005C2179">
        <w:rPr>
          <w:kern w:val="2"/>
          <w:sz w:val="20"/>
        </w:rPr>
        <w:t xml:space="preserve"> UK, that are “culturally, rather than legally driven,” to accept limits on third-party spending.</w:t>
      </w:r>
      <w:r w:rsidRPr="005C2179">
        <w:rPr>
          <w:rStyle w:val="FootnoteReference"/>
          <w:kern w:val="2"/>
          <w:sz w:val="20"/>
        </w:rPr>
        <w:footnoteReference w:id="172"/>
      </w:r>
      <w:r w:rsidRPr="005C2179">
        <w:rPr>
          <w:kern w:val="2"/>
          <w:sz w:val="20"/>
        </w:rPr>
        <w:t xml:space="preserve"> In the UK, third parties rarely approach their spending limit</w:t>
      </w:r>
      <w:r w:rsidR="001E5CC8" w:rsidRPr="005C2179">
        <w:rPr>
          <w:kern w:val="2"/>
          <w:sz w:val="20"/>
        </w:rPr>
        <w:t>s</w:t>
      </w:r>
      <w:r w:rsidRPr="005C2179">
        <w:rPr>
          <w:kern w:val="2"/>
          <w:sz w:val="20"/>
        </w:rPr>
        <w:t>, although this co</w:t>
      </w:r>
      <w:r w:rsidR="00CD405C" w:rsidRPr="005C2179">
        <w:rPr>
          <w:kern w:val="2"/>
          <w:sz w:val="20"/>
        </w:rPr>
        <w:t>uld be partly due to gaps in</w:t>
      </w:r>
      <w:r w:rsidRPr="005C2179">
        <w:rPr>
          <w:kern w:val="2"/>
          <w:sz w:val="20"/>
        </w:rPr>
        <w:t xml:space="preserve"> reporting requirements or cost splitting by third parties.</w:t>
      </w:r>
      <w:r w:rsidRPr="005C2179">
        <w:rPr>
          <w:rStyle w:val="FootnoteReference"/>
          <w:kern w:val="2"/>
          <w:sz w:val="20"/>
        </w:rPr>
        <w:footnoteReference w:id="173"/>
      </w:r>
      <w:r w:rsidRPr="005C2179">
        <w:rPr>
          <w:kern w:val="2"/>
          <w:sz w:val="20"/>
        </w:rPr>
        <w:t xml:space="preserve"> Similarly, third parties in Canada generally do not reach </w:t>
      </w:r>
      <w:r w:rsidR="008941B0" w:rsidRPr="005C2179">
        <w:rPr>
          <w:kern w:val="2"/>
          <w:sz w:val="20"/>
        </w:rPr>
        <w:t>their spending limits.</w:t>
      </w:r>
      <w:r w:rsidR="008941B0" w:rsidRPr="005C2179">
        <w:rPr>
          <w:rStyle w:val="FootnoteReference"/>
          <w:kern w:val="2"/>
          <w:sz w:val="20"/>
        </w:rPr>
        <w:footnoteReference w:id="174"/>
      </w:r>
      <w:r w:rsidR="008941B0" w:rsidRPr="005C2179">
        <w:rPr>
          <w:kern w:val="2"/>
          <w:sz w:val="20"/>
        </w:rPr>
        <w:t xml:space="preserve"> </w:t>
      </w:r>
      <w:r w:rsidR="00821538" w:rsidRPr="005C2179">
        <w:rPr>
          <w:kern w:val="2"/>
          <w:sz w:val="20"/>
        </w:rPr>
        <w:t>Feasby argues that third parties in Canada have little “appetite</w:t>
      </w:r>
      <w:r w:rsidR="009A32FF" w:rsidRPr="005C2179">
        <w:rPr>
          <w:kern w:val="2"/>
          <w:sz w:val="20"/>
        </w:rPr>
        <w:t xml:space="preserve"> </w:t>
      </w:r>
      <w:r w:rsidR="00821538" w:rsidRPr="005C2179">
        <w:rPr>
          <w:kern w:val="2"/>
          <w:sz w:val="20"/>
        </w:rPr>
        <w:t>...</w:t>
      </w:r>
      <w:r w:rsidR="009A32FF" w:rsidRPr="005C2179">
        <w:rPr>
          <w:kern w:val="2"/>
          <w:sz w:val="20"/>
        </w:rPr>
        <w:t xml:space="preserve"> </w:t>
      </w:r>
      <w:r w:rsidR="00821538" w:rsidRPr="005C2179">
        <w:rPr>
          <w:kern w:val="2"/>
          <w:sz w:val="20"/>
        </w:rPr>
        <w:t>for big money campaigns</w:t>
      </w:r>
      <w:r w:rsidR="009A32FF" w:rsidRPr="005C2179">
        <w:rPr>
          <w:kern w:val="2"/>
          <w:sz w:val="20"/>
        </w:rPr>
        <w:t>,</w:t>
      </w:r>
      <w:r w:rsidR="00821538" w:rsidRPr="005C2179">
        <w:rPr>
          <w:kern w:val="2"/>
          <w:sz w:val="20"/>
        </w:rPr>
        <w:t>” while the “lack of co-ordination between third parties suggests that third parties are not affecting electoral fortunes on a national level.”</w:t>
      </w:r>
      <w:r w:rsidR="00821538" w:rsidRPr="005C2179">
        <w:rPr>
          <w:rStyle w:val="FootnoteReference"/>
          <w:kern w:val="2"/>
          <w:sz w:val="20"/>
        </w:rPr>
        <w:footnoteReference w:id="175"/>
      </w:r>
      <w:r w:rsidR="00821538" w:rsidRPr="005C2179">
        <w:rPr>
          <w:kern w:val="2"/>
          <w:sz w:val="20"/>
        </w:rPr>
        <w:t xml:space="preserve"> </w:t>
      </w:r>
      <w:r w:rsidR="006F5ECC" w:rsidRPr="005C2179">
        <w:rPr>
          <w:kern w:val="2"/>
          <w:sz w:val="20"/>
        </w:rPr>
        <w:t>In Canada’s</w:t>
      </w:r>
      <w:r w:rsidR="00821538" w:rsidRPr="005C2179">
        <w:rPr>
          <w:kern w:val="2"/>
          <w:sz w:val="20"/>
        </w:rPr>
        <w:t xml:space="preserve"> 2008 federal general election</w:t>
      </w:r>
      <w:r w:rsidR="00E90B27" w:rsidRPr="005C2179">
        <w:rPr>
          <w:kern w:val="2"/>
          <w:sz w:val="20"/>
        </w:rPr>
        <w:t>, while political parties spent over $58 million</w:t>
      </w:r>
      <w:r w:rsidR="00A25038" w:rsidRPr="005C2179">
        <w:rPr>
          <w:kern w:val="2"/>
          <w:sz w:val="20"/>
        </w:rPr>
        <w:t>, third-</w:t>
      </w:r>
      <w:r w:rsidR="00E90B27" w:rsidRPr="005C2179">
        <w:rPr>
          <w:kern w:val="2"/>
          <w:sz w:val="20"/>
        </w:rPr>
        <w:t>party spending was relatively negligible at just under $1.5 million.</w:t>
      </w:r>
      <w:r w:rsidR="00E90B27" w:rsidRPr="005C2179">
        <w:rPr>
          <w:rStyle w:val="FootnoteReference"/>
          <w:kern w:val="2"/>
          <w:sz w:val="20"/>
        </w:rPr>
        <w:footnoteReference w:id="176"/>
      </w:r>
      <w:r w:rsidR="00E90B27" w:rsidRPr="005C2179">
        <w:rPr>
          <w:kern w:val="2"/>
          <w:sz w:val="20"/>
        </w:rPr>
        <w:t xml:space="preserve"> In the 2015</w:t>
      </w:r>
      <w:r w:rsidR="00A25038" w:rsidRPr="005C2179">
        <w:rPr>
          <w:kern w:val="2"/>
          <w:sz w:val="20"/>
        </w:rPr>
        <w:t xml:space="preserve"> federal</w:t>
      </w:r>
      <w:r w:rsidR="00E90B27" w:rsidRPr="005C2179">
        <w:rPr>
          <w:kern w:val="2"/>
          <w:sz w:val="20"/>
        </w:rPr>
        <w:t xml:space="preserve"> general election, 104 third parties collectively spent over $6 million on election advertising, but spending limits were much higher in 2015 </w:t>
      </w:r>
      <w:r w:rsidR="00802431" w:rsidRPr="005C2179">
        <w:rPr>
          <w:kern w:val="2"/>
          <w:sz w:val="20"/>
        </w:rPr>
        <w:t>because of</w:t>
      </w:r>
      <w:r w:rsidR="00E90B27" w:rsidRPr="005C2179">
        <w:rPr>
          <w:kern w:val="2"/>
          <w:sz w:val="20"/>
        </w:rPr>
        <w:t xml:space="preserve"> the unusually long campaign.</w:t>
      </w:r>
      <w:r w:rsidR="00E90B27" w:rsidRPr="005C2179">
        <w:rPr>
          <w:rStyle w:val="FootnoteReference"/>
          <w:kern w:val="2"/>
          <w:sz w:val="20"/>
        </w:rPr>
        <w:footnoteReference w:id="177"/>
      </w:r>
      <w:r w:rsidR="00E90B27" w:rsidRPr="005C2179">
        <w:rPr>
          <w:kern w:val="2"/>
          <w:sz w:val="20"/>
        </w:rPr>
        <w:t xml:space="preserve"> </w:t>
      </w:r>
      <w:r w:rsidR="00202490" w:rsidRPr="005C2179">
        <w:rPr>
          <w:kern w:val="2"/>
          <w:sz w:val="20"/>
        </w:rPr>
        <w:t xml:space="preserve">Lawlor and Crandall add that third </w:t>
      </w:r>
      <w:r w:rsidR="006F5ECC" w:rsidRPr="005C2179">
        <w:rPr>
          <w:kern w:val="2"/>
          <w:sz w:val="20"/>
        </w:rPr>
        <w:t xml:space="preserve">parties </w:t>
      </w:r>
      <w:r w:rsidR="005E31DB" w:rsidRPr="005C2179">
        <w:rPr>
          <w:kern w:val="2"/>
          <w:sz w:val="20"/>
        </w:rPr>
        <w:t>are probably not being used</w:t>
      </w:r>
      <w:r w:rsidR="006F5ECC" w:rsidRPr="005C2179">
        <w:rPr>
          <w:kern w:val="2"/>
          <w:sz w:val="20"/>
        </w:rPr>
        <w:t xml:space="preserve"> to</w:t>
      </w:r>
      <w:r w:rsidR="00202490" w:rsidRPr="005C2179">
        <w:rPr>
          <w:kern w:val="2"/>
          <w:sz w:val="20"/>
        </w:rPr>
        <w:t xml:space="preserve"> circumvent contribution limits to parties and candidates.</w:t>
      </w:r>
      <w:r w:rsidR="00202490" w:rsidRPr="005C2179">
        <w:rPr>
          <w:rStyle w:val="FootnoteReference"/>
          <w:kern w:val="2"/>
          <w:sz w:val="20"/>
        </w:rPr>
        <w:footnoteReference w:id="178"/>
      </w:r>
      <w:r w:rsidR="00202490" w:rsidRPr="005C2179">
        <w:rPr>
          <w:kern w:val="2"/>
          <w:sz w:val="20"/>
        </w:rPr>
        <w:t xml:space="preserve"> Based on these observations, they argue that third-party spending restrictions in Canada seem “to be a preventative rather than a responsive approach</w:t>
      </w:r>
      <w:r w:rsidR="00293AE3" w:rsidRPr="005C2179">
        <w:rPr>
          <w:kern w:val="2"/>
          <w:sz w:val="20"/>
        </w:rPr>
        <w:t>.</w:t>
      </w:r>
      <w:r w:rsidR="00202490" w:rsidRPr="005C2179">
        <w:rPr>
          <w:kern w:val="2"/>
          <w:sz w:val="20"/>
        </w:rPr>
        <w:t>”</w:t>
      </w:r>
      <w:r w:rsidR="00202490" w:rsidRPr="005C2179">
        <w:rPr>
          <w:rStyle w:val="FootnoteReference"/>
          <w:kern w:val="2"/>
          <w:sz w:val="20"/>
        </w:rPr>
        <w:footnoteReference w:id="179"/>
      </w:r>
      <w:r w:rsidR="00202490" w:rsidRPr="005C2179">
        <w:rPr>
          <w:kern w:val="2"/>
          <w:sz w:val="20"/>
        </w:rPr>
        <w:t xml:space="preserve"> </w:t>
      </w:r>
    </w:p>
    <w:p w14:paraId="1B66BF26" w14:textId="77777777" w:rsidR="009138C7" w:rsidRPr="005C2179" w:rsidRDefault="005E31DB" w:rsidP="00330F4B">
      <w:pPr>
        <w:rPr>
          <w:kern w:val="2"/>
          <w:sz w:val="20"/>
        </w:rPr>
      </w:pPr>
      <w:r w:rsidRPr="005C2179">
        <w:rPr>
          <w:kern w:val="2"/>
          <w:sz w:val="20"/>
        </w:rPr>
        <w:t>However, Canada’s</w:t>
      </w:r>
      <w:r w:rsidR="001C4BFD" w:rsidRPr="005C2179">
        <w:rPr>
          <w:kern w:val="2"/>
          <w:sz w:val="20"/>
        </w:rPr>
        <w:t xml:space="preserve"> 1988</w:t>
      </w:r>
      <w:r w:rsidR="004E63DF" w:rsidRPr="005C2179">
        <w:rPr>
          <w:kern w:val="2"/>
          <w:sz w:val="20"/>
        </w:rPr>
        <w:t xml:space="preserve"> federal</w:t>
      </w:r>
      <w:r w:rsidR="001C4BFD" w:rsidRPr="005C2179">
        <w:rPr>
          <w:kern w:val="2"/>
          <w:sz w:val="20"/>
        </w:rPr>
        <w:t xml:space="preserve"> general election </w:t>
      </w:r>
      <w:r w:rsidR="0020411D" w:rsidRPr="005C2179">
        <w:rPr>
          <w:kern w:val="2"/>
          <w:sz w:val="20"/>
        </w:rPr>
        <w:t xml:space="preserve">suggests that third-party </w:t>
      </w:r>
      <w:r w:rsidR="004E63DF" w:rsidRPr="005C2179">
        <w:rPr>
          <w:kern w:val="2"/>
          <w:sz w:val="20"/>
        </w:rPr>
        <w:t>spending limits c</w:t>
      </w:r>
      <w:r w:rsidR="0020411D" w:rsidRPr="005C2179">
        <w:rPr>
          <w:kern w:val="2"/>
          <w:sz w:val="20"/>
        </w:rPr>
        <w:t>ould play</w:t>
      </w:r>
      <w:r w:rsidR="004E63DF" w:rsidRPr="005C2179">
        <w:rPr>
          <w:kern w:val="2"/>
          <w:sz w:val="20"/>
        </w:rPr>
        <w:t xml:space="preserve"> a significant</w:t>
      </w:r>
      <w:r w:rsidR="0020411D" w:rsidRPr="005C2179">
        <w:rPr>
          <w:kern w:val="2"/>
          <w:sz w:val="20"/>
        </w:rPr>
        <w:t xml:space="preserve"> role in issue-based elections, although </w:t>
      </w:r>
      <w:r w:rsidR="00EA214C" w:rsidRPr="005C2179">
        <w:rPr>
          <w:kern w:val="2"/>
          <w:sz w:val="20"/>
        </w:rPr>
        <w:t>such elections are rare in Canada.</w:t>
      </w:r>
      <w:r w:rsidR="00EA214C" w:rsidRPr="005C2179">
        <w:rPr>
          <w:rStyle w:val="FootnoteReference"/>
          <w:kern w:val="2"/>
          <w:sz w:val="20"/>
        </w:rPr>
        <w:footnoteReference w:id="180"/>
      </w:r>
      <w:r w:rsidR="00EA214C" w:rsidRPr="005C2179">
        <w:rPr>
          <w:kern w:val="2"/>
          <w:sz w:val="20"/>
        </w:rPr>
        <w:t xml:space="preserve"> </w:t>
      </w:r>
      <w:r w:rsidR="00880170" w:rsidRPr="005C2179">
        <w:rPr>
          <w:kern w:val="2"/>
          <w:sz w:val="20"/>
        </w:rPr>
        <w:t>The 1988 election</w:t>
      </w:r>
      <w:r w:rsidR="00A82CA2" w:rsidRPr="005C2179">
        <w:rPr>
          <w:kern w:val="2"/>
          <w:sz w:val="20"/>
        </w:rPr>
        <w:t>, during which third-party spending was unlimited,</w:t>
      </w:r>
      <w:r w:rsidR="00880170" w:rsidRPr="005C2179">
        <w:rPr>
          <w:kern w:val="2"/>
          <w:sz w:val="20"/>
        </w:rPr>
        <w:t xml:space="preserve"> was essentially reduced to a</w:t>
      </w:r>
      <w:r w:rsidR="009E7AA7" w:rsidRPr="005C2179">
        <w:rPr>
          <w:kern w:val="2"/>
          <w:sz w:val="20"/>
        </w:rPr>
        <w:t xml:space="preserve"> referendum on free trade</w:t>
      </w:r>
      <w:r w:rsidR="00880170" w:rsidRPr="005C2179">
        <w:rPr>
          <w:kern w:val="2"/>
          <w:sz w:val="20"/>
        </w:rPr>
        <w:t>.</w:t>
      </w:r>
      <w:r w:rsidR="00880170" w:rsidRPr="005C2179">
        <w:rPr>
          <w:rStyle w:val="FootnoteReference"/>
          <w:kern w:val="2"/>
          <w:sz w:val="20"/>
        </w:rPr>
        <w:footnoteReference w:id="181"/>
      </w:r>
      <w:r w:rsidR="009E7AA7" w:rsidRPr="005C2179">
        <w:rPr>
          <w:kern w:val="2"/>
          <w:sz w:val="20"/>
        </w:rPr>
        <w:t xml:space="preserve"> </w:t>
      </w:r>
      <w:r w:rsidR="004E63DF" w:rsidRPr="005C2179">
        <w:rPr>
          <w:kern w:val="2"/>
          <w:sz w:val="20"/>
        </w:rPr>
        <w:t>Most</w:t>
      </w:r>
      <w:r w:rsidR="00E62111" w:rsidRPr="005C2179">
        <w:rPr>
          <w:kern w:val="2"/>
          <w:sz w:val="20"/>
        </w:rPr>
        <w:t xml:space="preserve"> of the $4.</w:t>
      </w:r>
      <w:r w:rsidR="003130B4" w:rsidRPr="005C2179">
        <w:rPr>
          <w:kern w:val="2"/>
          <w:sz w:val="20"/>
        </w:rPr>
        <w:t>7 million spent by third-</w:t>
      </w:r>
      <w:r w:rsidR="0020411D" w:rsidRPr="005C2179">
        <w:rPr>
          <w:kern w:val="2"/>
          <w:sz w:val="20"/>
        </w:rPr>
        <w:t>party campaigners</w:t>
      </w:r>
      <w:r w:rsidR="00E62111" w:rsidRPr="005C2179">
        <w:rPr>
          <w:kern w:val="2"/>
          <w:sz w:val="20"/>
        </w:rPr>
        <w:t xml:space="preserve"> was directed toward the free trade issue</w:t>
      </w:r>
      <w:r w:rsidR="0083520A" w:rsidRPr="005C2179">
        <w:rPr>
          <w:kern w:val="2"/>
          <w:sz w:val="20"/>
        </w:rPr>
        <w:t xml:space="preserve"> and </w:t>
      </w:r>
      <w:r w:rsidR="0020411D" w:rsidRPr="005C2179">
        <w:rPr>
          <w:kern w:val="2"/>
          <w:sz w:val="20"/>
        </w:rPr>
        <w:t>four times more</w:t>
      </w:r>
      <w:r w:rsidR="0083520A" w:rsidRPr="005C2179">
        <w:rPr>
          <w:kern w:val="2"/>
          <w:sz w:val="20"/>
        </w:rPr>
        <w:t xml:space="preserve"> money</w:t>
      </w:r>
      <w:r w:rsidR="0020411D" w:rsidRPr="005C2179">
        <w:rPr>
          <w:kern w:val="2"/>
          <w:sz w:val="20"/>
        </w:rPr>
        <w:t xml:space="preserve"> </w:t>
      </w:r>
      <w:r w:rsidR="0083520A" w:rsidRPr="005C2179">
        <w:rPr>
          <w:kern w:val="2"/>
          <w:sz w:val="20"/>
        </w:rPr>
        <w:t>went toward</w:t>
      </w:r>
      <w:r w:rsidR="0020411D" w:rsidRPr="005C2179">
        <w:rPr>
          <w:kern w:val="2"/>
          <w:sz w:val="20"/>
        </w:rPr>
        <w:t xml:space="preserve"> promoting free </w:t>
      </w:r>
      <w:r w:rsidR="0083520A" w:rsidRPr="005C2179">
        <w:rPr>
          <w:kern w:val="2"/>
          <w:sz w:val="20"/>
        </w:rPr>
        <w:t>trade than opposing it.</w:t>
      </w:r>
      <w:r w:rsidR="0083520A" w:rsidRPr="005C2179">
        <w:rPr>
          <w:rStyle w:val="FootnoteReference"/>
          <w:kern w:val="2"/>
          <w:sz w:val="20"/>
        </w:rPr>
        <w:footnoteReference w:id="182"/>
      </w:r>
      <w:r w:rsidR="0083520A" w:rsidRPr="005C2179">
        <w:rPr>
          <w:kern w:val="2"/>
          <w:sz w:val="20"/>
        </w:rPr>
        <w:t xml:space="preserve"> This indirectly supported the ultimately successful Progressive Conservative Party, which campaigned on a platform of supporting free trade</w:t>
      </w:r>
      <w:r w:rsidR="009E7AA7" w:rsidRPr="005C2179">
        <w:rPr>
          <w:kern w:val="2"/>
          <w:sz w:val="20"/>
        </w:rPr>
        <w:t xml:space="preserve">. As the Supreme Court of Canada noted in </w:t>
      </w:r>
      <w:r w:rsidR="009E7AA7" w:rsidRPr="005C2179">
        <w:rPr>
          <w:i/>
          <w:kern w:val="2"/>
          <w:sz w:val="20"/>
        </w:rPr>
        <w:t>Libman v Quebec (Attorney G</w:t>
      </w:r>
      <w:r w:rsidR="005B18FF" w:rsidRPr="005C2179">
        <w:rPr>
          <w:i/>
          <w:kern w:val="2"/>
          <w:sz w:val="20"/>
        </w:rPr>
        <w:t>eneral)</w:t>
      </w:r>
      <w:r w:rsidR="005B18FF" w:rsidRPr="005C2179">
        <w:rPr>
          <w:kern w:val="2"/>
          <w:sz w:val="20"/>
        </w:rPr>
        <w:t>, “[t]</w:t>
      </w:r>
      <w:r w:rsidR="009E7AA7" w:rsidRPr="005C2179">
        <w:rPr>
          <w:kern w:val="2"/>
          <w:sz w:val="20"/>
        </w:rPr>
        <w:t>he 1988 federal election showed clearly how independent spending could influence the outcome of voting.”</w:t>
      </w:r>
      <w:r w:rsidR="009E7AA7" w:rsidRPr="005C2179">
        <w:rPr>
          <w:rStyle w:val="FootnoteReference"/>
          <w:kern w:val="2"/>
          <w:sz w:val="20"/>
        </w:rPr>
        <w:footnoteReference w:id="183"/>
      </w:r>
      <w:r w:rsidR="009E7AA7" w:rsidRPr="005C2179">
        <w:rPr>
          <w:kern w:val="2"/>
          <w:sz w:val="20"/>
        </w:rPr>
        <w:t xml:space="preserve"> </w:t>
      </w:r>
    </w:p>
    <w:p w14:paraId="4FBFD35F" w14:textId="2C755084" w:rsidR="00BE38CC" w:rsidRPr="005C2179" w:rsidRDefault="0011083C" w:rsidP="00A8357B">
      <w:pPr>
        <w:pStyle w:val="Heading1"/>
        <w:rPr>
          <w:sz w:val="28"/>
        </w:rPr>
      </w:pPr>
      <w:bookmarkStart w:id="13" w:name="_Toc503443957"/>
      <w:bookmarkStart w:id="14" w:name="_Toc509569395"/>
      <w:r w:rsidRPr="005C2179">
        <w:rPr>
          <w:sz w:val="28"/>
        </w:rPr>
        <w:t>International L</w:t>
      </w:r>
      <w:r w:rsidR="00BE38CC" w:rsidRPr="005C2179">
        <w:rPr>
          <w:sz w:val="28"/>
        </w:rPr>
        <w:t>aw</w:t>
      </w:r>
      <w:bookmarkEnd w:id="13"/>
      <w:bookmarkEnd w:id="14"/>
      <w:r w:rsidR="00BE38CC" w:rsidRPr="005C2179">
        <w:rPr>
          <w:sz w:val="28"/>
        </w:rPr>
        <w:t xml:space="preserve"> </w:t>
      </w:r>
    </w:p>
    <w:p w14:paraId="0D1CB0B1" w14:textId="77777777" w:rsidR="00411C85" w:rsidRPr="005C2179" w:rsidRDefault="001F1837" w:rsidP="00EB71B2">
      <w:pPr>
        <w:keepNext/>
        <w:rPr>
          <w:b/>
          <w:kern w:val="2"/>
          <w:sz w:val="20"/>
        </w:rPr>
      </w:pPr>
      <w:r w:rsidRPr="005C2179">
        <w:rPr>
          <w:b/>
          <w:kern w:val="2"/>
          <w:sz w:val="20"/>
        </w:rPr>
        <w:t xml:space="preserve">a) UNCAC </w:t>
      </w:r>
    </w:p>
    <w:p w14:paraId="20B32D3A" w14:textId="61546B4F" w:rsidR="00074A39" w:rsidRPr="005C2179" w:rsidRDefault="001505DC" w:rsidP="00330F4B">
      <w:pPr>
        <w:rPr>
          <w:kern w:val="2"/>
          <w:sz w:val="20"/>
        </w:rPr>
      </w:pPr>
      <w:r w:rsidRPr="005C2179">
        <w:rPr>
          <w:kern w:val="2"/>
          <w:sz w:val="20"/>
        </w:rPr>
        <w:t>The</w:t>
      </w:r>
      <w:r w:rsidR="000416BF" w:rsidRPr="005C2179">
        <w:rPr>
          <w:kern w:val="2"/>
          <w:sz w:val="20"/>
        </w:rPr>
        <w:t xml:space="preserve"> United Nations Convention a</w:t>
      </w:r>
      <w:r w:rsidR="000E2670" w:rsidRPr="005C2179">
        <w:rPr>
          <w:kern w:val="2"/>
          <w:sz w:val="20"/>
        </w:rPr>
        <w:t>gainst Corruption (“</w:t>
      </w:r>
      <w:r w:rsidR="007C1283" w:rsidRPr="005C2179">
        <w:rPr>
          <w:kern w:val="2"/>
          <w:sz w:val="20"/>
        </w:rPr>
        <w:t>UNCAC</w:t>
      </w:r>
      <w:r w:rsidR="000E2670" w:rsidRPr="005C2179">
        <w:rPr>
          <w:kern w:val="2"/>
          <w:sz w:val="20"/>
        </w:rPr>
        <w:t>”)</w:t>
      </w:r>
      <w:r w:rsidR="00E9564F" w:rsidRPr="005C2179">
        <w:rPr>
          <w:kern w:val="2"/>
          <w:sz w:val="20"/>
        </w:rPr>
        <w:t xml:space="preserve"> </w:t>
      </w:r>
      <w:r w:rsidR="006C0C4F" w:rsidRPr="005C2179">
        <w:rPr>
          <w:kern w:val="2"/>
          <w:sz w:val="20"/>
        </w:rPr>
        <w:t xml:space="preserve">addresses </w:t>
      </w:r>
      <w:r w:rsidR="007C1283" w:rsidRPr="005C2179">
        <w:rPr>
          <w:kern w:val="2"/>
          <w:sz w:val="20"/>
        </w:rPr>
        <w:t>transparency</w:t>
      </w:r>
      <w:r w:rsidR="007E5095" w:rsidRPr="005C2179">
        <w:rPr>
          <w:kern w:val="2"/>
          <w:sz w:val="20"/>
        </w:rPr>
        <w:t xml:space="preserve"> in campaign finance</w:t>
      </w:r>
      <w:r w:rsidR="007C1283" w:rsidRPr="005C2179">
        <w:rPr>
          <w:kern w:val="2"/>
          <w:sz w:val="20"/>
        </w:rPr>
        <w:t xml:space="preserve">. </w:t>
      </w:r>
      <w:r w:rsidR="00074A39" w:rsidRPr="005C2179">
        <w:rPr>
          <w:kern w:val="2"/>
          <w:sz w:val="20"/>
        </w:rPr>
        <w:t>Article 7(3) of UNCAC states that “[e]ach States Party shall consider taking appropriate legislative and administrative measures</w:t>
      </w:r>
      <w:r w:rsidR="00CC29F7" w:rsidRPr="005C2179">
        <w:rPr>
          <w:kern w:val="2"/>
          <w:sz w:val="20"/>
        </w:rPr>
        <w:t xml:space="preserve"> </w:t>
      </w:r>
      <w:r w:rsidR="00074A39" w:rsidRPr="005C2179">
        <w:rPr>
          <w:kern w:val="2"/>
          <w:sz w:val="20"/>
        </w:rPr>
        <w:t>...</w:t>
      </w:r>
      <w:r w:rsidR="00CC29F7" w:rsidRPr="005C2179">
        <w:rPr>
          <w:kern w:val="2"/>
          <w:sz w:val="20"/>
        </w:rPr>
        <w:t xml:space="preserve"> </w:t>
      </w:r>
      <w:r w:rsidR="00074A39" w:rsidRPr="005C2179">
        <w:rPr>
          <w:kern w:val="2"/>
          <w:sz w:val="20"/>
        </w:rPr>
        <w:t>to enhance transparency in the funding of candidatures for elected public office and, where applicable, the funding of political parties.”</w:t>
      </w:r>
      <w:r w:rsidR="00241686" w:rsidRPr="005C2179">
        <w:rPr>
          <w:rStyle w:val="FootnoteReference"/>
          <w:kern w:val="2"/>
          <w:sz w:val="20"/>
        </w:rPr>
        <w:footnoteReference w:id="184"/>
      </w:r>
      <w:r w:rsidR="007C1283" w:rsidRPr="005C2179">
        <w:rPr>
          <w:kern w:val="2"/>
          <w:sz w:val="20"/>
        </w:rPr>
        <w:t xml:space="preserve"> </w:t>
      </w:r>
    </w:p>
    <w:p w14:paraId="14DAC305" w14:textId="77777777" w:rsidR="001F1837" w:rsidRPr="005C2179" w:rsidRDefault="001F1837" w:rsidP="00EB71B2">
      <w:pPr>
        <w:rPr>
          <w:b/>
          <w:kern w:val="2"/>
          <w:sz w:val="20"/>
        </w:rPr>
      </w:pPr>
      <w:r w:rsidRPr="005C2179">
        <w:rPr>
          <w:b/>
          <w:kern w:val="2"/>
          <w:sz w:val="20"/>
        </w:rPr>
        <w:t>b) OECD Documents</w:t>
      </w:r>
    </w:p>
    <w:p w14:paraId="27784C18" w14:textId="77777777" w:rsidR="007C1283" w:rsidRPr="005C2179" w:rsidRDefault="007C1283" w:rsidP="00330F4B">
      <w:pPr>
        <w:rPr>
          <w:kern w:val="2"/>
          <w:sz w:val="20"/>
        </w:rPr>
      </w:pPr>
      <w:r w:rsidRPr="005C2179">
        <w:rPr>
          <w:kern w:val="2"/>
          <w:sz w:val="20"/>
        </w:rPr>
        <w:t>The OECD</w:t>
      </w:r>
      <w:r w:rsidR="00710735" w:rsidRPr="005C2179">
        <w:rPr>
          <w:kern w:val="2"/>
          <w:sz w:val="20"/>
        </w:rPr>
        <w:t>’s</w:t>
      </w:r>
      <w:r w:rsidRPr="005C2179">
        <w:rPr>
          <w:kern w:val="2"/>
          <w:sz w:val="20"/>
        </w:rPr>
        <w:t xml:space="preserve"> </w:t>
      </w:r>
      <w:r w:rsidRPr="005C2179">
        <w:rPr>
          <w:i/>
          <w:kern w:val="2"/>
          <w:sz w:val="20"/>
        </w:rPr>
        <w:t>Guidelines for Multinational Enterprises</w:t>
      </w:r>
      <w:r w:rsidR="001F20C9" w:rsidRPr="005C2179">
        <w:rPr>
          <w:kern w:val="2"/>
          <w:sz w:val="20"/>
        </w:rPr>
        <w:t xml:space="preserve"> advise</w:t>
      </w:r>
      <w:r w:rsidR="00984F6B" w:rsidRPr="005C2179">
        <w:rPr>
          <w:kern w:val="2"/>
          <w:sz w:val="20"/>
        </w:rPr>
        <w:t xml:space="preserve"> companies to follow local law on political contributions, stating that “</w:t>
      </w:r>
      <w:r w:rsidRPr="005C2179">
        <w:rPr>
          <w:kern w:val="2"/>
          <w:sz w:val="20"/>
        </w:rPr>
        <w:t>enterprises should</w:t>
      </w:r>
      <w:r w:rsidR="00CC29F7" w:rsidRPr="005C2179">
        <w:rPr>
          <w:kern w:val="2"/>
          <w:sz w:val="20"/>
        </w:rPr>
        <w:t xml:space="preserve"> </w:t>
      </w:r>
      <w:r w:rsidR="007E5095" w:rsidRPr="005C2179">
        <w:rPr>
          <w:kern w:val="2"/>
          <w:sz w:val="20"/>
        </w:rPr>
        <w:t>...</w:t>
      </w:r>
      <w:r w:rsidR="00CC29F7" w:rsidRPr="005C2179">
        <w:rPr>
          <w:kern w:val="2"/>
          <w:sz w:val="20"/>
        </w:rPr>
        <w:t xml:space="preserve"> </w:t>
      </w:r>
      <w:r w:rsidR="007E5095" w:rsidRPr="005C2179">
        <w:rPr>
          <w:kern w:val="2"/>
          <w:sz w:val="20"/>
        </w:rPr>
        <w:t>[</w:t>
      </w:r>
      <w:r w:rsidRPr="005C2179">
        <w:rPr>
          <w:kern w:val="2"/>
          <w:sz w:val="20"/>
        </w:rPr>
        <w:t>n]ot make illegal contributions to candidates for public office or to political parties or other political organizations. Political contributions should fully comply with public disclosure requirements and should be reported to senior management.”</w:t>
      </w:r>
      <w:r w:rsidR="001B42AE" w:rsidRPr="005C2179">
        <w:rPr>
          <w:rStyle w:val="FootnoteReference"/>
          <w:kern w:val="2"/>
          <w:sz w:val="20"/>
        </w:rPr>
        <w:footnoteReference w:id="185"/>
      </w:r>
      <w:r w:rsidR="001B42AE" w:rsidRPr="005C2179">
        <w:rPr>
          <w:kern w:val="2"/>
          <w:sz w:val="20"/>
        </w:rPr>
        <w:t xml:space="preserve"> </w:t>
      </w:r>
      <w:r w:rsidR="008B7291" w:rsidRPr="005C2179">
        <w:rPr>
          <w:kern w:val="2"/>
          <w:sz w:val="20"/>
        </w:rPr>
        <w:t xml:space="preserve">Political financing is also mentioned in the Recommendation for Further Combating Bribery, which </w:t>
      </w:r>
      <w:r w:rsidR="00984F6B" w:rsidRPr="005C2179">
        <w:rPr>
          <w:kern w:val="2"/>
          <w:sz w:val="20"/>
        </w:rPr>
        <w:t>recommend</w:t>
      </w:r>
      <w:r w:rsidR="008B7291" w:rsidRPr="005C2179">
        <w:rPr>
          <w:kern w:val="2"/>
          <w:sz w:val="20"/>
        </w:rPr>
        <w:t>s that companies develop measure</w:t>
      </w:r>
      <w:r w:rsidR="00984F6B" w:rsidRPr="005C2179">
        <w:rPr>
          <w:kern w:val="2"/>
          <w:sz w:val="20"/>
        </w:rPr>
        <w:t>s</w:t>
      </w:r>
      <w:r w:rsidR="008B7291" w:rsidRPr="005C2179">
        <w:rPr>
          <w:kern w:val="2"/>
          <w:sz w:val="20"/>
        </w:rPr>
        <w:t xml:space="preserve"> to prevent bribery in a range of areas, including “political contributions</w:t>
      </w:r>
      <w:r w:rsidR="00CC29F7" w:rsidRPr="005C2179">
        <w:rPr>
          <w:kern w:val="2"/>
          <w:sz w:val="20"/>
        </w:rPr>
        <w:t>.</w:t>
      </w:r>
      <w:r w:rsidR="008B7291" w:rsidRPr="005C2179">
        <w:rPr>
          <w:kern w:val="2"/>
          <w:sz w:val="20"/>
        </w:rPr>
        <w:t>”</w:t>
      </w:r>
      <w:r w:rsidR="00761C18" w:rsidRPr="005C2179">
        <w:rPr>
          <w:rStyle w:val="FootnoteReference"/>
          <w:kern w:val="2"/>
          <w:sz w:val="20"/>
        </w:rPr>
        <w:footnoteReference w:id="186"/>
      </w:r>
      <w:r w:rsidR="008B7291" w:rsidRPr="005C2179">
        <w:rPr>
          <w:kern w:val="2"/>
          <w:sz w:val="20"/>
        </w:rPr>
        <w:t xml:space="preserve"> </w:t>
      </w:r>
    </w:p>
    <w:p w14:paraId="4D0BEDD0" w14:textId="77777777" w:rsidR="00817380" w:rsidRPr="005C2179" w:rsidRDefault="00817380" w:rsidP="00BF63B6">
      <w:pPr>
        <w:rPr>
          <w:color w:val="C00000"/>
          <w:kern w:val="2"/>
          <w:sz w:val="20"/>
        </w:rPr>
      </w:pPr>
      <w:r w:rsidRPr="005C2179">
        <w:rPr>
          <w:kern w:val="2"/>
          <w:sz w:val="20"/>
        </w:rPr>
        <w:t xml:space="preserve">The OECD is showing increased interest </w:t>
      </w:r>
      <w:r w:rsidR="006623E8" w:rsidRPr="005C2179">
        <w:rPr>
          <w:kern w:val="2"/>
          <w:sz w:val="20"/>
        </w:rPr>
        <w:t>in</w:t>
      </w:r>
      <w:r w:rsidRPr="005C2179">
        <w:rPr>
          <w:kern w:val="2"/>
          <w:sz w:val="20"/>
        </w:rPr>
        <w:t xml:space="preserve"> campaign finance and</w:t>
      </w:r>
      <w:r w:rsidR="006623E8" w:rsidRPr="005C2179">
        <w:rPr>
          <w:kern w:val="2"/>
          <w:sz w:val="20"/>
        </w:rPr>
        <w:t xml:space="preserve"> its consequences for</w:t>
      </w:r>
      <w:r w:rsidRPr="005C2179">
        <w:rPr>
          <w:kern w:val="2"/>
          <w:sz w:val="20"/>
        </w:rPr>
        <w:t xml:space="preserve"> integrity in government. </w:t>
      </w:r>
      <w:r w:rsidR="00B13655" w:rsidRPr="005C2179">
        <w:rPr>
          <w:kern w:val="2"/>
          <w:sz w:val="20"/>
        </w:rPr>
        <w:t>This interest is demonstrated in</w:t>
      </w:r>
      <w:r w:rsidRPr="005C2179">
        <w:rPr>
          <w:kern w:val="2"/>
          <w:sz w:val="20"/>
        </w:rPr>
        <w:t xml:space="preserve"> its 2016 report, </w:t>
      </w:r>
      <w:r w:rsidRPr="005C2179">
        <w:rPr>
          <w:i/>
          <w:kern w:val="2"/>
          <w:sz w:val="20"/>
        </w:rPr>
        <w:t>Financing Democracy: Funding of Political Parties and Election Campaigns and the Risk of Policy Capture</w:t>
      </w:r>
      <w:r w:rsidRPr="005C2179">
        <w:rPr>
          <w:kern w:val="2"/>
          <w:sz w:val="20"/>
        </w:rPr>
        <w:t>.</w:t>
      </w:r>
      <w:r w:rsidRPr="005C2179">
        <w:rPr>
          <w:rStyle w:val="FootnoteReference"/>
          <w:kern w:val="2"/>
          <w:sz w:val="20"/>
        </w:rPr>
        <w:footnoteReference w:id="187"/>
      </w:r>
      <w:r w:rsidRPr="005C2179">
        <w:rPr>
          <w:kern w:val="2"/>
          <w:sz w:val="20"/>
        </w:rPr>
        <w:t xml:space="preserve"> The report outlines a recommended policy framework with four “pillars</w:t>
      </w:r>
      <w:r w:rsidR="00CC29F7" w:rsidRPr="005C2179">
        <w:rPr>
          <w:kern w:val="2"/>
          <w:sz w:val="20"/>
        </w:rPr>
        <w:t>.</w:t>
      </w:r>
      <w:r w:rsidRPr="005C2179">
        <w:rPr>
          <w:kern w:val="2"/>
          <w:sz w:val="20"/>
        </w:rPr>
        <w:t>” First, policymakers should encourage transparency and accountability through “[c]omprehensive disclosure of income sources of political parties and candidates” and “user-friendly” organi</w:t>
      </w:r>
      <w:r w:rsidR="006623E8" w:rsidRPr="005C2179">
        <w:rPr>
          <w:kern w:val="2"/>
          <w:sz w:val="20"/>
        </w:rPr>
        <w:t>zation of disclosed information.</w:t>
      </w:r>
      <w:r w:rsidR="006623E8" w:rsidRPr="005C2179">
        <w:rPr>
          <w:rStyle w:val="FootnoteReference"/>
          <w:kern w:val="2"/>
          <w:sz w:val="20"/>
        </w:rPr>
        <w:footnoteReference w:id="188"/>
      </w:r>
      <w:r w:rsidRPr="005C2179">
        <w:rPr>
          <w:kern w:val="2"/>
          <w:sz w:val="20"/>
        </w:rPr>
        <w:t xml:space="preserve"> Second, policymakers should promote a level playing field through</w:t>
      </w:r>
      <w:r w:rsidR="00D56F11" w:rsidRPr="005C2179">
        <w:rPr>
          <w:kern w:val="2"/>
          <w:sz w:val="20"/>
        </w:rPr>
        <w:t xml:space="preserve"> measures such as</w:t>
      </w:r>
      <w:r w:rsidRPr="005C2179">
        <w:rPr>
          <w:kern w:val="2"/>
          <w:sz w:val="20"/>
        </w:rPr>
        <w:t xml:space="preserve"> public funding, </w:t>
      </w:r>
      <w:r w:rsidR="00B13655" w:rsidRPr="005C2179">
        <w:rPr>
          <w:kern w:val="2"/>
          <w:sz w:val="20"/>
        </w:rPr>
        <w:t xml:space="preserve">spending limits, </w:t>
      </w:r>
      <w:r w:rsidRPr="005C2179">
        <w:rPr>
          <w:kern w:val="2"/>
          <w:sz w:val="20"/>
        </w:rPr>
        <w:t>bans on certain types of private contributions (e.g., contributions fro</w:t>
      </w:r>
      <w:r w:rsidR="00B13655" w:rsidRPr="005C2179">
        <w:rPr>
          <w:kern w:val="2"/>
          <w:sz w:val="20"/>
        </w:rPr>
        <w:t>m corporations)</w:t>
      </w:r>
      <w:r w:rsidRPr="005C2179">
        <w:rPr>
          <w:kern w:val="2"/>
          <w:sz w:val="20"/>
        </w:rPr>
        <w:t xml:space="preserve">, and </w:t>
      </w:r>
      <w:r w:rsidR="00D56F11" w:rsidRPr="005C2179">
        <w:rPr>
          <w:kern w:val="2"/>
          <w:sz w:val="20"/>
        </w:rPr>
        <w:t>rules</w:t>
      </w:r>
      <w:r w:rsidRPr="005C2179">
        <w:rPr>
          <w:kern w:val="2"/>
          <w:sz w:val="20"/>
        </w:rPr>
        <w:t xml:space="preserve"> to</w:t>
      </w:r>
      <w:r w:rsidR="006623E8" w:rsidRPr="005C2179">
        <w:rPr>
          <w:kern w:val="2"/>
          <w:sz w:val="20"/>
        </w:rPr>
        <w:t xml:space="preserve"> limit abuse of state resources.</w:t>
      </w:r>
      <w:r w:rsidR="006623E8" w:rsidRPr="005C2179">
        <w:rPr>
          <w:rStyle w:val="FootnoteReference"/>
          <w:kern w:val="2"/>
          <w:sz w:val="20"/>
        </w:rPr>
        <w:footnoteReference w:id="189"/>
      </w:r>
      <w:r w:rsidRPr="005C2179">
        <w:rPr>
          <w:kern w:val="2"/>
          <w:sz w:val="20"/>
        </w:rPr>
        <w:t xml:space="preserve"> Third, policymakers should foster</w:t>
      </w:r>
      <w:r w:rsidR="00B13655" w:rsidRPr="005C2179">
        <w:rPr>
          <w:kern w:val="2"/>
          <w:sz w:val="20"/>
        </w:rPr>
        <w:t xml:space="preserve"> a culture of integrity by developing </w:t>
      </w:r>
      <w:r w:rsidRPr="005C2179">
        <w:rPr>
          <w:kern w:val="2"/>
          <w:sz w:val="20"/>
        </w:rPr>
        <w:t xml:space="preserve">rules in areas </w:t>
      </w:r>
      <w:r w:rsidR="00D56F11" w:rsidRPr="005C2179">
        <w:rPr>
          <w:kern w:val="2"/>
          <w:sz w:val="20"/>
        </w:rPr>
        <w:t>like</w:t>
      </w:r>
      <w:r w:rsidRPr="005C2179">
        <w:rPr>
          <w:kern w:val="2"/>
          <w:sz w:val="20"/>
        </w:rPr>
        <w:t xml:space="preserve"> conflict of interest and whistleblower protection</w:t>
      </w:r>
      <w:r w:rsidR="006623E8" w:rsidRPr="005C2179">
        <w:rPr>
          <w:kern w:val="2"/>
          <w:sz w:val="20"/>
        </w:rPr>
        <w:t>.</w:t>
      </w:r>
      <w:r w:rsidR="006623E8" w:rsidRPr="005C2179">
        <w:rPr>
          <w:rStyle w:val="FootnoteReference"/>
          <w:kern w:val="2"/>
          <w:sz w:val="20"/>
        </w:rPr>
        <w:footnoteReference w:id="190"/>
      </w:r>
      <w:r w:rsidRPr="005C2179">
        <w:rPr>
          <w:kern w:val="2"/>
          <w:sz w:val="20"/>
        </w:rPr>
        <w:t xml:space="preserve"> Standards of integrity for private donors are also important in creating a culture of integrity</w:t>
      </w:r>
      <w:r w:rsidR="006623E8" w:rsidRPr="005C2179">
        <w:rPr>
          <w:kern w:val="2"/>
          <w:sz w:val="20"/>
        </w:rPr>
        <w:t>.</w:t>
      </w:r>
      <w:r w:rsidR="006623E8" w:rsidRPr="005C2179">
        <w:rPr>
          <w:rStyle w:val="FootnoteReference"/>
          <w:kern w:val="2"/>
          <w:sz w:val="20"/>
        </w:rPr>
        <w:footnoteReference w:id="191"/>
      </w:r>
      <w:r w:rsidRPr="005C2179">
        <w:rPr>
          <w:kern w:val="2"/>
          <w:sz w:val="20"/>
        </w:rPr>
        <w:t xml:space="preserve"> Finally, policymakers should encourage regular review of campaign finance regimes and ensure compliance through dissuasive sanctions, independent oversight, and the provision of support to political </w:t>
      </w:r>
      <w:r w:rsidR="006623E8" w:rsidRPr="005C2179">
        <w:rPr>
          <w:kern w:val="2"/>
          <w:sz w:val="20"/>
        </w:rPr>
        <w:t>parties to assist in compliance.</w:t>
      </w:r>
      <w:r w:rsidR="006623E8" w:rsidRPr="005C2179">
        <w:rPr>
          <w:rStyle w:val="FootnoteReference"/>
          <w:kern w:val="2"/>
          <w:sz w:val="20"/>
        </w:rPr>
        <w:footnoteReference w:id="192"/>
      </w:r>
      <w:r w:rsidRPr="005C2179">
        <w:rPr>
          <w:kern w:val="2"/>
          <w:sz w:val="20"/>
        </w:rPr>
        <w:t xml:space="preserve"> </w:t>
      </w:r>
    </w:p>
    <w:p w14:paraId="54E6761F" w14:textId="77777777" w:rsidR="00016158" w:rsidRPr="005C2179" w:rsidRDefault="00016158" w:rsidP="00016158">
      <w:pPr>
        <w:pStyle w:val="Heading1"/>
        <w:rPr>
          <w:sz w:val="28"/>
        </w:rPr>
      </w:pPr>
      <w:bookmarkStart w:id="15" w:name="_Toc509569396"/>
      <w:bookmarkStart w:id="16" w:name="_Toc503443958"/>
      <w:r w:rsidRPr="005C2179">
        <w:rPr>
          <w:sz w:val="28"/>
        </w:rPr>
        <w:t>US Law</w:t>
      </w:r>
      <w:bookmarkEnd w:id="15"/>
    </w:p>
    <w:p w14:paraId="284E56A9" w14:textId="77777777" w:rsidR="00016158" w:rsidRPr="005C2179" w:rsidRDefault="00016158" w:rsidP="00016158">
      <w:pPr>
        <w:rPr>
          <w:kern w:val="2"/>
          <w:sz w:val="20"/>
        </w:rPr>
      </w:pPr>
      <w:r w:rsidRPr="005C2179">
        <w:rPr>
          <w:kern w:val="2"/>
          <w:sz w:val="20"/>
        </w:rPr>
        <w:t>In the US, freedom of speech jurisprudence has led to the demise of various campaign finance regulatory measures.</w:t>
      </w:r>
      <w:r w:rsidRPr="005C2179">
        <w:rPr>
          <w:rStyle w:val="FootnoteReference"/>
          <w:kern w:val="2"/>
          <w:sz w:val="20"/>
        </w:rPr>
        <w:footnoteReference w:id="193"/>
      </w:r>
      <w:r w:rsidRPr="005C2179">
        <w:rPr>
          <w:kern w:val="2"/>
          <w:sz w:val="20"/>
        </w:rPr>
        <w:t xml:space="preserve"> Commenting on this deregulatory bent, Boatright observes that the US “begins from a different place” from some other countries when it comes to the regulation of campaign finance.</w:t>
      </w:r>
      <w:r w:rsidRPr="005C2179">
        <w:rPr>
          <w:rStyle w:val="FootnoteReference"/>
          <w:kern w:val="2"/>
          <w:sz w:val="20"/>
        </w:rPr>
        <w:footnoteReference w:id="194"/>
      </w:r>
      <w:r w:rsidRPr="005C2179">
        <w:rPr>
          <w:kern w:val="2"/>
          <w:sz w:val="20"/>
        </w:rPr>
        <w:t xml:space="preserve"> This “different place” involves a long-standing reluctance to regulate campaign finance and the recognition of third-party campaigner organizations as an integral part of the electoral process.</w:t>
      </w:r>
      <w:r w:rsidRPr="005C2179">
        <w:rPr>
          <w:rStyle w:val="FootnoteReference"/>
          <w:kern w:val="2"/>
          <w:sz w:val="20"/>
        </w:rPr>
        <w:footnoteReference w:id="195"/>
      </w:r>
      <w:r w:rsidRPr="005C2179">
        <w:rPr>
          <w:kern w:val="2"/>
          <w:sz w:val="20"/>
        </w:rPr>
        <w:t xml:space="preserve"> In spite of these cultural tendencies and the American courts’ fierce protection of freedom of speech, limits and source restrictions on political contributions and transparency requirements for political spending have survived. However, the transparency requirements for some types of third parties are weak, allowing political money to be funnelled through non-transparent organizations.</w:t>
      </w:r>
      <w:r w:rsidRPr="005C2179">
        <w:rPr>
          <w:rStyle w:val="FootnoteReference"/>
          <w:kern w:val="2"/>
          <w:sz w:val="20"/>
        </w:rPr>
        <w:footnoteReference w:id="196"/>
      </w:r>
      <w:r w:rsidRPr="005C2179">
        <w:rPr>
          <w:kern w:val="2"/>
          <w:sz w:val="20"/>
        </w:rPr>
        <w:t xml:space="preserve"> </w:t>
      </w:r>
    </w:p>
    <w:p w14:paraId="605F4B3D" w14:textId="77777777" w:rsidR="00016158" w:rsidRPr="005C2179" w:rsidRDefault="00016158" w:rsidP="00016158">
      <w:pPr>
        <w:rPr>
          <w:kern w:val="2"/>
          <w:sz w:val="20"/>
        </w:rPr>
      </w:pPr>
      <w:r w:rsidRPr="005C2179">
        <w:rPr>
          <w:kern w:val="2"/>
          <w:sz w:val="20"/>
        </w:rPr>
        <w:t xml:space="preserve">In this part, I will focus on the interaction between free speech and campaign finance regulation, followed by a brief overview of the federal regulatory scheme in the US. </w:t>
      </w:r>
    </w:p>
    <w:p w14:paraId="42D645B1" w14:textId="77777777" w:rsidR="00016158" w:rsidRPr="005C2179" w:rsidRDefault="00016158" w:rsidP="00016158">
      <w:pPr>
        <w:pStyle w:val="Heading2"/>
        <w:rPr>
          <w:kern w:val="2"/>
          <w:sz w:val="24"/>
        </w:rPr>
      </w:pPr>
      <w:r w:rsidRPr="005C2179">
        <w:rPr>
          <w:kern w:val="2"/>
          <w:sz w:val="24"/>
        </w:rPr>
        <w:t xml:space="preserve">Constitutional Rights and Campaign Finance Regulation in the US  </w:t>
      </w:r>
    </w:p>
    <w:p w14:paraId="313C6BAC" w14:textId="77777777" w:rsidR="00016158" w:rsidRPr="005C2179" w:rsidRDefault="00016158" w:rsidP="00016158">
      <w:pPr>
        <w:pStyle w:val="Heading3"/>
        <w:rPr>
          <w:kern w:val="2"/>
          <w:sz w:val="22"/>
        </w:rPr>
      </w:pPr>
      <w:r w:rsidRPr="005C2179">
        <w:rPr>
          <w:kern w:val="2"/>
          <w:sz w:val="22"/>
        </w:rPr>
        <w:t xml:space="preserve">Introduction </w:t>
      </w:r>
    </w:p>
    <w:p w14:paraId="75FB6D30" w14:textId="77777777" w:rsidR="00016158" w:rsidRPr="005C2179" w:rsidRDefault="00016158" w:rsidP="00016158">
      <w:pPr>
        <w:rPr>
          <w:kern w:val="2"/>
          <w:sz w:val="20"/>
        </w:rPr>
      </w:pPr>
      <w:r w:rsidRPr="005C2179">
        <w:rPr>
          <w:kern w:val="2"/>
          <w:sz w:val="20"/>
        </w:rPr>
        <w:t xml:space="preserve">The First Amendment of the US </w:t>
      </w:r>
      <w:r w:rsidRPr="005C2179">
        <w:rPr>
          <w:i/>
          <w:kern w:val="2"/>
          <w:sz w:val="20"/>
        </w:rPr>
        <w:t>Constitution</w:t>
      </w:r>
      <w:r w:rsidRPr="005C2179">
        <w:rPr>
          <w:kern w:val="2"/>
          <w:sz w:val="20"/>
        </w:rPr>
        <w:t xml:space="preserve"> (“the First Amendment”) states:</w:t>
      </w:r>
    </w:p>
    <w:p w14:paraId="4998C41F" w14:textId="77777777" w:rsidR="00016158" w:rsidRPr="005C2179" w:rsidRDefault="00016158" w:rsidP="00016158">
      <w:pPr>
        <w:pStyle w:val="BlockQuote"/>
        <w:rPr>
          <w:kern w:val="2"/>
          <w:sz w:val="20"/>
        </w:rPr>
      </w:pPr>
      <w:r w:rsidRPr="005C2179">
        <w:rPr>
          <w:kern w:val="2"/>
          <w:sz w:val="20"/>
        </w:rPr>
        <w:t>Congress shall make no law ... abridging the freedom of speech, or of the press, or the right of the people peaceably to assemble, and to petition the Government for a redress of grievances.</w:t>
      </w:r>
      <w:r w:rsidRPr="005C2179">
        <w:rPr>
          <w:rStyle w:val="FootnoteReference"/>
          <w:kern w:val="2"/>
          <w:sz w:val="20"/>
        </w:rPr>
        <w:footnoteReference w:id="197"/>
      </w:r>
      <w:r w:rsidRPr="005C2179">
        <w:rPr>
          <w:kern w:val="2"/>
          <w:sz w:val="20"/>
        </w:rPr>
        <w:t xml:space="preserve"> </w:t>
      </w:r>
    </w:p>
    <w:p w14:paraId="04A8B281" w14:textId="77777777" w:rsidR="00016158" w:rsidRPr="005C2179" w:rsidRDefault="00016158" w:rsidP="00016158">
      <w:pPr>
        <w:rPr>
          <w:kern w:val="2"/>
          <w:sz w:val="20"/>
        </w:rPr>
      </w:pPr>
      <w:r w:rsidRPr="005C2179">
        <w:rPr>
          <w:kern w:val="2"/>
          <w:sz w:val="20"/>
        </w:rPr>
        <w:t>Political speech enjoys a “preferred position” in American constitutional law.</w:t>
      </w:r>
      <w:r w:rsidRPr="005C2179">
        <w:rPr>
          <w:rStyle w:val="FootnoteReference"/>
          <w:kern w:val="2"/>
          <w:sz w:val="20"/>
        </w:rPr>
        <w:footnoteReference w:id="198"/>
      </w:r>
      <w:r w:rsidRPr="005C2179">
        <w:rPr>
          <w:kern w:val="2"/>
          <w:sz w:val="20"/>
        </w:rPr>
        <w:t xml:space="preserve"> According to the US Supreme Court, “[l]aws that burden political speech are ‘subject to strict scrutiny,’ which requires the Government to prove that the restriction ‘furthers a compelling interest and is narrowly tailored to achieve that interest.’”</w:t>
      </w:r>
      <w:r w:rsidRPr="005C2179">
        <w:rPr>
          <w:rStyle w:val="FootnoteReference"/>
          <w:kern w:val="2"/>
          <w:sz w:val="20"/>
        </w:rPr>
        <w:footnoteReference w:id="199"/>
      </w:r>
      <w:r w:rsidRPr="005C2179">
        <w:rPr>
          <w:kern w:val="2"/>
          <w:sz w:val="20"/>
        </w:rPr>
        <w:t xml:space="preserve"> In the context of campaign finance regulation, the US Supreme Court has held that the only permissible governmental interest in restricting political speech is the prevention of corruption and the appearance of corruption.</w:t>
      </w:r>
      <w:r w:rsidRPr="005C2179">
        <w:rPr>
          <w:rStyle w:val="FootnoteReference"/>
          <w:kern w:val="2"/>
          <w:sz w:val="20"/>
        </w:rPr>
        <w:footnoteReference w:id="200"/>
      </w:r>
      <w:r w:rsidRPr="005C2179">
        <w:rPr>
          <w:kern w:val="2"/>
          <w:sz w:val="20"/>
        </w:rPr>
        <w:t xml:space="preserve"> Other interests, such as equality and fairness, are considered insufficiently compelling to justify burdens on First Amendment rights. Further, the majority of the US Supreme Court has defined corruption narrowly to include only direct </w:t>
      </w:r>
      <w:r w:rsidRPr="005C2179">
        <w:rPr>
          <w:i/>
          <w:kern w:val="2"/>
          <w:sz w:val="20"/>
        </w:rPr>
        <w:t>quid pro quo</w:t>
      </w:r>
      <w:r w:rsidRPr="005C2179">
        <w:rPr>
          <w:kern w:val="2"/>
          <w:sz w:val="20"/>
        </w:rPr>
        <w:t xml:space="preserve"> exchanges.</w:t>
      </w:r>
      <w:r w:rsidRPr="005C2179">
        <w:rPr>
          <w:rStyle w:val="FootnoteReference"/>
          <w:kern w:val="2"/>
          <w:sz w:val="20"/>
        </w:rPr>
        <w:footnoteReference w:id="201"/>
      </w:r>
      <w:r w:rsidRPr="005C2179">
        <w:rPr>
          <w:kern w:val="2"/>
          <w:sz w:val="20"/>
        </w:rPr>
        <w:t xml:space="preserve"> In the majority’s view, influence and access alone do not raise the spectre of corruption.</w:t>
      </w:r>
      <w:r w:rsidRPr="005C2179">
        <w:rPr>
          <w:rStyle w:val="FootnoteReference"/>
          <w:kern w:val="2"/>
          <w:sz w:val="20"/>
        </w:rPr>
        <w:footnoteReference w:id="202"/>
      </w:r>
      <w:r w:rsidRPr="005C2179">
        <w:rPr>
          <w:kern w:val="2"/>
          <w:sz w:val="20"/>
        </w:rPr>
        <w:t xml:space="preserve"> Kang calls this approach to corruption “disappointingly underdeveloped.”</w:t>
      </w:r>
      <w:r w:rsidRPr="005C2179">
        <w:rPr>
          <w:rStyle w:val="FootnoteReference"/>
          <w:kern w:val="2"/>
          <w:sz w:val="20"/>
        </w:rPr>
        <w:footnoteReference w:id="203"/>
      </w:r>
    </w:p>
    <w:p w14:paraId="56D4BF27" w14:textId="77777777" w:rsidR="00016158" w:rsidRPr="005C2179" w:rsidRDefault="00016158" w:rsidP="00016158">
      <w:pPr>
        <w:rPr>
          <w:kern w:val="2"/>
          <w:sz w:val="20"/>
        </w:rPr>
      </w:pPr>
      <w:r w:rsidRPr="005C2179">
        <w:rPr>
          <w:kern w:val="2"/>
          <w:sz w:val="20"/>
        </w:rPr>
        <w:t>By narrowly circumscribing the possible justifications for campaign finance regulation, the majority of the US Supreme Court guards against the risk of governmental influence over voters’ thoughts and decisions while overlooking the potential for undue influence by the wealthy over public discourse and elected officials. Thus, the protection of individual freedom is arguably accomplished at the expense of equality between individuals. This libertarian approach to campaign finance accords with the view that the First Amendment is “premised on mistrust of governmental power.”</w:t>
      </w:r>
      <w:r w:rsidRPr="005C2179">
        <w:rPr>
          <w:rStyle w:val="FootnoteReference"/>
          <w:kern w:val="2"/>
          <w:sz w:val="20"/>
        </w:rPr>
        <w:footnoteReference w:id="204"/>
      </w:r>
      <w:r w:rsidRPr="005C2179">
        <w:rPr>
          <w:kern w:val="2"/>
          <w:sz w:val="20"/>
        </w:rPr>
        <w:t xml:space="preserve"> In line with this mistrust, Chief Justice Roberts of the US Supreme Court maintains that the public must be left to “determine for itself what speech and speakers are worthy of consideration”.</w:t>
      </w:r>
      <w:r w:rsidRPr="005C2179">
        <w:rPr>
          <w:rStyle w:val="FootnoteReference"/>
          <w:kern w:val="2"/>
          <w:sz w:val="20"/>
        </w:rPr>
        <w:footnoteReference w:id="205"/>
      </w:r>
      <w:r w:rsidRPr="005C2179">
        <w:rPr>
          <w:kern w:val="2"/>
          <w:sz w:val="20"/>
        </w:rPr>
        <w:t xml:space="preserve"> </w:t>
      </w:r>
    </w:p>
    <w:p w14:paraId="3AB60F2A" w14:textId="77777777" w:rsidR="00016158" w:rsidRPr="005C2179" w:rsidRDefault="00016158" w:rsidP="00016158">
      <w:pPr>
        <w:rPr>
          <w:kern w:val="2"/>
          <w:sz w:val="20"/>
        </w:rPr>
      </w:pPr>
      <w:r w:rsidRPr="005C2179">
        <w:rPr>
          <w:kern w:val="2"/>
          <w:sz w:val="20"/>
        </w:rPr>
        <w:t>The US Supreme Court’s adoption of a libertarian model of campaign finance has led to the extinction of campaign expenditure limits. However, the Court distinguishes between expenditures and contributions, concluding that contribution limits are permissible because they pursue the legitimate governmental interest of anticorruption.</w:t>
      </w:r>
      <w:r w:rsidRPr="005C2179">
        <w:rPr>
          <w:rStyle w:val="FootnoteReference"/>
          <w:kern w:val="2"/>
          <w:sz w:val="20"/>
        </w:rPr>
        <w:footnoteReference w:id="206"/>
      </w:r>
      <w:r w:rsidRPr="005C2179">
        <w:rPr>
          <w:kern w:val="2"/>
          <w:sz w:val="20"/>
        </w:rPr>
        <w:t xml:space="preserve"> The Court has also upheld transparency requirements for both expenditures and contributions.</w:t>
      </w:r>
      <w:r w:rsidRPr="005C2179">
        <w:rPr>
          <w:rStyle w:val="FootnoteReference"/>
          <w:kern w:val="2"/>
          <w:sz w:val="20"/>
        </w:rPr>
        <w:footnoteReference w:id="207"/>
      </w:r>
      <w:r w:rsidRPr="005C2179">
        <w:rPr>
          <w:kern w:val="2"/>
          <w:sz w:val="20"/>
        </w:rPr>
        <w:t xml:space="preserve">  </w:t>
      </w:r>
    </w:p>
    <w:p w14:paraId="7570897C" w14:textId="77777777" w:rsidR="00016158" w:rsidRPr="005C2179" w:rsidRDefault="00016158" w:rsidP="00016158">
      <w:pPr>
        <w:rPr>
          <w:kern w:val="2"/>
          <w:sz w:val="20"/>
        </w:rPr>
      </w:pPr>
      <w:r w:rsidRPr="005C2179">
        <w:rPr>
          <w:kern w:val="2"/>
          <w:sz w:val="20"/>
        </w:rPr>
        <w:t>A contingent of justices on the US Supreme Court has accepted a wider range of justifications for the burdens on political speech associated with campaign finance regulations. At one point, these justices formed the majority of the Court, leading to decisions upholding various campaign finance controls.</w:t>
      </w:r>
      <w:r w:rsidRPr="005C2179">
        <w:rPr>
          <w:rStyle w:val="FootnoteReference"/>
          <w:kern w:val="2"/>
          <w:sz w:val="20"/>
        </w:rPr>
        <w:footnoteReference w:id="208"/>
      </w:r>
      <w:r w:rsidRPr="005C2179">
        <w:rPr>
          <w:kern w:val="2"/>
          <w:sz w:val="20"/>
        </w:rPr>
        <w:t xml:space="preserve"> However, this contingent is now in the minority, and their earlier decisions have been overruled. </w:t>
      </w:r>
    </w:p>
    <w:p w14:paraId="795741F8" w14:textId="77777777" w:rsidR="00016158" w:rsidRPr="005C2179" w:rsidRDefault="00016158" w:rsidP="00016158">
      <w:pPr>
        <w:pStyle w:val="Heading3"/>
        <w:rPr>
          <w:kern w:val="2"/>
          <w:sz w:val="22"/>
        </w:rPr>
      </w:pPr>
      <w:r w:rsidRPr="005C2179">
        <w:rPr>
          <w:kern w:val="2"/>
          <w:sz w:val="22"/>
        </w:rPr>
        <w:t xml:space="preserve">Jurisprudence on the Constitutional Validity of Campaign Finance Regulation in the US </w:t>
      </w:r>
    </w:p>
    <w:p w14:paraId="238AC4E7" w14:textId="77777777" w:rsidR="00016158" w:rsidRPr="005C2179" w:rsidRDefault="00016158" w:rsidP="00016158">
      <w:pPr>
        <w:rPr>
          <w:b/>
          <w:kern w:val="2"/>
          <w:sz w:val="20"/>
        </w:rPr>
      </w:pPr>
      <w:r w:rsidRPr="005C2179">
        <w:rPr>
          <w:b/>
          <w:kern w:val="2"/>
          <w:sz w:val="20"/>
        </w:rPr>
        <w:t xml:space="preserve">a) </w:t>
      </w:r>
      <w:r w:rsidRPr="005C2179">
        <w:rPr>
          <w:b/>
          <w:i/>
          <w:kern w:val="2"/>
          <w:sz w:val="20"/>
        </w:rPr>
        <w:t>Buckley v Valeo</w:t>
      </w:r>
    </w:p>
    <w:p w14:paraId="1DB0847F" w14:textId="77777777" w:rsidR="00016158" w:rsidRPr="005C2179" w:rsidRDefault="00016158" w:rsidP="00016158">
      <w:pPr>
        <w:rPr>
          <w:kern w:val="2"/>
          <w:sz w:val="20"/>
        </w:rPr>
      </w:pPr>
      <w:r w:rsidRPr="005C2179">
        <w:rPr>
          <w:i/>
          <w:kern w:val="2"/>
          <w:sz w:val="20"/>
        </w:rPr>
        <w:t xml:space="preserve">Buckley v Valeo </w:t>
      </w:r>
      <w:r w:rsidRPr="005C2179">
        <w:rPr>
          <w:kern w:val="2"/>
          <w:sz w:val="20"/>
        </w:rPr>
        <w:t>(</w:t>
      </w:r>
      <w:r w:rsidRPr="005C2179">
        <w:rPr>
          <w:i/>
          <w:kern w:val="2"/>
          <w:sz w:val="20"/>
        </w:rPr>
        <w:t>Buckley</w:t>
      </w:r>
      <w:r w:rsidRPr="005C2179">
        <w:rPr>
          <w:kern w:val="2"/>
          <w:sz w:val="20"/>
        </w:rPr>
        <w:t>) is a foundational case for American campaign finance regulation and represents the beginning of the end for expenditure limits in the US.</w:t>
      </w:r>
      <w:r w:rsidRPr="005C2179">
        <w:rPr>
          <w:rStyle w:val="FootnoteReference"/>
          <w:kern w:val="2"/>
          <w:sz w:val="20"/>
        </w:rPr>
        <w:footnoteReference w:id="209"/>
      </w:r>
      <w:r w:rsidRPr="005C2179">
        <w:rPr>
          <w:kern w:val="2"/>
          <w:sz w:val="20"/>
        </w:rPr>
        <w:t xml:space="preserve"> In </w:t>
      </w:r>
      <w:r w:rsidRPr="005C2179">
        <w:rPr>
          <w:i/>
          <w:kern w:val="2"/>
          <w:sz w:val="20"/>
        </w:rPr>
        <w:t xml:space="preserve">Buckley, </w:t>
      </w:r>
      <w:r w:rsidRPr="005C2179">
        <w:rPr>
          <w:kern w:val="2"/>
          <w:sz w:val="20"/>
        </w:rPr>
        <w:t>the US Supreme Court found that ceilings on independent, uncoordinated third-party campaign expenditures were an unacceptable restriction on political speech under the First Amendment.</w:t>
      </w:r>
      <w:r w:rsidRPr="005C2179">
        <w:rPr>
          <w:rStyle w:val="FootnoteReference"/>
          <w:kern w:val="2"/>
          <w:sz w:val="20"/>
        </w:rPr>
        <w:footnoteReference w:id="210"/>
      </w:r>
      <w:r w:rsidRPr="005C2179">
        <w:rPr>
          <w:kern w:val="2"/>
          <w:sz w:val="20"/>
        </w:rPr>
        <w:t xml:space="preserve"> In the majority’s view, the impugned spending ceiling precluded anyone other than candidates, parties, and the press from making “any significant use of the most effective modes of communication.”</w:t>
      </w:r>
      <w:r w:rsidRPr="005C2179">
        <w:rPr>
          <w:rStyle w:val="FootnoteReference"/>
          <w:kern w:val="2"/>
          <w:sz w:val="20"/>
        </w:rPr>
        <w:footnoteReference w:id="211"/>
      </w:r>
      <w:r w:rsidRPr="005C2179">
        <w:rPr>
          <w:kern w:val="2"/>
          <w:sz w:val="20"/>
        </w:rPr>
        <w:t xml:space="preserve"> The Court observed that “virtually every type of communication in a modern mass democracy is dependent on expenditure.”</w:t>
      </w:r>
      <w:r w:rsidRPr="005C2179">
        <w:rPr>
          <w:rStyle w:val="FootnoteReference"/>
          <w:kern w:val="2"/>
          <w:sz w:val="20"/>
        </w:rPr>
        <w:footnoteReference w:id="212"/>
      </w:r>
      <w:r w:rsidRPr="005C2179">
        <w:rPr>
          <w:kern w:val="2"/>
          <w:sz w:val="20"/>
        </w:rPr>
        <w:t xml:space="preserve"> Thus, restricting spending “reduces the quantity of expression by restricting the number of issues discussed, the depth of their exploration, and the size of the audience reached.”</w:t>
      </w:r>
      <w:r w:rsidRPr="005C2179">
        <w:rPr>
          <w:rStyle w:val="FootnoteReference"/>
          <w:kern w:val="2"/>
          <w:sz w:val="20"/>
        </w:rPr>
        <w:footnoteReference w:id="213"/>
      </w:r>
      <w:r w:rsidRPr="005C2179">
        <w:rPr>
          <w:kern w:val="2"/>
          <w:sz w:val="20"/>
        </w:rPr>
        <w:t xml:space="preserve"> </w:t>
      </w:r>
    </w:p>
    <w:p w14:paraId="17D7C6EB" w14:textId="77777777" w:rsidR="00016158" w:rsidRPr="005C2179" w:rsidRDefault="00016158" w:rsidP="00016158">
      <w:pPr>
        <w:rPr>
          <w:kern w:val="2"/>
          <w:sz w:val="20"/>
        </w:rPr>
      </w:pPr>
      <w:r w:rsidRPr="005C2179">
        <w:rPr>
          <w:kern w:val="2"/>
          <w:sz w:val="20"/>
        </w:rPr>
        <w:t>In the Court’s view, the government’s interest in preventing corruption did not justify the third-party expenditure limits.</w:t>
      </w:r>
      <w:r w:rsidRPr="005C2179">
        <w:rPr>
          <w:rStyle w:val="FootnoteReference"/>
          <w:kern w:val="2"/>
          <w:sz w:val="20"/>
        </w:rPr>
        <w:footnoteReference w:id="214"/>
      </w:r>
      <w:r w:rsidRPr="005C2179">
        <w:rPr>
          <w:kern w:val="2"/>
          <w:sz w:val="20"/>
        </w:rPr>
        <w:t xml:space="preserve"> The Court held that independent third-party campaign expenditures do not pose the same risk of corruption as large contributions to candidates.</w:t>
      </w:r>
      <w:r w:rsidRPr="005C2179">
        <w:rPr>
          <w:rStyle w:val="FootnoteReference"/>
          <w:kern w:val="2"/>
          <w:sz w:val="20"/>
        </w:rPr>
        <w:footnoteReference w:id="215"/>
      </w:r>
      <w:r w:rsidRPr="005C2179">
        <w:rPr>
          <w:kern w:val="2"/>
          <w:sz w:val="20"/>
        </w:rPr>
        <w:t xml:space="preserve"> The Court explained that “[t]he absence of prearrangement and coordination of an expenditure with the candidate ... alleviates the danger that expenditures will be given as a </w:t>
      </w:r>
      <w:r w:rsidRPr="005C2179">
        <w:rPr>
          <w:i/>
          <w:kern w:val="2"/>
          <w:sz w:val="20"/>
        </w:rPr>
        <w:t xml:space="preserve">quid pro quo </w:t>
      </w:r>
      <w:r w:rsidRPr="005C2179">
        <w:rPr>
          <w:kern w:val="2"/>
          <w:sz w:val="20"/>
        </w:rPr>
        <w:t>for improper commitments from the candidate.”</w:t>
      </w:r>
      <w:r w:rsidRPr="005C2179">
        <w:rPr>
          <w:rStyle w:val="FootnoteReference"/>
          <w:kern w:val="2"/>
          <w:sz w:val="20"/>
        </w:rPr>
        <w:footnoteReference w:id="216"/>
      </w:r>
      <w:r w:rsidRPr="005C2179">
        <w:rPr>
          <w:kern w:val="2"/>
          <w:sz w:val="20"/>
        </w:rPr>
        <w:t xml:space="preserve"> </w:t>
      </w:r>
    </w:p>
    <w:p w14:paraId="4BF6E37C" w14:textId="77777777" w:rsidR="00016158" w:rsidRPr="005C2179" w:rsidRDefault="00016158" w:rsidP="00016158">
      <w:pPr>
        <w:rPr>
          <w:kern w:val="2"/>
          <w:sz w:val="20"/>
        </w:rPr>
      </w:pPr>
      <w:r w:rsidRPr="005C2179">
        <w:rPr>
          <w:kern w:val="2"/>
          <w:sz w:val="20"/>
        </w:rPr>
        <w:t>The Court also rejected the argument that independent expenditure caps were justified by a governmental interest in “equalizing the relative ability of individuals and groups to influence the outcome of elections.”</w:t>
      </w:r>
      <w:r w:rsidRPr="005C2179">
        <w:rPr>
          <w:rStyle w:val="FootnoteReference"/>
          <w:kern w:val="2"/>
          <w:sz w:val="20"/>
        </w:rPr>
        <w:footnoteReference w:id="217"/>
      </w:r>
      <w:r w:rsidRPr="005C2179">
        <w:rPr>
          <w:kern w:val="2"/>
          <w:sz w:val="20"/>
        </w:rPr>
        <w:t xml:space="preserve"> According to the Court, the idea that “government may restrict the speech of some elements of our society in order to enhance the relative voice of others is wholly foreign to the First Amendment.”</w:t>
      </w:r>
      <w:r w:rsidRPr="005C2179">
        <w:rPr>
          <w:rStyle w:val="FootnoteReference"/>
          <w:kern w:val="2"/>
          <w:sz w:val="20"/>
        </w:rPr>
        <w:footnoteReference w:id="218"/>
      </w:r>
      <w:r w:rsidRPr="005C2179">
        <w:rPr>
          <w:kern w:val="2"/>
          <w:sz w:val="20"/>
        </w:rPr>
        <w:t xml:space="preserve"> Rather, the First Amendment was intended to promote unfettered dissemination of information and ideas.</w:t>
      </w:r>
      <w:r w:rsidRPr="005C2179">
        <w:rPr>
          <w:rStyle w:val="FootnoteReference"/>
          <w:kern w:val="2"/>
          <w:sz w:val="20"/>
        </w:rPr>
        <w:footnoteReference w:id="219"/>
      </w:r>
      <w:r w:rsidRPr="005C2179">
        <w:rPr>
          <w:kern w:val="2"/>
          <w:sz w:val="20"/>
        </w:rPr>
        <w:t xml:space="preserve"> The Court cited similar concerns in striking down a limit on candidate self-funding.</w:t>
      </w:r>
      <w:r w:rsidRPr="005C2179">
        <w:rPr>
          <w:rStyle w:val="FootnoteReference"/>
          <w:kern w:val="2"/>
          <w:sz w:val="20"/>
        </w:rPr>
        <w:footnoteReference w:id="220"/>
      </w:r>
      <w:r w:rsidRPr="005C2179">
        <w:rPr>
          <w:kern w:val="2"/>
          <w:sz w:val="20"/>
        </w:rPr>
        <w:t xml:space="preserve"> </w:t>
      </w:r>
    </w:p>
    <w:p w14:paraId="5981FC23" w14:textId="77777777" w:rsidR="00016158" w:rsidRPr="005C2179" w:rsidRDefault="00016158" w:rsidP="00016158">
      <w:pPr>
        <w:rPr>
          <w:kern w:val="2"/>
          <w:sz w:val="20"/>
        </w:rPr>
      </w:pPr>
      <w:r w:rsidRPr="005C2179">
        <w:rPr>
          <w:kern w:val="2"/>
          <w:sz w:val="20"/>
        </w:rPr>
        <w:t>The Court did, however, uphold limits on direct contributions to candidates. First, unlike expenditure ceilings, contribution caps impose only a “marginal,” indirect restriction on the contributor’s right to free speech.</w:t>
      </w:r>
      <w:r w:rsidRPr="005C2179">
        <w:rPr>
          <w:rStyle w:val="FootnoteReference"/>
          <w:kern w:val="2"/>
          <w:sz w:val="20"/>
        </w:rPr>
        <w:footnoteReference w:id="221"/>
      </w:r>
      <w:r w:rsidRPr="005C2179">
        <w:rPr>
          <w:kern w:val="2"/>
          <w:sz w:val="20"/>
        </w:rPr>
        <w:t xml:space="preserve"> According to the Court, a “contribution serves as a general expression of support for the candidate and his views” and this symbolic expression does not depend on the size of the contribution.</w:t>
      </w:r>
      <w:r w:rsidRPr="005C2179">
        <w:rPr>
          <w:rStyle w:val="FootnoteReference"/>
          <w:kern w:val="2"/>
          <w:sz w:val="20"/>
        </w:rPr>
        <w:footnoteReference w:id="222"/>
      </w:r>
      <w:r w:rsidRPr="005C2179">
        <w:rPr>
          <w:kern w:val="2"/>
          <w:sz w:val="20"/>
        </w:rPr>
        <w:t xml:space="preserve">  Further, the eventual speaker will be someone other than the contributor.</w:t>
      </w:r>
      <w:r w:rsidRPr="005C2179">
        <w:rPr>
          <w:rStyle w:val="FootnoteReference"/>
          <w:kern w:val="2"/>
          <w:sz w:val="20"/>
        </w:rPr>
        <w:footnoteReference w:id="223"/>
      </w:r>
      <w:r w:rsidRPr="005C2179">
        <w:rPr>
          <w:kern w:val="2"/>
          <w:sz w:val="20"/>
        </w:rPr>
        <w:t xml:space="preserve"> Second, the Court found that the contribution limits pursued the permissible objective of preventing corruption and its appearance. According to the Court, contribution limits address the risk that large donations will be “given to secure a political </w:t>
      </w:r>
      <w:r w:rsidRPr="005C2179">
        <w:rPr>
          <w:i/>
          <w:kern w:val="2"/>
          <w:sz w:val="20"/>
        </w:rPr>
        <w:t xml:space="preserve">quid pro quo </w:t>
      </w:r>
      <w:r w:rsidRPr="005C2179">
        <w:rPr>
          <w:kern w:val="2"/>
          <w:sz w:val="20"/>
        </w:rPr>
        <w:t>from current and potential office holders.”</w:t>
      </w:r>
      <w:r w:rsidRPr="005C2179">
        <w:rPr>
          <w:rStyle w:val="FootnoteReference"/>
          <w:kern w:val="2"/>
          <w:sz w:val="20"/>
        </w:rPr>
        <w:footnoteReference w:id="224"/>
      </w:r>
      <w:r w:rsidRPr="005C2179">
        <w:rPr>
          <w:kern w:val="2"/>
          <w:sz w:val="20"/>
        </w:rPr>
        <w:t xml:space="preserve"> Equally important, contribution limits address “the impact of the appearance of corruption stemming from public awareness of the opportunities for abuse inherent in a regime of large individual financial contributions.”</w:t>
      </w:r>
      <w:r w:rsidRPr="005C2179">
        <w:rPr>
          <w:rStyle w:val="FootnoteReference"/>
          <w:kern w:val="2"/>
          <w:sz w:val="20"/>
        </w:rPr>
        <w:footnoteReference w:id="225"/>
      </w:r>
      <w:r w:rsidRPr="005C2179">
        <w:rPr>
          <w:kern w:val="2"/>
          <w:sz w:val="20"/>
        </w:rPr>
        <w:t xml:space="preserve"> </w:t>
      </w:r>
    </w:p>
    <w:p w14:paraId="6AB2C0BA" w14:textId="77777777" w:rsidR="00016158" w:rsidRPr="005C2179" w:rsidRDefault="00016158" w:rsidP="00016158">
      <w:pPr>
        <w:rPr>
          <w:kern w:val="2"/>
          <w:sz w:val="20"/>
        </w:rPr>
      </w:pPr>
      <w:r w:rsidRPr="005C2179">
        <w:rPr>
          <w:kern w:val="2"/>
          <w:sz w:val="20"/>
        </w:rPr>
        <w:t xml:space="preserve">In </w:t>
      </w:r>
      <w:r w:rsidRPr="005C2179">
        <w:rPr>
          <w:i/>
          <w:kern w:val="2"/>
          <w:sz w:val="20"/>
        </w:rPr>
        <w:t xml:space="preserve">Buckley, </w:t>
      </w:r>
      <w:r w:rsidRPr="005C2179">
        <w:rPr>
          <w:kern w:val="2"/>
          <w:sz w:val="20"/>
        </w:rPr>
        <w:t>the US Supreme Court established several principles that continue to influence American jurisprudence on campaign finance regulation. First, the Court rejected the egalitarian rationale for regulation. Only the anticorruption rationale was accepted as a legitimate justification for limits on political speech during election campaigns. Second, the Court held that independent expenditures by third parties do not raise a significant risk of corruption. This holding set the stage for the growth of independent third-party spending in American elections by groups such as super-PACs (discussed further below). Finally, the Court distinguished between the First Amendment implications of contributions and expenditures. This explains why the concept of coordination is important in American campaign finance law. If spending by a third party or political party is coordinated with a candidate, it is viewed as a contribution to the candidate. As a result, coordinated expenditures, like contributions, are subject to caps and other restrictions. Only truly independent expenditures are unregulated. Various commentators have criticized this distinction between expenditures and contributions as unworkable in practice.</w:t>
      </w:r>
      <w:r w:rsidRPr="005C2179">
        <w:rPr>
          <w:rStyle w:val="FootnoteReference"/>
          <w:kern w:val="2"/>
          <w:sz w:val="20"/>
        </w:rPr>
        <w:footnoteReference w:id="226"/>
      </w:r>
      <w:r w:rsidRPr="005C2179">
        <w:rPr>
          <w:kern w:val="2"/>
          <w:sz w:val="20"/>
        </w:rPr>
        <w:t xml:space="preserve"> In fact, Chief Justice Burger’s dissenting opinion in </w:t>
      </w:r>
      <w:r w:rsidRPr="005C2179">
        <w:rPr>
          <w:i/>
          <w:kern w:val="2"/>
          <w:sz w:val="20"/>
        </w:rPr>
        <w:t xml:space="preserve">Buckley </w:t>
      </w:r>
      <w:r w:rsidRPr="005C2179">
        <w:rPr>
          <w:kern w:val="2"/>
          <w:sz w:val="20"/>
        </w:rPr>
        <w:t>argued that “contributions and expenditures are two sides of the same First Amendment coin.”</w:t>
      </w:r>
      <w:r w:rsidRPr="005C2179">
        <w:rPr>
          <w:rStyle w:val="FootnoteReference"/>
          <w:kern w:val="2"/>
          <w:sz w:val="20"/>
        </w:rPr>
        <w:footnoteReference w:id="227"/>
      </w:r>
      <w:r w:rsidRPr="005C2179">
        <w:rPr>
          <w:kern w:val="2"/>
          <w:sz w:val="20"/>
        </w:rPr>
        <w:t xml:space="preserve"> </w:t>
      </w:r>
    </w:p>
    <w:p w14:paraId="66987CA1" w14:textId="77777777" w:rsidR="00016158" w:rsidRPr="005C2179" w:rsidRDefault="00016158" w:rsidP="00016158">
      <w:pPr>
        <w:rPr>
          <w:b/>
          <w:i/>
          <w:kern w:val="2"/>
          <w:sz w:val="20"/>
        </w:rPr>
      </w:pPr>
      <w:r w:rsidRPr="005C2179">
        <w:rPr>
          <w:b/>
          <w:kern w:val="2"/>
          <w:sz w:val="20"/>
        </w:rPr>
        <w:t xml:space="preserve">b) </w:t>
      </w:r>
      <w:r w:rsidRPr="005C2179">
        <w:rPr>
          <w:b/>
          <w:i/>
          <w:kern w:val="2"/>
          <w:sz w:val="20"/>
        </w:rPr>
        <w:t xml:space="preserve">Austin v Michigan Chamber of Commerce </w:t>
      </w:r>
      <w:r w:rsidRPr="005C2179">
        <w:rPr>
          <w:b/>
          <w:kern w:val="2"/>
          <w:sz w:val="20"/>
        </w:rPr>
        <w:t xml:space="preserve">and </w:t>
      </w:r>
      <w:r w:rsidRPr="005C2179">
        <w:rPr>
          <w:b/>
          <w:i/>
          <w:kern w:val="2"/>
          <w:sz w:val="20"/>
        </w:rPr>
        <w:t xml:space="preserve">McConnell v FEC </w:t>
      </w:r>
    </w:p>
    <w:p w14:paraId="02F21D42" w14:textId="77777777" w:rsidR="00016158" w:rsidRPr="005C2179" w:rsidRDefault="00016158" w:rsidP="00016158">
      <w:pPr>
        <w:rPr>
          <w:kern w:val="2"/>
          <w:sz w:val="20"/>
        </w:rPr>
      </w:pPr>
      <w:r w:rsidRPr="005C2179">
        <w:rPr>
          <w:kern w:val="2"/>
          <w:sz w:val="20"/>
        </w:rPr>
        <w:t xml:space="preserve">The cases of </w:t>
      </w:r>
      <w:r w:rsidRPr="005C2179">
        <w:rPr>
          <w:i/>
          <w:kern w:val="2"/>
          <w:sz w:val="20"/>
        </w:rPr>
        <w:t xml:space="preserve">Austin v Michigan Chamber of Commerce </w:t>
      </w:r>
      <w:r w:rsidRPr="005C2179">
        <w:rPr>
          <w:kern w:val="2"/>
          <w:sz w:val="20"/>
        </w:rPr>
        <w:t>(</w:t>
      </w:r>
      <w:r w:rsidRPr="005C2179">
        <w:rPr>
          <w:i/>
          <w:kern w:val="2"/>
          <w:sz w:val="20"/>
        </w:rPr>
        <w:t>Austin</w:t>
      </w:r>
      <w:r w:rsidRPr="005C2179">
        <w:rPr>
          <w:kern w:val="2"/>
          <w:sz w:val="20"/>
        </w:rPr>
        <w:t>)</w:t>
      </w:r>
      <w:r w:rsidRPr="005C2179">
        <w:rPr>
          <w:rStyle w:val="FootnoteReference"/>
          <w:kern w:val="2"/>
          <w:sz w:val="20"/>
        </w:rPr>
        <w:footnoteReference w:id="228"/>
      </w:r>
      <w:r w:rsidRPr="005C2179">
        <w:rPr>
          <w:i/>
          <w:kern w:val="2"/>
          <w:sz w:val="20"/>
        </w:rPr>
        <w:t xml:space="preserve"> </w:t>
      </w:r>
      <w:r w:rsidRPr="005C2179">
        <w:rPr>
          <w:kern w:val="2"/>
          <w:sz w:val="20"/>
        </w:rPr>
        <w:t xml:space="preserve">and </w:t>
      </w:r>
      <w:r w:rsidRPr="005C2179">
        <w:rPr>
          <w:i/>
          <w:kern w:val="2"/>
          <w:sz w:val="20"/>
        </w:rPr>
        <w:t xml:space="preserve">McConnell v FEC </w:t>
      </w:r>
      <w:r w:rsidRPr="005C2179">
        <w:rPr>
          <w:kern w:val="2"/>
          <w:sz w:val="20"/>
        </w:rPr>
        <w:t>(</w:t>
      </w:r>
      <w:r w:rsidRPr="005C2179">
        <w:rPr>
          <w:i/>
          <w:kern w:val="2"/>
          <w:sz w:val="20"/>
        </w:rPr>
        <w:t>McConnell</w:t>
      </w:r>
      <w:r w:rsidRPr="005C2179">
        <w:rPr>
          <w:kern w:val="2"/>
          <w:sz w:val="20"/>
        </w:rPr>
        <w:t>)</w:t>
      </w:r>
      <w:r w:rsidRPr="005C2179">
        <w:rPr>
          <w:rStyle w:val="FootnoteReference"/>
          <w:kern w:val="2"/>
          <w:sz w:val="20"/>
        </w:rPr>
        <w:footnoteReference w:id="229"/>
      </w:r>
      <w:r w:rsidRPr="005C2179">
        <w:rPr>
          <w:i/>
          <w:kern w:val="2"/>
          <w:sz w:val="20"/>
        </w:rPr>
        <w:t xml:space="preserve"> </w:t>
      </w:r>
      <w:r w:rsidRPr="005C2179">
        <w:rPr>
          <w:kern w:val="2"/>
          <w:sz w:val="20"/>
        </w:rPr>
        <w:t xml:space="preserve">are no longer in line with the US Supreme Court’s approach to campaign finance regulation. The views expressed in the majority judgements in both cases reflect the views of the dissenting justices in more recent cases on campaign finance regulation. </w:t>
      </w:r>
    </w:p>
    <w:p w14:paraId="1D592E9E" w14:textId="77777777" w:rsidR="00016158" w:rsidRPr="005C2179" w:rsidRDefault="00016158" w:rsidP="00016158">
      <w:pPr>
        <w:rPr>
          <w:kern w:val="2"/>
          <w:sz w:val="20"/>
        </w:rPr>
      </w:pPr>
      <w:r w:rsidRPr="005C2179">
        <w:rPr>
          <w:kern w:val="2"/>
          <w:sz w:val="20"/>
        </w:rPr>
        <w:t xml:space="preserve">In </w:t>
      </w:r>
      <w:r w:rsidRPr="005C2179">
        <w:rPr>
          <w:i/>
          <w:kern w:val="2"/>
          <w:sz w:val="20"/>
        </w:rPr>
        <w:t>Austin</w:t>
      </w:r>
      <w:r w:rsidRPr="005C2179">
        <w:rPr>
          <w:kern w:val="2"/>
          <w:sz w:val="20"/>
        </w:rPr>
        <w:t>, the majority of the US Supreme Court upheld a Michigan law that prohibited corporations from using general treasury funds for independent expenditures in support of or opposition to a candidate’s election. Corporations could still pay for political advertising, but were required to use a separate fund.</w:t>
      </w:r>
      <w:r w:rsidRPr="005C2179">
        <w:rPr>
          <w:rStyle w:val="FootnoteReference"/>
          <w:kern w:val="2"/>
          <w:sz w:val="20"/>
        </w:rPr>
        <w:footnoteReference w:id="230"/>
      </w:r>
      <w:r w:rsidRPr="005C2179">
        <w:rPr>
          <w:kern w:val="2"/>
          <w:sz w:val="20"/>
        </w:rPr>
        <w:t xml:space="preserve">  Although the majority appeared to accept the idea, originating in </w:t>
      </w:r>
      <w:r w:rsidRPr="005C2179">
        <w:rPr>
          <w:i/>
          <w:kern w:val="2"/>
          <w:sz w:val="20"/>
        </w:rPr>
        <w:t xml:space="preserve">Buckley, </w:t>
      </w:r>
      <w:r w:rsidRPr="005C2179">
        <w:rPr>
          <w:kern w:val="2"/>
          <w:sz w:val="20"/>
        </w:rPr>
        <w:t>that political speech may only be burdened in the name of preventing corruption, the majority broadened the concept of corruption to include “the corrosive and distorting effects of immense aggregations of wealth that are accumulated with the help of the corporate form and that have little or no correlation to the public’s support for the corporation’s political ideas.”</w:t>
      </w:r>
      <w:r w:rsidRPr="005C2179">
        <w:rPr>
          <w:rStyle w:val="FootnoteReference"/>
          <w:kern w:val="2"/>
          <w:sz w:val="20"/>
        </w:rPr>
        <w:footnoteReference w:id="231"/>
      </w:r>
      <w:r w:rsidRPr="005C2179">
        <w:rPr>
          <w:kern w:val="2"/>
          <w:sz w:val="20"/>
        </w:rPr>
        <w:t xml:space="preserve"> Thus, the majority appeared to blend the equality rationale for campaign finance regulation with the anticorruption rationale.  The majority’s decision also accepted that the speech of corporations and natural persons may be treated differently, since corporate status confers “special benefits ... and present[s] the potential for distorting the political process.”</w:t>
      </w:r>
      <w:r w:rsidRPr="005C2179">
        <w:rPr>
          <w:rStyle w:val="FootnoteReference"/>
          <w:kern w:val="2"/>
          <w:sz w:val="20"/>
        </w:rPr>
        <w:footnoteReference w:id="232"/>
      </w:r>
      <w:r w:rsidRPr="005C2179">
        <w:rPr>
          <w:kern w:val="2"/>
          <w:sz w:val="20"/>
        </w:rPr>
        <w:t xml:space="preserve"> This decision was overturned in </w:t>
      </w:r>
      <w:r w:rsidRPr="005C2179">
        <w:rPr>
          <w:i/>
          <w:kern w:val="2"/>
          <w:sz w:val="20"/>
        </w:rPr>
        <w:t xml:space="preserve">Citizens United v FEC, </w:t>
      </w:r>
      <w:r w:rsidRPr="005C2179">
        <w:rPr>
          <w:kern w:val="2"/>
          <w:sz w:val="20"/>
        </w:rPr>
        <w:t xml:space="preserve">discussed further below. </w:t>
      </w:r>
    </w:p>
    <w:p w14:paraId="015E1B60" w14:textId="77777777" w:rsidR="00016158" w:rsidRPr="005C2179" w:rsidRDefault="00016158" w:rsidP="00016158">
      <w:pPr>
        <w:rPr>
          <w:kern w:val="2"/>
          <w:sz w:val="20"/>
        </w:rPr>
      </w:pPr>
      <w:r w:rsidRPr="005C2179">
        <w:rPr>
          <w:kern w:val="2"/>
          <w:sz w:val="20"/>
        </w:rPr>
        <w:t xml:space="preserve">In </w:t>
      </w:r>
      <w:r w:rsidRPr="005C2179">
        <w:rPr>
          <w:i/>
          <w:kern w:val="2"/>
          <w:sz w:val="20"/>
        </w:rPr>
        <w:t xml:space="preserve">McConnell, </w:t>
      </w:r>
      <w:r w:rsidRPr="005C2179">
        <w:rPr>
          <w:kern w:val="2"/>
          <w:sz w:val="20"/>
        </w:rPr>
        <w:t xml:space="preserve">the majority of the US Supreme Court upheld the ban on “soft money” in the </w:t>
      </w:r>
      <w:r w:rsidRPr="005C2179">
        <w:rPr>
          <w:i/>
          <w:kern w:val="2"/>
          <w:sz w:val="20"/>
        </w:rPr>
        <w:t xml:space="preserve">Bipartisan Campaign Finance Reform Act </w:t>
      </w:r>
      <w:r w:rsidRPr="005C2179">
        <w:rPr>
          <w:kern w:val="2"/>
          <w:sz w:val="20"/>
        </w:rPr>
        <w:t>of 2002 (</w:t>
      </w:r>
      <w:r w:rsidRPr="005C2179">
        <w:rPr>
          <w:i/>
          <w:kern w:val="2"/>
          <w:sz w:val="20"/>
        </w:rPr>
        <w:t>BCRA</w:t>
      </w:r>
      <w:r w:rsidRPr="005C2179">
        <w:rPr>
          <w:kern w:val="2"/>
          <w:sz w:val="20"/>
        </w:rPr>
        <w:t>).</w:t>
      </w:r>
      <w:r w:rsidRPr="005C2179">
        <w:rPr>
          <w:rStyle w:val="FootnoteReference"/>
          <w:kern w:val="2"/>
          <w:sz w:val="20"/>
        </w:rPr>
        <w:footnoteReference w:id="233"/>
      </w:r>
      <w:r w:rsidRPr="005C2179">
        <w:rPr>
          <w:kern w:val="2"/>
          <w:sz w:val="20"/>
        </w:rPr>
        <w:t xml:space="preserve"> “Soft money” referred to unregulated donations to political parties for the purpose of party-building activities, such as issue advertising and voter-turnout efforts. Prior to the </w:t>
      </w:r>
      <w:r w:rsidRPr="005C2179">
        <w:rPr>
          <w:i/>
          <w:kern w:val="2"/>
          <w:sz w:val="20"/>
        </w:rPr>
        <w:t xml:space="preserve">BCRA, </w:t>
      </w:r>
      <w:r w:rsidRPr="005C2179">
        <w:rPr>
          <w:kern w:val="2"/>
          <w:sz w:val="20"/>
        </w:rPr>
        <w:t>political parties could raise unlimited funds for these activities.</w:t>
      </w:r>
      <w:r w:rsidRPr="005C2179">
        <w:rPr>
          <w:rStyle w:val="FootnoteReference"/>
          <w:kern w:val="2"/>
          <w:sz w:val="20"/>
        </w:rPr>
        <w:footnoteReference w:id="234"/>
      </w:r>
      <w:r w:rsidRPr="005C2179">
        <w:rPr>
          <w:kern w:val="2"/>
          <w:sz w:val="20"/>
        </w:rPr>
        <w:t xml:space="preserve"> In </w:t>
      </w:r>
      <w:r w:rsidRPr="005C2179">
        <w:rPr>
          <w:i/>
          <w:kern w:val="2"/>
          <w:sz w:val="20"/>
        </w:rPr>
        <w:t xml:space="preserve">McConnell, </w:t>
      </w:r>
      <w:r w:rsidRPr="005C2179">
        <w:rPr>
          <w:kern w:val="2"/>
          <w:sz w:val="20"/>
        </w:rPr>
        <w:t xml:space="preserve">the majority held that contributions may be restricted for anticorruption purposes, as in </w:t>
      </w:r>
      <w:r w:rsidRPr="005C2179">
        <w:rPr>
          <w:i/>
          <w:kern w:val="2"/>
          <w:sz w:val="20"/>
        </w:rPr>
        <w:t xml:space="preserve">Buckley, </w:t>
      </w:r>
      <w:r w:rsidRPr="005C2179">
        <w:rPr>
          <w:kern w:val="2"/>
          <w:sz w:val="20"/>
        </w:rPr>
        <w:t xml:space="preserve">but expanded the definition of “corruption” beyond the </w:t>
      </w:r>
      <w:r w:rsidRPr="005C2179">
        <w:rPr>
          <w:i/>
          <w:kern w:val="2"/>
          <w:sz w:val="20"/>
        </w:rPr>
        <w:t>quid pro quo</w:t>
      </w:r>
      <w:r w:rsidRPr="005C2179">
        <w:rPr>
          <w:kern w:val="2"/>
          <w:sz w:val="20"/>
        </w:rPr>
        <w:t xml:space="preserve"> to include the risk of undue influence on lawmakers. In the majority’s view, the soft money ban was directed toward the legitimate goal of preventing corruption, as it prevented the circumvention of contribution limits. The soft money ban is still in place. </w:t>
      </w:r>
    </w:p>
    <w:p w14:paraId="124CF04B" w14:textId="77777777" w:rsidR="00016158" w:rsidRPr="005C2179" w:rsidRDefault="00016158" w:rsidP="00016158">
      <w:pPr>
        <w:rPr>
          <w:kern w:val="2"/>
          <w:sz w:val="20"/>
        </w:rPr>
      </w:pPr>
      <w:r w:rsidRPr="005C2179">
        <w:rPr>
          <w:kern w:val="2"/>
          <w:sz w:val="20"/>
        </w:rPr>
        <w:t xml:space="preserve">In accordance with </w:t>
      </w:r>
      <w:r w:rsidRPr="005C2179">
        <w:rPr>
          <w:i/>
          <w:kern w:val="2"/>
          <w:sz w:val="20"/>
        </w:rPr>
        <w:t>Austin</w:t>
      </w:r>
      <w:r w:rsidRPr="005C2179">
        <w:rPr>
          <w:kern w:val="2"/>
          <w:sz w:val="20"/>
        </w:rPr>
        <w:t xml:space="preserve">, the majority in </w:t>
      </w:r>
      <w:r w:rsidRPr="005C2179">
        <w:rPr>
          <w:i/>
          <w:kern w:val="2"/>
          <w:sz w:val="20"/>
        </w:rPr>
        <w:t xml:space="preserve">McConnell </w:t>
      </w:r>
      <w:r w:rsidRPr="005C2179">
        <w:rPr>
          <w:kern w:val="2"/>
          <w:sz w:val="20"/>
        </w:rPr>
        <w:t xml:space="preserve">also upheld a provision prohibiting corporations and trade unions from using general treasury funds for independent expenditures on “electioneering communications.” “Electioneering communications” are a category of election advertisements created by the </w:t>
      </w:r>
      <w:r w:rsidRPr="005C2179">
        <w:rPr>
          <w:i/>
          <w:kern w:val="2"/>
          <w:sz w:val="20"/>
        </w:rPr>
        <w:t>BCRA</w:t>
      </w:r>
      <w:r w:rsidRPr="005C2179">
        <w:rPr>
          <w:kern w:val="2"/>
          <w:sz w:val="20"/>
        </w:rPr>
        <w:t xml:space="preserve"> that refer to a candidate in the period before the election. The category is broader than the category of “express advocacy.” which involves words like “vote for” or “vote against.” The Court noted that corporations were allowed to establish segregated funds to pay for electioneering communications. Further, the same rationale for prohibiting corporations from spending general treasury funds on express advocacy, discussed in </w:t>
      </w:r>
      <w:r w:rsidRPr="005C2179">
        <w:rPr>
          <w:i/>
          <w:kern w:val="2"/>
          <w:sz w:val="20"/>
        </w:rPr>
        <w:t>Austin</w:t>
      </w:r>
      <w:r w:rsidRPr="005C2179">
        <w:rPr>
          <w:kern w:val="2"/>
          <w:sz w:val="20"/>
        </w:rPr>
        <w:t xml:space="preserve">, also applied to the broader category of electioneering communications. This part of the judgement was overturned in </w:t>
      </w:r>
      <w:r w:rsidRPr="005C2179">
        <w:rPr>
          <w:i/>
          <w:kern w:val="2"/>
          <w:sz w:val="20"/>
        </w:rPr>
        <w:t>Citizens United v FEC</w:t>
      </w:r>
      <w:r w:rsidRPr="005C2179">
        <w:rPr>
          <w:kern w:val="2"/>
          <w:sz w:val="20"/>
        </w:rPr>
        <w:t xml:space="preserve">, discussed further below. </w:t>
      </w:r>
    </w:p>
    <w:p w14:paraId="2CAB2C7D" w14:textId="77777777" w:rsidR="00016158" w:rsidRPr="005C2179" w:rsidRDefault="00016158" w:rsidP="00016158">
      <w:pPr>
        <w:rPr>
          <w:b/>
          <w:i/>
          <w:kern w:val="2"/>
          <w:sz w:val="20"/>
        </w:rPr>
      </w:pPr>
      <w:r w:rsidRPr="005C2179">
        <w:rPr>
          <w:b/>
          <w:kern w:val="2"/>
          <w:sz w:val="20"/>
        </w:rPr>
        <w:t xml:space="preserve">c) </w:t>
      </w:r>
      <w:r w:rsidRPr="005C2179">
        <w:rPr>
          <w:b/>
          <w:i/>
          <w:kern w:val="2"/>
          <w:sz w:val="20"/>
        </w:rPr>
        <w:t xml:space="preserve">Davis v FEC  </w:t>
      </w:r>
    </w:p>
    <w:p w14:paraId="3DD68214" w14:textId="77777777" w:rsidR="00016158" w:rsidRPr="005C2179" w:rsidRDefault="00016158" w:rsidP="00016158">
      <w:pPr>
        <w:rPr>
          <w:kern w:val="2"/>
          <w:sz w:val="20"/>
        </w:rPr>
      </w:pPr>
      <w:r w:rsidRPr="005C2179">
        <w:rPr>
          <w:i/>
          <w:kern w:val="2"/>
          <w:sz w:val="20"/>
        </w:rPr>
        <w:t xml:space="preserve">Davis v FEC </w:t>
      </w:r>
      <w:r w:rsidRPr="005C2179">
        <w:rPr>
          <w:kern w:val="2"/>
          <w:sz w:val="20"/>
        </w:rPr>
        <w:t>(</w:t>
      </w:r>
      <w:r w:rsidRPr="005C2179">
        <w:rPr>
          <w:i/>
          <w:kern w:val="2"/>
          <w:sz w:val="20"/>
        </w:rPr>
        <w:t>Davis</w:t>
      </w:r>
      <w:r w:rsidRPr="005C2179">
        <w:rPr>
          <w:kern w:val="2"/>
          <w:sz w:val="20"/>
        </w:rPr>
        <w:t>)</w:t>
      </w:r>
      <w:r w:rsidRPr="005C2179">
        <w:rPr>
          <w:i/>
          <w:kern w:val="2"/>
          <w:sz w:val="20"/>
        </w:rPr>
        <w:t xml:space="preserve"> </w:t>
      </w:r>
      <w:r w:rsidRPr="005C2179">
        <w:rPr>
          <w:kern w:val="2"/>
          <w:sz w:val="20"/>
        </w:rPr>
        <w:t>aligns with current US Supreme Court jurisprudence on campaign finance regulation and freedom of speech.</w:t>
      </w:r>
      <w:r w:rsidRPr="005C2179">
        <w:rPr>
          <w:rStyle w:val="FootnoteReference"/>
          <w:kern w:val="2"/>
          <w:sz w:val="20"/>
        </w:rPr>
        <w:footnoteReference w:id="235"/>
      </w:r>
      <w:r w:rsidRPr="005C2179">
        <w:rPr>
          <w:kern w:val="2"/>
          <w:sz w:val="20"/>
        </w:rPr>
        <w:t xml:space="preserve"> In </w:t>
      </w:r>
      <w:r w:rsidRPr="005C2179">
        <w:rPr>
          <w:i/>
          <w:kern w:val="2"/>
          <w:sz w:val="20"/>
        </w:rPr>
        <w:t xml:space="preserve">Davis, </w:t>
      </w:r>
      <w:r w:rsidRPr="005C2179">
        <w:rPr>
          <w:kern w:val="2"/>
          <w:sz w:val="20"/>
        </w:rPr>
        <w:t xml:space="preserve">the majority of the US Supreme Court struck down the “millionaire’s amendment,” a provision of the </w:t>
      </w:r>
      <w:r w:rsidRPr="005C2179">
        <w:rPr>
          <w:i/>
          <w:kern w:val="2"/>
          <w:sz w:val="20"/>
        </w:rPr>
        <w:t xml:space="preserve">BCRA </w:t>
      </w:r>
      <w:r w:rsidRPr="005C2179">
        <w:rPr>
          <w:kern w:val="2"/>
          <w:sz w:val="20"/>
        </w:rPr>
        <w:t xml:space="preserve">stipulating that candidates could benefit from a higher donation ceiling if facing a self-funded opponent whose spending reached a certain threshold. The Court found that the impugned provision was an unjustifiable burden on the freedom of speech of self-funded candidates. In </w:t>
      </w:r>
      <w:r w:rsidRPr="005C2179">
        <w:rPr>
          <w:i/>
          <w:kern w:val="2"/>
          <w:sz w:val="20"/>
        </w:rPr>
        <w:t xml:space="preserve">Buckley, </w:t>
      </w:r>
      <w:r w:rsidRPr="005C2179">
        <w:rPr>
          <w:kern w:val="2"/>
          <w:sz w:val="20"/>
        </w:rPr>
        <w:t>the Court had already struck down an attempt to cap candidates’ use of personal funds, since the cap interfered with candidates’ right to advocate intensively for their election and lacked an anticorruption purpose.</w:t>
      </w:r>
      <w:r w:rsidRPr="005C2179">
        <w:rPr>
          <w:rStyle w:val="FootnoteReference"/>
          <w:kern w:val="2"/>
          <w:sz w:val="20"/>
        </w:rPr>
        <w:footnoteReference w:id="236"/>
      </w:r>
      <w:r w:rsidRPr="005C2179">
        <w:rPr>
          <w:kern w:val="2"/>
          <w:sz w:val="20"/>
        </w:rPr>
        <w:t xml:space="preserve"> In </w:t>
      </w:r>
      <w:r w:rsidRPr="005C2179">
        <w:rPr>
          <w:i/>
          <w:kern w:val="2"/>
          <w:sz w:val="20"/>
        </w:rPr>
        <w:t xml:space="preserve">Davis, </w:t>
      </w:r>
      <w:r w:rsidRPr="005C2179">
        <w:rPr>
          <w:kern w:val="2"/>
          <w:sz w:val="20"/>
        </w:rPr>
        <w:t>the Court emphasized “the fundamental nature of the right to spend personal funds for campaign speech” and observed that the millionaire’s amendment imposed “an unprecedented penalty on any candidate who robustly exercises that First Amendment right.”</w:t>
      </w:r>
      <w:r w:rsidRPr="005C2179">
        <w:rPr>
          <w:rStyle w:val="FootnoteReference"/>
          <w:kern w:val="2"/>
          <w:sz w:val="20"/>
        </w:rPr>
        <w:footnoteReference w:id="237"/>
      </w:r>
      <w:r w:rsidRPr="005C2179">
        <w:rPr>
          <w:kern w:val="2"/>
          <w:sz w:val="20"/>
        </w:rPr>
        <w:t xml:space="preserve"> This penalty was not justified by an anticorruption interest, as using personal funds actually decreases the risk of corruption by reducing candidates’ dependence on donations. Relying on </w:t>
      </w:r>
      <w:r w:rsidRPr="005C2179">
        <w:rPr>
          <w:i/>
          <w:kern w:val="2"/>
          <w:sz w:val="20"/>
        </w:rPr>
        <w:t xml:space="preserve">Buckley, </w:t>
      </w:r>
      <w:r w:rsidRPr="005C2179">
        <w:rPr>
          <w:kern w:val="2"/>
          <w:sz w:val="20"/>
        </w:rPr>
        <w:t>the Court rejected the idea that egalitarian concerns could justify a burden on First Amendment rights.</w:t>
      </w:r>
      <w:r w:rsidRPr="005C2179">
        <w:rPr>
          <w:rStyle w:val="FootnoteReference"/>
          <w:kern w:val="2"/>
          <w:sz w:val="20"/>
        </w:rPr>
        <w:footnoteReference w:id="238"/>
      </w:r>
      <w:r w:rsidRPr="005C2179">
        <w:rPr>
          <w:kern w:val="2"/>
          <w:sz w:val="20"/>
        </w:rPr>
        <w:t xml:space="preserve"> The Court warned that allowing the state to limit political speech for the purpose of furthering equality “would permit Congress to arrogate the voters’ authority to evaluate the strengths of candidates competing for office.”</w:t>
      </w:r>
      <w:r w:rsidRPr="005C2179">
        <w:rPr>
          <w:rStyle w:val="FootnoteReference"/>
          <w:kern w:val="2"/>
          <w:sz w:val="20"/>
        </w:rPr>
        <w:footnoteReference w:id="239"/>
      </w:r>
      <w:r w:rsidRPr="005C2179">
        <w:rPr>
          <w:kern w:val="2"/>
          <w:sz w:val="20"/>
        </w:rPr>
        <w:t xml:space="preserve"> </w:t>
      </w:r>
      <w:r w:rsidRPr="003F08B3">
        <w:rPr>
          <w:spacing w:val="-2"/>
          <w:kern w:val="2"/>
          <w:sz w:val="20"/>
        </w:rPr>
        <w:t xml:space="preserve">The majority likened wealth to other “strengths” candidates may have, such as fame or “a well-known family name,” and emphasized that “[t]he Constitution </w:t>
      </w:r>
      <w:r w:rsidRPr="003F08B3">
        <w:rPr>
          <w:kern w:val="2"/>
          <w:sz w:val="20"/>
        </w:rPr>
        <w:t>...</w:t>
      </w:r>
      <w:r w:rsidRPr="003F08B3">
        <w:rPr>
          <w:spacing w:val="-2"/>
          <w:kern w:val="2"/>
          <w:sz w:val="20"/>
        </w:rPr>
        <w:t xml:space="preserve"> confers upon voters, not Congress, the power to choose” officeholders.</w:t>
      </w:r>
      <w:r w:rsidRPr="005C2179">
        <w:rPr>
          <w:rStyle w:val="FootnoteReference"/>
          <w:kern w:val="2"/>
          <w:sz w:val="20"/>
        </w:rPr>
        <w:footnoteReference w:id="240"/>
      </w:r>
    </w:p>
    <w:p w14:paraId="6949001C" w14:textId="77777777" w:rsidR="00016158" w:rsidRPr="005C2179" w:rsidRDefault="00016158" w:rsidP="00016158">
      <w:pPr>
        <w:rPr>
          <w:b/>
          <w:i/>
          <w:kern w:val="2"/>
          <w:sz w:val="20"/>
        </w:rPr>
      </w:pPr>
      <w:r w:rsidRPr="005C2179">
        <w:rPr>
          <w:b/>
          <w:kern w:val="2"/>
          <w:sz w:val="20"/>
        </w:rPr>
        <w:t xml:space="preserve">d) </w:t>
      </w:r>
      <w:r w:rsidRPr="005C2179">
        <w:rPr>
          <w:b/>
          <w:i/>
          <w:kern w:val="2"/>
          <w:sz w:val="20"/>
        </w:rPr>
        <w:t>Citizens United v FEC</w:t>
      </w:r>
    </w:p>
    <w:p w14:paraId="3096153A" w14:textId="77777777" w:rsidR="00016158" w:rsidRPr="005C2179" w:rsidRDefault="00016158" w:rsidP="00016158">
      <w:pPr>
        <w:rPr>
          <w:kern w:val="2"/>
          <w:sz w:val="20"/>
        </w:rPr>
      </w:pPr>
      <w:r w:rsidRPr="005C2179">
        <w:rPr>
          <w:kern w:val="2"/>
          <w:sz w:val="20"/>
        </w:rPr>
        <w:t xml:space="preserve">In </w:t>
      </w:r>
      <w:r w:rsidRPr="005C2179">
        <w:rPr>
          <w:i/>
          <w:kern w:val="2"/>
          <w:sz w:val="20"/>
        </w:rPr>
        <w:t>Citizens United v FEC</w:t>
      </w:r>
      <w:r w:rsidRPr="005C2179">
        <w:rPr>
          <w:kern w:val="2"/>
          <w:sz w:val="20"/>
        </w:rPr>
        <w:t xml:space="preserve"> (</w:t>
      </w:r>
      <w:r w:rsidRPr="005C2179">
        <w:rPr>
          <w:i/>
          <w:kern w:val="2"/>
          <w:sz w:val="20"/>
        </w:rPr>
        <w:t>Citizens United</w:t>
      </w:r>
      <w:r w:rsidRPr="005C2179">
        <w:rPr>
          <w:kern w:val="2"/>
          <w:sz w:val="20"/>
        </w:rPr>
        <w:t>),</w:t>
      </w:r>
      <w:r w:rsidRPr="005C2179">
        <w:rPr>
          <w:rStyle w:val="FootnoteReference"/>
          <w:kern w:val="2"/>
          <w:sz w:val="20"/>
        </w:rPr>
        <w:footnoteReference w:id="241"/>
      </w:r>
      <w:r w:rsidRPr="005C2179">
        <w:rPr>
          <w:i/>
          <w:kern w:val="2"/>
          <w:sz w:val="20"/>
        </w:rPr>
        <w:t xml:space="preserve"> </w:t>
      </w:r>
      <w:r w:rsidRPr="005C2179">
        <w:rPr>
          <w:kern w:val="2"/>
          <w:sz w:val="20"/>
        </w:rPr>
        <w:t xml:space="preserve">the majority of the US Supreme Court departed from its earlier decisions in </w:t>
      </w:r>
      <w:r w:rsidRPr="005C2179">
        <w:rPr>
          <w:i/>
          <w:kern w:val="2"/>
          <w:sz w:val="20"/>
        </w:rPr>
        <w:t xml:space="preserve">McConnell </w:t>
      </w:r>
      <w:r w:rsidRPr="005C2179">
        <w:rPr>
          <w:kern w:val="2"/>
          <w:sz w:val="20"/>
        </w:rPr>
        <w:t xml:space="preserve">and </w:t>
      </w:r>
      <w:r w:rsidRPr="005C2179">
        <w:rPr>
          <w:i/>
          <w:kern w:val="2"/>
          <w:sz w:val="20"/>
        </w:rPr>
        <w:t xml:space="preserve">Austin. </w:t>
      </w:r>
      <w:r w:rsidRPr="005C2179">
        <w:rPr>
          <w:kern w:val="2"/>
          <w:sz w:val="20"/>
        </w:rPr>
        <w:t>Although the Court upheld a ban on direct contributions to candidates from corporations and unions, along with various transparency requirements, the majority</w:t>
      </w:r>
      <w:r w:rsidRPr="005C2179">
        <w:rPr>
          <w:i/>
          <w:kern w:val="2"/>
          <w:sz w:val="20"/>
        </w:rPr>
        <w:t xml:space="preserve"> </w:t>
      </w:r>
      <w:r w:rsidRPr="005C2179">
        <w:rPr>
          <w:kern w:val="2"/>
          <w:sz w:val="20"/>
        </w:rPr>
        <w:t xml:space="preserve">struck down limits on independent expenditures by corporations and unions. Under the </w:t>
      </w:r>
      <w:r w:rsidRPr="005C2179">
        <w:rPr>
          <w:i/>
          <w:kern w:val="2"/>
          <w:sz w:val="20"/>
        </w:rPr>
        <w:t xml:space="preserve">BCRA, </w:t>
      </w:r>
      <w:r w:rsidRPr="005C2179">
        <w:rPr>
          <w:kern w:val="2"/>
          <w:sz w:val="20"/>
        </w:rPr>
        <w:t xml:space="preserve">corporations and unions were prohibited from using general treasury funds for independent expenditures on express advocacy and electioneering communications. As mentioned above, express advocacy involves the use of “magic words” like “vote for” or “vote against.” “Electioneering communications,” a category of communications created by the </w:t>
      </w:r>
      <w:r w:rsidRPr="005C2179">
        <w:rPr>
          <w:i/>
          <w:kern w:val="2"/>
          <w:sz w:val="20"/>
        </w:rPr>
        <w:t>BCRA</w:t>
      </w:r>
      <w:r w:rsidRPr="005C2179">
        <w:rPr>
          <w:kern w:val="2"/>
          <w:sz w:val="20"/>
        </w:rPr>
        <w:t xml:space="preserve">, refer to a candidate in the period before the election but fall short of express advocacy. The majority of the Court held that the First Amendment precludes the government from prohibiting the use of general treasury funds for either express advocacy or electioneering communications. </w:t>
      </w:r>
    </w:p>
    <w:p w14:paraId="08B930DC" w14:textId="77777777" w:rsidR="00016158" w:rsidRPr="005C2179" w:rsidRDefault="00016158" w:rsidP="00016158">
      <w:pPr>
        <w:rPr>
          <w:kern w:val="2"/>
          <w:sz w:val="20"/>
        </w:rPr>
      </w:pPr>
      <w:r w:rsidRPr="005C2179">
        <w:rPr>
          <w:kern w:val="2"/>
          <w:sz w:val="20"/>
        </w:rPr>
        <w:t>Writing for the majority, Justice Kennedy began by asserting that the First Amendment restrains government from treating speakers differently based on their identity. Thus, corporations, including for-profit corporations, cannot be treated differently from natural persons in the context of political speech. Restricting some speakers but not others would “deprive the public of the right and privilege to determine for itself what speech and speakers are worthy of consideration.”</w:t>
      </w:r>
      <w:r w:rsidRPr="005C2179">
        <w:rPr>
          <w:rStyle w:val="FootnoteReference"/>
          <w:kern w:val="2"/>
          <w:sz w:val="20"/>
        </w:rPr>
        <w:footnoteReference w:id="242"/>
      </w:r>
      <w:r w:rsidRPr="005C2179">
        <w:rPr>
          <w:kern w:val="2"/>
          <w:sz w:val="20"/>
        </w:rPr>
        <w:t xml:space="preserve"> In Justice Kennedy view, the “governing rule” should be “more speech, not less.”</w:t>
      </w:r>
      <w:r w:rsidRPr="005C2179">
        <w:rPr>
          <w:rStyle w:val="FootnoteReference"/>
          <w:kern w:val="2"/>
          <w:sz w:val="20"/>
        </w:rPr>
        <w:footnoteReference w:id="243"/>
      </w:r>
      <w:r w:rsidRPr="005C2179">
        <w:rPr>
          <w:kern w:val="2"/>
          <w:sz w:val="20"/>
        </w:rPr>
        <w:t xml:space="preserve"> </w:t>
      </w:r>
    </w:p>
    <w:p w14:paraId="439412C8" w14:textId="77777777" w:rsidR="00016158" w:rsidRPr="005C2179" w:rsidRDefault="00016158" w:rsidP="00016158">
      <w:pPr>
        <w:rPr>
          <w:kern w:val="2"/>
          <w:sz w:val="20"/>
        </w:rPr>
      </w:pPr>
      <w:r w:rsidRPr="005C2179">
        <w:rPr>
          <w:kern w:val="2"/>
          <w:sz w:val="20"/>
        </w:rPr>
        <w:t>In response to the majority’s decision on this point, Justice Stevens quipped that “American democracy is imperfect, [but] few ... would have thought its flaws included a dearth of corporate money in politics.”</w:t>
      </w:r>
      <w:r w:rsidRPr="005C2179">
        <w:rPr>
          <w:rStyle w:val="FootnoteReference"/>
          <w:kern w:val="2"/>
          <w:sz w:val="20"/>
        </w:rPr>
        <w:footnoteReference w:id="244"/>
      </w:r>
      <w:r w:rsidRPr="005C2179">
        <w:rPr>
          <w:kern w:val="2"/>
          <w:sz w:val="20"/>
        </w:rPr>
        <w:t xml:space="preserve"> Justice Stevens disagreed that corporations and natural persons must be treated identically in the electoral context. Rather, in this context, “the distinction between corporate and human speakers is significant.”</w:t>
      </w:r>
      <w:r w:rsidRPr="005C2179">
        <w:rPr>
          <w:rStyle w:val="FootnoteReference"/>
          <w:kern w:val="2"/>
          <w:sz w:val="20"/>
        </w:rPr>
        <w:footnoteReference w:id="245"/>
      </w:r>
      <w:r w:rsidRPr="005C2179">
        <w:rPr>
          <w:kern w:val="2"/>
          <w:sz w:val="20"/>
        </w:rPr>
        <w:t xml:space="preserve"> Corporations are not part of “We the People” and carry a special risk of corrupting the electoral process.</w:t>
      </w:r>
      <w:r w:rsidRPr="005C2179">
        <w:rPr>
          <w:rStyle w:val="FootnoteReference"/>
          <w:kern w:val="2"/>
          <w:sz w:val="20"/>
        </w:rPr>
        <w:footnoteReference w:id="246"/>
      </w:r>
      <w:r w:rsidRPr="005C2179">
        <w:rPr>
          <w:kern w:val="2"/>
          <w:sz w:val="20"/>
        </w:rPr>
        <w:t xml:space="preserve"> Unlike human speech, corporate speech is “derivative” and restrictions on corporate speech do not prevent individuals from speaking themselves.</w:t>
      </w:r>
      <w:r w:rsidRPr="005C2179">
        <w:rPr>
          <w:rStyle w:val="FootnoteReference"/>
          <w:kern w:val="2"/>
          <w:sz w:val="20"/>
        </w:rPr>
        <w:footnoteReference w:id="247"/>
      </w:r>
      <w:r w:rsidRPr="005C2179">
        <w:rPr>
          <w:kern w:val="2"/>
          <w:sz w:val="20"/>
        </w:rPr>
        <w:t xml:space="preserve"> Further, the amount of money in a corporation’s general treasury does not reflect public or even shareholder support for the corporation’s political activities.</w:t>
      </w:r>
      <w:r w:rsidRPr="005C2179">
        <w:rPr>
          <w:rStyle w:val="FootnoteReference"/>
          <w:kern w:val="2"/>
          <w:sz w:val="20"/>
        </w:rPr>
        <w:footnoteReference w:id="248"/>
      </w:r>
      <w:r w:rsidRPr="005C2179">
        <w:rPr>
          <w:kern w:val="2"/>
          <w:sz w:val="20"/>
        </w:rPr>
        <w:t xml:space="preserve"> </w:t>
      </w:r>
    </w:p>
    <w:p w14:paraId="22A1589A" w14:textId="77777777" w:rsidR="00016158" w:rsidRPr="005C2179" w:rsidRDefault="00016158" w:rsidP="00016158">
      <w:pPr>
        <w:rPr>
          <w:kern w:val="2"/>
          <w:sz w:val="20"/>
        </w:rPr>
      </w:pPr>
      <w:r w:rsidRPr="005C2179">
        <w:rPr>
          <w:kern w:val="2"/>
          <w:sz w:val="20"/>
        </w:rPr>
        <w:t>The majority went on to find that the impugned provisions amounted to content-based “censorship” and an outright ban on corporate speech.</w:t>
      </w:r>
      <w:r w:rsidRPr="005C2179">
        <w:rPr>
          <w:rStyle w:val="FootnoteReference"/>
          <w:kern w:val="2"/>
          <w:sz w:val="20"/>
        </w:rPr>
        <w:footnoteReference w:id="249"/>
      </w:r>
      <w:r w:rsidRPr="005C2179">
        <w:rPr>
          <w:kern w:val="2"/>
          <w:sz w:val="20"/>
        </w:rPr>
        <w:t xml:space="preserve"> The dissent disagreed, pointing out that, far from banning corporate speech, the </w:t>
      </w:r>
      <w:r w:rsidRPr="005C2179">
        <w:rPr>
          <w:i/>
          <w:kern w:val="2"/>
          <w:sz w:val="20"/>
        </w:rPr>
        <w:t xml:space="preserve">BCRA </w:t>
      </w:r>
      <w:r w:rsidRPr="005C2179">
        <w:rPr>
          <w:kern w:val="2"/>
          <w:sz w:val="20"/>
        </w:rPr>
        <w:t>continued to allow corporations to fund political speech through the formation of separate segregated funds. However, in Justice Kennedy’s view, creating these funds was too administratively “burdensome” to be an adequate alternative.</w:t>
      </w:r>
      <w:r w:rsidRPr="005C2179">
        <w:rPr>
          <w:rStyle w:val="FootnoteReference"/>
          <w:kern w:val="2"/>
          <w:sz w:val="20"/>
        </w:rPr>
        <w:footnoteReference w:id="250"/>
      </w:r>
      <w:r w:rsidRPr="005C2179">
        <w:rPr>
          <w:kern w:val="2"/>
          <w:sz w:val="20"/>
        </w:rPr>
        <w:t xml:space="preserve"> The dissent also argued that an exception to the prohibition could be carved out for non-profit corporations that raise funds almost exclusively from individuals, like Citizens United. However, to Justice Kennedy the alternatives suggested by the dissent were unworkable because they would nonetheless “chill ... political speech.”</w:t>
      </w:r>
      <w:r w:rsidRPr="005C2179">
        <w:rPr>
          <w:rStyle w:val="FootnoteReference"/>
          <w:kern w:val="2"/>
          <w:sz w:val="20"/>
        </w:rPr>
        <w:footnoteReference w:id="251"/>
      </w:r>
      <w:r w:rsidRPr="005C2179">
        <w:rPr>
          <w:kern w:val="2"/>
          <w:sz w:val="20"/>
        </w:rPr>
        <w:t xml:space="preserve"> Further, according to Justice Kennedy, the “purpose and effect [of the ban on corporate independent expenditures] are to silence entities whose voices the Government deems to be suspect.”</w:t>
      </w:r>
      <w:r w:rsidRPr="005C2179">
        <w:rPr>
          <w:rStyle w:val="FootnoteReference"/>
          <w:kern w:val="2"/>
          <w:sz w:val="20"/>
        </w:rPr>
        <w:footnoteReference w:id="252"/>
      </w:r>
      <w:r w:rsidRPr="005C2179">
        <w:rPr>
          <w:kern w:val="2"/>
          <w:sz w:val="20"/>
        </w:rPr>
        <w:t xml:space="preserve"> Although the impugned prohibition was not overtly content-based, Justice Kennedy noted that restrictions “based on the identity of the speaker” can be “a means to control content.”</w:t>
      </w:r>
      <w:r w:rsidRPr="005C2179">
        <w:rPr>
          <w:rStyle w:val="FootnoteReference"/>
          <w:kern w:val="2"/>
          <w:sz w:val="20"/>
        </w:rPr>
        <w:footnoteReference w:id="253"/>
      </w:r>
      <w:r w:rsidRPr="005C2179">
        <w:rPr>
          <w:kern w:val="2"/>
          <w:sz w:val="20"/>
        </w:rPr>
        <w:t xml:space="preserve"> </w:t>
      </w:r>
    </w:p>
    <w:p w14:paraId="22D0CC89" w14:textId="77777777" w:rsidR="00016158" w:rsidRPr="005C2179" w:rsidRDefault="00016158" w:rsidP="00016158">
      <w:pPr>
        <w:rPr>
          <w:kern w:val="2"/>
          <w:sz w:val="20"/>
        </w:rPr>
      </w:pPr>
      <w:r w:rsidRPr="005C2179">
        <w:rPr>
          <w:kern w:val="2"/>
          <w:sz w:val="20"/>
        </w:rPr>
        <w:t xml:space="preserve">The majority and the dissent also disagreed on the governmental interests capable of justifying limits on electoral speech. Following </w:t>
      </w:r>
      <w:r w:rsidRPr="005C2179">
        <w:rPr>
          <w:i/>
          <w:kern w:val="2"/>
          <w:sz w:val="20"/>
        </w:rPr>
        <w:t xml:space="preserve">Buckley, </w:t>
      </w:r>
      <w:r w:rsidRPr="005C2179">
        <w:rPr>
          <w:kern w:val="2"/>
          <w:sz w:val="20"/>
        </w:rPr>
        <w:t>Justice Kennedy held that the government may only limit campaign expenditure in the name of preventing corruption or its appearance.</w:t>
      </w:r>
      <w:r w:rsidRPr="005C2179">
        <w:rPr>
          <w:i/>
          <w:kern w:val="2"/>
          <w:sz w:val="20"/>
        </w:rPr>
        <w:t xml:space="preserve"> </w:t>
      </w:r>
      <w:r w:rsidRPr="005C2179">
        <w:rPr>
          <w:kern w:val="2"/>
          <w:sz w:val="20"/>
        </w:rPr>
        <w:t xml:space="preserve">In Justice Kennedy’s view, independent, uncoordinated expenditures do not give rise to corruption or the appearance of corruption. Justice Kennedy reached this conclusion by defining corruption narrowly to encompass only direct </w:t>
      </w:r>
      <w:r w:rsidRPr="005C2179">
        <w:rPr>
          <w:i/>
          <w:kern w:val="2"/>
          <w:sz w:val="20"/>
        </w:rPr>
        <w:t>quid pro quo</w:t>
      </w:r>
      <w:r w:rsidRPr="005C2179">
        <w:rPr>
          <w:kern w:val="2"/>
          <w:sz w:val="20"/>
        </w:rPr>
        <w:t xml:space="preserve"> exchanges. According to the majority, the provision of “influence or access” is not corruption and “will not cause the electorate to lose faith in our democracy.”</w:t>
      </w:r>
      <w:r w:rsidRPr="005C2179">
        <w:rPr>
          <w:rStyle w:val="FootnoteReference"/>
          <w:kern w:val="2"/>
          <w:sz w:val="20"/>
        </w:rPr>
        <w:footnoteReference w:id="254"/>
      </w:r>
      <w:r w:rsidRPr="005C2179">
        <w:rPr>
          <w:kern w:val="2"/>
          <w:sz w:val="20"/>
        </w:rPr>
        <w:t xml:space="preserve"> Justice Kennedy attempted to support this proposition by explaining that “[d]emocracy is premised on responsiveness,” and the only reason to vote for or contribute to a candidate is to ensure the candidate “will respond by producing those political outcomes the supporter favors.”</w:t>
      </w:r>
      <w:r w:rsidRPr="005C2179">
        <w:rPr>
          <w:rStyle w:val="FootnoteReference"/>
          <w:kern w:val="2"/>
          <w:sz w:val="20"/>
        </w:rPr>
        <w:footnoteReference w:id="255"/>
      </w:r>
      <w:r w:rsidRPr="005C2179">
        <w:rPr>
          <w:kern w:val="2"/>
          <w:sz w:val="20"/>
        </w:rPr>
        <w:t xml:space="preserve"> This seems to suggest that, in Justice Kennedy’s view, big donors </w:t>
      </w:r>
      <w:r w:rsidRPr="005C2179">
        <w:rPr>
          <w:i/>
          <w:kern w:val="2"/>
          <w:sz w:val="20"/>
        </w:rPr>
        <w:t xml:space="preserve">should </w:t>
      </w:r>
      <w:r w:rsidRPr="005C2179">
        <w:rPr>
          <w:kern w:val="2"/>
          <w:sz w:val="20"/>
        </w:rPr>
        <w:t>benefit from greater influence, or “responsiveness,” than non-donors.</w:t>
      </w:r>
      <w:r w:rsidRPr="005C2179">
        <w:rPr>
          <w:i/>
          <w:kern w:val="2"/>
          <w:sz w:val="20"/>
        </w:rPr>
        <w:t xml:space="preserve"> </w:t>
      </w:r>
    </w:p>
    <w:p w14:paraId="3F436D46" w14:textId="77777777" w:rsidR="00016158" w:rsidRPr="005C2179" w:rsidRDefault="00016158" w:rsidP="00016158">
      <w:pPr>
        <w:rPr>
          <w:kern w:val="2"/>
          <w:sz w:val="20"/>
        </w:rPr>
      </w:pPr>
      <w:r w:rsidRPr="005C2179">
        <w:rPr>
          <w:kern w:val="2"/>
          <w:sz w:val="20"/>
        </w:rPr>
        <w:t xml:space="preserve">The dissent disagreed with Justice Kennedy’s definition of corruption. First, in the dissent’s view, Justice Kennedy defined </w:t>
      </w:r>
      <w:r w:rsidRPr="005C2179">
        <w:rPr>
          <w:i/>
          <w:kern w:val="2"/>
          <w:sz w:val="20"/>
        </w:rPr>
        <w:t>quid pro quo</w:t>
      </w:r>
      <w:r w:rsidRPr="005C2179">
        <w:rPr>
          <w:kern w:val="2"/>
          <w:sz w:val="20"/>
        </w:rPr>
        <w:t xml:space="preserve"> corruption too narrowly. Justice Stevens argued that </w:t>
      </w:r>
      <w:r w:rsidRPr="005C2179">
        <w:rPr>
          <w:i/>
          <w:kern w:val="2"/>
          <w:sz w:val="20"/>
        </w:rPr>
        <w:t>quid pro quo</w:t>
      </w:r>
      <w:r w:rsidRPr="005C2179">
        <w:rPr>
          <w:kern w:val="2"/>
          <w:sz w:val="20"/>
        </w:rPr>
        <w:t xml:space="preserve"> exchanges need not “take the form of outright vote buying or bribes ... Rather, they encompass the myriad ways in which outside parties may induce an officeholder to confer a legislative benefit in direct response to, or anticipation of, some outlay of money the parties have made or will make on behalf of the officeholder.”</w:t>
      </w:r>
      <w:r w:rsidRPr="005C2179">
        <w:rPr>
          <w:rStyle w:val="FootnoteReference"/>
          <w:kern w:val="2"/>
          <w:sz w:val="20"/>
        </w:rPr>
        <w:footnoteReference w:id="256"/>
      </w:r>
      <w:r w:rsidRPr="005C2179">
        <w:rPr>
          <w:kern w:val="2"/>
          <w:sz w:val="20"/>
        </w:rPr>
        <w:t xml:space="preserve"> </w:t>
      </w:r>
    </w:p>
    <w:p w14:paraId="18C3F78A" w14:textId="77777777" w:rsidR="00016158" w:rsidRPr="005C2179" w:rsidRDefault="00016158" w:rsidP="00016158">
      <w:pPr>
        <w:rPr>
          <w:kern w:val="2"/>
          <w:sz w:val="20"/>
        </w:rPr>
      </w:pPr>
      <w:r w:rsidRPr="005C2179">
        <w:rPr>
          <w:kern w:val="2"/>
          <w:sz w:val="20"/>
        </w:rPr>
        <w:t xml:space="preserve">Second, the dissent would have expanded the definition of corruption beyond the </w:t>
      </w:r>
      <w:r w:rsidRPr="005C2179">
        <w:rPr>
          <w:i/>
          <w:kern w:val="2"/>
          <w:sz w:val="20"/>
        </w:rPr>
        <w:t>quid pro quo</w:t>
      </w:r>
      <w:r w:rsidRPr="005C2179">
        <w:rPr>
          <w:kern w:val="2"/>
          <w:sz w:val="20"/>
        </w:rPr>
        <w:t xml:space="preserve"> exchange: </w:t>
      </w:r>
    </w:p>
    <w:p w14:paraId="30FC2C32" w14:textId="77777777" w:rsidR="00016158" w:rsidRPr="005C2179" w:rsidRDefault="00016158" w:rsidP="00016158">
      <w:pPr>
        <w:pStyle w:val="BlockQuote"/>
        <w:rPr>
          <w:kern w:val="2"/>
          <w:sz w:val="20"/>
        </w:rPr>
      </w:pPr>
      <w:r w:rsidRPr="005C2179">
        <w:rPr>
          <w:kern w:val="2"/>
          <w:sz w:val="20"/>
        </w:rPr>
        <w:t xml:space="preserve">Corruption can take many forms. Bribery may be the paradigm case. But the difference between selling a vote and selling access is a matter of degree, not kind. And selling access is not qualitatively different from giving special preference to those who spent money on one’s behalf. Corruption operates along a spectrum, and the majority’s apparent belief that </w:t>
      </w:r>
      <w:r w:rsidRPr="005C2179">
        <w:rPr>
          <w:i/>
          <w:kern w:val="2"/>
          <w:sz w:val="20"/>
        </w:rPr>
        <w:t xml:space="preserve">quid pro quo </w:t>
      </w:r>
      <w:r w:rsidRPr="005C2179">
        <w:rPr>
          <w:kern w:val="2"/>
          <w:sz w:val="20"/>
        </w:rPr>
        <w:t>arrangements can be neatly demarcated from other improper influences does not accord with the theory or reality of politics.</w:t>
      </w:r>
      <w:r w:rsidRPr="005C2179">
        <w:rPr>
          <w:rStyle w:val="FootnoteReference"/>
          <w:kern w:val="2"/>
          <w:sz w:val="20"/>
        </w:rPr>
        <w:footnoteReference w:id="257"/>
      </w:r>
      <w:r w:rsidRPr="005C2179">
        <w:rPr>
          <w:kern w:val="2"/>
          <w:sz w:val="20"/>
        </w:rPr>
        <w:t xml:space="preserve">  </w:t>
      </w:r>
    </w:p>
    <w:p w14:paraId="55384371" w14:textId="77777777" w:rsidR="00016158" w:rsidRPr="005C2179" w:rsidRDefault="00016158" w:rsidP="00016158">
      <w:pPr>
        <w:rPr>
          <w:kern w:val="2"/>
          <w:sz w:val="20"/>
        </w:rPr>
      </w:pPr>
      <w:r w:rsidRPr="005C2179">
        <w:rPr>
          <w:kern w:val="2"/>
          <w:sz w:val="20"/>
        </w:rPr>
        <w:t xml:space="preserve">Further, the dissent observed that, even if “ingratiation and access” are not corruption, they create the opportunity for and the appearance of </w:t>
      </w:r>
      <w:r w:rsidRPr="005C2179">
        <w:rPr>
          <w:i/>
          <w:kern w:val="2"/>
          <w:sz w:val="20"/>
        </w:rPr>
        <w:t>quid pro quo</w:t>
      </w:r>
      <w:r w:rsidRPr="005C2179">
        <w:rPr>
          <w:kern w:val="2"/>
          <w:sz w:val="20"/>
        </w:rPr>
        <w:t xml:space="preserve"> exchanges.</w:t>
      </w:r>
      <w:r w:rsidRPr="005C2179">
        <w:rPr>
          <w:rStyle w:val="FootnoteReference"/>
          <w:kern w:val="2"/>
          <w:sz w:val="20"/>
        </w:rPr>
        <w:footnoteReference w:id="258"/>
      </w:r>
      <w:r w:rsidRPr="005C2179">
        <w:rPr>
          <w:kern w:val="2"/>
          <w:sz w:val="20"/>
        </w:rPr>
        <w:t xml:space="preserve"> </w:t>
      </w:r>
    </w:p>
    <w:p w14:paraId="6A80389D" w14:textId="77777777" w:rsidR="00016158" w:rsidRPr="005C2179" w:rsidRDefault="00016158" w:rsidP="00016158">
      <w:pPr>
        <w:rPr>
          <w:kern w:val="2"/>
          <w:sz w:val="20"/>
        </w:rPr>
      </w:pPr>
      <w:r w:rsidRPr="005C2179">
        <w:rPr>
          <w:kern w:val="2"/>
          <w:sz w:val="20"/>
        </w:rPr>
        <w:t xml:space="preserve">The dissent and the majority also disagreed on the validity of </w:t>
      </w:r>
      <w:r w:rsidRPr="005C2179">
        <w:rPr>
          <w:i/>
          <w:kern w:val="2"/>
          <w:sz w:val="20"/>
        </w:rPr>
        <w:t>Austin</w:t>
      </w:r>
      <w:r w:rsidRPr="005C2179">
        <w:rPr>
          <w:kern w:val="2"/>
          <w:sz w:val="20"/>
        </w:rPr>
        <w:t>’s “antidistortion” rationale for regulating corporate campaign finance</w:t>
      </w:r>
      <w:r w:rsidRPr="005C2179">
        <w:rPr>
          <w:i/>
          <w:kern w:val="2"/>
          <w:sz w:val="20"/>
        </w:rPr>
        <w:t xml:space="preserve">. </w:t>
      </w:r>
      <w:r w:rsidRPr="005C2179">
        <w:rPr>
          <w:kern w:val="2"/>
          <w:sz w:val="20"/>
        </w:rPr>
        <w:t xml:space="preserve">The majority rejected the idea from </w:t>
      </w:r>
      <w:r w:rsidRPr="005C2179">
        <w:rPr>
          <w:i/>
          <w:kern w:val="2"/>
          <w:sz w:val="20"/>
        </w:rPr>
        <w:t xml:space="preserve">Austin </w:t>
      </w:r>
      <w:r w:rsidRPr="005C2179">
        <w:rPr>
          <w:kern w:val="2"/>
          <w:sz w:val="20"/>
        </w:rPr>
        <w:t xml:space="preserve">that the state may limit corporate speech to prevent the distortion of electoral debate by well-resourced corporations. Relying on </w:t>
      </w:r>
      <w:r w:rsidRPr="005C2179">
        <w:rPr>
          <w:i/>
          <w:kern w:val="2"/>
          <w:sz w:val="20"/>
        </w:rPr>
        <w:t xml:space="preserve">Buckley, </w:t>
      </w:r>
      <w:r w:rsidRPr="005C2179">
        <w:rPr>
          <w:kern w:val="2"/>
          <w:sz w:val="20"/>
        </w:rPr>
        <w:t>Justice Kennedy held that Congress cannot restrict political speech based on the speaker’s wealth or with the goal of equalizing the relative ability of people and entities to influence electoral outcomes.</w:t>
      </w:r>
      <w:r w:rsidRPr="005C2179">
        <w:rPr>
          <w:rStyle w:val="FootnoteReference"/>
          <w:kern w:val="2"/>
          <w:sz w:val="20"/>
        </w:rPr>
        <w:footnoteReference w:id="259"/>
      </w:r>
      <w:r w:rsidRPr="005C2179">
        <w:rPr>
          <w:kern w:val="2"/>
          <w:sz w:val="20"/>
        </w:rPr>
        <w:t xml:space="preserve"> In Justice Kennedy’s view, attempts by Congress to regulate electoral speech for these equality-related purposes would constitute an impermissible attempt to influence voters’ choices.</w:t>
      </w:r>
      <w:r w:rsidRPr="005C2179">
        <w:rPr>
          <w:rStyle w:val="FootnoteReference"/>
          <w:kern w:val="2"/>
          <w:sz w:val="20"/>
        </w:rPr>
        <w:footnoteReference w:id="260"/>
      </w:r>
      <w:r w:rsidRPr="005C2179">
        <w:rPr>
          <w:kern w:val="2"/>
          <w:sz w:val="20"/>
        </w:rPr>
        <w:t xml:space="preserve"> </w:t>
      </w:r>
    </w:p>
    <w:p w14:paraId="5408D4D2" w14:textId="77777777" w:rsidR="00016158" w:rsidRPr="005C2179" w:rsidRDefault="00016158" w:rsidP="00016158">
      <w:pPr>
        <w:rPr>
          <w:kern w:val="2"/>
          <w:sz w:val="20"/>
        </w:rPr>
      </w:pPr>
      <w:r w:rsidRPr="005C2179">
        <w:rPr>
          <w:kern w:val="2"/>
          <w:sz w:val="20"/>
        </w:rPr>
        <w:t xml:space="preserve">The dissent argued in favour of the “antidistortion” rationale from </w:t>
      </w:r>
      <w:r w:rsidRPr="005C2179">
        <w:rPr>
          <w:i/>
          <w:kern w:val="2"/>
          <w:sz w:val="20"/>
        </w:rPr>
        <w:t>Austin</w:t>
      </w:r>
      <w:r w:rsidRPr="005C2179">
        <w:rPr>
          <w:kern w:val="2"/>
          <w:sz w:val="20"/>
        </w:rPr>
        <w:t>. In the dissent’s view, the impugned law represented an acceptable attempt to balance the First Amendment rights of listeners against those of speakers.</w:t>
      </w:r>
      <w:r w:rsidRPr="005C2179">
        <w:rPr>
          <w:rStyle w:val="FootnoteReference"/>
          <w:kern w:val="2"/>
          <w:sz w:val="20"/>
        </w:rPr>
        <w:footnoteReference w:id="261"/>
      </w:r>
      <w:r w:rsidRPr="005C2179">
        <w:rPr>
          <w:kern w:val="2"/>
          <w:sz w:val="20"/>
        </w:rPr>
        <w:t xml:space="preserve"> Corporations amass funds that natural persons cannot, allowing them to flood broadcast media with their communications. Since citizens do not have unlimited time to consider all speech transmitted during an election, “corporate domination of the airwaves prior to an election may decrease the average listener’s exposure to relevant viewpoints.”</w:t>
      </w:r>
      <w:r w:rsidRPr="005C2179">
        <w:rPr>
          <w:rStyle w:val="FootnoteReference"/>
          <w:kern w:val="2"/>
          <w:sz w:val="20"/>
        </w:rPr>
        <w:footnoteReference w:id="262"/>
      </w:r>
      <w:r w:rsidRPr="005C2179">
        <w:rPr>
          <w:kern w:val="2"/>
          <w:sz w:val="20"/>
        </w:rPr>
        <w:t xml:space="preserve"> Further, corporate domination of electoral debate could lead individuals to feel cynicism about their own ability to be heard.</w:t>
      </w:r>
      <w:r w:rsidRPr="005C2179">
        <w:rPr>
          <w:rStyle w:val="FootnoteReference"/>
          <w:kern w:val="2"/>
          <w:sz w:val="20"/>
        </w:rPr>
        <w:footnoteReference w:id="263"/>
      </w:r>
      <w:r w:rsidRPr="005C2179">
        <w:rPr>
          <w:kern w:val="2"/>
          <w:sz w:val="20"/>
        </w:rPr>
        <w:t xml:space="preserve"> The dissent concluded that </w:t>
      </w:r>
      <w:r w:rsidRPr="005C2179">
        <w:rPr>
          <w:i/>
          <w:kern w:val="2"/>
          <w:sz w:val="20"/>
        </w:rPr>
        <w:t>Austin</w:t>
      </w:r>
      <w:r w:rsidRPr="005C2179">
        <w:rPr>
          <w:kern w:val="2"/>
          <w:sz w:val="20"/>
        </w:rPr>
        <w:t>’s “antidistortion” rationale was intended to “</w:t>
      </w:r>
      <w:r w:rsidRPr="005C2179">
        <w:rPr>
          <w:i/>
          <w:kern w:val="2"/>
          <w:sz w:val="20"/>
        </w:rPr>
        <w:t xml:space="preserve">facilitate </w:t>
      </w:r>
      <w:r w:rsidRPr="005C2179">
        <w:rPr>
          <w:kern w:val="2"/>
          <w:sz w:val="20"/>
        </w:rPr>
        <w:t>First Amendment values by preserving some breathing room around the electoral ‘marketplace’ of ideas.”</w:t>
      </w:r>
      <w:r w:rsidRPr="005C2179">
        <w:rPr>
          <w:rStyle w:val="FootnoteReference"/>
          <w:kern w:val="2"/>
          <w:sz w:val="20"/>
        </w:rPr>
        <w:footnoteReference w:id="264"/>
      </w:r>
      <w:r w:rsidRPr="005C2179">
        <w:rPr>
          <w:kern w:val="2"/>
          <w:sz w:val="20"/>
        </w:rPr>
        <w:t xml:space="preserve"> </w:t>
      </w:r>
    </w:p>
    <w:p w14:paraId="71D96ACE" w14:textId="77777777" w:rsidR="00016158" w:rsidRPr="005C2179" w:rsidRDefault="00016158" w:rsidP="00016158">
      <w:pPr>
        <w:rPr>
          <w:kern w:val="2"/>
          <w:sz w:val="20"/>
        </w:rPr>
      </w:pPr>
      <w:r w:rsidRPr="005C2179">
        <w:rPr>
          <w:kern w:val="2"/>
          <w:sz w:val="20"/>
        </w:rPr>
        <w:t>Although the majority struck down the prohibition on the use of corporate and union general treasury funds, they upheld disclaimer and disclosure requirements for entities funding express advocacy and electioneering communications. According to Justice Kennedy, these transparency requirements were justified burdens on speech because they allow “the electorate to make informed decisions and give proper weight to different speakers and messages.”</w:t>
      </w:r>
      <w:r w:rsidRPr="005C2179">
        <w:rPr>
          <w:rStyle w:val="FootnoteReference"/>
          <w:kern w:val="2"/>
          <w:sz w:val="20"/>
        </w:rPr>
        <w:footnoteReference w:id="265"/>
      </w:r>
    </w:p>
    <w:p w14:paraId="3CE35DF7" w14:textId="77777777" w:rsidR="00016158" w:rsidRPr="005C2179" w:rsidRDefault="00016158" w:rsidP="00016158">
      <w:pPr>
        <w:rPr>
          <w:kern w:val="2"/>
          <w:sz w:val="20"/>
        </w:rPr>
      </w:pPr>
      <w:r w:rsidRPr="005C2179">
        <w:rPr>
          <w:kern w:val="2"/>
          <w:sz w:val="20"/>
        </w:rPr>
        <w:t xml:space="preserve">In October 2014, the Federal Election Commission approved new rules in response to </w:t>
      </w:r>
      <w:r w:rsidRPr="005C2179">
        <w:rPr>
          <w:i/>
          <w:kern w:val="2"/>
          <w:sz w:val="20"/>
        </w:rPr>
        <w:t>Citizens United</w:t>
      </w:r>
      <w:r w:rsidRPr="005C2179">
        <w:rPr>
          <w:kern w:val="2"/>
          <w:sz w:val="20"/>
        </w:rPr>
        <w:t>. The rules expressly permit corporations and unions to make independent expenditures on express advocacy and electioneering communications.</w:t>
      </w:r>
      <w:r w:rsidRPr="005C2179">
        <w:rPr>
          <w:rStyle w:val="FootnoteReference"/>
          <w:kern w:val="2"/>
          <w:sz w:val="20"/>
        </w:rPr>
        <w:footnoteReference w:id="266"/>
      </w:r>
      <w:r w:rsidRPr="005C2179">
        <w:rPr>
          <w:kern w:val="2"/>
          <w:sz w:val="20"/>
        </w:rPr>
        <w:t xml:space="preserve"> The regulations were also revised to allow corporations and unions to finance partisan voter registration and get-out-the-vote initiatives, as long as these activities are uncoordinated with parties or candidates.</w:t>
      </w:r>
      <w:r w:rsidRPr="005C2179">
        <w:rPr>
          <w:rStyle w:val="FootnoteReference"/>
          <w:kern w:val="2"/>
          <w:sz w:val="20"/>
        </w:rPr>
        <w:footnoteReference w:id="267"/>
      </w:r>
      <w:r w:rsidRPr="005C2179">
        <w:rPr>
          <w:kern w:val="2"/>
          <w:sz w:val="20"/>
        </w:rPr>
        <w:t xml:space="preserve"> Funds used for these activities must be disclosed if express advocacy is involved and the reporting threshold of $2,000 is exceeded.</w:t>
      </w:r>
      <w:r w:rsidRPr="005C2179">
        <w:rPr>
          <w:rStyle w:val="FootnoteReference"/>
          <w:kern w:val="2"/>
          <w:sz w:val="20"/>
        </w:rPr>
        <w:footnoteReference w:id="268"/>
      </w:r>
      <w:r w:rsidRPr="005C2179">
        <w:rPr>
          <w:kern w:val="2"/>
          <w:sz w:val="20"/>
        </w:rPr>
        <w:t xml:space="preserve"> The Federal Election Commission further clarified that foreign nationals, national banks, and corporations created by a law of Congress continue to be prohibited from contributing to accounts used to fund electioneering communications.</w:t>
      </w:r>
      <w:r w:rsidRPr="005C2179">
        <w:rPr>
          <w:rStyle w:val="FootnoteReference"/>
          <w:kern w:val="2"/>
          <w:sz w:val="20"/>
        </w:rPr>
        <w:footnoteReference w:id="269"/>
      </w:r>
      <w:r w:rsidRPr="005C2179">
        <w:rPr>
          <w:kern w:val="2"/>
          <w:sz w:val="20"/>
        </w:rPr>
        <w:t xml:space="preserve"> </w:t>
      </w:r>
    </w:p>
    <w:p w14:paraId="7998B3C1" w14:textId="77777777" w:rsidR="00016158" w:rsidRPr="005C2179" w:rsidRDefault="00016158" w:rsidP="00016158">
      <w:pPr>
        <w:rPr>
          <w:b/>
          <w:i/>
          <w:kern w:val="2"/>
          <w:sz w:val="20"/>
        </w:rPr>
      </w:pPr>
      <w:r w:rsidRPr="005C2179">
        <w:rPr>
          <w:b/>
          <w:kern w:val="2"/>
          <w:sz w:val="20"/>
        </w:rPr>
        <w:t xml:space="preserve">e) </w:t>
      </w:r>
      <w:r w:rsidRPr="005C2179">
        <w:rPr>
          <w:b/>
          <w:i/>
          <w:kern w:val="2"/>
          <w:sz w:val="20"/>
        </w:rPr>
        <w:t>SpeechNow.org v FEC</w:t>
      </w:r>
    </w:p>
    <w:p w14:paraId="7234E9F2" w14:textId="77777777" w:rsidR="00016158" w:rsidRPr="005C2179" w:rsidRDefault="00016158" w:rsidP="00016158">
      <w:pPr>
        <w:rPr>
          <w:kern w:val="2"/>
          <w:sz w:val="20"/>
        </w:rPr>
      </w:pPr>
      <w:r w:rsidRPr="005C2179">
        <w:rPr>
          <w:kern w:val="2"/>
          <w:sz w:val="20"/>
        </w:rPr>
        <w:t xml:space="preserve">Political action committees, or PACs, are organized under section 527 of the </w:t>
      </w:r>
      <w:r w:rsidRPr="005C2179">
        <w:rPr>
          <w:i/>
          <w:kern w:val="2"/>
          <w:sz w:val="20"/>
        </w:rPr>
        <w:t>Internal Revenue Code.</w:t>
      </w:r>
      <w:r w:rsidRPr="005C2179">
        <w:rPr>
          <w:rStyle w:val="FootnoteReference"/>
          <w:i/>
          <w:kern w:val="2"/>
          <w:sz w:val="20"/>
        </w:rPr>
        <w:footnoteReference w:id="270"/>
      </w:r>
      <w:r w:rsidRPr="005C2179">
        <w:rPr>
          <w:i/>
          <w:kern w:val="2"/>
          <w:sz w:val="20"/>
        </w:rPr>
        <w:t xml:space="preserve"> </w:t>
      </w:r>
      <w:r w:rsidRPr="005C2179">
        <w:rPr>
          <w:kern w:val="2"/>
          <w:sz w:val="20"/>
        </w:rPr>
        <w:t xml:space="preserve">So-called “traditional PACs” coordinate at least some of their spending with candidates. This coordinated spending is treated as a contribution to the candidate. Prior to the US Supreme Court’s decision in </w:t>
      </w:r>
      <w:r w:rsidRPr="005C2179">
        <w:rPr>
          <w:i/>
          <w:kern w:val="2"/>
          <w:sz w:val="20"/>
        </w:rPr>
        <w:t xml:space="preserve">SpeechNow.org v FEC </w:t>
      </w:r>
      <w:r w:rsidRPr="005C2179">
        <w:rPr>
          <w:kern w:val="2"/>
          <w:sz w:val="20"/>
        </w:rPr>
        <w:t>(</w:t>
      </w:r>
      <w:r w:rsidRPr="005C2179">
        <w:rPr>
          <w:i/>
          <w:kern w:val="2"/>
          <w:sz w:val="20"/>
        </w:rPr>
        <w:t>SpeechNow</w:t>
      </w:r>
      <w:r w:rsidRPr="005C2179">
        <w:rPr>
          <w:kern w:val="2"/>
          <w:sz w:val="20"/>
        </w:rPr>
        <w:t>),</w:t>
      </w:r>
      <w:r w:rsidRPr="005C2179">
        <w:rPr>
          <w:i/>
          <w:kern w:val="2"/>
          <w:sz w:val="20"/>
        </w:rPr>
        <w:t xml:space="preserve"> </w:t>
      </w:r>
      <w:r w:rsidRPr="005C2179">
        <w:rPr>
          <w:kern w:val="2"/>
          <w:sz w:val="20"/>
        </w:rPr>
        <w:t>contributions to all PACs were subject to the same restrictions as contributions to candidates.</w:t>
      </w:r>
      <w:r w:rsidRPr="005C2179">
        <w:rPr>
          <w:rStyle w:val="FootnoteReference"/>
          <w:kern w:val="2"/>
          <w:sz w:val="20"/>
        </w:rPr>
        <w:footnoteReference w:id="271"/>
      </w:r>
      <w:r w:rsidRPr="005C2179">
        <w:rPr>
          <w:kern w:val="2"/>
          <w:sz w:val="20"/>
        </w:rPr>
        <w:t xml:space="preserve"> For example, PACs could not accept donations over $5,000, just like candidates. These restrictions were intended to prevent donors from circumventing caps on donations to candidates, as prospective donors could, in the absence of such restrictions, simply create a PAC, donate large amounts to the PAC, and direct the PAC to engage in coordinated spending with the candidate. </w:t>
      </w:r>
    </w:p>
    <w:p w14:paraId="72FFEC69" w14:textId="4E40F4F3" w:rsidR="00016158" w:rsidRPr="005C2179" w:rsidRDefault="00016158" w:rsidP="00016158">
      <w:pPr>
        <w:rPr>
          <w:kern w:val="2"/>
          <w:sz w:val="20"/>
        </w:rPr>
      </w:pPr>
      <w:r w:rsidRPr="005C2179">
        <w:rPr>
          <w:kern w:val="2"/>
          <w:sz w:val="20"/>
        </w:rPr>
        <w:t xml:space="preserve">In </w:t>
      </w:r>
      <w:r w:rsidRPr="005C2179">
        <w:rPr>
          <w:i/>
          <w:kern w:val="2"/>
          <w:sz w:val="20"/>
        </w:rPr>
        <w:t>SpeechNow</w:t>
      </w:r>
      <w:r w:rsidR="00281382" w:rsidRPr="005C2179">
        <w:rPr>
          <w:i/>
          <w:kern w:val="2"/>
          <w:sz w:val="20"/>
        </w:rPr>
        <w:t>,</w:t>
      </w:r>
      <w:r w:rsidRPr="005C2179">
        <w:rPr>
          <w:i/>
          <w:kern w:val="2"/>
          <w:sz w:val="20"/>
        </w:rPr>
        <w:t xml:space="preserve"> </w:t>
      </w:r>
      <w:r w:rsidRPr="005C2179">
        <w:rPr>
          <w:kern w:val="2"/>
          <w:sz w:val="20"/>
        </w:rPr>
        <w:t>a PAC organized solely for the purpose of making uncoordinated expenditures challenged the contribution cap.</w:t>
      </w:r>
      <w:r w:rsidRPr="005C2179">
        <w:rPr>
          <w:rStyle w:val="FootnoteReference"/>
          <w:kern w:val="2"/>
          <w:sz w:val="20"/>
        </w:rPr>
        <w:footnoteReference w:id="272"/>
      </w:r>
      <w:r w:rsidRPr="005C2179">
        <w:rPr>
          <w:kern w:val="2"/>
          <w:sz w:val="20"/>
        </w:rPr>
        <w:t xml:space="preserve"> The District of Columbia Circuit Court sided with SpeechNow.org on the basis that restricting independent expenditures does not serve the governmental interest of preventing corruption or its appearance. This decision hatched the “super-PAC,” or “independent-expenditure-only PAC,” which engages solely in uncoordinated spending and therefore has unlimited fundraising and spending capacity. The Court did, however, uphold registration and disclosure requirements for super-PACs. After this decision, the FEC released an advisory opinion clarifying that the combined effect of </w:t>
      </w:r>
      <w:r w:rsidRPr="005C2179">
        <w:rPr>
          <w:i/>
          <w:kern w:val="2"/>
          <w:sz w:val="20"/>
        </w:rPr>
        <w:t>Citizens United</w:t>
      </w:r>
      <w:r w:rsidRPr="005C2179">
        <w:rPr>
          <w:kern w:val="2"/>
          <w:sz w:val="20"/>
        </w:rPr>
        <w:t xml:space="preserve"> and </w:t>
      </w:r>
      <w:r w:rsidRPr="005C2179">
        <w:rPr>
          <w:i/>
          <w:kern w:val="2"/>
          <w:sz w:val="20"/>
        </w:rPr>
        <w:t>SpeechNow</w:t>
      </w:r>
      <w:r w:rsidRPr="005C2179">
        <w:rPr>
          <w:kern w:val="2"/>
          <w:sz w:val="20"/>
        </w:rPr>
        <w:t xml:space="preserve"> is to allow corporations and unions to contribute unlimited amounts to super-PACs.</w:t>
      </w:r>
      <w:r w:rsidRPr="005C2179">
        <w:rPr>
          <w:rStyle w:val="FootnoteReference"/>
          <w:kern w:val="2"/>
          <w:sz w:val="20"/>
        </w:rPr>
        <w:footnoteReference w:id="273"/>
      </w:r>
    </w:p>
    <w:p w14:paraId="5F1D6FF4" w14:textId="77777777" w:rsidR="00016158" w:rsidRPr="005C2179" w:rsidRDefault="00016158" w:rsidP="00B6317D">
      <w:pPr>
        <w:keepNext/>
        <w:rPr>
          <w:b/>
          <w:i/>
          <w:kern w:val="2"/>
          <w:sz w:val="20"/>
        </w:rPr>
      </w:pPr>
      <w:r w:rsidRPr="005C2179">
        <w:rPr>
          <w:b/>
          <w:kern w:val="2"/>
          <w:sz w:val="20"/>
        </w:rPr>
        <w:t xml:space="preserve">f) </w:t>
      </w:r>
      <w:r w:rsidRPr="005C2179">
        <w:rPr>
          <w:b/>
          <w:i/>
          <w:kern w:val="2"/>
          <w:sz w:val="20"/>
        </w:rPr>
        <w:t>McCutcheon v FEC</w:t>
      </w:r>
    </w:p>
    <w:p w14:paraId="075CCE91" w14:textId="77777777" w:rsidR="00016158" w:rsidRPr="005C2179" w:rsidRDefault="00016158" w:rsidP="00016158">
      <w:pPr>
        <w:rPr>
          <w:kern w:val="2"/>
          <w:sz w:val="20"/>
        </w:rPr>
      </w:pPr>
      <w:r w:rsidRPr="005C2179">
        <w:rPr>
          <w:kern w:val="2"/>
          <w:sz w:val="20"/>
        </w:rPr>
        <w:t xml:space="preserve">In </w:t>
      </w:r>
      <w:r w:rsidRPr="005C2179">
        <w:rPr>
          <w:i/>
          <w:kern w:val="2"/>
          <w:sz w:val="20"/>
        </w:rPr>
        <w:t xml:space="preserve">McCutcheon v FEC </w:t>
      </w:r>
      <w:r w:rsidRPr="005C2179">
        <w:rPr>
          <w:kern w:val="2"/>
          <w:sz w:val="20"/>
        </w:rPr>
        <w:t>(</w:t>
      </w:r>
      <w:r w:rsidRPr="005C2179">
        <w:rPr>
          <w:i/>
          <w:kern w:val="2"/>
          <w:sz w:val="20"/>
        </w:rPr>
        <w:t>McCutcheon</w:t>
      </w:r>
      <w:r w:rsidRPr="005C2179">
        <w:rPr>
          <w:kern w:val="2"/>
          <w:sz w:val="20"/>
        </w:rPr>
        <w:t xml:space="preserve">), the US Supreme Court struck down the </w:t>
      </w:r>
      <w:r w:rsidRPr="005C2179">
        <w:rPr>
          <w:i/>
          <w:kern w:val="2"/>
          <w:sz w:val="20"/>
        </w:rPr>
        <w:t>BCRA</w:t>
      </w:r>
      <w:r w:rsidRPr="005C2179">
        <w:rPr>
          <w:kern w:val="2"/>
          <w:sz w:val="20"/>
        </w:rPr>
        <w:t>’s aggregate limits on contributions from a single contributor to different candidates, national party committees, and traditional PACs.</w:t>
      </w:r>
      <w:r w:rsidRPr="005C2179">
        <w:rPr>
          <w:rStyle w:val="FootnoteReference"/>
          <w:kern w:val="2"/>
          <w:sz w:val="20"/>
        </w:rPr>
        <w:footnoteReference w:id="274"/>
      </w:r>
      <w:r w:rsidRPr="005C2179">
        <w:rPr>
          <w:kern w:val="2"/>
          <w:sz w:val="20"/>
        </w:rPr>
        <w:t xml:space="preserve"> However, the Court upheld the base limits on contributions per election to a single candidate and the base limits on contributions per year to national party committees and traditional PACs. The Court also upheld disclosure requirements for contributions. The majority pointed out that disclosure serves a valuable informational role for the electorate and deters corruption. In the majority’s view, disclosure requirements are preferable to contribution caps, as limiting contributions could provoke the movement of money into less transparent campaigning vehicles.</w:t>
      </w:r>
      <w:r w:rsidRPr="005C2179">
        <w:rPr>
          <w:rStyle w:val="FootnoteReference"/>
          <w:kern w:val="2"/>
          <w:sz w:val="20"/>
        </w:rPr>
        <w:footnoteReference w:id="275"/>
      </w:r>
      <w:r w:rsidRPr="005C2179">
        <w:rPr>
          <w:kern w:val="2"/>
          <w:sz w:val="20"/>
        </w:rPr>
        <w:t xml:space="preserve"> </w:t>
      </w:r>
    </w:p>
    <w:p w14:paraId="0E6D4BDF" w14:textId="77777777" w:rsidR="00016158" w:rsidRPr="005C2179" w:rsidRDefault="00016158" w:rsidP="00016158">
      <w:pPr>
        <w:rPr>
          <w:kern w:val="2"/>
          <w:sz w:val="20"/>
        </w:rPr>
      </w:pPr>
      <w:r w:rsidRPr="005C2179">
        <w:rPr>
          <w:kern w:val="2"/>
          <w:sz w:val="20"/>
        </w:rPr>
        <w:t>Chief Justice Roberts, for the majority, found that the aggregate limits imposed a significant infringement on freedom of speech and association, since a “donor must limit the number of candidates he supports and may have to choose which of several policy concerns he will advance.”</w:t>
      </w:r>
      <w:r w:rsidRPr="005C2179">
        <w:rPr>
          <w:rStyle w:val="FootnoteReference"/>
          <w:kern w:val="2"/>
          <w:sz w:val="20"/>
        </w:rPr>
        <w:footnoteReference w:id="276"/>
      </w:r>
      <w:r w:rsidRPr="005C2179">
        <w:rPr>
          <w:kern w:val="2"/>
          <w:sz w:val="20"/>
        </w:rPr>
        <w:t xml:space="preserve"> The government argued that donors could support a large number of candidates and stay within the aggregate limits by simply contributing less to each candidate or committee. However, Chief Justice Roberts found this option to be inadequate because it would impose a “special burden on broader participation” in support of a wide range of candidates or causes.</w:t>
      </w:r>
      <w:r w:rsidRPr="005C2179">
        <w:rPr>
          <w:rStyle w:val="FootnoteReference"/>
          <w:kern w:val="2"/>
          <w:sz w:val="20"/>
        </w:rPr>
        <w:footnoteReference w:id="277"/>
      </w:r>
      <w:r w:rsidRPr="005C2179">
        <w:rPr>
          <w:kern w:val="2"/>
          <w:sz w:val="20"/>
        </w:rPr>
        <w:t xml:space="preserve"> This conclusion flowed from Chief Justice Roberts’ conviction that all forms of political expression, regardless of whether that expression involves handing out a few leaflets or spending vast sums on a national advertising campaign, are deserving of equal protection.</w:t>
      </w:r>
      <w:r w:rsidRPr="005C2179">
        <w:rPr>
          <w:rStyle w:val="FootnoteReference"/>
          <w:kern w:val="2"/>
          <w:sz w:val="20"/>
        </w:rPr>
        <w:footnoteReference w:id="278"/>
      </w:r>
      <w:r w:rsidRPr="005C2179">
        <w:rPr>
          <w:kern w:val="2"/>
          <w:sz w:val="20"/>
        </w:rPr>
        <w:t xml:space="preserve"> </w:t>
      </w:r>
    </w:p>
    <w:p w14:paraId="12047086" w14:textId="77777777" w:rsidR="00016158" w:rsidRPr="005C2179" w:rsidRDefault="00016158" w:rsidP="00016158">
      <w:pPr>
        <w:rPr>
          <w:kern w:val="2"/>
          <w:sz w:val="20"/>
        </w:rPr>
      </w:pPr>
      <w:r w:rsidRPr="005C2179">
        <w:rPr>
          <w:kern w:val="2"/>
          <w:sz w:val="20"/>
        </w:rPr>
        <w:t xml:space="preserve">Chief Justice Roberts confirmed that the sole governmental interest capable of justifying restrictions on campaign finance is the prevention of </w:t>
      </w:r>
      <w:r w:rsidRPr="005C2179">
        <w:rPr>
          <w:i/>
          <w:kern w:val="2"/>
          <w:sz w:val="20"/>
        </w:rPr>
        <w:t>quid pro quo</w:t>
      </w:r>
      <w:r w:rsidRPr="005C2179">
        <w:rPr>
          <w:kern w:val="2"/>
          <w:sz w:val="20"/>
        </w:rPr>
        <w:t xml:space="preserve"> corruption or its appearance. He also confirmed that corruption does not include “ingratiation and access,” but rather is limited to a “direct exchange of an official act for money.”</w:t>
      </w:r>
      <w:r w:rsidRPr="005C2179">
        <w:rPr>
          <w:rStyle w:val="FootnoteReference"/>
          <w:kern w:val="2"/>
          <w:sz w:val="20"/>
        </w:rPr>
        <w:footnoteReference w:id="279"/>
      </w:r>
      <w:r w:rsidRPr="005C2179">
        <w:rPr>
          <w:kern w:val="2"/>
          <w:sz w:val="20"/>
        </w:rPr>
        <w:t xml:space="preserve"> The First Amendment therefore bars Congress from imposing contribution limits in order to prevent parties and candidates from rewarding donors with privileged access and influence. In Chief Justice Roberts’ view, it is a “central feature of democracy” that “constituents support candidates who share their beliefs and interests, and candidates who are elected can be expected to be responsive to those concerns.”</w:t>
      </w:r>
      <w:r w:rsidRPr="005C2179">
        <w:rPr>
          <w:rStyle w:val="FootnoteReference"/>
          <w:kern w:val="2"/>
          <w:sz w:val="20"/>
        </w:rPr>
        <w:footnoteReference w:id="280"/>
      </w:r>
      <w:r w:rsidRPr="005C2179">
        <w:rPr>
          <w:kern w:val="2"/>
          <w:sz w:val="20"/>
        </w:rPr>
        <w:t xml:space="preserve"> Thus, like Justice Kennedy in </w:t>
      </w:r>
      <w:r w:rsidRPr="005C2179">
        <w:rPr>
          <w:i/>
          <w:kern w:val="2"/>
          <w:sz w:val="20"/>
        </w:rPr>
        <w:t xml:space="preserve">Citizens United, </w:t>
      </w:r>
      <w:r w:rsidRPr="005C2179">
        <w:rPr>
          <w:kern w:val="2"/>
          <w:sz w:val="20"/>
        </w:rPr>
        <w:t>Justice Roberts appeared comfortable with the idea that office-holders will be particularly responsive to wealthy backers. The dissent criticized this approach for failing to differentiate “between influence resting upon public opinion and influence bought by money alone.”</w:t>
      </w:r>
      <w:r w:rsidRPr="005C2179">
        <w:rPr>
          <w:rStyle w:val="FootnoteReference"/>
          <w:kern w:val="2"/>
          <w:sz w:val="20"/>
        </w:rPr>
        <w:footnoteReference w:id="281"/>
      </w:r>
      <w:r w:rsidRPr="005C2179">
        <w:rPr>
          <w:kern w:val="2"/>
          <w:sz w:val="20"/>
        </w:rPr>
        <w:t xml:space="preserve"> </w:t>
      </w:r>
    </w:p>
    <w:p w14:paraId="4F5D753C" w14:textId="77777777" w:rsidR="00016158" w:rsidRPr="005C2179" w:rsidRDefault="00016158" w:rsidP="00016158">
      <w:pPr>
        <w:rPr>
          <w:kern w:val="2"/>
          <w:sz w:val="20"/>
        </w:rPr>
      </w:pPr>
      <w:r w:rsidRPr="005C2179">
        <w:rPr>
          <w:kern w:val="2"/>
          <w:sz w:val="20"/>
        </w:rPr>
        <w:t xml:space="preserve">As in </w:t>
      </w:r>
      <w:r w:rsidRPr="005C2179">
        <w:rPr>
          <w:i/>
          <w:kern w:val="2"/>
          <w:sz w:val="20"/>
        </w:rPr>
        <w:t xml:space="preserve">Citizens United, </w:t>
      </w:r>
      <w:r w:rsidRPr="005C2179">
        <w:rPr>
          <w:kern w:val="2"/>
          <w:sz w:val="20"/>
        </w:rPr>
        <w:t>the dissent, written by Justice Breyer, argued for a broader conception of corruption that goes beyond “act[s] akin to bribery” to capture the influence that large contributions may exert over elected officials’ judgement.</w:t>
      </w:r>
      <w:r w:rsidRPr="005C2179">
        <w:rPr>
          <w:rStyle w:val="FootnoteReference"/>
          <w:kern w:val="2"/>
          <w:sz w:val="20"/>
        </w:rPr>
        <w:footnoteReference w:id="282"/>
      </w:r>
      <w:r w:rsidRPr="005C2179">
        <w:rPr>
          <w:kern w:val="2"/>
          <w:sz w:val="20"/>
        </w:rPr>
        <w:t xml:space="preserve"> Further, Justice Breyer suggested that corruption encompasses the tendency of money to drown out the “voices of the many” and disrupt the responsiveness of elected officials to the people.</w:t>
      </w:r>
      <w:r w:rsidRPr="005C2179">
        <w:rPr>
          <w:rStyle w:val="FootnoteReference"/>
          <w:kern w:val="2"/>
          <w:sz w:val="20"/>
        </w:rPr>
        <w:footnoteReference w:id="283"/>
      </w:r>
      <w:r w:rsidRPr="005C2179">
        <w:rPr>
          <w:kern w:val="2"/>
          <w:sz w:val="20"/>
        </w:rPr>
        <w:t xml:space="preserve"> This conception of corruption echoes the equality rationale for campaign finance regulation. </w:t>
      </w:r>
    </w:p>
    <w:p w14:paraId="4F674D3F" w14:textId="77777777" w:rsidR="00016158" w:rsidRPr="005C2179" w:rsidRDefault="00016158" w:rsidP="00016158">
      <w:pPr>
        <w:rPr>
          <w:kern w:val="2"/>
          <w:sz w:val="20"/>
        </w:rPr>
      </w:pPr>
      <w:r w:rsidRPr="005C2179">
        <w:rPr>
          <w:kern w:val="2"/>
          <w:sz w:val="20"/>
        </w:rPr>
        <w:t>Based on his narrower conception of corruption, Chief Justice Roberts held that the aggregate limits did not serve an anticorruption interest. Each contribution is subject to base limits, meaning the aggregate limits do not, in themselves, prevent corruption.</w:t>
      </w:r>
      <w:r w:rsidRPr="005C2179">
        <w:rPr>
          <w:rStyle w:val="FootnoteReference"/>
          <w:kern w:val="2"/>
          <w:sz w:val="20"/>
        </w:rPr>
        <w:footnoteReference w:id="284"/>
      </w:r>
      <w:r w:rsidRPr="005C2179">
        <w:rPr>
          <w:kern w:val="2"/>
          <w:sz w:val="20"/>
        </w:rPr>
        <w:t xml:space="preserve"> The government argued that corruption may nonetheless occur when a donor gives a large cheque to a legislator to split up among various candidates and committees. The dissent agreed, observing that candidates who solicit large cheques for their party “will be deeply grateful to the checkwriter, and surely could reward him with a </w:t>
      </w:r>
      <w:r w:rsidRPr="005C2179">
        <w:rPr>
          <w:i/>
          <w:kern w:val="2"/>
          <w:sz w:val="20"/>
        </w:rPr>
        <w:t xml:space="preserve">quid pro quo </w:t>
      </w:r>
      <w:r w:rsidRPr="005C2179">
        <w:rPr>
          <w:kern w:val="2"/>
          <w:sz w:val="20"/>
        </w:rPr>
        <w:t>favor.”</w:t>
      </w:r>
      <w:r w:rsidRPr="005C2179">
        <w:rPr>
          <w:rStyle w:val="FootnoteReference"/>
          <w:kern w:val="2"/>
          <w:sz w:val="20"/>
        </w:rPr>
        <w:footnoteReference w:id="285"/>
      </w:r>
      <w:r w:rsidRPr="005C2179">
        <w:rPr>
          <w:kern w:val="2"/>
          <w:sz w:val="20"/>
        </w:rPr>
        <w:t xml:space="preserve"> However, in Roberts CJ’s view, this argument must fail because it would “dangerously broaden ... the circumscribed definition of </w:t>
      </w:r>
      <w:r w:rsidRPr="005C2179">
        <w:rPr>
          <w:i/>
          <w:kern w:val="2"/>
          <w:sz w:val="20"/>
        </w:rPr>
        <w:t xml:space="preserve">quid pro quo </w:t>
      </w:r>
      <w:r w:rsidRPr="005C2179">
        <w:rPr>
          <w:kern w:val="2"/>
          <w:sz w:val="20"/>
        </w:rPr>
        <w:t>corruption” to include “general, broad-based support of a political party.”</w:t>
      </w:r>
      <w:r w:rsidRPr="005C2179">
        <w:rPr>
          <w:rStyle w:val="FootnoteReference"/>
          <w:kern w:val="2"/>
          <w:sz w:val="20"/>
        </w:rPr>
        <w:footnoteReference w:id="286"/>
      </w:r>
      <w:r w:rsidRPr="005C2179">
        <w:rPr>
          <w:kern w:val="2"/>
          <w:sz w:val="20"/>
        </w:rPr>
        <w:t xml:space="preserve"> </w:t>
      </w:r>
    </w:p>
    <w:p w14:paraId="490B4A8B" w14:textId="77777777" w:rsidR="00016158" w:rsidRPr="005C2179" w:rsidRDefault="00016158" w:rsidP="00016158">
      <w:pPr>
        <w:rPr>
          <w:kern w:val="2"/>
          <w:sz w:val="20"/>
        </w:rPr>
      </w:pPr>
      <w:r w:rsidRPr="005C2179">
        <w:rPr>
          <w:kern w:val="2"/>
          <w:sz w:val="20"/>
        </w:rPr>
        <w:t xml:space="preserve">Unlike Justice Breyer, Chief Justice Roberts also rejected the argument that aggregate limits prevent circumvention of base limits, finding fears of circumvention too speculative. Owing to other provisions in the </w:t>
      </w:r>
      <w:r w:rsidRPr="005C2179">
        <w:rPr>
          <w:i/>
          <w:kern w:val="2"/>
          <w:sz w:val="20"/>
        </w:rPr>
        <w:t>BCRA</w:t>
      </w:r>
      <w:r w:rsidRPr="005C2179">
        <w:rPr>
          <w:kern w:val="2"/>
          <w:sz w:val="20"/>
        </w:rPr>
        <w:t xml:space="preserve">, such as restrictions on earmarking, Chief Justice Roberts argued that it would be difficult for a donor to channel large sums to a candidate and still get credit for the donation. If the donor receives no credit for their donation, there is no risk of a </w:t>
      </w:r>
      <w:r w:rsidRPr="005C2179">
        <w:rPr>
          <w:i/>
          <w:kern w:val="2"/>
          <w:sz w:val="20"/>
        </w:rPr>
        <w:t>quid pro quo</w:t>
      </w:r>
      <w:r w:rsidRPr="005C2179">
        <w:rPr>
          <w:kern w:val="2"/>
          <w:sz w:val="20"/>
        </w:rPr>
        <w:t xml:space="preserve">. </w:t>
      </w:r>
    </w:p>
    <w:p w14:paraId="51379C79" w14:textId="77777777" w:rsidR="00016158" w:rsidRPr="005C2179" w:rsidRDefault="00016158" w:rsidP="00016158">
      <w:pPr>
        <w:rPr>
          <w:kern w:val="2"/>
          <w:sz w:val="20"/>
        </w:rPr>
      </w:pPr>
      <w:r w:rsidRPr="005C2179">
        <w:rPr>
          <w:kern w:val="2"/>
          <w:sz w:val="20"/>
        </w:rPr>
        <w:t xml:space="preserve">As in </w:t>
      </w:r>
      <w:r w:rsidRPr="005C2179">
        <w:rPr>
          <w:i/>
          <w:kern w:val="2"/>
          <w:sz w:val="20"/>
        </w:rPr>
        <w:t xml:space="preserve">Citizens United, </w:t>
      </w:r>
      <w:r w:rsidRPr="005C2179">
        <w:rPr>
          <w:kern w:val="2"/>
          <w:sz w:val="20"/>
        </w:rPr>
        <w:t>the majority also confirmed that the government must not “restrict the political participation of some in order to enhance the relative influence of others.”</w:t>
      </w:r>
      <w:r w:rsidRPr="005C2179">
        <w:rPr>
          <w:rStyle w:val="FootnoteReference"/>
          <w:kern w:val="2"/>
          <w:sz w:val="20"/>
        </w:rPr>
        <w:footnoteReference w:id="287"/>
      </w:r>
      <w:r w:rsidRPr="005C2179">
        <w:rPr>
          <w:kern w:val="2"/>
          <w:sz w:val="20"/>
        </w:rPr>
        <w:t xml:space="preserve"> The majority emphasized that the First Amendment is intended to ensure that public debate is left in the hands of the public, not the government.</w:t>
      </w:r>
      <w:r w:rsidRPr="005C2179">
        <w:rPr>
          <w:rStyle w:val="FootnoteReference"/>
          <w:kern w:val="2"/>
          <w:sz w:val="20"/>
        </w:rPr>
        <w:footnoteReference w:id="288"/>
      </w:r>
      <w:r w:rsidRPr="005C2179">
        <w:rPr>
          <w:kern w:val="2"/>
          <w:sz w:val="20"/>
        </w:rPr>
        <w:t xml:space="preserve"> In accordance with the libertarian approach to freedom of speech, Chief Justice Roberts maintained that government cannot be trusted to judge the value of certain speech over other speech, “even when the government purports to act through legislation reflecting ‘collective speech.’”</w:t>
      </w:r>
      <w:r w:rsidRPr="005C2179">
        <w:rPr>
          <w:rStyle w:val="FootnoteReference"/>
          <w:kern w:val="2"/>
          <w:sz w:val="20"/>
        </w:rPr>
        <w:footnoteReference w:id="289"/>
      </w:r>
      <w:r w:rsidRPr="005C2179">
        <w:rPr>
          <w:kern w:val="2"/>
          <w:sz w:val="20"/>
        </w:rPr>
        <w:t xml:space="preserve"> In Chief Justice Roberts’s view, by attempting to level the playing field through aggregate limits, Congress was meddling impermissibly in electoral debate and trying “to help decide who should govern.”</w:t>
      </w:r>
      <w:r w:rsidRPr="005C2179">
        <w:rPr>
          <w:rStyle w:val="FootnoteReference"/>
          <w:kern w:val="2"/>
          <w:sz w:val="20"/>
        </w:rPr>
        <w:footnoteReference w:id="290"/>
      </w:r>
      <w:r w:rsidRPr="005C2179">
        <w:rPr>
          <w:kern w:val="2"/>
          <w:sz w:val="20"/>
        </w:rPr>
        <w:t xml:space="preserve"> Thus, Congress must not intervene even if non-interference means the wealthy decide who governs. </w:t>
      </w:r>
    </w:p>
    <w:p w14:paraId="5D7AAFF6" w14:textId="77777777" w:rsidR="00016158" w:rsidRPr="005C2179" w:rsidRDefault="00016158" w:rsidP="00016158">
      <w:pPr>
        <w:pStyle w:val="Heading2"/>
        <w:rPr>
          <w:kern w:val="2"/>
          <w:sz w:val="24"/>
        </w:rPr>
      </w:pPr>
      <w:r w:rsidRPr="005C2179">
        <w:rPr>
          <w:kern w:val="2"/>
          <w:sz w:val="24"/>
        </w:rPr>
        <w:t xml:space="preserve">Regulatory Regime in the US </w:t>
      </w:r>
    </w:p>
    <w:p w14:paraId="46BD60AF" w14:textId="77777777" w:rsidR="00016158" w:rsidRPr="005C2179" w:rsidRDefault="00016158" w:rsidP="00016158">
      <w:pPr>
        <w:rPr>
          <w:kern w:val="2"/>
          <w:sz w:val="20"/>
        </w:rPr>
      </w:pPr>
      <w:r w:rsidRPr="005C2179">
        <w:rPr>
          <w:kern w:val="2"/>
          <w:sz w:val="20"/>
        </w:rPr>
        <w:t>In this section, I will provide a brief overview of federal campaign finance regulations in the US.</w:t>
      </w:r>
      <w:r w:rsidRPr="005C2179">
        <w:rPr>
          <w:rStyle w:val="FootnoteReference"/>
          <w:kern w:val="2"/>
          <w:sz w:val="20"/>
        </w:rPr>
        <w:footnoteReference w:id="291"/>
      </w:r>
      <w:r w:rsidRPr="005C2179">
        <w:rPr>
          <w:kern w:val="2"/>
          <w:sz w:val="20"/>
        </w:rPr>
        <w:t xml:space="preserve"> </w:t>
      </w:r>
    </w:p>
    <w:p w14:paraId="6A32FE20" w14:textId="77777777" w:rsidR="00016158" w:rsidRPr="005C2179" w:rsidRDefault="00016158" w:rsidP="00016158">
      <w:pPr>
        <w:rPr>
          <w:b/>
          <w:kern w:val="2"/>
          <w:sz w:val="20"/>
        </w:rPr>
      </w:pPr>
      <w:r w:rsidRPr="005C2179">
        <w:rPr>
          <w:b/>
          <w:kern w:val="2"/>
          <w:sz w:val="20"/>
        </w:rPr>
        <w:t xml:space="preserve">a) Expenditures </w:t>
      </w:r>
    </w:p>
    <w:p w14:paraId="414C08B0" w14:textId="77777777" w:rsidR="00016158" w:rsidRPr="005C2179" w:rsidRDefault="00016158" w:rsidP="00016158">
      <w:pPr>
        <w:rPr>
          <w:kern w:val="2"/>
          <w:sz w:val="20"/>
        </w:rPr>
      </w:pPr>
      <w:r w:rsidRPr="005C2179">
        <w:rPr>
          <w:kern w:val="2"/>
          <w:sz w:val="20"/>
        </w:rPr>
        <w:t xml:space="preserve">Because of the jurisprudence discussed above, campaign expenditures are unlimited in the US for candidates, political parties, and third parties. Third parties, such as corporations, unions, and independent-expenditure-only PACs (or “super-PACs”), may spend unlimited amounts in support of a candidate, party, or issue associated with a candidate or party, as long as that spending is not coordinated with a candidate. Candidates may also spend unlimited personal funds on their own campaigns. </w:t>
      </w:r>
    </w:p>
    <w:p w14:paraId="1CF61378" w14:textId="77777777" w:rsidR="00016158" w:rsidRPr="005C2179" w:rsidRDefault="00016158" w:rsidP="00016158">
      <w:pPr>
        <w:rPr>
          <w:b/>
          <w:kern w:val="2"/>
          <w:sz w:val="20"/>
        </w:rPr>
      </w:pPr>
      <w:r w:rsidRPr="005C2179">
        <w:rPr>
          <w:b/>
          <w:kern w:val="2"/>
          <w:sz w:val="20"/>
        </w:rPr>
        <w:t>b) Contributions and Coordinated Spending</w:t>
      </w:r>
    </w:p>
    <w:p w14:paraId="275599AB" w14:textId="77777777" w:rsidR="00016158" w:rsidRPr="005C2179" w:rsidRDefault="00016158" w:rsidP="00016158">
      <w:pPr>
        <w:rPr>
          <w:kern w:val="2"/>
          <w:sz w:val="20"/>
        </w:rPr>
      </w:pPr>
      <w:r w:rsidRPr="005C2179">
        <w:rPr>
          <w:kern w:val="2"/>
          <w:sz w:val="20"/>
        </w:rPr>
        <w:t>Contributions to candidates are subject to caps and source restrictions.</w:t>
      </w:r>
      <w:r w:rsidRPr="005C2179">
        <w:rPr>
          <w:rStyle w:val="FootnoteReference"/>
          <w:kern w:val="2"/>
          <w:sz w:val="20"/>
        </w:rPr>
        <w:footnoteReference w:id="292"/>
      </w:r>
      <w:r w:rsidRPr="005C2179">
        <w:rPr>
          <w:kern w:val="2"/>
          <w:sz w:val="20"/>
        </w:rPr>
        <w:t xml:space="preserve"> Candidates must not accept direct contributions from corporations, unions, foreign nationals, national banks, or federal government contractors.</w:t>
      </w:r>
      <w:r w:rsidRPr="005C2179">
        <w:rPr>
          <w:rStyle w:val="FootnoteReference"/>
          <w:kern w:val="2"/>
          <w:sz w:val="20"/>
        </w:rPr>
        <w:footnoteReference w:id="293"/>
      </w:r>
      <w:r w:rsidRPr="005C2179">
        <w:rPr>
          <w:kern w:val="2"/>
          <w:sz w:val="20"/>
        </w:rPr>
        <w:t xml:space="preserve"> Coordinated spending with a candidate is viewed as a contribution to the candidate. As a result, these restricted sources may not engage in coordinated spending with a candidate.</w:t>
      </w:r>
      <w:r w:rsidRPr="005C2179">
        <w:rPr>
          <w:rStyle w:val="FootnoteReference"/>
          <w:kern w:val="2"/>
          <w:sz w:val="20"/>
        </w:rPr>
        <w:footnoteReference w:id="294"/>
      </w:r>
      <w:r w:rsidRPr="005C2179">
        <w:rPr>
          <w:kern w:val="2"/>
          <w:sz w:val="20"/>
        </w:rPr>
        <w:t xml:space="preserve"> Further, to prevent circumvention of the rules governing contributions to candidates, donations to entities that engage in coordinated spending with candidates, such as political party committees and traditional PACs, are also subject to caps and source restrictions.</w:t>
      </w:r>
      <w:r w:rsidRPr="005C2179">
        <w:rPr>
          <w:rStyle w:val="FootnoteReference"/>
          <w:kern w:val="2"/>
          <w:sz w:val="20"/>
        </w:rPr>
        <w:footnoteReference w:id="295"/>
      </w:r>
      <w:r w:rsidRPr="005C2179">
        <w:rPr>
          <w:kern w:val="2"/>
          <w:sz w:val="20"/>
        </w:rPr>
        <w:t xml:space="preserve"> Before the </w:t>
      </w:r>
      <w:r w:rsidRPr="005C2179">
        <w:rPr>
          <w:i/>
          <w:kern w:val="2"/>
          <w:sz w:val="20"/>
        </w:rPr>
        <w:t>BCRA</w:t>
      </w:r>
      <w:r w:rsidRPr="005C2179">
        <w:rPr>
          <w:kern w:val="2"/>
          <w:sz w:val="20"/>
        </w:rPr>
        <w:t xml:space="preserve"> was enacted, limits on contributions to political party committees could be circumvented by donating “soft money” to the party. Soft money was used for “party-building activities” and was unregulated.</w:t>
      </w:r>
      <w:r w:rsidRPr="005C2179">
        <w:rPr>
          <w:rStyle w:val="FootnoteReference"/>
          <w:kern w:val="2"/>
          <w:sz w:val="20"/>
        </w:rPr>
        <w:footnoteReference w:id="296"/>
      </w:r>
      <w:r w:rsidRPr="005C2179">
        <w:rPr>
          <w:kern w:val="2"/>
          <w:sz w:val="20"/>
        </w:rPr>
        <w:t xml:space="preserve"> However, the </w:t>
      </w:r>
      <w:r w:rsidRPr="005C2179">
        <w:rPr>
          <w:i/>
          <w:kern w:val="2"/>
          <w:sz w:val="20"/>
        </w:rPr>
        <w:t xml:space="preserve">BCRA </w:t>
      </w:r>
      <w:r w:rsidRPr="005C2179">
        <w:rPr>
          <w:kern w:val="2"/>
          <w:sz w:val="20"/>
        </w:rPr>
        <w:t>closed this loophole, stipulating that political parties may only raise money that is subject to federal regulation.</w:t>
      </w:r>
      <w:r w:rsidRPr="005C2179">
        <w:rPr>
          <w:rStyle w:val="FootnoteReference"/>
          <w:kern w:val="2"/>
          <w:sz w:val="20"/>
        </w:rPr>
        <w:footnoteReference w:id="297"/>
      </w:r>
      <w:r w:rsidRPr="005C2179">
        <w:rPr>
          <w:kern w:val="2"/>
          <w:sz w:val="20"/>
        </w:rPr>
        <w:t xml:space="preserve"> </w:t>
      </w:r>
    </w:p>
    <w:p w14:paraId="19F4FC02" w14:textId="77777777" w:rsidR="00016158" w:rsidRPr="005C2179" w:rsidRDefault="00016158" w:rsidP="00016158">
      <w:pPr>
        <w:keepNext/>
        <w:rPr>
          <w:b/>
          <w:kern w:val="2"/>
          <w:sz w:val="20"/>
        </w:rPr>
      </w:pPr>
      <w:r w:rsidRPr="005C2179">
        <w:rPr>
          <w:b/>
          <w:kern w:val="2"/>
          <w:sz w:val="20"/>
        </w:rPr>
        <w:t xml:space="preserve">c) Transparency requirements </w:t>
      </w:r>
    </w:p>
    <w:p w14:paraId="667485C2" w14:textId="77777777" w:rsidR="00016158" w:rsidRPr="005C2179" w:rsidRDefault="00016158" w:rsidP="00016158">
      <w:pPr>
        <w:rPr>
          <w:kern w:val="2"/>
          <w:sz w:val="20"/>
        </w:rPr>
      </w:pPr>
      <w:r w:rsidRPr="005C2179">
        <w:rPr>
          <w:kern w:val="2"/>
          <w:sz w:val="20"/>
        </w:rPr>
        <w:t>Different disclosure requirements apply to different types of political actors and organizations.</w:t>
      </w:r>
      <w:r w:rsidRPr="005C2179">
        <w:rPr>
          <w:rStyle w:val="FootnoteReference"/>
          <w:kern w:val="2"/>
          <w:sz w:val="20"/>
        </w:rPr>
        <w:footnoteReference w:id="298"/>
      </w:r>
      <w:r w:rsidRPr="005C2179">
        <w:rPr>
          <w:kern w:val="2"/>
          <w:sz w:val="20"/>
        </w:rPr>
        <w:t xml:space="preserve"> For example, in reports to the Federal Election Commission (FEC), super-PACs must include the source, amount, and date of contributions to the super-PAC for any purpose, along with the amount, purpose, date, and recipient of disbursements over $200 in a calendar year.</w:t>
      </w:r>
      <w:r w:rsidRPr="005C2179">
        <w:rPr>
          <w:rStyle w:val="FootnoteReference"/>
          <w:kern w:val="2"/>
          <w:sz w:val="20"/>
        </w:rPr>
        <w:footnoteReference w:id="299"/>
      </w:r>
      <w:r w:rsidRPr="005C2179">
        <w:rPr>
          <w:kern w:val="2"/>
          <w:sz w:val="20"/>
        </w:rPr>
        <w:t xml:space="preserve"> Super-PACs must also disclose separately their spending on express advocacy.</w:t>
      </w:r>
      <w:r w:rsidRPr="005C2179">
        <w:rPr>
          <w:rStyle w:val="FootnoteReference"/>
          <w:kern w:val="2"/>
          <w:sz w:val="20"/>
        </w:rPr>
        <w:footnoteReference w:id="300"/>
      </w:r>
      <w:r w:rsidRPr="005C2179">
        <w:rPr>
          <w:kern w:val="2"/>
          <w:sz w:val="20"/>
        </w:rPr>
        <w:t xml:space="preserve"> </w:t>
      </w:r>
    </w:p>
    <w:p w14:paraId="1F3C43B0" w14:textId="77777777" w:rsidR="00016158" w:rsidRPr="005C2179" w:rsidRDefault="00016158" w:rsidP="00016158">
      <w:pPr>
        <w:rPr>
          <w:kern w:val="2"/>
          <w:sz w:val="20"/>
        </w:rPr>
      </w:pPr>
      <w:r w:rsidRPr="005C2179">
        <w:rPr>
          <w:kern w:val="2"/>
          <w:sz w:val="20"/>
        </w:rPr>
        <w:t xml:space="preserve">Corporations, unions, and groups organized under 26 USC </w:t>
      </w:r>
      <w:r w:rsidRPr="005C2179">
        <w:rPr>
          <w:color w:val="333333"/>
          <w:kern w:val="2"/>
          <w:sz w:val="20"/>
          <w:shd w:val="clear" w:color="auto" w:fill="FFFFFF"/>
        </w:rPr>
        <w:t xml:space="preserve">§ </w:t>
      </w:r>
      <w:r w:rsidRPr="005C2179">
        <w:rPr>
          <w:kern w:val="2"/>
          <w:sz w:val="20"/>
        </w:rPr>
        <w:t>501(c)</w:t>
      </w:r>
      <w:r w:rsidRPr="005C2179">
        <w:rPr>
          <w:i/>
          <w:kern w:val="2"/>
          <w:sz w:val="20"/>
        </w:rPr>
        <w:t xml:space="preserve">, </w:t>
      </w:r>
      <w:r w:rsidRPr="005C2179">
        <w:rPr>
          <w:kern w:val="2"/>
          <w:sz w:val="20"/>
        </w:rPr>
        <w:t>often termed “501(c) organizations,”</w:t>
      </w:r>
      <w:r w:rsidRPr="005C2179">
        <w:rPr>
          <w:rStyle w:val="FootnoteReference"/>
          <w:kern w:val="2"/>
          <w:sz w:val="20"/>
        </w:rPr>
        <w:footnoteReference w:id="301"/>
      </w:r>
      <w:r w:rsidRPr="005C2179">
        <w:rPr>
          <w:kern w:val="2"/>
          <w:sz w:val="20"/>
        </w:rPr>
        <w:t xml:space="preserve"> must disclose disbursements made for the purpose of express advocacy and electioneering communications.</w:t>
      </w:r>
      <w:r w:rsidRPr="005C2179">
        <w:rPr>
          <w:rStyle w:val="FootnoteReference"/>
          <w:kern w:val="2"/>
          <w:sz w:val="20"/>
        </w:rPr>
        <w:footnoteReference w:id="302"/>
      </w:r>
      <w:r w:rsidRPr="005C2179">
        <w:rPr>
          <w:kern w:val="2"/>
          <w:sz w:val="20"/>
        </w:rPr>
        <w:t xml:space="preserve"> However, corporations, unions, and 501(c) organizations are not required to report the source of their donations to the FEC unless the donations were made specifically for the purpose of funding express advocacy or electioneering communications.</w:t>
      </w:r>
      <w:r w:rsidRPr="005C2179">
        <w:rPr>
          <w:rStyle w:val="FootnoteReference"/>
          <w:kern w:val="2"/>
          <w:sz w:val="20"/>
        </w:rPr>
        <w:footnoteReference w:id="303"/>
      </w:r>
      <w:r w:rsidRPr="005C2179">
        <w:rPr>
          <w:kern w:val="2"/>
          <w:sz w:val="20"/>
        </w:rPr>
        <w:t xml:space="preserve"> The same general rules apply to groups organized under 26 USC </w:t>
      </w:r>
      <w:r w:rsidRPr="005C2179">
        <w:rPr>
          <w:color w:val="333333"/>
          <w:kern w:val="2"/>
          <w:sz w:val="20"/>
          <w:shd w:val="clear" w:color="auto" w:fill="FFFFFF"/>
        </w:rPr>
        <w:t>§</w:t>
      </w:r>
      <w:r w:rsidRPr="005C2179">
        <w:rPr>
          <w:kern w:val="2"/>
          <w:sz w:val="20"/>
        </w:rPr>
        <w:t xml:space="preserve"> 527, or “527 organizations,” that are not political committees, meaning their main activities are not political.</w:t>
      </w:r>
      <w:r w:rsidRPr="005C2179">
        <w:rPr>
          <w:rStyle w:val="FootnoteReference"/>
          <w:kern w:val="2"/>
          <w:sz w:val="20"/>
        </w:rPr>
        <w:footnoteReference w:id="304"/>
      </w:r>
      <w:r w:rsidRPr="005C2179">
        <w:rPr>
          <w:kern w:val="2"/>
          <w:sz w:val="20"/>
        </w:rPr>
        <w:t xml:space="preserve"> </w:t>
      </w:r>
    </w:p>
    <w:p w14:paraId="65FD731A" w14:textId="77777777" w:rsidR="00016158" w:rsidRPr="005C2179" w:rsidRDefault="00016158" w:rsidP="00016158">
      <w:pPr>
        <w:rPr>
          <w:kern w:val="2"/>
          <w:sz w:val="20"/>
        </w:rPr>
      </w:pPr>
      <w:r w:rsidRPr="005C2179">
        <w:rPr>
          <w:kern w:val="2"/>
          <w:sz w:val="20"/>
        </w:rPr>
        <w:t>Some entities also have disclosure obligations in relation to agencies other than the FEC, such as the Internal Revenue Service.</w:t>
      </w:r>
      <w:r w:rsidRPr="005C2179">
        <w:rPr>
          <w:rStyle w:val="FootnoteReference"/>
          <w:kern w:val="2"/>
          <w:sz w:val="20"/>
        </w:rPr>
        <w:footnoteReference w:id="305"/>
      </w:r>
      <w:r w:rsidRPr="005C2179">
        <w:rPr>
          <w:kern w:val="2"/>
          <w:sz w:val="20"/>
        </w:rPr>
        <w:t xml:space="preserve"> </w:t>
      </w:r>
    </w:p>
    <w:p w14:paraId="4735A72E" w14:textId="77777777" w:rsidR="00016158" w:rsidRPr="005C2179" w:rsidRDefault="00016158" w:rsidP="00016158">
      <w:pPr>
        <w:rPr>
          <w:b/>
          <w:kern w:val="2"/>
          <w:sz w:val="20"/>
        </w:rPr>
      </w:pPr>
      <w:r w:rsidRPr="005C2179">
        <w:rPr>
          <w:b/>
          <w:kern w:val="2"/>
          <w:sz w:val="20"/>
        </w:rPr>
        <w:t xml:space="preserve">d) Public Funding </w:t>
      </w:r>
    </w:p>
    <w:p w14:paraId="705B576A" w14:textId="77777777" w:rsidR="00016158" w:rsidRPr="005C2179" w:rsidRDefault="00016158" w:rsidP="00016158">
      <w:pPr>
        <w:rPr>
          <w:kern w:val="2"/>
          <w:sz w:val="20"/>
        </w:rPr>
      </w:pPr>
      <w:r w:rsidRPr="005C2179">
        <w:rPr>
          <w:kern w:val="2"/>
          <w:sz w:val="20"/>
        </w:rPr>
        <w:t>In the US, an opt-in public funding scheme exists for presidential candidates, but the scheme is out-of-date and rarely used by major candidates.</w:t>
      </w:r>
      <w:r w:rsidRPr="005C2179">
        <w:rPr>
          <w:rStyle w:val="FootnoteReference"/>
          <w:kern w:val="2"/>
          <w:sz w:val="20"/>
        </w:rPr>
        <w:footnoteReference w:id="306"/>
      </w:r>
      <w:r w:rsidRPr="005C2179">
        <w:rPr>
          <w:kern w:val="2"/>
          <w:sz w:val="20"/>
        </w:rPr>
        <w:t xml:space="preserve"> Candidates who opt in must also comply with expenditure limits. In the past, the government also provided public grants to political party committees for party conventions,</w:t>
      </w:r>
      <w:r w:rsidRPr="005C2179">
        <w:rPr>
          <w:rStyle w:val="FootnoteReference"/>
          <w:kern w:val="2"/>
          <w:sz w:val="20"/>
        </w:rPr>
        <w:footnoteReference w:id="307"/>
      </w:r>
      <w:r w:rsidRPr="005C2179">
        <w:rPr>
          <w:kern w:val="2"/>
          <w:sz w:val="20"/>
        </w:rPr>
        <w:t xml:space="preserve"> but this scheme has been terminated.</w:t>
      </w:r>
      <w:r w:rsidRPr="005C2179">
        <w:rPr>
          <w:rStyle w:val="FootnoteReference"/>
          <w:kern w:val="2"/>
          <w:sz w:val="20"/>
        </w:rPr>
        <w:footnoteReference w:id="308"/>
      </w:r>
    </w:p>
    <w:p w14:paraId="7B357730" w14:textId="77777777" w:rsidR="00016158" w:rsidRPr="005C2179" w:rsidRDefault="00016158" w:rsidP="00016158">
      <w:pPr>
        <w:keepNext/>
        <w:rPr>
          <w:b/>
          <w:kern w:val="2"/>
          <w:sz w:val="20"/>
        </w:rPr>
      </w:pPr>
      <w:r w:rsidRPr="005C2179">
        <w:rPr>
          <w:b/>
          <w:kern w:val="2"/>
          <w:sz w:val="20"/>
        </w:rPr>
        <w:t xml:space="preserve">e) Role of the Federal Election Commission </w:t>
      </w:r>
    </w:p>
    <w:p w14:paraId="4D2A6C0A" w14:textId="77777777" w:rsidR="00016158" w:rsidRPr="005C2179" w:rsidRDefault="00016158" w:rsidP="00016158">
      <w:pPr>
        <w:rPr>
          <w:kern w:val="2"/>
          <w:sz w:val="20"/>
        </w:rPr>
      </w:pPr>
      <w:r w:rsidRPr="005C2179">
        <w:rPr>
          <w:kern w:val="2"/>
          <w:sz w:val="20"/>
        </w:rPr>
        <w:t>The FEC is responsible for disclosing information on campaign finance, monitoring compliance with legislative requirements, and administering public funding of presidential campaigns.</w:t>
      </w:r>
      <w:r w:rsidRPr="005C2179">
        <w:rPr>
          <w:rStyle w:val="FootnoteReference"/>
          <w:kern w:val="2"/>
          <w:sz w:val="20"/>
        </w:rPr>
        <w:footnoteReference w:id="309"/>
      </w:r>
      <w:r w:rsidRPr="005C2179">
        <w:rPr>
          <w:kern w:val="2"/>
          <w:sz w:val="20"/>
        </w:rPr>
        <w:t xml:space="preserve"> To assist in promoting compliance, the FEC promulgates rules and regulations and issues advisory opinions, of which there are over 1,000.</w:t>
      </w:r>
      <w:r w:rsidRPr="005C2179">
        <w:rPr>
          <w:rStyle w:val="FootnoteReference"/>
          <w:kern w:val="2"/>
          <w:sz w:val="20"/>
        </w:rPr>
        <w:footnoteReference w:id="310"/>
      </w:r>
      <w:r w:rsidRPr="005C2179">
        <w:rPr>
          <w:kern w:val="2"/>
          <w:sz w:val="20"/>
        </w:rPr>
        <w:t xml:space="preserve"> The FEC is only responsible for civil enforcement of campaign finance laws, not criminal enforcement, which falls under the Justice Department’s mandate.</w:t>
      </w:r>
      <w:r w:rsidRPr="005C2179">
        <w:rPr>
          <w:rStyle w:val="FootnoteReference"/>
          <w:kern w:val="2"/>
          <w:sz w:val="20"/>
        </w:rPr>
        <w:footnoteReference w:id="311"/>
      </w:r>
      <w:r w:rsidRPr="005C2179">
        <w:rPr>
          <w:kern w:val="2"/>
          <w:sz w:val="20"/>
        </w:rPr>
        <w:t xml:space="preserve"> </w:t>
      </w:r>
    </w:p>
    <w:p w14:paraId="6F7FA25B" w14:textId="77777777" w:rsidR="00016158" w:rsidRPr="005C2179" w:rsidRDefault="00016158" w:rsidP="00016158">
      <w:pPr>
        <w:pStyle w:val="Heading2"/>
        <w:rPr>
          <w:kern w:val="2"/>
          <w:sz w:val="24"/>
        </w:rPr>
      </w:pPr>
      <w:r w:rsidRPr="005C2179">
        <w:rPr>
          <w:kern w:val="2"/>
          <w:sz w:val="24"/>
        </w:rPr>
        <w:t xml:space="preserve">Criticisms of Campaign Finance Regulation in the US </w:t>
      </w:r>
    </w:p>
    <w:p w14:paraId="0E847E63" w14:textId="77777777" w:rsidR="00016158" w:rsidRPr="005C2179" w:rsidRDefault="00016158" w:rsidP="00016158">
      <w:pPr>
        <w:rPr>
          <w:kern w:val="2"/>
          <w:sz w:val="20"/>
        </w:rPr>
      </w:pPr>
      <w:r w:rsidRPr="005C2179">
        <w:rPr>
          <w:kern w:val="2"/>
          <w:sz w:val="20"/>
        </w:rPr>
        <w:t>The American regulatory regime is often criticized for encouraging the movement of campaign money away from relatively transparent political parties to unaccountable and less transparent outside spending groups, such as 501(c) organizations.</w:t>
      </w:r>
      <w:r w:rsidRPr="005C2179">
        <w:rPr>
          <w:rStyle w:val="FootnoteReference"/>
          <w:kern w:val="2"/>
          <w:sz w:val="20"/>
        </w:rPr>
        <w:footnoteReference w:id="312"/>
      </w:r>
      <w:r w:rsidRPr="005C2179">
        <w:rPr>
          <w:kern w:val="2"/>
          <w:sz w:val="20"/>
        </w:rPr>
        <w:t xml:space="preserve"> As a result, the role of political parties and candidates is shrinking while the role of third parties grows. The dissent in </w:t>
      </w:r>
      <w:r w:rsidRPr="005C2179">
        <w:rPr>
          <w:i/>
          <w:kern w:val="2"/>
          <w:sz w:val="20"/>
        </w:rPr>
        <w:t xml:space="preserve">Citizens United </w:t>
      </w:r>
      <w:r w:rsidRPr="005C2179">
        <w:rPr>
          <w:kern w:val="2"/>
          <w:sz w:val="20"/>
        </w:rPr>
        <w:t>deplored this trend, noting that political parties represent “broad coalitions” while corporations and unions, the third parties at issue in that case, represent “narrow interests.”</w:t>
      </w:r>
      <w:r w:rsidRPr="005C2179">
        <w:rPr>
          <w:rStyle w:val="FootnoteReference"/>
          <w:kern w:val="2"/>
          <w:sz w:val="20"/>
        </w:rPr>
        <w:footnoteReference w:id="313"/>
      </w:r>
      <w:r w:rsidRPr="005C2179">
        <w:rPr>
          <w:kern w:val="2"/>
          <w:sz w:val="20"/>
        </w:rPr>
        <w:t xml:space="preserve"> Other types of third parties may also represent narrow interests. For example, in the 2012 general election, 93% of the money spent by super-PACs came from 0.0011% of the population of the US, raising significant equality concerns.</w:t>
      </w:r>
      <w:r w:rsidRPr="005C2179">
        <w:rPr>
          <w:rStyle w:val="FootnoteReference"/>
          <w:kern w:val="2"/>
          <w:sz w:val="20"/>
        </w:rPr>
        <w:footnoteReference w:id="314"/>
      </w:r>
    </w:p>
    <w:p w14:paraId="0BF1633A" w14:textId="77777777" w:rsidR="00016158" w:rsidRPr="005C2179" w:rsidRDefault="00016158" w:rsidP="00016158">
      <w:pPr>
        <w:rPr>
          <w:kern w:val="2"/>
          <w:sz w:val="20"/>
        </w:rPr>
      </w:pPr>
      <w:r w:rsidRPr="005C2179">
        <w:rPr>
          <w:kern w:val="2"/>
          <w:sz w:val="20"/>
        </w:rPr>
        <w:t xml:space="preserve">The growth of outside spending is driven by the absence of independent expenditure limits for third parties, the </w:t>
      </w:r>
      <w:r w:rsidRPr="005C2179">
        <w:rPr>
          <w:i/>
          <w:kern w:val="2"/>
          <w:sz w:val="20"/>
        </w:rPr>
        <w:t>BCRA</w:t>
      </w:r>
      <w:r w:rsidRPr="005C2179">
        <w:rPr>
          <w:kern w:val="2"/>
          <w:sz w:val="20"/>
        </w:rPr>
        <w:t>’s prohibition on soft money for political parties, the limits on coordinated spending for political parties, and the less stringent transparency requirements for outside spenders like corporations, unions, 501(c) groups, and non-political 527 organizations.</w:t>
      </w:r>
      <w:r w:rsidRPr="005C2179">
        <w:rPr>
          <w:kern w:val="2"/>
        </w:rPr>
        <w:t xml:space="preserve"> </w:t>
      </w:r>
      <w:r w:rsidRPr="005C2179">
        <w:rPr>
          <w:kern w:val="2"/>
          <w:sz w:val="20"/>
        </w:rPr>
        <w:t>Although the lack of mandatory disclosure makes confirmation impossible, Dwyre speculates that many corporations direct their election campaign spending through 501(c) organizations to avoid revealing their support for particular candidates or parties.</w:t>
      </w:r>
      <w:r w:rsidRPr="005C2179">
        <w:rPr>
          <w:rStyle w:val="FootnoteReference"/>
          <w:kern w:val="2"/>
          <w:sz w:val="20"/>
        </w:rPr>
        <w:footnoteReference w:id="315"/>
      </w:r>
    </w:p>
    <w:p w14:paraId="46785195" w14:textId="77777777" w:rsidR="00016158" w:rsidRPr="005C2179" w:rsidRDefault="00016158" w:rsidP="00016158">
      <w:pPr>
        <w:rPr>
          <w:kern w:val="2"/>
          <w:sz w:val="20"/>
        </w:rPr>
      </w:pPr>
      <w:r w:rsidRPr="005C2179">
        <w:rPr>
          <w:kern w:val="2"/>
          <w:sz w:val="20"/>
        </w:rPr>
        <w:t xml:space="preserve">According to the majority of the US Supreme Court in cases like </w:t>
      </w:r>
      <w:r w:rsidRPr="005C2179">
        <w:rPr>
          <w:i/>
          <w:kern w:val="2"/>
          <w:sz w:val="20"/>
        </w:rPr>
        <w:t>Citizens United</w:t>
      </w:r>
      <w:r w:rsidRPr="005C2179">
        <w:rPr>
          <w:kern w:val="2"/>
          <w:sz w:val="20"/>
        </w:rPr>
        <w:t>, all this outside spending raises no risk of corruption, or even the risk of the appearance of corruption, as long as the spending is independent and uncoordinated with candidates. Yet this premise is highly debatable. Many question whether “independent expenditures” are truly “independent” in the current environment of pervasive outside spending. Dwyre observes that many super-PACs are run by “former party officials, Congressional staff, and partisan operatives” and candidates and elected officials are allowed to speak at super-PAC fundraisers.</w:t>
      </w:r>
      <w:r w:rsidRPr="005C2179">
        <w:rPr>
          <w:rStyle w:val="FootnoteReference"/>
          <w:kern w:val="2"/>
          <w:sz w:val="20"/>
        </w:rPr>
        <w:footnoteReference w:id="316"/>
      </w:r>
      <w:r w:rsidRPr="005C2179">
        <w:rPr>
          <w:kern w:val="2"/>
          <w:sz w:val="20"/>
        </w:rPr>
        <w:t xml:space="preserve"> Boatright argues that there is “implicit coordination between groups and between groups and candidates and parties.”</w:t>
      </w:r>
      <w:r w:rsidRPr="005C2179">
        <w:rPr>
          <w:rStyle w:val="FootnoteReference"/>
          <w:kern w:val="2"/>
          <w:sz w:val="20"/>
        </w:rPr>
        <w:footnoteReference w:id="317"/>
      </w:r>
      <w:r w:rsidRPr="005C2179">
        <w:rPr>
          <w:kern w:val="2"/>
          <w:sz w:val="20"/>
        </w:rPr>
        <w:t xml:space="preserve"> He suggests that some party functions have been </w:t>
      </w:r>
      <w:r w:rsidRPr="005C2179">
        <w:rPr>
          <w:i/>
          <w:kern w:val="2"/>
          <w:sz w:val="20"/>
        </w:rPr>
        <w:t>de facto</w:t>
      </w:r>
      <w:r w:rsidRPr="005C2179">
        <w:rPr>
          <w:kern w:val="2"/>
          <w:sz w:val="20"/>
        </w:rPr>
        <w:t xml:space="preserve"> outsourced to outside groups because of the restrictions on party financing, creating a “network” of parties and outside groups that is guided by “mechanisms of coordination.”</w:t>
      </w:r>
      <w:r w:rsidRPr="005C2179">
        <w:rPr>
          <w:rStyle w:val="FootnoteReference"/>
          <w:kern w:val="2"/>
          <w:sz w:val="20"/>
        </w:rPr>
        <w:footnoteReference w:id="318"/>
      </w:r>
      <w:r w:rsidRPr="005C2179">
        <w:rPr>
          <w:kern w:val="2"/>
          <w:sz w:val="20"/>
        </w:rPr>
        <w:t xml:space="preserve"> Boatright bolsters this argument by pointing out that personnel tend to move between interest groups, candidate campaigns, and political party committees, suggesting there is “informal” coordination.</w:t>
      </w:r>
      <w:r w:rsidRPr="005C2179">
        <w:rPr>
          <w:rStyle w:val="FootnoteReference"/>
          <w:kern w:val="2"/>
          <w:sz w:val="20"/>
        </w:rPr>
        <w:footnoteReference w:id="319"/>
      </w:r>
      <w:r w:rsidRPr="005C2179">
        <w:rPr>
          <w:kern w:val="2"/>
          <w:sz w:val="20"/>
        </w:rPr>
        <w:t xml:space="preserve"> This not only dilutes the responsiveness of parties to voters but also raises the spectre of corruption, since parties and candidates may wish to show gratitude toward the outside groups in their “network.”</w:t>
      </w:r>
      <w:r w:rsidRPr="005C2179">
        <w:rPr>
          <w:rStyle w:val="FootnoteReference"/>
          <w:kern w:val="2"/>
          <w:sz w:val="20"/>
        </w:rPr>
        <w:footnoteReference w:id="320"/>
      </w:r>
      <w:r w:rsidRPr="005C2179">
        <w:rPr>
          <w:kern w:val="2"/>
          <w:sz w:val="20"/>
        </w:rPr>
        <w:t xml:space="preserve">  </w:t>
      </w:r>
    </w:p>
    <w:p w14:paraId="10DE8CBC" w14:textId="77777777" w:rsidR="00016158" w:rsidRPr="005C2179" w:rsidRDefault="00016158" w:rsidP="00016158">
      <w:pPr>
        <w:rPr>
          <w:kern w:val="2"/>
          <w:sz w:val="20"/>
        </w:rPr>
      </w:pPr>
      <w:r w:rsidRPr="005C2179">
        <w:rPr>
          <w:kern w:val="2"/>
          <w:sz w:val="20"/>
        </w:rPr>
        <w:t xml:space="preserve">Even if outside spending is truly independent, many argue that independent expenditures nonetheless give rise to the risk of corruption or its appearance. Based on the record before Congress in the lead-up to the </w:t>
      </w:r>
      <w:r w:rsidRPr="005C2179">
        <w:rPr>
          <w:i/>
          <w:kern w:val="2"/>
          <w:sz w:val="20"/>
        </w:rPr>
        <w:t>BCRA</w:t>
      </w:r>
      <w:r w:rsidRPr="005C2179">
        <w:rPr>
          <w:kern w:val="2"/>
          <w:sz w:val="20"/>
        </w:rPr>
        <w:t>’s enactment</w:t>
      </w:r>
      <w:r w:rsidRPr="005C2179">
        <w:rPr>
          <w:i/>
          <w:kern w:val="2"/>
          <w:sz w:val="20"/>
        </w:rPr>
        <w:t xml:space="preserve">, </w:t>
      </w:r>
      <w:r w:rsidRPr="005C2179">
        <w:rPr>
          <w:kern w:val="2"/>
          <w:sz w:val="20"/>
        </w:rPr>
        <w:t xml:space="preserve">the dissent in </w:t>
      </w:r>
      <w:r w:rsidRPr="005C2179">
        <w:rPr>
          <w:i/>
          <w:kern w:val="2"/>
          <w:sz w:val="20"/>
        </w:rPr>
        <w:t xml:space="preserve">Citizens United </w:t>
      </w:r>
      <w:r w:rsidRPr="005C2179">
        <w:rPr>
          <w:kern w:val="2"/>
          <w:sz w:val="20"/>
        </w:rPr>
        <w:t xml:space="preserve">pointed out that “corporate independent expenditures ... had become essentially interchangeable with direct contributions in their capacity to generate </w:t>
      </w:r>
      <w:r w:rsidRPr="005C2179">
        <w:rPr>
          <w:i/>
          <w:kern w:val="2"/>
          <w:sz w:val="20"/>
        </w:rPr>
        <w:t xml:space="preserve">quid pro quo </w:t>
      </w:r>
      <w:r w:rsidRPr="005C2179">
        <w:rPr>
          <w:kern w:val="2"/>
          <w:sz w:val="20"/>
        </w:rPr>
        <w:t>arrangements.”</w:t>
      </w:r>
      <w:r w:rsidRPr="005C2179">
        <w:rPr>
          <w:rStyle w:val="FootnoteReference"/>
          <w:kern w:val="2"/>
          <w:sz w:val="20"/>
        </w:rPr>
        <w:footnoteReference w:id="321"/>
      </w:r>
      <w:r w:rsidRPr="005C2179">
        <w:rPr>
          <w:kern w:val="2"/>
          <w:sz w:val="20"/>
        </w:rPr>
        <w:t xml:space="preserve"> The record indicated that candidates’ campaigns are generally aware of who is behind independent advertisements on the candidates’ behalf.</w:t>
      </w:r>
      <w:r w:rsidRPr="005C2179">
        <w:rPr>
          <w:rStyle w:val="FootnoteReference"/>
          <w:kern w:val="2"/>
          <w:sz w:val="20"/>
        </w:rPr>
        <w:footnoteReference w:id="322"/>
      </w:r>
      <w:r w:rsidRPr="005C2179">
        <w:rPr>
          <w:kern w:val="2"/>
          <w:sz w:val="20"/>
        </w:rPr>
        <w:t xml:space="preserve"> Further, even if independent outside spending does not produce direct </w:t>
      </w:r>
      <w:r w:rsidRPr="005C2179">
        <w:rPr>
          <w:i/>
          <w:kern w:val="2"/>
          <w:sz w:val="20"/>
        </w:rPr>
        <w:t>quid pro quo</w:t>
      </w:r>
      <w:r w:rsidRPr="005C2179">
        <w:rPr>
          <w:kern w:val="2"/>
          <w:sz w:val="20"/>
        </w:rPr>
        <w:t xml:space="preserve"> corruption, Hasen argues that it may lead to the sale of access to candidates.</w:t>
      </w:r>
      <w:r w:rsidRPr="005C2179">
        <w:rPr>
          <w:rStyle w:val="FootnoteReference"/>
          <w:kern w:val="2"/>
          <w:sz w:val="20"/>
        </w:rPr>
        <w:footnoteReference w:id="323"/>
      </w:r>
      <w:r w:rsidRPr="005C2179">
        <w:rPr>
          <w:kern w:val="2"/>
          <w:sz w:val="20"/>
        </w:rPr>
        <w:t xml:space="preserve"> He makes the common sense observation that “[p]residential candidates are likely to notice and appreciate when an individual spends millions of dollars supporting or opposing the candidate through an independent effort,” which may lead to “special access ... after the election.”</w:t>
      </w:r>
      <w:r w:rsidRPr="005C2179">
        <w:rPr>
          <w:rStyle w:val="FootnoteReference"/>
          <w:kern w:val="2"/>
          <w:sz w:val="20"/>
        </w:rPr>
        <w:footnoteReference w:id="324"/>
      </w:r>
      <w:r w:rsidRPr="005C2179">
        <w:rPr>
          <w:kern w:val="2"/>
          <w:sz w:val="20"/>
        </w:rPr>
        <w:t xml:space="preserve"> The record cited by the dissent in </w:t>
      </w:r>
      <w:r w:rsidRPr="005C2179">
        <w:rPr>
          <w:i/>
          <w:kern w:val="2"/>
          <w:sz w:val="20"/>
        </w:rPr>
        <w:t xml:space="preserve">Citizens United </w:t>
      </w:r>
      <w:r w:rsidRPr="005C2179">
        <w:rPr>
          <w:kern w:val="2"/>
          <w:sz w:val="20"/>
        </w:rPr>
        <w:t>supported this argument, since it demonstrated that “the sponsors of...advertisements were routinely granted special access after the campaign was over.”</w:t>
      </w:r>
      <w:r w:rsidRPr="005C2179">
        <w:rPr>
          <w:rStyle w:val="FootnoteReference"/>
          <w:kern w:val="2"/>
          <w:sz w:val="20"/>
        </w:rPr>
        <w:footnoteReference w:id="325"/>
      </w:r>
      <w:r w:rsidRPr="005C2179">
        <w:rPr>
          <w:kern w:val="2"/>
          <w:sz w:val="20"/>
        </w:rPr>
        <w:t xml:space="preserve"> </w:t>
      </w:r>
    </w:p>
    <w:p w14:paraId="44C9C656" w14:textId="77777777" w:rsidR="00016158" w:rsidRPr="005C2179" w:rsidRDefault="00016158" w:rsidP="00016158">
      <w:pPr>
        <w:rPr>
          <w:kern w:val="2"/>
          <w:sz w:val="20"/>
        </w:rPr>
      </w:pPr>
      <w:r w:rsidRPr="005C2179">
        <w:rPr>
          <w:kern w:val="2"/>
          <w:sz w:val="20"/>
        </w:rPr>
        <w:t>Some commentators argue that political party financing in the US should be deregulated to reduce outside spending and restore the role of the political parties in elections. Boatright has suggested raising contribution caps for political parties, relaxing restrictions on coordinated spending of parties and candidates, providing more public funding to political parties, and tightening disclosure requirements for third parties.</w:t>
      </w:r>
      <w:r w:rsidRPr="005C2179">
        <w:rPr>
          <w:rStyle w:val="FootnoteReference"/>
          <w:kern w:val="2"/>
          <w:sz w:val="20"/>
        </w:rPr>
        <w:footnoteReference w:id="326"/>
      </w:r>
      <w:r w:rsidRPr="005C2179">
        <w:rPr>
          <w:kern w:val="2"/>
          <w:sz w:val="20"/>
        </w:rPr>
        <w:t xml:space="preserve"> However, Sarbanes argues that deregulating contributions to political parties would only exacerbate the disproportionate influence of wealthy donors in American politics.</w:t>
      </w:r>
      <w:r w:rsidRPr="005C2179">
        <w:rPr>
          <w:rStyle w:val="FootnoteReference"/>
          <w:kern w:val="2"/>
          <w:sz w:val="20"/>
        </w:rPr>
        <w:footnoteReference w:id="327"/>
      </w:r>
      <w:r w:rsidRPr="005C2179">
        <w:rPr>
          <w:kern w:val="2"/>
          <w:sz w:val="20"/>
        </w:rPr>
        <w:t xml:space="preserve"> Others agree that deregulating party finance is not the answer, as allowing “parties to engage in the same type of courting and solicitation of the very wealthy as Super PACs” is unlikely to “mitigate the ongoing distributional shift of the campaign finance system toward the interests of the very wealthy.”</w:t>
      </w:r>
      <w:r w:rsidRPr="005C2179">
        <w:rPr>
          <w:rStyle w:val="FootnoteReference"/>
          <w:kern w:val="2"/>
          <w:sz w:val="20"/>
        </w:rPr>
        <w:footnoteReference w:id="328"/>
      </w:r>
    </w:p>
    <w:p w14:paraId="0BCABA5F" w14:textId="77777777" w:rsidR="00016158" w:rsidRPr="005C2179" w:rsidRDefault="00016158" w:rsidP="00016158">
      <w:pPr>
        <w:rPr>
          <w:kern w:val="2"/>
          <w:sz w:val="20"/>
        </w:rPr>
      </w:pPr>
      <w:r w:rsidRPr="005C2179">
        <w:rPr>
          <w:kern w:val="2"/>
          <w:sz w:val="20"/>
        </w:rPr>
        <w:t xml:space="preserve">Campaign finance legislation in the US is criticized for a variety of other problems. For example, the </w:t>
      </w:r>
      <w:r w:rsidRPr="005C2179">
        <w:rPr>
          <w:i/>
          <w:kern w:val="2"/>
          <w:sz w:val="20"/>
        </w:rPr>
        <w:t>BCRA</w:t>
      </w:r>
      <w:r w:rsidRPr="005C2179">
        <w:rPr>
          <w:kern w:val="2"/>
          <w:sz w:val="20"/>
        </w:rPr>
        <w:t>’s ban on soft money was intended to reduce the risk of corruption by preventing political parties from accepting unregulated, unlimited contributions. However, Hasen argues that the practice of “bundling” has replaced, to some extent, the use of soft money to gain access to politicians.</w:t>
      </w:r>
      <w:r w:rsidRPr="005C2179">
        <w:rPr>
          <w:rStyle w:val="FootnoteReference"/>
          <w:kern w:val="2"/>
          <w:sz w:val="20"/>
        </w:rPr>
        <w:footnoteReference w:id="329"/>
      </w:r>
      <w:r w:rsidRPr="005C2179">
        <w:rPr>
          <w:kern w:val="2"/>
          <w:sz w:val="20"/>
        </w:rPr>
        <w:t xml:space="preserve"> Bundling involves one individual soliciting many donations from their acquaintances. Bundlers who reach certain thresholds are rewarded with access and other perquisites.</w:t>
      </w:r>
      <w:r w:rsidRPr="005C2179">
        <w:rPr>
          <w:rStyle w:val="FootnoteReference"/>
          <w:kern w:val="2"/>
          <w:sz w:val="20"/>
        </w:rPr>
        <w:footnoteReference w:id="330"/>
      </w:r>
      <w:r w:rsidRPr="005C2179">
        <w:rPr>
          <w:kern w:val="2"/>
          <w:sz w:val="20"/>
        </w:rPr>
        <w:t xml:space="preserve"> Others criticize the regulatory regime for falling behind new developments in campaign finance. The public funding regime for presidential candidates provides an example of this “policy drift.”</w:t>
      </w:r>
      <w:r w:rsidRPr="005C2179">
        <w:rPr>
          <w:rStyle w:val="FootnoteReference"/>
          <w:kern w:val="2"/>
          <w:sz w:val="20"/>
        </w:rPr>
        <w:footnoteReference w:id="331"/>
      </w:r>
      <w:r w:rsidRPr="005C2179">
        <w:rPr>
          <w:kern w:val="2"/>
          <w:sz w:val="20"/>
        </w:rPr>
        <w:t xml:space="preserve"> Dwyre calls the presidential public funding regime a “quaint remnant of a bygone era when public funding provided a way to level the playing field between presidential contenders.”</w:t>
      </w:r>
      <w:r w:rsidRPr="005C2179">
        <w:rPr>
          <w:rStyle w:val="FootnoteReference"/>
          <w:kern w:val="2"/>
          <w:sz w:val="20"/>
        </w:rPr>
        <w:footnoteReference w:id="332"/>
      </w:r>
      <w:r w:rsidRPr="005C2179">
        <w:rPr>
          <w:kern w:val="2"/>
          <w:sz w:val="20"/>
        </w:rPr>
        <w:t xml:space="preserve"> Hasen agrees that the scheme is “no longer viable.”</w:t>
      </w:r>
      <w:r w:rsidRPr="005C2179">
        <w:rPr>
          <w:rStyle w:val="FootnoteReference"/>
          <w:kern w:val="2"/>
          <w:sz w:val="20"/>
        </w:rPr>
        <w:footnoteReference w:id="333"/>
      </w:r>
      <w:r w:rsidRPr="005C2179">
        <w:rPr>
          <w:kern w:val="2"/>
          <w:sz w:val="20"/>
        </w:rPr>
        <w:t xml:space="preserve"> For example, in 2008, former President Obama opted out of the public funding regime and raised $745.7 million for his presidential campaign.</w:t>
      </w:r>
      <w:r w:rsidRPr="005C2179">
        <w:rPr>
          <w:rStyle w:val="FootnoteReference"/>
          <w:kern w:val="2"/>
          <w:sz w:val="20"/>
        </w:rPr>
        <w:footnoteReference w:id="334"/>
      </w:r>
      <w:r w:rsidRPr="005C2179">
        <w:rPr>
          <w:kern w:val="2"/>
          <w:sz w:val="20"/>
        </w:rPr>
        <w:t xml:space="preserve"> If he had opted in, he would have received $84.1 million in public funding and his spending would have been limited to that amount.</w:t>
      </w:r>
      <w:r w:rsidRPr="005C2179">
        <w:rPr>
          <w:rStyle w:val="FootnoteReference"/>
          <w:kern w:val="2"/>
          <w:sz w:val="20"/>
        </w:rPr>
        <w:footnoteReference w:id="335"/>
      </w:r>
      <w:r w:rsidRPr="005C2179">
        <w:rPr>
          <w:kern w:val="2"/>
          <w:sz w:val="20"/>
        </w:rPr>
        <w:t xml:space="preserve"> </w:t>
      </w:r>
    </w:p>
    <w:p w14:paraId="7B5C7BEA" w14:textId="77777777" w:rsidR="00016158" w:rsidRPr="005C2179" w:rsidRDefault="00016158" w:rsidP="00016158">
      <w:pPr>
        <w:rPr>
          <w:kern w:val="2"/>
          <w:sz w:val="20"/>
        </w:rPr>
      </w:pPr>
      <w:r w:rsidRPr="005C2179">
        <w:rPr>
          <w:kern w:val="2"/>
          <w:sz w:val="20"/>
        </w:rPr>
        <w:t>The FEC is also criticized for its lack of success in imposing “serious sanctions on high-stakes violations.”</w:t>
      </w:r>
      <w:r w:rsidRPr="005C2179">
        <w:rPr>
          <w:rStyle w:val="FootnoteReference"/>
          <w:kern w:val="2"/>
          <w:sz w:val="20"/>
        </w:rPr>
        <w:footnoteReference w:id="336"/>
      </w:r>
      <w:r w:rsidRPr="005C2179">
        <w:rPr>
          <w:kern w:val="2"/>
          <w:sz w:val="20"/>
        </w:rPr>
        <w:t xml:space="preserve"> Enforcement problems are exacerbated by a complicated and slow enforcement process.</w:t>
      </w:r>
      <w:r w:rsidRPr="005C2179">
        <w:rPr>
          <w:rStyle w:val="FootnoteReference"/>
          <w:kern w:val="2"/>
          <w:sz w:val="20"/>
        </w:rPr>
        <w:footnoteReference w:id="337"/>
      </w:r>
      <w:r w:rsidRPr="005C2179">
        <w:rPr>
          <w:kern w:val="2"/>
          <w:sz w:val="20"/>
        </w:rPr>
        <w:t xml:space="preserve"> Further, the FEC’s endless advisory opinions and other policy documents have led to an unwieldy and overly complex regime.</w:t>
      </w:r>
      <w:r w:rsidRPr="005C2179">
        <w:rPr>
          <w:rStyle w:val="FootnoteReference"/>
          <w:kern w:val="2"/>
          <w:sz w:val="20"/>
        </w:rPr>
        <w:footnoteReference w:id="338"/>
      </w:r>
      <w:r w:rsidRPr="005C2179">
        <w:rPr>
          <w:kern w:val="2"/>
          <w:sz w:val="20"/>
        </w:rPr>
        <w:t xml:space="preserve"> Dwyre also notes that political deadlock among the Commissioners has prevented the FEC from keeping up with changing practices and newly discovered loopholes, thus feeding policy drift.</w:t>
      </w:r>
      <w:r w:rsidRPr="005C2179">
        <w:rPr>
          <w:rStyle w:val="FootnoteReference"/>
          <w:kern w:val="2"/>
          <w:sz w:val="20"/>
        </w:rPr>
        <w:footnoteReference w:id="339"/>
      </w:r>
      <w:r w:rsidRPr="005C2179">
        <w:rPr>
          <w:kern w:val="2"/>
          <w:sz w:val="20"/>
        </w:rPr>
        <w:t xml:space="preserve"> </w:t>
      </w:r>
    </w:p>
    <w:p w14:paraId="24538694" w14:textId="77777777" w:rsidR="00016158" w:rsidRPr="005C2179" w:rsidRDefault="00016158" w:rsidP="00016158">
      <w:pPr>
        <w:pStyle w:val="Heading1"/>
        <w:rPr>
          <w:sz w:val="28"/>
        </w:rPr>
      </w:pPr>
      <w:bookmarkStart w:id="17" w:name="_Toc509569397"/>
      <w:r w:rsidRPr="005C2179">
        <w:rPr>
          <w:sz w:val="28"/>
        </w:rPr>
        <w:t>UK Law</w:t>
      </w:r>
      <w:bookmarkEnd w:id="17"/>
    </w:p>
    <w:p w14:paraId="335E9F94" w14:textId="77777777" w:rsidR="00016158" w:rsidRPr="005C2179" w:rsidRDefault="00016158" w:rsidP="00016158">
      <w:pPr>
        <w:rPr>
          <w:kern w:val="2"/>
          <w:sz w:val="20"/>
        </w:rPr>
      </w:pPr>
      <w:r w:rsidRPr="005C2179">
        <w:rPr>
          <w:kern w:val="2"/>
          <w:sz w:val="20"/>
        </w:rPr>
        <w:t>Campaign finance-related scandals in past decades have led to increasing regulation of political financing in the UK.</w:t>
      </w:r>
      <w:r w:rsidRPr="005C2179">
        <w:rPr>
          <w:rStyle w:val="FootnoteReference"/>
          <w:kern w:val="2"/>
          <w:sz w:val="20"/>
        </w:rPr>
        <w:footnoteReference w:id="340"/>
      </w:r>
      <w:r w:rsidRPr="005C2179">
        <w:rPr>
          <w:kern w:val="2"/>
          <w:sz w:val="20"/>
        </w:rPr>
        <w:t xml:space="preserve"> The UK’s campaign finance regime imposes spending limits and transparency requirements on parties, candidates, and third-party campaigners. However, unlike in Canada and the US, contributions to parties and candidates are uncapped, although contributions must come from permissible sources. In other words, demand is limited but supply is not. Paid political broadcasting is also prohibited in the UK. The UK’s limits on political spending and broadcasting have survived challenges based on freedom of expression, providing a stark contrast to American freedom of speech jurisprudence.</w:t>
      </w:r>
      <w:r w:rsidRPr="005C2179">
        <w:rPr>
          <w:rStyle w:val="FootnoteReference"/>
          <w:kern w:val="2"/>
          <w:sz w:val="20"/>
        </w:rPr>
        <w:footnoteReference w:id="341"/>
      </w:r>
      <w:r w:rsidRPr="005C2179">
        <w:rPr>
          <w:kern w:val="2"/>
          <w:sz w:val="20"/>
        </w:rPr>
        <w:t xml:space="preserve"> </w:t>
      </w:r>
    </w:p>
    <w:p w14:paraId="501CB300" w14:textId="77777777" w:rsidR="00016158" w:rsidRPr="005C2179" w:rsidRDefault="00016158" w:rsidP="00016158">
      <w:pPr>
        <w:pStyle w:val="Heading2"/>
        <w:rPr>
          <w:kern w:val="2"/>
          <w:sz w:val="24"/>
        </w:rPr>
      </w:pPr>
      <w:r w:rsidRPr="005C2179">
        <w:rPr>
          <w:kern w:val="2"/>
          <w:sz w:val="24"/>
        </w:rPr>
        <w:t xml:space="preserve">Freedom of Expression and Campaign Finance Regulation in the UK </w:t>
      </w:r>
    </w:p>
    <w:p w14:paraId="780BF6B7" w14:textId="77777777" w:rsidR="00016158" w:rsidRPr="005C2179" w:rsidRDefault="00016158" w:rsidP="00016158">
      <w:pPr>
        <w:rPr>
          <w:kern w:val="2"/>
          <w:sz w:val="20"/>
        </w:rPr>
      </w:pPr>
      <w:r w:rsidRPr="005C2179">
        <w:rPr>
          <w:kern w:val="2"/>
          <w:sz w:val="20"/>
        </w:rPr>
        <w:t>In two cases dealing with the UK’s campaign finance laws, the European Court of Human Rights (ECtHR) accepted that states may impose some limits on campaign financing without falling afoul of the guarantees of freedom of expression and free elections.</w:t>
      </w:r>
      <w:r w:rsidRPr="005C2179">
        <w:rPr>
          <w:rStyle w:val="FootnoteReference"/>
          <w:kern w:val="2"/>
          <w:sz w:val="20"/>
        </w:rPr>
        <w:footnoteReference w:id="342"/>
      </w:r>
      <w:r w:rsidRPr="005C2179">
        <w:rPr>
          <w:kern w:val="2"/>
          <w:sz w:val="20"/>
        </w:rPr>
        <w:t xml:space="preserve"> Article 10 of the European Convention on Human Rights (“the Convention”)</w:t>
      </w:r>
      <w:r w:rsidRPr="005C2179">
        <w:rPr>
          <w:rStyle w:val="FootnoteReference"/>
          <w:kern w:val="2"/>
          <w:sz w:val="20"/>
        </w:rPr>
        <w:footnoteReference w:id="343"/>
      </w:r>
      <w:r w:rsidRPr="005C2179">
        <w:rPr>
          <w:kern w:val="2"/>
          <w:sz w:val="20"/>
        </w:rPr>
        <w:t xml:space="preserve"> provides as follows:</w:t>
      </w:r>
    </w:p>
    <w:p w14:paraId="7E04C403" w14:textId="77777777" w:rsidR="00016158" w:rsidRPr="005C2179" w:rsidRDefault="00016158" w:rsidP="00016158">
      <w:pPr>
        <w:pStyle w:val="BlockQuote"/>
        <w:rPr>
          <w:kern w:val="2"/>
          <w:sz w:val="20"/>
        </w:rPr>
      </w:pPr>
      <w:r w:rsidRPr="005C2179">
        <w:rPr>
          <w:kern w:val="2"/>
          <w:sz w:val="20"/>
        </w:rPr>
        <w:t xml:space="preserve">1. Everyone has the right to freedom of expression. This right shall include freedom to hold opinions and to receive and impart information and ideas without interference by public authority ... </w:t>
      </w:r>
    </w:p>
    <w:p w14:paraId="17E098E9" w14:textId="77777777" w:rsidR="00016158" w:rsidRPr="005C2179" w:rsidRDefault="00016158" w:rsidP="00016158">
      <w:pPr>
        <w:pStyle w:val="BlockQuote"/>
        <w:rPr>
          <w:kern w:val="2"/>
          <w:sz w:val="20"/>
        </w:rPr>
      </w:pPr>
      <w:r w:rsidRPr="005C2179">
        <w:rPr>
          <w:kern w:val="2"/>
          <w:sz w:val="20"/>
        </w:rPr>
        <w:t>2. The exercise of these freedoms, since it carries with it duties and responsibilities, may be subject to such formalities, conditions, restrictions or penalties as are prescribed by law and are necessary in a democratic society, in the interests of national security, territorial integrity or public safety, for the prevention of disorder or crime, for the protection of health or morals, for the protection of the reputation or rights of others, for preventing the disclosure of information received in confidence, or for maintaining the authority and impartiality of the judiciary.</w:t>
      </w:r>
    </w:p>
    <w:p w14:paraId="1E56D2D3" w14:textId="77777777" w:rsidR="00016158" w:rsidRPr="005C2179" w:rsidRDefault="00016158" w:rsidP="00016158">
      <w:pPr>
        <w:rPr>
          <w:i/>
          <w:kern w:val="2"/>
          <w:sz w:val="20"/>
        </w:rPr>
      </w:pPr>
      <w:r w:rsidRPr="005C2179">
        <w:rPr>
          <w:kern w:val="2"/>
          <w:sz w:val="20"/>
        </w:rPr>
        <w:t>Article 3 of Protocol 1 to the Convention provides that contracting parties shall “undertake to hold free elections ... under conditions which will ensure the free expression of the opinion of the people in the choice of the legislature.”</w:t>
      </w:r>
      <w:r w:rsidRPr="005C2179">
        <w:rPr>
          <w:rStyle w:val="FootnoteReference"/>
          <w:kern w:val="2"/>
          <w:sz w:val="20"/>
        </w:rPr>
        <w:footnoteReference w:id="344"/>
      </w:r>
      <w:r w:rsidRPr="005C2179">
        <w:rPr>
          <w:kern w:val="2"/>
          <w:sz w:val="20"/>
        </w:rPr>
        <w:t xml:space="preserve"> </w:t>
      </w:r>
    </w:p>
    <w:p w14:paraId="03E2BAA1" w14:textId="77777777" w:rsidR="00016158" w:rsidRPr="005C2179" w:rsidRDefault="00016158" w:rsidP="00016158">
      <w:pPr>
        <w:rPr>
          <w:kern w:val="2"/>
          <w:sz w:val="20"/>
        </w:rPr>
      </w:pPr>
      <w:r w:rsidRPr="005C2179">
        <w:rPr>
          <w:kern w:val="2"/>
          <w:sz w:val="20"/>
        </w:rPr>
        <w:t xml:space="preserve">In </w:t>
      </w:r>
      <w:r w:rsidRPr="005C2179">
        <w:rPr>
          <w:i/>
          <w:kern w:val="2"/>
          <w:sz w:val="20"/>
        </w:rPr>
        <w:t xml:space="preserve">Bowman v the United Kingdom </w:t>
      </w:r>
      <w:r w:rsidRPr="005C2179">
        <w:rPr>
          <w:kern w:val="2"/>
          <w:sz w:val="20"/>
        </w:rPr>
        <w:t>(</w:t>
      </w:r>
      <w:r w:rsidRPr="005C2179">
        <w:rPr>
          <w:i/>
          <w:kern w:val="2"/>
          <w:sz w:val="20"/>
        </w:rPr>
        <w:t>Bowman</w:t>
      </w:r>
      <w:r w:rsidRPr="005C2179">
        <w:rPr>
          <w:kern w:val="2"/>
          <w:sz w:val="20"/>
        </w:rPr>
        <w:t xml:space="preserve">), the ECtHR considered a provision of the </w:t>
      </w:r>
      <w:r w:rsidRPr="005C2179">
        <w:rPr>
          <w:i/>
          <w:kern w:val="2"/>
          <w:sz w:val="20"/>
        </w:rPr>
        <w:t xml:space="preserve">Representation of the People Act, 1983 </w:t>
      </w:r>
      <w:r w:rsidRPr="005C2179">
        <w:rPr>
          <w:kern w:val="2"/>
          <w:sz w:val="20"/>
        </w:rPr>
        <w:t>(</w:t>
      </w:r>
      <w:r w:rsidRPr="005C2179">
        <w:rPr>
          <w:i/>
          <w:kern w:val="2"/>
          <w:sz w:val="20"/>
        </w:rPr>
        <w:t>RPA</w:t>
      </w:r>
      <w:r w:rsidRPr="005C2179">
        <w:rPr>
          <w:kern w:val="2"/>
          <w:sz w:val="20"/>
        </w:rPr>
        <w:t>) providing that third parties could spend no more than ₤5 promoting the election of a particular candidate in any one constituency in a general election.</w:t>
      </w:r>
      <w:r w:rsidRPr="005C2179">
        <w:rPr>
          <w:rStyle w:val="FootnoteReference"/>
          <w:kern w:val="2"/>
          <w:sz w:val="20"/>
        </w:rPr>
        <w:footnoteReference w:id="345"/>
      </w:r>
      <w:r w:rsidRPr="005C2179">
        <w:rPr>
          <w:kern w:val="2"/>
          <w:sz w:val="20"/>
        </w:rPr>
        <w:t xml:space="preserve"> The applicant was charged under the </w:t>
      </w:r>
      <w:r w:rsidRPr="005C2179">
        <w:rPr>
          <w:i/>
          <w:kern w:val="2"/>
          <w:sz w:val="20"/>
        </w:rPr>
        <w:t>RPA</w:t>
      </w:r>
      <w:r w:rsidRPr="005C2179">
        <w:rPr>
          <w:kern w:val="2"/>
          <w:sz w:val="20"/>
        </w:rPr>
        <w:t xml:space="preserve"> after distributing some 1.5 million leaflets in various constituencies to inform voters about candidates’ views on abortion.</w:t>
      </w:r>
      <w:r w:rsidRPr="005C2179">
        <w:rPr>
          <w:rStyle w:val="FootnoteReference"/>
          <w:kern w:val="2"/>
          <w:sz w:val="20"/>
        </w:rPr>
        <w:footnoteReference w:id="346"/>
      </w:r>
      <w:r w:rsidRPr="005C2179">
        <w:rPr>
          <w:kern w:val="2"/>
          <w:sz w:val="20"/>
        </w:rPr>
        <w:t xml:space="preserve"> </w:t>
      </w:r>
    </w:p>
    <w:p w14:paraId="2C1E5B07" w14:textId="77777777" w:rsidR="00016158" w:rsidRPr="005C2179" w:rsidRDefault="00016158" w:rsidP="00016158">
      <w:pPr>
        <w:rPr>
          <w:kern w:val="2"/>
          <w:sz w:val="20"/>
        </w:rPr>
      </w:pPr>
      <w:r w:rsidRPr="005C2179">
        <w:rPr>
          <w:kern w:val="2"/>
          <w:sz w:val="20"/>
        </w:rPr>
        <w:t>Although the spending limit</w:t>
      </w:r>
      <w:r w:rsidRPr="005C2179">
        <w:rPr>
          <w:i/>
          <w:kern w:val="2"/>
          <w:sz w:val="20"/>
        </w:rPr>
        <w:t xml:space="preserve"> </w:t>
      </w:r>
      <w:r w:rsidRPr="005C2179">
        <w:rPr>
          <w:kern w:val="2"/>
          <w:sz w:val="20"/>
        </w:rPr>
        <w:t>infringed freedom of expression, the ECtHR accepted that it had the legitimate aim of protecting the rights and freedoms of others, as required by Article 10(2) of the Convention. The ECtHR identified the “others” as other candidates, since the provision aimed to promote “equality between candidates” and the electorate.</w:t>
      </w:r>
      <w:r w:rsidRPr="005C2179">
        <w:rPr>
          <w:rStyle w:val="FootnoteReference"/>
          <w:kern w:val="2"/>
          <w:sz w:val="20"/>
        </w:rPr>
        <w:footnoteReference w:id="347"/>
      </w:r>
      <w:r w:rsidRPr="005C2179">
        <w:rPr>
          <w:kern w:val="2"/>
          <w:sz w:val="20"/>
        </w:rPr>
        <w:t xml:space="preserve"> However, the ECtHR found that the impugned provision was disproportionate to its goal. The spending cap formed a “total barrier” for third parties wishing to inform people in their area about a candidate’s views on a particular issue, even though the limit applied only in the four to six weeks before a general election.</w:t>
      </w:r>
      <w:r w:rsidRPr="005C2179">
        <w:rPr>
          <w:rStyle w:val="FootnoteReference"/>
          <w:kern w:val="2"/>
          <w:sz w:val="20"/>
        </w:rPr>
        <w:footnoteReference w:id="348"/>
      </w:r>
      <w:r w:rsidRPr="005C2179">
        <w:rPr>
          <w:kern w:val="2"/>
          <w:sz w:val="20"/>
        </w:rPr>
        <w:t xml:space="preserve"> In response to this decision, Parliament raised the third-party spending cap at the constituency level for general parliamentary elections.</w:t>
      </w:r>
      <w:r w:rsidRPr="005C2179">
        <w:rPr>
          <w:rStyle w:val="FootnoteReference"/>
          <w:kern w:val="2"/>
          <w:sz w:val="20"/>
        </w:rPr>
        <w:footnoteReference w:id="349"/>
      </w:r>
    </w:p>
    <w:p w14:paraId="2396D949" w14:textId="77777777" w:rsidR="00016158" w:rsidRPr="005C2179" w:rsidRDefault="00016158" w:rsidP="00016158">
      <w:pPr>
        <w:rPr>
          <w:kern w:val="2"/>
          <w:sz w:val="20"/>
        </w:rPr>
      </w:pPr>
      <w:r w:rsidRPr="005C2179">
        <w:rPr>
          <w:kern w:val="2"/>
          <w:sz w:val="20"/>
        </w:rPr>
        <w:t xml:space="preserve">In </w:t>
      </w:r>
      <w:r w:rsidRPr="005C2179">
        <w:rPr>
          <w:i/>
          <w:kern w:val="2"/>
          <w:sz w:val="20"/>
        </w:rPr>
        <w:t>Bowman</w:t>
      </w:r>
      <w:r w:rsidRPr="005C2179">
        <w:rPr>
          <w:kern w:val="2"/>
          <w:sz w:val="20"/>
        </w:rPr>
        <w:t>, the ECtHR discussed the interaction between the right to free elections and the right to free expression. According to the ECtHR, these two guarantees are the “bedrock” of democracy and reinforce one another, but they may also come into conflict.</w:t>
      </w:r>
      <w:r w:rsidRPr="005C2179">
        <w:rPr>
          <w:rStyle w:val="FootnoteReference"/>
          <w:kern w:val="2"/>
          <w:sz w:val="20"/>
        </w:rPr>
        <w:footnoteReference w:id="350"/>
      </w:r>
      <w:r w:rsidRPr="005C2179">
        <w:rPr>
          <w:kern w:val="2"/>
          <w:sz w:val="20"/>
        </w:rPr>
        <w:t xml:space="preserve"> The ECtHR accepted that states may need to limit freedom of expression during elections to ensure “free expression of the opinion of the people”, as required by the right to free elections. However, information must nonetheless be permitted to “circulate freely” during an election.</w:t>
      </w:r>
      <w:r w:rsidRPr="005C2179">
        <w:rPr>
          <w:rStyle w:val="FootnoteReference"/>
          <w:kern w:val="2"/>
          <w:sz w:val="20"/>
        </w:rPr>
        <w:footnoteReference w:id="351"/>
      </w:r>
      <w:r w:rsidRPr="005C2179">
        <w:rPr>
          <w:kern w:val="2"/>
          <w:sz w:val="20"/>
        </w:rPr>
        <w:t xml:space="preserve"> Like the Supreme Court of Canada in </w:t>
      </w:r>
      <w:r w:rsidRPr="005C2179">
        <w:rPr>
          <w:i/>
          <w:kern w:val="2"/>
          <w:sz w:val="20"/>
        </w:rPr>
        <w:t>Harper</w:t>
      </w:r>
      <w:r w:rsidRPr="005C2179">
        <w:rPr>
          <w:kern w:val="2"/>
          <w:sz w:val="20"/>
        </w:rPr>
        <w:t xml:space="preserve">, the ECtHR thus acknowledged the usefulness of third-party spending limits in enhancing electoral debate, but warned against stifling the flow of information through overly high spending caps.  </w:t>
      </w:r>
    </w:p>
    <w:p w14:paraId="6D1A92C5" w14:textId="77777777" w:rsidR="00016158" w:rsidRPr="005C2179" w:rsidRDefault="00016158" w:rsidP="00016158">
      <w:pPr>
        <w:rPr>
          <w:kern w:val="2"/>
          <w:sz w:val="20"/>
        </w:rPr>
      </w:pPr>
      <w:r w:rsidRPr="005C2179">
        <w:rPr>
          <w:kern w:val="2"/>
          <w:sz w:val="20"/>
        </w:rPr>
        <w:t xml:space="preserve">In </w:t>
      </w:r>
      <w:r w:rsidRPr="005C2179">
        <w:rPr>
          <w:i/>
          <w:kern w:val="2"/>
          <w:sz w:val="20"/>
        </w:rPr>
        <w:t xml:space="preserve">Animal Defenders International v the United Kingdom </w:t>
      </w:r>
      <w:r w:rsidRPr="005C2179">
        <w:rPr>
          <w:kern w:val="2"/>
          <w:sz w:val="20"/>
        </w:rPr>
        <w:t>(</w:t>
      </w:r>
      <w:r w:rsidRPr="005C2179">
        <w:rPr>
          <w:i/>
          <w:kern w:val="2"/>
          <w:sz w:val="20"/>
        </w:rPr>
        <w:t>Animal Defenders</w:t>
      </w:r>
      <w:r w:rsidRPr="005C2179">
        <w:rPr>
          <w:kern w:val="2"/>
          <w:sz w:val="20"/>
        </w:rPr>
        <w:t>), the ECtHR confirmed its willingness to allow limits on expression during elections for the sake of fairness and robust debate.</w:t>
      </w:r>
      <w:r w:rsidRPr="005C2179">
        <w:rPr>
          <w:rStyle w:val="FootnoteReference"/>
          <w:kern w:val="2"/>
          <w:sz w:val="20"/>
        </w:rPr>
        <w:footnoteReference w:id="352"/>
      </w:r>
      <w:r w:rsidRPr="005C2179">
        <w:rPr>
          <w:kern w:val="2"/>
          <w:sz w:val="20"/>
        </w:rPr>
        <w:t xml:space="preserve"> In this case, the applicant challenged a blanket ban on paid political advertising on broadcast media for political parties, candidates, and third parties under the </w:t>
      </w:r>
      <w:r w:rsidRPr="005C2179">
        <w:rPr>
          <w:i/>
          <w:kern w:val="2"/>
          <w:sz w:val="20"/>
        </w:rPr>
        <w:t>Communications Act 2003</w:t>
      </w:r>
      <w:r w:rsidRPr="005C2179">
        <w:rPr>
          <w:kern w:val="2"/>
          <w:sz w:val="20"/>
        </w:rPr>
        <w:t>.</w:t>
      </w:r>
      <w:r w:rsidRPr="005C2179">
        <w:rPr>
          <w:rStyle w:val="FootnoteReference"/>
          <w:kern w:val="2"/>
          <w:sz w:val="20"/>
        </w:rPr>
        <w:footnoteReference w:id="353"/>
      </w:r>
      <w:r w:rsidRPr="005C2179">
        <w:rPr>
          <w:i/>
          <w:kern w:val="2"/>
          <w:sz w:val="20"/>
        </w:rPr>
        <w:t xml:space="preserve"> </w:t>
      </w:r>
      <w:r w:rsidRPr="005C2179">
        <w:rPr>
          <w:kern w:val="2"/>
          <w:sz w:val="20"/>
        </w:rPr>
        <w:t xml:space="preserve">The UK House of Lords and the ECtHR upheld the ban. </w:t>
      </w:r>
    </w:p>
    <w:p w14:paraId="2F7D73D2" w14:textId="77777777" w:rsidR="00016158" w:rsidRPr="005C2179" w:rsidRDefault="00016158" w:rsidP="00016158">
      <w:pPr>
        <w:rPr>
          <w:kern w:val="2"/>
          <w:sz w:val="20"/>
        </w:rPr>
      </w:pPr>
      <w:r w:rsidRPr="005C2179">
        <w:rPr>
          <w:kern w:val="2"/>
          <w:sz w:val="20"/>
        </w:rPr>
        <w:t>In its decision, the House of Lords emphasized that a level playing field in public debate enables citizens “to make up their own minds on the important issues of the day.”</w:t>
      </w:r>
      <w:r w:rsidRPr="005C2179">
        <w:rPr>
          <w:rStyle w:val="FootnoteReference"/>
          <w:kern w:val="2"/>
          <w:sz w:val="20"/>
        </w:rPr>
        <w:footnoteReference w:id="354"/>
      </w:r>
      <w:r w:rsidRPr="005C2179">
        <w:rPr>
          <w:kern w:val="2"/>
          <w:sz w:val="20"/>
        </w:rPr>
        <w:t xml:space="preserve"> According to the House of Lords, the blanket ban on paid political advertising “avoid[s] the grosser distortions [in electoral debate] which unrestricted access to the broadcast media will bring.”</w:t>
      </w:r>
      <w:r w:rsidRPr="005C2179">
        <w:rPr>
          <w:rStyle w:val="FootnoteReference"/>
          <w:kern w:val="2"/>
          <w:sz w:val="20"/>
        </w:rPr>
        <w:footnoteReference w:id="355"/>
      </w:r>
      <w:r w:rsidRPr="005C2179">
        <w:rPr>
          <w:kern w:val="2"/>
          <w:sz w:val="20"/>
        </w:rPr>
        <w:t xml:space="preserve"> In recognizing the need to prevent the wealthy from distorting electoral debate, the House of Lords accepted the egalitarian rationale for campaign regulation and acknowledged that limiting electoral speech can actually enhance the exchange of information and ideas. Speaking bluntly, Baroness Hale bolstered the majority’s conclusions by warning against “the dominance of advertising, not only in elections but also in the formation of political opinion, in the United States of America” and the “[e]normous sums” spent on such advertising.</w:t>
      </w:r>
      <w:r w:rsidRPr="005C2179">
        <w:rPr>
          <w:rStyle w:val="FootnoteReference"/>
          <w:kern w:val="2"/>
          <w:sz w:val="20"/>
        </w:rPr>
        <w:footnoteReference w:id="356"/>
      </w:r>
      <w:r w:rsidRPr="005C2179">
        <w:rPr>
          <w:kern w:val="2"/>
          <w:sz w:val="20"/>
        </w:rPr>
        <w:t xml:space="preserve"> </w:t>
      </w:r>
    </w:p>
    <w:p w14:paraId="7AD11AA0" w14:textId="77777777" w:rsidR="00016158" w:rsidRPr="005C2179" w:rsidRDefault="00016158" w:rsidP="00016158">
      <w:pPr>
        <w:rPr>
          <w:kern w:val="2"/>
          <w:sz w:val="20"/>
        </w:rPr>
      </w:pPr>
      <w:r w:rsidRPr="005C2179">
        <w:rPr>
          <w:kern w:val="2"/>
          <w:sz w:val="20"/>
        </w:rPr>
        <w:t>At the ECtHR, the parties agreed that the legislative objective of the ban on paid political advertising was to preserve the “impartiality of broadcasting on public interest matters and, thereby ... protect ... the democratic process.”</w:t>
      </w:r>
      <w:r w:rsidRPr="005C2179">
        <w:rPr>
          <w:rStyle w:val="FootnoteReference"/>
          <w:kern w:val="2"/>
          <w:sz w:val="20"/>
        </w:rPr>
        <w:footnoteReference w:id="357"/>
      </w:r>
      <w:r w:rsidRPr="005C2179">
        <w:rPr>
          <w:kern w:val="2"/>
          <w:sz w:val="20"/>
        </w:rPr>
        <w:t xml:space="preserve"> The majority of the ECtHR accepted that this objective fell within the legitimate aim of protecting the rights of others, as required by Article 10(2) of the Convention. The ECtHR also concluded that the ban could reasonably be considered necessary in a democratic society. According to the majority, without the ban, the wealthy could “obtain competitive advantage in the area of paid advertising and thereby curtail a free and pluralist debate, of which the State remains the ultimate guarantor.”</w:t>
      </w:r>
      <w:r w:rsidRPr="005C2179">
        <w:rPr>
          <w:rStyle w:val="FootnoteReference"/>
          <w:kern w:val="2"/>
          <w:sz w:val="20"/>
        </w:rPr>
        <w:footnoteReference w:id="358"/>
      </w:r>
      <w:r w:rsidRPr="005C2179">
        <w:rPr>
          <w:kern w:val="2"/>
          <w:sz w:val="20"/>
        </w:rPr>
        <w:t xml:space="preserve"> </w:t>
      </w:r>
    </w:p>
    <w:p w14:paraId="42F75613" w14:textId="77777777" w:rsidR="00016158" w:rsidRPr="005C2179" w:rsidRDefault="00016158" w:rsidP="00016158">
      <w:pPr>
        <w:rPr>
          <w:kern w:val="2"/>
          <w:sz w:val="20"/>
        </w:rPr>
      </w:pPr>
      <w:r w:rsidRPr="005C2179">
        <w:rPr>
          <w:kern w:val="2"/>
          <w:sz w:val="20"/>
        </w:rPr>
        <w:t>Finally, on the issue of proportionality, the majority of the ECtHR found the ban to be properly tailored to the “risk of distortion.”</w:t>
      </w:r>
      <w:r w:rsidRPr="005C2179">
        <w:rPr>
          <w:rStyle w:val="FootnoteReference"/>
          <w:kern w:val="2"/>
          <w:sz w:val="20"/>
        </w:rPr>
        <w:footnoteReference w:id="359"/>
      </w:r>
      <w:r w:rsidRPr="005C2179">
        <w:rPr>
          <w:kern w:val="2"/>
          <w:sz w:val="20"/>
        </w:rPr>
        <w:t xml:space="preserve"> The ban applied to media with “particular influence,” those media being television and radio, and a narrower ban could lead to abuse and uncertainty.</w:t>
      </w:r>
      <w:r w:rsidRPr="005C2179">
        <w:rPr>
          <w:rStyle w:val="FootnoteReference"/>
          <w:kern w:val="2"/>
          <w:sz w:val="20"/>
        </w:rPr>
        <w:footnoteReference w:id="360"/>
      </w:r>
      <w:r w:rsidRPr="005C2179">
        <w:rPr>
          <w:kern w:val="2"/>
          <w:sz w:val="20"/>
        </w:rPr>
        <w:t xml:space="preserve"> The ECtHR also pointed out the availability of alternatives to paid political advertising for third-party groups, such as participation in radio or television programs or the formation of a charitable arm to fund non-political paid advertising.</w:t>
      </w:r>
      <w:r w:rsidRPr="005C2179">
        <w:rPr>
          <w:rStyle w:val="FootnoteReference"/>
          <w:kern w:val="2"/>
          <w:sz w:val="20"/>
        </w:rPr>
        <w:footnoteReference w:id="361"/>
      </w:r>
      <w:r w:rsidRPr="005C2179">
        <w:rPr>
          <w:kern w:val="2"/>
          <w:sz w:val="20"/>
        </w:rPr>
        <w:t xml:space="preserve"> </w:t>
      </w:r>
    </w:p>
    <w:p w14:paraId="25ADEAC0" w14:textId="77777777" w:rsidR="00016158" w:rsidRPr="005C2179" w:rsidRDefault="00016158" w:rsidP="00016158">
      <w:pPr>
        <w:rPr>
          <w:kern w:val="2"/>
          <w:sz w:val="20"/>
        </w:rPr>
      </w:pPr>
      <w:r w:rsidRPr="005C2179">
        <w:rPr>
          <w:kern w:val="2"/>
          <w:sz w:val="20"/>
        </w:rPr>
        <w:t>By concluding that the state is the “ultimate guarantor” of robust debate, the ECtHR revealed a significant divergence from the US Supreme Court’s approach to freedom of speech. In campaign finance cases, the majority of the US Supreme Court has demonstrated an unwavering suspicion of state power and has emphasized the role of constitutional rights in shielding the individual from that power.</w:t>
      </w:r>
      <w:r w:rsidRPr="005C2179">
        <w:rPr>
          <w:rStyle w:val="FootnoteReference"/>
          <w:kern w:val="2"/>
          <w:sz w:val="20"/>
        </w:rPr>
        <w:footnoteReference w:id="362"/>
      </w:r>
      <w:r w:rsidRPr="005C2179">
        <w:rPr>
          <w:kern w:val="2"/>
          <w:sz w:val="20"/>
        </w:rPr>
        <w:t xml:space="preserve"> In </w:t>
      </w:r>
      <w:r w:rsidRPr="005C2179">
        <w:rPr>
          <w:i/>
          <w:kern w:val="2"/>
          <w:sz w:val="20"/>
        </w:rPr>
        <w:t xml:space="preserve">Animal Defenders, </w:t>
      </w:r>
      <w:r w:rsidRPr="005C2179">
        <w:rPr>
          <w:kern w:val="2"/>
          <w:sz w:val="20"/>
        </w:rPr>
        <w:t>by contrast, the ECtHR’s approach recalls Fiss’ theory that the state may enhance free speech, not merely threaten it.</w:t>
      </w:r>
      <w:r w:rsidRPr="005C2179">
        <w:rPr>
          <w:rStyle w:val="FootnoteReference"/>
          <w:kern w:val="2"/>
          <w:sz w:val="20"/>
        </w:rPr>
        <w:footnoteReference w:id="363"/>
      </w:r>
      <w:r w:rsidRPr="005C2179">
        <w:rPr>
          <w:kern w:val="2"/>
          <w:sz w:val="20"/>
        </w:rPr>
        <w:t xml:space="preserve">  </w:t>
      </w:r>
    </w:p>
    <w:p w14:paraId="1C13850B" w14:textId="77777777" w:rsidR="00016158" w:rsidRPr="005C2179" w:rsidRDefault="00016158" w:rsidP="00016158">
      <w:pPr>
        <w:pStyle w:val="Heading2"/>
        <w:rPr>
          <w:kern w:val="2"/>
          <w:sz w:val="24"/>
        </w:rPr>
      </w:pPr>
      <w:r w:rsidRPr="005C2179">
        <w:rPr>
          <w:kern w:val="2"/>
          <w:sz w:val="24"/>
        </w:rPr>
        <w:t xml:space="preserve">Regulatory Regime in the UK </w:t>
      </w:r>
    </w:p>
    <w:p w14:paraId="33E3C0CD" w14:textId="77777777" w:rsidR="00016158" w:rsidRPr="005C2179" w:rsidRDefault="00016158" w:rsidP="00016158">
      <w:pPr>
        <w:rPr>
          <w:kern w:val="2"/>
          <w:sz w:val="20"/>
        </w:rPr>
      </w:pPr>
      <w:r w:rsidRPr="005C2179">
        <w:rPr>
          <w:kern w:val="2"/>
          <w:sz w:val="20"/>
        </w:rPr>
        <w:t>The UK’s campaign finance regime attempts to level the playing field for parties and candidates by limiting demand for, but not supply of, political money. This runs opposite to the American approach of limiting supply but not demand. In the UK, parties, candidates, and third parties are subject to expenditure limits, but contributions to all three are uncapped, although contributions must come from permissible sources. The UK’s ban on paid political advertising on broadcast media is intended to further curb political parties’ demand for money.</w:t>
      </w:r>
    </w:p>
    <w:p w14:paraId="43684F17" w14:textId="77777777" w:rsidR="00016158" w:rsidRPr="005C2179" w:rsidRDefault="00016158" w:rsidP="00016158">
      <w:pPr>
        <w:rPr>
          <w:kern w:val="2"/>
          <w:sz w:val="20"/>
        </w:rPr>
      </w:pPr>
      <w:r w:rsidRPr="005C2179">
        <w:rPr>
          <w:kern w:val="2"/>
          <w:sz w:val="20"/>
        </w:rPr>
        <w:t xml:space="preserve">Under the UK’s scheme of uncapped contributions, parties and candidates could rely solely on a small number of large donors to finance their campaigns. This raises obvious corruption concerns. Disclosure requirements supposedly address the risk of corruption. Disclosure also discourages large contributions, as big donors may find themselves the subject of unwanted media attention. </w:t>
      </w:r>
    </w:p>
    <w:p w14:paraId="13AEFE4C" w14:textId="77777777" w:rsidR="00016158" w:rsidRPr="005C2179" w:rsidRDefault="00016158" w:rsidP="00016158">
      <w:pPr>
        <w:rPr>
          <w:kern w:val="2"/>
          <w:sz w:val="20"/>
        </w:rPr>
      </w:pPr>
      <w:r w:rsidRPr="005C2179">
        <w:rPr>
          <w:kern w:val="2"/>
          <w:sz w:val="20"/>
        </w:rPr>
        <w:t xml:space="preserve">In the UK, different legislation applies to campaigning by political parties and candidates. Registered parties are governed by the </w:t>
      </w:r>
      <w:r w:rsidRPr="005C2179">
        <w:rPr>
          <w:i/>
          <w:kern w:val="2"/>
          <w:sz w:val="20"/>
        </w:rPr>
        <w:t xml:space="preserve">Political Parties, Elections and Referendums Act 2000 </w:t>
      </w:r>
      <w:r w:rsidRPr="005C2179">
        <w:rPr>
          <w:kern w:val="2"/>
          <w:sz w:val="20"/>
        </w:rPr>
        <w:t>(</w:t>
      </w:r>
      <w:r w:rsidRPr="005C2179">
        <w:rPr>
          <w:i/>
          <w:kern w:val="2"/>
          <w:sz w:val="20"/>
        </w:rPr>
        <w:t>PPERA</w:t>
      </w:r>
      <w:r w:rsidRPr="005C2179">
        <w:rPr>
          <w:kern w:val="2"/>
          <w:sz w:val="20"/>
        </w:rPr>
        <w:t>),</w:t>
      </w:r>
      <w:r w:rsidRPr="005C2179">
        <w:rPr>
          <w:rStyle w:val="FootnoteReference"/>
          <w:kern w:val="2"/>
          <w:sz w:val="20"/>
        </w:rPr>
        <w:footnoteReference w:id="364"/>
      </w:r>
      <w:r w:rsidRPr="005C2179">
        <w:rPr>
          <w:kern w:val="2"/>
          <w:sz w:val="20"/>
        </w:rPr>
        <w:t xml:space="preserve"> while candidates are governed by the </w:t>
      </w:r>
      <w:r w:rsidRPr="005C2179">
        <w:rPr>
          <w:i/>
          <w:kern w:val="2"/>
          <w:sz w:val="20"/>
        </w:rPr>
        <w:t>RPA</w:t>
      </w:r>
      <w:r w:rsidRPr="005C2179">
        <w:rPr>
          <w:kern w:val="2"/>
          <w:sz w:val="20"/>
        </w:rPr>
        <w:t>.</w:t>
      </w:r>
      <w:r w:rsidRPr="005C2179">
        <w:rPr>
          <w:rStyle w:val="FootnoteReference"/>
          <w:kern w:val="2"/>
          <w:sz w:val="20"/>
        </w:rPr>
        <w:footnoteReference w:id="365"/>
      </w:r>
      <w:r w:rsidRPr="005C2179">
        <w:rPr>
          <w:kern w:val="2"/>
          <w:sz w:val="20"/>
        </w:rPr>
        <w:t xml:space="preserve"> Both Acts also regulate third-party campaigning in general parliamentary elections, with </w:t>
      </w:r>
      <w:r w:rsidRPr="005C2179">
        <w:rPr>
          <w:i/>
          <w:kern w:val="2"/>
          <w:sz w:val="20"/>
        </w:rPr>
        <w:t xml:space="preserve">PPERA </w:t>
      </w:r>
      <w:r w:rsidRPr="005C2179">
        <w:rPr>
          <w:kern w:val="2"/>
          <w:sz w:val="20"/>
        </w:rPr>
        <w:t xml:space="preserve">addressing national third-party campaigns and the </w:t>
      </w:r>
      <w:r w:rsidRPr="005C2179">
        <w:rPr>
          <w:i/>
          <w:kern w:val="2"/>
          <w:sz w:val="20"/>
        </w:rPr>
        <w:t xml:space="preserve">RPA </w:t>
      </w:r>
      <w:r w:rsidRPr="005C2179">
        <w:rPr>
          <w:kern w:val="2"/>
          <w:sz w:val="20"/>
        </w:rPr>
        <w:t xml:space="preserve">addressing third-party campaigns at the constituency level. The campaign finance provisions in both Acts were amended by the </w:t>
      </w:r>
      <w:r w:rsidRPr="005C2179">
        <w:rPr>
          <w:i/>
          <w:kern w:val="2"/>
          <w:sz w:val="20"/>
        </w:rPr>
        <w:t>Electoral Administration Act 2006</w:t>
      </w:r>
      <w:r w:rsidRPr="005C2179">
        <w:rPr>
          <w:kern w:val="2"/>
          <w:sz w:val="20"/>
        </w:rPr>
        <w:t>,</w:t>
      </w:r>
      <w:r w:rsidRPr="005C2179">
        <w:rPr>
          <w:rStyle w:val="FootnoteReference"/>
          <w:kern w:val="2"/>
          <w:sz w:val="20"/>
        </w:rPr>
        <w:footnoteReference w:id="366"/>
      </w:r>
      <w:r w:rsidRPr="005C2179">
        <w:rPr>
          <w:kern w:val="2"/>
          <w:sz w:val="20"/>
        </w:rPr>
        <w:t xml:space="preserve"> the </w:t>
      </w:r>
      <w:r w:rsidRPr="005C2179">
        <w:rPr>
          <w:i/>
          <w:kern w:val="2"/>
          <w:sz w:val="20"/>
        </w:rPr>
        <w:t>Political Parties and Elections Act 2009</w:t>
      </w:r>
      <w:r w:rsidRPr="005C2179">
        <w:rPr>
          <w:kern w:val="2"/>
          <w:sz w:val="20"/>
        </w:rPr>
        <w:t>,</w:t>
      </w:r>
      <w:r w:rsidRPr="005C2179">
        <w:rPr>
          <w:rStyle w:val="FootnoteReference"/>
          <w:kern w:val="2"/>
          <w:sz w:val="20"/>
        </w:rPr>
        <w:footnoteReference w:id="367"/>
      </w:r>
      <w:r w:rsidRPr="005C2179">
        <w:rPr>
          <w:i/>
          <w:kern w:val="2"/>
          <w:sz w:val="20"/>
        </w:rPr>
        <w:t xml:space="preserve"> </w:t>
      </w:r>
      <w:r w:rsidRPr="005C2179">
        <w:rPr>
          <w:kern w:val="2"/>
          <w:sz w:val="20"/>
        </w:rPr>
        <w:t xml:space="preserve">and the </w:t>
      </w:r>
      <w:r w:rsidRPr="005C2179">
        <w:rPr>
          <w:i/>
          <w:kern w:val="2"/>
          <w:sz w:val="20"/>
        </w:rPr>
        <w:t xml:space="preserve">Transparency of Lobbying, Non-Party Campaigning and Trade Union Administration Act 2014 </w:t>
      </w:r>
      <w:r w:rsidRPr="005C2179">
        <w:rPr>
          <w:kern w:val="2"/>
          <w:sz w:val="20"/>
        </w:rPr>
        <w:t xml:space="preserve">(the </w:t>
      </w:r>
      <w:r w:rsidRPr="005C2179">
        <w:rPr>
          <w:i/>
          <w:kern w:val="2"/>
          <w:sz w:val="20"/>
        </w:rPr>
        <w:t>Transparency of Non-Party Campaigning Act</w:t>
      </w:r>
      <w:r w:rsidRPr="005C2179">
        <w:rPr>
          <w:kern w:val="2"/>
          <w:sz w:val="20"/>
        </w:rPr>
        <w:t>).</w:t>
      </w:r>
      <w:r w:rsidRPr="005C2179">
        <w:rPr>
          <w:rStyle w:val="FootnoteReference"/>
          <w:kern w:val="2"/>
          <w:sz w:val="20"/>
        </w:rPr>
        <w:footnoteReference w:id="368"/>
      </w:r>
      <w:r w:rsidRPr="005C2179">
        <w:rPr>
          <w:kern w:val="2"/>
          <w:sz w:val="20"/>
        </w:rPr>
        <w:t xml:space="preserve"> This Section will focus on the rules in </w:t>
      </w:r>
      <w:r w:rsidRPr="005C2179">
        <w:rPr>
          <w:i/>
          <w:kern w:val="2"/>
          <w:sz w:val="20"/>
        </w:rPr>
        <w:t xml:space="preserve">PPERA </w:t>
      </w:r>
      <w:r w:rsidRPr="005C2179">
        <w:rPr>
          <w:kern w:val="2"/>
          <w:sz w:val="20"/>
        </w:rPr>
        <w:t xml:space="preserve">and the </w:t>
      </w:r>
      <w:r w:rsidRPr="005C2179">
        <w:rPr>
          <w:i/>
          <w:kern w:val="2"/>
          <w:sz w:val="20"/>
        </w:rPr>
        <w:t>RPA</w:t>
      </w:r>
      <w:r w:rsidRPr="005C2179">
        <w:rPr>
          <w:kern w:val="2"/>
          <w:sz w:val="20"/>
        </w:rPr>
        <w:t xml:space="preserve"> in relation to general parliamentary elections. The UK also regulates campaign financing in referendums and local government elections. </w:t>
      </w:r>
    </w:p>
    <w:p w14:paraId="3B5E7463" w14:textId="77777777" w:rsidR="00016158" w:rsidRPr="005C2179" w:rsidRDefault="00016158" w:rsidP="00016158">
      <w:pPr>
        <w:pStyle w:val="Heading3"/>
        <w:rPr>
          <w:kern w:val="2"/>
          <w:sz w:val="22"/>
        </w:rPr>
      </w:pPr>
      <w:r w:rsidRPr="005C2179">
        <w:rPr>
          <w:kern w:val="2"/>
          <w:sz w:val="22"/>
        </w:rPr>
        <w:t xml:space="preserve">Regulation of Campaign Financing for Political Parties and Candidates in the UK </w:t>
      </w:r>
    </w:p>
    <w:p w14:paraId="31A3DE72" w14:textId="77777777" w:rsidR="00016158" w:rsidRPr="005C2179" w:rsidRDefault="00016158" w:rsidP="00016158">
      <w:pPr>
        <w:pStyle w:val="Heading4"/>
        <w:rPr>
          <w:kern w:val="2"/>
          <w:sz w:val="22"/>
        </w:rPr>
      </w:pPr>
      <w:r w:rsidRPr="005C2179">
        <w:rPr>
          <w:kern w:val="2"/>
          <w:sz w:val="22"/>
        </w:rPr>
        <w:t xml:space="preserve">Spending Limits for Registered Parties and Candidates </w:t>
      </w:r>
    </w:p>
    <w:p w14:paraId="76998524" w14:textId="77777777" w:rsidR="00016158" w:rsidRPr="005C2179" w:rsidRDefault="00016158" w:rsidP="00016158">
      <w:pPr>
        <w:rPr>
          <w:kern w:val="2"/>
          <w:sz w:val="20"/>
        </w:rPr>
      </w:pPr>
      <w:r w:rsidRPr="005C2179">
        <w:rPr>
          <w:kern w:val="2"/>
          <w:sz w:val="20"/>
        </w:rPr>
        <w:t xml:space="preserve">In the UK, ceilings on candidate spending date back to 1883 and were extended to political parties and third parties in 2000 by </w:t>
      </w:r>
      <w:r w:rsidRPr="005C2179">
        <w:rPr>
          <w:i/>
          <w:kern w:val="2"/>
          <w:sz w:val="20"/>
        </w:rPr>
        <w:t>PPERA</w:t>
      </w:r>
      <w:r w:rsidRPr="005C2179">
        <w:rPr>
          <w:kern w:val="2"/>
          <w:sz w:val="20"/>
        </w:rPr>
        <w:t>.</w:t>
      </w:r>
      <w:r w:rsidRPr="005C2179">
        <w:rPr>
          <w:rStyle w:val="FootnoteReference"/>
          <w:kern w:val="2"/>
          <w:sz w:val="20"/>
        </w:rPr>
        <w:footnoteReference w:id="369"/>
      </w:r>
      <w:r w:rsidRPr="005C2179">
        <w:rPr>
          <w:kern w:val="2"/>
          <w:sz w:val="20"/>
        </w:rPr>
        <w:t xml:space="preserve"> In </w:t>
      </w:r>
      <w:r w:rsidRPr="005C2179">
        <w:rPr>
          <w:i/>
          <w:kern w:val="2"/>
          <w:sz w:val="20"/>
        </w:rPr>
        <w:t>Attorney General v Jones</w:t>
      </w:r>
      <w:r w:rsidRPr="005C2179">
        <w:rPr>
          <w:kern w:val="2"/>
          <w:sz w:val="20"/>
        </w:rPr>
        <w:t>,</w:t>
      </w:r>
      <w:r w:rsidRPr="005C2179">
        <w:rPr>
          <w:rStyle w:val="FootnoteReference"/>
          <w:kern w:val="2"/>
          <w:sz w:val="20"/>
        </w:rPr>
        <w:footnoteReference w:id="370"/>
      </w:r>
      <w:r w:rsidRPr="005C2179">
        <w:rPr>
          <w:kern w:val="2"/>
          <w:sz w:val="20"/>
        </w:rPr>
        <w:t xml:space="preserve"> the Court of Appeal explained that the purpose of spending caps is to promote “a level financial playing field between competing candidates, so as to prevent perversion of the voters’ democratic choice between competing candidates within constituencies by significant disparities of local expenditure.”</w:t>
      </w:r>
      <w:r w:rsidRPr="005C2179">
        <w:rPr>
          <w:rStyle w:val="FootnoteReference"/>
          <w:kern w:val="2"/>
          <w:sz w:val="20"/>
        </w:rPr>
        <w:footnoteReference w:id="371"/>
      </w:r>
      <w:r w:rsidRPr="005C2179">
        <w:rPr>
          <w:kern w:val="2"/>
          <w:sz w:val="20"/>
        </w:rPr>
        <w:t xml:space="preserve"> By contrast, American courts view the objective of leveling the playing field as an insufficient basis for restricting campaign spending.</w:t>
      </w:r>
      <w:r w:rsidRPr="005C2179">
        <w:rPr>
          <w:rStyle w:val="FootnoteReference"/>
          <w:kern w:val="2"/>
          <w:sz w:val="20"/>
        </w:rPr>
        <w:footnoteReference w:id="372"/>
      </w:r>
    </w:p>
    <w:p w14:paraId="7A95AC16" w14:textId="77777777" w:rsidR="00016158" w:rsidRPr="005C2179" w:rsidRDefault="00016158" w:rsidP="00016158">
      <w:pPr>
        <w:keepNext/>
        <w:rPr>
          <w:b/>
          <w:kern w:val="2"/>
          <w:sz w:val="20"/>
        </w:rPr>
      </w:pPr>
      <w:r w:rsidRPr="005C2179">
        <w:rPr>
          <w:b/>
          <w:kern w:val="2"/>
          <w:sz w:val="20"/>
        </w:rPr>
        <w:t xml:space="preserve">a) Expenses Captured by Spending Limits </w:t>
      </w:r>
    </w:p>
    <w:p w14:paraId="5AF7CB7D" w14:textId="77777777" w:rsidR="00016158" w:rsidRPr="005C2179" w:rsidRDefault="00016158" w:rsidP="00016158">
      <w:pPr>
        <w:pStyle w:val="ListParagraph"/>
        <w:numPr>
          <w:ilvl w:val="0"/>
          <w:numId w:val="38"/>
        </w:numPr>
        <w:rPr>
          <w:kern w:val="2"/>
          <w:sz w:val="20"/>
        </w:rPr>
      </w:pPr>
      <w:r w:rsidRPr="005C2179">
        <w:rPr>
          <w:kern w:val="2"/>
          <w:sz w:val="20"/>
        </w:rPr>
        <w:t>Registered Parties: Definition of “Campaign Expenditure</w:t>
      </w:r>
      <w:r w:rsidRPr="005C2179">
        <w:rPr>
          <w:b/>
          <w:kern w:val="2"/>
          <w:sz w:val="20"/>
        </w:rPr>
        <w:t xml:space="preserve">”  </w:t>
      </w:r>
    </w:p>
    <w:p w14:paraId="6F467238" w14:textId="77777777" w:rsidR="00016158" w:rsidRPr="005C2179" w:rsidRDefault="00016158" w:rsidP="00016158">
      <w:pPr>
        <w:rPr>
          <w:kern w:val="2"/>
          <w:sz w:val="20"/>
        </w:rPr>
      </w:pPr>
      <w:r w:rsidRPr="005C2179">
        <w:rPr>
          <w:kern w:val="2"/>
          <w:sz w:val="20"/>
        </w:rPr>
        <w:t xml:space="preserve">Registered parties are subject to ceilings on “campaign expenditure” under </w:t>
      </w:r>
      <w:r w:rsidRPr="005C2179">
        <w:rPr>
          <w:i/>
          <w:kern w:val="2"/>
          <w:sz w:val="20"/>
        </w:rPr>
        <w:t xml:space="preserve">PPERA. </w:t>
      </w:r>
      <w:r w:rsidRPr="005C2179">
        <w:rPr>
          <w:kern w:val="2"/>
          <w:sz w:val="20"/>
        </w:rPr>
        <w:t xml:space="preserve">“Campaign expenditure” is defined as an expense incurred by a party for election purposes that falls within Schedule 8 of </w:t>
      </w:r>
      <w:r w:rsidRPr="005C2179">
        <w:rPr>
          <w:i/>
          <w:kern w:val="2"/>
          <w:sz w:val="20"/>
        </w:rPr>
        <w:t>PPERA</w:t>
      </w:r>
      <w:r w:rsidRPr="005C2179">
        <w:rPr>
          <w:kern w:val="2"/>
          <w:sz w:val="20"/>
        </w:rPr>
        <w:t>, which lists such matters as advertising, publishing documents with the party’s policies, market research, and rallies or other events.</w:t>
      </w:r>
      <w:r w:rsidRPr="005C2179">
        <w:rPr>
          <w:rStyle w:val="FootnoteReference"/>
          <w:kern w:val="2"/>
          <w:sz w:val="20"/>
        </w:rPr>
        <w:footnoteReference w:id="373"/>
      </w:r>
      <w:r w:rsidRPr="005C2179">
        <w:rPr>
          <w:kern w:val="2"/>
          <w:sz w:val="20"/>
        </w:rPr>
        <w:t xml:space="preserve"> The phrase “for election purposes” is defined as “for the purpose of or in connection with (a) promoting or procuring electoral success for the party ... or (b) otherwise enhancing the standing” of the party or its candidates.</w:t>
      </w:r>
      <w:r w:rsidRPr="005C2179">
        <w:rPr>
          <w:rStyle w:val="FootnoteReference"/>
          <w:kern w:val="2"/>
          <w:sz w:val="20"/>
        </w:rPr>
        <w:footnoteReference w:id="374"/>
      </w:r>
      <w:r w:rsidRPr="005C2179">
        <w:rPr>
          <w:kern w:val="2"/>
          <w:sz w:val="20"/>
        </w:rPr>
        <w:t xml:space="preserve"> This includes attempts to prejudice the chances or standing of other parties or candidates.</w:t>
      </w:r>
      <w:r w:rsidRPr="005C2179">
        <w:rPr>
          <w:rStyle w:val="FootnoteReference"/>
          <w:kern w:val="2"/>
          <w:sz w:val="20"/>
        </w:rPr>
        <w:footnoteReference w:id="375"/>
      </w:r>
      <w:r w:rsidRPr="005C2179">
        <w:rPr>
          <w:kern w:val="2"/>
          <w:sz w:val="20"/>
        </w:rPr>
        <w:t xml:space="preserve"> Further, an activity could be done “for election purposes” even if no express mention is made of any party or candidate.</w:t>
      </w:r>
      <w:r w:rsidRPr="005C2179">
        <w:rPr>
          <w:rStyle w:val="FootnoteReference"/>
          <w:kern w:val="2"/>
          <w:sz w:val="20"/>
        </w:rPr>
        <w:footnoteReference w:id="376"/>
      </w:r>
      <w:r w:rsidRPr="005C2179">
        <w:rPr>
          <w:kern w:val="2"/>
          <w:sz w:val="20"/>
        </w:rPr>
        <w:t xml:space="preserve"> Finally, a registered party’s “campaign expenditure” does not include expenditures that are to be included in a candidate’s election expenses return, which prevents the same expenses from counting toward the spending limits of both a candidate and its party.</w:t>
      </w:r>
      <w:r w:rsidRPr="005C2179">
        <w:rPr>
          <w:rStyle w:val="FootnoteReference"/>
          <w:kern w:val="2"/>
          <w:sz w:val="20"/>
        </w:rPr>
        <w:footnoteReference w:id="377"/>
      </w:r>
      <w:r w:rsidRPr="005C2179">
        <w:rPr>
          <w:kern w:val="2"/>
          <w:sz w:val="20"/>
        </w:rPr>
        <w:t xml:space="preserve">  </w:t>
      </w:r>
    </w:p>
    <w:p w14:paraId="7C98B930" w14:textId="77777777" w:rsidR="00016158" w:rsidRPr="005C2179" w:rsidRDefault="00016158" w:rsidP="00016158">
      <w:pPr>
        <w:rPr>
          <w:kern w:val="2"/>
          <w:sz w:val="20"/>
        </w:rPr>
      </w:pPr>
      <w:r w:rsidRPr="005C2179">
        <w:rPr>
          <w:kern w:val="2"/>
          <w:sz w:val="20"/>
        </w:rPr>
        <w:t xml:space="preserve">Even if an expense falls within the definition of “campaign expenditure,” it will not count towards the party’s spending limit under </w:t>
      </w:r>
      <w:r w:rsidRPr="005C2179">
        <w:rPr>
          <w:i/>
          <w:kern w:val="2"/>
          <w:sz w:val="20"/>
        </w:rPr>
        <w:t xml:space="preserve">PPERA </w:t>
      </w:r>
      <w:r w:rsidRPr="005C2179">
        <w:rPr>
          <w:kern w:val="2"/>
          <w:sz w:val="20"/>
        </w:rPr>
        <w:t>unless it was incurred in the 365 days before a general parliamentary election.</w:t>
      </w:r>
      <w:r w:rsidRPr="005C2179">
        <w:rPr>
          <w:rStyle w:val="FootnoteReference"/>
          <w:kern w:val="2"/>
          <w:sz w:val="20"/>
        </w:rPr>
        <w:footnoteReference w:id="378"/>
      </w:r>
      <w:r w:rsidRPr="005C2179">
        <w:rPr>
          <w:kern w:val="2"/>
          <w:sz w:val="20"/>
        </w:rPr>
        <w:t xml:space="preserve"> </w:t>
      </w:r>
    </w:p>
    <w:p w14:paraId="0A05678B" w14:textId="77777777" w:rsidR="00016158" w:rsidRPr="005C2179" w:rsidRDefault="00016158" w:rsidP="00016158">
      <w:pPr>
        <w:pStyle w:val="ListParagraph"/>
        <w:keepNext/>
        <w:numPr>
          <w:ilvl w:val="0"/>
          <w:numId w:val="38"/>
        </w:numPr>
        <w:ind w:left="714" w:hanging="357"/>
        <w:rPr>
          <w:kern w:val="2"/>
          <w:sz w:val="20"/>
        </w:rPr>
      </w:pPr>
      <w:r w:rsidRPr="005C2179">
        <w:rPr>
          <w:kern w:val="2"/>
          <w:sz w:val="20"/>
        </w:rPr>
        <w:t xml:space="preserve">Candidates: Definition of “Election Expenses” </w:t>
      </w:r>
    </w:p>
    <w:p w14:paraId="0C61F1C7" w14:textId="77777777" w:rsidR="00016158" w:rsidRPr="005C2179" w:rsidRDefault="00016158" w:rsidP="00016158">
      <w:pPr>
        <w:rPr>
          <w:kern w:val="2"/>
          <w:sz w:val="20"/>
        </w:rPr>
      </w:pPr>
      <w:r w:rsidRPr="005C2179">
        <w:rPr>
          <w:kern w:val="2"/>
          <w:sz w:val="20"/>
        </w:rPr>
        <w:t xml:space="preserve">The </w:t>
      </w:r>
      <w:r w:rsidRPr="005C2179">
        <w:rPr>
          <w:i/>
          <w:kern w:val="2"/>
          <w:sz w:val="20"/>
        </w:rPr>
        <w:t xml:space="preserve">RPA </w:t>
      </w:r>
      <w:r w:rsidRPr="005C2179">
        <w:rPr>
          <w:kern w:val="2"/>
          <w:sz w:val="20"/>
        </w:rPr>
        <w:t xml:space="preserve">limits the amount candidates may spend on “election expenses”. The definition of “election expenses” is similar to the definition of “campaign expenditure” for political parties. “Election expenses” are defined in the </w:t>
      </w:r>
      <w:r w:rsidRPr="005C2179">
        <w:rPr>
          <w:i/>
          <w:kern w:val="2"/>
          <w:sz w:val="20"/>
        </w:rPr>
        <w:t xml:space="preserve">RPA </w:t>
      </w:r>
      <w:r w:rsidRPr="005C2179">
        <w:rPr>
          <w:kern w:val="2"/>
          <w:sz w:val="20"/>
        </w:rPr>
        <w:t>as:</w:t>
      </w:r>
    </w:p>
    <w:p w14:paraId="24850E33" w14:textId="77777777" w:rsidR="00016158" w:rsidRPr="005C2179" w:rsidRDefault="00016158" w:rsidP="00016158">
      <w:pPr>
        <w:pStyle w:val="ListParagraph"/>
        <w:numPr>
          <w:ilvl w:val="0"/>
          <w:numId w:val="33"/>
        </w:numPr>
        <w:rPr>
          <w:kern w:val="2"/>
          <w:sz w:val="20"/>
        </w:rPr>
      </w:pPr>
      <w:r w:rsidRPr="005C2179">
        <w:rPr>
          <w:kern w:val="2"/>
          <w:sz w:val="20"/>
        </w:rPr>
        <w:t xml:space="preserve">“any expenses incurred at any time </w:t>
      </w:r>
    </w:p>
    <w:p w14:paraId="1F7E8921" w14:textId="77777777" w:rsidR="00016158" w:rsidRPr="005C2179" w:rsidRDefault="00016158" w:rsidP="00016158">
      <w:pPr>
        <w:pStyle w:val="ListParagraph"/>
        <w:numPr>
          <w:ilvl w:val="0"/>
          <w:numId w:val="33"/>
        </w:numPr>
        <w:rPr>
          <w:kern w:val="2"/>
          <w:sz w:val="20"/>
        </w:rPr>
      </w:pPr>
      <w:r w:rsidRPr="005C2179">
        <w:rPr>
          <w:kern w:val="2"/>
          <w:sz w:val="20"/>
        </w:rPr>
        <w:t xml:space="preserve">in respect of any matter specified in Part 1 of Schedule 4A </w:t>
      </w:r>
    </w:p>
    <w:p w14:paraId="545F7F38" w14:textId="77777777" w:rsidR="00016158" w:rsidRPr="005C2179" w:rsidRDefault="00016158" w:rsidP="00016158">
      <w:pPr>
        <w:pStyle w:val="ListParagraph"/>
        <w:numPr>
          <w:ilvl w:val="0"/>
          <w:numId w:val="33"/>
        </w:numPr>
        <w:rPr>
          <w:kern w:val="2"/>
          <w:sz w:val="20"/>
        </w:rPr>
      </w:pPr>
      <w:r w:rsidRPr="005C2179">
        <w:rPr>
          <w:kern w:val="2"/>
          <w:sz w:val="20"/>
        </w:rPr>
        <w:t xml:space="preserve">which is used for the purposes of the candidate’s election </w:t>
      </w:r>
    </w:p>
    <w:p w14:paraId="6EA06514" w14:textId="77777777" w:rsidR="00016158" w:rsidRPr="005C2179" w:rsidRDefault="00016158" w:rsidP="00016158">
      <w:pPr>
        <w:pStyle w:val="ListParagraph"/>
        <w:numPr>
          <w:ilvl w:val="0"/>
          <w:numId w:val="33"/>
        </w:numPr>
        <w:rPr>
          <w:kern w:val="2"/>
          <w:sz w:val="20"/>
        </w:rPr>
      </w:pPr>
      <w:r w:rsidRPr="005C2179">
        <w:rPr>
          <w:kern w:val="2"/>
          <w:sz w:val="20"/>
        </w:rPr>
        <w:t>after the date when he becomes a candidate at the election”.</w:t>
      </w:r>
      <w:r w:rsidRPr="005C2179">
        <w:rPr>
          <w:rStyle w:val="FootnoteReference"/>
          <w:kern w:val="2"/>
          <w:sz w:val="20"/>
        </w:rPr>
        <w:footnoteReference w:id="379"/>
      </w:r>
      <w:r w:rsidRPr="005C2179">
        <w:rPr>
          <w:kern w:val="2"/>
          <w:sz w:val="20"/>
        </w:rPr>
        <w:t xml:space="preserve"> </w:t>
      </w:r>
    </w:p>
    <w:p w14:paraId="1A529306" w14:textId="77777777" w:rsidR="00016158" w:rsidRPr="005C2179" w:rsidRDefault="00016158" w:rsidP="00016158">
      <w:pPr>
        <w:rPr>
          <w:kern w:val="2"/>
          <w:sz w:val="20"/>
        </w:rPr>
      </w:pPr>
      <w:r w:rsidRPr="005C2179">
        <w:rPr>
          <w:kern w:val="2"/>
          <w:sz w:val="20"/>
        </w:rPr>
        <w:t>The matters in Part 1 of Schedule 4A include advertising, distributing unsolicited material to electors, transport, public meetings, and accommodation and administration costs. The phrase “for the purposes of the candidate’s election” is defined as “with a view to, or otherwise in connection with, promoting or procuring the candidates election,” which includes “prejudicing the electoral prospects of another candidate.”</w:t>
      </w:r>
      <w:r w:rsidRPr="005C2179">
        <w:rPr>
          <w:rStyle w:val="FootnoteReference"/>
          <w:kern w:val="2"/>
          <w:sz w:val="20"/>
        </w:rPr>
        <w:footnoteReference w:id="380"/>
      </w:r>
      <w:r w:rsidRPr="005C2179">
        <w:rPr>
          <w:kern w:val="2"/>
          <w:sz w:val="20"/>
        </w:rPr>
        <w:t xml:space="preserve"> Exclusions are made for certain expenses, such as those related to the publication of non-advertising material in newspapers and periodicals.</w:t>
      </w:r>
      <w:r w:rsidRPr="005C2179">
        <w:rPr>
          <w:rStyle w:val="FootnoteReference"/>
          <w:kern w:val="2"/>
          <w:sz w:val="20"/>
        </w:rPr>
        <w:footnoteReference w:id="381"/>
      </w:r>
      <w:r w:rsidRPr="005C2179">
        <w:rPr>
          <w:kern w:val="2"/>
          <w:sz w:val="20"/>
        </w:rPr>
        <w:t xml:space="preserve"> Further, the value of volunteer services provided on the volunteer’s own time is not considered an election expense.</w:t>
      </w:r>
      <w:r w:rsidRPr="005C2179">
        <w:rPr>
          <w:rStyle w:val="FootnoteReference"/>
          <w:kern w:val="2"/>
          <w:sz w:val="20"/>
        </w:rPr>
        <w:footnoteReference w:id="382"/>
      </w:r>
    </w:p>
    <w:p w14:paraId="6CDF103D" w14:textId="77777777" w:rsidR="00016158" w:rsidRPr="005C2179" w:rsidRDefault="00016158" w:rsidP="00016158">
      <w:pPr>
        <w:rPr>
          <w:b/>
          <w:kern w:val="2"/>
          <w:sz w:val="20"/>
        </w:rPr>
      </w:pPr>
      <w:r w:rsidRPr="005C2179">
        <w:rPr>
          <w:b/>
          <w:kern w:val="2"/>
          <w:sz w:val="20"/>
        </w:rPr>
        <w:t>b) Spending Limits</w:t>
      </w:r>
    </w:p>
    <w:p w14:paraId="447EE3CE" w14:textId="77777777" w:rsidR="00016158" w:rsidRPr="005C2179" w:rsidRDefault="00016158" w:rsidP="00016158">
      <w:pPr>
        <w:pStyle w:val="ListParagraph"/>
        <w:numPr>
          <w:ilvl w:val="0"/>
          <w:numId w:val="40"/>
        </w:numPr>
        <w:rPr>
          <w:kern w:val="2"/>
          <w:sz w:val="20"/>
        </w:rPr>
      </w:pPr>
      <w:r w:rsidRPr="005C2179">
        <w:rPr>
          <w:kern w:val="2"/>
          <w:sz w:val="20"/>
        </w:rPr>
        <w:t>Registered Parties</w:t>
      </w:r>
    </w:p>
    <w:p w14:paraId="52F62230" w14:textId="77777777" w:rsidR="00016158" w:rsidRPr="005C2179" w:rsidRDefault="00016158" w:rsidP="00016158">
      <w:pPr>
        <w:rPr>
          <w:kern w:val="2"/>
          <w:sz w:val="20"/>
        </w:rPr>
      </w:pPr>
      <w:r w:rsidRPr="005C2179">
        <w:rPr>
          <w:kern w:val="2"/>
          <w:sz w:val="20"/>
        </w:rPr>
        <w:t>In the 365 days before a general parliamentary election, registered parties’ campaign expenditure is limited to ₤30,000 per constituency contested by the party, or ₤810,000 in England, ₤120,000 in Scotland, and ₤60,000 in Wales, whichever is greater.</w:t>
      </w:r>
      <w:r w:rsidRPr="005C2179">
        <w:rPr>
          <w:rStyle w:val="FootnoteReference"/>
          <w:kern w:val="2"/>
          <w:sz w:val="20"/>
        </w:rPr>
        <w:footnoteReference w:id="383"/>
      </w:r>
      <w:r w:rsidRPr="005C2179">
        <w:rPr>
          <w:kern w:val="2"/>
          <w:sz w:val="20"/>
        </w:rPr>
        <w:t xml:space="preserve"> Constituency-level branches of registered parties are not subject to limits on spending in support of candidates in their constituencies.</w:t>
      </w:r>
      <w:r w:rsidRPr="005C2179">
        <w:rPr>
          <w:rStyle w:val="FootnoteReference"/>
          <w:kern w:val="2"/>
          <w:sz w:val="20"/>
        </w:rPr>
        <w:footnoteReference w:id="384"/>
      </w:r>
      <w:r w:rsidRPr="005C2179">
        <w:rPr>
          <w:kern w:val="2"/>
          <w:sz w:val="20"/>
        </w:rPr>
        <w:t xml:space="preserve"> However, if a constituency-level branch spends money promoting the party as a whole, this spending will count toward the national party’s spending limit.</w:t>
      </w:r>
      <w:r w:rsidRPr="005C2179">
        <w:rPr>
          <w:rStyle w:val="FootnoteReference"/>
          <w:kern w:val="2"/>
          <w:sz w:val="20"/>
        </w:rPr>
        <w:footnoteReference w:id="385"/>
      </w:r>
      <w:r w:rsidRPr="005C2179">
        <w:rPr>
          <w:kern w:val="2"/>
          <w:sz w:val="20"/>
        </w:rPr>
        <w:t xml:space="preserve"> </w:t>
      </w:r>
    </w:p>
    <w:p w14:paraId="478A68CC" w14:textId="77777777" w:rsidR="00016158" w:rsidRPr="005C2179" w:rsidRDefault="00016158" w:rsidP="00016158">
      <w:pPr>
        <w:rPr>
          <w:kern w:val="2"/>
          <w:sz w:val="20"/>
        </w:rPr>
      </w:pPr>
      <w:r w:rsidRPr="005C2179">
        <w:rPr>
          <w:kern w:val="2"/>
          <w:sz w:val="20"/>
        </w:rPr>
        <w:t>No political party spent the full amount permitted in the 2010 general parliamentary election. This could be a result of declining party income.</w:t>
      </w:r>
      <w:r w:rsidRPr="005C2179">
        <w:rPr>
          <w:rStyle w:val="FootnoteReference"/>
          <w:kern w:val="2"/>
          <w:sz w:val="20"/>
        </w:rPr>
        <w:footnoteReference w:id="386"/>
      </w:r>
    </w:p>
    <w:p w14:paraId="23E34063" w14:textId="77777777" w:rsidR="00016158" w:rsidRPr="005C2179" w:rsidRDefault="00016158" w:rsidP="00016158">
      <w:pPr>
        <w:pStyle w:val="ListParagraph"/>
        <w:numPr>
          <w:ilvl w:val="0"/>
          <w:numId w:val="40"/>
        </w:numPr>
        <w:rPr>
          <w:kern w:val="2"/>
          <w:sz w:val="20"/>
        </w:rPr>
      </w:pPr>
      <w:r w:rsidRPr="005C2179">
        <w:rPr>
          <w:kern w:val="2"/>
          <w:sz w:val="20"/>
        </w:rPr>
        <w:t xml:space="preserve">Candidates </w:t>
      </w:r>
    </w:p>
    <w:p w14:paraId="6029ED7B" w14:textId="77777777" w:rsidR="00016158" w:rsidRPr="005C2179" w:rsidRDefault="00016158" w:rsidP="00016158">
      <w:pPr>
        <w:rPr>
          <w:kern w:val="2"/>
          <w:sz w:val="20"/>
        </w:rPr>
      </w:pPr>
      <w:r w:rsidRPr="005C2179">
        <w:rPr>
          <w:kern w:val="2"/>
          <w:sz w:val="20"/>
        </w:rPr>
        <w:t>Candidate spending limits are determined by adding together a base amount and a “top up” that depends on the number of registered electors in the candidate’s constituency.</w:t>
      </w:r>
      <w:r w:rsidRPr="005C2179">
        <w:rPr>
          <w:rStyle w:val="FootnoteReference"/>
          <w:kern w:val="2"/>
          <w:sz w:val="20"/>
        </w:rPr>
        <w:footnoteReference w:id="387"/>
      </w:r>
      <w:r w:rsidRPr="005C2179">
        <w:rPr>
          <w:kern w:val="2"/>
          <w:sz w:val="20"/>
        </w:rPr>
        <w:t xml:space="preserve"> There are two relevant time periods for candidate spending under the </w:t>
      </w:r>
      <w:r w:rsidRPr="005C2179">
        <w:rPr>
          <w:i/>
          <w:kern w:val="2"/>
          <w:sz w:val="20"/>
        </w:rPr>
        <w:t xml:space="preserve">RPA. </w:t>
      </w:r>
      <w:r w:rsidRPr="005C2179">
        <w:rPr>
          <w:kern w:val="2"/>
          <w:sz w:val="20"/>
        </w:rPr>
        <w:t>One limit applies to post-candidacy election expenses, while a separate limit applies to pre-candidacy election expenses under certain circumstances. The limit for post-candidacy expenses covers all election expenses incurred for things used after the candidate becomes a candidate, even if the expenses were actually incurred before they became a candidate, as indicated by the definition of “election expenses.”</w:t>
      </w:r>
      <w:r w:rsidRPr="005C2179">
        <w:rPr>
          <w:rStyle w:val="FootnoteReference"/>
          <w:kern w:val="2"/>
          <w:sz w:val="20"/>
        </w:rPr>
        <w:footnoteReference w:id="388"/>
      </w:r>
      <w:r w:rsidRPr="005C2179">
        <w:rPr>
          <w:kern w:val="2"/>
          <w:sz w:val="20"/>
        </w:rPr>
        <w:t xml:space="preserve"> In the 2017 general parliamentary election, the post-candidacy spending limit consisted of a base amount of ₤8,700 with a top up of 9p per elector in county constituencies.</w:t>
      </w:r>
      <w:r w:rsidRPr="005C2179">
        <w:rPr>
          <w:rStyle w:val="FootnoteReference"/>
          <w:kern w:val="2"/>
          <w:sz w:val="20"/>
        </w:rPr>
        <w:footnoteReference w:id="389"/>
      </w:r>
    </w:p>
    <w:p w14:paraId="43886784" w14:textId="77777777" w:rsidR="00016158" w:rsidRPr="005C2179" w:rsidRDefault="00016158" w:rsidP="00016158">
      <w:pPr>
        <w:rPr>
          <w:kern w:val="2"/>
          <w:sz w:val="20"/>
        </w:rPr>
      </w:pPr>
      <w:r w:rsidRPr="005C2179">
        <w:rPr>
          <w:kern w:val="2"/>
          <w:sz w:val="20"/>
        </w:rPr>
        <w:t>A separate spending cap applies to pre-candidacy election expenses in some circumstances. If Parliament is not dissolved for 55 months, election expenses will be capped between the end of the 55-month period and the day a person becomes a candidate.</w:t>
      </w:r>
      <w:r w:rsidRPr="005C2179">
        <w:rPr>
          <w:rStyle w:val="FootnoteReference"/>
          <w:kern w:val="2"/>
          <w:sz w:val="20"/>
        </w:rPr>
        <w:footnoteReference w:id="390"/>
      </w:r>
      <w:r w:rsidRPr="005C2179">
        <w:rPr>
          <w:kern w:val="2"/>
          <w:sz w:val="20"/>
        </w:rPr>
        <w:t xml:space="preserve"> In other words, if an expense is incurred for something used during this pre-candidacy window, it will count toward the pre-candidacy spending limit. This window could last up to four months. In the 2015 general parliamentary election, spending during this period was limited to a base amount of ₤30,700 with a top up of 6p per elector.</w:t>
      </w:r>
      <w:r w:rsidRPr="005C2179">
        <w:rPr>
          <w:rStyle w:val="FootnoteReference"/>
          <w:kern w:val="2"/>
          <w:sz w:val="20"/>
        </w:rPr>
        <w:footnoteReference w:id="391"/>
      </w:r>
      <w:r w:rsidRPr="005C2179">
        <w:rPr>
          <w:kern w:val="2"/>
          <w:sz w:val="20"/>
        </w:rPr>
        <w:t xml:space="preserve"> The addition of this pre-candidacy limit in 2009 was presumably directed toward preventing the circumvention of pre-existing post-candidacy spending limits. </w:t>
      </w:r>
    </w:p>
    <w:p w14:paraId="62F81901" w14:textId="77777777" w:rsidR="00016158" w:rsidRPr="005C2179" w:rsidRDefault="00016158" w:rsidP="00016158">
      <w:pPr>
        <w:pStyle w:val="Heading4"/>
        <w:rPr>
          <w:kern w:val="2"/>
          <w:sz w:val="22"/>
        </w:rPr>
      </w:pPr>
      <w:r w:rsidRPr="005C2179">
        <w:rPr>
          <w:kern w:val="2"/>
          <w:sz w:val="22"/>
        </w:rPr>
        <w:t xml:space="preserve">Regulation of Contributions to Registered Parties and Candidates </w:t>
      </w:r>
    </w:p>
    <w:p w14:paraId="62E42456" w14:textId="77777777" w:rsidR="00016158" w:rsidRPr="005C2179" w:rsidRDefault="00016158" w:rsidP="00016158">
      <w:pPr>
        <w:rPr>
          <w:kern w:val="2"/>
          <w:sz w:val="20"/>
        </w:rPr>
      </w:pPr>
      <w:r w:rsidRPr="005C2179">
        <w:rPr>
          <w:kern w:val="2"/>
          <w:sz w:val="20"/>
        </w:rPr>
        <w:t xml:space="preserve">As mentioned above, contributions to candidates and political parties in the UK are subject to source restrictions and disclosure requirements, but the amount of each contribution is unlimited. The source restrictions and disclosure requirements apply to all donations to political parties, regardless of whether donations are specifically intended for the purpose of election campaigning, although disclosure is required more frequently during election periods. </w:t>
      </w:r>
    </w:p>
    <w:p w14:paraId="6552E370" w14:textId="77777777" w:rsidR="00016158" w:rsidRPr="005C2179" w:rsidRDefault="00016158" w:rsidP="00016158">
      <w:pPr>
        <w:rPr>
          <w:b/>
          <w:kern w:val="2"/>
          <w:sz w:val="20"/>
        </w:rPr>
      </w:pPr>
      <w:r w:rsidRPr="005C2179">
        <w:rPr>
          <w:b/>
          <w:kern w:val="2"/>
          <w:sz w:val="20"/>
        </w:rPr>
        <w:t>a) Definition of “Donation”</w:t>
      </w:r>
    </w:p>
    <w:p w14:paraId="37EC249E" w14:textId="77777777" w:rsidR="00016158" w:rsidRPr="005C2179" w:rsidRDefault="00016158" w:rsidP="00016158">
      <w:pPr>
        <w:pStyle w:val="ListParagraph"/>
        <w:numPr>
          <w:ilvl w:val="0"/>
          <w:numId w:val="41"/>
        </w:numPr>
        <w:rPr>
          <w:i/>
          <w:kern w:val="2"/>
          <w:sz w:val="20"/>
        </w:rPr>
      </w:pPr>
      <w:r w:rsidRPr="005C2179">
        <w:rPr>
          <w:kern w:val="2"/>
          <w:sz w:val="20"/>
        </w:rPr>
        <w:t xml:space="preserve">Definition of “donation” for parties: </w:t>
      </w:r>
      <w:r w:rsidRPr="005C2179">
        <w:rPr>
          <w:i/>
          <w:kern w:val="2"/>
          <w:sz w:val="20"/>
        </w:rPr>
        <w:t>PPERA</w:t>
      </w:r>
    </w:p>
    <w:p w14:paraId="79458E92" w14:textId="77777777" w:rsidR="00016158" w:rsidRPr="005C2179" w:rsidRDefault="00016158" w:rsidP="00016158">
      <w:pPr>
        <w:rPr>
          <w:kern w:val="2"/>
          <w:sz w:val="20"/>
        </w:rPr>
      </w:pPr>
      <w:r w:rsidRPr="005C2179">
        <w:rPr>
          <w:kern w:val="2"/>
          <w:sz w:val="20"/>
        </w:rPr>
        <w:t xml:space="preserve">“Donation” is defined in section 50(2) of </w:t>
      </w:r>
      <w:r w:rsidRPr="005C2179">
        <w:rPr>
          <w:i/>
          <w:kern w:val="2"/>
          <w:sz w:val="20"/>
        </w:rPr>
        <w:t>PPERA</w:t>
      </w:r>
      <w:r w:rsidRPr="005C2179">
        <w:rPr>
          <w:kern w:val="2"/>
          <w:sz w:val="20"/>
        </w:rPr>
        <w:t xml:space="preserve"> to include gifts of money or property; membership fees; payments of the party’s expenses by a third person; and the provision of property, services, or facilities “otherwise than on commercial terms.” “Sponsorship” is also included in the definition of “donation” and is defined in section 51 of</w:t>
      </w:r>
      <w:r w:rsidRPr="005C2179">
        <w:rPr>
          <w:i/>
          <w:kern w:val="2"/>
          <w:sz w:val="20"/>
        </w:rPr>
        <w:t xml:space="preserve"> PPERA</w:t>
      </w:r>
      <w:r w:rsidRPr="005C2179">
        <w:rPr>
          <w:kern w:val="2"/>
          <w:sz w:val="20"/>
        </w:rPr>
        <w:t xml:space="preserve"> as the transfer of money or property to the party to help the party meet expenses for events, research, or publications. Sponsorship does not, however, include the price of admission to events and payments to access party publications.</w:t>
      </w:r>
      <w:r w:rsidRPr="005C2179">
        <w:rPr>
          <w:rStyle w:val="FootnoteReference"/>
          <w:kern w:val="2"/>
          <w:sz w:val="20"/>
        </w:rPr>
        <w:footnoteReference w:id="392"/>
      </w:r>
      <w:r w:rsidRPr="005C2179">
        <w:rPr>
          <w:kern w:val="2"/>
          <w:sz w:val="20"/>
        </w:rPr>
        <w:t xml:space="preserve"> The definition of “donation” also excludes various things, such as the provision of volunteer services on one’s own time free of charge.</w:t>
      </w:r>
      <w:r w:rsidRPr="005C2179">
        <w:rPr>
          <w:rStyle w:val="FootnoteReference"/>
          <w:kern w:val="2"/>
          <w:sz w:val="20"/>
        </w:rPr>
        <w:footnoteReference w:id="393"/>
      </w:r>
      <w:r w:rsidRPr="005C2179">
        <w:rPr>
          <w:kern w:val="2"/>
          <w:sz w:val="20"/>
        </w:rPr>
        <w:t xml:space="preserve"> In addition, donations of ₤500 or less are excluded from the definition of “donation” and are therefore exempt from source restrictions and disclosure requirements.</w:t>
      </w:r>
      <w:r w:rsidRPr="005C2179">
        <w:rPr>
          <w:rStyle w:val="FootnoteReference"/>
          <w:kern w:val="2"/>
          <w:sz w:val="20"/>
        </w:rPr>
        <w:footnoteReference w:id="394"/>
      </w:r>
      <w:r w:rsidRPr="005C2179">
        <w:rPr>
          <w:kern w:val="2"/>
          <w:sz w:val="20"/>
        </w:rPr>
        <w:t xml:space="preserve"> </w:t>
      </w:r>
    </w:p>
    <w:p w14:paraId="7C7B7AAF" w14:textId="77777777" w:rsidR="00016158" w:rsidRPr="005C2179" w:rsidRDefault="00016158" w:rsidP="00016158">
      <w:pPr>
        <w:rPr>
          <w:kern w:val="2"/>
          <w:sz w:val="20"/>
        </w:rPr>
      </w:pPr>
      <w:r w:rsidRPr="005C2179">
        <w:rPr>
          <w:kern w:val="2"/>
          <w:sz w:val="20"/>
        </w:rPr>
        <w:t>Loans with a value over ₤500 are included within the regulatory scheme.</w:t>
      </w:r>
      <w:r w:rsidRPr="005C2179">
        <w:rPr>
          <w:rStyle w:val="FootnoteReference"/>
          <w:kern w:val="2"/>
          <w:sz w:val="20"/>
        </w:rPr>
        <w:footnoteReference w:id="395"/>
      </w:r>
      <w:r w:rsidRPr="005C2179">
        <w:rPr>
          <w:kern w:val="2"/>
          <w:sz w:val="20"/>
        </w:rPr>
        <w:t xml:space="preserve"> After the self-explanatory “loans for peerages” scandal of 2006, the </w:t>
      </w:r>
      <w:r w:rsidRPr="005C2179">
        <w:rPr>
          <w:i/>
          <w:kern w:val="2"/>
          <w:sz w:val="20"/>
        </w:rPr>
        <w:t xml:space="preserve">Election Administration Act 2006 </w:t>
      </w:r>
      <w:r w:rsidRPr="005C2179">
        <w:rPr>
          <w:kern w:val="2"/>
          <w:sz w:val="20"/>
        </w:rPr>
        <w:t xml:space="preserve">amended </w:t>
      </w:r>
      <w:r w:rsidRPr="005C2179">
        <w:rPr>
          <w:i/>
          <w:kern w:val="2"/>
          <w:sz w:val="20"/>
        </w:rPr>
        <w:t xml:space="preserve">PPERA </w:t>
      </w:r>
      <w:r w:rsidRPr="005C2179">
        <w:rPr>
          <w:kern w:val="2"/>
          <w:sz w:val="20"/>
        </w:rPr>
        <w:t>to ensure loans could not be used to circumvent source restrictions and disclosure requirements for donations.</w:t>
      </w:r>
      <w:r w:rsidRPr="005C2179">
        <w:rPr>
          <w:rStyle w:val="FootnoteReference"/>
          <w:kern w:val="2"/>
          <w:sz w:val="20"/>
        </w:rPr>
        <w:footnoteReference w:id="396"/>
      </w:r>
    </w:p>
    <w:p w14:paraId="281E9153" w14:textId="77777777" w:rsidR="00016158" w:rsidRPr="005C2179" w:rsidRDefault="00016158" w:rsidP="00016158">
      <w:pPr>
        <w:pStyle w:val="ListParagraph"/>
        <w:numPr>
          <w:ilvl w:val="0"/>
          <w:numId w:val="41"/>
        </w:numPr>
        <w:rPr>
          <w:i/>
          <w:kern w:val="2"/>
          <w:sz w:val="20"/>
        </w:rPr>
      </w:pPr>
      <w:r w:rsidRPr="005C2179">
        <w:rPr>
          <w:kern w:val="2"/>
          <w:sz w:val="20"/>
        </w:rPr>
        <w:t xml:space="preserve">Definition of “donation” for candidates: the </w:t>
      </w:r>
      <w:r w:rsidRPr="005C2179">
        <w:rPr>
          <w:i/>
          <w:kern w:val="2"/>
          <w:sz w:val="20"/>
        </w:rPr>
        <w:t>RPA</w:t>
      </w:r>
    </w:p>
    <w:p w14:paraId="37B9D978" w14:textId="77777777" w:rsidR="00016158" w:rsidRPr="005C2179" w:rsidRDefault="00016158" w:rsidP="00016158">
      <w:pPr>
        <w:rPr>
          <w:kern w:val="2"/>
          <w:sz w:val="20"/>
        </w:rPr>
      </w:pPr>
      <w:r w:rsidRPr="005C2179">
        <w:rPr>
          <w:kern w:val="2"/>
          <w:sz w:val="20"/>
        </w:rPr>
        <w:t xml:space="preserve">The definition of “donation” under the </w:t>
      </w:r>
      <w:r w:rsidRPr="005C2179">
        <w:rPr>
          <w:i/>
          <w:kern w:val="2"/>
          <w:sz w:val="20"/>
        </w:rPr>
        <w:t xml:space="preserve">RPA </w:t>
      </w:r>
      <w:r w:rsidRPr="005C2179">
        <w:rPr>
          <w:kern w:val="2"/>
          <w:sz w:val="20"/>
        </w:rPr>
        <w:t xml:space="preserve">is similar to the definition under </w:t>
      </w:r>
      <w:r w:rsidRPr="005C2179">
        <w:rPr>
          <w:i/>
          <w:kern w:val="2"/>
          <w:sz w:val="20"/>
        </w:rPr>
        <w:t>PPERA</w:t>
      </w:r>
      <w:r w:rsidRPr="005C2179">
        <w:rPr>
          <w:kern w:val="2"/>
          <w:sz w:val="20"/>
        </w:rPr>
        <w:t>. “Donation” is defined to include gifts; sponsorship; money lent on non-commercial terms; and the provision of property, services, or facilities on non-commercial terms.</w:t>
      </w:r>
      <w:r w:rsidRPr="005C2179">
        <w:rPr>
          <w:rStyle w:val="FootnoteReference"/>
          <w:kern w:val="2"/>
          <w:sz w:val="20"/>
        </w:rPr>
        <w:footnoteReference w:id="397"/>
      </w:r>
      <w:r w:rsidRPr="005C2179">
        <w:rPr>
          <w:kern w:val="2"/>
          <w:sz w:val="20"/>
        </w:rPr>
        <w:t xml:space="preserve"> Donations of ₤50 or less are excluded.</w:t>
      </w:r>
      <w:r w:rsidRPr="005C2179">
        <w:rPr>
          <w:rStyle w:val="FootnoteReference"/>
          <w:kern w:val="2"/>
          <w:sz w:val="20"/>
        </w:rPr>
        <w:footnoteReference w:id="398"/>
      </w:r>
      <w:r w:rsidRPr="005C2179">
        <w:rPr>
          <w:kern w:val="2"/>
          <w:sz w:val="20"/>
        </w:rPr>
        <w:t xml:space="preserve"> Volunteer services provided free of charge on the volunteer’s own time are also excluded.</w:t>
      </w:r>
      <w:r w:rsidRPr="005C2179">
        <w:rPr>
          <w:rStyle w:val="FootnoteReference"/>
          <w:kern w:val="2"/>
          <w:sz w:val="20"/>
        </w:rPr>
        <w:footnoteReference w:id="399"/>
      </w:r>
    </w:p>
    <w:p w14:paraId="6FD8B2E6" w14:textId="77777777" w:rsidR="00016158" w:rsidRPr="005C2179" w:rsidRDefault="00016158" w:rsidP="00016158">
      <w:pPr>
        <w:rPr>
          <w:b/>
          <w:kern w:val="2"/>
          <w:sz w:val="20"/>
        </w:rPr>
      </w:pPr>
      <w:r w:rsidRPr="005C2179">
        <w:rPr>
          <w:b/>
          <w:kern w:val="2"/>
          <w:sz w:val="20"/>
        </w:rPr>
        <w:t>b) Source Restrictions</w:t>
      </w:r>
    </w:p>
    <w:p w14:paraId="67540761" w14:textId="77777777" w:rsidR="00016158" w:rsidRPr="005C2179" w:rsidRDefault="00016158" w:rsidP="00016158">
      <w:pPr>
        <w:rPr>
          <w:kern w:val="2"/>
          <w:sz w:val="20"/>
        </w:rPr>
      </w:pPr>
      <w:r w:rsidRPr="005C2179">
        <w:rPr>
          <w:kern w:val="2"/>
          <w:sz w:val="20"/>
        </w:rPr>
        <w:t>Source restrictions are similar for candidates and registered parties.</w:t>
      </w:r>
      <w:r w:rsidRPr="005C2179">
        <w:rPr>
          <w:rStyle w:val="FootnoteReference"/>
          <w:kern w:val="2"/>
          <w:sz w:val="20"/>
        </w:rPr>
        <w:footnoteReference w:id="400"/>
      </w:r>
      <w:r w:rsidRPr="005C2179">
        <w:rPr>
          <w:kern w:val="2"/>
          <w:sz w:val="20"/>
        </w:rPr>
        <w:t xml:space="preserve"> As indicated by the definitions of “donation,” these restrictions are triggered by donations and loans over ₤500 for parties and by donations over ₤50 for candidates. Donations and loans over these thresholds must not come from anonymous or impermissible donors.</w:t>
      </w:r>
      <w:r w:rsidRPr="005C2179">
        <w:rPr>
          <w:rStyle w:val="FootnoteReference"/>
          <w:kern w:val="2"/>
          <w:sz w:val="20"/>
        </w:rPr>
        <w:footnoteReference w:id="401"/>
      </w:r>
      <w:r w:rsidRPr="005C2179">
        <w:rPr>
          <w:kern w:val="2"/>
          <w:sz w:val="20"/>
        </w:rPr>
        <w:t xml:space="preserve"> Permissible donors include individuals registered in the electoral register in the UK, companies and limited liability partnerships that carry on business in the UK, unincorporated associations that carry on their activities primarily in the UK and have their main office in the UK, and trade unions listed under UK legislation.</w:t>
      </w:r>
      <w:r w:rsidRPr="005C2179">
        <w:rPr>
          <w:rStyle w:val="FootnoteReference"/>
          <w:kern w:val="2"/>
          <w:sz w:val="20"/>
        </w:rPr>
        <w:footnoteReference w:id="402"/>
      </w:r>
      <w:r w:rsidRPr="005C2179">
        <w:rPr>
          <w:kern w:val="2"/>
          <w:sz w:val="20"/>
        </w:rPr>
        <w:t xml:space="preserve"> Charities are not allowed to make political donations.</w:t>
      </w:r>
      <w:r w:rsidRPr="005C2179">
        <w:rPr>
          <w:rStyle w:val="FootnoteReference"/>
          <w:kern w:val="2"/>
          <w:sz w:val="20"/>
        </w:rPr>
        <w:footnoteReference w:id="403"/>
      </w:r>
      <w:r w:rsidRPr="005C2179">
        <w:rPr>
          <w:kern w:val="2"/>
          <w:sz w:val="20"/>
        </w:rPr>
        <w:t xml:space="preserve"> An additional restriction applies to donations and loans to political parties. Individuals contributing or lending more than ₤7,500 to a registered party must be resident, ordinarily resident, and domiciled in the UK for tax purposes.</w:t>
      </w:r>
      <w:r w:rsidRPr="005C2179">
        <w:rPr>
          <w:rStyle w:val="FootnoteReference"/>
          <w:kern w:val="2"/>
          <w:sz w:val="20"/>
        </w:rPr>
        <w:footnoteReference w:id="404"/>
      </w:r>
      <w:r w:rsidRPr="005C2179">
        <w:rPr>
          <w:kern w:val="2"/>
          <w:sz w:val="20"/>
        </w:rPr>
        <w:t xml:space="preserve"> </w:t>
      </w:r>
    </w:p>
    <w:p w14:paraId="1DAC0EC0" w14:textId="77777777" w:rsidR="00016158" w:rsidRPr="005C2179" w:rsidRDefault="00016158" w:rsidP="00016158">
      <w:pPr>
        <w:rPr>
          <w:kern w:val="2"/>
          <w:sz w:val="20"/>
        </w:rPr>
      </w:pPr>
      <w:r w:rsidRPr="005C2179">
        <w:rPr>
          <w:kern w:val="2"/>
          <w:sz w:val="20"/>
        </w:rPr>
        <w:t>When accepting a donation from an unincorporated association, the Electoral Commission advises party officers to ascertain whether the association has an identifiable membership, a set of rules or a constitution, and a separate existence from its members.</w:t>
      </w:r>
      <w:r w:rsidRPr="005C2179">
        <w:rPr>
          <w:rStyle w:val="FootnoteReference"/>
          <w:kern w:val="2"/>
          <w:sz w:val="20"/>
        </w:rPr>
        <w:footnoteReference w:id="405"/>
      </w:r>
      <w:r w:rsidRPr="005C2179">
        <w:rPr>
          <w:kern w:val="2"/>
          <w:sz w:val="20"/>
        </w:rPr>
        <w:t xml:space="preserve"> If these criteria are met, the party officer may accept the donation without inquiring further into the identity of the individuals funding the association, even if those individuals might be impermissible donors. The party officer must simply record the association’s name and the address of its main office, in accordance with </w:t>
      </w:r>
      <w:r w:rsidRPr="005C2179">
        <w:rPr>
          <w:i/>
          <w:kern w:val="2"/>
          <w:sz w:val="20"/>
        </w:rPr>
        <w:t>PPERA’</w:t>
      </w:r>
      <w:r w:rsidRPr="005C2179">
        <w:rPr>
          <w:kern w:val="2"/>
          <w:sz w:val="20"/>
        </w:rPr>
        <w:t>s transparency requirements.</w:t>
      </w:r>
      <w:r w:rsidRPr="005C2179">
        <w:rPr>
          <w:rStyle w:val="FootnoteReference"/>
          <w:kern w:val="2"/>
          <w:sz w:val="20"/>
        </w:rPr>
        <w:footnoteReference w:id="406"/>
      </w:r>
      <w:r w:rsidRPr="005C2179">
        <w:rPr>
          <w:kern w:val="2"/>
          <w:sz w:val="20"/>
        </w:rPr>
        <w:t xml:space="preserve"> If the above criteria are not met, party officers are directed to “consider whether the donation is actually from individuals” within the association “or if someone within the association is acting as an agent for others.”</w:t>
      </w:r>
      <w:r w:rsidRPr="005C2179">
        <w:rPr>
          <w:rStyle w:val="FootnoteReference"/>
          <w:kern w:val="2"/>
          <w:sz w:val="20"/>
        </w:rPr>
        <w:footnoteReference w:id="407"/>
      </w:r>
      <w:r w:rsidRPr="005C2179">
        <w:rPr>
          <w:kern w:val="2"/>
          <w:sz w:val="20"/>
        </w:rPr>
        <w:t xml:space="preserve"> If so, the officer must ensure the individuals in question are permissible donors.</w:t>
      </w:r>
      <w:r w:rsidRPr="005C2179">
        <w:rPr>
          <w:rStyle w:val="FootnoteReference"/>
          <w:kern w:val="2"/>
          <w:sz w:val="20"/>
        </w:rPr>
        <w:footnoteReference w:id="408"/>
      </w:r>
      <w:r w:rsidRPr="005C2179">
        <w:rPr>
          <w:kern w:val="2"/>
          <w:sz w:val="20"/>
        </w:rPr>
        <w:t xml:space="preserve"> </w:t>
      </w:r>
    </w:p>
    <w:p w14:paraId="6CBE8E8D" w14:textId="77777777" w:rsidR="00016158" w:rsidRPr="005C2179" w:rsidRDefault="00016158" w:rsidP="00016158">
      <w:pPr>
        <w:rPr>
          <w:b/>
          <w:kern w:val="2"/>
          <w:sz w:val="20"/>
        </w:rPr>
      </w:pPr>
      <w:r w:rsidRPr="005C2179">
        <w:rPr>
          <w:b/>
          <w:kern w:val="2"/>
          <w:sz w:val="20"/>
        </w:rPr>
        <w:t>c) Disclosure Requirements</w:t>
      </w:r>
    </w:p>
    <w:p w14:paraId="656F96E7" w14:textId="77777777" w:rsidR="00016158" w:rsidRPr="005C2179" w:rsidRDefault="00016158" w:rsidP="00016158">
      <w:pPr>
        <w:rPr>
          <w:kern w:val="2"/>
          <w:sz w:val="20"/>
        </w:rPr>
      </w:pPr>
      <w:r w:rsidRPr="005C2179">
        <w:rPr>
          <w:kern w:val="2"/>
          <w:sz w:val="20"/>
        </w:rPr>
        <w:t xml:space="preserve">Donations and loans to registered parties, along with donations to candidates, are subject to disclosure requirements. These requirements will be discussed in </w:t>
      </w:r>
      <w:r w:rsidRPr="005C2179">
        <w:rPr>
          <w:kern w:val="2"/>
          <w:sz w:val="20"/>
          <w:highlight w:val="cyan"/>
        </w:rPr>
        <w:t>Section 9.2.1.3</w:t>
      </w:r>
      <w:r w:rsidRPr="005C2179">
        <w:rPr>
          <w:kern w:val="2"/>
          <w:sz w:val="20"/>
        </w:rPr>
        <w:t xml:space="preserve">, below, on transparency requirements. </w:t>
      </w:r>
    </w:p>
    <w:p w14:paraId="04FD1A7A" w14:textId="77777777" w:rsidR="00016158" w:rsidRPr="005C2179" w:rsidRDefault="00016158" w:rsidP="00016158">
      <w:pPr>
        <w:pStyle w:val="Heading4"/>
        <w:rPr>
          <w:kern w:val="2"/>
          <w:sz w:val="22"/>
        </w:rPr>
      </w:pPr>
      <w:r w:rsidRPr="005C2179">
        <w:rPr>
          <w:kern w:val="2"/>
          <w:sz w:val="22"/>
        </w:rPr>
        <w:t>Transparency Requirements for Registered Parties and Candidates</w:t>
      </w:r>
    </w:p>
    <w:p w14:paraId="7CED65C6" w14:textId="77777777" w:rsidR="00016158" w:rsidRPr="005C2179" w:rsidRDefault="00016158" w:rsidP="00016158">
      <w:pPr>
        <w:rPr>
          <w:b/>
          <w:kern w:val="2"/>
          <w:sz w:val="20"/>
        </w:rPr>
      </w:pPr>
      <w:r w:rsidRPr="005C2179">
        <w:rPr>
          <w:b/>
          <w:kern w:val="2"/>
          <w:sz w:val="20"/>
        </w:rPr>
        <w:t>a) Registered Parties</w:t>
      </w:r>
    </w:p>
    <w:p w14:paraId="3A666A9F" w14:textId="77777777" w:rsidR="00016158" w:rsidRPr="005C2179" w:rsidRDefault="00016158" w:rsidP="00016158">
      <w:pPr>
        <w:rPr>
          <w:kern w:val="2"/>
          <w:sz w:val="20"/>
        </w:rPr>
      </w:pPr>
      <w:r w:rsidRPr="005C2179">
        <w:rPr>
          <w:kern w:val="2"/>
          <w:sz w:val="20"/>
        </w:rPr>
        <w:t>The treasurer of a registered party must submit a campaign expenditure return to the Electoral Commission within six months after a general election.</w:t>
      </w:r>
      <w:r w:rsidRPr="005C2179">
        <w:rPr>
          <w:rStyle w:val="FootnoteReference"/>
          <w:kern w:val="2"/>
          <w:sz w:val="20"/>
        </w:rPr>
        <w:footnoteReference w:id="409"/>
      </w:r>
      <w:r w:rsidRPr="005C2179">
        <w:rPr>
          <w:kern w:val="2"/>
          <w:sz w:val="20"/>
        </w:rPr>
        <w:t xml:space="preserve"> The report must contain all campaign expenditures in the 365 days before the election, along with supporting invoices and receipts.</w:t>
      </w:r>
      <w:r w:rsidRPr="005C2179">
        <w:rPr>
          <w:rStyle w:val="FootnoteReference"/>
          <w:kern w:val="2"/>
          <w:sz w:val="20"/>
        </w:rPr>
        <w:footnoteReference w:id="410"/>
      </w:r>
      <w:r w:rsidRPr="005C2179">
        <w:rPr>
          <w:kern w:val="2"/>
          <w:sz w:val="20"/>
        </w:rPr>
        <w:t xml:space="preserve"> The treasurer must also submit a declaration that the return is complete and correct and, if the party’s campaign expenditure exceeds ₤250,000, an auditor’s report.</w:t>
      </w:r>
      <w:r w:rsidRPr="005C2179">
        <w:rPr>
          <w:rStyle w:val="FootnoteReference"/>
          <w:kern w:val="2"/>
          <w:sz w:val="20"/>
        </w:rPr>
        <w:footnoteReference w:id="411"/>
      </w:r>
      <w:r w:rsidRPr="005C2179">
        <w:rPr>
          <w:kern w:val="2"/>
          <w:sz w:val="20"/>
        </w:rPr>
        <w:t xml:space="preserve"> The Electoral Commission must make the campaign expenditure returns available for public inspection “as soon as reasonably practicable,” but may destroy returns two years after receiving them.</w:t>
      </w:r>
      <w:r w:rsidRPr="005C2179">
        <w:rPr>
          <w:rStyle w:val="FootnoteReference"/>
          <w:kern w:val="2"/>
          <w:sz w:val="20"/>
        </w:rPr>
        <w:footnoteReference w:id="412"/>
      </w:r>
      <w:r w:rsidRPr="005C2179">
        <w:rPr>
          <w:kern w:val="2"/>
          <w:sz w:val="20"/>
        </w:rPr>
        <w:t xml:space="preserve"> </w:t>
      </w:r>
    </w:p>
    <w:p w14:paraId="06151BD3" w14:textId="77777777" w:rsidR="00016158" w:rsidRPr="005C2179" w:rsidRDefault="00016158" w:rsidP="00016158">
      <w:pPr>
        <w:rPr>
          <w:kern w:val="2"/>
          <w:sz w:val="20"/>
        </w:rPr>
      </w:pPr>
      <w:r w:rsidRPr="005C2179">
        <w:rPr>
          <w:kern w:val="2"/>
          <w:sz w:val="20"/>
        </w:rPr>
        <w:t>Party treasurers must also submit quarterly donation reports.</w:t>
      </w:r>
      <w:r w:rsidRPr="005C2179">
        <w:rPr>
          <w:rStyle w:val="FootnoteReference"/>
          <w:kern w:val="2"/>
          <w:sz w:val="20"/>
        </w:rPr>
        <w:footnoteReference w:id="413"/>
      </w:r>
      <w:r w:rsidRPr="005C2179">
        <w:rPr>
          <w:kern w:val="2"/>
          <w:sz w:val="20"/>
        </w:rPr>
        <w:t xml:space="preserve"> As mentioned above, only contributions over ₤500 meet the definition of “donation” and only loans of a value of over ₤500 count as regulated transactions under </w:t>
      </w:r>
      <w:r w:rsidRPr="005C2179">
        <w:rPr>
          <w:i/>
          <w:kern w:val="2"/>
          <w:sz w:val="20"/>
        </w:rPr>
        <w:t>PPERA</w:t>
      </w:r>
      <w:r w:rsidRPr="005C2179">
        <w:rPr>
          <w:kern w:val="2"/>
          <w:sz w:val="20"/>
        </w:rPr>
        <w:t>. Donation reports must include donations or loans over ₤7,500, donations or loans from the same source that add up to ₤7,500 in a calendar year, and donations or loans over ₤1,500 that come from a source already reported in that year.</w:t>
      </w:r>
      <w:r w:rsidRPr="005C2179">
        <w:rPr>
          <w:rStyle w:val="FootnoteReference"/>
          <w:kern w:val="2"/>
          <w:sz w:val="20"/>
        </w:rPr>
        <w:footnoteReference w:id="414"/>
      </w:r>
      <w:r w:rsidRPr="005C2179">
        <w:rPr>
          <w:kern w:val="2"/>
          <w:sz w:val="20"/>
        </w:rPr>
        <w:t xml:space="preserve"> Further, the treasurer must include donations or loans over ₤1,500 to the party’s accounting units, or constituency-level branches.</w:t>
      </w:r>
      <w:r w:rsidRPr="005C2179">
        <w:rPr>
          <w:rStyle w:val="FootnoteReference"/>
          <w:kern w:val="2"/>
          <w:sz w:val="20"/>
        </w:rPr>
        <w:footnoteReference w:id="415"/>
      </w:r>
      <w:r w:rsidRPr="005C2179">
        <w:rPr>
          <w:kern w:val="2"/>
          <w:sz w:val="20"/>
        </w:rPr>
        <w:t xml:space="preserve"> If one person makes several donations to different branches of the party, the donations will be treated as a donation to the central party and must be reported if over ₤7,500 in the aggregate.</w:t>
      </w:r>
      <w:r w:rsidRPr="005C2179">
        <w:rPr>
          <w:rStyle w:val="FootnoteReference"/>
          <w:kern w:val="2"/>
          <w:sz w:val="20"/>
        </w:rPr>
        <w:footnoteReference w:id="416"/>
      </w:r>
      <w:r w:rsidRPr="005C2179">
        <w:rPr>
          <w:kern w:val="2"/>
          <w:sz w:val="20"/>
        </w:rPr>
        <w:t xml:space="preserve"> Reports must include information about the donor or lender, such as name and address.</w:t>
      </w:r>
      <w:r w:rsidRPr="005C2179">
        <w:rPr>
          <w:rStyle w:val="FootnoteReference"/>
          <w:kern w:val="2"/>
          <w:sz w:val="20"/>
        </w:rPr>
        <w:footnoteReference w:id="417"/>
      </w:r>
      <w:r w:rsidRPr="005C2179">
        <w:rPr>
          <w:kern w:val="2"/>
          <w:sz w:val="20"/>
        </w:rPr>
        <w:t xml:space="preserve"> During a general election, these reports must be submitted weekly.</w:t>
      </w:r>
      <w:r w:rsidRPr="005C2179">
        <w:rPr>
          <w:rStyle w:val="FootnoteReference"/>
          <w:kern w:val="2"/>
          <w:sz w:val="20"/>
        </w:rPr>
        <w:footnoteReference w:id="418"/>
      </w:r>
      <w:r w:rsidRPr="005C2179">
        <w:rPr>
          <w:kern w:val="2"/>
          <w:sz w:val="20"/>
        </w:rPr>
        <w:t xml:space="preserve"> If there is nothing to report, the treasurer must submit a nil return.</w:t>
      </w:r>
      <w:r w:rsidRPr="005C2179">
        <w:rPr>
          <w:rStyle w:val="FootnoteReference"/>
          <w:kern w:val="2"/>
          <w:sz w:val="20"/>
        </w:rPr>
        <w:footnoteReference w:id="419"/>
      </w:r>
      <w:r w:rsidRPr="005C2179">
        <w:rPr>
          <w:kern w:val="2"/>
          <w:sz w:val="20"/>
        </w:rPr>
        <w:t xml:space="preserve"> The Electoral Commission maintains a register of donations and loans reported under </w:t>
      </w:r>
      <w:r w:rsidRPr="005C2179">
        <w:rPr>
          <w:i/>
          <w:kern w:val="2"/>
          <w:sz w:val="20"/>
        </w:rPr>
        <w:t xml:space="preserve">PPERA, </w:t>
      </w:r>
      <w:r w:rsidRPr="005C2179">
        <w:rPr>
          <w:kern w:val="2"/>
          <w:sz w:val="20"/>
        </w:rPr>
        <w:t>which must include the amount and source of each donation or loan.</w:t>
      </w:r>
      <w:r w:rsidRPr="005C2179">
        <w:rPr>
          <w:rStyle w:val="FootnoteReference"/>
          <w:kern w:val="2"/>
          <w:sz w:val="20"/>
        </w:rPr>
        <w:footnoteReference w:id="420"/>
      </w:r>
      <w:r w:rsidRPr="005C2179">
        <w:rPr>
          <w:kern w:val="2"/>
          <w:sz w:val="20"/>
        </w:rPr>
        <w:t xml:space="preserve"> Donations are to be entered into the register “as soon as reasonably practicable.”</w:t>
      </w:r>
      <w:r w:rsidRPr="005C2179">
        <w:rPr>
          <w:rStyle w:val="FootnoteReference"/>
          <w:kern w:val="2"/>
          <w:sz w:val="20"/>
        </w:rPr>
        <w:footnoteReference w:id="421"/>
      </w:r>
      <w:r w:rsidRPr="005C2179">
        <w:rPr>
          <w:kern w:val="2"/>
          <w:sz w:val="20"/>
        </w:rPr>
        <w:t xml:space="preserve"> </w:t>
      </w:r>
    </w:p>
    <w:p w14:paraId="72D91AC2" w14:textId="77777777" w:rsidR="00016158" w:rsidRPr="005C2179" w:rsidRDefault="00016158" w:rsidP="00A14DF7">
      <w:pPr>
        <w:keepNext/>
        <w:rPr>
          <w:b/>
          <w:kern w:val="2"/>
          <w:sz w:val="20"/>
        </w:rPr>
      </w:pPr>
      <w:r w:rsidRPr="005C2179">
        <w:rPr>
          <w:b/>
          <w:kern w:val="2"/>
          <w:sz w:val="20"/>
        </w:rPr>
        <w:t xml:space="preserve">b) Candidates </w:t>
      </w:r>
    </w:p>
    <w:p w14:paraId="0DE46BA8" w14:textId="77777777" w:rsidR="00016158" w:rsidRPr="005C2179" w:rsidRDefault="00016158" w:rsidP="00016158">
      <w:pPr>
        <w:rPr>
          <w:kern w:val="2"/>
          <w:sz w:val="20"/>
        </w:rPr>
      </w:pPr>
      <w:r w:rsidRPr="005C2179">
        <w:rPr>
          <w:kern w:val="2"/>
          <w:sz w:val="20"/>
        </w:rPr>
        <w:t>Candidates must submit a spending return within 35 days after the election result is declared.</w:t>
      </w:r>
      <w:r w:rsidRPr="005C2179">
        <w:rPr>
          <w:rStyle w:val="FootnoteReference"/>
          <w:kern w:val="2"/>
          <w:sz w:val="20"/>
        </w:rPr>
        <w:footnoteReference w:id="422"/>
      </w:r>
      <w:r w:rsidRPr="005C2179">
        <w:rPr>
          <w:kern w:val="2"/>
          <w:sz w:val="20"/>
        </w:rPr>
        <w:t xml:space="preserve"> The return must include all election expenses incurred and payments made, along with a statement of the amount of money provided from the candidate’s own resources to cover election expenses.</w:t>
      </w:r>
      <w:r w:rsidRPr="005C2179">
        <w:rPr>
          <w:rStyle w:val="FootnoteReference"/>
          <w:kern w:val="2"/>
          <w:sz w:val="20"/>
        </w:rPr>
        <w:footnoteReference w:id="423"/>
      </w:r>
      <w:r w:rsidRPr="005C2179">
        <w:rPr>
          <w:kern w:val="2"/>
          <w:sz w:val="20"/>
        </w:rPr>
        <w:t xml:space="preserve"> Even if the candidate has incurred no election expenses, they must submit a nil return.</w:t>
      </w:r>
      <w:r w:rsidRPr="005C2179">
        <w:rPr>
          <w:rStyle w:val="FootnoteReference"/>
          <w:kern w:val="2"/>
          <w:sz w:val="20"/>
        </w:rPr>
        <w:footnoteReference w:id="424"/>
      </w:r>
      <w:r w:rsidRPr="005C2179">
        <w:rPr>
          <w:kern w:val="2"/>
          <w:sz w:val="20"/>
        </w:rPr>
        <w:t xml:space="preserve"> The return must also list donations received and information about the donations, such as the date of acceptance, the amount of the donation, and the name and address of the donor.</w:t>
      </w:r>
      <w:r w:rsidRPr="005C2179">
        <w:rPr>
          <w:rStyle w:val="FootnoteReference"/>
          <w:kern w:val="2"/>
          <w:sz w:val="20"/>
        </w:rPr>
        <w:footnoteReference w:id="425"/>
      </w:r>
      <w:r w:rsidRPr="005C2179">
        <w:rPr>
          <w:kern w:val="2"/>
          <w:sz w:val="20"/>
        </w:rPr>
        <w:t xml:space="preserve"> As noted above, these requirements only apply to donations over ₤50, as donations under this threshold do not meet the definition of “donation” in the </w:t>
      </w:r>
      <w:r w:rsidRPr="005C2179">
        <w:rPr>
          <w:i/>
          <w:kern w:val="2"/>
          <w:sz w:val="20"/>
        </w:rPr>
        <w:t>RPA</w:t>
      </w:r>
      <w:r w:rsidRPr="005C2179">
        <w:rPr>
          <w:kern w:val="2"/>
          <w:sz w:val="20"/>
        </w:rPr>
        <w:t>.</w:t>
      </w:r>
      <w:r w:rsidRPr="005C2179">
        <w:rPr>
          <w:rStyle w:val="FootnoteReference"/>
          <w:kern w:val="2"/>
          <w:sz w:val="20"/>
        </w:rPr>
        <w:footnoteReference w:id="426"/>
      </w:r>
      <w:r w:rsidRPr="005C2179">
        <w:rPr>
          <w:kern w:val="2"/>
          <w:sz w:val="20"/>
        </w:rPr>
        <w:t xml:space="preserve"> If a candidate fails to deliver their return on time and is a Member of Parliament, the candidate is prohibited from sitting or voting in the House of Commons until delivery is complete.</w:t>
      </w:r>
      <w:r w:rsidRPr="005C2179">
        <w:rPr>
          <w:rStyle w:val="FootnoteReference"/>
          <w:kern w:val="2"/>
          <w:sz w:val="20"/>
        </w:rPr>
        <w:footnoteReference w:id="427"/>
      </w:r>
      <w:r w:rsidRPr="005C2179">
        <w:rPr>
          <w:kern w:val="2"/>
          <w:sz w:val="20"/>
        </w:rPr>
        <w:t xml:space="preserve"> The </w:t>
      </w:r>
      <w:r w:rsidRPr="005C2179">
        <w:rPr>
          <w:i/>
          <w:kern w:val="2"/>
          <w:sz w:val="20"/>
        </w:rPr>
        <w:t xml:space="preserve">RPA </w:t>
      </w:r>
      <w:r w:rsidRPr="005C2179">
        <w:rPr>
          <w:kern w:val="2"/>
          <w:sz w:val="20"/>
        </w:rPr>
        <w:t>also requires a candidate’s donation returns to be published in at least two newspapers in their constituency.</w:t>
      </w:r>
      <w:r w:rsidRPr="005C2179">
        <w:rPr>
          <w:rStyle w:val="FootnoteReference"/>
          <w:kern w:val="2"/>
          <w:sz w:val="20"/>
        </w:rPr>
        <w:footnoteReference w:id="428"/>
      </w:r>
    </w:p>
    <w:p w14:paraId="0F02C428" w14:textId="77777777" w:rsidR="00016158" w:rsidRPr="005C2179" w:rsidRDefault="00016158" w:rsidP="00016158">
      <w:pPr>
        <w:pStyle w:val="Heading3"/>
        <w:rPr>
          <w:kern w:val="2"/>
          <w:sz w:val="22"/>
        </w:rPr>
      </w:pPr>
      <w:r w:rsidRPr="005C2179">
        <w:rPr>
          <w:kern w:val="2"/>
          <w:sz w:val="22"/>
        </w:rPr>
        <w:t xml:space="preserve">Public Funding of Election Campaigns in the UK </w:t>
      </w:r>
    </w:p>
    <w:p w14:paraId="782BE7E1" w14:textId="77777777" w:rsidR="00016158" w:rsidRPr="005C2179" w:rsidRDefault="00016158" w:rsidP="00016158">
      <w:pPr>
        <w:rPr>
          <w:kern w:val="2"/>
          <w:sz w:val="20"/>
        </w:rPr>
      </w:pPr>
      <w:r w:rsidRPr="005C2179">
        <w:rPr>
          <w:kern w:val="2"/>
          <w:sz w:val="20"/>
        </w:rPr>
        <w:t>The UK’s campaign finance regime provides little in the way of public funding for parties or candidates. There are no tax credits for political donations and no reimbursements or allowances. Fisher notes that a tradition of “voluntarism as the basis for party finance” may explain the absence of robust public funding for election campaigns in the UK.</w:t>
      </w:r>
      <w:r w:rsidRPr="005C2179">
        <w:rPr>
          <w:rStyle w:val="FootnoteReference"/>
          <w:kern w:val="2"/>
          <w:sz w:val="20"/>
        </w:rPr>
        <w:footnoteReference w:id="429"/>
      </w:r>
      <w:r w:rsidRPr="005C2179">
        <w:rPr>
          <w:kern w:val="2"/>
          <w:sz w:val="20"/>
        </w:rPr>
        <w:t xml:space="preserve"> </w:t>
      </w:r>
    </w:p>
    <w:p w14:paraId="476B892A" w14:textId="77777777" w:rsidR="00016158" w:rsidRPr="005C2179" w:rsidRDefault="00016158" w:rsidP="00016158">
      <w:pPr>
        <w:keepNext/>
        <w:rPr>
          <w:b/>
          <w:kern w:val="2"/>
          <w:sz w:val="20"/>
        </w:rPr>
      </w:pPr>
      <w:r w:rsidRPr="005C2179">
        <w:rPr>
          <w:b/>
          <w:kern w:val="2"/>
          <w:sz w:val="20"/>
        </w:rPr>
        <w:t>a) Policy Development Grants</w:t>
      </w:r>
    </w:p>
    <w:p w14:paraId="0379F5CA" w14:textId="77777777" w:rsidR="00016158" w:rsidRPr="005C2179" w:rsidRDefault="00016158" w:rsidP="00016158">
      <w:pPr>
        <w:rPr>
          <w:kern w:val="2"/>
          <w:sz w:val="20"/>
        </w:rPr>
      </w:pPr>
      <w:r w:rsidRPr="005C2179">
        <w:rPr>
          <w:kern w:val="2"/>
          <w:sz w:val="20"/>
        </w:rPr>
        <w:t>Policy development grants for political parties are intended to help fund long-term research, thus encouraging parties to become a source of ideas in politics, not just electoral campaigning machines.</w:t>
      </w:r>
      <w:r w:rsidRPr="005C2179">
        <w:rPr>
          <w:rStyle w:val="FootnoteReference"/>
          <w:kern w:val="2"/>
          <w:sz w:val="20"/>
        </w:rPr>
        <w:footnoteReference w:id="430"/>
      </w:r>
      <w:r w:rsidRPr="005C2179">
        <w:rPr>
          <w:kern w:val="2"/>
          <w:sz w:val="20"/>
        </w:rPr>
        <w:t xml:space="preserve"> The Electoral Commission is not authorized to make more than ₤2 million in policy grants per year.</w:t>
      </w:r>
      <w:r w:rsidRPr="005C2179">
        <w:rPr>
          <w:rStyle w:val="FootnoteReference"/>
          <w:kern w:val="2"/>
          <w:sz w:val="20"/>
        </w:rPr>
        <w:footnoteReference w:id="431"/>
      </w:r>
      <w:r w:rsidRPr="005C2179">
        <w:rPr>
          <w:kern w:val="2"/>
          <w:sz w:val="20"/>
        </w:rPr>
        <w:t xml:space="preserve"> </w:t>
      </w:r>
    </w:p>
    <w:p w14:paraId="78D6FE93" w14:textId="77777777" w:rsidR="00016158" w:rsidRPr="005C2179" w:rsidRDefault="00016158" w:rsidP="00016158">
      <w:pPr>
        <w:rPr>
          <w:b/>
          <w:kern w:val="2"/>
          <w:sz w:val="20"/>
        </w:rPr>
      </w:pPr>
      <w:r w:rsidRPr="005C2179">
        <w:rPr>
          <w:b/>
          <w:kern w:val="2"/>
          <w:sz w:val="20"/>
        </w:rPr>
        <w:t xml:space="preserve">b) Broadcasting Regulations </w:t>
      </w:r>
    </w:p>
    <w:p w14:paraId="6AF15672" w14:textId="77777777" w:rsidR="00016158" w:rsidRPr="005C2179" w:rsidRDefault="00016158" w:rsidP="00016158">
      <w:pPr>
        <w:rPr>
          <w:color w:val="C00000"/>
          <w:kern w:val="2"/>
          <w:sz w:val="20"/>
        </w:rPr>
      </w:pPr>
      <w:r w:rsidRPr="005C2179">
        <w:rPr>
          <w:kern w:val="2"/>
          <w:sz w:val="20"/>
        </w:rPr>
        <w:t xml:space="preserve">The </w:t>
      </w:r>
      <w:r w:rsidRPr="005C2179">
        <w:rPr>
          <w:i/>
          <w:kern w:val="2"/>
          <w:sz w:val="20"/>
        </w:rPr>
        <w:t xml:space="preserve">Communications Act 2003 </w:t>
      </w:r>
      <w:r w:rsidRPr="005C2179">
        <w:rPr>
          <w:kern w:val="2"/>
          <w:sz w:val="20"/>
        </w:rPr>
        <w:t>prohibits paid political advertising on television and radio and requires broadcasters to provide free airtime to registered political parties for political and campaign broadcasts.</w:t>
      </w:r>
      <w:r w:rsidRPr="005C2179">
        <w:rPr>
          <w:rStyle w:val="FootnoteReference"/>
          <w:kern w:val="2"/>
          <w:sz w:val="20"/>
        </w:rPr>
        <w:footnoteReference w:id="432"/>
      </w:r>
      <w:r w:rsidRPr="005C2179">
        <w:rPr>
          <w:kern w:val="2"/>
          <w:sz w:val="20"/>
        </w:rPr>
        <w:t xml:space="preserve"> Licensed broadcasters must allocate political broadcasting time in accordance with the minimum requirements set out by Ofcom, the UK’s communications regulator.</w:t>
      </w:r>
      <w:r w:rsidRPr="005C2179">
        <w:rPr>
          <w:rStyle w:val="FootnoteReference"/>
          <w:kern w:val="2"/>
          <w:sz w:val="20"/>
        </w:rPr>
        <w:footnoteReference w:id="433"/>
      </w:r>
      <w:r w:rsidRPr="005C2179">
        <w:rPr>
          <w:kern w:val="2"/>
          <w:sz w:val="20"/>
        </w:rPr>
        <w:t xml:space="preserve"> As long as these minimum requirements are met, broadcasters have discretion to set their own rules on the length, frequency, allocation, and scheduling of political broadcasts.</w:t>
      </w:r>
      <w:r w:rsidRPr="005C2179">
        <w:rPr>
          <w:rStyle w:val="FootnoteReference"/>
          <w:kern w:val="2"/>
          <w:sz w:val="20"/>
        </w:rPr>
        <w:footnoteReference w:id="434"/>
      </w:r>
      <w:r w:rsidRPr="005C2179">
        <w:rPr>
          <w:kern w:val="2"/>
          <w:sz w:val="20"/>
        </w:rPr>
        <w:t xml:space="preserve"> </w:t>
      </w:r>
    </w:p>
    <w:p w14:paraId="478E35CB" w14:textId="77777777" w:rsidR="00016158" w:rsidRPr="005C2179" w:rsidRDefault="00016158" w:rsidP="00016158">
      <w:pPr>
        <w:rPr>
          <w:kern w:val="2"/>
          <w:sz w:val="20"/>
        </w:rPr>
      </w:pPr>
      <w:r w:rsidRPr="005C2179">
        <w:rPr>
          <w:kern w:val="2"/>
          <w:sz w:val="20"/>
        </w:rPr>
        <w:t xml:space="preserve">Under section 321(2) of the </w:t>
      </w:r>
      <w:r w:rsidRPr="005C2179">
        <w:rPr>
          <w:i/>
          <w:kern w:val="2"/>
          <w:sz w:val="20"/>
        </w:rPr>
        <w:t>Communications Act 2003</w:t>
      </w:r>
      <w:r w:rsidRPr="005C2179">
        <w:rPr>
          <w:kern w:val="2"/>
          <w:sz w:val="20"/>
        </w:rPr>
        <w:t>, an advertisement will contravene the prohibition on paid political advertising if it is inserted by a body whose objects are wholly or mainly of a political nature or if it is directed towards a political end. Objects of a political nature and political ends include attempts to influence the outcome of elections or referendums, among other non-election-related purposes.</w:t>
      </w:r>
      <w:r w:rsidRPr="005C2179">
        <w:rPr>
          <w:rStyle w:val="FootnoteReference"/>
          <w:kern w:val="2"/>
          <w:sz w:val="20"/>
        </w:rPr>
        <w:footnoteReference w:id="435"/>
      </w:r>
      <w:r w:rsidRPr="005C2179">
        <w:rPr>
          <w:kern w:val="2"/>
          <w:sz w:val="20"/>
        </w:rPr>
        <w:t xml:space="preserve"> </w:t>
      </w:r>
    </w:p>
    <w:p w14:paraId="35B2999E" w14:textId="77777777" w:rsidR="00016158" w:rsidRPr="005C2179" w:rsidRDefault="00016158" w:rsidP="00016158">
      <w:pPr>
        <w:rPr>
          <w:kern w:val="2"/>
          <w:sz w:val="20"/>
        </w:rPr>
      </w:pPr>
      <w:r w:rsidRPr="005C2179">
        <w:rPr>
          <w:kern w:val="2"/>
          <w:sz w:val="20"/>
        </w:rPr>
        <w:t>The regulation of political broadcasting is motivated by the “fear of the societal consequences of unbridled private control of an especially potent form of communication,” although the potency of television and radio is arguably being diluted by other media.</w:t>
      </w:r>
      <w:r w:rsidRPr="005C2179">
        <w:rPr>
          <w:rStyle w:val="FootnoteReference"/>
          <w:kern w:val="2"/>
          <w:sz w:val="20"/>
        </w:rPr>
        <w:footnoteReference w:id="436"/>
      </w:r>
      <w:r w:rsidRPr="005C2179">
        <w:rPr>
          <w:kern w:val="2"/>
          <w:sz w:val="20"/>
        </w:rPr>
        <w:t xml:space="preserve"> The prohibition on paid political broadcasting is also aimed at reducing demand for campaign funds among political parties and candidates, which theoretically helps to address corruption, equality, and fairness concerns. </w:t>
      </w:r>
    </w:p>
    <w:p w14:paraId="1FBC1951" w14:textId="77777777" w:rsidR="00016158" w:rsidRPr="005C2179" w:rsidRDefault="00016158" w:rsidP="00016158">
      <w:pPr>
        <w:rPr>
          <w:kern w:val="2"/>
          <w:sz w:val="20"/>
        </w:rPr>
      </w:pPr>
      <w:r w:rsidRPr="005C2179">
        <w:rPr>
          <w:kern w:val="2"/>
          <w:sz w:val="20"/>
        </w:rPr>
        <w:t xml:space="preserve">As discussed above, the European Court of Human Rights upheld the ban on paid political advertising in </w:t>
      </w:r>
      <w:r w:rsidRPr="005C2179">
        <w:rPr>
          <w:i/>
          <w:kern w:val="2"/>
          <w:sz w:val="20"/>
        </w:rPr>
        <w:t>Animal Defenders International v the United Kingdom</w:t>
      </w:r>
      <w:r w:rsidRPr="005C2179">
        <w:rPr>
          <w:kern w:val="2"/>
          <w:sz w:val="20"/>
        </w:rPr>
        <w:t>.</w:t>
      </w:r>
      <w:r w:rsidRPr="005C2179">
        <w:rPr>
          <w:rStyle w:val="FootnoteReference"/>
          <w:kern w:val="2"/>
          <w:sz w:val="20"/>
        </w:rPr>
        <w:footnoteReference w:id="437"/>
      </w:r>
      <w:r w:rsidRPr="005C2179">
        <w:rPr>
          <w:kern w:val="2"/>
          <w:sz w:val="20"/>
        </w:rPr>
        <w:t xml:space="preserve"> A “strong cultural antipathy to political advertising” in the UK also supports the continuing existence of the ban.</w:t>
      </w:r>
      <w:r w:rsidRPr="005C2179">
        <w:rPr>
          <w:rStyle w:val="FootnoteReference"/>
          <w:kern w:val="2"/>
          <w:sz w:val="20"/>
        </w:rPr>
        <w:footnoteReference w:id="438"/>
      </w:r>
      <w:r w:rsidRPr="005C2179">
        <w:rPr>
          <w:kern w:val="2"/>
          <w:sz w:val="20"/>
        </w:rPr>
        <w:t xml:space="preserve"> </w:t>
      </w:r>
    </w:p>
    <w:p w14:paraId="0E2406E1" w14:textId="77777777" w:rsidR="00016158" w:rsidRPr="005C2179" w:rsidRDefault="00016158" w:rsidP="00016158">
      <w:pPr>
        <w:pStyle w:val="Heading3"/>
        <w:rPr>
          <w:kern w:val="2"/>
          <w:sz w:val="22"/>
        </w:rPr>
      </w:pPr>
      <w:r w:rsidRPr="005C2179">
        <w:rPr>
          <w:kern w:val="2"/>
          <w:sz w:val="22"/>
        </w:rPr>
        <w:t>Regulation of Third-Party Campaign Financing in the UK</w:t>
      </w:r>
    </w:p>
    <w:p w14:paraId="1728A009" w14:textId="77777777" w:rsidR="00016158" w:rsidRPr="005C2179" w:rsidRDefault="00016158" w:rsidP="00016158">
      <w:pPr>
        <w:rPr>
          <w:kern w:val="2"/>
          <w:sz w:val="20"/>
        </w:rPr>
      </w:pPr>
      <w:r w:rsidRPr="005C2179">
        <w:rPr>
          <w:kern w:val="2"/>
          <w:sz w:val="20"/>
        </w:rPr>
        <w:t xml:space="preserve">The </w:t>
      </w:r>
      <w:r w:rsidRPr="005C2179">
        <w:rPr>
          <w:i/>
          <w:kern w:val="2"/>
          <w:sz w:val="20"/>
        </w:rPr>
        <w:t xml:space="preserve">RPA </w:t>
      </w:r>
      <w:r w:rsidRPr="005C2179">
        <w:rPr>
          <w:kern w:val="2"/>
          <w:sz w:val="20"/>
        </w:rPr>
        <w:t>governs third-party campaigns in relation to candidates in a particular constituency</w:t>
      </w:r>
      <w:r w:rsidRPr="005C2179">
        <w:rPr>
          <w:i/>
          <w:kern w:val="2"/>
          <w:sz w:val="20"/>
        </w:rPr>
        <w:t xml:space="preserve">. </w:t>
      </w:r>
      <w:r w:rsidRPr="005C2179">
        <w:rPr>
          <w:kern w:val="2"/>
          <w:sz w:val="20"/>
        </w:rPr>
        <w:t xml:space="preserve">Broader campaigns for or against a political party or category of candidates, or on policies or issues associated with a party or category of candidates, are governed by </w:t>
      </w:r>
      <w:r w:rsidRPr="005C2179">
        <w:rPr>
          <w:i/>
          <w:kern w:val="2"/>
          <w:sz w:val="20"/>
        </w:rPr>
        <w:t>PPERA</w:t>
      </w:r>
      <w:r w:rsidRPr="005C2179">
        <w:rPr>
          <w:kern w:val="2"/>
          <w:sz w:val="20"/>
        </w:rPr>
        <w:t>.</w:t>
      </w:r>
      <w:r w:rsidRPr="005C2179">
        <w:rPr>
          <w:rStyle w:val="FootnoteReference"/>
          <w:kern w:val="2"/>
          <w:sz w:val="20"/>
        </w:rPr>
        <w:footnoteReference w:id="439"/>
      </w:r>
    </w:p>
    <w:p w14:paraId="0C9038E3" w14:textId="77777777" w:rsidR="00016158" w:rsidRPr="005C2179" w:rsidRDefault="00016158" w:rsidP="00016158">
      <w:pPr>
        <w:rPr>
          <w:kern w:val="2"/>
          <w:sz w:val="20"/>
        </w:rPr>
      </w:pPr>
      <w:r w:rsidRPr="005C2179">
        <w:rPr>
          <w:kern w:val="2"/>
          <w:sz w:val="20"/>
        </w:rPr>
        <w:t xml:space="preserve">The regulation of third-party campaigners in the UK mirrors the regulation of political parties and candidates. Third-party campaigners are subject to spending limits and, if they spend above a certain amount, they must comply with reporting requirements and source restrictions for donations.  </w:t>
      </w:r>
    </w:p>
    <w:p w14:paraId="13E3181C" w14:textId="77777777" w:rsidR="00016158" w:rsidRPr="005C2179" w:rsidRDefault="00016158" w:rsidP="00016158">
      <w:pPr>
        <w:pStyle w:val="Heading4"/>
        <w:rPr>
          <w:i/>
          <w:kern w:val="2"/>
          <w:sz w:val="22"/>
        </w:rPr>
      </w:pPr>
      <w:r w:rsidRPr="005C2179">
        <w:rPr>
          <w:kern w:val="2"/>
          <w:sz w:val="22"/>
        </w:rPr>
        <w:t xml:space="preserve">Activities Captured by Third-Party Campaign Regulations </w:t>
      </w:r>
    </w:p>
    <w:p w14:paraId="0A20B421" w14:textId="77777777" w:rsidR="00016158" w:rsidRPr="005C2179" w:rsidRDefault="00016158" w:rsidP="00016158">
      <w:pPr>
        <w:rPr>
          <w:b/>
          <w:i/>
          <w:kern w:val="2"/>
          <w:sz w:val="20"/>
        </w:rPr>
      </w:pPr>
      <w:r w:rsidRPr="005C2179">
        <w:rPr>
          <w:b/>
          <w:kern w:val="2"/>
          <w:sz w:val="20"/>
        </w:rPr>
        <w:t xml:space="preserve">a) </w:t>
      </w:r>
      <w:r w:rsidRPr="005C2179">
        <w:rPr>
          <w:b/>
          <w:i/>
          <w:kern w:val="2"/>
          <w:sz w:val="20"/>
        </w:rPr>
        <w:t>PPERA</w:t>
      </w:r>
    </w:p>
    <w:p w14:paraId="23AB142E" w14:textId="77777777" w:rsidR="00016158" w:rsidRPr="005C2179" w:rsidRDefault="00016158" w:rsidP="00016158">
      <w:pPr>
        <w:pStyle w:val="ListParagraph"/>
        <w:numPr>
          <w:ilvl w:val="0"/>
          <w:numId w:val="42"/>
        </w:numPr>
        <w:rPr>
          <w:kern w:val="2"/>
          <w:sz w:val="20"/>
        </w:rPr>
      </w:pPr>
      <w:r w:rsidRPr="005C2179">
        <w:rPr>
          <w:kern w:val="2"/>
          <w:sz w:val="20"/>
        </w:rPr>
        <w:t xml:space="preserve">Meaning of “Recognised” Third Party </w:t>
      </w:r>
    </w:p>
    <w:p w14:paraId="7531F968" w14:textId="77777777" w:rsidR="00016158" w:rsidRPr="005C2179" w:rsidRDefault="00016158" w:rsidP="00016158">
      <w:pPr>
        <w:rPr>
          <w:kern w:val="2"/>
          <w:sz w:val="20"/>
        </w:rPr>
      </w:pPr>
      <w:r w:rsidRPr="005C2179">
        <w:rPr>
          <w:kern w:val="2"/>
          <w:sz w:val="20"/>
        </w:rPr>
        <w:t xml:space="preserve">“Third party” is defined in </w:t>
      </w:r>
      <w:r w:rsidRPr="005C2179">
        <w:rPr>
          <w:i/>
          <w:kern w:val="2"/>
          <w:sz w:val="20"/>
        </w:rPr>
        <w:t xml:space="preserve">PPERA </w:t>
      </w:r>
      <w:r w:rsidRPr="005C2179">
        <w:rPr>
          <w:kern w:val="2"/>
          <w:sz w:val="20"/>
        </w:rPr>
        <w:t>as “any person or body other than a registered party,” or a registered party if it campaigns to promote the electoral success of other parties or candidates from other parties.</w:t>
      </w:r>
      <w:r w:rsidRPr="005C2179">
        <w:rPr>
          <w:rStyle w:val="FootnoteReference"/>
          <w:kern w:val="2"/>
          <w:sz w:val="20"/>
        </w:rPr>
        <w:footnoteReference w:id="440"/>
      </w:r>
      <w:r w:rsidRPr="005C2179">
        <w:rPr>
          <w:kern w:val="2"/>
          <w:sz w:val="20"/>
        </w:rPr>
        <w:t xml:space="preserve"> </w:t>
      </w:r>
    </w:p>
    <w:p w14:paraId="1939FCAD" w14:textId="77777777" w:rsidR="00016158" w:rsidRPr="005C2179" w:rsidRDefault="00016158" w:rsidP="00016158">
      <w:pPr>
        <w:rPr>
          <w:kern w:val="2"/>
          <w:sz w:val="20"/>
        </w:rPr>
      </w:pPr>
      <w:r w:rsidRPr="005C2179">
        <w:rPr>
          <w:i/>
          <w:kern w:val="2"/>
          <w:sz w:val="20"/>
        </w:rPr>
        <w:t>PPERA</w:t>
      </w:r>
      <w:r w:rsidRPr="005C2179">
        <w:rPr>
          <w:kern w:val="2"/>
          <w:sz w:val="20"/>
        </w:rPr>
        <w:t xml:space="preserve"> creates a scheme of unregistered and registered, or “recognised,” third parties. Unregistered third-party campaigners can only spend up to a certain amount. Third-party campaigners must register if their spending on “controlled expenditures” exceeds this threshold during the regulated period. Once registered, they will be a “recognised third party” with a much higher spending limit, but will be subject to various other requirements such as reporting requirements. Currently, there are ten recognised third parties in the UK, including three trade unions and two animal welfare organizations.</w:t>
      </w:r>
      <w:r w:rsidRPr="005C2179">
        <w:rPr>
          <w:rStyle w:val="FootnoteReference"/>
          <w:kern w:val="2"/>
          <w:sz w:val="20"/>
        </w:rPr>
        <w:footnoteReference w:id="441"/>
      </w:r>
    </w:p>
    <w:p w14:paraId="609F2FEB" w14:textId="77777777" w:rsidR="00016158" w:rsidRPr="005C2179" w:rsidRDefault="00016158" w:rsidP="00016158">
      <w:pPr>
        <w:pStyle w:val="ListParagraph"/>
        <w:numPr>
          <w:ilvl w:val="0"/>
          <w:numId w:val="42"/>
        </w:numPr>
        <w:rPr>
          <w:kern w:val="2"/>
          <w:sz w:val="20"/>
        </w:rPr>
      </w:pPr>
      <w:r w:rsidRPr="005C2179">
        <w:rPr>
          <w:kern w:val="2"/>
          <w:sz w:val="20"/>
        </w:rPr>
        <w:t xml:space="preserve">Definition of “Controlled Expenditure” </w:t>
      </w:r>
    </w:p>
    <w:p w14:paraId="55FE379E" w14:textId="77777777" w:rsidR="00016158" w:rsidRPr="005C2179" w:rsidRDefault="00016158" w:rsidP="00016158">
      <w:pPr>
        <w:rPr>
          <w:kern w:val="2"/>
          <w:sz w:val="20"/>
        </w:rPr>
      </w:pPr>
      <w:r w:rsidRPr="005C2179">
        <w:rPr>
          <w:kern w:val="2"/>
          <w:sz w:val="20"/>
        </w:rPr>
        <w:t xml:space="preserve">As mentioned above, once a third party reaches a certain threshold of “controlled expenditure,” they must register and meet various requirements. The definition of “controlled expenditure” in section 85 of </w:t>
      </w:r>
      <w:r w:rsidRPr="005C2179">
        <w:rPr>
          <w:i/>
          <w:kern w:val="2"/>
          <w:sz w:val="20"/>
        </w:rPr>
        <w:t>PPERA</w:t>
      </w:r>
      <w:r w:rsidRPr="005C2179">
        <w:rPr>
          <w:kern w:val="2"/>
          <w:sz w:val="20"/>
        </w:rPr>
        <w:t xml:space="preserve"> has two components. First, a “controlled expenditure” is an expense incurred by or on behalf of the third party that falls under Part 1 of Schedule 8A, which includes expenses incurred for the “production or publication of material ... made available to the public in whatever form and by whatever means,” canvassing or market research, press conferences, and public rallies other than annual conferences of the third party, among other things.</w:t>
      </w:r>
      <w:r w:rsidRPr="005C2179">
        <w:rPr>
          <w:rStyle w:val="FootnoteReference"/>
          <w:kern w:val="2"/>
          <w:sz w:val="20"/>
        </w:rPr>
        <w:footnoteReference w:id="442"/>
      </w:r>
      <w:r w:rsidRPr="005C2179">
        <w:rPr>
          <w:kern w:val="2"/>
          <w:sz w:val="20"/>
        </w:rPr>
        <w:t xml:space="preserve"> Various expenses are excluded from the definition, such as expenses incurred by an individual to provide volunteer services on their own time.</w:t>
      </w:r>
      <w:r w:rsidRPr="005C2179">
        <w:rPr>
          <w:rStyle w:val="FootnoteReference"/>
          <w:kern w:val="2"/>
          <w:sz w:val="20"/>
        </w:rPr>
        <w:footnoteReference w:id="443"/>
      </w:r>
      <w:r w:rsidRPr="005C2179">
        <w:rPr>
          <w:kern w:val="2"/>
          <w:sz w:val="20"/>
        </w:rPr>
        <w:t xml:space="preserve"> Second, a “controlled expenditure” must be capable of being reasonably “regarded as intended to promote or procure the electoral success” of a party and its candidates or of a particular category of parties or candidates.</w:t>
      </w:r>
      <w:r w:rsidRPr="005C2179">
        <w:rPr>
          <w:rStyle w:val="FootnoteReference"/>
          <w:kern w:val="2"/>
          <w:sz w:val="20"/>
        </w:rPr>
        <w:footnoteReference w:id="444"/>
      </w:r>
      <w:r w:rsidRPr="005C2179">
        <w:rPr>
          <w:kern w:val="2"/>
          <w:sz w:val="20"/>
        </w:rPr>
        <w:t xml:space="preserve"> A category of parties or candidates may be characterized by, for example, a policy position.</w:t>
      </w:r>
      <w:r w:rsidRPr="005C2179">
        <w:rPr>
          <w:rStyle w:val="FootnoteReference"/>
          <w:kern w:val="2"/>
          <w:sz w:val="20"/>
        </w:rPr>
        <w:footnoteReference w:id="445"/>
      </w:r>
      <w:r w:rsidRPr="005C2179">
        <w:rPr>
          <w:kern w:val="2"/>
          <w:sz w:val="20"/>
        </w:rPr>
        <w:t xml:space="preserve"> A third party promotes the electoral success of parties or candidates if it engages in “prejudicing the electoral prospects ... of other parties or candidates.</w:t>
      </w:r>
      <w:r w:rsidRPr="005C2179">
        <w:rPr>
          <w:rStyle w:val="FootnoteReference"/>
          <w:kern w:val="2"/>
          <w:sz w:val="20"/>
        </w:rPr>
        <w:footnoteReference w:id="446"/>
      </w:r>
      <w:r w:rsidRPr="005C2179">
        <w:rPr>
          <w:kern w:val="2"/>
          <w:sz w:val="20"/>
        </w:rPr>
        <w:t xml:space="preserve"> Promoting electoral success also does not require express mention of any party or candidate,</w:t>
      </w:r>
      <w:r w:rsidRPr="005C2179">
        <w:rPr>
          <w:rStyle w:val="FootnoteReference"/>
          <w:kern w:val="2"/>
          <w:sz w:val="20"/>
        </w:rPr>
        <w:footnoteReference w:id="447"/>
      </w:r>
      <w:r w:rsidRPr="005C2179">
        <w:rPr>
          <w:kern w:val="2"/>
          <w:sz w:val="20"/>
        </w:rPr>
        <w:t xml:space="preserve"> nor does the expenditure need to be solely for the purpose of promoting a party or candidate’s electoral success in order to fit within the definition of “controlled expenditure.”</w:t>
      </w:r>
      <w:r w:rsidRPr="005C2179">
        <w:rPr>
          <w:rStyle w:val="FootnoteReference"/>
          <w:kern w:val="2"/>
          <w:sz w:val="20"/>
        </w:rPr>
        <w:footnoteReference w:id="448"/>
      </w:r>
      <w:r w:rsidRPr="005C2179">
        <w:rPr>
          <w:kern w:val="2"/>
          <w:sz w:val="20"/>
        </w:rPr>
        <w:t xml:space="preserve"> </w:t>
      </w:r>
    </w:p>
    <w:p w14:paraId="14A87BCC" w14:textId="77777777" w:rsidR="00016158" w:rsidRPr="005C2179" w:rsidRDefault="00016158" w:rsidP="00016158">
      <w:pPr>
        <w:rPr>
          <w:kern w:val="2"/>
          <w:sz w:val="20"/>
        </w:rPr>
      </w:pPr>
      <w:r w:rsidRPr="005C2179">
        <w:rPr>
          <w:kern w:val="2"/>
          <w:sz w:val="20"/>
        </w:rPr>
        <w:t xml:space="preserve">In its guidance for non-party campaigners, the Electoral Commission has superimposed an alternative or additional two-step test for determining whether spending on an activity is a “controlled expenditure” under </w:t>
      </w:r>
      <w:r w:rsidRPr="005C2179">
        <w:rPr>
          <w:i/>
          <w:kern w:val="2"/>
          <w:sz w:val="20"/>
        </w:rPr>
        <w:t>PPERA</w:t>
      </w:r>
      <w:r w:rsidRPr="005C2179">
        <w:rPr>
          <w:kern w:val="2"/>
          <w:sz w:val="20"/>
        </w:rPr>
        <w:t>. The first step is the “purpose test,” which involves asking whether the activity can reasonably be regarded as intended to influence voters to vote for or against a party or category of candidates.</w:t>
      </w:r>
      <w:r w:rsidRPr="005C2179">
        <w:rPr>
          <w:rStyle w:val="FootnoteReference"/>
          <w:kern w:val="2"/>
          <w:sz w:val="20"/>
        </w:rPr>
        <w:footnoteReference w:id="449"/>
      </w:r>
      <w:r w:rsidRPr="005C2179">
        <w:rPr>
          <w:kern w:val="2"/>
          <w:sz w:val="20"/>
        </w:rPr>
        <w:t xml:space="preserve"> The purpose test will be met if the activity promotes or opposes policies so closely associated with the party or category of candidates that it can reasonably be regarded as intended to influence voters.</w:t>
      </w:r>
      <w:r w:rsidRPr="005C2179">
        <w:rPr>
          <w:rStyle w:val="FootnoteReference"/>
          <w:kern w:val="2"/>
          <w:sz w:val="20"/>
        </w:rPr>
        <w:footnoteReference w:id="450"/>
      </w:r>
      <w:r w:rsidRPr="005C2179">
        <w:rPr>
          <w:kern w:val="2"/>
          <w:sz w:val="20"/>
        </w:rPr>
        <w:t xml:space="preserve"> The second step is the “public test,” which involves asking whether the activity is aimed at, seen by, or heard by the public or involves the public.</w:t>
      </w:r>
      <w:r w:rsidRPr="005C2179">
        <w:rPr>
          <w:rStyle w:val="FootnoteReference"/>
          <w:kern w:val="2"/>
          <w:sz w:val="20"/>
        </w:rPr>
        <w:footnoteReference w:id="451"/>
      </w:r>
      <w:r w:rsidRPr="005C2179">
        <w:rPr>
          <w:kern w:val="2"/>
          <w:sz w:val="20"/>
        </w:rPr>
        <w:t xml:space="preserve"> The “public” does not include members of the non-party campaigner organization or its “committed supporters”.</w:t>
      </w:r>
      <w:r w:rsidRPr="005C2179">
        <w:rPr>
          <w:rStyle w:val="FootnoteReference"/>
          <w:kern w:val="2"/>
          <w:sz w:val="20"/>
        </w:rPr>
        <w:footnoteReference w:id="452"/>
      </w:r>
    </w:p>
    <w:p w14:paraId="1EA1FAF5" w14:textId="77777777" w:rsidR="00016158" w:rsidRPr="005C2179" w:rsidRDefault="00016158" w:rsidP="00016158">
      <w:pPr>
        <w:rPr>
          <w:b/>
          <w:i/>
          <w:kern w:val="2"/>
          <w:sz w:val="20"/>
        </w:rPr>
      </w:pPr>
      <w:r w:rsidRPr="005C2179">
        <w:rPr>
          <w:b/>
          <w:kern w:val="2"/>
          <w:sz w:val="20"/>
        </w:rPr>
        <w:t xml:space="preserve">b) The </w:t>
      </w:r>
      <w:r w:rsidRPr="005C2179">
        <w:rPr>
          <w:b/>
          <w:i/>
          <w:kern w:val="2"/>
          <w:sz w:val="20"/>
        </w:rPr>
        <w:t xml:space="preserve">RPA </w:t>
      </w:r>
    </w:p>
    <w:p w14:paraId="4725452C" w14:textId="77777777" w:rsidR="00016158" w:rsidRPr="005C2179" w:rsidRDefault="00016158" w:rsidP="00016158">
      <w:pPr>
        <w:rPr>
          <w:kern w:val="2"/>
          <w:sz w:val="20"/>
        </w:rPr>
      </w:pPr>
      <w:r w:rsidRPr="005C2179">
        <w:rPr>
          <w:kern w:val="2"/>
          <w:sz w:val="20"/>
        </w:rPr>
        <w:t xml:space="preserve">Under the </w:t>
      </w:r>
      <w:r w:rsidRPr="005C2179">
        <w:rPr>
          <w:i/>
          <w:kern w:val="2"/>
          <w:sz w:val="20"/>
        </w:rPr>
        <w:t xml:space="preserve">RPA, </w:t>
      </w:r>
      <w:r w:rsidRPr="005C2179">
        <w:rPr>
          <w:kern w:val="2"/>
          <w:sz w:val="20"/>
        </w:rPr>
        <w:t>persons other than the candidate, the candidate’s election agent, and those authorized by the election agent are subject to regulations if they incur expenses for matters such as public meetings or advertising with a view to promoting or procuring the election of a candidate.</w:t>
      </w:r>
      <w:r w:rsidRPr="005C2179">
        <w:rPr>
          <w:rStyle w:val="FootnoteReference"/>
          <w:kern w:val="2"/>
          <w:sz w:val="20"/>
        </w:rPr>
        <w:footnoteReference w:id="453"/>
      </w:r>
    </w:p>
    <w:p w14:paraId="7BDB7D5A" w14:textId="77777777" w:rsidR="00016158" w:rsidRPr="005C2179" w:rsidRDefault="00016158" w:rsidP="00016158">
      <w:pPr>
        <w:pStyle w:val="Heading4"/>
        <w:rPr>
          <w:i/>
          <w:kern w:val="2"/>
          <w:sz w:val="22"/>
        </w:rPr>
      </w:pPr>
      <w:r w:rsidRPr="005C2179">
        <w:rPr>
          <w:kern w:val="2"/>
          <w:sz w:val="22"/>
        </w:rPr>
        <w:t xml:space="preserve">Regulation of Contributions to Recognised Third Parties under </w:t>
      </w:r>
      <w:r w:rsidRPr="005C2179">
        <w:rPr>
          <w:i/>
          <w:kern w:val="2"/>
          <w:sz w:val="22"/>
        </w:rPr>
        <w:t>PPERA</w:t>
      </w:r>
    </w:p>
    <w:p w14:paraId="2E64D3C4" w14:textId="77777777" w:rsidR="00016158" w:rsidRPr="005C2179" w:rsidRDefault="00016158" w:rsidP="00016158">
      <w:pPr>
        <w:rPr>
          <w:kern w:val="2"/>
          <w:sz w:val="20"/>
        </w:rPr>
      </w:pPr>
      <w:r w:rsidRPr="005C2179">
        <w:rPr>
          <w:kern w:val="2"/>
          <w:sz w:val="20"/>
        </w:rPr>
        <w:t xml:space="preserve">Under </w:t>
      </w:r>
      <w:r w:rsidRPr="005C2179">
        <w:rPr>
          <w:i/>
          <w:kern w:val="2"/>
          <w:sz w:val="20"/>
        </w:rPr>
        <w:t xml:space="preserve">PPERA, </w:t>
      </w:r>
      <w:r w:rsidRPr="005C2179">
        <w:rPr>
          <w:kern w:val="2"/>
          <w:sz w:val="20"/>
        </w:rPr>
        <w:t>donations to recognised third parties are not capped, but are subject to other requirements if their value exceeds ₤500, such as reporting requirements.</w:t>
      </w:r>
      <w:r w:rsidRPr="005C2179">
        <w:rPr>
          <w:rStyle w:val="FootnoteReference"/>
          <w:kern w:val="2"/>
          <w:sz w:val="20"/>
        </w:rPr>
        <w:footnoteReference w:id="454"/>
      </w:r>
      <w:r w:rsidRPr="005C2179">
        <w:rPr>
          <w:kern w:val="2"/>
          <w:sz w:val="20"/>
        </w:rPr>
        <w:t xml:space="preserve"> The reporting requirements are discussed in </w:t>
      </w:r>
      <w:r w:rsidRPr="005C2179">
        <w:rPr>
          <w:kern w:val="2"/>
          <w:sz w:val="20"/>
          <w:highlight w:val="cyan"/>
        </w:rPr>
        <w:t>Section 9.2.3.4</w:t>
      </w:r>
      <w:r w:rsidRPr="005C2179">
        <w:rPr>
          <w:kern w:val="2"/>
          <w:sz w:val="20"/>
        </w:rPr>
        <w:t>, below. Donations of over ₤500 to recognised third parties for the purpose of controlled expenditures must also come from permissible donors, just like donations to political parties.</w:t>
      </w:r>
      <w:r w:rsidRPr="005C2179">
        <w:rPr>
          <w:rStyle w:val="FootnoteReference"/>
          <w:kern w:val="2"/>
          <w:sz w:val="20"/>
        </w:rPr>
        <w:footnoteReference w:id="455"/>
      </w:r>
      <w:r w:rsidRPr="005C2179">
        <w:rPr>
          <w:kern w:val="2"/>
          <w:sz w:val="20"/>
        </w:rPr>
        <w:t xml:space="preserve"> In relation to a recognised third party, donations are defined as gifts; sponsorship; membership fees; and the provision of goods, services, and facilities, among other things, but volunteer services do not count as a donation.</w:t>
      </w:r>
      <w:r w:rsidRPr="005C2179">
        <w:rPr>
          <w:rStyle w:val="FootnoteReference"/>
          <w:kern w:val="2"/>
          <w:sz w:val="20"/>
        </w:rPr>
        <w:footnoteReference w:id="456"/>
      </w:r>
      <w:r w:rsidRPr="005C2179">
        <w:rPr>
          <w:kern w:val="2"/>
          <w:sz w:val="20"/>
        </w:rPr>
        <w:t xml:space="preserve"> </w:t>
      </w:r>
    </w:p>
    <w:p w14:paraId="6D1CD999" w14:textId="77777777" w:rsidR="00016158" w:rsidRPr="005C2179" w:rsidRDefault="00016158" w:rsidP="00016158">
      <w:pPr>
        <w:pStyle w:val="Heading4"/>
        <w:rPr>
          <w:kern w:val="2"/>
          <w:sz w:val="22"/>
        </w:rPr>
      </w:pPr>
      <w:r w:rsidRPr="005C2179">
        <w:rPr>
          <w:kern w:val="2"/>
          <w:sz w:val="22"/>
        </w:rPr>
        <w:t xml:space="preserve">Regulation of Spending by Third Parties </w:t>
      </w:r>
    </w:p>
    <w:p w14:paraId="06D4A2CB" w14:textId="77777777" w:rsidR="00016158" w:rsidRPr="005C2179" w:rsidRDefault="00016158" w:rsidP="007C504E">
      <w:pPr>
        <w:keepNext/>
        <w:rPr>
          <w:b/>
          <w:i/>
          <w:kern w:val="2"/>
          <w:sz w:val="20"/>
        </w:rPr>
      </w:pPr>
      <w:r w:rsidRPr="005C2179">
        <w:rPr>
          <w:b/>
          <w:kern w:val="2"/>
          <w:sz w:val="20"/>
        </w:rPr>
        <w:t xml:space="preserve">a) </w:t>
      </w:r>
      <w:r w:rsidRPr="005C2179">
        <w:rPr>
          <w:b/>
          <w:i/>
          <w:kern w:val="2"/>
          <w:sz w:val="20"/>
        </w:rPr>
        <w:t xml:space="preserve">PPERA </w:t>
      </w:r>
    </w:p>
    <w:p w14:paraId="267601EA" w14:textId="77777777" w:rsidR="00016158" w:rsidRPr="005C2179" w:rsidRDefault="00016158" w:rsidP="00016158">
      <w:pPr>
        <w:rPr>
          <w:kern w:val="2"/>
          <w:sz w:val="20"/>
        </w:rPr>
      </w:pPr>
      <w:r w:rsidRPr="005C2179">
        <w:rPr>
          <w:kern w:val="2"/>
          <w:sz w:val="20"/>
        </w:rPr>
        <w:t>The spending limits for recognised third parties apply to the 365 days before a parliamentary general election,</w:t>
      </w:r>
      <w:r w:rsidRPr="005C2179">
        <w:rPr>
          <w:rStyle w:val="FootnoteReference"/>
          <w:kern w:val="2"/>
          <w:sz w:val="20"/>
        </w:rPr>
        <w:footnoteReference w:id="457"/>
      </w:r>
      <w:r w:rsidRPr="005C2179">
        <w:rPr>
          <w:kern w:val="2"/>
          <w:sz w:val="20"/>
        </w:rPr>
        <w:t xml:space="preserve"> but expenses incurred before the regulated period will count toward the limit if they are incurred for property, services, or facilities that are used during this regulated period.</w:t>
      </w:r>
      <w:r w:rsidRPr="005C2179">
        <w:rPr>
          <w:rStyle w:val="FootnoteReference"/>
          <w:kern w:val="2"/>
          <w:sz w:val="20"/>
        </w:rPr>
        <w:footnoteReference w:id="458"/>
      </w:r>
      <w:r w:rsidRPr="005C2179">
        <w:rPr>
          <w:kern w:val="2"/>
          <w:sz w:val="20"/>
        </w:rPr>
        <w:t xml:space="preserve"> Recognised third parties have a higher spending limit than unregistered third parties. In England, the controlled expenditure of recognised third parties may amount to up to 2% of the maximum campaign expenditure limit for England.</w:t>
      </w:r>
      <w:r w:rsidRPr="005C2179">
        <w:rPr>
          <w:rStyle w:val="FootnoteReference"/>
          <w:kern w:val="2"/>
          <w:sz w:val="20"/>
        </w:rPr>
        <w:footnoteReference w:id="459"/>
      </w:r>
      <w:r w:rsidRPr="005C2179">
        <w:rPr>
          <w:kern w:val="2"/>
          <w:sz w:val="20"/>
        </w:rPr>
        <w:t xml:space="preserve"> The “maximum campaign expenditure limit” refers to the maximum amount political parties may spend in a particular part of the UK.</w:t>
      </w:r>
      <w:r w:rsidRPr="005C2179">
        <w:rPr>
          <w:rStyle w:val="FootnoteReference"/>
          <w:kern w:val="2"/>
          <w:sz w:val="20"/>
        </w:rPr>
        <w:footnoteReference w:id="460"/>
      </w:r>
      <w:r w:rsidRPr="005C2179">
        <w:rPr>
          <w:kern w:val="2"/>
          <w:sz w:val="20"/>
        </w:rPr>
        <w:t xml:space="preserve"> A recognised third party may not spend more than 0.05% of the maximum campaign expenditure limit in any one constituency.</w:t>
      </w:r>
      <w:r w:rsidRPr="005C2179">
        <w:rPr>
          <w:rStyle w:val="FootnoteReference"/>
          <w:kern w:val="2"/>
          <w:sz w:val="20"/>
        </w:rPr>
        <w:footnoteReference w:id="461"/>
      </w:r>
      <w:r w:rsidRPr="005C2179">
        <w:rPr>
          <w:kern w:val="2"/>
          <w:sz w:val="20"/>
        </w:rPr>
        <w:t xml:space="preserve"> If a recognised third party exceeds the spending limit, they will commit an offence under </w:t>
      </w:r>
      <w:r w:rsidRPr="005C2179">
        <w:rPr>
          <w:i/>
          <w:kern w:val="2"/>
          <w:sz w:val="20"/>
        </w:rPr>
        <w:t>PPERA</w:t>
      </w:r>
      <w:r w:rsidRPr="005C2179">
        <w:rPr>
          <w:kern w:val="2"/>
          <w:sz w:val="20"/>
        </w:rPr>
        <w:t xml:space="preserve"> if they reasonably ought to have known that their expenditures would exceed the limit.</w:t>
      </w:r>
      <w:r w:rsidRPr="005C2179">
        <w:rPr>
          <w:rStyle w:val="FootnoteReference"/>
          <w:kern w:val="2"/>
          <w:sz w:val="20"/>
        </w:rPr>
        <w:footnoteReference w:id="462"/>
      </w:r>
    </w:p>
    <w:p w14:paraId="18344261" w14:textId="77777777" w:rsidR="00016158" w:rsidRPr="005C2179" w:rsidRDefault="00016158" w:rsidP="00016158">
      <w:pPr>
        <w:rPr>
          <w:kern w:val="2"/>
          <w:sz w:val="20"/>
        </w:rPr>
      </w:pPr>
      <w:r w:rsidRPr="005C2179">
        <w:rPr>
          <w:kern w:val="2"/>
          <w:sz w:val="20"/>
        </w:rPr>
        <w:t>Unregistered third parties can spend up to ₤20,000 in England and up to ₤10,000 in each of Scotland, Wales, and Northern Ireland on controlled expenditures in the 365 days before a parliamentary general election.</w:t>
      </w:r>
      <w:r w:rsidRPr="005C2179">
        <w:rPr>
          <w:rStyle w:val="FootnoteReference"/>
          <w:kern w:val="2"/>
          <w:sz w:val="20"/>
        </w:rPr>
        <w:footnoteReference w:id="463"/>
      </w:r>
      <w:r w:rsidRPr="005C2179">
        <w:rPr>
          <w:kern w:val="2"/>
          <w:sz w:val="20"/>
        </w:rPr>
        <w:t xml:space="preserve"> Like recognised third parties, unregistered third parties must not spend more than 0.05% of the maximum campaign expenditure in a particular constituency.</w:t>
      </w:r>
      <w:r w:rsidRPr="005C2179">
        <w:rPr>
          <w:rStyle w:val="FootnoteReference"/>
          <w:kern w:val="2"/>
          <w:sz w:val="20"/>
        </w:rPr>
        <w:footnoteReference w:id="464"/>
      </w:r>
      <w:r w:rsidRPr="005C2179">
        <w:rPr>
          <w:kern w:val="2"/>
          <w:sz w:val="20"/>
        </w:rPr>
        <w:t xml:space="preserve"> If a third party exceeds these limits without registering, they will commit an offence under </w:t>
      </w:r>
      <w:r w:rsidRPr="005C2179">
        <w:rPr>
          <w:i/>
          <w:kern w:val="2"/>
          <w:sz w:val="20"/>
        </w:rPr>
        <w:t>PPERA</w:t>
      </w:r>
      <w:r w:rsidRPr="005C2179">
        <w:rPr>
          <w:kern w:val="2"/>
          <w:sz w:val="20"/>
        </w:rPr>
        <w:t>.</w:t>
      </w:r>
      <w:r w:rsidRPr="005C2179">
        <w:rPr>
          <w:rStyle w:val="FootnoteReference"/>
          <w:kern w:val="2"/>
          <w:sz w:val="20"/>
        </w:rPr>
        <w:footnoteReference w:id="465"/>
      </w:r>
      <w:r w:rsidRPr="005C2179">
        <w:rPr>
          <w:kern w:val="2"/>
          <w:sz w:val="20"/>
        </w:rPr>
        <w:t xml:space="preserve"> </w:t>
      </w:r>
    </w:p>
    <w:p w14:paraId="27E34AF2" w14:textId="77777777" w:rsidR="00016158" w:rsidRPr="005C2179" w:rsidRDefault="00016158" w:rsidP="00016158">
      <w:pPr>
        <w:rPr>
          <w:b/>
          <w:i/>
          <w:kern w:val="2"/>
          <w:sz w:val="20"/>
        </w:rPr>
      </w:pPr>
      <w:r w:rsidRPr="005C2179">
        <w:rPr>
          <w:b/>
          <w:kern w:val="2"/>
          <w:sz w:val="20"/>
        </w:rPr>
        <w:t xml:space="preserve">b) The </w:t>
      </w:r>
      <w:r w:rsidRPr="005C2179">
        <w:rPr>
          <w:b/>
          <w:i/>
          <w:kern w:val="2"/>
          <w:sz w:val="20"/>
        </w:rPr>
        <w:t xml:space="preserve">RPA </w:t>
      </w:r>
    </w:p>
    <w:p w14:paraId="55BEF93C" w14:textId="77777777" w:rsidR="00016158" w:rsidRPr="005C2179" w:rsidRDefault="00016158" w:rsidP="00016158">
      <w:pPr>
        <w:rPr>
          <w:kern w:val="2"/>
          <w:sz w:val="20"/>
        </w:rPr>
      </w:pPr>
      <w:r w:rsidRPr="005C2179">
        <w:rPr>
          <w:kern w:val="2"/>
          <w:sz w:val="20"/>
        </w:rPr>
        <w:t xml:space="preserve">Under the </w:t>
      </w:r>
      <w:r w:rsidRPr="005C2179">
        <w:rPr>
          <w:i/>
          <w:kern w:val="2"/>
          <w:sz w:val="20"/>
        </w:rPr>
        <w:t>RPA</w:t>
      </w:r>
      <w:r w:rsidRPr="005C2179">
        <w:rPr>
          <w:kern w:val="2"/>
          <w:sz w:val="20"/>
        </w:rPr>
        <w:t>, third parties can spend up to ₤700 campaigning for the election of a candidate after the date the candidate becomes a candidate.</w:t>
      </w:r>
      <w:r w:rsidRPr="005C2179">
        <w:rPr>
          <w:rStyle w:val="FootnoteReference"/>
          <w:kern w:val="2"/>
          <w:sz w:val="20"/>
        </w:rPr>
        <w:footnoteReference w:id="466"/>
      </w:r>
      <w:r w:rsidRPr="005C2179">
        <w:rPr>
          <w:kern w:val="2"/>
          <w:sz w:val="20"/>
        </w:rPr>
        <w:t xml:space="preserve"> Expenses incurred before the candidate becomes a candidate will count toward this limit if incurred for something to be used after the candidacy begins.</w:t>
      </w:r>
      <w:r w:rsidRPr="005C2179">
        <w:rPr>
          <w:rStyle w:val="FootnoteReference"/>
          <w:kern w:val="2"/>
          <w:sz w:val="20"/>
        </w:rPr>
        <w:footnoteReference w:id="467"/>
      </w:r>
      <w:r w:rsidRPr="005C2179">
        <w:rPr>
          <w:kern w:val="2"/>
          <w:sz w:val="20"/>
        </w:rPr>
        <w:t xml:space="preserve"> A person becomes a candidate the day Parliament is dissolved, unless their intention to become a candidate is not expressed until after dissolution, in which case they will become a candidate on the date this intention is declared or the date of the person’s nomination, whichever is earlier.</w:t>
      </w:r>
      <w:r w:rsidRPr="005C2179">
        <w:rPr>
          <w:rStyle w:val="FootnoteReference"/>
          <w:kern w:val="2"/>
          <w:sz w:val="20"/>
        </w:rPr>
        <w:footnoteReference w:id="468"/>
      </w:r>
      <w:r w:rsidRPr="005C2179">
        <w:rPr>
          <w:kern w:val="2"/>
          <w:sz w:val="20"/>
        </w:rPr>
        <w:t xml:space="preserve"> </w:t>
      </w:r>
    </w:p>
    <w:p w14:paraId="1A6C4C0A" w14:textId="77777777" w:rsidR="00016158" w:rsidRPr="005C2179" w:rsidRDefault="00016158" w:rsidP="00016158">
      <w:pPr>
        <w:pStyle w:val="Heading4"/>
        <w:rPr>
          <w:kern w:val="2"/>
          <w:sz w:val="22"/>
        </w:rPr>
      </w:pPr>
      <w:r w:rsidRPr="005C2179">
        <w:rPr>
          <w:kern w:val="2"/>
          <w:sz w:val="22"/>
        </w:rPr>
        <w:t>Transparency Requirements for Third-Party Campaigners</w:t>
      </w:r>
    </w:p>
    <w:p w14:paraId="47ADDBEC" w14:textId="77777777" w:rsidR="00016158" w:rsidRPr="005C2179" w:rsidRDefault="00016158" w:rsidP="00016158">
      <w:pPr>
        <w:keepNext/>
        <w:rPr>
          <w:b/>
          <w:kern w:val="2"/>
          <w:sz w:val="20"/>
        </w:rPr>
      </w:pPr>
      <w:r w:rsidRPr="005C2179">
        <w:rPr>
          <w:b/>
          <w:kern w:val="2"/>
          <w:sz w:val="20"/>
        </w:rPr>
        <w:t>a) Attribution</w:t>
      </w:r>
    </w:p>
    <w:p w14:paraId="73DAC0BA" w14:textId="77777777" w:rsidR="00016158" w:rsidRPr="005C2179" w:rsidRDefault="00016158" w:rsidP="00016158">
      <w:pPr>
        <w:rPr>
          <w:kern w:val="2"/>
          <w:sz w:val="20"/>
        </w:rPr>
      </w:pPr>
      <w:r w:rsidRPr="005C2179">
        <w:rPr>
          <w:kern w:val="2"/>
          <w:sz w:val="20"/>
        </w:rPr>
        <w:t xml:space="preserve">Under </w:t>
      </w:r>
      <w:r w:rsidRPr="005C2179">
        <w:rPr>
          <w:i/>
          <w:kern w:val="2"/>
          <w:sz w:val="20"/>
        </w:rPr>
        <w:t>PPERA</w:t>
      </w:r>
      <w:r w:rsidRPr="005C2179">
        <w:rPr>
          <w:kern w:val="2"/>
          <w:sz w:val="20"/>
        </w:rPr>
        <w:t>, published election material must contain the names and addresses of the printer, promoter, and person on whose behalf it is published.</w:t>
      </w:r>
      <w:r w:rsidRPr="005C2179">
        <w:rPr>
          <w:rStyle w:val="FootnoteReference"/>
          <w:kern w:val="2"/>
          <w:sz w:val="20"/>
        </w:rPr>
        <w:footnoteReference w:id="469"/>
      </w:r>
      <w:r w:rsidRPr="005C2179">
        <w:rPr>
          <w:kern w:val="2"/>
          <w:sz w:val="20"/>
        </w:rPr>
        <w:t xml:space="preserve"> The “promoter” is defined as “the person causing the material to be published.”</w:t>
      </w:r>
      <w:r w:rsidRPr="005C2179">
        <w:rPr>
          <w:rStyle w:val="FootnoteReference"/>
          <w:kern w:val="2"/>
          <w:sz w:val="20"/>
        </w:rPr>
        <w:footnoteReference w:id="470"/>
      </w:r>
      <w:r w:rsidRPr="005C2179">
        <w:rPr>
          <w:kern w:val="2"/>
          <w:sz w:val="20"/>
        </w:rPr>
        <w:t xml:space="preserve"> “Election material” is defined as “material which can reasonably be regarded as intended to promote or procure electoral success” for a registered party, for a category of registered parties, or for a category of candidates.</w:t>
      </w:r>
      <w:r w:rsidRPr="005C2179">
        <w:rPr>
          <w:rStyle w:val="FootnoteReference"/>
          <w:kern w:val="2"/>
          <w:sz w:val="20"/>
        </w:rPr>
        <w:footnoteReference w:id="471"/>
      </w:r>
      <w:r w:rsidRPr="005C2179">
        <w:rPr>
          <w:kern w:val="2"/>
          <w:sz w:val="20"/>
        </w:rPr>
        <w:t xml:space="preserve"> For example, if a company causes material to be published in support of a registered party, the company’s name and address must appear on the material. </w:t>
      </w:r>
    </w:p>
    <w:p w14:paraId="2A20912A" w14:textId="77777777" w:rsidR="00016158" w:rsidRPr="005C2179" w:rsidRDefault="00016158" w:rsidP="00016158">
      <w:pPr>
        <w:rPr>
          <w:b/>
          <w:kern w:val="2"/>
          <w:sz w:val="20"/>
        </w:rPr>
      </w:pPr>
      <w:r w:rsidRPr="005C2179">
        <w:rPr>
          <w:b/>
          <w:kern w:val="2"/>
          <w:sz w:val="20"/>
        </w:rPr>
        <w:t xml:space="preserve">b) Reporting Requirements  </w:t>
      </w:r>
    </w:p>
    <w:p w14:paraId="3E6DB9D2" w14:textId="77777777" w:rsidR="00016158" w:rsidRPr="005C2179" w:rsidRDefault="00016158" w:rsidP="00016158">
      <w:pPr>
        <w:pStyle w:val="ListParagraph"/>
        <w:numPr>
          <w:ilvl w:val="0"/>
          <w:numId w:val="43"/>
        </w:numPr>
        <w:rPr>
          <w:i/>
          <w:kern w:val="2"/>
          <w:sz w:val="20"/>
        </w:rPr>
      </w:pPr>
      <w:r w:rsidRPr="005C2179">
        <w:rPr>
          <w:i/>
          <w:kern w:val="2"/>
          <w:sz w:val="20"/>
        </w:rPr>
        <w:t>PPERA</w:t>
      </w:r>
    </w:p>
    <w:p w14:paraId="127E84A9" w14:textId="77777777" w:rsidR="00016158" w:rsidRPr="005C2179" w:rsidRDefault="00016158" w:rsidP="00016158">
      <w:pPr>
        <w:rPr>
          <w:kern w:val="2"/>
          <w:sz w:val="20"/>
        </w:rPr>
      </w:pPr>
      <w:r w:rsidRPr="005C2179">
        <w:rPr>
          <w:kern w:val="2"/>
          <w:sz w:val="20"/>
        </w:rPr>
        <w:t>Unregistered third parties have no disclosure obligations. However, recognised third parties must prepare a return if they incur any controlled expenditures during the 365 days before polling day.</w:t>
      </w:r>
      <w:r w:rsidRPr="005C2179">
        <w:rPr>
          <w:rStyle w:val="FootnoteReference"/>
          <w:kern w:val="2"/>
          <w:sz w:val="20"/>
        </w:rPr>
        <w:footnoteReference w:id="472"/>
      </w:r>
      <w:r w:rsidRPr="005C2179">
        <w:rPr>
          <w:kern w:val="2"/>
          <w:sz w:val="20"/>
        </w:rPr>
        <w:t xml:space="preserve"> The return must include a statement of payments made in respect of controlled expenditures and a statement of donations received for the purpose of controlled expenditures for the relevant election.</w:t>
      </w:r>
      <w:r w:rsidRPr="005C2179">
        <w:rPr>
          <w:rStyle w:val="FootnoteReference"/>
          <w:kern w:val="2"/>
          <w:sz w:val="20"/>
        </w:rPr>
        <w:footnoteReference w:id="473"/>
      </w:r>
      <w:r w:rsidRPr="005C2179">
        <w:rPr>
          <w:kern w:val="2"/>
          <w:sz w:val="20"/>
        </w:rPr>
        <w:t xml:space="preserve"> For donations from permissible donors with a value of more than ₤7,500, the return must state the amount or nature of the donation, the date it was received, and information about the donor.</w:t>
      </w:r>
      <w:r w:rsidRPr="005C2179">
        <w:rPr>
          <w:rStyle w:val="FootnoteReference"/>
          <w:kern w:val="2"/>
          <w:sz w:val="20"/>
        </w:rPr>
        <w:footnoteReference w:id="474"/>
      </w:r>
      <w:r w:rsidRPr="005C2179">
        <w:rPr>
          <w:kern w:val="2"/>
          <w:sz w:val="20"/>
        </w:rPr>
        <w:t xml:space="preserve"> The total value of all donations that are worth more than ₤500 and that do not exceed ₤7,500 must also be reported.</w:t>
      </w:r>
      <w:r w:rsidRPr="005C2179">
        <w:rPr>
          <w:rStyle w:val="FootnoteReference"/>
          <w:kern w:val="2"/>
          <w:sz w:val="20"/>
        </w:rPr>
        <w:footnoteReference w:id="475"/>
      </w:r>
      <w:r w:rsidRPr="005C2179">
        <w:rPr>
          <w:kern w:val="2"/>
          <w:sz w:val="20"/>
        </w:rPr>
        <w:t xml:space="preserve"> If a recognised third party incurs more than ₤250,000 for controlled expenditures during the 365 days before polling day, they must also submit an auditor’s report with their return.</w:t>
      </w:r>
      <w:r w:rsidRPr="005C2179">
        <w:rPr>
          <w:rStyle w:val="FootnoteReference"/>
          <w:kern w:val="2"/>
          <w:sz w:val="20"/>
        </w:rPr>
        <w:footnoteReference w:id="476"/>
      </w:r>
      <w:r w:rsidRPr="005C2179">
        <w:rPr>
          <w:kern w:val="2"/>
          <w:sz w:val="20"/>
        </w:rPr>
        <w:t xml:space="preserve"> </w:t>
      </w:r>
    </w:p>
    <w:p w14:paraId="1AB3F2EE" w14:textId="77777777" w:rsidR="00016158" w:rsidRPr="005C2179" w:rsidRDefault="00016158" w:rsidP="007C504E">
      <w:pPr>
        <w:pStyle w:val="ListParagraph"/>
        <w:keepNext/>
        <w:numPr>
          <w:ilvl w:val="0"/>
          <w:numId w:val="43"/>
        </w:numPr>
        <w:ind w:left="714" w:hanging="357"/>
        <w:rPr>
          <w:i/>
          <w:kern w:val="2"/>
          <w:sz w:val="20"/>
        </w:rPr>
      </w:pPr>
      <w:r w:rsidRPr="005C2179">
        <w:rPr>
          <w:kern w:val="2"/>
          <w:sz w:val="20"/>
        </w:rPr>
        <w:t xml:space="preserve">The </w:t>
      </w:r>
      <w:r w:rsidRPr="005C2179">
        <w:rPr>
          <w:i/>
          <w:kern w:val="2"/>
          <w:sz w:val="20"/>
        </w:rPr>
        <w:t xml:space="preserve">RPA </w:t>
      </w:r>
    </w:p>
    <w:p w14:paraId="047B5C65" w14:textId="77777777" w:rsidR="00016158" w:rsidRPr="005C2179" w:rsidRDefault="00016158" w:rsidP="00016158">
      <w:pPr>
        <w:rPr>
          <w:kern w:val="2"/>
          <w:sz w:val="20"/>
        </w:rPr>
      </w:pPr>
      <w:r w:rsidRPr="005C2179">
        <w:rPr>
          <w:kern w:val="2"/>
          <w:sz w:val="20"/>
        </w:rPr>
        <w:t>If a third-party campaigner incurs expenses that must be authorized by a candidate’s election agent, such as expenses totalling over ₤700, the third party must submit a return stating the amount of the expenses and the candidate for whom they were incurred.</w:t>
      </w:r>
      <w:r w:rsidRPr="005C2179">
        <w:rPr>
          <w:rStyle w:val="FootnoteReference"/>
          <w:kern w:val="2"/>
          <w:sz w:val="20"/>
        </w:rPr>
        <w:footnoteReference w:id="477"/>
      </w:r>
      <w:r w:rsidRPr="005C2179">
        <w:rPr>
          <w:kern w:val="2"/>
          <w:sz w:val="20"/>
        </w:rPr>
        <w:t xml:space="preserve"> The return must be submitted within 21 days after the election results are declared.</w:t>
      </w:r>
      <w:r w:rsidRPr="005C2179">
        <w:rPr>
          <w:rStyle w:val="FootnoteReference"/>
          <w:kern w:val="2"/>
          <w:sz w:val="20"/>
        </w:rPr>
        <w:footnoteReference w:id="478"/>
      </w:r>
      <w:r w:rsidRPr="005C2179">
        <w:rPr>
          <w:kern w:val="2"/>
          <w:sz w:val="20"/>
        </w:rPr>
        <w:t xml:space="preserve"> If the expenses are under ₤700, meaning the candidate’s election agent need not authorize the expenses, the Electoral Commission may nonetheless require the third party to submit a return that either shows the expenses incurred or contains a statement that the expenses were ₤200 or less.</w:t>
      </w:r>
      <w:r w:rsidRPr="005C2179">
        <w:rPr>
          <w:rStyle w:val="FootnoteReference"/>
          <w:kern w:val="2"/>
          <w:sz w:val="20"/>
        </w:rPr>
        <w:footnoteReference w:id="479"/>
      </w:r>
      <w:r w:rsidRPr="005C2179">
        <w:rPr>
          <w:kern w:val="2"/>
          <w:sz w:val="20"/>
        </w:rPr>
        <w:t xml:space="preserve"> </w:t>
      </w:r>
    </w:p>
    <w:p w14:paraId="0B94508F" w14:textId="77777777" w:rsidR="00016158" w:rsidRPr="005C2179" w:rsidRDefault="00016158" w:rsidP="00016158">
      <w:pPr>
        <w:pStyle w:val="Heading4"/>
        <w:rPr>
          <w:kern w:val="2"/>
          <w:sz w:val="22"/>
        </w:rPr>
      </w:pPr>
      <w:r w:rsidRPr="005C2179">
        <w:rPr>
          <w:kern w:val="2"/>
          <w:sz w:val="22"/>
        </w:rPr>
        <w:t xml:space="preserve">Rules Governing Specific Types of Third Parties  </w:t>
      </w:r>
    </w:p>
    <w:p w14:paraId="53E32476" w14:textId="77777777" w:rsidR="00016158" w:rsidRPr="005C2179" w:rsidRDefault="00016158" w:rsidP="00016158">
      <w:pPr>
        <w:keepNext/>
        <w:rPr>
          <w:b/>
          <w:kern w:val="2"/>
          <w:sz w:val="20"/>
        </w:rPr>
      </w:pPr>
      <w:r w:rsidRPr="005C2179">
        <w:rPr>
          <w:b/>
          <w:kern w:val="2"/>
          <w:sz w:val="20"/>
        </w:rPr>
        <w:t xml:space="preserve">a) Companies </w:t>
      </w:r>
    </w:p>
    <w:p w14:paraId="4BFAAAA4" w14:textId="77777777" w:rsidR="00016158" w:rsidRPr="005C2179" w:rsidRDefault="00016158" w:rsidP="00016158">
      <w:pPr>
        <w:rPr>
          <w:kern w:val="2"/>
          <w:sz w:val="20"/>
        </w:rPr>
      </w:pPr>
      <w:r w:rsidRPr="005C2179">
        <w:rPr>
          <w:kern w:val="2"/>
          <w:sz w:val="20"/>
        </w:rPr>
        <w:t>Companies must obtain a resolution from their members authorizing political donations or expenditures in advance.</w:t>
      </w:r>
      <w:r w:rsidRPr="005C2179">
        <w:rPr>
          <w:rStyle w:val="FootnoteReference"/>
          <w:kern w:val="2"/>
          <w:sz w:val="20"/>
        </w:rPr>
        <w:footnoteReference w:id="480"/>
      </w:r>
      <w:r w:rsidRPr="005C2179">
        <w:rPr>
          <w:kern w:val="2"/>
          <w:sz w:val="20"/>
        </w:rPr>
        <w:t xml:space="preserve"> A resolution is not required unless the donation exceeds ₤5,000 by itself or in combination with other political donations made in the 12-month period leading up to the donation.</w:t>
      </w:r>
      <w:r w:rsidRPr="005C2179">
        <w:rPr>
          <w:rStyle w:val="FootnoteReference"/>
          <w:kern w:val="2"/>
          <w:sz w:val="20"/>
        </w:rPr>
        <w:footnoteReference w:id="481"/>
      </w:r>
      <w:r w:rsidRPr="005C2179">
        <w:rPr>
          <w:kern w:val="2"/>
          <w:sz w:val="20"/>
        </w:rPr>
        <w:t xml:space="preserve"> The resolution “must be expressed in general terms ... and must not purport to authorize particular donations or expenditure.”</w:t>
      </w:r>
      <w:r w:rsidRPr="005C2179">
        <w:rPr>
          <w:rStyle w:val="FootnoteReference"/>
          <w:kern w:val="2"/>
          <w:sz w:val="20"/>
        </w:rPr>
        <w:footnoteReference w:id="482"/>
      </w:r>
      <w:r w:rsidRPr="005C2179">
        <w:rPr>
          <w:kern w:val="2"/>
          <w:sz w:val="20"/>
        </w:rPr>
        <w:t xml:space="preserve"> The resolution has effect for four years.</w:t>
      </w:r>
      <w:r w:rsidRPr="005C2179">
        <w:rPr>
          <w:rStyle w:val="FootnoteReference"/>
          <w:kern w:val="2"/>
          <w:sz w:val="20"/>
        </w:rPr>
        <w:footnoteReference w:id="483"/>
      </w:r>
    </w:p>
    <w:p w14:paraId="6A71455E" w14:textId="77777777" w:rsidR="00016158" w:rsidRPr="005C2179" w:rsidRDefault="00016158" w:rsidP="00016158">
      <w:pPr>
        <w:rPr>
          <w:b/>
          <w:kern w:val="2"/>
          <w:sz w:val="20"/>
        </w:rPr>
      </w:pPr>
      <w:r w:rsidRPr="005C2179">
        <w:rPr>
          <w:b/>
          <w:kern w:val="2"/>
          <w:sz w:val="20"/>
        </w:rPr>
        <w:t xml:space="preserve">b) Trade Unions </w:t>
      </w:r>
    </w:p>
    <w:p w14:paraId="167F27A7" w14:textId="77777777" w:rsidR="00016158" w:rsidRPr="005C2179" w:rsidRDefault="00016158" w:rsidP="00016158">
      <w:pPr>
        <w:rPr>
          <w:kern w:val="2"/>
          <w:sz w:val="20"/>
        </w:rPr>
      </w:pPr>
      <w:r w:rsidRPr="005C2179">
        <w:rPr>
          <w:kern w:val="2"/>
          <w:sz w:val="20"/>
        </w:rPr>
        <w:t>Trade unions must ballot their members to establish a separate political fund for political donations and expenditures.</w:t>
      </w:r>
      <w:r w:rsidRPr="005C2179">
        <w:rPr>
          <w:rStyle w:val="FootnoteReference"/>
          <w:kern w:val="2"/>
          <w:sz w:val="20"/>
        </w:rPr>
        <w:footnoteReference w:id="484"/>
      </w:r>
      <w:r w:rsidRPr="005C2179">
        <w:rPr>
          <w:kern w:val="2"/>
          <w:sz w:val="20"/>
        </w:rPr>
        <w:t xml:space="preserve"> Members must opt in in order to contribute to the union’s political fund and may withdraw their opt-in notice at any time.</w:t>
      </w:r>
      <w:r w:rsidRPr="005C2179">
        <w:rPr>
          <w:rStyle w:val="FootnoteReference"/>
          <w:kern w:val="2"/>
          <w:sz w:val="20"/>
        </w:rPr>
        <w:footnoteReference w:id="485"/>
      </w:r>
      <w:r w:rsidRPr="005C2179">
        <w:rPr>
          <w:kern w:val="2"/>
          <w:sz w:val="20"/>
        </w:rPr>
        <w:t xml:space="preserve"> Further, the trade union must take all reasonable steps to notify members of their right to withdraw from contributing to the political fund.</w:t>
      </w:r>
      <w:r w:rsidRPr="005C2179">
        <w:rPr>
          <w:rStyle w:val="FootnoteReference"/>
          <w:kern w:val="2"/>
          <w:sz w:val="20"/>
        </w:rPr>
        <w:footnoteReference w:id="486"/>
      </w:r>
    </w:p>
    <w:p w14:paraId="2720F8DA" w14:textId="77777777" w:rsidR="00016158" w:rsidRPr="005C2179" w:rsidRDefault="00016158" w:rsidP="00016158">
      <w:pPr>
        <w:rPr>
          <w:kern w:val="2"/>
          <w:sz w:val="20"/>
        </w:rPr>
      </w:pPr>
      <w:r w:rsidRPr="005C2179">
        <w:rPr>
          <w:kern w:val="2"/>
          <w:sz w:val="20"/>
        </w:rPr>
        <w:t>Trade unions must provide detailed information in annual returns regarding payments out of their political fund if those payments exceed ₤2,000 in a calendar year.</w:t>
      </w:r>
      <w:r w:rsidRPr="005C2179">
        <w:rPr>
          <w:rStyle w:val="FootnoteReference"/>
          <w:kern w:val="2"/>
          <w:sz w:val="20"/>
        </w:rPr>
        <w:footnoteReference w:id="487"/>
      </w:r>
      <w:r w:rsidRPr="005C2179">
        <w:rPr>
          <w:kern w:val="2"/>
          <w:sz w:val="20"/>
        </w:rPr>
        <w:t xml:space="preserve"> For example, if a union contributes to a third-party campaigning organisation, the union’s annual return must include the name of the organisation, the amount paid to that organisation, the names of the political parties or candidates that the union hoped to support through the expenditure, and the amount of the expenditure spent in relation to each political party or candidate.</w:t>
      </w:r>
      <w:r w:rsidRPr="005C2179">
        <w:rPr>
          <w:rStyle w:val="FootnoteReference"/>
          <w:kern w:val="2"/>
          <w:sz w:val="20"/>
        </w:rPr>
        <w:footnoteReference w:id="488"/>
      </w:r>
      <w:r w:rsidRPr="005C2179">
        <w:rPr>
          <w:kern w:val="2"/>
          <w:sz w:val="20"/>
        </w:rPr>
        <w:t xml:space="preserve"> </w:t>
      </w:r>
    </w:p>
    <w:p w14:paraId="36F78C1A" w14:textId="77777777" w:rsidR="00016158" w:rsidRPr="005C2179" w:rsidRDefault="00016158" w:rsidP="00016158">
      <w:pPr>
        <w:rPr>
          <w:b/>
          <w:kern w:val="2"/>
          <w:sz w:val="20"/>
        </w:rPr>
      </w:pPr>
      <w:r w:rsidRPr="005C2179">
        <w:rPr>
          <w:b/>
          <w:kern w:val="2"/>
          <w:sz w:val="20"/>
        </w:rPr>
        <w:t xml:space="preserve">c) Unincorporated Associations </w:t>
      </w:r>
    </w:p>
    <w:p w14:paraId="51C6912B" w14:textId="77777777" w:rsidR="00016158" w:rsidRPr="005C2179" w:rsidRDefault="00016158" w:rsidP="00016158">
      <w:pPr>
        <w:rPr>
          <w:kern w:val="2"/>
          <w:sz w:val="20"/>
        </w:rPr>
      </w:pPr>
      <w:r w:rsidRPr="005C2179">
        <w:rPr>
          <w:kern w:val="2"/>
          <w:sz w:val="20"/>
        </w:rPr>
        <w:t>If an unincorporated association donates or lends over ₤25,000 in a year to a registered party or recognised third party, the association must report to the Electoral Commission any gifts over ₤7,500 received by the association before and after the association makes the political contribution.</w:t>
      </w:r>
      <w:r w:rsidRPr="005C2179">
        <w:rPr>
          <w:rStyle w:val="FootnoteReference"/>
          <w:kern w:val="2"/>
          <w:sz w:val="20"/>
        </w:rPr>
        <w:footnoteReference w:id="489"/>
      </w:r>
      <w:r w:rsidRPr="005C2179">
        <w:rPr>
          <w:kern w:val="2"/>
          <w:sz w:val="20"/>
        </w:rPr>
        <w:t xml:space="preserve"> The Electoral Commission must maintain a register of gifts reported to them by unincorporated associations.</w:t>
      </w:r>
      <w:r w:rsidRPr="005C2179">
        <w:rPr>
          <w:rStyle w:val="FootnoteReference"/>
          <w:kern w:val="2"/>
          <w:sz w:val="20"/>
        </w:rPr>
        <w:footnoteReference w:id="490"/>
      </w:r>
      <w:r w:rsidRPr="005C2179">
        <w:rPr>
          <w:kern w:val="2"/>
          <w:sz w:val="20"/>
        </w:rPr>
        <w:t xml:space="preserve"> </w:t>
      </w:r>
    </w:p>
    <w:p w14:paraId="49BC02A6" w14:textId="77777777" w:rsidR="00016158" w:rsidRPr="005C2179" w:rsidRDefault="00016158" w:rsidP="00016158">
      <w:pPr>
        <w:pStyle w:val="Heading3"/>
        <w:rPr>
          <w:kern w:val="2"/>
          <w:sz w:val="22"/>
        </w:rPr>
      </w:pPr>
      <w:r w:rsidRPr="005C2179">
        <w:rPr>
          <w:kern w:val="2"/>
          <w:sz w:val="22"/>
        </w:rPr>
        <w:t xml:space="preserve">Role of the Electoral Commission </w:t>
      </w:r>
    </w:p>
    <w:p w14:paraId="4CBE86F3" w14:textId="77777777" w:rsidR="00016158" w:rsidRPr="005C2179" w:rsidRDefault="00016158" w:rsidP="00016158">
      <w:pPr>
        <w:rPr>
          <w:kern w:val="2"/>
          <w:sz w:val="20"/>
        </w:rPr>
      </w:pPr>
      <w:r w:rsidRPr="005C2179">
        <w:rPr>
          <w:kern w:val="2"/>
          <w:sz w:val="20"/>
        </w:rPr>
        <w:t xml:space="preserve">The Electoral Commission supervises compliance with </w:t>
      </w:r>
      <w:r w:rsidRPr="005C2179">
        <w:rPr>
          <w:i/>
          <w:kern w:val="2"/>
          <w:sz w:val="20"/>
        </w:rPr>
        <w:t>PPERA</w:t>
      </w:r>
      <w:r w:rsidRPr="005C2179">
        <w:rPr>
          <w:kern w:val="2"/>
          <w:sz w:val="20"/>
        </w:rPr>
        <w:t xml:space="preserve"> and other electoral law statutes, such as the </w:t>
      </w:r>
      <w:r w:rsidRPr="005C2179">
        <w:rPr>
          <w:i/>
          <w:kern w:val="2"/>
          <w:sz w:val="20"/>
        </w:rPr>
        <w:t>RPA</w:t>
      </w:r>
      <w:r w:rsidRPr="005C2179">
        <w:rPr>
          <w:kern w:val="2"/>
          <w:sz w:val="20"/>
        </w:rPr>
        <w:t>.</w:t>
      </w:r>
      <w:r w:rsidRPr="005C2179">
        <w:rPr>
          <w:rStyle w:val="FootnoteReference"/>
          <w:kern w:val="2"/>
          <w:sz w:val="20"/>
        </w:rPr>
        <w:footnoteReference w:id="491"/>
      </w:r>
      <w:r w:rsidRPr="005C2179">
        <w:rPr>
          <w:kern w:val="2"/>
          <w:sz w:val="20"/>
        </w:rPr>
        <w:t xml:space="preserve"> It has the power to demand the production of documents or records of income and expenditure, to copy those documents and records, and to enter the premises of an individual or organization to retrieve those documents and records.</w:t>
      </w:r>
      <w:r w:rsidRPr="005C2179">
        <w:rPr>
          <w:rStyle w:val="FootnoteReference"/>
          <w:kern w:val="2"/>
          <w:sz w:val="20"/>
        </w:rPr>
        <w:footnoteReference w:id="492"/>
      </w:r>
      <w:r w:rsidRPr="005C2179">
        <w:rPr>
          <w:kern w:val="2"/>
          <w:sz w:val="20"/>
        </w:rPr>
        <w:t xml:space="preserve"> Failure to deliver documents to the Electoral Commission can lead to civil penalties.</w:t>
      </w:r>
      <w:r w:rsidRPr="005C2179">
        <w:rPr>
          <w:rStyle w:val="FootnoteReference"/>
          <w:kern w:val="2"/>
          <w:sz w:val="20"/>
        </w:rPr>
        <w:footnoteReference w:id="493"/>
      </w:r>
      <w:r w:rsidRPr="005C2179">
        <w:rPr>
          <w:kern w:val="2"/>
          <w:sz w:val="20"/>
        </w:rPr>
        <w:t xml:space="preserve"> The police, however, are responsible for initiating enforcement actions for criminal offences under</w:t>
      </w:r>
      <w:r w:rsidRPr="005C2179">
        <w:rPr>
          <w:i/>
          <w:kern w:val="2"/>
          <w:sz w:val="20"/>
        </w:rPr>
        <w:t xml:space="preserve"> PPERA</w:t>
      </w:r>
      <w:r w:rsidRPr="005C2179">
        <w:rPr>
          <w:kern w:val="2"/>
          <w:sz w:val="20"/>
        </w:rPr>
        <w:t>.</w:t>
      </w:r>
      <w:r w:rsidRPr="005C2179">
        <w:rPr>
          <w:rStyle w:val="FootnoteReference"/>
          <w:kern w:val="2"/>
          <w:sz w:val="20"/>
        </w:rPr>
        <w:footnoteReference w:id="494"/>
      </w:r>
      <w:r w:rsidRPr="005C2179">
        <w:rPr>
          <w:kern w:val="2"/>
          <w:sz w:val="20"/>
        </w:rPr>
        <w:t xml:space="preserve"> </w:t>
      </w:r>
    </w:p>
    <w:p w14:paraId="444C00A7" w14:textId="77777777" w:rsidR="00016158" w:rsidRPr="005C2179" w:rsidRDefault="00016158" w:rsidP="00016158">
      <w:pPr>
        <w:rPr>
          <w:kern w:val="2"/>
          <w:sz w:val="20"/>
        </w:rPr>
      </w:pPr>
      <w:r w:rsidRPr="005C2179">
        <w:rPr>
          <w:kern w:val="2"/>
          <w:sz w:val="20"/>
        </w:rPr>
        <w:t>Since 2009, four out of nine commissioners on the Electoral Commission have been nominated by the political parties.</w:t>
      </w:r>
      <w:r w:rsidRPr="005C2179">
        <w:rPr>
          <w:rStyle w:val="FootnoteReference"/>
          <w:kern w:val="2"/>
          <w:sz w:val="20"/>
        </w:rPr>
        <w:footnoteReference w:id="495"/>
      </w:r>
      <w:r w:rsidRPr="005C2179">
        <w:rPr>
          <w:kern w:val="2"/>
          <w:sz w:val="20"/>
        </w:rPr>
        <w:t xml:space="preserve"> This was introduced in response to criticisms that the commissioners, who formerly could not be members of parties or have held political office in the last ten years, were too apolitical and did not understand the “practical workings of political parties.”</w:t>
      </w:r>
      <w:r w:rsidRPr="005C2179">
        <w:rPr>
          <w:rStyle w:val="FootnoteReference"/>
          <w:kern w:val="2"/>
          <w:sz w:val="20"/>
        </w:rPr>
        <w:footnoteReference w:id="496"/>
      </w:r>
    </w:p>
    <w:p w14:paraId="32C1E17B" w14:textId="77777777" w:rsidR="00016158" w:rsidRPr="005C2179" w:rsidRDefault="00016158" w:rsidP="00016158">
      <w:pPr>
        <w:pStyle w:val="Heading2"/>
        <w:rPr>
          <w:kern w:val="2"/>
          <w:sz w:val="24"/>
        </w:rPr>
      </w:pPr>
      <w:r w:rsidRPr="005C2179">
        <w:rPr>
          <w:kern w:val="2"/>
          <w:sz w:val="24"/>
        </w:rPr>
        <w:t>Criticisms of Campaign Finance Regulation in the UK</w:t>
      </w:r>
    </w:p>
    <w:p w14:paraId="52F40B37" w14:textId="77777777" w:rsidR="00016158" w:rsidRPr="005C2179" w:rsidRDefault="00016158" w:rsidP="00016158">
      <w:pPr>
        <w:rPr>
          <w:kern w:val="2"/>
          <w:sz w:val="20"/>
        </w:rPr>
      </w:pPr>
      <w:r w:rsidRPr="005C2179">
        <w:rPr>
          <w:kern w:val="2"/>
          <w:sz w:val="20"/>
        </w:rPr>
        <w:t>A heavily criticized aspect of the UK’s campaign finance regime is the absence of donation caps.</w:t>
      </w:r>
      <w:r w:rsidRPr="005C2179">
        <w:rPr>
          <w:rStyle w:val="FootnoteReference"/>
          <w:kern w:val="2"/>
          <w:sz w:val="20"/>
        </w:rPr>
        <w:footnoteReference w:id="497"/>
      </w:r>
      <w:r w:rsidRPr="005C2179">
        <w:rPr>
          <w:kern w:val="2"/>
          <w:sz w:val="20"/>
        </w:rPr>
        <w:t xml:space="preserve"> Even though most campaign finance scandals in the UK involve donations, only spending is capped.</w:t>
      </w:r>
      <w:r w:rsidRPr="005C2179">
        <w:rPr>
          <w:rStyle w:val="FootnoteReference"/>
          <w:kern w:val="2"/>
          <w:sz w:val="20"/>
        </w:rPr>
        <w:footnoteReference w:id="498"/>
      </w:r>
      <w:r w:rsidRPr="005C2179">
        <w:rPr>
          <w:kern w:val="2"/>
          <w:sz w:val="20"/>
        </w:rPr>
        <w:t xml:space="preserve"> Uncapped donations allow reliance on a small number of large donors, which raises concerns regarding corruption, equality, fairness, and public confidence.</w:t>
      </w:r>
      <w:r w:rsidRPr="005C2179">
        <w:rPr>
          <w:rStyle w:val="FootnoteReference"/>
          <w:kern w:val="2"/>
          <w:sz w:val="20"/>
        </w:rPr>
        <w:footnoteReference w:id="499"/>
      </w:r>
      <w:r w:rsidRPr="005C2179">
        <w:rPr>
          <w:kern w:val="2"/>
          <w:sz w:val="20"/>
        </w:rPr>
        <w:t xml:space="preserve"> Admittedly, the UK’s spending limits might relieve the need for big donations to some extent by reducing demand for money. In addition, transparency requirements supposedly deter large donations through negative press attention. For example, after the disclosure requirements in </w:t>
      </w:r>
      <w:r w:rsidRPr="005C2179">
        <w:rPr>
          <w:i/>
          <w:kern w:val="2"/>
          <w:sz w:val="20"/>
        </w:rPr>
        <w:t xml:space="preserve">PPERA </w:t>
      </w:r>
      <w:r w:rsidRPr="005C2179">
        <w:rPr>
          <w:kern w:val="2"/>
          <w:sz w:val="20"/>
        </w:rPr>
        <w:t>came into force in 2000, the media seized on instances in which large donors to the Labour Party obtained some benefit from government around the same time they made donations.</w:t>
      </w:r>
      <w:r w:rsidRPr="005C2179">
        <w:rPr>
          <w:rStyle w:val="FootnoteReference"/>
          <w:kern w:val="2"/>
          <w:sz w:val="20"/>
        </w:rPr>
        <w:footnoteReference w:id="500"/>
      </w:r>
      <w:r w:rsidRPr="005C2179">
        <w:rPr>
          <w:kern w:val="2"/>
          <w:sz w:val="20"/>
        </w:rPr>
        <w:t xml:space="preserve"> The resulting scandal may have deterred future large donors.</w:t>
      </w:r>
      <w:r w:rsidRPr="005C2179">
        <w:rPr>
          <w:rStyle w:val="FootnoteReference"/>
          <w:kern w:val="2"/>
          <w:sz w:val="20"/>
        </w:rPr>
        <w:footnoteReference w:id="501"/>
      </w:r>
      <w:r w:rsidRPr="005C2179">
        <w:rPr>
          <w:kern w:val="2"/>
          <w:sz w:val="20"/>
        </w:rPr>
        <w:t xml:space="preserve"> However, Fisher notes this deterrence did not appear to be at work in the 2008 and 2010 elections.</w:t>
      </w:r>
      <w:r w:rsidRPr="005C2179">
        <w:rPr>
          <w:rStyle w:val="FootnoteReference"/>
          <w:kern w:val="2"/>
          <w:sz w:val="20"/>
        </w:rPr>
        <w:footnoteReference w:id="502"/>
      </w:r>
      <w:r w:rsidRPr="005C2179">
        <w:rPr>
          <w:kern w:val="2"/>
          <w:sz w:val="20"/>
        </w:rPr>
        <w:t xml:space="preserve"> Fisher argues further that, in spite of </w:t>
      </w:r>
      <w:r w:rsidRPr="005C2179">
        <w:rPr>
          <w:i/>
          <w:kern w:val="2"/>
          <w:sz w:val="20"/>
        </w:rPr>
        <w:t>PPERA</w:t>
      </w:r>
      <w:r w:rsidRPr="005C2179">
        <w:rPr>
          <w:kern w:val="2"/>
          <w:sz w:val="20"/>
        </w:rPr>
        <w:t>’s spending limits, the demand for money among parties has continued unabated, especially after the devolution of power to Scotland, Wales, and Northern Ireland and associated extra elections.</w:t>
      </w:r>
      <w:r w:rsidRPr="005C2179">
        <w:rPr>
          <w:rStyle w:val="FootnoteReference"/>
          <w:kern w:val="2"/>
          <w:sz w:val="20"/>
        </w:rPr>
        <w:footnoteReference w:id="503"/>
      </w:r>
      <w:r w:rsidRPr="005C2179">
        <w:rPr>
          <w:kern w:val="2"/>
          <w:sz w:val="20"/>
        </w:rPr>
        <w:t xml:space="preserve"> The major parties’ reliance on large donations could also be exacerbated by “the decline of other forms of party income.”</w:t>
      </w:r>
      <w:r w:rsidRPr="005C2179">
        <w:rPr>
          <w:rStyle w:val="FootnoteReference"/>
          <w:kern w:val="2"/>
          <w:sz w:val="20"/>
        </w:rPr>
        <w:footnoteReference w:id="504"/>
      </w:r>
    </w:p>
    <w:p w14:paraId="775F2D85" w14:textId="77777777" w:rsidR="00016158" w:rsidRPr="005C2179" w:rsidRDefault="00016158" w:rsidP="00016158">
      <w:pPr>
        <w:rPr>
          <w:kern w:val="2"/>
          <w:sz w:val="20"/>
        </w:rPr>
      </w:pPr>
      <w:r w:rsidRPr="005C2179">
        <w:rPr>
          <w:kern w:val="2"/>
          <w:sz w:val="20"/>
        </w:rPr>
        <w:t xml:space="preserve">Others criticize </w:t>
      </w:r>
      <w:r w:rsidRPr="005C2179">
        <w:rPr>
          <w:i/>
          <w:kern w:val="2"/>
          <w:sz w:val="20"/>
        </w:rPr>
        <w:t>PPERA</w:t>
      </w:r>
      <w:r w:rsidRPr="005C2179">
        <w:rPr>
          <w:kern w:val="2"/>
          <w:sz w:val="20"/>
        </w:rPr>
        <w:t>’s spending limits for leaving out local, constituency-level party branches.</w:t>
      </w:r>
      <w:r w:rsidRPr="005C2179">
        <w:rPr>
          <w:rStyle w:val="FootnoteReference"/>
          <w:kern w:val="2"/>
          <w:sz w:val="20"/>
        </w:rPr>
        <w:footnoteReference w:id="505"/>
      </w:r>
      <w:r w:rsidRPr="005C2179">
        <w:rPr>
          <w:kern w:val="2"/>
          <w:sz w:val="20"/>
        </w:rPr>
        <w:t xml:space="preserve"> As noted by Johnston and Pattie, candidates are subject to stricter regulation than parties at the constituency level.</w:t>
      </w:r>
      <w:r w:rsidRPr="005C2179">
        <w:rPr>
          <w:rStyle w:val="FootnoteReference"/>
          <w:kern w:val="2"/>
          <w:sz w:val="20"/>
        </w:rPr>
        <w:footnoteReference w:id="506"/>
      </w:r>
      <w:r w:rsidRPr="005C2179">
        <w:rPr>
          <w:kern w:val="2"/>
          <w:sz w:val="20"/>
        </w:rPr>
        <w:t xml:space="preserve"> They argue in favour of stricter regulation for local party units, particularly in light of the importance of local party branches in campaigning for marginal seats and the apparent effectiveness of local campaigning.</w:t>
      </w:r>
      <w:r w:rsidRPr="005C2179">
        <w:rPr>
          <w:rStyle w:val="FootnoteReference"/>
          <w:kern w:val="2"/>
          <w:sz w:val="20"/>
        </w:rPr>
        <w:footnoteReference w:id="507"/>
      </w:r>
      <w:r w:rsidRPr="005C2179">
        <w:rPr>
          <w:kern w:val="2"/>
          <w:sz w:val="20"/>
        </w:rPr>
        <w:t xml:space="preserve"> Fisher adds that spending at the constituency level will only become more important as volunteer campaigning drops with falling party membership.</w:t>
      </w:r>
      <w:r w:rsidRPr="005C2179">
        <w:rPr>
          <w:rStyle w:val="FootnoteReference"/>
          <w:kern w:val="2"/>
          <w:sz w:val="20"/>
        </w:rPr>
        <w:footnoteReference w:id="508"/>
      </w:r>
    </w:p>
    <w:p w14:paraId="196240C7" w14:textId="77777777" w:rsidR="00016158" w:rsidRPr="005C2179" w:rsidRDefault="00016158" w:rsidP="00016158">
      <w:pPr>
        <w:rPr>
          <w:kern w:val="2"/>
          <w:sz w:val="20"/>
        </w:rPr>
      </w:pPr>
      <w:r w:rsidRPr="005C2179">
        <w:rPr>
          <w:kern w:val="2"/>
          <w:sz w:val="20"/>
        </w:rPr>
        <w:t xml:space="preserve">The timing of spending limits under </w:t>
      </w:r>
      <w:r w:rsidRPr="005C2179">
        <w:rPr>
          <w:i/>
          <w:kern w:val="2"/>
          <w:sz w:val="20"/>
        </w:rPr>
        <w:t xml:space="preserve">PPERA </w:t>
      </w:r>
      <w:r w:rsidRPr="005C2179">
        <w:rPr>
          <w:kern w:val="2"/>
          <w:sz w:val="20"/>
        </w:rPr>
        <w:t>is also problematic. The spending limits apply in the 365 days before a general election, yet elections are usually announced four to six weeks before polling day.</w:t>
      </w:r>
      <w:r w:rsidRPr="005C2179">
        <w:rPr>
          <w:rStyle w:val="FootnoteReference"/>
          <w:kern w:val="2"/>
          <w:sz w:val="20"/>
        </w:rPr>
        <w:footnoteReference w:id="509"/>
      </w:r>
      <w:r w:rsidRPr="005C2179">
        <w:rPr>
          <w:kern w:val="2"/>
          <w:sz w:val="20"/>
        </w:rPr>
        <w:t xml:space="preserve"> As a result, parties cannot know whether the regulated period has begun and will struggle to “time their run.”</w:t>
      </w:r>
      <w:r w:rsidRPr="005C2179">
        <w:rPr>
          <w:rStyle w:val="FootnoteReference"/>
          <w:kern w:val="2"/>
          <w:sz w:val="20"/>
        </w:rPr>
        <w:footnoteReference w:id="510"/>
      </w:r>
      <w:r w:rsidRPr="005C2179">
        <w:rPr>
          <w:kern w:val="2"/>
          <w:sz w:val="20"/>
        </w:rPr>
        <w:t xml:space="preserve"> Further, since the ruling party basically sets the date of the election, incumbents have a “tactical advantage.”</w:t>
      </w:r>
      <w:r w:rsidRPr="005C2179">
        <w:rPr>
          <w:rStyle w:val="FootnoteReference"/>
          <w:kern w:val="2"/>
          <w:sz w:val="20"/>
        </w:rPr>
        <w:footnoteReference w:id="511"/>
      </w:r>
    </w:p>
    <w:p w14:paraId="695BD6B3" w14:textId="77777777" w:rsidR="00016158" w:rsidRPr="005C2179" w:rsidRDefault="00016158" w:rsidP="00016158">
      <w:pPr>
        <w:rPr>
          <w:kern w:val="2"/>
          <w:sz w:val="20"/>
        </w:rPr>
      </w:pPr>
      <w:r w:rsidRPr="005C2179">
        <w:rPr>
          <w:kern w:val="2"/>
          <w:sz w:val="20"/>
        </w:rPr>
        <w:t>Criticism has also been directed toward the source restrictions and transparency requirements for political donations. Rowbottom argues that the permissible donor scheme can be circumvented through the use of corporate vehicles.</w:t>
      </w:r>
      <w:r w:rsidRPr="005C2179">
        <w:rPr>
          <w:rStyle w:val="FootnoteReference"/>
          <w:kern w:val="2"/>
          <w:sz w:val="20"/>
        </w:rPr>
        <w:footnoteReference w:id="512"/>
      </w:r>
      <w:r w:rsidRPr="005C2179">
        <w:rPr>
          <w:kern w:val="2"/>
          <w:sz w:val="20"/>
        </w:rPr>
        <w:t xml:space="preserve"> For example, a foreign national could effectively make a political donation through a company carrying on business in the UK, as long as the company did not act as an agent for the foreign national.</w:t>
      </w:r>
      <w:r w:rsidRPr="005C2179">
        <w:rPr>
          <w:rStyle w:val="FootnoteReference"/>
          <w:kern w:val="2"/>
          <w:sz w:val="20"/>
        </w:rPr>
        <w:footnoteReference w:id="513"/>
      </w:r>
      <w:r w:rsidRPr="005C2179">
        <w:rPr>
          <w:kern w:val="2"/>
          <w:sz w:val="20"/>
        </w:rPr>
        <w:t xml:space="preserve"> Lesser transparency requirements in Northern Ireland, where donors need not be disclosed, may also allow circumvention of </w:t>
      </w:r>
      <w:r w:rsidRPr="005C2179">
        <w:rPr>
          <w:i/>
          <w:kern w:val="2"/>
          <w:sz w:val="20"/>
        </w:rPr>
        <w:t>PPERA</w:t>
      </w:r>
      <w:r w:rsidRPr="005C2179">
        <w:rPr>
          <w:kern w:val="2"/>
          <w:sz w:val="20"/>
        </w:rPr>
        <w:t>’s transparency rules. For example, the Democratic Unionist Party of Northern Ireland caused controversy after accepting a ₤425,000 donation for the purpose of pro-Brexit advertising in England and Scotland.</w:t>
      </w:r>
      <w:r w:rsidRPr="005C2179">
        <w:rPr>
          <w:rStyle w:val="FootnoteReference"/>
          <w:kern w:val="2"/>
          <w:sz w:val="20"/>
        </w:rPr>
        <w:footnoteReference w:id="514"/>
      </w:r>
      <w:r w:rsidRPr="005C2179">
        <w:rPr>
          <w:i/>
          <w:kern w:val="2"/>
          <w:sz w:val="20"/>
        </w:rPr>
        <w:t xml:space="preserve"> </w:t>
      </w:r>
      <w:r w:rsidRPr="005C2179">
        <w:rPr>
          <w:kern w:val="2"/>
          <w:sz w:val="20"/>
        </w:rPr>
        <w:t>The party was not required by the law of Northern Ireland to disclose the source of the donation, even though the advertising took place outside of Northern Ireland.</w:t>
      </w:r>
    </w:p>
    <w:p w14:paraId="03488B04" w14:textId="77777777" w:rsidR="00016158" w:rsidRPr="005C2179" w:rsidRDefault="00016158" w:rsidP="00016158">
      <w:pPr>
        <w:rPr>
          <w:kern w:val="2"/>
          <w:sz w:val="20"/>
        </w:rPr>
      </w:pPr>
      <w:r w:rsidRPr="005C2179">
        <w:rPr>
          <w:kern w:val="2"/>
          <w:sz w:val="20"/>
        </w:rPr>
        <w:t xml:space="preserve">Complexity is another problem plaguing the UK’s campaign finance regime. Ghaleigh observes that </w:t>
      </w:r>
      <w:r w:rsidRPr="005C2179">
        <w:rPr>
          <w:i/>
          <w:kern w:val="2"/>
          <w:sz w:val="20"/>
        </w:rPr>
        <w:t>PPERA</w:t>
      </w:r>
      <w:r w:rsidRPr="005C2179">
        <w:rPr>
          <w:kern w:val="2"/>
          <w:sz w:val="20"/>
        </w:rPr>
        <w:t>’s labyrinthine intricacy “impose[s] a regulatory burden that risks unintended consequences.”</w:t>
      </w:r>
      <w:r w:rsidRPr="005C2179">
        <w:rPr>
          <w:rStyle w:val="FootnoteReference"/>
          <w:kern w:val="2"/>
          <w:sz w:val="20"/>
        </w:rPr>
        <w:footnoteReference w:id="515"/>
      </w:r>
      <w:r w:rsidRPr="005C2179">
        <w:rPr>
          <w:kern w:val="2"/>
          <w:sz w:val="20"/>
        </w:rPr>
        <w:t xml:space="preserve"> Volunteers at the local party level are unlikely to fully understand the requirements of </w:t>
      </w:r>
      <w:r w:rsidRPr="005C2179">
        <w:rPr>
          <w:i/>
          <w:kern w:val="2"/>
          <w:sz w:val="20"/>
        </w:rPr>
        <w:t>PPERA’</w:t>
      </w:r>
      <w:r w:rsidRPr="005C2179">
        <w:rPr>
          <w:kern w:val="2"/>
          <w:sz w:val="20"/>
        </w:rPr>
        <w:t>s “heavily amended” provisions, which could lead to fears of liability and a chilling effect.</w:t>
      </w:r>
      <w:r w:rsidRPr="005C2179">
        <w:rPr>
          <w:rStyle w:val="FootnoteReference"/>
          <w:kern w:val="2"/>
          <w:sz w:val="20"/>
        </w:rPr>
        <w:footnoteReference w:id="516"/>
      </w:r>
      <w:r w:rsidRPr="005C2179">
        <w:rPr>
          <w:kern w:val="2"/>
          <w:sz w:val="20"/>
        </w:rPr>
        <w:t xml:space="preserve"> Gauja and Orr also note that the introduction of stricter third-party campaigning regulations in 2014 could hinder the ability of voluntary organizations to “speak on issues of concern,” creating a “chilling effect on democracy.”</w:t>
      </w:r>
      <w:r w:rsidRPr="005C2179">
        <w:rPr>
          <w:rStyle w:val="FootnoteReference"/>
          <w:kern w:val="2"/>
          <w:sz w:val="20"/>
        </w:rPr>
        <w:footnoteReference w:id="517"/>
      </w:r>
      <w:r w:rsidRPr="005C2179">
        <w:rPr>
          <w:kern w:val="2"/>
          <w:sz w:val="20"/>
        </w:rPr>
        <w:t xml:space="preserve"> Some organizations may be unable to pay for independent legal advice to sort out the complex third-party rules, although the Electoral Commission releases guidance for third-party campaigners under section 3 of the </w:t>
      </w:r>
      <w:r w:rsidRPr="005C2179">
        <w:rPr>
          <w:i/>
          <w:kern w:val="2"/>
          <w:sz w:val="20"/>
        </w:rPr>
        <w:t>Transparency of Non-Party Campaigning Act.</w:t>
      </w:r>
      <w:r w:rsidRPr="005C2179">
        <w:rPr>
          <w:rStyle w:val="FootnoteReference"/>
          <w:kern w:val="2"/>
          <w:sz w:val="20"/>
        </w:rPr>
        <w:footnoteReference w:id="518"/>
      </w:r>
      <w:r w:rsidRPr="005C2179">
        <w:rPr>
          <w:kern w:val="2"/>
          <w:sz w:val="20"/>
        </w:rPr>
        <w:t xml:space="preserve"> Small political parties may also lack the resources to meet reporting requirements, although the Electoral Commission may provide some assistance.</w:t>
      </w:r>
      <w:r w:rsidRPr="005C2179">
        <w:rPr>
          <w:rStyle w:val="FootnoteReference"/>
          <w:kern w:val="2"/>
          <w:sz w:val="20"/>
        </w:rPr>
        <w:footnoteReference w:id="519"/>
      </w:r>
      <w:r w:rsidRPr="005C2179">
        <w:rPr>
          <w:kern w:val="2"/>
          <w:sz w:val="20"/>
        </w:rPr>
        <w:t xml:space="preserve"> </w:t>
      </w:r>
    </w:p>
    <w:p w14:paraId="1109C0D8" w14:textId="77777777" w:rsidR="00016158" w:rsidRPr="005C2179" w:rsidRDefault="00016158" w:rsidP="00016158">
      <w:pPr>
        <w:rPr>
          <w:kern w:val="2"/>
          <w:sz w:val="20"/>
        </w:rPr>
      </w:pPr>
      <w:r w:rsidRPr="005C2179">
        <w:rPr>
          <w:kern w:val="2"/>
          <w:sz w:val="20"/>
        </w:rPr>
        <w:t>The UK’s ban on paid political advertising on broadcast media has drawn criticism for its impact on freedom of expression, particularly in relation to public interest organizations.</w:t>
      </w:r>
      <w:r w:rsidRPr="005C2179">
        <w:rPr>
          <w:rStyle w:val="FootnoteReference"/>
          <w:kern w:val="2"/>
          <w:sz w:val="20"/>
        </w:rPr>
        <w:footnoteReference w:id="520"/>
      </w:r>
      <w:r w:rsidRPr="005C2179">
        <w:rPr>
          <w:kern w:val="2"/>
          <w:sz w:val="20"/>
        </w:rPr>
        <w:t xml:space="preserve"> Critics argue the ban is overbroad, since it captures “not just political parties but social advocacy groups seeking to take part in debate about matters of controversy.”</w:t>
      </w:r>
      <w:r w:rsidRPr="005C2179">
        <w:rPr>
          <w:rStyle w:val="FootnoteReference"/>
          <w:kern w:val="2"/>
          <w:sz w:val="20"/>
        </w:rPr>
        <w:footnoteReference w:id="521"/>
      </w:r>
      <w:r w:rsidRPr="005C2179">
        <w:rPr>
          <w:kern w:val="2"/>
          <w:sz w:val="20"/>
        </w:rPr>
        <w:t xml:space="preserve"> Using Amnesty International as an example, Barendt explains that the ban may preclude charities from running short advertisements on radio or television.</w:t>
      </w:r>
      <w:r w:rsidRPr="005C2179">
        <w:rPr>
          <w:rStyle w:val="FootnoteReference"/>
          <w:kern w:val="2"/>
          <w:sz w:val="20"/>
          <w:shd w:val="clear" w:color="auto" w:fill="FFFFFF"/>
        </w:rPr>
        <w:footnoteReference w:id="522"/>
      </w:r>
      <w:r w:rsidRPr="005C2179">
        <w:rPr>
          <w:kern w:val="2"/>
          <w:sz w:val="20"/>
        </w:rPr>
        <w:t xml:space="preserve"> To Barendt, this constitutes “</w:t>
      </w:r>
      <w:r w:rsidRPr="005C2179">
        <w:rPr>
          <w:kern w:val="2"/>
          <w:sz w:val="20"/>
          <w:shd w:val="clear" w:color="auto" w:fill="FFFFFF"/>
        </w:rPr>
        <w:t>a monstrous and unjustifiable infringement of freedom of expression.”</w:t>
      </w:r>
      <w:r w:rsidRPr="005C2179">
        <w:rPr>
          <w:rStyle w:val="FootnoteReference"/>
          <w:kern w:val="2"/>
          <w:sz w:val="20"/>
          <w:shd w:val="clear" w:color="auto" w:fill="FFFFFF"/>
        </w:rPr>
        <w:footnoteReference w:id="523"/>
      </w:r>
      <w:r w:rsidRPr="005C2179">
        <w:rPr>
          <w:kern w:val="2"/>
          <w:sz w:val="20"/>
          <w:shd w:val="clear" w:color="auto" w:fill="FFFFFF"/>
        </w:rPr>
        <w:t xml:space="preserve"> T</w:t>
      </w:r>
      <w:r w:rsidRPr="005C2179">
        <w:rPr>
          <w:kern w:val="2"/>
          <w:sz w:val="20"/>
        </w:rPr>
        <w:t xml:space="preserve">he case of </w:t>
      </w:r>
      <w:r w:rsidRPr="005C2179">
        <w:rPr>
          <w:i/>
          <w:kern w:val="2"/>
          <w:sz w:val="20"/>
        </w:rPr>
        <w:t>Animal Defenders</w:t>
      </w:r>
      <w:r w:rsidRPr="005C2179">
        <w:rPr>
          <w:kern w:val="2"/>
          <w:sz w:val="20"/>
        </w:rPr>
        <w:t>, which involved advertisements funded by an animal welfare organization, arguably provided an example of overbreadth. As noted by three of the dissenting justices in that case, nobody was suggesting that Animal Defenders International “was a financially powerful body with the aim or possibility of ... unduly distorting the public debate.”</w:t>
      </w:r>
      <w:r w:rsidRPr="005C2179">
        <w:rPr>
          <w:rStyle w:val="FootnoteReference"/>
          <w:kern w:val="2"/>
          <w:sz w:val="20"/>
        </w:rPr>
        <w:footnoteReference w:id="524"/>
      </w:r>
      <w:r w:rsidRPr="005C2179">
        <w:rPr>
          <w:kern w:val="2"/>
          <w:sz w:val="20"/>
        </w:rPr>
        <w:t xml:space="preserve"> Five other dissenting justices in </w:t>
      </w:r>
      <w:r w:rsidRPr="005C2179">
        <w:rPr>
          <w:i/>
          <w:kern w:val="2"/>
          <w:sz w:val="20"/>
        </w:rPr>
        <w:t>Animal Defenders</w:t>
      </w:r>
      <w:r w:rsidRPr="005C2179">
        <w:rPr>
          <w:kern w:val="2"/>
          <w:sz w:val="20"/>
        </w:rPr>
        <w:t xml:space="preserve"> argued further that “the prohibition applied to the most protected form of expression (public interest speech), by one of the most important actors in the democratic process (an NGO) and on one of the most influential media (broadcasting).”</w:t>
      </w:r>
      <w:r w:rsidRPr="005C2179">
        <w:rPr>
          <w:rStyle w:val="FootnoteReference"/>
          <w:kern w:val="2"/>
          <w:sz w:val="20"/>
        </w:rPr>
        <w:footnoteReference w:id="525"/>
      </w:r>
      <w:r w:rsidRPr="005C2179">
        <w:rPr>
          <w:kern w:val="2"/>
          <w:sz w:val="20"/>
        </w:rPr>
        <w:t xml:space="preserve"> </w:t>
      </w:r>
    </w:p>
    <w:p w14:paraId="3E37CE47" w14:textId="77777777" w:rsidR="00016158" w:rsidRPr="005C2179" w:rsidRDefault="00016158" w:rsidP="00016158">
      <w:pPr>
        <w:rPr>
          <w:kern w:val="2"/>
          <w:sz w:val="20"/>
        </w:rPr>
      </w:pPr>
      <w:r w:rsidRPr="005C2179">
        <w:rPr>
          <w:kern w:val="2"/>
          <w:sz w:val="20"/>
        </w:rPr>
        <w:t>Critics also observe that the ban on paid political advertising prevents public interest groups from responding to commercial advertising on broadcast media. As Lewis points out, “under the current state of affairs a car manufacturer may advertise its SUVs on television without limit (finances permitting), but an NGO wishing to publicize the impact of such vehicles on the environment is prohibited, by law, from doing so.”</w:t>
      </w:r>
      <w:r w:rsidRPr="005C2179">
        <w:rPr>
          <w:rStyle w:val="FootnoteReference"/>
          <w:kern w:val="2"/>
          <w:sz w:val="20"/>
        </w:rPr>
        <w:footnoteReference w:id="526"/>
      </w:r>
      <w:r w:rsidRPr="005C2179">
        <w:rPr>
          <w:kern w:val="2"/>
          <w:sz w:val="20"/>
        </w:rPr>
        <w:t xml:space="preserve"> Similarly, in Barendt’s view:</w:t>
      </w:r>
    </w:p>
    <w:p w14:paraId="7DF13FEC" w14:textId="77777777" w:rsidR="00016158" w:rsidRPr="005C2179" w:rsidRDefault="00016158" w:rsidP="00016158">
      <w:pPr>
        <w:pStyle w:val="BlockQuote"/>
        <w:rPr>
          <w:kern w:val="2"/>
          <w:sz w:val="20"/>
        </w:rPr>
      </w:pPr>
      <w:r w:rsidRPr="005C2179">
        <w:rPr>
          <w:kern w:val="2"/>
          <w:sz w:val="20"/>
          <w:shd w:val="clear" w:color="auto" w:fill="FFFFFF"/>
        </w:rPr>
        <w:t>It can make no sense to allow commercial ads for automobiles and gas and other products associated with driving, or to allow the government to insert public service adverts ... but not to allow groups to pay for political adverts to make the opposite case.</w:t>
      </w:r>
      <w:r w:rsidRPr="005C2179">
        <w:rPr>
          <w:rStyle w:val="FootnoteReference"/>
          <w:kern w:val="2"/>
          <w:sz w:val="20"/>
        </w:rPr>
        <w:footnoteReference w:id="527"/>
      </w:r>
    </w:p>
    <w:p w14:paraId="2B2E418A" w14:textId="77777777" w:rsidR="00016158" w:rsidRPr="005C2179" w:rsidRDefault="00016158" w:rsidP="00016158">
      <w:pPr>
        <w:rPr>
          <w:kern w:val="2"/>
          <w:sz w:val="20"/>
        </w:rPr>
      </w:pPr>
      <w:r w:rsidRPr="005C2179">
        <w:rPr>
          <w:kern w:val="2"/>
          <w:sz w:val="20"/>
        </w:rPr>
        <w:t>Critics of the ban on paid political advertising maintain that less restrictive options exist to level the playing field of public debate.</w:t>
      </w:r>
      <w:r w:rsidRPr="005C2179">
        <w:rPr>
          <w:rStyle w:val="FootnoteReference"/>
          <w:kern w:val="2"/>
          <w:sz w:val="20"/>
        </w:rPr>
        <w:footnoteReference w:id="528"/>
      </w:r>
      <w:r w:rsidRPr="005C2179">
        <w:rPr>
          <w:kern w:val="2"/>
          <w:sz w:val="20"/>
        </w:rPr>
        <w:t xml:space="preserve"> Barendt argues that lawmakers can prevent </w:t>
      </w:r>
      <w:r w:rsidRPr="005C2179">
        <w:rPr>
          <w:kern w:val="2"/>
          <w:sz w:val="20"/>
          <w:shd w:val="clear" w:color="auto" w:fill="FFFFFF"/>
        </w:rPr>
        <w:t xml:space="preserve">“the domination of politics by ultra rich ... groups” through </w:t>
      </w:r>
      <w:r w:rsidRPr="005C2179">
        <w:rPr>
          <w:kern w:val="2"/>
          <w:sz w:val="20"/>
        </w:rPr>
        <w:t>spending limits on advertising and restrictions on “</w:t>
      </w:r>
      <w:r w:rsidRPr="005C2179">
        <w:rPr>
          <w:kern w:val="2"/>
          <w:sz w:val="20"/>
          <w:shd w:val="clear" w:color="auto" w:fill="FFFFFF"/>
        </w:rPr>
        <w:t>the number of spots which could be purchased.”</w:t>
      </w:r>
      <w:r w:rsidRPr="005C2179">
        <w:rPr>
          <w:rStyle w:val="FootnoteReference"/>
          <w:kern w:val="2"/>
          <w:sz w:val="20"/>
          <w:shd w:val="clear" w:color="auto" w:fill="FFFFFF"/>
        </w:rPr>
        <w:footnoteReference w:id="529"/>
      </w:r>
      <w:r w:rsidRPr="005C2179">
        <w:rPr>
          <w:kern w:val="2"/>
          <w:sz w:val="20"/>
          <w:shd w:val="clear" w:color="auto" w:fill="FFFFFF"/>
        </w:rPr>
        <w:t xml:space="preserve"> </w:t>
      </w:r>
      <w:r w:rsidRPr="005C2179">
        <w:rPr>
          <w:kern w:val="2"/>
          <w:sz w:val="20"/>
        </w:rPr>
        <w:t>Both supporters and critics of the ban also question why it applies only to broadcast media.</w:t>
      </w:r>
      <w:r w:rsidRPr="005C2179">
        <w:rPr>
          <w:rStyle w:val="FootnoteReference"/>
          <w:kern w:val="2"/>
          <w:sz w:val="20"/>
        </w:rPr>
        <w:footnoteReference w:id="530"/>
      </w:r>
      <w:r w:rsidRPr="005C2179">
        <w:rPr>
          <w:kern w:val="2"/>
          <w:sz w:val="20"/>
        </w:rPr>
        <w:t xml:space="preserve"> Television and radio are declining in importance while digital advertising, particularly on social media websites, is growing in importance. As a result, the goal of promoting a level playing field is undermined by the lack of regulation governing digital political advertisements, leading some commentators to argue that regulation should be extended to non-broadcast media.</w:t>
      </w:r>
      <w:r w:rsidRPr="005C2179">
        <w:rPr>
          <w:rStyle w:val="FootnoteReference"/>
          <w:kern w:val="2"/>
          <w:sz w:val="20"/>
        </w:rPr>
        <w:footnoteReference w:id="531"/>
      </w:r>
      <w:r w:rsidRPr="005C2179">
        <w:rPr>
          <w:kern w:val="2"/>
          <w:sz w:val="20"/>
        </w:rPr>
        <w:t xml:space="preserve"> </w:t>
      </w:r>
    </w:p>
    <w:p w14:paraId="289507E7" w14:textId="77777777" w:rsidR="00016158" w:rsidRPr="005C2179" w:rsidRDefault="00016158" w:rsidP="00016158">
      <w:pPr>
        <w:rPr>
          <w:kern w:val="2"/>
          <w:sz w:val="20"/>
        </w:rPr>
      </w:pPr>
      <w:r w:rsidRPr="005C2179">
        <w:rPr>
          <w:kern w:val="2"/>
          <w:sz w:val="20"/>
        </w:rPr>
        <w:t>Other criticisms of UK campaign finance law include the parsimoniousness of the public funding regime, which derives partly from public hostility toward the public funding of election campaigns.</w:t>
      </w:r>
      <w:r w:rsidRPr="005C2179">
        <w:rPr>
          <w:rStyle w:val="FootnoteReference"/>
          <w:kern w:val="2"/>
          <w:sz w:val="20"/>
        </w:rPr>
        <w:footnoteReference w:id="532"/>
      </w:r>
      <w:r w:rsidRPr="005C2179">
        <w:rPr>
          <w:kern w:val="2"/>
          <w:sz w:val="20"/>
        </w:rPr>
        <w:t xml:space="preserve"> Ewing and Rowbottom also point to holes in the reporting requirements for third parties. Regulations do not cover internal communications between organizations and their members, while some third parties, like newspaper companies, are excluded altogether.</w:t>
      </w:r>
      <w:r w:rsidRPr="005C2179">
        <w:rPr>
          <w:rStyle w:val="FootnoteReference"/>
          <w:kern w:val="2"/>
          <w:sz w:val="20"/>
        </w:rPr>
        <w:footnoteReference w:id="533"/>
      </w:r>
      <w:r w:rsidRPr="005C2179">
        <w:rPr>
          <w:kern w:val="2"/>
          <w:sz w:val="20"/>
        </w:rPr>
        <w:t xml:space="preserve"> In addition, Ghaleigh criticizes the lack of sanctioning options for contraventions of </w:t>
      </w:r>
      <w:r w:rsidRPr="005C2179">
        <w:rPr>
          <w:i/>
          <w:kern w:val="2"/>
          <w:sz w:val="20"/>
        </w:rPr>
        <w:t>PPERA</w:t>
      </w:r>
      <w:r w:rsidRPr="005C2179">
        <w:rPr>
          <w:kern w:val="2"/>
          <w:sz w:val="20"/>
        </w:rPr>
        <w:t>. The Electoral Commission may either issue a reprimand, which is essentially “nothing,” or refer the matter to the criminal prosecution authorities, which may be overly heavy-handed in some cases.</w:t>
      </w:r>
      <w:r w:rsidRPr="005C2179">
        <w:rPr>
          <w:rStyle w:val="FootnoteReference"/>
          <w:kern w:val="2"/>
          <w:sz w:val="20"/>
        </w:rPr>
        <w:footnoteReference w:id="534"/>
      </w:r>
      <w:r w:rsidRPr="005C2179">
        <w:rPr>
          <w:kern w:val="2"/>
          <w:sz w:val="20"/>
        </w:rPr>
        <w:t xml:space="preserve"> Finally, because of the Electoral Commission’s “broad range of duties,” some critics warn against the “risk of overburdening.”</w:t>
      </w:r>
      <w:r w:rsidRPr="005C2179">
        <w:rPr>
          <w:rStyle w:val="FootnoteReference"/>
          <w:kern w:val="2"/>
          <w:sz w:val="20"/>
        </w:rPr>
        <w:footnoteReference w:id="535"/>
      </w:r>
    </w:p>
    <w:p w14:paraId="2489CBEF" w14:textId="61317F23" w:rsidR="00BE38CC" w:rsidRPr="005C2179" w:rsidRDefault="00016158" w:rsidP="00016158">
      <w:pPr>
        <w:pStyle w:val="Heading1"/>
        <w:rPr>
          <w:sz w:val="28"/>
        </w:rPr>
      </w:pPr>
      <w:r w:rsidRPr="005C2179">
        <w:rPr>
          <w:sz w:val="28"/>
        </w:rPr>
        <w:t xml:space="preserve"> </w:t>
      </w:r>
      <w:bookmarkStart w:id="18" w:name="_Toc509569398"/>
      <w:r w:rsidR="0011083C" w:rsidRPr="005C2179">
        <w:rPr>
          <w:sz w:val="28"/>
        </w:rPr>
        <w:t>Canadian L</w:t>
      </w:r>
      <w:r w:rsidR="00BE38CC" w:rsidRPr="005C2179">
        <w:rPr>
          <w:sz w:val="28"/>
        </w:rPr>
        <w:t>aw</w:t>
      </w:r>
      <w:bookmarkEnd w:id="16"/>
      <w:bookmarkEnd w:id="18"/>
    </w:p>
    <w:p w14:paraId="556153C8" w14:textId="77777777" w:rsidR="00BE38CC" w:rsidRPr="005C2179" w:rsidRDefault="006E528C" w:rsidP="00330F4B">
      <w:pPr>
        <w:rPr>
          <w:kern w:val="2"/>
          <w:sz w:val="20"/>
        </w:rPr>
      </w:pPr>
      <w:r w:rsidRPr="005C2179">
        <w:rPr>
          <w:kern w:val="2"/>
          <w:sz w:val="20"/>
        </w:rPr>
        <w:t>Canada’s</w:t>
      </w:r>
      <w:r w:rsidR="00967608" w:rsidRPr="005C2179">
        <w:rPr>
          <w:kern w:val="2"/>
          <w:sz w:val="20"/>
        </w:rPr>
        <w:t xml:space="preserve"> federal</w:t>
      </w:r>
      <w:r w:rsidRPr="005C2179">
        <w:rPr>
          <w:kern w:val="2"/>
          <w:sz w:val="20"/>
        </w:rPr>
        <w:t xml:space="preserve"> camp</w:t>
      </w:r>
      <w:r w:rsidR="001C3B1A" w:rsidRPr="005C2179">
        <w:rPr>
          <w:kern w:val="2"/>
          <w:sz w:val="20"/>
        </w:rPr>
        <w:t>a</w:t>
      </w:r>
      <w:r w:rsidRPr="005C2179">
        <w:rPr>
          <w:kern w:val="2"/>
          <w:sz w:val="20"/>
        </w:rPr>
        <w:t xml:space="preserve">ign finance regime is </w:t>
      </w:r>
      <w:r w:rsidR="005E29E5" w:rsidRPr="005C2179">
        <w:rPr>
          <w:kern w:val="2"/>
          <w:sz w:val="20"/>
        </w:rPr>
        <w:t>more extensive than the regulatory regime</w:t>
      </w:r>
      <w:r w:rsidR="004679BB" w:rsidRPr="005C2179">
        <w:rPr>
          <w:kern w:val="2"/>
          <w:sz w:val="20"/>
        </w:rPr>
        <w:t xml:space="preserve"> in the US or the UK</w:t>
      </w:r>
      <w:r w:rsidRPr="005C2179">
        <w:rPr>
          <w:kern w:val="2"/>
          <w:sz w:val="20"/>
        </w:rPr>
        <w:t>.</w:t>
      </w:r>
      <w:r w:rsidR="004679BB" w:rsidRPr="005C2179">
        <w:rPr>
          <w:kern w:val="2"/>
          <w:sz w:val="20"/>
        </w:rPr>
        <w:t xml:space="preserve"> </w:t>
      </w:r>
      <w:r w:rsidR="00047287" w:rsidRPr="005C2179">
        <w:rPr>
          <w:kern w:val="2"/>
          <w:sz w:val="20"/>
        </w:rPr>
        <w:t>In Canada, b</w:t>
      </w:r>
      <w:r w:rsidR="00536AA3" w:rsidRPr="005C2179">
        <w:rPr>
          <w:kern w:val="2"/>
          <w:sz w:val="20"/>
        </w:rPr>
        <w:t>oth c</w:t>
      </w:r>
      <w:r w:rsidR="00483CAF" w:rsidRPr="005C2179">
        <w:rPr>
          <w:kern w:val="2"/>
          <w:sz w:val="20"/>
        </w:rPr>
        <w:t xml:space="preserve">ontributions and expenditures are capped. </w:t>
      </w:r>
      <w:r w:rsidR="004679BB" w:rsidRPr="005C2179">
        <w:rPr>
          <w:kern w:val="2"/>
          <w:sz w:val="20"/>
        </w:rPr>
        <w:t>A</w:t>
      </w:r>
      <w:r w:rsidRPr="005C2179">
        <w:rPr>
          <w:kern w:val="2"/>
          <w:sz w:val="20"/>
        </w:rPr>
        <w:t xml:space="preserve"> “remarkable degree of consensus”</w:t>
      </w:r>
      <w:r w:rsidR="00DE4D8E" w:rsidRPr="005C2179">
        <w:rPr>
          <w:kern w:val="2"/>
          <w:sz w:val="20"/>
        </w:rPr>
        <w:t xml:space="preserve"> exists </w:t>
      </w:r>
      <w:r w:rsidR="004679BB" w:rsidRPr="005C2179">
        <w:rPr>
          <w:kern w:val="2"/>
          <w:sz w:val="20"/>
        </w:rPr>
        <w:t xml:space="preserve">regarding the need for </w:t>
      </w:r>
      <w:r w:rsidR="00E04582" w:rsidRPr="005C2179">
        <w:rPr>
          <w:kern w:val="2"/>
          <w:sz w:val="20"/>
        </w:rPr>
        <w:t xml:space="preserve">campaign </w:t>
      </w:r>
      <w:r w:rsidR="004679BB" w:rsidRPr="005C2179">
        <w:rPr>
          <w:kern w:val="2"/>
          <w:sz w:val="20"/>
        </w:rPr>
        <w:t>expenditure ceiling</w:t>
      </w:r>
      <w:r w:rsidRPr="005C2179">
        <w:rPr>
          <w:kern w:val="2"/>
          <w:sz w:val="20"/>
        </w:rPr>
        <w:t>s</w:t>
      </w:r>
      <w:r w:rsidR="00CE493E" w:rsidRPr="005C2179">
        <w:rPr>
          <w:kern w:val="2"/>
          <w:sz w:val="20"/>
        </w:rPr>
        <w:t xml:space="preserve"> for parties and candidates</w:t>
      </w:r>
      <w:r w:rsidRPr="005C2179">
        <w:rPr>
          <w:kern w:val="2"/>
          <w:sz w:val="20"/>
        </w:rPr>
        <w:t>, with no constitutional challenges or significant leg</w:t>
      </w:r>
      <w:r w:rsidR="004679BB" w:rsidRPr="005C2179">
        <w:rPr>
          <w:kern w:val="2"/>
          <w:sz w:val="20"/>
        </w:rPr>
        <w:t>islative proposals targeting</w:t>
      </w:r>
      <w:r w:rsidRPr="005C2179">
        <w:rPr>
          <w:kern w:val="2"/>
          <w:sz w:val="20"/>
        </w:rPr>
        <w:t xml:space="preserve"> caps.</w:t>
      </w:r>
      <w:r w:rsidRPr="005C2179">
        <w:rPr>
          <w:rStyle w:val="FootnoteReference"/>
          <w:kern w:val="2"/>
          <w:sz w:val="20"/>
        </w:rPr>
        <w:footnoteReference w:id="536"/>
      </w:r>
      <w:r w:rsidRPr="005C2179">
        <w:rPr>
          <w:kern w:val="2"/>
          <w:sz w:val="20"/>
        </w:rPr>
        <w:t xml:space="preserve"> </w:t>
      </w:r>
      <w:r w:rsidR="00CE493E" w:rsidRPr="005C2179">
        <w:rPr>
          <w:kern w:val="2"/>
          <w:sz w:val="20"/>
        </w:rPr>
        <w:t>Third-party spending limits have</w:t>
      </w:r>
      <w:r w:rsidR="00E04582" w:rsidRPr="005C2179">
        <w:rPr>
          <w:kern w:val="2"/>
          <w:sz w:val="20"/>
        </w:rPr>
        <w:t xml:space="preserve"> been challenged but</w:t>
      </w:r>
      <w:r w:rsidR="00CE493E" w:rsidRPr="005C2179">
        <w:rPr>
          <w:kern w:val="2"/>
          <w:sz w:val="20"/>
        </w:rPr>
        <w:t xml:space="preserve"> upheld by the Supreme Court of Canada.</w:t>
      </w:r>
      <w:r w:rsidR="00CE493E" w:rsidRPr="005C2179">
        <w:rPr>
          <w:rStyle w:val="FootnoteReference"/>
          <w:kern w:val="2"/>
          <w:sz w:val="20"/>
        </w:rPr>
        <w:footnoteReference w:id="537"/>
      </w:r>
      <w:r w:rsidR="00CE493E" w:rsidRPr="005C2179">
        <w:rPr>
          <w:kern w:val="2"/>
          <w:sz w:val="20"/>
        </w:rPr>
        <w:t xml:space="preserve"> </w:t>
      </w:r>
      <w:r w:rsidRPr="005C2179">
        <w:rPr>
          <w:kern w:val="2"/>
          <w:sz w:val="20"/>
        </w:rPr>
        <w:t>Further, i</w:t>
      </w:r>
      <w:r w:rsidR="00613D16" w:rsidRPr="005C2179">
        <w:rPr>
          <w:kern w:val="2"/>
          <w:sz w:val="20"/>
        </w:rPr>
        <w:t>n 2003, Parliament introduced “one of the most generous schemes for public funding of political parties that has been seen in a liberal democracy</w:t>
      </w:r>
      <w:r w:rsidR="00CC29F7" w:rsidRPr="005C2179">
        <w:rPr>
          <w:kern w:val="2"/>
          <w:sz w:val="20"/>
        </w:rPr>
        <w:t>,</w:t>
      </w:r>
      <w:r w:rsidR="00613D16" w:rsidRPr="005C2179">
        <w:rPr>
          <w:kern w:val="2"/>
          <w:sz w:val="20"/>
        </w:rPr>
        <w:t xml:space="preserve">” although </w:t>
      </w:r>
      <w:r w:rsidR="00483CAF" w:rsidRPr="005C2179">
        <w:rPr>
          <w:kern w:val="2"/>
          <w:sz w:val="20"/>
        </w:rPr>
        <w:t xml:space="preserve">an </w:t>
      </w:r>
      <w:r w:rsidR="00967608" w:rsidRPr="005C2179">
        <w:rPr>
          <w:kern w:val="2"/>
          <w:sz w:val="20"/>
        </w:rPr>
        <w:t xml:space="preserve">important </w:t>
      </w:r>
      <w:r w:rsidR="00483CAF" w:rsidRPr="005C2179">
        <w:rPr>
          <w:kern w:val="2"/>
          <w:sz w:val="20"/>
        </w:rPr>
        <w:t>element</w:t>
      </w:r>
      <w:r w:rsidR="00613D16" w:rsidRPr="005C2179">
        <w:rPr>
          <w:kern w:val="2"/>
          <w:sz w:val="20"/>
        </w:rPr>
        <w:t xml:space="preserve"> of that scheme was omitted in 2014.</w:t>
      </w:r>
      <w:r w:rsidR="00613D16" w:rsidRPr="005C2179">
        <w:rPr>
          <w:rStyle w:val="FootnoteReference"/>
          <w:kern w:val="2"/>
          <w:sz w:val="20"/>
        </w:rPr>
        <w:footnoteReference w:id="538"/>
      </w:r>
      <w:r w:rsidR="00613D16" w:rsidRPr="005C2179">
        <w:rPr>
          <w:kern w:val="2"/>
          <w:sz w:val="20"/>
        </w:rPr>
        <w:t xml:space="preserve"> </w:t>
      </w:r>
    </w:p>
    <w:p w14:paraId="11D81632" w14:textId="7E9C7281" w:rsidR="0011083C" w:rsidRPr="005C2179" w:rsidRDefault="00CA30C4" w:rsidP="00BF63B6">
      <w:pPr>
        <w:pStyle w:val="Heading2"/>
        <w:rPr>
          <w:kern w:val="2"/>
          <w:sz w:val="24"/>
        </w:rPr>
      </w:pPr>
      <w:r w:rsidRPr="005C2179">
        <w:rPr>
          <w:kern w:val="2"/>
          <w:sz w:val="24"/>
        </w:rPr>
        <w:t>Constitutional Rights and Campaign Finance Regulation in Canada</w:t>
      </w:r>
      <w:r w:rsidR="00BE38CC" w:rsidRPr="005C2179">
        <w:rPr>
          <w:kern w:val="2"/>
          <w:sz w:val="24"/>
        </w:rPr>
        <w:t xml:space="preserve"> </w:t>
      </w:r>
    </w:p>
    <w:p w14:paraId="29D83D47" w14:textId="52E1CA27" w:rsidR="00AC4B0B" w:rsidRPr="005C2179" w:rsidRDefault="00AC4B0B" w:rsidP="00BF63B6">
      <w:pPr>
        <w:pStyle w:val="Heading3"/>
        <w:rPr>
          <w:kern w:val="2"/>
          <w:sz w:val="22"/>
        </w:rPr>
      </w:pPr>
      <w:r w:rsidRPr="005C2179">
        <w:rPr>
          <w:kern w:val="2"/>
          <w:sz w:val="22"/>
        </w:rPr>
        <w:t>Introduction</w:t>
      </w:r>
    </w:p>
    <w:p w14:paraId="67B3A0B6" w14:textId="77777777" w:rsidR="002B527A" w:rsidRPr="005C2179" w:rsidRDefault="004E3324" w:rsidP="00330F4B">
      <w:pPr>
        <w:rPr>
          <w:kern w:val="2"/>
          <w:sz w:val="20"/>
        </w:rPr>
      </w:pPr>
      <w:r w:rsidRPr="005C2179">
        <w:rPr>
          <w:kern w:val="2"/>
          <w:sz w:val="20"/>
        </w:rPr>
        <w:t xml:space="preserve">Freedom of expression </w:t>
      </w:r>
      <w:r w:rsidR="001C3B1A" w:rsidRPr="005C2179">
        <w:rPr>
          <w:kern w:val="2"/>
          <w:sz w:val="20"/>
        </w:rPr>
        <w:t xml:space="preserve">is </w:t>
      </w:r>
      <w:r w:rsidRPr="005C2179">
        <w:rPr>
          <w:kern w:val="2"/>
          <w:sz w:val="20"/>
        </w:rPr>
        <w:t xml:space="preserve">enshrined in section 2(b) </w:t>
      </w:r>
      <w:r w:rsidR="001C3B1A" w:rsidRPr="005C2179">
        <w:rPr>
          <w:kern w:val="2"/>
          <w:sz w:val="20"/>
        </w:rPr>
        <w:t>of the</w:t>
      </w:r>
      <w:r w:rsidR="0051322B" w:rsidRPr="005C2179">
        <w:rPr>
          <w:kern w:val="2"/>
          <w:sz w:val="20"/>
        </w:rPr>
        <w:t xml:space="preserve"> Canadian</w:t>
      </w:r>
      <w:r w:rsidR="001C3B1A" w:rsidRPr="005C2179">
        <w:rPr>
          <w:kern w:val="2"/>
          <w:sz w:val="20"/>
        </w:rPr>
        <w:t xml:space="preserve"> </w:t>
      </w:r>
      <w:r w:rsidR="001C3B1A" w:rsidRPr="005C2179">
        <w:rPr>
          <w:i/>
          <w:kern w:val="2"/>
          <w:sz w:val="20"/>
        </w:rPr>
        <w:t>Charter of Rights and Freedoms</w:t>
      </w:r>
      <w:r w:rsidR="000344CE" w:rsidRPr="005C2179">
        <w:rPr>
          <w:i/>
          <w:kern w:val="2"/>
          <w:sz w:val="20"/>
        </w:rPr>
        <w:t xml:space="preserve"> </w:t>
      </w:r>
      <w:r w:rsidR="000344CE" w:rsidRPr="005C2179">
        <w:rPr>
          <w:kern w:val="2"/>
          <w:sz w:val="20"/>
        </w:rPr>
        <w:t xml:space="preserve">(“the </w:t>
      </w:r>
      <w:r w:rsidR="000344CE" w:rsidRPr="005C2179">
        <w:rPr>
          <w:i/>
          <w:kern w:val="2"/>
          <w:sz w:val="20"/>
        </w:rPr>
        <w:t>Charter</w:t>
      </w:r>
      <w:r w:rsidR="000344CE" w:rsidRPr="005C2179">
        <w:rPr>
          <w:kern w:val="2"/>
          <w:sz w:val="20"/>
        </w:rPr>
        <w:t>”)</w:t>
      </w:r>
      <w:r w:rsidR="001C3B1A" w:rsidRPr="005C2179">
        <w:rPr>
          <w:i/>
          <w:kern w:val="2"/>
          <w:sz w:val="20"/>
        </w:rPr>
        <w:t>.</w:t>
      </w:r>
      <w:r w:rsidR="0051322B" w:rsidRPr="005C2179">
        <w:rPr>
          <w:i/>
          <w:kern w:val="2"/>
          <w:sz w:val="20"/>
        </w:rPr>
        <w:t xml:space="preserve"> </w:t>
      </w:r>
      <w:r w:rsidR="0051322B" w:rsidRPr="005C2179">
        <w:rPr>
          <w:kern w:val="2"/>
          <w:sz w:val="20"/>
        </w:rPr>
        <w:t xml:space="preserve">In </w:t>
      </w:r>
      <w:r w:rsidR="0051322B" w:rsidRPr="005C2179">
        <w:rPr>
          <w:i/>
          <w:kern w:val="2"/>
          <w:sz w:val="20"/>
        </w:rPr>
        <w:t>R v Keegstra</w:t>
      </w:r>
      <w:r w:rsidR="0051322B" w:rsidRPr="005C2179">
        <w:rPr>
          <w:kern w:val="2"/>
          <w:sz w:val="20"/>
        </w:rPr>
        <w:t>,</w:t>
      </w:r>
      <w:r w:rsidR="0051322B" w:rsidRPr="005C2179">
        <w:rPr>
          <w:rStyle w:val="FootnoteReference"/>
          <w:kern w:val="2"/>
          <w:sz w:val="20"/>
        </w:rPr>
        <w:footnoteReference w:id="539"/>
      </w:r>
      <w:r w:rsidR="0051322B" w:rsidRPr="005C2179">
        <w:rPr>
          <w:kern w:val="2"/>
          <w:sz w:val="20"/>
        </w:rPr>
        <w:t xml:space="preserve"> </w:t>
      </w:r>
      <w:r w:rsidR="007E4777" w:rsidRPr="005C2179">
        <w:rPr>
          <w:kern w:val="2"/>
          <w:sz w:val="20"/>
        </w:rPr>
        <w:t>the Supreme Court of Canada</w:t>
      </w:r>
      <w:r w:rsidR="00976261" w:rsidRPr="005C2179">
        <w:rPr>
          <w:kern w:val="2"/>
          <w:sz w:val="20"/>
        </w:rPr>
        <w:t xml:space="preserve"> (“SCC”)</w:t>
      </w:r>
      <w:r w:rsidR="007E4777" w:rsidRPr="005C2179">
        <w:rPr>
          <w:kern w:val="2"/>
          <w:sz w:val="20"/>
        </w:rPr>
        <w:t xml:space="preserve"> stated that “[t]</w:t>
      </w:r>
      <w:r w:rsidR="008C69E9" w:rsidRPr="005C2179">
        <w:rPr>
          <w:kern w:val="2"/>
          <w:sz w:val="20"/>
        </w:rPr>
        <w:t>he connection between freedom of expression and the political process is perhaps the linchpin of the section 2(b) guarantee, and the nature of this connection is largely derived from the Canadian commitment to democracy</w:t>
      </w:r>
      <w:r w:rsidR="00CC29F7" w:rsidRPr="005C2179">
        <w:rPr>
          <w:kern w:val="2"/>
          <w:sz w:val="20"/>
        </w:rPr>
        <w:t>.</w:t>
      </w:r>
      <w:r w:rsidR="008C69E9" w:rsidRPr="005C2179">
        <w:rPr>
          <w:kern w:val="2"/>
          <w:sz w:val="20"/>
        </w:rPr>
        <w:t>”</w:t>
      </w:r>
      <w:r w:rsidR="000344CE" w:rsidRPr="005C2179">
        <w:rPr>
          <w:kern w:val="2"/>
          <w:sz w:val="20"/>
        </w:rPr>
        <w:t xml:space="preserve"> </w:t>
      </w:r>
      <w:r w:rsidR="00DE4D8E" w:rsidRPr="005C2179">
        <w:rPr>
          <w:kern w:val="2"/>
          <w:sz w:val="20"/>
        </w:rPr>
        <w:t xml:space="preserve">The </w:t>
      </w:r>
      <w:r w:rsidR="00242715" w:rsidRPr="005C2179">
        <w:rPr>
          <w:kern w:val="2"/>
          <w:sz w:val="20"/>
        </w:rPr>
        <w:t xml:space="preserve">test for determining whether legislation infringes section 2(b) is found in </w:t>
      </w:r>
      <w:r w:rsidR="00242715" w:rsidRPr="005C2179">
        <w:rPr>
          <w:i/>
          <w:kern w:val="2"/>
          <w:sz w:val="20"/>
        </w:rPr>
        <w:t>Irwin Toy Ltd v Quebec (Attorney General)</w:t>
      </w:r>
      <w:r w:rsidR="00242715" w:rsidRPr="005C2179">
        <w:rPr>
          <w:kern w:val="2"/>
          <w:sz w:val="20"/>
        </w:rPr>
        <w:t>.</w:t>
      </w:r>
      <w:r w:rsidR="00F5193F" w:rsidRPr="005C2179">
        <w:rPr>
          <w:rStyle w:val="FootnoteReference"/>
          <w:kern w:val="2"/>
          <w:sz w:val="20"/>
        </w:rPr>
        <w:footnoteReference w:id="540"/>
      </w:r>
      <w:r w:rsidR="00E44E50" w:rsidRPr="005C2179">
        <w:rPr>
          <w:kern w:val="2"/>
          <w:sz w:val="20"/>
        </w:rPr>
        <w:t xml:space="preserve"> First, a court will ask whether the activity in question fits within the sphere of activities protected by freedom of expression. This</w:t>
      </w:r>
      <w:r w:rsidR="00DE4D8E" w:rsidRPr="005C2179">
        <w:rPr>
          <w:kern w:val="2"/>
          <w:sz w:val="20"/>
        </w:rPr>
        <w:t xml:space="preserve"> first step</w:t>
      </w:r>
      <w:r w:rsidR="00EB3C6A" w:rsidRPr="005C2179">
        <w:rPr>
          <w:kern w:val="2"/>
          <w:sz w:val="20"/>
        </w:rPr>
        <w:t xml:space="preserve"> is</w:t>
      </w:r>
      <w:r w:rsidR="00D645DF" w:rsidRPr="005C2179">
        <w:rPr>
          <w:kern w:val="2"/>
          <w:sz w:val="20"/>
        </w:rPr>
        <w:t xml:space="preserve"> established easily </w:t>
      </w:r>
      <w:r w:rsidR="00E44E50" w:rsidRPr="005C2179">
        <w:rPr>
          <w:kern w:val="2"/>
          <w:sz w:val="20"/>
        </w:rPr>
        <w:t>in regard to election-related communications, as political expression “lies at the core of the guarantee of free expression</w:t>
      </w:r>
      <w:r w:rsidR="00CC29F7" w:rsidRPr="005C2179">
        <w:rPr>
          <w:kern w:val="2"/>
          <w:sz w:val="20"/>
        </w:rPr>
        <w:t>.</w:t>
      </w:r>
      <w:r w:rsidR="00E44E50" w:rsidRPr="005C2179">
        <w:rPr>
          <w:kern w:val="2"/>
          <w:sz w:val="20"/>
        </w:rPr>
        <w:t>”</w:t>
      </w:r>
      <w:r w:rsidR="00D830CB" w:rsidRPr="005C2179">
        <w:rPr>
          <w:rStyle w:val="FootnoteReference"/>
          <w:kern w:val="2"/>
          <w:sz w:val="20"/>
        </w:rPr>
        <w:footnoteReference w:id="541"/>
      </w:r>
      <w:r w:rsidR="000344CE" w:rsidRPr="005C2179">
        <w:rPr>
          <w:kern w:val="2"/>
          <w:sz w:val="20"/>
        </w:rPr>
        <w:t xml:space="preserve"> Second, a court will ask whether the legislation’s purpose or effect is to restrict freedom of expression.</w:t>
      </w:r>
      <w:r w:rsidR="002B527A" w:rsidRPr="005C2179">
        <w:rPr>
          <w:kern w:val="2"/>
          <w:sz w:val="20"/>
        </w:rPr>
        <w:t xml:space="preserve"> </w:t>
      </w:r>
    </w:p>
    <w:p w14:paraId="712950BD" w14:textId="77777777" w:rsidR="002B527A" w:rsidRPr="005C2179" w:rsidRDefault="000344CE" w:rsidP="00330F4B">
      <w:pPr>
        <w:rPr>
          <w:kern w:val="2"/>
          <w:sz w:val="20"/>
        </w:rPr>
      </w:pPr>
      <w:r w:rsidRPr="005C2179">
        <w:rPr>
          <w:kern w:val="2"/>
          <w:sz w:val="20"/>
        </w:rPr>
        <w:t xml:space="preserve">Freedom of association is protected under section 2(d) of the </w:t>
      </w:r>
      <w:r w:rsidR="00976261" w:rsidRPr="005C2179">
        <w:rPr>
          <w:i/>
          <w:kern w:val="2"/>
          <w:sz w:val="20"/>
        </w:rPr>
        <w:t xml:space="preserve">Charter. </w:t>
      </w:r>
      <w:r w:rsidR="00976261" w:rsidRPr="005C2179">
        <w:rPr>
          <w:kern w:val="2"/>
          <w:sz w:val="20"/>
        </w:rPr>
        <w:t xml:space="preserve">According to the SCC, section 2(d) facilitates the exercise of other freedoms and guarantees the ability to exercise </w:t>
      </w:r>
      <w:r w:rsidR="00976261" w:rsidRPr="005C2179">
        <w:rPr>
          <w:i/>
          <w:kern w:val="2"/>
          <w:sz w:val="20"/>
        </w:rPr>
        <w:t xml:space="preserve">Charter </w:t>
      </w:r>
      <w:r w:rsidR="00976261" w:rsidRPr="005C2179">
        <w:rPr>
          <w:kern w:val="2"/>
          <w:sz w:val="20"/>
        </w:rPr>
        <w:t>rights collectively.</w:t>
      </w:r>
      <w:r w:rsidR="00976261" w:rsidRPr="005C2179">
        <w:rPr>
          <w:rStyle w:val="FootnoteReference"/>
          <w:kern w:val="2"/>
          <w:sz w:val="20"/>
        </w:rPr>
        <w:footnoteReference w:id="542"/>
      </w:r>
      <w:r w:rsidR="00976261" w:rsidRPr="005C2179">
        <w:rPr>
          <w:kern w:val="2"/>
          <w:sz w:val="20"/>
        </w:rPr>
        <w:t xml:space="preserve"> </w:t>
      </w:r>
      <w:r w:rsidR="00910A16" w:rsidRPr="005C2179">
        <w:rPr>
          <w:kern w:val="2"/>
          <w:sz w:val="20"/>
        </w:rPr>
        <w:t>T</w:t>
      </w:r>
      <w:r w:rsidRPr="005C2179">
        <w:rPr>
          <w:kern w:val="2"/>
          <w:sz w:val="20"/>
        </w:rPr>
        <w:t>he right to vote is protected under section 3</w:t>
      </w:r>
      <w:r w:rsidR="00910A16" w:rsidRPr="005C2179">
        <w:rPr>
          <w:kern w:val="2"/>
          <w:sz w:val="20"/>
        </w:rPr>
        <w:t xml:space="preserve"> of the </w:t>
      </w:r>
      <w:r w:rsidR="00910A16" w:rsidRPr="005C2179">
        <w:rPr>
          <w:i/>
          <w:kern w:val="2"/>
          <w:sz w:val="20"/>
        </w:rPr>
        <w:t>Charter</w:t>
      </w:r>
      <w:r w:rsidRPr="005C2179">
        <w:rPr>
          <w:kern w:val="2"/>
          <w:sz w:val="20"/>
        </w:rPr>
        <w:t xml:space="preserve">. </w:t>
      </w:r>
    </w:p>
    <w:p w14:paraId="590B4EB5" w14:textId="3E811DDF" w:rsidR="000344CE" w:rsidRPr="005C2179" w:rsidRDefault="000344CE" w:rsidP="00330F4B">
      <w:pPr>
        <w:rPr>
          <w:kern w:val="2"/>
          <w:sz w:val="20"/>
        </w:rPr>
      </w:pPr>
      <w:r w:rsidRPr="005C2179">
        <w:rPr>
          <w:kern w:val="2"/>
          <w:sz w:val="20"/>
        </w:rPr>
        <w:t xml:space="preserve">Once an infringement of </w:t>
      </w:r>
      <w:r w:rsidR="0070665B" w:rsidRPr="005C2179">
        <w:rPr>
          <w:kern w:val="2"/>
          <w:sz w:val="20"/>
        </w:rPr>
        <w:t xml:space="preserve">a </w:t>
      </w:r>
      <w:r w:rsidR="0070665B" w:rsidRPr="005C2179">
        <w:rPr>
          <w:i/>
          <w:kern w:val="2"/>
          <w:sz w:val="20"/>
        </w:rPr>
        <w:t xml:space="preserve">Charter </w:t>
      </w:r>
      <w:r w:rsidR="0070665B" w:rsidRPr="005C2179">
        <w:rPr>
          <w:kern w:val="2"/>
          <w:sz w:val="20"/>
        </w:rPr>
        <w:t>right</w:t>
      </w:r>
      <w:r w:rsidR="002B527A" w:rsidRPr="005C2179">
        <w:rPr>
          <w:kern w:val="2"/>
          <w:sz w:val="20"/>
        </w:rPr>
        <w:t xml:space="preserve"> is established, </w:t>
      </w:r>
      <w:r w:rsidR="00DE4D8E" w:rsidRPr="005C2179">
        <w:rPr>
          <w:kern w:val="2"/>
          <w:sz w:val="20"/>
        </w:rPr>
        <w:t>courts consider</w:t>
      </w:r>
      <w:r w:rsidR="0070665B" w:rsidRPr="005C2179">
        <w:rPr>
          <w:kern w:val="2"/>
          <w:sz w:val="20"/>
        </w:rPr>
        <w:t xml:space="preserve"> section 1 of the </w:t>
      </w:r>
      <w:r w:rsidR="0070665B" w:rsidRPr="005C2179">
        <w:rPr>
          <w:i/>
          <w:kern w:val="2"/>
          <w:sz w:val="20"/>
        </w:rPr>
        <w:t>Charter</w:t>
      </w:r>
      <w:r w:rsidR="00DE4D8E" w:rsidRPr="005C2179">
        <w:rPr>
          <w:i/>
          <w:kern w:val="2"/>
          <w:sz w:val="20"/>
        </w:rPr>
        <w:t xml:space="preserve">. </w:t>
      </w:r>
      <w:r w:rsidR="00DE4D8E" w:rsidRPr="005C2179">
        <w:rPr>
          <w:kern w:val="2"/>
          <w:sz w:val="20"/>
        </w:rPr>
        <w:t>Section 1</w:t>
      </w:r>
      <w:r w:rsidR="0070665B" w:rsidRPr="005C2179">
        <w:rPr>
          <w:kern w:val="2"/>
          <w:sz w:val="20"/>
        </w:rPr>
        <w:t xml:space="preserve"> allows </w:t>
      </w:r>
      <w:r w:rsidR="001D152E" w:rsidRPr="005C2179">
        <w:rPr>
          <w:kern w:val="2"/>
          <w:sz w:val="20"/>
        </w:rPr>
        <w:t xml:space="preserve">the </w:t>
      </w:r>
      <w:r w:rsidR="00A542CF" w:rsidRPr="005C2179">
        <w:rPr>
          <w:kern w:val="2"/>
          <w:sz w:val="20"/>
        </w:rPr>
        <w:t>impugned</w:t>
      </w:r>
      <w:r w:rsidR="0070665B" w:rsidRPr="005C2179">
        <w:rPr>
          <w:kern w:val="2"/>
          <w:sz w:val="20"/>
        </w:rPr>
        <w:t xml:space="preserve"> </w:t>
      </w:r>
      <w:r w:rsidR="001D152E" w:rsidRPr="005C2179">
        <w:rPr>
          <w:kern w:val="2"/>
          <w:sz w:val="20"/>
        </w:rPr>
        <w:t xml:space="preserve">law </w:t>
      </w:r>
      <w:r w:rsidR="0070665B" w:rsidRPr="005C2179">
        <w:rPr>
          <w:kern w:val="2"/>
          <w:sz w:val="20"/>
        </w:rPr>
        <w:t xml:space="preserve">to </w:t>
      </w:r>
      <w:r w:rsidR="00EB3C6A" w:rsidRPr="005C2179">
        <w:rPr>
          <w:kern w:val="2"/>
          <w:sz w:val="20"/>
        </w:rPr>
        <w:t>stand</w:t>
      </w:r>
      <w:r w:rsidR="0070665B" w:rsidRPr="005C2179">
        <w:rPr>
          <w:kern w:val="2"/>
          <w:sz w:val="20"/>
        </w:rPr>
        <w:t xml:space="preserve"> if the limit on the right in question is reasonable and demonstrably justifiable</w:t>
      </w:r>
      <w:r w:rsidRPr="005C2179">
        <w:rPr>
          <w:kern w:val="2"/>
          <w:sz w:val="20"/>
        </w:rPr>
        <w:t xml:space="preserve"> in a free and democratic society. </w:t>
      </w:r>
      <w:r w:rsidR="00A540BB" w:rsidRPr="005C2179">
        <w:rPr>
          <w:kern w:val="2"/>
          <w:sz w:val="20"/>
        </w:rPr>
        <w:t>At the section 1 stage of the analysis, c</w:t>
      </w:r>
      <w:r w:rsidR="002B527A" w:rsidRPr="005C2179">
        <w:rPr>
          <w:kern w:val="2"/>
          <w:sz w:val="20"/>
        </w:rPr>
        <w:t>ourts</w:t>
      </w:r>
      <w:r w:rsidR="00952E56" w:rsidRPr="005C2179">
        <w:rPr>
          <w:kern w:val="2"/>
          <w:sz w:val="20"/>
        </w:rPr>
        <w:t xml:space="preserve"> ask whether the objective of the impug</w:t>
      </w:r>
      <w:r w:rsidR="00F97948" w:rsidRPr="005C2179">
        <w:rPr>
          <w:kern w:val="2"/>
          <w:sz w:val="20"/>
        </w:rPr>
        <w:t>ned law</w:t>
      </w:r>
      <w:r w:rsidR="00A540BB" w:rsidRPr="005C2179">
        <w:rPr>
          <w:kern w:val="2"/>
          <w:sz w:val="20"/>
        </w:rPr>
        <w:t xml:space="preserve"> is</w:t>
      </w:r>
      <w:r w:rsidR="00952E56" w:rsidRPr="005C2179">
        <w:rPr>
          <w:kern w:val="2"/>
          <w:sz w:val="20"/>
        </w:rPr>
        <w:t xml:space="preserve"> pressing and substantial and whether the</w:t>
      </w:r>
      <w:r w:rsidR="00A540BB" w:rsidRPr="005C2179">
        <w:rPr>
          <w:kern w:val="2"/>
          <w:sz w:val="20"/>
        </w:rPr>
        <w:t xml:space="preserve"> means chosen by the legislature </w:t>
      </w:r>
      <w:r w:rsidR="00952E56" w:rsidRPr="005C2179">
        <w:rPr>
          <w:kern w:val="2"/>
          <w:sz w:val="20"/>
        </w:rPr>
        <w:t>are proportionate</w:t>
      </w:r>
      <w:r w:rsidR="00F26409" w:rsidRPr="005C2179">
        <w:rPr>
          <w:kern w:val="2"/>
          <w:sz w:val="20"/>
        </w:rPr>
        <w:t xml:space="preserve"> to its</w:t>
      </w:r>
      <w:r w:rsidR="00497DFE" w:rsidRPr="005C2179">
        <w:rPr>
          <w:kern w:val="2"/>
          <w:sz w:val="20"/>
        </w:rPr>
        <w:t xml:space="preserve"> ends</w:t>
      </w:r>
      <w:r w:rsidR="00952E56" w:rsidRPr="005C2179">
        <w:rPr>
          <w:kern w:val="2"/>
          <w:sz w:val="20"/>
        </w:rPr>
        <w:t xml:space="preserve">. In considering proportionality, the </w:t>
      </w:r>
      <w:r w:rsidR="00453198" w:rsidRPr="005C2179">
        <w:rPr>
          <w:kern w:val="2"/>
          <w:sz w:val="20"/>
        </w:rPr>
        <w:t>courts ask whether the mean</w:t>
      </w:r>
      <w:r w:rsidR="00B03370" w:rsidRPr="005C2179">
        <w:rPr>
          <w:kern w:val="2"/>
          <w:sz w:val="20"/>
        </w:rPr>
        <w:t xml:space="preserve">s are </w:t>
      </w:r>
      <w:r w:rsidR="00AB4BEF" w:rsidRPr="005C2179">
        <w:rPr>
          <w:kern w:val="2"/>
          <w:sz w:val="20"/>
        </w:rPr>
        <w:t xml:space="preserve">rationally </w:t>
      </w:r>
      <w:r w:rsidR="00B03370" w:rsidRPr="005C2179">
        <w:rPr>
          <w:kern w:val="2"/>
          <w:sz w:val="20"/>
        </w:rPr>
        <w:t>connected to the law</w:t>
      </w:r>
      <w:r w:rsidR="00453198" w:rsidRPr="005C2179">
        <w:rPr>
          <w:kern w:val="2"/>
          <w:sz w:val="20"/>
        </w:rPr>
        <w:t>’s o</w:t>
      </w:r>
      <w:r w:rsidR="00B03370" w:rsidRPr="005C2179">
        <w:rPr>
          <w:kern w:val="2"/>
          <w:sz w:val="20"/>
        </w:rPr>
        <w:t xml:space="preserve">bjectives, whether the </w:t>
      </w:r>
      <w:r w:rsidR="00EB3C6A" w:rsidRPr="005C2179">
        <w:rPr>
          <w:kern w:val="2"/>
          <w:sz w:val="20"/>
        </w:rPr>
        <w:t>impairment of</w:t>
      </w:r>
      <w:r w:rsidR="00952E56" w:rsidRPr="005C2179">
        <w:rPr>
          <w:kern w:val="2"/>
          <w:sz w:val="20"/>
        </w:rPr>
        <w:t xml:space="preserve"> </w:t>
      </w:r>
      <w:r w:rsidR="00952E56" w:rsidRPr="005C2179">
        <w:rPr>
          <w:i/>
          <w:kern w:val="2"/>
          <w:sz w:val="20"/>
        </w:rPr>
        <w:t xml:space="preserve">Charter </w:t>
      </w:r>
      <w:r w:rsidR="00453198" w:rsidRPr="005C2179">
        <w:rPr>
          <w:kern w:val="2"/>
          <w:sz w:val="20"/>
        </w:rPr>
        <w:t>rights</w:t>
      </w:r>
      <w:r w:rsidR="00EB3C6A" w:rsidRPr="005C2179">
        <w:rPr>
          <w:kern w:val="2"/>
          <w:sz w:val="20"/>
        </w:rPr>
        <w:t xml:space="preserve"> is </w:t>
      </w:r>
      <w:r w:rsidR="00BA4047" w:rsidRPr="005C2179">
        <w:rPr>
          <w:kern w:val="2"/>
          <w:sz w:val="20"/>
        </w:rPr>
        <w:t>as little as is reasonably possible</w:t>
      </w:r>
      <w:r w:rsidR="00453198" w:rsidRPr="005C2179">
        <w:rPr>
          <w:kern w:val="2"/>
          <w:sz w:val="20"/>
        </w:rPr>
        <w:t xml:space="preserve"> and whether the deleterious</w:t>
      </w:r>
      <w:r w:rsidR="00B03370" w:rsidRPr="005C2179">
        <w:rPr>
          <w:kern w:val="2"/>
          <w:sz w:val="20"/>
        </w:rPr>
        <w:t xml:space="preserve"> and salutary effects of the law</w:t>
      </w:r>
      <w:r w:rsidR="00453198" w:rsidRPr="005C2179">
        <w:rPr>
          <w:kern w:val="2"/>
          <w:sz w:val="20"/>
        </w:rPr>
        <w:t xml:space="preserve"> are proportionate.</w:t>
      </w:r>
      <w:r w:rsidR="00B03370" w:rsidRPr="005C2179">
        <w:rPr>
          <w:rStyle w:val="FootnoteReference"/>
          <w:kern w:val="2"/>
          <w:sz w:val="20"/>
        </w:rPr>
        <w:footnoteReference w:id="543"/>
      </w:r>
      <w:r w:rsidR="00952E56" w:rsidRPr="005C2179">
        <w:rPr>
          <w:kern w:val="2"/>
          <w:sz w:val="20"/>
        </w:rPr>
        <w:t xml:space="preserve"> </w:t>
      </w:r>
    </w:p>
    <w:p w14:paraId="21D74CE6" w14:textId="3A08A9CE" w:rsidR="00AC4B0B" w:rsidRPr="005C2179" w:rsidRDefault="00AC4B0B" w:rsidP="00BF63B6">
      <w:pPr>
        <w:pStyle w:val="Heading3"/>
        <w:rPr>
          <w:kern w:val="2"/>
          <w:sz w:val="22"/>
        </w:rPr>
      </w:pPr>
      <w:r w:rsidRPr="005C2179">
        <w:rPr>
          <w:kern w:val="2"/>
          <w:sz w:val="22"/>
        </w:rPr>
        <w:t>Jurisprudence on the Constitutional Validity</w:t>
      </w:r>
      <w:r w:rsidR="006D4405" w:rsidRPr="005C2179">
        <w:rPr>
          <w:kern w:val="2"/>
          <w:sz w:val="22"/>
        </w:rPr>
        <w:t xml:space="preserve"> of Campaign Finance Regulation</w:t>
      </w:r>
      <w:r w:rsidRPr="005C2179">
        <w:rPr>
          <w:kern w:val="2"/>
          <w:sz w:val="22"/>
        </w:rPr>
        <w:t xml:space="preserve"> in Canada </w:t>
      </w:r>
    </w:p>
    <w:p w14:paraId="5BADD08C" w14:textId="1D2C949A" w:rsidR="008F0DB6" w:rsidRPr="005C2179" w:rsidRDefault="00877900" w:rsidP="00330F4B">
      <w:pPr>
        <w:rPr>
          <w:b/>
          <w:i/>
          <w:kern w:val="2"/>
          <w:sz w:val="20"/>
        </w:rPr>
      </w:pPr>
      <w:r w:rsidRPr="005C2179">
        <w:rPr>
          <w:b/>
          <w:kern w:val="2"/>
          <w:sz w:val="20"/>
        </w:rPr>
        <w:t>a</w:t>
      </w:r>
      <w:r w:rsidR="008F0DB6" w:rsidRPr="005C2179">
        <w:rPr>
          <w:b/>
          <w:kern w:val="2"/>
          <w:sz w:val="20"/>
        </w:rPr>
        <w:t xml:space="preserve">) </w:t>
      </w:r>
      <w:r w:rsidR="008F0DB6" w:rsidRPr="005C2179">
        <w:rPr>
          <w:b/>
          <w:i/>
          <w:kern w:val="2"/>
          <w:sz w:val="20"/>
        </w:rPr>
        <w:t xml:space="preserve">Canada (Attorney General) v Somerville </w:t>
      </w:r>
    </w:p>
    <w:p w14:paraId="36265F28" w14:textId="77777777" w:rsidR="000E5794" w:rsidRPr="005C2179" w:rsidRDefault="00945544" w:rsidP="00330F4B">
      <w:pPr>
        <w:rPr>
          <w:kern w:val="2"/>
          <w:sz w:val="20"/>
        </w:rPr>
      </w:pPr>
      <w:r w:rsidRPr="005C2179">
        <w:rPr>
          <w:kern w:val="2"/>
          <w:sz w:val="20"/>
        </w:rPr>
        <w:t>S</w:t>
      </w:r>
      <w:r w:rsidR="002D1FFF" w:rsidRPr="005C2179">
        <w:rPr>
          <w:kern w:val="2"/>
          <w:sz w:val="20"/>
        </w:rPr>
        <w:t>pending limits</w:t>
      </w:r>
      <w:r w:rsidRPr="005C2179">
        <w:rPr>
          <w:kern w:val="2"/>
          <w:sz w:val="20"/>
        </w:rPr>
        <w:t xml:space="preserve"> for third-party campaigners</w:t>
      </w:r>
      <w:r w:rsidR="002D1FFF" w:rsidRPr="005C2179">
        <w:rPr>
          <w:kern w:val="2"/>
          <w:sz w:val="20"/>
        </w:rPr>
        <w:t xml:space="preserve"> have been challenged severa</w:t>
      </w:r>
      <w:r w:rsidR="00D84F4D" w:rsidRPr="005C2179">
        <w:rPr>
          <w:kern w:val="2"/>
          <w:sz w:val="20"/>
        </w:rPr>
        <w:t>l times in Canada. Although</w:t>
      </w:r>
      <w:r w:rsidR="00804BF3" w:rsidRPr="005C2179">
        <w:rPr>
          <w:kern w:val="2"/>
          <w:sz w:val="20"/>
        </w:rPr>
        <w:t xml:space="preserve"> limits</w:t>
      </w:r>
      <w:r w:rsidR="002D1FFF" w:rsidRPr="005C2179">
        <w:rPr>
          <w:kern w:val="2"/>
          <w:sz w:val="20"/>
        </w:rPr>
        <w:t xml:space="preserve"> were eventually upheld </w:t>
      </w:r>
      <w:r w:rsidRPr="005C2179">
        <w:rPr>
          <w:kern w:val="2"/>
          <w:sz w:val="20"/>
        </w:rPr>
        <w:t xml:space="preserve">by the SCC </w:t>
      </w:r>
      <w:r w:rsidR="002D1FFF" w:rsidRPr="005C2179">
        <w:rPr>
          <w:kern w:val="2"/>
          <w:sz w:val="20"/>
        </w:rPr>
        <w:t xml:space="preserve">in </w:t>
      </w:r>
      <w:r w:rsidR="002D1FFF" w:rsidRPr="005C2179">
        <w:rPr>
          <w:i/>
          <w:kern w:val="2"/>
          <w:sz w:val="20"/>
        </w:rPr>
        <w:t>Harper</w:t>
      </w:r>
      <w:r w:rsidRPr="005C2179">
        <w:rPr>
          <w:i/>
          <w:kern w:val="2"/>
          <w:sz w:val="20"/>
        </w:rPr>
        <w:t xml:space="preserve"> v Canada (Attorney General)</w:t>
      </w:r>
      <w:r w:rsidRPr="005C2179">
        <w:rPr>
          <w:kern w:val="2"/>
          <w:sz w:val="20"/>
        </w:rPr>
        <w:t>,</w:t>
      </w:r>
      <w:r w:rsidRPr="005C2179">
        <w:rPr>
          <w:rStyle w:val="FootnoteReference"/>
          <w:kern w:val="2"/>
          <w:sz w:val="20"/>
        </w:rPr>
        <w:footnoteReference w:id="544"/>
      </w:r>
      <w:r w:rsidR="002D1FFF" w:rsidRPr="005C2179">
        <w:rPr>
          <w:i/>
          <w:kern w:val="2"/>
          <w:sz w:val="20"/>
        </w:rPr>
        <w:t xml:space="preserve"> </w:t>
      </w:r>
      <w:r w:rsidR="002D1FFF" w:rsidRPr="005C2179">
        <w:rPr>
          <w:kern w:val="2"/>
          <w:sz w:val="20"/>
        </w:rPr>
        <w:t>discussed further belo</w:t>
      </w:r>
      <w:r w:rsidR="0079022E" w:rsidRPr="005C2179">
        <w:rPr>
          <w:kern w:val="2"/>
          <w:sz w:val="20"/>
        </w:rPr>
        <w:t>w, the Alberta Court of Appeal</w:t>
      </w:r>
      <w:r w:rsidRPr="005C2179">
        <w:rPr>
          <w:kern w:val="2"/>
          <w:sz w:val="20"/>
        </w:rPr>
        <w:t xml:space="preserve"> earlier </w:t>
      </w:r>
      <w:r w:rsidR="009C2619" w:rsidRPr="005C2179">
        <w:rPr>
          <w:kern w:val="2"/>
          <w:sz w:val="20"/>
        </w:rPr>
        <w:t xml:space="preserve">struck down </w:t>
      </w:r>
      <w:r w:rsidR="009B232B" w:rsidRPr="005C2179">
        <w:rPr>
          <w:kern w:val="2"/>
          <w:sz w:val="20"/>
        </w:rPr>
        <w:t>a $1</w:t>
      </w:r>
      <w:r w:rsidR="006C2E60" w:rsidRPr="005C2179">
        <w:rPr>
          <w:kern w:val="2"/>
          <w:sz w:val="20"/>
        </w:rPr>
        <w:t>,</w:t>
      </w:r>
      <w:r w:rsidR="009B232B" w:rsidRPr="005C2179">
        <w:rPr>
          <w:kern w:val="2"/>
          <w:sz w:val="20"/>
        </w:rPr>
        <w:t>000 cap on third-</w:t>
      </w:r>
      <w:r w:rsidR="009C2619" w:rsidRPr="005C2179">
        <w:rPr>
          <w:kern w:val="2"/>
          <w:sz w:val="20"/>
        </w:rPr>
        <w:t>party</w:t>
      </w:r>
      <w:r w:rsidR="006C2E60" w:rsidRPr="005C2179">
        <w:rPr>
          <w:kern w:val="2"/>
          <w:sz w:val="20"/>
        </w:rPr>
        <w:t xml:space="preserve"> spending on</w:t>
      </w:r>
      <w:r w:rsidR="009C2619" w:rsidRPr="005C2179">
        <w:rPr>
          <w:kern w:val="2"/>
          <w:sz w:val="20"/>
        </w:rPr>
        <w:t xml:space="preserve"> election advertising </w:t>
      </w:r>
      <w:r w:rsidR="002D1FFF" w:rsidRPr="005C2179">
        <w:rPr>
          <w:kern w:val="2"/>
          <w:sz w:val="20"/>
        </w:rPr>
        <w:t xml:space="preserve">in </w:t>
      </w:r>
      <w:r w:rsidRPr="005C2179">
        <w:rPr>
          <w:i/>
          <w:kern w:val="2"/>
          <w:sz w:val="20"/>
        </w:rPr>
        <w:t>Canada (A</w:t>
      </w:r>
      <w:r w:rsidR="002849B6" w:rsidRPr="005C2179">
        <w:rPr>
          <w:i/>
          <w:kern w:val="2"/>
          <w:sz w:val="20"/>
        </w:rPr>
        <w:t xml:space="preserve">ttorney </w:t>
      </w:r>
      <w:r w:rsidRPr="005C2179">
        <w:rPr>
          <w:i/>
          <w:kern w:val="2"/>
          <w:sz w:val="20"/>
        </w:rPr>
        <w:t>G</w:t>
      </w:r>
      <w:r w:rsidR="002849B6" w:rsidRPr="005C2179">
        <w:rPr>
          <w:i/>
          <w:kern w:val="2"/>
          <w:sz w:val="20"/>
        </w:rPr>
        <w:t>eneral</w:t>
      </w:r>
      <w:r w:rsidRPr="005C2179">
        <w:rPr>
          <w:i/>
          <w:kern w:val="2"/>
          <w:sz w:val="20"/>
        </w:rPr>
        <w:t>) v Somerville</w:t>
      </w:r>
      <w:r w:rsidR="002849B6" w:rsidRPr="005C2179">
        <w:rPr>
          <w:i/>
          <w:kern w:val="2"/>
          <w:sz w:val="20"/>
        </w:rPr>
        <w:t xml:space="preserve"> </w:t>
      </w:r>
      <w:r w:rsidR="002849B6" w:rsidRPr="005C2179">
        <w:rPr>
          <w:kern w:val="2"/>
          <w:sz w:val="20"/>
        </w:rPr>
        <w:t>(“</w:t>
      </w:r>
      <w:r w:rsidR="002849B6" w:rsidRPr="005C2179">
        <w:rPr>
          <w:i/>
          <w:kern w:val="2"/>
          <w:sz w:val="20"/>
        </w:rPr>
        <w:t>Somerville</w:t>
      </w:r>
      <w:r w:rsidR="002849B6" w:rsidRPr="005C2179">
        <w:rPr>
          <w:kern w:val="2"/>
          <w:sz w:val="20"/>
        </w:rPr>
        <w:t>”)</w:t>
      </w:r>
      <w:r w:rsidRPr="005C2179">
        <w:rPr>
          <w:kern w:val="2"/>
          <w:sz w:val="20"/>
        </w:rPr>
        <w:t>.</w:t>
      </w:r>
      <w:r w:rsidRPr="005C2179">
        <w:rPr>
          <w:rStyle w:val="FootnoteReference"/>
          <w:kern w:val="2"/>
          <w:sz w:val="20"/>
        </w:rPr>
        <w:footnoteReference w:id="545"/>
      </w:r>
      <w:r w:rsidR="009C2619" w:rsidRPr="005C2179">
        <w:rPr>
          <w:kern w:val="2"/>
          <w:sz w:val="20"/>
        </w:rPr>
        <w:t xml:space="preserve"> </w:t>
      </w:r>
      <w:r w:rsidR="00804BF3" w:rsidRPr="005C2179">
        <w:rPr>
          <w:kern w:val="2"/>
          <w:sz w:val="20"/>
        </w:rPr>
        <w:t xml:space="preserve">According to the Court in </w:t>
      </w:r>
      <w:r w:rsidR="00804BF3" w:rsidRPr="005C2179">
        <w:rPr>
          <w:i/>
          <w:kern w:val="2"/>
          <w:sz w:val="20"/>
        </w:rPr>
        <w:t xml:space="preserve">Somerville, </w:t>
      </w:r>
      <w:r w:rsidR="00F905B4" w:rsidRPr="005C2179">
        <w:rPr>
          <w:kern w:val="2"/>
          <w:sz w:val="20"/>
        </w:rPr>
        <w:t>the third-</w:t>
      </w:r>
      <w:r w:rsidR="00804BF3" w:rsidRPr="005C2179">
        <w:rPr>
          <w:kern w:val="2"/>
          <w:sz w:val="20"/>
        </w:rPr>
        <w:t>party</w:t>
      </w:r>
      <w:r w:rsidR="002849B6" w:rsidRPr="005C2179">
        <w:rPr>
          <w:kern w:val="2"/>
          <w:sz w:val="20"/>
        </w:rPr>
        <w:t xml:space="preserve"> spending</w:t>
      </w:r>
      <w:r w:rsidR="00804BF3" w:rsidRPr="005C2179">
        <w:rPr>
          <w:kern w:val="2"/>
          <w:sz w:val="20"/>
        </w:rPr>
        <w:t xml:space="preserve"> limits </w:t>
      </w:r>
      <w:r w:rsidR="00774EDB" w:rsidRPr="005C2179">
        <w:rPr>
          <w:kern w:val="2"/>
          <w:sz w:val="20"/>
        </w:rPr>
        <w:t>“severely limit</w:t>
      </w:r>
      <w:r w:rsidR="00DD2760" w:rsidRPr="005C2179">
        <w:rPr>
          <w:kern w:val="2"/>
          <w:sz w:val="20"/>
        </w:rPr>
        <w:t>[ed]</w:t>
      </w:r>
      <w:r w:rsidR="006B6408" w:rsidRPr="005C2179">
        <w:rPr>
          <w:kern w:val="2"/>
          <w:sz w:val="20"/>
        </w:rPr>
        <w:t>” the communicative power of third parties, thus violating the</w:t>
      </w:r>
      <w:r w:rsidR="00140B78" w:rsidRPr="005C2179">
        <w:rPr>
          <w:kern w:val="2"/>
          <w:sz w:val="20"/>
        </w:rPr>
        <w:t>ir</w:t>
      </w:r>
      <w:r w:rsidR="006B6408" w:rsidRPr="005C2179">
        <w:rPr>
          <w:kern w:val="2"/>
          <w:sz w:val="20"/>
        </w:rPr>
        <w:t xml:space="preserve"> right to freedom of expression.</w:t>
      </w:r>
      <w:r w:rsidR="00B4047A" w:rsidRPr="005C2179">
        <w:rPr>
          <w:rStyle w:val="FootnoteReference"/>
          <w:kern w:val="2"/>
          <w:sz w:val="20"/>
        </w:rPr>
        <w:footnoteReference w:id="546"/>
      </w:r>
      <w:r w:rsidR="00804BF3" w:rsidRPr="005C2179">
        <w:rPr>
          <w:kern w:val="2"/>
          <w:sz w:val="20"/>
        </w:rPr>
        <w:t xml:space="preserve"> </w:t>
      </w:r>
      <w:r w:rsidR="00140B78" w:rsidRPr="005C2179">
        <w:rPr>
          <w:kern w:val="2"/>
          <w:sz w:val="20"/>
        </w:rPr>
        <w:t>The spending limits</w:t>
      </w:r>
      <w:r w:rsidR="006B6408" w:rsidRPr="005C2179">
        <w:rPr>
          <w:kern w:val="2"/>
          <w:sz w:val="20"/>
        </w:rPr>
        <w:t xml:space="preserve"> also constituted a limit on </w:t>
      </w:r>
      <w:r w:rsidR="00804BF3" w:rsidRPr="005C2179">
        <w:rPr>
          <w:kern w:val="2"/>
          <w:sz w:val="20"/>
        </w:rPr>
        <w:t xml:space="preserve">freedom </w:t>
      </w:r>
      <w:r w:rsidR="006B6408" w:rsidRPr="005C2179">
        <w:rPr>
          <w:kern w:val="2"/>
          <w:sz w:val="20"/>
        </w:rPr>
        <w:t>of association, since they</w:t>
      </w:r>
      <w:r w:rsidR="00804BF3" w:rsidRPr="005C2179">
        <w:rPr>
          <w:kern w:val="2"/>
          <w:sz w:val="20"/>
        </w:rPr>
        <w:t xml:space="preserve"> prevented people from combining “resources to pursue common goals, influence others, exchange ideas and effect change</w:t>
      </w:r>
      <w:r w:rsidR="00EE0252" w:rsidRPr="005C2179">
        <w:rPr>
          <w:kern w:val="2"/>
          <w:sz w:val="20"/>
        </w:rPr>
        <w:t>.</w:t>
      </w:r>
      <w:r w:rsidR="00804BF3" w:rsidRPr="005C2179">
        <w:rPr>
          <w:kern w:val="2"/>
          <w:sz w:val="20"/>
        </w:rPr>
        <w:t>”</w:t>
      </w:r>
      <w:r w:rsidR="002849B6" w:rsidRPr="005C2179">
        <w:rPr>
          <w:rStyle w:val="FootnoteReference"/>
          <w:kern w:val="2"/>
          <w:sz w:val="20"/>
        </w:rPr>
        <w:footnoteReference w:id="547"/>
      </w:r>
      <w:r w:rsidR="00002779" w:rsidRPr="005C2179">
        <w:rPr>
          <w:kern w:val="2"/>
          <w:sz w:val="20"/>
        </w:rPr>
        <w:t xml:space="preserve"> Further, the Court found that the impugned provisions violated the</w:t>
      </w:r>
      <w:r w:rsidR="00804BF3" w:rsidRPr="005C2179">
        <w:rPr>
          <w:kern w:val="2"/>
          <w:sz w:val="20"/>
        </w:rPr>
        <w:t xml:space="preserve"> right to v</w:t>
      </w:r>
      <w:r w:rsidR="00002779" w:rsidRPr="005C2179">
        <w:rPr>
          <w:kern w:val="2"/>
          <w:sz w:val="20"/>
        </w:rPr>
        <w:t xml:space="preserve">ote under section 3 of the </w:t>
      </w:r>
      <w:r w:rsidR="00002779" w:rsidRPr="005C2179">
        <w:rPr>
          <w:i/>
          <w:kern w:val="2"/>
          <w:sz w:val="20"/>
        </w:rPr>
        <w:t>Charter</w:t>
      </w:r>
      <w:r w:rsidR="00B1082D" w:rsidRPr="005C2179">
        <w:rPr>
          <w:kern w:val="2"/>
          <w:sz w:val="20"/>
        </w:rPr>
        <w:t>.</w:t>
      </w:r>
      <w:r w:rsidR="00804BF3" w:rsidRPr="005C2179">
        <w:rPr>
          <w:kern w:val="2"/>
          <w:sz w:val="20"/>
        </w:rPr>
        <w:t xml:space="preserve"> </w:t>
      </w:r>
      <w:r w:rsidR="00B1082D" w:rsidRPr="005C2179">
        <w:rPr>
          <w:kern w:val="2"/>
          <w:sz w:val="20"/>
        </w:rPr>
        <w:t xml:space="preserve">In the Court’s view, </w:t>
      </w:r>
      <w:r w:rsidR="00804BF3" w:rsidRPr="005C2179">
        <w:rPr>
          <w:kern w:val="2"/>
          <w:sz w:val="20"/>
        </w:rPr>
        <w:t xml:space="preserve">the </w:t>
      </w:r>
      <w:r w:rsidR="0001700E" w:rsidRPr="005C2179">
        <w:rPr>
          <w:kern w:val="2"/>
          <w:sz w:val="20"/>
        </w:rPr>
        <w:t xml:space="preserve">limits had </w:t>
      </w:r>
      <w:r w:rsidR="00D84F4D" w:rsidRPr="005C2179">
        <w:rPr>
          <w:kern w:val="2"/>
          <w:sz w:val="20"/>
        </w:rPr>
        <w:t>“</w:t>
      </w:r>
      <w:r w:rsidR="00804BF3" w:rsidRPr="005C2179">
        <w:rPr>
          <w:kern w:val="2"/>
          <w:sz w:val="20"/>
        </w:rPr>
        <w:t>the effect of obstructing citizens’ access to information to such an extent that the right to cast an ‘informed vote’ is breached.”</w:t>
      </w:r>
      <w:r w:rsidR="004D4A45" w:rsidRPr="005C2179">
        <w:rPr>
          <w:rStyle w:val="FootnoteReference"/>
          <w:kern w:val="2"/>
          <w:sz w:val="20"/>
        </w:rPr>
        <w:footnoteReference w:id="548"/>
      </w:r>
      <w:r w:rsidR="004D4A45" w:rsidRPr="005C2179">
        <w:rPr>
          <w:kern w:val="2"/>
          <w:sz w:val="20"/>
        </w:rPr>
        <w:t xml:space="preserve"> </w:t>
      </w:r>
    </w:p>
    <w:p w14:paraId="791D4244" w14:textId="65F5A48C" w:rsidR="00804BF3" w:rsidRPr="005C2179" w:rsidRDefault="00DB3A1B" w:rsidP="00330F4B">
      <w:pPr>
        <w:rPr>
          <w:kern w:val="2"/>
          <w:sz w:val="20"/>
        </w:rPr>
      </w:pPr>
      <w:r w:rsidRPr="005C2179">
        <w:rPr>
          <w:kern w:val="2"/>
          <w:sz w:val="20"/>
        </w:rPr>
        <w:t>The Court held that the</w:t>
      </w:r>
      <w:r w:rsidR="00711E54" w:rsidRPr="005C2179">
        <w:rPr>
          <w:kern w:val="2"/>
          <w:sz w:val="20"/>
        </w:rPr>
        <w:t xml:space="preserve"> impugned provisions could not be justified under section 1 of the </w:t>
      </w:r>
      <w:r w:rsidR="00711E54" w:rsidRPr="005C2179">
        <w:rPr>
          <w:i/>
          <w:kern w:val="2"/>
          <w:sz w:val="20"/>
        </w:rPr>
        <w:t>Charter</w:t>
      </w:r>
      <w:r w:rsidR="00711E54" w:rsidRPr="005C2179">
        <w:rPr>
          <w:kern w:val="2"/>
          <w:sz w:val="20"/>
        </w:rPr>
        <w:t xml:space="preserve">. </w:t>
      </w:r>
      <w:r w:rsidR="00393BAB" w:rsidRPr="005C2179">
        <w:rPr>
          <w:kern w:val="2"/>
          <w:sz w:val="20"/>
        </w:rPr>
        <w:t>Without</w:t>
      </w:r>
      <w:r w:rsidR="004E0F0B" w:rsidRPr="005C2179">
        <w:rPr>
          <w:kern w:val="2"/>
          <w:sz w:val="20"/>
        </w:rPr>
        <w:t xml:space="preserve"> effective</w:t>
      </w:r>
      <w:r w:rsidR="00F905B4" w:rsidRPr="005C2179">
        <w:rPr>
          <w:kern w:val="2"/>
          <w:sz w:val="20"/>
        </w:rPr>
        <w:t xml:space="preserve"> third-</w:t>
      </w:r>
      <w:r w:rsidR="00835212" w:rsidRPr="005C2179">
        <w:rPr>
          <w:kern w:val="2"/>
          <w:sz w:val="20"/>
        </w:rPr>
        <w:t>party advertising, citizens would only be as informed “as the news media, the parties and the candidates themselves want the citizens to be.”</w:t>
      </w:r>
      <w:r w:rsidR="007F6B78" w:rsidRPr="005C2179">
        <w:rPr>
          <w:rStyle w:val="FootnoteReference"/>
          <w:kern w:val="2"/>
          <w:sz w:val="20"/>
        </w:rPr>
        <w:footnoteReference w:id="549"/>
      </w:r>
      <w:r w:rsidR="00835212" w:rsidRPr="005C2179">
        <w:rPr>
          <w:kern w:val="2"/>
          <w:sz w:val="20"/>
        </w:rPr>
        <w:t xml:space="preserve"> </w:t>
      </w:r>
      <w:r w:rsidR="006E5C84" w:rsidRPr="005C2179">
        <w:rPr>
          <w:kern w:val="2"/>
          <w:sz w:val="20"/>
        </w:rPr>
        <w:t>The Court rejected the governmen</w:t>
      </w:r>
      <w:r w:rsidR="00E22E4B" w:rsidRPr="005C2179">
        <w:rPr>
          <w:kern w:val="2"/>
          <w:sz w:val="20"/>
        </w:rPr>
        <w:t>t’s argument that the law was intended</w:t>
      </w:r>
      <w:r w:rsidR="006E5C84" w:rsidRPr="005C2179">
        <w:rPr>
          <w:kern w:val="2"/>
          <w:sz w:val="20"/>
        </w:rPr>
        <w:t xml:space="preserve"> to prevent distortion of the political process. Rather, </w:t>
      </w:r>
      <w:r w:rsidR="00F905B4" w:rsidRPr="005C2179">
        <w:rPr>
          <w:kern w:val="2"/>
          <w:sz w:val="20"/>
        </w:rPr>
        <w:t xml:space="preserve">in the Court’s view, </w:t>
      </w:r>
      <w:r w:rsidR="00CB1F68" w:rsidRPr="005C2179">
        <w:rPr>
          <w:kern w:val="2"/>
          <w:sz w:val="20"/>
        </w:rPr>
        <w:t>the</w:t>
      </w:r>
      <w:r w:rsidR="00D15C57" w:rsidRPr="005C2179">
        <w:rPr>
          <w:kern w:val="2"/>
          <w:sz w:val="20"/>
        </w:rPr>
        <w:t xml:space="preserve"> spending limits</w:t>
      </w:r>
      <w:r w:rsidR="00393BAB" w:rsidRPr="005C2179">
        <w:rPr>
          <w:kern w:val="2"/>
          <w:sz w:val="20"/>
        </w:rPr>
        <w:t xml:space="preserve"> had the </w:t>
      </w:r>
      <w:r w:rsidR="00D15C57" w:rsidRPr="005C2179">
        <w:rPr>
          <w:kern w:val="2"/>
          <w:sz w:val="20"/>
        </w:rPr>
        <w:t>unacceptable</w:t>
      </w:r>
      <w:r w:rsidR="00393BAB" w:rsidRPr="005C2179">
        <w:rPr>
          <w:kern w:val="2"/>
          <w:sz w:val="20"/>
        </w:rPr>
        <w:t xml:space="preserve"> objective of preserving the preferential position of political parties </w:t>
      </w:r>
      <w:r w:rsidR="00E22E4B" w:rsidRPr="005C2179">
        <w:rPr>
          <w:kern w:val="2"/>
          <w:sz w:val="20"/>
        </w:rPr>
        <w:t>by preventing third parties from being “heard in any effective way</w:t>
      </w:r>
      <w:r w:rsidR="000B216E" w:rsidRPr="005C2179">
        <w:rPr>
          <w:kern w:val="2"/>
          <w:sz w:val="20"/>
        </w:rPr>
        <w:t>.</w:t>
      </w:r>
      <w:r w:rsidR="006E5C84" w:rsidRPr="005C2179">
        <w:rPr>
          <w:kern w:val="2"/>
          <w:sz w:val="20"/>
        </w:rPr>
        <w:t>”</w:t>
      </w:r>
      <w:r w:rsidR="000E5794" w:rsidRPr="005C2179">
        <w:rPr>
          <w:rStyle w:val="FootnoteReference"/>
          <w:kern w:val="2"/>
          <w:sz w:val="20"/>
        </w:rPr>
        <w:footnoteReference w:id="550"/>
      </w:r>
      <w:r w:rsidR="006E5C84" w:rsidRPr="005C2179">
        <w:rPr>
          <w:kern w:val="2"/>
          <w:sz w:val="20"/>
        </w:rPr>
        <w:t xml:space="preserve"> </w:t>
      </w:r>
    </w:p>
    <w:p w14:paraId="72842881" w14:textId="524D8E44" w:rsidR="00D15C57" w:rsidRPr="005C2179" w:rsidRDefault="00877900" w:rsidP="00330F4B">
      <w:pPr>
        <w:rPr>
          <w:b/>
          <w:i/>
          <w:kern w:val="2"/>
          <w:sz w:val="20"/>
        </w:rPr>
      </w:pPr>
      <w:r w:rsidRPr="005C2179">
        <w:rPr>
          <w:b/>
          <w:kern w:val="2"/>
          <w:sz w:val="20"/>
        </w:rPr>
        <w:t>b</w:t>
      </w:r>
      <w:r w:rsidR="00D15C57" w:rsidRPr="005C2179">
        <w:rPr>
          <w:b/>
          <w:kern w:val="2"/>
          <w:sz w:val="20"/>
        </w:rPr>
        <w:t xml:space="preserve">) </w:t>
      </w:r>
      <w:r w:rsidR="00D15C57" w:rsidRPr="005C2179">
        <w:rPr>
          <w:b/>
          <w:i/>
          <w:kern w:val="2"/>
          <w:sz w:val="20"/>
        </w:rPr>
        <w:t>Libman v Quebec (Attorney General)</w:t>
      </w:r>
    </w:p>
    <w:p w14:paraId="5312DC2A" w14:textId="43743D15" w:rsidR="00892AF5" w:rsidRPr="005C2179" w:rsidRDefault="00503A64" w:rsidP="00330F4B">
      <w:pPr>
        <w:rPr>
          <w:kern w:val="2"/>
          <w:sz w:val="20"/>
        </w:rPr>
      </w:pPr>
      <w:r w:rsidRPr="005C2179">
        <w:rPr>
          <w:kern w:val="2"/>
          <w:sz w:val="20"/>
        </w:rPr>
        <w:t xml:space="preserve">In </w:t>
      </w:r>
      <w:r w:rsidRPr="005C2179">
        <w:rPr>
          <w:i/>
          <w:kern w:val="2"/>
          <w:sz w:val="20"/>
        </w:rPr>
        <w:t>Libman v Quebec (A</w:t>
      </w:r>
      <w:r w:rsidR="00C4110D" w:rsidRPr="005C2179">
        <w:rPr>
          <w:i/>
          <w:kern w:val="2"/>
          <w:sz w:val="20"/>
        </w:rPr>
        <w:t xml:space="preserve">ttorney </w:t>
      </w:r>
      <w:r w:rsidRPr="005C2179">
        <w:rPr>
          <w:i/>
          <w:kern w:val="2"/>
          <w:sz w:val="20"/>
        </w:rPr>
        <w:t>G</w:t>
      </w:r>
      <w:r w:rsidR="00C4110D" w:rsidRPr="005C2179">
        <w:rPr>
          <w:i/>
          <w:kern w:val="2"/>
          <w:sz w:val="20"/>
        </w:rPr>
        <w:t xml:space="preserve">eneral) </w:t>
      </w:r>
      <w:r w:rsidR="00C4110D" w:rsidRPr="005C2179">
        <w:rPr>
          <w:kern w:val="2"/>
          <w:sz w:val="20"/>
        </w:rPr>
        <w:t>(“</w:t>
      </w:r>
      <w:r w:rsidR="00C4110D" w:rsidRPr="005C2179">
        <w:rPr>
          <w:i/>
          <w:kern w:val="2"/>
          <w:sz w:val="20"/>
        </w:rPr>
        <w:t>Libman</w:t>
      </w:r>
      <w:r w:rsidR="00C4110D" w:rsidRPr="005C2179">
        <w:rPr>
          <w:kern w:val="2"/>
          <w:sz w:val="20"/>
        </w:rPr>
        <w:t>”),</w:t>
      </w:r>
      <w:r w:rsidRPr="005C2179">
        <w:rPr>
          <w:i/>
          <w:kern w:val="2"/>
          <w:sz w:val="20"/>
        </w:rPr>
        <w:t xml:space="preserve"> </w:t>
      </w:r>
      <w:r w:rsidR="00C4110D" w:rsidRPr="005C2179">
        <w:rPr>
          <w:kern w:val="2"/>
          <w:sz w:val="20"/>
        </w:rPr>
        <w:t xml:space="preserve">the SCC </w:t>
      </w:r>
      <w:r w:rsidR="007469AE" w:rsidRPr="005C2179">
        <w:rPr>
          <w:kern w:val="2"/>
          <w:sz w:val="20"/>
        </w:rPr>
        <w:t>struck down a</w:t>
      </w:r>
      <w:r w:rsidR="008A1441" w:rsidRPr="005C2179">
        <w:rPr>
          <w:kern w:val="2"/>
          <w:sz w:val="20"/>
        </w:rPr>
        <w:t xml:space="preserve"> provision </w:t>
      </w:r>
      <w:r w:rsidR="007469AE" w:rsidRPr="005C2179">
        <w:rPr>
          <w:kern w:val="2"/>
          <w:sz w:val="20"/>
        </w:rPr>
        <w:t>in Quebec</w:t>
      </w:r>
      <w:r w:rsidR="00F7713C" w:rsidRPr="005C2179">
        <w:rPr>
          <w:kern w:val="2"/>
          <w:sz w:val="20"/>
        </w:rPr>
        <w:t xml:space="preserve"> that restricted third-party campaigning in referendums.</w:t>
      </w:r>
      <w:r w:rsidR="00241686" w:rsidRPr="005C2179">
        <w:rPr>
          <w:rStyle w:val="FootnoteReference"/>
          <w:kern w:val="2"/>
          <w:sz w:val="20"/>
        </w:rPr>
        <w:footnoteReference w:id="551"/>
      </w:r>
      <w:r w:rsidR="00F7713C" w:rsidRPr="005C2179">
        <w:rPr>
          <w:kern w:val="2"/>
          <w:sz w:val="20"/>
        </w:rPr>
        <w:t xml:space="preserve"> The impugned provision stipulated that only the nat</w:t>
      </w:r>
      <w:r w:rsidR="00892AF5" w:rsidRPr="005C2179">
        <w:rPr>
          <w:kern w:val="2"/>
          <w:sz w:val="20"/>
        </w:rPr>
        <w:t>ional committees for each</w:t>
      </w:r>
      <w:r w:rsidRPr="005C2179">
        <w:rPr>
          <w:kern w:val="2"/>
          <w:sz w:val="20"/>
        </w:rPr>
        <w:t xml:space="preserve"> option</w:t>
      </w:r>
      <w:r w:rsidR="00892AF5" w:rsidRPr="005C2179">
        <w:rPr>
          <w:kern w:val="2"/>
          <w:sz w:val="20"/>
        </w:rPr>
        <w:t xml:space="preserve"> in </w:t>
      </w:r>
      <w:r w:rsidRPr="005C2179">
        <w:rPr>
          <w:kern w:val="2"/>
          <w:sz w:val="20"/>
        </w:rPr>
        <w:t xml:space="preserve">a referendum could incur </w:t>
      </w:r>
      <w:r w:rsidR="00F7713C" w:rsidRPr="005C2179">
        <w:rPr>
          <w:kern w:val="2"/>
          <w:sz w:val="20"/>
        </w:rPr>
        <w:t>expe</w:t>
      </w:r>
      <w:r w:rsidR="00401E64" w:rsidRPr="005C2179">
        <w:rPr>
          <w:kern w:val="2"/>
          <w:sz w:val="20"/>
        </w:rPr>
        <w:t>nses to promote or oppose each option</w:t>
      </w:r>
      <w:r w:rsidR="00F472E9" w:rsidRPr="005C2179">
        <w:rPr>
          <w:kern w:val="2"/>
          <w:sz w:val="20"/>
        </w:rPr>
        <w:t xml:space="preserve">. </w:t>
      </w:r>
      <w:r w:rsidR="00176D92" w:rsidRPr="005C2179">
        <w:rPr>
          <w:kern w:val="2"/>
          <w:sz w:val="20"/>
        </w:rPr>
        <w:t xml:space="preserve">The </w:t>
      </w:r>
      <w:r w:rsidR="00F7713C" w:rsidRPr="005C2179">
        <w:rPr>
          <w:kern w:val="2"/>
          <w:sz w:val="20"/>
        </w:rPr>
        <w:t>law</w:t>
      </w:r>
      <w:r w:rsidR="00176D92" w:rsidRPr="005C2179">
        <w:rPr>
          <w:kern w:val="2"/>
          <w:sz w:val="20"/>
        </w:rPr>
        <w:t xml:space="preserve"> failed </w:t>
      </w:r>
      <w:r w:rsidR="00753B7E" w:rsidRPr="005C2179">
        <w:rPr>
          <w:kern w:val="2"/>
          <w:sz w:val="20"/>
        </w:rPr>
        <w:t>at the minimal impairment stage</w:t>
      </w:r>
      <w:r w:rsidR="00176D92" w:rsidRPr="005C2179">
        <w:rPr>
          <w:kern w:val="2"/>
          <w:sz w:val="20"/>
        </w:rPr>
        <w:t xml:space="preserve"> of the section 1 </w:t>
      </w:r>
      <w:r w:rsidR="00892AF5" w:rsidRPr="005C2179">
        <w:rPr>
          <w:i/>
          <w:kern w:val="2"/>
          <w:sz w:val="20"/>
        </w:rPr>
        <w:t xml:space="preserve">Charter </w:t>
      </w:r>
      <w:r w:rsidR="00176D92" w:rsidRPr="005C2179">
        <w:rPr>
          <w:kern w:val="2"/>
          <w:sz w:val="20"/>
        </w:rPr>
        <w:t>analysis</w:t>
      </w:r>
      <w:r w:rsidR="00892AF5" w:rsidRPr="005C2179">
        <w:rPr>
          <w:kern w:val="2"/>
          <w:sz w:val="20"/>
        </w:rPr>
        <w:t>, as</w:t>
      </w:r>
      <w:r w:rsidR="00F7713C" w:rsidRPr="005C2179">
        <w:rPr>
          <w:kern w:val="2"/>
          <w:sz w:val="20"/>
        </w:rPr>
        <w:t xml:space="preserve"> it </w:t>
      </w:r>
      <w:r w:rsidR="00753B7E" w:rsidRPr="005C2179">
        <w:rPr>
          <w:kern w:val="2"/>
          <w:sz w:val="20"/>
        </w:rPr>
        <w:t>constituted an almost tota</w:t>
      </w:r>
      <w:r w:rsidR="00940B0F" w:rsidRPr="005C2179">
        <w:rPr>
          <w:kern w:val="2"/>
          <w:sz w:val="20"/>
        </w:rPr>
        <w:t>l ban on the expression of those</w:t>
      </w:r>
      <w:r w:rsidR="00753B7E" w:rsidRPr="005C2179">
        <w:rPr>
          <w:kern w:val="2"/>
          <w:sz w:val="20"/>
        </w:rPr>
        <w:t xml:space="preserve"> who could not join or affiliate themselves with national committees. </w:t>
      </w:r>
    </w:p>
    <w:p w14:paraId="1595287A" w14:textId="7E1C5F7E" w:rsidR="005C4377" w:rsidRPr="005C2179" w:rsidRDefault="00F472E9" w:rsidP="00330F4B">
      <w:pPr>
        <w:rPr>
          <w:kern w:val="2"/>
          <w:sz w:val="20"/>
        </w:rPr>
      </w:pPr>
      <w:r w:rsidRPr="005C2179">
        <w:rPr>
          <w:kern w:val="2"/>
          <w:sz w:val="20"/>
        </w:rPr>
        <w:t xml:space="preserve">However, </w:t>
      </w:r>
      <w:r w:rsidR="00892AF5" w:rsidRPr="005C2179">
        <w:rPr>
          <w:kern w:val="2"/>
          <w:sz w:val="20"/>
        </w:rPr>
        <w:t xml:space="preserve">in </w:t>
      </w:r>
      <w:r w:rsidR="00892AF5" w:rsidRPr="005C2179">
        <w:rPr>
          <w:i/>
          <w:kern w:val="2"/>
          <w:sz w:val="20"/>
        </w:rPr>
        <w:t xml:space="preserve">Libman, </w:t>
      </w:r>
      <w:r w:rsidRPr="005C2179">
        <w:rPr>
          <w:kern w:val="2"/>
          <w:sz w:val="20"/>
        </w:rPr>
        <w:t>the SCC</w:t>
      </w:r>
      <w:r w:rsidR="00273C67" w:rsidRPr="005C2179">
        <w:rPr>
          <w:kern w:val="2"/>
          <w:sz w:val="20"/>
        </w:rPr>
        <w:t xml:space="preserve"> </w:t>
      </w:r>
      <w:r w:rsidR="009359C2" w:rsidRPr="005C2179">
        <w:rPr>
          <w:kern w:val="2"/>
          <w:sz w:val="20"/>
        </w:rPr>
        <w:t xml:space="preserve">accepted </w:t>
      </w:r>
      <w:r w:rsidR="004A6302" w:rsidRPr="005C2179">
        <w:rPr>
          <w:kern w:val="2"/>
          <w:sz w:val="20"/>
        </w:rPr>
        <w:t>in principle</w:t>
      </w:r>
      <w:r w:rsidR="00DD2760" w:rsidRPr="005C2179">
        <w:rPr>
          <w:kern w:val="2"/>
          <w:sz w:val="20"/>
        </w:rPr>
        <w:t xml:space="preserve"> the constitutionality of third-</w:t>
      </w:r>
      <w:r w:rsidR="004A6302" w:rsidRPr="005C2179">
        <w:rPr>
          <w:kern w:val="2"/>
          <w:sz w:val="20"/>
        </w:rPr>
        <w:t>part</w:t>
      </w:r>
      <w:r w:rsidR="007220BA" w:rsidRPr="005C2179">
        <w:rPr>
          <w:kern w:val="2"/>
          <w:sz w:val="20"/>
        </w:rPr>
        <w:t>y spending limits in referendums</w:t>
      </w:r>
      <w:r w:rsidR="004A6302" w:rsidRPr="005C2179">
        <w:rPr>
          <w:kern w:val="2"/>
          <w:sz w:val="20"/>
        </w:rPr>
        <w:t xml:space="preserve"> and elections</w:t>
      </w:r>
      <w:r w:rsidR="008A1441" w:rsidRPr="005C2179">
        <w:rPr>
          <w:kern w:val="2"/>
          <w:sz w:val="20"/>
        </w:rPr>
        <w:t xml:space="preserve">. </w:t>
      </w:r>
      <w:r w:rsidR="00892AF5" w:rsidRPr="005C2179">
        <w:rPr>
          <w:kern w:val="2"/>
          <w:sz w:val="20"/>
        </w:rPr>
        <w:t xml:space="preserve">The </w:t>
      </w:r>
      <w:r w:rsidR="00B20F4E" w:rsidRPr="005C2179">
        <w:rPr>
          <w:kern w:val="2"/>
          <w:sz w:val="20"/>
        </w:rPr>
        <w:t>SCC found</w:t>
      </w:r>
      <w:r w:rsidR="008A1441" w:rsidRPr="005C2179">
        <w:rPr>
          <w:kern w:val="2"/>
          <w:sz w:val="20"/>
        </w:rPr>
        <w:t xml:space="preserve"> that </w:t>
      </w:r>
      <w:r w:rsidR="00753B7E" w:rsidRPr="005C2179">
        <w:rPr>
          <w:kern w:val="2"/>
          <w:sz w:val="20"/>
        </w:rPr>
        <w:t>the three objectives of the legislation were pressing and substantial</w:t>
      </w:r>
      <w:r w:rsidR="008A1441" w:rsidRPr="005C2179">
        <w:rPr>
          <w:kern w:val="2"/>
          <w:sz w:val="20"/>
        </w:rPr>
        <w:t xml:space="preserve">. </w:t>
      </w:r>
      <w:r w:rsidR="00062D8D" w:rsidRPr="005C2179">
        <w:rPr>
          <w:kern w:val="2"/>
          <w:sz w:val="20"/>
        </w:rPr>
        <w:t>The first objective</w:t>
      </w:r>
      <w:r w:rsidR="008A1441" w:rsidRPr="005C2179">
        <w:rPr>
          <w:kern w:val="2"/>
          <w:sz w:val="20"/>
        </w:rPr>
        <w:t xml:space="preserve"> was the egalitarian goal of ensuring the wealthy do not have a</w:t>
      </w:r>
      <w:r w:rsidR="00843271" w:rsidRPr="005C2179">
        <w:rPr>
          <w:kern w:val="2"/>
          <w:sz w:val="20"/>
        </w:rPr>
        <w:t xml:space="preserve"> </w:t>
      </w:r>
      <w:r w:rsidR="008A1441" w:rsidRPr="005C2179">
        <w:rPr>
          <w:kern w:val="2"/>
          <w:sz w:val="20"/>
        </w:rPr>
        <w:t>“dis</w:t>
      </w:r>
      <w:r w:rsidR="0001164E" w:rsidRPr="005C2179">
        <w:rPr>
          <w:kern w:val="2"/>
          <w:sz w:val="20"/>
        </w:rPr>
        <w:t>-</w:t>
      </w:r>
      <w:r w:rsidR="008A1441" w:rsidRPr="005C2179">
        <w:rPr>
          <w:kern w:val="2"/>
          <w:sz w:val="20"/>
        </w:rPr>
        <w:t>proportionate influence by dominating the referendum debate</w:t>
      </w:r>
      <w:r w:rsidR="00216C2A" w:rsidRPr="005C2179">
        <w:rPr>
          <w:kern w:val="2"/>
          <w:sz w:val="20"/>
        </w:rPr>
        <w:t>.</w:t>
      </w:r>
      <w:r w:rsidR="008A1441" w:rsidRPr="005C2179">
        <w:rPr>
          <w:kern w:val="2"/>
          <w:sz w:val="20"/>
        </w:rPr>
        <w:t>”</w:t>
      </w:r>
      <w:r w:rsidR="00B20F4E" w:rsidRPr="005C2179">
        <w:rPr>
          <w:rStyle w:val="FootnoteReference"/>
          <w:kern w:val="2"/>
          <w:sz w:val="20"/>
        </w:rPr>
        <w:footnoteReference w:id="552"/>
      </w:r>
      <w:r w:rsidR="008A1441" w:rsidRPr="005C2179">
        <w:rPr>
          <w:kern w:val="2"/>
          <w:sz w:val="20"/>
        </w:rPr>
        <w:t xml:space="preserve"> </w:t>
      </w:r>
      <w:r w:rsidR="009359C2" w:rsidRPr="005C2179">
        <w:rPr>
          <w:kern w:val="2"/>
          <w:sz w:val="20"/>
        </w:rPr>
        <w:t xml:space="preserve"> </w:t>
      </w:r>
      <w:r w:rsidR="00062D8D" w:rsidRPr="005C2179">
        <w:rPr>
          <w:kern w:val="2"/>
          <w:sz w:val="20"/>
        </w:rPr>
        <w:t>Second, the spending limits aimed to</w:t>
      </w:r>
      <w:r w:rsidR="00B20F4E" w:rsidRPr="005C2179">
        <w:rPr>
          <w:kern w:val="2"/>
          <w:sz w:val="20"/>
        </w:rPr>
        <w:t xml:space="preserve"> facilitate informed voting</w:t>
      </w:r>
      <w:r w:rsidR="008A1441" w:rsidRPr="005C2179">
        <w:rPr>
          <w:kern w:val="2"/>
          <w:sz w:val="20"/>
        </w:rPr>
        <w:t xml:space="preserve"> “by ensuring some positions are not buried by others.”</w:t>
      </w:r>
      <w:r w:rsidR="00B20F4E" w:rsidRPr="005C2179">
        <w:rPr>
          <w:rStyle w:val="FootnoteReference"/>
          <w:kern w:val="2"/>
          <w:sz w:val="20"/>
        </w:rPr>
        <w:footnoteReference w:id="553"/>
      </w:r>
      <w:r w:rsidR="00B20F4E" w:rsidRPr="005C2179">
        <w:rPr>
          <w:kern w:val="2"/>
          <w:sz w:val="20"/>
        </w:rPr>
        <w:t xml:space="preserve"> </w:t>
      </w:r>
      <w:r w:rsidR="008A1441" w:rsidRPr="005C2179">
        <w:rPr>
          <w:kern w:val="2"/>
          <w:sz w:val="20"/>
        </w:rPr>
        <w:t xml:space="preserve">The third objective was to encourage public confidence by </w:t>
      </w:r>
      <w:r w:rsidR="00A94F6B" w:rsidRPr="005C2179">
        <w:rPr>
          <w:kern w:val="2"/>
          <w:sz w:val="20"/>
        </w:rPr>
        <w:t>demonstrating</w:t>
      </w:r>
      <w:r w:rsidR="008A1441" w:rsidRPr="005C2179">
        <w:rPr>
          <w:kern w:val="2"/>
          <w:sz w:val="20"/>
        </w:rPr>
        <w:t xml:space="preserve"> that the </w:t>
      </w:r>
      <w:r w:rsidR="005A6F21" w:rsidRPr="005C2179">
        <w:rPr>
          <w:kern w:val="2"/>
          <w:sz w:val="20"/>
        </w:rPr>
        <w:t>political process is</w:t>
      </w:r>
      <w:r w:rsidR="00A94F6B" w:rsidRPr="005C2179">
        <w:rPr>
          <w:kern w:val="2"/>
          <w:sz w:val="20"/>
        </w:rPr>
        <w:t xml:space="preserve"> not</w:t>
      </w:r>
      <w:r w:rsidR="005A6F21" w:rsidRPr="005C2179">
        <w:rPr>
          <w:kern w:val="2"/>
          <w:sz w:val="20"/>
        </w:rPr>
        <w:t xml:space="preserve"> </w:t>
      </w:r>
      <w:r w:rsidR="008A1441" w:rsidRPr="005C2179">
        <w:rPr>
          <w:kern w:val="2"/>
          <w:sz w:val="20"/>
        </w:rPr>
        <w:t>“dominated by the power of money.”</w:t>
      </w:r>
      <w:r w:rsidR="00B20F4E" w:rsidRPr="005C2179">
        <w:rPr>
          <w:rStyle w:val="FootnoteReference"/>
          <w:kern w:val="2"/>
          <w:sz w:val="20"/>
        </w:rPr>
        <w:footnoteReference w:id="554"/>
      </w:r>
      <w:r w:rsidR="008A1441" w:rsidRPr="005C2179">
        <w:rPr>
          <w:kern w:val="2"/>
          <w:sz w:val="20"/>
        </w:rPr>
        <w:t xml:space="preserve"> </w:t>
      </w:r>
    </w:p>
    <w:p w14:paraId="163E9568" w14:textId="77777777" w:rsidR="00503A64" w:rsidRPr="005C2179" w:rsidRDefault="00892AF5" w:rsidP="00330F4B">
      <w:pPr>
        <w:rPr>
          <w:kern w:val="2"/>
          <w:sz w:val="20"/>
        </w:rPr>
      </w:pPr>
      <w:r w:rsidRPr="005C2179">
        <w:rPr>
          <w:kern w:val="2"/>
          <w:sz w:val="20"/>
        </w:rPr>
        <w:t xml:space="preserve">Moving to the next stage of the section 1 analysis, the SCC found that </w:t>
      </w:r>
      <w:r w:rsidR="003A7402" w:rsidRPr="005C2179">
        <w:rPr>
          <w:kern w:val="2"/>
          <w:sz w:val="20"/>
        </w:rPr>
        <w:t>the third</w:t>
      </w:r>
      <w:r w:rsidR="00730312" w:rsidRPr="005C2179">
        <w:rPr>
          <w:kern w:val="2"/>
          <w:sz w:val="20"/>
        </w:rPr>
        <w:t>-</w:t>
      </w:r>
      <w:r w:rsidRPr="005C2179">
        <w:rPr>
          <w:kern w:val="2"/>
          <w:sz w:val="20"/>
        </w:rPr>
        <w:t>party spending limits were rationally connected to the</w:t>
      </w:r>
      <w:r w:rsidR="00657BC2" w:rsidRPr="005C2179">
        <w:rPr>
          <w:kern w:val="2"/>
          <w:sz w:val="20"/>
        </w:rPr>
        <w:t>ir three objectives</w:t>
      </w:r>
      <w:r w:rsidRPr="005C2179">
        <w:rPr>
          <w:kern w:val="2"/>
          <w:sz w:val="20"/>
        </w:rPr>
        <w:t>.</w:t>
      </w:r>
      <w:r w:rsidRPr="005C2179">
        <w:rPr>
          <w:rStyle w:val="FootnoteReference"/>
          <w:kern w:val="2"/>
          <w:sz w:val="20"/>
        </w:rPr>
        <w:footnoteReference w:id="555"/>
      </w:r>
      <w:r w:rsidRPr="005C2179">
        <w:rPr>
          <w:kern w:val="2"/>
          <w:sz w:val="20"/>
        </w:rPr>
        <w:t xml:space="preserve"> </w:t>
      </w:r>
      <w:r w:rsidR="005D2A47" w:rsidRPr="005C2179">
        <w:rPr>
          <w:kern w:val="2"/>
          <w:sz w:val="20"/>
        </w:rPr>
        <w:t>Based on the report of the</w:t>
      </w:r>
      <w:r w:rsidR="00184E54" w:rsidRPr="005C2179">
        <w:rPr>
          <w:kern w:val="2"/>
          <w:sz w:val="20"/>
        </w:rPr>
        <w:t xml:space="preserve"> 1991</w:t>
      </w:r>
      <w:r w:rsidR="005D2A47" w:rsidRPr="005C2179">
        <w:rPr>
          <w:kern w:val="2"/>
          <w:sz w:val="20"/>
        </w:rPr>
        <w:t xml:space="preserve"> Lortie Commission,</w:t>
      </w:r>
      <w:r w:rsidR="00585D52" w:rsidRPr="005C2179">
        <w:rPr>
          <w:rStyle w:val="FootnoteReference"/>
          <w:kern w:val="2"/>
          <w:sz w:val="20"/>
        </w:rPr>
        <w:footnoteReference w:id="556"/>
      </w:r>
      <w:r w:rsidR="005D2A47" w:rsidRPr="005C2179">
        <w:rPr>
          <w:kern w:val="2"/>
          <w:sz w:val="20"/>
        </w:rPr>
        <w:t xml:space="preserve"> the SC</w:t>
      </w:r>
      <w:r w:rsidR="00657BC2" w:rsidRPr="005C2179">
        <w:rPr>
          <w:kern w:val="2"/>
          <w:sz w:val="20"/>
        </w:rPr>
        <w:t xml:space="preserve">C </w:t>
      </w:r>
      <w:r w:rsidR="00005597" w:rsidRPr="005C2179">
        <w:rPr>
          <w:kern w:val="2"/>
          <w:sz w:val="20"/>
        </w:rPr>
        <w:t>remarked</w:t>
      </w:r>
      <w:r w:rsidR="00184E54" w:rsidRPr="005C2179">
        <w:rPr>
          <w:kern w:val="2"/>
          <w:sz w:val="20"/>
        </w:rPr>
        <w:t xml:space="preserve"> that</w:t>
      </w:r>
      <w:r w:rsidR="00900F29" w:rsidRPr="005C2179">
        <w:rPr>
          <w:kern w:val="2"/>
          <w:sz w:val="20"/>
        </w:rPr>
        <w:t xml:space="preserve"> third</w:t>
      </w:r>
      <w:r w:rsidR="001A3F14" w:rsidRPr="005C2179">
        <w:rPr>
          <w:kern w:val="2"/>
          <w:sz w:val="20"/>
        </w:rPr>
        <w:t>-</w:t>
      </w:r>
      <w:r w:rsidR="00900F29" w:rsidRPr="005C2179">
        <w:rPr>
          <w:kern w:val="2"/>
          <w:sz w:val="20"/>
        </w:rPr>
        <w:t>party spending must be limited to ensure the effectiveness of party and candi</w:t>
      </w:r>
      <w:r w:rsidR="00DD2760" w:rsidRPr="005C2179">
        <w:rPr>
          <w:kern w:val="2"/>
          <w:sz w:val="20"/>
        </w:rPr>
        <w:t xml:space="preserve">date spending limits, which are, in turn, </w:t>
      </w:r>
      <w:r w:rsidR="00900F29" w:rsidRPr="005C2179">
        <w:rPr>
          <w:kern w:val="2"/>
          <w:sz w:val="20"/>
        </w:rPr>
        <w:t>key to electoral fairness</w:t>
      </w:r>
      <w:r w:rsidR="00781CC3" w:rsidRPr="005C2179">
        <w:rPr>
          <w:kern w:val="2"/>
          <w:sz w:val="20"/>
        </w:rPr>
        <w:t>.</w:t>
      </w:r>
      <w:r w:rsidR="00781CC3" w:rsidRPr="005C2179">
        <w:rPr>
          <w:rStyle w:val="FootnoteReference"/>
          <w:kern w:val="2"/>
          <w:sz w:val="20"/>
        </w:rPr>
        <w:footnoteReference w:id="557"/>
      </w:r>
      <w:r w:rsidR="00657BC2" w:rsidRPr="005C2179">
        <w:rPr>
          <w:kern w:val="2"/>
          <w:sz w:val="20"/>
        </w:rPr>
        <w:t xml:space="preserve"> </w:t>
      </w:r>
      <w:r w:rsidR="00730312" w:rsidRPr="005C2179">
        <w:rPr>
          <w:kern w:val="2"/>
          <w:sz w:val="20"/>
        </w:rPr>
        <w:t>The</w:t>
      </w:r>
      <w:r w:rsidR="00853892" w:rsidRPr="005C2179">
        <w:rPr>
          <w:kern w:val="2"/>
          <w:sz w:val="20"/>
        </w:rPr>
        <w:t xml:space="preserve"> SCC </w:t>
      </w:r>
      <w:r w:rsidR="00730312" w:rsidRPr="005C2179">
        <w:rPr>
          <w:kern w:val="2"/>
          <w:sz w:val="20"/>
        </w:rPr>
        <w:t>also accepted that third-</w:t>
      </w:r>
      <w:r w:rsidR="00853892" w:rsidRPr="005C2179">
        <w:rPr>
          <w:kern w:val="2"/>
          <w:sz w:val="20"/>
        </w:rPr>
        <w:t xml:space="preserve">party spending limits must be </w:t>
      </w:r>
      <w:r w:rsidR="00DE4D53" w:rsidRPr="005C2179">
        <w:rPr>
          <w:kern w:val="2"/>
          <w:sz w:val="20"/>
        </w:rPr>
        <w:t>lower</w:t>
      </w:r>
      <w:r w:rsidR="00853892" w:rsidRPr="005C2179">
        <w:rPr>
          <w:kern w:val="2"/>
          <w:sz w:val="20"/>
        </w:rPr>
        <w:t xml:space="preserve"> than li</w:t>
      </w:r>
      <w:r w:rsidR="00753B7E" w:rsidRPr="005C2179">
        <w:rPr>
          <w:kern w:val="2"/>
          <w:sz w:val="20"/>
        </w:rPr>
        <w:t>mits f</w:t>
      </w:r>
      <w:r w:rsidR="008D07E7" w:rsidRPr="005C2179">
        <w:rPr>
          <w:kern w:val="2"/>
          <w:sz w:val="20"/>
        </w:rPr>
        <w:t>or candidates and parties because</w:t>
      </w:r>
      <w:r w:rsidR="00753B7E" w:rsidRPr="005C2179">
        <w:rPr>
          <w:kern w:val="2"/>
          <w:sz w:val="20"/>
        </w:rPr>
        <w:t xml:space="preserve"> </w:t>
      </w:r>
      <w:r w:rsidR="00F06C57" w:rsidRPr="005C2179">
        <w:rPr>
          <w:kern w:val="2"/>
          <w:sz w:val="20"/>
        </w:rPr>
        <w:t xml:space="preserve">private resources are unlikely to be spread </w:t>
      </w:r>
      <w:r w:rsidR="008D07E7" w:rsidRPr="005C2179">
        <w:rPr>
          <w:kern w:val="2"/>
          <w:sz w:val="20"/>
        </w:rPr>
        <w:t xml:space="preserve">equally </w:t>
      </w:r>
      <w:r w:rsidR="00F06C57" w:rsidRPr="005C2179">
        <w:rPr>
          <w:kern w:val="2"/>
          <w:sz w:val="20"/>
        </w:rPr>
        <w:t>across</w:t>
      </w:r>
      <w:r w:rsidR="00753B7E" w:rsidRPr="005C2179">
        <w:rPr>
          <w:kern w:val="2"/>
          <w:sz w:val="20"/>
        </w:rPr>
        <w:t xml:space="preserve"> candidates and policy positions</w:t>
      </w:r>
      <w:r w:rsidR="00663770" w:rsidRPr="005C2179">
        <w:rPr>
          <w:kern w:val="2"/>
          <w:sz w:val="20"/>
        </w:rPr>
        <w:t>.</w:t>
      </w:r>
      <w:r w:rsidR="00663770" w:rsidRPr="005C2179">
        <w:rPr>
          <w:rStyle w:val="FootnoteReference"/>
          <w:kern w:val="2"/>
          <w:sz w:val="20"/>
        </w:rPr>
        <w:footnoteReference w:id="558"/>
      </w:r>
      <w:r w:rsidR="00663770" w:rsidRPr="005C2179">
        <w:rPr>
          <w:kern w:val="2"/>
          <w:sz w:val="20"/>
        </w:rPr>
        <w:t xml:space="preserve"> </w:t>
      </w:r>
      <w:r w:rsidR="00D769EC" w:rsidRPr="005C2179">
        <w:rPr>
          <w:kern w:val="2"/>
          <w:sz w:val="20"/>
        </w:rPr>
        <w:t xml:space="preserve"> </w:t>
      </w:r>
      <w:r w:rsidR="00FA764B" w:rsidRPr="005C2179">
        <w:rPr>
          <w:kern w:val="2"/>
          <w:sz w:val="20"/>
        </w:rPr>
        <w:t>If</w:t>
      </w:r>
      <w:r w:rsidR="008E32B5" w:rsidRPr="005C2179">
        <w:rPr>
          <w:kern w:val="2"/>
          <w:sz w:val="20"/>
        </w:rPr>
        <w:t xml:space="preserve"> limits are</w:t>
      </w:r>
      <w:r w:rsidR="001A3F14" w:rsidRPr="005C2179">
        <w:rPr>
          <w:kern w:val="2"/>
          <w:sz w:val="20"/>
        </w:rPr>
        <w:t xml:space="preserve"> too high, third-</w:t>
      </w:r>
      <w:r w:rsidR="008D07E7" w:rsidRPr="005C2179">
        <w:rPr>
          <w:kern w:val="2"/>
          <w:sz w:val="20"/>
        </w:rPr>
        <w:t xml:space="preserve">party spending could </w:t>
      </w:r>
      <w:r w:rsidR="00730312" w:rsidRPr="005C2179">
        <w:rPr>
          <w:kern w:val="2"/>
          <w:sz w:val="20"/>
        </w:rPr>
        <w:t xml:space="preserve">produce </w:t>
      </w:r>
      <w:r w:rsidR="008D07E7" w:rsidRPr="005C2179">
        <w:rPr>
          <w:kern w:val="2"/>
          <w:sz w:val="20"/>
        </w:rPr>
        <w:t>“disproportionate”</w:t>
      </w:r>
      <w:r w:rsidR="00663770" w:rsidRPr="005C2179">
        <w:rPr>
          <w:kern w:val="2"/>
          <w:sz w:val="20"/>
        </w:rPr>
        <w:t xml:space="preserve"> and unfair</w:t>
      </w:r>
      <w:r w:rsidR="008D07E7" w:rsidRPr="005C2179">
        <w:rPr>
          <w:kern w:val="2"/>
          <w:sz w:val="20"/>
        </w:rPr>
        <w:t xml:space="preserve"> advantages for certain candidates</w:t>
      </w:r>
      <w:r w:rsidR="00730312" w:rsidRPr="005C2179">
        <w:rPr>
          <w:kern w:val="2"/>
          <w:sz w:val="20"/>
        </w:rPr>
        <w:t>.</w:t>
      </w:r>
      <w:r w:rsidR="00084692" w:rsidRPr="005C2179">
        <w:rPr>
          <w:rStyle w:val="FootnoteReference"/>
          <w:kern w:val="2"/>
          <w:sz w:val="20"/>
        </w:rPr>
        <w:footnoteReference w:id="559"/>
      </w:r>
    </w:p>
    <w:p w14:paraId="79F67C63" w14:textId="0457BAFF" w:rsidR="00F13D76" w:rsidRPr="005C2179" w:rsidRDefault="00877900" w:rsidP="00330F4B">
      <w:pPr>
        <w:rPr>
          <w:b/>
          <w:i/>
          <w:kern w:val="2"/>
          <w:sz w:val="20"/>
        </w:rPr>
      </w:pPr>
      <w:r w:rsidRPr="005C2179">
        <w:rPr>
          <w:b/>
          <w:kern w:val="2"/>
          <w:sz w:val="20"/>
        </w:rPr>
        <w:t>c</w:t>
      </w:r>
      <w:r w:rsidR="00F13D76" w:rsidRPr="005C2179">
        <w:rPr>
          <w:b/>
          <w:kern w:val="2"/>
          <w:sz w:val="20"/>
        </w:rPr>
        <w:t xml:space="preserve">) </w:t>
      </w:r>
      <w:r w:rsidR="00F13D76" w:rsidRPr="005C2179">
        <w:rPr>
          <w:b/>
          <w:i/>
          <w:kern w:val="2"/>
          <w:sz w:val="20"/>
        </w:rPr>
        <w:t>Harper v Canada (Attorney General)</w:t>
      </w:r>
    </w:p>
    <w:p w14:paraId="000ED85B" w14:textId="19431062" w:rsidR="00F62778" w:rsidRPr="005C2179" w:rsidRDefault="005057A9" w:rsidP="00330F4B">
      <w:pPr>
        <w:rPr>
          <w:i/>
          <w:kern w:val="2"/>
          <w:sz w:val="20"/>
        </w:rPr>
      </w:pPr>
      <w:r w:rsidRPr="005C2179">
        <w:rPr>
          <w:i/>
          <w:kern w:val="2"/>
          <w:sz w:val="20"/>
        </w:rPr>
        <w:t xml:space="preserve">Libman </w:t>
      </w:r>
      <w:r w:rsidRPr="005C2179">
        <w:rPr>
          <w:kern w:val="2"/>
          <w:sz w:val="20"/>
        </w:rPr>
        <w:t xml:space="preserve">set the stage for </w:t>
      </w:r>
      <w:r w:rsidR="000218BE" w:rsidRPr="005C2179">
        <w:rPr>
          <w:i/>
          <w:kern w:val="2"/>
          <w:sz w:val="20"/>
        </w:rPr>
        <w:t xml:space="preserve">Harper v Canada (Attorney General) </w:t>
      </w:r>
      <w:r w:rsidR="000218BE" w:rsidRPr="005C2179">
        <w:rPr>
          <w:kern w:val="2"/>
          <w:sz w:val="20"/>
        </w:rPr>
        <w:t>(“</w:t>
      </w:r>
      <w:r w:rsidR="000218BE" w:rsidRPr="005C2179">
        <w:rPr>
          <w:i/>
          <w:kern w:val="2"/>
          <w:sz w:val="20"/>
        </w:rPr>
        <w:t>Harper</w:t>
      </w:r>
      <w:r w:rsidR="000218BE" w:rsidRPr="005C2179">
        <w:rPr>
          <w:kern w:val="2"/>
          <w:sz w:val="20"/>
        </w:rPr>
        <w:t>”)</w:t>
      </w:r>
      <w:r w:rsidR="00B562E9" w:rsidRPr="005C2179">
        <w:rPr>
          <w:kern w:val="2"/>
          <w:sz w:val="20"/>
        </w:rPr>
        <w:t xml:space="preserve">, in which the SCC </w:t>
      </w:r>
      <w:r w:rsidR="00F13D76" w:rsidRPr="005C2179">
        <w:rPr>
          <w:kern w:val="2"/>
          <w:sz w:val="20"/>
        </w:rPr>
        <w:t>upheld third-party spending limits and accepted that Parliament may</w:t>
      </w:r>
      <w:r w:rsidR="00B562E9" w:rsidRPr="005C2179">
        <w:rPr>
          <w:kern w:val="2"/>
          <w:sz w:val="20"/>
        </w:rPr>
        <w:t xml:space="preserve"> choose an “egalitarian model of elections</w:t>
      </w:r>
      <w:r w:rsidR="002560D5" w:rsidRPr="005C2179">
        <w:rPr>
          <w:kern w:val="2"/>
          <w:sz w:val="20"/>
        </w:rPr>
        <w:t>.</w:t>
      </w:r>
      <w:r w:rsidR="00B562E9" w:rsidRPr="005C2179">
        <w:rPr>
          <w:kern w:val="2"/>
          <w:sz w:val="20"/>
        </w:rPr>
        <w:t>”</w:t>
      </w:r>
      <w:r w:rsidR="00B562E9" w:rsidRPr="005C2179">
        <w:rPr>
          <w:rStyle w:val="FootnoteReference"/>
          <w:kern w:val="2"/>
          <w:sz w:val="20"/>
        </w:rPr>
        <w:footnoteReference w:id="560"/>
      </w:r>
      <w:r w:rsidR="000218BE" w:rsidRPr="005C2179">
        <w:rPr>
          <w:i/>
          <w:kern w:val="2"/>
          <w:sz w:val="20"/>
        </w:rPr>
        <w:t xml:space="preserve"> </w:t>
      </w:r>
      <w:r w:rsidR="00E861F6" w:rsidRPr="005C2179">
        <w:rPr>
          <w:kern w:val="2"/>
          <w:sz w:val="20"/>
        </w:rPr>
        <w:t>The impugned provision</w:t>
      </w:r>
      <w:r w:rsidR="006263DF" w:rsidRPr="005C2179">
        <w:rPr>
          <w:kern w:val="2"/>
          <w:sz w:val="20"/>
        </w:rPr>
        <w:t>s</w:t>
      </w:r>
      <w:r w:rsidR="00E861F6" w:rsidRPr="005C2179">
        <w:rPr>
          <w:kern w:val="2"/>
          <w:sz w:val="20"/>
        </w:rPr>
        <w:t xml:space="preserve"> of the </w:t>
      </w:r>
      <w:r w:rsidR="00E861F6" w:rsidRPr="005C2179">
        <w:rPr>
          <w:i/>
          <w:kern w:val="2"/>
          <w:sz w:val="20"/>
        </w:rPr>
        <w:t xml:space="preserve">Canada Elections Act </w:t>
      </w:r>
      <w:r w:rsidR="00E861F6" w:rsidRPr="005C2179">
        <w:rPr>
          <w:kern w:val="2"/>
          <w:sz w:val="20"/>
        </w:rPr>
        <w:t xml:space="preserve">(“the </w:t>
      </w:r>
      <w:r w:rsidR="00E861F6" w:rsidRPr="005C2179">
        <w:rPr>
          <w:i/>
          <w:kern w:val="2"/>
          <w:sz w:val="20"/>
        </w:rPr>
        <w:t>CEA</w:t>
      </w:r>
      <w:r w:rsidR="00E861F6" w:rsidRPr="005C2179">
        <w:rPr>
          <w:kern w:val="2"/>
          <w:sz w:val="20"/>
        </w:rPr>
        <w:t>”)</w:t>
      </w:r>
      <w:r w:rsidR="00E861F6" w:rsidRPr="005C2179">
        <w:rPr>
          <w:i/>
          <w:kern w:val="2"/>
          <w:sz w:val="20"/>
        </w:rPr>
        <w:t xml:space="preserve"> </w:t>
      </w:r>
      <w:r w:rsidR="00AC55F4" w:rsidRPr="005C2179">
        <w:rPr>
          <w:kern w:val="2"/>
          <w:sz w:val="20"/>
        </w:rPr>
        <w:t xml:space="preserve">limited </w:t>
      </w:r>
      <w:r w:rsidR="006A366C" w:rsidRPr="005C2179">
        <w:rPr>
          <w:kern w:val="2"/>
          <w:sz w:val="20"/>
        </w:rPr>
        <w:t>third-</w:t>
      </w:r>
      <w:r w:rsidR="000218BE" w:rsidRPr="005C2179">
        <w:rPr>
          <w:kern w:val="2"/>
          <w:sz w:val="20"/>
        </w:rPr>
        <w:t xml:space="preserve">party spending on </w:t>
      </w:r>
      <w:r w:rsidR="00A724A3" w:rsidRPr="005C2179">
        <w:rPr>
          <w:kern w:val="2"/>
          <w:sz w:val="20"/>
        </w:rPr>
        <w:t>“</w:t>
      </w:r>
      <w:r w:rsidR="000218BE" w:rsidRPr="005C2179">
        <w:rPr>
          <w:kern w:val="2"/>
          <w:sz w:val="20"/>
        </w:rPr>
        <w:t>election advertising</w:t>
      </w:r>
      <w:r w:rsidR="00A724A3" w:rsidRPr="005C2179">
        <w:rPr>
          <w:kern w:val="2"/>
          <w:sz w:val="20"/>
        </w:rPr>
        <w:t>”</w:t>
      </w:r>
      <w:r w:rsidR="000218BE" w:rsidRPr="005C2179">
        <w:rPr>
          <w:kern w:val="2"/>
          <w:sz w:val="20"/>
        </w:rPr>
        <w:t xml:space="preserve"> to $150,000, of which only $3</w:t>
      </w:r>
      <w:r w:rsidR="00E861F6" w:rsidRPr="005C2179">
        <w:rPr>
          <w:kern w:val="2"/>
          <w:sz w:val="20"/>
        </w:rPr>
        <w:t>,</w:t>
      </w:r>
      <w:r w:rsidR="000218BE" w:rsidRPr="005C2179">
        <w:rPr>
          <w:kern w:val="2"/>
          <w:sz w:val="20"/>
        </w:rPr>
        <w:t>000 could be spent in a given electoral district.</w:t>
      </w:r>
      <w:r w:rsidRPr="005C2179">
        <w:rPr>
          <w:rStyle w:val="FootnoteReference"/>
          <w:kern w:val="2"/>
          <w:sz w:val="20"/>
        </w:rPr>
        <w:footnoteReference w:id="561"/>
      </w:r>
      <w:r w:rsidR="000218BE" w:rsidRPr="005C2179">
        <w:rPr>
          <w:kern w:val="2"/>
          <w:sz w:val="20"/>
        </w:rPr>
        <w:t xml:space="preserve"> </w:t>
      </w:r>
      <w:r w:rsidR="00A03293" w:rsidRPr="005C2179">
        <w:rPr>
          <w:kern w:val="2"/>
          <w:sz w:val="20"/>
        </w:rPr>
        <w:t>“E</w:t>
      </w:r>
      <w:r w:rsidR="00F62778" w:rsidRPr="005C2179">
        <w:rPr>
          <w:kern w:val="2"/>
          <w:sz w:val="20"/>
        </w:rPr>
        <w:t>lection</w:t>
      </w:r>
      <w:r w:rsidR="00F30A49" w:rsidRPr="005C2179">
        <w:rPr>
          <w:kern w:val="2"/>
          <w:sz w:val="20"/>
        </w:rPr>
        <w:t xml:space="preserve"> advertising” includes</w:t>
      </w:r>
      <w:r w:rsidR="00F62778" w:rsidRPr="005C2179">
        <w:rPr>
          <w:kern w:val="2"/>
          <w:sz w:val="20"/>
        </w:rPr>
        <w:t xml:space="preserve"> taking a position on an issue with which a candidate is associated</w:t>
      </w:r>
      <w:r w:rsidR="006263DF" w:rsidRPr="005C2179">
        <w:rPr>
          <w:kern w:val="2"/>
          <w:sz w:val="20"/>
        </w:rPr>
        <w:t>, otherwise known as</w:t>
      </w:r>
      <w:r w:rsidR="00A03293" w:rsidRPr="005C2179">
        <w:rPr>
          <w:kern w:val="2"/>
          <w:sz w:val="20"/>
        </w:rPr>
        <w:t xml:space="preserve"> issue advertising</w:t>
      </w:r>
      <w:r w:rsidR="00F62778" w:rsidRPr="005C2179">
        <w:rPr>
          <w:kern w:val="2"/>
          <w:sz w:val="20"/>
        </w:rPr>
        <w:t xml:space="preserve">. </w:t>
      </w:r>
      <w:r w:rsidR="00F37852" w:rsidRPr="005C2179">
        <w:rPr>
          <w:kern w:val="2"/>
          <w:sz w:val="20"/>
        </w:rPr>
        <w:t xml:space="preserve">The SCC also upheld registration and disclosure requirements for third parties. </w:t>
      </w:r>
    </w:p>
    <w:p w14:paraId="548ECE3C" w14:textId="7A63BCEA" w:rsidR="00DF3EC7" w:rsidRPr="005C2179" w:rsidRDefault="006E5EC9" w:rsidP="00330F4B">
      <w:pPr>
        <w:rPr>
          <w:kern w:val="2"/>
          <w:sz w:val="20"/>
        </w:rPr>
      </w:pPr>
      <w:r w:rsidRPr="005C2179">
        <w:rPr>
          <w:kern w:val="2"/>
          <w:sz w:val="20"/>
        </w:rPr>
        <w:t xml:space="preserve">Although the impugned spending limits infringed </w:t>
      </w:r>
      <w:r w:rsidR="00601A64" w:rsidRPr="005C2179">
        <w:rPr>
          <w:kern w:val="2"/>
          <w:sz w:val="20"/>
        </w:rPr>
        <w:t>freedom of expression</w:t>
      </w:r>
      <w:r w:rsidRPr="005C2179">
        <w:rPr>
          <w:i/>
          <w:kern w:val="2"/>
          <w:sz w:val="20"/>
        </w:rPr>
        <w:t xml:space="preserve">, </w:t>
      </w:r>
      <w:r w:rsidRPr="005C2179">
        <w:rPr>
          <w:kern w:val="2"/>
          <w:sz w:val="20"/>
        </w:rPr>
        <w:t xml:space="preserve">the majority </w:t>
      </w:r>
      <w:r w:rsidR="009B6CB3" w:rsidRPr="005C2179">
        <w:rPr>
          <w:kern w:val="2"/>
          <w:sz w:val="20"/>
        </w:rPr>
        <w:t xml:space="preserve">of the SCC </w:t>
      </w:r>
      <w:r w:rsidRPr="005C2179">
        <w:rPr>
          <w:kern w:val="2"/>
          <w:sz w:val="20"/>
        </w:rPr>
        <w:t xml:space="preserve">found the infringement </w:t>
      </w:r>
      <w:r w:rsidR="00BA4047" w:rsidRPr="005C2179">
        <w:rPr>
          <w:kern w:val="2"/>
          <w:sz w:val="20"/>
        </w:rPr>
        <w:t>was</w:t>
      </w:r>
      <w:r w:rsidRPr="005C2179">
        <w:rPr>
          <w:kern w:val="2"/>
          <w:sz w:val="20"/>
        </w:rPr>
        <w:t xml:space="preserve"> justified. </w:t>
      </w:r>
      <w:r w:rsidR="00426FE9" w:rsidRPr="005C2179">
        <w:rPr>
          <w:kern w:val="2"/>
          <w:sz w:val="20"/>
        </w:rPr>
        <w:t xml:space="preserve">The spending limits </w:t>
      </w:r>
      <w:r w:rsidRPr="005C2179">
        <w:rPr>
          <w:kern w:val="2"/>
          <w:sz w:val="20"/>
        </w:rPr>
        <w:t xml:space="preserve">had the pressing and substantial objectives of </w:t>
      </w:r>
      <w:r w:rsidR="00A24065" w:rsidRPr="005C2179">
        <w:rPr>
          <w:kern w:val="2"/>
          <w:sz w:val="20"/>
        </w:rPr>
        <w:t xml:space="preserve">reducing </w:t>
      </w:r>
      <w:r w:rsidR="009E32F0" w:rsidRPr="005C2179">
        <w:rPr>
          <w:kern w:val="2"/>
          <w:sz w:val="20"/>
        </w:rPr>
        <w:t xml:space="preserve">the </w:t>
      </w:r>
      <w:r w:rsidR="008E1C99" w:rsidRPr="005C2179">
        <w:rPr>
          <w:kern w:val="2"/>
          <w:sz w:val="20"/>
        </w:rPr>
        <w:t>domination of political dis</w:t>
      </w:r>
      <w:r w:rsidRPr="005C2179">
        <w:rPr>
          <w:kern w:val="2"/>
          <w:sz w:val="20"/>
        </w:rPr>
        <w:t xml:space="preserve">course by the wealthy, </w:t>
      </w:r>
      <w:r w:rsidR="00A24065" w:rsidRPr="005C2179">
        <w:rPr>
          <w:kern w:val="2"/>
          <w:sz w:val="20"/>
        </w:rPr>
        <w:t>preventing</w:t>
      </w:r>
      <w:r w:rsidR="009E32F0" w:rsidRPr="005C2179">
        <w:rPr>
          <w:kern w:val="2"/>
          <w:sz w:val="20"/>
        </w:rPr>
        <w:t xml:space="preserve"> circumvention of</w:t>
      </w:r>
      <w:r w:rsidR="00426FE9" w:rsidRPr="005C2179">
        <w:rPr>
          <w:kern w:val="2"/>
          <w:sz w:val="20"/>
        </w:rPr>
        <w:t xml:space="preserve"> candidate and party spending limits, and e</w:t>
      </w:r>
      <w:r w:rsidRPr="005C2179">
        <w:rPr>
          <w:kern w:val="2"/>
          <w:sz w:val="20"/>
        </w:rPr>
        <w:t>nhancing</w:t>
      </w:r>
      <w:r w:rsidR="008E1C99" w:rsidRPr="005C2179">
        <w:rPr>
          <w:kern w:val="2"/>
          <w:sz w:val="20"/>
        </w:rPr>
        <w:t xml:space="preserve"> public confidence in the electoral system</w:t>
      </w:r>
      <w:r w:rsidR="00DF3EC7" w:rsidRPr="005C2179">
        <w:rPr>
          <w:kern w:val="2"/>
          <w:sz w:val="20"/>
        </w:rPr>
        <w:t>.</w:t>
      </w:r>
      <w:r w:rsidR="00DF3EC7" w:rsidRPr="005C2179">
        <w:rPr>
          <w:rStyle w:val="FootnoteReference"/>
          <w:kern w:val="2"/>
          <w:sz w:val="20"/>
        </w:rPr>
        <w:footnoteReference w:id="562"/>
      </w:r>
      <w:r w:rsidR="00DF3EC7" w:rsidRPr="005C2179">
        <w:rPr>
          <w:kern w:val="2"/>
          <w:sz w:val="20"/>
        </w:rPr>
        <w:t xml:space="preserve"> The spending limits also satisfied the </w:t>
      </w:r>
      <w:r w:rsidR="00D2556F" w:rsidRPr="005C2179">
        <w:rPr>
          <w:kern w:val="2"/>
          <w:sz w:val="20"/>
        </w:rPr>
        <w:t>proportionality</w:t>
      </w:r>
      <w:r w:rsidR="00600791" w:rsidRPr="005C2179">
        <w:rPr>
          <w:kern w:val="2"/>
          <w:sz w:val="20"/>
        </w:rPr>
        <w:t xml:space="preserve"> test</w:t>
      </w:r>
      <w:r w:rsidR="009371BA" w:rsidRPr="005C2179">
        <w:rPr>
          <w:kern w:val="2"/>
          <w:sz w:val="20"/>
        </w:rPr>
        <w:t xml:space="preserve"> under section 1 of the </w:t>
      </w:r>
      <w:r w:rsidR="009371BA" w:rsidRPr="005C2179">
        <w:rPr>
          <w:i/>
          <w:kern w:val="2"/>
          <w:sz w:val="20"/>
        </w:rPr>
        <w:t>Charter</w:t>
      </w:r>
      <w:r w:rsidR="00600791" w:rsidRPr="005C2179">
        <w:rPr>
          <w:kern w:val="2"/>
          <w:sz w:val="20"/>
        </w:rPr>
        <w:t xml:space="preserve">. At this stage of the analysis, </w:t>
      </w:r>
      <w:r w:rsidR="00DF3EC7" w:rsidRPr="005C2179">
        <w:rPr>
          <w:kern w:val="2"/>
          <w:sz w:val="20"/>
        </w:rPr>
        <w:t>the majority emphasiz</w:t>
      </w:r>
      <w:r w:rsidR="009371BA" w:rsidRPr="005C2179">
        <w:rPr>
          <w:kern w:val="2"/>
          <w:sz w:val="20"/>
        </w:rPr>
        <w:t>ed</w:t>
      </w:r>
      <w:r w:rsidR="00DF3EC7" w:rsidRPr="005C2179">
        <w:rPr>
          <w:kern w:val="2"/>
          <w:sz w:val="20"/>
        </w:rPr>
        <w:t xml:space="preserve"> the need for “deference to the balance Parliament has struck between political expression and meaningful participation</w:t>
      </w:r>
      <w:r w:rsidR="00191891" w:rsidRPr="005C2179">
        <w:rPr>
          <w:kern w:val="2"/>
          <w:sz w:val="20"/>
        </w:rPr>
        <w:t>.</w:t>
      </w:r>
      <w:r w:rsidR="00DF3EC7" w:rsidRPr="005C2179">
        <w:rPr>
          <w:kern w:val="2"/>
          <w:sz w:val="20"/>
        </w:rPr>
        <w:t>”</w:t>
      </w:r>
      <w:r w:rsidR="00DF3EC7" w:rsidRPr="005C2179">
        <w:rPr>
          <w:rStyle w:val="FootnoteReference"/>
          <w:kern w:val="2"/>
          <w:sz w:val="20"/>
        </w:rPr>
        <w:footnoteReference w:id="563"/>
      </w:r>
      <w:r w:rsidR="00DF3EC7" w:rsidRPr="005C2179">
        <w:rPr>
          <w:kern w:val="2"/>
          <w:sz w:val="20"/>
        </w:rPr>
        <w:t xml:space="preserve"> </w:t>
      </w:r>
    </w:p>
    <w:p w14:paraId="058AAFF7" w14:textId="5FBC6DF5" w:rsidR="00D40B62" w:rsidRPr="005C2179" w:rsidRDefault="00A24065" w:rsidP="00330F4B">
      <w:pPr>
        <w:rPr>
          <w:kern w:val="2"/>
          <w:sz w:val="20"/>
        </w:rPr>
      </w:pPr>
      <w:r w:rsidRPr="005C2179">
        <w:rPr>
          <w:kern w:val="2"/>
          <w:sz w:val="20"/>
        </w:rPr>
        <w:t>The challengers argued</w:t>
      </w:r>
      <w:r w:rsidR="00600791" w:rsidRPr="005C2179">
        <w:rPr>
          <w:kern w:val="2"/>
          <w:sz w:val="20"/>
        </w:rPr>
        <w:t xml:space="preserve"> that the </w:t>
      </w:r>
      <w:r w:rsidR="00B313EA" w:rsidRPr="005C2179">
        <w:rPr>
          <w:kern w:val="2"/>
          <w:sz w:val="20"/>
        </w:rPr>
        <w:t xml:space="preserve">impugned </w:t>
      </w:r>
      <w:r w:rsidR="00600791" w:rsidRPr="005C2179">
        <w:rPr>
          <w:kern w:val="2"/>
          <w:sz w:val="20"/>
        </w:rPr>
        <w:t>third-</w:t>
      </w:r>
      <w:r w:rsidR="00D40B62" w:rsidRPr="005C2179">
        <w:rPr>
          <w:kern w:val="2"/>
          <w:sz w:val="20"/>
        </w:rPr>
        <w:t xml:space="preserve">party spending limits </w:t>
      </w:r>
      <w:r w:rsidR="00FD74C2" w:rsidRPr="005C2179">
        <w:rPr>
          <w:kern w:val="2"/>
          <w:sz w:val="20"/>
        </w:rPr>
        <w:t>unjustifiably</w:t>
      </w:r>
      <w:r w:rsidR="00601A64" w:rsidRPr="005C2179">
        <w:rPr>
          <w:kern w:val="2"/>
          <w:sz w:val="20"/>
        </w:rPr>
        <w:t xml:space="preserve"> </w:t>
      </w:r>
      <w:r w:rsidR="00D40B62" w:rsidRPr="005C2179">
        <w:rPr>
          <w:kern w:val="2"/>
          <w:sz w:val="20"/>
        </w:rPr>
        <w:t xml:space="preserve">infringed the right to vote in section 3 of the </w:t>
      </w:r>
      <w:r w:rsidR="00D40B62" w:rsidRPr="005C2179">
        <w:rPr>
          <w:i/>
          <w:kern w:val="2"/>
          <w:sz w:val="20"/>
        </w:rPr>
        <w:t xml:space="preserve">Charter </w:t>
      </w:r>
      <w:r w:rsidR="00D40B62" w:rsidRPr="005C2179">
        <w:rPr>
          <w:kern w:val="2"/>
          <w:sz w:val="20"/>
        </w:rPr>
        <w:t xml:space="preserve">by hindering electoral debate. </w:t>
      </w:r>
      <w:r w:rsidR="00FD74C2" w:rsidRPr="005C2179">
        <w:rPr>
          <w:kern w:val="2"/>
          <w:sz w:val="20"/>
        </w:rPr>
        <w:t>The</w:t>
      </w:r>
      <w:r w:rsidR="00D40B62" w:rsidRPr="005C2179">
        <w:rPr>
          <w:kern w:val="2"/>
          <w:sz w:val="20"/>
        </w:rPr>
        <w:t xml:space="preserve"> </w:t>
      </w:r>
      <w:r w:rsidR="00601A64" w:rsidRPr="005C2179">
        <w:rPr>
          <w:kern w:val="2"/>
          <w:sz w:val="20"/>
        </w:rPr>
        <w:t>majority of the SCC</w:t>
      </w:r>
      <w:r w:rsidR="00FD74C2" w:rsidRPr="005C2179">
        <w:rPr>
          <w:kern w:val="2"/>
          <w:sz w:val="20"/>
        </w:rPr>
        <w:t xml:space="preserve">, however, </w:t>
      </w:r>
      <w:r w:rsidR="00D40B62" w:rsidRPr="005C2179">
        <w:rPr>
          <w:kern w:val="2"/>
          <w:sz w:val="20"/>
        </w:rPr>
        <w:t xml:space="preserve">held that the impugned </w:t>
      </w:r>
      <w:r w:rsidR="004355BD" w:rsidRPr="005C2179">
        <w:rPr>
          <w:kern w:val="2"/>
          <w:sz w:val="20"/>
        </w:rPr>
        <w:t>provisions</w:t>
      </w:r>
      <w:r w:rsidR="00D40B62" w:rsidRPr="005C2179">
        <w:rPr>
          <w:kern w:val="2"/>
          <w:sz w:val="20"/>
        </w:rPr>
        <w:t xml:space="preserve"> actually enhance</w:t>
      </w:r>
      <w:r w:rsidR="004355BD" w:rsidRPr="005C2179">
        <w:rPr>
          <w:kern w:val="2"/>
          <w:sz w:val="20"/>
        </w:rPr>
        <w:t>d</w:t>
      </w:r>
      <w:r w:rsidR="00D40B62" w:rsidRPr="005C2179">
        <w:rPr>
          <w:kern w:val="2"/>
          <w:sz w:val="20"/>
        </w:rPr>
        <w:t xml:space="preserve"> the right to vote</w:t>
      </w:r>
      <w:r w:rsidR="00D40B62" w:rsidRPr="005C2179">
        <w:rPr>
          <w:i/>
          <w:kern w:val="2"/>
          <w:sz w:val="20"/>
        </w:rPr>
        <w:t>.</w:t>
      </w:r>
      <w:r w:rsidR="003D4FDD" w:rsidRPr="005C2179">
        <w:rPr>
          <w:i/>
          <w:kern w:val="2"/>
          <w:sz w:val="20"/>
        </w:rPr>
        <w:t xml:space="preserve"> </w:t>
      </w:r>
      <w:r w:rsidR="00D40B62" w:rsidRPr="005C2179">
        <w:rPr>
          <w:kern w:val="2"/>
          <w:sz w:val="20"/>
        </w:rPr>
        <w:t>Section 3 imports the “right to play a meaningful role in the electoral process</w:t>
      </w:r>
      <w:r w:rsidR="00191891" w:rsidRPr="005C2179">
        <w:rPr>
          <w:kern w:val="2"/>
          <w:sz w:val="20"/>
        </w:rPr>
        <w:t>,</w:t>
      </w:r>
      <w:r w:rsidR="00D40B62" w:rsidRPr="005C2179">
        <w:rPr>
          <w:kern w:val="2"/>
          <w:sz w:val="20"/>
        </w:rPr>
        <w:t>”</w:t>
      </w:r>
      <w:r w:rsidR="00D40B62" w:rsidRPr="005C2179">
        <w:rPr>
          <w:rStyle w:val="FootnoteReference"/>
          <w:kern w:val="2"/>
          <w:sz w:val="20"/>
        </w:rPr>
        <w:footnoteReference w:id="564"/>
      </w:r>
      <w:r w:rsidR="00D40B62" w:rsidRPr="005C2179">
        <w:rPr>
          <w:kern w:val="2"/>
          <w:sz w:val="20"/>
        </w:rPr>
        <w:t xml:space="preserve"> but this does not confer the right “to mount a media campaign capable of determining the outcome” of an election.</w:t>
      </w:r>
      <w:r w:rsidR="00D40B62" w:rsidRPr="005C2179">
        <w:rPr>
          <w:rStyle w:val="FootnoteReference"/>
          <w:kern w:val="2"/>
          <w:sz w:val="20"/>
        </w:rPr>
        <w:footnoteReference w:id="565"/>
      </w:r>
      <w:r w:rsidR="00FD74C2" w:rsidRPr="005C2179">
        <w:rPr>
          <w:kern w:val="2"/>
          <w:sz w:val="20"/>
        </w:rPr>
        <w:t xml:space="preserve"> Rather, t</w:t>
      </w:r>
      <w:r w:rsidR="00D40B62" w:rsidRPr="005C2179">
        <w:rPr>
          <w:kern w:val="2"/>
          <w:sz w:val="20"/>
        </w:rPr>
        <w:t xml:space="preserve">he right to </w:t>
      </w:r>
      <w:r w:rsidRPr="005C2179">
        <w:rPr>
          <w:kern w:val="2"/>
          <w:sz w:val="20"/>
        </w:rPr>
        <w:t>“play a meaningful role</w:t>
      </w:r>
      <w:r w:rsidR="004355BD" w:rsidRPr="005C2179">
        <w:rPr>
          <w:kern w:val="2"/>
          <w:sz w:val="20"/>
        </w:rPr>
        <w:t xml:space="preserve"> in the electoral process”</w:t>
      </w:r>
      <w:r w:rsidR="00046BDF" w:rsidRPr="005C2179">
        <w:rPr>
          <w:kern w:val="2"/>
          <w:sz w:val="20"/>
        </w:rPr>
        <w:t xml:space="preserve"> </w:t>
      </w:r>
      <w:r w:rsidR="00FD74C2" w:rsidRPr="005C2179">
        <w:rPr>
          <w:kern w:val="2"/>
          <w:sz w:val="20"/>
        </w:rPr>
        <w:t>encompasses</w:t>
      </w:r>
      <w:r w:rsidR="00046BDF" w:rsidRPr="005C2179">
        <w:rPr>
          <w:kern w:val="2"/>
          <w:sz w:val="20"/>
        </w:rPr>
        <w:t xml:space="preserve"> the</w:t>
      </w:r>
      <w:r w:rsidR="00D40B62" w:rsidRPr="005C2179">
        <w:rPr>
          <w:kern w:val="2"/>
          <w:sz w:val="20"/>
        </w:rPr>
        <w:t xml:space="preserve"> right to an informed vote. Since “unequal dissemination of points of view undermines </w:t>
      </w:r>
      <w:r w:rsidR="004355BD" w:rsidRPr="005C2179">
        <w:rPr>
          <w:kern w:val="2"/>
          <w:sz w:val="20"/>
        </w:rPr>
        <w:t>the voter’s</w:t>
      </w:r>
      <w:r w:rsidR="00D40B62" w:rsidRPr="005C2179">
        <w:rPr>
          <w:kern w:val="2"/>
          <w:sz w:val="20"/>
        </w:rPr>
        <w:t xml:space="preserve"> ability to be informed</w:t>
      </w:r>
      <w:r w:rsidR="00191891" w:rsidRPr="005C2179">
        <w:rPr>
          <w:kern w:val="2"/>
          <w:sz w:val="20"/>
        </w:rPr>
        <w:t>,</w:t>
      </w:r>
      <w:r w:rsidR="00D40B62" w:rsidRPr="005C2179">
        <w:rPr>
          <w:kern w:val="2"/>
          <w:sz w:val="20"/>
        </w:rPr>
        <w:t>” measures that promote “equality in the political discourse</w:t>
      </w:r>
      <w:r w:rsidR="00191891" w:rsidRPr="005C2179">
        <w:rPr>
          <w:kern w:val="2"/>
          <w:sz w:val="20"/>
        </w:rPr>
        <w:t>,</w:t>
      </w:r>
      <w:r w:rsidR="00D40B62" w:rsidRPr="005C2179">
        <w:rPr>
          <w:kern w:val="2"/>
          <w:sz w:val="20"/>
        </w:rPr>
        <w:t>”</w:t>
      </w:r>
      <w:r w:rsidR="00C36A0C" w:rsidRPr="005C2179">
        <w:rPr>
          <w:kern w:val="2"/>
          <w:sz w:val="20"/>
        </w:rPr>
        <w:t xml:space="preserve"> such as the impugned </w:t>
      </w:r>
      <w:r w:rsidR="00B313EA" w:rsidRPr="005C2179">
        <w:rPr>
          <w:kern w:val="2"/>
          <w:sz w:val="20"/>
        </w:rPr>
        <w:t>spending limits,</w:t>
      </w:r>
      <w:r w:rsidR="00D40B62" w:rsidRPr="005C2179">
        <w:rPr>
          <w:kern w:val="2"/>
          <w:sz w:val="20"/>
        </w:rPr>
        <w:t xml:space="preserve"> </w:t>
      </w:r>
      <w:r w:rsidR="0014416E" w:rsidRPr="005C2179">
        <w:rPr>
          <w:kern w:val="2"/>
          <w:sz w:val="20"/>
        </w:rPr>
        <w:t>facilitate</w:t>
      </w:r>
      <w:r w:rsidR="00D40B62" w:rsidRPr="005C2179">
        <w:rPr>
          <w:kern w:val="2"/>
          <w:sz w:val="20"/>
        </w:rPr>
        <w:t xml:space="preserve"> </w:t>
      </w:r>
      <w:r w:rsidR="00046BDF" w:rsidRPr="005C2179">
        <w:rPr>
          <w:kern w:val="2"/>
          <w:sz w:val="20"/>
        </w:rPr>
        <w:t>informed voting and</w:t>
      </w:r>
      <w:r w:rsidR="00D40B62" w:rsidRPr="005C2179">
        <w:rPr>
          <w:kern w:val="2"/>
          <w:sz w:val="20"/>
        </w:rPr>
        <w:t xml:space="preserve"> meaningful participation.</w:t>
      </w:r>
      <w:r w:rsidR="00E26450" w:rsidRPr="005C2179">
        <w:rPr>
          <w:rStyle w:val="FootnoteReference"/>
          <w:kern w:val="2"/>
          <w:sz w:val="20"/>
        </w:rPr>
        <w:footnoteReference w:id="566"/>
      </w:r>
      <w:r w:rsidR="00E26450" w:rsidRPr="005C2179">
        <w:rPr>
          <w:kern w:val="2"/>
          <w:sz w:val="20"/>
        </w:rPr>
        <w:t xml:space="preserve"> </w:t>
      </w:r>
      <w:r w:rsidR="00D40B62" w:rsidRPr="005C2179">
        <w:rPr>
          <w:kern w:val="2"/>
          <w:sz w:val="20"/>
        </w:rPr>
        <w:t xml:space="preserve"> </w:t>
      </w:r>
    </w:p>
    <w:p w14:paraId="348D4184" w14:textId="44F75D67" w:rsidR="00EC58B3" w:rsidRPr="005C2179" w:rsidRDefault="00D75115" w:rsidP="00330F4B">
      <w:pPr>
        <w:rPr>
          <w:kern w:val="2"/>
          <w:sz w:val="20"/>
        </w:rPr>
      </w:pPr>
      <w:r w:rsidRPr="005C2179">
        <w:rPr>
          <w:kern w:val="2"/>
          <w:sz w:val="20"/>
        </w:rPr>
        <w:t xml:space="preserve">The majority of the </w:t>
      </w:r>
      <w:r w:rsidR="004355BD" w:rsidRPr="005C2179">
        <w:rPr>
          <w:kern w:val="2"/>
          <w:sz w:val="20"/>
        </w:rPr>
        <w:t>SCC</w:t>
      </w:r>
      <w:r w:rsidRPr="005C2179">
        <w:rPr>
          <w:kern w:val="2"/>
          <w:sz w:val="20"/>
        </w:rPr>
        <w:t xml:space="preserve"> framed </w:t>
      </w:r>
      <w:r w:rsidR="004355BD" w:rsidRPr="005C2179">
        <w:rPr>
          <w:i/>
          <w:kern w:val="2"/>
          <w:sz w:val="20"/>
        </w:rPr>
        <w:t>Harper</w:t>
      </w:r>
      <w:r w:rsidRPr="005C2179">
        <w:rPr>
          <w:kern w:val="2"/>
          <w:sz w:val="20"/>
        </w:rPr>
        <w:t xml:space="preserve"> as a clash between the right to meaningful participation</w:t>
      </w:r>
      <w:r w:rsidR="00B313EA" w:rsidRPr="005C2179">
        <w:rPr>
          <w:kern w:val="2"/>
          <w:sz w:val="20"/>
        </w:rPr>
        <w:t xml:space="preserve"> under section 3</w:t>
      </w:r>
      <w:r w:rsidRPr="005C2179">
        <w:rPr>
          <w:kern w:val="2"/>
          <w:sz w:val="20"/>
        </w:rPr>
        <w:t xml:space="preserve"> and the right to freedom of expression</w:t>
      </w:r>
      <w:r w:rsidR="00B313EA" w:rsidRPr="005C2179">
        <w:rPr>
          <w:kern w:val="2"/>
          <w:sz w:val="20"/>
        </w:rPr>
        <w:t xml:space="preserve"> under section 2(b)</w:t>
      </w:r>
      <w:r w:rsidRPr="005C2179">
        <w:rPr>
          <w:kern w:val="2"/>
          <w:sz w:val="20"/>
        </w:rPr>
        <w:t>.</w:t>
      </w:r>
      <w:r w:rsidRPr="005C2179">
        <w:rPr>
          <w:rStyle w:val="FootnoteReference"/>
          <w:kern w:val="2"/>
          <w:sz w:val="20"/>
        </w:rPr>
        <w:footnoteReference w:id="567"/>
      </w:r>
      <w:r w:rsidRPr="005C2179">
        <w:rPr>
          <w:kern w:val="2"/>
          <w:sz w:val="20"/>
        </w:rPr>
        <w:t xml:space="preserve"> In this case, the right to meaningful participation prevailed. </w:t>
      </w:r>
      <w:r w:rsidR="00EC58B3" w:rsidRPr="005C2179">
        <w:rPr>
          <w:kern w:val="2"/>
          <w:sz w:val="20"/>
        </w:rPr>
        <w:t>The maj</w:t>
      </w:r>
      <w:r w:rsidRPr="005C2179">
        <w:rPr>
          <w:kern w:val="2"/>
          <w:sz w:val="20"/>
        </w:rPr>
        <w:t>ority</w:t>
      </w:r>
      <w:r w:rsidR="00EC58B3" w:rsidRPr="005C2179">
        <w:rPr>
          <w:kern w:val="2"/>
          <w:sz w:val="20"/>
        </w:rPr>
        <w:t xml:space="preserve"> warned, however, that spending limits must not be so low that conveying information becomes impossible,</w:t>
      </w:r>
      <w:r w:rsidR="003B16C0" w:rsidRPr="005C2179">
        <w:rPr>
          <w:kern w:val="2"/>
          <w:sz w:val="20"/>
        </w:rPr>
        <w:t xml:space="preserve"> as</w:t>
      </w:r>
      <w:r w:rsidR="00846BFE" w:rsidRPr="005C2179">
        <w:rPr>
          <w:kern w:val="2"/>
          <w:sz w:val="20"/>
        </w:rPr>
        <w:t xml:space="preserve"> this could jeopardize the</w:t>
      </w:r>
      <w:r w:rsidR="00EC58B3" w:rsidRPr="005C2179">
        <w:rPr>
          <w:kern w:val="2"/>
          <w:sz w:val="20"/>
        </w:rPr>
        <w:t xml:space="preserve"> “informational comp</w:t>
      </w:r>
      <w:r w:rsidR="003B16C0" w:rsidRPr="005C2179">
        <w:rPr>
          <w:kern w:val="2"/>
          <w:sz w:val="20"/>
        </w:rPr>
        <w:t>onent of the right to vote</w:t>
      </w:r>
      <w:r w:rsidR="00191891" w:rsidRPr="005C2179">
        <w:rPr>
          <w:kern w:val="2"/>
          <w:sz w:val="20"/>
        </w:rPr>
        <w:t>.</w:t>
      </w:r>
      <w:r w:rsidR="003B16C0" w:rsidRPr="005C2179">
        <w:rPr>
          <w:kern w:val="2"/>
          <w:sz w:val="20"/>
        </w:rPr>
        <w:t>”</w:t>
      </w:r>
      <w:r w:rsidR="00EC58B3" w:rsidRPr="005C2179">
        <w:rPr>
          <w:rStyle w:val="FootnoteReference"/>
          <w:kern w:val="2"/>
          <w:sz w:val="20"/>
        </w:rPr>
        <w:footnoteReference w:id="568"/>
      </w:r>
      <w:r w:rsidR="00EC58B3" w:rsidRPr="005C2179">
        <w:rPr>
          <w:kern w:val="2"/>
          <w:sz w:val="20"/>
        </w:rPr>
        <w:t xml:space="preserve"> Parliament must therefore f</w:t>
      </w:r>
      <w:r w:rsidR="00846BFE" w:rsidRPr="005C2179">
        <w:rPr>
          <w:kern w:val="2"/>
          <w:sz w:val="20"/>
        </w:rPr>
        <w:t>ind a middle road between over</w:t>
      </w:r>
      <w:r w:rsidR="00607810" w:rsidRPr="005C2179">
        <w:rPr>
          <w:kern w:val="2"/>
          <w:sz w:val="20"/>
        </w:rPr>
        <w:t>ly</w:t>
      </w:r>
      <w:r w:rsidR="00EC58B3" w:rsidRPr="005C2179">
        <w:rPr>
          <w:kern w:val="2"/>
          <w:sz w:val="20"/>
        </w:rPr>
        <w:t xml:space="preserve"> </w:t>
      </w:r>
      <w:r w:rsidR="000B77CC" w:rsidRPr="005C2179">
        <w:rPr>
          <w:kern w:val="2"/>
          <w:sz w:val="20"/>
        </w:rPr>
        <w:t xml:space="preserve">stringent restrictions </w:t>
      </w:r>
      <w:r w:rsidR="00EC58B3" w:rsidRPr="005C2179">
        <w:rPr>
          <w:kern w:val="2"/>
          <w:sz w:val="20"/>
        </w:rPr>
        <w:t>on the dissemi</w:t>
      </w:r>
      <w:r w:rsidR="00846BFE" w:rsidRPr="005C2179">
        <w:rPr>
          <w:kern w:val="2"/>
          <w:sz w:val="20"/>
        </w:rPr>
        <w:t>nation of information and over</w:t>
      </w:r>
      <w:r w:rsidR="00607810" w:rsidRPr="005C2179">
        <w:rPr>
          <w:kern w:val="2"/>
          <w:sz w:val="20"/>
        </w:rPr>
        <w:t>ly</w:t>
      </w:r>
      <w:r w:rsidR="00EC58B3" w:rsidRPr="005C2179">
        <w:rPr>
          <w:kern w:val="2"/>
          <w:sz w:val="20"/>
        </w:rPr>
        <w:t xml:space="preserve"> permissive spending ceilings that allow some speakers to drown out others. </w:t>
      </w:r>
    </w:p>
    <w:p w14:paraId="2A1733EE" w14:textId="50EEB5D2" w:rsidR="00EC58B3" w:rsidRPr="005C2179" w:rsidRDefault="00EC58B3" w:rsidP="00330F4B">
      <w:pPr>
        <w:rPr>
          <w:kern w:val="2"/>
          <w:sz w:val="20"/>
        </w:rPr>
      </w:pPr>
      <w:r w:rsidRPr="005C2179">
        <w:rPr>
          <w:kern w:val="2"/>
          <w:sz w:val="20"/>
        </w:rPr>
        <w:t xml:space="preserve">The </w:t>
      </w:r>
      <w:r w:rsidR="000A68D2" w:rsidRPr="005C2179">
        <w:rPr>
          <w:kern w:val="2"/>
          <w:sz w:val="20"/>
        </w:rPr>
        <w:t>dissent</w:t>
      </w:r>
      <w:r w:rsidRPr="005C2179">
        <w:rPr>
          <w:i/>
          <w:kern w:val="2"/>
          <w:sz w:val="20"/>
        </w:rPr>
        <w:t xml:space="preserve"> </w:t>
      </w:r>
      <w:r w:rsidRPr="005C2179">
        <w:rPr>
          <w:kern w:val="2"/>
          <w:sz w:val="20"/>
        </w:rPr>
        <w:t xml:space="preserve">disagreed on the </w:t>
      </w:r>
      <w:r w:rsidR="00B643B0" w:rsidRPr="005C2179">
        <w:rPr>
          <w:kern w:val="2"/>
          <w:sz w:val="20"/>
        </w:rPr>
        <w:t>location</w:t>
      </w:r>
      <w:r w:rsidRPr="005C2179">
        <w:rPr>
          <w:kern w:val="2"/>
          <w:sz w:val="20"/>
        </w:rPr>
        <w:t xml:space="preserve"> of this middle road, bu</w:t>
      </w:r>
      <w:r w:rsidR="00607810" w:rsidRPr="005C2179">
        <w:rPr>
          <w:kern w:val="2"/>
          <w:sz w:val="20"/>
        </w:rPr>
        <w:t>t did not explicitly reject</w:t>
      </w:r>
      <w:r w:rsidR="00047390" w:rsidRPr="005C2179">
        <w:rPr>
          <w:kern w:val="2"/>
          <w:sz w:val="20"/>
        </w:rPr>
        <w:t xml:space="preserve"> the </w:t>
      </w:r>
      <w:r w:rsidR="00A84FB1" w:rsidRPr="005C2179">
        <w:rPr>
          <w:kern w:val="2"/>
          <w:sz w:val="20"/>
        </w:rPr>
        <w:t xml:space="preserve">constitutionality of all </w:t>
      </w:r>
      <w:r w:rsidR="004133B4" w:rsidRPr="005C2179">
        <w:rPr>
          <w:kern w:val="2"/>
          <w:sz w:val="20"/>
        </w:rPr>
        <w:t xml:space="preserve">third-party spending limits. </w:t>
      </w:r>
      <w:r w:rsidRPr="005C2179">
        <w:rPr>
          <w:kern w:val="2"/>
          <w:sz w:val="20"/>
        </w:rPr>
        <w:t>In light of the expense involved in mass communication, the dissent viewed the impugned spending ceiling as so low that it “effectively denies the right of an ordinary citizen to give meaningful and effective expression to her political views during a federal election campaign.”</w:t>
      </w:r>
      <w:r w:rsidRPr="005C2179">
        <w:rPr>
          <w:rStyle w:val="FootnoteReference"/>
          <w:kern w:val="2"/>
          <w:sz w:val="20"/>
        </w:rPr>
        <w:footnoteReference w:id="569"/>
      </w:r>
      <w:r w:rsidRPr="005C2179">
        <w:rPr>
          <w:kern w:val="2"/>
          <w:sz w:val="20"/>
        </w:rPr>
        <w:t xml:space="preserve"> As a result, “effective co</w:t>
      </w:r>
      <w:r w:rsidR="000A68D2" w:rsidRPr="005C2179">
        <w:rPr>
          <w:kern w:val="2"/>
          <w:sz w:val="20"/>
        </w:rPr>
        <w:t>mmunication” during elections was</w:t>
      </w:r>
      <w:r w:rsidRPr="005C2179">
        <w:rPr>
          <w:kern w:val="2"/>
          <w:sz w:val="20"/>
        </w:rPr>
        <w:t xml:space="preserve"> “confined to registered political parties and their candidates.”</w:t>
      </w:r>
      <w:r w:rsidRPr="005C2179">
        <w:rPr>
          <w:rStyle w:val="FootnoteReference"/>
          <w:kern w:val="2"/>
          <w:sz w:val="20"/>
        </w:rPr>
        <w:footnoteReference w:id="570"/>
      </w:r>
      <w:r w:rsidRPr="005C2179">
        <w:rPr>
          <w:kern w:val="2"/>
          <w:sz w:val="20"/>
        </w:rPr>
        <w:t xml:space="preserve"> This could lead to inadequate coverage of view</w:t>
      </w:r>
      <w:r w:rsidR="00B643B0" w:rsidRPr="005C2179">
        <w:rPr>
          <w:kern w:val="2"/>
          <w:sz w:val="20"/>
        </w:rPr>
        <w:t>point</w:t>
      </w:r>
      <w:r w:rsidRPr="005C2179">
        <w:rPr>
          <w:kern w:val="2"/>
          <w:sz w:val="20"/>
        </w:rPr>
        <w:t>s and issues unpopular with parties and candidates.</w:t>
      </w:r>
      <w:r w:rsidRPr="005C2179">
        <w:rPr>
          <w:rStyle w:val="FootnoteReference"/>
          <w:kern w:val="2"/>
          <w:sz w:val="20"/>
        </w:rPr>
        <w:footnoteReference w:id="571"/>
      </w:r>
      <w:r w:rsidRPr="005C2179">
        <w:rPr>
          <w:kern w:val="2"/>
          <w:sz w:val="20"/>
        </w:rPr>
        <w:t xml:space="preserve"> </w:t>
      </w:r>
      <w:r w:rsidR="00674DC0" w:rsidRPr="005C2179">
        <w:rPr>
          <w:kern w:val="2"/>
          <w:sz w:val="20"/>
        </w:rPr>
        <w:t>The</w:t>
      </w:r>
      <w:r w:rsidRPr="005C2179">
        <w:rPr>
          <w:kern w:val="2"/>
          <w:sz w:val="20"/>
        </w:rPr>
        <w:t xml:space="preserve"> spending caps therefore undermine “the right to listen” and “curtail the diversity of perspectives heard</w:t>
      </w:r>
      <w:r w:rsidR="00191891" w:rsidRPr="005C2179">
        <w:rPr>
          <w:kern w:val="2"/>
          <w:sz w:val="20"/>
        </w:rPr>
        <w:t>.</w:t>
      </w:r>
      <w:r w:rsidRPr="005C2179">
        <w:rPr>
          <w:kern w:val="2"/>
          <w:sz w:val="20"/>
        </w:rPr>
        <w:t>”</w:t>
      </w:r>
      <w:r w:rsidRPr="005C2179">
        <w:rPr>
          <w:rStyle w:val="FootnoteReference"/>
          <w:kern w:val="2"/>
          <w:sz w:val="20"/>
        </w:rPr>
        <w:footnoteReference w:id="572"/>
      </w:r>
      <w:r w:rsidRPr="005C2179">
        <w:rPr>
          <w:kern w:val="2"/>
          <w:sz w:val="20"/>
        </w:rPr>
        <w:t xml:space="preserve"> </w:t>
      </w:r>
    </w:p>
    <w:p w14:paraId="572FF62B" w14:textId="348E60FA" w:rsidR="00BE38CC" w:rsidRPr="005C2179" w:rsidRDefault="00D1682C" w:rsidP="00330F4B">
      <w:pPr>
        <w:rPr>
          <w:kern w:val="2"/>
          <w:sz w:val="20"/>
        </w:rPr>
      </w:pPr>
      <w:r w:rsidRPr="005C2179">
        <w:rPr>
          <w:kern w:val="2"/>
          <w:sz w:val="20"/>
        </w:rPr>
        <w:t>Feasby not</w:t>
      </w:r>
      <w:r w:rsidR="008A0CDC" w:rsidRPr="005C2179">
        <w:rPr>
          <w:kern w:val="2"/>
          <w:sz w:val="20"/>
        </w:rPr>
        <w:t xml:space="preserve">es that </w:t>
      </w:r>
      <w:r w:rsidR="003C2874" w:rsidRPr="005C2179">
        <w:rPr>
          <w:kern w:val="2"/>
          <w:sz w:val="20"/>
        </w:rPr>
        <w:t xml:space="preserve">the </w:t>
      </w:r>
      <w:r w:rsidR="003C2874" w:rsidRPr="005C2179">
        <w:rPr>
          <w:i/>
          <w:kern w:val="2"/>
          <w:sz w:val="20"/>
        </w:rPr>
        <w:t>CEA</w:t>
      </w:r>
      <w:r w:rsidR="003C2874" w:rsidRPr="005C2179">
        <w:rPr>
          <w:kern w:val="2"/>
          <w:sz w:val="20"/>
        </w:rPr>
        <w:t xml:space="preserve">’s </w:t>
      </w:r>
      <w:r w:rsidR="0031136A" w:rsidRPr="005C2179">
        <w:rPr>
          <w:kern w:val="2"/>
          <w:sz w:val="20"/>
        </w:rPr>
        <w:t xml:space="preserve">third-party spending limits could be vulnerable to a fresh </w:t>
      </w:r>
      <w:r w:rsidR="0031136A" w:rsidRPr="005C2179">
        <w:rPr>
          <w:i/>
          <w:kern w:val="2"/>
          <w:sz w:val="20"/>
        </w:rPr>
        <w:t xml:space="preserve">Charter </w:t>
      </w:r>
      <w:r w:rsidR="0031136A" w:rsidRPr="005C2179">
        <w:rPr>
          <w:kern w:val="2"/>
          <w:sz w:val="20"/>
        </w:rPr>
        <w:t xml:space="preserve">challenge. In </w:t>
      </w:r>
      <w:r w:rsidR="0031136A" w:rsidRPr="005C2179">
        <w:rPr>
          <w:i/>
          <w:kern w:val="2"/>
          <w:sz w:val="20"/>
        </w:rPr>
        <w:t xml:space="preserve">Harper, </w:t>
      </w:r>
      <w:r w:rsidR="0031136A" w:rsidRPr="005C2179">
        <w:rPr>
          <w:kern w:val="2"/>
          <w:sz w:val="20"/>
        </w:rPr>
        <w:t>the majority</w:t>
      </w:r>
      <w:r w:rsidR="0031136A" w:rsidRPr="005C2179">
        <w:rPr>
          <w:i/>
          <w:kern w:val="2"/>
          <w:sz w:val="20"/>
        </w:rPr>
        <w:t xml:space="preserve"> </w:t>
      </w:r>
      <w:r w:rsidR="0031136A" w:rsidRPr="005C2179">
        <w:rPr>
          <w:kern w:val="2"/>
          <w:sz w:val="20"/>
        </w:rPr>
        <w:t>held that evidence of a reasoned apprehension of harm is sufficient to justify an infringement of freedom of expression in cases involving “inconclusive or conflicting social science evidence of harm.”</w:t>
      </w:r>
      <w:r w:rsidR="0031136A" w:rsidRPr="005C2179">
        <w:rPr>
          <w:rStyle w:val="FootnoteReference"/>
          <w:kern w:val="2"/>
          <w:sz w:val="20"/>
        </w:rPr>
        <w:footnoteReference w:id="573"/>
      </w:r>
      <w:r w:rsidR="0031136A" w:rsidRPr="005C2179">
        <w:rPr>
          <w:kern w:val="2"/>
          <w:sz w:val="20"/>
        </w:rPr>
        <w:t xml:space="preserve"> However, </w:t>
      </w:r>
      <w:r w:rsidR="00264098" w:rsidRPr="005C2179">
        <w:rPr>
          <w:kern w:val="2"/>
          <w:sz w:val="20"/>
        </w:rPr>
        <w:t xml:space="preserve">since </w:t>
      </w:r>
      <w:r w:rsidR="00264098" w:rsidRPr="005C2179">
        <w:rPr>
          <w:i/>
          <w:kern w:val="2"/>
          <w:sz w:val="20"/>
        </w:rPr>
        <w:t>Harper,</w:t>
      </w:r>
      <w:r w:rsidR="00264098" w:rsidRPr="005C2179">
        <w:rPr>
          <w:kern w:val="2"/>
          <w:sz w:val="20"/>
        </w:rPr>
        <w:t xml:space="preserve"> more evidence on third-party spending has become available </w:t>
      </w:r>
      <w:r w:rsidR="008A0CDC" w:rsidRPr="005C2179">
        <w:rPr>
          <w:kern w:val="2"/>
          <w:sz w:val="20"/>
        </w:rPr>
        <w:t>owing to</w:t>
      </w:r>
      <w:r w:rsidR="00264098" w:rsidRPr="005C2179">
        <w:rPr>
          <w:kern w:val="2"/>
          <w:sz w:val="20"/>
        </w:rPr>
        <w:t xml:space="preserve"> the accumulation of data from third-party disclosure requirements.</w:t>
      </w:r>
      <w:r w:rsidR="00264098" w:rsidRPr="005C2179">
        <w:rPr>
          <w:rStyle w:val="FootnoteReference"/>
          <w:kern w:val="2"/>
          <w:sz w:val="20"/>
        </w:rPr>
        <w:footnoteReference w:id="574"/>
      </w:r>
      <w:r w:rsidR="00264098" w:rsidRPr="005C2179">
        <w:rPr>
          <w:kern w:val="2"/>
          <w:sz w:val="20"/>
        </w:rPr>
        <w:t xml:space="preserve"> </w:t>
      </w:r>
      <w:r w:rsidR="0031136A" w:rsidRPr="005C2179">
        <w:rPr>
          <w:kern w:val="2"/>
          <w:sz w:val="20"/>
        </w:rPr>
        <w:t>The</w:t>
      </w:r>
      <w:r w:rsidR="00264098" w:rsidRPr="005C2179">
        <w:rPr>
          <w:kern w:val="2"/>
          <w:sz w:val="20"/>
        </w:rPr>
        <w:t xml:space="preserve"> disclosed information suggests there is </w:t>
      </w:r>
      <w:r w:rsidR="009E32F0" w:rsidRPr="005C2179">
        <w:rPr>
          <w:kern w:val="2"/>
          <w:sz w:val="20"/>
        </w:rPr>
        <w:t>little</w:t>
      </w:r>
      <w:r w:rsidR="00264098" w:rsidRPr="005C2179">
        <w:rPr>
          <w:kern w:val="2"/>
          <w:sz w:val="20"/>
        </w:rPr>
        <w:t xml:space="preserve"> “appetite amongst third parties for big money campaigns</w:t>
      </w:r>
      <w:r w:rsidR="00325047" w:rsidRPr="005C2179">
        <w:rPr>
          <w:kern w:val="2"/>
          <w:sz w:val="20"/>
        </w:rPr>
        <w:t>.</w:t>
      </w:r>
      <w:r w:rsidR="00264098" w:rsidRPr="005C2179">
        <w:rPr>
          <w:kern w:val="2"/>
          <w:sz w:val="20"/>
        </w:rPr>
        <w:t>”</w:t>
      </w:r>
      <w:r w:rsidR="00264098" w:rsidRPr="005C2179">
        <w:rPr>
          <w:rStyle w:val="FootnoteReference"/>
          <w:kern w:val="2"/>
          <w:sz w:val="20"/>
        </w:rPr>
        <w:footnoteReference w:id="575"/>
      </w:r>
      <w:r w:rsidR="00264098" w:rsidRPr="005C2179">
        <w:rPr>
          <w:kern w:val="2"/>
          <w:sz w:val="20"/>
        </w:rPr>
        <w:t xml:space="preserve"> </w:t>
      </w:r>
    </w:p>
    <w:p w14:paraId="6603BF1D" w14:textId="796708EB" w:rsidR="00B45D81" w:rsidRPr="005C2179" w:rsidRDefault="00B45D81" w:rsidP="00BF63B6">
      <w:pPr>
        <w:pStyle w:val="Heading2"/>
        <w:rPr>
          <w:kern w:val="2"/>
          <w:sz w:val="24"/>
        </w:rPr>
      </w:pPr>
      <w:r w:rsidRPr="005C2179">
        <w:rPr>
          <w:kern w:val="2"/>
          <w:sz w:val="24"/>
        </w:rPr>
        <w:t xml:space="preserve">Regulatory Regime </w:t>
      </w:r>
      <w:r w:rsidR="000C0394" w:rsidRPr="005C2179">
        <w:rPr>
          <w:kern w:val="2"/>
          <w:sz w:val="24"/>
        </w:rPr>
        <w:t>in Canada</w:t>
      </w:r>
    </w:p>
    <w:p w14:paraId="38C7A02A" w14:textId="77777777" w:rsidR="00A23F28" w:rsidRPr="005C2179" w:rsidRDefault="00B45D81" w:rsidP="00330F4B">
      <w:pPr>
        <w:rPr>
          <w:kern w:val="2"/>
          <w:sz w:val="20"/>
        </w:rPr>
      </w:pPr>
      <w:r w:rsidRPr="005C2179">
        <w:rPr>
          <w:kern w:val="2"/>
          <w:sz w:val="20"/>
        </w:rPr>
        <w:t>This section describes the campaign financing regime for federal parliamentary elections in Cana</w:t>
      </w:r>
      <w:r w:rsidR="00A87E09" w:rsidRPr="005C2179">
        <w:rPr>
          <w:kern w:val="2"/>
          <w:sz w:val="20"/>
        </w:rPr>
        <w:t xml:space="preserve">da. </w:t>
      </w:r>
      <w:r w:rsidR="00D34AC2" w:rsidRPr="005C2179">
        <w:rPr>
          <w:kern w:val="2"/>
          <w:sz w:val="20"/>
        </w:rPr>
        <w:t xml:space="preserve">Federal campaign financing is governed by the </w:t>
      </w:r>
      <w:r w:rsidR="00D34AC2" w:rsidRPr="005C2179">
        <w:rPr>
          <w:i/>
          <w:kern w:val="2"/>
          <w:sz w:val="20"/>
        </w:rPr>
        <w:t xml:space="preserve">Canada Elections Act </w:t>
      </w:r>
      <w:r w:rsidR="00D34AC2" w:rsidRPr="005C2179">
        <w:rPr>
          <w:kern w:val="2"/>
          <w:sz w:val="20"/>
        </w:rPr>
        <w:t xml:space="preserve">(“the </w:t>
      </w:r>
      <w:r w:rsidR="00D34AC2" w:rsidRPr="005C2179">
        <w:rPr>
          <w:i/>
          <w:kern w:val="2"/>
          <w:sz w:val="20"/>
        </w:rPr>
        <w:t>CEA</w:t>
      </w:r>
      <w:r w:rsidR="00D34AC2" w:rsidRPr="005C2179">
        <w:rPr>
          <w:kern w:val="2"/>
          <w:sz w:val="20"/>
        </w:rPr>
        <w:t>”).</w:t>
      </w:r>
      <w:r w:rsidR="00D34AC2" w:rsidRPr="005C2179">
        <w:rPr>
          <w:rStyle w:val="FootnoteReference"/>
          <w:kern w:val="2"/>
          <w:sz w:val="20"/>
        </w:rPr>
        <w:footnoteReference w:id="576"/>
      </w:r>
      <w:r w:rsidR="00D34AC2" w:rsidRPr="005C2179">
        <w:rPr>
          <w:i/>
          <w:kern w:val="2"/>
          <w:sz w:val="20"/>
        </w:rPr>
        <w:t xml:space="preserve"> </w:t>
      </w:r>
      <w:r w:rsidR="00A87E09" w:rsidRPr="005C2179">
        <w:rPr>
          <w:kern w:val="2"/>
          <w:sz w:val="20"/>
        </w:rPr>
        <w:t>Each province has</w:t>
      </w:r>
      <w:r w:rsidRPr="005C2179">
        <w:rPr>
          <w:kern w:val="2"/>
          <w:sz w:val="20"/>
        </w:rPr>
        <w:t xml:space="preserve"> </w:t>
      </w:r>
      <w:r w:rsidR="00D34AC2" w:rsidRPr="005C2179">
        <w:rPr>
          <w:kern w:val="2"/>
          <w:sz w:val="20"/>
        </w:rPr>
        <w:t xml:space="preserve">also </w:t>
      </w:r>
      <w:r w:rsidRPr="005C2179">
        <w:rPr>
          <w:kern w:val="2"/>
          <w:sz w:val="20"/>
        </w:rPr>
        <w:t xml:space="preserve">enacted its own regime in relation to campaign financing for elections to the provincial legislative assemblies. </w:t>
      </w:r>
    </w:p>
    <w:p w14:paraId="5D5842EC" w14:textId="77777777" w:rsidR="004067B4" w:rsidRPr="005C2179" w:rsidRDefault="00AB5C45" w:rsidP="00330F4B">
      <w:pPr>
        <w:rPr>
          <w:kern w:val="2"/>
          <w:sz w:val="20"/>
        </w:rPr>
      </w:pPr>
      <w:r w:rsidRPr="005C2179">
        <w:rPr>
          <w:kern w:val="2"/>
          <w:sz w:val="20"/>
        </w:rPr>
        <w:t>The primary features of the federal regime are</w:t>
      </w:r>
      <w:r w:rsidR="004067B4" w:rsidRPr="005C2179">
        <w:rPr>
          <w:kern w:val="2"/>
          <w:sz w:val="20"/>
        </w:rPr>
        <w:t>:</w:t>
      </w:r>
    </w:p>
    <w:p w14:paraId="1E0C4582" w14:textId="77777777" w:rsidR="004067B4" w:rsidRPr="005C2179" w:rsidRDefault="00AB5C45" w:rsidP="00330F4B">
      <w:pPr>
        <w:pStyle w:val="ListParagraph"/>
        <w:numPr>
          <w:ilvl w:val="0"/>
          <w:numId w:val="32"/>
        </w:numPr>
        <w:rPr>
          <w:kern w:val="2"/>
          <w:sz w:val="20"/>
        </w:rPr>
      </w:pPr>
      <w:r w:rsidRPr="005C2179">
        <w:rPr>
          <w:kern w:val="2"/>
          <w:sz w:val="20"/>
        </w:rPr>
        <w:t xml:space="preserve">contribution limits for political parties and candidates; </w:t>
      </w:r>
    </w:p>
    <w:p w14:paraId="57D343AC" w14:textId="77777777" w:rsidR="004067B4" w:rsidRPr="005C2179" w:rsidRDefault="00AB5C45" w:rsidP="00330F4B">
      <w:pPr>
        <w:pStyle w:val="ListParagraph"/>
        <w:numPr>
          <w:ilvl w:val="0"/>
          <w:numId w:val="32"/>
        </w:numPr>
        <w:rPr>
          <w:kern w:val="2"/>
          <w:sz w:val="20"/>
        </w:rPr>
      </w:pPr>
      <w:r w:rsidRPr="005C2179">
        <w:rPr>
          <w:kern w:val="2"/>
          <w:sz w:val="20"/>
        </w:rPr>
        <w:t>source restrict</w:t>
      </w:r>
      <w:r w:rsidR="004067B4" w:rsidRPr="005C2179">
        <w:rPr>
          <w:kern w:val="2"/>
          <w:sz w:val="20"/>
        </w:rPr>
        <w:t>ions on</w:t>
      </w:r>
      <w:r w:rsidR="00A6012E" w:rsidRPr="005C2179">
        <w:rPr>
          <w:kern w:val="2"/>
          <w:sz w:val="20"/>
        </w:rPr>
        <w:t xml:space="preserve"> contributions to third-</w:t>
      </w:r>
      <w:r w:rsidRPr="005C2179">
        <w:rPr>
          <w:kern w:val="2"/>
          <w:sz w:val="20"/>
        </w:rPr>
        <w:t>party campaigners, political parties, and candid</w:t>
      </w:r>
      <w:r w:rsidR="007A4D9D" w:rsidRPr="005C2179">
        <w:rPr>
          <w:kern w:val="2"/>
          <w:sz w:val="20"/>
        </w:rPr>
        <w:t xml:space="preserve">ates; </w:t>
      </w:r>
    </w:p>
    <w:p w14:paraId="5ED80735" w14:textId="77777777" w:rsidR="004067B4" w:rsidRPr="005C2179" w:rsidRDefault="007A4D9D" w:rsidP="00330F4B">
      <w:pPr>
        <w:pStyle w:val="ListParagraph"/>
        <w:numPr>
          <w:ilvl w:val="0"/>
          <w:numId w:val="32"/>
        </w:numPr>
        <w:rPr>
          <w:kern w:val="2"/>
          <w:sz w:val="20"/>
        </w:rPr>
      </w:pPr>
      <w:r w:rsidRPr="005C2179">
        <w:rPr>
          <w:kern w:val="2"/>
          <w:sz w:val="20"/>
        </w:rPr>
        <w:t>spending limits for third-</w:t>
      </w:r>
      <w:r w:rsidR="00AB5C45" w:rsidRPr="005C2179">
        <w:rPr>
          <w:kern w:val="2"/>
          <w:sz w:val="20"/>
        </w:rPr>
        <w:t xml:space="preserve">party campaigners, political parties, and candidates; </w:t>
      </w:r>
    </w:p>
    <w:p w14:paraId="20996169" w14:textId="77777777" w:rsidR="004067B4" w:rsidRPr="005C2179" w:rsidRDefault="00AB5C45" w:rsidP="00330F4B">
      <w:pPr>
        <w:pStyle w:val="ListParagraph"/>
        <w:numPr>
          <w:ilvl w:val="0"/>
          <w:numId w:val="32"/>
        </w:numPr>
        <w:rPr>
          <w:kern w:val="2"/>
          <w:sz w:val="20"/>
        </w:rPr>
      </w:pPr>
      <w:r w:rsidRPr="005C2179">
        <w:rPr>
          <w:kern w:val="2"/>
          <w:sz w:val="20"/>
        </w:rPr>
        <w:t>tran</w:t>
      </w:r>
      <w:r w:rsidR="007A4D9D" w:rsidRPr="005C2179">
        <w:rPr>
          <w:kern w:val="2"/>
          <w:sz w:val="20"/>
        </w:rPr>
        <w:t>sparency requirements for third-</w:t>
      </w:r>
      <w:r w:rsidRPr="005C2179">
        <w:rPr>
          <w:kern w:val="2"/>
          <w:sz w:val="20"/>
        </w:rPr>
        <w:t xml:space="preserve">party campaigners, political parties, and candidates; and </w:t>
      </w:r>
    </w:p>
    <w:p w14:paraId="373AB4DD" w14:textId="77777777" w:rsidR="007A4D9D" w:rsidRPr="005C2179" w:rsidRDefault="00AB5C45" w:rsidP="00330F4B">
      <w:pPr>
        <w:pStyle w:val="ListParagraph"/>
        <w:numPr>
          <w:ilvl w:val="0"/>
          <w:numId w:val="32"/>
        </w:numPr>
        <w:rPr>
          <w:kern w:val="2"/>
          <w:sz w:val="20"/>
        </w:rPr>
      </w:pPr>
      <w:r w:rsidRPr="005C2179">
        <w:rPr>
          <w:kern w:val="2"/>
          <w:sz w:val="20"/>
        </w:rPr>
        <w:t>a public funding scheme involving reimbursements and tax</w:t>
      </w:r>
      <w:r w:rsidR="00A6012E" w:rsidRPr="005C2179">
        <w:rPr>
          <w:kern w:val="2"/>
          <w:sz w:val="20"/>
        </w:rPr>
        <w:t xml:space="preserve"> credits</w:t>
      </w:r>
      <w:r w:rsidRPr="005C2179">
        <w:rPr>
          <w:kern w:val="2"/>
          <w:sz w:val="20"/>
        </w:rPr>
        <w:t xml:space="preserve">. </w:t>
      </w:r>
    </w:p>
    <w:p w14:paraId="62395335" w14:textId="77777777" w:rsidR="00B45D81" w:rsidRPr="005C2179" w:rsidRDefault="007A4D9D" w:rsidP="00330F4B">
      <w:pPr>
        <w:rPr>
          <w:kern w:val="2"/>
          <w:sz w:val="20"/>
        </w:rPr>
      </w:pPr>
      <w:r w:rsidRPr="005C2179">
        <w:rPr>
          <w:kern w:val="2"/>
          <w:sz w:val="20"/>
        </w:rPr>
        <w:t xml:space="preserve">Unlike </w:t>
      </w:r>
      <w:r w:rsidR="00C820B1" w:rsidRPr="005C2179">
        <w:rPr>
          <w:kern w:val="2"/>
          <w:sz w:val="20"/>
        </w:rPr>
        <w:t xml:space="preserve">regulatory regimes </w:t>
      </w:r>
      <w:r w:rsidRPr="005C2179">
        <w:rPr>
          <w:kern w:val="2"/>
          <w:sz w:val="20"/>
        </w:rPr>
        <w:t xml:space="preserve">in the UK and the US, the federal regime in Canada limits both the supply of and demand for money </w:t>
      </w:r>
      <w:r w:rsidR="009E412B" w:rsidRPr="005C2179">
        <w:rPr>
          <w:kern w:val="2"/>
          <w:sz w:val="20"/>
        </w:rPr>
        <w:t>in elections</w:t>
      </w:r>
      <w:r w:rsidRPr="005C2179">
        <w:rPr>
          <w:kern w:val="2"/>
          <w:sz w:val="20"/>
        </w:rPr>
        <w:t>, as politicians</w:t>
      </w:r>
      <w:r w:rsidR="009E412B" w:rsidRPr="005C2179">
        <w:rPr>
          <w:kern w:val="2"/>
          <w:sz w:val="20"/>
        </w:rPr>
        <w:t xml:space="preserve"> are subject to limits</w:t>
      </w:r>
      <w:r w:rsidRPr="005C2179">
        <w:rPr>
          <w:kern w:val="2"/>
          <w:sz w:val="20"/>
        </w:rPr>
        <w:t xml:space="preserve"> on</w:t>
      </w:r>
      <w:r w:rsidR="00E2157F" w:rsidRPr="005C2179">
        <w:rPr>
          <w:kern w:val="2"/>
          <w:sz w:val="20"/>
        </w:rPr>
        <w:t xml:space="preserve"> </w:t>
      </w:r>
      <w:r w:rsidRPr="005C2179">
        <w:rPr>
          <w:kern w:val="2"/>
          <w:sz w:val="20"/>
        </w:rPr>
        <w:t>the</w:t>
      </w:r>
      <w:r w:rsidR="009E412B" w:rsidRPr="005C2179">
        <w:rPr>
          <w:kern w:val="2"/>
          <w:sz w:val="20"/>
        </w:rPr>
        <w:t xml:space="preserve"> size of</w:t>
      </w:r>
      <w:r w:rsidRPr="005C2179">
        <w:rPr>
          <w:kern w:val="2"/>
          <w:sz w:val="20"/>
        </w:rPr>
        <w:t xml:space="preserve"> donations they </w:t>
      </w:r>
      <w:r w:rsidR="005A69BA" w:rsidRPr="005C2179">
        <w:rPr>
          <w:kern w:val="2"/>
          <w:sz w:val="20"/>
        </w:rPr>
        <w:t xml:space="preserve">may </w:t>
      </w:r>
      <w:r w:rsidRPr="005C2179">
        <w:rPr>
          <w:kern w:val="2"/>
          <w:sz w:val="20"/>
        </w:rPr>
        <w:t xml:space="preserve">receive and the </w:t>
      </w:r>
      <w:r w:rsidR="009E412B" w:rsidRPr="005C2179">
        <w:rPr>
          <w:kern w:val="2"/>
          <w:sz w:val="20"/>
        </w:rPr>
        <w:t xml:space="preserve">amount of </w:t>
      </w:r>
      <w:r w:rsidRPr="005C2179">
        <w:rPr>
          <w:kern w:val="2"/>
          <w:sz w:val="20"/>
        </w:rPr>
        <w:t xml:space="preserve">money they </w:t>
      </w:r>
      <w:r w:rsidR="005A69BA" w:rsidRPr="005C2179">
        <w:rPr>
          <w:kern w:val="2"/>
          <w:sz w:val="20"/>
        </w:rPr>
        <w:t xml:space="preserve">may </w:t>
      </w:r>
      <w:r w:rsidRPr="005C2179">
        <w:rPr>
          <w:kern w:val="2"/>
          <w:sz w:val="20"/>
        </w:rPr>
        <w:t xml:space="preserve">spend </w:t>
      </w:r>
      <w:r w:rsidR="005A69BA" w:rsidRPr="005C2179">
        <w:rPr>
          <w:kern w:val="2"/>
          <w:sz w:val="20"/>
        </w:rPr>
        <w:t>on election campaigns</w:t>
      </w:r>
      <w:r w:rsidR="009E412B" w:rsidRPr="005C2179">
        <w:rPr>
          <w:kern w:val="2"/>
          <w:sz w:val="20"/>
        </w:rPr>
        <w:t xml:space="preserve">. By contrast, the federal regime in the US </w:t>
      </w:r>
      <w:r w:rsidR="005A69BA" w:rsidRPr="005C2179">
        <w:rPr>
          <w:kern w:val="2"/>
          <w:sz w:val="20"/>
        </w:rPr>
        <w:t>imposes caps</w:t>
      </w:r>
      <w:r w:rsidR="008F725D" w:rsidRPr="005C2179">
        <w:rPr>
          <w:kern w:val="2"/>
          <w:sz w:val="20"/>
        </w:rPr>
        <w:t xml:space="preserve"> only</w:t>
      </w:r>
      <w:r w:rsidR="005A69BA" w:rsidRPr="005C2179">
        <w:rPr>
          <w:kern w:val="2"/>
          <w:sz w:val="20"/>
        </w:rPr>
        <w:t xml:space="preserve"> on p</w:t>
      </w:r>
      <w:r w:rsidR="00A6012E" w:rsidRPr="005C2179">
        <w:rPr>
          <w:kern w:val="2"/>
          <w:sz w:val="20"/>
        </w:rPr>
        <w:t>olitical contributions</w:t>
      </w:r>
      <w:r w:rsidRPr="005C2179">
        <w:rPr>
          <w:kern w:val="2"/>
          <w:sz w:val="20"/>
        </w:rPr>
        <w:t>,</w:t>
      </w:r>
      <w:r w:rsidR="00C623F4" w:rsidRPr="005C2179">
        <w:rPr>
          <w:kern w:val="2"/>
          <w:sz w:val="20"/>
        </w:rPr>
        <w:t xml:space="preserve"> </w:t>
      </w:r>
      <w:r w:rsidR="005A69BA" w:rsidRPr="005C2179">
        <w:rPr>
          <w:kern w:val="2"/>
          <w:sz w:val="20"/>
        </w:rPr>
        <w:t xml:space="preserve">not spending. </w:t>
      </w:r>
      <w:r w:rsidR="009E412B" w:rsidRPr="005C2179">
        <w:rPr>
          <w:kern w:val="2"/>
          <w:sz w:val="20"/>
        </w:rPr>
        <w:t>The UK</w:t>
      </w:r>
      <w:r w:rsidR="005A69BA" w:rsidRPr="005C2179">
        <w:rPr>
          <w:kern w:val="2"/>
          <w:sz w:val="20"/>
        </w:rPr>
        <w:t xml:space="preserve">, on the other hand, imposes spending </w:t>
      </w:r>
      <w:r w:rsidR="00C820B1" w:rsidRPr="005C2179">
        <w:rPr>
          <w:kern w:val="2"/>
          <w:sz w:val="20"/>
        </w:rPr>
        <w:t>caps</w:t>
      </w:r>
      <w:r w:rsidR="005A69BA" w:rsidRPr="005C2179">
        <w:rPr>
          <w:kern w:val="2"/>
          <w:sz w:val="20"/>
        </w:rPr>
        <w:t xml:space="preserve"> on</w:t>
      </w:r>
      <w:r w:rsidR="00C623F4" w:rsidRPr="005C2179">
        <w:rPr>
          <w:kern w:val="2"/>
          <w:sz w:val="20"/>
        </w:rPr>
        <w:t xml:space="preserve"> politicians and third-party campaigners</w:t>
      </w:r>
      <w:r w:rsidR="005A69BA" w:rsidRPr="005C2179">
        <w:rPr>
          <w:kern w:val="2"/>
          <w:sz w:val="20"/>
        </w:rPr>
        <w:t xml:space="preserve"> but has no contribution ceilings</w:t>
      </w:r>
      <w:r w:rsidRPr="005C2179">
        <w:rPr>
          <w:kern w:val="2"/>
          <w:sz w:val="20"/>
        </w:rPr>
        <w:t>.</w:t>
      </w:r>
      <w:r w:rsidR="00C623F4" w:rsidRPr="005C2179">
        <w:rPr>
          <w:kern w:val="2"/>
          <w:sz w:val="20"/>
        </w:rPr>
        <w:t xml:space="preserve"> </w:t>
      </w:r>
    </w:p>
    <w:p w14:paraId="4C39F8B0" w14:textId="00CE0B59" w:rsidR="004D6604" w:rsidRPr="005C2179" w:rsidRDefault="004D6604" w:rsidP="00BF63B6">
      <w:pPr>
        <w:pStyle w:val="Heading3"/>
        <w:rPr>
          <w:kern w:val="2"/>
          <w:sz w:val="22"/>
        </w:rPr>
      </w:pPr>
      <w:r w:rsidRPr="005C2179">
        <w:rPr>
          <w:kern w:val="2"/>
          <w:sz w:val="22"/>
        </w:rPr>
        <w:t>Regulation of Campaign Financing for Political Pa</w:t>
      </w:r>
      <w:r w:rsidR="00EF7F38" w:rsidRPr="005C2179">
        <w:rPr>
          <w:kern w:val="2"/>
          <w:sz w:val="22"/>
        </w:rPr>
        <w:t>rties,</w:t>
      </w:r>
      <w:r w:rsidRPr="005C2179">
        <w:rPr>
          <w:kern w:val="2"/>
          <w:sz w:val="22"/>
        </w:rPr>
        <w:t xml:space="preserve"> Candidates</w:t>
      </w:r>
      <w:r w:rsidR="00EF7F38" w:rsidRPr="005C2179">
        <w:rPr>
          <w:kern w:val="2"/>
          <w:sz w:val="22"/>
        </w:rPr>
        <w:t>, Electoral District Associations, Leadership Contestants, and Nomination Contestants</w:t>
      </w:r>
      <w:r w:rsidRPr="005C2179">
        <w:rPr>
          <w:kern w:val="2"/>
          <w:sz w:val="22"/>
        </w:rPr>
        <w:t xml:space="preserve"> in Canada </w:t>
      </w:r>
    </w:p>
    <w:p w14:paraId="67064902" w14:textId="7B95FF10" w:rsidR="004D6604" w:rsidRPr="005C2179" w:rsidRDefault="004D6604" w:rsidP="00BF63B6">
      <w:pPr>
        <w:pStyle w:val="Heading4"/>
        <w:rPr>
          <w:kern w:val="2"/>
          <w:sz w:val="22"/>
        </w:rPr>
      </w:pPr>
      <w:r w:rsidRPr="005C2179">
        <w:rPr>
          <w:kern w:val="2"/>
          <w:sz w:val="22"/>
        </w:rPr>
        <w:t xml:space="preserve">Spending Limits </w:t>
      </w:r>
      <w:r w:rsidR="0045603F" w:rsidRPr="005C2179">
        <w:rPr>
          <w:kern w:val="2"/>
          <w:sz w:val="22"/>
        </w:rPr>
        <w:t xml:space="preserve">for Registered Parties, Candidates, etc. </w:t>
      </w:r>
    </w:p>
    <w:p w14:paraId="772BC018" w14:textId="77777777" w:rsidR="00F55140" w:rsidRPr="005C2179" w:rsidRDefault="00F55140" w:rsidP="00330F4B">
      <w:pPr>
        <w:rPr>
          <w:kern w:val="2"/>
          <w:sz w:val="20"/>
        </w:rPr>
      </w:pPr>
      <w:r w:rsidRPr="005C2179">
        <w:rPr>
          <w:kern w:val="2"/>
          <w:sz w:val="20"/>
        </w:rPr>
        <w:t>The provisions discussed in this section apply to expenditures by candidates, registered political parties, registered electoral district associations, nomination contestants, and leadership contestants.</w:t>
      </w:r>
    </w:p>
    <w:p w14:paraId="647547E9" w14:textId="77777777" w:rsidR="00D20A11" w:rsidRPr="005C2179" w:rsidRDefault="00D20A11" w:rsidP="00EB71B2">
      <w:pPr>
        <w:rPr>
          <w:b/>
          <w:kern w:val="2"/>
          <w:sz w:val="20"/>
        </w:rPr>
      </w:pPr>
      <w:r w:rsidRPr="005C2179">
        <w:rPr>
          <w:b/>
          <w:kern w:val="2"/>
          <w:sz w:val="20"/>
        </w:rPr>
        <w:t xml:space="preserve">a) Expenses Captured by Spending Limits </w:t>
      </w:r>
    </w:p>
    <w:p w14:paraId="0254A4C4" w14:textId="1A293099" w:rsidR="00D20A11" w:rsidRPr="005C2179" w:rsidRDefault="00717579" w:rsidP="00330F4B">
      <w:pPr>
        <w:rPr>
          <w:kern w:val="2"/>
          <w:sz w:val="20"/>
        </w:rPr>
      </w:pPr>
      <w:r w:rsidRPr="005C2179">
        <w:rPr>
          <w:kern w:val="2"/>
          <w:sz w:val="20"/>
        </w:rPr>
        <w:t xml:space="preserve">The spending caps in the </w:t>
      </w:r>
      <w:r w:rsidRPr="005C2179">
        <w:rPr>
          <w:i/>
          <w:kern w:val="2"/>
          <w:sz w:val="20"/>
        </w:rPr>
        <w:t xml:space="preserve">CEA </w:t>
      </w:r>
      <w:r w:rsidRPr="005C2179">
        <w:rPr>
          <w:kern w:val="2"/>
          <w:sz w:val="20"/>
        </w:rPr>
        <w:t>apply to “election expenses</w:t>
      </w:r>
      <w:r w:rsidR="007F7DC2" w:rsidRPr="005C2179">
        <w:rPr>
          <w:kern w:val="2"/>
          <w:sz w:val="20"/>
        </w:rPr>
        <w:t>,</w:t>
      </w:r>
      <w:r w:rsidRPr="005C2179">
        <w:rPr>
          <w:kern w:val="2"/>
          <w:sz w:val="20"/>
        </w:rPr>
        <w:t xml:space="preserve">” which are defined in section 376(1). “Election expenses” </w:t>
      </w:r>
      <w:r w:rsidR="00AF78F7" w:rsidRPr="005C2179">
        <w:rPr>
          <w:kern w:val="2"/>
          <w:sz w:val="20"/>
        </w:rPr>
        <w:t xml:space="preserve">include any costs incurred or non-monetary contributions received by a registered party or candidate </w:t>
      </w:r>
      <w:r w:rsidR="002467A4" w:rsidRPr="005C2179">
        <w:rPr>
          <w:kern w:val="2"/>
          <w:sz w:val="20"/>
        </w:rPr>
        <w:t xml:space="preserve">for goods or services </w:t>
      </w:r>
      <w:r w:rsidR="00AF78F7" w:rsidRPr="005C2179">
        <w:rPr>
          <w:kern w:val="2"/>
          <w:sz w:val="20"/>
        </w:rPr>
        <w:t xml:space="preserve">used to directly promote or oppose a party, its leader, or a candidate during an election period. </w:t>
      </w:r>
      <w:r w:rsidR="006D0CAD" w:rsidRPr="005C2179">
        <w:rPr>
          <w:kern w:val="2"/>
          <w:sz w:val="20"/>
        </w:rPr>
        <w:t>T</w:t>
      </w:r>
      <w:r w:rsidR="00F655D0" w:rsidRPr="005C2179">
        <w:rPr>
          <w:kern w:val="2"/>
          <w:sz w:val="20"/>
        </w:rPr>
        <w:t>he definition</w:t>
      </w:r>
      <w:r w:rsidR="00C363C1" w:rsidRPr="005C2179">
        <w:rPr>
          <w:kern w:val="2"/>
          <w:sz w:val="20"/>
        </w:rPr>
        <w:t xml:space="preserve"> also</w:t>
      </w:r>
      <w:r w:rsidR="00F655D0" w:rsidRPr="005C2179">
        <w:rPr>
          <w:kern w:val="2"/>
          <w:sz w:val="20"/>
        </w:rPr>
        <w:t xml:space="preserve"> </w:t>
      </w:r>
      <w:r w:rsidR="006D0CAD" w:rsidRPr="005C2179">
        <w:rPr>
          <w:kern w:val="2"/>
          <w:sz w:val="20"/>
        </w:rPr>
        <w:t>expressl</w:t>
      </w:r>
      <w:r w:rsidR="00C363C1" w:rsidRPr="005C2179">
        <w:rPr>
          <w:kern w:val="2"/>
          <w:sz w:val="20"/>
        </w:rPr>
        <w:t xml:space="preserve">y includes </w:t>
      </w:r>
      <w:r w:rsidR="00270B5A" w:rsidRPr="005C2179">
        <w:rPr>
          <w:kern w:val="2"/>
          <w:sz w:val="20"/>
        </w:rPr>
        <w:t>some specific</w:t>
      </w:r>
      <w:r w:rsidR="00C363C1" w:rsidRPr="005C2179">
        <w:rPr>
          <w:kern w:val="2"/>
          <w:sz w:val="20"/>
        </w:rPr>
        <w:t xml:space="preserve"> types of</w:t>
      </w:r>
      <w:r w:rsidR="00F655D0" w:rsidRPr="005C2179">
        <w:rPr>
          <w:kern w:val="2"/>
          <w:sz w:val="20"/>
        </w:rPr>
        <w:t xml:space="preserve"> expenses, such as costs incurred or non-monetary contributions provided for </w:t>
      </w:r>
      <w:r w:rsidR="00C363C1" w:rsidRPr="005C2179">
        <w:rPr>
          <w:kern w:val="2"/>
          <w:sz w:val="20"/>
        </w:rPr>
        <w:t xml:space="preserve">the </w:t>
      </w:r>
      <w:r w:rsidR="00F655D0" w:rsidRPr="005C2179">
        <w:rPr>
          <w:kern w:val="2"/>
          <w:sz w:val="20"/>
        </w:rPr>
        <w:t>production of promotional material and</w:t>
      </w:r>
      <w:r w:rsidR="00270B5A" w:rsidRPr="005C2179">
        <w:rPr>
          <w:kern w:val="2"/>
          <w:sz w:val="20"/>
        </w:rPr>
        <w:t xml:space="preserve"> for</w:t>
      </w:r>
      <w:r w:rsidR="00F655D0" w:rsidRPr="005C2179">
        <w:rPr>
          <w:kern w:val="2"/>
          <w:sz w:val="20"/>
        </w:rPr>
        <w:t xml:space="preserve"> the publication or broadcast of that material.</w:t>
      </w:r>
      <w:r w:rsidR="00F655D0" w:rsidRPr="005C2179">
        <w:rPr>
          <w:rStyle w:val="FootnoteReference"/>
          <w:kern w:val="2"/>
          <w:sz w:val="20"/>
        </w:rPr>
        <w:footnoteReference w:id="577"/>
      </w:r>
      <w:r w:rsidR="00F655D0" w:rsidRPr="005C2179">
        <w:rPr>
          <w:kern w:val="2"/>
          <w:sz w:val="20"/>
        </w:rPr>
        <w:t xml:space="preserve"> </w:t>
      </w:r>
      <w:r w:rsidR="00B50C09" w:rsidRPr="005C2179">
        <w:rPr>
          <w:kern w:val="2"/>
          <w:sz w:val="20"/>
        </w:rPr>
        <w:t>“Expenses” are defined in section 349 to include the commercial value of property or services that are donated or provided, other than volunteer labour. T</w:t>
      </w:r>
      <w:r w:rsidR="002467A4" w:rsidRPr="005C2179">
        <w:rPr>
          <w:kern w:val="2"/>
          <w:sz w:val="20"/>
        </w:rPr>
        <w:t xml:space="preserve">he </w:t>
      </w:r>
      <w:r w:rsidR="00F655D0" w:rsidRPr="005C2179">
        <w:rPr>
          <w:kern w:val="2"/>
          <w:sz w:val="20"/>
        </w:rPr>
        <w:t>“</w:t>
      </w:r>
      <w:r w:rsidR="002467A4" w:rsidRPr="005C2179">
        <w:rPr>
          <w:kern w:val="2"/>
          <w:sz w:val="20"/>
        </w:rPr>
        <w:t>election period</w:t>
      </w:r>
      <w:r w:rsidR="00F655D0" w:rsidRPr="005C2179">
        <w:rPr>
          <w:kern w:val="2"/>
          <w:sz w:val="20"/>
        </w:rPr>
        <w:t>”</w:t>
      </w:r>
      <w:r w:rsidR="002467A4" w:rsidRPr="005C2179">
        <w:rPr>
          <w:kern w:val="2"/>
          <w:sz w:val="20"/>
        </w:rPr>
        <w:t xml:space="preserve"> begins when the writ is issued and ends on polling day.</w:t>
      </w:r>
      <w:r w:rsidR="00241A58" w:rsidRPr="005C2179">
        <w:rPr>
          <w:rStyle w:val="FootnoteReference"/>
          <w:kern w:val="2"/>
          <w:sz w:val="20"/>
        </w:rPr>
        <w:footnoteReference w:id="578"/>
      </w:r>
      <w:r w:rsidRPr="005C2179">
        <w:rPr>
          <w:kern w:val="2"/>
          <w:sz w:val="20"/>
        </w:rPr>
        <w:t xml:space="preserve"> </w:t>
      </w:r>
      <w:r w:rsidR="00F551E9" w:rsidRPr="005C2179">
        <w:rPr>
          <w:kern w:val="2"/>
          <w:sz w:val="20"/>
        </w:rPr>
        <w:t>Expenses outside of this period are not included in the definition of “election expenses</w:t>
      </w:r>
      <w:r w:rsidR="00412F13" w:rsidRPr="005C2179">
        <w:rPr>
          <w:kern w:val="2"/>
          <w:sz w:val="20"/>
        </w:rPr>
        <w:t>.</w:t>
      </w:r>
      <w:r w:rsidR="00F551E9" w:rsidRPr="005C2179">
        <w:rPr>
          <w:kern w:val="2"/>
          <w:sz w:val="20"/>
        </w:rPr>
        <w:t xml:space="preserve">” </w:t>
      </w:r>
    </w:p>
    <w:p w14:paraId="0441B4FE" w14:textId="77777777" w:rsidR="00A45786" w:rsidRPr="005C2179" w:rsidRDefault="00A45786" w:rsidP="009F05FA">
      <w:pPr>
        <w:keepNext/>
        <w:rPr>
          <w:b/>
          <w:kern w:val="2"/>
          <w:sz w:val="20"/>
        </w:rPr>
      </w:pPr>
      <w:r w:rsidRPr="005C2179">
        <w:rPr>
          <w:b/>
          <w:kern w:val="2"/>
          <w:sz w:val="20"/>
        </w:rPr>
        <w:t>b) Spending Limits</w:t>
      </w:r>
    </w:p>
    <w:p w14:paraId="67C93A2F" w14:textId="3E34E12A" w:rsidR="00031D6E" w:rsidRPr="005C2179" w:rsidRDefault="00031D6E" w:rsidP="00EB71B2">
      <w:pPr>
        <w:pStyle w:val="ListParagraph"/>
        <w:numPr>
          <w:ilvl w:val="0"/>
          <w:numId w:val="36"/>
        </w:numPr>
        <w:rPr>
          <w:kern w:val="2"/>
          <w:sz w:val="20"/>
        </w:rPr>
      </w:pPr>
      <w:r w:rsidRPr="005C2179">
        <w:rPr>
          <w:kern w:val="2"/>
          <w:sz w:val="20"/>
        </w:rPr>
        <w:t>Registered Parties</w:t>
      </w:r>
    </w:p>
    <w:p w14:paraId="2DC9F99A" w14:textId="77997719" w:rsidR="002A74D3" w:rsidRPr="005C2179" w:rsidRDefault="009A7995" w:rsidP="00330F4B">
      <w:pPr>
        <w:rPr>
          <w:kern w:val="2"/>
          <w:sz w:val="20"/>
        </w:rPr>
      </w:pPr>
      <w:r w:rsidRPr="005C2179">
        <w:rPr>
          <w:kern w:val="2"/>
          <w:sz w:val="20"/>
        </w:rPr>
        <w:t>A registered party’s election expenses limit is calculated based on the number of electors in the electoral districts in which the party has endorsed candidates.</w:t>
      </w:r>
      <w:r w:rsidRPr="005C2179">
        <w:rPr>
          <w:rStyle w:val="FootnoteReference"/>
          <w:kern w:val="2"/>
          <w:sz w:val="20"/>
        </w:rPr>
        <w:footnoteReference w:id="579"/>
      </w:r>
      <w:r w:rsidRPr="005C2179">
        <w:rPr>
          <w:kern w:val="2"/>
          <w:sz w:val="20"/>
        </w:rPr>
        <w:t xml:space="preserve"> If the election period lasts longer</w:t>
      </w:r>
      <w:r w:rsidR="00150F25" w:rsidRPr="005C2179">
        <w:rPr>
          <w:kern w:val="2"/>
          <w:sz w:val="20"/>
        </w:rPr>
        <w:t xml:space="preserve"> than 37 days, the limit is</w:t>
      </w:r>
      <w:r w:rsidRPr="005C2179">
        <w:rPr>
          <w:kern w:val="2"/>
          <w:sz w:val="20"/>
        </w:rPr>
        <w:t xml:space="preserve"> increased by a certain amount for each day beyond the 37-day period.</w:t>
      </w:r>
      <w:r w:rsidRPr="005C2179">
        <w:rPr>
          <w:rStyle w:val="FootnoteReference"/>
          <w:kern w:val="2"/>
          <w:sz w:val="20"/>
        </w:rPr>
        <w:footnoteReference w:id="580"/>
      </w:r>
      <w:r w:rsidRPr="005C2179">
        <w:rPr>
          <w:kern w:val="2"/>
          <w:sz w:val="20"/>
        </w:rPr>
        <w:t xml:space="preserve"> The 2015 general election </w:t>
      </w:r>
      <w:r w:rsidR="005F7342" w:rsidRPr="005C2179">
        <w:rPr>
          <w:kern w:val="2"/>
          <w:sz w:val="20"/>
        </w:rPr>
        <w:t>lasted 78 days</w:t>
      </w:r>
      <w:r w:rsidRPr="005C2179">
        <w:rPr>
          <w:kern w:val="2"/>
          <w:sz w:val="20"/>
        </w:rPr>
        <w:t xml:space="preserve">. </w:t>
      </w:r>
      <w:r w:rsidR="00874F00" w:rsidRPr="005C2179">
        <w:rPr>
          <w:kern w:val="2"/>
          <w:sz w:val="20"/>
        </w:rPr>
        <w:t xml:space="preserve">The </w:t>
      </w:r>
      <w:r w:rsidRPr="005C2179">
        <w:rPr>
          <w:kern w:val="2"/>
          <w:sz w:val="20"/>
        </w:rPr>
        <w:t>Liberal</w:t>
      </w:r>
      <w:r w:rsidR="00287217" w:rsidRPr="005C2179">
        <w:rPr>
          <w:kern w:val="2"/>
          <w:sz w:val="20"/>
        </w:rPr>
        <w:t>,</w:t>
      </w:r>
      <w:r w:rsidRPr="005C2179">
        <w:rPr>
          <w:kern w:val="2"/>
          <w:sz w:val="20"/>
        </w:rPr>
        <w:t xml:space="preserve"> Conservative, and New Democratic Part</w:t>
      </w:r>
      <w:r w:rsidR="00412F13" w:rsidRPr="005C2179">
        <w:rPr>
          <w:kern w:val="2"/>
          <w:sz w:val="20"/>
        </w:rPr>
        <w:t>ies</w:t>
      </w:r>
      <w:r w:rsidR="00401D42" w:rsidRPr="005C2179">
        <w:rPr>
          <w:kern w:val="2"/>
          <w:sz w:val="20"/>
        </w:rPr>
        <w:t xml:space="preserve"> each had a spending limit of $</w:t>
      </w:r>
      <w:r w:rsidRPr="005C2179">
        <w:rPr>
          <w:kern w:val="2"/>
          <w:sz w:val="20"/>
        </w:rPr>
        <w:t>54,936,320.15.</w:t>
      </w:r>
      <w:r w:rsidR="002A74D3" w:rsidRPr="005C2179">
        <w:rPr>
          <w:rStyle w:val="FootnoteReference"/>
          <w:kern w:val="2"/>
          <w:sz w:val="20"/>
        </w:rPr>
        <w:footnoteReference w:id="581"/>
      </w:r>
      <w:r w:rsidR="002A74D3" w:rsidRPr="005C2179">
        <w:rPr>
          <w:kern w:val="2"/>
          <w:sz w:val="20"/>
        </w:rPr>
        <w:t xml:space="preserve"> Transfers of funds from a registered party to its candidates do not count </w:t>
      </w:r>
      <w:r w:rsidR="00692ECD" w:rsidRPr="005C2179">
        <w:rPr>
          <w:kern w:val="2"/>
          <w:sz w:val="20"/>
        </w:rPr>
        <w:t>toward</w:t>
      </w:r>
      <w:r w:rsidR="002A74D3" w:rsidRPr="005C2179">
        <w:rPr>
          <w:kern w:val="2"/>
          <w:sz w:val="20"/>
        </w:rPr>
        <w:t xml:space="preserve"> the spending ceiling under the </w:t>
      </w:r>
      <w:r w:rsidR="002A74D3" w:rsidRPr="005C2179">
        <w:rPr>
          <w:i/>
          <w:kern w:val="2"/>
          <w:sz w:val="20"/>
        </w:rPr>
        <w:t>CEA.</w:t>
      </w:r>
      <w:r w:rsidR="002A74D3" w:rsidRPr="005C2179">
        <w:rPr>
          <w:rStyle w:val="FootnoteReference"/>
          <w:kern w:val="2"/>
          <w:sz w:val="20"/>
        </w:rPr>
        <w:footnoteReference w:id="582"/>
      </w:r>
      <w:r w:rsidR="00731D4A" w:rsidRPr="005C2179">
        <w:rPr>
          <w:kern w:val="2"/>
          <w:sz w:val="20"/>
        </w:rPr>
        <w:t xml:space="preserve"> The </w:t>
      </w:r>
      <w:r w:rsidR="00731D4A" w:rsidRPr="005C2179">
        <w:rPr>
          <w:i/>
          <w:kern w:val="2"/>
          <w:sz w:val="20"/>
        </w:rPr>
        <w:t xml:space="preserve">CEA </w:t>
      </w:r>
      <w:r w:rsidR="00731D4A" w:rsidRPr="005C2179">
        <w:rPr>
          <w:kern w:val="2"/>
          <w:sz w:val="20"/>
        </w:rPr>
        <w:t xml:space="preserve">also </w:t>
      </w:r>
      <w:r w:rsidR="008D54F7" w:rsidRPr="005C2179">
        <w:rPr>
          <w:kern w:val="2"/>
          <w:sz w:val="20"/>
        </w:rPr>
        <w:t xml:space="preserve">expressly </w:t>
      </w:r>
      <w:r w:rsidR="00731D4A" w:rsidRPr="005C2179">
        <w:rPr>
          <w:kern w:val="2"/>
          <w:sz w:val="20"/>
        </w:rPr>
        <w:t>prohibits a registered party and a third party from colluding to circumvent the spending limit.</w:t>
      </w:r>
      <w:r w:rsidR="00731D4A" w:rsidRPr="005C2179">
        <w:rPr>
          <w:rStyle w:val="FootnoteReference"/>
          <w:kern w:val="2"/>
          <w:sz w:val="20"/>
        </w:rPr>
        <w:footnoteReference w:id="583"/>
      </w:r>
    </w:p>
    <w:p w14:paraId="38796003" w14:textId="72C36CD4" w:rsidR="00A45786" w:rsidRPr="005C2179" w:rsidRDefault="00031D6E" w:rsidP="00EB71B2">
      <w:pPr>
        <w:pStyle w:val="ListParagraph"/>
        <w:numPr>
          <w:ilvl w:val="0"/>
          <w:numId w:val="36"/>
        </w:numPr>
        <w:rPr>
          <w:kern w:val="2"/>
          <w:sz w:val="20"/>
        </w:rPr>
      </w:pPr>
      <w:r w:rsidRPr="005C2179">
        <w:rPr>
          <w:kern w:val="2"/>
          <w:sz w:val="20"/>
        </w:rPr>
        <w:t xml:space="preserve">Candidates </w:t>
      </w:r>
    </w:p>
    <w:p w14:paraId="23652F7A" w14:textId="1AB134BB" w:rsidR="002E3C53" w:rsidRPr="005C2179" w:rsidRDefault="002E3C53" w:rsidP="00330F4B">
      <w:pPr>
        <w:rPr>
          <w:kern w:val="2"/>
          <w:sz w:val="20"/>
        </w:rPr>
      </w:pPr>
      <w:r w:rsidRPr="005C2179">
        <w:rPr>
          <w:kern w:val="2"/>
          <w:sz w:val="20"/>
        </w:rPr>
        <w:t xml:space="preserve">Candidates’ </w:t>
      </w:r>
      <w:r w:rsidR="008D54F7" w:rsidRPr="005C2179">
        <w:rPr>
          <w:kern w:val="2"/>
          <w:sz w:val="20"/>
        </w:rPr>
        <w:t>election expense limits</w:t>
      </w:r>
      <w:r w:rsidRPr="005C2179">
        <w:rPr>
          <w:kern w:val="2"/>
          <w:sz w:val="20"/>
        </w:rPr>
        <w:t xml:space="preserve"> are </w:t>
      </w:r>
      <w:r w:rsidR="008C03E7" w:rsidRPr="005C2179">
        <w:rPr>
          <w:kern w:val="2"/>
          <w:sz w:val="20"/>
        </w:rPr>
        <w:t>determined by</w:t>
      </w:r>
      <w:r w:rsidRPr="005C2179">
        <w:rPr>
          <w:kern w:val="2"/>
          <w:sz w:val="20"/>
        </w:rPr>
        <w:t xml:space="preserve"> the number of electors in their electoral district.</w:t>
      </w:r>
      <w:r w:rsidR="008D54F7" w:rsidRPr="005C2179">
        <w:rPr>
          <w:rStyle w:val="FootnoteReference"/>
          <w:kern w:val="2"/>
          <w:sz w:val="20"/>
        </w:rPr>
        <w:footnoteReference w:id="584"/>
      </w:r>
      <w:r w:rsidR="00150F25" w:rsidRPr="005C2179">
        <w:rPr>
          <w:kern w:val="2"/>
          <w:sz w:val="20"/>
        </w:rPr>
        <w:t xml:space="preserve"> The limit is</w:t>
      </w:r>
      <w:r w:rsidRPr="005C2179">
        <w:rPr>
          <w:kern w:val="2"/>
          <w:sz w:val="20"/>
        </w:rPr>
        <w:t xml:space="preserve"> increased if the election period lasts longer than 37 days.</w:t>
      </w:r>
      <w:r w:rsidR="002B0E5A" w:rsidRPr="005C2179">
        <w:rPr>
          <w:rStyle w:val="FootnoteReference"/>
          <w:kern w:val="2"/>
          <w:sz w:val="20"/>
        </w:rPr>
        <w:footnoteReference w:id="585"/>
      </w:r>
      <w:r w:rsidRPr="005C2179">
        <w:rPr>
          <w:kern w:val="2"/>
          <w:sz w:val="20"/>
        </w:rPr>
        <w:t xml:space="preserve"> </w:t>
      </w:r>
      <w:r w:rsidR="008A6124" w:rsidRPr="005C2179">
        <w:rPr>
          <w:kern w:val="2"/>
          <w:sz w:val="20"/>
        </w:rPr>
        <w:t>For example</w:t>
      </w:r>
      <w:r w:rsidRPr="005C2179">
        <w:rPr>
          <w:kern w:val="2"/>
          <w:sz w:val="20"/>
        </w:rPr>
        <w:t xml:space="preserve">, in the 2015 general election, </w:t>
      </w:r>
      <w:r w:rsidR="008A6124" w:rsidRPr="005C2179">
        <w:rPr>
          <w:kern w:val="2"/>
          <w:sz w:val="20"/>
        </w:rPr>
        <w:t xml:space="preserve">which lasted 78 days, </w:t>
      </w:r>
      <w:r w:rsidR="00BF5C27" w:rsidRPr="005C2179">
        <w:rPr>
          <w:kern w:val="2"/>
          <w:sz w:val="20"/>
        </w:rPr>
        <w:t>candidates running in the district of</w:t>
      </w:r>
      <w:r w:rsidRPr="005C2179">
        <w:rPr>
          <w:kern w:val="2"/>
          <w:sz w:val="20"/>
        </w:rPr>
        <w:t xml:space="preserve"> Victoria c</w:t>
      </w:r>
      <w:r w:rsidR="0066795D" w:rsidRPr="005C2179">
        <w:rPr>
          <w:kern w:val="2"/>
          <w:sz w:val="20"/>
        </w:rPr>
        <w:t>ould incur up to $234,268.29 in</w:t>
      </w:r>
      <w:r w:rsidRPr="005C2179">
        <w:rPr>
          <w:kern w:val="2"/>
          <w:sz w:val="20"/>
        </w:rPr>
        <w:t xml:space="preserve"> election expenses.</w:t>
      </w:r>
      <w:r w:rsidR="002B0E5A" w:rsidRPr="005C2179">
        <w:rPr>
          <w:rStyle w:val="FootnoteReference"/>
          <w:kern w:val="2"/>
          <w:sz w:val="20"/>
        </w:rPr>
        <w:footnoteReference w:id="586"/>
      </w:r>
      <w:r w:rsidR="002B0E5A" w:rsidRPr="005C2179">
        <w:rPr>
          <w:kern w:val="2"/>
          <w:sz w:val="20"/>
        </w:rPr>
        <w:t xml:space="preserve"> Like registered parties, candidates are prohibited from colluding</w:t>
      </w:r>
      <w:r w:rsidR="0066795D" w:rsidRPr="005C2179">
        <w:rPr>
          <w:kern w:val="2"/>
          <w:sz w:val="20"/>
        </w:rPr>
        <w:t xml:space="preserve"> with others to circumvent the</w:t>
      </w:r>
      <w:r w:rsidR="002B0E5A" w:rsidRPr="005C2179">
        <w:rPr>
          <w:kern w:val="2"/>
          <w:sz w:val="20"/>
        </w:rPr>
        <w:t xml:space="preserve"> spending limit.</w:t>
      </w:r>
      <w:r w:rsidR="002B0E5A" w:rsidRPr="005C2179">
        <w:rPr>
          <w:rStyle w:val="FootnoteReference"/>
          <w:kern w:val="2"/>
          <w:sz w:val="20"/>
        </w:rPr>
        <w:footnoteReference w:id="587"/>
      </w:r>
    </w:p>
    <w:p w14:paraId="7BDB33BB" w14:textId="77777777" w:rsidR="00031D6E" w:rsidRPr="005C2179" w:rsidRDefault="0066795D" w:rsidP="00330F4B">
      <w:pPr>
        <w:rPr>
          <w:kern w:val="2"/>
          <w:sz w:val="20"/>
        </w:rPr>
      </w:pPr>
      <w:r w:rsidRPr="005C2179">
        <w:rPr>
          <w:kern w:val="2"/>
          <w:sz w:val="20"/>
        </w:rPr>
        <w:t>The</w:t>
      </w:r>
      <w:r w:rsidR="00031D6E" w:rsidRPr="005C2179">
        <w:rPr>
          <w:kern w:val="2"/>
          <w:sz w:val="20"/>
        </w:rPr>
        <w:t xml:space="preserve"> Chief Electoral Officer may also establish categories of personal expenses and fix maximum amounts that may b</w:t>
      </w:r>
      <w:r w:rsidRPr="005C2179">
        <w:rPr>
          <w:kern w:val="2"/>
          <w:sz w:val="20"/>
        </w:rPr>
        <w:t xml:space="preserve">e incurred by </w:t>
      </w:r>
      <w:r w:rsidR="00031D6E" w:rsidRPr="005C2179">
        <w:rPr>
          <w:kern w:val="2"/>
          <w:sz w:val="20"/>
        </w:rPr>
        <w:t>candidate</w:t>
      </w:r>
      <w:r w:rsidRPr="005C2179">
        <w:rPr>
          <w:kern w:val="2"/>
          <w:sz w:val="20"/>
        </w:rPr>
        <w:t>s</w:t>
      </w:r>
      <w:r w:rsidR="00031D6E" w:rsidRPr="005C2179">
        <w:rPr>
          <w:kern w:val="2"/>
          <w:sz w:val="20"/>
        </w:rPr>
        <w:t xml:space="preserve"> in each category.</w:t>
      </w:r>
      <w:r w:rsidR="00031D6E" w:rsidRPr="005C2179">
        <w:rPr>
          <w:rStyle w:val="FootnoteReference"/>
          <w:kern w:val="2"/>
          <w:sz w:val="20"/>
        </w:rPr>
        <w:footnoteReference w:id="588"/>
      </w:r>
      <w:r w:rsidR="00031D6E" w:rsidRPr="005C2179">
        <w:rPr>
          <w:kern w:val="2"/>
          <w:sz w:val="20"/>
        </w:rPr>
        <w:t xml:space="preserve"> However, at the time of writing, no personal expense limits appear to exist. </w:t>
      </w:r>
    </w:p>
    <w:p w14:paraId="235C9A07" w14:textId="4740F4B0" w:rsidR="00031D6E" w:rsidRPr="005C2179" w:rsidRDefault="00031D6E" w:rsidP="00EB71B2">
      <w:pPr>
        <w:pStyle w:val="ListParagraph"/>
        <w:numPr>
          <w:ilvl w:val="0"/>
          <w:numId w:val="36"/>
        </w:numPr>
        <w:rPr>
          <w:kern w:val="2"/>
          <w:sz w:val="20"/>
        </w:rPr>
      </w:pPr>
      <w:r w:rsidRPr="005C2179">
        <w:rPr>
          <w:kern w:val="2"/>
          <w:sz w:val="20"/>
        </w:rPr>
        <w:t xml:space="preserve">Electoral District Associations </w:t>
      </w:r>
    </w:p>
    <w:p w14:paraId="328DB338" w14:textId="77777777" w:rsidR="00031D6E" w:rsidRPr="005C2179" w:rsidRDefault="00292160" w:rsidP="00330F4B">
      <w:pPr>
        <w:rPr>
          <w:kern w:val="2"/>
          <w:sz w:val="20"/>
        </w:rPr>
      </w:pPr>
      <w:r w:rsidRPr="005C2179">
        <w:rPr>
          <w:kern w:val="2"/>
          <w:sz w:val="20"/>
        </w:rPr>
        <w:t>During the election period, electoral district associations of registered parties are prohibited from transmitting election advertising or incurring any expenses for election advertising.</w:t>
      </w:r>
      <w:r w:rsidRPr="005C2179">
        <w:rPr>
          <w:rStyle w:val="FootnoteReference"/>
          <w:kern w:val="2"/>
          <w:sz w:val="20"/>
        </w:rPr>
        <w:footnoteReference w:id="589"/>
      </w:r>
      <w:r w:rsidRPr="005C2179">
        <w:rPr>
          <w:kern w:val="2"/>
          <w:sz w:val="20"/>
        </w:rPr>
        <w:t xml:space="preserve"> </w:t>
      </w:r>
      <w:r w:rsidR="00D04ADC" w:rsidRPr="005C2179">
        <w:rPr>
          <w:kern w:val="2"/>
          <w:sz w:val="20"/>
        </w:rPr>
        <w:t xml:space="preserve">Electoral </w:t>
      </w:r>
      <w:r w:rsidR="00031D6E" w:rsidRPr="005C2179">
        <w:rPr>
          <w:kern w:val="2"/>
          <w:sz w:val="20"/>
        </w:rPr>
        <w:t>district associations are</w:t>
      </w:r>
      <w:r w:rsidR="00AF7319" w:rsidRPr="005C2179">
        <w:rPr>
          <w:kern w:val="2"/>
          <w:sz w:val="20"/>
        </w:rPr>
        <w:t xml:space="preserve"> therefore</w:t>
      </w:r>
      <w:r w:rsidR="00031D6E" w:rsidRPr="005C2179">
        <w:rPr>
          <w:kern w:val="2"/>
          <w:sz w:val="20"/>
        </w:rPr>
        <w:t xml:space="preserve"> not subject to spending limits</w:t>
      </w:r>
      <w:r w:rsidRPr="005C2179">
        <w:rPr>
          <w:kern w:val="2"/>
          <w:sz w:val="20"/>
        </w:rPr>
        <w:t>.</w:t>
      </w:r>
      <w:r w:rsidR="00031D6E" w:rsidRPr="005C2179">
        <w:rPr>
          <w:kern w:val="2"/>
          <w:sz w:val="20"/>
        </w:rPr>
        <w:t xml:space="preserve"> </w:t>
      </w:r>
    </w:p>
    <w:p w14:paraId="0121396C" w14:textId="44670FAF" w:rsidR="002D2510" w:rsidRPr="005C2179" w:rsidRDefault="0045603F" w:rsidP="00BF63B6">
      <w:pPr>
        <w:pStyle w:val="Heading4"/>
        <w:rPr>
          <w:kern w:val="2"/>
          <w:sz w:val="22"/>
        </w:rPr>
      </w:pPr>
      <w:r w:rsidRPr="005C2179">
        <w:rPr>
          <w:kern w:val="2"/>
          <w:sz w:val="22"/>
        </w:rPr>
        <w:t xml:space="preserve">Regulation of Contributions to Registered Parties, Candidates, etc. </w:t>
      </w:r>
    </w:p>
    <w:p w14:paraId="72A4A20C" w14:textId="77777777" w:rsidR="00AE66C3" w:rsidRPr="005C2179" w:rsidRDefault="00790271" w:rsidP="00330F4B">
      <w:pPr>
        <w:rPr>
          <w:kern w:val="2"/>
          <w:sz w:val="20"/>
        </w:rPr>
      </w:pPr>
      <w:r w:rsidRPr="005C2179">
        <w:rPr>
          <w:kern w:val="2"/>
          <w:sz w:val="20"/>
        </w:rPr>
        <w:t xml:space="preserve">The provisions discussed in this section apply to contributions to candidates, registered political parties, registered electoral district associations, nomination contestants, and leadership contestants. </w:t>
      </w:r>
    </w:p>
    <w:p w14:paraId="30E9A0F2" w14:textId="77777777" w:rsidR="002D2510" w:rsidRPr="005C2179" w:rsidRDefault="00BB43E3" w:rsidP="009F05FA">
      <w:pPr>
        <w:keepNext/>
        <w:rPr>
          <w:b/>
          <w:kern w:val="2"/>
          <w:sz w:val="20"/>
        </w:rPr>
      </w:pPr>
      <w:r w:rsidRPr="005C2179">
        <w:rPr>
          <w:b/>
          <w:kern w:val="2"/>
          <w:sz w:val="20"/>
        </w:rPr>
        <w:t xml:space="preserve">a) Definition of “contribution” </w:t>
      </w:r>
    </w:p>
    <w:p w14:paraId="0DD0293A" w14:textId="33B6A9C8" w:rsidR="00E52462" w:rsidRPr="005C2179" w:rsidRDefault="00BB43E3" w:rsidP="00330F4B">
      <w:pPr>
        <w:rPr>
          <w:kern w:val="2"/>
          <w:sz w:val="20"/>
        </w:rPr>
      </w:pPr>
      <w:r w:rsidRPr="005C2179">
        <w:rPr>
          <w:kern w:val="2"/>
          <w:sz w:val="20"/>
        </w:rPr>
        <w:t xml:space="preserve">Under the </w:t>
      </w:r>
      <w:r w:rsidRPr="005C2179">
        <w:rPr>
          <w:i/>
          <w:kern w:val="2"/>
          <w:sz w:val="20"/>
        </w:rPr>
        <w:t>CEA</w:t>
      </w:r>
      <w:r w:rsidRPr="005C2179">
        <w:rPr>
          <w:kern w:val="2"/>
          <w:sz w:val="20"/>
        </w:rPr>
        <w:t xml:space="preserve">, a “contribution” can be monetary or non-monetary and </w:t>
      </w:r>
      <w:r w:rsidR="00850F41" w:rsidRPr="005C2179">
        <w:rPr>
          <w:kern w:val="2"/>
          <w:sz w:val="20"/>
        </w:rPr>
        <w:t xml:space="preserve">includes </w:t>
      </w:r>
      <w:r w:rsidRPr="005C2179">
        <w:rPr>
          <w:kern w:val="2"/>
          <w:sz w:val="20"/>
        </w:rPr>
        <w:t>money from a candidate’s own funds.</w:t>
      </w:r>
      <w:r w:rsidR="00E26450" w:rsidRPr="005C2179">
        <w:rPr>
          <w:rStyle w:val="FootnoteReference"/>
          <w:kern w:val="2"/>
          <w:sz w:val="20"/>
        </w:rPr>
        <w:footnoteReference w:id="590"/>
      </w:r>
      <w:r w:rsidRPr="005C2179">
        <w:rPr>
          <w:kern w:val="2"/>
          <w:sz w:val="20"/>
        </w:rPr>
        <w:t xml:space="preserve"> </w:t>
      </w:r>
      <w:r w:rsidR="00066D6B" w:rsidRPr="005C2179">
        <w:rPr>
          <w:kern w:val="2"/>
          <w:sz w:val="20"/>
        </w:rPr>
        <w:t xml:space="preserve">Loans </w:t>
      </w:r>
      <w:r w:rsidR="00664770" w:rsidRPr="005C2179">
        <w:rPr>
          <w:kern w:val="2"/>
          <w:sz w:val="20"/>
        </w:rPr>
        <w:t>are also sub</w:t>
      </w:r>
      <w:r w:rsidR="00924E51" w:rsidRPr="005C2179">
        <w:rPr>
          <w:kern w:val="2"/>
          <w:sz w:val="20"/>
        </w:rPr>
        <w:t>ject to source restrictions and count towards</w:t>
      </w:r>
      <w:r w:rsidR="00066D6B" w:rsidRPr="005C2179">
        <w:rPr>
          <w:kern w:val="2"/>
          <w:sz w:val="20"/>
        </w:rPr>
        <w:t xml:space="preserve"> contribution limit</w:t>
      </w:r>
      <w:r w:rsidR="00963EE8" w:rsidRPr="005C2179">
        <w:rPr>
          <w:kern w:val="2"/>
          <w:sz w:val="20"/>
        </w:rPr>
        <w:t>s. T</w:t>
      </w:r>
      <w:r w:rsidR="00924E51" w:rsidRPr="005C2179">
        <w:rPr>
          <w:kern w:val="2"/>
          <w:sz w:val="20"/>
        </w:rPr>
        <w:t>he outstanding amount of a loan</w:t>
      </w:r>
      <w:r w:rsidR="00066D6B" w:rsidRPr="005C2179">
        <w:rPr>
          <w:kern w:val="2"/>
          <w:sz w:val="20"/>
        </w:rPr>
        <w:t xml:space="preserve"> </w:t>
      </w:r>
      <w:r w:rsidR="00924E51" w:rsidRPr="005C2179">
        <w:rPr>
          <w:kern w:val="2"/>
          <w:sz w:val="20"/>
        </w:rPr>
        <w:t>cannot exceed an</w:t>
      </w:r>
      <w:r w:rsidR="00066D6B" w:rsidRPr="005C2179">
        <w:rPr>
          <w:kern w:val="2"/>
          <w:sz w:val="20"/>
        </w:rPr>
        <w:t xml:space="preserve"> individual’s contribution </w:t>
      </w:r>
      <w:r w:rsidR="00924E51" w:rsidRPr="005C2179">
        <w:rPr>
          <w:kern w:val="2"/>
          <w:sz w:val="20"/>
        </w:rPr>
        <w:t>limit when combined with any</w:t>
      </w:r>
      <w:r w:rsidR="00963EE8" w:rsidRPr="005C2179">
        <w:rPr>
          <w:kern w:val="2"/>
          <w:sz w:val="20"/>
        </w:rPr>
        <w:t xml:space="preserve"> other</w:t>
      </w:r>
      <w:r w:rsidR="00924E51" w:rsidRPr="005C2179">
        <w:rPr>
          <w:kern w:val="2"/>
          <w:sz w:val="20"/>
        </w:rPr>
        <w:t xml:space="preserve"> contributions made by that individual</w:t>
      </w:r>
      <w:r w:rsidR="00066D6B" w:rsidRPr="005C2179">
        <w:rPr>
          <w:kern w:val="2"/>
          <w:sz w:val="20"/>
        </w:rPr>
        <w:t>.</w:t>
      </w:r>
      <w:r w:rsidR="00066D6B" w:rsidRPr="005C2179">
        <w:rPr>
          <w:rStyle w:val="FootnoteReference"/>
          <w:kern w:val="2"/>
          <w:sz w:val="20"/>
        </w:rPr>
        <w:footnoteReference w:id="591"/>
      </w:r>
      <w:r w:rsidR="00066D6B" w:rsidRPr="005C2179">
        <w:rPr>
          <w:kern w:val="2"/>
          <w:sz w:val="20"/>
        </w:rPr>
        <w:t xml:space="preserve"> </w:t>
      </w:r>
      <w:r w:rsidR="00E52462" w:rsidRPr="005C2179">
        <w:rPr>
          <w:kern w:val="2"/>
          <w:sz w:val="20"/>
        </w:rPr>
        <w:t xml:space="preserve">Transfers </w:t>
      </w:r>
      <w:r w:rsidR="00EC64ED" w:rsidRPr="005C2179">
        <w:rPr>
          <w:kern w:val="2"/>
          <w:sz w:val="20"/>
        </w:rPr>
        <w:t xml:space="preserve">and loans </w:t>
      </w:r>
      <w:r w:rsidR="00E52462" w:rsidRPr="005C2179">
        <w:rPr>
          <w:kern w:val="2"/>
          <w:sz w:val="20"/>
        </w:rPr>
        <w:t>between the party, its electoral district associations, and its candidates are not included under the definition of “contribution”.</w:t>
      </w:r>
      <w:r w:rsidR="00863986" w:rsidRPr="005C2179">
        <w:rPr>
          <w:rStyle w:val="FootnoteReference"/>
          <w:kern w:val="2"/>
          <w:sz w:val="20"/>
        </w:rPr>
        <w:footnoteReference w:id="592"/>
      </w:r>
      <w:r w:rsidR="00E52462" w:rsidRPr="005C2179">
        <w:rPr>
          <w:kern w:val="2"/>
          <w:sz w:val="20"/>
        </w:rPr>
        <w:t xml:space="preserve"> </w:t>
      </w:r>
      <w:r w:rsidR="004D2D66" w:rsidRPr="005C2179">
        <w:rPr>
          <w:kern w:val="2"/>
          <w:sz w:val="20"/>
        </w:rPr>
        <w:t>Thus, t</w:t>
      </w:r>
      <w:r w:rsidR="00E52462" w:rsidRPr="005C2179">
        <w:rPr>
          <w:kern w:val="2"/>
          <w:sz w:val="20"/>
        </w:rPr>
        <w:t xml:space="preserve">he </w:t>
      </w:r>
      <w:r w:rsidR="00E52462" w:rsidRPr="005C2179">
        <w:rPr>
          <w:i/>
          <w:kern w:val="2"/>
          <w:sz w:val="20"/>
        </w:rPr>
        <w:t>CEA</w:t>
      </w:r>
      <w:r w:rsidR="00E52462" w:rsidRPr="005C2179">
        <w:rPr>
          <w:kern w:val="2"/>
          <w:sz w:val="20"/>
        </w:rPr>
        <w:t xml:space="preserve"> targets “money being transferred from the private to the political domain”, not transfers within the political domain.</w:t>
      </w:r>
      <w:r w:rsidR="00E52462" w:rsidRPr="005C2179">
        <w:rPr>
          <w:rStyle w:val="FootnoteReference"/>
          <w:kern w:val="2"/>
          <w:sz w:val="20"/>
        </w:rPr>
        <w:footnoteReference w:id="593"/>
      </w:r>
      <w:r w:rsidR="00066D6B" w:rsidRPr="005C2179">
        <w:rPr>
          <w:kern w:val="2"/>
          <w:sz w:val="20"/>
        </w:rPr>
        <w:t xml:space="preserve"> </w:t>
      </w:r>
      <w:r w:rsidR="0035673D" w:rsidRPr="005C2179">
        <w:rPr>
          <w:kern w:val="2"/>
          <w:sz w:val="20"/>
        </w:rPr>
        <w:t xml:space="preserve">Other exclusions </w:t>
      </w:r>
      <w:r w:rsidR="00963EE8" w:rsidRPr="005C2179">
        <w:rPr>
          <w:kern w:val="2"/>
          <w:sz w:val="20"/>
        </w:rPr>
        <w:t xml:space="preserve">from the definition of “contribution” </w:t>
      </w:r>
      <w:r w:rsidR="0035673D" w:rsidRPr="005C2179">
        <w:rPr>
          <w:kern w:val="2"/>
          <w:sz w:val="20"/>
        </w:rPr>
        <w:t>include annual party membership fees of $25 or less.</w:t>
      </w:r>
      <w:r w:rsidR="0035673D" w:rsidRPr="005C2179">
        <w:rPr>
          <w:rStyle w:val="FootnoteReference"/>
          <w:kern w:val="2"/>
          <w:sz w:val="20"/>
        </w:rPr>
        <w:footnoteReference w:id="594"/>
      </w:r>
      <w:r w:rsidR="0035673D" w:rsidRPr="005C2179">
        <w:rPr>
          <w:kern w:val="2"/>
          <w:sz w:val="20"/>
        </w:rPr>
        <w:t xml:space="preserve"> </w:t>
      </w:r>
      <w:r w:rsidR="00AC5557" w:rsidRPr="005C2179">
        <w:rPr>
          <w:kern w:val="2"/>
          <w:sz w:val="20"/>
        </w:rPr>
        <w:t xml:space="preserve">However, the </w:t>
      </w:r>
      <w:r w:rsidR="00AC5557" w:rsidRPr="005C2179">
        <w:rPr>
          <w:i/>
          <w:kern w:val="2"/>
          <w:sz w:val="20"/>
        </w:rPr>
        <w:t xml:space="preserve">CEA </w:t>
      </w:r>
      <w:r w:rsidR="00AC5557" w:rsidRPr="005C2179">
        <w:rPr>
          <w:kern w:val="2"/>
          <w:sz w:val="20"/>
        </w:rPr>
        <w:t>exp</w:t>
      </w:r>
      <w:r w:rsidR="003A6534" w:rsidRPr="005C2179">
        <w:rPr>
          <w:kern w:val="2"/>
          <w:sz w:val="20"/>
        </w:rPr>
        <w:t>ressly</w:t>
      </w:r>
      <w:r w:rsidR="00AC5557" w:rsidRPr="005C2179">
        <w:rPr>
          <w:kern w:val="2"/>
          <w:sz w:val="20"/>
        </w:rPr>
        <w:t xml:space="preserve"> includes fees for party and leadership conventions within the definition of “contribution</w:t>
      </w:r>
      <w:r w:rsidR="00BD5881" w:rsidRPr="005C2179">
        <w:rPr>
          <w:kern w:val="2"/>
          <w:sz w:val="20"/>
        </w:rPr>
        <w:t>.</w:t>
      </w:r>
      <w:r w:rsidR="00AC5557" w:rsidRPr="005C2179">
        <w:rPr>
          <w:kern w:val="2"/>
          <w:sz w:val="20"/>
        </w:rPr>
        <w:t>”</w:t>
      </w:r>
      <w:r w:rsidR="00AC5557" w:rsidRPr="005C2179">
        <w:rPr>
          <w:rStyle w:val="FootnoteReference"/>
          <w:kern w:val="2"/>
          <w:sz w:val="20"/>
        </w:rPr>
        <w:footnoteReference w:id="595"/>
      </w:r>
      <w:r w:rsidR="00932A9E" w:rsidRPr="005C2179">
        <w:rPr>
          <w:kern w:val="2"/>
          <w:sz w:val="20"/>
        </w:rPr>
        <w:t xml:space="preserve"> The </w:t>
      </w:r>
      <w:r w:rsidR="00932A9E" w:rsidRPr="005C2179">
        <w:rPr>
          <w:i/>
          <w:kern w:val="2"/>
          <w:sz w:val="20"/>
        </w:rPr>
        <w:t xml:space="preserve">CEA </w:t>
      </w:r>
      <w:r w:rsidR="00932A9E" w:rsidRPr="005C2179">
        <w:rPr>
          <w:kern w:val="2"/>
          <w:sz w:val="20"/>
        </w:rPr>
        <w:t>also clarifies that, if a candidate or party sells tickets to a campaign fundraising event, the amount of the contribution will be the difference between the price of the ticket and its fair market value.</w:t>
      </w:r>
      <w:r w:rsidR="00801D6D" w:rsidRPr="005C2179">
        <w:rPr>
          <w:rStyle w:val="FootnoteReference"/>
          <w:kern w:val="2"/>
          <w:sz w:val="20"/>
        </w:rPr>
        <w:footnoteReference w:id="596"/>
      </w:r>
      <w:r w:rsidR="00932A9E" w:rsidRPr="005C2179">
        <w:rPr>
          <w:kern w:val="2"/>
          <w:sz w:val="20"/>
        </w:rPr>
        <w:t xml:space="preserve"> </w:t>
      </w:r>
    </w:p>
    <w:p w14:paraId="05CA4A39" w14:textId="77777777" w:rsidR="00D5176E" w:rsidRPr="005C2179" w:rsidRDefault="00D5176E" w:rsidP="00EB71B2">
      <w:pPr>
        <w:rPr>
          <w:b/>
          <w:kern w:val="2"/>
          <w:sz w:val="20"/>
        </w:rPr>
      </w:pPr>
      <w:r w:rsidRPr="005C2179">
        <w:rPr>
          <w:b/>
          <w:kern w:val="2"/>
          <w:sz w:val="20"/>
        </w:rPr>
        <w:t>b) Source Restrictions</w:t>
      </w:r>
    </w:p>
    <w:p w14:paraId="3C8E305E" w14:textId="77777777" w:rsidR="007778E1" w:rsidRPr="005C2179" w:rsidRDefault="00775A4E" w:rsidP="00330F4B">
      <w:pPr>
        <w:rPr>
          <w:kern w:val="2"/>
          <w:sz w:val="20"/>
        </w:rPr>
      </w:pPr>
      <w:r w:rsidRPr="005C2179">
        <w:rPr>
          <w:kern w:val="2"/>
          <w:sz w:val="20"/>
        </w:rPr>
        <w:t>Contributions must come from individuals who are Canadian citizens or permanent residents.</w:t>
      </w:r>
      <w:r w:rsidR="00F6785F" w:rsidRPr="005C2179">
        <w:rPr>
          <w:rStyle w:val="FootnoteReference"/>
          <w:kern w:val="2"/>
          <w:sz w:val="20"/>
        </w:rPr>
        <w:footnoteReference w:id="597"/>
      </w:r>
      <w:r w:rsidRPr="005C2179">
        <w:rPr>
          <w:kern w:val="2"/>
          <w:sz w:val="20"/>
        </w:rPr>
        <w:t xml:space="preserve"> </w:t>
      </w:r>
      <w:r w:rsidR="002825B4" w:rsidRPr="005C2179">
        <w:rPr>
          <w:kern w:val="2"/>
          <w:sz w:val="20"/>
        </w:rPr>
        <w:t>Similarly, loans are permitted only from certain financial institutions or from individuals who are Canadian citizens or permanent residents.</w:t>
      </w:r>
      <w:r w:rsidR="002825B4" w:rsidRPr="005C2179">
        <w:rPr>
          <w:rStyle w:val="FootnoteReference"/>
          <w:kern w:val="2"/>
          <w:sz w:val="20"/>
        </w:rPr>
        <w:footnoteReference w:id="598"/>
      </w:r>
      <w:r w:rsidR="002825B4" w:rsidRPr="005C2179">
        <w:rPr>
          <w:kern w:val="2"/>
          <w:sz w:val="20"/>
        </w:rPr>
        <w:t xml:space="preserve"> </w:t>
      </w:r>
      <w:r w:rsidRPr="005C2179">
        <w:rPr>
          <w:kern w:val="2"/>
          <w:sz w:val="20"/>
        </w:rPr>
        <w:t>This means corporations</w:t>
      </w:r>
      <w:r w:rsidR="00145E42" w:rsidRPr="005C2179">
        <w:rPr>
          <w:kern w:val="2"/>
          <w:sz w:val="20"/>
        </w:rPr>
        <w:t>, unions,</w:t>
      </w:r>
      <w:r w:rsidRPr="005C2179">
        <w:rPr>
          <w:kern w:val="2"/>
          <w:sz w:val="20"/>
        </w:rPr>
        <w:t xml:space="preserve"> and other non-</w:t>
      </w:r>
      <w:r w:rsidR="005D1249" w:rsidRPr="005C2179">
        <w:rPr>
          <w:kern w:val="2"/>
          <w:sz w:val="20"/>
        </w:rPr>
        <w:t xml:space="preserve">natural legal persons </w:t>
      </w:r>
      <w:r w:rsidRPr="005C2179">
        <w:rPr>
          <w:kern w:val="2"/>
          <w:sz w:val="20"/>
        </w:rPr>
        <w:t xml:space="preserve">cannot donate </w:t>
      </w:r>
      <w:r w:rsidR="002825B4" w:rsidRPr="005C2179">
        <w:rPr>
          <w:kern w:val="2"/>
          <w:sz w:val="20"/>
        </w:rPr>
        <w:t xml:space="preserve">or make loans </w:t>
      </w:r>
      <w:r w:rsidRPr="005C2179">
        <w:rPr>
          <w:kern w:val="2"/>
          <w:sz w:val="20"/>
        </w:rPr>
        <w:t xml:space="preserve">to a political party or candidate. However, </w:t>
      </w:r>
      <w:r w:rsidR="002825B4" w:rsidRPr="005C2179">
        <w:rPr>
          <w:kern w:val="2"/>
          <w:sz w:val="20"/>
        </w:rPr>
        <w:t>these entities</w:t>
      </w:r>
      <w:r w:rsidRPr="005C2179">
        <w:rPr>
          <w:kern w:val="2"/>
          <w:sz w:val="20"/>
        </w:rPr>
        <w:t xml:space="preserve"> can make contributions to third-party campaigners</w:t>
      </w:r>
      <w:r w:rsidR="00145E42" w:rsidRPr="005C2179">
        <w:rPr>
          <w:kern w:val="2"/>
          <w:sz w:val="20"/>
        </w:rPr>
        <w:t xml:space="preserve"> for the purpose of election advertising</w:t>
      </w:r>
      <w:r w:rsidRPr="005C2179">
        <w:rPr>
          <w:kern w:val="2"/>
          <w:sz w:val="20"/>
        </w:rPr>
        <w:t>, as discussed further below</w:t>
      </w:r>
      <w:r w:rsidR="002825B4" w:rsidRPr="005C2179">
        <w:rPr>
          <w:kern w:val="2"/>
          <w:sz w:val="20"/>
        </w:rPr>
        <w:t>, or engage in third-party campaigning themselves</w:t>
      </w:r>
      <w:r w:rsidRPr="005C2179">
        <w:rPr>
          <w:kern w:val="2"/>
          <w:sz w:val="20"/>
        </w:rPr>
        <w:t xml:space="preserve">. </w:t>
      </w:r>
    </w:p>
    <w:p w14:paraId="35E260D0" w14:textId="77777777" w:rsidR="00D5176E" w:rsidRPr="005C2179" w:rsidRDefault="00A62D04" w:rsidP="00330F4B">
      <w:pPr>
        <w:rPr>
          <w:kern w:val="2"/>
          <w:sz w:val="20"/>
        </w:rPr>
      </w:pPr>
      <w:r w:rsidRPr="005C2179">
        <w:rPr>
          <w:kern w:val="2"/>
          <w:sz w:val="20"/>
        </w:rPr>
        <w:t>Attem</w:t>
      </w:r>
      <w:r w:rsidR="002825B4" w:rsidRPr="005C2179">
        <w:rPr>
          <w:kern w:val="2"/>
          <w:sz w:val="20"/>
        </w:rPr>
        <w:t>pts to conceal the identity of the</w:t>
      </w:r>
      <w:r w:rsidRPr="005C2179">
        <w:rPr>
          <w:kern w:val="2"/>
          <w:sz w:val="20"/>
        </w:rPr>
        <w:t xml:space="preserve"> source</w:t>
      </w:r>
      <w:r w:rsidR="002825B4" w:rsidRPr="005C2179">
        <w:rPr>
          <w:kern w:val="2"/>
          <w:sz w:val="20"/>
        </w:rPr>
        <w:t xml:space="preserve"> of a contribution</w:t>
      </w:r>
      <w:r w:rsidRPr="005C2179">
        <w:rPr>
          <w:kern w:val="2"/>
          <w:sz w:val="20"/>
        </w:rPr>
        <w:t xml:space="preserve"> are prohibited by section 368 of the </w:t>
      </w:r>
      <w:r w:rsidRPr="005C2179">
        <w:rPr>
          <w:i/>
          <w:kern w:val="2"/>
          <w:sz w:val="20"/>
        </w:rPr>
        <w:t xml:space="preserve">CEA. </w:t>
      </w:r>
      <w:r w:rsidRPr="005C2179">
        <w:rPr>
          <w:kern w:val="2"/>
          <w:sz w:val="20"/>
        </w:rPr>
        <w:t xml:space="preserve">Indirect contributions </w:t>
      </w:r>
      <w:r w:rsidR="00EC64ED" w:rsidRPr="005C2179">
        <w:rPr>
          <w:kern w:val="2"/>
          <w:sz w:val="20"/>
        </w:rPr>
        <w:t xml:space="preserve">and loans </w:t>
      </w:r>
      <w:r w:rsidRPr="005C2179">
        <w:rPr>
          <w:kern w:val="2"/>
          <w:sz w:val="20"/>
        </w:rPr>
        <w:t>are also prohibited</w:t>
      </w:r>
      <w:r w:rsidR="00610B8C" w:rsidRPr="005C2179">
        <w:rPr>
          <w:kern w:val="2"/>
          <w:sz w:val="20"/>
        </w:rPr>
        <w:t>, as source restrictions and contribution limits could</w:t>
      </w:r>
      <w:r w:rsidR="00912584" w:rsidRPr="005C2179">
        <w:rPr>
          <w:kern w:val="2"/>
          <w:sz w:val="20"/>
        </w:rPr>
        <w:t xml:space="preserve"> otherwise</w:t>
      </w:r>
      <w:r w:rsidR="00610B8C" w:rsidRPr="005C2179">
        <w:rPr>
          <w:kern w:val="2"/>
          <w:sz w:val="20"/>
        </w:rPr>
        <w:t xml:space="preserve"> be circumvented</w:t>
      </w:r>
      <w:r w:rsidRPr="005C2179">
        <w:rPr>
          <w:kern w:val="2"/>
          <w:sz w:val="20"/>
        </w:rPr>
        <w:t>.</w:t>
      </w:r>
      <w:r w:rsidR="00EC64ED" w:rsidRPr="005C2179">
        <w:rPr>
          <w:rStyle w:val="FootnoteReference"/>
          <w:kern w:val="2"/>
          <w:sz w:val="20"/>
        </w:rPr>
        <w:footnoteReference w:id="599"/>
      </w:r>
      <w:r w:rsidR="008B31FC" w:rsidRPr="005C2179">
        <w:rPr>
          <w:kern w:val="2"/>
          <w:sz w:val="20"/>
        </w:rPr>
        <w:t xml:space="preserve"> This means </w:t>
      </w:r>
      <w:r w:rsidRPr="005C2179">
        <w:rPr>
          <w:kern w:val="2"/>
          <w:sz w:val="20"/>
        </w:rPr>
        <w:t>an individual cannot make a contribution using money from another person or entity that was provided for the purpose of making a contribution.</w:t>
      </w:r>
      <w:r w:rsidR="008B31FC" w:rsidRPr="005C2179">
        <w:rPr>
          <w:rStyle w:val="FootnoteReference"/>
          <w:kern w:val="2"/>
          <w:sz w:val="20"/>
        </w:rPr>
        <w:footnoteReference w:id="600"/>
      </w:r>
      <w:r w:rsidRPr="005C2179">
        <w:rPr>
          <w:kern w:val="2"/>
          <w:sz w:val="20"/>
        </w:rPr>
        <w:t xml:space="preserve"> </w:t>
      </w:r>
    </w:p>
    <w:p w14:paraId="48A8DD29" w14:textId="77777777" w:rsidR="00D5176E" w:rsidRPr="005C2179" w:rsidRDefault="00D5176E" w:rsidP="00EB71B2">
      <w:pPr>
        <w:rPr>
          <w:b/>
          <w:kern w:val="2"/>
          <w:sz w:val="20"/>
        </w:rPr>
      </w:pPr>
      <w:r w:rsidRPr="005C2179">
        <w:rPr>
          <w:b/>
          <w:kern w:val="2"/>
          <w:sz w:val="20"/>
        </w:rPr>
        <w:t xml:space="preserve">c) Contribution </w:t>
      </w:r>
      <w:r w:rsidR="00A62D04" w:rsidRPr="005C2179">
        <w:rPr>
          <w:b/>
          <w:kern w:val="2"/>
          <w:sz w:val="20"/>
        </w:rPr>
        <w:t>L</w:t>
      </w:r>
      <w:r w:rsidRPr="005C2179">
        <w:rPr>
          <w:b/>
          <w:kern w:val="2"/>
          <w:sz w:val="20"/>
        </w:rPr>
        <w:t>imits</w:t>
      </w:r>
    </w:p>
    <w:p w14:paraId="11394052" w14:textId="77777777" w:rsidR="00A62D04" w:rsidRPr="005C2179" w:rsidRDefault="0040296B" w:rsidP="00330F4B">
      <w:pPr>
        <w:rPr>
          <w:kern w:val="2"/>
          <w:sz w:val="20"/>
        </w:rPr>
      </w:pPr>
      <w:r w:rsidRPr="005C2179">
        <w:rPr>
          <w:kern w:val="2"/>
          <w:sz w:val="20"/>
        </w:rPr>
        <w:t>Individuals may</w:t>
      </w:r>
      <w:r w:rsidR="00A71EDC" w:rsidRPr="005C2179">
        <w:rPr>
          <w:kern w:val="2"/>
          <w:sz w:val="20"/>
        </w:rPr>
        <w:t xml:space="preserve"> contribute no</w:t>
      </w:r>
      <w:r w:rsidR="00145E42" w:rsidRPr="005C2179">
        <w:rPr>
          <w:kern w:val="2"/>
          <w:sz w:val="20"/>
        </w:rPr>
        <w:t xml:space="preserve"> more than $1</w:t>
      </w:r>
      <w:r w:rsidR="002D0894" w:rsidRPr="005C2179">
        <w:rPr>
          <w:kern w:val="2"/>
          <w:sz w:val="20"/>
        </w:rPr>
        <w:t>,</w:t>
      </w:r>
      <w:r w:rsidR="00145E42" w:rsidRPr="005C2179">
        <w:rPr>
          <w:kern w:val="2"/>
          <w:sz w:val="20"/>
        </w:rPr>
        <w:t>550 per calendar year t</w:t>
      </w:r>
      <w:r w:rsidR="001A45E0" w:rsidRPr="005C2179">
        <w:rPr>
          <w:kern w:val="2"/>
          <w:sz w:val="20"/>
        </w:rPr>
        <w:t>o a particular registered party</w:t>
      </w:r>
      <w:r w:rsidR="00A71EDC" w:rsidRPr="005C2179">
        <w:rPr>
          <w:kern w:val="2"/>
          <w:sz w:val="20"/>
        </w:rPr>
        <w:t xml:space="preserve"> and no more </w:t>
      </w:r>
      <w:r w:rsidR="001A45E0" w:rsidRPr="005C2179">
        <w:rPr>
          <w:kern w:val="2"/>
          <w:sz w:val="20"/>
        </w:rPr>
        <w:t>than $1</w:t>
      </w:r>
      <w:r w:rsidR="002D0894" w:rsidRPr="005C2179">
        <w:rPr>
          <w:kern w:val="2"/>
          <w:sz w:val="20"/>
        </w:rPr>
        <w:t>,</w:t>
      </w:r>
      <w:r w:rsidR="001A45E0" w:rsidRPr="005C2179">
        <w:rPr>
          <w:kern w:val="2"/>
          <w:sz w:val="20"/>
        </w:rPr>
        <w:t xml:space="preserve">550 per calendar year to the registered </w:t>
      </w:r>
      <w:r w:rsidR="00145E42" w:rsidRPr="005C2179">
        <w:rPr>
          <w:kern w:val="2"/>
          <w:sz w:val="20"/>
        </w:rPr>
        <w:t>association</w:t>
      </w:r>
      <w:r w:rsidR="001A45E0" w:rsidRPr="005C2179">
        <w:rPr>
          <w:kern w:val="2"/>
          <w:sz w:val="20"/>
        </w:rPr>
        <w:t>s</w:t>
      </w:r>
      <w:r w:rsidR="00145E42" w:rsidRPr="005C2179">
        <w:rPr>
          <w:kern w:val="2"/>
          <w:sz w:val="20"/>
        </w:rPr>
        <w:t>, candidate</w:t>
      </w:r>
      <w:r w:rsidR="001A45E0" w:rsidRPr="005C2179">
        <w:rPr>
          <w:kern w:val="2"/>
          <w:sz w:val="20"/>
        </w:rPr>
        <w:t>s</w:t>
      </w:r>
      <w:r w:rsidR="00145E42" w:rsidRPr="005C2179">
        <w:rPr>
          <w:kern w:val="2"/>
          <w:sz w:val="20"/>
        </w:rPr>
        <w:t xml:space="preserve">, </w:t>
      </w:r>
      <w:r w:rsidR="001A45E0" w:rsidRPr="005C2179">
        <w:rPr>
          <w:kern w:val="2"/>
          <w:sz w:val="20"/>
        </w:rPr>
        <w:t>and nomination</w:t>
      </w:r>
      <w:r w:rsidR="00145E42" w:rsidRPr="005C2179">
        <w:rPr>
          <w:kern w:val="2"/>
          <w:sz w:val="20"/>
        </w:rPr>
        <w:t xml:space="preserve"> contestant</w:t>
      </w:r>
      <w:r w:rsidR="001A45E0" w:rsidRPr="005C2179">
        <w:rPr>
          <w:kern w:val="2"/>
          <w:sz w:val="20"/>
        </w:rPr>
        <w:t>s of a registered party</w:t>
      </w:r>
      <w:r w:rsidR="00145E42" w:rsidRPr="005C2179">
        <w:rPr>
          <w:kern w:val="2"/>
          <w:sz w:val="20"/>
        </w:rPr>
        <w:t>.</w:t>
      </w:r>
      <w:r w:rsidR="00145E42" w:rsidRPr="005C2179">
        <w:rPr>
          <w:rStyle w:val="FootnoteReference"/>
          <w:kern w:val="2"/>
          <w:sz w:val="20"/>
        </w:rPr>
        <w:footnoteReference w:id="601"/>
      </w:r>
      <w:r w:rsidR="00E57059" w:rsidRPr="005C2179">
        <w:rPr>
          <w:kern w:val="2"/>
          <w:sz w:val="20"/>
        </w:rPr>
        <w:t xml:space="preserve"> The same limit applies to</w:t>
      </w:r>
      <w:r w:rsidR="001955C4" w:rsidRPr="005C2179">
        <w:rPr>
          <w:kern w:val="2"/>
          <w:sz w:val="20"/>
        </w:rPr>
        <w:t xml:space="preserve"> contributions to leadership contestants.</w:t>
      </w:r>
      <w:r w:rsidR="001955C4" w:rsidRPr="005C2179">
        <w:rPr>
          <w:rStyle w:val="FootnoteReference"/>
          <w:kern w:val="2"/>
          <w:sz w:val="20"/>
        </w:rPr>
        <w:footnoteReference w:id="602"/>
      </w:r>
      <w:r w:rsidRPr="005C2179">
        <w:rPr>
          <w:kern w:val="2"/>
          <w:sz w:val="20"/>
        </w:rPr>
        <w:t xml:space="preserve"> As mentioned above,</w:t>
      </w:r>
      <w:r w:rsidR="001955C4" w:rsidRPr="005C2179">
        <w:rPr>
          <w:kern w:val="2"/>
          <w:sz w:val="20"/>
        </w:rPr>
        <w:t xml:space="preserve"> the outstanding amount of any loans made by an individual will count toward their contribution limit.</w:t>
      </w:r>
      <w:r w:rsidR="004D2D66" w:rsidRPr="005C2179">
        <w:rPr>
          <w:rStyle w:val="FootnoteReference"/>
          <w:kern w:val="2"/>
          <w:sz w:val="20"/>
        </w:rPr>
        <w:footnoteReference w:id="603"/>
      </w:r>
      <w:r w:rsidR="001955C4" w:rsidRPr="005C2179">
        <w:rPr>
          <w:kern w:val="2"/>
          <w:sz w:val="20"/>
        </w:rPr>
        <w:t xml:space="preserve"> </w:t>
      </w:r>
      <w:r w:rsidRPr="005C2179">
        <w:rPr>
          <w:kern w:val="2"/>
          <w:sz w:val="20"/>
        </w:rPr>
        <w:t xml:space="preserve">Candidates are also prohibited from contributing more than </w:t>
      </w:r>
      <w:r w:rsidR="00E90CF9" w:rsidRPr="005C2179">
        <w:rPr>
          <w:kern w:val="2"/>
          <w:sz w:val="20"/>
        </w:rPr>
        <w:t>$5</w:t>
      </w:r>
      <w:r w:rsidR="002D0894" w:rsidRPr="005C2179">
        <w:rPr>
          <w:kern w:val="2"/>
          <w:sz w:val="20"/>
        </w:rPr>
        <w:t>,</w:t>
      </w:r>
      <w:r w:rsidR="00E90CF9" w:rsidRPr="005C2179">
        <w:rPr>
          <w:kern w:val="2"/>
          <w:sz w:val="20"/>
        </w:rPr>
        <w:t>000 to their own campaign, while leadershi</w:t>
      </w:r>
      <w:r w:rsidRPr="005C2179">
        <w:rPr>
          <w:kern w:val="2"/>
          <w:sz w:val="20"/>
        </w:rPr>
        <w:t>p contestants may contribute no more than</w:t>
      </w:r>
      <w:r w:rsidR="00E90CF9" w:rsidRPr="005C2179">
        <w:rPr>
          <w:kern w:val="2"/>
          <w:sz w:val="20"/>
        </w:rPr>
        <w:t xml:space="preserve"> $25,000 to their own campaign.</w:t>
      </w:r>
      <w:r w:rsidR="00E90CF9" w:rsidRPr="005C2179">
        <w:rPr>
          <w:rStyle w:val="FootnoteReference"/>
          <w:kern w:val="2"/>
          <w:sz w:val="20"/>
        </w:rPr>
        <w:footnoteReference w:id="604"/>
      </w:r>
      <w:r w:rsidR="00FE025A" w:rsidRPr="005C2179">
        <w:rPr>
          <w:kern w:val="2"/>
          <w:sz w:val="20"/>
        </w:rPr>
        <w:t xml:space="preserve"> Section 368</w:t>
      </w:r>
      <w:r w:rsidR="00B63CA0" w:rsidRPr="005C2179">
        <w:rPr>
          <w:kern w:val="2"/>
          <w:sz w:val="20"/>
        </w:rPr>
        <w:t>(1)</w:t>
      </w:r>
      <w:r w:rsidR="00FE025A" w:rsidRPr="005C2179">
        <w:rPr>
          <w:kern w:val="2"/>
          <w:sz w:val="20"/>
        </w:rPr>
        <w:t xml:space="preserve"> of the </w:t>
      </w:r>
      <w:r w:rsidR="00FE025A" w:rsidRPr="005C2179">
        <w:rPr>
          <w:i/>
          <w:kern w:val="2"/>
          <w:sz w:val="20"/>
        </w:rPr>
        <w:t xml:space="preserve">CEA </w:t>
      </w:r>
      <w:r w:rsidR="00FE025A" w:rsidRPr="005C2179">
        <w:rPr>
          <w:kern w:val="2"/>
          <w:sz w:val="20"/>
        </w:rPr>
        <w:t>prohibits attempts to circumvent contribution limits.</w:t>
      </w:r>
    </w:p>
    <w:p w14:paraId="5C6535C5" w14:textId="456B1DE3" w:rsidR="00D5176E" w:rsidRPr="005C2179" w:rsidRDefault="00D5176E" w:rsidP="00BF63B6">
      <w:pPr>
        <w:pStyle w:val="Heading4"/>
        <w:rPr>
          <w:kern w:val="2"/>
          <w:sz w:val="22"/>
        </w:rPr>
      </w:pPr>
      <w:r w:rsidRPr="005C2179">
        <w:rPr>
          <w:kern w:val="2"/>
          <w:sz w:val="22"/>
        </w:rPr>
        <w:t xml:space="preserve">Transparency Requirements </w:t>
      </w:r>
      <w:r w:rsidR="0045603F" w:rsidRPr="005C2179">
        <w:rPr>
          <w:kern w:val="2"/>
          <w:sz w:val="22"/>
        </w:rPr>
        <w:t xml:space="preserve">for Registered Parties, Candidates, etc. </w:t>
      </w:r>
    </w:p>
    <w:p w14:paraId="31CCB84F" w14:textId="77777777" w:rsidR="00654C4F" w:rsidRPr="005C2179" w:rsidRDefault="002D1471" w:rsidP="00EB71B2">
      <w:pPr>
        <w:keepNext/>
        <w:rPr>
          <w:b/>
          <w:kern w:val="2"/>
          <w:sz w:val="20"/>
        </w:rPr>
      </w:pPr>
      <w:r w:rsidRPr="005C2179">
        <w:rPr>
          <w:b/>
          <w:kern w:val="2"/>
          <w:sz w:val="20"/>
        </w:rPr>
        <w:t>a) Registered Parties</w:t>
      </w:r>
    </w:p>
    <w:p w14:paraId="15C77E33" w14:textId="227C6AE6" w:rsidR="00F45F0E" w:rsidRPr="005C2179" w:rsidRDefault="00F45F0E" w:rsidP="00330F4B">
      <w:pPr>
        <w:rPr>
          <w:kern w:val="2"/>
          <w:sz w:val="20"/>
        </w:rPr>
      </w:pPr>
      <w:r w:rsidRPr="005C2179">
        <w:rPr>
          <w:kern w:val="2"/>
          <w:sz w:val="20"/>
        </w:rPr>
        <w:t xml:space="preserve">Registered parties </w:t>
      </w:r>
      <w:r w:rsidR="00A715F8" w:rsidRPr="005C2179">
        <w:rPr>
          <w:kern w:val="2"/>
          <w:sz w:val="20"/>
        </w:rPr>
        <w:t>must submit an election expenses return to the Chief Electoral Officer after a general election, along with an auditor’s report and a declaration by the party’s chief agent that the return is complete and accurate.</w:t>
      </w:r>
      <w:r w:rsidR="00A715F8" w:rsidRPr="005C2179">
        <w:rPr>
          <w:rStyle w:val="FootnoteReference"/>
          <w:kern w:val="2"/>
          <w:sz w:val="20"/>
        </w:rPr>
        <w:footnoteReference w:id="605"/>
      </w:r>
      <w:r w:rsidR="00A715F8" w:rsidRPr="005C2179">
        <w:rPr>
          <w:kern w:val="2"/>
          <w:sz w:val="20"/>
        </w:rPr>
        <w:t xml:space="preserve"> </w:t>
      </w:r>
      <w:r w:rsidR="00376FC4" w:rsidRPr="005C2179">
        <w:rPr>
          <w:kern w:val="2"/>
          <w:sz w:val="20"/>
        </w:rPr>
        <w:t xml:space="preserve">The return must set out </w:t>
      </w:r>
      <w:r w:rsidR="00F47C96" w:rsidRPr="005C2179">
        <w:rPr>
          <w:kern w:val="2"/>
          <w:sz w:val="20"/>
        </w:rPr>
        <w:t>all election expenses incurred and no</w:t>
      </w:r>
      <w:r w:rsidR="008E3F8F" w:rsidRPr="005C2179">
        <w:rPr>
          <w:kern w:val="2"/>
          <w:sz w:val="20"/>
        </w:rPr>
        <w:t>n-monetary-contributions used as</w:t>
      </w:r>
      <w:r w:rsidR="00F47C96" w:rsidRPr="005C2179">
        <w:rPr>
          <w:kern w:val="2"/>
          <w:sz w:val="20"/>
        </w:rPr>
        <w:t xml:space="preserve"> election expenses.</w:t>
      </w:r>
      <w:r w:rsidR="006E6D44" w:rsidRPr="005C2179">
        <w:rPr>
          <w:rStyle w:val="FootnoteReference"/>
          <w:kern w:val="2"/>
          <w:sz w:val="20"/>
        </w:rPr>
        <w:footnoteReference w:id="606"/>
      </w:r>
      <w:r w:rsidR="00F47C96" w:rsidRPr="005C2179">
        <w:rPr>
          <w:kern w:val="2"/>
          <w:sz w:val="20"/>
        </w:rPr>
        <w:t xml:space="preserve"> </w:t>
      </w:r>
      <w:r w:rsidR="00282CF4" w:rsidRPr="005C2179">
        <w:rPr>
          <w:kern w:val="2"/>
          <w:sz w:val="20"/>
        </w:rPr>
        <w:t xml:space="preserve">Aside from this election </w:t>
      </w:r>
      <w:r w:rsidR="00376FC4" w:rsidRPr="005C2179">
        <w:rPr>
          <w:kern w:val="2"/>
          <w:sz w:val="20"/>
        </w:rPr>
        <w:t xml:space="preserve">expense </w:t>
      </w:r>
      <w:r w:rsidR="00282CF4" w:rsidRPr="005C2179">
        <w:rPr>
          <w:kern w:val="2"/>
          <w:sz w:val="20"/>
        </w:rPr>
        <w:t xml:space="preserve">reporting requirement, registered parties </w:t>
      </w:r>
      <w:r w:rsidRPr="005C2179">
        <w:rPr>
          <w:kern w:val="2"/>
          <w:sz w:val="20"/>
        </w:rPr>
        <w:t xml:space="preserve">are </w:t>
      </w:r>
      <w:r w:rsidR="00282CF4" w:rsidRPr="005C2179">
        <w:rPr>
          <w:kern w:val="2"/>
          <w:sz w:val="20"/>
        </w:rPr>
        <w:t xml:space="preserve">also </w:t>
      </w:r>
      <w:r w:rsidRPr="005C2179">
        <w:rPr>
          <w:kern w:val="2"/>
          <w:sz w:val="20"/>
        </w:rPr>
        <w:t>subject to ongoing reporting requirements</w:t>
      </w:r>
      <w:r w:rsidR="00282CF4" w:rsidRPr="005C2179">
        <w:rPr>
          <w:kern w:val="2"/>
          <w:sz w:val="20"/>
        </w:rPr>
        <w:t xml:space="preserve">. </w:t>
      </w:r>
      <w:r w:rsidR="0003060C" w:rsidRPr="005C2179">
        <w:rPr>
          <w:kern w:val="2"/>
          <w:sz w:val="20"/>
        </w:rPr>
        <w:t>Each fiscal period, the party’s chief agent must provide the Chief Electoral Officer with a financial transactions return, along with an auditor’s report and a declaration by the chief agent that the return is complete and accurate</w:t>
      </w:r>
      <w:r w:rsidR="00423DE5" w:rsidRPr="005C2179">
        <w:rPr>
          <w:kern w:val="2"/>
          <w:sz w:val="20"/>
        </w:rPr>
        <w:t>.</w:t>
      </w:r>
      <w:r w:rsidR="00423DE5" w:rsidRPr="005C2179">
        <w:rPr>
          <w:rStyle w:val="FootnoteReference"/>
          <w:kern w:val="2"/>
          <w:sz w:val="20"/>
        </w:rPr>
        <w:footnoteReference w:id="607"/>
      </w:r>
      <w:r w:rsidR="0003060C" w:rsidRPr="005C2179">
        <w:rPr>
          <w:kern w:val="2"/>
          <w:sz w:val="20"/>
        </w:rPr>
        <w:t xml:space="preserve"> </w:t>
      </w:r>
      <w:r w:rsidR="004A09D6" w:rsidRPr="005C2179">
        <w:rPr>
          <w:kern w:val="2"/>
          <w:sz w:val="20"/>
        </w:rPr>
        <w:t>The financial transactions return must set out contributions received by the party during the fiscal period</w:t>
      </w:r>
      <w:r w:rsidR="00CC296A" w:rsidRPr="005C2179">
        <w:rPr>
          <w:kern w:val="2"/>
          <w:sz w:val="20"/>
        </w:rPr>
        <w:t>;</w:t>
      </w:r>
      <w:r w:rsidR="004A09D6" w:rsidRPr="005C2179">
        <w:rPr>
          <w:kern w:val="2"/>
          <w:sz w:val="20"/>
        </w:rPr>
        <w:t xml:space="preserve"> the number of contributors</w:t>
      </w:r>
      <w:r w:rsidR="00CC296A" w:rsidRPr="005C2179">
        <w:rPr>
          <w:kern w:val="2"/>
          <w:sz w:val="20"/>
        </w:rPr>
        <w:t>;</w:t>
      </w:r>
      <w:r w:rsidR="004A09D6" w:rsidRPr="005C2179">
        <w:rPr>
          <w:kern w:val="2"/>
          <w:sz w:val="20"/>
        </w:rPr>
        <w:t xml:space="preserve"> the name and address of contributors who gave more than $200</w:t>
      </w:r>
      <w:r w:rsidR="00CC296A" w:rsidRPr="005C2179">
        <w:rPr>
          <w:kern w:val="2"/>
          <w:sz w:val="20"/>
        </w:rPr>
        <w:t>;</w:t>
      </w:r>
      <w:r w:rsidR="004A09D6" w:rsidRPr="005C2179">
        <w:rPr>
          <w:kern w:val="2"/>
          <w:sz w:val="20"/>
        </w:rPr>
        <w:t xml:space="preserve"> the value of goods, services, or funds transferred by the registered party to a candidate or electoral district association (and vice versa)</w:t>
      </w:r>
      <w:r w:rsidR="00CC296A" w:rsidRPr="005C2179">
        <w:rPr>
          <w:kern w:val="2"/>
          <w:sz w:val="20"/>
        </w:rPr>
        <w:t>;</w:t>
      </w:r>
      <w:r w:rsidR="004A09D6" w:rsidRPr="005C2179">
        <w:rPr>
          <w:kern w:val="2"/>
          <w:sz w:val="20"/>
        </w:rPr>
        <w:t xml:space="preserve"> and a statement of e</w:t>
      </w:r>
      <w:r w:rsidR="0002261B" w:rsidRPr="005C2179">
        <w:rPr>
          <w:kern w:val="2"/>
          <w:sz w:val="20"/>
        </w:rPr>
        <w:t>lection expenses incurred in</w:t>
      </w:r>
      <w:r w:rsidR="004A09D6" w:rsidRPr="005C2179">
        <w:rPr>
          <w:kern w:val="2"/>
          <w:sz w:val="20"/>
        </w:rPr>
        <w:t xml:space="preserve"> by-elections during the fiscal period, among other things.</w:t>
      </w:r>
      <w:r w:rsidR="004A09D6" w:rsidRPr="005C2179">
        <w:rPr>
          <w:rStyle w:val="FootnoteReference"/>
          <w:kern w:val="2"/>
          <w:sz w:val="20"/>
        </w:rPr>
        <w:footnoteReference w:id="608"/>
      </w:r>
    </w:p>
    <w:p w14:paraId="214139A7" w14:textId="77777777" w:rsidR="00654C4F" w:rsidRPr="005C2179" w:rsidRDefault="00654C4F" w:rsidP="00E26450">
      <w:pPr>
        <w:keepNext/>
        <w:rPr>
          <w:b/>
          <w:kern w:val="2"/>
          <w:sz w:val="20"/>
        </w:rPr>
      </w:pPr>
      <w:r w:rsidRPr="005C2179">
        <w:rPr>
          <w:b/>
          <w:kern w:val="2"/>
          <w:sz w:val="20"/>
        </w:rPr>
        <w:t>b) Candidates</w:t>
      </w:r>
    </w:p>
    <w:p w14:paraId="5E4D8E50" w14:textId="1D7076E3" w:rsidR="004D496C" w:rsidRPr="005C2179" w:rsidRDefault="00BD2F0C" w:rsidP="00330F4B">
      <w:pPr>
        <w:rPr>
          <w:kern w:val="2"/>
          <w:sz w:val="20"/>
        </w:rPr>
      </w:pPr>
      <w:r w:rsidRPr="005C2179">
        <w:rPr>
          <w:kern w:val="2"/>
          <w:sz w:val="20"/>
        </w:rPr>
        <w:t>A candidate’s official agent must provide the Chief Electoral Officer with an electoral campaign finance return, along with an auditor’s report and declaration by both the official agent and the candidate that the return is complete and accurate.</w:t>
      </w:r>
      <w:r w:rsidR="00233604" w:rsidRPr="005C2179">
        <w:rPr>
          <w:rStyle w:val="FootnoteReference"/>
          <w:kern w:val="2"/>
          <w:sz w:val="20"/>
        </w:rPr>
        <w:footnoteReference w:id="609"/>
      </w:r>
      <w:r w:rsidRPr="005C2179">
        <w:rPr>
          <w:kern w:val="2"/>
          <w:sz w:val="20"/>
        </w:rPr>
        <w:t xml:space="preserve"> </w:t>
      </w:r>
      <w:r w:rsidR="00233604" w:rsidRPr="005C2179">
        <w:rPr>
          <w:kern w:val="2"/>
          <w:sz w:val="20"/>
        </w:rPr>
        <w:t>The return must s</w:t>
      </w:r>
      <w:r w:rsidR="00C24BB3" w:rsidRPr="005C2179">
        <w:rPr>
          <w:kern w:val="2"/>
          <w:sz w:val="20"/>
        </w:rPr>
        <w:t>et out the candidate’s election</w:t>
      </w:r>
      <w:r w:rsidR="00233604" w:rsidRPr="005C2179">
        <w:rPr>
          <w:kern w:val="2"/>
          <w:sz w:val="20"/>
        </w:rPr>
        <w:t xml:space="preserve"> expenses, loans, contributions, and the identity of contributors who gave more than $200, among other things.</w:t>
      </w:r>
      <w:r w:rsidR="00EC56F7" w:rsidRPr="005C2179">
        <w:rPr>
          <w:rStyle w:val="FootnoteReference"/>
          <w:kern w:val="2"/>
          <w:sz w:val="20"/>
        </w:rPr>
        <w:footnoteReference w:id="610"/>
      </w:r>
      <w:r w:rsidR="00F83D32" w:rsidRPr="005C2179">
        <w:rPr>
          <w:kern w:val="2"/>
          <w:sz w:val="20"/>
        </w:rPr>
        <w:t xml:space="preserve"> The return must also state any </w:t>
      </w:r>
      <w:r w:rsidR="00EC56F7" w:rsidRPr="005C2179">
        <w:rPr>
          <w:kern w:val="2"/>
          <w:sz w:val="20"/>
        </w:rPr>
        <w:t>“</w:t>
      </w:r>
      <w:r w:rsidRPr="005C2179">
        <w:rPr>
          <w:kern w:val="2"/>
          <w:sz w:val="20"/>
        </w:rPr>
        <w:t>electoral campaign expenses</w:t>
      </w:r>
      <w:r w:rsidR="00EC56F7" w:rsidRPr="005C2179">
        <w:rPr>
          <w:kern w:val="2"/>
          <w:sz w:val="20"/>
        </w:rPr>
        <w:t>”</w:t>
      </w:r>
      <w:r w:rsidR="00F83D32" w:rsidRPr="005C2179">
        <w:rPr>
          <w:kern w:val="2"/>
          <w:sz w:val="20"/>
        </w:rPr>
        <w:t xml:space="preserve"> not already reported as election expenses</w:t>
      </w:r>
      <w:r w:rsidR="00EC56F7" w:rsidRPr="005C2179">
        <w:rPr>
          <w:kern w:val="2"/>
          <w:sz w:val="20"/>
        </w:rPr>
        <w:t>.</w:t>
      </w:r>
      <w:r w:rsidR="00EC56F7" w:rsidRPr="005C2179">
        <w:rPr>
          <w:rStyle w:val="FootnoteReference"/>
          <w:kern w:val="2"/>
          <w:sz w:val="20"/>
        </w:rPr>
        <w:footnoteReference w:id="611"/>
      </w:r>
      <w:r w:rsidR="00F83D32" w:rsidRPr="005C2179">
        <w:rPr>
          <w:kern w:val="2"/>
          <w:sz w:val="20"/>
        </w:rPr>
        <w:t xml:space="preserve"> “Electoral campaign expenses”</w:t>
      </w:r>
      <w:r w:rsidR="00EC56F7" w:rsidRPr="005C2179">
        <w:rPr>
          <w:kern w:val="2"/>
          <w:sz w:val="20"/>
        </w:rPr>
        <w:t xml:space="preserve"> are</w:t>
      </w:r>
      <w:r w:rsidR="00233604" w:rsidRPr="005C2179">
        <w:rPr>
          <w:kern w:val="2"/>
          <w:sz w:val="20"/>
        </w:rPr>
        <w:t xml:space="preserve"> defined as any “expense reasonably incurred as an incidence of the election</w:t>
      </w:r>
      <w:r w:rsidR="00006FBD" w:rsidRPr="005C2179">
        <w:rPr>
          <w:kern w:val="2"/>
          <w:sz w:val="20"/>
        </w:rPr>
        <w:t>,</w:t>
      </w:r>
      <w:r w:rsidR="00233604" w:rsidRPr="005C2179">
        <w:rPr>
          <w:kern w:val="2"/>
          <w:sz w:val="20"/>
        </w:rPr>
        <w:t>” including personal expenses.</w:t>
      </w:r>
      <w:r w:rsidR="00233604" w:rsidRPr="005C2179">
        <w:rPr>
          <w:rStyle w:val="FootnoteReference"/>
          <w:kern w:val="2"/>
          <w:sz w:val="20"/>
        </w:rPr>
        <w:footnoteReference w:id="612"/>
      </w:r>
      <w:r w:rsidRPr="005C2179">
        <w:rPr>
          <w:kern w:val="2"/>
          <w:sz w:val="20"/>
        </w:rPr>
        <w:t xml:space="preserve"> </w:t>
      </w:r>
      <w:r w:rsidR="009F7FE8" w:rsidRPr="005C2179">
        <w:rPr>
          <w:kern w:val="2"/>
          <w:sz w:val="20"/>
        </w:rPr>
        <w:t xml:space="preserve">Further, the candidate must </w:t>
      </w:r>
      <w:r w:rsidRPr="005C2179">
        <w:rPr>
          <w:kern w:val="2"/>
          <w:sz w:val="20"/>
        </w:rPr>
        <w:t>send their official agent a wri</w:t>
      </w:r>
      <w:r w:rsidR="001637B4" w:rsidRPr="005C2179">
        <w:rPr>
          <w:kern w:val="2"/>
          <w:sz w:val="20"/>
        </w:rPr>
        <w:t xml:space="preserve">tten statement setting out </w:t>
      </w:r>
      <w:r w:rsidRPr="005C2179">
        <w:rPr>
          <w:kern w:val="2"/>
          <w:sz w:val="20"/>
        </w:rPr>
        <w:t xml:space="preserve">personal expenses </w:t>
      </w:r>
      <w:r w:rsidR="009F7FE8" w:rsidRPr="005C2179">
        <w:rPr>
          <w:kern w:val="2"/>
          <w:sz w:val="20"/>
        </w:rPr>
        <w:t>paid by the candidate.</w:t>
      </w:r>
      <w:r w:rsidR="009F7FE8" w:rsidRPr="005C2179">
        <w:rPr>
          <w:rStyle w:val="FootnoteReference"/>
          <w:kern w:val="2"/>
          <w:sz w:val="20"/>
        </w:rPr>
        <w:footnoteReference w:id="613"/>
      </w:r>
      <w:r w:rsidRPr="005C2179">
        <w:rPr>
          <w:kern w:val="2"/>
          <w:sz w:val="20"/>
        </w:rPr>
        <w:t xml:space="preserve"> </w:t>
      </w:r>
    </w:p>
    <w:p w14:paraId="60597A50" w14:textId="77777777" w:rsidR="00D5176E" w:rsidRPr="005C2179" w:rsidRDefault="00654C4F" w:rsidP="00EB71B2">
      <w:pPr>
        <w:rPr>
          <w:b/>
          <w:kern w:val="2"/>
          <w:sz w:val="20"/>
        </w:rPr>
      </w:pPr>
      <w:r w:rsidRPr="005C2179">
        <w:rPr>
          <w:b/>
          <w:kern w:val="2"/>
          <w:sz w:val="20"/>
        </w:rPr>
        <w:t xml:space="preserve">c) Electoral District Associations </w:t>
      </w:r>
      <w:r w:rsidR="002D1471" w:rsidRPr="005C2179">
        <w:rPr>
          <w:b/>
          <w:kern w:val="2"/>
          <w:sz w:val="20"/>
        </w:rPr>
        <w:t xml:space="preserve"> </w:t>
      </w:r>
    </w:p>
    <w:p w14:paraId="63B63470" w14:textId="77777777" w:rsidR="00E52462" w:rsidRPr="005C2179" w:rsidRDefault="00A254D0" w:rsidP="00330F4B">
      <w:pPr>
        <w:rPr>
          <w:kern w:val="2"/>
          <w:sz w:val="20"/>
        </w:rPr>
      </w:pPr>
      <w:r w:rsidRPr="005C2179">
        <w:rPr>
          <w:kern w:val="2"/>
          <w:sz w:val="20"/>
        </w:rPr>
        <w:t>Electoral district associations are subject to ongoing reporting requirements, not election-specific reporting requirements. Like registered parties, association</w:t>
      </w:r>
      <w:r w:rsidR="00B42822" w:rsidRPr="005C2179">
        <w:rPr>
          <w:kern w:val="2"/>
          <w:sz w:val="20"/>
        </w:rPr>
        <w:t>s</w:t>
      </w:r>
      <w:r w:rsidRPr="005C2179">
        <w:rPr>
          <w:kern w:val="2"/>
          <w:sz w:val="20"/>
        </w:rPr>
        <w:t xml:space="preserve"> must submit a financial transactions return to the Chief Electoral Officer</w:t>
      </w:r>
      <w:r w:rsidR="00B42822" w:rsidRPr="005C2179">
        <w:rPr>
          <w:kern w:val="2"/>
          <w:sz w:val="20"/>
        </w:rPr>
        <w:t xml:space="preserve"> each fiscal period</w:t>
      </w:r>
      <w:r w:rsidRPr="005C2179">
        <w:rPr>
          <w:kern w:val="2"/>
          <w:sz w:val="20"/>
        </w:rPr>
        <w:t>.</w:t>
      </w:r>
      <w:r w:rsidR="009F3353" w:rsidRPr="005C2179">
        <w:rPr>
          <w:kern w:val="2"/>
          <w:sz w:val="20"/>
        </w:rPr>
        <w:t xml:space="preserve"> The return must state contribution</w:t>
      </w:r>
      <w:r w:rsidR="00B93FFE" w:rsidRPr="005C2179">
        <w:rPr>
          <w:kern w:val="2"/>
          <w:sz w:val="20"/>
        </w:rPr>
        <w:t>s, the identity of donors who gi</w:t>
      </w:r>
      <w:r w:rsidR="009F3353" w:rsidRPr="005C2179">
        <w:rPr>
          <w:kern w:val="2"/>
          <w:sz w:val="20"/>
        </w:rPr>
        <w:t>ve more than $200, expenses, loans, and other items.</w:t>
      </w:r>
      <w:r w:rsidR="009F3353" w:rsidRPr="005C2179">
        <w:rPr>
          <w:rStyle w:val="FootnoteReference"/>
          <w:kern w:val="2"/>
          <w:sz w:val="20"/>
        </w:rPr>
        <w:footnoteReference w:id="614"/>
      </w:r>
      <w:r w:rsidR="009F3353" w:rsidRPr="005C2179">
        <w:rPr>
          <w:kern w:val="2"/>
          <w:sz w:val="20"/>
        </w:rPr>
        <w:t xml:space="preserve"> The report must be accompanied by an auditor’s report and a declaration by the association’s financial agent that the return is complete and accurate.</w:t>
      </w:r>
      <w:r w:rsidR="009F3353" w:rsidRPr="005C2179">
        <w:rPr>
          <w:rStyle w:val="FootnoteReference"/>
          <w:kern w:val="2"/>
          <w:sz w:val="20"/>
        </w:rPr>
        <w:footnoteReference w:id="615"/>
      </w:r>
    </w:p>
    <w:p w14:paraId="6006A3AC" w14:textId="39666608" w:rsidR="00DF5CF1" w:rsidRPr="005C2179" w:rsidRDefault="00DF5CF1" w:rsidP="00BF63B6">
      <w:pPr>
        <w:pStyle w:val="Heading3"/>
        <w:rPr>
          <w:kern w:val="2"/>
          <w:sz w:val="22"/>
        </w:rPr>
      </w:pPr>
      <w:r w:rsidRPr="005C2179">
        <w:rPr>
          <w:kern w:val="2"/>
          <w:sz w:val="22"/>
        </w:rPr>
        <w:t>Public Funding of Election Campaigns</w:t>
      </w:r>
      <w:r w:rsidR="003B614E" w:rsidRPr="005C2179">
        <w:rPr>
          <w:kern w:val="2"/>
          <w:sz w:val="22"/>
        </w:rPr>
        <w:t xml:space="preserve"> in Canada </w:t>
      </w:r>
    </w:p>
    <w:p w14:paraId="79C1E867" w14:textId="77777777" w:rsidR="00DF5CF1" w:rsidRPr="005C2179" w:rsidRDefault="00935557" w:rsidP="00EB71B2">
      <w:pPr>
        <w:rPr>
          <w:b/>
          <w:kern w:val="2"/>
          <w:sz w:val="20"/>
        </w:rPr>
      </w:pPr>
      <w:r w:rsidRPr="005C2179">
        <w:rPr>
          <w:b/>
          <w:kern w:val="2"/>
          <w:sz w:val="20"/>
        </w:rPr>
        <w:t>a) Quarterly Allowances</w:t>
      </w:r>
    </w:p>
    <w:p w14:paraId="1EFDBF57" w14:textId="77777777" w:rsidR="00935557" w:rsidRPr="005C2179" w:rsidRDefault="00935557" w:rsidP="00330F4B">
      <w:pPr>
        <w:rPr>
          <w:kern w:val="2"/>
          <w:sz w:val="20"/>
        </w:rPr>
      </w:pPr>
      <w:r w:rsidRPr="005C2179">
        <w:rPr>
          <w:kern w:val="2"/>
          <w:sz w:val="20"/>
        </w:rPr>
        <w:t>Quarterly allowances for registered parties were phased out by the Conservative government beginning in 2014. The phasing-out process ended in 2016.</w:t>
      </w:r>
      <w:r w:rsidRPr="005C2179">
        <w:rPr>
          <w:rStyle w:val="FootnoteReference"/>
          <w:kern w:val="2"/>
          <w:sz w:val="20"/>
        </w:rPr>
        <w:footnoteReference w:id="616"/>
      </w:r>
      <w:r w:rsidR="00A86F95" w:rsidRPr="005C2179">
        <w:rPr>
          <w:kern w:val="2"/>
          <w:sz w:val="20"/>
        </w:rPr>
        <w:t xml:space="preserve"> </w:t>
      </w:r>
    </w:p>
    <w:p w14:paraId="07A23344" w14:textId="77777777" w:rsidR="00A10318" w:rsidRPr="005C2179" w:rsidRDefault="00A10318" w:rsidP="00EB71B2">
      <w:pPr>
        <w:rPr>
          <w:b/>
          <w:kern w:val="2"/>
          <w:sz w:val="20"/>
        </w:rPr>
      </w:pPr>
      <w:r w:rsidRPr="005C2179">
        <w:rPr>
          <w:b/>
          <w:kern w:val="2"/>
          <w:sz w:val="20"/>
        </w:rPr>
        <w:t>b) Reimbursement of Election Expenses</w:t>
      </w:r>
    </w:p>
    <w:p w14:paraId="74957631" w14:textId="77777777" w:rsidR="001E5191" w:rsidRPr="005C2179" w:rsidRDefault="00D11DDA" w:rsidP="00330F4B">
      <w:pPr>
        <w:rPr>
          <w:kern w:val="2"/>
          <w:sz w:val="20"/>
        </w:rPr>
      </w:pPr>
      <w:r w:rsidRPr="005C2179">
        <w:rPr>
          <w:kern w:val="2"/>
          <w:sz w:val="20"/>
        </w:rPr>
        <w:t>In the 2015 general election, reimbursements totalled approximately $104 million.</w:t>
      </w:r>
      <w:r w:rsidRPr="005C2179">
        <w:rPr>
          <w:rStyle w:val="FootnoteReference"/>
          <w:kern w:val="2"/>
          <w:sz w:val="20"/>
        </w:rPr>
        <w:footnoteReference w:id="617"/>
      </w:r>
      <w:r w:rsidRPr="005C2179">
        <w:rPr>
          <w:kern w:val="2"/>
          <w:sz w:val="20"/>
        </w:rPr>
        <w:t xml:space="preserve"> </w:t>
      </w:r>
      <w:r w:rsidR="008D7EB5" w:rsidRPr="005C2179">
        <w:rPr>
          <w:kern w:val="2"/>
          <w:sz w:val="20"/>
        </w:rPr>
        <w:t>Registered parties are</w:t>
      </w:r>
      <w:r w:rsidR="001E5191" w:rsidRPr="005C2179">
        <w:rPr>
          <w:kern w:val="2"/>
          <w:sz w:val="20"/>
        </w:rPr>
        <w:t xml:space="preserve"> reimbursed for 50% of their election expenses i</w:t>
      </w:r>
      <w:r w:rsidR="008D7EB5" w:rsidRPr="005C2179">
        <w:rPr>
          <w:kern w:val="2"/>
          <w:sz w:val="20"/>
        </w:rPr>
        <w:t>f the candidates endorsed by the</w:t>
      </w:r>
      <w:r w:rsidR="00EE65C0" w:rsidRPr="005C2179">
        <w:rPr>
          <w:kern w:val="2"/>
          <w:sz w:val="20"/>
        </w:rPr>
        <w:t xml:space="preserve"> party receive</w:t>
      </w:r>
      <w:r w:rsidR="001E5191" w:rsidRPr="005C2179">
        <w:rPr>
          <w:kern w:val="2"/>
          <w:sz w:val="20"/>
        </w:rPr>
        <w:t xml:space="preserve"> at least 2% of the votes cast in the election or 5% of the votes cast in electoral districts in which the party ran candidates.</w:t>
      </w:r>
      <w:r w:rsidR="001E5191" w:rsidRPr="005C2179">
        <w:rPr>
          <w:rStyle w:val="FootnoteReference"/>
          <w:kern w:val="2"/>
          <w:sz w:val="20"/>
        </w:rPr>
        <w:footnoteReference w:id="618"/>
      </w:r>
      <w:r w:rsidR="001E5191" w:rsidRPr="005C2179">
        <w:rPr>
          <w:kern w:val="2"/>
          <w:sz w:val="20"/>
        </w:rPr>
        <w:t xml:space="preserve"> If a candidate gets at least 10% of the vote</w:t>
      </w:r>
      <w:r w:rsidRPr="005C2179">
        <w:rPr>
          <w:kern w:val="2"/>
          <w:sz w:val="20"/>
        </w:rPr>
        <w:t>,</w:t>
      </w:r>
      <w:r w:rsidR="001E5191" w:rsidRPr="005C2179">
        <w:rPr>
          <w:kern w:val="2"/>
          <w:sz w:val="20"/>
        </w:rPr>
        <w:t xml:space="preserve"> but only spends 30% or less of their total spending limit, they will be reimbursed for 15% of the total amount they were permitted to spend under s</w:t>
      </w:r>
      <w:r w:rsidRPr="005C2179">
        <w:rPr>
          <w:kern w:val="2"/>
          <w:sz w:val="20"/>
        </w:rPr>
        <w:t>ection</w:t>
      </w:r>
      <w:r w:rsidR="001E5191" w:rsidRPr="005C2179">
        <w:rPr>
          <w:kern w:val="2"/>
          <w:sz w:val="20"/>
        </w:rPr>
        <w:t xml:space="preserve"> 477.49</w:t>
      </w:r>
      <w:r w:rsidRPr="005C2179">
        <w:rPr>
          <w:kern w:val="2"/>
          <w:sz w:val="20"/>
        </w:rPr>
        <w:t xml:space="preserve"> of the </w:t>
      </w:r>
      <w:r w:rsidRPr="005C2179">
        <w:rPr>
          <w:i/>
          <w:kern w:val="2"/>
          <w:sz w:val="20"/>
        </w:rPr>
        <w:t>CEA</w:t>
      </w:r>
      <w:r w:rsidR="001E5191" w:rsidRPr="005C2179">
        <w:rPr>
          <w:kern w:val="2"/>
          <w:sz w:val="20"/>
        </w:rPr>
        <w:t>.</w:t>
      </w:r>
      <w:r w:rsidRPr="005C2179">
        <w:rPr>
          <w:rStyle w:val="FootnoteReference"/>
          <w:kern w:val="2"/>
          <w:sz w:val="20"/>
        </w:rPr>
        <w:footnoteReference w:id="619"/>
      </w:r>
      <w:r w:rsidR="00341AB5" w:rsidRPr="005C2179">
        <w:rPr>
          <w:kern w:val="2"/>
          <w:sz w:val="20"/>
        </w:rPr>
        <w:t xml:space="preserve"> If a candidate</w:t>
      </w:r>
      <w:r w:rsidR="001D2702" w:rsidRPr="005C2179">
        <w:rPr>
          <w:kern w:val="2"/>
          <w:sz w:val="20"/>
        </w:rPr>
        <w:t xml:space="preserve"> receives</w:t>
      </w:r>
      <w:r w:rsidR="001E5191" w:rsidRPr="005C2179">
        <w:rPr>
          <w:kern w:val="2"/>
          <w:sz w:val="20"/>
        </w:rPr>
        <w:t xml:space="preserve"> at least 10% of the vote and incurred more than 30% of the total amount they were allowed to spend, they will be reimbursed for 60% of their paid election expenses or </w:t>
      </w:r>
      <w:r w:rsidR="002D0894" w:rsidRPr="005C2179">
        <w:rPr>
          <w:kern w:val="2"/>
          <w:sz w:val="20"/>
        </w:rPr>
        <w:t xml:space="preserve">60% </w:t>
      </w:r>
      <w:r w:rsidR="001E5191" w:rsidRPr="005C2179">
        <w:rPr>
          <w:kern w:val="2"/>
          <w:sz w:val="20"/>
        </w:rPr>
        <w:t>of the total amount they were allowed to spend, whichever is less.</w:t>
      </w:r>
      <w:r w:rsidRPr="005C2179">
        <w:rPr>
          <w:rStyle w:val="FootnoteReference"/>
          <w:kern w:val="2"/>
          <w:sz w:val="20"/>
        </w:rPr>
        <w:footnoteReference w:id="620"/>
      </w:r>
      <w:r w:rsidR="001E5191" w:rsidRPr="005C2179">
        <w:rPr>
          <w:kern w:val="2"/>
          <w:sz w:val="20"/>
        </w:rPr>
        <w:t xml:space="preserve"> </w:t>
      </w:r>
      <w:r w:rsidR="006673F9" w:rsidRPr="005C2179">
        <w:rPr>
          <w:kern w:val="2"/>
          <w:sz w:val="20"/>
        </w:rPr>
        <w:t>Electoral district associations may also b</w:t>
      </w:r>
      <w:r w:rsidR="00D326C3" w:rsidRPr="005C2179">
        <w:rPr>
          <w:kern w:val="2"/>
          <w:sz w:val="20"/>
        </w:rPr>
        <w:t>e reimbursed for up to $1,500 for</w:t>
      </w:r>
      <w:r w:rsidR="006673F9" w:rsidRPr="005C2179">
        <w:rPr>
          <w:kern w:val="2"/>
          <w:sz w:val="20"/>
        </w:rPr>
        <w:t xml:space="preserve"> auditing expenses incurred to meet the requirements of the </w:t>
      </w:r>
      <w:r w:rsidR="006673F9" w:rsidRPr="005C2179">
        <w:rPr>
          <w:i/>
          <w:kern w:val="2"/>
          <w:sz w:val="20"/>
        </w:rPr>
        <w:t>CEA</w:t>
      </w:r>
      <w:r w:rsidR="006673F9" w:rsidRPr="005C2179">
        <w:rPr>
          <w:kern w:val="2"/>
          <w:sz w:val="20"/>
        </w:rPr>
        <w:t>.</w:t>
      </w:r>
      <w:r w:rsidR="0086109E" w:rsidRPr="005C2179">
        <w:rPr>
          <w:rStyle w:val="FootnoteReference"/>
          <w:kern w:val="2"/>
          <w:sz w:val="20"/>
        </w:rPr>
        <w:footnoteReference w:id="621"/>
      </w:r>
      <w:r w:rsidR="006673F9" w:rsidRPr="005C2179">
        <w:rPr>
          <w:kern w:val="2"/>
          <w:sz w:val="20"/>
        </w:rPr>
        <w:t xml:space="preserve"> </w:t>
      </w:r>
      <w:r w:rsidR="006673F9" w:rsidRPr="005C2179">
        <w:rPr>
          <w:i/>
          <w:kern w:val="2"/>
          <w:sz w:val="20"/>
        </w:rPr>
        <w:t xml:space="preserve"> </w:t>
      </w:r>
      <w:r w:rsidR="001E5191" w:rsidRPr="005C2179">
        <w:rPr>
          <w:kern w:val="2"/>
          <w:sz w:val="20"/>
        </w:rPr>
        <w:t xml:space="preserve"> </w:t>
      </w:r>
    </w:p>
    <w:p w14:paraId="24E42260" w14:textId="77777777" w:rsidR="00B72A9A" w:rsidRPr="005C2179" w:rsidRDefault="00B72A9A" w:rsidP="00EB71B2">
      <w:pPr>
        <w:rPr>
          <w:b/>
          <w:kern w:val="2"/>
          <w:sz w:val="20"/>
        </w:rPr>
      </w:pPr>
      <w:r w:rsidRPr="005C2179">
        <w:rPr>
          <w:b/>
          <w:kern w:val="2"/>
          <w:sz w:val="20"/>
        </w:rPr>
        <w:t xml:space="preserve">c) Tax Deductions </w:t>
      </w:r>
    </w:p>
    <w:p w14:paraId="5F0777FE" w14:textId="77777777" w:rsidR="001E5191" w:rsidRPr="005C2179" w:rsidRDefault="00FE1CCB" w:rsidP="00330F4B">
      <w:pPr>
        <w:rPr>
          <w:kern w:val="2"/>
          <w:sz w:val="20"/>
        </w:rPr>
      </w:pPr>
      <w:r w:rsidRPr="005C2179">
        <w:rPr>
          <w:kern w:val="2"/>
          <w:sz w:val="20"/>
        </w:rPr>
        <w:t xml:space="preserve">Monetary contributions to registered parties, registered electoral district associations, and candidates entitle the donor to a tax credit under the </w:t>
      </w:r>
      <w:r w:rsidRPr="005C2179">
        <w:rPr>
          <w:i/>
          <w:kern w:val="2"/>
          <w:sz w:val="20"/>
        </w:rPr>
        <w:t>Income Tax Act</w:t>
      </w:r>
      <w:r w:rsidRPr="005C2179">
        <w:rPr>
          <w:kern w:val="2"/>
          <w:sz w:val="20"/>
        </w:rPr>
        <w:t>.</w:t>
      </w:r>
      <w:r w:rsidR="00CC73E6" w:rsidRPr="005C2179">
        <w:rPr>
          <w:rStyle w:val="FootnoteReference"/>
          <w:kern w:val="2"/>
          <w:sz w:val="20"/>
        </w:rPr>
        <w:footnoteReference w:id="622"/>
      </w:r>
      <w:r w:rsidR="00DE2F01" w:rsidRPr="005C2179">
        <w:rPr>
          <w:kern w:val="2"/>
          <w:sz w:val="20"/>
        </w:rPr>
        <w:t xml:space="preserve"> The amount of the credit is </w:t>
      </w:r>
      <w:r w:rsidR="0019005C" w:rsidRPr="005C2179">
        <w:rPr>
          <w:kern w:val="2"/>
          <w:sz w:val="20"/>
        </w:rPr>
        <w:t>based on</w:t>
      </w:r>
      <w:r w:rsidR="00DE2F01" w:rsidRPr="005C2179">
        <w:rPr>
          <w:kern w:val="2"/>
          <w:sz w:val="20"/>
        </w:rPr>
        <w:t xml:space="preserve"> the size of the donation. Donations up to $400 entitle the donor to a 75% tax credit. Donations over $400 entitle the donor to a $300 tax credit plus 50% of the amount by which the donation exceeds $400. The tax credit is decreased further for donations over $750.</w:t>
      </w:r>
      <w:r w:rsidR="00DE2F01" w:rsidRPr="005C2179">
        <w:rPr>
          <w:rStyle w:val="FootnoteReference"/>
          <w:kern w:val="2"/>
          <w:sz w:val="20"/>
        </w:rPr>
        <w:footnoteReference w:id="623"/>
      </w:r>
      <w:r w:rsidR="002D0894" w:rsidRPr="005C2179">
        <w:rPr>
          <w:kern w:val="2"/>
          <w:sz w:val="20"/>
        </w:rPr>
        <w:t xml:space="preserve"> This</w:t>
      </w:r>
      <w:r w:rsidR="00DE2F01" w:rsidRPr="005C2179">
        <w:rPr>
          <w:kern w:val="2"/>
          <w:sz w:val="20"/>
        </w:rPr>
        <w:t xml:space="preserve"> scheme</w:t>
      </w:r>
      <w:r w:rsidR="001E5191" w:rsidRPr="005C2179">
        <w:rPr>
          <w:kern w:val="2"/>
          <w:sz w:val="20"/>
        </w:rPr>
        <w:t xml:space="preserve"> is intended to encourage sm</w:t>
      </w:r>
      <w:r w:rsidR="0019005C" w:rsidRPr="005C2179">
        <w:rPr>
          <w:kern w:val="2"/>
          <w:sz w:val="20"/>
        </w:rPr>
        <w:t>all contributions from a broad</w:t>
      </w:r>
      <w:r w:rsidR="001E5191" w:rsidRPr="005C2179">
        <w:rPr>
          <w:kern w:val="2"/>
          <w:sz w:val="20"/>
        </w:rPr>
        <w:t xml:space="preserve"> range of donors.</w:t>
      </w:r>
      <w:r w:rsidR="001E5191" w:rsidRPr="005C2179">
        <w:rPr>
          <w:rStyle w:val="FootnoteReference"/>
          <w:kern w:val="2"/>
          <w:sz w:val="20"/>
        </w:rPr>
        <w:footnoteReference w:id="624"/>
      </w:r>
    </w:p>
    <w:p w14:paraId="3C93312D" w14:textId="77777777" w:rsidR="00F31C63" w:rsidRPr="005C2179" w:rsidRDefault="00F31C63" w:rsidP="00DF6030">
      <w:pPr>
        <w:keepNext/>
        <w:rPr>
          <w:b/>
          <w:kern w:val="2"/>
          <w:sz w:val="20"/>
        </w:rPr>
      </w:pPr>
      <w:r w:rsidRPr="005C2179">
        <w:rPr>
          <w:b/>
          <w:kern w:val="2"/>
          <w:sz w:val="20"/>
        </w:rPr>
        <w:t xml:space="preserve">d) </w:t>
      </w:r>
      <w:r w:rsidR="00E100BE" w:rsidRPr="005C2179">
        <w:rPr>
          <w:b/>
          <w:kern w:val="2"/>
          <w:sz w:val="20"/>
        </w:rPr>
        <w:t>Broadcast</w:t>
      </w:r>
      <w:r w:rsidR="0061039C" w:rsidRPr="005C2179">
        <w:rPr>
          <w:b/>
          <w:kern w:val="2"/>
          <w:sz w:val="20"/>
        </w:rPr>
        <w:t>ing</w:t>
      </w:r>
      <w:r w:rsidR="00E100BE" w:rsidRPr="005C2179">
        <w:rPr>
          <w:b/>
          <w:kern w:val="2"/>
          <w:sz w:val="20"/>
        </w:rPr>
        <w:t xml:space="preserve"> Time </w:t>
      </w:r>
    </w:p>
    <w:p w14:paraId="75D26662" w14:textId="3766A076" w:rsidR="00A10318" w:rsidRPr="005C2179" w:rsidRDefault="00FE4F84" w:rsidP="00330F4B">
      <w:pPr>
        <w:rPr>
          <w:kern w:val="2"/>
          <w:sz w:val="20"/>
        </w:rPr>
      </w:pPr>
      <w:r w:rsidRPr="005C2179">
        <w:rPr>
          <w:kern w:val="2"/>
          <w:sz w:val="20"/>
        </w:rPr>
        <w:t xml:space="preserve">Free </w:t>
      </w:r>
      <w:r w:rsidR="001E5191" w:rsidRPr="005C2179">
        <w:rPr>
          <w:kern w:val="2"/>
          <w:sz w:val="20"/>
        </w:rPr>
        <w:t>broadcasting time is reserved and allocated</w:t>
      </w:r>
      <w:r w:rsidR="009929ED" w:rsidRPr="005C2179">
        <w:rPr>
          <w:kern w:val="2"/>
          <w:sz w:val="20"/>
        </w:rPr>
        <w:t xml:space="preserve"> to political parties</w:t>
      </w:r>
      <w:r w:rsidR="001E5191" w:rsidRPr="005C2179">
        <w:rPr>
          <w:kern w:val="2"/>
          <w:sz w:val="20"/>
        </w:rPr>
        <w:t xml:space="preserve"> for political broadcasts</w:t>
      </w:r>
      <w:r w:rsidR="009929ED" w:rsidRPr="005C2179">
        <w:rPr>
          <w:kern w:val="2"/>
          <w:sz w:val="20"/>
        </w:rPr>
        <w:t xml:space="preserve"> during elections</w:t>
      </w:r>
      <w:r w:rsidR="001E5191" w:rsidRPr="005C2179">
        <w:rPr>
          <w:kern w:val="2"/>
          <w:sz w:val="20"/>
        </w:rPr>
        <w:t>.</w:t>
      </w:r>
      <w:r w:rsidRPr="005C2179">
        <w:rPr>
          <w:rStyle w:val="FootnoteReference"/>
          <w:kern w:val="2"/>
          <w:sz w:val="20"/>
        </w:rPr>
        <w:footnoteReference w:id="625"/>
      </w:r>
      <w:r w:rsidR="00361806" w:rsidRPr="005C2179">
        <w:rPr>
          <w:kern w:val="2"/>
          <w:sz w:val="20"/>
        </w:rPr>
        <w:t xml:space="preserve"> The a</w:t>
      </w:r>
      <w:r w:rsidR="001E5191" w:rsidRPr="005C2179">
        <w:rPr>
          <w:kern w:val="2"/>
          <w:sz w:val="20"/>
        </w:rPr>
        <w:t>llocation is based on performance in the latest election, but</w:t>
      </w:r>
      <w:r w:rsidR="00363AED" w:rsidRPr="005C2179">
        <w:rPr>
          <w:kern w:val="2"/>
          <w:sz w:val="20"/>
        </w:rPr>
        <w:t xml:space="preserve"> the Broadcasting Arbitrator can</w:t>
      </w:r>
      <w:r w:rsidR="001E5191" w:rsidRPr="005C2179">
        <w:rPr>
          <w:kern w:val="2"/>
          <w:sz w:val="20"/>
        </w:rPr>
        <w:t xml:space="preserve"> modify the allocation if</w:t>
      </w:r>
      <w:r w:rsidR="00904547" w:rsidRPr="005C2179">
        <w:rPr>
          <w:kern w:val="2"/>
          <w:sz w:val="20"/>
        </w:rPr>
        <w:t xml:space="preserve"> necessary for fairness or</w:t>
      </w:r>
      <w:r w:rsidR="001E5191" w:rsidRPr="005C2179">
        <w:rPr>
          <w:kern w:val="2"/>
          <w:sz w:val="20"/>
        </w:rPr>
        <w:t xml:space="preserve"> the public interest.</w:t>
      </w:r>
      <w:r w:rsidR="001E5191" w:rsidRPr="005C2179">
        <w:rPr>
          <w:rStyle w:val="FootnoteReference"/>
          <w:kern w:val="2"/>
          <w:sz w:val="20"/>
        </w:rPr>
        <w:footnoteReference w:id="626"/>
      </w:r>
      <w:r w:rsidR="009929ED" w:rsidRPr="005C2179">
        <w:rPr>
          <w:kern w:val="2"/>
          <w:sz w:val="20"/>
        </w:rPr>
        <w:t xml:space="preserve"> </w:t>
      </w:r>
      <w:r w:rsidR="00904547" w:rsidRPr="005C2179">
        <w:rPr>
          <w:kern w:val="2"/>
          <w:sz w:val="20"/>
        </w:rPr>
        <w:t>The</w:t>
      </w:r>
      <w:r w:rsidR="001E5191" w:rsidRPr="005C2179">
        <w:rPr>
          <w:kern w:val="2"/>
          <w:sz w:val="20"/>
        </w:rPr>
        <w:t xml:space="preserve"> allocation </w:t>
      </w:r>
      <w:r w:rsidR="00904547" w:rsidRPr="005C2179">
        <w:rPr>
          <w:kern w:val="2"/>
          <w:sz w:val="20"/>
        </w:rPr>
        <w:t xml:space="preserve">scheme </w:t>
      </w:r>
      <w:r w:rsidR="001E5191" w:rsidRPr="005C2179">
        <w:rPr>
          <w:kern w:val="2"/>
          <w:sz w:val="20"/>
        </w:rPr>
        <w:t xml:space="preserve">was challenged in </w:t>
      </w:r>
      <w:r w:rsidR="001E5191" w:rsidRPr="005C2179">
        <w:rPr>
          <w:i/>
          <w:kern w:val="2"/>
          <w:sz w:val="20"/>
        </w:rPr>
        <w:t xml:space="preserve">Reform Party of Canada v Canada (Attorney General) </w:t>
      </w:r>
      <w:r w:rsidR="001E5191" w:rsidRPr="005C2179">
        <w:rPr>
          <w:kern w:val="2"/>
          <w:sz w:val="20"/>
        </w:rPr>
        <w:t>on the basis that it entrenched incumbents and therefore breached the rights of smaller parties to freedom of expression and equality.</w:t>
      </w:r>
      <w:r w:rsidR="00E26450" w:rsidRPr="005C2179">
        <w:rPr>
          <w:rStyle w:val="FootnoteReference"/>
          <w:kern w:val="2"/>
          <w:sz w:val="20"/>
        </w:rPr>
        <w:footnoteReference w:id="627"/>
      </w:r>
      <w:r w:rsidR="001E5191" w:rsidRPr="005C2179">
        <w:rPr>
          <w:kern w:val="2"/>
          <w:sz w:val="20"/>
        </w:rPr>
        <w:t xml:space="preserve"> However, the allocation system was upheld, although the Broadcast Arbitrator subsequently adopted a practice of allocating one-third of the available time equally among all registered parties.</w:t>
      </w:r>
      <w:r w:rsidR="001E5191" w:rsidRPr="005C2179">
        <w:rPr>
          <w:rStyle w:val="FootnoteReference"/>
          <w:kern w:val="2"/>
          <w:sz w:val="20"/>
        </w:rPr>
        <w:footnoteReference w:id="628"/>
      </w:r>
      <w:r w:rsidR="001E5191" w:rsidRPr="005C2179">
        <w:rPr>
          <w:kern w:val="2"/>
          <w:sz w:val="20"/>
        </w:rPr>
        <w:t xml:space="preserve"> </w:t>
      </w:r>
      <w:r w:rsidR="00242416" w:rsidRPr="005C2179">
        <w:rPr>
          <w:kern w:val="2"/>
          <w:sz w:val="20"/>
        </w:rPr>
        <w:t>The Court also held that a</w:t>
      </w:r>
      <w:r w:rsidR="001E5191" w:rsidRPr="005C2179">
        <w:rPr>
          <w:kern w:val="2"/>
          <w:sz w:val="20"/>
        </w:rPr>
        <w:t xml:space="preserve"> prohibition on the purchase of additional broadcast time by political parties was an unjustifiable limit on freedom of expression. This can be contrasted with the UK, in which</w:t>
      </w:r>
      <w:r w:rsidR="00242416" w:rsidRPr="005C2179">
        <w:rPr>
          <w:kern w:val="2"/>
          <w:sz w:val="20"/>
        </w:rPr>
        <w:t xml:space="preserve"> the House of Lords and the European Court of Human Rights have upheld a blanket ban on</w:t>
      </w:r>
      <w:r w:rsidR="001E5191" w:rsidRPr="005C2179">
        <w:rPr>
          <w:kern w:val="2"/>
          <w:sz w:val="20"/>
        </w:rPr>
        <w:t xml:space="preserve"> paid political advertising.</w:t>
      </w:r>
      <w:r w:rsidR="001E5191" w:rsidRPr="005C2179">
        <w:rPr>
          <w:rStyle w:val="FootnoteReference"/>
          <w:kern w:val="2"/>
          <w:sz w:val="20"/>
        </w:rPr>
        <w:footnoteReference w:id="629"/>
      </w:r>
    </w:p>
    <w:p w14:paraId="23AEB20B" w14:textId="0B1ADCAE" w:rsidR="002D2510" w:rsidRPr="005C2179" w:rsidRDefault="00DF5CF1" w:rsidP="00BF63B6">
      <w:pPr>
        <w:pStyle w:val="Heading3"/>
        <w:rPr>
          <w:kern w:val="2"/>
          <w:sz w:val="22"/>
        </w:rPr>
      </w:pPr>
      <w:r w:rsidRPr="005C2179">
        <w:rPr>
          <w:kern w:val="2"/>
          <w:sz w:val="22"/>
        </w:rPr>
        <w:t>Regulation of Third-Party Campaign Financing in Canada</w:t>
      </w:r>
    </w:p>
    <w:p w14:paraId="7FF10DF5" w14:textId="53888103" w:rsidR="00DF5CF1" w:rsidRPr="005C2179" w:rsidRDefault="00DF5CF1" w:rsidP="00330F4B">
      <w:pPr>
        <w:rPr>
          <w:kern w:val="2"/>
          <w:sz w:val="20"/>
        </w:rPr>
      </w:pPr>
      <w:r w:rsidRPr="005C2179">
        <w:rPr>
          <w:kern w:val="2"/>
          <w:sz w:val="20"/>
        </w:rPr>
        <w:t>The</w:t>
      </w:r>
      <w:r w:rsidR="0012099B" w:rsidRPr="005C2179">
        <w:rPr>
          <w:kern w:val="2"/>
          <w:sz w:val="20"/>
        </w:rPr>
        <w:t xml:space="preserve"> federal</w:t>
      </w:r>
      <w:r w:rsidRPr="005C2179">
        <w:rPr>
          <w:kern w:val="2"/>
          <w:sz w:val="20"/>
        </w:rPr>
        <w:t xml:space="preserve"> campaign finance regime </w:t>
      </w:r>
      <w:r w:rsidR="0012099B" w:rsidRPr="005C2179">
        <w:rPr>
          <w:kern w:val="2"/>
          <w:sz w:val="20"/>
        </w:rPr>
        <w:t xml:space="preserve">in Canada </w:t>
      </w:r>
      <w:r w:rsidRPr="005C2179">
        <w:rPr>
          <w:kern w:val="2"/>
          <w:sz w:val="20"/>
        </w:rPr>
        <w:t xml:space="preserve">subscribes to the idea that </w:t>
      </w:r>
      <w:r w:rsidR="007E7CEA" w:rsidRPr="005C2179">
        <w:rPr>
          <w:kern w:val="2"/>
          <w:sz w:val="20"/>
        </w:rPr>
        <w:t xml:space="preserve">political </w:t>
      </w:r>
      <w:r w:rsidRPr="005C2179">
        <w:rPr>
          <w:kern w:val="2"/>
          <w:sz w:val="20"/>
        </w:rPr>
        <w:t>parties are the “principal vehicles for communal politic</w:t>
      </w:r>
      <w:r w:rsidR="0061039C" w:rsidRPr="005C2179">
        <w:rPr>
          <w:kern w:val="2"/>
          <w:sz w:val="20"/>
        </w:rPr>
        <w:t>al organization and expression</w:t>
      </w:r>
      <w:r w:rsidR="008C1A81" w:rsidRPr="005C2179">
        <w:rPr>
          <w:kern w:val="2"/>
          <w:sz w:val="20"/>
        </w:rPr>
        <w:t>,</w:t>
      </w:r>
      <w:r w:rsidR="0061039C" w:rsidRPr="005C2179">
        <w:rPr>
          <w:kern w:val="2"/>
          <w:sz w:val="20"/>
        </w:rPr>
        <w:t xml:space="preserve">” which is reflected in spending limits for third-party campaigners under the </w:t>
      </w:r>
      <w:r w:rsidR="0061039C" w:rsidRPr="005C2179">
        <w:rPr>
          <w:i/>
          <w:kern w:val="2"/>
          <w:sz w:val="20"/>
        </w:rPr>
        <w:t>CEA</w:t>
      </w:r>
      <w:r w:rsidR="0061039C" w:rsidRPr="005C2179">
        <w:rPr>
          <w:kern w:val="2"/>
          <w:sz w:val="20"/>
        </w:rPr>
        <w:t>.</w:t>
      </w:r>
      <w:r w:rsidRPr="005C2179">
        <w:rPr>
          <w:rStyle w:val="FootnoteReference"/>
          <w:kern w:val="2"/>
          <w:sz w:val="20"/>
        </w:rPr>
        <w:footnoteReference w:id="630"/>
      </w:r>
      <w:r w:rsidR="0012099B" w:rsidRPr="005C2179">
        <w:rPr>
          <w:kern w:val="2"/>
          <w:sz w:val="20"/>
        </w:rPr>
        <w:t xml:space="preserve"> </w:t>
      </w:r>
      <w:r w:rsidR="00483E1C" w:rsidRPr="005C2179">
        <w:rPr>
          <w:kern w:val="2"/>
          <w:sz w:val="20"/>
        </w:rPr>
        <w:t>The Supreme Cou</w:t>
      </w:r>
      <w:r w:rsidR="00807711" w:rsidRPr="005C2179">
        <w:rPr>
          <w:kern w:val="2"/>
          <w:sz w:val="20"/>
        </w:rPr>
        <w:t xml:space="preserve">rt of Canada has echoed </w:t>
      </w:r>
      <w:r w:rsidR="00483E1C" w:rsidRPr="005C2179">
        <w:rPr>
          <w:kern w:val="2"/>
          <w:sz w:val="20"/>
        </w:rPr>
        <w:t xml:space="preserve">this idea, stating in </w:t>
      </w:r>
      <w:r w:rsidR="00483E1C" w:rsidRPr="005C2179">
        <w:rPr>
          <w:i/>
          <w:kern w:val="2"/>
          <w:sz w:val="20"/>
        </w:rPr>
        <w:t xml:space="preserve">Libman </w:t>
      </w:r>
      <w:r w:rsidR="00483E1C" w:rsidRPr="005C2179">
        <w:rPr>
          <w:kern w:val="2"/>
          <w:sz w:val="20"/>
        </w:rPr>
        <w:t>that, although third parties have an important contribution to make, “it is the candidates and political parties that are running for election.”</w:t>
      </w:r>
      <w:r w:rsidR="00807711" w:rsidRPr="005C2179">
        <w:rPr>
          <w:rStyle w:val="FootnoteReference"/>
          <w:kern w:val="2"/>
          <w:sz w:val="20"/>
        </w:rPr>
        <w:footnoteReference w:id="631"/>
      </w:r>
      <w:r w:rsidR="00483E1C" w:rsidRPr="005C2179">
        <w:rPr>
          <w:kern w:val="2"/>
          <w:sz w:val="20"/>
        </w:rPr>
        <w:t xml:space="preserve"> </w:t>
      </w:r>
    </w:p>
    <w:p w14:paraId="5DB17886" w14:textId="2090BA1B" w:rsidR="00BE38CC" w:rsidRPr="005C2179" w:rsidRDefault="00A309C6" w:rsidP="00BF63B6">
      <w:pPr>
        <w:pStyle w:val="Heading4"/>
        <w:rPr>
          <w:i/>
          <w:kern w:val="2"/>
          <w:sz w:val="22"/>
        </w:rPr>
      </w:pPr>
      <w:r w:rsidRPr="005C2179">
        <w:rPr>
          <w:kern w:val="2"/>
          <w:sz w:val="22"/>
        </w:rPr>
        <w:t>Activities Ca</w:t>
      </w:r>
      <w:r w:rsidR="0041597B" w:rsidRPr="005C2179">
        <w:rPr>
          <w:kern w:val="2"/>
          <w:sz w:val="22"/>
        </w:rPr>
        <w:t>ptured by Third-Party Campaign</w:t>
      </w:r>
      <w:r w:rsidRPr="005C2179">
        <w:rPr>
          <w:kern w:val="2"/>
          <w:sz w:val="22"/>
        </w:rPr>
        <w:t xml:space="preserve"> Regulations </w:t>
      </w:r>
    </w:p>
    <w:p w14:paraId="7C6984B8" w14:textId="77777777" w:rsidR="00A309C6" w:rsidRPr="005C2179" w:rsidRDefault="00A309C6" w:rsidP="00BB4366">
      <w:pPr>
        <w:keepNext/>
        <w:rPr>
          <w:b/>
          <w:kern w:val="2"/>
          <w:sz w:val="20"/>
        </w:rPr>
      </w:pPr>
      <w:r w:rsidRPr="005C2179">
        <w:rPr>
          <w:b/>
          <w:kern w:val="2"/>
          <w:sz w:val="20"/>
        </w:rPr>
        <w:t>a) Definition of</w:t>
      </w:r>
      <w:r w:rsidR="0061039C" w:rsidRPr="005C2179">
        <w:rPr>
          <w:b/>
          <w:kern w:val="2"/>
          <w:sz w:val="20"/>
        </w:rPr>
        <w:t xml:space="preserve"> </w:t>
      </w:r>
      <w:r w:rsidR="000C561E" w:rsidRPr="005C2179">
        <w:rPr>
          <w:b/>
          <w:kern w:val="2"/>
          <w:sz w:val="20"/>
        </w:rPr>
        <w:t>“third party”</w:t>
      </w:r>
    </w:p>
    <w:p w14:paraId="77157117" w14:textId="77777777" w:rsidR="000C561E" w:rsidRPr="005C2179" w:rsidRDefault="00A309C6" w:rsidP="00330F4B">
      <w:pPr>
        <w:rPr>
          <w:kern w:val="2"/>
          <w:sz w:val="20"/>
        </w:rPr>
      </w:pPr>
      <w:r w:rsidRPr="005C2179">
        <w:rPr>
          <w:kern w:val="2"/>
          <w:sz w:val="20"/>
        </w:rPr>
        <w:t>“Third party” is</w:t>
      </w:r>
      <w:r w:rsidR="000C561E" w:rsidRPr="005C2179">
        <w:rPr>
          <w:kern w:val="2"/>
          <w:sz w:val="20"/>
        </w:rPr>
        <w:t xml:space="preserve"> defined in s</w:t>
      </w:r>
      <w:r w:rsidRPr="005C2179">
        <w:rPr>
          <w:kern w:val="2"/>
          <w:sz w:val="20"/>
        </w:rPr>
        <w:t>ection</w:t>
      </w:r>
      <w:r w:rsidR="000C561E" w:rsidRPr="005C2179">
        <w:rPr>
          <w:kern w:val="2"/>
          <w:sz w:val="20"/>
        </w:rPr>
        <w:t xml:space="preserve"> 349</w:t>
      </w:r>
      <w:r w:rsidRPr="005C2179">
        <w:rPr>
          <w:kern w:val="2"/>
          <w:sz w:val="20"/>
        </w:rPr>
        <w:t xml:space="preserve"> of the </w:t>
      </w:r>
      <w:r w:rsidRPr="005C2179">
        <w:rPr>
          <w:i/>
          <w:kern w:val="2"/>
          <w:sz w:val="20"/>
        </w:rPr>
        <w:t>CEA</w:t>
      </w:r>
      <w:r w:rsidR="000C561E" w:rsidRPr="005C2179">
        <w:rPr>
          <w:kern w:val="2"/>
          <w:sz w:val="20"/>
        </w:rPr>
        <w:t xml:space="preserve"> as “</w:t>
      </w:r>
      <w:r w:rsidR="00395499" w:rsidRPr="005C2179">
        <w:rPr>
          <w:kern w:val="2"/>
          <w:sz w:val="20"/>
        </w:rPr>
        <w:t xml:space="preserve">a </w:t>
      </w:r>
      <w:r w:rsidR="000C561E" w:rsidRPr="005C2179">
        <w:rPr>
          <w:kern w:val="2"/>
          <w:sz w:val="20"/>
        </w:rPr>
        <w:t>person or a group, other than a candidate, registered party or electoral district association of a registered party.”</w:t>
      </w:r>
      <w:r w:rsidRPr="005C2179">
        <w:rPr>
          <w:kern w:val="2"/>
          <w:sz w:val="20"/>
        </w:rPr>
        <w:t xml:space="preserve"> Thus, a third-party campaigner could be any individual, corporation, or </w:t>
      </w:r>
      <w:r w:rsidR="00395499" w:rsidRPr="005C2179">
        <w:rPr>
          <w:kern w:val="2"/>
          <w:sz w:val="20"/>
        </w:rPr>
        <w:t xml:space="preserve">other </w:t>
      </w:r>
      <w:r w:rsidRPr="005C2179">
        <w:rPr>
          <w:kern w:val="2"/>
          <w:sz w:val="20"/>
        </w:rPr>
        <w:t>organization that wis</w:t>
      </w:r>
      <w:r w:rsidR="002D46EC" w:rsidRPr="005C2179">
        <w:rPr>
          <w:kern w:val="2"/>
          <w:sz w:val="20"/>
        </w:rPr>
        <w:t xml:space="preserve">hes to promote the success of a </w:t>
      </w:r>
      <w:r w:rsidRPr="005C2179">
        <w:rPr>
          <w:kern w:val="2"/>
          <w:sz w:val="20"/>
        </w:rPr>
        <w:t xml:space="preserve">candidate or political party in an election. </w:t>
      </w:r>
      <w:r w:rsidR="000C561E" w:rsidRPr="005C2179">
        <w:rPr>
          <w:kern w:val="2"/>
          <w:sz w:val="20"/>
        </w:rPr>
        <w:t xml:space="preserve"> </w:t>
      </w:r>
    </w:p>
    <w:p w14:paraId="0CA06F14" w14:textId="77777777" w:rsidR="00FA18D2" w:rsidRPr="005C2179" w:rsidRDefault="00FA18D2" w:rsidP="00EB71B2">
      <w:pPr>
        <w:rPr>
          <w:b/>
          <w:kern w:val="2"/>
          <w:sz w:val="20"/>
        </w:rPr>
      </w:pPr>
      <w:r w:rsidRPr="005C2179">
        <w:rPr>
          <w:b/>
          <w:kern w:val="2"/>
          <w:sz w:val="20"/>
        </w:rPr>
        <w:t>b) Definition of “election advertising”</w:t>
      </w:r>
    </w:p>
    <w:p w14:paraId="01D1FF27" w14:textId="77777777" w:rsidR="00FA18D2" w:rsidRPr="005C2179" w:rsidRDefault="00FA18D2" w:rsidP="00330F4B">
      <w:pPr>
        <w:rPr>
          <w:kern w:val="2"/>
          <w:sz w:val="20"/>
        </w:rPr>
      </w:pPr>
      <w:r w:rsidRPr="005C2179">
        <w:rPr>
          <w:kern w:val="2"/>
          <w:sz w:val="20"/>
        </w:rPr>
        <w:t xml:space="preserve">If a third party engages in “election advertising” as defined in the </w:t>
      </w:r>
      <w:r w:rsidRPr="005C2179">
        <w:rPr>
          <w:i/>
          <w:kern w:val="2"/>
          <w:sz w:val="20"/>
        </w:rPr>
        <w:t xml:space="preserve">CEA, </w:t>
      </w:r>
      <w:r w:rsidRPr="005C2179">
        <w:rPr>
          <w:kern w:val="2"/>
          <w:sz w:val="20"/>
        </w:rPr>
        <w:t xml:space="preserve">they will be subject to the </w:t>
      </w:r>
      <w:r w:rsidRPr="005C2179">
        <w:rPr>
          <w:i/>
          <w:kern w:val="2"/>
          <w:sz w:val="20"/>
        </w:rPr>
        <w:t>CEA</w:t>
      </w:r>
      <w:r w:rsidRPr="005C2179">
        <w:rPr>
          <w:kern w:val="2"/>
          <w:sz w:val="20"/>
        </w:rPr>
        <w:t xml:space="preserve">’s requirements </w:t>
      </w:r>
      <w:r w:rsidR="003D7E29" w:rsidRPr="005C2179">
        <w:rPr>
          <w:kern w:val="2"/>
          <w:sz w:val="20"/>
        </w:rPr>
        <w:t>in</w:t>
      </w:r>
      <w:r w:rsidRPr="005C2179">
        <w:rPr>
          <w:kern w:val="2"/>
          <w:sz w:val="20"/>
        </w:rPr>
        <w:t xml:space="preserve"> rega</w:t>
      </w:r>
      <w:r w:rsidR="00735A20" w:rsidRPr="005C2179">
        <w:rPr>
          <w:kern w:val="2"/>
          <w:sz w:val="20"/>
        </w:rPr>
        <w:t>rd to spending, contributions received by</w:t>
      </w:r>
      <w:r w:rsidRPr="005C2179">
        <w:rPr>
          <w:kern w:val="2"/>
          <w:sz w:val="20"/>
        </w:rPr>
        <w:t xml:space="preserve"> the third party, and transparency. </w:t>
      </w:r>
      <w:r w:rsidR="00395499" w:rsidRPr="005C2179">
        <w:rPr>
          <w:kern w:val="2"/>
          <w:sz w:val="20"/>
        </w:rPr>
        <w:t>“Election advertising” is defined in section 319.</w:t>
      </w:r>
      <w:r w:rsidR="00395499" w:rsidRPr="005C2179">
        <w:rPr>
          <w:rStyle w:val="FootnoteReference"/>
          <w:kern w:val="2"/>
          <w:sz w:val="20"/>
        </w:rPr>
        <w:footnoteReference w:id="632"/>
      </w:r>
      <w:r w:rsidR="00395499" w:rsidRPr="005C2179">
        <w:rPr>
          <w:kern w:val="2"/>
          <w:sz w:val="20"/>
        </w:rPr>
        <w:t xml:space="preserve"> </w:t>
      </w:r>
      <w:r w:rsidR="008F4F11" w:rsidRPr="005C2179">
        <w:rPr>
          <w:kern w:val="2"/>
          <w:sz w:val="20"/>
        </w:rPr>
        <w:t>The components of the definition are</w:t>
      </w:r>
      <w:r w:rsidR="0078095A" w:rsidRPr="005C2179">
        <w:rPr>
          <w:kern w:val="2"/>
          <w:sz w:val="20"/>
        </w:rPr>
        <w:t xml:space="preserve"> as follows</w:t>
      </w:r>
      <w:r w:rsidR="008F4F11" w:rsidRPr="005C2179">
        <w:rPr>
          <w:kern w:val="2"/>
          <w:sz w:val="20"/>
        </w:rPr>
        <w:t>:</w:t>
      </w:r>
    </w:p>
    <w:p w14:paraId="70362713" w14:textId="77777777" w:rsidR="008F4F11" w:rsidRPr="005C2179" w:rsidRDefault="008F4F11" w:rsidP="00422E0E">
      <w:pPr>
        <w:pStyle w:val="ListParagraph"/>
        <w:numPr>
          <w:ilvl w:val="0"/>
          <w:numId w:val="39"/>
        </w:numPr>
        <w:rPr>
          <w:kern w:val="2"/>
          <w:sz w:val="20"/>
        </w:rPr>
      </w:pPr>
      <w:r w:rsidRPr="005C2179">
        <w:rPr>
          <w:kern w:val="2"/>
          <w:sz w:val="20"/>
        </w:rPr>
        <w:t>transmission to the public by any means</w:t>
      </w:r>
    </w:p>
    <w:p w14:paraId="6885EEAD" w14:textId="77777777" w:rsidR="008F4F11" w:rsidRPr="005C2179" w:rsidRDefault="008F4F11" w:rsidP="00422E0E">
      <w:pPr>
        <w:pStyle w:val="ListParagraph"/>
        <w:numPr>
          <w:ilvl w:val="0"/>
          <w:numId w:val="39"/>
        </w:numPr>
        <w:rPr>
          <w:kern w:val="2"/>
          <w:sz w:val="20"/>
        </w:rPr>
      </w:pPr>
      <w:r w:rsidRPr="005C2179">
        <w:rPr>
          <w:kern w:val="2"/>
          <w:sz w:val="20"/>
        </w:rPr>
        <w:t>during an election period</w:t>
      </w:r>
    </w:p>
    <w:p w14:paraId="75224D78" w14:textId="77777777" w:rsidR="0078095A" w:rsidRPr="005C2179" w:rsidRDefault="008F4F11" w:rsidP="00422E0E">
      <w:pPr>
        <w:pStyle w:val="ListParagraph"/>
        <w:numPr>
          <w:ilvl w:val="0"/>
          <w:numId w:val="39"/>
        </w:numPr>
        <w:rPr>
          <w:kern w:val="2"/>
          <w:sz w:val="20"/>
        </w:rPr>
      </w:pPr>
      <w:r w:rsidRPr="005C2179">
        <w:rPr>
          <w:kern w:val="2"/>
          <w:sz w:val="20"/>
        </w:rPr>
        <w:t>of an advertising message that promotes or opposes a registered party or the election of a candidate</w:t>
      </w:r>
      <w:r w:rsidR="00594AE9" w:rsidRPr="005C2179">
        <w:rPr>
          <w:kern w:val="2"/>
          <w:sz w:val="20"/>
        </w:rPr>
        <w:t>.</w:t>
      </w:r>
    </w:p>
    <w:p w14:paraId="4002E0A4" w14:textId="36176A8C" w:rsidR="00594AE9" w:rsidRPr="005C2179" w:rsidRDefault="00735A20" w:rsidP="00330F4B">
      <w:pPr>
        <w:rPr>
          <w:kern w:val="2"/>
          <w:sz w:val="20"/>
        </w:rPr>
      </w:pPr>
      <w:r w:rsidRPr="005C2179">
        <w:rPr>
          <w:kern w:val="2"/>
          <w:sz w:val="20"/>
        </w:rPr>
        <w:t>The definition</w:t>
      </w:r>
      <w:r w:rsidR="00836687" w:rsidRPr="005C2179">
        <w:rPr>
          <w:kern w:val="2"/>
          <w:sz w:val="20"/>
        </w:rPr>
        <w:t xml:space="preserve"> includes a</w:t>
      </w:r>
      <w:r w:rsidR="0078095A" w:rsidRPr="005C2179">
        <w:rPr>
          <w:kern w:val="2"/>
          <w:sz w:val="20"/>
        </w:rPr>
        <w:t>n advertising</w:t>
      </w:r>
      <w:r w:rsidR="00836687" w:rsidRPr="005C2179">
        <w:rPr>
          <w:kern w:val="2"/>
          <w:sz w:val="20"/>
        </w:rPr>
        <w:t xml:space="preserve"> message “that takes a position on an issue with which a registered p</w:t>
      </w:r>
      <w:r w:rsidR="0078095A" w:rsidRPr="005C2179">
        <w:rPr>
          <w:kern w:val="2"/>
          <w:sz w:val="20"/>
        </w:rPr>
        <w:t>arty or candidate is associated</w:t>
      </w:r>
      <w:r w:rsidR="003B7B88" w:rsidRPr="005C2179">
        <w:rPr>
          <w:kern w:val="2"/>
          <w:sz w:val="20"/>
        </w:rPr>
        <w:t>,</w:t>
      </w:r>
      <w:r w:rsidR="00836687" w:rsidRPr="005C2179">
        <w:rPr>
          <w:kern w:val="2"/>
          <w:sz w:val="20"/>
        </w:rPr>
        <w:t>”</w:t>
      </w:r>
      <w:r w:rsidR="0078095A" w:rsidRPr="005C2179">
        <w:rPr>
          <w:kern w:val="2"/>
          <w:sz w:val="20"/>
        </w:rPr>
        <w:t xml:space="preserve"> also known as issue advertising.</w:t>
      </w:r>
      <w:r w:rsidR="006B1D91" w:rsidRPr="005C2179">
        <w:rPr>
          <w:rStyle w:val="FootnoteReference"/>
          <w:kern w:val="2"/>
          <w:sz w:val="20"/>
        </w:rPr>
        <w:footnoteReference w:id="633"/>
      </w:r>
      <w:r w:rsidR="0078095A" w:rsidRPr="005C2179">
        <w:rPr>
          <w:kern w:val="2"/>
          <w:sz w:val="20"/>
        </w:rPr>
        <w:t xml:space="preserve"> </w:t>
      </w:r>
      <w:r w:rsidR="00BC3CAE" w:rsidRPr="005C2179">
        <w:rPr>
          <w:kern w:val="2"/>
          <w:sz w:val="20"/>
        </w:rPr>
        <w:t>The election period begins when the writ is issued and ends on polling day.</w:t>
      </w:r>
      <w:r w:rsidR="00BC3CAE" w:rsidRPr="005C2179">
        <w:rPr>
          <w:rStyle w:val="FootnoteReference"/>
          <w:kern w:val="2"/>
          <w:sz w:val="20"/>
        </w:rPr>
        <w:footnoteReference w:id="634"/>
      </w:r>
    </w:p>
    <w:p w14:paraId="4970CAB8" w14:textId="77777777" w:rsidR="006F43ED" w:rsidRPr="005C2179" w:rsidRDefault="002D0BEB" w:rsidP="00330F4B">
      <w:pPr>
        <w:rPr>
          <w:kern w:val="2"/>
          <w:sz w:val="20"/>
        </w:rPr>
      </w:pPr>
      <w:r w:rsidRPr="005C2179">
        <w:rPr>
          <w:kern w:val="2"/>
          <w:sz w:val="20"/>
        </w:rPr>
        <w:t>Various communications are excluded</w:t>
      </w:r>
      <w:r w:rsidR="00E665B0" w:rsidRPr="005C2179">
        <w:rPr>
          <w:kern w:val="2"/>
          <w:sz w:val="20"/>
        </w:rPr>
        <w:t xml:space="preserve">. For example, </w:t>
      </w:r>
      <w:r w:rsidR="00960065" w:rsidRPr="005C2179">
        <w:rPr>
          <w:kern w:val="2"/>
          <w:sz w:val="20"/>
        </w:rPr>
        <w:t>“</w:t>
      </w:r>
      <w:r w:rsidR="00E665B0" w:rsidRPr="005C2179">
        <w:rPr>
          <w:kern w:val="2"/>
          <w:sz w:val="20"/>
        </w:rPr>
        <w:t>e</w:t>
      </w:r>
      <w:r w:rsidR="00960065" w:rsidRPr="005C2179">
        <w:rPr>
          <w:kern w:val="2"/>
          <w:sz w:val="20"/>
        </w:rPr>
        <w:t xml:space="preserve">lection advertising” does </w:t>
      </w:r>
      <w:r w:rsidR="00960065" w:rsidRPr="005C2179">
        <w:rPr>
          <w:i/>
          <w:kern w:val="2"/>
          <w:sz w:val="20"/>
        </w:rPr>
        <w:t xml:space="preserve">not </w:t>
      </w:r>
      <w:r w:rsidR="00960065" w:rsidRPr="005C2179">
        <w:rPr>
          <w:kern w:val="2"/>
          <w:sz w:val="20"/>
        </w:rPr>
        <w:t>include things like editorials, debates, interviews, and columns.</w:t>
      </w:r>
      <w:r w:rsidR="00E665B0" w:rsidRPr="005C2179">
        <w:rPr>
          <w:rStyle w:val="FootnoteReference"/>
          <w:kern w:val="2"/>
          <w:sz w:val="20"/>
        </w:rPr>
        <w:footnoteReference w:id="635"/>
      </w:r>
      <w:r w:rsidR="00E665B0" w:rsidRPr="005C2179">
        <w:rPr>
          <w:kern w:val="2"/>
          <w:sz w:val="20"/>
        </w:rPr>
        <w:t xml:space="preserve"> It also does not include the</w:t>
      </w:r>
      <w:r w:rsidR="00A728E7" w:rsidRPr="005C2179">
        <w:rPr>
          <w:kern w:val="2"/>
          <w:sz w:val="20"/>
        </w:rPr>
        <w:t xml:space="preserve"> transmission of </w:t>
      </w:r>
      <w:r w:rsidR="00E665B0" w:rsidRPr="005C2179">
        <w:rPr>
          <w:kern w:val="2"/>
          <w:sz w:val="20"/>
        </w:rPr>
        <w:t>document</w:t>
      </w:r>
      <w:r w:rsidR="001C3B1A" w:rsidRPr="005C2179">
        <w:rPr>
          <w:kern w:val="2"/>
          <w:sz w:val="20"/>
        </w:rPr>
        <w:t>s</w:t>
      </w:r>
      <w:r w:rsidR="00E665B0" w:rsidRPr="005C2179">
        <w:rPr>
          <w:kern w:val="2"/>
          <w:sz w:val="20"/>
        </w:rPr>
        <w:t xml:space="preserve"> by </w:t>
      </w:r>
      <w:r w:rsidR="006B1D91" w:rsidRPr="005C2179">
        <w:rPr>
          <w:kern w:val="2"/>
          <w:sz w:val="20"/>
        </w:rPr>
        <w:t>an organization to its</w:t>
      </w:r>
      <w:r w:rsidR="00E665B0" w:rsidRPr="005C2179">
        <w:rPr>
          <w:kern w:val="2"/>
          <w:sz w:val="20"/>
        </w:rPr>
        <w:t xml:space="preserve"> members, employees, or shareholders.</w:t>
      </w:r>
      <w:r w:rsidR="00E665B0" w:rsidRPr="005C2179">
        <w:rPr>
          <w:rStyle w:val="FootnoteReference"/>
          <w:kern w:val="2"/>
          <w:sz w:val="20"/>
        </w:rPr>
        <w:footnoteReference w:id="636"/>
      </w:r>
      <w:r w:rsidR="00E665B0" w:rsidRPr="005C2179">
        <w:rPr>
          <w:kern w:val="2"/>
          <w:sz w:val="20"/>
        </w:rPr>
        <w:t xml:space="preserve"> </w:t>
      </w:r>
      <w:r w:rsidR="00310578" w:rsidRPr="005C2179">
        <w:rPr>
          <w:kern w:val="2"/>
          <w:sz w:val="20"/>
        </w:rPr>
        <w:t xml:space="preserve">Further exclusions are </w:t>
      </w:r>
      <w:r w:rsidR="007D1581" w:rsidRPr="005C2179">
        <w:rPr>
          <w:kern w:val="2"/>
          <w:sz w:val="20"/>
        </w:rPr>
        <w:t xml:space="preserve">made for the transmission of an individual’s </w:t>
      </w:r>
      <w:r w:rsidR="00310578" w:rsidRPr="005C2179">
        <w:rPr>
          <w:kern w:val="2"/>
          <w:sz w:val="20"/>
        </w:rPr>
        <w:t xml:space="preserve">personal political views on a non-commercial basis on the Internet and </w:t>
      </w:r>
      <w:r w:rsidRPr="005C2179">
        <w:rPr>
          <w:kern w:val="2"/>
          <w:sz w:val="20"/>
        </w:rPr>
        <w:t xml:space="preserve">the </w:t>
      </w:r>
      <w:r w:rsidR="00310578" w:rsidRPr="005C2179">
        <w:rPr>
          <w:kern w:val="2"/>
          <w:sz w:val="20"/>
        </w:rPr>
        <w:t>making</w:t>
      </w:r>
      <w:r w:rsidRPr="005C2179">
        <w:rPr>
          <w:kern w:val="2"/>
          <w:sz w:val="20"/>
        </w:rPr>
        <w:t xml:space="preserve"> of</w:t>
      </w:r>
      <w:r w:rsidR="00310578" w:rsidRPr="005C2179">
        <w:rPr>
          <w:kern w:val="2"/>
          <w:sz w:val="20"/>
        </w:rPr>
        <w:t xml:space="preserve"> phone calls to encourage people to vote.</w:t>
      </w:r>
      <w:r w:rsidR="00073C59" w:rsidRPr="005C2179">
        <w:rPr>
          <w:rStyle w:val="FootnoteReference"/>
          <w:kern w:val="2"/>
          <w:sz w:val="20"/>
        </w:rPr>
        <w:footnoteReference w:id="637"/>
      </w:r>
      <w:r w:rsidR="00310578" w:rsidRPr="005C2179">
        <w:rPr>
          <w:kern w:val="2"/>
          <w:sz w:val="20"/>
        </w:rPr>
        <w:t xml:space="preserve"> </w:t>
      </w:r>
    </w:p>
    <w:p w14:paraId="071DD834" w14:textId="7D45DED6" w:rsidR="005D61C3" w:rsidRPr="005C2179" w:rsidRDefault="005D61C3" w:rsidP="00330F4B">
      <w:pPr>
        <w:rPr>
          <w:kern w:val="2"/>
          <w:sz w:val="20"/>
        </w:rPr>
      </w:pPr>
      <w:r w:rsidRPr="005C2179">
        <w:rPr>
          <w:kern w:val="2"/>
          <w:sz w:val="20"/>
        </w:rPr>
        <w:t xml:space="preserve">Elections Canada has </w:t>
      </w:r>
      <w:r w:rsidR="00594AE9" w:rsidRPr="005C2179">
        <w:rPr>
          <w:kern w:val="2"/>
          <w:sz w:val="20"/>
        </w:rPr>
        <w:t xml:space="preserve">further </w:t>
      </w:r>
      <w:r w:rsidRPr="005C2179">
        <w:rPr>
          <w:kern w:val="2"/>
          <w:sz w:val="20"/>
        </w:rPr>
        <w:t xml:space="preserve">clarified that communications on the Internet will </w:t>
      </w:r>
      <w:r w:rsidR="00231D7A" w:rsidRPr="005C2179">
        <w:rPr>
          <w:kern w:val="2"/>
          <w:sz w:val="20"/>
        </w:rPr>
        <w:t xml:space="preserve">only </w:t>
      </w:r>
      <w:r w:rsidRPr="005C2179">
        <w:rPr>
          <w:kern w:val="2"/>
          <w:sz w:val="20"/>
        </w:rPr>
        <w:t>be considered “election advertising” if they have or normally would have a placement cost.</w:t>
      </w:r>
      <w:r w:rsidR="00594AE9" w:rsidRPr="005C2179">
        <w:rPr>
          <w:rStyle w:val="FootnoteReference"/>
          <w:kern w:val="2"/>
          <w:sz w:val="20"/>
        </w:rPr>
        <w:footnoteReference w:id="638"/>
      </w:r>
      <w:r w:rsidRPr="005C2179">
        <w:rPr>
          <w:kern w:val="2"/>
          <w:sz w:val="20"/>
        </w:rPr>
        <w:t xml:space="preserve"> </w:t>
      </w:r>
      <w:r w:rsidR="00F00C88" w:rsidRPr="005C2179">
        <w:rPr>
          <w:kern w:val="2"/>
          <w:sz w:val="20"/>
        </w:rPr>
        <w:t>Elections Canada explains</w:t>
      </w:r>
      <w:r w:rsidR="006E5205" w:rsidRPr="005C2179">
        <w:rPr>
          <w:kern w:val="2"/>
          <w:sz w:val="20"/>
        </w:rPr>
        <w:t xml:space="preserve"> this requirement by pointing out that </w:t>
      </w:r>
      <w:r w:rsidR="007D1581" w:rsidRPr="005C2179">
        <w:rPr>
          <w:kern w:val="2"/>
          <w:sz w:val="20"/>
        </w:rPr>
        <w:t>such communications</w:t>
      </w:r>
      <w:r w:rsidR="006E5205" w:rsidRPr="005C2179">
        <w:rPr>
          <w:kern w:val="2"/>
          <w:sz w:val="20"/>
        </w:rPr>
        <w:t xml:space="preserve"> give the well-resourced an </w:t>
      </w:r>
      <w:r w:rsidR="00594AE9" w:rsidRPr="005C2179">
        <w:rPr>
          <w:kern w:val="2"/>
          <w:sz w:val="20"/>
        </w:rPr>
        <w:t xml:space="preserve">unfair </w:t>
      </w:r>
      <w:r w:rsidR="006E5205" w:rsidRPr="005C2179">
        <w:rPr>
          <w:kern w:val="2"/>
          <w:sz w:val="20"/>
        </w:rPr>
        <w:t xml:space="preserve">advantage, while communications without a placement </w:t>
      </w:r>
      <w:r w:rsidR="00594AE9" w:rsidRPr="005C2179">
        <w:rPr>
          <w:kern w:val="2"/>
          <w:sz w:val="20"/>
        </w:rPr>
        <w:t xml:space="preserve">cost </w:t>
      </w:r>
      <w:r w:rsidR="006E5205" w:rsidRPr="005C2179">
        <w:rPr>
          <w:kern w:val="2"/>
          <w:sz w:val="20"/>
        </w:rPr>
        <w:t xml:space="preserve">do not. </w:t>
      </w:r>
      <w:r w:rsidR="00594AE9" w:rsidRPr="005C2179">
        <w:rPr>
          <w:kern w:val="2"/>
          <w:sz w:val="20"/>
        </w:rPr>
        <w:t>However, this means that</w:t>
      </w:r>
      <w:r w:rsidR="00710B15" w:rsidRPr="005C2179">
        <w:rPr>
          <w:kern w:val="2"/>
          <w:sz w:val="20"/>
        </w:rPr>
        <w:t xml:space="preserve"> the cost of producing </w:t>
      </w:r>
      <w:r w:rsidR="00530DCA" w:rsidRPr="005C2179">
        <w:rPr>
          <w:kern w:val="2"/>
          <w:sz w:val="20"/>
        </w:rPr>
        <w:t xml:space="preserve">Internet </w:t>
      </w:r>
      <w:r w:rsidR="00710B15" w:rsidRPr="005C2179">
        <w:rPr>
          <w:kern w:val="2"/>
          <w:sz w:val="20"/>
        </w:rPr>
        <w:t>material will not be considered an election advertising expense unless there is a placement cost</w:t>
      </w:r>
      <w:r w:rsidR="0065194A" w:rsidRPr="005C2179">
        <w:rPr>
          <w:kern w:val="2"/>
          <w:sz w:val="20"/>
        </w:rPr>
        <w:t xml:space="preserve"> for the material</w:t>
      </w:r>
      <w:r w:rsidR="00710B15" w:rsidRPr="005C2179">
        <w:rPr>
          <w:kern w:val="2"/>
          <w:sz w:val="20"/>
        </w:rPr>
        <w:t>, even if production is costly</w:t>
      </w:r>
      <w:r w:rsidR="00753EC2" w:rsidRPr="005C2179">
        <w:rPr>
          <w:kern w:val="2"/>
          <w:sz w:val="20"/>
        </w:rPr>
        <w:t xml:space="preserve"> and the communication meets all other criteria of “election advertising</w:t>
      </w:r>
      <w:r w:rsidR="003B7B88" w:rsidRPr="005C2179">
        <w:rPr>
          <w:kern w:val="2"/>
          <w:sz w:val="20"/>
        </w:rPr>
        <w:t>.</w:t>
      </w:r>
      <w:r w:rsidR="00753EC2" w:rsidRPr="005C2179">
        <w:rPr>
          <w:kern w:val="2"/>
          <w:sz w:val="20"/>
        </w:rPr>
        <w:t>”</w:t>
      </w:r>
      <w:r w:rsidR="00710B15" w:rsidRPr="005C2179">
        <w:rPr>
          <w:kern w:val="2"/>
          <w:sz w:val="20"/>
        </w:rPr>
        <w:t xml:space="preserve"> </w:t>
      </w:r>
    </w:p>
    <w:p w14:paraId="1EFBF0D3" w14:textId="77777777" w:rsidR="00A90450" w:rsidRPr="005C2179" w:rsidRDefault="00A90450" w:rsidP="00EB71B2">
      <w:pPr>
        <w:rPr>
          <w:b/>
          <w:kern w:val="2"/>
          <w:sz w:val="20"/>
        </w:rPr>
      </w:pPr>
      <w:r w:rsidRPr="005C2179">
        <w:rPr>
          <w:b/>
          <w:kern w:val="2"/>
          <w:sz w:val="20"/>
        </w:rPr>
        <w:t>c) Definition of “election advertising expense”</w:t>
      </w:r>
    </w:p>
    <w:p w14:paraId="42528F64" w14:textId="77777777" w:rsidR="000C561E" w:rsidRPr="005C2179" w:rsidRDefault="00A90450" w:rsidP="00330F4B">
      <w:pPr>
        <w:rPr>
          <w:kern w:val="2"/>
          <w:sz w:val="20"/>
        </w:rPr>
      </w:pPr>
      <w:r w:rsidRPr="005C2179">
        <w:rPr>
          <w:kern w:val="2"/>
          <w:sz w:val="20"/>
        </w:rPr>
        <w:t xml:space="preserve">An </w:t>
      </w:r>
      <w:r w:rsidR="000C561E" w:rsidRPr="005C2179">
        <w:rPr>
          <w:kern w:val="2"/>
          <w:sz w:val="20"/>
        </w:rPr>
        <w:t>“election advertising expense” is incurred</w:t>
      </w:r>
      <w:r w:rsidR="00D5449F" w:rsidRPr="005C2179">
        <w:rPr>
          <w:kern w:val="2"/>
          <w:sz w:val="20"/>
        </w:rPr>
        <w:t xml:space="preserve"> to </w:t>
      </w:r>
      <w:r w:rsidR="000C561E" w:rsidRPr="005C2179">
        <w:rPr>
          <w:kern w:val="2"/>
          <w:sz w:val="20"/>
        </w:rPr>
        <w:t>produce</w:t>
      </w:r>
      <w:r w:rsidR="00D5449F" w:rsidRPr="005C2179">
        <w:rPr>
          <w:kern w:val="2"/>
          <w:sz w:val="20"/>
        </w:rPr>
        <w:t xml:space="preserve"> an</w:t>
      </w:r>
      <w:r w:rsidR="000C561E" w:rsidRPr="005C2179">
        <w:rPr>
          <w:kern w:val="2"/>
          <w:sz w:val="20"/>
        </w:rPr>
        <w:t xml:space="preserve"> electio</w:t>
      </w:r>
      <w:r w:rsidR="00D55526" w:rsidRPr="005C2179">
        <w:rPr>
          <w:kern w:val="2"/>
          <w:sz w:val="20"/>
        </w:rPr>
        <w:t>n advertising message or</w:t>
      </w:r>
      <w:r w:rsidR="000C561E" w:rsidRPr="005C2179">
        <w:rPr>
          <w:kern w:val="2"/>
          <w:sz w:val="20"/>
        </w:rPr>
        <w:t xml:space="preserve"> </w:t>
      </w:r>
      <w:r w:rsidR="00D5449F" w:rsidRPr="005C2179">
        <w:rPr>
          <w:kern w:val="2"/>
          <w:sz w:val="20"/>
        </w:rPr>
        <w:t xml:space="preserve">to </w:t>
      </w:r>
      <w:r w:rsidR="000C561E" w:rsidRPr="005C2179">
        <w:rPr>
          <w:kern w:val="2"/>
          <w:sz w:val="20"/>
        </w:rPr>
        <w:t>a</w:t>
      </w:r>
      <w:r w:rsidR="00D5449F" w:rsidRPr="005C2179">
        <w:rPr>
          <w:kern w:val="2"/>
          <w:sz w:val="20"/>
        </w:rPr>
        <w:t>cquire the means of transmitting that message.</w:t>
      </w:r>
      <w:r w:rsidR="00D5449F" w:rsidRPr="005C2179">
        <w:rPr>
          <w:rStyle w:val="FootnoteReference"/>
          <w:kern w:val="2"/>
          <w:sz w:val="20"/>
        </w:rPr>
        <w:footnoteReference w:id="639"/>
      </w:r>
      <w:r w:rsidR="000C561E" w:rsidRPr="005C2179">
        <w:rPr>
          <w:kern w:val="2"/>
          <w:sz w:val="20"/>
        </w:rPr>
        <w:t xml:space="preserve"> </w:t>
      </w:r>
      <w:r w:rsidR="00B50C09" w:rsidRPr="005C2179">
        <w:rPr>
          <w:kern w:val="2"/>
          <w:sz w:val="20"/>
        </w:rPr>
        <w:t xml:space="preserve">“Expenses” are defined in section 349 </w:t>
      </w:r>
      <w:r w:rsidR="005C2EC7" w:rsidRPr="005C2179">
        <w:rPr>
          <w:kern w:val="2"/>
          <w:sz w:val="20"/>
        </w:rPr>
        <w:t xml:space="preserve">of the </w:t>
      </w:r>
      <w:r w:rsidR="005C2EC7" w:rsidRPr="005C2179">
        <w:rPr>
          <w:i/>
          <w:kern w:val="2"/>
          <w:sz w:val="20"/>
        </w:rPr>
        <w:t xml:space="preserve">CEA </w:t>
      </w:r>
      <w:r w:rsidR="00B50C09" w:rsidRPr="005C2179">
        <w:rPr>
          <w:kern w:val="2"/>
          <w:sz w:val="20"/>
        </w:rPr>
        <w:t xml:space="preserve">to include the commercial value of property or services that are donated or provided, other than volunteer labour. </w:t>
      </w:r>
    </w:p>
    <w:p w14:paraId="7453C6C4" w14:textId="3E6E27AE" w:rsidR="00B50C09" w:rsidRPr="005C2179" w:rsidRDefault="00E14EB8" w:rsidP="00025AEB">
      <w:pPr>
        <w:pStyle w:val="Heading4"/>
        <w:rPr>
          <w:kern w:val="2"/>
          <w:sz w:val="22"/>
        </w:rPr>
      </w:pPr>
      <w:r w:rsidRPr="005C2179">
        <w:rPr>
          <w:kern w:val="2"/>
          <w:sz w:val="22"/>
        </w:rPr>
        <w:t>Regulation of Contributions to Third-Party Campaigners</w:t>
      </w:r>
    </w:p>
    <w:p w14:paraId="4CFD4C6E" w14:textId="77777777" w:rsidR="006525FD" w:rsidRPr="005C2179" w:rsidRDefault="00E14EB8" w:rsidP="00330F4B">
      <w:pPr>
        <w:rPr>
          <w:kern w:val="2"/>
          <w:sz w:val="20"/>
        </w:rPr>
      </w:pPr>
      <w:r w:rsidRPr="005C2179">
        <w:rPr>
          <w:kern w:val="2"/>
          <w:sz w:val="20"/>
        </w:rPr>
        <w:t xml:space="preserve">Contributions to third parties are subject to source restrictions. Third parties </w:t>
      </w:r>
      <w:r w:rsidR="000C5817" w:rsidRPr="005C2179">
        <w:rPr>
          <w:kern w:val="2"/>
          <w:sz w:val="20"/>
        </w:rPr>
        <w:t>cannot accept contributions f</w:t>
      </w:r>
      <w:r w:rsidRPr="005C2179">
        <w:rPr>
          <w:kern w:val="2"/>
          <w:sz w:val="20"/>
        </w:rPr>
        <w:t>or the purpose of election advertising</w:t>
      </w:r>
      <w:r w:rsidR="000C5817" w:rsidRPr="005C2179">
        <w:rPr>
          <w:kern w:val="2"/>
          <w:sz w:val="20"/>
        </w:rPr>
        <w:t xml:space="preserve"> from foreign nationals, corporations that do not carry on business in Canada, foreign political parties, or foreign</w:t>
      </w:r>
      <w:r w:rsidRPr="005C2179">
        <w:rPr>
          <w:kern w:val="2"/>
          <w:sz w:val="20"/>
        </w:rPr>
        <w:t xml:space="preserve"> governments, among other entities.</w:t>
      </w:r>
      <w:r w:rsidRPr="005C2179">
        <w:rPr>
          <w:rStyle w:val="FootnoteReference"/>
          <w:kern w:val="2"/>
          <w:sz w:val="20"/>
        </w:rPr>
        <w:footnoteReference w:id="640"/>
      </w:r>
      <w:r w:rsidR="004C66C9" w:rsidRPr="005C2179">
        <w:rPr>
          <w:kern w:val="2"/>
          <w:sz w:val="20"/>
        </w:rPr>
        <w:t xml:space="preserve"> Further, third parties cannot use a contribution from an anonymous donor for the purpose of election advertising.</w:t>
      </w:r>
      <w:r w:rsidR="004C66C9" w:rsidRPr="005C2179">
        <w:rPr>
          <w:rStyle w:val="FootnoteReference"/>
          <w:kern w:val="2"/>
          <w:sz w:val="20"/>
        </w:rPr>
        <w:footnoteReference w:id="641"/>
      </w:r>
      <w:r w:rsidR="004C66C9" w:rsidRPr="005C2179">
        <w:rPr>
          <w:kern w:val="2"/>
          <w:sz w:val="20"/>
        </w:rPr>
        <w:t xml:space="preserve"> However, there is no limit on the amount that eligible donors may contribute to a third party for the purpose of election advertising. </w:t>
      </w:r>
    </w:p>
    <w:p w14:paraId="2C6A0249" w14:textId="22F510A2" w:rsidR="00FB7AC5" w:rsidRPr="005C2179" w:rsidRDefault="00FB7AC5" w:rsidP="00025AEB">
      <w:pPr>
        <w:pStyle w:val="Heading4"/>
        <w:rPr>
          <w:kern w:val="2"/>
          <w:sz w:val="22"/>
        </w:rPr>
      </w:pPr>
      <w:r w:rsidRPr="005C2179">
        <w:rPr>
          <w:kern w:val="2"/>
          <w:sz w:val="22"/>
        </w:rPr>
        <w:t xml:space="preserve">Regulation of Spending by Third Parties on Election Advertising </w:t>
      </w:r>
    </w:p>
    <w:p w14:paraId="79E67AB1" w14:textId="02CC3448" w:rsidR="00C776FB" w:rsidRPr="005C2179" w:rsidRDefault="00F479BB" w:rsidP="00330F4B">
      <w:pPr>
        <w:rPr>
          <w:kern w:val="2"/>
          <w:sz w:val="20"/>
        </w:rPr>
      </w:pPr>
      <w:r w:rsidRPr="005C2179">
        <w:rPr>
          <w:kern w:val="2"/>
          <w:sz w:val="20"/>
        </w:rPr>
        <w:t xml:space="preserve">Third parties are subject </w:t>
      </w:r>
      <w:r w:rsidR="00282E9C" w:rsidRPr="005C2179">
        <w:rPr>
          <w:kern w:val="2"/>
          <w:sz w:val="20"/>
        </w:rPr>
        <w:t xml:space="preserve">to </w:t>
      </w:r>
      <w:r w:rsidRPr="005C2179">
        <w:rPr>
          <w:kern w:val="2"/>
          <w:sz w:val="20"/>
        </w:rPr>
        <w:t xml:space="preserve">spending limits on election advertising. </w:t>
      </w:r>
      <w:r w:rsidR="00113FE9" w:rsidRPr="005C2179">
        <w:rPr>
          <w:kern w:val="2"/>
          <w:sz w:val="20"/>
        </w:rPr>
        <w:t xml:space="preserve">Individuals who are not citizens or permanent residents and corporations that do not carry on business in Canada </w:t>
      </w:r>
      <w:r w:rsidR="00654863" w:rsidRPr="005C2179">
        <w:rPr>
          <w:kern w:val="2"/>
          <w:sz w:val="20"/>
        </w:rPr>
        <w:t>may</w:t>
      </w:r>
      <w:r w:rsidR="00CC6205" w:rsidRPr="005C2179">
        <w:rPr>
          <w:kern w:val="2"/>
          <w:sz w:val="20"/>
        </w:rPr>
        <w:t xml:space="preserve"> spend </w:t>
      </w:r>
      <w:r w:rsidR="00866260" w:rsidRPr="005C2179">
        <w:rPr>
          <w:kern w:val="2"/>
          <w:sz w:val="20"/>
        </w:rPr>
        <w:t xml:space="preserve">less than </w:t>
      </w:r>
      <w:r w:rsidR="00113FE9" w:rsidRPr="005C2179">
        <w:rPr>
          <w:kern w:val="2"/>
          <w:sz w:val="20"/>
        </w:rPr>
        <w:t>$500 on election advertising in relation to a general election.</w:t>
      </w:r>
      <w:r w:rsidR="00113FE9" w:rsidRPr="005C2179">
        <w:rPr>
          <w:rStyle w:val="FootnoteReference"/>
          <w:kern w:val="2"/>
          <w:sz w:val="20"/>
        </w:rPr>
        <w:footnoteReference w:id="642"/>
      </w:r>
      <w:r w:rsidR="00113FE9" w:rsidRPr="005C2179">
        <w:rPr>
          <w:kern w:val="2"/>
          <w:sz w:val="20"/>
        </w:rPr>
        <w:t xml:space="preserve"> </w:t>
      </w:r>
      <w:r w:rsidR="00154F04" w:rsidRPr="005C2179">
        <w:rPr>
          <w:kern w:val="2"/>
          <w:sz w:val="20"/>
        </w:rPr>
        <w:t>Other</w:t>
      </w:r>
      <w:r w:rsidR="00113FE9" w:rsidRPr="005C2179">
        <w:rPr>
          <w:kern w:val="2"/>
          <w:sz w:val="20"/>
        </w:rPr>
        <w:t xml:space="preserve"> third parties are limited to $150,000</w:t>
      </w:r>
      <w:r w:rsidR="008079D7" w:rsidRPr="005C2179">
        <w:rPr>
          <w:kern w:val="2"/>
          <w:sz w:val="20"/>
        </w:rPr>
        <w:t>, multiplied by an inflation adjustment factor, for</w:t>
      </w:r>
      <w:r w:rsidR="00113FE9" w:rsidRPr="005C2179">
        <w:rPr>
          <w:kern w:val="2"/>
          <w:sz w:val="20"/>
        </w:rPr>
        <w:t xml:space="preserve"> election advertising expenses in relation to a general election.</w:t>
      </w:r>
      <w:r w:rsidR="008079D7" w:rsidRPr="005C2179">
        <w:rPr>
          <w:rStyle w:val="FootnoteReference"/>
          <w:kern w:val="2"/>
          <w:sz w:val="20"/>
        </w:rPr>
        <w:footnoteReference w:id="643"/>
      </w:r>
      <w:r w:rsidR="00113FE9" w:rsidRPr="005C2179">
        <w:rPr>
          <w:kern w:val="2"/>
          <w:sz w:val="20"/>
        </w:rPr>
        <w:t xml:space="preserve"> </w:t>
      </w:r>
      <w:r w:rsidR="008079D7" w:rsidRPr="005C2179">
        <w:rPr>
          <w:kern w:val="2"/>
          <w:sz w:val="20"/>
        </w:rPr>
        <w:t xml:space="preserve">Of this </w:t>
      </w:r>
      <w:r w:rsidR="00866260" w:rsidRPr="005C2179">
        <w:rPr>
          <w:kern w:val="2"/>
          <w:sz w:val="20"/>
        </w:rPr>
        <w:t>amount, no more than $3</w:t>
      </w:r>
      <w:r w:rsidR="00654863" w:rsidRPr="005C2179">
        <w:rPr>
          <w:kern w:val="2"/>
          <w:sz w:val="20"/>
        </w:rPr>
        <w:t>,</w:t>
      </w:r>
      <w:r w:rsidR="00866260" w:rsidRPr="005C2179">
        <w:rPr>
          <w:kern w:val="2"/>
          <w:sz w:val="20"/>
        </w:rPr>
        <w:t xml:space="preserve">000 may </w:t>
      </w:r>
      <w:r w:rsidR="00ED4BF6" w:rsidRPr="005C2179">
        <w:rPr>
          <w:kern w:val="2"/>
          <w:sz w:val="20"/>
        </w:rPr>
        <w:t>be incurred to promote or oppose the election of candidates in a single electoral district, including by “(a) naming them; (b) showing their likenesses; (c) identifying them by their</w:t>
      </w:r>
      <w:r w:rsidR="0033642E" w:rsidRPr="005C2179">
        <w:rPr>
          <w:kern w:val="2"/>
          <w:sz w:val="20"/>
        </w:rPr>
        <w:t xml:space="preserve"> </w:t>
      </w:r>
      <w:r w:rsidR="00ED4BF6" w:rsidRPr="005C2179">
        <w:rPr>
          <w:kern w:val="2"/>
          <w:sz w:val="20"/>
        </w:rPr>
        <w:t>...</w:t>
      </w:r>
      <w:r w:rsidR="0033642E" w:rsidRPr="005C2179">
        <w:rPr>
          <w:kern w:val="2"/>
          <w:sz w:val="20"/>
        </w:rPr>
        <w:t xml:space="preserve"> </w:t>
      </w:r>
      <w:r w:rsidR="00ED4BF6" w:rsidRPr="005C2179">
        <w:rPr>
          <w:kern w:val="2"/>
          <w:sz w:val="20"/>
        </w:rPr>
        <w:t>political affiliations; or (d) taking a position on an issue with which they are particularly associated.”</w:t>
      </w:r>
      <w:r w:rsidR="008079D7" w:rsidRPr="005C2179">
        <w:rPr>
          <w:rStyle w:val="FootnoteReference"/>
          <w:kern w:val="2"/>
          <w:sz w:val="20"/>
        </w:rPr>
        <w:footnoteReference w:id="644"/>
      </w:r>
      <w:r w:rsidR="00C531E6" w:rsidRPr="005C2179">
        <w:rPr>
          <w:kern w:val="2"/>
          <w:sz w:val="20"/>
        </w:rPr>
        <w:t xml:space="preserve"> </w:t>
      </w:r>
      <w:r w:rsidR="000B098E" w:rsidRPr="005C2179">
        <w:rPr>
          <w:kern w:val="2"/>
          <w:sz w:val="20"/>
        </w:rPr>
        <w:t>The</w:t>
      </w:r>
      <w:r w:rsidR="00E554CF" w:rsidRPr="005C2179">
        <w:rPr>
          <w:kern w:val="2"/>
          <w:sz w:val="20"/>
        </w:rPr>
        <w:t xml:space="preserve"> spending</w:t>
      </w:r>
      <w:r w:rsidR="000B098E" w:rsidRPr="005C2179">
        <w:rPr>
          <w:kern w:val="2"/>
          <w:sz w:val="20"/>
        </w:rPr>
        <w:t xml:space="preserve"> limits for</w:t>
      </w:r>
      <w:r w:rsidR="00154F04" w:rsidRPr="005C2179">
        <w:rPr>
          <w:kern w:val="2"/>
          <w:sz w:val="20"/>
        </w:rPr>
        <w:t xml:space="preserve"> these non-foreign</w:t>
      </w:r>
      <w:r w:rsidR="000B098E" w:rsidRPr="005C2179">
        <w:rPr>
          <w:kern w:val="2"/>
          <w:sz w:val="20"/>
        </w:rPr>
        <w:t xml:space="preserve"> third parties will be</w:t>
      </w:r>
      <w:r w:rsidR="00154F04" w:rsidRPr="005C2179">
        <w:rPr>
          <w:kern w:val="2"/>
          <w:sz w:val="20"/>
        </w:rPr>
        <w:t xml:space="preserve"> increased if</w:t>
      </w:r>
      <w:r w:rsidR="00C776FB" w:rsidRPr="005C2179">
        <w:rPr>
          <w:kern w:val="2"/>
          <w:sz w:val="20"/>
        </w:rPr>
        <w:t xml:space="preserve"> the election period lasts longer than 37 days.</w:t>
      </w:r>
      <w:r w:rsidR="00557C79" w:rsidRPr="005C2179">
        <w:rPr>
          <w:rStyle w:val="FootnoteReference"/>
          <w:kern w:val="2"/>
          <w:sz w:val="20"/>
        </w:rPr>
        <w:footnoteReference w:id="645"/>
      </w:r>
      <w:r w:rsidR="00C776FB" w:rsidRPr="005C2179">
        <w:rPr>
          <w:kern w:val="2"/>
          <w:sz w:val="20"/>
        </w:rPr>
        <w:t xml:space="preserve"> </w:t>
      </w:r>
      <w:r w:rsidR="00071748" w:rsidRPr="005C2179">
        <w:rPr>
          <w:kern w:val="2"/>
          <w:sz w:val="20"/>
        </w:rPr>
        <w:t>This resulted in much higher expenditure ceilings for the 2015 general election</w:t>
      </w:r>
      <w:r w:rsidR="004D75E3" w:rsidRPr="005C2179">
        <w:rPr>
          <w:kern w:val="2"/>
          <w:sz w:val="20"/>
        </w:rPr>
        <w:t>, which lasted 78 days</w:t>
      </w:r>
      <w:r w:rsidR="00071748" w:rsidRPr="005C2179">
        <w:rPr>
          <w:kern w:val="2"/>
          <w:sz w:val="20"/>
        </w:rPr>
        <w:t xml:space="preserve">. </w:t>
      </w:r>
      <w:r w:rsidR="00871F27" w:rsidRPr="005C2179">
        <w:rPr>
          <w:kern w:val="2"/>
          <w:sz w:val="20"/>
        </w:rPr>
        <w:t>Third parties w</w:t>
      </w:r>
      <w:r w:rsidR="004D75E3" w:rsidRPr="005C2179">
        <w:rPr>
          <w:kern w:val="2"/>
          <w:sz w:val="20"/>
        </w:rPr>
        <w:t>ere allowed to spend up to $439,</w:t>
      </w:r>
      <w:r w:rsidR="00871F27" w:rsidRPr="005C2179">
        <w:rPr>
          <w:kern w:val="2"/>
          <w:sz w:val="20"/>
        </w:rPr>
        <w:t>410.81 on election advertising expenses and up to $8,788.22 in a given electoral district.</w:t>
      </w:r>
      <w:r w:rsidR="00557C79" w:rsidRPr="005C2179">
        <w:rPr>
          <w:rStyle w:val="FootnoteReference"/>
          <w:kern w:val="2"/>
          <w:sz w:val="20"/>
        </w:rPr>
        <w:footnoteReference w:id="646"/>
      </w:r>
      <w:r w:rsidR="00871F27" w:rsidRPr="005C2179">
        <w:rPr>
          <w:kern w:val="2"/>
          <w:sz w:val="20"/>
        </w:rPr>
        <w:t xml:space="preserve"> </w:t>
      </w:r>
    </w:p>
    <w:p w14:paraId="19FDBFC8" w14:textId="77777777" w:rsidR="00C776FB" w:rsidRPr="005C2179" w:rsidRDefault="00C776FB" w:rsidP="00330F4B">
      <w:pPr>
        <w:rPr>
          <w:kern w:val="2"/>
          <w:sz w:val="20"/>
        </w:rPr>
      </w:pPr>
      <w:r w:rsidRPr="005C2179">
        <w:rPr>
          <w:kern w:val="2"/>
          <w:sz w:val="20"/>
        </w:rPr>
        <w:t xml:space="preserve">Third parties are prohibited from </w:t>
      </w:r>
      <w:r w:rsidR="0045603F" w:rsidRPr="005C2179">
        <w:rPr>
          <w:kern w:val="2"/>
          <w:sz w:val="20"/>
        </w:rPr>
        <w:t>attempting</w:t>
      </w:r>
      <w:r w:rsidR="00E90514" w:rsidRPr="005C2179">
        <w:rPr>
          <w:kern w:val="2"/>
          <w:sz w:val="20"/>
        </w:rPr>
        <w:t xml:space="preserve"> to circumvent spending limits by splitting themselves into multiple third parties or by acting in co</w:t>
      </w:r>
      <w:r w:rsidR="00E2172C" w:rsidRPr="005C2179">
        <w:rPr>
          <w:kern w:val="2"/>
          <w:sz w:val="20"/>
        </w:rPr>
        <w:t>llusion with other third parties.</w:t>
      </w:r>
      <w:r w:rsidR="00E2172C" w:rsidRPr="005C2179">
        <w:rPr>
          <w:rStyle w:val="FootnoteReference"/>
          <w:kern w:val="2"/>
          <w:sz w:val="20"/>
        </w:rPr>
        <w:footnoteReference w:id="647"/>
      </w:r>
      <w:r w:rsidR="00E90514" w:rsidRPr="005C2179">
        <w:rPr>
          <w:kern w:val="2"/>
          <w:sz w:val="20"/>
        </w:rPr>
        <w:t xml:space="preserve"> </w:t>
      </w:r>
    </w:p>
    <w:p w14:paraId="36B3094A" w14:textId="27F4D7C8" w:rsidR="0020104E" w:rsidRPr="005C2179" w:rsidRDefault="0020104E" w:rsidP="00025AEB">
      <w:pPr>
        <w:pStyle w:val="Heading4"/>
        <w:rPr>
          <w:kern w:val="2"/>
          <w:sz w:val="22"/>
        </w:rPr>
      </w:pPr>
      <w:r w:rsidRPr="005C2179">
        <w:rPr>
          <w:kern w:val="2"/>
          <w:sz w:val="22"/>
        </w:rPr>
        <w:t>Transparency Requirements for Third-Party Campaigners</w:t>
      </w:r>
    </w:p>
    <w:p w14:paraId="0D78271D" w14:textId="77777777" w:rsidR="0020104E" w:rsidRPr="005C2179" w:rsidRDefault="00E82C77" w:rsidP="00E26450">
      <w:pPr>
        <w:keepNext/>
        <w:rPr>
          <w:b/>
          <w:kern w:val="2"/>
          <w:sz w:val="20"/>
        </w:rPr>
      </w:pPr>
      <w:r w:rsidRPr="005C2179">
        <w:rPr>
          <w:b/>
          <w:kern w:val="2"/>
          <w:sz w:val="20"/>
        </w:rPr>
        <w:t>a) Registration</w:t>
      </w:r>
    </w:p>
    <w:p w14:paraId="55814519" w14:textId="77777777" w:rsidR="00E82C77" w:rsidRPr="005C2179" w:rsidRDefault="0008263E" w:rsidP="00330F4B">
      <w:pPr>
        <w:rPr>
          <w:kern w:val="2"/>
          <w:sz w:val="20"/>
        </w:rPr>
      </w:pPr>
      <w:r w:rsidRPr="005C2179">
        <w:rPr>
          <w:kern w:val="2"/>
          <w:sz w:val="20"/>
        </w:rPr>
        <w:t>Third parties must register as soon as they incur election advertising expenses of $500 or more.</w:t>
      </w:r>
      <w:r w:rsidRPr="005C2179">
        <w:rPr>
          <w:rStyle w:val="FootnoteReference"/>
          <w:kern w:val="2"/>
          <w:sz w:val="20"/>
        </w:rPr>
        <w:footnoteReference w:id="648"/>
      </w:r>
      <w:r w:rsidRPr="005C2179">
        <w:rPr>
          <w:kern w:val="2"/>
          <w:sz w:val="20"/>
        </w:rPr>
        <w:t xml:space="preserve"> If required to register, the third party must also appoint</w:t>
      </w:r>
      <w:r w:rsidR="007A1BDA" w:rsidRPr="005C2179">
        <w:rPr>
          <w:kern w:val="2"/>
          <w:sz w:val="20"/>
        </w:rPr>
        <w:t xml:space="preserve"> a financial agent to accept</w:t>
      </w:r>
      <w:r w:rsidRPr="005C2179">
        <w:rPr>
          <w:kern w:val="2"/>
          <w:sz w:val="20"/>
        </w:rPr>
        <w:t xml:space="preserve"> contributions for election advertisin</w:t>
      </w:r>
      <w:r w:rsidR="007A1BDA" w:rsidRPr="005C2179">
        <w:rPr>
          <w:kern w:val="2"/>
          <w:sz w:val="20"/>
        </w:rPr>
        <w:t xml:space="preserve">g purposes and to authorize </w:t>
      </w:r>
      <w:r w:rsidRPr="005C2179">
        <w:rPr>
          <w:kern w:val="2"/>
          <w:sz w:val="20"/>
        </w:rPr>
        <w:t>election advertising expenses.</w:t>
      </w:r>
      <w:r w:rsidR="008D2DAB" w:rsidRPr="005C2179">
        <w:rPr>
          <w:rStyle w:val="FootnoteReference"/>
          <w:kern w:val="2"/>
          <w:sz w:val="20"/>
        </w:rPr>
        <w:footnoteReference w:id="649"/>
      </w:r>
      <w:r w:rsidRPr="005C2179">
        <w:rPr>
          <w:kern w:val="2"/>
          <w:sz w:val="20"/>
        </w:rPr>
        <w:t xml:space="preserve"> </w:t>
      </w:r>
    </w:p>
    <w:p w14:paraId="5B44A772" w14:textId="77777777" w:rsidR="00E82C77" w:rsidRPr="005C2179" w:rsidRDefault="00E82C77" w:rsidP="00EB71B2">
      <w:pPr>
        <w:rPr>
          <w:b/>
          <w:kern w:val="2"/>
          <w:sz w:val="20"/>
        </w:rPr>
      </w:pPr>
      <w:r w:rsidRPr="005C2179">
        <w:rPr>
          <w:b/>
          <w:kern w:val="2"/>
          <w:sz w:val="20"/>
        </w:rPr>
        <w:t>b) Attribution</w:t>
      </w:r>
    </w:p>
    <w:p w14:paraId="73D8B8AC" w14:textId="77777777" w:rsidR="00986BC7" w:rsidRPr="005C2179" w:rsidRDefault="00E82C77" w:rsidP="00330F4B">
      <w:pPr>
        <w:rPr>
          <w:kern w:val="2"/>
          <w:sz w:val="20"/>
        </w:rPr>
      </w:pPr>
      <w:r w:rsidRPr="005C2179">
        <w:rPr>
          <w:kern w:val="2"/>
          <w:sz w:val="20"/>
        </w:rPr>
        <w:t>Third parties</w:t>
      </w:r>
      <w:r w:rsidR="00986BC7" w:rsidRPr="005C2179">
        <w:rPr>
          <w:kern w:val="2"/>
          <w:sz w:val="20"/>
        </w:rPr>
        <w:t xml:space="preserve"> must identify themselves in any election advertising they produce and indicate they have authorized the advertisement</w:t>
      </w:r>
      <w:r w:rsidRPr="005C2179">
        <w:rPr>
          <w:kern w:val="2"/>
          <w:sz w:val="20"/>
        </w:rPr>
        <w:t>.</w:t>
      </w:r>
      <w:r w:rsidRPr="005C2179">
        <w:rPr>
          <w:rStyle w:val="FootnoteReference"/>
          <w:kern w:val="2"/>
          <w:sz w:val="20"/>
        </w:rPr>
        <w:footnoteReference w:id="650"/>
      </w:r>
      <w:r w:rsidR="0008263E" w:rsidRPr="005C2179">
        <w:rPr>
          <w:kern w:val="2"/>
          <w:sz w:val="20"/>
        </w:rPr>
        <w:t xml:space="preserve"> </w:t>
      </w:r>
    </w:p>
    <w:p w14:paraId="5C318CC7" w14:textId="77777777" w:rsidR="001E6FFA" w:rsidRPr="005C2179" w:rsidRDefault="001E6FFA" w:rsidP="00EB71B2">
      <w:pPr>
        <w:rPr>
          <w:b/>
          <w:kern w:val="2"/>
          <w:sz w:val="20"/>
        </w:rPr>
      </w:pPr>
      <w:r w:rsidRPr="005C2179">
        <w:rPr>
          <w:b/>
          <w:kern w:val="2"/>
          <w:sz w:val="20"/>
        </w:rPr>
        <w:t xml:space="preserve">c) Reporting </w:t>
      </w:r>
    </w:p>
    <w:p w14:paraId="73F29684" w14:textId="77777777" w:rsidR="009E1B69" w:rsidRPr="005C2179" w:rsidRDefault="001E6FFA" w:rsidP="00330F4B">
      <w:pPr>
        <w:rPr>
          <w:kern w:val="2"/>
          <w:sz w:val="20"/>
        </w:rPr>
      </w:pPr>
      <w:r w:rsidRPr="005C2179">
        <w:rPr>
          <w:kern w:val="2"/>
          <w:sz w:val="20"/>
        </w:rPr>
        <w:t xml:space="preserve">If a third party is </w:t>
      </w:r>
      <w:r w:rsidR="0008108F" w:rsidRPr="005C2179">
        <w:rPr>
          <w:kern w:val="2"/>
          <w:sz w:val="20"/>
        </w:rPr>
        <w:t>required to register, they must</w:t>
      </w:r>
      <w:r w:rsidR="00AA2FC4" w:rsidRPr="005C2179">
        <w:rPr>
          <w:kern w:val="2"/>
          <w:sz w:val="20"/>
        </w:rPr>
        <w:t xml:space="preserve"> </w:t>
      </w:r>
      <w:r w:rsidR="000D0642" w:rsidRPr="005C2179">
        <w:rPr>
          <w:kern w:val="2"/>
          <w:sz w:val="20"/>
        </w:rPr>
        <w:t>file a detailed</w:t>
      </w:r>
      <w:r w:rsidRPr="005C2179">
        <w:rPr>
          <w:kern w:val="2"/>
          <w:sz w:val="20"/>
        </w:rPr>
        <w:t xml:space="preserve"> election advertising report with the Chief Electoral Officer within four months of polling day.</w:t>
      </w:r>
      <w:r w:rsidR="00AA2FC4" w:rsidRPr="005C2179">
        <w:rPr>
          <w:rStyle w:val="FootnoteReference"/>
          <w:kern w:val="2"/>
          <w:sz w:val="20"/>
        </w:rPr>
        <w:footnoteReference w:id="651"/>
      </w:r>
      <w:r w:rsidRPr="005C2179">
        <w:rPr>
          <w:kern w:val="2"/>
          <w:sz w:val="20"/>
        </w:rPr>
        <w:t xml:space="preserve"> </w:t>
      </w:r>
      <w:r w:rsidR="00AA2FC4" w:rsidRPr="005C2179">
        <w:rPr>
          <w:kern w:val="2"/>
          <w:sz w:val="20"/>
        </w:rPr>
        <w:t>For general elections, the report must include a list of all election advertising expenses at the district and national level, as well as “the time and place of broadcast or publication of the advertisements” to which those expenses relate.</w:t>
      </w:r>
      <w:r w:rsidR="00977865" w:rsidRPr="005C2179">
        <w:rPr>
          <w:rStyle w:val="FootnoteReference"/>
          <w:kern w:val="2"/>
          <w:sz w:val="20"/>
        </w:rPr>
        <w:footnoteReference w:id="652"/>
      </w:r>
      <w:r w:rsidR="00977865" w:rsidRPr="005C2179">
        <w:rPr>
          <w:kern w:val="2"/>
          <w:sz w:val="20"/>
        </w:rPr>
        <w:t xml:space="preserve"> The </w:t>
      </w:r>
      <w:r w:rsidR="0008108F" w:rsidRPr="005C2179">
        <w:rPr>
          <w:kern w:val="2"/>
          <w:sz w:val="20"/>
        </w:rPr>
        <w:t xml:space="preserve">report must also </w:t>
      </w:r>
      <w:r w:rsidR="00977865" w:rsidRPr="005C2179">
        <w:rPr>
          <w:kern w:val="2"/>
          <w:sz w:val="20"/>
        </w:rPr>
        <w:t xml:space="preserve">disclose the amount of contributions received for election </w:t>
      </w:r>
      <w:r w:rsidR="00C47C47" w:rsidRPr="005C2179">
        <w:rPr>
          <w:kern w:val="2"/>
          <w:sz w:val="20"/>
        </w:rPr>
        <w:t>advertising purposes from six months before the issue of the writ to polling day.</w:t>
      </w:r>
      <w:r w:rsidR="00F16DCE" w:rsidRPr="005C2179">
        <w:rPr>
          <w:rStyle w:val="FootnoteReference"/>
          <w:kern w:val="2"/>
          <w:sz w:val="20"/>
        </w:rPr>
        <w:footnoteReference w:id="653"/>
      </w:r>
      <w:r w:rsidR="00F16DCE" w:rsidRPr="005C2179">
        <w:rPr>
          <w:kern w:val="2"/>
          <w:sz w:val="20"/>
        </w:rPr>
        <w:t xml:space="preserve"> For contributions of </w:t>
      </w:r>
      <w:r w:rsidR="00977865" w:rsidRPr="005C2179">
        <w:rPr>
          <w:kern w:val="2"/>
          <w:sz w:val="20"/>
        </w:rPr>
        <w:t>more than $200 during</w:t>
      </w:r>
      <w:r w:rsidR="0008108F" w:rsidRPr="005C2179">
        <w:rPr>
          <w:kern w:val="2"/>
          <w:sz w:val="20"/>
        </w:rPr>
        <w:t xml:space="preserve"> this</w:t>
      </w:r>
      <w:r w:rsidR="00F16DCE" w:rsidRPr="005C2179">
        <w:rPr>
          <w:kern w:val="2"/>
          <w:sz w:val="20"/>
        </w:rPr>
        <w:t xml:space="preserve"> time period,</w:t>
      </w:r>
      <w:r w:rsidR="00977865" w:rsidRPr="005C2179">
        <w:rPr>
          <w:kern w:val="2"/>
          <w:sz w:val="20"/>
        </w:rPr>
        <w:t xml:space="preserve"> the report must state </w:t>
      </w:r>
      <w:r w:rsidR="00F16DCE" w:rsidRPr="005C2179">
        <w:rPr>
          <w:kern w:val="2"/>
          <w:sz w:val="20"/>
        </w:rPr>
        <w:t>the name and address of the contributor and</w:t>
      </w:r>
      <w:r w:rsidR="00977865" w:rsidRPr="005C2179">
        <w:rPr>
          <w:kern w:val="2"/>
          <w:sz w:val="20"/>
        </w:rPr>
        <w:t xml:space="preserve"> the amount an</w:t>
      </w:r>
      <w:r w:rsidR="00F16DCE" w:rsidRPr="005C2179">
        <w:rPr>
          <w:kern w:val="2"/>
          <w:sz w:val="20"/>
        </w:rPr>
        <w:t>d date of the contribution.</w:t>
      </w:r>
      <w:r w:rsidR="000D0642" w:rsidRPr="005C2179">
        <w:rPr>
          <w:rStyle w:val="FootnoteReference"/>
          <w:kern w:val="2"/>
          <w:sz w:val="20"/>
        </w:rPr>
        <w:footnoteReference w:id="654"/>
      </w:r>
      <w:r w:rsidR="000D0642" w:rsidRPr="005C2179">
        <w:rPr>
          <w:kern w:val="2"/>
          <w:sz w:val="20"/>
        </w:rPr>
        <w:t xml:space="preserve"> If the contributor is a numbered com</w:t>
      </w:r>
      <w:r w:rsidR="0008108F" w:rsidRPr="005C2179">
        <w:rPr>
          <w:kern w:val="2"/>
          <w:sz w:val="20"/>
        </w:rPr>
        <w:t xml:space="preserve">pany, the third party must </w:t>
      </w:r>
      <w:r w:rsidR="000D0642" w:rsidRPr="005C2179">
        <w:rPr>
          <w:kern w:val="2"/>
          <w:sz w:val="20"/>
        </w:rPr>
        <w:t>include the name of its CEO or president.</w:t>
      </w:r>
      <w:r w:rsidR="000D0642" w:rsidRPr="005C2179">
        <w:rPr>
          <w:rStyle w:val="FootnoteReference"/>
          <w:kern w:val="2"/>
          <w:sz w:val="20"/>
        </w:rPr>
        <w:footnoteReference w:id="655"/>
      </w:r>
      <w:r w:rsidR="0008108F" w:rsidRPr="005C2179">
        <w:rPr>
          <w:kern w:val="2"/>
          <w:sz w:val="20"/>
        </w:rPr>
        <w:t xml:space="preserve"> The report must</w:t>
      </w:r>
      <w:r w:rsidR="00054753" w:rsidRPr="005C2179">
        <w:rPr>
          <w:kern w:val="2"/>
          <w:sz w:val="20"/>
        </w:rPr>
        <w:t xml:space="preserve"> also</w:t>
      </w:r>
      <w:r w:rsidR="0008108F" w:rsidRPr="005C2179">
        <w:rPr>
          <w:kern w:val="2"/>
          <w:sz w:val="20"/>
        </w:rPr>
        <w:t xml:space="preserve"> include the amount used out of the third party’s own funds to pay for </w:t>
      </w:r>
      <w:r w:rsidR="00FE604B" w:rsidRPr="005C2179">
        <w:rPr>
          <w:kern w:val="2"/>
          <w:sz w:val="20"/>
        </w:rPr>
        <w:t>election advertising expenses.</w:t>
      </w:r>
      <w:r w:rsidR="00FE604B" w:rsidRPr="005C2179">
        <w:rPr>
          <w:rStyle w:val="FootnoteReference"/>
          <w:kern w:val="2"/>
          <w:sz w:val="20"/>
        </w:rPr>
        <w:footnoteReference w:id="656"/>
      </w:r>
      <w:r w:rsidR="0010022D" w:rsidRPr="005C2179">
        <w:rPr>
          <w:kern w:val="2"/>
          <w:sz w:val="20"/>
        </w:rPr>
        <w:t xml:space="preserve"> T</w:t>
      </w:r>
      <w:r w:rsidR="009E1B69" w:rsidRPr="005C2179">
        <w:rPr>
          <w:kern w:val="2"/>
          <w:sz w:val="20"/>
        </w:rPr>
        <w:t>hird parties who incur election advertising expenses of $5</w:t>
      </w:r>
      <w:r w:rsidR="0045603F" w:rsidRPr="005C2179">
        <w:rPr>
          <w:kern w:val="2"/>
          <w:sz w:val="20"/>
        </w:rPr>
        <w:t>,</w:t>
      </w:r>
      <w:r w:rsidR="009E1B69" w:rsidRPr="005C2179">
        <w:rPr>
          <w:kern w:val="2"/>
          <w:sz w:val="20"/>
        </w:rPr>
        <w:t>000 or more must appoint an auditor</w:t>
      </w:r>
      <w:r w:rsidR="0010022D" w:rsidRPr="005C2179">
        <w:rPr>
          <w:kern w:val="2"/>
          <w:sz w:val="20"/>
        </w:rPr>
        <w:t>, who must</w:t>
      </w:r>
      <w:r w:rsidR="00CB4683" w:rsidRPr="005C2179">
        <w:rPr>
          <w:kern w:val="2"/>
          <w:sz w:val="20"/>
        </w:rPr>
        <w:t xml:space="preserve"> </w:t>
      </w:r>
      <w:r w:rsidR="00295F48" w:rsidRPr="005C2179">
        <w:rPr>
          <w:kern w:val="2"/>
          <w:sz w:val="20"/>
        </w:rPr>
        <w:t>confirm that</w:t>
      </w:r>
      <w:r w:rsidR="00CB4683" w:rsidRPr="005C2179">
        <w:rPr>
          <w:kern w:val="2"/>
          <w:sz w:val="20"/>
        </w:rPr>
        <w:t xml:space="preserve"> the election advertising report is a fair reflection of accounting records.</w:t>
      </w:r>
      <w:r w:rsidR="00CB4683" w:rsidRPr="005C2179">
        <w:rPr>
          <w:rStyle w:val="FootnoteReference"/>
          <w:kern w:val="2"/>
          <w:sz w:val="20"/>
        </w:rPr>
        <w:footnoteReference w:id="657"/>
      </w:r>
      <w:r w:rsidR="00F03D07" w:rsidRPr="005C2179">
        <w:rPr>
          <w:kern w:val="2"/>
          <w:sz w:val="20"/>
        </w:rPr>
        <w:t xml:space="preserve"> </w:t>
      </w:r>
      <w:r w:rsidR="009E1B69" w:rsidRPr="005C2179">
        <w:rPr>
          <w:kern w:val="2"/>
          <w:sz w:val="20"/>
        </w:rPr>
        <w:t xml:space="preserve"> </w:t>
      </w:r>
    </w:p>
    <w:p w14:paraId="3C853932" w14:textId="77777777" w:rsidR="001B6A5E" w:rsidRPr="005C2179" w:rsidRDefault="005A27BD" w:rsidP="00330F4B">
      <w:pPr>
        <w:rPr>
          <w:kern w:val="2"/>
          <w:sz w:val="20"/>
        </w:rPr>
      </w:pPr>
      <w:r w:rsidRPr="005C2179">
        <w:rPr>
          <w:kern w:val="2"/>
          <w:sz w:val="20"/>
        </w:rPr>
        <w:t>The Chief Electoral Officer</w:t>
      </w:r>
      <w:r w:rsidR="00521353" w:rsidRPr="005C2179">
        <w:rPr>
          <w:kern w:val="2"/>
          <w:sz w:val="20"/>
        </w:rPr>
        <w:t xml:space="preserve"> </w:t>
      </w:r>
      <w:r w:rsidR="00295F48" w:rsidRPr="005C2179">
        <w:rPr>
          <w:kern w:val="2"/>
          <w:sz w:val="20"/>
        </w:rPr>
        <w:t>is required to</w:t>
      </w:r>
      <w:r w:rsidRPr="005C2179">
        <w:rPr>
          <w:kern w:val="2"/>
          <w:sz w:val="20"/>
        </w:rPr>
        <w:t xml:space="preserve"> publish registered third parties’</w:t>
      </w:r>
      <w:r w:rsidR="001B6A5E" w:rsidRPr="005C2179">
        <w:rPr>
          <w:kern w:val="2"/>
          <w:sz w:val="20"/>
        </w:rPr>
        <w:t xml:space="preserve"> names and addresses and, within one y</w:t>
      </w:r>
      <w:r w:rsidR="006B577D" w:rsidRPr="005C2179">
        <w:rPr>
          <w:kern w:val="2"/>
          <w:sz w:val="20"/>
        </w:rPr>
        <w:t>ear of the</w:t>
      </w:r>
      <w:r w:rsidRPr="005C2179">
        <w:rPr>
          <w:kern w:val="2"/>
          <w:sz w:val="20"/>
        </w:rPr>
        <w:t xml:space="preserve"> issue of </w:t>
      </w:r>
      <w:r w:rsidR="006B577D" w:rsidRPr="005C2179">
        <w:rPr>
          <w:kern w:val="2"/>
          <w:sz w:val="20"/>
        </w:rPr>
        <w:t xml:space="preserve">the </w:t>
      </w:r>
      <w:r w:rsidRPr="005C2179">
        <w:rPr>
          <w:kern w:val="2"/>
          <w:sz w:val="20"/>
        </w:rPr>
        <w:t>writ, the third parties</w:t>
      </w:r>
      <w:r w:rsidR="001B6A5E" w:rsidRPr="005C2179">
        <w:rPr>
          <w:kern w:val="2"/>
          <w:sz w:val="20"/>
        </w:rPr>
        <w:t>’ election advertising reports</w:t>
      </w:r>
      <w:r w:rsidRPr="005C2179">
        <w:rPr>
          <w:kern w:val="2"/>
          <w:sz w:val="20"/>
        </w:rPr>
        <w:t>.</w:t>
      </w:r>
      <w:r w:rsidR="003D32CC" w:rsidRPr="005C2179">
        <w:rPr>
          <w:rStyle w:val="FootnoteReference"/>
          <w:kern w:val="2"/>
          <w:sz w:val="20"/>
        </w:rPr>
        <w:footnoteReference w:id="658"/>
      </w:r>
      <w:r w:rsidR="001B6A5E" w:rsidRPr="005C2179">
        <w:rPr>
          <w:kern w:val="2"/>
          <w:sz w:val="20"/>
        </w:rPr>
        <w:t xml:space="preserve"> </w:t>
      </w:r>
      <w:r w:rsidR="005000E6" w:rsidRPr="005C2179">
        <w:rPr>
          <w:kern w:val="2"/>
          <w:sz w:val="20"/>
        </w:rPr>
        <w:t>If the information is not released</w:t>
      </w:r>
      <w:r w:rsidR="0002224C" w:rsidRPr="005C2179">
        <w:rPr>
          <w:kern w:val="2"/>
          <w:sz w:val="20"/>
        </w:rPr>
        <w:t xml:space="preserve"> until a</w:t>
      </w:r>
      <w:r w:rsidR="006B577D" w:rsidRPr="005C2179">
        <w:rPr>
          <w:kern w:val="2"/>
          <w:sz w:val="20"/>
        </w:rPr>
        <w:t xml:space="preserve"> year after the writ drops</w:t>
      </w:r>
      <w:r w:rsidR="00C31A2F" w:rsidRPr="005C2179">
        <w:rPr>
          <w:kern w:val="2"/>
          <w:sz w:val="20"/>
        </w:rPr>
        <w:t>, the</w:t>
      </w:r>
      <w:r w:rsidR="0002224C" w:rsidRPr="005C2179">
        <w:rPr>
          <w:kern w:val="2"/>
          <w:sz w:val="20"/>
        </w:rPr>
        <w:t xml:space="preserve"> delay</w:t>
      </w:r>
      <w:r w:rsidR="005000E6" w:rsidRPr="005C2179">
        <w:rPr>
          <w:kern w:val="2"/>
          <w:sz w:val="20"/>
        </w:rPr>
        <w:t xml:space="preserve"> could undercut the anticorruption goals of disclosure, as </w:t>
      </w:r>
      <w:r w:rsidR="00536106" w:rsidRPr="005C2179">
        <w:rPr>
          <w:kern w:val="2"/>
          <w:sz w:val="20"/>
        </w:rPr>
        <w:t xml:space="preserve">the potential for </w:t>
      </w:r>
      <w:r w:rsidR="0003407F" w:rsidRPr="005C2179">
        <w:rPr>
          <w:kern w:val="2"/>
          <w:sz w:val="20"/>
        </w:rPr>
        <w:t>undue influence may not be discovered until irrevocable decisions have been made</w:t>
      </w:r>
      <w:r w:rsidR="00B95BC9" w:rsidRPr="005C2179">
        <w:rPr>
          <w:kern w:val="2"/>
          <w:sz w:val="20"/>
        </w:rPr>
        <w:t xml:space="preserve"> by lawmakers</w:t>
      </w:r>
      <w:r w:rsidR="0003407F" w:rsidRPr="005C2179">
        <w:rPr>
          <w:kern w:val="2"/>
          <w:sz w:val="20"/>
        </w:rPr>
        <w:t xml:space="preserve">. </w:t>
      </w:r>
      <w:r w:rsidR="00B95BC9" w:rsidRPr="005C2179">
        <w:rPr>
          <w:kern w:val="2"/>
          <w:sz w:val="20"/>
        </w:rPr>
        <w:t>The public and the media could therefore</w:t>
      </w:r>
      <w:r w:rsidR="001C54F6" w:rsidRPr="005C2179">
        <w:rPr>
          <w:kern w:val="2"/>
          <w:sz w:val="20"/>
        </w:rPr>
        <w:t xml:space="preserve"> be </w:t>
      </w:r>
      <w:r w:rsidR="00B95BC9" w:rsidRPr="005C2179">
        <w:rPr>
          <w:kern w:val="2"/>
          <w:sz w:val="20"/>
        </w:rPr>
        <w:t xml:space="preserve">temporarily deprived of </w:t>
      </w:r>
      <w:r w:rsidR="001C54F6" w:rsidRPr="005C2179">
        <w:rPr>
          <w:kern w:val="2"/>
          <w:sz w:val="20"/>
        </w:rPr>
        <w:t>potentially relevant informat</w:t>
      </w:r>
      <w:r w:rsidR="00B95BC9" w:rsidRPr="005C2179">
        <w:rPr>
          <w:kern w:val="2"/>
          <w:sz w:val="20"/>
        </w:rPr>
        <w:t>ion in evaluating lawmakers’ proposals and decisions</w:t>
      </w:r>
      <w:r w:rsidR="001C54F6" w:rsidRPr="005C2179">
        <w:rPr>
          <w:kern w:val="2"/>
          <w:sz w:val="20"/>
        </w:rPr>
        <w:t xml:space="preserve">. </w:t>
      </w:r>
    </w:p>
    <w:p w14:paraId="5DEFF4BA" w14:textId="7706E2C7" w:rsidR="003C02BB" w:rsidRPr="005C2179" w:rsidRDefault="00F91A29" w:rsidP="00025AEB">
      <w:pPr>
        <w:pStyle w:val="Heading3"/>
        <w:rPr>
          <w:kern w:val="2"/>
          <w:sz w:val="22"/>
        </w:rPr>
      </w:pPr>
      <w:r w:rsidRPr="005C2179">
        <w:rPr>
          <w:kern w:val="2"/>
          <w:sz w:val="22"/>
        </w:rPr>
        <w:t xml:space="preserve">Role of </w:t>
      </w:r>
      <w:r w:rsidR="008273C0" w:rsidRPr="005C2179">
        <w:rPr>
          <w:kern w:val="2"/>
          <w:sz w:val="22"/>
        </w:rPr>
        <w:t>the Chief Electoral Officer</w:t>
      </w:r>
      <w:r w:rsidR="004275ED" w:rsidRPr="005C2179">
        <w:rPr>
          <w:kern w:val="2"/>
          <w:sz w:val="22"/>
        </w:rPr>
        <w:t xml:space="preserve"> and the Commissioner of Canada Elections </w:t>
      </w:r>
    </w:p>
    <w:p w14:paraId="598C5AEF" w14:textId="77777777" w:rsidR="00761EA7" w:rsidRPr="005C2179" w:rsidRDefault="00761EA7" w:rsidP="00330F4B">
      <w:pPr>
        <w:rPr>
          <w:kern w:val="2"/>
          <w:sz w:val="20"/>
        </w:rPr>
      </w:pPr>
      <w:r w:rsidRPr="005C2179">
        <w:rPr>
          <w:kern w:val="2"/>
          <w:sz w:val="20"/>
        </w:rPr>
        <w:t xml:space="preserve">Sections 16.1 and 16.2 require </w:t>
      </w:r>
      <w:r w:rsidR="00EE424A" w:rsidRPr="005C2179">
        <w:rPr>
          <w:kern w:val="2"/>
          <w:sz w:val="20"/>
        </w:rPr>
        <w:t>the Chief Electoral Officer</w:t>
      </w:r>
      <w:r w:rsidRPr="005C2179">
        <w:rPr>
          <w:kern w:val="2"/>
          <w:sz w:val="20"/>
        </w:rPr>
        <w:t xml:space="preserve"> to issue guidelines, interpretation notes, and advisory opinions</w:t>
      </w:r>
      <w:r w:rsidR="003F61EA" w:rsidRPr="005C2179">
        <w:rPr>
          <w:kern w:val="2"/>
          <w:sz w:val="20"/>
        </w:rPr>
        <w:t xml:space="preserve"> on the application and interpretation of the </w:t>
      </w:r>
      <w:r w:rsidR="003F61EA" w:rsidRPr="005C2179">
        <w:rPr>
          <w:i/>
          <w:kern w:val="2"/>
          <w:sz w:val="20"/>
        </w:rPr>
        <w:t>CEA</w:t>
      </w:r>
      <w:r w:rsidRPr="005C2179">
        <w:rPr>
          <w:kern w:val="2"/>
          <w:sz w:val="20"/>
        </w:rPr>
        <w:t xml:space="preserve">. </w:t>
      </w:r>
      <w:r w:rsidR="00535BD8" w:rsidRPr="005C2179">
        <w:rPr>
          <w:kern w:val="2"/>
          <w:sz w:val="20"/>
        </w:rPr>
        <w:t>The Chief Electoral Officer</w:t>
      </w:r>
      <w:r w:rsidR="008273C0" w:rsidRPr="005C2179">
        <w:rPr>
          <w:kern w:val="2"/>
          <w:sz w:val="20"/>
        </w:rPr>
        <w:t xml:space="preserve"> also publishes disclosed information on political financing.</w:t>
      </w:r>
      <w:r w:rsidR="008273C0" w:rsidRPr="005C2179">
        <w:rPr>
          <w:rStyle w:val="FootnoteReference"/>
          <w:kern w:val="2"/>
          <w:sz w:val="20"/>
        </w:rPr>
        <w:footnoteReference w:id="659"/>
      </w:r>
      <w:r w:rsidR="004275ED" w:rsidRPr="005C2179">
        <w:rPr>
          <w:kern w:val="2"/>
          <w:sz w:val="20"/>
        </w:rPr>
        <w:t xml:space="preserve"> The Commissioner of Canada Elections is responsible for compliance with the requirements of the </w:t>
      </w:r>
      <w:r w:rsidR="004275ED" w:rsidRPr="005C2179">
        <w:rPr>
          <w:i/>
          <w:kern w:val="2"/>
          <w:sz w:val="20"/>
        </w:rPr>
        <w:t xml:space="preserve">CEA. </w:t>
      </w:r>
      <w:r w:rsidR="004275ED" w:rsidRPr="005C2179">
        <w:rPr>
          <w:kern w:val="2"/>
          <w:sz w:val="20"/>
        </w:rPr>
        <w:t>The Commissioner’s r</w:t>
      </w:r>
      <w:r w:rsidR="00C84C31" w:rsidRPr="005C2179">
        <w:rPr>
          <w:kern w:val="2"/>
          <w:sz w:val="20"/>
        </w:rPr>
        <w:t xml:space="preserve">esponsibilities in this regard </w:t>
      </w:r>
      <w:r w:rsidR="004275ED" w:rsidRPr="005C2179">
        <w:rPr>
          <w:kern w:val="2"/>
          <w:sz w:val="20"/>
        </w:rPr>
        <w:t>include investigation of non-compliance and referral of potential offences to the Director of Public Prosecution</w:t>
      </w:r>
      <w:r w:rsidR="00E56C42" w:rsidRPr="005C2179">
        <w:rPr>
          <w:kern w:val="2"/>
          <w:sz w:val="20"/>
        </w:rPr>
        <w:t>s, who may initiate prosecution</w:t>
      </w:r>
      <w:r w:rsidR="004275ED" w:rsidRPr="005C2179">
        <w:rPr>
          <w:kern w:val="2"/>
          <w:sz w:val="20"/>
        </w:rPr>
        <w:t>.</w:t>
      </w:r>
      <w:r w:rsidR="004275ED" w:rsidRPr="005C2179">
        <w:rPr>
          <w:rStyle w:val="FootnoteReference"/>
          <w:kern w:val="2"/>
          <w:sz w:val="20"/>
        </w:rPr>
        <w:footnoteReference w:id="660"/>
      </w:r>
      <w:r w:rsidR="004275ED" w:rsidRPr="005C2179">
        <w:rPr>
          <w:kern w:val="2"/>
          <w:sz w:val="20"/>
        </w:rPr>
        <w:t xml:space="preserve"> </w:t>
      </w:r>
    </w:p>
    <w:p w14:paraId="78897B15" w14:textId="5E36E54D" w:rsidR="00B31259" w:rsidRPr="005C2179" w:rsidRDefault="00B31259" w:rsidP="00025AEB">
      <w:pPr>
        <w:pStyle w:val="Heading2"/>
        <w:rPr>
          <w:kern w:val="2"/>
          <w:sz w:val="24"/>
        </w:rPr>
      </w:pPr>
      <w:r w:rsidRPr="005C2179">
        <w:rPr>
          <w:kern w:val="2"/>
          <w:sz w:val="24"/>
        </w:rPr>
        <w:t xml:space="preserve">Criticisms of Campaign Finance Regulation in Canada </w:t>
      </w:r>
    </w:p>
    <w:p w14:paraId="4D43C2EC" w14:textId="77777777" w:rsidR="000849A6" w:rsidRPr="005C2179" w:rsidRDefault="003B6FA4" w:rsidP="00330F4B">
      <w:pPr>
        <w:rPr>
          <w:kern w:val="2"/>
          <w:sz w:val="20"/>
        </w:rPr>
      </w:pPr>
      <w:r w:rsidRPr="005C2179">
        <w:rPr>
          <w:kern w:val="2"/>
          <w:sz w:val="20"/>
        </w:rPr>
        <w:t xml:space="preserve">The Canadian campaign finance regime </w:t>
      </w:r>
      <w:r w:rsidR="002A053D" w:rsidRPr="005C2179">
        <w:rPr>
          <w:kern w:val="2"/>
          <w:sz w:val="20"/>
        </w:rPr>
        <w:t xml:space="preserve">has </w:t>
      </w:r>
      <w:r w:rsidR="002F566F" w:rsidRPr="005C2179">
        <w:rPr>
          <w:kern w:val="2"/>
          <w:sz w:val="20"/>
        </w:rPr>
        <w:t xml:space="preserve">apparently </w:t>
      </w:r>
      <w:r w:rsidR="002A053D" w:rsidRPr="005C2179">
        <w:rPr>
          <w:kern w:val="2"/>
          <w:sz w:val="20"/>
        </w:rPr>
        <w:t>had some success</w:t>
      </w:r>
      <w:r w:rsidR="003D68EF" w:rsidRPr="005C2179">
        <w:rPr>
          <w:kern w:val="2"/>
          <w:sz w:val="20"/>
        </w:rPr>
        <w:t xml:space="preserve"> in reducing </w:t>
      </w:r>
      <w:r w:rsidR="00C201CE" w:rsidRPr="005C2179">
        <w:rPr>
          <w:kern w:val="2"/>
          <w:sz w:val="20"/>
        </w:rPr>
        <w:t xml:space="preserve">reliance on large donors. </w:t>
      </w:r>
      <w:r w:rsidRPr="005C2179">
        <w:rPr>
          <w:kern w:val="2"/>
          <w:sz w:val="20"/>
        </w:rPr>
        <w:t>Before the regulations governing</w:t>
      </w:r>
      <w:r w:rsidR="00405A24" w:rsidRPr="005C2179">
        <w:rPr>
          <w:kern w:val="2"/>
          <w:sz w:val="20"/>
        </w:rPr>
        <w:t xml:space="preserve"> </w:t>
      </w:r>
      <w:r w:rsidR="00613DBA" w:rsidRPr="005C2179">
        <w:rPr>
          <w:kern w:val="2"/>
          <w:sz w:val="20"/>
        </w:rPr>
        <w:t xml:space="preserve">contributions </w:t>
      </w:r>
      <w:r w:rsidRPr="005C2179">
        <w:rPr>
          <w:kern w:val="2"/>
          <w:sz w:val="20"/>
        </w:rPr>
        <w:t>were introduced in 2004</w:t>
      </w:r>
      <w:r w:rsidR="00613DBA" w:rsidRPr="005C2179">
        <w:rPr>
          <w:kern w:val="2"/>
          <w:sz w:val="20"/>
        </w:rPr>
        <w:t xml:space="preserve">, 2% of donors were responsible </w:t>
      </w:r>
      <w:r w:rsidR="001A4D1F" w:rsidRPr="005C2179">
        <w:rPr>
          <w:kern w:val="2"/>
          <w:sz w:val="20"/>
        </w:rPr>
        <w:t xml:space="preserve">for 54% of </w:t>
      </w:r>
      <w:r w:rsidR="000849A6" w:rsidRPr="005C2179">
        <w:rPr>
          <w:kern w:val="2"/>
          <w:sz w:val="20"/>
        </w:rPr>
        <w:t>funds raised by politicians</w:t>
      </w:r>
      <w:r w:rsidR="00C97A39" w:rsidRPr="005C2179">
        <w:rPr>
          <w:kern w:val="2"/>
          <w:sz w:val="20"/>
        </w:rPr>
        <w:t>.</w:t>
      </w:r>
      <w:r w:rsidR="00C97A39" w:rsidRPr="005C2179">
        <w:rPr>
          <w:rStyle w:val="FootnoteReference"/>
          <w:kern w:val="2"/>
          <w:sz w:val="20"/>
        </w:rPr>
        <w:footnoteReference w:id="661"/>
      </w:r>
      <w:r w:rsidR="00C97A39" w:rsidRPr="005C2179">
        <w:rPr>
          <w:kern w:val="2"/>
          <w:sz w:val="20"/>
        </w:rPr>
        <w:t xml:space="preserve"> </w:t>
      </w:r>
      <w:r w:rsidRPr="005C2179">
        <w:rPr>
          <w:kern w:val="2"/>
          <w:sz w:val="20"/>
        </w:rPr>
        <w:t xml:space="preserve">From 2004 to 2008, the 1% of donors who gave over $1,200 per year accounted for only 17% of </w:t>
      </w:r>
      <w:r w:rsidR="00F54518" w:rsidRPr="005C2179">
        <w:rPr>
          <w:kern w:val="2"/>
          <w:sz w:val="20"/>
        </w:rPr>
        <w:t>the total amount contributed</w:t>
      </w:r>
      <w:r w:rsidRPr="005C2179">
        <w:rPr>
          <w:kern w:val="2"/>
          <w:sz w:val="20"/>
        </w:rPr>
        <w:t xml:space="preserve">, and since 2008, this same 1% of donors has accounted for about 1% of </w:t>
      </w:r>
      <w:r w:rsidR="00F54518" w:rsidRPr="005C2179">
        <w:rPr>
          <w:kern w:val="2"/>
          <w:sz w:val="20"/>
        </w:rPr>
        <w:t>the total amount contributed</w:t>
      </w:r>
      <w:r w:rsidR="00613DBA" w:rsidRPr="005C2179">
        <w:rPr>
          <w:kern w:val="2"/>
          <w:sz w:val="20"/>
        </w:rPr>
        <w:t>.</w:t>
      </w:r>
      <w:r w:rsidR="00613DBA" w:rsidRPr="005C2179">
        <w:rPr>
          <w:rStyle w:val="FootnoteReference"/>
          <w:kern w:val="2"/>
          <w:sz w:val="20"/>
        </w:rPr>
        <w:footnoteReference w:id="662"/>
      </w:r>
      <w:r w:rsidR="001A4D1F" w:rsidRPr="005C2179">
        <w:rPr>
          <w:kern w:val="2"/>
          <w:sz w:val="20"/>
        </w:rPr>
        <w:t xml:space="preserve"> </w:t>
      </w:r>
    </w:p>
    <w:p w14:paraId="3B99BFF6" w14:textId="77777777" w:rsidR="0025453D" w:rsidRPr="005C2179" w:rsidRDefault="001A4D1F" w:rsidP="00330F4B">
      <w:pPr>
        <w:rPr>
          <w:kern w:val="2"/>
          <w:sz w:val="20"/>
        </w:rPr>
      </w:pPr>
      <w:r w:rsidRPr="005C2179">
        <w:rPr>
          <w:kern w:val="2"/>
          <w:sz w:val="20"/>
        </w:rPr>
        <w:t xml:space="preserve">However, </w:t>
      </w:r>
      <w:r w:rsidR="000849A6" w:rsidRPr="005C2179">
        <w:rPr>
          <w:kern w:val="2"/>
          <w:sz w:val="20"/>
        </w:rPr>
        <w:t xml:space="preserve">other </w:t>
      </w:r>
      <w:r w:rsidR="000A68E4" w:rsidRPr="005C2179">
        <w:rPr>
          <w:kern w:val="2"/>
          <w:sz w:val="20"/>
        </w:rPr>
        <w:t xml:space="preserve">problems persist under </w:t>
      </w:r>
      <w:r w:rsidRPr="005C2179">
        <w:rPr>
          <w:kern w:val="2"/>
          <w:sz w:val="20"/>
        </w:rPr>
        <w:t>the current r</w:t>
      </w:r>
      <w:r w:rsidR="00716B12" w:rsidRPr="005C2179">
        <w:rPr>
          <w:kern w:val="2"/>
          <w:sz w:val="20"/>
        </w:rPr>
        <w:t>egime</w:t>
      </w:r>
      <w:r w:rsidR="0025453D" w:rsidRPr="005C2179">
        <w:rPr>
          <w:kern w:val="2"/>
          <w:sz w:val="20"/>
        </w:rPr>
        <w:t xml:space="preserve">. The </w:t>
      </w:r>
      <w:r w:rsidR="0025453D" w:rsidRPr="005C2179">
        <w:rPr>
          <w:i/>
          <w:kern w:val="2"/>
          <w:sz w:val="20"/>
        </w:rPr>
        <w:t xml:space="preserve">CEA </w:t>
      </w:r>
      <w:r w:rsidR="0025453D" w:rsidRPr="005C2179">
        <w:rPr>
          <w:kern w:val="2"/>
          <w:sz w:val="20"/>
        </w:rPr>
        <w:t>has become m</w:t>
      </w:r>
      <w:r w:rsidR="00716B12" w:rsidRPr="005C2179">
        <w:rPr>
          <w:kern w:val="2"/>
          <w:sz w:val="20"/>
        </w:rPr>
        <w:t>ore</w:t>
      </w:r>
      <w:r w:rsidR="00B12399" w:rsidRPr="005C2179">
        <w:rPr>
          <w:kern w:val="2"/>
          <w:sz w:val="20"/>
        </w:rPr>
        <w:t xml:space="preserve"> complex over the years and</w:t>
      </w:r>
      <w:r w:rsidR="00716B12" w:rsidRPr="005C2179">
        <w:rPr>
          <w:kern w:val="2"/>
          <w:sz w:val="20"/>
        </w:rPr>
        <w:t xml:space="preserve"> </w:t>
      </w:r>
      <w:r w:rsidR="0025453D" w:rsidRPr="005C2179">
        <w:rPr>
          <w:kern w:val="2"/>
          <w:sz w:val="20"/>
        </w:rPr>
        <w:t>volunteers are often responsible for compliance.</w:t>
      </w:r>
      <w:r w:rsidR="00EB33F1" w:rsidRPr="005C2179">
        <w:rPr>
          <w:rStyle w:val="FootnoteReference"/>
          <w:kern w:val="2"/>
          <w:sz w:val="20"/>
        </w:rPr>
        <w:footnoteReference w:id="663"/>
      </w:r>
      <w:r w:rsidR="0025453D" w:rsidRPr="005C2179">
        <w:rPr>
          <w:kern w:val="2"/>
          <w:sz w:val="20"/>
        </w:rPr>
        <w:t xml:space="preserve"> Yet the </w:t>
      </w:r>
      <w:r w:rsidR="0025453D" w:rsidRPr="005C2179">
        <w:rPr>
          <w:i/>
          <w:kern w:val="2"/>
          <w:sz w:val="20"/>
        </w:rPr>
        <w:t>CEA</w:t>
      </w:r>
      <w:r w:rsidR="0025453D" w:rsidRPr="005C2179">
        <w:rPr>
          <w:kern w:val="2"/>
          <w:sz w:val="20"/>
        </w:rPr>
        <w:t>’s only sanctions are criminal.</w:t>
      </w:r>
      <w:r w:rsidR="00EB33F1" w:rsidRPr="005C2179">
        <w:rPr>
          <w:rStyle w:val="FootnoteReference"/>
          <w:kern w:val="2"/>
          <w:sz w:val="20"/>
        </w:rPr>
        <w:footnoteReference w:id="664"/>
      </w:r>
      <w:r w:rsidR="0025453D" w:rsidRPr="005C2179">
        <w:rPr>
          <w:kern w:val="2"/>
          <w:sz w:val="20"/>
        </w:rPr>
        <w:t xml:space="preserve"> The Chief Electoral Officer has c</w:t>
      </w:r>
      <w:r w:rsidR="00E04BA8" w:rsidRPr="005C2179">
        <w:rPr>
          <w:kern w:val="2"/>
          <w:sz w:val="20"/>
        </w:rPr>
        <w:t>riticized these sanctions as</w:t>
      </w:r>
      <w:r w:rsidR="0025453D" w:rsidRPr="005C2179">
        <w:rPr>
          <w:kern w:val="2"/>
          <w:sz w:val="20"/>
        </w:rPr>
        <w:t xml:space="preserve"> heavy-handed for many infractions and </w:t>
      </w:r>
      <w:r w:rsidR="00E04BA8" w:rsidRPr="005C2179">
        <w:rPr>
          <w:kern w:val="2"/>
          <w:sz w:val="20"/>
        </w:rPr>
        <w:t>recommends the addition of</w:t>
      </w:r>
      <w:r w:rsidR="0025453D" w:rsidRPr="005C2179">
        <w:rPr>
          <w:kern w:val="2"/>
          <w:sz w:val="20"/>
        </w:rPr>
        <w:t xml:space="preserve"> an administrative monetary penalty regime.</w:t>
      </w:r>
      <w:r w:rsidR="00E04BA8" w:rsidRPr="005C2179">
        <w:rPr>
          <w:rStyle w:val="FootnoteReference"/>
          <w:kern w:val="2"/>
          <w:sz w:val="20"/>
        </w:rPr>
        <w:footnoteReference w:id="665"/>
      </w:r>
      <w:r w:rsidR="0025453D" w:rsidRPr="005C2179">
        <w:rPr>
          <w:kern w:val="2"/>
          <w:sz w:val="20"/>
        </w:rPr>
        <w:t xml:space="preserve"> The C</w:t>
      </w:r>
      <w:r w:rsidR="006731C5" w:rsidRPr="005C2179">
        <w:rPr>
          <w:kern w:val="2"/>
          <w:sz w:val="20"/>
        </w:rPr>
        <w:t xml:space="preserve">hief </w:t>
      </w:r>
      <w:r w:rsidR="0025453D" w:rsidRPr="005C2179">
        <w:rPr>
          <w:kern w:val="2"/>
          <w:sz w:val="20"/>
        </w:rPr>
        <w:t>E</w:t>
      </w:r>
      <w:r w:rsidR="006731C5" w:rsidRPr="005C2179">
        <w:rPr>
          <w:kern w:val="2"/>
          <w:sz w:val="20"/>
        </w:rPr>
        <w:t xml:space="preserve">lectoral </w:t>
      </w:r>
      <w:r w:rsidR="0025453D" w:rsidRPr="005C2179">
        <w:rPr>
          <w:kern w:val="2"/>
          <w:sz w:val="20"/>
        </w:rPr>
        <w:t>O</w:t>
      </w:r>
      <w:r w:rsidR="00B12399" w:rsidRPr="005C2179">
        <w:rPr>
          <w:kern w:val="2"/>
          <w:sz w:val="20"/>
        </w:rPr>
        <w:t>fficer has also argued</w:t>
      </w:r>
      <w:r w:rsidR="0025453D" w:rsidRPr="005C2179">
        <w:rPr>
          <w:kern w:val="2"/>
          <w:sz w:val="20"/>
        </w:rPr>
        <w:t xml:space="preserve"> that the Commissioner, who investigates offences under </w:t>
      </w:r>
      <w:r w:rsidR="006731C5" w:rsidRPr="005C2179">
        <w:rPr>
          <w:kern w:val="2"/>
          <w:sz w:val="20"/>
        </w:rPr>
        <w:t xml:space="preserve">the </w:t>
      </w:r>
      <w:r w:rsidR="006731C5" w:rsidRPr="005C2179">
        <w:rPr>
          <w:i/>
          <w:kern w:val="2"/>
          <w:sz w:val="20"/>
        </w:rPr>
        <w:t>CEA</w:t>
      </w:r>
      <w:r w:rsidR="006731C5" w:rsidRPr="005C2179">
        <w:rPr>
          <w:kern w:val="2"/>
          <w:sz w:val="20"/>
        </w:rPr>
        <w:t xml:space="preserve">, needs more </w:t>
      </w:r>
      <w:r w:rsidR="00B12399" w:rsidRPr="005C2179">
        <w:rPr>
          <w:kern w:val="2"/>
          <w:sz w:val="20"/>
        </w:rPr>
        <w:t xml:space="preserve">investigatory </w:t>
      </w:r>
      <w:r w:rsidR="006731C5" w:rsidRPr="005C2179">
        <w:rPr>
          <w:kern w:val="2"/>
          <w:sz w:val="20"/>
        </w:rPr>
        <w:t>tools</w:t>
      </w:r>
      <w:r w:rsidR="00B12399" w:rsidRPr="005C2179">
        <w:rPr>
          <w:kern w:val="2"/>
          <w:sz w:val="20"/>
        </w:rPr>
        <w:t>,</w:t>
      </w:r>
      <w:r w:rsidR="006731C5" w:rsidRPr="005C2179">
        <w:rPr>
          <w:kern w:val="2"/>
          <w:sz w:val="20"/>
        </w:rPr>
        <w:t xml:space="preserve"> such </w:t>
      </w:r>
      <w:r w:rsidR="0025453D" w:rsidRPr="005C2179">
        <w:rPr>
          <w:kern w:val="2"/>
          <w:sz w:val="20"/>
        </w:rPr>
        <w:t>as the power to compel testimony.</w:t>
      </w:r>
      <w:r w:rsidR="0025453D" w:rsidRPr="005C2179">
        <w:rPr>
          <w:rStyle w:val="FootnoteReference"/>
          <w:kern w:val="2"/>
          <w:sz w:val="20"/>
        </w:rPr>
        <w:footnoteReference w:id="666"/>
      </w:r>
      <w:r w:rsidR="0025453D" w:rsidRPr="005C2179">
        <w:rPr>
          <w:kern w:val="2"/>
          <w:sz w:val="20"/>
        </w:rPr>
        <w:t xml:space="preserve"> </w:t>
      </w:r>
    </w:p>
    <w:p w14:paraId="14660D3F" w14:textId="4EE3C5BA" w:rsidR="000360C2" w:rsidRPr="005C2179" w:rsidRDefault="0030444E" w:rsidP="00330F4B">
      <w:pPr>
        <w:rPr>
          <w:kern w:val="2"/>
          <w:sz w:val="20"/>
        </w:rPr>
      </w:pPr>
      <w:r w:rsidRPr="005C2179">
        <w:rPr>
          <w:kern w:val="2"/>
          <w:sz w:val="20"/>
        </w:rPr>
        <w:t xml:space="preserve">The </w:t>
      </w:r>
      <w:r w:rsidRPr="005C2179">
        <w:rPr>
          <w:i/>
          <w:kern w:val="2"/>
          <w:sz w:val="20"/>
        </w:rPr>
        <w:t>CEA</w:t>
      </w:r>
      <w:r w:rsidRPr="005C2179">
        <w:rPr>
          <w:kern w:val="2"/>
          <w:sz w:val="20"/>
        </w:rPr>
        <w:t>’s i</w:t>
      </w:r>
      <w:r w:rsidR="005360F0" w:rsidRPr="005C2179">
        <w:rPr>
          <w:kern w:val="2"/>
          <w:sz w:val="20"/>
        </w:rPr>
        <w:t xml:space="preserve">ncreased </w:t>
      </w:r>
      <w:r w:rsidR="006731C5" w:rsidRPr="005C2179">
        <w:rPr>
          <w:kern w:val="2"/>
          <w:sz w:val="20"/>
        </w:rPr>
        <w:t>spending limi</w:t>
      </w:r>
      <w:r w:rsidRPr="005C2179">
        <w:rPr>
          <w:kern w:val="2"/>
          <w:sz w:val="20"/>
        </w:rPr>
        <w:t xml:space="preserve">ts for </w:t>
      </w:r>
      <w:r w:rsidR="00DE441E" w:rsidRPr="005C2179">
        <w:rPr>
          <w:kern w:val="2"/>
          <w:sz w:val="20"/>
        </w:rPr>
        <w:t xml:space="preserve">long elections </w:t>
      </w:r>
      <w:r w:rsidRPr="005C2179">
        <w:rPr>
          <w:kern w:val="2"/>
          <w:sz w:val="20"/>
        </w:rPr>
        <w:t>have</w:t>
      </w:r>
      <w:r w:rsidR="006731C5" w:rsidRPr="005C2179">
        <w:rPr>
          <w:kern w:val="2"/>
          <w:sz w:val="20"/>
        </w:rPr>
        <w:t xml:space="preserve"> also drawn</w:t>
      </w:r>
      <w:r w:rsidR="00983E85" w:rsidRPr="005C2179">
        <w:rPr>
          <w:kern w:val="2"/>
          <w:sz w:val="20"/>
        </w:rPr>
        <w:t xml:space="preserve"> criticism.</w:t>
      </w:r>
      <w:r w:rsidR="0074371E" w:rsidRPr="005C2179">
        <w:rPr>
          <w:rStyle w:val="FootnoteReference"/>
          <w:kern w:val="2"/>
          <w:sz w:val="20"/>
        </w:rPr>
        <w:footnoteReference w:id="667"/>
      </w:r>
      <w:r w:rsidR="006731C5" w:rsidRPr="005C2179">
        <w:rPr>
          <w:kern w:val="2"/>
          <w:sz w:val="20"/>
        </w:rPr>
        <w:t xml:space="preserve"> </w:t>
      </w:r>
      <w:r w:rsidR="00520A9E" w:rsidRPr="005C2179">
        <w:rPr>
          <w:kern w:val="2"/>
          <w:sz w:val="20"/>
        </w:rPr>
        <w:t>During</w:t>
      </w:r>
      <w:r w:rsidR="00D04536" w:rsidRPr="005C2179">
        <w:rPr>
          <w:kern w:val="2"/>
          <w:sz w:val="20"/>
        </w:rPr>
        <w:t xml:space="preserve"> the 2015 general election</w:t>
      </w:r>
      <w:r w:rsidRPr="005C2179">
        <w:rPr>
          <w:kern w:val="2"/>
          <w:sz w:val="20"/>
        </w:rPr>
        <w:t>, spending limits were mo</w:t>
      </w:r>
      <w:r w:rsidR="00520A9E" w:rsidRPr="005C2179">
        <w:rPr>
          <w:kern w:val="2"/>
          <w:sz w:val="20"/>
        </w:rPr>
        <w:t>re than double their usual amount</w:t>
      </w:r>
      <w:r w:rsidRPr="005C2179">
        <w:rPr>
          <w:kern w:val="2"/>
          <w:sz w:val="20"/>
        </w:rPr>
        <w:t xml:space="preserve"> </w:t>
      </w:r>
      <w:r w:rsidR="00445DE2" w:rsidRPr="005C2179">
        <w:rPr>
          <w:kern w:val="2"/>
          <w:sz w:val="20"/>
        </w:rPr>
        <w:t>because of</w:t>
      </w:r>
      <w:r w:rsidRPr="005C2179">
        <w:rPr>
          <w:kern w:val="2"/>
          <w:sz w:val="20"/>
        </w:rPr>
        <w:t xml:space="preserve"> the unusual length of the election period</w:t>
      </w:r>
      <w:r w:rsidR="00637D3F" w:rsidRPr="005C2179">
        <w:rPr>
          <w:kern w:val="2"/>
          <w:sz w:val="20"/>
        </w:rPr>
        <w:t>.</w:t>
      </w:r>
      <w:r w:rsidR="00637D3F" w:rsidRPr="005C2179">
        <w:rPr>
          <w:rStyle w:val="FootnoteReference"/>
          <w:kern w:val="2"/>
          <w:sz w:val="20"/>
        </w:rPr>
        <w:footnoteReference w:id="668"/>
      </w:r>
      <w:r w:rsidR="00637D3F" w:rsidRPr="005C2179">
        <w:rPr>
          <w:kern w:val="2"/>
          <w:sz w:val="20"/>
        </w:rPr>
        <w:t xml:space="preserve"> This raises concerns </w:t>
      </w:r>
      <w:r w:rsidR="00D04536" w:rsidRPr="005C2179">
        <w:rPr>
          <w:kern w:val="2"/>
          <w:sz w:val="20"/>
        </w:rPr>
        <w:t>about</w:t>
      </w:r>
      <w:r w:rsidRPr="005C2179">
        <w:rPr>
          <w:kern w:val="2"/>
          <w:sz w:val="20"/>
        </w:rPr>
        <w:t xml:space="preserve"> the efficacy of the spending</w:t>
      </w:r>
      <w:r w:rsidR="00B8448C" w:rsidRPr="005C2179">
        <w:rPr>
          <w:kern w:val="2"/>
          <w:sz w:val="20"/>
        </w:rPr>
        <w:t xml:space="preserve"> limits in achieving their objectives</w:t>
      </w:r>
      <w:r w:rsidRPr="005C2179">
        <w:rPr>
          <w:kern w:val="2"/>
          <w:sz w:val="20"/>
        </w:rPr>
        <w:t xml:space="preserve"> in relation to </w:t>
      </w:r>
      <w:r w:rsidR="00932622" w:rsidRPr="005C2179">
        <w:rPr>
          <w:kern w:val="2"/>
          <w:sz w:val="20"/>
        </w:rPr>
        <w:t>corruption, fairness,</w:t>
      </w:r>
      <w:r w:rsidRPr="005C2179">
        <w:rPr>
          <w:kern w:val="2"/>
          <w:sz w:val="20"/>
        </w:rPr>
        <w:t xml:space="preserve"> equality</w:t>
      </w:r>
      <w:r w:rsidR="00932622" w:rsidRPr="005C2179">
        <w:rPr>
          <w:kern w:val="2"/>
          <w:sz w:val="20"/>
        </w:rPr>
        <w:t>, and public confidence</w:t>
      </w:r>
      <w:r w:rsidRPr="005C2179">
        <w:rPr>
          <w:kern w:val="2"/>
          <w:sz w:val="20"/>
        </w:rPr>
        <w:t>.</w:t>
      </w:r>
      <w:r w:rsidR="00637D3F" w:rsidRPr="005C2179">
        <w:rPr>
          <w:kern w:val="2"/>
          <w:sz w:val="20"/>
        </w:rPr>
        <w:t xml:space="preserve"> The</w:t>
      </w:r>
      <w:r w:rsidRPr="005C2179">
        <w:rPr>
          <w:kern w:val="2"/>
          <w:sz w:val="20"/>
        </w:rPr>
        <w:t xml:space="preserve"> scheme also allows the governing party to </w:t>
      </w:r>
      <w:r w:rsidR="00D04536" w:rsidRPr="005C2179">
        <w:rPr>
          <w:kern w:val="2"/>
          <w:sz w:val="20"/>
        </w:rPr>
        <w:t xml:space="preserve">effectively </w:t>
      </w:r>
      <w:r w:rsidRPr="005C2179">
        <w:rPr>
          <w:kern w:val="2"/>
          <w:sz w:val="20"/>
        </w:rPr>
        <w:t>determine the spending limits for an election.</w:t>
      </w:r>
      <w:r w:rsidR="00637D3F" w:rsidRPr="005C2179">
        <w:rPr>
          <w:rStyle w:val="FootnoteReference"/>
          <w:kern w:val="2"/>
          <w:sz w:val="20"/>
        </w:rPr>
        <w:footnoteReference w:id="669"/>
      </w:r>
      <w:r w:rsidRPr="005C2179">
        <w:rPr>
          <w:kern w:val="2"/>
          <w:sz w:val="20"/>
        </w:rPr>
        <w:t xml:space="preserve"> The Chief Electoral Officer has recommended imposing a maximum </w:t>
      </w:r>
      <w:r w:rsidR="0065744C" w:rsidRPr="005C2179">
        <w:rPr>
          <w:kern w:val="2"/>
          <w:sz w:val="20"/>
        </w:rPr>
        <w:t xml:space="preserve">election </w:t>
      </w:r>
      <w:r w:rsidRPr="005C2179">
        <w:rPr>
          <w:kern w:val="2"/>
          <w:sz w:val="20"/>
        </w:rPr>
        <w:t xml:space="preserve">length </w:t>
      </w:r>
      <w:r w:rsidR="00D04536" w:rsidRPr="005C2179">
        <w:rPr>
          <w:kern w:val="2"/>
          <w:sz w:val="20"/>
        </w:rPr>
        <w:t>to address these issues</w:t>
      </w:r>
      <w:r w:rsidRPr="005C2179">
        <w:rPr>
          <w:kern w:val="2"/>
          <w:sz w:val="20"/>
        </w:rPr>
        <w:t>.</w:t>
      </w:r>
      <w:r w:rsidRPr="005C2179">
        <w:rPr>
          <w:rStyle w:val="FootnoteReference"/>
          <w:kern w:val="2"/>
          <w:sz w:val="20"/>
        </w:rPr>
        <w:footnoteReference w:id="670"/>
      </w:r>
      <w:r w:rsidRPr="005C2179">
        <w:rPr>
          <w:kern w:val="2"/>
          <w:sz w:val="20"/>
        </w:rPr>
        <w:t xml:space="preserve"> </w:t>
      </w:r>
    </w:p>
    <w:p w14:paraId="2A16EB4D" w14:textId="19E025AE" w:rsidR="00D04536" w:rsidRPr="005C2179" w:rsidRDefault="00F615C2" w:rsidP="00330F4B">
      <w:pPr>
        <w:rPr>
          <w:kern w:val="2"/>
          <w:sz w:val="20"/>
        </w:rPr>
      </w:pPr>
      <w:r w:rsidRPr="005C2179">
        <w:rPr>
          <w:kern w:val="2"/>
          <w:sz w:val="20"/>
        </w:rPr>
        <w:t>Others criticize the phasing out of quarterly allowances for registered political parties.</w:t>
      </w:r>
      <w:r w:rsidRPr="005C2179">
        <w:rPr>
          <w:rStyle w:val="FootnoteReference"/>
          <w:kern w:val="2"/>
          <w:sz w:val="20"/>
        </w:rPr>
        <w:footnoteReference w:id="671"/>
      </w:r>
      <w:r w:rsidRPr="005C2179">
        <w:rPr>
          <w:kern w:val="2"/>
          <w:sz w:val="20"/>
        </w:rPr>
        <w:t xml:space="preserve"> </w:t>
      </w:r>
      <w:r w:rsidR="001D7E46" w:rsidRPr="005C2179">
        <w:rPr>
          <w:kern w:val="2"/>
          <w:sz w:val="20"/>
        </w:rPr>
        <w:t xml:space="preserve">Before the quarterly allowances were eliminated, </w:t>
      </w:r>
      <w:r w:rsidR="0030371D" w:rsidRPr="005C2179">
        <w:rPr>
          <w:kern w:val="2"/>
          <w:sz w:val="20"/>
        </w:rPr>
        <w:t xml:space="preserve">the public funding regime adequately </w:t>
      </w:r>
      <w:r w:rsidR="001D7E46" w:rsidRPr="005C2179">
        <w:rPr>
          <w:kern w:val="2"/>
          <w:sz w:val="20"/>
        </w:rPr>
        <w:t>offset losses to party income caused by</w:t>
      </w:r>
      <w:r w:rsidR="000360C2" w:rsidRPr="005C2179">
        <w:rPr>
          <w:kern w:val="2"/>
          <w:sz w:val="20"/>
        </w:rPr>
        <w:t xml:space="preserve"> contribution caps.</w:t>
      </w:r>
      <w:r w:rsidR="000360C2" w:rsidRPr="005C2179">
        <w:rPr>
          <w:rStyle w:val="FootnoteReference"/>
          <w:kern w:val="2"/>
          <w:sz w:val="20"/>
        </w:rPr>
        <w:footnoteReference w:id="672"/>
      </w:r>
      <w:r w:rsidR="000360C2" w:rsidRPr="005C2179">
        <w:rPr>
          <w:kern w:val="2"/>
          <w:sz w:val="20"/>
        </w:rPr>
        <w:t xml:space="preserve"> </w:t>
      </w:r>
      <w:r w:rsidR="00AE5260" w:rsidRPr="005C2179">
        <w:rPr>
          <w:kern w:val="2"/>
          <w:sz w:val="20"/>
        </w:rPr>
        <w:t>Without the quarterly allowance scheme</w:t>
      </w:r>
      <w:r w:rsidR="003F1D07" w:rsidRPr="005C2179">
        <w:rPr>
          <w:kern w:val="2"/>
          <w:sz w:val="20"/>
        </w:rPr>
        <w:t>, t</w:t>
      </w:r>
      <w:r w:rsidR="000360C2" w:rsidRPr="005C2179">
        <w:rPr>
          <w:kern w:val="2"/>
          <w:sz w:val="20"/>
        </w:rPr>
        <w:t>he C</w:t>
      </w:r>
      <w:r w:rsidR="003F1D07" w:rsidRPr="005C2179">
        <w:rPr>
          <w:kern w:val="2"/>
          <w:sz w:val="20"/>
        </w:rPr>
        <w:t>hief Electoral Officer has warned</w:t>
      </w:r>
      <w:r w:rsidR="000360C2" w:rsidRPr="005C2179">
        <w:rPr>
          <w:kern w:val="2"/>
          <w:sz w:val="20"/>
        </w:rPr>
        <w:t xml:space="preserve"> that </w:t>
      </w:r>
      <w:r w:rsidR="00620981" w:rsidRPr="005C2179">
        <w:rPr>
          <w:kern w:val="2"/>
          <w:sz w:val="20"/>
        </w:rPr>
        <w:t xml:space="preserve">contribution </w:t>
      </w:r>
      <w:r w:rsidR="00AE5260" w:rsidRPr="005C2179">
        <w:rPr>
          <w:kern w:val="2"/>
          <w:sz w:val="20"/>
        </w:rPr>
        <w:t>caps</w:t>
      </w:r>
      <w:r w:rsidR="00620981" w:rsidRPr="005C2179">
        <w:rPr>
          <w:kern w:val="2"/>
          <w:sz w:val="20"/>
        </w:rPr>
        <w:t xml:space="preserve"> may lead parties to resort</w:t>
      </w:r>
      <w:r w:rsidR="000360C2" w:rsidRPr="005C2179">
        <w:rPr>
          <w:kern w:val="2"/>
          <w:sz w:val="20"/>
        </w:rPr>
        <w:t xml:space="preserve"> to “illicit and </w:t>
      </w:r>
      <w:r w:rsidR="00620981" w:rsidRPr="005C2179">
        <w:rPr>
          <w:kern w:val="2"/>
          <w:sz w:val="20"/>
        </w:rPr>
        <w:t>undisclosed funding strategies</w:t>
      </w:r>
      <w:r w:rsidR="00FD2E19" w:rsidRPr="005C2179">
        <w:rPr>
          <w:kern w:val="2"/>
          <w:sz w:val="20"/>
        </w:rPr>
        <w:t>.</w:t>
      </w:r>
      <w:r w:rsidR="00620981" w:rsidRPr="005C2179">
        <w:rPr>
          <w:kern w:val="2"/>
          <w:sz w:val="20"/>
        </w:rPr>
        <w:t>”</w:t>
      </w:r>
      <w:r w:rsidR="00426934" w:rsidRPr="005C2179">
        <w:rPr>
          <w:rStyle w:val="FootnoteReference"/>
          <w:kern w:val="2"/>
          <w:sz w:val="20"/>
        </w:rPr>
        <w:footnoteReference w:id="673"/>
      </w:r>
      <w:r w:rsidR="00620981" w:rsidRPr="005C2179">
        <w:rPr>
          <w:kern w:val="2"/>
          <w:sz w:val="20"/>
        </w:rPr>
        <w:t xml:space="preserve"> </w:t>
      </w:r>
      <w:r w:rsidR="00426934" w:rsidRPr="005C2179">
        <w:rPr>
          <w:kern w:val="2"/>
          <w:sz w:val="20"/>
        </w:rPr>
        <w:t xml:space="preserve">The Chief Electoral Officer </w:t>
      </w:r>
      <w:r w:rsidR="004228E2" w:rsidRPr="005C2179">
        <w:rPr>
          <w:kern w:val="2"/>
          <w:sz w:val="20"/>
        </w:rPr>
        <w:t>has also argued</w:t>
      </w:r>
      <w:r w:rsidR="00426934" w:rsidRPr="005C2179">
        <w:rPr>
          <w:kern w:val="2"/>
          <w:sz w:val="20"/>
        </w:rPr>
        <w:t xml:space="preserve"> that</w:t>
      </w:r>
      <w:r w:rsidR="0065744C" w:rsidRPr="005C2179">
        <w:rPr>
          <w:kern w:val="2"/>
          <w:sz w:val="20"/>
        </w:rPr>
        <w:t xml:space="preserve"> </w:t>
      </w:r>
      <w:r w:rsidR="00AE5260" w:rsidRPr="005C2179">
        <w:rPr>
          <w:kern w:val="2"/>
          <w:sz w:val="20"/>
        </w:rPr>
        <w:t>combining</w:t>
      </w:r>
      <w:r w:rsidR="00426934" w:rsidRPr="005C2179">
        <w:rPr>
          <w:kern w:val="2"/>
          <w:sz w:val="20"/>
        </w:rPr>
        <w:t xml:space="preserve"> </w:t>
      </w:r>
      <w:r w:rsidR="0030371D" w:rsidRPr="005C2179">
        <w:rPr>
          <w:kern w:val="2"/>
          <w:sz w:val="20"/>
        </w:rPr>
        <w:t>contribution</w:t>
      </w:r>
      <w:r w:rsidR="00AE5260" w:rsidRPr="005C2179">
        <w:rPr>
          <w:kern w:val="2"/>
          <w:sz w:val="20"/>
        </w:rPr>
        <w:t xml:space="preserve"> caps</w:t>
      </w:r>
      <w:r w:rsidR="0030371D" w:rsidRPr="005C2179">
        <w:rPr>
          <w:kern w:val="2"/>
          <w:sz w:val="20"/>
        </w:rPr>
        <w:t xml:space="preserve"> with </w:t>
      </w:r>
      <w:r w:rsidR="00426934" w:rsidRPr="005C2179">
        <w:rPr>
          <w:kern w:val="2"/>
          <w:sz w:val="20"/>
        </w:rPr>
        <w:t xml:space="preserve">inadequate public funding may </w:t>
      </w:r>
      <w:r w:rsidR="0030371D" w:rsidRPr="005C2179">
        <w:rPr>
          <w:kern w:val="2"/>
          <w:sz w:val="20"/>
        </w:rPr>
        <w:t>produce a state of perpetual campaigning as parties</w:t>
      </w:r>
      <w:r w:rsidR="00651B3E" w:rsidRPr="005C2179">
        <w:rPr>
          <w:kern w:val="2"/>
          <w:sz w:val="20"/>
        </w:rPr>
        <w:t xml:space="preserve"> attempt </w:t>
      </w:r>
      <w:r w:rsidR="00620981" w:rsidRPr="005C2179">
        <w:rPr>
          <w:kern w:val="2"/>
          <w:sz w:val="20"/>
        </w:rPr>
        <w:t>to inspire more</w:t>
      </w:r>
      <w:r w:rsidR="0065744C" w:rsidRPr="005C2179">
        <w:rPr>
          <w:kern w:val="2"/>
          <w:sz w:val="20"/>
        </w:rPr>
        <w:t xml:space="preserve"> contributions from more donors.</w:t>
      </w:r>
      <w:r w:rsidR="0065744C" w:rsidRPr="005C2179">
        <w:rPr>
          <w:rStyle w:val="FootnoteReference"/>
          <w:kern w:val="2"/>
          <w:sz w:val="20"/>
        </w:rPr>
        <w:footnoteReference w:id="674"/>
      </w:r>
      <w:r w:rsidR="0065744C" w:rsidRPr="005C2179">
        <w:rPr>
          <w:kern w:val="2"/>
          <w:sz w:val="20"/>
        </w:rPr>
        <w:t xml:space="preserve"> </w:t>
      </w:r>
      <w:r w:rsidR="00AE5260" w:rsidRPr="005C2179">
        <w:rPr>
          <w:kern w:val="2"/>
          <w:sz w:val="20"/>
        </w:rPr>
        <w:t>Permanent</w:t>
      </w:r>
      <w:r w:rsidR="0065744C" w:rsidRPr="005C2179">
        <w:rPr>
          <w:kern w:val="2"/>
          <w:sz w:val="20"/>
        </w:rPr>
        <w:t xml:space="preserve"> campaigning</w:t>
      </w:r>
      <w:r w:rsidR="0030371D" w:rsidRPr="005C2179">
        <w:rPr>
          <w:kern w:val="2"/>
          <w:sz w:val="20"/>
        </w:rPr>
        <w:t xml:space="preserve"> could</w:t>
      </w:r>
      <w:r w:rsidR="000360C2" w:rsidRPr="005C2179">
        <w:rPr>
          <w:kern w:val="2"/>
          <w:sz w:val="20"/>
        </w:rPr>
        <w:t xml:space="preserve"> negatively impact “the overall tone of political discourse and the level of public cynicism.”</w:t>
      </w:r>
      <w:r w:rsidR="000360C2" w:rsidRPr="005C2179">
        <w:rPr>
          <w:rStyle w:val="FootnoteReference"/>
          <w:kern w:val="2"/>
          <w:sz w:val="20"/>
        </w:rPr>
        <w:footnoteReference w:id="675"/>
      </w:r>
      <w:r w:rsidR="00AF45BF" w:rsidRPr="005C2179">
        <w:rPr>
          <w:kern w:val="2"/>
          <w:sz w:val="20"/>
        </w:rPr>
        <w:t xml:space="preserve"> On the other hand, some point out</w:t>
      </w:r>
      <w:r w:rsidR="000360C2" w:rsidRPr="005C2179">
        <w:rPr>
          <w:kern w:val="2"/>
          <w:sz w:val="20"/>
        </w:rPr>
        <w:t xml:space="preserve"> that less public funding might have the “merciful consequence” of reducing</w:t>
      </w:r>
      <w:r w:rsidR="00DC17EF" w:rsidRPr="005C2179">
        <w:rPr>
          <w:kern w:val="2"/>
          <w:sz w:val="20"/>
        </w:rPr>
        <w:t xml:space="preserve"> </w:t>
      </w:r>
      <w:r w:rsidR="000360C2" w:rsidRPr="005C2179">
        <w:rPr>
          <w:kern w:val="2"/>
          <w:sz w:val="20"/>
        </w:rPr>
        <w:t>attack</w:t>
      </w:r>
      <w:r w:rsidR="00A60522" w:rsidRPr="005C2179">
        <w:rPr>
          <w:kern w:val="2"/>
          <w:sz w:val="20"/>
        </w:rPr>
        <w:t xml:space="preserve"> ads and restricting campaign advertising</w:t>
      </w:r>
      <w:r w:rsidR="000360C2" w:rsidRPr="005C2179">
        <w:rPr>
          <w:kern w:val="2"/>
          <w:sz w:val="20"/>
        </w:rPr>
        <w:t xml:space="preserve"> to the actual election period.</w:t>
      </w:r>
      <w:r w:rsidR="000360C2" w:rsidRPr="005C2179">
        <w:rPr>
          <w:rStyle w:val="FootnoteReference"/>
          <w:kern w:val="2"/>
          <w:sz w:val="20"/>
        </w:rPr>
        <w:footnoteReference w:id="676"/>
      </w:r>
    </w:p>
    <w:p w14:paraId="4C4DB267" w14:textId="6F6ED6EC" w:rsidR="00114654" w:rsidRPr="005C2179" w:rsidRDefault="00FC6F94" w:rsidP="00330F4B">
      <w:pPr>
        <w:rPr>
          <w:kern w:val="2"/>
          <w:sz w:val="20"/>
        </w:rPr>
      </w:pPr>
      <w:r w:rsidRPr="005C2179">
        <w:rPr>
          <w:kern w:val="2"/>
          <w:sz w:val="20"/>
        </w:rPr>
        <w:t xml:space="preserve">Others </w:t>
      </w:r>
      <w:r w:rsidR="009A776A" w:rsidRPr="005C2179">
        <w:rPr>
          <w:kern w:val="2"/>
          <w:sz w:val="20"/>
        </w:rPr>
        <w:t>argue that spending limits should be extended to pre-election advertising expenses, especially in light of the prevalence of attack ads and campaigning between electio</w:t>
      </w:r>
      <w:r w:rsidR="006A7CA5" w:rsidRPr="005C2179">
        <w:rPr>
          <w:kern w:val="2"/>
          <w:sz w:val="20"/>
        </w:rPr>
        <w:t>ns.</w:t>
      </w:r>
      <w:r w:rsidR="0060311F" w:rsidRPr="005C2179">
        <w:rPr>
          <w:rStyle w:val="FootnoteReference"/>
          <w:kern w:val="2"/>
          <w:sz w:val="20"/>
        </w:rPr>
        <w:footnoteReference w:id="677"/>
      </w:r>
      <w:r w:rsidR="006A7CA5" w:rsidRPr="005C2179">
        <w:rPr>
          <w:kern w:val="2"/>
          <w:sz w:val="20"/>
        </w:rPr>
        <w:t xml:space="preserve"> </w:t>
      </w:r>
      <w:r w:rsidR="00114654" w:rsidRPr="005C2179">
        <w:rPr>
          <w:kern w:val="2"/>
          <w:sz w:val="20"/>
        </w:rPr>
        <w:t xml:space="preserve">However, </w:t>
      </w:r>
      <w:r w:rsidR="00BA0CC7" w:rsidRPr="005C2179">
        <w:rPr>
          <w:kern w:val="2"/>
          <w:sz w:val="20"/>
        </w:rPr>
        <w:t>pre-election</w:t>
      </w:r>
      <w:r w:rsidR="00423D9D" w:rsidRPr="005C2179">
        <w:rPr>
          <w:kern w:val="2"/>
          <w:sz w:val="20"/>
        </w:rPr>
        <w:t xml:space="preserve"> limits </w:t>
      </w:r>
      <w:r w:rsidR="00BA0CC7" w:rsidRPr="005C2179">
        <w:rPr>
          <w:kern w:val="2"/>
          <w:sz w:val="20"/>
        </w:rPr>
        <w:t>may not</w:t>
      </w:r>
      <w:r w:rsidR="00423D9D" w:rsidRPr="005C2179">
        <w:rPr>
          <w:kern w:val="2"/>
          <w:sz w:val="20"/>
        </w:rPr>
        <w:t xml:space="preserve"> survive a constitutional challenge if applied to third-party spending. I</w:t>
      </w:r>
      <w:r w:rsidR="00114654" w:rsidRPr="005C2179">
        <w:rPr>
          <w:kern w:val="2"/>
          <w:sz w:val="20"/>
        </w:rPr>
        <w:t>n Bri</w:t>
      </w:r>
      <w:r w:rsidR="00592D9B" w:rsidRPr="005C2179">
        <w:rPr>
          <w:kern w:val="2"/>
          <w:sz w:val="20"/>
        </w:rPr>
        <w:t>tish Columbia, a pre-writ third-</w:t>
      </w:r>
      <w:r w:rsidR="000E3F8E" w:rsidRPr="005C2179">
        <w:rPr>
          <w:kern w:val="2"/>
          <w:sz w:val="20"/>
        </w:rPr>
        <w:t>party spending cap</w:t>
      </w:r>
      <w:r w:rsidR="00114654" w:rsidRPr="005C2179">
        <w:rPr>
          <w:kern w:val="2"/>
          <w:sz w:val="20"/>
        </w:rPr>
        <w:t xml:space="preserve"> was struck down </w:t>
      </w:r>
      <w:r w:rsidR="00592D9B" w:rsidRPr="005C2179">
        <w:rPr>
          <w:kern w:val="2"/>
          <w:sz w:val="20"/>
        </w:rPr>
        <w:t xml:space="preserve">as an overbroad restriction on freedom of expression </w:t>
      </w:r>
      <w:r w:rsidR="00114654" w:rsidRPr="005C2179">
        <w:rPr>
          <w:kern w:val="2"/>
          <w:sz w:val="20"/>
        </w:rPr>
        <w:t xml:space="preserve">in </w:t>
      </w:r>
      <w:r w:rsidR="00114654" w:rsidRPr="005C2179">
        <w:rPr>
          <w:i/>
          <w:kern w:val="2"/>
          <w:sz w:val="20"/>
        </w:rPr>
        <w:t>British Columbia Teachers’ Federation v British Columbia (Attorney General)</w:t>
      </w:r>
      <w:r w:rsidR="00592D9B" w:rsidRPr="005C2179">
        <w:rPr>
          <w:i/>
          <w:kern w:val="2"/>
          <w:sz w:val="20"/>
        </w:rPr>
        <w:t>.</w:t>
      </w:r>
      <w:r w:rsidR="00114654" w:rsidRPr="005C2179">
        <w:rPr>
          <w:rStyle w:val="FootnoteReference"/>
          <w:kern w:val="2"/>
          <w:sz w:val="20"/>
        </w:rPr>
        <w:footnoteReference w:id="678"/>
      </w:r>
      <w:r w:rsidR="00114654" w:rsidRPr="005C2179">
        <w:rPr>
          <w:kern w:val="2"/>
          <w:sz w:val="20"/>
        </w:rPr>
        <w:t xml:space="preserve"> </w:t>
      </w:r>
      <w:r w:rsidR="00592D9B" w:rsidRPr="005C2179">
        <w:rPr>
          <w:kern w:val="2"/>
          <w:sz w:val="20"/>
        </w:rPr>
        <w:t xml:space="preserve">The impugned limit was intended to prevent circumvention of spending limits during the election period. </w:t>
      </w:r>
      <w:r w:rsidR="00114654" w:rsidRPr="005C2179">
        <w:rPr>
          <w:kern w:val="2"/>
          <w:sz w:val="20"/>
        </w:rPr>
        <w:t xml:space="preserve">The </w:t>
      </w:r>
      <w:r w:rsidR="00BB75C4" w:rsidRPr="005C2179">
        <w:rPr>
          <w:kern w:val="2"/>
          <w:sz w:val="20"/>
        </w:rPr>
        <w:t xml:space="preserve">British Columbia </w:t>
      </w:r>
      <w:r w:rsidR="00114654" w:rsidRPr="005C2179">
        <w:rPr>
          <w:kern w:val="2"/>
          <w:sz w:val="20"/>
        </w:rPr>
        <w:t>Court</w:t>
      </w:r>
      <w:r w:rsidR="00BB75C4" w:rsidRPr="005C2179">
        <w:rPr>
          <w:kern w:val="2"/>
          <w:sz w:val="20"/>
        </w:rPr>
        <w:t xml:space="preserve"> of Appeal</w:t>
      </w:r>
      <w:r w:rsidR="00114654" w:rsidRPr="005C2179">
        <w:rPr>
          <w:kern w:val="2"/>
          <w:sz w:val="20"/>
        </w:rPr>
        <w:t xml:space="preserve"> emphasized that limits </w:t>
      </w:r>
      <w:r w:rsidR="00BB75C4" w:rsidRPr="005C2179">
        <w:rPr>
          <w:kern w:val="2"/>
          <w:sz w:val="20"/>
        </w:rPr>
        <w:t xml:space="preserve">on spending </w:t>
      </w:r>
      <w:r w:rsidR="00114654" w:rsidRPr="005C2179">
        <w:rPr>
          <w:kern w:val="2"/>
          <w:sz w:val="20"/>
        </w:rPr>
        <w:t xml:space="preserve">during the election period are </w:t>
      </w:r>
      <w:r w:rsidR="00905862" w:rsidRPr="005C2179">
        <w:rPr>
          <w:kern w:val="2"/>
          <w:sz w:val="20"/>
        </w:rPr>
        <w:t>fundamentally different</w:t>
      </w:r>
      <w:r w:rsidR="00114654" w:rsidRPr="005C2179">
        <w:rPr>
          <w:kern w:val="2"/>
          <w:sz w:val="20"/>
        </w:rPr>
        <w:t xml:space="preserve"> from pre-writ limits, as the legislature is not in session</w:t>
      </w:r>
      <w:r w:rsidR="00905862" w:rsidRPr="005C2179">
        <w:rPr>
          <w:kern w:val="2"/>
          <w:sz w:val="20"/>
        </w:rPr>
        <w:t xml:space="preserve"> during an</w:t>
      </w:r>
      <w:r w:rsidR="00114654" w:rsidRPr="005C2179">
        <w:rPr>
          <w:kern w:val="2"/>
          <w:sz w:val="20"/>
        </w:rPr>
        <w:t xml:space="preserve"> election</w:t>
      </w:r>
      <w:r w:rsidR="007B26B0" w:rsidRPr="005C2179">
        <w:rPr>
          <w:kern w:val="2"/>
          <w:sz w:val="20"/>
        </w:rPr>
        <w:t>. Therefor</w:t>
      </w:r>
      <w:r w:rsidR="008568F5" w:rsidRPr="005C2179">
        <w:rPr>
          <w:kern w:val="2"/>
          <w:sz w:val="20"/>
        </w:rPr>
        <w:t>e,</w:t>
      </w:r>
      <w:r w:rsidR="00645D7E" w:rsidRPr="005C2179">
        <w:rPr>
          <w:kern w:val="2"/>
          <w:sz w:val="20"/>
        </w:rPr>
        <w:t xml:space="preserve"> unlike pre-writ limits</w:t>
      </w:r>
      <w:r w:rsidR="005D5594" w:rsidRPr="005C2179">
        <w:rPr>
          <w:kern w:val="2"/>
          <w:sz w:val="20"/>
        </w:rPr>
        <w:t>,</w:t>
      </w:r>
      <w:r w:rsidR="000E3F8E" w:rsidRPr="005C2179">
        <w:rPr>
          <w:kern w:val="2"/>
          <w:sz w:val="20"/>
        </w:rPr>
        <w:t xml:space="preserve"> third-party</w:t>
      </w:r>
      <w:r w:rsidR="008568F5" w:rsidRPr="005C2179">
        <w:rPr>
          <w:kern w:val="2"/>
          <w:sz w:val="20"/>
        </w:rPr>
        <w:t xml:space="preserve"> spending limits during the election period</w:t>
      </w:r>
      <w:r w:rsidR="007B26B0" w:rsidRPr="005C2179">
        <w:rPr>
          <w:kern w:val="2"/>
          <w:sz w:val="20"/>
        </w:rPr>
        <w:t xml:space="preserve"> will</w:t>
      </w:r>
      <w:r w:rsidR="00905862" w:rsidRPr="005C2179">
        <w:rPr>
          <w:kern w:val="2"/>
          <w:sz w:val="20"/>
        </w:rPr>
        <w:t xml:space="preserve"> </w:t>
      </w:r>
      <w:r w:rsidR="00114654" w:rsidRPr="005C2179">
        <w:rPr>
          <w:kern w:val="2"/>
          <w:sz w:val="20"/>
        </w:rPr>
        <w:t>not compromise debate on issues before the legislature.</w:t>
      </w:r>
      <w:r w:rsidR="00114654" w:rsidRPr="005C2179">
        <w:rPr>
          <w:rStyle w:val="FootnoteReference"/>
          <w:kern w:val="2"/>
          <w:sz w:val="20"/>
        </w:rPr>
        <w:footnoteReference w:id="679"/>
      </w:r>
      <w:r w:rsidR="00114654" w:rsidRPr="005C2179">
        <w:rPr>
          <w:kern w:val="2"/>
          <w:sz w:val="20"/>
        </w:rPr>
        <w:t xml:space="preserve"> </w:t>
      </w:r>
    </w:p>
    <w:p w14:paraId="7D1397AA" w14:textId="42E05FB8" w:rsidR="005C3810" w:rsidRPr="005C2179" w:rsidRDefault="005C3810" w:rsidP="00A8357B">
      <w:pPr>
        <w:pStyle w:val="Heading1"/>
        <w:rPr>
          <w:sz w:val="28"/>
        </w:rPr>
      </w:pPr>
      <w:bookmarkStart w:id="19" w:name="_Toc509569399"/>
      <w:bookmarkStart w:id="20" w:name="_Toc509569400"/>
      <w:bookmarkStart w:id="21" w:name="_Toc509569401"/>
      <w:bookmarkStart w:id="22" w:name="_Toc509569402"/>
      <w:bookmarkStart w:id="23" w:name="_Toc509569403"/>
      <w:bookmarkStart w:id="24" w:name="_Toc509569404"/>
      <w:bookmarkStart w:id="25" w:name="_Toc509569405"/>
      <w:bookmarkStart w:id="26" w:name="_Toc509569406"/>
      <w:bookmarkStart w:id="27" w:name="_Toc509569407"/>
      <w:bookmarkStart w:id="28" w:name="_Toc509569408"/>
      <w:bookmarkStart w:id="29" w:name="_Toc509569409"/>
      <w:bookmarkStart w:id="30" w:name="_Toc509569410"/>
      <w:bookmarkStart w:id="31" w:name="_Toc509569411"/>
      <w:bookmarkStart w:id="32" w:name="_Toc509569412"/>
      <w:bookmarkStart w:id="33" w:name="_Toc509569413"/>
      <w:bookmarkStart w:id="34" w:name="_Toc509569414"/>
      <w:bookmarkStart w:id="35" w:name="_Toc509569415"/>
      <w:bookmarkStart w:id="36" w:name="_Toc509569416"/>
      <w:bookmarkStart w:id="37" w:name="_Toc509569417"/>
      <w:bookmarkStart w:id="38" w:name="_Toc509569418"/>
      <w:bookmarkStart w:id="39" w:name="_Toc509569419"/>
      <w:bookmarkStart w:id="40" w:name="_Toc509569420"/>
      <w:bookmarkStart w:id="41" w:name="_Toc509569421"/>
      <w:bookmarkStart w:id="42" w:name="_Toc509569422"/>
      <w:bookmarkStart w:id="43" w:name="_Toc509569423"/>
      <w:bookmarkStart w:id="44" w:name="_Toc509569424"/>
      <w:bookmarkStart w:id="45" w:name="_Toc509569425"/>
      <w:bookmarkStart w:id="46" w:name="_Toc509569426"/>
      <w:bookmarkStart w:id="47" w:name="_Toc509569427"/>
      <w:bookmarkStart w:id="48" w:name="_Toc509569428"/>
      <w:bookmarkStart w:id="49" w:name="_Toc509569429"/>
      <w:bookmarkStart w:id="50" w:name="_Toc509569430"/>
      <w:bookmarkStart w:id="51" w:name="_Toc509569431"/>
      <w:bookmarkStart w:id="52" w:name="_Toc509569432"/>
      <w:bookmarkStart w:id="53" w:name="_Toc509569433"/>
      <w:bookmarkStart w:id="54" w:name="_Toc509569434"/>
      <w:bookmarkStart w:id="55" w:name="_Toc509569435"/>
      <w:bookmarkStart w:id="56" w:name="_Toc509569436"/>
      <w:bookmarkStart w:id="57" w:name="_Toc509569437"/>
      <w:bookmarkStart w:id="58" w:name="_Toc509569438"/>
      <w:bookmarkStart w:id="59" w:name="_Toc509569439"/>
      <w:bookmarkStart w:id="60" w:name="_Toc509569440"/>
      <w:bookmarkStart w:id="61" w:name="_Toc509569441"/>
      <w:bookmarkStart w:id="62" w:name="_Toc509569442"/>
      <w:bookmarkStart w:id="63" w:name="_Toc509569443"/>
      <w:bookmarkStart w:id="64" w:name="_Toc509569444"/>
      <w:bookmarkStart w:id="65" w:name="_Toc509569445"/>
      <w:bookmarkStart w:id="66" w:name="_Toc509569446"/>
      <w:bookmarkStart w:id="67" w:name="_Toc509569447"/>
      <w:bookmarkStart w:id="68" w:name="_Toc509569448"/>
      <w:bookmarkStart w:id="69" w:name="_Toc509569449"/>
      <w:bookmarkStart w:id="70" w:name="_Toc509569450"/>
      <w:bookmarkStart w:id="71" w:name="_Toc509569451"/>
      <w:bookmarkStart w:id="72" w:name="_Toc509569452"/>
      <w:bookmarkStart w:id="73" w:name="_Toc509569453"/>
      <w:bookmarkStart w:id="74" w:name="_Toc509569454"/>
      <w:bookmarkStart w:id="75" w:name="_Toc509569455"/>
      <w:bookmarkStart w:id="76" w:name="_Toc509569456"/>
      <w:bookmarkStart w:id="77" w:name="_Toc509569457"/>
      <w:bookmarkStart w:id="78" w:name="_Toc509569458"/>
      <w:bookmarkStart w:id="79" w:name="_Toc509569459"/>
      <w:bookmarkStart w:id="80" w:name="_Toc509569460"/>
      <w:bookmarkStart w:id="81" w:name="_Toc509569461"/>
      <w:bookmarkStart w:id="82" w:name="_Toc509569462"/>
      <w:bookmarkStart w:id="83" w:name="_Toc509569463"/>
      <w:bookmarkStart w:id="84" w:name="_Toc509569464"/>
      <w:bookmarkStart w:id="85" w:name="_Toc509569465"/>
      <w:bookmarkStart w:id="86" w:name="_Toc509569466"/>
      <w:bookmarkStart w:id="87" w:name="_Toc509569467"/>
      <w:bookmarkStart w:id="88" w:name="_Toc509569468"/>
      <w:bookmarkStart w:id="89" w:name="_Toc509569469"/>
      <w:bookmarkStart w:id="90" w:name="_Toc509569470"/>
      <w:bookmarkStart w:id="91" w:name="_Toc509569471"/>
      <w:bookmarkStart w:id="92" w:name="_Toc509569472"/>
      <w:bookmarkStart w:id="93" w:name="_Toc509569473"/>
      <w:bookmarkStart w:id="94" w:name="_Toc509569474"/>
      <w:bookmarkStart w:id="95" w:name="_Toc509569475"/>
      <w:bookmarkStart w:id="96" w:name="_Toc509569476"/>
      <w:bookmarkStart w:id="97" w:name="_Toc509569477"/>
      <w:bookmarkStart w:id="98" w:name="_Toc509569478"/>
      <w:bookmarkStart w:id="99" w:name="_Toc509569479"/>
      <w:bookmarkStart w:id="100" w:name="_Toc509569480"/>
      <w:bookmarkStart w:id="101" w:name="_Toc509569481"/>
      <w:bookmarkStart w:id="102" w:name="_Toc509569482"/>
      <w:bookmarkStart w:id="103" w:name="_Toc509569483"/>
      <w:bookmarkStart w:id="104" w:name="_Toc509569484"/>
      <w:bookmarkStart w:id="105" w:name="_Toc509569485"/>
      <w:bookmarkStart w:id="106" w:name="_Toc509569486"/>
      <w:bookmarkStart w:id="107" w:name="_Toc509569487"/>
      <w:bookmarkStart w:id="108" w:name="_Toc509569488"/>
      <w:bookmarkStart w:id="109" w:name="_Toc509569489"/>
      <w:bookmarkStart w:id="110" w:name="_Toc509569490"/>
      <w:bookmarkStart w:id="111" w:name="_Toc509569491"/>
      <w:bookmarkStart w:id="112" w:name="_Toc509569492"/>
      <w:bookmarkStart w:id="113" w:name="_Toc509569493"/>
      <w:bookmarkStart w:id="114" w:name="_Toc509569494"/>
      <w:bookmarkStart w:id="115" w:name="_Toc509569495"/>
      <w:bookmarkStart w:id="116" w:name="_Toc509569496"/>
      <w:bookmarkStart w:id="117" w:name="_Toc509569497"/>
      <w:bookmarkStart w:id="118" w:name="_Toc509569498"/>
      <w:bookmarkStart w:id="119" w:name="_Toc509569499"/>
      <w:bookmarkStart w:id="120" w:name="_Toc509569500"/>
      <w:bookmarkStart w:id="121" w:name="_Toc509569501"/>
      <w:bookmarkStart w:id="122" w:name="_Toc509569502"/>
      <w:bookmarkStart w:id="123" w:name="_Toc509569503"/>
      <w:bookmarkStart w:id="124" w:name="_Toc509569504"/>
      <w:bookmarkStart w:id="125" w:name="_Toc509569505"/>
      <w:bookmarkStart w:id="126" w:name="_Toc509569506"/>
      <w:bookmarkStart w:id="127" w:name="_Toc509569507"/>
      <w:bookmarkStart w:id="128" w:name="_Toc509569508"/>
      <w:bookmarkStart w:id="129" w:name="_Toc509569509"/>
      <w:bookmarkStart w:id="130" w:name="_Toc509569510"/>
      <w:bookmarkStart w:id="131" w:name="_Toc509569511"/>
      <w:bookmarkStart w:id="132" w:name="_Toc509569512"/>
      <w:bookmarkStart w:id="133" w:name="_Toc509569513"/>
      <w:bookmarkStart w:id="134" w:name="_Toc509569514"/>
      <w:bookmarkStart w:id="135" w:name="_Toc509569515"/>
      <w:bookmarkStart w:id="136" w:name="_Toc509569516"/>
      <w:bookmarkStart w:id="137" w:name="_Toc509569517"/>
      <w:bookmarkStart w:id="138" w:name="_Toc509569518"/>
      <w:bookmarkStart w:id="139" w:name="_Toc509569519"/>
      <w:bookmarkStart w:id="140" w:name="_Toc509569520"/>
      <w:bookmarkStart w:id="141" w:name="_Toc509569521"/>
      <w:bookmarkStart w:id="142" w:name="_Toc509569522"/>
      <w:bookmarkStart w:id="143" w:name="_Toc509569523"/>
      <w:bookmarkStart w:id="144" w:name="_Toc509569524"/>
      <w:bookmarkStart w:id="145" w:name="_Toc509569525"/>
      <w:bookmarkStart w:id="146" w:name="_Toc509569526"/>
      <w:bookmarkStart w:id="147" w:name="_Toc509569527"/>
      <w:bookmarkStart w:id="148" w:name="_Toc509569528"/>
      <w:bookmarkStart w:id="149" w:name="_Toc509569529"/>
      <w:bookmarkStart w:id="150" w:name="_Toc509569530"/>
      <w:bookmarkStart w:id="151" w:name="_Toc509569531"/>
      <w:bookmarkStart w:id="152" w:name="_Toc509569532"/>
      <w:bookmarkStart w:id="153" w:name="_Toc509569533"/>
      <w:bookmarkStart w:id="154" w:name="_Toc509569534"/>
      <w:bookmarkStart w:id="155" w:name="_Toc509569535"/>
      <w:bookmarkStart w:id="156" w:name="_Toc509569536"/>
      <w:bookmarkStart w:id="157" w:name="_Toc509569537"/>
      <w:bookmarkStart w:id="158" w:name="_Toc509569538"/>
      <w:bookmarkStart w:id="159" w:name="_Toc509569539"/>
      <w:bookmarkStart w:id="160" w:name="_Toc509569540"/>
      <w:bookmarkStart w:id="161" w:name="_Toc509569541"/>
      <w:bookmarkStart w:id="162" w:name="_Toc509569542"/>
      <w:bookmarkStart w:id="163" w:name="_Toc509569543"/>
      <w:bookmarkStart w:id="164" w:name="_Toc509569544"/>
      <w:bookmarkStart w:id="165" w:name="_Toc509569545"/>
      <w:bookmarkStart w:id="166" w:name="_Toc509569546"/>
      <w:bookmarkStart w:id="167" w:name="_Toc509569547"/>
      <w:bookmarkStart w:id="168" w:name="_Toc509569548"/>
      <w:bookmarkStart w:id="169" w:name="_Toc509569549"/>
      <w:bookmarkStart w:id="170" w:name="_Toc509569550"/>
      <w:bookmarkStart w:id="171" w:name="_Toc509569551"/>
      <w:bookmarkStart w:id="172" w:name="_Toc509569552"/>
      <w:bookmarkStart w:id="173" w:name="_Toc509569553"/>
      <w:bookmarkStart w:id="174" w:name="_Toc509569554"/>
      <w:bookmarkStart w:id="175" w:name="_Toc509569555"/>
      <w:bookmarkStart w:id="176" w:name="_Toc509569556"/>
      <w:bookmarkStart w:id="177" w:name="_Toc509569557"/>
      <w:bookmarkStart w:id="178" w:name="_Toc509569558"/>
      <w:bookmarkStart w:id="179" w:name="_Toc509569559"/>
      <w:bookmarkStart w:id="180" w:name="_Toc509569560"/>
      <w:bookmarkStart w:id="181" w:name="_Toc509569561"/>
      <w:bookmarkStart w:id="182" w:name="_Toc509569562"/>
      <w:bookmarkStart w:id="183" w:name="_Toc509569563"/>
      <w:bookmarkStart w:id="184" w:name="_Toc509569564"/>
      <w:bookmarkStart w:id="185" w:name="_Toc509569565"/>
      <w:bookmarkStart w:id="186" w:name="_Toc509569566"/>
      <w:bookmarkStart w:id="187" w:name="_Toc509569567"/>
      <w:bookmarkStart w:id="188" w:name="_Toc509569568"/>
      <w:bookmarkStart w:id="189" w:name="_Toc509569569"/>
      <w:bookmarkStart w:id="190" w:name="_Toc509569570"/>
      <w:bookmarkStart w:id="191" w:name="_Toc509569571"/>
      <w:bookmarkStart w:id="192" w:name="_Toc509569572"/>
      <w:bookmarkStart w:id="193" w:name="_Toc509569573"/>
      <w:bookmarkStart w:id="194" w:name="_Toc509569574"/>
      <w:bookmarkStart w:id="195" w:name="_Toc509569575"/>
      <w:bookmarkStart w:id="196" w:name="_Toc509569576"/>
      <w:bookmarkStart w:id="197" w:name="_Toc509569577"/>
      <w:bookmarkStart w:id="198" w:name="_Toc509569578"/>
      <w:bookmarkStart w:id="199" w:name="_Toc509569579"/>
      <w:bookmarkStart w:id="200" w:name="_Toc509569580"/>
      <w:bookmarkStart w:id="201" w:name="_Toc509569581"/>
      <w:bookmarkStart w:id="202" w:name="_Toc509569582"/>
      <w:bookmarkStart w:id="203" w:name="_Toc509569583"/>
      <w:bookmarkStart w:id="204" w:name="_Toc509569584"/>
      <w:bookmarkStart w:id="205" w:name="_Toc509569585"/>
      <w:bookmarkStart w:id="206" w:name="_Toc509569586"/>
      <w:bookmarkStart w:id="207" w:name="_Toc509569587"/>
      <w:bookmarkStart w:id="208" w:name="_Toc509569588"/>
      <w:bookmarkStart w:id="209" w:name="_Toc509569589"/>
      <w:bookmarkStart w:id="210" w:name="_Toc503443961"/>
      <w:bookmarkStart w:id="211" w:name="_Toc50956959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5C2179">
        <w:rPr>
          <w:sz w:val="28"/>
        </w:rPr>
        <w:t>Conclusion</w:t>
      </w:r>
      <w:bookmarkEnd w:id="210"/>
      <w:bookmarkEnd w:id="211"/>
    </w:p>
    <w:p w14:paraId="73AE4CB7" w14:textId="347DBAEF" w:rsidR="001F02C1" w:rsidRPr="005C2179" w:rsidRDefault="005C3810" w:rsidP="00330F4B">
      <w:pPr>
        <w:rPr>
          <w:kern w:val="2"/>
          <w:sz w:val="20"/>
        </w:rPr>
      </w:pPr>
      <w:r w:rsidRPr="005C2179">
        <w:rPr>
          <w:kern w:val="2"/>
          <w:sz w:val="20"/>
        </w:rPr>
        <w:t>Campaign fin</w:t>
      </w:r>
      <w:r w:rsidR="00645892" w:rsidRPr="005C2179">
        <w:rPr>
          <w:kern w:val="2"/>
          <w:sz w:val="20"/>
        </w:rPr>
        <w:t>ance is a high profile issue</w:t>
      </w:r>
      <w:r w:rsidR="00C1416D" w:rsidRPr="005C2179">
        <w:rPr>
          <w:kern w:val="2"/>
          <w:sz w:val="20"/>
        </w:rPr>
        <w:t>,</w:t>
      </w:r>
      <w:r w:rsidR="00176893" w:rsidRPr="005C2179">
        <w:rPr>
          <w:kern w:val="2"/>
          <w:sz w:val="20"/>
        </w:rPr>
        <w:t xml:space="preserve"> and scandals break out regularly</w:t>
      </w:r>
      <w:r w:rsidR="00645892" w:rsidRPr="005C2179">
        <w:rPr>
          <w:kern w:val="2"/>
          <w:sz w:val="20"/>
        </w:rPr>
        <w:t>.</w:t>
      </w:r>
      <w:r w:rsidR="005B00C2" w:rsidRPr="005C2179">
        <w:rPr>
          <w:rStyle w:val="FootnoteReference"/>
          <w:kern w:val="2"/>
          <w:sz w:val="20"/>
        </w:rPr>
        <w:footnoteReference w:id="680"/>
      </w:r>
      <w:r w:rsidR="004A7942" w:rsidRPr="005C2179">
        <w:rPr>
          <w:kern w:val="2"/>
          <w:sz w:val="20"/>
        </w:rPr>
        <w:t xml:space="preserve"> </w:t>
      </w:r>
      <w:r w:rsidR="00810E32" w:rsidRPr="005C2179">
        <w:rPr>
          <w:kern w:val="2"/>
          <w:sz w:val="20"/>
        </w:rPr>
        <w:t xml:space="preserve">Frustration </w:t>
      </w:r>
      <w:r w:rsidR="004A7942" w:rsidRPr="005C2179">
        <w:rPr>
          <w:kern w:val="2"/>
          <w:sz w:val="20"/>
        </w:rPr>
        <w:t xml:space="preserve">and cynicism </w:t>
      </w:r>
      <w:r w:rsidR="00A16DA9" w:rsidRPr="005C2179">
        <w:rPr>
          <w:kern w:val="2"/>
          <w:sz w:val="20"/>
        </w:rPr>
        <w:t>arise</w:t>
      </w:r>
      <w:r w:rsidR="004A7942" w:rsidRPr="005C2179">
        <w:rPr>
          <w:kern w:val="2"/>
          <w:sz w:val="20"/>
        </w:rPr>
        <w:t xml:space="preserve"> when wealth</w:t>
      </w:r>
      <w:r w:rsidR="0083609D" w:rsidRPr="005C2179">
        <w:rPr>
          <w:kern w:val="2"/>
          <w:sz w:val="20"/>
        </w:rPr>
        <w:t>y individuals or corporations</w:t>
      </w:r>
      <w:r w:rsidR="004A7942" w:rsidRPr="005C2179">
        <w:rPr>
          <w:kern w:val="2"/>
          <w:sz w:val="20"/>
        </w:rPr>
        <w:t xml:space="preserve"> support a candidate’s</w:t>
      </w:r>
      <w:r w:rsidR="00BC2755" w:rsidRPr="005C2179">
        <w:rPr>
          <w:kern w:val="2"/>
          <w:sz w:val="20"/>
        </w:rPr>
        <w:t xml:space="preserve"> election campaign and </w:t>
      </w:r>
      <w:r w:rsidR="004A7942" w:rsidRPr="005C2179">
        <w:rPr>
          <w:kern w:val="2"/>
          <w:sz w:val="20"/>
        </w:rPr>
        <w:t>benefit</w:t>
      </w:r>
      <w:r w:rsidR="00645892" w:rsidRPr="005C2179">
        <w:rPr>
          <w:kern w:val="2"/>
          <w:sz w:val="20"/>
        </w:rPr>
        <w:t xml:space="preserve"> </w:t>
      </w:r>
      <w:r w:rsidR="004A7942" w:rsidRPr="005C2179">
        <w:rPr>
          <w:kern w:val="2"/>
          <w:sz w:val="20"/>
        </w:rPr>
        <w:t xml:space="preserve">from favourable policies </w:t>
      </w:r>
      <w:r w:rsidR="00ED7BFD" w:rsidRPr="005C2179">
        <w:rPr>
          <w:kern w:val="2"/>
          <w:sz w:val="20"/>
        </w:rPr>
        <w:t xml:space="preserve">after the candidate is elected. </w:t>
      </w:r>
      <w:r w:rsidR="00BC2755" w:rsidRPr="005C2179">
        <w:rPr>
          <w:kern w:val="2"/>
          <w:sz w:val="20"/>
        </w:rPr>
        <w:t xml:space="preserve">Even when it is </w:t>
      </w:r>
      <w:r w:rsidR="003C2FB4" w:rsidRPr="005C2179">
        <w:rPr>
          <w:kern w:val="2"/>
          <w:sz w:val="20"/>
        </w:rPr>
        <w:t>imposs</w:t>
      </w:r>
      <w:r w:rsidR="008E59AD" w:rsidRPr="005C2179">
        <w:rPr>
          <w:kern w:val="2"/>
          <w:sz w:val="20"/>
        </w:rPr>
        <w:t xml:space="preserve">ible to determine whether </w:t>
      </w:r>
      <w:r w:rsidR="003C2FB4" w:rsidRPr="005C2179">
        <w:rPr>
          <w:kern w:val="2"/>
          <w:sz w:val="20"/>
        </w:rPr>
        <w:t>polici</w:t>
      </w:r>
      <w:r w:rsidR="00176893" w:rsidRPr="005C2179">
        <w:rPr>
          <w:kern w:val="2"/>
          <w:sz w:val="20"/>
        </w:rPr>
        <w:t>es</w:t>
      </w:r>
      <w:r w:rsidR="00BC2755" w:rsidRPr="005C2179">
        <w:rPr>
          <w:kern w:val="2"/>
          <w:sz w:val="20"/>
        </w:rPr>
        <w:t xml:space="preserve"> and decisions</w:t>
      </w:r>
      <w:r w:rsidR="00A3323A" w:rsidRPr="005C2179">
        <w:rPr>
          <w:kern w:val="2"/>
          <w:sz w:val="20"/>
        </w:rPr>
        <w:t xml:space="preserve"> result from </w:t>
      </w:r>
      <w:r w:rsidR="00176893" w:rsidRPr="005C2179">
        <w:rPr>
          <w:kern w:val="2"/>
          <w:sz w:val="20"/>
        </w:rPr>
        <w:t>a politician</w:t>
      </w:r>
      <w:r w:rsidR="003C2FB4" w:rsidRPr="005C2179">
        <w:rPr>
          <w:kern w:val="2"/>
          <w:sz w:val="20"/>
        </w:rPr>
        <w:t xml:space="preserve">’s own principles or </w:t>
      </w:r>
      <w:r w:rsidR="00A3323A" w:rsidRPr="005C2179">
        <w:rPr>
          <w:kern w:val="2"/>
          <w:sz w:val="20"/>
        </w:rPr>
        <w:t xml:space="preserve">from </w:t>
      </w:r>
      <w:r w:rsidR="00176893" w:rsidRPr="005C2179">
        <w:rPr>
          <w:kern w:val="2"/>
          <w:sz w:val="20"/>
        </w:rPr>
        <w:t xml:space="preserve">the </w:t>
      </w:r>
      <w:r w:rsidR="00A3323A" w:rsidRPr="005C2179">
        <w:rPr>
          <w:kern w:val="2"/>
          <w:sz w:val="20"/>
        </w:rPr>
        <w:t>need</w:t>
      </w:r>
      <w:r w:rsidR="003C2FB4" w:rsidRPr="005C2179">
        <w:rPr>
          <w:kern w:val="2"/>
          <w:sz w:val="20"/>
        </w:rPr>
        <w:t xml:space="preserve"> to maintain future </w:t>
      </w:r>
      <w:r w:rsidR="00A16DA9" w:rsidRPr="005C2179">
        <w:rPr>
          <w:kern w:val="2"/>
          <w:sz w:val="20"/>
        </w:rPr>
        <w:t xml:space="preserve">financial </w:t>
      </w:r>
      <w:r w:rsidR="003C2FB4" w:rsidRPr="005C2179">
        <w:rPr>
          <w:kern w:val="2"/>
          <w:sz w:val="20"/>
        </w:rPr>
        <w:t>support by rewarding past support</w:t>
      </w:r>
      <w:r w:rsidR="00BC2755" w:rsidRPr="005C2179">
        <w:rPr>
          <w:kern w:val="2"/>
          <w:sz w:val="20"/>
        </w:rPr>
        <w:t>, t</w:t>
      </w:r>
      <w:r w:rsidR="003C2FB4" w:rsidRPr="005C2179">
        <w:rPr>
          <w:kern w:val="2"/>
          <w:sz w:val="20"/>
        </w:rPr>
        <w:t xml:space="preserve">he relationship between </w:t>
      </w:r>
      <w:r w:rsidR="008E59AD" w:rsidRPr="005C2179">
        <w:rPr>
          <w:kern w:val="2"/>
          <w:sz w:val="20"/>
        </w:rPr>
        <w:t xml:space="preserve">politicians and their </w:t>
      </w:r>
      <w:r w:rsidR="00990535" w:rsidRPr="005C2179">
        <w:rPr>
          <w:kern w:val="2"/>
          <w:sz w:val="20"/>
        </w:rPr>
        <w:t xml:space="preserve">financial </w:t>
      </w:r>
      <w:r w:rsidR="008E59AD" w:rsidRPr="005C2179">
        <w:rPr>
          <w:kern w:val="2"/>
          <w:sz w:val="20"/>
        </w:rPr>
        <w:t>backers can be</w:t>
      </w:r>
      <w:r w:rsidR="003C2FB4" w:rsidRPr="005C2179">
        <w:rPr>
          <w:kern w:val="2"/>
          <w:sz w:val="20"/>
        </w:rPr>
        <w:t xml:space="preserve"> toxic for public confidence.</w:t>
      </w:r>
      <w:r w:rsidR="00D934B1" w:rsidRPr="005C2179">
        <w:rPr>
          <w:rStyle w:val="FootnoteReference"/>
          <w:kern w:val="2"/>
          <w:sz w:val="20"/>
        </w:rPr>
        <w:footnoteReference w:id="681"/>
      </w:r>
      <w:r w:rsidR="003C2FB4" w:rsidRPr="005C2179">
        <w:rPr>
          <w:kern w:val="2"/>
          <w:sz w:val="20"/>
        </w:rPr>
        <w:t xml:space="preserve"> </w:t>
      </w:r>
      <w:r w:rsidR="00A16DA9" w:rsidRPr="005C2179">
        <w:rPr>
          <w:kern w:val="2"/>
          <w:sz w:val="20"/>
        </w:rPr>
        <w:t>Further, a</w:t>
      </w:r>
      <w:r w:rsidR="00336829" w:rsidRPr="005C2179">
        <w:rPr>
          <w:kern w:val="2"/>
          <w:sz w:val="20"/>
        </w:rPr>
        <w:t>side</w:t>
      </w:r>
      <w:r w:rsidR="00620F96" w:rsidRPr="005C2179">
        <w:rPr>
          <w:kern w:val="2"/>
          <w:sz w:val="20"/>
        </w:rPr>
        <w:t xml:space="preserve"> from </w:t>
      </w:r>
      <w:r w:rsidR="00366669" w:rsidRPr="005C2179">
        <w:rPr>
          <w:kern w:val="2"/>
          <w:sz w:val="20"/>
        </w:rPr>
        <w:t xml:space="preserve">the risk of </w:t>
      </w:r>
      <w:r w:rsidR="00961933" w:rsidRPr="005C2179">
        <w:rPr>
          <w:kern w:val="2"/>
          <w:sz w:val="20"/>
        </w:rPr>
        <w:t>corruption of elected officials</w:t>
      </w:r>
      <w:r w:rsidR="00620F96" w:rsidRPr="005C2179">
        <w:rPr>
          <w:kern w:val="2"/>
          <w:sz w:val="20"/>
        </w:rPr>
        <w:t xml:space="preserve">, </w:t>
      </w:r>
      <w:r w:rsidR="009F4275" w:rsidRPr="005C2179">
        <w:rPr>
          <w:kern w:val="2"/>
          <w:sz w:val="20"/>
        </w:rPr>
        <w:t>many argue</w:t>
      </w:r>
      <w:r w:rsidR="00620F96" w:rsidRPr="005C2179">
        <w:rPr>
          <w:kern w:val="2"/>
          <w:sz w:val="20"/>
        </w:rPr>
        <w:t xml:space="preserve"> that </w:t>
      </w:r>
      <w:r w:rsidR="00936968" w:rsidRPr="005C2179">
        <w:rPr>
          <w:kern w:val="2"/>
          <w:sz w:val="20"/>
        </w:rPr>
        <w:t>unregulated campaign finance</w:t>
      </w:r>
      <w:r w:rsidR="00517B84" w:rsidRPr="005C2179">
        <w:rPr>
          <w:kern w:val="2"/>
          <w:sz w:val="20"/>
        </w:rPr>
        <w:t xml:space="preserve"> may corrupt</w:t>
      </w:r>
      <w:r w:rsidR="00455355" w:rsidRPr="005C2179">
        <w:rPr>
          <w:kern w:val="2"/>
          <w:sz w:val="20"/>
        </w:rPr>
        <w:t xml:space="preserve"> the electoral process</w:t>
      </w:r>
      <w:r w:rsidR="00AC6E37" w:rsidRPr="005C2179">
        <w:rPr>
          <w:kern w:val="2"/>
          <w:sz w:val="20"/>
        </w:rPr>
        <w:t xml:space="preserve"> itself</w:t>
      </w:r>
      <w:r w:rsidR="00455355" w:rsidRPr="005C2179">
        <w:rPr>
          <w:kern w:val="2"/>
          <w:sz w:val="20"/>
        </w:rPr>
        <w:t xml:space="preserve"> </w:t>
      </w:r>
      <w:r w:rsidR="00517B84" w:rsidRPr="005C2179">
        <w:rPr>
          <w:kern w:val="2"/>
          <w:sz w:val="20"/>
        </w:rPr>
        <w:t xml:space="preserve">by </w:t>
      </w:r>
      <w:r w:rsidR="00455355" w:rsidRPr="005C2179">
        <w:rPr>
          <w:kern w:val="2"/>
          <w:sz w:val="20"/>
        </w:rPr>
        <w:t xml:space="preserve">allowing </w:t>
      </w:r>
      <w:r w:rsidR="00620F96" w:rsidRPr="005C2179">
        <w:rPr>
          <w:kern w:val="2"/>
          <w:sz w:val="20"/>
        </w:rPr>
        <w:t>the wealthy to set the electoral debate</w:t>
      </w:r>
      <w:r w:rsidR="00961933" w:rsidRPr="005C2179">
        <w:rPr>
          <w:kern w:val="2"/>
          <w:sz w:val="20"/>
        </w:rPr>
        <w:t xml:space="preserve"> agenda and exert</w:t>
      </w:r>
      <w:r w:rsidR="00620F96" w:rsidRPr="005C2179">
        <w:rPr>
          <w:kern w:val="2"/>
          <w:sz w:val="20"/>
        </w:rPr>
        <w:t xml:space="preserve"> disproportionate influence </w:t>
      </w:r>
      <w:r w:rsidR="009204AB" w:rsidRPr="005C2179">
        <w:rPr>
          <w:kern w:val="2"/>
          <w:sz w:val="20"/>
        </w:rPr>
        <w:t>ove</w:t>
      </w:r>
      <w:r w:rsidR="00455355" w:rsidRPr="005C2179">
        <w:rPr>
          <w:kern w:val="2"/>
          <w:sz w:val="20"/>
        </w:rPr>
        <w:t>r the outcome of elections.</w:t>
      </w:r>
      <w:r w:rsidR="00B80644" w:rsidRPr="005C2179">
        <w:rPr>
          <w:rStyle w:val="FootnoteReference"/>
          <w:kern w:val="2"/>
          <w:sz w:val="20"/>
        </w:rPr>
        <w:footnoteReference w:id="682"/>
      </w:r>
      <w:r w:rsidR="00990535" w:rsidRPr="005C2179">
        <w:rPr>
          <w:kern w:val="2"/>
          <w:sz w:val="20"/>
        </w:rPr>
        <w:t xml:space="preserve"> This influence</w:t>
      </w:r>
      <w:r w:rsidR="009204AB" w:rsidRPr="005C2179">
        <w:rPr>
          <w:kern w:val="2"/>
          <w:sz w:val="20"/>
        </w:rPr>
        <w:t xml:space="preserve"> </w:t>
      </w:r>
      <w:r w:rsidR="00455355" w:rsidRPr="005C2179">
        <w:rPr>
          <w:kern w:val="2"/>
          <w:sz w:val="20"/>
        </w:rPr>
        <w:t xml:space="preserve">arguably </w:t>
      </w:r>
      <w:r w:rsidR="009204AB" w:rsidRPr="005C2179">
        <w:rPr>
          <w:kern w:val="2"/>
          <w:sz w:val="20"/>
        </w:rPr>
        <w:t>undermine</w:t>
      </w:r>
      <w:r w:rsidR="00455355" w:rsidRPr="005C2179">
        <w:rPr>
          <w:kern w:val="2"/>
          <w:sz w:val="20"/>
        </w:rPr>
        <w:t>s</w:t>
      </w:r>
      <w:r w:rsidR="00620F96" w:rsidRPr="005C2179">
        <w:rPr>
          <w:kern w:val="2"/>
          <w:sz w:val="20"/>
        </w:rPr>
        <w:t xml:space="preserve"> the</w:t>
      </w:r>
      <w:r w:rsidR="00807F77" w:rsidRPr="005C2179">
        <w:rPr>
          <w:kern w:val="2"/>
          <w:sz w:val="20"/>
        </w:rPr>
        <w:t xml:space="preserve"> foundational</w:t>
      </w:r>
      <w:r w:rsidR="00620F96" w:rsidRPr="005C2179">
        <w:rPr>
          <w:kern w:val="2"/>
          <w:sz w:val="20"/>
        </w:rPr>
        <w:t xml:space="preserve"> principle of “one person, one vote</w:t>
      </w:r>
      <w:r w:rsidR="00AF6CEC" w:rsidRPr="005C2179">
        <w:rPr>
          <w:kern w:val="2"/>
          <w:sz w:val="20"/>
        </w:rPr>
        <w:t>.</w:t>
      </w:r>
      <w:r w:rsidR="00620F96" w:rsidRPr="005C2179">
        <w:rPr>
          <w:kern w:val="2"/>
          <w:sz w:val="20"/>
        </w:rPr>
        <w:t>”</w:t>
      </w:r>
      <w:r w:rsidR="009204AB" w:rsidRPr="005C2179">
        <w:rPr>
          <w:rStyle w:val="FootnoteReference"/>
          <w:kern w:val="2"/>
          <w:sz w:val="20"/>
        </w:rPr>
        <w:footnoteReference w:id="683"/>
      </w:r>
      <w:r w:rsidR="000B474D" w:rsidRPr="005C2179">
        <w:rPr>
          <w:kern w:val="2"/>
          <w:sz w:val="20"/>
        </w:rPr>
        <w:t xml:space="preserve"> </w:t>
      </w:r>
    </w:p>
    <w:p w14:paraId="00C20158" w14:textId="77777777" w:rsidR="009A6F76" w:rsidRPr="005C2179" w:rsidRDefault="005A373F" w:rsidP="00330F4B">
      <w:pPr>
        <w:rPr>
          <w:kern w:val="2"/>
          <w:sz w:val="20"/>
        </w:rPr>
      </w:pPr>
      <w:r w:rsidRPr="005C2179">
        <w:rPr>
          <w:kern w:val="2"/>
          <w:sz w:val="20"/>
        </w:rPr>
        <w:t>Tens</w:t>
      </w:r>
      <w:r w:rsidR="0053278A" w:rsidRPr="005C2179">
        <w:rPr>
          <w:kern w:val="2"/>
          <w:sz w:val="20"/>
        </w:rPr>
        <w:t>ion exists between the goal of</w:t>
      </w:r>
      <w:r w:rsidRPr="005C2179">
        <w:rPr>
          <w:kern w:val="2"/>
          <w:sz w:val="20"/>
        </w:rPr>
        <w:t xml:space="preserve"> </w:t>
      </w:r>
      <w:r w:rsidR="00235206" w:rsidRPr="005C2179">
        <w:rPr>
          <w:kern w:val="2"/>
          <w:sz w:val="20"/>
        </w:rPr>
        <w:t>alleviat</w:t>
      </w:r>
      <w:r w:rsidR="0053278A" w:rsidRPr="005C2179">
        <w:rPr>
          <w:kern w:val="2"/>
          <w:sz w:val="20"/>
        </w:rPr>
        <w:t>ing</w:t>
      </w:r>
      <w:r w:rsidR="00DF6B88" w:rsidRPr="005C2179">
        <w:rPr>
          <w:kern w:val="2"/>
          <w:sz w:val="20"/>
        </w:rPr>
        <w:t xml:space="preserve"> the </w:t>
      </w:r>
      <w:r w:rsidR="00153693" w:rsidRPr="005C2179">
        <w:rPr>
          <w:kern w:val="2"/>
          <w:sz w:val="20"/>
        </w:rPr>
        <w:t xml:space="preserve">potentially poisonous </w:t>
      </w:r>
      <w:r w:rsidR="00841B8A" w:rsidRPr="005C2179">
        <w:rPr>
          <w:kern w:val="2"/>
          <w:sz w:val="20"/>
        </w:rPr>
        <w:t>effects</w:t>
      </w:r>
      <w:r w:rsidR="009A6F76" w:rsidRPr="005C2179">
        <w:rPr>
          <w:kern w:val="2"/>
          <w:sz w:val="20"/>
        </w:rPr>
        <w:t xml:space="preserve"> of wealth in</w:t>
      </w:r>
      <w:r w:rsidR="0053278A" w:rsidRPr="005C2179">
        <w:rPr>
          <w:kern w:val="2"/>
          <w:sz w:val="20"/>
        </w:rPr>
        <w:t xml:space="preserve"> politics and the goal of facilitating</w:t>
      </w:r>
      <w:r w:rsidRPr="005C2179">
        <w:rPr>
          <w:kern w:val="2"/>
          <w:sz w:val="20"/>
        </w:rPr>
        <w:t xml:space="preserve"> free and open debate.</w:t>
      </w:r>
      <w:r w:rsidR="008409B2" w:rsidRPr="005C2179">
        <w:rPr>
          <w:kern w:val="2"/>
          <w:sz w:val="20"/>
        </w:rPr>
        <w:t xml:space="preserve"> </w:t>
      </w:r>
      <w:r w:rsidR="00B75079" w:rsidRPr="005C2179">
        <w:rPr>
          <w:kern w:val="2"/>
          <w:sz w:val="20"/>
        </w:rPr>
        <w:t>This tension is often</w:t>
      </w:r>
      <w:r w:rsidR="0068773E" w:rsidRPr="005C2179">
        <w:rPr>
          <w:kern w:val="2"/>
          <w:sz w:val="20"/>
        </w:rPr>
        <w:t xml:space="preserve"> framed as a clash between equality and freedom.</w:t>
      </w:r>
      <w:r w:rsidR="00DF6B88" w:rsidRPr="005C2179">
        <w:rPr>
          <w:kern w:val="2"/>
          <w:sz w:val="20"/>
        </w:rPr>
        <w:t xml:space="preserve"> </w:t>
      </w:r>
      <w:r w:rsidR="008409B2" w:rsidRPr="005C2179">
        <w:rPr>
          <w:kern w:val="2"/>
          <w:sz w:val="20"/>
        </w:rPr>
        <w:t>The UK’s ban on paid political advertising</w:t>
      </w:r>
      <w:r w:rsidR="005A2CD1" w:rsidRPr="005C2179">
        <w:rPr>
          <w:kern w:val="2"/>
          <w:sz w:val="20"/>
        </w:rPr>
        <w:t xml:space="preserve"> </w:t>
      </w:r>
      <w:r w:rsidR="009A6F76" w:rsidRPr="005C2179">
        <w:rPr>
          <w:kern w:val="2"/>
          <w:sz w:val="20"/>
        </w:rPr>
        <w:t>pro</w:t>
      </w:r>
      <w:r w:rsidR="00A43783" w:rsidRPr="005C2179">
        <w:rPr>
          <w:kern w:val="2"/>
          <w:sz w:val="20"/>
        </w:rPr>
        <w:t>vides an example</w:t>
      </w:r>
      <w:r w:rsidR="009A6F76" w:rsidRPr="005C2179">
        <w:rPr>
          <w:kern w:val="2"/>
          <w:sz w:val="20"/>
        </w:rPr>
        <w:t>.</w:t>
      </w:r>
      <w:r w:rsidR="00B80644" w:rsidRPr="005C2179">
        <w:rPr>
          <w:rStyle w:val="FootnoteReference"/>
          <w:kern w:val="2"/>
          <w:sz w:val="20"/>
        </w:rPr>
        <w:footnoteReference w:id="684"/>
      </w:r>
      <w:r w:rsidR="009A6F76" w:rsidRPr="005C2179">
        <w:rPr>
          <w:kern w:val="2"/>
          <w:sz w:val="20"/>
        </w:rPr>
        <w:t xml:space="preserve"> Although the ban </w:t>
      </w:r>
      <w:r w:rsidR="00807F77" w:rsidRPr="005C2179">
        <w:rPr>
          <w:kern w:val="2"/>
          <w:sz w:val="20"/>
        </w:rPr>
        <w:t xml:space="preserve">prevents </w:t>
      </w:r>
      <w:r w:rsidR="00B80644" w:rsidRPr="005C2179">
        <w:rPr>
          <w:kern w:val="2"/>
          <w:sz w:val="20"/>
        </w:rPr>
        <w:t>the wealthy</w:t>
      </w:r>
      <w:r w:rsidR="00807F77" w:rsidRPr="005C2179">
        <w:rPr>
          <w:kern w:val="2"/>
          <w:sz w:val="20"/>
        </w:rPr>
        <w:t xml:space="preserve"> from flooding broadcast media with</w:t>
      </w:r>
      <w:r w:rsidR="009A6F76" w:rsidRPr="005C2179">
        <w:rPr>
          <w:kern w:val="2"/>
          <w:sz w:val="20"/>
        </w:rPr>
        <w:t xml:space="preserve"> political advertisements, it also arguably chills debate by preventing public interest groups from advertising their views on broadcast media.</w:t>
      </w:r>
      <w:r w:rsidR="00B80644" w:rsidRPr="005C2179">
        <w:rPr>
          <w:rStyle w:val="FootnoteReference"/>
          <w:kern w:val="2"/>
          <w:sz w:val="20"/>
        </w:rPr>
        <w:footnoteReference w:id="685"/>
      </w:r>
      <w:r w:rsidR="009A6F76" w:rsidRPr="005C2179">
        <w:rPr>
          <w:kern w:val="2"/>
          <w:sz w:val="20"/>
        </w:rPr>
        <w:t xml:space="preserve"> </w:t>
      </w:r>
    </w:p>
    <w:p w14:paraId="2DBA3FFF" w14:textId="77777777" w:rsidR="008E59AD" w:rsidRPr="005C2179" w:rsidRDefault="00B80644" w:rsidP="00330F4B">
      <w:pPr>
        <w:rPr>
          <w:kern w:val="2"/>
          <w:sz w:val="20"/>
        </w:rPr>
      </w:pPr>
      <w:r w:rsidRPr="005C2179">
        <w:rPr>
          <w:kern w:val="2"/>
          <w:sz w:val="20"/>
        </w:rPr>
        <w:t>T</w:t>
      </w:r>
      <w:r w:rsidR="00030F20" w:rsidRPr="005C2179">
        <w:rPr>
          <w:kern w:val="2"/>
          <w:sz w:val="20"/>
        </w:rPr>
        <w:t>he t</w:t>
      </w:r>
      <w:r w:rsidRPr="005C2179">
        <w:rPr>
          <w:kern w:val="2"/>
          <w:sz w:val="20"/>
        </w:rPr>
        <w:t>ension</w:t>
      </w:r>
      <w:r w:rsidR="00DF6B88" w:rsidRPr="005C2179">
        <w:rPr>
          <w:kern w:val="2"/>
          <w:sz w:val="20"/>
        </w:rPr>
        <w:t xml:space="preserve"> between equality and freedom </w:t>
      </w:r>
      <w:r w:rsidRPr="005C2179">
        <w:rPr>
          <w:kern w:val="2"/>
          <w:sz w:val="20"/>
        </w:rPr>
        <w:t>makes campaign finance regulation</w:t>
      </w:r>
      <w:r w:rsidR="00DF6B88" w:rsidRPr="005C2179">
        <w:rPr>
          <w:kern w:val="2"/>
          <w:sz w:val="20"/>
        </w:rPr>
        <w:t xml:space="preserve"> </w:t>
      </w:r>
      <w:r w:rsidR="00071E7E" w:rsidRPr="005C2179">
        <w:rPr>
          <w:kern w:val="2"/>
          <w:sz w:val="20"/>
        </w:rPr>
        <w:t xml:space="preserve">a controversial and partisan issue, particularly in the US. </w:t>
      </w:r>
      <w:r w:rsidR="006F2F9D" w:rsidRPr="005C2179">
        <w:rPr>
          <w:kern w:val="2"/>
          <w:sz w:val="20"/>
        </w:rPr>
        <w:t>The jurisprudence discussed in this chapter</w:t>
      </w:r>
      <w:r w:rsidR="00707031" w:rsidRPr="005C2179">
        <w:rPr>
          <w:kern w:val="2"/>
          <w:sz w:val="20"/>
        </w:rPr>
        <w:t xml:space="preserve"> </w:t>
      </w:r>
      <w:r w:rsidR="006F2F9D" w:rsidRPr="005C2179">
        <w:rPr>
          <w:kern w:val="2"/>
          <w:sz w:val="20"/>
        </w:rPr>
        <w:t>demonstrates that Canada, the UK, and the US each have</w:t>
      </w:r>
      <w:r w:rsidR="00707031" w:rsidRPr="005C2179">
        <w:rPr>
          <w:kern w:val="2"/>
          <w:sz w:val="20"/>
        </w:rPr>
        <w:t xml:space="preserve"> a different approach to resolving this tension. C</w:t>
      </w:r>
      <w:r w:rsidR="006F2F9D" w:rsidRPr="005C2179">
        <w:rPr>
          <w:kern w:val="2"/>
          <w:sz w:val="20"/>
        </w:rPr>
        <w:t xml:space="preserve">ourts in Canada and the UK, along with the </w:t>
      </w:r>
      <w:r w:rsidR="00707031" w:rsidRPr="005C2179">
        <w:rPr>
          <w:kern w:val="2"/>
          <w:sz w:val="20"/>
        </w:rPr>
        <w:t>European Court of Human Rights</w:t>
      </w:r>
      <w:r w:rsidR="006F2F9D" w:rsidRPr="005C2179">
        <w:rPr>
          <w:kern w:val="2"/>
          <w:sz w:val="20"/>
        </w:rPr>
        <w:t>,</w:t>
      </w:r>
      <w:r w:rsidR="00707031" w:rsidRPr="005C2179">
        <w:rPr>
          <w:kern w:val="2"/>
          <w:sz w:val="20"/>
        </w:rPr>
        <w:t xml:space="preserve"> appear to </w:t>
      </w:r>
      <w:r w:rsidR="00193624" w:rsidRPr="005C2179">
        <w:rPr>
          <w:kern w:val="2"/>
          <w:sz w:val="20"/>
        </w:rPr>
        <w:t>navigate a middle path between the twin goals o</w:t>
      </w:r>
      <w:r w:rsidR="00480EB4" w:rsidRPr="005C2179">
        <w:rPr>
          <w:kern w:val="2"/>
          <w:sz w:val="20"/>
        </w:rPr>
        <w:t>f freedom and equality, accepting</w:t>
      </w:r>
      <w:r w:rsidR="00CF4AB2" w:rsidRPr="005C2179">
        <w:rPr>
          <w:kern w:val="2"/>
          <w:sz w:val="20"/>
        </w:rPr>
        <w:t xml:space="preserve"> campaign finance</w:t>
      </w:r>
      <w:r w:rsidR="00193624" w:rsidRPr="005C2179">
        <w:rPr>
          <w:kern w:val="2"/>
          <w:sz w:val="20"/>
        </w:rPr>
        <w:t xml:space="preserve"> regulations with </w:t>
      </w:r>
      <w:r w:rsidR="00D14553" w:rsidRPr="005C2179">
        <w:rPr>
          <w:kern w:val="2"/>
          <w:sz w:val="20"/>
        </w:rPr>
        <w:t>equality-related objectives</w:t>
      </w:r>
      <w:r w:rsidR="001E088E" w:rsidRPr="005C2179">
        <w:rPr>
          <w:kern w:val="2"/>
          <w:sz w:val="20"/>
        </w:rPr>
        <w:t xml:space="preserve"> </w:t>
      </w:r>
      <w:r w:rsidR="00D1744C" w:rsidRPr="005C2179">
        <w:rPr>
          <w:kern w:val="2"/>
          <w:sz w:val="20"/>
        </w:rPr>
        <w:t>if open</w:t>
      </w:r>
      <w:r w:rsidR="001E088E" w:rsidRPr="005C2179">
        <w:rPr>
          <w:kern w:val="2"/>
          <w:sz w:val="20"/>
        </w:rPr>
        <w:t xml:space="preserve"> debate</w:t>
      </w:r>
      <w:r w:rsidR="00193624" w:rsidRPr="005C2179">
        <w:rPr>
          <w:kern w:val="2"/>
          <w:sz w:val="20"/>
        </w:rPr>
        <w:t xml:space="preserve"> is not overly restricted</w:t>
      </w:r>
      <w:r w:rsidR="001E088E" w:rsidRPr="005C2179">
        <w:rPr>
          <w:kern w:val="2"/>
          <w:sz w:val="20"/>
        </w:rPr>
        <w:t xml:space="preserve"> in the eyes of the court</w:t>
      </w:r>
      <w:r w:rsidR="00193624" w:rsidRPr="005C2179">
        <w:rPr>
          <w:kern w:val="2"/>
          <w:sz w:val="20"/>
        </w:rPr>
        <w:t xml:space="preserve">. American </w:t>
      </w:r>
      <w:r w:rsidR="00337DB6" w:rsidRPr="005C2179">
        <w:rPr>
          <w:kern w:val="2"/>
          <w:sz w:val="20"/>
        </w:rPr>
        <w:t>courts, on the other han</w:t>
      </w:r>
      <w:r w:rsidR="00431E28" w:rsidRPr="005C2179">
        <w:rPr>
          <w:kern w:val="2"/>
          <w:sz w:val="20"/>
        </w:rPr>
        <w:t xml:space="preserve">d, have been unwilling to allow incursions on freedom of speech unless those incursions clearly prevent </w:t>
      </w:r>
      <w:r w:rsidR="00431E28" w:rsidRPr="005C2179">
        <w:rPr>
          <w:i/>
          <w:kern w:val="2"/>
          <w:sz w:val="20"/>
        </w:rPr>
        <w:t xml:space="preserve">quid pro quo </w:t>
      </w:r>
      <w:r w:rsidR="00CF4AB2" w:rsidRPr="005C2179">
        <w:rPr>
          <w:kern w:val="2"/>
          <w:sz w:val="20"/>
        </w:rPr>
        <w:t>corruption or</w:t>
      </w:r>
      <w:r w:rsidR="00431E28" w:rsidRPr="005C2179">
        <w:rPr>
          <w:kern w:val="2"/>
          <w:sz w:val="20"/>
        </w:rPr>
        <w:t xml:space="preserve"> its appearance. </w:t>
      </w:r>
      <w:r w:rsidR="00CF4AB2" w:rsidRPr="005C2179">
        <w:rPr>
          <w:kern w:val="2"/>
          <w:sz w:val="20"/>
        </w:rPr>
        <w:t xml:space="preserve">Different cultural and judicial approaches to campaign finance regulation have led to </w:t>
      </w:r>
      <w:r w:rsidR="00C345D7" w:rsidRPr="005C2179">
        <w:rPr>
          <w:kern w:val="2"/>
          <w:sz w:val="20"/>
        </w:rPr>
        <w:t>divergent</w:t>
      </w:r>
      <w:r w:rsidR="00CF4AB2" w:rsidRPr="005C2179">
        <w:rPr>
          <w:kern w:val="2"/>
          <w:sz w:val="20"/>
        </w:rPr>
        <w:t xml:space="preserve"> </w:t>
      </w:r>
      <w:r w:rsidR="00611036" w:rsidRPr="005C2179">
        <w:rPr>
          <w:kern w:val="2"/>
          <w:sz w:val="20"/>
        </w:rPr>
        <w:t>regulatory</w:t>
      </w:r>
      <w:r w:rsidR="00C345D7" w:rsidRPr="005C2179">
        <w:rPr>
          <w:kern w:val="2"/>
          <w:sz w:val="20"/>
        </w:rPr>
        <w:t xml:space="preserve"> regimes in the</w:t>
      </w:r>
      <w:r w:rsidR="00CF4AB2" w:rsidRPr="005C2179">
        <w:rPr>
          <w:kern w:val="2"/>
          <w:sz w:val="20"/>
        </w:rPr>
        <w:t xml:space="preserve"> three countries</w:t>
      </w:r>
      <w:r w:rsidR="00D13AEB" w:rsidRPr="005C2179">
        <w:rPr>
          <w:kern w:val="2"/>
          <w:sz w:val="20"/>
        </w:rPr>
        <w:t xml:space="preserve">. </w:t>
      </w:r>
      <w:r w:rsidR="000547F8" w:rsidRPr="005C2179">
        <w:rPr>
          <w:kern w:val="2"/>
          <w:sz w:val="20"/>
        </w:rPr>
        <w:t>Cr</w:t>
      </w:r>
      <w:r w:rsidR="00A858FD" w:rsidRPr="005C2179">
        <w:rPr>
          <w:kern w:val="2"/>
          <w:sz w:val="20"/>
        </w:rPr>
        <w:t>iticisms of</w:t>
      </w:r>
      <w:r w:rsidR="00175E5D" w:rsidRPr="005C2179">
        <w:rPr>
          <w:kern w:val="2"/>
          <w:sz w:val="20"/>
        </w:rPr>
        <w:t xml:space="preserve"> each regime abound</w:t>
      </w:r>
      <w:r w:rsidR="002E05C0" w:rsidRPr="005C2179">
        <w:rPr>
          <w:kern w:val="2"/>
          <w:sz w:val="20"/>
        </w:rPr>
        <w:t>,</w:t>
      </w:r>
      <w:r w:rsidR="00CC1383" w:rsidRPr="005C2179">
        <w:rPr>
          <w:kern w:val="2"/>
          <w:sz w:val="20"/>
        </w:rPr>
        <w:t xml:space="preserve"> demonstrating that lawmakers </w:t>
      </w:r>
      <w:r w:rsidR="00CA70E6" w:rsidRPr="005C2179">
        <w:rPr>
          <w:kern w:val="2"/>
          <w:sz w:val="20"/>
        </w:rPr>
        <w:t xml:space="preserve">in all three countries face </w:t>
      </w:r>
      <w:r w:rsidR="0000163D" w:rsidRPr="005C2179">
        <w:rPr>
          <w:kern w:val="2"/>
          <w:sz w:val="20"/>
        </w:rPr>
        <w:t xml:space="preserve">ongoing </w:t>
      </w:r>
      <w:r w:rsidR="002E05C0" w:rsidRPr="005C2179">
        <w:rPr>
          <w:kern w:val="2"/>
          <w:sz w:val="20"/>
        </w:rPr>
        <w:t xml:space="preserve">challenges in </w:t>
      </w:r>
      <w:r w:rsidR="003B32DE" w:rsidRPr="005C2179">
        <w:rPr>
          <w:kern w:val="2"/>
          <w:sz w:val="20"/>
        </w:rPr>
        <w:t>developin</w:t>
      </w:r>
      <w:r w:rsidR="002E05C0" w:rsidRPr="005C2179">
        <w:rPr>
          <w:kern w:val="2"/>
          <w:sz w:val="20"/>
        </w:rPr>
        <w:t>g regulation</w:t>
      </w:r>
      <w:r w:rsidR="00CC1383" w:rsidRPr="005C2179">
        <w:rPr>
          <w:kern w:val="2"/>
          <w:sz w:val="20"/>
        </w:rPr>
        <w:t xml:space="preserve"> that </w:t>
      </w:r>
      <w:r w:rsidR="00173D24" w:rsidRPr="005C2179">
        <w:rPr>
          <w:kern w:val="2"/>
          <w:sz w:val="20"/>
        </w:rPr>
        <w:t xml:space="preserve">effectively </w:t>
      </w:r>
      <w:r w:rsidR="00CC1383" w:rsidRPr="005C2179">
        <w:rPr>
          <w:kern w:val="2"/>
          <w:sz w:val="20"/>
        </w:rPr>
        <w:t>addresses the problems of</w:t>
      </w:r>
      <w:r w:rsidR="000905AC" w:rsidRPr="005C2179">
        <w:rPr>
          <w:kern w:val="2"/>
          <w:sz w:val="20"/>
        </w:rPr>
        <w:t xml:space="preserve"> campaign finance</w:t>
      </w:r>
      <w:r w:rsidR="007930EC" w:rsidRPr="005C2179">
        <w:rPr>
          <w:kern w:val="2"/>
          <w:sz w:val="20"/>
        </w:rPr>
        <w:t xml:space="preserve"> without </w:t>
      </w:r>
      <w:r w:rsidR="00CC1383" w:rsidRPr="005C2179">
        <w:rPr>
          <w:kern w:val="2"/>
          <w:sz w:val="20"/>
        </w:rPr>
        <w:t xml:space="preserve">shutting down debate. </w:t>
      </w:r>
      <w:r w:rsidR="00175E5D" w:rsidRPr="005C2179">
        <w:rPr>
          <w:kern w:val="2"/>
          <w:sz w:val="20"/>
        </w:rPr>
        <w:t xml:space="preserve"> </w:t>
      </w:r>
    </w:p>
    <w:p w14:paraId="5D35E7DD" w14:textId="77777777" w:rsidR="00176893" w:rsidRPr="005C2179" w:rsidRDefault="00176893" w:rsidP="00330F4B">
      <w:pPr>
        <w:rPr>
          <w:kern w:val="2"/>
          <w:sz w:val="20"/>
        </w:rPr>
      </w:pPr>
    </w:p>
    <w:p w14:paraId="780CE089" w14:textId="77777777" w:rsidR="005321AB" w:rsidRPr="005C2179" w:rsidRDefault="005321AB" w:rsidP="00330F4B">
      <w:pPr>
        <w:rPr>
          <w:kern w:val="2"/>
          <w:sz w:val="20"/>
        </w:rPr>
      </w:pPr>
    </w:p>
    <w:p w14:paraId="210EE8CC" w14:textId="77777777" w:rsidR="005C3810" w:rsidRPr="005C2179" w:rsidRDefault="005C3810" w:rsidP="00330F4B">
      <w:pPr>
        <w:rPr>
          <w:kern w:val="2"/>
          <w:sz w:val="20"/>
        </w:rPr>
      </w:pPr>
    </w:p>
    <w:p w14:paraId="5405ABDB" w14:textId="77777777" w:rsidR="005C3810" w:rsidRPr="005C2179" w:rsidRDefault="005C3810" w:rsidP="00330F4B">
      <w:pPr>
        <w:rPr>
          <w:kern w:val="2"/>
          <w:sz w:val="20"/>
        </w:rPr>
      </w:pPr>
    </w:p>
    <w:p w14:paraId="789ED0EA" w14:textId="77777777" w:rsidR="00CF7C6E" w:rsidRPr="005C2179" w:rsidRDefault="00CF7C6E" w:rsidP="00330F4B">
      <w:pPr>
        <w:rPr>
          <w:rFonts w:cs="Times New Roman"/>
          <w:kern w:val="2"/>
          <w:sz w:val="20"/>
        </w:rPr>
      </w:pPr>
    </w:p>
    <w:p w14:paraId="7FC19179" w14:textId="77777777" w:rsidR="00DC208F" w:rsidRPr="005C2179" w:rsidRDefault="00DC208F" w:rsidP="00330F4B">
      <w:pPr>
        <w:rPr>
          <w:kern w:val="2"/>
          <w:sz w:val="20"/>
        </w:rPr>
      </w:pPr>
    </w:p>
    <w:p w14:paraId="3C1910D6" w14:textId="77777777" w:rsidR="002A48FA" w:rsidRPr="005C2179" w:rsidRDefault="002A48FA" w:rsidP="00330F4B">
      <w:pPr>
        <w:rPr>
          <w:kern w:val="2"/>
          <w:sz w:val="20"/>
        </w:rPr>
      </w:pPr>
    </w:p>
    <w:sectPr w:rsidR="002A48FA" w:rsidRPr="005C2179" w:rsidSect="000052C6">
      <w:headerReference w:type="even" r:id="rId8"/>
      <w:headerReference w:type="default" r:id="rId9"/>
      <w:footerReference w:type="even" r:id="rId10"/>
      <w:footerReference w:type="default" r:id="rId11"/>
      <w:headerReference w:type="first" r:id="rId12"/>
      <w:footerReference w:type="first" r:id="rId13"/>
      <w:pgSz w:w="10801" w:h="15122" w:code="1"/>
      <w:pgMar w:top="1440" w:right="1077" w:bottom="1440" w:left="1077" w:header="567" w:footer="567" w:gutter="567"/>
      <w:pgNumType w:start="107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86DC1" w14:textId="77777777" w:rsidR="000B2014" w:rsidRDefault="000B2014" w:rsidP="00330F4B">
      <w:pPr>
        <w:spacing w:after="0"/>
      </w:pPr>
      <w:r>
        <w:separator/>
      </w:r>
    </w:p>
  </w:endnote>
  <w:endnote w:type="continuationSeparator" w:id="0">
    <w:p w14:paraId="3D9A1E9D" w14:textId="77777777" w:rsidR="000B2014" w:rsidRDefault="000B2014" w:rsidP="00330F4B">
      <w:pPr>
        <w:spacing w:after="0"/>
      </w:pPr>
      <w:r>
        <w:continuationSeparator/>
      </w:r>
    </w:p>
  </w:endnote>
  <w:endnote w:type="continuationNotice" w:id="1">
    <w:p w14:paraId="72A40127" w14:textId="77777777" w:rsidR="000B2014" w:rsidRDefault="000B2014" w:rsidP="00330F4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Arial"/>
      </w:rPr>
      <w:id w:val="-1553534529"/>
      <w:docPartObj>
        <w:docPartGallery w:val="Page Numbers (Bottom of Page)"/>
        <w:docPartUnique/>
      </w:docPartObj>
    </w:sdtPr>
    <w:sdtEndPr>
      <w:rPr>
        <w:noProof/>
      </w:rPr>
    </w:sdtEndPr>
    <w:sdtContent>
      <w:sdt>
        <w:sdtPr>
          <w:rPr>
            <w:rFonts w:eastAsia="Calibri" w:cs="Times New Roman"/>
          </w:rPr>
          <w:id w:val="1900777855"/>
          <w:docPartObj>
            <w:docPartGallery w:val="Page Numbers (Bottom of Page)"/>
            <w:docPartUnique/>
          </w:docPartObj>
        </w:sdtPr>
        <w:sdtEndPr>
          <w:rPr>
            <w:noProof/>
            <w:sz w:val="18"/>
          </w:rPr>
        </w:sdtEndPr>
        <w:sdtContent>
          <w:p w14:paraId="255933E8" w14:textId="5A79F2D4" w:rsidR="000B2014" w:rsidRPr="00A27010" w:rsidRDefault="000B2014" w:rsidP="00A27010">
            <w:pPr>
              <w:tabs>
                <w:tab w:val="center" w:pos="4680"/>
              </w:tabs>
              <w:spacing w:before="0" w:after="0"/>
              <w:ind w:left="-283" w:right="-283"/>
              <w:rPr>
                <w:rFonts w:eastAsia="Calibri" w:cs="Times New Roman"/>
                <w:noProof/>
                <w:sz w:val="18"/>
              </w:rPr>
            </w:pPr>
            <w:r w:rsidRPr="00A27010">
              <w:rPr>
                <w:rFonts w:eastAsia="Calibri" w:cs="Times New Roman"/>
              </w:rPr>
              <w:fldChar w:fldCharType="begin"/>
            </w:r>
            <w:r w:rsidRPr="00A27010">
              <w:rPr>
                <w:rFonts w:eastAsia="Calibri" w:cs="Times New Roman"/>
              </w:rPr>
              <w:instrText xml:space="preserve"> PAGE   \* MERGEFORMAT </w:instrText>
            </w:r>
            <w:r w:rsidRPr="00A27010">
              <w:rPr>
                <w:rFonts w:eastAsia="Calibri" w:cs="Times New Roman"/>
              </w:rPr>
              <w:fldChar w:fldCharType="separate"/>
            </w:r>
            <w:r w:rsidR="000052C6">
              <w:rPr>
                <w:rFonts w:eastAsia="Calibri" w:cs="Times New Roman"/>
                <w:noProof/>
              </w:rPr>
              <w:t>1090</w:t>
            </w:r>
            <w:r w:rsidRPr="00A27010">
              <w:rPr>
                <w:rFonts w:eastAsia="Calibri" w:cs="Times New Roman"/>
                <w:noProof/>
              </w:rPr>
              <w:fldChar w:fldCharType="end"/>
            </w:r>
            <w:r w:rsidRPr="00A27010">
              <w:rPr>
                <w:rFonts w:eastAsia="Calibri" w:cs="Times New Roman"/>
              </w:rPr>
              <w:tab/>
            </w:r>
            <w:r w:rsidRPr="00A27010">
              <w:rPr>
                <w:rFonts w:eastAsia="Calibri" w:cs="Times New Roman"/>
              </w:rPr>
              <w:tab/>
            </w:r>
            <w:r w:rsidRPr="00A27010">
              <w:rPr>
                <w:rFonts w:eastAsia="Calibri" w:cs="Times New Roman"/>
              </w:rPr>
              <w:tab/>
              <w:t xml:space="preserve">       </w:t>
            </w:r>
            <w:r w:rsidRPr="00A27010">
              <w:rPr>
                <w:rFonts w:eastAsia="Calibri" w:cs="Times New Roman"/>
                <w:sz w:val="18"/>
              </w:rPr>
              <w:t xml:space="preserve">                   </w:t>
            </w:r>
            <w:r w:rsidR="00EA212E">
              <w:rPr>
                <w:rFonts w:eastAsia="Calibri" w:cs="Times New Roman"/>
                <w:sz w:val="18"/>
              </w:rPr>
              <w:t xml:space="preserve">  </w:t>
            </w:r>
            <w:r w:rsidR="006F396C">
              <w:rPr>
                <w:rFonts w:eastAsia="Calibri" w:cs="Times New Roman"/>
                <w:sz w:val="18"/>
              </w:rPr>
              <w:t xml:space="preserve">       </w:t>
            </w:r>
            <w:r w:rsidR="00EA212E">
              <w:rPr>
                <w:rFonts w:eastAsia="Calibri" w:cs="Times New Roman"/>
                <w:sz w:val="18"/>
              </w:rPr>
              <w:t xml:space="preserve">  </w:t>
            </w:r>
            <w:r w:rsidR="006F396C">
              <w:rPr>
                <w:rFonts w:eastAsia="Calibri" w:cs="Times New Roman"/>
                <w:smallCaps/>
                <w:sz w:val="18"/>
              </w:rPr>
              <w:t>April</w:t>
            </w:r>
            <w:r w:rsidRPr="00A27010">
              <w:rPr>
                <w:rFonts w:eastAsia="Calibri" w:cs="Times New Roman"/>
                <w:sz w:val="18"/>
              </w:rPr>
              <w:t xml:space="preserve"> 2018</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Arial"/>
      </w:rPr>
      <w:id w:val="-612832562"/>
      <w:docPartObj>
        <w:docPartGallery w:val="Page Numbers (Bottom of Page)"/>
        <w:docPartUnique/>
      </w:docPartObj>
    </w:sdtPr>
    <w:sdtEndPr>
      <w:rPr>
        <w:noProof/>
      </w:rPr>
    </w:sdtEndPr>
    <w:sdtContent>
      <w:sdt>
        <w:sdtPr>
          <w:rPr>
            <w:rFonts w:eastAsia="Calibri" w:cs="Times New Roman"/>
          </w:rPr>
          <w:id w:val="76958116"/>
          <w:docPartObj>
            <w:docPartGallery w:val="Page Numbers (Bottom of Page)"/>
            <w:docPartUnique/>
          </w:docPartObj>
        </w:sdtPr>
        <w:sdtEndPr>
          <w:rPr>
            <w:noProof/>
          </w:rPr>
        </w:sdtEndPr>
        <w:sdtContent>
          <w:p w14:paraId="469369AC" w14:textId="50353A97" w:rsidR="000B2014" w:rsidRPr="00A27010" w:rsidRDefault="006F396C" w:rsidP="00A27010">
            <w:pPr>
              <w:tabs>
                <w:tab w:val="center" w:pos="4680"/>
                <w:tab w:val="right" w:pos="9639"/>
              </w:tabs>
              <w:spacing w:before="0" w:after="0"/>
              <w:ind w:left="-283" w:right="-283"/>
              <w:jc w:val="left"/>
              <w:rPr>
                <w:rFonts w:eastAsia="Calibri" w:cs="Times New Roman"/>
                <w:noProof/>
              </w:rPr>
            </w:pPr>
            <w:r>
              <w:rPr>
                <w:rFonts w:eastAsia="Calibri" w:cs="Times New Roman"/>
                <w:smallCaps/>
                <w:sz w:val="18"/>
              </w:rPr>
              <w:t>April</w:t>
            </w:r>
            <w:r w:rsidR="000B2014" w:rsidRPr="00DB40B3">
              <w:rPr>
                <w:rFonts w:eastAsia="Calibri" w:cs="Times New Roman"/>
                <w:smallCaps/>
                <w:sz w:val="18"/>
              </w:rPr>
              <w:t xml:space="preserve"> 2018</w:t>
            </w:r>
            <w:r w:rsidR="000B2014" w:rsidRPr="00DB40B3">
              <w:rPr>
                <w:rFonts w:eastAsia="Calibri" w:cs="Times New Roman"/>
              </w:rPr>
              <w:tab/>
            </w:r>
            <w:r w:rsidR="000B2014" w:rsidRPr="00DB40B3">
              <w:rPr>
                <w:rFonts w:eastAsia="Calibri" w:cs="Times New Roman"/>
              </w:rPr>
              <w:tab/>
            </w:r>
            <w:r w:rsidR="000B2014" w:rsidRPr="00DB40B3">
              <w:rPr>
                <w:rFonts w:eastAsia="Calibri" w:cs="Times New Roman"/>
              </w:rPr>
              <w:fldChar w:fldCharType="begin"/>
            </w:r>
            <w:r w:rsidR="000B2014" w:rsidRPr="00DB40B3">
              <w:rPr>
                <w:rFonts w:eastAsia="Calibri" w:cs="Times New Roman"/>
              </w:rPr>
              <w:instrText xml:space="preserve"> PAGE   \* MERGEFORMAT </w:instrText>
            </w:r>
            <w:r w:rsidR="000B2014" w:rsidRPr="00DB40B3">
              <w:rPr>
                <w:rFonts w:eastAsia="Calibri" w:cs="Times New Roman"/>
              </w:rPr>
              <w:fldChar w:fldCharType="separate"/>
            </w:r>
            <w:r w:rsidR="000052C6">
              <w:rPr>
                <w:rFonts w:eastAsia="Calibri" w:cs="Times New Roman"/>
                <w:noProof/>
              </w:rPr>
              <w:t>1091</w:t>
            </w:r>
            <w:r w:rsidR="000B2014" w:rsidRPr="00DB40B3">
              <w:rPr>
                <w:rFonts w:eastAsia="Calibri" w:cs="Times New Roman"/>
                <w:noProof/>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A9927" w14:textId="77777777" w:rsidR="000B2014" w:rsidRDefault="000B2014" w:rsidP="00A27010">
    <w:pPr>
      <w:pStyle w:val="Footer"/>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B0EE8" w14:textId="77777777" w:rsidR="000B2014" w:rsidRDefault="000B2014" w:rsidP="00330F4B">
      <w:pPr>
        <w:spacing w:after="0"/>
      </w:pPr>
      <w:r>
        <w:separator/>
      </w:r>
    </w:p>
  </w:footnote>
  <w:footnote w:type="continuationSeparator" w:id="0">
    <w:p w14:paraId="1E2FCE94" w14:textId="77777777" w:rsidR="000B2014" w:rsidRDefault="000B2014" w:rsidP="00330F4B">
      <w:pPr>
        <w:spacing w:after="0"/>
      </w:pPr>
      <w:r>
        <w:continuationSeparator/>
      </w:r>
    </w:p>
  </w:footnote>
  <w:footnote w:type="continuationNotice" w:id="1">
    <w:p w14:paraId="079DC2F5" w14:textId="77777777" w:rsidR="000B2014" w:rsidRDefault="000B2014" w:rsidP="00330F4B">
      <w:pPr>
        <w:spacing w:before="0" w:after="0"/>
      </w:pPr>
    </w:p>
  </w:footnote>
  <w:footnote w:id="2">
    <w:p w14:paraId="7603E5F9" w14:textId="77777777" w:rsidR="000B2014" w:rsidRPr="005C2179" w:rsidRDefault="000B2014" w:rsidP="00843271">
      <w:pPr>
        <w:pStyle w:val="FootnoteText"/>
      </w:pPr>
      <w:r w:rsidRPr="005C2179">
        <w:rPr>
          <w:rStyle w:val="FootnoteReference"/>
        </w:rPr>
        <w:footnoteRef/>
      </w:r>
      <w:r w:rsidRPr="005C2179">
        <w:t xml:space="preserve"> Ingrid van Biezen, “State intervention in party politics: The public funding and regulation of political parties” in Keith D Ewing, Jacob Rowbottom &amp; Joo-Cheong Tham, eds, </w:t>
      </w:r>
      <w:r w:rsidRPr="005C2179">
        <w:rPr>
          <w:i/>
        </w:rPr>
        <w:t xml:space="preserve">The Funding of Political Parties: Where Now? </w:t>
      </w:r>
      <w:r w:rsidRPr="005C2179">
        <w:t>(Routledge, 2012) at 200–201.</w:t>
      </w:r>
    </w:p>
  </w:footnote>
  <w:footnote w:id="3">
    <w:p w14:paraId="0E9A7021" w14:textId="77777777" w:rsidR="000B2014" w:rsidRPr="005C2179" w:rsidRDefault="000B2014" w:rsidP="00843271">
      <w:pPr>
        <w:pStyle w:val="FootnoteText"/>
      </w:pPr>
      <w:r w:rsidRPr="005C2179">
        <w:rPr>
          <w:rStyle w:val="FootnoteReference"/>
        </w:rPr>
        <w:footnoteRef/>
      </w:r>
      <w:r w:rsidRPr="005C2179">
        <w:t xml:space="preserve"> OECD, </w:t>
      </w:r>
      <w:r w:rsidRPr="005C2179">
        <w:rPr>
          <w:i/>
        </w:rPr>
        <w:t>Financing Democracy: Funding of Political Parties and Election Campaigns and the Risk of Policy C</w:t>
      </w:r>
      <w:bookmarkStart w:id="2" w:name="_GoBack"/>
      <w:bookmarkEnd w:id="2"/>
      <w:r w:rsidRPr="005C2179">
        <w:rPr>
          <w:i/>
        </w:rPr>
        <w:t xml:space="preserve">apture </w:t>
      </w:r>
      <w:r w:rsidRPr="005C2179">
        <w:t>(OECD Publishing, 2016) at 22.</w:t>
      </w:r>
    </w:p>
  </w:footnote>
  <w:footnote w:id="4">
    <w:p w14:paraId="55CC6067" w14:textId="77777777" w:rsidR="000B2014" w:rsidRPr="005C2179" w:rsidRDefault="000B2014" w:rsidP="00843271">
      <w:pPr>
        <w:pStyle w:val="FootnoteText"/>
      </w:pPr>
      <w:r w:rsidRPr="005C2179">
        <w:rPr>
          <w:rStyle w:val="FootnoteReference"/>
        </w:rPr>
        <w:footnoteRef/>
      </w:r>
      <w:r w:rsidRPr="005C2179">
        <w:t xml:space="preserve"> Lisa Young, “Shaping the Battlefield: Partisan Self-Interest and Election Finance Reform in Canada” in Robert G Boatright, ed, </w:t>
      </w:r>
      <w:r w:rsidRPr="005C2179">
        <w:rPr>
          <w:i/>
        </w:rPr>
        <w:t xml:space="preserve">The Deregulatory Moment? A Comparative Perspective on Changing Campaign Finance Laws </w:t>
      </w:r>
      <w:r w:rsidRPr="005C2179">
        <w:t xml:space="preserve">(University of Michigan Press, 2015) at 111. </w:t>
      </w:r>
    </w:p>
  </w:footnote>
  <w:footnote w:id="5">
    <w:p w14:paraId="1C9B3506" w14:textId="77777777" w:rsidR="000B2014" w:rsidRPr="005C2179" w:rsidRDefault="000B2014" w:rsidP="00843271">
      <w:pPr>
        <w:pStyle w:val="FootnoteText"/>
      </w:pPr>
      <w:r w:rsidRPr="005C2179">
        <w:rPr>
          <w:rStyle w:val="FootnoteReference"/>
        </w:rPr>
        <w:footnoteRef/>
      </w:r>
      <w:r w:rsidRPr="005C2179">
        <w:t xml:space="preserve"> Yasmin Dawood, “Democracy, Power, and the Supreme Court: Campaign Finance Reform in Comparative Context” (2006) 4:2 Intl J Con L 269 at 272. </w:t>
      </w:r>
    </w:p>
  </w:footnote>
  <w:footnote w:id="6">
    <w:p w14:paraId="094DE659" w14:textId="77777777" w:rsidR="000B2014" w:rsidRPr="005C2179" w:rsidRDefault="000B2014" w:rsidP="00843271">
      <w:pPr>
        <w:pStyle w:val="FootnoteText"/>
      </w:pPr>
      <w:r w:rsidRPr="005C2179">
        <w:rPr>
          <w:rStyle w:val="FootnoteReference"/>
        </w:rPr>
        <w:footnoteRef/>
      </w:r>
      <w:r w:rsidRPr="005C2179">
        <w:t xml:space="preserve"> 52 USC </w:t>
      </w:r>
      <w:r w:rsidRPr="005C2179">
        <w:rPr>
          <w:color w:val="333333"/>
          <w:shd w:val="clear" w:color="auto" w:fill="FFFFFF"/>
        </w:rPr>
        <w:t xml:space="preserve">§ 30104(c),(f); </w:t>
      </w:r>
      <w:r w:rsidRPr="005C2179">
        <w:t xml:space="preserve">11 CFR </w:t>
      </w:r>
      <w:r w:rsidRPr="005C2179">
        <w:rPr>
          <w:color w:val="333333"/>
          <w:shd w:val="clear" w:color="auto" w:fill="FFFFFF"/>
        </w:rPr>
        <w:t xml:space="preserve">§§ </w:t>
      </w:r>
      <w:r w:rsidRPr="005C2179">
        <w:t xml:space="preserve">114.10(b)(1)–(2), 109.10(e)(1)(vi), 104.20(b), 104.20(c)(7)–(9). See also Diana Dwyre, “Campaign Finance Deregulation in the United States: What Has Changed and Why Does It Matter?” in Robert G Boatright, ed, </w:t>
      </w:r>
      <w:r w:rsidRPr="005C2179">
        <w:rPr>
          <w:i/>
        </w:rPr>
        <w:t xml:space="preserve">The Deregulatory Moment? A Comparative Perspective on Changing Campaign Finance Laws </w:t>
      </w:r>
      <w:r w:rsidRPr="005C2179">
        <w:t>(University of Michigan Press, 2015) at 61.</w:t>
      </w:r>
    </w:p>
  </w:footnote>
  <w:footnote w:id="7">
    <w:p w14:paraId="0C8A9C88" w14:textId="77777777" w:rsidR="000B2014" w:rsidRPr="005C2179" w:rsidRDefault="000B2014" w:rsidP="00843271">
      <w:pPr>
        <w:pStyle w:val="FootnoteText"/>
      </w:pPr>
      <w:r w:rsidRPr="005C2179">
        <w:rPr>
          <w:rStyle w:val="FootnoteReference"/>
        </w:rPr>
        <w:footnoteRef/>
      </w:r>
      <w:r w:rsidRPr="005C2179">
        <w:t xml:space="preserve"> Anika Gauja &amp; Graeme Orr, “Regulating ‘third parties’ as electoral actors: Comparative insights and questions for democracy” (2015) 4:3 Interest Groups &amp; Advocacy 249 at 251. </w:t>
      </w:r>
    </w:p>
  </w:footnote>
  <w:footnote w:id="8">
    <w:p w14:paraId="3CA3C9B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SC 2000, c 9, s 367(6),(7).</w:t>
      </w:r>
    </w:p>
  </w:footnote>
  <w:footnote w:id="9">
    <w:p w14:paraId="727EA08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Buckley v Valeo, </w:t>
      </w:r>
      <w:r w:rsidRPr="005C2179">
        <w:t xml:space="preserve">424 US 1 at 54 (1976); </w:t>
      </w:r>
      <w:r w:rsidRPr="005C2179">
        <w:rPr>
          <w:i/>
        </w:rPr>
        <w:t xml:space="preserve">Davis v Federal Election Commission, </w:t>
      </w:r>
      <w:r w:rsidRPr="005C2179">
        <w:t>554 US 724 (2007).</w:t>
      </w:r>
    </w:p>
  </w:footnote>
  <w:footnote w:id="10">
    <w:p w14:paraId="7EE0A76A" w14:textId="2EEEA546" w:rsidR="000B2014" w:rsidRPr="005C2179" w:rsidRDefault="000B2014" w:rsidP="00843271">
      <w:pPr>
        <w:pStyle w:val="FootnoteText"/>
      </w:pPr>
      <w:r w:rsidRPr="005C2179">
        <w:rPr>
          <w:rStyle w:val="FootnoteReference"/>
        </w:rPr>
        <w:footnoteRef/>
      </w:r>
      <w:r w:rsidRPr="005C2179">
        <w:t xml:space="preserve"> OECD (2016) at 16.</w:t>
      </w:r>
    </w:p>
  </w:footnote>
  <w:footnote w:id="11">
    <w:p w14:paraId="0B83880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12">
    <w:p w14:paraId="5005DAB1" w14:textId="2AE4A872" w:rsidR="000B2014" w:rsidRPr="005C2179" w:rsidRDefault="000B2014" w:rsidP="00843271">
      <w:pPr>
        <w:pStyle w:val="FootnoteText"/>
      </w:pPr>
      <w:r w:rsidRPr="005C2179">
        <w:rPr>
          <w:rStyle w:val="FootnoteReference"/>
        </w:rPr>
        <w:footnoteRef/>
      </w:r>
      <w:r w:rsidRPr="005C2179">
        <w:t xml:space="preserve"> Quoted in Dwyre (2015) at 59.</w:t>
      </w:r>
    </w:p>
  </w:footnote>
  <w:footnote w:id="13">
    <w:p w14:paraId="0BA39EF5" w14:textId="3A2AAC8E" w:rsidR="000B2014" w:rsidRPr="005C2179" w:rsidRDefault="000B2014" w:rsidP="00843271">
      <w:pPr>
        <w:pStyle w:val="FootnoteText"/>
      </w:pPr>
      <w:r w:rsidRPr="005C2179">
        <w:rPr>
          <w:rStyle w:val="FootnoteReference"/>
        </w:rPr>
        <w:footnoteRef/>
      </w:r>
      <w:r w:rsidRPr="005C2179">
        <w:t xml:space="preserve"> For example, in the UK, the introduction of disclosure requirements led to embarrassment and scandal, causing some changes in behaviour on the part of parties and donors: see </w:t>
      </w:r>
      <w:r w:rsidRPr="005C2179">
        <w:rPr>
          <w:highlight w:val="cyan"/>
        </w:rPr>
        <w:t>Section 9.3</w:t>
      </w:r>
      <w:r w:rsidRPr="005C2179">
        <w:t xml:space="preserve">, below; see also KD Ewing, “The Disclosure of Political Donations in Britain” in KD Ewing &amp; Samuel Issacharoff, eds, </w:t>
      </w:r>
      <w:r w:rsidRPr="005C2179">
        <w:rPr>
          <w:i/>
        </w:rPr>
        <w:t xml:space="preserve">Party Funding and Campaign Financing in International Perspective </w:t>
      </w:r>
      <w:r w:rsidRPr="005C2179">
        <w:t>(Hart Publishing, 2006) at 67.</w:t>
      </w:r>
    </w:p>
  </w:footnote>
  <w:footnote w:id="14">
    <w:p w14:paraId="1F15CAA3" w14:textId="39CC5A4F" w:rsidR="000B2014" w:rsidRPr="005C2179" w:rsidRDefault="000B2014" w:rsidP="00843271">
      <w:pPr>
        <w:pStyle w:val="FootnoteText"/>
      </w:pPr>
      <w:r w:rsidRPr="005C2179">
        <w:rPr>
          <w:rStyle w:val="FootnoteReference"/>
        </w:rPr>
        <w:footnoteRef/>
      </w:r>
      <w:r w:rsidRPr="005C2179">
        <w:t xml:space="preserve"> Dwyre (2015) at 35, 59. See also Anika Gauja, </w:t>
      </w:r>
      <w:r w:rsidRPr="005C2179">
        <w:rPr>
          <w:i/>
        </w:rPr>
        <w:t xml:space="preserve">Political Parties and Elections: Legislating for Representative Democracy </w:t>
      </w:r>
      <w:r w:rsidRPr="005C2179">
        <w:t xml:space="preserve">(Ashgate Publishing, 2010) at 178. </w:t>
      </w:r>
    </w:p>
  </w:footnote>
  <w:footnote w:id="15">
    <w:p w14:paraId="220B9A72" w14:textId="52B1CA8E" w:rsidR="000B2014" w:rsidRPr="005C2179" w:rsidRDefault="000B2014" w:rsidP="00843271">
      <w:pPr>
        <w:pStyle w:val="FootnoteText"/>
      </w:pPr>
      <w:r w:rsidRPr="005C2179">
        <w:rPr>
          <w:rStyle w:val="FootnoteReference"/>
        </w:rPr>
        <w:footnoteRef/>
      </w:r>
      <w:r w:rsidRPr="005C2179">
        <w:t xml:space="preserve"> Dwyre (2015) at 62.</w:t>
      </w:r>
    </w:p>
  </w:footnote>
  <w:footnote w:id="16">
    <w:p w14:paraId="3230C8FA" w14:textId="262694E9" w:rsidR="000B2014" w:rsidRPr="005C2179" w:rsidRDefault="000B2014" w:rsidP="00843271">
      <w:pPr>
        <w:pStyle w:val="FootnoteText"/>
      </w:pPr>
      <w:r w:rsidRPr="005C2179">
        <w:rPr>
          <w:rStyle w:val="FootnoteReference"/>
        </w:rPr>
        <w:footnoteRef/>
      </w:r>
      <w:r w:rsidRPr="005C2179">
        <w:t xml:space="preserve"> Van Biezen (2012) at 200–201.</w:t>
      </w:r>
    </w:p>
  </w:footnote>
  <w:footnote w:id="17">
    <w:p w14:paraId="149AF631" w14:textId="77777777" w:rsidR="000B2014" w:rsidRPr="005C2179" w:rsidRDefault="000B2014" w:rsidP="00843271">
      <w:pPr>
        <w:pStyle w:val="FootnoteText"/>
      </w:pPr>
      <w:r w:rsidRPr="005C2179">
        <w:rPr>
          <w:rStyle w:val="FootnoteReference"/>
        </w:rPr>
        <w:footnoteRef/>
      </w:r>
      <w:r w:rsidRPr="005C2179">
        <w:t xml:space="preserve"> For example, in </w:t>
      </w:r>
      <w:r w:rsidRPr="005C2179">
        <w:rPr>
          <w:i/>
        </w:rPr>
        <w:t xml:space="preserve">Figueroa v Canada (Attorney General), </w:t>
      </w:r>
      <w:r w:rsidRPr="005C2179">
        <w:t xml:space="preserve">2003 SCC 37, the Supreme Court of Canada struck down a law stipulating that parties must endorse at least fifty candidates in a general election to access public funding. In the Court’s view, this requirement was an unjustifiable infringement of the right to vote in section 3 of the </w:t>
      </w:r>
      <w:r w:rsidRPr="005C2179">
        <w:rPr>
          <w:i/>
        </w:rPr>
        <w:t xml:space="preserve">Charter of Rights and Freedoms </w:t>
      </w:r>
      <w:r w:rsidRPr="005C2179">
        <w:t xml:space="preserve">because it “exacerbates a pre-existing disparity in the capacity of the various political parties to communicate their positions to the general public”: para 54. The Court emphasized that all parties have something meaningful to contribute to electoral debate, not simply those who are a “genuine ‘government option’”: para 39. </w:t>
      </w:r>
    </w:p>
  </w:footnote>
  <w:footnote w:id="18">
    <w:p w14:paraId="17E36156" w14:textId="7F146E58" w:rsidR="000B2014" w:rsidRPr="005C2179" w:rsidRDefault="000B2014" w:rsidP="00843271">
      <w:pPr>
        <w:pStyle w:val="FootnoteText"/>
      </w:pPr>
      <w:r w:rsidRPr="005C2179">
        <w:rPr>
          <w:rStyle w:val="FootnoteReference"/>
        </w:rPr>
        <w:footnoteRef/>
      </w:r>
      <w:r w:rsidRPr="005C2179">
        <w:t xml:space="preserve"> Van Biezen (2012) at 200–201.</w:t>
      </w:r>
    </w:p>
  </w:footnote>
  <w:footnote w:id="19">
    <w:p w14:paraId="0919E82D"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20">
    <w:p w14:paraId="41ECC83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21">
    <w:p w14:paraId="33C98C7F" w14:textId="66E24AA5"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Communications Act 2003 </w:t>
      </w:r>
      <w:r w:rsidRPr="005C2179">
        <w:t xml:space="preserve">(UK), c 21. The ban is discussed further in Section </w:t>
      </w:r>
      <w:r w:rsidRPr="005C2179">
        <w:rPr>
          <w:highlight w:val="cyan"/>
        </w:rPr>
        <w:t>9.2.2</w:t>
      </w:r>
      <w:r w:rsidRPr="005C2179">
        <w:t xml:space="preserve"> and </w:t>
      </w:r>
      <w:r w:rsidRPr="005C2179">
        <w:rPr>
          <w:highlight w:val="cyan"/>
        </w:rPr>
        <w:t>9.3</w:t>
      </w:r>
      <w:r w:rsidRPr="005C2179">
        <w:t>, below.</w:t>
      </w:r>
    </w:p>
  </w:footnote>
  <w:footnote w:id="22">
    <w:p w14:paraId="561FA58C" w14:textId="77777777" w:rsidR="000B2014" w:rsidRPr="005C2179" w:rsidRDefault="000B2014" w:rsidP="00843271">
      <w:pPr>
        <w:pStyle w:val="FootnoteText"/>
      </w:pPr>
      <w:r w:rsidRPr="005C2179">
        <w:rPr>
          <w:rStyle w:val="FootnoteReference"/>
        </w:rPr>
        <w:footnoteRef/>
      </w:r>
      <w:r w:rsidRPr="005C2179">
        <w:t xml:space="preserve"> Eric Barendt, </w:t>
      </w:r>
      <w:r w:rsidRPr="005C2179">
        <w:rPr>
          <w:i/>
        </w:rPr>
        <w:t xml:space="preserve">Freedom of Speech, </w:t>
      </w:r>
      <w:r w:rsidRPr="005C2179">
        <w:t>2nd ed (Oxford University Press, 2005) at 485.</w:t>
      </w:r>
    </w:p>
  </w:footnote>
  <w:footnote w:id="23">
    <w:p w14:paraId="171EDBA8" w14:textId="71AD8002" w:rsidR="000B2014" w:rsidRPr="005C2179" w:rsidRDefault="000B2014" w:rsidP="00843271">
      <w:pPr>
        <w:pStyle w:val="FootnoteText"/>
      </w:pPr>
      <w:r w:rsidRPr="005C2179">
        <w:rPr>
          <w:rStyle w:val="FootnoteReference"/>
        </w:rPr>
        <w:footnoteRef/>
      </w:r>
      <w:r w:rsidRPr="005C2179">
        <w:t xml:space="preserve"> Young (2015) at 119.</w:t>
      </w:r>
    </w:p>
  </w:footnote>
  <w:footnote w:id="24">
    <w:p w14:paraId="15DD6FCF" w14:textId="63542C1D" w:rsidR="000B2014" w:rsidRPr="005C2179" w:rsidRDefault="000B2014" w:rsidP="00843271">
      <w:pPr>
        <w:pStyle w:val="FootnoteText"/>
      </w:pPr>
      <w:r w:rsidRPr="005C2179">
        <w:rPr>
          <w:rStyle w:val="FootnoteReference"/>
        </w:rPr>
        <w:footnoteRef/>
      </w:r>
      <w:r w:rsidRPr="005C2179">
        <w:t xml:space="preserve"> Gauja (2010) at 162–63. See also Navraj Singh Ghaleigh, “Expenditure, Donations and Public Funding under the United Kingdom’s </w:t>
      </w:r>
      <w:r w:rsidRPr="005C2179">
        <w:rPr>
          <w:i/>
        </w:rPr>
        <w:t>P.P.E.R.A. 2000</w:t>
      </w:r>
      <w:r w:rsidRPr="005C2179">
        <w:t xml:space="preserve"> – And Beyond?” in KD Ewing &amp; Samuel Issacharoff, eds, </w:t>
      </w:r>
      <w:r w:rsidRPr="005C2179">
        <w:rPr>
          <w:i/>
        </w:rPr>
        <w:t xml:space="preserve">Party Funding and Campaign Financing in International Perspective </w:t>
      </w:r>
      <w:r w:rsidRPr="005C2179">
        <w:t>(Hart Publishing, 2006) at 56.</w:t>
      </w:r>
    </w:p>
  </w:footnote>
  <w:footnote w:id="25">
    <w:p w14:paraId="6B171F61" w14:textId="7C4B88FC" w:rsidR="000B2014" w:rsidRPr="005C2179" w:rsidRDefault="000B2014" w:rsidP="00843271">
      <w:pPr>
        <w:pStyle w:val="FootnoteText"/>
      </w:pPr>
      <w:r w:rsidRPr="005C2179">
        <w:rPr>
          <w:rStyle w:val="FootnoteReference"/>
        </w:rPr>
        <w:footnoteRef/>
      </w:r>
      <w:r w:rsidRPr="005C2179">
        <w:t xml:space="preserve"> OECD (2016) at 23.</w:t>
      </w:r>
    </w:p>
  </w:footnote>
  <w:footnote w:id="26">
    <w:p w14:paraId="711BBB81" w14:textId="77777777" w:rsidR="000B2014" w:rsidRPr="005C2179" w:rsidRDefault="000B2014" w:rsidP="00843271">
      <w:pPr>
        <w:pStyle w:val="FootnoteText"/>
      </w:pPr>
      <w:r w:rsidRPr="005C2179">
        <w:rPr>
          <w:rStyle w:val="FootnoteReference"/>
        </w:rPr>
        <w:footnoteRef/>
      </w:r>
      <w:r w:rsidRPr="005C2179">
        <w:t xml:space="preserve"> For example, Sheldon Adelson and his wife donated $93 million to third-party campaigners in the American general election in 2012; in 2014, three Republican governors attended a donor conference in Las Vegas where each met one-on-one with Adelson: Jordan May, “‘Are We Corrupt Enough Yet?’ The Ambiguous Quid Pro Quo Corruption Requirement in Campaign Finance Restrictions” (March 2015) 54:2 Washburn LJ 357 at 357–58.</w:t>
      </w:r>
    </w:p>
  </w:footnote>
  <w:footnote w:id="27">
    <w:p w14:paraId="4FF53A0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Citizens United v FEC, </w:t>
      </w:r>
      <w:r w:rsidRPr="005C2179">
        <w:t>588 US 310 at 455 (2009).</w:t>
      </w:r>
    </w:p>
  </w:footnote>
  <w:footnote w:id="28">
    <w:p w14:paraId="0DBFE341" w14:textId="77777777" w:rsidR="000B2014" w:rsidRPr="005C2179" w:rsidRDefault="000B2014" w:rsidP="00843271">
      <w:pPr>
        <w:pStyle w:val="FootnoteText"/>
      </w:pPr>
      <w:r w:rsidRPr="005C2179">
        <w:rPr>
          <w:rStyle w:val="FootnoteReference"/>
        </w:rPr>
        <w:footnoteRef/>
      </w:r>
      <w:r w:rsidRPr="005C2179">
        <w:t xml:space="preserve"> John P Sarbanes, “Power and Opportunity: Campaign finance reform for the 21</w:t>
      </w:r>
      <w:r w:rsidRPr="005C2179">
        <w:rPr>
          <w:vertAlign w:val="superscript"/>
        </w:rPr>
        <w:t>st</w:t>
      </w:r>
      <w:r w:rsidRPr="005C2179">
        <w:t xml:space="preserve"> century” (2016) 53:1 Harvard J on Leg 1 at 6. Although some studies claim that monetary support does not influence policy outcomes in the US, Sarbanes argues that these studies focus on votes and ignore the potential for influence and distortion at earlier stages in the legislative process.</w:t>
      </w:r>
    </w:p>
  </w:footnote>
  <w:footnote w:id="29">
    <w:p w14:paraId="157DFDBF" w14:textId="77777777" w:rsidR="000B2014" w:rsidRPr="005C2179" w:rsidRDefault="000B2014" w:rsidP="00843271">
      <w:pPr>
        <w:pStyle w:val="FootnoteText"/>
      </w:pPr>
      <w:r w:rsidRPr="005C2179">
        <w:rPr>
          <w:rStyle w:val="FootnoteReference"/>
        </w:rPr>
        <w:footnoteRef/>
      </w:r>
      <w:r w:rsidRPr="005C2179">
        <w:t xml:space="preserve"> Samuel Issacharoff, “On Political Corruption” (November 2010) 124:1 Harvard LR 118 at 126. </w:t>
      </w:r>
    </w:p>
  </w:footnote>
  <w:footnote w:id="30">
    <w:p w14:paraId="1D7C46A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127. </w:t>
      </w:r>
    </w:p>
  </w:footnote>
  <w:footnote w:id="31">
    <w:p w14:paraId="43AF4C56" w14:textId="65489C4B" w:rsidR="000B2014" w:rsidRPr="005C2179" w:rsidRDefault="000B2014" w:rsidP="00843271">
      <w:pPr>
        <w:pStyle w:val="FootnoteText"/>
      </w:pPr>
      <w:r w:rsidRPr="005C2179">
        <w:rPr>
          <w:rStyle w:val="FootnoteReference"/>
        </w:rPr>
        <w:footnoteRef/>
      </w:r>
      <w:r w:rsidRPr="005C2179">
        <w:t xml:space="preserve"> Sarbanes (2016) at 12.</w:t>
      </w:r>
    </w:p>
  </w:footnote>
  <w:footnote w:id="32">
    <w:p w14:paraId="371046A6" w14:textId="122A8A19" w:rsidR="000B2014" w:rsidRPr="005C2179" w:rsidRDefault="000B2014" w:rsidP="00843271">
      <w:pPr>
        <w:pStyle w:val="FootnoteText"/>
      </w:pPr>
      <w:r w:rsidRPr="005C2179">
        <w:rPr>
          <w:rStyle w:val="FootnoteReference"/>
        </w:rPr>
        <w:footnoteRef/>
      </w:r>
      <w:r w:rsidRPr="005C2179">
        <w:t xml:space="preserve"> The equality rationale for campaign finance regulation is discussed further in </w:t>
      </w:r>
      <w:r w:rsidRPr="005C2179">
        <w:rPr>
          <w:highlight w:val="cyan"/>
        </w:rPr>
        <w:t>Section 4.2</w:t>
      </w:r>
      <w:r w:rsidRPr="005C2179">
        <w:t xml:space="preserve">, below. </w:t>
      </w:r>
    </w:p>
  </w:footnote>
  <w:footnote w:id="33">
    <w:p w14:paraId="06732C1E" w14:textId="50DDF7E7" w:rsidR="000B2014" w:rsidRPr="005C2179" w:rsidRDefault="000B2014" w:rsidP="00843271">
      <w:pPr>
        <w:pStyle w:val="FootnoteText"/>
      </w:pPr>
      <w:r w:rsidRPr="005C2179">
        <w:rPr>
          <w:rStyle w:val="FootnoteReference"/>
        </w:rPr>
        <w:footnoteRef/>
      </w:r>
      <w:r w:rsidRPr="005C2179">
        <w:t xml:space="preserve"> OECD (2016) at 22.</w:t>
      </w:r>
    </w:p>
  </w:footnote>
  <w:footnote w:id="34">
    <w:p w14:paraId="191A7AEA" w14:textId="77777777" w:rsidR="000B2014" w:rsidRPr="005C2179" w:rsidRDefault="000B2014" w:rsidP="00BA4208">
      <w:pPr>
        <w:pStyle w:val="FootnoteText"/>
      </w:pPr>
      <w:r w:rsidRPr="005C2179">
        <w:rPr>
          <w:rStyle w:val="FootnoteReference"/>
        </w:rPr>
        <w:footnoteRef/>
      </w:r>
      <w:r w:rsidRPr="005C2179">
        <w:t xml:space="preserve"> </w:t>
      </w:r>
      <w:r w:rsidRPr="005C2179">
        <w:rPr>
          <w:i/>
        </w:rPr>
        <w:t xml:space="preserve">McCormick v United States, </w:t>
      </w:r>
      <w:r w:rsidRPr="005C2179">
        <w:t>500 US 257 (1991).</w:t>
      </w:r>
    </w:p>
  </w:footnote>
  <w:footnote w:id="35">
    <w:p w14:paraId="6C114F21" w14:textId="77777777" w:rsidR="000B2014" w:rsidRPr="005C2179" w:rsidRDefault="000B2014" w:rsidP="00843271">
      <w:pPr>
        <w:pStyle w:val="FootnoteText"/>
      </w:pPr>
      <w:r w:rsidRPr="005C2179">
        <w:rPr>
          <w:rStyle w:val="FootnoteReference"/>
        </w:rPr>
        <w:footnoteRef/>
      </w:r>
      <w:r w:rsidRPr="005C2179">
        <w:t xml:space="preserve"> Vladyslav Dembitskiy, “Where Else is the Appearance of Corruption Protected by the Constitution? A Comparative Analysis of Campaign Finance Laws after </w:t>
      </w:r>
      <w:r w:rsidRPr="005C2179">
        <w:rPr>
          <w:i/>
        </w:rPr>
        <w:t xml:space="preserve">Citizens United </w:t>
      </w:r>
      <w:r w:rsidRPr="005C2179">
        <w:t xml:space="preserve">and </w:t>
      </w:r>
      <w:r w:rsidRPr="005C2179">
        <w:rPr>
          <w:i/>
        </w:rPr>
        <w:t>McCutcheon</w:t>
      </w:r>
      <w:r w:rsidRPr="005C2179">
        <w:t xml:space="preserve">” (2016) 43 Hastings Constitutional L Quarterly 885 at 886. </w:t>
      </w:r>
    </w:p>
  </w:footnote>
  <w:footnote w:id="36">
    <w:p w14:paraId="6F158711" w14:textId="4E069C68" w:rsidR="000B2014" w:rsidRPr="005C2179" w:rsidRDefault="000B2014" w:rsidP="00843271">
      <w:pPr>
        <w:pStyle w:val="FootnoteText"/>
      </w:pPr>
      <w:r w:rsidRPr="005C2179">
        <w:rPr>
          <w:rStyle w:val="FootnoteReference"/>
        </w:rPr>
        <w:footnoteRef/>
      </w:r>
      <w:r w:rsidRPr="005C2179">
        <w:t xml:space="preserve"> Issacharoff (November 2010) at 118, 137. Quebec’s </w:t>
      </w:r>
      <w:r w:rsidRPr="005C2179">
        <w:rPr>
          <w:i/>
        </w:rPr>
        <w:t xml:space="preserve">financement populaire </w:t>
      </w:r>
      <w:r w:rsidRPr="005C2179">
        <w:t xml:space="preserve">embodies this approach. At both the provincial and municipal levels, campaign finance scandals have led to the imposition of low contribution caps in the hopes of achieving the “popular financing” of political parties; the scheme is supplemented by public funding: see Maxime Pelletier, “Municipal Political Reform in Quebec: The Myth of ‘Popular Finance’” (Fall 2014) 43 J of Eastern Township Studies 63. Pelletier observes that only a small percentage of voters in Quebec makes political contributions and suggests that popular finance will remain a pipe dream if few citizens are interested in donating money to parties and candidates. </w:t>
      </w:r>
    </w:p>
  </w:footnote>
  <w:footnote w:id="37">
    <w:p w14:paraId="27EB8E8A" w14:textId="3261D842" w:rsidR="000B2014" w:rsidRPr="005C2179" w:rsidRDefault="000B2014" w:rsidP="00843271">
      <w:pPr>
        <w:pStyle w:val="FootnoteText"/>
      </w:pPr>
      <w:r w:rsidRPr="005C2179">
        <w:rPr>
          <w:rStyle w:val="FootnoteReference"/>
        </w:rPr>
        <w:footnoteRef/>
      </w:r>
      <w:r w:rsidRPr="005C2179">
        <w:t xml:space="preserve"> Sarbanes (2016) at 11.</w:t>
      </w:r>
    </w:p>
  </w:footnote>
  <w:footnote w:id="38">
    <w:p w14:paraId="12C80540" w14:textId="77777777" w:rsidR="000B2014" w:rsidRPr="005C2179" w:rsidRDefault="000B2014" w:rsidP="00843271">
      <w:pPr>
        <w:pStyle w:val="FootnoteText"/>
      </w:pPr>
      <w:r w:rsidRPr="005C2179">
        <w:rPr>
          <w:rStyle w:val="FootnoteReference"/>
        </w:rPr>
        <w:footnoteRef/>
      </w:r>
      <w:r w:rsidRPr="005C2179">
        <w:t xml:space="preserve"> Richard L Hasen, “The transformation of the campaign financing regime for US presidential elections” in Keith D Ewing, Jacob Rowbottom &amp; Joo-Cheong Tham, eds, </w:t>
      </w:r>
      <w:r w:rsidRPr="005C2179">
        <w:rPr>
          <w:i/>
        </w:rPr>
        <w:t xml:space="preserve">The Funding of Political Parties: Where Now? </w:t>
      </w:r>
      <w:r w:rsidRPr="005C2179">
        <w:t>(Routledge, 2012) 225 at 229.</w:t>
      </w:r>
    </w:p>
  </w:footnote>
  <w:footnote w:id="39">
    <w:p w14:paraId="1E7E15CF" w14:textId="77777777" w:rsidR="000B2014" w:rsidRPr="005C2179" w:rsidRDefault="000B2014" w:rsidP="00843271">
      <w:pPr>
        <w:pStyle w:val="FootnoteText"/>
      </w:pPr>
      <w:r w:rsidRPr="005C2179">
        <w:rPr>
          <w:rStyle w:val="FootnoteReference"/>
        </w:rPr>
        <w:footnoteRef/>
      </w:r>
      <w:r w:rsidRPr="005C2179">
        <w:t xml:space="preserve"> Fredreka Schouten, “President Trump shatters small-donor records, gets head start on 2020 race”, </w:t>
      </w:r>
      <w:r w:rsidRPr="005C2179">
        <w:rPr>
          <w:i/>
        </w:rPr>
        <w:t xml:space="preserve">USA Today </w:t>
      </w:r>
      <w:r w:rsidRPr="005C2179">
        <w:t>(21 February 2017), online &lt;</w:t>
      </w:r>
      <w:hyperlink r:id="rId1" w:history="1">
        <w:r w:rsidRPr="005C2179">
          <w:rPr>
            <w:rStyle w:val="Hyperlink"/>
          </w:rPr>
          <w:t>https://www.usatoday.com/story/news/politics/onpolitics/2017/02/21/president-trump-shattered-small-donor-records/98208462/</w:t>
        </w:r>
      </w:hyperlink>
      <w:r w:rsidRPr="005C2179">
        <w:t>&gt;.</w:t>
      </w:r>
    </w:p>
  </w:footnote>
  <w:footnote w:id="40">
    <w:p w14:paraId="66176A75" w14:textId="77777777" w:rsidR="000B2014" w:rsidRPr="005C2179" w:rsidRDefault="000B2014" w:rsidP="00843271">
      <w:pPr>
        <w:pStyle w:val="FootnoteText"/>
      </w:pPr>
      <w:r w:rsidRPr="005C2179">
        <w:rPr>
          <w:rStyle w:val="FootnoteReference"/>
        </w:rPr>
        <w:footnoteRef/>
      </w:r>
      <w:r w:rsidRPr="005C2179">
        <w:t xml:space="preserve"> Katelyn Ferral, “One Person, one Algorithm, one vote”, </w:t>
      </w:r>
      <w:r w:rsidRPr="005C2179">
        <w:rPr>
          <w:i/>
        </w:rPr>
        <w:t xml:space="preserve">The Capital Times </w:t>
      </w:r>
      <w:r w:rsidRPr="005C2179">
        <w:t>(4 January 2017) 24.</w:t>
      </w:r>
    </w:p>
  </w:footnote>
  <w:footnote w:id="41">
    <w:p w14:paraId="2B5BF68D" w14:textId="05CBAD05" w:rsidR="000B2014" w:rsidRPr="005C2179" w:rsidRDefault="000B2014" w:rsidP="00843271">
      <w:pPr>
        <w:pStyle w:val="FootnoteText"/>
      </w:pPr>
      <w:r w:rsidRPr="005C2179">
        <w:rPr>
          <w:rStyle w:val="FootnoteReference"/>
        </w:rPr>
        <w:footnoteRef/>
      </w:r>
      <w:r w:rsidRPr="005C2179">
        <w:t xml:space="preserve"> Hasen (2012) 225 at 229.</w:t>
      </w:r>
    </w:p>
  </w:footnote>
  <w:footnote w:id="42">
    <w:p w14:paraId="020E5638" w14:textId="6F76EF2C" w:rsidR="000B2014" w:rsidRPr="005C2179" w:rsidRDefault="000B2014" w:rsidP="00843271">
      <w:pPr>
        <w:pStyle w:val="FootnoteText"/>
      </w:pPr>
      <w:r w:rsidRPr="005C2179">
        <w:rPr>
          <w:rStyle w:val="FootnoteReference"/>
        </w:rPr>
        <w:footnoteRef/>
      </w:r>
      <w:r w:rsidRPr="005C2179">
        <w:t xml:space="preserve"> Young (2015) at 124.</w:t>
      </w:r>
    </w:p>
  </w:footnote>
  <w:footnote w:id="43">
    <w:p w14:paraId="7B0E5165" w14:textId="08CC7B51" w:rsidR="000B2014" w:rsidRPr="005C2179" w:rsidRDefault="000B2014" w:rsidP="00843271">
      <w:pPr>
        <w:pStyle w:val="FootnoteText"/>
      </w:pPr>
      <w:r w:rsidRPr="005C2179">
        <w:rPr>
          <w:rStyle w:val="FootnoteReference"/>
        </w:rPr>
        <w:footnoteRef/>
      </w:r>
      <w:r w:rsidRPr="005C2179">
        <w:t xml:space="preserve"> Sarbanes (2016).</w:t>
      </w:r>
    </w:p>
  </w:footnote>
  <w:footnote w:id="44">
    <w:p w14:paraId="6F559297"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Citizens United v FEC, </w:t>
      </w:r>
      <w:r w:rsidRPr="005C2179">
        <w:t>588 US 310 at 448 (2009).</w:t>
      </w:r>
    </w:p>
  </w:footnote>
  <w:footnote w:id="45">
    <w:p w14:paraId="40E5A836" w14:textId="41F13870" w:rsidR="000B2014" w:rsidRPr="005C2179" w:rsidRDefault="000B2014" w:rsidP="00843271">
      <w:pPr>
        <w:pStyle w:val="FootnoteText"/>
      </w:pPr>
      <w:r w:rsidRPr="005C2179">
        <w:rPr>
          <w:rStyle w:val="FootnoteReference"/>
        </w:rPr>
        <w:footnoteRef/>
      </w:r>
      <w:r w:rsidRPr="005C2179">
        <w:t xml:space="preserve"> Barendt (2005) at 482.</w:t>
      </w:r>
    </w:p>
  </w:footnote>
  <w:footnote w:id="46">
    <w:p w14:paraId="5E50EE5A" w14:textId="77777777" w:rsidR="000B2014" w:rsidRPr="005C2179" w:rsidRDefault="000B2014" w:rsidP="00BA4208">
      <w:pPr>
        <w:pStyle w:val="FootnoteText"/>
      </w:pPr>
      <w:r w:rsidRPr="005C2179">
        <w:rPr>
          <w:rStyle w:val="FootnoteReference"/>
        </w:rPr>
        <w:footnoteRef/>
      </w:r>
      <w:r w:rsidRPr="005C2179">
        <w:t xml:space="preserve"> </w:t>
      </w:r>
      <w:r w:rsidRPr="005C2179">
        <w:rPr>
          <w:i/>
        </w:rPr>
        <w:t>Ibid</w:t>
      </w:r>
      <w:r w:rsidRPr="005C2179">
        <w:t>.</w:t>
      </w:r>
    </w:p>
  </w:footnote>
  <w:footnote w:id="47">
    <w:p w14:paraId="663216AD" w14:textId="7D044392" w:rsidR="000B2014" w:rsidRPr="005C2179" w:rsidRDefault="000B2014" w:rsidP="00843271">
      <w:pPr>
        <w:pStyle w:val="FootnoteText"/>
      </w:pPr>
      <w:r w:rsidRPr="005C2179">
        <w:rPr>
          <w:rStyle w:val="FootnoteReference"/>
        </w:rPr>
        <w:footnoteRef/>
      </w:r>
      <w:r w:rsidRPr="005C2179">
        <w:t xml:space="preserve"> Issacharoff (November 2010) at 123.</w:t>
      </w:r>
    </w:p>
  </w:footnote>
  <w:footnote w:id="48">
    <w:p w14:paraId="2A9CCD15" w14:textId="539512AE" w:rsidR="000B2014" w:rsidRPr="005C2179" w:rsidRDefault="000B2014" w:rsidP="00843271">
      <w:pPr>
        <w:pStyle w:val="FootnoteText"/>
      </w:pPr>
      <w:r w:rsidRPr="005C2179">
        <w:rPr>
          <w:rStyle w:val="FootnoteReference"/>
        </w:rPr>
        <w:footnoteRef/>
      </w:r>
      <w:r w:rsidRPr="005C2179">
        <w:t xml:space="preserve"> See, e.g., Hasen (2012) 225 at 237.</w:t>
      </w:r>
    </w:p>
  </w:footnote>
  <w:footnote w:id="49">
    <w:p w14:paraId="5C745720" w14:textId="32F03AFA" w:rsidR="000B2014" w:rsidRPr="005C2179" w:rsidRDefault="000B2014" w:rsidP="00843271">
      <w:pPr>
        <w:pStyle w:val="FootnoteText"/>
      </w:pPr>
      <w:r w:rsidRPr="005C2179">
        <w:rPr>
          <w:rStyle w:val="FootnoteReference"/>
        </w:rPr>
        <w:footnoteRef/>
      </w:r>
      <w:r w:rsidRPr="005C2179">
        <w:t xml:space="preserve"> Dawood (2006) at 290.</w:t>
      </w:r>
    </w:p>
  </w:footnote>
  <w:footnote w:id="50">
    <w:p w14:paraId="763F3ED0" w14:textId="77777777" w:rsidR="000B2014" w:rsidRPr="005C2179" w:rsidRDefault="000B2014" w:rsidP="00843271">
      <w:pPr>
        <w:pStyle w:val="FootnoteText"/>
        <w:rPr>
          <w:i/>
        </w:rPr>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2004 SCC 33 at para 62.</w:t>
      </w:r>
    </w:p>
  </w:footnote>
  <w:footnote w:id="51">
    <w:p w14:paraId="7359A9BF" w14:textId="01DFE8AB" w:rsidR="000B2014" w:rsidRPr="005C2179" w:rsidRDefault="000B2014" w:rsidP="00843271">
      <w:pPr>
        <w:pStyle w:val="FootnoteText"/>
      </w:pPr>
      <w:r w:rsidRPr="005C2179">
        <w:rPr>
          <w:rStyle w:val="FootnoteReference"/>
        </w:rPr>
        <w:footnoteRef/>
      </w:r>
      <w:r w:rsidRPr="005C2179">
        <w:t xml:space="preserve"> The libertarian model is discussed further in </w:t>
      </w:r>
      <w:r w:rsidRPr="005C2179">
        <w:rPr>
          <w:highlight w:val="cyan"/>
        </w:rPr>
        <w:t>Section 5.1</w:t>
      </w:r>
      <w:r w:rsidRPr="005C2179">
        <w:t xml:space="preserve"> of this chapter on freedom of expression and campaign finance. </w:t>
      </w:r>
    </w:p>
  </w:footnote>
  <w:footnote w:id="52">
    <w:p w14:paraId="51D1EBB6" w14:textId="77777777" w:rsidR="000B2014" w:rsidRPr="005C2179" w:rsidRDefault="000B2014" w:rsidP="00843271">
      <w:pPr>
        <w:pStyle w:val="FootnoteText"/>
      </w:pPr>
      <w:r w:rsidRPr="005C2179">
        <w:rPr>
          <w:rStyle w:val="FootnoteReference"/>
        </w:rPr>
        <w:footnoteRef/>
      </w:r>
      <w:r w:rsidRPr="005C2179">
        <w:t xml:space="preserve"> See, e.g., Janet L Hiebert, “Elections, Democracy and Free Speech: More at Stake than an Unfettered Right to Advertise” in K D Ewing &amp; Samuel Issacharoff, eds, </w:t>
      </w:r>
      <w:r w:rsidRPr="005C2179">
        <w:rPr>
          <w:i/>
        </w:rPr>
        <w:t xml:space="preserve">Party Funding and Campaign Financing in International Perspective </w:t>
      </w:r>
      <w:r w:rsidRPr="005C2179">
        <w:t xml:space="preserve">(Hart Publishing, 2006) at 269. </w:t>
      </w:r>
    </w:p>
  </w:footnote>
  <w:footnote w:id="53">
    <w:p w14:paraId="7D4C918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R (Animal Defenders International) v Secretary of State for Culture, Media and Sport, </w:t>
      </w:r>
      <w:r w:rsidRPr="005C2179">
        <w:t>[2008] UKHL 15 (BAILII) at para 28.</w:t>
      </w:r>
    </w:p>
  </w:footnote>
  <w:footnote w:id="54">
    <w:p w14:paraId="7D782E9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Libman v Quebec (Attorney General)</w:t>
      </w:r>
      <w:r w:rsidRPr="005C2179">
        <w:t xml:space="preserve">, [1997] 3 SCR 569, 151 DLR (4th) 385 at para 47. </w:t>
      </w:r>
    </w:p>
  </w:footnote>
  <w:footnote w:id="55">
    <w:p w14:paraId="06A0B146" w14:textId="77777777" w:rsidR="000B2014" w:rsidRPr="005C2179" w:rsidRDefault="000B2014" w:rsidP="00843271">
      <w:pPr>
        <w:pStyle w:val="FootnoteText"/>
      </w:pPr>
      <w:r w:rsidRPr="005C2179">
        <w:rPr>
          <w:rStyle w:val="FootnoteReference"/>
        </w:rPr>
        <w:footnoteRef/>
      </w:r>
      <w:r w:rsidRPr="005C2179">
        <w:t xml:space="preserve"> </w:t>
      </w:r>
      <w:r w:rsidRPr="005C2179">
        <w:rPr>
          <w:spacing w:val="-2"/>
        </w:rPr>
        <w:t xml:space="preserve">Raymond J La Raja, </w:t>
      </w:r>
      <w:r w:rsidRPr="005C2179">
        <w:rPr>
          <w:i/>
          <w:spacing w:val="-2"/>
        </w:rPr>
        <w:t xml:space="preserve">Small Change: Money, Political Parties, and Campaign Finance Reform </w:t>
      </w:r>
      <w:r w:rsidRPr="005C2179">
        <w:rPr>
          <w:spacing w:val="-2"/>
        </w:rPr>
        <w:t xml:space="preserve">(University of Michigan, 2008) at 1. </w:t>
      </w:r>
    </w:p>
  </w:footnote>
  <w:footnote w:id="56">
    <w:p w14:paraId="5DBD907C" w14:textId="76B75995" w:rsidR="000B2014" w:rsidRPr="005C2179" w:rsidRDefault="000B2014" w:rsidP="00843271">
      <w:pPr>
        <w:pStyle w:val="FootnoteText"/>
      </w:pPr>
      <w:r w:rsidRPr="005C2179">
        <w:rPr>
          <w:rStyle w:val="FootnoteReference"/>
        </w:rPr>
        <w:footnoteRef/>
      </w:r>
      <w:r w:rsidRPr="005C2179">
        <w:t xml:space="preserve"> Sarbanes (2016) at 9.</w:t>
      </w:r>
    </w:p>
  </w:footnote>
  <w:footnote w:id="57">
    <w:p w14:paraId="4C5CDEE1" w14:textId="527659BC" w:rsidR="000B2014" w:rsidRPr="005C2179" w:rsidRDefault="000B2014" w:rsidP="00843271">
      <w:pPr>
        <w:pStyle w:val="FootnoteText"/>
      </w:pPr>
      <w:r w:rsidRPr="005C2179">
        <w:rPr>
          <w:rStyle w:val="FootnoteReference"/>
        </w:rPr>
        <w:footnoteRef/>
      </w:r>
      <w:r w:rsidRPr="005C2179">
        <w:t xml:space="preserve"> Issacharoff (November 2010) at 122.</w:t>
      </w:r>
    </w:p>
  </w:footnote>
  <w:footnote w:id="58">
    <w:p w14:paraId="21DF44EB" w14:textId="4009716D" w:rsidR="000B2014" w:rsidRPr="005C2179" w:rsidRDefault="000B2014" w:rsidP="00843271">
      <w:pPr>
        <w:pStyle w:val="FootnoteText"/>
      </w:pPr>
      <w:r w:rsidRPr="005C2179">
        <w:rPr>
          <w:rStyle w:val="FootnoteReference"/>
        </w:rPr>
        <w:footnoteRef/>
      </w:r>
      <w:r w:rsidRPr="005C2179">
        <w:t xml:space="preserve"> Sarbanes (2016) at 8.</w:t>
      </w:r>
    </w:p>
  </w:footnote>
  <w:footnote w:id="59">
    <w:p w14:paraId="0D63A36C" w14:textId="309C5794" w:rsidR="000B2014" w:rsidRPr="005C2179" w:rsidRDefault="000B2014" w:rsidP="00843271">
      <w:pPr>
        <w:pStyle w:val="FootnoteText"/>
      </w:pPr>
      <w:r w:rsidRPr="005C2179">
        <w:rPr>
          <w:rStyle w:val="FootnoteReference"/>
        </w:rPr>
        <w:footnoteRef/>
      </w:r>
      <w:r w:rsidRPr="005C2179">
        <w:t xml:space="preserve"> Hasen (2012) 225 at 238.</w:t>
      </w:r>
    </w:p>
  </w:footnote>
  <w:footnote w:id="60">
    <w:p w14:paraId="4281149D" w14:textId="0FCE9D03" w:rsidR="000B2014" w:rsidRPr="005C2179" w:rsidRDefault="000B2014" w:rsidP="00843271">
      <w:pPr>
        <w:pStyle w:val="FootnoteText"/>
      </w:pPr>
      <w:r w:rsidRPr="005C2179">
        <w:rPr>
          <w:rStyle w:val="FootnoteReference"/>
        </w:rPr>
        <w:footnoteRef/>
      </w:r>
      <w:r w:rsidRPr="005C2179">
        <w:rPr>
          <w:sz w:val="16"/>
        </w:rPr>
        <w:t xml:space="preserve"> </w:t>
      </w:r>
      <w:r w:rsidRPr="005C2179">
        <w:t xml:space="preserve">Sean McElwee, </w:t>
      </w:r>
      <w:r w:rsidRPr="005C2179">
        <w:rPr>
          <w:i/>
        </w:rPr>
        <w:t xml:space="preserve">D.C.’s White Donor Class </w:t>
      </w:r>
      <w:r w:rsidRPr="005C2179">
        <w:t>(Demos, 2016) at 1, online: &lt;</w:t>
      </w:r>
      <w:hyperlink r:id="rId2" w:history="1">
        <w:r w:rsidR="002E1B86" w:rsidRPr="00371F06">
          <w:rPr>
            <w:rStyle w:val="Hyperlink"/>
            <w:sz w:val="20"/>
          </w:rPr>
          <w:t>http://www.demos.org/</w:t>
        </w:r>
        <w:r w:rsidR="002E1B86" w:rsidRPr="00371F06">
          <w:rPr>
            <w:rStyle w:val="Hyperlink"/>
            <w:sz w:val="20"/>
          </w:rPr>
          <w:br/>
          <w:t>publication/dc%E2%80%99s-white-donor-class-outsized-influence-diverse-city</w:t>
        </w:r>
      </w:hyperlink>
      <w:r w:rsidRPr="005C2179">
        <w:rPr>
          <w:rStyle w:val="Hyperlink"/>
          <w:sz w:val="20"/>
        </w:rPr>
        <w:t>&gt;.</w:t>
      </w:r>
    </w:p>
  </w:footnote>
  <w:footnote w:id="61">
    <w:p w14:paraId="6D00B595" w14:textId="77777777" w:rsidR="000B2014" w:rsidRPr="005C2179" w:rsidRDefault="000B2014" w:rsidP="00843271">
      <w:pPr>
        <w:pStyle w:val="FootnoteText"/>
      </w:pPr>
      <w:r w:rsidRPr="005C2179">
        <w:rPr>
          <w:rStyle w:val="FootnoteReference"/>
        </w:rPr>
        <w:footnoteRef/>
      </w:r>
      <w:r w:rsidRPr="005C2179">
        <w:t xml:space="preserve"> Martin Gilens &amp; Benjamin I Page, “Testing Theories of American Politics: Elites, Interest Groups, and Average Citizens” (2014) 12 Perspectives on Politics</w:t>
      </w:r>
      <w:r w:rsidRPr="005C2179">
        <w:rPr>
          <w:i/>
        </w:rPr>
        <w:t xml:space="preserve"> </w:t>
      </w:r>
      <w:r w:rsidRPr="005C2179">
        <w:t>564.</w:t>
      </w:r>
    </w:p>
  </w:footnote>
  <w:footnote w:id="62">
    <w:p w14:paraId="4F42FA35" w14:textId="77777777" w:rsidR="000B2014" w:rsidRPr="005C2179" w:rsidRDefault="000B2014" w:rsidP="00843271">
      <w:pPr>
        <w:pStyle w:val="FootnoteText"/>
      </w:pPr>
      <w:r w:rsidRPr="005C2179">
        <w:rPr>
          <w:rStyle w:val="FootnoteReference"/>
        </w:rPr>
        <w:footnoteRef/>
      </w:r>
      <w:r w:rsidRPr="005C2179">
        <w:t xml:space="preserve"> Sean McElwee, Brian Schaffner, &amp; Jesse Rhodes, “Whose Voice, Whose Choice? The Distorting Influence of the Political Donor Class in Our Big-Money Elections” (Demos, 2016), online: &lt;</w:t>
      </w:r>
      <w:hyperlink r:id="rId3" w:history="1">
        <w:r w:rsidRPr="005C2179">
          <w:rPr>
            <w:rStyle w:val="Hyperlink"/>
          </w:rPr>
          <w:t>http://www.demos.org/publication/whose-voice-whose-choice-distorting-influence-political-donor-class-our-big-money-electi</w:t>
        </w:r>
      </w:hyperlink>
      <w:r w:rsidRPr="005C2179">
        <w:rPr>
          <w:rStyle w:val="Hyperlink"/>
          <w:color w:val="auto"/>
          <w:u w:val="none"/>
        </w:rPr>
        <w:t>&gt;.</w:t>
      </w:r>
    </w:p>
  </w:footnote>
  <w:footnote w:id="63">
    <w:p w14:paraId="57859E71" w14:textId="4D004DF3" w:rsidR="000B2014" w:rsidRPr="005C2179" w:rsidRDefault="000B2014" w:rsidP="00843271">
      <w:pPr>
        <w:pStyle w:val="FootnoteText"/>
      </w:pPr>
      <w:r w:rsidRPr="005C2179">
        <w:rPr>
          <w:rStyle w:val="FootnoteReference"/>
        </w:rPr>
        <w:footnoteRef/>
      </w:r>
      <w:r w:rsidRPr="005C2179">
        <w:t xml:space="preserve"> Sarbanes (2016) at 6.</w:t>
      </w:r>
    </w:p>
  </w:footnote>
  <w:footnote w:id="64">
    <w:p w14:paraId="3C1C3110" w14:textId="77777777" w:rsidR="000B2014" w:rsidRPr="005C2179" w:rsidRDefault="000B2014" w:rsidP="00843271">
      <w:pPr>
        <w:pStyle w:val="FootnoteText"/>
        <w:rPr>
          <w:i/>
        </w:rPr>
      </w:pPr>
      <w:r w:rsidRPr="005C2179">
        <w:rPr>
          <w:rStyle w:val="FootnoteReference"/>
        </w:rPr>
        <w:footnoteRef/>
      </w:r>
      <w:r w:rsidRPr="005C2179">
        <w:t xml:space="preserve"> See, e.g., </w:t>
      </w:r>
      <w:r w:rsidRPr="005C2179">
        <w:rPr>
          <w:i/>
        </w:rPr>
        <w:t>Harper v Canada (Attorney General)</w:t>
      </w:r>
      <w:r w:rsidRPr="005C2179">
        <w:t>,</w:t>
      </w:r>
      <w:r w:rsidRPr="005C2179">
        <w:rPr>
          <w:i/>
        </w:rPr>
        <w:t xml:space="preserve"> </w:t>
      </w:r>
      <w:r w:rsidRPr="005C2179">
        <w:t>2004 SCC 33 at para 62.</w:t>
      </w:r>
    </w:p>
  </w:footnote>
  <w:footnote w:id="65">
    <w:p w14:paraId="20930EC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Buckley v Valeo, </w:t>
      </w:r>
      <w:r w:rsidRPr="005C2179">
        <w:t>424 US 1 at 19 (1976).</w:t>
      </w:r>
    </w:p>
  </w:footnote>
  <w:footnote w:id="66">
    <w:p w14:paraId="44A9B0B8" w14:textId="6F4554B8" w:rsidR="000B2014" w:rsidRPr="005C2179" w:rsidRDefault="000B2014" w:rsidP="00843271">
      <w:pPr>
        <w:pStyle w:val="FootnoteText"/>
      </w:pPr>
      <w:r w:rsidRPr="005C2179">
        <w:rPr>
          <w:rStyle w:val="FootnoteReference"/>
        </w:rPr>
        <w:footnoteRef/>
      </w:r>
      <w:r w:rsidRPr="005C2179">
        <w:t xml:space="preserve"> Sarbanes (2016) at 3.</w:t>
      </w:r>
    </w:p>
  </w:footnote>
  <w:footnote w:id="67">
    <w:p w14:paraId="3CED5BEF" w14:textId="77777777" w:rsidR="000B2014" w:rsidRPr="005C2179" w:rsidRDefault="000B2014" w:rsidP="00843271">
      <w:pPr>
        <w:pStyle w:val="FootnoteText"/>
      </w:pPr>
      <w:r w:rsidRPr="005C2179">
        <w:rPr>
          <w:rStyle w:val="FootnoteReference"/>
        </w:rPr>
        <w:footnoteRef/>
      </w:r>
      <w:r w:rsidRPr="005C2179">
        <w:t xml:space="preserve"> Jennifer vanHeerde-Hudson &amp; Justin Fisher, “Public knowledge of and attitudes towards party finance in Britain” (2013) 19:1 Party Politics 41. </w:t>
      </w:r>
    </w:p>
  </w:footnote>
  <w:footnote w:id="68">
    <w:p w14:paraId="78ECB889" w14:textId="77777777" w:rsidR="000B2014" w:rsidRPr="005C2179" w:rsidRDefault="000B2014" w:rsidP="00843271">
      <w:pPr>
        <w:pStyle w:val="FootnoteText"/>
      </w:pPr>
      <w:r w:rsidRPr="005C2179">
        <w:rPr>
          <w:rStyle w:val="FootnoteReference"/>
        </w:rPr>
        <w:footnoteRef/>
      </w:r>
      <w:r w:rsidRPr="005C2179">
        <w:t xml:space="preserve"> Brennan Center for Justice at NYU School of Law, </w:t>
      </w:r>
      <w:r w:rsidRPr="005C2179">
        <w:rPr>
          <w:i/>
        </w:rPr>
        <w:t>National Survey: Super PACs, Corruption, and Democracy: Americans’ Attitudes about the Influence of Super PAC Spending on Government and the Implications for our Democracy</w:t>
      </w:r>
      <w:r w:rsidRPr="005C2179">
        <w:t xml:space="preserve"> (2012), online: &lt;https://www.brennancenter.org/analysis/national-survey-super-pacs-corruption-and-democracy&gt;.</w:t>
      </w:r>
    </w:p>
  </w:footnote>
  <w:footnote w:id="69">
    <w:p w14:paraId="2C70625F" w14:textId="77777777" w:rsidR="000B2014" w:rsidRPr="005C2179" w:rsidRDefault="000B2014" w:rsidP="00843271">
      <w:pPr>
        <w:pStyle w:val="FootnoteText"/>
      </w:pPr>
      <w:r w:rsidRPr="005C2179">
        <w:rPr>
          <w:rStyle w:val="FootnoteReference"/>
        </w:rPr>
        <w:footnoteRef/>
      </w:r>
      <w:r w:rsidRPr="005C2179">
        <w:t xml:space="preserve"> Sarah Dutton et al, “Americans’ view of Congress: Throw ‘em out”, </w:t>
      </w:r>
      <w:r w:rsidRPr="005C2179">
        <w:rPr>
          <w:i/>
        </w:rPr>
        <w:t>CBS News</w:t>
      </w:r>
      <w:r w:rsidRPr="005C2179">
        <w:t xml:space="preserve"> (21 May 2014), online: &lt;</w:t>
      </w:r>
      <w:hyperlink r:id="rId4" w:history="1">
        <w:r w:rsidRPr="005C2179">
          <w:rPr>
            <w:rStyle w:val="Hyperlink"/>
          </w:rPr>
          <w:t>http://www.cbsnews.com/news/americans-view-of-congress-throw-em-out/</w:t>
        </w:r>
      </w:hyperlink>
      <w:r w:rsidRPr="005C2179">
        <w:t>&gt;.</w:t>
      </w:r>
    </w:p>
  </w:footnote>
  <w:footnote w:id="70">
    <w:p w14:paraId="6E7AA11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(Attorney General) v Somerville, </w:t>
      </w:r>
      <w:r w:rsidRPr="005C2179">
        <w:t>1996 ABCA 217 at para 11.</w:t>
      </w:r>
    </w:p>
  </w:footnote>
  <w:footnote w:id="71">
    <w:p w14:paraId="5296391B" w14:textId="77777777" w:rsidR="000B2014" w:rsidRPr="005C2179" w:rsidRDefault="000B2014" w:rsidP="00BA4208">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2004 SCC 33.</w:t>
      </w:r>
    </w:p>
  </w:footnote>
  <w:footnote w:id="72">
    <w:p w14:paraId="1D6513FF" w14:textId="77777777" w:rsidR="000B2014" w:rsidRPr="005C2179" w:rsidRDefault="000B2014" w:rsidP="00843271">
      <w:pPr>
        <w:pStyle w:val="FootnoteText"/>
        <w:rPr>
          <w:i/>
        </w:rPr>
      </w:pPr>
      <w:r w:rsidRPr="005C2179">
        <w:rPr>
          <w:rStyle w:val="FootnoteReference"/>
        </w:rPr>
        <w:footnoteRef/>
      </w:r>
      <w:r w:rsidRPr="005C2179">
        <w:t xml:space="preserve"> See, e.g., </w:t>
      </w:r>
      <w:r w:rsidRPr="005C2179">
        <w:rPr>
          <w:i/>
        </w:rPr>
        <w:t xml:space="preserve">McCutcheon v FEC, </w:t>
      </w:r>
      <w:r w:rsidRPr="005C2179">
        <w:t>572 US __ (2014) (slip op).</w:t>
      </w:r>
      <w:r w:rsidRPr="005C2179">
        <w:rPr>
          <w:i/>
        </w:rPr>
        <w:t xml:space="preserve"> </w:t>
      </w:r>
    </w:p>
  </w:footnote>
  <w:footnote w:id="73">
    <w:p w14:paraId="49BCD3CF" w14:textId="1EC1AE6A" w:rsidR="000B2014" w:rsidRPr="005C2179" w:rsidRDefault="000B2014" w:rsidP="00843271">
      <w:pPr>
        <w:pStyle w:val="FootnoteText"/>
      </w:pPr>
      <w:r w:rsidRPr="005C2179">
        <w:rPr>
          <w:rStyle w:val="FootnoteReference"/>
        </w:rPr>
        <w:footnoteRef/>
      </w:r>
      <w:r w:rsidRPr="005C2179">
        <w:t xml:space="preserve"> Barendt (2005) at 481.</w:t>
      </w:r>
    </w:p>
  </w:footnote>
  <w:footnote w:id="74">
    <w:p w14:paraId="6C16928D" w14:textId="77777777" w:rsidR="000B2014" w:rsidRPr="005C2179" w:rsidRDefault="000B2014" w:rsidP="00843271">
      <w:pPr>
        <w:pStyle w:val="FootnoteText"/>
      </w:pPr>
      <w:r w:rsidRPr="005C2179">
        <w:rPr>
          <w:rStyle w:val="FootnoteReference"/>
        </w:rPr>
        <w:footnoteRef/>
      </w:r>
      <w:r w:rsidRPr="005C2179">
        <w:t xml:space="preserve"> Ronald Dworkin, </w:t>
      </w:r>
      <w:r w:rsidRPr="005C2179">
        <w:rPr>
          <w:i/>
        </w:rPr>
        <w:t xml:space="preserve">Sovereign Virtue: The Theory and Practice of Equality </w:t>
      </w:r>
      <w:r w:rsidRPr="005C2179">
        <w:t xml:space="preserve">(Harvard University Press, 2000) at 369. </w:t>
      </w:r>
    </w:p>
  </w:footnote>
  <w:footnote w:id="75">
    <w:p w14:paraId="390109B5" w14:textId="77777777" w:rsidR="000B2014" w:rsidRPr="005C2179" w:rsidRDefault="000B2014" w:rsidP="00843271">
      <w:pPr>
        <w:pStyle w:val="FootnoteText"/>
      </w:pPr>
      <w:r w:rsidRPr="005C2179">
        <w:rPr>
          <w:rStyle w:val="FootnoteReference"/>
        </w:rPr>
        <w:footnoteRef/>
      </w:r>
      <w:r w:rsidRPr="005C2179">
        <w:t xml:space="preserve"> UK, </w:t>
      </w:r>
      <w:r w:rsidRPr="005C2179">
        <w:rPr>
          <w:i/>
        </w:rPr>
        <w:t>Fifth Report of the Committee on Standards in Public Life: The Funding of Political Parties in the United Kingdom</w:t>
      </w:r>
      <w:r w:rsidRPr="005C2179">
        <w:t xml:space="preserve"> (London The Stationery Office, 1998) at 174.</w:t>
      </w:r>
    </w:p>
  </w:footnote>
  <w:footnote w:id="76">
    <w:p w14:paraId="77DE408A" w14:textId="77777777" w:rsidR="000B2014" w:rsidRPr="005C2179" w:rsidRDefault="000B2014" w:rsidP="00843271">
      <w:pPr>
        <w:pStyle w:val="FootnoteText"/>
      </w:pPr>
      <w:r w:rsidRPr="005C2179">
        <w:rPr>
          <w:rStyle w:val="FootnoteReference"/>
        </w:rPr>
        <w:footnoteRef/>
      </w:r>
      <w:r w:rsidRPr="005C2179">
        <w:rPr>
          <w:i/>
        </w:rPr>
        <w:t xml:space="preserve"> Buckley v Valeo, </w:t>
      </w:r>
      <w:r w:rsidRPr="005C2179">
        <w:t>424 US 1 at 19 (1976).</w:t>
      </w:r>
    </w:p>
  </w:footnote>
  <w:footnote w:id="77">
    <w:p w14:paraId="245EDB8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p>
  </w:footnote>
  <w:footnote w:id="78">
    <w:p w14:paraId="6618AB5F" w14:textId="171C12D0" w:rsidR="000B2014" w:rsidRPr="005C2179" w:rsidRDefault="000B2014" w:rsidP="00843271">
      <w:pPr>
        <w:pStyle w:val="FootnoteText"/>
      </w:pPr>
      <w:r w:rsidRPr="005C2179">
        <w:rPr>
          <w:rStyle w:val="FootnoteReference"/>
        </w:rPr>
        <w:footnoteRef/>
      </w:r>
      <w:r w:rsidRPr="005C2179">
        <w:t xml:space="preserve"> Barendt (2005) at 159.</w:t>
      </w:r>
    </w:p>
  </w:footnote>
  <w:footnote w:id="79">
    <w:p w14:paraId="5B7359D7" w14:textId="453FFAF8" w:rsidR="000B2014" w:rsidRPr="005C2179" w:rsidRDefault="000B2014" w:rsidP="00843271">
      <w:pPr>
        <w:pStyle w:val="FootnoteText"/>
      </w:pPr>
      <w:r w:rsidRPr="005C2179">
        <w:rPr>
          <w:rStyle w:val="FootnoteReference"/>
        </w:rPr>
        <w:footnoteRef/>
      </w:r>
      <w:r w:rsidRPr="005C2179">
        <w:t xml:space="preserve"> Dworkin (2000) at 353.</w:t>
      </w:r>
    </w:p>
  </w:footnote>
  <w:footnote w:id="80">
    <w:p w14:paraId="734A706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McCutcheon v FEC, </w:t>
      </w:r>
      <w:r w:rsidRPr="005C2179">
        <w:t>572 US __ (2014) (slip op at 17).</w:t>
      </w:r>
    </w:p>
  </w:footnote>
  <w:footnote w:id="81">
    <w:p w14:paraId="09C6534B" w14:textId="56B2F64C" w:rsidR="000B2014" w:rsidRPr="005C2179" w:rsidRDefault="000B2014" w:rsidP="00843271">
      <w:pPr>
        <w:pStyle w:val="FootnoteText"/>
      </w:pPr>
      <w:r w:rsidRPr="005C2179">
        <w:rPr>
          <w:rStyle w:val="FootnoteReference"/>
        </w:rPr>
        <w:footnoteRef/>
      </w:r>
      <w:r w:rsidRPr="005C2179">
        <w:t xml:space="preserve"> Dworkin (2000) at 369.</w:t>
      </w:r>
    </w:p>
  </w:footnote>
  <w:footnote w:id="82">
    <w:p w14:paraId="1876291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Ibid </w:t>
      </w:r>
      <w:r w:rsidRPr="005C2179">
        <w:t>at 358.</w:t>
      </w:r>
    </w:p>
  </w:footnote>
  <w:footnote w:id="83">
    <w:p w14:paraId="0813C7E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Ibid </w:t>
      </w:r>
      <w:r w:rsidRPr="005C2179">
        <w:t xml:space="preserve">at 364–65. </w:t>
      </w:r>
    </w:p>
  </w:footnote>
  <w:footnote w:id="84">
    <w:p w14:paraId="79E7B8C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364. Dworkin also makes the argument that, in a society with a defensible distribution of wealth, “no one...could have the impact on political decisions, just in virtue of money spent in politics, that the rich can now have in the United States”: </w:t>
      </w:r>
      <w:r w:rsidRPr="005C2179">
        <w:rPr>
          <w:i/>
        </w:rPr>
        <w:t xml:space="preserve">ibid </w:t>
      </w:r>
      <w:r w:rsidRPr="005C2179">
        <w:t xml:space="preserve">at 176. In this sense, the campaign finance laws struck down by the US Supreme Court do not victimize anyone, as they do not make anyone’s position “worse, with respect to the liberty in question, than it would most likely have been in a defensible distribution”: </w:t>
      </w:r>
      <w:r w:rsidRPr="005C2179">
        <w:rPr>
          <w:i/>
        </w:rPr>
        <w:t xml:space="preserve">ibid </w:t>
      </w:r>
      <w:r w:rsidRPr="005C2179">
        <w:t xml:space="preserve">at 176. </w:t>
      </w:r>
    </w:p>
  </w:footnote>
  <w:footnote w:id="85">
    <w:p w14:paraId="49A7E941" w14:textId="77777777" w:rsidR="000B2014" w:rsidRPr="005C2179" w:rsidRDefault="000B2014" w:rsidP="00843271">
      <w:pPr>
        <w:pStyle w:val="FootnoteText"/>
      </w:pPr>
      <w:r w:rsidRPr="005C2179">
        <w:rPr>
          <w:rStyle w:val="FootnoteReference"/>
        </w:rPr>
        <w:footnoteRef/>
      </w:r>
      <w:r w:rsidRPr="005C2179">
        <w:t xml:space="preserve"> Owen M Fiss, </w:t>
      </w:r>
      <w:r w:rsidRPr="005C2179">
        <w:rPr>
          <w:i/>
        </w:rPr>
        <w:t xml:space="preserve">The Irony of Free Speech </w:t>
      </w:r>
      <w:r w:rsidRPr="005C2179">
        <w:t xml:space="preserve">(Harvard University Press, 1996) at 83. </w:t>
      </w:r>
    </w:p>
  </w:footnote>
  <w:footnote w:id="86">
    <w:p w14:paraId="49AC4957"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3–4. </w:t>
      </w:r>
    </w:p>
  </w:footnote>
  <w:footnote w:id="87">
    <w:p w14:paraId="7186699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88">
    <w:p w14:paraId="4C8CCD25" w14:textId="77777777" w:rsidR="000B2014" w:rsidRPr="005C2179" w:rsidRDefault="000B2014" w:rsidP="00843271">
      <w:pPr>
        <w:pStyle w:val="FootnoteText"/>
      </w:pPr>
      <w:r w:rsidRPr="005C2179">
        <w:rPr>
          <w:rStyle w:val="FootnoteReference"/>
        </w:rPr>
        <w:footnoteRef/>
      </w:r>
      <w:r w:rsidRPr="005C2179">
        <w:t xml:space="preserve"> Colin Feasby, “Canadian political finance regulation and jurisprudence” in Keith D Ewing, Jacob Rowbottom &amp; Joo-Cheong Tham, eds, </w:t>
      </w:r>
      <w:r w:rsidRPr="005C2179">
        <w:rPr>
          <w:i/>
        </w:rPr>
        <w:t xml:space="preserve">The Funding of Political Parties: Where Now? </w:t>
      </w:r>
      <w:r w:rsidRPr="005C2179">
        <w:t>(Routledge, 2012) 206 at 217.</w:t>
      </w:r>
    </w:p>
  </w:footnote>
  <w:footnote w:id="89">
    <w:p w14:paraId="50A6ECD1" w14:textId="69087612" w:rsidR="000B2014" w:rsidRPr="005C2179" w:rsidRDefault="000B2014" w:rsidP="00843271">
      <w:pPr>
        <w:pStyle w:val="FootnoteText"/>
      </w:pPr>
      <w:r w:rsidRPr="005C2179">
        <w:rPr>
          <w:rStyle w:val="FootnoteReference"/>
        </w:rPr>
        <w:footnoteRef/>
      </w:r>
      <w:r w:rsidRPr="005C2179">
        <w:t xml:space="preserve"> La Raja (2008) at 6.</w:t>
      </w:r>
    </w:p>
  </w:footnote>
  <w:footnote w:id="90">
    <w:p w14:paraId="2ED7E8BE" w14:textId="14998B1E" w:rsidR="000B2014" w:rsidRPr="005C2179" w:rsidRDefault="000B2014" w:rsidP="00843271">
      <w:pPr>
        <w:pStyle w:val="FootnoteText"/>
      </w:pPr>
      <w:r w:rsidRPr="005C2179">
        <w:rPr>
          <w:rStyle w:val="FootnoteReference"/>
        </w:rPr>
        <w:footnoteRef/>
      </w:r>
      <w:r w:rsidRPr="005C2179">
        <w:t xml:space="preserve"> Richard A Posner, </w:t>
      </w:r>
      <w:r w:rsidRPr="005C2179">
        <w:rPr>
          <w:i/>
        </w:rPr>
        <w:t xml:space="preserve">Law, Pragmatism, and Democracy </w:t>
      </w:r>
      <w:r w:rsidRPr="005C2179">
        <w:t>(Harvard University Press, 2003) at 240.</w:t>
      </w:r>
    </w:p>
  </w:footnote>
  <w:footnote w:id="91">
    <w:p w14:paraId="2C087A32" w14:textId="5A94BCA4" w:rsidR="000B2014" w:rsidRPr="005C2179" w:rsidRDefault="000B2014" w:rsidP="00843271">
      <w:pPr>
        <w:pStyle w:val="FootnoteText"/>
      </w:pPr>
      <w:r w:rsidRPr="005C2179">
        <w:rPr>
          <w:rStyle w:val="FootnoteReference"/>
        </w:rPr>
        <w:footnoteRef/>
      </w:r>
      <w:r w:rsidRPr="005C2179">
        <w:t xml:space="preserve"> Barendt (2005) at 482; Posner, (2003) at 240.</w:t>
      </w:r>
    </w:p>
  </w:footnote>
  <w:footnote w:id="92">
    <w:p w14:paraId="5C449A57" w14:textId="782168CB" w:rsidR="000B2014" w:rsidRPr="005C2179" w:rsidRDefault="000B2014" w:rsidP="00843271">
      <w:pPr>
        <w:pStyle w:val="FootnoteText"/>
      </w:pPr>
      <w:r w:rsidRPr="005C2179">
        <w:rPr>
          <w:rStyle w:val="FootnoteReference"/>
        </w:rPr>
        <w:footnoteRef/>
      </w:r>
      <w:r w:rsidRPr="005C2179">
        <w:t xml:space="preserve"> Gauja &amp; Orr (2015) at 250.</w:t>
      </w:r>
    </w:p>
  </w:footnote>
  <w:footnote w:id="93">
    <w:p w14:paraId="4EE1F51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94">
    <w:p w14:paraId="4D835183" w14:textId="7749B019" w:rsidR="000B2014" w:rsidRPr="005C2179" w:rsidRDefault="000B2014" w:rsidP="00843271">
      <w:pPr>
        <w:pStyle w:val="FootnoteText"/>
      </w:pPr>
      <w:r w:rsidRPr="005C2179">
        <w:rPr>
          <w:rStyle w:val="FootnoteReference"/>
        </w:rPr>
        <w:footnoteRef/>
      </w:r>
      <w:r w:rsidRPr="005C2179">
        <w:t xml:space="preserve"> Feasby (2012) 206 at 217. See also Young, (2015) at 119.</w:t>
      </w:r>
    </w:p>
  </w:footnote>
  <w:footnote w:id="95">
    <w:p w14:paraId="41DADB3E" w14:textId="2E9EF1DC" w:rsidR="000B2014" w:rsidRPr="005C2179" w:rsidRDefault="000B2014" w:rsidP="00843271">
      <w:pPr>
        <w:pStyle w:val="FootnoteText"/>
      </w:pPr>
      <w:r w:rsidRPr="005C2179">
        <w:rPr>
          <w:rStyle w:val="FootnoteReference"/>
        </w:rPr>
        <w:footnoteRef/>
      </w:r>
      <w:r w:rsidRPr="005C2179">
        <w:t xml:space="preserve"> Feasby (2012) 206 at 217, 219.</w:t>
      </w:r>
    </w:p>
  </w:footnote>
  <w:footnote w:id="96">
    <w:p w14:paraId="0419AC66" w14:textId="1B3973AC" w:rsidR="000B2014" w:rsidRPr="005C2179" w:rsidRDefault="000B2014" w:rsidP="00843271">
      <w:pPr>
        <w:pStyle w:val="FootnoteText"/>
      </w:pPr>
      <w:r w:rsidRPr="005C2179">
        <w:rPr>
          <w:rStyle w:val="FootnoteReference"/>
        </w:rPr>
        <w:footnoteRef/>
      </w:r>
      <w:r w:rsidRPr="005C2179">
        <w:t xml:space="preserve"> Young (2015) at 118.</w:t>
      </w:r>
    </w:p>
  </w:footnote>
  <w:footnote w:id="97">
    <w:p w14:paraId="67F7747B" w14:textId="45AC7677" w:rsidR="000B2014" w:rsidRPr="005C2179" w:rsidRDefault="000B2014" w:rsidP="00843271">
      <w:pPr>
        <w:pStyle w:val="FootnoteText"/>
      </w:pPr>
      <w:r w:rsidRPr="005C2179">
        <w:rPr>
          <w:rStyle w:val="FootnoteReference"/>
        </w:rPr>
        <w:footnoteRef/>
      </w:r>
      <w:r w:rsidRPr="005C2179">
        <w:t xml:space="preserve"> Issacharoff (November 2010) at 120.</w:t>
      </w:r>
    </w:p>
  </w:footnote>
  <w:footnote w:id="98">
    <w:p w14:paraId="1B3C921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Bipartisan Campaign Finance Reform Act of 2002, </w:t>
      </w:r>
      <w:r w:rsidRPr="005C2179">
        <w:t>Pub L No 107-155, 116 Stat 81.</w:t>
      </w:r>
    </w:p>
  </w:footnote>
  <w:footnote w:id="99">
    <w:p w14:paraId="7DBC418E" w14:textId="0F3BEC6F" w:rsidR="000B2014" w:rsidRPr="005C2179" w:rsidRDefault="000B2014" w:rsidP="00843271">
      <w:pPr>
        <w:pStyle w:val="FootnoteText"/>
      </w:pPr>
      <w:r w:rsidRPr="005C2179">
        <w:rPr>
          <w:rStyle w:val="FootnoteReference"/>
        </w:rPr>
        <w:footnoteRef/>
      </w:r>
      <w:r w:rsidRPr="005C2179">
        <w:t xml:space="preserve"> Dwyre (2015) at 54.</w:t>
      </w:r>
    </w:p>
  </w:footnote>
  <w:footnote w:id="100">
    <w:p w14:paraId="3A2BEB4F" w14:textId="1570AD5F" w:rsidR="000B2014" w:rsidRPr="005C2179" w:rsidRDefault="000B2014" w:rsidP="00843271">
      <w:pPr>
        <w:pStyle w:val="FootnoteText"/>
      </w:pPr>
      <w:r w:rsidRPr="005C2179">
        <w:rPr>
          <w:rStyle w:val="FootnoteReference"/>
        </w:rPr>
        <w:footnoteRef/>
      </w:r>
      <w:r w:rsidRPr="005C2179">
        <w:t xml:space="preserve"> OECD (2016) at 16.</w:t>
      </w:r>
    </w:p>
  </w:footnote>
  <w:footnote w:id="101">
    <w:p w14:paraId="41EEFFF4" w14:textId="77777777" w:rsidR="000B2014" w:rsidRPr="005C2179" w:rsidRDefault="000B2014" w:rsidP="00843271">
      <w:pPr>
        <w:pStyle w:val="FootnoteText"/>
      </w:pPr>
      <w:r w:rsidRPr="005C2179">
        <w:rPr>
          <w:rStyle w:val="FootnoteReference"/>
        </w:rPr>
        <w:footnoteRef/>
      </w:r>
      <w:r w:rsidRPr="005C2179">
        <w:t xml:space="preserve"> Keith D Ewing &amp; Jacob Rowbottom, “The Role of Spending Controls” in Keith D Ewing, Jacob Rowbottom &amp; Joo-Cheong Tham, eds, </w:t>
      </w:r>
      <w:r w:rsidRPr="005C2179">
        <w:rPr>
          <w:i/>
        </w:rPr>
        <w:t xml:space="preserve">The Funding of Political Parties: Where Now? </w:t>
      </w:r>
      <w:r w:rsidRPr="005C2179">
        <w:t>(Routledge, 2012) at 85.</w:t>
      </w:r>
    </w:p>
  </w:footnote>
  <w:footnote w:id="102">
    <w:p w14:paraId="08DE0DB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103">
    <w:p w14:paraId="49C098F8" w14:textId="77777777" w:rsidR="000B2014" w:rsidRPr="005C2179" w:rsidRDefault="000B2014" w:rsidP="00843271">
      <w:pPr>
        <w:pStyle w:val="FootnoteText"/>
        <w:rPr>
          <w:i/>
        </w:rPr>
      </w:pPr>
      <w:r w:rsidRPr="005C2179">
        <w:rPr>
          <w:rStyle w:val="FootnoteReference"/>
        </w:rPr>
        <w:footnoteRef/>
      </w:r>
      <w:r w:rsidRPr="005C2179">
        <w:t xml:space="preserve"> See, e.g., </w:t>
      </w:r>
      <w:r w:rsidRPr="005C2179">
        <w:rPr>
          <w:i/>
        </w:rPr>
        <w:t>Harper v Canada (Attorney General)</w:t>
      </w:r>
      <w:r w:rsidRPr="005C2179">
        <w:t>,</w:t>
      </w:r>
      <w:r w:rsidRPr="005C2179">
        <w:rPr>
          <w:i/>
        </w:rPr>
        <w:t xml:space="preserve"> </w:t>
      </w:r>
      <w:r w:rsidRPr="005C2179">
        <w:t>2004 SCC 33.</w:t>
      </w:r>
      <w:r w:rsidRPr="005C2179">
        <w:rPr>
          <w:i/>
        </w:rPr>
        <w:t xml:space="preserve"> </w:t>
      </w:r>
    </w:p>
  </w:footnote>
  <w:footnote w:id="104">
    <w:p w14:paraId="7CB92F1E" w14:textId="093E0B63" w:rsidR="000B2014" w:rsidRPr="005C2179" w:rsidRDefault="000B2014" w:rsidP="00843271">
      <w:pPr>
        <w:pStyle w:val="FootnoteText"/>
      </w:pPr>
      <w:r w:rsidRPr="005C2179">
        <w:rPr>
          <w:rStyle w:val="FootnoteReference"/>
        </w:rPr>
        <w:footnoteRef/>
      </w:r>
      <w:r w:rsidRPr="005C2179">
        <w:t xml:space="preserve"> Barendt (2005) at 479–80.</w:t>
      </w:r>
    </w:p>
  </w:footnote>
  <w:footnote w:id="105">
    <w:p w14:paraId="6751879C" w14:textId="66ADCA53" w:rsidR="000B2014" w:rsidRPr="005C2179" w:rsidRDefault="000B2014" w:rsidP="00843271">
      <w:pPr>
        <w:pStyle w:val="FootnoteText"/>
      </w:pPr>
      <w:r w:rsidRPr="005C2179">
        <w:rPr>
          <w:rStyle w:val="FootnoteReference"/>
        </w:rPr>
        <w:footnoteRef/>
      </w:r>
      <w:r w:rsidRPr="005C2179">
        <w:t xml:space="preserve"> Gauja &amp; Orr (2015) at 259.</w:t>
      </w:r>
    </w:p>
  </w:footnote>
  <w:footnote w:id="106">
    <w:p w14:paraId="3DCC534C" w14:textId="77777777" w:rsidR="000B2014" w:rsidRPr="005C2179" w:rsidRDefault="000B2014" w:rsidP="00843271">
      <w:pPr>
        <w:pStyle w:val="FootnoteText"/>
      </w:pPr>
      <w:r w:rsidRPr="005C2179">
        <w:rPr>
          <w:rStyle w:val="FootnoteReference"/>
        </w:rPr>
        <w:footnoteRef/>
      </w:r>
      <w:r w:rsidRPr="005C2179">
        <w:t xml:space="preserve"> </w:t>
      </w:r>
      <w:r w:rsidRPr="005C2179">
        <w:rPr>
          <w:spacing w:val="-2"/>
        </w:rPr>
        <w:t xml:space="preserve">Damian Tambini et al, </w:t>
      </w:r>
      <w:r w:rsidRPr="005C2179">
        <w:rPr>
          <w:i/>
          <w:spacing w:val="-2"/>
        </w:rPr>
        <w:t xml:space="preserve">Media Policy Brief 19: The new political campaigning </w:t>
      </w:r>
      <w:r w:rsidRPr="005C2179">
        <w:rPr>
          <w:spacing w:val="-2"/>
        </w:rPr>
        <w:t xml:space="preserve">(London School of Economics, March 2017) at 5. </w:t>
      </w:r>
    </w:p>
  </w:footnote>
  <w:footnote w:id="107">
    <w:p w14:paraId="62A46C77" w14:textId="77E7152B" w:rsidR="000B2014" w:rsidRPr="005C2179" w:rsidRDefault="000B2014" w:rsidP="00843271">
      <w:pPr>
        <w:pStyle w:val="FootnoteText"/>
      </w:pPr>
      <w:r w:rsidRPr="005C2179">
        <w:rPr>
          <w:rStyle w:val="FootnoteReference"/>
        </w:rPr>
        <w:footnoteRef/>
      </w:r>
      <w:r w:rsidRPr="005C2179">
        <w:t xml:space="preserve"> Ewing &amp; Rowbottom (2012) at 81.</w:t>
      </w:r>
    </w:p>
  </w:footnote>
  <w:footnote w:id="108">
    <w:p w14:paraId="58E1F39C" w14:textId="77777777" w:rsidR="000B2014" w:rsidRPr="005C2179" w:rsidRDefault="000B2014" w:rsidP="00843271">
      <w:pPr>
        <w:pStyle w:val="FootnoteText"/>
      </w:pPr>
      <w:r w:rsidRPr="005C2179">
        <w:rPr>
          <w:rStyle w:val="FootnoteReference"/>
        </w:rPr>
        <w:footnoteRef/>
      </w:r>
      <w:r w:rsidRPr="005C2179">
        <w:t xml:space="preserve"> Katelyn Ferral, “One Person, one Algorithm, one vote”, </w:t>
      </w:r>
      <w:r w:rsidRPr="005C2179">
        <w:rPr>
          <w:i/>
        </w:rPr>
        <w:t xml:space="preserve">The Capital Times </w:t>
      </w:r>
      <w:r w:rsidRPr="005C2179">
        <w:t>(4 January 2017) 24.</w:t>
      </w:r>
    </w:p>
  </w:footnote>
  <w:footnote w:id="109">
    <w:p w14:paraId="6F4B9477" w14:textId="0F3988E7" w:rsidR="000B2014" w:rsidRPr="005C2179" w:rsidRDefault="000B2014" w:rsidP="00843271">
      <w:pPr>
        <w:pStyle w:val="FootnoteText"/>
      </w:pPr>
      <w:r w:rsidRPr="005C2179">
        <w:rPr>
          <w:rStyle w:val="FootnoteReference"/>
        </w:rPr>
        <w:footnoteRef/>
      </w:r>
      <w:r w:rsidRPr="005C2179">
        <w:t xml:space="preserve"> Tambini et al (March 2017) at 5.</w:t>
      </w:r>
    </w:p>
  </w:footnote>
  <w:footnote w:id="110">
    <w:p w14:paraId="418B8F8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111">
    <w:p w14:paraId="220E9A2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(Attorney General) v Somerville, </w:t>
      </w:r>
      <w:r w:rsidRPr="005C2179">
        <w:t>1996 ABCA 217 at para 75.</w:t>
      </w:r>
    </w:p>
  </w:footnote>
  <w:footnote w:id="112">
    <w:p w14:paraId="253C3E5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48.</w:t>
      </w:r>
    </w:p>
  </w:footnote>
  <w:footnote w:id="113">
    <w:p w14:paraId="133001E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76.</w:t>
      </w:r>
    </w:p>
  </w:footnote>
  <w:footnote w:id="114">
    <w:p w14:paraId="33C57ED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2004 SCC 33 at para 14.</w:t>
      </w:r>
    </w:p>
  </w:footnote>
  <w:footnote w:id="115">
    <w:p w14:paraId="3A9EDC7C" w14:textId="1700E989" w:rsidR="000B2014" w:rsidRPr="005C2179" w:rsidRDefault="000B2014" w:rsidP="00843271">
      <w:pPr>
        <w:pStyle w:val="FootnoteText"/>
      </w:pPr>
      <w:r w:rsidRPr="005C2179">
        <w:rPr>
          <w:rStyle w:val="FootnoteReference"/>
        </w:rPr>
        <w:footnoteRef/>
      </w:r>
      <w:r w:rsidR="00813C24" w:rsidRPr="005C2179">
        <w:t xml:space="preserve"> Gauja &amp; Orr</w:t>
      </w:r>
      <w:r w:rsidRPr="005C2179">
        <w:t xml:space="preserve"> (2015) at 263.</w:t>
      </w:r>
    </w:p>
  </w:footnote>
  <w:footnote w:id="116">
    <w:p w14:paraId="7B7D629A" w14:textId="79C98136" w:rsidR="000B2014" w:rsidRPr="005C2179" w:rsidRDefault="000B2014" w:rsidP="00843271">
      <w:pPr>
        <w:pStyle w:val="FootnoteText"/>
      </w:pPr>
      <w:r w:rsidRPr="005C2179">
        <w:rPr>
          <w:rStyle w:val="FootnoteReference"/>
        </w:rPr>
        <w:footnoteRef/>
      </w:r>
      <w:r w:rsidR="00813C24" w:rsidRPr="005C2179">
        <w:t xml:space="preserve"> See, e.g., La Raja</w:t>
      </w:r>
      <w:r w:rsidRPr="005C2179">
        <w:t xml:space="preserve"> (2008) at 7; Issacharoff, (November 2010) at 136, 141; dissenting judgement in </w:t>
      </w:r>
      <w:r w:rsidRPr="005C2179">
        <w:rPr>
          <w:i/>
        </w:rPr>
        <w:t xml:space="preserve">Citizens United v FEC, </w:t>
      </w:r>
      <w:r w:rsidRPr="005C2179">
        <w:t xml:space="preserve">588 US 310 (2009).  </w:t>
      </w:r>
    </w:p>
  </w:footnote>
  <w:footnote w:id="117">
    <w:p w14:paraId="143C9AD2" w14:textId="77777777" w:rsidR="000B2014" w:rsidRPr="005C2179" w:rsidRDefault="000B2014" w:rsidP="00843271">
      <w:pPr>
        <w:pStyle w:val="FootnoteText"/>
      </w:pPr>
      <w:r w:rsidRPr="005C2179">
        <w:rPr>
          <w:rStyle w:val="FootnoteReference"/>
        </w:rPr>
        <w:footnoteRef/>
      </w:r>
      <w:r w:rsidRPr="005C2179">
        <w:t xml:space="preserve"> Canada, Royal Commission on Electoral Reform and Party Financing, </w:t>
      </w:r>
      <w:r w:rsidRPr="005C2179">
        <w:rPr>
          <w:i/>
        </w:rPr>
        <w:t xml:space="preserve">Reforming Electoral Democracy: Final Report </w:t>
      </w:r>
      <w:r w:rsidRPr="005C2179">
        <w:t>(Ottawa: Minister of Supply and Services, 1991) vol 1 at 13.</w:t>
      </w:r>
    </w:p>
  </w:footnote>
  <w:footnote w:id="118">
    <w:p w14:paraId="740C1AEA" w14:textId="3CFEECC0" w:rsidR="000B2014" w:rsidRPr="005C2179" w:rsidRDefault="000B2014" w:rsidP="00843271">
      <w:pPr>
        <w:pStyle w:val="FootnoteText"/>
      </w:pPr>
      <w:r w:rsidRPr="005C2179">
        <w:rPr>
          <w:rStyle w:val="FootnoteReference"/>
        </w:rPr>
        <w:footnoteRef/>
      </w:r>
      <w:r w:rsidR="00813C24" w:rsidRPr="005C2179">
        <w:t xml:space="preserve"> Gauja &amp; Orr</w:t>
      </w:r>
      <w:r w:rsidRPr="005C2179">
        <w:t xml:space="preserve"> (2015) at 254.</w:t>
      </w:r>
    </w:p>
  </w:footnote>
  <w:footnote w:id="119">
    <w:p w14:paraId="0F717ECB" w14:textId="7A3CDB85" w:rsidR="000B2014" w:rsidRPr="005C2179" w:rsidRDefault="000B2014" w:rsidP="00843271">
      <w:pPr>
        <w:pStyle w:val="FootnoteText"/>
      </w:pPr>
      <w:r w:rsidRPr="005C2179">
        <w:rPr>
          <w:rStyle w:val="FootnoteReference"/>
        </w:rPr>
        <w:footnoteRef/>
      </w:r>
      <w:r w:rsidR="00813C24" w:rsidRPr="005C2179">
        <w:t xml:space="preserve"> Dwyre</w:t>
      </w:r>
      <w:r w:rsidRPr="005C2179">
        <w:t xml:space="preserve"> (2015) at 35.</w:t>
      </w:r>
    </w:p>
  </w:footnote>
  <w:footnote w:id="120">
    <w:p w14:paraId="1019E7E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53, 57–58.</w:t>
      </w:r>
    </w:p>
  </w:footnote>
  <w:footnote w:id="121">
    <w:p w14:paraId="4CE308B9" w14:textId="77777777" w:rsidR="000B2014" w:rsidRPr="005C2179" w:rsidRDefault="000B2014" w:rsidP="00843271">
      <w:pPr>
        <w:pStyle w:val="FootnoteText"/>
      </w:pPr>
      <w:r w:rsidRPr="005C2179">
        <w:rPr>
          <w:rStyle w:val="FootnoteReference"/>
        </w:rPr>
        <w:footnoteRef/>
      </w:r>
      <w:r w:rsidRPr="005C2179">
        <w:t xml:space="preserve"> Robert G Boatright, “U.S. Interest Groups in a Deregulated Campaign Finance System” in Robert G Boatright, ed, </w:t>
      </w:r>
      <w:r w:rsidRPr="005C2179">
        <w:rPr>
          <w:i/>
        </w:rPr>
        <w:t xml:space="preserve">The Deregulatory Moment? A Comparative Perspective on Changing Campaign Finance Laws </w:t>
      </w:r>
      <w:r w:rsidRPr="005C2179">
        <w:t xml:space="preserve">(University of Michigan Press, 2015) at 99–100. </w:t>
      </w:r>
    </w:p>
  </w:footnote>
  <w:footnote w:id="122">
    <w:p w14:paraId="3CD27FB1" w14:textId="0C8E8A00" w:rsidR="000B2014" w:rsidRPr="005C2179" w:rsidRDefault="000B2014" w:rsidP="00843271">
      <w:pPr>
        <w:pStyle w:val="FootnoteText"/>
      </w:pPr>
      <w:r w:rsidRPr="005C2179">
        <w:rPr>
          <w:rStyle w:val="FootnoteReference"/>
        </w:rPr>
        <w:footnoteRef/>
      </w:r>
      <w:r w:rsidRPr="005C2179">
        <w:t xml:space="preserve"> D</w:t>
      </w:r>
      <w:r w:rsidR="00813C24" w:rsidRPr="005C2179">
        <w:t>wyre</w:t>
      </w:r>
      <w:r w:rsidRPr="005C2179">
        <w:t xml:space="preserve"> (2015) at 53, 57–58.</w:t>
      </w:r>
    </w:p>
  </w:footnote>
  <w:footnote w:id="123">
    <w:p w14:paraId="7279850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124">
    <w:p w14:paraId="3AF0AA84" w14:textId="0C638620" w:rsidR="000B2014" w:rsidRPr="005C2179" w:rsidRDefault="000B2014" w:rsidP="00843271">
      <w:pPr>
        <w:pStyle w:val="FootnoteText"/>
      </w:pPr>
      <w:r w:rsidRPr="005C2179">
        <w:rPr>
          <w:rStyle w:val="FootnoteReference"/>
        </w:rPr>
        <w:footnoteRef/>
      </w:r>
      <w:r w:rsidR="00813C24" w:rsidRPr="005C2179">
        <w:t xml:space="preserve"> Gauja &amp; Orr</w:t>
      </w:r>
      <w:r w:rsidRPr="005C2179">
        <w:t xml:space="preserve"> (2015) at 254. See also Ewing &amp; Rowbottom (2012) at 82.</w:t>
      </w:r>
    </w:p>
  </w:footnote>
  <w:footnote w:id="125">
    <w:p w14:paraId="3DCA6F7B" w14:textId="58FD4AAD" w:rsidR="000B2014" w:rsidRPr="005C2179" w:rsidRDefault="000B2014" w:rsidP="00843271">
      <w:pPr>
        <w:pStyle w:val="FootnoteText"/>
      </w:pPr>
      <w:r w:rsidRPr="005C2179">
        <w:rPr>
          <w:rStyle w:val="FootnoteReference"/>
        </w:rPr>
        <w:footnoteRef/>
      </w:r>
      <w:r w:rsidR="00813C24" w:rsidRPr="005C2179">
        <w:t xml:space="preserve"> Gauja &amp; Orr</w:t>
      </w:r>
      <w:r w:rsidRPr="005C2179">
        <w:t xml:space="preserve"> (2015) at 254.</w:t>
      </w:r>
    </w:p>
  </w:footnote>
  <w:footnote w:id="126">
    <w:p w14:paraId="1A23A03F"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263. </w:t>
      </w:r>
    </w:p>
  </w:footnote>
  <w:footnote w:id="127">
    <w:p w14:paraId="63C74D3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(Attorney General) v Somerville, </w:t>
      </w:r>
      <w:r w:rsidRPr="005C2179">
        <w:t>1996 ABCA 217 at para 65</w:t>
      </w:r>
    </w:p>
  </w:footnote>
  <w:footnote w:id="128">
    <w:p w14:paraId="6FE9A632" w14:textId="77777777" w:rsidR="000B2014" w:rsidRPr="005C2179" w:rsidRDefault="000B2014" w:rsidP="00843271">
      <w:pPr>
        <w:pStyle w:val="FootnoteText"/>
      </w:pPr>
      <w:r w:rsidRPr="005C2179">
        <w:rPr>
          <w:rStyle w:val="FootnoteReference"/>
        </w:rPr>
        <w:footnoteRef/>
      </w:r>
      <w:r w:rsidRPr="005C2179">
        <w:t xml:space="preserve"> See </w:t>
      </w:r>
      <w:r w:rsidRPr="005C2179">
        <w:rPr>
          <w:i/>
        </w:rPr>
        <w:t xml:space="preserve">Buckley v Valeo, </w:t>
      </w:r>
      <w:r w:rsidRPr="005C2179">
        <w:t>424 US 1 (1976)</w:t>
      </w:r>
      <w:r w:rsidRPr="005C2179">
        <w:rPr>
          <w:i/>
        </w:rPr>
        <w:t>, SpeechNow.org v FEC</w:t>
      </w:r>
      <w:r w:rsidRPr="005C2179">
        <w:t>, 599 F (3d) 686 (DC Cir 2010)</w:t>
      </w:r>
      <w:r w:rsidRPr="005C2179">
        <w:rPr>
          <w:i/>
        </w:rPr>
        <w:t xml:space="preserve">, Citizens United v FEC, </w:t>
      </w:r>
      <w:r w:rsidRPr="005C2179">
        <w:t>588 US 310 (2009)</w:t>
      </w:r>
      <w:r w:rsidRPr="005C2179">
        <w:rPr>
          <w:i/>
        </w:rPr>
        <w:t>.</w:t>
      </w:r>
    </w:p>
  </w:footnote>
  <w:footnote w:id="129">
    <w:p w14:paraId="7199B1FD"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(Attorney General) v Somerville, </w:t>
      </w:r>
      <w:r w:rsidRPr="005C2179">
        <w:t>1996 ABCA 217.</w:t>
      </w:r>
    </w:p>
  </w:footnote>
  <w:footnote w:id="130">
    <w:p w14:paraId="304E316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Libman v Quebec (Attorney General)</w:t>
      </w:r>
      <w:r w:rsidRPr="005C2179">
        <w:t xml:space="preserve">, [1997] 3 SCR 569, 151 DLR (4th) 385. </w:t>
      </w:r>
    </w:p>
  </w:footnote>
  <w:footnote w:id="131">
    <w:p w14:paraId="42CAAF1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2004 SCC 33.</w:t>
      </w:r>
    </w:p>
  </w:footnote>
  <w:footnote w:id="132">
    <w:p w14:paraId="74ACABD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Bowman v the United Kingdom </w:t>
      </w:r>
      <w:r w:rsidRPr="005C2179">
        <w:t xml:space="preserve">(1998), No 24839/94, [1998] I ECHR 4.  </w:t>
      </w:r>
    </w:p>
  </w:footnote>
  <w:footnote w:id="133">
    <w:p w14:paraId="1F4891A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Buckley v Valeo, </w:t>
      </w:r>
      <w:r w:rsidRPr="005C2179">
        <w:t>424 US 1 (1976)</w:t>
      </w:r>
      <w:r w:rsidRPr="005C2179">
        <w:rPr>
          <w:i/>
        </w:rPr>
        <w:t>.</w:t>
      </w:r>
    </w:p>
  </w:footnote>
  <w:footnote w:id="134">
    <w:p w14:paraId="3E08589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Austin v Michigan Chamber of Commerce, </w:t>
      </w:r>
      <w:r w:rsidRPr="005C2179">
        <w:t>494 US 652 (1989).</w:t>
      </w:r>
    </w:p>
  </w:footnote>
  <w:footnote w:id="135">
    <w:p w14:paraId="613C213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McConnell v Federal Election Commission, </w:t>
      </w:r>
      <w:r w:rsidRPr="005C2179">
        <w:t>540 US 93 (2003).</w:t>
      </w:r>
    </w:p>
  </w:footnote>
  <w:footnote w:id="136">
    <w:p w14:paraId="5AD29B2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Citizens United v FEC, </w:t>
      </w:r>
      <w:r w:rsidRPr="005C2179">
        <w:t xml:space="preserve">588 US 310 (2009).  </w:t>
      </w:r>
    </w:p>
  </w:footnote>
  <w:footnote w:id="137">
    <w:p w14:paraId="5C965FF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SpeechNow.org v FEC</w:t>
      </w:r>
      <w:r w:rsidRPr="005C2179">
        <w:t>, 599 F (3d) 686 (DC Cir 2010).</w:t>
      </w:r>
    </w:p>
  </w:footnote>
  <w:footnote w:id="138">
    <w:p w14:paraId="0FED3153" w14:textId="77777777" w:rsidR="000B2014" w:rsidRPr="005C2179" w:rsidRDefault="000B2014" w:rsidP="00843271">
      <w:pPr>
        <w:pStyle w:val="FootnoteText"/>
      </w:pPr>
      <w:r w:rsidRPr="005C2179">
        <w:rPr>
          <w:rStyle w:val="FootnoteReference"/>
        </w:rPr>
        <w:footnoteRef/>
      </w:r>
      <w:r w:rsidRPr="005C2179">
        <w:t xml:space="preserve"> Jacob Rowbottom, “Institutional donations to political parties” in Keith D Ewing, Jacob Rowbottom &amp; Joo-Cheong Tham, eds, </w:t>
      </w:r>
      <w:r w:rsidRPr="005C2179">
        <w:rPr>
          <w:i/>
        </w:rPr>
        <w:t xml:space="preserve">The Funding of Political Parties: Where Now? </w:t>
      </w:r>
      <w:r w:rsidRPr="005C2179">
        <w:t>(Routledge, 2012) 11 at 11.</w:t>
      </w:r>
    </w:p>
  </w:footnote>
  <w:footnote w:id="139">
    <w:p w14:paraId="1989EA69" w14:textId="378FE190" w:rsidR="000B2014" w:rsidRPr="005C2179" w:rsidRDefault="000B2014" w:rsidP="00843271">
      <w:pPr>
        <w:pStyle w:val="FootnoteText"/>
      </w:pPr>
      <w:r w:rsidRPr="005C2179">
        <w:rPr>
          <w:rStyle w:val="FootnoteReference"/>
        </w:rPr>
        <w:footnoteRef/>
      </w:r>
      <w:r w:rsidRPr="005C2179">
        <w:t xml:space="preserve"> Hasen (2012) 225; Rowbottom (2012) 11 at 17.</w:t>
      </w:r>
    </w:p>
  </w:footnote>
  <w:footnote w:id="140">
    <w:p w14:paraId="5AF28CE5" w14:textId="2ECFB104" w:rsidR="000B2014" w:rsidRPr="005C2179" w:rsidRDefault="000B2014" w:rsidP="00843271">
      <w:pPr>
        <w:pStyle w:val="FootnoteText"/>
      </w:pPr>
      <w:r w:rsidRPr="005C2179">
        <w:rPr>
          <w:rStyle w:val="FootnoteReference"/>
        </w:rPr>
        <w:footnoteRef/>
      </w:r>
      <w:r w:rsidRPr="005C2179">
        <w:t xml:space="preserve"> Boatright (2015) at 100.</w:t>
      </w:r>
    </w:p>
  </w:footnote>
  <w:footnote w:id="141">
    <w:p w14:paraId="4DE5FBEE" w14:textId="053BE8E7" w:rsidR="000B2014" w:rsidRPr="005C2179" w:rsidRDefault="000B2014" w:rsidP="00AB7C1E">
      <w:pPr>
        <w:pStyle w:val="FootnoteText"/>
      </w:pPr>
      <w:r w:rsidRPr="005C2179">
        <w:rPr>
          <w:rStyle w:val="FootnoteReference"/>
        </w:rPr>
        <w:footnoteRef/>
      </w:r>
      <w:r w:rsidRPr="005C2179">
        <w:t xml:space="preserve"> Rowbottom (2012) 11 at 16.</w:t>
      </w:r>
    </w:p>
  </w:footnote>
  <w:footnote w:id="142">
    <w:p w14:paraId="68D1B5EA"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143">
    <w:p w14:paraId="503CB58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18. </w:t>
      </w:r>
    </w:p>
  </w:footnote>
  <w:footnote w:id="144">
    <w:p w14:paraId="440C44D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Ibid </w:t>
      </w:r>
      <w:r w:rsidRPr="005C2179">
        <w:t xml:space="preserve">at 16. </w:t>
      </w:r>
    </w:p>
  </w:footnote>
  <w:footnote w:id="145">
    <w:p w14:paraId="25B90B2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27. </w:t>
      </w:r>
    </w:p>
  </w:footnote>
  <w:footnote w:id="146">
    <w:p w14:paraId="46ED88FF"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22. Note that corporations are impermissible donors to candidates and parties at the federal level in Canada and are also prohibited from making contributions to candidates at the federal level in the US: see Parts 8.2.1.2(b) and 10.2(b), below. Corporations may, however, engage in third-party campaigning in Canada and the US. For an opposing view on the role of corporations in elections, see the judgement of Kennedy J in </w:t>
      </w:r>
      <w:r w:rsidRPr="005C2179">
        <w:rPr>
          <w:i/>
        </w:rPr>
        <w:t xml:space="preserve">Citizens United v FEC, </w:t>
      </w:r>
      <w:r w:rsidRPr="005C2179">
        <w:t>588 US 310 (2009). At page 364, Kennedy J maintained that, “[o]n certain topics, corporations may possess valuable expertise, leaving them the best equipped to point out errors or fallacies in speech of all sorts”.</w:t>
      </w:r>
    </w:p>
  </w:footnote>
  <w:footnote w:id="147">
    <w:p w14:paraId="21AD7076" w14:textId="57B5ADE8" w:rsidR="000B2014" w:rsidRPr="005C2179" w:rsidRDefault="000B2014" w:rsidP="00843271">
      <w:pPr>
        <w:pStyle w:val="FootnoteText"/>
      </w:pPr>
      <w:r w:rsidRPr="005C2179">
        <w:rPr>
          <w:rStyle w:val="FootnoteReference"/>
        </w:rPr>
        <w:footnoteRef/>
      </w:r>
      <w:r w:rsidRPr="005C2179">
        <w:t xml:space="preserve"> Rowbottom (2012) 11 at 22.</w:t>
      </w:r>
    </w:p>
  </w:footnote>
  <w:footnote w:id="148">
    <w:p w14:paraId="15C01FD5" w14:textId="77777777" w:rsidR="000B2014" w:rsidRPr="005C2179" w:rsidRDefault="000B2014" w:rsidP="00843271">
      <w:pPr>
        <w:pStyle w:val="FootnoteText"/>
      </w:pPr>
      <w:r w:rsidRPr="005C2179">
        <w:rPr>
          <w:rStyle w:val="FootnoteReference"/>
        </w:rPr>
        <w:footnoteRef/>
      </w:r>
      <w:r w:rsidRPr="005C2179">
        <w:rPr>
          <w:i/>
        </w:rPr>
        <w:t xml:space="preserve"> Citizens United v FEC, </w:t>
      </w:r>
      <w:r w:rsidRPr="005C2179">
        <w:t>588 US 310 at 419 (2009).</w:t>
      </w:r>
    </w:p>
  </w:footnote>
  <w:footnote w:id="149">
    <w:p w14:paraId="0691F45E" w14:textId="73EE95FC" w:rsidR="000B2014" w:rsidRPr="005C2179" w:rsidRDefault="000B2014" w:rsidP="00843271">
      <w:pPr>
        <w:pStyle w:val="FootnoteText"/>
      </w:pPr>
      <w:r w:rsidRPr="005C2179">
        <w:rPr>
          <w:rStyle w:val="FootnoteReference"/>
        </w:rPr>
        <w:footnoteRef/>
      </w:r>
      <w:r w:rsidRPr="005C2179">
        <w:t xml:space="preserve"> Rowbottom (2012) 11 at 21.</w:t>
      </w:r>
    </w:p>
  </w:footnote>
  <w:footnote w:id="150">
    <w:p w14:paraId="1FC71B2A" w14:textId="77777777" w:rsidR="000B2014" w:rsidRPr="005C2179" w:rsidRDefault="000B2014" w:rsidP="00241686">
      <w:pPr>
        <w:pStyle w:val="FootnoteText"/>
      </w:pPr>
      <w:r w:rsidRPr="005C2179">
        <w:rPr>
          <w:rStyle w:val="FootnoteReference"/>
        </w:rPr>
        <w:footnoteRef/>
      </w:r>
      <w:r w:rsidRPr="005C2179">
        <w:t xml:space="preserve"> </w:t>
      </w:r>
      <w:r w:rsidRPr="005C2179">
        <w:rPr>
          <w:i/>
        </w:rPr>
        <w:t>Ibid</w:t>
      </w:r>
      <w:r w:rsidRPr="005C2179">
        <w:t>, 11 at 21.</w:t>
      </w:r>
    </w:p>
  </w:footnote>
  <w:footnote w:id="151">
    <w:p w14:paraId="6172BBD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Companies Act 2006, </w:t>
      </w:r>
      <w:r w:rsidRPr="005C2179">
        <w:t xml:space="preserve">c 46, s 366. </w:t>
      </w:r>
    </w:p>
  </w:footnote>
  <w:footnote w:id="152">
    <w:p w14:paraId="099C1EF7"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 367.</w:t>
      </w:r>
    </w:p>
  </w:footnote>
  <w:footnote w:id="153">
    <w:p w14:paraId="455C9BA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368. </w:t>
      </w:r>
    </w:p>
  </w:footnote>
  <w:footnote w:id="154">
    <w:p w14:paraId="0CCB6EA5" w14:textId="2E9E8DD2" w:rsidR="000B2014" w:rsidRPr="005C2179" w:rsidRDefault="000B2014" w:rsidP="00843271">
      <w:pPr>
        <w:pStyle w:val="FootnoteText"/>
      </w:pPr>
      <w:r w:rsidRPr="005C2179">
        <w:rPr>
          <w:rStyle w:val="FootnoteReference"/>
        </w:rPr>
        <w:footnoteRef/>
      </w:r>
      <w:r w:rsidRPr="005C2179">
        <w:t xml:space="preserve"> Rowbottom (2012) 11 at 23.</w:t>
      </w:r>
    </w:p>
  </w:footnote>
  <w:footnote w:id="155">
    <w:p w14:paraId="73606CC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156">
    <w:p w14:paraId="553A2160" w14:textId="674E7A1B" w:rsidR="000B2014" w:rsidRPr="005C2179" w:rsidRDefault="000B2014" w:rsidP="00843271">
      <w:pPr>
        <w:pStyle w:val="FootnoteText"/>
      </w:pPr>
      <w:r w:rsidRPr="005C2179">
        <w:rPr>
          <w:rStyle w:val="FootnoteReference"/>
        </w:rPr>
        <w:footnoteRef/>
      </w:r>
      <w:r w:rsidRPr="005C2179">
        <w:t xml:space="preserve"> Issacharoff (November 2010) at 130.</w:t>
      </w:r>
    </w:p>
  </w:footnote>
  <w:footnote w:id="157">
    <w:p w14:paraId="321F4F4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158">
    <w:p w14:paraId="7631CDE7" w14:textId="1F18D155" w:rsidR="000B2014" w:rsidRPr="005C2179" w:rsidRDefault="000B2014" w:rsidP="00843271">
      <w:pPr>
        <w:pStyle w:val="FootnoteText"/>
      </w:pPr>
      <w:r w:rsidRPr="005C2179">
        <w:rPr>
          <w:rStyle w:val="FootnoteReference"/>
        </w:rPr>
        <w:footnoteRef/>
      </w:r>
      <w:r w:rsidRPr="005C2179">
        <w:t xml:space="preserve"> Boatright (2015) at 71.</w:t>
      </w:r>
    </w:p>
  </w:footnote>
  <w:footnote w:id="159">
    <w:p w14:paraId="6FB5191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160">
    <w:p w14:paraId="118F8EA6" w14:textId="13D36A94" w:rsidR="000B2014" w:rsidRPr="005C2179" w:rsidRDefault="000B2014" w:rsidP="00843271">
      <w:pPr>
        <w:pStyle w:val="FootnoteText"/>
      </w:pPr>
      <w:r w:rsidRPr="005C2179">
        <w:rPr>
          <w:rStyle w:val="FootnoteReference"/>
        </w:rPr>
        <w:footnoteRef/>
      </w:r>
      <w:r w:rsidR="00813C24" w:rsidRPr="005C2179">
        <w:t xml:space="preserve"> Issacharoff</w:t>
      </w:r>
      <w:r w:rsidRPr="005C2179">
        <w:t xml:space="preserve"> (November 2010) at 130.</w:t>
      </w:r>
    </w:p>
  </w:footnote>
  <w:footnote w:id="161">
    <w:p w14:paraId="4B603851" w14:textId="20D7EB49" w:rsidR="000B2014" w:rsidRPr="005C2179" w:rsidRDefault="000B2014" w:rsidP="00843271">
      <w:pPr>
        <w:pStyle w:val="FootnoteText"/>
      </w:pPr>
      <w:r w:rsidRPr="005C2179">
        <w:rPr>
          <w:rStyle w:val="FootnoteReference"/>
        </w:rPr>
        <w:footnoteRef/>
      </w:r>
      <w:r w:rsidR="00813C24" w:rsidRPr="005C2179">
        <w:t xml:space="preserve"> Dwyre</w:t>
      </w:r>
      <w:r w:rsidRPr="005C2179">
        <w:t xml:space="preserve"> (2015) at 55.</w:t>
      </w:r>
    </w:p>
  </w:footnote>
  <w:footnote w:id="162">
    <w:p w14:paraId="455D563D" w14:textId="0D382A06" w:rsidR="000B2014" w:rsidRPr="005C2179" w:rsidRDefault="000B2014" w:rsidP="00843271">
      <w:pPr>
        <w:pStyle w:val="FootnoteText"/>
      </w:pPr>
      <w:r w:rsidRPr="005C2179">
        <w:rPr>
          <w:rStyle w:val="FootnoteReference"/>
        </w:rPr>
        <w:footnoteRef/>
      </w:r>
      <w:r w:rsidR="00813C24" w:rsidRPr="005C2179">
        <w:t xml:space="preserve"> Issacharoff</w:t>
      </w:r>
      <w:r w:rsidRPr="005C2179">
        <w:t xml:space="preserve"> (November 2010) at 131.</w:t>
      </w:r>
    </w:p>
  </w:footnote>
  <w:footnote w:id="163">
    <w:p w14:paraId="28C241B2" w14:textId="4493F1B4" w:rsidR="000B2014" w:rsidRPr="005C2179" w:rsidRDefault="000B2014" w:rsidP="00843271">
      <w:pPr>
        <w:pStyle w:val="FootnoteText"/>
      </w:pPr>
      <w:r w:rsidRPr="005C2179">
        <w:rPr>
          <w:rStyle w:val="FootnoteReference"/>
        </w:rPr>
        <w:footnoteRef/>
      </w:r>
      <w:r w:rsidRPr="005C2179">
        <w:t xml:space="preserve"> According to Gauja and Orr, labour unions are the most active third-party campaigners in the UK, Canada, New Zealand, and Australia: Gauja &amp; Orr, (2015) at 268.</w:t>
      </w:r>
    </w:p>
  </w:footnote>
  <w:footnote w:id="164">
    <w:p w14:paraId="3F5F13D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Citizens United v FEC, </w:t>
      </w:r>
      <w:r w:rsidRPr="005C2179">
        <w:t xml:space="preserve">588 US 310 at 412 (2009). </w:t>
      </w:r>
    </w:p>
  </w:footnote>
  <w:footnote w:id="165">
    <w:p w14:paraId="3D891891" w14:textId="77777777" w:rsidR="000B2014" w:rsidRPr="005C2179" w:rsidRDefault="000B2014" w:rsidP="00843271">
      <w:pPr>
        <w:pStyle w:val="FootnoteText"/>
      </w:pPr>
      <w:r w:rsidRPr="005C2179">
        <w:rPr>
          <w:rStyle w:val="FootnoteReference"/>
        </w:rPr>
        <w:footnoteRef/>
      </w:r>
      <w:r w:rsidRPr="005C2179">
        <w:t xml:space="preserve"> Keith D Ewing, “The Trade Union Question in British Political Funding” in Keith D Ewing, Jacob Rowbottom &amp; Joo-Cheong Tham, eds, </w:t>
      </w:r>
      <w:r w:rsidRPr="005C2179">
        <w:rPr>
          <w:i/>
        </w:rPr>
        <w:t xml:space="preserve">The Funding of Political Parties: Where Now? </w:t>
      </w:r>
      <w:r w:rsidRPr="005C2179">
        <w:t>(Routledge, 2012) at 72.</w:t>
      </w:r>
    </w:p>
  </w:footnote>
  <w:footnote w:id="166">
    <w:p w14:paraId="4F80370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p>
  </w:footnote>
  <w:footnote w:id="167">
    <w:p w14:paraId="04CB3ABF" w14:textId="339948CB" w:rsidR="000B2014" w:rsidRPr="005C2179" w:rsidRDefault="000B2014" w:rsidP="00843271">
      <w:pPr>
        <w:pStyle w:val="FootnoteText"/>
      </w:pPr>
      <w:r w:rsidRPr="005C2179">
        <w:rPr>
          <w:rStyle w:val="FootnoteReference"/>
        </w:rPr>
        <w:footnoteRef/>
      </w:r>
      <w:r w:rsidR="00813C24" w:rsidRPr="005C2179">
        <w:t xml:space="preserve"> Rowbottom</w:t>
      </w:r>
      <w:r w:rsidRPr="005C2179">
        <w:t xml:space="preserve"> (2012) 11 at 24.</w:t>
      </w:r>
    </w:p>
  </w:footnote>
  <w:footnote w:id="168">
    <w:p w14:paraId="03995DE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25. </w:t>
      </w:r>
    </w:p>
  </w:footnote>
  <w:footnote w:id="169">
    <w:p w14:paraId="2DB3EFF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23. </w:t>
      </w:r>
    </w:p>
  </w:footnote>
  <w:footnote w:id="170">
    <w:p w14:paraId="6B0A6F8F"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171">
    <w:p w14:paraId="0A66B91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172">
    <w:p w14:paraId="21D654E2" w14:textId="701DDEE8" w:rsidR="000B2014" w:rsidRPr="005C2179" w:rsidRDefault="000B2014" w:rsidP="00843271">
      <w:pPr>
        <w:pStyle w:val="FootnoteText"/>
      </w:pPr>
      <w:r w:rsidRPr="005C2179">
        <w:rPr>
          <w:rStyle w:val="FootnoteReference"/>
        </w:rPr>
        <w:footnoteRef/>
      </w:r>
      <w:r w:rsidR="00813C24" w:rsidRPr="005C2179">
        <w:t xml:space="preserve"> Gauja &amp; Orr</w:t>
      </w:r>
      <w:r w:rsidRPr="005C2179">
        <w:t xml:space="preserve"> (2015) at 268.</w:t>
      </w:r>
    </w:p>
  </w:footnote>
  <w:footnote w:id="173">
    <w:p w14:paraId="3683332D" w14:textId="746B9A90" w:rsidR="000B2014" w:rsidRPr="005C2179" w:rsidRDefault="000B2014" w:rsidP="00843271">
      <w:pPr>
        <w:pStyle w:val="FootnoteText"/>
      </w:pPr>
      <w:r w:rsidRPr="005C2179">
        <w:rPr>
          <w:rStyle w:val="FootnoteReference"/>
        </w:rPr>
        <w:footnoteRef/>
      </w:r>
      <w:r w:rsidR="00813C24" w:rsidRPr="005C2179">
        <w:t xml:space="preserve"> Ewing &amp; Rowbottom</w:t>
      </w:r>
      <w:r w:rsidRPr="005C2179">
        <w:t xml:space="preserve"> (2012) at 82, 88.</w:t>
      </w:r>
    </w:p>
  </w:footnote>
  <w:footnote w:id="174">
    <w:p w14:paraId="624F0D5A" w14:textId="4B56D0C5" w:rsidR="000B2014" w:rsidRPr="005C2179" w:rsidRDefault="000B2014" w:rsidP="00843271">
      <w:pPr>
        <w:pStyle w:val="FootnoteText"/>
      </w:pPr>
      <w:r w:rsidRPr="005C2179">
        <w:rPr>
          <w:rStyle w:val="FootnoteReference"/>
        </w:rPr>
        <w:footnoteRef/>
      </w:r>
      <w:r w:rsidR="00813C24" w:rsidRPr="005C2179">
        <w:t xml:space="preserve"> Feasby</w:t>
      </w:r>
      <w:r w:rsidRPr="005C2179">
        <w:t xml:space="preserve"> (2012) 206 at 212.</w:t>
      </w:r>
    </w:p>
  </w:footnote>
  <w:footnote w:id="175">
    <w:p w14:paraId="0DC024E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176">
    <w:p w14:paraId="1F54079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177">
    <w:p w14:paraId="75B3C747" w14:textId="73B2F456" w:rsidR="000B2014" w:rsidRPr="005C2179" w:rsidRDefault="000B2014" w:rsidP="00843271">
      <w:pPr>
        <w:pStyle w:val="FootnoteText"/>
      </w:pPr>
      <w:r w:rsidRPr="005C2179">
        <w:rPr>
          <w:rStyle w:val="FootnoteReference"/>
        </w:rPr>
        <w:footnoteRef/>
      </w:r>
      <w:r w:rsidRPr="005C2179">
        <w:t xml:space="preserve"> The top ten spenders were mainly labour unions: Joan Bryden, “Third Parties spent $6-million to influence 2015 election” </w:t>
      </w:r>
      <w:r w:rsidRPr="005C2179">
        <w:rPr>
          <w:i/>
        </w:rPr>
        <w:t xml:space="preserve">The Globe and Mail </w:t>
      </w:r>
      <w:r w:rsidRPr="005C2179">
        <w:t>(1 April 2016), online: &lt;</w:t>
      </w:r>
      <w:hyperlink r:id="rId5" w:history="1">
        <w:r w:rsidR="002935A5" w:rsidRPr="00371F06">
          <w:rPr>
            <w:rStyle w:val="Hyperlink"/>
          </w:rPr>
          <w:t>http://www.theglobeandmail.com/</w:t>
        </w:r>
        <w:r w:rsidR="002935A5" w:rsidRPr="00371F06">
          <w:rPr>
            <w:rStyle w:val="Hyperlink"/>
          </w:rPr>
          <w:br/>
          <w:t>news/politics/third-parties-spent-6-million-to-influence-2015-vote/article29491009/</w:t>
        </w:r>
      </w:hyperlink>
      <w:r w:rsidRPr="005C2179">
        <w:t xml:space="preserve">&gt;. </w:t>
      </w:r>
    </w:p>
  </w:footnote>
  <w:footnote w:id="178">
    <w:p w14:paraId="0CF0DB11" w14:textId="77777777" w:rsidR="000B2014" w:rsidRPr="005C2179" w:rsidRDefault="000B2014" w:rsidP="00843271">
      <w:pPr>
        <w:pStyle w:val="FootnoteText"/>
      </w:pPr>
      <w:r w:rsidRPr="005C2179">
        <w:rPr>
          <w:rStyle w:val="FootnoteReference"/>
        </w:rPr>
        <w:footnoteRef/>
      </w:r>
      <w:r w:rsidRPr="005C2179">
        <w:t xml:space="preserve"> Andrea Lawlor &amp; Erin Crandall, “Understanding third party advertising: An analysis of the 2004, 2006 and 2008 Canadian elections” (December 2011) 54:4 Cdn Pub Pol’y 509 at 509. </w:t>
      </w:r>
    </w:p>
  </w:footnote>
  <w:footnote w:id="179">
    <w:p w14:paraId="0F10E0CA"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527. </w:t>
      </w:r>
    </w:p>
  </w:footnote>
  <w:footnote w:id="180">
    <w:p w14:paraId="158C4F0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526.</w:t>
      </w:r>
    </w:p>
  </w:footnote>
  <w:footnote w:id="181">
    <w:p w14:paraId="42C13289" w14:textId="77777777" w:rsidR="000B2014" w:rsidRPr="005C2179" w:rsidRDefault="000B2014" w:rsidP="00843271">
      <w:pPr>
        <w:pStyle w:val="FootnoteText"/>
      </w:pPr>
      <w:r w:rsidRPr="005C2179">
        <w:rPr>
          <w:rStyle w:val="FootnoteReference"/>
        </w:rPr>
        <w:footnoteRef/>
      </w:r>
      <w:r w:rsidRPr="005C2179">
        <w:t xml:space="preserve"> Desmond Morton, “Should Elections be Fair or Just Free?” in David Schneiderman, ed, </w:t>
      </w:r>
      <w:r w:rsidRPr="005C2179">
        <w:rPr>
          <w:i/>
        </w:rPr>
        <w:t xml:space="preserve">Freedom of Expression and the Charter </w:t>
      </w:r>
      <w:r w:rsidRPr="005C2179">
        <w:t>(Thomson Professional Publishing Canada, 1991) 460 at 463.</w:t>
      </w:r>
    </w:p>
  </w:footnote>
  <w:footnote w:id="182">
    <w:p w14:paraId="08BC8DEF" w14:textId="77777777" w:rsidR="000B2014" w:rsidRPr="005C2179" w:rsidRDefault="000B2014" w:rsidP="00843271">
      <w:pPr>
        <w:pStyle w:val="FootnoteText"/>
      </w:pPr>
      <w:r w:rsidRPr="005C2179">
        <w:rPr>
          <w:rStyle w:val="FootnoteReference"/>
        </w:rPr>
        <w:footnoteRef/>
      </w:r>
      <w:r w:rsidRPr="005C2179">
        <w:t xml:space="preserve"> Canada, Royal Commission on Electoral Reform and Party Financing, </w:t>
      </w:r>
      <w:r w:rsidRPr="005C2179">
        <w:rPr>
          <w:i/>
        </w:rPr>
        <w:t xml:space="preserve">Reforming Electoral Democracy: Final Report </w:t>
      </w:r>
      <w:r w:rsidRPr="005C2179">
        <w:t>(Ottawa: Minister of Supply and Services, 1991) at 337.</w:t>
      </w:r>
    </w:p>
  </w:footnote>
  <w:footnote w:id="183">
    <w:p w14:paraId="449DCD5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Libman v Quebec (Attorney General)</w:t>
      </w:r>
      <w:r w:rsidRPr="005C2179">
        <w:t>, [1997] 3 SCR 569, 151 DLR (4th) 385 at para 51.</w:t>
      </w:r>
    </w:p>
  </w:footnote>
  <w:footnote w:id="184">
    <w:p w14:paraId="707D90F8" w14:textId="77777777" w:rsidR="000B2014" w:rsidRPr="005C2179" w:rsidRDefault="000B2014" w:rsidP="00241686">
      <w:pPr>
        <w:pStyle w:val="FootnoteText"/>
      </w:pPr>
      <w:r w:rsidRPr="005C2179">
        <w:rPr>
          <w:rStyle w:val="FootnoteReference"/>
        </w:rPr>
        <w:footnoteRef/>
      </w:r>
      <w:r w:rsidRPr="005C2179">
        <w:t xml:space="preserve"> </w:t>
      </w:r>
      <w:r w:rsidRPr="005C2179">
        <w:rPr>
          <w:i/>
        </w:rPr>
        <w:t>United Nations Convention against Corruption</w:t>
      </w:r>
      <w:r w:rsidRPr="005C2179">
        <w:t>, 31 October 2003, 2349 UNTS 41 (entered into force 13 December 2005).</w:t>
      </w:r>
    </w:p>
  </w:footnote>
  <w:footnote w:id="185">
    <w:p w14:paraId="16BF8BF0" w14:textId="77777777" w:rsidR="000B2014" w:rsidRPr="005C2179" w:rsidRDefault="000B2014" w:rsidP="00843271">
      <w:pPr>
        <w:pStyle w:val="FootnoteText"/>
      </w:pPr>
      <w:r w:rsidRPr="005C2179">
        <w:rPr>
          <w:rStyle w:val="FootnoteReference"/>
        </w:rPr>
        <w:footnoteRef/>
      </w:r>
      <w:r w:rsidRPr="005C2179">
        <w:t xml:space="preserve"> OECD, </w:t>
      </w:r>
      <w:r w:rsidRPr="005C2179">
        <w:rPr>
          <w:i/>
        </w:rPr>
        <w:t>Guidelines for Multinational Enterprises</w:t>
      </w:r>
      <w:r w:rsidRPr="005C2179">
        <w:t xml:space="preserve"> (OECD, 2011) at 48, online: &lt;</w:t>
      </w:r>
      <w:hyperlink r:id="rId6" w:history="1">
        <w:r w:rsidRPr="005C2179">
          <w:rPr>
            <w:rStyle w:val="Hyperlink"/>
          </w:rPr>
          <w:t>http://mneguidelines.oecd.org/guidelines/</w:t>
        </w:r>
      </w:hyperlink>
      <w:r w:rsidRPr="005C2179">
        <w:t>&gt;.</w:t>
      </w:r>
    </w:p>
  </w:footnote>
  <w:footnote w:id="186">
    <w:p w14:paraId="4D682192" w14:textId="7F12CF1A" w:rsidR="000B2014" w:rsidRPr="005C2179" w:rsidRDefault="000B2014" w:rsidP="00843271">
      <w:pPr>
        <w:pStyle w:val="FootnoteText"/>
      </w:pPr>
      <w:r w:rsidRPr="005C2179">
        <w:rPr>
          <w:rStyle w:val="FootnoteReference"/>
        </w:rPr>
        <w:footnoteRef/>
      </w:r>
      <w:r w:rsidRPr="005C2179">
        <w:t xml:space="preserve"> OECD, </w:t>
      </w:r>
      <w:r w:rsidRPr="005C2179">
        <w:rPr>
          <w:i/>
        </w:rPr>
        <w:t>Recommendation for Further Combating Bribery of Foreign Public Officials in International Business Transactions</w:t>
      </w:r>
      <w:r w:rsidRPr="005C2179">
        <w:t>, Annex II: Good Practice Guidance on Internal Controls, Ethics, and Compliance (OECD, 2010), online: &lt;</w:t>
      </w:r>
      <w:hyperlink r:id="rId7" w:history="1">
        <w:r w:rsidR="003F08B3" w:rsidRPr="00371F06">
          <w:rPr>
            <w:rStyle w:val="Hyperlink"/>
          </w:rPr>
          <w:t>http://www.oecd.org/investment/anti-bribery/anti-briberyconvention/</w:t>
        </w:r>
        <w:r w:rsidR="003F08B3" w:rsidRPr="00371F06">
          <w:rPr>
            <w:rStyle w:val="Hyperlink"/>
          </w:rPr>
          <w:br/>
          <w:t>44884389.pdf</w:t>
        </w:r>
      </w:hyperlink>
      <w:r w:rsidRPr="005C2179">
        <w:t xml:space="preserve">&gt;. </w:t>
      </w:r>
    </w:p>
  </w:footnote>
  <w:footnote w:id="187">
    <w:p w14:paraId="2EDCBE66" w14:textId="1C250D02" w:rsidR="000B2014" w:rsidRPr="005C2179" w:rsidRDefault="000B2014" w:rsidP="00843271">
      <w:pPr>
        <w:pStyle w:val="FootnoteText"/>
      </w:pPr>
      <w:r w:rsidRPr="005C2179">
        <w:rPr>
          <w:rStyle w:val="FootnoteReference"/>
        </w:rPr>
        <w:footnoteRef/>
      </w:r>
      <w:r w:rsidR="00813C24" w:rsidRPr="005C2179">
        <w:t xml:space="preserve"> OECD</w:t>
      </w:r>
      <w:r w:rsidRPr="005C2179">
        <w:t xml:space="preserve"> (2016).</w:t>
      </w:r>
    </w:p>
  </w:footnote>
  <w:footnote w:id="188">
    <w:p w14:paraId="6581192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Ibid </w:t>
      </w:r>
      <w:r w:rsidRPr="005C2179">
        <w:t>at 65.</w:t>
      </w:r>
    </w:p>
  </w:footnote>
  <w:footnote w:id="189">
    <w:p w14:paraId="24AF060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Ibid </w:t>
      </w:r>
      <w:r w:rsidRPr="005C2179">
        <w:t>at 30.</w:t>
      </w:r>
    </w:p>
  </w:footnote>
  <w:footnote w:id="190">
    <w:p w14:paraId="6986DCA2" w14:textId="77777777" w:rsidR="000B2014" w:rsidRPr="005C2179" w:rsidRDefault="000B2014" w:rsidP="00843271">
      <w:pPr>
        <w:pStyle w:val="FootnoteText"/>
        <w:rPr>
          <w:i/>
        </w:rPr>
      </w:pPr>
      <w:r w:rsidRPr="005C2179">
        <w:rPr>
          <w:rStyle w:val="FootnoteReference"/>
        </w:rPr>
        <w:footnoteRef/>
      </w:r>
      <w:r w:rsidRPr="005C2179">
        <w:t xml:space="preserve"> </w:t>
      </w:r>
      <w:r w:rsidRPr="005C2179">
        <w:rPr>
          <w:i/>
        </w:rPr>
        <w:t>Ibid.</w:t>
      </w:r>
    </w:p>
  </w:footnote>
  <w:footnote w:id="191">
    <w:p w14:paraId="75CB257D" w14:textId="77777777" w:rsidR="000B2014" w:rsidRPr="005C2179" w:rsidRDefault="000B2014" w:rsidP="00843271">
      <w:pPr>
        <w:pStyle w:val="FootnoteText"/>
        <w:rPr>
          <w:i/>
        </w:rPr>
      </w:pPr>
      <w:r w:rsidRPr="005C2179">
        <w:rPr>
          <w:rStyle w:val="FootnoteReference"/>
        </w:rPr>
        <w:footnoteRef/>
      </w:r>
      <w:r w:rsidRPr="005C2179">
        <w:t xml:space="preserve"> </w:t>
      </w:r>
      <w:r w:rsidRPr="005C2179">
        <w:rPr>
          <w:i/>
        </w:rPr>
        <w:t>Ibid.</w:t>
      </w:r>
    </w:p>
  </w:footnote>
  <w:footnote w:id="192">
    <w:p w14:paraId="0D6A292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Ibid </w:t>
      </w:r>
      <w:r w:rsidRPr="005C2179">
        <w:t xml:space="preserve">at 31. </w:t>
      </w:r>
    </w:p>
  </w:footnote>
  <w:footnote w:id="193">
    <w:p w14:paraId="260AC30F" w14:textId="2EC17C6B" w:rsidR="000B2014" w:rsidRPr="005C2179" w:rsidRDefault="000B2014" w:rsidP="00016158">
      <w:pPr>
        <w:pStyle w:val="FootnoteText"/>
      </w:pPr>
      <w:r w:rsidRPr="005C2179">
        <w:rPr>
          <w:rStyle w:val="FootnoteReference"/>
        </w:rPr>
        <w:footnoteRef/>
      </w:r>
      <w:r w:rsidRPr="005C2179">
        <w:t xml:space="preserve"> Dwyre notes that recent rulings and regulations made by the Federal Election Commission have contributed further to the </w:t>
      </w:r>
      <w:r w:rsidR="00813C24" w:rsidRPr="005C2179">
        <w:t>relaxation of regulation: Dwyre</w:t>
      </w:r>
      <w:r w:rsidRPr="005C2179">
        <w:t xml:space="preserve"> (2015) at 35.</w:t>
      </w:r>
    </w:p>
  </w:footnote>
  <w:footnote w:id="194">
    <w:p w14:paraId="05E9E474" w14:textId="334E4FF8" w:rsidR="000B2014" w:rsidRPr="005C2179" w:rsidRDefault="000B2014" w:rsidP="00016158">
      <w:pPr>
        <w:pStyle w:val="FootnoteText"/>
      </w:pPr>
      <w:r w:rsidRPr="005C2179">
        <w:rPr>
          <w:rStyle w:val="FootnoteReference"/>
        </w:rPr>
        <w:footnoteRef/>
      </w:r>
      <w:r w:rsidR="00813C24" w:rsidRPr="005C2179">
        <w:t xml:space="preserve"> Boatright</w:t>
      </w:r>
      <w:r w:rsidRPr="005C2179">
        <w:t xml:space="preserve"> (2015) at 71.</w:t>
      </w:r>
    </w:p>
  </w:footnote>
  <w:footnote w:id="195">
    <w:p w14:paraId="78EDECF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196">
    <w:p w14:paraId="5AA97E40" w14:textId="29FA8E00" w:rsidR="000B2014" w:rsidRPr="005C2179" w:rsidRDefault="000B2014" w:rsidP="00016158">
      <w:pPr>
        <w:pStyle w:val="FootnoteText"/>
      </w:pPr>
      <w:r w:rsidRPr="005C2179">
        <w:rPr>
          <w:rStyle w:val="FootnoteReference"/>
        </w:rPr>
        <w:footnoteRef/>
      </w:r>
      <w:r w:rsidRPr="005C2179">
        <w:t xml:space="preserve"> See </w:t>
      </w:r>
      <w:r w:rsidRPr="005C2179">
        <w:rPr>
          <w:highlight w:val="cyan"/>
        </w:rPr>
        <w:t>Section 8.3</w:t>
      </w:r>
      <w:r w:rsidRPr="005C2179">
        <w:t>, below.</w:t>
      </w:r>
    </w:p>
  </w:footnote>
  <w:footnote w:id="197">
    <w:p w14:paraId="335D3D16" w14:textId="77777777" w:rsidR="000B2014" w:rsidRPr="005C2179" w:rsidRDefault="000B2014" w:rsidP="00016158">
      <w:pPr>
        <w:pStyle w:val="FootnoteText"/>
      </w:pPr>
      <w:r w:rsidRPr="005C2179">
        <w:rPr>
          <w:rStyle w:val="FootnoteReference"/>
        </w:rPr>
        <w:footnoteRef/>
      </w:r>
      <w:r w:rsidRPr="005C2179">
        <w:t xml:space="preserve"> US Const amend I. </w:t>
      </w:r>
    </w:p>
  </w:footnote>
  <w:footnote w:id="198">
    <w:p w14:paraId="1AFD34AF" w14:textId="65A988B2" w:rsidR="000B2014" w:rsidRPr="005C2179" w:rsidRDefault="000B2014" w:rsidP="00016158">
      <w:pPr>
        <w:pStyle w:val="FootnoteText"/>
      </w:pPr>
      <w:r w:rsidRPr="005C2179">
        <w:rPr>
          <w:rStyle w:val="FootnoteReference"/>
        </w:rPr>
        <w:footnoteRef/>
      </w:r>
      <w:r w:rsidR="00813C24" w:rsidRPr="005C2179">
        <w:t xml:space="preserve"> Barendt</w:t>
      </w:r>
      <w:r w:rsidRPr="005C2179">
        <w:t xml:space="preserve"> (2005) at 154. See also </w:t>
      </w:r>
      <w:r w:rsidRPr="005C2179">
        <w:rPr>
          <w:i/>
        </w:rPr>
        <w:t xml:space="preserve">Buckley v Valeo, </w:t>
      </w:r>
      <w:r w:rsidRPr="005C2179">
        <w:t>424 US 1 at 14 (1976).</w:t>
      </w:r>
    </w:p>
  </w:footnote>
  <w:footnote w:id="199">
    <w:p w14:paraId="7EDAE02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Citizens United v FEC</w:t>
      </w:r>
      <w:r w:rsidRPr="005C2179">
        <w:t xml:space="preserve">, 588 US 310 at 340 (2010), quoting </w:t>
      </w:r>
      <w:r w:rsidRPr="005C2179">
        <w:rPr>
          <w:i/>
        </w:rPr>
        <w:t xml:space="preserve">FEC v Wisconsin Right to Life, </w:t>
      </w:r>
      <w:r w:rsidRPr="005C2179">
        <w:t>551 US 449 at 464 (2007). See also Deborah A Roy, “The Narrowing Government Interest in Campaign Finance Regulations: Republic Lost?” (Fall 2015) 46:1 U Mem L Rev 1.</w:t>
      </w:r>
    </w:p>
  </w:footnote>
  <w:footnote w:id="200">
    <w:p w14:paraId="2DD75746" w14:textId="77777777" w:rsidR="000B2014" w:rsidRPr="005C2179" w:rsidRDefault="000B2014" w:rsidP="00016158">
      <w:pPr>
        <w:pStyle w:val="FootnoteText"/>
        <w:rPr>
          <w:i/>
        </w:rPr>
      </w:pPr>
      <w:r w:rsidRPr="005C2179">
        <w:rPr>
          <w:rStyle w:val="FootnoteReference"/>
        </w:rPr>
        <w:footnoteRef/>
      </w:r>
      <w:r w:rsidRPr="005C2179">
        <w:t xml:space="preserve"> See, e.g., </w:t>
      </w:r>
      <w:r w:rsidRPr="005C2179">
        <w:rPr>
          <w:i/>
        </w:rPr>
        <w:t xml:space="preserve">Buckley v Valeo, </w:t>
      </w:r>
      <w:r w:rsidRPr="005C2179">
        <w:t>424 US 1 (1976).</w:t>
      </w:r>
    </w:p>
  </w:footnote>
  <w:footnote w:id="201">
    <w:p w14:paraId="393BD6FF" w14:textId="77777777" w:rsidR="000B2014" w:rsidRPr="005C2179" w:rsidRDefault="000B2014" w:rsidP="00016158">
      <w:pPr>
        <w:pStyle w:val="FootnoteText"/>
      </w:pPr>
      <w:r w:rsidRPr="005C2179">
        <w:rPr>
          <w:rStyle w:val="FootnoteReference"/>
        </w:rPr>
        <w:footnoteRef/>
      </w:r>
      <w:r w:rsidRPr="005C2179">
        <w:t xml:space="preserve"> See, e.g., </w:t>
      </w:r>
      <w:r w:rsidRPr="005C2179">
        <w:rPr>
          <w:i/>
        </w:rPr>
        <w:t>Citizens United v FEC</w:t>
      </w:r>
      <w:r w:rsidRPr="005C2179">
        <w:t>, 588 US 310 (2010).</w:t>
      </w:r>
    </w:p>
  </w:footnote>
  <w:footnote w:id="202">
    <w:p w14:paraId="47B3C1D0" w14:textId="77777777" w:rsidR="000B2014" w:rsidRPr="005C2179" w:rsidRDefault="000B2014" w:rsidP="00016158">
      <w:pPr>
        <w:pStyle w:val="FootnoteText"/>
        <w:rPr>
          <w:i/>
        </w:rPr>
      </w:pPr>
      <w:r w:rsidRPr="005C2179">
        <w:rPr>
          <w:rStyle w:val="FootnoteReference"/>
        </w:rPr>
        <w:footnoteRef/>
      </w:r>
      <w:r w:rsidRPr="005C2179">
        <w:t xml:space="preserve"> </w:t>
      </w:r>
      <w:r w:rsidRPr="005C2179">
        <w:rPr>
          <w:i/>
        </w:rPr>
        <w:t>Ibid.</w:t>
      </w:r>
    </w:p>
  </w:footnote>
  <w:footnote w:id="203">
    <w:p w14:paraId="561F25D9" w14:textId="77777777" w:rsidR="000B2014" w:rsidRPr="005C2179" w:rsidRDefault="000B2014" w:rsidP="00016158">
      <w:pPr>
        <w:pStyle w:val="FootnoteText"/>
      </w:pPr>
      <w:r w:rsidRPr="005C2179">
        <w:rPr>
          <w:rStyle w:val="FootnoteReference"/>
        </w:rPr>
        <w:footnoteRef/>
      </w:r>
      <w:r w:rsidRPr="005C2179">
        <w:t xml:space="preserve"> Michael S Kang, “The Brave New World of Party Campaign Finance Law” (2016) 101:3 Cornell L Rev 531 at 534. </w:t>
      </w:r>
    </w:p>
  </w:footnote>
  <w:footnote w:id="204">
    <w:p w14:paraId="03FBD52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Citizens United v FEC, </w:t>
      </w:r>
      <w:r w:rsidRPr="005C2179">
        <w:t>588 US 310 at 340 (2009).</w:t>
      </w:r>
    </w:p>
  </w:footnote>
  <w:footnote w:id="205">
    <w:p w14:paraId="6F2CA1B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Ibid </w:t>
      </w:r>
      <w:r w:rsidRPr="005C2179">
        <w:t>at 341.</w:t>
      </w:r>
    </w:p>
  </w:footnote>
  <w:footnote w:id="206">
    <w:p w14:paraId="1E44C8F1" w14:textId="77777777" w:rsidR="000B2014" w:rsidRPr="005C2179" w:rsidRDefault="000B2014" w:rsidP="00016158">
      <w:pPr>
        <w:pStyle w:val="FootnoteText"/>
      </w:pPr>
      <w:r w:rsidRPr="005C2179">
        <w:rPr>
          <w:rStyle w:val="FootnoteReference"/>
        </w:rPr>
        <w:footnoteRef/>
      </w:r>
      <w:r w:rsidRPr="005C2179">
        <w:t xml:space="preserve"> See, e.g., </w:t>
      </w:r>
      <w:r w:rsidRPr="005C2179">
        <w:rPr>
          <w:i/>
        </w:rPr>
        <w:t xml:space="preserve">Buckley v Valeo, </w:t>
      </w:r>
      <w:r w:rsidRPr="005C2179">
        <w:t>424 US 1 (1976).</w:t>
      </w:r>
    </w:p>
  </w:footnote>
  <w:footnote w:id="207">
    <w:p w14:paraId="4FDD88E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208">
    <w:p w14:paraId="00DA37CD" w14:textId="786E2AB6" w:rsidR="000B2014" w:rsidRPr="005C2179" w:rsidRDefault="000B2014" w:rsidP="00016158">
      <w:pPr>
        <w:pStyle w:val="FootnoteText"/>
      </w:pPr>
      <w:r w:rsidRPr="005C2179">
        <w:rPr>
          <w:rStyle w:val="FootnoteReference"/>
        </w:rPr>
        <w:footnoteRef/>
      </w:r>
      <w:r w:rsidRPr="005C2179">
        <w:t xml:space="preserve"> See, e.g., </w:t>
      </w:r>
      <w:r w:rsidRPr="005C2179">
        <w:rPr>
          <w:i/>
        </w:rPr>
        <w:t xml:space="preserve">Austin v Michigan Chamber of Commerce, </w:t>
      </w:r>
      <w:r w:rsidRPr="005C2179">
        <w:t xml:space="preserve">494 US 652 (1989); </w:t>
      </w:r>
      <w:r w:rsidRPr="005C2179">
        <w:rPr>
          <w:i/>
        </w:rPr>
        <w:t xml:space="preserve">McConnell v Federal Election Commission, </w:t>
      </w:r>
      <w:r w:rsidRPr="005C2179">
        <w:t xml:space="preserve">540 US 93 (2003). See </w:t>
      </w:r>
      <w:r w:rsidRPr="005C2179">
        <w:rPr>
          <w:highlight w:val="cyan"/>
        </w:rPr>
        <w:t>Section 8.1.2(b)</w:t>
      </w:r>
      <w:r w:rsidRPr="005C2179">
        <w:t xml:space="preserve">, below. </w:t>
      </w:r>
    </w:p>
  </w:footnote>
  <w:footnote w:id="209">
    <w:p w14:paraId="4E9B6F3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Buckley v Valeo, </w:t>
      </w:r>
      <w:r w:rsidRPr="005C2179">
        <w:t>424 US 1 (1976).</w:t>
      </w:r>
    </w:p>
  </w:footnote>
  <w:footnote w:id="210">
    <w:p w14:paraId="3C057BBA" w14:textId="77777777" w:rsidR="000B2014" w:rsidRPr="005C2179" w:rsidRDefault="000B2014" w:rsidP="00016158">
      <w:pPr>
        <w:pStyle w:val="FootnoteText"/>
      </w:pPr>
      <w:r w:rsidRPr="005C2179">
        <w:rPr>
          <w:rStyle w:val="FootnoteReference"/>
        </w:rPr>
        <w:footnoteRef/>
      </w:r>
      <w:r w:rsidRPr="005C2179">
        <w:t xml:space="preserve"> “Uncoordinated” refers to uncoordinated with candidates. In other words, the spending ceiling at issue applied to independent third-party campaigners. </w:t>
      </w:r>
    </w:p>
  </w:footnote>
  <w:footnote w:id="211">
    <w:p w14:paraId="3968541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Buckley v Valeo, </w:t>
      </w:r>
      <w:r w:rsidRPr="005C2179">
        <w:t>424 US 1 at 19–20 (1976).</w:t>
      </w:r>
    </w:p>
  </w:footnote>
  <w:footnote w:id="212">
    <w:p w14:paraId="726F58D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19.</w:t>
      </w:r>
    </w:p>
  </w:footnote>
  <w:footnote w:id="213">
    <w:p w14:paraId="34B0F3F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p>
  </w:footnote>
  <w:footnote w:id="214">
    <w:p w14:paraId="038B66D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44.</w:t>
      </w:r>
    </w:p>
  </w:footnote>
  <w:footnote w:id="215">
    <w:p w14:paraId="15F58E2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46.</w:t>
      </w:r>
    </w:p>
  </w:footnote>
  <w:footnote w:id="216">
    <w:p w14:paraId="085BBA5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47.</w:t>
      </w:r>
    </w:p>
  </w:footnote>
  <w:footnote w:id="217">
    <w:p w14:paraId="4208C10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48.</w:t>
      </w:r>
    </w:p>
  </w:footnote>
  <w:footnote w:id="218">
    <w:p w14:paraId="64E2C598"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49.</w:t>
      </w:r>
    </w:p>
  </w:footnote>
  <w:footnote w:id="219">
    <w:p w14:paraId="6AC3490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p>
  </w:footnote>
  <w:footnote w:id="220">
    <w:p w14:paraId="60D6B36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Ibid </w:t>
      </w:r>
      <w:r w:rsidRPr="005C2179">
        <w:t>at 54.</w:t>
      </w:r>
    </w:p>
  </w:footnote>
  <w:footnote w:id="221">
    <w:p w14:paraId="27ADEA1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20.</w:t>
      </w:r>
    </w:p>
  </w:footnote>
  <w:footnote w:id="222">
    <w:p w14:paraId="55FA1C2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21.</w:t>
      </w:r>
    </w:p>
  </w:footnote>
  <w:footnote w:id="223">
    <w:p w14:paraId="77167C3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224">
    <w:p w14:paraId="34A88D2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26.</w:t>
      </w:r>
    </w:p>
  </w:footnote>
  <w:footnote w:id="225">
    <w:p w14:paraId="413C8B3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27.</w:t>
      </w:r>
    </w:p>
  </w:footnote>
  <w:footnote w:id="226">
    <w:p w14:paraId="4AB528E6" w14:textId="6A361AAF" w:rsidR="000B2014" w:rsidRPr="005C2179" w:rsidRDefault="000B2014" w:rsidP="00016158">
      <w:pPr>
        <w:pStyle w:val="FootnoteText"/>
      </w:pPr>
      <w:r w:rsidRPr="005C2179">
        <w:rPr>
          <w:rStyle w:val="FootnoteReference"/>
        </w:rPr>
        <w:footnoteRef/>
      </w:r>
      <w:r w:rsidR="00813C24" w:rsidRPr="005C2179">
        <w:t xml:space="preserve"> See, e.g., Gauja</w:t>
      </w:r>
      <w:r w:rsidRPr="005C2179">
        <w:t xml:space="preserve"> (2010) at 182; </w:t>
      </w:r>
      <w:r w:rsidRPr="005C2179">
        <w:rPr>
          <w:i/>
        </w:rPr>
        <w:t xml:space="preserve">Colorado Republican Federal Campaign Committee v FEC, </w:t>
      </w:r>
      <w:r w:rsidRPr="005C2179">
        <w:t>518 US 604 (1996).</w:t>
      </w:r>
    </w:p>
  </w:footnote>
  <w:footnote w:id="227">
    <w:p w14:paraId="22EEE5A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Buckley v Valeo, </w:t>
      </w:r>
      <w:r w:rsidRPr="005C2179">
        <w:t xml:space="preserve">424 US 1 at 241 (1976). Burger CJ would have struck down both the expenditure limits and the contribution limits. </w:t>
      </w:r>
    </w:p>
  </w:footnote>
  <w:footnote w:id="228">
    <w:p w14:paraId="41EE342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Austin v Michigan Chamber of Commerce, </w:t>
      </w:r>
      <w:r w:rsidRPr="005C2179">
        <w:t xml:space="preserve">494 US 652 (1989). </w:t>
      </w:r>
    </w:p>
  </w:footnote>
  <w:footnote w:id="229">
    <w:p w14:paraId="6A53A43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McConnell v Federal Election Commission, </w:t>
      </w:r>
      <w:r w:rsidRPr="005C2179">
        <w:t xml:space="preserve">540 US 93 (2003). </w:t>
      </w:r>
    </w:p>
  </w:footnote>
  <w:footnote w:id="230">
    <w:p w14:paraId="25D0C3D4" w14:textId="77777777" w:rsidR="000B2014" w:rsidRPr="005C2179" w:rsidRDefault="000B2014" w:rsidP="00016158">
      <w:pPr>
        <w:pStyle w:val="FootnoteText"/>
      </w:pPr>
      <w:r w:rsidRPr="005C2179">
        <w:rPr>
          <w:rStyle w:val="FootnoteReference"/>
        </w:rPr>
        <w:footnoteRef/>
      </w:r>
      <w:r w:rsidRPr="005C2179">
        <w:t xml:space="preserve"> Corporations could only solicit contributions to the segregated political fund from certain persons: </w:t>
      </w:r>
      <w:r w:rsidRPr="005C2179">
        <w:rPr>
          <w:i/>
        </w:rPr>
        <w:t xml:space="preserve">Austin v Michigan Chamber of Commerce, </w:t>
      </w:r>
      <w:r w:rsidRPr="005C2179">
        <w:t>494 US 652 at 656 (1989).</w:t>
      </w:r>
    </w:p>
  </w:footnote>
  <w:footnote w:id="231">
    <w:p w14:paraId="54F565A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660.</w:t>
      </w:r>
    </w:p>
  </w:footnote>
  <w:footnote w:id="232">
    <w:p w14:paraId="654A402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661.</w:t>
      </w:r>
    </w:p>
  </w:footnote>
  <w:footnote w:id="233">
    <w:p w14:paraId="6C8C6C70"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Bipartisan Campaign Finance Reform Act of 2002, </w:t>
      </w:r>
      <w:r w:rsidRPr="005C2179">
        <w:t>Pub L No 107-155, 116 Stat 81.</w:t>
      </w:r>
    </w:p>
  </w:footnote>
  <w:footnote w:id="234">
    <w:p w14:paraId="6228F514" w14:textId="77777777" w:rsidR="000B2014" w:rsidRPr="005C2179" w:rsidRDefault="000B2014" w:rsidP="00016158">
      <w:pPr>
        <w:pStyle w:val="FootnoteText"/>
      </w:pPr>
      <w:r w:rsidRPr="005C2179">
        <w:rPr>
          <w:rStyle w:val="FootnoteReference"/>
        </w:rPr>
        <w:footnoteRef/>
      </w:r>
      <w:r w:rsidRPr="005C2179">
        <w:t xml:space="preserve"> Boatright, (2015) at 74. For more on soft money, see Richard Briffault, “Soft Money, Congress and the Supreme Court” in K D Ewing &amp; Samuel Issacharoff, eds, </w:t>
      </w:r>
      <w:r w:rsidRPr="005C2179">
        <w:rPr>
          <w:i/>
        </w:rPr>
        <w:t xml:space="preserve">Party Funding and Campaign Financing in International Perspective </w:t>
      </w:r>
      <w:r w:rsidRPr="005C2179">
        <w:t>(Hart Publishing, 2006) at 191.</w:t>
      </w:r>
    </w:p>
  </w:footnote>
  <w:footnote w:id="235">
    <w:p w14:paraId="584EEBC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Davis v Federal Election Commission, </w:t>
      </w:r>
      <w:r w:rsidRPr="005C2179">
        <w:t xml:space="preserve">554 US 724 (2007). </w:t>
      </w:r>
    </w:p>
  </w:footnote>
  <w:footnote w:id="236">
    <w:p w14:paraId="66B870F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738.</w:t>
      </w:r>
    </w:p>
  </w:footnote>
  <w:footnote w:id="237">
    <w:p w14:paraId="4CD2594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738–39.</w:t>
      </w:r>
    </w:p>
  </w:footnote>
  <w:footnote w:id="238">
    <w:p w14:paraId="3CB785F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741.</w:t>
      </w:r>
    </w:p>
  </w:footnote>
  <w:footnote w:id="239">
    <w:p w14:paraId="679BC6D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742.</w:t>
      </w:r>
    </w:p>
  </w:footnote>
  <w:footnote w:id="240">
    <w:p w14:paraId="5E2761E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p>
  </w:footnote>
  <w:footnote w:id="241">
    <w:p w14:paraId="27E4695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Citizens United v Federal Election Commission, </w:t>
      </w:r>
      <w:r w:rsidRPr="005C2179">
        <w:t xml:space="preserve">588 US 310 (2009). </w:t>
      </w:r>
    </w:p>
  </w:footnote>
  <w:footnote w:id="242">
    <w:p w14:paraId="00A9D07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341.</w:t>
      </w:r>
    </w:p>
  </w:footnote>
  <w:footnote w:id="243">
    <w:p w14:paraId="0DAF8FB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361.</w:t>
      </w:r>
    </w:p>
  </w:footnote>
  <w:footnote w:id="244">
    <w:p w14:paraId="23285C0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479.</w:t>
      </w:r>
    </w:p>
  </w:footnote>
  <w:footnote w:id="245">
    <w:p w14:paraId="5E6079D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394.</w:t>
      </w:r>
    </w:p>
  </w:footnote>
  <w:footnote w:id="246">
    <w:p w14:paraId="362FDD4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465, 454. Stevens J noted that “[b]usiness corporations must engage the political process in instrumental terms if they are to maximize shareholder value. The unparalleled resources, professional lobbyists, and single-minded focus they bring to this effort...make </w:t>
      </w:r>
      <w:r w:rsidRPr="005C2179">
        <w:rPr>
          <w:i/>
        </w:rPr>
        <w:t xml:space="preserve">quid pro quo </w:t>
      </w:r>
      <w:r w:rsidRPr="005C2179">
        <w:t xml:space="preserve">corruption and its appearance inherently more likely when they...spend unrestricted sums on elections:” 454. Stevens J then pointed to past instances in which corporations received something from elected officials in exchange for funding independent, uncoordinated issue advertisements: 455. </w:t>
      </w:r>
    </w:p>
  </w:footnote>
  <w:footnote w:id="247">
    <w:p w14:paraId="6548C19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466.</w:t>
      </w:r>
    </w:p>
  </w:footnote>
  <w:footnote w:id="248">
    <w:p w14:paraId="33386F30"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419, 465.</w:t>
      </w:r>
    </w:p>
  </w:footnote>
  <w:footnote w:id="249">
    <w:p w14:paraId="170E656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337.</w:t>
      </w:r>
    </w:p>
  </w:footnote>
  <w:footnote w:id="250">
    <w:p w14:paraId="1E54AF2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p>
  </w:footnote>
  <w:footnote w:id="251">
    <w:p w14:paraId="31D1493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329.</w:t>
      </w:r>
    </w:p>
  </w:footnote>
  <w:footnote w:id="252">
    <w:p w14:paraId="44F34E40"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339.</w:t>
      </w:r>
    </w:p>
  </w:footnote>
  <w:footnote w:id="253">
    <w:p w14:paraId="450DC3B8"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340.</w:t>
      </w:r>
    </w:p>
  </w:footnote>
  <w:footnote w:id="254">
    <w:p w14:paraId="3C1A34D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359–60.</w:t>
      </w:r>
    </w:p>
  </w:footnote>
  <w:footnote w:id="255">
    <w:p w14:paraId="546A3BD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360.</w:t>
      </w:r>
    </w:p>
  </w:footnote>
  <w:footnote w:id="256">
    <w:p w14:paraId="0A86FDE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452.</w:t>
      </w:r>
    </w:p>
  </w:footnote>
  <w:footnote w:id="257">
    <w:p w14:paraId="77C83DD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447–48.</w:t>
      </w:r>
    </w:p>
  </w:footnote>
  <w:footnote w:id="258">
    <w:p w14:paraId="57FA668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455.</w:t>
      </w:r>
    </w:p>
  </w:footnote>
  <w:footnote w:id="259">
    <w:p w14:paraId="3C3B629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350.</w:t>
      </w:r>
    </w:p>
  </w:footnote>
  <w:footnote w:id="260">
    <w:p w14:paraId="4D4315A0"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261">
    <w:p w14:paraId="21A166E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473. The idea that the First Amendment protects both listeners and speakers is echoed in Fiss’ arguments in favour of campaign finance regulation: Fiss, (1996).</w:t>
      </w:r>
    </w:p>
  </w:footnote>
  <w:footnote w:id="262">
    <w:p w14:paraId="47F491B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Citizens United v Federal Election Commission, </w:t>
      </w:r>
      <w:r w:rsidRPr="005C2179">
        <w:t>588 US 310 at 472 (2009).</w:t>
      </w:r>
    </w:p>
  </w:footnote>
  <w:footnote w:id="263">
    <w:p w14:paraId="0C86FA5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470.</w:t>
      </w:r>
    </w:p>
  </w:footnote>
  <w:footnote w:id="264">
    <w:p w14:paraId="313F964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473.</w:t>
      </w:r>
    </w:p>
  </w:footnote>
  <w:footnote w:id="265">
    <w:p w14:paraId="6F7603F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371.</w:t>
      </w:r>
    </w:p>
  </w:footnote>
  <w:footnote w:id="266">
    <w:p w14:paraId="1D837F44" w14:textId="77777777" w:rsidR="000B2014" w:rsidRPr="005C2179" w:rsidRDefault="000B2014" w:rsidP="00016158">
      <w:pPr>
        <w:pStyle w:val="FootnoteText"/>
      </w:pPr>
      <w:r w:rsidRPr="005C2179">
        <w:rPr>
          <w:rStyle w:val="FootnoteReference"/>
        </w:rPr>
        <w:footnoteRef/>
      </w:r>
      <w:r w:rsidRPr="005C2179">
        <w:t xml:space="preserve"> 11 CFR </w:t>
      </w:r>
      <w:r w:rsidRPr="005C2179">
        <w:rPr>
          <w:color w:val="333333"/>
          <w:shd w:val="clear" w:color="auto" w:fill="FFFFFF"/>
        </w:rPr>
        <w:t xml:space="preserve">§ </w:t>
      </w:r>
      <w:r w:rsidRPr="005C2179">
        <w:t xml:space="preserve">114.4. </w:t>
      </w:r>
    </w:p>
  </w:footnote>
  <w:footnote w:id="267">
    <w:p w14:paraId="58B6077A" w14:textId="77777777" w:rsidR="000B2014" w:rsidRPr="005C2179" w:rsidRDefault="000B2014" w:rsidP="00016158">
      <w:pPr>
        <w:pStyle w:val="FootnoteText"/>
      </w:pPr>
      <w:r w:rsidRPr="005C2179">
        <w:rPr>
          <w:rStyle w:val="FootnoteReference"/>
        </w:rPr>
        <w:footnoteRef/>
      </w:r>
      <w:r w:rsidRPr="005C2179">
        <w:t xml:space="preserve"> 11 CFR </w:t>
      </w:r>
      <w:r w:rsidRPr="005C2179">
        <w:rPr>
          <w:color w:val="333333"/>
          <w:shd w:val="clear" w:color="auto" w:fill="FFFFFF"/>
        </w:rPr>
        <w:t xml:space="preserve">§ </w:t>
      </w:r>
      <w:r w:rsidRPr="005C2179">
        <w:t>114.3(c)(4).</w:t>
      </w:r>
    </w:p>
  </w:footnote>
  <w:footnote w:id="268">
    <w:p w14:paraId="5A49C0DD" w14:textId="77777777" w:rsidR="000B2014" w:rsidRPr="005C2179" w:rsidRDefault="000B2014" w:rsidP="00016158">
      <w:pPr>
        <w:pStyle w:val="FootnoteText"/>
      </w:pPr>
      <w:r w:rsidRPr="005C2179">
        <w:rPr>
          <w:rStyle w:val="FootnoteReference"/>
        </w:rPr>
        <w:footnoteRef/>
      </w:r>
      <w:r w:rsidRPr="005C2179">
        <w:t xml:space="preserve"> 11 CFR </w:t>
      </w:r>
      <w:r w:rsidRPr="005C2179">
        <w:rPr>
          <w:color w:val="333333"/>
          <w:shd w:val="clear" w:color="auto" w:fill="FFFFFF"/>
        </w:rPr>
        <w:t xml:space="preserve">§ </w:t>
      </w:r>
      <w:r w:rsidRPr="005C2179">
        <w:t>114.3(c)(4).</w:t>
      </w:r>
    </w:p>
  </w:footnote>
  <w:footnote w:id="269">
    <w:p w14:paraId="5A78CD8D" w14:textId="77777777" w:rsidR="000B2014" w:rsidRPr="005C2179" w:rsidRDefault="000B2014" w:rsidP="00016158">
      <w:pPr>
        <w:pStyle w:val="FootnoteText"/>
      </w:pPr>
      <w:r w:rsidRPr="005C2179">
        <w:rPr>
          <w:rStyle w:val="FootnoteReference"/>
        </w:rPr>
        <w:footnoteRef/>
      </w:r>
      <w:r w:rsidRPr="005C2179">
        <w:t xml:space="preserve"> 11 CFR </w:t>
      </w:r>
      <w:r w:rsidRPr="005C2179">
        <w:rPr>
          <w:color w:val="333333"/>
          <w:shd w:val="clear" w:color="auto" w:fill="FFFFFF"/>
        </w:rPr>
        <w:t xml:space="preserve">§ </w:t>
      </w:r>
      <w:r w:rsidRPr="005C2179">
        <w:t xml:space="preserve">104.20(c)(7). </w:t>
      </w:r>
    </w:p>
  </w:footnote>
  <w:footnote w:id="270">
    <w:p w14:paraId="6772904F" w14:textId="77777777" w:rsidR="000B2014" w:rsidRPr="005C2179" w:rsidRDefault="000B2014" w:rsidP="00016158">
      <w:pPr>
        <w:pStyle w:val="FootnoteText"/>
      </w:pPr>
      <w:r w:rsidRPr="005C2179">
        <w:rPr>
          <w:rStyle w:val="FootnoteReference"/>
        </w:rPr>
        <w:footnoteRef/>
      </w:r>
      <w:r w:rsidRPr="005C2179">
        <w:t xml:space="preserve"> 26 USC </w:t>
      </w:r>
      <w:r w:rsidRPr="005C2179">
        <w:rPr>
          <w:color w:val="333333"/>
          <w:shd w:val="clear" w:color="auto" w:fill="FFFFFF"/>
        </w:rPr>
        <w:t>§ 527.</w:t>
      </w:r>
    </w:p>
  </w:footnote>
  <w:footnote w:id="271">
    <w:p w14:paraId="31170AB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SpeechNow.org v FEC</w:t>
      </w:r>
      <w:r w:rsidRPr="005C2179">
        <w:t>, 599 F (3d) 686 (DC Cir 2010).</w:t>
      </w:r>
    </w:p>
  </w:footnote>
  <w:footnote w:id="272">
    <w:p w14:paraId="5C036E37" w14:textId="77777777" w:rsidR="000B2014" w:rsidRPr="005C2179" w:rsidRDefault="000B2014" w:rsidP="00016158">
      <w:pPr>
        <w:pStyle w:val="FootnoteText"/>
        <w:rPr>
          <w:i/>
        </w:rPr>
      </w:pPr>
      <w:r w:rsidRPr="005C2179">
        <w:rPr>
          <w:rStyle w:val="FootnoteReference"/>
        </w:rPr>
        <w:footnoteRef/>
      </w:r>
      <w:r w:rsidRPr="005C2179">
        <w:t xml:space="preserve"> </w:t>
      </w:r>
      <w:r w:rsidRPr="005C2179">
        <w:rPr>
          <w:i/>
        </w:rPr>
        <w:t>Ibid.</w:t>
      </w:r>
    </w:p>
  </w:footnote>
  <w:footnote w:id="273">
    <w:p w14:paraId="0AA81C5C" w14:textId="47BAC5B4" w:rsidR="000B2014" w:rsidRPr="005C2179" w:rsidRDefault="000B2014" w:rsidP="00016158">
      <w:pPr>
        <w:pStyle w:val="FootnoteText"/>
      </w:pPr>
      <w:r w:rsidRPr="005C2179">
        <w:rPr>
          <w:rStyle w:val="FootnoteReference"/>
        </w:rPr>
        <w:footnoteRef/>
      </w:r>
      <w:r w:rsidR="00813C24" w:rsidRPr="005C2179">
        <w:t xml:space="preserve"> Dwyre</w:t>
      </w:r>
      <w:r w:rsidRPr="005C2179">
        <w:t xml:space="preserve"> (2015) at 41–42. See 11 CFR </w:t>
      </w:r>
      <w:r w:rsidRPr="005C2179">
        <w:rPr>
          <w:color w:val="333333"/>
          <w:shd w:val="clear" w:color="auto" w:fill="FFFFFF"/>
        </w:rPr>
        <w:t>§</w:t>
      </w:r>
      <w:r w:rsidRPr="005C2179">
        <w:t xml:space="preserve"> 114.2, note to paragraph (b). Corporations and unions may also contribute to the independent-expenditure-only accounts of hybrid PACs. Corporations and unions may also contribute to the independent-expenditure-only accounts of hybrid PACs. </w:t>
      </w:r>
    </w:p>
  </w:footnote>
  <w:footnote w:id="274">
    <w:p w14:paraId="6E54A9D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McCutcheon v FEC, </w:t>
      </w:r>
      <w:r w:rsidRPr="005C2179">
        <w:t xml:space="preserve">572 US __ (2014) (slip op). </w:t>
      </w:r>
    </w:p>
  </w:footnote>
  <w:footnote w:id="275">
    <w:p w14:paraId="4105AF8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36).</w:t>
      </w:r>
    </w:p>
  </w:footnote>
  <w:footnote w:id="276">
    <w:p w14:paraId="122C581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Roberts CJ at 15–16).</w:t>
      </w:r>
    </w:p>
  </w:footnote>
  <w:footnote w:id="277">
    <w:p w14:paraId="4A3D2A9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16).</w:t>
      </w:r>
    </w:p>
  </w:footnote>
  <w:footnote w:id="278">
    <w:p w14:paraId="2798162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15).</w:t>
      </w:r>
    </w:p>
  </w:footnote>
  <w:footnote w:id="279">
    <w:p w14:paraId="1096EFE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2).</w:t>
      </w:r>
    </w:p>
  </w:footnote>
  <w:footnote w:id="280">
    <w:p w14:paraId="097F001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2).</w:t>
      </w:r>
    </w:p>
  </w:footnote>
  <w:footnote w:id="281">
    <w:p w14:paraId="68330D2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Breyer J at 30).</w:t>
      </w:r>
    </w:p>
  </w:footnote>
  <w:footnote w:id="282">
    <w:p w14:paraId="098D789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Breyer J at 4, 6, 11).</w:t>
      </w:r>
    </w:p>
  </w:footnote>
  <w:footnote w:id="283">
    <w:p w14:paraId="13586C1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Breyer J at 5–6).</w:t>
      </w:r>
    </w:p>
  </w:footnote>
  <w:footnote w:id="284">
    <w:p w14:paraId="42374E0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22).</w:t>
      </w:r>
    </w:p>
  </w:footnote>
  <w:footnote w:id="285">
    <w:p w14:paraId="5EBA1C3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Breyer J at 20).</w:t>
      </w:r>
    </w:p>
  </w:footnote>
  <w:footnote w:id="286">
    <w:p w14:paraId="24D86AF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37).</w:t>
      </w:r>
    </w:p>
  </w:footnote>
  <w:footnote w:id="287">
    <w:p w14:paraId="1D8CD73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1).</w:t>
      </w:r>
    </w:p>
  </w:footnote>
  <w:footnote w:id="288">
    <w:p w14:paraId="3F29C72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14). </w:t>
      </w:r>
    </w:p>
  </w:footnote>
  <w:footnote w:id="289">
    <w:p w14:paraId="40CAF3E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17).</w:t>
      </w:r>
    </w:p>
  </w:footnote>
  <w:footnote w:id="290">
    <w:p w14:paraId="44FB7D4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(slip op of Roberts CJ at 3). </w:t>
      </w:r>
    </w:p>
  </w:footnote>
  <w:footnote w:id="291">
    <w:p w14:paraId="7F019B2D" w14:textId="77777777" w:rsidR="000B2014" w:rsidRPr="005C2179" w:rsidRDefault="000B2014" w:rsidP="00016158">
      <w:pPr>
        <w:pStyle w:val="FootnoteText"/>
      </w:pPr>
      <w:r w:rsidRPr="005C2179">
        <w:rPr>
          <w:rStyle w:val="FootnoteReference"/>
        </w:rPr>
        <w:footnoteRef/>
      </w:r>
      <w:r w:rsidRPr="005C2179">
        <w:t xml:space="preserve"> For more detail on the federal regulatory regime, see: 52 USC </w:t>
      </w:r>
      <w:r w:rsidRPr="005C2179">
        <w:rPr>
          <w:color w:val="333333"/>
          <w:shd w:val="clear" w:color="auto" w:fill="FFFFFF"/>
        </w:rPr>
        <w:t>§§ 30101–30146; 11 CFR; advisory opinions, policy statements, and guidance released by the Federal Election Commission, online: &lt;</w:t>
      </w:r>
      <w:hyperlink r:id="rId8" w:history="1">
        <w:r w:rsidRPr="005C2179">
          <w:rPr>
            <w:rStyle w:val="Hyperlink"/>
            <w:shd w:val="clear" w:color="auto" w:fill="FFFFFF"/>
          </w:rPr>
          <w:t>https://www.fec.gov/legal-resources/</w:t>
        </w:r>
      </w:hyperlink>
      <w:r w:rsidRPr="005C2179">
        <w:rPr>
          <w:color w:val="333333"/>
          <w:shd w:val="clear" w:color="auto" w:fill="FFFFFF"/>
        </w:rPr>
        <w:t>&gt;; The Center for Responsive Politics, online: &lt;</w:t>
      </w:r>
      <w:hyperlink r:id="rId9" w:history="1">
        <w:r w:rsidRPr="005C2179">
          <w:rPr>
            <w:rStyle w:val="Hyperlink"/>
            <w:shd w:val="clear" w:color="auto" w:fill="FFFFFF"/>
          </w:rPr>
          <w:t>www.opensecrets.org</w:t>
        </w:r>
      </w:hyperlink>
      <w:r w:rsidRPr="005C2179">
        <w:rPr>
          <w:color w:val="333333"/>
          <w:shd w:val="clear" w:color="auto" w:fill="FFFFFF"/>
        </w:rPr>
        <w:t xml:space="preserve">&gt;; Samuel Issacharoff, </w:t>
      </w:r>
      <w:r w:rsidRPr="005C2179">
        <w:rPr>
          <w:i/>
          <w:color w:val="333333"/>
          <w:shd w:val="clear" w:color="auto" w:fill="FFFFFF"/>
        </w:rPr>
        <w:t>The Law of Democracy: Legal Structure of the Political Process</w:t>
      </w:r>
      <w:r w:rsidRPr="005C2179">
        <w:rPr>
          <w:color w:val="333333"/>
          <w:shd w:val="clear" w:color="auto" w:fill="FFFFFF"/>
        </w:rPr>
        <w:t>, 5th ed</w:t>
      </w:r>
      <w:r w:rsidRPr="005C2179">
        <w:rPr>
          <w:i/>
          <w:color w:val="333333"/>
          <w:shd w:val="clear" w:color="auto" w:fill="FFFFFF"/>
        </w:rPr>
        <w:t xml:space="preserve"> </w:t>
      </w:r>
      <w:r w:rsidRPr="005C2179">
        <w:rPr>
          <w:color w:val="333333"/>
          <w:shd w:val="clear" w:color="auto" w:fill="FFFFFF"/>
        </w:rPr>
        <w:t>(Foundation Press, 2016); The Law Library of Congress, “Election Law”, online: &lt;</w:t>
      </w:r>
      <w:hyperlink r:id="rId10" w:history="1">
        <w:r w:rsidRPr="005C2179">
          <w:rPr>
            <w:rStyle w:val="Hyperlink"/>
            <w:shd w:val="clear" w:color="auto" w:fill="FFFFFF"/>
          </w:rPr>
          <w:t>https://www.loc.gov/law/help/guide/federal/elections.php</w:t>
        </w:r>
      </w:hyperlink>
      <w:r w:rsidRPr="005C2179">
        <w:rPr>
          <w:color w:val="333333"/>
          <w:shd w:val="clear" w:color="auto" w:fill="FFFFFF"/>
        </w:rPr>
        <w:t>&gt;; Campaign Legal Center, online: &lt;</w:t>
      </w:r>
      <w:hyperlink r:id="rId11" w:history="1">
        <w:r w:rsidRPr="005C2179">
          <w:rPr>
            <w:rStyle w:val="Hyperlink"/>
            <w:shd w:val="clear" w:color="auto" w:fill="FFFFFF"/>
          </w:rPr>
          <w:t>www.campaignlegalcenter.org</w:t>
        </w:r>
      </w:hyperlink>
      <w:r w:rsidRPr="005C2179">
        <w:rPr>
          <w:color w:val="333333"/>
          <w:shd w:val="clear" w:color="auto" w:fill="FFFFFF"/>
        </w:rPr>
        <w:t>&gt;; The Campaign Finance Institute, online: &lt;</w:t>
      </w:r>
      <w:hyperlink r:id="rId12" w:history="1">
        <w:r w:rsidRPr="005C2179">
          <w:rPr>
            <w:rStyle w:val="Hyperlink"/>
            <w:shd w:val="clear" w:color="auto" w:fill="FFFFFF"/>
          </w:rPr>
          <w:t>http://www.cfinst.org/law.aspx</w:t>
        </w:r>
      </w:hyperlink>
      <w:r w:rsidRPr="005C2179">
        <w:rPr>
          <w:color w:val="333333"/>
          <w:shd w:val="clear" w:color="auto" w:fill="FFFFFF"/>
        </w:rPr>
        <w:t xml:space="preserve">&gt;.  </w:t>
      </w:r>
    </w:p>
  </w:footnote>
  <w:footnote w:id="292">
    <w:p w14:paraId="7BAB08C0" w14:textId="77777777" w:rsidR="000B2014" w:rsidRPr="005C2179" w:rsidRDefault="000B2014" w:rsidP="00016158">
      <w:pPr>
        <w:pStyle w:val="FootnoteText"/>
      </w:pPr>
      <w:r w:rsidRPr="005C2179">
        <w:rPr>
          <w:rStyle w:val="FootnoteReference"/>
        </w:rPr>
        <w:footnoteRef/>
      </w:r>
      <w:r w:rsidRPr="005C2179">
        <w:t xml:space="preserve"> See 52 USC </w:t>
      </w:r>
      <w:r w:rsidRPr="005C2179">
        <w:rPr>
          <w:color w:val="333333"/>
          <w:shd w:val="clear" w:color="auto" w:fill="FFFFFF"/>
        </w:rPr>
        <w:t>§ 30116 and 11 CFR §§ 110.1–110.4 for more information on contribution caps.</w:t>
      </w:r>
      <w:r w:rsidRPr="005C2179">
        <w:t xml:space="preserve"> As discussed above, super-PACs, which engage solely in independent expenditures, are not subject to these caps or source restrictions. Super-PACs therefore have unlimited spending and fundraising capacity. Hybrid-PACs, which engage in both coordinated and independent spending, must maintain a separate fund for independent expenditures, which will not be subject to contribution caps or source restrictions. All expenditures by single-candidate PACs are considered contributions to their candidate, even if some of the PAC’s spending is technically uncoordinated. </w:t>
      </w:r>
    </w:p>
  </w:footnote>
  <w:footnote w:id="293">
    <w:p w14:paraId="6B7BB43E" w14:textId="77777777" w:rsidR="000B2014" w:rsidRPr="005C2179" w:rsidRDefault="000B2014" w:rsidP="00016158">
      <w:pPr>
        <w:pStyle w:val="FootnoteText"/>
      </w:pPr>
      <w:r w:rsidRPr="005C2179">
        <w:rPr>
          <w:rStyle w:val="FootnoteReference"/>
        </w:rPr>
        <w:footnoteRef/>
      </w:r>
      <w:r w:rsidRPr="005C2179">
        <w:t xml:space="preserve"> 52 USC </w:t>
      </w:r>
      <w:r w:rsidRPr="005C2179">
        <w:rPr>
          <w:color w:val="333333"/>
          <w:shd w:val="clear" w:color="auto" w:fill="FFFFFF"/>
        </w:rPr>
        <w:t xml:space="preserve">§§ 30118, 30119, 30121; 11 CFR § 110.20. </w:t>
      </w:r>
      <w:r w:rsidRPr="005C2179">
        <w:t xml:space="preserve">Issacharoff notes this rule may be up for grabs in relation to corporations after </w:t>
      </w:r>
      <w:r w:rsidRPr="005C2179">
        <w:rPr>
          <w:i/>
        </w:rPr>
        <w:t xml:space="preserve">Citizens United v FEC, </w:t>
      </w:r>
      <w:r w:rsidRPr="005C2179">
        <w:t>in which the majority of the US Supreme Court frowned upon making distinctions between corporations and natural persons: Issacharoff, (November 2010) at 132.</w:t>
      </w:r>
    </w:p>
  </w:footnote>
  <w:footnote w:id="294">
    <w:p w14:paraId="03BEB087" w14:textId="77777777" w:rsidR="000B2014" w:rsidRPr="005C2179" w:rsidRDefault="000B2014" w:rsidP="00016158">
      <w:pPr>
        <w:pStyle w:val="FootnoteText"/>
      </w:pPr>
      <w:r w:rsidRPr="005C2179">
        <w:rPr>
          <w:rStyle w:val="FootnoteReference"/>
        </w:rPr>
        <w:footnoteRef/>
      </w:r>
      <w:r w:rsidRPr="005C2179">
        <w:t xml:space="preserve"> See, e.g., 11 CFR </w:t>
      </w:r>
      <w:r w:rsidRPr="005C2179">
        <w:rPr>
          <w:color w:val="333333"/>
          <w:shd w:val="clear" w:color="auto" w:fill="FFFFFF"/>
        </w:rPr>
        <w:t xml:space="preserve">§ </w:t>
      </w:r>
      <w:r w:rsidRPr="005C2179">
        <w:t xml:space="preserve">114.10(a). </w:t>
      </w:r>
    </w:p>
  </w:footnote>
  <w:footnote w:id="295">
    <w:p w14:paraId="4586E437" w14:textId="77777777" w:rsidR="000B2014" w:rsidRPr="005C2179" w:rsidRDefault="000B2014" w:rsidP="00016158">
      <w:pPr>
        <w:pStyle w:val="FootnoteText"/>
      </w:pPr>
      <w:r w:rsidRPr="005C2179">
        <w:rPr>
          <w:rStyle w:val="FootnoteReference"/>
        </w:rPr>
        <w:footnoteRef/>
      </w:r>
      <w:r w:rsidRPr="005C2179">
        <w:t xml:space="preserve"> See 52 USC </w:t>
      </w:r>
      <w:r w:rsidRPr="005C2179">
        <w:rPr>
          <w:color w:val="333333"/>
          <w:shd w:val="clear" w:color="auto" w:fill="FFFFFF"/>
        </w:rPr>
        <w:t xml:space="preserve">§ 30116 for contribution limits to political party committees. </w:t>
      </w:r>
    </w:p>
  </w:footnote>
  <w:footnote w:id="296">
    <w:p w14:paraId="62EDDC28" w14:textId="34C263FC" w:rsidR="000B2014" w:rsidRPr="005C2179" w:rsidRDefault="000B2014" w:rsidP="00016158">
      <w:pPr>
        <w:pStyle w:val="FootnoteText"/>
      </w:pPr>
      <w:r w:rsidRPr="005C2179">
        <w:rPr>
          <w:rStyle w:val="FootnoteReference"/>
        </w:rPr>
        <w:footnoteRef/>
      </w:r>
      <w:r w:rsidRPr="005C2179">
        <w:t xml:space="preserve"> Boatright (2015) at 74. For mo</w:t>
      </w:r>
      <w:r w:rsidR="00813C24" w:rsidRPr="005C2179">
        <w:t>re on soft money, see Briffault</w:t>
      </w:r>
      <w:r w:rsidRPr="005C2179">
        <w:t xml:space="preserve"> (2006) at 191.</w:t>
      </w:r>
    </w:p>
  </w:footnote>
  <w:footnote w:id="297">
    <w:p w14:paraId="5A23E3F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Bipartisan Campaign Finance Reform Act of 2002, </w:t>
      </w:r>
      <w:r w:rsidRPr="005C2179">
        <w:t xml:space="preserve">Pub L No 107-155, </w:t>
      </w:r>
      <w:r w:rsidRPr="005C2179">
        <w:rPr>
          <w:color w:val="333333"/>
          <w:shd w:val="clear" w:color="auto" w:fill="FFFFFF"/>
        </w:rPr>
        <w:t xml:space="preserve">§ 101, </w:t>
      </w:r>
      <w:r w:rsidRPr="005C2179">
        <w:t>116 Stat 81.</w:t>
      </w:r>
    </w:p>
  </w:footnote>
  <w:footnote w:id="298">
    <w:p w14:paraId="2DEE4B9C" w14:textId="77777777" w:rsidR="000B2014" w:rsidRPr="005C2179" w:rsidRDefault="000B2014" w:rsidP="00016158">
      <w:pPr>
        <w:pStyle w:val="FootnoteText"/>
      </w:pPr>
      <w:r w:rsidRPr="005C2179">
        <w:rPr>
          <w:rStyle w:val="FootnoteReference"/>
        </w:rPr>
        <w:footnoteRef/>
      </w:r>
      <w:r w:rsidRPr="005C2179">
        <w:t xml:space="preserve"> For more detailed information on federal disclosure requirements, see: 52 USC </w:t>
      </w:r>
      <w:r w:rsidRPr="005C2179">
        <w:rPr>
          <w:color w:val="333333"/>
          <w:shd w:val="clear" w:color="auto" w:fill="FFFFFF"/>
        </w:rPr>
        <w:t xml:space="preserve">§ </w:t>
      </w:r>
      <w:r w:rsidRPr="005C2179">
        <w:t xml:space="preserve">30104; 11 CFR </w:t>
      </w:r>
      <w:r w:rsidRPr="005C2179">
        <w:rPr>
          <w:color w:val="333333"/>
          <w:shd w:val="clear" w:color="auto" w:fill="FFFFFF"/>
        </w:rPr>
        <w:t xml:space="preserve">§§ </w:t>
      </w:r>
      <w:r w:rsidRPr="005C2179">
        <w:t>102.1–102.17, 104.1–104.22, 109.1–109.37. See also The Centre for Responsive Politics, online: &lt;</w:t>
      </w:r>
      <w:hyperlink r:id="rId13" w:history="1">
        <w:r w:rsidRPr="005C2179">
          <w:rPr>
            <w:rStyle w:val="Hyperlink"/>
          </w:rPr>
          <w:t>www.opensecrets.org</w:t>
        </w:r>
      </w:hyperlink>
      <w:r w:rsidRPr="005C2179">
        <w:t xml:space="preserve">&gt;. </w:t>
      </w:r>
    </w:p>
  </w:footnote>
  <w:footnote w:id="299">
    <w:p w14:paraId="29D76C53" w14:textId="77777777" w:rsidR="000B2014" w:rsidRPr="005C2179" w:rsidRDefault="000B2014" w:rsidP="00016158">
      <w:pPr>
        <w:pStyle w:val="FootnoteText"/>
      </w:pPr>
      <w:r w:rsidRPr="005C2179">
        <w:rPr>
          <w:rStyle w:val="FootnoteReference"/>
        </w:rPr>
        <w:footnoteRef/>
      </w:r>
      <w:r w:rsidRPr="005C2179">
        <w:t xml:space="preserve"> 52 USC </w:t>
      </w:r>
      <w:r w:rsidRPr="005C2179">
        <w:rPr>
          <w:color w:val="333333"/>
          <w:shd w:val="clear" w:color="auto" w:fill="FFFFFF"/>
        </w:rPr>
        <w:t>§§</w:t>
      </w:r>
      <w:r w:rsidRPr="005C2179">
        <w:t xml:space="preserve"> 30104(b)(3), 30104(b)(5)(A); 11 CFR </w:t>
      </w:r>
      <w:r w:rsidRPr="005C2179">
        <w:rPr>
          <w:color w:val="333333"/>
          <w:shd w:val="clear" w:color="auto" w:fill="FFFFFF"/>
        </w:rPr>
        <w:t>§</w:t>
      </w:r>
      <w:r w:rsidRPr="005C2179">
        <w:t xml:space="preserve"> 104.3(a)(4). </w:t>
      </w:r>
    </w:p>
  </w:footnote>
  <w:footnote w:id="300">
    <w:p w14:paraId="48637F06" w14:textId="77777777" w:rsidR="000B2014" w:rsidRPr="005C2179" w:rsidRDefault="000B2014" w:rsidP="00016158">
      <w:pPr>
        <w:pStyle w:val="FootnoteText"/>
      </w:pPr>
      <w:r w:rsidRPr="005C2179">
        <w:rPr>
          <w:rStyle w:val="FootnoteReference"/>
        </w:rPr>
        <w:footnoteRef/>
      </w:r>
      <w:r w:rsidRPr="005C2179">
        <w:t xml:space="preserve"> 52 USC </w:t>
      </w:r>
      <w:r w:rsidRPr="005C2179">
        <w:rPr>
          <w:color w:val="333333"/>
          <w:shd w:val="clear" w:color="auto" w:fill="FFFFFF"/>
        </w:rPr>
        <w:t xml:space="preserve">§ </w:t>
      </w:r>
      <w:r w:rsidRPr="005C2179">
        <w:t xml:space="preserve">30104(b)(6)(B)(iii); 11 CFR </w:t>
      </w:r>
      <w:r w:rsidRPr="005C2179">
        <w:rPr>
          <w:color w:val="333333"/>
          <w:shd w:val="clear" w:color="auto" w:fill="FFFFFF"/>
        </w:rPr>
        <w:t xml:space="preserve">§§ </w:t>
      </w:r>
      <w:r w:rsidRPr="005C2179">
        <w:t xml:space="preserve">104.3(b)(3)(vii), 104.4, 109.10(a). As discussed above, express advocacy uses words like “vote for” or “vote against”. </w:t>
      </w:r>
    </w:p>
  </w:footnote>
  <w:footnote w:id="301">
    <w:p w14:paraId="2C0CDEF9" w14:textId="24C17E0F" w:rsidR="000B2014" w:rsidRPr="005C2179" w:rsidRDefault="000B2014" w:rsidP="00016158">
      <w:pPr>
        <w:pStyle w:val="FootnoteText"/>
      </w:pPr>
      <w:r w:rsidRPr="005C2179">
        <w:rPr>
          <w:rStyle w:val="FootnoteReference"/>
        </w:rPr>
        <w:footnoteRef/>
      </w:r>
      <w:r w:rsidRPr="005C2179">
        <w:t xml:space="preserve"> 501(c) organizations may engage in political campaigning activity so long as it is not their primary activity; however, Dwyre notes that the Internal Revenue Agency has done little to investigate whether 501(c) organizations are making campaigning activit</w:t>
      </w:r>
      <w:r w:rsidR="00813C24" w:rsidRPr="005C2179">
        <w:t>y their primary activity: Dwyre</w:t>
      </w:r>
      <w:r w:rsidRPr="005C2179">
        <w:t xml:space="preserve"> (2015) at 48–50. The most relevant types of</w:t>
      </w:r>
      <w:r w:rsidRPr="005C2179">
        <w:rPr>
          <w:color w:val="333333"/>
          <w:shd w:val="clear" w:color="auto" w:fill="FFFFFF"/>
        </w:rPr>
        <w:t xml:space="preserve"> </w:t>
      </w:r>
      <w:r w:rsidRPr="005C2179">
        <w:t xml:space="preserve">501(c) organizations in the context of election campaigns are labour organizations (organized under 26 USC </w:t>
      </w:r>
      <w:r w:rsidRPr="005C2179">
        <w:rPr>
          <w:color w:val="333333"/>
          <w:shd w:val="clear" w:color="auto" w:fill="FFFFFF"/>
        </w:rPr>
        <w:t>§</w:t>
      </w:r>
      <w:r w:rsidRPr="005C2179">
        <w:t xml:space="preserve"> 501(c)(5)), trade associations or business leagues like the Chamber of Commerce (organized under 26 USC </w:t>
      </w:r>
      <w:r w:rsidRPr="005C2179">
        <w:rPr>
          <w:color w:val="333333"/>
          <w:shd w:val="clear" w:color="auto" w:fill="FFFFFF"/>
        </w:rPr>
        <w:t xml:space="preserve">§ </w:t>
      </w:r>
      <w:r w:rsidRPr="005C2179">
        <w:t xml:space="preserve">501(c)(6)), and “social welfare organizations” (organized under 26 USC </w:t>
      </w:r>
      <w:r w:rsidRPr="005C2179">
        <w:rPr>
          <w:color w:val="333333"/>
          <w:shd w:val="clear" w:color="auto" w:fill="FFFFFF"/>
        </w:rPr>
        <w:t>§</w:t>
      </w:r>
      <w:r w:rsidR="00813C24" w:rsidRPr="005C2179">
        <w:t xml:space="preserve"> 501(c)(4)): Dwyre</w:t>
      </w:r>
      <w:r w:rsidRPr="005C2179">
        <w:t xml:space="preserve"> (2015) at 48–50.</w:t>
      </w:r>
    </w:p>
  </w:footnote>
  <w:footnote w:id="302">
    <w:p w14:paraId="04D2CF7A" w14:textId="77777777" w:rsidR="000B2014" w:rsidRPr="005C2179" w:rsidRDefault="000B2014" w:rsidP="00016158">
      <w:pPr>
        <w:pStyle w:val="FootnoteText"/>
      </w:pPr>
      <w:r w:rsidRPr="005C2179">
        <w:rPr>
          <w:rStyle w:val="FootnoteReference"/>
        </w:rPr>
        <w:footnoteRef/>
      </w:r>
      <w:r w:rsidRPr="005C2179">
        <w:t xml:space="preserve"> 52 USC </w:t>
      </w:r>
      <w:r w:rsidRPr="005C2179">
        <w:rPr>
          <w:color w:val="333333"/>
          <w:shd w:val="clear" w:color="auto" w:fill="FFFFFF"/>
        </w:rPr>
        <w:t xml:space="preserve">§§ </w:t>
      </w:r>
      <w:r w:rsidRPr="005C2179">
        <w:t xml:space="preserve">30104(c),(f); 11 CFR </w:t>
      </w:r>
      <w:r w:rsidRPr="005C2179">
        <w:rPr>
          <w:color w:val="333333"/>
          <w:shd w:val="clear" w:color="auto" w:fill="FFFFFF"/>
        </w:rPr>
        <w:t xml:space="preserve">§§ </w:t>
      </w:r>
      <w:r w:rsidRPr="005C2179">
        <w:t xml:space="preserve">104.20, 109.10(b), 114.10(b)(1)–(2). “Electioneering communications” are defined in 11 CFR </w:t>
      </w:r>
      <w:r w:rsidRPr="005C2179">
        <w:rPr>
          <w:color w:val="333333"/>
          <w:shd w:val="clear" w:color="auto" w:fill="FFFFFF"/>
        </w:rPr>
        <w:t>§</w:t>
      </w:r>
      <w:r w:rsidRPr="005C2179">
        <w:t xml:space="preserve"> 100.29(a). As discussed above, the category of “electioneering communications” was created by the </w:t>
      </w:r>
      <w:r w:rsidRPr="005C2179">
        <w:rPr>
          <w:i/>
        </w:rPr>
        <w:t xml:space="preserve">BCRA </w:t>
      </w:r>
      <w:r w:rsidRPr="005C2179">
        <w:t>and captures a broader range of advertising than the category of “express advocacy” does.</w:t>
      </w:r>
    </w:p>
  </w:footnote>
  <w:footnote w:id="303">
    <w:p w14:paraId="266E26B5" w14:textId="77777777" w:rsidR="000B2014" w:rsidRPr="005C2179" w:rsidRDefault="000B2014" w:rsidP="00016158">
      <w:pPr>
        <w:pStyle w:val="FootnoteText"/>
      </w:pPr>
      <w:r w:rsidRPr="005C2179">
        <w:rPr>
          <w:rStyle w:val="FootnoteReference"/>
        </w:rPr>
        <w:footnoteRef/>
      </w:r>
      <w:r w:rsidRPr="005C2179">
        <w:t xml:space="preserve"> 52 USC </w:t>
      </w:r>
      <w:r w:rsidRPr="005C2179">
        <w:rPr>
          <w:color w:val="333333"/>
          <w:shd w:val="clear" w:color="auto" w:fill="FFFFFF"/>
        </w:rPr>
        <w:t xml:space="preserve">§§ 30104(c),(f); </w:t>
      </w:r>
      <w:r w:rsidRPr="005C2179">
        <w:t xml:space="preserve">11 CFR </w:t>
      </w:r>
      <w:r w:rsidRPr="005C2179">
        <w:rPr>
          <w:color w:val="333333"/>
          <w:shd w:val="clear" w:color="auto" w:fill="FFFFFF"/>
        </w:rPr>
        <w:t xml:space="preserve">§§ </w:t>
      </w:r>
      <w:r w:rsidRPr="005C2179">
        <w:t xml:space="preserve">114.10(b)(1)–(2), 109.10(e)(1)(vi), 104.20(b), 104.20(c)(7)–(9). See also Dwyre, (2015) at 61. Note that labour unions organized under 26 USC 501(c)(5) must disclose the source of all contributions of $5,000 or more to the Department of Labor: see </w:t>
      </w:r>
      <w:r w:rsidRPr="005C2179">
        <w:rPr>
          <w:highlight w:val="cyan"/>
        </w:rPr>
        <w:t>fn 650</w:t>
      </w:r>
      <w:r w:rsidRPr="005C2179">
        <w:t>, below.</w:t>
      </w:r>
    </w:p>
  </w:footnote>
  <w:footnote w:id="304">
    <w:p w14:paraId="6ACFA7BF" w14:textId="77777777" w:rsidR="000B2014" w:rsidRPr="005C2179" w:rsidRDefault="000B2014" w:rsidP="00016158">
      <w:pPr>
        <w:pStyle w:val="FootnoteText"/>
      </w:pPr>
      <w:r w:rsidRPr="005C2179">
        <w:rPr>
          <w:rStyle w:val="FootnoteReference"/>
        </w:rPr>
        <w:footnoteRef/>
      </w:r>
      <w:r w:rsidRPr="005C2179">
        <w:t xml:space="preserve"> 52 USC </w:t>
      </w:r>
      <w:r w:rsidRPr="005C2179">
        <w:rPr>
          <w:color w:val="333333"/>
          <w:shd w:val="clear" w:color="auto" w:fill="FFFFFF"/>
        </w:rPr>
        <w:t xml:space="preserve">§§ </w:t>
      </w:r>
      <w:r w:rsidRPr="005C2179">
        <w:t xml:space="preserve">30104(c),(f); 11 CFR </w:t>
      </w:r>
      <w:r w:rsidRPr="005C2179">
        <w:rPr>
          <w:color w:val="333333"/>
          <w:shd w:val="clear" w:color="auto" w:fill="FFFFFF"/>
        </w:rPr>
        <w:t xml:space="preserve">§§ </w:t>
      </w:r>
      <w:r w:rsidRPr="005C2179">
        <w:t>109.10(b)–(e), 104.20(b).</w:t>
      </w:r>
    </w:p>
  </w:footnote>
  <w:footnote w:id="305">
    <w:p w14:paraId="3B633ADB" w14:textId="77777777" w:rsidR="000B2014" w:rsidRPr="005C2179" w:rsidRDefault="000B2014" w:rsidP="00016158">
      <w:pPr>
        <w:pStyle w:val="FootnoteText"/>
      </w:pPr>
      <w:r w:rsidRPr="005C2179">
        <w:rPr>
          <w:rStyle w:val="FootnoteReference"/>
        </w:rPr>
        <w:footnoteRef/>
      </w:r>
      <w:r w:rsidRPr="005C2179">
        <w:t xml:space="preserve"> For example, labour organizations organized under 26 USC 501(c)(5) must, in reports to the Department of Labor, disclose the identity of any contributor giving $5,000 or more in the twelve-month reporting period, along with the purpose, date, and amount of the contribution: 29 USC </w:t>
      </w:r>
      <w:r w:rsidRPr="005C2179">
        <w:rPr>
          <w:color w:val="333333"/>
          <w:shd w:val="clear" w:color="auto" w:fill="FFFFFF"/>
        </w:rPr>
        <w:t xml:space="preserve">§ </w:t>
      </w:r>
      <w:r w:rsidRPr="005C2179">
        <w:t xml:space="preserve">431; 29 CFR </w:t>
      </w:r>
      <w:r w:rsidRPr="005C2179">
        <w:rPr>
          <w:color w:val="333333"/>
          <w:shd w:val="clear" w:color="auto" w:fill="FFFFFF"/>
        </w:rPr>
        <w:t>§</w:t>
      </w:r>
      <w:r w:rsidRPr="005C2179">
        <w:t xml:space="preserve"> 403. Labour organizations must also disclose to the Department of Labor any political disbursements intended to influence elections and referendums: 29 USC </w:t>
      </w:r>
      <w:r w:rsidRPr="005C2179">
        <w:rPr>
          <w:color w:val="333333"/>
          <w:shd w:val="clear" w:color="auto" w:fill="FFFFFF"/>
        </w:rPr>
        <w:t xml:space="preserve">§ </w:t>
      </w:r>
      <w:r w:rsidRPr="005C2179">
        <w:t xml:space="preserve">431, 29 CFR </w:t>
      </w:r>
      <w:r w:rsidRPr="005C2179">
        <w:rPr>
          <w:color w:val="333333"/>
          <w:shd w:val="clear" w:color="auto" w:fill="FFFFFF"/>
        </w:rPr>
        <w:t xml:space="preserve">§ </w:t>
      </w:r>
      <w:r w:rsidRPr="005C2179">
        <w:t xml:space="preserve">403. </w:t>
      </w:r>
    </w:p>
  </w:footnote>
  <w:footnote w:id="306">
    <w:p w14:paraId="68D5AFC2" w14:textId="28E09D20" w:rsidR="000B2014" w:rsidRPr="005C2179" w:rsidRDefault="000B2014" w:rsidP="00016158">
      <w:pPr>
        <w:pStyle w:val="FootnoteText"/>
      </w:pPr>
      <w:r w:rsidRPr="005C2179">
        <w:rPr>
          <w:rStyle w:val="FootnoteReference"/>
        </w:rPr>
        <w:footnoteRef/>
      </w:r>
      <w:r w:rsidR="00813C24" w:rsidRPr="005C2179">
        <w:t xml:space="preserve"> Dwyre (2015) at 35; Hasen</w:t>
      </w:r>
      <w:r w:rsidRPr="005C2179">
        <w:t xml:space="preserve"> (2012) 225 at 225.</w:t>
      </w:r>
    </w:p>
  </w:footnote>
  <w:footnote w:id="307">
    <w:p w14:paraId="68C49B43" w14:textId="25EE8A52" w:rsidR="000B2014" w:rsidRPr="005C2179" w:rsidRDefault="000B2014" w:rsidP="00016158">
      <w:pPr>
        <w:pStyle w:val="FootnoteText"/>
      </w:pPr>
      <w:r w:rsidRPr="005C2179">
        <w:rPr>
          <w:rStyle w:val="FootnoteReference"/>
        </w:rPr>
        <w:footnoteRef/>
      </w:r>
      <w:r w:rsidR="00813C24" w:rsidRPr="005C2179">
        <w:t xml:space="preserve"> Gauja</w:t>
      </w:r>
      <w:r w:rsidRPr="005C2179">
        <w:t xml:space="preserve"> (2010) at 158.</w:t>
      </w:r>
    </w:p>
  </w:footnote>
  <w:footnote w:id="308">
    <w:p w14:paraId="598547D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The Gabriella Miller Kids First Research Act</w:t>
      </w:r>
      <w:r w:rsidRPr="005C2179">
        <w:t xml:space="preserve">, Pub L No 113-94, 128 Stat 1085 (2014) (codified at 26 USC </w:t>
      </w:r>
      <w:r w:rsidRPr="005C2179">
        <w:rPr>
          <w:color w:val="333333"/>
          <w:shd w:val="clear" w:color="auto" w:fill="FFFFFF"/>
        </w:rPr>
        <w:t xml:space="preserve">§ 9008). </w:t>
      </w:r>
    </w:p>
  </w:footnote>
  <w:footnote w:id="309">
    <w:p w14:paraId="692299B0" w14:textId="77777777" w:rsidR="000B2014" w:rsidRPr="005C2179" w:rsidRDefault="000B2014" w:rsidP="00016158">
      <w:pPr>
        <w:pStyle w:val="FootnoteText"/>
      </w:pPr>
      <w:r w:rsidRPr="005C2179">
        <w:rPr>
          <w:rStyle w:val="FootnoteReference"/>
        </w:rPr>
        <w:footnoteRef/>
      </w:r>
      <w:r w:rsidRPr="005C2179">
        <w:t xml:space="preserve"> Thomas E Mann, “The FEC: Administering and Enforcing Campaign Finance Law” in Anthony Corrado et al, eds, </w:t>
      </w:r>
      <w:r w:rsidRPr="005C2179">
        <w:rPr>
          <w:i/>
        </w:rPr>
        <w:t xml:space="preserve">The New Campaign Finance Sourcebook </w:t>
      </w:r>
      <w:r w:rsidRPr="005C2179">
        <w:t>(Brookings Institution Press, 2005) 232 at 234.</w:t>
      </w:r>
    </w:p>
  </w:footnote>
  <w:footnote w:id="310">
    <w:p w14:paraId="6F6EDBD0"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235–36. </w:t>
      </w:r>
    </w:p>
  </w:footnote>
  <w:footnote w:id="311">
    <w:p w14:paraId="0AF3A37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236</w:t>
      </w:r>
    </w:p>
  </w:footnote>
  <w:footnote w:id="312">
    <w:p w14:paraId="3FD2CB18" w14:textId="02F4EE2D" w:rsidR="000B2014" w:rsidRPr="005C2179" w:rsidRDefault="000B2014" w:rsidP="00016158">
      <w:pPr>
        <w:pStyle w:val="FootnoteText"/>
      </w:pPr>
      <w:r w:rsidRPr="005C2179">
        <w:rPr>
          <w:rStyle w:val="FootnoteReference"/>
        </w:rPr>
        <w:footnoteRef/>
      </w:r>
      <w:r w:rsidRPr="005C2179">
        <w:t xml:space="preserve"> See, for e</w:t>
      </w:r>
      <w:r w:rsidR="00813C24" w:rsidRPr="005C2179">
        <w:t>xample, Hasen</w:t>
      </w:r>
      <w:r w:rsidRPr="005C2179">
        <w:t xml:space="preserve"> (2012) 225 at 225.</w:t>
      </w:r>
    </w:p>
  </w:footnote>
  <w:footnote w:id="313">
    <w:p w14:paraId="14C640C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Citizens United v Federal Election Commission, </w:t>
      </w:r>
      <w:r w:rsidRPr="005C2179">
        <w:t xml:space="preserve">588 US 310 at 412 (2009). </w:t>
      </w:r>
    </w:p>
  </w:footnote>
  <w:footnote w:id="314">
    <w:p w14:paraId="14AF925F" w14:textId="77777777" w:rsidR="000B2014" w:rsidRPr="005C2179" w:rsidRDefault="000B2014" w:rsidP="00016158">
      <w:pPr>
        <w:pStyle w:val="FootnoteText"/>
      </w:pPr>
      <w:r w:rsidRPr="005C2179">
        <w:rPr>
          <w:rStyle w:val="FootnoteReference"/>
        </w:rPr>
        <w:footnoteRef/>
      </w:r>
      <w:r w:rsidRPr="005C2179">
        <w:t xml:space="preserve"> Blair Bowie &amp; Adam Lioz, </w:t>
      </w:r>
      <w:r w:rsidRPr="005C2179">
        <w:rPr>
          <w:i/>
        </w:rPr>
        <w:t>Billion-Dollar Democracy: The Unprecedented Role of Money in the 2012 Elections</w:t>
      </w:r>
      <w:r w:rsidRPr="005C2179">
        <w:t xml:space="preserve"> (Demos, 2013) at 8, online: &lt;</w:t>
      </w:r>
      <w:hyperlink r:id="rId14" w:history="1">
        <w:r w:rsidRPr="005C2179">
          <w:rPr>
            <w:rStyle w:val="Hyperlink"/>
          </w:rPr>
          <w:t>http://www.demos.org/publication/billion-dollar-democracy-unprecedented-role-money-2012-elections</w:t>
        </w:r>
      </w:hyperlink>
      <w:r w:rsidRPr="005C2179">
        <w:rPr>
          <w:rStyle w:val="Hyperlink"/>
        </w:rPr>
        <w:t>&gt;</w:t>
      </w:r>
      <w:r w:rsidRPr="005C2179">
        <w:t xml:space="preserve">. </w:t>
      </w:r>
    </w:p>
  </w:footnote>
  <w:footnote w:id="315">
    <w:p w14:paraId="2E8F00F5" w14:textId="77DF100E" w:rsidR="000B2014" w:rsidRPr="005C2179" w:rsidRDefault="000B2014" w:rsidP="00016158">
      <w:pPr>
        <w:pStyle w:val="FootnoteText"/>
      </w:pPr>
      <w:r w:rsidRPr="005C2179">
        <w:rPr>
          <w:rStyle w:val="FootnoteReference"/>
        </w:rPr>
        <w:footnoteRef/>
      </w:r>
      <w:r w:rsidR="00813C24" w:rsidRPr="005C2179">
        <w:t xml:space="preserve"> Dwyre</w:t>
      </w:r>
      <w:r w:rsidRPr="005C2179">
        <w:t xml:space="preserve"> (2015) at 55.</w:t>
      </w:r>
    </w:p>
  </w:footnote>
  <w:footnote w:id="316">
    <w:p w14:paraId="3F24848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46. </w:t>
      </w:r>
    </w:p>
  </w:footnote>
  <w:footnote w:id="317">
    <w:p w14:paraId="76FE1559" w14:textId="1EFF5752" w:rsidR="000B2014" w:rsidRPr="005C2179" w:rsidRDefault="000B2014" w:rsidP="00016158">
      <w:pPr>
        <w:pStyle w:val="FootnoteText"/>
      </w:pPr>
      <w:r w:rsidRPr="005C2179">
        <w:rPr>
          <w:rStyle w:val="FootnoteReference"/>
        </w:rPr>
        <w:footnoteRef/>
      </w:r>
      <w:r w:rsidR="00813C24" w:rsidRPr="005C2179">
        <w:t xml:space="preserve"> Boatright</w:t>
      </w:r>
      <w:r w:rsidRPr="005C2179">
        <w:t xml:space="preserve"> (2015) at 73.</w:t>
      </w:r>
    </w:p>
  </w:footnote>
  <w:footnote w:id="318">
    <w:p w14:paraId="0C85E86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319">
    <w:p w14:paraId="08316EA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Ibid </w:t>
      </w:r>
      <w:r w:rsidRPr="005C2179">
        <w:t>at 87.</w:t>
      </w:r>
    </w:p>
  </w:footnote>
  <w:footnote w:id="320">
    <w:p w14:paraId="6B6E5E6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73.</w:t>
      </w:r>
    </w:p>
  </w:footnote>
  <w:footnote w:id="321">
    <w:p w14:paraId="04283A3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Citizens United v FEC, </w:t>
      </w:r>
      <w:r w:rsidRPr="005C2179">
        <w:t>588 US 310 at 455 (2009).</w:t>
      </w:r>
    </w:p>
  </w:footnote>
  <w:footnote w:id="322">
    <w:p w14:paraId="164DE44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323">
    <w:p w14:paraId="453BA6FA" w14:textId="77777777" w:rsidR="000B2014" w:rsidRPr="005C2179" w:rsidRDefault="000B2014" w:rsidP="00016158">
      <w:pPr>
        <w:pStyle w:val="FootnoteText"/>
      </w:pPr>
      <w:r w:rsidRPr="005C2179">
        <w:rPr>
          <w:rStyle w:val="FootnoteReference"/>
        </w:rPr>
        <w:footnoteRef/>
      </w:r>
      <w:r w:rsidRPr="005C2179">
        <w:t xml:space="preserve"> Of course, the majority of the US Supreme Court does not recognize this kind of exchange as “corruption”: see </w:t>
      </w:r>
      <w:r w:rsidRPr="005C2179">
        <w:rPr>
          <w:i/>
        </w:rPr>
        <w:t xml:space="preserve">Buckley v Valeo, </w:t>
      </w:r>
      <w:r w:rsidRPr="005C2179">
        <w:t>424 US 1 (1976);</w:t>
      </w:r>
      <w:r w:rsidRPr="005C2179">
        <w:rPr>
          <w:i/>
        </w:rPr>
        <w:t xml:space="preserve"> SpeechNow.org v FEC</w:t>
      </w:r>
      <w:r w:rsidRPr="005C2179">
        <w:t>, 599 F (3d) 686 (DC Cir 2010);</w:t>
      </w:r>
      <w:r w:rsidRPr="005C2179">
        <w:rPr>
          <w:i/>
        </w:rPr>
        <w:t xml:space="preserve"> Citizens United v FEC, </w:t>
      </w:r>
      <w:r w:rsidRPr="005C2179">
        <w:t>588 US 310 (2009);</w:t>
      </w:r>
      <w:r w:rsidRPr="005C2179">
        <w:rPr>
          <w:i/>
        </w:rPr>
        <w:t xml:space="preserve"> McCutcheon v FEC, </w:t>
      </w:r>
      <w:r w:rsidRPr="005C2179">
        <w:t>572 US __ (2014) (slip op).</w:t>
      </w:r>
    </w:p>
  </w:footnote>
  <w:footnote w:id="324">
    <w:p w14:paraId="1C819239" w14:textId="6D18DD78" w:rsidR="000B2014" w:rsidRPr="005C2179" w:rsidRDefault="000B2014" w:rsidP="00016158">
      <w:pPr>
        <w:pStyle w:val="FootnoteText"/>
      </w:pPr>
      <w:r w:rsidRPr="005C2179">
        <w:rPr>
          <w:rStyle w:val="FootnoteReference"/>
        </w:rPr>
        <w:footnoteRef/>
      </w:r>
      <w:r w:rsidR="00813C24" w:rsidRPr="005C2179">
        <w:t xml:space="preserve"> Hasen</w:t>
      </w:r>
      <w:r w:rsidRPr="005C2179">
        <w:t xml:space="preserve"> (2012) 225 at 237.</w:t>
      </w:r>
    </w:p>
  </w:footnote>
  <w:footnote w:id="325">
    <w:p w14:paraId="31D3608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Citizens United v FEC, </w:t>
      </w:r>
      <w:r w:rsidRPr="005C2179">
        <w:t>588 US 310 at 455 (2009).</w:t>
      </w:r>
    </w:p>
  </w:footnote>
  <w:footnote w:id="326">
    <w:p w14:paraId="152B3AB8" w14:textId="2F0CDE12" w:rsidR="000B2014" w:rsidRPr="005C2179" w:rsidRDefault="000B2014" w:rsidP="00016158">
      <w:pPr>
        <w:pStyle w:val="FootnoteText"/>
      </w:pPr>
      <w:r w:rsidRPr="005C2179">
        <w:rPr>
          <w:rStyle w:val="FootnoteReference"/>
        </w:rPr>
        <w:footnoteRef/>
      </w:r>
      <w:r w:rsidR="00813C24" w:rsidRPr="005C2179">
        <w:t xml:space="preserve"> Boatright</w:t>
      </w:r>
      <w:r w:rsidRPr="005C2179">
        <w:t xml:space="preserve"> (2015) at 100.</w:t>
      </w:r>
    </w:p>
  </w:footnote>
  <w:footnote w:id="327">
    <w:p w14:paraId="36785B3E" w14:textId="4B6DCE3B" w:rsidR="000B2014" w:rsidRPr="005C2179" w:rsidRDefault="000B2014" w:rsidP="00016158">
      <w:pPr>
        <w:pStyle w:val="FootnoteText"/>
      </w:pPr>
      <w:r w:rsidRPr="005C2179">
        <w:rPr>
          <w:rStyle w:val="FootnoteReference"/>
        </w:rPr>
        <w:footnoteRef/>
      </w:r>
      <w:r w:rsidR="00813C24" w:rsidRPr="005C2179">
        <w:t xml:space="preserve"> Sarbanes</w:t>
      </w:r>
      <w:r w:rsidRPr="005C2179">
        <w:t xml:space="preserve"> (2016) at 33.</w:t>
      </w:r>
    </w:p>
  </w:footnote>
  <w:footnote w:id="328">
    <w:p w14:paraId="42512E6B" w14:textId="0BD325D3" w:rsidR="000B2014" w:rsidRPr="005C2179" w:rsidRDefault="000B2014" w:rsidP="00016158">
      <w:pPr>
        <w:pStyle w:val="FootnoteText"/>
      </w:pPr>
      <w:r w:rsidRPr="005C2179">
        <w:rPr>
          <w:rStyle w:val="FootnoteReference"/>
        </w:rPr>
        <w:footnoteRef/>
      </w:r>
      <w:r w:rsidR="00813C24" w:rsidRPr="005C2179">
        <w:t xml:space="preserve"> Kang</w:t>
      </w:r>
      <w:r w:rsidRPr="005C2179">
        <w:t xml:space="preserve"> (2016) at 536.</w:t>
      </w:r>
    </w:p>
  </w:footnote>
  <w:footnote w:id="329">
    <w:p w14:paraId="3F6E90FE" w14:textId="179A1A21" w:rsidR="000B2014" w:rsidRPr="005C2179" w:rsidRDefault="000B2014" w:rsidP="00016158">
      <w:pPr>
        <w:pStyle w:val="FootnoteText"/>
      </w:pPr>
      <w:r w:rsidRPr="005C2179">
        <w:rPr>
          <w:rStyle w:val="FootnoteReference"/>
        </w:rPr>
        <w:footnoteRef/>
      </w:r>
      <w:r w:rsidR="00813C24" w:rsidRPr="005C2179">
        <w:t xml:space="preserve"> Hasen</w:t>
      </w:r>
      <w:r w:rsidRPr="005C2179">
        <w:t xml:space="preserve"> (2012) 225 at 234.</w:t>
      </w:r>
    </w:p>
  </w:footnote>
  <w:footnote w:id="330">
    <w:p w14:paraId="0FBD3D1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229. </w:t>
      </w:r>
    </w:p>
  </w:footnote>
  <w:footnote w:id="331">
    <w:p w14:paraId="69DE3708" w14:textId="6D0A5D71" w:rsidR="000B2014" w:rsidRPr="005C2179" w:rsidRDefault="000B2014" w:rsidP="00016158">
      <w:pPr>
        <w:pStyle w:val="FootnoteText"/>
      </w:pPr>
      <w:r w:rsidRPr="005C2179">
        <w:rPr>
          <w:rStyle w:val="FootnoteReference"/>
        </w:rPr>
        <w:footnoteRef/>
      </w:r>
      <w:r w:rsidRPr="005C2179">
        <w:t xml:space="preserve"> </w:t>
      </w:r>
      <w:r w:rsidR="00813C24" w:rsidRPr="005C2179">
        <w:t>Dwyre</w:t>
      </w:r>
      <w:r w:rsidRPr="005C2179">
        <w:t xml:space="preserve"> (2015) at 34.</w:t>
      </w:r>
    </w:p>
  </w:footnote>
  <w:footnote w:id="332">
    <w:p w14:paraId="0CF2224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Ibid </w:t>
      </w:r>
      <w:r w:rsidRPr="005C2179">
        <w:t>at 35.</w:t>
      </w:r>
    </w:p>
  </w:footnote>
  <w:footnote w:id="333">
    <w:p w14:paraId="40198E47" w14:textId="7F77BDBA" w:rsidR="000B2014" w:rsidRPr="005C2179" w:rsidRDefault="000B2014" w:rsidP="00016158">
      <w:pPr>
        <w:pStyle w:val="FootnoteText"/>
      </w:pPr>
      <w:r w:rsidRPr="005C2179">
        <w:rPr>
          <w:rStyle w:val="FootnoteReference"/>
        </w:rPr>
        <w:footnoteRef/>
      </w:r>
      <w:r w:rsidR="00813C24" w:rsidRPr="005C2179">
        <w:t xml:space="preserve"> Hasen</w:t>
      </w:r>
      <w:r w:rsidRPr="005C2179">
        <w:t xml:space="preserve"> (2012) 225 at 225.</w:t>
      </w:r>
    </w:p>
  </w:footnote>
  <w:footnote w:id="334">
    <w:p w14:paraId="2F74122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335">
    <w:p w14:paraId="12E8821D" w14:textId="77777777" w:rsidR="000B2014" w:rsidRPr="005C2179" w:rsidRDefault="000B2014" w:rsidP="00016158">
      <w:pPr>
        <w:pStyle w:val="FootnoteText"/>
      </w:pPr>
      <w:r w:rsidRPr="005C2179">
        <w:rPr>
          <w:rStyle w:val="FootnoteReference"/>
        </w:rPr>
        <w:footnoteRef/>
      </w:r>
      <w:r w:rsidRPr="005C2179">
        <w:t xml:space="preserve"> Adam Nagourney &amp; Jeff Zeleny, “Obama Forgoes Public Funds in First for Major Candidate”, </w:t>
      </w:r>
      <w:r w:rsidRPr="005C2179">
        <w:rPr>
          <w:i/>
        </w:rPr>
        <w:t xml:space="preserve">The New York Times </w:t>
      </w:r>
      <w:r w:rsidRPr="005C2179">
        <w:t>(20 June 2008), online: &lt;</w:t>
      </w:r>
      <w:hyperlink r:id="rId15" w:history="1">
        <w:r w:rsidRPr="005C2179">
          <w:rPr>
            <w:rStyle w:val="Hyperlink"/>
          </w:rPr>
          <w:t>http://www.nytimes.com/2008/06/20/us/politics/20obamacnd.html</w:t>
        </w:r>
      </w:hyperlink>
      <w:r w:rsidRPr="005C2179">
        <w:t xml:space="preserve">&gt;. </w:t>
      </w:r>
    </w:p>
  </w:footnote>
  <w:footnote w:id="336">
    <w:p w14:paraId="7CD44B41" w14:textId="288E5F00" w:rsidR="000B2014" w:rsidRPr="005C2179" w:rsidRDefault="000B2014" w:rsidP="00016158">
      <w:pPr>
        <w:pStyle w:val="FootnoteText"/>
      </w:pPr>
      <w:r w:rsidRPr="005C2179">
        <w:rPr>
          <w:rStyle w:val="FootnoteReference"/>
        </w:rPr>
        <w:footnoteRef/>
      </w:r>
      <w:r w:rsidR="00813C24" w:rsidRPr="005C2179">
        <w:t xml:space="preserve"> Mann</w:t>
      </w:r>
      <w:r w:rsidRPr="005C2179">
        <w:t xml:space="preserve"> (2005) 232 at 237.</w:t>
      </w:r>
    </w:p>
  </w:footnote>
  <w:footnote w:id="337">
    <w:p w14:paraId="7757E9B5" w14:textId="77777777" w:rsidR="000B2014" w:rsidRPr="005C2179" w:rsidRDefault="000B2014" w:rsidP="00016158">
      <w:pPr>
        <w:pStyle w:val="FootnoteText"/>
        <w:rPr>
          <w:i/>
        </w:rPr>
      </w:pPr>
      <w:r w:rsidRPr="005C2179">
        <w:rPr>
          <w:rStyle w:val="FootnoteReference"/>
        </w:rPr>
        <w:footnoteRef/>
      </w:r>
      <w:r w:rsidRPr="005C2179">
        <w:t xml:space="preserve"> </w:t>
      </w:r>
      <w:r w:rsidRPr="005C2179">
        <w:rPr>
          <w:i/>
        </w:rPr>
        <w:t xml:space="preserve">Ibid. </w:t>
      </w:r>
    </w:p>
  </w:footnote>
  <w:footnote w:id="338">
    <w:p w14:paraId="02ADB094" w14:textId="77777777" w:rsidR="000B2014" w:rsidRPr="005C2179" w:rsidRDefault="000B2014" w:rsidP="00016158">
      <w:pPr>
        <w:pStyle w:val="FootnoteText"/>
      </w:pPr>
      <w:r w:rsidRPr="005C2179">
        <w:rPr>
          <w:rStyle w:val="FootnoteReference"/>
        </w:rPr>
        <w:footnoteRef/>
      </w:r>
      <w:r w:rsidRPr="005C2179">
        <w:t xml:space="preserve"> The problem of complexity was pointed in </w:t>
      </w:r>
      <w:r w:rsidRPr="005C2179">
        <w:rPr>
          <w:i/>
        </w:rPr>
        <w:t xml:space="preserve">Citizens United v FEC, </w:t>
      </w:r>
      <w:r w:rsidRPr="005C2179">
        <w:t xml:space="preserve">588 US 310 at 335–36 (2009). </w:t>
      </w:r>
    </w:p>
  </w:footnote>
  <w:footnote w:id="339">
    <w:p w14:paraId="5C5BDFED" w14:textId="147E1CE9" w:rsidR="000B2014" w:rsidRPr="005C2179" w:rsidRDefault="000B2014" w:rsidP="00016158">
      <w:pPr>
        <w:pStyle w:val="FootnoteText"/>
      </w:pPr>
      <w:r w:rsidRPr="005C2179">
        <w:rPr>
          <w:rStyle w:val="FootnoteReference"/>
        </w:rPr>
        <w:footnoteRef/>
      </w:r>
      <w:r w:rsidRPr="005C2179">
        <w:t xml:space="preserve"> Dwyre (2015) at 34.</w:t>
      </w:r>
    </w:p>
  </w:footnote>
  <w:footnote w:id="340">
    <w:p w14:paraId="785CE84E" w14:textId="77777777" w:rsidR="000B2014" w:rsidRPr="005C2179" w:rsidRDefault="000B2014" w:rsidP="00016158">
      <w:pPr>
        <w:pStyle w:val="FootnoteText"/>
      </w:pPr>
      <w:r w:rsidRPr="005C2179">
        <w:rPr>
          <w:rStyle w:val="FootnoteReference"/>
        </w:rPr>
        <w:footnoteRef/>
      </w:r>
      <w:r w:rsidRPr="005C2179">
        <w:t xml:space="preserve"> See Justin Fisher, “Britain’s ‘Stop-Go’ Approach to Party Finance Reform” in Robert G Boatright, ed, </w:t>
      </w:r>
      <w:r w:rsidRPr="005C2179">
        <w:rPr>
          <w:i/>
        </w:rPr>
        <w:t xml:space="preserve">The Deregulatory Moment? A Comparative Perspective on Changing Campaign Finance Laws </w:t>
      </w:r>
      <w:r w:rsidRPr="005C2179">
        <w:t>(University of Michigan Press, 2015).</w:t>
      </w:r>
    </w:p>
  </w:footnote>
  <w:footnote w:id="341">
    <w:p w14:paraId="1F48EBCE" w14:textId="3E3DEC8B" w:rsidR="000B2014" w:rsidRPr="005C2179" w:rsidRDefault="000B2014" w:rsidP="00016158">
      <w:pPr>
        <w:pStyle w:val="FootnoteText"/>
      </w:pPr>
      <w:r w:rsidRPr="005C2179">
        <w:rPr>
          <w:rStyle w:val="FootnoteReference"/>
        </w:rPr>
        <w:footnoteRef/>
      </w:r>
      <w:r w:rsidRPr="005C2179">
        <w:t xml:space="preserve"> See </w:t>
      </w:r>
      <w:r w:rsidRPr="005C2179">
        <w:rPr>
          <w:highlight w:val="cyan"/>
        </w:rPr>
        <w:t>Section 8.1.2</w:t>
      </w:r>
      <w:r w:rsidRPr="005C2179">
        <w:t xml:space="preserve">, below, for a discussion of freedom of speech jurisprudence in the US. Issacharoff points out that the UK has a tradition of treating elections as “an administrative tallying of preferences as they exist”, which could play a part in the courts’ willingness to allow limits on freedom of expression during elections: Samuel Issacharoff, “The Constitutional Logic of Campaign Finance Regulation” (2009) 26 </w:t>
      </w:r>
      <w:r w:rsidRPr="005C2179">
        <w:rPr>
          <w:i/>
        </w:rPr>
        <w:t xml:space="preserve">Pepperdine L Rev </w:t>
      </w:r>
      <w:r w:rsidRPr="005C2179">
        <w:t xml:space="preserve">373 at 384. </w:t>
      </w:r>
    </w:p>
  </w:footnote>
  <w:footnote w:id="342">
    <w:p w14:paraId="4B8AEDDD" w14:textId="77777777" w:rsidR="000B2014" w:rsidRPr="005C2179" w:rsidRDefault="000B2014" w:rsidP="00016158">
      <w:pPr>
        <w:pStyle w:val="FootnoteText"/>
      </w:pPr>
      <w:r w:rsidRPr="005C2179">
        <w:rPr>
          <w:rStyle w:val="FootnoteReference"/>
        </w:rPr>
        <w:footnoteRef/>
      </w:r>
      <w:r w:rsidRPr="005C2179">
        <w:t xml:space="preserve"> Brexit does not directly affect the weight of the Convention and ECtHR decisions in the UK. The ECtHR is a judicial body of the Council of Europe, which is separate from the European Union, and the Convention is incorporated into UK law through the UK </w:t>
      </w:r>
      <w:r w:rsidRPr="005C2179">
        <w:rPr>
          <w:i/>
        </w:rPr>
        <w:t>Human Rights Act</w:t>
      </w:r>
      <w:r w:rsidRPr="005C2179">
        <w:t xml:space="preserve">. For more information, see Chloe Smith, “Lawyers fear for UK’s future in ECHR after Brexit vote”, </w:t>
      </w:r>
      <w:r w:rsidRPr="005C2179">
        <w:rPr>
          <w:i/>
        </w:rPr>
        <w:t xml:space="preserve">The Law Society Gazette </w:t>
      </w:r>
      <w:r w:rsidRPr="005C2179">
        <w:t>(24 June 2016), online: &lt;</w:t>
      </w:r>
      <w:hyperlink r:id="rId16" w:history="1">
        <w:r w:rsidRPr="005C2179">
          <w:rPr>
            <w:rStyle w:val="Hyperlink"/>
          </w:rPr>
          <w:t>https://www.lawgazette.co.uk/law/lawyers-fear-for-uks-future-in-echr-after-brexit-vote/5056112.article</w:t>
        </w:r>
      </w:hyperlink>
      <w:r w:rsidRPr="005C2179">
        <w:t>&gt;.</w:t>
      </w:r>
    </w:p>
  </w:footnote>
  <w:footnote w:id="343">
    <w:p w14:paraId="2BD421A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Convention for the Protection of Human Rights and Fundamental Freedoms, </w:t>
      </w:r>
      <w:r w:rsidRPr="005C2179">
        <w:t>4 November 1950, 213 UNTS 221.</w:t>
      </w:r>
    </w:p>
  </w:footnote>
  <w:footnote w:id="344">
    <w:p w14:paraId="041D0DB8"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Protocol to the Convention for the Protection of Human Rights and Fundamental Freedoms </w:t>
      </w:r>
      <w:r w:rsidRPr="005C2179">
        <w:t xml:space="preserve">1952, ETS No 009. </w:t>
      </w:r>
    </w:p>
  </w:footnote>
  <w:footnote w:id="345">
    <w:p w14:paraId="69A408D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Bowman v the United Kingdom </w:t>
      </w:r>
      <w:r w:rsidRPr="005C2179">
        <w:t>(1998), No 24839/94, [1998] I ECHR 4. Paragraph numbers cited to online version: &lt;</w:t>
      </w:r>
      <w:hyperlink r:id="rId17" w:anchor="{&quot;itemid&quot;:[&quot;001-58134&quot;]}" w:history="1">
        <w:r w:rsidRPr="005C2179">
          <w:rPr>
            <w:rStyle w:val="Hyperlink"/>
          </w:rPr>
          <w:t>http://hudoc.echr.coe.int/eng#{"itemid":["001-58134"]}</w:t>
        </w:r>
      </w:hyperlink>
      <w:r w:rsidRPr="005C2179">
        <w:t>&gt;.</w:t>
      </w:r>
    </w:p>
  </w:footnote>
  <w:footnote w:id="346">
    <w:p w14:paraId="54F3CE0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Bowman v the United Kingdom </w:t>
      </w:r>
      <w:r w:rsidRPr="005C2179">
        <w:t>(1998), No 24839/94, [1998] I ECHR 4 at paras 11–12.</w:t>
      </w:r>
    </w:p>
  </w:footnote>
  <w:footnote w:id="347">
    <w:p w14:paraId="2834165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Ibid </w:t>
      </w:r>
      <w:r w:rsidRPr="005C2179">
        <w:t>at para 38.</w:t>
      </w:r>
    </w:p>
  </w:footnote>
  <w:footnote w:id="348">
    <w:p w14:paraId="714B11F3"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para 45.</w:t>
      </w:r>
    </w:p>
  </w:footnote>
  <w:footnote w:id="349">
    <w:p w14:paraId="67FC9681" w14:textId="77777777" w:rsidR="000B2014" w:rsidRPr="005C2179" w:rsidRDefault="000B2014" w:rsidP="00016158">
      <w:pPr>
        <w:pStyle w:val="FootnoteText"/>
      </w:pPr>
      <w:r w:rsidRPr="005C2179">
        <w:rPr>
          <w:rStyle w:val="FootnoteReference"/>
        </w:rPr>
        <w:footnoteRef/>
      </w:r>
      <w:r w:rsidRPr="005C2179">
        <w:t xml:space="preserve"> See </w:t>
      </w:r>
      <w:r w:rsidRPr="005C2179">
        <w:rPr>
          <w:highlight w:val="cyan"/>
        </w:rPr>
        <w:t>Section 9.2.3.3</w:t>
      </w:r>
      <w:r w:rsidRPr="005C2179">
        <w:t xml:space="preserve">, below, for current rules on third-party spending limits at the constituency level. </w:t>
      </w:r>
    </w:p>
  </w:footnote>
  <w:footnote w:id="350">
    <w:p w14:paraId="6026BD2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Bowman v the United Kingdom </w:t>
      </w:r>
      <w:r w:rsidRPr="005C2179">
        <w:t>(1998), No 24839/94, [1998] I ECHR 4 at para 42.</w:t>
      </w:r>
    </w:p>
  </w:footnote>
  <w:footnote w:id="351">
    <w:p w14:paraId="4934AA9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para 42.</w:t>
      </w:r>
    </w:p>
  </w:footnote>
  <w:footnote w:id="352">
    <w:p w14:paraId="04820A2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Animal Defenders International v the United Kingdom </w:t>
      </w:r>
      <w:r w:rsidRPr="005C2179">
        <w:t>[GC], No 48876/08, [2013] II ECHR 203.</w:t>
      </w:r>
    </w:p>
  </w:footnote>
  <w:footnote w:id="353">
    <w:p w14:paraId="0BCC27B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Communications Act 2003 </w:t>
      </w:r>
      <w:r w:rsidRPr="005C2179">
        <w:t xml:space="preserve">(UK), c 21, s 321(2),(3). Broadcasters must provide free airtime to political parties for political and campaign broadcasts: </w:t>
      </w:r>
      <w:r w:rsidRPr="005C2179">
        <w:rPr>
          <w:i/>
        </w:rPr>
        <w:t xml:space="preserve">Communications Act 2003 </w:t>
      </w:r>
      <w:r w:rsidRPr="005C2179">
        <w:t xml:space="preserve">(UK), c 21, ss 319(2)(g), 333. </w:t>
      </w:r>
    </w:p>
  </w:footnote>
  <w:footnote w:id="354">
    <w:p w14:paraId="321CCED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 (Animal Defenders International) v Secretary of State for Culture, Media and Sport, </w:t>
      </w:r>
      <w:r w:rsidRPr="005C2179">
        <w:t xml:space="preserve">[2008] UKHL 15 (BAILII) at para 48, Hale B. </w:t>
      </w:r>
    </w:p>
  </w:footnote>
  <w:footnote w:id="355">
    <w:p w14:paraId="1637871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p>
  </w:footnote>
  <w:footnote w:id="356">
    <w:p w14:paraId="6B4547C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para 47.</w:t>
      </w:r>
    </w:p>
  </w:footnote>
  <w:footnote w:id="357">
    <w:p w14:paraId="5BE07F4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Animal Defenders International v the United Kingdom </w:t>
      </w:r>
      <w:r w:rsidRPr="005C2179">
        <w:t>[GC], No 48876/08, [2013] II ECHR 203 at para 78.</w:t>
      </w:r>
    </w:p>
  </w:footnote>
  <w:footnote w:id="358">
    <w:p w14:paraId="4E7EBD2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para 112. </w:t>
      </w:r>
    </w:p>
  </w:footnote>
  <w:footnote w:id="359">
    <w:p w14:paraId="6F2B412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paras 117–22.</w:t>
      </w:r>
    </w:p>
  </w:footnote>
  <w:footnote w:id="360">
    <w:p w14:paraId="696F7A03"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w:t>
      </w:r>
    </w:p>
  </w:footnote>
  <w:footnote w:id="361">
    <w:p w14:paraId="74A8C73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para 124. </w:t>
      </w:r>
    </w:p>
  </w:footnote>
  <w:footnote w:id="362">
    <w:p w14:paraId="09F05C8F" w14:textId="77777777" w:rsidR="000B2014" w:rsidRPr="005C2179" w:rsidRDefault="000B2014" w:rsidP="00016158">
      <w:pPr>
        <w:pStyle w:val="FootnoteText"/>
      </w:pPr>
      <w:r w:rsidRPr="005C2179">
        <w:rPr>
          <w:rStyle w:val="FootnoteReference"/>
        </w:rPr>
        <w:footnoteRef/>
      </w:r>
      <w:r w:rsidRPr="005C2179">
        <w:t xml:space="preserve"> See </w:t>
      </w:r>
      <w:r w:rsidRPr="005C2179">
        <w:rPr>
          <w:highlight w:val="cyan"/>
        </w:rPr>
        <w:t>Section 10.1.2</w:t>
      </w:r>
      <w:r w:rsidRPr="005C2179">
        <w:t>, below.</w:t>
      </w:r>
    </w:p>
  </w:footnote>
  <w:footnote w:id="363">
    <w:p w14:paraId="651B94EA" w14:textId="50930750" w:rsidR="000B2014" w:rsidRPr="005C2179" w:rsidRDefault="000B2014" w:rsidP="00016158">
      <w:pPr>
        <w:pStyle w:val="FootnoteText"/>
      </w:pPr>
      <w:r w:rsidRPr="005C2179">
        <w:rPr>
          <w:rStyle w:val="FootnoteReference"/>
        </w:rPr>
        <w:footnoteRef/>
      </w:r>
      <w:r w:rsidR="00426E56" w:rsidRPr="005C2179">
        <w:t xml:space="preserve"> Fiss</w:t>
      </w:r>
      <w:r w:rsidRPr="005C2179">
        <w:t xml:space="preserve"> (1996). See </w:t>
      </w:r>
      <w:r w:rsidRPr="005C2179">
        <w:rPr>
          <w:highlight w:val="cyan"/>
        </w:rPr>
        <w:t>Section 5.1</w:t>
      </w:r>
      <w:r w:rsidRPr="005C2179">
        <w:t>, above, for more on Fiss’ arguments regarding freedom of speech and campaign finance regulation.</w:t>
      </w:r>
    </w:p>
  </w:footnote>
  <w:footnote w:id="364">
    <w:p w14:paraId="6E2CD35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w:t>
      </w:r>
    </w:p>
  </w:footnote>
  <w:footnote w:id="365">
    <w:p w14:paraId="48B46D8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 xml:space="preserve">(UK), c 2. </w:t>
      </w:r>
    </w:p>
  </w:footnote>
  <w:footnote w:id="366">
    <w:p w14:paraId="4CDA7B1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Electoral Administration Act 2006, </w:t>
      </w:r>
      <w:r w:rsidRPr="005C2179">
        <w:t xml:space="preserve">c 22. </w:t>
      </w:r>
    </w:p>
  </w:footnote>
  <w:footnote w:id="367">
    <w:p w14:paraId="74B0A07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and Elections Act 2009 </w:t>
      </w:r>
      <w:r w:rsidRPr="005C2179">
        <w:t xml:space="preserve">(UK), c 12. </w:t>
      </w:r>
    </w:p>
  </w:footnote>
  <w:footnote w:id="368">
    <w:p w14:paraId="37087B73"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Transparency of Lobbying, Non-Party Campaigning and Trade Union Administration Act 2014</w:t>
      </w:r>
      <w:r w:rsidRPr="005C2179">
        <w:t xml:space="preserve"> (UK), c 4. </w:t>
      </w:r>
    </w:p>
  </w:footnote>
  <w:footnote w:id="369">
    <w:p w14:paraId="5B74C79D" w14:textId="25AAE36D" w:rsidR="000B2014" w:rsidRPr="005C2179" w:rsidRDefault="000B2014" w:rsidP="00016158">
      <w:pPr>
        <w:pStyle w:val="FootnoteText"/>
      </w:pPr>
      <w:r w:rsidRPr="005C2179">
        <w:rPr>
          <w:rStyle w:val="FootnoteReference"/>
        </w:rPr>
        <w:footnoteRef/>
      </w:r>
      <w:r w:rsidRPr="005C2179">
        <w:t xml:space="preserve"> Ewing &amp; Rowbottom (2012) at 77.</w:t>
      </w:r>
    </w:p>
  </w:footnote>
  <w:footnote w:id="370">
    <w:p w14:paraId="2A1AADE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Attorney General v Jones, </w:t>
      </w:r>
      <w:r w:rsidRPr="005C2179">
        <w:t>[1999] 2 Cr App R 253.</w:t>
      </w:r>
    </w:p>
  </w:footnote>
  <w:footnote w:id="371">
    <w:p w14:paraId="5C8E1E8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255.</w:t>
      </w:r>
    </w:p>
  </w:footnote>
  <w:footnote w:id="372">
    <w:p w14:paraId="53370ACC" w14:textId="77777777" w:rsidR="000B2014" w:rsidRPr="005C2179" w:rsidRDefault="000B2014" w:rsidP="00016158">
      <w:pPr>
        <w:pStyle w:val="FootnoteText"/>
      </w:pPr>
      <w:r w:rsidRPr="005C2179">
        <w:rPr>
          <w:rStyle w:val="FootnoteReference"/>
        </w:rPr>
        <w:footnoteRef/>
      </w:r>
      <w:r w:rsidRPr="005C2179">
        <w:t xml:space="preserve"> See, e.g., </w:t>
      </w:r>
      <w:r w:rsidRPr="005C2179">
        <w:rPr>
          <w:i/>
        </w:rPr>
        <w:t xml:space="preserve">Buckley v Valeo, </w:t>
      </w:r>
      <w:r w:rsidRPr="005C2179">
        <w:t>424 US 1 (1976)</w:t>
      </w:r>
      <w:r w:rsidRPr="005C2179">
        <w:rPr>
          <w:i/>
        </w:rPr>
        <w:t xml:space="preserve">. </w:t>
      </w:r>
    </w:p>
  </w:footnote>
  <w:footnote w:id="373">
    <w:p w14:paraId="01A60C7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(UK), c 41, s 72(2).</w:t>
      </w:r>
    </w:p>
  </w:footnote>
  <w:footnote w:id="374">
    <w:p w14:paraId="5A38778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 72(4).</w:t>
      </w:r>
    </w:p>
  </w:footnote>
  <w:footnote w:id="375">
    <w:p w14:paraId="434EA1D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 72(5)(a).</w:t>
      </w:r>
    </w:p>
  </w:footnote>
  <w:footnote w:id="376">
    <w:p w14:paraId="3AA420C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72(5)(b). </w:t>
      </w:r>
    </w:p>
  </w:footnote>
  <w:footnote w:id="377">
    <w:p w14:paraId="45896FE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72(6). </w:t>
      </w:r>
    </w:p>
  </w:footnote>
  <w:footnote w:id="378">
    <w:p w14:paraId="4497621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Schedule 9, para 3(7).</w:t>
      </w:r>
    </w:p>
  </w:footnote>
  <w:footnote w:id="379">
    <w:p w14:paraId="7E9BC0E8"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(UK), c 2, s 90ZA(1).</w:t>
      </w:r>
    </w:p>
  </w:footnote>
  <w:footnote w:id="380">
    <w:p w14:paraId="3844845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ss 90ZA(3),(6). </w:t>
      </w:r>
    </w:p>
  </w:footnote>
  <w:footnote w:id="381">
    <w:p w14:paraId="37959B0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4A, para 8. </w:t>
      </w:r>
    </w:p>
  </w:footnote>
  <w:footnote w:id="382">
    <w:p w14:paraId="016A2A5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4A, para 10. </w:t>
      </w:r>
    </w:p>
  </w:footnote>
  <w:footnote w:id="383">
    <w:p w14:paraId="60E67B8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Schedule 9, paras 3(2)–(3),(7). </w:t>
      </w:r>
    </w:p>
  </w:footnote>
  <w:footnote w:id="384">
    <w:p w14:paraId="051CFD67" w14:textId="77777777" w:rsidR="000B2014" w:rsidRPr="005C2179" w:rsidRDefault="000B2014" w:rsidP="00016158">
      <w:pPr>
        <w:pStyle w:val="FootnoteText"/>
      </w:pPr>
      <w:r w:rsidRPr="005C2179">
        <w:rPr>
          <w:rStyle w:val="FootnoteReference"/>
        </w:rPr>
        <w:footnoteRef/>
      </w:r>
      <w:r w:rsidRPr="005C2179">
        <w:t xml:space="preserve"> Ron Johnston &amp; Charles Pattie, “Local Parties, Local Money, and Local Campaigns: Regulatory Issues” in Keith D Ewing, Jacob Rowbottom &amp; Joo-Cheong Tham, eds, </w:t>
      </w:r>
      <w:r w:rsidRPr="005C2179">
        <w:rPr>
          <w:i/>
        </w:rPr>
        <w:t xml:space="preserve">The Funding of Political Parties: Where Now? </w:t>
      </w:r>
      <w:r w:rsidRPr="005C2179">
        <w:t xml:space="preserve">(Routledge, 2012) at 92. </w:t>
      </w:r>
    </w:p>
  </w:footnote>
  <w:footnote w:id="385">
    <w:p w14:paraId="443208D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w:t>
      </w:r>
    </w:p>
  </w:footnote>
  <w:footnote w:id="386">
    <w:p w14:paraId="4E89472A" w14:textId="472FD99E" w:rsidR="000B2014" w:rsidRPr="005C2179" w:rsidRDefault="000B2014" w:rsidP="00016158">
      <w:pPr>
        <w:pStyle w:val="FootnoteText"/>
      </w:pPr>
      <w:r w:rsidRPr="005C2179">
        <w:rPr>
          <w:rStyle w:val="FootnoteReference"/>
        </w:rPr>
        <w:footnoteRef/>
      </w:r>
      <w:r w:rsidRPr="005C2179">
        <w:t xml:space="preserve"> Ewing &amp; Rowbottom (2012) at 80.</w:t>
      </w:r>
    </w:p>
  </w:footnote>
  <w:footnote w:id="387">
    <w:p w14:paraId="037BFF29" w14:textId="629B9042" w:rsidR="000B2014" w:rsidRPr="005C2179" w:rsidRDefault="000B2014" w:rsidP="00016158">
      <w:pPr>
        <w:pStyle w:val="FootnoteText"/>
      </w:pPr>
      <w:r w:rsidRPr="005C2179">
        <w:rPr>
          <w:rStyle w:val="FootnoteReference"/>
        </w:rPr>
        <w:footnoteRef/>
      </w:r>
      <w:r w:rsidRPr="005C2179">
        <w:t xml:space="preserve"> UK Electoral Commission, “UK Parliamentary general election 2015: Guidance for candidates and agents, Part 3 of 6 – Spending and donations” at 6, online: &lt;</w:t>
      </w:r>
      <w:hyperlink r:id="rId18" w:history="1">
        <w:r w:rsidR="00A14DF7" w:rsidRPr="00371F06">
          <w:rPr>
            <w:rStyle w:val="Hyperlink"/>
          </w:rPr>
          <w:t>http://www.electoralcommission.org.uk/</w:t>
        </w:r>
        <w:r w:rsidR="00A14DF7" w:rsidRPr="00371F06">
          <w:rPr>
            <w:rStyle w:val="Hyperlink"/>
          </w:rPr>
          <w:br/>
          <w:t>__data/assets/pdf_file/0004/173074/UKPGE-Part-3-Spending-and-donations.pdf</w:t>
        </w:r>
      </w:hyperlink>
      <w:r w:rsidRPr="005C2179">
        <w:t>&gt;.</w:t>
      </w:r>
    </w:p>
  </w:footnote>
  <w:footnote w:id="388">
    <w:p w14:paraId="46F886C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(UK), c 2, s 90ZA.</w:t>
      </w:r>
    </w:p>
  </w:footnote>
  <w:footnote w:id="389">
    <w:p w14:paraId="4756A98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76; </w:t>
      </w:r>
      <w:r w:rsidRPr="005C2179">
        <w:rPr>
          <w:i/>
        </w:rPr>
        <w:t>Representation of the People (Variation of Limits of Candidates’ Election Expenses) Order 2014</w:t>
      </w:r>
      <w:r w:rsidRPr="005C2179">
        <w:t>, SI 2014/1870, art 4. See also</w:t>
      </w:r>
      <w:r w:rsidRPr="005C2179">
        <w:rPr>
          <w:i/>
        </w:rPr>
        <w:t xml:space="preserve"> </w:t>
      </w:r>
      <w:r w:rsidRPr="005C2179">
        <w:t>United Kingdom Electoral Commission, “UK Parliamentary general election 2015: Guidance for candidates and agents, Part 3 of 6 – Spending and donations” at 7, online: &lt;</w:t>
      </w:r>
      <w:hyperlink r:id="rId19" w:history="1">
        <w:r w:rsidRPr="005C2179">
          <w:rPr>
            <w:rStyle w:val="Hyperlink"/>
          </w:rPr>
          <w:t>http://www.electoralcommission.org.uk/__data/assets/pdf_file/0004/173074/UKPGE-Part-3-Spending-and-donations.pdf</w:t>
        </w:r>
      </w:hyperlink>
      <w:r w:rsidRPr="005C2179">
        <w:t>&gt;; United Kingdom Electoral Commission, “UK Parliamentary general election 2017: Guidance for candidates and agents, Part 3 of 6 – Spending and donations” at 7, online: &lt;</w:t>
      </w:r>
      <w:hyperlink r:id="rId20" w:history="1">
        <w:r w:rsidRPr="005C2179">
          <w:rPr>
            <w:rStyle w:val="Hyperlink"/>
          </w:rPr>
          <w:t>https://www.electoralcommission.org.uk/__data/assets/pdf_file/0019/214516/UKPGE-Part-3-Spending-and-donations.pdf</w:t>
        </w:r>
      </w:hyperlink>
      <w:r w:rsidRPr="005C2179">
        <w:t xml:space="preserve">&gt;. In the 2017 parliamentary general election, there was no pre-candidacy spending limit, since Parliament was dissolved before the 55-month period expired. </w:t>
      </w:r>
    </w:p>
  </w:footnote>
  <w:footnote w:id="390">
    <w:p w14:paraId="62B26CD8"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 xml:space="preserve">(UK), c 2, s 76ZA. Note that, for the purposes of section 76ZA, the definition of “election expenses” in section 90ZA(1) is changed to omit the words “after the date when he becomes a candidate at the election”: s 76ZA(1). </w:t>
      </w:r>
    </w:p>
  </w:footnote>
  <w:footnote w:id="391">
    <w:p w14:paraId="72067B4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76ZA(2); </w:t>
      </w:r>
      <w:r w:rsidRPr="005C2179">
        <w:rPr>
          <w:i/>
        </w:rPr>
        <w:t>Representation of the People (Variation of Limits of Candidates’ Election Expenses) Order 2014</w:t>
      </w:r>
      <w:r w:rsidRPr="005C2179">
        <w:t>, SI 2014/1870, art 4. See also</w:t>
      </w:r>
      <w:r w:rsidRPr="005C2179">
        <w:rPr>
          <w:i/>
        </w:rPr>
        <w:t xml:space="preserve"> </w:t>
      </w:r>
      <w:r w:rsidRPr="005C2179">
        <w:t>United Kingdom Electoral Commission, “UK Parliamentary general election 2015: Guidance for candidates and agents, Part 3 of 6 – Spending and donations” at 7, online: &lt;</w:t>
      </w:r>
      <w:hyperlink r:id="rId21" w:history="1">
        <w:r w:rsidRPr="005C2179">
          <w:rPr>
            <w:rStyle w:val="Hyperlink"/>
          </w:rPr>
          <w:t>http://www.electoralcommission.org.uk/__data/assets/pdf_file/0004/173074/UKPGE-Part-3-Spending-and-donations.pdf</w:t>
        </w:r>
      </w:hyperlink>
      <w:r w:rsidRPr="005C2179">
        <w:t>&gt;.</w:t>
      </w:r>
    </w:p>
  </w:footnote>
  <w:footnote w:id="392">
    <w:p w14:paraId="7DB4205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 51(3). </w:t>
      </w:r>
    </w:p>
  </w:footnote>
  <w:footnote w:id="393">
    <w:p w14:paraId="0249A9D0"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52(1). </w:t>
      </w:r>
    </w:p>
  </w:footnote>
  <w:footnote w:id="394">
    <w:p w14:paraId="5F043BF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52(2). </w:t>
      </w:r>
    </w:p>
  </w:footnote>
  <w:footnote w:id="395">
    <w:p w14:paraId="407C934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ss 71F(3),(12)(b).</w:t>
      </w:r>
    </w:p>
  </w:footnote>
  <w:footnote w:id="396">
    <w:p w14:paraId="062AC58A" w14:textId="3A9A1101" w:rsidR="000B2014" w:rsidRPr="005C2179" w:rsidRDefault="000B2014" w:rsidP="00016158">
      <w:pPr>
        <w:pStyle w:val="FootnoteText"/>
      </w:pPr>
      <w:r w:rsidRPr="005C2179">
        <w:rPr>
          <w:rStyle w:val="FootnoteReference"/>
        </w:rPr>
        <w:footnoteRef/>
      </w:r>
      <w:r w:rsidR="00426E56" w:rsidRPr="005C2179">
        <w:t xml:space="preserve"> Fisher</w:t>
      </w:r>
      <w:r w:rsidRPr="005C2179">
        <w:t xml:space="preserve"> (2015) at 155; Gauja, (2010) at 179. </w:t>
      </w:r>
      <w:r w:rsidRPr="005C2179">
        <w:rPr>
          <w:i/>
        </w:rPr>
        <w:t xml:space="preserve">Parties and Elections: Legislating for Representative Democracy </w:t>
      </w:r>
      <w:r w:rsidRPr="005C2179">
        <w:t>(Ashgate Publishing, 2010) at 179.</w:t>
      </w:r>
    </w:p>
  </w:footnote>
  <w:footnote w:id="397">
    <w:p w14:paraId="31E9023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 xml:space="preserve">(UK), c 2, Schedule 2A, para 2(1). “Sponsorship” is defined in para 3 of Schedule 2A. </w:t>
      </w:r>
    </w:p>
  </w:footnote>
  <w:footnote w:id="398">
    <w:p w14:paraId="5306017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2A, para 4(2). </w:t>
      </w:r>
    </w:p>
  </w:footnote>
  <w:footnote w:id="399">
    <w:p w14:paraId="28723E9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Schedule 2A, para 4(1)(b).</w:t>
      </w:r>
    </w:p>
  </w:footnote>
  <w:footnote w:id="400">
    <w:p w14:paraId="41D902D3" w14:textId="77777777" w:rsidR="000B2014" w:rsidRPr="005C2179" w:rsidRDefault="000B2014" w:rsidP="00016158">
      <w:pPr>
        <w:pStyle w:val="FootnoteText"/>
      </w:pPr>
      <w:r w:rsidRPr="005C2179">
        <w:rPr>
          <w:rStyle w:val="FootnoteReference"/>
        </w:rPr>
        <w:footnoteRef/>
      </w:r>
      <w:r w:rsidRPr="005C2179">
        <w:t xml:space="preserve"> Third-party campaigners are subject to these same source restrictions under </w:t>
      </w:r>
      <w:r w:rsidRPr="005C2179">
        <w:rPr>
          <w:i/>
        </w:rPr>
        <w:t>PPERA</w:t>
      </w:r>
      <w:r w:rsidRPr="005C2179">
        <w:t xml:space="preserve">, as discussed in </w:t>
      </w:r>
      <w:r w:rsidRPr="005C2179">
        <w:rPr>
          <w:highlight w:val="cyan"/>
        </w:rPr>
        <w:t>Section 9.2.3.2</w:t>
      </w:r>
      <w:r w:rsidRPr="005C2179">
        <w:t xml:space="preserve">, below. </w:t>
      </w:r>
    </w:p>
  </w:footnote>
  <w:footnote w:id="401">
    <w:p w14:paraId="3D4E20C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 54(1)(a); </w:t>
      </w:r>
      <w:r w:rsidRPr="005C2179">
        <w:rPr>
          <w:i/>
        </w:rPr>
        <w:t xml:space="preserve">Representation of the People Act 1983 </w:t>
      </w:r>
      <w:r w:rsidRPr="005C2179">
        <w:t>(UK), c 2, Schedule 2A, para 6(1)(b).</w:t>
      </w:r>
    </w:p>
  </w:footnote>
  <w:footnote w:id="402">
    <w:p w14:paraId="794D7BF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2A, para 6(1)(a). By contrast, under the federal regime in Canada, only individuals may contribute to political parties and candidates: see </w:t>
      </w:r>
      <w:r w:rsidRPr="005C2179">
        <w:rPr>
          <w:highlight w:val="cyan"/>
        </w:rPr>
        <w:t>Section 8.2.1.2</w:t>
      </w:r>
      <w:r w:rsidRPr="005C2179">
        <w:t xml:space="preserve">, above.  </w:t>
      </w:r>
    </w:p>
  </w:footnote>
  <w:footnote w:id="403">
    <w:p w14:paraId="2C99999C" w14:textId="77777777" w:rsidR="000B2014" w:rsidRPr="005C2179" w:rsidRDefault="000B2014" w:rsidP="00016158">
      <w:pPr>
        <w:pStyle w:val="FootnoteText"/>
      </w:pPr>
      <w:r w:rsidRPr="005C2179">
        <w:rPr>
          <w:rStyle w:val="FootnoteReference"/>
        </w:rPr>
        <w:footnoteRef/>
      </w:r>
      <w:r w:rsidRPr="005C2179">
        <w:t xml:space="preserve"> United Kingdom Election Commission, “Permissibility checks for political parties” at 4, online: &lt;</w:t>
      </w:r>
      <w:hyperlink r:id="rId22" w:history="1">
        <w:r w:rsidRPr="005C2179">
          <w:rPr>
            <w:rStyle w:val="Hyperlink"/>
          </w:rPr>
          <w:t>https://www.electoralcommission.org.uk/i-am-a/party-or-campaigner/guidance-for-political-parties/reporting-donations-and-loans</w:t>
        </w:r>
      </w:hyperlink>
      <w:r w:rsidRPr="005C2179">
        <w:t>&gt;; Rowbottom, (2012) 11 at 26.</w:t>
      </w:r>
    </w:p>
  </w:footnote>
  <w:footnote w:id="404">
    <w:p w14:paraId="1BA6B84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ss 54(2)(a),(2ZA), 71HZA(1)–(2). </w:t>
      </w:r>
    </w:p>
  </w:footnote>
  <w:footnote w:id="405">
    <w:p w14:paraId="65F88E5A" w14:textId="77777777" w:rsidR="000B2014" w:rsidRPr="005C2179" w:rsidRDefault="000B2014" w:rsidP="00016158">
      <w:pPr>
        <w:pStyle w:val="FootnoteText"/>
      </w:pPr>
      <w:r w:rsidRPr="005C2179">
        <w:rPr>
          <w:rStyle w:val="FootnoteReference"/>
        </w:rPr>
        <w:footnoteRef/>
      </w:r>
      <w:r w:rsidRPr="005C2179">
        <w:t xml:space="preserve"> United Kingdom Election Commission, “Permissibility checks for political parties” at 9, online: &lt;</w:t>
      </w:r>
      <w:hyperlink r:id="rId23" w:history="1">
        <w:r w:rsidRPr="005C2179">
          <w:rPr>
            <w:rStyle w:val="Hyperlink"/>
          </w:rPr>
          <w:t>https://www.electoralcommission.org.uk/i-am-a/party-or-campaigner/guidance-for-political-parties/reporting-donations-and-loans</w:t>
        </w:r>
      </w:hyperlink>
      <w:r w:rsidRPr="005C2179">
        <w:t>&gt;.</w:t>
      </w:r>
    </w:p>
  </w:footnote>
  <w:footnote w:id="406">
    <w:p w14:paraId="0B79F7A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However, some additional transparency is provided by the reporting requirements for unincorporated associations. If an unincorporated association donates or lends over ₤25,000 in a year to a registered party, the association must report to the Electoral Commission any gifts over ₤7,500 received by the association before and after the association makes the donation or loan: </w:t>
      </w:r>
      <w:r w:rsidRPr="005C2179">
        <w:rPr>
          <w:i/>
        </w:rPr>
        <w:t xml:space="preserve">Political Parties, Elections and Referendums Act 2000 </w:t>
      </w:r>
      <w:r w:rsidRPr="005C2179">
        <w:t>(UK), c 41, Schedule 19A, para 2.</w:t>
      </w:r>
    </w:p>
  </w:footnote>
  <w:footnote w:id="407">
    <w:p w14:paraId="611D824D" w14:textId="77777777" w:rsidR="000B2014" w:rsidRPr="005C2179" w:rsidRDefault="000B2014" w:rsidP="00016158">
      <w:pPr>
        <w:pStyle w:val="FootnoteText"/>
      </w:pPr>
      <w:r w:rsidRPr="005C2179">
        <w:rPr>
          <w:rStyle w:val="FootnoteReference"/>
        </w:rPr>
        <w:footnoteRef/>
      </w:r>
      <w:r w:rsidRPr="005C2179">
        <w:t xml:space="preserve"> United Kingdom Election Commission, “Permissibility checks for political parties” at 9, online: &lt;</w:t>
      </w:r>
      <w:hyperlink r:id="rId24" w:history="1">
        <w:r w:rsidRPr="005C2179">
          <w:rPr>
            <w:rStyle w:val="Hyperlink"/>
          </w:rPr>
          <w:t>https://www.electoralcommission.org.uk/i-am-a/party-or-campaigner/guidance-for-political-parties/reporting-donations-and-loans</w:t>
        </w:r>
      </w:hyperlink>
      <w:r w:rsidRPr="005C2179">
        <w:t>&gt;.</w:t>
      </w:r>
    </w:p>
  </w:footnote>
  <w:footnote w:id="408">
    <w:p w14:paraId="441CA14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409">
    <w:p w14:paraId="1963404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ss 80, 82(1). The treasurer commits an offence if they fail to submit the report on time without reasonable excuse: s 84(1). </w:t>
      </w:r>
    </w:p>
  </w:footnote>
  <w:footnote w:id="410">
    <w:p w14:paraId="0FA60C2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ss 80(3),(4). </w:t>
      </w:r>
    </w:p>
  </w:footnote>
  <w:footnote w:id="411">
    <w:p w14:paraId="702D39F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ss 83(2), 81. </w:t>
      </w:r>
    </w:p>
  </w:footnote>
  <w:footnote w:id="412">
    <w:p w14:paraId="1216887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84. </w:t>
      </w:r>
    </w:p>
  </w:footnote>
  <w:footnote w:id="413">
    <w:p w14:paraId="057ED458"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ss 62(1), 71M(1). </w:t>
      </w:r>
    </w:p>
  </w:footnote>
  <w:footnote w:id="414">
    <w:p w14:paraId="6DA4D888"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ss 62, 71M; UK Electoral Commission, “Overview of donations to political parties” at 6, online: &lt;</w:t>
      </w:r>
      <w:hyperlink r:id="rId25" w:history="1">
        <w:r w:rsidRPr="005C2179">
          <w:rPr>
            <w:rStyle w:val="Hyperlink"/>
          </w:rPr>
          <w:t>http://www.electoralcommission.org.uk/__data/assets/pdf_file/0014/102263/to-donations-rp.pdf</w:t>
        </w:r>
      </w:hyperlink>
      <w:r w:rsidRPr="005C2179">
        <w:t>&gt;; UK Electoral Commission, “Overview of loans to political parties” at 6, online: &lt;</w:t>
      </w:r>
      <w:hyperlink r:id="rId26" w:history="1">
        <w:r w:rsidRPr="005C2179">
          <w:rPr>
            <w:rStyle w:val="Hyperlink"/>
          </w:rPr>
          <w:t>http://www.electoralcommission.org.uk/__data/assets/pdf_file/0015/102264/to-loans-rp.pdf</w:t>
        </w:r>
      </w:hyperlink>
      <w:r w:rsidRPr="005C2179">
        <w:t>&gt;.</w:t>
      </w:r>
    </w:p>
  </w:footnote>
  <w:footnote w:id="415">
    <w:p w14:paraId="6813CBD2" w14:textId="77777777" w:rsidR="000B2014" w:rsidRPr="005C2179" w:rsidRDefault="000B2014" w:rsidP="00016158">
      <w:pPr>
        <w:pStyle w:val="FootnoteText"/>
      </w:pPr>
      <w:r w:rsidRPr="005C2179">
        <w:rPr>
          <w:rStyle w:val="FootnoteReference"/>
        </w:rPr>
        <w:footnoteRef/>
      </w:r>
      <w:r w:rsidRPr="005C2179">
        <w:t xml:space="preserve"> UK Electoral Commission, “Reporting donations and loans: Parties with accounting units” at 4, online: &lt;</w:t>
      </w:r>
      <w:hyperlink r:id="rId27" w:history="1">
        <w:r w:rsidRPr="005C2179">
          <w:rPr>
            <w:rStyle w:val="Hyperlink"/>
          </w:rPr>
          <w:t>http://www.electoralcommission.org.uk/__data/assets/pdf_file/0016/102283/sp-reporting-with-au-rp.pdf</w:t>
        </w:r>
      </w:hyperlink>
      <w:r w:rsidRPr="005C2179">
        <w:t>&gt;.</w:t>
      </w:r>
    </w:p>
  </w:footnote>
  <w:footnote w:id="416">
    <w:p w14:paraId="5A7F1F3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p>
  </w:footnote>
  <w:footnote w:id="417">
    <w:p w14:paraId="59DD5858" w14:textId="77777777" w:rsidR="000B2014" w:rsidRPr="005C2179" w:rsidRDefault="000B2014" w:rsidP="00016158">
      <w:pPr>
        <w:pStyle w:val="FootnoteText"/>
      </w:pPr>
      <w:r w:rsidRPr="005C2179">
        <w:rPr>
          <w:rStyle w:val="FootnoteReference"/>
        </w:rPr>
        <w:footnoteRef/>
      </w:r>
      <w:r w:rsidRPr="005C2179">
        <w:t xml:space="preserve"> </w:t>
      </w:r>
      <w:r w:rsidRPr="005C2179">
        <w:rPr>
          <w:i/>
          <w:spacing w:val="-2"/>
        </w:rPr>
        <w:t xml:space="preserve">Political Parties, Elections and Referendums Act 2000 </w:t>
      </w:r>
      <w:r w:rsidRPr="005C2179">
        <w:rPr>
          <w:spacing w:val="-2"/>
        </w:rPr>
        <w:t>(UK), c 41, ss 62(13), 71M(13); Schedule 6, para 2; Schedule 6A, para 2.</w:t>
      </w:r>
    </w:p>
  </w:footnote>
  <w:footnote w:id="418">
    <w:p w14:paraId="1B93203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ss 63, 71Q. </w:t>
      </w:r>
    </w:p>
  </w:footnote>
  <w:footnote w:id="419">
    <w:p w14:paraId="76483F5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ss 62(10), 71M(10). </w:t>
      </w:r>
    </w:p>
  </w:footnote>
  <w:footnote w:id="420">
    <w:p w14:paraId="4CB3BB03"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ss 69, 71V. </w:t>
      </w:r>
    </w:p>
  </w:footnote>
  <w:footnote w:id="421">
    <w:p w14:paraId="261A2F0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ss 69(5), 71V. </w:t>
      </w:r>
    </w:p>
  </w:footnote>
  <w:footnote w:id="422">
    <w:p w14:paraId="558B8160"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 xml:space="preserve">(UK), c 2, s 81(1). </w:t>
      </w:r>
    </w:p>
  </w:footnote>
  <w:footnote w:id="423">
    <w:p w14:paraId="63EF2B8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ss 81(1),(3).</w:t>
      </w:r>
    </w:p>
  </w:footnote>
  <w:footnote w:id="424">
    <w:p w14:paraId="6966745F" w14:textId="77777777" w:rsidR="000B2014" w:rsidRPr="005C2179" w:rsidRDefault="000B2014" w:rsidP="00016158">
      <w:pPr>
        <w:pStyle w:val="FootnoteText"/>
      </w:pPr>
      <w:r w:rsidRPr="005C2179">
        <w:rPr>
          <w:rStyle w:val="FootnoteReference"/>
        </w:rPr>
        <w:footnoteRef/>
      </w:r>
      <w:r w:rsidRPr="005C2179">
        <w:t xml:space="preserve"> UK Electoral Commission, “UK Parliamentary general election 2015: Guidance for candidates and agents, Part 3 of 6 – Spending and donations” at 16, online: &lt;</w:t>
      </w:r>
      <w:hyperlink r:id="rId28" w:history="1">
        <w:r w:rsidRPr="005C2179">
          <w:rPr>
            <w:rStyle w:val="Hyperlink"/>
          </w:rPr>
          <w:t>http://www.electoralcommission.org.uk/__data/assets/pdf_file/0004/173074/UKPGE-Part-3-Spending-and-donations.pdf</w:t>
        </w:r>
      </w:hyperlink>
      <w:r w:rsidRPr="005C2179">
        <w:t>&gt;.</w:t>
      </w:r>
    </w:p>
  </w:footnote>
  <w:footnote w:id="425">
    <w:p w14:paraId="1A8B4A8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 xml:space="preserve">(UK), c 2, Schedule 2A, para 11; </w:t>
      </w:r>
      <w:r w:rsidRPr="005C2179">
        <w:rPr>
          <w:i/>
        </w:rPr>
        <w:t xml:space="preserve">Political Parties, Elections and Referendums Act 2000 </w:t>
      </w:r>
      <w:r w:rsidRPr="005C2179">
        <w:t xml:space="preserve">(UK), c 41, Schedule 6, para 2. </w:t>
      </w:r>
    </w:p>
  </w:footnote>
  <w:footnote w:id="426">
    <w:p w14:paraId="6CB7446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 xml:space="preserve">(UK), c 2, Schedule 2A, para 4(2). </w:t>
      </w:r>
    </w:p>
  </w:footnote>
  <w:footnote w:id="427">
    <w:p w14:paraId="4DC927E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85(1). If a Member of Parliament contravenes this prohibition, they will be fined ₤100 for every day they sit or vote without submitting the return. </w:t>
      </w:r>
    </w:p>
  </w:footnote>
  <w:footnote w:id="428">
    <w:p w14:paraId="390D5B3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88. </w:t>
      </w:r>
    </w:p>
  </w:footnote>
  <w:footnote w:id="429">
    <w:p w14:paraId="5071BFBF" w14:textId="2B1E9D67" w:rsidR="000B2014" w:rsidRPr="005C2179" w:rsidRDefault="000B2014" w:rsidP="00016158">
      <w:pPr>
        <w:pStyle w:val="FootnoteText"/>
      </w:pPr>
      <w:r w:rsidRPr="005C2179">
        <w:rPr>
          <w:rStyle w:val="FootnoteReference"/>
        </w:rPr>
        <w:footnoteRef/>
      </w:r>
      <w:r w:rsidR="00426E56" w:rsidRPr="005C2179">
        <w:t xml:space="preserve"> Fisher</w:t>
      </w:r>
      <w:r w:rsidRPr="005C2179">
        <w:t xml:space="preserve"> (2015) at 169.</w:t>
      </w:r>
    </w:p>
  </w:footnote>
  <w:footnote w:id="430">
    <w:p w14:paraId="36D5F002" w14:textId="2927853A" w:rsidR="000B2014" w:rsidRPr="005C2179" w:rsidRDefault="000B2014" w:rsidP="00016158">
      <w:pPr>
        <w:pStyle w:val="FootnoteText"/>
      </w:pPr>
      <w:r w:rsidRPr="005C2179">
        <w:rPr>
          <w:rStyle w:val="FootnoteReference"/>
        </w:rPr>
        <w:footnoteRef/>
      </w:r>
      <w:r w:rsidR="00426E56" w:rsidRPr="005C2179">
        <w:t xml:space="preserve"> Ghaleigh</w:t>
      </w:r>
      <w:r w:rsidRPr="005C2179">
        <w:t xml:space="preserve"> (2006) at 53.</w:t>
      </w:r>
    </w:p>
  </w:footnote>
  <w:footnote w:id="431">
    <w:p w14:paraId="48654C9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 12(8). </w:t>
      </w:r>
    </w:p>
  </w:footnote>
  <w:footnote w:id="432">
    <w:p w14:paraId="71387B8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Communications Act 2003 </w:t>
      </w:r>
      <w:r w:rsidRPr="005C2179">
        <w:t>(UK)</w:t>
      </w:r>
      <w:r w:rsidRPr="005C2179">
        <w:rPr>
          <w:i/>
        </w:rPr>
        <w:t xml:space="preserve">, </w:t>
      </w:r>
      <w:r w:rsidRPr="005C2179">
        <w:t xml:space="preserve">c 21, ss 319(2)(g), 333. For more information on the ban on paid political broadcasting, see Jacob Rowbottom, “Access to the Airwaves and Equality: The Case against Political Advertising on the Broadcast Media” in K D Ewing &amp; Samuel Issacharoff, eds, </w:t>
      </w:r>
      <w:r w:rsidRPr="005C2179">
        <w:rPr>
          <w:i/>
        </w:rPr>
        <w:t xml:space="preserve">Party Funding and Campaign Financing in International Perspective </w:t>
      </w:r>
      <w:r w:rsidRPr="005C2179">
        <w:t xml:space="preserve">(Hart Publishing, 2006) at 77. Rowbottom argues in favour of broadcasting restrictions by pointing out that access to broadcast media is always limited, but should not be limited on the basis of wealth: 96. See also Andrew Geddis, “The press: The media and the ‘Rupert Murdoch problem’” in Keith D Ewing, Jacob Rowbottom &amp; Joo-Cheong Tham, eds, </w:t>
      </w:r>
      <w:r w:rsidRPr="005C2179">
        <w:rPr>
          <w:i/>
        </w:rPr>
        <w:t xml:space="preserve">The Funding of Political Parties: Where Now? </w:t>
      </w:r>
      <w:r w:rsidRPr="005C2179">
        <w:t xml:space="preserve">(Routledge, 2012) at 136. For criticism of the ban on paid political advertising, see </w:t>
      </w:r>
      <w:r w:rsidRPr="005C2179">
        <w:rPr>
          <w:highlight w:val="cyan"/>
        </w:rPr>
        <w:t>Section 9.3</w:t>
      </w:r>
      <w:r w:rsidRPr="005C2179">
        <w:t xml:space="preserve">, below. </w:t>
      </w:r>
    </w:p>
  </w:footnote>
  <w:footnote w:id="433">
    <w:p w14:paraId="1EE88E44" w14:textId="77777777" w:rsidR="000B2014" w:rsidRPr="005C2179" w:rsidRDefault="000B2014" w:rsidP="00016158">
      <w:pPr>
        <w:pStyle w:val="FootnoteText"/>
        <w:rPr>
          <w:color w:val="C00000"/>
        </w:rPr>
      </w:pPr>
      <w:r w:rsidRPr="005C2179">
        <w:rPr>
          <w:rStyle w:val="FootnoteReference"/>
        </w:rPr>
        <w:footnoteRef/>
      </w:r>
      <w:r w:rsidRPr="005C2179">
        <w:t xml:space="preserve"> Ofcom, “Ofcom rules on Party Political and Referendum Broadcasts” (22 March 2017), online: &lt;</w:t>
      </w:r>
      <w:hyperlink r:id="rId29" w:history="1">
        <w:r w:rsidRPr="005C2179">
          <w:rPr>
            <w:rStyle w:val="Hyperlink"/>
          </w:rPr>
          <w:t>https://www.ofcom.org.uk/__data/assets/pdf_file/0035/99188/pprb-rules-march-2017.pdf</w:t>
        </w:r>
      </w:hyperlink>
      <w:r w:rsidRPr="005C2179">
        <w:t xml:space="preserve">&gt;. Ofcom advises that, before general elections, licensed broadcasters and the BBC should allocate one or more election broadcasts to each registered party “having regard to the circumstances of a particular election, the nation in which it is held, and the individual party’s past electoral support and/or current support in that nation”: </w:t>
      </w:r>
      <w:r w:rsidRPr="005C2179">
        <w:rPr>
          <w:i/>
        </w:rPr>
        <w:t>ibid,</w:t>
      </w:r>
      <w:r w:rsidRPr="005C2179">
        <w:t xml:space="preserve"> Rule 14. Ofcom clarifies that registered parties should qualify for an election broadcast if contesting one sixth or more of the seats in a general election: </w:t>
      </w:r>
      <w:r w:rsidRPr="005C2179">
        <w:rPr>
          <w:i/>
        </w:rPr>
        <w:t xml:space="preserve">ibid, </w:t>
      </w:r>
      <w:r w:rsidRPr="005C2179">
        <w:t xml:space="preserve">Rule 15. Further, licensed broadcasters and the BBC “should consider making additional allocations of... [election broadcasts] to registered parties...if evidence of their past electoral support and/or current support at a particular election or in a relevant nation/electoral area means it would be appropriate to do so”: Rule 16. Registered parties may choose a television broadcast length of 2’40”, 3’40”, or 4’40” and a length of up to 2’30’’ for radio: </w:t>
      </w:r>
      <w:r w:rsidRPr="005C2179">
        <w:rPr>
          <w:i/>
        </w:rPr>
        <w:t>ibid</w:t>
      </w:r>
      <w:r w:rsidRPr="005C2179">
        <w:t>,</w:t>
      </w:r>
      <w:r w:rsidRPr="005C2179">
        <w:rPr>
          <w:i/>
        </w:rPr>
        <w:t xml:space="preserve"> </w:t>
      </w:r>
      <w:r w:rsidRPr="005C2179">
        <w:t xml:space="preserve">Rule 24. Political broadcasts must be aired between 5:30pm and 11:30pm on television and between 6:00am and 10:00pm on radio: </w:t>
      </w:r>
      <w:r w:rsidRPr="005C2179">
        <w:rPr>
          <w:i/>
        </w:rPr>
        <w:t>ibid</w:t>
      </w:r>
      <w:r w:rsidRPr="005C2179">
        <w:t>,</w:t>
      </w:r>
      <w:r w:rsidRPr="005C2179">
        <w:rPr>
          <w:i/>
        </w:rPr>
        <w:t xml:space="preserve"> </w:t>
      </w:r>
      <w:r w:rsidRPr="005C2179">
        <w:t xml:space="preserve">Rules 25–26. In the context of general elections, the relevant licensed broadcasters are “licensed public service television channel[s]” and “national (i.e. UK-wide, commercial) analogue radio service[s]”: </w:t>
      </w:r>
      <w:r w:rsidRPr="005C2179">
        <w:rPr>
          <w:i/>
        </w:rPr>
        <w:t xml:space="preserve">ibid, </w:t>
      </w:r>
      <w:r w:rsidRPr="005C2179">
        <w:t xml:space="preserve">Rules 1, 8. </w:t>
      </w:r>
    </w:p>
  </w:footnote>
  <w:footnote w:id="434">
    <w:p w14:paraId="5AA6897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Ibid, </w:t>
      </w:r>
      <w:r w:rsidRPr="005C2179">
        <w:t xml:space="preserve">Rules 3–4.  </w:t>
      </w:r>
    </w:p>
  </w:footnote>
  <w:footnote w:id="435">
    <w:p w14:paraId="41F46E00"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Communications Act 2003, </w:t>
      </w:r>
      <w:r w:rsidRPr="005C2179">
        <w:t xml:space="preserve">c 21, s 321(3). </w:t>
      </w:r>
    </w:p>
  </w:footnote>
  <w:footnote w:id="436">
    <w:p w14:paraId="592CD2AF" w14:textId="06561AF6" w:rsidR="000B2014" w:rsidRPr="005C2179" w:rsidRDefault="000B2014" w:rsidP="00016158">
      <w:pPr>
        <w:pStyle w:val="FootnoteText"/>
      </w:pPr>
      <w:r w:rsidRPr="005C2179">
        <w:rPr>
          <w:rStyle w:val="FootnoteReference"/>
        </w:rPr>
        <w:footnoteRef/>
      </w:r>
      <w:r w:rsidR="00426E56" w:rsidRPr="005C2179">
        <w:t xml:space="preserve"> Geddis</w:t>
      </w:r>
      <w:r w:rsidRPr="005C2179">
        <w:t xml:space="preserve"> (2012) at 146.</w:t>
      </w:r>
    </w:p>
  </w:footnote>
  <w:footnote w:id="437">
    <w:p w14:paraId="279B77D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Animal Defenders International v the United Kingdom </w:t>
      </w:r>
      <w:r w:rsidRPr="005C2179">
        <w:t xml:space="preserve">[GC], No 48876/08, [2013] II ECHR 203. </w:t>
      </w:r>
    </w:p>
  </w:footnote>
  <w:footnote w:id="438">
    <w:p w14:paraId="12522F88" w14:textId="2C5672E0" w:rsidR="000B2014" w:rsidRPr="005C2179" w:rsidRDefault="000B2014" w:rsidP="00016158">
      <w:pPr>
        <w:pStyle w:val="FootnoteText"/>
      </w:pPr>
      <w:r w:rsidRPr="005C2179">
        <w:rPr>
          <w:rStyle w:val="FootnoteReference"/>
        </w:rPr>
        <w:footnoteRef/>
      </w:r>
      <w:r w:rsidRPr="005C2179">
        <w:t xml:space="preserve"> Stephanie Palmer, “The Courts: Legal challenges to political finance and election laws” in Keith D Ewing, Jacob Rowbottom &amp; Joo-Cheong Tham, eds, </w:t>
      </w:r>
      <w:r w:rsidRPr="005C2179">
        <w:rPr>
          <w:i/>
        </w:rPr>
        <w:t xml:space="preserve">The Funding of Political Parties: Where Now? </w:t>
      </w:r>
      <w:r w:rsidRPr="005C2179">
        <w:t>(Routledge, 2012) at 184.</w:t>
      </w:r>
    </w:p>
  </w:footnote>
  <w:footnote w:id="439">
    <w:p w14:paraId="75F62A80" w14:textId="04D81944" w:rsidR="000B2014" w:rsidRPr="005C2179" w:rsidRDefault="000B2014" w:rsidP="00016158">
      <w:pPr>
        <w:pStyle w:val="FootnoteText"/>
      </w:pPr>
      <w:r w:rsidRPr="005C2179">
        <w:rPr>
          <w:rStyle w:val="FootnoteReference"/>
        </w:rPr>
        <w:footnoteRef/>
      </w:r>
      <w:r w:rsidRPr="005C2179">
        <w:t xml:space="preserve"> UK Electoral Commission, “Northern Ireland Assembly election March 2017: Non-party campaigners” (guidance document) at 5, online: &lt;</w:t>
      </w:r>
      <w:hyperlink r:id="rId30" w:history="1">
        <w:r w:rsidR="007C504E" w:rsidRPr="00371F06">
          <w:rPr>
            <w:rStyle w:val="Hyperlink"/>
          </w:rPr>
          <w:t>http://www.electoralcommission.org.uk/__data/</w:t>
        </w:r>
        <w:r w:rsidR="007C504E" w:rsidRPr="00371F06">
          <w:rPr>
            <w:rStyle w:val="Hyperlink"/>
          </w:rPr>
          <w:br/>
          <w:t>assets/pdf_file/0007/219148/Northern-Ireland-Assembly-NPC-2017.pdf</w:t>
        </w:r>
      </w:hyperlink>
      <w:r w:rsidRPr="005C2179">
        <w:t>&gt;.</w:t>
      </w:r>
    </w:p>
  </w:footnote>
  <w:footnote w:id="440">
    <w:p w14:paraId="7FC9763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(UK), c 41, ss 85(8)–(9).</w:t>
      </w:r>
    </w:p>
  </w:footnote>
  <w:footnote w:id="441">
    <w:p w14:paraId="6ECA3191" w14:textId="77777777" w:rsidR="000B2014" w:rsidRPr="005C2179" w:rsidRDefault="000B2014" w:rsidP="00016158">
      <w:pPr>
        <w:pStyle w:val="FootnoteText"/>
      </w:pPr>
      <w:r w:rsidRPr="005C2179">
        <w:rPr>
          <w:rStyle w:val="FootnoteReference"/>
        </w:rPr>
        <w:footnoteRef/>
      </w:r>
      <w:r w:rsidRPr="005C2179">
        <w:t xml:space="preserve"> The Register is found online at: &lt;</w:t>
      </w:r>
      <w:hyperlink r:id="rId31" w:history="1">
        <w:r w:rsidRPr="005C2179">
          <w:rPr>
            <w:rStyle w:val="Hyperlink"/>
          </w:rPr>
          <w:t>http://search.electoralcommission.org.uk/Search/Registrations?currentPage=1&amp;rows=20&amp;sort=RegulatedEntityName&amp;order=asc&amp;open=filter&amp;et=tp&amp;register=none&amp;regStatus=registered&amp;optCols=EntityStatusName</w:t>
        </w:r>
      </w:hyperlink>
      <w:r w:rsidRPr="005C2179">
        <w:t>&gt;.</w:t>
      </w:r>
    </w:p>
  </w:footnote>
  <w:footnote w:id="442">
    <w:p w14:paraId="5DDC6A0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Schedule 8A, para 1. </w:t>
      </w:r>
    </w:p>
  </w:footnote>
  <w:footnote w:id="443">
    <w:p w14:paraId="6BDD87F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8A, para 2(1)(a)(i). </w:t>
      </w:r>
    </w:p>
  </w:footnote>
  <w:footnote w:id="444">
    <w:p w14:paraId="2CB598E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Ibid, </w:t>
      </w:r>
      <w:r w:rsidRPr="005C2179">
        <w:t xml:space="preserve">s 85(2). </w:t>
      </w:r>
    </w:p>
  </w:footnote>
  <w:footnote w:id="445">
    <w:p w14:paraId="4DB8642F"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85(2)(b). </w:t>
      </w:r>
    </w:p>
  </w:footnote>
  <w:footnote w:id="446">
    <w:p w14:paraId="35E83FB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 85(4)(b).</w:t>
      </w:r>
    </w:p>
  </w:footnote>
  <w:footnote w:id="447">
    <w:p w14:paraId="29E1CEE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85(4)(c). </w:t>
      </w:r>
    </w:p>
  </w:footnote>
  <w:footnote w:id="448">
    <w:p w14:paraId="56CBA2A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85(4A). </w:t>
      </w:r>
    </w:p>
  </w:footnote>
  <w:footnote w:id="449">
    <w:p w14:paraId="5D2BAA9F" w14:textId="77777777" w:rsidR="000B2014" w:rsidRPr="005C2179" w:rsidRDefault="000B2014" w:rsidP="00016158">
      <w:pPr>
        <w:pStyle w:val="FootnoteText"/>
        <w:rPr>
          <w:i/>
        </w:rPr>
      </w:pPr>
      <w:r w:rsidRPr="005C2179">
        <w:rPr>
          <w:rStyle w:val="FootnoteReference"/>
        </w:rPr>
        <w:footnoteRef/>
      </w:r>
      <w:r w:rsidRPr="005C2179">
        <w:t xml:space="preserve"> </w:t>
      </w:r>
      <w:r w:rsidRPr="005C2179">
        <w:rPr>
          <w:spacing w:val="-2"/>
        </w:rPr>
        <w:t>UK Electoral Commission, “Northern Ireland Assembly election March 2017: Non-party campaigners” (guidance document) at 8.</w:t>
      </w:r>
    </w:p>
  </w:footnote>
  <w:footnote w:id="450">
    <w:p w14:paraId="6F3D7A50" w14:textId="77777777" w:rsidR="000B2014" w:rsidRPr="005C2179" w:rsidRDefault="000B2014" w:rsidP="00016158">
      <w:pPr>
        <w:pStyle w:val="FootnoteText"/>
      </w:pPr>
      <w:r w:rsidRPr="005C2179">
        <w:rPr>
          <w:rStyle w:val="FootnoteReference"/>
        </w:rPr>
        <w:footnoteRef/>
      </w:r>
      <w:r w:rsidRPr="005C2179">
        <w:t xml:space="preserve"> UK Electoral Commission, “Overview of regulated non-party campaigning” (guidance document) at 6, online: &lt;</w:t>
      </w:r>
      <w:hyperlink r:id="rId32" w:history="1">
        <w:r w:rsidRPr="005C2179">
          <w:rPr>
            <w:rStyle w:val="Hyperlink"/>
          </w:rPr>
          <w:t>http://www.electoralcommission.org.uk/__data/assets/pdf_file/0006/193065/Overview-of-regulated-non-party-campaigning-May-2016.pdf</w:t>
        </w:r>
      </w:hyperlink>
      <w:r w:rsidRPr="005C2179">
        <w:t>&gt;.</w:t>
      </w:r>
    </w:p>
  </w:footnote>
  <w:footnote w:id="451">
    <w:p w14:paraId="248A4620" w14:textId="77777777" w:rsidR="000B2014" w:rsidRPr="005C2179" w:rsidRDefault="000B2014" w:rsidP="00016158">
      <w:pPr>
        <w:pStyle w:val="FootnoteText"/>
        <w:rPr>
          <w:i/>
        </w:rPr>
      </w:pPr>
      <w:r w:rsidRPr="005C2179">
        <w:rPr>
          <w:rStyle w:val="FootnoteReference"/>
        </w:rPr>
        <w:footnoteRef/>
      </w:r>
      <w:r w:rsidRPr="005C2179">
        <w:t xml:space="preserve"> </w:t>
      </w:r>
      <w:r w:rsidRPr="005C2179">
        <w:rPr>
          <w:spacing w:val="-2"/>
        </w:rPr>
        <w:t>UK Electoral Commission, “Northern Ireland Assembly election March 2017: Non-party campaigners” (guidance document) at 8.</w:t>
      </w:r>
    </w:p>
  </w:footnote>
  <w:footnote w:id="452">
    <w:p w14:paraId="67B1053A" w14:textId="77777777" w:rsidR="000B2014" w:rsidRPr="005C2179" w:rsidRDefault="000B2014" w:rsidP="00016158">
      <w:pPr>
        <w:pStyle w:val="FootnoteText"/>
      </w:pPr>
      <w:r w:rsidRPr="005C2179">
        <w:rPr>
          <w:rStyle w:val="FootnoteReference"/>
        </w:rPr>
        <w:footnoteRef/>
      </w:r>
      <w:r w:rsidRPr="005C2179">
        <w:t xml:space="preserve"> UK Electoral Commission, “Overview of regulated non-party campaigning” (guidance document) at 7.</w:t>
      </w:r>
    </w:p>
  </w:footnote>
  <w:footnote w:id="453">
    <w:p w14:paraId="0D22667A" w14:textId="77777777" w:rsidR="000B2014" w:rsidRPr="005C2179" w:rsidRDefault="000B2014" w:rsidP="00016158">
      <w:pPr>
        <w:pStyle w:val="FootnoteText"/>
      </w:pPr>
      <w:r w:rsidRPr="005C2179">
        <w:rPr>
          <w:rStyle w:val="FootnoteReference"/>
        </w:rPr>
        <w:footnoteRef/>
      </w:r>
      <w:r w:rsidRPr="005C2179">
        <w:rPr>
          <w:i/>
        </w:rPr>
        <w:t xml:space="preserve"> Representation of the People Act 1983 </w:t>
      </w:r>
      <w:r w:rsidRPr="005C2179">
        <w:t>(UK), c 2, s 75.</w:t>
      </w:r>
    </w:p>
  </w:footnote>
  <w:footnote w:id="454">
    <w:p w14:paraId="7BC2191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Schedule 11, para 4(2). </w:t>
      </w:r>
    </w:p>
  </w:footnote>
  <w:footnote w:id="455">
    <w:p w14:paraId="60490E6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11, para 6. See section 54(2) of </w:t>
      </w:r>
      <w:r w:rsidRPr="005C2179">
        <w:rPr>
          <w:i/>
        </w:rPr>
        <w:t xml:space="preserve">PPERA </w:t>
      </w:r>
      <w:r w:rsidRPr="005C2179">
        <w:t xml:space="preserve">for the list of permissible donors. </w:t>
      </w:r>
    </w:p>
  </w:footnote>
  <w:footnote w:id="456">
    <w:p w14:paraId="6DBA3BE3"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11, paras 2(1), 4(1). “Sponsorship” is defined in para 3. </w:t>
      </w:r>
    </w:p>
  </w:footnote>
  <w:footnote w:id="457">
    <w:p w14:paraId="1C9875B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10, para 3(3). </w:t>
      </w:r>
    </w:p>
  </w:footnote>
  <w:footnote w:id="458">
    <w:p w14:paraId="1FE7D57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94(8). </w:t>
      </w:r>
    </w:p>
  </w:footnote>
  <w:footnote w:id="459">
    <w:p w14:paraId="1BF487E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10, para 3. </w:t>
      </w:r>
    </w:p>
  </w:footnote>
  <w:footnote w:id="460">
    <w:p w14:paraId="0F0F5F33"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94(10)(e). </w:t>
      </w:r>
    </w:p>
  </w:footnote>
  <w:footnote w:id="461">
    <w:p w14:paraId="5BC3E1A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10, para 3(2A). </w:t>
      </w:r>
    </w:p>
  </w:footnote>
  <w:footnote w:id="462">
    <w:p w14:paraId="04B55B8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94(2). </w:t>
      </w:r>
    </w:p>
  </w:footnote>
  <w:footnote w:id="463">
    <w:p w14:paraId="3C850DE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ss 94(3)–(5).</w:t>
      </w:r>
    </w:p>
  </w:footnote>
  <w:footnote w:id="464">
    <w:p w14:paraId="57742CA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94(5ZA). </w:t>
      </w:r>
    </w:p>
  </w:footnote>
  <w:footnote w:id="465">
    <w:p w14:paraId="1EE2615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94. </w:t>
      </w:r>
    </w:p>
  </w:footnote>
  <w:footnote w:id="466">
    <w:p w14:paraId="6DBDB39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 xml:space="preserve">(UK), c 2, ss 75(1),(1ZZB),(1ZA). </w:t>
      </w:r>
    </w:p>
  </w:footnote>
  <w:footnote w:id="467">
    <w:p w14:paraId="21A00918"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75(8). </w:t>
      </w:r>
    </w:p>
  </w:footnote>
  <w:footnote w:id="468">
    <w:p w14:paraId="138991C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 118A(2); UK Electoral Commission, “UK Parliamentary general election 2015: Guidance for candidates and agents, Part 3 of 6 – Spending and donations” at 6, online: &lt;</w:t>
      </w:r>
      <w:hyperlink r:id="rId33" w:history="1">
        <w:r w:rsidRPr="005C2179">
          <w:rPr>
            <w:rStyle w:val="Hyperlink"/>
          </w:rPr>
          <w:t>http://www.electoralcommission.org.uk/__data/assets/pdf_file/0004/173074/UKPGE-Part-3-Spending-and-donations.pdf</w:t>
        </w:r>
      </w:hyperlink>
      <w:r w:rsidRPr="005C2179">
        <w:t>&gt;.</w:t>
      </w:r>
    </w:p>
  </w:footnote>
  <w:footnote w:id="469">
    <w:p w14:paraId="1FAAFBC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 143. </w:t>
      </w:r>
    </w:p>
  </w:footnote>
  <w:footnote w:id="470">
    <w:p w14:paraId="7D8AC64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 143(11).</w:t>
      </w:r>
    </w:p>
  </w:footnote>
  <w:footnote w:id="471">
    <w:p w14:paraId="4FE4A333"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143A. </w:t>
      </w:r>
    </w:p>
  </w:footnote>
  <w:footnote w:id="472">
    <w:p w14:paraId="1155B17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96(1). </w:t>
      </w:r>
    </w:p>
  </w:footnote>
  <w:footnote w:id="473">
    <w:p w14:paraId="1F862F8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96(2). </w:t>
      </w:r>
    </w:p>
  </w:footnote>
  <w:footnote w:id="474">
    <w:p w14:paraId="79DAD75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11, para 10(1),(2). </w:t>
      </w:r>
    </w:p>
  </w:footnote>
  <w:footnote w:id="475">
    <w:p w14:paraId="5B84EBE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11, para 10(3). </w:t>
      </w:r>
    </w:p>
  </w:footnote>
  <w:footnote w:id="476">
    <w:p w14:paraId="155A734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97. </w:t>
      </w:r>
    </w:p>
  </w:footnote>
  <w:footnote w:id="477">
    <w:p w14:paraId="4A044DE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Representation of the People Act 1983 </w:t>
      </w:r>
      <w:r w:rsidRPr="005C2179">
        <w:t xml:space="preserve">(UK), c 2, s 75(2). </w:t>
      </w:r>
    </w:p>
  </w:footnote>
  <w:footnote w:id="478">
    <w:p w14:paraId="222D1665"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75(2)(a). </w:t>
      </w:r>
    </w:p>
  </w:footnote>
  <w:footnote w:id="479">
    <w:p w14:paraId="36C0F01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 75ZA.</w:t>
      </w:r>
    </w:p>
  </w:footnote>
  <w:footnote w:id="480">
    <w:p w14:paraId="22C8770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Companies Act 2006 </w:t>
      </w:r>
      <w:r w:rsidRPr="005C2179">
        <w:t>(UK), c 46, s 366.</w:t>
      </w:r>
    </w:p>
  </w:footnote>
  <w:footnote w:id="481">
    <w:p w14:paraId="7F8C2AD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378(1). </w:t>
      </w:r>
    </w:p>
  </w:footnote>
  <w:footnote w:id="482">
    <w:p w14:paraId="3F54D41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367(5). </w:t>
      </w:r>
    </w:p>
  </w:footnote>
  <w:footnote w:id="483">
    <w:p w14:paraId="34589F8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368. </w:t>
      </w:r>
    </w:p>
  </w:footnote>
  <w:footnote w:id="484">
    <w:p w14:paraId="46EC50C9"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Trade Union and Labour Relations (Consolidation Act) 1992 </w:t>
      </w:r>
      <w:r w:rsidRPr="005C2179">
        <w:t xml:space="preserve">(UK), c 52, s 71. </w:t>
      </w:r>
    </w:p>
  </w:footnote>
  <w:footnote w:id="485">
    <w:p w14:paraId="72E413F2"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 84(1).</w:t>
      </w:r>
    </w:p>
  </w:footnote>
  <w:footnote w:id="486">
    <w:p w14:paraId="32DE1E7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84A(1). </w:t>
      </w:r>
    </w:p>
  </w:footnote>
  <w:footnote w:id="487">
    <w:p w14:paraId="0E43259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 32ZB.</w:t>
      </w:r>
    </w:p>
  </w:footnote>
  <w:footnote w:id="488">
    <w:p w14:paraId="410565A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s 32ZB(6).</w:t>
      </w:r>
    </w:p>
  </w:footnote>
  <w:footnote w:id="489">
    <w:p w14:paraId="071964B4"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Schedule 19A, para 2. </w:t>
      </w:r>
    </w:p>
  </w:footnote>
  <w:footnote w:id="490">
    <w:p w14:paraId="7439073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Schedule 19A, para 7. </w:t>
      </w:r>
    </w:p>
  </w:footnote>
  <w:footnote w:id="491">
    <w:p w14:paraId="4AD76B54" w14:textId="6F9389A5" w:rsidR="000B2014" w:rsidRPr="005C2179" w:rsidRDefault="000B2014" w:rsidP="00016158">
      <w:pPr>
        <w:pStyle w:val="FootnoteText"/>
      </w:pPr>
      <w:r w:rsidRPr="005C2179">
        <w:rPr>
          <w:rStyle w:val="FootnoteReference"/>
        </w:rPr>
        <w:footnoteRef/>
      </w:r>
      <w:r w:rsidR="00426E56" w:rsidRPr="005C2179">
        <w:t xml:space="preserve"> Ghaleigh</w:t>
      </w:r>
      <w:r w:rsidRPr="005C2179">
        <w:t xml:space="preserve"> (2006) at 42; </w:t>
      </w:r>
      <w:r w:rsidRPr="005C2179">
        <w:rPr>
          <w:i/>
        </w:rPr>
        <w:t xml:space="preserve">Political Parties, Elections and Referendums Act 2000 </w:t>
      </w:r>
      <w:r w:rsidRPr="005C2179">
        <w:t>(UK), c 41, s 145.</w:t>
      </w:r>
    </w:p>
  </w:footnote>
  <w:footnote w:id="492">
    <w:p w14:paraId="453D49F6"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Political Parties, Elections and Referendums Act 2000 </w:t>
      </w:r>
      <w:r w:rsidRPr="005C2179">
        <w:t xml:space="preserve">(UK), c 41, s 146. </w:t>
      </w:r>
    </w:p>
  </w:footnote>
  <w:footnote w:id="493">
    <w:p w14:paraId="5B4B310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s 147; Navraj Singh Ghaleigh, “The regulator: The first decade of the Electoral Commission” in Keith D Ewing, Jacob Rowbottom &amp; Joo-Cheong Tham, eds, </w:t>
      </w:r>
      <w:r w:rsidRPr="005C2179">
        <w:rPr>
          <w:i/>
        </w:rPr>
        <w:t xml:space="preserve">The Funding of Political Parties: Where Now? </w:t>
      </w:r>
      <w:r w:rsidRPr="005C2179">
        <w:t xml:space="preserve">(Routledge, 2012) at 157. </w:t>
      </w:r>
    </w:p>
  </w:footnote>
  <w:footnote w:id="494">
    <w:p w14:paraId="6EA54231" w14:textId="19CA4823" w:rsidR="000B2014" w:rsidRPr="005C2179" w:rsidRDefault="000B2014" w:rsidP="00016158">
      <w:pPr>
        <w:pStyle w:val="FootnoteText"/>
      </w:pPr>
      <w:r w:rsidRPr="005C2179">
        <w:rPr>
          <w:rStyle w:val="FootnoteReference"/>
        </w:rPr>
        <w:footnoteRef/>
      </w:r>
      <w:r w:rsidR="00426E56" w:rsidRPr="005C2179">
        <w:t xml:space="preserve"> Ghaleigh</w:t>
      </w:r>
      <w:r w:rsidRPr="005C2179">
        <w:t xml:space="preserve"> (2012) at 157.</w:t>
      </w:r>
    </w:p>
  </w:footnote>
  <w:footnote w:id="495">
    <w:p w14:paraId="54E951C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Ibid </w:t>
      </w:r>
      <w:r w:rsidRPr="005C2179">
        <w:t xml:space="preserve">at 158. </w:t>
      </w:r>
    </w:p>
  </w:footnote>
  <w:footnote w:id="496">
    <w:p w14:paraId="15F3226D"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w:t>
      </w:r>
    </w:p>
  </w:footnote>
  <w:footnote w:id="497">
    <w:p w14:paraId="2B7C6EFD" w14:textId="77777777" w:rsidR="000B2014" w:rsidRPr="005C2179" w:rsidRDefault="000B2014" w:rsidP="00016158">
      <w:pPr>
        <w:pStyle w:val="FootnoteText"/>
      </w:pPr>
      <w:r w:rsidRPr="005C2179">
        <w:rPr>
          <w:rStyle w:val="FootnoteReference"/>
        </w:rPr>
        <w:footnoteRef/>
      </w:r>
      <w:r w:rsidRPr="005C2179">
        <w:t xml:space="preserve"> According to Fisher, one reason for the UK’s failure to impose a donation ceiling is the Labour Party’s structure of affiliated trade unions: see Fisher, (2015) at 161.</w:t>
      </w:r>
    </w:p>
  </w:footnote>
  <w:footnote w:id="498">
    <w:p w14:paraId="5FBAAD02" w14:textId="51EFB0AF" w:rsidR="000B2014" w:rsidRPr="005C2179" w:rsidRDefault="000B2014" w:rsidP="00016158">
      <w:pPr>
        <w:pStyle w:val="FootnoteText"/>
      </w:pPr>
      <w:r w:rsidRPr="005C2179">
        <w:rPr>
          <w:rStyle w:val="FootnoteReference"/>
        </w:rPr>
        <w:footnoteRef/>
      </w:r>
      <w:r w:rsidRPr="005C2179">
        <w:t xml:space="preserve"> Ewing &amp; Rowbottom (2012) at 77.</w:t>
      </w:r>
    </w:p>
  </w:footnote>
  <w:footnote w:id="499">
    <w:p w14:paraId="178C2269" w14:textId="77777777" w:rsidR="000B2014" w:rsidRPr="005C2179" w:rsidRDefault="000B2014" w:rsidP="00016158">
      <w:pPr>
        <w:pStyle w:val="FootnoteText"/>
      </w:pPr>
      <w:r w:rsidRPr="005C2179">
        <w:rPr>
          <w:rStyle w:val="FootnoteReference"/>
        </w:rPr>
        <w:footnoteRef/>
      </w:r>
      <w:r w:rsidRPr="005C2179">
        <w:t xml:space="preserve"> For example, in the Brexit referendum, which was subject to similar rules as general elections, ten donors were responsible for over half of donations to the campaigns and 100 donors were responsible for 95% of all reported donations: Transparency International UK, </w:t>
      </w:r>
      <w:r w:rsidRPr="005C2179">
        <w:rPr>
          <w:i/>
        </w:rPr>
        <w:t xml:space="preserve">Take Back Control: How Big Money Undermines Trust in Politics, </w:t>
      </w:r>
      <w:r w:rsidRPr="005C2179">
        <w:t>Steve Goodrich &amp; Duncan Hames, eds (October 2016) at 1.</w:t>
      </w:r>
    </w:p>
  </w:footnote>
  <w:footnote w:id="500">
    <w:p w14:paraId="7610D335" w14:textId="079A9F9B" w:rsidR="000B2014" w:rsidRPr="005C2179" w:rsidRDefault="000B2014" w:rsidP="00016158">
      <w:pPr>
        <w:pStyle w:val="FootnoteText"/>
      </w:pPr>
      <w:r w:rsidRPr="005C2179">
        <w:rPr>
          <w:rStyle w:val="FootnoteReference"/>
        </w:rPr>
        <w:footnoteRef/>
      </w:r>
      <w:r w:rsidR="00426E56" w:rsidRPr="005C2179">
        <w:t xml:space="preserve"> Ewing</w:t>
      </w:r>
      <w:r w:rsidRPr="005C2179">
        <w:t xml:space="preserve"> (2006) at 63.</w:t>
      </w:r>
    </w:p>
  </w:footnote>
  <w:footnote w:id="501">
    <w:p w14:paraId="7E8399E0" w14:textId="77777777" w:rsidR="000B2014" w:rsidRPr="005C2179" w:rsidRDefault="000B2014" w:rsidP="00016158">
      <w:pPr>
        <w:pStyle w:val="FootnoteText"/>
      </w:pPr>
      <w:r w:rsidRPr="005C2179">
        <w:rPr>
          <w:rStyle w:val="FootnoteReference"/>
        </w:rPr>
        <w:footnoteRef/>
      </w:r>
      <w:r w:rsidRPr="005C2179">
        <w:t xml:space="preserve"> The scandals also led the Labour Party to set up extra “safeguards”; for example, the party instituted a requirement that donors sign a statement declaring that they are not seeking personal or commercial benefits: </w:t>
      </w:r>
      <w:r w:rsidRPr="005C2179">
        <w:rPr>
          <w:i/>
        </w:rPr>
        <w:t xml:space="preserve">ibid </w:t>
      </w:r>
      <w:r w:rsidRPr="005C2179">
        <w:t>at 67.</w:t>
      </w:r>
    </w:p>
  </w:footnote>
  <w:footnote w:id="502">
    <w:p w14:paraId="19B32FDF" w14:textId="2BBDBB55" w:rsidR="000B2014" w:rsidRPr="005C2179" w:rsidRDefault="000B2014" w:rsidP="00016158">
      <w:pPr>
        <w:pStyle w:val="FootnoteText"/>
      </w:pPr>
      <w:r w:rsidRPr="005C2179">
        <w:rPr>
          <w:rStyle w:val="FootnoteReference"/>
        </w:rPr>
        <w:footnoteRef/>
      </w:r>
      <w:r w:rsidRPr="005C2179">
        <w:t xml:space="preserve"> Fisher (2015) at 167.</w:t>
      </w:r>
    </w:p>
  </w:footnote>
  <w:footnote w:id="503">
    <w:p w14:paraId="0A403D7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153.</w:t>
      </w:r>
    </w:p>
  </w:footnote>
  <w:footnote w:id="504">
    <w:p w14:paraId="5D834563"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w:t>
      </w:r>
    </w:p>
  </w:footnote>
  <w:footnote w:id="505">
    <w:p w14:paraId="1009DF87" w14:textId="77777777" w:rsidR="000B2014" w:rsidRPr="005C2179" w:rsidRDefault="000B2014" w:rsidP="00016158">
      <w:pPr>
        <w:pStyle w:val="FootnoteText"/>
      </w:pPr>
      <w:r w:rsidRPr="005C2179">
        <w:rPr>
          <w:rStyle w:val="FootnoteReference"/>
        </w:rPr>
        <w:footnoteRef/>
      </w:r>
      <w:r w:rsidRPr="005C2179">
        <w:t xml:space="preserve"> However, expenses incurred by local party branches to promote the party as a whole count toward the national party’s spending limits. See </w:t>
      </w:r>
      <w:r w:rsidRPr="005C2179">
        <w:rPr>
          <w:highlight w:val="cyan"/>
        </w:rPr>
        <w:t>Section 9.2.1.1</w:t>
      </w:r>
      <w:r w:rsidRPr="005C2179">
        <w:t>, above.</w:t>
      </w:r>
    </w:p>
  </w:footnote>
  <w:footnote w:id="506">
    <w:p w14:paraId="65D0FB7B" w14:textId="3C7C48A1" w:rsidR="000B2014" w:rsidRPr="005C2179" w:rsidRDefault="000B2014" w:rsidP="00016158">
      <w:pPr>
        <w:pStyle w:val="FootnoteText"/>
      </w:pPr>
      <w:r w:rsidRPr="005C2179">
        <w:rPr>
          <w:rStyle w:val="FootnoteReference"/>
        </w:rPr>
        <w:footnoteRef/>
      </w:r>
      <w:r w:rsidR="00426E56" w:rsidRPr="005C2179">
        <w:t xml:space="preserve"> Johnston &amp; Pattie</w:t>
      </w:r>
      <w:r w:rsidRPr="005C2179">
        <w:t xml:space="preserve"> (2012) at 92.</w:t>
      </w:r>
    </w:p>
  </w:footnote>
  <w:footnote w:id="507">
    <w:p w14:paraId="1D4C9BCA"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w:t>
      </w:r>
    </w:p>
  </w:footnote>
  <w:footnote w:id="508">
    <w:p w14:paraId="1F0162C3" w14:textId="77777777" w:rsidR="000B2014" w:rsidRPr="005C2179" w:rsidRDefault="000B2014" w:rsidP="00016158">
      <w:pPr>
        <w:pStyle w:val="FootnoteText"/>
      </w:pPr>
      <w:r w:rsidRPr="005C2179">
        <w:rPr>
          <w:rStyle w:val="FootnoteReference"/>
        </w:rPr>
        <w:footnoteRef/>
      </w:r>
      <w:r w:rsidRPr="005C2179">
        <w:t xml:space="preserve"> Justin Fisher, “Legal Regulation and Political Activity at the Local Level in Britain” in Keith D Ewing, Jacob Rowbottom &amp; Joo-Cheong Tham, eds, </w:t>
      </w:r>
      <w:r w:rsidRPr="005C2179">
        <w:rPr>
          <w:i/>
        </w:rPr>
        <w:t xml:space="preserve">The Funding of Political Parties: Where Now? </w:t>
      </w:r>
      <w:r w:rsidRPr="005C2179">
        <w:t>(Routledge, 2012) at 121.</w:t>
      </w:r>
    </w:p>
  </w:footnote>
  <w:footnote w:id="509">
    <w:p w14:paraId="1336862B" w14:textId="35062CFB" w:rsidR="000B2014" w:rsidRPr="005C2179" w:rsidRDefault="000B2014" w:rsidP="00016158">
      <w:pPr>
        <w:pStyle w:val="FootnoteText"/>
      </w:pPr>
      <w:r w:rsidRPr="005C2179">
        <w:rPr>
          <w:rStyle w:val="FootnoteReference"/>
        </w:rPr>
        <w:footnoteRef/>
      </w:r>
      <w:r w:rsidR="00426E56" w:rsidRPr="005C2179">
        <w:t xml:space="preserve"> Ghaleigh</w:t>
      </w:r>
      <w:r w:rsidRPr="005C2179">
        <w:t xml:space="preserve"> (2006) at 47.</w:t>
      </w:r>
    </w:p>
  </w:footnote>
  <w:footnote w:id="510">
    <w:p w14:paraId="2DC5E35C"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511">
    <w:p w14:paraId="1BAFFBB1"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512">
    <w:p w14:paraId="495782C7" w14:textId="6BA70575" w:rsidR="000B2014" w:rsidRPr="005C2179" w:rsidRDefault="000B2014" w:rsidP="00016158">
      <w:pPr>
        <w:pStyle w:val="FootnoteText"/>
      </w:pPr>
      <w:r w:rsidRPr="005C2179">
        <w:rPr>
          <w:rStyle w:val="FootnoteReference"/>
        </w:rPr>
        <w:footnoteRef/>
      </w:r>
      <w:r w:rsidR="00426E56" w:rsidRPr="005C2179">
        <w:t xml:space="preserve"> Rowbottom</w:t>
      </w:r>
      <w:r w:rsidRPr="005C2179">
        <w:t xml:space="preserve"> (2012) 11 at 18.</w:t>
      </w:r>
    </w:p>
  </w:footnote>
  <w:footnote w:id="513">
    <w:p w14:paraId="3D40DF1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w:t>
      </w:r>
    </w:p>
  </w:footnote>
  <w:footnote w:id="514">
    <w:p w14:paraId="7CBB442D" w14:textId="04A1872C" w:rsidR="000B2014" w:rsidRPr="005C2179" w:rsidRDefault="000B2014" w:rsidP="00016158">
      <w:pPr>
        <w:pStyle w:val="FootnoteText"/>
      </w:pPr>
      <w:r w:rsidRPr="005C2179">
        <w:rPr>
          <w:rStyle w:val="FootnoteReference"/>
        </w:rPr>
        <w:footnoteRef/>
      </w:r>
      <w:r w:rsidRPr="005C2179">
        <w:t xml:space="preserve"> Peter Geoghegan &amp; Adam Ramsay, “The strange link between the DUP Brexit donation and a notorious Indian gun running trial”, </w:t>
      </w:r>
      <w:r w:rsidRPr="005C2179">
        <w:rPr>
          <w:i/>
        </w:rPr>
        <w:t>openDemocracyUK</w:t>
      </w:r>
      <w:r w:rsidRPr="005C2179">
        <w:t>, online: &lt;</w:t>
      </w:r>
      <w:hyperlink r:id="rId34" w:history="1">
        <w:r w:rsidRPr="005C2179">
          <w:rPr>
            <w:rStyle w:val="Hyperlink"/>
          </w:rPr>
          <w:t>https://www.opendemocracy.net/uk/peter-geoghegan-adam-ramsay/mysterious-dup-brexit-donation-plot-thickens</w:t>
        </w:r>
      </w:hyperlink>
      <w:r w:rsidRPr="005C2179">
        <w:t xml:space="preserve">&gt;; “DUP confirms ₤435,000 Brexit donation”, </w:t>
      </w:r>
      <w:r w:rsidRPr="005C2179">
        <w:rPr>
          <w:i/>
        </w:rPr>
        <w:t xml:space="preserve">BBC News </w:t>
      </w:r>
      <w:r w:rsidRPr="005C2179">
        <w:t>(24 February 2017), online: &lt;</w:t>
      </w:r>
      <w:hyperlink r:id="rId35" w:history="1">
        <w:r w:rsidRPr="005C2179">
          <w:rPr>
            <w:rStyle w:val="Hyperlink"/>
          </w:rPr>
          <w:t>http://www.bbc.com/news/uk-northern-ireland-39075502</w:t>
        </w:r>
      </w:hyperlink>
      <w:r w:rsidRPr="005C2179">
        <w:t xml:space="preserve">&gt;; Fintan O’Toole, “What connects Brexit, the DUP, dark money and a Saudi prince?”, </w:t>
      </w:r>
      <w:r w:rsidRPr="005C2179">
        <w:rPr>
          <w:i/>
        </w:rPr>
        <w:t xml:space="preserve">The Irish Times </w:t>
      </w:r>
      <w:r w:rsidRPr="005C2179">
        <w:t>(16 May 2017), online: &lt;</w:t>
      </w:r>
      <w:hyperlink r:id="rId36" w:history="1">
        <w:r w:rsidRPr="005C2179">
          <w:rPr>
            <w:rStyle w:val="Hyperlink"/>
          </w:rPr>
          <w:t>https://www.irishtimes.com/opinion/what-connects-brexit-the-dup-dark-money-and-a-saudi-prince-1.3083586</w:t>
        </w:r>
      </w:hyperlink>
      <w:r w:rsidRPr="005C2179">
        <w:t xml:space="preserve">&gt;; “The strange tale of the DUP, Brexit, a mysterious ₤425,000 donation and a Saudi prince”, </w:t>
      </w:r>
      <w:r w:rsidRPr="005C2179">
        <w:rPr>
          <w:i/>
        </w:rPr>
        <w:t xml:space="preserve">The Independent </w:t>
      </w:r>
      <w:r w:rsidRPr="005C2179">
        <w:t>(9 June 2017), online: &lt;</w:t>
      </w:r>
      <w:hyperlink r:id="rId37" w:history="1">
        <w:r w:rsidRPr="005C2179">
          <w:rPr>
            <w:rStyle w:val="Hyperlink"/>
          </w:rPr>
          <w:t>http://www.independent.co.uk/news/uk/politics/election-dup-brexit-donations-saudi-arabia-tale-tories-theresa-may-a7782681.html</w:t>
        </w:r>
      </w:hyperlink>
      <w:r w:rsidRPr="005C2179">
        <w:t xml:space="preserve">&gt;. Facing political pressure, the DUP eventually revealed the source of the donation to be an organization called the Constitutional Research Council. However, the ultimate source of the donation remains unclear. Even under </w:t>
      </w:r>
      <w:r w:rsidRPr="005C2179">
        <w:rPr>
          <w:i/>
        </w:rPr>
        <w:t>PPERA</w:t>
      </w:r>
      <w:r w:rsidRPr="005C2179">
        <w:t>’s disclosure requirements</w:t>
      </w:r>
      <w:r w:rsidRPr="005C2179">
        <w:rPr>
          <w:i/>
        </w:rPr>
        <w:t xml:space="preserve">, </w:t>
      </w:r>
      <w:r w:rsidRPr="005C2179">
        <w:t xml:space="preserve">the ultimate source of this type of donation could remain murky. As discussed above in </w:t>
      </w:r>
      <w:r w:rsidRPr="005C2179">
        <w:rPr>
          <w:highlight w:val="cyan"/>
        </w:rPr>
        <w:t>Section 9.2.1.2(b),</w:t>
      </w:r>
      <w:r w:rsidRPr="005C2179">
        <w:t xml:space="preserve"> under </w:t>
      </w:r>
      <w:r w:rsidRPr="005C2179">
        <w:rPr>
          <w:i/>
        </w:rPr>
        <w:t>PPERA,</w:t>
      </w:r>
      <w:r w:rsidRPr="005C2179">
        <w:t xml:space="preserve"> parties may, under certain circumstances, accept donations from an unincorporated association without inquiring into the identities of the individuals funding the unincorporated association. </w:t>
      </w:r>
      <w:r w:rsidRPr="005C2179">
        <w:rPr>
          <w:i/>
        </w:rPr>
        <w:t xml:space="preserve"> </w:t>
      </w:r>
    </w:p>
  </w:footnote>
  <w:footnote w:id="515">
    <w:p w14:paraId="373375D9" w14:textId="60B54016" w:rsidR="000B2014" w:rsidRPr="005C2179" w:rsidRDefault="000B2014" w:rsidP="00016158">
      <w:pPr>
        <w:pStyle w:val="FootnoteText"/>
      </w:pPr>
      <w:r w:rsidRPr="005C2179">
        <w:rPr>
          <w:rStyle w:val="FootnoteReference"/>
        </w:rPr>
        <w:footnoteRef/>
      </w:r>
      <w:r w:rsidR="00426E56" w:rsidRPr="005C2179">
        <w:t xml:space="preserve"> Ghaleigh</w:t>
      </w:r>
      <w:r w:rsidRPr="005C2179">
        <w:t xml:space="preserve"> (2012) at 167.</w:t>
      </w:r>
    </w:p>
  </w:footnote>
  <w:footnote w:id="516">
    <w:p w14:paraId="4C3CD747"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w:t>
      </w:r>
    </w:p>
  </w:footnote>
  <w:footnote w:id="517">
    <w:p w14:paraId="551BA9A4" w14:textId="1AF1E609" w:rsidR="000B2014" w:rsidRPr="005C2179" w:rsidRDefault="000B2014" w:rsidP="00016158">
      <w:pPr>
        <w:pStyle w:val="FootnoteText"/>
      </w:pPr>
      <w:r w:rsidRPr="005C2179">
        <w:rPr>
          <w:rStyle w:val="FootnoteReference"/>
        </w:rPr>
        <w:footnoteRef/>
      </w:r>
      <w:r w:rsidRPr="005C2179">
        <w:t xml:space="preserve"> Gauja &amp; Orr (2015) at 250.</w:t>
      </w:r>
    </w:p>
  </w:footnote>
  <w:footnote w:id="518">
    <w:p w14:paraId="2147D32B"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at 259; </w:t>
      </w:r>
      <w:r w:rsidRPr="005C2179">
        <w:rPr>
          <w:i/>
        </w:rPr>
        <w:t>Transparency of Lobbying, Non-Party Campaigning and Trade Union Administration Act 2014</w:t>
      </w:r>
      <w:r w:rsidRPr="005C2179">
        <w:t xml:space="preserve"> (UK), c 4, s 3. </w:t>
      </w:r>
    </w:p>
  </w:footnote>
  <w:footnote w:id="519">
    <w:p w14:paraId="5B7CE340" w14:textId="31F732EE" w:rsidR="000B2014" w:rsidRPr="005C2179" w:rsidRDefault="000B2014" w:rsidP="00016158">
      <w:pPr>
        <w:pStyle w:val="FootnoteText"/>
      </w:pPr>
      <w:r w:rsidRPr="005C2179">
        <w:rPr>
          <w:rStyle w:val="FootnoteReference"/>
        </w:rPr>
        <w:footnoteRef/>
      </w:r>
      <w:r w:rsidR="00426E56" w:rsidRPr="005C2179">
        <w:t xml:space="preserve"> Gauja</w:t>
      </w:r>
      <w:r w:rsidRPr="005C2179">
        <w:t xml:space="preserve"> (2010) at 179.</w:t>
      </w:r>
    </w:p>
  </w:footnote>
  <w:footnote w:id="520">
    <w:p w14:paraId="6126E4CA" w14:textId="77777777" w:rsidR="000B2014" w:rsidRPr="005C2179" w:rsidRDefault="000B2014" w:rsidP="00016158">
      <w:pPr>
        <w:pStyle w:val="FootnoteText"/>
      </w:pPr>
      <w:r w:rsidRPr="005C2179">
        <w:rPr>
          <w:rStyle w:val="FootnoteReference"/>
        </w:rPr>
        <w:footnoteRef/>
      </w:r>
      <w:r w:rsidRPr="005C2179">
        <w:t xml:space="preserve"> The ban’s impact on political parties is less extreme, since broadcasters must provide parties with airtime for party political broadcasts. See </w:t>
      </w:r>
      <w:r w:rsidRPr="005C2179">
        <w:rPr>
          <w:i/>
        </w:rPr>
        <w:t xml:space="preserve">Animal Defenders International v the United Kingdom </w:t>
      </w:r>
      <w:r w:rsidRPr="005C2179">
        <w:t xml:space="preserve">[GC], No 48876/08, [2013] II ECHR 203, dissenting judgement of Tulkens J at para 14. </w:t>
      </w:r>
    </w:p>
  </w:footnote>
  <w:footnote w:id="521">
    <w:p w14:paraId="2C2411B8" w14:textId="77777777" w:rsidR="000B2014" w:rsidRPr="005C2179" w:rsidRDefault="000B2014" w:rsidP="00016158">
      <w:pPr>
        <w:pStyle w:val="FootnoteText"/>
      </w:pPr>
      <w:r w:rsidRPr="005C2179">
        <w:rPr>
          <w:rStyle w:val="FootnoteReference"/>
        </w:rPr>
        <w:footnoteRef/>
      </w:r>
      <w:r w:rsidRPr="005C2179">
        <w:t xml:space="preserve"> Tom Lewis, “</w:t>
      </w:r>
      <w:r w:rsidRPr="005C2179">
        <w:rPr>
          <w:i/>
        </w:rPr>
        <w:t xml:space="preserve">Animal Defenders International v United Kingdom: </w:t>
      </w:r>
      <w:r w:rsidRPr="005C2179">
        <w:t>Sensible Dialogue or a Bad Case of Strasbourg Jitters?” (2014) 77:3 Mod L Rev 460 at 462.</w:t>
      </w:r>
    </w:p>
  </w:footnote>
  <w:footnote w:id="522">
    <w:p w14:paraId="7EC88EBD" w14:textId="77777777" w:rsidR="000B2014" w:rsidRPr="005C2179" w:rsidRDefault="000B2014" w:rsidP="00016158">
      <w:pPr>
        <w:pStyle w:val="FootnoteText"/>
      </w:pPr>
      <w:r w:rsidRPr="005C2179">
        <w:rPr>
          <w:rStyle w:val="FootnoteReference"/>
        </w:rPr>
        <w:footnoteRef/>
      </w:r>
      <w:r w:rsidRPr="005C2179">
        <w:t xml:space="preserve"> Professor Eric Barendt, Minutes of Evidence presented to Joint Committee on the Draft Communications Bill [Minutes of Evidence], 17 June 2002, online: &lt;</w:t>
      </w:r>
      <w:hyperlink r:id="rId38" w:history="1">
        <w:r w:rsidRPr="005C2179">
          <w:rPr>
            <w:rStyle w:val="Hyperlink"/>
          </w:rPr>
          <w:t>https://publications.parliament.uk/pa/jt200102/jtselect/jtcom/169/2061701.htm</w:t>
        </w:r>
      </w:hyperlink>
      <w:r w:rsidRPr="005C2179">
        <w:t>&gt;.</w:t>
      </w:r>
    </w:p>
  </w:footnote>
  <w:footnote w:id="523">
    <w:p w14:paraId="6F18F320" w14:textId="77777777" w:rsidR="000B2014" w:rsidRPr="005C2179" w:rsidRDefault="000B2014" w:rsidP="00016158">
      <w:pPr>
        <w:pStyle w:val="FootnoteText"/>
      </w:pPr>
      <w:r w:rsidRPr="005C2179">
        <w:rPr>
          <w:rStyle w:val="FootnoteReference"/>
        </w:rPr>
        <w:footnoteRef/>
      </w:r>
      <w:r w:rsidRPr="005C2179">
        <w:t xml:space="preserve"> Ibid.</w:t>
      </w:r>
    </w:p>
  </w:footnote>
  <w:footnote w:id="524">
    <w:p w14:paraId="2B34063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 xml:space="preserve">Animal Defenders International v the United Kingdom </w:t>
      </w:r>
      <w:r w:rsidRPr="005C2179">
        <w:t>[GC], No 48876/08, [2013] II ECHR 203, dissenting judgement of Tulkens J at para 19.</w:t>
      </w:r>
    </w:p>
  </w:footnote>
  <w:footnote w:id="525">
    <w:p w14:paraId="05E0367E" w14:textId="77777777" w:rsidR="000B2014" w:rsidRPr="005C2179" w:rsidRDefault="000B2014" w:rsidP="00016158">
      <w:pPr>
        <w:pStyle w:val="FootnoteText"/>
      </w:pPr>
      <w:r w:rsidRPr="005C2179">
        <w:rPr>
          <w:rStyle w:val="FootnoteReference"/>
        </w:rPr>
        <w:footnoteRef/>
      </w:r>
      <w:r w:rsidRPr="005C2179">
        <w:t xml:space="preserve"> </w:t>
      </w:r>
      <w:r w:rsidRPr="005C2179">
        <w:rPr>
          <w:i/>
        </w:rPr>
        <w:t>Ibid</w:t>
      </w:r>
      <w:r w:rsidRPr="005C2179">
        <w:t xml:space="preserve">, dissenting judgement of Ziemele J et al at para 2. Ziemele J also argued that the majority’s decision was inconsistent with </w:t>
      </w:r>
      <w:r w:rsidRPr="005C2179">
        <w:rPr>
          <w:i/>
        </w:rPr>
        <w:t xml:space="preserve">VgT Verein gegen Tierfabriken v Switzerland </w:t>
      </w:r>
      <w:r w:rsidRPr="005C2179">
        <w:t>[GC]</w:t>
      </w:r>
      <w:r w:rsidRPr="005C2179">
        <w:rPr>
          <w:i/>
        </w:rPr>
        <w:t xml:space="preserve">, </w:t>
      </w:r>
      <w:r w:rsidRPr="005C2179">
        <w:t>No 24699/94, [2001] VI ECHR 243, in which the ECtHR held that a similar prohibition on political advertising in Switzerland contravened the European Convention on Human Rights because it violated freedom of expression and was not necessary in a democratic society.</w:t>
      </w:r>
    </w:p>
  </w:footnote>
  <w:footnote w:id="526">
    <w:p w14:paraId="05973B92" w14:textId="41E97A4B" w:rsidR="000B2014" w:rsidRPr="005C2179" w:rsidRDefault="000B2014" w:rsidP="00016158">
      <w:pPr>
        <w:pStyle w:val="FootnoteText"/>
      </w:pPr>
      <w:r w:rsidRPr="005C2179">
        <w:rPr>
          <w:rStyle w:val="FootnoteReference"/>
        </w:rPr>
        <w:footnoteRef/>
      </w:r>
      <w:r w:rsidRPr="005C2179">
        <w:t xml:space="preserve"> Lewis (2014) at 473.</w:t>
      </w:r>
    </w:p>
  </w:footnote>
  <w:footnote w:id="527">
    <w:p w14:paraId="15D50192" w14:textId="7DED972B" w:rsidR="000B2014" w:rsidRPr="005C2179" w:rsidRDefault="000B2014" w:rsidP="00016158">
      <w:pPr>
        <w:pStyle w:val="FootnoteText"/>
      </w:pPr>
      <w:r w:rsidRPr="005C2179">
        <w:rPr>
          <w:rStyle w:val="FootnoteReference"/>
        </w:rPr>
        <w:footnoteRef/>
      </w:r>
      <w:r w:rsidRPr="005C2179">
        <w:t xml:space="preserve"> Minutes of Evidence (17 June 2002).</w:t>
      </w:r>
    </w:p>
  </w:footnote>
  <w:footnote w:id="528">
    <w:p w14:paraId="27A9F3FD" w14:textId="77777777" w:rsidR="000B2014" w:rsidRPr="005C2179" w:rsidRDefault="000B2014" w:rsidP="00016158">
      <w:pPr>
        <w:pStyle w:val="FootnoteText"/>
      </w:pPr>
      <w:r w:rsidRPr="005C2179">
        <w:rPr>
          <w:rStyle w:val="FootnoteReference"/>
        </w:rPr>
        <w:footnoteRef/>
      </w:r>
      <w:r w:rsidRPr="005C2179">
        <w:t xml:space="preserve"> Andrew Scott, “‘A Monstrous and Unjustifiable Infringement’?: Political Expression and the Broadcasting Ban on Advocacy Advertising” (March 2003) 66 Mod L Rev 224; Sarah Sackman, “Debating ‘Democracy’ and the Ban on Political Advertising” (May 2009) 72:3 Mod L Rev 475; Minutes of Evidence, (17 June 2002).</w:t>
      </w:r>
    </w:p>
  </w:footnote>
  <w:footnote w:id="529">
    <w:p w14:paraId="3E02025C" w14:textId="6D3774FE" w:rsidR="000B2014" w:rsidRPr="005C2179" w:rsidRDefault="000B2014" w:rsidP="00016158">
      <w:pPr>
        <w:pStyle w:val="FootnoteText"/>
      </w:pPr>
      <w:r w:rsidRPr="005C2179">
        <w:rPr>
          <w:rStyle w:val="FootnoteReference"/>
        </w:rPr>
        <w:footnoteRef/>
      </w:r>
      <w:r w:rsidRPr="005C2179">
        <w:t xml:space="preserve"> Minutes of Evidence (17 June 2002). See also Sackman, (May 2009) at 482. </w:t>
      </w:r>
      <w:r w:rsidRPr="005C2179">
        <w:rPr>
          <w:shd w:val="clear" w:color="auto" w:fill="FFFFFF"/>
        </w:rPr>
        <w:t xml:space="preserve">Barendt also suggests that radio and television can be distinguished from each other in designing a regulatory regime, as the price of advertising on radio “would not be extortionate.” Thus, the potential for distortion by the wealthy is smaller in the context of radio advertising: </w:t>
      </w:r>
      <w:r w:rsidRPr="005C2179">
        <w:t>Minutes of Evidence, (17 June 2002).</w:t>
      </w:r>
    </w:p>
  </w:footnote>
  <w:footnote w:id="530">
    <w:p w14:paraId="6E2147E7" w14:textId="03618336" w:rsidR="000B2014" w:rsidRPr="005C2179" w:rsidRDefault="000B2014" w:rsidP="00016158">
      <w:pPr>
        <w:pStyle w:val="FootnoteText"/>
      </w:pPr>
      <w:r w:rsidRPr="005C2179">
        <w:rPr>
          <w:rStyle w:val="FootnoteReference"/>
        </w:rPr>
        <w:footnoteRef/>
      </w:r>
      <w:r w:rsidRPr="005C2179">
        <w:t xml:space="preserve"> See, e.g., Sackman (May 2009) at 484.</w:t>
      </w:r>
    </w:p>
  </w:footnote>
  <w:footnote w:id="531">
    <w:p w14:paraId="0DD069DF" w14:textId="0DFFA313" w:rsidR="000B2014" w:rsidRPr="005C2179" w:rsidRDefault="000B2014" w:rsidP="00016158">
      <w:pPr>
        <w:pStyle w:val="FootnoteText"/>
      </w:pPr>
      <w:r w:rsidRPr="005C2179">
        <w:rPr>
          <w:rStyle w:val="FootnoteReference"/>
        </w:rPr>
        <w:footnoteRef/>
      </w:r>
      <w:r w:rsidR="00426E56" w:rsidRPr="005C2179">
        <w:t xml:space="preserve"> Tambini et al</w:t>
      </w:r>
      <w:r w:rsidRPr="005C2179">
        <w:t xml:space="preserve"> (March 2017) at 4, 8, 21.</w:t>
      </w:r>
    </w:p>
  </w:footnote>
  <w:footnote w:id="532">
    <w:p w14:paraId="0F7A5AB8" w14:textId="64B21303" w:rsidR="000B2014" w:rsidRPr="005C2179" w:rsidRDefault="000B2014" w:rsidP="00016158">
      <w:pPr>
        <w:pStyle w:val="FootnoteText"/>
      </w:pPr>
      <w:r w:rsidRPr="005C2179">
        <w:rPr>
          <w:rStyle w:val="FootnoteReference"/>
        </w:rPr>
        <w:footnoteRef/>
      </w:r>
      <w:r w:rsidRPr="005C2179">
        <w:t xml:space="preserve"> Fisher (2015) at 165.</w:t>
      </w:r>
    </w:p>
  </w:footnote>
  <w:footnote w:id="533">
    <w:p w14:paraId="63F6FBFD" w14:textId="5D6488AF" w:rsidR="000B2014" w:rsidRPr="005C2179" w:rsidRDefault="000B2014" w:rsidP="00016158">
      <w:pPr>
        <w:pStyle w:val="FootnoteText"/>
      </w:pPr>
      <w:r w:rsidRPr="005C2179">
        <w:rPr>
          <w:rStyle w:val="FootnoteReference"/>
        </w:rPr>
        <w:footnoteRef/>
      </w:r>
      <w:r w:rsidRPr="005C2179">
        <w:t xml:space="preserve"> Ewing &amp; Rowbottom (2012) at 82.</w:t>
      </w:r>
    </w:p>
  </w:footnote>
  <w:footnote w:id="534">
    <w:p w14:paraId="152E0D20" w14:textId="3E99F6C6" w:rsidR="000B2014" w:rsidRPr="005C2179" w:rsidRDefault="000B2014" w:rsidP="00016158">
      <w:pPr>
        <w:pStyle w:val="FootnoteText"/>
      </w:pPr>
      <w:r w:rsidRPr="005C2179">
        <w:rPr>
          <w:rStyle w:val="FootnoteReference"/>
        </w:rPr>
        <w:footnoteRef/>
      </w:r>
      <w:r w:rsidRPr="005C2179">
        <w:t xml:space="preserve"> Ghaleigh (2012) at 157.</w:t>
      </w:r>
    </w:p>
  </w:footnote>
  <w:footnote w:id="535">
    <w:p w14:paraId="22BA53E7" w14:textId="58F445D9" w:rsidR="000B2014" w:rsidRPr="005C2179" w:rsidRDefault="000B2014" w:rsidP="00016158">
      <w:pPr>
        <w:pStyle w:val="FootnoteText"/>
      </w:pPr>
      <w:r w:rsidRPr="005C2179">
        <w:rPr>
          <w:rStyle w:val="FootnoteReference"/>
        </w:rPr>
        <w:footnoteRef/>
      </w:r>
      <w:r w:rsidRPr="005C2179">
        <w:t xml:space="preserve"> Ghaleigh (2006) at 43.  </w:t>
      </w:r>
    </w:p>
  </w:footnote>
  <w:footnote w:id="536">
    <w:p w14:paraId="3CBA1ABB" w14:textId="55BEEC6C" w:rsidR="000B2014" w:rsidRPr="005C2179" w:rsidRDefault="000B2014" w:rsidP="00843271">
      <w:pPr>
        <w:pStyle w:val="FootnoteText"/>
      </w:pPr>
      <w:r w:rsidRPr="005C2179">
        <w:rPr>
          <w:rStyle w:val="FootnoteReference"/>
        </w:rPr>
        <w:footnoteRef/>
      </w:r>
      <w:r w:rsidRPr="005C2179">
        <w:t xml:space="preserve"> Young (2015) at 121.</w:t>
      </w:r>
    </w:p>
  </w:footnote>
  <w:footnote w:id="537">
    <w:p w14:paraId="4AA0560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2004 SCC 33.</w:t>
      </w:r>
    </w:p>
  </w:footnote>
  <w:footnote w:id="538">
    <w:p w14:paraId="0411C33C" w14:textId="7CBA87D1" w:rsidR="000B2014" w:rsidRPr="005C2179" w:rsidRDefault="000B2014" w:rsidP="00843271">
      <w:pPr>
        <w:pStyle w:val="FootnoteText"/>
      </w:pPr>
      <w:r w:rsidRPr="005C2179">
        <w:rPr>
          <w:rStyle w:val="FootnoteReference"/>
        </w:rPr>
        <w:footnoteRef/>
      </w:r>
      <w:r w:rsidRPr="005C2179">
        <w:t xml:space="preserve"> Young (2015) at 107.</w:t>
      </w:r>
    </w:p>
  </w:footnote>
  <w:footnote w:id="539">
    <w:p w14:paraId="387B831A"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R v Keegstra</w:t>
      </w:r>
      <w:r w:rsidRPr="005C2179">
        <w:t xml:space="preserve">, [1990] 3 SCR 697, [1991] 2 WWR 1. </w:t>
      </w:r>
    </w:p>
  </w:footnote>
  <w:footnote w:id="540">
    <w:p w14:paraId="7561600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Irwin Toy Ltd v Quebec (Attorney General)</w:t>
      </w:r>
      <w:r w:rsidRPr="005C2179">
        <w:t xml:space="preserve">, [1989] 1 SCR 927, 58 DLR (4th) 577. </w:t>
      </w:r>
    </w:p>
  </w:footnote>
  <w:footnote w:id="541">
    <w:p w14:paraId="33ADAF6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2004 SCC 33 at para 66.</w:t>
      </w:r>
    </w:p>
  </w:footnote>
  <w:footnote w:id="542">
    <w:p w14:paraId="292DF6FA"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Libman v Quebec (Attorney General)</w:t>
      </w:r>
      <w:r w:rsidRPr="005C2179">
        <w:t xml:space="preserve">, [1997] 3 SCR 569, 151 DLR (4th) 385 at para 36. </w:t>
      </w:r>
    </w:p>
  </w:footnote>
  <w:footnote w:id="543">
    <w:p w14:paraId="6368AD6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R v Oakes, </w:t>
      </w:r>
      <w:r w:rsidRPr="005C2179">
        <w:t xml:space="preserve">[1986] 1 SCR 103; </w:t>
      </w:r>
      <w:r w:rsidRPr="005C2179">
        <w:rPr>
          <w:i/>
        </w:rPr>
        <w:t>Carter v Canada (Attorney General)</w:t>
      </w:r>
      <w:r w:rsidRPr="005C2179">
        <w:t xml:space="preserve">, 2015 SCC 5 at para 94. </w:t>
      </w:r>
    </w:p>
  </w:footnote>
  <w:footnote w:id="544">
    <w:p w14:paraId="41D07D4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2004 SCC 33.</w:t>
      </w:r>
    </w:p>
  </w:footnote>
  <w:footnote w:id="545">
    <w:p w14:paraId="76626C6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(Attorney General) v Somerville, </w:t>
      </w:r>
      <w:r w:rsidRPr="005C2179">
        <w:t>1996 ABCA 217.</w:t>
      </w:r>
    </w:p>
  </w:footnote>
  <w:footnote w:id="546">
    <w:p w14:paraId="38E6597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48.</w:t>
      </w:r>
    </w:p>
  </w:footnote>
  <w:footnote w:id="547">
    <w:p w14:paraId="7802987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26.</w:t>
      </w:r>
    </w:p>
  </w:footnote>
  <w:footnote w:id="548">
    <w:p w14:paraId="16A031ED"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48.</w:t>
      </w:r>
    </w:p>
  </w:footnote>
  <w:footnote w:id="549">
    <w:p w14:paraId="1AA80E2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550">
    <w:p w14:paraId="3C343C8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76.</w:t>
      </w:r>
    </w:p>
  </w:footnote>
  <w:footnote w:id="551">
    <w:p w14:paraId="152FEC0F" w14:textId="77777777" w:rsidR="000B2014" w:rsidRPr="005C2179" w:rsidRDefault="000B2014" w:rsidP="00241686">
      <w:pPr>
        <w:pStyle w:val="FootnoteText"/>
      </w:pPr>
      <w:r w:rsidRPr="005C2179">
        <w:rPr>
          <w:rStyle w:val="FootnoteReference"/>
        </w:rPr>
        <w:footnoteRef/>
      </w:r>
      <w:r w:rsidRPr="005C2179">
        <w:t xml:space="preserve"> </w:t>
      </w:r>
      <w:r w:rsidRPr="005C2179">
        <w:rPr>
          <w:i/>
        </w:rPr>
        <w:t>Libman v Quebec (Attorney General)</w:t>
      </w:r>
      <w:r w:rsidRPr="005C2179">
        <w:t>, [1997] 3 SCR 569, 151 DLR (4th) 385.</w:t>
      </w:r>
    </w:p>
  </w:footnote>
  <w:footnote w:id="552">
    <w:p w14:paraId="6E59446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41.</w:t>
      </w:r>
    </w:p>
  </w:footnote>
  <w:footnote w:id="553">
    <w:p w14:paraId="71A2DEF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554">
    <w:p w14:paraId="104F993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555">
    <w:p w14:paraId="58B4DE5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57.</w:t>
      </w:r>
    </w:p>
  </w:footnote>
  <w:footnote w:id="556">
    <w:p w14:paraId="2DC1AA62" w14:textId="77777777" w:rsidR="000B2014" w:rsidRPr="005C2179" w:rsidRDefault="000B2014" w:rsidP="00843271">
      <w:pPr>
        <w:pStyle w:val="FootnoteText"/>
      </w:pPr>
      <w:r w:rsidRPr="005C2179">
        <w:rPr>
          <w:rStyle w:val="FootnoteReference"/>
        </w:rPr>
        <w:footnoteRef/>
      </w:r>
      <w:r w:rsidRPr="005C2179">
        <w:t xml:space="preserve"> Canada, Royal Commission on Electoral Reform and Party Financing, </w:t>
      </w:r>
      <w:r w:rsidRPr="005C2179">
        <w:rPr>
          <w:i/>
        </w:rPr>
        <w:t xml:space="preserve">Reforming Electoral Democracy: Final Report </w:t>
      </w:r>
      <w:r w:rsidRPr="005C2179">
        <w:t xml:space="preserve">(Ottawa: Minister of Supply and Services, 1991). </w:t>
      </w:r>
    </w:p>
  </w:footnote>
  <w:footnote w:id="557">
    <w:p w14:paraId="79B24D1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Libman v Quebec (Attorney General)</w:t>
      </w:r>
      <w:r w:rsidRPr="005C2179">
        <w:t xml:space="preserve">, [1997] 3 SCR 569, 151 DLR (4th) 385 at paras 43–54. </w:t>
      </w:r>
    </w:p>
  </w:footnote>
  <w:footnote w:id="558">
    <w:p w14:paraId="48443CE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50.</w:t>
      </w:r>
    </w:p>
  </w:footnote>
  <w:footnote w:id="559">
    <w:p w14:paraId="7CE04F3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w:t>
      </w:r>
    </w:p>
  </w:footnote>
  <w:footnote w:id="560">
    <w:p w14:paraId="444AE14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 xml:space="preserve">2004 SCC 33 at para 62. </w:t>
      </w:r>
    </w:p>
  </w:footnote>
  <w:footnote w:id="561">
    <w:p w14:paraId="07B0DF39" w14:textId="7127D0D6" w:rsidR="000B2014" w:rsidRPr="005C2179" w:rsidRDefault="000B2014" w:rsidP="00843271">
      <w:pPr>
        <w:pStyle w:val="FootnoteText"/>
        <w:rPr>
          <w:i/>
        </w:rPr>
      </w:pPr>
      <w:r w:rsidRPr="005C2179">
        <w:rPr>
          <w:rStyle w:val="FootnoteReference"/>
        </w:rPr>
        <w:footnoteRef/>
      </w:r>
      <w:r w:rsidRPr="005C2179">
        <w:t xml:space="preserve"> See </w:t>
      </w:r>
      <w:r w:rsidRPr="005C2179">
        <w:rPr>
          <w:highlight w:val="cyan"/>
        </w:rPr>
        <w:t>Section 8.2.3</w:t>
      </w:r>
      <w:r w:rsidRPr="005C2179">
        <w:t xml:space="preserve">, below, for the definition of “election advertising” and the current third-party spending limits under the </w:t>
      </w:r>
      <w:r w:rsidRPr="005C2179">
        <w:rPr>
          <w:i/>
        </w:rPr>
        <w:t xml:space="preserve">CEA. </w:t>
      </w:r>
    </w:p>
  </w:footnote>
  <w:footnote w:id="562">
    <w:p w14:paraId="2770484E"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 xml:space="preserve">2004 SCC 33 at para 92. </w:t>
      </w:r>
    </w:p>
  </w:footnote>
  <w:footnote w:id="563">
    <w:p w14:paraId="19928D7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111. Dawood argues that, in light of the risk of “partisan self-dealing” in the design of campaign finance laws, courts “should not automatically defer to Parliament when reviewing laws that govern the democratic process”: Yasmin Dajwood, “Electoral Fairness and the Law of Democracy: A Structural Rights Approach to Judicial Review” (Fall 2012) 62:4 UTLJ 499 at 505. </w:t>
      </w:r>
    </w:p>
  </w:footnote>
  <w:footnote w:id="564">
    <w:p w14:paraId="2649B96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2004 SCC 33 at para 70.</w:t>
      </w:r>
    </w:p>
  </w:footnote>
  <w:footnote w:id="565">
    <w:p w14:paraId="7559FCC7"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74.</w:t>
      </w:r>
    </w:p>
  </w:footnote>
  <w:footnote w:id="566">
    <w:p w14:paraId="73C7B9FB" w14:textId="77777777" w:rsidR="000B2014" w:rsidRPr="005C2179" w:rsidRDefault="000B2014" w:rsidP="00E26450">
      <w:pPr>
        <w:pStyle w:val="FootnoteText"/>
      </w:pPr>
      <w:r w:rsidRPr="005C2179">
        <w:rPr>
          <w:rStyle w:val="FootnoteReference"/>
        </w:rPr>
        <w:footnoteRef/>
      </w:r>
      <w:r w:rsidRPr="005C2179">
        <w:t xml:space="preserve"> </w:t>
      </w:r>
      <w:r w:rsidRPr="005C2179">
        <w:rPr>
          <w:i/>
        </w:rPr>
        <w:t>Ibid</w:t>
      </w:r>
      <w:r w:rsidRPr="005C2179">
        <w:t xml:space="preserve"> at paras 71 and 72. </w:t>
      </w:r>
    </w:p>
  </w:footnote>
  <w:footnote w:id="567">
    <w:p w14:paraId="38E3A44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50. </w:t>
      </w:r>
    </w:p>
  </w:footnote>
  <w:footnote w:id="568">
    <w:p w14:paraId="102106E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73. </w:t>
      </w:r>
    </w:p>
  </w:footnote>
  <w:footnote w:id="569">
    <w:p w14:paraId="5E1211E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1. </w:t>
      </w:r>
    </w:p>
  </w:footnote>
  <w:footnote w:id="570">
    <w:p w14:paraId="7646744E"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2. </w:t>
      </w:r>
    </w:p>
  </w:footnote>
  <w:footnote w:id="571">
    <w:p w14:paraId="07E8D1E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14. </w:t>
      </w:r>
    </w:p>
  </w:footnote>
  <w:footnote w:id="572">
    <w:p w14:paraId="09C9E85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para 19. The dissenting justices on the US Supreme Court have also turned to the idea that free speech protects both a right to speak and a right to hear. However, they have used this idea in support of spending limits. See, e.g., </w:t>
      </w:r>
      <w:r w:rsidRPr="005C2179">
        <w:rPr>
          <w:i/>
        </w:rPr>
        <w:t xml:space="preserve">Citizens United v Federal Election Commission, </w:t>
      </w:r>
      <w:r w:rsidRPr="005C2179">
        <w:t>588 US 310 at 473 (2009).</w:t>
      </w:r>
    </w:p>
  </w:footnote>
  <w:footnote w:id="573">
    <w:p w14:paraId="21E2D50E"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Harper v Canada (Attorney General)</w:t>
      </w:r>
      <w:r w:rsidRPr="005C2179">
        <w:t>,</w:t>
      </w:r>
      <w:r w:rsidRPr="005C2179">
        <w:rPr>
          <w:i/>
        </w:rPr>
        <w:t xml:space="preserve"> </w:t>
      </w:r>
      <w:r w:rsidRPr="005C2179">
        <w:t>2004 SCC 33 at para 77.</w:t>
      </w:r>
    </w:p>
  </w:footnote>
  <w:footnote w:id="574">
    <w:p w14:paraId="16143B34" w14:textId="2A78A2A1" w:rsidR="000B2014" w:rsidRPr="005C2179" w:rsidRDefault="000B2014" w:rsidP="00843271">
      <w:pPr>
        <w:pStyle w:val="FootnoteText"/>
      </w:pPr>
      <w:r w:rsidRPr="005C2179">
        <w:rPr>
          <w:rStyle w:val="FootnoteReference"/>
        </w:rPr>
        <w:footnoteRef/>
      </w:r>
      <w:r w:rsidRPr="005C2179">
        <w:t xml:space="preserve"> Feasby (2012) 206 at 211.</w:t>
      </w:r>
    </w:p>
  </w:footnote>
  <w:footnote w:id="575">
    <w:p w14:paraId="212FE77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at 211–12.</w:t>
      </w:r>
    </w:p>
  </w:footnote>
  <w:footnote w:id="576">
    <w:p w14:paraId="45CEEB0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SC 2000, c 9.</w:t>
      </w:r>
    </w:p>
  </w:footnote>
  <w:footnote w:id="577">
    <w:p w14:paraId="2E1BA45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376(3). </w:t>
      </w:r>
    </w:p>
  </w:footnote>
  <w:footnote w:id="578">
    <w:p w14:paraId="757B8E6A"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2(1). </w:t>
      </w:r>
    </w:p>
  </w:footnote>
  <w:footnote w:id="579">
    <w:p w14:paraId="2013744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430(1). </w:t>
      </w:r>
    </w:p>
  </w:footnote>
  <w:footnote w:id="580">
    <w:p w14:paraId="2561176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430(2). </w:t>
      </w:r>
    </w:p>
  </w:footnote>
  <w:footnote w:id="581">
    <w:p w14:paraId="18CC4A3A" w14:textId="77777777" w:rsidR="000B2014" w:rsidRPr="005C2179" w:rsidRDefault="000B2014" w:rsidP="00843271">
      <w:pPr>
        <w:pStyle w:val="FootnoteText"/>
      </w:pPr>
      <w:r w:rsidRPr="005C2179">
        <w:rPr>
          <w:rStyle w:val="FootnoteReference"/>
        </w:rPr>
        <w:footnoteRef/>
      </w:r>
      <w:r w:rsidRPr="005C2179">
        <w:t xml:space="preserve"> Elections Canada, “Final Election Expenses Limits for Registered Political Parties”, online: &lt;</w:t>
      </w:r>
      <w:hyperlink r:id="rId39" w:history="1">
        <w:r w:rsidRPr="005C2179">
          <w:rPr>
            <w:rStyle w:val="Hyperlink"/>
          </w:rPr>
          <w:t>http://www.elections.ca/content.aspx?section=ele&amp;document=index&amp;dir=pas/42ge/pollim&amp;lang=e</w:t>
        </w:r>
      </w:hyperlink>
      <w:r w:rsidRPr="005C2179">
        <w:t>&gt;.</w:t>
      </w:r>
    </w:p>
  </w:footnote>
  <w:footnote w:id="582">
    <w:p w14:paraId="70484B3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 xml:space="preserve">SC 2000, c 9, s 430(3). </w:t>
      </w:r>
    </w:p>
  </w:footnote>
  <w:footnote w:id="583">
    <w:p w14:paraId="2079728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431(2). </w:t>
      </w:r>
    </w:p>
  </w:footnote>
  <w:footnote w:id="584">
    <w:p w14:paraId="6E2AF20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477.49(1). </w:t>
      </w:r>
    </w:p>
  </w:footnote>
  <w:footnote w:id="585">
    <w:p w14:paraId="009368E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 477.49(2).</w:t>
      </w:r>
    </w:p>
  </w:footnote>
  <w:footnote w:id="586">
    <w:p w14:paraId="322C6406" w14:textId="6CD11A95" w:rsidR="000B2014" w:rsidRPr="005C2179" w:rsidRDefault="000B2014" w:rsidP="00843271">
      <w:pPr>
        <w:pStyle w:val="FootnoteText"/>
      </w:pPr>
      <w:r w:rsidRPr="005C2179">
        <w:rPr>
          <w:rStyle w:val="FootnoteReference"/>
        </w:rPr>
        <w:footnoteRef/>
      </w:r>
      <w:r w:rsidRPr="005C2179">
        <w:t xml:space="preserve"> Elections Canada, “Final Candidates Election Expenses Limits”, online: &lt;</w:t>
      </w:r>
      <w:hyperlink r:id="rId40" w:anchor="bc" w:history="1">
        <w:r w:rsidR="007C504E" w:rsidRPr="00371F06">
          <w:rPr>
            <w:rStyle w:val="Hyperlink"/>
          </w:rPr>
          <w:t>http://www.elections.ca/</w:t>
        </w:r>
        <w:r w:rsidR="007C504E" w:rsidRPr="00371F06">
          <w:rPr>
            <w:rStyle w:val="Hyperlink"/>
          </w:rPr>
          <w:br/>
          <w:t>content.aspx?section=ele&amp;document=index&amp;dir=pas/42ge/canlim&amp;lang=e#bc</w:t>
        </w:r>
      </w:hyperlink>
      <w:r w:rsidRPr="005C2179">
        <w:t xml:space="preserve">&gt;. </w:t>
      </w:r>
    </w:p>
  </w:footnote>
  <w:footnote w:id="587">
    <w:p w14:paraId="6C06088E"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SC 2000, c 9, s 477.52.</w:t>
      </w:r>
    </w:p>
  </w:footnote>
  <w:footnote w:id="588">
    <w:p w14:paraId="3E8314C7"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378(2). “Personal expenses” are defined in section 378 of the </w:t>
      </w:r>
      <w:r w:rsidRPr="005C2179">
        <w:rPr>
          <w:i/>
        </w:rPr>
        <w:t xml:space="preserve">CEA. </w:t>
      </w:r>
    </w:p>
  </w:footnote>
  <w:footnote w:id="589">
    <w:p w14:paraId="45C0E8CA" w14:textId="557AE7ED"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450(1). “Election advertising” is defined in section 319 of the </w:t>
      </w:r>
      <w:r w:rsidRPr="005C2179">
        <w:rPr>
          <w:i/>
        </w:rPr>
        <w:t>CEA</w:t>
      </w:r>
      <w:r w:rsidRPr="005C2179">
        <w:t xml:space="preserve">. The definition of “election advertising” is discussed in </w:t>
      </w:r>
      <w:r w:rsidRPr="005C2179">
        <w:rPr>
          <w:highlight w:val="cyan"/>
        </w:rPr>
        <w:t>Section 8.2.3.1</w:t>
      </w:r>
      <w:r w:rsidRPr="005C2179">
        <w:t xml:space="preserve">, below, in the context of third-party campaigners. </w:t>
      </w:r>
    </w:p>
  </w:footnote>
  <w:footnote w:id="590">
    <w:p w14:paraId="7CFB15BA" w14:textId="77777777" w:rsidR="000B2014" w:rsidRPr="005C2179" w:rsidRDefault="000B2014" w:rsidP="00E26450">
      <w:pPr>
        <w:pStyle w:val="FootnoteText"/>
      </w:pPr>
      <w:r w:rsidRPr="005C2179">
        <w:rPr>
          <w:rStyle w:val="FootnoteReference"/>
        </w:rPr>
        <w:footnoteRef/>
      </w:r>
      <w:r w:rsidRPr="005C2179">
        <w:t xml:space="preserve"> </w:t>
      </w:r>
      <w:r w:rsidRPr="005C2179">
        <w:rPr>
          <w:i/>
        </w:rPr>
        <w:t xml:space="preserve">Canada Elections Act, </w:t>
      </w:r>
      <w:r w:rsidRPr="005C2179">
        <w:t>SC 2000, c 9, ss 2(1) and 364(1).</w:t>
      </w:r>
    </w:p>
  </w:footnote>
  <w:footnote w:id="591">
    <w:p w14:paraId="2F5BC86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373. </w:t>
      </w:r>
    </w:p>
  </w:footnote>
  <w:footnote w:id="592">
    <w:p w14:paraId="6F23964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ss 364(2)–(4), 373(5). </w:t>
      </w:r>
    </w:p>
  </w:footnote>
  <w:footnote w:id="593">
    <w:p w14:paraId="43499FA6" w14:textId="6244528F" w:rsidR="000B2014" w:rsidRPr="005C2179" w:rsidRDefault="000B2014" w:rsidP="00843271">
      <w:pPr>
        <w:pStyle w:val="FootnoteText"/>
      </w:pPr>
      <w:r w:rsidRPr="005C2179">
        <w:rPr>
          <w:rStyle w:val="FootnoteReference"/>
        </w:rPr>
        <w:footnoteRef/>
      </w:r>
      <w:r w:rsidR="00426E56" w:rsidRPr="005C2179">
        <w:t xml:space="preserve"> Feasby</w:t>
      </w:r>
      <w:r w:rsidRPr="005C2179">
        <w:t xml:space="preserve"> (2012) 206 at 208.</w:t>
      </w:r>
    </w:p>
  </w:footnote>
  <w:footnote w:id="594">
    <w:p w14:paraId="7A7E8C6D"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 xml:space="preserve">SC 2000, c 9, s 364(7). </w:t>
      </w:r>
    </w:p>
  </w:footnote>
  <w:footnote w:id="595">
    <w:p w14:paraId="63DE2BB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364(8). </w:t>
      </w:r>
    </w:p>
  </w:footnote>
  <w:footnote w:id="596">
    <w:p w14:paraId="5D4081C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 377.</w:t>
      </w:r>
    </w:p>
  </w:footnote>
  <w:footnote w:id="597">
    <w:p w14:paraId="0EBF3E6F"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363(1). </w:t>
      </w:r>
    </w:p>
  </w:footnote>
  <w:footnote w:id="598">
    <w:p w14:paraId="59CACFF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ss 373(3)–(4). </w:t>
      </w:r>
    </w:p>
  </w:footnote>
  <w:footnote w:id="599">
    <w:p w14:paraId="5498ED9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ss 370, 373. </w:t>
      </w:r>
    </w:p>
  </w:footnote>
  <w:footnote w:id="600">
    <w:p w14:paraId="09DF1F1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370(1). </w:t>
      </w:r>
    </w:p>
  </w:footnote>
  <w:footnote w:id="601">
    <w:p w14:paraId="4FB92E9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ss 367(1)–(1.1). </w:t>
      </w:r>
    </w:p>
  </w:footnote>
  <w:footnote w:id="602">
    <w:p w14:paraId="0E3C4FC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367(1)(d). </w:t>
      </w:r>
    </w:p>
  </w:footnote>
  <w:footnote w:id="603">
    <w:p w14:paraId="3ACCB29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 373.</w:t>
      </w:r>
    </w:p>
  </w:footnote>
  <w:footnote w:id="604">
    <w:p w14:paraId="59EB76D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ss 367(6),(7).</w:t>
      </w:r>
    </w:p>
  </w:footnote>
  <w:footnote w:id="605">
    <w:p w14:paraId="393BBE5F"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437(1). </w:t>
      </w:r>
    </w:p>
  </w:footnote>
  <w:footnote w:id="606">
    <w:p w14:paraId="4403244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437(2). </w:t>
      </w:r>
    </w:p>
  </w:footnote>
  <w:footnote w:id="607">
    <w:p w14:paraId="47942CA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432(1). </w:t>
      </w:r>
    </w:p>
  </w:footnote>
  <w:footnote w:id="608">
    <w:p w14:paraId="1A8219F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432(2). </w:t>
      </w:r>
    </w:p>
  </w:footnote>
  <w:footnote w:id="609">
    <w:p w14:paraId="0C2A4ED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477.59(1). </w:t>
      </w:r>
    </w:p>
  </w:footnote>
  <w:footnote w:id="610">
    <w:p w14:paraId="4E1FD74A"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477.59(2). </w:t>
      </w:r>
    </w:p>
  </w:footnote>
  <w:footnote w:id="611">
    <w:p w14:paraId="3693006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477.59(2)(b). </w:t>
      </w:r>
    </w:p>
  </w:footnote>
  <w:footnote w:id="612">
    <w:p w14:paraId="40837D6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375. </w:t>
      </w:r>
    </w:p>
  </w:footnote>
  <w:footnote w:id="613">
    <w:p w14:paraId="0F6EE0A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 477.64(1).</w:t>
      </w:r>
    </w:p>
  </w:footnote>
  <w:footnote w:id="614">
    <w:p w14:paraId="2BACAF9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475.2(1). </w:t>
      </w:r>
    </w:p>
  </w:footnote>
  <w:footnote w:id="615">
    <w:p w14:paraId="1AD9470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475.4(1). </w:t>
      </w:r>
    </w:p>
  </w:footnote>
  <w:footnote w:id="616">
    <w:p w14:paraId="1C863467"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445(2). A private member’s bill has been put forward to reintroduce quarterly allowances, but private members’ bills often do not become law. See Bill C-340, </w:t>
      </w:r>
      <w:r w:rsidRPr="005C2179">
        <w:rPr>
          <w:i/>
        </w:rPr>
        <w:t xml:space="preserve">An </w:t>
      </w:r>
      <w:r w:rsidRPr="005C2179">
        <w:rPr>
          <w:i/>
          <w:color w:val="333333"/>
          <w:shd w:val="clear" w:color="auto" w:fill="FFFFFF"/>
        </w:rPr>
        <w:t xml:space="preserve">Act to amend the Canada Elections Act and to make a consequential amendment to another Act (political financing), </w:t>
      </w:r>
      <w:r w:rsidRPr="005C2179">
        <w:rPr>
          <w:color w:val="333333"/>
          <w:shd w:val="clear" w:color="auto" w:fill="FFFFFF"/>
        </w:rPr>
        <w:t>1st Sess, 42nd Parl, 2017, cl 2 (first reading 7 March 2017).</w:t>
      </w:r>
    </w:p>
  </w:footnote>
  <w:footnote w:id="617">
    <w:p w14:paraId="639525FD" w14:textId="77777777" w:rsidR="000B2014" w:rsidRPr="005C2179" w:rsidRDefault="000B2014" w:rsidP="00843271">
      <w:pPr>
        <w:pStyle w:val="FootnoteText"/>
      </w:pPr>
      <w:r w:rsidRPr="005C2179">
        <w:rPr>
          <w:rStyle w:val="FootnoteReference"/>
        </w:rPr>
        <w:footnoteRef/>
      </w:r>
      <w:r w:rsidRPr="005C2179">
        <w:t xml:space="preserve"> “Remarks of the Chief Electoral Officer of Canada before the Committee on General Government”, 26 July 2016, online: &lt;</w:t>
      </w:r>
      <w:hyperlink r:id="rId41" w:history="1">
        <w:r w:rsidRPr="005C2179">
          <w:rPr>
            <w:rStyle w:val="Hyperlink"/>
          </w:rPr>
          <w:t>http://www.elections.ca/content.aspx?section=med&amp;dir=spe&amp;document=jul2616&amp;lang=e</w:t>
        </w:r>
      </w:hyperlink>
      <w:r w:rsidRPr="005C2179">
        <w:t>&gt;.</w:t>
      </w:r>
    </w:p>
  </w:footnote>
  <w:footnote w:id="618">
    <w:p w14:paraId="6BDF3B3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SC 2000, c 9, s 444.</w:t>
      </w:r>
    </w:p>
  </w:footnote>
  <w:footnote w:id="619">
    <w:p w14:paraId="6DEEB04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 477.73(1).</w:t>
      </w:r>
    </w:p>
  </w:footnote>
  <w:footnote w:id="620">
    <w:p w14:paraId="78EE4A3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 477.74.</w:t>
      </w:r>
    </w:p>
  </w:footnote>
  <w:footnote w:id="621">
    <w:p w14:paraId="68A234D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 475.8.</w:t>
      </w:r>
    </w:p>
  </w:footnote>
  <w:footnote w:id="622">
    <w:p w14:paraId="31D2D92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Income Tax Act, </w:t>
      </w:r>
      <w:r w:rsidRPr="005C2179">
        <w:t xml:space="preserve">RSC 1985, c 1 (5th Supp). </w:t>
      </w:r>
    </w:p>
  </w:footnote>
  <w:footnote w:id="623">
    <w:p w14:paraId="00E08E79" w14:textId="77777777" w:rsidR="000B2014" w:rsidRPr="005C2179" w:rsidRDefault="000B2014" w:rsidP="00843271">
      <w:pPr>
        <w:pStyle w:val="FootnoteText"/>
      </w:pPr>
      <w:r w:rsidRPr="005C2179">
        <w:rPr>
          <w:rStyle w:val="FootnoteReference"/>
        </w:rPr>
        <w:footnoteRef/>
      </w:r>
      <w:r w:rsidRPr="005C2179">
        <w:t xml:space="preserve"> Elections Canada, “The Electoral System of Canada: Political Financing”, online: &lt;</w:t>
      </w:r>
      <w:hyperlink r:id="rId42" w:history="1">
        <w:r w:rsidRPr="005C2179">
          <w:rPr>
            <w:rStyle w:val="Hyperlink"/>
          </w:rPr>
          <w:t>http://www.elections.ca/content.aspx?section=res&amp;dir=ces&amp;document=part6&amp;lang=e</w:t>
        </w:r>
      </w:hyperlink>
      <w:r w:rsidRPr="005C2179">
        <w:t xml:space="preserve">&gt;. </w:t>
      </w:r>
    </w:p>
  </w:footnote>
  <w:footnote w:id="624">
    <w:p w14:paraId="41C6765F" w14:textId="74E5BDC6" w:rsidR="000B2014" w:rsidRPr="005C2179" w:rsidRDefault="000B2014" w:rsidP="00843271">
      <w:pPr>
        <w:pStyle w:val="FootnoteText"/>
      </w:pPr>
      <w:r w:rsidRPr="005C2179">
        <w:rPr>
          <w:rStyle w:val="FootnoteReference"/>
        </w:rPr>
        <w:footnoteRef/>
      </w:r>
      <w:r w:rsidR="00426E56" w:rsidRPr="005C2179">
        <w:t xml:space="preserve"> Gauja</w:t>
      </w:r>
      <w:r w:rsidRPr="005C2179">
        <w:t xml:space="preserve"> (2010) at 157.</w:t>
      </w:r>
    </w:p>
  </w:footnote>
  <w:footnote w:id="625">
    <w:p w14:paraId="75B8001D"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 xml:space="preserve">SC 2000, c 9, s 345. </w:t>
      </w:r>
    </w:p>
  </w:footnote>
  <w:footnote w:id="626">
    <w:p w14:paraId="2EE94987" w14:textId="66AE7144"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00426E56" w:rsidRPr="005C2179">
        <w:t>, ss 345, 338(1),(5); Feasby</w:t>
      </w:r>
      <w:r w:rsidRPr="005C2179">
        <w:t xml:space="preserve"> (2012) 206 at 200.</w:t>
      </w:r>
    </w:p>
  </w:footnote>
  <w:footnote w:id="627">
    <w:p w14:paraId="6BF313B1" w14:textId="77777777" w:rsidR="000B2014" w:rsidRPr="005C2179" w:rsidRDefault="000B2014" w:rsidP="00E26450">
      <w:pPr>
        <w:pStyle w:val="FootnoteText"/>
      </w:pPr>
      <w:r w:rsidRPr="005C2179">
        <w:rPr>
          <w:rStyle w:val="FootnoteReference"/>
        </w:rPr>
        <w:footnoteRef/>
      </w:r>
      <w:r w:rsidRPr="005C2179">
        <w:t xml:space="preserve"> </w:t>
      </w:r>
      <w:r w:rsidRPr="005C2179">
        <w:rPr>
          <w:i/>
        </w:rPr>
        <w:t xml:space="preserve">Reform Party of Canada v Canada (Attorney General) </w:t>
      </w:r>
      <w:r w:rsidRPr="005C2179">
        <w:t xml:space="preserve">(1995), 123 DLR (4th) 366 (Alta CA). </w:t>
      </w:r>
    </w:p>
  </w:footnote>
  <w:footnote w:id="628">
    <w:p w14:paraId="65BBCA76" w14:textId="7820092E" w:rsidR="000B2014" w:rsidRPr="005C2179" w:rsidRDefault="000B2014" w:rsidP="00843271">
      <w:pPr>
        <w:pStyle w:val="FootnoteText"/>
      </w:pPr>
      <w:r w:rsidRPr="005C2179">
        <w:rPr>
          <w:rStyle w:val="FootnoteReference"/>
        </w:rPr>
        <w:footnoteRef/>
      </w:r>
      <w:r w:rsidR="00426E56" w:rsidRPr="005C2179">
        <w:t xml:space="preserve"> Feasby</w:t>
      </w:r>
      <w:r w:rsidRPr="005C2179">
        <w:t xml:space="preserve"> (2012) 206 at 213–14.</w:t>
      </w:r>
    </w:p>
  </w:footnote>
  <w:footnote w:id="629">
    <w:p w14:paraId="7053062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R (Animal Defenders International) v Secretary of State for Culture, Media and Sport, </w:t>
      </w:r>
      <w:r w:rsidRPr="005C2179">
        <w:t xml:space="preserve">[2008] UKHL 15 (BAILII); </w:t>
      </w:r>
      <w:r w:rsidRPr="005C2179">
        <w:rPr>
          <w:i/>
        </w:rPr>
        <w:t xml:space="preserve">Animal Defenders International v the United Kingdom </w:t>
      </w:r>
      <w:r w:rsidRPr="005C2179">
        <w:t>[GC], No 48876/08, [2013] II ECHR 203.</w:t>
      </w:r>
    </w:p>
  </w:footnote>
  <w:footnote w:id="630">
    <w:p w14:paraId="3C1F0418" w14:textId="27339F78" w:rsidR="000B2014" w:rsidRPr="005C2179" w:rsidRDefault="000B2014" w:rsidP="00843271">
      <w:pPr>
        <w:pStyle w:val="FootnoteText"/>
      </w:pPr>
      <w:r w:rsidRPr="005C2179">
        <w:rPr>
          <w:rStyle w:val="FootnoteReference"/>
        </w:rPr>
        <w:footnoteRef/>
      </w:r>
      <w:r w:rsidR="00426E56" w:rsidRPr="005C2179">
        <w:t xml:space="preserve"> Feasby</w:t>
      </w:r>
      <w:r w:rsidRPr="005C2179">
        <w:t xml:space="preserve"> (2012) 206 at 207.</w:t>
      </w:r>
    </w:p>
  </w:footnote>
  <w:footnote w:id="631">
    <w:p w14:paraId="0CECD9F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Libman v Quebec (Attorney General)</w:t>
      </w:r>
      <w:r w:rsidRPr="005C2179">
        <w:t xml:space="preserve">, [1997] 3 SCR 569, 151 DLR (4th) 385 at para 50. </w:t>
      </w:r>
    </w:p>
  </w:footnote>
  <w:footnote w:id="632">
    <w:p w14:paraId="7572E358" w14:textId="57C4138E" w:rsidR="000B2014" w:rsidRPr="005C2179" w:rsidRDefault="000B2014" w:rsidP="00843271">
      <w:pPr>
        <w:pStyle w:val="FootnoteText"/>
      </w:pPr>
      <w:r w:rsidRPr="005C2179">
        <w:rPr>
          <w:rStyle w:val="FootnoteReference"/>
        </w:rPr>
        <w:footnoteRef/>
      </w:r>
      <w:r w:rsidRPr="005C2179">
        <w:t xml:space="preserve"> Although the definition of “election advertising” relates mainly to the regulation of third-party campaigners under the </w:t>
      </w:r>
      <w:r w:rsidRPr="005C2179">
        <w:rPr>
          <w:i/>
        </w:rPr>
        <w:t>CEA</w:t>
      </w:r>
      <w:r w:rsidRPr="005C2179">
        <w:t xml:space="preserve">, the definition is also relevant to some rules for political parties and candidates, such as requirements for attribution on advertising and the ban on election advertising on Election Day. However, the definition of “election advertising” is irrelevant to spending limits for political parties and candidates. As discussed above, the relevant concept for spending limits for political parties and candidates is “election expenses.” “Election advertising expenses” constitute a narrower category than “election expenses.”   </w:t>
      </w:r>
    </w:p>
  </w:footnote>
  <w:footnote w:id="633">
    <w:p w14:paraId="5388A88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 xml:space="preserve">SC 2000, c 9, s 319. </w:t>
      </w:r>
    </w:p>
  </w:footnote>
  <w:footnote w:id="634">
    <w:p w14:paraId="3CB5D267"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2(1). </w:t>
      </w:r>
    </w:p>
  </w:footnote>
  <w:footnote w:id="635">
    <w:p w14:paraId="26559C5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319(a). </w:t>
      </w:r>
    </w:p>
  </w:footnote>
  <w:footnote w:id="636">
    <w:p w14:paraId="3D5AED0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319(c). </w:t>
      </w:r>
    </w:p>
  </w:footnote>
  <w:footnote w:id="637">
    <w:p w14:paraId="6442F27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ss 319(d)–(e). </w:t>
      </w:r>
    </w:p>
  </w:footnote>
  <w:footnote w:id="638">
    <w:p w14:paraId="775C946C" w14:textId="77777777" w:rsidR="000B2014" w:rsidRPr="005C2179" w:rsidRDefault="000B2014" w:rsidP="00843271">
      <w:pPr>
        <w:pStyle w:val="FootnoteText"/>
      </w:pPr>
      <w:r w:rsidRPr="005C2179">
        <w:rPr>
          <w:rStyle w:val="FootnoteReference"/>
        </w:rPr>
        <w:footnoteRef/>
      </w:r>
      <w:r w:rsidRPr="005C2179">
        <w:t xml:space="preserve"> Elections Canada, “Election advertising on the Internet” (July 2015), online: &lt;</w:t>
      </w:r>
      <w:hyperlink r:id="rId43" w:history="1">
        <w:r w:rsidRPr="005C2179">
          <w:rPr>
            <w:rStyle w:val="Hyperlink"/>
          </w:rPr>
          <w:t>http://www.elections.ca/content.aspx?section=res&amp;dir=gui/app/2015-04&amp;document=index&amp;lang=e</w:t>
        </w:r>
      </w:hyperlink>
      <w:r w:rsidRPr="005C2179">
        <w:t>&gt;.</w:t>
      </w:r>
    </w:p>
  </w:footnote>
  <w:footnote w:id="639">
    <w:p w14:paraId="35B6E13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 xml:space="preserve">SC 2000, c 9, s 349. </w:t>
      </w:r>
    </w:p>
  </w:footnote>
  <w:footnote w:id="640">
    <w:p w14:paraId="43EB60C9" w14:textId="2494668D"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358. Note that, although these foreign third parties cannot make contributions to other third parties for the purpose of election advertising, they are permitted to spend amounts totalling less than $500 on election advertising in Canada. See </w:t>
      </w:r>
      <w:r w:rsidRPr="005C2179">
        <w:rPr>
          <w:highlight w:val="cyan"/>
        </w:rPr>
        <w:t>Section 10.2.3.3</w:t>
      </w:r>
      <w:r w:rsidRPr="005C2179">
        <w:t xml:space="preserve">. </w:t>
      </w:r>
    </w:p>
  </w:footnote>
  <w:footnote w:id="641">
    <w:p w14:paraId="37ECDC6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 xml:space="preserve">SC 2000, c 9, s 357(3). </w:t>
      </w:r>
    </w:p>
  </w:footnote>
  <w:footnote w:id="642">
    <w:p w14:paraId="14CF5B85"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351.1. </w:t>
      </w:r>
    </w:p>
  </w:footnote>
  <w:footnote w:id="643">
    <w:p w14:paraId="71F6AE77"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350(1). </w:t>
      </w:r>
    </w:p>
  </w:footnote>
  <w:footnote w:id="644">
    <w:p w14:paraId="1F90116E"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 350(2). Unlike the overall limit, the limit for each electoral district does not use the term “election advertising expenses”.</w:t>
      </w:r>
    </w:p>
  </w:footnote>
  <w:footnote w:id="645">
    <w:p w14:paraId="74F968B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350(6). </w:t>
      </w:r>
    </w:p>
  </w:footnote>
  <w:footnote w:id="646">
    <w:p w14:paraId="1F337127" w14:textId="77777777" w:rsidR="000B2014" w:rsidRPr="005C2179" w:rsidRDefault="000B2014" w:rsidP="00843271">
      <w:pPr>
        <w:pStyle w:val="FootnoteText"/>
      </w:pPr>
      <w:r w:rsidRPr="005C2179">
        <w:rPr>
          <w:rStyle w:val="FootnoteReference"/>
        </w:rPr>
        <w:footnoteRef/>
      </w:r>
      <w:r w:rsidRPr="005C2179">
        <w:t xml:space="preserve"> Elections Canada, “Limits on Election Advertising Expenses Incurred by Third Parties – 42</w:t>
      </w:r>
      <w:r w:rsidRPr="005C2179">
        <w:rPr>
          <w:vertAlign w:val="superscript"/>
        </w:rPr>
        <w:t>nd</w:t>
      </w:r>
      <w:r w:rsidRPr="005C2179">
        <w:t xml:space="preserve"> General Election”, online: &lt;</w:t>
      </w:r>
      <w:hyperlink r:id="rId44" w:history="1">
        <w:r w:rsidRPr="005C2179">
          <w:rPr>
            <w:rStyle w:val="Hyperlink"/>
          </w:rPr>
          <w:t>http://www.elections.ca/content.aspx?section=ele&amp;document=index&amp;dir=pas/42ge/thilim&amp;lang=e</w:t>
        </w:r>
      </w:hyperlink>
      <w:r w:rsidRPr="005C2179">
        <w:t>&gt;.</w:t>
      </w:r>
    </w:p>
  </w:footnote>
  <w:footnote w:id="647">
    <w:p w14:paraId="1388A70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Canada Elections Act, </w:t>
      </w:r>
      <w:r w:rsidRPr="005C2179">
        <w:t>SC 2000, c 9, s 350.</w:t>
      </w:r>
    </w:p>
  </w:footnote>
  <w:footnote w:id="648">
    <w:p w14:paraId="7C7CAAC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353(1). </w:t>
      </w:r>
    </w:p>
  </w:footnote>
  <w:footnote w:id="649">
    <w:p w14:paraId="55B0A26E"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ss 354(1), 357(1). The financial agent must be named in the third party’s application for registration, which is submitted to the Chief Electoral Officer: </w:t>
      </w:r>
      <w:r w:rsidRPr="005C2179">
        <w:rPr>
          <w:i/>
        </w:rPr>
        <w:t>ibid</w:t>
      </w:r>
      <w:r w:rsidRPr="005C2179">
        <w:t>, s 353(2).</w:t>
      </w:r>
    </w:p>
  </w:footnote>
  <w:footnote w:id="650">
    <w:p w14:paraId="745445D3"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352. </w:t>
      </w:r>
    </w:p>
  </w:footnote>
  <w:footnote w:id="651">
    <w:p w14:paraId="6007B71F"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359(1). </w:t>
      </w:r>
    </w:p>
  </w:footnote>
  <w:footnote w:id="652">
    <w:p w14:paraId="230909B0"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359(2). </w:t>
      </w:r>
    </w:p>
  </w:footnote>
  <w:footnote w:id="653">
    <w:p w14:paraId="2CC56E38"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359(4)(a). </w:t>
      </w:r>
    </w:p>
  </w:footnote>
  <w:footnote w:id="654">
    <w:p w14:paraId="2D22268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359(4)(b). </w:t>
      </w:r>
    </w:p>
  </w:footnote>
  <w:footnote w:id="655">
    <w:p w14:paraId="122D9849"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359(4)(b.1). </w:t>
      </w:r>
    </w:p>
  </w:footnote>
  <w:footnote w:id="656">
    <w:p w14:paraId="7A37F0A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359(4)(c). </w:t>
      </w:r>
    </w:p>
  </w:footnote>
  <w:footnote w:id="657">
    <w:p w14:paraId="4F18F39D"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ss 355(1), 360.</w:t>
      </w:r>
    </w:p>
  </w:footnote>
  <w:footnote w:id="658">
    <w:p w14:paraId="0B46B511"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s 362. </w:t>
      </w:r>
    </w:p>
  </w:footnote>
  <w:footnote w:id="659">
    <w:p w14:paraId="329CF749" w14:textId="77777777" w:rsidR="000B2014" w:rsidRPr="005C2179" w:rsidRDefault="000B2014" w:rsidP="00843271">
      <w:pPr>
        <w:pStyle w:val="FootnoteText"/>
      </w:pPr>
      <w:r w:rsidRPr="005C2179">
        <w:rPr>
          <w:rStyle w:val="FootnoteReference"/>
        </w:rPr>
        <w:footnoteRef/>
      </w:r>
      <w:r w:rsidRPr="005C2179">
        <w:t xml:space="preserve"> For disclosed information, see: &lt;</w:t>
      </w:r>
      <w:hyperlink r:id="rId45" w:history="1">
        <w:r w:rsidRPr="005C2179">
          <w:rPr>
            <w:rStyle w:val="Hyperlink"/>
          </w:rPr>
          <w:t>http://www.elections.ca/content.aspx?section=fin&amp;&amp;document=index&amp;lang=e</w:t>
        </w:r>
      </w:hyperlink>
      <w:r w:rsidRPr="005C2179">
        <w:t xml:space="preserve">&gt;. </w:t>
      </w:r>
    </w:p>
  </w:footnote>
  <w:footnote w:id="660">
    <w:p w14:paraId="4AC78881" w14:textId="77777777" w:rsidR="000B2014" w:rsidRPr="005C2179" w:rsidRDefault="000B2014" w:rsidP="00843271">
      <w:pPr>
        <w:pStyle w:val="FootnoteText"/>
      </w:pPr>
      <w:r w:rsidRPr="005C2179">
        <w:rPr>
          <w:rStyle w:val="FootnoteReference"/>
        </w:rPr>
        <w:footnoteRef/>
      </w:r>
      <w:r w:rsidRPr="005C2179">
        <w:t xml:space="preserve"> For more information, see Government of Canada, “Enforcing the </w:t>
      </w:r>
      <w:r w:rsidRPr="005C2179">
        <w:rPr>
          <w:i/>
        </w:rPr>
        <w:t>Canada Elections Act</w:t>
      </w:r>
      <w:r w:rsidRPr="005C2179">
        <w:t>”, online: &lt;</w:t>
      </w:r>
      <w:hyperlink r:id="rId46" w:history="1">
        <w:r w:rsidRPr="005C2179">
          <w:rPr>
            <w:rStyle w:val="Hyperlink"/>
          </w:rPr>
          <w:t>https://www.cef-cce.gc.ca/content.asp?section=abo&amp;dir=bck&amp;document=index&amp;lang=e</w:t>
        </w:r>
      </w:hyperlink>
      <w:r w:rsidRPr="005C2179">
        <w:t>&gt;.</w:t>
      </w:r>
    </w:p>
  </w:footnote>
  <w:footnote w:id="661">
    <w:p w14:paraId="63CCA6A9" w14:textId="77777777" w:rsidR="000B2014" w:rsidRPr="005C2179" w:rsidRDefault="000B2014" w:rsidP="00843271">
      <w:pPr>
        <w:pStyle w:val="FootnoteText"/>
      </w:pPr>
      <w:r w:rsidRPr="005C2179">
        <w:rPr>
          <w:rStyle w:val="FootnoteReference"/>
        </w:rPr>
        <w:footnoteRef/>
      </w:r>
      <w:r w:rsidRPr="005C2179">
        <w:t xml:space="preserve"> “Remarks of the Chief Electoral Officer of Canada before the Committee on General Government”, 26 July 2016, online: &lt;</w:t>
      </w:r>
      <w:hyperlink r:id="rId47" w:history="1">
        <w:r w:rsidRPr="005C2179">
          <w:rPr>
            <w:rStyle w:val="Hyperlink"/>
          </w:rPr>
          <w:t>http://www.elections.ca/content.aspx?section=med&amp;dir=spe&amp;document=jul2616&amp;lang=e</w:t>
        </w:r>
      </w:hyperlink>
      <w:r w:rsidRPr="005C2179">
        <w:t>&gt;.</w:t>
      </w:r>
    </w:p>
  </w:footnote>
  <w:footnote w:id="662">
    <w:p w14:paraId="3D228D84"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663">
    <w:p w14:paraId="719BDEE9" w14:textId="77777777" w:rsidR="000B2014" w:rsidRPr="005C2179" w:rsidRDefault="000B2014" w:rsidP="00843271">
      <w:pPr>
        <w:pStyle w:val="FootnoteText"/>
      </w:pPr>
      <w:r w:rsidRPr="005C2179">
        <w:rPr>
          <w:rStyle w:val="FootnoteReference"/>
        </w:rPr>
        <w:footnoteRef/>
      </w:r>
      <w:r w:rsidRPr="005C2179">
        <w:t xml:space="preserve"> “Remarks of the Chief Electoral Officer on the Recommendations Report Following the 42</w:t>
      </w:r>
      <w:r w:rsidRPr="005C2179">
        <w:rPr>
          <w:vertAlign w:val="superscript"/>
        </w:rPr>
        <w:t>nd</w:t>
      </w:r>
      <w:r w:rsidRPr="005C2179">
        <w:t xml:space="preserve"> General Election”, 4 October 2016, online: &lt;</w:t>
      </w:r>
      <w:hyperlink r:id="rId48" w:history="1">
        <w:r w:rsidRPr="005C2179">
          <w:rPr>
            <w:rStyle w:val="Hyperlink"/>
          </w:rPr>
          <w:t>http://www.elections.ca/content.aspx?section=med&amp;dir=spe&amp;document=oct0416&amp;lang=e</w:t>
        </w:r>
      </w:hyperlink>
      <w:r w:rsidRPr="005C2179">
        <w:t>&gt;.</w:t>
      </w:r>
    </w:p>
  </w:footnote>
  <w:footnote w:id="664">
    <w:p w14:paraId="03C3884F"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p>
  </w:footnote>
  <w:footnote w:id="665">
    <w:p w14:paraId="7F50F552"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p>
  </w:footnote>
  <w:footnote w:id="666">
    <w:p w14:paraId="5FE03496"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667">
    <w:p w14:paraId="374E4A9D" w14:textId="77777777" w:rsidR="000B2014" w:rsidRPr="005C2179" w:rsidRDefault="000B2014" w:rsidP="00843271">
      <w:pPr>
        <w:pStyle w:val="FootnoteText"/>
      </w:pPr>
      <w:r w:rsidRPr="005C2179">
        <w:rPr>
          <w:rStyle w:val="FootnoteReference"/>
        </w:rPr>
        <w:footnoteRef/>
      </w:r>
      <w:r w:rsidRPr="005C2179">
        <w:t xml:space="preserve"> As mentioned above in Parts 8.2.1.1 and 8.2.3.3, spending limits for political parties, candidates, and third parties are raised if the election lasts longer than 37 weeks.</w:t>
      </w:r>
    </w:p>
  </w:footnote>
  <w:footnote w:id="668">
    <w:p w14:paraId="519146FF" w14:textId="77777777" w:rsidR="000B2014" w:rsidRPr="005C2179" w:rsidRDefault="000B2014" w:rsidP="00843271">
      <w:pPr>
        <w:pStyle w:val="FootnoteText"/>
      </w:pPr>
      <w:r w:rsidRPr="005C2179">
        <w:rPr>
          <w:rStyle w:val="FootnoteReference"/>
        </w:rPr>
        <w:footnoteRef/>
      </w:r>
      <w:r w:rsidRPr="005C2179">
        <w:t xml:space="preserve"> “Remarks of the Chief Electoral Officer of Canada before the Committee on General Government”, 26 July 2016, online: &lt;</w:t>
      </w:r>
      <w:hyperlink r:id="rId49" w:history="1">
        <w:r w:rsidRPr="005C2179">
          <w:rPr>
            <w:rStyle w:val="Hyperlink"/>
          </w:rPr>
          <w:t>http://www.elections.ca/content.aspx?section=med&amp;dir=spe&amp;document=jul2616&amp;lang=e</w:t>
        </w:r>
      </w:hyperlink>
      <w:r w:rsidRPr="005C2179">
        <w:t xml:space="preserve">&gt;. </w:t>
      </w:r>
    </w:p>
  </w:footnote>
  <w:footnote w:id="669">
    <w:p w14:paraId="4D5D75EF" w14:textId="77777777" w:rsidR="000B2014" w:rsidRPr="005C2179" w:rsidRDefault="000B2014" w:rsidP="00843271">
      <w:pPr>
        <w:pStyle w:val="FootnoteText"/>
      </w:pPr>
      <w:r w:rsidRPr="005C2179">
        <w:rPr>
          <w:rStyle w:val="FootnoteReference"/>
        </w:rPr>
        <w:footnoteRef/>
      </w:r>
      <w:r w:rsidRPr="005C2179">
        <w:t xml:space="preserve"> “Remarks of the Chief Electoral Officer on the Recommendations Report Following the 42</w:t>
      </w:r>
      <w:r w:rsidRPr="005C2179">
        <w:rPr>
          <w:vertAlign w:val="superscript"/>
        </w:rPr>
        <w:t>nd</w:t>
      </w:r>
      <w:r w:rsidRPr="005C2179">
        <w:t xml:space="preserve"> General Election”, 4 October 2016, online: &lt;</w:t>
      </w:r>
      <w:hyperlink r:id="rId50" w:history="1">
        <w:r w:rsidRPr="005C2179">
          <w:rPr>
            <w:rStyle w:val="Hyperlink"/>
          </w:rPr>
          <w:t>http://www.elections.ca/content.aspx?section=med&amp;dir=spe&amp;document=oct0416&amp;lang=e</w:t>
        </w:r>
      </w:hyperlink>
      <w:r w:rsidRPr="005C2179">
        <w:t xml:space="preserve">&gt;. </w:t>
      </w:r>
    </w:p>
  </w:footnote>
  <w:footnote w:id="670">
    <w:p w14:paraId="15822EBD"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 xml:space="preserve">. A private member’s bill has been introduced in the House of Commons to impose a maximum length for elections, but the bill has only passed through the first reading stage and private members’ bills often do not become law: Bill C-279, </w:t>
      </w:r>
      <w:r w:rsidRPr="005C2179">
        <w:rPr>
          <w:i/>
        </w:rPr>
        <w:t xml:space="preserve">An Act to amend the Canada Elections Act (length of election period), </w:t>
      </w:r>
      <w:r w:rsidRPr="005C2179">
        <w:t xml:space="preserve">1st Sess, 42nd Parl, 2016 (first reading 31 May 2016).  </w:t>
      </w:r>
    </w:p>
  </w:footnote>
  <w:footnote w:id="671">
    <w:p w14:paraId="3E47C521" w14:textId="023E5E28" w:rsidR="000B2014" w:rsidRPr="005C2179" w:rsidRDefault="000B2014" w:rsidP="00843271">
      <w:pPr>
        <w:pStyle w:val="FootnoteText"/>
      </w:pPr>
      <w:r w:rsidRPr="005C2179">
        <w:rPr>
          <w:rStyle w:val="FootnoteReference"/>
        </w:rPr>
        <w:footnoteRef/>
      </w:r>
      <w:r w:rsidRPr="005C2179">
        <w:t xml:space="preserve"> See </w:t>
      </w:r>
      <w:r w:rsidRPr="005C2179">
        <w:rPr>
          <w:highlight w:val="cyan"/>
        </w:rPr>
        <w:t>Section 8.2.2</w:t>
      </w:r>
      <w:r w:rsidRPr="005C2179">
        <w:t xml:space="preserve">, above. </w:t>
      </w:r>
    </w:p>
  </w:footnote>
  <w:footnote w:id="672">
    <w:p w14:paraId="62624CDE" w14:textId="77777777" w:rsidR="000B2014" w:rsidRPr="005C2179" w:rsidRDefault="000B2014" w:rsidP="00843271">
      <w:pPr>
        <w:pStyle w:val="FootnoteText"/>
      </w:pPr>
      <w:r w:rsidRPr="005C2179">
        <w:rPr>
          <w:rStyle w:val="FootnoteReference"/>
        </w:rPr>
        <w:footnoteRef/>
      </w:r>
      <w:r w:rsidRPr="005C2179">
        <w:t xml:space="preserve"> “Remarks of the Chief Electoral Officer of Canada before the Committee on General Government”, 26 July 2016, online: &lt;</w:t>
      </w:r>
      <w:hyperlink r:id="rId51" w:history="1">
        <w:r w:rsidRPr="005C2179">
          <w:rPr>
            <w:rStyle w:val="Hyperlink"/>
          </w:rPr>
          <w:t>http://www.elections.ca/content.aspx?section=med&amp;dir=spe&amp;document=jul2616&amp;lang=e</w:t>
        </w:r>
      </w:hyperlink>
      <w:r w:rsidRPr="005C2179">
        <w:t>&gt;.</w:t>
      </w:r>
    </w:p>
  </w:footnote>
  <w:footnote w:id="673">
    <w:p w14:paraId="702BBE3B"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674">
    <w:p w14:paraId="592DD89D"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r w:rsidRPr="005C2179">
        <w:t>.</w:t>
      </w:r>
    </w:p>
  </w:footnote>
  <w:footnote w:id="675">
    <w:p w14:paraId="4EDBF08D"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Ibid.</w:t>
      </w:r>
    </w:p>
  </w:footnote>
  <w:footnote w:id="676">
    <w:p w14:paraId="66A8322E" w14:textId="7E9BE07F" w:rsidR="000B2014" w:rsidRPr="005C2179" w:rsidRDefault="000B2014" w:rsidP="00843271">
      <w:pPr>
        <w:pStyle w:val="FootnoteText"/>
      </w:pPr>
      <w:r w:rsidRPr="005C2179">
        <w:rPr>
          <w:rStyle w:val="FootnoteReference"/>
        </w:rPr>
        <w:footnoteRef/>
      </w:r>
      <w:r w:rsidRPr="005C2179">
        <w:t xml:space="preserve"> Lisa Young, “Shaping the Battlefield: Partisan Self-Interest and Election Finance Reform in Canada” in Robert G Boatright, ed, </w:t>
      </w:r>
      <w:r w:rsidRPr="005C2179">
        <w:rPr>
          <w:i/>
        </w:rPr>
        <w:t xml:space="preserve">The Deregulatory Moment? A Comparative Perspective on Changing Campaign Finance Laws </w:t>
      </w:r>
      <w:r w:rsidRPr="005C2179">
        <w:t>(University of Michigan Press, 2015) at 123.</w:t>
      </w:r>
    </w:p>
  </w:footnote>
  <w:footnote w:id="677">
    <w:p w14:paraId="5D99EA32" w14:textId="77777777" w:rsidR="000B2014" w:rsidRPr="005C2179" w:rsidRDefault="000B2014" w:rsidP="00843271">
      <w:pPr>
        <w:pStyle w:val="FootnoteText"/>
      </w:pPr>
      <w:r w:rsidRPr="005C2179">
        <w:rPr>
          <w:rStyle w:val="FootnoteReference"/>
        </w:rPr>
        <w:footnoteRef/>
      </w:r>
      <w:r w:rsidRPr="005C2179">
        <w:t xml:space="preserve"> A bill was introduced in the Senate to extend party spending limits to the period before the election: Bill S-215, </w:t>
      </w:r>
      <w:r w:rsidRPr="005C2179">
        <w:rPr>
          <w:i/>
        </w:rPr>
        <w:t xml:space="preserve">An </w:t>
      </w:r>
      <w:r w:rsidRPr="005C2179">
        <w:rPr>
          <w:i/>
          <w:color w:val="333333"/>
          <w:shd w:val="clear" w:color="auto" w:fill="FFFFFF"/>
        </w:rPr>
        <w:t>Act to amend the Canada Elections Act (election expenses)</w:t>
      </w:r>
      <w:r w:rsidRPr="005C2179">
        <w:rPr>
          <w:color w:val="333333"/>
          <w:shd w:val="clear" w:color="auto" w:fill="FFFFFF"/>
        </w:rPr>
        <w:t>, 2nd Sess, 41st Parl, 2014 (second reading 10 June 2014).</w:t>
      </w:r>
    </w:p>
  </w:footnote>
  <w:footnote w:id="678">
    <w:p w14:paraId="74BA780C" w14:textId="77777777" w:rsidR="000B2014" w:rsidRPr="005C2179" w:rsidRDefault="000B2014" w:rsidP="00843271">
      <w:pPr>
        <w:pStyle w:val="FootnoteText"/>
      </w:pPr>
      <w:r w:rsidRPr="005C2179">
        <w:rPr>
          <w:rStyle w:val="FootnoteReference"/>
        </w:rPr>
        <w:footnoteRef/>
      </w:r>
      <w:r w:rsidRPr="005C2179">
        <w:t xml:space="preserve"> </w:t>
      </w:r>
      <w:r w:rsidRPr="005C2179">
        <w:rPr>
          <w:i/>
        </w:rPr>
        <w:t xml:space="preserve">British Columbia Teachers’ Federation v British Columbia (Attorney General), </w:t>
      </w:r>
      <w:r w:rsidRPr="005C2179">
        <w:t xml:space="preserve">2011 BCCA 408. </w:t>
      </w:r>
    </w:p>
  </w:footnote>
  <w:footnote w:id="679">
    <w:p w14:paraId="309C562D" w14:textId="7144401E" w:rsidR="000B2014" w:rsidRPr="005C2179" w:rsidRDefault="000B2014" w:rsidP="00843271">
      <w:pPr>
        <w:pStyle w:val="FootnoteText"/>
      </w:pPr>
      <w:r w:rsidRPr="005C2179">
        <w:rPr>
          <w:rStyle w:val="FootnoteReference"/>
        </w:rPr>
        <w:footnoteRef/>
      </w:r>
      <w:r w:rsidR="00426E56" w:rsidRPr="005C2179">
        <w:t xml:space="preserve"> Feasby</w:t>
      </w:r>
      <w:r w:rsidRPr="005C2179">
        <w:t xml:space="preserve"> (2012) 206 at 219.</w:t>
      </w:r>
    </w:p>
  </w:footnote>
  <w:footnote w:id="680">
    <w:p w14:paraId="4F59C084" w14:textId="6A070FF2" w:rsidR="000B2014" w:rsidRPr="005C2179" w:rsidRDefault="000B2014" w:rsidP="00843271">
      <w:pPr>
        <w:pStyle w:val="FootnoteText"/>
        <w:keepLines w:val="0"/>
      </w:pPr>
      <w:r w:rsidRPr="005C2179">
        <w:rPr>
          <w:rStyle w:val="FootnoteReference"/>
        </w:rPr>
        <w:footnoteRef/>
      </w:r>
      <w:r w:rsidRPr="005C2179">
        <w:t xml:space="preserve"> For some examples, see Tony Paterson, “Bought by BMW? German Chancellor Angela Merkel forced on to defensive over €700,000 donation from carmaker to her Christian Democratic Party”, </w:t>
      </w:r>
      <w:r w:rsidRPr="005C2179">
        <w:rPr>
          <w:i/>
        </w:rPr>
        <w:t xml:space="preserve">The Independent </w:t>
      </w:r>
      <w:r w:rsidRPr="005C2179">
        <w:t>(16 October 2013), online: &lt;</w:t>
      </w:r>
      <w:hyperlink r:id="rId52" w:history="1">
        <w:r w:rsidRPr="005C2179">
          <w:rPr>
            <w:rStyle w:val="Hyperlink"/>
          </w:rPr>
          <w:t>http://www.independent.co.uk/news/world/europe/bought-by-bmw-german-chancellor-angela-merkel-forced-on-to-defensive-over-700000-donation-from-8884777.html</w:t>
        </w:r>
      </w:hyperlink>
      <w:r w:rsidRPr="005C2179">
        <w:t xml:space="preserve">&gt; (Angela Merkel’s party accepted a large donation from BMW shortly before European environment ministers caved “to German demands to scrap an agreement to cap car emissions after Berlin argued that the measure would adversely affect its car industry and create job losses”); Lindsey Renick Mayer, “Big Oil, Big Influence”, </w:t>
      </w:r>
      <w:r w:rsidRPr="005C2179">
        <w:rPr>
          <w:i/>
        </w:rPr>
        <w:t xml:space="preserve">PBS Now </w:t>
      </w:r>
      <w:r w:rsidRPr="005C2179">
        <w:t>(2008), online: &lt;</w:t>
      </w:r>
      <w:hyperlink r:id="rId53" w:history="1">
        <w:r w:rsidRPr="005C2179">
          <w:rPr>
            <w:rStyle w:val="Hyperlink"/>
          </w:rPr>
          <w:t>http://www.pbs.org/now/shows/347/oil-politics.html</w:t>
        </w:r>
      </w:hyperlink>
      <w:r w:rsidRPr="005C2179">
        <w:t xml:space="preserve">&gt; (Mayer notes that oil and gas companies donated large amounts to Republican election campaign efforts and subsequently benefited from a highly favourable energy policy under former president George W. Bush); Alice Walton &amp; David Zahniser, “Politicians and activists demand answers on mystery donations tied to ‘Sea Breeze’ developer”, </w:t>
      </w:r>
      <w:r w:rsidRPr="005C2179">
        <w:rPr>
          <w:i/>
        </w:rPr>
        <w:t xml:space="preserve">Los Angeles Times </w:t>
      </w:r>
      <w:r w:rsidRPr="005C2179">
        <w:t>(31 October 2016), online: &lt;</w:t>
      </w:r>
      <w:hyperlink r:id="rId54" w:history="1">
        <w:r w:rsidRPr="005C2179">
          <w:rPr>
            <w:rStyle w:val="Hyperlink"/>
          </w:rPr>
          <w:t>http://www.latimes.com/local/lanow/la-me-ln-seabreeze-reaction-20161030-story.html</w:t>
        </w:r>
      </w:hyperlink>
      <w:r w:rsidRPr="005C2179">
        <w:t xml:space="preserve">&gt;  (the authors discuss the corrosive effects of campaign finance at the municipal level in Los Angeles, noting that “[c]ritics have long accused city leaders of being too willing to change local planning rules for well-connected developers, particularly those who make campaign donations”); Dom Phillips, “Brazil president Michel Temer accused of soliciting millions in illegal donations”, </w:t>
      </w:r>
      <w:r w:rsidRPr="005C2179">
        <w:rPr>
          <w:i/>
        </w:rPr>
        <w:t xml:space="preserve">The Guardian </w:t>
      </w:r>
      <w:r w:rsidRPr="005C2179">
        <w:t>(12 December 2016), online: &lt;</w:t>
      </w:r>
      <w:hyperlink r:id="rId55" w:history="1">
        <w:r w:rsidRPr="005C2179">
          <w:rPr>
            <w:rStyle w:val="Hyperlink"/>
          </w:rPr>
          <w:t>https://www.theguardian.com/world/2016/dec/12/brazil-president-michel-temer-illegal-campaign-donations</w:t>
        </w:r>
      </w:hyperlink>
      <w:r w:rsidRPr="005C2179">
        <w:t xml:space="preserve">&gt;  (in a plea bargain, a former executive at construction company Odebrecht “alleged in colourful detail how leading lawmakers from Temer’s and other parties across the political spectrum were paid millions in bribes and both legal and illegal campaign donations to defend the company’s interest in Congress”); Dan Levin, “British Columbia: The ‘Wild West’ of Canadian Political Cash”, </w:t>
      </w:r>
      <w:r w:rsidRPr="005C2179">
        <w:rPr>
          <w:i/>
        </w:rPr>
        <w:t xml:space="preserve">The New York Times </w:t>
      </w:r>
      <w:r w:rsidRPr="005C2179">
        <w:t>(13 January 2017), online: &lt;</w:t>
      </w:r>
      <w:hyperlink r:id="rId56" w:history="1">
        <w:r w:rsidRPr="005C2179">
          <w:rPr>
            <w:rStyle w:val="Hyperlink"/>
          </w:rPr>
          <w:t>https://www.nytimes.com/2017/01/13/world/canada/british-columbia-christy-clark.html</w:t>
        </w:r>
      </w:hyperlink>
      <w:r w:rsidRPr="005C2179">
        <w:t xml:space="preserve">&gt; (Levin discusses allegations that British Columbia’s provincial government headed by former premier Christy Clark rewarded generous campaign donors, turning government “into a lucrative business, dominated by special interests that trade donations for political favors”; as an example, the author notes that, in the interim between the provincial government’s public opposition to the Trans Mountain pipeline project in 2016 and its subsequent approval of the pipeline in 2017, Ms. Clark’s party received $718,000 in donations from the company proposing the pipeline). </w:t>
      </w:r>
    </w:p>
  </w:footnote>
  <w:footnote w:id="681">
    <w:p w14:paraId="5AAB4E43" w14:textId="77777777" w:rsidR="000B2014" w:rsidRPr="005C2179" w:rsidRDefault="000B2014" w:rsidP="00D934B1">
      <w:pPr>
        <w:pStyle w:val="FootnoteText"/>
      </w:pPr>
      <w:r w:rsidRPr="005C2179">
        <w:rPr>
          <w:rStyle w:val="FootnoteReference"/>
        </w:rPr>
        <w:footnoteRef/>
      </w:r>
      <w:r w:rsidRPr="005C2179">
        <w:t xml:space="preserve"> See, e.g., </w:t>
      </w:r>
      <w:r w:rsidRPr="005C2179">
        <w:rPr>
          <w:i/>
        </w:rPr>
        <w:t xml:space="preserve">McCormick v United States, </w:t>
      </w:r>
      <w:r w:rsidRPr="005C2179">
        <w:t>500 US 257 (1991).</w:t>
      </w:r>
    </w:p>
  </w:footnote>
  <w:footnote w:id="682">
    <w:p w14:paraId="1FF80557" w14:textId="3FFA4B98" w:rsidR="000B2014" w:rsidRPr="005C2179" w:rsidRDefault="000B2014" w:rsidP="00843271">
      <w:pPr>
        <w:pStyle w:val="FootnoteText"/>
      </w:pPr>
      <w:r w:rsidRPr="005C2179">
        <w:rPr>
          <w:rStyle w:val="FootnoteReference"/>
        </w:rPr>
        <w:footnoteRef/>
      </w:r>
      <w:r w:rsidR="00426E56" w:rsidRPr="005C2179">
        <w:t xml:space="preserve"> See, e.g., Hiebert</w:t>
      </w:r>
      <w:r w:rsidRPr="005C2179">
        <w:t xml:space="preserve"> (2006) at 269; La Raja, (2008) at 1.</w:t>
      </w:r>
    </w:p>
  </w:footnote>
  <w:footnote w:id="683">
    <w:p w14:paraId="08F1A071" w14:textId="3E0105BF" w:rsidR="000B2014" w:rsidRPr="005C2179" w:rsidRDefault="000B2014" w:rsidP="00843271">
      <w:pPr>
        <w:pStyle w:val="FootnoteText"/>
      </w:pPr>
      <w:r w:rsidRPr="005C2179">
        <w:rPr>
          <w:rStyle w:val="FootnoteReference"/>
        </w:rPr>
        <w:footnoteRef/>
      </w:r>
      <w:r w:rsidR="00426E56" w:rsidRPr="005C2179">
        <w:t xml:space="preserve"> La Raja</w:t>
      </w:r>
      <w:r w:rsidRPr="005C2179">
        <w:t xml:space="preserve"> (2008) at 3.</w:t>
      </w:r>
    </w:p>
  </w:footnote>
  <w:footnote w:id="684">
    <w:p w14:paraId="38A4CD9E" w14:textId="0900B03C" w:rsidR="000B2014" w:rsidRPr="005C2179" w:rsidRDefault="000B2014" w:rsidP="00843271">
      <w:pPr>
        <w:pStyle w:val="FootnoteText"/>
      </w:pPr>
      <w:r w:rsidRPr="005C2179">
        <w:rPr>
          <w:rStyle w:val="FootnoteReference"/>
        </w:rPr>
        <w:footnoteRef/>
      </w:r>
      <w:r w:rsidRPr="005C2179">
        <w:t xml:space="preserve"> See Section </w:t>
      </w:r>
      <w:r w:rsidRPr="005C2179">
        <w:rPr>
          <w:highlight w:val="cyan"/>
        </w:rPr>
        <w:t>9.2.2</w:t>
      </w:r>
      <w:r w:rsidRPr="005C2179">
        <w:t xml:space="preserve"> &amp; </w:t>
      </w:r>
      <w:r w:rsidRPr="005C2179">
        <w:rPr>
          <w:highlight w:val="cyan"/>
        </w:rPr>
        <w:t>9.3</w:t>
      </w:r>
      <w:r w:rsidRPr="005C2179">
        <w:t xml:space="preserve">, above, for further discussion of the ban on paid political advertising. </w:t>
      </w:r>
    </w:p>
  </w:footnote>
  <w:footnote w:id="685">
    <w:p w14:paraId="2570F394" w14:textId="7792C515" w:rsidR="000B2014" w:rsidRPr="005C2179" w:rsidRDefault="000B2014" w:rsidP="00843271">
      <w:pPr>
        <w:pStyle w:val="FootnoteText"/>
      </w:pPr>
      <w:r w:rsidRPr="005C2179">
        <w:rPr>
          <w:rStyle w:val="FootnoteReference"/>
        </w:rPr>
        <w:footnoteRef/>
      </w:r>
      <w:r w:rsidR="00426E56" w:rsidRPr="005C2179">
        <w:t xml:space="preserve"> Minutes of Evidence</w:t>
      </w:r>
      <w:r w:rsidRPr="005C2179">
        <w:t xml:space="preserve"> (17 June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B872F" w14:textId="50811BD0" w:rsidR="000B2014" w:rsidRPr="001E6159" w:rsidRDefault="000B2014" w:rsidP="00A27010">
    <w:pPr>
      <w:tabs>
        <w:tab w:val="center" w:pos="4320"/>
        <w:tab w:val="right" w:pos="8640"/>
      </w:tabs>
      <w:spacing w:before="0" w:after="0"/>
      <w:ind w:left="-283"/>
      <w:jc w:val="left"/>
      <w:rPr>
        <w:rFonts w:eastAsia="Cambria" w:cs="Times New Roman"/>
        <w:smallCaps/>
      </w:rPr>
    </w:pPr>
    <w:r w:rsidRPr="001E6159">
      <w:rPr>
        <w:rFonts w:eastAsia="Cambria" w:cs="Times New Roman"/>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mallCaps/>
      </w:rPr>
      <w:id w:val="-1282642361"/>
      <w:docPartObj>
        <w:docPartGallery w:val="Page Numbers (Top of Page)"/>
        <w:docPartUnique/>
      </w:docPartObj>
    </w:sdtPr>
    <w:sdtEndPr>
      <w:rPr>
        <w:noProof/>
      </w:rPr>
    </w:sdtEndPr>
    <w:sdtContent>
      <w:p w14:paraId="7AEE0631" w14:textId="07AEB9A7" w:rsidR="000B2014" w:rsidRPr="00A27010" w:rsidRDefault="000B2014" w:rsidP="006716E3">
        <w:pPr>
          <w:pStyle w:val="Header"/>
          <w:spacing w:before="0"/>
          <w:ind w:right="-283"/>
          <w:jc w:val="right"/>
          <w:rPr>
            <w:rFonts w:eastAsia="Cambria" w:cs="Times New Roman"/>
            <w:smallCaps/>
          </w:rPr>
        </w:pPr>
        <w:r w:rsidRPr="004D604E">
          <w:rPr>
            <w:smallCaps/>
          </w:rPr>
          <w:t>Ch</w:t>
        </w:r>
        <w:r w:rsidR="005C2179">
          <w:rPr>
            <w:smallCaps/>
          </w:rPr>
          <w:t>apter</w:t>
        </w:r>
        <w:r w:rsidRPr="004D604E">
          <w:rPr>
            <w:smallCaps/>
          </w:rPr>
          <w:t xml:space="preserve"> 13</w:t>
        </w:r>
        <w:r>
          <w:rPr>
            <w:smallCaps/>
          </w:rPr>
          <w:t xml:space="preserve"> </w:t>
        </w:r>
        <w:r w:rsidR="005C2179">
          <w:rPr>
            <w:smallCaps/>
          </w:rPr>
          <w:sym w:font="Webdings" w:char="F07C"/>
        </w:r>
        <w:r w:rsidRPr="004D604E">
          <w:rPr>
            <w:smallCaps/>
          </w:rPr>
          <w:t xml:space="preserve"> </w:t>
        </w:r>
        <w:r w:rsidRPr="004D604E">
          <w:rPr>
            <w:rFonts w:eastAsia="Cambria" w:cs="Times New Roman"/>
            <w:smallCaps/>
          </w:rPr>
          <w:t>Campaign Finance Laws</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F6252" w14:textId="77777777" w:rsidR="000B2014" w:rsidRDefault="000B2014" w:rsidP="00A27010">
    <w:pPr>
      <w:pStyle w:val="Heade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CC1"/>
    <w:multiLevelType w:val="hybridMultilevel"/>
    <w:tmpl w:val="4546F144"/>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2CD18C6"/>
    <w:multiLevelType w:val="hybridMultilevel"/>
    <w:tmpl w:val="207CB588"/>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46E148A"/>
    <w:multiLevelType w:val="hybridMultilevel"/>
    <w:tmpl w:val="620E1332"/>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1D0E3C"/>
    <w:multiLevelType w:val="hybridMultilevel"/>
    <w:tmpl w:val="A524BF74"/>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AC673E8"/>
    <w:multiLevelType w:val="hybridMultilevel"/>
    <w:tmpl w:val="C2E2F602"/>
    <w:lvl w:ilvl="0" w:tplc="8DC2F79C">
      <w:start w:val="1"/>
      <w:numFmt w:val="lowerRoman"/>
      <w:lvlText w:val="%1."/>
      <w:lvlJc w:val="right"/>
      <w:pPr>
        <w:ind w:left="720" w:hanging="360"/>
      </w:pPr>
      <w:rPr>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B3F1FDB"/>
    <w:multiLevelType w:val="hybridMultilevel"/>
    <w:tmpl w:val="F694231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B7701EC"/>
    <w:multiLevelType w:val="hybridMultilevel"/>
    <w:tmpl w:val="AD10C1FA"/>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21B4186"/>
    <w:multiLevelType w:val="hybridMultilevel"/>
    <w:tmpl w:val="EA2C4900"/>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6DA6D47"/>
    <w:multiLevelType w:val="hybridMultilevel"/>
    <w:tmpl w:val="49106668"/>
    <w:lvl w:ilvl="0" w:tplc="40AA47A6">
      <w:numFmt w:val="bullet"/>
      <w:lvlText w:val="-"/>
      <w:lvlJc w:val="left"/>
      <w:pPr>
        <w:ind w:left="780" w:hanging="360"/>
      </w:pPr>
      <w:rPr>
        <w:rFonts w:ascii="Calibri" w:eastAsiaTheme="minorHAnsi" w:hAnsi="Calibri" w:cstheme="minorBidi"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9" w15:restartNumberingAfterBreak="0">
    <w:nsid w:val="1B9F5240"/>
    <w:multiLevelType w:val="multilevel"/>
    <w:tmpl w:val="B2061B06"/>
    <w:lvl w:ilvl="0">
      <w:start w:val="1"/>
      <w:numFmt w:val="decimal"/>
      <w:lvlText w:val="%1."/>
      <w:lvlJc w:val="left"/>
      <w:pPr>
        <w:ind w:left="360" w:hanging="360"/>
      </w:pPr>
      <w:rPr>
        <w:rFonts w:ascii="Times New Roman" w:hAnsi="Times New Roman" w:hint="default"/>
        <w:b/>
        <w:sz w:val="28"/>
      </w:rPr>
    </w:lvl>
    <w:lvl w:ilvl="1">
      <w:start w:val="1"/>
      <w:numFmt w:val="decimal"/>
      <w:pStyle w:val="ListParagraph"/>
      <w:lvlText w:val="%1.%2"/>
      <w:lvlJc w:val="left"/>
      <w:pPr>
        <w:ind w:left="792" w:hanging="432"/>
      </w:pPr>
      <w:rPr>
        <w:rFonts w:ascii="Times New Roman" w:hAnsi="Times New Roman" w:hint="default"/>
        <w:b/>
        <w:bCs w:val="0"/>
        <w:sz w:val="24"/>
      </w:rPr>
    </w:lvl>
    <w:lvl w:ilvl="2">
      <w:start w:val="1"/>
      <w:numFmt w:val="decimal"/>
      <w:lvlText w:val="%1.%2.%3"/>
      <w:lvlJc w:val="left"/>
      <w:pPr>
        <w:ind w:left="1224" w:hanging="504"/>
      </w:pPr>
      <w:rPr>
        <w:rFonts w:ascii="Times New Roman" w:hAnsi="Times New Roman" w:hint="default"/>
        <w:b/>
        <w:bCs/>
        <w:sz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bCs/>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AC57A3"/>
    <w:multiLevelType w:val="hybridMultilevel"/>
    <w:tmpl w:val="ADA64BDA"/>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09F3896"/>
    <w:multiLevelType w:val="hybridMultilevel"/>
    <w:tmpl w:val="45B80D5C"/>
    <w:lvl w:ilvl="0" w:tplc="29A892C0">
      <w:start w:val="1"/>
      <w:numFmt w:val="bullet"/>
      <w:lvlText w:val="-"/>
      <w:lvlJc w:val="left"/>
      <w:pPr>
        <w:ind w:left="720" w:hanging="360"/>
      </w:pPr>
      <w:rPr>
        <w:rFonts w:ascii="Calibri" w:eastAsiaTheme="minorHAnsi" w:hAnsi="Calibri" w:cstheme="minorBidi"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22456DFD"/>
    <w:multiLevelType w:val="hybridMultilevel"/>
    <w:tmpl w:val="AFA8583E"/>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2F70DC0"/>
    <w:multiLevelType w:val="hybridMultilevel"/>
    <w:tmpl w:val="4270465C"/>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38E4698"/>
    <w:multiLevelType w:val="hybridMultilevel"/>
    <w:tmpl w:val="FC1C89B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4DC39B2"/>
    <w:multiLevelType w:val="hybridMultilevel"/>
    <w:tmpl w:val="51C6ABC8"/>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8057CB6"/>
    <w:multiLevelType w:val="hybridMultilevel"/>
    <w:tmpl w:val="7FEC11A0"/>
    <w:lvl w:ilvl="0" w:tplc="2724FFF0">
      <w:start w:val="1"/>
      <w:numFmt w:val="bullet"/>
      <w:lvlText w:val="-"/>
      <w:lvlJc w:val="left"/>
      <w:pPr>
        <w:ind w:left="72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88D761E"/>
    <w:multiLevelType w:val="hybridMultilevel"/>
    <w:tmpl w:val="4AEA751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15:restartNumberingAfterBreak="0">
    <w:nsid w:val="2B5B73BA"/>
    <w:multiLevelType w:val="hybridMultilevel"/>
    <w:tmpl w:val="DED4F0DE"/>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BAF23FD"/>
    <w:multiLevelType w:val="hybridMultilevel"/>
    <w:tmpl w:val="D0B41166"/>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BE06F67"/>
    <w:multiLevelType w:val="hybridMultilevel"/>
    <w:tmpl w:val="9AC64408"/>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2633016"/>
    <w:multiLevelType w:val="multilevel"/>
    <w:tmpl w:val="D67E43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69369F7"/>
    <w:multiLevelType w:val="hybridMultilevel"/>
    <w:tmpl w:val="EB9E992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3F7370A5"/>
    <w:multiLevelType w:val="hybridMultilevel"/>
    <w:tmpl w:val="892CE830"/>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4AC4AE8"/>
    <w:multiLevelType w:val="hybridMultilevel"/>
    <w:tmpl w:val="196CB53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45FA48A2"/>
    <w:multiLevelType w:val="hybridMultilevel"/>
    <w:tmpl w:val="67F82D94"/>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4862254A"/>
    <w:multiLevelType w:val="hybridMultilevel"/>
    <w:tmpl w:val="8F9E19BE"/>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4A6D6A40"/>
    <w:multiLevelType w:val="hybridMultilevel"/>
    <w:tmpl w:val="B58C6984"/>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4BE135CA"/>
    <w:multiLevelType w:val="hybridMultilevel"/>
    <w:tmpl w:val="23D4F670"/>
    <w:lvl w:ilvl="0" w:tplc="8DC2F79C">
      <w:start w:val="1"/>
      <w:numFmt w:val="lowerRoman"/>
      <w:lvlText w:val="%1."/>
      <w:lvlJc w:val="right"/>
      <w:pPr>
        <w:ind w:left="720" w:hanging="360"/>
      </w:pPr>
      <w:rPr>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4CAA53FA"/>
    <w:multiLevelType w:val="hybridMultilevel"/>
    <w:tmpl w:val="E8BAB7D6"/>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01740F2"/>
    <w:multiLevelType w:val="hybridMultilevel"/>
    <w:tmpl w:val="7D3E4650"/>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3AB0814"/>
    <w:multiLevelType w:val="hybridMultilevel"/>
    <w:tmpl w:val="14F42C46"/>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54CA2197"/>
    <w:multiLevelType w:val="hybridMultilevel"/>
    <w:tmpl w:val="8F36B53A"/>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EC034A3"/>
    <w:multiLevelType w:val="hybridMultilevel"/>
    <w:tmpl w:val="9A6487C8"/>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65595CA9"/>
    <w:multiLevelType w:val="hybridMultilevel"/>
    <w:tmpl w:val="FB8E0E6E"/>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696D46DF"/>
    <w:multiLevelType w:val="hybridMultilevel"/>
    <w:tmpl w:val="443623CA"/>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C6817FD"/>
    <w:multiLevelType w:val="hybridMultilevel"/>
    <w:tmpl w:val="43F472DC"/>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7" w15:restartNumberingAfterBreak="0">
    <w:nsid w:val="6E340D31"/>
    <w:multiLevelType w:val="hybridMultilevel"/>
    <w:tmpl w:val="7656536E"/>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71761B46"/>
    <w:multiLevelType w:val="hybridMultilevel"/>
    <w:tmpl w:val="1BC47CBE"/>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76903DE9"/>
    <w:multiLevelType w:val="hybridMultilevel"/>
    <w:tmpl w:val="914A6F0A"/>
    <w:lvl w:ilvl="0" w:tplc="2724FFF0">
      <w:start w:val="1"/>
      <w:numFmt w:val="bullet"/>
      <w:lvlText w:val="-"/>
      <w:lvlJc w:val="left"/>
      <w:pPr>
        <w:ind w:left="72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79405541"/>
    <w:multiLevelType w:val="hybridMultilevel"/>
    <w:tmpl w:val="B61CE64E"/>
    <w:lvl w:ilvl="0" w:tplc="29A892C0">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7C08144F"/>
    <w:multiLevelType w:val="hybridMultilevel"/>
    <w:tmpl w:val="9A88E0BC"/>
    <w:lvl w:ilvl="0" w:tplc="29A892C0">
      <w:start w:val="1"/>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D7542C9"/>
    <w:multiLevelType w:val="hybridMultilevel"/>
    <w:tmpl w:val="68AC25A8"/>
    <w:lvl w:ilvl="0" w:tplc="8DC2F79C">
      <w:start w:val="1"/>
      <w:numFmt w:val="lowerRoman"/>
      <w:lvlText w:val="%1."/>
      <w:lvlJc w:val="right"/>
      <w:pPr>
        <w:ind w:left="720" w:hanging="360"/>
      </w:pPr>
      <w:rPr>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2"/>
  </w:num>
  <w:num w:numId="2">
    <w:abstractNumId w:val="36"/>
  </w:num>
  <w:num w:numId="3">
    <w:abstractNumId w:val="35"/>
  </w:num>
  <w:num w:numId="4">
    <w:abstractNumId w:val="30"/>
  </w:num>
  <w:num w:numId="5">
    <w:abstractNumId w:val="3"/>
  </w:num>
  <w:num w:numId="6">
    <w:abstractNumId w:val="19"/>
  </w:num>
  <w:num w:numId="7">
    <w:abstractNumId w:val="12"/>
  </w:num>
  <w:num w:numId="8">
    <w:abstractNumId w:val="7"/>
  </w:num>
  <w:num w:numId="9">
    <w:abstractNumId w:val="13"/>
  </w:num>
  <w:num w:numId="10">
    <w:abstractNumId w:val="0"/>
  </w:num>
  <w:num w:numId="11">
    <w:abstractNumId w:val="37"/>
  </w:num>
  <w:num w:numId="12">
    <w:abstractNumId w:val="15"/>
  </w:num>
  <w:num w:numId="13">
    <w:abstractNumId w:val="20"/>
  </w:num>
  <w:num w:numId="14">
    <w:abstractNumId w:val="33"/>
  </w:num>
  <w:num w:numId="15">
    <w:abstractNumId w:val="10"/>
  </w:num>
  <w:num w:numId="16">
    <w:abstractNumId w:val="32"/>
  </w:num>
  <w:num w:numId="17">
    <w:abstractNumId w:val="41"/>
  </w:num>
  <w:num w:numId="18">
    <w:abstractNumId w:val="18"/>
  </w:num>
  <w:num w:numId="19">
    <w:abstractNumId w:val="25"/>
  </w:num>
  <w:num w:numId="20">
    <w:abstractNumId w:val="34"/>
  </w:num>
  <w:num w:numId="21">
    <w:abstractNumId w:val="1"/>
  </w:num>
  <w:num w:numId="22">
    <w:abstractNumId w:val="26"/>
  </w:num>
  <w:num w:numId="23">
    <w:abstractNumId w:val="6"/>
  </w:num>
  <w:num w:numId="24">
    <w:abstractNumId w:val="29"/>
  </w:num>
  <w:num w:numId="25">
    <w:abstractNumId w:val="31"/>
  </w:num>
  <w:num w:numId="26">
    <w:abstractNumId w:val="38"/>
  </w:num>
  <w:num w:numId="27">
    <w:abstractNumId w:val="23"/>
  </w:num>
  <w:num w:numId="28">
    <w:abstractNumId w:val="2"/>
  </w:num>
  <w:num w:numId="29">
    <w:abstractNumId w:val="16"/>
  </w:num>
  <w:num w:numId="30">
    <w:abstractNumId w:val="39"/>
  </w:num>
  <w:num w:numId="31">
    <w:abstractNumId w:val="40"/>
  </w:num>
  <w:num w:numId="32">
    <w:abstractNumId w:val="14"/>
  </w:num>
  <w:num w:numId="33">
    <w:abstractNumId w:val="8"/>
  </w:num>
  <w:num w:numId="34">
    <w:abstractNumId w:val="21"/>
  </w:num>
  <w:num w:numId="35">
    <w:abstractNumId w:val="9"/>
    <w:lvlOverride w:ilvl="0">
      <w:lvl w:ilvl="0">
        <w:start w:val="1"/>
        <w:numFmt w:val="decimal"/>
        <w:lvlText w:val="%1."/>
        <w:lvlJc w:val="left"/>
        <w:pPr>
          <w:ind w:left="360" w:hanging="360"/>
        </w:pPr>
        <w:rPr>
          <w:rFonts w:ascii="Times New Roman" w:hAnsi="Times New Roman" w:hint="default"/>
          <w:b/>
          <w:sz w:val="28"/>
        </w:rPr>
      </w:lvl>
    </w:lvlOverride>
    <w:lvlOverride w:ilvl="1">
      <w:lvl w:ilvl="1">
        <w:start w:val="1"/>
        <w:numFmt w:val="decimal"/>
        <w:pStyle w:val="ListParagraph"/>
        <w:lvlText w:val="%1.%2"/>
        <w:lvlJc w:val="left"/>
        <w:pPr>
          <w:ind w:left="792" w:hanging="432"/>
        </w:pPr>
        <w:rPr>
          <w:rFonts w:ascii="Times New Roman" w:hAnsi="Times New Roman" w:hint="default"/>
          <w:b/>
          <w:bCs w:val="0"/>
          <w:sz w:val="24"/>
        </w:rPr>
      </w:lvl>
    </w:lvlOverride>
    <w:lvlOverride w:ilvl="2">
      <w:lvl w:ilvl="2">
        <w:start w:val="1"/>
        <w:numFmt w:val="decimal"/>
        <w:lvlText w:val="%1.%2.%3"/>
        <w:lvlJc w:val="left"/>
        <w:pPr>
          <w:ind w:left="1224" w:hanging="504"/>
        </w:pPr>
        <w:rPr>
          <w:rFonts w:ascii="Times New Roman" w:hAnsi="Times New Roman" w:hint="default"/>
          <w:b/>
          <w:bCs/>
          <w:sz w:val="24"/>
        </w:rPr>
      </w:lvl>
    </w:lvlOverride>
    <w:lvlOverride w:ilvl="3">
      <w:lvl w:ilvl="3">
        <w:start w:val="1"/>
        <w:numFmt w:val="decimal"/>
        <w:lvlText w:val="%1.%2.%3.%4."/>
        <w:lvlJc w:val="left"/>
        <w:pPr>
          <w:ind w:left="1728" w:hanging="648"/>
        </w:pPr>
        <w:rPr>
          <w:rFonts w:hint="default"/>
          <w:b/>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b/>
          <w:bCs/>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27"/>
  </w:num>
  <w:num w:numId="37">
    <w:abstractNumId w:val="17"/>
  </w:num>
  <w:num w:numId="38">
    <w:abstractNumId w:val="5"/>
  </w:num>
  <w:num w:numId="39">
    <w:abstractNumId w:val="11"/>
  </w:num>
  <w:num w:numId="40">
    <w:abstractNumId w:val="24"/>
  </w:num>
  <w:num w:numId="41">
    <w:abstractNumId w:val="28"/>
  </w:num>
  <w:num w:numId="42">
    <w:abstractNumId w:val="42"/>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0DA"/>
    <w:rsid w:val="0000071A"/>
    <w:rsid w:val="00001260"/>
    <w:rsid w:val="0000163D"/>
    <w:rsid w:val="00001718"/>
    <w:rsid w:val="000020F9"/>
    <w:rsid w:val="00002779"/>
    <w:rsid w:val="00002967"/>
    <w:rsid w:val="00003735"/>
    <w:rsid w:val="00004016"/>
    <w:rsid w:val="00004066"/>
    <w:rsid w:val="00004469"/>
    <w:rsid w:val="00004E84"/>
    <w:rsid w:val="000052C6"/>
    <w:rsid w:val="000052FF"/>
    <w:rsid w:val="00005597"/>
    <w:rsid w:val="000056CA"/>
    <w:rsid w:val="00006656"/>
    <w:rsid w:val="00006FBD"/>
    <w:rsid w:val="00007577"/>
    <w:rsid w:val="000076E6"/>
    <w:rsid w:val="0000788C"/>
    <w:rsid w:val="000102FC"/>
    <w:rsid w:val="00011427"/>
    <w:rsid w:val="0001164E"/>
    <w:rsid w:val="00011A7A"/>
    <w:rsid w:val="00011D5C"/>
    <w:rsid w:val="00011F32"/>
    <w:rsid w:val="000120DA"/>
    <w:rsid w:val="00012BE2"/>
    <w:rsid w:val="00012CE1"/>
    <w:rsid w:val="00012DD0"/>
    <w:rsid w:val="0001373D"/>
    <w:rsid w:val="00013AE6"/>
    <w:rsid w:val="00013D0F"/>
    <w:rsid w:val="00014225"/>
    <w:rsid w:val="000142B5"/>
    <w:rsid w:val="00014532"/>
    <w:rsid w:val="00014DEA"/>
    <w:rsid w:val="0001574B"/>
    <w:rsid w:val="000157A4"/>
    <w:rsid w:val="00015A26"/>
    <w:rsid w:val="00016158"/>
    <w:rsid w:val="000168F4"/>
    <w:rsid w:val="000168F8"/>
    <w:rsid w:val="0001700E"/>
    <w:rsid w:val="00017FBE"/>
    <w:rsid w:val="0002008B"/>
    <w:rsid w:val="000203FC"/>
    <w:rsid w:val="000209AF"/>
    <w:rsid w:val="00020B38"/>
    <w:rsid w:val="00020DD5"/>
    <w:rsid w:val="0002105F"/>
    <w:rsid w:val="00021203"/>
    <w:rsid w:val="0002179D"/>
    <w:rsid w:val="000218BE"/>
    <w:rsid w:val="00021F30"/>
    <w:rsid w:val="00021F59"/>
    <w:rsid w:val="0002224C"/>
    <w:rsid w:val="0002261B"/>
    <w:rsid w:val="00022944"/>
    <w:rsid w:val="00022A39"/>
    <w:rsid w:val="00022A88"/>
    <w:rsid w:val="00022D75"/>
    <w:rsid w:val="00023177"/>
    <w:rsid w:val="000231D8"/>
    <w:rsid w:val="000232F3"/>
    <w:rsid w:val="00024060"/>
    <w:rsid w:val="000247E4"/>
    <w:rsid w:val="000250FA"/>
    <w:rsid w:val="00025469"/>
    <w:rsid w:val="0002577E"/>
    <w:rsid w:val="00025AEB"/>
    <w:rsid w:val="00025BDC"/>
    <w:rsid w:val="00025F0E"/>
    <w:rsid w:val="00026383"/>
    <w:rsid w:val="00026425"/>
    <w:rsid w:val="00027355"/>
    <w:rsid w:val="000276C9"/>
    <w:rsid w:val="00027E6B"/>
    <w:rsid w:val="0003060C"/>
    <w:rsid w:val="00030858"/>
    <w:rsid w:val="00030C9A"/>
    <w:rsid w:val="00030D08"/>
    <w:rsid w:val="00030EFE"/>
    <w:rsid w:val="00030F20"/>
    <w:rsid w:val="00031CFC"/>
    <w:rsid w:val="00031D6E"/>
    <w:rsid w:val="000321CE"/>
    <w:rsid w:val="0003278F"/>
    <w:rsid w:val="00032A72"/>
    <w:rsid w:val="00033422"/>
    <w:rsid w:val="000335A7"/>
    <w:rsid w:val="000336BA"/>
    <w:rsid w:val="00033B0F"/>
    <w:rsid w:val="0003407F"/>
    <w:rsid w:val="00034446"/>
    <w:rsid w:val="000344CE"/>
    <w:rsid w:val="0003492F"/>
    <w:rsid w:val="00034AF1"/>
    <w:rsid w:val="00034B1B"/>
    <w:rsid w:val="00034C2B"/>
    <w:rsid w:val="000350BF"/>
    <w:rsid w:val="000350C6"/>
    <w:rsid w:val="00035508"/>
    <w:rsid w:val="000357BB"/>
    <w:rsid w:val="00035958"/>
    <w:rsid w:val="000360C2"/>
    <w:rsid w:val="000360DF"/>
    <w:rsid w:val="00036B73"/>
    <w:rsid w:val="0003749F"/>
    <w:rsid w:val="00037641"/>
    <w:rsid w:val="00037BAB"/>
    <w:rsid w:val="000403D7"/>
    <w:rsid w:val="00040493"/>
    <w:rsid w:val="00040BED"/>
    <w:rsid w:val="0004106B"/>
    <w:rsid w:val="00041217"/>
    <w:rsid w:val="000414FF"/>
    <w:rsid w:val="00041593"/>
    <w:rsid w:val="000416BF"/>
    <w:rsid w:val="000417E7"/>
    <w:rsid w:val="00042293"/>
    <w:rsid w:val="000430B2"/>
    <w:rsid w:val="0004358C"/>
    <w:rsid w:val="000436DB"/>
    <w:rsid w:val="00043812"/>
    <w:rsid w:val="000438A9"/>
    <w:rsid w:val="00043998"/>
    <w:rsid w:val="00043BCB"/>
    <w:rsid w:val="00044079"/>
    <w:rsid w:val="00044253"/>
    <w:rsid w:val="00044C43"/>
    <w:rsid w:val="00044F55"/>
    <w:rsid w:val="000452B3"/>
    <w:rsid w:val="000457D5"/>
    <w:rsid w:val="00045EDE"/>
    <w:rsid w:val="00045FDF"/>
    <w:rsid w:val="00046464"/>
    <w:rsid w:val="00046BDF"/>
    <w:rsid w:val="00046FF4"/>
    <w:rsid w:val="0004719E"/>
    <w:rsid w:val="00047287"/>
    <w:rsid w:val="00047390"/>
    <w:rsid w:val="00047DE2"/>
    <w:rsid w:val="00050523"/>
    <w:rsid w:val="00050BB9"/>
    <w:rsid w:val="00051869"/>
    <w:rsid w:val="00052069"/>
    <w:rsid w:val="000526AD"/>
    <w:rsid w:val="00052886"/>
    <w:rsid w:val="00053157"/>
    <w:rsid w:val="0005316D"/>
    <w:rsid w:val="000537EC"/>
    <w:rsid w:val="00054007"/>
    <w:rsid w:val="00054069"/>
    <w:rsid w:val="00054753"/>
    <w:rsid w:val="000547F8"/>
    <w:rsid w:val="00054B45"/>
    <w:rsid w:val="00054C31"/>
    <w:rsid w:val="00054F22"/>
    <w:rsid w:val="00055092"/>
    <w:rsid w:val="00055468"/>
    <w:rsid w:val="000557DA"/>
    <w:rsid w:val="00055A3B"/>
    <w:rsid w:val="00056097"/>
    <w:rsid w:val="000567BC"/>
    <w:rsid w:val="00057367"/>
    <w:rsid w:val="00057B40"/>
    <w:rsid w:val="00057B88"/>
    <w:rsid w:val="00057DD7"/>
    <w:rsid w:val="00057DEE"/>
    <w:rsid w:val="00060181"/>
    <w:rsid w:val="000604D5"/>
    <w:rsid w:val="00060F7B"/>
    <w:rsid w:val="000613A7"/>
    <w:rsid w:val="00061B9E"/>
    <w:rsid w:val="00062B9B"/>
    <w:rsid w:val="00062D8D"/>
    <w:rsid w:val="00062DB1"/>
    <w:rsid w:val="000634F7"/>
    <w:rsid w:val="00063DFC"/>
    <w:rsid w:val="00063E1F"/>
    <w:rsid w:val="00063E9C"/>
    <w:rsid w:val="000643BD"/>
    <w:rsid w:val="00064F21"/>
    <w:rsid w:val="000650DC"/>
    <w:rsid w:val="00065BCE"/>
    <w:rsid w:val="00065E42"/>
    <w:rsid w:val="0006616B"/>
    <w:rsid w:val="000664D6"/>
    <w:rsid w:val="00066A9B"/>
    <w:rsid w:val="00066D6B"/>
    <w:rsid w:val="000671BA"/>
    <w:rsid w:val="00067310"/>
    <w:rsid w:val="00067BC0"/>
    <w:rsid w:val="00067D7A"/>
    <w:rsid w:val="000701DB"/>
    <w:rsid w:val="00070B0B"/>
    <w:rsid w:val="00071039"/>
    <w:rsid w:val="0007113C"/>
    <w:rsid w:val="00071636"/>
    <w:rsid w:val="00071748"/>
    <w:rsid w:val="00071E7E"/>
    <w:rsid w:val="00072461"/>
    <w:rsid w:val="000727C4"/>
    <w:rsid w:val="00073643"/>
    <w:rsid w:val="00073AB2"/>
    <w:rsid w:val="00073C59"/>
    <w:rsid w:val="00073FC3"/>
    <w:rsid w:val="0007409E"/>
    <w:rsid w:val="00074241"/>
    <w:rsid w:val="00074523"/>
    <w:rsid w:val="000746DF"/>
    <w:rsid w:val="00074A39"/>
    <w:rsid w:val="00074B41"/>
    <w:rsid w:val="00074B72"/>
    <w:rsid w:val="0007520A"/>
    <w:rsid w:val="00075241"/>
    <w:rsid w:val="0007537E"/>
    <w:rsid w:val="000756FB"/>
    <w:rsid w:val="00075727"/>
    <w:rsid w:val="00075AF0"/>
    <w:rsid w:val="00075FED"/>
    <w:rsid w:val="00076776"/>
    <w:rsid w:val="00076DAB"/>
    <w:rsid w:val="0007785E"/>
    <w:rsid w:val="00077AA2"/>
    <w:rsid w:val="00077B0C"/>
    <w:rsid w:val="0008108F"/>
    <w:rsid w:val="0008196E"/>
    <w:rsid w:val="00081A96"/>
    <w:rsid w:val="00081D22"/>
    <w:rsid w:val="00081F1E"/>
    <w:rsid w:val="000823C6"/>
    <w:rsid w:val="00082495"/>
    <w:rsid w:val="000825E0"/>
    <w:rsid w:val="0008263E"/>
    <w:rsid w:val="00082759"/>
    <w:rsid w:val="00082EB3"/>
    <w:rsid w:val="0008318C"/>
    <w:rsid w:val="0008369A"/>
    <w:rsid w:val="000837DD"/>
    <w:rsid w:val="00084692"/>
    <w:rsid w:val="000849A6"/>
    <w:rsid w:val="00085150"/>
    <w:rsid w:val="000854BD"/>
    <w:rsid w:val="000856E4"/>
    <w:rsid w:val="00085707"/>
    <w:rsid w:val="000858D9"/>
    <w:rsid w:val="00085E92"/>
    <w:rsid w:val="00086388"/>
    <w:rsid w:val="000863A4"/>
    <w:rsid w:val="00086738"/>
    <w:rsid w:val="00086742"/>
    <w:rsid w:val="00086C39"/>
    <w:rsid w:val="0009002B"/>
    <w:rsid w:val="00090260"/>
    <w:rsid w:val="000905AC"/>
    <w:rsid w:val="000910FB"/>
    <w:rsid w:val="00091D99"/>
    <w:rsid w:val="000926B8"/>
    <w:rsid w:val="00093335"/>
    <w:rsid w:val="00093412"/>
    <w:rsid w:val="00093649"/>
    <w:rsid w:val="00093A61"/>
    <w:rsid w:val="00093AAC"/>
    <w:rsid w:val="0009469F"/>
    <w:rsid w:val="00094B80"/>
    <w:rsid w:val="00094C60"/>
    <w:rsid w:val="00094CAC"/>
    <w:rsid w:val="000959AA"/>
    <w:rsid w:val="00095FBE"/>
    <w:rsid w:val="0009626E"/>
    <w:rsid w:val="000964A9"/>
    <w:rsid w:val="000973A7"/>
    <w:rsid w:val="000A0444"/>
    <w:rsid w:val="000A105E"/>
    <w:rsid w:val="000A1944"/>
    <w:rsid w:val="000A1AAD"/>
    <w:rsid w:val="000A1F1B"/>
    <w:rsid w:val="000A1F9A"/>
    <w:rsid w:val="000A23B2"/>
    <w:rsid w:val="000A2FC6"/>
    <w:rsid w:val="000A3A9C"/>
    <w:rsid w:val="000A4EF5"/>
    <w:rsid w:val="000A59B8"/>
    <w:rsid w:val="000A629C"/>
    <w:rsid w:val="000A65B7"/>
    <w:rsid w:val="000A68D2"/>
    <w:rsid w:val="000A68E4"/>
    <w:rsid w:val="000A6C29"/>
    <w:rsid w:val="000A7539"/>
    <w:rsid w:val="000A7C5D"/>
    <w:rsid w:val="000B0224"/>
    <w:rsid w:val="000B098E"/>
    <w:rsid w:val="000B0BAC"/>
    <w:rsid w:val="000B0D73"/>
    <w:rsid w:val="000B2014"/>
    <w:rsid w:val="000B216E"/>
    <w:rsid w:val="000B277B"/>
    <w:rsid w:val="000B3625"/>
    <w:rsid w:val="000B3AEA"/>
    <w:rsid w:val="000B42AD"/>
    <w:rsid w:val="000B42C5"/>
    <w:rsid w:val="000B474D"/>
    <w:rsid w:val="000B5191"/>
    <w:rsid w:val="000B56C3"/>
    <w:rsid w:val="000B574B"/>
    <w:rsid w:val="000B5CBD"/>
    <w:rsid w:val="000B6361"/>
    <w:rsid w:val="000B645C"/>
    <w:rsid w:val="000B67B5"/>
    <w:rsid w:val="000B728F"/>
    <w:rsid w:val="000B77CC"/>
    <w:rsid w:val="000C0394"/>
    <w:rsid w:val="000C056D"/>
    <w:rsid w:val="000C0B85"/>
    <w:rsid w:val="000C0BB4"/>
    <w:rsid w:val="000C0E4F"/>
    <w:rsid w:val="000C101C"/>
    <w:rsid w:val="000C127A"/>
    <w:rsid w:val="000C16F1"/>
    <w:rsid w:val="000C1A25"/>
    <w:rsid w:val="000C1B6E"/>
    <w:rsid w:val="000C1B86"/>
    <w:rsid w:val="000C1E55"/>
    <w:rsid w:val="000C2426"/>
    <w:rsid w:val="000C3AF3"/>
    <w:rsid w:val="000C4797"/>
    <w:rsid w:val="000C5360"/>
    <w:rsid w:val="000C561E"/>
    <w:rsid w:val="000C5817"/>
    <w:rsid w:val="000C6121"/>
    <w:rsid w:val="000C6713"/>
    <w:rsid w:val="000C6BC5"/>
    <w:rsid w:val="000C6E7D"/>
    <w:rsid w:val="000C6F7A"/>
    <w:rsid w:val="000C7483"/>
    <w:rsid w:val="000C7EBC"/>
    <w:rsid w:val="000D028F"/>
    <w:rsid w:val="000D043D"/>
    <w:rsid w:val="000D0642"/>
    <w:rsid w:val="000D0E35"/>
    <w:rsid w:val="000D1A98"/>
    <w:rsid w:val="000D1DB6"/>
    <w:rsid w:val="000D2335"/>
    <w:rsid w:val="000D2C6F"/>
    <w:rsid w:val="000D3510"/>
    <w:rsid w:val="000D3B69"/>
    <w:rsid w:val="000D3B7D"/>
    <w:rsid w:val="000D3E2C"/>
    <w:rsid w:val="000D43AB"/>
    <w:rsid w:val="000D450D"/>
    <w:rsid w:val="000D5FC4"/>
    <w:rsid w:val="000D60DF"/>
    <w:rsid w:val="000D6821"/>
    <w:rsid w:val="000D6D2B"/>
    <w:rsid w:val="000D765F"/>
    <w:rsid w:val="000E017E"/>
    <w:rsid w:val="000E03A6"/>
    <w:rsid w:val="000E0A79"/>
    <w:rsid w:val="000E0CC2"/>
    <w:rsid w:val="000E1BD5"/>
    <w:rsid w:val="000E2354"/>
    <w:rsid w:val="000E2670"/>
    <w:rsid w:val="000E2CD9"/>
    <w:rsid w:val="000E2D7D"/>
    <w:rsid w:val="000E2E13"/>
    <w:rsid w:val="000E3537"/>
    <w:rsid w:val="000E3F8E"/>
    <w:rsid w:val="000E4098"/>
    <w:rsid w:val="000E42BE"/>
    <w:rsid w:val="000E4922"/>
    <w:rsid w:val="000E4E6B"/>
    <w:rsid w:val="000E5150"/>
    <w:rsid w:val="000E527B"/>
    <w:rsid w:val="000E5794"/>
    <w:rsid w:val="000E62BD"/>
    <w:rsid w:val="000E6B79"/>
    <w:rsid w:val="000E6BA8"/>
    <w:rsid w:val="000E735F"/>
    <w:rsid w:val="000E75F0"/>
    <w:rsid w:val="000E7B69"/>
    <w:rsid w:val="000E7BF7"/>
    <w:rsid w:val="000E7E12"/>
    <w:rsid w:val="000E7F00"/>
    <w:rsid w:val="000F0327"/>
    <w:rsid w:val="000F0C35"/>
    <w:rsid w:val="000F13E2"/>
    <w:rsid w:val="000F1782"/>
    <w:rsid w:val="000F198F"/>
    <w:rsid w:val="000F2189"/>
    <w:rsid w:val="000F2389"/>
    <w:rsid w:val="000F28F0"/>
    <w:rsid w:val="000F2C0E"/>
    <w:rsid w:val="000F2F8B"/>
    <w:rsid w:val="000F3A91"/>
    <w:rsid w:val="000F3C75"/>
    <w:rsid w:val="000F4D5D"/>
    <w:rsid w:val="000F508E"/>
    <w:rsid w:val="000F5724"/>
    <w:rsid w:val="000F59F4"/>
    <w:rsid w:val="000F5C10"/>
    <w:rsid w:val="000F5F1C"/>
    <w:rsid w:val="000F6067"/>
    <w:rsid w:val="000F60AE"/>
    <w:rsid w:val="000F6331"/>
    <w:rsid w:val="000F6C51"/>
    <w:rsid w:val="000F7413"/>
    <w:rsid w:val="000F7842"/>
    <w:rsid w:val="0010022D"/>
    <w:rsid w:val="0010089B"/>
    <w:rsid w:val="00100A8D"/>
    <w:rsid w:val="00100C10"/>
    <w:rsid w:val="0010141A"/>
    <w:rsid w:val="001019F9"/>
    <w:rsid w:val="00101ABF"/>
    <w:rsid w:val="00101C32"/>
    <w:rsid w:val="00101C70"/>
    <w:rsid w:val="00102022"/>
    <w:rsid w:val="001027AA"/>
    <w:rsid w:val="00102CC1"/>
    <w:rsid w:val="00103811"/>
    <w:rsid w:val="00103C2C"/>
    <w:rsid w:val="00103EB0"/>
    <w:rsid w:val="0010493F"/>
    <w:rsid w:val="00104D92"/>
    <w:rsid w:val="00105288"/>
    <w:rsid w:val="00106009"/>
    <w:rsid w:val="00106051"/>
    <w:rsid w:val="00106CE9"/>
    <w:rsid w:val="00107B40"/>
    <w:rsid w:val="001100CE"/>
    <w:rsid w:val="0011082A"/>
    <w:rsid w:val="0011083C"/>
    <w:rsid w:val="00110D5E"/>
    <w:rsid w:val="00110ED9"/>
    <w:rsid w:val="001111A6"/>
    <w:rsid w:val="00111B32"/>
    <w:rsid w:val="00111B78"/>
    <w:rsid w:val="001125A8"/>
    <w:rsid w:val="00112760"/>
    <w:rsid w:val="00113285"/>
    <w:rsid w:val="001139E1"/>
    <w:rsid w:val="00113FE9"/>
    <w:rsid w:val="0011424F"/>
    <w:rsid w:val="001144E5"/>
    <w:rsid w:val="0011460A"/>
    <w:rsid w:val="00114654"/>
    <w:rsid w:val="00115542"/>
    <w:rsid w:val="001165AB"/>
    <w:rsid w:val="00116BE2"/>
    <w:rsid w:val="00116C47"/>
    <w:rsid w:val="00116C97"/>
    <w:rsid w:val="00117471"/>
    <w:rsid w:val="0012030C"/>
    <w:rsid w:val="0012050E"/>
    <w:rsid w:val="0012099B"/>
    <w:rsid w:val="0012182E"/>
    <w:rsid w:val="00122145"/>
    <w:rsid w:val="00122F61"/>
    <w:rsid w:val="00123368"/>
    <w:rsid w:val="00123481"/>
    <w:rsid w:val="00123747"/>
    <w:rsid w:val="001239EC"/>
    <w:rsid w:val="00123E6A"/>
    <w:rsid w:val="00124283"/>
    <w:rsid w:val="0012440E"/>
    <w:rsid w:val="00124605"/>
    <w:rsid w:val="00124750"/>
    <w:rsid w:val="0012495A"/>
    <w:rsid w:val="00124AA6"/>
    <w:rsid w:val="00124D81"/>
    <w:rsid w:val="00124DF6"/>
    <w:rsid w:val="00125436"/>
    <w:rsid w:val="0012551D"/>
    <w:rsid w:val="001256E5"/>
    <w:rsid w:val="00125831"/>
    <w:rsid w:val="0012632E"/>
    <w:rsid w:val="00126C59"/>
    <w:rsid w:val="00126FE3"/>
    <w:rsid w:val="00127006"/>
    <w:rsid w:val="00127FF7"/>
    <w:rsid w:val="001300A9"/>
    <w:rsid w:val="0013056F"/>
    <w:rsid w:val="00131ACC"/>
    <w:rsid w:val="00131CC2"/>
    <w:rsid w:val="00131EB7"/>
    <w:rsid w:val="00132DDB"/>
    <w:rsid w:val="00133DF7"/>
    <w:rsid w:val="00134315"/>
    <w:rsid w:val="00134D5E"/>
    <w:rsid w:val="00134E4C"/>
    <w:rsid w:val="00134E92"/>
    <w:rsid w:val="00136D07"/>
    <w:rsid w:val="00136E2E"/>
    <w:rsid w:val="001372F2"/>
    <w:rsid w:val="0013747E"/>
    <w:rsid w:val="00137D85"/>
    <w:rsid w:val="00137E63"/>
    <w:rsid w:val="00140274"/>
    <w:rsid w:val="00140B78"/>
    <w:rsid w:val="00141E23"/>
    <w:rsid w:val="0014233C"/>
    <w:rsid w:val="00142618"/>
    <w:rsid w:val="001426B1"/>
    <w:rsid w:val="001433F6"/>
    <w:rsid w:val="00143F3A"/>
    <w:rsid w:val="0014416E"/>
    <w:rsid w:val="001446A8"/>
    <w:rsid w:val="001447E6"/>
    <w:rsid w:val="00144A8A"/>
    <w:rsid w:val="00145524"/>
    <w:rsid w:val="0014558D"/>
    <w:rsid w:val="00145638"/>
    <w:rsid w:val="00145C00"/>
    <w:rsid w:val="00145E42"/>
    <w:rsid w:val="00146699"/>
    <w:rsid w:val="00146DD1"/>
    <w:rsid w:val="00147000"/>
    <w:rsid w:val="0014768F"/>
    <w:rsid w:val="00147C63"/>
    <w:rsid w:val="00147F56"/>
    <w:rsid w:val="001505DC"/>
    <w:rsid w:val="00150C78"/>
    <w:rsid w:val="00150F25"/>
    <w:rsid w:val="001511DE"/>
    <w:rsid w:val="001513F9"/>
    <w:rsid w:val="0015149A"/>
    <w:rsid w:val="001517A8"/>
    <w:rsid w:val="00151E7C"/>
    <w:rsid w:val="00152117"/>
    <w:rsid w:val="001526A4"/>
    <w:rsid w:val="00152728"/>
    <w:rsid w:val="00152B85"/>
    <w:rsid w:val="00153693"/>
    <w:rsid w:val="00154F04"/>
    <w:rsid w:val="0015586C"/>
    <w:rsid w:val="00155CE2"/>
    <w:rsid w:val="00155F32"/>
    <w:rsid w:val="001565C3"/>
    <w:rsid w:val="00156CC7"/>
    <w:rsid w:val="00157118"/>
    <w:rsid w:val="00157C3A"/>
    <w:rsid w:val="00157DE1"/>
    <w:rsid w:val="00157E1B"/>
    <w:rsid w:val="001609AB"/>
    <w:rsid w:val="00160AFF"/>
    <w:rsid w:val="00160FEB"/>
    <w:rsid w:val="00161346"/>
    <w:rsid w:val="00161812"/>
    <w:rsid w:val="00161B86"/>
    <w:rsid w:val="00161EAA"/>
    <w:rsid w:val="00162A74"/>
    <w:rsid w:val="00162CFA"/>
    <w:rsid w:val="001636DC"/>
    <w:rsid w:val="001637B4"/>
    <w:rsid w:val="00163950"/>
    <w:rsid w:val="00163C32"/>
    <w:rsid w:val="001640A9"/>
    <w:rsid w:val="0016415E"/>
    <w:rsid w:val="00164383"/>
    <w:rsid w:val="00164507"/>
    <w:rsid w:val="00164AA5"/>
    <w:rsid w:val="0016568A"/>
    <w:rsid w:val="00165C36"/>
    <w:rsid w:val="0016600D"/>
    <w:rsid w:val="00166933"/>
    <w:rsid w:val="0016776E"/>
    <w:rsid w:val="00167BBD"/>
    <w:rsid w:val="00170392"/>
    <w:rsid w:val="00170547"/>
    <w:rsid w:val="001709AF"/>
    <w:rsid w:val="0017102B"/>
    <w:rsid w:val="00172B21"/>
    <w:rsid w:val="00172BF7"/>
    <w:rsid w:val="001734BE"/>
    <w:rsid w:val="001735AC"/>
    <w:rsid w:val="00173D02"/>
    <w:rsid w:val="00173D24"/>
    <w:rsid w:val="00173F4A"/>
    <w:rsid w:val="00174963"/>
    <w:rsid w:val="0017498C"/>
    <w:rsid w:val="00174C43"/>
    <w:rsid w:val="00174E0A"/>
    <w:rsid w:val="0017557C"/>
    <w:rsid w:val="001755F0"/>
    <w:rsid w:val="00175E5D"/>
    <w:rsid w:val="00176200"/>
    <w:rsid w:val="001762C8"/>
    <w:rsid w:val="00176875"/>
    <w:rsid w:val="00176893"/>
    <w:rsid w:val="00176D92"/>
    <w:rsid w:val="0017731D"/>
    <w:rsid w:val="0017788E"/>
    <w:rsid w:val="00177945"/>
    <w:rsid w:val="00180893"/>
    <w:rsid w:val="0018135D"/>
    <w:rsid w:val="001813B6"/>
    <w:rsid w:val="00181C04"/>
    <w:rsid w:val="0018232D"/>
    <w:rsid w:val="001823EF"/>
    <w:rsid w:val="00183093"/>
    <w:rsid w:val="0018384B"/>
    <w:rsid w:val="00183CA7"/>
    <w:rsid w:val="00183E30"/>
    <w:rsid w:val="00183F39"/>
    <w:rsid w:val="00184249"/>
    <w:rsid w:val="001843D3"/>
    <w:rsid w:val="00184E54"/>
    <w:rsid w:val="0018523C"/>
    <w:rsid w:val="00185C2C"/>
    <w:rsid w:val="00187506"/>
    <w:rsid w:val="00187823"/>
    <w:rsid w:val="00190002"/>
    <w:rsid w:val="0019005C"/>
    <w:rsid w:val="00190401"/>
    <w:rsid w:val="0019083F"/>
    <w:rsid w:val="0019101C"/>
    <w:rsid w:val="001915D1"/>
    <w:rsid w:val="00191891"/>
    <w:rsid w:val="0019232D"/>
    <w:rsid w:val="00192DE6"/>
    <w:rsid w:val="00193508"/>
    <w:rsid w:val="00193624"/>
    <w:rsid w:val="00193B88"/>
    <w:rsid w:val="00193C79"/>
    <w:rsid w:val="001940B8"/>
    <w:rsid w:val="00194E4B"/>
    <w:rsid w:val="00195214"/>
    <w:rsid w:val="001955C4"/>
    <w:rsid w:val="001955DB"/>
    <w:rsid w:val="00195BE4"/>
    <w:rsid w:val="00196AFF"/>
    <w:rsid w:val="001975D2"/>
    <w:rsid w:val="001A0934"/>
    <w:rsid w:val="001A1078"/>
    <w:rsid w:val="001A16A5"/>
    <w:rsid w:val="001A1AC9"/>
    <w:rsid w:val="001A1BEC"/>
    <w:rsid w:val="001A1C64"/>
    <w:rsid w:val="001A1C6C"/>
    <w:rsid w:val="001A1FD6"/>
    <w:rsid w:val="001A27F6"/>
    <w:rsid w:val="001A299A"/>
    <w:rsid w:val="001A2D10"/>
    <w:rsid w:val="001A3111"/>
    <w:rsid w:val="001A32C3"/>
    <w:rsid w:val="001A3545"/>
    <w:rsid w:val="001A3ACB"/>
    <w:rsid w:val="001A3F14"/>
    <w:rsid w:val="001A4469"/>
    <w:rsid w:val="001A45E0"/>
    <w:rsid w:val="001A46CB"/>
    <w:rsid w:val="001A4B7F"/>
    <w:rsid w:val="001A4D1F"/>
    <w:rsid w:val="001A4F3A"/>
    <w:rsid w:val="001A55D8"/>
    <w:rsid w:val="001A5C85"/>
    <w:rsid w:val="001A60EC"/>
    <w:rsid w:val="001A69B1"/>
    <w:rsid w:val="001A6C5C"/>
    <w:rsid w:val="001A6FA4"/>
    <w:rsid w:val="001A7371"/>
    <w:rsid w:val="001A73BC"/>
    <w:rsid w:val="001A7869"/>
    <w:rsid w:val="001A7B2D"/>
    <w:rsid w:val="001A7EAA"/>
    <w:rsid w:val="001A7F12"/>
    <w:rsid w:val="001B0072"/>
    <w:rsid w:val="001B04EF"/>
    <w:rsid w:val="001B10BE"/>
    <w:rsid w:val="001B147D"/>
    <w:rsid w:val="001B148E"/>
    <w:rsid w:val="001B14D2"/>
    <w:rsid w:val="001B1E8F"/>
    <w:rsid w:val="001B2988"/>
    <w:rsid w:val="001B2B35"/>
    <w:rsid w:val="001B308D"/>
    <w:rsid w:val="001B3254"/>
    <w:rsid w:val="001B3618"/>
    <w:rsid w:val="001B366A"/>
    <w:rsid w:val="001B3879"/>
    <w:rsid w:val="001B3EA8"/>
    <w:rsid w:val="001B42AE"/>
    <w:rsid w:val="001B4632"/>
    <w:rsid w:val="001B4643"/>
    <w:rsid w:val="001B4770"/>
    <w:rsid w:val="001B48D4"/>
    <w:rsid w:val="001B4942"/>
    <w:rsid w:val="001B4A6D"/>
    <w:rsid w:val="001B514E"/>
    <w:rsid w:val="001B59FC"/>
    <w:rsid w:val="001B5D7C"/>
    <w:rsid w:val="001B5E7E"/>
    <w:rsid w:val="001B625A"/>
    <w:rsid w:val="001B6470"/>
    <w:rsid w:val="001B68C7"/>
    <w:rsid w:val="001B6A5E"/>
    <w:rsid w:val="001B6C18"/>
    <w:rsid w:val="001B74B4"/>
    <w:rsid w:val="001B7F80"/>
    <w:rsid w:val="001C0878"/>
    <w:rsid w:val="001C14C4"/>
    <w:rsid w:val="001C153C"/>
    <w:rsid w:val="001C1606"/>
    <w:rsid w:val="001C1896"/>
    <w:rsid w:val="001C18BF"/>
    <w:rsid w:val="001C1900"/>
    <w:rsid w:val="001C1C1E"/>
    <w:rsid w:val="001C1F5D"/>
    <w:rsid w:val="001C224C"/>
    <w:rsid w:val="001C3B1A"/>
    <w:rsid w:val="001C3BEF"/>
    <w:rsid w:val="001C4588"/>
    <w:rsid w:val="001C4BFD"/>
    <w:rsid w:val="001C50DE"/>
    <w:rsid w:val="001C54F6"/>
    <w:rsid w:val="001C5EA4"/>
    <w:rsid w:val="001C5F7D"/>
    <w:rsid w:val="001C6027"/>
    <w:rsid w:val="001C6B37"/>
    <w:rsid w:val="001C731B"/>
    <w:rsid w:val="001C770C"/>
    <w:rsid w:val="001C77D9"/>
    <w:rsid w:val="001C792B"/>
    <w:rsid w:val="001C7A8A"/>
    <w:rsid w:val="001C7AA0"/>
    <w:rsid w:val="001C7E2D"/>
    <w:rsid w:val="001D0093"/>
    <w:rsid w:val="001D0194"/>
    <w:rsid w:val="001D0AC2"/>
    <w:rsid w:val="001D113B"/>
    <w:rsid w:val="001D1474"/>
    <w:rsid w:val="001D152E"/>
    <w:rsid w:val="001D17BF"/>
    <w:rsid w:val="001D1B3C"/>
    <w:rsid w:val="001D1E5D"/>
    <w:rsid w:val="001D23B2"/>
    <w:rsid w:val="001D2668"/>
    <w:rsid w:val="001D2702"/>
    <w:rsid w:val="001D3230"/>
    <w:rsid w:val="001D494B"/>
    <w:rsid w:val="001D511E"/>
    <w:rsid w:val="001D5311"/>
    <w:rsid w:val="001D588C"/>
    <w:rsid w:val="001D5CF7"/>
    <w:rsid w:val="001D613D"/>
    <w:rsid w:val="001D6212"/>
    <w:rsid w:val="001D63D5"/>
    <w:rsid w:val="001D64C1"/>
    <w:rsid w:val="001D6BF8"/>
    <w:rsid w:val="001D7AC0"/>
    <w:rsid w:val="001D7C57"/>
    <w:rsid w:val="001D7E46"/>
    <w:rsid w:val="001D7F17"/>
    <w:rsid w:val="001E00AD"/>
    <w:rsid w:val="001E088E"/>
    <w:rsid w:val="001E0AE8"/>
    <w:rsid w:val="001E12D0"/>
    <w:rsid w:val="001E1766"/>
    <w:rsid w:val="001E1860"/>
    <w:rsid w:val="001E1C06"/>
    <w:rsid w:val="001E1C15"/>
    <w:rsid w:val="001E1F98"/>
    <w:rsid w:val="001E23AA"/>
    <w:rsid w:val="001E23B9"/>
    <w:rsid w:val="001E24B4"/>
    <w:rsid w:val="001E2750"/>
    <w:rsid w:val="001E284B"/>
    <w:rsid w:val="001E2A3D"/>
    <w:rsid w:val="001E2A59"/>
    <w:rsid w:val="001E2D22"/>
    <w:rsid w:val="001E2EF9"/>
    <w:rsid w:val="001E42A7"/>
    <w:rsid w:val="001E4556"/>
    <w:rsid w:val="001E4CCB"/>
    <w:rsid w:val="001E4CD4"/>
    <w:rsid w:val="001E4D9A"/>
    <w:rsid w:val="001E5191"/>
    <w:rsid w:val="001E5252"/>
    <w:rsid w:val="001E52F4"/>
    <w:rsid w:val="001E55A2"/>
    <w:rsid w:val="001E5620"/>
    <w:rsid w:val="001E5994"/>
    <w:rsid w:val="001E5CC8"/>
    <w:rsid w:val="001E5DF2"/>
    <w:rsid w:val="001E6159"/>
    <w:rsid w:val="001E61A3"/>
    <w:rsid w:val="001E6368"/>
    <w:rsid w:val="001E6515"/>
    <w:rsid w:val="001E66CF"/>
    <w:rsid w:val="001E6715"/>
    <w:rsid w:val="001E6A9E"/>
    <w:rsid w:val="001E6FFA"/>
    <w:rsid w:val="001E7241"/>
    <w:rsid w:val="001E745C"/>
    <w:rsid w:val="001E7544"/>
    <w:rsid w:val="001E7576"/>
    <w:rsid w:val="001E7607"/>
    <w:rsid w:val="001F02C1"/>
    <w:rsid w:val="001F0A0B"/>
    <w:rsid w:val="001F0CB0"/>
    <w:rsid w:val="001F0EE7"/>
    <w:rsid w:val="001F1837"/>
    <w:rsid w:val="001F18F4"/>
    <w:rsid w:val="001F1B37"/>
    <w:rsid w:val="001F1CD0"/>
    <w:rsid w:val="001F1FAA"/>
    <w:rsid w:val="001F20C9"/>
    <w:rsid w:val="001F20E4"/>
    <w:rsid w:val="001F24FA"/>
    <w:rsid w:val="001F29FD"/>
    <w:rsid w:val="001F30B7"/>
    <w:rsid w:val="001F3C1A"/>
    <w:rsid w:val="001F4611"/>
    <w:rsid w:val="001F5374"/>
    <w:rsid w:val="001F658B"/>
    <w:rsid w:val="001F6A78"/>
    <w:rsid w:val="001F7093"/>
    <w:rsid w:val="001F70F9"/>
    <w:rsid w:val="001F7D6C"/>
    <w:rsid w:val="002003F2"/>
    <w:rsid w:val="00200DBB"/>
    <w:rsid w:val="00200F1E"/>
    <w:rsid w:val="0020104E"/>
    <w:rsid w:val="002013A8"/>
    <w:rsid w:val="00202302"/>
    <w:rsid w:val="0020242C"/>
    <w:rsid w:val="00202490"/>
    <w:rsid w:val="00202636"/>
    <w:rsid w:val="002027EB"/>
    <w:rsid w:val="0020281C"/>
    <w:rsid w:val="002029FB"/>
    <w:rsid w:val="00202A70"/>
    <w:rsid w:val="00202D10"/>
    <w:rsid w:val="00202EA1"/>
    <w:rsid w:val="00202EAC"/>
    <w:rsid w:val="00203136"/>
    <w:rsid w:val="002036A8"/>
    <w:rsid w:val="0020376C"/>
    <w:rsid w:val="00203BC4"/>
    <w:rsid w:val="00203FB5"/>
    <w:rsid w:val="0020411D"/>
    <w:rsid w:val="00204800"/>
    <w:rsid w:val="00204E80"/>
    <w:rsid w:val="00205FBE"/>
    <w:rsid w:val="00206534"/>
    <w:rsid w:val="00206D57"/>
    <w:rsid w:val="002075E1"/>
    <w:rsid w:val="00207780"/>
    <w:rsid w:val="00207ECE"/>
    <w:rsid w:val="00207F5D"/>
    <w:rsid w:val="00210688"/>
    <w:rsid w:val="002108AD"/>
    <w:rsid w:val="00211389"/>
    <w:rsid w:val="002116FA"/>
    <w:rsid w:val="002118FD"/>
    <w:rsid w:val="00211A38"/>
    <w:rsid w:val="00211A49"/>
    <w:rsid w:val="00211D9C"/>
    <w:rsid w:val="0021221F"/>
    <w:rsid w:val="00212278"/>
    <w:rsid w:val="00212A3A"/>
    <w:rsid w:val="00212B25"/>
    <w:rsid w:val="00212E89"/>
    <w:rsid w:val="00214028"/>
    <w:rsid w:val="00214996"/>
    <w:rsid w:val="00214D6F"/>
    <w:rsid w:val="002151ED"/>
    <w:rsid w:val="00215315"/>
    <w:rsid w:val="002153B3"/>
    <w:rsid w:val="00215419"/>
    <w:rsid w:val="0021546F"/>
    <w:rsid w:val="0021563C"/>
    <w:rsid w:val="002157CC"/>
    <w:rsid w:val="00215BC6"/>
    <w:rsid w:val="00215D50"/>
    <w:rsid w:val="0021639A"/>
    <w:rsid w:val="00216C2A"/>
    <w:rsid w:val="002171DA"/>
    <w:rsid w:val="00217536"/>
    <w:rsid w:val="00217CA7"/>
    <w:rsid w:val="00217F10"/>
    <w:rsid w:val="00220099"/>
    <w:rsid w:val="00220674"/>
    <w:rsid w:val="002213C1"/>
    <w:rsid w:val="0022146E"/>
    <w:rsid w:val="00221B37"/>
    <w:rsid w:val="00222434"/>
    <w:rsid w:val="002227A8"/>
    <w:rsid w:val="002229C0"/>
    <w:rsid w:val="002230BF"/>
    <w:rsid w:val="002237AD"/>
    <w:rsid w:val="00223DE6"/>
    <w:rsid w:val="002242E9"/>
    <w:rsid w:val="002249CD"/>
    <w:rsid w:val="00224CF9"/>
    <w:rsid w:val="00224D3A"/>
    <w:rsid w:val="00225086"/>
    <w:rsid w:val="002254FB"/>
    <w:rsid w:val="00225BAE"/>
    <w:rsid w:val="00225E75"/>
    <w:rsid w:val="00225F1C"/>
    <w:rsid w:val="00226308"/>
    <w:rsid w:val="00226467"/>
    <w:rsid w:val="002264AD"/>
    <w:rsid w:val="00226727"/>
    <w:rsid w:val="002268CC"/>
    <w:rsid w:val="002270F8"/>
    <w:rsid w:val="00227352"/>
    <w:rsid w:val="00227472"/>
    <w:rsid w:val="002277C7"/>
    <w:rsid w:val="00227DA5"/>
    <w:rsid w:val="00227FD3"/>
    <w:rsid w:val="0023005E"/>
    <w:rsid w:val="002301EE"/>
    <w:rsid w:val="00230870"/>
    <w:rsid w:val="00231669"/>
    <w:rsid w:val="00231AAC"/>
    <w:rsid w:val="00231B67"/>
    <w:rsid w:val="00231D52"/>
    <w:rsid w:val="00231D7A"/>
    <w:rsid w:val="0023278A"/>
    <w:rsid w:val="00232F5C"/>
    <w:rsid w:val="002335AD"/>
    <w:rsid w:val="00233604"/>
    <w:rsid w:val="0023386A"/>
    <w:rsid w:val="00233CB3"/>
    <w:rsid w:val="0023424C"/>
    <w:rsid w:val="0023474D"/>
    <w:rsid w:val="00234752"/>
    <w:rsid w:val="00234BBF"/>
    <w:rsid w:val="00234CB9"/>
    <w:rsid w:val="002350B2"/>
    <w:rsid w:val="00235206"/>
    <w:rsid w:val="00235334"/>
    <w:rsid w:val="00235951"/>
    <w:rsid w:val="00235AC0"/>
    <w:rsid w:val="00235C6D"/>
    <w:rsid w:val="00235F2C"/>
    <w:rsid w:val="00236381"/>
    <w:rsid w:val="00236AD4"/>
    <w:rsid w:val="00236F6F"/>
    <w:rsid w:val="002372AD"/>
    <w:rsid w:val="00237A24"/>
    <w:rsid w:val="00237DD3"/>
    <w:rsid w:val="002404F6"/>
    <w:rsid w:val="00240644"/>
    <w:rsid w:val="0024095A"/>
    <w:rsid w:val="002411F6"/>
    <w:rsid w:val="0024128C"/>
    <w:rsid w:val="00241493"/>
    <w:rsid w:val="00241686"/>
    <w:rsid w:val="00241A58"/>
    <w:rsid w:val="00242354"/>
    <w:rsid w:val="00242416"/>
    <w:rsid w:val="00242715"/>
    <w:rsid w:val="00242825"/>
    <w:rsid w:val="00243442"/>
    <w:rsid w:val="0024355A"/>
    <w:rsid w:val="00243D15"/>
    <w:rsid w:val="00243E96"/>
    <w:rsid w:val="002440A2"/>
    <w:rsid w:val="00244561"/>
    <w:rsid w:val="00244866"/>
    <w:rsid w:val="0024537F"/>
    <w:rsid w:val="002455A2"/>
    <w:rsid w:val="00245722"/>
    <w:rsid w:val="00245BF8"/>
    <w:rsid w:val="00246336"/>
    <w:rsid w:val="0024637A"/>
    <w:rsid w:val="002467A4"/>
    <w:rsid w:val="0024693B"/>
    <w:rsid w:val="002472D3"/>
    <w:rsid w:val="002474BB"/>
    <w:rsid w:val="00247786"/>
    <w:rsid w:val="00252C33"/>
    <w:rsid w:val="00252C53"/>
    <w:rsid w:val="002530C3"/>
    <w:rsid w:val="00253EC7"/>
    <w:rsid w:val="00254082"/>
    <w:rsid w:val="002540DB"/>
    <w:rsid w:val="002541AD"/>
    <w:rsid w:val="0025453D"/>
    <w:rsid w:val="0025482E"/>
    <w:rsid w:val="00255331"/>
    <w:rsid w:val="00255742"/>
    <w:rsid w:val="00255E10"/>
    <w:rsid w:val="002560D5"/>
    <w:rsid w:val="00256F9A"/>
    <w:rsid w:val="0025723E"/>
    <w:rsid w:val="002575FB"/>
    <w:rsid w:val="002576FE"/>
    <w:rsid w:val="00257A9E"/>
    <w:rsid w:val="0026052E"/>
    <w:rsid w:val="00260922"/>
    <w:rsid w:val="00260983"/>
    <w:rsid w:val="00260B2C"/>
    <w:rsid w:val="00260B4F"/>
    <w:rsid w:val="00260E24"/>
    <w:rsid w:val="00261ED9"/>
    <w:rsid w:val="00261F04"/>
    <w:rsid w:val="00261F33"/>
    <w:rsid w:val="0026240B"/>
    <w:rsid w:val="00262589"/>
    <w:rsid w:val="00262590"/>
    <w:rsid w:val="00262A0F"/>
    <w:rsid w:val="00262A23"/>
    <w:rsid w:val="00262EF4"/>
    <w:rsid w:val="0026358A"/>
    <w:rsid w:val="00263D27"/>
    <w:rsid w:val="00264098"/>
    <w:rsid w:val="00264D25"/>
    <w:rsid w:val="0026521B"/>
    <w:rsid w:val="00265293"/>
    <w:rsid w:val="002653A4"/>
    <w:rsid w:val="002654EB"/>
    <w:rsid w:val="002655D5"/>
    <w:rsid w:val="00266101"/>
    <w:rsid w:val="0026661F"/>
    <w:rsid w:val="00266B83"/>
    <w:rsid w:val="00266CDC"/>
    <w:rsid w:val="002678AE"/>
    <w:rsid w:val="00267ECC"/>
    <w:rsid w:val="00270016"/>
    <w:rsid w:val="00270045"/>
    <w:rsid w:val="00270B5A"/>
    <w:rsid w:val="00270D13"/>
    <w:rsid w:val="00270D98"/>
    <w:rsid w:val="00270E1B"/>
    <w:rsid w:val="00270EF5"/>
    <w:rsid w:val="002712AB"/>
    <w:rsid w:val="002713A8"/>
    <w:rsid w:val="002715C1"/>
    <w:rsid w:val="00271B41"/>
    <w:rsid w:val="00272488"/>
    <w:rsid w:val="002731BA"/>
    <w:rsid w:val="00273C67"/>
    <w:rsid w:val="00274111"/>
    <w:rsid w:val="002741F7"/>
    <w:rsid w:val="00274428"/>
    <w:rsid w:val="00274567"/>
    <w:rsid w:val="002747AF"/>
    <w:rsid w:val="00274837"/>
    <w:rsid w:val="00274B5F"/>
    <w:rsid w:val="00275E27"/>
    <w:rsid w:val="00275EF1"/>
    <w:rsid w:val="0027665B"/>
    <w:rsid w:val="00276F16"/>
    <w:rsid w:val="00276FEF"/>
    <w:rsid w:val="0028092A"/>
    <w:rsid w:val="00280B58"/>
    <w:rsid w:val="00280B78"/>
    <w:rsid w:val="00280E3C"/>
    <w:rsid w:val="00281142"/>
    <w:rsid w:val="00281382"/>
    <w:rsid w:val="00281532"/>
    <w:rsid w:val="00281EE2"/>
    <w:rsid w:val="002825B4"/>
    <w:rsid w:val="0028269E"/>
    <w:rsid w:val="002826F2"/>
    <w:rsid w:val="00282CF4"/>
    <w:rsid w:val="00282CF6"/>
    <w:rsid w:val="00282E9C"/>
    <w:rsid w:val="0028310F"/>
    <w:rsid w:val="002832E2"/>
    <w:rsid w:val="00283306"/>
    <w:rsid w:val="002841E3"/>
    <w:rsid w:val="002849B6"/>
    <w:rsid w:val="00284CBC"/>
    <w:rsid w:val="00284E7E"/>
    <w:rsid w:val="002851E2"/>
    <w:rsid w:val="00285366"/>
    <w:rsid w:val="00286357"/>
    <w:rsid w:val="00286AD0"/>
    <w:rsid w:val="00286C62"/>
    <w:rsid w:val="0028703A"/>
    <w:rsid w:val="00287217"/>
    <w:rsid w:val="00287276"/>
    <w:rsid w:val="002876A1"/>
    <w:rsid w:val="002878D8"/>
    <w:rsid w:val="00287ED3"/>
    <w:rsid w:val="0029023B"/>
    <w:rsid w:val="002906F5"/>
    <w:rsid w:val="00290E4D"/>
    <w:rsid w:val="0029114A"/>
    <w:rsid w:val="00291604"/>
    <w:rsid w:val="00291C72"/>
    <w:rsid w:val="00292160"/>
    <w:rsid w:val="00292500"/>
    <w:rsid w:val="00292C63"/>
    <w:rsid w:val="00292DCA"/>
    <w:rsid w:val="00292E80"/>
    <w:rsid w:val="002935A5"/>
    <w:rsid w:val="002939BD"/>
    <w:rsid w:val="00293AE3"/>
    <w:rsid w:val="0029458B"/>
    <w:rsid w:val="00294604"/>
    <w:rsid w:val="002947D6"/>
    <w:rsid w:val="00295462"/>
    <w:rsid w:val="00295524"/>
    <w:rsid w:val="00295A24"/>
    <w:rsid w:val="00295D82"/>
    <w:rsid w:val="00295F48"/>
    <w:rsid w:val="0029606B"/>
    <w:rsid w:val="0029639D"/>
    <w:rsid w:val="00296D04"/>
    <w:rsid w:val="00296E9F"/>
    <w:rsid w:val="00297242"/>
    <w:rsid w:val="00297E5B"/>
    <w:rsid w:val="002A018C"/>
    <w:rsid w:val="002A01CC"/>
    <w:rsid w:val="002A02A7"/>
    <w:rsid w:val="002A053D"/>
    <w:rsid w:val="002A064F"/>
    <w:rsid w:val="002A0C7F"/>
    <w:rsid w:val="002A0D54"/>
    <w:rsid w:val="002A196F"/>
    <w:rsid w:val="002A1AC9"/>
    <w:rsid w:val="002A2150"/>
    <w:rsid w:val="002A2157"/>
    <w:rsid w:val="002A24E4"/>
    <w:rsid w:val="002A2EE9"/>
    <w:rsid w:val="002A3345"/>
    <w:rsid w:val="002A4362"/>
    <w:rsid w:val="002A48FA"/>
    <w:rsid w:val="002A491C"/>
    <w:rsid w:val="002A515E"/>
    <w:rsid w:val="002A578E"/>
    <w:rsid w:val="002A6B57"/>
    <w:rsid w:val="002A74D3"/>
    <w:rsid w:val="002A7834"/>
    <w:rsid w:val="002A7CE6"/>
    <w:rsid w:val="002A7E77"/>
    <w:rsid w:val="002B070C"/>
    <w:rsid w:val="002B072B"/>
    <w:rsid w:val="002B087C"/>
    <w:rsid w:val="002B09CA"/>
    <w:rsid w:val="002B0E5A"/>
    <w:rsid w:val="002B105B"/>
    <w:rsid w:val="002B18DF"/>
    <w:rsid w:val="002B1E58"/>
    <w:rsid w:val="002B206A"/>
    <w:rsid w:val="002B24E7"/>
    <w:rsid w:val="002B26B8"/>
    <w:rsid w:val="002B283D"/>
    <w:rsid w:val="002B293E"/>
    <w:rsid w:val="002B3027"/>
    <w:rsid w:val="002B3A6F"/>
    <w:rsid w:val="002B3B4B"/>
    <w:rsid w:val="002B3C18"/>
    <w:rsid w:val="002B3ED8"/>
    <w:rsid w:val="002B4EC3"/>
    <w:rsid w:val="002B527A"/>
    <w:rsid w:val="002B5D2A"/>
    <w:rsid w:val="002B5D30"/>
    <w:rsid w:val="002B63CD"/>
    <w:rsid w:val="002B66A3"/>
    <w:rsid w:val="002B6AC2"/>
    <w:rsid w:val="002B6BAD"/>
    <w:rsid w:val="002B7815"/>
    <w:rsid w:val="002B782C"/>
    <w:rsid w:val="002B78AF"/>
    <w:rsid w:val="002B78B4"/>
    <w:rsid w:val="002B79B3"/>
    <w:rsid w:val="002B7A2B"/>
    <w:rsid w:val="002B7A57"/>
    <w:rsid w:val="002B7D91"/>
    <w:rsid w:val="002C03DF"/>
    <w:rsid w:val="002C0843"/>
    <w:rsid w:val="002C0AA7"/>
    <w:rsid w:val="002C0B95"/>
    <w:rsid w:val="002C195F"/>
    <w:rsid w:val="002C1F28"/>
    <w:rsid w:val="002C2714"/>
    <w:rsid w:val="002C292F"/>
    <w:rsid w:val="002C29D3"/>
    <w:rsid w:val="002C2C37"/>
    <w:rsid w:val="002C2C8D"/>
    <w:rsid w:val="002C2E9F"/>
    <w:rsid w:val="002C2FD0"/>
    <w:rsid w:val="002C33B1"/>
    <w:rsid w:val="002C41C2"/>
    <w:rsid w:val="002C44CE"/>
    <w:rsid w:val="002C4530"/>
    <w:rsid w:val="002C4725"/>
    <w:rsid w:val="002C4B4D"/>
    <w:rsid w:val="002C4DA1"/>
    <w:rsid w:val="002C4FF2"/>
    <w:rsid w:val="002C50B9"/>
    <w:rsid w:val="002C515C"/>
    <w:rsid w:val="002C549D"/>
    <w:rsid w:val="002C5B00"/>
    <w:rsid w:val="002C5C90"/>
    <w:rsid w:val="002C7546"/>
    <w:rsid w:val="002C760A"/>
    <w:rsid w:val="002C7B26"/>
    <w:rsid w:val="002C7D02"/>
    <w:rsid w:val="002D0894"/>
    <w:rsid w:val="002D0BEB"/>
    <w:rsid w:val="002D1471"/>
    <w:rsid w:val="002D1A79"/>
    <w:rsid w:val="002D1FFF"/>
    <w:rsid w:val="002D20AD"/>
    <w:rsid w:val="002D236C"/>
    <w:rsid w:val="002D2510"/>
    <w:rsid w:val="002D2BFA"/>
    <w:rsid w:val="002D318C"/>
    <w:rsid w:val="002D32D4"/>
    <w:rsid w:val="002D3A0B"/>
    <w:rsid w:val="002D3B21"/>
    <w:rsid w:val="002D4639"/>
    <w:rsid w:val="002D46EC"/>
    <w:rsid w:val="002D4EC3"/>
    <w:rsid w:val="002D545F"/>
    <w:rsid w:val="002D5966"/>
    <w:rsid w:val="002D59D6"/>
    <w:rsid w:val="002D5F2C"/>
    <w:rsid w:val="002D61AC"/>
    <w:rsid w:val="002D6596"/>
    <w:rsid w:val="002D66C6"/>
    <w:rsid w:val="002D727E"/>
    <w:rsid w:val="002D7AB3"/>
    <w:rsid w:val="002E034F"/>
    <w:rsid w:val="002E05C0"/>
    <w:rsid w:val="002E0C4D"/>
    <w:rsid w:val="002E10D3"/>
    <w:rsid w:val="002E1660"/>
    <w:rsid w:val="002E1B86"/>
    <w:rsid w:val="002E1CC6"/>
    <w:rsid w:val="002E2124"/>
    <w:rsid w:val="002E2688"/>
    <w:rsid w:val="002E3826"/>
    <w:rsid w:val="002E3A9C"/>
    <w:rsid w:val="002E3C53"/>
    <w:rsid w:val="002E3CF4"/>
    <w:rsid w:val="002E3F96"/>
    <w:rsid w:val="002E490E"/>
    <w:rsid w:val="002E49B5"/>
    <w:rsid w:val="002E4CFE"/>
    <w:rsid w:val="002E4E5E"/>
    <w:rsid w:val="002E53CA"/>
    <w:rsid w:val="002E5894"/>
    <w:rsid w:val="002E5997"/>
    <w:rsid w:val="002E6078"/>
    <w:rsid w:val="002E61F7"/>
    <w:rsid w:val="002E622E"/>
    <w:rsid w:val="002E6413"/>
    <w:rsid w:val="002E6BD5"/>
    <w:rsid w:val="002E6D67"/>
    <w:rsid w:val="002E7150"/>
    <w:rsid w:val="002E7C95"/>
    <w:rsid w:val="002E7DB7"/>
    <w:rsid w:val="002F010A"/>
    <w:rsid w:val="002F0424"/>
    <w:rsid w:val="002F095E"/>
    <w:rsid w:val="002F0991"/>
    <w:rsid w:val="002F0BF5"/>
    <w:rsid w:val="002F1198"/>
    <w:rsid w:val="002F142A"/>
    <w:rsid w:val="002F148D"/>
    <w:rsid w:val="002F15FD"/>
    <w:rsid w:val="002F1A4D"/>
    <w:rsid w:val="002F1ACD"/>
    <w:rsid w:val="002F201C"/>
    <w:rsid w:val="002F20A8"/>
    <w:rsid w:val="002F276A"/>
    <w:rsid w:val="002F28AA"/>
    <w:rsid w:val="002F41D2"/>
    <w:rsid w:val="002F4281"/>
    <w:rsid w:val="002F4379"/>
    <w:rsid w:val="002F4ABB"/>
    <w:rsid w:val="002F4E9C"/>
    <w:rsid w:val="002F5199"/>
    <w:rsid w:val="002F566F"/>
    <w:rsid w:val="002F60FC"/>
    <w:rsid w:val="002F6ACD"/>
    <w:rsid w:val="002F6ACF"/>
    <w:rsid w:val="002F6B8A"/>
    <w:rsid w:val="002F78EC"/>
    <w:rsid w:val="002F791E"/>
    <w:rsid w:val="002F7AC9"/>
    <w:rsid w:val="002F7CC9"/>
    <w:rsid w:val="003002A6"/>
    <w:rsid w:val="003006B8"/>
    <w:rsid w:val="003009BC"/>
    <w:rsid w:val="00300DF6"/>
    <w:rsid w:val="00301988"/>
    <w:rsid w:val="00301CD7"/>
    <w:rsid w:val="003021EB"/>
    <w:rsid w:val="003028E5"/>
    <w:rsid w:val="00302C17"/>
    <w:rsid w:val="00302C39"/>
    <w:rsid w:val="00302EEC"/>
    <w:rsid w:val="003033CD"/>
    <w:rsid w:val="0030371D"/>
    <w:rsid w:val="00304135"/>
    <w:rsid w:val="0030444E"/>
    <w:rsid w:val="00304B87"/>
    <w:rsid w:val="00305922"/>
    <w:rsid w:val="003060B5"/>
    <w:rsid w:val="00307179"/>
    <w:rsid w:val="003103DD"/>
    <w:rsid w:val="00310410"/>
    <w:rsid w:val="00310578"/>
    <w:rsid w:val="003109C3"/>
    <w:rsid w:val="003111EA"/>
    <w:rsid w:val="003112F8"/>
    <w:rsid w:val="0031136A"/>
    <w:rsid w:val="00311A98"/>
    <w:rsid w:val="00311D20"/>
    <w:rsid w:val="003123AA"/>
    <w:rsid w:val="00312F2F"/>
    <w:rsid w:val="003130B4"/>
    <w:rsid w:val="00313BE2"/>
    <w:rsid w:val="00314665"/>
    <w:rsid w:val="003148A8"/>
    <w:rsid w:val="00314EDB"/>
    <w:rsid w:val="00316265"/>
    <w:rsid w:val="00316E04"/>
    <w:rsid w:val="0031716B"/>
    <w:rsid w:val="003171AF"/>
    <w:rsid w:val="0031752F"/>
    <w:rsid w:val="0031772B"/>
    <w:rsid w:val="003177F8"/>
    <w:rsid w:val="00320A22"/>
    <w:rsid w:val="003212AF"/>
    <w:rsid w:val="00322A41"/>
    <w:rsid w:val="00323D86"/>
    <w:rsid w:val="00324044"/>
    <w:rsid w:val="00324408"/>
    <w:rsid w:val="00324A7F"/>
    <w:rsid w:val="00324ACB"/>
    <w:rsid w:val="00324FE3"/>
    <w:rsid w:val="00325047"/>
    <w:rsid w:val="003258EE"/>
    <w:rsid w:val="00326085"/>
    <w:rsid w:val="00326381"/>
    <w:rsid w:val="00326739"/>
    <w:rsid w:val="00326D73"/>
    <w:rsid w:val="00327117"/>
    <w:rsid w:val="003272CD"/>
    <w:rsid w:val="00327E88"/>
    <w:rsid w:val="00330058"/>
    <w:rsid w:val="00330075"/>
    <w:rsid w:val="003300AF"/>
    <w:rsid w:val="00330890"/>
    <w:rsid w:val="00330E01"/>
    <w:rsid w:val="00330F4B"/>
    <w:rsid w:val="0033243C"/>
    <w:rsid w:val="0033255C"/>
    <w:rsid w:val="0033291B"/>
    <w:rsid w:val="00332BE4"/>
    <w:rsid w:val="00332D82"/>
    <w:rsid w:val="00332DC7"/>
    <w:rsid w:val="00332ED0"/>
    <w:rsid w:val="0033326E"/>
    <w:rsid w:val="00333557"/>
    <w:rsid w:val="00333860"/>
    <w:rsid w:val="0033439B"/>
    <w:rsid w:val="00334859"/>
    <w:rsid w:val="00334A9C"/>
    <w:rsid w:val="00335223"/>
    <w:rsid w:val="003355CC"/>
    <w:rsid w:val="0033642E"/>
    <w:rsid w:val="00336829"/>
    <w:rsid w:val="003368A8"/>
    <w:rsid w:val="003369F8"/>
    <w:rsid w:val="00336E54"/>
    <w:rsid w:val="00337753"/>
    <w:rsid w:val="00337BDA"/>
    <w:rsid w:val="00337D37"/>
    <w:rsid w:val="00337DB6"/>
    <w:rsid w:val="003410EA"/>
    <w:rsid w:val="0034197B"/>
    <w:rsid w:val="00341AB5"/>
    <w:rsid w:val="00341E05"/>
    <w:rsid w:val="003423D0"/>
    <w:rsid w:val="00342724"/>
    <w:rsid w:val="0034276B"/>
    <w:rsid w:val="00342C64"/>
    <w:rsid w:val="00342F76"/>
    <w:rsid w:val="0034322A"/>
    <w:rsid w:val="00343838"/>
    <w:rsid w:val="00343853"/>
    <w:rsid w:val="00343A7B"/>
    <w:rsid w:val="00343D82"/>
    <w:rsid w:val="003444A4"/>
    <w:rsid w:val="00344684"/>
    <w:rsid w:val="00344BA7"/>
    <w:rsid w:val="00345294"/>
    <w:rsid w:val="0034549E"/>
    <w:rsid w:val="003457E3"/>
    <w:rsid w:val="00345B24"/>
    <w:rsid w:val="00345B5F"/>
    <w:rsid w:val="00345C11"/>
    <w:rsid w:val="00345E6F"/>
    <w:rsid w:val="00346DA3"/>
    <w:rsid w:val="00347926"/>
    <w:rsid w:val="00347DF8"/>
    <w:rsid w:val="00347E08"/>
    <w:rsid w:val="0035020F"/>
    <w:rsid w:val="003503C8"/>
    <w:rsid w:val="003508B3"/>
    <w:rsid w:val="00350B1E"/>
    <w:rsid w:val="00350C5A"/>
    <w:rsid w:val="00350CD9"/>
    <w:rsid w:val="0035174B"/>
    <w:rsid w:val="003517A3"/>
    <w:rsid w:val="003518FB"/>
    <w:rsid w:val="00351B8B"/>
    <w:rsid w:val="00351CE5"/>
    <w:rsid w:val="0035206F"/>
    <w:rsid w:val="003525FB"/>
    <w:rsid w:val="003526F7"/>
    <w:rsid w:val="00352AEE"/>
    <w:rsid w:val="003539DA"/>
    <w:rsid w:val="00353A31"/>
    <w:rsid w:val="00353BA1"/>
    <w:rsid w:val="003548A3"/>
    <w:rsid w:val="003551B5"/>
    <w:rsid w:val="003555AB"/>
    <w:rsid w:val="0035673D"/>
    <w:rsid w:val="003578A6"/>
    <w:rsid w:val="003578C2"/>
    <w:rsid w:val="00357D94"/>
    <w:rsid w:val="0036030E"/>
    <w:rsid w:val="0036033C"/>
    <w:rsid w:val="003607C8"/>
    <w:rsid w:val="00360D7D"/>
    <w:rsid w:val="00360E16"/>
    <w:rsid w:val="00360FD2"/>
    <w:rsid w:val="00361362"/>
    <w:rsid w:val="00361806"/>
    <w:rsid w:val="00361A57"/>
    <w:rsid w:val="00361BEE"/>
    <w:rsid w:val="00362590"/>
    <w:rsid w:val="00362DF0"/>
    <w:rsid w:val="00362E6E"/>
    <w:rsid w:val="003632F6"/>
    <w:rsid w:val="003635D6"/>
    <w:rsid w:val="003636CF"/>
    <w:rsid w:val="00363862"/>
    <w:rsid w:val="00363AED"/>
    <w:rsid w:val="00363C17"/>
    <w:rsid w:val="00363D70"/>
    <w:rsid w:val="00364792"/>
    <w:rsid w:val="00364978"/>
    <w:rsid w:val="00364B59"/>
    <w:rsid w:val="00364D49"/>
    <w:rsid w:val="00364EC1"/>
    <w:rsid w:val="0036586D"/>
    <w:rsid w:val="00366669"/>
    <w:rsid w:val="003671B1"/>
    <w:rsid w:val="003672EB"/>
    <w:rsid w:val="00367455"/>
    <w:rsid w:val="0036769C"/>
    <w:rsid w:val="00367BBA"/>
    <w:rsid w:val="0037021D"/>
    <w:rsid w:val="00370FAD"/>
    <w:rsid w:val="003713AC"/>
    <w:rsid w:val="00371508"/>
    <w:rsid w:val="00371DE4"/>
    <w:rsid w:val="00372C87"/>
    <w:rsid w:val="0037369E"/>
    <w:rsid w:val="0037383C"/>
    <w:rsid w:val="003740A0"/>
    <w:rsid w:val="00374747"/>
    <w:rsid w:val="003749BA"/>
    <w:rsid w:val="00374D6A"/>
    <w:rsid w:val="00375299"/>
    <w:rsid w:val="0037551B"/>
    <w:rsid w:val="00375C32"/>
    <w:rsid w:val="00375F6F"/>
    <w:rsid w:val="00375FFF"/>
    <w:rsid w:val="0037642B"/>
    <w:rsid w:val="00376C75"/>
    <w:rsid w:val="00376DE4"/>
    <w:rsid w:val="00376FC4"/>
    <w:rsid w:val="00376FFB"/>
    <w:rsid w:val="00377A3D"/>
    <w:rsid w:val="003806B1"/>
    <w:rsid w:val="003807DD"/>
    <w:rsid w:val="00380A55"/>
    <w:rsid w:val="00380B6D"/>
    <w:rsid w:val="003818A9"/>
    <w:rsid w:val="0038238A"/>
    <w:rsid w:val="003823F5"/>
    <w:rsid w:val="0038241D"/>
    <w:rsid w:val="00382964"/>
    <w:rsid w:val="00383328"/>
    <w:rsid w:val="003834FE"/>
    <w:rsid w:val="003835AE"/>
    <w:rsid w:val="00383731"/>
    <w:rsid w:val="00383A7E"/>
    <w:rsid w:val="00383F0F"/>
    <w:rsid w:val="0038526F"/>
    <w:rsid w:val="003859D6"/>
    <w:rsid w:val="0038690F"/>
    <w:rsid w:val="0038734D"/>
    <w:rsid w:val="00387376"/>
    <w:rsid w:val="00387589"/>
    <w:rsid w:val="003877F0"/>
    <w:rsid w:val="0038798E"/>
    <w:rsid w:val="003903AE"/>
    <w:rsid w:val="0039083F"/>
    <w:rsid w:val="0039090F"/>
    <w:rsid w:val="00390AEE"/>
    <w:rsid w:val="00390E43"/>
    <w:rsid w:val="00391A89"/>
    <w:rsid w:val="00391B18"/>
    <w:rsid w:val="00392542"/>
    <w:rsid w:val="00392988"/>
    <w:rsid w:val="00392E78"/>
    <w:rsid w:val="00392E7A"/>
    <w:rsid w:val="00392F8E"/>
    <w:rsid w:val="00393BAB"/>
    <w:rsid w:val="00394070"/>
    <w:rsid w:val="00394622"/>
    <w:rsid w:val="00394CC8"/>
    <w:rsid w:val="00394DA6"/>
    <w:rsid w:val="00394DD2"/>
    <w:rsid w:val="00395499"/>
    <w:rsid w:val="00396172"/>
    <w:rsid w:val="00396787"/>
    <w:rsid w:val="0039678C"/>
    <w:rsid w:val="00396C0C"/>
    <w:rsid w:val="0039708D"/>
    <w:rsid w:val="00397441"/>
    <w:rsid w:val="003A0CC0"/>
    <w:rsid w:val="003A10A6"/>
    <w:rsid w:val="003A155F"/>
    <w:rsid w:val="003A1B17"/>
    <w:rsid w:val="003A2308"/>
    <w:rsid w:val="003A2BEF"/>
    <w:rsid w:val="003A353A"/>
    <w:rsid w:val="003A372C"/>
    <w:rsid w:val="003A3AF4"/>
    <w:rsid w:val="003A3D25"/>
    <w:rsid w:val="003A410A"/>
    <w:rsid w:val="003A4227"/>
    <w:rsid w:val="003A4596"/>
    <w:rsid w:val="003A530B"/>
    <w:rsid w:val="003A592A"/>
    <w:rsid w:val="003A5BCE"/>
    <w:rsid w:val="003A5BF7"/>
    <w:rsid w:val="003A5C45"/>
    <w:rsid w:val="003A5EA2"/>
    <w:rsid w:val="003A621E"/>
    <w:rsid w:val="003A6534"/>
    <w:rsid w:val="003A65DC"/>
    <w:rsid w:val="003A681C"/>
    <w:rsid w:val="003A734E"/>
    <w:rsid w:val="003A7402"/>
    <w:rsid w:val="003A7C04"/>
    <w:rsid w:val="003A7C40"/>
    <w:rsid w:val="003B041F"/>
    <w:rsid w:val="003B140B"/>
    <w:rsid w:val="003B16C0"/>
    <w:rsid w:val="003B19F0"/>
    <w:rsid w:val="003B1FA9"/>
    <w:rsid w:val="003B2080"/>
    <w:rsid w:val="003B2358"/>
    <w:rsid w:val="003B2633"/>
    <w:rsid w:val="003B2712"/>
    <w:rsid w:val="003B3027"/>
    <w:rsid w:val="003B32DE"/>
    <w:rsid w:val="003B3B20"/>
    <w:rsid w:val="003B401A"/>
    <w:rsid w:val="003B49CF"/>
    <w:rsid w:val="003B4B6C"/>
    <w:rsid w:val="003B4DA1"/>
    <w:rsid w:val="003B5EED"/>
    <w:rsid w:val="003B614E"/>
    <w:rsid w:val="003B627D"/>
    <w:rsid w:val="003B6417"/>
    <w:rsid w:val="003B6FA4"/>
    <w:rsid w:val="003B7A68"/>
    <w:rsid w:val="003B7B88"/>
    <w:rsid w:val="003B7E6D"/>
    <w:rsid w:val="003B7FD8"/>
    <w:rsid w:val="003C003D"/>
    <w:rsid w:val="003C02BB"/>
    <w:rsid w:val="003C0DA0"/>
    <w:rsid w:val="003C0EF8"/>
    <w:rsid w:val="003C13A2"/>
    <w:rsid w:val="003C1713"/>
    <w:rsid w:val="003C18E5"/>
    <w:rsid w:val="003C1903"/>
    <w:rsid w:val="003C1ECB"/>
    <w:rsid w:val="003C2404"/>
    <w:rsid w:val="003C255A"/>
    <w:rsid w:val="003C258C"/>
    <w:rsid w:val="003C25BF"/>
    <w:rsid w:val="003C25C9"/>
    <w:rsid w:val="003C2771"/>
    <w:rsid w:val="003C27E3"/>
    <w:rsid w:val="003C2874"/>
    <w:rsid w:val="003C2C0D"/>
    <w:rsid w:val="003C2FB4"/>
    <w:rsid w:val="003C340A"/>
    <w:rsid w:val="003C4474"/>
    <w:rsid w:val="003C46CE"/>
    <w:rsid w:val="003C5281"/>
    <w:rsid w:val="003C5A71"/>
    <w:rsid w:val="003C5B74"/>
    <w:rsid w:val="003C5BA0"/>
    <w:rsid w:val="003C5FF3"/>
    <w:rsid w:val="003C6A35"/>
    <w:rsid w:val="003C6AB9"/>
    <w:rsid w:val="003C6B50"/>
    <w:rsid w:val="003C760A"/>
    <w:rsid w:val="003C766D"/>
    <w:rsid w:val="003C7A70"/>
    <w:rsid w:val="003C7BF5"/>
    <w:rsid w:val="003C7DDF"/>
    <w:rsid w:val="003D0410"/>
    <w:rsid w:val="003D045F"/>
    <w:rsid w:val="003D063A"/>
    <w:rsid w:val="003D0A08"/>
    <w:rsid w:val="003D0CBE"/>
    <w:rsid w:val="003D169D"/>
    <w:rsid w:val="003D16C8"/>
    <w:rsid w:val="003D188A"/>
    <w:rsid w:val="003D1C50"/>
    <w:rsid w:val="003D2331"/>
    <w:rsid w:val="003D32CC"/>
    <w:rsid w:val="003D36C2"/>
    <w:rsid w:val="003D3B99"/>
    <w:rsid w:val="003D3C1C"/>
    <w:rsid w:val="003D3CD6"/>
    <w:rsid w:val="003D4477"/>
    <w:rsid w:val="003D4668"/>
    <w:rsid w:val="003D4A88"/>
    <w:rsid w:val="003D4D9A"/>
    <w:rsid w:val="003D4EDE"/>
    <w:rsid w:val="003D4FDD"/>
    <w:rsid w:val="003D54DB"/>
    <w:rsid w:val="003D5536"/>
    <w:rsid w:val="003D68EF"/>
    <w:rsid w:val="003D6F31"/>
    <w:rsid w:val="003D6F8A"/>
    <w:rsid w:val="003D7239"/>
    <w:rsid w:val="003D7C90"/>
    <w:rsid w:val="003D7D45"/>
    <w:rsid w:val="003D7E29"/>
    <w:rsid w:val="003E0076"/>
    <w:rsid w:val="003E052F"/>
    <w:rsid w:val="003E082C"/>
    <w:rsid w:val="003E09F0"/>
    <w:rsid w:val="003E1580"/>
    <w:rsid w:val="003E1C35"/>
    <w:rsid w:val="003E286A"/>
    <w:rsid w:val="003E2B36"/>
    <w:rsid w:val="003E2D3B"/>
    <w:rsid w:val="003E308B"/>
    <w:rsid w:val="003E313B"/>
    <w:rsid w:val="003E32E0"/>
    <w:rsid w:val="003E33B4"/>
    <w:rsid w:val="003E3538"/>
    <w:rsid w:val="003E3930"/>
    <w:rsid w:val="003E3E62"/>
    <w:rsid w:val="003E52FC"/>
    <w:rsid w:val="003E5822"/>
    <w:rsid w:val="003E6396"/>
    <w:rsid w:val="003E6E11"/>
    <w:rsid w:val="003E6EBE"/>
    <w:rsid w:val="003E7AE2"/>
    <w:rsid w:val="003F0179"/>
    <w:rsid w:val="003F08B3"/>
    <w:rsid w:val="003F0BCA"/>
    <w:rsid w:val="003F154B"/>
    <w:rsid w:val="003F1D07"/>
    <w:rsid w:val="003F2608"/>
    <w:rsid w:val="003F3DCC"/>
    <w:rsid w:val="003F4E26"/>
    <w:rsid w:val="003F4EE5"/>
    <w:rsid w:val="003F5470"/>
    <w:rsid w:val="003F55A6"/>
    <w:rsid w:val="003F5667"/>
    <w:rsid w:val="003F573F"/>
    <w:rsid w:val="003F5815"/>
    <w:rsid w:val="003F584C"/>
    <w:rsid w:val="003F61EA"/>
    <w:rsid w:val="003F6CCA"/>
    <w:rsid w:val="003F6DF0"/>
    <w:rsid w:val="003F70EA"/>
    <w:rsid w:val="003F7114"/>
    <w:rsid w:val="003F71C1"/>
    <w:rsid w:val="003F729E"/>
    <w:rsid w:val="003F76DE"/>
    <w:rsid w:val="003F76F7"/>
    <w:rsid w:val="003F7820"/>
    <w:rsid w:val="003F7A3C"/>
    <w:rsid w:val="003F7CDE"/>
    <w:rsid w:val="004008A3"/>
    <w:rsid w:val="004008E4"/>
    <w:rsid w:val="00401523"/>
    <w:rsid w:val="00401D42"/>
    <w:rsid w:val="00401E64"/>
    <w:rsid w:val="0040296B"/>
    <w:rsid w:val="00402B59"/>
    <w:rsid w:val="00402C8F"/>
    <w:rsid w:val="00402D28"/>
    <w:rsid w:val="00402D4D"/>
    <w:rsid w:val="0040375E"/>
    <w:rsid w:val="00403C64"/>
    <w:rsid w:val="00403D59"/>
    <w:rsid w:val="004047D8"/>
    <w:rsid w:val="00404A64"/>
    <w:rsid w:val="00404E51"/>
    <w:rsid w:val="00405906"/>
    <w:rsid w:val="00405A24"/>
    <w:rsid w:val="004063EC"/>
    <w:rsid w:val="004067B4"/>
    <w:rsid w:val="00406A9D"/>
    <w:rsid w:val="00406CCA"/>
    <w:rsid w:val="00406DA9"/>
    <w:rsid w:val="00407785"/>
    <w:rsid w:val="00410520"/>
    <w:rsid w:val="00410583"/>
    <w:rsid w:val="004113AA"/>
    <w:rsid w:val="00411802"/>
    <w:rsid w:val="00411C85"/>
    <w:rsid w:val="00411EF1"/>
    <w:rsid w:val="00412372"/>
    <w:rsid w:val="004125F1"/>
    <w:rsid w:val="00412650"/>
    <w:rsid w:val="00412F13"/>
    <w:rsid w:val="004133B4"/>
    <w:rsid w:val="00413E2B"/>
    <w:rsid w:val="004146B2"/>
    <w:rsid w:val="00414FD2"/>
    <w:rsid w:val="004150D5"/>
    <w:rsid w:val="0041597B"/>
    <w:rsid w:val="00415A47"/>
    <w:rsid w:val="00415A91"/>
    <w:rsid w:val="0041605D"/>
    <w:rsid w:val="00416369"/>
    <w:rsid w:val="00417FC5"/>
    <w:rsid w:val="00420DA4"/>
    <w:rsid w:val="00420FEE"/>
    <w:rsid w:val="00421C7C"/>
    <w:rsid w:val="00421DB0"/>
    <w:rsid w:val="004220C1"/>
    <w:rsid w:val="004223EF"/>
    <w:rsid w:val="00422662"/>
    <w:rsid w:val="004226CF"/>
    <w:rsid w:val="004228E2"/>
    <w:rsid w:val="0042291C"/>
    <w:rsid w:val="00422E0E"/>
    <w:rsid w:val="00423113"/>
    <w:rsid w:val="004232D8"/>
    <w:rsid w:val="0042350D"/>
    <w:rsid w:val="004235C8"/>
    <w:rsid w:val="00423CB1"/>
    <w:rsid w:val="00423D9D"/>
    <w:rsid w:val="00423DE5"/>
    <w:rsid w:val="00423FAB"/>
    <w:rsid w:val="004246C9"/>
    <w:rsid w:val="0042476C"/>
    <w:rsid w:val="00424B1D"/>
    <w:rsid w:val="00424C81"/>
    <w:rsid w:val="00424CA9"/>
    <w:rsid w:val="0042524E"/>
    <w:rsid w:val="0042573A"/>
    <w:rsid w:val="00425DF4"/>
    <w:rsid w:val="0042618B"/>
    <w:rsid w:val="0042631E"/>
    <w:rsid w:val="00426561"/>
    <w:rsid w:val="004267DB"/>
    <w:rsid w:val="004268B9"/>
    <w:rsid w:val="00426934"/>
    <w:rsid w:val="00426E56"/>
    <w:rsid w:val="00426E61"/>
    <w:rsid w:val="00426FE9"/>
    <w:rsid w:val="00427120"/>
    <w:rsid w:val="004275ED"/>
    <w:rsid w:val="0042772E"/>
    <w:rsid w:val="00427859"/>
    <w:rsid w:val="00427C86"/>
    <w:rsid w:val="00427D0D"/>
    <w:rsid w:val="00430237"/>
    <w:rsid w:val="00430623"/>
    <w:rsid w:val="00431108"/>
    <w:rsid w:val="0043147A"/>
    <w:rsid w:val="00431756"/>
    <w:rsid w:val="00431A85"/>
    <w:rsid w:val="00431BE4"/>
    <w:rsid w:val="00431D8C"/>
    <w:rsid w:val="00431E28"/>
    <w:rsid w:val="004322A8"/>
    <w:rsid w:val="00432FEF"/>
    <w:rsid w:val="00433446"/>
    <w:rsid w:val="004349D3"/>
    <w:rsid w:val="00435253"/>
    <w:rsid w:val="004355BD"/>
    <w:rsid w:val="0043560B"/>
    <w:rsid w:val="0043666F"/>
    <w:rsid w:val="00436B88"/>
    <w:rsid w:val="00437057"/>
    <w:rsid w:val="0043737E"/>
    <w:rsid w:val="00437430"/>
    <w:rsid w:val="004400C7"/>
    <w:rsid w:val="00440323"/>
    <w:rsid w:val="00440A03"/>
    <w:rsid w:val="00440D18"/>
    <w:rsid w:val="004411D1"/>
    <w:rsid w:val="004415D9"/>
    <w:rsid w:val="00441922"/>
    <w:rsid w:val="00441924"/>
    <w:rsid w:val="004420AD"/>
    <w:rsid w:val="004424C3"/>
    <w:rsid w:val="00442992"/>
    <w:rsid w:val="00442D93"/>
    <w:rsid w:val="004431DF"/>
    <w:rsid w:val="00443225"/>
    <w:rsid w:val="00443F84"/>
    <w:rsid w:val="0044457B"/>
    <w:rsid w:val="00444747"/>
    <w:rsid w:val="0044481B"/>
    <w:rsid w:val="00444825"/>
    <w:rsid w:val="00444FD2"/>
    <w:rsid w:val="0044592D"/>
    <w:rsid w:val="00445978"/>
    <w:rsid w:val="00445DE2"/>
    <w:rsid w:val="00445F91"/>
    <w:rsid w:val="0044603C"/>
    <w:rsid w:val="00446623"/>
    <w:rsid w:val="00446657"/>
    <w:rsid w:val="00446BCB"/>
    <w:rsid w:val="00446CCF"/>
    <w:rsid w:val="00450C4A"/>
    <w:rsid w:val="00450D00"/>
    <w:rsid w:val="00451064"/>
    <w:rsid w:val="00451297"/>
    <w:rsid w:val="00452212"/>
    <w:rsid w:val="004523FE"/>
    <w:rsid w:val="00452969"/>
    <w:rsid w:val="00452999"/>
    <w:rsid w:val="0045304D"/>
    <w:rsid w:val="00453198"/>
    <w:rsid w:val="004533DF"/>
    <w:rsid w:val="00453E50"/>
    <w:rsid w:val="004540CF"/>
    <w:rsid w:val="0045427B"/>
    <w:rsid w:val="004544F2"/>
    <w:rsid w:val="004549C7"/>
    <w:rsid w:val="00454F04"/>
    <w:rsid w:val="00454F93"/>
    <w:rsid w:val="004552E4"/>
    <w:rsid w:val="00455355"/>
    <w:rsid w:val="0045603F"/>
    <w:rsid w:val="00457392"/>
    <w:rsid w:val="00457568"/>
    <w:rsid w:val="004576EB"/>
    <w:rsid w:val="00457928"/>
    <w:rsid w:val="0046016D"/>
    <w:rsid w:val="0046024D"/>
    <w:rsid w:val="004606C0"/>
    <w:rsid w:val="00460E38"/>
    <w:rsid w:val="00460F79"/>
    <w:rsid w:val="00460FB3"/>
    <w:rsid w:val="0046131F"/>
    <w:rsid w:val="004618A7"/>
    <w:rsid w:val="00461AEE"/>
    <w:rsid w:val="00461C0A"/>
    <w:rsid w:val="0046290D"/>
    <w:rsid w:val="00462B73"/>
    <w:rsid w:val="00462C75"/>
    <w:rsid w:val="00462F15"/>
    <w:rsid w:val="004631AE"/>
    <w:rsid w:val="0046351F"/>
    <w:rsid w:val="00463520"/>
    <w:rsid w:val="0046388E"/>
    <w:rsid w:val="00463918"/>
    <w:rsid w:val="00464D69"/>
    <w:rsid w:val="00464D7D"/>
    <w:rsid w:val="0046575A"/>
    <w:rsid w:val="0046594B"/>
    <w:rsid w:val="00465D2E"/>
    <w:rsid w:val="0046676B"/>
    <w:rsid w:val="004668B8"/>
    <w:rsid w:val="004668DD"/>
    <w:rsid w:val="00466CD3"/>
    <w:rsid w:val="004673F1"/>
    <w:rsid w:val="004679BB"/>
    <w:rsid w:val="00467A8F"/>
    <w:rsid w:val="00467F70"/>
    <w:rsid w:val="00470040"/>
    <w:rsid w:val="00470419"/>
    <w:rsid w:val="004706E5"/>
    <w:rsid w:val="004717AA"/>
    <w:rsid w:val="00471FE5"/>
    <w:rsid w:val="00472116"/>
    <w:rsid w:val="0047377E"/>
    <w:rsid w:val="0047394F"/>
    <w:rsid w:val="004739BE"/>
    <w:rsid w:val="004743EB"/>
    <w:rsid w:val="0047461E"/>
    <w:rsid w:val="00474969"/>
    <w:rsid w:val="00474FCE"/>
    <w:rsid w:val="004753AD"/>
    <w:rsid w:val="00475737"/>
    <w:rsid w:val="00475AD8"/>
    <w:rsid w:val="004767AA"/>
    <w:rsid w:val="00476E44"/>
    <w:rsid w:val="00477DA2"/>
    <w:rsid w:val="00477E38"/>
    <w:rsid w:val="00480A86"/>
    <w:rsid w:val="00480DB9"/>
    <w:rsid w:val="00480EB4"/>
    <w:rsid w:val="00480F4E"/>
    <w:rsid w:val="00481205"/>
    <w:rsid w:val="004812AD"/>
    <w:rsid w:val="004813D6"/>
    <w:rsid w:val="004832D9"/>
    <w:rsid w:val="00483302"/>
    <w:rsid w:val="00483766"/>
    <w:rsid w:val="00483C67"/>
    <w:rsid w:val="00483CAF"/>
    <w:rsid w:val="00483CC5"/>
    <w:rsid w:val="00483DE9"/>
    <w:rsid w:val="00483E1C"/>
    <w:rsid w:val="0048423B"/>
    <w:rsid w:val="00484363"/>
    <w:rsid w:val="004843C4"/>
    <w:rsid w:val="00484C38"/>
    <w:rsid w:val="00484E8A"/>
    <w:rsid w:val="004850F3"/>
    <w:rsid w:val="00486490"/>
    <w:rsid w:val="00486B47"/>
    <w:rsid w:val="00486E1D"/>
    <w:rsid w:val="00486FEE"/>
    <w:rsid w:val="0048771F"/>
    <w:rsid w:val="004878B0"/>
    <w:rsid w:val="004904DC"/>
    <w:rsid w:val="0049070B"/>
    <w:rsid w:val="00490BBA"/>
    <w:rsid w:val="00490F01"/>
    <w:rsid w:val="00491156"/>
    <w:rsid w:val="00491195"/>
    <w:rsid w:val="004914DE"/>
    <w:rsid w:val="004916F2"/>
    <w:rsid w:val="004919F3"/>
    <w:rsid w:val="00492A9B"/>
    <w:rsid w:val="00492D78"/>
    <w:rsid w:val="00492F2B"/>
    <w:rsid w:val="0049369F"/>
    <w:rsid w:val="00493B3A"/>
    <w:rsid w:val="00493DA3"/>
    <w:rsid w:val="0049447A"/>
    <w:rsid w:val="004949D1"/>
    <w:rsid w:val="00494D9D"/>
    <w:rsid w:val="00494DAD"/>
    <w:rsid w:val="00495635"/>
    <w:rsid w:val="00495C26"/>
    <w:rsid w:val="00496727"/>
    <w:rsid w:val="00496860"/>
    <w:rsid w:val="004972E1"/>
    <w:rsid w:val="0049750C"/>
    <w:rsid w:val="00497DFE"/>
    <w:rsid w:val="00497F50"/>
    <w:rsid w:val="004A09D6"/>
    <w:rsid w:val="004A0DBC"/>
    <w:rsid w:val="004A1047"/>
    <w:rsid w:val="004A26F8"/>
    <w:rsid w:val="004A27B9"/>
    <w:rsid w:val="004A2B32"/>
    <w:rsid w:val="004A2B90"/>
    <w:rsid w:val="004A2E77"/>
    <w:rsid w:val="004A4012"/>
    <w:rsid w:val="004A4042"/>
    <w:rsid w:val="004A4444"/>
    <w:rsid w:val="004A448D"/>
    <w:rsid w:val="004A45BD"/>
    <w:rsid w:val="004A45C8"/>
    <w:rsid w:val="004A48A0"/>
    <w:rsid w:val="004A4DB8"/>
    <w:rsid w:val="004A5A2C"/>
    <w:rsid w:val="004A6302"/>
    <w:rsid w:val="004A67ED"/>
    <w:rsid w:val="004A67F8"/>
    <w:rsid w:val="004A747F"/>
    <w:rsid w:val="004A7942"/>
    <w:rsid w:val="004B0671"/>
    <w:rsid w:val="004B1225"/>
    <w:rsid w:val="004B1464"/>
    <w:rsid w:val="004B178E"/>
    <w:rsid w:val="004B18BF"/>
    <w:rsid w:val="004B2190"/>
    <w:rsid w:val="004B21A0"/>
    <w:rsid w:val="004B2393"/>
    <w:rsid w:val="004B2F63"/>
    <w:rsid w:val="004B44E8"/>
    <w:rsid w:val="004B4F9F"/>
    <w:rsid w:val="004B5157"/>
    <w:rsid w:val="004B52CB"/>
    <w:rsid w:val="004B54CE"/>
    <w:rsid w:val="004B59E3"/>
    <w:rsid w:val="004B5D80"/>
    <w:rsid w:val="004B63A5"/>
    <w:rsid w:val="004B6EEB"/>
    <w:rsid w:val="004C052F"/>
    <w:rsid w:val="004C0B31"/>
    <w:rsid w:val="004C1521"/>
    <w:rsid w:val="004C1B1D"/>
    <w:rsid w:val="004C1D0F"/>
    <w:rsid w:val="004C1DFD"/>
    <w:rsid w:val="004C2602"/>
    <w:rsid w:val="004C2638"/>
    <w:rsid w:val="004C2EED"/>
    <w:rsid w:val="004C3336"/>
    <w:rsid w:val="004C35DA"/>
    <w:rsid w:val="004C36B5"/>
    <w:rsid w:val="004C3C58"/>
    <w:rsid w:val="004C46D1"/>
    <w:rsid w:val="004C46FC"/>
    <w:rsid w:val="004C4ABB"/>
    <w:rsid w:val="004C4E4B"/>
    <w:rsid w:val="004C4EEC"/>
    <w:rsid w:val="004C5F55"/>
    <w:rsid w:val="004C6027"/>
    <w:rsid w:val="004C633D"/>
    <w:rsid w:val="004C645A"/>
    <w:rsid w:val="004C660D"/>
    <w:rsid w:val="004C66C9"/>
    <w:rsid w:val="004C69EE"/>
    <w:rsid w:val="004C7EC7"/>
    <w:rsid w:val="004D0316"/>
    <w:rsid w:val="004D0435"/>
    <w:rsid w:val="004D103C"/>
    <w:rsid w:val="004D10C4"/>
    <w:rsid w:val="004D13D9"/>
    <w:rsid w:val="004D181B"/>
    <w:rsid w:val="004D2434"/>
    <w:rsid w:val="004D25B2"/>
    <w:rsid w:val="004D2819"/>
    <w:rsid w:val="004D2AD3"/>
    <w:rsid w:val="004D2AF7"/>
    <w:rsid w:val="004D2D66"/>
    <w:rsid w:val="004D33C6"/>
    <w:rsid w:val="004D496C"/>
    <w:rsid w:val="004D4A45"/>
    <w:rsid w:val="004D4B16"/>
    <w:rsid w:val="004D5678"/>
    <w:rsid w:val="004D5787"/>
    <w:rsid w:val="004D5E08"/>
    <w:rsid w:val="004D604E"/>
    <w:rsid w:val="004D6186"/>
    <w:rsid w:val="004D6215"/>
    <w:rsid w:val="004D644A"/>
    <w:rsid w:val="004D6604"/>
    <w:rsid w:val="004D6802"/>
    <w:rsid w:val="004D68AE"/>
    <w:rsid w:val="004D6909"/>
    <w:rsid w:val="004D6B89"/>
    <w:rsid w:val="004D6BB5"/>
    <w:rsid w:val="004D6C41"/>
    <w:rsid w:val="004D75E3"/>
    <w:rsid w:val="004D7A5D"/>
    <w:rsid w:val="004D7D7C"/>
    <w:rsid w:val="004E0341"/>
    <w:rsid w:val="004E0F0B"/>
    <w:rsid w:val="004E13A9"/>
    <w:rsid w:val="004E1823"/>
    <w:rsid w:val="004E1B16"/>
    <w:rsid w:val="004E1B7D"/>
    <w:rsid w:val="004E236F"/>
    <w:rsid w:val="004E24DC"/>
    <w:rsid w:val="004E3043"/>
    <w:rsid w:val="004E327F"/>
    <w:rsid w:val="004E3324"/>
    <w:rsid w:val="004E435C"/>
    <w:rsid w:val="004E4EBC"/>
    <w:rsid w:val="004E5008"/>
    <w:rsid w:val="004E5564"/>
    <w:rsid w:val="004E5609"/>
    <w:rsid w:val="004E5673"/>
    <w:rsid w:val="004E63BD"/>
    <w:rsid w:val="004E63DF"/>
    <w:rsid w:val="004E679E"/>
    <w:rsid w:val="004E7236"/>
    <w:rsid w:val="004E776E"/>
    <w:rsid w:val="004E7817"/>
    <w:rsid w:val="004F0060"/>
    <w:rsid w:val="004F03C1"/>
    <w:rsid w:val="004F03D3"/>
    <w:rsid w:val="004F0494"/>
    <w:rsid w:val="004F05A0"/>
    <w:rsid w:val="004F088B"/>
    <w:rsid w:val="004F0D10"/>
    <w:rsid w:val="004F0F56"/>
    <w:rsid w:val="004F149B"/>
    <w:rsid w:val="004F1A01"/>
    <w:rsid w:val="004F1D55"/>
    <w:rsid w:val="004F2291"/>
    <w:rsid w:val="004F27E4"/>
    <w:rsid w:val="004F2C41"/>
    <w:rsid w:val="004F449C"/>
    <w:rsid w:val="004F4D3D"/>
    <w:rsid w:val="004F5703"/>
    <w:rsid w:val="004F5BD7"/>
    <w:rsid w:val="004F5DA9"/>
    <w:rsid w:val="004F5F94"/>
    <w:rsid w:val="004F60FB"/>
    <w:rsid w:val="004F6159"/>
    <w:rsid w:val="004F619C"/>
    <w:rsid w:val="004F6BB1"/>
    <w:rsid w:val="004F7086"/>
    <w:rsid w:val="004F71D8"/>
    <w:rsid w:val="004F7308"/>
    <w:rsid w:val="004F7562"/>
    <w:rsid w:val="004F7602"/>
    <w:rsid w:val="004F7A6E"/>
    <w:rsid w:val="004F7B2D"/>
    <w:rsid w:val="005000E6"/>
    <w:rsid w:val="005001C6"/>
    <w:rsid w:val="0050044F"/>
    <w:rsid w:val="005006C1"/>
    <w:rsid w:val="00500C70"/>
    <w:rsid w:val="005010B4"/>
    <w:rsid w:val="0050198D"/>
    <w:rsid w:val="005024F7"/>
    <w:rsid w:val="00502675"/>
    <w:rsid w:val="00502841"/>
    <w:rsid w:val="00502BB5"/>
    <w:rsid w:val="00502C1F"/>
    <w:rsid w:val="00503384"/>
    <w:rsid w:val="005035B2"/>
    <w:rsid w:val="00503700"/>
    <w:rsid w:val="00503A64"/>
    <w:rsid w:val="005043F2"/>
    <w:rsid w:val="00504CA3"/>
    <w:rsid w:val="00504E4F"/>
    <w:rsid w:val="005051FA"/>
    <w:rsid w:val="005057A9"/>
    <w:rsid w:val="00505BE5"/>
    <w:rsid w:val="00505EF0"/>
    <w:rsid w:val="00505FF2"/>
    <w:rsid w:val="005062EF"/>
    <w:rsid w:val="0050684C"/>
    <w:rsid w:val="00506F55"/>
    <w:rsid w:val="00507184"/>
    <w:rsid w:val="00507B07"/>
    <w:rsid w:val="00507C47"/>
    <w:rsid w:val="00507D35"/>
    <w:rsid w:val="005103E3"/>
    <w:rsid w:val="00510F46"/>
    <w:rsid w:val="005111DA"/>
    <w:rsid w:val="00511A85"/>
    <w:rsid w:val="005120E1"/>
    <w:rsid w:val="00512376"/>
    <w:rsid w:val="00512998"/>
    <w:rsid w:val="0051322B"/>
    <w:rsid w:val="00514130"/>
    <w:rsid w:val="00514384"/>
    <w:rsid w:val="00514402"/>
    <w:rsid w:val="00514433"/>
    <w:rsid w:val="00514D2C"/>
    <w:rsid w:val="00515C34"/>
    <w:rsid w:val="0051631C"/>
    <w:rsid w:val="00517106"/>
    <w:rsid w:val="00517211"/>
    <w:rsid w:val="005177B2"/>
    <w:rsid w:val="00517A0C"/>
    <w:rsid w:val="00517ADC"/>
    <w:rsid w:val="00517B84"/>
    <w:rsid w:val="00520156"/>
    <w:rsid w:val="005201B7"/>
    <w:rsid w:val="0052026F"/>
    <w:rsid w:val="0052044D"/>
    <w:rsid w:val="005208D9"/>
    <w:rsid w:val="00520A9E"/>
    <w:rsid w:val="00521353"/>
    <w:rsid w:val="005214F3"/>
    <w:rsid w:val="00522664"/>
    <w:rsid w:val="00522912"/>
    <w:rsid w:val="00522AC3"/>
    <w:rsid w:val="00522C7B"/>
    <w:rsid w:val="00522E4C"/>
    <w:rsid w:val="00522EF0"/>
    <w:rsid w:val="00523BC8"/>
    <w:rsid w:val="00523E9D"/>
    <w:rsid w:val="005240A5"/>
    <w:rsid w:val="00524D5C"/>
    <w:rsid w:val="0052549C"/>
    <w:rsid w:val="005258CD"/>
    <w:rsid w:val="00525A74"/>
    <w:rsid w:val="005260D8"/>
    <w:rsid w:val="0052614D"/>
    <w:rsid w:val="00526B47"/>
    <w:rsid w:val="00526E50"/>
    <w:rsid w:val="00527351"/>
    <w:rsid w:val="0052756A"/>
    <w:rsid w:val="00527823"/>
    <w:rsid w:val="00527FEE"/>
    <w:rsid w:val="00530DCA"/>
    <w:rsid w:val="0053156E"/>
    <w:rsid w:val="005318FF"/>
    <w:rsid w:val="00531B0B"/>
    <w:rsid w:val="005321AB"/>
    <w:rsid w:val="005321EC"/>
    <w:rsid w:val="0053254F"/>
    <w:rsid w:val="005326B7"/>
    <w:rsid w:val="0053278A"/>
    <w:rsid w:val="0053280A"/>
    <w:rsid w:val="00532A8E"/>
    <w:rsid w:val="00532CA0"/>
    <w:rsid w:val="00532D5B"/>
    <w:rsid w:val="005330AF"/>
    <w:rsid w:val="0053384D"/>
    <w:rsid w:val="005339C2"/>
    <w:rsid w:val="00533CB7"/>
    <w:rsid w:val="005341C0"/>
    <w:rsid w:val="00534792"/>
    <w:rsid w:val="005347A7"/>
    <w:rsid w:val="00534F0A"/>
    <w:rsid w:val="0053536A"/>
    <w:rsid w:val="00535468"/>
    <w:rsid w:val="00535610"/>
    <w:rsid w:val="00535B18"/>
    <w:rsid w:val="00535BD8"/>
    <w:rsid w:val="005360F0"/>
    <w:rsid w:val="00536106"/>
    <w:rsid w:val="005362C9"/>
    <w:rsid w:val="00536331"/>
    <w:rsid w:val="00536AA3"/>
    <w:rsid w:val="0054005C"/>
    <w:rsid w:val="00540390"/>
    <w:rsid w:val="005404ED"/>
    <w:rsid w:val="0054095C"/>
    <w:rsid w:val="00540B02"/>
    <w:rsid w:val="00540D37"/>
    <w:rsid w:val="00540E91"/>
    <w:rsid w:val="00541284"/>
    <w:rsid w:val="005415B1"/>
    <w:rsid w:val="00541914"/>
    <w:rsid w:val="005426A4"/>
    <w:rsid w:val="00542B91"/>
    <w:rsid w:val="00542BD3"/>
    <w:rsid w:val="00542E20"/>
    <w:rsid w:val="00543851"/>
    <w:rsid w:val="00543AE3"/>
    <w:rsid w:val="00543BA2"/>
    <w:rsid w:val="00543C0C"/>
    <w:rsid w:val="00544913"/>
    <w:rsid w:val="00544972"/>
    <w:rsid w:val="00544A3A"/>
    <w:rsid w:val="00544BAD"/>
    <w:rsid w:val="00544E36"/>
    <w:rsid w:val="00544F5C"/>
    <w:rsid w:val="00545629"/>
    <w:rsid w:val="00545926"/>
    <w:rsid w:val="00545C68"/>
    <w:rsid w:val="00547427"/>
    <w:rsid w:val="00547926"/>
    <w:rsid w:val="00547B7A"/>
    <w:rsid w:val="00547ECB"/>
    <w:rsid w:val="00550CF8"/>
    <w:rsid w:val="005512C3"/>
    <w:rsid w:val="00551486"/>
    <w:rsid w:val="00552622"/>
    <w:rsid w:val="005526E0"/>
    <w:rsid w:val="005532D0"/>
    <w:rsid w:val="00553C9C"/>
    <w:rsid w:val="00554121"/>
    <w:rsid w:val="005541AB"/>
    <w:rsid w:val="005554B0"/>
    <w:rsid w:val="00556176"/>
    <w:rsid w:val="0055677A"/>
    <w:rsid w:val="00556FA9"/>
    <w:rsid w:val="00557805"/>
    <w:rsid w:val="0055796A"/>
    <w:rsid w:val="00557AE0"/>
    <w:rsid w:val="00557C06"/>
    <w:rsid w:val="00557C79"/>
    <w:rsid w:val="00557ECC"/>
    <w:rsid w:val="00557FE3"/>
    <w:rsid w:val="00560097"/>
    <w:rsid w:val="005611B6"/>
    <w:rsid w:val="005619F1"/>
    <w:rsid w:val="00561C77"/>
    <w:rsid w:val="005620F0"/>
    <w:rsid w:val="005625D5"/>
    <w:rsid w:val="005629B8"/>
    <w:rsid w:val="00562A15"/>
    <w:rsid w:val="00562A3B"/>
    <w:rsid w:val="00562B0D"/>
    <w:rsid w:val="00562C05"/>
    <w:rsid w:val="005636C4"/>
    <w:rsid w:val="005641B3"/>
    <w:rsid w:val="005648A3"/>
    <w:rsid w:val="00564CAA"/>
    <w:rsid w:val="00564DAB"/>
    <w:rsid w:val="00564E0D"/>
    <w:rsid w:val="00565385"/>
    <w:rsid w:val="00565903"/>
    <w:rsid w:val="00565B94"/>
    <w:rsid w:val="00566614"/>
    <w:rsid w:val="00566A2C"/>
    <w:rsid w:val="005672EB"/>
    <w:rsid w:val="00570C5D"/>
    <w:rsid w:val="005712EA"/>
    <w:rsid w:val="00571570"/>
    <w:rsid w:val="00571663"/>
    <w:rsid w:val="00571711"/>
    <w:rsid w:val="00571D07"/>
    <w:rsid w:val="005723CD"/>
    <w:rsid w:val="00572D73"/>
    <w:rsid w:val="0057338D"/>
    <w:rsid w:val="00573FF9"/>
    <w:rsid w:val="00575363"/>
    <w:rsid w:val="0057577E"/>
    <w:rsid w:val="00575A0C"/>
    <w:rsid w:val="00575A8C"/>
    <w:rsid w:val="00575EAC"/>
    <w:rsid w:val="00576323"/>
    <w:rsid w:val="005766B8"/>
    <w:rsid w:val="0057695C"/>
    <w:rsid w:val="00576C08"/>
    <w:rsid w:val="0057769F"/>
    <w:rsid w:val="0058089D"/>
    <w:rsid w:val="00580963"/>
    <w:rsid w:val="00580FF3"/>
    <w:rsid w:val="00581044"/>
    <w:rsid w:val="0058209C"/>
    <w:rsid w:val="00582581"/>
    <w:rsid w:val="00582C0F"/>
    <w:rsid w:val="00583BB6"/>
    <w:rsid w:val="00583D00"/>
    <w:rsid w:val="0058400E"/>
    <w:rsid w:val="00584715"/>
    <w:rsid w:val="00584819"/>
    <w:rsid w:val="00584A95"/>
    <w:rsid w:val="00585D52"/>
    <w:rsid w:val="00585E63"/>
    <w:rsid w:val="00585FDF"/>
    <w:rsid w:val="0058610B"/>
    <w:rsid w:val="005862EB"/>
    <w:rsid w:val="00586525"/>
    <w:rsid w:val="00586C06"/>
    <w:rsid w:val="00586C75"/>
    <w:rsid w:val="005871CB"/>
    <w:rsid w:val="00587711"/>
    <w:rsid w:val="00587923"/>
    <w:rsid w:val="00592132"/>
    <w:rsid w:val="0059246B"/>
    <w:rsid w:val="0059269B"/>
    <w:rsid w:val="00592D9B"/>
    <w:rsid w:val="005938A6"/>
    <w:rsid w:val="005938E8"/>
    <w:rsid w:val="005939CC"/>
    <w:rsid w:val="00593E3D"/>
    <w:rsid w:val="0059458A"/>
    <w:rsid w:val="00594AE9"/>
    <w:rsid w:val="00594BE5"/>
    <w:rsid w:val="00595D37"/>
    <w:rsid w:val="00595E95"/>
    <w:rsid w:val="005960D4"/>
    <w:rsid w:val="005961A7"/>
    <w:rsid w:val="00596919"/>
    <w:rsid w:val="00596C6F"/>
    <w:rsid w:val="005971BD"/>
    <w:rsid w:val="005A0DB1"/>
    <w:rsid w:val="005A1187"/>
    <w:rsid w:val="005A121E"/>
    <w:rsid w:val="005A136D"/>
    <w:rsid w:val="005A1621"/>
    <w:rsid w:val="005A21CA"/>
    <w:rsid w:val="005A27BD"/>
    <w:rsid w:val="005A2AF4"/>
    <w:rsid w:val="005A2CD1"/>
    <w:rsid w:val="005A2F2A"/>
    <w:rsid w:val="005A373F"/>
    <w:rsid w:val="005A3E64"/>
    <w:rsid w:val="005A4271"/>
    <w:rsid w:val="005A448E"/>
    <w:rsid w:val="005A4E85"/>
    <w:rsid w:val="005A4F6F"/>
    <w:rsid w:val="005A51D1"/>
    <w:rsid w:val="005A59BB"/>
    <w:rsid w:val="005A5C17"/>
    <w:rsid w:val="005A5E02"/>
    <w:rsid w:val="005A5FCE"/>
    <w:rsid w:val="005A64BC"/>
    <w:rsid w:val="005A689B"/>
    <w:rsid w:val="005A6945"/>
    <w:rsid w:val="005A69BA"/>
    <w:rsid w:val="005A6C9A"/>
    <w:rsid w:val="005A6EEE"/>
    <w:rsid w:val="005A6F21"/>
    <w:rsid w:val="005A71C3"/>
    <w:rsid w:val="005A7392"/>
    <w:rsid w:val="005A7CC2"/>
    <w:rsid w:val="005B00C2"/>
    <w:rsid w:val="005B0229"/>
    <w:rsid w:val="005B0717"/>
    <w:rsid w:val="005B07CF"/>
    <w:rsid w:val="005B0A97"/>
    <w:rsid w:val="005B16E5"/>
    <w:rsid w:val="005B18FF"/>
    <w:rsid w:val="005B1CFD"/>
    <w:rsid w:val="005B28C1"/>
    <w:rsid w:val="005B28CA"/>
    <w:rsid w:val="005B2BE5"/>
    <w:rsid w:val="005B2F0B"/>
    <w:rsid w:val="005B33C7"/>
    <w:rsid w:val="005B33D6"/>
    <w:rsid w:val="005B3469"/>
    <w:rsid w:val="005B358B"/>
    <w:rsid w:val="005B3D5E"/>
    <w:rsid w:val="005B4365"/>
    <w:rsid w:val="005B4503"/>
    <w:rsid w:val="005B4877"/>
    <w:rsid w:val="005B4993"/>
    <w:rsid w:val="005B4AD3"/>
    <w:rsid w:val="005B4AFA"/>
    <w:rsid w:val="005B4B3D"/>
    <w:rsid w:val="005B4B91"/>
    <w:rsid w:val="005B560B"/>
    <w:rsid w:val="005B578B"/>
    <w:rsid w:val="005B58B2"/>
    <w:rsid w:val="005B5B45"/>
    <w:rsid w:val="005B5E2D"/>
    <w:rsid w:val="005B65EC"/>
    <w:rsid w:val="005B6645"/>
    <w:rsid w:val="005B68E6"/>
    <w:rsid w:val="005B6EBA"/>
    <w:rsid w:val="005B70E5"/>
    <w:rsid w:val="005B7197"/>
    <w:rsid w:val="005B76E5"/>
    <w:rsid w:val="005B7F28"/>
    <w:rsid w:val="005C06AB"/>
    <w:rsid w:val="005C0D21"/>
    <w:rsid w:val="005C0E56"/>
    <w:rsid w:val="005C138B"/>
    <w:rsid w:val="005C1849"/>
    <w:rsid w:val="005C1A5A"/>
    <w:rsid w:val="005C1AAE"/>
    <w:rsid w:val="005C1F8C"/>
    <w:rsid w:val="005C2179"/>
    <w:rsid w:val="005C27C1"/>
    <w:rsid w:val="005C2CD9"/>
    <w:rsid w:val="005C2EC7"/>
    <w:rsid w:val="005C3810"/>
    <w:rsid w:val="005C3EB4"/>
    <w:rsid w:val="005C3FF8"/>
    <w:rsid w:val="005C4081"/>
    <w:rsid w:val="005C4377"/>
    <w:rsid w:val="005C43B7"/>
    <w:rsid w:val="005C4BAB"/>
    <w:rsid w:val="005C524F"/>
    <w:rsid w:val="005C57AA"/>
    <w:rsid w:val="005C5A1F"/>
    <w:rsid w:val="005C5DFC"/>
    <w:rsid w:val="005C6709"/>
    <w:rsid w:val="005C6D3A"/>
    <w:rsid w:val="005C7412"/>
    <w:rsid w:val="005C761E"/>
    <w:rsid w:val="005D00D3"/>
    <w:rsid w:val="005D030D"/>
    <w:rsid w:val="005D068D"/>
    <w:rsid w:val="005D1249"/>
    <w:rsid w:val="005D129C"/>
    <w:rsid w:val="005D1513"/>
    <w:rsid w:val="005D1BB9"/>
    <w:rsid w:val="005D1D1C"/>
    <w:rsid w:val="005D204D"/>
    <w:rsid w:val="005D219C"/>
    <w:rsid w:val="005D26F5"/>
    <w:rsid w:val="005D29C2"/>
    <w:rsid w:val="005D2A47"/>
    <w:rsid w:val="005D2CE7"/>
    <w:rsid w:val="005D2F17"/>
    <w:rsid w:val="005D38AA"/>
    <w:rsid w:val="005D3D76"/>
    <w:rsid w:val="005D4413"/>
    <w:rsid w:val="005D4580"/>
    <w:rsid w:val="005D4BB4"/>
    <w:rsid w:val="005D5419"/>
    <w:rsid w:val="005D54E4"/>
    <w:rsid w:val="005D5594"/>
    <w:rsid w:val="005D5FAE"/>
    <w:rsid w:val="005D61C3"/>
    <w:rsid w:val="005D7637"/>
    <w:rsid w:val="005D76B3"/>
    <w:rsid w:val="005D7733"/>
    <w:rsid w:val="005D78F2"/>
    <w:rsid w:val="005E014F"/>
    <w:rsid w:val="005E0D1D"/>
    <w:rsid w:val="005E1639"/>
    <w:rsid w:val="005E19CD"/>
    <w:rsid w:val="005E1A41"/>
    <w:rsid w:val="005E1F21"/>
    <w:rsid w:val="005E29E5"/>
    <w:rsid w:val="005E2A66"/>
    <w:rsid w:val="005E2D35"/>
    <w:rsid w:val="005E31DB"/>
    <w:rsid w:val="005E3272"/>
    <w:rsid w:val="005E333B"/>
    <w:rsid w:val="005E335A"/>
    <w:rsid w:val="005E37BC"/>
    <w:rsid w:val="005E3C90"/>
    <w:rsid w:val="005E468A"/>
    <w:rsid w:val="005E514A"/>
    <w:rsid w:val="005E53C3"/>
    <w:rsid w:val="005E59BC"/>
    <w:rsid w:val="005E635C"/>
    <w:rsid w:val="005E6AEE"/>
    <w:rsid w:val="005E7671"/>
    <w:rsid w:val="005E79D8"/>
    <w:rsid w:val="005F0224"/>
    <w:rsid w:val="005F05DD"/>
    <w:rsid w:val="005F0740"/>
    <w:rsid w:val="005F0748"/>
    <w:rsid w:val="005F0964"/>
    <w:rsid w:val="005F0E28"/>
    <w:rsid w:val="005F0EB2"/>
    <w:rsid w:val="005F1151"/>
    <w:rsid w:val="005F16FE"/>
    <w:rsid w:val="005F2EBA"/>
    <w:rsid w:val="005F2EC1"/>
    <w:rsid w:val="005F3253"/>
    <w:rsid w:val="005F374C"/>
    <w:rsid w:val="005F39E8"/>
    <w:rsid w:val="005F3CF4"/>
    <w:rsid w:val="005F4727"/>
    <w:rsid w:val="005F4791"/>
    <w:rsid w:val="005F4AA2"/>
    <w:rsid w:val="005F5D5C"/>
    <w:rsid w:val="005F60C9"/>
    <w:rsid w:val="005F67E7"/>
    <w:rsid w:val="005F6D81"/>
    <w:rsid w:val="005F6DF3"/>
    <w:rsid w:val="005F7342"/>
    <w:rsid w:val="005F73C1"/>
    <w:rsid w:val="005F7EA1"/>
    <w:rsid w:val="0060066F"/>
    <w:rsid w:val="00600791"/>
    <w:rsid w:val="00600919"/>
    <w:rsid w:val="0060095D"/>
    <w:rsid w:val="00600CD4"/>
    <w:rsid w:val="00600D18"/>
    <w:rsid w:val="00600FE5"/>
    <w:rsid w:val="0060169A"/>
    <w:rsid w:val="006018C2"/>
    <w:rsid w:val="00601A64"/>
    <w:rsid w:val="0060311F"/>
    <w:rsid w:val="00604462"/>
    <w:rsid w:val="0060461C"/>
    <w:rsid w:val="00604BF5"/>
    <w:rsid w:val="00604D5A"/>
    <w:rsid w:val="006068F9"/>
    <w:rsid w:val="00606921"/>
    <w:rsid w:val="006069C8"/>
    <w:rsid w:val="00606BA4"/>
    <w:rsid w:val="0060739F"/>
    <w:rsid w:val="00607629"/>
    <w:rsid w:val="00607788"/>
    <w:rsid w:val="00607810"/>
    <w:rsid w:val="00607AE9"/>
    <w:rsid w:val="00607F7B"/>
    <w:rsid w:val="0061002D"/>
    <w:rsid w:val="0061039C"/>
    <w:rsid w:val="006105B5"/>
    <w:rsid w:val="00610885"/>
    <w:rsid w:val="00610941"/>
    <w:rsid w:val="00610B8C"/>
    <w:rsid w:val="00610C1E"/>
    <w:rsid w:val="00610F74"/>
    <w:rsid w:val="00611036"/>
    <w:rsid w:val="00611040"/>
    <w:rsid w:val="00611DF8"/>
    <w:rsid w:val="0061247D"/>
    <w:rsid w:val="00612643"/>
    <w:rsid w:val="006127A0"/>
    <w:rsid w:val="00613A08"/>
    <w:rsid w:val="00613C85"/>
    <w:rsid w:val="00613D16"/>
    <w:rsid w:val="00613DBA"/>
    <w:rsid w:val="00613E94"/>
    <w:rsid w:val="00613F0B"/>
    <w:rsid w:val="00613F7D"/>
    <w:rsid w:val="00614029"/>
    <w:rsid w:val="0061477F"/>
    <w:rsid w:val="00614CCE"/>
    <w:rsid w:val="00614F40"/>
    <w:rsid w:val="00615AD5"/>
    <w:rsid w:val="00615BFA"/>
    <w:rsid w:val="0061678D"/>
    <w:rsid w:val="00616C33"/>
    <w:rsid w:val="00617510"/>
    <w:rsid w:val="006175F1"/>
    <w:rsid w:val="00617A4C"/>
    <w:rsid w:val="00617A68"/>
    <w:rsid w:val="00617E65"/>
    <w:rsid w:val="00620000"/>
    <w:rsid w:val="00620487"/>
    <w:rsid w:val="006205FD"/>
    <w:rsid w:val="00620981"/>
    <w:rsid w:val="00620E4A"/>
    <w:rsid w:val="00620F96"/>
    <w:rsid w:val="00621200"/>
    <w:rsid w:val="00621FE5"/>
    <w:rsid w:val="00622253"/>
    <w:rsid w:val="00622C4B"/>
    <w:rsid w:val="006232DD"/>
    <w:rsid w:val="00623D77"/>
    <w:rsid w:val="006240B9"/>
    <w:rsid w:val="00624896"/>
    <w:rsid w:val="00624BFD"/>
    <w:rsid w:val="006250FD"/>
    <w:rsid w:val="006257C9"/>
    <w:rsid w:val="00625E07"/>
    <w:rsid w:val="006263DF"/>
    <w:rsid w:val="00626C29"/>
    <w:rsid w:val="0062749D"/>
    <w:rsid w:val="00627A2B"/>
    <w:rsid w:val="00627CFB"/>
    <w:rsid w:val="00627D96"/>
    <w:rsid w:val="00627FE7"/>
    <w:rsid w:val="00630113"/>
    <w:rsid w:val="00630691"/>
    <w:rsid w:val="00630875"/>
    <w:rsid w:val="00630A0D"/>
    <w:rsid w:val="00630F82"/>
    <w:rsid w:val="00631571"/>
    <w:rsid w:val="006319C2"/>
    <w:rsid w:val="00631B9F"/>
    <w:rsid w:val="00631E55"/>
    <w:rsid w:val="00631F33"/>
    <w:rsid w:val="0063213D"/>
    <w:rsid w:val="006322C7"/>
    <w:rsid w:val="00632582"/>
    <w:rsid w:val="00632B41"/>
    <w:rsid w:val="00632B47"/>
    <w:rsid w:val="00632EDD"/>
    <w:rsid w:val="00633366"/>
    <w:rsid w:val="00633377"/>
    <w:rsid w:val="0063406B"/>
    <w:rsid w:val="0063450D"/>
    <w:rsid w:val="00634F67"/>
    <w:rsid w:val="00635051"/>
    <w:rsid w:val="006354F1"/>
    <w:rsid w:val="0063575B"/>
    <w:rsid w:val="00635DC2"/>
    <w:rsid w:val="006360B9"/>
    <w:rsid w:val="00637ABD"/>
    <w:rsid w:val="00637B88"/>
    <w:rsid w:val="00637C0D"/>
    <w:rsid w:val="00637CC7"/>
    <w:rsid w:val="00637D3F"/>
    <w:rsid w:val="006408E7"/>
    <w:rsid w:val="00640A77"/>
    <w:rsid w:val="00640C1F"/>
    <w:rsid w:val="0064151B"/>
    <w:rsid w:val="00641A5E"/>
    <w:rsid w:val="00641E90"/>
    <w:rsid w:val="00641F87"/>
    <w:rsid w:val="0064223A"/>
    <w:rsid w:val="0064283C"/>
    <w:rsid w:val="00642E2E"/>
    <w:rsid w:val="0064303B"/>
    <w:rsid w:val="006443B8"/>
    <w:rsid w:val="006445C2"/>
    <w:rsid w:val="006456CA"/>
    <w:rsid w:val="00645892"/>
    <w:rsid w:val="00645C45"/>
    <w:rsid w:val="00645D7E"/>
    <w:rsid w:val="0064619F"/>
    <w:rsid w:val="0064683E"/>
    <w:rsid w:val="0064734A"/>
    <w:rsid w:val="00647494"/>
    <w:rsid w:val="006477DA"/>
    <w:rsid w:val="00647C3B"/>
    <w:rsid w:val="00647FC6"/>
    <w:rsid w:val="00650525"/>
    <w:rsid w:val="006507FF"/>
    <w:rsid w:val="00650B16"/>
    <w:rsid w:val="0065114A"/>
    <w:rsid w:val="00651708"/>
    <w:rsid w:val="0065194A"/>
    <w:rsid w:val="00651B3E"/>
    <w:rsid w:val="00651D52"/>
    <w:rsid w:val="00651E5F"/>
    <w:rsid w:val="00652098"/>
    <w:rsid w:val="006525FD"/>
    <w:rsid w:val="00652692"/>
    <w:rsid w:val="00652A61"/>
    <w:rsid w:val="00652E9B"/>
    <w:rsid w:val="0065303B"/>
    <w:rsid w:val="0065320E"/>
    <w:rsid w:val="0065326F"/>
    <w:rsid w:val="00653445"/>
    <w:rsid w:val="00653830"/>
    <w:rsid w:val="00653886"/>
    <w:rsid w:val="00653E00"/>
    <w:rsid w:val="00653E67"/>
    <w:rsid w:val="00654070"/>
    <w:rsid w:val="006547A3"/>
    <w:rsid w:val="00654863"/>
    <w:rsid w:val="006548B3"/>
    <w:rsid w:val="00654C4F"/>
    <w:rsid w:val="00655030"/>
    <w:rsid w:val="006553DE"/>
    <w:rsid w:val="0065617C"/>
    <w:rsid w:val="006565FD"/>
    <w:rsid w:val="00656B91"/>
    <w:rsid w:val="00657125"/>
    <w:rsid w:val="006572DA"/>
    <w:rsid w:val="0065744C"/>
    <w:rsid w:val="00657629"/>
    <w:rsid w:val="00657648"/>
    <w:rsid w:val="00657BC2"/>
    <w:rsid w:val="0066079A"/>
    <w:rsid w:val="006609FB"/>
    <w:rsid w:val="00660A99"/>
    <w:rsid w:val="0066186E"/>
    <w:rsid w:val="006618C6"/>
    <w:rsid w:val="006619AD"/>
    <w:rsid w:val="006623E8"/>
    <w:rsid w:val="0066348B"/>
    <w:rsid w:val="00663770"/>
    <w:rsid w:val="00663B08"/>
    <w:rsid w:val="00663B51"/>
    <w:rsid w:val="00663BE4"/>
    <w:rsid w:val="00664173"/>
    <w:rsid w:val="00664398"/>
    <w:rsid w:val="00664691"/>
    <w:rsid w:val="00664770"/>
    <w:rsid w:val="00664EC0"/>
    <w:rsid w:val="00665B92"/>
    <w:rsid w:val="00666156"/>
    <w:rsid w:val="00666254"/>
    <w:rsid w:val="00666B4C"/>
    <w:rsid w:val="006671A5"/>
    <w:rsid w:val="006673F9"/>
    <w:rsid w:val="00667809"/>
    <w:rsid w:val="006678C1"/>
    <w:rsid w:val="0066795D"/>
    <w:rsid w:val="00670797"/>
    <w:rsid w:val="006707B1"/>
    <w:rsid w:val="00670D6E"/>
    <w:rsid w:val="00670DAF"/>
    <w:rsid w:val="00670ED8"/>
    <w:rsid w:val="0067106F"/>
    <w:rsid w:val="00671322"/>
    <w:rsid w:val="0067144D"/>
    <w:rsid w:val="006716E3"/>
    <w:rsid w:val="006721A0"/>
    <w:rsid w:val="006721B9"/>
    <w:rsid w:val="00672994"/>
    <w:rsid w:val="00672EB2"/>
    <w:rsid w:val="006731C5"/>
    <w:rsid w:val="006735E1"/>
    <w:rsid w:val="00673756"/>
    <w:rsid w:val="006738C1"/>
    <w:rsid w:val="00673A30"/>
    <w:rsid w:val="00674373"/>
    <w:rsid w:val="00674DC0"/>
    <w:rsid w:val="00674E5A"/>
    <w:rsid w:val="00675173"/>
    <w:rsid w:val="00675452"/>
    <w:rsid w:val="0067548A"/>
    <w:rsid w:val="00675547"/>
    <w:rsid w:val="0067650B"/>
    <w:rsid w:val="006765D6"/>
    <w:rsid w:val="006769B9"/>
    <w:rsid w:val="0067721A"/>
    <w:rsid w:val="006776DF"/>
    <w:rsid w:val="006779BD"/>
    <w:rsid w:val="006807A9"/>
    <w:rsid w:val="00680AA5"/>
    <w:rsid w:val="00680B7D"/>
    <w:rsid w:val="00680CEA"/>
    <w:rsid w:val="006814A7"/>
    <w:rsid w:val="006815FE"/>
    <w:rsid w:val="00681602"/>
    <w:rsid w:val="00681C2B"/>
    <w:rsid w:val="00681C76"/>
    <w:rsid w:val="0068247C"/>
    <w:rsid w:val="006831B2"/>
    <w:rsid w:val="006833EA"/>
    <w:rsid w:val="00683913"/>
    <w:rsid w:val="00683BBF"/>
    <w:rsid w:val="0068444C"/>
    <w:rsid w:val="00684558"/>
    <w:rsid w:val="00684674"/>
    <w:rsid w:val="00684F5B"/>
    <w:rsid w:val="006857DE"/>
    <w:rsid w:val="006858EE"/>
    <w:rsid w:val="0068591A"/>
    <w:rsid w:val="00685C05"/>
    <w:rsid w:val="00686356"/>
    <w:rsid w:val="00686932"/>
    <w:rsid w:val="00687079"/>
    <w:rsid w:val="00687267"/>
    <w:rsid w:val="0068773E"/>
    <w:rsid w:val="00687D18"/>
    <w:rsid w:val="00687D8D"/>
    <w:rsid w:val="00690E17"/>
    <w:rsid w:val="00690FF6"/>
    <w:rsid w:val="00691088"/>
    <w:rsid w:val="006911D1"/>
    <w:rsid w:val="006919E2"/>
    <w:rsid w:val="00691A56"/>
    <w:rsid w:val="00691ADA"/>
    <w:rsid w:val="00692537"/>
    <w:rsid w:val="00692D16"/>
    <w:rsid w:val="00692ECD"/>
    <w:rsid w:val="00693086"/>
    <w:rsid w:val="00693785"/>
    <w:rsid w:val="006939CF"/>
    <w:rsid w:val="006939DF"/>
    <w:rsid w:val="00693E9D"/>
    <w:rsid w:val="00693FFC"/>
    <w:rsid w:val="00694997"/>
    <w:rsid w:val="00694A34"/>
    <w:rsid w:val="00694E93"/>
    <w:rsid w:val="0069527D"/>
    <w:rsid w:val="006956D1"/>
    <w:rsid w:val="006961BA"/>
    <w:rsid w:val="00696697"/>
    <w:rsid w:val="0069669A"/>
    <w:rsid w:val="0069677F"/>
    <w:rsid w:val="006968EE"/>
    <w:rsid w:val="00696A0F"/>
    <w:rsid w:val="006973D3"/>
    <w:rsid w:val="00697720"/>
    <w:rsid w:val="00697A13"/>
    <w:rsid w:val="00697AC1"/>
    <w:rsid w:val="00697FF3"/>
    <w:rsid w:val="006A0358"/>
    <w:rsid w:val="006A1138"/>
    <w:rsid w:val="006A1D2E"/>
    <w:rsid w:val="006A24B4"/>
    <w:rsid w:val="006A2546"/>
    <w:rsid w:val="006A266F"/>
    <w:rsid w:val="006A27E1"/>
    <w:rsid w:val="006A2890"/>
    <w:rsid w:val="006A2E5C"/>
    <w:rsid w:val="006A31A3"/>
    <w:rsid w:val="006A3536"/>
    <w:rsid w:val="006A366C"/>
    <w:rsid w:val="006A3894"/>
    <w:rsid w:val="006A4653"/>
    <w:rsid w:val="006A5723"/>
    <w:rsid w:val="006A5742"/>
    <w:rsid w:val="006A585A"/>
    <w:rsid w:val="006A590A"/>
    <w:rsid w:val="006A647E"/>
    <w:rsid w:val="006A6A8A"/>
    <w:rsid w:val="006A6ADC"/>
    <w:rsid w:val="006A70E7"/>
    <w:rsid w:val="006A72EC"/>
    <w:rsid w:val="006A76A4"/>
    <w:rsid w:val="006A76B2"/>
    <w:rsid w:val="006A7CA5"/>
    <w:rsid w:val="006A7D0B"/>
    <w:rsid w:val="006B0F7B"/>
    <w:rsid w:val="006B11AD"/>
    <w:rsid w:val="006B1B9B"/>
    <w:rsid w:val="006B1D91"/>
    <w:rsid w:val="006B23FF"/>
    <w:rsid w:val="006B24A0"/>
    <w:rsid w:val="006B2A07"/>
    <w:rsid w:val="006B3209"/>
    <w:rsid w:val="006B3656"/>
    <w:rsid w:val="006B3C89"/>
    <w:rsid w:val="006B3ED3"/>
    <w:rsid w:val="006B444B"/>
    <w:rsid w:val="006B544F"/>
    <w:rsid w:val="006B577D"/>
    <w:rsid w:val="006B60B0"/>
    <w:rsid w:val="006B6408"/>
    <w:rsid w:val="006B65B9"/>
    <w:rsid w:val="006B67DC"/>
    <w:rsid w:val="006B6843"/>
    <w:rsid w:val="006B692B"/>
    <w:rsid w:val="006B69AB"/>
    <w:rsid w:val="006B6C90"/>
    <w:rsid w:val="006B77F6"/>
    <w:rsid w:val="006B7B69"/>
    <w:rsid w:val="006C00EC"/>
    <w:rsid w:val="006C033C"/>
    <w:rsid w:val="006C08CE"/>
    <w:rsid w:val="006C08FE"/>
    <w:rsid w:val="006C0C4F"/>
    <w:rsid w:val="006C0E68"/>
    <w:rsid w:val="006C1AA6"/>
    <w:rsid w:val="006C2678"/>
    <w:rsid w:val="006C2E60"/>
    <w:rsid w:val="006C2F67"/>
    <w:rsid w:val="006C38B1"/>
    <w:rsid w:val="006C3926"/>
    <w:rsid w:val="006C3C5A"/>
    <w:rsid w:val="006C401E"/>
    <w:rsid w:val="006C40C0"/>
    <w:rsid w:val="006C4995"/>
    <w:rsid w:val="006C4A27"/>
    <w:rsid w:val="006C4BAD"/>
    <w:rsid w:val="006C50A0"/>
    <w:rsid w:val="006C528E"/>
    <w:rsid w:val="006C55ED"/>
    <w:rsid w:val="006C57BC"/>
    <w:rsid w:val="006C5B2F"/>
    <w:rsid w:val="006C6FB6"/>
    <w:rsid w:val="006C712B"/>
    <w:rsid w:val="006C71DC"/>
    <w:rsid w:val="006C7F1A"/>
    <w:rsid w:val="006D0CAD"/>
    <w:rsid w:val="006D13DB"/>
    <w:rsid w:val="006D1B16"/>
    <w:rsid w:val="006D2328"/>
    <w:rsid w:val="006D2A94"/>
    <w:rsid w:val="006D2C0B"/>
    <w:rsid w:val="006D3377"/>
    <w:rsid w:val="006D36E9"/>
    <w:rsid w:val="006D3EC0"/>
    <w:rsid w:val="006D4020"/>
    <w:rsid w:val="006D405F"/>
    <w:rsid w:val="006D4405"/>
    <w:rsid w:val="006D5BFE"/>
    <w:rsid w:val="006D5C5B"/>
    <w:rsid w:val="006D5E28"/>
    <w:rsid w:val="006D633E"/>
    <w:rsid w:val="006D64EC"/>
    <w:rsid w:val="006D6F9A"/>
    <w:rsid w:val="006D721F"/>
    <w:rsid w:val="006E05E3"/>
    <w:rsid w:val="006E07E1"/>
    <w:rsid w:val="006E081E"/>
    <w:rsid w:val="006E0F1F"/>
    <w:rsid w:val="006E179C"/>
    <w:rsid w:val="006E1841"/>
    <w:rsid w:val="006E1A1F"/>
    <w:rsid w:val="006E1BE3"/>
    <w:rsid w:val="006E1C51"/>
    <w:rsid w:val="006E20C8"/>
    <w:rsid w:val="006E2183"/>
    <w:rsid w:val="006E27EB"/>
    <w:rsid w:val="006E3358"/>
    <w:rsid w:val="006E34CD"/>
    <w:rsid w:val="006E35AE"/>
    <w:rsid w:val="006E3C03"/>
    <w:rsid w:val="006E4057"/>
    <w:rsid w:val="006E40B6"/>
    <w:rsid w:val="006E43BE"/>
    <w:rsid w:val="006E44C4"/>
    <w:rsid w:val="006E4C97"/>
    <w:rsid w:val="006E51F3"/>
    <w:rsid w:val="006E5205"/>
    <w:rsid w:val="006E528C"/>
    <w:rsid w:val="006E5683"/>
    <w:rsid w:val="006E5AF3"/>
    <w:rsid w:val="006E5C3D"/>
    <w:rsid w:val="006E5C5C"/>
    <w:rsid w:val="006E5C84"/>
    <w:rsid w:val="006E5D2C"/>
    <w:rsid w:val="006E5EC9"/>
    <w:rsid w:val="006E64FB"/>
    <w:rsid w:val="006E691F"/>
    <w:rsid w:val="006E6956"/>
    <w:rsid w:val="006E6965"/>
    <w:rsid w:val="006E6991"/>
    <w:rsid w:val="006E6B5E"/>
    <w:rsid w:val="006E6C8B"/>
    <w:rsid w:val="006E6D44"/>
    <w:rsid w:val="006E6DBA"/>
    <w:rsid w:val="006E6F7F"/>
    <w:rsid w:val="006E6FDE"/>
    <w:rsid w:val="006E73BF"/>
    <w:rsid w:val="006F0146"/>
    <w:rsid w:val="006F0511"/>
    <w:rsid w:val="006F07C0"/>
    <w:rsid w:val="006F081C"/>
    <w:rsid w:val="006F0D92"/>
    <w:rsid w:val="006F1372"/>
    <w:rsid w:val="006F227C"/>
    <w:rsid w:val="006F22D3"/>
    <w:rsid w:val="006F2BE6"/>
    <w:rsid w:val="006F2CD6"/>
    <w:rsid w:val="006F2F9D"/>
    <w:rsid w:val="006F38C3"/>
    <w:rsid w:val="006F396C"/>
    <w:rsid w:val="006F3C72"/>
    <w:rsid w:val="006F3EC0"/>
    <w:rsid w:val="006F4254"/>
    <w:rsid w:val="006F4389"/>
    <w:rsid w:val="006F43ED"/>
    <w:rsid w:val="006F475E"/>
    <w:rsid w:val="006F5642"/>
    <w:rsid w:val="006F5ECC"/>
    <w:rsid w:val="006F619B"/>
    <w:rsid w:val="006F6266"/>
    <w:rsid w:val="006F63A3"/>
    <w:rsid w:val="006F66BE"/>
    <w:rsid w:val="006F77AB"/>
    <w:rsid w:val="006F7E22"/>
    <w:rsid w:val="00700301"/>
    <w:rsid w:val="007015FB"/>
    <w:rsid w:val="00701B1E"/>
    <w:rsid w:val="00702FE8"/>
    <w:rsid w:val="00703035"/>
    <w:rsid w:val="007031E0"/>
    <w:rsid w:val="00703433"/>
    <w:rsid w:val="007036D7"/>
    <w:rsid w:val="00703E3A"/>
    <w:rsid w:val="00704071"/>
    <w:rsid w:val="0070450E"/>
    <w:rsid w:val="0070455C"/>
    <w:rsid w:val="007045E3"/>
    <w:rsid w:val="007047BA"/>
    <w:rsid w:val="0070488A"/>
    <w:rsid w:val="00704A34"/>
    <w:rsid w:val="00704B07"/>
    <w:rsid w:val="00705484"/>
    <w:rsid w:val="0070581B"/>
    <w:rsid w:val="00705884"/>
    <w:rsid w:val="007058B1"/>
    <w:rsid w:val="0070592C"/>
    <w:rsid w:val="00705D4F"/>
    <w:rsid w:val="0070665B"/>
    <w:rsid w:val="0070698F"/>
    <w:rsid w:val="00706B6F"/>
    <w:rsid w:val="00706C56"/>
    <w:rsid w:val="00707031"/>
    <w:rsid w:val="00707221"/>
    <w:rsid w:val="00707ABB"/>
    <w:rsid w:val="00707E3D"/>
    <w:rsid w:val="00710550"/>
    <w:rsid w:val="007106BE"/>
    <w:rsid w:val="00710703"/>
    <w:rsid w:val="00710735"/>
    <w:rsid w:val="00710B15"/>
    <w:rsid w:val="00710E71"/>
    <w:rsid w:val="00711067"/>
    <w:rsid w:val="007110B1"/>
    <w:rsid w:val="007116FD"/>
    <w:rsid w:val="007118C1"/>
    <w:rsid w:val="007119F3"/>
    <w:rsid w:val="00711D20"/>
    <w:rsid w:val="00711E54"/>
    <w:rsid w:val="00712416"/>
    <w:rsid w:val="0071255A"/>
    <w:rsid w:val="00712746"/>
    <w:rsid w:val="00712A8D"/>
    <w:rsid w:val="00712B79"/>
    <w:rsid w:val="00712DC3"/>
    <w:rsid w:val="00712F9E"/>
    <w:rsid w:val="00712FE7"/>
    <w:rsid w:val="00713BDB"/>
    <w:rsid w:val="0071408D"/>
    <w:rsid w:val="00714236"/>
    <w:rsid w:val="00714992"/>
    <w:rsid w:val="00714F98"/>
    <w:rsid w:val="00715901"/>
    <w:rsid w:val="00716618"/>
    <w:rsid w:val="00716A59"/>
    <w:rsid w:val="00716B12"/>
    <w:rsid w:val="00716B2F"/>
    <w:rsid w:val="00716B37"/>
    <w:rsid w:val="0071751D"/>
    <w:rsid w:val="00717579"/>
    <w:rsid w:val="00717743"/>
    <w:rsid w:val="00717B4B"/>
    <w:rsid w:val="007202C0"/>
    <w:rsid w:val="00720DD5"/>
    <w:rsid w:val="00721682"/>
    <w:rsid w:val="00721962"/>
    <w:rsid w:val="00721DAA"/>
    <w:rsid w:val="007220BA"/>
    <w:rsid w:val="00722322"/>
    <w:rsid w:val="007230E7"/>
    <w:rsid w:val="0072353A"/>
    <w:rsid w:val="00723B96"/>
    <w:rsid w:val="00723BC6"/>
    <w:rsid w:val="007247EB"/>
    <w:rsid w:val="007247ED"/>
    <w:rsid w:val="00724C4E"/>
    <w:rsid w:val="00724D64"/>
    <w:rsid w:val="00724FE9"/>
    <w:rsid w:val="0072520D"/>
    <w:rsid w:val="007254FB"/>
    <w:rsid w:val="00725CAA"/>
    <w:rsid w:val="00725F68"/>
    <w:rsid w:val="007260F7"/>
    <w:rsid w:val="007262F4"/>
    <w:rsid w:val="00726CA2"/>
    <w:rsid w:val="007276E2"/>
    <w:rsid w:val="00727CD5"/>
    <w:rsid w:val="00730312"/>
    <w:rsid w:val="00730428"/>
    <w:rsid w:val="00730561"/>
    <w:rsid w:val="00730B26"/>
    <w:rsid w:val="007312ED"/>
    <w:rsid w:val="00731D4A"/>
    <w:rsid w:val="0073362D"/>
    <w:rsid w:val="007342D2"/>
    <w:rsid w:val="007342DD"/>
    <w:rsid w:val="007353A5"/>
    <w:rsid w:val="0073560A"/>
    <w:rsid w:val="00735A20"/>
    <w:rsid w:val="00736460"/>
    <w:rsid w:val="00736B45"/>
    <w:rsid w:val="00736F7D"/>
    <w:rsid w:val="0073711C"/>
    <w:rsid w:val="0073738B"/>
    <w:rsid w:val="007379A6"/>
    <w:rsid w:val="00740460"/>
    <w:rsid w:val="0074068F"/>
    <w:rsid w:val="007406C6"/>
    <w:rsid w:val="00740B1B"/>
    <w:rsid w:val="00740DB5"/>
    <w:rsid w:val="00741CC3"/>
    <w:rsid w:val="00741EED"/>
    <w:rsid w:val="0074278D"/>
    <w:rsid w:val="0074371E"/>
    <w:rsid w:val="00743905"/>
    <w:rsid w:val="0074443F"/>
    <w:rsid w:val="00744ACE"/>
    <w:rsid w:val="00745704"/>
    <w:rsid w:val="00745A44"/>
    <w:rsid w:val="00745C2C"/>
    <w:rsid w:val="007469AE"/>
    <w:rsid w:val="007470D6"/>
    <w:rsid w:val="00747283"/>
    <w:rsid w:val="007503C5"/>
    <w:rsid w:val="00750FF5"/>
    <w:rsid w:val="007517DB"/>
    <w:rsid w:val="0075235F"/>
    <w:rsid w:val="007525FB"/>
    <w:rsid w:val="00752881"/>
    <w:rsid w:val="007528D5"/>
    <w:rsid w:val="007529BC"/>
    <w:rsid w:val="00752B07"/>
    <w:rsid w:val="007537AC"/>
    <w:rsid w:val="00753807"/>
    <w:rsid w:val="00753B7E"/>
    <w:rsid w:val="00753EC2"/>
    <w:rsid w:val="00753F43"/>
    <w:rsid w:val="0075424C"/>
    <w:rsid w:val="0075453D"/>
    <w:rsid w:val="00754751"/>
    <w:rsid w:val="00754D61"/>
    <w:rsid w:val="0075511C"/>
    <w:rsid w:val="007555D1"/>
    <w:rsid w:val="007564C8"/>
    <w:rsid w:val="007567F5"/>
    <w:rsid w:val="00756CCC"/>
    <w:rsid w:val="00757EA8"/>
    <w:rsid w:val="0076018E"/>
    <w:rsid w:val="0076118B"/>
    <w:rsid w:val="00761470"/>
    <w:rsid w:val="00761C18"/>
    <w:rsid w:val="00761EA7"/>
    <w:rsid w:val="00761FEB"/>
    <w:rsid w:val="0076252D"/>
    <w:rsid w:val="00762A4A"/>
    <w:rsid w:val="00762A69"/>
    <w:rsid w:val="00762E58"/>
    <w:rsid w:val="007647AD"/>
    <w:rsid w:val="00764E57"/>
    <w:rsid w:val="007653BA"/>
    <w:rsid w:val="00766778"/>
    <w:rsid w:val="0076687C"/>
    <w:rsid w:val="007674E7"/>
    <w:rsid w:val="00767561"/>
    <w:rsid w:val="007701D8"/>
    <w:rsid w:val="00770776"/>
    <w:rsid w:val="007711C0"/>
    <w:rsid w:val="00771D50"/>
    <w:rsid w:val="00772023"/>
    <w:rsid w:val="0077239A"/>
    <w:rsid w:val="0077299A"/>
    <w:rsid w:val="00772A3A"/>
    <w:rsid w:val="00772CB6"/>
    <w:rsid w:val="0077305B"/>
    <w:rsid w:val="007741C3"/>
    <w:rsid w:val="007744AD"/>
    <w:rsid w:val="007748B1"/>
    <w:rsid w:val="007748C0"/>
    <w:rsid w:val="00774EDB"/>
    <w:rsid w:val="007750BD"/>
    <w:rsid w:val="00775349"/>
    <w:rsid w:val="00775609"/>
    <w:rsid w:val="00775643"/>
    <w:rsid w:val="00775A4E"/>
    <w:rsid w:val="007762A8"/>
    <w:rsid w:val="007766B5"/>
    <w:rsid w:val="00776710"/>
    <w:rsid w:val="007778E1"/>
    <w:rsid w:val="0078087C"/>
    <w:rsid w:val="0078095A"/>
    <w:rsid w:val="00780A33"/>
    <w:rsid w:val="00780A44"/>
    <w:rsid w:val="00780FA4"/>
    <w:rsid w:val="00781168"/>
    <w:rsid w:val="00781496"/>
    <w:rsid w:val="007815FE"/>
    <w:rsid w:val="00781799"/>
    <w:rsid w:val="0078196F"/>
    <w:rsid w:val="00781C95"/>
    <w:rsid w:val="00781CC3"/>
    <w:rsid w:val="0078266A"/>
    <w:rsid w:val="007831E9"/>
    <w:rsid w:val="00783333"/>
    <w:rsid w:val="0078358A"/>
    <w:rsid w:val="00783C29"/>
    <w:rsid w:val="00784ADA"/>
    <w:rsid w:val="00784CB1"/>
    <w:rsid w:val="00784EA1"/>
    <w:rsid w:val="0078563C"/>
    <w:rsid w:val="00786021"/>
    <w:rsid w:val="0078630A"/>
    <w:rsid w:val="007866C6"/>
    <w:rsid w:val="0078689A"/>
    <w:rsid w:val="00786CE2"/>
    <w:rsid w:val="007871CB"/>
    <w:rsid w:val="00787245"/>
    <w:rsid w:val="00787911"/>
    <w:rsid w:val="00787939"/>
    <w:rsid w:val="0079022E"/>
    <w:rsid w:val="00790271"/>
    <w:rsid w:val="00790737"/>
    <w:rsid w:val="007907F6"/>
    <w:rsid w:val="007923BE"/>
    <w:rsid w:val="007925C8"/>
    <w:rsid w:val="00792DAA"/>
    <w:rsid w:val="00792E4D"/>
    <w:rsid w:val="007930EC"/>
    <w:rsid w:val="0079398B"/>
    <w:rsid w:val="00793F8E"/>
    <w:rsid w:val="0079419D"/>
    <w:rsid w:val="007946BF"/>
    <w:rsid w:val="00794B54"/>
    <w:rsid w:val="00794D96"/>
    <w:rsid w:val="00795899"/>
    <w:rsid w:val="00796428"/>
    <w:rsid w:val="007965AC"/>
    <w:rsid w:val="00796B8D"/>
    <w:rsid w:val="00796E5B"/>
    <w:rsid w:val="007977DB"/>
    <w:rsid w:val="00797C52"/>
    <w:rsid w:val="00797C72"/>
    <w:rsid w:val="007A0129"/>
    <w:rsid w:val="007A0415"/>
    <w:rsid w:val="007A0E47"/>
    <w:rsid w:val="007A11BD"/>
    <w:rsid w:val="007A1380"/>
    <w:rsid w:val="007A16DE"/>
    <w:rsid w:val="007A1BDA"/>
    <w:rsid w:val="007A1C94"/>
    <w:rsid w:val="007A1CC4"/>
    <w:rsid w:val="007A1ECD"/>
    <w:rsid w:val="007A2754"/>
    <w:rsid w:val="007A2C47"/>
    <w:rsid w:val="007A2E43"/>
    <w:rsid w:val="007A3A66"/>
    <w:rsid w:val="007A3D81"/>
    <w:rsid w:val="007A4AF2"/>
    <w:rsid w:val="007A4D9D"/>
    <w:rsid w:val="007A4DE3"/>
    <w:rsid w:val="007A4FAC"/>
    <w:rsid w:val="007A6297"/>
    <w:rsid w:val="007A6382"/>
    <w:rsid w:val="007A6512"/>
    <w:rsid w:val="007A6677"/>
    <w:rsid w:val="007A6AAD"/>
    <w:rsid w:val="007A78B3"/>
    <w:rsid w:val="007B14D9"/>
    <w:rsid w:val="007B165E"/>
    <w:rsid w:val="007B24B9"/>
    <w:rsid w:val="007B26B0"/>
    <w:rsid w:val="007B26C1"/>
    <w:rsid w:val="007B3476"/>
    <w:rsid w:val="007B3990"/>
    <w:rsid w:val="007B3AB1"/>
    <w:rsid w:val="007B4985"/>
    <w:rsid w:val="007B4FC5"/>
    <w:rsid w:val="007B59E5"/>
    <w:rsid w:val="007B5CEA"/>
    <w:rsid w:val="007B6471"/>
    <w:rsid w:val="007B739C"/>
    <w:rsid w:val="007C054E"/>
    <w:rsid w:val="007C076F"/>
    <w:rsid w:val="007C0B6D"/>
    <w:rsid w:val="007C1137"/>
    <w:rsid w:val="007C1283"/>
    <w:rsid w:val="007C1C2A"/>
    <w:rsid w:val="007C26B3"/>
    <w:rsid w:val="007C2D61"/>
    <w:rsid w:val="007C2EBE"/>
    <w:rsid w:val="007C2FC5"/>
    <w:rsid w:val="007C304B"/>
    <w:rsid w:val="007C33B9"/>
    <w:rsid w:val="007C352A"/>
    <w:rsid w:val="007C3720"/>
    <w:rsid w:val="007C3A7E"/>
    <w:rsid w:val="007C3DC2"/>
    <w:rsid w:val="007C49F4"/>
    <w:rsid w:val="007C4F12"/>
    <w:rsid w:val="007C5025"/>
    <w:rsid w:val="007C504E"/>
    <w:rsid w:val="007C5448"/>
    <w:rsid w:val="007C591E"/>
    <w:rsid w:val="007C5C50"/>
    <w:rsid w:val="007C5C8C"/>
    <w:rsid w:val="007C62F0"/>
    <w:rsid w:val="007C6797"/>
    <w:rsid w:val="007C69A0"/>
    <w:rsid w:val="007C7177"/>
    <w:rsid w:val="007D00E7"/>
    <w:rsid w:val="007D042A"/>
    <w:rsid w:val="007D11AE"/>
    <w:rsid w:val="007D1517"/>
    <w:rsid w:val="007D1581"/>
    <w:rsid w:val="007D1677"/>
    <w:rsid w:val="007D1B67"/>
    <w:rsid w:val="007D1BB3"/>
    <w:rsid w:val="007D1D12"/>
    <w:rsid w:val="007D2A5A"/>
    <w:rsid w:val="007D331B"/>
    <w:rsid w:val="007D4FC1"/>
    <w:rsid w:val="007D5BDD"/>
    <w:rsid w:val="007D618C"/>
    <w:rsid w:val="007D63BE"/>
    <w:rsid w:val="007D6B01"/>
    <w:rsid w:val="007D6B93"/>
    <w:rsid w:val="007D6C24"/>
    <w:rsid w:val="007D6CBA"/>
    <w:rsid w:val="007D6DD1"/>
    <w:rsid w:val="007D7B70"/>
    <w:rsid w:val="007E0083"/>
    <w:rsid w:val="007E01B3"/>
    <w:rsid w:val="007E0740"/>
    <w:rsid w:val="007E0A69"/>
    <w:rsid w:val="007E1142"/>
    <w:rsid w:val="007E130C"/>
    <w:rsid w:val="007E16FC"/>
    <w:rsid w:val="007E22E5"/>
    <w:rsid w:val="007E2818"/>
    <w:rsid w:val="007E287F"/>
    <w:rsid w:val="007E3436"/>
    <w:rsid w:val="007E36EA"/>
    <w:rsid w:val="007E3825"/>
    <w:rsid w:val="007E4453"/>
    <w:rsid w:val="007E4777"/>
    <w:rsid w:val="007E4781"/>
    <w:rsid w:val="007E484D"/>
    <w:rsid w:val="007E4D5D"/>
    <w:rsid w:val="007E4F6D"/>
    <w:rsid w:val="007E5095"/>
    <w:rsid w:val="007E5319"/>
    <w:rsid w:val="007E54F2"/>
    <w:rsid w:val="007E64BD"/>
    <w:rsid w:val="007E6788"/>
    <w:rsid w:val="007E6F08"/>
    <w:rsid w:val="007E6F09"/>
    <w:rsid w:val="007E7A23"/>
    <w:rsid w:val="007E7CEA"/>
    <w:rsid w:val="007F016B"/>
    <w:rsid w:val="007F0A94"/>
    <w:rsid w:val="007F0AB8"/>
    <w:rsid w:val="007F0AE9"/>
    <w:rsid w:val="007F1792"/>
    <w:rsid w:val="007F18B7"/>
    <w:rsid w:val="007F19D7"/>
    <w:rsid w:val="007F1B69"/>
    <w:rsid w:val="007F1C6D"/>
    <w:rsid w:val="007F20FF"/>
    <w:rsid w:val="007F23E7"/>
    <w:rsid w:val="007F267C"/>
    <w:rsid w:val="007F2E16"/>
    <w:rsid w:val="007F311A"/>
    <w:rsid w:val="007F3BDB"/>
    <w:rsid w:val="007F3D86"/>
    <w:rsid w:val="007F4E87"/>
    <w:rsid w:val="007F5068"/>
    <w:rsid w:val="007F5D68"/>
    <w:rsid w:val="007F5E49"/>
    <w:rsid w:val="007F620D"/>
    <w:rsid w:val="007F6B61"/>
    <w:rsid w:val="007F6B78"/>
    <w:rsid w:val="007F6BE7"/>
    <w:rsid w:val="007F70AB"/>
    <w:rsid w:val="007F734E"/>
    <w:rsid w:val="007F7520"/>
    <w:rsid w:val="007F7DC2"/>
    <w:rsid w:val="007F7F18"/>
    <w:rsid w:val="007F7F37"/>
    <w:rsid w:val="008002A7"/>
    <w:rsid w:val="00800537"/>
    <w:rsid w:val="00800749"/>
    <w:rsid w:val="00800798"/>
    <w:rsid w:val="00800B69"/>
    <w:rsid w:val="00801D6D"/>
    <w:rsid w:val="00802431"/>
    <w:rsid w:val="00802579"/>
    <w:rsid w:val="0080290C"/>
    <w:rsid w:val="00803135"/>
    <w:rsid w:val="008034B1"/>
    <w:rsid w:val="00803D3A"/>
    <w:rsid w:val="0080432E"/>
    <w:rsid w:val="00804BB8"/>
    <w:rsid w:val="00804BF3"/>
    <w:rsid w:val="00804C1D"/>
    <w:rsid w:val="00804E90"/>
    <w:rsid w:val="008051A9"/>
    <w:rsid w:val="00806139"/>
    <w:rsid w:val="00806FF7"/>
    <w:rsid w:val="008072CF"/>
    <w:rsid w:val="00807305"/>
    <w:rsid w:val="00807711"/>
    <w:rsid w:val="008079D7"/>
    <w:rsid w:val="00807ACD"/>
    <w:rsid w:val="00807D4B"/>
    <w:rsid w:val="00807F77"/>
    <w:rsid w:val="00810435"/>
    <w:rsid w:val="008104AB"/>
    <w:rsid w:val="0081068C"/>
    <w:rsid w:val="008108B1"/>
    <w:rsid w:val="00810913"/>
    <w:rsid w:val="00810E32"/>
    <w:rsid w:val="00811995"/>
    <w:rsid w:val="008128CE"/>
    <w:rsid w:val="00812A19"/>
    <w:rsid w:val="00812B67"/>
    <w:rsid w:val="00812F56"/>
    <w:rsid w:val="00813C24"/>
    <w:rsid w:val="008152B1"/>
    <w:rsid w:val="008153AB"/>
    <w:rsid w:val="008154D2"/>
    <w:rsid w:val="008157E9"/>
    <w:rsid w:val="00815927"/>
    <w:rsid w:val="00815E32"/>
    <w:rsid w:val="008162DB"/>
    <w:rsid w:val="00816419"/>
    <w:rsid w:val="00816784"/>
    <w:rsid w:val="008168CA"/>
    <w:rsid w:val="008172FC"/>
    <w:rsid w:val="00817380"/>
    <w:rsid w:val="00820064"/>
    <w:rsid w:val="008200BB"/>
    <w:rsid w:val="00820737"/>
    <w:rsid w:val="00821538"/>
    <w:rsid w:val="008216E2"/>
    <w:rsid w:val="008216EA"/>
    <w:rsid w:val="00821942"/>
    <w:rsid w:val="0082214C"/>
    <w:rsid w:val="0082269A"/>
    <w:rsid w:val="008227F1"/>
    <w:rsid w:val="00822CA2"/>
    <w:rsid w:val="00822CCA"/>
    <w:rsid w:val="008231CF"/>
    <w:rsid w:val="00823681"/>
    <w:rsid w:val="00823AED"/>
    <w:rsid w:val="00823B58"/>
    <w:rsid w:val="008241E9"/>
    <w:rsid w:val="008245B2"/>
    <w:rsid w:val="00824A66"/>
    <w:rsid w:val="00824EDA"/>
    <w:rsid w:val="008256EA"/>
    <w:rsid w:val="0082571B"/>
    <w:rsid w:val="00825853"/>
    <w:rsid w:val="0082590F"/>
    <w:rsid w:val="00826031"/>
    <w:rsid w:val="00826535"/>
    <w:rsid w:val="00826621"/>
    <w:rsid w:val="008269EC"/>
    <w:rsid w:val="00826F92"/>
    <w:rsid w:val="00827070"/>
    <w:rsid w:val="008270E7"/>
    <w:rsid w:val="008273C0"/>
    <w:rsid w:val="00827E44"/>
    <w:rsid w:val="00830227"/>
    <w:rsid w:val="00830C31"/>
    <w:rsid w:val="00830DA1"/>
    <w:rsid w:val="00830DE4"/>
    <w:rsid w:val="00830F68"/>
    <w:rsid w:val="00831200"/>
    <w:rsid w:val="0083129A"/>
    <w:rsid w:val="00831878"/>
    <w:rsid w:val="00831B5C"/>
    <w:rsid w:val="008322C8"/>
    <w:rsid w:val="0083251B"/>
    <w:rsid w:val="00832E85"/>
    <w:rsid w:val="00833BDD"/>
    <w:rsid w:val="0083402E"/>
    <w:rsid w:val="0083490F"/>
    <w:rsid w:val="00834AC3"/>
    <w:rsid w:val="00834C9F"/>
    <w:rsid w:val="00834CAC"/>
    <w:rsid w:val="00835095"/>
    <w:rsid w:val="0083520A"/>
    <w:rsid w:val="00835212"/>
    <w:rsid w:val="00835414"/>
    <w:rsid w:val="0083609D"/>
    <w:rsid w:val="00836687"/>
    <w:rsid w:val="008375FB"/>
    <w:rsid w:val="00837D0E"/>
    <w:rsid w:val="008400B3"/>
    <w:rsid w:val="008400DD"/>
    <w:rsid w:val="008409B2"/>
    <w:rsid w:val="00841A87"/>
    <w:rsid w:val="00841B8A"/>
    <w:rsid w:val="00842804"/>
    <w:rsid w:val="008429EB"/>
    <w:rsid w:val="00842D60"/>
    <w:rsid w:val="008430EC"/>
    <w:rsid w:val="00843135"/>
    <w:rsid w:val="00843271"/>
    <w:rsid w:val="008435E6"/>
    <w:rsid w:val="008439A7"/>
    <w:rsid w:val="008439BB"/>
    <w:rsid w:val="00843C8D"/>
    <w:rsid w:val="0084451F"/>
    <w:rsid w:val="008445AE"/>
    <w:rsid w:val="00844A79"/>
    <w:rsid w:val="00844D1B"/>
    <w:rsid w:val="00845034"/>
    <w:rsid w:val="008450D4"/>
    <w:rsid w:val="008458A8"/>
    <w:rsid w:val="00846000"/>
    <w:rsid w:val="0084640E"/>
    <w:rsid w:val="00846463"/>
    <w:rsid w:val="00846BFE"/>
    <w:rsid w:val="00846CBC"/>
    <w:rsid w:val="008470F2"/>
    <w:rsid w:val="00847185"/>
    <w:rsid w:val="00847FC3"/>
    <w:rsid w:val="0085003A"/>
    <w:rsid w:val="00850E79"/>
    <w:rsid w:val="00850F41"/>
    <w:rsid w:val="00851015"/>
    <w:rsid w:val="00851D25"/>
    <w:rsid w:val="008523D8"/>
    <w:rsid w:val="00852568"/>
    <w:rsid w:val="00852CB4"/>
    <w:rsid w:val="00853074"/>
    <w:rsid w:val="00853152"/>
    <w:rsid w:val="0085343D"/>
    <w:rsid w:val="008536DB"/>
    <w:rsid w:val="00853892"/>
    <w:rsid w:val="00853896"/>
    <w:rsid w:val="00854D27"/>
    <w:rsid w:val="00854E57"/>
    <w:rsid w:val="00855C5A"/>
    <w:rsid w:val="008567A0"/>
    <w:rsid w:val="00856889"/>
    <w:rsid w:val="008568F5"/>
    <w:rsid w:val="00856CA5"/>
    <w:rsid w:val="00856FBC"/>
    <w:rsid w:val="00857F81"/>
    <w:rsid w:val="008601D4"/>
    <w:rsid w:val="008603FB"/>
    <w:rsid w:val="00860AEE"/>
    <w:rsid w:val="0086109E"/>
    <w:rsid w:val="008612DE"/>
    <w:rsid w:val="00861567"/>
    <w:rsid w:val="00861776"/>
    <w:rsid w:val="008624B3"/>
    <w:rsid w:val="00862626"/>
    <w:rsid w:val="00862B26"/>
    <w:rsid w:val="00862BF1"/>
    <w:rsid w:val="00863038"/>
    <w:rsid w:val="00863986"/>
    <w:rsid w:val="00863AA2"/>
    <w:rsid w:val="00863D0B"/>
    <w:rsid w:val="00863D0F"/>
    <w:rsid w:val="00864247"/>
    <w:rsid w:val="00864578"/>
    <w:rsid w:val="00864EEF"/>
    <w:rsid w:val="0086534F"/>
    <w:rsid w:val="008654DC"/>
    <w:rsid w:val="008655ED"/>
    <w:rsid w:val="00866190"/>
    <w:rsid w:val="00866260"/>
    <w:rsid w:val="00866589"/>
    <w:rsid w:val="008669CD"/>
    <w:rsid w:val="00866B78"/>
    <w:rsid w:val="00866EAF"/>
    <w:rsid w:val="0086702F"/>
    <w:rsid w:val="00867B36"/>
    <w:rsid w:val="00870378"/>
    <w:rsid w:val="008705E2"/>
    <w:rsid w:val="00870786"/>
    <w:rsid w:val="008708AD"/>
    <w:rsid w:val="00870B9E"/>
    <w:rsid w:val="00871CE9"/>
    <w:rsid w:val="00871F27"/>
    <w:rsid w:val="00872174"/>
    <w:rsid w:val="00872556"/>
    <w:rsid w:val="00872FFA"/>
    <w:rsid w:val="00873153"/>
    <w:rsid w:val="00873579"/>
    <w:rsid w:val="0087381B"/>
    <w:rsid w:val="0087388F"/>
    <w:rsid w:val="00873E25"/>
    <w:rsid w:val="008743AD"/>
    <w:rsid w:val="00874D4C"/>
    <w:rsid w:val="00874F00"/>
    <w:rsid w:val="008750C0"/>
    <w:rsid w:val="00875312"/>
    <w:rsid w:val="00875943"/>
    <w:rsid w:val="0087664F"/>
    <w:rsid w:val="00876FA2"/>
    <w:rsid w:val="008770E4"/>
    <w:rsid w:val="008776E7"/>
    <w:rsid w:val="00877900"/>
    <w:rsid w:val="00880170"/>
    <w:rsid w:val="00880656"/>
    <w:rsid w:val="0088178C"/>
    <w:rsid w:val="00881D94"/>
    <w:rsid w:val="00882080"/>
    <w:rsid w:val="00883183"/>
    <w:rsid w:val="0088368C"/>
    <w:rsid w:val="00883D39"/>
    <w:rsid w:val="00883FFD"/>
    <w:rsid w:val="0088407E"/>
    <w:rsid w:val="0088425F"/>
    <w:rsid w:val="00885019"/>
    <w:rsid w:val="008856AB"/>
    <w:rsid w:val="00886289"/>
    <w:rsid w:val="00886EDC"/>
    <w:rsid w:val="008878F2"/>
    <w:rsid w:val="00887B3D"/>
    <w:rsid w:val="00890098"/>
    <w:rsid w:val="00890222"/>
    <w:rsid w:val="0089041C"/>
    <w:rsid w:val="0089086E"/>
    <w:rsid w:val="0089131D"/>
    <w:rsid w:val="00891428"/>
    <w:rsid w:val="00891B76"/>
    <w:rsid w:val="00891C67"/>
    <w:rsid w:val="0089221A"/>
    <w:rsid w:val="008922CF"/>
    <w:rsid w:val="00892325"/>
    <w:rsid w:val="00892585"/>
    <w:rsid w:val="00892AF5"/>
    <w:rsid w:val="008938A7"/>
    <w:rsid w:val="00893B68"/>
    <w:rsid w:val="008941B0"/>
    <w:rsid w:val="008942E2"/>
    <w:rsid w:val="0089458C"/>
    <w:rsid w:val="008946E7"/>
    <w:rsid w:val="008949E7"/>
    <w:rsid w:val="00895433"/>
    <w:rsid w:val="008956C8"/>
    <w:rsid w:val="0089595A"/>
    <w:rsid w:val="00895C75"/>
    <w:rsid w:val="00897235"/>
    <w:rsid w:val="00897A7B"/>
    <w:rsid w:val="008A0B5E"/>
    <w:rsid w:val="008A0CDC"/>
    <w:rsid w:val="008A0F91"/>
    <w:rsid w:val="008A1441"/>
    <w:rsid w:val="008A1B33"/>
    <w:rsid w:val="008A1E2A"/>
    <w:rsid w:val="008A2A84"/>
    <w:rsid w:val="008A35EA"/>
    <w:rsid w:val="008A3D0E"/>
    <w:rsid w:val="008A4468"/>
    <w:rsid w:val="008A4AE4"/>
    <w:rsid w:val="008A53CE"/>
    <w:rsid w:val="008A5574"/>
    <w:rsid w:val="008A6026"/>
    <w:rsid w:val="008A608E"/>
    <w:rsid w:val="008A6124"/>
    <w:rsid w:val="008A6591"/>
    <w:rsid w:val="008A6E1E"/>
    <w:rsid w:val="008A718B"/>
    <w:rsid w:val="008A757F"/>
    <w:rsid w:val="008A7747"/>
    <w:rsid w:val="008A7826"/>
    <w:rsid w:val="008A78B3"/>
    <w:rsid w:val="008A7B72"/>
    <w:rsid w:val="008B019A"/>
    <w:rsid w:val="008B0B5E"/>
    <w:rsid w:val="008B0BC6"/>
    <w:rsid w:val="008B0D60"/>
    <w:rsid w:val="008B1D43"/>
    <w:rsid w:val="008B1E97"/>
    <w:rsid w:val="008B21CE"/>
    <w:rsid w:val="008B2549"/>
    <w:rsid w:val="008B2D9D"/>
    <w:rsid w:val="008B2E99"/>
    <w:rsid w:val="008B31FC"/>
    <w:rsid w:val="008B385B"/>
    <w:rsid w:val="008B3D14"/>
    <w:rsid w:val="008B3EA4"/>
    <w:rsid w:val="008B428C"/>
    <w:rsid w:val="008B4C45"/>
    <w:rsid w:val="008B4EEC"/>
    <w:rsid w:val="008B4FA9"/>
    <w:rsid w:val="008B6A52"/>
    <w:rsid w:val="008B6DED"/>
    <w:rsid w:val="008B728A"/>
    <w:rsid w:val="008B7291"/>
    <w:rsid w:val="008B78F5"/>
    <w:rsid w:val="008B7BF8"/>
    <w:rsid w:val="008B7EA2"/>
    <w:rsid w:val="008C03E7"/>
    <w:rsid w:val="008C09F2"/>
    <w:rsid w:val="008C0B05"/>
    <w:rsid w:val="008C1017"/>
    <w:rsid w:val="008C112E"/>
    <w:rsid w:val="008C156D"/>
    <w:rsid w:val="008C1787"/>
    <w:rsid w:val="008C1815"/>
    <w:rsid w:val="008C196D"/>
    <w:rsid w:val="008C1A59"/>
    <w:rsid w:val="008C1A81"/>
    <w:rsid w:val="008C1AD8"/>
    <w:rsid w:val="008C2D83"/>
    <w:rsid w:val="008C31BA"/>
    <w:rsid w:val="008C3D2C"/>
    <w:rsid w:val="008C3E4B"/>
    <w:rsid w:val="008C4390"/>
    <w:rsid w:val="008C48E7"/>
    <w:rsid w:val="008C5B16"/>
    <w:rsid w:val="008C5C16"/>
    <w:rsid w:val="008C67D6"/>
    <w:rsid w:val="008C69E9"/>
    <w:rsid w:val="008C7711"/>
    <w:rsid w:val="008C7713"/>
    <w:rsid w:val="008C7B1C"/>
    <w:rsid w:val="008D03AA"/>
    <w:rsid w:val="008D07B4"/>
    <w:rsid w:val="008D07E7"/>
    <w:rsid w:val="008D0A53"/>
    <w:rsid w:val="008D0D74"/>
    <w:rsid w:val="008D0DCC"/>
    <w:rsid w:val="008D122B"/>
    <w:rsid w:val="008D1493"/>
    <w:rsid w:val="008D16B0"/>
    <w:rsid w:val="008D1756"/>
    <w:rsid w:val="008D1914"/>
    <w:rsid w:val="008D1D4E"/>
    <w:rsid w:val="008D21E7"/>
    <w:rsid w:val="008D2549"/>
    <w:rsid w:val="008D2736"/>
    <w:rsid w:val="008D2DAB"/>
    <w:rsid w:val="008D3550"/>
    <w:rsid w:val="008D3669"/>
    <w:rsid w:val="008D392F"/>
    <w:rsid w:val="008D3ADE"/>
    <w:rsid w:val="008D3C91"/>
    <w:rsid w:val="008D4734"/>
    <w:rsid w:val="008D5058"/>
    <w:rsid w:val="008D54F7"/>
    <w:rsid w:val="008D5723"/>
    <w:rsid w:val="008D59F6"/>
    <w:rsid w:val="008D5B55"/>
    <w:rsid w:val="008D5EA7"/>
    <w:rsid w:val="008D6267"/>
    <w:rsid w:val="008D64BC"/>
    <w:rsid w:val="008D692E"/>
    <w:rsid w:val="008D69FE"/>
    <w:rsid w:val="008D6B54"/>
    <w:rsid w:val="008D713E"/>
    <w:rsid w:val="008D7D00"/>
    <w:rsid w:val="008D7E20"/>
    <w:rsid w:val="008D7EB5"/>
    <w:rsid w:val="008E00BB"/>
    <w:rsid w:val="008E02C6"/>
    <w:rsid w:val="008E1801"/>
    <w:rsid w:val="008E1C99"/>
    <w:rsid w:val="008E1E43"/>
    <w:rsid w:val="008E1FFF"/>
    <w:rsid w:val="008E2375"/>
    <w:rsid w:val="008E2454"/>
    <w:rsid w:val="008E262A"/>
    <w:rsid w:val="008E29BD"/>
    <w:rsid w:val="008E32B5"/>
    <w:rsid w:val="008E3500"/>
    <w:rsid w:val="008E3F7C"/>
    <w:rsid w:val="008E3F8F"/>
    <w:rsid w:val="008E475A"/>
    <w:rsid w:val="008E4A04"/>
    <w:rsid w:val="008E4A11"/>
    <w:rsid w:val="008E5281"/>
    <w:rsid w:val="008E55D2"/>
    <w:rsid w:val="008E59AD"/>
    <w:rsid w:val="008E5A9B"/>
    <w:rsid w:val="008E6517"/>
    <w:rsid w:val="008E6723"/>
    <w:rsid w:val="008E688A"/>
    <w:rsid w:val="008E6DC6"/>
    <w:rsid w:val="008E795B"/>
    <w:rsid w:val="008F0DB6"/>
    <w:rsid w:val="008F115C"/>
    <w:rsid w:val="008F1CD7"/>
    <w:rsid w:val="008F212F"/>
    <w:rsid w:val="008F2C27"/>
    <w:rsid w:val="008F2E06"/>
    <w:rsid w:val="008F2FDB"/>
    <w:rsid w:val="008F2FE2"/>
    <w:rsid w:val="008F2FF4"/>
    <w:rsid w:val="008F3131"/>
    <w:rsid w:val="008F3554"/>
    <w:rsid w:val="008F43BF"/>
    <w:rsid w:val="008F4909"/>
    <w:rsid w:val="008F4EE3"/>
    <w:rsid w:val="008F4F11"/>
    <w:rsid w:val="008F55FD"/>
    <w:rsid w:val="008F5706"/>
    <w:rsid w:val="008F5BAD"/>
    <w:rsid w:val="008F5BEE"/>
    <w:rsid w:val="008F60FB"/>
    <w:rsid w:val="008F63E5"/>
    <w:rsid w:val="008F651B"/>
    <w:rsid w:val="008F6D75"/>
    <w:rsid w:val="008F703A"/>
    <w:rsid w:val="008F71D3"/>
    <w:rsid w:val="008F725D"/>
    <w:rsid w:val="008F73BB"/>
    <w:rsid w:val="008F75CF"/>
    <w:rsid w:val="008F7BD6"/>
    <w:rsid w:val="008F7C25"/>
    <w:rsid w:val="00900A5D"/>
    <w:rsid w:val="00900F29"/>
    <w:rsid w:val="0090200D"/>
    <w:rsid w:val="009021AD"/>
    <w:rsid w:val="009027EE"/>
    <w:rsid w:val="009029A6"/>
    <w:rsid w:val="00902AA9"/>
    <w:rsid w:val="009030F7"/>
    <w:rsid w:val="009031A6"/>
    <w:rsid w:val="009034CF"/>
    <w:rsid w:val="009034F1"/>
    <w:rsid w:val="009036CB"/>
    <w:rsid w:val="00903CFB"/>
    <w:rsid w:val="00903DC6"/>
    <w:rsid w:val="009040E4"/>
    <w:rsid w:val="00904134"/>
    <w:rsid w:val="00904489"/>
    <w:rsid w:val="00904547"/>
    <w:rsid w:val="00904A16"/>
    <w:rsid w:val="009055D0"/>
    <w:rsid w:val="00905862"/>
    <w:rsid w:val="00905950"/>
    <w:rsid w:val="00905D3A"/>
    <w:rsid w:val="00905D58"/>
    <w:rsid w:val="00905F18"/>
    <w:rsid w:val="00906814"/>
    <w:rsid w:val="0090744A"/>
    <w:rsid w:val="00910042"/>
    <w:rsid w:val="00910768"/>
    <w:rsid w:val="00910781"/>
    <w:rsid w:val="009107E5"/>
    <w:rsid w:val="00910A16"/>
    <w:rsid w:val="00910E5F"/>
    <w:rsid w:val="00911549"/>
    <w:rsid w:val="009116BB"/>
    <w:rsid w:val="00911B55"/>
    <w:rsid w:val="00911EEE"/>
    <w:rsid w:val="0091248F"/>
    <w:rsid w:val="00912584"/>
    <w:rsid w:val="00913599"/>
    <w:rsid w:val="009138C7"/>
    <w:rsid w:val="00914058"/>
    <w:rsid w:val="0091488D"/>
    <w:rsid w:val="00914B49"/>
    <w:rsid w:val="009157A2"/>
    <w:rsid w:val="0091599E"/>
    <w:rsid w:val="00915A51"/>
    <w:rsid w:val="009161CF"/>
    <w:rsid w:val="0091653A"/>
    <w:rsid w:val="009169B4"/>
    <w:rsid w:val="00916D2D"/>
    <w:rsid w:val="00917B1A"/>
    <w:rsid w:val="00920018"/>
    <w:rsid w:val="0092009F"/>
    <w:rsid w:val="009204AB"/>
    <w:rsid w:val="0092070D"/>
    <w:rsid w:val="00920C04"/>
    <w:rsid w:val="0092116C"/>
    <w:rsid w:val="00921419"/>
    <w:rsid w:val="009221DA"/>
    <w:rsid w:val="00922285"/>
    <w:rsid w:val="009226DE"/>
    <w:rsid w:val="009229B4"/>
    <w:rsid w:val="00922D9A"/>
    <w:rsid w:val="009230B6"/>
    <w:rsid w:val="0092339F"/>
    <w:rsid w:val="00923FD1"/>
    <w:rsid w:val="0092480C"/>
    <w:rsid w:val="00924E51"/>
    <w:rsid w:val="00925073"/>
    <w:rsid w:val="00925102"/>
    <w:rsid w:val="009261C7"/>
    <w:rsid w:val="00926301"/>
    <w:rsid w:val="00926538"/>
    <w:rsid w:val="0092677A"/>
    <w:rsid w:val="0092690A"/>
    <w:rsid w:val="00926F3C"/>
    <w:rsid w:val="009272D6"/>
    <w:rsid w:val="0092736B"/>
    <w:rsid w:val="00927764"/>
    <w:rsid w:val="0092790D"/>
    <w:rsid w:val="00927A1A"/>
    <w:rsid w:val="00927A3B"/>
    <w:rsid w:val="00927A46"/>
    <w:rsid w:val="009304C8"/>
    <w:rsid w:val="00930562"/>
    <w:rsid w:val="0093088D"/>
    <w:rsid w:val="00930986"/>
    <w:rsid w:val="00931031"/>
    <w:rsid w:val="0093121C"/>
    <w:rsid w:val="00931229"/>
    <w:rsid w:val="0093234D"/>
    <w:rsid w:val="00932435"/>
    <w:rsid w:val="009324DD"/>
    <w:rsid w:val="00932622"/>
    <w:rsid w:val="00932A9E"/>
    <w:rsid w:val="00932B64"/>
    <w:rsid w:val="009335FB"/>
    <w:rsid w:val="00933BD0"/>
    <w:rsid w:val="00933DE1"/>
    <w:rsid w:val="009340FA"/>
    <w:rsid w:val="00934231"/>
    <w:rsid w:val="00934685"/>
    <w:rsid w:val="00934785"/>
    <w:rsid w:val="009349C0"/>
    <w:rsid w:val="0093514E"/>
    <w:rsid w:val="009352F1"/>
    <w:rsid w:val="00935557"/>
    <w:rsid w:val="009359C2"/>
    <w:rsid w:val="00935C09"/>
    <w:rsid w:val="00935FD0"/>
    <w:rsid w:val="0093676C"/>
    <w:rsid w:val="00936968"/>
    <w:rsid w:val="009371BA"/>
    <w:rsid w:val="00937814"/>
    <w:rsid w:val="00940074"/>
    <w:rsid w:val="009405EF"/>
    <w:rsid w:val="00940B0F"/>
    <w:rsid w:val="00940C05"/>
    <w:rsid w:val="00940C0A"/>
    <w:rsid w:val="00941717"/>
    <w:rsid w:val="00941837"/>
    <w:rsid w:val="00941B21"/>
    <w:rsid w:val="0094277B"/>
    <w:rsid w:val="00942C02"/>
    <w:rsid w:val="00942E5C"/>
    <w:rsid w:val="00944172"/>
    <w:rsid w:val="00944253"/>
    <w:rsid w:val="0094535A"/>
    <w:rsid w:val="00945544"/>
    <w:rsid w:val="00945965"/>
    <w:rsid w:val="0094597C"/>
    <w:rsid w:val="009462C8"/>
    <w:rsid w:val="00946843"/>
    <w:rsid w:val="00946D1B"/>
    <w:rsid w:val="00947AAF"/>
    <w:rsid w:val="00947EF1"/>
    <w:rsid w:val="00947FB3"/>
    <w:rsid w:val="00950095"/>
    <w:rsid w:val="009507A0"/>
    <w:rsid w:val="009507EE"/>
    <w:rsid w:val="009508E4"/>
    <w:rsid w:val="00950977"/>
    <w:rsid w:val="00950D0E"/>
    <w:rsid w:val="00950E8F"/>
    <w:rsid w:val="00950EEA"/>
    <w:rsid w:val="009511A5"/>
    <w:rsid w:val="0095151C"/>
    <w:rsid w:val="00951892"/>
    <w:rsid w:val="009519F6"/>
    <w:rsid w:val="00951D3E"/>
    <w:rsid w:val="0095275F"/>
    <w:rsid w:val="00952AD6"/>
    <w:rsid w:val="00952C9E"/>
    <w:rsid w:val="00952E56"/>
    <w:rsid w:val="00952EA8"/>
    <w:rsid w:val="00953695"/>
    <w:rsid w:val="00953FBB"/>
    <w:rsid w:val="00954232"/>
    <w:rsid w:val="00954DEC"/>
    <w:rsid w:val="009552A7"/>
    <w:rsid w:val="009552C2"/>
    <w:rsid w:val="00955440"/>
    <w:rsid w:val="00955896"/>
    <w:rsid w:val="00955AD5"/>
    <w:rsid w:val="00955F68"/>
    <w:rsid w:val="00957922"/>
    <w:rsid w:val="00957A2A"/>
    <w:rsid w:val="00957C82"/>
    <w:rsid w:val="00960065"/>
    <w:rsid w:val="00960EBC"/>
    <w:rsid w:val="00961933"/>
    <w:rsid w:val="009619C4"/>
    <w:rsid w:val="00962A57"/>
    <w:rsid w:val="00962CFD"/>
    <w:rsid w:val="0096321B"/>
    <w:rsid w:val="00963B4C"/>
    <w:rsid w:val="00963EE8"/>
    <w:rsid w:val="00964267"/>
    <w:rsid w:val="0096457D"/>
    <w:rsid w:val="009647A9"/>
    <w:rsid w:val="00964FC6"/>
    <w:rsid w:val="00965B72"/>
    <w:rsid w:val="00965CB5"/>
    <w:rsid w:val="00965D4C"/>
    <w:rsid w:val="00965D9D"/>
    <w:rsid w:val="0096648A"/>
    <w:rsid w:val="00966A63"/>
    <w:rsid w:val="00966F1F"/>
    <w:rsid w:val="00967608"/>
    <w:rsid w:val="0096784E"/>
    <w:rsid w:val="00967959"/>
    <w:rsid w:val="009679B1"/>
    <w:rsid w:val="00967EED"/>
    <w:rsid w:val="009701CD"/>
    <w:rsid w:val="00970485"/>
    <w:rsid w:val="0097084A"/>
    <w:rsid w:val="00970D8E"/>
    <w:rsid w:val="0097112B"/>
    <w:rsid w:val="0097125B"/>
    <w:rsid w:val="00971B28"/>
    <w:rsid w:val="00971F38"/>
    <w:rsid w:val="00972655"/>
    <w:rsid w:val="009729B5"/>
    <w:rsid w:val="00972C34"/>
    <w:rsid w:val="00972F8C"/>
    <w:rsid w:val="00973075"/>
    <w:rsid w:val="009737E1"/>
    <w:rsid w:val="00973922"/>
    <w:rsid w:val="009741A9"/>
    <w:rsid w:val="00974269"/>
    <w:rsid w:val="00975843"/>
    <w:rsid w:val="00976261"/>
    <w:rsid w:val="00976A51"/>
    <w:rsid w:val="00977357"/>
    <w:rsid w:val="0097745B"/>
    <w:rsid w:val="00977865"/>
    <w:rsid w:val="00977C66"/>
    <w:rsid w:val="009801C3"/>
    <w:rsid w:val="00980255"/>
    <w:rsid w:val="0098079A"/>
    <w:rsid w:val="00980C32"/>
    <w:rsid w:val="00981EED"/>
    <w:rsid w:val="0098202C"/>
    <w:rsid w:val="009820B7"/>
    <w:rsid w:val="00982581"/>
    <w:rsid w:val="00982A2A"/>
    <w:rsid w:val="00982AC7"/>
    <w:rsid w:val="00983E85"/>
    <w:rsid w:val="00984F6B"/>
    <w:rsid w:val="0098533C"/>
    <w:rsid w:val="0098535F"/>
    <w:rsid w:val="00986BC7"/>
    <w:rsid w:val="00986C1C"/>
    <w:rsid w:val="0098705F"/>
    <w:rsid w:val="0098782A"/>
    <w:rsid w:val="00987DEC"/>
    <w:rsid w:val="00990535"/>
    <w:rsid w:val="0099066A"/>
    <w:rsid w:val="00990DF8"/>
    <w:rsid w:val="00990E8C"/>
    <w:rsid w:val="00991601"/>
    <w:rsid w:val="00991779"/>
    <w:rsid w:val="00991AFA"/>
    <w:rsid w:val="009929ED"/>
    <w:rsid w:val="00993047"/>
    <w:rsid w:val="00993395"/>
    <w:rsid w:val="009937C0"/>
    <w:rsid w:val="0099383C"/>
    <w:rsid w:val="00993F88"/>
    <w:rsid w:val="00994451"/>
    <w:rsid w:val="0099474A"/>
    <w:rsid w:val="00994D49"/>
    <w:rsid w:val="00994D87"/>
    <w:rsid w:val="00994FDB"/>
    <w:rsid w:val="00996374"/>
    <w:rsid w:val="009967E8"/>
    <w:rsid w:val="009968C6"/>
    <w:rsid w:val="00996FE2"/>
    <w:rsid w:val="009970D9"/>
    <w:rsid w:val="009972ED"/>
    <w:rsid w:val="00997318"/>
    <w:rsid w:val="009978E8"/>
    <w:rsid w:val="00997B70"/>
    <w:rsid w:val="009A0030"/>
    <w:rsid w:val="009A0069"/>
    <w:rsid w:val="009A0112"/>
    <w:rsid w:val="009A02BC"/>
    <w:rsid w:val="009A06EA"/>
    <w:rsid w:val="009A0A71"/>
    <w:rsid w:val="009A1C63"/>
    <w:rsid w:val="009A1EC9"/>
    <w:rsid w:val="009A272D"/>
    <w:rsid w:val="009A32FF"/>
    <w:rsid w:val="009A35AC"/>
    <w:rsid w:val="009A3956"/>
    <w:rsid w:val="009A3FF6"/>
    <w:rsid w:val="009A437E"/>
    <w:rsid w:val="009A471B"/>
    <w:rsid w:val="009A472C"/>
    <w:rsid w:val="009A4782"/>
    <w:rsid w:val="009A4CDB"/>
    <w:rsid w:val="009A4E46"/>
    <w:rsid w:val="009A4EEE"/>
    <w:rsid w:val="009A5636"/>
    <w:rsid w:val="009A57AF"/>
    <w:rsid w:val="009A5934"/>
    <w:rsid w:val="009A63D0"/>
    <w:rsid w:val="009A693C"/>
    <w:rsid w:val="009A6CEC"/>
    <w:rsid w:val="009A6F76"/>
    <w:rsid w:val="009A7080"/>
    <w:rsid w:val="009A743C"/>
    <w:rsid w:val="009A768D"/>
    <w:rsid w:val="009A776A"/>
    <w:rsid w:val="009A78AD"/>
    <w:rsid w:val="009A7995"/>
    <w:rsid w:val="009A7E31"/>
    <w:rsid w:val="009B03D1"/>
    <w:rsid w:val="009B095D"/>
    <w:rsid w:val="009B0CDB"/>
    <w:rsid w:val="009B1565"/>
    <w:rsid w:val="009B232B"/>
    <w:rsid w:val="009B25BC"/>
    <w:rsid w:val="009B2648"/>
    <w:rsid w:val="009B3163"/>
    <w:rsid w:val="009B3351"/>
    <w:rsid w:val="009B35FE"/>
    <w:rsid w:val="009B3720"/>
    <w:rsid w:val="009B3862"/>
    <w:rsid w:val="009B3C61"/>
    <w:rsid w:val="009B3CFA"/>
    <w:rsid w:val="009B3E76"/>
    <w:rsid w:val="009B46E4"/>
    <w:rsid w:val="009B4AE4"/>
    <w:rsid w:val="009B5396"/>
    <w:rsid w:val="009B5B61"/>
    <w:rsid w:val="009B5B92"/>
    <w:rsid w:val="009B642A"/>
    <w:rsid w:val="009B6636"/>
    <w:rsid w:val="009B6729"/>
    <w:rsid w:val="009B6CB3"/>
    <w:rsid w:val="009B7599"/>
    <w:rsid w:val="009B7801"/>
    <w:rsid w:val="009B7DA7"/>
    <w:rsid w:val="009B7E5E"/>
    <w:rsid w:val="009C037A"/>
    <w:rsid w:val="009C0688"/>
    <w:rsid w:val="009C0D7C"/>
    <w:rsid w:val="009C132A"/>
    <w:rsid w:val="009C1688"/>
    <w:rsid w:val="009C188C"/>
    <w:rsid w:val="009C1F9C"/>
    <w:rsid w:val="009C2619"/>
    <w:rsid w:val="009C2E5F"/>
    <w:rsid w:val="009C3444"/>
    <w:rsid w:val="009C365C"/>
    <w:rsid w:val="009C3794"/>
    <w:rsid w:val="009C416E"/>
    <w:rsid w:val="009C4871"/>
    <w:rsid w:val="009C4C0B"/>
    <w:rsid w:val="009C5068"/>
    <w:rsid w:val="009C5074"/>
    <w:rsid w:val="009C5A35"/>
    <w:rsid w:val="009C5B12"/>
    <w:rsid w:val="009C5EF2"/>
    <w:rsid w:val="009C60D8"/>
    <w:rsid w:val="009C63A4"/>
    <w:rsid w:val="009C64C4"/>
    <w:rsid w:val="009C692F"/>
    <w:rsid w:val="009C718E"/>
    <w:rsid w:val="009C7492"/>
    <w:rsid w:val="009C77C2"/>
    <w:rsid w:val="009C7A8F"/>
    <w:rsid w:val="009C7FBC"/>
    <w:rsid w:val="009D044F"/>
    <w:rsid w:val="009D1548"/>
    <w:rsid w:val="009D18BC"/>
    <w:rsid w:val="009D18FE"/>
    <w:rsid w:val="009D1F7D"/>
    <w:rsid w:val="009D2C14"/>
    <w:rsid w:val="009D2D8F"/>
    <w:rsid w:val="009D30CD"/>
    <w:rsid w:val="009D30E0"/>
    <w:rsid w:val="009D3815"/>
    <w:rsid w:val="009D3DC8"/>
    <w:rsid w:val="009D4274"/>
    <w:rsid w:val="009D42E4"/>
    <w:rsid w:val="009D46E8"/>
    <w:rsid w:val="009D49CA"/>
    <w:rsid w:val="009D4AF7"/>
    <w:rsid w:val="009D4F50"/>
    <w:rsid w:val="009D4F73"/>
    <w:rsid w:val="009D55AC"/>
    <w:rsid w:val="009D5643"/>
    <w:rsid w:val="009D59FD"/>
    <w:rsid w:val="009D5FC9"/>
    <w:rsid w:val="009D61FF"/>
    <w:rsid w:val="009D6965"/>
    <w:rsid w:val="009D69F4"/>
    <w:rsid w:val="009D6B6C"/>
    <w:rsid w:val="009D7774"/>
    <w:rsid w:val="009D7DF3"/>
    <w:rsid w:val="009E11BC"/>
    <w:rsid w:val="009E1897"/>
    <w:rsid w:val="009E1B69"/>
    <w:rsid w:val="009E247B"/>
    <w:rsid w:val="009E276C"/>
    <w:rsid w:val="009E2BD8"/>
    <w:rsid w:val="009E2D6B"/>
    <w:rsid w:val="009E32F0"/>
    <w:rsid w:val="009E341D"/>
    <w:rsid w:val="009E37BB"/>
    <w:rsid w:val="009E3D4D"/>
    <w:rsid w:val="009E412B"/>
    <w:rsid w:val="009E4959"/>
    <w:rsid w:val="009E4AC7"/>
    <w:rsid w:val="009E509F"/>
    <w:rsid w:val="009E5286"/>
    <w:rsid w:val="009E581F"/>
    <w:rsid w:val="009E5AA1"/>
    <w:rsid w:val="009E6062"/>
    <w:rsid w:val="009E65ED"/>
    <w:rsid w:val="009E6F33"/>
    <w:rsid w:val="009E6F8B"/>
    <w:rsid w:val="009E7120"/>
    <w:rsid w:val="009E7344"/>
    <w:rsid w:val="009E7AA7"/>
    <w:rsid w:val="009F05FA"/>
    <w:rsid w:val="009F0E5B"/>
    <w:rsid w:val="009F13E8"/>
    <w:rsid w:val="009F14BC"/>
    <w:rsid w:val="009F15A9"/>
    <w:rsid w:val="009F170A"/>
    <w:rsid w:val="009F1E88"/>
    <w:rsid w:val="009F1F63"/>
    <w:rsid w:val="009F2BE3"/>
    <w:rsid w:val="009F2FF1"/>
    <w:rsid w:val="009F3353"/>
    <w:rsid w:val="009F33AB"/>
    <w:rsid w:val="009F3606"/>
    <w:rsid w:val="009F41D2"/>
    <w:rsid w:val="009F4275"/>
    <w:rsid w:val="009F44B2"/>
    <w:rsid w:val="009F4803"/>
    <w:rsid w:val="009F4CD8"/>
    <w:rsid w:val="009F4CF8"/>
    <w:rsid w:val="009F5C00"/>
    <w:rsid w:val="009F6285"/>
    <w:rsid w:val="009F68CB"/>
    <w:rsid w:val="009F6AC6"/>
    <w:rsid w:val="009F6C97"/>
    <w:rsid w:val="009F6EFC"/>
    <w:rsid w:val="009F77CB"/>
    <w:rsid w:val="009F796B"/>
    <w:rsid w:val="009F7994"/>
    <w:rsid w:val="009F7FE8"/>
    <w:rsid w:val="00A00057"/>
    <w:rsid w:val="00A001C6"/>
    <w:rsid w:val="00A00235"/>
    <w:rsid w:val="00A00535"/>
    <w:rsid w:val="00A00681"/>
    <w:rsid w:val="00A00710"/>
    <w:rsid w:val="00A007C6"/>
    <w:rsid w:val="00A00A5B"/>
    <w:rsid w:val="00A00EB5"/>
    <w:rsid w:val="00A012D3"/>
    <w:rsid w:val="00A014DD"/>
    <w:rsid w:val="00A01840"/>
    <w:rsid w:val="00A01BA3"/>
    <w:rsid w:val="00A02ECD"/>
    <w:rsid w:val="00A030E3"/>
    <w:rsid w:val="00A03293"/>
    <w:rsid w:val="00A03EB1"/>
    <w:rsid w:val="00A0419C"/>
    <w:rsid w:val="00A04650"/>
    <w:rsid w:val="00A04BC4"/>
    <w:rsid w:val="00A05B8B"/>
    <w:rsid w:val="00A065AA"/>
    <w:rsid w:val="00A06848"/>
    <w:rsid w:val="00A071F8"/>
    <w:rsid w:val="00A10103"/>
    <w:rsid w:val="00A10318"/>
    <w:rsid w:val="00A10BFE"/>
    <w:rsid w:val="00A123F0"/>
    <w:rsid w:val="00A139F0"/>
    <w:rsid w:val="00A14CE5"/>
    <w:rsid w:val="00A14DF7"/>
    <w:rsid w:val="00A153B3"/>
    <w:rsid w:val="00A15FB4"/>
    <w:rsid w:val="00A1645E"/>
    <w:rsid w:val="00A16DA9"/>
    <w:rsid w:val="00A16FB6"/>
    <w:rsid w:val="00A17105"/>
    <w:rsid w:val="00A175C9"/>
    <w:rsid w:val="00A1770C"/>
    <w:rsid w:val="00A200A7"/>
    <w:rsid w:val="00A20294"/>
    <w:rsid w:val="00A20C56"/>
    <w:rsid w:val="00A20CED"/>
    <w:rsid w:val="00A20D58"/>
    <w:rsid w:val="00A20D8C"/>
    <w:rsid w:val="00A21067"/>
    <w:rsid w:val="00A2111D"/>
    <w:rsid w:val="00A22822"/>
    <w:rsid w:val="00A23F28"/>
    <w:rsid w:val="00A24065"/>
    <w:rsid w:val="00A24368"/>
    <w:rsid w:val="00A244E8"/>
    <w:rsid w:val="00A24836"/>
    <w:rsid w:val="00A25038"/>
    <w:rsid w:val="00A254D0"/>
    <w:rsid w:val="00A25666"/>
    <w:rsid w:val="00A25AFC"/>
    <w:rsid w:val="00A25E28"/>
    <w:rsid w:val="00A25F55"/>
    <w:rsid w:val="00A26830"/>
    <w:rsid w:val="00A26B2E"/>
    <w:rsid w:val="00A26DAF"/>
    <w:rsid w:val="00A27010"/>
    <w:rsid w:val="00A27E53"/>
    <w:rsid w:val="00A3066E"/>
    <w:rsid w:val="00A306CA"/>
    <w:rsid w:val="00A309C6"/>
    <w:rsid w:val="00A3194E"/>
    <w:rsid w:val="00A321A8"/>
    <w:rsid w:val="00A32F6A"/>
    <w:rsid w:val="00A32FD6"/>
    <w:rsid w:val="00A3323A"/>
    <w:rsid w:val="00A34022"/>
    <w:rsid w:val="00A34489"/>
    <w:rsid w:val="00A345BE"/>
    <w:rsid w:val="00A34FE8"/>
    <w:rsid w:val="00A360D8"/>
    <w:rsid w:val="00A361BB"/>
    <w:rsid w:val="00A3627E"/>
    <w:rsid w:val="00A36397"/>
    <w:rsid w:val="00A36C5D"/>
    <w:rsid w:val="00A4038D"/>
    <w:rsid w:val="00A40582"/>
    <w:rsid w:val="00A41691"/>
    <w:rsid w:val="00A419F4"/>
    <w:rsid w:val="00A41A9F"/>
    <w:rsid w:val="00A41B6F"/>
    <w:rsid w:val="00A41EEB"/>
    <w:rsid w:val="00A42517"/>
    <w:rsid w:val="00A42DA3"/>
    <w:rsid w:val="00A42F3F"/>
    <w:rsid w:val="00A4307E"/>
    <w:rsid w:val="00A43783"/>
    <w:rsid w:val="00A43C27"/>
    <w:rsid w:val="00A444C2"/>
    <w:rsid w:val="00A44A8F"/>
    <w:rsid w:val="00A45786"/>
    <w:rsid w:val="00A45E3B"/>
    <w:rsid w:val="00A45F08"/>
    <w:rsid w:val="00A464F2"/>
    <w:rsid w:val="00A466F6"/>
    <w:rsid w:val="00A46A25"/>
    <w:rsid w:val="00A46F40"/>
    <w:rsid w:val="00A47512"/>
    <w:rsid w:val="00A477A1"/>
    <w:rsid w:val="00A50696"/>
    <w:rsid w:val="00A50730"/>
    <w:rsid w:val="00A508DF"/>
    <w:rsid w:val="00A50D31"/>
    <w:rsid w:val="00A50DF3"/>
    <w:rsid w:val="00A50FBD"/>
    <w:rsid w:val="00A51242"/>
    <w:rsid w:val="00A512B3"/>
    <w:rsid w:val="00A516ED"/>
    <w:rsid w:val="00A517E6"/>
    <w:rsid w:val="00A51FDD"/>
    <w:rsid w:val="00A52577"/>
    <w:rsid w:val="00A52B43"/>
    <w:rsid w:val="00A52D6C"/>
    <w:rsid w:val="00A5360C"/>
    <w:rsid w:val="00A53655"/>
    <w:rsid w:val="00A537DE"/>
    <w:rsid w:val="00A53AB3"/>
    <w:rsid w:val="00A53EB9"/>
    <w:rsid w:val="00A540BB"/>
    <w:rsid w:val="00A542CF"/>
    <w:rsid w:val="00A54C69"/>
    <w:rsid w:val="00A54D14"/>
    <w:rsid w:val="00A54D88"/>
    <w:rsid w:val="00A5586F"/>
    <w:rsid w:val="00A56588"/>
    <w:rsid w:val="00A568AF"/>
    <w:rsid w:val="00A57190"/>
    <w:rsid w:val="00A572B2"/>
    <w:rsid w:val="00A57522"/>
    <w:rsid w:val="00A577BB"/>
    <w:rsid w:val="00A57C03"/>
    <w:rsid w:val="00A6012E"/>
    <w:rsid w:val="00A60375"/>
    <w:rsid w:val="00A60522"/>
    <w:rsid w:val="00A60BB3"/>
    <w:rsid w:val="00A61771"/>
    <w:rsid w:val="00A61F83"/>
    <w:rsid w:val="00A62D04"/>
    <w:rsid w:val="00A6328F"/>
    <w:rsid w:val="00A63AB6"/>
    <w:rsid w:val="00A63EEE"/>
    <w:rsid w:val="00A645C4"/>
    <w:rsid w:val="00A65942"/>
    <w:rsid w:val="00A659FA"/>
    <w:rsid w:val="00A66D7C"/>
    <w:rsid w:val="00A67027"/>
    <w:rsid w:val="00A67038"/>
    <w:rsid w:val="00A67559"/>
    <w:rsid w:val="00A67ED6"/>
    <w:rsid w:val="00A704F5"/>
    <w:rsid w:val="00A70A3E"/>
    <w:rsid w:val="00A70A98"/>
    <w:rsid w:val="00A71031"/>
    <w:rsid w:val="00A71503"/>
    <w:rsid w:val="00A715F8"/>
    <w:rsid w:val="00A7183F"/>
    <w:rsid w:val="00A71EDC"/>
    <w:rsid w:val="00A724A3"/>
    <w:rsid w:val="00A72642"/>
    <w:rsid w:val="00A728E7"/>
    <w:rsid w:val="00A729BB"/>
    <w:rsid w:val="00A72C3E"/>
    <w:rsid w:val="00A730E5"/>
    <w:rsid w:val="00A73F53"/>
    <w:rsid w:val="00A74403"/>
    <w:rsid w:val="00A7475D"/>
    <w:rsid w:val="00A74BA5"/>
    <w:rsid w:val="00A75065"/>
    <w:rsid w:val="00A750F5"/>
    <w:rsid w:val="00A756D3"/>
    <w:rsid w:val="00A75CB6"/>
    <w:rsid w:val="00A75DB9"/>
    <w:rsid w:val="00A760FA"/>
    <w:rsid w:val="00A76361"/>
    <w:rsid w:val="00A7743C"/>
    <w:rsid w:val="00A77A10"/>
    <w:rsid w:val="00A77B0D"/>
    <w:rsid w:val="00A77E19"/>
    <w:rsid w:val="00A80409"/>
    <w:rsid w:val="00A80FB4"/>
    <w:rsid w:val="00A8143C"/>
    <w:rsid w:val="00A81569"/>
    <w:rsid w:val="00A821CE"/>
    <w:rsid w:val="00A82AC2"/>
    <w:rsid w:val="00A82AE1"/>
    <w:rsid w:val="00A82B38"/>
    <w:rsid w:val="00A82CA2"/>
    <w:rsid w:val="00A8357B"/>
    <w:rsid w:val="00A83749"/>
    <w:rsid w:val="00A83981"/>
    <w:rsid w:val="00A83A75"/>
    <w:rsid w:val="00A840F1"/>
    <w:rsid w:val="00A84FB1"/>
    <w:rsid w:val="00A85345"/>
    <w:rsid w:val="00A858FD"/>
    <w:rsid w:val="00A8599B"/>
    <w:rsid w:val="00A8609B"/>
    <w:rsid w:val="00A86F95"/>
    <w:rsid w:val="00A8767D"/>
    <w:rsid w:val="00A876BF"/>
    <w:rsid w:val="00A87E09"/>
    <w:rsid w:val="00A87F8A"/>
    <w:rsid w:val="00A90093"/>
    <w:rsid w:val="00A90450"/>
    <w:rsid w:val="00A90E17"/>
    <w:rsid w:val="00A91019"/>
    <w:rsid w:val="00A9109E"/>
    <w:rsid w:val="00A913CB"/>
    <w:rsid w:val="00A91A60"/>
    <w:rsid w:val="00A91F82"/>
    <w:rsid w:val="00A91F9E"/>
    <w:rsid w:val="00A92046"/>
    <w:rsid w:val="00A92E45"/>
    <w:rsid w:val="00A92F78"/>
    <w:rsid w:val="00A92FDE"/>
    <w:rsid w:val="00A93D1E"/>
    <w:rsid w:val="00A9403B"/>
    <w:rsid w:val="00A947BB"/>
    <w:rsid w:val="00A94F6B"/>
    <w:rsid w:val="00A952BD"/>
    <w:rsid w:val="00A95961"/>
    <w:rsid w:val="00A96477"/>
    <w:rsid w:val="00A97181"/>
    <w:rsid w:val="00A97584"/>
    <w:rsid w:val="00A977F7"/>
    <w:rsid w:val="00AA0B3E"/>
    <w:rsid w:val="00AA1036"/>
    <w:rsid w:val="00AA1360"/>
    <w:rsid w:val="00AA1505"/>
    <w:rsid w:val="00AA2444"/>
    <w:rsid w:val="00AA2750"/>
    <w:rsid w:val="00AA28A8"/>
    <w:rsid w:val="00AA2A81"/>
    <w:rsid w:val="00AA2B4D"/>
    <w:rsid w:val="00AA2C76"/>
    <w:rsid w:val="00AA2FC4"/>
    <w:rsid w:val="00AA38DD"/>
    <w:rsid w:val="00AA520D"/>
    <w:rsid w:val="00AA532F"/>
    <w:rsid w:val="00AA5420"/>
    <w:rsid w:val="00AA5D9B"/>
    <w:rsid w:val="00AA613A"/>
    <w:rsid w:val="00AA645C"/>
    <w:rsid w:val="00AA649E"/>
    <w:rsid w:val="00AA74B9"/>
    <w:rsid w:val="00AA77C6"/>
    <w:rsid w:val="00AB0869"/>
    <w:rsid w:val="00AB0887"/>
    <w:rsid w:val="00AB0A84"/>
    <w:rsid w:val="00AB0CD4"/>
    <w:rsid w:val="00AB16B3"/>
    <w:rsid w:val="00AB19DB"/>
    <w:rsid w:val="00AB1B51"/>
    <w:rsid w:val="00AB25E4"/>
    <w:rsid w:val="00AB29BC"/>
    <w:rsid w:val="00AB2D6C"/>
    <w:rsid w:val="00AB3087"/>
    <w:rsid w:val="00AB3825"/>
    <w:rsid w:val="00AB3C8C"/>
    <w:rsid w:val="00AB4256"/>
    <w:rsid w:val="00AB4B99"/>
    <w:rsid w:val="00AB4BA9"/>
    <w:rsid w:val="00AB4BEF"/>
    <w:rsid w:val="00AB4EFF"/>
    <w:rsid w:val="00AB4F1D"/>
    <w:rsid w:val="00AB53CB"/>
    <w:rsid w:val="00AB573F"/>
    <w:rsid w:val="00AB5C45"/>
    <w:rsid w:val="00AB5F09"/>
    <w:rsid w:val="00AB62A0"/>
    <w:rsid w:val="00AB668F"/>
    <w:rsid w:val="00AB787B"/>
    <w:rsid w:val="00AB7950"/>
    <w:rsid w:val="00AB7A5B"/>
    <w:rsid w:val="00AB7BC7"/>
    <w:rsid w:val="00AB7C1E"/>
    <w:rsid w:val="00AC02EA"/>
    <w:rsid w:val="00AC08E7"/>
    <w:rsid w:val="00AC14D3"/>
    <w:rsid w:val="00AC15A6"/>
    <w:rsid w:val="00AC1F43"/>
    <w:rsid w:val="00AC20CD"/>
    <w:rsid w:val="00AC21CD"/>
    <w:rsid w:val="00AC26FD"/>
    <w:rsid w:val="00AC28DC"/>
    <w:rsid w:val="00AC2B4E"/>
    <w:rsid w:val="00AC3172"/>
    <w:rsid w:val="00AC357A"/>
    <w:rsid w:val="00AC3773"/>
    <w:rsid w:val="00AC3BCE"/>
    <w:rsid w:val="00AC443E"/>
    <w:rsid w:val="00AC4A24"/>
    <w:rsid w:val="00AC4A7C"/>
    <w:rsid w:val="00AC4B0B"/>
    <w:rsid w:val="00AC4CB0"/>
    <w:rsid w:val="00AC503A"/>
    <w:rsid w:val="00AC50E0"/>
    <w:rsid w:val="00AC54BA"/>
    <w:rsid w:val="00AC5557"/>
    <w:rsid w:val="00AC55F4"/>
    <w:rsid w:val="00AC58A7"/>
    <w:rsid w:val="00AC5AB7"/>
    <w:rsid w:val="00AC62E5"/>
    <w:rsid w:val="00AC66B1"/>
    <w:rsid w:val="00AC6DCC"/>
    <w:rsid w:val="00AC6E37"/>
    <w:rsid w:val="00AC6E5B"/>
    <w:rsid w:val="00AC70DA"/>
    <w:rsid w:val="00AC77F2"/>
    <w:rsid w:val="00AC7C9E"/>
    <w:rsid w:val="00AD0039"/>
    <w:rsid w:val="00AD0218"/>
    <w:rsid w:val="00AD0451"/>
    <w:rsid w:val="00AD05B8"/>
    <w:rsid w:val="00AD09CE"/>
    <w:rsid w:val="00AD1F36"/>
    <w:rsid w:val="00AD1F9A"/>
    <w:rsid w:val="00AD28A8"/>
    <w:rsid w:val="00AD2F49"/>
    <w:rsid w:val="00AD474E"/>
    <w:rsid w:val="00AD486F"/>
    <w:rsid w:val="00AD4C60"/>
    <w:rsid w:val="00AD51DA"/>
    <w:rsid w:val="00AD5469"/>
    <w:rsid w:val="00AD5814"/>
    <w:rsid w:val="00AD5943"/>
    <w:rsid w:val="00AD5D0A"/>
    <w:rsid w:val="00AD62C5"/>
    <w:rsid w:val="00AD64C0"/>
    <w:rsid w:val="00AD6750"/>
    <w:rsid w:val="00AD6C04"/>
    <w:rsid w:val="00AD6FEF"/>
    <w:rsid w:val="00AD7692"/>
    <w:rsid w:val="00AD7757"/>
    <w:rsid w:val="00AD7B34"/>
    <w:rsid w:val="00AD7BB8"/>
    <w:rsid w:val="00AD7E1B"/>
    <w:rsid w:val="00AE0194"/>
    <w:rsid w:val="00AE083C"/>
    <w:rsid w:val="00AE0D2E"/>
    <w:rsid w:val="00AE1186"/>
    <w:rsid w:val="00AE15AE"/>
    <w:rsid w:val="00AE1A31"/>
    <w:rsid w:val="00AE1E21"/>
    <w:rsid w:val="00AE219E"/>
    <w:rsid w:val="00AE220D"/>
    <w:rsid w:val="00AE237B"/>
    <w:rsid w:val="00AE2E85"/>
    <w:rsid w:val="00AE30A2"/>
    <w:rsid w:val="00AE3207"/>
    <w:rsid w:val="00AE39A2"/>
    <w:rsid w:val="00AE3C51"/>
    <w:rsid w:val="00AE4161"/>
    <w:rsid w:val="00AE42D0"/>
    <w:rsid w:val="00AE4350"/>
    <w:rsid w:val="00AE5260"/>
    <w:rsid w:val="00AE5515"/>
    <w:rsid w:val="00AE56DA"/>
    <w:rsid w:val="00AE5C29"/>
    <w:rsid w:val="00AE65D5"/>
    <w:rsid w:val="00AE66C3"/>
    <w:rsid w:val="00AE6F9D"/>
    <w:rsid w:val="00AE7217"/>
    <w:rsid w:val="00AE736C"/>
    <w:rsid w:val="00AE7BDD"/>
    <w:rsid w:val="00AE7FEC"/>
    <w:rsid w:val="00AF05F4"/>
    <w:rsid w:val="00AF07B4"/>
    <w:rsid w:val="00AF11DB"/>
    <w:rsid w:val="00AF1583"/>
    <w:rsid w:val="00AF1697"/>
    <w:rsid w:val="00AF17FF"/>
    <w:rsid w:val="00AF197A"/>
    <w:rsid w:val="00AF2927"/>
    <w:rsid w:val="00AF315A"/>
    <w:rsid w:val="00AF32B4"/>
    <w:rsid w:val="00AF3CEC"/>
    <w:rsid w:val="00AF45BF"/>
    <w:rsid w:val="00AF48D7"/>
    <w:rsid w:val="00AF4C8C"/>
    <w:rsid w:val="00AF4E2A"/>
    <w:rsid w:val="00AF5563"/>
    <w:rsid w:val="00AF57A9"/>
    <w:rsid w:val="00AF5C51"/>
    <w:rsid w:val="00AF5D2A"/>
    <w:rsid w:val="00AF5D89"/>
    <w:rsid w:val="00AF5DDC"/>
    <w:rsid w:val="00AF619F"/>
    <w:rsid w:val="00AF62FF"/>
    <w:rsid w:val="00AF68E1"/>
    <w:rsid w:val="00AF6CEC"/>
    <w:rsid w:val="00AF7028"/>
    <w:rsid w:val="00AF7319"/>
    <w:rsid w:val="00AF74A2"/>
    <w:rsid w:val="00AF78F7"/>
    <w:rsid w:val="00B003B7"/>
    <w:rsid w:val="00B00704"/>
    <w:rsid w:val="00B00902"/>
    <w:rsid w:val="00B0094F"/>
    <w:rsid w:val="00B00A32"/>
    <w:rsid w:val="00B01220"/>
    <w:rsid w:val="00B01380"/>
    <w:rsid w:val="00B0169D"/>
    <w:rsid w:val="00B01B2B"/>
    <w:rsid w:val="00B01D30"/>
    <w:rsid w:val="00B01D58"/>
    <w:rsid w:val="00B0220B"/>
    <w:rsid w:val="00B02C67"/>
    <w:rsid w:val="00B02E01"/>
    <w:rsid w:val="00B02F29"/>
    <w:rsid w:val="00B03370"/>
    <w:rsid w:val="00B03CEE"/>
    <w:rsid w:val="00B03D81"/>
    <w:rsid w:val="00B04712"/>
    <w:rsid w:val="00B04A77"/>
    <w:rsid w:val="00B04BC6"/>
    <w:rsid w:val="00B051F2"/>
    <w:rsid w:val="00B05732"/>
    <w:rsid w:val="00B05904"/>
    <w:rsid w:val="00B059F1"/>
    <w:rsid w:val="00B05CED"/>
    <w:rsid w:val="00B05F00"/>
    <w:rsid w:val="00B06084"/>
    <w:rsid w:val="00B06289"/>
    <w:rsid w:val="00B0663E"/>
    <w:rsid w:val="00B06950"/>
    <w:rsid w:val="00B06EC1"/>
    <w:rsid w:val="00B073B9"/>
    <w:rsid w:val="00B07407"/>
    <w:rsid w:val="00B1004F"/>
    <w:rsid w:val="00B1032E"/>
    <w:rsid w:val="00B10720"/>
    <w:rsid w:val="00B1082D"/>
    <w:rsid w:val="00B1096E"/>
    <w:rsid w:val="00B10E09"/>
    <w:rsid w:val="00B11C93"/>
    <w:rsid w:val="00B1230F"/>
    <w:rsid w:val="00B12399"/>
    <w:rsid w:val="00B1240D"/>
    <w:rsid w:val="00B12C53"/>
    <w:rsid w:val="00B13183"/>
    <w:rsid w:val="00B13655"/>
    <w:rsid w:val="00B13A6E"/>
    <w:rsid w:val="00B13AFA"/>
    <w:rsid w:val="00B13C53"/>
    <w:rsid w:val="00B1413E"/>
    <w:rsid w:val="00B1453F"/>
    <w:rsid w:val="00B14928"/>
    <w:rsid w:val="00B14D4D"/>
    <w:rsid w:val="00B15241"/>
    <w:rsid w:val="00B15516"/>
    <w:rsid w:val="00B16558"/>
    <w:rsid w:val="00B1673D"/>
    <w:rsid w:val="00B16D99"/>
    <w:rsid w:val="00B16F44"/>
    <w:rsid w:val="00B17026"/>
    <w:rsid w:val="00B17166"/>
    <w:rsid w:val="00B172AA"/>
    <w:rsid w:val="00B2058F"/>
    <w:rsid w:val="00B207C2"/>
    <w:rsid w:val="00B20F4E"/>
    <w:rsid w:val="00B2115D"/>
    <w:rsid w:val="00B21401"/>
    <w:rsid w:val="00B2158B"/>
    <w:rsid w:val="00B217C7"/>
    <w:rsid w:val="00B227D3"/>
    <w:rsid w:val="00B229B1"/>
    <w:rsid w:val="00B236EF"/>
    <w:rsid w:val="00B23C04"/>
    <w:rsid w:val="00B23EFC"/>
    <w:rsid w:val="00B23F32"/>
    <w:rsid w:val="00B24C39"/>
    <w:rsid w:val="00B25553"/>
    <w:rsid w:val="00B255FB"/>
    <w:rsid w:val="00B25667"/>
    <w:rsid w:val="00B25753"/>
    <w:rsid w:val="00B2575C"/>
    <w:rsid w:val="00B26558"/>
    <w:rsid w:val="00B268F5"/>
    <w:rsid w:val="00B26A1D"/>
    <w:rsid w:val="00B27249"/>
    <w:rsid w:val="00B272F4"/>
    <w:rsid w:val="00B273A3"/>
    <w:rsid w:val="00B27BFC"/>
    <w:rsid w:val="00B27E69"/>
    <w:rsid w:val="00B30199"/>
    <w:rsid w:val="00B31259"/>
    <w:rsid w:val="00B313EA"/>
    <w:rsid w:val="00B3216F"/>
    <w:rsid w:val="00B3222E"/>
    <w:rsid w:val="00B327D5"/>
    <w:rsid w:val="00B32A98"/>
    <w:rsid w:val="00B32C05"/>
    <w:rsid w:val="00B33F70"/>
    <w:rsid w:val="00B34CA7"/>
    <w:rsid w:val="00B34FF4"/>
    <w:rsid w:val="00B35A15"/>
    <w:rsid w:val="00B36669"/>
    <w:rsid w:val="00B36C39"/>
    <w:rsid w:val="00B37036"/>
    <w:rsid w:val="00B37D90"/>
    <w:rsid w:val="00B37F70"/>
    <w:rsid w:val="00B40020"/>
    <w:rsid w:val="00B4039C"/>
    <w:rsid w:val="00B4047A"/>
    <w:rsid w:val="00B41B83"/>
    <w:rsid w:val="00B41E7D"/>
    <w:rsid w:val="00B42086"/>
    <w:rsid w:val="00B42489"/>
    <w:rsid w:val="00B4265B"/>
    <w:rsid w:val="00B4280C"/>
    <w:rsid w:val="00B42822"/>
    <w:rsid w:val="00B42AA9"/>
    <w:rsid w:val="00B43761"/>
    <w:rsid w:val="00B4385E"/>
    <w:rsid w:val="00B43A55"/>
    <w:rsid w:val="00B43E18"/>
    <w:rsid w:val="00B44030"/>
    <w:rsid w:val="00B441C4"/>
    <w:rsid w:val="00B4442A"/>
    <w:rsid w:val="00B44760"/>
    <w:rsid w:val="00B44E50"/>
    <w:rsid w:val="00B4508F"/>
    <w:rsid w:val="00B45D22"/>
    <w:rsid w:val="00B45D81"/>
    <w:rsid w:val="00B4628D"/>
    <w:rsid w:val="00B46AD1"/>
    <w:rsid w:val="00B47126"/>
    <w:rsid w:val="00B471E1"/>
    <w:rsid w:val="00B47208"/>
    <w:rsid w:val="00B47B9E"/>
    <w:rsid w:val="00B47D0D"/>
    <w:rsid w:val="00B47FDF"/>
    <w:rsid w:val="00B503A5"/>
    <w:rsid w:val="00B5065C"/>
    <w:rsid w:val="00B50865"/>
    <w:rsid w:val="00B50B73"/>
    <w:rsid w:val="00B50C09"/>
    <w:rsid w:val="00B50C14"/>
    <w:rsid w:val="00B50C71"/>
    <w:rsid w:val="00B50D24"/>
    <w:rsid w:val="00B5150E"/>
    <w:rsid w:val="00B518BF"/>
    <w:rsid w:val="00B51D57"/>
    <w:rsid w:val="00B51E9E"/>
    <w:rsid w:val="00B525E3"/>
    <w:rsid w:val="00B528C3"/>
    <w:rsid w:val="00B52B8F"/>
    <w:rsid w:val="00B53156"/>
    <w:rsid w:val="00B5347E"/>
    <w:rsid w:val="00B5493A"/>
    <w:rsid w:val="00B54B11"/>
    <w:rsid w:val="00B553C2"/>
    <w:rsid w:val="00B55DE2"/>
    <w:rsid w:val="00B562E9"/>
    <w:rsid w:val="00B563D9"/>
    <w:rsid w:val="00B565A1"/>
    <w:rsid w:val="00B56B18"/>
    <w:rsid w:val="00B57929"/>
    <w:rsid w:val="00B60253"/>
    <w:rsid w:val="00B6047F"/>
    <w:rsid w:val="00B61683"/>
    <w:rsid w:val="00B61D5A"/>
    <w:rsid w:val="00B61DF5"/>
    <w:rsid w:val="00B61FAB"/>
    <w:rsid w:val="00B62081"/>
    <w:rsid w:val="00B622E1"/>
    <w:rsid w:val="00B62E64"/>
    <w:rsid w:val="00B6317D"/>
    <w:rsid w:val="00B631C2"/>
    <w:rsid w:val="00B633C7"/>
    <w:rsid w:val="00B63857"/>
    <w:rsid w:val="00B6385B"/>
    <w:rsid w:val="00B638F4"/>
    <w:rsid w:val="00B639C7"/>
    <w:rsid w:val="00B63A2C"/>
    <w:rsid w:val="00B63CA0"/>
    <w:rsid w:val="00B64295"/>
    <w:rsid w:val="00B64388"/>
    <w:rsid w:val="00B643B0"/>
    <w:rsid w:val="00B64B9E"/>
    <w:rsid w:val="00B64D9A"/>
    <w:rsid w:val="00B65F0B"/>
    <w:rsid w:val="00B66156"/>
    <w:rsid w:val="00B670E2"/>
    <w:rsid w:val="00B67692"/>
    <w:rsid w:val="00B67AE2"/>
    <w:rsid w:val="00B67CD0"/>
    <w:rsid w:val="00B67E5F"/>
    <w:rsid w:val="00B70450"/>
    <w:rsid w:val="00B70823"/>
    <w:rsid w:val="00B70CFD"/>
    <w:rsid w:val="00B712AD"/>
    <w:rsid w:val="00B71375"/>
    <w:rsid w:val="00B713C1"/>
    <w:rsid w:val="00B71C2F"/>
    <w:rsid w:val="00B71D16"/>
    <w:rsid w:val="00B727F1"/>
    <w:rsid w:val="00B72A99"/>
    <w:rsid w:val="00B72A9A"/>
    <w:rsid w:val="00B73786"/>
    <w:rsid w:val="00B74250"/>
    <w:rsid w:val="00B744F3"/>
    <w:rsid w:val="00B747C3"/>
    <w:rsid w:val="00B74846"/>
    <w:rsid w:val="00B74B1C"/>
    <w:rsid w:val="00B74E38"/>
    <w:rsid w:val="00B75079"/>
    <w:rsid w:val="00B757A7"/>
    <w:rsid w:val="00B75842"/>
    <w:rsid w:val="00B75AE8"/>
    <w:rsid w:val="00B760AE"/>
    <w:rsid w:val="00B7741E"/>
    <w:rsid w:val="00B77466"/>
    <w:rsid w:val="00B7767C"/>
    <w:rsid w:val="00B8009B"/>
    <w:rsid w:val="00B80644"/>
    <w:rsid w:val="00B80D4C"/>
    <w:rsid w:val="00B80DC1"/>
    <w:rsid w:val="00B811A5"/>
    <w:rsid w:val="00B81564"/>
    <w:rsid w:val="00B81A58"/>
    <w:rsid w:val="00B81D63"/>
    <w:rsid w:val="00B8240B"/>
    <w:rsid w:val="00B826FD"/>
    <w:rsid w:val="00B82B0C"/>
    <w:rsid w:val="00B83033"/>
    <w:rsid w:val="00B83377"/>
    <w:rsid w:val="00B83EB6"/>
    <w:rsid w:val="00B84391"/>
    <w:rsid w:val="00B8448C"/>
    <w:rsid w:val="00B8501A"/>
    <w:rsid w:val="00B85578"/>
    <w:rsid w:val="00B857C4"/>
    <w:rsid w:val="00B85AE0"/>
    <w:rsid w:val="00B85E49"/>
    <w:rsid w:val="00B865D2"/>
    <w:rsid w:val="00B86F6A"/>
    <w:rsid w:val="00B8794F"/>
    <w:rsid w:val="00B87D74"/>
    <w:rsid w:val="00B87FBD"/>
    <w:rsid w:val="00B9037D"/>
    <w:rsid w:val="00B9044B"/>
    <w:rsid w:val="00B908F3"/>
    <w:rsid w:val="00B92AEA"/>
    <w:rsid w:val="00B92F87"/>
    <w:rsid w:val="00B930A4"/>
    <w:rsid w:val="00B93FFE"/>
    <w:rsid w:val="00B946B5"/>
    <w:rsid w:val="00B9575A"/>
    <w:rsid w:val="00B957B4"/>
    <w:rsid w:val="00B958BF"/>
    <w:rsid w:val="00B9593C"/>
    <w:rsid w:val="00B95B90"/>
    <w:rsid w:val="00B95BC9"/>
    <w:rsid w:val="00B95F20"/>
    <w:rsid w:val="00B9618A"/>
    <w:rsid w:val="00B963E8"/>
    <w:rsid w:val="00B9670A"/>
    <w:rsid w:val="00B96E59"/>
    <w:rsid w:val="00B96EE3"/>
    <w:rsid w:val="00B97110"/>
    <w:rsid w:val="00B97371"/>
    <w:rsid w:val="00B97596"/>
    <w:rsid w:val="00B97B9C"/>
    <w:rsid w:val="00B97C3E"/>
    <w:rsid w:val="00BA0CC7"/>
    <w:rsid w:val="00BA1414"/>
    <w:rsid w:val="00BA175E"/>
    <w:rsid w:val="00BA18C3"/>
    <w:rsid w:val="00BA1E67"/>
    <w:rsid w:val="00BA285A"/>
    <w:rsid w:val="00BA2F55"/>
    <w:rsid w:val="00BA3045"/>
    <w:rsid w:val="00BA33EE"/>
    <w:rsid w:val="00BA4047"/>
    <w:rsid w:val="00BA40CF"/>
    <w:rsid w:val="00BA41AA"/>
    <w:rsid w:val="00BA4208"/>
    <w:rsid w:val="00BA4AA7"/>
    <w:rsid w:val="00BA4DFA"/>
    <w:rsid w:val="00BA5C7D"/>
    <w:rsid w:val="00BA60DC"/>
    <w:rsid w:val="00BA6983"/>
    <w:rsid w:val="00BA6DBF"/>
    <w:rsid w:val="00BA74F8"/>
    <w:rsid w:val="00BA7C99"/>
    <w:rsid w:val="00BA7DBB"/>
    <w:rsid w:val="00BB00B2"/>
    <w:rsid w:val="00BB04CC"/>
    <w:rsid w:val="00BB0740"/>
    <w:rsid w:val="00BB08DC"/>
    <w:rsid w:val="00BB0C6C"/>
    <w:rsid w:val="00BB0D09"/>
    <w:rsid w:val="00BB0FB7"/>
    <w:rsid w:val="00BB0FD6"/>
    <w:rsid w:val="00BB14C9"/>
    <w:rsid w:val="00BB1A7C"/>
    <w:rsid w:val="00BB1BA8"/>
    <w:rsid w:val="00BB1D64"/>
    <w:rsid w:val="00BB1DE0"/>
    <w:rsid w:val="00BB1EFF"/>
    <w:rsid w:val="00BB22F8"/>
    <w:rsid w:val="00BB2727"/>
    <w:rsid w:val="00BB27A9"/>
    <w:rsid w:val="00BB27B2"/>
    <w:rsid w:val="00BB2925"/>
    <w:rsid w:val="00BB295E"/>
    <w:rsid w:val="00BB2F00"/>
    <w:rsid w:val="00BB36DE"/>
    <w:rsid w:val="00BB3A2B"/>
    <w:rsid w:val="00BB3CAB"/>
    <w:rsid w:val="00BB3E35"/>
    <w:rsid w:val="00BB4366"/>
    <w:rsid w:val="00BB43E3"/>
    <w:rsid w:val="00BB48E8"/>
    <w:rsid w:val="00BB4C76"/>
    <w:rsid w:val="00BB5131"/>
    <w:rsid w:val="00BB6673"/>
    <w:rsid w:val="00BB6E71"/>
    <w:rsid w:val="00BB7291"/>
    <w:rsid w:val="00BB75C4"/>
    <w:rsid w:val="00BB7CB2"/>
    <w:rsid w:val="00BC01D5"/>
    <w:rsid w:val="00BC0912"/>
    <w:rsid w:val="00BC0FAD"/>
    <w:rsid w:val="00BC1020"/>
    <w:rsid w:val="00BC1C88"/>
    <w:rsid w:val="00BC1E92"/>
    <w:rsid w:val="00BC2464"/>
    <w:rsid w:val="00BC2755"/>
    <w:rsid w:val="00BC3374"/>
    <w:rsid w:val="00BC3CAE"/>
    <w:rsid w:val="00BC3D68"/>
    <w:rsid w:val="00BC3D74"/>
    <w:rsid w:val="00BC3E36"/>
    <w:rsid w:val="00BC46F5"/>
    <w:rsid w:val="00BC53EB"/>
    <w:rsid w:val="00BC5429"/>
    <w:rsid w:val="00BC5B1C"/>
    <w:rsid w:val="00BC5DF4"/>
    <w:rsid w:val="00BC60C4"/>
    <w:rsid w:val="00BC6C19"/>
    <w:rsid w:val="00BC78BB"/>
    <w:rsid w:val="00BC78C0"/>
    <w:rsid w:val="00BC7B7A"/>
    <w:rsid w:val="00BD01B5"/>
    <w:rsid w:val="00BD03A7"/>
    <w:rsid w:val="00BD0543"/>
    <w:rsid w:val="00BD054A"/>
    <w:rsid w:val="00BD0C02"/>
    <w:rsid w:val="00BD1A0B"/>
    <w:rsid w:val="00BD24A1"/>
    <w:rsid w:val="00BD265E"/>
    <w:rsid w:val="00BD2F0C"/>
    <w:rsid w:val="00BD2FD0"/>
    <w:rsid w:val="00BD38AB"/>
    <w:rsid w:val="00BD3B1C"/>
    <w:rsid w:val="00BD42EC"/>
    <w:rsid w:val="00BD4AB2"/>
    <w:rsid w:val="00BD4CDB"/>
    <w:rsid w:val="00BD4EB0"/>
    <w:rsid w:val="00BD556D"/>
    <w:rsid w:val="00BD5881"/>
    <w:rsid w:val="00BD5CA5"/>
    <w:rsid w:val="00BD5EB4"/>
    <w:rsid w:val="00BD61F0"/>
    <w:rsid w:val="00BD6F48"/>
    <w:rsid w:val="00BD7848"/>
    <w:rsid w:val="00BD7971"/>
    <w:rsid w:val="00BD7FF2"/>
    <w:rsid w:val="00BE0025"/>
    <w:rsid w:val="00BE0491"/>
    <w:rsid w:val="00BE0514"/>
    <w:rsid w:val="00BE0604"/>
    <w:rsid w:val="00BE092D"/>
    <w:rsid w:val="00BE0D85"/>
    <w:rsid w:val="00BE0DCF"/>
    <w:rsid w:val="00BE1EB1"/>
    <w:rsid w:val="00BE2D38"/>
    <w:rsid w:val="00BE322B"/>
    <w:rsid w:val="00BE3664"/>
    <w:rsid w:val="00BE38CC"/>
    <w:rsid w:val="00BE3B7D"/>
    <w:rsid w:val="00BE3CA7"/>
    <w:rsid w:val="00BE3CEF"/>
    <w:rsid w:val="00BE3D42"/>
    <w:rsid w:val="00BE4125"/>
    <w:rsid w:val="00BE43BD"/>
    <w:rsid w:val="00BE50D0"/>
    <w:rsid w:val="00BE5168"/>
    <w:rsid w:val="00BE55A6"/>
    <w:rsid w:val="00BE571D"/>
    <w:rsid w:val="00BE592C"/>
    <w:rsid w:val="00BE5C9D"/>
    <w:rsid w:val="00BE603B"/>
    <w:rsid w:val="00BE67DE"/>
    <w:rsid w:val="00BE6809"/>
    <w:rsid w:val="00BE6C25"/>
    <w:rsid w:val="00BE6F43"/>
    <w:rsid w:val="00BE7786"/>
    <w:rsid w:val="00BF02B8"/>
    <w:rsid w:val="00BF04F6"/>
    <w:rsid w:val="00BF077D"/>
    <w:rsid w:val="00BF154E"/>
    <w:rsid w:val="00BF1792"/>
    <w:rsid w:val="00BF1949"/>
    <w:rsid w:val="00BF1BD5"/>
    <w:rsid w:val="00BF2B31"/>
    <w:rsid w:val="00BF3D92"/>
    <w:rsid w:val="00BF3FF4"/>
    <w:rsid w:val="00BF5C27"/>
    <w:rsid w:val="00BF63B6"/>
    <w:rsid w:val="00BF68F4"/>
    <w:rsid w:val="00BF6CFE"/>
    <w:rsid w:val="00BF6FE4"/>
    <w:rsid w:val="00C000FD"/>
    <w:rsid w:val="00C0067C"/>
    <w:rsid w:val="00C00D0F"/>
    <w:rsid w:val="00C01EA0"/>
    <w:rsid w:val="00C02361"/>
    <w:rsid w:val="00C0245B"/>
    <w:rsid w:val="00C028CF"/>
    <w:rsid w:val="00C02B87"/>
    <w:rsid w:val="00C033C2"/>
    <w:rsid w:val="00C05226"/>
    <w:rsid w:val="00C05638"/>
    <w:rsid w:val="00C0602F"/>
    <w:rsid w:val="00C06274"/>
    <w:rsid w:val="00C071DC"/>
    <w:rsid w:val="00C07651"/>
    <w:rsid w:val="00C07EBA"/>
    <w:rsid w:val="00C101DA"/>
    <w:rsid w:val="00C1069D"/>
    <w:rsid w:val="00C10A16"/>
    <w:rsid w:val="00C10A26"/>
    <w:rsid w:val="00C10A37"/>
    <w:rsid w:val="00C10B61"/>
    <w:rsid w:val="00C10BCF"/>
    <w:rsid w:val="00C10EF5"/>
    <w:rsid w:val="00C110F4"/>
    <w:rsid w:val="00C1275C"/>
    <w:rsid w:val="00C12BEF"/>
    <w:rsid w:val="00C12C94"/>
    <w:rsid w:val="00C12D26"/>
    <w:rsid w:val="00C1305B"/>
    <w:rsid w:val="00C13C7E"/>
    <w:rsid w:val="00C1416D"/>
    <w:rsid w:val="00C1460D"/>
    <w:rsid w:val="00C14A39"/>
    <w:rsid w:val="00C156B8"/>
    <w:rsid w:val="00C16B7A"/>
    <w:rsid w:val="00C16D2A"/>
    <w:rsid w:val="00C17742"/>
    <w:rsid w:val="00C17C06"/>
    <w:rsid w:val="00C17F5D"/>
    <w:rsid w:val="00C20021"/>
    <w:rsid w:val="00C201CE"/>
    <w:rsid w:val="00C2076D"/>
    <w:rsid w:val="00C20885"/>
    <w:rsid w:val="00C208CA"/>
    <w:rsid w:val="00C20B1A"/>
    <w:rsid w:val="00C21005"/>
    <w:rsid w:val="00C2138F"/>
    <w:rsid w:val="00C215AD"/>
    <w:rsid w:val="00C21714"/>
    <w:rsid w:val="00C22F3E"/>
    <w:rsid w:val="00C23051"/>
    <w:rsid w:val="00C23BE8"/>
    <w:rsid w:val="00C24329"/>
    <w:rsid w:val="00C247D9"/>
    <w:rsid w:val="00C24BB3"/>
    <w:rsid w:val="00C24BD0"/>
    <w:rsid w:val="00C24DCE"/>
    <w:rsid w:val="00C25480"/>
    <w:rsid w:val="00C25608"/>
    <w:rsid w:val="00C2566D"/>
    <w:rsid w:val="00C25EBC"/>
    <w:rsid w:val="00C26296"/>
    <w:rsid w:val="00C26451"/>
    <w:rsid w:val="00C264FF"/>
    <w:rsid w:val="00C266E2"/>
    <w:rsid w:val="00C27F26"/>
    <w:rsid w:val="00C27F68"/>
    <w:rsid w:val="00C301C0"/>
    <w:rsid w:val="00C30259"/>
    <w:rsid w:val="00C30D7C"/>
    <w:rsid w:val="00C31497"/>
    <w:rsid w:val="00C31A2F"/>
    <w:rsid w:val="00C31A55"/>
    <w:rsid w:val="00C31B72"/>
    <w:rsid w:val="00C3265D"/>
    <w:rsid w:val="00C329C6"/>
    <w:rsid w:val="00C3371B"/>
    <w:rsid w:val="00C3375E"/>
    <w:rsid w:val="00C345D7"/>
    <w:rsid w:val="00C34854"/>
    <w:rsid w:val="00C34B29"/>
    <w:rsid w:val="00C34B2C"/>
    <w:rsid w:val="00C34C05"/>
    <w:rsid w:val="00C34C46"/>
    <w:rsid w:val="00C363C1"/>
    <w:rsid w:val="00C3688F"/>
    <w:rsid w:val="00C36A0C"/>
    <w:rsid w:val="00C36AA0"/>
    <w:rsid w:val="00C36B1F"/>
    <w:rsid w:val="00C36D79"/>
    <w:rsid w:val="00C37BAD"/>
    <w:rsid w:val="00C37C3E"/>
    <w:rsid w:val="00C37DD9"/>
    <w:rsid w:val="00C37E94"/>
    <w:rsid w:val="00C40AE7"/>
    <w:rsid w:val="00C4110D"/>
    <w:rsid w:val="00C412D5"/>
    <w:rsid w:val="00C41BED"/>
    <w:rsid w:val="00C421DC"/>
    <w:rsid w:val="00C42594"/>
    <w:rsid w:val="00C42A79"/>
    <w:rsid w:val="00C42AE6"/>
    <w:rsid w:val="00C42CE1"/>
    <w:rsid w:val="00C42E3C"/>
    <w:rsid w:val="00C43599"/>
    <w:rsid w:val="00C43692"/>
    <w:rsid w:val="00C43C97"/>
    <w:rsid w:val="00C43DFD"/>
    <w:rsid w:val="00C44085"/>
    <w:rsid w:val="00C44149"/>
    <w:rsid w:val="00C444AE"/>
    <w:rsid w:val="00C4499C"/>
    <w:rsid w:val="00C45336"/>
    <w:rsid w:val="00C459BF"/>
    <w:rsid w:val="00C45ADD"/>
    <w:rsid w:val="00C46B43"/>
    <w:rsid w:val="00C470C9"/>
    <w:rsid w:val="00C47637"/>
    <w:rsid w:val="00C478ED"/>
    <w:rsid w:val="00C478F4"/>
    <w:rsid w:val="00C47BCD"/>
    <w:rsid w:val="00C47C47"/>
    <w:rsid w:val="00C47F10"/>
    <w:rsid w:val="00C47F21"/>
    <w:rsid w:val="00C5090B"/>
    <w:rsid w:val="00C51180"/>
    <w:rsid w:val="00C51266"/>
    <w:rsid w:val="00C5126A"/>
    <w:rsid w:val="00C520B4"/>
    <w:rsid w:val="00C522E7"/>
    <w:rsid w:val="00C526A7"/>
    <w:rsid w:val="00C531B1"/>
    <w:rsid w:val="00C531E6"/>
    <w:rsid w:val="00C534FA"/>
    <w:rsid w:val="00C535B6"/>
    <w:rsid w:val="00C53BA7"/>
    <w:rsid w:val="00C53DC3"/>
    <w:rsid w:val="00C553FE"/>
    <w:rsid w:val="00C5593B"/>
    <w:rsid w:val="00C55A4F"/>
    <w:rsid w:val="00C57107"/>
    <w:rsid w:val="00C573B8"/>
    <w:rsid w:val="00C57701"/>
    <w:rsid w:val="00C57EB8"/>
    <w:rsid w:val="00C609A2"/>
    <w:rsid w:val="00C60E3D"/>
    <w:rsid w:val="00C61221"/>
    <w:rsid w:val="00C61817"/>
    <w:rsid w:val="00C61E5E"/>
    <w:rsid w:val="00C62191"/>
    <w:rsid w:val="00C623F4"/>
    <w:rsid w:val="00C62FA3"/>
    <w:rsid w:val="00C63301"/>
    <w:rsid w:val="00C63473"/>
    <w:rsid w:val="00C63AF7"/>
    <w:rsid w:val="00C63C83"/>
    <w:rsid w:val="00C63D33"/>
    <w:rsid w:val="00C647FB"/>
    <w:rsid w:val="00C64A0A"/>
    <w:rsid w:val="00C64A50"/>
    <w:rsid w:val="00C66009"/>
    <w:rsid w:val="00C66209"/>
    <w:rsid w:val="00C6639C"/>
    <w:rsid w:val="00C66C35"/>
    <w:rsid w:val="00C673D5"/>
    <w:rsid w:val="00C673FD"/>
    <w:rsid w:val="00C67BDC"/>
    <w:rsid w:val="00C67CC4"/>
    <w:rsid w:val="00C70CE4"/>
    <w:rsid w:val="00C70FFC"/>
    <w:rsid w:val="00C718C2"/>
    <w:rsid w:val="00C71B61"/>
    <w:rsid w:val="00C72C2B"/>
    <w:rsid w:val="00C72F21"/>
    <w:rsid w:val="00C73148"/>
    <w:rsid w:val="00C7392A"/>
    <w:rsid w:val="00C74175"/>
    <w:rsid w:val="00C742EB"/>
    <w:rsid w:val="00C746E3"/>
    <w:rsid w:val="00C749C4"/>
    <w:rsid w:val="00C74A79"/>
    <w:rsid w:val="00C74B0B"/>
    <w:rsid w:val="00C74BFD"/>
    <w:rsid w:val="00C74EA6"/>
    <w:rsid w:val="00C7503B"/>
    <w:rsid w:val="00C75308"/>
    <w:rsid w:val="00C75451"/>
    <w:rsid w:val="00C764ED"/>
    <w:rsid w:val="00C767F8"/>
    <w:rsid w:val="00C76E5F"/>
    <w:rsid w:val="00C7717E"/>
    <w:rsid w:val="00C776FB"/>
    <w:rsid w:val="00C77908"/>
    <w:rsid w:val="00C77AED"/>
    <w:rsid w:val="00C77C7F"/>
    <w:rsid w:val="00C77C96"/>
    <w:rsid w:val="00C77EF6"/>
    <w:rsid w:val="00C77F3E"/>
    <w:rsid w:val="00C80D66"/>
    <w:rsid w:val="00C81348"/>
    <w:rsid w:val="00C81791"/>
    <w:rsid w:val="00C817BE"/>
    <w:rsid w:val="00C81A5C"/>
    <w:rsid w:val="00C81EA2"/>
    <w:rsid w:val="00C8202F"/>
    <w:rsid w:val="00C820B1"/>
    <w:rsid w:val="00C820F7"/>
    <w:rsid w:val="00C8260B"/>
    <w:rsid w:val="00C82B79"/>
    <w:rsid w:val="00C82C13"/>
    <w:rsid w:val="00C831D0"/>
    <w:rsid w:val="00C83C69"/>
    <w:rsid w:val="00C84C31"/>
    <w:rsid w:val="00C84FDC"/>
    <w:rsid w:val="00C85144"/>
    <w:rsid w:val="00C851B2"/>
    <w:rsid w:val="00C85E42"/>
    <w:rsid w:val="00C86175"/>
    <w:rsid w:val="00C86955"/>
    <w:rsid w:val="00C869B4"/>
    <w:rsid w:val="00C86F06"/>
    <w:rsid w:val="00C86F3D"/>
    <w:rsid w:val="00C8758F"/>
    <w:rsid w:val="00C879D2"/>
    <w:rsid w:val="00C901FB"/>
    <w:rsid w:val="00C90B6A"/>
    <w:rsid w:val="00C92190"/>
    <w:rsid w:val="00C9235D"/>
    <w:rsid w:val="00C9256F"/>
    <w:rsid w:val="00C9261A"/>
    <w:rsid w:val="00C92ADB"/>
    <w:rsid w:val="00C93119"/>
    <w:rsid w:val="00C9362B"/>
    <w:rsid w:val="00C937AE"/>
    <w:rsid w:val="00C941B1"/>
    <w:rsid w:val="00C94364"/>
    <w:rsid w:val="00C94D96"/>
    <w:rsid w:val="00C9503E"/>
    <w:rsid w:val="00C9528E"/>
    <w:rsid w:val="00C95926"/>
    <w:rsid w:val="00C95BA2"/>
    <w:rsid w:val="00C95EC7"/>
    <w:rsid w:val="00C961D8"/>
    <w:rsid w:val="00C96911"/>
    <w:rsid w:val="00C969F3"/>
    <w:rsid w:val="00C96E9D"/>
    <w:rsid w:val="00C96FD6"/>
    <w:rsid w:val="00C97299"/>
    <w:rsid w:val="00C972ED"/>
    <w:rsid w:val="00C97442"/>
    <w:rsid w:val="00C974BA"/>
    <w:rsid w:val="00C97A39"/>
    <w:rsid w:val="00C97F1D"/>
    <w:rsid w:val="00CA09A3"/>
    <w:rsid w:val="00CA0C58"/>
    <w:rsid w:val="00CA0F19"/>
    <w:rsid w:val="00CA14B7"/>
    <w:rsid w:val="00CA15E9"/>
    <w:rsid w:val="00CA1CD2"/>
    <w:rsid w:val="00CA1F47"/>
    <w:rsid w:val="00CA1FC5"/>
    <w:rsid w:val="00CA2EBF"/>
    <w:rsid w:val="00CA30C4"/>
    <w:rsid w:val="00CA3330"/>
    <w:rsid w:val="00CA3827"/>
    <w:rsid w:val="00CA39B4"/>
    <w:rsid w:val="00CA439E"/>
    <w:rsid w:val="00CA44E0"/>
    <w:rsid w:val="00CA4F8D"/>
    <w:rsid w:val="00CA5419"/>
    <w:rsid w:val="00CA5515"/>
    <w:rsid w:val="00CA62B7"/>
    <w:rsid w:val="00CA6A30"/>
    <w:rsid w:val="00CA6E1C"/>
    <w:rsid w:val="00CA70A0"/>
    <w:rsid w:val="00CA70E6"/>
    <w:rsid w:val="00CA7179"/>
    <w:rsid w:val="00CA77C4"/>
    <w:rsid w:val="00CA781E"/>
    <w:rsid w:val="00CB032E"/>
    <w:rsid w:val="00CB0832"/>
    <w:rsid w:val="00CB08FE"/>
    <w:rsid w:val="00CB0B86"/>
    <w:rsid w:val="00CB0C37"/>
    <w:rsid w:val="00CB0C73"/>
    <w:rsid w:val="00CB0F98"/>
    <w:rsid w:val="00CB10E4"/>
    <w:rsid w:val="00CB15D6"/>
    <w:rsid w:val="00CB1F68"/>
    <w:rsid w:val="00CB23E2"/>
    <w:rsid w:val="00CB2C95"/>
    <w:rsid w:val="00CB2FD9"/>
    <w:rsid w:val="00CB31DA"/>
    <w:rsid w:val="00CB3306"/>
    <w:rsid w:val="00CB368D"/>
    <w:rsid w:val="00CB370D"/>
    <w:rsid w:val="00CB4429"/>
    <w:rsid w:val="00CB4573"/>
    <w:rsid w:val="00CB4683"/>
    <w:rsid w:val="00CB49D1"/>
    <w:rsid w:val="00CB4C87"/>
    <w:rsid w:val="00CB4E69"/>
    <w:rsid w:val="00CB5947"/>
    <w:rsid w:val="00CB6157"/>
    <w:rsid w:val="00CB6445"/>
    <w:rsid w:val="00CB6467"/>
    <w:rsid w:val="00CB68C3"/>
    <w:rsid w:val="00CB6910"/>
    <w:rsid w:val="00CB6C32"/>
    <w:rsid w:val="00CB6D8C"/>
    <w:rsid w:val="00CB7812"/>
    <w:rsid w:val="00CC05FB"/>
    <w:rsid w:val="00CC0C7E"/>
    <w:rsid w:val="00CC0C96"/>
    <w:rsid w:val="00CC135C"/>
    <w:rsid w:val="00CC1383"/>
    <w:rsid w:val="00CC182C"/>
    <w:rsid w:val="00CC22EA"/>
    <w:rsid w:val="00CC258E"/>
    <w:rsid w:val="00CC2621"/>
    <w:rsid w:val="00CC296A"/>
    <w:rsid w:val="00CC29F7"/>
    <w:rsid w:val="00CC36C4"/>
    <w:rsid w:val="00CC38B8"/>
    <w:rsid w:val="00CC3D87"/>
    <w:rsid w:val="00CC411E"/>
    <w:rsid w:val="00CC44BE"/>
    <w:rsid w:val="00CC4596"/>
    <w:rsid w:val="00CC4D6D"/>
    <w:rsid w:val="00CC5407"/>
    <w:rsid w:val="00CC5C5D"/>
    <w:rsid w:val="00CC5F1E"/>
    <w:rsid w:val="00CC6205"/>
    <w:rsid w:val="00CC628A"/>
    <w:rsid w:val="00CC6801"/>
    <w:rsid w:val="00CC73E6"/>
    <w:rsid w:val="00CC7412"/>
    <w:rsid w:val="00CC763F"/>
    <w:rsid w:val="00CC788A"/>
    <w:rsid w:val="00CC78B4"/>
    <w:rsid w:val="00CC7C11"/>
    <w:rsid w:val="00CD0486"/>
    <w:rsid w:val="00CD0C4D"/>
    <w:rsid w:val="00CD18D6"/>
    <w:rsid w:val="00CD18EA"/>
    <w:rsid w:val="00CD192B"/>
    <w:rsid w:val="00CD1BA7"/>
    <w:rsid w:val="00CD25B0"/>
    <w:rsid w:val="00CD29AF"/>
    <w:rsid w:val="00CD2B3C"/>
    <w:rsid w:val="00CD30B8"/>
    <w:rsid w:val="00CD356E"/>
    <w:rsid w:val="00CD37FF"/>
    <w:rsid w:val="00CD3DB7"/>
    <w:rsid w:val="00CD3EE8"/>
    <w:rsid w:val="00CD3EF4"/>
    <w:rsid w:val="00CD405C"/>
    <w:rsid w:val="00CD429F"/>
    <w:rsid w:val="00CD48CB"/>
    <w:rsid w:val="00CD4C1A"/>
    <w:rsid w:val="00CD500D"/>
    <w:rsid w:val="00CD5478"/>
    <w:rsid w:val="00CD5532"/>
    <w:rsid w:val="00CD633D"/>
    <w:rsid w:val="00CD6653"/>
    <w:rsid w:val="00CD6790"/>
    <w:rsid w:val="00CD6A0E"/>
    <w:rsid w:val="00CD6E94"/>
    <w:rsid w:val="00CD7421"/>
    <w:rsid w:val="00CD75AE"/>
    <w:rsid w:val="00CD771D"/>
    <w:rsid w:val="00CD77B8"/>
    <w:rsid w:val="00CD787B"/>
    <w:rsid w:val="00CD7DA1"/>
    <w:rsid w:val="00CD7E09"/>
    <w:rsid w:val="00CE03C8"/>
    <w:rsid w:val="00CE0582"/>
    <w:rsid w:val="00CE0684"/>
    <w:rsid w:val="00CE0A70"/>
    <w:rsid w:val="00CE0C1F"/>
    <w:rsid w:val="00CE191B"/>
    <w:rsid w:val="00CE20D0"/>
    <w:rsid w:val="00CE221B"/>
    <w:rsid w:val="00CE25CE"/>
    <w:rsid w:val="00CE3711"/>
    <w:rsid w:val="00CE3CA5"/>
    <w:rsid w:val="00CE3EB1"/>
    <w:rsid w:val="00CE4035"/>
    <w:rsid w:val="00CE493E"/>
    <w:rsid w:val="00CE4D62"/>
    <w:rsid w:val="00CE5143"/>
    <w:rsid w:val="00CE5258"/>
    <w:rsid w:val="00CE5261"/>
    <w:rsid w:val="00CE53C3"/>
    <w:rsid w:val="00CE6391"/>
    <w:rsid w:val="00CE6CCF"/>
    <w:rsid w:val="00CF0133"/>
    <w:rsid w:val="00CF0E79"/>
    <w:rsid w:val="00CF17FE"/>
    <w:rsid w:val="00CF21FB"/>
    <w:rsid w:val="00CF22BA"/>
    <w:rsid w:val="00CF372C"/>
    <w:rsid w:val="00CF39DF"/>
    <w:rsid w:val="00CF4AB2"/>
    <w:rsid w:val="00CF514E"/>
    <w:rsid w:val="00CF581B"/>
    <w:rsid w:val="00CF658C"/>
    <w:rsid w:val="00CF69B3"/>
    <w:rsid w:val="00CF6EF8"/>
    <w:rsid w:val="00CF752D"/>
    <w:rsid w:val="00CF7C6E"/>
    <w:rsid w:val="00CF7E8A"/>
    <w:rsid w:val="00D0077C"/>
    <w:rsid w:val="00D00A79"/>
    <w:rsid w:val="00D010DB"/>
    <w:rsid w:val="00D01217"/>
    <w:rsid w:val="00D0161F"/>
    <w:rsid w:val="00D02069"/>
    <w:rsid w:val="00D02149"/>
    <w:rsid w:val="00D02874"/>
    <w:rsid w:val="00D02979"/>
    <w:rsid w:val="00D02C93"/>
    <w:rsid w:val="00D0380F"/>
    <w:rsid w:val="00D03B39"/>
    <w:rsid w:val="00D03E7B"/>
    <w:rsid w:val="00D0434A"/>
    <w:rsid w:val="00D04536"/>
    <w:rsid w:val="00D04ADC"/>
    <w:rsid w:val="00D053FE"/>
    <w:rsid w:val="00D06AB2"/>
    <w:rsid w:val="00D06EEA"/>
    <w:rsid w:val="00D07A71"/>
    <w:rsid w:val="00D07D99"/>
    <w:rsid w:val="00D105CD"/>
    <w:rsid w:val="00D10906"/>
    <w:rsid w:val="00D10FFE"/>
    <w:rsid w:val="00D115DF"/>
    <w:rsid w:val="00D11695"/>
    <w:rsid w:val="00D11DDA"/>
    <w:rsid w:val="00D11EE9"/>
    <w:rsid w:val="00D12184"/>
    <w:rsid w:val="00D12190"/>
    <w:rsid w:val="00D125AA"/>
    <w:rsid w:val="00D125DE"/>
    <w:rsid w:val="00D125E6"/>
    <w:rsid w:val="00D12C73"/>
    <w:rsid w:val="00D135F4"/>
    <w:rsid w:val="00D13AEB"/>
    <w:rsid w:val="00D1421C"/>
    <w:rsid w:val="00D14553"/>
    <w:rsid w:val="00D14BCE"/>
    <w:rsid w:val="00D14F97"/>
    <w:rsid w:val="00D15051"/>
    <w:rsid w:val="00D15C57"/>
    <w:rsid w:val="00D15E22"/>
    <w:rsid w:val="00D162B9"/>
    <w:rsid w:val="00D166EF"/>
    <w:rsid w:val="00D167CE"/>
    <w:rsid w:val="00D1682C"/>
    <w:rsid w:val="00D16D02"/>
    <w:rsid w:val="00D1744C"/>
    <w:rsid w:val="00D202C6"/>
    <w:rsid w:val="00D20584"/>
    <w:rsid w:val="00D20922"/>
    <w:rsid w:val="00D20A11"/>
    <w:rsid w:val="00D20D8F"/>
    <w:rsid w:val="00D21049"/>
    <w:rsid w:val="00D216CD"/>
    <w:rsid w:val="00D2171E"/>
    <w:rsid w:val="00D21B0B"/>
    <w:rsid w:val="00D2277B"/>
    <w:rsid w:val="00D23BF5"/>
    <w:rsid w:val="00D23C14"/>
    <w:rsid w:val="00D24D42"/>
    <w:rsid w:val="00D2556F"/>
    <w:rsid w:val="00D25EFB"/>
    <w:rsid w:val="00D26A69"/>
    <w:rsid w:val="00D27232"/>
    <w:rsid w:val="00D2739B"/>
    <w:rsid w:val="00D27774"/>
    <w:rsid w:val="00D27C87"/>
    <w:rsid w:val="00D30321"/>
    <w:rsid w:val="00D30A7C"/>
    <w:rsid w:val="00D31017"/>
    <w:rsid w:val="00D313A2"/>
    <w:rsid w:val="00D31DFA"/>
    <w:rsid w:val="00D32112"/>
    <w:rsid w:val="00D326C3"/>
    <w:rsid w:val="00D328F2"/>
    <w:rsid w:val="00D3349F"/>
    <w:rsid w:val="00D336D2"/>
    <w:rsid w:val="00D33D72"/>
    <w:rsid w:val="00D34522"/>
    <w:rsid w:val="00D34AC2"/>
    <w:rsid w:val="00D350F9"/>
    <w:rsid w:val="00D35119"/>
    <w:rsid w:val="00D3567D"/>
    <w:rsid w:val="00D35772"/>
    <w:rsid w:val="00D35A81"/>
    <w:rsid w:val="00D35C4B"/>
    <w:rsid w:val="00D364D3"/>
    <w:rsid w:val="00D36C03"/>
    <w:rsid w:val="00D36E62"/>
    <w:rsid w:val="00D374E3"/>
    <w:rsid w:val="00D37A22"/>
    <w:rsid w:val="00D4077C"/>
    <w:rsid w:val="00D40B62"/>
    <w:rsid w:val="00D418A0"/>
    <w:rsid w:val="00D41C08"/>
    <w:rsid w:val="00D41D28"/>
    <w:rsid w:val="00D41E1B"/>
    <w:rsid w:val="00D4241C"/>
    <w:rsid w:val="00D42554"/>
    <w:rsid w:val="00D42863"/>
    <w:rsid w:val="00D42B26"/>
    <w:rsid w:val="00D4322A"/>
    <w:rsid w:val="00D436B9"/>
    <w:rsid w:val="00D43DBE"/>
    <w:rsid w:val="00D43FFA"/>
    <w:rsid w:val="00D44587"/>
    <w:rsid w:val="00D447FF"/>
    <w:rsid w:val="00D4523C"/>
    <w:rsid w:val="00D45C2E"/>
    <w:rsid w:val="00D45CFC"/>
    <w:rsid w:val="00D45F34"/>
    <w:rsid w:val="00D4617E"/>
    <w:rsid w:val="00D46531"/>
    <w:rsid w:val="00D46735"/>
    <w:rsid w:val="00D46A79"/>
    <w:rsid w:val="00D472CA"/>
    <w:rsid w:val="00D476E6"/>
    <w:rsid w:val="00D47C80"/>
    <w:rsid w:val="00D47DBC"/>
    <w:rsid w:val="00D50B53"/>
    <w:rsid w:val="00D51600"/>
    <w:rsid w:val="00D5176E"/>
    <w:rsid w:val="00D51F10"/>
    <w:rsid w:val="00D52AFD"/>
    <w:rsid w:val="00D52CC3"/>
    <w:rsid w:val="00D5308F"/>
    <w:rsid w:val="00D53EE6"/>
    <w:rsid w:val="00D540D6"/>
    <w:rsid w:val="00D5449F"/>
    <w:rsid w:val="00D5475A"/>
    <w:rsid w:val="00D54807"/>
    <w:rsid w:val="00D54924"/>
    <w:rsid w:val="00D549A6"/>
    <w:rsid w:val="00D54A3D"/>
    <w:rsid w:val="00D55526"/>
    <w:rsid w:val="00D561EF"/>
    <w:rsid w:val="00D56245"/>
    <w:rsid w:val="00D56511"/>
    <w:rsid w:val="00D56704"/>
    <w:rsid w:val="00D56F11"/>
    <w:rsid w:val="00D57190"/>
    <w:rsid w:val="00D57647"/>
    <w:rsid w:val="00D57A81"/>
    <w:rsid w:val="00D57D35"/>
    <w:rsid w:val="00D57E89"/>
    <w:rsid w:val="00D60EFA"/>
    <w:rsid w:val="00D61252"/>
    <w:rsid w:val="00D615E8"/>
    <w:rsid w:val="00D61923"/>
    <w:rsid w:val="00D62303"/>
    <w:rsid w:val="00D62306"/>
    <w:rsid w:val="00D623E5"/>
    <w:rsid w:val="00D63685"/>
    <w:rsid w:val="00D63937"/>
    <w:rsid w:val="00D63C0D"/>
    <w:rsid w:val="00D63D09"/>
    <w:rsid w:val="00D645DF"/>
    <w:rsid w:val="00D64623"/>
    <w:rsid w:val="00D64792"/>
    <w:rsid w:val="00D648AE"/>
    <w:rsid w:val="00D64E65"/>
    <w:rsid w:val="00D653FD"/>
    <w:rsid w:val="00D655E8"/>
    <w:rsid w:val="00D658E3"/>
    <w:rsid w:val="00D65B92"/>
    <w:rsid w:val="00D65C55"/>
    <w:rsid w:val="00D66155"/>
    <w:rsid w:val="00D6651B"/>
    <w:rsid w:val="00D6677F"/>
    <w:rsid w:val="00D6747A"/>
    <w:rsid w:val="00D674DC"/>
    <w:rsid w:val="00D67FC1"/>
    <w:rsid w:val="00D70093"/>
    <w:rsid w:val="00D7037C"/>
    <w:rsid w:val="00D70478"/>
    <w:rsid w:val="00D705AE"/>
    <w:rsid w:val="00D70F32"/>
    <w:rsid w:val="00D70F78"/>
    <w:rsid w:val="00D7142B"/>
    <w:rsid w:val="00D71603"/>
    <w:rsid w:val="00D71995"/>
    <w:rsid w:val="00D72A50"/>
    <w:rsid w:val="00D736D9"/>
    <w:rsid w:val="00D73CA2"/>
    <w:rsid w:val="00D7444A"/>
    <w:rsid w:val="00D74720"/>
    <w:rsid w:val="00D74AFB"/>
    <w:rsid w:val="00D75115"/>
    <w:rsid w:val="00D75159"/>
    <w:rsid w:val="00D75327"/>
    <w:rsid w:val="00D761F0"/>
    <w:rsid w:val="00D76477"/>
    <w:rsid w:val="00D769C8"/>
    <w:rsid w:val="00D769EC"/>
    <w:rsid w:val="00D77050"/>
    <w:rsid w:val="00D77424"/>
    <w:rsid w:val="00D77939"/>
    <w:rsid w:val="00D7799A"/>
    <w:rsid w:val="00D80009"/>
    <w:rsid w:val="00D80272"/>
    <w:rsid w:val="00D80955"/>
    <w:rsid w:val="00D80CD7"/>
    <w:rsid w:val="00D81827"/>
    <w:rsid w:val="00D819B6"/>
    <w:rsid w:val="00D81A53"/>
    <w:rsid w:val="00D81DD0"/>
    <w:rsid w:val="00D81F0F"/>
    <w:rsid w:val="00D81F11"/>
    <w:rsid w:val="00D822FC"/>
    <w:rsid w:val="00D8259F"/>
    <w:rsid w:val="00D825CC"/>
    <w:rsid w:val="00D828D4"/>
    <w:rsid w:val="00D83051"/>
    <w:rsid w:val="00D830CB"/>
    <w:rsid w:val="00D830D2"/>
    <w:rsid w:val="00D83EB4"/>
    <w:rsid w:val="00D83F74"/>
    <w:rsid w:val="00D8454A"/>
    <w:rsid w:val="00D84742"/>
    <w:rsid w:val="00D848F8"/>
    <w:rsid w:val="00D84F4D"/>
    <w:rsid w:val="00D85C17"/>
    <w:rsid w:val="00D860DB"/>
    <w:rsid w:val="00D869A1"/>
    <w:rsid w:val="00D87637"/>
    <w:rsid w:val="00D8791A"/>
    <w:rsid w:val="00D90202"/>
    <w:rsid w:val="00D904ED"/>
    <w:rsid w:val="00D90DD5"/>
    <w:rsid w:val="00D90E2F"/>
    <w:rsid w:val="00D90E5A"/>
    <w:rsid w:val="00D90F23"/>
    <w:rsid w:val="00D9261B"/>
    <w:rsid w:val="00D929BA"/>
    <w:rsid w:val="00D93350"/>
    <w:rsid w:val="00D934B1"/>
    <w:rsid w:val="00D936C3"/>
    <w:rsid w:val="00D936DE"/>
    <w:rsid w:val="00D938D7"/>
    <w:rsid w:val="00D93D22"/>
    <w:rsid w:val="00D940CD"/>
    <w:rsid w:val="00D94120"/>
    <w:rsid w:val="00D94CD0"/>
    <w:rsid w:val="00D9547C"/>
    <w:rsid w:val="00D95738"/>
    <w:rsid w:val="00D95C6A"/>
    <w:rsid w:val="00D95EC7"/>
    <w:rsid w:val="00D96034"/>
    <w:rsid w:val="00D9609A"/>
    <w:rsid w:val="00D9614C"/>
    <w:rsid w:val="00D9678F"/>
    <w:rsid w:val="00D96805"/>
    <w:rsid w:val="00D96845"/>
    <w:rsid w:val="00D97390"/>
    <w:rsid w:val="00D97BB1"/>
    <w:rsid w:val="00DA0361"/>
    <w:rsid w:val="00DA0E7C"/>
    <w:rsid w:val="00DA14A1"/>
    <w:rsid w:val="00DA22CA"/>
    <w:rsid w:val="00DA258F"/>
    <w:rsid w:val="00DA2707"/>
    <w:rsid w:val="00DA2754"/>
    <w:rsid w:val="00DA29E4"/>
    <w:rsid w:val="00DA3BE2"/>
    <w:rsid w:val="00DA4138"/>
    <w:rsid w:val="00DA414B"/>
    <w:rsid w:val="00DA417D"/>
    <w:rsid w:val="00DA46BB"/>
    <w:rsid w:val="00DA4A47"/>
    <w:rsid w:val="00DA5476"/>
    <w:rsid w:val="00DA5BBC"/>
    <w:rsid w:val="00DA5EE8"/>
    <w:rsid w:val="00DA6827"/>
    <w:rsid w:val="00DA6869"/>
    <w:rsid w:val="00DA70C1"/>
    <w:rsid w:val="00DA70F1"/>
    <w:rsid w:val="00DA73FD"/>
    <w:rsid w:val="00DA77AF"/>
    <w:rsid w:val="00DA7A0B"/>
    <w:rsid w:val="00DA7AC9"/>
    <w:rsid w:val="00DA7B08"/>
    <w:rsid w:val="00DB04AB"/>
    <w:rsid w:val="00DB069D"/>
    <w:rsid w:val="00DB11E1"/>
    <w:rsid w:val="00DB170D"/>
    <w:rsid w:val="00DB2C73"/>
    <w:rsid w:val="00DB2CA6"/>
    <w:rsid w:val="00DB2F2D"/>
    <w:rsid w:val="00DB3390"/>
    <w:rsid w:val="00DB345B"/>
    <w:rsid w:val="00DB3562"/>
    <w:rsid w:val="00DB3635"/>
    <w:rsid w:val="00DB369C"/>
    <w:rsid w:val="00DB3A1B"/>
    <w:rsid w:val="00DB406A"/>
    <w:rsid w:val="00DB4171"/>
    <w:rsid w:val="00DB418F"/>
    <w:rsid w:val="00DB4443"/>
    <w:rsid w:val="00DB44AA"/>
    <w:rsid w:val="00DB467B"/>
    <w:rsid w:val="00DB521B"/>
    <w:rsid w:val="00DB533F"/>
    <w:rsid w:val="00DB5627"/>
    <w:rsid w:val="00DB63FA"/>
    <w:rsid w:val="00DB668B"/>
    <w:rsid w:val="00DB6A60"/>
    <w:rsid w:val="00DB6C91"/>
    <w:rsid w:val="00DB7598"/>
    <w:rsid w:val="00DB7DF1"/>
    <w:rsid w:val="00DC0185"/>
    <w:rsid w:val="00DC06F9"/>
    <w:rsid w:val="00DC0AEE"/>
    <w:rsid w:val="00DC0C6F"/>
    <w:rsid w:val="00DC15F8"/>
    <w:rsid w:val="00DC16A5"/>
    <w:rsid w:val="00DC17EF"/>
    <w:rsid w:val="00DC1BDB"/>
    <w:rsid w:val="00DC208F"/>
    <w:rsid w:val="00DC250C"/>
    <w:rsid w:val="00DC28B3"/>
    <w:rsid w:val="00DC2BC3"/>
    <w:rsid w:val="00DC398C"/>
    <w:rsid w:val="00DC3D7F"/>
    <w:rsid w:val="00DC3E64"/>
    <w:rsid w:val="00DC43A1"/>
    <w:rsid w:val="00DC43E7"/>
    <w:rsid w:val="00DC4C54"/>
    <w:rsid w:val="00DC4C96"/>
    <w:rsid w:val="00DC52E9"/>
    <w:rsid w:val="00DC54D8"/>
    <w:rsid w:val="00DC60FF"/>
    <w:rsid w:val="00DC64DA"/>
    <w:rsid w:val="00DC6A26"/>
    <w:rsid w:val="00DC6CAF"/>
    <w:rsid w:val="00DC7083"/>
    <w:rsid w:val="00DC7203"/>
    <w:rsid w:val="00DC7585"/>
    <w:rsid w:val="00DC7682"/>
    <w:rsid w:val="00DC77D1"/>
    <w:rsid w:val="00DC79CF"/>
    <w:rsid w:val="00DC7FC6"/>
    <w:rsid w:val="00DD01F5"/>
    <w:rsid w:val="00DD0528"/>
    <w:rsid w:val="00DD0F02"/>
    <w:rsid w:val="00DD1239"/>
    <w:rsid w:val="00DD1A7F"/>
    <w:rsid w:val="00DD1AF3"/>
    <w:rsid w:val="00DD1B48"/>
    <w:rsid w:val="00DD1C52"/>
    <w:rsid w:val="00DD1CFD"/>
    <w:rsid w:val="00DD1DBA"/>
    <w:rsid w:val="00DD20C6"/>
    <w:rsid w:val="00DD2150"/>
    <w:rsid w:val="00DD2760"/>
    <w:rsid w:val="00DD2F65"/>
    <w:rsid w:val="00DD33F3"/>
    <w:rsid w:val="00DD34B7"/>
    <w:rsid w:val="00DD3723"/>
    <w:rsid w:val="00DD4704"/>
    <w:rsid w:val="00DD4FD0"/>
    <w:rsid w:val="00DD50D3"/>
    <w:rsid w:val="00DD5360"/>
    <w:rsid w:val="00DD5E71"/>
    <w:rsid w:val="00DD606C"/>
    <w:rsid w:val="00DD61A3"/>
    <w:rsid w:val="00DD639A"/>
    <w:rsid w:val="00DD6973"/>
    <w:rsid w:val="00DD6B50"/>
    <w:rsid w:val="00DD7F12"/>
    <w:rsid w:val="00DE0090"/>
    <w:rsid w:val="00DE012E"/>
    <w:rsid w:val="00DE0448"/>
    <w:rsid w:val="00DE1098"/>
    <w:rsid w:val="00DE10C7"/>
    <w:rsid w:val="00DE120F"/>
    <w:rsid w:val="00DE141B"/>
    <w:rsid w:val="00DE1A29"/>
    <w:rsid w:val="00DE1C58"/>
    <w:rsid w:val="00DE20AD"/>
    <w:rsid w:val="00DE294C"/>
    <w:rsid w:val="00DE2AE4"/>
    <w:rsid w:val="00DE2F01"/>
    <w:rsid w:val="00DE39E5"/>
    <w:rsid w:val="00DE3A4D"/>
    <w:rsid w:val="00DE441E"/>
    <w:rsid w:val="00DE480A"/>
    <w:rsid w:val="00DE4D53"/>
    <w:rsid w:val="00DE4D8E"/>
    <w:rsid w:val="00DE52E1"/>
    <w:rsid w:val="00DE5677"/>
    <w:rsid w:val="00DE5E7F"/>
    <w:rsid w:val="00DE68BE"/>
    <w:rsid w:val="00DE7319"/>
    <w:rsid w:val="00DE7371"/>
    <w:rsid w:val="00DE7CA6"/>
    <w:rsid w:val="00DE7D5D"/>
    <w:rsid w:val="00DE7FE4"/>
    <w:rsid w:val="00DF0016"/>
    <w:rsid w:val="00DF022E"/>
    <w:rsid w:val="00DF038C"/>
    <w:rsid w:val="00DF0F46"/>
    <w:rsid w:val="00DF157C"/>
    <w:rsid w:val="00DF17D6"/>
    <w:rsid w:val="00DF18CB"/>
    <w:rsid w:val="00DF1F30"/>
    <w:rsid w:val="00DF1F6B"/>
    <w:rsid w:val="00DF2D4D"/>
    <w:rsid w:val="00DF3247"/>
    <w:rsid w:val="00DF336E"/>
    <w:rsid w:val="00DF353A"/>
    <w:rsid w:val="00DF37DC"/>
    <w:rsid w:val="00DF3B73"/>
    <w:rsid w:val="00DF3C13"/>
    <w:rsid w:val="00DF3EC7"/>
    <w:rsid w:val="00DF3ED3"/>
    <w:rsid w:val="00DF41D4"/>
    <w:rsid w:val="00DF4874"/>
    <w:rsid w:val="00DF4E69"/>
    <w:rsid w:val="00DF51A5"/>
    <w:rsid w:val="00DF5A4B"/>
    <w:rsid w:val="00DF5CF1"/>
    <w:rsid w:val="00DF6030"/>
    <w:rsid w:val="00DF6858"/>
    <w:rsid w:val="00DF69EC"/>
    <w:rsid w:val="00DF6B88"/>
    <w:rsid w:val="00DF7B6F"/>
    <w:rsid w:val="00E0059B"/>
    <w:rsid w:val="00E01C3C"/>
    <w:rsid w:val="00E0235E"/>
    <w:rsid w:val="00E025F5"/>
    <w:rsid w:val="00E02AB7"/>
    <w:rsid w:val="00E02D95"/>
    <w:rsid w:val="00E03A0E"/>
    <w:rsid w:val="00E03BB6"/>
    <w:rsid w:val="00E03E41"/>
    <w:rsid w:val="00E0421A"/>
    <w:rsid w:val="00E0426C"/>
    <w:rsid w:val="00E04582"/>
    <w:rsid w:val="00E0479A"/>
    <w:rsid w:val="00E04982"/>
    <w:rsid w:val="00E04BA8"/>
    <w:rsid w:val="00E04CD5"/>
    <w:rsid w:val="00E0515C"/>
    <w:rsid w:val="00E0581E"/>
    <w:rsid w:val="00E05A95"/>
    <w:rsid w:val="00E05AB4"/>
    <w:rsid w:val="00E05DCA"/>
    <w:rsid w:val="00E064CF"/>
    <w:rsid w:val="00E06580"/>
    <w:rsid w:val="00E076D7"/>
    <w:rsid w:val="00E100BE"/>
    <w:rsid w:val="00E10281"/>
    <w:rsid w:val="00E103CD"/>
    <w:rsid w:val="00E10D46"/>
    <w:rsid w:val="00E10E6F"/>
    <w:rsid w:val="00E11556"/>
    <w:rsid w:val="00E11A79"/>
    <w:rsid w:val="00E11C84"/>
    <w:rsid w:val="00E13459"/>
    <w:rsid w:val="00E13731"/>
    <w:rsid w:val="00E13DD1"/>
    <w:rsid w:val="00E146BA"/>
    <w:rsid w:val="00E14B37"/>
    <w:rsid w:val="00E14CDA"/>
    <w:rsid w:val="00E14D82"/>
    <w:rsid w:val="00E14EB8"/>
    <w:rsid w:val="00E153E9"/>
    <w:rsid w:val="00E156BB"/>
    <w:rsid w:val="00E163C1"/>
    <w:rsid w:val="00E16B84"/>
    <w:rsid w:val="00E16C4E"/>
    <w:rsid w:val="00E17932"/>
    <w:rsid w:val="00E17EDF"/>
    <w:rsid w:val="00E17F33"/>
    <w:rsid w:val="00E2127A"/>
    <w:rsid w:val="00E2157F"/>
    <w:rsid w:val="00E2172C"/>
    <w:rsid w:val="00E21AA6"/>
    <w:rsid w:val="00E21B6A"/>
    <w:rsid w:val="00E226F6"/>
    <w:rsid w:val="00E22E4B"/>
    <w:rsid w:val="00E22ED3"/>
    <w:rsid w:val="00E23707"/>
    <w:rsid w:val="00E2375F"/>
    <w:rsid w:val="00E23BA0"/>
    <w:rsid w:val="00E244F1"/>
    <w:rsid w:val="00E245C5"/>
    <w:rsid w:val="00E245FD"/>
    <w:rsid w:val="00E2474B"/>
    <w:rsid w:val="00E24B11"/>
    <w:rsid w:val="00E25058"/>
    <w:rsid w:val="00E250CB"/>
    <w:rsid w:val="00E25535"/>
    <w:rsid w:val="00E25794"/>
    <w:rsid w:val="00E260F8"/>
    <w:rsid w:val="00E26219"/>
    <w:rsid w:val="00E263DF"/>
    <w:rsid w:val="00E26450"/>
    <w:rsid w:val="00E26791"/>
    <w:rsid w:val="00E26936"/>
    <w:rsid w:val="00E27039"/>
    <w:rsid w:val="00E27E93"/>
    <w:rsid w:val="00E27FA1"/>
    <w:rsid w:val="00E3077C"/>
    <w:rsid w:val="00E307D5"/>
    <w:rsid w:val="00E30C4E"/>
    <w:rsid w:val="00E31FAB"/>
    <w:rsid w:val="00E32B9E"/>
    <w:rsid w:val="00E33333"/>
    <w:rsid w:val="00E335D3"/>
    <w:rsid w:val="00E3391C"/>
    <w:rsid w:val="00E339C6"/>
    <w:rsid w:val="00E34133"/>
    <w:rsid w:val="00E34983"/>
    <w:rsid w:val="00E36928"/>
    <w:rsid w:val="00E3751E"/>
    <w:rsid w:val="00E3789A"/>
    <w:rsid w:val="00E37AFE"/>
    <w:rsid w:val="00E40029"/>
    <w:rsid w:val="00E40044"/>
    <w:rsid w:val="00E40355"/>
    <w:rsid w:val="00E40AEE"/>
    <w:rsid w:val="00E40DA5"/>
    <w:rsid w:val="00E40FDD"/>
    <w:rsid w:val="00E41323"/>
    <w:rsid w:val="00E4282E"/>
    <w:rsid w:val="00E432FB"/>
    <w:rsid w:val="00E434DE"/>
    <w:rsid w:val="00E435A7"/>
    <w:rsid w:val="00E4394F"/>
    <w:rsid w:val="00E43E76"/>
    <w:rsid w:val="00E4411D"/>
    <w:rsid w:val="00E44344"/>
    <w:rsid w:val="00E44372"/>
    <w:rsid w:val="00E44380"/>
    <w:rsid w:val="00E4491C"/>
    <w:rsid w:val="00E44E50"/>
    <w:rsid w:val="00E450D3"/>
    <w:rsid w:val="00E45EC1"/>
    <w:rsid w:val="00E46372"/>
    <w:rsid w:val="00E4671A"/>
    <w:rsid w:val="00E46B19"/>
    <w:rsid w:val="00E47AA1"/>
    <w:rsid w:val="00E5097B"/>
    <w:rsid w:val="00E50B25"/>
    <w:rsid w:val="00E50EA0"/>
    <w:rsid w:val="00E5105D"/>
    <w:rsid w:val="00E51374"/>
    <w:rsid w:val="00E51540"/>
    <w:rsid w:val="00E51647"/>
    <w:rsid w:val="00E5190F"/>
    <w:rsid w:val="00E5228B"/>
    <w:rsid w:val="00E52462"/>
    <w:rsid w:val="00E525D6"/>
    <w:rsid w:val="00E52706"/>
    <w:rsid w:val="00E5372A"/>
    <w:rsid w:val="00E5397B"/>
    <w:rsid w:val="00E53E21"/>
    <w:rsid w:val="00E54325"/>
    <w:rsid w:val="00E5442D"/>
    <w:rsid w:val="00E5458C"/>
    <w:rsid w:val="00E5532A"/>
    <w:rsid w:val="00E554CF"/>
    <w:rsid w:val="00E555D6"/>
    <w:rsid w:val="00E556E7"/>
    <w:rsid w:val="00E557E6"/>
    <w:rsid w:val="00E557F2"/>
    <w:rsid w:val="00E56653"/>
    <w:rsid w:val="00E567C5"/>
    <w:rsid w:val="00E568E3"/>
    <w:rsid w:val="00E56C42"/>
    <w:rsid w:val="00E56D07"/>
    <w:rsid w:val="00E56EF5"/>
    <w:rsid w:val="00E57059"/>
    <w:rsid w:val="00E57C88"/>
    <w:rsid w:val="00E57E06"/>
    <w:rsid w:val="00E607A8"/>
    <w:rsid w:val="00E60A49"/>
    <w:rsid w:val="00E60D0F"/>
    <w:rsid w:val="00E60E4A"/>
    <w:rsid w:val="00E60F51"/>
    <w:rsid w:val="00E6101B"/>
    <w:rsid w:val="00E61CEB"/>
    <w:rsid w:val="00E62111"/>
    <w:rsid w:val="00E62284"/>
    <w:rsid w:val="00E62438"/>
    <w:rsid w:val="00E62799"/>
    <w:rsid w:val="00E62B49"/>
    <w:rsid w:val="00E63804"/>
    <w:rsid w:val="00E639B3"/>
    <w:rsid w:val="00E63E51"/>
    <w:rsid w:val="00E640C1"/>
    <w:rsid w:val="00E64220"/>
    <w:rsid w:val="00E643CA"/>
    <w:rsid w:val="00E647A1"/>
    <w:rsid w:val="00E64D6B"/>
    <w:rsid w:val="00E6506D"/>
    <w:rsid w:val="00E65918"/>
    <w:rsid w:val="00E65A31"/>
    <w:rsid w:val="00E65A9F"/>
    <w:rsid w:val="00E665B0"/>
    <w:rsid w:val="00E665FF"/>
    <w:rsid w:val="00E66A50"/>
    <w:rsid w:val="00E66FFD"/>
    <w:rsid w:val="00E70949"/>
    <w:rsid w:val="00E70F5C"/>
    <w:rsid w:val="00E713AE"/>
    <w:rsid w:val="00E71861"/>
    <w:rsid w:val="00E718B3"/>
    <w:rsid w:val="00E7191F"/>
    <w:rsid w:val="00E72086"/>
    <w:rsid w:val="00E72247"/>
    <w:rsid w:val="00E726BD"/>
    <w:rsid w:val="00E728EC"/>
    <w:rsid w:val="00E72A63"/>
    <w:rsid w:val="00E73099"/>
    <w:rsid w:val="00E730D4"/>
    <w:rsid w:val="00E73690"/>
    <w:rsid w:val="00E73732"/>
    <w:rsid w:val="00E73F01"/>
    <w:rsid w:val="00E73FEC"/>
    <w:rsid w:val="00E74E14"/>
    <w:rsid w:val="00E75392"/>
    <w:rsid w:val="00E76481"/>
    <w:rsid w:val="00E766FC"/>
    <w:rsid w:val="00E76B4B"/>
    <w:rsid w:val="00E7720D"/>
    <w:rsid w:val="00E77EC9"/>
    <w:rsid w:val="00E77FC8"/>
    <w:rsid w:val="00E8055A"/>
    <w:rsid w:val="00E810B8"/>
    <w:rsid w:val="00E81113"/>
    <w:rsid w:val="00E81628"/>
    <w:rsid w:val="00E81AC8"/>
    <w:rsid w:val="00E8222E"/>
    <w:rsid w:val="00E82AE2"/>
    <w:rsid w:val="00E82C77"/>
    <w:rsid w:val="00E832B3"/>
    <w:rsid w:val="00E8354F"/>
    <w:rsid w:val="00E83E0D"/>
    <w:rsid w:val="00E83F16"/>
    <w:rsid w:val="00E84312"/>
    <w:rsid w:val="00E846AE"/>
    <w:rsid w:val="00E84D70"/>
    <w:rsid w:val="00E8502F"/>
    <w:rsid w:val="00E85E61"/>
    <w:rsid w:val="00E861F6"/>
    <w:rsid w:val="00E8667A"/>
    <w:rsid w:val="00E86721"/>
    <w:rsid w:val="00E86B7B"/>
    <w:rsid w:val="00E86D18"/>
    <w:rsid w:val="00E8738B"/>
    <w:rsid w:val="00E87B6C"/>
    <w:rsid w:val="00E90514"/>
    <w:rsid w:val="00E9097D"/>
    <w:rsid w:val="00E90A21"/>
    <w:rsid w:val="00E90B27"/>
    <w:rsid w:val="00E90CD3"/>
    <w:rsid w:val="00E90CF9"/>
    <w:rsid w:val="00E90D33"/>
    <w:rsid w:val="00E91099"/>
    <w:rsid w:val="00E912D1"/>
    <w:rsid w:val="00E9167E"/>
    <w:rsid w:val="00E91D22"/>
    <w:rsid w:val="00E91DFD"/>
    <w:rsid w:val="00E921A2"/>
    <w:rsid w:val="00E92287"/>
    <w:rsid w:val="00E92622"/>
    <w:rsid w:val="00E92CA9"/>
    <w:rsid w:val="00E93265"/>
    <w:rsid w:val="00E936C3"/>
    <w:rsid w:val="00E93C3E"/>
    <w:rsid w:val="00E93F74"/>
    <w:rsid w:val="00E94152"/>
    <w:rsid w:val="00E941F5"/>
    <w:rsid w:val="00E94703"/>
    <w:rsid w:val="00E948FF"/>
    <w:rsid w:val="00E94CE9"/>
    <w:rsid w:val="00E94FE0"/>
    <w:rsid w:val="00E954FE"/>
    <w:rsid w:val="00E9564F"/>
    <w:rsid w:val="00E9565B"/>
    <w:rsid w:val="00E95760"/>
    <w:rsid w:val="00E95AB5"/>
    <w:rsid w:val="00E96808"/>
    <w:rsid w:val="00E96D3A"/>
    <w:rsid w:val="00E97074"/>
    <w:rsid w:val="00EA0011"/>
    <w:rsid w:val="00EA068E"/>
    <w:rsid w:val="00EA0768"/>
    <w:rsid w:val="00EA212E"/>
    <w:rsid w:val="00EA214C"/>
    <w:rsid w:val="00EA22B1"/>
    <w:rsid w:val="00EA2881"/>
    <w:rsid w:val="00EA3A0C"/>
    <w:rsid w:val="00EA3B5B"/>
    <w:rsid w:val="00EA408D"/>
    <w:rsid w:val="00EA4216"/>
    <w:rsid w:val="00EA50F0"/>
    <w:rsid w:val="00EA56F2"/>
    <w:rsid w:val="00EA56F6"/>
    <w:rsid w:val="00EA627F"/>
    <w:rsid w:val="00EA6E43"/>
    <w:rsid w:val="00EA6F21"/>
    <w:rsid w:val="00EA6F72"/>
    <w:rsid w:val="00EA75C1"/>
    <w:rsid w:val="00EB0058"/>
    <w:rsid w:val="00EB026B"/>
    <w:rsid w:val="00EB0865"/>
    <w:rsid w:val="00EB0BE9"/>
    <w:rsid w:val="00EB1405"/>
    <w:rsid w:val="00EB15F8"/>
    <w:rsid w:val="00EB1D4C"/>
    <w:rsid w:val="00EB279E"/>
    <w:rsid w:val="00EB2B24"/>
    <w:rsid w:val="00EB2F46"/>
    <w:rsid w:val="00EB3215"/>
    <w:rsid w:val="00EB33F1"/>
    <w:rsid w:val="00EB34F9"/>
    <w:rsid w:val="00EB3A70"/>
    <w:rsid w:val="00EB3B9C"/>
    <w:rsid w:val="00EB3C6A"/>
    <w:rsid w:val="00EB489A"/>
    <w:rsid w:val="00EB4AC1"/>
    <w:rsid w:val="00EB4C96"/>
    <w:rsid w:val="00EB4CA7"/>
    <w:rsid w:val="00EB4E93"/>
    <w:rsid w:val="00EB589E"/>
    <w:rsid w:val="00EB6A1A"/>
    <w:rsid w:val="00EB6C2B"/>
    <w:rsid w:val="00EB71B2"/>
    <w:rsid w:val="00EB7368"/>
    <w:rsid w:val="00EB7446"/>
    <w:rsid w:val="00EB769F"/>
    <w:rsid w:val="00EB7B5C"/>
    <w:rsid w:val="00EB7E44"/>
    <w:rsid w:val="00EB7E64"/>
    <w:rsid w:val="00EC0A2C"/>
    <w:rsid w:val="00EC18AB"/>
    <w:rsid w:val="00EC1A8E"/>
    <w:rsid w:val="00EC2184"/>
    <w:rsid w:val="00EC2185"/>
    <w:rsid w:val="00EC287B"/>
    <w:rsid w:val="00EC2FFC"/>
    <w:rsid w:val="00EC31D9"/>
    <w:rsid w:val="00EC33D1"/>
    <w:rsid w:val="00EC3A65"/>
    <w:rsid w:val="00EC5513"/>
    <w:rsid w:val="00EC5547"/>
    <w:rsid w:val="00EC5595"/>
    <w:rsid w:val="00EC5621"/>
    <w:rsid w:val="00EC5652"/>
    <w:rsid w:val="00EC5655"/>
    <w:rsid w:val="00EC567D"/>
    <w:rsid w:val="00EC56F7"/>
    <w:rsid w:val="00EC5779"/>
    <w:rsid w:val="00EC58B3"/>
    <w:rsid w:val="00EC6292"/>
    <w:rsid w:val="00EC63CC"/>
    <w:rsid w:val="00EC64ED"/>
    <w:rsid w:val="00EC6745"/>
    <w:rsid w:val="00EC7002"/>
    <w:rsid w:val="00EC701F"/>
    <w:rsid w:val="00EC73F5"/>
    <w:rsid w:val="00EC75F4"/>
    <w:rsid w:val="00EC7D78"/>
    <w:rsid w:val="00ED087C"/>
    <w:rsid w:val="00ED0CAB"/>
    <w:rsid w:val="00ED128A"/>
    <w:rsid w:val="00ED1A54"/>
    <w:rsid w:val="00ED1AF4"/>
    <w:rsid w:val="00ED1BBE"/>
    <w:rsid w:val="00ED1BF3"/>
    <w:rsid w:val="00ED2002"/>
    <w:rsid w:val="00ED20B4"/>
    <w:rsid w:val="00ED27DC"/>
    <w:rsid w:val="00ED2BB8"/>
    <w:rsid w:val="00ED307A"/>
    <w:rsid w:val="00ED3539"/>
    <w:rsid w:val="00ED440C"/>
    <w:rsid w:val="00ED450D"/>
    <w:rsid w:val="00ED4B48"/>
    <w:rsid w:val="00ED4BF6"/>
    <w:rsid w:val="00ED4CAF"/>
    <w:rsid w:val="00ED540A"/>
    <w:rsid w:val="00ED54F0"/>
    <w:rsid w:val="00ED6D4A"/>
    <w:rsid w:val="00ED77EC"/>
    <w:rsid w:val="00ED78E7"/>
    <w:rsid w:val="00ED7BFD"/>
    <w:rsid w:val="00ED7C0E"/>
    <w:rsid w:val="00ED7E6F"/>
    <w:rsid w:val="00EE0252"/>
    <w:rsid w:val="00EE0357"/>
    <w:rsid w:val="00EE05DA"/>
    <w:rsid w:val="00EE084F"/>
    <w:rsid w:val="00EE0EDD"/>
    <w:rsid w:val="00EE0EF5"/>
    <w:rsid w:val="00EE102C"/>
    <w:rsid w:val="00EE133A"/>
    <w:rsid w:val="00EE1740"/>
    <w:rsid w:val="00EE1B46"/>
    <w:rsid w:val="00EE211D"/>
    <w:rsid w:val="00EE2219"/>
    <w:rsid w:val="00EE26B6"/>
    <w:rsid w:val="00EE2AD1"/>
    <w:rsid w:val="00EE2B0B"/>
    <w:rsid w:val="00EE2B48"/>
    <w:rsid w:val="00EE353A"/>
    <w:rsid w:val="00EE36EF"/>
    <w:rsid w:val="00EE3F3D"/>
    <w:rsid w:val="00EE4174"/>
    <w:rsid w:val="00EE424A"/>
    <w:rsid w:val="00EE4A46"/>
    <w:rsid w:val="00EE4FC4"/>
    <w:rsid w:val="00EE6099"/>
    <w:rsid w:val="00EE65C0"/>
    <w:rsid w:val="00EE6EBD"/>
    <w:rsid w:val="00EE7441"/>
    <w:rsid w:val="00EE79BA"/>
    <w:rsid w:val="00EE7F2A"/>
    <w:rsid w:val="00EE7F99"/>
    <w:rsid w:val="00EF0845"/>
    <w:rsid w:val="00EF09E1"/>
    <w:rsid w:val="00EF0E55"/>
    <w:rsid w:val="00EF1563"/>
    <w:rsid w:val="00EF15F4"/>
    <w:rsid w:val="00EF15F7"/>
    <w:rsid w:val="00EF165E"/>
    <w:rsid w:val="00EF1F08"/>
    <w:rsid w:val="00EF2052"/>
    <w:rsid w:val="00EF2075"/>
    <w:rsid w:val="00EF3D56"/>
    <w:rsid w:val="00EF3FA8"/>
    <w:rsid w:val="00EF4563"/>
    <w:rsid w:val="00EF4D63"/>
    <w:rsid w:val="00EF5745"/>
    <w:rsid w:val="00EF577D"/>
    <w:rsid w:val="00EF57AE"/>
    <w:rsid w:val="00EF5B1C"/>
    <w:rsid w:val="00EF5BF2"/>
    <w:rsid w:val="00EF6651"/>
    <w:rsid w:val="00EF6947"/>
    <w:rsid w:val="00EF6AEF"/>
    <w:rsid w:val="00EF71A7"/>
    <w:rsid w:val="00EF7270"/>
    <w:rsid w:val="00EF7545"/>
    <w:rsid w:val="00EF7817"/>
    <w:rsid w:val="00EF7A7B"/>
    <w:rsid w:val="00EF7C46"/>
    <w:rsid w:val="00EF7F38"/>
    <w:rsid w:val="00F00250"/>
    <w:rsid w:val="00F008AB"/>
    <w:rsid w:val="00F009B3"/>
    <w:rsid w:val="00F00C88"/>
    <w:rsid w:val="00F00D5F"/>
    <w:rsid w:val="00F01622"/>
    <w:rsid w:val="00F01676"/>
    <w:rsid w:val="00F01BE7"/>
    <w:rsid w:val="00F02F3B"/>
    <w:rsid w:val="00F035F8"/>
    <w:rsid w:val="00F03A7A"/>
    <w:rsid w:val="00F03AB2"/>
    <w:rsid w:val="00F03B75"/>
    <w:rsid w:val="00F03D07"/>
    <w:rsid w:val="00F0575A"/>
    <w:rsid w:val="00F05BEF"/>
    <w:rsid w:val="00F06542"/>
    <w:rsid w:val="00F067CB"/>
    <w:rsid w:val="00F06C57"/>
    <w:rsid w:val="00F07781"/>
    <w:rsid w:val="00F079DF"/>
    <w:rsid w:val="00F07E5C"/>
    <w:rsid w:val="00F07EF4"/>
    <w:rsid w:val="00F1007A"/>
    <w:rsid w:val="00F103EA"/>
    <w:rsid w:val="00F10728"/>
    <w:rsid w:val="00F1074E"/>
    <w:rsid w:val="00F10C33"/>
    <w:rsid w:val="00F11B9A"/>
    <w:rsid w:val="00F11D7A"/>
    <w:rsid w:val="00F11E74"/>
    <w:rsid w:val="00F1323A"/>
    <w:rsid w:val="00F132BD"/>
    <w:rsid w:val="00F13834"/>
    <w:rsid w:val="00F13D76"/>
    <w:rsid w:val="00F13F69"/>
    <w:rsid w:val="00F14026"/>
    <w:rsid w:val="00F143B7"/>
    <w:rsid w:val="00F14526"/>
    <w:rsid w:val="00F147D8"/>
    <w:rsid w:val="00F151CB"/>
    <w:rsid w:val="00F15814"/>
    <w:rsid w:val="00F15AD8"/>
    <w:rsid w:val="00F1681C"/>
    <w:rsid w:val="00F16BF7"/>
    <w:rsid w:val="00F16D3A"/>
    <w:rsid w:val="00F16DCE"/>
    <w:rsid w:val="00F177F1"/>
    <w:rsid w:val="00F20403"/>
    <w:rsid w:val="00F2043A"/>
    <w:rsid w:val="00F208EB"/>
    <w:rsid w:val="00F20928"/>
    <w:rsid w:val="00F20CB6"/>
    <w:rsid w:val="00F20DE7"/>
    <w:rsid w:val="00F214A5"/>
    <w:rsid w:val="00F22497"/>
    <w:rsid w:val="00F230CC"/>
    <w:rsid w:val="00F237F0"/>
    <w:rsid w:val="00F2386A"/>
    <w:rsid w:val="00F23B4B"/>
    <w:rsid w:val="00F23F80"/>
    <w:rsid w:val="00F248FE"/>
    <w:rsid w:val="00F2490B"/>
    <w:rsid w:val="00F24A37"/>
    <w:rsid w:val="00F24F80"/>
    <w:rsid w:val="00F251EA"/>
    <w:rsid w:val="00F25549"/>
    <w:rsid w:val="00F25760"/>
    <w:rsid w:val="00F26409"/>
    <w:rsid w:val="00F26AF3"/>
    <w:rsid w:val="00F26E5E"/>
    <w:rsid w:val="00F271C8"/>
    <w:rsid w:val="00F273B7"/>
    <w:rsid w:val="00F278D5"/>
    <w:rsid w:val="00F305CD"/>
    <w:rsid w:val="00F3062F"/>
    <w:rsid w:val="00F30721"/>
    <w:rsid w:val="00F30A49"/>
    <w:rsid w:val="00F30D97"/>
    <w:rsid w:val="00F31479"/>
    <w:rsid w:val="00F31572"/>
    <w:rsid w:val="00F31C63"/>
    <w:rsid w:val="00F31E09"/>
    <w:rsid w:val="00F33068"/>
    <w:rsid w:val="00F33216"/>
    <w:rsid w:val="00F338B4"/>
    <w:rsid w:val="00F338E8"/>
    <w:rsid w:val="00F345F5"/>
    <w:rsid w:val="00F34E92"/>
    <w:rsid w:val="00F34F02"/>
    <w:rsid w:val="00F35236"/>
    <w:rsid w:val="00F35E28"/>
    <w:rsid w:val="00F360E3"/>
    <w:rsid w:val="00F366C5"/>
    <w:rsid w:val="00F37041"/>
    <w:rsid w:val="00F37346"/>
    <w:rsid w:val="00F37402"/>
    <w:rsid w:val="00F37852"/>
    <w:rsid w:val="00F37EEF"/>
    <w:rsid w:val="00F403A3"/>
    <w:rsid w:val="00F4056C"/>
    <w:rsid w:val="00F4098D"/>
    <w:rsid w:val="00F4127D"/>
    <w:rsid w:val="00F41E08"/>
    <w:rsid w:val="00F42C85"/>
    <w:rsid w:val="00F4383A"/>
    <w:rsid w:val="00F443F1"/>
    <w:rsid w:val="00F4471D"/>
    <w:rsid w:val="00F447DC"/>
    <w:rsid w:val="00F44F36"/>
    <w:rsid w:val="00F45013"/>
    <w:rsid w:val="00F45426"/>
    <w:rsid w:val="00F455C5"/>
    <w:rsid w:val="00F45AF5"/>
    <w:rsid w:val="00F45F0E"/>
    <w:rsid w:val="00F4622D"/>
    <w:rsid w:val="00F46633"/>
    <w:rsid w:val="00F46985"/>
    <w:rsid w:val="00F47088"/>
    <w:rsid w:val="00F47130"/>
    <w:rsid w:val="00F4717B"/>
    <w:rsid w:val="00F471AD"/>
    <w:rsid w:val="00F472E9"/>
    <w:rsid w:val="00F476FD"/>
    <w:rsid w:val="00F4781B"/>
    <w:rsid w:val="00F478C4"/>
    <w:rsid w:val="00F479BB"/>
    <w:rsid w:val="00F47C96"/>
    <w:rsid w:val="00F47F54"/>
    <w:rsid w:val="00F50518"/>
    <w:rsid w:val="00F50A15"/>
    <w:rsid w:val="00F50B27"/>
    <w:rsid w:val="00F518A9"/>
    <w:rsid w:val="00F5193F"/>
    <w:rsid w:val="00F51A37"/>
    <w:rsid w:val="00F524ED"/>
    <w:rsid w:val="00F53AD4"/>
    <w:rsid w:val="00F53E88"/>
    <w:rsid w:val="00F53F98"/>
    <w:rsid w:val="00F54518"/>
    <w:rsid w:val="00F55140"/>
    <w:rsid w:val="00F551AB"/>
    <w:rsid w:val="00F551E9"/>
    <w:rsid w:val="00F552C0"/>
    <w:rsid w:val="00F554C6"/>
    <w:rsid w:val="00F56C99"/>
    <w:rsid w:val="00F56F6F"/>
    <w:rsid w:val="00F578A3"/>
    <w:rsid w:val="00F57B26"/>
    <w:rsid w:val="00F57E42"/>
    <w:rsid w:val="00F60196"/>
    <w:rsid w:val="00F6034B"/>
    <w:rsid w:val="00F60761"/>
    <w:rsid w:val="00F60901"/>
    <w:rsid w:val="00F610A6"/>
    <w:rsid w:val="00F615C2"/>
    <w:rsid w:val="00F61E64"/>
    <w:rsid w:val="00F62778"/>
    <w:rsid w:val="00F62B1A"/>
    <w:rsid w:val="00F62F2A"/>
    <w:rsid w:val="00F62F57"/>
    <w:rsid w:val="00F62FC9"/>
    <w:rsid w:val="00F6366F"/>
    <w:rsid w:val="00F63CE2"/>
    <w:rsid w:val="00F64976"/>
    <w:rsid w:val="00F64E93"/>
    <w:rsid w:val="00F651CD"/>
    <w:rsid w:val="00F65545"/>
    <w:rsid w:val="00F655D0"/>
    <w:rsid w:val="00F658CD"/>
    <w:rsid w:val="00F65BCC"/>
    <w:rsid w:val="00F65CC4"/>
    <w:rsid w:val="00F66D53"/>
    <w:rsid w:val="00F6785F"/>
    <w:rsid w:val="00F678EC"/>
    <w:rsid w:val="00F67E98"/>
    <w:rsid w:val="00F67F4B"/>
    <w:rsid w:val="00F67F73"/>
    <w:rsid w:val="00F706C1"/>
    <w:rsid w:val="00F70DA4"/>
    <w:rsid w:val="00F71569"/>
    <w:rsid w:val="00F71604"/>
    <w:rsid w:val="00F71D66"/>
    <w:rsid w:val="00F72754"/>
    <w:rsid w:val="00F72CDC"/>
    <w:rsid w:val="00F73ADB"/>
    <w:rsid w:val="00F73C50"/>
    <w:rsid w:val="00F742AE"/>
    <w:rsid w:val="00F750C0"/>
    <w:rsid w:val="00F75989"/>
    <w:rsid w:val="00F75E3F"/>
    <w:rsid w:val="00F76287"/>
    <w:rsid w:val="00F76974"/>
    <w:rsid w:val="00F76C45"/>
    <w:rsid w:val="00F76C6D"/>
    <w:rsid w:val="00F7713C"/>
    <w:rsid w:val="00F7747A"/>
    <w:rsid w:val="00F77512"/>
    <w:rsid w:val="00F800C0"/>
    <w:rsid w:val="00F80401"/>
    <w:rsid w:val="00F80910"/>
    <w:rsid w:val="00F80C99"/>
    <w:rsid w:val="00F80CB0"/>
    <w:rsid w:val="00F811DE"/>
    <w:rsid w:val="00F81BF5"/>
    <w:rsid w:val="00F820A6"/>
    <w:rsid w:val="00F82295"/>
    <w:rsid w:val="00F8269B"/>
    <w:rsid w:val="00F82DAB"/>
    <w:rsid w:val="00F830E0"/>
    <w:rsid w:val="00F8328F"/>
    <w:rsid w:val="00F83409"/>
    <w:rsid w:val="00F83416"/>
    <w:rsid w:val="00F836F5"/>
    <w:rsid w:val="00F83AFA"/>
    <w:rsid w:val="00F83C83"/>
    <w:rsid w:val="00F83D32"/>
    <w:rsid w:val="00F840E9"/>
    <w:rsid w:val="00F84AEE"/>
    <w:rsid w:val="00F84C67"/>
    <w:rsid w:val="00F854D9"/>
    <w:rsid w:val="00F860D0"/>
    <w:rsid w:val="00F86333"/>
    <w:rsid w:val="00F863A9"/>
    <w:rsid w:val="00F864C8"/>
    <w:rsid w:val="00F8682B"/>
    <w:rsid w:val="00F86A8A"/>
    <w:rsid w:val="00F87A6D"/>
    <w:rsid w:val="00F90532"/>
    <w:rsid w:val="00F905B4"/>
    <w:rsid w:val="00F905F9"/>
    <w:rsid w:val="00F90681"/>
    <w:rsid w:val="00F90948"/>
    <w:rsid w:val="00F90B2A"/>
    <w:rsid w:val="00F91307"/>
    <w:rsid w:val="00F91A29"/>
    <w:rsid w:val="00F91C43"/>
    <w:rsid w:val="00F91EF5"/>
    <w:rsid w:val="00F9212B"/>
    <w:rsid w:val="00F92361"/>
    <w:rsid w:val="00F926C3"/>
    <w:rsid w:val="00F9285F"/>
    <w:rsid w:val="00F930C5"/>
    <w:rsid w:val="00F939C1"/>
    <w:rsid w:val="00F93C58"/>
    <w:rsid w:val="00F93C6E"/>
    <w:rsid w:val="00F957A8"/>
    <w:rsid w:val="00F95C7D"/>
    <w:rsid w:val="00F95D85"/>
    <w:rsid w:val="00F95F46"/>
    <w:rsid w:val="00F95FEF"/>
    <w:rsid w:val="00F963F4"/>
    <w:rsid w:val="00F9668C"/>
    <w:rsid w:val="00F972A6"/>
    <w:rsid w:val="00F973CC"/>
    <w:rsid w:val="00F976F3"/>
    <w:rsid w:val="00F97948"/>
    <w:rsid w:val="00F9794E"/>
    <w:rsid w:val="00F97F7B"/>
    <w:rsid w:val="00FA077C"/>
    <w:rsid w:val="00FA13F7"/>
    <w:rsid w:val="00FA15F0"/>
    <w:rsid w:val="00FA17A9"/>
    <w:rsid w:val="00FA18D2"/>
    <w:rsid w:val="00FA29D7"/>
    <w:rsid w:val="00FA2DED"/>
    <w:rsid w:val="00FA3B80"/>
    <w:rsid w:val="00FA4108"/>
    <w:rsid w:val="00FA44B8"/>
    <w:rsid w:val="00FA4907"/>
    <w:rsid w:val="00FA4A2B"/>
    <w:rsid w:val="00FA4ED2"/>
    <w:rsid w:val="00FA5145"/>
    <w:rsid w:val="00FA5514"/>
    <w:rsid w:val="00FA5736"/>
    <w:rsid w:val="00FA5A53"/>
    <w:rsid w:val="00FA5FBB"/>
    <w:rsid w:val="00FA616F"/>
    <w:rsid w:val="00FA68DE"/>
    <w:rsid w:val="00FA7279"/>
    <w:rsid w:val="00FA7544"/>
    <w:rsid w:val="00FA756C"/>
    <w:rsid w:val="00FA764B"/>
    <w:rsid w:val="00FB0100"/>
    <w:rsid w:val="00FB12A9"/>
    <w:rsid w:val="00FB12CA"/>
    <w:rsid w:val="00FB1C66"/>
    <w:rsid w:val="00FB1C95"/>
    <w:rsid w:val="00FB1D09"/>
    <w:rsid w:val="00FB2B31"/>
    <w:rsid w:val="00FB3735"/>
    <w:rsid w:val="00FB3CD2"/>
    <w:rsid w:val="00FB42EC"/>
    <w:rsid w:val="00FB431E"/>
    <w:rsid w:val="00FB47B2"/>
    <w:rsid w:val="00FB47C2"/>
    <w:rsid w:val="00FB4AE1"/>
    <w:rsid w:val="00FB4FBD"/>
    <w:rsid w:val="00FB546E"/>
    <w:rsid w:val="00FB547F"/>
    <w:rsid w:val="00FB56E8"/>
    <w:rsid w:val="00FB5C63"/>
    <w:rsid w:val="00FB6F5F"/>
    <w:rsid w:val="00FB74D8"/>
    <w:rsid w:val="00FB7671"/>
    <w:rsid w:val="00FB7AC5"/>
    <w:rsid w:val="00FC0081"/>
    <w:rsid w:val="00FC03CE"/>
    <w:rsid w:val="00FC0E68"/>
    <w:rsid w:val="00FC0FA3"/>
    <w:rsid w:val="00FC1661"/>
    <w:rsid w:val="00FC1B0A"/>
    <w:rsid w:val="00FC1C80"/>
    <w:rsid w:val="00FC2107"/>
    <w:rsid w:val="00FC2C9D"/>
    <w:rsid w:val="00FC343E"/>
    <w:rsid w:val="00FC34DA"/>
    <w:rsid w:val="00FC3524"/>
    <w:rsid w:val="00FC3E37"/>
    <w:rsid w:val="00FC473A"/>
    <w:rsid w:val="00FC4C05"/>
    <w:rsid w:val="00FC563B"/>
    <w:rsid w:val="00FC5FDA"/>
    <w:rsid w:val="00FC5FF9"/>
    <w:rsid w:val="00FC6266"/>
    <w:rsid w:val="00FC67DC"/>
    <w:rsid w:val="00FC684C"/>
    <w:rsid w:val="00FC6F94"/>
    <w:rsid w:val="00FC76E2"/>
    <w:rsid w:val="00FC7E53"/>
    <w:rsid w:val="00FD035E"/>
    <w:rsid w:val="00FD10DE"/>
    <w:rsid w:val="00FD10EE"/>
    <w:rsid w:val="00FD1234"/>
    <w:rsid w:val="00FD1642"/>
    <w:rsid w:val="00FD2B25"/>
    <w:rsid w:val="00FD2E19"/>
    <w:rsid w:val="00FD30B9"/>
    <w:rsid w:val="00FD3495"/>
    <w:rsid w:val="00FD3A19"/>
    <w:rsid w:val="00FD4017"/>
    <w:rsid w:val="00FD407B"/>
    <w:rsid w:val="00FD43F2"/>
    <w:rsid w:val="00FD4843"/>
    <w:rsid w:val="00FD4DE1"/>
    <w:rsid w:val="00FD5734"/>
    <w:rsid w:val="00FD59C6"/>
    <w:rsid w:val="00FD5DBC"/>
    <w:rsid w:val="00FD5F1C"/>
    <w:rsid w:val="00FD621F"/>
    <w:rsid w:val="00FD6308"/>
    <w:rsid w:val="00FD6367"/>
    <w:rsid w:val="00FD6C32"/>
    <w:rsid w:val="00FD6E88"/>
    <w:rsid w:val="00FD6EBB"/>
    <w:rsid w:val="00FD72A2"/>
    <w:rsid w:val="00FD72DB"/>
    <w:rsid w:val="00FD74C2"/>
    <w:rsid w:val="00FD783C"/>
    <w:rsid w:val="00FD79F3"/>
    <w:rsid w:val="00FD7C74"/>
    <w:rsid w:val="00FD7D70"/>
    <w:rsid w:val="00FE00E7"/>
    <w:rsid w:val="00FE025A"/>
    <w:rsid w:val="00FE03A4"/>
    <w:rsid w:val="00FE0465"/>
    <w:rsid w:val="00FE0C20"/>
    <w:rsid w:val="00FE13FB"/>
    <w:rsid w:val="00FE1617"/>
    <w:rsid w:val="00FE18D5"/>
    <w:rsid w:val="00FE1B62"/>
    <w:rsid w:val="00FE1C36"/>
    <w:rsid w:val="00FE1CCB"/>
    <w:rsid w:val="00FE1F0B"/>
    <w:rsid w:val="00FE1FE0"/>
    <w:rsid w:val="00FE2197"/>
    <w:rsid w:val="00FE28EF"/>
    <w:rsid w:val="00FE2DCE"/>
    <w:rsid w:val="00FE2EFA"/>
    <w:rsid w:val="00FE3398"/>
    <w:rsid w:val="00FE34B4"/>
    <w:rsid w:val="00FE3820"/>
    <w:rsid w:val="00FE3C51"/>
    <w:rsid w:val="00FE42A6"/>
    <w:rsid w:val="00FE4549"/>
    <w:rsid w:val="00FE46A8"/>
    <w:rsid w:val="00FE47B5"/>
    <w:rsid w:val="00FE4F84"/>
    <w:rsid w:val="00FE54D6"/>
    <w:rsid w:val="00FE55A3"/>
    <w:rsid w:val="00FE580A"/>
    <w:rsid w:val="00FE5BB9"/>
    <w:rsid w:val="00FE5BDA"/>
    <w:rsid w:val="00FE5D3D"/>
    <w:rsid w:val="00FE604B"/>
    <w:rsid w:val="00FE62AE"/>
    <w:rsid w:val="00FE66F7"/>
    <w:rsid w:val="00FE6A11"/>
    <w:rsid w:val="00FE6C6A"/>
    <w:rsid w:val="00FE706E"/>
    <w:rsid w:val="00FE7C8E"/>
    <w:rsid w:val="00FE7F69"/>
    <w:rsid w:val="00FF062A"/>
    <w:rsid w:val="00FF10A0"/>
    <w:rsid w:val="00FF1156"/>
    <w:rsid w:val="00FF1497"/>
    <w:rsid w:val="00FF1F0A"/>
    <w:rsid w:val="00FF2926"/>
    <w:rsid w:val="00FF2E8A"/>
    <w:rsid w:val="00FF2E8E"/>
    <w:rsid w:val="00FF40D9"/>
    <w:rsid w:val="00FF4150"/>
    <w:rsid w:val="00FF4320"/>
    <w:rsid w:val="00FF43F1"/>
    <w:rsid w:val="00FF4974"/>
    <w:rsid w:val="00FF5068"/>
    <w:rsid w:val="00FF5572"/>
    <w:rsid w:val="00FF5A22"/>
    <w:rsid w:val="00FF633B"/>
    <w:rsid w:val="00FF66F4"/>
    <w:rsid w:val="00FF79C5"/>
    <w:rsid w:val="00FF7B9B"/>
    <w:rsid w:val="00FF7BF1"/>
    <w:rsid w:val="00FF7E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A77F286"/>
  <w15:docId w15:val="{6053430B-A3C0-4363-AA75-91E5651E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EFC"/>
    <w:pPr>
      <w:spacing w:before="240" w:after="240" w:line="240" w:lineRule="auto"/>
      <w:jc w:val="both"/>
    </w:pPr>
    <w:rPr>
      <w:rFonts w:ascii="Palatino Linotype" w:hAnsi="Palatino Linotype"/>
    </w:rPr>
  </w:style>
  <w:style w:type="paragraph" w:styleId="Heading1">
    <w:name w:val="heading 1"/>
    <w:basedOn w:val="Normal"/>
    <w:next w:val="Normal"/>
    <w:link w:val="Heading1Char"/>
    <w:uiPriority w:val="9"/>
    <w:qFormat/>
    <w:rsid w:val="0011460A"/>
    <w:pPr>
      <w:keepNext/>
      <w:keepLines/>
      <w:numPr>
        <w:numId w:val="34"/>
      </w:numPr>
      <w:spacing w:before="480" w:after="360"/>
      <w:ind w:left="567" w:hanging="567"/>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11460A"/>
    <w:pPr>
      <w:keepNext/>
      <w:keepLines/>
      <w:numPr>
        <w:ilvl w:val="1"/>
        <w:numId w:val="34"/>
      </w:numPr>
      <w:spacing w:before="360"/>
      <w:ind w:left="567" w:hanging="567"/>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11460A"/>
    <w:pPr>
      <w:keepNext/>
      <w:keepLines/>
      <w:numPr>
        <w:ilvl w:val="2"/>
        <w:numId w:val="34"/>
      </w:numPr>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11460A"/>
    <w:pPr>
      <w:keepNext/>
      <w:keepLines/>
      <w:numPr>
        <w:ilvl w:val="3"/>
        <w:numId w:val="34"/>
      </w:numPr>
      <w:ind w:left="2098" w:hanging="851"/>
      <w:contextualSpacing/>
      <w:jc w:val="left"/>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1B2"/>
    <w:pPr>
      <w:numPr>
        <w:ilvl w:val="1"/>
        <w:numId w:val="35"/>
      </w:numPr>
      <w:spacing w:before="60" w:after="0"/>
      <w:ind w:left="788" w:hanging="431"/>
      <w:contextualSpacing/>
      <w:jc w:val="left"/>
    </w:pPr>
  </w:style>
  <w:style w:type="character" w:styleId="HTMLDefinition">
    <w:name w:val="HTML Definition"/>
    <w:basedOn w:val="DefaultParagraphFont"/>
    <w:uiPriority w:val="99"/>
    <w:semiHidden/>
    <w:unhideWhenUsed/>
    <w:rsid w:val="0033291B"/>
    <w:rPr>
      <w:i/>
      <w:iCs/>
    </w:rPr>
  </w:style>
  <w:style w:type="character" w:customStyle="1" w:styleId="apple-converted-space">
    <w:name w:val="apple-converted-space"/>
    <w:basedOn w:val="DefaultParagraphFont"/>
    <w:rsid w:val="0033291B"/>
  </w:style>
  <w:style w:type="character" w:styleId="Hyperlink">
    <w:name w:val="Hyperlink"/>
    <w:basedOn w:val="DefaultParagraphFont"/>
    <w:uiPriority w:val="99"/>
    <w:unhideWhenUsed/>
    <w:rsid w:val="0033291B"/>
    <w:rPr>
      <w:color w:val="0000FF"/>
      <w:u w:val="single"/>
    </w:rPr>
  </w:style>
  <w:style w:type="character" w:styleId="HTMLCite">
    <w:name w:val="HTML Cite"/>
    <w:basedOn w:val="DefaultParagraphFont"/>
    <w:uiPriority w:val="99"/>
    <w:semiHidden/>
    <w:unhideWhenUsed/>
    <w:rsid w:val="0033291B"/>
    <w:rPr>
      <w:i/>
      <w:iCs/>
    </w:rPr>
  </w:style>
  <w:style w:type="paragraph" w:styleId="FootnoteText">
    <w:name w:val="footnote text"/>
    <w:basedOn w:val="Normal"/>
    <w:link w:val="FootnoteTextChar"/>
    <w:uiPriority w:val="99"/>
    <w:rsid w:val="0011460A"/>
    <w:pPr>
      <w:keepLines/>
      <w:spacing w:before="0" w:after="0"/>
      <w:contextualSpacing/>
      <w:jc w:val="left"/>
    </w:pPr>
    <w:rPr>
      <w:sz w:val="18"/>
      <w:szCs w:val="20"/>
    </w:rPr>
  </w:style>
  <w:style w:type="character" w:customStyle="1" w:styleId="FootnoteTextChar">
    <w:name w:val="Footnote Text Char"/>
    <w:basedOn w:val="DefaultParagraphFont"/>
    <w:link w:val="FootnoteText"/>
    <w:uiPriority w:val="99"/>
    <w:rsid w:val="0012182E"/>
    <w:rPr>
      <w:rFonts w:ascii="Times New Roman" w:hAnsi="Times New Roman"/>
      <w:sz w:val="18"/>
      <w:szCs w:val="20"/>
    </w:rPr>
  </w:style>
  <w:style w:type="character" w:styleId="FootnoteReference">
    <w:name w:val="footnote reference"/>
    <w:basedOn w:val="DefaultParagraphFont"/>
    <w:uiPriority w:val="99"/>
    <w:semiHidden/>
    <w:unhideWhenUsed/>
    <w:rsid w:val="0012182E"/>
    <w:rPr>
      <w:vertAlign w:val="superscript"/>
    </w:rPr>
  </w:style>
  <w:style w:type="character" w:styleId="FollowedHyperlink">
    <w:name w:val="FollowedHyperlink"/>
    <w:basedOn w:val="DefaultParagraphFont"/>
    <w:uiPriority w:val="99"/>
    <w:semiHidden/>
    <w:unhideWhenUsed/>
    <w:rsid w:val="000E2E13"/>
    <w:rPr>
      <w:color w:val="954F72" w:themeColor="followedHyperlink"/>
      <w:u w:val="single"/>
    </w:rPr>
  </w:style>
  <w:style w:type="paragraph" w:styleId="BalloonText">
    <w:name w:val="Balloon Text"/>
    <w:basedOn w:val="Normal"/>
    <w:link w:val="BalloonTextChar"/>
    <w:uiPriority w:val="99"/>
    <w:semiHidden/>
    <w:unhideWhenUsed/>
    <w:rsid w:val="00EF156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563"/>
    <w:rPr>
      <w:rFonts w:ascii="Segoe UI" w:hAnsi="Segoe UI" w:cs="Segoe UI"/>
      <w:sz w:val="18"/>
      <w:szCs w:val="18"/>
    </w:rPr>
  </w:style>
  <w:style w:type="character" w:styleId="CommentReference">
    <w:name w:val="annotation reference"/>
    <w:basedOn w:val="DefaultParagraphFont"/>
    <w:uiPriority w:val="99"/>
    <w:semiHidden/>
    <w:unhideWhenUsed/>
    <w:rsid w:val="0088407E"/>
    <w:rPr>
      <w:sz w:val="16"/>
      <w:szCs w:val="16"/>
    </w:rPr>
  </w:style>
  <w:style w:type="paragraph" w:styleId="CommentText">
    <w:name w:val="annotation text"/>
    <w:basedOn w:val="Normal"/>
    <w:link w:val="CommentTextChar"/>
    <w:uiPriority w:val="99"/>
    <w:semiHidden/>
    <w:unhideWhenUsed/>
    <w:rsid w:val="0088407E"/>
    <w:rPr>
      <w:sz w:val="20"/>
      <w:szCs w:val="20"/>
    </w:rPr>
  </w:style>
  <w:style w:type="character" w:customStyle="1" w:styleId="CommentTextChar">
    <w:name w:val="Comment Text Char"/>
    <w:basedOn w:val="DefaultParagraphFont"/>
    <w:link w:val="CommentText"/>
    <w:uiPriority w:val="99"/>
    <w:semiHidden/>
    <w:rsid w:val="0088407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8407E"/>
    <w:rPr>
      <w:b/>
      <w:bCs/>
    </w:rPr>
  </w:style>
  <w:style w:type="character" w:customStyle="1" w:styleId="CommentSubjectChar">
    <w:name w:val="Comment Subject Char"/>
    <w:basedOn w:val="CommentTextChar"/>
    <w:link w:val="CommentSubject"/>
    <w:uiPriority w:val="99"/>
    <w:semiHidden/>
    <w:rsid w:val="0088407E"/>
    <w:rPr>
      <w:rFonts w:ascii="Times New Roman" w:hAnsi="Times New Roman"/>
      <w:b/>
      <w:bCs/>
      <w:sz w:val="20"/>
      <w:szCs w:val="20"/>
    </w:rPr>
  </w:style>
  <w:style w:type="paragraph" w:styleId="Header">
    <w:name w:val="header"/>
    <w:basedOn w:val="Normal"/>
    <w:link w:val="HeaderChar"/>
    <w:uiPriority w:val="99"/>
    <w:unhideWhenUsed/>
    <w:rsid w:val="00D81827"/>
    <w:pPr>
      <w:tabs>
        <w:tab w:val="center" w:pos="4680"/>
        <w:tab w:val="right" w:pos="9360"/>
      </w:tabs>
      <w:spacing w:after="0"/>
    </w:pPr>
  </w:style>
  <w:style w:type="character" w:customStyle="1" w:styleId="HeaderChar">
    <w:name w:val="Header Char"/>
    <w:basedOn w:val="DefaultParagraphFont"/>
    <w:link w:val="Header"/>
    <w:uiPriority w:val="99"/>
    <w:rsid w:val="00D81827"/>
    <w:rPr>
      <w:rFonts w:ascii="Times New Roman" w:hAnsi="Times New Roman"/>
    </w:rPr>
  </w:style>
  <w:style w:type="paragraph" w:styleId="Footer">
    <w:name w:val="footer"/>
    <w:basedOn w:val="Normal"/>
    <w:link w:val="FooterChar"/>
    <w:uiPriority w:val="99"/>
    <w:unhideWhenUsed/>
    <w:rsid w:val="00D81827"/>
    <w:pPr>
      <w:tabs>
        <w:tab w:val="center" w:pos="4680"/>
        <w:tab w:val="right" w:pos="9360"/>
      </w:tabs>
      <w:spacing w:after="0"/>
    </w:pPr>
  </w:style>
  <w:style w:type="character" w:customStyle="1" w:styleId="FooterChar">
    <w:name w:val="Footer Char"/>
    <w:basedOn w:val="DefaultParagraphFont"/>
    <w:link w:val="Footer"/>
    <w:uiPriority w:val="99"/>
    <w:rsid w:val="00D81827"/>
    <w:rPr>
      <w:rFonts w:ascii="Times New Roman" w:hAnsi="Times New Roman"/>
    </w:rPr>
  </w:style>
  <w:style w:type="paragraph" w:customStyle="1" w:styleId="opipara">
    <w:name w:val="opipara"/>
    <w:basedOn w:val="Normal"/>
    <w:rsid w:val="00094CAC"/>
    <w:pPr>
      <w:spacing w:before="100" w:beforeAutospacing="1" w:after="100" w:afterAutospacing="1"/>
    </w:pPr>
    <w:rPr>
      <w:rFonts w:eastAsia="Times New Roman" w:cs="Times New Roman"/>
      <w:sz w:val="24"/>
      <w:szCs w:val="24"/>
      <w:lang w:eastAsia="en-CA"/>
    </w:rPr>
  </w:style>
  <w:style w:type="character" w:customStyle="1" w:styleId="Heading1Char">
    <w:name w:val="Heading 1 Char"/>
    <w:basedOn w:val="DefaultParagraphFont"/>
    <w:link w:val="Heading1"/>
    <w:uiPriority w:val="9"/>
    <w:rsid w:val="00330F4B"/>
    <w:rPr>
      <w:rFonts w:ascii="Times New Roman" w:eastAsiaTheme="majorEastAsia" w:hAnsi="Times New Roman" w:cstheme="majorBidi"/>
      <w:b/>
      <w:smallCaps/>
      <w:spacing w:val="4"/>
      <w:sz w:val="32"/>
      <w:szCs w:val="32"/>
    </w:rPr>
  </w:style>
  <w:style w:type="character" w:customStyle="1" w:styleId="Heading2Char">
    <w:name w:val="Heading 2 Char"/>
    <w:basedOn w:val="DefaultParagraphFont"/>
    <w:link w:val="Heading2"/>
    <w:uiPriority w:val="9"/>
    <w:rsid w:val="00330F4B"/>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330F4B"/>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330F4B"/>
    <w:rPr>
      <w:rFonts w:ascii="Times New Roman" w:eastAsiaTheme="majorEastAsia" w:hAnsi="Times New Roman" w:cstheme="majorBidi"/>
      <w:b/>
      <w:iCs/>
      <w:sz w:val="24"/>
    </w:rPr>
  </w:style>
  <w:style w:type="paragraph" w:customStyle="1" w:styleId="BlockQuote">
    <w:name w:val="Block Quote"/>
    <w:basedOn w:val="Normal"/>
    <w:link w:val="BlockQuoteChar"/>
    <w:qFormat/>
    <w:rsid w:val="0011460A"/>
    <w:pPr>
      <w:spacing w:before="120" w:after="120"/>
      <w:ind w:left="720" w:right="720"/>
    </w:pPr>
    <w:rPr>
      <w:sz w:val="21"/>
    </w:rPr>
  </w:style>
  <w:style w:type="character" w:customStyle="1" w:styleId="BlockQuoteChar">
    <w:name w:val="Block Quote Char"/>
    <w:basedOn w:val="DefaultParagraphFont"/>
    <w:link w:val="BlockQuote"/>
    <w:rsid w:val="00330F4B"/>
    <w:rPr>
      <w:rFonts w:ascii="Times New Roman" w:hAnsi="Times New Roman"/>
      <w:sz w:val="21"/>
    </w:rPr>
  </w:style>
  <w:style w:type="paragraph" w:customStyle="1" w:styleId="ExcerptMarker">
    <w:name w:val="Excerpt Marker"/>
    <w:basedOn w:val="Normal"/>
    <w:link w:val="ExcerptMarkerChar"/>
    <w:qFormat/>
    <w:rsid w:val="0011460A"/>
    <w:pPr>
      <w:keepNext/>
      <w:widowControl w:val="0"/>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330F4B"/>
    <w:rPr>
      <w:rFonts w:ascii="Times New Roman" w:eastAsiaTheme="minorEastAsia" w:hAnsi="Times New Roman" w:cs="Times New Roman"/>
      <w:smallCaps/>
      <w:sz w:val="18"/>
      <w:lang w:val="en-US" w:eastAsia="zh-CN"/>
    </w:rPr>
  </w:style>
  <w:style w:type="paragraph" w:customStyle="1" w:styleId="TitlePgChTitle">
    <w:name w:val="Title Pg Ch. Title"/>
    <w:basedOn w:val="Normal"/>
    <w:link w:val="TitlePgChTitleChar"/>
    <w:qFormat/>
    <w:rsid w:val="0011460A"/>
    <w:pPr>
      <w:jc w:val="center"/>
    </w:pPr>
    <w:rPr>
      <w:b/>
      <w:smallCaps/>
      <w:spacing w:val="10"/>
      <w:sz w:val="36"/>
    </w:rPr>
  </w:style>
  <w:style w:type="character" w:customStyle="1" w:styleId="TitlePgChTitleChar">
    <w:name w:val="Title Pg Ch. Title Char"/>
    <w:basedOn w:val="DefaultParagraphFont"/>
    <w:link w:val="TitlePgChTitle"/>
    <w:rsid w:val="00330F4B"/>
    <w:rPr>
      <w:rFonts w:ascii="Times New Roman" w:hAnsi="Times New Roman"/>
      <w:b/>
      <w:smallCaps/>
      <w:spacing w:val="10"/>
      <w:sz w:val="36"/>
    </w:rPr>
  </w:style>
  <w:style w:type="paragraph" w:customStyle="1" w:styleId="TitlePgCh">
    <w:name w:val="Title Pg Ch.#"/>
    <w:basedOn w:val="Normal"/>
    <w:link w:val="TitlePgChChar"/>
    <w:qFormat/>
    <w:rsid w:val="0011460A"/>
    <w:pPr>
      <w:spacing w:after="480"/>
      <w:jc w:val="center"/>
    </w:pPr>
    <w:rPr>
      <w:b/>
      <w:smallCaps/>
      <w:spacing w:val="20"/>
      <w:sz w:val="28"/>
    </w:rPr>
  </w:style>
  <w:style w:type="character" w:customStyle="1" w:styleId="TitlePgChChar">
    <w:name w:val="Title Pg Ch.# Char"/>
    <w:basedOn w:val="DefaultParagraphFont"/>
    <w:link w:val="TitlePgCh"/>
    <w:rsid w:val="00330F4B"/>
    <w:rPr>
      <w:rFonts w:ascii="Times New Roman" w:hAnsi="Times New Roman"/>
      <w:b/>
      <w:smallCaps/>
      <w:spacing w:val="20"/>
      <w:sz w:val="28"/>
    </w:rPr>
  </w:style>
  <w:style w:type="paragraph" w:styleId="TOC1">
    <w:name w:val="toc 1"/>
    <w:basedOn w:val="Normal"/>
    <w:next w:val="Normal"/>
    <w:uiPriority w:val="39"/>
    <w:unhideWhenUsed/>
    <w:qFormat/>
    <w:rsid w:val="00584A95"/>
    <w:pPr>
      <w:tabs>
        <w:tab w:val="left" w:pos="440"/>
        <w:tab w:val="left" w:pos="567"/>
        <w:tab w:val="right" w:leader="dot" w:pos="9350"/>
      </w:tabs>
      <w:spacing w:after="100"/>
      <w:ind w:left="567" w:hanging="567"/>
      <w:jc w:val="left"/>
    </w:pPr>
    <w:rPr>
      <w:rFonts w:ascii="Times New Roman Bold" w:hAnsi="Times New Roman Bold"/>
      <w:b/>
      <w:smallCaps/>
      <w:spacing w:val="4"/>
    </w:rPr>
  </w:style>
  <w:style w:type="paragraph" w:customStyle="1" w:styleId="TOCHeading1">
    <w:name w:val="TOC Heading1"/>
    <w:basedOn w:val="Normal"/>
    <w:link w:val="ToCHeadingChar"/>
    <w:qFormat/>
    <w:rsid w:val="0011460A"/>
    <w:pPr>
      <w:jc w:val="left"/>
    </w:pPr>
    <w:rPr>
      <w:b/>
      <w:smallCaps/>
      <w:spacing w:val="4"/>
      <w:sz w:val="32"/>
    </w:rPr>
  </w:style>
  <w:style w:type="character" w:customStyle="1" w:styleId="ToCHeadingChar">
    <w:name w:val="ToC Heading Char"/>
    <w:basedOn w:val="DefaultParagraphFont"/>
    <w:link w:val="TOCHeading1"/>
    <w:rsid w:val="00330F4B"/>
    <w:rPr>
      <w:rFonts w:ascii="Times New Roman" w:hAnsi="Times New Roman"/>
      <w:b/>
      <w:smallCaps/>
      <w:spacing w:val="4"/>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214559">
      <w:bodyDiv w:val="1"/>
      <w:marLeft w:val="0"/>
      <w:marRight w:val="0"/>
      <w:marTop w:val="0"/>
      <w:marBottom w:val="0"/>
      <w:divBdr>
        <w:top w:val="none" w:sz="0" w:space="0" w:color="auto"/>
        <w:left w:val="none" w:sz="0" w:space="0" w:color="auto"/>
        <w:bottom w:val="none" w:sz="0" w:space="0" w:color="auto"/>
        <w:right w:val="none" w:sz="0" w:space="0" w:color="auto"/>
      </w:divBdr>
    </w:div>
    <w:div w:id="1897425657">
      <w:bodyDiv w:val="1"/>
      <w:marLeft w:val="0"/>
      <w:marRight w:val="0"/>
      <w:marTop w:val="0"/>
      <w:marBottom w:val="0"/>
      <w:divBdr>
        <w:top w:val="none" w:sz="0" w:space="0" w:color="auto"/>
        <w:left w:val="none" w:sz="0" w:space="0" w:color="auto"/>
        <w:bottom w:val="none" w:sz="0" w:space="0" w:color="auto"/>
        <w:right w:val="none" w:sz="0" w:space="0" w:color="auto"/>
      </w:divBdr>
      <w:divsChild>
        <w:div w:id="1192918176">
          <w:marLeft w:val="0"/>
          <w:marRight w:val="0"/>
          <w:marTop w:val="0"/>
          <w:marBottom w:val="0"/>
          <w:divBdr>
            <w:top w:val="none" w:sz="0" w:space="0" w:color="auto"/>
            <w:left w:val="none" w:sz="0" w:space="0" w:color="auto"/>
            <w:bottom w:val="none" w:sz="0" w:space="0" w:color="auto"/>
            <w:right w:val="none" w:sz="0" w:space="0" w:color="auto"/>
          </w:divBdr>
        </w:div>
        <w:div w:id="911887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www.opensecrets.org" TargetMode="External"/><Relationship Id="rId18" Type="http://schemas.openxmlformats.org/officeDocument/2006/relationships/hyperlink" Target="http://www.electoralcommission.org.uk/__data/assets/pdf_file/0004/173074/UKPGE-Part-3-Spending-and-donations.pdf" TargetMode="External"/><Relationship Id="rId26" Type="http://schemas.openxmlformats.org/officeDocument/2006/relationships/hyperlink" Target="http://www.electoralcommission.org.uk/__data/assets/pdf_file/0015/102264/to-loans-rp.pdf" TargetMode="External"/><Relationship Id="rId39" Type="http://schemas.openxmlformats.org/officeDocument/2006/relationships/hyperlink" Target="http://www.elections.ca/content.aspx?section=ele&amp;document=index&amp;dir=pas/42ge/pollim&amp;lang=e" TargetMode="External"/><Relationship Id="rId21" Type="http://schemas.openxmlformats.org/officeDocument/2006/relationships/hyperlink" Target="http://www.electoralcommission.org.uk/__data/assets/pdf_file/0004/173074/UKPGE-Part-3-Spending-and-donations.pdf" TargetMode="External"/><Relationship Id="rId34" Type="http://schemas.openxmlformats.org/officeDocument/2006/relationships/hyperlink" Target="https://www.opendemocracy.net/uk/peter-geoghegan-adam-ramsay/mysterious-dup-brexit-donation-plot-thickens" TargetMode="External"/><Relationship Id="rId42" Type="http://schemas.openxmlformats.org/officeDocument/2006/relationships/hyperlink" Target="http://www.elections.ca/content.aspx?section=res&amp;dir=ces&amp;document=part6&amp;lang=e" TargetMode="External"/><Relationship Id="rId47" Type="http://schemas.openxmlformats.org/officeDocument/2006/relationships/hyperlink" Target="http://www.elections.ca/content.aspx?section=med&amp;dir=spe&amp;document=jul2616&amp;lang=e" TargetMode="External"/><Relationship Id="rId50" Type="http://schemas.openxmlformats.org/officeDocument/2006/relationships/hyperlink" Target="http://www.elections.ca/content.aspx?section=med&amp;dir=spe&amp;document=oct0416&amp;lang=e" TargetMode="External"/><Relationship Id="rId55" Type="http://schemas.openxmlformats.org/officeDocument/2006/relationships/hyperlink" Target="https://www.theguardian.com/world/2016/dec/12/brazil-president-michel-temer-illegal-campaign-donations" TargetMode="External"/><Relationship Id="rId7" Type="http://schemas.openxmlformats.org/officeDocument/2006/relationships/hyperlink" Target="http://www.oecd.org/investment/anti-bribery/anti-briberyconvention/44884389.pdf" TargetMode="External"/><Relationship Id="rId12" Type="http://schemas.openxmlformats.org/officeDocument/2006/relationships/hyperlink" Target="http://www.cfinst.org/law.aspx" TargetMode="External"/><Relationship Id="rId17" Type="http://schemas.openxmlformats.org/officeDocument/2006/relationships/hyperlink" Target="http://hudoc.echr.coe.int/eng" TargetMode="External"/><Relationship Id="rId25" Type="http://schemas.openxmlformats.org/officeDocument/2006/relationships/hyperlink" Target="http://www.electoralcommission.org.uk/__data/assets/pdf_file/0014/102263/to-donations-rp.pdf" TargetMode="External"/><Relationship Id="rId33" Type="http://schemas.openxmlformats.org/officeDocument/2006/relationships/hyperlink" Target="http://www.electoralcommission.org.uk/__data/assets/pdf_file/0004/173074/UKPGE-Part-3-Spending-and-donations.pdf" TargetMode="External"/><Relationship Id="rId38" Type="http://schemas.openxmlformats.org/officeDocument/2006/relationships/hyperlink" Target="https://publications.parliament.uk/pa/jt200102/jtselect/jtcom/169/2061701.htm" TargetMode="External"/><Relationship Id="rId46" Type="http://schemas.openxmlformats.org/officeDocument/2006/relationships/hyperlink" Target="https://www.cef-cce.gc.ca/content.asp?section=abo&amp;dir=bck&amp;document=index&amp;lang=e" TargetMode="External"/><Relationship Id="rId2" Type="http://schemas.openxmlformats.org/officeDocument/2006/relationships/hyperlink" Target="http://www.demos.org/publication/dc%E2%80%99s-white-donor-class-outsized-influence-diverse-city" TargetMode="External"/><Relationship Id="rId16" Type="http://schemas.openxmlformats.org/officeDocument/2006/relationships/hyperlink" Target="https://www.lawgazette.co.uk/law/lawyers-fear-for-uks-future-in-echr-after-brexit-vote/5056112.article" TargetMode="External"/><Relationship Id="rId20" Type="http://schemas.openxmlformats.org/officeDocument/2006/relationships/hyperlink" Target="https://www.electoralcommission.org.uk/__data/assets/pdf_file/0019/214516/UKPGE-Part-3-Spending-and-donations.pdf" TargetMode="External"/><Relationship Id="rId29" Type="http://schemas.openxmlformats.org/officeDocument/2006/relationships/hyperlink" Target="https://www.ofcom.org.uk/__data/assets/pdf_file/0035/99188/pprb-rules-march-2017.pdf" TargetMode="External"/><Relationship Id="rId41" Type="http://schemas.openxmlformats.org/officeDocument/2006/relationships/hyperlink" Target="http://www.elections.ca/content.aspx?section=med&amp;dir=spe&amp;document=jul2616&amp;lang=e" TargetMode="External"/><Relationship Id="rId54" Type="http://schemas.openxmlformats.org/officeDocument/2006/relationships/hyperlink" Target="http://www.latimes.com/local/lanow/la-me-ln-seabreeze-reaction-20161030-story.html" TargetMode="External"/><Relationship Id="rId1" Type="http://schemas.openxmlformats.org/officeDocument/2006/relationships/hyperlink" Target="https://www.usatoday.com/story/news/politics/onpolitics/2017/02/21/president-trump-shattered-small-donor-records/98208462/" TargetMode="External"/><Relationship Id="rId6" Type="http://schemas.openxmlformats.org/officeDocument/2006/relationships/hyperlink" Target="http://mneguidelines.oecd.org/guidelines/" TargetMode="External"/><Relationship Id="rId11" Type="http://schemas.openxmlformats.org/officeDocument/2006/relationships/hyperlink" Target="file:///C:\Users\Maddie\Documents\399\www.campaignlegalcenter.org" TargetMode="External"/><Relationship Id="rId24" Type="http://schemas.openxmlformats.org/officeDocument/2006/relationships/hyperlink" Target="https://www.electoralcommission.org.uk/i-am-a/party-or-campaigner/guidance-for-political-parties/reporting-donations-and-loans" TargetMode="External"/><Relationship Id="rId32" Type="http://schemas.openxmlformats.org/officeDocument/2006/relationships/hyperlink" Target="http://www.electoralcommission.org.uk/__data/assets/pdf_file/0006/193065/Overview-of-regulated-non-party-campaigning-May-2016.pdf" TargetMode="External"/><Relationship Id="rId37" Type="http://schemas.openxmlformats.org/officeDocument/2006/relationships/hyperlink" Target="http://www.independent.co.uk/news/uk/politics/election-dup-brexit-donations-saudi-arabia-tale-tories-theresa-may-a7782681.html" TargetMode="External"/><Relationship Id="rId40" Type="http://schemas.openxmlformats.org/officeDocument/2006/relationships/hyperlink" Target="http://www.elections.ca/content.aspx?section=ele&amp;document=index&amp;dir=pas/42ge/canlim&amp;lang=e" TargetMode="External"/><Relationship Id="rId45" Type="http://schemas.openxmlformats.org/officeDocument/2006/relationships/hyperlink" Target="http://www.elections.ca/content.aspx?section=fin&amp;&amp;document=index&amp;lang=e" TargetMode="External"/><Relationship Id="rId53" Type="http://schemas.openxmlformats.org/officeDocument/2006/relationships/hyperlink" Target="http://www.pbs.org/now/shows/347/oil-politics.html" TargetMode="External"/><Relationship Id="rId5" Type="http://schemas.openxmlformats.org/officeDocument/2006/relationships/hyperlink" Target="http://www.theglobeandmail.com/news/politics/third-parties-spent-6-million-to-influence-2015-vote/article29491009/" TargetMode="External"/><Relationship Id="rId15" Type="http://schemas.openxmlformats.org/officeDocument/2006/relationships/hyperlink" Target="http://www.nytimes.com/2008/06/20/us/politics/20obamacnd.html" TargetMode="External"/><Relationship Id="rId23" Type="http://schemas.openxmlformats.org/officeDocument/2006/relationships/hyperlink" Target="https://www.electoralcommission.org.uk/i-am-a/party-or-campaigner/guidance-for-political-parties/reporting-donations-and-loans" TargetMode="External"/><Relationship Id="rId28" Type="http://schemas.openxmlformats.org/officeDocument/2006/relationships/hyperlink" Target="http://www.electoralcommission.org.uk/__data/assets/pdf_file/0004/173074/UKPGE-Part-3-Spending-and-donations.pdf" TargetMode="External"/><Relationship Id="rId36" Type="http://schemas.openxmlformats.org/officeDocument/2006/relationships/hyperlink" Target="https://www.irishtimes.com/opinion/what-connects-brexit-the-dup-dark-money-and-a-saudi-prince-1.3083586" TargetMode="External"/><Relationship Id="rId49" Type="http://schemas.openxmlformats.org/officeDocument/2006/relationships/hyperlink" Target="http://www.elections.ca/content.aspx?section=med&amp;dir=spe&amp;document=jul2616&amp;lang=e" TargetMode="External"/><Relationship Id="rId10" Type="http://schemas.openxmlformats.org/officeDocument/2006/relationships/hyperlink" Target="https://www.loc.gov/law/help/guide/federal/elections.php" TargetMode="External"/><Relationship Id="rId19" Type="http://schemas.openxmlformats.org/officeDocument/2006/relationships/hyperlink" Target="http://www.electoralcommission.org.uk/__data/assets/pdf_file/0004/173074/UKPGE-Part-3-Spending-and-donations.pdf" TargetMode="External"/><Relationship Id="rId31" Type="http://schemas.openxmlformats.org/officeDocument/2006/relationships/hyperlink" Target="http://search.electoralcommission.org.uk/Search/Registrations?currentPage=1&amp;rows=20&amp;sort=RegulatedEntityName&amp;order=asc&amp;open=filter&amp;et=tp&amp;register=none&amp;regStatus=registered&amp;optCols=EntityStatusName" TargetMode="External"/><Relationship Id="rId44" Type="http://schemas.openxmlformats.org/officeDocument/2006/relationships/hyperlink" Target="http://www.elections.ca/content.aspx?section=ele&amp;document=index&amp;dir=pas/42ge/thilim&amp;lang=e" TargetMode="External"/><Relationship Id="rId52" Type="http://schemas.openxmlformats.org/officeDocument/2006/relationships/hyperlink" Target="http://www.independent.co.uk/news/world/europe/bought-by-bmw-german-chancellor-angela-merkel-forced-on-to-defensive-over-700000-donation-from-8884777.html" TargetMode="External"/><Relationship Id="rId4" Type="http://schemas.openxmlformats.org/officeDocument/2006/relationships/hyperlink" Target="http://www.cbsnews.com/news/americans-view-of-congress-throw-em-out/" TargetMode="External"/><Relationship Id="rId9" Type="http://schemas.openxmlformats.org/officeDocument/2006/relationships/hyperlink" Target="file:///C:\Users\Maddie\Documents\399\www.opensecrets.org" TargetMode="External"/><Relationship Id="rId14" Type="http://schemas.openxmlformats.org/officeDocument/2006/relationships/hyperlink" Target="http://www.demos.org/publication/billion-dollar-democracy-unprecedented-role-money-2012-elections" TargetMode="External"/><Relationship Id="rId22" Type="http://schemas.openxmlformats.org/officeDocument/2006/relationships/hyperlink" Target="https://www.electoralcommission.org.uk/i-am-a/party-or-campaigner/guidance-for-political-parties/reporting-donations-and-loans" TargetMode="External"/><Relationship Id="rId27" Type="http://schemas.openxmlformats.org/officeDocument/2006/relationships/hyperlink" Target="http://www.electoralcommission.org.uk/__data/assets/pdf_file/0016/102283/sp-reporting-with-au-rp.pdf" TargetMode="External"/><Relationship Id="rId30" Type="http://schemas.openxmlformats.org/officeDocument/2006/relationships/hyperlink" Target="http://www.electoralcommission.org.uk/__data/assets/pdf_file/0007/219148/Northern-Ireland-Assembly-NPC-2017.pdf" TargetMode="External"/><Relationship Id="rId35" Type="http://schemas.openxmlformats.org/officeDocument/2006/relationships/hyperlink" Target="http://www.bbc.com/news/uk-northern-ireland-39075502" TargetMode="External"/><Relationship Id="rId43" Type="http://schemas.openxmlformats.org/officeDocument/2006/relationships/hyperlink" Target="http://www.elections.ca/content.aspx?section=res&amp;dir=gui/app/2015-04&amp;document=index&amp;lang=e" TargetMode="External"/><Relationship Id="rId48" Type="http://schemas.openxmlformats.org/officeDocument/2006/relationships/hyperlink" Target="http://www.elections.ca/content.aspx?section=med&amp;dir=spe&amp;document=oct0416&amp;lang=e" TargetMode="External"/><Relationship Id="rId56" Type="http://schemas.openxmlformats.org/officeDocument/2006/relationships/hyperlink" Target="https://www.nytimes.com/2017/01/13/world/canada/british-columbia-christy-clark.html" TargetMode="External"/><Relationship Id="rId8" Type="http://schemas.openxmlformats.org/officeDocument/2006/relationships/hyperlink" Target="https://www.fec.gov/legal-resources/" TargetMode="External"/><Relationship Id="rId51" Type="http://schemas.openxmlformats.org/officeDocument/2006/relationships/hyperlink" Target="http://www.elections.ca/content.aspx?section=med&amp;dir=spe&amp;document=jul2616&amp;lang=e" TargetMode="External"/><Relationship Id="rId3" Type="http://schemas.openxmlformats.org/officeDocument/2006/relationships/hyperlink" Target="http://www.demos.org/publication/whose-voice-whose-choice-distorting-influence-political-donor-class-our-big-money-elec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7CB83-EDE5-482B-93DF-962181DD0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88</Pages>
  <Words>25568</Words>
  <Characters>147036</Characters>
  <Application>Microsoft Office Word</Application>
  <DocSecurity>0</DocSecurity>
  <Lines>1225</Lines>
  <Paragraphs>344</Paragraphs>
  <ScaleCrop>false</ScaleCrop>
  <HeadingPairs>
    <vt:vector size="2" baseType="variant">
      <vt:variant>
        <vt:lpstr>Title</vt:lpstr>
      </vt:variant>
      <vt:variant>
        <vt:i4>1</vt:i4>
      </vt:variant>
    </vt:vector>
  </HeadingPairs>
  <TitlesOfParts>
    <vt:vector size="1" baseType="lpstr">
      <vt:lpstr/>
    </vt:vector>
  </TitlesOfParts>
  <Company>University of Victoria</Company>
  <LinksUpToDate>false</LinksUpToDate>
  <CharactersWithSpaces>172260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Maddie</dc:creator>
  <cp:lastModifiedBy>Yenny Lim</cp:lastModifiedBy>
  <cp:revision>21</cp:revision>
  <dcterms:created xsi:type="dcterms:W3CDTF">2018-04-03T20:23:00Z</dcterms:created>
  <dcterms:modified xsi:type="dcterms:W3CDTF">2018-04-19T23:05:00Z</dcterms:modified>
</cp:coreProperties>
</file>