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40C5C8" w14:textId="77777777" w:rsidR="0061282C" w:rsidRPr="00DA5EB5" w:rsidRDefault="0061282C" w:rsidP="00A72322">
      <w:pPr>
        <w:pStyle w:val="TitlePgCh"/>
        <w:rPr>
          <w:sz w:val="24"/>
        </w:rPr>
      </w:pPr>
      <w:r w:rsidRPr="00DA5EB5">
        <w:rPr>
          <w:sz w:val="24"/>
        </w:rPr>
        <w:t>Chapter 7</w:t>
      </w:r>
    </w:p>
    <w:p w14:paraId="23E12AEF" w14:textId="4E4D6373" w:rsidR="0061282C" w:rsidRPr="00DA5EB5" w:rsidRDefault="0061282C" w:rsidP="00A72322">
      <w:pPr>
        <w:pStyle w:val="TitlePgChTitle"/>
        <w:rPr>
          <w:sz w:val="32"/>
        </w:rPr>
      </w:pPr>
      <w:r w:rsidRPr="00DA5EB5">
        <w:rPr>
          <w:sz w:val="32"/>
        </w:rPr>
        <w:t>Criminal Sentences and Civil Sanctions for Corruption</w:t>
      </w:r>
    </w:p>
    <w:p w14:paraId="133103F7" w14:textId="12232B4F" w:rsidR="00B830EF" w:rsidRPr="00DA5EB5" w:rsidRDefault="00B830EF" w:rsidP="00BF2500">
      <w:pPr>
        <w:jc w:val="center"/>
        <w:rPr>
          <w:i/>
          <w:kern w:val="2"/>
          <w:sz w:val="20"/>
        </w:rPr>
      </w:pPr>
      <w:r w:rsidRPr="00DA5EB5">
        <w:rPr>
          <w:i/>
          <w:kern w:val="2"/>
          <w:sz w:val="20"/>
        </w:rPr>
        <w:t xml:space="preserve">[Large segments of this chapter were written by Matthew Spencer, under Professor Ferguson’s supervision and input. Section 13 was written by </w:t>
      </w:r>
      <w:proofErr w:type="spellStart"/>
      <w:r w:rsidRPr="00DA5EB5">
        <w:rPr>
          <w:i/>
          <w:kern w:val="2"/>
          <w:sz w:val="20"/>
        </w:rPr>
        <w:t>Dmytro</w:t>
      </w:r>
      <w:proofErr w:type="spellEnd"/>
      <w:r w:rsidRPr="00DA5EB5">
        <w:rPr>
          <w:i/>
          <w:kern w:val="2"/>
          <w:sz w:val="20"/>
        </w:rPr>
        <w:t xml:space="preserve"> </w:t>
      </w:r>
      <w:proofErr w:type="spellStart"/>
      <w:r w:rsidRPr="00DA5EB5">
        <w:rPr>
          <w:i/>
          <w:kern w:val="2"/>
          <w:sz w:val="20"/>
        </w:rPr>
        <w:t>Galagan</w:t>
      </w:r>
      <w:proofErr w:type="spellEnd"/>
      <w:r w:rsidRPr="00DA5EB5">
        <w:rPr>
          <w:i/>
          <w:kern w:val="2"/>
          <w:sz w:val="20"/>
        </w:rPr>
        <w:t>.]</w:t>
      </w:r>
    </w:p>
    <w:p w14:paraId="1038E0AE" w14:textId="77777777" w:rsidR="0061282C" w:rsidRPr="00DA5EB5" w:rsidRDefault="0061282C" w:rsidP="007C3517">
      <w:pPr>
        <w:spacing w:after="0"/>
        <w:jc w:val="center"/>
        <w:rPr>
          <w:b/>
          <w:kern w:val="2"/>
          <w:sz w:val="28"/>
          <w:szCs w:val="32"/>
          <w:u w:val="single"/>
        </w:rPr>
      </w:pPr>
    </w:p>
    <w:p w14:paraId="10FC5C4B" w14:textId="77777777" w:rsidR="00947E42" w:rsidRPr="00DA5EB5" w:rsidRDefault="00947E42" w:rsidP="00947E42">
      <w:pPr>
        <w:spacing w:after="0"/>
        <w:jc w:val="left"/>
        <w:rPr>
          <w:caps/>
          <w:smallCaps/>
          <w:kern w:val="2"/>
          <w:sz w:val="28"/>
          <w:szCs w:val="32"/>
        </w:rPr>
      </w:pPr>
      <w:r w:rsidRPr="00DA5EB5">
        <w:rPr>
          <w:b/>
          <w:caps/>
          <w:kern w:val="2"/>
          <w:sz w:val="28"/>
          <w:szCs w:val="32"/>
        </w:rPr>
        <w:br w:type="page"/>
      </w:r>
    </w:p>
    <w:p w14:paraId="253390AC" w14:textId="31C68158" w:rsidR="00051C40" w:rsidRPr="00DA5EB5" w:rsidRDefault="00051C40" w:rsidP="002F2881">
      <w:pPr>
        <w:pStyle w:val="TOCHeading1"/>
        <w:rPr>
          <w:spacing w:val="0"/>
          <w:kern w:val="2"/>
          <w:sz w:val="22"/>
        </w:rPr>
      </w:pPr>
      <w:r w:rsidRPr="00DA5EB5">
        <w:rPr>
          <w:spacing w:val="0"/>
          <w:kern w:val="2"/>
          <w:sz w:val="22"/>
        </w:rPr>
        <w:lastRenderedPageBreak/>
        <w:t>Part A: Criminal Sentences and Collateral Consequences</w:t>
      </w:r>
    </w:p>
    <w:p w14:paraId="37650D59" w14:textId="77777777" w:rsidR="00051C40" w:rsidRPr="00DA5EB5" w:rsidRDefault="00051C40">
      <w:pPr>
        <w:pStyle w:val="TOC1"/>
        <w:tabs>
          <w:tab w:val="left" w:pos="660"/>
          <w:tab w:val="right" w:leader="dot" w:pos="9350"/>
        </w:tabs>
        <w:rPr>
          <w:rFonts w:eastAsiaTheme="minorEastAsia"/>
          <w:b w:val="0"/>
          <w:smallCaps w:val="0"/>
          <w:noProof/>
          <w:kern w:val="2"/>
          <w:sz w:val="20"/>
          <w:lang w:eastAsia="en-CA"/>
        </w:rPr>
      </w:pPr>
      <w:r w:rsidRPr="00DA5EB5">
        <w:rPr>
          <w:kern w:val="2"/>
          <w:sz w:val="20"/>
        </w:rPr>
        <w:fldChar w:fldCharType="begin"/>
      </w:r>
      <w:r w:rsidRPr="00DA5EB5">
        <w:rPr>
          <w:kern w:val="2"/>
          <w:sz w:val="20"/>
        </w:rPr>
        <w:instrText xml:space="preserve"> TOC \o "1-1" \n \h \z \u </w:instrText>
      </w:r>
      <w:r w:rsidRPr="00DA5EB5">
        <w:rPr>
          <w:kern w:val="2"/>
          <w:sz w:val="20"/>
        </w:rPr>
        <w:fldChar w:fldCharType="separate"/>
      </w:r>
      <w:hyperlink w:anchor="_Toc500340389" w:history="1">
        <w:r w:rsidRPr="00DA5EB5">
          <w:rPr>
            <w:rStyle w:val="Hyperlink"/>
            <w:noProof/>
            <w:kern w:val="2"/>
            <w:sz w:val="20"/>
          </w:rPr>
          <w:t>1.</w:t>
        </w:r>
        <w:r w:rsidRPr="00DA5EB5">
          <w:rPr>
            <w:rFonts w:eastAsiaTheme="minorEastAsia"/>
            <w:b w:val="0"/>
            <w:smallCaps w:val="0"/>
            <w:noProof/>
            <w:kern w:val="2"/>
            <w:sz w:val="20"/>
            <w:lang w:eastAsia="en-CA"/>
          </w:rPr>
          <w:tab/>
        </w:r>
        <w:r w:rsidRPr="00DA5EB5">
          <w:rPr>
            <w:rStyle w:val="Hyperlink"/>
            <w:noProof/>
            <w:kern w:val="2"/>
            <w:sz w:val="20"/>
          </w:rPr>
          <w:t>Introduction</w:t>
        </w:r>
      </w:hyperlink>
    </w:p>
    <w:p w14:paraId="3ABDCF3F" w14:textId="77777777" w:rsidR="00051C40" w:rsidRPr="00DA5EB5" w:rsidRDefault="000E6407">
      <w:pPr>
        <w:pStyle w:val="TOC1"/>
        <w:tabs>
          <w:tab w:val="left" w:pos="660"/>
          <w:tab w:val="right" w:leader="dot" w:pos="9350"/>
        </w:tabs>
        <w:rPr>
          <w:rFonts w:eastAsiaTheme="minorEastAsia"/>
          <w:b w:val="0"/>
          <w:smallCaps w:val="0"/>
          <w:noProof/>
          <w:kern w:val="2"/>
          <w:sz w:val="20"/>
          <w:lang w:eastAsia="en-CA"/>
        </w:rPr>
      </w:pPr>
      <w:hyperlink w:anchor="_Toc500340390" w:history="1">
        <w:r w:rsidR="00051C40" w:rsidRPr="00DA5EB5">
          <w:rPr>
            <w:rStyle w:val="Hyperlink"/>
            <w:noProof/>
            <w:kern w:val="2"/>
            <w:sz w:val="20"/>
          </w:rPr>
          <w:t>2.</w:t>
        </w:r>
        <w:r w:rsidR="00051C40" w:rsidRPr="00DA5EB5">
          <w:rPr>
            <w:rFonts w:eastAsiaTheme="minorEastAsia"/>
            <w:b w:val="0"/>
            <w:smallCaps w:val="0"/>
            <w:noProof/>
            <w:kern w:val="2"/>
            <w:sz w:val="20"/>
            <w:lang w:eastAsia="en-CA"/>
          </w:rPr>
          <w:tab/>
        </w:r>
        <w:r w:rsidR="00051C40" w:rsidRPr="00DA5EB5">
          <w:rPr>
            <w:rStyle w:val="Hyperlink"/>
            <w:noProof/>
            <w:kern w:val="2"/>
            <w:sz w:val="20"/>
          </w:rPr>
          <w:t>UNCAC</w:t>
        </w:r>
      </w:hyperlink>
    </w:p>
    <w:p w14:paraId="1EC47B68" w14:textId="77777777" w:rsidR="00051C40" w:rsidRPr="00DA5EB5" w:rsidRDefault="000E6407">
      <w:pPr>
        <w:pStyle w:val="TOC1"/>
        <w:tabs>
          <w:tab w:val="left" w:pos="660"/>
          <w:tab w:val="right" w:leader="dot" w:pos="9350"/>
        </w:tabs>
        <w:rPr>
          <w:rFonts w:eastAsiaTheme="minorEastAsia"/>
          <w:b w:val="0"/>
          <w:smallCaps w:val="0"/>
          <w:noProof/>
          <w:kern w:val="2"/>
          <w:sz w:val="20"/>
          <w:lang w:eastAsia="en-CA"/>
        </w:rPr>
      </w:pPr>
      <w:hyperlink w:anchor="_Toc500340391" w:history="1">
        <w:r w:rsidR="00051C40" w:rsidRPr="00DA5EB5">
          <w:rPr>
            <w:rStyle w:val="Hyperlink"/>
            <w:noProof/>
            <w:kern w:val="2"/>
            <w:sz w:val="20"/>
          </w:rPr>
          <w:t>3.</w:t>
        </w:r>
        <w:r w:rsidR="00051C40" w:rsidRPr="00DA5EB5">
          <w:rPr>
            <w:rFonts w:eastAsiaTheme="minorEastAsia"/>
            <w:b w:val="0"/>
            <w:smallCaps w:val="0"/>
            <w:noProof/>
            <w:kern w:val="2"/>
            <w:sz w:val="20"/>
            <w:lang w:eastAsia="en-CA"/>
          </w:rPr>
          <w:tab/>
        </w:r>
        <w:r w:rsidR="00051C40" w:rsidRPr="00DA5EB5">
          <w:rPr>
            <w:rStyle w:val="Hyperlink"/>
            <w:noProof/>
            <w:kern w:val="2"/>
            <w:sz w:val="20"/>
          </w:rPr>
          <w:t>OECD Convention</w:t>
        </w:r>
      </w:hyperlink>
    </w:p>
    <w:p w14:paraId="72BEFE40" w14:textId="77777777" w:rsidR="00051C40" w:rsidRPr="00DA5EB5" w:rsidRDefault="000E6407">
      <w:pPr>
        <w:pStyle w:val="TOC1"/>
        <w:tabs>
          <w:tab w:val="left" w:pos="660"/>
          <w:tab w:val="right" w:leader="dot" w:pos="9350"/>
        </w:tabs>
        <w:rPr>
          <w:rFonts w:eastAsiaTheme="minorEastAsia"/>
          <w:b w:val="0"/>
          <w:smallCaps w:val="0"/>
          <w:noProof/>
          <w:kern w:val="2"/>
          <w:sz w:val="20"/>
          <w:lang w:eastAsia="en-CA"/>
        </w:rPr>
      </w:pPr>
      <w:hyperlink w:anchor="_Toc500340392" w:history="1">
        <w:r w:rsidR="00051C40" w:rsidRPr="00DA5EB5">
          <w:rPr>
            <w:rStyle w:val="Hyperlink"/>
            <w:noProof/>
            <w:kern w:val="2"/>
            <w:sz w:val="20"/>
          </w:rPr>
          <w:t>4.</w:t>
        </w:r>
        <w:r w:rsidR="00051C40" w:rsidRPr="00DA5EB5">
          <w:rPr>
            <w:rFonts w:eastAsiaTheme="minorEastAsia"/>
            <w:b w:val="0"/>
            <w:smallCaps w:val="0"/>
            <w:noProof/>
            <w:kern w:val="2"/>
            <w:sz w:val="20"/>
            <w:lang w:eastAsia="en-CA"/>
          </w:rPr>
          <w:tab/>
        </w:r>
        <w:r w:rsidR="00051C40" w:rsidRPr="00DA5EB5">
          <w:rPr>
            <w:rStyle w:val="Hyperlink"/>
            <w:noProof/>
            <w:kern w:val="2"/>
            <w:sz w:val="20"/>
          </w:rPr>
          <w:t>US Sentencing Law</w:t>
        </w:r>
      </w:hyperlink>
    </w:p>
    <w:p w14:paraId="242CC34E" w14:textId="77777777" w:rsidR="00051C40" w:rsidRPr="00DA5EB5" w:rsidRDefault="000E6407">
      <w:pPr>
        <w:pStyle w:val="TOC1"/>
        <w:tabs>
          <w:tab w:val="left" w:pos="660"/>
          <w:tab w:val="right" w:leader="dot" w:pos="9350"/>
        </w:tabs>
        <w:rPr>
          <w:rFonts w:eastAsiaTheme="minorEastAsia"/>
          <w:b w:val="0"/>
          <w:smallCaps w:val="0"/>
          <w:noProof/>
          <w:kern w:val="2"/>
          <w:sz w:val="20"/>
          <w:lang w:eastAsia="en-CA"/>
        </w:rPr>
      </w:pPr>
      <w:hyperlink w:anchor="_Toc500340393" w:history="1">
        <w:r w:rsidR="00051C40" w:rsidRPr="00DA5EB5">
          <w:rPr>
            <w:rStyle w:val="Hyperlink"/>
            <w:noProof/>
            <w:kern w:val="2"/>
            <w:sz w:val="20"/>
            <w:lang w:val="en" w:eastAsia="en-CA"/>
          </w:rPr>
          <w:t>5.</w:t>
        </w:r>
        <w:r w:rsidR="00051C40" w:rsidRPr="00DA5EB5">
          <w:rPr>
            <w:rFonts w:eastAsiaTheme="minorEastAsia"/>
            <w:b w:val="0"/>
            <w:smallCaps w:val="0"/>
            <w:noProof/>
            <w:kern w:val="2"/>
            <w:sz w:val="20"/>
            <w:lang w:eastAsia="en-CA"/>
          </w:rPr>
          <w:tab/>
        </w:r>
        <w:r w:rsidR="00051C40" w:rsidRPr="00DA5EB5">
          <w:rPr>
            <w:rStyle w:val="Hyperlink"/>
            <w:noProof/>
            <w:kern w:val="2"/>
            <w:sz w:val="20"/>
            <w:lang w:val="en" w:eastAsia="en-CA"/>
          </w:rPr>
          <w:t>UK Sentencing Law</w:t>
        </w:r>
      </w:hyperlink>
    </w:p>
    <w:p w14:paraId="644D4A18" w14:textId="77777777" w:rsidR="00051C40" w:rsidRPr="00DA5EB5" w:rsidRDefault="000E6407">
      <w:pPr>
        <w:pStyle w:val="TOC1"/>
        <w:tabs>
          <w:tab w:val="left" w:pos="660"/>
          <w:tab w:val="right" w:leader="dot" w:pos="9350"/>
        </w:tabs>
        <w:rPr>
          <w:rFonts w:eastAsiaTheme="minorEastAsia"/>
          <w:b w:val="0"/>
          <w:smallCaps w:val="0"/>
          <w:noProof/>
          <w:kern w:val="2"/>
          <w:sz w:val="20"/>
          <w:lang w:eastAsia="en-CA"/>
        </w:rPr>
      </w:pPr>
      <w:hyperlink w:anchor="_Toc500340394" w:history="1">
        <w:r w:rsidR="00051C40" w:rsidRPr="00DA5EB5">
          <w:rPr>
            <w:rStyle w:val="Hyperlink"/>
            <w:noProof/>
            <w:kern w:val="2"/>
            <w:sz w:val="20"/>
          </w:rPr>
          <w:t>6.</w:t>
        </w:r>
        <w:r w:rsidR="00051C40" w:rsidRPr="00DA5EB5">
          <w:rPr>
            <w:rFonts w:eastAsiaTheme="minorEastAsia"/>
            <w:b w:val="0"/>
            <w:smallCaps w:val="0"/>
            <w:noProof/>
            <w:kern w:val="2"/>
            <w:sz w:val="20"/>
            <w:lang w:eastAsia="en-CA"/>
          </w:rPr>
          <w:tab/>
        </w:r>
        <w:r w:rsidR="00051C40" w:rsidRPr="00DA5EB5">
          <w:rPr>
            <w:rStyle w:val="Hyperlink"/>
            <w:noProof/>
            <w:kern w:val="2"/>
            <w:sz w:val="20"/>
          </w:rPr>
          <w:t>Canadian Sentencing Law</w:t>
        </w:r>
      </w:hyperlink>
    </w:p>
    <w:p w14:paraId="042074DB" w14:textId="77777777" w:rsidR="00051C40" w:rsidRPr="00DA5EB5" w:rsidRDefault="000E6407">
      <w:pPr>
        <w:pStyle w:val="TOC1"/>
        <w:tabs>
          <w:tab w:val="left" w:pos="660"/>
          <w:tab w:val="right" w:leader="dot" w:pos="9350"/>
        </w:tabs>
        <w:rPr>
          <w:rFonts w:eastAsiaTheme="minorEastAsia"/>
          <w:b w:val="0"/>
          <w:smallCaps w:val="0"/>
          <w:noProof/>
          <w:kern w:val="2"/>
          <w:sz w:val="20"/>
          <w:lang w:eastAsia="en-CA"/>
        </w:rPr>
      </w:pPr>
      <w:hyperlink w:anchor="_Toc500340395" w:history="1">
        <w:r w:rsidR="00051C40" w:rsidRPr="00DA5EB5">
          <w:rPr>
            <w:rStyle w:val="Hyperlink"/>
            <w:noProof/>
            <w:kern w:val="2"/>
            <w:sz w:val="20"/>
          </w:rPr>
          <w:t>7.</w:t>
        </w:r>
        <w:r w:rsidR="00051C40" w:rsidRPr="00DA5EB5">
          <w:rPr>
            <w:rFonts w:eastAsiaTheme="minorEastAsia"/>
            <w:b w:val="0"/>
            <w:smallCaps w:val="0"/>
            <w:noProof/>
            <w:kern w:val="2"/>
            <w:sz w:val="20"/>
            <w:lang w:eastAsia="en-CA"/>
          </w:rPr>
          <w:tab/>
        </w:r>
        <w:r w:rsidR="00051C40" w:rsidRPr="00DA5EB5">
          <w:rPr>
            <w:rStyle w:val="Hyperlink"/>
            <w:noProof/>
            <w:kern w:val="2"/>
            <w:sz w:val="20"/>
          </w:rPr>
          <w:t>Criminal Forfeiture</w:t>
        </w:r>
      </w:hyperlink>
    </w:p>
    <w:p w14:paraId="6C2FABE1" w14:textId="77777777" w:rsidR="00051C40" w:rsidRPr="00DA5EB5" w:rsidRDefault="000E6407">
      <w:pPr>
        <w:pStyle w:val="TOC1"/>
        <w:tabs>
          <w:tab w:val="left" w:pos="660"/>
          <w:tab w:val="right" w:leader="dot" w:pos="9350"/>
        </w:tabs>
        <w:rPr>
          <w:rFonts w:eastAsiaTheme="minorEastAsia"/>
          <w:b w:val="0"/>
          <w:smallCaps w:val="0"/>
          <w:noProof/>
          <w:kern w:val="2"/>
          <w:sz w:val="20"/>
          <w:lang w:eastAsia="en-CA"/>
        </w:rPr>
      </w:pPr>
      <w:hyperlink w:anchor="_Toc500340396" w:history="1">
        <w:r w:rsidR="00051C40" w:rsidRPr="00DA5EB5">
          <w:rPr>
            <w:rStyle w:val="Hyperlink"/>
            <w:noProof/>
            <w:kern w:val="2"/>
            <w:sz w:val="20"/>
          </w:rPr>
          <w:t>8.</w:t>
        </w:r>
        <w:r w:rsidR="00051C40" w:rsidRPr="00DA5EB5">
          <w:rPr>
            <w:rFonts w:eastAsiaTheme="minorEastAsia"/>
            <w:b w:val="0"/>
            <w:smallCaps w:val="0"/>
            <w:noProof/>
            <w:kern w:val="2"/>
            <w:sz w:val="20"/>
            <w:lang w:eastAsia="en-CA"/>
          </w:rPr>
          <w:tab/>
        </w:r>
        <w:r w:rsidR="00051C40" w:rsidRPr="00DA5EB5">
          <w:rPr>
            <w:rStyle w:val="Hyperlink"/>
            <w:noProof/>
            <w:kern w:val="2"/>
            <w:sz w:val="20"/>
          </w:rPr>
          <w:t>Debarment as a Collateral Consequence of a Bribery Conviction</w:t>
        </w:r>
      </w:hyperlink>
    </w:p>
    <w:p w14:paraId="7BE1CB06" w14:textId="77777777" w:rsidR="00051C40" w:rsidRPr="00DA5EB5" w:rsidRDefault="000E6407">
      <w:pPr>
        <w:pStyle w:val="TOC1"/>
        <w:tabs>
          <w:tab w:val="left" w:pos="660"/>
          <w:tab w:val="right" w:leader="dot" w:pos="9350"/>
        </w:tabs>
        <w:rPr>
          <w:rFonts w:eastAsiaTheme="minorEastAsia"/>
          <w:b w:val="0"/>
          <w:smallCaps w:val="0"/>
          <w:noProof/>
          <w:kern w:val="2"/>
          <w:sz w:val="20"/>
          <w:lang w:eastAsia="en-CA"/>
        </w:rPr>
      </w:pPr>
      <w:hyperlink w:anchor="_Toc500340397" w:history="1">
        <w:r w:rsidR="00051C40" w:rsidRPr="00DA5EB5">
          <w:rPr>
            <w:rStyle w:val="Hyperlink"/>
            <w:noProof/>
            <w:kern w:val="2"/>
            <w:sz w:val="20"/>
          </w:rPr>
          <w:t>9.</w:t>
        </w:r>
        <w:r w:rsidR="00051C40" w:rsidRPr="00DA5EB5">
          <w:rPr>
            <w:rFonts w:eastAsiaTheme="minorEastAsia"/>
            <w:b w:val="0"/>
            <w:smallCaps w:val="0"/>
            <w:noProof/>
            <w:kern w:val="2"/>
            <w:sz w:val="20"/>
            <w:lang w:eastAsia="en-CA"/>
          </w:rPr>
          <w:tab/>
        </w:r>
        <w:r w:rsidR="00051C40" w:rsidRPr="00DA5EB5">
          <w:rPr>
            <w:rStyle w:val="Hyperlink"/>
            <w:noProof/>
            <w:kern w:val="2"/>
            <w:sz w:val="20"/>
          </w:rPr>
          <w:t>Disqualification as Company Director</w:t>
        </w:r>
      </w:hyperlink>
    </w:p>
    <w:p w14:paraId="2036A1CA" w14:textId="77777777" w:rsidR="00051C40" w:rsidRPr="00DA5EB5" w:rsidRDefault="000E6407">
      <w:pPr>
        <w:pStyle w:val="TOC1"/>
        <w:tabs>
          <w:tab w:val="left" w:pos="660"/>
          <w:tab w:val="right" w:leader="dot" w:pos="9350"/>
        </w:tabs>
        <w:rPr>
          <w:rFonts w:eastAsiaTheme="minorEastAsia"/>
          <w:b w:val="0"/>
          <w:smallCaps w:val="0"/>
          <w:noProof/>
          <w:kern w:val="2"/>
          <w:sz w:val="20"/>
          <w:lang w:eastAsia="en-CA"/>
        </w:rPr>
      </w:pPr>
      <w:hyperlink w:anchor="_Toc500340398" w:history="1">
        <w:r w:rsidR="00051C40" w:rsidRPr="00DA5EB5">
          <w:rPr>
            <w:rStyle w:val="Hyperlink"/>
            <w:noProof/>
            <w:kern w:val="2"/>
            <w:sz w:val="20"/>
          </w:rPr>
          <w:t>10.</w:t>
        </w:r>
        <w:r w:rsidR="00051C40" w:rsidRPr="00DA5EB5">
          <w:rPr>
            <w:rFonts w:eastAsiaTheme="minorEastAsia"/>
            <w:b w:val="0"/>
            <w:smallCaps w:val="0"/>
            <w:noProof/>
            <w:kern w:val="2"/>
            <w:sz w:val="20"/>
            <w:lang w:eastAsia="en-CA"/>
          </w:rPr>
          <w:tab/>
        </w:r>
        <w:r w:rsidR="00051C40" w:rsidRPr="00DA5EB5">
          <w:rPr>
            <w:rStyle w:val="Hyperlink"/>
            <w:noProof/>
            <w:kern w:val="2"/>
            <w:sz w:val="20"/>
          </w:rPr>
          <w:t>Monitorship Orders</w:t>
        </w:r>
      </w:hyperlink>
    </w:p>
    <w:p w14:paraId="2178C912" w14:textId="19BE6CED" w:rsidR="00051C40" w:rsidRPr="00DA5EB5" w:rsidRDefault="00051C40" w:rsidP="002F2881">
      <w:pPr>
        <w:pStyle w:val="TOCHeading1"/>
        <w:rPr>
          <w:spacing w:val="0"/>
          <w:kern w:val="2"/>
          <w:sz w:val="22"/>
        </w:rPr>
      </w:pPr>
      <w:r w:rsidRPr="00DA5EB5">
        <w:rPr>
          <w:spacing w:val="0"/>
          <w:kern w:val="2"/>
          <w:sz w:val="22"/>
        </w:rPr>
        <w:fldChar w:fldCharType="end"/>
      </w:r>
      <w:r w:rsidRPr="00DA5EB5">
        <w:rPr>
          <w:spacing w:val="0"/>
          <w:kern w:val="2"/>
          <w:sz w:val="22"/>
        </w:rPr>
        <w:t>Part B: Civil and Administrative Actions and Remedies</w:t>
      </w:r>
    </w:p>
    <w:p w14:paraId="69104399" w14:textId="13C7FD77" w:rsidR="002F2881" w:rsidRPr="00DA5EB5" w:rsidRDefault="002F2881">
      <w:pPr>
        <w:pStyle w:val="TOC1"/>
        <w:tabs>
          <w:tab w:val="left" w:pos="660"/>
          <w:tab w:val="right" w:leader="dot" w:pos="9350"/>
        </w:tabs>
        <w:rPr>
          <w:rFonts w:eastAsiaTheme="minorEastAsia"/>
          <w:b w:val="0"/>
          <w:smallCaps w:val="0"/>
          <w:noProof/>
          <w:kern w:val="2"/>
          <w:sz w:val="20"/>
          <w:lang w:eastAsia="en-CA"/>
        </w:rPr>
      </w:pPr>
      <w:r w:rsidRPr="00DA5EB5">
        <w:rPr>
          <w:kern w:val="2"/>
          <w:sz w:val="20"/>
        </w:rPr>
        <w:fldChar w:fldCharType="begin"/>
      </w:r>
      <w:r w:rsidRPr="00DA5EB5">
        <w:rPr>
          <w:kern w:val="2"/>
          <w:sz w:val="20"/>
        </w:rPr>
        <w:instrText xml:space="preserve"> TOC \o "1-1" \n \h \z \u </w:instrText>
      </w:r>
      <w:r w:rsidRPr="00DA5EB5">
        <w:rPr>
          <w:kern w:val="2"/>
          <w:sz w:val="20"/>
        </w:rPr>
        <w:fldChar w:fldCharType="separate"/>
      </w:r>
      <w:hyperlink w:anchor="_Toc500340433" w:history="1">
        <w:r w:rsidRPr="00DA5EB5">
          <w:rPr>
            <w:rStyle w:val="Hyperlink"/>
            <w:noProof/>
            <w:kern w:val="2"/>
            <w:sz w:val="20"/>
          </w:rPr>
          <w:t>11.</w:t>
        </w:r>
        <w:r w:rsidRPr="00DA5EB5">
          <w:rPr>
            <w:rFonts w:eastAsiaTheme="minorEastAsia"/>
            <w:b w:val="0"/>
            <w:smallCaps w:val="0"/>
            <w:noProof/>
            <w:kern w:val="2"/>
            <w:sz w:val="20"/>
            <w:lang w:eastAsia="en-CA"/>
          </w:rPr>
          <w:tab/>
        </w:r>
        <w:r w:rsidRPr="00DA5EB5">
          <w:rPr>
            <w:rStyle w:val="Hyperlink"/>
            <w:noProof/>
            <w:kern w:val="2"/>
            <w:sz w:val="20"/>
          </w:rPr>
          <w:t>Non-Conviction Based Forfeiture</w:t>
        </w:r>
      </w:hyperlink>
    </w:p>
    <w:p w14:paraId="2FFE27F0" w14:textId="77777777" w:rsidR="002F2881" w:rsidRPr="00DA5EB5" w:rsidRDefault="000E6407">
      <w:pPr>
        <w:pStyle w:val="TOC1"/>
        <w:tabs>
          <w:tab w:val="left" w:pos="660"/>
          <w:tab w:val="right" w:leader="dot" w:pos="9350"/>
        </w:tabs>
        <w:rPr>
          <w:rFonts w:eastAsiaTheme="minorEastAsia"/>
          <w:b w:val="0"/>
          <w:smallCaps w:val="0"/>
          <w:noProof/>
          <w:kern w:val="2"/>
          <w:sz w:val="20"/>
          <w:lang w:eastAsia="en-CA"/>
        </w:rPr>
      </w:pPr>
      <w:hyperlink w:anchor="_Toc500340434" w:history="1">
        <w:r w:rsidR="002F2881" w:rsidRPr="00DA5EB5">
          <w:rPr>
            <w:rStyle w:val="Hyperlink"/>
            <w:noProof/>
            <w:kern w:val="2"/>
            <w:sz w:val="20"/>
          </w:rPr>
          <w:t>12.</w:t>
        </w:r>
        <w:r w:rsidR="002F2881" w:rsidRPr="00DA5EB5">
          <w:rPr>
            <w:rFonts w:eastAsiaTheme="minorEastAsia"/>
            <w:b w:val="0"/>
            <w:smallCaps w:val="0"/>
            <w:noProof/>
            <w:kern w:val="2"/>
            <w:sz w:val="20"/>
            <w:lang w:eastAsia="en-CA"/>
          </w:rPr>
          <w:tab/>
        </w:r>
        <w:r w:rsidR="002F2881" w:rsidRPr="00DA5EB5">
          <w:rPr>
            <w:rStyle w:val="Hyperlink"/>
            <w:noProof/>
            <w:kern w:val="2"/>
            <w:sz w:val="20"/>
          </w:rPr>
          <w:t>Civil Actions and Remedies</w:t>
        </w:r>
      </w:hyperlink>
    </w:p>
    <w:p w14:paraId="444EF67B" w14:textId="77777777" w:rsidR="002F2881" w:rsidRPr="00DA5EB5" w:rsidRDefault="000E6407">
      <w:pPr>
        <w:pStyle w:val="TOC1"/>
        <w:tabs>
          <w:tab w:val="left" w:pos="660"/>
          <w:tab w:val="right" w:leader="dot" w:pos="9350"/>
        </w:tabs>
        <w:rPr>
          <w:rFonts w:eastAsiaTheme="minorEastAsia"/>
          <w:b w:val="0"/>
          <w:smallCaps w:val="0"/>
          <w:noProof/>
          <w:kern w:val="2"/>
          <w:sz w:val="20"/>
          <w:lang w:eastAsia="en-CA"/>
        </w:rPr>
      </w:pPr>
      <w:hyperlink w:anchor="_Toc500340435" w:history="1">
        <w:r w:rsidR="002F2881" w:rsidRPr="00DA5EB5">
          <w:rPr>
            <w:rStyle w:val="Hyperlink"/>
            <w:noProof/>
            <w:kern w:val="2"/>
            <w:sz w:val="20"/>
          </w:rPr>
          <w:t>13.</w:t>
        </w:r>
        <w:r w:rsidR="002F2881" w:rsidRPr="00DA5EB5">
          <w:rPr>
            <w:rFonts w:eastAsiaTheme="minorEastAsia"/>
            <w:b w:val="0"/>
            <w:smallCaps w:val="0"/>
            <w:noProof/>
            <w:kern w:val="2"/>
            <w:sz w:val="20"/>
            <w:lang w:eastAsia="en-CA"/>
          </w:rPr>
          <w:tab/>
        </w:r>
        <w:r w:rsidR="002F2881" w:rsidRPr="00DA5EB5">
          <w:rPr>
            <w:rStyle w:val="Hyperlink"/>
            <w:noProof/>
            <w:kern w:val="2"/>
            <w:sz w:val="20"/>
          </w:rPr>
          <w:t>International Investment Arbitration</w:t>
        </w:r>
      </w:hyperlink>
    </w:p>
    <w:p w14:paraId="476D538E" w14:textId="467560E5" w:rsidR="007D582C" w:rsidRPr="00DA5EB5" w:rsidRDefault="002F2881" w:rsidP="00CB2626">
      <w:pPr>
        <w:spacing w:before="720"/>
        <w:jc w:val="left"/>
        <w:rPr>
          <w:b/>
          <w:smallCaps/>
          <w:spacing w:val="4"/>
          <w:kern w:val="2"/>
          <w:sz w:val="30"/>
        </w:rPr>
      </w:pPr>
      <w:r w:rsidRPr="00DA5EB5">
        <w:rPr>
          <w:kern w:val="2"/>
          <w:sz w:val="20"/>
        </w:rPr>
        <w:fldChar w:fldCharType="end"/>
      </w:r>
      <w:r w:rsidRPr="00DA5EB5">
        <w:rPr>
          <w:b/>
          <w:smallCaps/>
          <w:spacing w:val="4"/>
          <w:kern w:val="2"/>
          <w:sz w:val="30"/>
        </w:rPr>
        <w:t xml:space="preserve">Part A: </w:t>
      </w:r>
      <w:r w:rsidR="007D582C" w:rsidRPr="00DA5EB5">
        <w:rPr>
          <w:b/>
          <w:smallCaps/>
          <w:spacing w:val="4"/>
          <w:kern w:val="2"/>
          <w:sz w:val="30"/>
        </w:rPr>
        <w:t>Criminal Sentences and Collateral Consequences</w:t>
      </w:r>
    </w:p>
    <w:p w14:paraId="266837D6" w14:textId="73BD3E22" w:rsidR="007D582C" w:rsidRPr="00DA5EB5" w:rsidRDefault="007D582C" w:rsidP="002976A5">
      <w:pPr>
        <w:pStyle w:val="Heading1"/>
        <w:rPr>
          <w:sz w:val="28"/>
        </w:rPr>
      </w:pPr>
      <w:bookmarkStart w:id="0" w:name="_Toc500340142"/>
      <w:bookmarkStart w:id="1" w:name="_Toc500340389"/>
      <w:bookmarkStart w:id="2" w:name="_Toc500340423"/>
      <w:r w:rsidRPr="00DA5EB5">
        <w:rPr>
          <w:sz w:val="28"/>
        </w:rPr>
        <w:t>Introduction</w:t>
      </w:r>
      <w:bookmarkEnd w:id="0"/>
      <w:bookmarkEnd w:id="1"/>
      <w:bookmarkEnd w:id="2"/>
    </w:p>
    <w:p w14:paraId="2C0AC180" w14:textId="419AA6D2" w:rsidR="007D582C" w:rsidRPr="00DA5EB5" w:rsidRDefault="007D582C" w:rsidP="007C3517">
      <w:pPr>
        <w:rPr>
          <w:kern w:val="2"/>
          <w:sz w:val="20"/>
        </w:rPr>
      </w:pPr>
      <w:r w:rsidRPr="00DA5EB5">
        <w:rPr>
          <w:kern w:val="2"/>
          <w:sz w:val="20"/>
        </w:rPr>
        <w:t xml:space="preserve">In </w:t>
      </w:r>
      <w:r w:rsidRPr="00DA5EB5">
        <w:rPr>
          <w:kern w:val="2"/>
          <w:sz w:val="20"/>
          <w:highlight w:val="cyan"/>
        </w:rPr>
        <w:t>Chapter 2</w:t>
      </w:r>
      <w:r w:rsidRPr="00DA5EB5">
        <w:rPr>
          <w:kern w:val="2"/>
          <w:sz w:val="20"/>
        </w:rPr>
        <w:t>, the main corruption offences</w:t>
      </w:r>
      <w:r w:rsidR="001E4872" w:rsidRPr="00DA5EB5">
        <w:rPr>
          <w:kern w:val="2"/>
          <w:sz w:val="20"/>
        </w:rPr>
        <w:t>—</w:t>
      </w:r>
      <w:r w:rsidRPr="00DA5EB5">
        <w:rPr>
          <w:kern w:val="2"/>
          <w:sz w:val="20"/>
        </w:rPr>
        <w:t>both domestic and foreign</w:t>
      </w:r>
      <w:r w:rsidR="001E4872" w:rsidRPr="00DA5EB5">
        <w:rPr>
          <w:kern w:val="2"/>
          <w:sz w:val="20"/>
        </w:rPr>
        <w:t>—</w:t>
      </w:r>
      <w:r w:rsidRPr="00DA5EB5">
        <w:rPr>
          <w:kern w:val="2"/>
          <w:sz w:val="20"/>
        </w:rPr>
        <w:t>are described and the maximum punishment for those offences is set out. In this section, the sentencing principles which guide the selection of an appropriate sentence in individual cases are briefly described, and the actual sentences imposed in some corruption cases are provided as illustrations of how those sentencing principles are applied in practice</w:t>
      </w:r>
      <w:r w:rsidRPr="00DA5EB5">
        <w:rPr>
          <w:kern w:val="2"/>
        </w:rPr>
        <w:t>.</w:t>
      </w:r>
      <w:r w:rsidR="00E87776" w:rsidRPr="00DA5EB5">
        <w:rPr>
          <w:kern w:val="2"/>
        </w:rPr>
        <w:t xml:space="preserve"> </w:t>
      </w:r>
    </w:p>
    <w:p w14:paraId="587B1861" w14:textId="6E0CB405" w:rsidR="0061282C" w:rsidRPr="00DA5EB5" w:rsidRDefault="007D582C" w:rsidP="00661F9C">
      <w:pPr>
        <w:pStyle w:val="Heading1"/>
        <w:rPr>
          <w:sz w:val="28"/>
        </w:rPr>
      </w:pPr>
      <w:bookmarkStart w:id="3" w:name="_Toc500340143"/>
      <w:bookmarkStart w:id="4" w:name="_Toc500340390"/>
      <w:bookmarkStart w:id="5" w:name="_Toc500340424"/>
      <w:r w:rsidRPr="00DA5EB5">
        <w:rPr>
          <w:sz w:val="28"/>
        </w:rPr>
        <w:lastRenderedPageBreak/>
        <w:t>UNCAC</w:t>
      </w:r>
      <w:bookmarkEnd w:id="3"/>
      <w:bookmarkEnd w:id="4"/>
      <w:bookmarkEnd w:id="5"/>
    </w:p>
    <w:p w14:paraId="3311A7EB" w14:textId="622BDFA8" w:rsidR="00D14D42" w:rsidRPr="00DA5EB5" w:rsidRDefault="00D14D42" w:rsidP="007C3517">
      <w:pPr>
        <w:rPr>
          <w:color w:val="000000" w:themeColor="text1"/>
          <w:kern w:val="2"/>
          <w:sz w:val="20"/>
        </w:rPr>
      </w:pPr>
      <w:r w:rsidRPr="00DA5EB5">
        <w:rPr>
          <w:color w:val="000000" w:themeColor="text1"/>
          <w:kern w:val="2"/>
          <w:sz w:val="20"/>
        </w:rPr>
        <w:t>UNCAC has very little in the way of requirements or specific guidance for sanctions and senten</w:t>
      </w:r>
      <w:r w:rsidR="00176472" w:rsidRPr="00DA5EB5">
        <w:rPr>
          <w:color w:val="000000" w:themeColor="text1"/>
          <w:kern w:val="2"/>
          <w:sz w:val="20"/>
        </w:rPr>
        <w:t>c</w:t>
      </w:r>
      <w:r w:rsidRPr="00DA5EB5">
        <w:rPr>
          <w:color w:val="000000" w:themeColor="text1"/>
          <w:kern w:val="2"/>
          <w:sz w:val="20"/>
        </w:rPr>
        <w:t xml:space="preserve">ing in corruption cases and does not set out any minimum or maximum sentences for corruption offences. </w:t>
      </w:r>
      <w:r w:rsidR="00176472" w:rsidRPr="00DA5EB5">
        <w:rPr>
          <w:color w:val="000000" w:themeColor="text1"/>
          <w:kern w:val="2"/>
          <w:sz w:val="20"/>
        </w:rPr>
        <w:t>Some guidance is provided in the following Articles:</w:t>
      </w:r>
    </w:p>
    <w:p w14:paraId="4763B624" w14:textId="4C37267E" w:rsidR="00D14D42" w:rsidRPr="00DA5EB5" w:rsidRDefault="00D14D42" w:rsidP="000F6D49">
      <w:pPr>
        <w:pStyle w:val="BlockQuote"/>
        <w:rPr>
          <w:kern w:val="2"/>
          <w:sz w:val="20"/>
        </w:rPr>
      </w:pPr>
      <w:r w:rsidRPr="00DA5EB5">
        <w:rPr>
          <w:kern w:val="2"/>
          <w:sz w:val="20"/>
        </w:rPr>
        <w:t xml:space="preserve">Article 12(1) </w:t>
      </w:r>
      <w:r w:rsidR="00176472" w:rsidRPr="00DA5EB5">
        <w:rPr>
          <w:kern w:val="2"/>
          <w:sz w:val="20"/>
        </w:rPr>
        <w:t xml:space="preserve">provides that </w:t>
      </w:r>
      <w:r w:rsidR="00FD6DAC" w:rsidRPr="00DA5EB5">
        <w:rPr>
          <w:kern w:val="2"/>
          <w:sz w:val="20"/>
        </w:rPr>
        <w:t>“</w:t>
      </w:r>
      <w:r w:rsidRPr="00DA5EB5">
        <w:rPr>
          <w:kern w:val="2"/>
          <w:sz w:val="20"/>
        </w:rPr>
        <w:t>each State Party shall take measures, in accordance with</w:t>
      </w:r>
      <w:r w:rsidR="00A605D0" w:rsidRPr="00DA5EB5">
        <w:rPr>
          <w:kern w:val="2"/>
          <w:sz w:val="20"/>
        </w:rPr>
        <w:t xml:space="preserve"> </w:t>
      </w:r>
      <w:r w:rsidRPr="00DA5EB5">
        <w:rPr>
          <w:kern w:val="2"/>
          <w:sz w:val="20"/>
        </w:rPr>
        <w:t>… its domestic law</w:t>
      </w:r>
      <w:r w:rsidR="00A605D0" w:rsidRPr="00DA5EB5">
        <w:rPr>
          <w:kern w:val="2"/>
          <w:sz w:val="20"/>
        </w:rPr>
        <w:t xml:space="preserve"> </w:t>
      </w:r>
      <w:r w:rsidRPr="00DA5EB5">
        <w:rPr>
          <w:kern w:val="2"/>
          <w:sz w:val="20"/>
        </w:rPr>
        <w:t>… to provide effective, proportionate and dissuasive civil, administrative or criminal penalties</w:t>
      </w:r>
      <w:r w:rsidR="00FD6DAC" w:rsidRPr="00DA5EB5">
        <w:rPr>
          <w:kern w:val="2"/>
          <w:sz w:val="20"/>
        </w:rPr>
        <w:t>”</w:t>
      </w:r>
      <w:r w:rsidRPr="00DA5EB5">
        <w:rPr>
          <w:kern w:val="2"/>
          <w:sz w:val="20"/>
        </w:rPr>
        <w:t xml:space="preserve"> for violation of corruption prevention standards and offences involving the private sector.</w:t>
      </w:r>
      <w:r w:rsidR="00E87776" w:rsidRPr="00DA5EB5">
        <w:rPr>
          <w:kern w:val="2"/>
          <w:sz w:val="20"/>
        </w:rPr>
        <w:t xml:space="preserve"> </w:t>
      </w:r>
    </w:p>
    <w:p w14:paraId="574F5FC3" w14:textId="7F572DA7" w:rsidR="00D14D42" w:rsidRPr="00DA5EB5" w:rsidRDefault="00D14D42" w:rsidP="000F6D49">
      <w:pPr>
        <w:pStyle w:val="BlockQuote"/>
        <w:rPr>
          <w:kern w:val="2"/>
          <w:sz w:val="20"/>
        </w:rPr>
      </w:pPr>
      <w:r w:rsidRPr="00DA5EB5">
        <w:rPr>
          <w:kern w:val="2"/>
          <w:sz w:val="20"/>
        </w:rPr>
        <w:t xml:space="preserve">Article 30(1) provides that </w:t>
      </w:r>
      <w:r w:rsidR="00FD6DAC" w:rsidRPr="00DA5EB5">
        <w:rPr>
          <w:kern w:val="2"/>
          <w:sz w:val="20"/>
        </w:rPr>
        <w:t>“</w:t>
      </w:r>
      <w:r w:rsidRPr="00DA5EB5">
        <w:rPr>
          <w:kern w:val="2"/>
          <w:sz w:val="20"/>
        </w:rPr>
        <w:t>each State Party shall make the commission of [corruption] offences</w:t>
      </w:r>
      <w:r w:rsidR="00A605D0" w:rsidRPr="00DA5EB5">
        <w:rPr>
          <w:kern w:val="2"/>
          <w:sz w:val="20"/>
        </w:rPr>
        <w:t xml:space="preserve"> </w:t>
      </w:r>
      <w:r w:rsidRPr="00DA5EB5">
        <w:rPr>
          <w:kern w:val="2"/>
          <w:sz w:val="20"/>
        </w:rPr>
        <w:t>… liable to sanctions that take into account the gravity of that offence.</w:t>
      </w:r>
      <w:r w:rsidR="00FD6DAC" w:rsidRPr="00DA5EB5">
        <w:rPr>
          <w:kern w:val="2"/>
          <w:sz w:val="20"/>
        </w:rPr>
        <w:t>”</w:t>
      </w:r>
      <w:r w:rsidRPr="00DA5EB5">
        <w:rPr>
          <w:kern w:val="2"/>
          <w:sz w:val="20"/>
        </w:rPr>
        <w:t xml:space="preserve"> </w:t>
      </w:r>
    </w:p>
    <w:p w14:paraId="1B19B022" w14:textId="3482427E" w:rsidR="00D14D42" w:rsidRPr="00DA5EB5" w:rsidRDefault="00D14D42" w:rsidP="000F6D49">
      <w:pPr>
        <w:pStyle w:val="BlockQuote"/>
        <w:rPr>
          <w:kern w:val="2"/>
          <w:sz w:val="20"/>
        </w:rPr>
      </w:pPr>
      <w:r w:rsidRPr="00DA5EB5">
        <w:rPr>
          <w:kern w:val="2"/>
          <w:sz w:val="20"/>
        </w:rPr>
        <w:t>Article 30(7) indicates that State Parties should consider disqualification of persons convicted of corruption from holding public office for a period of time</w:t>
      </w:r>
      <w:r w:rsidR="009D230C" w:rsidRPr="00DA5EB5">
        <w:rPr>
          <w:kern w:val="2"/>
          <w:sz w:val="20"/>
        </w:rPr>
        <w:t>.</w:t>
      </w:r>
    </w:p>
    <w:p w14:paraId="715DAE49" w14:textId="4878842F" w:rsidR="00D14D42" w:rsidRPr="00DA5EB5" w:rsidRDefault="00D14D42" w:rsidP="000F6D49">
      <w:pPr>
        <w:pStyle w:val="BlockQuote"/>
        <w:rPr>
          <w:kern w:val="2"/>
          <w:sz w:val="20"/>
        </w:rPr>
      </w:pPr>
      <w:r w:rsidRPr="00DA5EB5">
        <w:rPr>
          <w:kern w:val="2"/>
          <w:sz w:val="20"/>
        </w:rPr>
        <w:t xml:space="preserve">Article 37(2) provides that State Parties shall consider mitigation of punishment (or immunity from prosecution under Article 37(3)) for accused persons who provide </w:t>
      </w:r>
      <w:r w:rsidR="00FD6DAC" w:rsidRPr="00DA5EB5">
        <w:rPr>
          <w:kern w:val="2"/>
          <w:sz w:val="20"/>
        </w:rPr>
        <w:t>“</w:t>
      </w:r>
      <w:r w:rsidRPr="00DA5EB5">
        <w:rPr>
          <w:kern w:val="2"/>
          <w:sz w:val="20"/>
        </w:rPr>
        <w:t>substantial cooperation</w:t>
      </w:r>
      <w:r w:rsidR="00FD6DAC" w:rsidRPr="00DA5EB5">
        <w:rPr>
          <w:kern w:val="2"/>
          <w:sz w:val="20"/>
        </w:rPr>
        <w:t>”</w:t>
      </w:r>
      <w:r w:rsidRPr="00DA5EB5">
        <w:rPr>
          <w:kern w:val="2"/>
          <w:sz w:val="20"/>
        </w:rPr>
        <w:t xml:space="preserve"> in the investigation or prosecution of corruption offences. </w:t>
      </w:r>
    </w:p>
    <w:p w14:paraId="6D41AF93" w14:textId="2AC256E3" w:rsidR="00D14D42" w:rsidRPr="00DA5EB5" w:rsidRDefault="00D14D42" w:rsidP="000F6D49">
      <w:pPr>
        <w:pStyle w:val="BlockQuote"/>
        <w:rPr>
          <w:kern w:val="2"/>
          <w:sz w:val="20"/>
        </w:rPr>
      </w:pPr>
      <w:r w:rsidRPr="00DA5EB5">
        <w:rPr>
          <w:kern w:val="2"/>
          <w:sz w:val="20"/>
        </w:rPr>
        <w:t xml:space="preserve">Article 30(10) indicates that State Parties shall endeavor to promote </w:t>
      </w:r>
      <w:r w:rsidR="00B93A13" w:rsidRPr="00DA5EB5">
        <w:rPr>
          <w:kern w:val="2"/>
          <w:sz w:val="20"/>
        </w:rPr>
        <w:t>the reintegration into society of persons convicted of corruption.</w:t>
      </w:r>
      <w:r w:rsidR="00D05CD9" w:rsidRPr="00DA5EB5">
        <w:rPr>
          <w:rStyle w:val="FootnoteReference"/>
          <w:color w:val="000000" w:themeColor="text1"/>
          <w:kern w:val="2"/>
          <w:sz w:val="18"/>
        </w:rPr>
        <w:footnoteReference w:id="1"/>
      </w:r>
    </w:p>
    <w:p w14:paraId="4A467F09" w14:textId="5536F63A" w:rsidR="006E0D2D" w:rsidRPr="00DA5EB5" w:rsidRDefault="0061282C" w:rsidP="00661F9C">
      <w:pPr>
        <w:pStyle w:val="Heading1"/>
        <w:rPr>
          <w:sz w:val="28"/>
        </w:rPr>
      </w:pPr>
      <w:bookmarkStart w:id="6" w:name="_Toc500340144"/>
      <w:bookmarkStart w:id="7" w:name="_Toc500340391"/>
      <w:bookmarkStart w:id="8" w:name="_Toc500340425"/>
      <w:r w:rsidRPr="00DA5EB5">
        <w:rPr>
          <w:sz w:val="28"/>
        </w:rPr>
        <w:t>OECD Convention</w:t>
      </w:r>
      <w:bookmarkEnd w:id="6"/>
      <w:bookmarkEnd w:id="7"/>
      <w:bookmarkEnd w:id="8"/>
    </w:p>
    <w:p w14:paraId="02C86F81" w14:textId="2B3C7110" w:rsidR="0061282C" w:rsidRPr="00DA5EB5" w:rsidRDefault="0061282C" w:rsidP="007C3517">
      <w:pPr>
        <w:rPr>
          <w:kern w:val="2"/>
          <w:sz w:val="20"/>
        </w:rPr>
      </w:pPr>
      <w:r w:rsidRPr="00DA5EB5">
        <w:rPr>
          <w:kern w:val="2"/>
          <w:sz w:val="20"/>
        </w:rPr>
        <w:t xml:space="preserve">The OECD Convention also has very few provisions on sanctions and sentencing for corruption of foreign public officials. Article 3 of the OECD Convention, which is entitled </w:t>
      </w:r>
      <w:r w:rsidR="00FD6DAC" w:rsidRPr="00DA5EB5">
        <w:rPr>
          <w:kern w:val="2"/>
          <w:sz w:val="20"/>
        </w:rPr>
        <w:t>“</w:t>
      </w:r>
      <w:r w:rsidRPr="00DA5EB5">
        <w:rPr>
          <w:kern w:val="2"/>
          <w:sz w:val="20"/>
        </w:rPr>
        <w:t>Sanctions</w:t>
      </w:r>
      <w:r w:rsidR="001B06A9" w:rsidRPr="00DA5EB5">
        <w:rPr>
          <w:kern w:val="2"/>
          <w:sz w:val="20"/>
        </w:rPr>
        <w:t>,</w:t>
      </w:r>
      <w:r w:rsidR="00FD6DAC" w:rsidRPr="00DA5EB5">
        <w:rPr>
          <w:kern w:val="2"/>
          <w:sz w:val="20"/>
        </w:rPr>
        <w:t>”</w:t>
      </w:r>
      <w:r w:rsidRPr="00DA5EB5">
        <w:rPr>
          <w:kern w:val="2"/>
          <w:sz w:val="20"/>
        </w:rPr>
        <w:t xml:space="preserve"> provides in paragraph 1 that bribery of foreign officials </w:t>
      </w:r>
      <w:r w:rsidR="00FD6DAC" w:rsidRPr="00DA5EB5">
        <w:rPr>
          <w:kern w:val="2"/>
          <w:sz w:val="20"/>
        </w:rPr>
        <w:t>“</w:t>
      </w:r>
      <w:r w:rsidRPr="00DA5EB5">
        <w:rPr>
          <w:kern w:val="2"/>
          <w:sz w:val="20"/>
        </w:rPr>
        <w:t>shall be punishable by effective, proportionate and dissuasive criminal penalties comparable to the penalties for corruption of domestic officials.</w:t>
      </w:r>
      <w:r w:rsidR="00FD6DAC" w:rsidRPr="00DA5EB5">
        <w:rPr>
          <w:kern w:val="2"/>
          <w:sz w:val="20"/>
        </w:rPr>
        <w:t>”</w:t>
      </w:r>
      <w:r w:rsidRPr="00DA5EB5">
        <w:rPr>
          <w:kern w:val="2"/>
          <w:sz w:val="20"/>
        </w:rPr>
        <w:t xml:space="preserve"> Article 8(2) has a similar penalty requirement for books and records offences.</w:t>
      </w:r>
    </w:p>
    <w:p w14:paraId="5E6A56D7" w14:textId="3E46F8B7" w:rsidR="0061282C" w:rsidRPr="00DA5EB5" w:rsidRDefault="0061282C" w:rsidP="007C3517">
      <w:pPr>
        <w:rPr>
          <w:kern w:val="2"/>
          <w:sz w:val="20"/>
        </w:rPr>
      </w:pPr>
      <w:r w:rsidRPr="00DA5EB5">
        <w:rPr>
          <w:kern w:val="2"/>
          <w:sz w:val="20"/>
        </w:rPr>
        <w:t xml:space="preserve">Paragraph 2 of Article 3 requires those Parties who do not recognize the concept of </w:t>
      </w:r>
      <w:r w:rsidR="00FD6DAC" w:rsidRPr="00DA5EB5">
        <w:rPr>
          <w:kern w:val="2"/>
          <w:sz w:val="20"/>
        </w:rPr>
        <w:t>“</w:t>
      </w:r>
      <w:r w:rsidRPr="00DA5EB5">
        <w:rPr>
          <w:kern w:val="2"/>
          <w:sz w:val="20"/>
        </w:rPr>
        <w:t>corporate criminal liability</w:t>
      </w:r>
      <w:r w:rsidR="00FD6DAC" w:rsidRPr="00DA5EB5">
        <w:rPr>
          <w:kern w:val="2"/>
          <w:sz w:val="20"/>
        </w:rPr>
        <w:t>”</w:t>
      </w:r>
      <w:r w:rsidRPr="00DA5EB5">
        <w:rPr>
          <w:kern w:val="2"/>
          <w:sz w:val="20"/>
        </w:rPr>
        <w:t xml:space="preserve"> in their legal systems to ensure that </w:t>
      </w:r>
      <w:r w:rsidR="000556B9" w:rsidRPr="00DA5EB5">
        <w:rPr>
          <w:kern w:val="2"/>
          <w:sz w:val="20"/>
        </w:rPr>
        <w:t>corporations</w:t>
      </w:r>
      <w:r w:rsidRPr="00DA5EB5">
        <w:rPr>
          <w:kern w:val="2"/>
          <w:sz w:val="20"/>
        </w:rPr>
        <w:t xml:space="preserve"> are </w:t>
      </w:r>
      <w:r w:rsidR="00FD6DAC" w:rsidRPr="00DA5EB5">
        <w:rPr>
          <w:kern w:val="2"/>
          <w:sz w:val="20"/>
        </w:rPr>
        <w:t>“</w:t>
      </w:r>
      <w:r w:rsidRPr="00DA5EB5">
        <w:rPr>
          <w:kern w:val="2"/>
          <w:sz w:val="20"/>
        </w:rPr>
        <w:t xml:space="preserve">subject </w:t>
      </w:r>
      <w:r w:rsidRPr="00DA5EB5">
        <w:rPr>
          <w:kern w:val="2"/>
          <w:sz w:val="20"/>
        </w:rPr>
        <w:lastRenderedPageBreak/>
        <w:t>to effective, proportionate and dissuasive non-criminal sanctions, including monetary sanctions for bribery of foreign public officials.</w:t>
      </w:r>
      <w:r w:rsidR="00FD6DAC" w:rsidRPr="00DA5EB5">
        <w:rPr>
          <w:kern w:val="2"/>
          <w:sz w:val="20"/>
        </w:rPr>
        <w:t>”</w:t>
      </w:r>
    </w:p>
    <w:p w14:paraId="587D6ABA" w14:textId="39381353" w:rsidR="00D21832" w:rsidRPr="00DA5EB5" w:rsidRDefault="0061282C" w:rsidP="007C3517">
      <w:pPr>
        <w:rPr>
          <w:kern w:val="2"/>
          <w:sz w:val="20"/>
        </w:rPr>
      </w:pPr>
      <w:r w:rsidRPr="00DA5EB5">
        <w:rPr>
          <w:kern w:val="2"/>
          <w:sz w:val="20"/>
        </w:rPr>
        <w:t>Paragraph 3 of Article 3 requires each Party to take necessary steps for seizure and confiscation of the proceeds of bribery and paragraph 4 states that each Party shall consider imposing additional civil or administrative sanctions in addition to criminal penalties.</w:t>
      </w:r>
      <w:r w:rsidR="00D05CD9" w:rsidRPr="00DA5EB5">
        <w:rPr>
          <w:rStyle w:val="FootnoteReference"/>
          <w:kern w:val="2"/>
          <w:sz w:val="18"/>
        </w:rPr>
        <w:footnoteReference w:id="2"/>
      </w:r>
    </w:p>
    <w:p w14:paraId="0D845729" w14:textId="2AB50DCB" w:rsidR="006E0D2D" w:rsidRPr="00DA5EB5" w:rsidRDefault="0061282C" w:rsidP="00661F9C">
      <w:pPr>
        <w:pStyle w:val="Heading1"/>
        <w:rPr>
          <w:sz w:val="28"/>
        </w:rPr>
      </w:pPr>
      <w:bookmarkStart w:id="9" w:name="_Toc500340145"/>
      <w:bookmarkStart w:id="10" w:name="_Toc500340392"/>
      <w:bookmarkStart w:id="11" w:name="_Toc500340426"/>
      <w:r w:rsidRPr="00DA5EB5">
        <w:rPr>
          <w:sz w:val="28"/>
        </w:rPr>
        <w:t>US Sentencing Law</w:t>
      </w:r>
      <w:bookmarkEnd w:id="9"/>
      <w:bookmarkEnd w:id="10"/>
      <w:bookmarkEnd w:id="11"/>
    </w:p>
    <w:p w14:paraId="256E45AF" w14:textId="38228B28" w:rsidR="00C26513" w:rsidRPr="00DA5EB5" w:rsidRDefault="0061282C" w:rsidP="007C3517">
      <w:pPr>
        <w:rPr>
          <w:kern w:val="2"/>
          <w:sz w:val="20"/>
        </w:rPr>
      </w:pPr>
      <w:r w:rsidRPr="00DA5EB5">
        <w:rPr>
          <w:kern w:val="2"/>
          <w:sz w:val="20"/>
        </w:rPr>
        <w:t>Bribery of US officials is criminalized under both state and federal criminal law. This book only deals with corruption offenses involving US federal officials under the US Code</w:t>
      </w:r>
      <w:r w:rsidR="007A665C" w:rsidRPr="00DA5EB5">
        <w:rPr>
          <w:rStyle w:val="FootnoteReference"/>
          <w:kern w:val="2"/>
          <w:sz w:val="18"/>
        </w:rPr>
        <w:footnoteReference w:id="3"/>
      </w:r>
      <w:r w:rsidRPr="00DA5EB5">
        <w:rPr>
          <w:kern w:val="2"/>
          <w:sz w:val="20"/>
        </w:rPr>
        <w:t xml:space="preserve"> and foreign public officials under the </w:t>
      </w:r>
      <w:r w:rsidR="00917AF7" w:rsidRPr="00DA5EB5">
        <w:rPr>
          <w:i/>
          <w:kern w:val="2"/>
          <w:sz w:val="20"/>
        </w:rPr>
        <w:t xml:space="preserve">Foreign Corrupt Practices Act </w:t>
      </w:r>
      <w:r w:rsidR="00917AF7" w:rsidRPr="00DA5EB5">
        <w:rPr>
          <w:kern w:val="2"/>
          <w:sz w:val="20"/>
        </w:rPr>
        <w:t>(</w:t>
      </w:r>
      <w:r w:rsidRPr="00DA5EB5">
        <w:rPr>
          <w:i/>
          <w:kern w:val="2"/>
          <w:sz w:val="20"/>
        </w:rPr>
        <w:t>FCPA</w:t>
      </w:r>
      <w:r w:rsidR="00917AF7" w:rsidRPr="00DA5EB5">
        <w:rPr>
          <w:kern w:val="2"/>
          <w:sz w:val="20"/>
        </w:rPr>
        <w:t>)</w:t>
      </w:r>
      <w:r w:rsidRPr="00DA5EB5">
        <w:rPr>
          <w:kern w:val="2"/>
          <w:sz w:val="20"/>
        </w:rPr>
        <w:t>.</w:t>
      </w:r>
      <w:r w:rsidR="00917AF7" w:rsidRPr="00DA5EB5">
        <w:rPr>
          <w:rStyle w:val="FootnoteReference"/>
          <w:kern w:val="2"/>
          <w:sz w:val="18"/>
        </w:rPr>
        <w:footnoteReference w:id="4"/>
      </w:r>
      <w:r w:rsidRPr="00DA5EB5">
        <w:rPr>
          <w:kern w:val="2"/>
          <w:sz w:val="20"/>
        </w:rPr>
        <w:t xml:space="preserve"> Sentences for offenders under these laws are guided by the US </w:t>
      </w:r>
      <w:r w:rsidR="00ED6AC0" w:rsidRPr="00DA5EB5">
        <w:rPr>
          <w:kern w:val="2"/>
          <w:sz w:val="20"/>
        </w:rPr>
        <w:t xml:space="preserve">Sentencing Commission’s </w:t>
      </w:r>
      <w:r w:rsidR="00ED6AC0" w:rsidRPr="00DA5EB5">
        <w:rPr>
          <w:i/>
          <w:kern w:val="2"/>
          <w:sz w:val="20"/>
        </w:rPr>
        <w:t xml:space="preserve">Guidelines Manual </w:t>
      </w:r>
      <w:r w:rsidR="00ED6AC0" w:rsidRPr="00DA5EB5">
        <w:rPr>
          <w:kern w:val="2"/>
          <w:sz w:val="20"/>
        </w:rPr>
        <w:t>(</w:t>
      </w:r>
      <w:r w:rsidR="00B9526F" w:rsidRPr="00DA5EB5">
        <w:rPr>
          <w:i/>
          <w:kern w:val="2"/>
          <w:sz w:val="20"/>
        </w:rPr>
        <w:t>Guidelines</w:t>
      </w:r>
      <w:r w:rsidR="00B9526F" w:rsidRPr="00DA5EB5">
        <w:rPr>
          <w:kern w:val="2"/>
          <w:sz w:val="20"/>
        </w:rPr>
        <w:t>)</w:t>
      </w:r>
      <w:r w:rsidRPr="00DA5EB5">
        <w:rPr>
          <w:kern w:val="2"/>
          <w:sz w:val="20"/>
        </w:rPr>
        <w:t>.</w:t>
      </w:r>
      <w:r w:rsidR="006F21D2" w:rsidRPr="00DA5EB5">
        <w:rPr>
          <w:rStyle w:val="FootnoteReference"/>
          <w:kern w:val="2"/>
          <w:sz w:val="18"/>
        </w:rPr>
        <w:footnoteReference w:id="5"/>
      </w:r>
      <w:r w:rsidR="00E87776" w:rsidRPr="00DA5EB5">
        <w:rPr>
          <w:kern w:val="2"/>
          <w:sz w:val="20"/>
        </w:rPr>
        <w:t xml:space="preserve"> </w:t>
      </w:r>
    </w:p>
    <w:p w14:paraId="2D67A5FE" w14:textId="4134085A" w:rsidR="006E0D2D" w:rsidRPr="00DA5EB5" w:rsidRDefault="0061282C" w:rsidP="007C3517">
      <w:pPr>
        <w:pStyle w:val="Heading2"/>
        <w:rPr>
          <w:kern w:val="2"/>
          <w:sz w:val="24"/>
        </w:rPr>
      </w:pPr>
      <w:r w:rsidRPr="00DA5EB5">
        <w:rPr>
          <w:kern w:val="2"/>
          <w:sz w:val="24"/>
        </w:rPr>
        <w:t>Federal Sentencing Guidelines</w:t>
      </w:r>
    </w:p>
    <w:p w14:paraId="0997C849" w14:textId="69BC11D7" w:rsidR="0061282C" w:rsidRPr="00DA5EB5" w:rsidRDefault="0061282C" w:rsidP="007C3517">
      <w:pPr>
        <w:rPr>
          <w:kern w:val="2"/>
          <w:sz w:val="20"/>
        </w:rPr>
      </w:pPr>
      <w:r w:rsidRPr="00DA5EB5">
        <w:rPr>
          <w:kern w:val="2"/>
          <w:sz w:val="20"/>
        </w:rPr>
        <w:t xml:space="preserve">The </w:t>
      </w:r>
      <w:r w:rsidRPr="00DA5EB5">
        <w:rPr>
          <w:i/>
          <w:kern w:val="2"/>
          <w:sz w:val="20"/>
        </w:rPr>
        <w:t>Guidelines</w:t>
      </w:r>
      <w:r w:rsidRPr="00DA5EB5">
        <w:rPr>
          <w:kern w:val="2"/>
          <w:sz w:val="20"/>
        </w:rPr>
        <w:t xml:space="preserve"> were adopted in 1984 and were originally mandatory. In 2005, the US Supreme Court in </w:t>
      </w:r>
      <w:r w:rsidRPr="00DA5EB5">
        <w:rPr>
          <w:i/>
          <w:kern w:val="2"/>
          <w:sz w:val="20"/>
        </w:rPr>
        <w:t>US v Booker</w:t>
      </w:r>
      <w:r w:rsidRPr="00DA5EB5">
        <w:rPr>
          <w:kern w:val="2"/>
          <w:sz w:val="20"/>
        </w:rPr>
        <w:t xml:space="preserve"> held that the mandatory nature of the </w:t>
      </w:r>
      <w:r w:rsidRPr="00DA5EB5">
        <w:rPr>
          <w:i/>
          <w:kern w:val="2"/>
          <w:sz w:val="20"/>
        </w:rPr>
        <w:t>Guidelines</w:t>
      </w:r>
      <w:r w:rsidRPr="00DA5EB5">
        <w:rPr>
          <w:kern w:val="2"/>
          <w:sz w:val="20"/>
        </w:rPr>
        <w:t xml:space="preserve"> violated the US Constitution.</w:t>
      </w:r>
      <w:r w:rsidR="00272227" w:rsidRPr="00DA5EB5">
        <w:rPr>
          <w:rStyle w:val="FootnoteReference"/>
          <w:kern w:val="2"/>
        </w:rPr>
        <w:footnoteReference w:id="6"/>
      </w:r>
      <w:r w:rsidRPr="00DA5EB5">
        <w:rPr>
          <w:kern w:val="2"/>
          <w:sz w:val="20"/>
        </w:rPr>
        <w:t xml:space="preserve"> Since that time, the sentencing range for each case set out in the </w:t>
      </w:r>
      <w:r w:rsidRPr="00DA5EB5">
        <w:rPr>
          <w:i/>
          <w:kern w:val="2"/>
          <w:sz w:val="20"/>
        </w:rPr>
        <w:t xml:space="preserve">Guidelines </w:t>
      </w:r>
      <w:r w:rsidR="006F21D2" w:rsidRPr="00DA5EB5">
        <w:rPr>
          <w:kern w:val="2"/>
          <w:sz w:val="20"/>
        </w:rPr>
        <w:t>has been</w:t>
      </w:r>
      <w:r w:rsidRPr="00DA5EB5">
        <w:rPr>
          <w:kern w:val="2"/>
          <w:sz w:val="20"/>
        </w:rPr>
        <w:t xml:space="preserve"> treated by sentencing courts as advisory, rather than mandatory. The</w:t>
      </w:r>
      <w:r w:rsidRPr="00DA5EB5">
        <w:rPr>
          <w:i/>
          <w:kern w:val="2"/>
          <w:sz w:val="20"/>
        </w:rPr>
        <w:t xml:space="preserve"> Guidelines </w:t>
      </w:r>
      <w:r w:rsidRPr="00DA5EB5">
        <w:rPr>
          <w:kern w:val="2"/>
          <w:sz w:val="20"/>
        </w:rPr>
        <w:t>are designed to bring a reasonable degree of uniformity to similar offenses committed by similar</w:t>
      </w:r>
      <w:r w:rsidRPr="00DA5EB5">
        <w:rPr>
          <w:kern w:val="2"/>
        </w:rPr>
        <w:t xml:space="preserve"> </w:t>
      </w:r>
      <w:r w:rsidRPr="00DA5EB5">
        <w:rPr>
          <w:kern w:val="2"/>
          <w:sz w:val="20"/>
        </w:rPr>
        <w:t>offenders in similar circumstances. The</w:t>
      </w:r>
      <w:r w:rsidRPr="00DA5EB5">
        <w:rPr>
          <w:kern w:val="2"/>
        </w:rPr>
        <w:t xml:space="preserve"> </w:t>
      </w:r>
      <w:r w:rsidRPr="00DA5EB5">
        <w:rPr>
          <w:kern w:val="2"/>
          <w:sz w:val="20"/>
        </w:rPr>
        <w:t xml:space="preserve">recommended sentencing range (described in months of imprisonment) is determined by putting the severity of the offense on one axis (there are 43 different offense levels) and the severity of the offender’s prior criminal record on the other axis (there are </w:t>
      </w:r>
      <w:r w:rsidR="00494A4C" w:rsidRPr="00DA5EB5">
        <w:rPr>
          <w:kern w:val="2"/>
          <w:sz w:val="20"/>
        </w:rPr>
        <w:t>six</w:t>
      </w:r>
      <w:r w:rsidRPr="00DA5EB5">
        <w:rPr>
          <w:kern w:val="2"/>
          <w:sz w:val="20"/>
        </w:rPr>
        <w:t xml:space="preserve"> categories of seriousness </w:t>
      </w:r>
      <w:r w:rsidR="00494A4C" w:rsidRPr="00DA5EB5">
        <w:rPr>
          <w:kern w:val="2"/>
          <w:sz w:val="20"/>
        </w:rPr>
        <w:t>for the</w:t>
      </w:r>
      <w:r w:rsidRPr="00DA5EB5">
        <w:rPr>
          <w:kern w:val="2"/>
          <w:sz w:val="20"/>
        </w:rPr>
        <w:t xml:space="preserve"> prior record). Where the two ax</w:t>
      </w:r>
      <w:r w:rsidR="008E4A0B" w:rsidRPr="00DA5EB5">
        <w:rPr>
          <w:kern w:val="2"/>
          <w:sz w:val="20"/>
        </w:rPr>
        <w:t>e</w:t>
      </w:r>
      <w:r w:rsidRPr="00DA5EB5">
        <w:rPr>
          <w:kern w:val="2"/>
          <w:sz w:val="20"/>
        </w:rPr>
        <w:t xml:space="preserve">s intersect, the </w:t>
      </w:r>
      <w:r w:rsidRPr="00DA5EB5">
        <w:rPr>
          <w:i/>
          <w:kern w:val="2"/>
          <w:sz w:val="20"/>
        </w:rPr>
        <w:t>Guidelines</w:t>
      </w:r>
      <w:r w:rsidRPr="00DA5EB5">
        <w:rPr>
          <w:kern w:val="2"/>
          <w:sz w:val="20"/>
        </w:rPr>
        <w:t xml:space="preserve"> give a recommended advisory range of sentence in terms of months. Departures from that range are made where the circumstances of a case warrant departure. The Sentencing Table</w:t>
      </w:r>
      <w:r w:rsidR="002B6178" w:rsidRPr="00DA5EB5">
        <w:rPr>
          <w:kern w:val="2"/>
          <w:sz w:val="20"/>
        </w:rPr>
        <w:t xml:space="preserve"> (see Table 7.1)</w:t>
      </w:r>
      <w:r w:rsidRPr="00DA5EB5">
        <w:rPr>
          <w:kern w:val="2"/>
          <w:sz w:val="20"/>
        </w:rPr>
        <w:t xml:space="preserve"> is also divided into four zones, the effect of which are described below.</w:t>
      </w:r>
      <w:r w:rsidR="008F73BD" w:rsidRPr="00DA5EB5">
        <w:rPr>
          <w:rStyle w:val="FootnoteReference"/>
          <w:kern w:val="2"/>
        </w:rPr>
        <w:t xml:space="preserve"> </w:t>
      </w:r>
    </w:p>
    <w:p w14:paraId="79C057F0" w14:textId="77777777" w:rsidR="00127F22" w:rsidRPr="00DA5EB5" w:rsidRDefault="00127F22" w:rsidP="00127F22">
      <w:pPr>
        <w:pStyle w:val="Heading3"/>
        <w:rPr>
          <w:kern w:val="2"/>
          <w:sz w:val="22"/>
        </w:rPr>
      </w:pPr>
      <w:r w:rsidRPr="00DA5EB5">
        <w:rPr>
          <w:kern w:val="2"/>
          <w:sz w:val="22"/>
        </w:rPr>
        <w:lastRenderedPageBreak/>
        <w:t>Offense Seriousness</w:t>
      </w:r>
    </w:p>
    <w:p w14:paraId="62FA960F" w14:textId="01C7BB77" w:rsidR="00127F22" w:rsidRPr="00DA5EB5" w:rsidRDefault="00127F22" w:rsidP="00127F22">
      <w:pPr>
        <w:rPr>
          <w:kern w:val="2"/>
          <w:sz w:val="20"/>
        </w:rPr>
      </w:pPr>
      <w:r w:rsidRPr="00DA5EB5">
        <w:rPr>
          <w:kern w:val="2"/>
          <w:sz w:val="20"/>
        </w:rPr>
        <w:t xml:space="preserve">In the </w:t>
      </w:r>
      <w:r w:rsidRPr="00DA5EB5">
        <w:rPr>
          <w:i/>
          <w:kern w:val="2"/>
          <w:sz w:val="20"/>
        </w:rPr>
        <w:t>Guidelines</w:t>
      </w:r>
      <w:r w:rsidRPr="00DA5EB5">
        <w:rPr>
          <w:kern w:val="2"/>
          <w:sz w:val="20"/>
        </w:rPr>
        <w:t xml:space="preserve">, each offense is assigned a </w:t>
      </w:r>
      <w:r w:rsidR="00FD6DAC" w:rsidRPr="00DA5EB5">
        <w:rPr>
          <w:kern w:val="2"/>
          <w:sz w:val="20"/>
        </w:rPr>
        <w:t>“</w:t>
      </w:r>
      <w:r w:rsidRPr="00DA5EB5">
        <w:rPr>
          <w:kern w:val="2"/>
          <w:sz w:val="20"/>
        </w:rPr>
        <w:t>base level</w:t>
      </w:r>
      <w:r w:rsidR="00FD6DAC" w:rsidRPr="00DA5EB5">
        <w:rPr>
          <w:kern w:val="2"/>
          <w:sz w:val="20"/>
        </w:rPr>
        <w:t>”</w:t>
      </w:r>
      <w:r w:rsidRPr="00DA5EB5">
        <w:rPr>
          <w:kern w:val="2"/>
          <w:sz w:val="20"/>
        </w:rPr>
        <w:t xml:space="preserve"> of offense seriousness and that base level will then be increased or decreased depending on the existence of specified aggravating or mitigating circumstances. For example, for offering, giving, soliciting or receiving a bribe, the offense base level is 12. If the offender is a public official, the base level is 14 and if the offense involved more than one bribe, the offense level rises to 16. </w:t>
      </w:r>
    </w:p>
    <w:p w14:paraId="425BB1AA" w14:textId="77777777" w:rsidR="00127F22" w:rsidRPr="00DA5EB5" w:rsidRDefault="00127F22" w:rsidP="00127F22">
      <w:pPr>
        <w:pStyle w:val="Heading3"/>
        <w:rPr>
          <w:kern w:val="2"/>
          <w:sz w:val="22"/>
        </w:rPr>
      </w:pPr>
      <w:r w:rsidRPr="00DA5EB5">
        <w:rPr>
          <w:kern w:val="2"/>
          <w:sz w:val="22"/>
        </w:rPr>
        <w:t>Criminal History of the Offender</w:t>
      </w:r>
    </w:p>
    <w:p w14:paraId="52BB9608" w14:textId="77777777" w:rsidR="00127F22" w:rsidRPr="00DA5EB5" w:rsidRDefault="00127F22" w:rsidP="00127F22">
      <w:pPr>
        <w:jc w:val="left"/>
        <w:rPr>
          <w:rFonts w:eastAsia="Calibri"/>
          <w:kern w:val="2"/>
          <w:sz w:val="20"/>
        </w:rPr>
      </w:pPr>
      <w:r w:rsidRPr="00DA5EB5">
        <w:rPr>
          <w:rFonts w:eastAsia="Calibri"/>
          <w:kern w:val="2"/>
          <w:sz w:val="20"/>
        </w:rPr>
        <w:t>An offender can receive an elevated sentence due to their prior criminal history. An offender receives one point for each prior sentence,</w:t>
      </w:r>
      <w:r w:rsidRPr="00DA5EB5">
        <w:rPr>
          <w:rFonts w:eastAsia="Calibri"/>
          <w:kern w:val="2"/>
          <w:sz w:val="20"/>
          <w:vertAlign w:val="superscript"/>
        </w:rPr>
        <w:footnoteReference w:id="7"/>
      </w:r>
      <w:r w:rsidRPr="00DA5EB5">
        <w:rPr>
          <w:rFonts w:eastAsia="Calibri"/>
          <w:kern w:val="2"/>
          <w:sz w:val="20"/>
        </w:rPr>
        <w:t xml:space="preserve"> two points if the prior sentence was for a period of incarceration of at least 60 days and three points if the prior sentence was for a period of imprisonment exceeding one year and one month.</w:t>
      </w:r>
      <w:r w:rsidRPr="00DA5EB5">
        <w:rPr>
          <w:rFonts w:eastAsia="Calibri"/>
          <w:kern w:val="2"/>
          <w:sz w:val="20"/>
          <w:vertAlign w:val="superscript"/>
        </w:rPr>
        <w:footnoteReference w:id="8"/>
      </w:r>
      <w:r w:rsidRPr="00DA5EB5">
        <w:rPr>
          <w:rFonts w:eastAsia="Calibri"/>
          <w:kern w:val="2"/>
          <w:sz w:val="20"/>
        </w:rPr>
        <w:t xml:space="preserve"> </w:t>
      </w:r>
    </w:p>
    <w:p w14:paraId="0177917E" w14:textId="77777777" w:rsidR="00127F22" w:rsidRPr="00DA5EB5" w:rsidRDefault="00127F22" w:rsidP="00127F22">
      <w:pPr>
        <w:pStyle w:val="Heading3"/>
        <w:rPr>
          <w:kern w:val="2"/>
          <w:sz w:val="22"/>
        </w:rPr>
      </w:pPr>
      <w:r w:rsidRPr="00DA5EB5">
        <w:rPr>
          <w:kern w:val="2"/>
          <w:sz w:val="22"/>
        </w:rPr>
        <w:t>Zones</w:t>
      </w:r>
    </w:p>
    <w:p w14:paraId="6315476B" w14:textId="77777777" w:rsidR="00127F22" w:rsidRPr="00DA5EB5" w:rsidRDefault="00127F22" w:rsidP="00127F22">
      <w:pPr>
        <w:rPr>
          <w:kern w:val="2"/>
          <w:sz w:val="20"/>
        </w:rPr>
      </w:pPr>
      <w:r w:rsidRPr="00DA5EB5">
        <w:rPr>
          <w:kern w:val="2"/>
          <w:sz w:val="20"/>
        </w:rPr>
        <w:t>The Sentencing Table is also divided into four zones.</w:t>
      </w:r>
      <w:r w:rsidRPr="00DA5EB5">
        <w:rPr>
          <w:rStyle w:val="FootnoteReference"/>
          <w:kern w:val="2"/>
          <w:sz w:val="18"/>
        </w:rPr>
        <w:footnoteReference w:id="9"/>
      </w:r>
      <w:r w:rsidRPr="00DA5EB5">
        <w:rPr>
          <w:kern w:val="2"/>
          <w:sz w:val="20"/>
        </w:rPr>
        <w:t xml:space="preserve"> Zone A (for the least serious offenses) indicates that a sentence of probation without any prison time would also be a fit sentence. Zone B indicates that the offender should serve at least a short period (no less than 30 days) in prison, while the remainder of the sentence could be served in community confinement (e.g., home detention, etc.). Zone C indicates that offenders should serve at least one half of the sentence in prison and the remainder could be served in community confinement. Zone D indicates that the minimum number of months set out in the specific recommended sentencing range (each range has a minimum and a maximum) should be served in prison. </w:t>
      </w:r>
    </w:p>
    <w:p w14:paraId="3D359D89" w14:textId="0D335E55" w:rsidR="00127F22" w:rsidRPr="00DA5EB5" w:rsidRDefault="00127F22" w:rsidP="00127F22">
      <w:pPr>
        <w:pStyle w:val="Caption"/>
        <w:keepNext/>
        <w:spacing w:after="120"/>
        <w:jc w:val="left"/>
        <w:rPr>
          <w:i w:val="0"/>
          <w:color w:val="auto"/>
          <w:kern w:val="2"/>
          <w:sz w:val="20"/>
        </w:rPr>
      </w:pPr>
      <w:r w:rsidRPr="00DA5EB5">
        <w:rPr>
          <w:b/>
          <w:i w:val="0"/>
          <w:color w:val="auto"/>
          <w:kern w:val="2"/>
          <w:sz w:val="20"/>
        </w:rPr>
        <w:t>Table 7.1</w:t>
      </w:r>
      <w:r w:rsidR="00F953A4" w:rsidRPr="00DA5EB5">
        <w:rPr>
          <w:i w:val="0"/>
          <w:color w:val="auto"/>
          <w:kern w:val="2"/>
          <w:sz w:val="20"/>
        </w:rPr>
        <w:t xml:space="preserve"> </w:t>
      </w:r>
      <w:r w:rsidRPr="00DA5EB5">
        <w:rPr>
          <w:i w:val="0"/>
          <w:color w:val="auto"/>
          <w:kern w:val="2"/>
          <w:sz w:val="20"/>
        </w:rPr>
        <w:t>US Sentencing Table for Imprisonment</w:t>
      </w:r>
      <w:r w:rsidR="003540F8" w:rsidRPr="00DA5EB5">
        <w:rPr>
          <w:rStyle w:val="FootnoteReference"/>
          <w:i w:val="0"/>
          <w:color w:val="auto"/>
          <w:kern w:val="2"/>
        </w:rPr>
        <w:footnoteReference w:id="10"/>
      </w:r>
    </w:p>
    <w:p w14:paraId="43A14961" w14:textId="500C4EF9" w:rsidR="0061282C" w:rsidRPr="00DA5EB5" w:rsidRDefault="005D4B36" w:rsidP="003540F8">
      <w:pPr>
        <w:spacing w:before="0" w:after="0"/>
        <w:rPr>
          <w:kern w:val="2"/>
        </w:rPr>
      </w:pPr>
      <w:r w:rsidRPr="00DA5EB5">
        <w:rPr>
          <w:noProof/>
          <w:kern w:val="2"/>
          <w:lang w:eastAsia="en-CA"/>
        </w:rPr>
        <w:drawing>
          <wp:inline distT="0" distB="0" distL="0" distR="0" wp14:anchorId="42EF7507" wp14:editId="0E0913F4">
            <wp:extent cx="4903075" cy="6357024"/>
            <wp:effectExtent l="19050" t="19050" r="12065" b="2476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ntencing_Table.pdf"/>
                    <pic:cNvPicPr/>
                  </pic:nvPicPr>
                  <pic:blipFill rotWithShape="1">
                    <a:blip r:embed="rId8">
                      <a:extLst>
                        <a:ext uri="{28A0092B-C50C-407E-A947-70E740481C1C}">
                          <a14:useLocalDpi xmlns:a14="http://schemas.microsoft.com/office/drawing/2010/main" val="0"/>
                        </a:ext>
                      </a:extLst>
                    </a:blip>
                    <a:srcRect l="4031" r="3263" b="6194"/>
                    <a:stretch/>
                  </pic:blipFill>
                  <pic:spPr bwMode="auto">
                    <a:xfrm>
                      <a:off x="0" y="0"/>
                      <a:ext cx="5039704" cy="6534168"/>
                    </a:xfrm>
                    <a:prstGeom prst="rect">
                      <a:avLst/>
                    </a:prstGeom>
                    <a:ln w="1270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sidR="0061282C" w:rsidRPr="00DA5EB5">
        <w:rPr>
          <w:kern w:val="2"/>
        </w:rPr>
        <w:br w:type="page"/>
      </w:r>
    </w:p>
    <w:p w14:paraId="5CD5B721" w14:textId="2BDF8B9F" w:rsidR="0061282C" w:rsidRPr="00DA5EB5" w:rsidRDefault="0061282C" w:rsidP="007C3517">
      <w:pPr>
        <w:pStyle w:val="Heading2"/>
        <w:rPr>
          <w:kern w:val="2"/>
          <w:sz w:val="24"/>
        </w:rPr>
      </w:pPr>
      <w:r w:rsidRPr="00DA5EB5">
        <w:rPr>
          <w:kern w:val="2"/>
          <w:sz w:val="24"/>
        </w:rPr>
        <w:t xml:space="preserve">Sentencing Procedure and Guiding Principles </w:t>
      </w:r>
    </w:p>
    <w:p w14:paraId="0DDF501F" w14:textId="0E037A45" w:rsidR="0061282C" w:rsidRPr="00DA5EB5" w:rsidRDefault="0061282C" w:rsidP="007C3517">
      <w:pPr>
        <w:rPr>
          <w:kern w:val="2"/>
          <w:sz w:val="20"/>
        </w:rPr>
      </w:pPr>
      <w:r w:rsidRPr="00DA5EB5">
        <w:rPr>
          <w:kern w:val="2"/>
          <w:sz w:val="20"/>
        </w:rPr>
        <w:t>The sentencing of a criminal offender has been described as a three-step process. As explained by US District Judge John Adams:</w:t>
      </w:r>
    </w:p>
    <w:p w14:paraId="4B1174A7" w14:textId="1C454B81" w:rsidR="0061282C" w:rsidRPr="00DA5EB5" w:rsidRDefault="0061282C" w:rsidP="002E487C">
      <w:pPr>
        <w:pStyle w:val="BlockQuote"/>
        <w:rPr>
          <w:kern w:val="2"/>
          <w:sz w:val="20"/>
        </w:rPr>
      </w:pPr>
      <w:r w:rsidRPr="00DA5EB5">
        <w:rPr>
          <w:kern w:val="2"/>
          <w:sz w:val="20"/>
        </w:rPr>
        <w:t xml:space="preserve">Criminal sentencing is often described as a three-step process. A district court must begin the process by calculating the advisory guideline range suggested by the United States Sentencing Commission. </w:t>
      </w:r>
      <w:r w:rsidRPr="00DA5EB5">
        <w:rPr>
          <w:i/>
          <w:kern w:val="2"/>
          <w:sz w:val="20"/>
        </w:rPr>
        <w:t>Rita v. United States</w:t>
      </w:r>
      <w:r w:rsidRPr="00DA5EB5">
        <w:rPr>
          <w:kern w:val="2"/>
          <w:sz w:val="20"/>
        </w:rPr>
        <w:t>, 551 U.S. 338, 351, 127 S. Ct. 2456, 168 L. Ed. 2d 203 (2007) (</w:t>
      </w:r>
      <w:r w:rsidR="00FD6DAC" w:rsidRPr="00DA5EB5">
        <w:rPr>
          <w:kern w:val="2"/>
          <w:sz w:val="20"/>
        </w:rPr>
        <w:t>“</w:t>
      </w:r>
      <w:r w:rsidRPr="00DA5EB5">
        <w:rPr>
          <w:kern w:val="2"/>
          <w:sz w:val="20"/>
        </w:rPr>
        <w:t>The sentencing judge... will normally begin by considering the presentence report and its interpretation of the Guidelines.</w:t>
      </w:r>
      <w:r w:rsidR="00FD6DAC" w:rsidRPr="00DA5EB5">
        <w:rPr>
          <w:kern w:val="2"/>
          <w:sz w:val="20"/>
        </w:rPr>
        <w:t>”</w:t>
      </w:r>
      <w:r w:rsidRPr="00DA5EB5">
        <w:rPr>
          <w:kern w:val="2"/>
          <w:sz w:val="20"/>
        </w:rPr>
        <w:t xml:space="preserve">). In so doing, the Court must determine the offense level for the crimes for which the defendant has been convicted and the defendant's criminal history. </w:t>
      </w:r>
      <w:r w:rsidRPr="00DA5EB5">
        <w:rPr>
          <w:i/>
          <w:kern w:val="2"/>
          <w:sz w:val="20"/>
        </w:rPr>
        <w:t>See United States v. Boyd</w:t>
      </w:r>
      <w:r w:rsidRPr="00DA5EB5">
        <w:rPr>
          <w:kern w:val="2"/>
          <w:sz w:val="20"/>
        </w:rPr>
        <w:t>, No. 3:07-CR-3, 2008 WL 4963198, at *14-16 (</w:t>
      </w:r>
      <w:proofErr w:type="spellStart"/>
      <w:r w:rsidRPr="00DA5EB5">
        <w:rPr>
          <w:kern w:val="2"/>
          <w:sz w:val="20"/>
        </w:rPr>
        <w:t>E.D.Tenn</w:t>
      </w:r>
      <w:proofErr w:type="spellEnd"/>
      <w:r w:rsidRPr="00DA5EB5">
        <w:rPr>
          <w:kern w:val="2"/>
          <w:sz w:val="20"/>
        </w:rPr>
        <w:t>. Nov. 18, 2008).</w:t>
      </w:r>
    </w:p>
    <w:p w14:paraId="749216E2" w14:textId="77777777" w:rsidR="0061282C" w:rsidRPr="00DA5EB5" w:rsidRDefault="0061282C" w:rsidP="007C3517">
      <w:pPr>
        <w:pStyle w:val="BlockQuote"/>
        <w:rPr>
          <w:kern w:val="2"/>
          <w:sz w:val="20"/>
        </w:rPr>
      </w:pPr>
      <w:r w:rsidRPr="00DA5EB5">
        <w:rPr>
          <w:kern w:val="2"/>
          <w:sz w:val="20"/>
        </w:rPr>
        <w:t xml:space="preserve">Next, the Court must determine whether a variance or departure from the advisory guideline range would be appropriate. </w:t>
      </w:r>
      <w:r w:rsidRPr="00DA5EB5">
        <w:rPr>
          <w:i/>
          <w:kern w:val="2"/>
          <w:sz w:val="20"/>
        </w:rPr>
        <w:t xml:space="preserve">United States v. </w:t>
      </w:r>
      <w:proofErr w:type="spellStart"/>
      <w:r w:rsidRPr="00DA5EB5">
        <w:rPr>
          <w:i/>
          <w:kern w:val="2"/>
          <w:sz w:val="20"/>
        </w:rPr>
        <w:t>Collington</w:t>
      </w:r>
      <w:proofErr w:type="spellEnd"/>
      <w:r w:rsidRPr="00DA5EB5">
        <w:rPr>
          <w:kern w:val="2"/>
          <w:sz w:val="20"/>
        </w:rPr>
        <w:t xml:space="preserve">, 461 F.3d 805, 807 (6th Cir. 2006). </w:t>
      </w:r>
    </w:p>
    <w:p w14:paraId="2384BF89" w14:textId="46A7C2F6" w:rsidR="0061282C" w:rsidRPr="00DA5EB5" w:rsidRDefault="0061282C" w:rsidP="007C3517">
      <w:pPr>
        <w:pStyle w:val="BlockQuote"/>
        <w:rPr>
          <w:kern w:val="2"/>
          <w:sz w:val="20"/>
        </w:rPr>
      </w:pPr>
      <w:r w:rsidRPr="00DA5EB5">
        <w:rPr>
          <w:kern w:val="2"/>
          <w:sz w:val="20"/>
        </w:rPr>
        <w:t>Finally, a sentencing court must independently evaluate each of the factors in 18 U.S.C. § 3553(a), which details the considerations that a district court must weigh before sentencing a criminal defendant. Although the Guidelines form a starting point in the district court's analysis under 18 U.S.C. § 3553(a), a district court may not presume that the sentence suggested by the Guidelines is appropriate for an individual criminal defendant. A district court may hear arguments by prosecution or defense that the Guidelines sentence should not apply. In this way, a sentencing court subjects the defendant's sentence to the thorough adversarial testing contemplated by federal sentencing.</w:t>
      </w:r>
      <w:r w:rsidR="002E011D" w:rsidRPr="00DA5EB5">
        <w:rPr>
          <w:rStyle w:val="FootnoteReference"/>
          <w:kern w:val="2"/>
          <w:szCs w:val="21"/>
        </w:rPr>
        <w:footnoteReference w:id="11"/>
      </w:r>
    </w:p>
    <w:p w14:paraId="36B49FBF" w14:textId="36766B14" w:rsidR="0061282C" w:rsidRPr="00DA5EB5" w:rsidRDefault="00C30F8E" w:rsidP="004C22FB">
      <w:pPr>
        <w:rPr>
          <w:kern w:val="2"/>
          <w:sz w:val="20"/>
        </w:rPr>
      </w:pPr>
      <w:r w:rsidRPr="00DA5EB5">
        <w:rPr>
          <w:kern w:val="2"/>
          <w:sz w:val="20"/>
        </w:rPr>
        <w:t xml:space="preserve">Under </w:t>
      </w:r>
      <w:r w:rsidRPr="00DA5EB5">
        <w:rPr>
          <w:kern w:val="2"/>
          <w:sz w:val="20"/>
          <w:szCs w:val="18"/>
          <w:lang w:val="en"/>
        </w:rPr>
        <w:t>§</w:t>
      </w:r>
      <w:r w:rsidRPr="00DA5EB5">
        <w:rPr>
          <w:kern w:val="2"/>
          <w:sz w:val="16"/>
          <w:szCs w:val="18"/>
          <w:lang w:val="en"/>
        </w:rPr>
        <w:t xml:space="preserve"> </w:t>
      </w:r>
      <w:r w:rsidR="0061282C" w:rsidRPr="00DA5EB5">
        <w:rPr>
          <w:kern w:val="2"/>
          <w:sz w:val="20"/>
        </w:rPr>
        <w:t xml:space="preserve">3553 of </w:t>
      </w:r>
      <w:r w:rsidRPr="00DA5EB5">
        <w:rPr>
          <w:kern w:val="2"/>
          <w:sz w:val="20"/>
        </w:rPr>
        <w:t xml:space="preserve">Title 18 of </w:t>
      </w:r>
      <w:r w:rsidR="0061282C" w:rsidRPr="00DA5EB5">
        <w:rPr>
          <w:kern w:val="2"/>
          <w:sz w:val="20"/>
        </w:rPr>
        <w:t>the US Code</w:t>
      </w:r>
      <w:r w:rsidRPr="00DA5EB5">
        <w:rPr>
          <w:kern w:val="2"/>
          <w:sz w:val="20"/>
        </w:rPr>
        <w:t>,</w:t>
      </w:r>
      <w:r w:rsidR="0061282C" w:rsidRPr="00DA5EB5">
        <w:rPr>
          <w:kern w:val="2"/>
          <w:sz w:val="20"/>
        </w:rPr>
        <w:t xml:space="preserve"> the factors to be considered in imposing a sentence are:</w:t>
      </w:r>
    </w:p>
    <w:p w14:paraId="4A6125F9" w14:textId="77777777" w:rsidR="0061282C" w:rsidRPr="00DA5EB5" w:rsidRDefault="0061282C" w:rsidP="00B216CE">
      <w:pPr>
        <w:pStyle w:val="BlockQuote"/>
        <w:rPr>
          <w:kern w:val="2"/>
          <w:sz w:val="20"/>
          <w:lang w:val="en"/>
        </w:rPr>
      </w:pPr>
      <w:r w:rsidRPr="00DA5EB5">
        <w:rPr>
          <w:rStyle w:val="ptext-18"/>
          <w:kern w:val="2"/>
          <w:sz w:val="20"/>
          <w:szCs w:val="21"/>
          <w:lang w:val="en"/>
        </w:rPr>
        <w:t xml:space="preserve">The court shall impose a sentence sufficient, but not greater than necessary, to comply with the purposes set forth in paragraph (2) of this subsection. The court, in determining the particular sentence to be imposed, shall consider— </w:t>
      </w:r>
    </w:p>
    <w:p w14:paraId="0BFA9528" w14:textId="0BBA1802" w:rsidR="0061282C" w:rsidRPr="00DA5EB5" w:rsidRDefault="0061282C" w:rsidP="006003D1">
      <w:pPr>
        <w:pStyle w:val="BlockQuote"/>
        <w:numPr>
          <w:ilvl w:val="0"/>
          <w:numId w:val="51"/>
        </w:numPr>
        <w:spacing w:before="60" w:after="0"/>
        <w:jc w:val="left"/>
        <w:rPr>
          <w:kern w:val="2"/>
          <w:sz w:val="20"/>
          <w:lang w:val="en"/>
        </w:rPr>
      </w:pPr>
      <w:bookmarkStart w:id="12" w:name="a_1"/>
      <w:bookmarkEnd w:id="12"/>
      <w:r w:rsidRPr="00DA5EB5">
        <w:rPr>
          <w:rStyle w:val="ptext-18"/>
          <w:kern w:val="2"/>
          <w:sz w:val="20"/>
          <w:szCs w:val="21"/>
          <w:lang w:val="en"/>
        </w:rPr>
        <w:t xml:space="preserve">the nature and circumstances of the offense and the history and characteristics of the defendant; </w:t>
      </w:r>
    </w:p>
    <w:p w14:paraId="2738CEE3" w14:textId="23831E42" w:rsidR="0061282C" w:rsidRPr="00DA5EB5" w:rsidRDefault="0061282C" w:rsidP="004C22FB">
      <w:pPr>
        <w:pStyle w:val="BlockQuote"/>
        <w:keepNext/>
        <w:numPr>
          <w:ilvl w:val="0"/>
          <w:numId w:val="51"/>
        </w:numPr>
        <w:spacing w:before="60" w:after="0"/>
        <w:ind w:left="1797" w:hanging="357"/>
        <w:jc w:val="left"/>
        <w:rPr>
          <w:kern w:val="2"/>
          <w:sz w:val="20"/>
          <w:lang w:val="en"/>
        </w:rPr>
      </w:pPr>
      <w:bookmarkStart w:id="13" w:name="a_2"/>
      <w:bookmarkEnd w:id="13"/>
      <w:r w:rsidRPr="00DA5EB5">
        <w:rPr>
          <w:rStyle w:val="ptext-18"/>
          <w:kern w:val="2"/>
          <w:sz w:val="20"/>
          <w:szCs w:val="21"/>
          <w:lang w:val="en"/>
        </w:rPr>
        <w:t xml:space="preserve">the need for the sentence imposed— </w:t>
      </w:r>
    </w:p>
    <w:p w14:paraId="4965AC83" w14:textId="3A481B0C" w:rsidR="0061282C" w:rsidRPr="00DA5EB5" w:rsidRDefault="0061282C" w:rsidP="006003D1">
      <w:pPr>
        <w:pStyle w:val="BlockQuote"/>
        <w:numPr>
          <w:ilvl w:val="2"/>
          <w:numId w:val="52"/>
        </w:numPr>
        <w:spacing w:before="60" w:after="0"/>
        <w:ind w:left="2534" w:hanging="720"/>
        <w:jc w:val="left"/>
        <w:rPr>
          <w:kern w:val="2"/>
          <w:sz w:val="20"/>
          <w:lang w:val="en"/>
        </w:rPr>
      </w:pPr>
      <w:bookmarkStart w:id="14" w:name="a_2_A"/>
      <w:bookmarkEnd w:id="14"/>
      <w:r w:rsidRPr="00DA5EB5">
        <w:rPr>
          <w:rStyle w:val="ptext-18"/>
          <w:kern w:val="2"/>
          <w:sz w:val="20"/>
          <w:szCs w:val="21"/>
          <w:lang w:val="en"/>
        </w:rPr>
        <w:t xml:space="preserve">to reflect the seriousness of the offense, to promote respect for the law, and to provide just punishment for the offense; </w:t>
      </w:r>
    </w:p>
    <w:p w14:paraId="5C97F375" w14:textId="7D31533F" w:rsidR="0061282C" w:rsidRPr="00DA5EB5" w:rsidRDefault="0061282C" w:rsidP="006003D1">
      <w:pPr>
        <w:pStyle w:val="BlockQuote"/>
        <w:numPr>
          <w:ilvl w:val="2"/>
          <w:numId w:val="52"/>
        </w:numPr>
        <w:spacing w:before="60" w:after="0"/>
        <w:ind w:left="2534" w:hanging="720"/>
        <w:jc w:val="left"/>
        <w:rPr>
          <w:kern w:val="2"/>
          <w:sz w:val="20"/>
          <w:lang w:val="en"/>
        </w:rPr>
      </w:pPr>
      <w:bookmarkStart w:id="15" w:name="a_2_B"/>
      <w:bookmarkEnd w:id="15"/>
      <w:r w:rsidRPr="00DA5EB5">
        <w:rPr>
          <w:rStyle w:val="ptext-18"/>
          <w:kern w:val="2"/>
          <w:sz w:val="20"/>
          <w:szCs w:val="21"/>
          <w:lang w:val="en"/>
        </w:rPr>
        <w:t xml:space="preserve">to afford adequate deterrence to criminal conduct; </w:t>
      </w:r>
    </w:p>
    <w:p w14:paraId="4C63AF7D" w14:textId="25C627E7" w:rsidR="0061282C" w:rsidRPr="00DA5EB5" w:rsidRDefault="0061282C" w:rsidP="006003D1">
      <w:pPr>
        <w:pStyle w:val="BlockQuote"/>
        <w:numPr>
          <w:ilvl w:val="2"/>
          <w:numId w:val="52"/>
        </w:numPr>
        <w:spacing w:before="60" w:after="0"/>
        <w:ind w:left="2534" w:hanging="720"/>
        <w:jc w:val="left"/>
        <w:rPr>
          <w:kern w:val="2"/>
          <w:sz w:val="20"/>
          <w:lang w:val="en"/>
        </w:rPr>
      </w:pPr>
      <w:bookmarkStart w:id="16" w:name="a_2_C"/>
      <w:bookmarkEnd w:id="16"/>
      <w:r w:rsidRPr="00DA5EB5">
        <w:rPr>
          <w:rStyle w:val="ptext-18"/>
          <w:kern w:val="2"/>
          <w:sz w:val="20"/>
          <w:szCs w:val="21"/>
          <w:lang w:val="en"/>
        </w:rPr>
        <w:t xml:space="preserve">to protect the public from further crimes of the defendant; and </w:t>
      </w:r>
    </w:p>
    <w:p w14:paraId="27501C0A" w14:textId="59459A9D" w:rsidR="0061282C" w:rsidRPr="00DA5EB5" w:rsidRDefault="0061282C" w:rsidP="006003D1">
      <w:pPr>
        <w:pStyle w:val="BlockQuote"/>
        <w:numPr>
          <w:ilvl w:val="2"/>
          <w:numId w:val="52"/>
        </w:numPr>
        <w:spacing w:before="60" w:after="0"/>
        <w:ind w:left="2534" w:hanging="720"/>
        <w:jc w:val="left"/>
        <w:rPr>
          <w:kern w:val="2"/>
          <w:sz w:val="20"/>
          <w:lang w:val="en"/>
        </w:rPr>
      </w:pPr>
      <w:bookmarkStart w:id="17" w:name="a_2_D"/>
      <w:bookmarkEnd w:id="17"/>
      <w:r w:rsidRPr="00DA5EB5">
        <w:rPr>
          <w:rStyle w:val="ptext-18"/>
          <w:kern w:val="2"/>
          <w:sz w:val="20"/>
          <w:szCs w:val="21"/>
          <w:lang w:val="en"/>
        </w:rPr>
        <w:t xml:space="preserve">to provide the defendant with needed educational or vocational training, medical care, or other correctional treatment in the most effective manner; </w:t>
      </w:r>
    </w:p>
    <w:p w14:paraId="47506600" w14:textId="17C25BA0" w:rsidR="0061282C" w:rsidRPr="00DA5EB5" w:rsidRDefault="0061282C" w:rsidP="006003D1">
      <w:pPr>
        <w:pStyle w:val="BlockQuote"/>
        <w:numPr>
          <w:ilvl w:val="0"/>
          <w:numId w:val="51"/>
        </w:numPr>
        <w:spacing w:before="60" w:after="0"/>
        <w:jc w:val="left"/>
        <w:rPr>
          <w:kern w:val="2"/>
          <w:sz w:val="20"/>
          <w:lang w:val="en"/>
        </w:rPr>
      </w:pPr>
      <w:bookmarkStart w:id="18" w:name="a_3"/>
      <w:bookmarkEnd w:id="18"/>
      <w:r w:rsidRPr="00DA5EB5">
        <w:rPr>
          <w:rStyle w:val="ptext-18"/>
          <w:kern w:val="2"/>
          <w:sz w:val="20"/>
          <w:szCs w:val="21"/>
          <w:lang w:val="en"/>
        </w:rPr>
        <w:t xml:space="preserve">the kinds of sentences available; </w:t>
      </w:r>
    </w:p>
    <w:p w14:paraId="7265FAF1" w14:textId="32027ED6" w:rsidR="0061282C" w:rsidRPr="00DA5EB5" w:rsidRDefault="0061282C" w:rsidP="006003D1">
      <w:pPr>
        <w:pStyle w:val="BlockQuote"/>
        <w:numPr>
          <w:ilvl w:val="0"/>
          <w:numId w:val="51"/>
        </w:numPr>
        <w:spacing w:before="60" w:after="0"/>
        <w:jc w:val="left"/>
        <w:rPr>
          <w:kern w:val="2"/>
          <w:sz w:val="20"/>
          <w:lang w:val="en"/>
        </w:rPr>
      </w:pPr>
      <w:bookmarkStart w:id="19" w:name="a_4"/>
      <w:bookmarkEnd w:id="19"/>
      <w:r w:rsidRPr="00DA5EB5">
        <w:rPr>
          <w:rStyle w:val="ptext-18"/>
          <w:kern w:val="2"/>
          <w:sz w:val="20"/>
          <w:szCs w:val="21"/>
          <w:lang w:val="en"/>
        </w:rPr>
        <w:t xml:space="preserve">the kinds of sentence and the sentencing range established for— </w:t>
      </w:r>
    </w:p>
    <w:p w14:paraId="688DC9E0" w14:textId="0927240F" w:rsidR="0061282C" w:rsidRPr="00DA5EB5" w:rsidRDefault="0061282C" w:rsidP="006003D1">
      <w:pPr>
        <w:pStyle w:val="BlockQuote"/>
        <w:numPr>
          <w:ilvl w:val="1"/>
          <w:numId w:val="51"/>
        </w:numPr>
        <w:spacing w:before="60" w:after="0"/>
        <w:ind w:left="2534" w:hanging="720"/>
        <w:jc w:val="left"/>
        <w:rPr>
          <w:kern w:val="2"/>
          <w:sz w:val="20"/>
          <w:szCs w:val="21"/>
          <w:lang w:val="en"/>
        </w:rPr>
      </w:pPr>
      <w:bookmarkStart w:id="20" w:name="a_4_A"/>
      <w:bookmarkEnd w:id="20"/>
      <w:r w:rsidRPr="00DA5EB5">
        <w:rPr>
          <w:rStyle w:val="ptext-18"/>
          <w:kern w:val="2"/>
          <w:sz w:val="20"/>
          <w:szCs w:val="21"/>
          <w:lang w:val="en"/>
        </w:rPr>
        <w:t>the applicable category of offense committed by the applicable category of defendant as set forth in the guidelines</w:t>
      </w:r>
      <w:bookmarkStart w:id="21" w:name="a_4_A_i"/>
      <w:bookmarkEnd w:id="21"/>
      <w:r w:rsidRPr="00DA5EB5">
        <w:rPr>
          <w:kern w:val="2"/>
          <w:sz w:val="20"/>
          <w:lang w:val="en"/>
        </w:rPr>
        <w:t xml:space="preserve"> [</w:t>
      </w:r>
      <w:r w:rsidRPr="00DA5EB5">
        <w:rPr>
          <w:rStyle w:val="ptext-18"/>
          <w:kern w:val="2"/>
          <w:sz w:val="20"/>
          <w:szCs w:val="21"/>
          <w:lang w:val="en"/>
        </w:rPr>
        <w:t xml:space="preserve">issued by the Sentencing Commission] </w:t>
      </w:r>
      <w:r w:rsidRPr="00DA5EB5">
        <w:rPr>
          <w:kern w:val="2"/>
          <w:sz w:val="20"/>
          <w:lang w:val="en"/>
        </w:rPr>
        <w:t>…</w:t>
      </w:r>
    </w:p>
    <w:p w14:paraId="1CAB0736" w14:textId="4A09498E" w:rsidR="0061282C" w:rsidRPr="00DA5EB5" w:rsidRDefault="0061282C" w:rsidP="006003D1">
      <w:pPr>
        <w:pStyle w:val="BlockQuote"/>
        <w:numPr>
          <w:ilvl w:val="0"/>
          <w:numId w:val="51"/>
        </w:numPr>
        <w:spacing w:before="60" w:after="0"/>
        <w:jc w:val="left"/>
        <w:rPr>
          <w:kern w:val="2"/>
          <w:sz w:val="20"/>
          <w:lang w:val="en"/>
        </w:rPr>
      </w:pPr>
      <w:bookmarkStart w:id="22" w:name="a_5"/>
      <w:bookmarkEnd w:id="22"/>
      <w:r w:rsidRPr="00DA5EB5">
        <w:rPr>
          <w:rStyle w:val="ptext-18"/>
          <w:kern w:val="2"/>
          <w:sz w:val="20"/>
          <w:szCs w:val="21"/>
          <w:lang w:val="en"/>
        </w:rPr>
        <w:t xml:space="preserve">any pertinent policy statement </w:t>
      </w:r>
      <w:r w:rsidRPr="00DA5EB5">
        <w:rPr>
          <w:kern w:val="2"/>
          <w:sz w:val="20"/>
          <w:lang w:val="en"/>
        </w:rPr>
        <w:t>[</w:t>
      </w:r>
      <w:r w:rsidRPr="00DA5EB5">
        <w:rPr>
          <w:rStyle w:val="ptext-18"/>
          <w:kern w:val="2"/>
          <w:sz w:val="20"/>
          <w:szCs w:val="21"/>
          <w:lang w:val="en"/>
        </w:rPr>
        <w:t>issue</w:t>
      </w:r>
      <w:r w:rsidR="00AE7C0B" w:rsidRPr="00DA5EB5">
        <w:rPr>
          <w:rStyle w:val="ptext-18"/>
          <w:kern w:val="2"/>
          <w:sz w:val="20"/>
          <w:szCs w:val="21"/>
          <w:lang w:val="en"/>
        </w:rPr>
        <w:t>d by the Sentencing Commission]</w:t>
      </w:r>
      <w:r w:rsidRPr="00DA5EB5">
        <w:rPr>
          <w:rStyle w:val="ptext-18"/>
          <w:kern w:val="2"/>
          <w:sz w:val="20"/>
          <w:szCs w:val="21"/>
          <w:lang w:val="en"/>
        </w:rPr>
        <w:t xml:space="preserve">— </w:t>
      </w:r>
      <w:bookmarkStart w:id="23" w:name="a_5_A"/>
      <w:bookmarkEnd w:id="23"/>
      <w:r w:rsidRPr="00DA5EB5">
        <w:rPr>
          <w:rStyle w:val="enumbell1"/>
          <w:b w:val="0"/>
          <w:kern w:val="2"/>
          <w:sz w:val="20"/>
          <w:szCs w:val="21"/>
          <w:lang w:val="en"/>
        </w:rPr>
        <w:t>…</w:t>
      </w:r>
    </w:p>
    <w:p w14:paraId="68407064" w14:textId="05C0A110" w:rsidR="0061282C" w:rsidRPr="00DA5EB5" w:rsidRDefault="0061282C" w:rsidP="006003D1">
      <w:pPr>
        <w:pStyle w:val="BlockQuote"/>
        <w:numPr>
          <w:ilvl w:val="0"/>
          <w:numId w:val="51"/>
        </w:numPr>
        <w:spacing w:before="60" w:after="0"/>
        <w:jc w:val="left"/>
        <w:rPr>
          <w:kern w:val="2"/>
          <w:sz w:val="20"/>
          <w:lang w:val="en"/>
        </w:rPr>
      </w:pPr>
      <w:bookmarkStart w:id="24" w:name="a_6"/>
      <w:bookmarkEnd w:id="24"/>
      <w:r w:rsidRPr="00DA5EB5">
        <w:rPr>
          <w:rStyle w:val="ptext-18"/>
          <w:kern w:val="2"/>
          <w:sz w:val="20"/>
          <w:szCs w:val="21"/>
          <w:lang w:val="en"/>
        </w:rPr>
        <w:t xml:space="preserve">the need to avoid unwarranted sentence disparities among defendants with similar records who have been found guilty of similar conduct; and </w:t>
      </w:r>
    </w:p>
    <w:p w14:paraId="26CB8661" w14:textId="1F5FDEBC" w:rsidR="00D21832" w:rsidRPr="00DA5EB5" w:rsidRDefault="0061282C" w:rsidP="006003D1">
      <w:pPr>
        <w:pStyle w:val="BlockQuote"/>
        <w:numPr>
          <w:ilvl w:val="0"/>
          <w:numId w:val="51"/>
        </w:numPr>
        <w:spacing w:before="60" w:after="0"/>
        <w:jc w:val="left"/>
        <w:rPr>
          <w:kern w:val="2"/>
          <w:sz w:val="20"/>
          <w:szCs w:val="21"/>
          <w:lang w:val="en"/>
        </w:rPr>
      </w:pPr>
      <w:bookmarkStart w:id="25" w:name="a_7"/>
      <w:bookmarkEnd w:id="25"/>
      <w:proofErr w:type="gramStart"/>
      <w:r w:rsidRPr="00DA5EB5">
        <w:rPr>
          <w:rStyle w:val="ptext-18"/>
          <w:kern w:val="2"/>
          <w:sz w:val="20"/>
          <w:szCs w:val="21"/>
          <w:lang w:val="en"/>
        </w:rPr>
        <w:t>the</w:t>
      </w:r>
      <w:proofErr w:type="gramEnd"/>
      <w:r w:rsidRPr="00DA5EB5">
        <w:rPr>
          <w:rStyle w:val="ptext-18"/>
          <w:kern w:val="2"/>
          <w:sz w:val="20"/>
          <w:szCs w:val="21"/>
          <w:lang w:val="en"/>
        </w:rPr>
        <w:t xml:space="preserve"> need to provide restitution to any victims of the offense.</w:t>
      </w:r>
      <w:r w:rsidR="002C5031" w:rsidRPr="00DA5EB5">
        <w:rPr>
          <w:rStyle w:val="FootnoteReference"/>
          <w:kern w:val="2"/>
          <w:lang w:val="en"/>
        </w:rPr>
        <w:footnoteReference w:id="12"/>
      </w:r>
      <w:r w:rsidRPr="00DA5EB5">
        <w:rPr>
          <w:rStyle w:val="ptext-18"/>
          <w:kern w:val="2"/>
          <w:sz w:val="20"/>
          <w:szCs w:val="21"/>
          <w:lang w:val="en"/>
        </w:rPr>
        <w:t xml:space="preserve"> </w:t>
      </w:r>
    </w:p>
    <w:p w14:paraId="165B0D58" w14:textId="5EA4FCFC" w:rsidR="0061282C" w:rsidRPr="00DA5EB5" w:rsidRDefault="0061282C" w:rsidP="007C3517">
      <w:pPr>
        <w:pStyle w:val="Heading2"/>
        <w:rPr>
          <w:kern w:val="2"/>
          <w:sz w:val="24"/>
        </w:rPr>
      </w:pPr>
      <w:r w:rsidRPr="00DA5EB5">
        <w:rPr>
          <w:kern w:val="2"/>
          <w:sz w:val="24"/>
        </w:rPr>
        <w:t>Specific Corruption Related Guidelines</w:t>
      </w:r>
    </w:p>
    <w:p w14:paraId="3E1BA13E" w14:textId="0EE77FFA" w:rsidR="0061282C" w:rsidRPr="00DA5EB5" w:rsidRDefault="0061282C" w:rsidP="007C3517">
      <w:pPr>
        <w:rPr>
          <w:kern w:val="2"/>
          <w:sz w:val="20"/>
        </w:rPr>
      </w:pPr>
      <w:r w:rsidRPr="00DA5EB5">
        <w:rPr>
          <w:rStyle w:val="Strong"/>
          <w:b w:val="0"/>
          <w:color w:val="000000"/>
          <w:kern w:val="2"/>
          <w:sz w:val="20"/>
          <w:lang w:val="en"/>
        </w:rPr>
        <w:t xml:space="preserve">Chapter </w:t>
      </w:r>
      <w:r w:rsidR="00A54480" w:rsidRPr="00DA5EB5">
        <w:rPr>
          <w:rStyle w:val="Strong"/>
          <w:b w:val="0"/>
          <w:color w:val="000000"/>
          <w:kern w:val="2"/>
          <w:sz w:val="20"/>
          <w:lang w:val="en"/>
        </w:rPr>
        <w:t>2</w:t>
      </w:r>
      <w:r w:rsidRPr="00DA5EB5">
        <w:rPr>
          <w:rStyle w:val="Strong"/>
          <w:b w:val="0"/>
          <w:color w:val="000000"/>
          <w:kern w:val="2"/>
          <w:sz w:val="20"/>
          <w:lang w:val="en"/>
        </w:rPr>
        <w:t xml:space="preserve"> of the </w:t>
      </w:r>
      <w:r w:rsidRPr="00DA5EB5">
        <w:rPr>
          <w:rStyle w:val="Strong"/>
          <w:b w:val="0"/>
          <w:i/>
          <w:color w:val="000000"/>
          <w:kern w:val="2"/>
          <w:sz w:val="20"/>
          <w:lang w:val="en"/>
        </w:rPr>
        <w:t>Guidelines</w:t>
      </w:r>
      <w:r w:rsidRPr="00DA5EB5">
        <w:rPr>
          <w:rStyle w:val="Strong"/>
          <w:b w:val="0"/>
          <w:color w:val="000000"/>
          <w:kern w:val="2"/>
          <w:sz w:val="20"/>
          <w:lang w:val="en"/>
        </w:rPr>
        <w:t xml:space="preserve"> contains </w:t>
      </w:r>
      <w:r w:rsidR="00E073AE" w:rsidRPr="00DA5EB5">
        <w:rPr>
          <w:rStyle w:val="Strong"/>
          <w:b w:val="0"/>
          <w:color w:val="000000"/>
          <w:kern w:val="2"/>
          <w:sz w:val="20"/>
          <w:lang w:val="en"/>
        </w:rPr>
        <w:t>information</w:t>
      </w:r>
      <w:r w:rsidRPr="00DA5EB5">
        <w:rPr>
          <w:rStyle w:val="Strong"/>
          <w:b w:val="0"/>
          <w:color w:val="000000"/>
          <w:kern w:val="2"/>
          <w:sz w:val="20"/>
          <w:lang w:val="en"/>
        </w:rPr>
        <w:t xml:space="preserve"> for offenses which are either directly related to corruption or contain aspects of corruption if they are committed on or by a public official. </w:t>
      </w:r>
      <w:r w:rsidR="006F21D2" w:rsidRPr="00DA5EB5">
        <w:rPr>
          <w:rStyle w:val="Strong"/>
          <w:b w:val="0"/>
          <w:color w:val="000000"/>
          <w:kern w:val="2"/>
          <w:sz w:val="20"/>
          <w:lang w:val="en"/>
        </w:rPr>
        <w:t>§</w:t>
      </w:r>
      <w:r w:rsidRPr="00DA5EB5">
        <w:rPr>
          <w:rFonts w:eastAsia="Times New Roman"/>
          <w:bCs/>
          <w:color w:val="000000"/>
          <w:kern w:val="2"/>
          <w:sz w:val="20"/>
          <w:bdr w:val="none" w:sz="0" w:space="0" w:color="auto" w:frame="1"/>
          <w:lang w:val="en" w:eastAsia="en-CA"/>
        </w:rPr>
        <w:t>2C1.1</w:t>
      </w:r>
      <w:r w:rsidR="006F21D2" w:rsidRPr="00DA5EB5">
        <w:rPr>
          <w:rFonts w:eastAsia="Times New Roman"/>
          <w:bCs/>
          <w:color w:val="000000"/>
          <w:kern w:val="2"/>
          <w:sz w:val="20"/>
          <w:bdr w:val="none" w:sz="0" w:space="0" w:color="auto" w:frame="1"/>
          <w:lang w:val="en" w:eastAsia="en-CA"/>
        </w:rPr>
        <w:t xml:space="preserve"> of the </w:t>
      </w:r>
      <w:r w:rsidR="006F21D2" w:rsidRPr="00DA5EB5">
        <w:rPr>
          <w:rFonts w:eastAsia="Times New Roman"/>
          <w:bCs/>
          <w:i/>
          <w:color w:val="000000"/>
          <w:kern w:val="2"/>
          <w:sz w:val="20"/>
          <w:bdr w:val="none" w:sz="0" w:space="0" w:color="auto" w:frame="1"/>
          <w:lang w:val="en" w:eastAsia="en-CA"/>
        </w:rPr>
        <w:t>Guidelines</w:t>
      </w:r>
      <w:r w:rsidRPr="00DA5EB5">
        <w:rPr>
          <w:rFonts w:eastAsia="Times New Roman"/>
          <w:bCs/>
          <w:color w:val="000000"/>
          <w:kern w:val="2"/>
          <w:sz w:val="20"/>
          <w:bdr w:val="none" w:sz="0" w:space="0" w:color="auto" w:frame="1"/>
          <w:lang w:val="en" w:eastAsia="en-CA"/>
        </w:rPr>
        <w:t xml:space="preserve"> deals with the following offenses: Offering, Giving, Soliciting, or Receiving a Bribe; Extortion Under Color of Official Right; Fraud Involving the Deprivation of the Intangible Right to Honest Services of Public Officials; </w:t>
      </w:r>
      <w:r w:rsidR="006B283B" w:rsidRPr="00DA5EB5">
        <w:rPr>
          <w:rFonts w:eastAsia="Times New Roman"/>
          <w:bCs/>
          <w:color w:val="000000"/>
          <w:kern w:val="2"/>
          <w:sz w:val="20"/>
          <w:bdr w:val="none" w:sz="0" w:space="0" w:color="auto" w:frame="1"/>
          <w:lang w:val="en" w:eastAsia="en-CA"/>
        </w:rPr>
        <w:t xml:space="preserve">and </w:t>
      </w:r>
      <w:r w:rsidRPr="00DA5EB5">
        <w:rPr>
          <w:rFonts w:eastAsia="Times New Roman"/>
          <w:bCs/>
          <w:color w:val="000000"/>
          <w:kern w:val="2"/>
          <w:sz w:val="20"/>
          <w:bdr w:val="none" w:sz="0" w:space="0" w:color="auto" w:frame="1"/>
          <w:lang w:val="en" w:eastAsia="en-CA"/>
        </w:rPr>
        <w:t xml:space="preserve">Conspiracy to Defraud by Interference with Governmental Functions. </w:t>
      </w:r>
      <w:r w:rsidR="006F21D2" w:rsidRPr="00DA5EB5">
        <w:rPr>
          <w:rStyle w:val="Strong"/>
          <w:b w:val="0"/>
          <w:color w:val="000000"/>
          <w:kern w:val="2"/>
          <w:sz w:val="20"/>
          <w:lang w:val="en"/>
        </w:rPr>
        <w:t>§</w:t>
      </w:r>
      <w:r w:rsidR="006B283B" w:rsidRPr="00DA5EB5">
        <w:rPr>
          <w:rFonts w:eastAsia="Times New Roman"/>
          <w:bCs/>
          <w:color w:val="000000"/>
          <w:kern w:val="2"/>
          <w:sz w:val="20"/>
          <w:bdr w:val="none" w:sz="0" w:space="0" w:color="auto" w:frame="1"/>
          <w:lang w:val="en" w:eastAsia="en-CA"/>
        </w:rPr>
        <w:t>2C1.1</w:t>
      </w:r>
      <w:r w:rsidRPr="00DA5EB5">
        <w:rPr>
          <w:rFonts w:eastAsia="Times New Roman"/>
          <w:bCs/>
          <w:color w:val="000000"/>
          <w:kern w:val="2"/>
          <w:sz w:val="20"/>
          <w:bdr w:val="none" w:sz="0" w:space="0" w:color="auto" w:frame="1"/>
          <w:lang w:val="en" w:eastAsia="en-CA"/>
        </w:rPr>
        <w:t xml:space="preserve"> is one of the most commonly applied guidelines for corruption of a public official. As noted, t</w:t>
      </w:r>
      <w:r w:rsidRPr="00DA5EB5">
        <w:rPr>
          <w:kern w:val="2"/>
          <w:sz w:val="20"/>
        </w:rPr>
        <w:t>he base level for this offense is 14 if the defendant is a public official, which in the Sentencing Table</w:t>
      </w:r>
      <w:r w:rsidR="00E073AE" w:rsidRPr="00DA5EB5">
        <w:rPr>
          <w:kern w:val="2"/>
          <w:sz w:val="20"/>
        </w:rPr>
        <w:t xml:space="preserve"> (see Table 7.1)</w:t>
      </w:r>
      <w:r w:rsidRPr="00DA5EB5">
        <w:rPr>
          <w:kern w:val="2"/>
          <w:sz w:val="20"/>
        </w:rPr>
        <w:t xml:space="preserve"> corresponds to a guideline range of 15-21 months.</w:t>
      </w:r>
      <w:r w:rsidR="00E87776" w:rsidRPr="00DA5EB5">
        <w:rPr>
          <w:kern w:val="2"/>
          <w:sz w:val="20"/>
        </w:rPr>
        <w:t xml:space="preserve"> </w:t>
      </w:r>
    </w:p>
    <w:p w14:paraId="45058ACF" w14:textId="4BA045DD" w:rsidR="0061282C" w:rsidRPr="00DA5EB5" w:rsidRDefault="0061282C" w:rsidP="007C3517">
      <w:pPr>
        <w:pStyle w:val="Heading3"/>
        <w:rPr>
          <w:kern w:val="2"/>
          <w:sz w:val="22"/>
        </w:rPr>
      </w:pPr>
      <w:r w:rsidRPr="00DA5EB5">
        <w:rPr>
          <w:kern w:val="2"/>
          <w:sz w:val="22"/>
        </w:rPr>
        <w:t>Seriousness of Offense</w:t>
      </w:r>
    </w:p>
    <w:p w14:paraId="00AB0563" w14:textId="4095732D" w:rsidR="0061282C" w:rsidRPr="00DA5EB5" w:rsidRDefault="0061282C" w:rsidP="00255409">
      <w:pPr>
        <w:rPr>
          <w:b/>
          <w:kern w:val="2"/>
          <w:sz w:val="20"/>
        </w:rPr>
      </w:pPr>
      <w:r w:rsidRPr="00DA5EB5">
        <w:rPr>
          <w:kern w:val="2"/>
          <w:sz w:val="20"/>
        </w:rPr>
        <w:t xml:space="preserve">The following factors are also relevant in determining the offense level. Under </w:t>
      </w:r>
      <w:r w:rsidRPr="00DA5EB5">
        <w:rPr>
          <w:rStyle w:val="Strong"/>
          <w:b w:val="0"/>
          <w:color w:val="000000"/>
          <w:kern w:val="2"/>
          <w:sz w:val="20"/>
          <w:lang w:val="en"/>
        </w:rPr>
        <w:t>§</w:t>
      </w:r>
      <w:r w:rsidRPr="00DA5EB5">
        <w:rPr>
          <w:kern w:val="2"/>
          <w:sz w:val="20"/>
        </w:rPr>
        <w:t>2C1.1</w:t>
      </w:r>
      <w:r w:rsidR="006F21D2" w:rsidRPr="00DA5EB5">
        <w:rPr>
          <w:kern w:val="2"/>
          <w:sz w:val="20"/>
        </w:rPr>
        <w:t xml:space="preserve"> of the </w:t>
      </w:r>
      <w:r w:rsidR="006F21D2" w:rsidRPr="00DA5EB5">
        <w:rPr>
          <w:i/>
          <w:kern w:val="2"/>
          <w:sz w:val="20"/>
        </w:rPr>
        <w:t>Guidelines</w:t>
      </w:r>
      <w:r w:rsidRPr="00DA5EB5">
        <w:rPr>
          <w:kern w:val="2"/>
          <w:sz w:val="20"/>
        </w:rPr>
        <w:t xml:space="preserve">, </w:t>
      </w:r>
      <w:r w:rsidR="00D14CC5" w:rsidRPr="00DA5EB5">
        <w:rPr>
          <w:kern w:val="2"/>
          <w:sz w:val="20"/>
        </w:rPr>
        <w:t xml:space="preserve">the </w:t>
      </w:r>
      <w:r w:rsidRPr="00DA5EB5">
        <w:rPr>
          <w:kern w:val="2"/>
          <w:sz w:val="20"/>
        </w:rPr>
        <w:t>offense level</w:t>
      </w:r>
      <w:r w:rsidR="00D14CC5" w:rsidRPr="00DA5EB5">
        <w:rPr>
          <w:kern w:val="2"/>
          <w:sz w:val="20"/>
        </w:rPr>
        <w:t xml:space="preserve"> can be</w:t>
      </w:r>
      <w:r w:rsidRPr="00DA5EB5">
        <w:rPr>
          <w:kern w:val="2"/>
          <w:sz w:val="20"/>
        </w:rPr>
        <w:t xml:space="preserve"> </w:t>
      </w:r>
      <w:r w:rsidRPr="00DA5EB5">
        <w:rPr>
          <w:rStyle w:val="Strong"/>
          <w:b w:val="0"/>
          <w:color w:val="000000"/>
          <w:kern w:val="2"/>
          <w:sz w:val="20"/>
          <w:lang w:val="en"/>
        </w:rPr>
        <w:t>increase</w:t>
      </w:r>
      <w:r w:rsidR="00D14CC5" w:rsidRPr="00DA5EB5">
        <w:rPr>
          <w:rStyle w:val="Strong"/>
          <w:b w:val="0"/>
          <w:color w:val="000000"/>
          <w:kern w:val="2"/>
          <w:sz w:val="20"/>
          <w:lang w:val="en"/>
        </w:rPr>
        <w:t>d</w:t>
      </w:r>
      <w:r w:rsidRPr="00DA5EB5">
        <w:rPr>
          <w:rStyle w:val="Strong"/>
          <w:b w:val="0"/>
          <w:color w:val="000000"/>
          <w:kern w:val="2"/>
          <w:sz w:val="20"/>
          <w:lang w:val="en"/>
        </w:rPr>
        <w:t xml:space="preserve"> in the following circumstances:</w:t>
      </w:r>
    </w:p>
    <w:p w14:paraId="3BFA66CE" w14:textId="1D455936" w:rsidR="0061282C" w:rsidRPr="00DA5EB5" w:rsidRDefault="0061282C" w:rsidP="0074473E">
      <w:pPr>
        <w:pStyle w:val="BlockQuote"/>
        <w:numPr>
          <w:ilvl w:val="0"/>
          <w:numId w:val="7"/>
        </w:numPr>
        <w:spacing w:before="60" w:after="60"/>
        <w:jc w:val="left"/>
        <w:rPr>
          <w:kern w:val="2"/>
          <w:sz w:val="20"/>
          <w:lang w:val="en" w:eastAsia="en-CA"/>
        </w:rPr>
      </w:pPr>
      <w:r w:rsidRPr="00DA5EB5">
        <w:rPr>
          <w:kern w:val="2"/>
          <w:sz w:val="20"/>
          <w:lang w:val="en" w:eastAsia="en-CA"/>
        </w:rPr>
        <w:t xml:space="preserve">If the offense involved more than one bribe or extortion, increase by </w:t>
      </w:r>
      <w:r w:rsidRPr="00DA5EB5">
        <w:rPr>
          <w:bCs/>
          <w:kern w:val="2"/>
          <w:sz w:val="20"/>
          <w:bdr w:val="none" w:sz="0" w:space="0" w:color="auto" w:frame="1"/>
          <w:lang w:val="en" w:eastAsia="en-CA"/>
        </w:rPr>
        <w:t xml:space="preserve">2 </w:t>
      </w:r>
      <w:r w:rsidRPr="00DA5EB5">
        <w:rPr>
          <w:kern w:val="2"/>
          <w:sz w:val="20"/>
          <w:lang w:val="en" w:eastAsia="en-CA"/>
        </w:rPr>
        <w:t>levels.</w:t>
      </w:r>
    </w:p>
    <w:p w14:paraId="1046BD63" w14:textId="087C2471" w:rsidR="0061282C" w:rsidRPr="00DA5EB5" w:rsidRDefault="0061282C" w:rsidP="0074473E">
      <w:pPr>
        <w:pStyle w:val="BlockQuote"/>
        <w:numPr>
          <w:ilvl w:val="0"/>
          <w:numId w:val="7"/>
        </w:numPr>
        <w:spacing w:before="60" w:after="60"/>
        <w:jc w:val="left"/>
        <w:rPr>
          <w:kern w:val="2"/>
          <w:sz w:val="20"/>
          <w:lang w:val="en" w:eastAsia="en-CA"/>
        </w:rPr>
      </w:pPr>
      <w:r w:rsidRPr="00DA5EB5">
        <w:rPr>
          <w:kern w:val="2"/>
          <w:sz w:val="20"/>
          <w:lang w:val="en" w:eastAsia="en-CA"/>
        </w:rPr>
        <w:t>If the value of the payment, the benefit received or to be received in return for the payment, the value of anything obtained or to be obtained by a public official or others acting with a public official, or the loss to the government from the offense, whichever is greatest, exceeded $5,000, increase by the number of levels from the table in §2B1.1 (Theft, Property Destruction, and Fraud) corresponding to that amount.</w:t>
      </w:r>
    </w:p>
    <w:p w14:paraId="04DC4806" w14:textId="4A6F812A" w:rsidR="0061282C" w:rsidRPr="00DA5EB5" w:rsidRDefault="0061282C" w:rsidP="0074473E">
      <w:pPr>
        <w:pStyle w:val="BlockQuote"/>
        <w:numPr>
          <w:ilvl w:val="0"/>
          <w:numId w:val="7"/>
        </w:numPr>
        <w:spacing w:before="60" w:after="60"/>
        <w:jc w:val="left"/>
        <w:rPr>
          <w:kern w:val="2"/>
          <w:sz w:val="20"/>
          <w:lang w:val="en" w:eastAsia="en-CA"/>
        </w:rPr>
      </w:pPr>
      <w:r w:rsidRPr="00DA5EB5">
        <w:rPr>
          <w:kern w:val="2"/>
          <w:sz w:val="20"/>
          <w:lang w:val="en" w:eastAsia="en-CA"/>
        </w:rPr>
        <w:t xml:space="preserve">If the offense involved an elected public official or any public official in a high-level decision-making or sensitive position, increase by </w:t>
      </w:r>
      <w:r w:rsidRPr="00DA5EB5">
        <w:rPr>
          <w:bCs/>
          <w:kern w:val="2"/>
          <w:sz w:val="20"/>
          <w:bdr w:val="none" w:sz="0" w:space="0" w:color="auto" w:frame="1"/>
          <w:lang w:val="en" w:eastAsia="en-CA"/>
        </w:rPr>
        <w:t>4</w:t>
      </w:r>
      <w:r w:rsidRPr="00DA5EB5">
        <w:rPr>
          <w:b/>
          <w:bCs/>
          <w:kern w:val="2"/>
          <w:sz w:val="20"/>
          <w:bdr w:val="none" w:sz="0" w:space="0" w:color="auto" w:frame="1"/>
          <w:lang w:val="en" w:eastAsia="en-CA"/>
        </w:rPr>
        <w:t xml:space="preserve"> </w:t>
      </w:r>
      <w:r w:rsidRPr="00DA5EB5">
        <w:rPr>
          <w:kern w:val="2"/>
          <w:sz w:val="20"/>
          <w:lang w:val="en" w:eastAsia="en-CA"/>
        </w:rPr>
        <w:t>levels.</w:t>
      </w:r>
      <w:r w:rsidR="00E87776" w:rsidRPr="00DA5EB5">
        <w:rPr>
          <w:kern w:val="2"/>
          <w:sz w:val="20"/>
          <w:lang w:val="en" w:eastAsia="en-CA"/>
        </w:rPr>
        <w:t xml:space="preserve"> </w:t>
      </w:r>
      <w:r w:rsidRPr="00DA5EB5">
        <w:rPr>
          <w:kern w:val="2"/>
          <w:sz w:val="20"/>
          <w:lang w:val="en" w:eastAsia="en-CA"/>
        </w:rPr>
        <w:t xml:space="preserve">If the resulting offense level is less than level </w:t>
      </w:r>
      <w:r w:rsidRPr="00DA5EB5">
        <w:rPr>
          <w:bCs/>
          <w:kern w:val="2"/>
          <w:sz w:val="20"/>
          <w:bdr w:val="none" w:sz="0" w:space="0" w:color="auto" w:frame="1"/>
          <w:lang w:val="en" w:eastAsia="en-CA"/>
        </w:rPr>
        <w:t>18</w:t>
      </w:r>
      <w:r w:rsidRPr="00DA5EB5">
        <w:rPr>
          <w:kern w:val="2"/>
          <w:sz w:val="20"/>
          <w:lang w:val="en" w:eastAsia="en-CA"/>
        </w:rPr>
        <w:t xml:space="preserve">, increase to level </w:t>
      </w:r>
      <w:r w:rsidRPr="00DA5EB5">
        <w:rPr>
          <w:bCs/>
          <w:kern w:val="2"/>
          <w:sz w:val="20"/>
          <w:bdr w:val="none" w:sz="0" w:space="0" w:color="auto" w:frame="1"/>
          <w:lang w:val="en" w:eastAsia="en-CA"/>
        </w:rPr>
        <w:t>18</w:t>
      </w:r>
      <w:r w:rsidRPr="00DA5EB5">
        <w:rPr>
          <w:kern w:val="2"/>
          <w:sz w:val="20"/>
          <w:lang w:val="en" w:eastAsia="en-CA"/>
        </w:rPr>
        <w:t>.</w:t>
      </w:r>
    </w:p>
    <w:p w14:paraId="11C3C57B" w14:textId="4070584B" w:rsidR="0061282C" w:rsidRPr="00DA5EB5" w:rsidRDefault="0061282C" w:rsidP="0074473E">
      <w:pPr>
        <w:pStyle w:val="BlockQuote"/>
        <w:numPr>
          <w:ilvl w:val="0"/>
          <w:numId w:val="7"/>
        </w:numPr>
        <w:jc w:val="left"/>
        <w:rPr>
          <w:kern w:val="2"/>
          <w:sz w:val="20"/>
          <w:lang w:val="en" w:eastAsia="en-CA"/>
        </w:rPr>
      </w:pPr>
      <w:r w:rsidRPr="00DA5EB5">
        <w:rPr>
          <w:kern w:val="2"/>
          <w:sz w:val="20"/>
          <w:lang w:val="en" w:eastAsia="en-CA"/>
        </w:rPr>
        <w:t xml:space="preserve">If the defendant was a public official who facilitated (A) entry into the United States for a person, a vehicle, or cargo; (B) the obtaining of a passport or a document relating to naturalization, citizenship, legal entry, or legal resident status; or (C) the obtaining of a government identification document, increase by </w:t>
      </w:r>
      <w:r w:rsidRPr="00DA5EB5">
        <w:rPr>
          <w:bCs/>
          <w:kern w:val="2"/>
          <w:sz w:val="20"/>
          <w:bdr w:val="none" w:sz="0" w:space="0" w:color="auto" w:frame="1"/>
          <w:lang w:val="en" w:eastAsia="en-CA"/>
        </w:rPr>
        <w:t xml:space="preserve">2 </w:t>
      </w:r>
      <w:r w:rsidRPr="00DA5EB5">
        <w:rPr>
          <w:kern w:val="2"/>
          <w:sz w:val="20"/>
          <w:lang w:val="en" w:eastAsia="en-CA"/>
        </w:rPr>
        <w:t>levels.</w:t>
      </w:r>
      <w:r w:rsidR="00E06B1F" w:rsidRPr="00DA5EB5">
        <w:rPr>
          <w:rStyle w:val="FootnoteReference"/>
          <w:rFonts w:eastAsia="Times New Roman"/>
          <w:kern w:val="2"/>
          <w:szCs w:val="21"/>
          <w:lang w:val="en" w:eastAsia="en-CA"/>
        </w:rPr>
        <w:footnoteReference w:id="13"/>
      </w:r>
    </w:p>
    <w:p w14:paraId="1E7BB51C" w14:textId="77777777" w:rsidR="0061282C" w:rsidRPr="00DA5EB5" w:rsidRDefault="0061282C" w:rsidP="00255409">
      <w:pPr>
        <w:rPr>
          <w:kern w:val="2"/>
          <w:sz w:val="20"/>
        </w:rPr>
      </w:pPr>
      <w:r w:rsidRPr="00DA5EB5">
        <w:rPr>
          <w:kern w:val="2"/>
          <w:sz w:val="20"/>
        </w:rPr>
        <w:t>As noted in item (2) above, the value of the bribe is relevant and is calculated based on the greatest of the following four measures:</w:t>
      </w:r>
    </w:p>
    <w:p w14:paraId="0ADFBA35" w14:textId="79BA0E41" w:rsidR="0061282C" w:rsidRPr="00DA5EB5" w:rsidRDefault="0061282C" w:rsidP="0074473E">
      <w:pPr>
        <w:pStyle w:val="ListParagraph"/>
        <w:numPr>
          <w:ilvl w:val="0"/>
          <w:numId w:val="8"/>
        </w:numPr>
        <w:spacing w:after="60"/>
        <w:rPr>
          <w:kern w:val="2"/>
          <w:sz w:val="20"/>
        </w:rPr>
      </w:pPr>
      <w:r w:rsidRPr="00DA5EB5">
        <w:rPr>
          <w:kern w:val="2"/>
          <w:sz w:val="20"/>
        </w:rPr>
        <w:t>the value of the payment,</w:t>
      </w:r>
    </w:p>
    <w:p w14:paraId="43F73E39" w14:textId="70137EE5" w:rsidR="0061282C" w:rsidRPr="00DA5EB5" w:rsidRDefault="0061282C" w:rsidP="0074473E">
      <w:pPr>
        <w:pStyle w:val="ListParagraph"/>
        <w:numPr>
          <w:ilvl w:val="0"/>
          <w:numId w:val="8"/>
        </w:numPr>
        <w:spacing w:after="60"/>
        <w:rPr>
          <w:kern w:val="2"/>
          <w:sz w:val="20"/>
        </w:rPr>
      </w:pPr>
      <w:r w:rsidRPr="00DA5EB5">
        <w:rPr>
          <w:kern w:val="2"/>
          <w:sz w:val="20"/>
        </w:rPr>
        <w:t>the benefit received or to be received in return for the payment,</w:t>
      </w:r>
    </w:p>
    <w:p w14:paraId="7F1AE8AB" w14:textId="56960544" w:rsidR="0061282C" w:rsidRPr="00DA5EB5" w:rsidRDefault="0061282C" w:rsidP="0074473E">
      <w:pPr>
        <w:pStyle w:val="ListParagraph"/>
        <w:numPr>
          <w:ilvl w:val="0"/>
          <w:numId w:val="8"/>
        </w:numPr>
        <w:spacing w:after="60"/>
        <w:rPr>
          <w:kern w:val="2"/>
          <w:sz w:val="20"/>
        </w:rPr>
      </w:pPr>
      <w:r w:rsidRPr="00DA5EB5">
        <w:rPr>
          <w:kern w:val="2"/>
          <w:sz w:val="20"/>
        </w:rPr>
        <w:t>value of anything obtained or to be obtained by a public official or others acting with a public official,</w:t>
      </w:r>
    </w:p>
    <w:p w14:paraId="465CF1C4" w14:textId="7C6B35CE" w:rsidR="0061282C" w:rsidRPr="00DA5EB5" w:rsidRDefault="0061282C" w:rsidP="0074473E">
      <w:pPr>
        <w:pStyle w:val="ListParagraph"/>
        <w:numPr>
          <w:ilvl w:val="0"/>
          <w:numId w:val="8"/>
        </w:numPr>
        <w:rPr>
          <w:kern w:val="2"/>
          <w:sz w:val="20"/>
        </w:rPr>
      </w:pPr>
      <w:proofErr w:type="gramStart"/>
      <w:r w:rsidRPr="00DA5EB5">
        <w:rPr>
          <w:kern w:val="2"/>
          <w:sz w:val="20"/>
        </w:rPr>
        <w:t>the</w:t>
      </w:r>
      <w:proofErr w:type="gramEnd"/>
      <w:r w:rsidRPr="00DA5EB5">
        <w:rPr>
          <w:kern w:val="2"/>
          <w:sz w:val="20"/>
        </w:rPr>
        <w:t xml:space="preserve"> loss to the government from the offense.</w:t>
      </w:r>
    </w:p>
    <w:p w14:paraId="70FCB450" w14:textId="77777777" w:rsidR="004C22FB" w:rsidRDefault="004C22FB">
      <w:pPr>
        <w:spacing w:before="0" w:after="0"/>
        <w:jc w:val="left"/>
        <w:rPr>
          <w:color w:val="000000"/>
          <w:kern w:val="2"/>
          <w:sz w:val="20"/>
          <w:lang w:val="en"/>
        </w:rPr>
      </w:pPr>
      <w:r>
        <w:rPr>
          <w:color w:val="000000"/>
          <w:kern w:val="2"/>
          <w:sz w:val="20"/>
          <w:lang w:val="en"/>
        </w:rPr>
        <w:br w:type="page"/>
      </w:r>
    </w:p>
    <w:p w14:paraId="67E43B22" w14:textId="4F1EF07C" w:rsidR="0061282C" w:rsidRPr="00DA5EB5" w:rsidRDefault="0061282C" w:rsidP="006F19C0">
      <w:pPr>
        <w:keepNext/>
        <w:rPr>
          <w:rStyle w:val="Strong"/>
          <w:b w:val="0"/>
          <w:color w:val="000000"/>
          <w:kern w:val="2"/>
          <w:sz w:val="20"/>
          <w:lang w:val="en"/>
        </w:rPr>
      </w:pPr>
      <w:r w:rsidRPr="00DA5EB5">
        <w:rPr>
          <w:color w:val="000000"/>
          <w:kern w:val="2"/>
          <w:sz w:val="20"/>
          <w:lang w:val="en"/>
        </w:rPr>
        <w:t>The table used to calculate the offen</w:t>
      </w:r>
      <w:r w:rsidR="009178FF" w:rsidRPr="00DA5EB5">
        <w:rPr>
          <w:color w:val="000000"/>
          <w:kern w:val="2"/>
          <w:sz w:val="20"/>
          <w:lang w:val="en"/>
        </w:rPr>
        <w:t>s</w:t>
      </w:r>
      <w:r w:rsidRPr="00DA5EB5">
        <w:rPr>
          <w:color w:val="000000"/>
          <w:kern w:val="2"/>
          <w:sz w:val="20"/>
          <w:lang w:val="en"/>
        </w:rPr>
        <w:t>e level increase is</w:t>
      </w:r>
      <w:r w:rsidR="00163BC8" w:rsidRPr="00DA5EB5">
        <w:rPr>
          <w:color w:val="000000"/>
          <w:kern w:val="2"/>
          <w:sz w:val="20"/>
          <w:lang w:val="en"/>
        </w:rPr>
        <w:t xml:space="preserve"> found in</w:t>
      </w:r>
      <w:r w:rsidRPr="00DA5EB5">
        <w:rPr>
          <w:color w:val="000000"/>
          <w:kern w:val="2"/>
          <w:sz w:val="20"/>
          <w:lang w:val="en"/>
        </w:rPr>
        <w:t xml:space="preserve"> </w:t>
      </w:r>
      <w:r w:rsidRPr="00DA5EB5">
        <w:rPr>
          <w:rStyle w:val="Strong"/>
          <w:b w:val="0"/>
          <w:color w:val="000000"/>
          <w:kern w:val="2"/>
          <w:sz w:val="20"/>
          <w:lang w:val="en"/>
        </w:rPr>
        <w:t>§2B1.1</w:t>
      </w:r>
      <w:proofErr w:type="gramStart"/>
      <w:r w:rsidRPr="00DA5EB5">
        <w:rPr>
          <w:rStyle w:val="Strong"/>
          <w:b w:val="0"/>
          <w:color w:val="000000"/>
          <w:kern w:val="2"/>
          <w:sz w:val="20"/>
          <w:lang w:val="en"/>
        </w:rPr>
        <w:t>.(</w:t>
      </w:r>
      <w:proofErr w:type="gramEnd"/>
      <w:r w:rsidRPr="00DA5EB5">
        <w:rPr>
          <w:rStyle w:val="Strong"/>
          <w:b w:val="0"/>
          <w:color w:val="000000"/>
          <w:kern w:val="2"/>
          <w:sz w:val="20"/>
          <w:lang w:val="en"/>
        </w:rPr>
        <w:t>b)(1):</w:t>
      </w:r>
      <w:r w:rsidR="00742807" w:rsidRPr="00DA5EB5">
        <w:rPr>
          <w:rStyle w:val="Strong"/>
          <w:b w:val="0"/>
          <w:color w:val="000000"/>
          <w:kern w:val="2"/>
          <w:sz w:val="20"/>
          <w:lang w:val="en"/>
        </w:rPr>
        <w:t xml:space="preserve"> </w:t>
      </w:r>
    </w:p>
    <w:p w14:paraId="6EF3ADB7" w14:textId="61F5046D" w:rsidR="00742807" w:rsidRPr="00DA5EB5" w:rsidRDefault="00F953A4" w:rsidP="00742807">
      <w:pPr>
        <w:spacing w:after="120"/>
        <w:jc w:val="left"/>
        <w:rPr>
          <w:rStyle w:val="Strong"/>
          <w:color w:val="000000"/>
          <w:kern w:val="2"/>
          <w:sz w:val="20"/>
          <w:lang w:val="en"/>
        </w:rPr>
      </w:pPr>
      <w:r w:rsidRPr="00DA5EB5">
        <w:rPr>
          <w:rStyle w:val="Strong"/>
          <w:color w:val="000000"/>
          <w:kern w:val="2"/>
          <w:sz w:val="20"/>
          <w:lang w:val="en"/>
        </w:rPr>
        <w:t xml:space="preserve">Table </w:t>
      </w:r>
      <w:r w:rsidR="00D81D9E" w:rsidRPr="00DA5EB5">
        <w:rPr>
          <w:rStyle w:val="Strong"/>
          <w:color w:val="000000"/>
          <w:kern w:val="2"/>
          <w:sz w:val="20"/>
          <w:lang w:val="en"/>
        </w:rPr>
        <w:t>7.2</w:t>
      </w:r>
      <w:r w:rsidR="00D81D9E" w:rsidRPr="00DA5EB5">
        <w:rPr>
          <w:rStyle w:val="Strong"/>
          <w:b w:val="0"/>
          <w:color w:val="000000"/>
          <w:kern w:val="2"/>
          <w:sz w:val="20"/>
          <w:lang w:val="en"/>
        </w:rPr>
        <w:t xml:space="preserve"> Specific</w:t>
      </w:r>
      <w:r w:rsidR="00742807" w:rsidRPr="00DA5EB5">
        <w:rPr>
          <w:kern w:val="2"/>
          <w:sz w:val="20"/>
        </w:rPr>
        <w:t xml:space="preserve"> Offense Characteristics</w:t>
      </w:r>
      <w:r w:rsidR="00742807" w:rsidRPr="00DA5EB5">
        <w:rPr>
          <w:rStyle w:val="FootnoteReference"/>
          <w:rFonts w:eastAsia="Times New Roman"/>
          <w:color w:val="000000"/>
          <w:kern w:val="2"/>
          <w:szCs w:val="21"/>
          <w:lang w:eastAsia="en-CA"/>
        </w:rPr>
        <w:footnoteReference w:id="14"/>
      </w:r>
    </w:p>
    <w:tbl>
      <w:tblPr>
        <w:tblW w:w="3708" w:type="pct"/>
        <w:tblCellSpacing w:w="0" w:type="dxa"/>
        <w:tblBorders>
          <w:top w:val="single" w:sz="4" w:space="0" w:color="auto"/>
          <w:left w:val="single" w:sz="4" w:space="0" w:color="auto"/>
          <w:bottom w:val="single" w:sz="4" w:space="0" w:color="auto"/>
          <w:right w:val="single" w:sz="4" w:space="0" w:color="auto"/>
        </w:tblBorders>
        <w:tblCellMar>
          <w:left w:w="0" w:type="dxa"/>
          <w:right w:w="0" w:type="dxa"/>
        </w:tblCellMar>
        <w:tblLook w:val="04A0" w:firstRow="1" w:lastRow="0" w:firstColumn="1" w:lastColumn="0" w:noHBand="0" w:noVBand="1"/>
      </w:tblPr>
      <w:tblGrid>
        <w:gridCol w:w="864"/>
        <w:gridCol w:w="3170"/>
        <w:gridCol w:w="1951"/>
      </w:tblGrid>
      <w:tr w:rsidR="00AE7C0B" w:rsidRPr="00DA5EB5" w14:paraId="26C996E8" w14:textId="77777777" w:rsidTr="00F953A4">
        <w:trPr>
          <w:tblCellSpacing w:w="0" w:type="dxa"/>
        </w:trPr>
        <w:tc>
          <w:tcPr>
            <w:tcW w:w="722" w:type="pct"/>
            <w:vAlign w:val="center"/>
            <w:hideMark/>
          </w:tcPr>
          <w:p w14:paraId="3B64FEB8" w14:textId="77777777" w:rsidR="00AE7C0B" w:rsidRPr="00DA5EB5" w:rsidRDefault="00AE7C0B" w:rsidP="00272227">
            <w:pPr>
              <w:keepLines/>
              <w:spacing w:before="60" w:after="60"/>
              <w:ind w:left="113"/>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 </w:t>
            </w:r>
          </w:p>
        </w:tc>
        <w:tc>
          <w:tcPr>
            <w:tcW w:w="2648" w:type="pct"/>
            <w:vAlign w:val="center"/>
            <w:hideMark/>
          </w:tcPr>
          <w:p w14:paraId="2C8CB5AE" w14:textId="6CB10220" w:rsidR="00AE7C0B" w:rsidRPr="00DA5EB5" w:rsidRDefault="00AE7C0B" w:rsidP="00272227">
            <w:pPr>
              <w:keepLines/>
              <w:spacing w:before="60" w:after="60"/>
              <w:textAlignment w:val="baseline"/>
              <w:rPr>
                <w:rFonts w:eastAsia="Times New Roman"/>
                <w:color w:val="000000"/>
                <w:kern w:val="2"/>
                <w:sz w:val="20"/>
                <w:szCs w:val="21"/>
                <w:lang w:eastAsia="en-CA"/>
              </w:rPr>
            </w:pPr>
            <w:r w:rsidRPr="00DA5EB5">
              <w:rPr>
                <w:rFonts w:eastAsia="Times New Roman"/>
                <w:color w:val="000000"/>
                <w:kern w:val="2"/>
                <w:sz w:val="20"/>
                <w:szCs w:val="21"/>
                <w:u w:val="single"/>
                <w:lang w:eastAsia="en-CA"/>
              </w:rPr>
              <w:t>Loss</w:t>
            </w:r>
            <w:r w:rsidRPr="00DA5EB5">
              <w:rPr>
                <w:rFonts w:eastAsia="Times New Roman"/>
                <w:color w:val="000000"/>
                <w:kern w:val="2"/>
                <w:sz w:val="20"/>
                <w:szCs w:val="21"/>
                <w:lang w:eastAsia="en-CA"/>
              </w:rPr>
              <w:t xml:space="preserve"> (Apply the Greatest)</w:t>
            </w:r>
          </w:p>
        </w:tc>
        <w:tc>
          <w:tcPr>
            <w:tcW w:w="1630" w:type="pct"/>
            <w:vAlign w:val="center"/>
            <w:hideMark/>
          </w:tcPr>
          <w:p w14:paraId="2D22B013" w14:textId="4DBDC165" w:rsidR="00AE7C0B" w:rsidRPr="00DA5EB5" w:rsidRDefault="00AE7C0B" w:rsidP="00272227">
            <w:pPr>
              <w:keepLines/>
              <w:spacing w:before="60" w:after="60"/>
              <w:textAlignment w:val="baseline"/>
              <w:rPr>
                <w:rFonts w:eastAsia="Times New Roman"/>
                <w:color w:val="000000"/>
                <w:kern w:val="2"/>
                <w:sz w:val="20"/>
                <w:szCs w:val="21"/>
                <w:lang w:eastAsia="en-CA"/>
              </w:rPr>
            </w:pPr>
            <w:r w:rsidRPr="00DA5EB5">
              <w:rPr>
                <w:rFonts w:eastAsia="Times New Roman"/>
                <w:color w:val="000000"/>
                <w:kern w:val="2"/>
                <w:sz w:val="20"/>
                <w:szCs w:val="21"/>
                <w:u w:val="single"/>
                <w:lang w:eastAsia="en-CA"/>
              </w:rPr>
              <w:t>Increase in Level</w:t>
            </w:r>
            <w:r w:rsidRPr="00DA5EB5">
              <w:rPr>
                <w:rFonts w:eastAsia="Times New Roman"/>
                <w:color w:val="000000"/>
                <w:kern w:val="2"/>
                <w:sz w:val="20"/>
                <w:szCs w:val="21"/>
                <w:lang w:eastAsia="en-CA"/>
              </w:rPr>
              <w:t xml:space="preserve"> </w:t>
            </w:r>
          </w:p>
        </w:tc>
      </w:tr>
      <w:tr w:rsidR="00AE7C0B" w:rsidRPr="00DA5EB5" w14:paraId="5AE7B183" w14:textId="77777777" w:rsidTr="00F953A4">
        <w:trPr>
          <w:tblCellSpacing w:w="0" w:type="dxa"/>
        </w:trPr>
        <w:tc>
          <w:tcPr>
            <w:tcW w:w="722" w:type="pct"/>
            <w:vAlign w:val="center"/>
            <w:hideMark/>
          </w:tcPr>
          <w:p w14:paraId="1EAEF922" w14:textId="77777777" w:rsidR="00AE7C0B" w:rsidRPr="00DA5EB5" w:rsidRDefault="00AE7C0B" w:rsidP="00272227">
            <w:pPr>
              <w:keepLines/>
              <w:spacing w:before="60" w:after="0"/>
              <w:ind w:left="113"/>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(A)</w:t>
            </w:r>
          </w:p>
        </w:tc>
        <w:tc>
          <w:tcPr>
            <w:tcW w:w="2648" w:type="pct"/>
            <w:vAlign w:val="center"/>
            <w:hideMark/>
          </w:tcPr>
          <w:p w14:paraId="39983F54" w14:textId="77777777" w:rsidR="00AE7C0B" w:rsidRPr="00DA5EB5" w:rsidRDefault="00AE7C0B" w:rsidP="00272227">
            <w:pPr>
              <w:keepLines/>
              <w:spacing w:before="60" w:after="0"/>
              <w:jc w:val="left"/>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$5,000 or less</w:t>
            </w:r>
          </w:p>
        </w:tc>
        <w:tc>
          <w:tcPr>
            <w:tcW w:w="1630" w:type="pct"/>
            <w:vAlign w:val="center"/>
            <w:hideMark/>
          </w:tcPr>
          <w:p w14:paraId="20C25947" w14:textId="77777777" w:rsidR="00AE7C0B" w:rsidRPr="00DA5EB5" w:rsidRDefault="00AE7C0B" w:rsidP="00272227">
            <w:pPr>
              <w:keepLines/>
              <w:spacing w:before="60" w:after="0"/>
              <w:jc w:val="left"/>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no increase</w:t>
            </w:r>
          </w:p>
        </w:tc>
      </w:tr>
      <w:tr w:rsidR="00AE7C0B" w:rsidRPr="00DA5EB5" w14:paraId="00E299DD" w14:textId="77777777" w:rsidTr="00F953A4">
        <w:trPr>
          <w:tblCellSpacing w:w="0" w:type="dxa"/>
        </w:trPr>
        <w:tc>
          <w:tcPr>
            <w:tcW w:w="722" w:type="pct"/>
            <w:vAlign w:val="center"/>
            <w:hideMark/>
          </w:tcPr>
          <w:p w14:paraId="0591DBB0" w14:textId="77777777" w:rsidR="00AE7C0B" w:rsidRPr="00DA5EB5" w:rsidRDefault="00AE7C0B" w:rsidP="00272227">
            <w:pPr>
              <w:keepLines/>
              <w:spacing w:before="60" w:after="0"/>
              <w:ind w:left="113"/>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(B)</w:t>
            </w:r>
          </w:p>
        </w:tc>
        <w:tc>
          <w:tcPr>
            <w:tcW w:w="2648" w:type="pct"/>
            <w:vAlign w:val="center"/>
            <w:hideMark/>
          </w:tcPr>
          <w:p w14:paraId="47A5B465" w14:textId="77777777" w:rsidR="00AE7C0B" w:rsidRPr="00DA5EB5" w:rsidRDefault="00AE7C0B" w:rsidP="00272227">
            <w:pPr>
              <w:keepLines/>
              <w:spacing w:before="60" w:after="0"/>
              <w:jc w:val="left"/>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More than $5,000</w:t>
            </w:r>
          </w:p>
        </w:tc>
        <w:tc>
          <w:tcPr>
            <w:tcW w:w="1630" w:type="pct"/>
            <w:vAlign w:val="center"/>
            <w:hideMark/>
          </w:tcPr>
          <w:p w14:paraId="3B066F24" w14:textId="77777777" w:rsidR="00AE7C0B" w:rsidRPr="00DA5EB5" w:rsidRDefault="00AE7C0B" w:rsidP="00272227">
            <w:pPr>
              <w:keepLines/>
              <w:spacing w:before="60" w:after="0"/>
              <w:jc w:val="left"/>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 xml:space="preserve">add </w:t>
            </w:r>
            <w:r w:rsidRPr="00DA5EB5">
              <w:rPr>
                <w:rFonts w:eastAsia="Times New Roman"/>
                <w:bCs/>
                <w:color w:val="000000"/>
                <w:kern w:val="2"/>
                <w:sz w:val="20"/>
                <w:szCs w:val="21"/>
                <w:bdr w:val="none" w:sz="0" w:space="0" w:color="auto" w:frame="1"/>
                <w:lang w:eastAsia="en-CA"/>
              </w:rPr>
              <w:t>2</w:t>
            </w:r>
          </w:p>
        </w:tc>
      </w:tr>
      <w:tr w:rsidR="00AE7C0B" w:rsidRPr="00DA5EB5" w14:paraId="7D3565D9" w14:textId="77777777" w:rsidTr="00F953A4">
        <w:trPr>
          <w:tblCellSpacing w:w="0" w:type="dxa"/>
        </w:trPr>
        <w:tc>
          <w:tcPr>
            <w:tcW w:w="722" w:type="pct"/>
            <w:vAlign w:val="center"/>
            <w:hideMark/>
          </w:tcPr>
          <w:p w14:paraId="10356856" w14:textId="77777777" w:rsidR="00AE7C0B" w:rsidRPr="00DA5EB5" w:rsidRDefault="00AE7C0B" w:rsidP="00272227">
            <w:pPr>
              <w:keepLines/>
              <w:spacing w:before="60" w:after="0"/>
              <w:ind w:left="113"/>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(C)</w:t>
            </w:r>
          </w:p>
        </w:tc>
        <w:tc>
          <w:tcPr>
            <w:tcW w:w="2648" w:type="pct"/>
            <w:vAlign w:val="center"/>
            <w:hideMark/>
          </w:tcPr>
          <w:p w14:paraId="6BF075CB" w14:textId="77777777" w:rsidR="00AE7C0B" w:rsidRPr="00DA5EB5" w:rsidRDefault="00AE7C0B" w:rsidP="00272227">
            <w:pPr>
              <w:keepLines/>
              <w:spacing w:before="60" w:after="0"/>
              <w:jc w:val="left"/>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More than $10,000</w:t>
            </w:r>
          </w:p>
        </w:tc>
        <w:tc>
          <w:tcPr>
            <w:tcW w:w="1630" w:type="pct"/>
            <w:vAlign w:val="center"/>
            <w:hideMark/>
          </w:tcPr>
          <w:p w14:paraId="02E3EE30" w14:textId="77777777" w:rsidR="00AE7C0B" w:rsidRPr="00DA5EB5" w:rsidRDefault="00AE7C0B" w:rsidP="00272227">
            <w:pPr>
              <w:keepLines/>
              <w:spacing w:before="60" w:after="0"/>
              <w:jc w:val="left"/>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 xml:space="preserve">add </w:t>
            </w:r>
            <w:r w:rsidRPr="00DA5EB5">
              <w:rPr>
                <w:rFonts w:eastAsia="Times New Roman"/>
                <w:bCs/>
                <w:color w:val="000000"/>
                <w:kern w:val="2"/>
                <w:sz w:val="20"/>
                <w:szCs w:val="21"/>
                <w:bdr w:val="none" w:sz="0" w:space="0" w:color="auto" w:frame="1"/>
                <w:lang w:eastAsia="en-CA"/>
              </w:rPr>
              <w:t>4</w:t>
            </w:r>
          </w:p>
        </w:tc>
      </w:tr>
      <w:tr w:rsidR="00AE7C0B" w:rsidRPr="00DA5EB5" w14:paraId="0729E7F0" w14:textId="77777777" w:rsidTr="00F953A4">
        <w:trPr>
          <w:tblCellSpacing w:w="0" w:type="dxa"/>
        </w:trPr>
        <w:tc>
          <w:tcPr>
            <w:tcW w:w="722" w:type="pct"/>
            <w:vAlign w:val="center"/>
            <w:hideMark/>
          </w:tcPr>
          <w:p w14:paraId="049141CE" w14:textId="77777777" w:rsidR="00AE7C0B" w:rsidRPr="00DA5EB5" w:rsidRDefault="00AE7C0B" w:rsidP="00272227">
            <w:pPr>
              <w:keepLines/>
              <w:spacing w:before="60" w:after="0"/>
              <w:ind w:left="113"/>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(D) </w:t>
            </w:r>
          </w:p>
        </w:tc>
        <w:tc>
          <w:tcPr>
            <w:tcW w:w="2648" w:type="pct"/>
            <w:vAlign w:val="center"/>
            <w:hideMark/>
          </w:tcPr>
          <w:p w14:paraId="53962BB7" w14:textId="77777777" w:rsidR="00AE7C0B" w:rsidRPr="00DA5EB5" w:rsidRDefault="00AE7C0B" w:rsidP="00272227">
            <w:pPr>
              <w:keepLines/>
              <w:spacing w:before="60" w:after="0"/>
              <w:jc w:val="left"/>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More than $30,000</w:t>
            </w:r>
          </w:p>
        </w:tc>
        <w:tc>
          <w:tcPr>
            <w:tcW w:w="1630" w:type="pct"/>
            <w:vAlign w:val="center"/>
            <w:hideMark/>
          </w:tcPr>
          <w:p w14:paraId="4317E7F1" w14:textId="77777777" w:rsidR="00AE7C0B" w:rsidRPr="00DA5EB5" w:rsidRDefault="00AE7C0B" w:rsidP="00272227">
            <w:pPr>
              <w:keepLines/>
              <w:spacing w:before="60" w:after="0"/>
              <w:jc w:val="left"/>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 xml:space="preserve">add </w:t>
            </w:r>
            <w:r w:rsidRPr="00DA5EB5">
              <w:rPr>
                <w:rFonts w:eastAsia="Times New Roman"/>
                <w:bCs/>
                <w:color w:val="000000"/>
                <w:kern w:val="2"/>
                <w:sz w:val="20"/>
                <w:szCs w:val="21"/>
                <w:bdr w:val="none" w:sz="0" w:space="0" w:color="auto" w:frame="1"/>
                <w:lang w:eastAsia="en-CA"/>
              </w:rPr>
              <w:t>6</w:t>
            </w:r>
          </w:p>
        </w:tc>
      </w:tr>
      <w:tr w:rsidR="00AE7C0B" w:rsidRPr="00DA5EB5" w14:paraId="1C9D7F84" w14:textId="77777777" w:rsidTr="00F953A4">
        <w:trPr>
          <w:tblCellSpacing w:w="0" w:type="dxa"/>
        </w:trPr>
        <w:tc>
          <w:tcPr>
            <w:tcW w:w="722" w:type="pct"/>
            <w:vAlign w:val="center"/>
            <w:hideMark/>
          </w:tcPr>
          <w:p w14:paraId="6DB39E6D" w14:textId="77777777" w:rsidR="00AE7C0B" w:rsidRPr="00DA5EB5" w:rsidRDefault="00AE7C0B" w:rsidP="00272227">
            <w:pPr>
              <w:keepLines/>
              <w:spacing w:before="60" w:after="0"/>
              <w:ind w:left="113"/>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(E)</w:t>
            </w:r>
          </w:p>
        </w:tc>
        <w:tc>
          <w:tcPr>
            <w:tcW w:w="2648" w:type="pct"/>
            <w:vAlign w:val="center"/>
            <w:hideMark/>
          </w:tcPr>
          <w:p w14:paraId="1ED1BD4D"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More than $70,000</w:t>
            </w:r>
          </w:p>
        </w:tc>
        <w:tc>
          <w:tcPr>
            <w:tcW w:w="1630" w:type="pct"/>
            <w:vAlign w:val="center"/>
            <w:hideMark/>
          </w:tcPr>
          <w:p w14:paraId="6F57F6A1"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 xml:space="preserve">add </w:t>
            </w:r>
            <w:r w:rsidRPr="00DA5EB5">
              <w:rPr>
                <w:rFonts w:eastAsia="Times New Roman"/>
                <w:bCs/>
                <w:color w:val="000000"/>
                <w:kern w:val="2"/>
                <w:sz w:val="20"/>
                <w:szCs w:val="21"/>
                <w:bdr w:val="none" w:sz="0" w:space="0" w:color="auto" w:frame="1"/>
                <w:lang w:eastAsia="en-CA"/>
              </w:rPr>
              <w:t>8</w:t>
            </w:r>
          </w:p>
        </w:tc>
      </w:tr>
      <w:tr w:rsidR="00AE7C0B" w:rsidRPr="00DA5EB5" w14:paraId="7103D5AA" w14:textId="77777777" w:rsidTr="00F953A4">
        <w:trPr>
          <w:tblCellSpacing w:w="0" w:type="dxa"/>
        </w:trPr>
        <w:tc>
          <w:tcPr>
            <w:tcW w:w="722" w:type="pct"/>
            <w:vAlign w:val="center"/>
            <w:hideMark/>
          </w:tcPr>
          <w:p w14:paraId="6131BCB3" w14:textId="77777777" w:rsidR="00AE7C0B" w:rsidRPr="00DA5EB5" w:rsidRDefault="00AE7C0B" w:rsidP="00272227">
            <w:pPr>
              <w:keepLines/>
              <w:spacing w:before="60" w:after="0"/>
              <w:ind w:left="113"/>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(F)</w:t>
            </w:r>
          </w:p>
        </w:tc>
        <w:tc>
          <w:tcPr>
            <w:tcW w:w="2648" w:type="pct"/>
            <w:vAlign w:val="center"/>
            <w:hideMark/>
          </w:tcPr>
          <w:p w14:paraId="4C20FF62"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More than $120,000</w:t>
            </w:r>
          </w:p>
        </w:tc>
        <w:tc>
          <w:tcPr>
            <w:tcW w:w="1630" w:type="pct"/>
            <w:vAlign w:val="center"/>
            <w:hideMark/>
          </w:tcPr>
          <w:p w14:paraId="28F24312"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 xml:space="preserve">add </w:t>
            </w:r>
            <w:r w:rsidRPr="00DA5EB5">
              <w:rPr>
                <w:rFonts w:eastAsia="Times New Roman"/>
                <w:bCs/>
                <w:color w:val="000000"/>
                <w:kern w:val="2"/>
                <w:sz w:val="20"/>
                <w:szCs w:val="21"/>
                <w:bdr w:val="none" w:sz="0" w:space="0" w:color="auto" w:frame="1"/>
                <w:lang w:eastAsia="en-CA"/>
              </w:rPr>
              <w:t>10</w:t>
            </w:r>
          </w:p>
        </w:tc>
      </w:tr>
      <w:tr w:rsidR="00AE7C0B" w:rsidRPr="00DA5EB5" w14:paraId="5AE96D41" w14:textId="77777777" w:rsidTr="00F953A4">
        <w:trPr>
          <w:tblCellSpacing w:w="0" w:type="dxa"/>
        </w:trPr>
        <w:tc>
          <w:tcPr>
            <w:tcW w:w="722" w:type="pct"/>
            <w:vAlign w:val="center"/>
            <w:hideMark/>
          </w:tcPr>
          <w:p w14:paraId="3B28C994" w14:textId="77777777" w:rsidR="00AE7C0B" w:rsidRPr="00DA5EB5" w:rsidRDefault="00AE7C0B" w:rsidP="00272227">
            <w:pPr>
              <w:keepLines/>
              <w:spacing w:before="60" w:after="0"/>
              <w:ind w:left="113"/>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(G) </w:t>
            </w:r>
          </w:p>
        </w:tc>
        <w:tc>
          <w:tcPr>
            <w:tcW w:w="2648" w:type="pct"/>
            <w:vAlign w:val="center"/>
            <w:hideMark/>
          </w:tcPr>
          <w:p w14:paraId="26C9FF1F"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More than $200,000</w:t>
            </w:r>
          </w:p>
        </w:tc>
        <w:tc>
          <w:tcPr>
            <w:tcW w:w="1630" w:type="pct"/>
            <w:vAlign w:val="center"/>
            <w:hideMark/>
          </w:tcPr>
          <w:p w14:paraId="2E4CFF43"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 xml:space="preserve">add </w:t>
            </w:r>
            <w:r w:rsidRPr="00DA5EB5">
              <w:rPr>
                <w:rFonts w:eastAsia="Times New Roman"/>
                <w:bCs/>
                <w:color w:val="000000"/>
                <w:kern w:val="2"/>
                <w:sz w:val="20"/>
                <w:szCs w:val="21"/>
                <w:bdr w:val="none" w:sz="0" w:space="0" w:color="auto" w:frame="1"/>
                <w:lang w:eastAsia="en-CA"/>
              </w:rPr>
              <w:t>12</w:t>
            </w:r>
          </w:p>
        </w:tc>
      </w:tr>
      <w:tr w:rsidR="00AE7C0B" w:rsidRPr="00DA5EB5" w14:paraId="25BC1795" w14:textId="77777777" w:rsidTr="00F953A4">
        <w:trPr>
          <w:tblCellSpacing w:w="0" w:type="dxa"/>
        </w:trPr>
        <w:tc>
          <w:tcPr>
            <w:tcW w:w="722" w:type="pct"/>
            <w:vAlign w:val="center"/>
            <w:hideMark/>
          </w:tcPr>
          <w:p w14:paraId="48112E21" w14:textId="77777777" w:rsidR="00AE7C0B" w:rsidRPr="00DA5EB5" w:rsidRDefault="00AE7C0B" w:rsidP="00272227">
            <w:pPr>
              <w:keepLines/>
              <w:spacing w:before="60" w:after="0"/>
              <w:ind w:left="113"/>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(H)</w:t>
            </w:r>
          </w:p>
        </w:tc>
        <w:tc>
          <w:tcPr>
            <w:tcW w:w="2648" w:type="pct"/>
            <w:vAlign w:val="center"/>
            <w:hideMark/>
          </w:tcPr>
          <w:p w14:paraId="562387D2"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More than $400,000</w:t>
            </w:r>
          </w:p>
        </w:tc>
        <w:tc>
          <w:tcPr>
            <w:tcW w:w="1630" w:type="pct"/>
            <w:vAlign w:val="center"/>
            <w:hideMark/>
          </w:tcPr>
          <w:p w14:paraId="2C1E6958"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 xml:space="preserve">add </w:t>
            </w:r>
            <w:r w:rsidRPr="00DA5EB5">
              <w:rPr>
                <w:rFonts w:eastAsia="Times New Roman"/>
                <w:bCs/>
                <w:color w:val="000000"/>
                <w:kern w:val="2"/>
                <w:sz w:val="20"/>
                <w:szCs w:val="21"/>
                <w:bdr w:val="none" w:sz="0" w:space="0" w:color="auto" w:frame="1"/>
                <w:lang w:eastAsia="en-CA"/>
              </w:rPr>
              <w:t>14</w:t>
            </w:r>
          </w:p>
        </w:tc>
      </w:tr>
      <w:tr w:rsidR="00AE7C0B" w:rsidRPr="00DA5EB5" w14:paraId="4867024E" w14:textId="77777777" w:rsidTr="00F953A4">
        <w:trPr>
          <w:tblCellSpacing w:w="0" w:type="dxa"/>
        </w:trPr>
        <w:tc>
          <w:tcPr>
            <w:tcW w:w="722" w:type="pct"/>
            <w:vAlign w:val="center"/>
            <w:hideMark/>
          </w:tcPr>
          <w:p w14:paraId="3BE174F6" w14:textId="77777777" w:rsidR="00AE7C0B" w:rsidRPr="00DA5EB5" w:rsidRDefault="00AE7C0B" w:rsidP="00272227">
            <w:pPr>
              <w:keepLines/>
              <w:spacing w:before="60" w:after="0"/>
              <w:ind w:left="113"/>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(I)</w:t>
            </w:r>
          </w:p>
        </w:tc>
        <w:tc>
          <w:tcPr>
            <w:tcW w:w="2648" w:type="pct"/>
            <w:vAlign w:val="center"/>
            <w:hideMark/>
          </w:tcPr>
          <w:p w14:paraId="5350E64B"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More than $1,000,000</w:t>
            </w:r>
          </w:p>
        </w:tc>
        <w:tc>
          <w:tcPr>
            <w:tcW w:w="1630" w:type="pct"/>
            <w:vAlign w:val="center"/>
            <w:hideMark/>
          </w:tcPr>
          <w:p w14:paraId="619FBEC9"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 xml:space="preserve">add </w:t>
            </w:r>
            <w:r w:rsidRPr="00DA5EB5">
              <w:rPr>
                <w:rFonts w:eastAsia="Times New Roman"/>
                <w:bCs/>
                <w:color w:val="000000"/>
                <w:kern w:val="2"/>
                <w:sz w:val="20"/>
                <w:szCs w:val="21"/>
                <w:bdr w:val="none" w:sz="0" w:space="0" w:color="auto" w:frame="1"/>
                <w:lang w:eastAsia="en-CA"/>
              </w:rPr>
              <w:t>16</w:t>
            </w:r>
          </w:p>
        </w:tc>
      </w:tr>
      <w:tr w:rsidR="00AE7C0B" w:rsidRPr="00DA5EB5" w14:paraId="475B976E" w14:textId="77777777" w:rsidTr="00F953A4">
        <w:trPr>
          <w:tblCellSpacing w:w="0" w:type="dxa"/>
        </w:trPr>
        <w:tc>
          <w:tcPr>
            <w:tcW w:w="722" w:type="pct"/>
            <w:vAlign w:val="center"/>
            <w:hideMark/>
          </w:tcPr>
          <w:p w14:paraId="32D049A5" w14:textId="77777777" w:rsidR="00AE7C0B" w:rsidRPr="00DA5EB5" w:rsidRDefault="00AE7C0B" w:rsidP="00272227">
            <w:pPr>
              <w:keepLines/>
              <w:spacing w:before="60" w:after="0"/>
              <w:ind w:left="113"/>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(J) </w:t>
            </w:r>
          </w:p>
        </w:tc>
        <w:tc>
          <w:tcPr>
            <w:tcW w:w="2648" w:type="pct"/>
            <w:vAlign w:val="center"/>
            <w:hideMark/>
          </w:tcPr>
          <w:p w14:paraId="7BA61A93"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More than $2,500,000</w:t>
            </w:r>
          </w:p>
        </w:tc>
        <w:tc>
          <w:tcPr>
            <w:tcW w:w="1630" w:type="pct"/>
            <w:vAlign w:val="center"/>
            <w:hideMark/>
          </w:tcPr>
          <w:p w14:paraId="2E567F3A"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 xml:space="preserve">add </w:t>
            </w:r>
            <w:r w:rsidRPr="00DA5EB5">
              <w:rPr>
                <w:rFonts w:eastAsia="Times New Roman"/>
                <w:bCs/>
                <w:color w:val="000000"/>
                <w:kern w:val="2"/>
                <w:sz w:val="20"/>
                <w:szCs w:val="21"/>
                <w:bdr w:val="none" w:sz="0" w:space="0" w:color="auto" w:frame="1"/>
                <w:lang w:eastAsia="en-CA"/>
              </w:rPr>
              <w:t>18</w:t>
            </w:r>
          </w:p>
        </w:tc>
      </w:tr>
      <w:tr w:rsidR="00AE7C0B" w:rsidRPr="00DA5EB5" w14:paraId="0A49A63A" w14:textId="77777777" w:rsidTr="00F953A4">
        <w:trPr>
          <w:tblCellSpacing w:w="0" w:type="dxa"/>
        </w:trPr>
        <w:tc>
          <w:tcPr>
            <w:tcW w:w="722" w:type="pct"/>
            <w:vAlign w:val="center"/>
            <w:hideMark/>
          </w:tcPr>
          <w:p w14:paraId="1FCD3C1E" w14:textId="77777777" w:rsidR="00AE7C0B" w:rsidRPr="00DA5EB5" w:rsidRDefault="00AE7C0B" w:rsidP="00272227">
            <w:pPr>
              <w:keepLines/>
              <w:spacing w:before="60" w:after="0"/>
              <w:ind w:left="113"/>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(K)</w:t>
            </w:r>
          </w:p>
        </w:tc>
        <w:tc>
          <w:tcPr>
            <w:tcW w:w="2648" w:type="pct"/>
            <w:vAlign w:val="center"/>
            <w:hideMark/>
          </w:tcPr>
          <w:p w14:paraId="1F88069E"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More than $7,000,000</w:t>
            </w:r>
          </w:p>
        </w:tc>
        <w:tc>
          <w:tcPr>
            <w:tcW w:w="1630" w:type="pct"/>
            <w:vAlign w:val="center"/>
            <w:hideMark/>
          </w:tcPr>
          <w:p w14:paraId="4072AC52"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 xml:space="preserve">add </w:t>
            </w:r>
            <w:r w:rsidRPr="00DA5EB5">
              <w:rPr>
                <w:rFonts w:eastAsia="Times New Roman"/>
                <w:bCs/>
                <w:color w:val="000000"/>
                <w:kern w:val="2"/>
                <w:sz w:val="20"/>
                <w:szCs w:val="21"/>
                <w:bdr w:val="none" w:sz="0" w:space="0" w:color="auto" w:frame="1"/>
                <w:lang w:eastAsia="en-CA"/>
              </w:rPr>
              <w:t>20</w:t>
            </w:r>
          </w:p>
        </w:tc>
      </w:tr>
      <w:tr w:rsidR="00AE7C0B" w:rsidRPr="00DA5EB5" w14:paraId="4993709C" w14:textId="77777777" w:rsidTr="00F953A4">
        <w:trPr>
          <w:tblCellSpacing w:w="0" w:type="dxa"/>
        </w:trPr>
        <w:tc>
          <w:tcPr>
            <w:tcW w:w="722" w:type="pct"/>
            <w:vAlign w:val="center"/>
            <w:hideMark/>
          </w:tcPr>
          <w:p w14:paraId="467AA9C8" w14:textId="77777777" w:rsidR="00AE7C0B" w:rsidRPr="00DA5EB5" w:rsidRDefault="00AE7C0B" w:rsidP="00272227">
            <w:pPr>
              <w:keepLines/>
              <w:spacing w:before="60" w:after="0"/>
              <w:ind w:left="113"/>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(L)</w:t>
            </w:r>
          </w:p>
        </w:tc>
        <w:tc>
          <w:tcPr>
            <w:tcW w:w="2648" w:type="pct"/>
            <w:vAlign w:val="center"/>
            <w:hideMark/>
          </w:tcPr>
          <w:p w14:paraId="6AD025A9"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More than $20,000,000</w:t>
            </w:r>
          </w:p>
        </w:tc>
        <w:tc>
          <w:tcPr>
            <w:tcW w:w="1630" w:type="pct"/>
            <w:vAlign w:val="center"/>
            <w:hideMark/>
          </w:tcPr>
          <w:p w14:paraId="4E41B396"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 xml:space="preserve">add </w:t>
            </w:r>
            <w:r w:rsidRPr="00DA5EB5">
              <w:rPr>
                <w:rFonts w:eastAsia="Times New Roman"/>
                <w:bCs/>
                <w:color w:val="000000"/>
                <w:kern w:val="2"/>
                <w:sz w:val="20"/>
                <w:szCs w:val="21"/>
                <w:bdr w:val="none" w:sz="0" w:space="0" w:color="auto" w:frame="1"/>
                <w:lang w:eastAsia="en-CA"/>
              </w:rPr>
              <w:t>22</w:t>
            </w:r>
          </w:p>
        </w:tc>
      </w:tr>
      <w:tr w:rsidR="00AE7C0B" w:rsidRPr="00DA5EB5" w14:paraId="62EFFEE3" w14:textId="77777777" w:rsidTr="00F953A4">
        <w:trPr>
          <w:tblCellSpacing w:w="0" w:type="dxa"/>
        </w:trPr>
        <w:tc>
          <w:tcPr>
            <w:tcW w:w="722" w:type="pct"/>
            <w:vAlign w:val="center"/>
            <w:hideMark/>
          </w:tcPr>
          <w:p w14:paraId="3853F8D3" w14:textId="77777777" w:rsidR="00AE7C0B" w:rsidRPr="00DA5EB5" w:rsidRDefault="00AE7C0B" w:rsidP="00272227">
            <w:pPr>
              <w:keepLines/>
              <w:spacing w:before="60" w:after="0"/>
              <w:ind w:left="113"/>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(M)</w:t>
            </w:r>
          </w:p>
        </w:tc>
        <w:tc>
          <w:tcPr>
            <w:tcW w:w="2648" w:type="pct"/>
            <w:vAlign w:val="center"/>
            <w:hideMark/>
          </w:tcPr>
          <w:p w14:paraId="087D7C90"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More than $50,000,000</w:t>
            </w:r>
          </w:p>
        </w:tc>
        <w:tc>
          <w:tcPr>
            <w:tcW w:w="1630" w:type="pct"/>
            <w:vAlign w:val="center"/>
            <w:hideMark/>
          </w:tcPr>
          <w:p w14:paraId="512065D8"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 xml:space="preserve">add </w:t>
            </w:r>
            <w:r w:rsidRPr="00DA5EB5">
              <w:rPr>
                <w:rFonts w:eastAsia="Times New Roman"/>
                <w:bCs/>
                <w:color w:val="000000"/>
                <w:kern w:val="2"/>
                <w:sz w:val="20"/>
                <w:szCs w:val="21"/>
                <w:bdr w:val="none" w:sz="0" w:space="0" w:color="auto" w:frame="1"/>
                <w:lang w:eastAsia="en-CA"/>
              </w:rPr>
              <w:t>24</w:t>
            </w:r>
          </w:p>
        </w:tc>
      </w:tr>
      <w:tr w:rsidR="00AE7C0B" w:rsidRPr="00DA5EB5" w14:paraId="1B62DB78" w14:textId="77777777" w:rsidTr="00F953A4">
        <w:trPr>
          <w:tblCellSpacing w:w="0" w:type="dxa"/>
        </w:trPr>
        <w:tc>
          <w:tcPr>
            <w:tcW w:w="722" w:type="pct"/>
            <w:vAlign w:val="center"/>
            <w:hideMark/>
          </w:tcPr>
          <w:p w14:paraId="2C122820" w14:textId="77777777" w:rsidR="00AE7C0B" w:rsidRPr="00DA5EB5" w:rsidRDefault="00AE7C0B" w:rsidP="00272227">
            <w:pPr>
              <w:keepLines/>
              <w:spacing w:before="60" w:after="0"/>
              <w:ind w:left="113"/>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(N)</w:t>
            </w:r>
          </w:p>
        </w:tc>
        <w:tc>
          <w:tcPr>
            <w:tcW w:w="2648" w:type="pct"/>
            <w:vAlign w:val="center"/>
            <w:hideMark/>
          </w:tcPr>
          <w:p w14:paraId="4F9A2F69"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More than $100,000,000</w:t>
            </w:r>
          </w:p>
        </w:tc>
        <w:tc>
          <w:tcPr>
            <w:tcW w:w="1630" w:type="pct"/>
            <w:vAlign w:val="center"/>
            <w:hideMark/>
          </w:tcPr>
          <w:p w14:paraId="6919BC8A"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 xml:space="preserve">add </w:t>
            </w:r>
            <w:r w:rsidRPr="00DA5EB5">
              <w:rPr>
                <w:rFonts w:eastAsia="Times New Roman"/>
                <w:bCs/>
                <w:color w:val="000000"/>
                <w:kern w:val="2"/>
                <w:sz w:val="20"/>
                <w:szCs w:val="21"/>
                <w:bdr w:val="none" w:sz="0" w:space="0" w:color="auto" w:frame="1"/>
                <w:lang w:eastAsia="en-CA"/>
              </w:rPr>
              <w:t>26</w:t>
            </w:r>
          </w:p>
        </w:tc>
      </w:tr>
      <w:tr w:rsidR="00AE7C0B" w:rsidRPr="00DA5EB5" w14:paraId="29C0ACE2" w14:textId="77777777" w:rsidTr="00F953A4">
        <w:trPr>
          <w:tblCellSpacing w:w="0" w:type="dxa"/>
        </w:trPr>
        <w:tc>
          <w:tcPr>
            <w:tcW w:w="722" w:type="pct"/>
            <w:vAlign w:val="center"/>
            <w:hideMark/>
          </w:tcPr>
          <w:p w14:paraId="3A8A3C32" w14:textId="77777777" w:rsidR="00AE7C0B" w:rsidRPr="00DA5EB5" w:rsidRDefault="00AE7C0B" w:rsidP="00272227">
            <w:pPr>
              <w:keepLines/>
              <w:spacing w:before="60" w:after="0"/>
              <w:ind w:left="113"/>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(O)</w:t>
            </w:r>
          </w:p>
        </w:tc>
        <w:tc>
          <w:tcPr>
            <w:tcW w:w="2648" w:type="pct"/>
            <w:vAlign w:val="center"/>
            <w:hideMark/>
          </w:tcPr>
          <w:p w14:paraId="64342D71"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More than $200,000,000</w:t>
            </w:r>
          </w:p>
        </w:tc>
        <w:tc>
          <w:tcPr>
            <w:tcW w:w="1630" w:type="pct"/>
            <w:vAlign w:val="center"/>
            <w:hideMark/>
          </w:tcPr>
          <w:p w14:paraId="40C03BBE" w14:textId="77777777" w:rsidR="00AE7C0B" w:rsidRPr="00DA5EB5" w:rsidRDefault="00AE7C0B" w:rsidP="00272227">
            <w:pPr>
              <w:keepLines/>
              <w:spacing w:before="60" w:after="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 xml:space="preserve">add </w:t>
            </w:r>
            <w:r w:rsidRPr="00DA5EB5">
              <w:rPr>
                <w:rFonts w:eastAsia="Times New Roman"/>
                <w:bCs/>
                <w:color w:val="000000"/>
                <w:kern w:val="2"/>
                <w:sz w:val="20"/>
                <w:szCs w:val="21"/>
                <w:bdr w:val="none" w:sz="0" w:space="0" w:color="auto" w:frame="1"/>
                <w:lang w:eastAsia="en-CA"/>
              </w:rPr>
              <w:t>28</w:t>
            </w:r>
          </w:p>
        </w:tc>
      </w:tr>
      <w:tr w:rsidR="00AE7C0B" w:rsidRPr="00DA5EB5" w14:paraId="66E6EFCE" w14:textId="77777777" w:rsidTr="00F953A4">
        <w:trPr>
          <w:tblCellSpacing w:w="0" w:type="dxa"/>
        </w:trPr>
        <w:tc>
          <w:tcPr>
            <w:tcW w:w="722" w:type="pct"/>
            <w:vAlign w:val="center"/>
            <w:hideMark/>
          </w:tcPr>
          <w:p w14:paraId="5FB5312B" w14:textId="77777777" w:rsidR="00AE7C0B" w:rsidRPr="00DA5EB5" w:rsidRDefault="00AE7C0B" w:rsidP="00272227">
            <w:pPr>
              <w:keepLines/>
              <w:spacing w:before="60" w:after="60"/>
              <w:ind w:left="113"/>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(P) </w:t>
            </w:r>
          </w:p>
        </w:tc>
        <w:tc>
          <w:tcPr>
            <w:tcW w:w="2648" w:type="pct"/>
            <w:vAlign w:val="center"/>
            <w:hideMark/>
          </w:tcPr>
          <w:p w14:paraId="452C1B02" w14:textId="77777777" w:rsidR="00AE7C0B" w:rsidRPr="00DA5EB5" w:rsidRDefault="00AE7C0B" w:rsidP="00272227">
            <w:pPr>
              <w:keepLines/>
              <w:spacing w:before="60" w:after="6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More than $400,000,000</w:t>
            </w:r>
          </w:p>
        </w:tc>
        <w:tc>
          <w:tcPr>
            <w:tcW w:w="1630" w:type="pct"/>
            <w:vAlign w:val="center"/>
            <w:hideMark/>
          </w:tcPr>
          <w:p w14:paraId="4814F424" w14:textId="4FBE95F8" w:rsidR="00AE7C0B" w:rsidRPr="00DA5EB5" w:rsidRDefault="00AE7C0B" w:rsidP="00272227">
            <w:pPr>
              <w:keepLines/>
              <w:spacing w:before="60" w:after="60"/>
              <w:textAlignment w:val="baseline"/>
              <w:rPr>
                <w:rFonts w:eastAsia="Times New Roman"/>
                <w:color w:val="000000"/>
                <w:kern w:val="2"/>
                <w:sz w:val="20"/>
                <w:szCs w:val="21"/>
                <w:lang w:eastAsia="en-CA"/>
              </w:rPr>
            </w:pPr>
            <w:r w:rsidRPr="00DA5EB5">
              <w:rPr>
                <w:rFonts w:eastAsia="Times New Roman"/>
                <w:color w:val="000000"/>
                <w:kern w:val="2"/>
                <w:sz w:val="20"/>
                <w:szCs w:val="21"/>
                <w:lang w:eastAsia="en-CA"/>
              </w:rPr>
              <w:t xml:space="preserve">add </w:t>
            </w:r>
            <w:r w:rsidRPr="00DA5EB5">
              <w:rPr>
                <w:rFonts w:eastAsia="Times New Roman"/>
                <w:bCs/>
                <w:color w:val="000000"/>
                <w:kern w:val="2"/>
                <w:sz w:val="20"/>
                <w:szCs w:val="21"/>
                <w:bdr w:val="none" w:sz="0" w:space="0" w:color="auto" w:frame="1"/>
                <w:lang w:eastAsia="en-CA"/>
              </w:rPr>
              <w:t>30</w:t>
            </w:r>
          </w:p>
        </w:tc>
      </w:tr>
    </w:tbl>
    <w:p w14:paraId="12485B95" w14:textId="6F802A18" w:rsidR="0061282C" w:rsidRPr="00DA5EB5" w:rsidRDefault="0061282C" w:rsidP="00F519D6">
      <w:pPr>
        <w:spacing w:before="360"/>
        <w:rPr>
          <w:color w:val="000000"/>
          <w:kern w:val="2"/>
          <w:sz w:val="20"/>
          <w:lang w:val="en"/>
        </w:rPr>
      </w:pPr>
      <w:r w:rsidRPr="00DA5EB5">
        <w:rPr>
          <w:color w:val="000000"/>
          <w:kern w:val="2"/>
          <w:sz w:val="20"/>
          <w:lang w:val="en"/>
        </w:rPr>
        <w:t>Using the greatest of the four specified measures can lead to large increases in offen</w:t>
      </w:r>
      <w:r w:rsidR="009178FF" w:rsidRPr="00DA5EB5">
        <w:rPr>
          <w:color w:val="000000"/>
          <w:kern w:val="2"/>
          <w:sz w:val="20"/>
          <w:lang w:val="en"/>
        </w:rPr>
        <w:t>s</w:t>
      </w:r>
      <w:r w:rsidRPr="00DA5EB5">
        <w:rPr>
          <w:color w:val="000000"/>
          <w:kern w:val="2"/>
          <w:sz w:val="20"/>
          <w:lang w:val="en"/>
        </w:rPr>
        <w:t xml:space="preserve">e level, as </w:t>
      </w:r>
      <w:r w:rsidR="00DA5EB5" w:rsidRPr="00DA5EB5">
        <w:rPr>
          <w:color w:val="000000"/>
          <w:kern w:val="2"/>
          <w:sz w:val="20"/>
          <w:lang w:val="en"/>
        </w:rPr>
        <w:t>demonstrated</w:t>
      </w:r>
      <w:r w:rsidRPr="00DA5EB5">
        <w:rPr>
          <w:color w:val="000000"/>
          <w:kern w:val="2"/>
          <w:sz w:val="20"/>
          <w:lang w:val="en"/>
        </w:rPr>
        <w:t xml:space="preserve"> in the cases of </w:t>
      </w:r>
      <w:r w:rsidRPr="00DA5EB5">
        <w:rPr>
          <w:i/>
          <w:color w:val="000000"/>
          <w:kern w:val="2"/>
          <w:sz w:val="20"/>
          <w:lang w:val="en"/>
        </w:rPr>
        <w:t>Edwards</w:t>
      </w:r>
      <w:r w:rsidRPr="00DA5EB5">
        <w:rPr>
          <w:color w:val="000000"/>
          <w:kern w:val="2"/>
          <w:sz w:val="20"/>
          <w:lang w:val="en"/>
        </w:rPr>
        <w:t>,</w:t>
      </w:r>
      <w:r w:rsidRPr="00DA5EB5">
        <w:rPr>
          <w:rStyle w:val="FootnoteReference"/>
          <w:color w:val="000000"/>
          <w:kern w:val="2"/>
          <w:lang w:val="en"/>
        </w:rPr>
        <w:footnoteReference w:id="15"/>
      </w:r>
      <w:r w:rsidRPr="00DA5EB5">
        <w:rPr>
          <w:color w:val="000000"/>
          <w:kern w:val="2"/>
          <w:sz w:val="20"/>
          <w:lang w:val="en"/>
        </w:rPr>
        <w:t xml:space="preserve"> </w:t>
      </w:r>
      <w:r w:rsidRPr="00DA5EB5">
        <w:rPr>
          <w:i/>
          <w:color w:val="000000"/>
          <w:kern w:val="2"/>
          <w:sz w:val="20"/>
          <w:lang w:val="en"/>
        </w:rPr>
        <w:t>Richard</w:t>
      </w:r>
      <w:r w:rsidRPr="00DA5EB5">
        <w:rPr>
          <w:rStyle w:val="FootnoteReference"/>
          <w:color w:val="000000"/>
          <w:kern w:val="2"/>
          <w:lang w:val="en"/>
        </w:rPr>
        <w:footnoteReference w:id="16"/>
      </w:r>
      <w:r w:rsidRPr="00DA5EB5">
        <w:rPr>
          <w:i/>
          <w:color w:val="000000"/>
          <w:kern w:val="2"/>
          <w:sz w:val="20"/>
          <w:lang w:val="en"/>
        </w:rPr>
        <w:t xml:space="preserve"> </w:t>
      </w:r>
      <w:r w:rsidRPr="00DA5EB5">
        <w:rPr>
          <w:color w:val="000000"/>
          <w:kern w:val="2"/>
          <w:sz w:val="20"/>
          <w:lang w:val="en"/>
        </w:rPr>
        <w:t xml:space="preserve">and </w:t>
      </w:r>
      <w:r w:rsidRPr="00DA5EB5">
        <w:rPr>
          <w:i/>
          <w:color w:val="000000"/>
          <w:kern w:val="2"/>
          <w:sz w:val="20"/>
          <w:lang w:val="en"/>
        </w:rPr>
        <w:t>Abbey</w:t>
      </w:r>
      <w:r w:rsidRPr="00DA5EB5">
        <w:rPr>
          <w:color w:val="000000"/>
          <w:kern w:val="2"/>
          <w:sz w:val="20"/>
          <w:lang w:val="en"/>
        </w:rPr>
        <w:t>.</w:t>
      </w:r>
      <w:r w:rsidRPr="00DA5EB5">
        <w:rPr>
          <w:rStyle w:val="FootnoteReference"/>
          <w:color w:val="000000"/>
          <w:kern w:val="2"/>
          <w:lang w:val="en"/>
        </w:rPr>
        <w:footnoteReference w:id="17"/>
      </w:r>
      <w:r w:rsidR="00E87776" w:rsidRPr="00DA5EB5">
        <w:rPr>
          <w:color w:val="000000"/>
          <w:kern w:val="2"/>
          <w:sz w:val="20"/>
          <w:lang w:val="en"/>
        </w:rPr>
        <w:t xml:space="preserve"> </w:t>
      </w:r>
    </w:p>
    <w:p w14:paraId="7CEE2510" w14:textId="3D41C872" w:rsidR="0061282C" w:rsidRPr="00DA5EB5" w:rsidRDefault="0061282C" w:rsidP="007C3517">
      <w:pPr>
        <w:pStyle w:val="Heading3"/>
        <w:rPr>
          <w:kern w:val="2"/>
          <w:sz w:val="22"/>
        </w:rPr>
      </w:pPr>
      <w:r w:rsidRPr="00DA5EB5">
        <w:rPr>
          <w:kern w:val="2"/>
          <w:sz w:val="22"/>
        </w:rPr>
        <w:t>Positions of Elevated Trust</w:t>
      </w:r>
    </w:p>
    <w:p w14:paraId="5710D105" w14:textId="29FE2C06" w:rsidR="0061282C" w:rsidRPr="00DA5EB5" w:rsidRDefault="0061282C" w:rsidP="007C3517">
      <w:pPr>
        <w:rPr>
          <w:b/>
          <w:kern w:val="2"/>
          <w:sz w:val="20"/>
        </w:rPr>
      </w:pPr>
      <w:r w:rsidRPr="00DA5EB5">
        <w:rPr>
          <w:kern w:val="2"/>
          <w:sz w:val="20"/>
        </w:rPr>
        <w:t>In cases of public corruption, the position of power and degree of breach of trust is considered in sentencing.</w:t>
      </w:r>
      <w:r w:rsidR="00E87776" w:rsidRPr="00DA5EB5">
        <w:rPr>
          <w:kern w:val="2"/>
          <w:sz w:val="20"/>
        </w:rPr>
        <w:t xml:space="preserve"> </w:t>
      </w:r>
      <w:r w:rsidRPr="00DA5EB5">
        <w:rPr>
          <w:kern w:val="2"/>
          <w:sz w:val="20"/>
        </w:rPr>
        <w:t xml:space="preserve">As stated, under </w:t>
      </w:r>
      <w:r w:rsidRPr="00DA5EB5">
        <w:rPr>
          <w:rStyle w:val="Strong"/>
          <w:b w:val="0"/>
          <w:color w:val="000000"/>
          <w:kern w:val="2"/>
          <w:sz w:val="20"/>
          <w:lang w:val="en"/>
        </w:rPr>
        <w:t xml:space="preserve">§2C1.1 of the </w:t>
      </w:r>
      <w:r w:rsidR="00FA09C7" w:rsidRPr="00DA5EB5">
        <w:rPr>
          <w:rStyle w:val="Strong"/>
          <w:b w:val="0"/>
          <w:i/>
          <w:color w:val="000000"/>
          <w:kern w:val="2"/>
          <w:sz w:val="20"/>
          <w:lang w:val="en"/>
        </w:rPr>
        <w:t>Guidelines</w:t>
      </w:r>
      <w:r w:rsidRPr="00DA5EB5">
        <w:rPr>
          <w:rStyle w:val="Strong"/>
          <w:b w:val="0"/>
          <w:color w:val="000000"/>
          <w:kern w:val="2"/>
          <w:sz w:val="20"/>
          <w:lang w:val="en"/>
        </w:rPr>
        <w:t>, a four-level increase is given if t</w:t>
      </w:r>
      <w:r w:rsidR="009178FF" w:rsidRPr="00DA5EB5">
        <w:rPr>
          <w:rStyle w:val="Strong"/>
          <w:b w:val="0"/>
          <w:color w:val="000000"/>
          <w:kern w:val="2"/>
          <w:sz w:val="20"/>
          <w:lang w:val="en"/>
        </w:rPr>
        <w:t>he offens</w:t>
      </w:r>
      <w:r w:rsidRPr="00DA5EB5">
        <w:rPr>
          <w:rStyle w:val="Strong"/>
          <w:b w:val="0"/>
          <w:color w:val="000000"/>
          <w:kern w:val="2"/>
          <w:sz w:val="20"/>
          <w:lang w:val="en"/>
        </w:rPr>
        <w:t>e involved an elected public official or high-level decision-making or sensitive posi</w:t>
      </w:r>
      <w:r w:rsidR="009178FF" w:rsidRPr="00DA5EB5">
        <w:rPr>
          <w:rStyle w:val="Strong"/>
          <w:b w:val="0"/>
          <w:color w:val="000000"/>
          <w:kern w:val="2"/>
          <w:sz w:val="20"/>
          <w:lang w:val="en"/>
        </w:rPr>
        <w:t>tion</w:t>
      </w:r>
      <w:r w:rsidR="00662F0E" w:rsidRPr="00DA5EB5">
        <w:rPr>
          <w:rStyle w:val="Strong"/>
          <w:b w:val="0"/>
          <w:color w:val="000000"/>
          <w:kern w:val="2"/>
          <w:sz w:val="20"/>
          <w:lang w:val="en"/>
        </w:rPr>
        <w:t>,</w:t>
      </w:r>
      <w:r w:rsidR="009178FF" w:rsidRPr="00DA5EB5">
        <w:rPr>
          <w:rStyle w:val="Strong"/>
          <w:b w:val="0"/>
          <w:color w:val="000000"/>
          <w:kern w:val="2"/>
          <w:sz w:val="20"/>
          <w:lang w:val="en"/>
        </w:rPr>
        <w:t xml:space="preserve"> and if the resulting offens</w:t>
      </w:r>
      <w:r w:rsidRPr="00DA5EB5">
        <w:rPr>
          <w:rStyle w:val="Strong"/>
          <w:b w:val="0"/>
          <w:color w:val="000000"/>
          <w:kern w:val="2"/>
          <w:sz w:val="20"/>
          <w:lang w:val="en"/>
        </w:rPr>
        <w:t>e level is less than 18, it is to be increased to level 18.</w:t>
      </w:r>
    </w:p>
    <w:p w14:paraId="4AC6DA3F" w14:textId="0566654D" w:rsidR="00973ABF" w:rsidRPr="00DA5EB5" w:rsidRDefault="0061282C" w:rsidP="007C3517">
      <w:pPr>
        <w:rPr>
          <w:kern w:val="2"/>
          <w:sz w:val="20"/>
        </w:rPr>
      </w:pPr>
      <w:r w:rsidRPr="00DA5EB5">
        <w:rPr>
          <w:kern w:val="2"/>
          <w:sz w:val="20"/>
        </w:rPr>
        <w:t xml:space="preserve">In </w:t>
      </w:r>
      <w:r w:rsidRPr="00DA5EB5">
        <w:rPr>
          <w:i/>
          <w:kern w:val="2"/>
          <w:sz w:val="20"/>
        </w:rPr>
        <w:t xml:space="preserve">United States of America v Bridget </w:t>
      </w:r>
      <w:proofErr w:type="spellStart"/>
      <w:r w:rsidRPr="00DA5EB5">
        <w:rPr>
          <w:i/>
          <w:kern w:val="2"/>
          <w:sz w:val="20"/>
        </w:rPr>
        <w:t>McCafferty</w:t>
      </w:r>
      <w:proofErr w:type="spellEnd"/>
      <w:r w:rsidRPr="00DA5EB5">
        <w:rPr>
          <w:kern w:val="2"/>
          <w:sz w:val="20"/>
        </w:rPr>
        <w:t>,</w:t>
      </w:r>
      <w:r w:rsidRPr="00DA5EB5">
        <w:rPr>
          <w:rStyle w:val="FootnoteReference"/>
          <w:kern w:val="2"/>
        </w:rPr>
        <w:footnoteReference w:id="18"/>
      </w:r>
      <w:r w:rsidRPr="00DA5EB5">
        <w:rPr>
          <w:i/>
          <w:kern w:val="2"/>
          <w:sz w:val="20"/>
        </w:rPr>
        <w:t xml:space="preserve"> </w:t>
      </w:r>
      <w:proofErr w:type="spellStart"/>
      <w:r w:rsidRPr="00DA5EB5">
        <w:rPr>
          <w:kern w:val="2"/>
          <w:sz w:val="20"/>
        </w:rPr>
        <w:t>McCafferty</w:t>
      </w:r>
      <w:proofErr w:type="spellEnd"/>
      <w:r w:rsidR="00662F0E" w:rsidRPr="00DA5EB5">
        <w:rPr>
          <w:kern w:val="2"/>
          <w:sz w:val="20"/>
        </w:rPr>
        <w:t>,</w:t>
      </w:r>
      <w:r w:rsidRPr="00DA5EB5">
        <w:rPr>
          <w:i/>
          <w:kern w:val="2"/>
          <w:sz w:val="20"/>
        </w:rPr>
        <w:t xml:space="preserve"> </w:t>
      </w:r>
      <w:r w:rsidRPr="00DA5EB5">
        <w:rPr>
          <w:kern w:val="2"/>
          <w:sz w:val="20"/>
        </w:rPr>
        <w:t xml:space="preserve">a former judge, was convicted of 10 counts of making false statements to FBI agents arising out of a corruption investigation of another public official. </w:t>
      </w:r>
      <w:r w:rsidRPr="00DA5EB5">
        <w:rPr>
          <w:color w:val="000000"/>
          <w:kern w:val="2"/>
          <w:sz w:val="20"/>
        </w:rPr>
        <w:t xml:space="preserve">The offense level was 6, with its corresponding guideline range for sentencing from 0-6 months. The district court applied a 5-level adjustment moving the range to 8-14 months and sentenced </w:t>
      </w:r>
      <w:proofErr w:type="spellStart"/>
      <w:r w:rsidRPr="00DA5EB5">
        <w:rPr>
          <w:color w:val="000000"/>
          <w:kern w:val="2"/>
          <w:sz w:val="20"/>
        </w:rPr>
        <w:t>McCafferty</w:t>
      </w:r>
      <w:proofErr w:type="spellEnd"/>
      <w:r w:rsidRPr="00DA5EB5">
        <w:rPr>
          <w:color w:val="000000"/>
          <w:kern w:val="2"/>
          <w:sz w:val="20"/>
        </w:rPr>
        <w:t xml:space="preserve"> to 14 months. </w:t>
      </w:r>
      <w:r w:rsidRPr="00DA5EB5">
        <w:rPr>
          <w:kern w:val="2"/>
          <w:sz w:val="20"/>
        </w:rPr>
        <w:t xml:space="preserve">The upward departure and ultimate sentence were both upheld on appeal, with the court stating: </w:t>
      </w:r>
      <w:r w:rsidR="00FD6DAC" w:rsidRPr="00DA5EB5">
        <w:rPr>
          <w:kern w:val="2"/>
          <w:sz w:val="20"/>
        </w:rPr>
        <w:t>“</w:t>
      </w:r>
      <w:r w:rsidRPr="00DA5EB5">
        <w:rPr>
          <w:kern w:val="2"/>
          <w:sz w:val="20"/>
        </w:rPr>
        <w:t>For a sitting judge to knowingly lie to FBI agents after she had unethically steered negotiations in a case to benefit her associates is a shock to our system of justice and the rule of law.</w:t>
      </w:r>
      <w:r w:rsidR="00FD6DAC" w:rsidRPr="00DA5EB5">
        <w:rPr>
          <w:kern w:val="2"/>
          <w:sz w:val="20"/>
        </w:rPr>
        <w:t>”</w:t>
      </w:r>
      <w:r w:rsidRPr="00DA5EB5">
        <w:rPr>
          <w:rStyle w:val="FootnoteReference"/>
          <w:kern w:val="2"/>
        </w:rPr>
        <w:footnoteReference w:id="19"/>
      </w:r>
    </w:p>
    <w:p w14:paraId="0035E85A" w14:textId="6ED5643C" w:rsidR="0061282C" w:rsidRPr="00DA5EB5" w:rsidRDefault="0061282C" w:rsidP="007C3517">
      <w:pPr>
        <w:rPr>
          <w:kern w:val="2"/>
          <w:sz w:val="20"/>
        </w:rPr>
      </w:pPr>
      <w:r w:rsidRPr="00DA5EB5">
        <w:rPr>
          <w:kern w:val="2"/>
          <w:sz w:val="20"/>
        </w:rPr>
        <w:t xml:space="preserve">In one of the highest profile corruption cases in the last decade, former Illinois Governor Rod Blagojevich was sentenced to 14 years in prison following 18 corruption convictions, most notably his attempt to </w:t>
      </w:r>
      <w:r w:rsidR="00FD6DAC" w:rsidRPr="00DA5EB5">
        <w:rPr>
          <w:kern w:val="2"/>
          <w:sz w:val="20"/>
        </w:rPr>
        <w:t>“</w:t>
      </w:r>
      <w:r w:rsidRPr="00DA5EB5">
        <w:rPr>
          <w:kern w:val="2"/>
          <w:sz w:val="20"/>
        </w:rPr>
        <w:t>sell or trade</w:t>
      </w:r>
      <w:r w:rsidR="00FD6DAC" w:rsidRPr="00DA5EB5">
        <w:rPr>
          <w:kern w:val="2"/>
          <w:sz w:val="20"/>
        </w:rPr>
        <w:t>”</w:t>
      </w:r>
      <w:r w:rsidRPr="00DA5EB5">
        <w:rPr>
          <w:kern w:val="2"/>
          <w:sz w:val="20"/>
        </w:rPr>
        <w:t xml:space="preserve"> the United States Senate seat that had become vacated following Barack Obama’s election in 2008. Other charges included racketeering conspiracy, wire fraud, extortion conspiracy, attempted extortion and making false statements to federal agents.</w:t>
      </w:r>
      <w:r w:rsidRPr="00DA5EB5">
        <w:rPr>
          <w:rStyle w:val="FootnoteReference"/>
          <w:kern w:val="2"/>
        </w:rPr>
        <w:footnoteReference w:id="20"/>
      </w:r>
      <w:r w:rsidRPr="00DA5EB5">
        <w:rPr>
          <w:kern w:val="2"/>
          <w:sz w:val="20"/>
        </w:rPr>
        <w:t xml:space="preserve"> In sentencing Blagojevich to 14 years in prison, Judge James </w:t>
      </w:r>
      <w:proofErr w:type="spellStart"/>
      <w:r w:rsidRPr="00DA5EB5">
        <w:rPr>
          <w:kern w:val="2"/>
          <w:sz w:val="20"/>
        </w:rPr>
        <w:t>Zagel</w:t>
      </w:r>
      <w:proofErr w:type="spellEnd"/>
      <w:r w:rsidRPr="00DA5EB5">
        <w:rPr>
          <w:kern w:val="2"/>
          <w:sz w:val="20"/>
        </w:rPr>
        <w:t xml:space="preserve"> stated </w:t>
      </w:r>
      <w:r w:rsidR="00FD6DAC" w:rsidRPr="00DA5EB5">
        <w:rPr>
          <w:kern w:val="2"/>
          <w:sz w:val="20"/>
        </w:rPr>
        <w:t>“</w:t>
      </w:r>
      <w:r w:rsidRPr="00DA5EB5">
        <w:rPr>
          <w:kern w:val="2"/>
          <w:sz w:val="20"/>
        </w:rPr>
        <w:t>[t]</w:t>
      </w:r>
      <w:r w:rsidRPr="00DA5EB5">
        <w:rPr>
          <w:kern w:val="2"/>
          <w:sz w:val="20"/>
          <w:lang w:val="en"/>
        </w:rPr>
        <w:t>he harm here is not measured in the value of property or money. The harm is the erosion of public trust in government.</w:t>
      </w:r>
      <w:r w:rsidR="00FD6DAC" w:rsidRPr="00DA5EB5">
        <w:rPr>
          <w:kern w:val="2"/>
          <w:sz w:val="20"/>
          <w:lang w:val="en"/>
        </w:rPr>
        <w:t>”</w:t>
      </w:r>
      <w:r w:rsidRPr="00DA5EB5">
        <w:rPr>
          <w:rStyle w:val="FootnoteReference"/>
          <w:kern w:val="2"/>
          <w:lang w:val="en"/>
        </w:rPr>
        <w:footnoteReference w:id="21"/>
      </w:r>
      <w:r w:rsidRPr="00DA5EB5">
        <w:rPr>
          <w:kern w:val="2"/>
          <w:sz w:val="20"/>
          <w:lang w:val="en"/>
        </w:rPr>
        <w:t xml:space="preserve"> </w:t>
      </w:r>
      <w:r w:rsidR="00AE119D" w:rsidRPr="00DA5EB5">
        <w:rPr>
          <w:color w:val="000000" w:themeColor="text1"/>
          <w:kern w:val="2"/>
          <w:sz w:val="20"/>
        </w:rPr>
        <w:t>On appeal, the 7</w:t>
      </w:r>
      <w:r w:rsidR="00AE119D" w:rsidRPr="00DA5EB5">
        <w:rPr>
          <w:color w:val="000000" w:themeColor="text1"/>
          <w:kern w:val="2"/>
          <w:sz w:val="20"/>
          <w:vertAlign w:val="superscript"/>
        </w:rPr>
        <w:t>th</w:t>
      </w:r>
      <w:r w:rsidR="00AE119D" w:rsidRPr="00DA5EB5">
        <w:rPr>
          <w:color w:val="000000" w:themeColor="text1"/>
          <w:kern w:val="2"/>
          <w:sz w:val="20"/>
        </w:rPr>
        <w:t xml:space="preserve"> Circuit Court of Appeals vacated five of the convictions on a technicality and ordered a re-sentencing; further leave to the Supreme Court was denied.</w:t>
      </w:r>
      <w:r w:rsidR="00E87776" w:rsidRPr="00DA5EB5">
        <w:rPr>
          <w:color w:val="000000" w:themeColor="text1"/>
          <w:kern w:val="2"/>
          <w:sz w:val="20"/>
        </w:rPr>
        <w:t xml:space="preserve"> </w:t>
      </w:r>
      <w:r w:rsidR="00AE119D" w:rsidRPr="00DA5EB5">
        <w:rPr>
          <w:color w:val="000000" w:themeColor="text1"/>
          <w:kern w:val="2"/>
          <w:sz w:val="20"/>
        </w:rPr>
        <w:t>Despite the reduced number of convictions, the 14-year sentence was upheld at a re-sentencing in August, 2016. Blagojevich’s lawyer further appeal</w:t>
      </w:r>
      <w:r w:rsidR="00D00E9E" w:rsidRPr="00DA5EB5">
        <w:rPr>
          <w:color w:val="000000" w:themeColor="text1"/>
          <w:kern w:val="2"/>
          <w:sz w:val="20"/>
        </w:rPr>
        <w:t>ed</w:t>
      </w:r>
      <w:r w:rsidR="00AE119D" w:rsidRPr="00DA5EB5">
        <w:rPr>
          <w:color w:val="000000" w:themeColor="text1"/>
          <w:kern w:val="2"/>
          <w:sz w:val="20"/>
        </w:rPr>
        <w:t xml:space="preserve"> the sentence</w:t>
      </w:r>
      <w:r w:rsidR="00113931" w:rsidRPr="00DA5EB5">
        <w:rPr>
          <w:color w:val="000000" w:themeColor="text1"/>
          <w:kern w:val="2"/>
          <w:sz w:val="20"/>
        </w:rPr>
        <w:t>,</w:t>
      </w:r>
      <w:r w:rsidR="00AE119D" w:rsidRPr="00DA5EB5">
        <w:rPr>
          <w:rStyle w:val="FootnoteReference"/>
          <w:color w:val="000000" w:themeColor="text1"/>
          <w:kern w:val="2"/>
        </w:rPr>
        <w:footnoteReference w:id="22"/>
      </w:r>
      <w:r w:rsidR="00113931" w:rsidRPr="00DA5EB5">
        <w:rPr>
          <w:color w:val="000000" w:themeColor="text1"/>
          <w:kern w:val="2"/>
        </w:rPr>
        <w:t xml:space="preserve"> </w:t>
      </w:r>
      <w:r w:rsidR="00113931" w:rsidRPr="00DA5EB5">
        <w:rPr>
          <w:color w:val="000000" w:themeColor="text1"/>
          <w:kern w:val="2"/>
          <w:sz w:val="20"/>
        </w:rPr>
        <w:t>but on April 21, 2017 the 7</w:t>
      </w:r>
      <w:r w:rsidR="00113931" w:rsidRPr="00DA5EB5">
        <w:rPr>
          <w:color w:val="000000" w:themeColor="text1"/>
          <w:kern w:val="2"/>
          <w:sz w:val="20"/>
          <w:vertAlign w:val="superscript"/>
        </w:rPr>
        <w:t>th</w:t>
      </w:r>
      <w:r w:rsidR="00113931" w:rsidRPr="00DA5EB5">
        <w:rPr>
          <w:color w:val="000000" w:themeColor="text1"/>
          <w:kern w:val="2"/>
          <w:sz w:val="20"/>
        </w:rPr>
        <w:t xml:space="preserve"> Circuit Court of Appeals upheld the </w:t>
      </w:r>
      <w:r w:rsidR="00D00E9E" w:rsidRPr="00DA5EB5">
        <w:rPr>
          <w:color w:val="000000" w:themeColor="text1"/>
          <w:kern w:val="2"/>
          <w:sz w:val="20"/>
        </w:rPr>
        <w:t xml:space="preserve">original </w:t>
      </w:r>
      <w:r w:rsidR="00113931" w:rsidRPr="00DA5EB5">
        <w:rPr>
          <w:color w:val="000000" w:themeColor="text1"/>
          <w:kern w:val="2"/>
          <w:sz w:val="20"/>
        </w:rPr>
        <w:t>sentence.</w:t>
      </w:r>
      <w:r w:rsidR="00113931" w:rsidRPr="00DA5EB5">
        <w:rPr>
          <w:rStyle w:val="FootnoteReference"/>
          <w:color w:val="000000" w:themeColor="text1"/>
          <w:kern w:val="2"/>
        </w:rPr>
        <w:footnoteReference w:id="23"/>
      </w:r>
    </w:p>
    <w:p w14:paraId="653DE290" w14:textId="1E374CDD" w:rsidR="0061282C" w:rsidRPr="00DA5EB5" w:rsidRDefault="0061282C" w:rsidP="007C3517">
      <w:pPr>
        <w:rPr>
          <w:kern w:val="2"/>
        </w:rPr>
      </w:pPr>
      <w:r w:rsidRPr="00DA5EB5">
        <w:rPr>
          <w:i/>
          <w:kern w:val="2"/>
          <w:sz w:val="20"/>
        </w:rPr>
        <w:t xml:space="preserve">United States of America v Richard Renzi </w:t>
      </w:r>
      <w:r w:rsidRPr="00DA5EB5">
        <w:rPr>
          <w:kern w:val="2"/>
          <w:sz w:val="20"/>
        </w:rPr>
        <w:t>involved the trial and sentencing of a former Arizona Congressman in respect to a $200,000 bribe payment (resulting in a 10-level enhancement).</w:t>
      </w:r>
      <w:r w:rsidR="00272227" w:rsidRPr="00DA5EB5">
        <w:rPr>
          <w:rStyle w:val="FootnoteReference"/>
          <w:kern w:val="2"/>
        </w:rPr>
        <w:footnoteReference w:id="24"/>
      </w:r>
      <w:r w:rsidRPr="00DA5EB5">
        <w:rPr>
          <w:kern w:val="2"/>
          <w:sz w:val="20"/>
        </w:rPr>
        <w:t xml:space="preserve"> Renzi was sentenced to 36 months imprisonment and his friend and business partner was sentenced to 18 months imprisonment. In affirming the sentences, the Court noted the substantial power granted to Renzi, stating:</w:t>
      </w:r>
    </w:p>
    <w:p w14:paraId="12298C93" w14:textId="3224D36E" w:rsidR="0061282C" w:rsidRPr="00DA5EB5" w:rsidRDefault="0061282C" w:rsidP="000F6D49">
      <w:pPr>
        <w:pStyle w:val="BlockQuote"/>
        <w:rPr>
          <w:kern w:val="2"/>
          <w:sz w:val="20"/>
        </w:rPr>
      </w:pPr>
      <w:r w:rsidRPr="00DA5EB5">
        <w:rPr>
          <w:kern w:val="2"/>
          <w:sz w:val="20"/>
        </w:rPr>
        <w:t>The Constitution and our citizenry entrust Congressmen with immense power. Former Congressman Renzi abused the trust of this Nation, and for doing so, he was convicted by a jury of his peers. After careful consideration of the evidence and legal arguments, we affirm the convictions and sentences of both Renzi and his friend and business partner, Sandlin.</w:t>
      </w:r>
      <w:r w:rsidR="00CF7BAE" w:rsidRPr="00DA5EB5">
        <w:rPr>
          <w:rStyle w:val="FootnoteReference"/>
          <w:kern w:val="2"/>
          <w:szCs w:val="21"/>
        </w:rPr>
        <w:footnoteReference w:id="25"/>
      </w:r>
    </w:p>
    <w:p w14:paraId="13263E59" w14:textId="77777777" w:rsidR="00973ABF" w:rsidRPr="00DA5EB5" w:rsidRDefault="0061282C" w:rsidP="00DF2F35">
      <w:pPr>
        <w:rPr>
          <w:kern w:val="2"/>
          <w:sz w:val="20"/>
        </w:rPr>
      </w:pPr>
      <w:r w:rsidRPr="00DA5EB5">
        <w:rPr>
          <w:i/>
          <w:kern w:val="2"/>
          <w:sz w:val="20"/>
        </w:rPr>
        <w:t>United States of America v Richard McDonough</w:t>
      </w:r>
      <w:r w:rsidRPr="00DA5EB5">
        <w:rPr>
          <w:rStyle w:val="FootnoteReference"/>
          <w:kern w:val="2"/>
        </w:rPr>
        <w:footnoteReference w:id="26"/>
      </w:r>
      <w:r w:rsidRPr="00DA5EB5">
        <w:rPr>
          <w:kern w:val="2"/>
          <w:sz w:val="20"/>
        </w:rPr>
        <w:t xml:space="preserve"> involved the trial and sentencing of</w:t>
      </w:r>
      <w:r w:rsidR="00054BBB" w:rsidRPr="00DA5EB5">
        <w:rPr>
          <w:kern w:val="2"/>
          <w:sz w:val="20"/>
        </w:rPr>
        <w:t xml:space="preserve"> McDonough</w:t>
      </w:r>
      <w:r w:rsidRPr="00DA5EB5">
        <w:rPr>
          <w:kern w:val="2"/>
          <w:sz w:val="20"/>
        </w:rPr>
        <w:t xml:space="preserve"> Salvatore </w:t>
      </w:r>
      <w:proofErr w:type="spellStart"/>
      <w:r w:rsidRPr="00DA5EB5">
        <w:rPr>
          <w:kern w:val="2"/>
          <w:sz w:val="20"/>
        </w:rPr>
        <w:t>DiMasi</w:t>
      </w:r>
      <w:proofErr w:type="spellEnd"/>
      <w:r w:rsidRPr="00DA5EB5">
        <w:rPr>
          <w:kern w:val="2"/>
          <w:sz w:val="20"/>
        </w:rPr>
        <w:t xml:space="preserve">, the former Speaker of the Massachusetts House of Representatives, for bribes in relation to business transactions. </w:t>
      </w:r>
      <w:proofErr w:type="spellStart"/>
      <w:r w:rsidRPr="00DA5EB5">
        <w:rPr>
          <w:kern w:val="2"/>
          <w:sz w:val="20"/>
        </w:rPr>
        <w:t>DiMasi</w:t>
      </w:r>
      <w:proofErr w:type="spellEnd"/>
      <w:r w:rsidRPr="00DA5EB5">
        <w:rPr>
          <w:kern w:val="2"/>
          <w:sz w:val="20"/>
        </w:rPr>
        <w:t xml:space="preserve"> received a sentence of 96 months (8 years) imprisonment (the guideline range was 235 to 293 months) and McDonough was sentenced to 84 </w:t>
      </w:r>
      <w:r w:rsidR="003E144A" w:rsidRPr="00DA5EB5">
        <w:rPr>
          <w:kern w:val="2"/>
          <w:sz w:val="20"/>
        </w:rPr>
        <w:t xml:space="preserve">months </w:t>
      </w:r>
      <w:r w:rsidRPr="00DA5EB5">
        <w:rPr>
          <w:kern w:val="2"/>
          <w:sz w:val="20"/>
        </w:rPr>
        <w:t xml:space="preserve">(7 years) imprisonment (the guideline range was 188 to 235 months). The guideline range for </w:t>
      </w:r>
      <w:proofErr w:type="spellStart"/>
      <w:r w:rsidRPr="00DA5EB5">
        <w:rPr>
          <w:kern w:val="2"/>
          <w:sz w:val="20"/>
        </w:rPr>
        <w:t>DiMasi</w:t>
      </w:r>
      <w:proofErr w:type="spellEnd"/>
      <w:r w:rsidRPr="00DA5EB5">
        <w:rPr>
          <w:kern w:val="2"/>
          <w:sz w:val="20"/>
        </w:rPr>
        <w:t xml:space="preserve"> and McDonough was identical except for the enhancement given </w:t>
      </w:r>
      <w:r w:rsidR="00973ABF" w:rsidRPr="00DA5EB5">
        <w:rPr>
          <w:kern w:val="2"/>
          <w:sz w:val="20"/>
        </w:rPr>
        <w:t xml:space="preserve">to </w:t>
      </w:r>
      <w:proofErr w:type="spellStart"/>
      <w:r w:rsidR="00973ABF" w:rsidRPr="00DA5EB5">
        <w:rPr>
          <w:kern w:val="2"/>
          <w:sz w:val="20"/>
        </w:rPr>
        <w:t>DiMasi</w:t>
      </w:r>
      <w:proofErr w:type="spellEnd"/>
      <w:r w:rsidR="00973ABF" w:rsidRPr="00DA5EB5">
        <w:rPr>
          <w:kern w:val="2"/>
          <w:sz w:val="20"/>
        </w:rPr>
        <w:t xml:space="preserve"> as a public official.</w:t>
      </w:r>
    </w:p>
    <w:p w14:paraId="7175CA4E" w14:textId="4DDFA37E" w:rsidR="0061282C" w:rsidRPr="00DA5EB5" w:rsidRDefault="0061282C" w:rsidP="007C3517">
      <w:pPr>
        <w:rPr>
          <w:kern w:val="2"/>
          <w:sz w:val="20"/>
        </w:rPr>
      </w:pPr>
      <w:r w:rsidRPr="00DA5EB5">
        <w:rPr>
          <w:i/>
          <w:kern w:val="2"/>
          <w:sz w:val="20"/>
        </w:rPr>
        <w:t xml:space="preserve">United States of America v Joseph </w:t>
      </w:r>
      <w:r w:rsidR="00272227" w:rsidRPr="00DA5EB5">
        <w:rPr>
          <w:i/>
          <w:kern w:val="2"/>
          <w:sz w:val="20"/>
        </w:rPr>
        <w:t>Paulus</w:t>
      </w:r>
      <w:r w:rsidR="00272227" w:rsidRPr="00DA5EB5">
        <w:rPr>
          <w:kern w:val="2"/>
          <w:sz w:val="20"/>
        </w:rPr>
        <w:t xml:space="preserve"> involved</w:t>
      </w:r>
      <w:r w:rsidRPr="00DA5EB5">
        <w:rPr>
          <w:kern w:val="2"/>
          <w:sz w:val="20"/>
        </w:rPr>
        <w:t xml:space="preserve"> the sentencing of Paulus, a former district attorney who accepted 22 bribes over the course of a two-year period for agreeing to favourable treatment of a defence lawyer’s clients.</w:t>
      </w:r>
      <w:r w:rsidR="00272227" w:rsidRPr="00DA5EB5">
        <w:rPr>
          <w:rStyle w:val="FootnoteReference"/>
          <w:color w:val="000000"/>
          <w:kern w:val="2"/>
        </w:rPr>
        <w:footnoteReference w:id="27"/>
      </w:r>
      <w:r w:rsidRPr="00DA5EB5">
        <w:rPr>
          <w:kern w:val="2"/>
          <w:sz w:val="20"/>
        </w:rPr>
        <w:t xml:space="preserve"> Paulus was sentenced to 58 months imprisonment (nearly 5 years), an upward departure from the guideline range of 27 to 33 months. The court justified their upward departure based on the nature of the trust breached, the number of bribes over a substantial period of time and the difficulty in detecting corruption. The court stated:</w:t>
      </w:r>
      <w:r w:rsidRPr="00DA5EB5">
        <w:rPr>
          <w:rStyle w:val="FootnoteReference"/>
          <w:kern w:val="2"/>
          <w:szCs w:val="21"/>
        </w:rPr>
        <w:t xml:space="preserve"> </w:t>
      </w:r>
    </w:p>
    <w:p w14:paraId="5E920CFB" w14:textId="04239574" w:rsidR="0061282C" w:rsidRPr="00DA5EB5" w:rsidRDefault="0061282C" w:rsidP="007C3517">
      <w:pPr>
        <w:pStyle w:val="BlockQuote"/>
        <w:rPr>
          <w:color w:val="000000" w:themeColor="text1"/>
          <w:kern w:val="2"/>
          <w:sz w:val="20"/>
        </w:rPr>
      </w:pPr>
      <w:r w:rsidRPr="00DA5EB5">
        <w:rPr>
          <w:kern w:val="2"/>
          <w:sz w:val="20"/>
        </w:rPr>
        <w:t>Bribery, by its very nature, is a difficult crime to detect. Like prostitution, it occurs only between consenting parties both of whom have a strong interest is concealing their actions. And often, when it involves public corruption as in this case, one of the parties occupies a position of public trust that makes him, or her, an unlikely suspect. In light of these facts, it is unusual to uncover even one instance of bribery by a public official, let alone twenty-two. This fact takes the case outside of the heartland</w:t>
      </w:r>
      <w:r w:rsidR="005D2A6D" w:rsidRPr="00DA5EB5">
        <w:rPr>
          <w:kern w:val="2"/>
          <w:sz w:val="20"/>
        </w:rPr>
        <w:t xml:space="preserve"> </w:t>
      </w:r>
      <w:r w:rsidRPr="00DA5EB5">
        <w:rPr>
          <w:kern w:val="2"/>
          <w:sz w:val="20"/>
        </w:rPr>
        <w:t xml:space="preserve">…. That there was interference with a government function to an unusual degree and a loss of public confidence in government </w:t>
      </w:r>
      <w:r w:rsidRPr="00DA5EB5">
        <w:rPr>
          <w:color w:val="000000" w:themeColor="text1"/>
          <w:kern w:val="2"/>
          <w:sz w:val="20"/>
        </w:rPr>
        <w:t>as a result of his offense are facts that this court has found. But the question of how to measure such impact and assign a numeric adjustment in the applicable offense level under the Guidelines is a matter of judgment. Such matters cannot be quantified, or at least easily quantified.</w:t>
      </w:r>
      <w:r w:rsidR="00E87776" w:rsidRPr="00DA5EB5">
        <w:rPr>
          <w:color w:val="000000" w:themeColor="text1"/>
          <w:kern w:val="2"/>
          <w:sz w:val="20"/>
        </w:rPr>
        <w:t xml:space="preserve"> </w:t>
      </w:r>
      <w:r w:rsidRPr="00DA5EB5">
        <w:rPr>
          <w:color w:val="000000" w:themeColor="text1"/>
          <w:kern w:val="2"/>
          <w:sz w:val="20"/>
        </w:rPr>
        <w:t>For these reasons, and for the reasons set forth on the record in court, the defendant is sentenced to a term of fifty-eight months.</w:t>
      </w:r>
      <w:r w:rsidR="00AF09BA" w:rsidRPr="00DA5EB5">
        <w:rPr>
          <w:rStyle w:val="FootnoteReference"/>
          <w:kern w:val="2"/>
          <w:szCs w:val="21"/>
        </w:rPr>
        <w:footnoteReference w:id="28"/>
      </w:r>
    </w:p>
    <w:p w14:paraId="05E14D53" w14:textId="1D886CE8" w:rsidR="0061282C" w:rsidRPr="00DA5EB5" w:rsidRDefault="0061282C" w:rsidP="00DF2F35">
      <w:pPr>
        <w:rPr>
          <w:kern w:val="2"/>
        </w:rPr>
      </w:pPr>
      <w:r w:rsidRPr="00DA5EB5">
        <w:rPr>
          <w:kern w:val="2"/>
          <w:sz w:val="20"/>
          <w:bdr w:val="none" w:sz="0" w:space="0" w:color="auto" w:frame="1"/>
          <w:lang w:val="en" w:eastAsia="en-CA"/>
        </w:rPr>
        <w:t>While §2C1.1</w:t>
      </w:r>
      <w:r w:rsidRPr="00DA5EB5">
        <w:rPr>
          <w:b/>
          <w:kern w:val="2"/>
          <w:sz w:val="20"/>
          <w:bdr w:val="none" w:sz="0" w:space="0" w:color="auto" w:frame="1"/>
          <w:lang w:val="en" w:eastAsia="en-CA"/>
        </w:rPr>
        <w:t xml:space="preserve"> </w:t>
      </w:r>
      <w:r w:rsidRPr="00DA5EB5">
        <w:rPr>
          <w:kern w:val="2"/>
          <w:sz w:val="20"/>
          <w:bdr w:val="none" w:sz="0" w:space="0" w:color="auto" w:frame="1"/>
          <w:lang w:val="en" w:eastAsia="en-CA"/>
        </w:rPr>
        <w:t>deals with one of the most common corruption offen</w:t>
      </w:r>
      <w:r w:rsidR="009178FF" w:rsidRPr="00DA5EB5">
        <w:rPr>
          <w:kern w:val="2"/>
          <w:sz w:val="20"/>
          <w:bdr w:val="none" w:sz="0" w:space="0" w:color="auto" w:frame="1"/>
          <w:lang w:val="en" w:eastAsia="en-CA"/>
        </w:rPr>
        <w:t>s</w:t>
      </w:r>
      <w:r w:rsidRPr="00DA5EB5">
        <w:rPr>
          <w:kern w:val="2"/>
          <w:sz w:val="20"/>
          <w:bdr w:val="none" w:sz="0" w:space="0" w:color="auto" w:frame="1"/>
          <w:lang w:val="en" w:eastAsia="en-CA"/>
        </w:rPr>
        <w:t>es, there are other guidelines</w:t>
      </w:r>
      <w:r w:rsidRPr="00DA5EB5">
        <w:rPr>
          <w:kern w:val="2"/>
          <w:bdr w:val="none" w:sz="0" w:space="0" w:color="auto" w:frame="1"/>
          <w:lang w:val="en" w:eastAsia="en-CA"/>
        </w:rPr>
        <w:t xml:space="preserve"> which </w:t>
      </w:r>
      <w:r w:rsidRPr="00DA5EB5">
        <w:rPr>
          <w:kern w:val="2"/>
          <w:sz w:val="20"/>
          <w:bdr w:val="none" w:sz="0" w:space="0" w:color="auto" w:frame="1"/>
          <w:lang w:val="en" w:eastAsia="en-CA"/>
        </w:rPr>
        <w:t>apply to offen</w:t>
      </w:r>
      <w:r w:rsidR="009178FF" w:rsidRPr="00DA5EB5">
        <w:rPr>
          <w:kern w:val="2"/>
          <w:sz w:val="20"/>
          <w:bdr w:val="none" w:sz="0" w:space="0" w:color="auto" w:frame="1"/>
          <w:lang w:val="en" w:eastAsia="en-CA"/>
        </w:rPr>
        <w:t>s</w:t>
      </w:r>
      <w:r w:rsidRPr="00DA5EB5">
        <w:rPr>
          <w:kern w:val="2"/>
          <w:sz w:val="20"/>
          <w:bdr w:val="none" w:sz="0" w:space="0" w:color="auto" w:frame="1"/>
          <w:lang w:val="en" w:eastAsia="en-CA"/>
        </w:rPr>
        <w:t>es which are either directly related to corruption or have an element of corruption if they are committed by a public official.</w:t>
      </w:r>
      <w:r w:rsidRPr="00DA5EB5">
        <w:rPr>
          <w:rStyle w:val="FootnoteReference"/>
          <w:rFonts w:eastAsia="Times New Roman"/>
          <w:bCs/>
          <w:color w:val="000000" w:themeColor="text1"/>
          <w:kern w:val="2"/>
          <w:sz w:val="18"/>
          <w:bdr w:val="none" w:sz="0" w:space="0" w:color="auto" w:frame="1"/>
          <w:lang w:val="en" w:eastAsia="en-CA"/>
        </w:rPr>
        <w:footnoteReference w:id="29"/>
      </w:r>
      <w:r w:rsidR="00E87776" w:rsidRPr="00DA5EB5">
        <w:rPr>
          <w:kern w:val="2"/>
          <w:sz w:val="20"/>
          <w:bdr w:val="none" w:sz="0" w:space="0" w:color="auto" w:frame="1"/>
          <w:lang w:val="en" w:eastAsia="en-CA"/>
        </w:rPr>
        <w:t xml:space="preserve"> </w:t>
      </w:r>
    </w:p>
    <w:p w14:paraId="14540861" w14:textId="64E8E280" w:rsidR="0061282C" w:rsidRPr="00DA5EB5" w:rsidRDefault="0061282C" w:rsidP="007C3517">
      <w:pPr>
        <w:pStyle w:val="Heading2"/>
        <w:rPr>
          <w:kern w:val="2"/>
          <w:sz w:val="24"/>
        </w:rPr>
      </w:pPr>
      <w:r w:rsidRPr="00DA5EB5">
        <w:rPr>
          <w:kern w:val="2"/>
          <w:sz w:val="24"/>
        </w:rPr>
        <w:t>Imposition of Fines</w:t>
      </w:r>
    </w:p>
    <w:p w14:paraId="136D2FF3" w14:textId="63C7BC6D" w:rsidR="001140C0" w:rsidRPr="00DA5EB5" w:rsidRDefault="0061282C" w:rsidP="007C3517">
      <w:pPr>
        <w:rPr>
          <w:color w:val="000000" w:themeColor="text1"/>
          <w:kern w:val="2"/>
          <w:sz w:val="20"/>
          <w:szCs w:val="18"/>
          <w:lang w:val="en"/>
        </w:rPr>
      </w:pPr>
      <w:r w:rsidRPr="00DA5EB5">
        <w:rPr>
          <w:color w:val="000000" w:themeColor="text1"/>
          <w:kern w:val="2"/>
          <w:sz w:val="20"/>
        </w:rPr>
        <w:t xml:space="preserve">Criminal offenders can also be fined as part of their sentence. </w:t>
      </w:r>
      <w:r w:rsidR="001140C0" w:rsidRPr="00DA5EB5">
        <w:rPr>
          <w:color w:val="000000" w:themeColor="text1"/>
          <w:kern w:val="2"/>
          <w:sz w:val="20"/>
        </w:rPr>
        <w:t xml:space="preserve">Under 18 USC </w:t>
      </w:r>
      <w:r w:rsidR="001140C0" w:rsidRPr="00DA5EB5">
        <w:rPr>
          <w:color w:val="000000" w:themeColor="text1"/>
          <w:kern w:val="2"/>
          <w:sz w:val="20"/>
          <w:szCs w:val="18"/>
          <w:lang w:val="en"/>
        </w:rPr>
        <w:t>§</w:t>
      </w:r>
      <w:r w:rsidR="001140C0" w:rsidRPr="00DA5EB5">
        <w:rPr>
          <w:caps/>
          <w:color w:val="000000" w:themeColor="text1"/>
          <w:kern w:val="2"/>
          <w:sz w:val="16"/>
          <w:szCs w:val="18"/>
          <w:lang w:val="en"/>
        </w:rPr>
        <w:t xml:space="preserve"> </w:t>
      </w:r>
      <w:r w:rsidR="001140C0" w:rsidRPr="00DA5EB5">
        <w:rPr>
          <w:caps/>
          <w:color w:val="000000" w:themeColor="text1"/>
          <w:kern w:val="2"/>
          <w:sz w:val="20"/>
          <w:szCs w:val="18"/>
          <w:lang w:val="en"/>
        </w:rPr>
        <w:t xml:space="preserve">3571, </w:t>
      </w:r>
      <w:r w:rsidR="001140C0" w:rsidRPr="00DA5EB5">
        <w:rPr>
          <w:color w:val="000000" w:themeColor="text1"/>
          <w:kern w:val="2"/>
          <w:sz w:val="20"/>
          <w:szCs w:val="18"/>
          <w:lang w:val="en"/>
        </w:rPr>
        <w:t xml:space="preserve">fines for individual offenders may </w:t>
      </w:r>
      <w:r w:rsidR="009C7B8D" w:rsidRPr="00DA5EB5">
        <w:rPr>
          <w:color w:val="000000" w:themeColor="text1"/>
          <w:kern w:val="2"/>
          <w:sz w:val="20"/>
          <w:szCs w:val="18"/>
          <w:lang w:val="en"/>
        </w:rPr>
        <w:t>be no</w:t>
      </w:r>
      <w:r w:rsidR="001140C0" w:rsidRPr="00DA5EB5">
        <w:rPr>
          <w:color w:val="000000" w:themeColor="text1"/>
          <w:kern w:val="2"/>
          <w:sz w:val="20"/>
          <w:szCs w:val="18"/>
          <w:lang w:val="en"/>
        </w:rPr>
        <w:t xml:space="preserve"> more than the greatest of:</w:t>
      </w:r>
    </w:p>
    <w:p w14:paraId="35ECEF7E" w14:textId="77347B7F" w:rsidR="001140C0" w:rsidRPr="00DA5EB5" w:rsidRDefault="001140C0" w:rsidP="00DF2F35">
      <w:pPr>
        <w:pStyle w:val="ListParagraph"/>
        <w:numPr>
          <w:ilvl w:val="0"/>
          <w:numId w:val="9"/>
        </w:numPr>
        <w:shd w:val="clear" w:color="auto" w:fill="FFFFFF"/>
        <w:spacing w:after="60"/>
        <w:ind w:right="851"/>
        <w:rPr>
          <w:rFonts w:eastAsia="Times New Roman"/>
          <w:color w:val="000000" w:themeColor="text1"/>
          <w:kern w:val="2"/>
          <w:sz w:val="20"/>
          <w:szCs w:val="21"/>
          <w:lang w:eastAsia="en-CA"/>
        </w:rPr>
      </w:pPr>
      <w:r w:rsidRPr="00DA5EB5">
        <w:rPr>
          <w:rFonts w:eastAsia="Times New Roman"/>
          <w:color w:val="000000" w:themeColor="text1"/>
          <w:kern w:val="2"/>
          <w:sz w:val="20"/>
          <w:szCs w:val="21"/>
          <w:lang w:eastAsia="en-CA"/>
        </w:rPr>
        <w:t>the amount specified in the law setting forth the offense;</w:t>
      </w:r>
    </w:p>
    <w:p w14:paraId="5DAC7B21" w14:textId="3372A47F" w:rsidR="001140C0" w:rsidRPr="00DA5EB5" w:rsidRDefault="001140C0" w:rsidP="00DF2F35">
      <w:pPr>
        <w:pStyle w:val="ListParagraph"/>
        <w:numPr>
          <w:ilvl w:val="0"/>
          <w:numId w:val="9"/>
        </w:numPr>
        <w:shd w:val="clear" w:color="auto" w:fill="FFFFFF"/>
        <w:spacing w:after="60"/>
        <w:ind w:right="851"/>
        <w:rPr>
          <w:rFonts w:eastAsia="Times New Roman"/>
          <w:color w:val="000000" w:themeColor="text1"/>
          <w:kern w:val="2"/>
          <w:sz w:val="20"/>
          <w:szCs w:val="21"/>
          <w:lang w:eastAsia="en-CA"/>
        </w:rPr>
      </w:pPr>
      <w:bookmarkStart w:id="27" w:name="b_2"/>
      <w:bookmarkEnd w:id="27"/>
      <w:r w:rsidRPr="00DA5EB5">
        <w:rPr>
          <w:rFonts w:eastAsia="Times New Roman"/>
          <w:color w:val="000000" w:themeColor="text1"/>
          <w:kern w:val="2"/>
          <w:sz w:val="20"/>
          <w:szCs w:val="21"/>
          <w:lang w:eastAsia="en-CA"/>
        </w:rPr>
        <w:t xml:space="preserve">the applicable amount under subsection (d) of this section [not more than the greater of twice the value of the loss caused to another </w:t>
      </w:r>
      <w:r w:rsidR="009C7B8D" w:rsidRPr="00DA5EB5">
        <w:rPr>
          <w:rFonts w:eastAsia="Times New Roman"/>
          <w:color w:val="000000" w:themeColor="text1"/>
          <w:kern w:val="2"/>
          <w:sz w:val="20"/>
          <w:szCs w:val="21"/>
          <w:lang w:eastAsia="en-CA"/>
        </w:rPr>
        <w:t>by the offen</w:t>
      </w:r>
      <w:r w:rsidR="00AB1413" w:rsidRPr="00DA5EB5">
        <w:rPr>
          <w:rFonts w:eastAsia="Times New Roman"/>
          <w:color w:val="000000" w:themeColor="text1"/>
          <w:kern w:val="2"/>
          <w:sz w:val="20"/>
          <w:szCs w:val="21"/>
          <w:lang w:eastAsia="en-CA"/>
        </w:rPr>
        <w:t>s</w:t>
      </w:r>
      <w:r w:rsidR="009C7B8D" w:rsidRPr="00DA5EB5">
        <w:rPr>
          <w:rFonts w:eastAsia="Times New Roman"/>
          <w:color w:val="000000" w:themeColor="text1"/>
          <w:kern w:val="2"/>
          <w:sz w:val="20"/>
          <w:szCs w:val="21"/>
          <w:lang w:eastAsia="en-CA"/>
        </w:rPr>
        <w:t xml:space="preserve">e </w:t>
      </w:r>
      <w:r w:rsidRPr="00DA5EB5">
        <w:rPr>
          <w:rFonts w:eastAsia="Times New Roman"/>
          <w:color w:val="000000" w:themeColor="text1"/>
          <w:kern w:val="2"/>
          <w:sz w:val="20"/>
          <w:szCs w:val="21"/>
          <w:lang w:eastAsia="en-CA"/>
        </w:rPr>
        <w:t>or twice the value of the defendant’s gain from their criminal behaviour, unless this option would unduly complicate or lengthen the sentencing process];</w:t>
      </w:r>
    </w:p>
    <w:p w14:paraId="540D1F3B" w14:textId="501D66D7" w:rsidR="001140C0" w:rsidRPr="00DA5EB5" w:rsidRDefault="001140C0" w:rsidP="007C3517">
      <w:pPr>
        <w:pStyle w:val="ListParagraph"/>
        <w:numPr>
          <w:ilvl w:val="0"/>
          <w:numId w:val="9"/>
        </w:numPr>
        <w:shd w:val="clear" w:color="auto" w:fill="FFFFFF"/>
        <w:ind w:right="851"/>
        <w:rPr>
          <w:rFonts w:eastAsia="Times New Roman"/>
          <w:color w:val="000000" w:themeColor="text1"/>
          <w:kern w:val="2"/>
          <w:sz w:val="20"/>
          <w:szCs w:val="21"/>
          <w:lang w:eastAsia="en-CA"/>
        </w:rPr>
      </w:pPr>
      <w:bookmarkStart w:id="28" w:name="b_3"/>
      <w:bookmarkEnd w:id="28"/>
      <w:r w:rsidRPr="00DA5EB5">
        <w:rPr>
          <w:rFonts w:eastAsia="Times New Roman"/>
          <w:color w:val="000000" w:themeColor="text1"/>
          <w:kern w:val="2"/>
          <w:sz w:val="20"/>
          <w:szCs w:val="21"/>
          <w:lang w:eastAsia="en-CA"/>
        </w:rPr>
        <w:t>for a felony, not more than $250,000;</w:t>
      </w:r>
    </w:p>
    <w:p w14:paraId="76D236EB" w14:textId="2FFDD490" w:rsidR="0061282C" w:rsidRPr="00DA5EB5" w:rsidRDefault="0061282C" w:rsidP="006F19C0">
      <w:pPr>
        <w:keepNext/>
        <w:rPr>
          <w:color w:val="000000" w:themeColor="text1"/>
          <w:kern w:val="2"/>
          <w:sz w:val="20"/>
          <w:lang w:val="en"/>
        </w:rPr>
      </w:pPr>
      <w:r w:rsidRPr="00DA5EB5">
        <w:rPr>
          <w:color w:val="000000" w:themeColor="text1"/>
          <w:kern w:val="2"/>
          <w:sz w:val="20"/>
        </w:rPr>
        <w:t xml:space="preserve">The factors governing </w:t>
      </w:r>
      <w:r w:rsidRPr="00DA5EB5">
        <w:rPr>
          <w:color w:val="000000" w:themeColor="text1"/>
          <w:kern w:val="2"/>
          <w:sz w:val="20"/>
          <w:bdr w:val="none" w:sz="0" w:space="0" w:color="auto" w:frame="1"/>
          <w:lang w:val="en"/>
        </w:rPr>
        <w:t xml:space="preserve">the imposition of a fine are found in </w:t>
      </w:r>
      <w:r w:rsidRPr="00DA5EB5">
        <w:rPr>
          <w:color w:val="000000" w:themeColor="text1"/>
          <w:kern w:val="2"/>
          <w:sz w:val="20"/>
          <w:lang w:val="en"/>
        </w:rPr>
        <w:t xml:space="preserve">18 </w:t>
      </w:r>
      <w:r w:rsidR="000F3288" w:rsidRPr="00DA5EB5">
        <w:rPr>
          <w:color w:val="000000" w:themeColor="text1"/>
          <w:kern w:val="2"/>
          <w:sz w:val="20"/>
          <w:lang w:val="en"/>
        </w:rPr>
        <w:t>USC</w:t>
      </w:r>
      <w:r w:rsidRPr="00DA5EB5">
        <w:rPr>
          <w:color w:val="000000" w:themeColor="text1"/>
          <w:kern w:val="2"/>
          <w:sz w:val="20"/>
          <w:lang w:val="en"/>
        </w:rPr>
        <w:t xml:space="preserve"> § 3572, which states:</w:t>
      </w:r>
    </w:p>
    <w:p w14:paraId="7991D2B9" w14:textId="092FA320" w:rsidR="0061282C" w:rsidRPr="00DA5EB5" w:rsidRDefault="00EF4911" w:rsidP="0074473E">
      <w:pPr>
        <w:pStyle w:val="BlockQuote"/>
        <w:numPr>
          <w:ilvl w:val="0"/>
          <w:numId w:val="10"/>
        </w:numPr>
        <w:spacing w:after="60"/>
        <w:jc w:val="left"/>
        <w:rPr>
          <w:kern w:val="2"/>
          <w:sz w:val="20"/>
          <w:lang w:val="en"/>
        </w:rPr>
      </w:pPr>
      <w:r w:rsidRPr="00DA5EB5">
        <w:rPr>
          <w:b/>
          <w:bCs/>
          <w:kern w:val="2"/>
          <w:sz w:val="20"/>
          <w:lang w:val="en"/>
        </w:rPr>
        <w:t xml:space="preserve">Factors To Be Considered </w:t>
      </w:r>
      <w:r w:rsidR="0061282C" w:rsidRPr="00DA5EB5">
        <w:rPr>
          <w:b/>
          <w:bCs/>
          <w:kern w:val="2"/>
          <w:sz w:val="20"/>
          <w:lang w:val="en"/>
        </w:rPr>
        <w:t xml:space="preserve">— </w:t>
      </w:r>
      <w:r w:rsidR="0061282C" w:rsidRPr="00DA5EB5">
        <w:rPr>
          <w:rStyle w:val="ptext-18"/>
          <w:color w:val="000000" w:themeColor="text1"/>
          <w:kern w:val="2"/>
          <w:sz w:val="20"/>
          <w:szCs w:val="21"/>
          <w:lang w:val="en"/>
        </w:rPr>
        <w:t xml:space="preserve">In determining whether to impose a fine, and the amount, time for payment, and method of payment of a fine, the court shall consider, in addition to the factors set forth in section </w:t>
      </w:r>
      <w:hyperlink r:id="rId9" w:tooltip="§ 3553 - Imposition of a sentence" w:history="1">
        <w:r w:rsidR="0061282C" w:rsidRPr="00DA5EB5">
          <w:rPr>
            <w:rStyle w:val="Hyperlink"/>
            <w:color w:val="000000" w:themeColor="text1"/>
            <w:kern w:val="2"/>
            <w:sz w:val="20"/>
            <w:szCs w:val="21"/>
            <w:lang w:val="en"/>
          </w:rPr>
          <w:t>3553</w:t>
        </w:r>
      </w:hyperlink>
      <w:r w:rsidR="0061282C" w:rsidRPr="00DA5EB5">
        <w:rPr>
          <w:rStyle w:val="ptext-18"/>
          <w:color w:val="000000" w:themeColor="text1"/>
          <w:kern w:val="2"/>
          <w:sz w:val="20"/>
          <w:szCs w:val="21"/>
          <w:lang w:val="en"/>
        </w:rPr>
        <w:t xml:space="preserve"> </w:t>
      </w:r>
      <w:hyperlink r:id="rId10" w:anchor="a" w:tooltip="(a)" w:history="1">
        <w:r w:rsidR="0061282C" w:rsidRPr="00DA5EB5">
          <w:rPr>
            <w:rStyle w:val="Hyperlink"/>
            <w:color w:val="000000" w:themeColor="text1"/>
            <w:kern w:val="2"/>
            <w:sz w:val="20"/>
            <w:szCs w:val="21"/>
            <w:lang w:val="en"/>
          </w:rPr>
          <w:t>(a)</w:t>
        </w:r>
      </w:hyperlink>
      <w:r w:rsidR="0061282C" w:rsidRPr="00DA5EB5">
        <w:rPr>
          <w:rStyle w:val="ptext-18"/>
          <w:color w:val="000000" w:themeColor="text1"/>
          <w:kern w:val="2"/>
          <w:sz w:val="20"/>
          <w:szCs w:val="21"/>
          <w:lang w:val="en"/>
        </w:rPr>
        <w:t xml:space="preserve">— </w:t>
      </w:r>
    </w:p>
    <w:p w14:paraId="6A4DFF10" w14:textId="5EC6A86E" w:rsidR="0061282C" w:rsidRPr="00DA5EB5" w:rsidRDefault="0061282C" w:rsidP="0074473E">
      <w:pPr>
        <w:pStyle w:val="BlockQuote"/>
        <w:numPr>
          <w:ilvl w:val="0"/>
          <w:numId w:val="11"/>
        </w:numPr>
        <w:spacing w:after="60"/>
        <w:jc w:val="left"/>
        <w:rPr>
          <w:kern w:val="2"/>
          <w:sz w:val="20"/>
          <w:lang w:val="en"/>
        </w:rPr>
      </w:pPr>
      <w:r w:rsidRPr="00DA5EB5">
        <w:rPr>
          <w:rStyle w:val="ptext-18"/>
          <w:color w:val="000000" w:themeColor="text1"/>
          <w:kern w:val="2"/>
          <w:sz w:val="20"/>
          <w:szCs w:val="21"/>
          <w:lang w:val="en"/>
        </w:rPr>
        <w:t xml:space="preserve">the defendant’s income, earning capacity, and financial resources; </w:t>
      </w:r>
    </w:p>
    <w:p w14:paraId="4D3EEC64" w14:textId="3ED76C17" w:rsidR="0061282C" w:rsidRPr="00DA5EB5" w:rsidRDefault="0061282C" w:rsidP="0074473E">
      <w:pPr>
        <w:pStyle w:val="BlockQuote"/>
        <w:numPr>
          <w:ilvl w:val="0"/>
          <w:numId w:val="11"/>
        </w:numPr>
        <w:spacing w:after="60"/>
        <w:jc w:val="left"/>
        <w:rPr>
          <w:kern w:val="2"/>
          <w:sz w:val="20"/>
          <w:lang w:val="en"/>
        </w:rPr>
      </w:pPr>
      <w:r w:rsidRPr="00DA5EB5">
        <w:rPr>
          <w:rStyle w:val="ptext-18"/>
          <w:color w:val="000000" w:themeColor="text1"/>
          <w:kern w:val="2"/>
          <w:sz w:val="20"/>
          <w:szCs w:val="21"/>
          <w:lang w:val="en"/>
        </w:rPr>
        <w:t xml:space="preserve">the burden that the fine will impose upon the defendant, any person who is financially dependent on the defendant, or any other person (including a government) that would be responsible for the welfare of any person financially dependent on the defendant, relative to the burden that alternative punishments would impose; </w:t>
      </w:r>
    </w:p>
    <w:p w14:paraId="01FFA188" w14:textId="695A76CF" w:rsidR="0061282C" w:rsidRPr="00DA5EB5" w:rsidRDefault="0061282C" w:rsidP="0074473E">
      <w:pPr>
        <w:pStyle w:val="BlockQuote"/>
        <w:numPr>
          <w:ilvl w:val="0"/>
          <w:numId w:val="11"/>
        </w:numPr>
        <w:spacing w:after="60"/>
        <w:jc w:val="left"/>
        <w:rPr>
          <w:kern w:val="2"/>
          <w:sz w:val="20"/>
          <w:lang w:val="en"/>
        </w:rPr>
      </w:pPr>
      <w:r w:rsidRPr="00DA5EB5">
        <w:rPr>
          <w:rStyle w:val="ptext-18"/>
          <w:color w:val="000000" w:themeColor="text1"/>
          <w:kern w:val="2"/>
          <w:sz w:val="20"/>
          <w:szCs w:val="21"/>
          <w:lang w:val="en"/>
        </w:rPr>
        <w:t xml:space="preserve">any pecuniary loss inflicted upon others as a result of the offense; </w:t>
      </w:r>
    </w:p>
    <w:p w14:paraId="46E492C8" w14:textId="4E8CD5D7" w:rsidR="0061282C" w:rsidRPr="00DA5EB5" w:rsidRDefault="0061282C" w:rsidP="0074473E">
      <w:pPr>
        <w:pStyle w:val="BlockQuote"/>
        <w:numPr>
          <w:ilvl w:val="0"/>
          <w:numId w:val="11"/>
        </w:numPr>
        <w:spacing w:after="60"/>
        <w:jc w:val="left"/>
        <w:rPr>
          <w:kern w:val="2"/>
          <w:sz w:val="20"/>
          <w:lang w:val="en"/>
        </w:rPr>
      </w:pPr>
      <w:r w:rsidRPr="00DA5EB5">
        <w:rPr>
          <w:rStyle w:val="ptext-18"/>
          <w:color w:val="000000" w:themeColor="text1"/>
          <w:kern w:val="2"/>
          <w:sz w:val="20"/>
          <w:szCs w:val="21"/>
          <w:lang w:val="en"/>
        </w:rPr>
        <w:t xml:space="preserve">whether restitution is ordered or made and the amount of such restitution; </w:t>
      </w:r>
    </w:p>
    <w:p w14:paraId="49DFDB39" w14:textId="0BF46F80" w:rsidR="0061282C" w:rsidRPr="00DA5EB5" w:rsidRDefault="0061282C" w:rsidP="0074473E">
      <w:pPr>
        <w:pStyle w:val="BlockQuote"/>
        <w:numPr>
          <w:ilvl w:val="0"/>
          <w:numId w:val="11"/>
        </w:numPr>
        <w:spacing w:after="60"/>
        <w:jc w:val="left"/>
        <w:rPr>
          <w:kern w:val="2"/>
          <w:sz w:val="20"/>
          <w:lang w:val="en"/>
        </w:rPr>
      </w:pPr>
      <w:r w:rsidRPr="00DA5EB5">
        <w:rPr>
          <w:rStyle w:val="ptext-18"/>
          <w:color w:val="000000" w:themeColor="text1"/>
          <w:kern w:val="2"/>
          <w:sz w:val="20"/>
          <w:szCs w:val="21"/>
          <w:lang w:val="en"/>
        </w:rPr>
        <w:t xml:space="preserve">the need to deprive the defendant of illegally obtained gains from the offense; </w:t>
      </w:r>
    </w:p>
    <w:p w14:paraId="2BE9FF03" w14:textId="3B664589" w:rsidR="0061282C" w:rsidRPr="00DA5EB5" w:rsidRDefault="0061282C" w:rsidP="0074473E">
      <w:pPr>
        <w:pStyle w:val="BlockQuote"/>
        <w:numPr>
          <w:ilvl w:val="0"/>
          <w:numId w:val="11"/>
        </w:numPr>
        <w:spacing w:after="60"/>
        <w:jc w:val="left"/>
        <w:rPr>
          <w:kern w:val="2"/>
          <w:sz w:val="20"/>
          <w:lang w:val="en"/>
        </w:rPr>
      </w:pPr>
      <w:r w:rsidRPr="00DA5EB5">
        <w:rPr>
          <w:rStyle w:val="ptext-18"/>
          <w:color w:val="000000" w:themeColor="text1"/>
          <w:kern w:val="2"/>
          <w:sz w:val="20"/>
          <w:szCs w:val="21"/>
          <w:lang w:val="en"/>
        </w:rPr>
        <w:t xml:space="preserve">the expected costs to the government of any imprisonment, supervised release, or probation component of the sentence; </w:t>
      </w:r>
    </w:p>
    <w:p w14:paraId="4AE8DFBE" w14:textId="5D866FE9" w:rsidR="0061282C" w:rsidRPr="00DA5EB5" w:rsidRDefault="0061282C" w:rsidP="0074473E">
      <w:pPr>
        <w:pStyle w:val="BlockQuote"/>
        <w:numPr>
          <w:ilvl w:val="0"/>
          <w:numId w:val="11"/>
        </w:numPr>
        <w:spacing w:after="60"/>
        <w:jc w:val="left"/>
        <w:rPr>
          <w:kern w:val="2"/>
          <w:sz w:val="20"/>
          <w:lang w:val="en"/>
        </w:rPr>
      </w:pPr>
      <w:r w:rsidRPr="00DA5EB5">
        <w:rPr>
          <w:rStyle w:val="ptext-18"/>
          <w:color w:val="000000" w:themeColor="text1"/>
          <w:kern w:val="2"/>
          <w:sz w:val="20"/>
          <w:szCs w:val="21"/>
          <w:lang w:val="en"/>
        </w:rPr>
        <w:t xml:space="preserve">whether the defendant can pass on to consumers or other persons the expense of the fine; and </w:t>
      </w:r>
    </w:p>
    <w:p w14:paraId="62DC6B11" w14:textId="09802101" w:rsidR="0061282C" w:rsidRPr="00DA5EB5" w:rsidRDefault="0061282C" w:rsidP="0074473E">
      <w:pPr>
        <w:pStyle w:val="BlockQuote"/>
        <w:numPr>
          <w:ilvl w:val="0"/>
          <w:numId w:val="11"/>
        </w:numPr>
        <w:spacing w:after="60"/>
        <w:jc w:val="left"/>
        <w:rPr>
          <w:kern w:val="2"/>
          <w:sz w:val="20"/>
          <w:lang w:val="en"/>
        </w:rPr>
      </w:pPr>
      <w:bookmarkStart w:id="29" w:name="a_8"/>
      <w:bookmarkEnd w:id="29"/>
      <w:proofErr w:type="gramStart"/>
      <w:r w:rsidRPr="00DA5EB5">
        <w:rPr>
          <w:rStyle w:val="ptext-18"/>
          <w:color w:val="000000" w:themeColor="text1"/>
          <w:kern w:val="2"/>
          <w:sz w:val="20"/>
          <w:szCs w:val="21"/>
          <w:lang w:val="en"/>
        </w:rPr>
        <w:t>if</w:t>
      </w:r>
      <w:proofErr w:type="gramEnd"/>
      <w:r w:rsidRPr="00DA5EB5">
        <w:rPr>
          <w:rStyle w:val="ptext-18"/>
          <w:color w:val="000000" w:themeColor="text1"/>
          <w:kern w:val="2"/>
          <w:sz w:val="20"/>
          <w:szCs w:val="21"/>
          <w:lang w:val="en"/>
        </w:rPr>
        <w:t xml:space="preserve"> the defendant is an organization, the size of the organization and any measure taken by the organization to discipline any officer, director, employee, or agent of the organization responsible for the offense and to prevent a recurrence of such an offense. </w:t>
      </w:r>
    </w:p>
    <w:p w14:paraId="3D044C5C" w14:textId="071F10F0" w:rsidR="0061282C" w:rsidRPr="00DA5EB5" w:rsidRDefault="0061282C" w:rsidP="0074473E">
      <w:pPr>
        <w:pStyle w:val="BlockQuote"/>
        <w:numPr>
          <w:ilvl w:val="0"/>
          <w:numId w:val="10"/>
        </w:numPr>
        <w:jc w:val="left"/>
        <w:rPr>
          <w:rStyle w:val="ptext-18"/>
          <w:kern w:val="2"/>
          <w:sz w:val="20"/>
          <w:szCs w:val="21"/>
          <w:lang w:val="en"/>
        </w:rPr>
      </w:pPr>
      <w:bookmarkStart w:id="30" w:name="b"/>
      <w:bookmarkEnd w:id="30"/>
      <w:r w:rsidRPr="00DA5EB5">
        <w:rPr>
          <w:b/>
          <w:bCs/>
          <w:kern w:val="2"/>
          <w:sz w:val="20"/>
          <w:lang w:val="en"/>
        </w:rPr>
        <w:t>Fine Not to Imp</w:t>
      </w:r>
      <w:r w:rsidR="00EF4911" w:rsidRPr="00DA5EB5">
        <w:rPr>
          <w:b/>
          <w:bCs/>
          <w:kern w:val="2"/>
          <w:sz w:val="20"/>
          <w:lang w:val="en"/>
        </w:rPr>
        <w:t xml:space="preserve">air Ability to Make Restitution </w:t>
      </w:r>
      <w:r w:rsidRPr="00DA5EB5">
        <w:rPr>
          <w:b/>
          <w:bCs/>
          <w:kern w:val="2"/>
          <w:sz w:val="20"/>
          <w:lang w:val="en"/>
        </w:rPr>
        <w:t xml:space="preserve">— </w:t>
      </w:r>
      <w:r w:rsidRPr="00DA5EB5">
        <w:rPr>
          <w:rStyle w:val="ptext-18"/>
          <w:kern w:val="2"/>
          <w:sz w:val="20"/>
          <w:szCs w:val="21"/>
          <w:lang w:val="en"/>
        </w:rPr>
        <w:t>If, as a result of a conviction, the defendant has the obligation to make restitution to a victim of the offense, other than the United States, the court shall impose a fine or other monetary penalty only to the extent that such fine or penalty will not impair the ability of the</w:t>
      </w:r>
      <w:r w:rsidR="00272227" w:rsidRPr="00DA5EB5">
        <w:rPr>
          <w:rStyle w:val="ptext-18"/>
          <w:kern w:val="2"/>
          <w:sz w:val="20"/>
          <w:szCs w:val="21"/>
          <w:lang w:val="en"/>
        </w:rPr>
        <w:t xml:space="preserve"> defendant to make restitution.</w:t>
      </w:r>
      <w:r w:rsidRPr="00DA5EB5">
        <w:rPr>
          <w:rStyle w:val="FootnoteReference"/>
          <w:kern w:val="2"/>
          <w:szCs w:val="21"/>
          <w:lang w:val="en"/>
        </w:rPr>
        <w:footnoteReference w:id="30"/>
      </w:r>
    </w:p>
    <w:p w14:paraId="10CAEE49" w14:textId="59F0A254" w:rsidR="00D4312C" w:rsidRPr="00DA5EB5" w:rsidRDefault="009178FF" w:rsidP="00DF2F35">
      <w:pPr>
        <w:rPr>
          <w:kern w:val="2"/>
          <w:sz w:val="20"/>
          <w:lang w:val="en"/>
        </w:rPr>
      </w:pPr>
      <w:r w:rsidRPr="00DA5EB5">
        <w:rPr>
          <w:kern w:val="2"/>
          <w:sz w:val="20"/>
          <w:lang w:val="en"/>
        </w:rPr>
        <w:t>For the offen</w:t>
      </w:r>
      <w:r w:rsidR="00CA3E38" w:rsidRPr="00DA5EB5">
        <w:rPr>
          <w:kern w:val="2"/>
          <w:sz w:val="20"/>
          <w:lang w:val="en"/>
        </w:rPr>
        <w:t>s</w:t>
      </w:r>
      <w:r w:rsidR="00D4312C" w:rsidRPr="00DA5EB5">
        <w:rPr>
          <w:kern w:val="2"/>
          <w:sz w:val="20"/>
          <w:lang w:val="en"/>
        </w:rPr>
        <w:t xml:space="preserve">e of bribery of domestic public officials and witnesses in 18 USC § 201, fines are determined by the above sections or may be up to three times the value of the thing given or offered to the official. This applies to both the bribe payer and the bribe receiver, meaning the penalty for both may be based on the amount of the bribe. Rose-Ackerman notes that this symmetry in the maximum fine fails to reflect the </w:t>
      </w:r>
      <w:r w:rsidR="00FD6DAC" w:rsidRPr="00DA5EB5">
        <w:rPr>
          <w:kern w:val="2"/>
          <w:sz w:val="20"/>
          <w:lang w:val="en"/>
        </w:rPr>
        <w:t>“</w:t>
      </w:r>
      <w:r w:rsidR="00D4312C" w:rsidRPr="00DA5EB5">
        <w:rPr>
          <w:kern w:val="2"/>
          <w:sz w:val="20"/>
          <w:lang w:val="en"/>
        </w:rPr>
        <w:t>asymmetries in gains between bribe payers and recipients</w:t>
      </w:r>
      <w:r w:rsidR="006A6995" w:rsidRPr="00DA5EB5">
        <w:rPr>
          <w:kern w:val="2"/>
          <w:sz w:val="20"/>
          <w:lang w:val="en"/>
        </w:rPr>
        <w:t>.</w:t>
      </w:r>
      <w:r w:rsidR="00FD6DAC" w:rsidRPr="00DA5EB5">
        <w:rPr>
          <w:kern w:val="2"/>
          <w:sz w:val="20"/>
          <w:lang w:val="en"/>
        </w:rPr>
        <w:t>”</w:t>
      </w:r>
      <w:r w:rsidR="00D4312C" w:rsidRPr="00DA5EB5">
        <w:rPr>
          <w:rStyle w:val="FootnoteReference"/>
          <w:kern w:val="2"/>
          <w:sz w:val="18"/>
          <w:szCs w:val="18"/>
          <w:lang w:val="en"/>
        </w:rPr>
        <w:footnoteReference w:id="31"/>
      </w:r>
      <w:r w:rsidR="00D4312C" w:rsidRPr="00DA5EB5">
        <w:rPr>
          <w:kern w:val="2"/>
          <w:sz w:val="20"/>
          <w:lang w:val="en"/>
        </w:rPr>
        <w:t xml:space="preserve"> Under subsection (2) above, the bribe payer’s gains may be taken into account; however, Rose-Ackerman argues that gains should be multiplied to reflect the probability of detection in order to effectively deter bribery. </w:t>
      </w:r>
    </w:p>
    <w:p w14:paraId="3F7DFFBB" w14:textId="779E69F6" w:rsidR="002C2621" w:rsidRPr="00DA5EB5" w:rsidRDefault="0061282C" w:rsidP="007C3517">
      <w:pPr>
        <w:pStyle w:val="Heading2"/>
        <w:rPr>
          <w:rStyle w:val="Strong"/>
          <w:b/>
          <w:kern w:val="2"/>
          <w:sz w:val="24"/>
        </w:rPr>
      </w:pPr>
      <w:r w:rsidRPr="00DA5EB5">
        <w:rPr>
          <w:kern w:val="2"/>
          <w:sz w:val="24"/>
        </w:rPr>
        <w:t xml:space="preserve">Sentencing Corporations and Other Organizations </w:t>
      </w:r>
    </w:p>
    <w:p w14:paraId="2E133A4D" w14:textId="5ED82BB0" w:rsidR="0061282C" w:rsidRPr="00DA5EB5" w:rsidRDefault="0061282C" w:rsidP="007C3517">
      <w:pPr>
        <w:rPr>
          <w:rStyle w:val="Strong"/>
          <w:b w:val="0"/>
          <w:color w:val="000000"/>
          <w:kern w:val="2"/>
          <w:sz w:val="20"/>
          <w:lang w:val="en"/>
        </w:rPr>
      </w:pPr>
      <w:r w:rsidRPr="00DA5EB5">
        <w:rPr>
          <w:rStyle w:val="Strong"/>
          <w:b w:val="0"/>
          <w:color w:val="000000"/>
          <w:kern w:val="2"/>
          <w:sz w:val="20"/>
          <w:lang w:val="en"/>
        </w:rPr>
        <w:t xml:space="preserve">The </w:t>
      </w:r>
      <w:r w:rsidRPr="00DA5EB5">
        <w:rPr>
          <w:rStyle w:val="Strong"/>
          <w:b w:val="0"/>
          <w:i/>
          <w:color w:val="000000"/>
          <w:kern w:val="2"/>
          <w:sz w:val="20"/>
          <w:lang w:val="en"/>
        </w:rPr>
        <w:t>Guidelines</w:t>
      </w:r>
      <w:r w:rsidRPr="00DA5EB5">
        <w:rPr>
          <w:rStyle w:val="Strong"/>
          <w:b w:val="0"/>
          <w:color w:val="000000"/>
          <w:kern w:val="2"/>
          <w:sz w:val="20"/>
          <w:lang w:val="en"/>
        </w:rPr>
        <w:t xml:space="preserve"> provide the following general principles</w:t>
      </w:r>
      <w:r w:rsidR="00807E11" w:rsidRPr="00DA5EB5">
        <w:rPr>
          <w:rStyle w:val="Strong"/>
          <w:b w:val="0"/>
          <w:color w:val="000000"/>
          <w:kern w:val="2"/>
          <w:sz w:val="20"/>
          <w:lang w:val="en"/>
        </w:rPr>
        <w:t xml:space="preserve"> for the sentencing of organizations</w:t>
      </w:r>
      <w:r w:rsidRPr="00DA5EB5">
        <w:rPr>
          <w:rStyle w:val="Strong"/>
          <w:b w:val="0"/>
          <w:color w:val="000000"/>
          <w:kern w:val="2"/>
          <w:sz w:val="20"/>
          <w:lang w:val="en"/>
        </w:rPr>
        <w:t>:</w:t>
      </w:r>
      <w:r w:rsidRPr="00DA5EB5">
        <w:rPr>
          <w:rStyle w:val="FootnoteReference"/>
          <w:rFonts w:eastAsia="Times New Roman"/>
          <w:iCs/>
          <w:kern w:val="2"/>
          <w:szCs w:val="21"/>
          <w:lang w:val="en" w:eastAsia="en-CA"/>
        </w:rPr>
        <w:t xml:space="preserve"> </w:t>
      </w:r>
    </w:p>
    <w:p w14:paraId="32B0688D" w14:textId="77777777" w:rsidR="0061282C" w:rsidRPr="00DA5EB5" w:rsidRDefault="0061282C" w:rsidP="007C3517">
      <w:pPr>
        <w:pStyle w:val="BlockQuote"/>
        <w:rPr>
          <w:bCs/>
          <w:color w:val="000000"/>
          <w:kern w:val="2"/>
          <w:sz w:val="20"/>
          <w:bdr w:val="none" w:sz="0" w:space="0" w:color="auto" w:frame="1"/>
          <w:lang w:val="en"/>
        </w:rPr>
      </w:pPr>
      <w:r w:rsidRPr="00DA5EB5">
        <w:rPr>
          <w:kern w:val="2"/>
          <w:sz w:val="20"/>
          <w:lang w:val="en" w:eastAsia="en-CA"/>
        </w:rPr>
        <w:t>First, the court must, whenever practicable, order the organization to remedy any harm caused by the offense. The resources expended to remedy the harm should not be viewed as punishment, but rather as a means of making victims whole for the harm caused.</w:t>
      </w:r>
    </w:p>
    <w:p w14:paraId="34A7B520" w14:textId="77777777" w:rsidR="0061282C" w:rsidRPr="00DA5EB5" w:rsidRDefault="0061282C" w:rsidP="007C3517">
      <w:pPr>
        <w:pStyle w:val="BlockQuote"/>
        <w:rPr>
          <w:kern w:val="2"/>
          <w:sz w:val="20"/>
          <w:lang w:val="en" w:eastAsia="en-CA"/>
        </w:rPr>
      </w:pPr>
      <w:r w:rsidRPr="00DA5EB5">
        <w:rPr>
          <w:kern w:val="2"/>
          <w:sz w:val="20"/>
          <w:lang w:val="en" w:eastAsia="en-CA"/>
        </w:rPr>
        <w:t>Second, if the organization operated primarily for a criminal purpose or primarily by criminal means, the fine should be set sufficiently high to divest the organization of all its assets. </w:t>
      </w:r>
    </w:p>
    <w:p w14:paraId="20DC668B" w14:textId="3851FFA7" w:rsidR="0061282C" w:rsidRPr="00DA5EB5" w:rsidRDefault="0061282C" w:rsidP="007C3517">
      <w:pPr>
        <w:pStyle w:val="BlockQuote"/>
        <w:rPr>
          <w:kern w:val="2"/>
          <w:sz w:val="20"/>
          <w:lang w:val="en" w:eastAsia="en-CA"/>
        </w:rPr>
      </w:pPr>
      <w:r w:rsidRPr="00DA5EB5">
        <w:rPr>
          <w:kern w:val="2"/>
          <w:sz w:val="20"/>
          <w:lang w:val="en" w:eastAsia="en-CA"/>
        </w:rPr>
        <w:t>Third, the fine range for any other organization should be based on the seriousness of the offense and the culpability of the organization. The seriousness of the offense generally will be reflected by the greatest of the pecuniary gain, the pecuniary loss, or the amount in a guideline offense level fine table. Culpability generally will be determined by six factors that the sentencing court must consider. The four factors that increase the ultimate punishment of an organization are: (</w:t>
      </w:r>
      <w:proofErr w:type="spellStart"/>
      <w:r w:rsidRPr="00DA5EB5">
        <w:rPr>
          <w:kern w:val="2"/>
          <w:sz w:val="20"/>
          <w:lang w:val="en" w:eastAsia="en-CA"/>
        </w:rPr>
        <w:t>i</w:t>
      </w:r>
      <w:proofErr w:type="spellEnd"/>
      <w:r w:rsidRPr="00DA5EB5">
        <w:rPr>
          <w:kern w:val="2"/>
          <w:sz w:val="20"/>
          <w:lang w:val="en" w:eastAsia="en-CA"/>
        </w:rPr>
        <w:t xml:space="preserve">) the involvement in or tolerance of criminal activity; (ii) the prior history of the organization; (iii) the violation of an order; and </w:t>
      </w:r>
      <w:proofErr w:type="gramStart"/>
      <w:r w:rsidRPr="00DA5EB5">
        <w:rPr>
          <w:kern w:val="2"/>
          <w:sz w:val="20"/>
          <w:lang w:val="en" w:eastAsia="en-CA"/>
        </w:rPr>
        <w:t>(iv) the</w:t>
      </w:r>
      <w:proofErr w:type="gramEnd"/>
      <w:r w:rsidRPr="00DA5EB5">
        <w:rPr>
          <w:kern w:val="2"/>
          <w:sz w:val="20"/>
          <w:lang w:val="en" w:eastAsia="en-CA"/>
        </w:rPr>
        <w:t xml:space="preserve"> obstruction of justice. </w:t>
      </w:r>
      <w:r w:rsidRPr="00DA5EB5">
        <w:rPr>
          <w:spacing w:val="-1"/>
          <w:kern w:val="2"/>
          <w:sz w:val="20"/>
          <w:lang w:val="en" w:eastAsia="en-CA"/>
        </w:rPr>
        <w:t>The two factors that mitigate the ultimate punishment of an organization are: (</w:t>
      </w:r>
      <w:proofErr w:type="spellStart"/>
      <w:r w:rsidRPr="00DA5EB5">
        <w:rPr>
          <w:spacing w:val="-1"/>
          <w:kern w:val="2"/>
          <w:sz w:val="20"/>
          <w:lang w:val="en" w:eastAsia="en-CA"/>
        </w:rPr>
        <w:t>i</w:t>
      </w:r>
      <w:proofErr w:type="spellEnd"/>
      <w:r w:rsidRPr="00DA5EB5">
        <w:rPr>
          <w:spacing w:val="-1"/>
          <w:kern w:val="2"/>
          <w:sz w:val="20"/>
          <w:lang w:val="en" w:eastAsia="en-CA"/>
        </w:rPr>
        <w:t>) the existence of an effective compliance and ethics program; and (ii) self-reporting, cooperation, or acceptance of responsibility.</w:t>
      </w:r>
    </w:p>
    <w:p w14:paraId="425694C6" w14:textId="77777777" w:rsidR="0061282C" w:rsidRPr="00DA5EB5" w:rsidRDefault="0061282C" w:rsidP="007C3517">
      <w:pPr>
        <w:pStyle w:val="BlockQuote"/>
        <w:rPr>
          <w:kern w:val="2"/>
          <w:sz w:val="20"/>
          <w:lang w:val="en" w:eastAsia="en-CA"/>
        </w:rPr>
      </w:pPr>
      <w:r w:rsidRPr="00DA5EB5">
        <w:rPr>
          <w:kern w:val="2"/>
          <w:sz w:val="20"/>
          <w:lang w:val="en" w:eastAsia="en-CA"/>
        </w:rPr>
        <w:t>Fourth, probation is an appropriate sentence for an organizational defendant when needed to ensure that another sanction will be fully implemented, or to ensure that steps will be taken within the organization to reduce the likelihood of future criminal conduct. </w:t>
      </w:r>
    </w:p>
    <w:p w14:paraId="0E964534" w14:textId="596488F2" w:rsidR="0061282C" w:rsidRPr="00DA5EB5" w:rsidRDefault="0061282C" w:rsidP="007C3517">
      <w:pPr>
        <w:pStyle w:val="BlockQuote"/>
        <w:rPr>
          <w:kern w:val="2"/>
          <w:sz w:val="20"/>
          <w:lang w:val="en" w:eastAsia="en-CA"/>
        </w:rPr>
      </w:pPr>
      <w:r w:rsidRPr="00DA5EB5">
        <w:rPr>
          <w:kern w:val="2"/>
          <w:sz w:val="20"/>
          <w:lang w:val="en" w:eastAsia="en-CA"/>
        </w:rPr>
        <w:t>These guidelines offer incentives to organizations to reduce and ultimately eliminate criminal conduct by providing a structural foundation from which an organization may self-police its own conduct through an effective compliance and ethics program. The prevention and detection of criminal conduct, as facilitated by an effective compliance and ethics program, will assist an organization in encouraging ethical conduct and in complying fully with all applicable laws.</w:t>
      </w:r>
      <w:r w:rsidR="00EA3833" w:rsidRPr="00DA5EB5">
        <w:rPr>
          <w:rStyle w:val="FootnoteReference"/>
          <w:rFonts w:eastAsia="Times New Roman"/>
          <w:iCs/>
          <w:kern w:val="2"/>
          <w:szCs w:val="21"/>
          <w:lang w:val="en" w:eastAsia="en-CA"/>
        </w:rPr>
        <w:footnoteReference w:id="32"/>
      </w:r>
    </w:p>
    <w:p w14:paraId="35E98421" w14:textId="0376075E" w:rsidR="0061282C" w:rsidRPr="00DA5EB5" w:rsidRDefault="0061282C" w:rsidP="00DF2F35">
      <w:pPr>
        <w:rPr>
          <w:kern w:val="2"/>
          <w:sz w:val="20"/>
          <w:lang w:val="en" w:eastAsia="en-CA"/>
        </w:rPr>
      </w:pPr>
      <w:r w:rsidRPr="00DA5EB5">
        <w:rPr>
          <w:kern w:val="2"/>
          <w:sz w:val="20"/>
          <w:lang w:val="en" w:eastAsia="en-CA"/>
        </w:rPr>
        <w:t>The</w:t>
      </w:r>
      <w:r w:rsidRPr="00DA5EB5">
        <w:rPr>
          <w:i/>
          <w:kern w:val="2"/>
          <w:sz w:val="20"/>
          <w:lang w:val="en" w:eastAsia="en-CA"/>
        </w:rPr>
        <w:t xml:space="preserve"> </w:t>
      </w:r>
      <w:r w:rsidR="00807E11" w:rsidRPr="00DA5EB5">
        <w:rPr>
          <w:i/>
          <w:kern w:val="2"/>
          <w:sz w:val="20"/>
          <w:lang w:val="en" w:eastAsia="en-CA"/>
        </w:rPr>
        <w:t>G</w:t>
      </w:r>
      <w:r w:rsidRPr="00DA5EB5">
        <w:rPr>
          <w:i/>
          <w:kern w:val="2"/>
          <w:sz w:val="20"/>
          <w:lang w:val="en" w:eastAsia="en-CA"/>
        </w:rPr>
        <w:t>uidelines</w:t>
      </w:r>
      <w:r w:rsidRPr="00DA5EB5">
        <w:rPr>
          <w:kern w:val="2"/>
          <w:sz w:val="20"/>
          <w:lang w:val="en" w:eastAsia="en-CA"/>
        </w:rPr>
        <w:t xml:space="preserve"> set out the base fine for an organization:</w:t>
      </w:r>
      <w:r w:rsidRPr="00DA5EB5">
        <w:rPr>
          <w:rStyle w:val="FootnoteReference"/>
          <w:rFonts w:eastAsia="Times New Roman"/>
          <w:color w:val="000000"/>
          <w:kern w:val="2"/>
          <w:szCs w:val="21"/>
          <w:lang w:val="en" w:eastAsia="en-CA"/>
        </w:rPr>
        <w:t xml:space="preserve"> </w:t>
      </w:r>
    </w:p>
    <w:p w14:paraId="5A7EAE38" w14:textId="752EC4B5" w:rsidR="0061282C" w:rsidRPr="00DA5EB5" w:rsidRDefault="0061282C" w:rsidP="0074473E">
      <w:pPr>
        <w:pStyle w:val="BlockQuote"/>
        <w:numPr>
          <w:ilvl w:val="0"/>
          <w:numId w:val="12"/>
        </w:numPr>
        <w:jc w:val="left"/>
        <w:rPr>
          <w:kern w:val="2"/>
          <w:sz w:val="20"/>
          <w:lang w:val="en" w:eastAsia="en-CA"/>
        </w:rPr>
      </w:pPr>
      <w:r w:rsidRPr="00DA5EB5">
        <w:rPr>
          <w:kern w:val="2"/>
          <w:sz w:val="20"/>
          <w:lang w:val="en" w:eastAsia="en-CA"/>
        </w:rPr>
        <w:t>The base fine is the greatest of:</w:t>
      </w:r>
    </w:p>
    <w:p w14:paraId="48EE7814" w14:textId="6EDF86B5" w:rsidR="0061282C" w:rsidRPr="00DA5EB5" w:rsidRDefault="0061282C" w:rsidP="0074473E">
      <w:pPr>
        <w:pStyle w:val="BlockQuote"/>
        <w:numPr>
          <w:ilvl w:val="0"/>
          <w:numId w:val="13"/>
        </w:numPr>
        <w:spacing w:after="60"/>
        <w:jc w:val="left"/>
        <w:rPr>
          <w:kern w:val="2"/>
          <w:sz w:val="20"/>
          <w:lang w:val="en" w:eastAsia="en-CA"/>
        </w:rPr>
      </w:pPr>
      <w:r w:rsidRPr="00DA5EB5">
        <w:rPr>
          <w:kern w:val="2"/>
          <w:sz w:val="20"/>
          <w:lang w:val="en" w:eastAsia="en-CA"/>
        </w:rPr>
        <w:t>the amount from the table in subsection (d) below corresponding to the offense level determined under §8C2.3 (Offense Level); or</w:t>
      </w:r>
    </w:p>
    <w:p w14:paraId="7F817A04" w14:textId="103FCC76" w:rsidR="0061282C" w:rsidRPr="00DA5EB5" w:rsidRDefault="0061282C" w:rsidP="0074473E">
      <w:pPr>
        <w:pStyle w:val="BlockQuote"/>
        <w:numPr>
          <w:ilvl w:val="0"/>
          <w:numId w:val="13"/>
        </w:numPr>
        <w:spacing w:after="60"/>
        <w:jc w:val="left"/>
        <w:rPr>
          <w:kern w:val="2"/>
          <w:sz w:val="20"/>
          <w:lang w:val="en" w:eastAsia="en-CA"/>
        </w:rPr>
      </w:pPr>
      <w:r w:rsidRPr="00DA5EB5">
        <w:rPr>
          <w:kern w:val="2"/>
          <w:sz w:val="20"/>
          <w:lang w:val="en" w:eastAsia="en-CA"/>
        </w:rPr>
        <w:t>the pecuniary gain to the organization from the offense</w:t>
      </w:r>
      <w:r w:rsidR="00D4312C" w:rsidRPr="00DA5EB5">
        <w:rPr>
          <w:kern w:val="2"/>
          <w:sz w:val="20"/>
          <w:lang w:val="en" w:eastAsia="en-CA"/>
        </w:rPr>
        <w:t>;</w:t>
      </w:r>
      <w:r w:rsidR="00EA2B2A" w:rsidRPr="00DA5EB5">
        <w:rPr>
          <w:rStyle w:val="FootnoteReference"/>
          <w:rFonts w:eastAsia="Times New Roman"/>
          <w:color w:val="000000"/>
          <w:kern w:val="2"/>
          <w:sz w:val="18"/>
          <w:szCs w:val="21"/>
          <w:lang w:val="en" w:eastAsia="en-CA"/>
        </w:rPr>
        <w:footnoteReference w:id="33"/>
      </w:r>
      <w:r w:rsidRPr="00DA5EB5">
        <w:rPr>
          <w:kern w:val="2"/>
          <w:sz w:val="20"/>
          <w:lang w:val="en" w:eastAsia="en-CA"/>
        </w:rPr>
        <w:t xml:space="preserve"> or</w:t>
      </w:r>
    </w:p>
    <w:p w14:paraId="2532FB18" w14:textId="62055047" w:rsidR="0061282C" w:rsidRPr="00DA5EB5" w:rsidRDefault="0061282C" w:rsidP="0074473E">
      <w:pPr>
        <w:pStyle w:val="BlockQuote"/>
        <w:numPr>
          <w:ilvl w:val="0"/>
          <w:numId w:val="13"/>
        </w:numPr>
        <w:spacing w:after="60"/>
        <w:jc w:val="left"/>
        <w:rPr>
          <w:kern w:val="2"/>
          <w:sz w:val="20"/>
          <w:lang w:val="en" w:eastAsia="en-CA"/>
        </w:rPr>
      </w:pPr>
      <w:proofErr w:type="gramStart"/>
      <w:r w:rsidRPr="00DA5EB5">
        <w:rPr>
          <w:kern w:val="2"/>
          <w:sz w:val="20"/>
          <w:lang w:val="en" w:eastAsia="en-CA"/>
        </w:rPr>
        <w:t>the</w:t>
      </w:r>
      <w:proofErr w:type="gramEnd"/>
      <w:r w:rsidRPr="00DA5EB5">
        <w:rPr>
          <w:kern w:val="2"/>
          <w:sz w:val="20"/>
          <w:lang w:val="en" w:eastAsia="en-CA"/>
        </w:rPr>
        <w:t xml:space="preserve"> pecuniary loss from the offense caused by the organization, to the extent the loss was caused intentionally, knowingly, or recklessly.</w:t>
      </w:r>
      <w:r w:rsidR="00BA1EC5" w:rsidRPr="00DA5EB5">
        <w:rPr>
          <w:rStyle w:val="FootnoteReference"/>
          <w:rFonts w:eastAsia="Times New Roman"/>
          <w:color w:val="000000"/>
          <w:kern w:val="2"/>
          <w:szCs w:val="21"/>
          <w:lang w:val="en" w:eastAsia="en-CA"/>
        </w:rPr>
        <w:footnoteReference w:id="34"/>
      </w:r>
    </w:p>
    <w:p w14:paraId="2FD78323" w14:textId="24A0BF8A" w:rsidR="0061282C" w:rsidRPr="00DA5EB5" w:rsidRDefault="0061282C" w:rsidP="00DF2F35">
      <w:pPr>
        <w:ind w:right="4"/>
        <w:textAlignment w:val="baseline"/>
        <w:rPr>
          <w:rFonts w:eastAsia="Times New Roman"/>
          <w:iCs/>
          <w:kern w:val="2"/>
          <w:sz w:val="20"/>
          <w:szCs w:val="21"/>
          <w:lang w:val="en" w:eastAsia="en-CA"/>
        </w:rPr>
      </w:pPr>
      <w:r w:rsidRPr="00DA5EB5">
        <w:rPr>
          <w:rFonts w:eastAsia="Times New Roman"/>
          <w:iCs/>
          <w:kern w:val="2"/>
          <w:sz w:val="20"/>
          <w:lang w:val="en" w:eastAsia="en-CA"/>
        </w:rPr>
        <w:t xml:space="preserve">The </w:t>
      </w:r>
      <w:r w:rsidR="00807E11" w:rsidRPr="00DA5EB5">
        <w:rPr>
          <w:rFonts w:eastAsia="Times New Roman"/>
          <w:i/>
          <w:iCs/>
          <w:kern w:val="2"/>
          <w:sz w:val="20"/>
          <w:lang w:val="en" w:eastAsia="en-CA"/>
        </w:rPr>
        <w:t>G</w:t>
      </w:r>
      <w:r w:rsidRPr="00DA5EB5">
        <w:rPr>
          <w:rFonts w:eastAsia="Times New Roman"/>
          <w:i/>
          <w:iCs/>
          <w:kern w:val="2"/>
          <w:sz w:val="20"/>
          <w:lang w:val="en" w:eastAsia="en-CA"/>
        </w:rPr>
        <w:t xml:space="preserve">uidelines </w:t>
      </w:r>
      <w:r w:rsidRPr="00DA5EB5">
        <w:rPr>
          <w:rFonts w:eastAsia="Times New Roman"/>
          <w:iCs/>
          <w:kern w:val="2"/>
          <w:sz w:val="20"/>
          <w:lang w:val="en" w:eastAsia="en-CA"/>
        </w:rPr>
        <w:t>set out a fine of $5,000 for an offen</w:t>
      </w:r>
      <w:r w:rsidR="00AB1413" w:rsidRPr="00DA5EB5">
        <w:rPr>
          <w:rFonts w:eastAsia="Times New Roman"/>
          <w:iCs/>
          <w:kern w:val="2"/>
          <w:sz w:val="20"/>
          <w:lang w:val="en" w:eastAsia="en-CA"/>
        </w:rPr>
        <w:t>s</w:t>
      </w:r>
      <w:r w:rsidRPr="00DA5EB5">
        <w:rPr>
          <w:rFonts w:eastAsia="Times New Roman"/>
          <w:iCs/>
          <w:kern w:val="2"/>
          <w:sz w:val="20"/>
          <w:lang w:val="en" w:eastAsia="en-CA"/>
        </w:rPr>
        <w:t>e level of 6 or less and gradually rise to $72.5 million for offense level of 38 or more. Each offen</w:t>
      </w:r>
      <w:r w:rsidR="009178FF" w:rsidRPr="00DA5EB5">
        <w:rPr>
          <w:rFonts w:eastAsia="Times New Roman"/>
          <w:iCs/>
          <w:kern w:val="2"/>
          <w:sz w:val="20"/>
          <w:lang w:val="en" w:eastAsia="en-CA"/>
        </w:rPr>
        <w:t>s</w:t>
      </w:r>
      <w:r w:rsidRPr="00DA5EB5">
        <w:rPr>
          <w:rFonts w:eastAsia="Times New Roman"/>
          <w:iCs/>
          <w:kern w:val="2"/>
          <w:sz w:val="20"/>
          <w:lang w:val="en" w:eastAsia="en-CA"/>
        </w:rPr>
        <w:t>e level increases the amount of the fine. For example:</w:t>
      </w:r>
      <w:r w:rsidRPr="00DA5EB5">
        <w:rPr>
          <w:rStyle w:val="FootnoteReference"/>
          <w:rFonts w:eastAsia="Times New Roman"/>
          <w:iCs/>
          <w:kern w:val="2"/>
          <w:szCs w:val="21"/>
          <w:lang w:val="en" w:eastAsia="en-CA"/>
        </w:rPr>
        <w:t xml:space="preserve"> </w:t>
      </w:r>
    </w:p>
    <w:p w14:paraId="12597FCC" w14:textId="0FB7B44C" w:rsidR="00742807" w:rsidRPr="00DA5EB5" w:rsidRDefault="00D40CF9" w:rsidP="00097109">
      <w:pPr>
        <w:keepNext/>
        <w:spacing w:after="120"/>
        <w:jc w:val="left"/>
        <w:textAlignment w:val="baseline"/>
        <w:rPr>
          <w:rFonts w:eastAsia="Times New Roman"/>
          <w:b/>
          <w:iCs/>
          <w:kern w:val="2"/>
          <w:sz w:val="20"/>
          <w:szCs w:val="21"/>
          <w:lang w:val="en" w:eastAsia="en-CA"/>
        </w:rPr>
      </w:pPr>
      <w:r w:rsidRPr="00DA5EB5">
        <w:rPr>
          <w:rFonts w:eastAsia="Times New Roman"/>
          <w:b/>
          <w:iCs/>
          <w:kern w:val="2"/>
          <w:sz w:val="20"/>
          <w:szCs w:val="21"/>
          <w:lang w:val="en" w:eastAsia="en-CA"/>
        </w:rPr>
        <w:t>Table 7.3</w:t>
      </w:r>
      <w:r w:rsidRPr="00DA5EB5">
        <w:rPr>
          <w:rFonts w:eastAsia="Times New Roman"/>
          <w:iCs/>
          <w:kern w:val="2"/>
          <w:sz w:val="20"/>
          <w:szCs w:val="21"/>
          <w:lang w:val="en" w:eastAsia="en-CA"/>
        </w:rPr>
        <w:t xml:space="preserve"> </w:t>
      </w:r>
      <w:r w:rsidR="00127F22" w:rsidRPr="00DA5EB5">
        <w:rPr>
          <w:rFonts w:eastAsia="Times New Roman"/>
          <w:iCs/>
          <w:kern w:val="2"/>
          <w:sz w:val="20"/>
          <w:szCs w:val="21"/>
          <w:lang w:val="en" w:eastAsia="en-CA"/>
        </w:rPr>
        <w:t>Offense Level Fine Table</w:t>
      </w:r>
      <w:r w:rsidR="00742807" w:rsidRPr="00DA5EB5">
        <w:rPr>
          <w:rStyle w:val="FootnoteReference"/>
          <w:rFonts w:eastAsia="Times New Roman"/>
          <w:iCs/>
          <w:kern w:val="2"/>
          <w:szCs w:val="21"/>
          <w:lang w:val="en" w:eastAsia="en-CA"/>
        </w:rPr>
        <w:footnoteReference w:id="35"/>
      </w:r>
    </w:p>
    <w:tbl>
      <w:tblPr>
        <w:tblStyle w:val="TableGrid"/>
        <w:tblW w:w="0" w:type="auto"/>
        <w:tblInd w:w="108" w:type="dxa"/>
        <w:tblBorders>
          <w:insideH w:val="none" w:sz="0" w:space="0" w:color="auto"/>
          <w:insideV w:val="none" w:sz="0" w:space="0" w:color="auto"/>
        </w:tblBorders>
        <w:tblLook w:val="04A0" w:firstRow="1" w:lastRow="0" w:firstColumn="1" w:lastColumn="0" w:noHBand="0" w:noVBand="1"/>
      </w:tblPr>
      <w:tblGrid>
        <w:gridCol w:w="2722"/>
        <w:gridCol w:w="3090"/>
      </w:tblGrid>
      <w:tr w:rsidR="001C4853" w:rsidRPr="00DA5EB5" w14:paraId="0DDCB8BB" w14:textId="77777777" w:rsidTr="00CF1C31">
        <w:trPr>
          <w:trHeight w:val="255"/>
        </w:trPr>
        <w:tc>
          <w:tcPr>
            <w:tcW w:w="2722" w:type="dxa"/>
          </w:tcPr>
          <w:p w14:paraId="46DE4F16" w14:textId="6BB22FBE" w:rsidR="001C4853" w:rsidRPr="00DA5EB5" w:rsidRDefault="001C4853" w:rsidP="005C1E25">
            <w:pPr>
              <w:spacing w:before="60" w:after="60"/>
              <w:rPr>
                <w:rFonts w:eastAsia="Times New Roman"/>
                <w:b/>
                <w:iCs/>
                <w:kern w:val="2"/>
                <w:sz w:val="20"/>
                <w:szCs w:val="21"/>
                <w:lang w:val="en" w:eastAsia="en-CA"/>
              </w:rPr>
            </w:pPr>
            <w:r w:rsidRPr="00DA5EB5">
              <w:rPr>
                <w:rFonts w:eastAsia="Times New Roman"/>
                <w:b/>
                <w:iCs/>
                <w:kern w:val="2"/>
                <w:sz w:val="20"/>
                <w:szCs w:val="21"/>
                <w:lang w:val="en" w:eastAsia="en-CA"/>
              </w:rPr>
              <w:t>Offense Level</w:t>
            </w:r>
          </w:p>
        </w:tc>
        <w:tc>
          <w:tcPr>
            <w:tcW w:w="3090" w:type="dxa"/>
          </w:tcPr>
          <w:p w14:paraId="598CE93D" w14:textId="10392701" w:rsidR="001C4853" w:rsidRPr="00DA5EB5" w:rsidRDefault="001C4853" w:rsidP="005C1E25">
            <w:pPr>
              <w:spacing w:before="60" w:after="60"/>
              <w:rPr>
                <w:rFonts w:eastAsia="Times New Roman"/>
                <w:b/>
                <w:iCs/>
                <w:kern w:val="2"/>
                <w:sz w:val="20"/>
                <w:szCs w:val="21"/>
                <w:lang w:val="en" w:eastAsia="en-CA"/>
              </w:rPr>
            </w:pPr>
            <w:r w:rsidRPr="00DA5EB5">
              <w:rPr>
                <w:rFonts w:eastAsia="Times New Roman"/>
                <w:b/>
                <w:iCs/>
                <w:kern w:val="2"/>
                <w:sz w:val="20"/>
                <w:szCs w:val="21"/>
                <w:lang w:val="en" w:eastAsia="en-CA"/>
              </w:rPr>
              <w:t>Fine</w:t>
            </w:r>
          </w:p>
        </w:tc>
      </w:tr>
      <w:tr w:rsidR="001C4853" w:rsidRPr="00DA5EB5" w14:paraId="10474568" w14:textId="77777777" w:rsidTr="00CF1C31">
        <w:trPr>
          <w:trHeight w:val="271"/>
        </w:trPr>
        <w:tc>
          <w:tcPr>
            <w:tcW w:w="2722" w:type="dxa"/>
          </w:tcPr>
          <w:p w14:paraId="67A7A32A" w14:textId="592937C5"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6 or less</w:t>
            </w:r>
          </w:p>
        </w:tc>
        <w:tc>
          <w:tcPr>
            <w:tcW w:w="3090" w:type="dxa"/>
          </w:tcPr>
          <w:p w14:paraId="252B7C2B" w14:textId="5BADF055" w:rsidR="001C4853" w:rsidRPr="00DA5EB5" w:rsidRDefault="001C4853" w:rsidP="003540F8">
            <w:pPr>
              <w:spacing w:before="0" w:after="0"/>
              <w:rPr>
                <w:rFonts w:eastAsia="Times New Roman"/>
                <w:b/>
                <w:iCs/>
                <w:kern w:val="2"/>
                <w:sz w:val="20"/>
                <w:szCs w:val="21"/>
                <w:lang w:val="en" w:eastAsia="en-CA"/>
              </w:rPr>
            </w:pPr>
            <w:r w:rsidRPr="00DA5EB5">
              <w:rPr>
                <w:rFonts w:eastAsia="Times New Roman"/>
                <w:iCs/>
                <w:kern w:val="2"/>
                <w:sz w:val="20"/>
                <w:szCs w:val="21"/>
                <w:lang w:val="en" w:eastAsia="en-CA"/>
              </w:rPr>
              <w:t>$5000</w:t>
            </w:r>
          </w:p>
        </w:tc>
      </w:tr>
      <w:tr w:rsidR="001C4853" w:rsidRPr="00DA5EB5" w14:paraId="6750A009" w14:textId="77777777" w:rsidTr="00CF1C31">
        <w:trPr>
          <w:trHeight w:val="271"/>
        </w:trPr>
        <w:tc>
          <w:tcPr>
            <w:tcW w:w="2722" w:type="dxa"/>
          </w:tcPr>
          <w:p w14:paraId="193E5AB6" w14:textId="2E8D8755" w:rsidR="001C4853" w:rsidRPr="00DA5EB5" w:rsidRDefault="001C4853" w:rsidP="003540F8">
            <w:pPr>
              <w:spacing w:before="0" w:after="0"/>
              <w:rPr>
                <w:rFonts w:eastAsia="Times New Roman"/>
                <w:b/>
                <w:iCs/>
                <w:kern w:val="2"/>
                <w:sz w:val="20"/>
                <w:szCs w:val="21"/>
                <w:lang w:val="en" w:eastAsia="en-CA"/>
              </w:rPr>
            </w:pPr>
            <w:r w:rsidRPr="00DA5EB5">
              <w:rPr>
                <w:rFonts w:eastAsia="Times New Roman"/>
                <w:iCs/>
                <w:kern w:val="2"/>
                <w:sz w:val="20"/>
                <w:szCs w:val="21"/>
                <w:lang w:val="en" w:eastAsia="en-CA"/>
              </w:rPr>
              <w:t>8</w:t>
            </w:r>
          </w:p>
        </w:tc>
        <w:tc>
          <w:tcPr>
            <w:tcW w:w="3090" w:type="dxa"/>
          </w:tcPr>
          <w:p w14:paraId="082AA6E0" w14:textId="508008A8" w:rsidR="001C4853" w:rsidRPr="00DA5EB5" w:rsidRDefault="001C4853" w:rsidP="003540F8">
            <w:pPr>
              <w:spacing w:before="0" w:after="0"/>
              <w:rPr>
                <w:rFonts w:eastAsia="Times New Roman"/>
                <w:b/>
                <w:iCs/>
                <w:kern w:val="2"/>
                <w:sz w:val="20"/>
                <w:szCs w:val="21"/>
                <w:lang w:val="en" w:eastAsia="en-CA"/>
              </w:rPr>
            </w:pPr>
            <w:r w:rsidRPr="00DA5EB5">
              <w:rPr>
                <w:rFonts w:eastAsia="Times New Roman"/>
                <w:iCs/>
                <w:kern w:val="2"/>
                <w:sz w:val="20"/>
                <w:szCs w:val="21"/>
                <w:lang w:val="en" w:eastAsia="en-CA"/>
              </w:rPr>
              <w:t>$10,000</w:t>
            </w:r>
          </w:p>
        </w:tc>
      </w:tr>
      <w:tr w:rsidR="001C4853" w:rsidRPr="00DA5EB5" w14:paraId="539F8D8B" w14:textId="77777777" w:rsidTr="00CF1C31">
        <w:trPr>
          <w:trHeight w:val="271"/>
        </w:trPr>
        <w:tc>
          <w:tcPr>
            <w:tcW w:w="2722" w:type="dxa"/>
          </w:tcPr>
          <w:p w14:paraId="1B18701C" w14:textId="5453440E" w:rsidR="001C4853" w:rsidRPr="00DA5EB5" w:rsidRDefault="001C4853" w:rsidP="003540F8">
            <w:pPr>
              <w:spacing w:before="0" w:after="0"/>
              <w:rPr>
                <w:rFonts w:eastAsia="Times New Roman"/>
                <w:b/>
                <w:iCs/>
                <w:kern w:val="2"/>
                <w:sz w:val="20"/>
                <w:szCs w:val="21"/>
                <w:lang w:val="en" w:eastAsia="en-CA"/>
              </w:rPr>
            </w:pPr>
            <w:r w:rsidRPr="00DA5EB5">
              <w:rPr>
                <w:rFonts w:eastAsia="Times New Roman"/>
                <w:iCs/>
                <w:kern w:val="2"/>
                <w:sz w:val="20"/>
                <w:szCs w:val="21"/>
                <w:lang w:val="en" w:eastAsia="en-CA"/>
              </w:rPr>
              <w:t>15</w:t>
            </w:r>
          </w:p>
        </w:tc>
        <w:tc>
          <w:tcPr>
            <w:tcW w:w="3090" w:type="dxa"/>
          </w:tcPr>
          <w:p w14:paraId="139198CC" w14:textId="5B9F3751" w:rsidR="001C4853" w:rsidRPr="00DA5EB5" w:rsidRDefault="001C4853" w:rsidP="003540F8">
            <w:pPr>
              <w:spacing w:before="0" w:after="0"/>
              <w:rPr>
                <w:rFonts w:eastAsia="Times New Roman"/>
                <w:b/>
                <w:iCs/>
                <w:kern w:val="2"/>
                <w:sz w:val="20"/>
                <w:szCs w:val="21"/>
                <w:lang w:val="en" w:eastAsia="en-CA"/>
              </w:rPr>
            </w:pPr>
            <w:r w:rsidRPr="00DA5EB5">
              <w:rPr>
                <w:rFonts w:eastAsia="Times New Roman"/>
                <w:iCs/>
                <w:kern w:val="2"/>
                <w:sz w:val="20"/>
                <w:szCs w:val="21"/>
                <w:lang w:val="en" w:eastAsia="en-CA"/>
              </w:rPr>
              <w:t>$125,000</w:t>
            </w:r>
          </w:p>
        </w:tc>
      </w:tr>
      <w:tr w:rsidR="001C4853" w:rsidRPr="00DA5EB5" w14:paraId="5B889AB8" w14:textId="77777777" w:rsidTr="00CF1C31">
        <w:trPr>
          <w:trHeight w:val="271"/>
        </w:trPr>
        <w:tc>
          <w:tcPr>
            <w:tcW w:w="2722" w:type="dxa"/>
          </w:tcPr>
          <w:p w14:paraId="2B05F99F" w14:textId="6577D298" w:rsidR="001C4853" w:rsidRPr="00DA5EB5" w:rsidRDefault="001C4853" w:rsidP="003540F8">
            <w:pPr>
              <w:spacing w:before="0" w:after="0"/>
              <w:rPr>
                <w:rFonts w:eastAsia="Times New Roman"/>
                <w:b/>
                <w:iCs/>
                <w:kern w:val="2"/>
                <w:sz w:val="20"/>
                <w:szCs w:val="21"/>
                <w:lang w:val="en" w:eastAsia="en-CA"/>
              </w:rPr>
            </w:pPr>
            <w:r w:rsidRPr="00DA5EB5">
              <w:rPr>
                <w:rFonts w:eastAsia="Times New Roman"/>
                <w:iCs/>
                <w:kern w:val="2"/>
                <w:sz w:val="20"/>
                <w:szCs w:val="21"/>
                <w:lang w:val="en" w:eastAsia="en-CA"/>
              </w:rPr>
              <w:t>22</w:t>
            </w:r>
          </w:p>
        </w:tc>
        <w:tc>
          <w:tcPr>
            <w:tcW w:w="3090" w:type="dxa"/>
          </w:tcPr>
          <w:p w14:paraId="1F46005C" w14:textId="69C560DD" w:rsidR="001C4853" w:rsidRPr="00DA5EB5" w:rsidRDefault="001C4853" w:rsidP="003540F8">
            <w:pPr>
              <w:spacing w:before="0" w:after="0"/>
              <w:rPr>
                <w:rFonts w:eastAsia="Times New Roman"/>
                <w:b/>
                <w:iCs/>
                <w:kern w:val="2"/>
                <w:sz w:val="20"/>
                <w:szCs w:val="21"/>
                <w:lang w:val="en" w:eastAsia="en-CA"/>
              </w:rPr>
            </w:pPr>
            <w:r w:rsidRPr="00DA5EB5">
              <w:rPr>
                <w:rFonts w:eastAsia="Times New Roman"/>
                <w:iCs/>
                <w:kern w:val="2"/>
                <w:sz w:val="20"/>
                <w:szCs w:val="21"/>
                <w:lang w:val="en" w:eastAsia="en-CA"/>
              </w:rPr>
              <w:t>$1,200,000</w:t>
            </w:r>
          </w:p>
        </w:tc>
      </w:tr>
      <w:tr w:rsidR="001C4853" w:rsidRPr="00DA5EB5" w14:paraId="1BA20CCC" w14:textId="77777777" w:rsidTr="00CF1C31">
        <w:trPr>
          <w:trHeight w:val="255"/>
        </w:trPr>
        <w:tc>
          <w:tcPr>
            <w:tcW w:w="2722" w:type="dxa"/>
          </w:tcPr>
          <w:p w14:paraId="22A461C2" w14:textId="3E917E08" w:rsidR="001C4853" w:rsidRPr="00DA5EB5" w:rsidRDefault="001C4853" w:rsidP="003540F8">
            <w:pPr>
              <w:spacing w:before="0" w:after="0"/>
              <w:rPr>
                <w:rFonts w:eastAsia="Times New Roman"/>
                <w:b/>
                <w:iCs/>
                <w:kern w:val="2"/>
                <w:sz w:val="20"/>
                <w:szCs w:val="21"/>
                <w:lang w:val="en" w:eastAsia="en-CA"/>
              </w:rPr>
            </w:pPr>
            <w:r w:rsidRPr="00DA5EB5">
              <w:rPr>
                <w:rFonts w:eastAsia="Times New Roman"/>
                <w:iCs/>
                <w:kern w:val="2"/>
                <w:sz w:val="20"/>
                <w:szCs w:val="21"/>
                <w:lang w:val="en" w:eastAsia="en-CA"/>
              </w:rPr>
              <w:t>30</w:t>
            </w:r>
          </w:p>
        </w:tc>
        <w:tc>
          <w:tcPr>
            <w:tcW w:w="3090" w:type="dxa"/>
          </w:tcPr>
          <w:p w14:paraId="17470BF2" w14:textId="1CB867C9" w:rsidR="001C4853" w:rsidRPr="00DA5EB5" w:rsidRDefault="001C4853" w:rsidP="003540F8">
            <w:pPr>
              <w:spacing w:before="0" w:after="0"/>
              <w:rPr>
                <w:rFonts w:eastAsia="Times New Roman"/>
                <w:b/>
                <w:iCs/>
                <w:kern w:val="2"/>
                <w:sz w:val="20"/>
                <w:szCs w:val="21"/>
                <w:lang w:val="en" w:eastAsia="en-CA"/>
              </w:rPr>
            </w:pPr>
            <w:r w:rsidRPr="00DA5EB5">
              <w:rPr>
                <w:rFonts w:eastAsia="Times New Roman"/>
                <w:iCs/>
                <w:kern w:val="2"/>
                <w:sz w:val="20"/>
                <w:szCs w:val="21"/>
                <w:lang w:val="en" w:eastAsia="en-CA"/>
              </w:rPr>
              <w:t>$10,500,000</w:t>
            </w:r>
          </w:p>
        </w:tc>
      </w:tr>
      <w:tr w:rsidR="001C4853" w:rsidRPr="00DA5EB5" w14:paraId="0762D82F" w14:textId="77777777" w:rsidTr="00CF1C31">
        <w:trPr>
          <w:trHeight w:val="271"/>
        </w:trPr>
        <w:tc>
          <w:tcPr>
            <w:tcW w:w="2722" w:type="dxa"/>
          </w:tcPr>
          <w:p w14:paraId="32D1A555" w14:textId="2FFE9547" w:rsidR="001C4853" w:rsidRPr="00DA5EB5" w:rsidRDefault="001C4853" w:rsidP="003540F8">
            <w:pPr>
              <w:spacing w:before="0" w:after="0"/>
              <w:rPr>
                <w:rFonts w:eastAsia="Times New Roman"/>
                <w:b/>
                <w:iCs/>
                <w:kern w:val="2"/>
                <w:sz w:val="20"/>
                <w:szCs w:val="21"/>
                <w:lang w:val="en" w:eastAsia="en-CA"/>
              </w:rPr>
            </w:pPr>
            <w:r w:rsidRPr="00DA5EB5">
              <w:rPr>
                <w:rFonts w:eastAsia="Times New Roman"/>
                <w:iCs/>
                <w:kern w:val="2"/>
                <w:sz w:val="20"/>
                <w:szCs w:val="21"/>
                <w:lang w:val="en" w:eastAsia="en-CA"/>
              </w:rPr>
              <w:t>36</w:t>
            </w:r>
          </w:p>
        </w:tc>
        <w:tc>
          <w:tcPr>
            <w:tcW w:w="3090" w:type="dxa"/>
          </w:tcPr>
          <w:p w14:paraId="2FC082B3" w14:textId="64AB52D8" w:rsidR="001C4853" w:rsidRPr="00DA5EB5" w:rsidRDefault="001C4853" w:rsidP="003540F8">
            <w:pPr>
              <w:spacing w:before="0" w:after="0"/>
              <w:rPr>
                <w:rFonts w:eastAsia="Times New Roman"/>
                <w:b/>
                <w:iCs/>
                <w:kern w:val="2"/>
                <w:sz w:val="20"/>
                <w:szCs w:val="21"/>
                <w:lang w:val="en" w:eastAsia="en-CA"/>
              </w:rPr>
            </w:pPr>
            <w:r w:rsidRPr="00DA5EB5">
              <w:rPr>
                <w:rFonts w:eastAsia="Times New Roman"/>
                <w:iCs/>
                <w:kern w:val="2"/>
                <w:sz w:val="20"/>
                <w:szCs w:val="21"/>
                <w:lang w:val="en" w:eastAsia="en-CA"/>
              </w:rPr>
              <w:t>$45,500,000</w:t>
            </w:r>
          </w:p>
        </w:tc>
      </w:tr>
      <w:tr w:rsidR="001C4853" w:rsidRPr="00DA5EB5" w14:paraId="614F91FC" w14:textId="77777777" w:rsidTr="00CF1C31">
        <w:trPr>
          <w:trHeight w:val="287"/>
        </w:trPr>
        <w:tc>
          <w:tcPr>
            <w:tcW w:w="2722" w:type="dxa"/>
          </w:tcPr>
          <w:p w14:paraId="0779E7AB" w14:textId="3D5635B6" w:rsidR="001C4853" w:rsidRPr="00DA5EB5" w:rsidRDefault="001C4853" w:rsidP="00790B90">
            <w:pPr>
              <w:spacing w:before="0" w:after="60"/>
              <w:rPr>
                <w:rFonts w:eastAsia="Times New Roman"/>
                <w:iCs/>
                <w:kern w:val="2"/>
                <w:sz w:val="20"/>
                <w:szCs w:val="21"/>
                <w:lang w:val="en" w:eastAsia="en-CA"/>
              </w:rPr>
            </w:pPr>
            <w:r w:rsidRPr="00DA5EB5">
              <w:rPr>
                <w:kern w:val="2"/>
                <w:sz w:val="20"/>
                <w:szCs w:val="21"/>
                <w:lang w:val="en" w:eastAsia="en-CA"/>
              </w:rPr>
              <w:t>38 or more</w:t>
            </w:r>
          </w:p>
        </w:tc>
        <w:tc>
          <w:tcPr>
            <w:tcW w:w="3090" w:type="dxa"/>
          </w:tcPr>
          <w:p w14:paraId="6AB949C2" w14:textId="5AFDC038" w:rsidR="001C4853" w:rsidRPr="00DA5EB5" w:rsidRDefault="001C4853" w:rsidP="00790B90">
            <w:pPr>
              <w:spacing w:before="0" w:after="60"/>
              <w:rPr>
                <w:rFonts w:eastAsia="Times New Roman"/>
                <w:iCs/>
                <w:kern w:val="2"/>
                <w:sz w:val="20"/>
                <w:szCs w:val="21"/>
                <w:lang w:val="en" w:eastAsia="en-CA"/>
              </w:rPr>
            </w:pPr>
            <w:r w:rsidRPr="00DA5EB5">
              <w:rPr>
                <w:kern w:val="2"/>
                <w:sz w:val="20"/>
                <w:szCs w:val="21"/>
                <w:lang w:val="en" w:eastAsia="en-CA"/>
              </w:rPr>
              <w:t>$72,500,000</w:t>
            </w:r>
          </w:p>
        </w:tc>
      </w:tr>
    </w:tbl>
    <w:p w14:paraId="4CD036D6" w14:textId="2A1809ED" w:rsidR="002C2621" w:rsidRPr="00DA5EB5" w:rsidRDefault="0061282C" w:rsidP="00DF2F35">
      <w:pPr>
        <w:rPr>
          <w:bCs/>
          <w:kern w:val="2"/>
          <w:sz w:val="20"/>
        </w:rPr>
      </w:pPr>
      <w:r w:rsidRPr="00DA5EB5">
        <w:rPr>
          <w:rStyle w:val="Strong"/>
          <w:b w:val="0"/>
          <w:color w:val="000000"/>
          <w:kern w:val="2"/>
          <w:sz w:val="20"/>
          <w:lang w:val="en"/>
        </w:rPr>
        <w:t xml:space="preserve">Fines are also multiplied based on the organization’s culpability score. The culpability score is based on a number of factors including prior criminal history, involvement of high-level officials, </w:t>
      </w:r>
      <w:r w:rsidR="004A0E7B" w:rsidRPr="00DA5EB5">
        <w:rPr>
          <w:rStyle w:val="Strong"/>
          <w:b w:val="0"/>
          <w:color w:val="000000"/>
          <w:kern w:val="2"/>
          <w:sz w:val="20"/>
          <w:lang w:val="en"/>
        </w:rPr>
        <w:t xml:space="preserve">whether the organization had a </w:t>
      </w:r>
      <w:r w:rsidRPr="00DA5EB5">
        <w:rPr>
          <w:rStyle w:val="Strong"/>
          <w:b w:val="0"/>
          <w:color w:val="000000"/>
          <w:kern w:val="2"/>
          <w:sz w:val="20"/>
          <w:lang w:val="en"/>
        </w:rPr>
        <w:t xml:space="preserve">pre-existing compliance program, </w:t>
      </w:r>
      <w:r w:rsidR="004A0E7B" w:rsidRPr="00DA5EB5">
        <w:rPr>
          <w:rStyle w:val="Strong"/>
          <w:b w:val="0"/>
          <w:color w:val="000000"/>
          <w:kern w:val="2"/>
          <w:sz w:val="20"/>
          <w:lang w:val="en"/>
        </w:rPr>
        <w:t xml:space="preserve">and </w:t>
      </w:r>
      <w:r w:rsidRPr="00DA5EB5">
        <w:rPr>
          <w:rStyle w:val="Strong"/>
          <w:b w:val="0"/>
          <w:color w:val="000000"/>
          <w:kern w:val="2"/>
          <w:sz w:val="20"/>
          <w:lang w:val="en"/>
        </w:rPr>
        <w:t>voluntary disclosure and cooperation</w:t>
      </w:r>
      <w:r w:rsidR="00127F22" w:rsidRPr="00DA5EB5">
        <w:rPr>
          <w:rStyle w:val="Strong"/>
          <w:b w:val="0"/>
          <w:color w:val="000000"/>
          <w:kern w:val="2"/>
          <w:sz w:val="20"/>
          <w:lang w:val="en"/>
        </w:rPr>
        <w:t>:</w:t>
      </w:r>
      <w:r w:rsidR="00742807" w:rsidRPr="00DA5EB5">
        <w:rPr>
          <w:bCs/>
          <w:kern w:val="2"/>
          <w:sz w:val="20"/>
        </w:rPr>
        <w:t xml:space="preserve"> </w:t>
      </w:r>
    </w:p>
    <w:p w14:paraId="4BF96EA9" w14:textId="4D20A136" w:rsidR="00742807" w:rsidRPr="00DA5EB5" w:rsidRDefault="00742807" w:rsidP="00097109">
      <w:pPr>
        <w:keepNext/>
        <w:spacing w:after="120"/>
        <w:jc w:val="left"/>
        <w:rPr>
          <w:bCs/>
          <w:kern w:val="2"/>
          <w:sz w:val="20"/>
        </w:rPr>
      </w:pPr>
      <w:r w:rsidRPr="00DA5EB5">
        <w:rPr>
          <w:b/>
          <w:bCs/>
          <w:kern w:val="2"/>
          <w:sz w:val="20"/>
        </w:rPr>
        <w:t>Table 7.4</w:t>
      </w:r>
      <w:r w:rsidR="00D81D9E" w:rsidRPr="00DA5EB5">
        <w:rPr>
          <w:b/>
          <w:kern w:val="2"/>
          <w:sz w:val="20"/>
        </w:rPr>
        <w:t xml:space="preserve"> </w:t>
      </w:r>
      <w:r w:rsidRPr="00DA5EB5">
        <w:rPr>
          <w:bCs/>
          <w:kern w:val="2"/>
          <w:sz w:val="20"/>
        </w:rPr>
        <w:t>Minimum and Maximum Multipliers</w:t>
      </w:r>
      <w:r w:rsidRPr="00DA5EB5">
        <w:rPr>
          <w:rStyle w:val="FootnoteReference"/>
          <w:kern w:val="2"/>
          <w:szCs w:val="21"/>
        </w:rPr>
        <w:footnoteReference w:id="36"/>
      </w:r>
    </w:p>
    <w:tbl>
      <w:tblPr>
        <w:tblStyle w:val="TableGrid"/>
        <w:tblW w:w="0" w:type="auto"/>
        <w:tblInd w:w="113" w:type="dxa"/>
        <w:tblBorders>
          <w:insideH w:val="none" w:sz="0" w:space="0" w:color="auto"/>
          <w:insideV w:val="none" w:sz="0" w:space="0" w:color="auto"/>
        </w:tblBorders>
        <w:tblLook w:val="04A0" w:firstRow="1" w:lastRow="0" w:firstColumn="1" w:lastColumn="0" w:noHBand="0" w:noVBand="1"/>
      </w:tblPr>
      <w:tblGrid>
        <w:gridCol w:w="2658"/>
        <w:gridCol w:w="2649"/>
        <w:gridCol w:w="2650"/>
      </w:tblGrid>
      <w:tr w:rsidR="001C4853" w:rsidRPr="00DA5EB5" w14:paraId="16D5E319" w14:textId="77777777" w:rsidTr="005C1E25">
        <w:trPr>
          <w:tblHeader/>
        </w:trPr>
        <w:tc>
          <w:tcPr>
            <w:tcW w:w="2786" w:type="dxa"/>
            <w:vAlign w:val="center"/>
          </w:tcPr>
          <w:p w14:paraId="12365388" w14:textId="18232C32" w:rsidR="001C4853" w:rsidRPr="00DA5EB5" w:rsidRDefault="001C4853" w:rsidP="005C1E25">
            <w:pPr>
              <w:spacing w:before="60" w:after="60"/>
              <w:rPr>
                <w:rFonts w:eastAsia="Times New Roman"/>
                <w:iCs/>
                <w:kern w:val="2"/>
                <w:sz w:val="20"/>
                <w:szCs w:val="21"/>
                <w:lang w:val="en" w:eastAsia="en-CA"/>
              </w:rPr>
            </w:pPr>
            <w:r w:rsidRPr="00DA5EB5">
              <w:rPr>
                <w:rFonts w:eastAsia="Times New Roman"/>
                <w:b/>
                <w:iCs/>
                <w:kern w:val="2"/>
                <w:sz w:val="20"/>
                <w:szCs w:val="21"/>
                <w:lang w:eastAsia="en-CA"/>
              </w:rPr>
              <w:t>Culpability Score</w:t>
            </w:r>
          </w:p>
        </w:tc>
        <w:tc>
          <w:tcPr>
            <w:tcW w:w="2786" w:type="dxa"/>
            <w:vAlign w:val="center"/>
          </w:tcPr>
          <w:p w14:paraId="492F5356" w14:textId="53709B12" w:rsidR="001C4853" w:rsidRPr="00DA5EB5" w:rsidRDefault="001C4853" w:rsidP="005C1E25">
            <w:pPr>
              <w:spacing w:before="60" w:after="60"/>
              <w:rPr>
                <w:rFonts w:eastAsia="Times New Roman"/>
                <w:iCs/>
                <w:kern w:val="2"/>
                <w:sz w:val="20"/>
                <w:szCs w:val="21"/>
                <w:lang w:val="en" w:eastAsia="en-CA"/>
              </w:rPr>
            </w:pPr>
            <w:r w:rsidRPr="00DA5EB5">
              <w:rPr>
                <w:rFonts w:eastAsia="Times New Roman"/>
                <w:b/>
                <w:iCs/>
                <w:kern w:val="2"/>
                <w:sz w:val="20"/>
                <w:szCs w:val="21"/>
                <w:lang w:eastAsia="en-CA"/>
              </w:rPr>
              <w:t>Minimum Multiplier</w:t>
            </w:r>
          </w:p>
        </w:tc>
        <w:tc>
          <w:tcPr>
            <w:tcW w:w="2787" w:type="dxa"/>
            <w:vAlign w:val="center"/>
          </w:tcPr>
          <w:p w14:paraId="379CD64C" w14:textId="24880BB9" w:rsidR="001C4853" w:rsidRPr="00DA5EB5" w:rsidRDefault="001C4853" w:rsidP="005C1E25">
            <w:pPr>
              <w:spacing w:before="60" w:after="60"/>
              <w:rPr>
                <w:rFonts w:eastAsia="Times New Roman"/>
                <w:iCs/>
                <w:kern w:val="2"/>
                <w:sz w:val="20"/>
                <w:szCs w:val="21"/>
                <w:lang w:val="en" w:eastAsia="en-CA"/>
              </w:rPr>
            </w:pPr>
            <w:r w:rsidRPr="00DA5EB5">
              <w:rPr>
                <w:rFonts w:eastAsia="Times New Roman"/>
                <w:b/>
                <w:iCs/>
                <w:kern w:val="2"/>
                <w:sz w:val="20"/>
                <w:szCs w:val="21"/>
                <w:lang w:eastAsia="en-CA"/>
              </w:rPr>
              <w:t>Maximum Multiplier</w:t>
            </w:r>
          </w:p>
        </w:tc>
      </w:tr>
      <w:tr w:rsidR="001C4853" w:rsidRPr="00DA5EB5" w14:paraId="62E071A9" w14:textId="77777777" w:rsidTr="00D40CF9">
        <w:tc>
          <w:tcPr>
            <w:tcW w:w="2786" w:type="dxa"/>
            <w:vAlign w:val="center"/>
          </w:tcPr>
          <w:p w14:paraId="2676067B" w14:textId="37C4264D"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10 or more</w:t>
            </w:r>
          </w:p>
        </w:tc>
        <w:tc>
          <w:tcPr>
            <w:tcW w:w="2786" w:type="dxa"/>
            <w:vAlign w:val="center"/>
          </w:tcPr>
          <w:p w14:paraId="18E372B4" w14:textId="43909190"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2.00</w:t>
            </w:r>
          </w:p>
        </w:tc>
        <w:tc>
          <w:tcPr>
            <w:tcW w:w="2787" w:type="dxa"/>
            <w:vAlign w:val="center"/>
          </w:tcPr>
          <w:p w14:paraId="68B42AF2" w14:textId="1C2D26FE"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4.00</w:t>
            </w:r>
          </w:p>
        </w:tc>
      </w:tr>
      <w:tr w:rsidR="001C4853" w:rsidRPr="00DA5EB5" w14:paraId="40D23374" w14:textId="77777777" w:rsidTr="00D40CF9">
        <w:tc>
          <w:tcPr>
            <w:tcW w:w="2786" w:type="dxa"/>
            <w:vAlign w:val="center"/>
          </w:tcPr>
          <w:p w14:paraId="577541E0" w14:textId="7AFE315C"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9</w:t>
            </w:r>
          </w:p>
        </w:tc>
        <w:tc>
          <w:tcPr>
            <w:tcW w:w="2786" w:type="dxa"/>
            <w:vAlign w:val="center"/>
          </w:tcPr>
          <w:p w14:paraId="486D1447" w14:textId="0B3DA469"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1.80</w:t>
            </w:r>
          </w:p>
        </w:tc>
        <w:tc>
          <w:tcPr>
            <w:tcW w:w="2787" w:type="dxa"/>
            <w:vAlign w:val="center"/>
          </w:tcPr>
          <w:p w14:paraId="1BAFC2D5" w14:textId="56D90438"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3.60</w:t>
            </w:r>
          </w:p>
        </w:tc>
      </w:tr>
      <w:tr w:rsidR="001C4853" w:rsidRPr="00DA5EB5" w14:paraId="55C55E7C" w14:textId="77777777" w:rsidTr="00D40CF9">
        <w:tc>
          <w:tcPr>
            <w:tcW w:w="2786" w:type="dxa"/>
            <w:vAlign w:val="center"/>
          </w:tcPr>
          <w:p w14:paraId="5B0CCD52" w14:textId="04B88B04"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8</w:t>
            </w:r>
          </w:p>
        </w:tc>
        <w:tc>
          <w:tcPr>
            <w:tcW w:w="2786" w:type="dxa"/>
            <w:vAlign w:val="center"/>
          </w:tcPr>
          <w:p w14:paraId="152D9703" w14:textId="10D8F1D6"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1.60</w:t>
            </w:r>
          </w:p>
        </w:tc>
        <w:tc>
          <w:tcPr>
            <w:tcW w:w="2787" w:type="dxa"/>
            <w:vAlign w:val="center"/>
          </w:tcPr>
          <w:p w14:paraId="110707DD" w14:textId="6DC261CD"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3.20</w:t>
            </w:r>
          </w:p>
        </w:tc>
      </w:tr>
      <w:tr w:rsidR="001C4853" w:rsidRPr="00DA5EB5" w14:paraId="691AD862" w14:textId="77777777" w:rsidTr="00D40CF9">
        <w:tc>
          <w:tcPr>
            <w:tcW w:w="2786" w:type="dxa"/>
            <w:vAlign w:val="center"/>
          </w:tcPr>
          <w:p w14:paraId="0FC6938A" w14:textId="1CD4AEEB"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7</w:t>
            </w:r>
          </w:p>
        </w:tc>
        <w:tc>
          <w:tcPr>
            <w:tcW w:w="2786" w:type="dxa"/>
            <w:vAlign w:val="center"/>
          </w:tcPr>
          <w:p w14:paraId="5016DC77" w14:textId="552EE51D"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1.40</w:t>
            </w:r>
          </w:p>
        </w:tc>
        <w:tc>
          <w:tcPr>
            <w:tcW w:w="2787" w:type="dxa"/>
            <w:vAlign w:val="center"/>
          </w:tcPr>
          <w:p w14:paraId="18149813" w14:textId="03187C41"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2.80</w:t>
            </w:r>
          </w:p>
        </w:tc>
      </w:tr>
      <w:tr w:rsidR="001C4853" w:rsidRPr="00DA5EB5" w14:paraId="72924869" w14:textId="77777777" w:rsidTr="00D40CF9">
        <w:tc>
          <w:tcPr>
            <w:tcW w:w="2786" w:type="dxa"/>
            <w:vAlign w:val="center"/>
          </w:tcPr>
          <w:p w14:paraId="45EC0C61" w14:textId="26472B0A"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6</w:t>
            </w:r>
          </w:p>
        </w:tc>
        <w:tc>
          <w:tcPr>
            <w:tcW w:w="2786" w:type="dxa"/>
            <w:vAlign w:val="center"/>
          </w:tcPr>
          <w:p w14:paraId="0BA3CAD8" w14:textId="3564DF4A"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1.20</w:t>
            </w:r>
          </w:p>
        </w:tc>
        <w:tc>
          <w:tcPr>
            <w:tcW w:w="2787" w:type="dxa"/>
            <w:vAlign w:val="center"/>
          </w:tcPr>
          <w:p w14:paraId="25A97FA3" w14:textId="79D6E15C"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2.40</w:t>
            </w:r>
          </w:p>
        </w:tc>
      </w:tr>
      <w:tr w:rsidR="001C4853" w:rsidRPr="00DA5EB5" w14:paraId="79781335" w14:textId="77777777" w:rsidTr="00D40CF9">
        <w:tc>
          <w:tcPr>
            <w:tcW w:w="2786" w:type="dxa"/>
            <w:vAlign w:val="center"/>
          </w:tcPr>
          <w:p w14:paraId="70F0C6D3" w14:textId="134AE4EB"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5</w:t>
            </w:r>
          </w:p>
        </w:tc>
        <w:tc>
          <w:tcPr>
            <w:tcW w:w="2786" w:type="dxa"/>
            <w:vAlign w:val="center"/>
          </w:tcPr>
          <w:p w14:paraId="60086F08" w14:textId="68F4F088"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1.00</w:t>
            </w:r>
          </w:p>
        </w:tc>
        <w:tc>
          <w:tcPr>
            <w:tcW w:w="2787" w:type="dxa"/>
            <w:vAlign w:val="center"/>
          </w:tcPr>
          <w:p w14:paraId="3E9872C7" w14:textId="17BC7F1B"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2.00</w:t>
            </w:r>
          </w:p>
        </w:tc>
      </w:tr>
      <w:tr w:rsidR="001C4853" w:rsidRPr="00DA5EB5" w14:paraId="0D4BA8F5" w14:textId="77777777" w:rsidTr="00D40CF9">
        <w:tc>
          <w:tcPr>
            <w:tcW w:w="2786" w:type="dxa"/>
            <w:vAlign w:val="center"/>
          </w:tcPr>
          <w:p w14:paraId="0E85CD12" w14:textId="3B3CCD62"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4</w:t>
            </w:r>
          </w:p>
        </w:tc>
        <w:tc>
          <w:tcPr>
            <w:tcW w:w="2786" w:type="dxa"/>
            <w:vAlign w:val="center"/>
          </w:tcPr>
          <w:p w14:paraId="3E18E5E9" w14:textId="20921064"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0.80</w:t>
            </w:r>
          </w:p>
        </w:tc>
        <w:tc>
          <w:tcPr>
            <w:tcW w:w="2787" w:type="dxa"/>
            <w:vAlign w:val="center"/>
          </w:tcPr>
          <w:p w14:paraId="5C38E23A" w14:textId="1E8B8188"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1.60</w:t>
            </w:r>
          </w:p>
        </w:tc>
      </w:tr>
      <w:tr w:rsidR="001C4853" w:rsidRPr="00DA5EB5" w14:paraId="7278412D" w14:textId="77777777" w:rsidTr="00D40CF9">
        <w:tc>
          <w:tcPr>
            <w:tcW w:w="2786" w:type="dxa"/>
            <w:vAlign w:val="center"/>
          </w:tcPr>
          <w:p w14:paraId="1338A272" w14:textId="1B939243"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3</w:t>
            </w:r>
          </w:p>
        </w:tc>
        <w:tc>
          <w:tcPr>
            <w:tcW w:w="2786" w:type="dxa"/>
            <w:vAlign w:val="center"/>
          </w:tcPr>
          <w:p w14:paraId="7EBCB3D2" w14:textId="2E564921"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0.60</w:t>
            </w:r>
          </w:p>
        </w:tc>
        <w:tc>
          <w:tcPr>
            <w:tcW w:w="2787" w:type="dxa"/>
            <w:vAlign w:val="center"/>
          </w:tcPr>
          <w:p w14:paraId="284B7946" w14:textId="3F404B35"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1.20</w:t>
            </w:r>
          </w:p>
        </w:tc>
      </w:tr>
      <w:tr w:rsidR="001C4853" w:rsidRPr="00DA5EB5" w14:paraId="4927EBF3" w14:textId="77777777" w:rsidTr="00D40CF9">
        <w:tc>
          <w:tcPr>
            <w:tcW w:w="2786" w:type="dxa"/>
            <w:vAlign w:val="center"/>
          </w:tcPr>
          <w:p w14:paraId="10F19A8D" w14:textId="075EC4AC"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2</w:t>
            </w:r>
          </w:p>
        </w:tc>
        <w:tc>
          <w:tcPr>
            <w:tcW w:w="2786" w:type="dxa"/>
            <w:vAlign w:val="center"/>
          </w:tcPr>
          <w:p w14:paraId="1FC2C5A7" w14:textId="33941BAC"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0.40</w:t>
            </w:r>
          </w:p>
        </w:tc>
        <w:tc>
          <w:tcPr>
            <w:tcW w:w="2787" w:type="dxa"/>
            <w:vAlign w:val="center"/>
          </w:tcPr>
          <w:p w14:paraId="0E255483" w14:textId="53F6638F"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0.80</w:t>
            </w:r>
          </w:p>
        </w:tc>
      </w:tr>
      <w:tr w:rsidR="001C4853" w:rsidRPr="00DA5EB5" w14:paraId="38944743" w14:textId="77777777" w:rsidTr="00D40CF9">
        <w:tc>
          <w:tcPr>
            <w:tcW w:w="2786" w:type="dxa"/>
            <w:vAlign w:val="center"/>
          </w:tcPr>
          <w:p w14:paraId="25EAA734" w14:textId="59ABB407"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1</w:t>
            </w:r>
          </w:p>
        </w:tc>
        <w:tc>
          <w:tcPr>
            <w:tcW w:w="2786" w:type="dxa"/>
            <w:vAlign w:val="center"/>
          </w:tcPr>
          <w:p w14:paraId="361D2F23" w14:textId="109EB50B"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0.20</w:t>
            </w:r>
          </w:p>
        </w:tc>
        <w:tc>
          <w:tcPr>
            <w:tcW w:w="2787" w:type="dxa"/>
            <w:vAlign w:val="center"/>
          </w:tcPr>
          <w:p w14:paraId="18A622DD" w14:textId="4B1F737F" w:rsidR="001C4853" w:rsidRPr="00DA5EB5" w:rsidRDefault="001C4853" w:rsidP="003540F8">
            <w:pPr>
              <w:spacing w:before="0" w:after="0"/>
              <w:rPr>
                <w:rFonts w:eastAsia="Times New Roman"/>
                <w:iCs/>
                <w:kern w:val="2"/>
                <w:sz w:val="20"/>
                <w:szCs w:val="21"/>
                <w:lang w:val="en" w:eastAsia="en-CA"/>
              </w:rPr>
            </w:pPr>
            <w:r w:rsidRPr="00DA5EB5">
              <w:rPr>
                <w:rFonts w:eastAsia="Times New Roman"/>
                <w:iCs/>
                <w:kern w:val="2"/>
                <w:sz w:val="20"/>
                <w:szCs w:val="21"/>
                <w:lang w:val="en" w:eastAsia="en-CA"/>
              </w:rPr>
              <w:t>0.40</w:t>
            </w:r>
          </w:p>
        </w:tc>
      </w:tr>
      <w:tr w:rsidR="001C4853" w:rsidRPr="00DA5EB5" w14:paraId="097CC928" w14:textId="77777777" w:rsidTr="00D40CF9">
        <w:tc>
          <w:tcPr>
            <w:tcW w:w="2786" w:type="dxa"/>
            <w:vAlign w:val="center"/>
          </w:tcPr>
          <w:p w14:paraId="072E96C2" w14:textId="2B265D91" w:rsidR="001C4853" w:rsidRPr="00DA5EB5" w:rsidRDefault="001C4853" w:rsidP="00790B90">
            <w:pPr>
              <w:spacing w:before="0" w:after="60"/>
              <w:rPr>
                <w:rFonts w:eastAsia="Times New Roman"/>
                <w:iCs/>
                <w:kern w:val="2"/>
                <w:sz w:val="20"/>
                <w:szCs w:val="21"/>
                <w:lang w:val="en" w:eastAsia="en-CA"/>
              </w:rPr>
            </w:pPr>
            <w:r w:rsidRPr="00DA5EB5">
              <w:rPr>
                <w:rFonts w:eastAsia="Times New Roman"/>
                <w:iCs/>
                <w:kern w:val="2"/>
                <w:sz w:val="20"/>
                <w:szCs w:val="21"/>
                <w:lang w:val="en" w:eastAsia="en-CA"/>
              </w:rPr>
              <w:t>0</w:t>
            </w:r>
          </w:p>
        </w:tc>
        <w:tc>
          <w:tcPr>
            <w:tcW w:w="2786" w:type="dxa"/>
            <w:vAlign w:val="center"/>
          </w:tcPr>
          <w:p w14:paraId="215A3BF0" w14:textId="79E0422A" w:rsidR="001C4853" w:rsidRPr="00DA5EB5" w:rsidRDefault="001C4853" w:rsidP="00790B90">
            <w:pPr>
              <w:spacing w:before="0" w:after="60"/>
              <w:rPr>
                <w:rFonts w:eastAsia="Times New Roman"/>
                <w:iCs/>
                <w:kern w:val="2"/>
                <w:sz w:val="20"/>
                <w:szCs w:val="21"/>
                <w:lang w:val="en" w:eastAsia="en-CA"/>
              </w:rPr>
            </w:pPr>
            <w:r w:rsidRPr="00DA5EB5">
              <w:rPr>
                <w:rFonts w:eastAsia="Times New Roman"/>
                <w:iCs/>
                <w:kern w:val="2"/>
                <w:sz w:val="20"/>
                <w:szCs w:val="21"/>
                <w:lang w:val="en" w:eastAsia="en-CA"/>
              </w:rPr>
              <w:t>0.05</w:t>
            </w:r>
          </w:p>
        </w:tc>
        <w:tc>
          <w:tcPr>
            <w:tcW w:w="2787" w:type="dxa"/>
            <w:vAlign w:val="center"/>
          </w:tcPr>
          <w:p w14:paraId="1DBA2727" w14:textId="2B5731D5" w:rsidR="001C4853" w:rsidRPr="00DA5EB5" w:rsidRDefault="001C4853" w:rsidP="00790B90">
            <w:pPr>
              <w:spacing w:before="0" w:after="60"/>
              <w:rPr>
                <w:rFonts w:eastAsia="Times New Roman"/>
                <w:iCs/>
                <w:kern w:val="2"/>
                <w:sz w:val="20"/>
                <w:szCs w:val="21"/>
                <w:lang w:val="en" w:eastAsia="en-CA"/>
              </w:rPr>
            </w:pPr>
            <w:r w:rsidRPr="00DA5EB5">
              <w:rPr>
                <w:rFonts w:eastAsia="Times New Roman"/>
                <w:iCs/>
                <w:kern w:val="2"/>
                <w:sz w:val="20"/>
                <w:szCs w:val="21"/>
                <w:lang w:val="en" w:eastAsia="en-CA"/>
              </w:rPr>
              <w:t>0.20</w:t>
            </w:r>
          </w:p>
        </w:tc>
      </w:tr>
    </w:tbl>
    <w:p w14:paraId="144A8AE0" w14:textId="6334A479" w:rsidR="00E534EE" w:rsidRPr="00DA5EB5" w:rsidRDefault="0061282C" w:rsidP="007C3517">
      <w:pPr>
        <w:pStyle w:val="Heading2"/>
        <w:rPr>
          <w:kern w:val="2"/>
          <w:sz w:val="24"/>
        </w:rPr>
      </w:pPr>
      <w:r w:rsidRPr="00DA5EB5">
        <w:rPr>
          <w:i/>
          <w:kern w:val="2"/>
          <w:sz w:val="24"/>
        </w:rPr>
        <w:t>FCPA</w:t>
      </w:r>
      <w:r w:rsidRPr="00DA5EB5">
        <w:rPr>
          <w:kern w:val="2"/>
          <w:sz w:val="24"/>
        </w:rPr>
        <w:t xml:space="preserve"> Sentencing</w:t>
      </w:r>
    </w:p>
    <w:p w14:paraId="0D456BBB" w14:textId="68929B56" w:rsidR="0061282C" w:rsidRPr="00DA5EB5" w:rsidRDefault="0061282C" w:rsidP="004F0889">
      <w:pPr>
        <w:rPr>
          <w:kern w:val="2"/>
          <w:sz w:val="20"/>
        </w:rPr>
      </w:pPr>
      <w:r w:rsidRPr="00DA5EB5">
        <w:rPr>
          <w:color w:val="000000" w:themeColor="text1"/>
          <w:kern w:val="2"/>
          <w:sz w:val="20"/>
        </w:rPr>
        <w:t xml:space="preserve">The </w:t>
      </w:r>
      <w:r w:rsidRPr="00DA5EB5">
        <w:rPr>
          <w:i/>
          <w:color w:val="000000" w:themeColor="text1"/>
          <w:kern w:val="2"/>
          <w:sz w:val="20"/>
        </w:rPr>
        <w:t>FCPA</w:t>
      </w:r>
      <w:r w:rsidRPr="00DA5EB5">
        <w:rPr>
          <w:b/>
          <w:color w:val="000000" w:themeColor="text1"/>
          <w:kern w:val="2"/>
          <w:sz w:val="20"/>
        </w:rPr>
        <w:t xml:space="preserve"> </w:t>
      </w:r>
      <w:r w:rsidRPr="00DA5EB5">
        <w:rPr>
          <w:color w:val="000000" w:themeColor="text1"/>
          <w:kern w:val="2"/>
          <w:sz w:val="20"/>
        </w:rPr>
        <w:t>sets out the criminal penalties for corruption offen</w:t>
      </w:r>
      <w:r w:rsidR="00AB1413" w:rsidRPr="00DA5EB5">
        <w:rPr>
          <w:color w:val="000000" w:themeColor="text1"/>
          <w:kern w:val="2"/>
          <w:sz w:val="20"/>
        </w:rPr>
        <w:t>s</w:t>
      </w:r>
      <w:r w:rsidRPr="00DA5EB5">
        <w:rPr>
          <w:color w:val="000000" w:themeColor="text1"/>
          <w:kern w:val="2"/>
          <w:sz w:val="20"/>
        </w:rPr>
        <w:t xml:space="preserve">es. All </w:t>
      </w:r>
      <w:r w:rsidRPr="00DA5EB5">
        <w:rPr>
          <w:i/>
          <w:color w:val="000000" w:themeColor="text1"/>
          <w:kern w:val="2"/>
          <w:sz w:val="20"/>
        </w:rPr>
        <w:t>FCPA</w:t>
      </w:r>
      <w:r w:rsidRPr="00DA5EB5">
        <w:rPr>
          <w:color w:val="000000" w:themeColor="text1"/>
          <w:kern w:val="2"/>
          <w:sz w:val="20"/>
        </w:rPr>
        <w:t xml:space="preserve"> criminal offenses are prosecuted by the </w:t>
      </w:r>
      <w:r w:rsidR="00AD7C05" w:rsidRPr="00DA5EB5">
        <w:rPr>
          <w:color w:val="000000" w:themeColor="text1"/>
          <w:kern w:val="2"/>
          <w:sz w:val="20"/>
        </w:rPr>
        <w:t>Department of Justice (</w:t>
      </w:r>
      <w:r w:rsidRPr="00DA5EB5">
        <w:rPr>
          <w:color w:val="000000" w:themeColor="text1"/>
          <w:kern w:val="2"/>
          <w:sz w:val="20"/>
        </w:rPr>
        <w:t>DOJ</w:t>
      </w:r>
      <w:r w:rsidR="00AD7C05" w:rsidRPr="00DA5EB5">
        <w:rPr>
          <w:color w:val="000000" w:themeColor="text1"/>
          <w:kern w:val="2"/>
          <w:sz w:val="20"/>
        </w:rPr>
        <w:t>)</w:t>
      </w:r>
      <w:r w:rsidRPr="00DA5EB5">
        <w:rPr>
          <w:color w:val="000000" w:themeColor="text1"/>
          <w:kern w:val="2"/>
          <w:sz w:val="20"/>
        </w:rPr>
        <w:t xml:space="preserve">. The </w:t>
      </w:r>
      <w:r w:rsidRPr="00DA5EB5">
        <w:rPr>
          <w:i/>
          <w:color w:val="000000" w:themeColor="text1"/>
          <w:kern w:val="2"/>
          <w:sz w:val="20"/>
        </w:rPr>
        <w:t>Resource Guide to the FCPA</w:t>
      </w:r>
      <w:r w:rsidR="00AD7C05" w:rsidRPr="00DA5EB5">
        <w:rPr>
          <w:i/>
          <w:color w:val="000000" w:themeColor="text1"/>
          <w:kern w:val="2"/>
          <w:sz w:val="20"/>
        </w:rPr>
        <w:t xml:space="preserve"> </w:t>
      </w:r>
      <w:r w:rsidR="00AD7C05" w:rsidRPr="00DA5EB5">
        <w:rPr>
          <w:color w:val="000000" w:themeColor="text1"/>
          <w:kern w:val="2"/>
          <w:sz w:val="20"/>
        </w:rPr>
        <w:t>(</w:t>
      </w:r>
      <w:r w:rsidR="00AD7C05" w:rsidRPr="00DA5EB5">
        <w:rPr>
          <w:i/>
          <w:color w:val="000000" w:themeColor="text1"/>
          <w:kern w:val="2"/>
          <w:sz w:val="20"/>
        </w:rPr>
        <w:t>Resource Guide</w:t>
      </w:r>
      <w:r w:rsidR="00AD7C05" w:rsidRPr="00DA5EB5">
        <w:rPr>
          <w:color w:val="000000" w:themeColor="text1"/>
          <w:kern w:val="2"/>
          <w:sz w:val="20"/>
        </w:rPr>
        <w:t>)</w:t>
      </w:r>
      <w:r w:rsidR="00AD7C05" w:rsidRPr="00DA5EB5">
        <w:rPr>
          <w:i/>
          <w:color w:val="000000" w:themeColor="text1"/>
          <w:kern w:val="2"/>
          <w:sz w:val="20"/>
        </w:rPr>
        <w:t xml:space="preserve">, </w:t>
      </w:r>
      <w:r w:rsidR="00AD7C05" w:rsidRPr="00DA5EB5">
        <w:rPr>
          <w:color w:val="000000" w:themeColor="text1"/>
          <w:kern w:val="2"/>
          <w:sz w:val="20"/>
        </w:rPr>
        <w:t>produced by the DOJ and the Securities Exchange Commission (SEC),</w:t>
      </w:r>
      <w:r w:rsidRPr="00DA5EB5">
        <w:rPr>
          <w:color w:val="000000" w:themeColor="text1"/>
          <w:kern w:val="2"/>
          <w:sz w:val="20"/>
        </w:rPr>
        <w:t xml:space="preserve"> sets out nine factors to guide the DOJ and SEC in determining whether to seek indictment or an NPA, DPA or SEC civil settlement, and in determining the terms of those dispositions. The </w:t>
      </w:r>
      <w:r w:rsidRPr="00DA5EB5">
        <w:rPr>
          <w:i/>
          <w:color w:val="000000" w:themeColor="text1"/>
          <w:kern w:val="2"/>
          <w:sz w:val="20"/>
        </w:rPr>
        <w:t>Resource Guide</w:t>
      </w:r>
      <w:r w:rsidRPr="00DA5EB5">
        <w:rPr>
          <w:color w:val="000000" w:themeColor="text1"/>
          <w:kern w:val="2"/>
          <w:sz w:val="20"/>
        </w:rPr>
        <w:t xml:space="preserve"> repeatedly emphasizes that voluntary early disclosure of possible </w:t>
      </w:r>
      <w:r w:rsidRPr="00DA5EB5">
        <w:rPr>
          <w:i/>
          <w:color w:val="000000" w:themeColor="text1"/>
          <w:kern w:val="2"/>
          <w:sz w:val="20"/>
        </w:rPr>
        <w:t>FCPA</w:t>
      </w:r>
      <w:r w:rsidRPr="00DA5EB5">
        <w:rPr>
          <w:color w:val="000000" w:themeColor="text1"/>
          <w:kern w:val="2"/>
          <w:sz w:val="20"/>
        </w:rPr>
        <w:t xml:space="preserve"> </w:t>
      </w:r>
      <w:r w:rsidRPr="00DA5EB5">
        <w:rPr>
          <w:kern w:val="2"/>
          <w:sz w:val="20"/>
        </w:rPr>
        <w:t>violations and cooperation in the investigation of those violations will be key factors in obtaining more lenient treatment from the DOJ</w:t>
      </w:r>
      <w:r w:rsidR="00457A17" w:rsidRPr="00DA5EB5">
        <w:rPr>
          <w:kern w:val="2"/>
          <w:sz w:val="20"/>
        </w:rPr>
        <w:t xml:space="preserve"> or </w:t>
      </w:r>
      <w:r w:rsidRPr="00DA5EB5">
        <w:rPr>
          <w:kern w:val="2"/>
          <w:sz w:val="20"/>
        </w:rPr>
        <w:t xml:space="preserve">SEC. </w:t>
      </w:r>
      <w:r w:rsidR="0024352B" w:rsidRPr="00DA5EB5">
        <w:rPr>
          <w:kern w:val="2"/>
          <w:sz w:val="20"/>
        </w:rPr>
        <w:t>T</w:t>
      </w:r>
      <w:r w:rsidRPr="00DA5EB5">
        <w:rPr>
          <w:kern w:val="2"/>
          <w:sz w:val="20"/>
        </w:rPr>
        <w:t xml:space="preserve">he </w:t>
      </w:r>
      <w:r w:rsidRPr="00DA5EB5">
        <w:rPr>
          <w:i/>
          <w:kern w:val="2"/>
          <w:sz w:val="20"/>
        </w:rPr>
        <w:t>Resource Guide</w:t>
      </w:r>
      <w:r w:rsidRPr="00DA5EB5">
        <w:rPr>
          <w:kern w:val="2"/>
          <w:sz w:val="20"/>
        </w:rPr>
        <w:t xml:space="preserve"> states</w:t>
      </w:r>
      <w:r w:rsidR="0024352B" w:rsidRPr="00DA5EB5">
        <w:rPr>
          <w:kern w:val="2"/>
          <w:sz w:val="20"/>
        </w:rPr>
        <w:t xml:space="preserve"> that the </w:t>
      </w:r>
      <w:r w:rsidR="006C51CB" w:rsidRPr="00DA5EB5">
        <w:rPr>
          <w:kern w:val="2"/>
          <w:sz w:val="20"/>
        </w:rPr>
        <w:t>n</w:t>
      </w:r>
      <w:r w:rsidR="0024352B" w:rsidRPr="00DA5EB5">
        <w:rPr>
          <w:kern w:val="2"/>
          <w:sz w:val="20"/>
        </w:rPr>
        <w:t>ine factors are considered in conducting an investigation, determining whether to charge a corporation, and negotiating plea or other agreements</w:t>
      </w:r>
      <w:r w:rsidRPr="00DA5EB5">
        <w:rPr>
          <w:kern w:val="2"/>
          <w:sz w:val="20"/>
        </w:rPr>
        <w:t>:</w:t>
      </w:r>
    </w:p>
    <w:p w14:paraId="3B42A8E5" w14:textId="2A1CA3B4" w:rsidR="0061282C" w:rsidRPr="00DA5EB5" w:rsidRDefault="0061282C" w:rsidP="0074473E">
      <w:pPr>
        <w:pStyle w:val="BlockQuote"/>
        <w:numPr>
          <w:ilvl w:val="0"/>
          <w:numId w:val="14"/>
        </w:numPr>
        <w:spacing w:before="60" w:after="60"/>
        <w:jc w:val="left"/>
        <w:rPr>
          <w:kern w:val="2"/>
          <w:sz w:val="20"/>
        </w:rPr>
      </w:pPr>
      <w:r w:rsidRPr="00DA5EB5">
        <w:rPr>
          <w:kern w:val="2"/>
          <w:sz w:val="20"/>
        </w:rPr>
        <w:t>the nature and seriousness of the offense, including the risk of harm to the public;</w:t>
      </w:r>
    </w:p>
    <w:p w14:paraId="0756295E" w14:textId="27C0EAD6" w:rsidR="0061282C" w:rsidRPr="00DA5EB5" w:rsidRDefault="0061282C" w:rsidP="0074473E">
      <w:pPr>
        <w:pStyle w:val="BlockQuote"/>
        <w:numPr>
          <w:ilvl w:val="0"/>
          <w:numId w:val="14"/>
        </w:numPr>
        <w:spacing w:before="60" w:after="60"/>
        <w:jc w:val="left"/>
        <w:rPr>
          <w:kern w:val="2"/>
          <w:sz w:val="20"/>
        </w:rPr>
      </w:pPr>
      <w:r w:rsidRPr="00DA5EB5">
        <w:rPr>
          <w:kern w:val="2"/>
          <w:sz w:val="20"/>
        </w:rPr>
        <w:t>the pervasiveness of wrongdoing within the corporation, including the complicity in, or the condoning of, the wrongdoing by corporate management;</w:t>
      </w:r>
    </w:p>
    <w:p w14:paraId="0F7DBC44" w14:textId="5CB8D402" w:rsidR="0061282C" w:rsidRPr="00DA5EB5" w:rsidRDefault="0061282C" w:rsidP="0074473E">
      <w:pPr>
        <w:pStyle w:val="BlockQuote"/>
        <w:numPr>
          <w:ilvl w:val="0"/>
          <w:numId w:val="14"/>
        </w:numPr>
        <w:spacing w:before="60" w:after="60"/>
        <w:jc w:val="left"/>
        <w:rPr>
          <w:kern w:val="2"/>
          <w:sz w:val="20"/>
        </w:rPr>
      </w:pPr>
      <w:r w:rsidRPr="00DA5EB5">
        <w:rPr>
          <w:kern w:val="2"/>
          <w:sz w:val="20"/>
        </w:rPr>
        <w:t>the corporation’s history of similar misconduct, including prior criminal, civil, and regulatory enforcement actions against it;</w:t>
      </w:r>
    </w:p>
    <w:p w14:paraId="65AC2A42" w14:textId="53AAE641" w:rsidR="0061282C" w:rsidRPr="00DA5EB5" w:rsidRDefault="0061282C" w:rsidP="0074473E">
      <w:pPr>
        <w:pStyle w:val="BlockQuote"/>
        <w:numPr>
          <w:ilvl w:val="0"/>
          <w:numId w:val="14"/>
        </w:numPr>
        <w:spacing w:before="60" w:after="60"/>
        <w:jc w:val="left"/>
        <w:rPr>
          <w:kern w:val="2"/>
          <w:sz w:val="20"/>
        </w:rPr>
      </w:pPr>
      <w:r w:rsidRPr="00DA5EB5">
        <w:rPr>
          <w:kern w:val="2"/>
          <w:sz w:val="20"/>
        </w:rPr>
        <w:t>the corporation’s timely and voluntary disclosure of wrongdoing and its willingness to cooperate in the investigation of its agents;</w:t>
      </w:r>
    </w:p>
    <w:p w14:paraId="18DE109A" w14:textId="47AD774A" w:rsidR="0061282C" w:rsidRPr="00DA5EB5" w:rsidRDefault="0061282C" w:rsidP="0074473E">
      <w:pPr>
        <w:pStyle w:val="BlockQuote"/>
        <w:numPr>
          <w:ilvl w:val="0"/>
          <w:numId w:val="14"/>
        </w:numPr>
        <w:spacing w:before="60" w:after="60"/>
        <w:jc w:val="left"/>
        <w:rPr>
          <w:kern w:val="2"/>
          <w:sz w:val="20"/>
        </w:rPr>
      </w:pPr>
      <w:r w:rsidRPr="00DA5EB5">
        <w:rPr>
          <w:kern w:val="2"/>
          <w:sz w:val="20"/>
        </w:rPr>
        <w:t>the existence and effectiveness of the corporation’s pre-existing compliance program;</w:t>
      </w:r>
    </w:p>
    <w:p w14:paraId="1A2FA9A2" w14:textId="228ADE3E" w:rsidR="0061282C" w:rsidRPr="00DA5EB5" w:rsidRDefault="0061282C" w:rsidP="0074473E">
      <w:pPr>
        <w:pStyle w:val="BlockQuote"/>
        <w:numPr>
          <w:ilvl w:val="0"/>
          <w:numId w:val="14"/>
        </w:numPr>
        <w:spacing w:before="60" w:after="60"/>
        <w:jc w:val="left"/>
        <w:rPr>
          <w:kern w:val="2"/>
          <w:sz w:val="20"/>
        </w:rPr>
      </w:pPr>
      <w:r w:rsidRPr="00DA5EB5">
        <w:rPr>
          <w:kern w:val="2"/>
          <w:sz w:val="20"/>
        </w:rPr>
        <w:t>the corporation’s remedial actions, including any efforts to implement an effective corporate compliance program or improve an existing one, replace responsible management, discipline or terminate wrongdoers, pay restitution, and cooperate with the relevant government agencies;</w:t>
      </w:r>
    </w:p>
    <w:p w14:paraId="318B5C7B" w14:textId="7E83D075" w:rsidR="0061282C" w:rsidRPr="00DA5EB5" w:rsidRDefault="0061282C" w:rsidP="0074473E">
      <w:pPr>
        <w:pStyle w:val="BlockQuote"/>
        <w:numPr>
          <w:ilvl w:val="0"/>
          <w:numId w:val="14"/>
        </w:numPr>
        <w:spacing w:before="60" w:after="60"/>
        <w:jc w:val="left"/>
        <w:rPr>
          <w:kern w:val="2"/>
          <w:sz w:val="20"/>
        </w:rPr>
      </w:pPr>
      <w:r w:rsidRPr="00DA5EB5">
        <w:rPr>
          <w:kern w:val="2"/>
          <w:sz w:val="20"/>
        </w:rPr>
        <w:t>collateral consequences, including whether there is disproportionate harm to shareholders, pension holders, employees, and others not proven personally culpable, as well as impact on the public arising from the prosecution;</w:t>
      </w:r>
    </w:p>
    <w:p w14:paraId="4A67B01A" w14:textId="559FD0EE" w:rsidR="0061282C" w:rsidRPr="00DA5EB5" w:rsidRDefault="0061282C" w:rsidP="0074473E">
      <w:pPr>
        <w:pStyle w:val="BlockQuote"/>
        <w:numPr>
          <w:ilvl w:val="0"/>
          <w:numId w:val="14"/>
        </w:numPr>
        <w:spacing w:before="60" w:after="60"/>
        <w:jc w:val="left"/>
        <w:rPr>
          <w:kern w:val="2"/>
          <w:sz w:val="20"/>
        </w:rPr>
      </w:pPr>
      <w:r w:rsidRPr="00DA5EB5">
        <w:rPr>
          <w:kern w:val="2"/>
          <w:sz w:val="20"/>
        </w:rPr>
        <w:t>the adequacy of the prosecution of individuals responsible for the corporation’s malfeasance; and</w:t>
      </w:r>
    </w:p>
    <w:p w14:paraId="06DBB1FC" w14:textId="434164F2" w:rsidR="0061282C" w:rsidRPr="00DA5EB5" w:rsidRDefault="0061282C" w:rsidP="0074473E">
      <w:pPr>
        <w:pStyle w:val="BlockQuote"/>
        <w:numPr>
          <w:ilvl w:val="0"/>
          <w:numId w:val="14"/>
        </w:numPr>
        <w:spacing w:before="60" w:after="60"/>
        <w:jc w:val="left"/>
        <w:rPr>
          <w:kern w:val="2"/>
          <w:sz w:val="20"/>
        </w:rPr>
      </w:pPr>
      <w:proofErr w:type="gramStart"/>
      <w:r w:rsidRPr="00DA5EB5">
        <w:rPr>
          <w:kern w:val="2"/>
          <w:sz w:val="20"/>
        </w:rPr>
        <w:t>the</w:t>
      </w:r>
      <w:proofErr w:type="gramEnd"/>
      <w:r w:rsidRPr="00DA5EB5">
        <w:rPr>
          <w:kern w:val="2"/>
          <w:sz w:val="20"/>
        </w:rPr>
        <w:t xml:space="preserve"> adequacy of remedies such as civil or regulatory enforcement actions.</w:t>
      </w:r>
      <w:r w:rsidR="00C607B6" w:rsidRPr="00DA5EB5">
        <w:rPr>
          <w:rStyle w:val="FootnoteReference"/>
          <w:kern w:val="2"/>
          <w:szCs w:val="21"/>
        </w:rPr>
        <w:footnoteReference w:id="37"/>
      </w:r>
    </w:p>
    <w:p w14:paraId="754EF753" w14:textId="130DC638" w:rsidR="0061282C" w:rsidRPr="00DA5EB5" w:rsidRDefault="0061282C" w:rsidP="00DF2F35">
      <w:pPr>
        <w:rPr>
          <w:kern w:val="2"/>
          <w:sz w:val="20"/>
        </w:rPr>
      </w:pPr>
      <w:r w:rsidRPr="00DA5EB5">
        <w:rPr>
          <w:kern w:val="2"/>
          <w:sz w:val="20"/>
        </w:rPr>
        <w:t xml:space="preserve">The following excerpt from the </w:t>
      </w:r>
      <w:r w:rsidRPr="00DA5EB5">
        <w:rPr>
          <w:i/>
          <w:kern w:val="2"/>
          <w:sz w:val="20"/>
        </w:rPr>
        <w:t xml:space="preserve">Resource Guide </w:t>
      </w:r>
      <w:r w:rsidRPr="00DA5EB5">
        <w:rPr>
          <w:kern w:val="2"/>
          <w:sz w:val="20"/>
        </w:rPr>
        <w:t>discusses penalties:</w:t>
      </w:r>
      <w:r w:rsidR="0074473E" w:rsidRPr="00DA5EB5">
        <w:rPr>
          <w:rStyle w:val="FootnoteReference"/>
          <w:color w:val="000000"/>
          <w:kern w:val="2"/>
          <w:szCs w:val="21"/>
        </w:rPr>
        <w:footnoteReference w:id="38"/>
      </w:r>
      <w:r w:rsidR="005D1999" w:rsidRPr="00DA5EB5">
        <w:rPr>
          <w:kern w:val="2"/>
          <w:sz w:val="20"/>
        </w:rPr>
        <w:t xml:space="preserve"> </w:t>
      </w:r>
    </w:p>
    <w:tbl>
      <w:tblPr>
        <w:tblStyle w:val="TableGrid"/>
        <w:tblW w:w="0" w:type="auto"/>
        <w:jc w:val="center"/>
        <w:tblCellMar>
          <w:top w:w="284" w:type="dxa"/>
          <w:left w:w="284" w:type="dxa"/>
          <w:bottom w:w="284" w:type="dxa"/>
          <w:right w:w="284" w:type="dxa"/>
        </w:tblCellMar>
        <w:tblLook w:val="04A0" w:firstRow="1" w:lastRow="0" w:firstColumn="1" w:lastColumn="0" w:noHBand="0" w:noVBand="1"/>
      </w:tblPr>
      <w:tblGrid>
        <w:gridCol w:w="8080"/>
      </w:tblGrid>
      <w:tr w:rsidR="0077326D" w:rsidRPr="00DA5EB5" w14:paraId="3C066319" w14:textId="77777777" w:rsidTr="00B50B24">
        <w:trPr>
          <w:jc w:val="center"/>
        </w:trPr>
        <w:tc>
          <w:tcPr>
            <w:tcW w:w="9350" w:type="dxa"/>
            <w:tcBorders>
              <w:top w:val="nil"/>
              <w:left w:val="nil"/>
              <w:bottom w:val="nil"/>
              <w:right w:val="nil"/>
            </w:tcBorders>
            <w:shd w:val="clear" w:color="auto" w:fill="D9D9D9" w:themeFill="background1" w:themeFillShade="D9"/>
          </w:tcPr>
          <w:p w14:paraId="01D14B08" w14:textId="77777777" w:rsidR="00AA08D4" w:rsidRPr="00DA5EB5" w:rsidRDefault="00AA08D4" w:rsidP="00B50B24">
            <w:pPr>
              <w:pStyle w:val="ExcerptMarker"/>
              <w:spacing w:before="0"/>
              <w:rPr>
                <w:kern w:val="2"/>
                <w:sz w:val="16"/>
              </w:rPr>
            </w:pPr>
            <w:r w:rsidRPr="00DA5EB5">
              <w:rPr>
                <w:kern w:val="2"/>
                <w:sz w:val="16"/>
              </w:rPr>
              <w:t>Beginning of Excerpt</w:t>
            </w:r>
          </w:p>
          <w:p w14:paraId="5538363D" w14:textId="77777777" w:rsidR="00AA08D4" w:rsidRPr="00DA5EB5" w:rsidRDefault="00AA08D4" w:rsidP="00B50B24">
            <w:pPr>
              <w:rPr>
                <w:b/>
                <w:kern w:val="2"/>
                <w:sz w:val="20"/>
              </w:rPr>
            </w:pPr>
            <w:r w:rsidRPr="00DA5EB5">
              <w:rPr>
                <w:b/>
                <w:kern w:val="2"/>
                <w:sz w:val="20"/>
              </w:rPr>
              <w:t>What Are the Potential Consequences for Violations of the FCPA?</w:t>
            </w:r>
          </w:p>
          <w:p w14:paraId="6885B52D" w14:textId="77777777" w:rsidR="00AA08D4" w:rsidRPr="00DA5EB5" w:rsidRDefault="00AA08D4" w:rsidP="00B50B24">
            <w:pPr>
              <w:rPr>
                <w:kern w:val="2"/>
                <w:sz w:val="20"/>
              </w:rPr>
            </w:pPr>
            <w:r w:rsidRPr="00DA5EB5">
              <w:rPr>
                <w:kern w:val="2"/>
                <w:sz w:val="20"/>
              </w:rPr>
              <w:t>The FCPA provides for different criminal and civil penalties for companies and individuals.</w:t>
            </w:r>
          </w:p>
          <w:p w14:paraId="6C846938" w14:textId="77777777" w:rsidR="00AA08D4" w:rsidRPr="00DA5EB5" w:rsidRDefault="00AA08D4" w:rsidP="00B50B24">
            <w:pPr>
              <w:rPr>
                <w:b/>
                <w:kern w:val="2"/>
                <w:sz w:val="20"/>
              </w:rPr>
            </w:pPr>
            <w:r w:rsidRPr="00DA5EB5">
              <w:rPr>
                <w:b/>
                <w:kern w:val="2"/>
                <w:sz w:val="20"/>
              </w:rPr>
              <w:t>Criminal Penalties</w:t>
            </w:r>
          </w:p>
          <w:p w14:paraId="2EC57C6F" w14:textId="0623E609" w:rsidR="00AA08D4" w:rsidRPr="00DA5EB5" w:rsidRDefault="00AA08D4" w:rsidP="00B50B24">
            <w:pPr>
              <w:rPr>
                <w:kern w:val="2"/>
                <w:sz w:val="20"/>
              </w:rPr>
            </w:pPr>
            <w:r w:rsidRPr="00DA5EB5">
              <w:rPr>
                <w:kern w:val="2"/>
                <w:sz w:val="20"/>
              </w:rPr>
              <w:t>For each violation of the anti-bribery provisions, the FCPA provides that corporations and other business entities are subject to a fine of up to $2 million.</w:t>
            </w:r>
            <w:r w:rsidR="00E87776" w:rsidRPr="00DA5EB5">
              <w:rPr>
                <w:kern w:val="2"/>
                <w:sz w:val="20"/>
              </w:rPr>
              <w:t xml:space="preserve"> </w:t>
            </w:r>
            <w:r w:rsidRPr="00DA5EB5">
              <w:rPr>
                <w:kern w:val="2"/>
                <w:sz w:val="20"/>
              </w:rPr>
              <w:t>Individuals, including officers, directors, stockholders, and agents of companies, are subject to a fine of up to $250,000 and imprisonment for up to five years.</w:t>
            </w:r>
          </w:p>
          <w:p w14:paraId="69438829" w14:textId="6AD57B08" w:rsidR="00AA08D4" w:rsidRPr="00DA5EB5" w:rsidRDefault="00AA08D4" w:rsidP="00B50B24">
            <w:pPr>
              <w:rPr>
                <w:kern w:val="2"/>
                <w:sz w:val="20"/>
              </w:rPr>
            </w:pPr>
            <w:r w:rsidRPr="00DA5EB5">
              <w:rPr>
                <w:kern w:val="2"/>
                <w:sz w:val="20"/>
              </w:rPr>
              <w:t>For each violation of the accounting provisions, the FCPA provides that corporations and other business entities are subject to a fine of up to $25 million.</w:t>
            </w:r>
            <w:r w:rsidR="00E87776" w:rsidRPr="00DA5EB5">
              <w:rPr>
                <w:kern w:val="2"/>
                <w:sz w:val="20"/>
              </w:rPr>
              <w:t xml:space="preserve"> </w:t>
            </w:r>
            <w:r w:rsidRPr="00DA5EB5">
              <w:rPr>
                <w:kern w:val="2"/>
                <w:sz w:val="20"/>
              </w:rPr>
              <w:t>Individuals are subject to a fine of up to $5 million and imprisonment for up to 20 years.</w:t>
            </w:r>
            <w:r w:rsidR="00E87776" w:rsidRPr="00DA5EB5">
              <w:rPr>
                <w:kern w:val="2"/>
                <w:sz w:val="20"/>
              </w:rPr>
              <w:t xml:space="preserve"> </w:t>
            </w:r>
            <w:r w:rsidRPr="00DA5EB5">
              <w:rPr>
                <w:kern w:val="2"/>
                <w:sz w:val="20"/>
              </w:rPr>
              <w:t>Under the Alternative Fines Act, 18 U.S.C. § 3571(d), courts may impose significantly higher fines than those provided by the FCPA—up to twice the benefit that the defendant obtained by making the corrupt payment, as long as the facts supporting the increased fines are included in the indictment and either proved to the jury beyond a reasonable doubt or admitted in a guilty plea proceeding.</w:t>
            </w:r>
            <w:r w:rsidR="00E87776" w:rsidRPr="00DA5EB5">
              <w:rPr>
                <w:kern w:val="2"/>
                <w:sz w:val="20"/>
              </w:rPr>
              <w:t xml:space="preserve"> </w:t>
            </w:r>
            <w:r w:rsidRPr="00DA5EB5">
              <w:rPr>
                <w:kern w:val="2"/>
                <w:sz w:val="20"/>
              </w:rPr>
              <w:t>Fines imposed on individuals may not be paid by their employer or principal.</w:t>
            </w:r>
          </w:p>
          <w:p w14:paraId="5ECB84EE" w14:textId="77777777" w:rsidR="00AA08D4" w:rsidRPr="00DA5EB5" w:rsidRDefault="00AA08D4" w:rsidP="00B50B24">
            <w:pPr>
              <w:rPr>
                <w:b/>
                <w:kern w:val="2"/>
                <w:sz w:val="20"/>
              </w:rPr>
            </w:pPr>
            <w:r w:rsidRPr="00DA5EB5">
              <w:rPr>
                <w:b/>
                <w:kern w:val="2"/>
                <w:sz w:val="20"/>
              </w:rPr>
              <w:t>U.S. Sentencing Guidelines</w:t>
            </w:r>
          </w:p>
          <w:p w14:paraId="40B777DA" w14:textId="76A6FC5A" w:rsidR="00AA08D4" w:rsidRPr="00DA5EB5" w:rsidRDefault="00AA08D4" w:rsidP="00B50B24">
            <w:pPr>
              <w:rPr>
                <w:kern w:val="2"/>
                <w:sz w:val="20"/>
              </w:rPr>
            </w:pPr>
            <w:r w:rsidRPr="00DA5EB5">
              <w:rPr>
                <w:kern w:val="2"/>
                <w:sz w:val="20"/>
              </w:rPr>
              <w:t xml:space="preserve">When calculating penalties for violations of the FCPA, DOJ focuses its analysis on the U.S. Sentencing Guidelines (Guidelines) in all of its resolutions, including guilty pleas, DPAs, and NPAs. The Guidelines provide a very detailed and predictable structure for calculating penalties for all federal crimes, including violations of the FCPA. To determine the appropriate penalty, the </w:t>
            </w:r>
            <w:r w:rsidR="00FD6DAC" w:rsidRPr="00DA5EB5">
              <w:rPr>
                <w:kern w:val="2"/>
                <w:sz w:val="20"/>
              </w:rPr>
              <w:t>“</w:t>
            </w:r>
            <w:r w:rsidRPr="00DA5EB5">
              <w:rPr>
                <w:kern w:val="2"/>
                <w:sz w:val="20"/>
              </w:rPr>
              <w:t>offense level</w:t>
            </w:r>
            <w:r w:rsidR="00FD6DAC" w:rsidRPr="00DA5EB5">
              <w:rPr>
                <w:kern w:val="2"/>
                <w:sz w:val="20"/>
              </w:rPr>
              <w:t>”</w:t>
            </w:r>
            <w:r w:rsidRPr="00DA5EB5">
              <w:rPr>
                <w:kern w:val="2"/>
                <w:sz w:val="20"/>
              </w:rPr>
              <w:t xml:space="preserve"> is first calculated by examining both the severity of the crime and facts specific to the crime, with appropriate reductions for cooperation and acceptance of responsibility, and, for business entities, additional factors such as voluntary disclosure, cooperation, pre-existing compliance programs, and remediation.</w:t>
            </w:r>
          </w:p>
          <w:p w14:paraId="32A7B897" w14:textId="77777777" w:rsidR="00790B90" w:rsidRPr="00DA5EB5" w:rsidRDefault="00AA08D4" w:rsidP="00B50B24">
            <w:pPr>
              <w:rPr>
                <w:kern w:val="2"/>
                <w:sz w:val="20"/>
              </w:rPr>
            </w:pPr>
            <w:r w:rsidRPr="00DA5EB5">
              <w:rPr>
                <w:kern w:val="2"/>
                <w:sz w:val="20"/>
              </w:rPr>
              <w:t>The Guidelines provide for different penalties for the different provisions of the FCPA. The initial offense level for violations of the anti-bribery provisions is determined under § 2C1.1, while violations of the accounting provisions are assessed under § 2B1.1. For individuals, the initial offense level is modified by factors set forth in Chapters 3, 4, and 5 of the Guidelines to identify a final offense level.</w:t>
            </w:r>
            <w:r w:rsidR="00E87776" w:rsidRPr="00DA5EB5">
              <w:rPr>
                <w:kern w:val="2"/>
                <w:sz w:val="20"/>
              </w:rPr>
              <w:t xml:space="preserve"> </w:t>
            </w:r>
            <w:r w:rsidRPr="00DA5EB5">
              <w:rPr>
                <w:kern w:val="2"/>
                <w:sz w:val="20"/>
              </w:rPr>
              <w:t>This final offense level, combined with other factors, is used to determine whether the Guidelines would recommend that incarceration is appropriate, the length of any term of incarceration, and the appropriate amount of any fine. For corporations, the offense level is modified by factors particular to organizations as described in Chapter 8 to determine the applicable organizational penalty.</w:t>
            </w:r>
            <w:r w:rsidR="00E87776" w:rsidRPr="00DA5EB5">
              <w:rPr>
                <w:kern w:val="2"/>
                <w:sz w:val="20"/>
              </w:rPr>
              <w:t xml:space="preserve"> </w:t>
            </w:r>
            <w:r w:rsidRPr="00DA5EB5">
              <w:rPr>
                <w:kern w:val="2"/>
                <w:sz w:val="20"/>
              </w:rPr>
              <w:t>… For violations of the accounting provisions assessed under § 2B1.1, the procedure is generally the same, except that the specific offense characteristics differ.</w:t>
            </w:r>
            <w:r w:rsidR="00E87776" w:rsidRPr="00DA5EB5">
              <w:rPr>
                <w:kern w:val="2"/>
                <w:sz w:val="20"/>
              </w:rPr>
              <w:t xml:space="preserve"> </w:t>
            </w:r>
            <w:r w:rsidRPr="00DA5EB5">
              <w:rPr>
                <w:kern w:val="2"/>
                <w:sz w:val="20"/>
              </w:rPr>
              <w:t>For instance, for violations of the FCPA’s accounting provisions, the offense level may be increased if a substantial part of the scheme occurred outside the United States or if the defendant was an officer or director of a publicly traded company at the time of the offense.</w:t>
            </w:r>
            <w:r w:rsidR="00E87776" w:rsidRPr="00DA5EB5">
              <w:rPr>
                <w:kern w:val="2"/>
                <w:sz w:val="20"/>
              </w:rPr>
              <w:t xml:space="preserve"> </w:t>
            </w:r>
            <w:r w:rsidRPr="00DA5EB5">
              <w:rPr>
                <w:kern w:val="2"/>
                <w:sz w:val="20"/>
              </w:rPr>
              <w:t xml:space="preserve">For companies, the offense level is calculated pursuant to §§ 2C1.1 or 2B1.1 in the same way as for an individual—by starting with the base offense level and increasing it as warranted by any applicable specific offense characteristics. The organizational guidelines found in Chapter 8, however, provide the structure for determining the final advisory guideline fine range for organizations. </w:t>
            </w:r>
          </w:p>
          <w:p w14:paraId="597DB46B" w14:textId="676139BE" w:rsidR="00AA08D4" w:rsidRPr="00DA5EB5" w:rsidRDefault="00AA08D4" w:rsidP="00B50B24">
            <w:pPr>
              <w:rPr>
                <w:color w:val="000000"/>
                <w:kern w:val="2"/>
                <w:sz w:val="20"/>
              </w:rPr>
            </w:pPr>
            <w:r w:rsidRPr="00DA5EB5">
              <w:rPr>
                <w:kern w:val="2"/>
                <w:sz w:val="20"/>
              </w:rPr>
              <w:t>…</w:t>
            </w:r>
          </w:p>
          <w:p w14:paraId="467F5EFD" w14:textId="77777777" w:rsidR="00AA08D4" w:rsidRPr="00DA5EB5" w:rsidRDefault="00AA08D4" w:rsidP="00B50B24">
            <w:pPr>
              <w:rPr>
                <w:b/>
                <w:kern w:val="2"/>
                <w:sz w:val="20"/>
              </w:rPr>
            </w:pPr>
            <w:r w:rsidRPr="00DA5EB5">
              <w:rPr>
                <w:b/>
                <w:kern w:val="2"/>
                <w:sz w:val="20"/>
              </w:rPr>
              <w:t>Civil Penalties</w:t>
            </w:r>
          </w:p>
          <w:p w14:paraId="1F6BDBE4" w14:textId="77777777" w:rsidR="00AA08D4" w:rsidRPr="00DA5EB5" w:rsidRDefault="00AA08D4" w:rsidP="00B50B24">
            <w:pPr>
              <w:rPr>
                <w:color w:val="000000"/>
                <w:kern w:val="2"/>
                <w:sz w:val="20"/>
              </w:rPr>
            </w:pPr>
            <w:r w:rsidRPr="00DA5EB5">
              <w:rPr>
                <w:color w:val="000000"/>
                <w:kern w:val="2"/>
                <w:sz w:val="20"/>
              </w:rPr>
              <w:t>Although only DOJ has the authority to pursue criminal actions, both DOJ and SEC have civil enforcement authority under the FCPA. DOJ may pursue civil actions for anti-bribery violations by domestic concerns (and their officers, directors, employees, agents, or stockholders) and foreign nationals and companies for violations while in the United States, while SEC may pursue civil actions against issuers and their officers, directors, employees, agents, or stockholders for violations of the anti-bribery and the accounting provisions.</w:t>
            </w:r>
          </w:p>
          <w:p w14:paraId="07DF745A" w14:textId="5D28C0AB" w:rsidR="00AA08D4" w:rsidRPr="00DA5EB5" w:rsidRDefault="00AA08D4" w:rsidP="00B50B24">
            <w:pPr>
              <w:rPr>
                <w:color w:val="000000"/>
                <w:kern w:val="2"/>
                <w:sz w:val="20"/>
              </w:rPr>
            </w:pPr>
            <w:r w:rsidRPr="00DA5EB5">
              <w:rPr>
                <w:color w:val="000000"/>
                <w:kern w:val="2"/>
                <w:sz w:val="20"/>
              </w:rPr>
              <w:t>For violations of the anti-bribery provisions, corporations and other business entities are subject to a civil penalty of up to $16,000 per violation.</w:t>
            </w:r>
            <w:r w:rsidR="00E87776" w:rsidRPr="00DA5EB5">
              <w:rPr>
                <w:color w:val="000000"/>
                <w:kern w:val="2"/>
                <w:sz w:val="20"/>
              </w:rPr>
              <w:t xml:space="preserve"> </w:t>
            </w:r>
            <w:r w:rsidRPr="00DA5EB5">
              <w:rPr>
                <w:color w:val="000000"/>
                <w:kern w:val="2"/>
                <w:sz w:val="20"/>
              </w:rPr>
              <w:t>Individuals, including officers, directors, stockholders, and agents of companies, are similarly subject to a civil penalty of up to $16,000 per violation, which may not be paid by their employer or principal.</w:t>
            </w:r>
            <w:r w:rsidR="00E87776" w:rsidRPr="00DA5EB5">
              <w:rPr>
                <w:color w:val="000000"/>
                <w:kern w:val="2"/>
                <w:sz w:val="20"/>
              </w:rPr>
              <w:t xml:space="preserve"> </w:t>
            </w:r>
            <w:r w:rsidRPr="00DA5EB5">
              <w:rPr>
                <w:color w:val="000000"/>
                <w:kern w:val="2"/>
                <w:sz w:val="20"/>
              </w:rPr>
              <w:t>For violations of the accounting provisions, SEC may obtain a civil penalty not to exceed the greater of (a) the gross amount of the pecuniary gain to the defendant as a result of the violations or (b) a specified dollar limitation. The specified dollar limitations are based on the egregiousness of the violation, ranging from $7,500 to $150,000 for an individual and $75,000 to $725,000 for a company.</w:t>
            </w:r>
            <w:r w:rsidR="00E87776" w:rsidRPr="00DA5EB5">
              <w:rPr>
                <w:color w:val="000000"/>
                <w:kern w:val="2"/>
                <w:sz w:val="20"/>
              </w:rPr>
              <w:t xml:space="preserve"> </w:t>
            </w:r>
            <w:r w:rsidRPr="00DA5EB5">
              <w:rPr>
                <w:color w:val="000000"/>
                <w:kern w:val="2"/>
                <w:sz w:val="20"/>
              </w:rPr>
              <w:t>SEC may obtain civil penalties both in actions filed in federal court and in administrative proceedings.</w:t>
            </w:r>
            <w:r w:rsidR="00E87776" w:rsidRPr="00DA5EB5">
              <w:rPr>
                <w:color w:val="000000"/>
                <w:kern w:val="2"/>
                <w:sz w:val="20"/>
              </w:rPr>
              <w:t xml:space="preserve"> </w:t>
            </w:r>
            <w:r w:rsidRPr="00DA5EB5">
              <w:rPr>
                <w:color w:val="000000"/>
                <w:kern w:val="2"/>
                <w:sz w:val="20"/>
              </w:rPr>
              <w:t>[Footnotes omitted.]</w:t>
            </w:r>
          </w:p>
          <w:p w14:paraId="12C5742B" w14:textId="0900D6D8" w:rsidR="0077326D" w:rsidRPr="00DA5EB5" w:rsidRDefault="00AA08D4" w:rsidP="00B50B24">
            <w:pPr>
              <w:pStyle w:val="ExcerptMarker"/>
              <w:spacing w:after="0"/>
              <w:rPr>
                <w:kern w:val="2"/>
                <w:sz w:val="16"/>
              </w:rPr>
            </w:pPr>
            <w:r w:rsidRPr="00DA5EB5">
              <w:rPr>
                <w:kern w:val="2"/>
                <w:sz w:val="16"/>
              </w:rPr>
              <w:t>End of Excerpt</w:t>
            </w:r>
          </w:p>
        </w:tc>
      </w:tr>
    </w:tbl>
    <w:p w14:paraId="4D93B83F" w14:textId="6A41414D" w:rsidR="005D1999" w:rsidRPr="00DA5EB5" w:rsidRDefault="001B4FDB" w:rsidP="007C3517">
      <w:pPr>
        <w:rPr>
          <w:kern w:val="2"/>
          <w:sz w:val="20"/>
        </w:rPr>
      </w:pPr>
      <w:r w:rsidRPr="00DA5EB5">
        <w:rPr>
          <w:kern w:val="2"/>
          <w:sz w:val="20"/>
        </w:rPr>
        <w:t xml:space="preserve">The size of penalties for </w:t>
      </w:r>
      <w:r w:rsidRPr="00DA5EB5">
        <w:rPr>
          <w:i/>
          <w:kern w:val="2"/>
          <w:sz w:val="20"/>
        </w:rPr>
        <w:t xml:space="preserve">FCPA </w:t>
      </w:r>
      <w:r w:rsidRPr="00DA5EB5">
        <w:rPr>
          <w:kern w:val="2"/>
          <w:sz w:val="20"/>
        </w:rPr>
        <w:t>cases has continued to increase.</w:t>
      </w:r>
      <w:r w:rsidR="00E33479" w:rsidRPr="00DA5EB5">
        <w:rPr>
          <w:kern w:val="2"/>
          <w:sz w:val="20"/>
        </w:rPr>
        <w:t xml:space="preserve"> All ten of t</w:t>
      </w:r>
      <w:r w:rsidRPr="00DA5EB5">
        <w:rPr>
          <w:kern w:val="2"/>
          <w:sz w:val="20"/>
        </w:rPr>
        <w:t>he ten largest penalties have been imposed since 2008. Richard Cassin lists the top ten largest combined DOJ</w:t>
      </w:r>
      <w:r w:rsidR="00E33479" w:rsidRPr="00DA5EB5">
        <w:rPr>
          <w:kern w:val="2"/>
          <w:sz w:val="20"/>
        </w:rPr>
        <w:t xml:space="preserve"> and </w:t>
      </w:r>
      <w:r w:rsidRPr="00DA5EB5">
        <w:rPr>
          <w:kern w:val="2"/>
          <w:sz w:val="20"/>
        </w:rPr>
        <w:t>SEC penalties</w:t>
      </w:r>
      <w:r w:rsidR="00587E49" w:rsidRPr="00DA5EB5">
        <w:rPr>
          <w:kern w:val="2"/>
          <w:sz w:val="20"/>
        </w:rPr>
        <w:t xml:space="preserve"> of October 2016</w:t>
      </w:r>
      <w:r w:rsidRPr="00DA5EB5">
        <w:rPr>
          <w:kern w:val="2"/>
          <w:sz w:val="20"/>
        </w:rPr>
        <w:t>:</w:t>
      </w:r>
      <w:r w:rsidR="005D1999" w:rsidRPr="00DA5EB5">
        <w:rPr>
          <w:kern w:val="2"/>
          <w:sz w:val="20"/>
        </w:rPr>
        <w:t xml:space="preserve"> </w:t>
      </w:r>
    </w:p>
    <w:p w14:paraId="667D6887" w14:textId="77D56A68" w:rsidR="00D23A4A" w:rsidRPr="00DA5EB5" w:rsidRDefault="00343E86" w:rsidP="005D1999">
      <w:pPr>
        <w:spacing w:after="120"/>
        <w:jc w:val="left"/>
        <w:rPr>
          <w:kern w:val="2"/>
          <w:sz w:val="20"/>
        </w:rPr>
      </w:pPr>
      <w:r w:rsidRPr="00DA5EB5">
        <w:rPr>
          <w:b/>
          <w:kern w:val="2"/>
          <w:sz w:val="20"/>
        </w:rPr>
        <w:t>Table 7.5</w:t>
      </w:r>
      <w:r w:rsidRPr="00DA5EB5">
        <w:rPr>
          <w:i/>
          <w:kern w:val="2"/>
          <w:sz w:val="20"/>
        </w:rPr>
        <w:t xml:space="preserve"> </w:t>
      </w:r>
      <w:r w:rsidR="005D1999" w:rsidRPr="00DA5EB5">
        <w:rPr>
          <w:kern w:val="2"/>
          <w:sz w:val="20"/>
        </w:rPr>
        <w:t xml:space="preserve">Top Ten Largest </w:t>
      </w:r>
      <w:r w:rsidR="005D1999" w:rsidRPr="00DA5EB5">
        <w:rPr>
          <w:i/>
          <w:kern w:val="2"/>
          <w:sz w:val="20"/>
        </w:rPr>
        <w:t>FCPA</w:t>
      </w:r>
      <w:r w:rsidR="005D1999" w:rsidRPr="00DA5EB5">
        <w:rPr>
          <w:kern w:val="2"/>
          <w:sz w:val="20"/>
        </w:rPr>
        <w:t xml:space="preserve"> Penalties</w:t>
      </w:r>
      <w:r w:rsidR="005D1999" w:rsidRPr="00DA5EB5">
        <w:rPr>
          <w:rStyle w:val="FootnoteReference"/>
          <w:color w:val="000000" w:themeColor="text1"/>
          <w:kern w:val="2"/>
          <w:sz w:val="18"/>
        </w:rPr>
        <w:footnoteReference w:id="39"/>
      </w:r>
    </w:p>
    <w:tbl>
      <w:tblPr>
        <w:tblStyle w:val="TableGrid"/>
        <w:tblW w:w="0" w:type="auto"/>
        <w:tblInd w:w="113" w:type="dxa"/>
        <w:tblLook w:val="04A0" w:firstRow="1" w:lastRow="0" w:firstColumn="1" w:lastColumn="0" w:noHBand="0" w:noVBand="1"/>
      </w:tblPr>
      <w:tblGrid>
        <w:gridCol w:w="2769"/>
        <w:gridCol w:w="2697"/>
        <w:gridCol w:w="2491"/>
      </w:tblGrid>
      <w:tr w:rsidR="00A92F6A" w:rsidRPr="00DA5EB5" w14:paraId="4E90169F" w14:textId="77777777" w:rsidTr="00343E86">
        <w:trPr>
          <w:tblHeader/>
        </w:trPr>
        <w:tc>
          <w:tcPr>
            <w:tcW w:w="3161" w:type="dxa"/>
            <w:vAlign w:val="center"/>
          </w:tcPr>
          <w:p w14:paraId="7682B15E" w14:textId="77777777" w:rsidR="00A92F6A" w:rsidRPr="00DA5EB5" w:rsidRDefault="00A92F6A" w:rsidP="00097109">
            <w:pPr>
              <w:spacing w:before="60" w:after="60"/>
              <w:jc w:val="center"/>
              <w:rPr>
                <w:b/>
                <w:color w:val="000000" w:themeColor="text1"/>
                <w:kern w:val="2"/>
                <w:sz w:val="20"/>
                <w:lang w:val="en"/>
              </w:rPr>
            </w:pPr>
            <w:r w:rsidRPr="00DA5EB5">
              <w:rPr>
                <w:b/>
                <w:color w:val="000000" w:themeColor="text1"/>
                <w:kern w:val="2"/>
                <w:sz w:val="20"/>
                <w:lang w:val="en"/>
              </w:rPr>
              <w:t>Company</w:t>
            </w:r>
          </w:p>
        </w:tc>
        <w:tc>
          <w:tcPr>
            <w:tcW w:w="3155" w:type="dxa"/>
            <w:vAlign w:val="center"/>
          </w:tcPr>
          <w:p w14:paraId="0EDB6B85" w14:textId="77777777" w:rsidR="00A92F6A" w:rsidRPr="00DA5EB5" w:rsidRDefault="00A92F6A" w:rsidP="00097109">
            <w:pPr>
              <w:spacing w:before="60" w:after="60"/>
              <w:jc w:val="center"/>
              <w:rPr>
                <w:b/>
                <w:color w:val="000000" w:themeColor="text1"/>
                <w:kern w:val="2"/>
                <w:sz w:val="20"/>
                <w:lang w:val="en"/>
              </w:rPr>
            </w:pPr>
            <w:r w:rsidRPr="00DA5EB5">
              <w:rPr>
                <w:b/>
                <w:color w:val="000000" w:themeColor="text1"/>
                <w:kern w:val="2"/>
                <w:sz w:val="20"/>
                <w:lang w:val="en"/>
              </w:rPr>
              <w:t>Amount</w:t>
            </w:r>
          </w:p>
        </w:tc>
        <w:tc>
          <w:tcPr>
            <w:tcW w:w="3035" w:type="dxa"/>
            <w:vAlign w:val="center"/>
          </w:tcPr>
          <w:p w14:paraId="12B89746" w14:textId="77777777" w:rsidR="00A92F6A" w:rsidRPr="00DA5EB5" w:rsidRDefault="00A92F6A" w:rsidP="00097109">
            <w:pPr>
              <w:spacing w:before="60" w:after="60"/>
              <w:jc w:val="center"/>
              <w:rPr>
                <w:b/>
                <w:color w:val="000000" w:themeColor="text1"/>
                <w:kern w:val="2"/>
                <w:sz w:val="20"/>
                <w:lang w:val="en"/>
              </w:rPr>
            </w:pPr>
            <w:r w:rsidRPr="00DA5EB5">
              <w:rPr>
                <w:b/>
                <w:color w:val="000000" w:themeColor="text1"/>
                <w:kern w:val="2"/>
                <w:sz w:val="20"/>
                <w:lang w:val="en"/>
              </w:rPr>
              <w:t>Year</w:t>
            </w:r>
          </w:p>
        </w:tc>
      </w:tr>
      <w:tr w:rsidR="00A92F6A" w:rsidRPr="00DA5EB5" w14:paraId="31B5C7BB" w14:textId="77777777" w:rsidTr="006F19C0">
        <w:tc>
          <w:tcPr>
            <w:tcW w:w="3161" w:type="dxa"/>
            <w:vAlign w:val="center"/>
          </w:tcPr>
          <w:p w14:paraId="08C0A277" w14:textId="77777777" w:rsidR="00A92F6A" w:rsidRPr="00DA5EB5" w:rsidRDefault="00A92F6A" w:rsidP="00587E49">
            <w:pPr>
              <w:spacing w:before="0" w:after="0"/>
              <w:jc w:val="left"/>
              <w:rPr>
                <w:color w:val="000000" w:themeColor="text1"/>
                <w:kern w:val="2"/>
                <w:sz w:val="20"/>
                <w:lang w:val="en"/>
              </w:rPr>
            </w:pPr>
            <w:r w:rsidRPr="00DA5EB5">
              <w:rPr>
                <w:color w:val="000000" w:themeColor="text1"/>
                <w:kern w:val="2"/>
                <w:sz w:val="20"/>
                <w:lang w:val="en"/>
              </w:rPr>
              <w:t>Siemens</w:t>
            </w:r>
          </w:p>
        </w:tc>
        <w:tc>
          <w:tcPr>
            <w:tcW w:w="3155" w:type="dxa"/>
            <w:vAlign w:val="center"/>
          </w:tcPr>
          <w:p w14:paraId="61255465" w14:textId="77777777" w:rsidR="00A92F6A" w:rsidRPr="00DA5EB5" w:rsidRDefault="00A92F6A" w:rsidP="00587E49">
            <w:pPr>
              <w:spacing w:before="0" w:after="0"/>
              <w:jc w:val="left"/>
              <w:rPr>
                <w:color w:val="000000" w:themeColor="text1"/>
                <w:kern w:val="2"/>
                <w:sz w:val="20"/>
                <w:lang w:val="en"/>
              </w:rPr>
            </w:pPr>
            <w:r w:rsidRPr="00DA5EB5">
              <w:rPr>
                <w:color w:val="000000" w:themeColor="text1"/>
                <w:kern w:val="2"/>
                <w:sz w:val="20"/>
                <w:lang w:val="en"/>
              </w:rPr>
              <w:t>$800 million</w:t>
            </w:r>
          </w:p>
          <w:p w14:paraId="70238420" w14:textId="77777777" w:rsidR="00A92F6A" w:rsidRPr="00DA5EB5" w:rsidRDefault="00A92F6A" w:rsidP="00587E49">
            <w:pPr>
              <w:spacing w:before="0" w:after="0"/>
              <w:jc w:val="left"/>
              <w:rPr>
                <w:color w:val="000000" w:themeColor="text1"/>
                <w:kern w:val="2"/>
                <w:sz w:val="20"/>
                <w:lang w:val="en"/>
              </w:rPr>
            </w:pPr>
            <w:r w:rsidRPr="00DA5EB5">
              <w:rPr>
                <w:color w:val="000000" w:themeColor="text1"/>
                <w:kern w:val="2"/>
                <w:sz w:val="20"/>
                <w:lang w:val="en"/>
              </w:rPr>
              <w:t>(DOJ - $450 million)</w:t>
            </w:r>
          </w:p>
          <w:p w14:paraId="1D90ACDF" w14:textId="77777777" w:rsidR="00A92F6A" w:rsidRPr="00DA5EB5" w:rsidRDefault="00A92F6A" w:rsidP="00587E49">
            <w:pPr>
              <w:spacing w:before="0" w:after="0"/>
              <w:jc w:val="left"/>
              <w:rPr>
                <w:color w:val="000000" w:themeColor="text1"/>
                <w:kern w:val="2"/>
                <w:sz w:val="20"/>
                <w:lang w:val="en"/>
              </w:rPr>
            </w:pPr>
            <w:r w:rsidRPr="00DA5EB5">
              <w:rPr>
                <w:color w:val="000000" w:themeColor="text1"/>
                <w:kern w:val="2"/>
                <w:sz w:val="20"/>
                <w:lang w:val="en"/>
              </w:rPr>
              <w:t>(SEC - $350 million)</w:t>
            </w:r>
          </w:p>
        </w:tc>
        <w:tc>
          <w:tcPr>
            <w:tcW w:w="3035" w:type="dxa"/>
            <w:vAlign w:val="center"/>
          </w:tcPr>
          <w:p w14:paraId="5244BA8E" w14:textId="77777777" w:rsidR="00A92F6A" w:rsidRPr="00DA5EB5" w:rsidRDefault="00A92F6A" w:rsidP="00587E49">
            <w:pPr>
              <w:spacing w:before="0" w:after="0"/>
              <w:jc w:val="left"/>
              <w:rPr>
                <w:color w:val="000000" w:themeColor="text1"/>
                <w:kern w:val="2"/>
                <w:sz w:val="20"/>
                <w:lang w:val="en"/>
              </w:rPr>
            </w:pPr>
            <w:r w:rsidRPr="00DA5EB5">
              <w:rPr>
                <w:color w:val="000000" w:themeColor="text1"/>
                <w:kern w:val="2"/>
                <w:sz w:val="20"/>
                <w:lang w:val="en"/>
              </w:rPr>
              <w:t>2008</w:t>
            </w:r>
          </w:p>
        </w:tc>
      </w:tr>
      <w:tr w:rsidR="00A92F6A" w:rsidRPr="00DA5EB5" w14:paraId="17ADF090" w14:textId="77777777" w:rsidTr="006F19C0">
        <w:tc>
          <w:tcPr>
            <w:tcW w:w="3161" w:type="dxa"/>
            <w:vAlign w:val="center"/>
          </w:tcPr>
          <w:p w14:paraId="25BC2B39" w14:textId="77777777" w:rsidR="00A92F6A" w:rsidRPr="00DA5EB5" w:rsidRDefault="00A92F6A" w:rsidP="00587E49">
            <w:pPr>
              <w:spacing w:before="0" w:after="0"/>
              <w:jc w:val="left"/>
              <w:rPr>
                <w:color w:val="000000" w:themeColor="text1"/>
                <w:kern w:val="2"/>
                <w:sz w:val="20"/>
                <w:lang w:val="en"/>
              </w:rPr>
            </w:pPr>
            <w:r w:rsidRPr="00DA5EB5">
              <w:rPr>
                <w:color w:val="000000" w:themeColor="text1"/>
                <w:kern w:val="2"/>
                <w:sz w:val="20"/>
                <w:lang w:val="en"/>
              </w:rPr>
              <w:t>Alstom</w:t>
            </w:r>
          </w:p>
        </w:tc>
        <w:tc>
          <w:tcPr>
            <w:tcW w:w="3155" w:type="dxa"/>
            <w:vAlign w:val="center"/>
          </w:tcPr>
          <w:p w14:paraId="3ED2FED3" w14:textId="77777777" w:rsidR="00A92F6A" w:rsidRPr="00DA5EB5" w:rsidRDefault="00A92F6A" w:rsidP="00587E49">
            <w:pPr>
              <w:spacing w:before="0" w:after="0"/>
              <w:jc w:val="left"/>
              <w:rPr>
                <w:color w:val="000000" w:themeColor="text1"/>
                <w:kern w:val="2"/>
                <w:sz w:val="20"/>
                <w:lang w:val="en"/>
              </w:rPr>
            </w:pPr>
            <w:r w:rsidRPr="00DA5EB5">
              <w:rPr>
                <w:color w:val="000000" w:themeColor="text1"/>
                <w:kern w:val="2"/>
                <w:sz w:val="20"/>
                <w:lang w:val="en"/>
              </w:rPr>
              <w:t>$772 million</w:t>
            </w:r>
          </w:p>
          <w:p w14:paraId="3F86CBAE" w14:textId="77777777" w:rsidR="00A92F6A" w:rsidRPr="00DA5EB5" w:rsidRDefault="00A92F6A" w:rsidP="00587E49">
            <w:pPr>
              <w:spacing w:before="0" w:after="0"/>
              <w:jc w:val="left"/>
              <w:rPr>
                <w:color w:val="000000" w:themeColor="text1"/>
                <w:kern w:val="2"/>
                <w:sz w:val="20"/>
                <w:lang w:val="en"/>
              </w:rPr>
            </w:pPr>
            <w:r w:rsidRPr="00DA5EB5">
              <w:rPr>
                <w:color w:val="000000" w:themeColor="text1"/>
                <w:kern w:val="2"/>
                <w:sz w:val="20"/>
                <w:lang w:val="en"/>
              </w:rPr>
              <w:t>(DOJ - $772 million)</w:t>
            </w:r>
          </w:p>
        </w:tc>
        <w:tc>
          <w:tcPr>
            <w:tcW w:w="3035" w:type="dxa"/>
            <w:vAlign w:val="center"/>
          </w:tcPr>
          <w:p w14:paraId="3140A2AF" w14:textId="77777777" w:rsidR="00A92F6A" w:rsidRPr="00DA5EB5" w:rsidRDefault="00A92F6A" w:rsidP="00587E49">
            <w:pPr>
              <w:spacing w:before="0" w:after="0"/>
              <w:jc w:val="left"/>
              <w:rPr>
                <w:color w:val="000000" w:themeColor="text1"/>
                <w:kern w:val="2"/>
                <w:sz w:val="20"/>
                <w:lang w:val="en"/>
              </w:rPr>
            </w:pPr>
            <w:r w:rsidRPr="00DA5EB5">
              <w:rPr>
                <w:color w:val="000000" w:themeColor="text1"/>
                <w:kern w:val="2"/>
                <w:sz w:val="20"/>
                <w:lang w:val="en"/>
              </w:rPr>
              <w:t>2014</w:t>
            </w:r>
          </w:p>
        </w:tc>
      </w:tr>
      <w:tr w:rsidR="00882FC3" w:rsidRPr="00DA5EB5" w14:paraId="4E2EDE15" w14:textId="77777777" w:rsidTr="006F19C0">
        <w:tc>
          <w:tcPr>
            <w:tcW w:w="3161" w:type="dxa"/>
            <w:vAlign w:val="center"/>
          </w:tcPr>
          <w:p w14:paraId="06F287C0"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KBR / Halliburton</w:t>
            </w:r>
          </w:p>
        </w:tc>
        <w:tc>
          <w:tcPr>
            <w:tcW w:w="3155" w:type="dxa"/>
            <w:vAlign w:val="center"/>
          </w:tcPr>
          <w:p w14:paraId="214E9683"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$579 million</w:t>
            </w:r>
          </w:p>
          <w:p w14:paraId="5EF0D72F"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(DOJ - $402 million)</w:t>
            </w:r>
          </w:p>
          <w:p w14:paraId="587C1DBC"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(SEC - $177 million)</w:t>
            </w:r>
          </w:p>
        </w:tc>
        <w:tc>
          <w:tcPr>
            <w:tcW w:w="3035" w:type="dxa"/>
            <w:vAlign w:val="center"/>
          </w:tcPr>
          <w:p w14:paraId="2C8D9236"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2009</w:t>
            </w:r>
          </w:p>
        </w:tc>
      </w:tr>
      <w:tr w:rsidR="00882FC3" w:rsidRPr="00DA5EB5" w14:paraId="544E2437" w14:textId="77777777" w:rsidTr="006F19C0">
        <w:tc>
          <w:tcPr>
            <w:tcW w:w="3161" w:type="dxa"/>
            <w:vAlign w:val="center"/>
          </w:tcPr>
          <w:p w14:paraId="770ABBDE" w14:textId="77777777" w:rsidR="00882FC3" w:rsidRPr="00DA5EB5" w:rsidRDefault="00882FC3" w:rsidP="00587E49">
            <w:pPr>
              <w:spacing w:before="0" w:after="0"/>
              <w:jc w:val="left"/>
              <w:rPr>
                <w:color w:val="000000" w:themeColor="text1"/>
                <w:kern w:val="2"/>
                <w:sz w:val="20"/>
                <w:lang w:val="en"/>
              </w:rPr>
            </w:pPr>
            <w:proofErr w:type="spellStart"/>
            <w:r w:rsidRPr="00DA5EB5">
              <w:rPr>
                <w:color w:val="000000" w:themeColor="text1"/>
                <w:kern w:val="2"/>
                <w:sz w:val="20"/>
                <w:lang w:val="en"/>
              </w:rPr>
              <w:t>Och</w:t>
            </w:r>
            <w:proofErr w:type="spellEnd"/>
            <w:r w:rsidRPr="00DA5EB5">
              <w:rPr>
                <w:color w:val="000000" w:themeColor="text1"/>
                <w:kern w:val="2"/>
                <w:sz w:val="20"/>
                <w:lang w:val="en"/>
              </w:rPr>
              <w:t>-Ziff</w:t>
            </w:r>
          </w:p>
        </w:tc>
        <w:tc>
          <w:tcPr>
            <w:tcW w:w="3155" w:type="dxa"/>
            <w:vAlign w:val="center"/>
          </w:tcPr>
          <w:p w14:paraId="71D63798"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$412 million</w:t>
            </w:r>
          </w:p>
          <w:p w14:paraId="421FBD7A"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(DOJ - $213 million)</w:t>
            </w:r>
          </w:p>
          <w:p w14:paraId="56B4C384"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(SEC - $199 million)</w:t>
            </w:r>
          </w:p>
        </w:tc>
        <w:tc>
          <w:tcPr>
            <w:tcW w:w="3035" w:type="dxa"/>
            <w:vAlign w:val="center"/>
          </w:tcPr>
          <w:p w14:paraId="6FBD82C1"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2016</w:t>
            </w:r>
          </w:p>
        </w:tc>
      </w:tr>
      <w:tr w:rsidR="00882FC3" w:rsidRPr="00DA5EB5" w14:paraId="05586FFC" w14:textId="77777777" w:rsidTr="006F19C0">
        <w:tc>
          <w:tcPr>
            <w:tcW w:w="3161" w:type="dxa"/>
            <w:vAlign w:val="center"/>
          </w:tcPr>
          <w:p w14:paraId="54D046CB"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BAE</w:t>
            </w:r>
          </w:p>
        </w:tc>
        <w:tc>
          <w:tcPr>
            <w:tcW w:w="3155" w:type="dxa"/>
            <w:vAlign w:val="center"/>
          </w:tcPr>
          <w:p w14:paraId="5538BA67"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$400 million</w:t>
            </w:r>
          </w:p>
          <w:p w14:paraId="7C53E764"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(DOJ - $400 million)</w:t>
            </w:r>
          </w:p>
        </w:tc>
        <w:tc>
          <w:tcPr>
            <w:tcW w:w="3035" w:type="dxa"/>
            <w:vAlign w:val="center"/>
          </w:tcPr>
          <w:p w14:paraId="39E0EFB3"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2010</w:t>
            </w:r>
          </w:p>
        </w:tc>
      </w:tr>
      <w:tr w:rsidR="00882FC3" w:rsidRPr="00DA5EB5" w14:paraId="0282C42F" w14:textId="77777777" w:rsidTr="006F19C0">
        <w:tc>
          <w:tcPr>
            <w:tcW w:w="3161" w:type="dxa"/>
            <w:vAlign w:val="center"/>
          </w:tcPr>
          <w:p w14:paraId="2CCCD4BD"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Total SA</w:t>
            </w:r>
          </w:p>
        </w:tc>
        <w:tc>
          <w:tcPr>
            <w:tcW w:w="3155" w:type="dxa"/>
            <w:vAlign w:val="center"/>
          </w:tcPr>
          <w:p w14:paraId="490A275C"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$398 million</w:t>
            </w:r>
          </w:p>
          <w:p w14:paraId="2594BFF4"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(DOJ - $245 million)</w:t>
            </w:r>
          </w:p>
          <w:p w14:paraId="5694AAB6" w14:textId="594E6598"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(SEC - $153 million)</w:t>
            </w:r>
          </w:p>
        </w:tc>
        <w:tc>
          <w:tcPr>
            <w:tcW w:w="3035" w:type="dxa"/>
            <w:vAlign w:val="center"/>
          </w:tcPr>
          <w:p w14:paraId="2065F55D"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rPr>
              <w:t>2013</w:t>
            </w:r>
          </w:p>
        </w:tc>
      </w:tr>
      <w:tr w:rsidR="00882FC3" w:rsidRPr="00DA5EB5" w14:paraId="0FE672D7" w14:textId="77777777" w:rsidTr="006F19C0">
        <w:tc>
          <w:tcPr>
            <w:tcW w:w="3161" w:type="dxa"/>
            <w:vAlign w:val="center"/>
          </w:tcPr>
          <w:p w14:paraId="6DACF8EB" w14:textId="77777777" w:rsidR="00882FC3" w:rsidRPr="00DA5EB5" w:rsidRDefault="00882FC3" w:rsidP="00587E49">
            <w:pPr>
              <w:spacing w:before="0" w:after="0"/>
              <w:jc w:val="left"/>
              <w:rPr>
                <w:color w:val="000000" w:themeColor="text1"/>
                <w:kern w:val="2"/>
                <w:sz w:val="20"/>
                <w:lang w:val="en"/>
              </w:rPr>
            </w:pPr>
            <w:proofErr w:type="spellStart"/>
            <w:r w:rsidRPr="00DA5EB5">
              <w:rPr>
                <w:color w:val="000000" w:themeColor="text1"/>
                <w:kern w:val="2"/>
                <w:sz w:val="20"/>
                <w:lang w:val="en"/>
              </w:rPr>
              <w:t>VimpelCom</w:t>
            </w:r>
            <w:proofErr w:type="spellEnd"/>
          </w:p>
        </w:tc>
        <w:tc>
          <w:tcPr>
            <w:tcW w:w="3155" w:type="dxa"/>
            <w:vAlign w:val="center"/>
          </w:tcPr>
          <w:p w14:paraId="1FD631E8"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$397.6 million</w:t>
            </w:r>
          </w:p>
          <w:p w14:paraId="7745564A"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(DOJ - $230.1 million)</w:t>
            </w:r>
          </w:p>
          <w:p w14:paraId="3A0C39E3"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(SEC - $167.5 million)</w:t>
            </w:r>
          </w:p>
        </w:tc>
        <w:tc>
          <w:tcPr>
            <w:tcW w:w="3035" w:type="dxa"/>
            <w:vAlign w:val="center"/>
          </w:tcPr>
          <w:p w14:paraId="02158D9D"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2016</w:t>
            </w:r>
          </w:p>
        </w:tc>
      </w:tr>
      <w:tr w:rsidR="00882FC3" w:rsidRPr="00DA5EB5" w14:paraId="7D6824CC" w14:textId="77777777" w:rsidTr="006F19C0">
        <w:tc>
          <w:tcPr>
            <w:tcW w:w="3161" w:type="dxa"/>
            <w:vAlign w:val="center"/>
          </w:tcPr>
          <w:p w14:paraId="16D05B6E"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Alcoa</w:t>
            </w:r>
          </w:p>
        </w:tc>
        <w:tc>
          <w:tcPr>
            <w:tcW w:w="3155" w:type="dxa"/>
            <w:vAlign w:val="center"/>
          </w:tcPr>
          <w:p w14:paraId="525053B7"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$384 million</w:t>
            </w:r>
          </w:p>
          <w:p w14:paraId="6EA87BA1"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(DOJ - $209 million fine, $14 million forfeiture)</w:t>
            </w:r>
          </w:p>
          <w:p w14:paraId="509BBBC2"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(SEC - $161 million)</w:t>
            </w:r>
          </w:p>
        </w:tc>
        <w:tc>
          <w:tcPr>
            <w:tcW w:w="3035" w:type="dxa"/>
            <w:vAlign w:val="center"/>
          </w:tcPr>
          <w:p w14:paraId="017EED74"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2014</w:t>
            </w:r>
          </w:p>
        </w:tc>
      </w:tr>
      <w:tr w:rsidR="00882FC3" w:rsidRPr="00DA5EB5" w14:paraId="38BA07A3" w14:textId="77777777" w:rsidTr="006F19C0">
        <w:tc>
          <w:tcPr>
            <w:tcW w:w="3161" w:type="dxa"/>
            <w:vAlign w:val="center"/>
          </w:tcPr>
          <w:p w14:paraId="1F58A604" w14:textId="77777777" w:rsidR="00882FC3" w:rsidRPr="00DA5EB5" w:rsidRDefault="00882FC3" w:rsidP="00587E49">
            <w:pPr>
              <w:spacing w:before="0" w:after="0"/>
              <w:jc w:val="left"/>
              <w:rPr>
                <w:color w:val="000000" w:themeColor="text1"/>
                <w:kern w:val="2"/>
                <w:sz w:val="20"/>
                <w:lang w:val="en"/>
              </w:rPr>
            </w:pPr>
            <w:proofErr w:type="spellStart"/>
            <w:r w:rsidRPr="00DA5EB5">
              <w:rPr>
                <w:color w:val="000000" w:themeColor="text1"/>
                <w:kern w:val="2"/>
                <w:sz w:val="20"/>
                <w:lang w:val="en"/>
              </w:rPr>
              <w:t>Snamprogetti</w:t>
            </w:r>
            <w:proofErr w:type="spellEnd"/>
            <w:r w:rsidRPr="00DA5EB5">
              <w:rPr>
                <w:color w:val="000000" w:themeColor="text1"/>
                <w:kern w:val="2"/>
                <w:sz w:val="20"/>
                <w:lang w:val="en"/>
              </w:rPr>
              <w:t xml:space="preserve"> Netherlands B.V. / ENI S.p.A</w:t>
            </w:r>
          </w:p>
        </w:tc>
        <w:tc>
          <w:tcPr>
            <w:tcW w:w="3155" w:type="dxa"/>
            <w:vAlign w:val="center"/>
          </w:tcPr>
          <w:p w14:paraId="26E5A8DE"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$365 million</w:t>
            </w:r>
          </w:p>
          <w:p w14:paraId="538C1614"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(DOJ - $240 million)</w:t>
            </w:r>
          </w:p>
          <w:p w14:paraId="4037D768"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(SEC - $125 million)</w:t>
            </w:r>
          </w:p>
        </w:tc>
        <w:tc>
          <w:tcPr>
            <w:tcW w:w="3035" w:type="dxa"/>
            <w:vAlign w:val="center"/>
          </w:tcPr>
          <w:p w14:paraId="394F77F7"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2010</w:t>
            </w:r>
          </w:p>
        </w:tc>
      </w:tr>
      <w:tr w:rsidR="00882FC3" w:rsidRPr="00DA5EB5" w14:paraId="5D7E6B99" w14:textId="77777777" w:rsidTr="006F19C0">
        <w:tc>
          <w:tcPr>
            <w:tcW w:w="3161" w:type="dxa"/>
            <w:vAlign w:val="center"/>
          </w:tcPr>
          <w:p w14:paraId="53C3C7F0"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Technip SA</w:t>
            </w:r>
          </w:p>
        </w:tc>
        <w:tc>
          <w:tcPr>
            <w:tcW w:w="3155" w:type="dxa"/>
            <w:vAlign w:val="center"/>
          </w:tcPr>
          <w:p w14:paraId="18DA2638"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$338 million</w:t>
            </w:r>
          </w:p>
          <w:p w14:paraId="03F8F8A1"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(DOJ - $240 million)</w:t>
            </w:r>
          </w:p>
          <w:p w14:paraId="0166FA81"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(SEC - $98 million)</w:t>
            </w:r>
          </w:p>
        </w:tc>
        <w:tc>
          <w:tcPr>
            <w:tcW w:w="3035" w:type="dxa"/>
            <w:vAlign w:val="center"/>
          </w:tcPr>
          <w:p w14:paraId="66A4DB50" w14:textId="77777777" w:rsidR="00882FC3" w:rsidRPr="00DA5EB5" w:rsidRDefault="00882FC3" w:rsidP="00587E49">
            <w:pPr>
              <w:spacing w:before="0" w:after="0"/>
              <w:jc w:val="left"/>
              <w:rPr>
                <w:color w:val="000000" w:themeColor="text1"/>
                <w:kern w:val="2"/>
                <w:sz w:val="20"/>
                <w:lang w:val="en"/>
              </w:rPr>
            </w:pPr>
            <w:r w:rsidRPr="00DA5EB5">
              <w:rPr>
                <w:color w:val="000000" w:themeColor="text1"/>
                <w:kern w:val="2"/>
                <w:sz w:val="20"/>
                <w:lang w:val="en"/>
              </w:rPr>
              <w:t>2010</w:t>
            </w:r>
          </w:p>
        </w:tc>
      </w:tr>
    </w:tbl>
    <w:p w14:paraId="1CB48435" w14:textId="1022478B" w:rsidR="00A92F6A" w:rsidRPr="00DA5EB5" w:rsidRDefault="00A92F6A" w:rsidP="00F519D6">
      <w:pPr>
        <w:spacing w:before="480"/>
        <w:rPr>
          <w:kern w:val="2"/>
          <w:sz w:val="20"/>
          <w:lang w:val="en"/>
        </w:rPr>
      </w:pPr>
      <w:r w:rsidRPr="00DA5EB5">
        <w:rPr>
          <w:color w:val="000000" w:themeColor="text1"/>
          <w:kern w:val="2"/>
          <w:sz w:val="20"/>
        </w:rPr>
        <w:t xml:space="preserve">Several of these mega-corruption cases have also led to additional penalties imposed by foreign </w:t>
      </w:r>
      <w:r w:rsidRPr="00DA5EB5">
        <w:rPr>
          <w:kern w:val="2"/>
          <w:sz w:val="20"/>
        </w:rPr>
        <w:t>jurisdictions.</w:t>
      </w:r>
      <w:r w:rsidR="00815C0E" w:rsidRPr="00DA5EB5">
        <w:rPr>
          <w:kern w:val="2"/>
          <w:sz w:val="20"/>
        </w:rPr>
        <w:t xml:space="preserve"> For example, </w:t>
      </w:r>
      <w:r w:rsidR="00B24148" w:rsidRPr="00DA5EB5">
        <w:rPr>
          <w:kern w:val="2"/>
          <w:sz w:val="20"/>
        </w:rPr>
        <w:t>the 2010 BAE Systems Plc</w:t>
      </w:r>
      <w:r w:rsidR="00C23397" w:rsidRPr="00DA5EB5">
        <w:rPr>
          <w:kern w:val="2"/>
          <w:sz w:val="20"/>
        </w:rPr>
        <w:t xml:space="preserve"> (BAE)</w:t>
      </w:r>
      <w:r w:rsidR="00B24148" w:rsidRPr="00DA5EB5">
        <w:rPr>
          <w:kern w:val="2"/>
          <w:sz w:val="20"/>
        </w:rPr>
        <w:t xml:space="preserve"> case currently ranks as the </w:t>
      </w:r>
      <w:r w:rsidR="004E3083" w:rsidRPr="00DA5EB5">
        <w:rPr>
          <w:kern w:val="2"/>
          <w:sz w:val="20"/>
        </w:rPr>
        <w:t xml:space="preserve">fifth </w:t>
      </w:r>
      <w:r w:rsidR="00B24148" w:rsidRPr="00DA5EB5">
        <w:rPr>
          <w:kern w:val="2"/>
          <w:sz w:val="20"/>
        </w:rPr>
        <w:t xml:space="preserve">largest </w:t>
      </w:r>
      <w:r w:rsidR="00B24148" w:rsidRPr="00DA5EB5">
        <w:rPr>
          <w:i/>
          <w:kern w:val="2"/>
          <w:sz w:val="20"/>
        </w:rPr>
        <w:t>FCPA</w:t>
      </w:r>
      <w:r w:rsidR="00B24148" w:rsidRPr="00DA5EB5">
        <w:rPr>
          <w:kern w:val="2"/>
          <w:sz w:val="20"/>
        </w:rPr>
        <w:t xml:space="preserve"> settlement. BAE, a multinational defense contractor headquartered in the UK, pleaded guilty </w:t>
      </w:r>
      <w:r w:rsidR="00B24148" w:rsidRPr="00DA5EB5">
        <w:rPr>
          <w:kern w:val="2"/>
          <w:sz w:val="20"/>
          <w:lang w:val="en"/>
        </w:rPr>
        <w:t xml:space="preserve">to conspiring to defraud the US by impairing and impeding its lawful functions, to make false statements about its </w:t>
      </w:r>
      <w:r w:rsidR="00B24148" w:rsidRPr="00DA5EB5">
        <w:rPr>
          <w:i/>
          <w:kern w:val="2"/>
          <w:sz w:val="20"/>
          <w:lang w:val="en"/>
        </w:rPr>
        <w:t>FCPA</w:t>
      </w:r>
      <w:r w:rsidR="00B24148" w:rsidRPr="00DA5EB5">
        <w:rPr>
          <w:kern w:val="2"/>
          <w:sz w:val="20"/>
          <w:lang w:val="en"/>
        </w:rPr>
        <w:t xml:space="preserve"> compliance program, and to violate the </w:t>
      </w:r>
      <w:r w:rsidR="00B24148" w:rsidRPr="00DA5EB5">
        <w:rPr>
          <w:i/>
          <w:kern w:val="2"/>
          <w:sz w:val="20"/>
          <w:lang w:val="en"/>
        </w:rPr>
        <w:t>Arms Export Control Act (AECA</w:t>
      </w:r>
      <w:r w:rsidR="00B24148" w:rsidRPr="00DA5EB5">
        <w:rPr>
          <w:kern w:val="2"/>
          <w:sz w:val="20"/>
          <w:lang w:val="en"/>
        </w:rPr>
        <w:t xml:space="preserve">) and </w:t>
      </w:r>
      <w:r w:rsidR="00B24148" w:rsidRPr="00DA5EB5">
        <w:rPr>
          <w:i/>
          <w:kern w:val="2"/>
          <w:sz w:val="20"/>
          <w:lang w:val="en"/>
        </w:rPr>
        <w:t>International Traffic in Arms Regulations (ITAR)</w:t>
      </w:r>
      <w:r w:rsidR="00B24148" w:rsidRPr="00DA5EB5">
        <w:rPr>
          <w:kern w:val="2"/>
          <w:sz w:val="20"/>
          <w:lang w:val="en"/>
        </w:rPr>
        <w:t>. BAE agreed to pay a $400 million dollar penalty to the US Treasury</w:t>
      </w:r>
      <w:r w:rsidR="00B24148" w:rsidRPr="00DA5EB5">
        <w:rPr>
          <w:rStyle w:val="FootnoteReference"/>
          <w:kern w:val="2"/>
          <w:lang w:val="en"/>
        </w:rPr>
        <w:footnoteReference w:id="40"/>
      </w:r>
      <w:r w:rsidR="00B24148" w:rsidRPr="00DA5EB5">
        <w:rPr>
          <w:kern w:val="2"/>
          <w:sz w:val="20"/>
          <w:lang w:val="en"/>
        </w:rPr>
        <w:t xml:space="preserve"> and </w:t>
      </w:r>
      <w:r w:rsidR="00F03B6B" w:rsidRPr="00DA5EB5">
        <w:rPr>
          <w:kern w:val="2"/>
          <w:sz w:val="20"/>
          <w:lang w:val="en"/>
        </w:rPr>
        <w:t xml:space="preserve">to </w:t>
      </w:r>
      <w:r w:rsidR="00B24148" w:rsidRPr="00DA5EB5">
        <w:rPr>
          <w:kern w:val="2"/>
          <w:sz w:val="20"/>
          <w:lang w:val="en"/>
        </w:rPr>
        <w:t xml:space="preserve">make a </w:t>
      </w:r>
      <w:r w:rsidR="00B24148" w:rsidRPr="00DA5EB5">
        <w:rPr>
          <w:kern w:val="2"/>
          <w:sz w:val="20"/>
        </w:rPr>
        <w:t>£</w:t>
      </w:r>
      <w:r w:rsidR="00B24148" w:rsidRPr="00DA5EB5">
        <w:rPr>
          <w:kern w:val="2"/>
          <w:sz w:val="20"/>
          <w:lang w:val="en"/>
        </w:rPr>
        <w:t xml:space="preserve">30 million </w:t>
      </w:r>
      <w:r w:rsidR="00B24148" w:rsidRPr="00DA5EB5">
        <w:rPr>
          <w:rFonts w:eastAsia="Times New Roman"/>
          <w:kern w:val="2"/>
          <w:sz w:val="20"/>
          <w:shd w:val="clear" w:color="auto" w:fill="FFFFFF"/>
        </w:rPr>
        <w:t>ex-gratia payment</w:t>
      </w:r>
      <w:r w:rsidR="00B24148" w:rsidRPr="00DA5EB5">
        <w:rPr>
          <w:kern w:val="2"/>
          <w:sz w:val="20"/>
          <w:lang w:val="en"/>
        </w:rPr>
        <w:t xml:space="preserve"> to authorities in the UK and Tanzania.</w:t>
      </w:r>
      <w:r w:rsidR="00B24148" w:rsidRPr="00DA5EB5">
        <w:rPr>
          <w:rStyle w:val="FootnoteReference"/>
          <w:kern w:val="2"/>
          <w:lang w:val="en"/>
        </w:rPr>
        <w:footnoteReference w:id="41"/>
      </w:r>
      <w:r w:rsidR="00B24148" w:rsidRPr="00DA5EB5">
        <w:rPr>
          <w:kern w:val="2"/>
          <w:sz w:val="20"/>
          <w:lang w:val="en"/>
        </w:rPr>
        <w:t xml:space="preserve"> Furthermore, in 2011, BAE entered into a civil settlement with the US Department of State and agreed to pay a $79 million civil penalty.</w:t>
      </w:r>
      <w:r w:rsidR="00B24148" w:rsidRPr="00DA5EB5">
        <w:rPr>
          <w:rStyle w:val="FootnoteReference"/>
          <w:kern w:val="2"/>
          <w:lang w:val="en"/>
        </w:rPr>
        <w:footnoteReference w:id="42"/>
      </w:r>
      <w:r w:rsidR="00B24148" w:rsidRPr="00DA5EB5">
        <w:rPr>
          <w:kern w:val="2"/>
          <w:sz w:val="20"/>
          <w:lang w:val="en"/>
        </w:rPr>
        <w:t xml:space="preserve"> BAE falsely represented its efforts to comply with the </w:t>
      </w:r>
      <w:r w:rsidR="00B24148" w:rsidRPr="00DA5EB5">
        <w:rPr>
          <w:i/>
          <w:kern w:val="2"/>
          <w:sz w:val="20"/>
          <w:lang w:val="en"/>
        </w:rPr>
        <w:t>FCPA</w:t>
      </w:r>
      <w:r w:rsidR="00B24148" w:rsidRPr="00DA5EB5">
        <w:rPr>
          <w:kern w:val="2"/>
          <w:sz w:val="20"/>
          <w:lang w:val="en"/>
        </w:rPr>
        <w:t xml:space="preserve"> and took steps to conceal </w:t>
      </w:r>
      <w:r w:rsidR="00E34F40" w:rsidRPr="00DA5EB5">
        <w:rPr>
          <w:kern w:val="2"/>
          <w:sz w:val="20"/>
          <w:lang w:val="en"/>
        </w:rPr>
        <w:t>its</w:t>
      </w:r>
      <w:r w:rsidR="00B24148" w:rsidRPr="00DA5EB5">
        <w:rPr>
          <w:kern w:val="2"/>
          <w:sz w:val="20"/>
          <w:lang w:val="en"/>
        </w:rPr>
        <w:t xml:space="preserve"> relationship with marketing advisors retained to assist </w:t>
      </w:r>
      <w:r w:rsidR="00E34F40" w:rsidRPr="00DA5EB5">
        <w:rPr>
          <w:kern w:val="2"/>
          <w:sz w:val="20"/>
          <w:lang w:val="en"/>
        </w:rPr>
        <w:t xml:space="preserve">BAE </w:t>
      </w:r>
      <w:r w:rsidR="00B24148" w:rsidRPr="00DA5EB5">
        <w:rPr>
          <w:kern w:val="2"/>
          <w:sz w:val="20"/>
          <w:lang w:val="en"/>
        </w:rPr>
        <w:t>in securing sales.</w:t>
      </w:r>
      <w:r w:rsidR="00B24148" w:rsidRPr="00DA5EB5">
        <w:rPr>
          <w:rStyle w:val="FootnoteReference"/>
          <w:kern w:val="2"/>
          <w:lang w:val="en"/>
        </w:rPr>
        <w:footnoteReference w:id="43"/>
      </w:r>
      <w:r w:rsidR="00B24148" w:rsidRPr="00DA5EB5">
        <w:rPr>
          <w:kern w:val="2"/>
          <w:sz w:val="20"/>
          <w:lang w:val="en"/>
        </w:rPr>
        <w:t xml:space="preserve"> </w:t>
      </w:r>
    </w:p>
    <w:p w14:paraId="492E3836" w14:textId="4D7ABDFD" w:rsidR="0061282C" w:rsidRPr="00DA5EB5" w:rsidRDefault="0061282C" w:rsidP="007C3517">
      <w:pPr>
        <w:rPr>
          <w:color w:val="FF0000"/>
          <w:kern w:val="2"/>
          <w:sz w:val="20"/>
          <w:lang w:val="en"/>
        </w:rPr>
      </w:pPr>
      <w:r w:rsidRPr="00DA5EB5">
        <w:rPr>
          <w:kern w:val="2"/>
          <w:sz w:val="20"/>
          <w:lang w:val="en"/>
        </w:rPr>
        <w:t xml:space="preserve">Although the </w:t>
      </w:r>
      <w:r w:rsidR="00BC021A" w:rsidRPr="00DA5EB5">
        <w:rPr>
          <w:kern w:val="2"/>
          <w:sz w:val="20"/>
          <w:lang w:val="en"/>
        </w:rPr>
        <w:t>UK Serious Fraud Office (</w:t>
      </w:r>
      <w:r w:rsidRPr="00DA5EB5">
        <w:rPr>
          <w:kern w:val="2"/>
          <w:sz w:val="20"/>
          <w:lang w:val="en"/>
        </w:rPr>
        <w:t>SFO</w:t>
      </w:r>
      <w:r w:rsidR="00BC021A" w:rsidRPr="00DA5EB5">
        <w:rPr>
          <w:kern w:val="2"/>
          <w:sz w:val="20"/>
          <w:lang w:val="en"/>
        </w:rPr>
        <w:t>)</w:t>
      </w:r>
      <w:r w:rsidRPr="00DA5EB5">
        <w:rPr>
          <w:kern w:val="2"/>
          <w:sz w:val="20"/>
          <w:lang w:val="en"/>
        </w:rPr>
        <w:t xml:space="preserve"> declared</w:t>
      </w:r>
      <w:r w:rsidR="007C1C86" w:rsidRPr="00DA5EB5">
        <w:rPr>
          <w:kern w:val="2"/>
          <w:sz w:val="20"/>
          <w:lang w:val="en"/>
        </w:rPr>
        <w:t xml:space="preserve"> the</w:t>
      </w:r>
      <w:r w:rsidRPr="00DA5EB5">
        <w:rPr>
          <w:kern w:val="2"/>
          <w:sz w:val="20"/>
          <w:lang w:val="en"/>
        </w:rPr>
        <w:t xml:space="preserve"> </w:t>
      </w:r>
      <w:r w:rsidRPr="00DA5EB5">
        <w:rPr>
          <w:kern w:val="2"/>
          <w:sz w:val="20"/>
        </w:rPr>
        <w:t>£30 million payment to be a triumph for the UK,</w:t>
      </w:r>
      <w:r w:rsidRPr="00DA5EB5">
        <w:rPr>
          <w:kern w:val="2"/>
          <w:sz w:val="20"/>
          <w:lang w:val="en"/>
        </w:rPr>
        <w:t xml:space="preserve"> </w:t>
      </w:r>
      <w:proofErr w:type="spellStart"/>
      <w:r w:rsidRPr="00DA5EB5">
        <w:rPr>
          <w:kern w:val="2"/>
          <w:sz w:val="20"/>
          <w:lang w:val="en"/>
        </w:rPr>
        <w:t>Pieth</w:t>
      </w:r>
      <w:proofErr w:type="spellEnd"/>
      <w:r w:rsidRPr="00DA5EB5">
        <w:rPr>
          <w:kern w:val="2"/>
          <w:sz w:val="20"/>
          <w:lang w:val="en"/>
        </w:rPr>
        <w:t xml:space="preserve">, the chairman of the OECD Anti-Bribery Working Group, expressed disappointment with the settlement. He argues that the penalty formed only a small part of the bribes involved in the cases under investigation. He views the penalties imposed by the US as adequate, but notes that the BAE case was </w:t>
      </w:r>
      <w:r w:rsidR="00FD6DAC" w:rsidRPr="00DA5EB5">
        <w:rPr>
          <w:kern w:val="2"/>
          <w:sz w:val="20"/>
          <w:lang w:val="en"/>
        </w:rPr>
        <w:t>“</w:t>
      </w:r>
      <w:r w:rsidRPr="00DA5EB5">
        <w:rPr>
          <w:kern w:val="2"/>
          <w:sz w:val="20"/>
          <w:lang w:val="en"/>
        </w:rPr>
        <w:t>essentially a UK case and the UK should have dealt with it.</w:t>
      </w:r>
      <w:r w:rsidR="00FD6DAC" w:rsidRPr="00DA5EB5">
        <w:rPr>
          <w:kern w:val="2"/>
          <w:sz w:val="20"/>
          <w:lang w:val="en"/>
        </w:rPr>
        <w:t>”</w:t>
      </w:r>
      <w:r w:rsidRPr="00DA5EB5">
        <w:rPr>
          <w:kern w:val="2"/>
          <w:sz w:val="20"/>
          <w:lang w:val="en"/>
        </w:rPr>
        <w:t xml:space="preserve"> In his opinion, the </w:t>
      </w:r>
      <w:r w:rsidR="00FD6DAC" w:rsidRPr="00DA5EB5">
        <w:rPr>
          <w:kern w:val="2"/>
          <w:sz w:val="20"/>
          <w:lang w:val="en"/>
        </w:rPr>
        <w:t>“</w:t>
      </w:r>
      <w:r w:rsidRPr="00DA5EB5">
        <w:rPr>
          <w:kern w:val="2"/>
          <w:sz w:val="20"/>
          <w:lang w:val="en"/>
        </w:rPr>
        <w:t>case casts a shadow on Britain’s ability to react to corruption.</w:t>
      </w:r>
      <w:r w:rsidR="00FD6DAC" w:rsidRPr="00DA5EB5">
        <w:rPr>
          <w:kern w:val="2"/>
          <w:sz w:val="20"/>
          <w:lang w:val="en"/>
        </w:rPr>
        <w:t>”</w:t>
      </w:r>
      <w:r w:rsidRPr="00DA5EB5">
        <w:rPr>
          <w:rStyle w:val="FootnoteReference"/>
          <w:kern w:val="2"/>
          <w:sz w:val="18"/>
          <w:lang w:val="en"/>
        </w:rPr>
        <w:footnoteReference w:id="44"/>
      </w:r>
      <w:r w:rsidR="0074380A" w:rsidRPr="00DA5EB5">
        <w:rPr>
          <w:kern w:val="2"/>
          <w:sz w:val="20"/>
          <w:lang w:val="en"/>
        </w:rPr>
        <w:t xml:space="preserve"> </w:t>
      </w:r>
      <w:r w:rsidR="00B24148" w:rsidRPr="00DA5EB5">
        <w:rPr>
          <w:kern w:val="2"/>
          <w:sz w:val="20"/>
          <w:lang w:val="en"/>
        </w:rPr>
        <w:t xml:space="preserve">It should be noted that the BAE case preceded the coming into force of the new UK </w:t>
      </w:r>
      <w:r w:rsidR="00B24148" w:rsidRPr="00DA5EB5">
        <w:rPr>
          <w:i/>
          <w:kern w:val="2"/>
          <w:sz w:val="20"/>
          <w:lang w:val="en"/>
        </w:rPr>
        <w:t xml:space="preserve">Bribery Act </w:t>
      </w:r>
      <w:r w:rsidR="00B24148" w:rsidRPr="00DA5EB5">
        <w:rPr>
          <w:kern w:val="2"/>
          <w:sz w:val="20"/>
          <w:lang w:val="en"/>
        </w:rPr>
        <w:t xml:space="preserve">and the significantly increased enforcement efforts in </w:t>
      </w:r>
      <w:r w:rsidR="007C1C86" w:rsidRPr="00DA5EB5">
        <w:rPr>
          <w:kern w:val="2"/>
          <w:sz w:val="20"/>
          <w:lang w:val="en"/>
        </w:rPr>
        <w:t xml:space="preserve">the </w:t>
      </w:r>
      <w:r w:rsidR="00B24148" w:rsidRPr="00DA5EB5">
        <w:rPr>
          <w:kern w:val="2"/>
          <w:sz w:val="20"/>
          <w:lang w:val="en"/>
        </w:rPr>
        <w:t>UK since 2010.</w:t>
      </w:r>
    </w:p>
    <w:p w14:paraId="0D2F444A" w14:textId="6EE0E2F7" w:rsidR="0061282C" w:rsidRPr="00DA5EB5" w:rsidRDefault="003B09AB" w:rsidP="007C3517">
      <w:pPr>
        <w:rPr>
          <w:kern w:val="2"/>
          <w:sz w:val="20"/>
        </w:rPr>
      </w:pPr>
      <w:r w:rsidRPr="00DA5EB5">
        <w:rPr>
          <w:kern w:val="2"/>
          <w:sz w:val="20"/>
        </w:rPr>
        <w:t>Koehler</w:t>
      </w:r>
      <w:r w:rsidR="00127F22" w:rsidRPr="00DA5EB5">
        <w:rPr>
          <w:kern w:val="2"/>
          <w:sz w:val="20"/>
        </w:rPr>
        <w:t xml:space="preserve"> </w:t>
      </w:r>
      <w:r w:rsidRPr="00DA5EB5">
        <w:rPr>
          <w:kern w:val="2"/>
          <w:sz w:val="20"/>
        </w:rPr>
        <w:t xml:space="preserve">presents a </w:t>
      </w:r>
      <w:r w:rsidR="0061282C" w:rsidRPr="00DA5EB5">
        <w:rPr>
          <w:kern w:val="2"/>
          <w:sz w:val="20"/>
        </w:rPr>
        <w:t xml:space="preserve">more detailed examination </w:t>
      </w:r>
      <w:r w:rsidRPr="00DA5EB5">
        <w:rPr>
          <w:kern w:val="2"/>
          <w:sz w:val="20"/>
        </w:rPr>
        <w:t>into</w:t>
      </w:r>
      <w:r w:rsidR="007C556D" w:rsidRPr="00DA5EB5">
        <w:rPr>
          <w:kern w:val="2"/>
          <w:sz w:val="20"/>
        </w:rPr>
        <w:t xml:space="preserve"> the top ten</w:t>
      </w:r>
      <w:r w:rsidR="0061282C" w:rsidRPr="00DA5EB5">
        <w:rPr>
          <w:kern w:val="2"/>
          <w:sz w:val="20"/>
        </w:rPr>
        <w:t xml:space="preserve"> mega-corruption cases</w:t>
      </w:r>
      <w:r w:rsidRPr="00DA5EB5">
        <w:rPr>
          <w:kern w:val="2"/>
          <w:sz w:val="20"/>
        </w:rPr>
        <w:t>:</w:t>
      </w:r>
    </w:p>
    <w:p w14:paraId="695B8819" w14:textId="77777777" w:rsidR="0061282C" w:rsidRPr="00DA5EB5" w:rsidRDefault="0061282C" w:rsidP="00097109">
      <w:pPr>
        <w:pStyle w:val="ListParagraph"/>
        <w:numPr>
          <w:ilvl w:val="0"/>
          <w:numId w:val="15"/>
        </w:numPr>
        <w:rPr>
          <w:kern w:val="2"/>
          <w:sz w:val="20"/>
        </w:rPr>
      </w:pPr>
      <w:r w:rsidRPr="00DA5EB5">
        <w:rPr>
          <w:kern w:val="2"/>
          <w:sz w:val="20"/>
        </w:rPr>
        <w:t xml:space="preserve">In most cases the corruption was widespread in terms of the countries involved (spanning the entire globe) and occurred rather systematically over many years; for example, the Siemens AG corruption charges spanned more than ten years and occurred in eleven countries on five continents. </w:t>
      </w:r>
    </w:p>
    <w:p w14:paraId="2D5A74E5" w14:textId="5F8DA0A5" w:rsidR="0061282C" w:rsidRPr="00DA5EB5" w:rsidRDefault="0061282C" w:rsidP="00097109">
      <w:pPr>
        <w:pStyle w:val="ListParagraph"/>
        <w:numPr>
          <w:ilvl w:val="0"/>
          <w:numId w:val="15"/>
        </w:numPr>
        <w:rPr>
          <w:kern w:val="2"/>
          <w:sz w:val="20"/>
        </w:rPr>
      </w:pPr>
      <w:r w:rsidRPr="00DA5EB5">
        <w:rPr>
          <w:kern w:val="2"/>
          <w:sz w:val="20"/>
        </w:rPr>
        <w:t xml:space="preserve">All of the </w:t>
      </w:r>
      <w:r w:rsidRPr="00DA5EB5">
        <w:rPr>
          <w:i/>
          <w:color w:val="000000" w:themeColor="text1"/>
          <w:kern w:val="2"/>
          <w:sz w:val="20"/>
        </w:rPr>
        <w:t>FCPA</w:t>
      </w:r>
      <w:r w:rsidRPr="00DA5EB5">
        <w:rPr>
          <w:kern w:val="2"/>
          <w:sz w:val="20"/>
        </w:rPr>
        <w:t xml:space="preserve"> cases were settled. Often settlements involve guilty pleas to books and rec</w:t>
      </w:r>
      <w:r w:rsidR="009178FF" w:rsidRPr="00DA5EB5">
        <w:rPr>
          <w:kern w:val="2"/>
          <w:sz w:val="20"/>
        </w:rPr>
        <w:t>ords and internal control offenses rather than bribery offens</w:t>
      </w:r>
      <w:r w:rsidRPr="00DA5EB5">
        <w:rPr>
          <w:kern w:val="2"/>
          <w:sz w:val="20"/>
        </w:rPr>
        <w:t xml:space="preserve">es, allowing companies to avoid debarment from public procurement contracts. </w:t>
      </w:r>
      <w:r w:rsidRPr="00DA5EB5">
        <w:rPr>
          <w:kern w:val="2"/>
          <w:sz w:val="20"/>
          <w:szCs w:val="18"/>
        </w:rPr>
        <w:t>For example, the US DOJ allowed Siemens to plea</w:t>
      </w:r>
      <w:r w:rsidR="00802BE7" w:rsidRPr="00DA5EB5">
        <w:rPr>
          <w:kern w:val="2"/>
          <w:sz w:val="20"/>
          <w:szCs w:val="18"/>
        </w:rPr>
        <w:t>d</w:t>
      </w:r>
      <w:r w:rsidR="009178FF" w:rsidRPr="00DA5EB5">
        <w:rPr>
          <w:kern w:val="2"/>
          <w:sz w:val="20"/>
          <w:szCs w:val="18"/>
        </w:rPr>
        <w:t xml:space="preserve"> to accounting offens</w:t>
      </w:r>
      <w:r w:rsidRPr="00DA5EB5">
        <w:rPr>
          <w:kern w:val="2"/>
          <w:sz w:val="20"/>
          <w:szCs w:val="18"/>
        </w:rPr>
        <w:t>es due to its cooperation with investigations, even though corruption was clearly entrenched within the company. This was demonstrated by the fact that an accountant in the telecommunications group oversaw an annual bribery budget of $40-50 million. Siemens paid bribes for contracts in both highly corrupt countries like Nigeria and highly developed countries like Norway. When bribery laws changed in the 1990s, Siemens pursued more effective concealment of its bribery rather than complying. In spite of these blatant violations, Siemens avoided debarment from US public procurement due</w:t>
      </w:r>
      <w:r w:rsidR="009178FF" w:rsidRPr="00DA5EB5">
        <w:rPr>
          <w:kern w:val="2"/>
          <w:sz w:val="20"/>
          <w:szCs w:val="18"/>
        </w:rPr>
        <w:t xml:space="preserve"> to the use of accounting offens</w:t>
      </w:r>
      <w:r w:rsidRPr="00DA5EB5">
        <w:rPr>
          <w:kern w:val="2"/>
          <w:sz w:val="20"/>
          <w:szCs w:val="18"/>
        </w:rPr>
        <w:t>es.</w:t>
      </w:r>
      <w:r w:rsidRPr="00DA5EB5">
        <w:rPr>
          <w:rStyle w:val="FootnoteReference"/>
          <w:kern w:val="2"/>
          <w:sz w:val="18"/>
        </w:rPr>
        <w:footnoteReference w:id="45"/>
      </w:r>
      <w:r w:rsidRPr="00DA5EB5">
        <w:rPr>
          <w:kern w:val="2"/>
          <w:sz w:val="16"/>
          <w:szCs w:val="18"/>
        </w:rPr>
        <w:t xml:space="preserve"> </w:t>
      </w:r>
      <w:r w:rsidRPr="00DA5EB5">
        <w:rPr>
          <w:kern w:val="2"/>
          <w:sz w:val="20"/>
          <w:szCs w:val="18"/>
        </w:rPr>
        <w:t xml:space="preserve">BAE was </w:t>
      </w:r>
      <w:r w:rsidR="003D3F1F" w:rsidRPr="00DA5EB5">
        <w:rPr>
          <w:kern w:val="2"/>
          <w:sz w:val="20"/>
          <w:szCs w:val="18"/>
        </w:rPr>
        <w:t xml:space="preserve">also </w:t>
      </w:r>
      <w:r w:rsidRPr="00DA5EB5">
        <w:rPr>
          <w:kern w:val="2"/>
          <w:sz w:val="20"/>
          <w:szCs w:val="18"/>
        </w:rPr>
        <w:t>charged wi</w:t>
      </w:r>
      <w:r w:rsidR="009178FF" w:rsidRPr="00DA5EB5">
        <w:rPr>
          <w:kern w:val="2"/>
          <w:sz w:val="20"/>
          <w:szCs w:val="18"/>
        </w:rPr>
        <w:t>th non-corruption-related offens</w:t>
      </w:r>
      <w:r w:rsidRPr="00DA5EB5">
        <w:rPr>
          <w:kern w:val="2"/>
          <w:sz w:val="20"/>
          <w:szCs w:val="18"/>
        </w:rPr>
        <w:t>es by the DOJ, thereby avoiding debarment from contracting with the Pentagon, which provided approximately half of its revenue.</w:t>
      </w:r>
      <w:r w:rsidRPr="00DA5EB5">
        <w:rPr>
          <w:rStyle w:val="FootnoteReference"/>
          <w:kern w:val="2"/>
          <w:sz w:val="18"/>
          <w:szCs w:val="18"/>
        </w:rPr>
        <w:footnoteReference w:id="46"/>
      </w:r>
    </w:p>
    <w:p w14:paraId="6B0DB9A5" w14:textId="4D7A9CB7" w:rsidR="0061282C" w:rsidRPr="00DA5EB5" w:rsidRDefault="0061282C" w:rsidP="00097109">
      <w:pPr>
        <w:pStyle w:val="ListParagraph"/>
        <w:numPr>
          <w:ilvl w:val="0"/>
          <w:numId w:val="15"/>
        </w:numPr>
        <w:rPr>
          <w:kern w:val="2"/>
          <w:sz w:val="20"/>
        </w:rPr>
      </w:pPr>
      <w:r w:rsidRPr="00DA5EB5">
        <w:rPr>
          <w:kern w:val="2"/>
          <w:sz w:val="20"/>
        </w:rPr>
        <w:t xml:space="preserve">Five or more of the cases were settled in whole or in part by Deferred Prosecution Agreements </w:t>
      </w:r>
      <w:r w:rsidR="004C14BA" w:rsidRPr="00DA5EB5">
        <w:rPr>
          <w:kern w:val="2"/>
          <w:sz w:val="20"/>
        </w:rPr>
        <w:t xml:space="preserve">(DPAs) </w:t>
      </w:r>
      <w:r w:rsidRPr="00DA5EB5">
        <w:rPr>
          <w:kern w:val="2"/>
          <w:sz w:val="20"/>
        </w:rPr>
        <w:t>and several involved Cooperation Agreements (whereby company officials agreed to full cooperation in the corruption investigation in exchange for charge immunity or charge and sentence reductions).</w:t>
      </w:r>
    </w:p>
    <w:p w14:paraId="460F1A84" w14:textId="293E776A" w:rsidR="0061282C" w:rsidRPr="00DA5EB5" w:rsidRDefault="0061282C" w:rsidP="00097109">
      <w:pPr>
        <w:pStyle w:val="ListParagraph"/>
        <w:numPr>
          <w:ilvl w:val="0"/>
          <w:numId w:val="15"/>
        </w:numPr>
        <w:rPr>
          <w:kern w:val="2"/>
          <w:sz w:val="20"/>
        </w:rPr>
      </w:pPr>
      <w:r w:rsidRPr="00DA5EB5">
        <w:rPr>
          <w:kern w:val="2"/>
          <w:sz w:val="20"/>
        </w:rPr>
        <w:t>There were very few US prosecutions of individual company officials with the exception of the KBR/Halliburton case and the Alcatel case. In KBR, two agents and the CEO of KBR were prosecuted; the CEO (Stanley) had his tentative sentence of 84 months imprisonment reduced to 30 months based on his cooperation; one of the agents (</w:t>
      </w:r>
      <w:proofErr w:type="spellStart"/>
      <w:r w:rsidRPr="00DA5EB5">
        <w:rPr>
          <w:kern w:val="2"/>
          <w:sz w:val="20"/>
        </w:rPr>
        <w:t>Tesler</w:t>
      </w:r>
      <w:proofErr w:type="spellEnd"/>
      <w:r w:rsidRPr="00DA5EB5">
        <w:rPr>
          <w:kern w:val="2"/>
          <w:sz w:val="20"/>
        </w:rPr>
        <w:t>), who also cooperated, received 21 months imprisonment and agreed to forfeiture of nearly $149 million; the second agent (</w:t>
      </w:r>
      <w:proofErr w:type="spellStart"/>
      <w:r w:rsidRPr="00DA5EB5">
        <w:rPr>
          <w:kern w:val="2"/>
          <w:sz w:val="20"/>
        </w:rPr>
        <w:t>Chodan</w:t>
      </w:r>
      <w:proofErr w:type="spellEnd"/>
      <w:r w:rsidRPr="00DA5EB5">
        <w:rPr>
          <w:kern w:val="2"/>
          <w:sz w:val="20"/>
        </w:rPr>
        <w:t>) received one year probation (largely due to his age and poor health). In the Alcatel case, a former executive (</w:t>
      </w:r>
      <w:proofErr w:type="spellStart"/>
      <w:r w:rsidRPr="00DA5EB5">
        <w:rPr>
          <w:kern w:val="2"/>
          <w:sz w:val="20"/>
        </w:rPr>
        <w:t>Sapsizian</w:t>
      </w:r>
      <w:proofErr w:type="spellEnd"/>
      <w:r w:rsidRPr="00DA5EB5">
        <w:rPr>
          <w:kern w:val="2"/>
          <w:sz w:val="20"/>
        </w:rPr>
        <w:t>) pled guilty to two</w:t>
      </w:r>
      <w:r w:rsidRPr="00DA5EB5">
        <w:rPr>
          <w:i/>
          <w:kern w:val="2"/>
          <w:sz w:val="20"/>
        </w:rPr>
        <w:t xml:space="preserve"> FCPA</w:t>
      </w:r>
      <w:r w:rsidR="009178FF" w:rsidRPr="00DA5EB5">
        <w:rPr>
          <w:kern w:val="2"/>
          <w:sz w:val="20"/>
        </w:rPr>
        <w:t xml:space="preserve"> offens</w:t>
      </w:r>
      <w:r w:rsidRPr="00DA5EB5">
        <w:rPr>
          <w:kern w:val="2"/>
          <w:sz w:val="20"/>
        </w:rPr>
        <w:t xml:space="preserve">es and was sentenced to 30 months </w:t>
      </w:r>
      <w:proofErr w:type="spellStart"/>
      <w:r w:rsidRPr="00DA5EB5">
        <w:rPr>
          <w:kern w:val="2"/>
          <w:sz w:val="20"/>
        </w:rPr>
        <w:t>im</w:t>
      </w:r>
      <w:r w:rsidR="008307F3" w:rsidRPr="00DA5EB5">
        <w:rPr>
          <w:kern w:val="2"/>
          <w:sz w:val="20"/>
        </w:rPr>
        <w:t>-</w:t>
      </w:r>
      <w:r w:rsidRPr="00DA5EB5">
        <w:rPr>
          <w:kern w:val="2"/>
          <w:sz w:val="20"/>
        </w:rPr>
        <w:t>prisonment</w:t>
      </w:r>
      <w:proofErr w:type="spellEnd"/>
      <w:r w:rsidRPr="00DA5EB5">
        <w:rPr>
          <w:kern w:val="2"/>
          <w:sz w:val="20"/>
        </w:rPr>
        <w:t xml:space="preserve">, three years of supervised release and forfeiture of $261,500. </w:t>
      </w:r>
    </w:p>
    <w:p w14:paraId="0976CBA5" w14:textId="4A95A542" w:rsidR="003B09AB" w:rsidRPr="00DA5EB5" w:rsidRDefault="0061282C" w:rsidP="00097109">
      <w:pPr>
        <w:pStyle w:val="ListParagraph"/>
        <w:numPr>
          <w:ilvl w:val="0"/>
          <w:numId w:val="15"/>
        </w:numPr>
        <w:rPr>
          <w:kern w:val="2"/>
          <w:sz w:val="20"/>
        </w:rPr>
      </w:pPr>
      <w:r w:rsidRPr="00DA5EB5">
        <w:rPr>
          <w:kern w:val="2"/>
          <w:sz w:val="20"/>
        </w:rPr>
        <w:t>The fact that company officials were not generally prosecuted in the US did not prevent their prosecution as individual offenders in other countries; in these ten cases, there currently are or have been individual prosecutions of these company officials in at least five other countries (France, Greece, Latvia, Costa Rica</w:t>
      </w:r>
      <w:r w:rsidR="00923A2D" w:rsidRPr="00DA5EB5">
        <w:rPr>
          <w:kern w:val="2"/>
          <w:sz w:val="20"/>
        </w:rPr>
        <w:t>,</w:t>
      </w:r>
      <w:r w:rsidRPr="00DA5EB5">
        <w:rPr>
          <w:kern w:val="2"/>
          <w:sz w:val="20"/>
        </w:rPr>
        <w:t xml:space="preserve"> and Argentina).</w:t>
      </w:r>
      <w:r w:rsidR="00127F22" w:rsidRPr="00DA5EB5">
        <w:rPr>
          <w:rStyle w:val="FootnoteReference"/>
          <w:kern w:val="2"/>
          <w:sz w:val="18"/>
        </w:rPr>
        <w:t xml:space="preserve"> </w:t>
      </w:r>
      <w:r w:rsidR="00127F22" w:rsidRPr="00DA5EB5">
        <w:rPr>
          <w:rStyle w:val="FootnoteReference"/>
          <w:kern w:val="2"/>
          <w:sz w:val="18"/>
        </w:rPr>
        <w:footnoteReference w:id="47"/>
      </w:r>
      <w:r w:rsidR="00486294" w:rsidRPr="00DA5EB5">
        <w:rPr>
          <w:kern w:val="2"/>
          <w:sz w:val="20"/>
        </w:rPr>
        <w:t xml:space="preserve"> </w:t>
      </w:r>
    </w:p>
    <w:p w14:paraId="23B869FF" w14:textId="77777777" w:rsidR="0061282C" w:rsidRPr="00DA5EB5" w:rsidRDefault="0061282C" w:rsidP="007C3517">
      <w:pPr>
        <w:pStyle w:val="Heading2"/>
        <w:rPr>
          <w:kern w:val="2"/>
          <w:sz w:val="24"/>
        </w:rPr>
      </w:pPr>
      <w:r w:rsidRPr="00DA5EB5">
        <w:rPr>
          <w:kern w:val="2"/>
          <w:sz w:val="24"/>
        </w:rPr>
        <w:t>Other Financial Consequences</w:t>
      </w:r>
    </w:p>
    <w:p w14:paraId="74C71CAC" w14:textId="35DA1BC2" w:rsidR="0061282C" w:rsidRPr="00DA5EB5" w:rsidRDefault="0061282C" w:rsidP="007C3517">
      <w:pPr>
        <w:rPr>
          <w:kern w:val="2"/>
          <w:sz w:val="20"/>
        </w:rPr>
      </w:pPr>
      <w:r w:rsidRPr="00DA5EB5">
        <w:rPr>
          <w:kern w:val="2"/>
          <w:sz w:val="20"/>
        </w:rPr>
        <w:t xml:space="preserve">While these settlements involve large dollar amounts, Koehler notes that criminal fines are only one aspect of financial exposure when one comes under </w:t>
      </w:r>
      <w:r w:rsidRPr="00DA5EB5">
        <w:rPr>
          <w:i/>
          <w:kern w:val="2"/>
          <w:sz w:val="20"/>
        </w:rPr>
        <w:t>FCPA</w:t>
      </w:r>
      <w:r w:rsidRPr="00DA5EB5">
        <w:rPr>
          <w:kern w:val="2"/>
          <w:sz w:val="20"/>
        </w:rPr>
        <w:t xml:space="preserve"> scrutiny. Koehler outlines what he describes as the ‘three buckets’ of </w:t>
      </w:r>
      <w:r w:rsidRPr="00DA5EB5">
        <w:rPr>
          <w:i/>
          <w:kern w:val="2"/>
          <w:sz w:val="20"/>
        </w:rPr>
        <w:t>FCPA</w:t>
      </w:r>
      <w:r w:rsidRPr="00DA5EB5">
        <w:rPr>
          <w:kern w:val="2"/>
          <w:sz w:val="20"/>
        </w:rPr>
        <w:t xml:space="preserve"> financial exposure as </w:t>
      </w:r>
      <w:r w:rsidR="00FD6DAC" w:rsidRPr="00DA5EB5">
        <w:rPr>
          <w:kern w:val="2"/>
          <w:sz w:val="20"/>
        </w:rPr>
        <w:t>“</w:t>
      </w:r>
      <w:r w:rsidRPr="00DA5EB5">
        <w:rPr>
          <w:kern w:val="2"/>
          <w:sz w:val="20"/>
        </w:rPr>
        <w:t>(</w:t>
      </w:r>
      <w:proofErr w:type="spellStart"/>
      <w:r w:rsidRPr="00DA5EB5">
        <w:rPr>
          <w:kern w:val="2"/>
          <w:sz w:val="20"/>
        </w:rPr>
        <w:t>i</w:t>
      </w:r>
      <w:proofErr w:type="spellEnd"/>
      <w:r w:rsidRPr="00DA5EB5">
        <w:rPr>
          <w:kern w:val="2"/>
          <w:sz w:val="20"/>
        </w:rPr>
        <w:t>) pre-enforcement action and professional fees and expenses; (ii) fine, penalty and disgorgement amounts in an actual FCPA enforcement action; and (iii) post-enforcement action professional fees and expenses</w:t>
      </w:r>
      <w:r w:rsidR="004522B6" w:rsidRPr="00DA5EB5">
        <w:rPr>
          <w:kern w:val="2"/>
          <w:sz w:val="20"/>
        </w:rPr>
        <w:t>.</w:t>
      </w:r>
      <w:r w:rsidR="00FD6DAC" w:rsidRPr="00DA5EB5">
        <w:rPr>
          <w:kern w:val="2"/>
          <w:sz w:val="20"/>
        </w:rPr>
        <w:t>”</w:t>
      </w:r>
      <w:r w:rsidRPr="00DA5EB5">
        <w:rPr>
          <w:rStyle w:val="FootnoteReference"/>
          <w:rFonts w:cs="Times New Roman"/>
          <w:kern w:val="2"/>
          <w:sz w:val="18"/>
        </w:rPr>
        <w:footnoteReference w:id="48"/>
      </w:r>
      <w:r w:rsidRPr="00DA5EB5">
        <w:rPr>
          <w:kern w:val="2"/>
          <w:sz w:val="20"/>
        </w:rPr>
        <w:t xml:space="preserve"> Koehler notes that, while the second amount generates the most attention, the first category is often the most expensive.</w:t>
      </w:r>
      <w:r w:rsidRPr="00DA5EB5">
        <w:rPr>
          <w:rStyle w:val="FootnoteReference"/>
          <w:rFonts w:cs="Times New Roman"/>
          <w:kern w:val="2"/>
        </w:rPr>
        <w:footnoteReference w:id="49"/>
      </w:r>
    </w:p>
    <w:p w14:paraId="4BB3B1EE" w14:textId="40D4E40E" w:rsidR="0061282C" w:rsidRPr="00DA5EB5" w:rsidRDefault="004522B6" w:rsidP="007C3517">
      <w:pPr>
        <w:rPr>
          <w:kern w:val="2"/>
          <w:sz w:val="20"/>
        </w:rPr>
      </w:pPr>
      <w:r w:rsidRPr="00DA5EB5">
        <w:rPr>
          <w:kern w:val="2"/>
          <w:sz w:val="20"/>
        </w:rPr>
        <w:t xml:space="preserve">According to </w:t>
      </w:r>
      <w:r w:rsidR="0061282C" w:rsidRPr="00DA5EB5">
        <w:rPr>
          <w:kern w:val="2"/>
          <w:sz w:val="20"/>
        </w:rPr>
        <w:t>Koehler</w:t>
      </w:r>
      <w:r w:rsidR="0095686B" w:rsidRPr="00DA5EB5">
        <w:rPr>
          <w:kern w:val="2"/>
          <w:sz w:val="20"/>
        </w:rPr>
        <w:t>,</w:t>
      </w:r>
      <w:r w:rsidR="0061282C" w:rsidRPr="00DA5EB5">
        <w:rPr>
          <w:kern w:val="2"/>
          <w:sz w:val="20"/>
        </w:rPr>
        <w:t xml:space="preserve"> pre-enforcement action is highly expensive because, before agreeing to resolve any enforcement action, enforcement agencies will often ask where else the conduct may have occurred in a company’s international dealings. After this question is asked, the </w:t>
      </w:r>
      <w:r w:rsidR="00FD6DAC" w:rsidRPr="00DA5EB5">
        <w:rPr>
          <w:kern w:val="2"/>
          <w:sz w:val="20"/>
        </w:rPr>
        <w:t>“</w:t>
      </w:r>
      <w:r w:rsidR="0061282C" w:rsidRPr="00DA5EB5">
        <w:rPr>
          <w:kern w:val="2"/>
          <w:sz w:val="20"/>
        </w:rPr>
        <w:t>next thing the company knows, it is paying for a team of lawyers (accompanied by forensic accountants and other specialists) to travel around the world and answer the ‘where else’ question.</w:t>
      </w:r>
      <w:r w:rsidR="00FD6DAC" w:rsidRPr="00DA5EB5">
        <w:rPr>
          <w:kern w:val="2"/>
          <w:sz w:val="20"/>
        </w:rPr>
        <w:t>”</w:t>
      </w:r>
      <w:r w:rsidR="0061282C" w:rsidRPr="00DA5EB5">
        <w:rPr>
          <w:rStyle w:val="FootnoteReference"/>
          <w:rFonts w:cs="Times New Roman"/>
          <w:kern w:val="2"/>
        </w:rPr>
        <w:footnoteReference w:id="50"/>
      </w:r>
    </w:p>
    <w:p w14:paraId="47BDC3BD" w14:textId="23A7AB86" w:rsidR="0061282C" w:rsidRPr="00DA5EB5" w:rsidRDefault="0061282C" w:rsidP="007C3517">
      <w:pPr>
        <w:rPr>
          <w:kern w:val="2"/>
          <w:sz w:val="20"/>
        </w:rPr>
      </w:pPr>
      <w:r w:rsidRPr="00DA5EB5">
        <w:rPr>
          <w:kern w:val="2"/>
          <w:sz w:val="20"/>
        </w:rPr>
        <w:t>Koehler cites Avon as an example of the expense of pre-enforcement action. As stated, Avon agreed to pay $135 million to settle SEC charges and a parallel criminal case. However, according to Avon’s disclosures, pre-enforcement expenses reached $350 million from 2009-2011 and amounted to $110,000 per working day as of March 2012.</w:t>
      </w:r>
      <w:r w:rsidRPr="00DA5EB5">
        <w:rPr>
          <w:rStyle w:val="FootnoteReference"/>
          <w:rFonts w:cs="Times New Roman"/>
          <w:kern w:val="2"/>
        </w:rPr>
        <w:footnoteReference w:id="51"/>
      </w:r>
      <w:r w:rsidR="00E87776" w:rsidRPr="00DA5EB5">
        <w:rPr>
          <w:kern w:val="2"/>
          <w:sz w:val="20"/>
        </w:rPr>
        <w:t xml:space="preserve"> </w:t>
      </w:r>
    </w:p>
    <w:p w14:paraId="51E8C567" w14:textId="20CDAEC6" w:rsidR="0061282C" w:rsidRPr="00DA5EB5" w:rsidRDefault="0061282C" w:rsidP="007C3517">
      <w:pPr>
        <w:rPr>
          <w:kern w:val="2"/>
          <w:sz w:val="20"/>
        </w:rPr>
      </w:pPr>
      <w:r w:rsidRPr="00DA5EB5">
        <w:rPr>
          <w:kern w:val="2"/>
          <w:sz w:val="20"/>
        </w:rPr>
        <w:t xml:space="preserve">DPAs and </w:t>
      </w:r>
      <w:r w:rsidR="000B5BAA" w:rsidRPr="00DA5EB5">
        <w:rPr>
          <w:rFonts w:cs="Times New Roman"/>
          <w:kern w:val="2"/>
          <w:sz w:val="20"/>
        </w:rPr>
        <w:t>Non-Prosecution Agreements</w:t>
      </w:r>
      <w:r w:rsidR="000B5BAA" w:rsidRPr="00DA5EB5">
        <w:rPr>
          <w:kern w:val="2"/>
          <w:sz w:val="20"/>
        </w:rPr>
        <w:t xml:space="preserve"> (</w:t>
      </w:r>
      <w:r w:rsidRPr="00DA5EB5">
        <w:rPr>
          <w:kern w:val="2"/>
          <w:sz w:val="20"/>
        </w:rPr>
        <w:t>NPAs</w:t>
      </w:r>
      <w:r w:rsidR="000B5BAA" w:rsidRPr="00DA5EB5">
        <w:rPr>
          <w:kern w:val="2"/>
          <w:sz w:val="20"/>
        </w:rPr>
        <w:t>)</w:t>
      </w:r>
      <w:r w:rsidRPr="00DA5EB5">
        <w:rPr>
          <w:kern w:val="2"/>
          <w:sz w:val="20"/>
        </w:rPr>
        <w:t xml:space="preserve"> often contain a clause requiring the company to report compliance efforts for a period of two or three years. This leads to the third bucket of financial exposure, post-enforcement action professional fees and expenses. Koehler cites </w:t>
      </w:r>
      <w:proofErr w:type="spellStart"/>
      <w:r w:rsidRPr="00DA5EB5">
        <w:rPr>
          <w:kern w:val="2"/>
          <w:sz w:val="20"/>
        </w:rPr>
        <w:t>Willbros</w:t>
      </w:r>
      <w:proofErr w:type="spellEnd"/>
      <w:r w:rsidRPr="00DA5EB5">
        <w:rPr>
          <w:kern w:val="2"/>
          <w:sz w:val="20"/>
        </w:rPr>
        <w:t xml:space="preserve"> Group and Faro Technologies as examples of expenses incurred in the third bucket of exposure. </w:t>
      </w:r>
      <w:proofErr w:type="spellStart"/>
      <w:r w:rsidRPr="00DA5EB5">
        <w:rPr>
          <w:kern w:val="2"/>
          <w:sz w:val="20"/>
        </w:rPr>
        <w:t>Willbros</w:t>
      </w:r>
      <w:proofErr w:type="spellEnd"/>
      <w:r w:rsidRPr="00DA5EB5">
        <w:rPr>
          <w:kern w:val="2"/>
          <w:sz w:val="20"/>
        </w:rPr>
        <w:t xml:space="preserve"> Group settled their matter for $32 million dollars, but the company estimates the cost of ongoing monitoring expenses to be approximately $10 million dollars.</w:t>
      </w:r>
      <w:r w:rsidRPr="00DA5EB5">
        <w:rPr>
          <w:rStyle w:val="FootnoteReference"/>
          <w:rFonts w:cs="Times New Roman"/>
          <w:kern w:val="2"/>
        </w:rPr>
        <w:footnoteReference w:id="52"/>
      </w:r>
      <w:r w:rsidRPr="00DA5EB5">
        <w:rPr>
          <w:kern w:val="2"/>
          <w:sz w:val="20"/>
        </w:rPr>
        <w:t xml:space="preserve"> Faro Technologies agreed to pay approximately $3 million in fines. The company disclosed that monitoring expenses amount to $1 million in just one quarter.</w:t>
      </w:r>
      <w:r w:rsidRPr="00DA5EB5">
        <w:rPr>
          <w:rStyle w:val="FootnoteReference"/>
          <w:rFonts w:cs="Times New Roman"/>
          <w:kern w:val="2"/>
        </w:rPr>
        <w:footnoteReference w:id="53"/>
      </w:r>
      <w:r w:rsidRPr="00DA5EB5">
        <w:rPr>
          <w:kern w:val="2"/>
          <w:sz w:val="20"/>
        </w:rPr>
        <w:t xml:space="preserve"> </w:t>
      </w:r>
    </w:p>
    <w:p w14:paraId="3B073543" w14:textId="7596A406" w:rsidR="00E534EE" w:rsidRPr="00DA5EB5" w:rsidRDefault="0061282C" w:rsidP="007C3517">
      <w:pPr>
        <w:pStyle w:val="Heading2"/>
        <w:rPr>
          <w:kern w:val="2"/>
          <w:sz w:val="24"/>
        </w:rPr>
      </w:pPr>
      <w:r w:rsidRPr="00DA5EB5">
        <w:rPr>
          <w:kern w:val="2"/>
          <w:sz w:val="24"/>
        </w:rPr>
        <w:t xml:space="preserve">Comments on </w:t>
      </w:r>
      <w:r w:rsidRPr="00DA5EB5">
        <w:rPr>
          <w:i/>
          <w:color w:val="000000" w:themeColor="text1"/>
          <w:kern w:val="2"/>
          <w:sz w:val="24"/>
        </w:rPr>
        <w:t>FCPA</w:t>
      </w:r>
      <w:r w:rsidRPr="00DA5EB5">
        <w:rPr>
          <w:kern w:val="2"/>
          <w:sz w:val="24"/>
        </w:rPr>
        <w:t xml:space="preserve"> Enforcement</w:t>
      </w:r>
    </w:p>
    <w:p w14:paraId="4CD6D718" w14:textId="7C5C1603" w:rsidR="0061282C" w:rsidRPr="00DA5EB5" w:rsidRDefault="0061282C" w:rsidP="007C3517">
      <w:pPr>
        <w:rPr>
          <w:kern w:val="2"/>
          <w:sz w:val="20"/>
        </w:rPr>
      </w:pPr>
      <w:r w:rsidRPr="00DA5EB5">
        <w:rPr>
          <w:kern w:val="2"/>
          <w:sz w:val="20"/>
        </w:rPr>
        <w:t xml:space="preserve">It is interesting to observe the enforcement patterns for corporate corruption. </w:t>
      </w:r>
      <w:r w:rsidR="004E3083" w:rsidRPr="00DA5EB5">
        <w:rPr>
          <w:kern w:val="2"/>
          <w:sz w:val="20"/>
        </w:rPr>
        <w:t xml:space="preserve">Between </w:t>
      </w:r>
      <w:r w:rsidRPr="00DA5EB5">
        <w:rPr>
          <w:kern w:val="2"/>
          <w:sz w:val="20"/>
        </w:rPr>
        <w:t>2008</w:t>
      </w:r>
      <w:r w:rsidR="004E3083" w:rsidRPr="00DA5EB5">
        <w:rPr>
          <w:kern w:val="2"/>
          <w:sz w:val="20"/>
        </w:rPr>
        <w:t xml:space="preserve"> and 2012</w:t>
      </w:r>
      <w:r w:rsidRPr="00DA5EB5">
        <w:rPr>
          <w:kern w:val="2"/>
          <w:sz w:val="20"/>
        </w:rPr>
        <w:t>, the DOJ settled 53 cases involving corporate corruption</w:t>
      </w:r>
      <w:r w:rsidR="00443F68" w:rsidRPr="00DA5EB5">
        <w:rPr>
          <w:kern w:val="2"/>
          <w:sz w:val="20"/>
        </w:rPr>
        <w:t>—</w:t>
      </w:r>
      <w:r w:rsidRPr="00DA5EB5">
        <w:rPr>
          <w:kern w:val="2"/>
          <w:sz w:val="20"/>
        </w:rPr>
        <w:t>42 public companies and 11 private companies. Rather than prosecuting and convicting both the company and the responsible company officers and agents, in 34 of the 42 public company cases (81%), no officers or agents were prosecuted or convicted. On the other hand, in the private company cases, there was a significantly higher rate of prosecuting the responsible officers as well as the company (55% of the cases [6 of 11] involved prosecution of both, whereas only 19% of the public corporation cases involved prosecution of both</w:t>
      </w:r>
      <w:r w:rsidRPr="00DA5EB5">
        <w:rPr>
          <w:color w:val="000000" w:themeColor="text1"/>
          <w:kern w:val="2"/>
          <w:sz w:val="20"/>
        </w:rPr>
        <w:t>).</w:t>
      </w:r>
      <w:r w:rsidRPr="00DA5EB5">
        <w:rPr>
          <w:rStyle w:val="FootnoteReference"/>
          <w:rFonts w:cs="Times New Roman"/>
          <w:color w:val="000000" w:themeColor="text1"/>
          <w:kern w:val="2"/>
        </w:rPr>
        <w:footnoteReference w:id="54"/>
      </w:r>
    </w:p>
    <w:p w14:paraId="3CD028D8" w14:textId="0CC37868" w:rsidR="0061282C" w:rsidRPr="00DA5EB5" w:rsidRDefault="002541E9" w:rsidP="007C3517">
      <w:pPr>
        <w:rPr>
          <w:color w:val="000000" w:themeColor="text1"/>
          <w:kern w:val="2"/>
          <w:sz w:val="20"/>
        </w:rPr>
      </w:pPr>
      <w:r w:rsidRPr="00DA5EB5">
        <w:rPr>
          <w:color w:val="000000" w:themeColor="text1"/>
          <w:kern w:val="2"/>
          <w:sz w:val="20"/>
        </w:rPr>
        <w:t>T</w:t>
      </w:r>
      <w:r w:rsidR="0061282C" w:rsidRPr="00DA5EB5">
        <w:rPr>
          <w:color w:val="000000" w:themeColor="text1"/>
          <w:kern w:val="2"/>
          <w:sz w:val="20"/>
        </w:rPr>
        <w:t>here is another form of double standard</w:t>
      </w:r>
      <w:r w:rsidRPr="00DA5EB5">
        <w:rPr>
          <w:color w:val="000000" w:themeColor="text1"/>
          <w:kern w:val="2"/>
          <w:sz w:val="20"/>
        </w:rPr>
        <w:t>, Koehler notes,</w:t>
      </w:r>
      <w:r w:rsidR="0061282C" w:rsidRPr="00DA5EB5">
        <w:rPr>
          <w:color w:val="000000" w:themeColor="text1"/>
          <w:kern w:val="2"/>
          <w:sz w:val="20"/>
        </w:rPr>
        <w:t xml:space="preserve"> in some of the largest corruption cases. By agreeing to SEC civil enforcement of books and records violations, many of these giant multinational corporations avoided the stigma and adverse consequences of a criminal bribery conviction. Koehler refers to such cases as </w:t>
      </w:r>
      <w:r w:rsidR="00FD6DAC" w:rsidRPr="00DA5EB5">
        <w:rPr>
          <w:color w:val="000000" w:themeColor="text1"/>
          <w:kern w:val="2"/>
          <w:sz w:val="20"/>
        </w:rPr>
        <w:t>“</w:t>
      </w:r>
      <w:r w:rsidR="0061282C" w:rsidRPr="00DA5EB5">
        <w:rPr>
          <w:color w:val="000000" w:themeColor="text1"/>
          <w:kern w:val="2"/>
          <w:sz w:val="20"/>
        </w:rPr>
        <w:t>bribery yet not bribery enforcement actions.</w:t>
      </w:r>
      <w:r w:rsidR="00FD6DAC" w:rsidRPr="00DA5EB5">
        <w:rPr>
          <w:color w:val="000000" w:themeColor="text1"/>
          <w:kern w:val="2"/>
          <w:sz w:val="20"/>
        </w:rPr>
        <w:t>”</w:t>
      </w:r>
      <w:r w:rsidR="0061282C" w:rsidRPr="00DA5EB5">
        <w:rPr>
          <w:rStyle w:val="FootnoteReference"/>
          <w:rFonts w:cs="Times New Roman"/>
          <w:color w:val="000000" w:themeColor="text1"/>
          <w:kern w:val="2"/>
        </w:rPr>
        <w:footnoteReference w:id="55"/>
      </w:r>
      <w:r w:rsidR="0061282C" w:rsidRPr="00DA5EB5">
        <w:rPr>
          <w:color w:val="000000" w:themeColor="text1"/>
          <w:kern w:val="2"/>
          <w:sz w:val="20"/>
        </w:rPr>
        <w:t xml:space="preserve"> For example, after </w:t>
      </w:r>
      <w:r w:rsidR="00A309D4" w:rsidRPr="00DA5EB5">
        <w:rPr>
          <w:color w:val="000000" w:themeColor="text1"/>
          <w:kern w:val="2"/>
          <w:sz w:val="20"/>
        </w:rPr>
        <w:t>discussing</w:t>
      </w:r>
      <w:r w:rsidR="0061282C" w:rsidRPr="00DA5EB5">
        <w:rPr>
          <w:color w:val="000000" w:themeColor="text1"/>
          <w:kern w:val="2"/>
          <w:sz w:val="20"/>
        </w:rPr>
        <w:t xml:space="preserve"> the cases of Siemens and BAE, Koehler states that some of the most egregious </w:t>
      </w:r>
      <w:r w:rsidR="0061282C" w:rsidRPr="00DA5EB5">
        <w:rPr>
          <w:i/>
          <w:color w:val="000000" w:themeColor="text1"/>
          <w:kern w:val="2"/>
          <w:sz w:val="20"/>
        </w:rPr>
        <w:t>FCPA</w:t>
      </w:r>
      <w:r w:rsidR="0061282C" w:rsidRPr="00DA5EB5">
        <w:rPr>
          <w:color w:val="000000" w:themeColor="text1"/>
          <w:kern w:val="2"/>
          <w:sz w:val="20"/>
        </w:rPr>
        <w:t xml:space="preserve"> violations appear immune from bribery charges, since they are instead dealt with through books and reco</w:t>
      </w:r>
      <w:r w:rsidR="009178FF" w:rsidRPr="00DA5EB5">
        <w:rPr>
          <w:color w:val="000000" w:themeColor="text1"/>
          <w:kern w:val="2"/>
          <w:sz w:val="20"/>
        </w:rPr>
        <w:t>rds and other non-bribery offens</w:t>
      </w:r>
      <w:r w:rsidR="0061282C" w:rsidRPr="00DA5EB5">
        <w:rPr>
          <w:color w:val="000000" w:themeColor="text1"/>
          <w:kern w:val="2"/>
          <w:sz w:val="20"/>
        </w:rPr>
        <w:t>es. Not surprisingly, these companies are usually major suppliers to the US government of goods and services considered critical to national security.</w:t>
      </w:r>
      <w:r w:rsidR="0061282C" w:rsidRPr="00DA5EB5">
        <w:rPr>
          <w:rStyle w:val="FootnoteReference"/>
          <w:rFonts w:cs="Times New Roman"/>
          <w:color w:val="000000" w:themeColor="text1"/>
          <w:kern w:val="2"/>
        </w:rPr>
        <w:footnoteReference w:id="56"/>
      </w:r>
    </w:p>
    <w:p w14:paraId="7520F021" w14:textId="4B329429" w:rsidR="0061282C" w:rsidRPr="00DA5EB5" w:rsidRDefault="0061282C" w:rsidP="007C3517">
      <w:pPr>
        <w:rPr>
          <w:color w:val="000000" w:themeColor="text1"/>
          <w:kern w:val="2"/>
          <w:sz w:val="20"/>
        </w:rPr>
      </w:pPr>
      <w:r w:rsidRPr="00DA5EB5">
        <w:rPr>
          <w:color w:val="000000" w:themeColor="text1"/>
          <w:kern w:val="2"/>
          <w:sz w:val="20"/>
        </w:rPr>
        <w:t xml:space="preserve">Koehler outlines several other criticisms of </w:t>
      </w:r>
      <w:r w:rsidRPr="00DA5EB5">
        <w:rPr>
          <w:i/>
          <w:color w:val="000000" w:themeColor="text1"/>
          <w:kern w:val="2"/>
          <w:sz w:val="20"/>
        </w:rPr>
        <w:t xml:space="preserve">FCPA </w:t>
      </w:r>
      <w:r w:rsidRPr="00DA5EB5">
        <w:rPr>
          <w:color w:val="000000" w:themeColor="text1"/>
          <w:kern w:val="2"/>
          <w:sz w:val="20"/>
        </w:rPr>
        <w:t>enforcement, including a lack of transparency, the DOJ and SEC’s lack of success when put to the burden of proof</w:t>
      </w:r>
      <w:r w:rsidR="00F917B1" w:rsidRPr="00DA5EB5">
        <w:rPr>
          <w:color w:val="000000" w:themeColor="text1"/>
          <w:kern w:val="2"/>
          <w:sz w:val="20"/>
        </w:rPr>
        <w:t>,</w:t>
      </w:r>
      <w:r w:rsidRPr="00DA5EB5">
        <w:rPr>
          <w:color w:val="000000" w:themeColor="text1"/>
          <w:kern w:val="2"/>
          <w:sz w:val="20"/>
        </w:rPr>
        <w:t xml:space="preserve"> and the fact that </w:t>
      </w:r>
      <w:r w:rsidRPr="00DA5EB5">
        <w:rPr>
          <w:i/>
          <w:color w:val="000000" w:themeColor="text1"/>
          <w:kern w:val="2"/>
          <w:sz w:val="20"/>
        </w:rPr>
        <w:t>FCPA</w:t>
      </w:r>
      <w:r w:rsidRPr="00DA5EB5">
        <w:rPr>
          <w:color w:val="000000" w:themeColor="text1"/>
          <w:kern w:val="2"/>
          <w:sz w:val="20"/>
        </w:rPr>
        <w:t xml:space="preserve"> enforcement is a lucrative prospect for the US government as well as foreign governments.</w:t>
      </w:r>
      <w:r w:rsidR="00E87776" w:rsidRPr="00DA5EB5">
        <w:rPr>
          <w:color w:val="000000" w:themeColor="text1"/>
          <w:kern w:val="2"/>
          <w:sz w:val="20"/>
        </w:rPr>
        <w:t xml:space="preserve"> </w:t>
      </w:r>
    </w:p>
    <w:p w14:paraId="0BA90C77" w14:textId="010DF93B" w:rsidR="0061282C" w:rsidRPr="00DA5EB5" w:rsidRDefault="0061282C" w:rsidP="007C3517">
      <w:pPr>
        <w:rPr>
          <w:color w:val="000000" w:themeColor="text1"/>
          <w:kern w:val="2"/>
          <w:sz w:val="20"/>
        </w:rPr>
      </w:pPr>
      <w:r w:rsidRPr="00DA5EB5">
        <w:rPr>
          <w:color w:val="000000" w:themeColor="text1"/>
          <w:kern w:val="2"/>
          <w:sz w:val="20"/>
        </w:rPr>
        <w:t xml:space="preserve">Since almost all </w:t>
      </w:r>
      <w:r w:rsidRPr="00DA5EB5">
        <w:rPr>
          <w:i/>
          <w:color w:val="000000" w:themeColor="text1"/>
          <w:kern w:val="2"/>
          <w:sz w:val="20"/>
        </w:rPr>
        <w:t>FCPA</w:t>
      </w:r>
      <w:r w:rsidRPr="00DA5EB5">
        <w:rPr>
          <w:color w:val="000000" w:themeColor="text1"/>
          <w:kern w:val="2"/>
          <w:sz w:val="20"/>
        </w:rPr>
        <w:t xml:space="preserve"> resolutions involve a DPA or NPA, Koehler states that </w:t>
      </w:r>
      <w:r w:rsidR="00FD6DAC" w:rsidRPr="00DA5EB5">
        <w:rPr>
          <w:color w:val="000000" w:themeColor="text1"/>
          <w:kern w:val="2"/>
          <w:sz w:val="20"/>
        </w:rPr>
        <w:t>“</w:t>
      </w:r>
      <w:r w:rsidRPr="00DA5EB5">
        <w:rPr>
          <w:color w:val="000000" w:themeColor="text1"/>
          <w:kern w:val="2"/>
          <w:sz w:val="20"/>
        </w:rPr>
        <w:t>nearly all corporate FCPA enforcement actions in this new era are negotiated behind closed doors in the absence of meaningful judicial scrutiny.</w:t>
      </w:r>
      <w:r w:rsidR="00FD6DAC" w:rsidRPr="00DA5EB5">
        <w:rPr>
          <w:color w:val="000000" w:themeColor="text1"/>
          <w:kern w:val="2"/>
          <w:sz w:val="20"/>
        </w:rPr>
        <w:t>”</w:t>
      </w:r>
      <w:r w:rsidRPr="00DA5EB5">
        <w:rPr>
          <w:rStyle w:val="FootnoteReference"/>
          <w:color w:val="000000" w:themeColor="text1"/>
          <w:kern w:val="2"/>
          <w:sz w:val="18"/>
        </w:rPr>
        <w:footnoteReference w:id="57"/>
      </w:r>
      <w:r w:rsidRPr="00DA5EB5">
        <w:rPr>
          <w:color w:val="000000" w:themeColor="text1"/>
          <w:kern w:val="2"/>
          <w:sz w:val="20"/>
        </w:rPr>
        <w:t xml:space="preserve"> With DPAs, the DOJ </w:t>
      </w:r>
      <w:r w:rsidR="00BD5487" w:rsidRPr="00DA5EB5">
        <w:rPr>
          <w:color w:val="000000" w:themeColor="text1"/>
          <w:kern w:val="2"/>
          <w:sz w:val="20"/>
        </w:rPr>
        <w:t xml:space="preserve">calculates </w:t>
      </w:r>
      <w:r w:rsidRPr="00DA5EB5">
        <w:rPr>
          <w:color w:val="000000" w:themeColor="text1"/>
          <w:kern w:val="2"/>
          <w:sz w:val="20"/>
        </w:rPr>
        <w:t xml:space="preserve">the value of the benefit allegedly received </w:t>
      </w:r>
      <w:r w:rsidR="00BD5487" w:rsidRPr="00DA5EB5">
        <w:rPr>
          <w:color w:val="000000" w:themeColor="text1"/>
          <w:kern w:val="2"/>
          <w:sz w:val="20"/>
        </w:rPr>
        <w:t>in a non-transparent way</w:t>
      </w:r>
      <w:r w:rsidRPr="00DA5EB5">
        <w:rPr>
          <w:color w:val="000000" w:themeColor="text1"/>
          <w:kern w:val="2"/>
          <w:sz w:val="20"/>
        </w:rPr>
        <w:t>, and when resolution is via a NPA, the calculation of the fine amount is not transparent.</w:t>
      </w:r>
      <w:r w:rsidRPr="00DA5EB5">
        <w:rPr>
          <w:rStyle w:val="FootnoteReference"/>
          <w:color w:val="000000" w:themeColor="text1"/>
          <w:kern w:val="2"/>
          <w:sz w:val="18"/>
        </w:rPr>
        <w:footnoteReference w:id="58"/>
      </w:r>
      <w:r w:rsidRPr="00DA5EB5">
        <w:rPr>
          <w:color w:val="000000" w:themeColor="text1"/>
          <w:kern w:val="2"/>
          <w:sz w:val="20"/>
        </w:rPr>
        <w:t xml:space="preserve"> Because of this lack of transparency, Koehler is an advocate for the abolition of DPAs and NPAs. He argues that the government should be confronted with the choice to either indict or walk away.</w:t>
      </w:r>
    </w:p>
    <w:p w14:paraId="6F4FE90D" w14:textId="10A64D0E" w:rsidR="0061282C" w:rsidRPr="00DA5EB5" w:rsidRDefault="00D175B8" w:rsidP="007C3517">
      <w:pPr>
        <w:rPr>
          <w:color w:val="000000" w:themeColor="text1"/>
          <w:kern w:val="2"/>
          <w:sz w:val="20"/>
        </w:rPr>
      </w:pPr>
      <w:r w:rsidRPr="00DA5EB5">
        <w:rPr>
          <w:color w:val="000000" w:themeColor="text1"/>
          <w:kern w:val="2"/>
          <w:sz w:val="20"/>
        </w:rPr>
        <w:t>W</w:t>
      </w:r>
      <w:r w:rsidR="0061282C" w:rsidRPr="00DA5EB5">
        <w:rPr>
          <w:color w:val="000000" w:themeColor="text1"/>
          <w:kern w:val="2"/>
          <w:sz w:val="20"/>
        </w:rPr>
        <w:t xml:space="preserve">hile enforcement agencies have been able to leverage large </w:t>
      </w:r>
      <w:r w:rsidR="0061282C" w:rsidRPr="00DA5EB5">
        <w:rPr>
          <w:i/>
          <w:color w:val="000000" w:themeColor="text1"/>
          <w:kern w:val="2"/>
          <w:sz w:val="20"/>
        </w:rPr>
        <w:t>FCPA</w:t>
      </w:r>
      <w:r w:rsidR="0061282C" w:rsidRPr="00DA5EB5">
        <w:rPr>
          <w:color w:val="000000" w:themeColor="text1"/>
          <w:kern w:val="2"/>
          <w:sz w:val="20"/>
        </w:rPr>
        <w:t xml:space="preserve"> settlements, </w:t>
      </w:r>
      <w:r w:rsidRPr="00DA5EB5">
        <w:rPr>
          <w:color w:val="000000" w:themeColor="text1"/>
          <w:kern w:val="2"/>
          <w:sz w:val="20"/>
        </w:rPr>
        <w:t xml:space="preserve">Koehler maintains that </w:t>
      </w:r>
      <w:r w:rsidR="00FD6DAC" w:rsidRPr="00DA5EB5">
        <w:rPr>
          <w:color w:val="000000" w:themeColor="text1"/>
          <w:kern w:val="2"/>
          <w:sz w:val="20"/>
        </w:rPr>
        <w:t>“</w:t>
      </w:r>
      <w:r w:rsidR="0061282C" w:rsidRPr="00DA5EB5">
        <w:rPr>
          <w:color w:val="000000" w:themeColor="text1"/>
          <w:kern w:val="2"/>
          <w:sz w:val="20"/>
        </w:rPr>
        <w:t>when put to its burdens of proof in the context of an adversarial system, the enforcement agencies have had substantially less success</w:t>
      </w:r>
      <w:r w:rsidR="00840E7C" w:rsidRPr="00DA5EB5">
        <w:rPr>
          <w:color w:val="000000" w:themeColor="text1"/>
          <w:kern w:val="2"/>
          <w:sz w:val="20"/>
        </w:rPr>
        <w:t>,</w:t>
      </w:r>
      <w:r w:rsidR="00FD6DAC" w:rsidRPr="00DA5EB5">
        <w:rPr>
          <w:color w:val="000000" w:themeColor="text1"/>
          <w:kern w:val="2"/>
          <w:sz w:val="20"/>
        </w:rPr>
        <w:t>”</w:t>
      </w:r>
      <w:r w:rsidR="0061282C" w:rsidRPr="00DA5EB5">
        <w:rPr>
          <w:rStyle w:val="FootnoteReference"/>
          <w:color w:val="000000" w:themeColor="text1"/>
          <w:kern w:val="2"/>
          <w:sz w:val="18"/>
        </w:rPr>
        <w:footnoteReference w:id="59"/>
      </w:r>
      <w:r w:rsidR="0061282C" w:rsidRPr="00DA5EB5">
        <w:rPr>
          <w:color w:val="000000" w:themeColor="text1"/>
          <w:kern w:val="2"/>
          <w:sz w:val="20"/>
        </w:rPr>
        <w:t xml:space="preserve"> </w:t>
      </w:r>
      <w:r w:rsidR="00AB63AC" w:rsidRPr="00DA5EB5">
        <w:rPr>
          <w:color w:val="000000" w:themeColor="text1"/>
          <w:kern w:val="2"/>
          <w:sz w:val="20"/>
        </w:rPr>
        <w:t xml:space="preserve">and </w:t>
      </w:r>
      <w:r w:rsidR="0061282C" w:rsidRPr="00DA5EB5">
        <w:rPr>
          <w:color w:val="000000" w:themeColor="text1"/>
          <w:kern w:val="2"/>
          <w:sz w:val="20"/>
        </w:rPr>
        <w:t>not</w:t>
      </w:r>
      <w:r w:rsidR="00DE01C7" w:rsidRPr="00DA5EB5">
        <w:rPr>
          <w:color w:val="000000" w:themeColor="text1"/>
          <w:kern w:val="2"/>
          <w:sz w:val="20"/>
        </w:rPr>
        <w:t>es</w:t>
      </w:r>
      <w:r w:rsidR="0061282C" w:rsidRPr="00DA5EB5">
        <w:rPr>
          <w:color w:val="000000" w:themeColor="text1"/>
          <w:kern w:val="2"/>
          <w:sz w:val="20"/>
        </w:rPr>
        <w:t xml:space="preserve"> that the DOJ lost both of the two corporate </w:t>
      </w:r>
      <w:r w:rsidR="0061282C" w:rsidRPr="00DA5EB5">
        <w:rPr>
          <w:i/>
          <w:color w:val="000000" w:themeColor="text1"/>
          <w:kern w:val="2"/>
          <w:sz w:val="20"/>
        </w:rPr>
        <w:t xml:space="preserve">FCPA </w:t>
      </w:r>
      <w:r w:rsidR="0061282C" w:rsidRPr="00DA5EB5">
        <w:rPr>
          <w:color w:val="000000" w:themeColor="text1"/>
          <w:kern w:val="2"/>
          <w:sz w:val="20"/>
        </w:rPr>
        <w:t>prosecutions that they did pursue to trial.</w:t>
      </w:r>
      <w:r w:rsidR="0061282C" w:rsidRPr="00DA5EB5">
        <w:rPr>
          <w:rStyle w:val="FootnoteReference"/>
          <w:color w:val="000000" w:themeColor="text1"/>
          <w:kern w:val="2"/>
          <w:sz w:val="18"/>
        </w:rPr>
        <w:footnoteReference w:id="60"/>
      </w:r>
    </w:p>
    <w:p w14:paraId="67AC7DEC" w14:textId="0E0DAFC9" w:rsidR="0061282C" w:rsidRPr="00DA5EB5" w:rsidRDefault="0061282C" w:rsidP="007C3517">
      <w:pPr>
        <w:rPr>
          <w:kern w:val="2"/>
          <w:sz w:val="20"/>
        </w:rPr>
      </w:pPr>
      <w:r w:rsidRPr="00DA5EB5">
        <w:rPr>
          <w:kern w:val="2"/>
          <w:sz w:val="20"/>
        </w:rPr>
        <w:t xml:space="preserve">Koehler writes that </w:t>
      </w:r>
      <w:r w:rsidR="00FD6DAC" w:rsidRPr="00DA5EB5">
        <w:rPr>
          <w:kern w:val="2"/>
          <w:sz w:val="20"/>
        </w:rPr>
        <w:t>“</w:t>
      </w:r>
      <w:r w:rsidRPr="00DA5EB5">
        <w:rPr>
          <w:kern w:val="2"/>
          <w:sz w:val="20"/>
        </w:rPr>
        <w:t>[t]here are many who believe that FCPA enforcement in this new era represents a cash cow for the government as settlement amounts in FCPA enforcement actions simply flow into the U.S. treasury.</w:t>
      </w:r>
      <w:r w:rsidR="00FD6DAC" w:rsidRPr="00DA5EB5">
        <w:rPr>
          <w:kern w:val="2"/>
          <w:sz w:val="20"/>
        </w:rPr>
        <w:t>”</w:t>
      </w:r>
      <w:r w:rsidRPr="00DA5EB5">
        <w:rPr>
          <w:rStyle w:val="FootnoteReference"/>
          <w:kern w:val="2"/>
          <w:sz w:val="18"/>
        </w:rPr>
        <w:footnoteReference w:id="61"/>
      </w:r>
      <w:r w:rsidRPr="00DA5EB5">
        <w:rPr>
          <w:kern w:val="2"/>
          <w:sz w:val="20"/>
        </w:rPr>
        <w:t xml:space="preserve"> </w:t>
      </w:r>
      <w:r w:rsidR="00CC0DE4" w:rsidRPr="00DA5EB5">
        <w:rPr>
          <w:kern w:val="2"/>
          <w:sz w:val="20"/>
        </w:rPr>
        <w:t xml:space="preserve">He </w:t>
      </w:r>
      <w:r w:rsidRPr="00DA5EB5">
        <w:rPr>
          <w:kern w:val="2"/>
          <w:sz w:val="20"/>
        </w:rPr>
        <w:t xml:space="preserve">cites the enforcement </w:t>
      </w:r>
      <w:r w:rsidR="0021306C" w:rsidRPr="00DA5EB5">
        <w:rPr>
          <w:kern w:val="2"/>
          <w:sz w:val="20"/>
        </w:rPr>
        <w:t xml:space="preserve">action </w:t>
      </w:r>
      <w:r w:rsidRPr="00DA5EB5">
        <w:rPr>
          <w:kern w:val="2"/>
          <w:sz w:val="20"/>
        </w:rPr>
        <w:t xml:space="preserve">against Total in support of this view, noting that </w:t>
      </w:r>
      <w:r w:rsidR="00FD6DAC" w:rsidRPr="00DA5EB5">
        <w:rPr>
          <w:kern w:val="2"/>
          <w:sz w:val="20"/>
        </w:rPr>
        <w:t>“</w:t>
      </w:r>
      <w:r w:rsidRPr="00DA5EB5">
        <w:rPr>
          <w:kern w:val="2"/>
          <w:sz w:val="20"/>
        </w:rPr>
        <w:t>the enforcement action was against a French oil and gas company for making improper payments to an Iranian foreign official through use of an employee of a Swiss private bank and a British Virgin Island Company</w:t>
      </w:r>
      <w:r w:rsidR="002C2A99" w:rsidRPr="00DA5EB5">
        <w:rPr>
          <w:kern w:val="2"/>
          <w:sz w:val="20"/>
        </w:rPr>
        <w:t>,</w:t>
      </w:r>
      <w:r w:rsidR="00FD6DAC" w:rsidRPr="00DA5EB5">
        <w:rPr>
          <w:kern w:val="2"/>
          <w:sz w:val="20"/>
        </w:rPr>
        <w:t>”</w:t>
      </w:r>
      <w:r w:rsidRPr="00DA5EB5">
        <w:rPr>
          <w:kern w:val="2"/>
          <w:sz w:val="20"/>
        </w:rPr>
        <w:t xml:space="preserve"> leaving as the sole jurisdictional nexus a 1995 wire transfer from a New York bank account of $500,000 (less than 1% of the alleged bribe payments). The same conduct was the focus of an investigation in France (Total’s home country). The alleged conduct occurred between 1995 and 1997, years before the 2013 settlement, so old in fact that the DOJ stated in the DPA that there were </w:t>
      </w:r>
      <w:r w:rsidR="00FD6DAC" w:rsidRPr="00DA5EB5">
        <w:rPr>
          <w:kern w:val="2"/>
          <w:sz w:val="20"/>
        </w:rPr>
        <w:t>“</w:t>
      </w:r>
      <w:r w:rsidRPr="00DA5EB5">
        <w:rPr>
          <w:kern w:val="2"/>
          <w:sz w:val="20"/>
        </w:rPr>
        <w:t>evidentiary challenges.</w:t>
      </w:r>
      <w:r w:rsidR="00FD6DAC" w:rsidRPr="00DA5EB5">
        <w:rPr>
          <w:kern w:val="2"/>
          <w:sz w:val="20"/>
        </w:rPr>
        <w:t>”</w:t>
      </w:r>
      <w:r w:rsidRPr="00DA5EB5">
        <w:rPr>
          <w:rStyle w:val="FootnoteReference"/>
          <w:kern w:val="2"/>
          <w:sz w:val="18"/>
        </w:rPr>
        <w:footnoteReference w:id="62"/>
      </w:r>
    </w:p>
    <w:p w14:paraId="29E346E6" w14:textId="02768C90" w:rsidR="0061282C" w:rsidRPr="00DA5EB5" w:rsidRDefault="0061282C" w:rsidP="007C3517">
      <w:pPr>
        <w:rPr>
          <w:color w:val="FF0000"/>
          <w:kern w:val="2"/>
          <w:sz w:val="20"/>
        </w:rPr>
      </w:pPr>
      <w:r w:rsidRPr="00DA5EB5">
        <w:rPr>
          <w:kern w:val="2"/>
          <w:sz w:val="20"/>
        </w:rPr>
        <w:t xml:space="preserve">Koehler is also critical of the fact the DOJ and SEC appear to be </w:t>
      </w:r>
      <w:r w:rsidR="00FD6DAC" w:rsidRPr="00DA5EB5">
        <w:rPr>
          <w:kern w:val="2"/>
          <w:sz w:val="20"/>
        </w:rPr>
        <w:t>“</w:t>
      </w:r>
      <w:r w:rsidRPr="00DA5EB5">
        <w:rPr>
          <w:kern w:val="2"/>
          <w:sz w:val="20"/>
        </w:rPr>
        <w:t>double-dipping</w:t>
      </w:r>
      <w:r w:rsidR="00FD6DAC" w:rsidRPr="00DA5EB5">
        <w:rPr>
          <w:kern w:val="2"/>
          <w:sz w:val="20"/>
        </w:rPr>
        <w:t>”</w:t>
      </w:r>
      <w:r w:rsidRPr="00DA5EB5">
        <w:rPr>
          <w:kern w:val="2"/>
          <w:sz w:val="20"/>
        </w:rPr>
        <w:t xml:space="preserve"> and collecting duplicative penalties </w:t>
      </w:r>
      <w:r w:rsidRPr="00DA5EB5">
        <w:rPr>
          <w:color w:val="000000" w:themeColor="text1"/>
          <w:kern w:val="2"/>
          <w:sz w:val="20"/>
        </w:rPr>
        <w:t xml:space="preserve">in </w:t>
      </w:r>
      <w:r w:rsidRPr="00DA5EB5">
        <w:rPr>
          <w:i/>
          <w:color w:val="000000" w:themeColor="text1"/>
          <w:kern w:val="2"/>
          <w:sz w:val="20"/>
        </w:rPr>
        <w:t>FCPA</w:t>
      </w:r>
      <w:r w:rsidRPr="00DA5EB5">
        <w:rPr>
          <w:color w:val="000000" w:themeColor="text1"/>
          <w:kern w:val="2"/>
          <w:sz w:val="20"/>
        </w:rPr>
        <w:t xml:space="preserve"> cases</w:t>
      </w:r>
      <w:r w:rsidRPr="00DA5EB5">
        <w:rPr>
          <w:kern w:val="2"/>
          <w:sz w:val="20"/>
        </w:rPr>
        <w:t>, citing the Total case as a clear example. Out of the $398 million penalty, Koehler estimates that $150 million was a double dip.</w:t>
      </w:r>
      <w:r w:rsidRPr="00DA5EB5">
        <w:rPr>
          <w:rStyle w:val="FootnoteReference"/>
          <w:kern w:val="2"/>
          <w:sz w:val="18"/>
        </w:rPr>
        <w:footnoteReference w:id="63"/>
      </w:r>
      <w:r w:rsidR="00F961EC" w:rsidRPr="00DA5EB5">
        <w:rPr>
          <w:kern w:val="2"/>
          <w:sz w:val="20"/>
        </w:rPr>
        <w:t xml:space="preserve"> </w:t>
      </w:r>
      <w:r w:rsidRPr="00DA5EB5">
        <w:rPr>
          <w:kern w:val="2"/>
          <w:sz w:val="20"/>
        </w:rPr>
        <w:t xml:space="preserve">Corruption enforcement is not just lucrative to the US </w:t>
      </w:r>
      <w:r w:rsidR="00200F68" w:rsidRPr="00DA5EB5">
        <w:rPr>
          <w:kern w:val="2"/>
          <w:sz w:val="20"/>
        </w:rPr>
        <w:t>g</w:t>
      </w:r>
      <w:r w:rsidRPr="00DA5EB5">
        <w:rPr>
          <w:kern w:val="2"/>
          <w:sz w:val="20"/>
        </w:rPr>
        <w:t xml:space="preserve">overnment, but brings substantial returns and political points to governments of other nations as well. </w:t>
      </w:r>
      <w:r w:rsidR="00420CF9" w:rsidRPr="00DA5EB5">
        <w:rPr>
          <w:kern w:val="2"/>
          <w:sz w:val="20"/>
        </w:rPr>
        <w:t xml:space="preserve">The author </w:t>
      </w:r>
      <w:r w:rsidRPr="00DA5EB5">
        <w:rPr>
          <w:kern w:val="2"/>
          <w:sz w:val="20"/>
        </w:rPr>
        <w:t xml:space="preserve">notes that an increasing number of </w:t>
      </w:r>
      <w:r w:rsidRPr="00DA5EB5">
        <w:rPr>
          <w:i/>
          <w:kern w:val="2"/>
          <w:sz w:val="20"/>
        </w:rPr>
        <w:t>FCPA</w:t>
      </w:r>
      <w:r w:rsidRPr="00DA5EB5">
        <w:rPr>
          <w:kern w:val="2"/>
          <w:sz w:val="20"/>
        </w:rPr>
        <w:t xml:space="preserve"> actions </w:t>
      </w:r>
      <w:r w:rsidR="00FD6DAC" w:rsidRPr="00DA5EB5">
        <w:rPr>
          <w:kern w:val="2"/>
          <w:sz w:val="20"/>
        </w:rPr>
        <w:t>“</w:t>
      </w:r>
      <w:r w:rsidRPr="00DA5EB5">
        <w:rPr>
          <w:kern w:val="2"/>
          <w:sz w:val="20"/>
        </w:rPr>
        <w:t>are followed by ‘tag-a-long’ or ‘carbon copy’ foreign law enforcement investigations and enforcement actions</w:t>
      </w:r>
      <w:r w:rsidR="000712A3" w:rsidRPr="00DA5EB5">
        <w:rPr>
          <w:kern w:val="2"/>
          <w:sz w:val="20"/>
        </w:rPr>
        <w:t>,</w:t>
      </w:r>
      <w:r w:rsidR="00FD6DAC" w:rsidRPr="00DA5EB5">
        <w:rPr>
          <w:kern w:val="2"/>
          <w:sz w:val="20"/>
        </w:rPr>
        <w:t>”</w:t>
      </w:r>
      <w:r w:rsidRPr="00DA5EB5">
        <w:rPr>
          <w:rStyle w:val="FootnoteReference"/>
          <w:kern w:val="2"/>
          <w:sz w:val="18"/>
        </w:rPr>
        <w:footnoteReference w:id="64"/>
      </w:r>
      <w:r w:rsidRPr="00DA5EB5">
        <w:rPr>
          <w:kern w:val="2"/>
          <w:sz w:val="20"/>
        </w:rPr>
        <w:t xml:space="preserve"> likening these actions to </w:t>
      </w:r>
      <w:r w:rsidR="00FD6DAC" w:rsidRPr="00DA5EB5">
        <w:rPr>
          <w:kern w:val="2"/>
          <w:sz w:val="20"/>
        </w:rPr>
        <w:t>“</w:t>
      </w:r>
      <w:r w:rsidRPr="00DA5EB5">
        <w:rPr>
          <w:kern w:val="2"/>
          <w:sz w:val="20"/>
        </w:rPr>
        <w:t>a piñata breaking at a party, with multiple hands eager to catch the resulting candy.</w:t>
      </w:r>
      <w:r w:rsidR="00FD6DAC" w:rsidRPr="00DA5EB5">
        <w:rPr>
          <w:kern w:val="2"/>
          <w:sz w:val="20"/>
        </w:rPr>
        <w:t>”</w:t>
      </w:r>
      <w:r w:rsidRPr="00DA5EB5">
        <w:rPr>
          <w:rStyle w:val="FootnoteReference"/>
          <w:kern w:val="2"/>
          <w:sz w:val="18"/>
        </w:rPr>
        <w:footnoteReference w:id="65"/>
      </w:r>
      <w:r w:rsidR="007F62AE" w:rsidRPr="00DA5EB5">
        <w:rPr>
          <w:kern w:val="2"/>
          <w:sz w:val="20"/>
        </w:rPr>
        <w:t xml:space="preserve"> </w:t>
      </w:r>
      <w:r w:rsidR="007F62AE" w:rsidRPr="00DA5EB5">
        <w:rPr>
          <w:color w:val="000000" w:themeColor="text1"/>
          <w:kern w:val="2"/>
          <w:sz w:val="20"/>
        </w:rPr>
        <w:t xml:space="preserve">Concurrent enforcement and carbon copy prosecutions are discussed in </w:t>
      </w:r>
      <w:r w:rsidR="007F62AE" w:rsidRPr="00DA5EB5">
        <w:rPr>
          <w:color w:val="000000" w:themeColor="text1"/>
          <w:kern w:val="2"/>
          <w:sz w:val="20"/>
          <w:highlight w:val="cyan"/>
        </w:rPr>
        <w:t>Chapter 6</w:t>
      </w:r>
      <w:r w:rsidR="00A548C5" w:rsidRPr="00DA5EB5">
        <w:rPr>
          <w:kern w:val="2"/>
          <w:sz w:val="20"/>
          <w:highlight w:val="cyan"/>
        </w:rPr>
        <w:t>,</w:t>
      </w:r>
      <w:r w:rsidR="007F62AE" w:rsidRPr="00DA5EB5">
        <w:rPr>
          <w:color w:val="000000" w:themeColor="text1"/>
          <w:kern w:val="2"/>
          <w:sz w:val="20"/>
          <w:highlight w:val="cyan"/>
        </w:rPr>
        <w:t xml:space="preserve"> Section 7</w:t>
      </w:r>
      <w:r w:rsidR="007F62AE" w:rsidRPr="00DA5EB5">
        <w:rPr>
          <w:color w:val="000000" w:themeColor="text1"/>
          <w:kern w:val="2"/>
          <w:sz w:val="20"/>
        </w:rPr>
        <w:t xml:space="preserve"> of this book. </w:t>
      </w:r>
    </w:p>
    <w:p w14:paraId="3F5EB153" w14:textId="0CC9DB90" w:rsidR="00E8649D" w:rsidRPr="00DA5EB5" w:rsidRDefault="0061282C" w:rsidP="007C3517">
      <w:pPr>
        <w:rPr>
          <w:kern w:val="2"/>
          <w:sz w:val="20"/>
        </w:rPr>
      </w:pPr>
      <w:r w:rsidRPr="00DA5EB5">
        <w:rPr>
          <w:kern w:val="2"/>
          <w:sz w:val="20"/>
        </w:rPr>
        <w:t xml:space="preserve">The OECD Convention states that: </w:t>
      </w:r>
      <w:r w:rsidR="00FD6DAC" w:rsidRPr="00DA5EB5">
        <w:rPr>
          <w:kern w:val="2"/>
          <w:sz w:val="20"/>
        </w:rPr>
        <w:t>“</w:t>
      </w:r>
      <w:r w:rsidRPr="00DA5EB5">
        <w:rPr>
          <w:kern w:val="2"/>
          <w:sz w:val="20"/>
        </w:rPr>
        <w:t>When more than one Party has jurisdiction over an alleged offence described in this Convention, the parties involved shall, at the request of one of them, consult with a view to determining the most appropriate jurisdiction for prosecution.</w:t>
      </w:r>
      <w:r w:rsidR="00FD6DAC" w:rsidRPr="00DA5EB5">
        <w:rPr>
          <w:kern w:val="2"/>
          <w:sz w:val="20"/>
        </w:rPr>
        <w:t>”</w:t>
      </w:r>
      <w:r w:rsidRPr="00DA5EB5">
        <w:rPr>
          <w:rStyle w:val="FootnoteReference"/>
          <w:kern w:val="2"/>
          <w:sz w:val="18"/>
        </w:rPr>
        <w:footnoteReference w:id="66"/>
      </w:r>
      <w:r w:rsidRPr="00DA5EB5">
        <w:rPr>
          <w:kern w:val="2"/>
          <w:sz w:val="20"/>
        </w:rPr>
        <w:t xml:space="preserve"> However, Koehler notes this has not been followed, stating </w:t>
      </w:r>
      <w:r w:rsidR="00FD6DAC" w:rsidRPr="00DA5EB5">
        <w:rPr>
          <w:kern w:val="2"/>
          <w:sz w:val="20"/>
        </w:rPr>
        <w:t>“</w:t>
      </w:r>
      <w:r w:rsidRPr="00DA5EB5">
        <w:rPr>
          <w:kern w:val="2"/>
          <w:sz w:val="20"/>
        </w:rPr>
        <w:t>the reality is that countries often find themselves in competition with each other to bring enforcement actions based on the same core conduct and/or divide the enforcement proceedings.</w:t>
      </w:r>
      <w:r w:rsidR="00FD6DAC" w:rsidRPr="00DA5EB5">
        <w:rPr>
          <w:kern w:val="2"/>
          <w:sz w:val="20"/>
        </w:rPr>
        <w:t>”</w:t>
      </w:r>
      <w:r w:rsidRPr="00DA5EB5">
        <w:rPr>
          <w:rStyle w:val="FootnoteReference"/>
          <w:kern w:val="2"/>
          <w:sz w:val="18"/>
        </w:rPr>
        <w:footnoteReference w:id="67"/>
      </w:r>
    </w:p>
    <w:p w14:paraId="6BCD332F" w14:textId="2BFB3062" w:rsidR="00E534EE" w:rsidRPr="00DA5EB5" w:rsidRDefault="0061282C" w:rsidP="00661F9C">
      <w:pPr>
        <w:pStyle w:val="Heading1"/>
        <w:rPr>
          <w:sz w:val="28"/>
          <w:lang w:val="en" w:eastAsia="en-CA"/>
        </w:rPr>
      </w:pPr>
      <w:bookmarkStart w:id="31" w:name="_Toc500340146"/>
      <w:bookmarkStart w:id="32" w:name="_Toc500340393"/>
      <w:bookmarkStart w:id="33" w:name="_Toc500340427"/>
      <w:r w:rsidRPr="00DA5EB5">
        <w:rPr>
          <w:sz w:val="28"/>
          <w:lang w:val="en" w:eastAsia="en-CA"/>
        </w:rPr>
        <w:t>UK Sentencing Law</w:t>
      </w:r>
      <w:bookmarkEnd w:id="31"/>
      <w:bookmarkEnd w:id="32"/>
      <w:bookmarkEnd w:id="33"/>
    </w:p>
    <w:p w14:paraId="0C84A83C" w14:textId="2F1F73DD" w:rsidR="00E534EE" w:rsidRPr="00DA5EB5" w:rsidRDefault="0061282C" w:rsidP="007C3517">
      <w:pPr>
        <w:pStyle w:val="Heading2"/>
        <w:rPr>
          <w:rFonts w:eastAsia="Times New Roman"/>
          <w:color w:val="000000"/>
          <w:kern w:val="2"/>
          <w:sz w:val="24"/>
          <w:lang w:val="en" w:eastAsia="en-CA"/>
        </w:rPr>
      </w:pPr>
      <w:r w:rsidRPr="00DA5EB5">
        <w:rPr>
          <w:kern w:val="2"/>
          <w:sz w:val="24"/>
          <w:lang w:val="en" w:eastAsia="en-CA"/>
        </w:rPr>
        <w:t>General Principles of Sentencing</w:t>
      </w:r>
    </w:p>
    <w:p w14:paraId="4B3B6288" w14:textId="10309E4F" w:rsidR="0061282C" w:rsidRPr="00DA5EB5" w:rsidRDefault="0061282C" w:rsidP="007C3517">
      <w:pPr>
        <w:rPr>
          <w:kern w:val="2"/>
          <w:sz w:val="20"/>
          <w:lang w:val="en" w:eastAsia="en-CA"/>
        </w:rPr>
      </w:pPr>
      <w:r w:rsidRPr="00DA5EB5">
        <w:rPr>
          <w:kern w:val="2"/>
          <w:sz w:val="20"/>
          <w:lang w:val="en" w:eastAsia="en-CA"/>
        </w:rPr>
        <w:t xml:space="preserve">The principles of sentencing under UK law are set out in </w:t>
      </w:r>
      <w:r w:rsidR="00245D32" w:rsidRPr="00DA5EB5">
        <w:rPr>
          <w:kern w:val="2"/>
          <w:sz w:val="20"/>
          <w:lang w:val="en" w:eastAsia="en-CA"/>
        </w:rPr>
        <w:t>P</w:t>
      </w:r>
      <w:r w:rsidRPr="00DA5EB5">
        <w:rPr>
          <w:kern w:val="2"/>
          <w:sz w:val="20"/>
          <w:lang w:val="en" w:eastAsia="en-CA"/>
        </w:rPr>
        <w:t xml:space="preserve">art 12 of the </w:t>
      </w:r>
      <w:r w:rsidRPr="00DA5EB5">
        <w:rPr>
          <w:i/>
          <w:kern w:val="2"/>
          <w:sz w:val="20"/>
          <w:lang w:val="en" w:eastAsia="en-CA"/>
        </w:rPr>
        <w:t>Criminal Justice Act 2003.</w:t>
      </w:r>
      <w:r w:rsidRPr="00DA5EB5">
        <w:rPr>
          <w:rStyle w:val="FootnoteReference"/>
          <w:rFonts w:eastAsia="Times New Roman"/>
          <w:color w:val="000000"/>
          <w:kern w:val="2"/>
          <w:lang w:val="en" w:eastAsia="en-CA"/>
        </w:rPr>
        <w:footnoteReference w:id="68"/>
      </w:r>
      <w:r w:rsidR="00E87776" w:rsidRPr="00DA5EB5">
        <w:rPr>
          <w:kern w:val="2"/>
          <w:sz w:val="20"/>
          <w:lang w:val="en" w:eastAsia="en-CA"/>
        </w:rPr>
        <w:t xml:space="preserve"> </w:t>
      </w:r>
      <w:r w:rsidRPr="00DA5EB5">
        <w:rPr>
          <w:kern w:val="2"/>
          <w:sz w:val="20"/>
          <w:lang w:val="en" w:eastAsia="en-CA"/>
        </w:rPr>
        <w:t>Section 142(1) lists the five common purposes of sentencing, namely punishment, deterrence, rehabilitation, protection of the public and reparation. Section 143 provides that in</w:t>
      </w:r>
      <w:r w:rsidRPr="00DA5EB5">
        <w:rPr>
          <w:kern w:val="2"/>
          <w:lang w:val="en" w:eastAsia="en-CA"/>
        </w:rPr>
        <w:t xml:space="preserve"> </w:t>
      </w:r>
      <w:r w:rsidRPr="00DA5EB5">
        <w:rPr>
          <w:kern w:val="2"/>
          <w:sz w:val="20"/>
          <w:lang w:val="en" w:eastAsia="en-CA"/>
        </w:rPr>
        <w:t>determining an</w:t>
      </w:r>
      <w:r w:rsidRPr="00DA5EB5">
        <w:rPr>
          <w:kern w:val="2"/>
          <w:lang w:val="en" w:eastAsia="en-CA"/>
        </w:rPr>
        <w:t xml:space="preserve"> </w:t>
      </w:r>
      <w:r w:rsidRPr="00DA5EB5">
        <w:rPr>
          <w:kern w:val="2"/>
          <w:sz w:val="20"/>
          <w:lang w:val="en" w:eastAsia="en-CA"/>
        </w:rPr>
        <w:t>offence’s seriousness, the court must consider both the offender’s culpability and the harm or risk of harm. In regard to the imposition of fines, section 164 states that before deciding on the amount of a fine, the court must inquire into the financial circumstances of the offender and impose a fine that reflects the seriousness of the offence and takes into account other circumstances of the case.</w:t>
      </w:r>
    </w:p>
    <w:p w14:paraId="57BC5782" w14:textId="3F305481" w:rsidR="008B4EB6" w:rsidRPr="00DA5EB5" w:rsidRDefault="008B4EB6" w:rsidP="007C3517">
      <w:pPr>
        <w:rPr>
          <w:color w:val="000000" w:themeColor="text1"/>
          <w:kern w:val="2"/>
          <w:sz w:val="20"/>
          <w:lang w:val="en" w:eastAsia="en-CA"/>
        </w:rPr>
      </w:pPr>
      <w:r w:rsidRPr="00DA5EB5">
        <w:rPr>
          <w:color w:val="000000" w:themeColor="text1"/>
          <w:kern w:val="2"/>
          <w:sz w:val="20"/>
        </w:rPr>
        <w:t>The sentencing structure for corruption</w:t>
      </w:r>
      <w:r w:rsidR="00245D32" w:rsidRPr="00DA5EB5">
        <w:rPr>
          <w:color w:val="000000" w:themeColor="text1"/>
          <w:kern w:val="2"/>
          <w:sz w:val="20"/>
        </w:rPr>
        <w:t>-</w:t>
      </w:r>
      <w:r w:rsidRPr="00DA5EB5">
        <w:rPr>
          <w:color w:val="000000" w:themeColor="text1"/>
          <w:kern w:val="2"/>
          <w:sz w:val="20"/>
        </w:rPr>
        <w:t>related offences has been modified significantly in recent years.</w:t>
      </w:r>
      <w:r w:rsidR="00E87776" w:rsidRPr="00DA5EB5">
        <w:rPr>
          <w:color w:val="000000" w:themeColor="text1"/>
          <w:kern w:val="2"/>
          <w:sz w:val="20"/>
        </w:rPr>
        <w:t xml:space="preserve"> </w:t>
      </w:r>
      <w:r w:rsidRPr="00DA5EB5">
        <w:rPr>
          <w:color w:val="000000" w:themeColor="text1"/>
          <w:kern w:val="2"/>
          <w:sz w:val="20"/>
        </w:rPr>
        <w:t xml:space="preserve">The </w:t>
      </w:r>
      <w:r w:rsidRPr="00DA5EB5">
        <w:rPr>
          <w:i/>
          <w:color w:val="000000" w:themeColor="text1"/>
          <w:kern w:val="2"/>
          <w:sz w:val="20"/>
        </w:rPr>
        <w:t xml:space="preserve">Bribery Act 2010 </w:t>
      </w:r>
      <w:r w:rsidRPr="00DA5EB5">
        <w:rPr>
          <w:color w:val="000000" w:themeColor="text1"/>
          <w:kern w:val="2"/>
          <w:sz w:val="20"/>
        </w:rPr>
        <w:t>introduced new penalties for corruption</w:t>
      </w:r>
      <w:r w:rsidR="00245D32" w:rsidRPr="00DA5EB5">
        <w:rPr>
          <w:color w:val="000000" w:themeColor="text1"/>
          <w:kern w:val="2"/>
          <w:sz w:val="20"/>
        </w:rPr>
        <w:t>-</w:t>
      </w:r>
      <w:r w:rsidRPr="00DA5EB5">
        <w:rPr>
          <w:color w:val="000000" w:themeColor="text1"/>
          <w:kern w:val="2"/>
          <w:sz w:val="20"/>
        </w:rPr>
        <w:t>related offences. As th</w:t>
      </w:r>
      <w:r w:rsidR="00245D32" w:rsidRPr="00DA5EB5">
        <w:rPr>
          <w:color w:val="000000" w:themeColor="text1"/>
          <w:kern w:val="2"/>
          <w:sz w:val="20"/>
        </w:rPr>
        <w:t>e</w:t>
      </w:r>
      <w:r w:rsidRPr="00DA5EB5">
        <w:rPr>
          <w:color w:val="000000" w:themeColor="text1"/>
          <w:kern w:val="2"/>
          <w:sz w:val="20"/>
        </w:rPr>
        <w:t xml:space="preserve"> </w:t>
      </w:r>
      <w:r w:rsidR="00245D32" w:rsidRPr="00DA5EB5">
        <w:rPr>
          <w:i/>
          <w:color w:val="000000" w:themeColor="text1"/>
          <w:kern w:val="2"/>
          <w:sz w:val="20"/>
        </w:rPr>
        <w:t xml:space="preserve">Bribery </w:t>
      </w:r>
      <w:r w:rsidRPr="00DA5EB5">
        <w:rPr>
          <w:i/>
          <w:color w:val="000000" w:themeColor="text1"/>
          <w:kern w:val="2"/>
          <w:sz w:val="20"/>
        </w:rPr>
        <w:t xml:space="preserve">Act </w:t>
      </w:r>
      <w:r w:rsidRPr="00DA5EB5">
        <w:rPr>
          <w:color w:val="000000" w:themeColor="text1"/>
          <w:kern w:val="2"/>
          <w:sz w:val="20"/>
        </w:rPr>
        <w:t xml:space="preserve">is not applied retrospectively, there are still numerous cases before the courts </w:t>
      </w:r>
      <w:r w:rsidR="00245D32" w:rsidRPr="00DA5EB5">
        <w:rPr>
          <w:color w:val="000000" w:themeColor="text1"/>
          <w:kern w:val="2"/>
          <w:sz w:val="20"/>
        </w:rPr>
        <w:t>that</w:t>
      </w:r>
      <w:r w:rsidRPr="00DA5EB5">
        <w:rPr>
          <w:color w:val="000000" w:themeColor="text1"/>
          <w:kern w:val="2"/>
          <w:sz w:val="20"/>
        </w:rPr>
        <w:t xml:space="preserve"> fall under a previous statute.</w:t>
      </w:r>
      <w:r w:rsidR="00E87776" w:rsidRPr="00DA5EB5">
        <w:rPr>
          <w:color w:val="000000" w:themeColor="text1"/>
          <w:kern w:val="2"/>
          <w:sz w:val="20"/>
        </w:rPr>
        <w:t xml:space="preserve"> </w:t>
      </w:r>
      <w:r w:rsidRPr="00DA5EB5">
        <w:rPr>
          <w:color w:val="000000" w:themeColor="text1"/>
          <w:kern w:val="2"/>
          <w:sz w:val="20"/>
        </w:rPr>
        <w:t>The UK</w:t>
      </w:r>
      <w:r w:rsidR="008E65A4" w:rsidRPr="00DA5EB5">
        <w:rPr>
          <w:color w:val="000000" w:themeColor="text1"/>
          <w:kern w:val="2"/>
          <w:sz w:val="20"/>
        </w:rPr>
        <w:t xml:space="preserve"> Sentencing Council</w:t>
      </w:r>
      <w:r w:rsidRPr="00DA5EB5">
        <w:rPr>
          <w:color w:val="000000" w:themeColor="text1"/>
          <w:kern w:val="2"/>
          <w:sz w:val="20"/>
        </w:rPr>
        <w:t xml:space="preserve"> also introduced sentencing guidelines for corruption</w:t>
      </w:r>
      <w:r w:rsidR="00245D32" w:rsidRPr="00DA5EB5">
        <w:rPr>
          <w:color w:val="000000" w:themeColor="text1"/>
          <w:kern w:val="2"/>
          <w:sz w:val="20"/>
        </w:rPr>
        <w:t>-</w:t>
      </w:r>
      <w:r w:rsidRPr="00DA5EB5">
        <w:rPr>
          <w:color w:val="000000" w:themeColor="text1"/>
          <w:kern w:val="2"/>
          <w:sz w:val="20"/>
        </w:rPr>
        <w:t>related offences.</w:t>
      </w:r>
      <w:r w:rsidR="008E65A4" w:rsidRPr="00DA5EB5">
        <w:rPr>
          <w:rStyle w:val="FootnoteReference"/>
          <w:color w:val="000000" w:themeColor="text1"/>
          <w:kern w:val="2"/>
          <w:sz w:val="18"/>
        </w:rPr>
        <w:footnoteReference w:id="69"/>
      </w:r>
      <w:r w:rsidR="00E87776" w:rsidRPr="00DA5EB5">
        <w:rPr>
          <w:color w:val="000000" w:themeColor="text1"/>
          <w:kern w:val="2"/>
          <w:sz w:val="20"/>
        </w:rPr>
        <w:t xml:space="preserve"> </w:t>
      </w:r>
      <w:r w:rsidRPr="00DA5EB5">
        <w:rPr>
          <w:color w:val="000000" w:themeColor="text1"/>
          <w:kern w:val="2"/>
          <w:sz w:val="20"/>
        </w:rPr>
        <w:t xml:space="preserve">These </w:t>
      </w:r>
      <w:r w:rsidR="008E65A4" w:rsidRPr="00DA5EB5">
        <w:rPr>
          <w:color w:val="000000" w:themeColor="text1"/>
          <w:kern w:val="2"/>
          <w:sz w:val="20"/>
        </w:rPr>
        <w:t>g</w:t>
      </w:r>
      <w:r w:rsidRPr="00DA5EB5">
        <w:rPr>
          <w:color w:val="000000" w:themeColor="text1"/>
          <w:kern w:val="2"/>
          <w:sz w:val="20"/>
        </w:rPr>
        <w:t xml:space="preserve">uidelines are applicable to sentences imposed on or after October 1, 2014, regardless of when the offences occurred. The UK also introduced </w:t>
      </w:r>
      <w:r w:rsidR="008E65A4" w:rsidRPr="00DA5EB5">
        <w:rPr>
          <w:color w:val="000000" w:themeColor="text1"/>
          <w:kern w:val="2"/>
          <w:sz w:val="20"/>
        </w:rPr>
        <w:t>d</w:t>
      </w:r>
      <w:r w:rsidRPr="00DA5EB5">
        <w:rPr>
          <w:color w:val="000000" w:themeColor="text1"/>
          <w:kern w:val="2"/>
          <w:sz w:val="20"/>
        </w:rPr>
        <w:t xml:space="preserve">eferred </w:t>
      </w:r>
      <w:r w:rsidR="008E65A4" w:rsidRPr="00DA5EB5">
        <w:rPr>
          <w:color w:val="000000" w:themeColor="text1"/>
          <w:kern w:val="2"/>
          <w:sz w:val="20"/>
        </w:rPr>
        <w:t>p</w:t>
      </w:r>
      <w:r w:rsidRPr="00DA5EB5">
        <w:rPr>
          <w:color w:val="000000" w:themeColor="text1"/>
          <w:kern w:val="2"/>
          <w:sz w:val="20"/>
        </w:rPr>
        <w:t xml:space="preserve">rosecution </w:t>
      </w:r>
      <w:r w:rsidR="008E65A4" w:rsidRPr="00DA5EB5">
        <w:rPr>
          <w:color w:val="000000" w:themeColor="text1"/>
          <w:kern w:val="2"/>
          <w:sz w:val="20"/>
        </w:rPr>
        <w:t>a</w:t>
      </w:r>
      <w:r w:rsidRPr="00DA5EB5">
        <w:rPr>
          <w:color w:val="000000" w:themeColor="text1"/>
          <w:kern w:val="2"/>
          <w:sz w:val="20"/>
        </w:rPr>
        <w:t>greements (DPAs) as an</w:t>
      </w:r>
      <w:r w:rsidR="003B3E95" w:rsidRPr="00DA5EB5">
        <w:rPr>
          <w:color w:val="000000" w:themeColor="text1"/>
          <w:kern w:val="2"/>
          <w:sz w:val="20"/>
        </w:rPr>
        <w:t xml:space="preserve"> alternative disposition in corruption cases.</w:t>
      </w:r>
    </w:p>
    <w:p w14:paraId="31D5447C" w14:textId="52160155" w:rsidR="00D41D60" w:rsidRPr="00DA5EB5" w:rsidRDefault="00D41D60" w:rsidP="007C3517">
      <w:pPr>
        <w:pStyle w:val="Heading2"/>
        <w:rPr>
          <w:rFonts w:eastAsia="Times New Roman"/>
          <w:kern w:val="2"/>
          <w:sz w:val="24"/>
          <w:lang w:val="en" w:eastAsia="en-CA"/>
        </w:rPr>
      </w:pPr>
      <w:r w:rsidRPr="00DA5EB5">
        <w:rPr>
          <w:kern w:val="2"/>
          <w:sz w:val="24"/>
          <w:lang w:val="en" w:eastAsia="en-CA"/>
        </w:rPr>
        <w:t xml:space="preserve">Sentencing Cases before the </w:t>
      </w:r>
      <w:r w:rsidR="007117A3" w:rsidRPr="00DA5EB5">
        <w:rPr>
          <w:i/>
          <w:kern w:val="2"/>
          <w:sz w:val="24"/>
          <w:lang w:val="en" w:eastAsia="en-CA"/>
        </w:rPr>
        <w:t>Bribery Act</w:t>
      </w:r>
      <w:r w:rsidR="007117A3" w:rsidRPr="00DA5EB5">
        <w:rPr>
          <w:kern w:val="2"/>
          <w:sz w:val="24"/>
          <w:lang w:val="en" w:eastAsia="en-CA"/>
        </w:rPr>
        <w:t xml:space="preserve"> </w:t>
      </w:r>
      <w:r w:rsidR="007117A3" w:rsidRPr="00DA5EB5">
        <w:rPr>
          <w:i/>
          <w:kern w:val="2"/>
          <w:sz w:val="24"/>
          <w:lang w:val="en" w:eastAsia="en-CA"/>
        </w:rPr>
        <w:t>2010</w:t>
      </w:r>
      <w:r w:rsidR="00E534EE" w:rsidRPr="00DA5EB5">
        <w:rPr>
          <w:kern w:val="2"/>
          <w:sz w:val="24"/>
          <w:lang w:val="en" w:eastAsia="en-CA"/>
        </w:rPr>
        <w:t xml:space="preserve"> </w:t>
      </w:r>
    </w:p>
    <w:p w14:paraId="52C0DFBB" w14:textId="272BDCB5" w:rsidR="00D41D60" w:rsidRPr="00DA5EB5" w:rsidRDefault="00D41D60" w:rsidP="006F19C0">
      <w:pPr>
        <w:keepNext/>
        <w:rPr>
          <w:kern w:val="2"/>
          <w:sz w:val="20"/>
        </w:rPr>
      </w:pPr>
      <w:r w:rsidRPr="00DA5EB5">
        <w:rPr>
          <w:kern w:val="2"/>
          <w:sz w:val="20"/>
        </w:rPr>
        <w:t>Nicholls et al</w:t>
      </w:r>
      <w:r w:rsidRPr="00DA5EB5">
        <w:rPr>
          <w:i/>
          <w:kern w:val="2"/>
          <w:sz w:val="20"/>
        </w:rPr>
        <w:t>.</w:t>
      </w:r>
      <w:r w:rsidRPr="00DA5EB5">
        <w:rPr>
          <w:kern w:val="2"/>
          <w:sz w:val="20"/>
        </w:rPr>
        <w:t xml:space="preserve"> described the sentences imposed in a number of corruption cases before the enactment of the </w:t>
      </w:r>
      <w:r w:rsidRPr="00DA5EB5">
        <w:rPr>
          <w:i/>
          <w:kern w:val="2"/>
          <w:sz w:val="20"/>
        </w:rPr>
        <w:t>Bribery Act 2010</w:t>
      </w:r>
      <w:r w:rsidRPr="00DA5EB5">
        <w:rPr>
          <w:kern w:val="2"/>
          <w:sz w:val="20"/>
        </w:rPr>
        <w:t>.</w:t>
      </w:r>
      <w:r w:rsidR="00790B90" w:rsidRPr="00DA5EB5">
        <w:rPr>
          <w:rStyle w:val="FootnoteReference"/>
          <w:color w:val="000000" w:themeColor="text1"/>
          <w:kern w:val="2"/>
          <w:szCs w:val="21"/>
        </w:rPr>
        <w:footnoteReference w:id="70"/>
      </w:r>
      <w:r w:rsidRPr="00DA5EB5">
        <w:rPr>
          <w:kern w:val="2"/>
          <w:sz w:val="20"/>
        </w:rPr>
        <w:t xml:space="preserve"> First</w:t>
      </w:r>
      <w:r w:rsidR="00031E18" w:rsidRPr="00DA5EB5">
        <w:rPr>
          <w:kern w:val="2"/>
          <w:sz w:val="20"/>
        </w:rPr>
        <w:t>,</w:t>
      </w:r>
      <w:r w:rsidRPr="00DA5EB5">
        <w:rPr>
          <w:kern w:val="2"/>
          <w:sz w:val="20"/>
        </w:rPr>
        <w:t xml:space="preserve"> they summarize the sentences imposed on officials such as police, prison and immigration officers as follows:</w:t>
      </w:r>
    </w:p>
    <w:p w14:paraId="48C25C84" w14:textId="089EDED0" w:rsidR="00D41D60" w:rsidRPr="00DA5EB5" w:rsidRDefault="00D41D60" w:rsidP="007C3517">
      <w:pPr>
        <w:pStyle w:val="BlockQuote"/>
        <w:rPr>
          <w:kern w:val="2"/>
          <w:sz w:val="20"/>
        </w:rPr>
      </w:pPr>
      <w:r w:rsidRPr="00DA5EB5">
        <w:rPr>
          <w:kern w:val="2"/>
          <w:sz w:val="20"/>
        </w:rPr>
        <w:t xml:space="preserve">Seeking guidance on sentencing in corruption cases is difficult as the sentences have been quite varied, as illustrated by those involving police, prison, and immigration officers. In </w:t>
      </w:r>
      <w:r w:rsidRPr="00DA5EB5">
        <w:rPr>
          <w:i/>
          <w:kern w:val="2"/>
          <w:sz w:val="20"/>
        </w:rPr>
        <w:t>R v Donald</w:t>
      </w:r>
      <w:r w:rsidRPr="00DA5EB5">
        <w:rPr>
          <w:kern w:val="2"/>
          <w:sz w:val="20"/>
        </w:rPr>
        <w:t xml:space="preserve"> a total sentence of eleven years (the court having imposed consecutive sentences) was upheld in the case of a detective constable who pleaded guilty late to four counts of corruption under the 1906 Act for agreeing to accept £50,000 (he only received £18,000) from a defendant for disclosing confidential information and destroying surveillance logs. In </w:t>
      </w:r>
      <w:r w:rsidRPr="00DA5EB5">
        <w:rPr>
          <w:i/>
          <w:kern w:val="2"/>
          <w:sz w:val="20"/>
        </w:rPr>
        <w:t>R v</w:t>
      </w:r>
      <w:r w:rsidRPr="00DA5EB5">
        <w:rPr>
          <w:kern w:val="2"/>
          <w:sz w:val="20"/>
        </w:rPr>
        <w:t xml:space="preserve"> </w:t>
      </w:r>
      <w:r w:rsidRPr="00DA5EB5">
        <w:rPr>
          <w:i/>
          <w:kern w:val="2"/>
          <w:sz w:val="20"/>
        </w:rPr>
        <w:t>McGovern</w:t>
      </w:r>
      <w:r w:rsidRPr="00DA5EB5">
        <w:rPr>
          <w:kern w:val="2"/>
          <w:sz w:val="20"/>
        </w:rPr>
        <w:t xml:space="preserve"> a defendant charged with burglary who offered a £200 bribe to a police officer had his sentence reduced by the Court of Appeal to nine months. In </w:t>
      </w:r>
      <w:r w:rsidRPr="00DA5EB5">
        <w:rPr>
          <w:i/>
          <w:kern w:val="2"/>
          <w:sz w:val="20"/>
        </w:rPr>
        <w:t xml:space="preserve">R v </w:t>
      </w:r>
      <w:proofErr w:type="spellStart"/>
      <w:r w:rsidRPr="00DA5EB5">
        <w:rPr>
          <w:i/>
          <w:kern w:val="2"/>
          <w:sz w:val="20"/>
        </w:rPr>
        <w:t>Oxdemir</w:t>
      </w:r>
      <w:proofErr w:type="spellEnd"/>
      <w:r w:rsidRPr="00DA5EB5">
        <w:rPr>
          <w:kern w:val="2"/>
          <w:sz w:val="20"/>
        </w:rPr>
        <w:t xml:space="preserve"> an offender who offered a free meal or £50 to a police officer for not reporting a driving offence had his sentence reduced to three months’ imprisonment. In </w:t>
      </w:r>
      <w:r w:rsidRPr="00DA5EB5">
        <w:rPr>
          <w:i/>
          <w:kern w:val="2"/>
          <w:sz w:val="20"/>
        </w:rPr>
        <w:t>R v Garner</w:t>
      </w:r>
      <w:r w:rsidRPr="00DA5EB5">
        <w:rPr>
          <w:kern w:val="2"/>
          <w:sz w:val="20"/>
        </w:rPr>
        <w:t xml:space="preserve"> the Court of Appeal upheld sentences of eighteen months and twelve months respectively imposed on prison officers who pleaded guilty to providing luxury items to a prisoner. A sentence of two years’ imprisonment was imposed in a similar case. In </w:t>
      </w:r>
      <w:r w:rsidRPr="00DA5EB5">
        <w:rPr>
          <w:i/>
          <w:kern w:val="2"/>
          <w:sz w:val="20"/>
        </w:rPr>
        <w:t>R v Patel</w:t>
      </w:r>
      <w:r w:rsidRPr="00DA5EB5">
        <w:rPr>
          <w:kern w:val="2"/>
          <w:sz w:val="20"/>
        </w:rPr>
        <w:t xml:space="preserve"> an immigration administrator was sentenced to two years’ imprisonment for accepting a £500 bribe to stamp a passport granting leave to remain, and ordered to forfeit the bribe. In </w:t>
      </w:r>
      <w:r w:rsidRPr="00DA5EB5">
        <w:rPr>
          <w:i/>
          <w:kern w:val="2"/>
          <w:sz w:val="20"/>
        </w:rPr>
        <w:t>Attorney General’s Reference (No 1 of 2007)</w:t>
      </w:r>
      <w:r w:rsidRPr="00DA5EB5">
        <w:rPr>
          <w:kern w:val="2"/>
          <w:sz w:val="20"/>
        </w:rPr>
        <w:t xml:space="preserve"> the defendant, a serving police officer, pleaded guilty to misfeasance in a public office after he befriended a known criminal and despite warnings from his superiors continued to associate with him and to pass on sensitive information about two individuals whom the criminal wanted to speak with over a drugs and assault matter. A sentence of eighteen months’ custody was initially imposed but was reduced to nine months suspended for two years plus community service due to time served on remand, service of unpaid work, and other factors. [Footnotes omitted.]</w:t>
      </w:r>
    </w:p>
    <w:p w14:paraId="10D971C4" w14:textId="7CA43FAC" w:rsidR="00D41D60" w:rsidRPr="00DA5EB5" w:rsidRDefault="00D41D60" w:rsidP="00743153">
      <w:pPr>
        <w:rPr>
          <w:color w:val="000000" w:themeColor="text1"/>
          <w:kern w:val="2"/>
          <w:sz w:val="20"/>
        </w:rPr>
      </w:pPr>
      <w:r w:rsidRPr="00DA5EB5">
        <w:rPr>
          <w:color w:val="000000" w:themeColor="text1"/>
          <w:kern w:val="2"/>
          <w:sz w:val="20"/>
        </w:rPr>
        <w:t>Second, Nicholls et al</w:t>
      </w:r>
      <w:r w:rsidRPr="00DA5EB5">
        <w:rPr>
          <w:i/>
          <w:color w:val="000000" w:themeColor="text1"/>
          <w:kern w:val="2"/>
          <w:sz w:val="20"/>
        </w:rPr>
        <w:t>.</w:t>
      </w:r>
      <w:r w:rsidRPr="00DA5EB5">
        <w:rPr>
          <w:color w:val="000000" w:themeColor="text1"/>
          <w:kern w:val="2"/>
          <w:sz w:val="20"/>
        </w:rPr>
        <w:t xml:space="preserve"> describe a number of sentences imposed in regard to corruption involving public procurement:</w:t>
      </w:r>
      <w:r w:rsidR="00790B90" w:rsidRPr="00DA5EB5">
        <w:rPr>
          <w:rStyle w:val="FootnoteReference"/>
          <w:color w:val="000000" w:themeColor="text1"/>
          <w:kern w:val="2"/>
          <w:szCs w:val="21"/>
        </w:rPr>
        <w:footnoteReference w:id="71"/>
      </w:r>
    </w:p>
    <w:p w14:paraId="2DF41978" w14:textId="0608312F" w:rsidR="00D41D60" w:rsidRPr="00DA5EB5" w:rsidRDefault="00D41D60" w:rsidP="007C3517">
      <w:pPr>
        <w:pStyle w:val="BlockQuote"/>
        <w:rPr>
          <w:kern w:val="2"/>
          <w:sz w:val="20"/>
        </w:rPr>
      </w:pPr>
      <w:r w:rsidRPr="00DA5EB5">
        <w:rPr>
          <w:kern w:val="2"/>
          <w:sz w:val="20"/>
        </w:rPr>
        <w:t xml:space="preserve">A similar variation exists in public procurement cases. In 1974, when the maximum sentence for an offence under the 1889 and 1906 Acts was two years, the architect, John Poulson, was sentenced to a total of seven years’ imprisonment for paying bribes to members of Parliament, police officers, and health authorities to obtain building contracts. T Dan Smith, the Labour leader of Newcastle-upon-Tyne, was sentenced to a total of six years’ imprisonment and William </w:t>
      </w:r>
      <w:proofErr w:type="spellStart"/>
      <w:r w:rsidRPr="00DA5EB5">
        <w:rPr>
          <w:kern w:val="2"/>
          <w:sz w:val="20"/>
        </w:rPr>
        <w:t>Pottinger</w:t>
      </w:r>
      <w:proofErr w:type="spellEnd"/>
      <w:r w:rsidRPr="00DA5EB5">
        <w:rPr>
          <w:kern w:val="2"/>
          <w:sz w:val="20"/>
        </w:rPr>
        <w:t xml:space="preserve">, a senior civil servant in the Scottish Office was sentenced to a total of five years’ imprisonment. In </w:t>
      </w:r>
      <w:proofErr w:type="spellStart"/>
      <w:r w:rsidRPr="00DA5EB5">
        <w:rPr>
          <w:i/>
          <w:kern w:val="2"/>
          <w:sz w:val="20"/>
        </w:rPr>
        <w:t>Foxley</w:t>
      </w:r>
      <w:proofErr w:type="spellEnd"/>
      <w:r w:rsidRPr="00DA5EB5">
        <w:rPr>
          <w:kern w:val="2"/>
          <w:sz w:val="20"/>
        </w:rPr>
        <w:t xml:space="preserve"> a 71-year-old Ministry of Defence employee, convicted of four counts of corruption under the 1906 Act, was sentenced to four years’ imprisonment for receiving over £2 million in the placing of defence contracts. A confiscation order was made for £1,503.901.08. In </w:t>
      </w:r>
      <w:proofErr w:type="spellStart"/>
      <w:r w:rsidRPr="00DA5EB5">
        <w:rPr>
          <w:i/>
          <w:kern w:val="2"/>
          <w:sz w:val="20"/>
        </w:rPr>
        <w:t>Dearnley</w:t>
      </w:r>
      <w:proofErr w:type="spellEnd"/>
      <w:r w:rsidRPr="00DA5EB5">
        <w:rPr>
          <w:i/>
          <w:kern w:val="2"/>
          <w:sz w:val="20"/>
        </w:rPr>
        <w:t xml:space="preserve"> and Threapleton</w:t>
      </w:r>
      <w:r w:rsidRPr="00DA5EB5">
        <w:rPr>
          <w:kern w:val="2"/>
          <w:sz w:val="20"/>
        </w:rPr>
        <w:t xml:space="preserve"> a council employee and supplier of security services who was convicted of misrepresenting a loan to pay off a personal debt, had his sentence reduced to twelve months’ imprisonment because of strong mitigation. In </w:t>
      </w:r>
      <w:r w:rsidRPr="00DA5EB5">
        <w:rPr>
          <w:i/>
          <w:kern w:val="2"/>
          <w:sz w:val="20"/>
        </w:rPr>
        <w:t xml:space="preserve">R v </w:t>
      </w:r>
      <w:proofErr w:type="spellStart"/>
      <w:r w:rsidRPr="00DA5EB5">
        <w:rPr>
          <w:i/>
          <w:kern w:val="2"/>
          <w:sz w:val="20"/>
        </w:rPr>
        <w:t>Allday</w:t>
      </w:r>
      <w:proofErr w:type="spellEnd"/>
      <w:r w:rsidRPr="00DA5EB5">
        <w:rPr>
          <w:kern w:val="2"/>
          <w:sz w:val="20"/>
        </w:rPr>
        <w:t>, a case under the 1889 Act, council employees accepted bribes from waste contractors to tip waste. They were sentenced to eight and six months’ imprisonment each and the contractors were sentenced to three months each. [Footnotes omitted]</w:t>
      </w:r>
    </w:p>
    <w:p w14:paraId="6CFD5660" w14:textId="2F2858EB" w:rsidR="00E534EE" w:rsidRPr="00DA5EB5" w:rsidRDefault="0061282C" w:rsidP="007C3517">
      <w:pPr>
        <w:pStyle w:val="Heading2"/>
        <w:rPr>
          <w:rFonts w:eastAsia="Times New Roman"/>
          <w:kern w:val="2"/>
          <w:sz w:val="24"/>
          <w:lang w:val="en" w:eastAsia="en-CA"/>
        </w:rPr>
      </w:pPr>
      <w:r w:rsidRPr="00DA5EB5">
        <w:rPr>
          <w:kern w:val="2"/>
          <w:sz w:val="24"/>
          <w:lang w:val="en" w:eastAsia="en-CA"/>
        </w:rPr>
        <w:t xml:space="preserve">Sentences under the </w:t>
      </w:r>
      <w:r w:rsidRPr="00DA5EB5">
        <w:rPr>
          <w:i/>
          <w:kern w:val="2"/>
          <w:sz w:val="24"/>
          <w:lang w:val="en" w:eastAsia="en-CA"/>
        </w:rPr>
        <w:t>Bribery Act 2010</w:t>
      </w:r>
      <w:r w:rsidR="007117A3" w:rsidRPr="00DA5EB5">
        <w:rPr>
          <w:i/>
          <w:kern w:val="2"/>
          <w:sz w:val="24"/>
          <w:lang w:val="en" w:eastAsia="en-CA"/>
        </w:rPr>
        <w:t xml:space="preserve"> </w:t>
      </w:r>
      <w:r w:rsidR="007117A3" w:rsidRPr="00DA5EB5">
        <w:rPr>
          <w:kern w:val="2"/>
          <w:sz w:val="24"/>
          <w:lang w:val="en" w:eastAsia="en-CA"/>
        </w:rPr>
        <w:t>(Pre-Guidelines)</w:t>
      </w:r>
    </w:p>
    <w:p w14:paraId="34F6E6B7" w14:textId="79E7268C" w:rsidR="0061282C" w:rsidRPr="00DA5EB5" w:rsidRDefault="0061282C" w:rsidP="007C3517">
      <w:pPr>
        <w:rPr>
          <w:rFonts w:eastAsia="Times New Roman"/>
          <w:color w:val="000000"/>
          <w:kern w:val="2"/>
          <w:szCs w:val="23"/>
          <w:lang w:val="en" w:eastAsia="en-CA"/>
        </w:rPr>
      </w:pPr>
      <w:r w:rsidRPr="00DA5EB5">
        <w:rPr>
          <w:kern w:val="2"/>
          <w:sz w:val="20"/>
          <w:lang w:val="en" w:eastAsia="en-CA"/>
        </w:rPr>
        <w:t xml:space="preserve">The </w:t>
      </w:r>
      <w:r w:rsidRPr="00DA5EB5">
        <w:rPr>
          <w:i/>
          <w:kern w:val="2"/>
          <w:sz w:val="20"/>
          <w:lang w:val="en" w:eastAsia="en-CA"/>
        </w:rPr>
        <w:t>Bribery Act 2010</w:t>
      </w:r>
      <w:r w:rsidRPr="00DA5EB5">
        <w:rPr>
          <w:kern w:val="2"/>
          <w:sz w:val="20"/>
          <w:lang w:val="en" w:eastAsia="en-CA"/>
        </w:rPr>
        <w:t xml:space="preserve"> came into force on July 1, 2011. The Act sets out</w:t>
      </w:r>
      <w:r w:rsidR="00031E18" w:rsidRPr="00DA5EB5">
        <w:rPr>
          <w:kern w:val="2"/>
          <w:sz w:val="20"/>
          <w:lang w:val="en" w:eastAsia="en-CA"/>
        </w:rPr>
        <w:t xml:space="preserve"> the</w:t>
      </w:r>
      <w:r w:rsidRPr="00DA5EB5">
        <w:rPr>
          <w:kern w:val="2"/>
          <w:sz w:val="20"/>
          <w:lang w:val="en" w:eastAsia="en-CA"/>
        </w:rPr>
        <w:t xml:space="preserve"> general offences of offering a bribe (section 1), being bribed (section 2) and bribery of foreign public officials (section 6). </w:t>
      </w:r>
      <w:r w:rsidR="00031E18" w:rsidRPr="00DA5EB5">
        <w:rPr>
          <w:kern w:val="2"/>
          <w:sz w:val="20"/>
          <w:lang w:val="en" w:eastAsia="en-CA"/>
        </w:rPr>
        <w:t>Commercial organizations may</w:t>
      </w:r>
      <w:r w:rsidR="006C5A0F" w:rsidRPr="00DA5EB5">
        <w:rPr>
          <w:kern w:val="2"/>
          <w:sz w:val="20"/>
          <w:lang w:val="en" w:eastAsia="en-CA"/>
        </w:rPr>
        <w:t xml:space="preserve"> also</w:t>
      </w:r>
      <w:r w:rsidR="00031E18" w:rsidRPr="00DA5EB5">
        <w:rPr>
          <w:kern w:val="2"/>
          <w:sz w:val="20"/>
          <w:lang w:val="en" w:eastAsia="en-CA"/>
        </w:rPr>
        <w:t xml:space="preserve"> commit an offence under section 7 of the Act if they fail to prevent bribery.</w:t>
      </w:r>
      <w:r w:rsidRPr="00DA5EB5">
        <w:rPr>
          <w:kern w:val="2"/>
          <w:sz w:val="20"/>
          <w:lang w:val="en" w:eastAsia="en-CA"/>
        </w:rPr>
        <w:t xml:space="preserve"> Section 11 sets out maximum penalties for the offences</w:t>
      </w:r>
      <w:r w:rsidRPr="00DA5EB5">
        <w:rPr>
          <w:kern w:val="2"/>
          <w:lang w:val="en" w:eastAsia="en-CA"/>
        </w:rPr>
        <w:t>:</w:t>
      </w:r>
    </w:p>
    <w:p w14:paraId="7EFDD810" w14:textId="7A02A01E" w:rsidR="0061282C" w:rsidRPr="00DA5EB5" w:rsidRDefault="0061282C" w:rsidP="00743153">
      <w:pPr>
        <w:pStyle w:val="BlockQuote"/>
        <w:spacing w:before="60" w:after="60"/>
        <w:rPr>
          <w:kern w:val="2"/>
          <w:sz w:val="20"/>
          <w:lang w:val="en" w:eastAsia="en-CA"/>
        </w:rPr>
      </w:pPr>
      <w:proofErr w:type="gramStart"/>
      <w:r w:rsidRPr="00DA5EB5">
        <w:rPr>
          <w:kern w:val="2"/>
          <w:sz w:val="20"/>
          <w:lang w:val="en" w:eastAsia="en-CA"/>
        </w:rPr>
        <w:t>11</w:t>
      </w:r>
      <w:r w:rsidR="00486294" w:rsidRPr="00DA5EB5">
        <w:rPr>
          <w:kern w:val="2"/>
          <w:sz w:val="20"/>
          <w:lang w:val="en" w:eastAsia="en-CA"/>
        </w:rPr>
        <w:t xml:space="preserve"> </w:t>
      </w:r>
      <w:r w:rsidR="00743153" w:rsidRPr="00DA5EB5">
        <w:rPr>
          <w:kern w:val="2"/>
          <w:sz w:val="20"/>
          <w:lang w:val="en" w:eastAsia="en-CA"/>
        </w:rPr>
        <w:t xml:space="preserve"> </w:t>
      </w:r>
      <w:r w:rsidRPr="00DA5EB5">
        <w:rPr>
          <w:kern w:val="2"/>
          <w:sz w:val="20"/>
          <w:lang w:val="en" w:eastAsia="en-CA"/>
        </w:rPr>
        <w:t>Penalties</w:t>
      </w:r>
      <w:proofErr w:type="gramEnd"/>
      <w:r w:rsidRPr="00DA5EB5">
        <w:rPr>
          <w:b/>
          <w:bCs/>
          <w:vanish/>
          <w:color w:val="FFFFFF"/>
          <w:kern w:val="2"/>
          <w:sz w:val="20"/>
          <w:shd w:val="clear" w:color="auto" w:fill="660066"/>
          <w:lang w:val="en" w:eastAsia="en-CA"/>
        </w:rPr>
        <w:t>E+W+S+N.I.</w:t>
      </w:r>
    </w:p>
    <w:p w14:paraId="6B56D8FE" w14:textId="33BEC53E" w:rsidR="0061282C" w:rsidRPr="00DA5EB5" w:rsidRDefault="0061282C" w:rsidP="0074473E">
      <w:pPr>
        <w:pStyle w:val="BlockQuote"/>
        <w:numPr>
          <w:ilvl w:val="0"/>
          <w:numId w:val="16"/>
        </w:numPr>
        <w:spacing w:before="60" w:after="60"/>
        <w:jc w:val="left"/>
        <w:rPr>
          <w:kern w:val="2"/>
          <w:sz w:val="20"/>
          <w:lang w:val="en" w:eastAsia="en-CA"/>
        </w:rPr>
      </w:pPr>
      <w:r w:rsidRPr="00DA5EB5">
        <w:rPr>
          <w:kern w:val="2"/>
          <w:sz w:val="20"/>
          <w:lang w:val="en" w:eastAsia="en-CA"/>
        </w:rPr>
        <w:t>An individual guilty of an offence under section 1, 2 or 6 is liable—</w:t>
      </w:r>
    </w:p>
    <w:p w14:paraId="7DCF79C9" w14:textId="38A1A315" w:rsidR="0061282C" w:rsidRPr="00DA5EB5" w:rsidRDefault="0061282C" w:rsidP="0074473E">
      <w:pPr>
        <w:pStyle w:val="BlockQuote"/>
        <w:numPr>
          <w:ilvl w:val="0"/>
          <w:numId w:val="17"/>
        </w:numPr>
        <w:spacing w:before="60" w:after="60"/>
        <w:jc w:val="left"/>
        <w:rPr>
          <w:kern w:val="2"/>
          <w:sz w:val="20"/>
          <w:lang w:val="en" w:eastAsia="en-CA"/>
        </w:rPr>
      </w:pPr>
      <w:r w:rsidRPr="00DA5EB5">
        <w:rPr>
          <w:kern w:val="2"/>
          <w:sz w:val="20"/>
          <w:lang w:val="en" w:eastAsia="en-CA"/>
        </w:rPr>
        <w:t>on summary conviction, to imprisonment for a term not exceeding 12 months, or to a fine not exceeding the statutory maximum, or to both,</w:t>
      </w:r>
    </w:p>
    <w:p w14:paraId="1B801B6B" w14:textId="2BFA2204" w:rsidR="0061282C" w:rsidRPr="00DA5EB5" w:rsidRDefault="0061282C" w:rsidP="0074473E">
      <w:pPr>
        <w:pStyle w:val="BlockQuote"/>
        <w:numPr>
          <w:ilvl w:val="0"/>
          <w:numId w:val="17"/>
        </w:numPr>
        <w:spacing w:before="60" w:after="60"/>
        <w:jc w:val="left"/>
        <w:rPr>
          <w:kern w:val="2"/>
          <w:sz w:val="20"/>
          <w:lang w:val="en" w:eastAsia="en-CA"/>
        </w:rPr>
      </w:pPr>
      <w:proofErr w:type="gramStart"/>
      <w:r w:rsidRPr="00DA5EB5">
        <w:rPr>
          <w:kern w:val="2"/>
          <w:sz w:val="20"/>
          <w:lang w:val="en" w:eastAsia="en-CA"/>
        </w:rPr>
        <w:t>on</w:t>
      </w:r>
      <w:proofErr w:type="gramEnd"/>
      <w:r w:rsidRPr="00DA5EB5">
        <w:rPr>
          <w:kern w:val="2"/>
          <w:sz w:val="20"/>
          <w:lang w:val="en" w:eastAsia="en-CA"/>
        </w:rPr>
        <w:t xml:space="preserve"> conviction on indictment, to imprisonment for a term not exceeding 10 years, or to a fine, or to both.</w:t>
      </w:r>
    </w:p>
    <w:p w14:paraId="1CA8940A" w14:textId="35F7AE93" w:rsidR="0061282C" w:rsidRPr="00DA5EB5" w:rsidRDefault="0061282C" w:rsidP="0074473E">
      <w:pPr>
        <w:pStyle w:val="BlockQuote"/>
        <w:numPr>
          <w:ilvl w:val="0"/>
          <w:numId w:val="16"/>
        </w:numPr>
        <w:spacing w:before="60" w:after="60"/>
        <w:jc w:val="left"/>
        <w:rPr>
          <w:kern w:val="2"/>
          <w:sz w:val="20"/>
          <w:lang w:val="en" w:eastAsia="en-CA"/>
        </w:rPr>
      </w:pPr>
      <w:r w:rsidRPr="00DA5EB5">
        <w:rPr>
          <w:kern w:val="2"/>
          <w:sz w:val="20"/>
          <w:lang w:val="en" w:eastAsia="en-CA"/>
        </w:rPr>
        <w:t>Any other person guilty of an offence under section 1, 2 or 6 is liable—</w:t>
      </w:r>
    </w:p>
    <w:p w14:paraId="0A441801" w14:textId="79F0FCF0" w:rsidR="0061282C" w:rsidRPr="00DA5EB5" w:rsidRDefault="0061282C" w:rsidP="0074473E">
      <w:pPr>
        <w:pStyle w:val="BlockQuote"/>
        <w:numPr>
          <w:ilvl w:val="0"/>
          <w:numId w:val="18"/>
        </w:numPr>
        <w:spacing w:before="60" w:after="60"/>
        <w:jc w:val="left"/>
        <w:rPr>
          <w:kern w:val="2"/>
          <w:sz w:val="20"/>
          <w:lang w:val="en" w:eastAsia="en-CA"/>
        </w:rPr>
      </w:pPr>
      <w:r w:rsidRPr="00DA5EB5">
        <w:rPr>
          <w:kern w:val="2"/>
          <w:sz w:val="20"/>
          <w:lang w:val="en" w:eastAsia="en-CA"/>
        </w:rPr>
        <w:t>on summary conviction, to a fine not exceeding the statutory maximum,</w:t>
      </w:r>
    </w:p>
    <w:p w14:paraId="7159A611" w14:textId="2D248497" w:rsidR="0061282C" w:rsidRPr="00DA5EB5" w:rsidRDefault="0061282C" w:rsidP="0074473E">
      <w:pPr>
        <w:pStyle w:val="BlockQuote"/>
        <w:numPr>
          <w:ilvl w:val="0"/>
          <w:numId w:val="18"/>
        </w:numPr>
        <w:spacing w:before="60" w:after="60"/>
        <w:jc w:val="left"/>
        <w:rPr>
          <w:kern w:val="2"/>
          <w:sz w:val="20"/>
          <w:lang w:val="en" w:eastAsia="en-CA"/>
        </w:rPr>
      </w:pPr>
      <w:proofErr w:type="gramStart"/>
      <w:r w:rsidRPr="00DA5EB5">
        <w:rPr>
          <w:kern w:val="2"/>
          <w:sz w:val="20"/>
          <w:lang w:val="en" w:eastAsia="en-CA"/>
        </w:rPr>
        <w:t>on</w:t>
      </w:r>
      <w:proofErr w:type="gramEnd"/>
      <w:r w:rsidRPr="00DA5EB5">
        <w:rPr>
          <w:kern w:val="2"/>
          <w:sz w:val="20"/>
          <w:lang w:val="en" w:eastAsia="en-CA"/>
        </w:rPr>
        <w:t xml:space="preserve"> conviction on indictment, to a fine.</w:t>
      </w:r>
    </w:p>
    <w:p w14:paraId="1744D3DD" w14:textId="6CFF6301" w:rsidR="0061282C" w:rsidRPr="00DA5EB5" w:rsidRDefault="0061282C" w:rsidP="0074473E">
      <w:pPr>
        <w:pStyle w:val="BlockQuote"/>
        <w:numPr>
          <w:ilvl w:val="0"/>
          <w:numId w:val="16"/>
        </w:numPr>
        <w:spacing w:before="60" w:after="60"/>
        <w:jc w:val="left"/>
        <w:rPr>
          <w:kern w:val="2"/>
          <w:sz w:val="20"/>
          <w:lang w:val="en" w:eastAsia="en-CA"/>
        </w:rPr>
      </w:pPr>
      <w:r w:rsidRPr="00DA5EB5">
        <w:rPr>
          <w:kern w:val="2"/>
          <w:sz w:val="20"/>
          <w:lang w:val="en" w:eastAsia="en-CA"/>
        </w:rPr>
        <w:t>A person guilty of an offence under section 7 is liable on conviction on indictment to a fine.</w:t>
      </w:r>
    </w:p>
    <w:p w14:paraId="46807829" w14:textId="1C860883" w:rsidR="0061282C" w:rsidRPr="00DA5EB5" w:rsidRDefault="0061282C" w:rsidP="0074473E">
      <w:pPr>
        <w:pStyle w:val="BlockQuote"/>
        <w:numPr>
          <w:ilvl w:val="0"/>
          <w:numId w:val="16"/>
        </w:numPr>
        <w:spacing w:before="60" w:after="60"/>
        <w:jc w:val="left"/>
        <w:rPr>
          <w:kern w:val="2"/>
          <w:sz w:val="20"/>
          <w:lang w:val="en" w:eastAsia="en-CA"/>
        </w:rPr>
      </w:pPr>
      <w:r w:rsidRPr="00DA5EB5">
        <w:rPr>
          <w:kern w:val="2"/>
          <w:sz w:val="20"/>
          <w:lang w:val="en" w:eastAsia="en-CA"/>
        </w:rPr>
        <w:t>The reference in subsection (1)(a) to 12 months is to be read—</w:t>
      </w:r>
    </w:p>
    <w:p w14:paraId="498EA38C" w14:textId="5D0159D6" w:rsidR="0061282C" w:rsidRPr="00DA5EB5" w:rsidRDefault="0061282C" w:rsidP="0074473E">
      <w:pPr>
        <w:pStyle w:val="BlockQuote"/>
        <w:numPr>
          <w:ilvl w:val="0"/>
          <w:numId w:val="19"/>
        </w:numPr>
        <w:spacing w:before="60" w:after="60"/>
        <w:jc w:val="left"/>
        <w:rPr>
          <w:kern w:val="2"/>
          <w:sz w:val="20"/>
          <w:lang w:val="en" w:eastAsia="en-CA"/>
        </w:rPr>
      </w:pPr>
      <w:r w:rsidRPr="00DA5EB5">
        <w:rPr>
          <w:kern w:val="2"/>
          <w:sz w:val="20"/>
          <w:lang w:val="en" w:eastAsia="en-CA"/>
        </w:rPr>
        <w:t>in its application to England and Wales in relation to an offence committed before the commencement of section 154(1) of the Criminal Justice Act 2003, and</w:t>
      </w:r>
    </w:p>
    <w:p w14:paraId="002505DC" w14:textId="17E05530" w:rsidR="0061282C" w:rsidRPr="00DA5EB5" w:rsidRDefault="0061282C" w:rsidP="0074473E">
      <w:pPr>
        <w:pStyle w:val="BlockQuote"/>
        <w:numPr>
          <w:ilvl w:val="0"/>
          <w:numId w:val="19"/>
        </w:numPr>
        <w:spacing w:before="60" w:after="60"/>
        <w:jc w:val="left"/>
        <w:rPr>
          <w:kern w:val="2"/>
          <w:sz w:val="20"/>
          <w:lang w:val="en" w:eastAsia="en-CA"/>
        </w:rPr>
      </w:pPr>
      <w:proofErr w:type="gramStart"/>
      <w:r w:rsidRPr="00DA5EB5">
        <w:rPr>
          <w:kern w:val="2"/>
          <w:sz w:val="20"/>
          <w:lang w:val="en" w:eastAsia="en-CA"/>
        </w:rPr>
        <w:t>in</w:t>
      </w:r>
      <w:proofErr w:type="gramEnd"/>
      <w:r w:rsidRPr="00DA5EB5">
        <w:rPr>
          <w:kern w:val="2"/>
          <w:sz w:val="20"/>
          <w:lang w:val="en" w:eastAsia="en-CA"/>
        </w:rPr>
        <w:t xml:space="preserve"> its application to Northern Ireland, as a reference to 6 months.</w:t>
      </w:r>
      <w:r w:rsidRPr="00DA5EB5">
        <w:rPr>
          <w:rStyle w:val="FootnoteReference"/>
          <w:rFonts w:eastAsia="Times New Roman"/>
          <w:color w:val="000000"/>
          <w:kern w:val="2"/>
          <w:szCs w:val="21"/>
          <w:lang w:val="en" w:eastAsia="en-CA"/>
        </w:rPr>
        <w:footnoteReference w:id="72"/>
      </w:r>
      <w:r w:rsidRPr="00DA5EB5">
        <w:rPr>
          <w:kern w:val="2"/>
          <w:sz w:val="20"/>
          <w:lang w:val="en" w:eastAsia="en-CA"/>
        </w:rPr>
        <w:t xml:space="preserve"> </w:t>
      </w:r>
    </w:p>
    <w:p w14:paraId="6CA69FF2" w14:textId="36840A22" w:rsidR="0061282C" w:rsidRPr="00DA5EB5" w:rsidRDefault="0061282C" w:rsidP="00743153">
      <w:pPr>
        <w:rPr>
          <w:kern w:val="2"/>
          <w:sz w:val="20"/>
        </w:rPr>
      </w:pPr>
      <w:r w:rsidRPr="00DA5EB5">
        <w:rPr>
          <w:kern w:val="2"/>
          <w:sz w:val="20"/>
        </w:rPr>
        <w:t xml:space="preserve">The maximum term of imprisonment for a summary conviction offence is </w:t>
      </w:r>
      <w:r w:rsidR="003B7EAB" w:rsidRPr="00DA5EB5">
        <w:rPr>
          <w:kern w:val="2"/>
          <w:sz w:val="20"/>
        </w:rPr>
        <w:t>twelve</w:t>
      </w:r>
      <w:r w:rsidRPr="00DA5EB5">
        <w:rPr>
          <w:kern w:val="2"/>
          <w:sz w:val="20"/>
        </w:rPr>
        <w:t xml:space="preserve"> months in England and Wales</w:t>
      </w:r>
      <w:r w:rsidR="007340C3" w:rsidRPr="00DA5EB5">
        <w:rPr>
          <w:kern w:val="2"/>
          <w:sz w:val="20"/>
        </w:rPr>
        <w:t>,</w:t>
      </w:r>
      <w:r w:rsidRPr="00DA5EB5">
        <w:rPr>
          <w:kern w:val="2"/>
          <w:sz w:val="20"/>
        </w:rPr>
        <w:t xml:space="preserve"> and </w:t>
      </w:r>
      <w:r w:rsidR="003B7EAB" w:rsidRPr="00DA5EB5">
        <w:rPr>
          <w:kern w:val="2"/>
          <w:sz w:val="20"/>
        </w:rPr>
        <w:t>six</w:t>
      </w:r>
      <w:r w:rsidRPr="00DA5EB5">
        <w:rPr>
          <w:kern w:val="2"/>
          <w:sz w:val="20"/>
        </w:rPr>
        <w:t xml:space="preserve"> months in Northern Ireland. The maximum statutory fine for a summary conviction offence is £10,000 in Scotland. The maximum fine for an indictable offence is unlimited.</w:t>
      </w:r>
    </w:p>
    <w:p w14:paraId="02B66CE1" w14:textId="1BC4C9BC" w:rsidR="007117A3" w:rsidRPr="00DA5EB5" w:rsidRDefault="007117A3" w:rsidP="007C3517">
      <w:pPr>
        <w:rPr>
          <w:kern w:val="2"/>
          <w:sz w:val="20"/>
        </w:rPr>
      </w:pPr>
      <w:r w:rsidRPr="00DA5EB5">
        <w:rPr>
          <w:kern w:val="2"/>
          <w:sz w:val="20"/>
        </w:rPr>
        <w:t xml:space="preserve">One of the first cases under the </w:t>
      </w:r>
      <w:r w:rsidRPr="00DA5EB5">
        <w:rPr>
          <w:i/>
          <w:kern w:val="2"/>
          <w:sz w:val="20"/>
        </w:rPr>
        <w:t>Bribery Act 2010</w:t>
      </w:r>
      <w:r w:rsidRPr="00DA5EB5">
        <w:rPr>
          <w:kern w:val="2"/>
          <w:sz w:val="20"/>
        </w:rPr>
        <w:t xml:space="preserve"> stemmed from an investigation into Associated </w:t>
      </w:r>
      <w:proofErr w:type="spellStart"/>
      <w:r w:rsidRPr="00DA5EB5">
        <w:rPr>
          <w:kern w:val="2"/>
          <w:sz w:val="20"/>
        </w:rPr>
        <w:t>Octel</w:t>
      </w:r>
      <w:proofErr w:type="spellEnd"/>
      <w:r w:rsidRPr="00DA5EB5">
        <w:rPr>
          <w:kern w:val="2"/>
          <w:sz w:val="20"/>
        </w:rPr>
        <w:t xml:space="preserve"> Corporation</w:t>
      </w:r>
      <w:r w:rsidR="003B7EAB" w:rsidRPr="00DA5EB5">
        <w:rPr>
          <w:kern w:val="2"/>
          <w:sz w:val="20"/>
        </w:rPr>
        <w:t>,</w:t>
      </w:r>
      <w:r w:rsidRPr="00DA5EB5">
        <w:rPr>
          <w:kern w:val="2"/>
          <w:sz w:val="20"/>
        </w:rPr>
        <w:t xml:space="preserve"> which subsequently </w:t>
      </w:r>
      <w:r w:rsidR="003B7EAB" w:rsidRPr="00DA5EB5">
        <w:rPr>
          <w:kern w:val="2"/>
          <w:sz w:val="20"/>
        </w:rPr>
        <w:t xml:space="preserve">changed its </w:t>
      </w:r>
      <w:r w:rsidRPr="00DA5EB5">
        <w:rPr>
          <w:kern w:val="2"/>
          <w:sz w:val="20"/>
        </w:rPr>
        <w:t xml:space="preserve">name </w:t>
      </w:r>
      <w:r w:rsidR="003B7EAB" w:rsidRPr="00DA5EB5">
        <w:rPr>
          <w:kern w:val="2"/>
          <w:sz w:val="20"/>
        </w:rPr>
        <w:t xml:space="preserve">to </w:t>
      </w:r>
      <w:proofErr w:type="spellStart"/>
      <w:r w:rsidRPr="00DA5EB5">
        <w:rPr>
          <w:kern w:val="2"/>
          <w:sz w:val="20"/>
        </w:rPr>
        <w:t>Innospec</w:t>
      </w:r>
      <w:proofErr w:type="spellEnd"/>
      <w:r w:rsidRPr="00DA5EB5">
        <w:rPr>
          <w:kern w:val="2"/>
          <w:sz w:val="20"/>
        </w:rPr>
        <w:t>. As stated by the Serious Fraud Office</w:t>
      </w:r>
      <w:r w:rsidR="00DC2218" w:rsidRPr="00DA5EB5">
        <w:rPr>
          <w:kern w:val="2"/>
          <w:sz w:val="20"/>
        </w:rPr>
        <w:t>,</w:t>
      </w:r>
      <w:r w:rsidRPr="00DA5EB5">
        <w:rPr>
          <w:kern w:val="2"/>
          <w:sz w:val="20"/>
        </w:rPr>
        <w:t xml:space="preserve"> </w:t>
      </w:r>
      <w:r w:rsidR="00FD6DAC" w:rsidRPr="00DA5EB5">
        <w:rPr>
          <w:kern w:val="2"/>
          <w:sz w:val="20"/>
        </w:rPr>
        <w:t>“</w:t>
      </w:r>
      <w:proofErr w:type="spellStart"/>
      <w:r w:rsidRPr="00DA5EB5">
        <w:rPr>
          <w:kern w:val="2"/>
          <w:sz w:val="20"/>
          <w:lang w:val="en"/>
        </w:rPr>
        <w:t>Innospec</w:t>
      </w:r>
      <w:proofErr w:type="spellEnd"/>
      <w:r w:rsidRPr="00DA5EB5">
        <w:rPr>
          <w:kern w:val="2"/>
          <w:sz w:val="20"/>
          <w:lang w:val="en"/>
        </w:rPr>
        <w:t xml:space="preserve"> itself pleaded guilty in March 2010 to bribing state officials in Indonesia and was fined $12.7 million in England with additional penalties being imposed in the USA.</w:t>
      </w:r>
      <w:r w:rsidR="00FD6DAC" w:rsidRPr="00DA5EB5">
        <w:rPr>
          <w:kern w:val="2"/>
          <w:sz w:val="20"/>
          <w:lang w:val="en"/>
        </w:rPr>
        <w:t>”</w:t>
      </w:r>
      <w:r w:rsidRPr="00DA5EB5">
        <w:rPr>
          <w:rStyle w:val="FootnoteReference"/>
          <w:kern w:val="2"/>
          <w:lang w:val="en"/>
        </w:rPr>
        <w:footnoteReference w:id="73"/>
      </w:r>
      <w:r w:rsidRPr="00DA5EB5">
        <w:rPr>
          <w:kern w:val="2"/>
          <w:sz w:val="20"/>
          <w:lang w:val="en"/>
        </w:rPr>
        <w:t xml:space="preserve"> Subsequently, in 2014, four individuals were sentenced for their role in the corruption in both Indonesia </w:t>
      </w:r>
      <w:r w:rsidR="00DC2218" w:rsidRPr="00DA5EB5">
        <w:rPr>
          <w:kern w:val="2"/>
          <w:sz w:val="20"/>
          <w:lang w:val="en"/>
        </w:rPr>
        <w:t>and</w:t>
      </w:r>
      <w:r w:rsidRPr="00DA5EB5">
        <w:rPr>
          <w:kern w:val="2"/>
          <w:sz w:val="20"/>
          <w:lang w:val="en"/>
        </w:rPr>
        <w:t xml:space="preserve"> Iraq. Two of the defendants pled guilty and two were tried and found guilty. The sentencing reasons show </w:t>
      </w:r>
      <w:r w:rsidR="00DC2218" w:rsidRPr="00DA5EB5">
        <w:rPr>
          <w:kern w:val="2"/>
          <w:sz w:val="20"/>
          <w:lang w:val="en"/>
        </w:rPr>
        <w:t xml:space="preserve">that a guilty plea </w:t>
      </w:r>
      <w:r w:rsidRPr="00DA5EB5">
        <w:rPr>
          <w:kern w:val="2"/>
          <w:sz w:val="20"/>
          <w:lang w:val="en"/>
        </w:rPr>
        <w:t xml:space="preserve">and cooperation </w:t>
      </w:r>
      <w:r w:rsidR="00DC2218" w:rsidRPr="00DA5EB5">
        <w:rPr>
          <w:kern w:val="2"/>
          <w:sz w:val="20"/>
          <w:lang w:val="en"/>
        </w:rPr>
        <w:t xml:space="preserve">can be </w:t>
      </w:r>
      <w:r w:rsidRPr="00DA5EB5">
        <w:rPr>
          <w:kern w:val="2"/>
          <w:sz w:val="20"/>
          <w:lang w:val="en"/>
        </w:rPr>
        <w:t xml:space="preserve">major mitigating factors. As the Serious Fraud Office </w:t>
      </w:r>
      <w:r w:rsidR="00907FD9" w:rsidRPr="00DA5EB5">
        <w:rPr>
          <w:kern w:val="2"/>
          <w:sz w:val="20"/>
          <w:lang w:val="en"/>
        </w:rPr>
        <w:t>r</w:t>
      </w:r>
      <w:r w:rsidRPr="00DA5EB5">
        <w:rPr>
          <w:kern w:val="2"/>
          <w:sz w:val="20"/>
          <w:lang w:val="en"/>
        </w:rPr>
        <w:t>eports, the individuals and sentences were:</w:t>
      </w:r>
    </w:p>
    <w:p w14:paraId="2B7B972E" w14:textId="77777777" w:rsidR="007117A3" w:rsidRPr="00DA5EB5" w:rsidRDefault="007117A3" w:rsidP="00743153">
      <w:pPr>
        <w:pStyle w:val="ListParagraph"/>
        <w:numPr>
          <w:ilvl w:val="0"/>
          <w:numId w:val="20"/>
        </w:numPr>
        <w:spacing w:after="60"/>
        <w:rPr>
          <w:kern w:val="2"/>
          <w:sz w:val="20"/>
          <w:lang w:val="en"/>
        </w:rPr>
      </w:pPr>
      <w:r w:rsidRPr="00DA5EB5">
        <w:rPr>
          <w:kern w:val="2"/>
          <w:sz w:val="20"/>
          <w:lang w:val="en"/>
        </w:rPr>
        <w:t xml:space="preserve">Dennis </w:t>
      </w:r>
      <w:proofErr w:type="spellStart"/>
      <w:r w:rsidRPr="00DA5EB5">
        <w:rPr>
          <w:kern w:val="2"/>
          <w:sz w:val="20"/>
          <w:lang w:val="en"/>
        </w:rPr>
        <w:t>Kerrison</w:t>
      </w:r>
      <w:proofErr w:type="spellEnd"/>
      <w:r w:rsidRPr="00DA5EB5">
        <w:rPr>
          <w:kern w:val="2"/>
          <w:sz w:val="20"/>
          <w:lang w:val="en"/>
        </w:rPr>
        <w:t>, 69, of Chertsey, Surrey, was sentenced to 4 years in prison.</w:t>
      </w:r>
    </w:p>
    <w:p w14:paraId="3F639655" w14:textId="77777777" w:rsidR="007117A3" w:rsidRPr="00DA5EB5" w:rsidRDefault="007117A3" w:rsidP="00743153">
      <w:pPr>
        <w:pStyle w:val="ListParagraph"/>
        <w:numPr>
          <w:ilvl w:val="0"/>
          <w:numId w:val="20"/>
        </w:numPr>
        <w:spacing w:after="60"/>
        <w:rPr>
          <w:kern w:val="2"/>
          <w:sz w:val="20"/>
          <w:lang w:val="en"/>
        </w:rPr>
      </w:pPr>
      <w:r w:rsidRPr="00DA5EB5">
        <w:rPr>
          <w:kern w:val="2"/>
          <w:sz w:val="20"/>
          <w:lang w:val="en"/>
        </w:rPr>
        <w:t xml:space="preserve">Paul Jennings, 57, of </w:t>
      </w:r>
      <w:proofErr w:type="spellStart"/>
      <w:r w:rsidRPr="00DA5EB5">
        <w:rPr>
          <w:kern w:val="2"/>
          <w:sz w:val="20"/>
          <w:lang w:val="en"/>
        </w:rPr>
        <w:t>Neston</w:t>
      </w:r>
      <w:proofErr w:type="spellEnd"/>
      <w:r w:rsidRPr="00DA5EB5">
        <w:rPr>
          <w:kern w:val="2"/>
          <w:sz w:val="20"/>
          <w:lang w:val="en"/>
        </w:rPr>
        <w:t>, Cheshire, was sentenced to 2 years in prison.</w:t>
      </w:r>
    </w:p>
    <w:p w14:paraId="6A8B0475" w14:textId="77777777" w:rsidR="007117A3" w:rsidRPr="00DA5EB5" w:rsidRDefault="007117A3" w:rsidP="00743153">
      <w:pPr>
        <w:pStyle w:val="ListParagraph"/>
        <w:numPr>
          <w:ilvl w:val="0"/>
          <w:numId w:val="20"/>
        </w:numPr>
        <w:spacing w:after="60"/>
        <w:rPr>
          <w:kern w:val="2"/>
          <w:sz w:val="20"/>
          <w:lang w:val="en"/>
        </w:rPr>
      </w:pPr>
      <w:r w:rsidRPr="00DA5EB5">
        <w:rPr>
          <w:kern w:val="2"/>
          <w:sz w:val="20"/>
          <w:lang w:val="en"/>
        </w:rPr>
        <w:t xml:space="preserve">Miltiades </w:t>
      </w:r>
      <w:proofErr w:type="spellStart"/>
      <w:r w:rsidRPr="00DA5EB5">
        <w:rPr>
          <w:kern w:val="2"/>
          <w:sz w:val="20"/>
          <w:lang w:val="en"/>
        </w:rPr>
        <w:t>Papachristos</w:t>
      </w:r>
      <w:proofErr w:type="spellEnd"/>
      <w:r w:rsidRPr="00DA5EB5">
        <w:rPr>
          <w:kern w:val="2"/>
          <w:sz w:val="20"/>
          <w:lang w:val="en"/>
        </w:rPr>
        <w:t>, 51 of Thessaloniki, Greece, was sentenced to 18 months in prison.</w:t>
      </w:r>
    </w:p>
    <w:p w14:paraId="7236E494" w14:textId="4355AF86" w:rsidR="007117A3" w:rsidRPr="00DA5EB5" w:rsidRDefault="007117A3" w:rsidP="00743153">
      <w:pPr>
        <w:pStyle w:val="ListParagraph"/>
        <w:numPr>
          <w:ilvl w:val="0"/>
          <w:numId w:val="20"/>
        </w:numPr>
        <w:spacing w:after="60"/>
        <w:rPr>
          <w:kern w:val="2"/>
          <w:sz w:val="20"/>
          <w:lang w:val="en"/>
        </w:rPr>
      </w:pPr>
      <w:r w:rsidRPr="00DA5EB5">
        <w:rPr>
          <w:kern w:val="2"/>
          <w:sz w:val="20"/>
          <w:lang w:val="en"/>
        </w:rPr>
        <w:t xml:space="preserve">David Turner, 59, of </w:t>
      </w:r>
      <w:proofErr w:type="spellStart"/>
      <w:r w:rsidRPr="00DA5EB5">
        <w:rPr>
          <w:kern w:val="2"/>
          <w:sz w:val="20"/>
          <w:lang w:val="en"/>
        </w:rPr>
        <w:t>Newmarket</w:t>
      </w:r>
      <w:proofErr w:type="spellEnd"/>
      <w:r w:rsidRPr="00DA5EB5">
        <w:rPr>
          <w:kern w:val="2"/>
          <w:sz w:val="20"/>
          <w:lang w:val="en"/>
        </w:rPr>
        <w:t>, Suffolk, was sentenced to a 16 month suspended sentence with 300 hours unpaid work</w:t>
      </w:r>
      <w:r w:rsidR="00907FD9" w:rsidRPr="00DA5EB5">
        <w:rPr>
          <w:kern w:val="2"/>
          <w:sz w:val="20"/>
          <w:lang w:val="en"/>
        </w:rPr>
        <w:t>.</w:t>
      </w:r>
      <w:r w:rsidR="007D63EC" w:rsidRPr="00DA5EB5">
        <w:rPr>
          <w:rStyle w:val="FootnoteReference"/>
          <w:kern w:val="2"/>
          <w:szCs w:val="21"/>
          <w:lang w:val="en"/>
        </w:rPr>
        <w:footnoteReference w:id="74"/>
      </w:r>
    </w:p>
    <w:p w14:paraId="3EEBE712" w14:textId="346242BE" w:rsidR="007117A3" w:rsidRPr="00DA5EB5" w:rsidRDefault="007117A3" w:rsidP="00743153">
      <w:pPr>
        <w:rPr>
          <w:kern w:val="2"/>
          <w:sz w:val="20"/>
          <w:lang w:val="en"/>
        </w:rPr>
      </w:pPr>
      <w:r w:rsidRPr="00DA5EB5">
        <w:rPr>
          <w:kern w:val="2"/>
          <w:sz w:val="20"/>
          <w:lang w:val="en"/>
        </w:rPr>
        <w:t xml:space="preserve">The sentencing decision for these four individuals was </w:t>
      </w:r>
      <w:r w:rsidR="00907FD9" w:rsidRPr="00DA5EB5">
        <w:rPr>
          <w:kern w:val="2"/>
          <w:sz w:val="20"/>
          <w:lang w:val="en"/>
        </w:rPr>
        <w:t xml:space="preserve">released on </w:t>
      </w:r>
      <w:r w:rsidRPr="00DA5EB5">
        <w:rPr>
          <w:kern w:val="2"/>
          <w:sz w:val="20"/>
          <w:lang w:val="en"/>
        </w:rPr>
        <w:t>August 4, 2014 before the sentencing guidelines on bribery came into force on October 1, 2014. In any event, the court stated:</w:t>
      </w:r>
    </w:p>
    <w:tbl>
      <w:tblPr>
        <w:tblStyle w:val="TableGrid"/>
        <w:tblW w:w="0" w:type="auto"/>
        <w:jc w:val="center"/>
        <w:tblCellMar>
          <w:top w:w="284" w:type="dxa"/>
          <w:left w:w="284" w:type="dxa"/>
          <w:bottom w:w="284" w:type="dxa"/>
          <w:right w:w="284" w:type="dxa"/>
        </w:tblCellMar>
        <w:tblLook w:val="04A0" w:firstRow="1" w:lastRow="0" w:firstColumn="1" w:lastColumn="0" w:noHBand="0" w:noVBand="1"/>
      </w:tblPr>
      <w:tblGrid>
        <w:gridCol w:w="8080"/>
      </w:tblGrid>
      <w:tr w:rsidR="00AA08D4" w:rsidRPr="00DA5EB5" w14:paraId="7CC6D640" w14:textId="77777777" w:rsidTr="00014F3C">
        <w:trPr>
          <w:jc w:val="center"/>
        </w:trPr>
        <w:tc>
          <w:tcPr>
            <w:tcW w:w="9350" w:type="dxa"/>
            <w:tcBorders>
              <w:top w:val="nil"/>
              <w:left w:val="nil"/>
              <w:bottom w:val="nil"/>
              <w:right w:val="nil"/>
            </w:tcBorders>
            <w:shd w:val="clear" w:color="auto" w:fill="D9D9D9" w:themeFill="background1" w:themeFillShade="D9"/>
          </w:tcPr>
          <w:p w14:paraId="54A7F2B1" w14:textId="7C8D9B15" w:rsidR="00AA08D4" w:rsidRPr="00DA5EB5" w:rsidRDefault="00AA08D4" w:rsidP="00014F3C">
            <w:pPr>
              <w:pStyle w:val="ExcerptMarker"/>
              <w:spacing w:before="0"/>
              <w:rPr>
                <w:kern w:val="2"/>
                <w:sz w:val="16"/>
              </w:rPr>
            </w:pPr>
            <w:r w:rsidRPr="00DA5EB5">
              <w:rPr>
                <w:kern w:val="2"/>
                <w:sz w:val="16"/>
              </w:rPr>
              <w:t>Beginning of Excerpt</w:t>
            </w:r>
          </w:p>
          <w:p w14:paraId="4A164352" w14:textId="77777777" w:rsidR="00AA08D4" w:rsidRPr="00DA5EB5" w:rsidRDefault="00AA08D4" w:rsidP="00014F3C">
            <w:pPr>
              <w:rPr>
                <w:kern w:val="2"/>
                <w:sz w:val="20"/>
                <w:lang w:eastAsia="en-CA"/>
              </w:rPr>
            </w:pPr>
            <w:r w:rsidRPr="00DA5EB5">
              <w:rPr>
                <w:kern w:val="2"/>
                <w:sz w:val="20"/>
                <w:lang w:eastAsia="en-CA"/>
              </w:rPr>
              <w:t xml:space="preserve">These four defendants, David Turner, David </w:t>
            </w:r>
            <w:proofErr w:type="spellStart"/>
            <w:r w:rsidRPr="00DA5EB5">
              <w:rPr>
                <w:kern w:val="2"/>
                <w:sz w:val="20"/>
                <w:lang w:eastAsia="en-CA"/>
              </w:rPr>
              <w:t>Kerrison</w:t>
            </w:r>
            <w:proofErr w:type="spellEnd"/>
            <w:r w:rsidRPr="00DA5EB5">
              <w:rPr>
                <w:kern w:val="2"/>
                <w:sz w:val="20"/>
                <w:lang w:eastAsia="en-CA"/>
              </w:rPr>
              <w:t xml:space="preserve">, Paul Jennings and Miltiades </w:t>
            </w:r>
            <w:proofErr w:type="spellStart"/>
            <w:r w:rsidRPr="00DA5EB5">
              <w:rPr>
                <w:kern w:val="2"/>
                <w:sz w:val="20"/>
                <w:lang w:eastAsia="en-CA"/>
              </w:rPr>
              <w:t>Papachristos</w:t>
            </w:r>
            <w:proofErr w:type="spellEnd"/>
            <w:r w:rsidRPr="00DA5EB5">
              <w:rPr>
                <w:kern w:val="2"/>
                <w:sz w:val="20"/>
                <w:lang w:eastAsia="en-CA"/>
              </w:rPr>
              <w:t xml:space="preserve"> appear for sentence following conviction for corruption of public officials in Indonesia and Iraq. David Turner pleaded guilty to three charges of conspiracy to commit corruption in January 2012 in relation to Indonesia and Iraq. Paul Jennings pleaded guilty in June 2012 to two charges of conspiracy to commit corruption and to a further change of conspiracy to commit corruption in Indonesia and Iraq in July 2012. David </w:t>
            </w:r>
            <w:proofErr w:type="spellStart"/>
            <w:r w:rsidRPr="00DA5EB5">
              <w:rPr>
                <w:kern w:val="2"/>
                <w:sz w:val="20"/>
                <w:lang w:eastAsia="en-CA"/>
              </w:rPr>
              <w:t>Kerrison</w:t>
            </w:r>
            <w:proofErr w:type="spellEnd"/>
            <w:r w:rsidRPr="00DA5EB5">
              <w:rPr>
                <w:kern w:val="2"/>
                <w:sz w:val="20"/>
                <w:lang w:eastAsia="en-CA"/>
              </w:rPr>
              <w:t xml:space="preserve"> and Miltiades </w:t>
            </w:r>
            <w:proofErr w:type="spellStart"/>
            <w:r w:rsidRPr="00DA5EB5">
              <w:rPr>
                <w:kern w:val="2"/>
                <w:sz w:val="20"/>
                <w:lang w:eastAsia="en-CA"/>
              </w:rPr>
              <w:t>Papachristos</w:t>
            </w:r>
            <w:proofErr w:type="spellEnd"/>
            <w:r w:rsidRPr="00DA5EB5">
              <w:rPr>
                <w:kern w:val="2"/>
                <w:sz w:val="20"/>
                <w:lang w:eastAsia="en-CA"/>
              </w:rPr>
              <w:t xml:space="preserve"> were convicted of conspiracy to commit corruption in June 2014 after a trial of approximately three months.</w:t>
            </w:r>
          </w:p>
          <w:p w14:paraId="53218485" w14:textId="77777777" w:rsidR="00AA08D4" w:rsidRPr="00DA5EB5" w:rsidRDefault="00AA08D4" w:rsidP="00014F3C">
            <w:pPr>
              <w:spacing w:after="120"/>
              <w:rPr>
                <w:kern w:val="2"/>
                <w:sz w:val="20"/>
                <w:lang w:eastAsia="en-CA"/>
              </w:rPr>
            </w:pPr>
            <w:r w:rsidRPr="00DA5EB5">
              <w:rPr>
                <w:kern w:val="2"/>
                <w:sz w:val="20"/>
                <w:lang w:eastAsia="en-CA"/>
              </w:rPr>
              <w:t xml:space="preserve">At different times, each of the defendants was in a position of responsibility in a company called </w:t>
            </w:r>
            <w:proofErr w:type="spellStart"/>
            <w:r w:rsidRPr="00DA5EB5">
              <w:rPr>
                <w:kern w:val="2"/>
                <w:sz w:val="20"/>
                <w:lang w:eastAsia="en-CA"/>
              </w:rPr>
              <w:t>Innospec</w:t>
            </w:r>
            <w:proofErr w:type="spellEnd"/>
            <w:r w:rsidRPr="00DA5EB5">
              <w:rPr>
                <w:kern w:val="2"/>
                <w:sz w:val="20"/>
                <w:lang w:eastAsia="en-CA"/>
              </w:rPr>
              <w:t xml:space="preserve">, previously called </w:t>
            </w:r>
            <w:proofErr w:type="spellStart"/>
            <w:r w:rsidRPr="00DA5EB5">
              <w:rPr>
                <w:kern w:val="2"/>
                <w:sz w:val="20"/>
                <w:lang w:eastAsia="en-CA"/>
              </w:rPr>
              <w:t>Octel</w:t>
            </w:r>
            <w:proofErr w:type="spellEnd"/>
            <w:r w:rsidRPr="00DA5EB5">
              <w:rPr>
                <w:kern w:val="2"/>
                <w:sz w:val="20"/>
              </w:rPr>
              <w:t xml:space="preserve">…. </w:t>
            </w:r>
            <w:proofErr w:type="spellStart"/>
            <w:r w:rsidRPr="00DA5EB5">
              <w:rPr>
                <w:kern w:val="2"/>
                <w:sz w:val="20"/>
                <w:lang w:eastAsia="en-CA"/>
              </w:rPr>
              <w:t>Innospec</w:t>
            </w:r>
            <w:proofErr w:type="spellEnd"/>
            <w:r w:rsidRPr="00DA5EB5">
              <w:rPr>
                <w:kern w:val="2"/>
                <w:sz w:val="20"/>
                <w:lang w:eastAsia="en-CA"/>
              </w:rPr>
              <w:t xml:space="preserve"> corruptly paid millions of dollars to agents in Indonesia to be handed over to government officials to delay lead free fuel. We cannot quantify the corrupt payments as some payments to agents were for legitimate purposes. In Iraq, payments were made to sabotage the test results of rival products. This was the intention of those authorising the payments even if this result wasn’t achieved.</w:t>
            </w:r>
          </w:p>
          <w:p w14:paraId="47E5B317" w14:textId="3EFE9D3F" w:rsidR="00AA08D4" w:rsidRPr="00DA5EB5" w:rsidRDefault="00F519D6" w:rsidP="00014F3C">
            <w:pPr>
              <w:spacing w:before="0" w:after="0"/>
              <w:rPr>
                <w:kern w:val="2"/>
                <w:sz w:val="20"/>
                <w:lang w:eastAsia="en-CA"/>
              </w:rPr>
            </w:pPr>
            <w:r w:rsidRPr="00DA5EB5">
              <w:rPr>
                <w:kern w:val="2"/>
                <w:sz w:val="20"/>
                <w:lang w:eastAsia="en-CA"/>
              </w:rPr>
              <w:t>…</w:t>
            </w:r>
          </w:p>
          <w:p w14:paraId="52144BDA" w14:textId="77777777" w:rsidR="00AA08D4" w:rsidRPr="00DA5EB5" w:rsidRDefault="00AA08D4" w:rsidP="00014F3C">
            <w:pPr>
              <w:spacing w:before="120"/>
              <w:rPr>
                <w:kern w:val="2"/>
                <w:sz w:val="20"/>
                <w:lang w:eastAsia="en-CA"/>
              </w:rPr>
            </w:pPr>
            <w:r w:rsidRPr="00DA5EB5">
              <w:rPr>
                <w:kern w:val="2"/>
                <w:sz w:val="20"/>
                <w:lang w:eastAsia="en-CA"/>
              </w:rPr>
              <w:t>The corruption was endemic, ingrained and institutional</w:t>
            </w:r>
            <w:r w:rsidRPr="00DA5EB5">
              <w:rPr>
                <w:kern w:val="2"/>
                <w:sz w:val="20"/>
              </w:rPr>
              <w:t>….</w:t>
            </w:r>
            <w:r w:rsidRPr="00DA5EB5">
              <w:rPr>
                <w:kern w:val="2"/>
                <w:sz w:val="20"/>
                <w:lang w:eastAsia="en-CA"/>
              </w:rPr>
              <w:t xml:space="preserve"> A company is a separate legal entity. It is not an automated machine. Decisions are made by human minds. It follows that those high up in the company should bear a heavy responsibility under the criminal law.</w:t>
            </w:r>
          </w:p>
          <w:p w14:paraId="6FAEC382" w14:textId="77777777" w:rsidR="00AA08D4" w:rsidRPr="00DA5EB5" w:rsidRDefault="00AA08D4" w:rsidP="00014F3C">
            <w:pPr>
              <w:rPr>
                <w:kern w:val="2"/>
                <w:sz w:val="20"/>
                <w:lang w:eastAsia="en-CA"/>
              </w:rPr>
            </w:pPr>
            <w:r w:rsidRPr="00DA5EB5">
              <w:rPr>
                <w:kern w:val="2"/>
                <w:sz w:val="20"/>
                <w:lang w:eastAsia="en-CA"/>
              </w:rPr>
              <w:t>Those who pleaded guilty are entitled to a reduction in their sentence. The others mustn’t have their sentences increased for fighting the case. However, their sentence cannot be discounted in the same way as for those who pleaded guilty. As the Judge I am bound by the jury’s verdict.</w:t>
            </w:r>
          </w:p>
          <w:p w14:paraId="1E8F3FD9" w14:textId="77777777" w:rsidR="00AA08D4" w:rsidRPr="00DA5EB5" w:rsidRDefault="00AA08D4" w:rsidP="00014F3C">
            <w:pPr>
              <w:spacing w:after="120"/>
              <w:rPr>
                <w:kern w:val="2"/>
                <w:sz w:val="20"/>
              </w:rPr>
            </w:pPr>
            <w:r w:rsidRPr="00DA5EB5">
              <w:rPr>
                <w:kern w:val="2"/>
                <w:sz w:val="20"/>
              </w:rPr>
              <w:t>All four men are middle aged or older, family men, of previous good character; they have done work in communities and worked well with colleagues. There have been a number of character witnesses testifying to this. All have come from modest backgrounds, went to university and worked their way up. None of these defendants would consider themselves in the same category as common criminals who commit crimes of dishonesty or violence.</w:t>
            </w:r>
          </w:p>
          <w:p w14:paraId="7615C639" w14:textId="77777777" w:rsidR="00AA08D4" w:rsidRPr="00DA5EB5" w:rsidRDefault="00AA08D4" w:rsidP="00014F3C">
            <w:pPr>
              <w:spacing w:before="0" w:after="0"/>
              <w:rPr>
                <w:kern w:val="2"/>
                <w:sz w:val="20"/>
              </w:rPr>
            </w:pPr>
            <w:r w:rsidRPr="00DA5EB5">
              <w:rPr>
                <w:kern w:val="2"/>
                <w:sz w:val="20"/>
              </w:rPr>
              <w:t>…</w:t>
            </w:r>
          </w:p>
          <w:p w14:paraId="3C627F81" w14:textId="77777777" w:rsidR="00AA08D4" w:rsidRPr="00DA5EB5" w:rsidRDefault="00AA08D4" w:rsidP="00014F3C">
            <w:pPr>
              <w:rPr>
                <w:b/>
                <w:kern w:val="2"/>
                <w:sz w:val="20"/>
                <w:lang w:eastAsia="en-CA"/>
              </w:rPr>
            </w:pPr>
            <w:r w:rsidRPr="00DA5EB5">
              <w:rPr>
                <w:b/>
                <w:bCs/>
                <w:kern w:val="2"/>
                <w:sz w:val="20"/>
                <w:lang w:eastAsia="en-CA"/>
              </w:rPr>
              <w:t xml:space="preserve">David </w:t>
            </w:r>
            <w:proofErr w:type="spellStart"/>
            <w:r w:rsidRPr="00DA5EB5">
              <w:rPr>
                <w:b/>
                <w:bCs/>
                <w:kern w:val="2"/>
                <w:sz w:val="20"/>
                <w:lang w:eastAsia="en-CA"/>
              </w:rPr>
              <w:t>Kerrison</w:t>
            </w:r>
            <w:proofErr w:type="spellEnd"/>
          </w:p>
          <w:p w14:paraId="29C24903" w14:textId="77777777" w:rsidR="00AA08D4" w:rsidRPr="00DA5EB5" w:rsidRDefault="00AA08D4" w:rsidP="00014F3C">
            <w:pPr>
              <w:rPr>
                <w:kern w:val="2"/>
                <w:sz w:val="20"/>
                <w:lang w:eastAsia="en-CA"/>
              </w:rPr>
            </w:pPr>
            <w:r w:rsidRPr="00DA5EB5">
              <w:rPr>
                <w:kern w:val="2"/>
                <w:sz w:val="20"/>
                <w:lang w:eastAsia="en-CA"/>
              </w:rPr>
              <w:t>As Chief Executive Officer from 1996 to 2005, over a period of 8 years, he must accept major responsibility for the corruption he is convicted of. He didn’t instigate the corruption but he allowed it to continue. He could have stopped it but he didn’t. I am satisfied that the jury’s verdict is correct, that he became aware early on of the existence of corrupt payments and didn’t stop it.</w:t>
            </w:r>
          </w:p>
          <w:p w14:paraId="1D77C711" w14:textId="77777777" w:rsidR="00AA08D4" w:rsidRPr="00DA5EB5" w:rsidRDefault="00AA08D4" w:rsidP="00014F3C">
            <w:pPr>
              <w:rPr>
                <w:kern w:val="2"/>
                <w:sz w:val="20"/>
                <w:lang w:eastAsia="en-CA"/>
              </w:rPr>
            </w:pPr>
            <w:r w:rsidRPr="00DA5EB5">
              <w:rPr>
                <w:kern w:val="2"/>
                <w:sz w:val="20"/>
                <w:lang w:eastAsia="en-CA"/>
              </w:rPr>
              <w:t xml:space="preserve">I take into account his good character account, that he has a wine business in South </w:t>
            </w:r>
            <w:proofErr w:type="gramStart"/>
            <w:r w:rsidRPr="00DA5EB5">
              <w:rPr>
                <w:kern w:val="2"/>
                <w:sz w:val="20"/>
                <w:lang w:eastAsia="en-CA"/>
              </w:rPr>
              <w:t>Africa, that</w:t>
            </w:r>
            <w:proofErr w:type="gramEnd"/>
            <w:r w:rsidRPr="00DA5EB5">
              <w:rPr>
                <w:kern w:val="2"/>
                <w:sz w:val="20"/>
                <w:lang w:eastAsia="en-CA"/>
              </w:rPr>
              <w:t xml:space="preserve"> he has improved the lot of black workers there, provided them with accommodation and healthcare, which is all commendable but doesn’t detract from the crime.</w:t>
            </w:r>
          </w:p>
          <w:p w14:paraId="171C9BE3" w14:textId="77777777" w:rsidR="00AA08D4" w:rsidRPr="00DA5EB5" w:rsidRDefault="00AA08D4" w:rsidP="00014F3C">
            <w:pPr>
              <w:rPr>
                <w:kern w:val="2"/>
                <w:sz w:val="20"/>
                <w:lang w:eastAsia="en-CA"/>
              </w:rPr>
            </w:pPr>
            <w:proofErr w:type="spellStart"/>
            <w:r w:rsidRPr="00DA5EB5">
              <w:rPr>
                <w:kern w:val="2"/>
                <w:sz w:val="20"/>
                <w:lang w:eastAsia="en-CA"/>
              </w:rPr>
              <w:t>Mr</w:t>
            </w:r>
            <w:proofErr w:type="spellEnd"/>
            <w:r w:rsidRPr="00DA5EB5">
              <w:rPr>
                <w:kern w:val="2"/>
                <w:sz w:val="20"/>
                <w:lang w:eastAsia="en-CA"/>
              </w:rPr>
              <w:t xml:space="preserve"> </w:t>
            </w:r>
            <w:proofErr w:type="spellStart"/>
            <w:r w:rsidRPr="00DA5EB5">
              <w:rPr>
                <w:kern w:val="2"/>
                <w:sz w:val="20"/>
                <w:lang w:eastAsia="en-CA"/>
              </w:rPr>
              <w:t>Kerrison</w:t>
            </w:r>
            <w:proofErr w:type="spellEnd"/>
            <w:r w:rsidRPr="00DA5EB5">
              <w:rPr>
                <w:kern w:val="2"/>
                <w:sz w:val="20"/>
                <w:lang w:eastAsia="en-CA"/>
              </w:rPr>
              <w:t xml:space="preserve"> is now 70, in poor health and his wife is in less than good health.</w:t>
            </w:r>
          </w:p>
          <w:p w14:paraId="3F951C98" w14:textId="77777777" w:rsidR="00AA08D4" w:rsidRPr="00DA5EB5" w:rsidRDefault="00AA08D4" w:rsidP="00014F3C">
            <w:pPr>
              <w:rPr>
                <w:kern w:val="2"/>
                <w:sz w:val="20"/>
                <w:lang w:eastAsia="en-CA"/>
              </w:rPr>
            </w:pPr>
            <w:r w:rsidRPr="00DA5EB5">
              <w:rPr>
                <w:kern w:val="2"/>
                <w:sz w:val="20"/>
                <w:lang w:eastAsia="en-CA"/>
              </w:rPr>
              <w:t>I make a reduction due to age, health and caring responsibility to his wife, and I have seen the medical reports. If he was 5 years younger I would have imposed a sentence of 5 years. The most lenient sentence I can give is 4 years.</w:t>
            </w:r>
          </w:p>
          <w:p w14:paraId="5676D7D9" w14:textId="77777777" w:rsidR="00AA08D4" w:rsidRPr="00DA5EB5" w:rsidRDefault="00AA08D4" w:rsidP="00014F3C">
            <w:pPr>
              <w:rPr>
                <w:b/>
                <w:kern w:val="2"/>
                <w:sz w:val="20"/>
                <w:lang w:eastAsia="en-CA"/>
              </w:rPr>
            </w:pPr>
            <w:r w:rsidRPr="00DA5EB5">
              <w:rPr>
                <w:b/>
                <w:bCs/>
                <w:kern w:val="2"/>
                <w:sz w:val="20"/>
                <w:lang w:eastAsia="en-CA"/>
              </w:rPr>
              <w:t>Paul Jennings</w:t>
            </w:r>
          </w:p>
          <w:p w14:paraId="28437780" w14:textId="77777777" w:rsidR="00AA08D4" w:rsidRPr="00DA5EB5" w:rsidRDefault="00AA08D4" w:rsidP="00014F3C">
            <w:pPr>
              <w:rPr>
                <w:kern w:val="2"/>
                <w:sz w:val="20"/>
                <w:lang w:eastAsia="en-CA"/>
              </w:rPr>
            </w:pPr>
            <w:proofErr w:type="spellStart"/>
            <w:r w:rsidRPr="00DA5EB5">
              <w:rPr>
                <w:kern w:val="2"/>
                <w:sz w:val="20"/>
                <w:lang w:eastAsia="en-CA"/>
              </w:rPr>
              <w:t>Mr</w:t>
            </w:r>
            <w:proofErr w:type="spellEnd"/>
            <w:r w:rsidRPr="00DA5EB5">
              <w:rPr>
                <w:kern w:val="2"/>
                <w:sz w:val="20"/>
                <w:lang w:eastAsia="en-CA"/>
              </w:rPr>
              <w:t xml:space="preserve"> Jennings was CEO from April 2005 in succession to David </w:t>
            </w:r>
            <w:proofErr w:type="spellStart"/>
            <w:r w:rsidRPr="00DA5EB5">
              <w:rPr>
                <w:kern w:val="2"/>
                <w:sz w:val="20"/>
                <w:lang w:eastAsia="en-CA"/>
              </w:rPr>
              <w:t>Kerrison</w:t>
            </w:r>
            <w:proofErr w:type="spellEnd"/>
            <w:r w:rsidRPr="00DA5EB5">
              <w:rPr>
                <w:kern w:val="2"/>
                <w:sz w:val="20"/>
                <w:lang w:eastAsia="en-CA"/>
              </w:rPr>
              <w:t xml:space="preserve">. He served until 2008 and he was formally dismissed in June 2009. He inherited an existing situation and didn’t instigate it. He allowed the corruption to continue. He said that the Chairman told him that this was the way it was always done. By pleading guilty, he accepts he knew and intended to be part of the corruption. As CEO he must accept substantial responsibility but less than David </w:t>
            </w:r>
            <w:proofErr w:type="spellStart"/>
            <w:r w:rsidRPr="00DA5EB5">
              <w:rPr>
                <w:kern w:val="2"/>
                <w:sz w:val="20"/>
                <w:lang w:eastAsia="en-CA"/>
              </w:rPr>
              <w:t>Kerrison</w:t>
            </w:r>
            <w:proofErr w:type="spellEnd"/>
            <w:r w:rsidRPr="00DA5EB5">
              <w:rPr>
                <w:kern w:val="2"/>
                <w:sz w:val="20"/>
                <w:lang w:eastAsia="en-CA"/>
              </w:rPr>
              <w:t>.</w:t>
            </w:r>
          </w:p>
          <w:p w14:paraId="3F4C30E8" w14:textId="77777777" w:rsidR="00AA08D4" w:rsidRPr="00DA5EB5" w:rsidRDefault="00AA08D4" w:rsidP="00014F3C">
            <w:pPr>
              <w:rPr>
                <w:kern w:val="2"/>
                <w:sz w:val="20"/>
                <w:lang w:eastAsia="en-CA"/>
              </w:rPr>
            </w:pPr>
            <w:proofErr w:type="spellStart"/>
            <w:r w:rsidRPr="00DA5EB5">
              <w:rPr>
                <w:kern w:val="2"/>
                <w:sz w:val="20"/>
                <w:lang w:eastAsia="en-CA"/>
              </w:rPr>
              <w:t>Mr</w:t>
            </w:r>
            <w:proofErr w:type="spellEnd"/>
            <w:r w:rsidRPr="00DA5EB5">
              <w:rPr>
                <w:kern w:val="2"/>
                <w:sz w:val="20"/>
                <w:lang w:eastAsia="en-CA"/>
              </w:rPr>
              <w:t xml:space="preserve"> Jennings is also of good character. I have read the 50 character references. These show that he encouraged cooperation between management and the workforce, that he had a positive management effect and revitalised the workforce.</w:t>
            </w:r>
          </w:p>
          <w:p w14:paraId="68FD1217" w14:textId="77777777" w:rsidR="00AA08D4" w:rsidRPr="00DA5EB5" w:rsidRDefault="00AA08D4" w:rsidP="00014F3C">
            <w:pPr>
              <w:rPr>
                <w:kern w:val="2"/>
                <w:sz w:val="20"/>
                <w:lang w:eastAsia="en-CA"/>
              </w:rPr>
            </w:pPr>
            <w:proofErr w:type="spellStart"/>
            <w:r w:rsidRPr="00DA5EB5">
              <w:rPr>
                <w:kern w:val="2"/>
                <w:sz w:val="20"/>
                <w:lang w:eastAsia="en-CA"/>
              </w:rPr>
              <w:t>Mr</w:t>
            </w:r>
            <w:proofErr w:type="spellEnd"/>
            <w:r w:rsidRPr="00DA5EB5">
              <w:rPr>
                <w:kern w:val="2"/>
                <w:sz w:val="20"/>
                <w:lang w:eastAsia="en-CA"/>
              </w:rPr>
              <w:t xml:space="preserve"> Jennings cooperated with the American authorities, paying $230,000. He has two young sons aged nine and seven. This case has been the background of their lives. The delay has not been his fault as he had to wait before he could be sentenced. I have read the doctor’s report and read the references from his children’s teachers.</w:t>
            </w:r>
          </w:p>
          <w:p w14:paraId="4FABE614" w14:textId="77777777" w:rsidR="00AA08D4" w:rsidRPr="00DA5EB5" w:rsidRDefault="00AA08D4" w:rsidP="00014F3C">
            <w:pPr>
              <w:rPr>
                <w:kern w:val="2"/>
                <w:sz w:val="20"/>
                <w:lang w:eastAsia="en-CA"/>
              </w:rPr>
            </w:pPr>
            <w:r w:rsidRPr="00DA5EB5">
              <w:rPr>
                <w:kern w:val="2"/>
                <w:sz w:val="20"/>
                <w:lang w:eastAsia="en-CA"/>
              </w:rPr>
              <w:t xml:space="preserve">In ordinary circumstances, I would impose a sentence of 4 years in prison after a trial. I reduce this starting point due to his cooperation firstly to 3 years. Before, I thought a 25% reduction was appropriate as he pleaded guilty after </w:t>
            </w:r>
            <w:proofErr w:type="spellStart"/>
            <w:r w:rsidRPr="00DA5EB5">
              <w:rPr>
                <w:kern w:val="2"/>
                <w:sz w:val="20"/>
                <w:lang w:eastAsia="en-CA"/>
              </w:rPr>
              <w:t>Dr</w:t>
            </w:r>
            <w:proofErr w:type="spellEnd"/>
            <w:r w:rsidRPr="00DA5EB5">
              <w:rPr>
                <w:kern w:val="2"/>
                <w:sz w:val="20"/>
                <w:lang w:eastAsia="en-CA"/>
              </w:rPr>
              <w:t xml:space="preserve"> Turner. However, it was always clear that he wasn’t going to contest therefore the sentence should be reduced to 2 years, which also takes into account the effect on his family.</w:t>
            </w:r>
          </w:p>
          <w:p w14:paraId="10A6726C" w14:textId="77777777" w:rsidR="00AA08D4" w:rsidRPr="00DA5EB5" w:rsidRDefault="00AA08D4" w:rsidP="00014F3C">
            <w:pPr>
              <w:rPr>
                <w:kern w:val="2"/>
                <w:sz w:val="20"/>
                <w:lang w:eastAsia="en-CA"/>
              </w:rPr>
            </w:pPr>
            <w:proofErr w:type="spellStart"/>
            <w:r w:rsidRPr="00DA5EB5">
              <w:rPr>
                <w:kern w:val="2"/>
                <w:sz w:val="20"/>
                <w:lang w:eastAsia="en-CA"/>
              </w:rPr>
              <w:t>Mr</w:t>
            </w:r>
            <w:proofErr w:type="spellEnd"/>
            <w:r w:rsidRPr="00DA5EB5">
              <w:rPr>
                <w:kern w:val="2"/>
                <w:sz w:val="20"/>
                <w:lang w:eastAsia="en-CA"/>
              </w:rPr>
              <w:t xml:space="preserve"> Jennings is ordered to pay £5000 in prosecution costs.</w:t>
            </w:r>
          </w:p>
          <w:p w14:paraId="5C8054F3" w14:textId="77777777" w:rsidR="00AA08D4" w:rsidRPr="00DA5EB5" w:rsidRDefault="00AA08D4" w:rsidP="00014F3C">
            <w:pPr>
              <w:rPr>
                <w:b/>
                <w:kern w:val="2"/>
                <w:sz w:val="20"/>
                <w:lang w:eastAsia="en-CA"/>
              </w:rPr>
            </w:pPr>
            <w:r w:rsidRPr="00DA5EB5">
              <w:rPr>
                <w:b/>
                <w:bCs/>
                <w:kern w:val="2"/>
                <w:sz w:val="20"/>
                <w:lang w:eastAsia="en-CA"/>
              </w:rPr>
              <w:t xml:space="preserve">Miltiades </w:t>
            </w:r>
            <w:proofErr w:type="spellStart"/>
            <w:r w:rsidRPr="00DA5EB5">
              <w:rPr>
                <w:b/>
                <w:bCs/>
                <w:kern w:val="2"/>
                <w:sz w:val="20"/>
                <w:lang w:eastAsia="en-CA"/>
              </w:rPr>
              <w:t>Papachristos</w:t>
            </w:r>
            <w:proofErr w:type="spellEnd"/>
          </w:p>
          <w:p w14:paraId="4247E590" w14:textId="77777777" w:rsidR="00AA08D4" w:rsidRPr="00DA5EB5" w:rsidRDefault="00AA08D4" w:rsidP="00014F3C">
            <w:pPr>
              <w:rPr>
                <w:kern w:val="2"/>
                <w:sz w:val="20"/>
                <w:lang w:eastAsia="en-CA"/>
              </w:rPr>
            </w:pPr>
            <w:r w:rsidRPr="00DA5EB5">
              <w:rPr>
                <w:kern w:val="2"/>
                <w:sz w:val="20"/>
                <w:lang w:eastAsia="en-CA"/>
              </w:rPr>
              <w:t xml:space="preserve">I cannot reduce his sentence as he did not plead guilty. </w:t>
            </w:r>
            <w:proofErr w:type="spellStart"/>
            <w:r w:rsidRPr="00DA5EB5">
              <w:rPr>
                <w:kern w:val="2"/>
                <w:sz w:val="20"/>
                <w:lang w:eastAsia="en-CA"/>
              </w:rPr>
              <w:t>Dr</w:t>
            </w:r>
            <w:proofErr w:type="spellEnd"/>
            <w:r w:rsidRPr="00DA5EB5">
              <w:rPr>
                <w:kern w:val="2"/>
                <w:sz w:val="20"/>
                <w:lang w:eastAsia="en-CA"/>
              </w:rPr>
              <w:t xml:space="preserve"> </w:t>
            </w:r>
            <w:proofErr w:type="spellStart"/>
            <w:r w:rsidRPr="00DA5EB5">
              <w:rPr>
                <w:kern w:val="2"/>
                <w:sz w:val="20"/>
                <w:lang w:eastAsia="en-CA"/>
              </w:rPr>
              <w:t>Papachristos</w:t>
            </w:r>
            <w:proofErr w:type="spellEnd"/>
            <w:r w:rsidRPr="00DA5EB5">
              <w:rPr>
                <w:kern w:val="2"/>
                <w:sz w:val="20"/>
                <w:lang w:eastAsia="en-CA"/>
              </w:rPr>
              <w:t xml:space="preserve"> is an impressively qualified scientist. He had no management responsibility. He was involved in TEL and then </w:t>
            </w:r>
            <w:proofErr w:type="spellStart"/>
            <w:r w:rsidRPr="00DA5EB5">
              <w:rPr>
                <w:kern w:val="2"/>
                <w:sz w:val="20"/>
                <w:lang w:eastAsia="en-CA"/>
              </w:rPr>
              <w:t>Plutosene</w:t>
            </w:r>
            <w:proofErr w:type="spellEnd"/>
            <w:r w:rsidRPr="00DA5EB5">
              <w:rPr>
                <w:kern w:val="2"/>
                <w:sz w:val="20"/>
                <w:lang w:eastAsia="en-CA"/>
              </w:rPr>
              <w:t xml:space="preserve"> which were small parts of the general business activities. He had a lesser but not insignificant role. He was relatively inexperienced when it came to management and was largely acting under the control of others. The Jury’s verdict was that he was involved in the corruption.</w:t>
            </w:r>
          </w:p>
          <w:p w14:paraId="5B3EA5BE" w14:textId="77777777" w:rsidR="00AA08D4" w:rsidRPr="00DA5EB5" w:rsidRDefault="00AA08D4" w:rsidP="00014F3C">
            <w:pPr>
              <w:rPr>
                <w:kern w:val="2"/>
                <w:sz w:val="20"/>
                <w:lang w:eastAsia="en-CA"/>
              </w:rPr>
            </w:pPr>
            <w:r w:rsidRPr="00DA5EB5">
              <w:rPr>
                <w:kern w:val="2"/>
                <w:sz w:val="20"/>
                <w:lang w:eastAsia="en-CA"/>
              </w:rPr>
              <w:t>A sentence of 18 months imprisonment is the least amount of time I can impose. For all the defendants, they will serve half of their sentence in prison and then they will be released on license based on specific terms. If they break these terms, they will go back to prison. These three defendants can now go down.</w:t>
            </w:r>
          </w:p>
          <w:p w14:paraId="0D696176" w14:textId="77777777" w:rsidR="00AA08D4" w:rsidRPr="00DA5EB5" w:rsidRDefault="00AA08D4" w:rsidP="00014F3C">
            <w:pPr>
              <w:rPr>
                <w:b/>
                <w:bCs/>
                <w:kern w:val="2"/>
                <w:sz w:val="20"/>
                <w:lang w:eastAsia="en-CA"/>
              </w:rPr>
            </w:pPr>
            <w:r w:rsidRPr="00DA5EB5">
              <w:rPr>
                <w:b/>
                <w:bCs/>
                <w:kern w:val="2"/>
                <w:sz w:val="20"/>
                <w:lang w:eastAsia="en-CA"/>
              </w:rPr>
              <w:t>David Turner</w:t>
            </w:r>
          </w:p>
          <w:p w14:paraId="1ECCB3E0" w14:textId="77777777" w:rsidR="00AA08D4" w:rsidRPr="00DA5EB5" w:rsidRDefault="00AA08D4" w:rsidP="00014F3C">
            <w:pPr>
              <w:spacing w:after="120"/>
              <w:rPr>
                <w:kern w:val="2"/>
                <w:sz w:val="20"/>
                <w:lang w:eastAsia="en-CA"/>
              </w:rPr>
            </w:pPr>
            <w:r w:rsidRPr="00DA5EB5">
              <w:rPr>
                <w:kern w:val="2"/>
                <w:sz w:val="20"/>
                <w:lang w:eastAsia="en-CA"/>
              </w:rPr>
              <w:t>In many ways, this is the most difficult. As Business Director he must accept substantial responsibility. The corruption went on for a number of years and he accepts he had an active part in it in Indonesia and Iraq as he pleaded guilty…. A defendant who enters into a cooperation agreement is entitled to more than a third discount… There is a public interest in providing an inducement for defendants to cooperate…. An inducement is an inverse deterrence. Just as sometimes it is appropriate to sentence as a deterrent, it is also appropriate to encourage others to cooperate.</w:t>
            </w:r>
          </w:p>
          <w:p w14:paraId="2E1D6135" w14:textId="77777777" w:rsidR="00AA08D4" w:rsidRPr="00DA5EB5" w:rsidRDefault="00AA08D4" w:rsidP="00014F3C">
            <w:pPr>
              <w:spacing w:before="0" w:after="0"/>
              <w:rPr>
                <w:kern w:val="2"/>
                <w:sz w:val="20"/>
                <w:lang w:eastAsia="en-CA"/>
              </w:rPr>
            </w:pPr>
            <w:r w:rsidRPr="00DA5EB5">
              <w:rPr>
                <w:kern w:val="2"/>
                <w:sz w:val="20"/>
                <w:lang w:eastAsia="en-CA"/>
              </w:rPr>
              <w:t>…</w:t>
            </w:r>
          </w:p>
          <w:p w14:paraId="3826F703" w14:textId="77777777" w:rsidR="00AA08D4" w:rsidRPr="00DA5EB5" w:rsidRDefault="00AA08D4" w:rsidP="00014F3C">
            <w:pPr>
              <w:spacing w:before="120"/>
              <w:rPr>
                <w:kern w:val="2"/>
                <w:sz w:val="20"/>
                <w:lang w:eastAsia="en-CA"/>
              </w:rPr>
            </w:pPr>
            <w:r w:rsidRPr="00DA5EB5">
              <w:rPr>
                <w:kern w:val="2"/>
                <w:sz w:val="20"/>
                <w:lang w:eastAsia="en-CA"/>
              </w:rPr>
              <w:t>The starting point is 4 years if convicted by trial. He is entitled to having a third discounted and then half, or to a two thirds discount. [The discount of a third is for his guilty plea and then a discount of half of that is for his cooperation agreement.] The result either way is the same, a 16 month sentence. Should this 16 month be suspended? The important factors are:</w:t>
            </w:r>
          </w:p>
          <w:p w14:paraId="49DEEFE0" w14:textId="77777777" w:rsidR="00AA08D4" w:rsidRPr="00DA5EB5" w:rsidRDefault="00AA08D4" w:rsidP="00014F3C">
            <w:pPr>
              <w:pStyle w:val="ListParagraph"/>
              <w:numPr>
                <w:ilvl w:val="0"/>
                <w:numId w:val="53"/>
              </w:numPr>
              <w:rPr>
                <w:kern w:val="2"/>
                <w:sz w:val="20"/>
                <w:lang w:eastAsia="en-CA"/>
              </w:rPr>
            </w:pPr>
            <w:r w:rsidRPr="00DA5EB5">
              <w:rPr>
                <w:kern w:val="2"/>
                <w:sz w:val="20"/>
                <w:lang w:eastAsia="en-CA"/>
              </w:rPr>
              <w:t>the quality of his evidence;</w:t>
            </w:r>
          </w:p>
          <w:p w14:paraId="08A550A6" w14:textId="77777777" w:rsidR="00AA08D4" w:rsidRPr="00DA5EB5" w:rsidRDefault="00AA08D4" w:rsidP="00014F3C">
            <w:pPr>
              <w:pStyle w:val="ListParagraph"/>
              <w:numPr>
                <w:ilvl w:val="0"/>
                <w:numId w:val="53"/>
              </w:numPr>
              <w:rPr>
                <w:kern w:val="2"/>
                <w:sz w:val="20"/>
                <w:lang w:eastAsia="en-CA"/>
              </w:rPr>
            </w:pPr>
            <w:r w:rsidRPr="00DA5EB5">
              <w:rPr>
                <w:kern w:val="2"/>
                <w:sz w:val="20"/>
                <w:lang w:eastAsia="en-CA"/>
              </w:rPr>
              <w:t>the delay/lapse of time which was not his fault; and</w:t>
            </w:r>
          </w:p>
          <w:p w14:paraId="4913B5D7" w14:textId="77777777" w:rsidR="00AA08D4" w:rsidRPr="00DA5EB5" w:rsidRDefault="00AA08D4" w:rsidP="00014F3C">
            <w:pPr>
              <w:pStyle w:val="ListParagraph"/>
              <w:numPr>
                <w:ilvl w:val="0"/>
                <w:numId w:val="53"/>
              </w:numPr>
              <w:rPr>
                <w:kern w:val="2"/>
                <w:sz w:val="20"/>
                <w:lang w:eastAsia="en-CA"/>
              </w:rPr>
            </w:pPr>
            <w:proofErr w:type="gramStart"/>
            <w:r w:rsidRPr="00DA5EB5">
              <w:rPr>
                <w:kern w:val="2"/>
                <w:sz w:val="20"/>
                <w:lang w:eastAsia="en-CA"/>
              </w:rPr>
              <w:t>that</w:t>
            </w:r>
            <w:proofErr w:type="gramEnd"/>
            <w:r w:rsidRPr="00DA5EB5">
              <w:rPr>
                <w:kern w:val="2"/>
                <w:sz w:val="20"/>
                <w:lang w:eastAsia="en-CA"/>
              </w:rPr>
              <w:t xml:space="preserve"> he made a voluntary repayment of $40,000 to the US authorities so there can be no further confiscation order against him.</w:t>
            </w:r>
          </w:p>
          <w:p w14:paraId="17B7ADA7" w14:textId="77777777" w:rsidR="00B3222B" w:rsidRPr="00DA5EB5" w:rsidRDefault="00AA08D4" w:rsidP="00014F3C">
            <w:pPr>
              <w:rPr>
                <w:kern w:val="2"/>
                <w:sz w:val="20"/>
                <w:lang w:eastAsia="en-CA"/>
              </w:rPr>
            </w:pPr>
            <w:r w:rsidRPr="00DA5EB5">
              <w:rPr>
                <w:kern w:val="2"/>
                <w:sz w:val="20"/>
                <w:lang w:eastAsia="en-CA"/>
              </w:rPr>
              <w:t xml:space="preserve">It is a combination of these factors which persuades me to suspend this 16 month sentence for 2 </w:t>
            </w:r>
            <w:r w:rsidR="00B3222B" w:rsidRPr="00DA5EB5">
              <w:rPr>
                <w:kern w:val="2"/>
                <w:sz w:val="20"/>
                <w:lang w:eastAsia="en-CA"/>
              </w:rPr>
              <w:t>years.</w:t>
            </w:r>
          </w:p>
          <w:p w14:paraId="1433C22A" w14:textId="167EC0D0" w:rsidR="00AA08D4" w:rsidRPr="00DA5EB5" w:rsidRDefault="00AA08D4" w:rsidP="00014F3C">
            <w:pPr>
              <w:rPr>
                <w:kern w:val="2"/>
                <w:sz w:val="20"/>
                <w:lang w:eastAsia="en-CA"/>
              </w:rPr>
            </w:pPr>
            <w:r w:rsidRPr="00DA5EB5">
              <w:rPr>
                <w:kern w:val="2"/>
                <w:sz w:val="20"/>
                <w:lang w:eastAsia="en-CA"/>
              </w:rPr>
              <w:t xml:space="preserve">There must be a punishment. </w:t>
            </w:r>
            <w:proofErr w:type="spellStart"/>
            <w:r w:rsidRPr="00DA5EB5">
              <w:rPr>
                <w:kern w:val="2"/>
                <w:sz w:val="20"/>
                <w:lang w:eastAsia="en-CA"/>
              </w:rPr>
              <w:t>Mr</w:t>
            </w:r>
            <w:proofErr w:type="spellEnd"/>
            <w:r w:rsidRPr="00DA5EB5">
              <w:rPr>
                <w:kern w:val="2"/>
                <w:sz w:val="20"/>
                <w:lang w:eastAsia="en-CA"/>
              </w:rPr>
              <w:t xml:space="preserve"> Jennings will do 300 hours of unpaid work and will pay £10,000 towards prosecution costs.</w:t>
            </w:r>
            <w:r w:rsidR="00AB3998" w:rsidRPr="00DA5EB5">
              <w:rPr>
                <w:rStyle w:val="FootnoteReference"/>
                <w:rFonts w:eastAsia="Times New Roman"/>
                <w:kern w:val="2"/>
                <w:szCs w:val="21"/>
                <w:lang w:eastAsia="en-CA"/>
              </w:rPr>
              <w:footnoteReference w:id="75"/>
            </w:r>
          </w:p>
          <w:p w14:paraId="25D523B0" w14:textId="14332F60" w:rsidR="00AA08D4" w:rsidRPr="00DA5EB5" w:rsidRDefault="00AA08D4" w:rsidP="00014F3C">
            <w:pPr>
              <w:pStyle w:val="ExcerptMarker"/>
              <w:spacing w:after="0"/>
              <w:rPr>
                <w:kern w:val="2"/>
                <w:sz w:val="16"/>
              </w:rPr>
            </w:pPr>
            <w:r w:rsidRPr="00DA5EB5">
              <w:rPr>
                <w:kern w:val="2"/>
                <w:sz w:val="16"/>
              </w:rPr>
              <w:t>End of Excerpt</w:t>
            </w:r>
          </w:p>
        </w:tc>
      </w:tr>
    </w:tbl>
    <w:p w14:paraId="1A1EFE51" w14:textId="765ED0C8" w:rsidR="0022676A" w:rsidRPr="00DA5EB5" w:rsidRDefault="001619DD" w:rsidP="007C3517">
      <w:pPr>
        <w:rPr>
          <w:kern w:val="2"/>
          <w:sz w:val="20"/>
        </w:rPr>
      </w:pPr>
      <w:proofErr w:type="spellStart"/>
      <w:r w:rsidRPr="00DA5EB5">
        <w:rPr>
          <w:kern w:val="2"/>
          <w:sz w:val="20"/>
        </w:rPr>
        <w:t>Sweett</w:t>
      </w:r>
      <w:proofErr w:type="spellEnd"/>
      <w:r w:rsidRPr="00DA5EB5">
        <w:rPr>
          <w:kern w:val="2"/>
          <w:sz w:val="20"/>
        </w:rPr>
        <w:t xml:space="preserve"> Group PLC </w:t>
      </w:r>
      <w:r w:rsidR="00907FD9" w:rsidRPr="00DA5EB5">
        <w:rPr>
          <w:kern w:val="2"/>
          <w:sz w:val="20"/>
        </w:rPr>
        <w:t>wa</w:t>
      </w:r>
      <w:r w:rsidRPr="00DA5EB5">
        <w:rPr>
          <w:kern w:val="2"/>
          <w:sz w:val="20"/>
        </w:rPr>
        <w:t xml:space="preserve">s the first company to be sentenced under </w:t>
      </w:r>
      <w:r w:rsidR="00AD773C" w:rsidRPr="00DA5EB5">
        <w:rPr>
          <w:kern w:val="2"/>
          <w:sz w:val="20"/>
        </w:rPr>
        <w:t>s</w:t>
      </w:r>
      <w:r w:rsidR="00907FD9" w:rsidRPr="00DA5EB5">
        <w:rPr>
          <w:kern w:val="2"/>
          <w:sz w:val="20"/>
        </w:rPr>
        <w:t>ection</w:t>
      </w:r>
      <w:r w:rsidR="00AD773C" w:rsidRPr="00DA5EB5">
        <w:rPr>
          <w:kern w:val="2"/>
          <w:sz w:val="20"/>
        </w:rPr>
        <w:t xml:space="preserve"> 7 of </w:t>
      </w:r>
      <w:r w:rsidRPr="00DA5EB5">
        <w:rPr>
          <w:kern w:val="2"/>
          <w:sz w:val="20"/>
        </w:rPr>
        <w:t xml:space="preserve">the </w:t>
      </w:r>
      <w:r w:rsidRPr="00DA5EB5">
        <w:rPr>
          <w:i/>
          <w:kern w:val="2"/>
          <w:sz w:val="20"/>
        </w:rPr>
        <w:t>Bribery Act 2010.</w:t>
      </w:r>
      <w:r w:rsidRPr="00DA5EB5">
        <w:rPr>
          <w:kern w:val="2"/>
          <w:sz w:val="20"/>
        </w:rPr>
        <w:t xml:space="preserve"> Media allegations led to an internal investigation, </w:t>
      </w:r>
      <w:r w:rsidR="00907FD9" w:rsidRPr="00DA5EB5">
        <w:rPr>
          <w:kern w:val="2"/>
          <w:sz w:val="20"/>
        </w:rPr>
        <w:t xml:space="preserve">which </w:t>
      </w:r>
      <w:r w:rsidR="006F78A1" w:rsidRPr="00DA5EB5">
        <w:rPr>
          <w:kern w:val="2"/>
          <w:sz w:val="20"/>
        </w:rPr>
        <w:t>discovered</w:t>
      </w:r>
      <w:r w:rsidRPr="00DA5EB5">
        <w:rPr>
          <w:kern w:val="2"/>
          <w:sz w:val="20"/>
        </w:rPr>
        <w:t xml:space="preserve"> that a subsidiary made corrupt payments to help </w:t>
      </w:r>
      <w:r w:rsidR="00AD773C" w:rsidRPr="00DA5EB5">
        <w:rPr>
          <w:kern w:val="2"/>
          <w:sz w:val="20"/>
        </w:rPr>
        <w:t>secure a contract in Abu Dhabi.</w:t>
      </w:r>
      <w:r w:rsidRPr="00DA5EB5">
        <w:rPr>
          <w:kern w:val="2"/>
          <w:sz w:val="20"/>
        </w:rPr>
        <w:t xml:space="preserve"> The company admitted </w:t>
      </w:r>
      <w:r w:rsidR="00AD773C" w:rsidRPr="00DA5EB5">
        <w:rPr>
          <w:kern w:val="2"/>
          <w:sz w:val="20"/>
        </w:rPr>
        <w:t>to failing to prevent bribery and</w:t>
      </w:r>
      <w:r w:rsidRPr="00DA5EB5">
        <w:rPr>
          <w:kern w:val="2"/>
          <w:sz w:val="20"/>
        </w:rPr>
        <w:t xml:space="preserve"> was sentenced to a fine of £1.4 million, a confiscation </w:t>
      </w:r>
      <w:r w:rsidR="00AD773C" w:rsidRPr="00DA5EB5">
        <w:rPr>
          <w:kern w:val="2"/>
          <w:sz w:val="20"/>
        </w:rPr>
        <w:t>order of £850,000 and £95,000 in</w:t>
      </w:r>
      <w:r w:rsidRPr="00DA5EB5">
        <w:rPr>
          <w:kern w:val="2"/>
          <w:sz w:val="20"/>
        </w:rPr>
        <w:t xml:space="preserve"> costs.</w:t>
      </w:r>
      <w:r w:rsidRPr="00DA5EB5">
        <w:rPr>
          <w:rStyle w:val="FootnoteReference"/>
          <w:color w:val="000000" w:themeColor="text1"/>
          <w:kern w:val="2"/>
        </w:rPr>
        <w:footnoteReference w:id="76"/>
      </w:r>
    </w:p>
    <w:p w14:paraId="320F321B" w14:textId="649E7A22" w:rsidR="0022676A" w:rsidRPr="00DA5EB5" w:rsidRDefault="00997B5F" w:rsidP="007C3517">
      <w:pPr>
        <w:spacing w:after="0"/>
        <w:rPr>
          <w:color w:val="000000" w:themeColor="text1"/>
          <w:kern w:val="2"/>
          <w:sz w:val="20"/>
        </w:rPr>
      </w:pPr>
      <w:r w:rsidRPr="00DA5EB5">
        <w:rPr>
          <w:color w:val="000000" w:themeColor="text1"/>
          <w:kern w:val="2"/>
          <w:sz w:val="20"/>
          <w:lang w:val="en"/>
        </w:rPr>
        <w:t xml:space="preserve">In a case concerning Sustainable </w:t>
      </w:r>
      <w:proofErr w:type="spellStart"/>
      <w:r w:rsidRPr="00DA5EB5">
        <w:rPr>
          <w:color w:val="000000" w:themeColor="text1"/>
          <w:kern w:val="2"/>
          <w:sz w:val="20"/>
          <w:lang w:val="en"/>
        </w:rPr>
        <w:t>Agroenergy</w:t>
      </w:r>
      <w:proofErr w:type="spellEnd"/>
      <w:r w:rsidRPr="00DA5EB5">
        <w:rPr>
          <w:color w:val="000000" w:themeColor="text1"/>
          <w:kern w:val="2"/>
          <w:sz w:val="20"/>
          <w:lang w:val="en"/>
        </w:rPr>
        <w:t xml:space="preserve"> Plc, individuals received p</w:t>
      </w:r>
      <w:r w:rsidR="0022676A" w:rsidRPr="00DA5EB5">
        <w:rPr>
          <w:color w:val="000000" w:themeColor="text1"/>
          <w:kern w:val="2"/>
          <w:sz w:val="20"/>
          <w:lang w:val="en"/>
        </w:rPr>
        <w:t>rison sentences ranging from 6-13 years</w:t>
      </w:r>
      <w:r w:rsidR="00AD773C" w:rsidRPr="00DA5EB5">
        <w:rPr>
          <w:color w:val="000000" w:themeColor="text1"/>
          <w:kern w:val="2"/>
          <w:sz w:val="20"/>
          <w:lang w:val="en"/>
        </w:rPr>
        <w:t xml:space="preserve">. </w:t>
      </w:r>
      <w:r w:rsidR="0022676A" w:rsidRPr="00DA5EB5">
        <w:rPr>
          <w:color w:val="000000" w:themeColor="text1"/>
          <w:kern w:val="2"/>
          <w:sz w:val="20"/>
          <w:lang w:val="en"/>
        </w:rPr>
        <w:t>The co</w:t>
      </w:r>
      <w:r w:rsidR="00AD773C" w:rsidRPr="00DA5EB5">
        <w:rPr>
          <w:color w:val="000000" w:themeColor="text1"/>
          <w:kern w:val="2"/>
          <w:sz w:val="20"/>
          <w:lang w:val="en"/>
        </w:rPr>
        <w:t xml:space="preserve">mpany operated a Ponzi scheme. </w:t>
      </w:r>
      <w:r w:rsidR="0022676A" w:rsidRPr="00DA5EB5">
        <w:rPr>
          <w:color w:val="000000" w:themeColor="text1"/>
          <w:kern w:val="2"/>
          <w:sz w:val="20"/>
          <w:lang w:val="en"/>
        </w:rPr>
        <w:t xml:space="preserve">Charges fell under multiple statutes, including the </w:t>
      </w:r>
      <w:r w:rsidR="0022676A" w:rsidRPr="00DA5EB5">
        <w:rPr>
          <w:i/>
          <w:color w:val="000000" w:themeColor="text1"/>
          <w:kern w:val="2"/>
          <w:sz w:val="20"/>
          <w:lang w:val="en"/>
        </w:rPr>
        <w:t>Bribery Act 2010</w:t>
      </w:r>
      <w:r w:rsidR="0022676A" w:rsidRPr="00DA5EB5">
        <w:rPr>
          <w:color w:val="000000" w:themeColor="text1"/>
          <w:kern w:val="2"/>
          <w:sz w:val="20"/>
          <w:lang w:val="en"/>
        </w:rPr>
        <w:t>. The longest sentence was given to Chief Commercial Officer</w:t>
      </w:r>
      <w:r w:rsidR="00680652" w:rsidRPr="00DA5EB5">
        <w:rPr>
          <w:color w:val="000000" w:themeColor="text1"/>
          <w:kern w:val="2"/>
          <w:sz w:val="20"/>
          <w:lang w:val="en"/>
        </w:rPr>
        <w:t>,</w:t>
      </w:r>
      <w:r w:rsidR="0022676A" w:rsidRPr="00DA5EB5">
        <w:rPr>
          <w:color w:val="000000" w:themeColor="text1"/>
          <w:kern w:val="2"/>
          <w:sz w:val="20"/>
          <w:lang w:val="en"/>
        </w:rPr>
        <w:t xml:space="preserve"> Gary West, who was convicted by a jury of bribery under the </w:t>
      </w:r>
      <w:r w:rsidR="0022676A" w:rsidRPr="00DA5EB5">
        <w:rPr>
          <w:i/>
          <w:color w:val="000000" w:themeColor="text1"/>
          <w:kern w:val="2"/>
          <w:sz w:val="20"/>
          <w:lang w:val="en"/>
        </w:rPr>
        <w:t>Bribery Act 2010</w:t>
      </w:r>
      <w:r w:rsidR="0022676A" w:rsidRPr="00DA5EB5">
        <w:rPr>
          <w:color w:val="000000" w:themeColor="text1"/>
          <w:kern w:val="2"/>
          <w:sz w:val="20"/>
          <w:lang w:val="en"/>
        </w:rPr>
        <w:t xml:space="preserve"> as well as offences under the </w:t>
      </w:r>
      <w:r w:rsidR="0022676A" w:rsidRPr="00DA5EB5">
        <w:rPr>
          <w:i/>
          <w:color w:val="000000" w:themeColor="text1"/>
          <w:kern w:val="2"/>
          <w:sz w:val="20"/>
          <w:lang w:val="en"/>
        </w:rPr>
        <w:t>Criminal Law Act 1977</w:t>
      </w:r>
      <w:r w:rsidR="0022676A" w:rsidRPr="00DA5EB5">
        <w:rPr>
          <w:color w:val="000000" w:themeColor="text1"/>
          <w:kern w:val="2"/>
          <w:sz w:val="20"/>
          <w:lang w:val="en"/>
        </w:rPr>
        <w:t xml:space="preserve"> and </w:t>
      </w:r>
      <w:r w:rsidR="0022676A" w:rsidRPr="00DA5EB5">
        <w:rPr>
          <w:i/>
          <w:color w:val="000000" w:themeColor="text1"/>
          <w:kern w:val="2"/>
          <w:sz w:val="20"/>
          <w:lang w:val="en"/>
        </w:rPr>
        <w:t>Companies Act 2006</w:t>
      </w:r>
      <w:r w:rsidR="0022676A" w:rsidRPr="00DA5EB5">
        <w:rPr>
          <w:color w:val="000000" w:themeColor="text1"/>
          <w:kern w:val="2"/>
          <w:sz w:val="20"/>
          <w:lang w:val="en"/>
        </w:rPr>
        <w:t>. West received 13 years imprisonment, a £52,805 confiscation order and a 15-year disqualification from acting as a company director.</w:t>
      </w:r>
      <w:r w:rsidR="0022676A" w:rsidRPr="00DA5EB5">
        <w:rPr>
          <w:rStyle w:val="FootnoteReference"/>
          <w:color w:val="000000" w:themeColor="text1"/>
          <w:kern w:val="2"/>
          <w:lang w:val="en"/>
        </w:rPr>
        <w:footnoteReference w:id="77"/>
      </w:r>
    </w:p>
    <w:p w14:paraId="58D5F365" w14:textId="7ADD3DE8" w:rsidR="00E534EE" w:rsidRPr="00DA5EB5" w:rsidRDefault="0061282C" w:rsidP="007C3517">
      <w:pPr>
        <w:pStyle w:val="Heading2"/>
        <w:rPr>
          <w:kern w:val="2"/>
          <w:sz w:val="24"/>
        </w:rPr>
      </w:pPr>
      <w:r w:rsidRPr="00DA5EB5">
        <w:rPr>
          <w:kern w:val="2"/>
          <w:sz w:val="24"/>
        </w:rPr>
        <w:t>Sentencing Guidelines for Corruption</w:t>
      </w:r>
      <w:r w:rsidR="00997B5F" w:rsidRPr="00DA5EB5">
        <w:rPr>
          <w:kern w:val="2"/>
          <w:sz w:val="24"/>
        </w:rPr>
        <w:t>-</w:t>
      </w:r>
      <w:r w:rsidRPr="00DA5EB5">
        <w:rPr>
          <w:kern w:val="2"/>
          <w:sz w:val="24"/>
        </w:rPr>
        <w:t>Related Offences</w:t>
      </w:r>
      <w:r w:rsidR="004E3083" w:rsidRPr="00DA5EB5">
        <w:rPr>
          <w:kern w:val="2"/>
          <w:sz w:val="24"/>
        </w:rPr>
        <w:t xml:space="preserve"> by Human Offenders</w:t>
      </w:r>
      <w:r w:rsidRPr="00DA5EB5">
        <w:rPr>
          <w:kern w:val="2"/>
          <w:sz w:val="24"/>
        </w:rPr>
        <w:t xml:space="preserve"> </w:t>
      </w:r>
    </w:p>
    <w:p w14:paraId="409605C4" w14:textId="2385F213" w:rsidR="0061282C" w:rsidRPr="00DA5EB5" w:rsidRDefault="0061282C" w:rsidP="007C3517">
      <w:pPr>
        <w:rPr>
          <w:color w:val="000000" w:themeColor="text1"/>
          <w:kern w:val="2"/>
          <w:sz w:val="20"/>
        </w:rPr>
      </w:pPr>
      <w:r w:rsidRPr="00DA5EB5">
        <w:rPr>
          <w:color w:val="000000" w:themeColor="text1"/>
          <w:kern w:val="2"/>
          <w:sz w:val="20"/>
        </w:rPr>
        <w:t xml:space="preserve">The Sentencing Council </w:t>
      </w:r>
      <w:r w:rsidR="00655059" w:rsidRPr="00DA5EB5">
        <w:rPr>
          <w:color w:val="000000" w:themeColor="text1"/>
          <w:kern w:val="2"/>
          <w:sz w:val="20"/>
        </w:rPr>
        <w:t>published guidelines for fraud, bribery and money laundering o</w:t>
      </w:r>
      <w:r w:rsidRPr="00DA5EB5">
        <w:rPr>
          <w:color w:val="000000" w:themeColor="text1"/>
          <w:kern w:val="2"/>
          <w:sz w:val="20"/>
        </w:rPr>
        <w:t>ffences</w:t>
      </w:r>
      <w:r w:rsidR="00997B5F" w:rsidRPr="00DA5EB5">
        <w:rPr>
          <w:color w:val="000000" w:themeColor="text1"/>
          <w:kern w:val="2"/>
          <w:sz w:val="20"/>
        </w:rPr>
        <w:t xml:space="preserve"> (Guidelines)</w:t>
      </w:r>
      <w:r w:rsidRPr="00DA5EB5">
        <w:rPr>
          <w:color w:val="000000" w:themeColor="text1"/>
          <w:kern w:val="2"/>
          <w:sz w:val="20"/>
        </w:rPr>
        <w:t>.</w:t>
      </w:r>
      <w:r w:rsidRPr="00DA5EB5">
        <w:rPr>
          <w:rStyle w:val="FootnoteReference"/>
          <w:color w:val="000000" w:themeColor="text1"/>
          <w:kern w:val="2"/>
        </w:rPr>
        <w:footnoteReference w:id="78"/>
      </w:r>
      <w:r w:rsidRPr="00DA5EB5">
        <w:rPr>
          <w:color w:val="000000" w:themeColor="text1"/>
          <w:kern w:val="2"/>
          <w:sz w:val="20"/>
        </w:rPr>
        <w:t xml:space="preserve"> </w:t>
      </w:r>
      <w:r w:rsidR="00606BF1" w:rsidRPr="00DA5EB5">
        <w:rPr>
          <w:color w:val="000000" w:themeColor="text1"/>
          <w:kern w:val="2"/>
          <w:sz w:val="20"/>
        </w:rPr>
        <w:t xml:space="preserve">These </w:t>
      </w:r>
      <w:r w:rsidR="00997B5F" w:rsidRPr="00DA5EB5">
        <w:rPr>
          <w:color w:val="000000" w:themeColor="text1"/>
          <w:kern w:val="2"/>
          <w:sz w:val="20"/>
        </w:rPr>
        <w:t>G</w:t>
      </w:r>
      <w:r w:rsidR="00606BF1" w:rsidRPr="00DA5EB5">
        <w:rPr>
          <w:color w:val="000000" w:themeColor="text1"/>
          <w:kern w:val="2"/>
          <w:sz w:val="20"/>
        </w:rPr>
        <w:t>uidelines are applicable to sentences imposed on or after October 1, 2014.</w:t>
      </w:r>
      <w:r w:rsidR="00606BF1" w:rsidRPr="00DA5EB5">
        <w:rPr>
          <w:rStyle w:val="FootnoteReference"/>
          <w:color w:val="000000" w:themeColor="text1"/>
          <w:kern w:val="2"/>
        </w:rPr>
        <w:footnoteReference w:id="79"/>
      </w:r>
      <w:r w:rsidR="00606BF1" w:rsidRPr="00DA5EB5">
        <w:rPr>
          <w:color w:val="000000" w:themeColor="text1"/>
          <w:kern w:val="2"/>
          <w:sz w:val="20"/>
        </w:rPr>
        <w:t xml:space="preserve"> </w:t>
      </w:r>
      <w:r w:rsidRPr="00DA5EB5">
        <w:rPr>
          <w:color w:val="000000" w:themeColor="text1"/>
          <w:kern w:val="2"/>
          <w:sz w:val="20"/>
        </w:rPr>
        <w:t xml:space="preserve">For bribery offences, the Guidelines dictate </w:t>
      </w:r>
      <w:r w:rsidR="0052242C" w:rsidRPr="00DA5EB5">
        <w:rPr>
          <w:color w:val="000000" w:themeColor="text1"/>
          <w:kern w:val="2"/>
          <w:sz w:val="20"/>
        </w:rPr>
        <w:t>sentences can</w:t>
      </w:r>
      <w:r w:rsidRPr="00DA5EB5">
        <w:rPr>
          <w:color w:val="000000" w:themeColor="text1"/>
          <w:kern w:val="2"/>
          <w:sz w:val="20"/>
        </w:rPr>
        <w:t xml:space="preserve"> range from a discharge to </w:t>
      </w:r>
      <w:r w:rsidR="0052242C" w:rsidRPr="00DA5EB5">
        <w:rPr>
          <w:color w:val="000000" w:themeColor="text1"/>
          <w:kern w:val="2"/>
          <w:sz w:val="20"/>
        </w:rPr>
        <w:t>eight</w:t>
      </w:r>
      <w:r w:rsidRPr="00DA5EB5">
        <w:rPr>
          <w:color w:val="000000" w:themeColor="text1"/>
          <w:kern w:val="2"/>
          <w:sz w:val="20"/>
        </w:rPr>
        <w:t xml:space="preserve"> years imprisonment.</w:t>
      </w:r>
      <w:r w:rsidRPr="00DA5EB5">
        <w:rPr>
          <w:rStyle w:val="FootnoteReference"/>
          <w:color w:val="000000" w:themeColor="text1"/>
          <w:kern w:val="2"/>
        </w:rPr>
        <w:footnoteReference w:id="80"/>
      </w:r>
      <w:r w:rsidRPr="00DA5EB5">
        <w:rPr>
          <w:color w:val="000000" w:themeColor="text1"/>
          <w:kern w:val="2"/>
          <w:sz w:val="20"/>
        </w:rPr>
        <w:t xml:space="preserve"> </w:t>
      </w:r>
      <w:r w:rsidR="00606BF1" w:rsidRPr="00DA5EB5">
        <w:rPr>
          <w:color w:val="000000" w:themeColor="text1"/>
          <w:kern w:val="2"/>
          <w:sz w:val="20"/>
        </w:rPr>
        <w:t>Money laundering offences are punishable by up to 14 years imprisonment.</w:t>
      </w:r>
      <w:r w:rsidR="00606BF1" w:rsidRPr="00DA5EB5">
        <w:rPr>
          <w:rStyle w:val="FootnoteReference"/>
          <w:color w:val="000000" w:themeColor="text1"/>
          <w:kern w:val="2"/>
          <w:sz w:val="18"/>
        </w:rPr>
        <w:footnoteReference w:id="81"/>
      </w:r>
    </w:p>
    <w:p w14:paraId="56680B64" w14:textId="1EB2A970" w:rsidR="0061282C" w:rsidRPr="00DA5EB5" w:rsidRDefault="0061282C" w:rsidP="00FD73D5">
      <w:pPr>
        <w:keepNext/>
        <w:rPr>
          <w:color w:val="000000" w:themeColor="text1"/>
          <w:kern w:val="2"/>
          <w:sz w:val="20"/>
        </w:rPr>
      </w:pPr>
      <w:r w:rsidRPr="00DA5EB5">
        <w:rPr>
          <w:color w:val="000000" w:themeColor="text1"/>
          <w:kern w:val="2"/>
          <w:sz w:val="20"/>
        </w:rPr>
        <w:t xml:space="preserve">The Guidelines </w:t>
      </w:r>
      <w:r w:rsidR="00C50936" w:rsidRPr="00DA5EB5">
        <w:rPr>
          <w:color w:val="000000" w:themeColor="text1"/>
          <w:kern w:val="2"/>
          <w:sz w:val="20"/>
        </w:rPr>
        <w:t>lay out</w:t>
      </w:r>
      <w:r w:rsidRPr="00DA5EB5">
        <w:rPr>
          <w:color w:val="000000" w:themeColor="text1"/>
          <w:kern w:val="2"/>
          <w:sz w:val="20"/>
        </w:rPr>
        <w:t xml:space="preserve"> an </w:t>
      </w:r>
      <w:r w:rsidR="00C50936" w:rsidRPr="00DA5EB5">
        <w:rPr>
          <w:color w:val="000000" w:themeColor="text1"/>
          <w:kern w:val="2"/>
          <w:sz w:val="20"/>
        </w:rPr>
        <w:t>eight</w:t>
      </w:r>
      <w:r w:rsidRPr="00DA5EB5">
        <w:rPr>
          <w:color w:val="000000" w:themeColor="text1"/>
          <w:kern w:val="2"/>
          <w:sz w:val="20"/>
        </w:rPr>
        <w:t xml:space="preserve">-step process for determining </w:t>
      </w:r>
      <w:r w:rsidR="00C50936" w:rsidRPr="00DA5EB5">
        <w:rPr>
          <w:color w:val="000000" w:themeColor="text1"/>
          <w:kern w:val="2"/>
          <w:sz w:val="20"/>
        </w:rPr>
        <w:t>the</w:t>
      </w:r>
      <w:r w:rsidRPr="00DA5EB5">
        <w:rPr>
          <w:color w:val="000000" w:themeColor="text1"/>
          <w:kern w:val="2"/>
          <w:sz w:val="20"/>
        </w:rPr>
        <w:t xml:space="preserve"> sentence for human offenders:</w:t>
      </w:r>
    </w:p>
    <w:p w14:paraId="35F291B2" w14:textId="77777777" w:rsidR="00AA08D4" w:rsidRPr="00DA5EB5" w:rsidRDefault="0061282C" w:rsidP="00FD73D5">
      <w:pPr>
        <w:pStyle w:val="BlockQuote"/>
        <w:keepNext/>
        <w:numPr>
          <w:ilvl w:val="0"/>
          <w:numId w:val="21"/>
        </w:numPr>
        <w:spacing w:before="60" w:after="0"/>
        <w:jc w:val="left"/>
        <w:rPr>
          <w:color w:val="000000" w:themeColor="text1"/>
          <w:kern w:val="2"/>
          <w:sz w:val="20"/>
        </w:rPr>
      </w:pPr>
      <w:r w:rsidRPr="00DA5EB5">
        <w:rPr>
          <w:kern w:val="2"/>
          <w:sz w:val="20"/>
        </w:rPr>
        <w:t>Step One – Determining the Offence Category</w:t>
      </w:r>
    </w:p>
    <w:p w14:paraId="56513B98" w14:textId="35CC1B74" w:rsidR="00AA08D4" w:rsidRPr="00DA5EB5" w:rsidRDefault="0061282C" w:rsidP="00FD73D5">
      <w:pPr>
        <w:pStyle w:val="BlockQuote"/>
        <w:numPr>
          <w:ilvl w:val="0"/>
          <w:numId w:val="21"/>
        </w:numPr>
        <w:spacing w:before="60" w:after="0"/>
        <w:jc w:val="left"/>
        <w:rPr>
          <w:color w:val="000000" w:themeColor="text1"/>
          <w:kern w:val="2"/>
          <w:sz w:val="20"/>
        </w:rPr>
      </w:pPr>
      <w:r w:rsidRPr="00DA5EB5">
        <w:rPr>
          <w:kern w:val="2"/>
          <w:sz w:val="20"/>
        </w:rPr>
        <w:t>Starting Point and Category Range</w:t>
      </w:r>
    </w:p>
    <w:p w14:paraId="01E4CA7A" w14:textId="77777777" w:rsidR="00AA08D4" w:rsidRPr="00DA5EB5" w:rsidRDefault="0061282C" w:rsidP="00FD73D5">
      <w:pPr>
        <w:pStyle w:val="BlockQuote"/>
        <w:numPr>
          <w:ilvl w:val="0"/>
          <w:numId w:val="21"/>
        </w:numPr>
        <w:spacing w:before="60" w:after="0"/>
        <w:jc w:val="left"/>
        <w:rPr>
          <w:kern w:val="2"/>
          <w:sz w:val="20"/>
        </w:rPr>
      </w:pPr>
      <w:r w:rsidRPr="00DA5EB5">
        <w:rPr>
          <w:kern w:val="2"/>
          <w:sz w:val="20"/>
        </w:rPr>
        <w:t>Consider any factors which indicate a reduction such as assistance to the prosecution</w:t>
      </w:r>
    </w:p>
    <w:p w14:paraId="1BAE85EE" w14:textId="41386597" w:rsidR="00AA08D4" w:rsidRPr="00DA5EB5" w:rsidRDefault="0061282C" w:rsidP="00FD73D5">
      <w:pPr>
        <w:pStyle w:val="BlockQuote"/>
        <w:numPr>
          <w:ilvl w:val="0"/>
          <w:numId w:val="21"/>
        </w:numPr>
        <w:spacing w:before="60" w:after="0"/>
        <w:jc w:val="left"/>
        <w:rPr>
          <w:kern w:val="2"/>
          <w:sz w:val="20"/>
        </w:rPr>
      </w:pPr>
      <w:r w:rsidRPr="00DA5EB5">
        <w:rPr>
          <w:kern w:val="2"/>
          <w:sz w:val="20"/>
        </w:rPr>
        <w:t>Reduction for guilty pleas</w:t>
      </w:r>
    </w:p>
    <w:p w14:paraId="2519B57F" w14:textId="1154BA7B" w:rsidR="0061282C" w:rsidRPr="00DA5EB5" w:rsidRDefault="0061282C" w:rsidP="00FD73D5">
      <w:pPr>
        <w:pStyle w:val="BlockQuote"/>
        <w:numPr>
          <w:ilvl w:val="0"/>
          <w:numId w:val="21"/>
        </w:numPr>
        <w:spacing w:before="60" w:after="0"/>
        <w:jc w:val="left"/>
        <w:rPr>
          <w:kern w:val="2"/>
          <w:sz w:val="20"/>
        </w:rPr>
      </w:pPr>
      <w:r w:rsidRPr="00DA5EB5">
        <w:rPr>
          <w:kern w:val="2"/>
          <w:sz w:val="20"/>
        </w:rPr>
        <w:t xml:space="preserve">Totality Principle </w:t>
      </w:r>
    </w:p>
    <w:p w14:paraId="66549FFA" w14:textId="0C08FBDE" w:rsidR="0061282C" w:rsidRPr="00DA5EB5" w:rsidRDefault="0061282C" w:rsidP="00FD73D5">
      <w:pPr>
        <w:pStyle w:val="BlockQuote"/>
        <w:numPr>
          <w:ilvl w:val="0"/>
          <w:numId w:val="21"/>
        </w:numPr>
        <w:spacing w:before="60" w:after="0"/>
        <w:jc w:val="left"/>
        <w:rPr>
          <w:kern w:val="2"/>
          <w:sz w:val="20"/>
        </w:rPr>
      </w:pPr>
      <w:r w:rsidRPr="00DA5EB5">
        <w:rPr>
          <w:kern w:val="2"/>
          <w:sz w:val="20"/>
        </w:rPr>
        <w:t>Confiscation, compensation and ancillary orders</w:t>
      </w:r>
    </w:p>
    <w:p w14:paraId="578A27AA" w14:textId="4FB33D87" w:rsidR="0061282C" w:rsidRPr="00DA5EB5" w:rsidRDefault="0061282C" w:rsidP="00FD73D5">
      <w:pPr>
        <w:pStyle w:val="BlockQuote"/>
        <w:numPr>
          <w:ilvl w:val="0"/>
          <w:numId w:val="21"/>
        </w:numPr>
        <w:spacing w:before="60" w:after="0"/>
        <w:jc w:val="left"/>
        <w:rPr>
          <w:kern w:val="2"/>
          <w:sz w:val="20"/>
        </w:rPr>
      </w:pPr>
      <w:r w:rsidRPr="00DA5EB5">
        <w:rPr>
          <w:kern w:val="2"/>
          <w:sz w:val="20"/>
        </w:rPr>
        <w:t>Reasons</w:t>
      </w:r>
    </w:p>
    <w:p w14:paraId="6A208989" w14:textId="0809C59B" w:rsidR="0061282C" w:rsidRPr="00DA5EB5" w:rsidRDefault="0061282C" w:rsidP="00FD73D5">
      <w:pPr>
        <w:pStyle w:val="BlockQuote"/>
        <w:numPr>
          <w:ilvl w:val="0"/>
          <w:numId w:val="21"/>
        </w:numPr>
        <w:spacing w:before="60" w:after="0"/>
        <w:jc w:val="left"/>
        <w:rPr>
          <w:kern w:val="2"/>
          <w:sz w:val="20"/>
        </w:rPr>
      </w:pPr>
      <w:r w:rsidRPr="00DA5EB5">
        <w:rPr>
          <w:kern w:val="2"/>
          <w:sz w:val="20"/>
        </w:rPr>
        <w:t>Consideration for time spent on bail.</w:t>
      </w:r>
      <w:r w:rsidR="008F73BD" w:rsidRPr="00DA5EB5">
        <w:rPr>
          <w:rStyle w:val="FootnoteReference"/>
          <w:kern w:val="2"/>
        </w:rPr>
        <w:footnoteReference w:id="82"/>
      </w:r>
    </w:p>
    <w:p w14:paraId="37631882" w14:textId="5371CD88" w:rsidR="008F73BD" w:rsidRPr="00DA5EB5" w:rsidRDefault="001B2361" w:rsidP="008F73BD">
      <w:pPr>
        <w:rPr>
          <w:kern w:val="2"/>
          <w:sz w:val="20"/>
        </w:rPr>
      </w:pPr>
      <w:r w:rsidRPr="00DA5EB5">
        <w:rPr>
          <w:kern w:val="2"/>
          <w:sz w:val="20"/>
        </w:rPr>
        <w:t xml:space="preserve">Note: </w:t>
      </w:r>
      <w:r w:rsidR="008F73BD" w:rsidRPr="00DA5EB5">
        <w:rPr>
          <w:kern w:val="2"/>
          <w:sz w:val="20"/>
        </w:rPr>
        <w:t xml:space="preserve">Guidelines for corporate offenders are set out in </w:t>
      </w:r>
      <w:r w:rsidR="008F73BD" w:rsidRPr="00DA5EB5">
        <w:rPr>
          <w:kern w:val="2"/>
          <w:sz w:val="20"/>
          <w:highlight w:val="cyan"/>
        </w:rPr>
        <w:t>Section 5.5</w:t>
      </w:r>
      <w:r w:rsidR="008F73BD" w:rsidRPr="00DA5EB5">
        <w:rPr>
          <w:kern w:val="2"/>
          <w:sz w:val="20"/>
        </w:rPr>
        <w:t xml:space="preserve"> below.</w:t>
      </w:r>
    </w:p>
    <w:p w14:paraId="7C1E4C09" w14:textId="072F899A" w:rsidR="0061282C" w:rsidRPr="00DA5EB5" w:rsidRDefault="0061282C" w:rsidP="007C3517">
      <w:pPr>
        <w:rPr>
          <w:kern w:val="2"/>
          <w:sz w:val="20"/>
        </w:rPr>
      </w:pPr>
      <w:r w:rsidRPr="00DA5EB5">
        <w:rPr>
          <w:kern w:val="2"/>
          <w:sz w:val="20"/>
        </w:rPr>
        <w:t xml:space="preserve">The </w:t>
      </w:r>
      <w:r w:rsidR="00C50936" w:rsidRPr="00DA5EB5">
        <w:rPr>
          <w:kern w:val="2"/>
          <w:sz w:val="20"/>
        </w:rPr>
        <w:t>G</w:t>
      </w:r>
      <w:r w:rsidRPr="00DA5EB5">
        <w:rPr>
          <w:kern w:val="2"/>
          <w:sz w:val="20"/>
        </w:rPr>
        <w:t>uidelines set out a grid</w:t>
      </w:r>
      <w:r w:rsidR="00C50936" w:rsidRPr="00DA5EB5">
        <w:rPr>
          <w:kern w:val="2"/>
          <w:sz w:val="20"/>
        </w:rPr>
        <w:t xml:space="preserve"> for</w:t>
      </w:r>
      <w:r w:rsidRPr="00DA5EB5">
        <w:rPr>
          <w:kern w:val="2"/>
          <w:sz w:val="20"/>
        </w:rPr>
        <w:t xml:space="preserve"> determining a sentencing range based on a combination of culpability and harm.</w:t>
      </w:r>
      <w:r w:rsidR="00F746E2" w:rsidRPr="00DA5EB5">
        <w:rPr>
          <w:kern w:val="2"/>
          <w:sz w:val="20"/>
        </w:rPr>
        <w:t xml:space="preserve"> </w:t>
      </w:r>
      <w:r w:rsidRPr="00DA5EB5">
        <w:rPr>
          <w:kern w:val="2"/>
          <w:sz w:val="20"/>
        </w:rPr>
        <w:t xml:space="preserve">Culpability is to be determined </w:t>
      </w:r>
      <w:r w:rsidR="00FD6DAC" w:rsidRPr="00DA5EB5">
        <w:rPr>
          <w:kern w:val="2"/>
          <w:sz w:val="20"/>
        </w:rPr>
        <w:t>“</w:t>
      </w:r>
      <w:r w:rsidRPr="00DA5EB5">
        <w:rPr>
          <w:kern w:val="2"/>
          <w:sz w:val="20"/>
        </w:rPr>
        <w:t>by weighing up all the factors of the case to determine the offender’s role and the extent to which the offending was planned and the sophistication with which it was carried out.</w:t>
      </w:r>
      <w:r w:rsidR="00FD6DAC" w:rsidRPr="00DA5EB5">
        <w:rPr>
          <w:kern w:val="2"/>
          <w:sz w:val="20"/>
        </w:rPr>
        <w:t>”</w:t>
      </w:r>
      <w:r w:rsidR="00313F94" w:rsidRPr="00DA5EB5">
        <w:rPr>
          <w:rStyle w:val="FootnoteReference"/>
          <w:kern w:val="2"/>
          <w:sz w:val="18"/>
        </w:rPr>
        <w:footnoteReference w:id="83"/>
      </w:r>
      <w:r w:rsidR="00E87776" w:rsidRPr="00DA5EB5">
        <w:rPr>
          <w:kern w:val="2"/>
          <w:sz w:val="20"/>
        </w:rPr>
        <w:t xml:space="preserve"> </w:t>
      </w:r>
      <w:r w:rsidRPr="00DA5EB5">
        <w:rPr>
          <w:kern w:val="2"/>
          <w:sz w:val="20"/>
        </w:rPr>
        <w:t xml:space="preserve">Culpability is measured in three levels: A </w:t>
      </w:r>
      <w:r w:rsidR="00313F94" w:rsidRPr="00DA5EB5">
        <w:rPr>
          <w:kern w:val="2"/>
          <w:sz w:val="20"/>
        </w:rPr>
        <w:t>(h</w:t>
      </w:r>
      <w:r w:rsidRPr="00DA5EB5">
        <w:rPr>
          <w:kern w:val="2"/>
          <w:sz w:val="20"/>
        </w:rPr>
        <w:t xml:space="preserve">igh </w:t>
      </w:r>
      <w:r w:rsidR="00313F94" w:rsidRPr="00DA5EB5">
        <w:rPr>
          <w:kern w:val="2"/>
          <w:sz w:val="20"/>
        </w:rPr>
        <w:t>c</w:t>
      </w:r>
      <w:r w:rsidRPr="00DA5EB5">
        <w:rPr>
          <w:kern w:val="2"/>
          <w:sz w:val="20"/>
        </w:rPr>
        <w:t>ulpability</w:t>
      </w:r>
      <w:r w:rsidR="00313F94" w:rsidRPr="00DA5EB5">
        <w:rPr>
          <w:kern w:val="2"/>
          <w:sz w:val="20"/>
        </w:rPr>
        <w:t>)</w:t>
      </w:r>
      <w:r w:rsidRPr="00DA5EB5">
        <w:rPr>
          <w:kern w:val="2"/>
          <w:sz w:val="20"/>
        </w:rPr>
        <w:t xml:space="preserve">, B </w:t>
      </w:r>
      <w:r w:rsidR="00313F94" w:rsidRPr="00DA5EB5">
        <w:rPr>
          <w:kern w:val="2"/>
          <w:sz w:val="20"/>
        </w:rPr>
        <w:t>(m</w:t>
      </w:r>
      <w:r w:rsidRPr="00DA5EB5">
        <w:rPr>
          <w:kern w:val="2"/>
          <w:sz w:val="20"/>
        </w:rPr>
        <w:t xml:space="preserve">edium </w:t>
      </w:r>
      <w:r w:rsidR="00313F94" w:rsidRPr="00DA5EB5">
        <w:rPr>
          <w:kern w:val="2"/>
          <w:sz w:val="20"/>
        </w:rPr>
        <w:t>c</w:t>
      </w:r>
      <w:r w:rsidRPr="00DA5EB5">
        <w:rPr>
          <w:kern w:val="2"/>
          <w:sz w:val="20"/>
        </w:rPr>
        <w:t>ulpability</w:t>
      </w:r>
      <w:r w:rsidR="00313F94" w:rsidRPr="00DA5EB5">
        <w:rPr>
          <w:kern w:val="2"/>
          <w:sz w:val="20"/>
        </w:rPr>
        <w:t>)</w:t>
      </w:r>
      <w:r w:rsidRPr="00DA5EB5">
        <w:rPr>
          <w:kern w:val="2"/>
          <w:sz w:val="20"/>
        </w:rPr>
        <w:t xml:space="preserve">, and C </w:t>
      </w:r>
      <w:r w:rsidR="00313F94" w:rsidRPr="00DA5EB5">
        <w:rPr>
          <w:kern w:val="2"/>
          <w:sz w:val="20"/>
        </w:rPr>
        <w:t>(l</w:t>
      </w:r>
      <w:r w:rsidRPr="00DA5EB5">
        <w:rPr>
          <w:kern w:val="2"/>
          <w:sz w:val="20"/>
        </w:rPr>
        <w:t xml:space="preserve">esser </w:t>
      </w:r>
      <w:r w:rsidR="00313F94" w:rsidRPr="00DA5EB5">
        <w:rPr>
          <w:kern w:val="2"/>
          <w:sz w:val="20"/>
        </w:rPr>
        <w:t>c</w:t>
      </w:r>
      <w:r w:rsidRPr="00DA5EB5">
        <w:rPr>
          <w:kern w:val="2"/>
          <w:sz w:val="20"/>
        </w:rPr>
        <w:t>ulpability</w:t>
      </w:r>
      <w:r w:rsidR="00313F94" w:rsidRPr="00DA5EB5">
        <w:rPr>
          <w:kern w:val="2"/>
          <w:sz w:val="20"/>
        </w:rPr>
        <w:t>)</w:t>
      </w:r>
      <w:r w:rsidRPr="00DA5EB5">
        <w:rPr>
          <w:kern w:val="2"/>
          <w:sz w:val="20"/>
        </w:rPr>
        <w:t>.</w:t>
      </w:r>
      <w:r w:rsidRPr="00DA5EB5">
        <w:rPr>
          <w:rStyle w:val="FootnoteReference"/>
          <w:kern w:val="2"/>
        </w:rPr>
        <w:footnoteReference w:id="84"/>
      </w:r>
      <w:r w:rsidRPr="00DA5EB5">
        <w:rPr>
          <w:kern w:val="2"/>
          <w:sz w:val="20"/>
        </w:rPr>
        <w:t xml:space="preserve"> </w:t>
      </w:r>
    </w:p>
    <w:p w14:paraId="3157FA45" w14:textId="1CB823A6" w:rsidR="0061282C" w:rsidRPr="00DA5EB5" w:rsidRDefault="0061282C" w:rsidP="007C3517">
      <w:pPr>
        <w:rPr>
          <w:kern w:val="2"/>
          <w:sz w:val="20"/>
        </w:rPr>
      </w:pPr>
      <w:r w:rsidRPr="00DA5EB5">
        <w:rPr>
          <w:kern w:val="2"/>
          <w:sz w:val="20"/>
        </w:rPr>
        <w:t xml:space="preserve">Harm is to be </w:t>
      </w:r>
      <w:r w:rsidR="00FD6DAC" w:rsidRPr="00DA5EB5">
        <w:rPr>
          <w:kern w:val="2"/>
          <w:sz w:val="20"/>
        </w:rPr>
        <w:t>“</w:t>
      </w:r>
      <w:r w:rsidRPr="00DA5EB5">
        <w:rPr>
          <w:kern w:val="2"/>
          <w:sz w:val="20"/>
        </w:rPr>
        <w:t>assessed in relation to any impact caused by the offending (whether to identifiable victims or in a wider context) and the actual or intended gain to the offender.</w:t>
      </w:r>
      <w:r w:rsidR="00FD6DAC" w:rsidRPr="00DA5EB5">
        <w:rPr>
          <w:kern w:val="2"/>
          <w:sz w:val="20"/>
        </w:rPr>
        <w:t>”</w:t>
      </w:r>
      <w:r w:rsidRPr="00DA5EB5">
        <w:rPr>
          <w:rStyle w:val="FootnoteReference"/>
          <w:kern w:val="2"/>
          <w:sz w:val="18"/>
        </w:rPr>
        <w:footnoteReference w:id="85"/>
      </w:r>
      <w:r w:rsidR="00E87776" w:rsidRPr="00DA5EB5">
        <w:rPr>
          <w:kern w:val="2"/>
          <w:sz w:val="20"/>
        </w:rPr>
        <w:t xml:space="preserve"> </w:t>
      </w:r>
      <w:r w:rsidRPr="00DA5EB5">
        <w:rPr>
          <w:kern w:val="2"/>
          <w:sz w:val="20"/>
        </w:rPr>
        <w:t>Harm is measured in four levels, listed as categories 1 (most serious) to 4 (least serious).</w:t>
      </w:r>
      <w:r w:rsidRPr="00DA5EB5">
        <w:rPr>
          <w:rStyle w:val="FootnoteReference"/>
          <w:kern w:val="2"/>
        </w:rPr>
        <w:footnoteReference w:id="86"/>
      </w:r>
    </w:p>
    <w:p w14:paraId="0752EFF3" w14:textId="6A76430E" w:rsidR="00EA35F3" w:rsidRDefault="0061282C" w:rsidP="007C3517">
      <w:pPr>
        <w:rPr>
          <w:kern w:val="2"/>
          <w:sz w:val="20"/>
        </w:rPr>
      </w:pPr>
      <w:r w:rsidRPr="00EF2F0A">
        <w:rPr>
          <w:kern w:val="2"/>
          <w:sz w:val="20"/>
        </w:rPr>
        <w:t>The following tables from the Guidelines demonstrate how the sentences are calculated for natural persons:</w:t>
      </w:r>
      <w:r w:rsidR="00E7028A" w:rsidRPr="00EF2F0A">
        <w:rPr>
          <w:rStyle w:val="FootnoteReference"/>
          <w:kern w:val="2"/>
          <w:sz w:val="18"/>
        </w:rPr>
        <w:footnoteReference w:id="87"/>
      </w:r>
      <w:r w:rsidR="00F44BB6" w:rsidRPr="00DA5EB5">
        <w:rPr>
          <w:kern w:val="2"/>
          <w:sz w:val="20"/>
        </w:rPr>
        <w:t xml:space="preserve"> </w:t>
      </w:r>
    </w:p>
    <w:p w14:paraId="55F75158" w14:textId="77777777" w:rsidR="00EA35F3" w:rsidRDefault="00EA35F3">
      <w:pPr>
        <w:spacing w:before="0" w:after="0"/>
        <w:jc w:val="left"/>
        <w:rPr>
          <w:kern w:val="2"/>
          <w:sz w:val="20"/>
        </w:rPr>
      </w:pPr>
      <w:r>
        <w:rPr>
          <w:kern w:val="2"/>
          <w:sz w:val="20"/>
        </w:rPr>
        <w:br w:type="page"/>
      </w:r>
    </w:p>
    <w:tbl>
      <w:tblPr>
        <w:tblStyle w:val="TableGrid"/>
        <w:tblW w:w="0" w:type="auto"/>
        <w:tblCellMar>
          <w:top w:w="284" w:type="dxa"/>
          <w:left w:w="284" w:type="dxa"/>
          <w:bottom w:w="284" w:type="dxa"/>
          <w:right w:w="284" w:type="dxa"/>
        </w:tblCellMar>
        <w:tblLook w:val="04A0" w:firstRow="1" w:lastRow="0" w:firstColumn="1" w:lastColumn="0" w:noHBand="0" w:noVBand="1"/>
      </w:tblPr>
      <w:tblGrid>
        <w:gridCol w:w="8070"/>
      </w:tblGrid>
      <w:tr w:rsidR="00B7472C" w14:paraId="6ED62ACD" w14:textId="77777777" w:rsidTr="00B7472C">
        <w:tc>
          <w:tcPr>
            <w:tcW w:w="8070" w:type="dxa"/>
            <w:tcBorders>
              <w:top w:val="nil"/>
              <w:left w:val="nil"/>
              <w:bottom w:val="nil"/>
              <w:right w:val="nil"/>
            </w:tcBorders>
            <w:shd w:val="clear" w:color="auto" w:fill="D9D9D9" w:themeFill="background1" w:themeFillShade="D9"/>
          </w:tcPr>
          <w:p w14:paraId="5C2BA4B4" w14:textId="77777777" w:rsidR="00B7472C" w:rsidRDefault="00B7472C" w:rsidP="007100A5">
            <w:pPr>
              <w:pStyle w:val="ExcerptMarker"/>
              <w:spacing w:before="0"/>
              <w:rPr>
                <w:rStyle w:val="ExcerptMarkerChar"/>
                <w:rFonts w:ascii="Palatino Linotype" w:hAnsi="Palatino Linotype"/>
                <w:smallCaps/>
                <w:kern w:val="2"/>
                <w:sz w:val="16"/>
              </w:rPr>
            </w:pPr>
            <w:r w:rsidRPr="00DA5EB5">
              <w:rPr>
                <w:rStyle w:val="ExcerptMarkerChar"/>
                <w:rFonts w:ascii="Palatino Linotype" w:hAnsi="Palatino Linotype"/>
                <w:smallCaps/>
                <w:kern w:val="2"/>
                <w:sz w:val="16"/>
              </w:rPr>
              <w:t>Beginning of Excerpt</w:t>
            </w:r>
          </w:p>
          <w:p w14:paraId="0D1C1106" w14:textId="07D0D29E" w:rsidR="008B2953" w:rsidRPr="00DA5EB5" w:rsidRDefault="00EA35F3" w:rsidP="00CF248D">
            <w:pPr>
              <w:spacing w:after="0"/>
              <w:jc w:val="center"/>
              <w:rPr>
                <w:rStyle w:val="ExcerptMarkerChar"/>
                <w:rFonts w:ascii="Palatino Linotype" w:hAnsi="Palatino Linotype"/>
                <w:smallCaps w:val="0"/>
                <w:kern w:val="2"/>
                <w:sz w:val="16"/>
              </w:rPr>
            </w:pPr>
            <w:r>
              <w:rPr>
                <w:rFonts w:eastAsia="Calibri"/>
                <w:noProof/>
                <w:sz w:val="18"/>
                <w:lang w:eastAsia="en-CA"/>
              </w:rPr>
              <w:drawing>
                <wp:inline distT="0" distB="0" distL="0" distR="0" wp14:anchorId="712CABC5" wp14:editId="59C6A37E">
                  <wp:extent cx="4724400" cy="6248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ages from Fraud_bribery_and_money_laundering_offences_-_Definitive_guideline-2_Page_1.jpg"/>
                          <pic:cNvPicPr/>
                        </pic:nvPicPr>
                        <pic:blipFill rotWithShape="1">
                          <a:blip r:embed="rId11">
                            <a:extLst>
                              <a:ext uri="{28A0092B-C50C-407E-A947-70E740481C1C}">
                                <a14:useLocalDpi xmlns:a14="http://schemas.microsoft.com/office/drawing/2010/main" val="0"/>
                              </a:ext>
                            </a:extLst>
                          </a:blip>
                          <a:srcRect l="5198" t="6170" r="2723" b="7719"/>
                          <a:stretch/>
                        </pic:blipFill>
                        <pic:spPr bwMode="auto">
                          <a:xfrm>
                            <a:off x="0" y="0"/>
                            <a:ext cx="4724400" cy="6248400"/>
                          </a:xfrm>
                          <a:prstGeom prst="rect">
                            <a:avLst/>
                          </a:prstGeom>
                          <a:ln>
                            <a:noFill/>
                          </a:ln>
                          <a:extLst>
                            <a:ext uri="{53640926-AAD7-44D8-BBD7-CCE9431645EC}">
                              <a14:shadowObscured xmlns:a14="http://schemas.microsoft.com/office/drawing/2010/main"/>
                            </a:ext>
                          </a:extLst>
                        </pic:spPr>
                      </pic:pic>
                    </a:graphicData>
                  </a:graphic>
                </wp:inline>
              </w:drawing>
            </w:r>
          </w:p>
          <w:p w14:paraId="2E552B2D" w14:textId="77777777" w:rsidR="000B6198" w:rsidRDefault="00EA35F3" w:rsidP="00CF248D">
            <w:pPr>
              <w:spacing w:before="0" w:after="0"/>
              <w:jc w:val="center"/>
              <w:rPr>
                <w:rFonts w:eastAsia="Calibri"/>
                <w:sz w:val="18"/>
              </w:rPr>
            </w:pPr>
            <w:r>
              <w:rPr>
                <w:rFonts w:eastAsia="Calibri"/>
                <w:noProof/>
                <w:sz w:val="18"/>
                <w:lang w:eastAsia="en-CA"/>
              </w:rPr>
              <w:drawing>
                <wp:inline distT="0" distB="0" distL="0" distR="0" wp14:anchorId="76A2DBC7" wp14:editId="2F66F528">
                  <wp:extent cx="4581525" cy="45148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ages from Fraud_bribery_and_money_laundering_offences_-_Definitive_guideline-2_Page_2.jpg"/>
                          <pic:cNvPicPr/>
                        </pic:nvPicPr>
                        <pic:blipFill rotWithShape="1">
                          <a:blip r:embed="rId12">
                            <a:extLst>
                              <a:ext uri="{28A0092B-C50C-407E-A947-70E740481C1C}">
                                <a14:useLocalDpi xmlns:a14="http://schemas.microsoft.com/office/drawing/2010/main" val="0"/>
                              </a:ext>
                            </a:extLst>
                          </a:blip>
                          <a:srcRect l="5570" t="6301" r="5136" b="31478"/>
                          <a:stretch/>
                        </pic:blipFill>
                        <pic:spPr bwMode="auto">
                          <a:xfrm>
                            <a:off x="0" y="0"/>
                            <a:ext cx="4581525" cy="4514850"/>
                          </a:xfrm>
                          <a:prstGeom prst="rect">
                            <a:avLst/>
                          </a:prstGeom>
                          <a:ln>
                            <a:noFill/>
                          </a:ln>
                          <a:extLst>
                            <a:ext uri="{53640926-AAD7-44D8-BBD7-CCE9431645EC}">
                              <a14:shadowObscured xmlns:a14="http://schemas.microsoft.com/office/drawing/2010/main"/>
                            </a:ext>
                          </a:extLst>
                        </pic:spPr>
                      </pic:pic>
                    </a:graphicData>
                  </a:graphic>
                </wp:inline>
              </w:drawing>
            </w:r>
          </w:p>
          <w:p w14:paraId="156464E0" w14:textId="77777777" w:rsidR="00EA35F3" w:rsidRDefault="00EA35F3" w:rsidP="00992119">
            <w:pPr>
              <w:spacing w:before="0" w:after="0"/>
              <w:rPr>
                <w:rFonts w:eastAsia="Calibri"/>
                <w:noProof/>
                <w:sz w:val="18"/>
                <w:lang w:eastAsia="en-CA"/>
              </w:rPr>
            </w:pPr>
          </w:p>
          <w:p w14:paraId="1E9AECEB" w14:textId="4D2C5BC0" w:rsidR="00EA35F3" w:rsidRDefault="00EA35F3" w:rsidP="00CF248D">
            <w:pPr>
              <w:spacing w:before="0" w:after="0"/>
              <w:jc w:val="center"/>
              <w:rPr>
                <w:rFonts w:eastAsia="Calibri"/>
                <w:noProof/>
                <w:sz w:val="18"/>
                <w:lang w:eastAsia="en-CA"/>
              </w:rPr>
            </w:pPr>
            <w:r>
              <w:rPr>
                <w:rFonts w:eastAsia="Calibri"/>
                <w:noProof/>
                <w:sz w:val="18"/>
                <w:lang w:eastAsia="en-CA"/>
              </w:rPr>
              <w:drawing>
                <wp:inline distT="0" distB="0" distL="0" distR="0" wp14:anchorId="39C8BC60" wp14:editId="18CD41DC">
                  <wp:extent cx="4543425" cy="10572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ages from Fraud_bribery_and_money_laundering_offences_-_Definitive_guideline-2_Page_3.jpg"/>
                          <pic:cNvPicPr/>
                        </pic:nvPicPr>
                        <pic:blipFill rotWithShape="1">
                          <a:blip r:embed="rId13">
                            <a:extLst>
                              <a:ext uri="{28A0092B-C50C-407E-A947-70E740481C1C}">
                                <a14:useLocalDpi xmlns:a14="http://schemas.microsoft.com/office/drawing/2010/main" val="0"/>
                              </a:ext>
                            </a:extLst>
                          </a:blip>
                          <a:srcRect l="5755" t="7614" r="5693" b="77815"/>
                          <a:stretch/>
                        </pic:blipFill>
                        <pic:spPr bwMode="auto">
                          <a:xfrm>
                            <a:off x="0" y="0"/>
                            <a:ext cx="4543425" cy="1057275"/>
                          </a:xfrm>
                          <a:prstGeom prst="rect">
                            <a:avLst/>
                          </a:prstGeom>
                          <a:ln>
                            <a:noFill/>
                          </a:ln>
                          <a:extLst>
                            <a:ext uri="{53640926-AAD7-44D8-BBD7-CCE9431645EC}">
                              <a14:shadowObscured xmlns:a14="http://schemas.microsoft.com/office/drawing/2010/main"/>
                            </a:ext>
                          </a:extLst>
                        </pic:spPr>
                      </pic:pic>
                    </a:graphicData>
                  </a:graphic>
                </wp:inline>
              </w:drawing>
            </w:r>
          </w:p>
          <w:p w14:paraId="119C5F77" w14:textId="77777777" w:rsidR="00EA35F3" w:rsidRDefault="00EA35F3" w:rsidP="00CF248D">
            <w:pPr>
              <w:spacing w:before="0" w:after="0"/>
              <w:jc w:val="center"/>
              <w:rPr>
                <w:rFonts w:eastAsia="Calibri"/>
                <w:sz w:val="18"/>
              </w:rPr>
            </w:pPr>
            <w:r>
              <w:rPr>
                <w:rFonts w:eastAsia="Calibri"/>
                <w:noProof/>
                <w:sz w:val="18"/>
                <w:lang w:eastAsia="en-CA"/>
              </w:rPr>
              <w:drawing>
                <wp:inline distT="0" distB="0" distL="0" distR="0" wp14:anchorId="730B62A4" wp14:editId="53948790">
                  <wp:extent cx="4533900" cy="32099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ages from Fraud_bribery_and_money_laundering_offences_-_Definitive_guideline-2_Page_3.jpg"/>
                          <pic:cNvPicPr/>
                        </pic:nvPicPr>
                        <pic:blipFill rotWithShape="1">
                          <a:blip r:embed="rId13">
                            <a:extLst>
                              <a:ext uri="{28A0092B-C50C-407E-A947-70E740481C1C}">
                                <a14:useLocalDpi xmlns:a14="http://schemas.microsoft.com/office/drawing/2010/main" val="0"/>
                              </a:ext>
                            </a:extLst>
                          </a:blip>
                          <a:srcRect l="5940" t="22709" r="5693" b="33053"/>
                          <a:stretch/>
                        </pic:blipFill>
                        <pic:spPr bwMode="auto">
                          <a:xfrm>
                            <a:off x="0" y="0"/>
                            <a:ext cx="4533900" cy="3209925"/>
                          </a:xfrm>
                          <a:prstGeom prst="rect">
                            <a:avLst/>
                          </a:prstGeom>
                          <a:ln>
                            <a:noFill/>
                          </a:ln>
                          <a:extLst>
                            <a:ext uri="{53640926-AAD7-44D8-BBD7-CCE9431645EC}">
                              <a14:shadowObscured xmlns:a14="http://schemas.microsoft.com/office/drawing/2010/main"/>
                            </a:ext>
                          </a:extLst>
                        </pic:spPr>
                      </pic:pic>
                    </a:graphicData>
                  </a:graphic>
                </wp:inline>
              </w:drawing>
            </w:r>
          </w:p>
          <w:p w14:paraId="279C1100" w14:textId="77777777" w:rsidR="00EA35F3" w:rsidRDefault="00EA35F3" w:rsidP="00992119">
            <w:pPr>
              <w:spacing w:before="0" w:after="0"/>
              <w:rPr>
                <w:rFonts w:eastAsia="Calibri"/>
                <w:noProof/>
                <w:sz w:val="18"/>
                <w:lang w:eastAsia="en-CA"/>
              </w:rPr>
            </w:pPr>
          </w:p>
          <w:p w14:paraId="48544F3A" w14:textId="77777777" w:rsidR="00EA35F3" w:rsidRDefault="00EA35F3" w:rsidP="00CF248D">
            <w:pPr>
              <w:spacing w:before="0" w:after="0"/>
              <w:jc w:val="center"/>
              <w:rPr>
                <w:rFonts w:eastAsia="Calibri"/>
                <w:sz w:val="18"/>
              </w:rPr>
            </w:pPr>
            <w:r>
              <w:rPr>
                <w:rFonts w:eastAsia="Calibri"/>
                <w:noProof/>
                <w:sz w:val="18"/>
                <w:lang w:eastAsia="en-CA"/>
              </w:rPr>
              <w:drawing>
                <wp:inline distT="0" distB="0" distL="0" distR="0" wp14:anchorId="2A6C7071" wp14:editId="26084DC4">
                  <wp:extent cx="4543425" cy="22574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ages from Fraud_bribery_and_money_laundering_offences_-_Definitive_guideline-2_Page_4.jpg"/>
                          <pic:cNvPicPr/>
                        </pic:nvPicPr>
                        <pic:blipFill rotWithShape="1">
                          <a:blip r:embed="rId14">
                            <a:extLst>
                              <a:ext uri="{28A0092B-C50C-407E-A947-70E740481C1C}">
                                <a14:useLocalDpi xmlns:a14="http://schemas.microsoft.com/office/drawing/2010/main" val="0"/>
                              </a:ext>
                            </a:extLst>
                          </a:blip>
                          <a:srcRect l="5755" t="6432" r="5693" b="62458"/>
                          <a:stretch/>
                        </pic:blipFill>
                        <pic:spPr bwMode="auto">
                          <a:xfrm>
                            <a:off x="0" y="0"/>
                            <a:ext cx="4543425" cy="2257425"/>
                          </a:xfrm>
                          <a:prstGeom prst="rect">
                            <a:avLst/>
                          </a:prstGeom>
                          <a:ln>
                            <a:noFill/>
                          </a:ln>
                          <a:extLst>
                            <a:ext uri="{53640926-AAD7-44D8-BBD7-CCE9431645EC}">
                              <a14:shadowObscured xmlns:a14="http://schemas.microsoft.com/office/drawing/2010/main"/>
                            </a:ext>
                          </a:extLst>
                        </pic:spPr>
                      </pic:pic>
                    </a:graphicData>
                  </a:graphic>
                </wp:inline>
              </w:drawing>
            </w:r>
          </w:p>
          <w:p w14:paraId="3BA35D34" w14:textId="77777777" w:rsidR="00EA35F3" w:rsidRDefault="00EA35F3" w:rsidP="00CF248D">
            <w:pPr>
              <w:spacing w:before="0" w:after="0"/>
              <w:jc w:val="center"/>
              <w:rPr>
                <w:rFonts w:eastAsia="Calibri"/>
                <w:sz w:val="18"/>
              </w:rPr>
            </w:pPr>
            <w:r>
              <w:rPr>
                <w:rFonts w:eastAsia="Calibri"/>
                <w:noProof/>
                <w:sz w:val="18"/>
                <w:lang w:eastAsia="en-CA"/>
              </w:rPr>
              <w:drawing>
                <wp:inline distT="0" distB="0" distL="0" distR="0" wp14:anchorId="4357B13F" wp14:editId="75CF0FA6">
                  <wp:extent cx="4552950" cy="34766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ages from Fraud_bribery_and_money_laundering_offences_-_Definitive_guideline-2_Page_4.jpg"/>
                          <pic:cNvPicPr/>
                        </pic:nvPicPr>
                        <pic:blipFill rotWithShape="1">
                          <a:blip r:embed="rId14">
                            <a:extLst>
                              <a:ext uri="{28A0092B-C50C-407E-A947-70E740481C1C}">
                                <a14:useLocalDpi xmlns:a14="http://schemas.microsoft.com/office/drawing/2010/main" val="0"/>
                              </a:ext>
                            </a:extLst>
                          </a:blip>
                          <a:srcRect l="5754" t="36886" r="5508" b="15201"/>
                          <a:stretch/>
                        </pic:blipFill>
                        <pic:spPr bwMode="auto">
                          <a:xfrm>
                            <a:off x="0" y="0"/>
                            <a:ext cx="4552950" cy="3476625"/>
                          </a:xfrm>
                          <a:prstGeom prst="rect">
                            <a:avLst/>
                          </a:prstGeom>
                          <a:ln>
                            <a:noFill/>
                          </a:ln>
                          <a:extLst>
                            <a:ext uri="{53640926-AAD7-44D8-BBD7-CCE9431645EC}">
                              <a14:shadowObscured xmlns:a14="http://schemas.microsoft.com/office/drawing/2010/main"/>
                            </a:ext>
                          </a:extLst>
                        </pic:spPr>
                      </pic:pic>
                    </a:graphicData>
                  </a:graphic>
                </wp:inline>
              </w:drawing>
            </w:r>
          </w:p>
          <w:p w14:paraId="498E300C" w14:textId="383656C9" w:rsidR="00EA35F3" w:rsidRPr="00EA35F3" w:rsidRDefault="00EA35F3" w:rsidP="00EA35F3">
            <w:pPr>
              <w:pStyle w:val="ExcerptMarker"/>
              <w:spacing w:before="240" w:after="0"/>
              <w:rPr>
                <w:kern w:val="2"/>
                <w:sz w:val="20"/>
              </w:rPr>
            </w:pPr>
            <w:r w:rsidRPr="00DA5EB5">
              <w:t>End of Excerpt</w:t>
            </w:r>
          </w:p>
        </w:tc>
      </w:tr>
    </w:tbl>
    <w:p w14:paraId="2673147D" w14:textId="0B03638B" w:rsidR="004306B5" w:rsidRPr="000321F5" w:rsidRDefault="004306B5" w:rsidP="00990CE1">
      <w:pPr>
        <w:rPr>
          <w:sz w:val="20"/>
        </w:rPr>
      </w:pPr>
      <w:r w:rsidRPr="00DA5EB5">
        <w:rPr>
          <w:color w:val="000000" w:themeColor="text1"/>
          <w:kern w:val="2"/>
          <w:sz w:val="20"/>
        </w:rPr>
        <w:t>On February 12, 2015, Nicholas and Christopher Smith, a father and son involved in a printing business, were sentenced for corruption relating to bribery of officials in Kenya.</w:t>
      </w:r>
      <w:r w:rsidR="00EB58B3" w:rsidRPr="00DA5EB5">
        <w:rPr>
          <w:rStyle w:val="FootnoteReference"/>
          <w:color w:val="000000" w:themeColor="text1"/>
          <w:kern w:val="2"/>
          <w:sz w:val="18"/>
        </w:rPr>
        <w:footnoteReference w:id="88"/>
      </w:r>
      <w:r w:rsidR="00E87776" w:rsidRPr="00DA5EB5">
        <w:rPr>
          <w:color w:val="000000" w:themeColor="text1"/>
          <w:kern w:val="2"/>
          <w:sz w:val="20"/>
        </w:rPr>
        <w:t xml:space="preserve"> </w:t>
      </w:r>
      <w:r w:rsidRPr="00DA5EB5">
        <w:rPr>
          <w:color w:val="000000" w:themeColor="text1"/>
          <w:kern w:val="2"/>
          <w:sz w:val="20"/>
        </w:rPr>
        <w:t xml:space="preserve">The offenders were convicted under the </w:t>
      </w:r>
      <w:r w:rsidRPr="00DA5EB5">
        <w:rPr>
          <w:i/>
          <w:color w:val="000000" w:themeColor="text1"/>
          <w:kern w:val="2"/>
          <w:sz w:val="20"/>
        </w:rPr>
        <w:t>Prevention of Corruption Act 1906</w:t>
      </w:r>
      <w:r w:rsidR="00DF6D12" w:rsidRPr="00DA5EB5">
        <w:rPr>
          <w:i/>
          <w:color w:val="000000" w:themeColor="text1"/>
          <w:kern w:val="2"/>
          <w:sz w:val="20"/>
        </w:rPr>
        <w:t>,</w:t>
      </w:r>
      <w:r w:rsidRPr="00DA5EB5">
        <w:rPr>
          <w:i/>
          <w:color w:val="000000" w:themeColor="text1"/>
          <w:kern w:val="2"/>
          <w:sz w:val="20"/>
        </w:rPr>
        <w:t xml:space="preserve"> </w:t>
      </w:r>
      <w:r w:rsidRPr="00DA5EB5">
        <w:rPr>
          <w:color w:val="000000" w:themeColor="text1"/>
          <w:kern w:val="2"/>
          <w:sz w:val="20"/>
        </w:rPr>
        <w:t xml:space="preserve">as the offences pre-dated the </w:t>
      </w:r>
      <w:r w:rsidRPr="00DA5EB5">
        <w:rPr>
          <w:i/>
          <w:color w:val="000000" w:themeColor="text1"/>
          <w:kern w:val="2"/>
          <w:sz w:val="20"/>
        </w:rPr>
        <w:t>Bribery Act 2010</w:t>
      </w:r>
      <w:r w:rsidRPr="00DA5EB5">
        <w:rPr>
          <w:color w:val="000000" w:themeColor="text1"/>
          <w:kern w:val="2"/>
          <w:sz w:val="20"/>
        </w:rPr>
        <w:t xml:space="preserve">. However, </w:t>
      </w:r>
      <w:r w:rsidR="00DF6D12" w:rsidRPr="00DA5EB5">
        <w:rPr>
          <w:color w:val="000000" w:themeColor="text1"/>
          <w:kern w:val="2"/>
          <w:sz w:val="20"/>
        </w:rPr>
        <w:t>since</w:t>
      </w:r>
      <w:r w:rsidRPr="00DA5EB5">
        <w:rPr>
          <w:color w:val="000000" w:themeColor="text1"/>
          <w:kern w:val="2"/>
          <w:sz w:val="20"/>
        </w:rPr>
        <w:t xml:space="preserve"> the sentencing post-dated October 1, 2014, </w:t>
      </w:r>
      <w:r w:rsidR="00DF6D12" w:rsidRPr="00DA5EB5">
        <w:rPr>
          <w:color w:val="000000" w:themeColor="text1"/>
          <w:kern w:val="2"/>
          <w:sz w:val="20"/>
        </w:rPr>
        <w:t xml:space="preserve">the Sentencing Council’s new Guidelines applied. The </w:t>
      </w:r>
      <w:r w:rsidR="00227107" w:rsidRPr="00DA5EB5">
        <w:rPr>
          <w:color w:val="000000" w:themeColor="text1"/>
          <w:kern w:val="2"/>
          <w:sz w:val="20"/>
        </w:rPr>
        <w:t xml:space="preserve">sentencing decision provides </w:t>
      </w:r>
      <w:r w:rsidR="00AD773C" w:rsidRPr="00DA5EB5">
        <w:rPr>
          <w:color w:val="000000" w:themeColor="text1"/>
          <w:kern w:val="2"/>
          <w:sz w:val="20"/>
        </w:rPr>
        <w:t>one of the first applications</w:t>
      </w:r>
      <w:r w:rsidRPr="00DA5EB5">
        <w:rPr>
          <w:color w:val="000000" w:themeColor="text1"/>
          <w:kern w:val="2"/>
          <w:sz w:val="20"/>
        </w:rPr>
        <w:t xml:space="preserve"> of the </w:t>
      </w:r>
      <w:r w:rsidR="00DF6D12" w:rsidRPr="00DA5EB5">
        <w:rPr>
          <w:color w:val="000000" w:themeColor="text1"/>
          <w:kern w:val="2"/>
          <w:sz w:val="20"/>
        </w:rPr>
        <w:t>Guidelines</w:t>
      </w:r>
      <w:r w:rsidRPr="00DA5EB5">
        <w:rPr>
          <w:color w:val="000000" w:themeColor="text1"/>
          <w:kern w:val="2"/>
          <w:sz w:val="20"/>
        </w:rPr>
        <w:t>.</w:t>
      </w:r>
      <w:r w:rsidR="00E87776" w:rsidRPr="00DA5EB5">
        <w:rPr>
          <w:color w:val="000000" w:themeColor="text1"/>
          <w:kern w:val="2"/>
          <w:sz w:val="20"/>
        </w:rPr>
        <w:t xml:space="preserve"> </w:t>
      </w:r>
    </w:p>
    <w:p w14:paraId="27E5B5BC" w14:textId="497B5058" w:rsidR="004306B5" w:rsidRPr="00DA5EB5" w:rsidRDefault="004306B5" w:rsidP="007C3517">
      <w:pPr>
        <w:rPr>
          <w:color w:val="000000" w:themeColor="text1"/>
          <w:kern w:val="2"/>
          <w:sz w:val="20"/>
        </w:rPr>
      </w:pPr>
      <w:r w:rsidRPr="00DA5EB5">
        <w:rPr>
          <w:color w:val="000000" w:themeColor="text1"/>
          <w:kern w:val="2"/>
          <w:sz w:val="20"/>
        </w:rPr>
        <w:t xml:space="preserve">Nicolas Smith received </w:t>
      </w:r>
      <w:r w:rsidR="00DF6D12" w:rsidRPr="00DA5EB5">
        <w:rPr>
          <w:color w:val="000000" w:themeColor="text1"/>
          <w:kern w:val="2"/>
          <w:sz w:val="20"/>
        </w:rPr>
        <w:t>three</w:t>
      </w:r>
      <w:r w:rsidRPr="00DA5EB5">
        <w:rPr>
          <w:color w:val="000000" w:themeColor="text1"/>
          <w:kern w:val="2"/>
          <w:sz w:val="20"/>
        </w:rPr>
        <w:t xml:space="preserve"> years imprisonment, while Christopher Smith received 18 months imprisonment</w:t>
      </w:r>
      <w:r w:rsidR="00BC3B7A" w:rsidRPr="00DA5EB5">
        <w:rPr>
          <w:color w:val="000000" w:themeColor="text1"/>
          <w:kern w:val="2"/>
          <w:sz w:val="20"/>
        </w:rPr>
        <w:t>,</w:t>
      </w:r>
      <w:r w:rsidRPr="00DA5EB5">
        <w:rPr>
          <w:color w:val="000000" w:themeColor="text1"/>
          <w:kern w:val="2"/>
          <w:sz w:val="20"/>
        </w:rPr>
        <w:t xml:space="preserve"> which was</w:t>
      </w:r>
      <w:r w:rsidR="00E23F50" w:rsidRPr="00DA5EB5">
        <w:rPr>
          <w:color w:val="000000" w:themeColor="text1"/>
          <w:kern w:val="2"/>
          <w:sz w:val="20"/>
        </w:rPr>
        <w:t xml:space="preserve"> suspended</w:t>
      </w:r>
      <w:r w:rsidRPr="00DA5EB5">
        <w:rPr>
          <w:color w:val="000000" w:themeColor="text1"/>
          <w:kern w:val="2"/>
          <w:sz w:val="20"/>
        </w:rPr>
        <w:t xml:space="preserve"> for </w:t>
      </w:r>
      <w:r w:rsidR="00DF6D12" w:rsidRPr="00DA5EB5">
        <w:rPr>
          <w:color w:val="000000" w:themeColor="text1"/>
          <w:kern w:val="2"/>
          <w:sz w:val="20"/>
        </w:rPr>
        <w:t>two</w:t>
      </w:r>
      <w:r w:rsidRPr="00DA5EB5">
        <w:rPr>
          <w:color w:val="000000" w:themeColor="text1"/>
          <w:kern w:val="2"/>
          <w:sz w:val="20"/>
        </w:rPr>
        <w:t xml:space="preserve"> years</w:t>
      </w:r>
      <w:r w:rsidR="00BC3B7A" w:rsidRPr="00DA5EB5">
        <w:rPr>
          <w:color w:val="000000" w:themeColor="text1"/>
          <w:kern w:val="2"/>
          <w:sz w:val="20"/>
        </w:rPr>
        <w:t xml:space="preserve"> on condition that he commit no further offences</w:t>
      </w:r>
      <w:r w:rsidR="00C60E6F" w:rsidRPr="00DA5EB5">
        <w:rPr>
          <w:color w:val="000000" w:themeColor="text1"/>
          <w:kern w:val="2"/>
          <w:sz w:val="20"/>
        </w:rPr>
        <w:t>. The suspended sentence was</w:t>
      </w:r>
      <w:r w:rsidRPr="00DA5EB5">
        <w:rPr>
          <w:color w:val="000000" w:themeColor="text1"/>
          <w:kern w:val="2"/>
          <w:sz w:val="20"/>
        </w:rPr>
        <w:t xml:space="preserve"> characterized by Higgins </w:t>
      </w:r>
      <w:r w:rsidR="00227107" w:rsidRPr="00DA5EB5">
        <w:rPr>
          <w:color w:val="000000" w:themeColor="text1"/>
          <w:kern w:val="2"/>
          <w:sz w:val="20"/>
        </w:rPr>
        <w:t xml:space="preserve">J </w:t>
      </w:r>
      <w:r w:rsidRPr="00DA5EB5">
        <w:rPr>
          <w:color w:val="000000" w:themeColor="text1"/>
          <w:kern w:val="2"/>
          <w:sz w:val="20"/>
        </w:rPr>
        <w:t>as</w:t>
      </w:r>
      <w:r w:rsidR="00227107" w:rsidRPr="00DA5EB5">
        <w:rPr>
          <w:color w:val="000000" w:themeColor="text1"/>
          <w:kern w:val="2"/>
          <w:sz w:val="20"/>
        </w:rPr>
        <w:t xml:space="preserve"> </w:t>
      </w:r>
      <w:r w:rsidR="00FD6DAC" w:rsidRPr="00DA5EB5">
        <w:rPr>
          <w:color w:val="000000" w:themeColor="text1"/>
          <w:kern w:val="2"/>
          <w:sz w:val="20"/>
        </w:rPr>
        <w:t>“</w:t>
      </w:r>
      <w:r w:rsidR="00227107" w:rsidRPr="00DA5EB5">
        <w:rPr>
          <w:color w:val="000000" w:themeColor="text1"/>
          <w:kern w:val="2"/>
          <w:sz w:val="20"/>
        </w:rPr>
        <w:t>an act of mercy</w:t>
      </w:r>
      <w:r w:rsidR="003B4FBE" w:rsidRPr="00DA5EB5">
        <w:rPr>
          <w:color w:val="000000" w:themeColor="text1"/>
          <w:kern w:val="2"/>
          <w:sz w:val="20"/>
        </w:rPr>
        <w:t>.</w:t>
      </w:r>
      <w:r w:rsidR="00FD6DAC" w:rsidRPr="00DA5EB5">
        <w:rPr>
          <w:color w:val="000000" w:themeColor="text1"/>
          <w:kern w:val="2"/>
          <w:sz w:val="20"/>
        </w:rPr>
        <w:t>”</w:t>
      </w:r>
      <w:r w:rsidR="00AE2C9D" w:rsidRPr="00DA5EB5">
        <w:rPr>
          <w:rStyle w:val="FootnoteReference"/>
          <w:color w:val="000000" w:themeColor="text1"/>
          <w:kern w:val="2"/>
          <w:sz w:val="18"/>
        </w:rPr>
        <w:footnoteReference w:id="89"/>
      </w:r>
      <w:r w:rsidR="00227107" w:rsidRPr="00DA5EB5">
        <w:rPr>
          <w:color w:val="000000" w:themeColor="text1"/>
          <w:kern w:val="2"/>
          <w:sz w:val="20"/>
        </w:rPr>
        <w:t xml:space="preserve"> </w:t>
      </w:r>
      <w:r w:rsidRPr="00DA5EB5">
        <w:rPr>
          <w:rFonts w:eastAsia="Times New Roman"/>
          <w:color w:val="000000" w:themeColor="text1"/>
          <w:kern w:val="2"/>
          <w:sz w:val="20"/>
          <w:lang w:eastAsia="en-CA"/>
        </w:rPr>
        <w:t xml:space="preserve">Christopher was also sentenced to 250 hours unpaid work and a three-month curfew. Both offenders were disqualified from being </w:t>
      </w:r>
      <w:r w:rsidR="00227107" w:rsidRPr="00DA5EB5">
        <w:rPr>
          <w:rFonts w:eastAsia="Times New Roman"/>
          <w:color w:val="000000" w:themeColor="text1"/>
          <w:kern w:val="2"/>
          <w:sz w:val="20"/>
          <w:lang w:eastAsia="en-CA"/>
        </w:rPr>
        <w:t>the</w:t>
      </w:r>
      <w:r w:rsidRPr="00DA5EB5">
        <w:rPr>
          <w:rFonts w:eastAsia="Times New Roman"/>
          <w:color w:val="000000" w:themeColor="text1"/>
          <w:kern w:val="2"/>
          <w:sz w:val="20"/>
          <w:lang w:eastAsia="en-CA"/>
        </w:rPr>
        <w:t xml:space="preserve"> director </w:t>
      </w:r>
      <w:r w:rsidR="00C60E6F" w:rsidRPr="00DA5EB5">
        <w:rPr>
          <w:rFonts w:eastAsia="Times New Roman"/>
          <w:color w:val="000000" w:themeColor="text1"/>
          <w:kern w:val="2"/>
          <w:sz w:val="20"/>
          <w:lang w:eastAsia="en-CA"/>
        </w:rPr>
        <w:t xml:space="preserve">of a company </w:t>
      </w:r>
      <w:r w:rsidRPr="00DA5EB5">
        <w:rPr>
          <w:rFonts w:eastAsia="Times New Roman"/>
          <w:color w:val="000000" w:themeColor="text1"/>
          <w:kern w:val="2"/>
          <w:sz w:val="20"/>
          <w:lang w:eastAsia="en-CA"/>
        </w:rPr>
        <w:t>for six years. Later, the company received</w:t>
      </w:r>
      <w:r w:rsidRPr="00DA5EB5">
        <w:rPr>
          <w:rFonts w:eastAsia="Times New Roman"/>
          <w:kern w:val="2"/>
          <w:sz w:val="20"/>
          <w:lang w:eastAsia="en-CA"/>
        </w:rPr>
        <w:t xml:space="preserve"> a fine of </w:t>
      </w:r>
      <w:r w:rsidR="005F6945" w:rsidRPr="00DA5EB5">
        <w:rPr>
          <w:kern w:val="2"/>
          <w:sz w:val="20"/>
          <w:lang w:val="en"/>
        </w:rPr>
        <w:t>£2.2 million. A</w:t>
      </w:r>
      <w:r w:rsidRPr="00DA5EB5">
        <w:rPr>
          <w:kern w:val="2"/>
          <w:sz w:val="20"/>
          <w:lang w:val="en"/>
        </w:rPr>
        <w:t>dditionally</w:t>
      </w:r>
      <w:r w:rsidR="00C60E6F" w:rsidRPr="00DA5EB5">
        <w:rPr>
          <w:kern w:val="2"/>
          <w:sz w:val="20"/>
          <w:lang w:val="en"/>
        </w:rPr>
        <w:t>,</w:t>
      </w:r>
      <w:r w:rsidRPr="00DA5EB5">
        <w:rPr>
          <w:kern w:val="2"/>
          <w:sz w:val="20"/>
          <w:lang w:val="en"/>
        </w:rPr>
        <w:t xml:space="preserve"> Nicholas and Christopher were order</w:t>
      </w:r>
      <w:r w:rsidR="00227107" w:rsidRPr="00DA5EB5">
        <w:rPr>
          <w:kern w:val="2"/>
          <w:sz w:val="20"/>
          <w:lang w:val="en"/>
        </w:rPr>
        <w:t>ed</w:t>
      </w:r>
      <w:r w:rsidRPr="00DA5EB5">
        <w:rPr>
          <w:kern w:val="2"/>
          <w:sz w:val="20"/>
          <w:lang w:val="en"/>
        </w:rPr>
        <w:t xml:space="preserve"> to pay a confiscation order of £18,693 and £4</w:t>
      </w:r>
      <w:r w:rsidR="005F6945" w:rsidRPr="00DA5EB5">
        <w:rPr>
          <w:kern w:val="2"/>
          <w:sz w:val="20"/>
          <w:lang w:val="en"/>
        </w:rPr>
        <w:t>,500 and each</w:t>
      </w:r>
      <w:r w:rsidRPr="00DA5EB5">
        <w:rPr>
          <w:kern w:val="2"/>
          <w:sz w:val="20"/>
          <w:lang w:val="en"/>
        </w:rPr>
        <w:t xml:space="preserve"> </w:t>
      </w:r>
      <w:r w:rsidR="00C60E6F" w:rsidRPr="00DA5EB5">
        <w:rPr>
          <w:kern w:val="2"/>
          <w:sz w:val="20"/>
          <w:lang w:val="en"/>
        </w:rPr>
        <w:t>was</w:t>
      </w:r>
      <w:r w:rsidR="005F6945" w:rsidRPr="00DA5EB5">
        <w:rPr>
          <w:kern w:val="2"/>
          <w:sz w:val="20"/>
          <w:lang w:val="en"/>
        </w:rPr>
        <w:t xml:space="preserve"> ordered to pay costs of </w:t>
      </w:r>
      <w:r w:rsidRPr="00DA5EB5">
        <w:rPr>
          <w:kern w:val="2"/>
          <w:sz w:val="20"/>
          <w:lang w:val="en"/>
        </w:rPr>
        <w:t>£75,000.</w:t>
      </w:r>
    </w:p>
    <w:p w14:paraId="3279BB39" w14:textId="6C1B110C" w:rsidR="004306B5" w:rsidRPr="00DA5EB5" w:rsidRDefault="004306B5" w:rsidP="007C3517">
      <w:pPr>
        <w:rPr>
          <w:color w:val="000000" w:themeColor="text1"/>
          <w:kern w:val="2"/>
          <w:sz w:val="20"/>
          <w:lang w:val="en"/>
        </w:rPr>
      </w:pPr>
      <w:r w:rsidRPr="00DA5EB5">
        <w:rPr>
          <w:color w:val="000000" w:themeColor="text1"/>
          <w:kern w:val="2"/>
          <w:sz w:val="20"/>
          <w:lang w:val="en"/>
        </w:rPr>
        <w:t>The</w:t>
      </w:r>
      <w:r w:rsidR="00C60E6F" w:rsidRPr="00DA5EB5">
        <w:rPr>
          <w:color w:val="000000" w:themeColor="text1"/>
          <w:kern w:val="2"/>
          <w:sz w:val="20"/>
          <w:lang w:val="en"/>
        </w:rPr>
        <w:t xml:space="preserve"> Smiths’</w:t>
      </w:r>
      <w:r w:rsidRPr="00DA5EB5">
        <w:rPr>
          <w:color w:val="000000" w:themeColor="text1"/>
          <w:kern w:val="2"/>
          <w:sz w:val="20"/>
          <w:lang w:val="en"/>
        </w:rPr>
        <w:t xml:space="preserve"> corrupt</w:t>
      </w:r>
      <w:r w:rsidR="00C60E6F" w:rsidRPr="00DA5EB5">
        <w:rPr>
          <w:color w:val="000000" w:themeColor="text1"/>
          <w:kern w:val="2"/>
          <w:sz w:val="20"/>
          <w:lang w:val="en"/>
        </w:rPr>
        <w:t xml:space="preserve"> activities</w:t>
      </w:r>
      <w:r w:rsidRPr="00DA5EB5">
        <w:rPr>
          <w:color w:val="000000" w:themeColor="text1"/>
          <w:kern w:val="2"/>
          <w:sz w:val="20"/>
          <w:lang w:val="en"/>
        </w:rPr>
        <w:t xml:space="preserve"> followed a decision to expand the</w:t>
      </w:r>
      <w:r w:rsidR="00C60E6F" w:rsidRPr="00DA5EB5">
        <w:rPr>
          <w:color w:val="000000" w:themeColor="text1"/>
          <w:kern w:val="2"/>
          <w:sz w:val="20"/>
          <w:lang w:val="en"/>
        </w:rPr>
        <w:t>ir</w:t>
      </w:r>
      <w:r w:rsidRPr="00DA5EB5">
        <w:rPr>
          <w:color w:val="000000" w:themeColor="text1"/>
          <w:kern w:val="2"/>
          <w:sz w:val="20"/>
          <w:lang w:val="en"/>
        </w:rPr>
        <w:t xml:space="preserve"> business into Africa. Between 2006 and 2010</w:t>
      </w:r>
      <w:r w:rsidR="00C60E6F" w:rsidRPr="00DA5EB5">
        <w:rPr>
          <w:color w:val="000000" w:themeColor="text1"/>
          <w:kern w:val="2"/>
          <w:sz w:val="20"/>
          <w:lang w:val="en"/>
        </w:rPr>
        <w:t>,</w:t>
      </w:r>
      <w:r w:rsidRPr="00DA5EB5">
        <w:rPr>
          <w:color w:val="000000" w:themeColor="text1"/>
          <w:kern w:val="2"/>
          <w:sz w:val="20"/>
          <w:lang w:val="en"/>
        </w:rPr>
        <w:t xml:space="preserve"> bribes were </w:t>
      </w:r>
      <w:r w:rsidR="00FD6DAC" w:rsidRPr="00DA5EB5">
        <w:rPr>
          <w:color w:val="000000" w:themeColor="text1"/>
          <w:kern w:val="2"/>
          <w:sz w:val="20"/>
          <w:lang w:val="en"/>
        </w:rPr>
        <w:t>“</w:t>
      </w:r>
      <w:r w:rsidRPr="00DA5EB5">
        <w:rPr>
          <w:color w:val="000000" w:themeColor="text1"/>
          <w:kern w:val="2"/>
          <w:sz w:val="20"/>
          <w:lang w:val="en"/>
        </w:rPr>
        <w:t>routine and common place.</w:t>
      </w:r>
      <w:r w:rsidR="00FD6DAC" w:rsidRPr="00DA5EB5">
        <w:rPr>
          <w:color w:val="000000" w:themeColor="text1"/>
          <w:kern w:val="2"/>
          <w:sz w:val="20"/>
          <w:lang w:val="en"/>
        </w:rPr>
        <w:t>”</w:t>
      </w:r>
      <w:r w:rsidR="00AE2C9D" w:rsidRPr="00DA5EB5">
        <w:rPr>
          <w:rStyle w:val="FootnoteReference"/>
          <w:color w:val="000000" w:themeColor="text1"/>
          <w:kern w:val="2"/>
          <w:sz w:val="18"/>
          <w:lang w:val="en"/>
        </w:rPr>
        <w:footnoteReference w:id="90"/>
      </w:r>
      <w:r w:rsidRPr="00DA5EB5">
        <w:rPr>
          <w:color w:val="000000" w:themeColor="text1"/>
          <w:kern w:val="2"/>
          <w:sz w:val="20"/>
          <w:lang w:val="en"/>
        </w:rPr>
        <w:t xml:space="preserve"> The bribes included a payment of £5,000 to a Kenyan government official</w:t>
      </w:r>
      <w:r w:rsidRPr="00DA5EB5">
        <w:rPr>
          <w:kern w:val="2"/>
          <w:sz w:val="20"/>
          <w:lang w:val="en"/>
        </w:rPr>
        <w:t xml:space="preserve">, </w:t>
      </w:r>
      <w:r w:rsidR="00F626C9" w:rsidRPr="00DA5EB5">
        <w:rPr>
          <w:kern w:val="2"/>
          <w:sz w:val="20"/>
          <w:lang w:val="en"/>
        </w:rPr>
        <w:t xml:space="preserve">which was </w:t>
      </w:r>
      <w:r w:rsidRPr="00DA5EB5">
        <w:rPr>
          <w:kern w:val="2"/>
          <w:sz w:val="20"/>
          <w:lang w:val="en"/>
        </w:rPr>
        <w:t xml:space="preserve">a </w:t>
      </w:r>
      <w:r w:rsidR="005F6945" w:rsidRPr="00DA5EB5">
        <w:rPr>
          <w:kern w:val="2"/>
          <w:sz w:val="20"/>
          <w:lang w:val="en"/>
        </w:rPr>
        <w:t xml:space="preserve">large </w:t>
      </w:r>
      <w:r w:rsidRPr="00DA5EB5">
        <w:rPr>
          <w:kern w:val="2"/>
          <w:sz w:val="20"/>
          <w:lang w:val="en"/>
        </w:rPr>
        <w:t xml:space="preserve">bribe </w:t>
      </w:r>
      <w:r w:rsidR="00F626C9" w:rsidRPr="00DA5EB5">
        <w:rPr>
          <w:kern w:val="2"/>
          <w:sz w:val="20"/>
          <w:lang w:val="en"/>
        </w:rPr>
        <w:t>in light of</w:t>
      </w:r>
      <w:r w:rsidR="001C0908" w:rsidRPr="00DA5EB5">
        <w:rPr>
          <w:kern w:val="2"/>
          <w:sz w:val="20"/>
          <w:lang w:val="en"/>
        </w:rPr>
        <w:t xml:space="preserve"> </w:t>
      </w:r>
      <w:r w:rsidRPr="00DA5EB5">
        <w:rPr>
          <w:kern w:val="2"/>
          <w:sz w:val="20"/>
          <w:lang w:val="en"/>
        </w:rPr>
        <w:t>the official</w:t>
      </w:r>
      <w:r w:rsidR="001C0908" w:rsidRPr="00DA5EB5">
        <w:rPr>
          <w:kern w:val="2"/>
          <w:sz w:val="20"/>
          <w:lang w:val="en"/>
        </w:rPr>
        <w:t>’</w:t>
      </w:r>
      <w:r w:rsidRPr="00DA5EB5">
        <w:rPr>
          <w:kern w:val="2"/>
          <w:sz w:val="20"/>
          <w:lang w:val="en"/>
        </w:rPr>
        <w:t>s</w:t>
      </w:r>
      <w:r w:rsidR="001C0908" w:rsidRPr="00DA5EB5">
        <w:rPr>
          <w:kern w:val="2"/>
          <w:sz w:val="20"/>
          <w:lang w:val="en"/>
        </w:rPr>
        <w:t xml:space="preserve"> salary </w:t>
      </w:r>
      <w:r w:rsidR="00F626C9" w:rsidRPr="00DA5EB5">
        <w:rPr>
          <w:kern w:val="2"/>
          <w:sz w:val="20"/>
          <w:lang w:val="en"/>
        </w:rPr>
        <w:t>of</w:t>
      </w:r>
      <w:r w:rsidRPr="00DA5EB5">
        <w:rPr>
          <w:kern w:val="2"/>
          <w:sz w:val="20"/>
          <w:lang w:val="en"/>
        </w:rPr>
        <w:t xml:space="preserve"> £</w:t>
      </w:r>
      <w:r w:rsidRPr="00DA5EB5">
        <w:rPr>
          <w:color w:val="000000" w:themeColor="text1"/>
          <w:kern w:val="2"/>
          <w:sz w:val="20"/>
          <w:lang w:val="en"/>
        </w:rPr>
        <w:t>40,000. Other bribes i</w:t>
      </w:r>
      <w:r w:rsidR="00230A6F" w:rsidRPr="00DA5EB5">
        <w:rPr>
          <w:color w:val="000000" w:themeColor="text1"/>
          <w:kern w:val="2"/>
          <w:sz w:val="20"/>
          <w:lang w:val="en"/>
        </w:rPr>
        <w:t xml:space="preserve">ncluded payments of just under </w:t>
      </w:r>
      <w:r w:rsidRPr="00DA5EB5">
        <w:rPr>
          <w:color w:val="000000" w:themeColor="text1"/>
          <w:kern w:val="2"/>
          <w:sz w:val="20"/>
          <w:lang w:val="en"/>
        </w:rPr>
        <w:t xml:space="preserve">£400,000 to receive contracts worth £2 million. The pricing of the product was not elevated </w:t>
      </w:r>
      <w:r w:rsidR="00F626C9" w:rsidRPr="00DA5EB5">
        <w:rPr>
          <w:color w:val="000000" w:themeColor="text1"/>
          <w:kern w:val="2"/>
          <w:sz w:val="20"/>
          <w:lang w:val="en"/>
        </w:rPr>
        <w:t>aside</w:t>
      </w:r>
      <w:r w:rsidRPr="00DA5EB5">
        <w:rPr>
          <w:color w:val="000000" w:themeColor="text1"/>
          <w:kern w:val="2"/>
          <w:sz w:val="20"/>
          <w:lang w:val="en"/>
        </w:rPr>
        <w:t xml:space="preserve"> from the bribery uplift. However, as the product included electoral ballot papers, </w:t>
      </w:r>
      <w:r w:rsidR="003D76D1" w:rsidRPr="00DA5EB5">
        <w:rPr>
          <w:color w:val="000000" w:themeColor="text1"/>
          <w:kern w:val="2"/>
          <w:sz w:val="20"/>
          <w:lang w:val="en"/>
        </w:rPr>
        <w:t>the bribe</w:t>
      </w:r>
      <w:r w:rsidRPr="00DA5EB5">
        <w:rPr>
          <w:color w:val="000000" w:themeColor="text1"/>
          <w:kern w:val="2"/>
          <w:sz w:val="20"/>
          <w:lang w:val="en"/>
        </w:rPr>
        <w:t xml:space="preserve"> risked undermining the integrity </w:t>
      </w:r>
      <w:r w:rsidR="00F626C9" w:rsidRPr="00DA5EB5">
        <w:rPr>
          <w:color w:val="000000" w:themeColor="text1"/>
          <w:kern w:val="2"/>
          <w:sz w:val="20"/>
          <w:lang w:val="en"/>
        </w:rPr>
        <w:t xml:space="preserve">of </w:t>
      </w:r>
      <w:r w:rsidRPr="00DA5EB5">
        <w:rPr>
          <w:color w:val="000000" w:themeColor="text1"/>
          <w:kern w:val="2"/>
          <w:sz w:val="20"/>
          <w:lang w:val="en"/>
        </w:rPr>
        <w:t xml:space="preserve">and confidence </w:t>
      </w:r>
      <w:r w:rsidR="00F626C9" w:rsidRPr="00DA5EB5">
        <w:rPr>
          <w:color w:val="000000" w:themeColor="text1"/>
          <w:kern w:val="2"/>
          <w:sz w:val="20"/>
          <w:lang w:val="en"/>
        </w:rPr>
        <w:t>in</w:t>
      </w:r>
      <w:r w:rsidRPr="00DA5EB5">
        <w:rPr>
          <w:color w:val="000000" w:themeColor="text1"/>
          <w:kern w:val="2"/>
          <w:sz w:val="20"/>
          <w:lang w:val="en"/>
        </w:rPr>
        <w:t xml:space="preserve"> the electoral system.</w:t>
      </w:r>
    </w:p>
    <w:p w14:paraId="03104FF4" w14:textId="64D58EC1" w:rsidR="004306B5" w:rsidRPr="00DA5EB5" w:rsidRDefault="00512D74" w:rsidP="007C3517">
      <w:pPr>
        <w:rPr>
          <w:color w:val="000000" w:themeColor="text1"/>
          <w:kern w:val="2"/>
          <w:sz w:val="20"/>
          <w:lang w:val="en"/>
        </w:rPr>
      </w:pPr>
      <w:r w:rsidRPr="00DA5EB5">
        <w:rPr>
          <w:color w:val="000000" w:themeColor="text1"/>
          <w:kern w:val="2"/>
          <w:sz w:val="20"/>
          <w:lang w:val="en"/>
        </w:rPr>
        <w:t xml:space="preserve">Using </w:t>
      </w:r>
      <w:r w:rsidR="004306B5" w:rsidRPr="00DA5EB5">
        <w:rPr>
          <w:color w:val="000000" w:themeColor="text1"/>
          <w:kern w:val="2"/>
          <w:sz w:val="20"/>
          <w:lang w:val="en"/>
        </w:rPr>
        <w:t xml:space="preserve">the Sentencing </w:t>
      </w:r>
      <w:r w:rsidRPr="00DA5EB5">
        <w:rPr>
          <w:color w:val="000000" w:themeColor="text1"/>
          <w:kern w:val="2"/>
          <w:sz w:val="20"/>
          <w:lang w:val="en"/>
        </w:rPr>
        <w:t xml:space="preserve">Council’s </w:t>
      </w:r>
      <w:r w:rsidR="004306B5" w:rsidRPr="00DA5EB5">
        <w:rPr>
          <w:color w:val="000000" w:themeColor="text1"/>
          <w:kern w:val="2"/>
          <w:sz w:val="20"/>
          <w:lang w:val="en"/>
        </w:rPr>
        <w:t xml:space="preserve">Guidelines, Higgins J found </w:t>
      </w:r>
      <w:r w:rsidRPr="00DA5EB5">
        <w:rPr>
          <w:color w:val="000000" w:themeColor="text1"/>
          <w:kern w:val="2"/>
          <w:sz w:val="20"/>
          <w:lang w:val="en"/>
        </w:rPr>
        <w:t xml:space="preserve">that the level of culpability was </w:t>
      </w:r>
      <w:r w:rsidR="004306B5" w:rsidRPr="00DA5EB5">
        <w:rPr>
          <w:color w:val="000000" w:themeColor="text1"/>
          <w:kern w:val="2"/>
          <w:sz w:val="20"/>
          <w:lang w:val="en"/>
        </w:rPr>
        <w:t>high based on four factors:</w:t>
      </w:r>
    </w:p>
    <w:p w14:paraId="2F94A70C" w14:textId="59ABAE23" w:rsidR="004306B5" w:rsidRPr="00DA5EB5" w:rsidRDefault="004306B5" w:rsidP="00B03652">
      <w:pPr>
        <w:pStyle w:val="BlockQuote"/>
        <w:numPr>
          <w:ilvl w:val="0"/>
          <w:numId w:val="22"/>
        </w:numPr>
        <w:spacing w:before="60" w:after="60"/>
        <w:rPr>
          <w:kern w:val="2"/>
          <w:sz w:val="20"/>
          <w:lang w:eastAsia="en-CA"/>
        </w:rPr>
      </w:pPr>
      <w:r w:rsidRPr="00DA5EB5">
        <w:rPr>
          <w:kern w:val="2"/>
          <w:sz w:val="20"/>
          <w:lang w:eastAsia="en-CA"/>
        </w:rPr>
        <w:t>A leading role was played</w:t>
      </w:r>
    </w:p>
    <w:p w14:paraId="74D94A9A" w14:textId="2A4461AA" w:rsidR="004306B5" w:rsidRPr="00DA5EB5" w:rsidRDefault="004306B5" w:rsidP="00B03652">
      <w:pPr>
        <w:pStyle w:val="BlockQuote"/>
        <w:numPr>
          <w:ilvl w:val="0"/>
          <w:numId w:val="22"/>
        </w:numPr>
        <w:spacing w:before="60" w:after="60"/>
        <w:rPr>
          <w:kern w:val="2"/>
          <w:sz w:val="20"/>
          <w:lang w:eastAsia="en-CA"/>
        </w:rPr>
      </w:pPr>
      <w:r w:rsidRPr="00DA5EB5">
        <w:rPr>
          <w:kern w:val="2"/>
          <w:sz w:val="20"/>
          <w:lang w:eastAsia="en-CA"/>
        </w:rPr>
        <w:t>There was intended corruption of a public official</w:t>
      </w:r>
    </w:p>
    <w:p w14:paraId="4F0FEE94" w14:textId="1C636E48" w:rsidR="004306B5" w:rsidRPr="00DA5EB5" w:rsidRDefault="004306B5" w:rsidP="00B03652">
      <w:pPr>
        <w:pStyle w:val="BlockQuote"/>
        <w:numPr>
          <w:ilvl w:val="0"/>
          <w:numId w:val="22"/>
        </w:numPr>
        <w:spacing w:before="60" w:after="60"/>
        <w:rPr>
          <w:kern w:val="2"/>
          <w:sz w:val="20"/>
          <w:lang w:eastAsia="en-CA"/>
        </w:rPr>
      </w:pPr>
      <w:r w:rsidRPr="00DA5EB5">
        <w:rPr>
          <w:kern w:val="2"/>
          <w:sz w:val="20"/>
          <w:lang w:eastAsia="en-CA"/>
        </w:rPr>
        <w:t>The offences were of a sophisticated nature</w:t>
      </w:r>
    </w:p>
    <w:p w14:paraId="14AED77F" w14:textId="054C9014" w:rsidR="004306B5" w:rsidRPr="00DA5EB5" w:rsidRDefault="004306B5" w:rsidP="00B03652">
      <w:pPr>
        <w:pStyle w:val="BlockQuote"/>
        <w:numPr>
          <w:ilvl w:val="0"/>
          <w:numId w:val="22"/>
        </w:numPr>
        <w:spacing w:before="60" w:after="60"/>
        <w:rPr>
          <w:kern w:val="2"/>
          <w:sz w:val="20"/>
          <w:lang w:eastAsia="en-CA"/>
        </w:rPr>
      </w:pPr>
      <w:r w:rsidRPr="00DA5EB5">
        <w:rPr>
          <w:kern w:val="2"/>
          <w:sz w:val="20"/>
          <w:lang w:eastAsia="en-CA"/>
        </w:rPr>
        <w:t>The motive was</w:t>
      </w:r>
      <w:r w:rsidR="00AA08D4" w:rsidRPr="00DA5EB5">
        <w:rPr>
          <w:kern w:val="2"/>
          <w:sz w:val="20"/>
          <w:lang w:eastAsia="en-CA"/>
        </w:rPr>
        <w:t xml:space="preserve"> for substantial financial gain</w:t>
      </w:r>
      <w:r w:rsidR="000D3E5C" w:rsidRPr="00DA5EB5">
        <w:rPr>
          <w:rStyle w:val="FootnoteReference"/>
          <w:color w:val="000000" w:themeColor="text1"/>
          <w:kern w:val="2"/>
          <w:sz w:val="18"/>
          <w:lang w:val="en"/>
        </w:rPr>
        <w:footnoteReference w:id="91"/>
      </w:r>
    </w:p>
    <w:p w14:paraId="452F5F99" w14:textId="0EA046F7" w:rsidR="004306B5" w:rsidRPr="00DA5EB5" w:rsidRDefault="004306B5" w:rsidP="00F44BB6">
      <w:pPr>
        <w:rPr>
          <w:color w:val="FF0000"/>
          <w:kern w:val="2"/>
          <w:sz w:val="20"/>
          <w:lang w:eastAsia="en-CA"/>
        </w:rPr>
      </w:pPr>
      <w:r w:rsidRPr="00DA5EB5">
        <w:rPr>
          <w:kern w:val="2"/>
          <w:sz w:val="20"/>
          <w:lang w:eastAsia="en-CA"/>
        </w:rPr>
        <w:t xml:space="preserve">Examining </w:t>
      </w:r>
      <w:r w:rsidR="006F6B8B" w:rsidRPr="00DA5EB5">
        <w:rPr>
          <w:kern w:val="2"/>
          <w:sz w:val="20"/>
          <w:lang w:eastAsia="en-CA"/>
        </w:rPr>
        <w:t>harm, Higgins J considered the</w:t>
      </w:r>
      <w:r w:rsidRPr="00DA5EB5">
        <w:rPr>
          <w:kern w:val="2"/>
          <w:sz w:val="20"/>
          <w:lang w:eastAsia="en-CA"/>
        </w:rPr>
        <w:t xml:space="preserve"> fact</w:t>
      </w:r>
      <w:r w:rsidR="00AE2C9D" w:rsidRPr="00DA5EB5">
        <w:rPr>
          <w:kern w:val="2"/>
          <w:sz w:val="20"/>
          <w:lang w:eastAsia="en-CA"/>
        </w:rPr>
        <w:t xml:space="preserve"> that g</w:t>
      </w:r>
      <w:r w:rsidR="003D76D1" w:rsidRPr="00DA5EB5">
        <w:rPr>
          <w:kern w:val="2"/>
          <w:sz w:val="20"/>
          <w:lang w:eastAsia="en-CA"/>
        </w:rPr>
        <w:t>overnance</w:t>
      </w:r>
      <w:r w:rsidRPr="00DA5EB5">
        <w:rPr>
          <w:kern w:val="2"/>
          <w:sz w:val="20"/>
          <w:lang w:eastAsia="en-CA"/>
        </w:rPr>
        <w:t xml:space="preserve"> in Kenya and Mauritania</w:t>
      </w:r>
      <w:r w:rsidR="003D76D1" w:rsidRPr="00DA5EB5">
        <w:rPr>
          <w:kern w:val="2"/>
          <w:sz w:val="20"/>
          <w:lang w:eastAsia="en-CA"/>
        </w:rPr>
        <w:t xml:space="preserve"> was undermined</w:t>
      </w:r>
      <w:r w:rsidR="007F665A" w:rsidRPr="00DA5EB5">
        <w:rPr>
          <w:kern w:val="2"/>
          <w:sz w:val="20"/>
          <w:lang w:eastAsia="en-CA"/>
        </w:rPr>
        <w:t xml:space="preserve"> and</w:t>
      </w:r>
      <w:r w:rsidR="00AE2C9D" w:rsidRPr="00DA5EB5">
        <w:rPr>
          <w:kern w:val="2"/>
          <w:sz w:val="20"/>
          <w:lang w:eastAsia="en-CA"/>
        </w:rPr>
        <w:t xml:space="preserve"> f</w:t>
      </w:r>
      <w:r w:rsidRPr="00DA5EB5">
        <w:rPr>
          <w:kern w:val="2"/>
          <w:sz w:val="20"/>
          <w:lang w:eastAsia="en-CA"/>
        </w:rPr>
        <w:t xml:space="preserve">inancial gain </w:t>
      </w:r>
      <w:r w:rsidR="00AE2C9D" w:rsidRPr="00DA5EB5">
        <w:rPr>
          <w:kern w:val="2"/>
          <w:sz w:val="20"/>
          <w:lang w:eastAsia="en-CA"/>
        </w:rPr>
        <w:t xml:space="preserve">for the Smiths </w:t>
      </w:r>
      <w:r w:rsidRPr="00DA5EB5">
        <w:rPr>
          <w:kern w:val="2"/>
          <w:sz w:val="20"/>
          <w:lang w:eastAsia="en-CA"/>
        </w:rPr>
        <w:t>was substantial</w:t>
      </w:r>
      <w:r w:rsidR="003D76D1" w:rsidRPr="00DA5EB5">
        <w:rPr>
          <w:kern w:val="2"/>
          <w:sz w:val="20"/>
          <w:lang w:eastAsia="en-CA"/>
        </w:rPr>
        <w:t>, while</w:t>
      </w:r>
      <w:r w:rsidRPr="00DA5EB5">
        <w:rPr>
          <w:kern w:val="2"/>
          <w:sz w:val="20"/>
          <w:lang w:eastAsia="en-CA"/>
        </w:rPr>
        <w:t xml:space="preserve"> </w:t>
      </w:r>
      <w:r w:rsidR="00512D74" w:rsidRPr="00DA5EB5">
        <w:rPr>
          <w:kern w:val="2"/>
          <w:sz w:val="20"/>
          <w:lang w:eastAsia="en-CA"/>
        </w:rPr>
        <w:t xml:space="preserve">a </w:t>
      </w:r>
      <w:r w:rsidRPr="00DA5EB5">
        <w:rPr>
          <w:kern w:val="2"/>
          <w:sz w:val="20"/>
          <w:lang w:eastAsia="en-CA"/>
        </w:rPr>
        <w:t xml:space="preserve">loss was incurred by Kenya and Mauritania </w:t>
      </w:r>
      <w:r w:rsidRPr="00DA5EB5">
        <w:rPr>
          <w:color w:val="000000" w:themeColor="text1"/>
          <w:kern w:val="2"/>
          <w:sz w:val="20"/>
          <w:lang w:eastAsia="en-CA"/>
        </w:rPr>
        <w:t xml:space="preserve">due to the </w:t>
      </w:r>
      <w:r w:rsidR="00ED0F58" w:rsidRPr="00DA5EB5">
        <w:rPr>
          <w:color w:val="000000" w:themeColor="text1"/>
          <w:kern w:val="2"/>
          <w:sz w:val="20"/>
          <w:lang w:eastAsia="en-CA"/>
        </w:rPr>
        <w:t xml:space="preserve">inclusion of bribes in the </w:t>
      </w:r>
      <w:r w:rsidRPr="00DA5EB5">
        <w:rPr>
          <w:color w:val="000000" w:themeColor="text1"/>
          <w:kern w:val="2"/>
          <w:sz w:val="20"/>
          <w:lang w:eastAsia="en-CA"/>
        </w:rPr>
        <w:t>price</w:t>
      </w:r>
      <w:r w:rsidR="00ED0F58" w:rsidRPr="00DA5EB5">
        <w:rPr>
          <w:color w:val="000000" w:themeColor="text1"/>
          <w:kern w:val="2"/>
          <w:sz w:val="20"/>
          <w:lang w:eastAsia="en-CA"/>
        </w:rPr>
        <w:t xml:space="preserve"> of products sold to those countrie</w:t>
      </w:r>
      <w:r w:rsidR="00ED0F58" w:rsidRPr="00DA5EB5">
        <w:rPr>
          <w:kern w:val="2"/>
          <w:sz w:val="20"/>
          <w:lang w:eastAsia="en-CA"/>
        </w:rPr>
        <w:t>s</w:t>
      </w:r>
      <w:r w:rsidR="006F6B8B" w:rsidRPr="00DA5EB5">
        <w:rPr>
          <w:kern w:val="2"/>
          <w:sz w:val="20"/>
          <w:lang w:eastAsia="en-CA"/>
        </w:rPr>
        <w:t>.</w:t>
      </w:r>
      <w:r w:rsidR="00960D9C" w:rsidRPr="00DA5EB5">
        <w:rPr>
          <w:kern w:val="2"/>
          <w:sz w:val="20"/>
          <w:lang w:eastAsia="en-CA"/>
        </w:rPr>
        <w:t xml:space="preserve"> </w:t>
      </w:r>
      <w:r w:rsidRPr="00DA5EB5">
        <w:rPr>
          <w:color w:val="000000" w:themeColor="text1"/>
          <w:kern w:val="2"/>
          <w:sz w:val="20"/>
          <w:lang w:eastAsia="en-CA"/>
        </w:rPr>
        <w:t xml:space="preserve">Higgins </w:t>
      </w:r>
      <w:r w:rsidR="00C928C2" w:rsidRPr="00DA5EB5">
        <w:rPr>
          <w:color w:val="000000" w:themeColor="text1"/>
          <w:kern w:val="2"/>
          <w:sz w:val="20"/>
          <w:lang w:eastAsia="en-CA"/>
        </w:rPr>
        <w:t>J</w:t>
      </w:r>
      <w:r w:rsidR="00ED0F58" w:rsidRPr="00DA5EB5">
        <w:rPr>
          <w:color w:val="000000" w:themeColor="text1"/>
          <w:kern w:val="2"/>
          <w:sz w:val="20"/>
          <w:lang w:eastAsia="en-CA"/>
        </w:rPr>
        <w:t xml:space="preserve"> </w:t>
      </w:r>
      <w:r w:rsidRPr="00DA5EB5">
        <w:rPr>
          <w:kern w:val="2"/>
          <w:sz w:val="20"/>
          <w:lang w:eastAsia="en-CA"/>
        </w:rPr>
        <w:t xml:space="preserve">found </w:t>
      </w:r>
      <w:r w:rsidR="006F6B8B" w:rsidRPr="00DA5EB5">
        <w:rPr>
          <w:kern w:val="2"/>
          <w:sz w:val="20"/>
          <w:lang w:eastAsia="en-CA"/>
        </w:rPr>
        <w:t>that the</w:t>
      </w:r>
      <w:r w:rsidRPr="00DA5EB5">
        <w:rPr>
          <w:kern w:val="2"/>
          <w:sz w:val="20"/>
          <w:lang w:eastAsia="en-CA"/>
        </w:rPr>
        <w:t xml:space="preserve"> </w:t>
      </w:r>
      <w:r w:rsidR="00ED0F58" w:rsidRPr="00DA5EB5">
        <w:rPr>
          <w:kern w:val="2"/>
          <w:sz w:val="20"/>
          <w:lang w:eastAsia="en-CA"/>
        </w:rPr>
        <w:t>harm caused placed t</w:t>
      </w:r>
      <w:r w:rsidR="00277763" w:rsidRPr="00DA5EB5">
        <w:rPr>
          <w:kern w:val="2"/>
          <w:sz w:val="20"/>
          <w:lang w:eastAsia="en-CA"/>
        </w:rPr>
        <w:t xml:space="preserve">he offence in category 2, meaning the offence falls under </w:t>
      </w:r>
      <w:proofErr w:type="gramStart"/>
      <w:r w:rsidRPr="00DA5EB5">
        <w:rPr>
          <w:color w:val="000000" w:themeColor="text1"/>
          <w:kern w:val="2"/>
          <w:sz w:val="20"/>
          <w:lang w:eastAsia="en-CA"/>
        </w:rPr>
        <w:t>A(</w:t>
      </w:r>
      <w:proofErr w:type="gramEnd"/>
      <w:r w:rsidRPr="00DA5EB5">
        <w:rPr>
          <w:color w:val="000000" w:themeColor="text1"/>
          <w:kern w:val="2"/>
          <w:sz w:val="20"/>
          <w:lang w:eastAsia="en-CA"/>
        </w:rPr>
        <w:t>2)</w:t>
      </w:r>
      <w:r w:rsidR="00277763" w:rsidRPr="00DA5EB5">
        <w:rPr>
          <w:color w:val="000000" w:themeColor="text1"/>
          <w:kern w:val="2"/>
          <w:sz w:val="20"/>
          <w:lang w:eastAsia="en-CA"/>
        </w:rPr>
        <w:t xml:space="preserve"> in the Guidelines</w:t>
      </w:r>
      <w:r w:rsidRPr="00DA5EB5">
        <w:rPr>
          <w:color w:val="000000" w:themeColor="text1"/>
          <w:kern w:val="2"/>
          <w:sz w:val="20"/>
          <w:lang w:eastAsia="en-CA"/>
        </w:rPr>
        <w:t>.</w:t>
      </w:r>
      <w:r w:rsidR="00277763" w:rsidRPr="00DA5EB5">
        <w:rPr>
          <w:color w:val="000000" w:themeColor="text1"/>
          <w:kern w:val="2"/>
          <w:sz w:val="20"/>
          <w:lang w:eastAsia="en-CA"/>
        </w:rPr>
        <w:t xml:space="preserve"> </w:t>
      </w:r>
      <w:proofErr w:type="gramStart"/>
      <w:r w:rsidR="00277763" w:rsidRPr="00DA5EB5">
        <w:rPr>
          <w:color w:val="000000" w:themeColor="text1"/>
          <w:kern w:val="2"/>
          <w:sz w:val="20"/>
          <w:lang w:eastAsia="en-CA"/>
        </w:rPr>
        <w:t>A(</w:t>
      </w:r>
      <w:proofErr w:type="gramEnd"/>
      <w:r w:rsidR="00277763" w:rsidRPr="00DA5EB5">
        <w:rPr>
          <w:color w:val="000000" w:themeColor="text1"/>
          <w:kern w:val="2"/>
          <w:sz w:val="20"/>
          <w:lang w:eastAsia="en-CA"/>
        </w:rPr>
        <w:t>2) has a starting point of 5 years’ custody and a range of 3-6 years’ custody</w:t>
      </w:r>
      <w:r w:rsidR="007B136B" w:rsidRPr="00DA5EB5">
        <w:rPr>
          <w:color w:val="000000" w:themeColor="text1"/>
          <w:kern w:val="2"/>
          <w:sz w:val="20"/>
          <w:lang w:eastAsia="en-CA"/>
        </w:rPr>
        <w:t xml:space="preserve"> (see the above excerpt from the Guidelines)</w:t>
      </w:r>
      <w:r w:rsidR="00277763" w:rsidRPr="00DA5EB5">
        <w:rPr>
          <w:color w:val="000000" w:themeColor="text1"/>
          <w:kern w:val="2"/>
          <w:sz w:val="20"/>
          <w:lang w:eastAsia="en-CA"/>
        </w:rPr>
        <w:t>.</w:t>
      </w:r>
      <w:r w:rsidR="00E87776" w:rsidRPr="00DA5EB5">
        <w:rPr>
          <w:color w:val="000000" w:themeColor="text1"/>
          <w:kern w:val="2"/>
          <w:sz w:val="20"/>
          <w:lang w:eastAsia="en-CA"/>
        </w:rPr>
        <w:t xml:space="preserve"> </w:t>
      </w:r>
    </w:p>
    <w:p w14:paraId="68DC77A7" w14:textId="4F9CEE54" w:rsidR="0028061B" w:rsidRPr="00DA5EB5" w:rsidRDefault="004306B5" w:rsidP="00BD43BF">
      <w:pPr>
        <w:spacing w:before="100" w:beforeAutospacing="1" w:after="100" w:afterAutospacing="1"/>
        <w:rPr>
          <w:rStyle w:val="Hyperlink"/>
          <w:rFonts w:eastAsia="Times New Roman"/>
          <w:color w:val="000000" w:themeColor="text1"/>
          <w:kern w:val="2"/>
          <w:sz w:val="20"/>
          <w:u w:val="none"/>
          <w:lang w:eastAsia="en-CA"/>
        </w:rPr>
      </w:pPr>
      <w:r w:rsidRPr="00DA5EB5">
        <w:rPr>
          <w:rFonts w:eastAsia="Times New Roman"/>
          <w:color w:val="000000" w:themeColor="text1"/>
          <w:kern w:val="2"/>
          <w:sz w:val="20"/>
          <w:lang w:eastAsia="en-CA"/>
        </w:rPr>
        <w:t>Based on the aggravating factors,</w:t>
      </w:r>
      <w:r w:rsidR="007B136B" w:rsidRPr="00DA5EB5">
        <w:rPr>
          <w:rFonts w:eastAsia="Times New Roman"/>
          <w:color w:val="000000" w:themeColor="text1"/>
          <w:kern w:val="2"/>
          <w:sz w:val="20"/>
          <w:lang w:eastAsia="en-CA"/>
        </w:rPr>
        <w:t xml:space="preserve"> which included</w:t>
      </w:r>
      <w:r w:rsidR="00277763" w:rsidRPr="00DA5EB5">
        <w:rPr>
          <w:rFonts w:eastAsia="Times New Roman"/>
          <w:color w:val="000000" w:themeColor="text1"/>
          <w:kern w:val="2"/>
          <w:sz w:val="20"/>
          <w:lang w:eastAsia="en-CA"/>
        </w:rPr>
        <w:t xml:space="preserve"> negative impact</w:t>
      </w:r>
      <w:r w:rsidR="003D76D1" w:rsidRPr="00DA5EB5">
        <w:rPr>
          <w:rFonts w:eastAsia="Times New Roman"/>
          <w:color w:val="000000" w:themeColor="text1"/>
          <w:kern w:val="2"/>
          <w:sz w:val="20"/>
          <w:lang w:eastAsia="en-CA"/>
        </w:rPr>
        <w:t>s</w:t>
      </w:r>
      <w:r w:rsidR="00277763" w:rsidRPr="00DA5EB5">
        <w:rPr>
          <w:rFonts w:eastAsia="Times New Roman"/>
          <w:color w:val="000000" w:themeColor="text1"/>
          <w:kern w:val="2"/>
          <w:sz w:val="20"/>
          <w:lang w:eastAsia="en-CA"/>
        </w:rPr>
        <w:t xml:space="preserve"> on good governance and the cross-border nature of the offence, </w:t>
      </w:r>
      <w:r w:rsidRPr="00DA5EB5">
        <w:rPr>
          <w:rFonts w:eastAsia="Times New Roman"/>
          <w:color w:val="000000" w:themeColor="text1"/>
          <w:kern w:val="2"/>
          <w:sz w:val="20"/>
          <w:lang w:eastAsia="en-CA"/>
        </w:rPr>
        <w:t>and the mitigating factors</w:t>
      </w:r>
      <w:r w:rsidR="007B136B" w:rsidRPr="00DA5EB5">
        <w:rPr>
          <w:rFonts w:eastAsia="Times New Roman"/>
          <w:color w:val="000000" w:themeColor="text1"/>
          <w:kern w:val="2"/>
          <w:sz w:val="20"/>
          <w:lang w:eastAsia="en-CA"/>
        </w:rPr>
        <w:t>, which included</w:t>
      </w:r>
      <w:r w:rsidR="00277763" w:rsidRPr="00DA5EB5">
        <w:rPr>
          <w:rFonts w:eastAsia="Times New Roman"/>
          <w:color w:val="000000" w:themeColor="text1"/>
          <w:kern w:val="2"/>
          <w:sz w:val="20"/>
          <w:lang w:eastAsia="en-CA"/>
        </w:rPr>
        <w:t xml:space="preserve"> </w:t>
      </w:r>
      <w:r w:rsidRPr="00DA5EB5">
        <w:rPr>
          <w:rFonts w:eastAsia="Times New Roman"/>
          <w:color w:val="000000" w:themeColor="text1"/>
          <w:kern w:val="2"/>
          <w:sz w:val="20"/>
          <w:lang w:eastAsia="en-CA"/>
        </w:rPr>
        <w:t xml:space="preserve">good character and </w:t>
      </w:r>
      <w:r w:rsidR="00277763" w:rsidRPr="00DA5EB5">
        <w:rPr>
          <w:rFonts w:eastAsia="Times New Roman"/>
          <w:color w:val="000000" w:themeColor="text1"/>
          <w:kern w:val="2"/>
          <w:sz w:val="20"/>
          <w:lang w:eastAsia="en-CA"/>
        </w:rPr>
        <w:t xml:space="preserve">Christopher Smith’s health and age, </w:t>
      </w:r>
      <w:r w:rsidRPr="00DA5EB5">
        <w:rPr>
          <w:rFonts w:eastAsia="Times New Roman"/>
          <w:color w:val="000000" w:themeColor="text1"/>
          <w:kern w:val="2"/>
          <w:sz w:val="20"/>
          <w:lang w:eastAsia="en-CA"/>
        </w:rPr>
        <w:t xml:space="preserve">Higgins J found </w:t>
      </w:r>
      <w:r w:rsidR="00277763" w:rsidRPr="00DA5EB5">
        <w:rPr>
          <w:rFonts w:eastAsia="Times New Roman"/>
          <w:color w:val="000000" w:themeColor="text1"/>
          <w:kern w:val="2"/>
          <w:sz w:val="20"/>
          <w:lang w:eastAsia="en-CA"/>
        </w:rPr>
        <w:t xml:space="preserve">that </w:t>
      </w:r>
      <w:r w:rsidRPr="00DA5EB5">
        <w:rPr>
          <w:rFonts w:eastAsia="Times New Roman"/>
          <w:color w:val="000000" w:themeColor="text1"/>
          <w:kern w:val="2"/>
          <w:sz w:val="20"/>
          <w:lang w:eastAsia="en-CA"/>
        </w:rPr>
        <w:t xml:space="preserve">the </w:t>
      </w:r>
      <w:r w:rsidR="00FD6DAC" w:rsidRPr="00DA5EB5">
        <w:rPr>
          <w:rFonts w:eastAsia="Times New Roman"/>
          <w:color w:val="000000" w:themeColor="text1"/>
          <w:kern w:val="2"/>
          <w:sz w:val="20"/>
          <w:lang w:eastAsia="en-CA"/>
        </w:rPr>
        <w:t>“</w:t>
      </w:r>
      <w:r w:rsidRPr="00DA5EB5">
        <w:rPr>
          <w:rFonts w:eastAsia="Times New Roman"/>
          <w:color w:val="000000" w:themeColor="text1"/>
          <w:kern w:val="2"/>
          <w:sz w:val="20"/>
          <w:lang w:eastAsia="en-CA"/>
        </w:rPr>
        <w:t>terms of A (2) should be reduced.</w:t>
      </w:r>
      <w:r w:rsidR="00FD6DAC" w:rsidRPr="00DA5EB5">
        <w:rPr>
          <w:rFonts w:eastAsia="Times New Roman"/>
          <w:color w:val="000000" w:themeColor="text1"/>
          <w:kern w:val="2"/>
          <w:sz w:val="20"/>
          <w:lang w:eastAsia="en-CA"/>
        </w:rPr>
        <w:t>”</w:t>
      </w:r>
      <w:r w:rsidR="00537C95" w:rsidRPr="00DA5EB5">
        <w:rPr>
          <w:rStyle w:val="FootnoteReference"/>
          <w:rFonts w:eastAsia="Times New Roman"/>
          <w:color w:val="000000" w:themeColor="text1"/>
          <w:kern w:val="2"/>
          <w:sz w:val="18"/>
          <w:lang w:eastAsia="en-CA"/>
        </w:rPr>
        <w:footnoteReference w:id="92"/>
      </w:r>
      <w:r w:rsidR="00537C95" w:rsidRPr="00DA5EB5">
        <w:rPr>
          <w:rFonts w:eastAsia="Times New Roman"/>
          <w:color w:val="000000" w:themeColor="text1"/>
          <w:kern w:val="2"/>
          <w:sz w:val="20"/>
          <w:lang w:eastAsia="en-CA"/>
        </w:rPr>
        <w:t xml:space="preserve"> Nicholas Smith</w:t>
      </w:r>
      <w:r w:rsidR="007B136B" w:rsidRPr="00DA5EB5">
        <w:rPr>
          <w:rFonts w:eastAsia="Times New Roman"/>
          <w:color w:val="000000" w:themeColor="text1"/>
          <w:kern w:val="2"/>
          <w:sz w:val="20"/>
          <w:lang w:eastAsia="en-CA"/>
        </w:rPr>
        <w:t xml:space="preserve">’s </w:t>
      </w:r>
      <w:r w:rsidRPr="00DA5EB5">
        <w:rPr>
          <w:rFonts w:eastAsia="Times New Roman"/>
          <w:color w:val="000000" w:themeColor="text1"/>
          <w:kern w:val="2"/>
          <w:sz w:val="20"/>
          <w:lang w:eastAsia="en-CA"/>
        </w:rPr>
        <w:t xml:space="preserve">sentence of </w:t>
      </w:r>
      <w:r w:rsidR="007B136B" w:rsidRPr="00DA5EB5">
        <w:rPr>
          <w:rFonts w:eastAsia="Times New Roman"/>
          <w:color w:val="000000" w:themeColor="text1"/>
          <w:kern w:val="2"/>
          <w:sz w:val="20"/>
          <w:lang w:eastAsia="en-CA"/>
        </w:rPr>
        <w:t>three</w:t>
      </w:r>
      <w:r w:rsidRPr="00DA5EB5">
        <w:rPr>
          <w:rFonts w:eastAsia="Times New Roman"/>
          <w:color w:val="000000" w:themeColor="text1"/>
          <w:kern w:val="2"/>
          <w:sz w:val="20"/>
          <w:lang w:eastAsia="en-CA"/>
        </w:rPr>
        <w:t xml:space="preserve"> years</w:t>
      </w:r>
      <w:r w:rsidR="007B136B" w:rsidRPr="00DA5EB5">
        <w:rPr>
          <w:rFonts w:eastAsia="Times New Roman"/>
          <w:color w:val="000000" w:themeColor="text1"/>
          <w:kern w:val="2"/>
          <w:sz w:val="20"/>
          <w:lang w:eastAsia="en-CA"/>
        </w:rPr>
        <w:t xml:space="preserve"> imprisonment</w:t>
      </w:r>
      <w:r w:rsidRPr="00DA5EB5">
        <w:rPr>
          <w:rFonts w:eastAsia="Times New Roman"/>
          <w:color w:val="000000" w:themeColor="text1"/>
          <w:kern w:val="2"/>
          <w:sz w:val="20"/>
          <w:lang w:eastAsia="en-CA"/>
        </w:rPr>
        <w:t xml:space="preserve"> fell at the bottom end of the range</w:t>
      </w:r>
      <w:r w:rsidR="007B136B" w:rsidRPr="00DA5EB5">
        <w:rPr>
          <w:rFonts w:eastAsia="Times New Roman"/>
          <w:color w:val="000000" w:themeColor="text1"/>
          <w:kern w:val="2"/>
          <w:sz w:val="20"/>
          <w:lang w:eastAsia="en-CA"/>
        </w:rPr>
        <w:t>, while Christopher Smith’s sentence</w:t>
      </w:r>
      <w:r w:rsidRPr="00DA5EB5">
        <w:rPr>
          <w:rFonts w:eastAsia="Times New Roman"/>
          <w:color w:val="000000" w:themeColor="text1"/>
          <w:kern w:val="2"/>
          <w:sz w:val="20"/>
          <w:lang w:eastAsia="en-CA"/>
        </w:rPr>
        <w:t xml:space="preserve"> </w:t>
      </w:r>
      <w:r w:rsidR="007B136B" w:rsidRPr="00DA5EB5">
        <w:rPr>
          <w:rFonts w:eastAsia="Times New Roman"/>
          <w:color w:val="000000" w:themeColor="text1"/>
          <w:kern w:val="2"/>
          <w:sz w:val="20"/>
          <w:lang w:eastAsia="en-CA"/>
        </w:rPr>
        <w:t>fell below</w:t>
      </w:r>
      <w:r w:rsidR="00D64FB0" w:rsidRPr="00DA5EB5">
        <w:rPr>
          <w:rFonts w:eastAsia="Times New Roman"/>
          <w:color w:val="000000" w:themeColor="text1"/>
          <w:kern w:val="2"/>
          <w:sz w:val="20"/>
          <w:lang w:eastAsia="en-CA"/>
        </w:rPr>
        <w:t xml:space="preserve"> that range. </w:t>
      </w:r>
    </w:p>
    <w:p w14:paraId="7D19EFE4" w14:textId="4E1358B4" w:rsidR="00E534EE" w:rsidRPr="00DA5EB5" w:rsidRDefault="0061282C" w:rsidP="007C3517">
      <w:pPr>
        <w:pStyle w:val="Heading2"/>
        <w:rPr>
          <w:rStyle w:val="Hyperlink"/>
          <w:color w:val="000000" w:themeColor="text1"/>
          <w:kern w:val="2"/>
          <w:sz w:val="24"/>
          <w:u w:val="none"/>
        </w:rPr>
      </w:pPr>
      <w:r w:rsidRPr="00DA5EB5">
        <w:rPr>
          <w:rStyle w:val="Hyperlink"/>
          <w:color w:val="000000" w:themeColor="text1"/>
          <w:kern w:val="2"/>
          <w:sz w:val="24"/>
          <w:u w:val="none"/>
        </w:rPr>
        <w:t>Sentencing Guidelines for Corporate Offenders</w:t>
      </w:r>
    </w:p>
    <w:p w14:paraId="2716ECDB" w14:textId="0A33DEA1" w:rsidR="0061282C" w:rsidRPr="00DA5EB5" w:rsidRDefault="0061282C" w:rsidP="007C3517">
      <w:pPr>
        <w:rPr>
          <w:rStyle w:val="Hyperlink"/>
          <w:color w:val="auto"/>
          <w:kern w:val="2"/>
          <w:sz w:val="20"/>
          <w:u w:val="none"/>
        </w:rPr>
      </w:pPr>
      <w:r w:rsidRPr="00EB5839">
        <w:rPr>
          <w:rStyle w:val="Hyperlink"/>
          <w:color w:val="auto"/>
          <w:kern w:val="2"/>
          <w:sz w:val="20"/>
          <w:u w:val="none"/>
        </w:rPr>
        <w:t>The</w:t>
      </w:r>
      <w:r w:rsidR="00005C5E" w:rsidRPr="00EB5839">
        <w:rPr>
          <w:rStyle w:val="Hyperlink"/>
          <w:color w:val="auto"/>
          <w:kern w:val="2"/>
          <w:sz w:val="20"/>
          <w:u w:val="none"/>
        </w:rPr>
        <w:t xml:space="preserve"> Sentencing Council’s </w:t>
      </w:r>
      <w:r w:rsidRPr="00EB5839">
        <w:rPr>
          <w:rStyle w:val="Hyperlink"/>
          <w:color w:val="auto"/>
          <w:kern w:val="2"/>
          <w:sz w:val="20"/>
          <w:u w:val="none"/>
        </w:rPr>
        <w:t>Guidelines</w:t>
      </w:r>
      <w:r w:rsidR="00005C5E" w:rsidRPr="00EB5839">
        <w:rPr>
          <w:rStyle w:val="Hyperlink"/>
          <w:color w:val="auto"/>
          <w:kern w:val="2"/>
          <w:sz w:val="20"/>
          <w:u w:val="none"/>
        </w:rPr>
        <w:t xml:space="preserve"> are also used</w:t>
      </w:r>
      <w:r w:rsidRPr="00EB5839">
        <w:rPr>
          <w:rStyle w:val="Hyperlink"/>
          <w:color w:val="auto"/>
          <w:kern w:val="2"/>
          <w:sz w:val="20"/>
          <w:u w:val="none"/>
        </w:rPr>
        <w:t xml:space="preserve"> for sentencing corporations in respect to the offences of fraud, bribery and money laundering. </w:t>
      </w:r>
      <w:r w:rsidR="00845513" w:rsidRPr="00EB5839">
        <w:rPr>
          <w:rStyle w:val="Hyperlink"/>
          <w:color w:val="auto"/>
          <w:kern w:val="2"/>
          <w:sz w:val="20"/>
          <w:u w:val="none"/>
        </w:rPr>
        <w:t>The</w:t>
      </w:r>
      <w:r w:rsidRPr="00EB5839">
        <w:rPr>
          <w:rStyle w:val="Hyperlink"/>
          <w:color w:val="auto"/>
          <w:kern w:val="2"/>
          <w:sz w:val="20"/>
          <w:u w:val="none"/>
        </w:rPr>
        <w:t xml:space="preserve"> Guidelines are as follows:</w:t>
      </w:r>
      <w:r w:rsidR="00005C5E" w:rsidRPr="00EB5839">
        <w:rPr>
          <w:rStyle w:val="FootnoteReference"/>
          <w:kern w:val="2"/>
          <w:sz w:val="18"/>
        </w:rPr>
        <w:footnoteReference w:id="93"/>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4" w:type="dxa"/>
          <w:left w:w="284" w:type="dxa"/>
          <w:bottom w:w="284" w:type="dxa"/>
          <w:right w:w="284" w:type="dxa"/>
        </w:tblCellMar>
        <w:tblLook w:val="04A0" w:firstRow="1" w:lastRow="0" w:firstColumn="1" w:lastColumn="0" w:noHBand="0" w:noVBand="1"/>
      </w:tblPr>
      <w:tblGrid>
        <w:gridCol w:w="8080"/>
      </w:tblGrid>
      <w:tr w:rsidR="007100A5" w:rsidRPr="00DA5EB5" w14:paraId="69578EA5" w14:textId="77777777" w:rsidTr="007100A5">
        <w:trPr>
          <w:jc w:val="center"/>
        </w:trPr>
        <w:tc>
          <w:tcPr>
            <w:tcW w:w="8080" w:type="dxa"/>
            <w:shd w:val="clear" w:color="auto" w:fill="D9D9D9" w:themeFill="background1" w:themeFillShade="D9"/>
          </w:tcPr>
          <w:p w14:paraId="1D2047C1" w14:textId="77777777" w:rsidR="007100A5" w:rsidRDefault="007100A5" w:rsidP="00EB5839">
            <w:pPr>
              <w:pStyle w:val="ExcerptMarker"/>
              <w:spacing w:before="0" w:after="240"/>
              <w:rPr>
                <w:rStyle w:val="Hyperlink"/>
                <w:color w:val="auto"/>
                <w:kern w:val="2"/>
                <w:sz w:val="16"/>
                <w:u w:val="none"/>
              </w:rPr>
            </w:pPr>
            <w:r w:rsidRPr="00DA5EB5">
              <w:rPr>
                <w:rStyle w:val="Hyperlink"/>
                <w:color w:val="auto"/>
                <w:kern w:val="2"/>
                <w:sz w:val="16"/>
                <w:u w:val="none"/>
              </w:rPr>
              <w:t>Beginning of Excerpt</w:t>
            </w:r>
          </w:p>
          <w:p w14:paraId="451BF428" w14:textId="41715545" w:rsidR="007E0F72" w:rsidRDefault="007E0F72" w:rsidP="00EB5839">
            <w:pPr>
              <w:spacing w:before="0" w:after="0" w:line="259" w:lineRule="auto"/>
              <w:jc w:val="center"/>
              <w:rPr>
                <w:rFonts w:eastAsia="Calibri"/>
                <w:b/>
                <w:sz w:val="18"/>
              </w:rPr>
            </w:pPr>
            <w:r>
              <w:rPr>
                <w:rFonts w:eastAsia="Calibri"/>
                <w:b/>
                <w:noProof/>
                <w:sz w:val="18"/>
                <w:lang w:eastAsia="en-CA"/>
              </w:rPr>
              <w:drawing>
                <wp:inline distT="0" distB="0" distL="0" distR="0" wp14:anchorId="33E120F8" wp14:editId="19BAED36">
                  <wp:extent cx="4524375" cy="35814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2Pages from Fraud_bribery_and_money_laundering_offences_-_Definitive_guideline-2-2_Page_1.jpg"/>
                          <pic:cNvPicPr/>
                        </pic:nvPicPr>
                        <pic:blipFill rotWithShape="1">
                          <a:blip r:embed="rId15">
                            <a:extLst>
                              <a:ext uri="{28A0092B-C50C-407E-A947-70E740481C1C}">
                                <a14:useLocalDpi xmlns:a14="http://schemas.microsoft.com/office/drawing/2010/main" val="0"/>
                              </a:ext>
                            </a:extLst>
                          </a:blip>
                          <a:srcRect l="5941" t="6432" r="5879" b="44211"/>
                          <a:stretch/>
                        </pic:blipFill>
                        <pic:spPr bwMode="auto">
                          <a:xfrm>
                            <a:off x="0" y="0"/>
                            <a:ext cx="4524375" cy="3581400"/>
                          </a:xfrm>
                          <a:prstGeom prst="rect">
                            <a:avLst/>
                          </a:prstGeom>
                          <a:ln>
                            <a:noFill/>
                          </a:ln>
                          <a:extLst>
                            <a:ext uri="{53640926-AAD7-44D8-BBD7-CCE9431645EC}">
                              <a14:shadowObscured xmlns:a14="http://schemas.microsoft.com/office/drawing/2010/main"/>
                            </a:ext>
                          </a:extLst>
                        </pic:spPr>
                      </pic:pic>
                    </a:graphicData>
                  </a:graphic>
                </wp:inline>
              </w:drawing>
            </w:r>
          </w:p>
          <w:p w14:paraId="5C7271F4" w14:textId="3D40119C" w:rsidR="007E0F72" w:rsidRDefault="00547026" w:rsidP="00EB5839">
            <w:pPr>
              <w:spacing w:before="0" w:after="0" w:line="259" w:lineRule="auto"/>
              <w:jc w:val="center"/>
              <w:rPr>
                <w:rFonts w:eastAsia="Calibri"/>
                <w:b/>
                <w:sz w:val="18"/>
              </w:rPr>
            </w:pPr>
            <w:r>
              <w:rPr>
                <w:rFonts w:eastAsia="Calibri"/>
                <w:b/>
                <w:noProof/>
                <w:sz w:val="18"/>
                <w:lang w:eastAsia="en-CA"/>
              </w:rPr>
              <w:drawing>
                <wp:inline distT="0" distB="0" distL="0" distR="0" wp14:anchorId="5DF05620" wp14:editId="0E806175">
                  <wp:extent cx="4543425" cy="619125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2Pages from Fraud_bribery_and_money_laundering_offences_-_Definitive_guideline-2-2_Page_2.jpg"/>
                          <pic:cNvPicPr/>
                        </pic:nvPicPr>
                        <pic:blipFill rotWithShape="1">
                          <a:blip r:embed="rId16">
                            <a:extLst>
                              <a:ext uri="{28A0092B-C50C-407E-A947-70E740481C1C}">
                                <a14:useLocalDpi xmlns:a14="http://schemas.microsoft.com/office/drawing/2010/main" val="0"/>
                              </a:ext>
                            </a:extLst>
                          </a:blip>
                          <a:srcRect l="5755" t="6300" r="5693" b="8375"/>
                          <a:stretch/>
                        </pic:blipFill>
                        <pic:spPr bwMode="auto">
                          <a:xfrm>
                            <a:off x="0" y="0"/>
                            <a:ext cx="4543425" cy="6191250"/>
                          </a:xfrm>
                          <a:prstGeom prst="rect">
                            <a:avLst/>
                          </a:prstGeom>
                          <a:ln>
                            <a:noFill/>
                          </a:ln>
                          <a:extLst>
                            <a:ext uri="{53640926-AAD7-44D8-BBD7-CCE9431645EC}">
                              <a14:shadowObscured xmlns:a14="http://schemas.microsoft.com/office/drawing/2010/main"/>
                            </a:ext>
                          </a:extLst>
                        </pic:spPr>
                      </pic:pic>
                    </a:graphicData>
                  </a:graphic>
                </wp:inline>
              </w:drawing>
            </w:r>
          </w:p>
          <w:p w14:paraId="0D87D540" w14:textId="77777777" w:rsidR="007100A5" w:rsidRDefault="00547026" w:rsidP="00EB5839">
            <w:pPr>
              <w:spacing w:before="0" w:line="259" w:lineRule="auto"/>
              <w:jc w:val="center"/>
              <w:rPr>
                <w:rStyle w:val="Hyperlink"/>
                <w:rFonts w:eastAsia="Calibri"/>
                <w:color w:val="auto"/>
                <w:sz w:val="18"/>
                <w:u w:val="none"/>
              </w:rPr>
            </w:pPr>
            <w:r>
              <w:rPr>
                <w:rFonts w:eastAsia="Calibri"/>
                <w:noProof/>
                <w:sz w:val="18"/>
                <w:lang w:eastAsia="en-CA"/>
              </w:rPr>
              <w:drawing>
                <wp:inline distT="0" distB="0" distL="0" distR="0" wp14:anchorId="5E0F90C3" wp14:editId="42FD8FE9">
                  <wp:extent cx="4572000" cy="54006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2Pages from Fraud_bribery_and_money_laundering_offences_-_Definitive_guideline-2-2_Page_3.jpg"/>
                          <pic:cNvPicPr/>
                        </pic:nvPicPr>
                        <pic:blipFill rotWithShape="1">
                          <a:blip r:embed="rId17">
                            <a:extLst>
                              <a:ext uri="{28A0092B-C50C-407E-A947-70E740481C1C}">
                                <a14:useLocalDpi xmlns:a14="http://schemas.microsoft.com/office/drawing/2010/main" val="0"/>
                              </a:ext>
                            </a:extLst>
                          </a:blip>
                          <a:srcRect l="5570" t="6301" r="5322" b="19271"/>
                          <a:stretch/>
                        </pic:blipFill>
                        <pic:spPr bwMode="auto">
                          <a:xfrm>
                            <a:off x="0" y="0"/>
                            <a:ext cx="4572000" cy="5400675"/>
                          </a:xfrm>
                          <a:prstGeom prst="rect">
                            <a:avLst/>
                          </a:prstGeom>
                          <a:ln>
                            <a:noFill/>
                          </a:ln>
                          <a:extLst>
                            <a:ext uri="{53640926-AAD7-44D8-BBD7-CCE9431645EC}">
                              <a14:shadowObscured xmlns:a14="http://schemas.microsoft.com/office/drawing/2010/main"/>
                            </a:ext>
                          </a:extLst>
                        </pic:spPr>
                      </pic:pic>
                    </a:graphicData>
                  </a:graphic>
                </wp:inline>
              </w:drawing>
            </w:r>
          </w:p>
          <w:p w14:paraId="39EC4020" w14:textId="77777777" w:rsidR="00547026" w:rsidRDefault="00547026" w:rsidP="00EB5839">
            <w:pPr>
              <w:spacing w:before="0" w:after="0" w:line="259" w:lineRule="auto"/>
              <w:jc w:val="center"/>
              <w:rPr>
                <w:rStyle w:val="Hyperlink"/>
                <w:rFonts w:eastAsia="Calibri"/>
                <w:color w:val="auto"/>
                <w:sz w:val="18"/>
                <w:u w:val="none"/>
              </w:rPr>
            </w:pPr>
            <w:r>
              <w:rPr>
                <w:rFonts w:eastAsia="Calibri"/>
                <w:noProof/>
                <w:sz w:val="18"/>
                <w:lang w:eastAsia="en-CA"/>
              </w:rPr>
              <w:drawing>
                <wp:inline distT="0" distB="0" distL="0" distR="0" wp14:anchorId="7AC3F636" wp14:editId="2E1DCF21">
                  <wp:extent cx="4572000" cy="15430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2Pages from Fraud_bribery_and_money_laundering_offences_-_Definitive_guideline-2-2_Page_4.jpg"/>
                          <pic:cNvPicPr/>
                        </pic:nvPicPr>
                        <pic:blipFill rotWithShape="1">
                          <a:blip r:embed="rId18">
                            <a:extLst>
                              <a:ext uri="{28A0092B-C50C-407E-A947-70E740481C1C}">
                                <a14:useLocalDpi xmlns:a14="http://schemas.microsoft.com/office/drawing/2010/main" val="0"/>
                              </a:ext>
                            </a:extLst>
                          </a:blip>
                          <a:srcRect l="6126" t="7614" r="4765" b="71120"/>
                          <a:stretch/>
                        </pic:blipFill>
                        <pic:spPr bwMode="auto">
                          <a:xfrm>
                            <a:off x="0" y="0"/>
                            <a:ext cx="4572000" cy="1543050"/>
                          </a:xfrm>
                          <a:prstGeom prst="rect">
                            <a:avLst/>
                          </a:prstGeom>
                          <a:ln>
                            <a:noFill/>
                          </a:ln>
                          <a:extLst>
                            <a:ext uri="{53640926-AAD7-44D8-BBD7-CCE9431645EC}">
                              <a14:shadowObscured xmlns:a14="http://schemas.microsoft.com/office/drawing/2010/main"/>
                            </a:ext>
                          </a:extLst>
                        </pic:spPr>
                      </pic:pic>
                    </a:graphicData>
                  </a:graphic>
                </wp:inline>
              </w:drawing>
            </w:r>
          </w:p>
          <w:p w14:paraId="12E9191B" w14:textId="4C7B6430" w:rsidR="00547026" w:rsidRDefault="00547026" w:rsidP="00EB5839">
            <w:pPr>
              <w:spacing w:before="0" w:line="259" w:lineRule="auto"/>
              <w:jc w:val="center"/>
              <w:rPr>
                <w:rFonts w:eastAsia="Calibri"/>
                <w:noProof/>
                <w:sz w:val="18"/>
                <w:lang w:eastAsia="en-CA"/>
              </w:rPr>
            </w:pPr>
            <w:r>
              <w:rPr>
                <w:rFonts w:eastAsia="Calibri"/>
                <w:noProof/>
                <w:sz w:val="18"/>
                <w:lang w:eastAsia="en-CA"/>
              </w:rPr>
              <w:drawing>
                <wp:inline distT="0" distB="0" distL="0" distR="0" wp14:anchorId="34BF52D7" wp14:editId="67CB9A9C">
                  <wp:extent cx="4600575" cy="302895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2Pages from Fraud_bribery_and_money_laundering_offences_-_Definitive_guideline-2-2_Page_4.jpg"/>
                          <pic:cNvPicPr/>
                        </pic:nvPicPr>
                        <pic:blipFill rotWithShape="1">
                          <a:blip r:embed="rId18">
                            <a:extLst>
                              <a:ext uri="{28A0092B-C50C-407E-A947-70E740481C1C}">
                                <a14:useLocalDpi xmlns:a14="http://schemas.microsoft.com/office/drawing/2010/main" val="0"/>
                              </a:ext>
                            </a:extLst>
                          </a:blip>
                          <a:srcRect l="5568" t="28879" r="4765" b="29378"/>
                          <a:stretch/>
                        </pic:blipFill>
                        <pic:spPr bwMode="auto">
                          <a:xfrm>
                            <a:off x="0" y="0"/>
                            <a:ext cx="4600575" cy="3028950"/>
                          </a:xfrm>
                          <a:prstGeom prst="rect">
                            <a:avLst/>
                          </a:prstGeom>
                          <a:ln>
                            <a:noFill/>
                          </a:ln>
                          <a:extLst>
                            <a:ext uri="{53640926-AAD7-44D8-BBD7-CCE9431645EC}">
                              <a14:shadowObscured xmlns:a14="http://schemas.microsoft.com/office/drawing/2010/main"/>
                            </a:ext>
                          </a:extLst>
                        </pic:spPr>
                      </pic:pic>
                    </a:graphicData>
                  </a:graphic>
                </wp:inline>
              </w:drawing>
            </w:r>
          </w:p>
          <w:p w14:paraId="0E0048EE" w14:textId="77777777" w:rsidR="00547026" w:rsidRDefault="00547026" w:rsidP="00EB5839">
            <w:pPr>
              <w:spacing w:before="0" w:after="0" w:line="259" w:lineRule="auto"/>
              <w:jc w:val="center"/>
              <w:rPr>
                <w:rStyle w:val="Hyperlink"/>
                <w:rFonts w:eastAsia="Calibri"/>
                <w:color w:val="auto"/>
                <w:sz w:val="18"/>
                <w:u w:val="none"/>
              </w:rPr>
            </w:pPr>
            <w:r>
              <w:rPr>
                <w:rFonts w:eastAsia="Calibri"/>
                <w:noProof/>
                <w:sz w:val="18"/>
                <w:lang w:eastAsia="en-CA"/>
              </w:rPr>
              <w:drawing>
                <wp:inline distT="0" distB="0" distL="0" distR="0" wp14:anchorId="7BE2FAB7" wp14:editId="747F2E06">
                  <wp:extent cx="4581525" cy="334327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2Pages from Fraud_bribery_and_money_laundering_offences_-_Definitive_guideline-2-2_Page_5.jpg"/>
                          <pic:cNvPicPr/>
                        </pic:nvPicPr>
                        <pic:blipFill rotWithShape="1">
                          <a:blip r:embed="rId19">
                            <a:extLst>
                              <a:ext uri="{28A0092B-C50C-407E-A947-70E740481C1C}">
                                <a14:useLocalDpi xmlns:a14="http://schemas.microsoft.com/office/drawing/2010/main" val="0"/>
                              </a:ext>
                            </a:extLst>
                          </a:blip>
                          <a:srcRect l="5384" t="6432" r="5321" b="47493"/>
                          <a:stretch/>
                        </pic:blipFill>
                        <pic:spPr bwMode="auto">
                          <a:xfrm>
                            <a:off x="0" y="0"/>
                            <a:ext cx="4581525" cy="3343275"/>
                          </a:xfrm>
                          <a:prstGeom prst="rect">
                            <a:avLst/>
                          </a:prstGeom>
                          <a:ln>
                            <a:noFill/>
                          </a:ln>
                          <a:extLst>
                            <a:ext uri="{53640926-AAD7-44D8-BBD7-CCE9431645EC}">
                              <a14:shadowObscured xmlns:a14="http://schemas.microsoft.com/office/drawing/2010/main"/>
                            </a:ext>
                          </a:extLst>
                        </pic:spPr>
                      </pic:pic>
                    </a:graphicData>
                  </a:graphic>
                </wp:inline>
              </w:drawing>
            </w:r>
          </w:p>
          <w:p w14:paraId="4D6C078A" w14:textId="77777777" w:rsidR="00547026" w:rsidRDefault="00547026" w:rsidP="003046FD">
            <w:pPr>
              <w:spacing w:before="0" w:line="259" w:lineRule="auto"/>
              <w:jc w:val="center"/>
              <w:rPr>
                <w:rStyle w:val="Hyperlink"/>
                <w:rFonts w:eastAsia="Calibri"/>
                <w:color w:val="auto"/>
                <w:sz w:val="18"/>
                <w:u w:val="none"/>
              </w:rPr>
            </w:pPr>
            <w:r>
              <w:rPr>
                <w:rFonts w:eastAsia="Calibri"/>
                <w:noProof/>
                <w:sz w:val="18"/>
                <w:lang w:eastAsia="en-CA"/>
              </w:rPr>
              <w:drawing>
                <wp:inline distT="0" distB="0" distL="0" distR="0" wp14:anchorId="43B193BA" wp14:editId="04FF818E">
                  <wp:extent cx="4581525" cy="223837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2Pages from Fraud_bribery_and_money_laundering_offences_-_Definitive_guideline-2-2_Page_5.jpg"/>
                          <pic:cNvPicPr/>
                        </pic:nvPicPr>
                        <pic:blipFill rotWithShape="1">
                          <a:blip r:embed="rId19">
                            <a:extLst>
                              <a:ext uri="{28A0092B-C50C-407E-A947-70E740481C1C}">
                                <a14:useLocalDpi xmlns:a14="http://schemas.microsoft.com/office/drawing/2010/main" val="0"/>
                              </a:ext>
                            </a:extLst>
                          </a:blip>
                          <a:srcRect l="5570" t="52376" r="5136" b="16776"/>
                          <a:stretch/>
                        </pic:blipFill>
                        <pic:spPr bwMode="auto">
                          <a:xfrm>
                            <a:off x="0" y="0"/>
                            <a:ext cx="4581525" cy="2238375"/>
                          </a:xfrm>
                          <a:prstGeom prst="rect">
                            <a:avLst/>
                          </a:prstGeom>
                          <a:ln>
                            <a:noFill/>
                          </a:ln>
                          <a:extLst>
                            <a:ext uri="{53640926-AAD7-44D8-BBD7-CCE9431645EC}">
                              <a14:shadowObscured xmlns:a14="http://schemas.microsoft.com/office/drawing/2010/main"/>
                            </a:ext>
                          </a:extLst>
                        </pic:spPr>
                      </pic:pic>
                    </a:graphicData>
                  </a:graphic>
                </wp:inline>
              </w:drawing>
            </w:r>
          </w:p>
          <w:p w14:paraId="57ED341F" w14:textId="77777777" w:rsidR="00547026" w:rsidRDefault="00547026" w:rsidP="003046FD">
            <w:pPr>
              <w:spacing w:before="0" w:line="259" w:lineRule="auto"/>
              <w:jc w:val="center"/>
              <w:rPr>
                <w:rStyle w:val="Hyperlink"/>
                <w:rFonts w:eastAsia="Calibri"/>
                <w:color w:val="auto"/>
                <w:sz w:val="18"/>
                <w:u w:val="none"/>
              </w:rPr>
            </w:pPr>
            <w:r>
              <w:rPr>
                <w:rFonts w:eastAsia="Calibri"/>
                <w:noProof/>
                <w:sz w:val="18"/>
                <w:lang w:eastAsia="en-CA"/>
              </w:rPr>
              <w:drawing>
                <wp:inline distT="0" distB="0" distL="0" distR="0" wp14:anchorId="7D7FA920" wp14:editId="5A2768FC">
                  <wp:extent cx="4581525" cy="34956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2Pages from Fraud_bribery_and_money_laundering_offences_-_Definitive_guideline-2-2_Page_6.jpg"/>
                          <pic:cNvPicPr/>
                        </pic:nvPicPr>
                        <pic:blipFill rotWithShape="1">
                          <a:blip r:embed="rId20">
                            <a:extLst>
                              <a:ext uri="{28A0092B-C50C-407E-A947-70E740481C1C}">
                                <a14:useLocalDpi xmlns:a14="http://schemas.microsoft.com/office/drawing/2010/main" val="0"/>
                              </a:ext>
                            </a:extLst>
                          </a:blip>
                          <a:srcRect l="5384" t="6170" r="5321" b="45655"/>
                          <a:stretch/>
                        </pic:blipFill>
                        <pic:spPr bwMode="auto">
                          <a:xfrm>
                            <a:off x="0" y="0"/>
                            <a:ext cx="4581525" cy="3495675"/>
                          </a:xfrm>
                          <a:prstGeom prst="rect">
                            <a:avLst/>
                          </a:prstGeom>
                          <a:ln>
                            <a:noFill/>
                          </a:ln>
                          <a:extLst>
                            <a:ext uri="{53640926-AAD7-44D8-BBD7-CCE9431645EC}">
                              <a14:shadowObscured xmlns:a14="http://schemas.microsoft.com/office/drawing/2010/main"/>
                            </a:ext>
                          </a:extLst>
                        </pic:spPr>
                      </pic:pic>
                    </a:graphicData>
                  </a:graphic>
                </wp:inline>
              </w:drawing>
            </w:r>
          </w:p>
          <w:p w14:paraId="3AE11E63" w14:textId="41F566FF" w:rsidR="00547026" w:rsidRPr="007100A5" w:rsidRDefault="00547026" w:rsidP="00547026">
            <w:pPr>
              <w:pStyle w:val="ExcerptMarker"/>
              <w:spacing w:before="240" w:after="0"/>
              <w:rPr>
                <w:rStyle w:val="Hyperlink"/>
                <w:rFonts w:eastAsia="Calibri"/>
                <w:color w:val="auto"/>
                <w:u w:val="none"/>
              </w:rPr>
            </w:pPr>
            <w:r w:rsidRPr="00DA5EB5">
              <w:rPr>
                <w:rStyle w:val="Hyperlink"/>
                <w:color w:val="auto"/>
                <w:kern w:val="2"/>
                <w:sz w:val="16"/>
                <w:u w:val="none"/>
              </w:rPr>
              <w:t>End of Excerpt</w:t>
            </w:r>
          </w:p>
        </w:tc>
      </w:tr>
    </w:tbl>
    <w:p w14:paraId="69FCB6C0" w14:textId="77777777" w:rsidR="00E008A0" w:rsidRPr="00DA5EB5" w:rsidRDefault="00E008A0" w:rsidP="007C3517">
      <w:pPr>
        <w:pStyle w:val="Heading2"/>
        <w:rPr>
          <w:kern w:val="2"/>
          <w:sz w:val="24"/>
          <w:lang w:eastAsia="en-CA"/>
        </w:rPr>
      </w:pPr>
      <w:r w:rsidRPr="00DA5EB5">
        <w:rPr>
          <w:kern w:val="2"/>
          <w:sz w:val="24"/>
          <w:lang w:eastAsia="en-CA"/>
        </w:rPr>
        <w:t>Deferred Prosecution Agreements in the UK</w:t>
      </w:r>
    </w:p>
    <w:p w14:paraId="3F249FD6" w14:textId="6277E96B" w:rsidR="00C76168" w:rsidRPr="00DA5EB5" w:rsidRDefault="00E008A0" w:rsidP="007C3517">
      <w:pPr>
        <w:rPr>
          <w:kern w:val="2"/>
          <w:sz w:val="20"/>
          <w:lang w:val="en"/>
        </w:rPr>
      </w:pPr>
      <w:r w:rsidRPr="00DA5EB5">
        <w:rPr>
          <w:color w:val="000000" w:themeColor="text1"/>
          <w:kern w:val="2"/>
          <w:sz w:val="20"/>
          <w:lang w:val="en"/>
        </w:rPr>
        <w:t xml:space="preserve">Like the </w:t>
      </w:r>
      <w:r w:rsidR="00B66A33" w:rsidRPr="00DA5EB5">
        <w:rPr>
          <w:color w:val="000000" w:themeColor="text1"/>
          <w:kern w:val="2"/>
          <w:sz w:val="20"/>
          <w:lang w:val="en"/>
        </w:rPr>
        <w:t>US,</w:t>
      </w:r>
      <w:r w:rsidRPr="00DA5EB5">
        <w:rPr>
          <w:color w:val="000000" w:themeColor="text1"/>
          <w:kern w:val="2"/>
          <w:sz w:val="20"/>
          <w:lang w:val="en"/>
        </w:rPr>
        <w:t xml:space="preserve"> the UK has begun utilizing DPAs as a method of disposition in corruption cases. The first DPA was entered into with Standard Bank Plc, </w:t>
      </w:r>
      <w:r w:rsidR="00B66A33" w:rsidRPr="00DA5EB5">
        <w:rPr>
          <w:color w:val="000000" w:themeColor="text1"/>
          <w:kern w:val="2"/>
          <w:sz w:val="20"/>
          <w:lang w:val="en"/>
        </w:rPr>
        <w:t xml:space="preserve">which was indicted </w:t>
      </w:r>
      <w:r w:rsidRPr="00DA5EB5">
        <w:rPr>
          <w:color w:val="000000" w:themeColor="text1"/>
          <w:kern w:val="2"/>
          <w:sz w:val="20"/>
          <w:lang w:val="en"/>
        </w:rPr>
        <w:t>for failing to prevent corruption.</w:t>
      </w:r>
      <w:r w:rsidR="00E87776" w:rsidRPr="00DA5EB5">
        <w:rPr>
          <w:color w:val="000000" w:themeColor="text1"/>
          <w:kern w:val="2"/>
          <w:sz w:val="20"/>
          <w:lang w:val="en"/>
        </w:rPr>
        <w:t xml:space="preserve"> </w:t>
      </w:r>
      <w:r w:rsidRPr="00DA5EB5">
        <w:rPr>
          <w:color w:val="000000" w:themeColor="text1"/>
          <w:kern w:val="2"/>
          <w:sz w:val="20"/>
          <w:lang w:val="en"/>
        </w:rPr>
        <w:t xml:space="preserve">Standard Bank agreed to pay $25.2 million </w:t>
      </w:r>
      <w:r w:rsidR="00AB1413" w:rsidRPr="00DA5EB5">
        <w:rPr>
          <w:color w:val="000000" w:themeColor="text1"/>
          <w:kern w:val="2"/>
          <w:sz w:val="20"/>
          <w:lang w:val="en"/>
        </w:rPr>
        <w:t xml:space="preserve">USD </w:t>
      </w:r>
      <w:r w:rsidRPr="00DA5EB5">
        <w:rPr>
          <w:color w:val="000000" w:themeColor="text1"/>
          <w:kern w:val="2"/>
          <w:sz w:val="20"/>
          <w:lang w:val="en"/>
        </w:rPr>
        <w:t xml:space="preserve">to the UK and a further $7 million in </w:t>
      </w:r>
      <w:r w:rsidR="0028061B" w:rsidRPr="00DA5EB5">
        <w:rPr>
          <w:color w:val="000000" w:themeColor="text1"/>
          <w:kern w:val="2"/>
          <w:sz w:val="20"/>
          <w:lang w:val="en"/>
        </w:rPr>
        <w:t>compensation</w:t>
      </w:r>
      <w:r w:rsidRPr="00DA5EB5">
        <w:rPr>
          <w:color w:val="000000" w:themeColor="text1"/>
          <w:kern w:val="2"/>
          <w:sz w:val="20"/>
          <w:lang w:val="en"/>
        </w:rPr>
        <w:t xml:space="preserve"> to the Government of Tanzania</w:t>
      </w:r>
      <w:r w:rsidR="00B66A33" w:rsidRPr="00DA5EB5">
        <w:rPr>
          <w:color w:val="000000" w:themeColor="text1"/>
          <w:kern w:val="2"/>
          <w:sz w:val="20"/>
          <w:lang w:val="en"/>
        </w:rPr>
        <w:t>,</w:t>
      </w:r>
      <w:r w:rsidRPr="00DA5EB5">
        <w:rPr>
          <w:color w:val="000000" w:themeColor="text1"/>
          <w:kern w:val="2"/>
          <w:sz w:val="20"/>
          <w:lang w:val="en"/>
        </w:rPr>
        <w:t xml:space="preserve"> as well as costs of £330,000.</w:t>
      </w:r>
      <w:r w:rsidRPr="00DA5EB5">
        <w:rPr>
          <w:rStyle w:val="FootnoteReference"/>
          <w:color w:val="000000" w:themeColor="text1"/>
          <w:kern w:val="2"/>
          <w:sz w:val="18"/>
          <w:lang w:val="en"/>
        </w:rPr>
        <w:footnoteReference w:id="94"/>
      </w:r>
      <w:r w:rsidRPr="00DA5EB5">
        <w:rPr>
          <w:color w:val="000000" w:themeColor="text1"/>
          <w:kern w:val="2"/>
          <w:sz w:val="20"/>
          <w:vertAlign w:val="superscript"/>
        </w:rPr>
        <w:t xml:space="preserve"> </w:t>
      </w:r>
      <w:r w:rsidR="00625DDF" w:rsidRPr="00DA5EB5">
        <w:rPr>
          <w:color w:val="000000" w:themeColor="text1"/>
          <w:kern w:val="2"/>
          <w:sz w:val="20"/>
          <w:lang w:val="en"/>
        </w:rPr>
        <w:t>The</w:t>
      </w:r>
      <w:r w:rsidR="00B66A33" w:rsidRPr="00DA5EB5">
        <w:rPr>
          <w:color w:val="000000" w:themeColor="text1"/>
          <w:kern w:val="2"/>
          <w:sz w:val="20"/>
          <w:lang w:val="en"/>
        </w:rPr>
        <w:t xml:space="preserve"> UK’s</w:t>
      </w:r>
      <w:r w:rsidRPr="00DA5EB5">
        <w:rPr>
          <w:color w:val="000000" w:themeColor="text1"/>
          <w:kern w:val="2"/>
          <w:sz w:val="20"/>
          <w:lang w:val="en"/>
        </w:rPr>
        <w:t xml:space="preserve"> second</w:t>
      </w:r>
      <w:r w:rsidR="00B66A33" w:rsidRPr="00DA5EB5">
        <w:rPr>
          <w:color w:val="000000" w:themeColor="text1"/>
          <w:kern w:val="2"/>
          <w:sz w:val="20"/>
          <w:lang w:val="en"/>
        </w:rPr>
        <w:t xml:space="preserve"> corruption-related</w:t>
      </w:r>
      <w:r w:rsidRPr="00DA5EB5">
        <w:rPr>
          <w:color w:val="000000" w:themeColor="text1"/>
          <w:kern w:val="2"/>
          <w:sz w:val="20"/>
          <w:lang w:val="en"/>
        </w:rPr>
        <w:t xml:space="preserve"> DPA</w:t>
      </w:r>
      <w:r w:rsidR="00625DDF" w:rsidRPr="00DA5EB5">
        <w:rPr>
          <w:color w:val="000000" w:themeColor="text1"/>
          <w:kern w:val="2"/>
          <w:sz w:val="20"/>
          <w:lang w:val="en"/>
        </w:rPr>
        <w:t xml:space="preserve"> was entered into by a company that cannot be named due to ongoing related prosecutions. </w:t>
      </w:r>
      <w:r w:rsidR="00537C95" w:rsidRPr="00DA5EB5">
        <w:rPr>
          <w:color w:val="000000" w:themeColor="text1"/>
          <w:kern w:val="2"/>
          <w:sz w:val="20"/>
          <w:lang w:val="en"/>
        </w:rPr>
        <w:t>This second</w:t>
      </w:r>
      <w:r w:rsidR="00625DDF" w:rsidRPr="00DA5EB5">
        <w:rPr>
          <w:color w:val="000000" w:themeColor="text1"/>
          <w:kern w:val="2"/>
          <w:sz w:val="20"/>
          <w:lang w:val="en"/>
        </w:rPr>
        <w:t xml:space="preserve"> DPA involved </w:t>
      </w:r>
      <w:r w:rsidRPr="00DA5EB5">
        <w:rPr>
          <w:kern w:val="2"/>
          <w:sz w:val="20"/>
          <w:lang w:val="en"/>
        </w:rPr>
        <w:t xml:space="preserve">financial orders </w:t>
      </w:r>
      <w:r w:rsidR="00625DDF" w:rsidRPr="00DA5EB5">
        <w:rPr>
          <w:kern w:val="2"/>
          <w:sz w:val="20"/>
          <w:lang w:val="en"/>
        </w:rPr>
        <w:t>of</w:t>
      </w:r>
      <w:r w:rsidRPr="00DA5EB5">
        <w:rPr>
          <w:kern w:val="2"/>
          <w:sz w:val="20"/>
          <w:lang w:val="en"/>
        </w:rPr>
        <w:t xml:space="preserve"> £6.5 million</w:t>
      </w:r>
      <w:r w:rsidR="00D80F64" w:rsidRPr="00DA5EB5">
        <w:rPr>
          <w:kern w:val="2"/>
          <w:sz w:val="20"/>
          <w:lang w:val="en"/>
        </w:rPr>
        <w:t>.</w:t>
      </w:r>
      <w:r w:rsidR="00D80F64" w:rsidRPr="00DA5EB5">
        <w:rPr>
          <w:rStyle w:val="FootnoteReference"/>
          <w:kern w:val="2"/>
          <w:sz w:val="18"/>
          <w:lang w:val="en"/>
        </w:rPr>
        <w:footnoteReference w:id="95"/>
      </w:r>
      <w:r w:rsidR="00EB613B" w:rsidRPr="00DA5EB5">
        <w:rPr>
          <w:kern w:val="2"/>
          <w:sz w:val="20"/>
          <w:lang w:val="en"/>
        </w:rPr>
        <w:t xml:space="preserve"> For further discussion of DPAs in</w:t>
      </w:r>
      <w:r w:rsidR="00B66A33" w:rsidRPr="00DA5EB5">
        <w:rPr>
          <w:kern w:val="2"/>
          <w:sz w:val="20"/>
          <w:lang w:val="en"/>
        </w:rPr>
        <w:t xml:space="preserve"> the</w:t>
      </w:r>
      <w:r w:rsidR="00EB613B" w:rsidRPr="00DA5EB5">
        <w:rPr>
          <w:kern w:val="2"/>
          <w:sz w:val="20"/>
          <w:lang w:val="en"/>
        </w:rPr>
        <w:t xml:space="preserve"> US and</w:t>
      </w:r>
      <w:r w:rsidR="00B66A33" w:rsidRPr="00DA5EB5">
        <w:rPr>
          <w:kern w:val="2"/>
          <w:sz w:val="20"/>
          <w:lang w:val="en"/>
        </w:rPr>
        <w:t xml:space="preserve"> </w:t>
      </w:r>
      <w:r w:rsidR="00952819" w:rsidRPr="00DA5EB5">
        <w:rPr>
          <w:kern w:val="2"/>
          <w:sz w:val="20"/>
          <w:lang w:val="en"/>
        </w:rPr>
        <w:t xml:space="preserve">UK, see </w:t>
      </w:r>
      <w:r w:rsidR="00952819" w:rsidRPr="00DA5EB5">
        <w:rPr>
          <w:kern w:val="2"/>
          <w:sz w:val="20"/>
          <w:highlight w:val="cyan"/>
          <w:lang w:val="en"/>
        </w:rPr>
        <w:t>Chapter 6, Section</w:t>
      </w:r>
      <w:r w:rsidR="004E3083" w:rsidRPr="00DA5EB5">
        <w:rPr>
          <w:kern w:val="2"/>
          <w:sz w:val="20"/>
          <w:highlight w:val="cyan"/>
          <w:lang w:val="en"/>
        </w:rPr>
        <w:t>s</w:t>
      </w:r>
      <w:r w:rsidR="00952819" w:rsidRPr="00DA5EB5">
        <w:rPr>
          <w:kern w:val="2"/>
          <w:sz w:val="20"/>
          <w:highlight w:val="cyan"/>
          <w:lang w:val="en"/>
        </w:rPr>
        <w:t xml:space="preserve"> 6</w:t>
      </w:r>
      <w:r w:rsidR="004E3083" w:rsidRPr="00DA5EB5">
        <w:rPr>
          <w:kern w:val="2"/>
          <w:sz w:val="20"/>
          <w:highlight w:val="cyan"/>
          <w:lang w:val="en"/>
        </w:rPr>
        <w:t>.1</w:t>
      </w:r>
      <w:r w:rsidR="004E3083" w:rsidRPr="00DA5EB5">
        <w:rPr>
          <w:kern w:val="2"/>
          <w:sz w:val="20"/>
          <w:lang w:val="en"/>
        </w:rPr>
        <w:t xml:space="preserve"> and </w:t>
      </w:r>
      <w:r w:rsidR="004E3083" w:rsidRPr="00DA5EB5">
        <w:rPr>
          <w:kern w:val="2"/>
          <w:sz w:val="20"/>
          <w:highlight w:val="cyan"/>
          <w:lang w:val="en"/>
        </w:rPr>
        <w:t>6.2</w:t>
      </w:r>
      <w:r w:rsidR="004E3083" w:rsidRPr="00DA5EB5">
        <w:rPr>
          <w:kern w:val="2"/>
          <w:sz w:val="20"/>
          <w:lang w:val="en"/>
        </w:rPr>
        <w:t xml:space="preserve"> respectively</w:t>
      </w:r>
      <w:r w:rsidR="00EB613B" w:rsidRPr="00DA5EB5">
        <w:rPr>
          <w:kern w:val="2"/>
          <w:sz w:val="20"/>
          <w:lang w:val="en"/>
        </w:rPr>
        <w:t>.</w:t>
      </w:r>
    </w:p>
    <w:p w14:paraId="63A69340" w14:textId="13B1AE83" w:rsidR="00E534EE" w:rsidRPr="00DA5EB5" w:rsidRDefault="0061282C" w:rsidP="00661F9C">
      <w:pPr>
        <w:pStyle w:val="Heading1"/>
        <w:rPr>
          <w:sz w:val="28"/>
        </w:rPr>
      </w:pPr>
      <w:bookmarkStart w:id="34" w:name="_Toc500340147"/>
      <w:bookmarkStart w:id="35" w:name="_Toc500340394"/>
      <w:bookmarkStart w:id="36" w:name="_Toc500340428"/>
      <w:r w:rsidRPr="00DA5EB5">
        <w:rPr>
          <w:sz w:val="28"/>
        </w:rPr>
        <w:t>Canadian Sentencing Law</w:t>
      </w:r>
      <w:bookmarkEnd w:id="34"/>
      <w:bookmarkEnd w:id="35"/>
      <w:bookmarkEnd w:id="36"/>
    </w:p>
    <w:p w14:paraId="41C21E7C" w14:textId="7E720D1E" w:rsidR="00E534EE" w:rsidRPr="00DA5EB5" w:rsidRDefault="0061282C" w:rsidP="007C3517">
      <w:pPr>
        <w:pStyle w:val="Heading2"/>
        <w:rPr>
          <w:kern w:val="2"/>
          <w:sz w:val="24"/>
        </w:rPr>
      </w:pPr>
      <w:r w:rsidRPr="00DA5EB5">
        <w:rPr>
          <w:kern w:val="2"/>
          <w:sz w:val="24"/>
        </w:rPr>
        <w:t xml:space="preserve">Sentencing Principles in General </w:t>
      </w:r>
    </w:p>
    <w:p w14:paraId="4FB95FA2" w14:textId="040CCC10" w:rsidR="0061282C" w:rsidRPr="00DA5EB5" w:rsidRDefault="0061282C" w:rsidP="007C3517">
      <w:pPr>
        <w:rPr>
          <w:kern w:val="2"/>
          <w:sz w:val="20"/>
        </w:rPr>
      </w:pPr>
      <w:r w:rsidRPr="00DA5EB5">
        <w:rPr>
          <w:kern w:val="2"/>
          <w:sz w:val="20"/>
        </w:rPr>
        <w:t xml:space="preserve">The general principles of sentencing are set out in the Canadian </w:t>
      </w:r>
      <w:r w:rsidRPr="00DA5EB5">
        <w:rPr>
          <w:i/>
          <w:kern w:val="2"/>
          <w:sz w:val="20"/>
        </w:rPr>
        <w:t>Criminal Code</w:t>
      </w:r>
      <w:r w:rsidRPr="00DA5EB5">
        <w:rPr>
          <w:kern w:val="2"/>
          <w:sz w:val="20"/>
        </w:rPr>
        <w:t xml:space="preserve">. Section 718 indicates that the fundamental purpose of sentencing is to impose a </w:t>
      </w:r>
      <w:r w:rsidR="00FD6DAC" w:rsidRPr="00DA5EB5">
        <w:rPr>
          <w:kern w:val="2"/>
          <w:sz w:val="20"/>
        </w:rPr>
        <w:t>“</w:t>
      </w:r>
      <w:r w:rsidRPr="00DA5EB5">
        <w:rPr>
          <w:kern w:val="2"/>
          <w:sz w:val="20"/>
        </w:rPr>
        <w:t>just sanction</w:t>
      </w:r>
      <w:r w:rsidR="00FD6DAC" w:rsidRPr="00DA5EB5">
        <w:rPr>
          <w:kern w:val="2"/>
          <w:sz w:val="20"/>
        </w:rPr>
        <w:t>”</w:t>
      </w:r>
      <w:r w:rsidRPr="00DA5EB5">
        <w:rPr>
          <w:kern w:val="2"/>
          <w:sz w:val="20"/>
        </w:rPr>
        <w:t xml:space="preserve"> that contributes to respect for the law and to the maintenance of a safe society by pursuing one or more of the following objectives</w:t>
      </w:r>
      <w:r w:rsidR="004F7BE3" w:rsidRPr="00DA5EB5">
        <w:rPr>
          <w:kern w:val="2"/>
          <w:sz w:val="20"/>
        </w:rPr>
        <w:t>:</w:t>
      </w:r>
    </w:p>
    <w:p w14:paraId="1596B647" w14:textId="2D42896F" w:rsidR="0061282C" w:rsidRPr="00DA5EB5" w:rsidRDefault="0061282C" w:rsidP="0074473E">
      <w:pPr>
        <w:pStyle w:val="BlockQuote"/>
        <w:numPr>
          <w:ilvl w:val="0"/>
          <w:numId w:val="23"/>
        </w:numPr>
        <w:spacing w:before="60" w:after="60"/>
        <w:jc w:val="left"/>
        <w:rPr>
          <w:kern w:val="2"/>
          <w:sz w:val="20"/>
        </w:rPr>
      </w:pPr>
      <w:r w:rsidRPr="00DA5EB5">
        <w:rPr>
          <w:kern w:val="2"/>
          <w:sz w:val="20"/>
        </w:rPr>
        <w:t>to denounce unlawful conduct</w:t>
      </w:r>
      <w:r w:rsidR="004E3083" w:rsidRPr="00DA5EB5">
        <w:rPr>
          <w:kern w:val="2"/>
          <w:sz w:val="20"/>
        </w:rPr>
        <w:t xml:space="preserve"> and the harm done to victims and the community</w:t>
      </w:r>
      <w:r w:rsidRPr="00DA5EB5">
        <w:rPr>
          <w:kern w:val="2"/>
          <w:sz w:val="20"/>
        </w:rPr>
        <w:t>;</w:t>
      </w:r>
    </w:p>
    <w:p w14:paraId="51DB6EE6" w14:textId="6B08B9A8" w:rsidR="0061282C" w:rsidRPr="00DA5EB5" w:rsidRDefault="0061282C" w:rsidP="0074473E">
      <w:pPr>
        <w:pStyle w:val="BlockQuote"/>
        <w:numPr>
          <w:ilvl w:val="0"/>
          <w:numId w:val="23"/>
        </w:numPr>
        <w:spacing w:before="60" w:after="60"/>
        <w:jc w:val="left"/>
        <w:rPr>
          <w:kern w:val="2"/>
          <w:sz w:val="20"/>
        </w:rPr>
      </w:pPr>
      <w:r w:rsidRPr="00DA5EB5">
        <w:rPr>
          <w:kern w:val="2"/>
          <w:sz w:val="20"/>
        </w:rPr>
        <w:t>to deter the offender and other persons from committing offences;</w:t>
      </w:r>
    </w:p>
    <w:p w14:paraId="6A3A54BB" w14:textId="48C743F6" w:rsidR="0061282C" w:rsidRPr="00DA5EB5" w:rsidRDefault="0061282C" w:rsidP="0074473E">
      <w:pPr>
        <w:pStyle w:val="BlockQuote"/>
        <w:numPr>
          <w:ilvl w:val="0"/>
          <w:numId w:val="23"/>
        </w:numPr>
        <w:spacing w:before="60" w:after="60"/>
        <w:jc w:val="left"/>
        <w:rPr>
          <w:kern w:val="2"/>
          <w:sz w:val="20"/>
        </w:rPr>
      </w:pPr>
      <w:r w:rsidRPr="00DA5EB5">
        <w:rPr>
          <w:kern w:val="2"/>
          <w:sz w:val="20"/>
        </w:rPr>
        <w:t>to separate offenders from society, where necessary;</w:t>
      </w:r>
    </w:p>
    <w:p w14:paraId="5AD16858" w14:textId="1F871DCB" w:rsidR="0061282C" w:rsidRPr="00DA5EB5" w:rsidRDefault="0061282C" w:rsidP="0074473E">
      <w:pPr>
        <w:pStyle w:val="BlockQuote"/>
        <w:numPr>
          <w:ilvl w:val="0"/>
          <w:numId w:val="23"/>
        </w:numPr>
        <w:spacing w:before="60" w:after="60"/>
        <w:jc w:val="left"/>
        <w:rPr>
          <w:kern w:val="2"/>
          <w:sz w:val="20"/>
        </w:rPr>
      </w:pPr>
      <w:r w:rsidRPr="00DA5EB5">
        <w:rPr>
          <w:kern w:val="2"/>
          <w:sz w:val="20"/>
        </w:rPr>
        <w:t>to assist in rehabilitating offenders;</w:t>
      </w:r>
    </w:p>
    <w:p w14:paraId="2E9CCCB7" w14:textId="1D8EBE07" w:rsidR="0061282C" w:rsidRPr="00DA5EB5" w:rsidRDefault="0061282C" w:rsidP="0074473E">
      <w:pPr>
        <w:pStyle w:val="BlockQuote"/>
        <w:numPr>
          <w:ilvl w:val="0"/>
          <w:numId w:val="23"/>
        </w:numPr>
        <w:spacing w:before="60" w:after="60"/>
        <w:jc w:val="left"/>
        <w:rPr>
          <w:kern w:val="2"/>
          <w:sz w:val="20"/>
        </w:rPr>
      </w:pPr>
      <w:r w:rsidRPr="00DA5EB5">
        <w:rPr>
          <w:kern w:val="2"/>
          <w:sz w:val="20"/>
        </w:rPr>
        <w:t>to provide reparations for harm done to victims or to the community; and</w:t>
      </w:r>
    </w:p>
    <w:p w14:paraId="50664CAA" w14:textId="59D0C75B" w:rsidR="0061282C" w:rsidRPr="00DA5EB5" w:rsidRDefault="0061282C" w:rsidP="0074473E">
      <w:pPr>
        <w:pStyle w:val="BlockQuote"/>
        <w:numPr>
          <w:ilvl w:val="0"/>
          <w:numId w:val="23"/>
        </w:numPr>
        <w:spacing w:before="60" w:after="60"/>
        <w:jc w:val="left"/>
        <w:rPr>
          <w:kern w:val="2"/>
          <w:sz w:val="20"/>
        </w:rPr>
      </w:pPr>
      <w:proofErr w:type="gramStart"/>
      <w:r w:rsidRPr="00DA5EB5">
        <w:rPr>
          <w:kern w:val="2"/>
          <w:sz w:val="20"/>
        </w:rPr>
        <w:t>to</w:t>
      </w:r>
      <w:proofErr w:type="gramEnd"/>
      <w:r w:rsidRPr="00DA5EB5">
        <w:rPr>
          <w:kern w:val="2"/>
          <w:sz w:val="20"/>
        </w:rPr>
        <w:t xml:space="preserve"> promote a sense of responsibility in offenders, and acknowledgement of the harm done to the victims and to the community.</w:t>
      </w:r>
      <w:r w:rsidR="001743E8" w:rsidRPr="00DA5EB5">
        <w:rPr>
          <w:rStyle w:val="FootnoteReference"/>
          <w:kern w:val="2"/>
          <w:szCs w:val="21"/>
        </w:rPr>
        <w:footnoteReference w:id="96"/>
      </w:r>
    </w:p>
    <w:p w14:paraId="7F97FAD5" w14:textId="2DAC5997" w:rsidR="0061282C" w:rsidRPr="00DA5EB5" w:rsidRDefault="0061282C" w:rsidP="00F44BB6">
      <w:pPr>
        <w:rPr>
          <w:kern w:val="2"/>
        </w:rPr>
      </w:pPr>
      <w:r w:rsidRPr="00DA5EB5">
        <w:rPr>
          <w:kern w:val="2"/>
          <w:sz w:val="20"/>
        </w:rPr>
        <w:t xml:space="preserve">The </w:t>
      </w:r>
      <w:r w:rsidRPr="00DA5EB5">
        <w:rPr>
          <w:i/>
          <w:kern w:val="2"/>
          <w:sz w:val="20"/>
        </w:rPr>
        <w:t>Criminal Code</w:t>
      </w:r>
      <w:r w:rsidRPr="00DA5EB5">
        <w:rPr>
          <w:kern w:val="2"/>
          <w:sz w:val="20"/>
        </w:rPr>
        <w:t xml:space="preserve"> states that proportionality is the </w:t>
      </w:r>
      <w:r w:rsidR="00FD6DAC" w:rsidRPr="00DA5EB5">
        <w:rPr>
          <w:kern w:val="2"/>
          <w:sz w:val="20"/>
        </w:rPr>
        <w:t>“</w:t>
      </w:r>
      <w:r w:rsidRPr="00DA5EB5">
        <w:rPr>
          <w:kern w:val="2"/>
          <w:sz w:val="20"/>
        </w:rPr>
        <w:t>fundamental</w:t>
      </w:r>
      <w:r w:rsidR="00FD6DAC" w:rsidRPr="00DA5EB5">
        <w:rPr>
          <w:kern w:val="2"/>
          <w:sz w:val="20"/>
        </w:rPr>
        <w:t>”</w:t>
      </w:r>
      <w:r w:rsidRPr="00DA5EB5">
        <w:rPr>
          <w:kern w:val="2"/>
          <w:sz w:val="20"/>
        </w:rPr>
        <w:t xml:space="preserve"> sentencing principle</w:t>
      </w:r>
      <w:r w:rsidRPr="00DA5EB5">
        <w:rPr>
          <w:kern w:val="2"/>
        </w:rPr>
        <w:t>:</w:t>
      </w:r>
    </w:p>
    <w:p w14:paraId="047EBEDC" w14:textId="3AA7F2F9" w:rsidR="0061282C" w:rsidRPr="00DA5EB5" w:rsidRDefault="0061282C" w:rsidP="007C3517">
      <w:pPr>
        <w:pStyle w:val="BlockQuote"/>
        <w:rPr>
          <w:kern w:val="2"/>
          <w:sz w:val="20"/>
        </w:rPr>
      </w:pPr>
      <w:r w:rsidRPr="00DA5EB5">
        <w:rPr>
          <w:kern w:val="2"/>
          <w:sz w:val="20"/>
        </w:rPr>
        <w:t>718.1 A sentence must be proportionate to the gravity of the offence and degree of responsibility of the offender.</w:t>
      </w:r>
      <w:r w:rsidR="00F1476A" w:rsidRPr="00DA5EB5">
        <w:rPr>
          <w:rStyle w:val="FootnoteReference"/>
          <w:kern w:val="2"/>
          <w:szCs w:val="21"/>
        </w:rPr>
        <w:footnoteReference w:id="97"/>
      </w:r>
    </w:p>
    <w:p w14:paraId="0D6CAC9B" w14:textId="29BF64EA" w:rsidR="0061282C" w:rsidRPr="00DA5EB5" w:rsidRDefault="0061282C" w:rsidP="0023536E">
      <w:pPr>
        <w:keepNext/>
        <w:rPr>
          <w:kern w:val="2"/>
          <w:sz w:val="20"/>
        </w:rPr>
      </w:pPr>
      <w:r w:rsidRPr="00DA5EB5">
        <w:rPr>
          <w:kern w:val="2"/>
          <w:sz w:val="20"/>
        </w:rPr>
        <w:t>Section 718.2 then sets out other sentencing principles:</w:t>
      </w:r>
    </w:p>
    <w:p w14:paraId="1D267001" w14:textId="77777777" w:rsidR="0061282C" w:rsidRPr="00DA5EB5" w:rsidRDefault="0061282C" w:rsidP="0074473E">
      <w:pPr>
        <w:pStyle w:val="BlockQuote"/>
        <w:numPr>
          <w:ilvl w:val="0"/>
          <w:numId w:val="24"/>
        </w:numPr>
        <w:spacing w:before="60" w:after="60"/>
        <w:jc w:val="left"/>
        <w:rPr>
          <w:kern w:val="2"/>
          <w:sz w:val="20"/>
        </w:rPr>
      </w:pPr>
      <w:r w:rsidRPr="00DA5EB5">
        <w:rPr>
          <w:kern w:val="2"/>
          <w:sz w:val="20"/>
        </w:rPr>
        <w:t>sentences should be increased or decreased to account for aggravating or mitigating factors related to the offence or the offender;</w:t>
      </w:r>
    </w:p>
    <w:p w14:paraId="66A3AAF5" w14:textId="77777777" w:rsidR="0061282C" w:rsidRPr="00DA5EB5" w:rsidRDefault="0061282C" w:rsidP="0074473E">
      <w:pPr>
        <w:pStyle w:val="BlockQuote"/>
        <w:numPr>
          <w:ilvl w:val="0"/>
          <w:numId w:val="24"/>
        </w:numPr>
        <w:spacing w:before="60" w:after="60"/>
        <w:jc w:val="left"/>
        <w:rPr>
          <w:kern w:val="2"/>
          <w:sz w:val="20"/>
        </w:rPr>
      </w:pPr>
      <w:r w:rsidRPr="00DA5EB5">
        <w:rPr>
          <w:kern w:val="2"/>
          <w:sz w:val="20"/>
        </w:rPr>
        <w:t>parity – similar sentences for similar cases;</w:t>
      </w:r>
    </w:p>
    <w:p w14:paraId="2FE2559E" w14:textId="69602C72" w:rsidR="0061282C" w:rsidRPr="00DA5EB5" w:rsidRDefault="0061282C" w:rsidP="0074473E">
      <w:pPr>
        <w:pStyle w:val="BlockQuote"/>
        <w:numPr>
          <w:ilvl w:val="0"/>
          <w:numId w:val="24"/>
        </w:numPr>
        <w:spacing w:before="60" w:after="60"/>
        <w:jc w:val="left"/>
        <w:rPr>
          <w:kern w:val="2"/>
          <w:sz w:val="20"/>
        </w:rPr>
      </w:pPr>
      <w:r w:rsidRPr="00DA5EB5">
        <w:rPr>
          <w:kern w:val="2"/>
          <w:sz w:val="20"/>
        </w:rPr>
        <w:t xml:space="preserve">totality – </w:t>
      </w:r>
      <w:r w:rsidR="00FD6DAC" w:rsidRPr="00DA5EB5">
        <w:rPr>
          <w:kern w:val="2"/>
          <w:sz w:val="20"/>
        </w:rPr>
        <w:t>“</w:t>
      </w:r>
      <w:r w:rsidRPr="00DA5EB5">
        <w:rPr>
          <w:kern w:val="2"/>
          <w:sz w:val="20"/>
        </w:rPr>
        <w:t>where consecutive sentences are imposed, the combined sentence should not be unduly long or harsh</w:t>
      </w:r>
      <w:r w:rsidR="00FD6DAC" w:rsidRPr="00DA5EB5">
        <w:rPr>
          <w:kern w:val="2"/>
          <w:sz w:val="20"/>
        </w:rPr>
        <w:t>”</w:t>
      </w:r>
      <w:r w:rsidRPr="00DA5EB5">
        <w:rPr>
          <w:kern w:val="2"/>
          <w:sz w:val="20"/>
        </w:rPr>
        <w:t>;</w:t>
      </w:r>
    </w:p>
    <w:p w14:paraId="18FB555C" w14:textId="2E8F2320" w:rsidR="0061282C" w:rsidRPr="00DA5EB5" w:rsidRDefault="0061282C" w:rsidP="0074473E">
      <w:pPr>
        <w:pStyle w:val="BlockQuote"/>
        <w:numPr>
          <w:ilvl w:val="0"/>
          <w:numId w:val="24"/>
        </w:numPr>
        <w:spacing w:before="60" w:after="60"/>
        <w:jc w:val="left"/>
        <w:rPr>
          <w:kern w:val="2"/>
          <w:sz w:val="20"/>
        </w:rPr>
      </w:pPr>
      <w:proofErr w:type="gramStart"/>
      <w:r w:rsidRPr="00DA5EB5">
        <w:rPr>
          <w:kern w:val="2"/>
          <w:sz w:val="20"/>
        </w:rPr>
        <w:t>restraint</w:t>
      </w:r>
      <w:proofErr w:type="gramEnd"/>
      <w:r w:rsidRPr="00DA5EB5">
        <w:rPr>
          <w:kern w:val="2"/>
          <w:sz w:val="20"/>
        </w:rPr>
        <w:t xml:space="preserve"> – use least restrictive sanction that is reasonable and appropriate in the circumstances.</w:t>
      </w:r>
      <w:r w:rsidR="00C01D12" w:rsidRPr="00DA5EB5">
        <w:rPr>
          <w:rStyle w:val="FootnoteReference"/>
          <w:kern w:val="2"/>
          <w:szCs w:val="21"/>
        </w:rPr>
        <w:footnoteReference w:id="98"/>
      </w:r>
      <w:r w:rsidRPr="00DA5EB5">
        <w:rPr>
          <w:kern w:val="2"/>
          <w:sz w:val="20"/>
        </w:rPr>
        <w:t xml:space="preserve"> </w:t>
      </w:r>
    </w:p>
    <w:p w14:paraId="7D065E6B" w14:textId="016C8A05" w:rsidR="0061282C" w:rsidRPr="00DA5EB5" w:rsidRDefault="0061282C" w:rsidP="00F44BB6">
      <w:pPr>
        <w:rPr>
          <w:kern w:val="2"/>
          <w:sz w:val="20"/>
        </w:rPr>
      </w:pPr>
      <w:r w:rsidRPr="00DA5EB5">
        <w:rPr>
          <w:kern w:val="2"/>
          <w:sz w:val="20"/>
        </w:rPr>
        <w:t xml:space="preserve">For corruption offences, the courts have indicated that the objectives of denunciation and deterrence are usually primary. For example, in </w:t>
      </w:r>
      <w:r w:rsidRPr="00DA5EB5">
        <w:rPr>
          <w:i/>
          <w:kern w:val="2"/>
          <w:sz w:val="20"/>
        </w:rPr>
        <w:t xml:space="preserve">R v </w:t>
      </w:r>
      <w:proofErr w:type="spellStart"/>
      <w:r w:rsidRPr="00DA5EB5">
        <w:rPr>
          <w:i/>
          <w:kern w:val="2"/>
          <w:sz w:val="20"/>
        </w:rPr>
        <w:t>Serre</w:t>
      </w:r>
      <w:proofErr w:type="spellEnd"/>
      <w:r w:rsidRPr="00DA5EB5">
        <w:rPr>
          <w:kern w:val="2"/>
          <w:sz w:val="20"/>
        </w:rPr>
        <w:t xml:space="preserve">, Justice Aitken stated: </w:t>
      </w:r>
    </w:p>
    <w:p w14:paraId="78613151" w14:textId="42FFFADF" w:rsidR="0061282C" w:rsidRPr="00DA5EB5" w:rsidRDefault="0061282C" w:rsidP="00162FB7">
      <w:pPr>
        <w:pStyle w:val="BlockQuote"/>
        <w:rPr>
          <w:color w:val="000000"/>
          <w:kern w:val="2"/>
          <w:sz w:val="20"/>
        </w:rPr>
      </w:pPr>
      <w:r w:rsidRPr="00DA5EB5">
        <w:rPr>
          <w:kern w:val="2"/>
          <w:sz w:val="20"/>
        </w:rPr>
        <w:t xml:space="preserve">It is well established that, in cases of this nature involving breach of trust by a public official, the most important objectives are general deterrence and denunciation. (See </w:t>
      </w:r>
      <w:r w:rsidRPr="00DA5EB5">
        <w:rPr>
          <w:rStyle w:val="italic1"/>
          <w:kern w:val="2"/>
          <w:sz w:val="20"/>
          <w:szCs w:val="21"/>
        </w:rPr>
        <w:t>R. v. Hinchey</w:t>
      </w:r>
      <w:r w:rsidRPr="00DA5EB5">
        <w:rPr>
          <w:kern w:val="2"/>
          <w:sz w:val="20"/>
        </w:rPr>
        <w:t xml:space="preserve">, </w:t>
      </w:r>
      <w:hyperlink r:id="rId21" w:tgtFrame="_parent" w:history="1">
        <w:r w:rsidRPr="00DA5EB5">
          <w:rPr>
            <w:rStyle w:val="Hyperlink"/>
            <w:rFonts w:eastAsiaTheme="majorEastAsia"/>
            <w:color w:val="auto"/>
            <w:kern w:val="2"/>
            <w:sz w:val="20"/>
            <w:szCs w:val="21"/>
            <w:u w:val="none"/>
          </w:rPr>
          <w:t>[1996] 3 S.C.R. 1128</w:t>
        </w:r>
      </w:hyperlink>
      <w:r w:rsidRPr="00DA5EB5">
        <w:rPr>
          <w:kern w:val="2"/>
          <w:sz w:val="20"/>
        </w:rPr>
        <w:t xml:space="preserve">, at 1138; </w:t>
      </w:r>
      <w:r w:rsidRPr="00DA5EB5">
        <w:rPr>
          <w:rStyle w:val="italic1"/>
          <w:kern w:val="2"/>
          <w:sz w:val="20"/>
          <w:szCs w:val="21"/>
        </w:rPr>
        <w:t>R. c. Wong</w:t>
      </w:r>
      <w:r w:rsidRPr="00DA5EB5">
        <w:rPr>
          <w:kern w:val="2"/>
          <w:sz w:val="20"/>
        </w:rPr>
        <w:t xml:space="preserve">, </w:t>
      </w:r>
      <w:hyperlink r:id="rId22" w:tgtFrame="_parent" w:history="1">
        <w:r w:rsidRPr="00DA5EB5">
          <w:rPr>
            <w:rStyle w:val="Hyperlink"/>
            <w:rFonts w:eastAsiaTheme="majorEastAsia"/>
            <w:color w:val="auto"/>
            <w:kern w:val="2"/>
            <w:sz w:val="20"/>
            <w:szCs w:val="21"/>
            <w:u w:val="none"/>
          </w:rPr>
          <w:t>[2005] Q.J. No. 22795</w:t>
        </w:r>
      </w:hyperlink>
      <w:r w:rsidRPr="00DA5EB5">
        <w:rPr>
          <w:kern w:val="2"/>
          <w:sz w:val="20"/>
        </w:rPr>
        <w:t xml:space="preserve"> (C.Q.); </w:t>
      </w:r>
      <w:r w:rsidRPr="00DA5EB5">
        <w:rPr>
          <w:rStyle w:val="italic1"/>
          <w:kern w:val="2"/>
          <w:sz w:val="20"/>
          <w:szCs w:val="21"/>
        </w:rPr>
        <w:t>R. v. Zhang</w:t>
      </w:r>
      <w:r w:rsidRPr="00DA5EB5">
        <w:rPr>
          <w:kern w:val="2"/>
          <w:sz w:val="20"/>
        </w:rPr>
        <w:t xml:space="preserve"> </w:t>
      </w:r>
      <w:hyperlink r:id="rId23" w:tgtFrame="_parent" w:history="1">
        <w:r w:rsidRPr="00DA5EB5">
          <w:rPr>
            <w:rStyle w:val="Hyperlink"/>
            <w:rFonts w:eastAsiaTheme="majorEastAsia"/>
            <w:color w:val="auto"/>
            <w:kern w:val="2"/>
            <w:sz w:val="20"/>
            <w:szCs w:val="21"/>
            <w:u w:val="none"/>
          </w:rPr>
          <w:t>2006 QCCA 1534</w:t>
        </w:r>
      </w:hyperlink>
      <w:r w:rsidRPr="00DA5EB5">
        <w:rPr>
          <w:kern w:val="2"/>
          <w:sz w:val="20"/>
        </w:rPr>
        <w:t xml:space="preserve">.) It has been held in numerous cases that breach of trust by a public official generally calls for a custodial sentence, even where there are significant mitigating factors. (See </w:t>
      </w:r>
      <w:r w:rsidRPr="00DA5EB5">
        <w:rPr>
          <w:rStyle w:val="italic1"/>
          <w:kern w:val="2"/>
          <w:sz w:val="20"/>
          <w:szCs w:val="21"/>
        </w:rPr>
        <w:t xml:space="preserve">R. v. </w:t>
      </w:r>
      <w:proofErr w:type="spellStart"/>
      <w:r w:rsidRPr="00DA5EB5">
        <w:rPr>
          <w:rStyle w:val="italic1"/>
          <w:kern w:val="2"/>
          <w:sz w:val="20"/>
          <w:szCs w:val="21"/>
        </w:rPr>
        <w:t>MacInnis</w:t>
      </w:r>
      <w:proofErr w:type="spellEnd"/>
      <w:r w:rsidRPr="00DA5EB5">
        <w:rPr>
          <w:kern w:val="2"/>
          <w:sz w:val="20"/>
        </w:rPr>
        <w:t xml:space="preserve"> </w:t>
      </w:r>
      <w:hyperlink r:id="rId24" w:tgtFrame="_parent" w:history="1">
        <w:r w:rsidRPr="00DA5EB5">
          <w:rPr>
            <w:rStyle w:val="Hyperlink"/>
            <w:rFonts w:eastAsiaTheme="majorEastAsia"/>
            <w:color w:val="auto"/>
            <w:kern w:val="2"/>
            <w:sz w:val="20"/>
            <w:szCs w:val="21"/>
            <w:u w:val="none"/>
          </w:rPr>
          <w:t>(1991), 95 Nfld. &amp; P.E.I.R. 332</w:t>
        </w:r>
      </w:hyperlink>
      <w:r w:rsidRPr="00DA5EB5">
        <w:rPr>
          <w:kern w:val="2"/>
          <w:sz w:val="20"/>
        </w:rPr>
        <w:t xml:space="preserve"> (S.C.); </w:t>
      </w:r>
      <w:r w:rsidRPr="00DA5EB5">
        <w:rPr>
          <w:rStyle w:val="italic1"/>
          <w:kern w:val="2"/>
          <w:sz w:val="20"/>
          <w:szCs w:val="21"/>
        </w:rPr>
        <w:t>R. c. Wong</w:t>
      </w:r>
      <w:r w:rsidRPr="00DA5EB5">
        <w:rPr>
          <w:kern w:val="2"/>
          <w:sz w:val="20"/>
        </w:rPr>
        <w:t xml:space="preserve">, </w:t>
      </w:r>
      <w:hyperlink r:id="rId25" w:tgtFrame="_parent" w:history="1">
        <w:r w:rsidRPr="00DA5EB5">
          <w:rPr>
            <w:rStyle w:val="Hyperlink"/>
            <w:rFonts w:eastAsiaTheme="majorEastAsia"/>
            <w:color w:val="auto"/>
            <w:kern w:val="2"/>
            <w:sz w:val="20"/>
            <w:szCs w:val="21"/>
            <w:u w:val="none"/>
          </w:rPr>
          <w:t>[2005] Q.J. No. 22795</w:t>
        </w:r>
      </w:hyperlink>
      <w:r w:rsidRPr="00DA5EB5">
        <w:rPr>
          <w:kern w:val="2"/>
          <w:sz w:val="20"/>
        </w:rPr>
        <w:t xml:space="preserve"> (C.Q.); </w:t>
      </w:r>
      <w:r w:rsidRPr="00DA5EB5">
        <w:rPr>
          <w:rStyle w:val="italic1"/>
          <w:kern w:val="2"/>
          <w:sz w:val="20"/>
          <w:szCs w:val="21"/>
        </w:rPr>
        <w:t>R. v. Zhang</w:t>
      </w:r>
      <w:r w:rsidRPr="00DA5EB5">
        <w:rPr>
          <w:kern w:val="2"/>
          <w:sz w:val="20"/>
        </w:rPr>
        <w:t xml:space="preserve"> </w:t>
      </w:r>
      <w:hyperlink r:id="rId26" w:tgtFrame="_parent" w:history="1">
        <w:r w:rsidRPr="00DA5EB5">
          <w:rPr>
            <w:rStyle w:val="Hyperlink"/>
            <w:rFonts w:eastAsiaTheme="majorEastAsia"/>
            <w:color w:val="auto"/>
            <w:kern w:val="2"/>
            <w:sz w:val="20"/>
            <w:szCs w:val="21"/>
            <w:u w:val="none"/>
          </w:rPr>
          <w:t>2006 QCCA 1534</w:t>
        </w:r>
      </w:hyperlink>
      <w:r w:rsidRPr="00DA5EB5">
        <w:rPr>
          <w:kern w:val="2"/>
          <w:sz w:val="20"/>
        </w:rPr>
        <w:t xml:space="preserve">; </w:t>
      </w:r>
      <w:r w:rsidRPr="00DA5EB5">
        <w:rPr>
          <w:rStyle w:val="italic1"/>
          <w:kern w:val="2"/>
          <w:sz w:val="20"/>
          <w:szCs w:val="21"/>
        </w:rPr>
        <w:t xml:space="preserve">R. v. </w:t>
      </w:r>
      <w:proofErr w:type="spellStart"/>
      <w:r w:rsidRPr="00DA5EB5">
        <w:rPr>
          <w:rStyle w:val="italic1"/>
          <w:kern w:val="2"/>
          <w:sz w:val="20"/>
          <w:szCs w:val="21"/>
        </w:rPr>
        <w:t>Macaluso</w:t>
      </w:r>
      <w:proofErr w:type="spellEnd"/>
      <w:r w:rsidRPr="00DA5EB5">
        <w:rPr>
          <w:kern w:val="2"/>
          <w:sz w:val="20"/>
        </w:rPr>
        <w:t xml:space="preserve">, </w:t>
      </w:r>
      <w:hyperlink r:id="rId27" w:tgtFrame="_parent" w:history="1">
        <w:r w:rsidRPr="00DA5EB5">
          <w:rPr>
            <w:rStyle w:val="Hyperlink"/>
            <w:rFonts w:eastAsiaTheme="majorEastAsia"/>
            <w:color w:val="auto"/>
            <w:kern w:val="2"/>
            <w:sz w:val="20"/>
            <w:szCs w:val="21"/>
            <w:u w:val="none"/>
          </w:rPr>
          <w:t>2006 QCCS 2301</w:t>
        </w:r>
      </w:hyperlink>
      <w:r w:rsidRPr="00DA5EB5">
        <w:rPr>
          <w:kern w:val="2"/>
          <w:sz w:val="20"/>
        </w:rPr>
        <w:t xml:space="preserve">; </w:t>
      </w:r>
      <w:r w:rsidRPr="00DA5EB5">
        <w:rPr>
          <w:rStyle w:val="italic1"/>
          <w:kern w:val="2"/>
          <w:sz w:val="20"/>
          <w:szCs w:val="21"/>
        </w:rPr>
        <w:t xml:space="preserve">R. v. </w:t>
      </w:r>
      <w:proofErr w:type="spellStart"/>
      <w:r w:rsidRPr="00DA5EB5">
        <w:rPr>
          <w:rStyle w:val="italic1"/>
          <w:kern w:val="2"/>
          <w:sz w:val="20"/>
          <w:szCs w:val="21"/>
        </w:rPr>
        <w:t>Blanas</w:t>
      </w:r>
      <w:proofErr w:type="spellEnd"/>
      <w:r w:rsidRPr="00DA5EB5">
        <w:rPr>
          <w:kern w:val="2"/>
          <w:sz w:val="20"/>
        </w:rPr>
        <w:t xml:space="preserve"> </w:t>
      </w:r>
      <w:hyperlink r:id="rId28" w:tgtFrame="_parent" w:history="1">
        <w:r w:rsidRPr="00DA5EB5">
          <w:rPr>
            <w:rStyle w:val="Hyperlink"/>
            <w:rFonts w:eastAsiaTheme="majorEastAsia"/>
            <w:color w:val="auto"/>
            <w:kern w:val="2"/>
            <w:sz w:val="20"/>
            <w:szCs w:val="21"/>
            <w:u w:val="none"/>
          </w:rPr>
          <w:t>(2006), 207 O.A.C. 226</w:t>
        </w:r>
      </w:hyperlink>
      <w:r w:rsidRPr="00DA5EB5">
        <w:rPr>
          <w:kern w:val="2"/>
          <w:sz w:val="20"/>
        </w:rPr>
        <w:t xml:space="preserve"> (C.A.); </w:t>
      </w:r>
      <w:r w:rsidRPr="00DA5EB5">
        <w:rPr>
          <w:rStyle w:val="italic1"/>
          <w:kern w:val="2"/>
          <w:sz w:val="20"/>
          <w:szCs w:val="21"/>
        </w:rPr>
        <w:t>R. c. Liu</w:t>
      </w:r>
      <w:r w:rsidRPr="00DA5EB5">
        <w:rPr>
          <w:kern w:val="2"/>
          <w:sz w:val="20"/>
        </w:rPr>
        <w:t xml:space="preserve">, </w:t>
      </w:r>
      <w:hyperlink r:id="rId29" w:tgtFrame="_parent" w:history="1">
        <w:r w:rsidRPr="00DA5EB5">
          <w:rPr>
            <w:rStyle w:val="Hyperlink"/>
            <w:rFonts w:eastAsiaTheme="majorEastAsia"/>
            <w:color w:val="auto"/>
            <w:kern w:val="2"/>
            <w:sz w:val="20"/>
            <w:szCs w:val="21"/>
            <w:u w:val="none"/>
          </w:rPr>
          <w:t>2006 QCCS 1211</w:t>
        </w:r>
      </w:hyperlink>
      <w:r w:rsidRPr="00DA5EB5">
        <w:rPr>
          <w:kern w:val="2"/>
          <w:sz w:val="20"/>
        </w:rPr>
        <w:t xml:space="preserve">; and </w:t>
      </w:r>
      <w:r w:rsidRPr="00DA5EB5">
        <w:rPr>
          <w:rStyle w:val="italic1"/>
          <w:kern w:val="2"/>
          <w:sz w:val="20"/>
          <w:szCs w:val="21"/>
        </w:rPr>
        <w:t xml:space="preserve">R. v. </w:t>
      </w:r>
      <w:proofErr w:type="spellStart"/>
      <w:r w:rsidRPr="00DA5EB5">
        <w:rPr>
          <w:rStyle w:val="italic1"/>
          <w:kern w:val="2"/>
          <w:sz w:val="20"/>
          <w:szCs w:val="21"/>
        </w:rPr>
        <w:t>Gonsalves-Barriero</w:t>
      </w:r>
      <w:proofErr w:type="spellEnd"/>
      <w:r w:rsidRPr="00DA5EB5">
        <w:rPr>
          <w:kern w:val="2"/>
          <w:sz w:val="20"/>
        </w:rPr>
        <w:t xml:space="preserve">, </w:t>
      </w:r>
      <w:hyperlink r:id="rId30" w:tgtFrame="_parent" w:history="1">
        <w:r w:rsidRPr="00DA5EB5">
          <w:rPr>
            <w:rStyle w:val="Hyperlink"/>
            <w:rFonts w:eastAsiaTheme="majorEastAsia"/>
            <w:color w:val="auto"/>
            <w:kern w:val="2"/>
            <w:sz w:val="20"/>
            <w:szCs w:val="21"/>
            <w:u w:val="none"/>
          </w:rPr>
          <w:t>[2012] O.J. No. 4369</w:t>
        </w:r>
      </w:hyperlink>
      <w:r w:rsidRPr="00DA5EB5">
        <w:rPr>
          <w:kern w:val="2"/>
          <w:sz w:val="20"/>
        </w:rPr>
        <w:t xml:space="preserve"> (Ct. J.).).</w:t>
      </w:r>
      <w:r w:rsidR="00E87776" w:rsidRPr="00DA5EB5">
        <w:rPr>
          <w:kern w:val="2"/>
          <w:sz w:val="20"/>
        </w:rPr>
        <w:t xml:space="preserve"> </w:t>
      </w:r>
      <w:r w:rsidRPr="00DA5EB5">
        <w:rPr>
          <w:color w:val="000000"/>
          <w:kern w:val="2"/>
          <w:sz w:val="20"/>
        </w:rPr>
        <w:t>All too frequently, white collar crime can appear to be harmless and victimless. However, it is anything but that. All Canadians, and our society as a whole, are victims when public officials breach the trust placed in them.</w:t>
      </w:r>
      <w:r w:rsidR="00C01D12" w:rsidRPr="00DA5EB5">
        <w:rPr>
          <w:rStyle w:val="FootnoteReference"/>
          <w:kern w:val="2"/>
        </w:rPr>
        <w:footnoteReference w:id="99"/>
      </w:r>
    </w:p>
    <w:p w14:paraId="43ADF9C5" w14:textId="647EE67B" w:rsidR="0061282C" w:rsidRPr="00DA5EB5" w:rsidRDefault="0061282C" w:rsidP="00F44BB6">
      <w:pPr>
        <w:rPr>
          <w:kern w:val="2"/>
          <w:sz w:val="20"/>
        </w:rPr>
      </w:pPr>
      <w:r w:rsidRPr="00DA5EB5">
        <w:rPr>
          <w:kern w:val="2"/>
          <w:sz w:val="20"/>
        </w:rPr>
        <w:t xml:space="preserve">While the effectiveness of general deterrence is seriously questioned in the research literature on sentencing, courts nonetheless give considerable weight to deterrence on the basis of the choice and risk-reward calculation that corruption offences frequently embody. In </w:t>
      </w:r>
      <w:r w:rsidRPr="00DA5EB5">
        <w:rPr>
          <w:i/>
          <w:kern w:val="2"/>
          <w:sz w:val="20"/>
        </w:rPr>
        <w:t xml:space="preserve">R v </w:t>
      </w:r>
      <w:proofErr w:type="spellStart"/>
      <w:r w:rsidRPr="00DA5EB5">
        <w:rPr>
          <w:i/>
          <w:kern w:val="2"/>
          <w:sz w:val="20"/>
        </w:rPr>
        <w:t>Drabinsky</w:t>
      </w:r>
      <w:proofErr w:type="spellEnd"/>
      <w:r w:rsidRPr="00DA5EB5">
        <w:rPr>
          <w:kern w:val="2"/>
          <w:sz w:val="20"/>
        </w:rPr>
        <w:t>, a corporate securities fraud case, the Ontario Court of Appeal stated:</w:t>
      </w:r>
    </w:p>
    <w:p w14:paraId="0453D276" w14:textId="735CF17E" w:rsidR="0061282C" w:rsidRPr="00DA5EB5" w:rsidRDefault="0061282C" w:rsidP="007C3517">
      <w:pPr>
        <w:pStyle w:val="BlockQuote"/>
        <w:rPr>
          <w:kern w:val="2"/>
          <w:sz w:val="20"/>
        </w:rPr>
      </w:pPr>
      <w:r w:rsidRPr="00DA5EB5">
        <w:rPr>
          <w:kern w:val="2"/>
          <w:sz w:val="20"/>
        </w:rPr>
        <w:t>The deterrent value of any sentence is a matter of controversy and speculation. However, it would seem that if the prospect of a long jail sentence will deter anyone from planning and committing a crime, it would deter people like the appellants who are intelligent individuals, well aware of potential consequences, and accustomed to weighing potential future risks against potential benefits before taking action.</w:t>
      </w:r>
      <w:r w:rsidR="00606EAD" w:rsidRPr="00DA5EB5">
        <w:rPr>
          <w:rStyle w:val="FootnoteReference"/>
          <w:color w:val="000000"/>
          <w:kern w:val="2"/>
          <w:szCs w:val="21"/>
        </w:rPr>
        <w:footnoteReference w:id="100"/>
      </w:r>
    </w:p>
    <w:p w14:paraId="4F185675" w14:textId="57F943A7" w:rsidR="00E534EE" w:rsidRPr="00DA5EB5" w:rsidRDefault="0061282C" w:rsidP="007C3517">
      <w:pPr>
        <w:pStyle w:val="Heading2"/>
        <w:rPr>
          <w:kern w:val="2"/>
          <w:sz w:val="24"/>
        </w:rPr>
      </w:pPr>
      <w:r w:rsidRPr="00DA5EB5">
        <w:rPr>
          <w:kern w:val="2"/>
          <w:sz w:val="24"/>
        </w:rPr>
        <w:t>Sentencing Principles for Corporations and Other Organizations</w:t>
      </w:r>
    </w:p>
    <w:p w14:paraId="6DE8595F" w14:textId="751D40D0" w:rsidR="0061282C" w:rsidRPr="00DA5EB5" w:rsidRDefault="0061282C" w:rsidP="007C3517">
      <w:pPr>
        <w:rPr>
          <w:kern w:val="2"/>
          <w:sz w:val="20"/>
        </w:rPr>
      </w:pPr>
      <w:r w:rsidRPr="00DA5EB5">
        <w:rPr>
          <w:kern w:val="2"/>
          <w:sz w:val="20"/>
        </w:rPr>
        <w:t xml:space="preserve">Section 718.21 of the </w:t>
      </w:r>
      <w:r w:rsidRPr="00DA5EB5">
        <w:rPr>
          <w:i/>
          <w:kern w:val="2"/>
          <w:sz w:val="20"/>
        </w:rPr>
        <w:t xml:space="preserve">Criminal Code </w:t>
      </w:r>
      <w:r w:rsidRPr="00DA5EB5">
        <w:rPr>
          <w:kern w:val="2"/>
          <w:sz w:val="20"/>
        </w:rPr>
        <w:t>sets out additional factors to be considered when a court is sentencing a corporation.</w:t>
      </w:r>
      <w:r w:rsidR="00E87776" w:rsidRPr="00DA5EB5">
        <w:rPr>
          <w:kern w:val="2"/>
          <w:sz w:val="20"/>
        </w:rPr>
        <w:t xml:space="preserve"> </w:t>
      </w:r>
      <w:r w:rsidRPr="00DA5EB5">
        <w:rPr>
          <w:kern w:val="2"/>
          <w:sz w:val="20"/>
        </w:rPr>
        <w:t>The section states:</w:t>
      </w:r>
    </w:p>
    <w:p w14:paraId="05B97C5D" w14:textId="77777777" w:rsidR="0061282C" w:rsidRPr="00DA5EB5" w:rsidRDefault="0061282C" w:rsidP="00F44BB6">
      <w:pPr>
        <w:pStyle w:val="BlockQuote"/>
        <w:spacing w:before="60" w:after="60"/>
        <w:rPr>
          <w:kern w:val="2"/>
          <w:sz w:val="20"/>
        </w:rPr>
      </w:pPr>
      <w:r w:rsidRPr="00DA5EB5">
        <w:rPr>
          <w:kern w:val="2"/>
          <w:sz w:val="20"/>
        </w:rPr>
        <w:t>A court that imposes a sentence on an organization shall also take into consideration the following factors:</w:t>
      </w:r>
    </w:p>
    <w:p w14:paraId="37E4B029" w14:textId="2339CF9D" w:rsidR="0061282C" w:rsidRPr="00DA5EB5" w:rsidRDefault="0061282C" w:rsidP="0074473E">
      <w:pPr>
        <w:pStyle w:val="BlockQuote"/>
        <w:numPr>
          <w:ilvl w:val="0"/>
          <w:numId w:val="25"/>
        </w:numPr>
        <w:spacing w:before="60" w:after="60"/>
        <w:jc w:val="left"/>
        <w:rPr>
          <w:kern w:val="2"/>
          <w:sz w:val="20"/>
        </w:rPr>
      </w:pPr>
      <w:r w:rsidRPr="00DA5EB5">
        <w:rPr>
          <w:kern w:val="2"/>
          <w:sz w:val="20"/>
        </w:rPr>
        <w:t>any advantage realized by the organization as a result of the offence;</w:t>
      </w:r>
    </w:p>
    <w:p w14:paraId="5B46ED75" w14:textId="48CE9BB2" w:rsidR="0061282C" w:rsidRPr="00DA5EB5" w:rsidRDefault="0061282C" w:rsidP="0074473E">
      <w:pPr>
        <w:pStyle w:val="BlockQuote"/>
        <w:numPr>
          <w:ilvl w:val="0"/>
          <w:numId w:val="25"/>
        </w:numPr>
        <w:spacing w:before="60" w:after="60"/>
        <w:jc w:val="left"/>
        <w:rPr>
          <w:kern w:val="2"/>
          <w:sz w:val="20"/>
        </w:rPr>
      </w:pPr>
      <w:r w:rsidRPr="00DA5EB5">
        <w:rPr>
          <w:kern w:val="2"/>
          <w:sz w:val="20"/>
        </w:rPr>
        <w:t>the degree of planning involved in carrying out the offence and the duration and complexity of the offence;</w:t>
      </w:r>
    </w:p>
    <w:p w14:paraId="4B10962B" w14:textId="7E2CE628" w:rsidR="0061282C" w:rsidRPr="00DA5EB5" w:rsidRDefault="0061282C" w:rsidP="0074473E">
      <w:pPr>
        <w:pStyle w:val="BlockQuote"/>
        <w:numPr>
          <w:ilvl w:val="0"/>
          <w:numId w:val="25"/>
        </w:numPr>
        <w:spacing w:before="60" w:after="60"/>
        <w:jc w:val="left"/>
        <w:rPr>
          <w:kern w:val="2"/>
          <w:sz w:val="20"/>
        </w:rPr>
      </w:pPr>
      <w:r w:rsidRPr="00DA5EB5">
        <w:rPr>
          <w:kern w:val="2"/>
          <w:sz w:val="20"/>
        </w:rPr>
        <w:t>whether the organization has attempted to conceal its assets, or convert them, in order to show that it is not about to pay a fine or make restitution;</w:t>
      </w:r>
    </w:p>
    <w:p w14:paraId="565DC257" w14:textId="63CF7769" w:rsidR="0061282C" w:rsidRPr="00DA5EB5" w:rsidRDefault="0061282C" w:rsidP="0074473E">
      <w:pPr>
        <w:pStyle w:val="BlockQuote"/>
        <w:numPr>
          <w:ilvl w:val="0"/>
          <w:numId w:val="25"/>
        </w:numPr>
        <w:spacing w:before="60" w:after="60"/>
        <w:jc w:val="left"/>
        <w:rPr>
          <w:kern w:val="2"/>
          <w:sz w:val="20"/>
        </w:rPr>
      </w:pPr>
      <w:r w:rsidRPr="00DA5EB5">
        <w:rPr>
          <w:kern w:val="2"/>
          <w:sz w:val="20"/>
        </w:rPr>
        <w:t>the impact that the sentence would have on the economic viability of the organization and the continued employment of its employees;</w:t>
      </w:r>
    </w:p>
    <w:p w14:paraId="65F571D3" w14:textId="76FAC5DD" w:rsidR="0061282C" w:rsidRPr="00DA5EB5" w:rsidRDefault="0061282C" w:rsidP="0074473E">
      <w:pPr>
        <w:pStyle w:val="BlockQuote"/>
        <w:numPr>
          <w:ilvl w:val="0"/>
          <w:numId w:val="25"/>
        </w:numPr>
        <w:spacing w:before="60" w:after="60"/>
        <w:jc w:val="left"/>
        <w:rPr>
          <w:kern w:val="2"/>
          <w:sz w:val="20"/>
        </w:rPr>
      </w:pPr>
      <w:r w:rsidRPr="00DA5EB5">
        <w:rPr>
          <w:kern w:val="2"/>
          <w:sz w:val="20"/>
        </w:rPr>
        <w:t>the cost to the public authorities of the investigation and prosecution of the offence;</w:t>
      </w:r>
    </w:p>
    <w:p w14:paraId="141C8CEA" w14:textId="1E480875" w:rsidR="0061282C" w:rsidRPr="00DA5EB5" w:rsidRDefault="0061282C" w:rsidP="0074473E">
      <w:pPr>
        <w:pStyle w:val="BlockQuote"/>
        <w:numPr>
          <w:ilvl w:val="0"/>
          <w:numId w:val="25"/>
        </w:numPr>
        <w:spacing w:before="60" w:after="60"/>
        <w:jc w:val="left"/>
        <w:rPr>
          <w:kern w:val="2"/>
          <w:sz w:val="20"/>
        </w:rPr>
      </w:pPr>
      <w:r w:rsidRPr="00DA5EB5">
        <w:rPr>
          <w:kern w:val="2"/>
          <w:sz w:val="20"/>
        </w:rPr>
        <w:t>any regulatory penalty imposed on the organization or one of its representatives in respect of conduct that formed the basis of the offence;</w:t>
      </w:r>
    </w:p>
    <w:p w14:paraId="265697A5" w14:textId="0560B914" w:rsidR="0061282C" w:rsidRPr="00DA5EB5" w:rsidRDefault="0061282C" w:rsidP="0074473E">
      <w:pPr>
        <w:pStyle w:val="BlockQuote"/>
        <w:numPr>
          <w:ilvl w:val="0"/>
          <w:numId w:val="25"/>
        </w:numPr>
        <w:spacing w:before="60" w:after="60"/>
        <w:jc w:val="left"/>
        <w:rPr>
          <w:kern w:val="2"/>
          <w:sz w:val="20"/>
        </w:rPr>
      </w:pPr>
      <w:r w:rsidRPr="00DA5EB5">
        <w:rPr>
          <w:kern w:val="2"/>
          <w:sz w:val="20"/>
        </w:rPr>
        <w:t>whether the organization was – or any of its representatives who were involved in the commission of the offence were – convicted of a similar offence or sanctioned by a regulatory body for similar conduct;</w:t>
      </w:r>
    </w:p>
    <w:p w14:paraId="630455FA" w14:textId="4A9531B5" w:rsidR="0061282C" w:rsidRPr="00DA5EB5" w:rsidRDefault="0061282C" w:rsidP="0074473E">
      <w:pPr>
        <w:pStyle w:val="BlockQuote"/>
        <w:numPr>
          <w:ilvl w:val="0"/>
          <w:numId w:val="25"/>
        </w:numPr>
        <w:spacing w:before="60" w:after="60"/>
        <w:jc w:val="left"/>
        <w:rPr>
          <w:kern w:val="2"/>
          <w:sz w:val="20"/>
        </w:rPr>
      </w:pPr>
      <w:r w:rsidRPr="00DA5EB5">
        <w:rPr>
          <w:kern w:val="2"/>
          <w:sz w:val="20"/>
        </w:rPr>
        <w:t>any penalty imposed by the organization on a representative for their role in the commission of the offence;</w:t>
      </w:r>
    </w:p>
    <w:p w14:paraId="38634B23" w14:textId="64D4E3D0" w:rsidR="0061282C" w:rsidRPr="00DA5EB5" w:rsidRDefault="0061282C" w:rsidP="0074473E">
      <w:pPr>
        <w:pStyle w:val="BlockQuote"/>
        <w:numPr>
          <w:ilvl w:val="0"/>
          <w:numId w:val="25"/>
        </w:numPr>
        <w:spacing w:before="60" w:after="60"/>
        <w:jc w:val="left"/>
        <w:rPr>
          <w:kern w:val="2"/>
          <w:sz w:val="20"/>
        </w:rPr>
      </w:pPr>
      <w:r w:rsidRPr="00DA5EB5">
        <w:rPr>
          <w:kern w:val="2"/>
          <w:sz w:val="20"/>
        </w:rPr>
        <w:t>any restitution that the organization is ordered to make or any amount that the organization has paid to a victim of the offence; and</w:t>
      </w:r>
    </w:p>
    <w:p w14:paraId="54464618" w14:textId="711A9A54" w:rsidR="0061282C" w:rsidRPr="00DA5EB5" w:rsidRDefault="0061282C" w:rsidP="0074473E">
      <w:pPr>
        <w:pStyle w:val="BlockQuote"/>
        <w:numPr>
          <w:ilvl w:val="0"/>
          <w:numId w:val="25"/>
        </w:numPr>
        <w:spacing w:before="60" w:after="60"/>
        <w:jc w:val="left"/>
        <w:rPr>
          <w:kern w:val="2"/>
          <w:sz w:val="20"/>
        </w:rPr>
      </w:pPr>
      <w:proofErr w:type="gramStart"/>
      <w:r w:rsidRPr="00DA5EB5">
        <w:rPr>
          <w:kern w:val="2"/>
          <w:sz w:val="20"/>
        </w:rPr>
        <w:t>any</w:t>
      </w:r>
      <w:proofErr w:type="gramEnd"/>
      <w:r w:rsidRPr="00DA5EB5">
        <w:rPr>
          <w:kern w:val="2"/>
          <w:sz w:val="20"/>
        </w:rPr>
        <w:t xml:space="preserve"> measures that the organization has taken to reduce the likelihood of it committing a subsequent offence. </w:t>
      </w:r>
    </w:p>
    <w:p w14:paraId="26FBF264" w14:textId="6A730FA5" w:rsidR="0061282C" w:rsidRPr="00DA5EB5" w:rsidRDefault="0061282C" w:rsidP="00F44BB6">
      <w:pPr>
        <w:rPr>
          <w:kern w:val="2"/>
          <w:sz w:val="20"/>
        </w:rPr>
      </w:pPr>
      <w:r w:rsidRPr="00DA5EB5">
        <w:rPr>
          <w:kern w:val="2"/>
          <w:sz w:val="20"/>
        </w:rPr>
        <w:t>While corporate entities cannot be sentenced to imprisonment, they can be fined or placed on probation with conditions. Section 732.1(3.1) sets out optional conditions that courts may impose when sentencing a corporation to probation:</w:t>
      </w:r>
    </w:p>
    <w:p w14:paraId="5F9955B0" w14:textId="77777777" w:rsidR="00C96050" w:rsidRPr="00DA5EB5" w:rsidRDefault="0061282C" w:rsidP="00F44BB6">
      <w:pPr>
        <w:pStyle w:val="BlockQuote"/>
        <w:spacing w:before="60" w:after="60"/>
        <w:rPr>
          <w:kern w:val="2"/>
          <w:sz w:val="20"/>
          <w:lang w:val="en"/>
        </w:rPr>
      </w:pPr>
      <w:r w:rsidRPr="00DA5EB5">
        <w:rPr>
          <w:kern w:val="2"/>
          <w:sz w:val="20"/>
          <w:lang w:val="en"/>
        </w:rPr>
        <w:t>(3.1) The court may prescribe, as additional conditions of a probation order made in respect of an organization, that the offender d</w:t>
      </w:r>
      <w:r w:rsidR="00C96050" w:rsidRPr="00DA5EB5">
        <w:rPr>
          <w:kern w:val="2"/>
          <w:sz w:val="20"/>
          <w:lang w:val="en"/>
        </w:rPr>
        <w:t>o one or more of the following:</w:t>
      </w:r>
    </w:p>
    <w:p w14:paraId="3EAE3833" w14:textId="77777777" w:rsidR="00C96050" w:rsidRPr="00DA5EB5" w:rsidRDefault="0061282C" w:rsidP="0074473E">
      <w:pPr>
        <w:pStyle w:val="BlockQuote"/>
        <w:numPr>
          <w:ilvl w:val="0"/>
          <w:numId w:val="26"/>
        </w:numPr>
        <w:spacing w:before="60" w:after="60"/>
        <w:jc w:val="left"/>
        <w:rPr>
          <w:kern w:val="2"/>
          <w:sz w:val="20"/>
          <w:lang w:val="en"/>
        </w:rPr>
      </w:pPr>
      <w:r w:rsidRPr="00DA5EB5">
        <w:rPr>
          <w:kern w:val="2"/>
          <w:sz w:val="20"/>
          <w:lang w:val="en"/>
        </w:rPr>
        <w:t>make restitution to a person for any loss or damage that they suffe</w:t>
      </w:r>
      <w:r w:rsidR="00C96050" w:rsidRPr="00DA5EB5">
        <w:rPr>
          <w:kern w:val="2"/>
          <w:sz w:val="20"/>
          <w:lang w:val="en"/>
        </w:rPr>
        <w:t>red as a result of the offence;</w:t>
      </w:r>
    </w:p>
    <w:p w14:paraId="70D1938C" w14:textId="3CAECEB9" w:rsidR="00C96050" w:rsidRPr="00DA5EB5" w:rsidRDefault="0061282C" w:rsidP="0074473E">
      <w:pPr>
        <w:pStyle w:val="BlockQuote"/>
        <w:numPr>
          <w:ilvl w:val="0"/>
          <w:numId w:val="26"/>
        </w:numPr>
        <w:spacing w:before="60" w:after="60"/>
        <w:jc w:val="left"/>
        <w:rPr>
          <w:kern w:val="2"/>
          <w:sz w:val="20"/>
          <w:lang w:val="en"/>
        </w:rPr>
      </w:pPr>
      <w:r w:rsidRPr="00DA5EB5">
        <w:rPr>
          <w:kern w:val="2"/>
          <w:sz w:val="20"/>
          <w:lang w:val="en"/>
        </w:rPr>
        <w:t>establish policies, standards and procedures to reduce the likelihood of the organization committing a subsequent offence;</w:t>
      </w:r>
    </w:p>
    <w:p w14:paraId="657211D4" w14:textId="112EFAC5" w:rsidR="00C96050" w:rsidRPr="00DA5EB5" w:rsidRDefault="0061282C" w:rsidP="0074473E">
      <w:pPr>
        <w:pStyle w:val="BlockQuote"/>
        <w:numPr>
          <w:ilvl w:val="0"/>
          <w:numId w:val="26"/>
        </w:numPr>
        <w:spacing w:before="60" w:after="60"/>
        <w:jc w:val="left"/>
        <w:rPr>
          <w:kern w:val="2"/>
          <w:sz w:val="20"/>
          <w:lang w:val="en"/>
        </w:rPr>
      </w:pPr>
      <w:r w:rsidRPr="00DA5EB5">
        <w:rPr>
          <w:kern w:val="2"/>
          <w:sz w:val="20"/>
          <w:lang w:val="en"/>
        </w:rPr>
        <w:t>communicate those policies, standards and pro</w:t>
      </w:r>
      <w:r w:rsidR="00C96050" w:rsidRPr="00DA5EB5">
        <w:rPr>
          <w:kern w:val="2"/>
          <w:sz w:val="20"/>
          <w:lang w:val="en"/>
        </w:rPr>
        <w:t>cedures to its representatives;</w:t>
      </w:r>
    </w:p>
    <w:p w14:paraId="29CAC993" w14:textId="77777777" w:rsidR="00C96050" w:rsidRPr="00DA5EB5" w:rsidRDefault="0061282C" w:rsidP="0074473E">
      <w:pPr>
        <w:pStyle w:val="BlockQuote"/>
        <w:numPr>
          <w:ilvl w:val="0"/>
          <w:numId w:val="26"/>
        </w:numPr>
        <w:spacing w:before="60" w:after="60"/>
        <w:jc w:val="left"/>
        <w:rPr>
          <w:kern w:val="2"/>
          <w:sz w:val="20"/>
          <w:lang w:val="en"/>
        </w:rPr>
      </w:pPr>
      <w:r w:rsidRPr="00DA5EB5">
        <w:rPr>
          <w:kern w:val="2"/>
          <w:sz w:val="20"/>
          <w:lang w:val="en"/>
        </w:rPr>
        <w:t>report to the court on the implementation of those poli</w:t>
      </w:r>
      <w:r w:rsidR="00C96050" w:rsidRPr="00DA5EB5">
        <w:rPr>
          <w:kern w:val="2"/>
          <w:sz w:val="20"/>
          <w:lang w:val="en"/>
        </w:rPr>
        <w:t>cies, standards and procedures;</w:t>
      </w:r>
    </w:p>
    <w:p w14:paraId="5089562A" w14:textId="77777777" w:rsidR="00C96050" w:rsidRPr="00DA5EB5" w:rsidRDefault="0061282C" w:rsidP="0074473E">
      <w:pPr>
        <w:pStyle w:val="BlockQuote"/>
        <w:numPr>
          <w:ilvl w:val="0"/>
          <w:numId w:val="26"/>
        </w:numPr>
        <w:spacing w:before="60" w:after="60"/>
        <w:jc w:val="left"/>
        <w:rPr>
          <w:kern w:val="2"/>
          <w:sz w:val="20"/>
          <w:lang w:val="en"/>
        </w:rPr>
      </w:pPr>
      <w:r w:rsidRPr="00DA5EB5">
        <w:rPr>
          <w:kern w:val="2"/>
          <w:sz w:val="20"/>
          <w:lang w:val="en"/>
        </w:rPr>
        <w:t>identify the senior officer who is responsible for compliance with those poli</w:t>
      </w:r>
      <w:r w:rsidR="00C96050" w:rsidRPr="00DA5EB5">
        <w:rPr>
          <w:kern w:val="2"/>
          <w:sz w:val="20"/>
          <w:lang w:val="en"/>
        </w:rPr>
        <w:t>cies, standards and procedures;</w:t>
      </w:r>
    </w:p>
    <w:p w14:paraId="2A8EC0D8" w14:textId="3FBB5815" w:rsidR="0061282C" w:rsidRPr="00DA5EB5" w:rsidRDefault="0061282C" w:rsidP="0074473E">
      <w:pPr>
        <w:pStyle w:val="BlockQuote"/>
        <w:numPr>
          <w:ilvl w:val="0"/>
          <w:numId w:val="26"/>
        </w:numPr>
        <w:spacing w:before="60" w:after="60"/>
        <w:jc w:val="left"/>
        <w:rPr>
          <w:kern w:val="2"/>
          <w:sz w:val="20"/>
          <w:lang w:val="en"/>
        </w:rPr>
      </w:pPr>
      <w:r w:rsidRPr="00DA5EB5">
        <w:rPr>
          <w:kern w:val="2"/>
          <w:sz w:val="20"/>
          <w:lang w:val="en"/>
        </w:rPr>
        <w:t>provide, in the manner specified by the court, the following information to the public, namely,</w:t>
      </w:r>
    </w:p>
    <w:p w14:paraId="4188E221" w14:textId="1229E6D8" w:rsidR="0061282C" w:rsidRPr="00DA5EB5" w:rsidRDefault="0061282C" w:rsidP="0074473E">
      <w:pPr>
        <w:pStyle w:val="BlockQuote"/>
        <w:numPr>
          <w:ilvl w:val="0"/>
          <w:numId w:val="27"/>
        </w:numPr>
        <w:spacing w:before="60" w:after="60"/>
        <w:jc w:val="left"/>
        <w:rPr>
          <w:kern w:val="2"/>
          <w:sz w:val="20"/>
          <w:lang w:val="en"/>
        </w:rPr>
      </w:pPr>
      <w:r w:rsidRPr="00DA5EB5">
        <w:rPr>
          <w:kern w:val="2"/>
          <w:sz w:val="20"/>
          <w:lang w:val="en"/>
        </w:rPr>
        <w:t>the offence of which the organization was convicted,</w:t>
      </w:r>
    </w:p>
    <w:p w14:paraId="3B57E6A7" w14:textId="543E0C74" w:rsidR="0061282C" w:rsidRPr="00DA5EB5" w:rsidRDefault="0061282C" w:rsidP="0074473E">
      <w:pPr>
        <w:pStyle w:val="BlockQuote"/>
        <w:numPr>
          <w:ilvl w:val="0"/>
          <w:numId w:val="27"/>
        </w:numPr>
        <w:spacing w:before="60" w:after="60"/>
        <w:jc w:val="left"/>
        <w:rPr>
          <w:kern w:val="2"/>
          <w:sz w:val="20"/>
          <w:lang w:val="en"/>
        </w:rPr>
      </w:pPr>
      <w:r w:rsidRPr="00DA5EB5">
        <w:rPr>
          <w:kern w:val="2"/>
          <w:sz w:val="20"/>
          <w:lang w:val="en"/>
        </w:rPr>
        <w:t>the sentence imposed by the court, and</w:t>
      </w:r>
    </w:p>
    <w:p w14:paraId="36386644" w14:textId="7732BFA8" w:rsidR="0061282C" w:rsidRPr="00DA5EB5" w:rsidRDefault="0061282C" w:rsidP="0074473E">
      <w:pPr>
        <w:pStyle w:val="BlockQuote"/>
        <w:numPr>
          <w:ilvl w:val="0"/>
          <w:numId w:val="27"/>
        </w:numPr>
        <w:spacing w:before="60" w:after="60"/>
        <w:jc w:val="left"/>
        <w:rPr>
          <w:kern w:val="2"/>
          <w:sz w:val="20"/>
          <w:lang w:val="en"/>
        </w:rPr>
      </w:pPr>
      <w:r w:rsidRPr="00DA5EB5">
        <w:rPr>
          <w:kern w:val="2"/>
          <w:sz w:val="20"/>
          <w:lang w:val="en"/>
        </w:rPr>
        <w:t>any measures that the organization is taking — including any policies, standards and procedures established under paragraph (</w:t>
      </w:r>
      <w:r w:rsidRPr="00DA5EB5">
        <w:rPr>
          <w:rStyle w:val="Emphasis"/>
          <w:kern w:val="2"/>
          <w:sz w:val="20"/>
          <w:szCs w:val="21"/>
          <w:lang w:val="en"/>
        </w:rPr>
        <w:t>b</w:t>
      </w:r>
      <w:r w:rsidRPr="00DA5EB5">
        <w:rPr>
          <w:kern w:val="2"/>
          <w:sz w:val="20"/>
          <w:lang w:val="en"/>
        </w:rPr>
        <w:t>) — to reduce the likelihood of it committing a subsequent offence; and</w:t>
      </w:r>
    </w:p>
    <w:p w14:paraId="2CB81120" w14:textId="1814CB8D" w:rsidR="0061282C" w:rsidRPr="00DA5EB5" w:rsidRDefault="0061282C" w:rsidP="0074473E">
      <w:pPr>
        <w:pStyle w:val="BlockQuote"/>
        <w:numPr>
          <w:ilvl w:val="0"/>
          <w:numId w:val="26"/>
        </w:numPr>
        <w:spacing w:before="60" w:after="60"/>
        <w:jc w:val="left"/>
        <w:rPr>
          <w:kern w:val="2"/>
          <w:sz w:val="20"/>
          <w:lang w:val="en"/>
        </w:rPr>
      </w:pPr>
      <w:proofErr w:type="gramStart"/>
      <w:r w:rsidRPr="00DA5EB5">
        <w:rPr>
          <w:kern w:val="2"/>
          <w:sz w:val="20"/>
          <w:lang w:val="en"/>
        </w:rPr>
        <w:t>comply</w:t>
      </w:r>
      <w:proofErr w:type="gramEnd"/>
      <w:r w:rsidRPr="00DA5EB5">
        <w:rPr>
          <w:kern w:val="2"/>
          <w:sz w:val="20"/>
          <w:lang w:val="en"/>
        </w:rPr>
        <w:t xml:space="preserve"> with any other reasonable conditions that the court considers desirable to prevent the organization from committing subsequent offences or to remedy the harm caused by the offence.</w:t>
      </w:r>
    </w:p>
    <w:p w14:paraId="2C75CAF9" w14:textId="77777777" w:rsidR="0061282C" w:rsidRPr="00DA5EB5" w:rsidRDefault="0061282C" w:rsidP="00F44BB6">
      <w:pPr>
        <w:pStyle w:val="BlockQuote"/>
        <w:spacing w:before="60" w:after="60"/>
        <w:rPr>
          <w:kern w:val="2"/>
          <w:sz w:val="20"/>
        </w:rPr>
      </w:pPr>
      <w:r w:rsidRPr="00DA5EB5">
        <w:rPr>
          <w:kern w:val="2"/>
          <w:sz w:val="20"/>
          <w:lang w:val="en"/>
        </w:rPr>
        <w:t>(3.2) Before making an order under paragraph (3.1)(</w:t>
      </w:r>
      <w:r w:rsidRPr="00DA5EB5">
        <w:rPr>
          <w:rStyle w:val="Emphasis"/>
          <w:kern w:val="2"/>
          <w:sz w:val="20"/>
          <w:szCs w:val="21"/>
          <w:lang w:val="en"/>
        </w:rPr>
        <w:t>b</w:t>
      </w:r>
      <w:r w:rsidRPr="00DA5EB5">
        <w:rPr>
          <w:kern w:val="2"/>
          <w:sz w:val="20"/>
          <w:lang w:val="en"/>
        </w:rPr>
        <w:t>), a court shall consider whether it would be more appropriate for another regulatory body to supervise the development or implementation of the policies, standards and procedures referred to in that paragraph.</w:t>
      </w:r>
    </w:p>
    <w:p w14:paraId="3DF87DD6" w14:textId="6C9F3FD0" w:rsidR="0061282C" w:rsidRPr="00DA5EB5" w:rsidRDefault="0061282C" w:rsidP="00F44BB6">
      <w:pPr>
        <w:rPr>
          <w:kern w:val="2"/>
          <w:sz w:val="20"/>
        </w:rPr>
      </w:pPr>
      <w:r w:rsidRPr="00DA5EB5">
        <w:rPr>
          <w:kern w:val="2"/>
          <w:sz w:val="20"/>
        </w:rPr>
        <w:t xml:space="preserve">The Canadian </w:t>
      </w:r>
      <w:r w:rsidRPr="00DA5EB5">
        <w:rPr>
          <w:i/>
          <w:kern w:val="2"/>
          <w:sz w:val="20"/>
        </w:rPr>
        <w:t xml:space="preserve">Criminal Code </w:t>
      </w:r>
      <w:r w:rsidRPr="00DA5EB5">
        <w:rPr>
          <w:kern w:val="2"/>
          <w:sz w:val="20"/>
        </w:rPr>
        <w:t xml:space="preserve">does not have a set of detailed sentencing guidelines like those in the US or UK. The </w:t>
      </w:r>
      <w:r w:rsidRPr="00DA5EB5">
        <w:rPr>
          <w:i/>
          <w:kern w:val="2"/>
          <w:sz w:val="20"/>
        </w:rPr>
        <w:t xml:space="preserve">Criminal Code </w:t>
      </w:r>
      <w:r w:rsidRPr="00DA5EB5">
        <w:rPr>
          <w:kern w:val="2"/>
          <w:sz w:val="20"/>
        </w:rPr>
        <w:t>simply sets out the maximum sentence for each offence. For some offences,</w:t>
      </w:r>
      <w:r w:rsidR="004E3083" w:rsidRPr="00DA5EB5">
        <w:rPr>
          <w:kern w:val="2"/>
          <w:sz w:val="20"/>
        </w:rPr>
        <w:t xml:space="preserve"> but not bribery or corruption offences,</w:t>
      </w:r>
      <w:r w:rsidRPr="00DA5EB5">
        <w:rPr>
          <w:kern w:val="2"/>
          <w:sz w:val="20"/>
        </w:rPr>
        <w:t xml:space="preserve"> a mandatory minimum penalty is also prescribed. Starting points and ranges for some offences have been developed by appellate courts slowly over time. A starting point is the level (or quantum) of sentence that generally seems to fit for that type of offence. That starting point sentence can then be adjusted up or down depending on the aggravating and mitigating factors in each case. A range gives a court the low and high end of the quantum of sentence that is normally fit for that type of offence. Starting points and ranges are created through case law and are advisory, not mandatory. A starting point or range sentence is fine-tuned by the judge </w:t>
      </w:r>
      <w:r w:rsidR="004E796F" w:rsidRPr="00DA5EB5">
        <w:rPr>
          <w:kern w:val="2"/>
          <w:sz w:val="20"/>
        </w:rPr>
        <w:t xml:space="preserve">with consideration to </w:t>
      </w:r>
      <w:r w:rsidRPr="00DA5EB5">
        <w:rPr>
          <w:kern w:val="2"/>
          <w:sz w:val="20"/>
        </w:rPr>
        <w:t xml:space="preserve">aggravating and mitigating factors. For corruption offences, courts usually consider large bribes, bribes occurring over a long time and previous related convictions as significant aggravating factors. The courts typically consider a guilty plea as a mitigating factor but no specific percentage reduction for a guilty plea is suggested in Canadian case law. Self-reporting, cooperating with authorities and remorse are also cited as mitigating factors in corruption cases. </w:t>
      </w:r>
    </w:p>
    <w:p w14:paraId="3CDA5061" w14:textId="5467949B" w:rsidR="00D52D2A" w:rsidRPr="00DA5EB5" w:rsidRDefault="0061282C" w:rsidP="007C3517">
      <w:pPr>
        <w:rPr>
          <w:kern w:val="2"/>
          <w:sz w:val="20"/>
        </w:rPr>
      </w:pPr>
      <w:r w:rsidRPr="00DA5EB5">
        <w:rPr>
          <w:kern w:val="2"/>
          <w:sz w:val="20"/>
        </w:rPr>
        <w:t xml:space="preserve">Corruption cases are often resolved by a bargained-for guilty plea. Part of the bargain may involve the prosecutor reducing the number </w:t>
      </w:r>
      <w:r w:rsidR="00531028" w:rsidRPr="00DA5EB5">
        <w:rPr>
          <w:kern w:val="2"/>
          <w:sz w:val="20"/>
        </w:rPr>
        <w:t>or severity of offences char</w:t>
      </w:r>
      <w:r w:rsidRPr="00DA5EB5">
        <w:rPr>
          <w:kern w:val="2"/>
          <w:sz w:val="20"/>
        </w:rPr>
        <w:t>ged. Another part of the bargain will often involve the prosecutor and the defence agreeing on the sentence they will recommend to the judge.</w:t>
      </w:r>
      <w:r w:rsidR="00E87776" w:rsidRPr="00DA5EB5">
        <w:rPr>
          <w:kern w:val="2"/>
          <w:sz w:val="20"/>
        </w:rPr>
        <w:t xml:space="preserve"> </w:t>
      </w:r>
      <w:r w:rsidRPr="00DA5EB5">
        <w:rPr>
          <w:kern w:val="2"/>
          <w:sz w:val="20"/>
        </w:rPr>
        <w:t xml:space="preserve">Canadian case law has consistently held that sentencing judges should following </w:t>
      </w:r>
      <w:r w:rsidR="00B90CC0" w:rsidRPr="00DA5EB5">
        <w:rPr>
          <w:kern w:val="2"/>
          <w:sz w:val="20"/>
        </w:rPr>
        <w:t>a</w:t>
      </w:r>
      <w:r w:rsidRPr="00DA5EB5">
        <w:rPr>
          <w:kern w:val="2"/>
          <w:sz w:val="20"/>
        </w:rPr>
        <w:t xml:space="preserve"> joint sentencing submission unless the submission is clearly and demonstrably unfit in regard to all of the circumstances, including the importance of having the case resolved by a negotiated guilty plea. If the judge is leaning toward rejecting the joint submission, the judge must give the Crown and defence an opportunity to further explain why the joint sentencing proposal is appropriate, or at least not demonstrably unfit.</w:t>
      </w:r>
    </w:p>
    <w:p w14:paraId="4453D071" w14:textId="1F05CEC6" w:rsidR="00E534EE" w:rsidRPr="00DA5EB5" w:rsidRDefault="0061282C" w:rsidP="007C3517">
      <w:pPr>
        <w:pStyle w:val="Heading2"/>
        <w:rPr>
          <w:kern w:val="2"/>
          <w:sz w:val="24"/>
        </w:rPr>
      </w:pPr>
      <w:r w:rsidRPr="00DA5EB5">
        <w:rPr>
          <w:kern w:val="2"/>
          <w:sz w:val="24"/>
        </w:rPr>
        <w:t>Sentencing Cases for Domestic Corruption and Bribery</w:t>
      </w:r>
    </w:p>
    <w:p w14:paraId="6FBEE1F3" w14:textId="173F2329" w:rsidR="0061282C" w:rsidRPr="00DA5EB5" w:rsidRDefault="0061282C" w:rsidP="007C3517">
      <w:pPr>
        <w:rPr>
          <w:kern w:val="2"/>
          <w:sz w:val="20"/>
        </w:rPr>
      </w:pPr>
      <w:r w:rsidRPr="00DA5EB5">
        <w:rPr>
          <w:kern w:val="2"/>
          <w:sz w:val="20"/>
        </w:rPr>
        <w:t xml:space="preserve">Bribery of judges, politicians and police officers is treated as the most serious type of bribery offence in Canada and is punishable by a maximum of 14 years imprisonment. As stated by Justice Fish, then of the Quebec Court of Appeal, </w:t>
      </w:r>
      <w:r w:rsidR="00FD6DAC" w:rsidRPr="00DA5EB5">
        <w:rPr>
          <w:kern w:val="2"/>
          <w:sz w:val="20"/>
        </w:rPr>
        <w:t>“</w:t>
      </w:r>
      <w:r w:rsidRPr="00DA5EB5">
        <w:rPr>
          <w:kern w:val="2"/>
          <w:sz w:val="20"/>
        </w:rPr>
        <w:t>[a]</w:t>
      </w:r>
      <w:proofErr w:type="spellStart"/>
      <w:r w:rsidRPr="00DA5EB5">
        <w:rPr>
          <w:kern w:val="2"/>
          <w:sz w:val="20"/>
        </w:rPr>
        <w:t>ny</w:t>
      </w:r>
      <w:proofErr w:type="spellEnd"/>
      <w:r w:rsidRPr="00DA5EB5">
        <w:rPr>
          <w:kern w:val="2"/>
          <w:sz w:val="20"/>
        </w:rPr>
        <w:t xml:space="preserve"> attempt to corrupt a police officer amounts to an attack on the integrity of an important social institution. Where the purpose of the bribe is to pervert the course of justice, especially in relation to a serious crime, the offenders must be severely punished.</w:t>
      </w:r>
      <w:r w:rsidR="00FD6DAC" w:rsidRPr="00DA5EB5">
        <w:rPr>
          <w:kern w:val="2"/>
          <w:sz w:val="20"/>
        </w:rPr>
        <w:t>”</w:t>
      </w:r>
      <w:r w:rsidRPr="00DA5EB5">
        <w:rPr>
          <w:rStyle w:val="FootnoteReference"/>
          <w:kern w:val="2"/>
        </w:rPr>
        <w:footnoteReference w:id="101"/>
      </w:r>
      <w:r w:rsidRPr="00DA5EB5">
        <w:rPr>
          <w:kern w:val="2"/>
          <w:sz w:val="20"/>
        </w:rPr>
        <w:t xml:space="preserve"> In </w:t>
      </w:r>
      <w:r w:rsidRPr="00DA5EB5">
        <w:rPr>
          <w:i/>
          <w:kern w:val="2"/>
          <w:sz w:val="20"/>
        </w:rPr>
        <w:t xml:space="preserve">R v </w:t>
      </w:r>
      <w:proofErr w:type="spellStart"/>
      <w:r w:rsidRPr="00DA5EB5">
        <w:rPr>
          <w:i/>
          <w:kern w:val="2"/>
          <w:sz w:val="20"/>
        </w:rPr>
        <w:t>Kozitsyn</w:t>
      </w:r>
      <w:proofErr w:type="spellEnd"/>
      <w:r w:rsidRPr="00DA5EB5">
        <w:rPr>
          <w:i/>
          <w:kern w:val="2"/>
          <w:sz w:val="20"/>
        </w:rPr>
        <w:t>,</w:t>
      </w:r>
      <w:r w:rsidRPr="00DA5EB5">
        <w:rPr>
          <w:rStyle w:val="FootnoteReference"/>
          <w:kern w:val="2"/>
        </w:rPr>
        <w:footnoteReference w:id="102"/>
      </w:r>
      <w:r w:rsidRPr="00DA5EB5">
        <w:rPr>
          <w:kern w:val="2"/>
          <w:sz w:val="20"/>
        </w:rPr>
        <w:t xml:space="preserve"> the offender was sentenced to five months imprisonment and two years of probation for offering a bribe to a police officer. </w:t>
      </w:r>
      <w:proofErr w:type="spellStart"/>
      <w:r w:rsidRPr="00DA5EB5">
        <w:rPr>
          <w:kern w:val="2"/>
          <w:sz w:val="20"/>
        </w:rPr>
        <w:t>Kozitsyn</w:t>
      </w:r>
      <w:proofErr w:type="spellEnd"/>
      <w:r w:rsidRPr="00DA5EB5">
        <w:rPr>
          <w:kern w:val="2"/>
          <w:sz w:val="20"/>
        </w:rPr>
        <w:t xml:space="preserve"> had approached a police officer and proposed that if a massage parlor she was going to purchase was not issued tickets, she would make donations to a charity chosen by the officer. In a second meeting, which was taped, </w:t>
      </w:r>
      <w:proofErr w:type="spellStart"/>
      <w:r w:rsidRPr="00DA5EB5">
        <w:rPr>
          <w:kern w:val="2"/>
          <w:sz w:val="20"/>
        </w:rPr>
        <w:t>Kozitsyn</w:t>
      </w:r>
      <w:proofErr w:type="spellEnd"/>
      <w:r w:rsidRPr="00DA5EB5">
        <w:rPr>
          <w:kern w:val="2"/>
          <w:sz w:val="20"/>
        </w:rPr>
        <w:t xml:space="preserve"> repeated the offer of an unspecified amount of money derived from a percent of revenues, without reference to donations made to charity. In sentencing </w:t>
      </w:r>
      <w:proofErr w:type="spellStart"/>
      <w:r w:rsidRPr="00DA5EB5">
        <w:rPr>
          <w:kern w:val="2"/>
          <w:sz w:val="20"/>
        </w:rPr>
        <w:t>Kozitsyn</w:t>
      </w:r>
      <w:proofErr w:type="spellEnd"/>
      <w:r w:rsidRPr="00DA5EB5">
        <w:rPr>
          <w:kern w:val="2"/>
          <w:sz w:val="20"/>
        </w:rPr>
        <w:t>, Justice Bourque noted that the amount offered would not have been insignificant</w:t>
      </w:r>
      <w:r w:rsidR="007E4B7E" w:rsidRPr="00DA5EB5">
        <w:rPr>
          <w:kern w:val="2"/>
          <w:sz w:val="20"/>
        </w:rPr>
        <w:t>,</w:t>
      </w:r>
      <w:r w:rsidRPr="00DA5EB5">
        <w:rPr>
          <w:kern w:val="2"/>
          <w:sz w:val="20"/>
        </w:rPr>
        <w:t xml:space="preserve"> would have been paid over an extended period of time and could have led to further crimes and acts of corruption. Mitigating the sentence was </w:t>
      </w:r>
      <w:proofErr w:type="spellStart"/>
      <w:r w:rsidR="00467920" w:rsidRPr="00DA5EB5">
        <w:rPr>
          <w:kern w:val="2"/>
          <w:sz w:val="20"/>
        </w:rPr>
        <w:t>Kozitsyn’s</w:t>
      </w:r>
      <w:proofErr w:type="spellEnd"/>
      <w:r w:rsidR="00467920" w:rsidRPr="00DA5EB5">
        <w:rPr>
          <w:kern w:val="2"/>
          <w:sz w:val="20"/>
        </w:rPr>
        <w:t xml:space="preserve"> </w:t>
      </w:r>
      <w:r w:rsidRPr="00DA5EB5">
        <w:rPr>
          <w:kern w:val="2"/>
          <w:sz w:val="20"/>
        </w:rPr>
        <w:t>lack of a criminal record and some contrition. Justice Bourque also noted that the offender was from Russia</w:t>
      </w:r>
      <w:r w:rsidR="00E4463B" w:rsidRPr="00DA5EB5">
        <w:rPr>
          <w:kern w:val="2"/>
          <w:sz w:val="20"/>
        </w:rPr>
        <w:t xml:space="preserve">, stating </w:t>
      </w:r>
      <w:r w:rsidRPr="00DA5EB5">
        <w:rPr>
          <w:kern w:val="2"/>
          <w:sz w:val="20"/>
        </w:rPr>
        <w:t xml:space="preserve">that </w:t>
      </w:r>
      <w:r w:rsidR="00FD6DAC" w:rsidRPr="00DA5EB5">
        <w:rPr>
          <w:kern w:val="2"/>
          <w:sz w:val="20"/>
        </w:rPr>
        <w:t>“</w:t>
      </w:r>
      <w:r w:rsidRPr="00DA5EB5">
        <w:rPr>
          <w:color w:val="000000"/>
          <w:kern w:val="2"/>
          <w:sz w:val="20"/>
        </w:rPr>
        <w:t xml:space="preserve">there are many cultural issues as to why Ms. </w:t>
      </w:r>
      <w:proofErr w:type="spellStart"/>
      <w:r w:rsidRPr="00DA5EB5">
        <w:rPr>
          <w:color w:val="000000"/>
          <w:kern w:val="2"/>
          <w:sz w:val="20"/>
        </w:rPr>
        <w:t>Kozitsyn</w:t>
      </w:r>
      <w:proofErr w:type="spellEnd"/>
      <w:r w:rsidRPr="00DA5EB5">
        <w:rPr>
          <w:color w:val="000000"/>
          <w:kern w:val="2"/>
          <w:sz w:val="20"/>
        </w:rPr>
        <w:t xml:space="preserve"> may have had some difficulty in coming to grips with the seriousness of the matter. I accept that she was born into and raised in a country which historically has problems with</w:t>
      </w:r>
      <w:r w:rsidRPr="00DA5EB5">
        <w:rPr>
          <w:kern w:val="2"/>
          <w:sz w:val="20"/>
        </w:rPr>
        <w:t xml:space="preserve"> </w:t>
      </w:r>
      <w:r w:rsidRPr="00DA5EB5">
        <w:rPr>
          <w:bCs/>
          <w:kern w:val="2"/>
          <w:sz w:val="20"/>
        </w:rPr>
        <w:t>corruption</w:t>
      </w:r>
      <w:r w:rsidRPr="00DA5EB5">
        <w:rPr>
          <w:b/>
          <w:bCs/>
          <w:kern w:val="2"/>
          <w:sz w:val="20"/>
        </w:rPr>
        <w:t xml:space="preserve"> </w:t>
      </w:r>
      <w:r w:rsidRPr="00DA5EB5">
        <w:rPr>
          <w:color w:val="000000"/>
          <w:kern w:val="2"/>
          <w:sz w:val="20"/>
        </w:rPr>
        <w:t>at all levels of its society.</w:t>
      </w:r>
      <w:r w:rsidR="00FD6DAC" w:rsidRPr="00DA5EB5">
        <w:rPr>
          <w:color w:val="000000"/>
          <w:kern w:val="2"/>
          <w:sz w:val="20"/>
        </w:rPr>
        <w:t>”</w:t>
      </w:r>
      <w:r w:rsidRPr="00DA5EB5">
        <w:rPr>
          <w:rStyle w:val="FootnoteReference"/>
          <w:color w:val="000000"/>
          <w:kern w:val="2"/>
        </w:rPr>
        <w:footnoteReference w:id="103"/>
      </w:r>
      <w:r w:rsidRPr="00DA5EB5">
        <w:rPr>
          <w:color w:val="000000"/>
          <w:kern w:val="2"/>
          <w:sz w:val="20"/>
        </w:rPr>
        <w:t xml:space="preserve"> Justice Bourque reviewed the following authorities on sentencing:</w:t>
      </w:r>
    </w:p>
    <w:p w14:paraId="08EF1A08" w14:textId="0DE7D7BD" w:rsidR="0061282C" w:rsidRPr="00DA5EB5" w:rsidRDefault="0061282C" w:rsidP="008F288C">
      <w:pPr>
        <w:pStyle w:val="BlockQuote"/>
        <w:numPr>
          <w:ilvl w:val="0"/>
          <w:numId w:val="98"/>
        </w:numPr>
        <w:jc w:val="left"/>
        <w:rPr>
          <w:kern w:val="2"/>
          <w:sz w:val="20"/>
        </w:rPr>
      </w:pPr>
      <w:r w:rsidRPr="00DA5EB5">
        <w:rPr>
          <w:kern w:val="2"/>
          <w:sz w:val="20"/>
        </w:rPr>
        <w:t>All of the cases that I've looked at strongly suggest that the bribery or attempted bribery of a person who is in position to directly affect the administration of justice, is an extremely serious matter and general deterrence is an important factor. Where there is not a joint submission, sentences have ranged anywhere from 90 days to 24 months in prison.</w:t>
      </w:r>
    </w:p>
    <w:p w14:paraId="57C65BAD" w14:textId="18D19F73" w:rsidR="0061282C" w:rsidRPr="00DA5EB5" w:rsidRDefault="0061282C" w:rsidP="008F288C">
      <w:pPr>
        <w:pStyle w:val="BlockQuote"/>
        <w:numPr>
          <w:ilvl w:val="0"/>
          <w:numId w:val="98"/>
        </w:numPr>
        <w:jc w:val="left"/>
        <w:rPr>
          <w:kern w:val="2"/>
          <w:sz w:val="20"/>
        </w:rPr>
      </w:pPr>
      <w:r w:rsidRPr="00DA5EB5">
        <w:rPr>
          <w:kern w:val="2"/>
          <w:sz w:val="20"/>
        </w:rPr>
        <w:t xml:space="preserve">In </w:t>
      </w:r>
      <w:r w:rsidRPr="00DA5EB5">
        <w:rPr>
          <w:rStyle w:val="underline1"/>
          <w:i/>
          <w:kern w:val="2"/>
          <w:sz w:val="20"/>
          <w:szCs w:val="21"/>
          <w:u w:val="none"/>
        </w:rPr>
        <w:t>R. v. Dennis</w:t>
      </w:r>
      <w:r w:rsidRPr="00DA5EB5">
        <w:rPr>
          <w:kern w:val="2"/>
          <w:sz w:val="20"/>
        </w:rPr>
        <w:t xml:space="preserve"> </w:t>
      </w:r>
      <w:hyperlink r:id="rId31" w:tgtFrame="_parent" w:history="1">
        <w:r w:rsidRPr="00DA5EB5">
          <w:rPr>
            <w:rStyle w:val="Hyperlink"/>
            <w:rFonts w:eastAsiaTheme="majorEastAsia"/>
            <w:color w:val="auto"/>
            <w:kern w:val="2"/>
            <w:sz w:val="20"/>
            <w:szCs w:val="21"/>
            <w:u w:val="none"/>
          </w:rPr>
          <w:t>[2001] O.J. No. 1983</w:t>
        </w:r>
      </w:hyperlink>
      <w:r w:rsidRPr="00DA5EB5">
        <w:rPr>
          <w:kern w:val="2"/>
          <w:sz w:val="20"/>
        </w:rPr>
        <w:t xml:space="preserve">, the Superior Court judge refused to accept a joint submission for a conditional sentence [a sentence of imprisonment served at home] for a clerk in the Crown Attorney's office who accepted a bribe to remove some documents from a file. The trial judge sentenced her to 12 months in custody. The Court of Appeal at </w:t>
      </w:r>
      <w:hyperlink r:id="rId32" w:tgtFrame="_parent" w:history="1">
        <w:r w:rsidRPr="00DA5EB5">
          <w:rPr>
            <w:rStyle w:val="Hyperlink"/>
            <w:rFonts w:eastAsiaTheme="majorEastAsia"/>
            <w:color w:val="auto"/>
            <w:kern w:val="2"/>
            <w:sz w:val="20"/>
            <w:szCs w:val="21"/>
            <w:u w:val="none"/>
          </w:rPr>
          <w:t>[2002] O.J. No. 237</w:t>
        </w:r>
      </w:hyperlink>
      <w:r w:rsidRPr="00DA5EB5">
        <w:rPr>
          <w:kern w:val="2"/>
          <w:sz w:val="20"/>
        </w:rPr>
        <w:t>, found that the trial judge had not given sufficient reasons for departing from the joint submission and set aside the custodial sentence and imposed the conditional one which was initially the subject of the joint submission.</w:t>
      </w:r>
    </w:p>
    <w:p w14:paraId="6FB7F395" w14:textId="0C195E3D" w:rsidR="0061282C" w:rsidRPr="00DA5EB5" w:rsidRDefault="0061282C" w:rsidP="008F288C">
      <w:pPr>
        <w:pStyle w:val="BlockQuote"/>
        <w:numPr>
          <w:ilvl w:val="0"/>
          <w:numId w:val="98"/>
        </w:numPr>
        <w:jc w:val="left"/>
        <w:rPr>
          <w:kern w:val="2"/>
          <w:sz w:val="20"/>
        </w:rPr>
      </w:pPr>
      <w:r w:rsidRPr="00DA5EB5">
        <w:rPr>
          <w:kern w:val="2"/>
          <w:sz w:val="20"/>
        </w:rPr>
        <w:t xml:space="preserve">In </w:t>
      </w:r>
      <w:r w:rsidRPr="00DA5EB5">
        <w:rPr>
          <w:rStyle w:val="underline1"/>
          <w:i/>
          <w:kern w:val="2"/>
          <w:sz w:val="20"/>
          <w:szCs w:val="21"/>
          <w:u w:val="none"/>
        </w:rPr>
        <w:t>R. v. Dennis</w:t>
      </w:r>
      <w:r w:rsidRPr="00DA5EB5">
        <w:rPr>
          <w:kern w:val="2"/>
          <w:sz w:val="20"/>
        </w:rPr>
        <w:t>, at last [</w:t>
      </w:r>
      <w:r w:rsidRPr="00DA5EB5">
        <w:rPr>
          <w:i/>
          <w:kern w:val="2"/>
          <w:sz w:val="20"/>
        </w:rPr>
        <w:t>sic</w:t>
      </w:r>
      <w:r w:rsidRPr="00DA5EB5">
        <w:rPr>
          <w:kern w:val="2"/>
          <w:sz w:val="20"/>
        </w:rPr>
        <w:t>] at the Superior Court level, the court refers to authorities from the Courts of Appeal in Alberta and Quebec. I realize that they are not binding upon me, however the[y] do give me some instruction. The longer sentence[s] of imprisonment in those cases involved factual situations where there is a background of organized crime and the actual bribery itself is a mere tip of the iceberg. Sentences range in those cases from six to 12 months.</w:t>
      </w:r>
    </w:p>
    <w:p w14:paraId="7F087F01" w14:textId="2035F061" w:rsidR="0061282C" w:rsidRPr="00DA5EB5" w:rsidRDefault="0061282C" w:rsidP="008F288C">
      <w:pPr>
        <w:pStyle w:val="BlockQuote"/>
        <w:numPr>
          <w:ilvl w:val="0"/>
          <w:numId w:val="98"/>
        </w:numPr>
        <w:jc w:val="left"/>
        <w:rPr>
          <w:rStyle w:val="bold1"/>
          <w:bCs w:val="0"/>
          <w:i/>
          <w:kern w:val="2"/>
          <w:sz w:val="20"/>
          <w:szCs w:val="21"/>
        </w:rPr>
      </w:pPr>
      <w:r w:rsidRPr="00DA5EB5">
        <w:rPr>
          <w:kern w:val="2"/>
          <w:sz w:val="20"/>
        </w:rPr>
        <w:t xml:space="preserve">In </w:t>
      </w:r>
      <w:r w:rsidRPr="00DA5EB5">
        <w:rPr>
          <w:rStyle w:val="underline1"/>
          <w:i/>
          <w:kern w:val="2"/>
          <w:sz w:val="20"/>
          <w:szCs w:val="21"/>
          <w:u w:val="none"/>
        </w:rPr>
        <w:t xml:space="preserve">R. v. </w:t>
      </w:r>
      <w:proofErr w:type="spellStart"/>
      <w:r w:rsidRPr="00DA5EB5">
        <w:rPr>
          <w:rStyle w:val="underline1"/>
          <w:i/>
          <w:kern w:val="2"/>
          <w:sz w:val="20"/>
          <w:szCs w:val="21"/>
          <w:u w:val="none"/>
        </w:rPr>
        <w:t>Shaegal</w:t>
      </w:r>
      <w:proofErr w:type="spellEnd"/>
      <w:r w:rsidRPr="00DA5EB5">
        <w:rPr>
          <w:kern w:val="2"/>
          <w:sz w:val="20"/>
        </w:rPr>
        <w:t xml:space="preserve"> </w:t>
      </w:r>
      <w:hyperlink r:id="rId33" w:tgtFrame="_parent" w:history="1">
        <w:r w:rsidRPr="00DA5EB5">
          <w:rPr>
            <w:rStyle w:val="Hyperlink"/>
            <w:rFonts w:eastAsiaTheme="majorEastAsia"/>
            <w:color w:val="auto"/>
            <w:kern w:val="2"/>
            <w:sz w:val="20"/>
            <w:szCs w:val="21"/>
            <w:u w:val="none"/>
          </w:rPr>
          <w:t>[1984] O.J. No. 971</w:t>
        </w:r>
      </w:hyperlink>
      <w:r w:rsidRPr="00DA5EB5">
        <w:rPr>
          <w:kern w:val="2"/>
          <w:sz w:val="20"/>
        </w:rPr>
        <w:t>, a decision of the Ontario Court of Appeal. The court imposed a sentence of 90 days on a man who contacted a police officer and attempted to bribe him to drop a shoplifting charge against him. The defendant in that case had no criminal record and was a teacher. It was clear that the affect [</w:t>
      </w:r>
      <w:r w:rsidRPr="00DA5EB5">
        <w:rPr>
          <w:i/>
          <w:kern w:val="2"/>
          <w:sz w:val="20"/>
        </w:rPr>
        <w:t>sic</w:t>
      </w:r>
      <w:r w:rsidRPr="00DA5EB5">
        <w:rPr>
          <w:kern w:val="2"/>
          <w:sz w:val="20"/>
        </w:rPr>
        <w:t>] on that defendant of the sentence would have been devastating to his career.</w:t>
      </w:r>
      <w:r w:rsidR="00A27545" w:rsidRPr="00DA5EB5">
        <w:rPr>
          <w:rStyle w:val="FootnoteReference"/>
          <w:kern w:val="2"/>
          <w:szCs w:val="21"/>
        </w:rPr>
        <w:footnoteReference w:id="104"/>
      </w:r>
    </w:p>
    <w:p w14:paraId="27B9C8E4" w14:textId="247F20C8" w:rsidR="0061282C" w:rsidRPr="00DA5EB5" w:rsidRDefault="0061282C" w:rsidP="007C3517">
      <w:pPr>
        <w:spacing w:after="0"/>
        <w:rPr>
          <w:kern w:val="2"/>
          <w:sz w:val="20"/>
        </w:rPr>
      </w:pPr>
      <w:r w:rsidRPr="00DA5EB5">
        <w:rPr>
          <w:kern w:val="2"/>
          <w:sz w:val="20"/>
        </w:rPr>
        <w:t xml:space="preserve">While the offering of a bribe to a public official is considered a serious offence, when a public official accepts or solicits a bribe, the breach of trust is highly aggravating. In </w:t>
      </w:r>
      <w:r w:rsidRPr="00DA5EB5">
        <w:rPr>
          <w:i/>
          <w:kern w:val="2"/>
          <w:sz w:val="20"/>
        </w:rPr>
        <w:t>R v David</w:t>
      </w:r>
      <w:r w:rsidRPr="00DA5EB5">
        <w:rPr>
          <w:kern w:val="2"/>
          <w:sz w:val="20"/>
        </w:rPr>
        <w:t>,</w:t>
      </w:r>
      <w:r w:rsidRPr="00DA5EB5">
        <w:rPr>
          <w:rStyle w:val="FootnoteReference"/>
          <w:kern w:val="2"/>
          <w:sz w:val="18"/>
        </w:rPr>
        <w:footnoteReference w:id="105"/>
      </w:r>
      <w:r w:rsidRPr="00DA5EB5">
        <w:rPr>
          <w:i/>
          <w:kern w:val="2"/>
          <w:sz w:val="20"/>
        </w:rPr>
        <w:t xml:space="preserve"> </w:t>
      </w:r>
      <w:r w:rsidRPr="00DA5EB5">
        <w:rPr>
          <w:kern w:val="2"/>
          <w:sz w:val="20"/>
        </w:rPr>
        <w:t xml:space="preserve">Justice Duncan sentenced the offender, a deputy sheriff, to </w:t>
      </w:r>
      <w:r w:rsidR="00957832" w:rsidRPr="00DA5EB5">
        <w:rPr>
          <w:kern w:val="2"/>
          <w:sz w:val="20"/>
        </w:rPr>
        <w:t>four</w:t>
      </w:r>
      <w:r w:rsidRPr="00DA5EB5">
        <w:rPr>
          <w:kern w:val="2"/>
          <w:sz w:val="20"/>
        </w:rPr>
        <w:t xml:space="preserve"> years in a penitentiary under s</w:t>
      </w:r>
      <w:r w:rsidR="00957832" w:rsidRPr="00DA5EB5">
        <w:rPr>
          <w:kern w:val="2"/>
          <w:sz w:val="20"/>
        </w:rPr>
        <w:t>ection</w:t>
      </w:r>
      <w:r w:rsidRPr="00DA5EB5">
        <w:rPr>
          <w:kern w:val="2"/>
          <w:sz w:val="20"/>
        </w:rPr>
        <w:t xml:space="preserve"> 120(a</w:t>
      </w:r>
      <w:proofErr w:type="gramStart"/>
      <w:r w:rsidRPr="00DA5EB5">
        <w:rPr>
          <w:kern w:val="2"/>
          <w:sz w:val="20"/>
        </w:rPr>
        <w:t>)(</w:t>
      </w:r>
      <w:proofErr w:type="spellStart"/>
      <w:proofErr w:type="gramEnd"/>
      <w:r w:rsidRPr="00DA5EB5">
        <w:rPr>
          <w:kern w:val="2"/>
          <w:sz w:val="20"/>
        </w:rPr>
        <w:t>i</w:t>
      </w:r>
      <w:proofErr w:type="spellEnd"/>
      <w:r w:rsidRPr="00DA5EB5">
        <w:rPr>
          <w:kern w:val="2"/>
          <w:sz w:val="20"/>
        </w:rPr>
        <w:t xml:space="preserve">) of the </w:t>
      </w:r>
      <w:r w:rsidRPr="00DA5EB5">
        <w:rPr>
          <w:i/>
          <w:kern w:val="2"/>
          <w:sz w:val="20"/>
        </w:rPr>
        <w:t>Criminal Code</w:t>
      </w:r>
      <w:r w:rsidRPr="00DA5EB5">
        <w:rPr>
          <w:kern w:val="2"/>
          <w:sz w:val="20"/>
        </w:rPr>
        <w:t xml:space="preserve">. This sentence ran concurrently to various other sentences, the longest being </w:t>
      </w:r>
      <w:r w:rsidR="00957832" w:rsidRPr="00DA5EB5">
        <w:rPr>
          <w:kern w:val="2"/>
          <w:sz w:val="20"/>
        </w:rPr>
        <w:t>four</w:t>
      </w:r>
      <w:r w:rsidRPr="00DA5EB5">
        <w:rPr>
          <w:kern w:val="2"/>
          <w:sz w:val="20"/>
        </w:rPr>
        <w:t xml:space="preserve"> years and </w:t>
      </w:r>
      <w:r w:rsidR="00957832" w:rsidRPr="00DA5EB5">
        <w:rPr>
          <w:kern w:val="2"/>
          <w:sz w:val="20"/>
        </w:rPr>
        <w:t>nine</w:t>
      </w:r>
      <w:r w:rsidRPr="00DA5EB5">
        <w:rPr>
          <w:kern w:val="2"/>
          <w:sz w:val="20"/>
        </w:rPr>
        <w:t xml:space="preserve"> months for possession of Schedule I </w:t>
      </w:r>
      <w:r w:rsidR="00957832" w:rsidRPr="00DA5EB5">
        <w:rPr>
          <w:kern w:val="2"/>
          <w:sz w:val="20"/>
        </w:rPr>
        <w:t xml:space="preserve">drugs </w:t>
      </w:r>
      <w:r w:rsidRPr="00DA5EB5">
        <w:rPr>
          <w:kern w:val="2"/>
          <w:sz w:val="20"/>
        </w:rPr>
        <w:t>for the purposes of trafficking. David pled guilty to nine offences of possession of controlled substances for the purpose of trafficking and one count of bribery of an officer. Justice Duncan considered it aggravating that David was in a position of trust as a correctional officer and</w:t>
      </w:r>
      <w:r w:rsidRPr="00DA5EB5">
        <w:rPr>
          <w:kern w:val="2"/>
        </w:rPr>
        <w:t xml:space="preserve"> </w:t>
      </w:r>
      <w:r w:rsidRPr="00DA5EB5">
        <w:rPr>
          <w:kern w:val="2"/>
          <w:sz w:val="20"/>
        </w:rPr>
        <w:t>breached this trust by taking advantage of his reduced screening at the prison.</w:t>
      </w:r>
      <w:r w:rsidRPr="00DA5EB5">
        <w:rPr>
          <w:rStyle w:val="FootnoteReference"/>
          <w:kern w:val="2"/>
        </w:rPr>
        <w:footnoteReference w:id="106"/>
      </w:r>
    </w:p>
    <w:p w14:paraId="020F0AB6" w14:textId="38A5F0ED" w:rsidR="0061282C" w:rsidRPr="00DA5EB5" w:rsidRDefault="0061282C" w:rsidP="007C3517">
      <w:pPr>
        <w:spacing w:after="0"/>
        <w:rPr>
          <w:kern w:val="2"/>
          <w:sz w:val="20"/>
        </w:rPr>
      </w:pPr>
      <w:r w:rsidRPr="00DA5EB5">
        <w:rPr>
          <w:kern w:val="2"/>
          <w:sz w:val="20"/>
        </w:rPr>
        <w:t xml:space="preserve">In </w:t>
      </w:r>
      <w:r w:rsidRPr="00DA5EB5">
        <w:rPr>
          <w:i/>
          <w:kern w:val="2"/>
          <w:sz w:val="20"/>
        </w:rPr>
        <w:t xml:space="preserve">R v </w:t>
      </w:r>
      <w:proofErr w:type="spellStart"/>
      <w:r w:rsidRPr="00DA5EB5">
        <w:rPr>
          <w:i/>
          <w:kern w:val="2"/>
          <w:sz w:val="20"/>
        </w:rPr>
        <w:t>Ticne</w:t>
      </w:r>
      <w:proofErr w:type="spellEnd"/>
      <w:r w:rsidRPr="00DA5EB5">
        <w:rPr>
          <w:kern w:val="2"/>
          <w:sz w:val="20"/>
        </w:rPr>
        <w:t>,</w:t>
      </w:r>
      <w:r w:rsidRPr="00DA5EB5">
        <w:rPr>
          <w:rStyle w:val="FootnoteReference"/>
          <w:kern w:val="2"/>
        </w:rPr>
        <w:footnoteReference w:id="107"/>
      </w:r>
      <w:r w:rsidRPr="00DA5EB5">
        <w:rPr>
          <w:kern w:val="2"/>
          <w:sz w:val="20"/>
        </w:rPr>
        <w:t xml:space="preserve"> a correctional officer was sentenced to 39 months in prison for bribery under s</w:t>
      </w:r>
      <w:r w:rsidR="00A611EC" w:rsidRPr="00DA5EB5">
        <w:rPr>
          <w:kern w:val="2"/>
          <w:sz w:val="20"/>
        </w:rPr>
        <w:t>ection</w:t>
      </w:r>
      <w:r w:rsidRPr="00DA5EB5">
        <w:rPr>
          <w:kern w:val="2"/>
          <w:sz w:val="20"/>
        </w:rPr>
        <w:t xml:space="preserve"> 120(a)</w:t>
      </w:r>
      <w:r w:rsidR="00A611EC" w:rsidRPr="00DA5EB5">
        <w:rPr>
          <w:kern w:val="2"/>
          <w:sz w:val="20"/>
        </w:rPr>
        <w:t xml:space="preserve"> of the </w:t>
      </w:r>
      <w:r w:rsidR="00A611EC" w:rsidRPr="00DA5EB5">
        <w:rPr>
          <w:i/>
          <w:kern w:val="2"/>
          <w:sz w:val="20"/>
        </w:rPr>
        <w:t xml:space="preserve">Criminal Code. </w:t>
      </w:r>
      <w:r w:rsidR="00A611EC" w:rsidRPr="00DA5EB5">
        <w:rPr>
          <w:kern w:val="2"/>
          <w:sz w:val="20"/>
        </w:rPr>
        <w:t>T</w:t>
      </w:r>
      <w:r w:rsidRPr="00DA5EB5">
        <w:rPr>
          <w:kern w:val="2"/>
          <w:sz w:val="20"/>
        </w:rPr>
        <w:t>hat sentence was concurrent to a 39</w:t>
      </w:r>
      <w:r w:rsidR="00A611EC" w:rsidRPr="00DA5EB5">
        <w:rPr>
          <w:kern w:val="2"/>
          <w:sz w:val="20"/>
        </w:rPr>
        <w:t>-</w:t>
      </w:r>
      <w:r w:rsidRPr="00DA5EB5">
        <w:rPr>
          <w:kern w:val="2"/>
          <w:sz w:val="20"/>
        </w:rPr>
        <w:t>month sentence for obstruction of justice under section 139(2)</w:t>
      </w:r>
      <w:r w:rsidR="00A611EC" w:rsidRPr="00DA5EB5">
        <w:rPr>
          <w:kern w:val="2"/>
          <w:sz w:val="20"/>
        </w:rPr>
        <w:t xml:space="preserve"> of the </w:t>
      </w:r>
      <w:r w:rsidR="00A611EC" w:rsidRPr="00DA5EB5">
        <w:rPr>
          <w:i/>
          <w:kern w:val="2"/>
          <w:sz w:val="20"/>
        </w:rPr>
        <w:t>Criminal Code</w:t>
      </w:r>
      <w:r w:rsidRPr="00DA5EB5">
        <w:rPr>
          <w:kern w:val="2"/>
          <w:sz w:val="20"/>
        </w:rPr>
        <w:t>. The offender assisted an inmate</w:t>
      </w:r>
      <w:r w:rsidR="0045269D" w:rsidRPr="00DA5EB5">
        <w:rPr>
          <w:kern w:val="2"/>
          <w:sz w:val="20"/>
        </w:rPr>
        <w:t>’s</w:t>
      </w:r>
      <w:r w:rsidRPr="00DA5EB5">
        <w:rPr>
          <w:kern w:val="2"/>
          <w:sz w:val="20"/>
        </w:rPr>
        <w:t xml:space="preserve"> escape based on </w:t>
      </w:r>
      <w:r w:rsidR="0045269D" w:rsidRPr="00DA5EB5">
        <w:rPr>
          <w:kern w:val="2"/>
          <w:sz w:val="20"/>
        </w:rPr>
        <w:t>the inmate’s</w:t>
      </w:r>
      <w:r w:rsidRPr="00DA5EB5">
        <w:rPr>
          <w:kern w:val="2"/>
          <w:sz w:val="20"/>
        </w:rPr>
        <w:t xml:space="preserve"> p</w:t>
      </w:r>
      <w:r w:rsidR="0045269D" w:rsidRPr="00DA5EB5">
        <w:rPr>
          <w:kern w:val="2"/>
          <w:sz w:val="20"/>
        </w:rPr>
        <w:t xml:space="preserve">romise to pay </w:t>
      </w:r>
      <w:r w:rsidRPr="00DA5EB5">
        <w:rPr>
          <w:kern w:val="2"/>
          <w:sz w:val="20"/>
        </w:rPr>
        <w:t>$50,000</w:t>
      </w:r>
      <w:r w:rsidR="0045269D" w:rsidRPr="00DA5EB5">
        <w:rPr>
          <w:kern w:val="2"/>
          <w:sz w:val="20"/>
        </w:rPr>
        <w:t>,</w:t>
      </w:r>
      <w:r w:rsidRPr="00DA5EB5">
        <w:rPr>
          <w:kern w:val="2"/>
          <w:sz w:val="20"/>
        </w:rPr>
        <w:t xml:space="preserve"> which </w:t>
      </w:r>
      <w:r w:rsidR="0045269D" w:rsidRPr="00DA5EB5">
        <w:rPr>
          <w:kern w:val="2"/>
          <w:sz w:val="20"/>
        </w:rPr>
        <w:t>the offender</w:t>
      </w:r>
      <w:r w:rsidRPr="00DA5EB5">
        <w:rPr>
          <w:kern w:val="2"/>
          <w:sz w:val="20"/>
        </w:rPr>
        <w:t xml:space="preserve"> never received. The Crown appealed, seeking a sentence of seven years. The majority of the </w:t>
      </w:r>
      <w:r w:rsidR="0045269D" w:rsidRPr="00DA5EB5">
        <w:rPr>
          <w:kern w:val="2"/>
          <w:sz w:val="20"/>
        </w:rPr>
        <w:t xml:space="preserve">British Columbia </w:t>
      </w:r>
      <w:r w:rsidRPr="00DA5EB5">
        <w:rPr>
          <w:kern w:val="2"/>
          <w:sz w:val="20"/>
        </w:rPr>
        <w:t xml:space="preserve">Court of Appeal dismissed the appeal, noting that appellate courts must give substantial deference to the sentences imposed by trial judges. Dissenting, </w:t>
      </w:r>
      <w:r w:rsidR="00620400" w:rsidRPr="00DA5EB5">
        <w:rPr>
          <w:kern w:val="2"/>
          <w:sz w:val="20"/>
        </w:rPr>
        <w:t xml:space="preserve">Justice </w:t>
      </w:r>
      <w:r w:rsidRPr="00DA5EB5">
        <w:rPr>
          <w:kern w:val="2"/>
          <w:sz w:val="20"/>
        </w:rPr>
        <w:t>Frankel would have allowed the Crown</w:t>
      </w:r>
      <w:r w:rsidR="00C928C2" w:rsidRPr="00DA5EB5">
        <w:rPr>
          <w:kern w:val="2"/>
          <w:sz w:val="20"/>
        </w:rPr>
        <w:t>’s</w:t>
      </w:r>
      <w:r w:rsidRPr="00DA5EB5">
        <w:rPr>
          <w:kern w:val="2"/>
          <w:sz w:val="20"/>
        </w:rPr>
        <w:t xml:space="preserve"> appeal. In his view, the appropriate range for these types of sentences was </w:t>
      </w:r>
      <w:r w:rsidR="00C928C2" w:rsidRPr="00DA5EB5">
        <w:rPr>
          <w:kern w:val="2"/>
          <w:sz w:val="20"/>
        </w:rPr>
        <w:t>eight</w:t>
      </w:r>
      <w:r w:rsidRPr="00DA5EB5">
        <w:rPr>
          <w:kern w:val="2"/>
          <w:sz w:val="20"/>
        </w:rPr>
        <w:t xml:space="preserve"> to </w:t>
      </w:r>
      <w:r w:rsidR="00C928C2" w:rsidRPr="00DA5EB5">
        <w:rPr>
          <w:kern w:val="2"/>
          <w:sz w:val="20"/>
        </w:rPr>
        <w:t>twelve</w:t>
      </w:r>
      <w:r w:rsidRPr="00DA5EB5">
        <w:rPr>
          <w:kern w:val="2"/>
          <w:sz w:val="20"/>
        </w:rPr>
        <w:t xml:space="preserve"> years. He stated:</w:t>
      </w:r>
      <w:r w:rsidRPr="00DA5EB5">
        <w:rPr>
          <w:vanish/>
          <w:kern w:val="2"/>
          <w:sz w:val="20"/>
        </w:rPr>
        <w:t xml:space="preserve"> </w:t>
      </w:r>
    </w:p>
    <w:p w14:paraId="6F0023E6" w14:textId="5D0BE87F" w:rsidR="0061282C" w:rsidRPr="00DA5EB5" w:rsidRDefault="0061282C" w:rsidP="00F44BB6">
      <w:pPr>
        <w:pStyle w:val="BlockQuote"/>
        <w:rPr>
          <w:kern w:val="2"/>
          <w:sz w:val="20"/>
        </w:rPr>
      </w:pPr>
      <w:r w:rsidRPr="00DA5EB5">
        <w:rPr>
          <w:kern w:val="2"/>
          <w:sz w:val="20"/>
        </w:rPr>
        <w:t xml:space="preserve">The offences here can, individually and collectively, encompass a wide range of misconduct. What Mr. </w:t>
      </w:r>
      <w:proofErr w:type="spellStart"/>
      <w:r w:rsidRPr="00DA5EB5">
        <w:rPr>
          <w:kern w:val="2"/>
          <w:sz w:val="20"/>
        </w:rPr>
        <w:t>Ticne</w:t>
      </w:r>
      <w:proofErr w:type="spellEnd"/>
      <w:r w:rsidRPr="00DA5EB5">
        <w:rPr>
          <w:kern w:val="2"/>
          <w:sz w:val="20"/>
        </w:rPr>
        <w:t xml:space="preserve"> did approaches the worst-case end of that spectrum. In my view, absent mitigating factors, the need to maintain a properly functioning system for the detention of those whom our collective interest requires be detained, calls for the imposition of sentences close to the maximum permitted by law. Those who are prepared to accept a bribe to set a prisoner free are betraying the trust that has been placed in them. They should normally expect to be deprived of their own liberty for between eight and twelve years.</w:t>
      </w:r>
      <w:r w:rsidRPr="00DA5EB5">
        <w:rPr>
          <w:rStyle w:val="FootnoteReference"/>
          <w:color w:val="000000"/>
          <w:kern w:val="2"/>
          <w:szCs w:val="21"/>
        </w:rPr>
        <w:footnoteReference w:id="108"/>
      </w:r>
    </w:p>
    <w:p w14:paraId="736E1F78" w14:textId="77777777" w:rsidR="0061282C" w:rsidRPr="00DA5EB5" w:rsidRDefault="0061282C" w:rsidP="00F44BB6">
      <w:pPr>
        <w:spacing w:after="0"/>
        <w:rPr>
          <w:vanish/>
          <w:kern w:val="2"/>
          <w:sz w:val="20"/>
        </w:rPr>
      </w:pPr>
    </w:p>
    <w:p w14:paraId="1C80FB72" w14:textId="0A9C5840" w:rsidR="0061282C" w:rsidRPr="00DA5EB5" w:rsidRDefault="0061282C" w:rsidP="007C3517">
      <w:pPr>
        <w:rPr>
          <w:kern w:val="2"/>
          <w:sz w:val="20"/>
        </w:rPr>
      </w:pPr>
      <w:r w:rsidRPr="00DA5EB5">
        <w:rPr>
          <w:kern w:val="2"/>
          <w:sz w:val="20"/>
        </w:rPr>
        <w:t xml:space="preserve">In </w:t>
      </w:r>
      <w:r w:rsidRPr="00DA5EB5">
        <w:rPr>
          <w:i/>
          <w:kern w:val="2"/>
          <w:sz w:val="20"/>
        </w:rPr>
        <w:t xml:space="preserve">R v </w:t>
      </w:r>
      <w:proofErr w:type="spellStart"/>
      <w:r w:rsidRPr="00DA5EB5">
        <w:rPr>
          <w:i/>
          <w:kern w:val="2"/>
          <w:sz w:val="20"/>
        </w:rPr>
        <w:t>Morency</w:t>
      </w:r>
      <w:proofErr w:type="spellEnd"/>
      <w:r w:rsidRPr="00DA5EB5">
        <w:rPr>
          <w:kern w:val="2"/>
          <w:sz w:val="20"/>
        </w:rPr>
        <w:t>,</w:t>
      </w:r>
      <w:r w:rsidRPr="00DA5EB5">
        <w:rPr>
          <w:rStyle w:val="FootnoteReference"/>
          <w:kern w:val="2"/>
        </w:rPr>
        <w:footnoteReference w:id="109"/>
      </w:r>
      <w:r w:rsidRPr="00DA5EB5">
        <w:rPr>
          <w:i/>
          <w:kern w:val="2"/>
          <w:sz w:val="20"/>
        </w:rPr>
        <w:t xml:space="preserve"> </w:t>
      </w:r>
      <w:r w:rsidRPr="00DA5EB5">
        <w:rPr>
          <w:kern w:val="2"/>
          <w:sz w:val="20"/>
        </w:rPr>
        <w:t xml:space="preserve">the offender received concurrent sentences of three years imprisonment for bribery and two </w:t>
      </w:r>
      <w:proofErr w:type="spellStart"/>
      <w:r w:rsidRPr="00DA5EB5">
        <w:rPr>
          <w:kern w:val="2"/>
          <w:sz w:val="20"/>
        </w:rPr>
        <w:t>years</w:t>
      </w:r>
      <w:proofErr w:type="spellEnd"/>
      <w:r w:rsidRPr="00DA5EB5">
        <w:rPr>
          <w:kern w:val="2"/>
          <w:sz w:val="20"/>
        </w:rPr>
        <w:t xml:space="preserve"> imprisonment for breach of trust. </w:t>
      </w:r>
      <w:proofErr w:type="spellStart"/>
      <w:r w:rsidR="003C04DD" w:rsidRPr="00DA5EB5">
        <w:rPr>
          <w:kern w:val="2"/>
          <w:sz w:val="20"/>
        </w:rPr>
        <w:t>Morency</w:t>
      </w:r>
      <w:proofErr w:type="spellEnd"/>
      <w:r w:rsidRPr="00DA5EB5">
        <w:rPr>
          <w:kern w:val="2"/>
          <w:sz w:val="20"/>
        </w:rPr>
        <w:t xml:space="preserve">, a </w:t>
      </w:r>
      <w:r w:rsidR="003C04DD" w:rsidRPr="00DA5EB5">
        <w:rPr>
          <w:kern w:val="2"/>
          <w:sz w:val="20"/>
        </w:rPr>
        <w:t xml:space="preserve">Crown </w:t>
      </w:r>
      <w:r w:rsidRPr="00DA5EB5">
        <w:rPr>
          <w:kern w:val="2"/>
          <w:sz w:val="20"/>
        </w:rPr>
        <w:t xml:space="preserve">prosecutor, had been under suspicion for dubious practices. During an unrelated wiretap, a suspect spoke about bribing </w:t>
      </w:r>
      <w:proofErr w:type="spellStart"/>
      <w:r w:rsidRPr="00DA5EB5">
        <w:rPr>
          <w:kern w:val="2"/>
          <w:sz w:val="20"/>
        </w:rPr>
        <w:t>Morency</w:t>
      </w:r>
      <w:proofErr w:type="spellEnd"/>
      <w:r w:rsidRPr="00DA5EB5">
        <w:rPr>
          <w:kern w:val="2"/>
          <w:sz w:val="20"/>
        </w:rPr>
        <w:t xml:space="preserve"> to avoid a criminal record following an impaired driving arrest. A sting operation was put in place to see if </w:t>
      </w:r>
      <w:proofErr w:type="spellStart"/>
      <w:r w:rsidRPr="00DA5EB5">
        <w:rPr>
          <w:kern w:val="2"/>
          <w:sz w:val="20"/>
        </w:rPr>
        <w:t>Morency</w:t>
      </w:r>
      <w:proofErr w:type="spellEnd"/>
      <w:r w:rsidRPr="00DA5EB5">
        <w:rPr>
          <w:kern w:val="2"/>
          <w:sz w:val="20"/>
        </w:rPr>
        <w:t xml:space="preserve"> would intercede on another impaired driving offence, which he did. </w:t>
      </w:r>
      <w:r w:rsidR="00310A3B" w:rsidRPr="00DA5EB5">
        <w:rPr>
          <w:kern w:val="2"/>
          <w:sz w:val="20"/>
        </w:rPr>
        <w:t xml:space="preserve">To assist in the sentencing decision, </w:t>
      </w:r>
      <w:r w:rsidR="00DC2C04" w:rsidRPr="00DA5EB5">
        <w:rPr>
          <w:kern w:val="2"/>
          <w:sz w:val="20"/>
        </w:rPr>
        <w:t xml:space="preserve">Justice </w:t>
      </w:r>
      <w:proofErr w:type="spellStart"/>
      <w:r w:rsidRPr="00DA5EB5">
        <w:rPr>
          <w:kern w:val="2"/>
          <w:sz w:val="20"/>
        </w:rPr>
        <w:t>Morand</w:t>
      </w:r>
      <w:proofErr w:type="spellEnd"/>
      <w:r w:rsidRPr="00DA5EB5">
        <w:rPr>
          <w:kern w:val="2"/>
          <w:sz w:val="20"/>
        </w:rPr>
        <w:t xml:space="preserve"> appended a table of 62 </w:t>
      </w:r>
      <w:r w:rsidR="00310A3B" w:rsidRPr="00DA5EB5">
        <w:rPr>
          <w:kern w:val="2"/>
          <w:sz w:val="20"/>
        </w:rPr>
        <w:t xml:space="preserve">corruption-related </w:t>
      </w:r>
      <w:r w:rsidRPr="00DA5EB5">
        <w:rPr>
          <w:kern w:val="2"/>
          <w:sz w:val="20"/>
        </w:rPr>
        <w:t>cases in which the offender was a public official such as a prosecutor, police officer or politician.</w:t>
      </w:r>
      <w:r w:rsidR="00152AA7" w:rsidRPr="00DA5EB5">
        <w:rPr>
          <w:rStyle w:val="FootnoteReference"/>
          <w:kern w:val="2"/>
          <w:sz w:val="18"/>
        </w:rPr>
        <w:footnoteReference w:id="110"/>
      </w:r>
      <w:r w:rsidRPr="00DA5EB5">
        <w:rPr>
          <w:kern w:val="2"/>
          <w:sz w:val="20"/>
        </w:rPr>
        <w:t xml:space="preserve"> </w:t>
      </w:r>
      <w:r w:rsidR="00DC2C04" w:rsidRPr="00DA5EB5">
        <w:rPr>
          <w:kern w:val="2"/>
          <w:sz w:val="20"/>
        </w:rPr>
        <w:t xml:space="preserve">Justice </w:t>
      </w:r>
      <w:proofErr w:type="spellStart"/>
      <w:r w:rsidRPr="00DA5EB5">
        <w:rPr>
          <w:kern w:val="2"/>
          <w:sz w:val="20"/>
        </w:rPr>
        <w:t>Morand</w:t>
      </w:r>
      <w:proofErr w:type="spellEnd"/>
      <w:r w:rsidR="00CE1750" w:rsidRPr="00DA5EB5">
        <w:rPr>
          <w:kern w:val="2"/>
          <w:sz w:val="20"/>
        </w:rPr>
        <w:t xml:space="preserve"> </w:t>
      </w:r>
      <w:r w:rsidRPr="00DA5EB5">
        <w:rPr>
          <w:kern w:val="2"/>
          <w:sz w:val="20"/>
        </w:rPr>
        <w:t>excluded sentences at the extreme ends of the range</w:t>
      </w:r>
      <w:r w:rsidR="00310A3B" w:rsidRPr="00DA5EB5">
        <w:rPr>
          <w:kern w:val="2"/>
          <w:sz w:val="20"/>
        </w:rPr>
        <w:t xml:space="preserve"> and</w:t>
      </w:r>
      <w:r w:rsidRPr="00DA5EB5">
        <w:rPr>
          <w:kern w:val="2"/>
          <w:sz w:val="20"/>
        </w:rPr>
        <w:t xml:space="preserve"> provided the following broad outline of the table:</w:t>
      </w:r>
      <w:r w:rsidR="00F34E58" w:rsidRPr="00DA5EB5">
        <w:rPr>
          <w:kern w:val="2"/>
          <w:sz w:val="20"/>
        </w:rPr>
        <w:t xml:space="preserve"> </w:t>
      </w:r>
    </w:p>
    <w:p w14:paraId="1B3B15CA" w14:textId="77777777" w:rsidR="0061282C" w:rsidRPr="00DA5EB5" w:rsidRDefault="0061282C" w:rsidP="0074473E">
      <w:pPr>
        <w:pStyle w:val="BlockQuote"/>
        <w:numPr>
          <w:ilvl w:val="0"/>
          <w:numId w:val="28"/>
        </w:numPr>
        <w:spacing w:before="60" w:after="60"/>
        <w:jc w:val="left"/>
        <w:rPr>
          <w:kern w:val="2"/>
          <w:sz w:val="20"/>
          <w:lang w:eastAsia="en-CA"/>
        </w:rPr>
      </w:pPr>
      <w:r w:rsidRPr="00DA5EB5">
        <w:rPr>
          <w:kern w:val="2"/>
          <w:sz w:val="20"/>
          <w:lang w:eastAsia="en-CA"/>
        </w:rPr>
        <w:t>Except in rare cases, the objectives of general deterrence and societal condemnation are predominant;</w:t>
      </w:r>
    </w:p>
    <w:p w14:paraId="44BFA3E6" w14:textId="77777777" w:rsidR="0061282C" w:rsidRPr="00DA5EB5" w:rsidRDefault="0061282C" w:rsidP="0074473E">
      <w:pPr>
        <w:pStyle w:val="BlockQuote"/>
        <w:numPr>
          <w:ilvl w:val="0"/>
          <w:numId w:val="28"/>
        </w:numPr>
        <w:spacing w:before="60" w:after="60"/>
        <w:jc w:val="left"/>
        <w:rPr>
          <w:kern w:val="2"/>
          <w:sz w:val="20"/>
          <w:lang w:eastAsia="en-CA"/>
        </w:rPr>
      </w:pPr>
      <w:r w:rsidRPr="00DA5EB5">
        <w:rPr>
          <w:kern w:val="2"/>
          <w:sz w:val="20"/>
          <w:lang w:eastAsia="en-CA"/>
        </w:rPr>
        <w:t>In nearly a third of the decisions, the courts imposed prison sentences to be served in the community for periods varying between twelve months and two years less one day, the average being around eighteen months;</w:t>
      </w:r>
    </w:p>
    <w:p w14:paraId="06FF8D45" w14:textId="77777777" w:rsidR="0061282C" w:rsidRPr="00DA5EB5" w:rsidRDefault="0061282C" w:rsidP="0074473E">
      <w:pPr>
        <w:pStyle w:val="BlockQuote"/>
        <w:numPr>
          <w:ilvl w:val="0"/>
          <w:numId w:val="28"/>
        </w:numPr>
        <w:spacing w:before="60" w:after="60"/>
        <w:jc w:val="left"/>
        <w:rPr>
          <w:kern w:val="2"/>
          <w:sz w:val="20"/>
          <w:lang w:eastAsia="en-CA"/>
        </w:rPr>
      </w:pPr>
      <w:r w:rsidRPr="00DA5EB5">
        <w:rPr>
          <w:kern w:val="2"/>
          <w:sz w:val="20"/>
          <w:lang w:eastAsia="en-CA"/>
        </w:rPr>
        <w:t>In a majority of cases, the courts ordered prison sentences ranging between three months and six years; the average, however, was between two and a half and three years, despite the presence of numerous mitigating circumstances such as guilty pleas, the absence of criminal records, remorse, non-existent risks of re-offending, and social reintegration that was well underway or even assured; </w:t>
      </w:r>
    </w:p>
    <w:p w14:paraId="14DB33F6" w14:textId="78AC45D8" w:rsidR="0061282C" w:rsidRPr="00DA5EB5" w:rsidRDefault="0061282C" w:rsidP="0074473E">
      <w:pPr>
        <w:pStyle w:val="BlockQuote"/>
        <w:numPr>
          <w:ilvl w:val="0"/>
          <w:numId w:val="28"/>
        </w:numPr>
        <w:spacing w:before="60" w:after="60"/>
        <w:jc w:val="left"/>
        <w:rPr>
          <w:kern w:val="2"/>
          <w:sz w:val="20"/>
          <w:lang w:eastAsia="en-CA"/>
        </w:rPr>
      </w:pPr>
      <w:r w:rsidRPr="00DA5EB5">
        <w:rPr>
          <w:kern w:val="2"/>
          <w:sz w:val="20"/>
          <w:lang w:eastAsia="en-CA"/>
        </w:rPr>
        <w:t>In most cases involving attorneys practising their profession, judges insisted on the importance of using the prison sentence to clearly express the particular seriousness of the offence when it is committed by an officer of the court whose professional conduct must be completely honest.</w:t>
      </w:r>
      <w:r w:rsidR="00AB3A14" w:rsidRPr="00DA5EB5">
        <w:rPr>
          <w:rStyle w:val="FootnoteReference"/>
          <w:rFonts w:eastAsia="Times New Roman"/>
          <w:color w:val="000000"/>
          <w:kern w:val="2"/>
          <w:lang w:eastAsia="en-CA"/>
        </w:rPr>
        <w:footnoteReference w:id="111"/>
      </w:r>
    </w:p>
    <w:p w14:paraId="75AA8233" w14:textId="4E8F43F1" w:rsidR="00E534EE" w:rsidRPr="00DA5EB5" w:rsidRDefault="0061282C" w:rsidP="007C3517">
      <w:pPr>
        <w:pStyle w:val="Heading3"/>
        <w:rPr>
          <w:kern w:val="2"/>
          <w:sz w:val="22"/>
        </w:rPr>
      </w:pPr>
      <w:r w:rsidRPr="00DA5EB5">
        <w:rPr>
          <w:kern w:val="2"/>
          <w:sz w:val="22"/>
        </w:rPr>
        <w:t xml:space="preserve">Bribery and Breach of Trust of Government Officials and Employees </w:t>
      </w:r>
    </w:p>
    <w:p w14:paraId="19592AC1" w14:textId="345FFC42" w:rsidR="0061282C" w:rsidRPr="00DA5EB5" w:rsidRDefault="0061282C" w:rsidP="007C3517">
      <w:pPr>
        <w:rPr>
          <w:kern w:val="2"/>
          <w:sz w:val="20"/>
        </w:rPr>
      </w:pPr>
      <w:r w:rsidRPr="00DA5EB5">
        <w:rPr>
          <w:kern w:val="2"/>
          <w:sz w:val="20"/>
        </w:rPr>
        <w:t xml:space="preserve">Bribery and other corruption offences </w:t>
      </w:r>
      <w:r w:rsidR="00340190" w:rsidRPr="00DA5EB5">
        <w:rPr>
          <w:kern w:val="2"/>
          <w:sz w:val="20"/>
        </w:rPr>
        <w:t>committed by</w:t>
      </w:r>
      <w:r w:rsidRPr="00DA5EB5">
        <w:rPr>
          <w:kern w:val="2"/>
          <w:sz w:val="20"/>
        </w:rPr>
        <w:t xml:space="preserve"> government officials and employees are punishable by a maximum sentence of five years imprisonment under sections 121-</w:t>
      </w:r>
      <w:r w:rsidR="004E3083" w:rsidRPr="00DA5EB5">
        <w:rPr>
          <w:kern w:val="2"/>
          <w:sz w:val="20"/>
        </w:rPr>
        <w:t>1</w:t>
      </w:r>
      <w:r w:rsidRPr="00DA5EB5">
        <w:rPr>
          <w:kern w:val="2"/>
          <w:sz w:val="20"/>
        </w:rPr>
        <w:t xml:space="preserve">25 of the </w:t>
      </w:r>
      <w:r w:rsidRPr="00DA5EB5">
        <w:rPr>
          <w:i/>
          <w:kern w:val="2"/>
          <w:sz w:val="20"/>
        </w:rPr>
        <w:t>Criminal Code</w:t>
      </w:r>
      <w:r w:rsidRPr="00DA5EB5">
        <w:rPr>
          <w:kern w:val="2"/>
          <w:sz w:val="20"/>
        </w:rPr>
        <w:t>.</w:t>
      </w:r>
    </w:p>
    <w:p w14:paraId="0CC9FB25" w14:textId="1DD85F4F" w:rsidR="0061282C" w:rsidRPr="00DA5EB5" w:rsidRDefault="0061282C" w:rsidP="007C3517">
      <w:pPr>
        <w:rPr>
          <w:kern w:val="2"/>
          <w:sz w:val="20"/>
        </w:rPr>
      </w:pPr>
      <w:r w:rsidRPr="00DA5EB5">
        <w:rPr>
          <w:kern w:val="2"/>
          <w:sz w:val="20"/>
        </w:rPr>
        <w:t xml:space="preserve">In </w:t>
      </w:r>
      <w:r w:rsidRPr="00DA5EB5">
        <w:rPr>
          <w:i/>
          <w:kern w:val="2"/>
          <w:sz w:val="20"/>
        </w:rPr>
        <w:t>R v Murray</w:t>
      </w:r>
      <w:r w:rsidRPr="00DA5EB5">
        <w:rPr>
          <w:kern w:val="2"/>
          <w:sz w:val="20"/>
        </w:rPr>
        <w:t>,</w:t>
      </w:r>
      <w:r w:rsidRPr="00DA5EB5">
        <w:rPr>
          <w:i/>
          <w:kern w:val="2"/>
          <w:sz w:val="20"/>
        </w:rPr>
        <w:t xml:space="preserve"> </w:t>
      </w:r>
      <w:r w:rsidRPr="00DA5EB5">
        <w:rPr>
          <w:kern w:val="2"/>
          <w:sz w:val="20"/>
        </w:rPr>
        <w:t>the offender was sentenced to a two-year penitentiary term followed by a two-year probation order as well as an order of restitution.</w:t>
      </w:r>
      <w:r w:rsidR="00152AA7" w:rsidRPr="00DA5EB5">
        <w:rPr>
          <w:rStyle w:val="FootnoteReference"/>
          <w:kern w:val="2"/>
        </w:rPr>
        <w:footnoteReference w:id="112"/>
      </w:r>
      <w:r w:rsidRPr="00DA5EB5">
        <w:rPr>
          <w:kern w:val="2"/>
          <w:sz w:val="20"/>
        </w:rPr>
        <w:t xml:space="preserve"> Murray was the Director of Financial Services for the House of Assembly in Newfoundland and Labrador. Using this position, Murray falsified expense claims. </w:t>
      </w:r>
      <w:r w:rsidR="002B606E" w:rsidRPr="00DA5EB5">
        <w:rPr>
          <w:kern w:val="2"/>
          <w:sz w:val="20"/>
        </w:rPr>
        <w:t>An agreed statement of facts provided that</w:t>
      </w:r>
      <w:r w:rsidRPr="00DA5EB5">
        <w:rPr>
          <w:kern w:val="2"/>
          <w:sz w:val="20"/>
        </w:rPr>
        <w:t xml:space="preserve"> Murray received close to $400,000, which went directly to feeding a $500 a day gambling addiction. </w:t>
      </w:r>
      <w:r w:rsidR="00DC2C04" w:rsidRPr="00DA5EB5">
        <w:rPr>
          <w:kern w:val="2"/>
          <w:sz w:val="20"/>
        </w:rPr>
        <w:t xml:space="preserve">Justice </w:t>
      </w:r>
      <w:r w:rsidRPr="00DA5EB5">
        <w:rPr>
          <w:kern w:val="2"/>
          <w:sz w:val="20"/>
        </w:rPr>
        <w:t>Fowler</w:t>
      </w:r>
      <w:r w:rsidR="00CE1750" w:rsidRPr="00DA5EB5">
        <w:rPr>
          <w:kern w:val="2"/>
          <w:sz w:val="20"/>
        </w:rPr>
        <w:t xml:space="preserve"> </w:t>
      </w:r>
      <w:r w:rsidRPr="00DA5EB5">
        <w:rPr>
          <w:kern w:val="2"/>
          <w:sz w:val="20"/>
        </w:rPr>
        <w:t>considered the addiction a mitigating circumstance, alongside Murray’s lack of a previous record, assumption of responsibility</w:t>
      </w:r>
      <w:r w:rsidR="00D8204E" w:rsidRPr="00DA5EB5">
        <w:rPr>
          <w:kern w:val="2"/>
          <w:sz w:val="20"/>
        </w:rPr>
        <w:t>,</w:t>
      </w:r>
      <w:r w:rsidRPr="00DA5EB5">
        <w:rPr>
          <w:kern w:val="2"/>
          <w:sz w:val="20"/>
        </w:rPr>
        <w:t xml:space="preserve"> remorse for his actions, agreement to make restitution, early guilty plea and lack of danger to the community. However, </w:t>
      </w:r>
      <w:r w:rsidR="00DC2C04" w:rsidRPr="00DA5EB5">
        <w:rPr>
          <w:kern w:val="2"/>
          <w:sz w:val="20"/>
        </w:rPr>
        <w:t xml:space="preserve">Justice </w:t>
      </w:r>
      <w:r w:rsidRPr="00DA5EB5">
        <w:rPr>
          <w:kern w:val="2"/>
          <w:sz w:val="20"/>
        </w:rPr>
        <w:t xml:space="preserve">Fowler stated that the breach of a high level of trust and the long-term nature of the offence were serious aggravating factors. </w:t>
      </w:r>
      <w:r w:rsidR="00DC2C04" w:rsidRPr="00DA5EB5">
        <w:rPr>
          <w:kern w:val="2"/>
          <w:sz w:val="20"/>
        </w:rPr>
        <w:t xml:space="preserve">Justice </w:t>
      </w:r>
      <w:r w:rsidRPr="00DA5EB5">
        <w:rPr>
          <w:kern w:val="2"/>
          <w:sz w:val="20"/>
        </w:rPr>
        <w:t>Fowler</w:t>
      </w:r>
      <w:r w:rsidR="00CE1750" w:rsidRPr="00DA5EB5">
        <w:rPr>
          <w:kern w:val="2"/>
          <w:sz w:val="20"/>
        </w:rPr>
        <w:t xml:space="preserve"> </w:t>
      </w:r>
      <w:r w:rsidRPr="00DA5EB5">
        <w:rPr>
          <w:kern w:val="2"/>
          <w:sz w:val="20"/>
        </w:rPr>
        <w:t xml:space="preserve">noted that cases of this nature have a broad range of sentencing options, ranging from a conditional sentence to a penitentiary term, the upper </w:t>
      </w:r>
      <w:r w:rsidR="00904789" w:rsidRPr="00DA5EB5">
        <w:rPr>
          <w:kern w:val="2"/>
          <w:sz w:val="20"/>
        </w:rPr>
        <w:t xml:space="preserve">reaches </w:t>
      </w:r>
      <w:r w:rsidRPr="00DA5EB5">
        <w:rPr>
          <w:kern w:val="2"/>
          <w:sz w:val="20"/>
        </w:rPr>
        <w:t>of which appeared to be in the four-year range.</w:t>
      </w:r>
    </w:p>
    <w:p w14:paraId="3BB4636E" w14:textId="59BD4E5C" w:rsidR="0061282C" w:rsidRPr="00DA5EB5" w:rsidRDefault="0061282C" w:rsidP="007C3517">
      <w:pPr>
        <w:rPr>
          <w:kern w:val="2"/>
          <w:sz w:val="20"/>
        </w:rPr>
      </w:pPr>
      <w:r w:rsidRPr="00DA5EB5">
        <w:rPr>
          <w:kern w:val="2"/>
          <w:sz w:val="20"/>
        </w:rPr>
        <w:t xml:space="preserve">In </w:t>
      </w:r>
      <w:r w:rsidRPr="00DA5EB5">
        <w:rPr>
          <w:i/>
          <w:kern w:val="2"/>
          <w:sz w:val="20"/>
        </w:rPr>
        <w:t xml:space="preserve">R v </w:t>
      </w:r>
      <w:proofErr w:type="spellStart"/>
      <w:r w:rsidRPr="00DA5EB5">
        <w:rPr>
          <w:i/>
          <w:kern w:val="2"/>
          <w:sz w:val="20"/>
        </w:rPr>
        <w:t>Gyles</w:t>
      </w:r>
      <w:proofErr w:type="spellEnd"/>
      <w:r w:rsidRPr="00DA5EB5">
        <w:rPr>
          <w:kern w:val="2"/>
          <w:sz w:val="20"/>
        </w:rPr>
        <w:t>,</w:t>
      </w:r>
      <w:r w:rsidRPr="00DA5EB5">
        <w:rPr>
          <w:i/>
          <w:kern w:val="2"/>
          <w:sz w:val="20"/>
        </w:rPr>
        <w:t xml:space="preserve"> </w:t>
      </w:r>
      <w:r w:rsidR="00DC2C04" w:rsidRPr="00DA5EB5">
        <w:rPr>
          <w:kern w:val="2"/>
          <w:sz w:val="20"/>
        </w:rPr>
        <w:t xml:space="preserve">Justice </w:t>
      </w:r>
      <w:r w:rsidRPr="00DA5EB5">
        <w:rPr>
          <w:kern w:val="2"/>
          <w:sz w:val="20"/>
        </w:rPr>
        <w:t>Wein</w:t>
      </w:r>
      <w:r w:rsidR="00261159" w:rsidRPr="00DA5EB5">
        <w:rPr>
          <w:kern w:val="2"/>
          <w:sz w:val="20"/>
        </w:rPr>
        <w:t xml:space="preserve"> </w:t>
      </w:r>
      <w:r w:rsidRPr="00DA5EB5">
        <w:rPr>
          <w:kern w:val="2"/>
          <w:sz w:val="20"/>
        </w:rPr>
        <w:t>of the Ontario Superior Court imposed a sentence of two years imprisonment for municipal corruption and a concurrent sentence of two-and-a-half years for breach of trust.</w:t>
      </w:r>
      <w:r w:rsidR="00152AA7" w:rsidRPr="00DA5EB5">
        <w:rPr>
          <w:rStyle w:val="FootnoteReference"/>
          <w:kern w:val="2"/>
        </w:rPr>
        <w:footnoteReference w:id="113"/>
      </w:r>
      <w:r w:rsidRPr="00DA5EB5">
        <w:rPr>
          <w:kern w:val="2"/>
          <w:sz w:val="20"/>
        </w:rPr>
        <w:t xml:space="preserve"> In the following excerpt, </w:t>
      </w:r>
      <w:r w:rsidR="00DC2C04" w:rsidRPr="00DA5EB5">
        <w:rPr>
          <w:kern w:val="2"/>
          <w:sz w:val="20"/>
        </w:rPr>
        <w:t xml:space="preserve">Justice </w:t>
      </w:r>
      <w:r w:rsidRPr="00DA5EB5">
        <w:rPr>
          <w:kern w:val="2"/>
          <w:sz w:val="20"/>
        </w:rPr>
        <w:t>Wein provides a helpful overview of the case law for sentencing of these forms of bribery and corruption:</w:t>
      </w:r>
    </w:p>
    <w:p w14:paraId="09057545" w14:textId="4D2E9278" w:rsidR="00F828B7" w:rsidRPr="00DA5EB5" w:rsidRDefault="00F828B7" w:rsidP="008F288C">
      <w:pPr>
        <w:pStyle w:val="BlockQuote"/>
        <w:numPr>
          <w:ilvl w:val="0"/>
          <w:numId w:val="100"/>
        </w:numPr>
        <w:jc w:val="left"/>
        <w:rPr>
          <w:sz w:val="20"/>
        </w:rPr>
      </w:pPr>
      <w:r w:rsidRPr="00DA5EB5">
        <w:rPr>
          <w:sz w:val="20"/>
        </w:rPr>
        <w:t xml:space="preserve">The maximum sentence for breach of trust by a public officer, under s. 122 of the </w:t>
      </w:r>
      <w:r w:rsidRPr="00DA5EB5">
        <w:rPr>
          <w:i/>
          <w:iCs/>
          <w:sz w:val="20"/>
        </w:rPr>
        <w:t>Criminal Code</w:t>
      </w:r>
      <w:r w:rsidRPr="00DA5EB5">
        <w:rPr>
          <w:sz w:val="20"/>
        </w:rPr>
        <w:t xml:space="preserve">, and for municipal corruption, under s. 123(1) of the </w:t>
      </w:r>
      <w:r w:rsidRPr="00DA5EB5">
        <w:rPr>
          <w:i/>
          <w:iCs/>
          <w:sz w:val="20"/>
        </w:rPr>
        <w:t>Criminal Code</w:t>
      </w:r>
      <w:r w:rsidRPr="00DA5EB5">
        <w:rPr>
          <w:sz w:val="20"/>
        </w:rPr>
        <w:t xml:space="preserve">, is five years' imprisonment. The range of conduct referred to in the </w:t>
      </w:r>
      <w:proofErr w:type="spellStart"/>
      <w:r w:rsidRPr="00DA5EB5">
        <w:rPr>
          <w:sz w:val="20"/>
        </w:rPr>
        <w:t>caselaw</w:t>
      </w:r>
      <w:proofErr w:type="spellEnd"/>
      <w:r w:rsidRPr="00DA5EB5">
        <w:rPr>
          <w:sz w:val="20"/>
        </w:rPr>
        <w:t>, and consequently the range of sentences imposed on conviction, is quite broad.</w:t>
      </w:r>
    </w:p>
    <w:p w14:paraId="31709EA6" w14:textId="562710EF" w:rsidR="00F828B7" w:rsidRPr="00DA5EB5" w:rsidRDefault="00F828B7" w:rsidP="008F288C">
      <w:pPr>
        <w:pStyle w:val="BlockQuote"/>
        <w:numPr>
          <w:ilvl w:val="0"/>
          <w:numId w:val="100"/>
        </w:numPr>
        <w:jc w:val="left"/>
        <w:rPr>
          <w:sz w:val="20"/>
        </w:rPr>
      </w:pPr>
      <w:r w:rsidRPr="00DA5EB5">
        <w:rPr>
          <w:sz w:val="20"/>
        </w:rPr>
        <w:t xml:space="preserve">The underlying wrong addressed by these offences is of fundamental importance in a democratic society. It is a self-evident and long-standing principle that no concealed pecuniary self-interest should bias the judgment of a public officer: </w:t>
      </w:r>
      <w:r w:rsidRPr="00DA5EB5">
        <w:rPr>
          <w:i/>
          <w:iCs/>
          <w:sz w:val="20"/>
        </w:rPr>
        <w:t xml:space="preserve">R. </w:t>
      </w:r>
      <w:r w:rsidRPr="00DA5EB5">
        <w:rPr>
          <w:sz w:val="20"/>
        </w:rPr>
        <w:t xml:space="preserve">v. </w:t>
      </w:r>
      <w:proofErr w:type="spellStart"/>
      <w:r w:rsidRPr="00DA5EB5">
        <w:rPr>
          <w:i/>
          <w:iCs/>
          <w:sz w:val="20"/>
        </w:rPr>
        <w:t>McKitka</w:t>
      </w:r>
      <w:proofErr w:type="spellEnd"/>
      <w:r w:rsidRPr="00DA5EB5">
        <w:rPr>
          <w:i/>
          <w:iCs/>
          <w:sz w:val="20"/>
        </w:rPr>
        <w:t xml:space="preserve"> </w:t>
      </w:r>
      <w:r w:rsidRPr="00DA5EB5">
        <w:rPr>
          <w:sz w:val="20"/>
        </w:rPr>
        <w:t>(1982), 66 C.C.C. (2d) 164 (B.C.C.A.)</w:t>
      </w:r>
    </w:p>
    <w:p w14:paraId="48832431" w14:textId="5A8859B8" w:rsidR="00F828B7" w:rsidRPr="00DA5EB5" w:rsidRDefault="00F828B7" w:rsidP="008F288C">
      <w:pPr>
        <w:pStyle w:val="BlockQuote"/>
        <w:numPr>
          <w:ilvl w:val="0"/>
          <w:numId w:val="100"/>
        </w:numPr>
        <w:jc w:val="left"/>
        <w:rPr>
          <w:sz w:val="20"/>
        </w:rPr>
      </w:pPr>
      <w:r w:rsidRPr="00DA5EB5">
        <w:rPr>
          <w:sz w:val="20"/>
        </w:rPr>
        <w:t xml:space="preserve">In some cases, where there has been a plea of guilty, where the offence was instigated by others, or where the offender was following orders of senior officials, conditional sentences or even a fine have been found to be appropriate: </w:t>
      </w:r>
      <w:r w:rsidRPr="00DA5EB5">
        <w:rPr>
          <w:i/>
          <w:iCs/>
          <w:sz w:val="20"/>
        </w:rPr>
        <w:t xml:space="preserve">R. </w:t>
      </w:r>
      <w:r w:rsidRPr="00DA5EB5">
        <w:rPr>
          <w:sz w:val="20"/>
        </w:rPr>
        <w:t xml:space="preserve">v. </w:t>
      </w:r>
      <w:proofErr w:type="spellStart"/>
      <w:r w:rsidRPr="00DA5EB5">
        <w:rPr>
          <w:i/>
          <w:iCs/>
          <w:sz w:val="20"/>
        </w:rPr>
        <w:t>Bedard</w:t>
      </w:r>
      <w:proofErr w:type="spellEnd"/>
      <w:r w:rsidRPr="00DA5EB5">
        <w:rPr>
          <w:i/>
          <w:iCs/>
          <w:sz w:val="20"/>
        </w:rPr>
        <w:t xml:space="preserve">, </w:t>
      </w:r>
      <w:r w:rsidRPr="00DA5EB5">
        <w:rPr>
          <w:sz w:val="20"/>
        </w:rPr>
        <w:t xml:space="preserve">[2000] N.W.T.J. No. 90 (S.C.); </w:t>
      </w:r>
      <w:r w:rsidRPr="00DA5EB5">
        <w:rPr>
          <w:i/>
          <w:iCs/>
          <w:sz w:val="20"/>
        </w:rPr>
        <w:t xml:space="preserve">R. </w:t>
      </w:r>
      <w:r w:rsidRPr="00DA5EB5">
        <w:rPr>
          <w:sz w:val="20"/>
        </w:rPr>
        <w:t xml:space="preserve">v. </w:t>
      </w:r>
      <w:proofErr w:type="spellStart"/>
      <w:r w:rsidRPr="00DA5EB5">
        <w:rPr>
          <w:i/>
          <w:iCs/>
          <w:sz w:val="20"/>
        </w:rPr>
        <w:t>MacEachern</w:t>
      </w:r>
      <w:proofErr w:type="spellEnd"/>
      <w:r w:rsidRPr="00DA5EB5">
        <w:rPr>
          <w:i/>
          <w:iCs/>
          <w:sz w:val="20"/>
        </w:rPr>
        <w:t xml:space="preserve">, </w:t>
      </w:r>
      <w:r w:rsidRPr="00DA5EB5">
        <w:rPr>
          <w:sz w:val="20"/>
        </w:rPr>
        <w:t xml:space="preserve">[1999] P.E.I.J. No. 85 (S.C.); </w:t>
      </w:r>
      <w:r w:rsidRPr="00DA5EB5">
        <w:rPr>
          <w:i/>
          <w:iCs/>
          <w:sz w:val="20"/>
        </w:rPr>
        <w:t xml:space="preserve">R. </w:t>
      </w:r>
      <w:r w:rsidRPr="00DA5EB5">
        <w:rPr>
          <w:sz w:val="20"/>
        </w:rPr>
        <w:t xml:space="preserve">v. </w:t>
      </w:r>
      <w:r w:rsidRPr="00DA5EB5">
        <w:rPr>
          <w:i/>
          <w:iCs/>
          <w:sz w:val="20"/>
        </w:rPr>
        <w:t>Currie</w:t>
      </w:r>
      <w:r w:rsidRPr="00DA5EB5">
        <w:rPr>
          <w:sz w:val="20"/>
        </w:rPr>
        <w:t xml:space="preserve">, [1994] O.J. No. 1440 (Gen. Div.); </w:t>
      </w:r>
      <w:r w:rsidRPr="00DA5EB5">
        <w:rPr>
          <w:i/>
          <w:iCs/>
          <w:sz w:val="20"/>
        </w:rPr>
        <w:t xml:space="preserve">R. </w:t>
      </w:r>
      <w:r w:rsidRPr="00DA5EB5">
        <w:rPr>
          <w:sz w:val="20"/>
        </w:rPr>
        <w:t xml:space="preserve">v. </w:t>
      </w:r>
      <w:r w:rsidRPr="00DA5EB5">
        <w:rPr>
          <w:i/>
          <w:iCs/>
          <w:sz w:val="20"/>
        </w:rPr>
        <w:t>Power</w:t>
      </w:r>
      <w:r w:rsidRPr="00DA5EB5">
        <w:rPr>
          <w:sz w:val="20"/>
        </w:rPr>
        <w:t>, [1992] N.S.J. No. 311 (Co. Ct.).</w:t>
      </w:r>
    </w:p>
    <w:p w14:paraId="6A103621" w14:textId="7D902E1D" w:rsidR="00F828B7" w:rsidRPr="00DA5EB5" w:rsidRDefault="00F828B7" w:rsidP="008F288C">
      <w:pPr>
        <w:pStyle w:val="BlockQuote"/>
        <w:numPr>
          <w:ilvl w:val="0"/>
          <w:numId w:val="100"/>
        </w:numPr>
        <w:jc w:val="left"/>
        <w:rPr>
          <w:sz w:val="20"/>
        </w:rPr>
      </w:pPr>
      <w:r w:rsidRPr="00DA5EB5">
        <w:rPr>
          <w:sz w:val="20"/>
        </w:rPr>
        <w:t>All of these cases are distinguishable, as they involved mitigating factors not present here, such as a plea of guilty or lack of personal gain.</w:t>
      </w:r>
    </w:p>
    <w:p w14:paraId="0AF97106" w14:textId="0F97DE3D" w:rsidR="00F828B7" w:rsidRPr="00DA5EB5" w:rsidRDefault="00F828B7" w:rsidP="008F288C">
      <w:pPr>
        <w:pStyle w:val="BlockQuote"/>
        <w:numPr>
          <w:ilvl w:val="0"/>
          <w:numId w:val="100"/>
        </w:numPr>
        <w:jc w:val="left"/>
        <w:rPr>
          <w:sz w:val="20"/>
        </w:rPr>
      </w:pPr>
      <w:r w:rsidRPr="00DA5EB5">
        <w:rPr>
          <w:sz w:val="20"/>
        </w:rPr>
        <w:t xml:space="preserve">In more serious cases, such as those involving repeated conduct, significant amounts of money, or a well-planned scheme, substantial periods of incarceration ranging from mid to upper range reformatory through to penitentiary terms have been imposed or upheld on appeal: </w:t>
      </w:r>
      <w:r w:rsidRPr="00DA5EB5">
        <w:rPr>
          <w:i/>
          <w:iCs/>
          <w:sz w:val="20"/>
        </w:rPr>
        <w:t xml:space="preserve">R. </w:t>
      </w:r>
      <w:r w:rsidRPr="00DA5EB5">
        <w:rPr>
          <w:sz w:val="20"/>
        </w:rPr>
        <w:t xml:space="preserve">v. </w:t>
      </w:r>
      <w:r w:rsidRPr="00DA5EB5">
        <w:rPr>
          <w:i/>
          <w:iCs/>
          <w:sz w:val="20"/>
        </w:rPr>
        <w:t xml:space="preserve">Bergeron </w:t>
      </w:r>
      <w:r w:rsidRPr="00DA5EB5">
        <w:rPr>
          <w:sz w:val="20"/>
        </w:rPr>
        <w:t>(1972), 17 C.R.N.S. 85 (Que. C.A.) (</w:t>
      </w:r>
      <w:proofErr w:type="gramStart"/>
      <w:r w:rsidRPr="00DA5EB5">
        <w:rPr>
          <w:sz w:val="20"/>
        </w:rPr>
        <w:t>one</w:t>
      </w:r>
      <w:proofErr w:type="gramEnd"/>
      <w:r w:rsidRPr="00DA5EB5">
        <w:rPr>
          <w:sz w:val="20"/>
        </w:rPr>
        <w:t xml:space="preserve"> year plus fine); </w:t>
      </w:r>
      <w:r w:rsidRPr="00DA5EB5">
        <w:rPr>
          <w:i/>
          <w:iCs/>
          <w:sz w:val="20"/>
        </w:rPr>
        <w:t xml:space="preserve">R. </w:t>
      </w:r>
      <w:r w:rsidRPr="00DA5EB5">
        <w:rPr>
          <w:sz w:val="20"/>
        </w:rPr>
        <w:t xml:space="preserve">v. </w:t>
      </w:r>
      <w:r w:rsidRPr="00DA5EB5">
        <w:rPr>
          <w:i/>
          <w:iCs/>
          <w:sz w:val="20"/>
        </w:rPr>
        <w:t xml:space="preserve">Gorman </w:t>
      </w:r>
      <w:r w:rsidRPr="00DA5EB5">
        <w:rPr>
          <w:sz w:val="20"/>
        </w:rPr>
        <w:t>(1971), 4 C.C.C. (2d) 330 (Ont. C.A.) (</w:t>
      </w:r>
      <w:proofErr w:type="gramStart"/>
      <w:r w:rsidRPr="00DA5EB5">
        <w:rPr>
          <w:sz w:val="20"/>
        </w:rPr>
        <w:t>two</w:t>
      </w:r>
      <w:proofErr w:type="gramEnd"/>
      <w:r w:rsidRPr="00DA5EB5">
        <w:rPr>
          <w:sz w:val="20"/>
        </w:rPr>
        <w:t xml:space="preserve"> years less a day definite and one year indeterminate); </w:t>
      </w:r>
      <w:r w:rsidRPr="00DA5EB5">
        <w:rPr>
          <w:i/>
          <w:iCs/>
          <w:sz w:val="20"/>
        </w:rPr>
        <w:t xml:space="preserve">R. </w:t>
      </w:r>
      <w:r w:rsidRPr="00DA5EB5">
        <w:rPr>
          <w:sz w:val="20"/>
        </w:rPr>
        <w:t xml:space="preserve">v. </w:t>
      </w:r>
      <w:proofErr w:type="spellStart"/>
      <w:r w:rsidRPr="00DA5EB5">
        <w:rPr>
          <w:i/>
          <w:iCs/>
          <w:sz w:val="20"/>
        </w:rPr>
        <w:t>Robillard</w:t>
      </w:r>
      <w:proofErr w:type="spellEnd"/>
      <w:r w:rsidRPr="00DA5EB5">
        <w:rPr>
          <w:i/>
          <w:iCs/>
          <w:sz w:val="20"/>
        </w:rPr>
        <w:t xml:space="preserve"> </w:t>
      </w:r>
      <w:r w:rsidRPr="00DA5EB5">
        <w:rPr>
          <w:sz w:val="20"/>
        </w:rPr>
        <w:t xml:space="preserve">(1985), 18 C.C.C. (3d) 266 (Que. C.A.) (one year for one offender, eight months for others); </w:t>
      </w:r>
      <w:r w:rsidRPr="00DA5EB5">
        <w:rPr>
          <w:i/>
          <w:iCs/>
          <w:sz w:val="20"/>
        </w:rPr>
        <w:t xml:space="preserve">R. </w:t>
      </w:r>
      <w:r w:rsidRPr="00DA5EB5">
        <w:rPr>
          <w:sz w:val="20"/>
        </w:rPr>
        <w:t xml:space="preserve">v. </w:t>
      </w:r>
      <w:r w:rsidRPr="00DA5EB5">
        <w:rPr>
          <w:i/>
          <w:iCs/>
          <w:sz w:val="20"/>
        </w:rPr>
        <w:t xml:space="preserve">McLaren, </w:t>
      </w:r>
      <w:r w:rsidRPr="00DA5EB5">
        <w:rPr>
          <w:sz w:val="20"/>
        </w:rPr>
        <w:t xml:space="preserve">[1995] S.J. No. 565 (Q.B.) (three and one half years total, including two years on breach of trust); </w:t>
      </w:r>
      <w:r w:rsidRPr="00DA5EB5">
        <w:rPr>
          <w:i/>
          <w:iCs/>
          <w:sz w:val="20"/>
        </w:rPr>
        <w:t xml:space="preserve">R. </w:t>
      </w:r>
      <w:r w:rsidRPr="00DA5EB5">
        <w:rPr>
          <w:sz w:val="20"/>
        </w:rPr>
        <w:t xml:space="preserve">v. </w:t>
      </w:r>
      <w:r w:rsidRPr="00DA5EB5">
        <w:rPr>
          <w:i/>
          <w:iCs/>
          <w:sz w:val="20"/>
        </w:rPr>
        <w:t>Gentile</w:t>
      </w:r>
      <w:r w:rsidRPr="00DA5EB5">
        <w:rPr>
          <w:sz w:val="20"/>
        </w:rPr>
        <w:t xml:space="preserve">, [1994] O.J. No. 4446 (Ont. Ct. Gen. Div.) per Van Camp J. (Sept. 20, 1994), (two years total); </w:t>
      </w:r>
      <w:r w:rsidRPr="00DA5EB5">
        <w:rPr>
          <w:i/>
          <w:iCs/>
          <w:sz w:val="20"/>
        </w:rPr>
        <w:t xml:space="preserve">R. </w:t>
      </w:r>
      <w:r w:rsidRPr="00DA5EB5">
        <w:rPr>
          <w:sz w:val="20"/>
        </w:rPr>
        <w:t xml:space="preserve">v. </w:t>
      </w:r>
      <w:proofErr w:type="spellStart"/>
      <w:r w:rsidRPr="00DA5EB5">
        <w:rPr>
          <w:i/>
          <w:iCs/>
          <w:sz w:val="20"/>
        </w:rPr>
        <w:t>Achtem</w:t>
      </w:r>
      <w:proofErr w:type="spellEnd"/>
      <w:r w:rsidRPr="00DA5EB5">
        <w:rPr>
          <w:i/>
          <w:iCs/>
          <w:sz w:val="20"/>
        </w:rPr>
        <w:t xml:space="preserve"> </w:t>
      </w:r>
      <w:r w:rsidRPr="00DA5EB5">
        <w:rPr>
          <w:sz w:val="20"/>
        </w:rPr>
        <w:t>(1978), 13 C.R. (3d) 199 (Alta. C.A.) (</w:t>
      </w:r>
      <w:proofErr w:type="gramStart"/>
      <w:r w:rsidRPr="00DA5EB5">
        <w:rPr>
          <w:sz w:val="20"/>
        </w:rPr>
        <w:t>three</w:t>
      </w:r>
      <w:proofErr w:type="gramEnd"/>
      <w:r w:rsidRPr="00DA5EB5">
        <w:rPr>
          <w:sz w:val="20"/>
        </w:rPr>
        <w:t xml:space="preserve"> years); </w:t>
      </w:r>
      <w:r w:rsidRPr="00DA5EB5">
        <w:rPr>
          <w:i/>
          <w:iCs/>
          <w:sz w:val="20"/>
        </w:rPr>
        <w:t xml:space="preserve">R. </w:t>
      </w:r>
      <w:r w:rsidRPr="00DA5EB5">
        <w:rPr>
          <w:sz w:val="20"/>
        </w:rPr>
        <w:t xml:space="preserve">v. </w:t>
      </w:r>
      <w:r w:rsidRPr="00DA5EB5">
        <w:rPr>
          <w:i/>
          <w:iCs/>
          <w:sz w:val="20"/>
        </w:rPr>
        <w:t xml:space="preserve">Cooper (No. 2) </w:t>
      </w:r>
      <w:r w:rsidRPr="00DA5EB5">
        <w:rPr>
          <w:sz w:val="20"/>
        </w:rPr>
        <w:t xml:space="preserve">(1977), 35 C.C.C. (2d) 35 (Ont. C.A.) (eighteen months reduced to twelve months); </w:t>
      </w:r>
      <w:r w:rsidRPr="00DA5EB5">
        <w:rPr>
          <w:i/>
          <w:iCs/>
          <w:sz w:val="20"/>
        </w:rPr>
        <w:t xml:space="preserve">R. </w:t>
      </w:r>
      <w:r w:rsidRPr="00DA5EB5">
        <w:rPr>
          <w:sz w:val="20"/>
        </w:rPr>
        <w:t xml:space="preserve">v. </w:t>
      </w:r>
      <w:r w:rsidRPr="00DA5EB5">
        <w:rPr>
          <w:i/>
          <w:iCs/>
          <w:sz w:val="20"/>
        </w:rPr>
        <w:t xml:space="preserve">Boudreau </w:t>
      </w:r>
      <w:r w:rsidRPr="00DA5EB5">
        <w:rPr>
          <w:sz w:val="20"/>
        </w:rPr>
        <w:t xml:space="preserve">(1978), 39 C.C.C. (2d) 75 (N.S.S.C.(A.D.)) (twelve months); </w:t>
      </w:r>
      <w:r w:rsidRPr="00DA5EB5">
        <w:rPr>
          <w:i/>
          <w:iCs/>
          <w:sz w:val="20"/>
        </w:rPr>
        <w:t xml:space="preserve">R. </w:t>
      </w:r>
      <w:r w:rsidRPr="00DA5EB5">
        <w:rPr>
          <w:sz w:val="20"/>
        </w:rPr>
        <w:t xml:space="preserve">v. </w:t>
      </w:r>
      <w:proofErr w:type="spellStart"/>
      <w:r w:rsidRPr="00DA5EB5">
        <w:rPr>
          <w:i/>
          <w:iCs/>
          <w:sz w:val="20"/>
        </w:rPr>
        <w:t>McKitka</w:t>
      </w:r>
      <w:proofErr w:type="spellEnd"/>
      <w:r w:rsidRPr="00DA5EB5">
        <w:rPr>
          <w:sz w:val="20"/>
        </w:rPr>
        <w:t>, [1982] B.C.J. No. 2258, 7 W.C.B. 527 (B.C.C.A.) (three years)</w:t>
      </w:r>
    </w:p>
    <w:p w14:paraId="1E71AF46" w14:textId="11B35A4C" w:rsidR="00F828B7" w:rsidRPr="00DA5EB5" w:rsidRDefault="00F828B7" w:rsidP="008F288C">
      <w:pPr>
        <w:pStyle w:val="BlockQuote"/>
        <w:numPr>
          <w:ilvl w:val="0"/>
          <w:numId w:val="100"/>
        </w:numPr>
        <w:jc w:val="left"/>
        <w:rPr>
          <w:sz w:val="20"/>
        </w:rPr>
      </w:pPr>
      <w:r w:rsidRPr="00DA5EB5">
        <w:rPr>
          <w:sz w:val="20"/>
        </w:rPr>
        <w:t xml:space="preserve">Each of these cases balances different factors. The sentencing decision in </w:t>
      </w:r>
      <w:r w:rsidRPr="00DA5EB5">
        <w:rPr>
          <w:i/>
          <w:iCs/>
          <w:sz w:val="20"/>
        </w:rPr>
        <w:t xml:space="preserve">Gentile </w:t>
      </w:r>
      <w:r w:rsidRPr="00DA5EB5">
        <w:rPr>
          <w:sz w:val="20"/>
        </w:rPr>
        <w:t xml:space="preserve">is comparable in some respects. </w:t>
      </w:r>
      <w:r w:rsidRPr="00DA5EB5">
        <w:rPr>
          <w:i/>
          <w:iCs/>
          <w:sz w:val="20"/>
        </w:rPr>
        <w:t xml:space="preserve">Gentile </w:t>
      </w:r>
      <w:r w:rsidRPr="00DA5EB5">
        <w:rPr>
          <w:sz w:val="20"/>
        </w:rPr>
        <w:t xml:space="preserve">was convicted of breach of trust in relation to his duties as a municipal councillor by accepting benefits from a developer. He received about $164,000 over a two-year period in various benefits including restaurant billings, credit cards, clothing and debt repayment. Like Mr. </w:t>
      </w:r>
      <w:proofErr w:type="spellStart"/>
      <w:r w:rsidRPr="00DA5EB5">
        <w:rPr>
          <w:sz w:val="20"/>
        </w:rPr>
        <w:t>Gyles</w:t>
      </w:r>
      <w:proofErr w:type="spellEnd"/>
      <w:r w:rsidRPr="00DA5EB5">
        <w:rPr>
          <w:sz w:val="20"/>
        </w:rPr>
        <w:t xml:space="preserve">, Mr. Gentile had a well-deserved reputation for his long-standing involvement in the community. He too had no prior record. Although he did not plead guilty, the trial was based on an issue of law and as a result the trial was greatly shortened. A sentence of two years in the penitentiary was imposed. The Crown persuasively argued that the type of conduct considered in </w:t>
      </w:r>
      <w:r w:rsidRPr="00DA5EB5">
        <w:rPr>
          <w:i/>
          <w:iCs/>
          <w:sz w:val="20"/>
        </w:rPr>
        <w:t xml:space="preserve">Gentile </w:t>
      </w:r>
      <w:r w:rsidRPr="00DA5EB5">
        <w:rPr>
          <w:sz w:val="20"/>
        </w:rPr>
        <w:t xml:space="preserve">could be said to be less serious, since it involved the exercise of a subtle influence by introducing a developer to other city councillors rather than a blatant demand for cash, akin to extortion, as in the case of Mr. </w:t>
      </w:r>
      <w:proofErr w:type="spellStart"/>
      <w:r w:rsidRPr="00DA5EB5">
        <w:rPr>
          <w:sz w:val="20"/>
        </w:rPr>
        <w:t>Gyles</w:t>
      </w:r>
      <w:proofErr w:type="spellEnd"/>
      <w:r w:rsidRPr="00DA5EB5">
        <w:rPr>
          <w:sz w:val="20"/>
        </w:rPr>
        <w:t xml:space="preserve">. I agree that it is an important aggravating factor that Mr. </w:t>
      </w:r>
      <w:proofErr w:type="spellStart"/>
      <w:r w:rsidRPr="00DA5EB5">
        <w:rPr>
          <w:sz w:val="20"/>
        </w:rPr>
        <w:t>Gyles</w:t>
      </w:r>
      <w:proofErr w:type="spellEnd"/>
      <w:r w:rsidRPr="00DA5EB5">
        <w:rPr>
          <w:sz w:val="20"/>
        </w:rPr>
        <w:t xml:space="preserve"> instigated the offences, and that they were obvious bribes.</w:t>
      </w:r>
    </w:p>
    <w:p w14:paraId="0A5DDDD6" w14:textId="26E6A74C" w:rsidR="00F828B7" w:rsidRPr="00DA5EB5" w:rsidRDefault="00F828B7" w:rsidP="008F288C">
      <w:pPr>
        <w:pStyle w:val="BlockQuote"/>
        <w:numPr>
          <w:ilvl w:val="0"/>
          <w:numId w:val="100"/>
        </w:numPr>
        <w:jc w:val="left"/>
        <w:rPr>
          <w:sz w:val="20"/>
        </w:rPr>
      </w:pPr>
      <w:r w:rsidRPr="00DA5EB5">
        <w:rPr>
          <w:sz w:val="20"/>
        </w:rPr>
        <w:t xml:space="preserve">Similar cases have attracted penitentiary sentences. In </w:t>
      </w:r>
      <w:proofErr w:type="spellStart"/>
      <w:r w:rsidRPr="00DA5EB5">
        <w:rPr>
          <w:i/>
          <w:iCs/>
          <w:sz w:val="20"/>
        </w:rPr>
        <w:t>McKitka</w:t>
      </w:r>
      <w:proofErr w:type="spellEnd"/>
      <w:r w:rsidRPr="00DA5EB5">
        <w:rPr>
          <w:i/>
          <w:iCs/>
          <w:sz w:val="20"/>
        </w:rPr>
        <w:t xml:space="preserve">, </w:t>
      </w:r>
      <w:r w:rsidRPr="00DA5EB5">
        <w:rPr>
          <w:sz w:val="20"/>
        </w:rPr>
        <w:t xml:space="preserve">the mayor of a city was charged with breach of trust and municipal corruption. A three-year sentence was upheld on appeal. The Court emphasized that “corruption in public services cannot be countenanced”. In </w:t>
      </w:r>
      <w:r w:rsidRPr="00DA5EB5">
        <w:rPr>
          <w:i/>
          <w:iCs/>
          <w:sz w:val="20"/>
        </w:rPr>
        <w:t xml:space="preserve">McLaren, </w:t>
      </w:r>
      <w:r w:rsidRPr="00DA5EB5">
        <w:rPr>
          <w:sz w:val="20"/>
        </w:rPr>
        <w:t>a sentence of three and a half years' imprisonment in total was imposed on charges of fraud, theft and breach of trust. The offences had higher maximum penalties and the circumstances involved larger quantities of money, but the accused pleaded guilty. Two years concurrent was given on the breach of trust count. The court held that although a long sentence was not needed to deter or reform the accused, it was necessary to deter others and to maintain the public's confidence in the administration of justice.</w:t>
      </w:r>
    </w:p>
    <w:p w14:paraId="4E140035" w14:textId="77777777" w:rsidR="00F828B7" w:rsidRPr="00DA5EB5" w:rsidRDefault="00F828B7" w:rsidP="008F288C">
      <w:pPr>
        <w:pStyle w:val="BlockQuote"/>
        <w:jc w:val="left"/>
        <w:rPr>
          <w:sz w:val="20"/>
        </w:rPr>
      </w:pPr>
      <w:r w:rsidRPr="00DA5EB5">
        <w:rPr>
          <w:sz w:val="20"/>
        </w:rPr>
        <w:t>…</w:t>
      </w:r>
    </w:p>
    <w:p w14:paraId="7058C432" w14:textId="3C644939" w:rsidR="00F828B7" w:rsidRPr="00DA5EB5" w:rsidRDefault="00F828B7" w:rsidP="008F288C">
      <w:pPr>
        <w:pStyle w:val="BlockQuote"/>
        <w:numPr>
          <w:ilvl w:val="0"/>
          <w:numId w:val="102"/>
        </w:numPr>
        <w:jc w:val="left"/>
        <w:rPr>
          <w:sz w:val="20"/>
        </w:rPr>
      </w:pPr>
      <w:r w:rsidRPr="00DA5EB5">
        <w:rPr>
          <w:sz w:val="20"/>
        </w:rPr>
        <w:t>In general, it has been held that a serious breach of trust requires a sentence of incarceration:</w:t>
      </w:r>
    </w:p>
    <w:p w14:paraId="186BB54B" w14:textId="77777777" w:rsidR="00F828B7" w:rsidRPr="00DA5EB5" w:rsidRDefault="00F828B7" w:rsidP="008F288C">
      <w:pPr>
        <w:pStyle w:val="BlockQuote"/>
        <w:ind w:left="1440"/>
        <w:jc w:val="left"/>
        <w:rPr>
          <w:sz w:val="20"/>
        </w:rPr>
      </w:pPr>
      <w:r w:rsidRPr="00DA5EB5">
        <w:rPr>
          <w:sz w:val="20"/>
        </w:rPr>
        <w:t xml:space="preserve">... </w:t>
      </w:r>
      <w:proofErr w:type="gramStart"/>
      <w:r w:rsidRPr="00DA5EB5">
        <w:rPr>
          <w:sz w:val="20"/>
        </w:rPr>
        <w:t>the</w:t>
      </w:r>
      <w:proofErr w:type="gramEnd"/>
      <w:r w:rsidRPr="00DA5EB5">
        <w:rPr>
          <w:sz w:val="20"/>
        </w:rPr>
        <w:t xml:space="preserve"> crimes are serious. No violence, of course, but on the other hand, they involve the underhanded deceit of a person who, holding a position of confidence in the public service, undermines the system for personal gain. Such behaviour, in my view, calls for </w:t>
      </w:r>
      <w:proofErr w:type="gramStart"/>
      <w:r w:rsidRPr="00DA5EB5">
        <w:rPr>
          <w:sz w:val="20"/>
        </w:rPr>
        <w:t>deterrence, ...</w:t>
      </w:r>
      <w:proofErr w:type="gramEnd"/>
      <w:r w:rsidRPr="00DA5EB5">
        <w:rPr>
          <w:sz w:val="20"/>
        </w:rPr>
        <w:t xml:space="preserve"> which would give rise to a term of imprisonment. To hold otherwise, would in my view bring the administration of justice into </w:t>
      </w:r>
      <w:proofErr w:type="gramStart"/>
      <w:r w:rsidRPr="00DA5EB5">
        <w:rPr>
          <w:sz w:val="20"/>
        </w:rPr>
        <w:t>disrepute.</w:t>
      </w:r>
      <w:proofErr w:type="gramEnd"/>
    </w:p>
    <w:p w14:paraId="7716ACEC" w14:textId="77777777" w:rsidR="00F828B7" w:rsidRPr="00DA5EB5" w:rsidRDefault="00F828B7" w:rsidP="008F288C">
      <w:pPr>
        <w:pStyle w:val="BlockQuote"/>
        <w:ind w:left="1440"/>
        <w:jc w:val="left"/>
        <w:rPr>
          <w:sz w:val="20"/>
        </w:rPr>
      </w:pPr>
      <w:r w:rsidRPr="00DA5EB5">
        <w:rPr>
          <w:i/>
          <w:iCs/>
          <w:sz w:val="20"/>
        </w:rPr>
        <w:t xml:space="preserve">R. v. </w:t>
      </w:r>
      <w:proofErr w:type="spellStart"/>
      <w:r w:rsidRPr="00DA5EB5">
        <w:rPr>
          <w:i/>
          <w:iCs/>
          <w:sz w:val="20"/>
        </w:rPr>
        <w:t>Robillard</w:t>
      </w:r>
      <w:proofErr w:type="spellEnd"/>
      <w:r w:rsidRPr="00DA5EB5">
        <w:rPr>
          <w:i/>
          <w:iCs/>
          <w:sz w:val="20"/>
        </w:rPr>
        <w:t xml:space="preserve"> (supra) </w:t>
      </w:r>
      <w:r w:rsidRPr="00DA5EB5">
        <w:rPr>
          <w:sz w:val="20"/>
        </w:rPr>
        <w:t>at 273-4.</w:t>
      </w:r>
    </w:p>
    <w:p w14:paraId="3BF4E028" w14:textId="77777777" w:rsidR="00F828B7" w:rsidRPr="00DA5EB5" w:rsidRDefault="00F828B7" w:rsidP="008F288C">
      <w:pPr>
        <w:pStyle w:val="BlockQuote"/>
        <w:jc w:val="left"/>
        <w:rPr>
          <w:rStyle w:val="bold1"/>
          <w:b w:val="0"/>
          <w:color w:val="000000"/>
          <w:kern w:val="2"/>
          <w:sz w:val="20"/>
          <w:szCs w:val="21"/>
        </w:rPr>
      </w:pPr>
      <w:r w:rsidRPr="00DA5EB5">
        <w:rPr>
          <w:rStyle w:val="bold1"/>
          <w:b w:val="0"/>
          <w:color w:val="000000"/>
          <w:kern w:val="2"/>
          <w:sz w:val="20"/>
          <w:szCs w:val="21"/>
        </w:rPr>
        <w:t>…</w:t>
      </w:r>
    </w:p>
    <w:p w14:paraId="3C483347" w14:textId="58F5F1A5" w:rsidR="00F828B7" w:rsidRPr="00DA5EB5" w:rsidRDefault="00F828B7" w:rsidP="008F288C">
      <w:pPr>
        <w:pStyle w:val="BlockQuote"/>
        <w:numPr>
          <w:ilvl w:val="0"/>
          <w:numId w:val="103"/>
        </w:numPr>
        <w:jc w:val="left"/>
        <w:rPr>
          <w:sz w:val="20"/>
        </w:rPr>
      </w:pPr>
      <w:r w:rsidRPr="00DA5EB5">
        <w:rPr>
          <w:color w:val="000000"/>
          <w:sz w:val="20"/>
        </w:rPr>
        <w:t xml:space="preserve">In this case, considering the inherent seriousness of the offences, the repetition of the crime in separate instances, the length of time involved, and the need for effective deterrence, it is my view that only a sentence of penitentiary length will suffice to meet the needs of justice. Mitigating factors such as a plea of guilty or genuine remorse that are present in cases where shorter sentences are imposed, are not present here. The contribution that Mr. </w:t>
      </w:r>
      <w:proofErr w:type="spellStart"/>
      <w:r w:rsidRPr="00DA5EB5">
        <w:rPr>
          <w:color w:val="000000"/>
          <w:sz w:val="20"/>
        </w:rPr>
        <w:t>Gyles</w:t>
      </w:r>
      <w:proofErr w:type="spellEnd"/>
      <w:r w:rsidRPr="00DA5EB5">
        <w:rPr>
          <w:color w:val="000000"/>
          <w:sz w:val="20"/>
        </w:rPr>
        <w:t xml:space="preserve"> can now make to his community is to serve as a warning to others who might be tempted to abuse a position of public power. Realistically, the only effective way he can do this is by serving a sentence of incarceration.</w:t>
      </w:r>
    </w:p>
    <w:p w14:paraId="38E3EEFA" w14:textId="4BC5B546" w:rsidR="00F828B7" w:rsidRPr="00DA5EB5" w:rsidRDefault="00F828B7" w:rsidP="008F288C">
      <w:pPr>
        <w:pStyle w:val="BlockQuote"/>
        <w:numPr>
          <w:ilvl w:val="0"/>
          <w:numId w:val="103"/>
        </w:numPr>
        <w:spacing w:after="360"/>
        <w:jc w:val="left"/>
        <w:rPr>
          <w:color w:val="000000"/>
          <w:sz w:val="20"/>
        </w:rPr>
      </w:pPr>
      <w:r w:rsidRPr="00DA5EB5">
        <w:rPr>
          <w:color w:val="000000"/>
          <w:sz w:val="20"/>
        </w:rPr>
        <w:t xml:space="preserve">While the facts of this case may be considered as serious or even more serious than those that have led the other courts to impose sentences of up to three and a half years in the penitentiary, recognition should be given to the fact that Mr. </w:t>
      </w:r>
      <w:proofErr w:type="spellStart"/>
      <w:r w:rsidRPr="00DA5EB5">
        <w:rPr>
          <w:color w:val="000000"/>
          <w:sz w:val="20"/>
        </w:rPr>
        <w:t>Gyles</w:t>
      </w:r>
      <w:proofErr w:type="spellEnd"/>
      <w:r w:rsidRPr="00DA5EB5">
        <w:rPr>
          <w:color w:val="000000"/>
          <w:sz w:val="20"/>
        </w:rPr>
        <w:t xml:space="preserve"> is now almost 60, and suffering from some health problems, partly as a result of the stress relating to these court proceedings. Weight must be given to the fact of his prior record of long public service.</w:t>
      </w:r>
      <w:r w:rsidRPr="00DA5EB5">
        <w:rPr>
          <w:rStyle w:val="FootnoteReference"/>
          <w:color w:val="000000"/>
          <w:kern w:val="2"/>
          <w:szCs w:val="21"/>
        </w:rPr>
        <w:footnoteReference w:id="114"/>
      </w:r>
    </w:p>
    <w:p w14:paraId="03192BB3" w14:textId="22BF5D60" w:rsidR="00E534EE" w:rsidRPr="00DA5EB5" w:rsidRDefault="0061282C" w:rsidP="007C3517">
      <w:pPr>
        <w:pStyle w:val="Heading3"/>
        <w:rPr>
          <w:kern w:val="2"/>
          <w:sz w:val="22"/>
        </w:rPr>
      </w:pPr>
      <w:r w:rsidRPr="00DA5EB5">
        <w:rPr>
          <w:kern w:val="2"/>
          <w:sz w:val="22"/>
        </w:rPr>
        <w:t>Corruptly Defrauding the Government</w:t>
      </w:r>
    </w:p>
    <w:p w14:paraId="1E48BB66" w14:textId="63901BA8" w:rsidR="0061282C" w:rsidRPr="00DA5EB5" w:rsidRDefault="0061282C" w:rsidP="007C3517">
      <w:pPr>
        <w:rPr>
          <w:color w:val="000000"/>
          <w:kern w:val="2"/>
          <w:sz w:val="20"/>
        </w:rPr>
      </w:pPr>
      <w:r w:rsidRPr="00DA5EB5">
        <w:rPr>
          <w:color w:val="000000"/>
          <w:kern w:val="2"/>
          <w:sz w:val="20"/>
        </w:rPr>
        <w:t xml:space="preserve">In many cases of corruption, there is an underlying offence such as fraud or theft. In some instances, the individual is charged with a corruption offence alongside an underlying offence; in other instances the underlying offence is the only </w:t>
      </w:r>
      <w:r w:rsidR="00264A51" w:rsidRPr="00DA5EB5">
        <w:rPr>
          <w:color w:val="000000"/>
          <w:kern w:val="2"/>
          <w:sz w:val="20"/>
        </w:rPr>
        <w:t>offence</w:t>
      </w:r>
      <w:r w:rsidRPr="00DA5EB5">
        <w:rPr>
          <w:color w:val="000000"/>
          <w:kern w:val="2"/>
          <w:sz w:val="20"/>
        </w:rPr>
        <w:t xml:space="preserve"> charged. The latter phenomenon occurred in the well-known Federal Sponsorship scandal</w:t>
      </w:r>
      <w:r w:rsidR="00FE698C" w:rsidRPr="00DA5EB5">
        <w:rPr>
          <w:color w:val="000000"/>
          <w:kern w:val="2"/>
          <w:sz w:val="20"/>
        </w:rPr>
        <w:t>. The sponsorship</w:t>
      </w:r>
      <w:r w:rsidRPr="00DA5EB5">
        <w:rPr>
          <w:color w:val="000000"/>
          <w:kern w:val="2"/>
          <w:sz w:val="20"/>
        </w:rPr>
        <w:t xml:space="preserve"> program ran from 1996 to 2004</w:t>
      </w:r>
      <w:r w:rsidR="00FE698C" w:rsidRPr="00DA5EB5">
        <w:rPr>
          <w:color w:val="000000"/>
          <w:kern w:val="2"/>
          <w:sz w:val="20"/>
        </w:rPr>
        <w:t>, but was shut down after widespread corruption was discovered</w:t>
      </w:r>
      <w:r w:rsidRPr="00DA5EB5">
        <w:rPr>
          <w:color w:val="000000"/>
          <w:kern w:val="2"/>
          <w:sz w:val="20"/>
        </w:rPr>
        <w:t xml:space="preserve">. </w:t>
      </w:r>
      <w:r w:rsidR="00FE698C" w:rsidRPr="00DA5EB5">
        <w:rPr>
          <w:color w:val="000000"/>
          <w:kern w:val="2"/>
          <w:sz w:val="20"/>
        </w:rPr>
        <w:t>Several individuals were charged</w:t>
      </w:r>
      <w:r w:rsidRPr="00DA5EB5">
        <w:rPr>
          <w:color w:val="000000"/>
          <w:kern w:val="2"/>
          <w:sz w:val="20"/>
        </w:rPr>
        <w:t>. The sentences of those individuals are briefly summarized below.</w:t>
      </w:r>
    </w:p>
    <w:p w14:paraId="6749ECBA" w14:textId="6C194C2E" w:rsidR="0061282C" w:rsidRPr="00DA5EB5" w:rsidRDefault="0061282C" w:rsidP="007C3517">
      <w:pPr>
        <w:rPr>
          <w:color w:val="000000"/>
          <w:kern w:val="2"/>
          <w:sz w:val="20"/>
        </w:rPr>
      </w:pPr>
      <w:r w:rsidRPr="00DA5EB5">
        <w:rPr>
          <w:color w:val="000000"/>
          <w:kern w:val="2"/>
          <w:sz w:val="20"/>
        </w:rPr>
        <w:t xml:space="preserve">Jean </w:t>
      </w:r>
      <w:proofErr w:type="spellStart"/>
      <w:r w:rsidRPr="00DA5EB5">
        <w:rPr>
          <w:color w:val="000000"/>
          <w:kern w:val="2"/>
          <w:sz w:val="20"/>
        </w:rPr>
        <w:t>LaFleur</w:t>
      </w:r>
      <w:proofErr w:type="spellEnd"/>
      <w:r w:rsidRPr="00DA5EB5">
        <w:rPr>
          <w:color w:val="000000"/>
          <w:kern w:val="2"/>
          <w:sz w:val="20"/>
        </w:rPr>
        <w:t xml:space="preserve"> pled guilty to 28 fraud charges against the federal government</w:t>
      </w:r>
      <w:r w:rsidR="00CD1891" w:rsidRPr="00DA5EB5">
        <w:rPr>
          <w:color w:val="000000"/>
          <w:kern w:val="2"/>
          <w:sz w:val="20"/>
        </w:rPr>
        <w:t xml:space="preserve"> involving over</w:t>
      </w:r>
      <w:r w:rsidRPr="00DA5EB5">
        <w:rPr>
          <w:color w:val="000000"/>
          <w:kern w:val="2"/>
          <w:sz w:val="20"/>
        </w:rPr>
        <w:t xml:space="preserve"> $1.5 million. The offences took place over three years and involved 76 fraudulent invoices. </w:t>
      </w:r>
      <w:r w:rsidR="007C2687" w:rsidRPr="00DA5EB5">
        <w:rPr>
          <w:color w:val="000000"/>
          <w:kern w:val="2"/>
          <w:sz w:val="20"/>
        </w:rPr>
        <w:t xml:space="preserve">Justice </w:t>
      </w:r>
      <w:proofErr w:type="spellStart"/>
      <w:r w:rsidRPr="00DA5EB5">
        <w:rPr>
          <w:color w:val="000000"/>
          <w:kern w:val="2"/>
          <w:sz w:val="20"/>
        </w:rPr>
        <w:t>Coupal</w:t>
      </w:r>
      <w:proofErr w:type="spellEnd"/>
      <w:r w:rsidR="00CD1891" w:rsidRPr="00DA5EB5">
        <w:rPr>
          <w:color w:val="000000"/>
          <w:kern w:val="2"/>
          <w:sz w:val="20"/>
        </w:rPr>
        <w:t xml:space="preserve"> </w:t>
      </w:r>
      <w:r w:rsidRPr="00DA5EB5">
        <w:rPr>
          <w:color w:val="000000"/>
          <w:kern w:val="2"/>
          <w:sz w:val="20"/>
        </w:rPr>
        <w:t xml:space="preserve">sentenced </w:t>
      </w:r>
      <w:proofErr w:type="spellStart"/>
      <w:r w:rsidRPr="00DA5EB5">
        <w:rPr>
          <w:color w:val="000000"/>
          <w:kern w:val="2"/>
          <w:sz w:val="20"/>
        </w:rPr>
        <w:t>LaFleur</w:t>
      </w:r>
      <w:proofErr w:type="spellEnd"/>
      <w:r w:rsidRPr="00DA5EB5">
        <w:rPr>
          <w:color w:val="000000"/>
          <w:kern w:val="2"/>
          <w:sz w:val="20"/>
        </w:rPr>
        <w:t xml:space="preserve"> to 42 months imprisonment, as well as restitution payments</w:t>
      </w:r>
      <w:r w:rsidR="00423B99" w:rsidRPr="00DA5EB5">
        <w:rPr>
          <w:color w:val="000000"/>
          <w:kern w:val="2"/>
          <w:sz w:val="20"/>
        </w:rPr>
        <w:t>,</w:t>
      </w:r>
      <w:r w:rsidRPr="00DA5EB5">
        <w:rPr>
          <w:color w:val="000000"/>
          <w:kern w:val="2"/>
          <w:sz w:val="20"/>
        </w:rPr>
        <w:t xml:space="preserve"> and a $14,000 victim surcharge. Mitigating the offence was the absence of a criminal record, remorse and an early guilty plea – 22 days after being charged. Aggravating factors included the breach of public trust</w:t>
      </w:r>
      <w:r w:rsidR="00CD1891" w:rsidRPr="00DA5EB5">
        <w:rPr>
          <w:color w:val="000000"/>
          <w:kern w:val="2"/>
          <w:sz w:val="20"/>
        </w:rPr>
        <w:t xml:space="preserve">. </w:t>
      </w:r>
      <w:r w:rsidR="007C2687" w:rsidRPr="00DA5EB5">
        <w:rPr>
          <w:color w:val="000000"/>
          <w:kern w:val="2"/>
          <w:sz w:val="20"/>
        </w:rPr>
        <w:t xml:space="preserve">Justice </w:t>
      </w:r>
      <w:proofErr w:type="spellStart"/>
      <w:r w:rsidRPr="00DA5EB5">
        <w:rPr>
          <w:color w:val="000000"/>
          <w:kern w:val="2"/>
          <w:sz w:val="20"/>
        </w:rPr>
        <w:t>Coupal</w:t>
      </w:r>
      <w:proofErr w:type="spellEnd"/>
      <w:r w:rsidR="00CD1891" w:rsidRPr="00DA5EB5">
        <w:rPr>
          <w:color w:val="000000"/>
          <w:kern w:val="2"/>
          <w:sz w:val="20"/>
        </w:rPr>
        <w:t xml:space="preserve"> </w:t>
      </w:r>
      <w:r w:rsidRPr="00DA5EB5">
        <w:rPr>
          <w:color w:val="000000"/>
          <w:kern w:val="2"/>
          <w:sz w:val="20"/>
        </w:rPr>
        <w:t>not</w:t>
      </w:r>
      <w:r w:rsidR="00CD1891" w:rsidRPr="00DA5EB5">
        <w:rPr>
          <w:color w:val="000000"/>
          <w:kern w:val="2"/>
          <w:sz w:val="20"/>
        </w:rPr>
        <w:t>ed that</w:t>
      </w:r>
      <w:r w:rsidRPr="00DA5EB5">
        <w:rPr>
          <w:color w:val="000000"/>
          <w:kern w:val="2"/>
          <w:sz w:val="20"/>
        </w:rPr>
        <w:t xml:space="preserve"> </w:t>
      </w:r>
      <w:proofErr w:type="spellStart"/>
      <w:r w:rsidRPr="00DA5EB5">
        <w:rPr>
          <w:color w:val="000000"/>
          <w:kern w:val="2"/>
          <w:sz w:val="20"/>
        </w:rPr>
        <w:t>Lafleur</w:t>
      </w:r>
      <w:proofErr w:type="spellEnd"/>
      <w:r w:rsidRPr="00DA5EB5">
        <w:rPr>
          <w:color w:val="000000"/>
          <w:kern w:val="2"/>
          <w:sz w:val="20"/>
        </w:rPr>
        <w:t xml:space="preserve"> </w:t>
      </w:r>
      <w:r w:rsidR="00FD6DAC" w:rsidRPr="00DA5EB5">
        <w:rPr>
          <w:color w:val="000000"/>
          <w:kern w:val="2"/>
          <w:sz w:val="20"/>
        </w:rPr>
        <w:t>“</w:t>
      </w:r>
      <w:r w:rsidRPr="00DA5EB5">
        <w:rPr>
          <w:color w:val="000000"/>
          <w:kern w:val="2"/>
          <w:sz w:val="20"/>
        </w:rPr>
        <w:t>derived significant financial benefit from public funds, which were gathered in part through income tax paid by honest citizens, most of whom can never hope for a financial situation comparable to that of the accused.</w:t>
      </w:r>
      <w:r w:rsidR="00FD6DAC" w:rsidRPr="00DA5EB5">
        <w:rPr>
          <w:color w:val="000000"/>
          <w:kern w:val="2"/>
          <w:sz w:val="20"/>
        </w:rPr>
        <w:t>”</w:t>
      </w:r>
      <w:r w:rsidRPr="00DA5EB5">
        <w:rPr>
          <w:rStyle w:val="FootnoteReference"/>
          <w:color w:val="000000"/>
          <w:kern w:val="2"/>
        </w:rPr>
        <w:footnoteReference w:id="115"/>
      </w:r>
    </w:p>
    <w:p w14:paraId="1A0B9003" w14:textId="63FA19B6" w:rsidR="0061282C" w:rsidRPr="00DA5EB5" w:rsidRDefault="0061282C" w:rsidP="007C3517">
      <w:pPr>
        <w:autoSpaceDE w:val="0"/>
        <w:autoSpaceDN w:val="0"/>
        <w:adjustRightInd w:val="0"/>
        <w:rPr>
          <w:color w:val="000000"/>
          <w:kern w:val="2"/>
          <w:sz w:val="20"/>
        </w:rPr>
      </w:pPr>
      <w:r w:rsidRPr="00DA5EB5">
        <w:rPr>
          <w:color w:val="000000"/>
          <w:kern w:val="2"/>
          <w:sz w:val="20"/>
        </w:rPr>
        <w:t xml:space="preserve">Charles </w:t>
      </w:r>
      <w:proofErr w:type="spellStart"/>
      <w:r w:rsidRPr="00DA5EB5">
        <w:rPr>
          <w:color w:val="000000"/>
          <w:kern w:val="2"/>
          <w:sz w:val="20"/>
        </w:rPr>
        <w:t>Guite</w:t>
      </w:r>
      <w:proofErr w:type="spellEnd"/>
      <w:r w:rsidR="00EC5D64" w:rsidRPr="00DA5EB5">
        <w:rPr>
          <w:color w:val="000000"/>
          <w:kern w:val="2"/>
          <w:sz w:val="20"/>
        </w:rPr>
        <w:t>,</w:t>
      </w:r>
      <w:r w:rsidRPr="00DA5EB5">
        <w:rPr>
          <w:color w:val="000000"/>
          <w:kern w:val="2"/>
          <w:sz w:val="20"/>
        </w:rPr>
        <w:t xml:space="preserve"> a senior civil servant</w:t>
      </w:r>
      <w:r w:rsidR="00EC5D64" w:rsidRPr="00DA5EB5">
        <w:rPr>
          <w:color w:val="000000"/>
          <w:kern w:val="2"/>
          <w:sz w:val="20"/>
        </w:rPr>
        <w:t>,</w:t>
      </w:r>
      <w:r w:rsidRPr="00DA5EB5">
        <w:rPr>
          <w:color w:val="000000"/>
          <w:kern w:val="2"/>
          <w:sz w:val="20"/>
        </w:rPr>
        <w:t xml:space="preserve"> was found guilty of five counts of fraud after a trial by jury. </w:t>
      </w:r>
      <w:r w:rsidR="001F67F0" w:rsidRPr="00DA5EB5">
        <w:rPr>
          <w:color w:val="000000"/>
          <w:kern w:val="2"/>
          <w:sz w:val="20"/>
        </w:rPr>
        <w:t xml:space="preserve">Justice </w:t>
      </w:r>
      <w:r w:rsidRPr="00DA5EB5">
        <w:rPr>
          <w:color w:val="000000"/>
          <w:kern w:val="2"/>
          <w:sz w:val="20"/>
        </w:rPr>
        <w:t xml:space="preserve">Martin imposed a sentenced of 42 months. While </w:t>
      </w:r>
      <w:proofErr w:type="spellStart"/>
      <w:r w:rsidRPr="00DA5EB5">
        <w:rPr>
          <w:color w:val="000000"/>
          <w:kern w:val="2"/>
          <w:sz w:val="20"/>
        </w:rPr>
        <w:t>Guite</w:t>
      </w:r>
      <w:proofErr w:type="spellEnd"/>
      <w:r w:rsidRPr="00DA5EB5">
        <w:rPr>
          <w:color w:val="000000"/>
          <w:kern w:val="2"/>
          <w:sz w:val="20"/>
        </w:rPr>
        <w:t xml:space="preserve"> did not benefit from the fraud, his breach of trust and fiduciary duty were key aggravating factors. In his capacity as a senior civil servant, </w:t>
      </w:r>
      <w:proofErr w:type="spellStart"/>
      <w:r w:rsidRPr="00DA5EB5">
        <w:rPr>
          <w:color w:val="000000"/>
          <w:kern w:val="2"/>
          <w:sz w:val="20"/>
        </w:rPr>
        <w:t>Guite</w:t>
      </w:r>
      <w:proofErr w:type="spellEnd"/>
      <w:r w:rsidRPr="00DA5EB5">
        <w:rPr>
          <w:color w:val="000000"/>
          <w:kern w:val="2"/>
          <w:sz w:val="20"/>
        </w:rPr>
        <w:t xml:space="preserve"> awarded five contracts, two of which were fictitious and three of which resulted in little or no benefit to the government. The total value of the fictional contracts was over $2 million. In sentencing </w:t>
      </w:r>
      <w:proofErr w:type="spellStart"/>
      <w:r w:rsidRPr="00DA5EB5">
        <w:rPr>
          <w:color w:val="000000"/>
          <w:kern w:val="2"/>
          <w:sz w:val="20"/>
        </w:rPr>
        <w:t>Guite</w:t>
      </w:r>
      <w:proofErr w:type="spellEnd"/>
      <w:r w:rsidRPr="00DA5EB5">
        <w:rPr>
          <w:color w:val="000000"/>
          <w:kern w:val="2"/>
          <w:sz w:val="20"/>
        </w:rPr>
        <w:t xml:space="preserve">, </w:t>
      </w:r>
      <w:r w:rsidR="001F67F0" w:rsidRPr="00DA5EB5">
        <w:rPr>
          <w:color w:val="000000"/>
          <w:kern w:val="2"/>
          <w:sz w:val="20"/>
        </w:rPr>
        <w:t xml:space="preserve">Justice </w:t>
      </w:r>
      <w:r w:rsidRPr="00DA5EB5">
        <w:rPr>
          <w:color w:val="000000"/>
          <w:kern w:val="2"/>
          <w:sz w:val="20"/>
        </w:rPr>
        <w:t>Martin</w:t>
      </w:r>
      <w:r w:rsidR="00EC5D64" w:rsidRPr="00DA5EB5">
        <w:rPr>
          <w:color w:val="000000"/>
          <w:kern w:val="2"/>
          <w:sz w:val="20"/>
        </w:rPr>
        <w:t xml:space="preserve"> </w:t>
      </w:r>
      <w:r w:rsidRPr="00DA5EB5">
        <w:rPr>
          <w:color w:val="000000"/>
          <w:kern w:val="2"/>
          <w:sz w:val="20"/>
        </w:rPr>
        <w:t>stated:</w:t>
      </w:r>
    </w:p>
    <w:p w14:paraId="7A032D0B" w14:textId="3CF0F313" w:rsidR="001267A6" w:rsidRPr="00DA5EB5" w:rsidRDefault="0061282C" w:rsidP="008F288C">
      <w:pPr>
        <w:pStyle w:val="BlockQuote"/>
        <w:numPr>
          <w:ilvl w:val="0"/>
          <w:numId w:val="105"/>
        </w:numPr>
        <w:jc w:val="left"/>
        <w:rPr>
          <w:kern w:val="2"/>
          <w:sz w:val="20"/>
        </w:rPr>
      </w:pPr>
      <w:r w:rsidRPr="00DA5EB5">
        <w:rPr>
          <w:kern w:val="2"/>
          <w:sz w:val="20"/>
        </w:rPr>
        <w:t xml:space="preserve">The purpose of the Government's rules and regulations are of course to ensure transparency and fairness. It is only in this way that the citizenry can expect to receive value for money. </w:t>
      </w:r>
      <w:proofErr w:type="spellStart"/>
      <w:r w:rsidRPr="00DA5EB5">
        <w:rPr>
          <w:kern w:val="2"/>
          <w:sz w:val="20"/>
        </w:rPr>
        <w:t>Guité</w:t>
      </w:r>
      <w:proofErr w:type="spellEnd"/>
      <w:r w:rsidRPr="00DA5EB5">
        <w:rPr>
          <w:kern w:val="2"/>
          <w:sz w:val="20"/>
        </w:rPr>
        <w:t xml:space="preserve"> systematically flouted these rules in order to confer an advantage in excess as I have said of over two million ($2,000,000) dollars upon </w:t>
      </w:r>
      <w:proofErr w:type="spellStart"/>
      <w:r w:rsidRPr="00DA5EB5">
        <w:rPr>
          <w:kern w:val="2"/>
          <w:sz w:val="20"/>
        </w:rPr>
        <w:t>Br</w:t>
      </w:r>
      <w:r w:rsidR="001267A6" w:rsidRPr="00DA5EB5">
        <w:rPr>
          <w:kern w:val="2"/>
          <w:sz w:val="20"/>
        </w:rPr>
        <w:t>ault</w:t>
      </w:r>
      <w:proofErr w:type="spellEnd"/>
      <w:r w:rsidR="001267A6" w:rsidRPr="00DA5EB5">
        <w:rPr>
          <w:kern w:val="2"/>
          <w:sz w:val="20"/>
        </w:rPr>
        <w:t xml:space="preserve"> and </w:t>
      </w:r>
      <w:proofErr w:type="spellStart"/>
      <w:r w:rsidR="001267A6" w:rsidRPr="00DA5EB5">
        <w:rPr>
          <w:kern w:val="2"/>
          <w:sz w:val="20"/>
        </w:rPr>
        <w:t>Groupaction</w:t>
      </w:r>
      <w:proofErr w:type="spellEnd"/>
      <w:r w:rsidR="001267A6" w:rsidRPr="00DA5EB5">
        <w:rPr>
          <w:kern w:val="2"/>
          <w:sz w:val="20"/>
        </w:rPr>
        <w:t xml:space="preserve"> Marketing.</w:t>
      </w:r>
    </w:p>
    <w:p w14:paraId="507E1880" w14:textId="77EF5EA7" w:rsidR="0061282C" w:rsidRPr="00DA5EB5" w:rsidRDefault="0061282C" w:rsidP="008F288C">
      <w:pPr>
        <w:pStyle w:val="BlockQuote"/>
        <w:numPr>
          <w:ilvl w:val="0"/>
          <w:numId w:val="105"/>
        </w:numPr>
        <w:jc w:val="left"/>
        <w:rPr>
          <w:kern w:val="2"/>
          <w:sz w:val="20"/>
        </w:rPr>
      </w:pPr>
      <w:r w:rsidRPr="00DA5EB5">
        <w:rPr>
          <w:kern w:val="2"/>
          <w:sz w:val="20"/>
        </w:rPr>
        <w:t>Having regard for the authority which he possessed a breach of financial duty is nothing short of a breach of trust. In the context of sentencing, it is an important aggravating factor.</w:t>
      </w:r>
      <w:r w:rsidR="00035F2D" w:rsidRPr="00DA5EB5">
        <w:rPr>
          <w:rStyle w:val="FootnoteReference"/>
          <w:kern w:val="2"/>
          <w:szCs w:val="21"/>
        </w:rPr>
        <w:footnoteReference w:id="116"/>
      </w:r>
    </w:p>
    <w:p w14:paraId="6A971069" w14:textId="1880A0AF" w:rsidR="0061282C" w:rsidRPr="00DA5EB5" w:rsidRDefault="0061282C" w:rsidP="00D523BD">
      <w:pPr>
        <w:rPr>
          <w:color w:val="000000"/>
          <w:kern w:val="2"/>
          <w:sz w:val="20"/>
        </w:rPr>
      </w:pPr>
      <w:r w:rsidRPr="00DA5EB5">
        <w:rPr>
          <w:color w:val="000000"/>
          <w:kern w:val="2"/>
          <w:sz w:val="20"/>
        </w:rPr>
        <w:t>Paul Coffin pled guilty to 15 counts of fraud against the government, with an estimated loss exceeding $1.5 million. At first instance, Coffin received a conditional sentence of two years less a day (which did not involve house arrest, but simply a 9 pm</w:t>
      </w:r>
      <w:r w:rsidR="006E1B10" w:rsidRPr="00DA5EB5">
        <w:rPr>
          <w:color w:val="000000"/>
          <w:kern w:val="2"/>
          <w:sz w:val="20"/>
        </w:rPr>
        <w:t>-</w:t>
      </w:r>
      <w:r w:rsidRPr="00DA5EB5">
        <w:rPr>
          <w:color w:val="000000"/>
          <w:kern w:val="2"/>
          <w:sz w:val="20"/>
        </w:rPr>
        <w:t>7 am curfew). The Quebec Court of Appeal allowed the Crown’s appeal and substituted a sentence of 18 months incarceration.</w:t>
      </w:r>
      <w:r w:rsidRPr="00DA5EB5">
        <w:rPr>
          <w:rStyle w:val="FootnoteReference"/>
          <w:color w:val="000000"/>
          <w:kern w:val="2"/>
        </w:rPr>
        <w:footnoteReference w:id="117"/>
      </w:r>
      <w:r w:rsidRPr="00DA5EB5">
        <w:rPr>
          <w:color w:val="000000"/>
          <w:kern w:val="2"/>
          <w:sz w:val="20"/>
        </w:rPr>
        <w:t xml:space="preserve"> The Court referred to </w:t>
      </w:r>
      <w:r w:rsidR="006E1B10" w:rsidRPr="00DA5EB5">
        <w:rPr>
          <w:color w:val="000000"/>
          <w:kern w:val="2"/>
          <w:sz w:val="20"/>
        </w:rPr>
        <w:t>the</w:t>
      </w:r>
      <w:r w:rsidRPr="00DA5EB5">
        <w:rPr>
          <w:color w:val="000000"/>
          <w:kern w:val="2"/>
          <w:sz w:val="20"/>
        </w:rPr>
        <w:t xml:space="preserve"> 18-month sentence of imprisonment imposed in </w:t>
      </w:r>
      <w:r w:rsidR="006E1B10" w:rsidRPr="00DA5EB5">
        <w:rPr>
          <w:color w:val="000000"/>
          <w:kern w:val="2"/>
          <w:sz w:val="20"/>
        </w:rPr>
        <w:t>a</w:t>
      </w:r>
      <w:r w:rsidRPr="00DA5EB5">
        <w:rPr>
          <w:color w:val="000000"/>
          <w:kern w:val="2"/>
          <w:sz w:val="20"/>
        </w:rPr>
        <w:t xml:space="preserve"> very similar case</w:t>
      </w:r>
      <w:r w:rsidR="006E1B10" w:rsidRPr="00DA5EB5">
        <w:rPr>
          <w:color w:val="000000"/>
          <w:kern w:val="2"/>
          <w:sz w:val="20"/>
        </w:rPr>
        <w:t>.</w:t>
      </w:r>
      <w:r w:rsidR="006E1B10" w:rsidRPr="00DA5EB5">
        <w:rPr>
          <w:rStyle w:val="FootnoteReference"/>
          <w:color w:val="000000"/>
          <w:kern w:val="2"/>
          <w:sz w:val="18"/>
        </w:rPr>
        <w:footnoteReference w:id="118"/>
      </w:r>
      <w:r w:rsidRPr="00DA5EB5">
        <w:rPr>
          <w:color w:val="000000"/>
          <w:kern w:val="2"/>
          <w:sz w:val="20"/>
        </w:rPr>
        <w:t xml:space="preserve"> The Court then stated:</w:t>
      </w:r>
    </w:p>
    <w:p w14:paraId="2D162673" w14:textId="4BD2CC60" w:rsidR="00AA22D3" w:rsidRPr="00DA5EB5" w:rsidRDefault="0061282C" w:rsidP="007C3517">
      <w:pPr>
        <w:pStyle w:val="BlockQuote"/>
        <w:rPr>
          <w:kern w:val="2"/>
          <w:sz w:val="20"/>
        </w:rPr>
      </w:pPr>
      <w:r w:rsidRPr="00DA5EB5">
        <w:rPr>
          <w:kern w:val="2"/>
          <w:sz w:val="20"/>
        </w:rPr>
        <w:t xml:space="preserve">The fallacious argument that </w:t>
      </w:r>
      <w:r w:rsidR="00FD6DAC" w:rsidRPr="00DA5EB5">
        <w:rPr>
          <w:kern w:val="2"/>
          <w:sz w:val="20"/>
        </w:rPr>
        <w:t>“</w:t>
      </w:r>
      <w:r w:rsidRPr="00DA5EB5">
        <w:rPr>
          <w:kern w:val="2"/>
          <w:sz w:val="20"/>
        </w:rPr>
        <w:t>stealing from the government is not really stealing</w:t>
      </w:r>
      <w:r w:rsidR="00FD6DAC" w:rsidRPr="00DA5EB5">
        <w:rPr>
          <w:kern w:val="2"/>
          <w:sz w:val="20"/>
        </w:rPr>
        <w:t>”</w:t>
      </w:r>
      <w:r w:rsidRPr="00DA5EB5">
        <w:rPr>
          <w:kern w:val="2"/>
          <w:sz w:val="20"/>
        </w:rPr>
        <w:t xml:space="preserve"> cannot be used to downplay the significance of this crime. The government of the country has no assets itself; rather, it manages sums common to all of its citizens. Defrauding the government is equivalent to stealing from one's fellow citizens. The respondent drew up 373 fraudulent invoices, one by one, over a period of more than five years. This cannot be dismissed as a momentary lapse of judgment. We also should not lose sight of the total amount stolen nor of the additional fact that the respondent has made only partial restitution. Finally, even though the respondent's actions do not amount to a breach of trust within the meaning of section 336 </w:t>
      </w:r>
      <w:proofErr w:type="spellStart"/>
      <w:proofErr w:type="gramStart"/>
      <w:r w:rsidRPr="00DA5EB5">
        <w:rPr>
          <w:i/>
          <w:iCs/>
          <w:kern w:val="2"/>
          <w:sz w:val="20"/>
        </w:rPr>
        <w:t>Cr.C</w:t>
      </w:r>
      <w:proofErr w:type="spellEnd"/>
      <w:r w:rsidRPr="00DA5EB5">
        <w:rPr>
          <w:i/>
          <w:iCs/>
          <w:kern w:val="2"/>
          <w:sz w:val="20"/>
        </w:rPr>
        <w:t>.</w:t>
      </w:r>
      <w:r w:rsidRPr="00DA5EB5">
        <w:rPr>
          <w:kern w:val="2"/>
          <w:sz w:val="20"/>
        </w:rPr>
        <w:t>,</w:t>
      </w:r>
      <w:proofErr w:type="gramEnd"/>
      <w:r w:rsidRPr="00DA5EB5">
        <w:rPr>
          <w:kern w:val="2"/>
          <w:sz w:val="20"/>
        </w:rPr>
        <w:t xml:space="preserve"> the fact remains that he illegitimately took advantage of his privileged position to misappropriate public funds for his own personal use. In short, the crime committed by the respondent is a particularly serious one, and the trial judge should have taken this fact into account. Denunciation and deterrence are crucial objectives. Their significance was downplayed by the trial judge, even though he did acknowledge it during oral argument and in his judgment.</w:t>
      </w:r>
      <w:r w:rsidR="00904612" w:rsidRPr="00DA5EB5">
        <w:rPr>
          <w:rStyle w:val="FootnoteReference"/>
          <w:kern w:val="2"/>
          <w:szCs w:val="21"/>
        </w:rPr>
        <w:footnoteReference w:id="119"/>
      </w:r>
    </w:p>
    <w:p w14:paraId="5EC4E417" w14:textId="1B93D440" w:rsidR="00D80F64" w:rsidRPr="00DA5EB5" w:rsidRDefault="009E658B" w:rsidP="00D523BD">
      <w:pPr>
        <w:autoSpaceDE w:val="0"/>
        <w:autoSpaceDN w:val="0"/>
        <w:adjustRightInd w:val="0"/>
        <w:ind w:right="851"/>
        <w:rPr>
          <w:color w:val="000000" w:themeColor="text1"/>
          <w:kern w:val="2"/>
          <w:sz w:val="20"/>
        </w:rPr>
      </w:pPr>
      <w:r w:rsidRPr="00DA5EB5">
        <w:rPr>
          <w:color w:val="000000" w:themeColor="text1"/>
          <w:kern w:val="2"/>
          <w:sz w:val="20"/>
        </w:rPr>
        <w:t xml:space="preserve">In the last chapter of the </w:t>
      </w:r>
      <w:r w:rsidRPr="00DA5EB5">
        <w:rPr>
          <w:kern w:val="2"/>
          <w:sz w:val="20"/>
        </w:rPr>
        <w:t>s</w:t>
      </w:r>
      <w:r w:rsidR="00D80F64" w:rsidRPr="00DA5EB5">
        <w:rPr>
          <w:color w:val="000000" w:themeColor="text1"/>
          <w:kern w:val="2"/>
          <w:sz w:val="20"/>
        </w:rPr>
        <w:t>ponsorship scandal, former Liberal</w:t>
      </w:r>
      <w:r w:rsidR="006E1B10" w:rsidRPr="00DA5EB5">
        <w:rPr>
          <w:color w:val="000000" w:themeColor="text1"/>
          <w:kern w:val="2"/>
          <w:sz w:val="20"/>
        </w:rPr>
        <w:t xml:space="preserve"> party</w:t>
      </w:r>
      <w:r w:rsidR="00D80F64" w:rsidRPr="00DA5EB5">
        <w:rPr>
          <w:color w:val="000000" w:themeColor="text1"/>
          <w:kern w:val="2"/>
          <w:sz w:val="20"/>
        </w:rPr>
        <w:t xml:space="preserve"> organizer Jacques </w:t>
      </w:r>
      <w:proofErr w:type="spellStart"/>
      <w:r w:rsidR="00D80F64" w:rsidRPr="00DA5EB5">
        <w:rPr>
          <w:color w:val="000000" w:themeColor="text1"/>
          <w:kern w:val="2"/>
          <w:sz w:val="20"/>
        </w:rPr>
        <w:t>Corriveau</w:t>
      </w:r>
      <w:proofErr w:type="spellEnd"/>
      <w:r w:rsidR="00555E3B" w:rsidRPr="00DA5EB5">
        <w:rPr>
          <w:color w:val="000000" w:themeColor="text1"/>
          <w:kern w:val="2"/>
          <w:sz w:val="20"/>
        </w:rPr>
        <w:t>, considered the central figure in the sponsorship scandal,</w:t>
      </w:r>
      <w:r w:rsidR="00ED7516" w:rsidRPr="00DA5EB5">
        <w:rPr>
          <w:color w:val="000000" w:themeColor="text1"/>
          <w:kern w:val="2"/>
          <w:sz w:val="20"/>
        </w:rPr>
        <w:t xml:space="preserve"> </w:t>
      </w:r>
      <w:r w:rsidR="00D80F64" w:rsidRPr="00DA5EB5">
        <w:rPr>
          <w:color w:val="000000" w:themeColor="text1"/>
          <w:kern w:val="2"/>
          <w:sz w:val="20"/>
        </w:rPr>
        <w:t>was convicted of fraud against the government, forgery and laundering proceeds of crime in November, 2016.</w:t>
      </w:r>
      <w:r w:rsidR="00555E3B" w:rsidRPr="00DA5EB5">
        <w:rPr>
          <w:color w:val="000000" w:themeColor="text1"/>
          <w:kern w:val="2"/>
          <w:sz w:val="20"/>
        </w:rPr>
        <w:t xml:space="preserve"> Despite the fact that he was 83 years old, he was sentenced to four years in prison. He is appealing the verdict and the sentence. </w:t>
      </w:r>
    </w:p>
    <w:p w14:paraId="1437B298" w14:textId="65EEB39B" w:rsidR="00E534EE" w:rsidRPr="00DA5EB5" w:rsidRDefault="0061282C" w:rsidP="007C3517">
      <w:pPr>
        <w:pStyle w:val="Heading2"/>
        <w:rPr>
          <w:kern w:val="2"/>
          <w:sz w:val="24"/>
        </w:rPr>
      </w:pPr>
      <w:r w:rsidRPr="00DA5EB5">
        <w:rPr>
          <w:kern w:val="2"/>
          <w:sz w:val="24"/>
        </w:rPr>
        <w:t>Sentencing Cases for Corruption and Bribery of Foreign Public Officials</w:t>
      </w:r>
    </w:p>
    <w:p w14:paraId="4BA3DDB0" w14:textId="48036879" w:rsidR="0061282C" w:rsidRPr="00DA5EB5" w:rsidRDefault="0061282C" w:rsidP="007C3517">
      <w:pPr>
        <w:rPr>
          <w:color w:val="000000"/>
          <w:kern w:val="2"/>
          <w:sz w:val="20"/>
        </w:rPr>
      </w:pPr>
      <w:r w:rsidRPr="00DA5EB5">
        <w:rPr>
          <w:color w:val="000000"/>
          <w:kern w:val="2"/>
          <w:sz w:val="20"/>
        </w:rPr>
        <w:t xml:space="preserve">The </w:t>
      </w:r>
      <w:r w:rsidRPr="00DA5EB5">
        <w:rPr>
          <w:i/>
          <w:color w:val="000000"/>
          <w:kern w:val="2"/>
          <w:sz w:val="20"/>
        </w:rPr>
        <w:t>CFPOA</w:t>
      </w:r>
      <w:r w:rsidRPr="00DA5EB5">
        <w:rPr>
          <w:color w:val="000000"/>
          <w:kern w:val="2"/>
          <w:sz w:val="20"/>
        </w:rPr>
        <w:t xml:space="preserve"> prohibits the</w:t>
      </w:r>
      <w:r w:rsidR="00531028" w:rsidRPr="00DA5EB5">
        <w:rPr>
          <w:color w:val="000000"/>
          <w:kern w:val="2"/>
          <w:sz w:val="20"/>
        </w:rPr>
        <w:t xml:space="preserve"> bribery of foreign officials. Since 2013, t</w:t>
      </w:r>
      <w:r w:rsidRPr="00DA5EB5">
        <w:rPr>
          <w:color w:val="000000"/>
          <w:kern w:val="2"/>
          <w:sz w:val="20"/>
        </w:rPr>
        <w:t xml:space="preserve">he two offences under the </w:t>
      </w:r>
      <w:r w:rsidR="00410787" w:rsidRPr="00DA5EB5">
        <w:rPr>
          <w:i/>
          <w:color w:val="000000"/>
          <w:kern w:val="2"/>
          <w:sz w:val="20"/>
        </w:rPr>
        <w:t xml:space="preserve">CFPOA </w:t>
      </w:r>
      <w:r w:rsidRPr="00DA5EB5">
        <w:rPr>
          <w:color w:val="000000"/>
          <w:kern w:val="2"/>
          <w:sz w:val="20"/>
        </w:rPr>
        <w:t>are bot</w:t>
      </w:r>
      <w:r w:rsidR="00DF7477" w:rsidRPr="00DA5EB5">
        <w:rPr>
          <w:color w:val="000000"/>
          <w:kern w:val="2"/>
          <w:sz w:val="20"/>
        </w:rPr>
        <w:t xml:space="preserve">h punishable by a maximum of 14 </w:t>
      </w:r>
      <w:r w:rsidRPr="00DA5EB5">
        <w:rPr>
          <w:color w:val="000000"/>
          <w:kern w:val="2"/>
          <w:sz w:val="20"/>
        </w:rPr>
        <w:t>year</w:t>
      </w:r>
      <w:r w:rsidR="00F00576" w:rsidRPr="00DA5EB5">
        <w:rPr>
          <w:color w:val="000000"/>
          <w:kern w:val="2"/>
          <w:sz w:val="20"/>
        </w:rPr>
        <w:t>s</w:t>
      </w:r>
      <w:r w:rsidR="00DF7477" w:rsidRPr="00DA5EB5">
        <w:rPr>
          <w:color w:val="FF0000"/>
          <w:kern w:val="2"/>
          <w:sz w:val="20"/>
        </w:rPr>
        <w:t xml:space="preserve"> </w:t>
      </w:r>
      <w:r w:rsidRPr="00DA5EB5">
        <w:rPr>
          <w:color w:val="000000"/>
          <w:kern w:val="2"/>
          <w:sz w:val="20"/>
        </w:rPr>
        <w:t xml:space="preserve">imprisonment. As stated in </w:t>
      </w:r>
      <w:r w:rsidRPr="00DA5EB5">
        <w:rPr>
          <w:color w:val="000000"/>
          <w:kern w:val="2"/>
          <w:sz w:val="20"/>
          <w:highlight w:val="cyan"/>
        </w:rPr>
        <w:t>Chapter 2</w:t>
      </w:r>
      <w:r w:rsidRPr="00DA5EB5">
        <w:rPr>
          <w:color w:val="000000"/>
          <w:kern w:val="2"/>
          <w:sz w:val="20"/>
        </w:rPr>
        <w:t>, prior to 2013</w:t>
      </w:r>
      <w:r w:rsidR="00410787" w:rsidRPr="00DA5EB5">
        <w:rPr>
          <w:color w:val="000000"/>
          <w:kern w:val="2"/>
          <w:sz w:val="20"/>
        </w:rPr>
        <w:t>,</w:t>
      </w:r>
      <w:r w:rsidRPr="00DA5EB5">
        <w:rPr>
          <w:color w:val="000000"/>
          <w:kern w:val="2"/>
          <w:sz w:val="20"/>
        </w:rPr>
        <w:t xml:space="preserve"> the maximum penalty for bribery of a foreign public official </w:t>
      </w:r>
      <w:r w:rsidR="00410787" w:rsidRPr="00DA5EB5">
        <w:rPr>
          <w:color w:val="000000"/>
          <w:kern w:val="2"/>
          <w:sz w:val="20"/>
        </w:rPr>
        <w:t>was five</w:t>
      </w:r>
      <w:r w:rsidRPr="00DA5EB5">
        <w:rPr>
          <w:color w:val="000000"/>
          <w:kern w:val="2"/>
          <w:sz w:val="20"/>
        </w:rPr>
        <w:t xml:space="preserve"> years. </w:t>
      </w:r>
      <w:r w:rsidR="002377D0" w:rsidRPr="00DA5EB5">
        <w:rPr>
          <w:color w:val="000000"/>
          <w:kern w:val="2"/>
          <w:sz w:val="20"/>
        </w:rPr>
        <w:t>Under s</w:t>
      </w:r>
      <w:r w:rsidR="00410787" w:rsidRPr="00DA5EB5">
        <w:rPr>
          <w:color w:val="000000"/>
          <w:kern w:val="2"/>
          <w:sz w:val="20"/>
        </w:rPr>
        <w:t>ections</w:t>
      </w:r>
      <w:r w:rsidR="002377D0" w:rsidRPr="00DA5EB5">
        <w:rPr>
          <w:color w:val="000000"/>
          <w:kern w:val="2"/>
          <w:sz w:val="20"/>
        </w:rPr>
        <w:t xml:space="preserve"> 730 and 742.1 of the </w:t>
      </w:r>
      <w:r w:rsidR="002377D0" w:rsidRPr="00DA5EB5">
        <w:rPr>
          <w:i/>
          <w:color w:val="000000"/>
          <w:kern w:val="2"/>
          <w:sz w:val="20"/>
        </w:rPr>
        <w:t xml:space="preserve">Criminal Code, </w:t>
      </w:r>
      <w:r w:rsidR="002377D0" w:rsidRPr="00DA5EB5">
        <w:rPr>
          <w:color w:val="000000"/>
          <w:kern w:val="2"/>
          <w:sz w:val="20"/>
        </w:rPr>
        <w:t>conditional sentences and conditional or absolute discharges are not available for offences punishable by a maximum of fourteen years imprisonment.</w:t>
      </w:r>
      <w:r w:rsidR="002377D0" w:rsidRPr="00DA5EB5">
        <w:rPr>
          <w:rStyle w:val="FootnoteReference"/>
          <w:color w:val="000000"/>
          <w:kern w:val="2"/>
          <w:sz w:val="18"/>
        </w:rPr>
        <w:footnoteReference w:id="120"/>
      </w:r>
      <w:r w:rsidR="002377D0" w:rsidRPr="00DA5EB5">
        <w:rPr>
          <w:color w:val="000000"/>
          <w:kern w:val="2"/>
          <w:sz w:val="20"/>
        </w:rPr>
        <w:t xml:space="preserve"> </w:t>
      </w:r>
      <w:r w:rsidR="0050371F" w:rsidRPr="00DA5EB5">
        <w:rPr>
          <w:color w:val="000000"/>
          <w:kern w:val="2"/>
          <w:sz w:val="20"/>
        </w:rPr>
        <w:t xml:space="preserve">Fines for organizations </w:t>
      </w:r>
      <w:r w:rsidR="002377D0" w:rsidRPr="00DA5EB5">
        <w:rPr>
          <w:color w:val="000000"/>
          <w:kern w:val="2"/>
          <w:sz w:val="20"/>
        </w:rPr>
        <w:t xml:space="preserve">convicted under the </w:t>
      </w:r>
      <w:r w:rsidR="002377D0" w:rsidRPr="00DA5EB5">
        <w:rPr>
          <w:i/>
          <w:color w:val="000000"/>
          <w:kern w:val="2"/>
          <w:sz w:val="20"/>
        </w:rPr>
        <w:t xml:space="preserve">CFPOA </w:t>
      </w:r>
      <w:r w:rsidR="0050371F" w:rsidRPr="00DA5EB5">
        <w:rPr>
          <w:color w:val="000000"/>
          <w:kern w:val="2"/>
          <w:sz w:val="20"/>
        </w:rPr>
        <w:t xml:space="preserve">have no upper limit. </w:t>
      </w:r>
      <w:r w:rsidRPr="00DA5EB5">
        <w:rPr>
          <w:color w:val="000000"/>
          <w:kern w:val="2"/>
          <w:sz w:val="20"/>
        </w:rPr>
        <w:t xml:space="preserve">The sentencing jurisprudence on the </w:t>
      </w:r>
      <w:r w:rsidRPr="00DA5EB5">
        <w:rPr>
          <w:i/>
          <w:color w:val="000000"/>
          <w:kern w:val="2"/>
          <w:sz w:val="20"/>
        </w:rPr>
        <w:t xml:space="preserve">CFPOA </w:t>
      </w:r>
      <w:r w:rsidRPr="00DA5EB5">
        <w:rPr>
          <w:color w:val="000000"/>
          <w:kern w:val="2"/>
          <w:sz w:val="20"/>
        </w:rPr>
        <w:t>is still very limited. To date, three corporations have been sentenced following plea agreements and one natural person was convicted at trial and sentenced.</w:t>
      </w:r>
      <w:r w:rsidR="00E87776" w:rsidRPr="00DA5EB5">
        <w:rPr>
          <w:color w:val="000000"/>
          <w:kern w:val="2"/>
          <w:sz w:val="20"/>
        </w:rPr>
        <w:t xml:space="preserve"> </w:t>
      </w:r>
    </w:p>
    <w:p w14:paraId="13D0D1FA" w14:textId="2AA3AB0C" w:rsidR="004E2F70" w:rsidRPr="00DA5EB5" w:rsidRDefault="0061282C" w:rsidP="007C3517">
      <w:pPr>
        <w:rPr>
          <w:color w:val="000000"/>
          <w:kern w:val="2"/>
          <w:sz w:val="20"/>
        </w:rPr>
      </w:pPr>
      <w:r w:rsidRPr="00DA5EB5">
        <w:rPr>
          <w:color w:val="000000"/>
          <w:kern w:val="2"/>
          <w:sz w:val="20"/>
        </w:rPr>
        <w:t>The first corporation to be charged and convicted of a crime under</w:t>
      </w:r>
      <w:r w:rsidR="000F7866" w:rsidRPr="00DA5EB5">
        <w:rPr>
          <w:color w:val="000000"/>
          <w:kern w:val="2"/>
          <w:sz w:val="20"/>
        </w:rPr>
        <w:t xml:space="preserve"> the</w:t>
      </w:r>
      <w:r w:rsidRPr="00DA5EB5">
        <w:rPr>
          <w:color w:val="000000"/>
          <w:kern w:val="2"/>
          <w:sz w:val="20"/>
        </w:rPr>
        <w:t xml:space="preserve"> </w:t>
      </w:r>
      <w:r w:rsidRPr="00DA5EB5">
        <w:rPr>
          <w:i/>
          <w:color w:val="000000"/>
          <w:kern w:val="2"/>
          <w:sz w:val="20"/>
        </w:rPr>
        <w:t>CFPOA</w:t>
      </w:r>
      <w:r w:rsidRPr="00DA5EB5">
        <w:rPr>
          <w:color w:val="000000"/>
          <w:kern w:val="2"/>
          <w:sz w:val="20"/>
        </w:rPr>
        <w:t xml:space="preserve"> was Hydro </w:t>
      </w:r>
      <w:proofErr w:type="spellStart"/>
      <w:r w:rsidRPr="00DA5EB5">
        <w:rPr>
          <w:color w:val="000000"/>
          <w:kern w:val="2"/>
          <w:sz w:val="20"/>
        </w:rPr>
        <w:t>Kleen</w:t>
      </w:r>
      <w:proofErr w:type="spellEnd"/>
      <w:r w:rsidRPr="00DA5EB5">
        <w:rPr>
          <w:color w:val="000000"/>
          <w:kern w:val="2"/>
          <w:sz w:val="20"/>
        </w:rPr>
        <w:t xml:space="preserve"> Systems.</w:t>
      </w:r>
      <w:r w:rsidRPr="00DA5EB5">
        <w:rPr>
          <w:rStyle w:val="FootnoteReference"/>
          <w:color w:val="000000"/>
          <w:kern w:val="2"/>
        </w:rPr>
        <w:footnoteReference w:id="121"/>
      </w:r>
      <w:r w:rsidRPr="00DA5EB5">
        <w:rPr>
          <w:color w:val="000000"/>
          <w:kern w:val="2"/>
          <w:sz w:val="20"/>
        </w:rPr>
        <w:t xml:space="preserve"> In </w:t>
      </w:r>
      <w:r w:rsidRPr="00DA5EB5">
        <w:rPr>
          <w:i/>
          <w:color w:val="000000"/>
          <w:kern w:val="2"/>
          <w:sz w:val="20"/>
        </w:rPr>
        <w:t>R v Watts</w:t>
      </w:r>
      <w:r w:rsidRPr="00DA5EB5">
        <w:rPr>
          <w:color w:val="000000"/>
          <w:kern w:val="2"/>
          <w:sz w:val="20"/>
        </w:rPr>
        <w:t xml:space="preserve">, Hydro </w:t>
      </w:r>
      <w:proofErr w:type="spellStart"/>
      <w:r w:rsidRPr="00DA5EB5">
        <w:rPr>
          <w:color w:val="000000"/>
          <w:kern w:val="2"/>
          <w:sz w:val="20"/>
        </w:rPr>
        <w:t>Kleen</w:t>
      </w:r>
      <w:proofErr w:type="spellEnd"/>
      <w:r w:rsidRPr="00DA5EB5">
        <w:rPr>
          <w:color w:val="000000"/>
          <w:kern w:val="2"/>
          <w:sz w:val="20"/>
        </w:rPr>
        <w:t xml:space="preserve">, Mr. Watts (president and major shareholder of Hydro </w:t>
      </w:r>
      <w:proofErr w:type="spellStart"/>
      <w:r w:rsidRPr="00DA5EB5">
        <w:rPr>
          <w:color w:val="000000"/>
          <w:kern w:val="2"/>
          <w:sz w:val="20"/>
        </w:rPr>
        <w:t>Kleen</w:t>
      </w:r>
      <w:proofErr w:type="spellEnd"/>
      <w:r w:rsidRPr="00DA5EB5">
        <w:rPr>
          <w:color w:val="000000"/>
          <w:kern w:val="2"/>
          <w:sz w:val="20"/>
        </w:rPr>
        <w:t xml:space="preserve">) and Ms. Bakke (Hydro </w:t>
      </w:r>
      <w:proofErr w:type="spellStart"/>
      <w:r w:rsidRPr="00DA5EB5">
        <w:rPr>
          <w:color w:val="000000"/>
          <w:kern w:val="2"/>
          <w:sz w:val="20"/>
        </w:rPr>
        <w:t>Kleen’s</w:t>
      </w:r>
      <w:proofErr w:type="spellEnd"/>
      <w:r w:rsidRPr="00DA5EB5">
        <w:rPr>
          <w:color w:val="000000"/>
          <w:kern w:val="2"/>
          <w:sz w:val="20"/>
        </w:rPr>
        <w:t xml:space="preserve"> operations coordinator) were charged with bribing a foreign public official.</w:t>
      </w:r>
      <w:r w:rsidR="001C70A2" w:rsidRPr="00DA5EB5">
        <w:rPr>
          <w:rStyle w:val="FootnoteReference"/>
          <w:color w:val="000000"/>
          <w:kern w:val="2"/>
        </w:rPr>
        <w:footnoteReference w:id="122"/>
      </w:r>
      <w:r w:rsidRPr="00DA5EB5">
        <w:rPr>
          <w:color w:val="000000"/>
          <w:kern w:val="2"/>
          <w:sz w:val="20"/>
        </w:rPr>
        <w:t xml:space="preserve"> </w:t>
      </w:r>
      <w:r w:rsidR="004E2F70" w:rsidRPr="00DA5EB5">
        <w:rPr>
          <w:color w:val="000000"/>
          <w:kern w:val="2"/>
          <w:sz w:val="20"/>
        </w:rPr>
        <w:t xml:space="preserve">Hydro </w:t>
      </w:r>
      <w:proofErr w:type="spellStart"/>
      <w:r w:rsidR="004E2F70" w:rsidRPr="00DA5EB5">
        <w:rPr>
          <w:color w:val="000000"/>
          <w:kern w:val="2"/>
          <w:sz w:val="20"/>
        </w:rPr>
        <w:t>Kleen</w:t>
      </w:r>
      <w:proofErr w:type="spellEnd"/>
      <w:r w:rsidR="004E2F70" w:rsidRPr="00DA5EB5">
        <w:rPr>
          <w:color w:val="000000"/>
          <w:kern w:val="2"/>
          <w:sz w:val="20"/>
        </w:rPr>
        <w:t xml:space="preserve"> engaged in business in the US. To facilitate the easier passage of their employees into the US, the company hired Garcia, an American </w:t>
      </w:r>
      <w:r w:rsidR="00B66E01" w:rsidRPr="00DA5EB5">
        <w:rPr>
          <w:color w:val="000000"/>
          <w:kern w:val="2"/>
          <w:sz w:val="20"/>
        </w:rPr>
        <w:t>i</w:t>
      </w:r>
      <w:r w:rsidR="004E2F70" w:rsidRPr="00DA5EB5">
        <w:rPr>
          <w:color w:val="000000"/>
          <w:kern w:val="2"/>
          <w:sz w:val="20"/>
        </w:rPr>
        <w:t xml:space="preserve">mmigration </w:t>
      </w:r>
      <w:r w:rsidR="00B66E01" w:rsidRPr="00DA5EB5">
        <w:rPr>
          <w:color w:val="000000"/>
          <w:kern w:val="2"/>
          <w:sz w:val="20"/>
        </w:rPr>
        <w:t>o</w:t>
      </w:r>
      <w:r w:rsidR="004E2F70" w:rsidRPr="00DA5EB5">
        <w:rPr>
          <w:color w:val="000000"/>
          <w:kern w:val="2"/>
          <w:sz w:val="20"/>
        </w:rPr>
        <w:t xml:space="preserve">fficer who was stationed at the Calgary </w:t>
      </w:r>
      <w:r w:rsidR="00B66E01" w:rsidRPr="00DA5EB5">
        <w:rPr>
          <w:color w:val="000000"/>
          <w:kern w:val="2"/>
          <w:sz w:val="20"/>
        </w:rPr>
        <w:t>a</w:t>
      </w:r>
      <w:r w:rsidR="004E2F70" w:rsidRPr="00DA5EB5">
        <w:rPr>
          <w:color w:val="000000"/>
          <w:kern w:val="2"/>
          <w:sz w:val="20"/>
        </w:rPr>
        <w:t>irport. Garcia’s services were retained through his company Genesis Solutions 2000.</w:t>
      </w:r>
    </w:p>
    <w:p w14:paraId="0D558B16" w14:textId="77777777" w:rsidR="0061282C" w:rsidRPr="00DA5EB5" w:rsidRDefault="0061282C" w:rsidP="008F288C">
      <w:pPr>
        <w:keepNext/>
        <w:rPr>
          <w:color w:val="000000"/>
          <w:kern w:val="2"/>
          <w:sz w:val="20"/>
        </w:rPr>
      </w:pPr>
      <w:r w:rsidRPr="00DA5EB5">
        <w:rPr>
          <w:color w:val="000000"/>
          <w:kern w:val="2"/>
          <w:sz w:val="20"/>
        </w:rPr>
        <w:t>The agreed statement of facts, reproduced as part of the judgment, provided:</w:t>
      </w:r>
    </w:p>
    <w:p w14:paraId="25C58A29" w14:textId="17248779" w:rsidR="0061282C" w:rsidRPr="00DA5EB5" w:rsidRDefault="0061282C" w:rsidP="00907520">
      <w:pPr>
        <w:pStyle w:val="BlockQuote"/>
        <w:numPr>
          <w:ilvl w:val="0"/>
          <w:numId w:val="61"/>
        </w:numPr>
        <w:spacing w:after="0"/>
        <w:ind w:left="1080"/>
        <w:jc w:val="left"/>
        <w:rPr>
          <w:kern w:val="2"/>
          <w:sz w:val="20"/>
        </w:rPr>
      </w:pPr>
      <w:r w:rsidRPr="00DA5EB5">
        <w:rPr>
          <w:kern w:val="2"/>
          <w:sz w:val="20"/>
        </w:rPr>
        <w:t xml:space="preserve">Garcia's services were retained by Hydro </w:t>
      </w:r>
      <w:proofErr w:type="spellStart"/>
      <w:r w:rsidRPr="00DA5EB5">
        <w:rPr>
          <w:kern w:val="2"/>
          <w:sz w:val="20"/>
        </w:rPr>
        <w:t>Kleen</w:t>
      </w:r>
      <w:proofErr w:type="spellEnd"/>
      <w:r w:rsidRPr="00DA5EB5">
        <w:rPr>
          <w:kern w:val="2"/>
          <w:sz w:val="20"/>
        </w:rPr>
        <w:t xml:space="preserve"> Systems Inc. in order to reduce legal fees paid to immigration lawyers and also because he knew all of the subtleties of the United States law, particularly as they vary over time.</w:t>
      </w:r>
    </w:p>
    <w:p w14:paraId="2651FF18" w14:textId="3C91F57D" w:rsidR="0061282C" w:rsidRPr="00DA5EB5" w:rsidRDefault="0061282C" w:rsidP="00907520">
      <w:pPr>
        <w:pStyle w:val="BlockQuote"/>
        <w:numPr>
          <w:ilvl w:val="0"/>
          <w:numId w:val="61"/>
        </w:numPr>
        <w:spacing w:after="0"/>
        <w:ind w:left="1080"/>
        <w:jc w:val="left"/>
        <w:rPr>
          <w:kern w:val="2"/>
          <w:sz w:val="20"/>
        </w:rPr>
      </w:pPr>
      <w:r w:rsidRPr="00DA5EB5">
        <w:rPr>
          <w:kern w:val="2"/>
          <w:sz w:val="20"/>
        </w:rPr>
        <w:t xml:space="preserve">Garcia's services would better ensure that fewer, if any, difficulties would confront Hydro </w:t>
      </w:r>
      <w:proofErr w:type="spellStart"/>
      <w:r w:rsidRPr="00DA5EB5">
        <w:rPr>
          <w:kern w:val="2"/>
          <w:sz w:val="20"/>
        </w:rPr>
        <w:t>Kleen</w:t>
      </w:r>
      <w:proofErr w:type="spellEnd"/>
      <w:r w:rsidRPr="00DA5EB5">
        <w:rPr>
          <w:kern w:val="2"/>
          <w:sz w:val="20"/>
        </w:rPr>
        <w:t xml:space="preserve"> Systems Inc. or its employees in attempting to enter the United States.</w:t>
      </w:r>
    </w:p>
    <w:p w14:paraId="32B3F80A" w14:textId="64FA377C" w:rsidR="0061282C" w:rsidRPr="00DA5EB5" w:rsidRDefault="0061282C" w:rsidP="00907520">
      <w:pPr>
        <w:pStyle w:val="BlockQuote"/>
        <w:numPr>
          <w:ilvl w:val="0"/>
          <w:numId w:val="62"/>
        </w:numPr>
        <w:spacing w:after="0"/>
        <w:ind w:left="1080"/>
        <w:jc w:val="left"/>
        <w:rPr>
          <w:kern w:val="2"/>
          <w:sz w:val="20"/>
        </w:rPr>
      </w:pPr>
      <w:r w:rsidRPr="00DA5EB5">
        <w:rPr>
          <w:kern w:val="2"/>
          <w:sz w:val="20"/>
        </w:rPr>
        <w:t xml:space="preserve">In return for these payments, as an immigration consultant, Garcia attended the Hydro </w:t>
      </w:r>
      <w:proofErr w:type="spellStart"/>
      <w:r w:rsidRPr="00DA5EB5">
        <w:rPr>
          <w:kern w:val="2"/>
          <w:sz w:val="20"/>
        </w:rPr>
        <w:t>Kleen</w:t>
      </w:r>
      <w:proofErr w:type="spellEnd"/>
      <w:r w:rsidRPr="00DA5EB5">
        <w:rPr>
          <w:kern w:val="2"/>
          <w:sz w:val="20"/>
        </w:rPr>
        <w:t xml:space="preserve"> Systems Inc. offices in Red Deer from time to time and advised Hydro </w:t>
      </w:r>
      <w:proofErr w:type="spellStart"/>
      <w:r w:rsidRPr="00DA5EB5">
        <w:rPr>
          <w:kern w:val="2"/>
          <w:sz w:val="20"/>
        </w:rPr>
        <w:t>Kleen</w:t>
      </w:r>
      <w:proofErr w:type="spellEnd"/>
      <w:r w:rsidRPr="00DA5EB5">
        <w:rPr>
          <w:kern w:val="2"/>
          <w:sz w:val="20"/>
        </w:rPr>
        <w:t xml:space="preserve"> Systems Inc. employees on what to say when crossing the border. As part of the process, he exchanged emails and telephone calls with Hydro </w:t>
      </w:r>
      <w:proofErr w:type="spellStart"/>
      <w:r w:rsidRPr="00DA5EB5">
        <w:rPr>
          <w:kern w:val="2"/>
          <w:sz w:val="20"/>
        </w:rPr>
        <w:t>Kleen</w:t>
      </w:r>
      <w:proofErr w:type="spellEnd"/>
      <w:r w:rsidRPr="00DA5EB5">
        <w:rPr>
          <w:kern w:val="2"/>
          <w:sz w:val="20"/>
        </w:rPr>
        <w:t xml:space="preserve"> Systems Inc. employees.</w:t>
      </w:r>
    </w:p>
    <w:p w14:paraId="3D3F5393" w14:textId="093D4092" w:rsidR="0061282C" w:rsidRPr="00DA5EB5" w:rsidRDefault="0061282C" w:rsidP="00907520">
      <w:pPr>
        <w:pStyle w:val="BlockQuote"/>
        <w:numPr>
          <w:ilvl w:val="0"/>
          <w:numId w:val="62"/>
        </w:numPr>
        <w:spacing w:after="0"/>
        <w:ind w:left="1080"/>
        <w:jc w:val="left"/>
        <w:rPr>
          <w:kern w:val="2"/>
          <w:sz w:val="20"/>
        </w:rPr>
      </w:pPr>
      <w:r w:rsidRPr="00DA5EB5">
        <w:rPr>
          <w:kern w:val="2"/>
          <w:sz w:val="20"/>
        </w:rPr>
        <w:t xml:space="preserve">Garcia also assisted Hydro </w:t>
      </w:r>
      <w:proofErr w:type="spellStart"/>
      <w:r w:rsidRPr="00DA5EB5">
        <w:rPr>
          <w:kern w:val="2"/>
          <w:sz w:val="20"/>
        </w:rPr>
        <w:t>Kleen</w:t>
      </w:r>
      <w:proofErr w:type="spellEnd"/>
      <w:r w:rsidRPr="00DA5EB5">
        <w:rPr>
          <w:kern w:val="2"/>
          <w:sz w:val="20"/>
        </w:rPr>
        <w:t xml:space="preserve"> Systems Inc. officials and employees in drafting letters and documents that the Hydro </w:t>
      </w:r>
      <w:proofErr w:type="spellStart"/>
      <w:r w:rsidRPr="00DA5EB5">
        <w:rPr>
          <w:kern w:val="2"/>
          <w:sz w:val="20"/>
        </w:rPr>
        <w:t>Kleen</w:t>
      </w:r>
      <w:proofErr w:type="spellEnd"/>
      <w:r w:rsidRPr="00DA5EB5">
        <w:rPr>
          <w:kern w:val="2"/>
          <w:sz w:val="20"/>
        </w:rPr>
        <w:t xml:space="preserve"> Systems employees would use to apply for L1 visas and/or to gain entry at United States port of entry.</w:t>
      </w:r>
    </w:p>
    <w:p w14:paraId="4176143B" w14:textId="0FC5DB67" w:rsidR="0061282C" w:rsidRPr="00DA5EB5" w:rsidRDefault="0061282C" w:rsidP="00907520">
      <w:pPr>
        <w:pStyle w:val="BlockQuote"/>
        <w:numPr>
          <w:ilvl w:val="0"/>
          <w:numId w:val="62"/>
        </w:numPr>
        <w:spacing w:after="0"/>
        <w:ind w:left="1080"/>
        <w:jc w:val="left"/>
        <w:rPr>
          <w:kern w:val="2"/>
          <w:sz w:val="20"/>
        </w:rPr>
      </w:pPr>
      <w:r w:rsidRPr="00DA5EB5">
        <w:rPr>
          <w:kern w:val="2"/>
          <w:sz w:val="20"/>
        </w:rPr>
        <w:t xml:space="preserve">Under the terms of his employment with the Immigration and Naturalization Services, Garcia was prohibited from taking on outside work without permission from his superiors. At no time did he advise his superiors of his work for Hydro </w:t>
      </w:r>
      <w:proofErr w:type="spellStart"/>
      <w:r w:rsidRPr="00DA5EB5">
        <w:rPr>
          <w:kern w:val="2"/>
          <w:sz w:val="20"/>
        </w:rPr>
        <w:t>Kleen</w:t>
      </w:r>
      <w:proofErr w:type="spellEnd"/>
      <w:r w:rsidRPr="00DA5EB5">
        <w:rPr>
          <w:kern w:val="2"/>
          <w:sz w:val="20"/>
        </w:rPr>
        <w:t xml:space="preserve"> Systems, nor did he have permission to do this work.</w:t>
      </w:r>
    </w:p>
    <w:p w14:paraId="69F2EF80" w14:textId="3DD7B814" w:rsidR="0061282C" w:rsidRPr="00DA5EB5" w:rsidRDefault="0061282C" w:rsidP="00907520">
      <w:pPr>
        <w:pStyle w:val="BlockQuote"/>
        <w:numPr>
          <w:ilvl w:val="0"/>
          <w:numId w:val="62"/>
        </w:numPr>
        <w:spacing w:after="0"/>
        <w:ind w:left="1080"/>
        <w:jc w:val="left"/>
        <w:rPr>
          <w:kern w:val="2"/>
          <w:sz w:val="20"/>
        </w:rPr>
      </w:pPr>
      <w:r w:rsidRPr="00DA5EB5">
        <w:rPr>
          <w:kern w:val="2"/>
          <w:sz w:val="20"/>
        </w:rPr>
        <w:t xml:space="preserve">Bakke told one of the Hydro </w:t>
      </w:r>
      <w:proofErr w:type="spellStart"/>
      <w:r w:rsidRPr="00DA5EB5">
        <w:rPr>
          <w:kern w:val="2"/>
          <w:sz w:val="20"/>
        </w:rPr>
        <w:t>Kleen</w:t>
      </w:r>
      <w:proofErr w:type="spellEnd"/>
      <w:r w:rsidRPr="00DA5EB5">
        <w:rPr>
          <w:kern w:val="2"/>
          <w:sz w:val="20"/>
        </w:rPr>
        <w:t xml:space="preserve"> Systems Inc. employees, Lisa Thiessen, not to acknowledge Garcia's employment with Hydro </w:t>
      </w:r>
      <w:proofErr w:type="spellStart"/>
      <w:r w:rsidRPr="00DA5EB5">
        <w:rPr>
          <w:kern w:val="2"/>
          <w:sz w:val="20"/>
        </w:rPr>
        <w:t>Kleen</w:t>
      </w:r>
      <w:proofErr w:type="spellEnd"/>
      <w:r w:rsidRPr="00DA5EB5">
        <w:rPr>
          <w:kern w:val="2"/>
          <w:sz w:val="20"/>
        </w:rPr>
        <w:t xml:space="preserve"> Systems Inc. in the event of outside inquiries.</w:t>
      </w:r>
    </w:p>
    <w:p w14:paraId="27DAFA10" w14:textId="2BDCC1F2" w:rsidR="0061282C" w:rsidRPr="00DA5EB5" w:rsidRDefault="0061282C" w:rsidP="00907520">
      <w:pPr>
        <w:pStyle w:val="BlockQuote"/>
        <w:numPr>
          <w:ilvl w:val="0"/>
          <w:numId w:val="62"/>
        </w:numPr>
        <w:spacing w:after="0"/>
        <w:ind w:left="1080"/>
        <w:jc w:val="left"/>
        <w:rPr>
          <w:kern w:val="2"/>
          <w:sz w:val="20"/>
        </w:rPr>
      </w:pPr>
      <w:r w:rsidRPr="00DA5EB5">
        <w:rPr>
          <w:kern w:val="2"/>
          <w:sz w:val="20"/>
        </w:rPr>
        <w:t xml:space="preserve">Watts told Randy Cooper that Hydro </w:t>
      </w:r>
      <w:proofErr w:type="spellStart"/>
      <w:r w:rsidRPr="00DA5EB5">
        <w:rPr>
          <w:kern w:val="2"/>
          <w:sz w:val="20"/>
        </w:rPr>
        <w:t>Kleen</w:t>
      </w:r>
      <w:proofErr w:type="spellEnd"/>
      <w:r w:rsidRPr="00DA5EB5">
        <w:rPr>
          <w:kern w:val="2"/>
          <w:sz w:val="20"/>
        </w:rPr>
        <w:t xml:space="preserve"> Systems Inc. had a United States immigration officer on the payroll as a consultant. He also told Cooper that on one occasion Garcia attended at the Hydro </w:t>
      </w:r>
      <w:proofErr w:type="spellStart"/>
      <w:r w:rsidRPr="00DA5EB5">
        <w:rPr>
          <w:kern w:val="2"/>
          <w:sz w:val="20"/>
        </w:rPr>
        <w:t>Kleen</w:t>
      </w:r>
      <w:proofErr w:type="spellEnd"/>
      <w:r w:rsidRPr="00DA5EB5">
        <w:rPr>
          <w:kern w:val="2"/>
          <w:sz w:val="20"/>
        </w:rPr>
        <w:t xml:space="preserve"> Systems Inc. offices in uniform and that he, Watts, asked Garcia to put on his overcoat so that the rest of the employees would not see him in his Immigration and Naturalization </w:t>
      </w:r>
      <w:proofErr w:type="spellStart"/>
      <w:r w:rsidRPr="00DA5EB5">
        <w:rPr>
          <w:kern w:val="2"/>
          <w:sz w:val="20"/>
        </w:rPr>
        <w:t>Services</w:t>
      </w:r>
      <w:proofErr w:type="spellEnd"/>
      <w:r w:rsidRPr="00DA5EB5">
        <w:rPr>
          <w:kern w:val="2"/>
          <w:sz w:val="20"/>
        </w:rPr>
        <w:t xml:space="preserve"> uniform.</w:t>
      </w:r>
    </w:p>
    <w:p w14:paraId="16B7F542" w14:textId="049FEDBE" w:rsidR="0061282C" w:rsidRPr="00DA5EB5" w:rsidRDefault="0061282C" w:rsidP="00907520">
      <w:pPr>
        <w:pStyle w:val="BlockQuote"/>
        <w:numPr>
          <w:ilvl w:val="0"/>
          <w:numId w:val="62"/>
        </w:numPr>
        <w:spacing w:after="0"/>
        <w:ind w:left="1080"/>
        <w:jc w:val="left"/>
        <w:rPr>
          <w:kern w:val="2"/>
          <w:sz w:val="20"/>
        </w:rPr>
      </w:pPr>
      <w:r w:rsidRPr="00DA5EB5">
        <w:rPr>
          <w:kern w:val="2"/>
          <w:sz w:val="20"/>
        </w:rPr>
        <w:t xml:space="preserve">Without the knowledge of Hydro </w:t>
      </w:r>
      <w:proofErr w:type="spellStart"/>
      <w:r w:rsidRPr="00DA5EB5">
        <w:rPr>
          <w:kern w:val="2"/>
          <w:sz w:val="20"/>
        </w:rPr>
        <w:t>Kleen</w:t>
      </w:r>
      <w:proofErr w:type="spellEnd"/>
      <w:r w:rsidRPr="00DA5EB5">
        <w:rPr>
          <w:kern w:val="2"/>
          <w:sz w:val="20"/>
        </w:rPr>
        <w:t xml:space="preserve"> Systems Inc. and without instructions from Hydro </w:t>
      </w:r>
      <w:proofErr w:type="spellStart"/>
      <w:r w:rsidRPr="00DA5EB5">
        <w:rPr>
          <w:kern w:val="2"/>
          <w:sz w:val="20"/>
        </w:rPr>
        <w:t>Kleen</w:t>
      </w:r>
      <w:proofErr w:type="spellEnd"/>
      <w:r w:rsidRPr="00DA5EB5">
        <w:rPr>
          <w:kern w:val="2"/>
          <w:sz w:val="20"/>
        </w:rPr>
        <w:t xml:space="preserve"> Systems Inc., Garcia undertook an investigation of a number of persons employed by firms in competition with Hydro </w:t>
      </w:r>
      <w:proofErr w:type="spellStart"/>
      <w:r w:rsidRPr="00DA5EB5">
        <w:rPr>
          <w:kern w:val="2"/>
          <w:sz w:val="20"/>
        </w:rPr>
        <w:t>Kleen</w:t>
      </w:r>
      <w:proofErr w:type="spellEnd"/>
      <w:r w:rsidRPr="00DA5EB5">
        <w:rPr>
          <w:kern w:val="2"/>
          <w:sz w:val="20"/>
        </w:rPr>
        <w:t xml:space="preserve"> Systems Inc. It was his opinion that these persons were illegally gaining entry into the United States.</w:t>
      </w:r>
    </w:p>
    <w:p w14:paraId="2A48965B" w14:textId="67084CF6" w:rsidR="0061282C" w:rsidRPr="00DA5EB5" w:rsidRDefault="0061282C" w:rsidP="00907520">
      <w:pPr>
        <w:pStyle w:val="BlockQuote"/>
        <w:numPr>
          <w:ilvl w:val="0"/>
          <w:numId w:val="62"/>
        </w:numPr>
        <w:spacing w:after="0"/>
        <w:ind w:left="1080"/>
        <w:jc w:val="left"/>
        <w:rPr>
          <w:kern w:val="2"/>
          <w:sz w:val="20"/>
        </w:rPr>
      </w:pPr>
      <w:r w:rsidRPr="00DA5EB5">
        <w:rPr>
          <w:kern w:val="2"/>
          <w:sz w:val="20"/>
        </w:rPr>
        <w:t xml:space="preserve">In particular, his investigation focussed on employees of Hydro </w:t>
      </w:r>
      <w:proofErr w:type="spellStart"/>
      <w:r w:rsidRPr="00DA5EB5">
        <w:rPr>
          <w:kern w:val="2"/>
          <w:sz w:val="20"/>
        </w:rPr>
        <w:t>Kleen</w:t>
      </w:r>
      <w:proofErr w:type="spellEnd"/>
      <w:r w:rsidRPr="00DA5EB5">
        <w:rPr>
          <w:kern w:val="2"/>
          <w:sz w:val="20"/>
        </w:rPr>
        <w:t xml:space="preserve"> Systems Inc.'s competitors, namely Innovative Coke Expulsion Inc., which is referred to as ICE, and Eliminator Pigging, referred to as Eliminator.</w:t>
      </w:r>
    </w:p>
    <w:p w14:paraId="3DBCEF6F" w14:textId="3704E566" w:rsidR="0061282C" w:rsidRPr="00DA5EB5" w:rsidRDefault="0061282C" w:rsidP="00907520">
      <w:pPr>
        <w:pStyle w:val="BlockQuote"/>
        <w:numPr>
          <w:ilvl w:val="0"/>
          <w:numId w:val="63"/>
        </w:numPr>
        <w:spacing w:after="0"/>
        <w:ind w:left="1080"/>
        <w:jc w:val="left"/>
        <w:rPr>
          <w:kern w:val="2"/>
          <w:sz w:val="20"/>
        </w:rPr>
      </w:pPr>
      <w:r w:rsidRPr="00DA5EB5">
        <w:rPr>
          <w:kern w:val="2"/>
          <w:sz w:val="20"/>
        </w:rPr>
        <w:t>As a result of Garcia's actions, these individuals were denied entry into the United States, in some cases after further questioning by Immigration and Naturalization Services' officers.</w:t>
      </w:r>
      <w:r w:rsidR="008C267A" w:rsidRPr="00DA5EB5">
        <w:rPr>
          <w:rStyle w:val="FootnoteReference"/>
          <w:color w:val="000000"/>
          <w:kern w:val="2"/>
          <w:sz w:val="18"/>
        </w:rPr>
        <w:footnoteReference w:id="123"/>
      </w:r>
    </w:p>
    <w:p w14:paraId="1ECF2700" w14:textId="7FFAC1D5" w:rsidR="00B66E01" w:rsidRPr="00DA5EB5" w:rsidRDefault="00B66E01" w:rsidP="00D523BD">
      <w:pPr>
        <w:rPr>
          <w:color w:val="000000"/>
          <w:kern w:val="2"/>
          <w:sz w:val="20"/>
        </w:rPr>
      </w:pPr>
      <w:r w:rsidRPr="00DA5EB5">
        <w:rPr>
          <w:color w:val="000000"/>
          <w:kern w:val="2"/>
          <w:sz w:val="20"/>
        </w:rPr>
        <w:t xml:space="preserve">Under a plea agreement, Hydro </w:t>
      </w:r>
      <w:proofErr w:type="spellStart"/>
      <w:r w:rsidRPr="00DA5EB5">
        <w:rPr>
          <w:color w:val="000000"/>
          <w:kern w:val="2"/>
          <w:sz w:val="20"/>
        </w:rPr>
        <w:t>Kleen</w:t>
      </w:r>
      <w:proofErr w:type="spellEnd"/>
      <w:r w:rsidRPr="00DA5EB5">
        <w:rPr>
          <w:color w:val="000000"/>
          <w:kern w:val="2"/>
          <w:sz w:val="20"/>
        </w:rPr>
        <w:t xml:space="preserve"> pled guilty to making 33 payments totalling $28,299.98 to an American immigration officer and the charges against Watts and Bakke were withdrawn. The Crown and defence made a joint submission suggesting a fine of $25,000 against Hydro </w:t>
      </w:r>
      <w:proofErr w:type="spellStart"/>
      <w:r w:rsidRPr="00DA5EB5">
        <w:rPr>
          <w:color w:val="000000"/>
          <w:kern w:val="2"/>
          <w:sz w:val="20"/>
        </w:rPr>
        <w:t>Kleen</w:t>
      </w:r>
      <w:proofErr w:type="spellEnd"/>
      <w:r w:rsidRPr="00DA5EB5">
        <w:rPr>
          <w:color w:val="000000"/>
          <w:kern w:val="2"/>
          <w:sz w:val="20"/>
        </w:rPr>
        <w:t xml:space="preserve">, which was accepted by the court. </w:t>
      </w:r>
    </w:p>
    <w:p w14:paraId="143A4F04" w14:textId="564F15D1" w:rsidR="0061282C" w:rsidRPr="00DA5EB5" w:rsidRDefault="0061282C" w:rsidP="007C3517">
      <w:pPr>
        <w:spacing w:after="0"/>
        <w:rPr>
          <w:kern w:val="2"/>
          <w:sz w:val="20"/>
        </w:rPr>
      </w:pPr>
      <w:r w:rsidRPr="00DA5EB5">
        <w:rPr>
          <w:kern w:val="2"/>
          <w:sz w:val="20"/>
        </w:rPr>
        <w:t xml:space="preserve">At the sentencing hearing, </w:t>
      </w:r>
      <w:r w:rsidR="00B66E01" w:rsidRPr="00DA5EB5">
        <w:rPr>
          <w:kern w:val="2"/>
          <w:sz w:val="20"/>
        </w:rPr>
        <w:t>the</w:t>
      </w:r>
      <w:r w:rsidRPr="00DA5EB5">
        <w:rPr>
          <w:kern w:val="2"/>
          <w:sz w:val="20"/>
        </w:rPr>
        <w:t xml:space="preserve"> president of </w:t>
      </w:r>
      <w:r w:rsidR="00A366F1" w:rsidRPr="00DA5EB5">
        <w:rPr>
          <w:kern w:val="2"/>
          <w:sz w:val="20"/>
        </w:rPr>
        <w:t xml:space="preserve">Innovative Coke Expulsion </w:t>
      </w:r>
      <w:proofErr w:type="spellStart"/>
      <w:r w:rsidR="00A366F1" w:rsidRPr="00DA5EB5">
        <w:rPr>
          <w:kern w:val="2"/>
          <w:sz w:val="20"/>
        </w:rPr>
        <w:t>Inc</w:t>
      </w:r>
      <w:proofErr w:type="spellEnd"/>
      <w:r w:rsidR="00A366F1" w:rsidRPr="00DA5EB5">
        <w:rPr>
          <w:kern w:val="2"/>
          <w:sz w:val="20"/>
        </w:rPr>
        <w:t xml:space="preserve">, Hydro </w:t>
      </w:r>
      <w:proofErr w:type="spellStart"/>
      <w:r w:rsidR="00A366F1" w:rsidRPr="00DA5EB5">
        <w:rPr>
          <w:kern w:val="2"/>
          <w:sz w:val="20"/>
        </w:rPr>
        <w:t>Kleen’s</w:t>
      </w:r>
      <w:proofErr w:type="spellEnd"/>
      <w:r w:rsidR="00A366F1" w:rsidRPr="00DA5EB5">
        <w:rPr>
          <w:kern w:val="2"/>
          <w:sz w:val="20"/>
        </w:rPr>
        <w:t xml:space="preserve"> competitor,</w:t>
      </w:r>
      <w:r w:rsidRPr="00DA5EB5">
        <w:rPr>
          <w:kern w:val="2"/>
          <w:sz w:val="20"/>
        </w:rPr>
        <w:t xml:space="preserve"> read a victim impact </w:t>
      </w:r>
      <w:r w:rsidR="00907520" w:rsidRPr="00DA5EB5">
        <w:rPr>
          <w:kern w:val="2"/>
          <w:sz w:val="20"/>
        </w:rPr>
        <w:t>statement indicating</w:t>
      </w:r>
      <w:r w:rsidR="00B66E01" w:rsidRPr="00DA5EB5">
        <w:rPr>
          <w:kern w:val="2"/>
          <w:sz w:val="20"/>
        </w:rPr>
        <w:t xml:space="preserve"> that Hydro </w:t>
      </w:r>
      <w:proofErr w:type="spellStart"/>
      <w:r w:rsidR="00B66E01" w:rsidRPr="00DA5EB5">
        <w:rPr>
          <w:kern w:val="2"/>
          <w:sz w:val="20"/>
        </w:rPr>
        <w:t>Kleen’s</w:t>
      </w:r>
      <w:proofErr w:type="spellEnd"/>
      <w:r w:rsidRPr="00DA5EB5">
        <w:rPr>
          <w:kern w:val="2"/>
          <w:sz w:val="20"/>
        </w:rPr>
        <w:t xml:space="preserve"> corrupt activities had a serious economic impact on his company, as well as a moral impact.</w:t>
      </w:r>
      <w:r w:rsidR="00907520" w:rsidRPr="00DA5EB5">
        <w:rPr>
          <w:rStyle w:val="FootnoteReference"/>
          <w:kern w:val="2"/>
        </w:rPr>
        <w:footnoteReference w:id="124"/>
      </w:r>
      <w:r w:rsidRPr="00DA5EB5">
        <w:rPr>
          <w:kern w:val="2"/>
          <w:sz w:val="20"/>
        </w:rPr>
        <w:t xml:space="preserve"> He stated</w:t>
      </w:r>
      <w:r w:rsidR="00B66E01" w:rsidRPr="00DA5EB5">
        <w:rPr>
          <w:kern w:val="2"/>
          <w:sz w:val="20"/>
        </w:rPr>
        <w:t xml:space="preserve"> that</w:t>
      </w:r>
      <w:r w:rsidRPr="00DA5EB5">
        <w:rPr>
          <w:kern w:val="2"/>
          <w:sz w:val="20"/>
        </w:rPr>
        <w:t xml:space="preserve"> </w:t>
      </w:r>
      <w:r w:rsidR="00FD6DAC" w:rsidRPr="00DA5EB5">
        <w:rPr>
          <w:kern w:val="2"/>
          <w:sz w:val="20"/>
        </w:rPr>
        <w:t>“</w:t>
      </w:r>
      <w:r w:rsidRPr="00DA5EB5">
        <w:rPr>
          <w:kern w:val="2"/>
          <w:sz w:val="20"/>
        </w:rPr>
        <w:t xml:space="preserve">the damage inflicted went beyond the monetary value of the corrupt payment to Garcia by Hydro </w:t>
      </w:r>
      <w:proofErr w:type="spellStart"/>
      <w:r w:rsidRPr="00DA5EB5">
        <w:rPr>
          <w:kern w:val="2"/>
          <w:sz w:val="20"/>
        </w:rPr>
        <w:t>Kleen</w:t>
      </w:r>
      <w:proofErr w:type="spellEnd"/>
      <w:r w:rsidRPr="00DA5EB5">
        <w:rPr>
          <w:kern w:val="2"/>
          <w:sz w:val="20"/>
        </w:rPr>
        <w:t xml:space="preserve"> Group. Our own employees questioned the point in maintaining our own ethical values. What's the use, was the most asked question.</w:t>
      </w:r>
      <w:r w:rsidR="00FD6DAC" w:rsidRPr="00DA5EB5">
        <w:rPr>
          <w:kern w:val="2"/>
          <w:sz w:val="20"/>
        </w:rPr>
        <w:t>”</w:t>
      </w:r>
      <w:r w:rsidRPr="00DA5EB5">
        <w:rPr>
          <w:rStyle w:val="FootnoteReference"/>
          <w:kern w:val="2"/>
        </w:rPr>
        <w:footnoteReference w:id="125"/>
      </w:r>
    </w:p>
    <w:p w14:paraId="49D7E312" w14:textId="7B780D79" w:rsidR="0061282C" w:rsidRPr="00DA5EB5" w:rsidRDefault="002F6DB7" w:rsidP="007C3517">
      <w:pPr>
        <w:rPr>
          <w:kern w:val="2"/>
          <w:sz w:val="20"/>
        </w:rPr>
      </w:pPr>
      <w:r w:rsidRPr="00DA5EB5">
        <w:rPr>
          <w:kern w:val="2"/>
          <w:sz w:val="20"/>
        </w:rPr>
        <w:t xml:space="preserve">As stated above, </w:t>
      </w:r>
      <w:r w:rsidR="000C6447" w:rsidRPr="00DA5EB5">
        <w:rPr>
          <w:kern w:val="2"/>
          <w:sz w:val="20"/>
        </w:rPr>
        <w:t xml:space="preserve">Justice </w:t>
      </w:r>
      <w:proofErr w:type="spellStart"/>
      <w:r w:rsidR="0061282C" w:rsidRPr="00DA5EB5">
        <w:rPr>
          <w:kern w:val="2"/>
          <w:sz w:val="20"/>
        </w:rPr>
        <w:t>Sirrs</w:t>
      </w:r>
      <w:proofErr w:type="spellEnd"/>
      <w:r w:rsidR="00B66E01" w:rsidRPr="00DA5EB5">
        <w:rPr>
          <w:kern w:val="2"/>
          <w:sz w:val="20"/>
        </w:rPr>
        <w:t xml:space="preserve"> </w:t>
      </w:r>
      <w:r w:rsidR="0061282C" w:rsidRPr="00DA5EB5">
        <w:rPr>
          <w:kern w:val="2"/>
          <w:sz w:val="20"/>
        </w:rPr>
        <w:t xml:space="preserve">accepted the joint sentencing submission. Regarding the amount of the fine, </w:t>
      </w:r>
      <w:r w:rsidR="000C6447" w:rsidRPr="00DA5EB5">
        <w:rPr>
          <w:kern w:val="2"/>
          <w:sz w:val="20"/>
        </w:rPr>
        <w:t xml:space="preserve">Justice </w:t>
      </w:r>
      <w:proofErr w:type="spellStart"/>
      <w:r w:rsidR="0061282C" w:rsidRPr="00DA5EB5">
        <w:rPr>
          <w:kern w:val="2"/>
          <w:sz w:val="20"/>
        </w:rPr>
        <w:t>Sirrs</w:t>
      </w:r>
      <w:proofErr w:type="spellEnd"/>
      <w:r w:rsidR="0061282C" w:rsidRPr="00DA5EB5">
        <w:rPr>
          <w:color w:val="FF0000"/>
          <w:kern w:val="2"/>
          <w:sz w:val="20"/>
        </w:rPr>
        <w:t xml:space="preserve"> </w:t>
      </w:r>
      <w:r w:rsidR="0061282C" w:rsidRPr="00DA5EB5">
        <w:rPr>
          <w:kern w:val="2"/>
          <w:sz w:val="20"/>
        </w:rPr>
        <w:t>stated</w:t>
      </w:r>
      <w:r w:rsidRPr="00DA5EB5">
        <w:rPr>
          <w:kern w:val="2"/>
          <w:sz w:val="20"/>
        </w:rPr>
        <w:t xml:space="preserve"> that,</w:t>
      </w:r>
      <w:r w:rsidR="0061282C" w:rsidRPr="00DA5EB5">
        <w:rPr>
          <w:kern w:val="2"/>
          <w:sz w:val="20"/>
        </w:rPr>
        <w:t xml:space="preserve"> </w:t>
      </w:r>
      <w:r w:rsidR="00FD6DAC" w:rsidRPr="00DA5EB5">
        <w:rPr>
          <w:kern w:val="2"/>
          <w:sz w:val="20"/>
        </w:rPr>
        <w:t>“</w:t>
      </w:r>
      <w:r w:rsidRPr="00DA5EB5">
        <w:rPr>
          <w:kern w:val="2"/>
          <w:sz w:val="20"/>
        </w:rPr>
        <w:t>[w]</w:t>
      </w:r>
      <w:proofErr w:type="spellStart"/>
      <w:r w:rsidR="0061282C" w:rsidRPr="00DA5EB5">
        <w:rPr>
          <w:kern w:val="2"/>
          <w:sz w:val="20"/>
        </w:rPr>
        <w:t>hether</w:t>
      </w:r>
      <w:proofErr w:type="spellEnd"/>
      <w:r w:rsidR="0061282C" w:rsidRPr="00DA5EB5">
        <w:rPr>
          <w:kern w:val="2"/>
          <w:sz w:val="20"/>
        </w:rPr>
        <w:t xml:space="preserve"> a $25,000 fine is significant or not, I can only determine that Mr. Beattie [the Crown prosecutor] must have canvassed the significance and the amount of the fine and what effect it might have on Hydro </w:t>
      </w:r>
      <w:proofErr w:type="spellStart"/>
      <w:r w:rsidR="0061282C" w:rsidRPr="00DA5EB5">
        <w:rPr>
          <w:kern w:val="2"/>
          <w:sz w:val="20"/>
        </w:rPr>
        <w:t>Kleen</w:t>
      </w:r>
      <w:proofErr w:type="spellEnd"/>
      <w:r w:rsidR="0061282C" w:rsidRPr="00DA5EB5">
        <w:rPr>
          <w:kern w:val="2"/>
          <w:sz w:val="20"/>
        </w:rPr>
        <w:t xml:space="preserve"> as being a significant amount.</w:t>
      </w:r>
      <w:r w:rsidR="00FD6DAC" w:rsidRPr="00DA5EB5">
        <w:rPr>
          <w:kern w:val="2"/>
          <w:sz w:val="20"/>
        </w:rPr>
        <w:t>”</w:t>
      </w:r>
      <w:r w:rsidR="0061282C" w:rsidRPr="00DA5EB5">
        <w:rPr>
          <w:rStyle w:val="FootnoteReference"/>
          <w:kern w:val="2"/>
        </w:rPr>
        <w:footnoteReference w:id="126"/>
      </w:r>
      <w:r w:rsidR="0061282C" w:rsidRPr="00DA5EB5">
        <w:rPr>
          <w:kern w:val="2"/>
          <w:sz w:val="20"/>
        </w:rPr>
        <w:t xml:space="preserve"> </w:t>
      </w:r>
      <w:r w:rsidR="000C6447" w:rsidRPr="00DA5EB5">
        <w:rPr>
          <w:kern w:val="2"/>
          <w:sz w:val="20"/>
        </w:rPr>
        <w:t xml:space="preserve">Justice </w:t>
      </w:r>
      <w:proofErr w:type="spellStart"/>
      <w:r w:rsidR="0061282C" w:rsidRPr="00DA5EB5">
        <w:rPr>
          <w:kern w:val="2"/>
          <w:sz w:val="20"/>
        </w:rPr>
        <w:t>Sirrs</w:t>
      </w:r>
      <w:proofErr w:type="spellEnd"/>
      <w:r w:rsidRPr="00DA5EB5">
        <w:rPr>
          <w:kern w:val="2"/>
          <w:sz w:val="20"/>
        </w:rPr>
        <w:t xml:space="preserve"> </w:t>
      </w:r>
      <w:r w:rsidR="0061282C" w:rsidRPr="00DA5EB5">
        <w:rPr>
          <w:kern w:val="2"/>
          <w:sz w:val="20"/>
        </w:rPr>
        <w:t>expressed some discomfort w</w:t>
      </w:r>
      <w:r w:rsidRPr="00DA5EB5">
        <w:rPr>
          <w:kern w:val="2"/>
          <w:sz w:val="20"/>
        </w:rPr>
        <w:t xml:space="preserve">ith the idea of </w:t>
      </w:r>
      <w:r w:rsidR="0061282C" w:rsidRPr="00DA5EB5">
        <w:rPr>
          <w:kern w:val="2"/>
          <w:sz w:val="20"/>
        </w:rPr>
        <w:t>Watts and Bakke</w:t>
      </w:r>
      <w:r w:rsidRPr="00DA5EB5">
        <w:rPr>
          <w:kern w:val="2"/>
          <w:sz w:val="20"/>
        </w:rPr>
        <w:t xml:space="preserve"> </w:t>
      </w:r>
      <w:r w:rsidR="0061282C" w:rsidRPr="00DA5EB5">
        <w:rPr>
          <w:kern w:val="2"/>
          <w:sz w:val="20"/>
        </w:rPr>
        <w:t>escaping criminal conviction and punishment, stating</w:t>
      </w:r>
      <w:r w:rsidR="00C2296F" w:rsidRPr="00DA5EB5">
        <w:rPr>
          <w:kern w:val="2"/>
          <w:sz w:val="20"/>
        </w:rPr>
        <w:t xml:space="preserve"> that</w:t>
      </w:r>
      <w:r w:rsidR="0061282C" w:rsidRPr="00DA5EB5">
        <w:rPr>
          <w:kern w:val="2"/>
          <w:sz w:val="20"/>
        </w:rPr>
        <w:t xml:space="preserve"> </w:t>
      </w:r>
      <w:r w:rsidR="00FD6DAC" w:rsidRPr="00DA5EB5">
        <w:rPr>
          <w:kern w:val="2"/>
          <w:sz w:val="20"/>
        </w:rPr>
        <w:t>“</w:t>
      </w:r>
      <w:r w:rsidR="00C2296F" w:rsidRPr="00DA5EB5">
        <w:rPr>
          <w:kern w:val="2"/>
          <w:sz w:val="20"/>
        </w:rPr>
        <w:t>[</w:t>
      </w:r>
      <w:proofErr w:type="spellStart"/>
      <w:r w:rsidR="00C2296F" w:rsidRPr="00DA5EB5">
        <w:rPr>
          <w:kern w:val="2"/>
          <w:sz w:val="20"/>
        </w:rPr>
        <w:t>i</w:t>
      </w:r>
      <w:proofErr w:type="spellEnd"/>
      <w:r w:rsidR="00C2296F" w:rsidRPr="00DA5EB5">
        <w:rPr>
          <w:kern w:val="2"/>
          <w:sz w:val="20"/>
        </w:rPr>
        <w:t>]</w:t>
      </w:r>
      <w:r w:rsidR="0061282C" w:rsidRPr="00DA5EB5">
        <w:rPr>
          <w:kern w:val="2"/>
          <w:sz w:val="20"/>
        </w:rPr>
        <w:t>t bothers the court that these people are able to plea from a corporation to protect the operating minds of the company from the stigma attached to a criminal record. However, the court does take into consideration that the operating minds of this corporation do not escape with their integrity intact.</w:t>
      </w:r>
      <w:r w:rsidR="00FD6DAC" w:rsidRPr="00DA5EB5">
        <w:rPr>
          <w:kern w:val="2"/>
          <w:sz w:val="20"/>
        </w:rPr>
        <w:t>”</w:t>
      </w:r>
      <w:r w:rsidR="0061282C" w:rsidRPr="00DA5EB5">
        <w:rPr>
          <w:rStyle w:val="FootnoteReference"/>
          <w:kern w:val="2"/>
        </w:rPr>
        <w:footnoteReference w:id="127"/>
      </w:r>
      <w:r w:rsidR="0061282C" w:rsidRPr="00DA5EB5">
        <w:rPr>
          <w:kern w:val="2"/>
          <w:sz w:val="20"/>
        </w:rPr>
        <w:t xml:space="preserve"> </w:t>
      </w:r>
      <w:r w:rsidR="000C6447" w:rsidRPr="00DA5EB5">
        <w:rPr>
          <w:kern w:val="2"/>
          <w:sz w:val="20"/>
        </w:rPr>
        <w:t xml:space="preserve">Justice </w:t>
      </w:r>
      <w:proofErr w:type="spellStart"/>
      <w:r w:rsidR="0061282C" w:rsidRPr="00DA5EB5">
        <w:rPr>
          <w:kern w:val="2"/>
          <w:sz w:val="20"/>
        </w:rPr>
        <w:t>Sirrs</w:t>
      </w:r>
      <w:proofErr w:type="spellEnd"/>
      <w:r w:rsidR="0061282C" w:rsidRPr="00DA5EB5">
        <w:rPr>
          <w:color w:val="FF0000"/>
          <w:kern w:val="2"/>
          <w:sz w:val="20"/>
        </w:rPr>
        <w:t xml:space="preserve"> </w:t>
      </w:r>
      <w:r w:rsidR="0061282C" w:rsidRPr="00DA5EB5">
        <w:rPr>
          <w:kern w:val="2"/>
          <w:sz w:val="20"/>
        </w:rPr>
        <w:t>also acknowledged the mitigati</w:t>
      </w:r>
      <w:r w:rsidR="00C2296F" w:rsidRPr="00DA5EB5">
        <w:rPr>
          <w:kern w:val="2"/>
          <w:sz w:val="20"/>
        </w:rPr>
        <w:t>ng effect</w:t>
      </w:r>
      <w:r w:rsidR="0061282C" w:rsidRPr="00DA5EB5">
        <w:rPr>
          <w:kern w:val="2"/>
          <w:sz w:val="20"/>
        </w:rPr>
        <w:t xml:space="preserve"> of a guilty plea</w:t>
      </w:r>
      <w:r w:rsidR="0081228B" w:rsidRPr="00DA5EB5">
        <w:rPr>
          <w:kern w:val="2"/>
          <w:sz w:val="20"/>
        </w:rPr>
        <w:t>:</w:t>
      </w:r>
    </w:p>
    <w:p w14:paraId="7A2EF703" w14:textId="234FB324" w:rsidR="0061282C" w:rsidRPr="00DA5EB5" w:rsidRDefault="0061282C" w:rsidP="007C3517">
      <w:pPr>
        <w:pStyle w:val="BlockQuote"/>
        <w:rPr>
          <w:kern w:val="2"/>
          <w:sz w:val="20"/>
        </w:rPr>
      </w:pPr>
      <w:r w:rsidRPr="00DA5EB5">
        <w:rPr>
          <w:kern w:val="2"/>
          <w:sz w:val="20"/>
        </w:rPr>
        <w:t xml:space="preserve">In this case, I take into consideration Mr. Wilson's statements that a guilty plea has been entered. In these types of charges, especially the </w:t>
      </w:r>
      <w:proofErr w:type="spellStart"/>
      <w:r w:rsidRPr="00DA5EB5">
        <w:rPr>
          <w:kern w:val="2"/>
          <w:sz w:val="20"/>
        </w:rPr>
        <w:t>mens</w:t>
      </w:r>
      <w:proofErr w:type="spellEnd"/>
      <w:r w:rsidRPr="00DA5EB5">
        <w:rPr>
          <w:kern w:val="2"/>
          <w:sz w:val="20"/>
        </w:rPr>
        <w:t xml:space="preserve"> rea elements are difficult for the Crown to prove. A guilty plea means that a three-week trial was avoided, that the individual has accepted responsibility. A significant fine has been agreed to, and on those factors, I am not able to determine that the sentence is unfit and would thus justify my interference with the penalty arrangements that counsel have worked out amongst themselves.</w:t>
      </w:r>
      <w:r w:rsidR="006F77D8" w:rsidRPr="00DA5EB5">
        <w:rPr>
          <w:rStyle w:val="FootnoteReference"/>
          <w:kern w:val="2"/>
          <w:szCs w:val="21"/>
        </w:rPr>
        <w:footnoteReference w:id="128"/>
      </w:r>
    </w:p>
    <w:p w14:paraId="76C7273F" w14:textId="1D36AC69" w:rsidR="0061282C" w:rsidRPr="00DA5EB5" w:rsidRDefault="0061282C" w:rsidP="00D523BD">
      <w:pPr>
        <w:rPr>
          <w:kern w:val="2"/>
          <w:sz w:val="20"/>
        </w:rPr>
      </w:pPr>
      <w:r w:rsidRPr="00DA5EB5">
        <w:rPr>
          <w:kern w:val="2"/>
          <w:sz w:val="20"/>
        </w:rPr>
        <w:t xml:space="preserve">In the Phase 3 Report </w:t>
      </w:r>
      <w:r w:rsidR="0081228B" w:rsidRPr="00DA5EB5">
        <w:rPr>
          <w:kern w:val="2"/>
          <w:sz w:val="20"/>
        </w:rPr>
        <w:t>o</w:t>
      </w:r>
      <w:r w:rsidRPr="00DA5EB5">
        <w:rPr>
          <w:kern w:val="2"/>
          <w:sz w:val="20"/>
        </w:rPr>
        <w:t>n Implementing the OECD Convention</w:t>
      </w:r>
      <w:r w:rsidR="0081228B" w:rsidRPr="00DA5EB5">
        <w:rPr>
          <w:kern w:val="2"/>
          <w:sz w:val="20"/>
        </w:rPr>
        <w:t xml:space="preserve"> in Canada</w:t>
      </w:r>
      <w:r w:rsidRPr="00DA5EB5">
        <w:rPr>
          <w:kern w:val="2"/>
          <w:sz w:val="20"/>
        </w:rPr>
        <w:t xml:space="preserve">, there was legitimate criticism of the sentence imposed in </w:t>
      </w:r>
      <w:r w:rsidRPr="00DA5EB5">
        <w:rPr>
          <w:i/>
          <w:kern w:val="2"/>
          <w:sz w:val="20"/>
        </w:rPr>
        <w:t>Watts</w:t>
      </w:r>
      <w:r w:rsidRPr="00DA5EB5">
        <w:rPr>
          <w:kern w:val="2"/>
          <w:sz w:val="20"/>
        </w:rPr>
        <w:t>. The au</w:t>
      </w:r>
      <w:r w:rsidR="0081228B" w:rsidRPr="00DA5EB5">
        <w:rPr>
          <w:kern w:val="2"/>
          <w:sz w:val="20"/>
        </w:rPr>
        <w:t>thors of the report stated:</w:t>
      </w:r>
    </w:p>
    <w:p w14:paraId="288242FC" w14:textId="4D69099B" w:rsidR="0061282C" w:rsidRPr="00DA5EB5" w:rsidRDefault="0061282C" w:rsidP="007C3517">
      <w:pPr>
        <w:pStyle w:val="BlockQuote"/>
        <w:rPr>
          <w:kern w:val="2"/>
          <w:sz w:val="20"/>
          <w:szCs w:val="21"/>
        </w:rPr>
      </w:pPr>
      <w:r w:rsidRPr="00DA5EB5">
        <w:rPr>
          <w:rStyle w:val="BlockQuoteChar"/>
          <w:kern w:val="2"/>
          <w:sz w:val="20"/>
        </w:rPr>
        <w:t>[G]</w:t>
      </w:r>
      <w:proofErr w:type="spellStart"/>
      <w:r w:rsidRPr="00DA5EB5">
        <w:rPr>
          <w:rStyle w:val="BlockQuoteChar"/>
          <w:kern w:val="2"/>
          <w:sz w:val="20"/>
        </w:rPr>
        <w:t>iven</w:t>
      </w:r>
      <w:proofErr w:type="spellEnd"/>
      <w:r w:rsidRPr="00DA5EB5">
        <w:rPr>
          <w:rStyle w:val="BlockQuoteChar"/>
          <w:kern w:val="2"/>
          <w:sz w:val="20"/>
        </w:rPr>
        <w:t xml:space="preserve"> that the fine imposed in Hydro </w:t>
      </w:r>
      <w:proofErr w:type="spellStart"/>
      <w:r w:rsidRPr="00DA5EB5">
        <w:rPr>
          <w:rStyle w:val="BlockQuoteChar"/>
          <w:kern w:val="2"/>
          <w:sz w:val="20"/>
        </w:rPr>
        <w:t>Kleen</w:t>
      </w:r>
      <w:proofErr w:type="spellEnd"/>
      <w:r w:rsidRPr="00DA5EB5">
        <w:rPr>
          <w:rStyle w:val="BlockQuoteChar"/>
          <w:kern w:val="2"/>
          <w:sz w:val="20"/>
        </w:rPr>
        <w:t xml:space="preserve"> amounted to less than the bribe given to the foreign public official, which was around CAD 30 000, no proceeds obtained from the bribery act were forfeited, no restitution appears to have been paid to the victim company, and the Court did not consider whether measures were taken by the company to prevent further foreign bribery acts, the lead examiners find it difficult to see how the penalty imposed in Hydro </w:t>
      </w:r>
      <w:proofErr w:type="spellStart"/>
      <w:r w:rsidRPr="00DA5EB5">
        <w:rPr>
          <w:rStyle w:val="BlockQuoteChar"/>
          <w:kern w:val="2"/>
          <w:sz w:val="20"/>
        </w:rPr>
        <w:t>Kleen</w:t>
      </w:r>
      <w:proofErr w:type="spellEnd"/>
      <w:r w:rsidRPr="00DA5EB5">
        <w:rPr>
          <w:rStyle w:val="BlockQuoteChar"/>
          <w:kern w:val="2"/>
          <w:sz w:val="20"/>
        </w:rPr>
        <w:t xml:space="preserve"> could be an effective general or specific deterrent. Moreover, it is difficult to see how the penalty imposed takes into account the main factors that the PPSC [Public </w:t>
      </w:r>
      <w:r w:rsidRPr="00DA5EB5">
        <w:rPr>
          <w:kern w:val="2"/>
          <w:sz w:val="20"/>
          <w:szCs w:val="21"/>
        </w:rPr>
        <w:t>Prosecution Services of Canada] told the lead examiners are to be considered on a case-by-case basis, according to the jurisprudence – i.e. the size of the bribe and the proceeds of the bribery, as well as the circumstances of the offence.</w:t>
      </w:r>
      <w:r w:rsidR="00566892" w:rsidRPr="00DA5EB5">
        <w:rPr>
          <w:rStyle w:val="FootnoteReference"/>
          <w:kern w:val="2"/>
          <w:szCs w:val="21"/>
        </w:rPr>
        <w:footnoteReference w:id="129"/>
      </w:r>
    </w:p>
    <w:p w14:paraId="35F4EC56" w14:textId="58B9C907" w:rsidR="0061282C" w:rsidRPr="00DA5EB5" w:rsidRDefault="0061282C" w:rsidP="00480FB0">
      <w:pPr>
        <w:rPr>
          <w:kern w:val="2"/>
          <w:sz w:val="20"/>
        </w:rPr>
      </w:pPr>
      <w:r w:rsidRPr="00DA5EB5">
        <w:rPr>
          <w:kern w:val="2"/>
          <w:sz w:val="20"/>
        </w:rPr>
        <w:t xml:space="preserve">The first significant </w:t>
      </w:r>
      <w:r w:rsidRPr="00DA5EB5">
        <w:rPr>
          <w:i/>
          <w:kern w:val="2"/>
          <w:sz w:val="20"/>
        </w:rPr>
        <w:t>CFPOA</w:t>
      </w:r>
      <w:r w:rsidRPr="00DA5EB5">
        <w:rPr>
          <w:kern w:val="2"/>
          <w:sz w:val="20"/>
        </w:rPr>
        <w:t xml:space="preserve"> conviction was in </w:t>
      </w:r>
      <w:r w:rsidRPr="00DA5EB5">
        <w:rPr>
          <w:i/>
          <w:kern w:val="2"/>
          <w:sz w:val="20"/>
        </w:rPr>
        <w:t xml:space="preserve">R v Niko </w:t>
      </w:r>
      <w:r w:rsidR="004462F2" w:rsidRPr="00DA5EB5">
        <w:rPr>
          <w:i/>
          <w:kern w:val="2"/>
          <w:sz w:val="20"/>
        </w:rPr>
        <w:t>Resources</w:t>
      </w:r>
      <w:r w:rsidRPr="00DA5EB5">
        <w:rPr>
          <w:i/>
          <w:kern w:val="2"/>
          <w:sz w:val="20"/>
        </w:rPr>
        <w:t xml:space="preserve"> Ltd</w:t>
      </w:r>
      <w:r w:rsidRPr="00DA5EB5">
        <w:rPr>
          <w:kern w:val="2"/>
          <w:sz w:val="20"/>
        </w:rPr>
        <w:t>.</w:t>
      </w:r>
      <w:r w:rsidRPr="00DA5EB5">
        <w:rPr>
          <w:rStyle w:val="FootnoteReference"/>
          <w:kern w:val="2"/>
        </w:rPr>
        <w:footnoteReference w:id="130"/>
      </w:r>
      <w:r w:rsidRPr="00DA5EB5">
        <w:rPr>
          <w:kern w:val="2"/>
          <w:sz w:val="20"/>
        </w:rPr>
        <w:t xml:space="preserve"> Niko Bangl</w:t>
      </w:r>
      <w:r w:rsidR="00705DF0" w:rsidRPr="00DA5EB5">
        <w:rPr>
          <w:kern w:val="2"/>
          <w:sz w:val="20"/>
        </w:rPr>
        <w:t>a</w:t>
      </w:r>
      <w:r w:rsidRPr="00DA5EB5">
        <w:rPr>
          <w:kern w:val="2"/>
          <w:sz w:val="20"/>
        </w:rPr>
        <w:t>d</w:t>
      </w:r>
      <w:r w:rsidR="00705DF0" w:rsidRPr="00DA5EB5">
        <w:rPr>
          <w:kern w:val="2"/>
          <w:sz w:val="20"/>
        </w:rPr>
        <w:t>e</w:t>
      </w:r>
      <w:r w:rsidRPr="00DA5EB5">
        <w:rPr>
          <w:kern w:val="2"/>
          <w:sz w:val="20"/>
        </w:rPr>
        <w:t xml:space="preserve">sh, a </w:t>
      </w:r>
      <w:r w:rsidR="003D6675" w:rsidRPr="00DA5EB5">
        <w:rPr>
          <w:kern w:val="2"/>
          <w:sz w:val="20"/>
        </w:rPr>
        <w:t xml:space="preserve">wholly </w:t>
      </w:r>
      <w:r w:rsidRPr="00DA5EB5">
        <w:rPr>
          <w:kern w:val="2"/>
          <w:sz w:val="20"/>
        </w:rPr>
        <w:t xml:space="preserve">owned subsidiary of Niko Canada, </w:t>
      </w:r>
      <w:r w:rsidR="00F87CB7" w:rsidRPr="00DA5EB5">
        <w:rPr>
          <w:kern w:val="2"/>
          <w:sz w:val="20"/>
        </w:rPr>
        <w:t xml:space="preserve">gave </w:t>
      </w:r>
      <w:r w:rsidRPr="00DA5EB5">
        <w:rPr>
          <w:kern w:val="2"/>
          <w:sz w:val="20"/>
        </w:rPr>
        <w:t>a</w:t>
      </w:r>
      <w:r w:rsidR="00F87CB7" w:rsidRPr="00DA5EB5">
        <w:rPr>
          <w:kern w:val="2"/>
          <w:sz w:val="20"/>
        </w:rPr>
        <w:t xml:space="preserve"> motor</w:t>
      </w:r>
      <w:r w:rsidRPr="00DA5EB5">
        <w:rPr>
          <w:kern w:val="2"/>
          <w:sz w:val="20"/>
        </w:rPr>
        <w:t xml:space="preserve"> vehicle worth $190,948 C</w:t>
      </w:r>
      <w:r w:rsidR="00AB1413" w:rsidRPr="00DA5EB5">
        <w:rPr>
          <w:kern w:val="2"/>
          <w:sz w:val="20"/>
        </w:rPr>
        <w:t>AD</w:t>
      </w:r>
      <w:r w:rsidRPr="00DA5EB5">
        <w:rPr>
          <w:kern w:val="2"/>
          <w:sz w:val="20"/>
        </w:rPr>
        <w:t xml:space="preserve"> and approximately $5,000 as travel expenses to the Bangladeshi State Minister for Energy and Mineral Resources in order to influence the Minister.</w:t>
      </w:r>
      <w:r w:rsidR="00907520" w:rsidRPr="00DA5EB5">
        <w:rPr>
          <w:rStyle w:val="FootnoteReference"/>
          <w:kern w:val="2"/>
        </w:rPr>
        <w:footnoteReference w:id="131"/>
      </w:r>
      <w:r w:rsidRPr="00DA5EB5">
        <w:rPr>
          <w:kern w:val="2"/>
          <w:sz w:val="20"/>
        </w:rPr>
        <w:t xml:space="preserve"> Niko Canada acknowledged its funding of the acquisition of the vehicle and its responsibility under Canadian criminal law. A fine of $8,260,000 and a 15% victim surcharge fine</w:t>
      </w:r>
      <w:r w:rsidR="00B46CEA" w:rsidRPr="00DA5EB5">
        <w:rPr>
          <w:rStyle w:val="FootnoteReference"/>
          <w:kern w:val="2"/>
          <w:sz w:val="18"/>
        </w:rPr>
        <w:footnoteReference w:id="132"/>
      </w:r>
      <w:r w:rsidRPr="00DA5EB5">
        <w:rPr>
          <w:kern w:val="2"/>
          <w:sz w:val="20"/>
        </w:rPr>
        <w:t xml:space="preserve"> resulted in a total </w:t>
      </w:r>
      <w:r w:rsidR="000C0F62" w:rsidRPr="00DA5EB5">
        <w:rPr>
          <w:kern w:val="2"/>
          <w:sz w:val="20"/>
        </w:rPr>
        <w:t xml:space="preserve">penalty </w:t>
      </w:r>
      <w:r w:rsidRPr="00DA5EB5">
        <w:rPr>
          <w:kern w:val="2"/>
          <w:sz w:val="20"/>
        </w:rPr>
        <w:t>of $9,499,000.</w:t>
      </w:r>
      <w:r w:rsidR="004462F2" w:rsidRPr="00DA5EB5">
        <w:rPr>
          <w:rStyle w:val="FootnoteReference"/>
          <w:kern w:val="2"/>
          <w:sz w:val="18"/>
        </w:rPr>
        <w:footnoteReference w:id="133"/>
      </w:r>
      <w:r w:rsidRPr="00DA5EB5">
        <w:rPr>
          <w:kern w:val="2"/>
          <w:sz w:val="20"/>
        </w:rPr>
        <w:t xml:space="preserve"> In addition, Niko Resources was placed on probation for three years and was to bear the costs of the </w:t>
      </w:r>
      <w:r w:rsidR="00437611" w:rsidRPr="00DA5EB5">
        <w:rPr>
          <w:kern w:val="2"/>
          <w:sz w:val="20"/>
        </w:rPr>
        <w:t>p</w:t>
      </w:r>
      <w:r w:rsidRPr="00DA5EB5">
        <w:rPr>
          <w:kern w:val="2"/>
          <w:sz w:val="20"/>
        </w:rPr>
        <w:t xml:space="preserve">robation </w:t>
      </w:r>
      <w:r w:rsidR="00437611" w:rsidRPr="00DA5EB5">
        <w:rPr>
          <w:kern w:val="2"/>
          <w:sz w:val="20"/>
        </w:rPr>
        <w:t>order</w:t>
      </w:r>
      <w:r w:rsidRPr="00DA5EB5">
        <w:rPr>
          <w:kern w:val="2"/>
          <w:sz w:val="20"/>
        </w:rPr>
        <w:t>.</w:t>
      </w:r>
      <w:r w:rsidR="00F35A4F" w:rsidRPr="00DA5EB5">
        <w:rPr>
          <w:rStyle w:val="FootnoteReference"/>
          <w:kern w:val="2"/>
          <w:sz w:val="18"/>
        </w:rPr>
        <w:footnoteReference w:id="134"/>
      </w:r>
      <w:r w:rsidRPr="00DA5EB5">
        <w:rPr>
          <w:kern w:val="2"/>
          <w:sz w:val="20"/>
        </w:rPr>
        <w:t xml:space="preserve"> In accepting the joint submission</w:t>
      </w:r>
      <w:r w:rsidR="00437611" w:rsidRPr="00DA5EB5">
        <w:rPr>
          <w:kern w:val="2"/>
          <w:sz w:val="20"/>
        </w:rPr>
        <w:t xml:space="preserve"> on sentencing</w:t>
      </w:r>
      <w:r w:rsidRPr="00DA5EB5">
        <w:rPr>
          <w:kern w:val="2"/>
          <w:sz w:val="20"/>
        </w:rPr>
        <w:t xml:space="preserve">, </w:t>
      </w:r>
      <w:r w:rsidR="000C2B4E" w:rsidRPr="00DA5EB5">
        <w:rPr>
          <w:kern w:val="2"/>
          <w:sz w:val="20"/>
        </w:rPr>
        <w:t xml:space="preserve">Justice </w:t>
      </w:r>
      <w:r w:rsidR="00C53F2E" w:rsidRPr="00DA5EB5">
        <w:rPr>
          <w:kern w:val="2"/>
          <w:sz w:val="20"/>
        </w:rPr>
        <w:t>Brooker</w:t>
      </w:r>
      <w:r w:rsidRPr="00DA5EB5">
        <w:rPr>
          <w:kern w:val="2"/>
          <w:sz w:val="20"/>
        </w:rPr>
        <w:t xml:space="preserve"> stated:</w:t>
      </w:r>
    </w:p>
    <w:p w14:paraId="101B7ACF" w14:textId="38248B78" w:rsidR="0061282C" w:rsidRPr="00DA5EB5" w:rsidRDefault="0061282C" w:rsidP="00D94DFB">
      <w:pPr>
        <w:pStyle w:val="BlockQuote"/>
        <w:numPr>
          <w:ilvl w:val="0"/>
          <w:numId w:val="64"/>
        </w:numPr>
        <w:jc w:val="left"/>
        <w:rPr>
          <w:kern w:val="2"/>
          <w:sz w:val="20"/>
        </w:rPr>
      </w:pPr>
      <w:r w:rsidRPr="00DA5EB5">
        <w:rPr>
          <w:kern w:val="2"/>
          <w:sz w:val="20"/>
        </w:rPr>
        <w:t>The fine reflects that Niko Canada made these payments in order to persuade the Bangladeshi Energy Minister to exercise his influence to ensure that Niko was able to secure a gas purchase and sales agreement acceptable to Niko, as well as to ensure the company was dealt with fairly in relation to claims for compensation for the blowouts, which represented potentially very large amounts of money. The Crown is unable to prove that any influence was obtained as a result of providin</w:t>
      </w:r>
      <w:r w:rsidR="00A9485B" w:rsidRPr="00DA5EB5">
        <w:rPr>
          <w:kern w:val="2"/>
          <w:sz w:val="20"/>
        </w:rPr>
        <w:t>g the benefits to the Minister.</w:t>
      </w:r>
    </w:p>
    <w:p w14:paraId="63D687CC" w14:textId="07EDDA11" w:rsidR="00A9485B" w:rsidRPr="00DA5EB5" w:rsidRDefault="00A9485B" w:rsidP="00D94DFB">
      <w:pPr>
        <w:pStyle w:val="BlockQuote"/>
        <w:jc w:val="left"/>
        <w:rPr>
          <w:kern w:val="2"/>
          <w:sz w:val="20"/>
        </w:rPr>
      </w:pPr>
      <w:r w:rsidRPr="00DA5EB5">
        <w:rPr>
          <w:kern w:val="2"/>
          <w:sz w:val="20"/>
        </w:rPr>
        <w:t>…</w:t>
      </w:r>
    </w:p>
    <w:p w14:paraId="09430954" w14:textId="5F8A465E" w:rsidR="0061282C" w:rsidRPr="00DA5EB5" w:rsidRDefault="0061282C" w:rsidP="00D94DFB">
      <w:pPr>
        <w:pStyle w:val="BlockQuote"/>
        <w:numPr>
          <w:ilvl w:val="0"/>
          <w:numId w:val="65"/>
        </w:numPr>
        <w:jc w:val="left"/>
        <w:rPr>
          <w:kern w:val="2"/>
          <w:sz w:val="20"/>
        </w:rPr>
      </w:pPr>
      <w:r w:rsidRPr="00DA5EB5">
        <w:rPr>
          <w:kern w:val="2"/>
          <w:sz w:val="20"/>
        </w:rPr>
        <w:t xml:space="preserve">It is also agreed that the sentence imposed appropriately reflects the degree of planning and duration and complexity of the offence. It further accepts that Niko Canada did not attempt to conceal its assets, or convert them to show it was unable to pay the fine or comply with the Probation Order. </w:t>
      </w:r>
    </w:p>
    <w:p w14:paraId="6BC9A2D8" w14:textId="05C5C58B" w:rsidR="0061282C" w:rsidRPr="00DA5EB5" w:rsidRDefault="0061282C" w:rsidP="00D94DFB">
      <w:pPr>
        <w:pStyle w:val="BlockQuote"/>
        <w:numPr>
          <w:ilvl w:val="0"/>
          <w:numId w:val="65"/>
        </w:numPr>
        <w:jc w:val="left"/>
        <w:rPr>
          <w:kern w:val="2"/>
          <w:sz w:val="20"/>
        </w:rPr>
      </w:pPr>
      <w:r w:rsidRPr="00DA5EB5">
        <w:rPr>
          <w:kern w:val="2"/>
          <w:sz w:val="20"/>
        </w:rPr>
        <w:t xml:space="preserve">In addition the Probation Order takes into consideration steps already taken by Niko Canada to reduce the likelihood of it committing a subsequent related offence. </w:t>
      </w:r>
    </w:p>
    <w:p w14:paraId="317935AD" w14:textId="31F8FFFC" w:rsidR="0061282C" w:rsidRPr="00DA5EB5" w:rsidRDefault="0061282C" w:rsidP="00D94DFB">
      <w:pPr>
        <w:pStyle w:val="BlockQuote"/>
        <w:numPr>
          <w:ilvl w:val="0"/>
          <w:numId w:val="65"/>
        </w:numPr>
        <w:jc w:val="left"/>
        <w:rPr>
          <w:kern w:val="2"/>
          <w:sz w:val="20"/>
        </w:rPr>
      </w:pPr>
      <w:r w:rsidRPr="00DA5EB5">
        <w:rPr>
          <w:kern w:val="2"/>
          <w:sz w:val="20"/>
        </w:rPr>
        <w:t>In addition the sentence takes into consideration the fact that the company has never been convicted of a similar offence nor has it been sanctioned by a regulat</w:t>
      </w:r>
      <w:r w:rsidR="00A9485B" w:rsidRPr="00DA5EB5">
        <w:rPr>
          <w:kern w:val="2"/>
          <w:sz w:val="20"/>
        </w:rPr>
        <w:t>ory body for a similar offence.</w:t>
      </w:r>
    </w:p>
    <w:p w14:paraId="580E26F2" w14:textId="01AA93E6" w:rsidR="00A9485B" w:rsidRPr="00DA5EB5" w:rsidRDefault="00A9485B" w:rsidP="00D94DFB">
      <w:pPr>
        <w:pStyle w:val="BlockQuote"/>
        <w:jc w:val="left"/>
        <w:rPr>
          <w:kern w:val="2"/>
          <w:sz w:val="20"/>
        </w:rPr>
      </w:pPr>
      <w:r w:rsidRPr="00DA5EB5">
        <w:rPr>
          <w:kern w:val="2"/>
          <w:sz w:val="20"/>
        </w:rPr>
        <w:t>…</w:t>
      </w:r>
    </w:p>
    <w:p w14:paraId="120CF568" w14:textId="2A436466" w:rsidR="0061282C" w:rsidRPr="00DA5EB5" w:rsidRDefault="0061282C" w:rsidP="00D94DFB">
      <w:pPr>
        <w:pStyle w:val="BlockQuote"/>
        <w:numPr>
          <w:ilvl w:val="0"/>
          <w:numId w:val="66"/>
        </w:numPr>
        <w:jc w:val="left"/>
        <w:rPr>
          <w:kern w:val="2"/>
          <w:sz w:val="20"/>
        </w:rPr>
      </w:pPr>
      <w:r w:rsidRPr="00DA5EB5">
        <w:rPr>
          <w:kern w:val="2"/>
          <w:sz w:val="20"/>
        </w:rPr>
        <w:t>The plea agreement in this case also takes into consideration the fact that the company agreed to enter a plea prior to charges formally being laid, and that the company agreed to enter a guilty plea without the requirement of a preliminary hearing or trial.</w:t>
      </w:r>
      <w:r w:rsidR="004D4ACF" w:rsidRPr="00DA5EB5">
        <w:rPr>
          <w:rStyle w:val="FootnoteReference"/>
          <w:kern w:val="2"/>
          <w:szCs w:val="21"/>
        </w:rPr>
        <w:footnoteReference w:id="135"/>
      </w:r>
      <w:r w:rsidRPr="00DA5EB5">
        <w:rPr>
          <w:kern w:val="2"/>
          <w:sz w:val="20"/>
        </w:rPr>
        <w:t xml:space="preserve"> </w:t>
      </w:r>
    </w:p>
    <w:p w14:paraId="162F5C2B" w14:textId="6BE45F3D" w:rsidR="0061282C" w:rsidRPr="00DA5EB5" w:rsidRDefault="0061282C" w:rsidP="00D523BD">
      <w:pPr>
        <w:rPr>
          <w:kern w:val="2"/>
          <w:sz w:val="20"/>
        </w:rPr>
      </w:pPr>
      <w:r w:rsidRPr="00DA5EB5">
        <w:rPr>
          <w:kern w:val="2"/>
          <w:sz w:val="20"/>
        </w:rPr>
        <w:t xml:space="preserve">The second significant </w:t>
      </w:r>
      <w:r w:rsidRPr="00DA5EB5">
        <w:rPr>
          <w:i/>
          <w:kern w:val="2"/>
          <w:sz w:val="20"/>
        </w:rPr>
        <w:t>CFPOA</w:t>
      </w:r>
      <w:r w:rsidRPr="00DA5EB5">
        <w:rPr>
          <w:kern w:val="2"/>
          <w:sz w:val="20"/>
        </w:rPr>
        <w:t xml:space="preserve"> case is </w:t>
      </w:r>
      <w:r w:rsidRPr="00DA5EB5">
        <w:rPr>
          <w:i/>
          <w:kern w:val="2"/>
          <w:sz w:val="20"/>
        </w:rPr>
        <w:t>R v Griffiths Energy International</w:t>
      </w:r>
      <w:r w:rsidRPr="00DA5EB5">
        <w:rPr>
          <w:kern w:val="2"/>
          <w:sz w:val="20"/>
        </w:rPr>
        <w:t>.</w:t>
      </w:r>
      <w:r w:rsidRPr="00DA5EB5">
        <w:rPr>
          <w:rStyle w:val="FootnoteReference"/>
          <w:kern w:val="2"/>
        </w:rPr>
        <w:footnoteReference w:id="136"/>
      </w:r>
      <w:r w:rsidRPr="00DA5EB5">
        <w:rPr>
          <w:kern w:val="2"/>
          <w:sz w:val="20"/>
        </w:rPr>
        <w:t xml:space="preserve"> In </w:t>
      </w:r>
      <w:r w:rsidRPr="00DA5EB5">
        <w:rPr>
          <w:i/>
          <w:kern w:val="2"/>
          <w:sz w:val="20"/>
        </w:rPr>
        <w:t>Griffiths Energy</w:t>
      </w:r>
      <w:r w:rsidRPr="00DA5EB5">
        <w:rPr>
          <w:kern w:val="2"/>
          <w:sz w:val="20"/>
        </w:rPr>
        <w:t>, the corporation paid a bribe of over $2,000,000 to the wife of Chad’s ambassador to Canada. The purpose of the bribe was to persuade the ambassador to use his influence and help Griffiths Energy International secure a production sharing contract in Chad. A joint submission of a $9,000,000 fine</w:t>
      </w:r>
      <w:r w:rsidR="000C0F62" w:rsidRPr="00DA5EB5">
        <w:rPr>
          <w:kern w:val="2"/>
          <w:sz w:val="20"/>
        </w:rPr>
        <w:t xml:space="preserve"> and </w:t>
      </w:r>
      <w:r w:rsidRPr="00DA5EB5">
        <w:rPr>
          <w:kern w:val="2"/>
          <w:sz w:val="20"/>
        </w:rPr>
        <w:t xml:space="preserve">a 15% victim surcharge, for a total penalty of $10,350,000, was accepted by the court. In this case, </w:t>
      </w:r>
      <w:r w:rsidR="000C2B4E" w:rsidRPr="00DA5EB5">
        <w:rPr>
          <w:kern w:val="2"/>
          <w:sz w:val="20"/>
        </w:rPr>
        <w:t xml:space="preserve">Justice </w:t>
      </w:r>
      <w:r w:rsidR="00C53F2E" w:rsidRPr="00DA5EB5">
        <w:rPr>
          <w:kern w:val="2"/>
          <w:sz w:val="20"/>
        </w:rPr>
        <w:t>Brooker</w:t>
      </w:r>
      <w:r w:rsidR="00760860" w:rsidRPr="00DA5EB5">
        <w:rPr>
          <w:kern w:val="2"/>
          <w:sz w:val="20"/>
        </w:rPr>
        <w:t xml:space="preserve"> </w:t>
      </w:r>
      <w:r w:rsidRPr="00DA5EB5">
        <w:rPr>
          <w:kern w:val="2"/>
          <w:sz w:val="20"/>
        </w:rPr>
        <w:t>stated:</w:t>
      </w:r>
    </w:p>
    <w:p w14:paraId="31EF98BE" w14:textId="02565211" w:rsidR="0061282C" w:rsidRPr="00DA5EB5" w:rsidRDefault="0061282C" w:rsidP="00D94DFB">
      <w:pPr>
        <w:pStyle w:val="BlockQuote"/>
        <w:numPr>
          <w:ilvl w:val="0"/>
          <w:numId w:val="67"/>
        </w:numPr>
        <w:jc w:val="left"/>
        <w:rPr>
          <w:kern w:val="2"/>
          <w:sz w:val="20"/>
        </w:rPr>
      </w:pPr>
      <w:r w:rsidRPr="00DA5EB5">
        <w:rPr>
          <w:kern w:val="2"/>
          <w:sz w:val="20"/>
        </w:rPr>
        <w:t xml:space="preserve">The bribing of a foreign official by a Canadian company is a serious matter. As I said in </w:t>
      </w:r>
      <w:r w:rsidRPr="00DA5EB5">
        <w:rPr>
          <w:i/>
          <w:iCs/>
          <w:kern w:val="2"/>
          <w:sz w:val="20"/>
        </w:rPr>
        <w:t>R. v. Niko Resources Ltd.</w:t>
      </w:r>
      <w:r w:rsidRPr="00DA5EB5">
        <w:rPr>
          <w:kern w:val="2"/>
          <w:sz w:val="20"/>
        </w:rPr>
        <w:t>, such bribes, besides being an embarrassment to all Canadians, prejudice Canada's efforts to foster and promote effective governmental and commercial relations with other countries; and where, as here, the bribe is to an official of a developing nation, it undermines the bureaucratic or governmental infrastructure for which the bribed official works.</w:t>
      </w:r>
    </w:p>
    <w:p w14:paraId="4FC37090" w14:textId="77A66BB0" w:rsidR="0061282C" w:rsidRPr="00DA5EB5" w:rsidRDefault="0061282C" w:rsidP="00D94DFB">
      <w:pPr>
        <w:pStyle w:val="BlockQuote"/>
        <w:numPr>
          <w:ilvl w:val="0"/>
          <w:numId w:val="67"/>
        </w:numPr>
        <w:jc w:val="left"/>
        <w:rPr>
          <w:kern w:val="2"/>
          <w:sz w:val="20"/>
        </w:rPr>
      </w:pPr>
      <w:r w:rsidRPr="00DA5EB5">
        <w:rPr>
          <w:kern w:val="2"/>
          <w:sz w:val="20"/>
        </w:rPr>
        <w:t>Accordingly, the penalty imposed must be sufficient to show the Court's denunciation of such conduct as well as provide deterrence to other potential offenders.</w:t>
      </w:r>
    </w:p>
    <w:p w14:paraId="17C21F5A" w14:textId="77777777" w:rsidR="0061282C" w:rsidRPr="00DA5EB5" w:rsidRDefault="0061282C" w:rsidP="00D94DFB">
      <w:pPr>
        <w:pStyle w:val="BlockQuote"/>
        <w:jc w:val="left"/>
        <w:rPr>
          <w:kern w:val="2"/>
          <w:sz w:val="20"/>
        </w:rPr>
      </w:pPr>
      <w:r w:rsidRPr="00DA5EB5">
        <w:rPr>
          <w:kern w:val="2"/>
          <w:sz w:val="20"/>
        </w:rPr>
        <w:t>. . . .</w:t>
      </w:r>
    </w:p>
    <w:p w14:paraId="0D398DC6" w14:textId="0AA149DD" w:rsidR="0061282C" w:rsidRPr="00DA5EB5" w:rsidRDefault="0061282C" w:rsidP="00D94DFB">
      <w:pPr>
        <w:pStyle w:val="BlockQuote"/>
        <w:numPr>
          <w:ilvl w:val="0"/>
          <w:numId w:val="68"/>
        </w:numPr>
        <w:jc w:val="left"/>
        <w:rPr>
          <w:kern w:val="2"/>
          <w:sz w:val="20"/>
        </w:rPr>
      </w:pPr>
      <w:r w:rsidRPr="00DA5EB5">
        <w:rPr>
          <w:kern w:val="2"/>
          <w:sz w:val="20"/>
        </w:rPr>
        <w:t xml:space="preserve">The major aggravating factor in this case is the size of the bribe made. It was a considerable sum; far more than the Toyota Land Cruiser and trips in the </w:t>
      </w:r>
      <w:r w:rsidRPr="00DA5EB5">
        <w:rPr>
          <w:i/>
          <w:iCs/>
          <w:kern w:val="2"/>
          <w:sz w:val="20"/>
        </w:rPr>
        <w:t>Niko</w:t>
      </w:r>
      <w:r w:rsidRPr="00DA5EB5">
        <w:rPr>
          <w:kern w:val="2"/>
          <w:sz w:val="20"/>
        </w:rPr>
        <w:t xml:space="preserve"> case.</w:t>
      </w:r>
    </w:p>
    <w:p w14:paraId="7400A2BE" w14:textId="56CFD05E" w:rsidR="0061282C" w:rsidRPr="00DA5EB5" w:rsidRDefault="0061282C" w:rsidP="00D94DFB">
      <w:pPr>
        <w:pStyle w:val="BlockQuote"/>
        <w:numPr>
          <w:ilvl w:val="0"/>
          <w:numId w:val="68"/>
        </w:numPr>
        <w:jc w:val="left"/>
        <w:rPr>
          <w:kern w:val="2"/>
          <w:sz w:val="20"/>
        </w:rPr>
      </w:pPr>
      <w:r w:rsidRPr="00DA5EB5">
        <w:rPr>
          <w:kern w:val="2"/>
          <w:sz w:val="20"/>
        </w:rPr>
        <w:t>On the other hand, there are a significant number of mitigating factors present in this case. There is a new management team at Griffiths. The people involved in authorizing the bribe are no longer with the company. Most importantly, in my view, when new management came in at Griffiths and discovered the bribe, they acted quickly and decisively to fully investigate the matter and they self-reported the crime to the various relevant law enforcement authorities. Conceivably, had they not done so, this crime might never have been discovered.</w:t>
      </w:r>
    </w:p>
    <w:p w14:paraId="57704D9B" w14:textId="000A6170" w:rsidR="0061282C" w:rsidRPr="00DA5EB5" w:rsidRDefault="0061282C" w:rsidP="00D94DFB">
      <w:pPr>
        <w:pStyle w:val="BlockQuote"/>
        <w:numPr>
          <w:ilvl w:val="0"/>
          <w:numId w:val="68"/>
        </w:numPr>
        <w:jc w:val="left"/>
        <w:rPr>
          <w:kern w:val="2"/>
          <w:sz w:val="20"/>
        </w:rPr>
      </w:pPr>
      <w:r w:rsidRPr="00DA5EB5">
        <w:rPr>
          <w:kern w:val="2"/>
          <w:sz w:val="20"/>
        </w:rPr>
        <w:t>Then, having reported the matter, Griffiths cooperated fully with the authorities, sharing the results of their investigation with the authorities, including privileged information and documents which the authorities were not otherwise entitled to.</w:t>
      </w:r>
    </w:p>
    <w:p w14:paraId="0A5E1372" w14:textId="1C7C16F8" w:rsidR="0061282C" w:rsidRPr="00DA5EB5" w:rsidRDefault="0061282C" w:rsidP="00D94DFB">
      <w:pPr>
        <w:pStyle w:val="BlockQuote"/>
        <w:numPr>
          <w:ilvl w:val="0"/>
          <w:numId w:val="68"/>
        </w:numPr>
        <w:jc w:val="left"/>
        <w:rPr>
          <w:kern w:val="2"/>
          <w:sz w:val="20"/>
        </w:rPr>
      </w:pPr>
      <w:r w:rsidRPr="00DA5EB5">
        <w:rPr>
          <w:kern w:val="2"/>
          <w:sz w:val="20"/>
        </w:rPr>
        <w:t xml:space="preserve">In the end, to borrow Ms. </w:t>
      </w:r>
      <w:proofErr w:type="spellStart"/>
      <w:r w:rsidRPr="00DA5EB5">
        <w:rPr>
          <w:kern w:val="2"/>
          <w:sz w:val="20"/>
        </w:rPr>
        <w:t>Robidoux's</w:t>
      </w:r>
      <w:proofErr w:type="spellEnd"/>
      <w:r w:rsidRPr="00DA5EB5">
        <w:rPr>
          <w:kern w:val="2"/>
          <w:sz w:val="20"/>
        </w:rPr>
        <w:t xml:space="preserve"> submission, Griffiths delivered to the RCMP the evidence package </w:t>
      </w:r>
      <w:r w:rsidR="00FD6DAC" w:rsidRPr="00DA5EB5">
        <w:rPr>
          <w:kern w:val="2"/>
          <w:sz w:val="20"/>
        </w:rPr>
        <w:t>“</w:t>
      </w:r>
      <w:r w:rsidRPr="00DA5EB5">
        <w:rPr>
          <w:kern w:val="2"/>
          <w:sz w:val="20"/>
        </w:rPr>
        <w:t>nicely organized and ready for prosecution.</w:t>
      </w:r>
      <w:r w:rsidR="00FD6DAC" w:rsidRPr="00DA5EB5">
        <w:rPr>
          <w:kern w:val="2"/>
          <w:sz w:val="20"/>
        </w:rPr>
        <w:t>”</w:t>
      </w:r>
    </w:p>
    <w:p w14:paraId="561CB19D" w14:textId="0EF5129B" w:rsidR="0061282C" w:rsidRPr="00DA5EB5" w:rsidRDefault="0061282C" w:rsidP="00D94DFB">
      <w:pPr>
        <w:pStyle w:val="BlockQuote"/>
        <w:numPr>
          <w:ilvl w:val="0"/>
          <w:numId w:val="68"/>
        </w:numPr>
        <w:jc w:val="left"/>
        <w:rPr>
          <w:kern w:val="2"/>
          <w:sz w:val="20"/>
        </w:rPr>
      </w:pPr>
      <w:r w:rsidRPr="00DA5EB5">
        <w:rPr>
          <w:kern w:val="2"/>
          <w:sz w:val="20"/>
        </w:rPr>
        <w:t>The cost of this investigation is said to be in the range of $5 million and thus sharing this information with the RCMP has obviously saved the prosecution a significant amount of money.</w:t>
      </w:r>
    </w:p>
    <w:p w14:paraId="25D6AC87" w14:textId="22099032" w:rsidR="0061282C" w:rsidRPr="00DA5EB5" w:rsidRDefault="0061282C" w:rsidP="00D94DFB">
      <w:pPr>
        <w:pStyle w:val="BlockQuote"/>
        <w:numPr>
          <w:ilvl w:val="0"/>
          <w:numId w:val="68"/>
        </w:numPr>
        <w:jc w:val="left"/>
        <w:rPr>
          <w:kern w:val="2"/>
          <w:sz w:val="20"/>
        </w:rPr>
      </w:pPr>
      <w:r w:rsidRPr="00DA5EB5">
        <w:rPr>
          <w:kern w:val="2"/>
          <w:sz w:val="20"/>
        </w:rPr>
        <w:t>Further, I am satisfied from the representations made to me that Griffiths has instituted an effective, comprehensive and robust anti-corruption program such that it is unlikely that there will be any repetition of such illegal conduct.</w:t>
      </w:r>
    </w:p>
    <w:p w14:paraId="37A57E60" w14:textId="670CA6FD" w:rsidR="0061282C" w:rsidRPr="00DA5EB5" w:rsidRDefault="0061282C" w:rsidP="00D94DFB">
      <w:pPr>
        <w:pStyle w:val="BlockQuote"/>
        <w:jc w:val="left"/>
        <w:rPr>
          <w:kern w:val="2"/>
          <w:sz w:val="20"/>
        </w:rPr>
      </w:pPr>
      <w:r w:rsidRPr="00DA5EB5">
        <w:rPr>
          <w:kern w:val="2"/>
          <w:sz w:val="20"/>
        </w:rPr>
        <w:t xml:space="preserve"> . . . .</w:t>
      </w:r>
    </w:p>
    <w:p w14:paraId="62EDFFB7" w14:textId="0D64E7E0" w:rsidR="0061282C" w:rsidRPr="00DA5EB5" w:rsidRDefault="0061282C" w:rsidP="00D94DFB">
      <w:pPr>
        <w:pStyle w:val="BlockQuote"/>
        <w:numPr>
          <w:ilvl w:val="0"/>
          <w:numId w:val="69"/>
        </w:numPr>
        <w:jc w:val="left"/>
        <w:rPr>
          <w:kern w:val="2"/>
          <w:sz w:val="20"/>
          <w:szCs w:val="21"/>
        </w:rPr>
      </w:pPr>
      <w:r w:rsidRPr="00DA5EB5">
        <w:rPr>
          <w:kern w:val="2"/>
          <w:sz w:val="20"/>
          <w:szCs w:val="21"/>
        </w:rPr>
        <w:t xml:space="preserve">I have been referred by counsel to a number of American cases, but they are not particularly helpful given that the sentencing regime in the U.S. is quite different and involves grids, offence levels, culpability scores and advisory ranges. However, what the U.S. cases to which I have been referred demonstrate is a significant reduction in penalty for self-reporting and cooperation in the investigation. Thus, for example, in the </w:t>
      </w:r>
      <w:r w:rsidRPr="00DA5EB5">
        <w:rPr>
          <w:i/>
          <w:iCs/>
          <w:kern w:val="2"/>
          <w:sz w:val="20"/>
          <w:szCs w:val="21"/>
        </w:rPr>
        <w:t>Maxwell</w:t>
      </w:r>
      <w:r w:rsidRPr="00DA5EB5">
        <w:rPr>
          <w:kern w:val="2"/>
          <w:sz w:val="20"/>
          <w:szCs w:val="21"/>
        </w:rPr>
        <w:t xml:space="preserve"> </w:t>
      </w:r>
      <w:r w:rsidRPr="00DA5EB5">
        <w:rPr>
          <w:i/>
          <w:iCs/>
          <w:kern w:val="2"/>
          <w:sz w:val="20"/>
          <w:szCs w:val="21"/>
        </w:rPr>
        <w:t>Technologies Inc.</w:t>
      </w:r>
      <w:r w:rsidRPr="00DA5EB5">
        <w:rPr>
          <w:kern w:val="2"/>
          <w:sz w:val="20"/>
          <w:szCs w:val="21"/>
        </w:rPr>
        <w:t xml:space="preserve"> case of January 2011, a one-count indictment for a bribe of $2.789 million to a foreign official resulted in an $8 million fine, which represented an approximate 25 percent discount from the bottom of the advisory fine range because of the company's voluntary disclosure and cooperation with the Department of Justice in the U.S.</w:t>
      </w:r>
    </w:p>
    <w:p w14:paraId="5F77FD53" w14:textId="6EE8F1A9" w:rsidR="0061282C" w:rsidRPr="00DA5EB5" w:rsidRDefault="0061282C" w:rsidP="00D94DFB">
      <w:pPr>
        <w:pStyle w:val="BlockQuote"/>
        <w:numPr>
          <w:ilvl w:val="0"/>
          <w:numId w:val="69"/>
        </w:numPr>
        <w:jc w:val="left"/>
        <w:rPr>
          <w:kern w:val="2"/>
          <w:sz w:val="20"/>
          <w:szCs w:val="21"/>
        </w:rPr>
      </w:pPr>
      <w:r w:rsidRPr="00DA5EB5">
        <w:rPr>
          <w:kern w:val="2"/>
          <w:sz w:val="20"/>
          <w:szCs w:val="21"/>
        </w:rPr>
        <w:t xml:space="preserve">In the </w:t>
      </w:r>
      <w:r w:rsidRPr="00DA5EB5">
        <w:rPr>
          <w:i/>
          <w:iCs/>
          <w:kern w:val="2"/>
          <w:sz w:val="20"/>
          <w:szCs w:val="21"/>
        </w:rPr>
        <w:t>Data Systems &amp; Solutions LLC</w:t>
      </w:r>
      <w:r w:rsidRPr="00DA5EB5">
        <w:rPr>
          <w:kern w:val="2"/>
          <w:sz w:val="20"/>
          <w:szCs w:val="21"/>
        </w:rPr>
        <w:t xml:space="preserve"> case of June 2012, a bribe of $339,000 resulted in a fine of $8.82 million, which was approximately a 30 percent reduction from the bottom end of the advisory fine range. This reduction was said to recognize the company's extraordinary cooperation with the Department of Justice.</w:t>
      </w:r>
    </w:p>
    <w:p w14:paraId="193E3DEF" w14:textId="41E6CF98" w:rsidR="0061282C" w:rsidRPr="00DA5EB5" w:rsidRDefault="0061282C" w:rsidP="00D94DFB">
      <w:pPr>
        <w:pStyle w:val="BlockQuote"/>
        <w:numPr>
          <w:ilvl w:val="0"/>
          <w:numId w:val="69"/>
        </w:numPr>
        <w:jc w:val="left"/>
        <w:rPr>
          <w:kern w:val="2"/>
          <w:sz w:val="20"/>
          <w:szCs w:val="21"/>
        </w:rPr>
      </w:pPr>
      <w:r w:rsidRPr="00DA5EB5">
        <w:rPr>
          <w:kern w:val="2"/>
          <w:sz w:val="20"/>
          <w:szCs w:val="21"/>
        </w:rPr>
        <w:t>Based on the cases referred to me by counsel, the range of fine seems to run from a low of $25,000 in Canada to a high of approximately $12 million in the U.S.A.</w:t>
      </w:r>
    </w:p>
    <w:p w14:paraId="03DAB911" w14:textId="39764604" w:rsidR="0061282C" w:rsidRPr="00DA5EB5" w:rsidRDefault="0061282C" w:rsidP="00D94DFB">
      <w:pPr>
        <w:pStyle w:val="BlockQuote"/>
        <w:numPr>
          <w:ilvl w:val="0"/>
          <w:numId w:val="69"/>
        </w:numPr>
        <w:jc w:val="left"/>
        <w:rPr>
          <w:kern w:val="2"/>
          <w:sz w:val="20"/>
          <w:szCs w:val="21"/>
        </w:rPr>
      </w:pPr>
      <w:r w:rsidRPr="00DA5EB5">
        <w:rPr>
          <w:kern w:val="2"/>
          <w:sz w:val="20"/>
          <w:szCs w:val="21"/>
        </w:rPr>
        <w:t>I am satisfied, therefore, that the proposed fine of $9 million is within the range.</w:t>
      </w:r>
      <w:r w:rsidR="001B18A3" w:rsidRPr="00DA5EB5">
        <w:rPr>
          <w:rStyle w:val="FootnoteReference"/>
          <w:kern w:val="2"/>
          <w:szCs w:val="21"/>
        </w:rPr>
        <w:footnoteReference w:id="137"/>
      </w:r>
    </w:p>
    <w:p w14:paraId="78FA8056" w14:textId="13BA6328" w:rsidR="0061282C" w:rsidRPr="00DA5EB5" w:rsidRDefault="0061282C" w:rsidP="00D523BD">
      <w:pPr>
        <w:rPr>
          <w:kern w:val="2"/>
          <w:sz w:val="20"/>
        </w:rPr>
      </w:pPr>
      <w:r w:rsidRPr="00DA5EB5">
        <w:rPr>
          <w:i/>
          <w:kern w:val="2"/>
          <w:sz w:val="20"/>
        </w:rPr>
        <w:t xml:space="preserve">R v </w:t>
      </w:r>
      <w:proofErr w:type="spellStart"/>
      <w:r w:rsidRPr="00DA5EB5">
        <w:rPr>
          <w:i/>
          <w:kern w:val="2"/>
          <w:sz w:val="20"/>
        </w:rPr>
        <w:t>Karigar</w:t>
      </w:r>
      <w:proofErr w:type="spellEnd"/>
      <w:r w:rsidRPr="00DA5EB5">
        <w:rPr>
          <w:kern w:val="2"/>
          <w:sz w:val="20"/>
        </w:rPr>
        <w:t xml:space="preserve"> was the first sentence imposed under the</w:t>
      </w:r>
      <w:r w:rsidRPr="00DA5EB5">
        <w:rPr>
          <w:i/>
          <w:kern w:val="2"/>
          <w:sz w:val="20"/>
        </w:rPr>
        <w:t xml:space="preserve"> CFPOA</w:t>
      </w:r>
      <w:r w:rsidRPr="00DA5EB5">
        <w:rPr>
          <w:kern w:val="2"/>
          <w:sz w:val="20"/>
        </w:rPr>
        <w:t xml:space="preserve"> on a natural person, as well as the first sentence following a conviction at trial</w:t>
      </w:r>
      <w:r w:rsidR="00531028" w:rsidRPr="00DA5EB5">
        <w:rPr>
          <w:kern w:val="2"/>
          <w:sz w:val="20"/>
        </w:rPr>
        <w:t xml:space="preserve"> rather than a guilty plea</w:t>
      </w:r>
      <w:r w:rsidR="00001574" w:rsidRPr="00DA5EB5">
        <w:rPr>
          <w:kern w:val="2"/>
          <w:sz w:val="20"/>
        </w:rPr>
        <w:t>.</w:t>
      </w:r>
      <w:r w:rsidR="00001574" w:rsidRPr="00DA5EB5">
        <w:rPr>
          <w:rStyle w:val="FootnoteReference"/>
          <w:kern w:val="2"/>
        </w:rPr>
        <w:footnoteReference w:id="138"/>
      </w:r>
      <w:r w:rsidRPr="00DA5EB5">
        <w:rPr>
          <w:kern w:val="2"/>
          <w:sz w:val="20"/>
        </w:rPr>
        <w:t xml:space="preserve"> In </w:t>
      </w:r>
      <w:proofErr w:type="spellStart"/>
      <w:r w:rsidRPr="00DA5EB5">
        <w:rPr>
          <w:i/>
          <w:kern w:val="2"/>
          <w:sz w:val="20"/>
        </w:rPr>
        <w:t>Karigar</w:t>
      </w:r>
      <w:proofErr w:type="spellEnd"/>
      <w:r w:rsidRPr="00DA5EB5">
        <w:rPr>
          <w:kern w:val="2"/>
          <w:sz w:val="20"/>
        </w:rPr>
        <w:t>, a total of $450,000 in bribes was given, while the entire scheme contemplated payment of millions of dollars and stock benefits over time. The purpose of the bribes was to win a multi-million dollar contract to sell facial recognition software to Air India. The Crown sought a penalty of three to five years imprisonment while the defence sought a community-based sentence.</w:t>
      </w:r>
      <w:r w:rsidR="00E87776" w:rsidRPr="00DA5EB5">
        <w:rPr>
          <w:kern w:val="2"/>
          <w:sz w:val="20"/>
        </w:rPr>
        <w:t xml:space="preserve"> </w:t>
      </w:r>
      <w:r w:rsidRPr="00DA5EB5">
        <w:rPr>
          <w:kern w:val="2"/>
          <w:sz w:val="20"/>
        </w:rPr>
        <w:t xml:space="preserve">Justice </w:t>
      </w:r>
      <w:proofErr w:type="spellStart"/>
      <w:r w:rsidRPr="00DA5EB5">
        <w:rPr>
          <w:kern w:val="2"/>
          <w:sz w:val="20"/>
        </w:rPr>
        <w:t>Hackland</w:t>
      </w:r>
      <w:proofErr w:type="spellEnd"/>
      <w:r w:rsidRPr="00DA5EB5">
        <w:rPr>
          <w:kern w:val="2"/>
          <w:sz w:val="20"/>
        </w:rPr>
        <w:t xml:space="preserve"> imposed a sentence of three years imprisonment. In so doing, Justice </w:t>
      </w:r>
      <w:proofErr w:type="spellStart"/>
      <w:r w:rsidRPr="00DA5EB5">
        <w:rPr>
          <w:kern w:val="2"/>
          <w:sz w:val="20"/>
        </w:rPr>
        <w:t>Hackland</w:t>
      </w:r>
      <w:proofErr w:type="spellEnd"/>
      <w:r w:rsidRPr="00DA5EB5">
        <w:rPr>
          <w:kern w:val="2"/>
          <w:sz w:val="20"/>
        </w:rPr>
        <w:t xml:space="preserve"> stated: </w:t>
      </w:r>
    </w:p>
    <w:p w14:paraId="3D1A682A" w14:textId="7166E536" w:rsidR="0061282C" w:rsidRPr="00DA5EB5" w:rsidRDefault="0061282C" w:rsidP="003D4A2F">
      <w:pPr>
        <w:pStyle w:val="BlockQuote"/>
        <w:numPr>
          <w:ilvl w:val="0"/>
          <w:numId w:val="71"/>
        </w:numPr>
        <w:spacing w:before="60" w:after="60"/>
        <w:jc w:val="left"/>
        <w:rPr>
          <w:kern w:val="2"/>
          <w:sz w:val="20"/>
        </w:rPr>
      </w:pPr>
      <w:r w:rsidRPr="00DA5EB5">
        <w:rPr>
          <w:kern w:val="2"/>
          <w:sz w:val="20"/>
        </w:rPr>
        <w:t>The over-arching principle here is that bribery of foreign public officials should be subject to similar sanctions as would be applied to the bribery of Canadian public officials occurring in Canada.</w:t>
      </w:r>
    </w:p>
    <w:p w14:paraId="391AF617" w14:textId="49BFB6F1" w:rsidR="0061282C" w:rsidRPr="00DA5EB5" w:rsidRDefault="009C5D51" w:rsidP="009C5D51">
      <w:pPr>
        <w:pStyle w:val="BlockQuote"/>
        <w:rPr>
          <w:kern w:val="2"/>
          <w:sz w:val="20"/>
        </w:rPr>
      </w:pPr>
      <w:r w:rsidRPr="00DA5EB5">
        <w:rPr>
          <w:kern w:val="2"/>
          <w:sz w:val="20"/>
        </w:rPr>
        <w:t>…</w:t>
      </w:r>
    </w:p>
    <w:p w14:paraId="5A5F9A3C" w14:textId="2E015189" w:rsidR="0061282C" w:rsidRPr="00DA5EB5" w:rsidRDefault="0061282C" w:rsidP="00001574">
      <w:pPr>
        <w:pStyle w:val="BlockQuote"/>
        <w:numPr>
          <w:ilvl w:val="0"/>
          <w:numId w:val="72"/>
        </w:numPr>
        <w:spacing w:before="60" w:after="60"/>
        <w:rPr>
          <w:kern w:val="2"/>
          <w:sz w:val="20"/>
        </w:rPr>
      </w:pPr>
      <w:r w:rsidRPr="00DA5EB5">
        <w:rPr>
          <w:kern w:val="2"/>
          <w:sz w:val="20"/>
        </w:rPr>
        <w:t>I would identify the following aggravating factors in this case.</w:t>
      </w:r>
    </w:p>
    <w:p w14:paraId="20ACCD62" w14:textId="2475A5C7" w:rsidR="0061282C" w:rsidRPr="00DA5EB5" w:rsidRDefault="0061282C" w:rsidP="0074473E">
      <w:pPr>
        <w:pStyle w:val="BlockQuote"/>
        <w:numPr>
          <w:ilvl w:val="0"/>
          <w:numId w:val="29"/>
        </w:numPr>
        <w:spacing w:before="60" w:after="60"/>
        <w:jc w:val="left"/>
        <w:rPr>
          <w:kern w:val="2"/>
          <w:sz w:val="20"/>
        </w:rPr>
      </w:pPr>
      <w:r w:rsidRPr="00DA5EB5">
        <w:rPr>
          <w:kern w:val="2"/>
          <w:sz w:val="20"/>
        </w:rPr>
        <w:t>This was a sophisticated and carefully planned bribery scheme intended to involve senior</w:t>
      </w:r>
      <w:r w:rsidR="00486294" w:rsidRPr="00DA5EB5">
        <w:rPr>
          <w:kern w:val="2"/>
          <w:sz w:val="20"/>
        </w:rPr>
        <w:t xml:space="preserve"> </w:t>
      </w:r>
      <w:r w:rsidRPr="00DA5EB5">
        <w:rPr>
          <w:kern w:val="2"/>
          <w:sz w:val="20"/>
        </w:rPr>
        <w:t xml:space="preserve">public officials at Air India and an Indian Cabinet Minister. If successful, it would have involved the payment of millions of dollars in bribes and stock benefits, over time. The sum of $450,000 was advanced for the purpose of bribery while Mr. </w:t>
      </w:r>
      <w:proofErr w:type="spellStart"/>
      <w:r w:rsidRPr="00DA5EB5">
        <w:rPr>
          <w:kern w:val="2"/>
          <w:sz w:val="20"/>
        </w:rPr>
        <w:t>Karigar</w:t>
      </w:r>
      <w:proofErr w:type="spellEnd"/>
      <w:r w:rsidRPr="00DA5EB5">
        <w:rPr>
          <w:kern w:val="2"/>
          <w:sz w:val="20"/>
        </w:rPr>
        <w:t xml:space="preserve"> remained involved with this scheme.</w:t>
      </w:r>
    </w:p>
    <w:p w14:paraId="204FFD6C" w14:textId="41A7E3CD" w:rsidR="0061282C" w:rsidRPr="00DA5EB5" w:rsidRDefault="0061282C" w:rsidP="0074473E">
      <w:pPr>
        <w:pStyle w:val="BlockQuote"/>
        <w:numPr>
          <w:ilvl w:val="0"/>
          <w:numId w:val="29"/>
        </w:numPr>
        <w:spacing w:before="60" w:after="60"/>
        <w:jc w:val="left"/>
        <w:rPr>
          <w:kern w:val="2"/>
          <w:sz w:val="20"/>
        </w:rPr>
      </w:pPr>
      <w:r w:rsidRPr="00DA5EB5">
        <w:rPr>
          <w:kern w:val="2"/>
          <w:sz w:val="20"/>
        </w:rPr>
        <w:t>In addition to the contemplated bribes, the accused's participation in the bidding process involved other circumstances of dishonesty such as the entry of a fake competitive bid to create the illusion of a competitive bidding process and the receipt and use of confidential insider information in the bid preparation.</w:t>
      </w:r>
    </w:p>
    <w:p w14:paraId="37B9E363" w14:textId="60DAFA53" w:rsidR="0061282C" w:rsidRPr="00DA5EB5" w:rsidRDefault="0061282C" w:rsidP="0074473E">
      <w:pPr>
        <w:pStyle w:val="BlockQuote"/>
        <w:numPr>
          <w:ilvl w:val="0"/>
          <w:numId w:val="29"/>
        </w:numPr>
        <w:spacing w:before="60" w:after="60"/>
        <w:jc w:val="left"/>
        <w:rPr>
          <w:kern w:val="2"/>
          <w:sz w:val="20"/>
        </w:rPr>
      </w:pPr>
      <w:r w:rsidRPr="00DA5EB5">
        <w:rPr>
          <w:kern w:val="2"/>
          <w:sz w:val="20"/>
        </w:rPr>
        <w:t>The accused behaved throughout with a complete sense of entitlement, candidly relating to a Canadian trade commissioner that bribes had been paid and then urging the Canadian Government's assistance in closing the transaction.</w:t>
      </w:r>
    </w:p>
    <w:p w14:paraId="71552DEB" w14:textId="4BC22D99" w:rsidR="0061282C" w:rsidRPr="00DA5EB5" w:rsidRDefault="0061282C" w:rsidP="0074473E">
      <w:pPr>
        <w:pStyle w:val="BlockQuote"/>
        <w:numPr>
          <w:ilvl w:val="0"/>
          <w:numId w:val="29"/>
        </w:numPr>
        <w:spacing w:before="60" w:after="60"/>
        <w:jc w:val="left"/>
        <w:rPr>
          <w:kern w:val="2"/>
          <w:sz w:val="20"/>
        </w:rPr>
      </w:pPr>
      <w:r w:rsidRPr="00DA5EB5">
        <w:rPr>
          <w:kern w:val="2"/>
          <w:sz w:val="20"/>
        </w:rPr>
        <w:t xml:space="preserve">Mr. </w:t>
      </w:r>
      <w:proofErr w:type="spellStart"/>
      <w:r w:rsidRPr="00DA5EB5">
        <w:rPr>
          <w:kern w:val="2"/>
          <w:sz w:val="20"/>
        </w:rPr>
        <w:t>Karigan</w:t>
      </w:r>
      <w:proofErr w:type="spellEnd"/>
      <w:r w:rsidRPr="00DA5EB5">
        <w:rPr>
          <w:kern w:val="2"/>
          <w:sz w:val="20"/>
        </w:rPr>
        <w:t xml:space="preserve"> personally conceived of and orchestrated the bribery proposal including providing the identity of the officials to be bribed and the amounts proposed to be paid as reflected in financial spreadsheets he helped to prepare.</w:t>
      </w:r>
    </w:p>
    <w:p w14:paraId="6BCF9238" w14:textId="77777777" w:rsidR="0061282C" w:rsidRPr="00DA5EB5" w:rsidRDefault="0061282C" w:rsidP="00480FB0">
      <w:pPr>
        <w:pStyle w:val="BlockQuote"/>
        <w:keepNext/>
        <w:spacing w:before="240" w:after="240"/>
        <w:rPr>
          <w:kern w:val="2"/>
          <w:sz w:val="20"/>
        </w:rPr>
      </w:pPr>
      <w:r w:rsidRPr="00DA5EB5">
        <w:rPr>
          <w:b/>
          <w:bCs/>
          <w:kern w:val="2"/>
          <w:sz w:val="20"/>
        </w:rPr>
        <w:t>Mitigating Factors</w:t>
      </w:r>
    </w:p>
    <w:p w14:paraId="1529664F" w14:textId="0CECDFF0" w:rsidR="0061282C" w:rsidRPr="00DA5EB5" w:rsidRDefault="0061282C" w:rsidP="00001574">
      <w:pPr>
        <w:pStyle w:val="BlockQuote"/>
        <w:numPr>
          <w:ilvl w:val="0"/>
          <w:numId w:val="72"/>
        </w:numPr>
        <w:spacing w:before="60" w:after="60"/>
        <w:rPr>
          <w:kern w:val="2"/>
          <w:sz w:val="20"/>
        </w:rPr>
      </w:pPr>
      <w:r w:rsidRPr="00DA5EB5">
        <w:rPr>
          <w:kern w:val="2"/>
          <w:sz w:val="20"/>
        </w:rPr>
        <w:t>I would identify the following mitigating factors:</w:t>
      </w:r>
    </w:p>
    <w:p w14:paraId="704690D4" w14:textId="77777777" w:rsidR="0061282C" w:rsidRPr="00DA5EB5" w:rsidRDefault="0061282C" w:rsidP="0074473E">
      <w:pPr>
        <w:pStyle w:val="BlockQuote"/>
        <w:numPr>
          <w:ilvl w:val="0"/>
          <w:numId w:val="30"/>
        </w:numPr>
        <w:spacing w:before="60" w:after="60"/>
        <w:jc w:val="left"/>
        <w:rPr>
          <w:kern w:val="2"/>
          <w:sz w:val="20"/>
        </w:rPr>
      </w:pPr>
      <w:r w:rsidRPr="00DA5EB5">
        <w:rPr>
          <w:kern w:val="2"/>
          <w:sz w:val="20"/>
        </w:rPr>
        <w:t>There was a high level of co-operation on the accused's part concerning the conduct of this prosecution. Indeed he exposed the bribery scheme to the authorities following a falling out with his co-conspirators. He unsuccessfully sought an immunity agreement. A great deal of trial time was avoided as a result of the accused's extensive admissions concerning the documentary evidence.</w:t>
      </w:r>
    </w:p>
    <w:p w14:paraId="4F39B7EC" w14:textId="77777777" w:rsidR="0061282C" w:rsidRPr="00DA5EB5" w:rsidRDefault="0061282C" w:rsidP="0074473E">
      <w:pPr>
        <w:pStyle w:val="BlockQuote"/>
        <w:numPr>
          <w:ilvl w:val="0"/>
          <w:numId w:val="30"/>
        </w:numPr>
        <w:spacing w:before="60" w:after="60"/>
        <w:jc w:val="left"/>
        <w:rPr>
          <w:kern w:val="2"/>
          <w:sz w:val="20"/>
        </w:rPr>
      </w:pPr>
      <w:r w:rsidRPr="00DA5EB5">
        <w:rPr>
          <w:kern w:val="2"/>
          <w:sz w:val="20"/>
        </w:rPr>
        <w:t xml:space="preserve">Mr. </w:t>
      </w:r>
      <w:proofErr w:type="spellStart"/>
      <w:r w:rsidRPr="00DA5EB5">
        <w:rPr>
          <w:kern w:val="2"/>
          <w:sz w:val="20"/>
        </w:rPr>
        <w:t>Karigar</w:t>
      </w:r>
      <w:proofErr w:type="spellEnd"/>
      <w:r w:rsidRPr="00DA5EB5">
        <w:rPr>
          <w:kern w:val="2"/>
          <w:sz w:val="20"/>
        </w:rPr>
        <w:t xml:space="preserve"> appears to have been a respectable business man all of his working life, prior to his involvement in this matter. He has no prior criminal involvements. He is also in his late 60s and not in the best of health.</w:t>
      </w:r>
    </w:p>
    <w:p w14:paraId="7451A89B" w14:textId="77777777" w:rsidR="0061282C" w:rsidRPr="00DA5EB5" w:rsidRDefault="0061282C" w:rsidP="0074473E">
      <w:pPr>
        <w:pStyle w:val="BlockQuote"/>
        <w:numPr>
          <w:ilvl w:val="0"/>
          <w:numId w:val="30"/>
        </w:numPr>
        <w:spacing w:before="60" w:after="60"/>
        <w:jc w:val="left"/>
        <w:rPr>
          <w:kern w:val="2"/>
          <w:sz w:val="20"/>
        </w:rPr>
      </w:pPr>
      <w:r w:rsidRPr="00DA5EB5">
        <w:rPr>
          <w:kern w:val="2"/>
          <w:sz w:val="20"/>
        </w:rPr>
        <w:t>Of considerable importance is the fact that the entire bribery scheme was a complete failure. The accused and his co-conspirators failed to obtain the sought after contract with Air India, or any other benefits. The harm resulting from this scheme was likely restricted to the promotion of corruption among a limited group of foreign public officials.</w:t>
      </w:r>
    </w:p>
    <w:p w14:paraId="7BBE3445" w14:textId="44324BEB" w:rsidR="0061282C" w:rsidRPr="00DA5EB5" w:rsidRDefault="009C5D51" w:rsidP="009C5D51">
      <w:pPr>
        <w:pStyle w:val="BlockQuote"/>
        <w:rPr>
          <w:bCs/>
          <w:kern w:val="2"/>
          <w:sz w:val="20"/>
        </w:rPr>
      </w:pPr>
      <w:r w:rsidRPr="00DA5EB5">
        <w:rPr>
          <w:bCs/>
          <w:kern w:val="2"/>
          <w:sz w:val="20"/>
        </w:rPr>
        <w:t>…</w:t>
      </w:r>
    </w:p>
    <w:p w14:paraId="4BCEC573" w14:textId="2CF011FE" w:rsidR="0061282C" w:rsidRPr="00DA5EB5" w:rsidRDefault="0061282C" w:rsidP="003D4A2F">
      <w:pPr>
        <w:pStyle w:val="BlockQuote"/>
        <w:numPr>
          <w:ilvl w:val="0"/>
          <w:numId w:val="73"/>
        </w:numPr>
        <w:spacing w:before="60" w:after="60"/>
        <w:jc w:val="left"/>
        <w:rPr>
          <w:kern w:val="2"/>
          <w:sz w:val="20"/>
        </w:rPr>
      </w:pPr>
      <w:r w:rsidRPr="00DA5EB5">
        <w:rPr>
          <w:kern w:val="2"/>
          <w:sz w:val="20"/>
        </w:rPr>
        <w:t>The evidence in this case discloses that you had a leading role in a conspiracy to bribe Air India officials in what was undoubtedly a sophisticated scheme to win a tender for a Canadian based company. Canada's Treaty Obligations as well as the domestic case law from our Court of Appeal requires, in my view, that a sentence be pronounced that reflects the principals [</w:t>
      </w:r>
      <w:r w:rsidRPr="00DA5EB5">
        <w:rPr>
          <w:i/>
          <w:kern w:val="2"/>
          <w:sz w:val="20"/>
        </w:rPr>
        <w:t>sic</w:t>
      </w:r>
      <w:r w:rsidRPr="00DA5EB5">
        <w:rPr>
          <w:kern w:val="2"/>
          <w:sz w:val="20"/>
        </w:rPr>
        <w:t>] of deterrence and denunciation of your conduct. Any person who proposes to enter into a sophisticated scheme to bribe foreign public officials to promote the commercial or other interests of a Canadian business abroad must appreciate that they will face a significant sentence of incarceration in a federal penitentiary.</w:t>
      </w:r>
      <w:r w:rsidR="00726132" w:rsidRPr="00DA5EB5">
        <w:rPr>
          <w:rStyle w:val="FootnoteReference"/>
          <w:kern w:val="2"/>
          <w:szCs w:val="21"/>
        </w:rPr>
        <w:footnoteReference w:id="139"/>
      </w:r>
    </w:p>
    <w:p w14:paraId="5679A365" w14:textId="36807F4F" w:rsidR="0061282C" w:rsidRPr="00DA5EB5" w:rsidRDefault="0061282C" w:rsidP="00D523BD">
      <w:pPr>
        <w:rPr>
          <w:kern w:val="2"/>
          <w:sz w:val="20"/>
        </w:rPr>
      </w:pPr>
      <w:r w:rsidRPr="00DA5EB5">
        <w:rPr>
          <w:kern w:val="2"/>
          <w:sz w:val="20"/>
        </w:rPr>
        <w:t>The Crown presented evidence of the OECD Working Group o</w:t>
      </w:r>
      <w:r w:rsidR="00737762" w:rsidRPr="00DA5EB5">
        <w:rPr>
          <w:kern w:val="2"/>
          <w:sz w:val="20"/>
        </w:rPr>
        <w:t>n</w:t>
      </w:r>
      <w:r w:rsidRPr="00DA5EB5">
        <w:rPr>
          <w:kern w:val="2"/>
          <w:sz w:val="20"/>
        </w:rPr>
        <w:t xml:space="preserve"> Bribery’s concerns about Canada’s enforcement leniency in the </w:t>
      </w:r>
      <w:r w:rsidRPr="00DA5EB5">
        <w:rPr>
          <w:i/>
          <w:kern w:val="2"/>
          <w:sz w:val="20"/>
        </w:rPr>
        <w:t xml:space="preserve">Watts </w:t>
      </w:r>
      <w:r w:rsidRPr="00DA5EB5">
        <w:rPr>
          <w:kern w:val="2"/>
          <w:sz w:val="20"/>
        </w:rPr>
        <w:t xml:space="preserve">case as well as evidence on the US Sentencing Guidelines. Like </w:t>
      </w:r>
      <w:r w:rsidR="000C2B4E" w:rsidRPr="00DA5EB5">
        <w:rPr>
          <w:kern w:val="2"/>
          <w:sz w:val="20"/>
        </w:rPr>
        <w:t xml:space="preserve">Justice </w:t>
      </w:r>
      <w:r w:rsidRPr="00DA5EB5">
        <w:rPr>
          <w:kern w:val="2"/>
          <w:sz w:val="20"/>
        </w:rPr>
        <w:t>B</w:t>
      </w:r>
      <w:r w:rsidR="00C53F2E" w:rsidRPr="00DA5EB5">
        <w:rPr>
          <w:kern w:val="2"/>
          <w:sz w:val="20"/>
        </w:rPr>
        <w:t>r</w:t>
      </w:r>
      <w:r w:rsidRPr="00DA5EB5">
        <w:rPr>
          <w:kern w:val="2"/>
          <w:sz w:val="20"/>
        </w:rPr>
        <w:t>ooker</w:t>
      </w:r>
      <w:r w:rsidRPr="00DA5EB5">
        <w:rPr>
          <w:color w:val="FF0000"/>
          <w:kern w:val="2"/>
          <w:sz w:val="20"/>
        </w:rPr>
        <w:t xml:space="preserve"> </w:t>
      </w:r>
      <w:r w:rsidRPr="00DA5EB5">
        <w:rPr>
          <w:kern w:val="2"/>
          <w:sz w:val="20"/>
        </w:rPr>
        <w:t xml:space="preserve">in </w:t>
      </w:r>
      <w:r w:rsidRPr="00DA5EB5">
        <w:rPr>
          <w:i/>
          <w:kern w:val="2"/>
          <w:sz w:val="20"/>
        </w:rPr>
        <w:t>Niko Resources</w:t>
      </w:r>
      <w:r w:rsidRPr="00DA5EB5">
        <w:rPr>
          <w:kern w:val="2"/>
          <w:sz w:val="20"/>
        </w:rPr>
        <w:t xml:space="preserve">, </w:t>
      </w:r>
      <w:r w:rsidR="000C2B4E" w:rsidRPr="00DA5EB5">
        <w:rPr>
          <w:kern w:val="2"/>
          <w:sz w:val="20"/>
        </w:rPr>
        <w:t xml:space="preserve">Justice </w:t>
      </w:r>
      <w:proofErr w:type="spellStart"/>
      <w:r w:rsidRPr="00DA5EB5">
        <w:rPr>
          <w:kern w:val="2"/>
          <w:sz w:val="20"/>
        </w:rPr>
        <w:t>Hackland</w:t>
      </w:r>
      <w:proofErr w:type="spellEnd"/>
      <w:r w:rsidRPr="00DA5EB5">
        <w:rPr>
          <w:kern w:val="2"/>
          <w:sz w:val="20"/>
        </w:rPr>
        <w:t xml:space="preserve"> mostly rejected the notion that sentencing </w:t>
      </w:r>
      <w:r w:rsidR="00737762" w:rsidRPr="00DA5EB5">
        <w:rPr>
          <w:kern w:val="2"/>
          <w:sz w:val="20"/>
        </w:rPr>
        <w:t>in</w:t>
      </w:r>
      <w:r w:rsidRPr="00DA5EB5">
        <w:rPr>
          <w:kern w:val="2"/>
          <w:sz w:val="20"/>
        </w:rPr>
        <w:t xml:space="preserve"> corruption cases in the US should be given much weight, stating:</w:t>
      </w:r>
    </w:p>
    <w:p w14:paraId="6B693BA1" w14:textId="0850FC76" w:rsidR="0061282C" w:rsidRPr="00DA5EB5" w:rsidRDefault="0061282C" w:rsidP="003D4A2F">
      <w:pPr>
        <w:pStyle w:val="BlockQuote"/>
        <w:numPr>
          <w:ilvl w:val="0"/>
          <w:numId w:val="74"/>
        </w:numPr>
        <w:jc w:val="left"/>
        <w:rPr>
          <w:kern w:val="2"/>
          <w:sz w:val="20"/>
        </w:rPr>
      </w:pPr>
      <w:r w:rsidRPr="00DA5EB5">
        <w:rPr>
          <w:kern w:val="2"/>
          <w:sz w:val="20"/>
        </w:rPr>
        <w:t>While helpful background, I am of the view that this information is not directly relevant to the sentencing issues at hand. Similarly, the evidence of U.S. sentencing guidelines based on tariffs and somewhat similar British guidelines are simply inapplicable in Canada. I do however take notice of the obvious reality that the corruption of foreign public officials, particularly in developing countries, is enormously harmful and is likely to undermine the rule of law. The idea that bribery is simply a cost of doing business in many countries, and should be treated as such by Canadian firms competing for business in those countries, must be disavowed. The need for sentences reflecting principles of general deterrence is clear.</w:t>
      </w:r>
      <w:r w:rsidR="008C183F" w:rsidRPr="00DA5EB5">
        <w:rPr>
          <w:rStyle w:val="FootnoteReference"/>
          <w:kern w:val="2"/>
          <w:szCs w:val="21"/>
        </w:rPr>
        <w:footnoteReference w:id="140"/>
      </w:r>
    </w:p>
    <w:p w14:paraId="016ABAE7" w14:textId="37175CF5" w:rsidR="0061282C" w:rsidRPr="00DA5EB5" w:rsidRDefault="0015244B" w:rsidP="00D523BD">
      <w:pPr>
        <w:rPr>
          <w:kern w:val="2"/>
          <w:sz w:val="20"/>
        </w:rPr>
      </w:pPr>
      <w:r w:rsidRPr="00DA5EB5">
        <w:rPr>
          <w:kern w:val="2"/>
          <w:sz w:val="20"/>
        </w:rPr>
        <w:t xml:space="preserve">Justice </w:t>
      </w:r>
      <w:proofErr w:type="spellStart"/>
      <w:r w:rsidR="0061282C" w:rsidRPr="00DA5EB5">
        <w:rPr>
          <w:kern w:val="2"/>
          <w:sz w:val="20"/>
        </w:rPr>
        <w:t>Hackland</w:t>
      </w:r>
      <w:proofErr w:type="spellEnd"/>
      <w:r w:rsidR="00737762" w:rsidRPr="00DA5EB5">
        <w:rPr>
          <w:kern w:val="2"/>
          <w:sz w:val="20"/>
        </w:rPr>
        <w:t xml:space="preserve"> </w:t>
      </w:r>
      <w:r w:rsidR="0061282C" w:rsidRPr="00DA5EB5">
        <w:rPr>
          <w:kern w:val="2"/>
          <w:sz w:val="20"/>
        </w:rPr>
        <w:t xml:space="preserve">also noted that the offence carried a maximum penalty of 5 years at the time of the conviction although the maximum was subsequently raised to 14 years. </w:t>
      </w:r>
      <w:r w:rsidR="00737762" w:rsidRPr="00DA5EB5">
        <w:rPr>
          <w:kern w:val="2"/>
          <w:sz w:val="20"/>
        </w:rPr>
        <w:t xml:space="preserve">According to </w:t>
      </w:r>
      <w:r w:rsidRPr="00DA5EB5">
        <w:rPr>
          <w:kern w:val="2"/>
          <w:sz w:val="20"/>
        </w:rPr>
        <w:t xml:space="preserve">Justice </w:t>
      </w:r>
      <w:proofErr w:type="spellStart"/>
      <w:r w:rsidR="00737762" w:rsidRPr="00DA5EB5">
        <w:rPr>
          <w:kern w:val="2"/>
          <w:sz w:val="20"/>
        </w:rPr>
        <w:t>Hackland</w:t>
      </w:r>
      <w:proofErr w:type="spellEnd"/>
      <w:r w:rsidR="00737762" w:rsidRPr="00DA5EB5">
        <w:rPr>
          <w:kern w:val="2"/>
          <w:sz w:val="20"/>
        </w:rPr>
        <w:t xml:space="preserve">, </w:t>
      </w:r>
      <w:r w:rsidR="0061282C" w:rsidRPr="00DA5EB5">
        <w:rPr>
          <w:kern w:val="2"/>
          <w:sz w:val="20"/>
        </w:rPr>
        <w:t xml:space="preserve">the higher penalty illustrated </w:t>
      </w:r>
      <w:r w:rsidR="00FD6DAC" w:rsidRPr="00DA5EB5">
        <w:rPr>
          <w:kern w:val="2"/>
          <w:sz w:val="20"/>
        </w:rPr>
        <w:t>“</w:t>
      </w:r>
      <w:r w:rsidR="0061282C" w:rsidRPr="00DA5EB5">
        <w:rPr>
          <w:kern w:val="2"/>
          <w:sz w:val="20"/>
        </w:rPr>
        <w:t>Parliament’s recognition of the seriousness of this offence and of Canada’s obligation to implement appropriate sanctions.</w:t>
      </w:r>
      <w:r w:rsidR="00FD6DAC" w:rsidRPr="00DA5EB5">
        <w:rPr>
          <w:kern w:val="2"/>
          <w:sz w:val="20"/>
        </w:rPr>
        <w:t>”</w:t>
      </w:r>
      <w:r w:rsidR="0061282C" w:rsidRPr="00DA5EB5">
        <w:rPr>
          <w:rStyle w:val="FootnoteReference"/>
          <w:kern w:val="2"/>
        </w:rPr>
        <w:footnoteReference w:id="141"/>
      </w:r>
      <w:r w:rsidR="0061282C" w:rsidRPr="00DA5EB5">
        <w:rPr>
          <w:kern w:val="2"/>
          <w:sz w:val="20"/>
        </w:rPr>
        <w:t xml:space="preserve"> It is possible that</w:t>
      </w:r>
      <w:r w:rsidR="0087777B" w:rsidRPr="00DA5EB5">
        <w:rPr>
          <w:kern w:val="2"/>
          <w:sz w:val="20"/>
        </w:rPr>
        <w:t>,</w:t>
      </w:r>
      <w:r w:rsidR="0061282C" w:rsidRPr="00DA5EB5">
        <w:rPr>
          <w:kern w:val="2"/>
          <w:sz w:val="20"/>
        </w:rPr>
        <w:t xml:space="preserve"> given the increase of the maximum penalty under the </w:t>
      </w:r>
      <w:r w:rsidR="0061282C" w:rsidRPr="00DA5EB5">
        <w:rPr>
          <w:i/>
          <w:kern w:val="2"/>
          <w:sz w:val="20"/>
        </w:rPr>
        <w:t>CFPO</w:t>
      </w:r>
      <w:r w:rsidR="0087777B" w:rsidRPr="00DA5EB5">
        <w:rPr>
          <w:i/>
          <w:kern w:val="2"/>
          <w:sz w:val="20"/>
        </w:rPr>
        <w:t>A</w:t>
      </w:r>
      <w:r w:rsidR="0061282C" w:rsidRPr="00DA5EB5">
        <w:rPr>
          <w:kern w:val="2"/>
          <w:sz w:val="20"/>
        </w:rPr>
        <w:t>, individuals convicted in similar circumstances in the future may face longer prison sentences.</w:t>
      </w:r>
    </w:p>
    <w:p w14:paraId="7690E02B" w14:textId="160586A5" w:rsidR="0061282C" w:rsidRPr="00DA5EB5" w:rsidRDefault="00D1493C" w:rsidP="007C3517">
      <w:pPr>
        <w:rPr>
          <w:kern w:val="2"/>
          <w:sz w:val="20"/>
        </w:rPr>
      </w:pPr>
      <w:r w:rsidRPr="00DA5EB5">
        <w:rPr>
          <w:kern w:val="2"/>
          <w:sz w:val="20"/>
        </w:rPr>
        <w:t>F</w:t>
      </w:r>
      <w:r w:rsidR="0061282C" w:rsidRPr="00DA5EB5">
        <w:rPr>
          <w:kern w:val="2"/>
          <w:sz w:val="20"/>
        </w:rPr>
        <w:t xml:space="preserve">ollowing </w:t>
      </w:r>
      <w:proofErr w:type="spellStart"/>
      <w:r w:rsidR="0061282C" w:rsidRPr="00DA5EB5">
        <w:rPr>
          <w:kern w:val="2"/>
          <w:sz w:val="20"/>
        </w:rPr>
        <w:t>Karigar’s</w:t>
      </w:r>
      <w:proofErr w:type="spellEnd"/>
      <w:r w:rsidR="0061282C" w:rsidRPr="00DA5EB5">
        <w:rPr>
          <w:kern w:val="2"/>
          <w:sz w:val="20"/>
        </w:rPr>
        <w:t xml:space="preserve"> sentencing, the RCMP charged three individuals in connection with the same scheme. Two of the individuals are US citizens and one is a UK citizen. The publication notes that the </w:t>
      </w:r>
      <w:r w:rsidR="00FD6DAC" w:rsidRPr="00DA5EB5">
        <w:rPr>
          <w:kern w:val="2"/>
          <w:sz w:val="20"/>
        </w:rPr>
        <w:t>“</w:t>
      </w:r>
      <w:r w:rsidR="0061282C" w:rsidRPr="00DA5EB5">
        <w:rPr>
          <w:kern w:val="2"/>
          <w:sz w:val="20"/>
        </w:rPr>
        <w:t>willingness of Canadian officials to prosecute foreign citizens is a new development</w:t>
      </w:r>
      <w:r w:rsidR="001275DC" w:rsidRPr="00DA5EB5">
        <w:rPr>
          <w:kern w:val="2"/>
          <w:sz w:val="20"/>
        </w:rPr>
        <w:t>.</w:t>
      </w:r>
      <w:r w:rsidR="00FD6DAC" w:rsidRPr="00DA5EB5">
        <w:rPr>
          <w:kern w:val="2"/>
          <w:sz w:val="20"/>
        </w:rPr>
        <w:t>”</w:t>
      </w:r>
      <w:r w:rsidR="0061282C" w:rsidRPr="00DA5EB5">
        <w:rPr>
          <w:rStyle w:val="FootnoteReference"/>
          <w:kern w:val="2"/>
        </w:rPr>
        <w:footnoteReference w:id="142"/>
      </w:r>
    </w:p>
    <w:p w14:paraId="00FFEA7F" w14:textId="32CA662F" w:rsidR="0061282C" w:rsidRPr="00DA5EB5" w:rsidRDefault="0061282C" w:rsidP="007C3517">
      <w:pPr>
        <w:rPr>
          <w:kern w:val="2"/>
          <w:sz w:val="20"/>
        </w:rPr>
      </w:pPr>
      <w:r w:rsidRPr="00DA5EB5">
        <w:rPr>
          <w:kern w:val="2"/>
          <w:sz w:val="20"/>
        </w:rPr>
        <w:t xml:space="preserve">The limited jurisprudence under the </w:t>
      </w:r>
      <w:r w:rsidRPr="00DA5EB5">
        <w:rPr>
          <w:i/>
          <w:kern w:val="2"/>
          <w:sz w:val="20"/>
        </w:rPr>
        <w:t xml:space="preserve">CFPOA </w:t>
      </w:r>
      <w:r w:rsidRPr="00DA5EB5">
        <w:rPr>
          <w:kern w:val="2"/>
          <w:sz w:val="20"/>
        </w:rPr>
        <w:t>makes it difficult to predict how sentencing for corruption of foreign public officials will be treated as more convictions are obtained. It is notew</w:t>
      </w:r>
      <w:r w:rsidR="00531028" w:rsidRPr="00DA5EB5">
        <w:rPr>
          <w:kern w:val="2"/>
          <w:sz w:val="20"/>
        </w:rPr>
        <w:t>orthy that two of the four judg</w:t>
      </w:r>
      <w:r w:rsidRPr="00DA5EB5">
        <w:rPr>
          <w:kern w:val="2"/>
          <w:sz w:val="20"/>
        </w:rPr>
        <w:t>ments rejected arguments relating to American jurisprudence. It seems clear that Canadian judges will continue to sentence on a case-by-case basis rather than attempting to define a scale by which certain conduct merits certain punishments akin to the sentencing guideline table used in the US. Factors such as the size of the bribe are and will continue to be important in determining the sentence, but unlike the US, where a large bribe or loss to the government can result in an escalation of the guideline range despite potentially significant mitigating factors, all factors will be considered and weighed in a more holistic sense.</w:t>
      </w:r>
    </w:p>
    <w:p w14:paraId="3606FA9A" w14:textId="4D66C2FC" w:rsidR="00283BD2" w:rsidRPr="00DA5EB5" w:rsidRDefault="0061282C" w:rsidP="007C3517">
      <w:pPr>
        <w:rPr>
          <w:kern w:val="2"/>
          <w:sz w:val="20"/>
        </w:rPr>
      </w:pPr>
      <w:r w:rsidRPr="00DA5EB5">
        <w:rPr>
          <w:kern w:val="2"/>
          <w:sz w:val="20"/>
        </w:rPr>
        <w:t xml:space="preserve">Canadian judges do appear to be considering guilty pleas, cooperation and subsequent measures to improve </w:t>
      </w:r>
      <w:r w:rsidRPr="00DA5EB5">
        <w:rPr>
          <w:i/>
          <w:kern w:val="2"/>
          <w:sz w:val="20"/>
        </w:rPr>
        <w:t>CFPOA</w:t>
      </w:r>
      <w:r w:rsidRPr="00DA5EB5">
        <w:rPr>
          <w:kern w:val="2"/>
          <w:sz w:val="20"/>
        </w:rPr>
        <w:t xml:space="preserve"> compliance as significant mitigating factors. This mirrors the approaches taken in the US and UK.</w:t>
      </w:r>
      <w:r w:rsidR="00E87776" w:rsidRPr="00DA5EB5">
        <w:rPr>
          <w:kern w:val="2"/>
          <w:sz w:val="20"/>
        </w:rPr>
        <w:t xml:space="preserve"> </w:t>
      </w:r>
      <w:r w:rsidRPr="00DA5EB5">
        <w:rPr>
          <w:kern w:val="2"/>
          <w:sz w:val="20"/>
        </w:rPr>
        <w:t xml:space="preserve">All three jurisdictions have </w:t>
      </w:r>
      <w:r w:rsidR="000F2305" w:rsidRPr="00DA5EB5">
        <w:rPr>
          <w:kern w:val="2"/>
          <w:sz w:val="20"/>
        </w:rPr>
        <w:t xml:space="preserve">recognized that </w:t>
      </w:r>
      <w:r w:rsidRPr="00DA5EB5">
        <w:rPr>
          <w:kern w:val="2"/>
          <w:sz w:val="20"/>
        </w:rPr>
        <w:t xml:space="preserve">the complexity of corruption leads to difficulty in uncovering corruption offences, as well as difficulties and costs in prosecuting these crimes. </w:t>
      </w:r>
    </w:p>
    <w:p w14:paraId="74D3A7CE" w14:textId="57863120" w:rsidR="0061282C" w:rsidRPr="00DA5EB5" w:rsidRDefault="00283BD2" w:rsidP="007C3517">
      <w:pPr>
        <w:rPr>
          <w:color w:val="000000" w:themeColor="text1"/>
          <w:kern w:val="2"/>
          <w:sz w:val="20"/>
        </w:rPr>
      </w:pPr>
      <w:r w:rsidRPr="00DA5EB5">
        <w:rPr>
          <w:kern w:val="2"/>
          <w:sz w:val="20"/>
        </w:rPr>
        <w:t xml:space="preserve">However, </w:t>
      </w:r>
      <w:r w:rsidR="004462F2" w:rsidRPr="00DA5EB5">
        <w:rPr>
          <w:kern w:val="2"/>
          <w:sz w:val="20"/>
        </w:rPr>
        <w:t xml:space="preserve">as pointed out by </w:t>
      </w:r>
      <w:r w:rsidR="004259C5" w:rsidRPr="00DA5EB5">
        <w:rPr>
          <w:kern w:val="2"/>
          <w:sz w:val="20"/>
        </w:rPr>
        <w:t xml:space="preserve">Berman and </w:t>
      </w:r>
      <w:proofErr w:type="spellStart"/>
      <w:r w:rsidR="004259C5" w:rsidRPr="00DA5EB5">
        <w:rPr>
          <w:kern w:val="2"/>
          <w:sz w:val="20"/>
        </w:rPr>
        <w:t>Wansbrough</w:t>
      </w:r>
      <w:proofErr w:type="spellEnd"/>
      <w:r w:rsidRPr="00DA5EB5">
        <w:rPr>
          <w:kern w:val="2"/>
          <w:sz w:val="20"/>
        </w:rPr>
        <w:t xml:space="preserve">, </w:t>
      </w:r>
      <w:r w:rsidR="004462F2" w:rsidRPr="00DA5EB5">
        <w:rPr>
          <w:kern w:val="2"/>
          <w:sz w:val="20"/>
        </w:rPr>
        <w:t>the benefits of self-</w:t>
      </w:r>
      <w:r w:rsidRPr="00DA5EB5">
        <w:rPr>
          <w:kern w:val="2"/>
          <w:sz w:val="20"/>
        </w:rPr>
        <w:t xml:space="preserve">reporting potential violations of the </w:t>
      </w:r>
      <w:r w:rsidRPr="00DA5EB5">
        <w:rPr>
          <w:i/>
          <w:kern w:val="2"/>
          <w:sz w:val="20"/>
        </w:rPr>
        <w:t>CFPOA</w:t>
      </w:r>
      <w:r w:rsidRPr="00DA5EB5">
        <w:rPr>
          <w:kern w:val="2"/>
          <w:sz w:val="20"/>
        </w:rPr>
        <w:t xml:space="preserve"> are unclear due to limited jurisprudence and the lack of formal guidelines on leniency and immunity for self-reporting companies and individuals.</w:t>
      </w:r>
      <w:r w:rsidRPr="00DA5EB5">
        <w:rPr>
          <w:rStyle w:val="FootnoteReference"/>
          <w:kern w:val="2"/>
          <w:sz w:val="18"/>
        </w:rPr>
        <w:footnoteReference w:id="143"/>
      </w:r>
      <w:r w:rsidRPr="00DA5EB5">
        <w:rPr>
          <w:kern w:val="2"/>
          <w:sz w:val="20"/>
        </w:rPr>
        <w:t xml:space="preserve"> Griffiths </w:t>
      </w:r>
      <w:r w:rsidR="00A82EC7" w:rsidRPr="00DA5EB5">
        <w:rPr>
          <w:kern w:val="2"/>
          <w:sz w:val="20"/>
        </w:rPr>
        <w:t xml:space="preserve">Energy </w:t>
      </w:r>
      <w:r w:rsidRPr="00DA5EB5">
        <w:rPr>
          <w:kern w:val="2"/>
          <w:sz w:val="20"/>
        </w:rPr>
        <w:t>self-reported and received a smaller fine in relation to its bribe than Niko Resources, which cooperated</w:t>
      </w:r>
      <w:r w:rsidR="00C6149F" w:rsidRPr="00DA5EB5">
        <w:rPr>
          <w:kern w:val="2"/>
          <w:sz w:val="20"/>
        </w:rPr>
        <w:t>,</w:t>
      </w:r>
      <w:r w:rsidRPr="00DA5EB5">
        <w:rPr>
          <w:kern w:val="2"/>
          <w:sz w:val="20"/>
        </w:rPr>
        <w:t xml:space="preserve"> but did not self-report. However, other mitigating factors were at play in </w:t>
      </w:r>
      <w:r w:rsidRPr="00DA5EB5">
        <w:rPr>
          <w:i/>
          <w:kern w:val="2"/>
          <w:sz w:val="20"/>
        </w:rPr>
        <w:t>Griffiths</w:t>
      </w:r>
      <w:r w:rsidR="00A82EC7" w:rsidRPr="00DA5EB5">
        <w:rPr>
          <w:i/>
          <w:kern w:val="2"/>
          <w:sz w:val="20"/>
        </w:rPr>
        <w:t xml:space="preserve"> Energy</w:t>
      </w:r>
      <w:r w:rsidRPr="00DA5EB5">
        <w:rPr>
          <w:i/>
          <w:kern w:val="2"/>
          <w:sz w:val="20"/>
        </w:rPr>
        <w:t xml:space="preserve">, </w:t>
      </w:r>
      <w:r w:rsidRPr="00DA5EB5">
        <w:rPr>
          <w:kern w:val="2"/>
          <w:sz w:val="20"/>
        </w:rPr>
        <w:t xml:space="preserve">such as the company’s contribution to investigation costs. In </w:t>
      </w:r>
      <w:proofErr w:type="spellStart"/>
      <w:r w:rsidRPr="00DA5EB5">
        <w:rPr>
          <w:i/>
          <w:kern w:val="2"/>
          <w:sz w:val="20"/>
        </w:rPr>
        <w:t>Karigar</w:t>
      </w:r>
      <w:proofErr w:type="spellEnd"/>
      <w:r w:rsidRPr="00DA5EB5">
        <w:rPr>
          <w:i/>
          <w:kern w:val="2"/>
          <w:sz w:val="20"/>
        </w:rPr>
        <w:t xml:space="preserve">, </w:t>
      </w:r>
      <w:r w:rsidRPr="00DA5EB5">
        <w:rPr>
          <w:kern w:val="2"/>
          <w:sz w:val="20"/>
        </w:rPr>
        <w:t xml:space="preserve">the mitigating effect of self-reporting was lessened by other aggravating factors. This indicates that the benefit of self-reporting depends on the facts of each case. Because of this uncertainty and lack of assurance, companies may be reluctant to self-report breaches of the </w:t>
      </w:r>
      <w:r w:rsidRPr="00DA5EB5">
        <w:rPr>
          <w:i/>
          <w:kern w:val="2"/>
          <w:sz w:val="20"/>
        </w:rPr>
        <w:t xml:space="preserve">CFPOA. </w:t>
      </w:r>
      <w:r w:rsidR="00D86C58" w:rsidRPr="00DA5EB5">
        <w:rPr>
          <w:kern w:val="2"/>
          <w:sz w:val="20"/>
        </w:rPr>
        <w:t xml:space="preserve">As mentioned below in </w:t>
      </w:r>
      <w:r w:rsidR="00D86C58" w:rsidRPr="00DA5EB5">
        <w:rPr>
          <w:color w:val="000000" w:themeColor="text1"/>
          <w:kern w:val="2"/>
          <w:sz w:val="20"/>
        </w:rPr>
        <w:t>Section</w:t>
      </w:r>
      <w:r w:rsidRPr="00DA5EB5">
        <w:rPr>
          <w:color w:val="000000" w:themeColor="text1"/>
          <w:kern w:val="2"/>
          <w:sz w:val="20"/>
        </w:rPr>
        <w:t xml:space="preserve"> 8.6, </w:t>
      </w:r>
      <w:r w:rsidR="00663FC2" w:rsidRPr="00DA5EB5">
        <w:rPr>
          <w:color w:val="000000" w:themeColor="text1"/>
          <w:kern w:val="2"/>
          <w:sz w:val="20"/>
        </w:rPr>
        <w:t xml:space="preserve">some critics argue that </w:t>
      </w:r>
      <w:r w:rsidR="004462F2" w:rsidRPr="00DA5EB5">
        <w:rPr>
          <w:color w:val="000000" w:themeColor="text1"/>
          <w:kern w:val="2"/>
          <w:sz w:val="20"/>
        </w:rPr>
        <w:t>the appeal</w:t>
      </w:r>
      <w:r w:rsidRPr="00DA5EB5">
        <w:rPr>
          <w:color w:val="000000" w:themeColor="text1"/>
          <w:kern w:val="2"/>
          <w:sz w:val="20"/>
        </w:rPr>
        <w:t xml:space="preserve"> of </w:t>
      </w:r>
      <w:r w:rsidR="00663FC2" w:rsidRPr="00DA5EB5">
        <w:rPr>
          <w:color w:val="000000" w:themeColor="text1"/>
          <w:kern w:val="2"/>
          <w:sz w:val="20"/>
        </w:rPr>
        <w:t>self-reporting is</w:t>
      </w:r>
      <w:r w:rsidRPr="00DA5EB5">
        <w:rPr>
          <w:color w:val="000000" w:themeColor="text1"/>
          <w:kern w:val="2"/>
          <w:sz w:val="20"/>
        </w:rPr>
        <w:t xml:space="preserve"> further reduced by Canada’s relatively harsh debarment regime and the unavailability of DPAs or NPAs to avoid that regime.</w:t>
      </w:r>
      <w:r w:rsidRPr="00DA5EB5">
        <w:rPr>
          <w:rStyle w:val="FootnoteReference"/>
          <w:color w:val="000000" w:themeColor="text1"/>
          <w:kern w:val="2"/>
          <w:sz w:val="18"/>
        </w:rPr>
        <w:footnoteReference w:id="144"/>
      </w:r>
      <w:r w:rsidRPr="00DA5EB5">
        <w:rPr>
          <w:color w:val="000000" w:themeColor="text1"/>
          <w:kern w:val="2"/>
          <w:sz w:val="20"/>
        </w:rPr>
        <w:t xml:space="preserve"> </w:t>
      </w:r>
    </w:p>
    <w:p w14:paraId="6DF381D3" w14:textId="77777777" w:rsidR="00652411" w:rsidRPr="00DA5EB5" w:rsidRDefault="00652411" w:rsidP="00661F9C">
      <w:pPr>
        <w:pStyle w:val="Heading1"/>
        <w:rPr>
          <w:sz w:val="28"/>
        </w:rPr>
      </w:pPr>
      <w:bookmarkStart w:id="37" w:name="_Toc500340148"/>
      <w:bookmarkStart w:id="38" w:name="_Toc500340395"/>
      <w:bookmarkStart w:id="39" w:name="_Toc500340429"/>
      <w:r w:rsidRPr="00DA5EB5">
        <w:rPr>
          <w:sz w:val="28"/>
        </w:rPr>
        <w:t>Criminal Forfeiture</w:t>
      </w:r>
      <w:bookmarkEnd w:id="37"/>
      <w:bookmarkEnd w:id="38"/>
      <w:bookmarkEnd w:id="39"/>
    </w:p>
    <w:p w14:paraId="59651B47" w14:textId="797D3D97" w:rsidR="00652411" w:rsidRPr="00DA5EB5" w:rsidRDefault="00652411" w:rsidP="007C3517">
      <w:pPr>
        <w:rPr>
          <w:kern w:val="2"/>
          <w:sz w:val="20"/>
        </w:rPr>
      </w:pPr>
      <w:r w:rsidRPr="00DA5EB5">
        <w:rPr>
          <w:color w:val="000000" w:themeColor="text1"/>
          <w:kern w:val="2"/>
          <w:sz w:val="20"/>
        </w:rPr>
        <w:t xml:space="preserve">Criminal forfeiture is introduced in a general way in </w:t>
      </w:r>
      <w:r w:rsidRPr="00DA5EB5">
        <w:rPr>
          <w:color w:val="000000" w:themeColor="text1"/>
          <w:kern w:val="2"/>
          <w:sz w:val="20"/>
          <w:highlight w:val="cyan"/>
        </w:rPr>
        <w:t>Chapter 5, Section 2.4.1</w:t>
      </w:r>
      <w:r w:rsidRPr="00DA5EB5">
        <w:rPr>
          <w:color w:val="000000" w:themeColor="text1"/>
          <w:kern w:val="2"/>
          <w:sz w:val="20"/>
        </w:rPr>
        <w:t xml:space="preserve">. The laws and procedures for criminal forfeiture under UNCAC and the OECD Convention and in the US, UK and Canada are discussed in </w:t>
      </w:r>
      <w:r w:rsidRPr="00DA5EB5">
        <w:rPr>
          <w:color w:val="000000" w:themeColor="text1"/>
          <w:kern w:val="2"/>
          <w:sz w:val="20"/>
          <w:highlight w:val="cyan"/>
        </w:rPr>
        <w:t>Sections 3.1, 3.2, 4.1, 4.2 and 4.3 respectively of Chapter 5</w:t>
      </w:r>
      <w:r w:rsidRPr="00DA5EB5">
        <w:rPr>
          <w:color w:val="000000" w:themeColor="text1"/>
          <w:kern w:val="2"/>
          <w:sz w:val="20"/>
        </w:rPr>
        <w:t>.</w:t>
      </w:r>
    </w:p>
    <w:p w14:paraId="3C48057D" w14:textId="77F78137" w:rsidR="00301B92" w:rsidRPr="00DA5EB5" w:rsidRDefault="00301B92" w:rsidP="00661F9C">
      <w:pPr>
        <w:pStyle w:val="Heading1"/>
        <w:rPr>
          <w:sz w:val="28"/>
        </w:rPr>
      </w:pPr>
      <w:bookmarkStart w:id="40" w:name="_Toc500340149"/>
      <w:bookmarkStart w:id="41" w:name="_Toc500340396"/>
      <w:bookmarkStart w:id="42" w:name="_Toc500340430"/>
      <w:r w:rsidRPr="00DA5EB5">
        <w:rPr>
          <w:sz w:val="28"/>
        </w:rPr>
        <w:t>Debarment as a Collateral Consequence of a Bribery Conviction</w:t>
      </w:r>
      <w:bookmarkEnd w:id="40"/>
      <w:bookmarkEnd w:id="41"/>
      <w:bookmarkEnd w:id="42"/>
    </w:p>
    <w:p w14:paraId="286C736C" w14:textId="2F7DAB08" w:rsidR="0061282C" w:rsidRPr="00DA5EB5" w:rsidRDefault="0061282C" w:rsidP="007C3517">
      <w:pPr>
        <w:rPr>
          <w:kern w:val="2"/>
          <w:sz w:val="20"/>
        </w:rPr>
      </w:pPr>
      <w:r w:rsidRPr="00DA5EB5">
        <w:rPr>
          <w:kern w:val="2"/>
          <w:sz w:val="20"/>
        </w:rPr>
        <w:t>Debarment is a sanctioning tool by which an individual or corporation convicted of a corruption offence may face a period of ineligibility from bidding on government contracts. For companies that rely on public contracts and tenders as a large portion of their business, the prospect of debarment is a significant additional punishment.</w:t>
      </w:r>
      <w:r w:rsidRPr="00DA5EB5">
        <w:rPr>
          <w:rStyle w:val="FootnoteReference"/>
          <w:kern w:val="2"/>
          <w:sz w:val="18"/>
        </w:rPr>
        <w:footnoteReference w:id="145"/>
      </w:r>
      <w:r w:rsidRPr="00DA5EB5">
        <w:rPr>
          <w:kern w:val="2"/>
          <w:sz w:val="20"/>
        </w:rPr>
        <w:t xml:space="preserve"> For example, after debarment</w:t>
      </w:r>
      <w:r w:rsidR="00924373" w:rsidRPr="00DA5EB5">
        <w:rPr>
          <w:kern w:val="2"/>
          <w:sz w:val="20"/>
        </w:rPr>
        <w:t>,</w:t>
      </w:r>
      <w:r w:rsidRPr="00DA5EB5">
        <w:rPr>
          <w:kern w:val="2"/>
          <w:sz w:val="20"/>
        </w:rPr>
        <w:t xml:space="preserve"> a company may lose clients, suffer reputational damage, face insolvency or even go out of business.</w:t>
      </w:r>
      <w:r w:rsidRPr="00DA5EB5">
        <w:rPr>
          <w:rStyle w:val="FootnoteReference"/>
          <w:kern w:val="2"/>
          <w:sz w:val="18"/>
        </w:rPr>
        <w:footnoteReference w:id="146"/>
      </w:r>
      <w:r w:rsidRPr="00DA5EB5">
        <w:rPr>
          <w:kern w:val="2"/>
          <w:sz w:val="20"/>
        </w:rPr>
        <w:t xml:space="preserve"> </w:t>
      </w:r>
      <w:r w:rsidR="00FE3D7A" w:rsidRPr="00DA5EB5">
        <w:rPr>
          <w:kern w:val="2"/>
          <w:sz w:val="20"/>
        </w:rPr>
        <w:t>The debarment process can be</w:t>
      </w:r>
      <w:r w:rsidRPr="00DA5EB5">
        <w:rPr>
          <w:kern w:val="2"/>
          <w:sz w:val="20"/>
        </w:rPr>
        <w:t xml:space="preserve"> complex and multiple variables must be considered, such as the length of the debarment; whether it is automatic or discretionary; and the jurisdictions and organizations where the debarment applies.</w:t>
      </w:r>
      <w:r w:rsidRPr="00DA5EB5">
        <w:rPr>
          <w:rStyle w:val="FootnoteReference"/>
          <w:kern w:val="2"/>
          <w:sz w:val="18"/>
        </w:rPr>
        <w:footnoteReference w:id="147"/>
      </w:r>
      <w:r w:rsidRPr="00DA5EB5">
        <w:rPr>
          <w:kern w:val="2"/>
          <w:sz w:val="20"/>
        </w:rPr>
        <w:t xml:space="preserve"> Moreover, the impact of debarment can be multiplied by cross-debarment whereby departments, governments, or other institutions or organizations agree to mutually enforce each other’s debarment actions. One such example is a cross-debarment agreement between the Multilateral Development Banks (MDBs)</w:t>
      </w:r>
      <w:r w:rsidR="00924373" w:rsidRPr="00DA5EB5">
        <w:rPr>
          <w:kern w:val="2"/>
          <w:sz w:val="20"/>
        </w:rPr>
        <w:t>,</w:t>
      </w:r>
      <w:r w:rsidRPr="00DA5EB5">
        <w:rPr>
          <w:kern w:val="2"/>
          <w:sz w:val="20"/>
        </w:rPr>
        <w:t xml:space="preserve"> consisting of the African Development Bank Group, Asian Development Bank, European Bank for Reconstruction and Development, Inter-American Development Bank and the World Bank Group. As stated by the MDBs, </w:t>
      </w:r>
      <w:r w:rsidR="00FD6DAC" w:rsidRPr="00DA5EB5">
        <w:rPr>
          <w:kern w:val="2"/>
          <w:sz w:val="20"/>
        </w:rPr>
        <w:t>“</w:t>
      </w:r>
      <w:r w:rsidRPr="00DA5EB5">
        <w:rPr>
          <w:kern w:val="2"/>
          <w:sz w:val="20"/>
        </w:rPr>
        <w:t>cross debarment creates a formidable additional deterrent to firms and individuals engaged in fraud and corruption in MDB-financed development projects, and possibly provides an incentive for firms to clean up their operations.</w:t>
      </w:r>
      <w:r w:rsidR="00FD6DAC" w:rsidRPr="00DA5EB5">
        <w:rPr>
          <w:kern w:val="2"/>
          <w:sz w:val="20"/>
        </w:rPr>
        <w:t>”</w:t>
      </w:r>
      <w:r w:rsidRPr="00DA5EB5">
        <w:rPr>
          <w:rStyle w:val="FootnoteReference"/>
          <w:kern w:val="2"/>
        </w:rPr>
        <w:footnoteReference w:id="148"/>
      </w:r>
    </w:p>
    <w:p w14:paraId="59BA6E28" w14:textId="2817C50C" w:rsidR="00F82851" w:rsidRPr="00DA5EB5" w:rsidRDefault="0061282C" w:rsidP="007C3517">
      <w:pPr>
        <w:pStyle w:val="Heading2"/>
        <w:rPr>
          <w:kern w:val="2"/>
          <w:sz w:val="24"/>
        </w:rPr>
      </w:pPr>
      <w:r w:rsidRPr="00DA5EB5">
        <w:rPr>
          <w:kern w:val="2"/>
          <w:sz w:val="24"/>
        </w:rPr>
        <w:t>UNCAC</w:t>
      </w:r>
    </w:p>
    <w:p w14:paraId="5B396607" w14:textId="77777777" w:rsidR="0061282C" w:rsidRPr="00DA5EB5" w:rsidRDefault="0061282C" w:rsidP="007C3517">
      <w:pPr>
        <w:pStyle w:val="BlockQuote"/>
        <w:rPr>
          <w:kern w:val="2"/>
          <w:sz w:val="20"/>
        </w:rPr>
      </w:pPr>
      <w:r w:rsidRPr="00DA5EB5">
        <w:rPr>
          <w:kern w:val="2"/>
          <w:sz w:val="20"/>
        </w:rPr>
        <w:t>Article 34</w:t>
      </w:r>
    </w:p>
    <w:p w14:paraId="1A23DFD8" w14:textId="6DEB76FE" w:rsidR="0061282C" w:rsidRPr="00DA5EB5" w:rsidRDefault="0061282C" w:rsidP="007C3517">
      <w:pPr>
        <w:pStyle w:val="BlockQuote"/>
        <w:rPr>
          <w:kern w:val="2"/>
          <w:sz w:val="20"/>
        </w:rPr>
      </w:pPr>
      <w:r w:rsidRPr="00DA5EB5">
        <w:rPr>
          <w:kern w:val="2"/>
          <w:sz w:val="20"/>
        </w:rPr>
        <w:t>With due regard to the rights of third parties acquired i</w:t>
      </w:r>
      <w:r w:rsidR="00AD2D23" w:rsidRPr="00DA5EB5">
        <w:rPr>
          <w:kern w:val="2"/>
          <w:sz w:val="20"/>
        </w:rPr>
        <w:t xml:space="preserve">n good faith, each State Party </w:t>
      </w:r>
      <w:r w:rsidRPr="00DA5EB5">
        <w:rPr>
          <w:kern w:val="2"/>
          <w:sz w:val="20"/>
        </w:rPr>
        <w:t>shall take measures, in accordance with the fundamental principles of its domestic law, to address consequences of corruption. In this context, States Parties may consider corruption a relevant factor in legal proceedings to annul or rescind a contract, withdraw a concession or other similar instrument or take any other remedial action.</w:t>
      </w:r>
      <w:r w:rsidRPr="00DA5EB5">
        <w:rPr>
          <w:rStyle w:val="FootnoteReference"/>
          <w:kern w:val="2"/>
          <w:szCs w:val="21"/>
        </w:rPr>
        <w:footnoteReference w:id="149"/>
      </w:r>
    </w:p>
    <w:p w14:paraId="10A0BA09" w14:textId="3F04B176" w:rsidR="0061282C" w:rsidRPr="00DA5EB5" w:rsidRDefault="0061282C" w:rsidP="007C3517">
      <w:pPr>
        <w:rPr>
          <w:kern w:val="2"/>
          <w:sz w:val="20"/>
        </w:rPr>
      </w:pPr>
      <w:r w:rsidRPr="00DA5EB5">
        <w:rPr>
          <w:kern w:val="2"/>
          <w:sz w:val="20"/>
        </w:rPr>
        <w:t xml:space="preserve">The reference in Article 34 to </w:t>
      </w:r>
      <w:r w:rsidR="00FD6DAC" w:rsidRPr="00DA5EB5">
        <w:rPr>
          <w:kern w:val="2"/>
          <w:sz w:val="20"/>
        </w:rPr>
        <w:t>“</w:t>
      </w:r>
      <w:r w:rsidRPr="00DA5EB5">
        <w:rPr>
          <w:kern w:val="2"/>
          <w:sz w:val="20"/>
        </w:rPr>
        <w:t>any other remedial action</w:t>
      </w:r>
      <w:r w:rsidR="00FD6DAC" w:rsidRPr="00DA5EB5">
        <w:rPr>
          <w:kern w:val="2"/>
          <w:sz w:val="20"/>
        </w:rPr>
        <w:t>”</w:t>
      </w:r>
      <w:r w:rsidRPr="00DA5EB5">
        <w:rPr>
          <w:kern w:val="2"/>
          <w:sz w:val="20"/>
        </w:rPr>
        <w:t xml:space="preserve"> is clearly broad enough to include debarment of offenders from participation in public procurement. </w:t>
      </w:r>
    </w:p>
    <w:p w14:paraId="6020EA51" w14:textId="746C4A05" w:rsidR="00F82851" w:rsidRPr="00DA5EB5" w:rsidRDefault="0061282C" w:rsidP="007C3517">
      <w:pPr>
        <w:pStyle w:val="Heading2"/>
        <w:rPr>
          <w:kern w:val="2"/>
          <w:sz w:val="24"/>
        </w:rPr>
      </w:pPr>
      <w:r w:rsidRPr="00DA5EB5">
        <w:rPr>
          <w:kern w:val="2"/>
          <w:sz w:val="24"/>
        </w:rPr>
        <w:t>OECD</w:t>
      </w:r>
    </w:p>
    <w:p w14:paraId="246BE016" w14:textId="77777777" w:rsidR="0061282C" w:rsidRPr="00DA5EB5" w:rsidRDefault="0061282C" w:rsidP="00006FF1">
      <w:pPr>
        <w:pStyle w:val="BlockQuote"/>
        <w:rPr>
          <w:kern w:val="2"/>
          <w:sz w:val="20"/>
        </w:rPr>
      </w:pPr>
      <w:r w:rsidRPr="00DA5EB5">
        <w:rPr>
          <w:kern w:val="2"/>
          <w:sz w:val="20"/>
        </w:rPr>
        <w:t>Article 3</w:t>
      </w:r>
    </w:p>
    <w:p w14:paraId="5980821E" w14:textId="77777777" w:rsidR="0061282C" w:rsidRPr="00DA5EB5" w:rsidRDefault="0061282C" w:rsidP="00006FF1">
      <w:pPr>
        <w:pStyle w:val="BlockQuote"/>
        <w:rPr>
          <w:kern w:val="2"/>
          <w:sz w:val="20"/>
        </w:rPr>
      </w:pPr>
      <w:r w:rsidRPr="00DA5EB5">
        <w:rPr>
          <w:kern w:val="2"/>
          <w:sz w:val="20"/>
        </w:rPr>
        <w:t>Sanctions</w:t>
      </w:r>
    </w:p>
    <w:p w14:paraId="320CAD73" w14:textId="49B72227" w:rsidR="0061282C" w:rsidRPr="00DA5EB5" w:rsidRDefault="0061282C" w:rsidP="00006FF1">
      <w:pPr>
        <w:pStyle w:val="BlockQuote"/>
        <w:numPr>
          <w:ilvl w:val="0"/>
          <w:numId w:val="31"/>
        </w:numPr>
        <w:jc w:val="left"/>
        <w:rPr>
          <w:kern w:val="2"/>
          <w:sz w:val="20"/>
        </w:rPr>
      </w:pPr>
      <w:r w:rsidRPr="00DA5EB5">
        <w:rPr>
          <w:kern w:val="2"/>
          <w:sz w:val="20"/>
        </w:rPr>
        <w:t>Each Party shall consider the imposition of additional civil or administrative sanctions upon a person subject to sanctions for the bribery of a foreign public official.</w:t>
      </w:r>
    </w:p>
    <w:p w14:paraId="2B66F031" w14:textId="77777777" w:rsidR="0061282C" w:rsidRPr="00DA5EB5" w:rsidRDefault="0061282C" w:rsidP="00006FF1">
      <w:pPr>
        <w:pStyle w:val="BlockQuote"/>
        <w:keepNext/>
        <w:rPr>
          <w:kern w:val="2"/>
          <w:sz w:val="20"/>
        </w:rPr>
      </w:pPr>
      <w:r w:rsidRPr="00DA5EB5">
        <w:rPr>
          <w:kern w:val="2"/>
          <w:sz w:val="20"/>
        </w:rPr>
        <w:t>Commentary</w:t>
      </w:r>
    </w:p>
    <w:p w14:paraId="2719525B" w14:textId="77777777" w:rsidR="0061282C" w:rsidRPr="00DA5EB5" w:rsidRDefault="0061282C" w:rsidP="00006FF1">
      <w:pPr>
        <w:pStyle w:val="BlockQuote"/>
        <w:rPr>
          <w:kern w:val="2"/>
          <w:sz w:val="20"/>
        </w:rPr>
      </w:pPr>
      <w:r w:rsidRPr="00DA5EB5">
        <w:rPr>
          <w:kern w:val="2"/>
          <w:sz w:val="20"/>
        </w:rPr>
        <w:t xml:space="preserve">Re paragraph 4: </w:t>
      </w:r>
    </w:p>
    <w:p w14:paraId="11793CA3" w14:textId="590AD057" w:rsidR="0061282C" w:rsidRPr="00DA5EB5" w:rsidRDefault="0061282C" w:rsidP="00006FF1">
      <w:pPr>
        <w:pStyle w:val="BlockQuote"/>
        <w:numPr>
          <w:ilvl w:val="0"/>
          <w:numId w:val="32"/>
        </w:numPr>
        <w:jc w:val="left"/>
        <w:rPr>
          <w:kern w:val="2"/>
          <w:sz w:val="20"/>
        </w:rPr>
      </w:pPr>
      <w:r w:rsidRPr="00DA5EB5">
        <w:rPr>
          <w:kern w:val="2"/>
          <w:sz w:val="20"/>
        </w:rPr>
        <w:t xml:space="preserve">Among the civil or administrative sanctions, other than non-criminal fines, which might be imposed upon legal persons for an act of bribery of a foreign public official are: exclusion from entitlement to public benefits or aid; </w:t>
      </w:r>
      <w:r w:rsidRPr="00DA5EB5">
        <w:rPr>
          <w:i/>
          <w:kern w:val="2"/>
          <w:sz w:val="20"/>
        </w:rPr>
        <w:t>temporary or permanent disqualification from participation in public procurement</w:t>
      </w:r>
      <w:r w:rsidRPr="00DA5EB5">
        <w:rPr>
          <w:kern w:val="2"/>
          <w:sz w:val="20"/>
        </w:rPr>
        <w:t xml:space="preserve"> or from the practice of other commercial activities; placing under judicial supervision; and a judicial winding-up order.</w:t>
      </w:r>
      <w:r w:rsidRPr="00DA5EB5">
        <w:rPr>
          <w:rStyle w:val="FootnoteReference"/>
          <w:kern w:val="2"/>
          <w:szCs w:val="21"/>
        </w:rPr>
        <w:footnoteReference w:id="150"/>
      </w:r>
      <w:r w:rsidRPr="00DA5EB5">
        <w:rPr>
          <w:kern w:val="2"/>
          <w:sz w:val="20"/>
        </w:rPr>
        <w:t xml:space="preserve"> [Emphasis added.]</w:t>
      </w:r>
    </w:p>
    <w:p w14:paraId="32895717" w14:textId="670C77E9" w:rsidR="00F82851" w:rsidRPr="00DA5EB5" w:rsidRDefault="0061282C" w:rsidP="007C3517">
      <w:pPr>
        <w:pStyle w:val="Heading2"/>
        <w:rPr>
          <w:kern w:val="2"/>
          <w:sz w:val="24"/>
        </w:rPr>
      </w:pPr>
      <w:r w:rsidRPr="00DA5EB5">
        <w:rPr>
          <w:kern w:val="2"/>
          <w:sz w:val="24"/>
        </w:rPr>
        <w:t>The World Bank</w:t>
      </w:r>
    </w:p>
    <w:p w14:paraId="5D49158E" w14:textId="77777777" w:rsidR="00FC4925" w:rsidRPr="00DA5EB5" w:rsidRDefault="00FC4925" w:rsidP="007C3517">
      <w:pPr>
        <w:rPr>
          <w:kern w:val="2"/>
          <w:sz w:val="20"/>
        </w:rPr>
      </w:pPr>
      <w:r w:rsidRPr="00DA5EB5">
        <w:rPr>
          <w:kern w:val="2"/>
          <w:sz w:val="20"/>
        </w:rPr>
        <w:t xml:space="preserve">The World Bank, a supra-national organization set up by member states, is comprised of the International Bank for Reconstruction and Development (IBRD) and the International Development Association (IDA). The World Bank Group consists of the World Bank and three other supra-national agencies: the International Finance Corporation (IFC), the Multilateral Investment Guarantee Agency (MIGA) and the International Centre for Settlement of Investment Disputes (ICSID). </w:t>
      </w:r>
    </w:p>
    <w:p w14:paraId="77505A70" w14:textId="5A16D121" w:rsidR="0061282C" w:rsidRPr="00DA5EB5" w:rsidRDefault="00FC4925" w:rsidP="007C3517">
      <w:pPr>
        <w:rPr>
          <w:kern w:val="2"/>
          <w:sz w:val="20"/>
        </w:rPr>
      </w:pPr>
      <w:r w:rsidRPr="00DA5EB5">
        <w:rPr>
          <w:kern w:val="2"/>
          <w:sz w:val="20"/>
        </w:rPr>
        <w:t>The World Bank and the World Bank Group provide billions of dollars in loans to developing countries every year, funding large-scale infrastructure projects throughout the developing world. To control corruption, the World Bank has developed its own sanctions system. Although the World Bank cannot impose criminal sanctions, debarment from bidding on</w:t>
      </w:r>
      <w:r w:rsidR="00E138FF" w:rsidRPr="00DA5EB5">
        <w:rPr>
          <w:kern w:val="2"/>
          <w:sz w:val="20"/>
        </w:rPr>
        <w:t xml:space="preserve"> World Bank-financed projects provides</w:t>
      </w:r>
      <w:r w:rsidRPr="00DA5EB5">
        <w:rPr>
          <w:kern w:val="2"/>
          <w:sz w:val="20"/>
        </w:rPr>
        <w:t xml:space="preserve"> a powerful weapon</w:t>
      </w:r>
      <w:r w:rsidR="00E138FF" w:rsidRPr="00DA5EB5">
        <w:rPr>
          <w:kern w:val="2"/>
          <w:sz w:val="20"/>
        </w:rPr>
        <w:t xml:space="preserve"> and is the World Bank’s default sanction</w:t>
      </w:r>
      <w:r w:rsidRPr="00DA5EB5">
        <w:rPr>
          <w:kern w:val="2"/>
          <w:sz w:val="20"/>
        </w:rPr>
        <w:t>.</w:t>
      </w:r>
      <w:r w:rsidR="00E138FF" w:rsidRPr="00DA5EB5">
        <w:rPr>
          <w:rStyle w:val="FootnoteReference"/>
          <w:kern w:val="2"/>
          <w:sz w:val="18"/>
        </w:rPr>
        <w:footnoteReference w:id="151"/>
      </w:r>
      <w:r w:rsidRPr="00DA5EB5">
        <w:rPr>
          <w:kern w:val="2"/>
          <w:sz w:val="20"/>
        </w:rPr>
        <w:t xml:space="preserve"> </w:t>
      </w:r>
      <w:r w:rsidR="0061282C" w:rsidRPr="00DA5EB5">
        <w:rPr>
          <w:kern w:val="2"/>
          <w:sz w:val="20"/>
        </w:rPr>
        <w:t xml:space="preserve">In the World Bank President’s 2011 Address, </w:t>
      </w:r>
      <w:r w:rsidRPr="00DA5EB5">
        <w:rPr>
          <w:kern w:val="2"/>
          <w:sz w:val="20"/>
        </w:rPr>
        <w:t xml:space="preserve">then-President </w:t>
      </w:r>
      <w:r w:rsidR="0061282C" w:rsidRPr="00DA5EB5">
        <w:rPr>
          <w:kern w:val="2"/>
          <w:sz w:val="20"/>
        </w:rPr>
        <w:t xml:space="preserve">Robert B. </w:t>
      </w:r>
      <w:proofErr w:type="spellStart"/>
      <w:r w:rsidR="0061282C" w:rsidRPr="00DA5EB5">
        <w:rPr>
          <w:kern w:val="2"/>
          <w:sz w:val="20"/>
        </w:rPr>
        <w:t>Zoellichk</w:t>
      </w:r>
      <w:proofErr w:type="spellEnd"/>
      <w:r w:rsidRPr="00DA5EB5">
        <w:rPr>
          <w:kern w:val="2"/>
          <w:sz w:val="20"/>
        </w:rPr>
        <w:t xml:space="preserve"> stated</w:t>
      </w:r>
      <w:r w:rsidR="0061282C" w:rsidRPr="00DA5EB5">
        <w:rPr>
          <w:kern w:val="2"/>
          <w:sz w:val="20"/>
        </w:rPr>
        <w:t xml:space="preserve">: </w:t>
      </w:r>
    </w:p>
    <w:p w14:paraId="038A78FF" w14:textId="1068570E" w:rsidR="0061282C" w:rsidRPr="00DA5EB5" w:rsidRDefault="0061282C" w:rsidP="007C3517">
      <w:pPr>
        <w:pStyle w:val="BlockQuote"/>
        <w:rPr>
          <w:kern w:val="2"/>
          <w:sz w:val="20"/>
        </w:rPr>
      </w:pPr>
      <w:r w:rsidRPr="00DA5EB5">
        <w:rPr>
          <w:kern w:val="2"/>
          <w:sz w:val="20"/>
        </w:rPr>
        <w:t>For more than 10 years, our sanctions system has played a crucial role within the Bank Group’s anticorruption efforts. Sanctions protect Bank Group funds and member countries’ development projects by excluding proven wrongdoers from our operations and financing. Sanctions also deter other participants or potential bidders in Bank Group-financed operations from engaging in fraud, collusion, or corruption. By holding companies and individuals accountable through a fair and robust process, the Bank Group’s sanctions system promotes integrity and levels the playing field for those committed to clean business practices.</w:t>
      </w:r>
    </w:p>
    <w:p w14:paraId="7250919F" w14:textId="77777777" w:rsidR="0061282C" w:rsidRPr="00DA5EB5" w:rsidRDefault="0061282C" w:rsidP="007C3517">
      <w:pPr>
        <w:pStyle w:val="BlockQuote"/>
        <w:rPr>
          <w:kern w:val="2"/>
          <w:sz w:val="20"/>
        </w:rPr>
      </w:pPr>
      <w:r w:rsidRPr="00DA5EB5">
        <w:rPr>
          <w:kern w:val="2"/>
          <w:sz w:val="20"/>
        </w:rPr>
        <w:t xml:space="preserve">Being in the forefront of antifraud and anticorruption efforts among multilateral development institutions, the Bank Group has continually explored new structures and strategies to deal most effectively with allegations of fraud and corruption. These efforts led, for instance, to the establishment of the Sanctions Board in 2007 as a new and independent body providing final appellate review. Composed of a majority of external members since its establishment, the Sanctions Board has also been led by an external Chair since 2009. The Bank Group worked with the regional multilateral development banks to reach a </w:t>
      </w:r>
      <w:proofErr w:type="spellStart"/>
      <w:r w:rsidRPr="00DA5EB5">
        <w:rPr>
          <w:kern w:val="2"/>
          <w:sz w:val="20"/>
        </w:rPr>
        <w:t>groundbreaking</w:t>
      </w:r>
      <w:proofErr w:type="spellEnd"/>
      <w:r w:rsidRPr="00DA5EB5">
        <w:rPr>
          <w:kern w:val="2"/>
          <w:sz w:val="20"/>
        </w:rPr>
        <w:t xml:space="preserve"> agreement on cross-debarment in 2010. Those who cheat and steal from one will be debarred by all. Most recently, the Bank Group took a major step toward greater transparency and accountability by authorizing the publication of decisions in new sanctions cases initiated in 2011 and onward.</w:t>
      </w:r>
      <w:r w:rsidRPr="00DA5EB5">
        <w:rPr>
          <w:rStyle w:val="FootnoteReference"/>
          <w:kern w:val="2"/>
          <w:szCs w:val="21"/>
        </w:rPr>
        <w:footnoteReference w:id="152"/>
      </w:r>
    </w:p>
    <w:p w14:paraId="68F80A5D" w14:textId="37A1C40B" w:rsidR="0061282C" w:rsidRPr="00DA5EB5" w:rsidRDefault="00FF4C35" w:rsidP="00FD065D">
      <w:pPr>
        <w:rPr>
          <w:kern w:val="2"/>
          <w:sz w:val="20"/>
        </w:rPr>
      </w:pPr>
      <w:r w:rsidRPr="00DA5EB5">
        <w:rPr>
          <w:color w:val="000000" w:themeColor="text1"/>
          <w:kern w:val="2"/>
          <w:sz w:val="20"/>
        </w:rPr>
        <w:t>As of June 30, 2015, the World Bank has debarred or otherwise sanctioned over 700 firms and individuals.</w:t>
      </w:r>
      <w:r w:rsidRPr="00DA5EB5">
        <w:rPr>
          <w:rStyle w:val="FootnoteReference"/>
          <w:color w:val="000000" w:themeColor="text1"/>
          <w:kern w:val="2"/>
          <w:sz w:val="18"/>
        </w:rPr>
        <w:footnoteReference w:id="153"/>
      </w:r>
      <w:r w:rsidRPr="00DA5EB5">
        <w:rPr>
          <w:color w:val="000000" w:themeColor="text1"/>
          <w:kern w:val="2"/>
          <w:sz w:val="20"/>
        </w:rPr>
        <w:t xml:space="preserve"> </w:t>
      </w:r>
      <w:r w:rsidR="0061282C" w:rsidRPr="00DA5EB5">
        <w:rPr>
          <w:kern w:val="2"/>
          <w:sz w:val="20"/>
        </w:rPr>
        <w:t>The World Bank Sanctions Board considers the totality of the circumstances and all the potential aggravating and mitigating factors to determine an appropriate sanction</w:t>
      </w:r>
      <w:r w:rsidR="00556B66" w:rsidRPr="00DA5EB5">
        <w:rPr>
          <w:kern w:val="2"/>
          <w:sz w:val="20"/>
        </w:rPr>
        <w:t>.</w:t>
      </w:r>
      <w:r w:rsidR="0061282C" w:rsidRPr="00DA5EB5">
        <w:rPr>
          <w:rStyle w:val="FootnoteReference"/>
          <w:kern w:val="2"/>
        </w:rPr>
        <w:footnoteReference w:id="154"/>
      </w:r>
      <w:r w:rsidR="0061282C" w:rsidRPr="00DA5EB5">
        <w:rPr>
          <w:kern w:val="2"/>
          <w:sz w:val="20"/>
        </w:rPr>
        <w:t xml:space="preserve"> The following excerpt is from the World Bank Sanctioning Procedures:</w:t>
      </w:r>
    </w:p>
    <w:tbl>
      <w:tblPr>
        <w:tblStyle w:val="TableGrid"/>
        <w:tblW w:w="0" w:type="auto"/>
        <w:jc w:val="center"/>
        <w:tblCellMar>
          <w:top w:w="284" w:type="dxa"/>
          <w:left w:w="284" w:type="dxa"/>
          <w:bottom w:w="284" w:type="dxa"/>
          <w:right w:w="284" w:type="dxa"/>
        </w:tblCellMar>
        <w:tblLook w:val="04A0" w:firstRow="1" w:lastRow="0" w:firstColumn="1" w:lastColumn="0" w:noHBand="0" w:noVBand="1"/>
      </w:tblPr>
      <w:tblGrid>
        <w:gridCol w:w="8080"/>
      </w:tblGrid>
      <w:tr w:rsidR="004A0ACE" w:rsidRPr="00DA5EB5" w14:paraId="2B5FD4EB" w14:textId="77777777" w:rsidTr="00ED2912">
        <w:trPr>
          <w:jc w:val="center"/>
        </w:trPr>
        <w:tc>
          <w:tcPr>
            <w:tcW w:w="9606" w:type="dxa"/>
            <w:tcBorders>
              <w:top w:val="nil"/>
              <w:left w:val="nil"/>
              <w:bottom w:val="nil"/>
              <w:right w:val="nil"/>
            </w:tcBorders>
            <w:shd w:val="clear" w:color="auto" w:fill="D9D9D9" w:themeFill="background1" w:themeFillShade="D9"/>
          </w:tcPr>
          <w:p w14:paraId="1B65AF7B" w14:textId="36178C2C" w:rsidR="004A0ACE" w:rsidRPr="00DA5EB5" w:rsidRDefault="004A0ACE" w:rsidP="00ED2912">
            <w:pPr>
              <w:pStyle w:val="ExcerptMarker"/>
              <w:spacing w:before="0"/>
              <w:rPr>
                <w:kern w:val="2"/>
                <w:sz w:val="16"/>
              </w:rPr>
            </w:pPr>
            <w:r w:rsidRPr="00DA5EB5">
              <w:rPr>
                <w:kern w:val="2"/>
                <w:sz w:val="16"/>
              </w:rPr>
              <w:t>Beginning of Excerpt</w:t>
            </w:r>
          </w:p>
          <w:p w14:paraId="3DADD294" w14:textId="77777777" w:rsidR="004A0ACE" w:rsidRPr="00DA5EB5" w:rsidRDefault="004A0ACE" w:rsidP="00ED2912">
            <w:pPr>
              <w:spacing w:after="120"/>
              <w:rPr>
                <w:b/>
                <w:smallCaps/>
                <w:kern w:val="2"/>
                <w:sz w:val="20"/>
              </w:rPr>
            </w:pPr>
            <w:r w:rsidRPr="00DA5EB5">
              <w:rPr>
                <w:b/>
                <w:smallCaps/>
                <w:kern w:val="2"/>
                <w:sz w:val="20"/>
              </w:rPr>
              <w:t>Article IX</w:t>
            </w:r>
          </w:p>
          <w:p w14:paraId="50745BCB" w14:textId="0CD9964E" w:rsidR="004A0ACE" w:rsidRPr="00DA5EB5" w:rsidRDefault="00AC5046" w:rsidP="00ED2912">
            <w:pPr>
              <w:rPr>
                <w:b/>
                <w:smallCaps/>
                <w:kern w:val="2"/>
                <w:sz w:val="20"/>
              </w:rPr>
            </w:pPr>
            <w:r w:rsidRPr="00DA5EB5">
              <w:rPr>
                <w:b/>
                <w:smallCaps/>
                <w:kern w:val="2"/>
                <w:sz w:val="20"/>
              </w:rPr>
              <w:t>Sanctions</w:t>
            </w:r>
          </w:p>
          <w:p w14:paraId="1267E569" w14:textId="36D8B407" w:rsidR="00AC5046" w:rsidRPr="00DA5EB5" w:rsidRDefault="00AC5046" w:rsidP="00ED2912">
            <w:pPr>
              <w:rPr>
                <w:b/>
                <w:kern w:val="2"/>
                <w:sz w:val="20"/>
              </w:rPr>
            </w:pPr>
            <w:r w:rsidRPr="00DA5EB5">
              <w:rPr>
                <w:b/>
                <w:kern w:val="2"/>
                <w:sz w:val="20"/>
              </w:rPr>
              <w:t>Section 9.01. Range of Possible Sanctions</w:t>
            </w:r>
          </w:p>
          <w:p w14:paraId="1AF26765" w14:textId="6EB8C8E4" w:rsidR="004A0ACE" w:rsidRPr="00DA5EB5" w:rsidRDefault="004A0ACE" w:rsidP="00ED2912">
            <w:pPr>
              <w:pStyle w:val="ListParagraph"/>
              <w:numPr>
                <w:ilvl w:val="0"/>
                <w:numId w:val="54"/>
              </w:numPr>
              <w:autoSpaceDE w:val="0"/>
              <w:autoSpaceDN w:val="0"/>
              <w:adjustRightInd w:val="0"/>
              <w:spacing w:after="120"/>
              <w:rPr>
                <w:color w:val="000000"/>
                <w:kern w:val="2"/>
                <w:sz w:val="20"/>
                <w:szCs w:val="21"/>
              </w:rPr>
            </w:pPr>
            <w:r w:rsidRPr="00DA5EB5">
              <w:rPr>
                <w:b/>
                <w:bCs/>
                <w:i/>
                <w:iCs/>
                <w:color w:val="000000"/>
                <w:kern w:val="2"/>
                <w:sz w:val="20"/>
                <w:szCs w:val="21"/>
              </w:rPr>
              <w:t>Reprimand</w:t>
            </w:r>
            <w:r w:rsidRPr="00DA5EB5">
              <w:rPr>
                <w:b/>
                <w:bCs/>
                <w:color w:val="000000"/>
                <w:kern w:val="2"/>
                <w:sz w:val="20"/>
                <w:szCs w:val="21"/>
              </w:rPr>
              <w:t xml:space="preserve">. </w:t>
            </w:r>
            <w:r w:rsidRPr="00DA5EB5">
              <w:rPr>
                <w:color w:val="000000"/>
                <w:kern w:val="2"/>
                <w:sz w:val="20"/>
                <w:szCs w:val="21"/>
              </w:rPr>
              <w:t xml:space="preserve">The Respondent is reprimanded in the form of a formal </w:t>
            </w:r>
            <w:r w:rsidR="00FD6DAC" w:rsidRPr="00DA5EB5">
              <w:rPr>
                <w:color w:val="000000"/>
                <w:kern w:val="2"/>
                <w:sz w:val="20"/>
                <w:szCs w:val="21"/>
              </w:rPr>
              <w:t>“</w:t>
            </w:r>
            <w:r w:rsidRPr="00DA5EB5">
              <w:rPr>
                <w:color w:val="000000"/>
                <w:kern w:val="2"/>
                <w:sz w:val="20"/>
                <w:szCs w:val="21"/>
              </w:rPr>
              <w:t>Letter of Reprimand</w:t>
            </w:r>
            <w:r w:rsidR="00FD6DAC" w:rsidRPr="00DA5EB5">
              <w:rPr>
                <w:color w:val="000000"/>
                <w:kern w:val="2"/>
                <w:sz w:val="20"/>
                <w:szCs w:val="21"/>
              </w:rPr>
              <w:t>”</w:t>
            </w:r>
            <w:r w:rsidRPr="00DA5EB5">
              <w:rPr>
                <w:color w:val="000000"/>
                <w:kern w:val="2"/>
                <w:sz w:val="20"/>
                <w:szCs w:val="21"/>
              </w:rPr>
              <w:t xml:space="preserve"> of the Respondent’s conduct. </w:t>
            </w:r>
          </w:p>
          <w:p w14:paraId="60754FB4" w14:textId="575E2E65" w:rsidR="004A0ACE" w:rsidRPr="00DA5EB5" w:rsidRDefault="004A0ACE" w:rsidP="00ED2912">
            <w:pPr>
              <w:pStyle w:val="Default"/>
              <w:numPr>
                <w:ilvl w:val="0"/>
                <w:numId w:val="54"/>
              </w:numPr>
              <w:spacing w:after="120"/>
              <w:rPr>
                <w:rFonts w:ascii="Palatino Linotype" w:hAnsi="Palatino Linotype" w:cs="Times New Roman"/>
                <w:kern w:val="2"/>
                <w:sz w:val="20"/>
                <w:szCs w:val="21"/>
              </w:rPr>
            </w:pPr>
            <w:r w:rsidRPr="00DA5EB5">
              <w:rPr>
                <w:rFonts w:ascii="Palatino Linotype" w:hAnsi="Palatino Linotype" w:cs="Times New Roman"/>
                <w:b/>
                <w:bCs/>
                <w:i/>
                <w:iCs/>
                <w:kern w:val="2"/>
                <w:sz w:val="20"/>
                <w:szCs w:val="21"/>
              </w:rPr>
              <w:t>Conditional Non-Debarment</w:t>
            </w:r>
            <w:r w:rsidRPr="00DA5EB5">
              <w:rPr>
                <w:rFonts w:ascii="Palatino Linotype" w:hAnsi="Palatino Linotype" w:cs="Times New Roman"/>
                <w:b/>
                <w:bCs/>
                <w:kern w:val="2"/>
                <w:sz w:val="20"/>
                <w:szCs w:val="21"/>
              </w:rPr>
              <w:t xml:space="preserve">. </w:t>
            </w:r>
            <w:r w:rsidRPr="00DA5EB5">
              <w:rPr>
                <w:rFonts w:ascii="Palatino Linotype" w:hAnsi="Palatino Linotype" w:cs="Times New Roman"/>
                <w:kern w:val="2"/>
                <w:sz w:val="20"/>
                <w:szCs w:val="21"/>
              </w:rPr>
              <w:t xml:space="preserve">The Respondent is required to comply with certain remedial, preventative or other conditions as a condition to avoid debarment from World Bank Group projects. Conditions may include (but are not limited to) verifiable actions taken to improve business governance, including the introduction, improvement and/or implementation of corporate compliance or ethics programs, restitution or disciplinary action against or reassignment of employees. </w:t>
            </w:r>
          </w:p>
          <w:p w14:paraId="0F7F8735" w14:textId="5326BB39" w:rsidR="004A0ACE" w:rsidRPr="00DA5EB5" w:rsidRDefault="004A0ACE" w:rsidP="00ED2912">
            <w:pPr>
              <w:pStyle w:val="ListParagraph"/>
              <w:numPr>
                <w:ilvl w:val="0"/>
                <w:numId w:val="54"/>
              </w:numPr>
              <w:autoSpaceDE w:val="0"/>
              <w:autoSpaceDN w:val="0"/>
              <w:adjustRightInd w:val="0"/>
              <w:spacing w:after="60"/>
              <w:rPr>
                <w:color w:val="000000"/>
                <w:kern w:val="2"/>
                <w:sz w:val="20"/>
                <w:szCs w:val="21"/>
              </w:rPr>
            </w:pPr>
            <w:r w:rsidRPr="00DA5EB5">
              <w:rPr>
                <w:b/>
                <w:bCs/>
                <w:i/>
                <w:iCs/>
                <w:color w:val="000000"/>
                <w:kern w:val="2"/>
                <w:sz w:val="20"/>
                <w:szCs w:val="21"/>
              </w:rPr>
              <w:t>Debarment</w:t>
            </w:r>
            <w:r w:rsidRPr="00DA5EB5">
              <w:rPr>
                <w:b/>
                <w:bCs/>
                <w:color w:val="000000"/>
                <w:kern w:val="2"/>
                <w:sz w:val="20"/>
                <w:szCs w:val="21"/>
              </w:rPr>
              <w:t xml:space="preserve">. </w:t>
            </w:r>
            <w:r w:rsidRPr="00DA5EB5">
              <w:rPr>
                <w:color w:val="000000"/>
                <w:kern w:val="2"/>
                <w:sz w:val="20"/>
                <w:szCs w:val="21"/>
              </w:rPr>
              <w:t xml:space="preserve">The Respondent is subject to one or both of the following forms of ineligibility: </w:t>
            </w:r>
          </w:p>
          <w:p w14:paraId="2A72B56D" w14:textId="122F210B" w:rsidR="004A0ACE" w:rsidRPr="00DA5EB5" w:rsidRDefault="004A0ACE" w:rsidP="00ED2912">
            <w:pPr>
              <w:pStyle w:val="ListParagraph"/>
              <w:numPr>
                <w:ilvl w:val="0"/>
                <w:numId w:val="55"/>
              </w:numPr>
              <w:autoSpaceDE w:val="0"/>
              <w:autoSpaceDN w:val="0"/>
              <w:adjustRightInd w:val="0"/>
              <w:spacing w:after="60"/>
              <w:rPr>
                <w:color w:val="000000"/>
                <w:kern w:val="2"/>
                <w:sz w:val="20"/>
                <w:szCs w:val="21"/>
              </w:rPr>
            </w:pPr>
            <w:r w:rsidRPr="00DA5EB5">
              <w:rPr>
                <w:color w:val="000000"/>
                <w:kern w:val="2"/>
                <w:sz w:val="20"/>
                <w:szCs w:val="21"/>
              </w:rPr>
              <w:t xml:space="preserve">For cases subject to the Bank’s Anti-Corruption, Procurement or Consultant Guidelines, the Respondent is declared ineligible, either indefinitely or for a stated period of time, (x) to be awarded a contract subject to such Guidelines for any Bank Project; (y) to be a nominated14sub-contractor, consultant, manufacturer or supplier, or service provider of an otherwise eligible firm being awarded a Bank-financed contract; and (z) to receive the proceeds of any loan made by the Bank or otherwise to participate further in the preparation or implementation of any Bank Project; and </w:t>
            </w:r>
          </w:p>
          <w:p w14:paraId="0DA6E0C8" w14:textId="4DB415D3" w:rsidR="004A0ACE" w:rsidRPr="00DA5EB5" w:rsidRDefault="004A0ACE" w:rsidP="00ED2912">
            <w:pPr>
              <w:pStyle w:val="ListParagraph"/>
              <w:numPr>
                <w:ilvl w:val="0"/>
                <w:numId w:val="55"/>
              </w:numPr>
              <w:rPr>
                <w:color w:val="000000"/>
                <w:kern w:val="2"/>
                <w:sz w:val="20"/>
                <w:szCs w:val="21"/>
              </w:rPr>
            </w:pPr>
            <w:r w:rsidRPr="00DA5EB5">
              <w:rPr>
                <w:color w:val="000000"/>
                <w:kern w:val="2"/>
                <w:sz w:val="20"/>
                <w:szCs w:val="21"/>
              </w:rPr>
              <w:t>For cases involving the violation of a Material Term of the VDP Terms &amp; Conditions, where the only applicable sanction shall be a ten (10)-year debarment, the Respondent shall be debarred for a period of ten (10) years, pursuant to sub-paragraph (</w:t>
            </w:r>
            <w:proofErr w:type="spellStart"/>
            <w:r w:rsidRPr="00DA5EB5">
              <w:rPr>
                <w:color w:val="000000"/>
                <w:kern w:val="2"/>
                <w:sz w:val="20"/>
                <w:szCs w:val="21"/>
              </w:rPr>
              <w:t>i</w:t>
            </w:r>
            <w:proofErr w:type="spellEnd"/>
            <w:r w:rsidRPr="00DA5EB5">
              <w:rPr>
                <w:color w:val="000000"/>
                <w:kern w:val="2"/>
                <w:sz w:val="20"/>
                <w:szCs w:val="21"/>
              </w:rPr>
              <w:t>) above, as the Evaluation Officer or Sanctions Board, as the case may be, deems appropriate under the circumstances.</w:t>
            </w:r>
          </w:p>
          <w:p w14:paraId="560A0563" w14:textId="77777777" w:rsidR="004A0ACE" w:rsidRPr="00DA5EB5" w:rsidRDefault="004A0ACE" w:rsidP="00ED2912">
            <w:pPr>
              <w:autoSpaceDE w:val="0"/>
              <w:autoSpaceDN w:val="0"/>
              <w:adjustRightInd w:val="0"/>
              <w:spacing w:before="60" w:after="0"/>
              <w:ind w:left="720"/>
              <w:jc w:val="left"/>
              <w:rPr>
                <w:color w:val="000000"/>
                <w:kern w:val="2"/>
                <w:sz w:val="20"/>
                <w:szCs w:val="21"/>
              </w:rPr>
            </w:pPr>
            <w:r w:rsidRPr="00DA5EB5">
              <w:rPr>
                <w:color w:val="000000"/>
                <w:kern w:val="2"/>
                <w:sz w:val="20"/>
                <w:szCs w:val="21"/>
              </w:rPr>
              <w:t xml:space="preserve">The ineligibility resulting from debarment shall extend across the operations of the World Bank Group. Debarment arising out of an IFC, MIGA or Bank Guarantee Project shall also render the Respondent ineligible to be awarded a contract for a Bank Project or to receive the proceeds of any loan made by the Bank or otherwise to participate further in the preparation or implementation of any Bank Project. </w:t>
            </w:r>
          </w:p>
          <w:p w14:paraId="597D91A9" w14:textId="10B61F6A" w:rsidR="004A0ACE" w:rsidRPr="00DA5EB5" w:rsidRDefault="004A0ACE" w:rsidP="00ED2912">
            <w:pPr>
              <w:pStyle w:val="Default"/>
              <w:numPr>
                <w:ilvl w:val="0"/>
                <w:numId w:val="54"/>
              </w:numPr>
              <w:spacing w:before="60"/>
              <w:rPr>
                <w:rFonts w:ascii="Palatino Linotype" w:hAnsi="Palatino Linotype" w:cs="Times New Roman"/>
                <w:kern w:val="2"/>
                <w:sz w:val="20"/>
                <w:szCs w:val="21"/>
              </w:rPr>
            </w:pPr>
            <w:r w:rsidRPr="00DA5EB5">
              <w:rPr>
                <w:rFonts w:ascii="Palatino Linotype" w:hAnsi="Palatino Linotype" w:cs="Times New Roman"/>
                <w:b/>
                <w:bCs/>
                <w:i/>
                <w:iCs/>
                <w:kern w:val="2"/>
                <w:sz w:val="20"/>
                <w:szCs w:val="21"/>
              </w:rPr>
              <w:t>Debarment with Conditional Release</w:t>
            </w:r>
            <w:r w:rsidRPr="00DA5EB5">
              <w:rPr>
                <w:rFonts w:ascii="Palatino Linotype" w:hAnsi="Palatino Linotype" w:cs="Times New Roman"/>
                <w:b/>
                <w:bCs/>
                <w:kern w:val="2"/>
                <w:sz w:val="20"/>
                <w:szCs w:val="21"/>
              </w:rPr>
              <w:t xml:space="preserve">. </w:t>
            </w:r>
            <w:r w:rsidRPr="00DA5EB5">
              <w:rPr>
                <w:rFonts w:ascii="Palatino Linotype" w:hAnsi="Palatino Linotype" w:cs="Times New Roman"/>
                <w:kern w:val="2"/>
                <w:sz w:val="20"/>
                <w:szCs w:val="21"/>
              </w:rPr>
              <w:t xml:space="preserve">The Respondent is subject to one or more of the forms of ineligibility outlined in Section 9.01(c) and is released from debarment only if the Respondent demonstrates compliance with certain remedial, preventative or other conditions for release, after a minimum period of debarment. Conditions may include (but are not limited to) verifiable actions taken to improve business governance, including the introduction, improvement and/or implementation of corporate compliance or ethics programs, restitution or disciplinary action against or reassignment of employees. Debarment with conditional release shall also result in extension cross the operations of the World Bank Group as outlined in Section 9.01(c). </w:t>
            </w:r>
          </w:p>
          <w:p w14:paraId="4149F369" w14:textId="4669AD8C" w:rsidR="004A0ACE" w:rsidRPr="00DA5EB5" w:rsidRDefault="004A0ACE" w:rsidP="00ED2912">
            <w:pPr>
              <w:pStyle w:val="ListParagraph"/>
              <w:numPr>
                <w:ilvl w:val="0"/>
                <w:numId w:val="54"/>
              </w:numPr>
              <w:rPr>
                <w:kern w:val="2"/>
                <w:sz w:val="20"/>
                <w:szCs w:val="21"/>
              </w:rPr>
            </w:pPr>
            <w:r w:rsidRPr="00DA5EB5">
              <w:rPr>
                <w:b/>
                <w:bCs/>
                <w:i/>
                <w:iCs/>
                <w:color w:val="000000"/>
                <w:kern w:val="2"/>
                <w:sz w:val="20"/>
                <w:szCs w:val="21"/>
              </w:rPr>
              <w:t>Restitution or Remedy</w:t>
            </w:r>
            <w:r w:rsidRPr="00DA5EB5">
              <w:rPr>
                <w:b/>
                <w:bCs/>
                <w:color w:val="000000"/>
                <w:kern w:val="2"/>
                <w:sz w:val="20"/>
                <w:szCs w:val="21"/>
              </w:rPr>
              <w:t xml:space="preserve">. </w:t>
            </w:r>
            <w:r w:rsidRPr="00DA5EB5">
              <w:rPr>
                <w:color w:val="000000"/>
                <w:kern w:val="2"/>
                <w:sz w:val="20"/>
                <w:szCs w:val="21"/>
              </w:rPr>
              <w:t>The Respondent is required to make restitution to the Borrower or to any other party or take actions to remedy the harm done by its misconduct.</w:t>
            </w:r>
          </w:p>
          <w:p w14:paraId="4D0BD604" w14:textId="456B1B0E" w:rsidR="004A0ACE" w:rsidRPr="00DA5EB5" w:rsidRDefault="004A0ACE" w:rsidP="00ED2912">
            <w:pPr>
              <w:rPr>
                <w:b/>
                <w:kern w:val="2"/>
                <w:sz w:val="20"/>
              </w:rPr>
            </w:pPr>
            <w:r w:rsidRPr="00DA5EB5">
              <w:rPr>
                <w:b/>
                <w:kern w:val="2"/>
                <w:sz w:val="20"/>
              </w:rPr>
              <w:t>S</w:t>
            </w:r>
            <w:r w:rsidR="00AC5046" w:rsidRPr="00DA5EB5">
              <w:rPr>
                <w:b/>
                <w:kern w:val="2"/>
                <w:sz w:val="20"/>
              </w:rPr>
              <w:t xml:space="preserve">ection 9.02. </w:t>
            </w:r>
            <w:r w:rsidRPr="00DA5EB5">
              <w:rPr>
                <w:b/>
                <w:kern w:val="2"/>
                <w:sz w:val="20"/>
              </w:rPr>
              <w:t>Factors Affecting the Sanction Decision</w:t>
            </w:r>
            <w:r w:rsidR="00E87776" w:rsidRPr="00DA5EB5">
              <w:rPr>
                <w:b/>
                <w:kern w:val="2"/>
                <w:sz w:val="20"/>
              </w:rPr>
              <w:t xml:space="preserve"> </w:t>
            </w:r>
          </w:p>
          <w:p w14:paraId="7D57C19C" w14:textId="77777777" w:rsidR="00311B36" w:rsidRPr="00DA5EB5" w:rsidRDefault="004A0ACE" w:rsidP="00ED2912">
            <w:pPr>
              <w:jc w:val="left"/>
              <w:rPr>
                <w:kern w:val="2"/>
                <w:sz w:val="20"/>
              </w:rPr>
            </w:pPr>
            <w:r w:rsidRPr="00DA5EB5">
              <w:rPr>
                <w:kern w:val="2"/>
                <w:sz w:val="20"/>
              </w:rPr>
              <w:t>Except for cases involving violation of a Material Term of the VDP Terms &amp; Conditions for which there is a mandatory ten (10)-year debarment, the Evaluation Officer or Sanctions Board, as the case may be, shall consider the following factors in determ</w:t>
            </w:r>
            <w:r w:rsidR="00311B36" w:rsidRPr="00DA5EB5">
              <w:rPr>
                <w:kern w:val="2"/>
                <w:sz w:val="20"/>
              </w:rPr>
              <w:t xml:space="preserve">ining an appropriate sanction: </w:t>
            </w:r>
          </w:p>
          <w:p w14:paraId="52BAA2E7" w14:textId="2AAB6D18" w:rsidR="004A0ACE" w:rsidRPr="00DA5EB5" w:rsidRDefault="004A0ACE" w:rsidP="00ED2912">
            <w:pPr>
              <w:pStyle w:val="ListParagraph"/>
              <w:numPr>
                <w:ilvl w:val="0"/>
                <w:numId w:val="56"/>
              </w:numPr>
              <w:rPr>
                <w:color w:val="000000"/>
                <w:kern w:val="2"/>
                <w:sz w:val="20"/>
                <w:szCs w:val="21"/>
              </w:rPr>
            </w:pPr>
            <w:r w:rsidRPr="00DA5EB5">
              <w:rPr>
                <w:kern w:val="2"/>
                <w:sz w:val="20"/>
                <w:szCs w:val="21"/>
              </w:rPr>
              <w:t xml:space="preserve">the severity of the misconduct; </w:t>
            </w:r>
          </w:p>
          <w:p w14:paraId="5D0849AA" w14:textId="667367B7" w:rsidR="004A0ACE" w:rsidRPr="00DA5EB5" w:rsidRDefault="004A0ACE" w:rsidP="00ED2912">
            <w:pPr>
              <w:pStyle w:val="ListParagraph"/>
              <w:numPr>
                <w:ilvl w:val="0"/>
                <w:numId w:val="56"/>
              </w:numPr>
              <w:rPr>
                <w:kern w:val="2"/>
                <w:sz w:val="20"/>
                <w:szCs w:val="21"/>
              </w:rPr>
            </w:pPr>
            <w:r w:rsidRPr="00DA5EB5">
              <w:rPr>
                <w:kern w:val="2"/>
                <w:sz w:val="20"/>
                <w:szCs w:val="21"/>
              </w:rPr>
              <w:t xml:space="preserve">the magnitude of the harm caused by the misconduct; </w:t>
            </w:r>
          </w:p>
          <w:p w14:paraId="21FEDF1E" w14:textId="1CD299D6" w:rsidR="004A0ACE" w:rsidRPr="00DA5EB5" w:rsidRDefault="004A0ACE" w:rsidP="00ED2912">
            <w:pPr>
              <w:pStyle w:val="ListParagraph"/>
              <w:numPr>
                <w:ilvl w:val="0"/>
                <w:numId w:val="56"/>
              </w:numPr>
              <w:rPr>
                <w:kern w:val="2"/>
                <w:sz w:val="20"/>
                <w:szCs w:val="21"/>
              </w:rPr>
            </w:pPr>
            <w:r w:rsidRPr="00DA5EB5">
              <w:rPr>
                <w:kern w:val="2"/>
                <w:sz w:val="20"/>
                <w:szCs w:val="21"/>
              </w:rPr>
              <w:t xml:space="preserve">interference by the sanctioned party in the Bank’s investigation; </w:t>
            </w:r>
          </w:p>
          <w:p w14:paraId="49C24C01" w14:textId="46D4F36E" w:rsidR="004A0ACE" w:rsidRPr="00DA5EB5" w:rsidRDefault="004A0ACE" w:rsidP="00ED2912">
            <w:pPr>
              <w:pStyle w:val="ListParagraph"/>
              <w:numPr>
                <w:ilvl w:val="0"/>
                <w:numId w:val="56"/>
              </w:numPr>
              <w:rPr>
                <w:kern w:val="2"/>
                <w:sz w:val="20"/>
                <w:szCs w:val="21"/>
              </w:rPr>
            </w:pPr>
            <w:r w:rsidRPr="00DA5EB5">
              <w:rPr>
                <w:kern w:val="2"/>
                <w:sz w:val="20"/>
                <w:szCs w:val="21"/>
              </w:rPr>
              <w:t xml:space="preserve">the sanctioned party’s past history of misconduct as adjudicated by the Bank Group or by another multilateral development bank in cases governed by Article XII; </w:t>
            </w:r>
          </w:p>
          <w:p w14:paraId="3DEA8E7E" w14:textId="61C7B8E0" w:rsidR="004A0ACE" w:rsidRPr="00DA5EB5" w:rsidRDefault="004A0ACE" w:rsidP="00ED2912">
            <w:pPr>
              <w:pStyle w:val="ListParagraph"/>
              <w:numPr>
                <w:ilvl w:val="0"/>
                <w:numId w:val="56"/>
              </w:numPr>
              <w:rPr>
                <w:kern w:val="2"/>
                <w:sz w:val="20"/>
                <w:szCs w:val="21"/>
              </w:rPr>
            </w:pPr>
            <w:r w:rsidRPr="00DA5EB5">
              <w:rPr>
                <w:kern w:val="2"/>
                <w:sz w:val="20"/>
                <w:szCs w:val="21"/>
              </w:rPr>
              <w:t xml:space="preserve">mitigating circumstances, including where the sanctioned party played a minor role in the misconduct, took voluntary corrective action or cooperated in the investigation or resolution of the case, including through settlement under Article XI; </w:t>
            </w:r>
          </w:p>
          <w:p w14:paraId="30C2A3ED" w14:textId="77777777" w:rsidR="00311B36" w:rsidRPr="00DA5EB5" w:rsidRDefault="004A0ACE" w:rsidP="00ED2912">
            <w:pPr>
              <w:pStyle w:val="ListParagraph"/>
              <w:numPr>
                <w:ilvl w:val="0"/>
                <w:numId w:val="56"/>
              </w:numPr>
              <w:rPr>
                <w:kern w:val="2"/>
                <w:sz w:val="20"/>
                <w:szCs w:val="21"/>
              </w:rPr>
            </w:pPr>
            <w:r w:rsidRPr="00DA5EB5">
              <w:rPr>
                <w:kern w:val="2"/>
                <w:sz w:val="20"/>
                <w:szCs w:val="21"/>
              </w:rPr>
              <w:t>breach of the confidentiality of the sanctions proceedings as</w:t>
            </w:r>
            <w:r w:rsidR="00311B36" w:rsidRPr="00DA5EB5">
              <w:rPr>
                <w:kern w:val="2"/>
                <w:sz w:val="20"/>
                <w:szCs w:val="21"/>
              </w:rPr>
              <w:t xml:space="preserve"> provided for in Section 13.06;</w:t>
            </w:r>
          </w:p>
          <w:p w14:paraId="6A69403A" w14:textId="5C75DD96" w:rsidR="004A0ACE" w:rsidRPr="00DA5EB5" w:rsidRDefault="004A0ACE" w:rsidP="00ED2912">
            <w:pPr>
              <w:pStyle w:val="ListParagraph"/>
              <w:numPr>
                <w:ilvl w:val="0"/>
                <w:numId w:val="56"/>
              </w:numPr>
              <w:rPr>
                <w:kern w:val="2"/>
                <w:sz w:val="20"/>
                <w:szCs w:val="21"/>
              </w:rPr>
            </w:pPr>
            <w:r w:rsidRPr="00DA5EB5">
              <w:rPr>
                <w:kern w:val="2"/>
                <w:sz w:val="20"/>
                <w:szCs w:val="21"/>
              </w:rPr>
              <w:t>in cases brought under Section 1.01(c)(ii) following a determination of non-responsibility, the period of ineligibility decided by the Director, GSD;</w:t>
            </w:r>
          </w:p>
          <w:p w14:paraId="62D1E3B5" w14:textId="0FFA50AD" w:rsidR="004A0ACE" w:rsidRPr="00DA5EB5" w:rsidRDefault="004A0ACE" w:rsidP="00ED2912">
            <w:pPr>
              <w:pStyle w:val="ListParagraph"/>
              <w:numPr>
                <w:ilvl w:val="0"/>
                <w:numId w:val="56"/>
              </w:numPr>
              <w:rPr>
                <w:kern w:val="2"/>
                <w:sz w:val="20"/>
                <w:szCs w:val="21"/>
              </w:rPr>
            </w:pPr>
            <w:proofErr w:type="gramStart"/>
            <w:r w:rsidRPr="00DA5EB5">
              <w:rPr>
                <w:kern w:val="2"/>
                <w:sz w:val="20"/>
                <w:szCs w:val="21"/>
              </w:rPr>
              <w:t>the</w:t>
            </w:r>
            <w:proofErr w:type="gramEnd"/>
            <w:r w:rsidRPr="00DA5EB5">
              <w:rPr>
                <w:kern w:val="2"/>
                <w:sz w:val="20"/>
                <w:szCs w:val="21"/>
              </w:rPr>
              <w:t xml:space="preserve"> period of temporary suspension already served by the sanctioned party; and </w:t>
            </w:r>
            <w:r w:rsidRPr="00DA5EB5">
              <w:rPr>
                <w:kern w:val="2"/>
                <w:sz w:val="20"/>
                <w:szCs w:val="21"/>
              </w:rPr>
              <w:br/>
              <w:t xml:space="preserve">any other factor that the Evaluation Officer or Sanctions Board, as the case may be, reasonably deems relevant to the sanctioned party’s culpability or responsibility in relation to the </w:t>
            </w:r>
            <w:proofErr w:type="spellStart"/>
            <w:r w:rsidRPr="00DA5EB5">
              <w:rPr>
                <w:kern w:val="2"/>
                <w:sz w:val="20"/>
                <w:szCs w:val="21"/>
              </w:rPr>
              <w:t>Sanctionable</w:t>
            </w:r>
            <w:proofErr w:type="spellEnd"/>
            <w:r w:rsidRPr="00DA5EB5">
              <w:rPr>
                <w:kern w:val="2"/>
                <w:sz w:val="20"/>
                <w:szCs w:val="21"/>
              </w:rPr>
              <w:t xml:space="preserve"> Practice.</w:t>
            </w:r>
            <w:r w:rsidR="001D3E41" w:rsidRPr="00DA5EB5">
              <w:rPr>
                <w:rStyle w:val="FootnoteReference"/>
                <w:kern w:val="2"/>
                <w:sz w:val="18"/>
              </w:rPr>
              <w:footnoteReference w:id="155"/>
            </w:r>
          </w:p>
          <w:p w14:paraId="4D17F6B1" w14:textId="553CCCA0" w:rsidR="004A0ACE" w:rsidRPr="00DA5EB5" w:rsidRDefault="004A0ACE" w:rsidP="009B436B">
            <w:pPr>
              <w:pStyle w:val="ExcerptMarker"/>
              <w:spacing w:before="240" w:after="0"/>
              <w:rPr>
                <w:kern w:val="2"/>
                <w:sz w:val="16"/>
              </w:rPr>
            </w:pPr>
            <w:r w:rsidRPr="00DA5EB5">
              <w:rPr>
                <w:kern w:val="2"/>
                <w:sz w:val="16"/>
              </w:rPr>
              <w:t>End of Excerpt</w:t>
            </w:r>
          </w:p>
        </w:tc>
      </w:tr>
    </w:tbl>
    <w:p w14:paraId="026C6244" w14:textId="26A3396F" w:rsidR="001A0084" w:rsidRPr="00DA5EB5" w:rsidRDefault="001A0084" w:rsidP="007C3517">
      <w:pPr>
        <w:rPr>
          <w:kern w:val="2"/>
          <w:sz w:val="20"/>
        </w:rPr>
      </w:pPr>
      <w:r w:rsidRPr="00DA5EB5">
        <w:rPr>
          <w:kern w:val="2"/>
          <w:sz w:val="20"/>
        </w:rPr>
        <w:t xml:space="preserve">In light of the gravity of the consequences of </w:t>
      </w:r>
      <w:r w:rsidR="004564EA" w:rsidRPr="00DA5EB5">
        <w:rPr>
          <w:kern w:val="2"/>
          <w:sz w:val="20"/>
        </w:rPr>
        <w:t xml:space="preserve">a </w:t>
      </w:r>
      <w:r w:rsidRPr="00DA5EB5">
        <w:rPr>
          <w:kern w:val="2"/>
          <w:sz w:val="20"/>
        </w:rPr>
        <w:t>World Bank debarment, some lawyers, particular</w:t>
      </w:r>
      <w:r w:rsidR="00FC5F88" w:rsidRPr="00DA5EB5">
        <w:rPr>
          <w:kern w:val="2"/>
          <w:sz w:val="20"/>
        </w:rPr>
        <w:t>ly</w:t>
      </w:r>
      <w:r w:rsidRPr="00DA5EB5">
        <w:rPr>
          <w:kern w:val="2"/>
          <w:sz w:val="20"/>
        </w:rPr>
        <w:t xml:space="preserve"> defence lawyers</w:t>
      </w:r>
      <w:r w:rsidR="004564EA" w:rsidRPr="00DA5EB5">
        <w:rPr>
          <w:kern w:val="2"/>
          <w:sz w:val="20"/>
        </w:rPr>
        <w:t xml:space="preserve"> in the US, are wary of the fact that</w:t>
      </w:r>
      <w:r w:rsidRPr="00DA5EB5">
        <w:rPr>
          <w:kern w:val="2"/>
          <w:sz w:val="20"/>
        </w:rPr>
        <w:t xml:space="preserve"> the World Bank is not required to follow any country</w:t>
      </w:r>
      <w:r w:rsidR="004564EA" w:rsidRPr="00DA5EB5">
        <w:rPr>
          <w:kern w:val="2"/>
          <w:sz w:val="20"/>
        </w:rPr>
        <w:t>’</w:t>
      </w:r>
      <w:r w:rsidRPr="00DA5EB5">
        <w:rPr>
          <w:kern w:val="2"/>
          <w:sz w:val="20"/>
        </w:rPr>
        <w:t>s rules of p</w:t>
      </w:r>
      <w:r w:rsidR="004564EA" w:rsidRPr="00DA5EB5">
        <w:rPr>
          <w:kern w:val="2"/>
          <w:sz w:val="20"/>
        </w:rPr>
        <w:t>rocedure</w:t>
      </w:r>
      <w:r w:rsidRPr="00DA5EB5">
        <w:rPr>
          <w:kern w:val="2"/>
          <w:sz w:val="20"/>
        </w:rPr>
        <w:t xml:space="preserve"> </w:t>
      </w:r>
      <w:r w:rsidR="004564EA" w:rsidRPr="00DA5EB5">
        <w:rPr>
          <w:kern w:val="2"/>
          <w:sz w:val="20"/>
        </w:rPr>
        <w:t>or subscribe to American concepts of due process.</w:t>
      </w:r>
      <w:r w:rsidR="004564EA" w:rsidRPr="00DA5EB5">
        <w:rPr>
          <w:rStyle w:val="FootnoteReference"/>
          <w:kern w:val="2"/>
          <w:sz w:val="18"/>
        </w:rPr>
        <w:footnoteReference w:id="156"/>
      </w:r>
      <w:r w:rsidR="004564EA" w:rsidRPr="00DA5EB5">
        <w:rPr>
          <w:kern w:val="2"/>
          <w:sz w:val="20"/>
        </w:rPr>
        <w:t xml:space="preserve"> </w:t>
      </w:r>
      <w:r w:rsidR="00FE3D7A" w:rsidRPr="00DA5EB5">
        <w:rPr>
          <w:kern w:val="2"/>
          <w:sz w:val="20"/>
        </w:rPr>
        <w:t xml:space="preserve">The World Bank has developed its own procedures, but in a global context it can be argued that those procedures do contain a healthy dose of due process. </w:t>
      </w:r>
      <w:r w:rsidR="004564EA" w:rsidRPr="00DA5EB5">
        <w:rPr>
          <w:kern w:val="2"/>
          <w:sz w:val="20"/>
        </w:rPr>
        <w:t>Cross-debarment is also criticized as unfair, since the various development banks involved have different investigation and sanctioning procedures.</w:t>
      </w:r>
    </w:p>
    <w:p w14:paraId="33056062" w14:textId="07B30C40" w:rsidR="0061282C" w:rsidRPr="00DA5EB5" w:rsidRDefault="0061282C" w:rsidP="007C3517">
      <w:pPr>
        <w:pStyle w:val="Heading2"/>
        <w:rPr>
          <w:kern w:val="2"/>
          <w:sz w:val="24"/>
          <w:lang w:val="en" w:eastAsia="en-CA"/>
        </w:rPr>
      </w:pPr>
      <w:r w:rsidRPr="00DA5EB5">
        <w:rPr>
          <w:kern w:val="2"/>
          <w:sz w:val="24"/>
          <w:lang w:val="en" w:eastAsia="en-CA"/>
        </w:rPr>
        <w:t>US Law</w:t>
      </w:r>
    </w:p>
    <w:p w14:paraId="11AA9D89" w14:textId="4C69F204" w:rsidR="00AF223B" w:rsidRPr="00DA5EB5" w:rsidRDefault="00AF223B" w:rsidP="007C3517">
      <w:pPr>
        <w:rPr>
          <w:kern w:val="2"/>
          <w:sz w:val="20"/>
          <w:lang w:val="en" w:eastAsia="en-CA"/>
        </w:rPr>
      </w:pPr>
      <w:r w:rsidRPr="00DA5EB5">
        <w:rPr>
          <w:kern w:val="2"/>
          <w:sz w:val="20"/>
          <w:lang w:val="en" w:eastAsia="en-CA"/>
        </w:rPr>
        <w:t xml:space="preserve">Under the US </w:t>
      </w:r>
      <w:r w:rsidRPr="00DA5EB5">
        <w:rPr>
          <w:i/>
          <w:kern w:val="2"/>
          <w:sz w:val="20"/>
          <w:lang w:val="en" w:eastAsia="en-CA"/>
        </w:rPr>
        <w:t>Federal Acquisition Regulations</w:t>
      </w:r>
      <w:r w:rsidRPr="00DA5EB5">
        <w:rPr>
          <w:kern w:val="2"/>
          <w:sz w:val="20"/>
          <w:lang w:val="en" w:eastAsia="en-CA"/>
        </w:rPr>
        <w:t>, an individual or corporation can be debarred from federal contracts for a number of reasons, including bribery or the commission of an offence indicating a lack of business integrity. Debarment from one government agency typically results i</w:t>
      </w:r>
      <w:r w:rsidR="00230A6F" w:rsidRPr="00DA5EB5">
        <w:rPr>
          <w:kern w:val="2"/>
          <w:sz w:val="20"/>
          <w:lang w:val="en" w:eastAsia="en-CA"/>
        </w:rPr>
        <w:t>n debarment from other agencies.</w:t>
      </w:r>
      <w:r w:rsidR="003D219E" w:rsidRPr="00DA5EB5">
        <w:rPr>
          <w:rStyle w:val="FootnoteReference"/>
          <w:rFonts w:eastAsia="Times New Roman"/>
          <w:bCs/>
          <w:kern w:val="2"/>
          <w:sz w:val="18"/>
          <w:lang w:val="en" w:eastAsia="en-CA"/>
        </w:rPr>
        <w:footnoteReference w:id="157"/>
      </w:r>
      <w:r w:rsidRPr="00DA5EB5">
        <w:rPr>
          <w:kern w:val="2"/>
          <w:sz w:val="20"/>
          <w:lang w:val="en" w:eastAsia="en-CA"/>
        </w:rPr>
        <w:t xml:space="preserve"> In May 2014, the Government Accountability Office reported a dramatic increase in suspension and debarment actions, increasing from 19 in 2009 to 271 in 2013.</w:t>
      </w:r>
      <w:r w:rsidR="003D219E" w:rsidRPr="00DA5EB5">
        <w:rPr>
          <w:rStyle w:val="FootnoteReference"/>
          <w:rFonts w:eastAsia="Times New Roman"/>
          <w:bCs/>
          <w:kern w:val="2"/>
          <w:sz w:val="18"/>
          <w:lang w:val="en" w:eastAsia="en-CA"/>
        </w:rPr>
        <w:footnoteReference w:id="158"/>
      </w:r>
    </w:p>
    <w:p w14:paraId="596A5900" w14:textId="3636ADC9" w:rsidR="00AF223B" w:rsidRPr="00DA5EB5" w:rsidRDefault="00AF223B" w:rsidP="007C3517">
      <w:pPr>
        <w:rPr>
          <w:kern w:val="2"/>
          <w:sz w:val="20"/>
        </w:rPr>
      </w:pPr>
      <w:r w:rsidRPr="00DA5EB5">
        <w:rPr>
          <w:kern w:val="2"/>
          <w:sz w:val="20"/>
        </w:rPr>
        <w:t>The decision to debar is not made by the DOJ or SEC, but rather</w:t>
      </w:r>
      <w:r w:rsidR="00230A6F" w:rsidRPr="00DA5EB5">
        <w:rPr>
          <w:kern w:val="2"/>
          <w:sz w:val="20"/>
        </w:rPr>
        <w:t xml:space="preserve"> designated officials in other a</w:t>
      </w:r>
      <w:r w:rsidRPr="00DA5EB5">
        <w:rPr>
          <w:kern w:val="2"/>
          <w:sz w:val="20"/>
        </w:rPr>
        <w:t>ffected agencies. The decision to debar is always discretionary. As the US debarment regulations state:</w:t>
      </w:r>
    </w:p>
    <w:p w14:paraId="5FE532BC" w14:textId="0BEE72EB" w:rsidR="00AF223B" w:rsidRPr="00DA5EB5" w:rsidRDefault="00AF223B" w:rsidP="007C3517">
      <w:pPr>
        <w:pStyle w:val="BlockQuote"/>
        <w:rPr>
          <w:kern w:val="2"/>
          <w:sz w:val="20"/>
          <w:vertAlign w:val="superscript"/>
          <w:lang w:val="en" w:eastAsia="en-CA"/>
        </w:rPr>
      </w:pPr>
      <w:r w:rsidRPr="00DA5EB5">
        <w:rPr>
          <w:kern w:val="2"/>
          <w:sz w:val="20"/>
          <w:lang w:val="en" w:eastAsia="en-CA"/>
        </w:rPr>
        <w:t xml:space="preserve">It is the debarring official’s responsibility to determine whether debarment is in the Government’s interest. The debarring official may, in the public interest, debar a contractor for any of the causes in </w:t>
      </w:r>
      <w:hyperlink r:id="rId34" w:anchor="wp1083382" w:history="1">
        <w:r w:rsidRPr="00DA5EB5">
          <w:rPr>
            <w:kern w:val="2"/>
            <w:sz w:val="20"/>
            <w:u w:val="single"/>
            <w:lang w:val="en" w:eastAsia="en-CA"/>
          </w:rPr>
          <w:t>9.406-2</w:t>
        </w:r>
      </w:hyperlink>
      <w:r w:rsidRPr="00DA5EB5">
        <w:rPr>
          <w:kern w:val="2"/>
          <w:sz w:val="20"/>
          <w:lang w:val="en" w:eastAsia="en-CA"/>
        </w:rPr>
        <w:t xml:space="preserve">, using the procedures in </w:t>
      </w:r>
      <w:hyperlink r:id="rId35" w:anchor="wp1083404" w:history="1">
        <w:r w:rsidRPr="00DA5EB5">
          <w:rPr>
            <w:kern w:val="2"/>
            <w:sz w:val="20"/>
            <w:u w:val="single"/>
            <w:lang w:val="en" w:eastAsia="en-CA"/>
          </w:rPr>
          <w:t>9.406-3</w:t>
        </w:r>
      </w:hyperlink>
      <w:r w:rsidRPr="00DA5EB5">
        <w:rPr>
          <w:kern w:val="2"/>
          <w:sz w:val="20"/>
          <w:lang w:val="en" w:eastAsia="en-CA"/>
        </w:rPr>
        <w:t>. The existence of a cause for debarment, however, does not necessarily require that the contractor be debarred; the seriousness of the contractor’s acts or omissions and any remedial measures or mitigating factors should be considered in making any debarment decision.</w:t>
      </w:r>
      <w:r w:rsidR="00DA69B8" w:rsidRPr="00DA5EB5">
        <w:rPr>
          <w:rStyle w:val="FootnoteReference"/>
          <w:rFonts w:eastAsia="Times New Roman"/>
          <w:kern w:val="2"/>
          <w:sz w:val="18"/>
          <w:lang w:val="en" w:eastAsia="en-CA"/>
        </w:rPr>
        <w:footnoteReference w:id="159"/>
      </w:r>
    </w:p>
    <w:p w14:paraId="76D8390D" w14:textId="448C90E0" w:rsidR="00AF223B" w:rsidRPr="00DA5EB5" w:rsidRDefault="00AF223B" w:rsidP="00FC71F9">
      <w:pPr>
        <w:rPr>
          <w:rFonts w:eastAsia="Times New Roman"/>
          <w:kern w:val="2"/>
          <w:sz w:val="20"/>
          <w:lang w:val="en" w:eastAsia="en-CA"/>
        </w:rPr>
      </w:pPr>
      <w:r w:rsidRPr="00DA5EB5">
        <w:rPr>
          <w:rFonts w:eastAsia="Times New Roman"/>
          <w:kern w:val="2"/>
          <w:sz w:val="20"/>
          <w:lang w:val="en" w:eastAsia="en-CA"/>
        </w:rPr>
        <w:t>Causes for debarment include a conviction or civil judgment for commission of fraud or a criminal offense in conjunction with obtaining, attempting to obtain, or performing a public contract or sub-contract</w:t>
      </w:r>
      <w:r w:rsidR="00F423B0" w:rsidRPr="00DA5EB5">
        <w:rPr>
          <w:rFonts w:eastAsia="Times New Roman"/>
          <w:kern w:val="2"/>
          <w:sz w:val="20"/>
          <w:lang w:val="en" w:eastAsia="en-CA"/>
        </w:rPr>
        <w:t>;</w:t>
      </w:r>
      <w:r w:rsidRPr="00DA5EB5">
        <w:rPr>
          <w:rFonts w:eastAsia="Times New Roman"/>
          <w:kern w:val="2"/>
          <w:sz w:val="20"/>
          <w:lang w:val="en" w:eastAsia="en-CA"/>
        </w:rPr>
        <w:t xml:space="preserve"> commission of an offence indicating a lack of business integrity</w:t>
      </w:r>
      <w:r w:rsidR="00F423B0" w:rsidRPr="00DA5EB5">
        <w:rPr>
          <w:rFonts w:eastAsia="Times New Roman"/>
          <w:kern w:val="2"/>
          <w:sz w:val="20"/>
          <w:lang w:val="en" w:eastAsia="en-CA"/>
        </w:rPr>
        <w:t>;</w:t>
      </w:r>
      <w:r w:rsidRPr="00DA5EB5">
        <w:rPr>
          <w:rFonts w:eastAsia="Times New Roman"/>
          <w:kern w:val="2"/>
          <w:sz w:val="20"/>
          <w:lang w:val="en" w:eastAsia="en-CA"/>
        </w:rPr>
        <w:t xml:space="preserve"> and violating </w:t>
      </w:r>
      <w:r w:rsidR="00F423B0" w:rsidRPr="00DA5EB5">
        <w:rPr>
          <w:rFonts w:eastAsia="Times New Roman"/>
          <w:kern w:val="2"/>
          <w:sz w:val="20"/>
          <w:lang w:val="en" w:eastAsia="en-CA"/>
        </w:rPr>
        <w:t>f</w:t>
      </w:r>
      <w:r w:rsidRPr="00DA5EB5">
        <w:rPr>
          <w:rFonts w:eastAsia="Times New Roman"/>
          <w:kern w:val="2"/>
          <w:sz w:val="20"/>
          <w:lang w:val="en" w:eastAsia="en-CA"/>
        </w:rPr>
        <w:t>ederal criminal law involving fraud, conflict of interest or gratuity violations</w:t>
      </w:r>
      <w:r w:rsidR="007F4575" w:rsidRPr="00DA5EB5">
        <w:rPr>
          <w:rFonts w:eastAsia="Times New Roman"/>
          <w:kern w:val="2"/>
          <w:sz w:val="20"/>
          <w:lang w:val="en" w:eastAsia="en-CA"/>
        </w:rPr>
        <w:t>.</w:t>
      </w:r>
      <w:r w:rsidR="007F4575" w:rsidRPr="00DA5EB5">
        <w:rPr>
          <w:rStyle w:val="FootnoteReference"/>
          <w:rFonts w:eastAsia="Times New Roman"/>
          <w:kern w:val="2"/>
          <w:sz w:val="18"/>
          <w:lang w:val="en" w:eastAsia="en-CA"/>
        </w:rPr>
        <w:footnoteReference w:id="160"/>
      </w:r>
    </w:p>
    <w:p w14:paraId="601190FF" w14:textId="5F9ECD1F" w:rsidR="00AF223B" w:rsidRPr="00DA5EB5" w:rsidRDefault="00AF223B" w:rsidP="007C3517">
      <w:pPr>
        <w:rPr>
          <w:rFonts w:eastAsia="Times New Roman"/>
          <w:kern w:val="2"/>
          <w:sz w:val="20"/>
          <w:lang w:val="en" w:eastAsia="en-CA"/>
        </w:rPr>
      </w:pPr>
      <w:r w:rsidRPr="00DA5EB5">
        <w:rPr>
          <w:rFonts w:eastAsia="Times New Roman"/>
          <w:kern w:val="2"/>
          <w:sz w:val="20"/>
          <w:lang w:val="en" w:eastAsia="en-CA"/>
        </w:rPr>
        <w:t>Factors considered by the debarment official include standards of conduct and internal controls, self-reporting in a timely manner, internal investigation</w:t>
      </w:r>
      <w:r w:rsidR="001E4164" w:rsidRPr="00DA5EB5">
        <w:rPr>
          <w:rFonts w:eastAsia="Times New Roman"/>
          <w:kern w:val="2"/>
          <w:sz w:val="20"/>
          <w:lang w:val="en" w:eastAsia="en-CA"/>
        </w:rPr>
        <w:t>,</w:t>
      </w:r>
      <w:r w:rsidRPr="00DA5EB5">
        <w:rPr>
          <w:rFonts w:eastAsia="Times New Roman"/>
          <w:kern w:val="2"/>
          <w:sz w:val="20"/>
          <w:lang w:val="en" w:eastAsia="en-CA"/>
        </w:rPr>
        <w:t xml:space="preserve"> cooperation with external investigation, payment of any fines, disciplinary actions and remedial measures</w:t>
      </w:r>
      <w:r w:rsidR="007F4575" w:rsidRPr="00DA5EB5">
        <w:rPr>
          <w:rFonts w:eastAsia="Times New Roman"/>
          <w:kern w:val="2"/>
          <w:sz w:val="20"/>
          <w:lang w:val="en" w:eastAsia="en-CA"/>
        </w:rPr>
        <w:t>.</w:t>
      </w:r>
      <w:r w:rsidR="007F4575" w:rsidRPr="00DA5EB5">
        <w:rPr>
          <w:rStyle w:val="FootnoteReference"/>
          <w:rFonts w:eastAsia="Times New Roman"/>
          <w:kern w:val="2"/>
          <w:sz w:val="18"/>
          <w:lang w:val="en" w:eastAsia="en-CA"/>
        </w:rPr>
        <w:footnoteReference w:id="161"/>
      </w:r>
    </w:p>
    <w:p w14:paraId="1CF4686C" w14:textId="4E7301ED" w:rsidR="00AF223B" w:rsidRPr="00DA5EB5" w:rsidRDefault="00AF223B" w:rsidP="007C3517">
      <w:pPr>
        <w:rPr>
          <w:rFonts w:eastAsia="Times New Roman"/>
          <w:kern w:val="2"/>
          <w:sz w:val="20"/>
          <w:lang w:val="en" w:eastAsia="en-CA"/>
        </w:rPr>
      </w:pPr>
      <w:r w:rsidRPr="00DA5EB5">
        <w:rPr>
          <w:rFonts w:eastAsia="Times New Roman"/>
          <w:kern w:val="2"/>
          <w:sz w:val="20"/>
          <w:lang w:val="en" w:eastAsia="en-CA"/>
        </w:rPr>
        <w:t xml:space="preserve">The regulations state that the period of debarment shall be commensurate with the seriousness of the cause(s) and generally should not exceed </w:t>
      </w:r>
      <w:r w:rsidR="001E4164" w:rsidRPr="00DA5EB5">
        <w:rPr>
          <w:rFonts w:eastAsia="Times New Roman"/>
          <w:kern w:val="2"/>
          <w:sz w:val="20"/>
          <w:lang w:val="en" w:eastAsia="en-CA"/>
        </w:rPr>
        <w:t>three</w:t>
      </w:r>
      <w:r w:rsidRPr="00DA5EB5">
        <w:rPr>
          <w:rFonts w:eastAsia="Times New Roman"/>
          <w:kern w:val="2"/>
          <w:sz w:val="20"/>
          <w:lang w:val="en" w:eastAsia="en-CA"/>
        </w:rPr>
        <w:t xml:space="preserve"> years. The period can be extended if necessary </w:t>
      </w:r>
      <w:r w:rsidR="00230A6F" w:rsidRPr="00DA5EB5">
        <w:rPr>
          <w:rFonts w:eastAsia="Times New Roman"/>
          <w:kern w:val="2"/>
          <w:sz w:val="20"/>
          <w:lang w:val="en" w:eastAsia="en-CA"/>
        </w:rPr>
        <w:t>to protect government interest.</w:t>
      </w:r>
      <w:r w:rsidRPr="00DA5EB5">
        <w:rPr>
          <w:rFonts w:eastAsia="Times New Roman"/>
          <w:kern w:val="2"/>
          <w:sz w:val="20"/>
          <w:lang w:val="en" w:eastAsia="en-CA"/>
        </w:rPr>
        <w:t xml:space="preserve"> Contractors can request a reduction based on reasons including reversal of conviction or civil judgment, bona fide change in ownership or management and elimination of other causes for which debarment was imposed</w:t>
      </w:r>
      <w:r w:rsidR="007F4575" w:rsidRPr="00DA5EB5">
        <w:rPr>
          <w:rFonts w:eastAsia="Times New Roman"/>
          <w:kern w:val="2"/>
          <w:sz w:val="20"/>
          <w:lang w:val="en" w:eastAsia="en-CA"/>
        </w:rPr>
        <w:t>.</w:t>
      </w:r>
      <w:r w:rsidR="007F4575" w:rsidRPr="00DA5EB5">
        <w:rPr>
          <w:rStyle w:val="FootnoteReference"/>
          <w:rFonts w:eastAsia="Times New Roman"/>
          <w:kern w:val="2"/>
          <w:sz w:val="18"/>
          <w:lang w:val="en" w:eastAsia="en-CA"/>
        </w:rPr>
        <w:footnoteReference w:id="162"/>
      </w:r>
    </w:p>
    <w:p w14:paraId="20FAE818" w14:textId="2D1DBC23" w:rsidR="00063E00" w:rsidRPr="00DA5EB5" w:rsidRDefault="00AF223B" w:rsidP="007C3517">
      <w:pPr>
        <w:rPr>
          <w:rFonts w:eastAsia="Times New Roman"/>
          <w:kern w:val="2"/>
          <w:sz w:val="20"/>
          <w:lang w:val="en" w:eastAsia="en-CA"/>
        </w:rPr>
      </w:pPr>
      <w:r w:rsidRPr="00DA5EB5">
        <w:rPr>
          <w:kern w:val="2"/>
          <w:sz w:val="20"/>
        </w:rPr>
        <w:t>In addition to public procurement debarment,</w:t>
      </w:r>
      <w:r w:rsidRPr="00DA5EB5">
        <w:rPr>
          <w:i/>
          <w:kern w:val="2"/>
          <w:sz w:val="20"/>
        </w:rPr>
        <w:t xml:space="preserve"> FCPA</w:t>
      </w:r>
      <w:r w:rsidRPr="00DA5EB5">
        <w:rPr>
          <w:kern w:val="2"/>
          <w:sz w:val="20"/>
        </w:rPr>
        <w:t xml:space="preserve"> violations may lead to ineligibility to receive export licenses and SEC suspension and debarment from the securities industry</w:t>
      </w:r>
      <w:r w:rsidR="007F4575" w:rsidRPr="00DA5EB5">
        <w:rPr>
          <w:kern w:val="2"/>
          <w:sz w:val="20"/>
        </w:rPr>
        <w:t>.</w:t>
      </w:r>
      <w:r w:rsidR="007F4575" w:rsidRPr="00DA5EB5">
        <w:rPr>
          <w:rStyle w:val="FootnoteReference"/>
          <w:kern w:val="2"/>
          <w:sz w:val="18"/>
        </w:rPr>
        <w:footnoteReference w:id="163"/>
      </w:r>
    </w:p>
    <w:p w14:paraId="24444E43" w14:textId="76F4C99A" w:rsidR="00F82851" w:rsidRPr="00DA5EB5" w:rsidRDefault="0061282C" w:rsidP="007C3517">
      <w:pPr>
        <w:pStyle w:val="Heading2"/>
        <w:rPr>
          <w:kern w:val="2"/>
          <w:sz w:val="24"/>
        </w:rPr>
      </w:pPr>
      <w:r w:rsidRPr="00DA5EB5">
        <w:rPr>
          <w:kern w:val="2"/>
          <w:sz w:val="24"/>
        </w:rPr>
        <w:t>UK Law</w:t>
      </w:r>
    </w:p>
    <w:p w14:paraId="67651E72" w14:textId="678F2537" w:rsidR="0061282C" w:rsidRPr="00DA5EB5" w:rsidRDefault="0061282C" w:rsidP="007C3517">
      <w:pPr>
        <w:rPr>
          <w:kern w:val="2"/>
          <w:sz w:val="20"/>
        </w:rPr>
      </w:pPr>
      <w:r w:rsidRPr="00DA5EB5">
        <w:rPr>
          <w:kern w:val="2"/>
          <w:sz w:val="20"/>
        </w:rPr>
        <w:t xml:space="preserve">The UK debarment provisions are found in the </w:t>
      </w:r>
      <w:r w:rsidRPr="00DA5EB5">
        <w:rPr>
          <w:i/>
          <w:kern w:val="2"/>
          <w:sz w:val="20"/>
        </w:rPr>
        <w:t>Public Contracts Regulations 2006</w:t>
      </w:r>
      <w:r w:rsidRPr="00DA5EB5">
        <w:rPr>
          <w:kern w:val="2"/>
          <w:sz w:val="20"/>
        </w:rPr>
        <w:t>.</w:t>
      </w:r>
      <w:r w:rsidR="00E87776" w:rsidRPr="00DA5EB5">
        <w:rPr>
          <w:kern w:val="2"/>
          <w:sz w:val="20"/>
        </w:rPr>
        <w:t xml:space="preserve"> </w:t>
      </w:r>
      <w:r w:rsidRPr="00DA5EB5">
        <w:rPr>
          <w:kern w:val="2"/>
          <w:sz w:val="20"/>
        </w:rPr>
        <w:t>The regulations state:</w:t>
      </w:r>
    </w:p>
    <w:p w14:paraId="2D4DE896" w14:textId="77777777" w:rsidR="0061282C" w:rsidRPr="00DA5EB5" w:rsidRDefault="0061282C" w:rsidP="007C3517">
      <w:pPr>
        <w:pStyle w:val="BlockQuote"/>
        <w:rPr>
          <w:b/>
          <w:kern w:val="2"/>
          <w:sz w:val="20"/>
        </w:rPr>
      </w:pPr>
      <w:r w:rsidRPr="00DA5EB5">
        <w:rPr>
          <w:b/>
          <w:kern w:val="2"/>
          <w:sz w:val="20"/>
        </w:rPr>
        <w:t>Criteria for the rejection of economic operators</w:t>
      </w:r>
    </w:p>
    <w:p w14:paraId="20E08EEC" w14:textId="77777777" w:rsidR="0061282C" w:rsidRPr="00DA5EB5" w:rsidRDefault="0061282C" w:rsidP="0074473E">
      <w:pPr>
        <w:pStyle w:val="BlockQuote"/>
        <w:spacing w:before="60" w:after="60"/>
        <w:jc w:val="left"/>
        <w:rPr>
          <w:rFonts w:eastAsia="TimesNewRoman"/>
          <w:kern w:val="2"/>
          <w:sz w:val="20"/>
        </w:rPr>
      </w:pPr>
      <w:r w:rsidRPr="00DA5EB5">
        <w:rPr>
          <w:b/>
          <w:kern w:val="2"/>
          <w:sz w:val="20"/>
        </w:rPr>
        <w:t>23.</w:t>
      </w:r>
      <w:r w:rsidRPr="00DA5EB5">
        <w:rPr>
          <w:rFonts w:eastAsia="TimesNewRoman"/>
          <w:kern w:val="2"/>
          <w:sz w:val="20"/>
        </w:rPr>
        <w:t>—(1) Subject to paragraph (2), a contracting authority shall treat as ineligible and shall not select an economic operator in accordance with these Regulations if the contracting authority has actual knowledge that the economic operator or its directors or any other person who has powers of representation, decision or control of the economic operator has been convicted of any of the following offences—</w:t>
      </w:r>
    </w:p>
    <w:p w14:paraId="61D7B1B3" w14:textId="28C40ED8" w:rsidR="0061282C" w:rsidRPr="00DA5EB5" w:rsidRDefault="0061282C" w:rsidP="0074473E">
      <w:pPr>
        <w:pStyle w:val="BlockQuote"/>
        <w:numPr>
          <w:ilvl w:val="0"/>
          <w:numId w:val="33"/>
        </w:numPr>
        <w:spacing w:before="60" w:after="60"/>
        <w:jc w:val="left"/>
        <w:rPr>
          <w:rFonts w:eastAsia="TimesNewRoman"/>
          <w:kern w:val="2"/>
          <w:sz w:val="20"/>
        </w:rPr>
      </w:pPr>
      <w:r w:rsidRPr="00DA5EB5">
        <w:rPr>
          <w:rFonts w:eastAsia="TimesNewRoman"/>
          <w:kern w:val="2"/>
          <w:sz w:val="20"/>
        </w:rPr>
        <w:t>conspiracy within the meaning of section 1 of the Criminal Law Act 1977(</w:t>
      </w:r>
      <w:r w:rsidRPr="00DA5EB5">
        <w:rPr>
          <w:kern w:val="2"/>
          <w:sz w:val="20"/>
        </w:rPr>
        <w:t>a</w:t>
      </w:r>
      <w:r w:rsidRPr="00DA5EB5">
        <w:rPr>
          <w:rFonts w:eastAsia="TimesNewRoman"/>
          <w:kern w:val="2"/>
          <w:sz w:val="20"/>
        </w:rPr>
        <w:t>) where that conspiracy relates to participation in a criminal organisation as defined in Article 2(1) of Council Joint Action 98/733/JHA(</w:t>
      </w:r>
      <w:r w:rsidRPr="00DA5EB5">
        <w:rPr>
          <w:kern w:val="2"/>
          <w:sz w:val="20"/>
        </w:rPr>
        <w:t>b</w:t>
      </w:r>
      <w:r w:rsidRPr="00DA5EB5">
        <w:rPr>
          <w:rFonts w:eastAsia="TimesNewRoman"/>
          <w:kern w:val="2"/>
          <w:sz w:val="20"/>
        </w:rPr>
        <w:t>);</w:t>
      </w:r>
    </w:p>
    <w:p w14:paraId="2AC9022F" w14:textId="0D9204B8" w:rsidR="0061282C" w:rsidRPr="00DA5EB5" w:rsidRDefault="0061282C" w:rsidP="0074473E">
      <w:pPr>
        <w:pStyle w:val="BlockQuote"/>
        <w:numPr>
          <w:ilvl w:val="0"/>
          <w:numId w:val="33"/>
        </w:numPr>
        <w:spacing w:before="60" w:after="60"/>
        <w:jc w:val="left"/>
        <w:rPr>
          <w:rFonts w:eastAsia="TimesNewRoman"/>
          <w:kern w:val="2"/>
          <w:sz w:val="20"/>
        </w:rPr>
      </w:pPr>
      <w:r w:rsidRPr="00DA5EB5">
        <w:rPr>
          <w:rFonts w:eastAsia="TimesNewRoman"/>
          <w:kern w:val="2"/>
          <w:sz w:val="20"/>
        </w:rPr>
        <w:t>corruption within the meaning of section 1 of the Public Bodies Corrupt Practices Act 1889(</w:t>
      </w:r>
      <w:r w:rsidRPr="00DA5EB5">
        <w:rPr>
          <w:kern w:val="2"/>
          <w:sz w:val="20"/>
        </w:rPr>
        <w:t>c</w:t>
      </w:r>
      <w:r w:rsidRPr="00DA5EB5">
        <w:rPr>
          <w:rFonts w:eastAsia="TimesNewRoman"/>
          <w:kern w:val="2"/>
          <w:sz w:val="20"/>
        </w:rPr>
        <w:t>) or section 1 of the Prevention of Corruption Act 1906(</w:t>
      </w:r>
      <w:r w:rsidRPr="00DA5EB5">
        <w:rPr>
          <w:kern w:val="2"/>
          <w:sz w:val="20"/>
        </w:rPr>
        <w:t>d</w:t>
      </w:r>
      <w:r w:rsidRPr="00DA5EB5">
        <w:rPr>
          <w:rFonts w:eastAsia="TimesNewRoman"/>
          <w:kern w:val="2"/>
          <w:sz w:val="20"/>
        </w:rPr>
        <w:t>);</w:t>
      </w:r>
    </w:p>
    <w:p w14:paraId="7C659CF6" w14:textId="35CBAD82" w:rsidR="0061282C" w:rsidRPr="00DA5EB5" w:rsidRDefault="0061282C" w:rsidP="0074473E">
      <w:pPr>
        <w:pStyle w:val="BlockQuote"/>
        <w:numPr>
          <w:ilvl w:val="0"/>
          <w:numId w:val="33"/>
        </w:numPr>
        <w:spacing w:before="60" w:after="60"/>
        <w:jc w:val="left"/>
        <w:rPr>
          <w:rFonts w:eastAsia="TimesNewRoman"/>
          <w:kern w:val="2"/>
          <w:sz w:val="20"/>
        </w:rPr>
      </w:pPr>
      <w:r w:rsidRPr="00DA5EB5">
        <w:rPr>
          <w:rFonts w:eastAsia="TimesNewRoman"/>
          <w:kern w:val="2"/>
          <w:sz w:val="20"/>
        </w:rPr>
        <w:t>the offence of bribery;</w:t>
      </w:r>
    </w:p>
    <w:p w14:paraId="61438C0A" w14:textId="61CC2393" w:rsidR="0061282C" w:rsidRPr="00DA5EB5" w:rsidRDefault="0061282C" w:rsidP="0074473E">
      <w:pPr>
        <w:pStyle w:val="BlockQuote"/>
        <w:numPr>
          <w:ilvl w:val="0"/>
          <w:numId w:val="33"/>
        </w:numPr>
        <w:spacing w:before="60" w:after="60"/>
        <w:jc w:val="left"/>
        <w:rPr>
          <w:rFonts w:eastAsia="TimesNewRoman"/>
          <w:kern w:val="2"/>
          <w:sz w:val="20"/>
        </w:rPr>
      </w:pPr>
      <w:r w:rsidRPr="00DA5EB5">
        <w:rPr>
          <w:rFonts w:eastAsia="TimesNewRoman"/>
          <w:kern w:val="2"/>
          <w:sz w:val="20"/>
        </w:rPr>
        <w:t>fraud, where the offence relates to fraud affecting the financial interests of the European Communities as defined by Article 1 of the Convention relating to the protection of the financial interests of the European Union, within the meaning of—</w:t>
      </w:r>
    </w:p>
    <w:p w14:paraId="77605371" w14:textId="1CD450C9" w:rsidR="0061282C" w:rsidRPr="00DA5EB5" w:rsidRDefault="0061282C" w:rsidP="0074473E">
      <w:pPr>
        <w:pStyle w:val="BlockQuote"/>
        <w:numPr>
          <w:ilvl w:val="0"/>
          <w:numId w:val="34"/>
        </w:numPr>
        <w:spacing w:before="60" w:after="60"/>
        <w:jc w:val="left"/>
        <w:rPr>
          <w:rFonts w:eastAsia="TimesNewRoman"/>
          <w:kern w:val="2"/>
          <w:sz w:val="20"/>
        </w:rPr>
      </w:pPr>
      <w:r w:rsidRPr="00DA5EB5">
        <w:rPr>
          <w:rFonts w:eastAsia="TimesNewRoman"/>
          <w:kern w:val="2"/>
          <w:sz w:val="20"/>
        </w:rPr>
        <w:t>the offence of cheating the Revenue;</w:t>
      </w:r>
    </w:p>
    <w:p w14:paraId="456E00E6" w14:textId="37AB1C50" w:rsidR="0061282C" w:rsidRPr="00DA5EB5" w:rsidRDefault="0061282C" w:rsidP="0074473E">
      <w:pPr>
        <w:pStyle w:val="BlockQuote"/>
        <w:numPr>
          <w:ilvl w:val="0"/>
          <w:numId w:val="34"/>
        </w:numPr>
        <w:spacing w:before="60" w:after="60"/>
        <w:jc w:val="left"/>
        <w:rPr>
          <w:rFonts w:eastAsia="TimesNewRoman"/>
          <w:kern w:val="2"/>
          <w:sz w:val="20"/>
        </w:rPr>
      </w:pPr>
      <w:r w:rsidRPr="00DA5EB5">
        <w:rPr>
          <w:rFonts w:eastAsia="TimesNewRoman"/>
          <w:kern w:val="2"/>
          <w:sz w:val="20"/>
        </w:rPr>
        <w:t>the offence of conspiracy to defraud;</w:t>
      </w:r>
    </w:p>
    <w:p w14:paraId="3AD2DFD0" w14:textId="3A5BC7A1" w:rsidR="0061282C" w:rsidRPr="00DA5EB5" w:rsidRDefault="0061282C" w:rsidP="0074473E">
      <w:pPr>
        <w:pStyle w:val="BlockQuote"/>
        <w:numPr>
          <w:ilvl w:val="0"/>
          <w:numId w:val="34"/>
        </w:numPr>
        <w:spacing w:before="60" w:after="60"/>
        <w:jc w:val="left"/>
        <w:rPr>
          <w:rFonts w:eastAsia="TimesNewRoman"/>
          <w:kern w:val="2"/>
          <w:sz w:val="20"/>
        </w:rPr>
      </w:pPr>
      <w:r w:rsidRPr="00DA5EB5">
        <w:rPr>
          <w:rFonts w:eastAsia="TimesNewRoman"/>
          <w:kern w:val="2"/>
          <w:sz w:val="20"/>
        </w:rPr>
        <w:t>fraud or theft within the meaning of the Theft Act 1968(a) and the Theft Act</w:t>
      </w:r>
      <w:r w:rsidR="00EF7645" w:rsidRPr="00DA5EB5">
        <w:rPr>
          <w:rFonts w:eastAsia="TimesNewRoman"/>
          <w:kern w:val="2"/>
          <w:sz w:val="20"/>
        </w:rPr>
        <w:t xml:space="preserve"> </w:t>
      </w:r>
      <w:r w:rsidRPr="00DA5EB5">
        <w:rPr>
          <w:rFonts w:eastAsia="TimesNewRoman"/>
          <w:kern w:val="2"/>
          <w:sz w:val="20"/>
        </w:rPr>
        <w:t>1978(b);</w:t>
      </w:r>
    </w:p>
    <w:p w14:paraId="46E0FCDD" w14:textId="6B45DE23" w:rsidR="0061282C" w:rsidRPr="00DA5EB5" w:rsidRDefault="0061282C" w:rsidP="0074473E">
      <w:pPr>
        <w:pStyle w:val="BlockQuote"/>
        <w:numPr>
          <w:ilvl w:val="0"/>
          <w:numId w:val="34"/>
        </w:numPr>
        <w:spacing w:before="60" w:after="60"/>
        <w:jc w:val="left"/>
        <w:rPr>
          <w:rFonts w:eastAsia="TimesNewRoman"/>
          <w:kern w:val="2"/>
          <w:sz w:val="20"/>
        </w:rPr>
      </w:pPr>
      <w:r w:rsidRPr="00DA5EB5">
        <w:rPr>
          <w:rFonts w:eastAsia="TimesNewRoman"/>
          <w:kern w:val="2"/>
          <w:sz w:val="20"/>
        </w:rPr>
        <w:t>fraudulent trading within the meaning of section 458 of the Companies Act 1985(c);</w:t>
      </w:r>
    </w:p>
    <w:p w14:paraId="11357D96" w14:textId="6F750C4C" w:rsidR="0061282C" w:rsidRPr="00DA5EB5" w:rsidRDefault="0061282C" w:rsidP="0074473E">
      <w:pPr>
        <w:pStyle w:val="BlockQuote"/>
        <w:numPr>
          <w:ilvl w:val="0"/>
          <w:numId w:val="34"/>
        </w:numPr>
        <w:spacing w:before="60" w:after="60"/>
        <w:jc w:val="left"/>
        <w:rPr>
          <w:rFonts w:eastAsia="TimesNewRoman"/>
          <w:kern w:val="2"/>
          <w:sz w:val="20"/>
        </w:rPr>
      </w:pPr>
      <w:r w:rsidRPr="00DA5EB5">
        <w:rPr>
          <w:rFonts w:eastAsia="TimesNewRoman"/>
          <w:kern w:val="2"/>
          <w:sz w:val="20"/>
        </w:rPr>
        <w:t>defrauding the Customs within the meaning of t</w:t>
      </w:r>
      <w:r w:rsidR="00EF7645" w:rsidRPr="00DA5EB5">
        <w:rPr>
          <w:rFonts w:eastAsia="TimesNewRoman"/>
          <w:kern w:val="2"/>
          <w:sz w:val="20"/>
        </w:rPr>
        <w:t xml:space="preserve">he Customs and Excise Management </w:t>
      </w:r>
      <w:r w:rsidRPr="00DA5EB5">
        <w:rPr>
          <w:rFonts w:eastAsia="TimesNewRoman"/>
          <w:kern w:val="2"/>
          <w:sz w:val="20"/>
        </w:rPr>
        <w:t>Act 1979(d) and the Value Added Tax Act 1994(e);</w:t>
      </w:r>
    </w:p>
    <w:p w14:paraId="740C0CF6" w14:textId="4928AE58" w:rsidR="0061282C" w:rsidRPr="00DA5EB5" w:rsidRDefault="0061282C" w:rsidP="0074473E">
      <w:pPr>
        <w:pStyle w:val="BlockQuote"/>
        <w:numPr>
          <w:ilvl w:val="0"/>
          <w:numId w:val="34"/>
        </w:numPr>
        <w:spacing w:before="60" w:after="60"/>
        <w:jc w:val="left"/>
        <w:rPr>
          <w:rFonts w:eastAsia="TimesNewRoman"/>
          <w:kern w:val="2"/>
          <w:sz w:val="20"/>
        </w:rPr>
      </w:pPr>
      <w:r w:rsidRPr="00DA5EB5">
        <w:rPr>
          <w:rFonts w:eastAsia="TimesNewRoman"/>
          <w:kern w:val="2"/>
          <w:sz w:val="20"/>
        </w:rPr>
        <w:t>an offence in connection with taxation in the European Community within the</w:t>
      </w:r>
      <w:r w:rsidR="00EF7645" w:rsidRPr="00DA5EB5">
        <w:rPr>
          <w:rFonts w:eastAsia="TimesNewRoman"/>
          <w:kern w:val="2"/>
          <w:sz w:val="20"/>
        </w:rPr>
        <w:t xml:space="preserve"> </w:t>
      </w:r>
      <w:r w:rsidRPr="00DA5EB5">
        <w:rPr>
          <w:rFonts w:eastAsia="TimesNewRoman"/>
          <w:kern w:val="2"/>
          <w:sz w:val="20"/>
        </w:rPr>
        <w:t>meaning of section 71 of the Criminal Justice Act 1993(f); or</w:t>
      </w:r>
    </w:p>
    <w:p w14:paraId="0D5A20C6" w14:textId="38B54DBF" w:rsidR="0061282C" w:rsidRPr="00DA5EB5" w:rsidRDefault="0061282C" w:rsidP="0074473E">
      <w:pPr>
        <w:pStyle w:val="BlockQuote"/>
        <w:numPr>
          <w:ilvl w:val="0"/>
          <w:numId w:val="34"/>
        </w:numPr>
        <w:spacing w:before="60" w:after="60"/>
        <w:jc w:val="left"/>
        <w:rPr>
          <w:rFonts w:eastAsia="TimesNewRoman"/>
          <w:kern w:val="2"/>
          <w:sz w:val="20"/>
        </w:rPr>
      </w:pPr>
      <w:r w:rsidRPr="00DA5EB5">
        <w:rPr>
          <w:rFonts w:eastAsia="TimesNewRoman"/>
          <w:kern w:val="2"/>
          <w:sz w:val="20"/>
        </w:rPr>
        <w:t>destroying, defacing or concealing of documents or procuring the extension of a valuable security within the meaning of section 20 of the Theft Act 1968;</w:t>
      </w:r>
    </w:p>
    <w:p w14:paraId="55A7F284" w14:textId="732A2DB4" w:rsidR="0061282C" w:rsidRPr="00DA5EB5" w:rsidRDefault="0061282C" w:rsidP="0074473E">
      <w:pPr>
        <w:pStyle w:val="BlockQuote"/>
        <w:numPr>
          <w:ilvl w:val="0"/>
          <w:numId w:val="33"/>
        </w:numPr>
        <w:spacing w:before="60" w:after="60"/>
        <w:jc w:val="left"/>
        <w:rPr>
          <w:rFonts w:eastAsia="TimesNewRoman"/>
          <w:kern w:val="2"/>
          <w:sz w:val="20"/>
        </w:rPr>
      </w:pPr>
      <w:r w:rsidRPr="00DA5EB5">
        <w:rPr>
          <w:rFonts w:eastAsia="TimesNewRoman"/>
          <w:kern w:val="2"/>
          <w:sz w:val="20"/>
        </w:rPr>
        <w:t>money laundering within the meaning of the Money Laundering Regulations 2003(g); or</w:t>
      </w:r>
    </w:p>
    <w:p w14:paraId="270FA0B3" w14:textId="34285272" w:rsidR="0061282C" w:rsidRPr="00DA5EB5" w:rsidRDefault="0061282C" w:rsidP="0074473E">
      <w:pPr>
        <w:pStyle w:val="BlockQuote"/>
        <w:numPr>
          <w:ilvl w:val="0"/>
          <w:numId w:val="33"/>
        </w:numPr>
        <w:spacing w:before="60" w:after="60"/>
        <w:jc w:val="left"/>
        <w:rPr>
          <w:rFonts w:eastAsia="TimesNewRoman"/>
          <w:kern w:val="2"/>
          <w:sz w:val="20"/>
        </w:rPr>
      </w:pPr>
      <w:proofErr w:type="gramStart"/>
      <w:r w:rsidRPr="00DA5EB5">
        <w:rPr>
          <w:rFonts w:eastAsia="TimesNewRoman"/>
          <w:kern w:val="2"/>
          <w:sz w:val="20"/>
        </w:rPr>
        <w:t>any</w:t>
      </w:r>
      <w:proofErr w:type="gramEnd"/>
      <w:r w:rsidRPr="00DA5EB5">
        <w:rPr>
          <w:rFonts w:eastAsia="TimesNewRoman"/>
          <w:kern w:val="2"/>
          <w:sz w:val="20"/>
        </w:rPr>
        <w:t xml:space="preserve"> other offence within the meaning of Article 45(1) of the Public Sector Directive as defined by the national law of any relevant State.</w:t>
      </w:r>
    </w:p>
    <w:p w14:paraId="1D94B857" w14:textId="77777777" w:rsidR="0061282C" w:rsidRPr="00DA5EB5" w:rsidRDefault="0061282C" w:rsidP="0074473E">
      <w:pPr>
        <w:pStyle w:val="BlockQuote"/>
        <w:spacing w:before="60" w:after="60"/>
        <w:jc w:val="left"/>
        <w:rPr>
          <w:rFonts w:eastAsia="TimesNewRoman"/>
          <w:kern w:val="2"/>
          <w:sz w:val="20"/>
        </w:rPr>
      </w:pPr>
      <w:r w:rsidRPr="00DA5EB5">
        <w:rPr>
          <w:rFonts w:eastAsia="TimesNewRoman"/>
          <w:kern w:val="2"/>
          <w:sz w:val="20"/>
        </w:rPr>
        <w:t>(2) In any case where an economic operator or its directors or any other person who has powers of representation, decision or control has been convicted of an offence described in paragraph (1), a contracting authority may disregard the prohibition described there if it is satisfied that there are overriding requirements in the general interest which justify doing so in relation to that economic operator.</w:t>
      </w:r>
    </w:p>
    <w:p w14:paraId="6D7095C1" w14:textId="77777777" w:rsidR="0061282C" w:rsidRPr="00DA5EB5" w:rsidRDefault="0061282C" w:rsidP="0074473E">
      <w:pPr>
        <w:pStyle w:val="BlockQuote"/>
        <w:spacing w:before="60" w:after="60"/>
        <w:jc w:val="left"/>
        <w:rPr>
          <w:rFonts w:eastAsia="TimesNewRoman"/>
          <w:kern w:val="2"/>
          <w:sz w:val="20"/>
        </w:rPr>
      </w:pPr>
      <w:r w:rsidRPr="00DA5EB5">
        <w:rPr>
          <w:rFonts w:eastAsia="TimesNewRoman"/>
          <w:kern w:val="2"/>
          <w:sz w:val="20"/>
        </w:rPr>
        <w:t>(3) A contracting authority may apply to the relevant competent authority to obtain further information regarding the economic operator and in particular details of convictions of the offences listed in paragraph (1) if it considers it needs such information to decide on any exclusion referred to in that paragraph.</w:t>
      </w:r>
    </w:p>
    <w:p w14:paraId="132DF724" w14:textId="77777777" w:rsidR="0061282C" w:rsidRPr="00DA5EB5" w:rsidRDefault="0061282C" w:rsidP="0074473E">
      <w:pPr>
        <w:pStyle w:val="BlockQuote"/>
        <w:spacing w:before="60" w:after="60"/>
        <w:jc w:val="left"/>
        <w:rPr>
          <w:rFonts w:eastAsia="TimesNewRoman"/>
          <w:kern w:val="2"/>
          <w:sz w:val="20"/>
        </w:rPr>
      </w:pPr>
      <w:r w:rsidRPr="00DA5EB5">
        <w:rPr>
          <w:rFonts w:eastAsia="TimesNewRoman"/>
          <w:kern w:val="2"/>
          <w:sz w:val="20"/>
        </w:rPr>
        <w:t>(4) A contracting authority may treat an economic operator as ineligible or decide not to select an economic operator in accordance with these Regulations on one or more of the following grounds, namely that the economic operator—</w:t>
      </w:r>
    </w:p>
    <w:p w14:paraId="656ED473" w14:textId="77777777" w:rsidR="0061282C" w:rsidRPr="00DA5EB5" w:rsidRDefault="0061282C" w:rsidP="0074473E">
      <w:pPr>
        <w:pStyle w:val="BlockQuote"/>
        <w:spacing w:before="60" w:after="60"/>
        <w:jc w:val="left"/>
        <w:rPr>
          <w:rFonts w:eastAsia="TimesNewRoman"/>
          <w:kern w:val="2"/>
          <w:sz w:val="20"/>
        </w:rPr>
      </w:pPr>
      <w:r w:rsidRPr="00DA5EB5">
        <w:rPr>
          <w:rFonts w:eastAsia="TimesNewRoman"/>
          <w:kern w:val="2"/>
          <w:sz w:val="20"/>
        </w:rPr>
        <w:t>…</w:t>
      </w:r>
    </w:p>
    <w:p w14:paraId="02A14672" w14:textId="77777777" w:rsidR="00EF7645" w:rsidRPr="00DA5EB5" w:rsidRDefault="0061282C" w:rsidP="0074473E">
      <w:pPr>
        <w:pStyle w:val="BlockQuote"/>
        <w:numPr>
          <w:ilvl w:val="0"/>
          <w:numId w:val="35"/>
        </w:numPr>
        <w:spacing w:before="60" w:after="60"/>
        <w:jc w:val="left"/>
        <w:rPr>
          <w:rFonts w:eastAsia="TimesNewRoman"/>
          <w:kern w:val="2"/>
          <w:sz w:val="20"/>
        </w:rPr>
      </w:pPr>
      <w:r w:rsidRPr="00DA5EB5">
        <w:rPr>
          <w:rFonts w:eastAsia="TimesNewRoman"/>
          <w:kern w:val="2"/>
          <w:sz w:val="20"/>
        </w:rPr>
        <w:t xml:space="preserve">has been convicted of a criminal offence relating to the conduct of </w:t>
      </w:r>
      <w:r w:rsidR="00EF7645" w:rsidRPr="00DA5EB5">
        <w:rPr>
          <w:rFonts w:eastAsia="TimesNewRoman"/>
          <w:kern w:val="2"/>
          <w:sz w:val="20"/>
        </w:rPr>
        <w:t>his business or profession;</w:t>
      </w:r>
    </w:p>
    <w:p w14:paraId="67D93EB4" w14:textId="00182775" w:rsidR="0061282C" w:rsidRPr="00DA5EB5" w:rsidRDefault="0061282C" w:rsidP="0074473E">
      <w:pPr>
        <w:pStyle w:val="BlockQuote"/>
        <w:numPr>
          <w:ilvl w:val="0"/>
          <w:numId w:val="35"/>
        </w:numPr>
        <w:spacing w:before="60" w:after="60"/>
        <w:jc w:val="left"/>
        <w:rPr>
          <w:rFonts w:eastAsia="TimesNewRoman"/>
          <w:kern w:val="2"/>
          <w:sz w:val="20"/>
        </w:rPr>
      </w:pPr>
      <w:r w:rsidRPr="00DA5EB5">
        <w:rPr>
          <w:rFonts w:eastAsia="TimesNewRoman"/>
          <w:kern w:val="2"/>
          <w:sz w:val="20"/>
        </w:rPr>
        <w:t>has committed an act of grave misconduct in the course of his business or profession;</w:t>
      </w:r>
    </w:p>
    <w:p w14:paraId="1447740F" w14:textId="32843E2C" w:rsidR="0061282C" w:rsidRPr="00DA5EB5" w:rsidRDefault="0061282C" w:rsidP="00FC71F9">
      <w:pPr>
        <w:rPr>
          <w:rFonts w:eastAsia="TimesNewRoman"/>
          <w:kern w:val="2"/>
        </w:rPr>
      </w:pPr>
      <w:r w:rsidRPr="00DA5EB5">
        <w:rPr>
          <w:rFonts w:eastAsia="TimesNewRoman"/>
          <w:kern w:val="2"/>
          <w:sz w:val="20"/>
        </w:rPr>
        <w:t xml:space="preserve">The </w:t>
      </w:r>
      <w:r w:rsidRPr="00DA5EB5">
        <w:rPr>
          <w:rFonts w:eastAsia="TimesNewRoman"/>
          <w:i/>
          <w:kern w:val="2"/>
          <w:sz w:val="20"/>
        </w:rPr>
        <w:t>Public Procurement (Miscellaneous Amendments) Regulations 2011</w:t>
      </w:r>
      <w:r w:rsidRPr="00DA5EB5">
        <w:rPr>
          <w:rFonts w:eastAsia="TimesNewRoman"/>
          <w:kern w:val="2"/>
          <w:sz w:val="20"/>
        </w:rPr>
        <w:t xml:space="preserve"> added section 1(ca), which adds convictions for </w:t>
      </w:r>
      <w:r w:rsidR="00FD6DAC" w:rsidRPr="00DA5EB5">
        <w:rPr>
          <w:rFonts w:eastAsia="TimesNewRoman"/>
          <w:kern w:val="2"/>
          <w:sz w:val="20"/>
        </w:rPr>
        <w:t>“</w:t>
      </w:r>
      <w:r w:rsidRPr="00DA5EB5">
        <w:rPr>
          <w:rFonts w:eastAsia="TimesNewRoman"/>
          <w:kern w:val="2"/>
          <w:sz w:val="20"/>
        </w:rPr>
        <w:t xml:space="preserve">bribery within the meaning of section 1 or 6 </w:t>
      </w:r>
      <w:r w:rsidR="00C17712" w:rsidRPr="00DA5EB5">
        <w:rPr>
          <w:rFonts w:eastAsia="TimesNewRoman"/>
          <w:kern w:val="2"/>
          <w:sz w:val="20"/>
        </w:rPr>
        <w:t>of the Bribery Act 2010</w:t>
      </w:r>
      <w:r w:rsidR="00FD6DAC" w:rsidRPr="00DA5EB5">
        <w:rPr>
          <w:rFonts w:eastAsia="TimesNewRoman"/>
          <w:kern w:val="2"/>
          <w:sz w:val="20"/>
        </w:rPr>
        <w:t>”</w:t>
      </w:r>
      <w:r w:rsidR="00C17712" w:rsidRPr="00DA5EB5">
        <w:rPr>
          <w:rFonts w:eastAsia="TimesNewRoman"/>
          <w:kern w:val="2"/>
          <w:sz w:val="20"/>
        </w:rPr>
        <w:t xml:space="preserve"> to the</w:t>
      </w:r>
      <w:r w:rsidRPr="00DA5EB5">
        <w:rPr>
          <w:rFonts w:eastAsia="TimesNewRoman"/>
          <w:kern w:val="2"/>
          <w:sz w:val="20"/>
        </w:rPr>
        <w:t xml:space="preserve"> list of offences leading to debarment.</w:t>
      </w:r>
      <w:r w:rsidRPr="00DA5EB5">
        <w:rPr>
          <w:rStyle w:val="FootnoteReference"/>
          <w:rFonts w:eastAsia="TimesNewRoman"/>
          <w:kern w:val="2"/>
          <w:sz w:val="18"/>
        </w:rPr>
        <w:footnoteReference w:id="164"/>
      </w:r>
      <w:r w:rsidR="00E87776" w:rsidRPr="00DA5EB5">
        <w:rPr>
          <w:rFonts w:eastAsia="TimesNewRoman"/>
          <w:kern w:val="2"/>
          <w:sz w:val="20"/>
        </w:rPr>
        <w:t xml:space="preserve"> </w:t>
      </w:r>
    </w:p>
    <w:p w14:paraId="184782F6" w14:textId="09E9491C" w:rsidR="00F82851" w:rsidRPr="00DA5EB5" w:rsidRDefault="0061282C" w:rsidP="007C3517">
      <w:pPr>
        <w:pStyle w:val="Heading2"/>
        <w:rPr>
          <w:kern w:val="2"/>
          <w:sz w:val="24"/>
        </w:rPr>
      </w:pPr>
      <w:r w:rsidRPr="00DA5EB5">
        <w:rPr>
          <w:kern w:val="2"/>
          <w:sz w:val="24"/>
        </w:rPr>
        <w:t>Canadian Law</w:t>
      </w:r>
    </w:p>
    <w:p w14:paraId="1411DAAA" w14:textId="77777777" w:rsidR="006518B6" w:rsidRPr="00DA5EB5" w:rsidRDefault="00C17712" w:rsidP="007C3517">
      <w:pPr>
        <w:spacing w:after="0"/>
        <w:rPr>
          <w:color w:val="000000" w:themeColor="text1"/>
          <w:kern w:val="2"/>
          <w:sz w:val="20"/>
        </w:rPr>
      </w:pPr>
      <w:r w:rsidRPr="00DA5EB5">
        <w:rPr>
          <w:color w:val="000000" w:themeColor="text1"/>
          <w:kern w:val="2"/>
          <w:sz w:val="20"/>
        </w:rPr>
        <w:t>Public Works and Government Services Canada (PWGSC) is responsible for acquiring goods and services on behalf of the departments and agencies of the Government of Canada. PWGSC awards hundreds of contracts annually and spends more than $6 billion per year.</w:t>
      </w:r>
      <w:r w:rsidRPr="00DA5EB5">
        <w:rPr>
          <w:rStyle w:val="FootnoteReference"/>
          <w:color w:val="000000" w:themeColor="text1"/>
          <w:kern w:val="2"/>
          <w:sz w:val="18"/>
        </w:rPr>
        <w:footnoteReference w:id="165"/>
      </w:r>
    </w:p>
    <w:p w14:paraId="681E5C00" w14:textId="2E1CA702" w:rsidR="00C17712" w:rsidRPr="00DA5EB5" w:rsidRDefault="00DD37A2" w:rsidP="00DD37A2">
      <w:pPr>
        <w:rPr>
          <w:kern w:val="2"/>
          <w:sz w:val="20"/>
        </w:rPr>
      </w:pPr>
      <w:r w:rsidRPr="00DA5EB5">
        <w:rPr>
          <w:kern w:val="2"/>
          <w:sz w:val="20"/>
        </w:rPr>
        <w:t>It can be fairly stated that PWGSC has developed a strong framework to support accountability and integrity in its procurement process. This framework includes policies, procedures and governance measures to ensure fairness, openness and transparency. In the past 20 years, PWGSC has put in place many measures that demonstrate a real commitment to transparency and integrity in the federal government procurement process.</w:t>
      </w:r>
    </w:p>
    <w:p w14:paraId="3BBC1D3B" w14:textId="77777777" w:rsidR="00C17712" w:rsidRPr="00DA5EB5" w:rsidRDefault="00C17712" w:rsidP="00FC71F9">
      <w:pPr>
        <w:rPr>
          <w:color w:val="000000" w:themeColor="text1"/>
          <w:kern w:val="2"/>
          <w:sz w:val="20"/>
        </w:rPr>
      </w:pPr>
      <w:r w:rsidRPr="00DA5EB5">
        <w:rPr>
          <w:color w:val="000000" w:themeColor="text1"/>
          <w:kern w:val="2"/>
          <w:sz w:val="20"/>
        </w:rPr>
        <w:t>PWGSC is responsible for implementing the federal government’s debarment policies. The history leading up to Canada’s current debarment policies reflects a trend of increasing severity, resulting in resistance from the business community and various interest groups, followed by attempts to introduce greater leniency into the debarment regime.</w:t>
      </w:r>
      <w:r w:rsidRPr="00DA5EB5">
        <w:rPr>
          <w:rStyle w:val="FootnoteReference"/>
          <w:color w:val="000000" w:themeColor="text1"/>
          <w:kern w:val="2"/>
          <w:sz w:val="18"/>
        </w:rPr>
        <w:footnoteReference w:id="166"/>
      </w:r>
      <w:r w:rsidRPr="00DA5EB5">
        <w:rPr>
          <w:color w:val="000000" w:themeColor="text1"/>
          <w:kern w:val="2"/>
          <w:sz w:val="20"/>
        </w:rPr>
        <w:t xml:space="preserve"> </w:t>
      </w:r>
    </w:p>
    <w:p w14:paraId="3ABA2990" w14:textId="76E4C5A0" w:rsidR="00C17712" w:rsidRPr="00DA5EB5" w:rsidRDefault="00C17712" w:rsidP="007C3517">
      <w:pPr>
        <w:rPr>
          <w:color w:val="000000" w:themeColor="text1"/>
          <w:kern w:val="2"/>
          <w:sz w:val="20"/>
        </w:rPr>
      </w:pPr>
      <w:r w:rsidRPr="00DA5EB5">
        <w:rPr>
          <w:color w:val="000000" w:themeColor="text1"/>
          <w:kern w:val="2"/>
          <w:sz w:val="20"/>
        </w:rPr>
        <w:t xml:space="preserve">In November 2007, PWGSC began including a </w:t>
      </w:r>
      <w:r w:rsidRPr="00DA5EB5">
        <w:rPr>
          <w:i/>
          <w:iCs/>
          <w:color w:val="000000" w:themeColor="text1"/>
          <w:kern w:val="2"/>
          <w:sz w:val="20"/>
        </w:rPr>
        <w:t xml:space="preserve">Code of Conduct for </w:t>
      </w:r>
      <w:r w:rsidR="00914516" w:rsidRPr="00DA5EB5">
        <w:rPr>
          <w:i/>
          <w:iCs/>
          <w:color w:val="000000" w:themeColor="text1"/>
          <w:kern w:val="2"/>
          <w:sz w:val="20"/>
        </w:rPr>
        <w:t>Procurement</w:t>
      </w:r>
      <w:r w:rsidR="00914516" w:rsidRPr="00DA5EB5">
        <w:rPr>
          <w:color w:val="000000" w:themeColor="text1"/>
          <w:kern w:val="2"/>
          <w:sz w:val="20"/>
        </w:rPr>
        <w:t xml:space="preserve"> in</w:t>
      </w:r>
      <w:r w:rsidRPr="00DA5EB5">
        <w:rPr>
          <w:color w:val="000000" w:themeColor="text1"/>
          <w:kern w:val="2"/>
          <w:sz w:val="20"/>
        </w:rPr>
        <w:t xml:space="preserve"> its solicitation documents.</w:t>
      </w:r>
      <w:r w:rsidR="00914516" w:rsidRPr="00DA5EB5">
        <w:rPr>
          <w:rStyle w:val="FootnoteReference"/>
          <w:iCs/>
          <w:color w:val="000000" w:themeColor="text1"/>
          <w:kern w:val="2"/>
          <w:sz w:val="18"/>
        </w:rPr>
        <w:footnoteReference w:id="167"/>
      </w:r>
      <w:r w:rsidRPr="00DA5EB5">
        <w:rPr>
          <w:color w:val="000000" w:themeColor="text1"/>
          <w:kern w:val="2"/>
          <w:sz w:val="20"/>
        </w:rPr>
        <w:t xml:space="preserve"> This code included provisions relating to debarment. The intent was to use debarment to ensure that government contracts are awarded only to </w:t>
      </w:r>
      <w:r w:rsidR="00FD6DAC" w:rsidRPr="00DA5EB5">
        <w:rPr>
          <w:color w:val="000000" w:themeColor="text1"/>
          <w:kern w:val="2"/>
          <w:sz w:val="20"/>
        </w:rPr>
        <w:t>“</w:t>
      </w:r>
      <w:r w:rsidRPr="00DA5EB5">
        <w:rPr>
          <w:color w:val="000000" w:themeColor="text1"/>
          <w:kern w:val="2"/>
          <w:sz w:val="20"/>
        </w:rPr>
        <w:t>reliable and dependable</w:t>
      </w:r>
      <w:r w:rsidR="00FD6DAC" w:rsidRPr="00DA5EB5">
        <w:rPr>
          <w:color w:val="000000" w:themeColor="text1"/>
          <w:kern w:val="2"/>
          <w:sz w:val="20"/>
        </w:rPr>
        <w:t>”</w:t>
      </w:r>
      <w:r w:rsidRPr="00DA5EB5">
        <w:rPr>
          <w:color w:val="000000" w:themeColor="text1"/>
          <w:kern w:val="2"/>
          <w:sz w:val="20"/>
        </w:rPr>
        <w:t xml:space="preserve"> contractors. The primary purpose of debarment was seen as preserving the integrity of</w:t>
      </w:r>
      <w:r w:rsidRPr="00DA5EB5">
        <w:rPr>
          <w:kern w:val="2"/>
          <w:sz w:val="20"/>
        </w:rPr>
        <w:t xml:space="preserve"> </w:t>
      </w:r>
      <w:r w:rsidR="0025139C" w:rsidRPr="00DA5EB5">
        <w:rPr>
          <w:kern w:val="2"/>
          <w:sz w:val="20"/>
        </w:rPr>
        <w:t xml:space="preserve">the </w:t>
      </w:r>
      <w:r w:rsidRPr="00DA5EB5">
        <w:rPr>
          <w:color w:val="000000" w:themeColor="text1"/>
          <w:kern w:val="2"/>
          <w:sz w:val="20"/>
        </w:rPr>
        <w:t>public procurement process.</w:t>
      </w:r>
    </w:p>
    <w:p w14:paraId="12D95DF2" w14:textId="3A37A902" w:rsidR="00C17712" w:rsidRPr="00DA5EB5" w:rsidRDefault="00C17712" w:rsidP="00FC71F9">
      <w:pPr>
        <w:rPr>
          <w:color w:val="000000" w:themeColor="text1"/>
          <w:kern w:val="2"/>
          <w:sz w:val="20"/>
        </w:rPr>
      </w:pPr>
      <w:r w:rsidRPr="00DA5EB5">
        <w:rPr>
          <w:color w:val="000000" w:themeColor="text1"/>
          <w:kern w:val="2"/>
          <w:sz w:val="20"/>
        </w:rPr>
        <w:t xml:space="preserve">In October 2010, PWGSC added the following categories of offences that would render suppliers ineligible to bid on procurement contracts: </w:t>
      </w:r>
    </w:p>
    <w:p w14:paraId="37F5BE38" w14:textId="77777777" w:rsidR="00C17712" w:rsidRPr="00DA5EB5" w:rsidRDefault="00C17712" w:rsidP="00B03652">
      <w:pPr>
        <w:pStyle w:val="ListBullet"/>
        <w:numPr>
          <w:ilvl w:val="0"/>
          <w:numId w:val="36"/>
        </w:numPr>
        <w:rPr>
          <w:color w:val="000000" w:themeColor="text1"/>
          <w:kern w:val="2"/>
          <w:sz w:val="20"/>
        </w:rPr>
      </w:pPr>
      <w:r w:rsidRPr="00DA5EB5">
        <w:rPr>
          <w:color w:val="000000" w:themeColor="text1"/>
          <w:kern w:val="2"/>
          <w:sz w:val="20"/>
        </w:rPr>
        <w:t>corruption;</w:t>
      </w:r>
    </w:p>
    <w:p w14:paraId="698F31C0" w14:textId="77777777" w:rsidR="00C17712" w:rsidRPr="00DA5EB5" w:rsidRDefault="00C17712" w:rsidP="00B03652">
      <w:pPr>
        <w:pStyle w:val="ListBullet"/>
        <w:numPr>
          <w:ilvl w:val="0"/>
          <w:numId w:val="36"/>
        </w:numPr>
        <w:rPr>
          <w:color w:val="000000" w:themeColor="text1"/>
          <w:kern w:val="2"/>
          <w:sz w:val="20"/>
        </w:rPr>
      </w:pPr>
      <w:r w:rsidRPr="00DA5EB5">
        <w:rPr>
          <w:color w:val="000000" w:themeColor="text1"/>
          <w:kern w:val="2"/>
          <w:sz w:val="20"/>
        </w:rPr>
        <w:t>collusion;</w:t>
      </w:r>
    </w:p>
    <w:p w14:paraId="35747090" w14:textId="77777777" w:rsidR="00C17712" w:rsidRPr="00DA5EB5" w:rsidRDefault="00C17712" w:rsidP="00B03652">
      <w:pPr>
        <w:pStyle w:val="ListBullet"/>
        <w:numPr>
          <w:ilvl w:val="0"/>
          <w:numId w:val="36"/>
        </w:numPr>
        <w:rPr>
          <w:color w:val="000000" w:themeColor="text1"/>
          <w:kern w:val="2"/>
          <w:sz w:val="20"/>
        </w:rPr>
      </w:pPr>
      <w:r w:rsidRPr="00DA5EB5">
        <w:rPr>
          <w:color w:val="000000" w:themeColor="text1"/>
          <w:kern w:val="2"/>
          <w:sz w:val="20"/>
        </w:rPr>
        <w:t xml:space="preserve">bid-rigging; and </w:t>
      </w:r>
    </w:p>
    <w:p w14:paraId="4F0F07AC" w14:textId="77777777" w:rsidR="00C17712" w:rsidRPr="00DA5EB5" w:rsidRDefault="00C17712" w:rsidP="00B03652">
      <w:pPr>
        <w:pStyle w:val="ListBullet"/>
        <w:numPr>
          <w:ilvl w:val="0"/>
          <w:numId w:val="36"/>
        </w:numPr>
        <w:rPr>
          <w:color w:val="000000" w:themeColor="text1"/>
          <w:kern w:val="2"/>
          <w:sz w:val="20"/>
        </w:rPr>
      </w:pPr>
      <w:proofErr w:type="gramStart"/>
      <w:r w:rsidRPr="00DA5EB5">
        <w:rPr>
          <w:color w:val="000000" w:themeColor="text1"/>
          <w:kern w:val="2"/>
          <w:sz w:val="20"/>
        </w:rPr>
        <w:t>any</w:t>
      </w:r>
      <w:proofErr w:type="gramEnd"/>
      <w:r w:rsidRPr="00DA5EB5">
        <w:rPr>
          <w:color w:val="000000" w:themeColor="text1"/>
          <w:kern w:val="2"/>
          <w:sz w:val="20"/>
        </w:rPr>
        <w:t xml:space="preserve"> other anti-competitive activity.</w:t>
      </w:r>
    </w:p>
    <w:p w14:paraId="0EA636A4" w14:textId="0FFBCA67" w:rsidR="00C17712" w:rsidRPr="00DA5EB5" w:rsidRDefault="00C17712" w:rsidP="00FC71F9">
      <w:pPr>
        <w:rPr>
          <w:color w:val="000000" w:themeColor="text1"/>
          <w:kern w:val="2"/>
          <w:sz w:val="20"/>
        </w:rPr>
      </w:pPr>
      <w:r w:rsidRPr="00DA5EB5">
        <w:rPr>
          <w:color w:val="000000" w:themeColor="text1"/>
          <w:kern w:val="2"/>
          <w:sz w:val="20"/>
        </w:rPr>
        <w:t xml:space="preserve">In July 2012, PWGSC established a formal </w:t>
      </w:r>
      <w:r w:rsidR="00FD6DAC" w:rsidRPr="00DA5EB5">
        <w:rPr>
          <w:color w:val="000000" w:themeColor="text1"/>
          <w:kern w:val="2"/>
          <w:sz w:val="20"/>
        </w:rPr>
        <w:t>“</w:t>
      </w:r>
      <w:r w:rsidRPr="00DA5EB5">
        <w:rPr>
          <w:color w:val="000000" w:themeColor="text1"/>
          <w:kern w:val="2"/>
          <w:sz w:val="20"/>
        </w:rPr>
        <w:t>Integrity Framework</w:t>
      </w:r>
      <w:r w:rsidR="00872073" w:rsidRPr="00DA5EB5">
        <w:rPr>
          <w:color w:val="000000" w:themeColor="text1"/>
          <w:kern w:val="2"/>
          <w:sz w:val="20"/>
        </w:rPr>
        <w:t>.</w:t>
      </w:r>
      <w:r w:rsidR="00FD6DAC" w:rsidRPr="00DA5EB5">
        <w:rPr>
          <w:color w:val="000000" w:themeColor="text1"/>
          <w:kern w:val="2"/>
          <w:sz w:val="20"/>
        </w:rPr>
        <w:t>”</w:t>
      </w:r>
      <w:r w:rsidRPr="00DA5EB5">
        <w:rPr>
          <w:color w:val="000000" w:themeColor="text1"/>
          <w:kern w:val="2"/>
          <w:sz w:val="20"/>
        </w:rPr>
        <w:t xml:space="preserve"> The Integrity Framework set out a rules-based system that left no room for the exercise of discretion with respect to debarment. The Integrity Framework provided for automatic disqualification from bidding on public contracts if the company or any of its affiliates was convicted of a list of Canadian offences. Initially, conviction under a foreign offence did not result in automatic ineligibility. In addition to the list of offences set out in its previous debarment policies, PWGSC added the following new categories of offences that would render suppliers ineligible to bid on procurement contracts:</w:t>
      </w:r>
    </w:p>
    <w:p w14:paraId="198AED4C" w14:textId="77777777" w:rsidR="00C17712" w:rsidRPr="00DA5EB5" w:rsidRDefault="00C17712" w:rsidP="00B03652">
      <w:pPr>
        <w:pStyle w:val="ListBullet"/>
        <w:numPr>
          <w:ilvl w:val="0"/>
          <w:numId w:val="37"/>
        </w:numPr>
        <w:rPr>
          <w:color w:val="000000" w:themeColor="text1"/>
          <w:kern w:val="2"/>
          <w:sz w:val="20"/>
        </w:rPr>
      </w:pPr>
      <w:r w:rsidRPr="00DA5EB5">
        <w:rPr>
          <w:color w:val="000000" w:themeColor="text1"/>
          <w:kern w:val="2"/>
          <w:sz w:val="20"/>
        </w:rPr>
        <w:t>money laundering;</w:t>
      </w:r>
    </w:p>
    <w:p w14:paraId="01BE4D89" w14:textId="77777777" w:rsidR="00C17712" w:rsidRPr="00DA5EB5" w:rsidRDefault="00C17712" w:rsidP="00B03652">
      <w:pPr>
        <w:pStyle w:val="ListBullet"/>
        <w:numPr>
          <w:ilvl w:val="0"/>
          <w:numId w:val="37"/>
        </w:numPr>
        <w:rPr>
          <w:color w:val="000000" w:themeColor="text1"/>
          <w:kern w:val="2"/>
          <w:sz w:val="20"/>
        </w:rPr>
      </w:pPr>
      <w:r w:rsidRPr="00DA5EB5">
        <w:rPr>
          <w:color w:val="000000" w:themeColor="text1"/>
          <w:kern w:val="2"/>
          <w:sz w:val="20"/>
        </w:rPr>
        <w:t>participation in activities of criminal organizations;</w:t>
      </w:r>
    </w:p>
    <w:p w14:paraId="7CB13AD6" w14:textId="77777777" w:rsidR="00C17712" w:rsidRPr="00DA5EB5" w:rsidRDefault="00C17712" w:rsidP="00B03652">
      <w:pPr>
        <w:pStyle w:val="ListBullet"/>
        <w:numPr>
          <w:ilvl w:val="0"/>
          <w:numId w:val="37"/>
        </w:numPr>
        <w:rPr>
          <w:color w:val="000000" w:themeColor="text1"/>
          <w:kern w:val="2"/>
          <w:sz w:val="20"/>
        </w:rPr>
      </w:pPr>
      <w:r w:rsidRPr="00DA5EB5">
        <w:rPr>
          <w:color w:val="000000" w:themeColor="text1"/>
          <w:kern w:val="2"/>
          <w:sz w:val="20"/>
        </w:rPr>
        <w:t>income and excise tax evasion;</w:t>
      </w:r>
    </w:p>
    <w:p w14:paraId="362B1B2E" w14:textId="77777777" w:rsidR="00C17712" w:rsidRPr="00DA5EB5" w:rsidRDefault="00C17712" w:rsidP="00B03652">
      <w:pPr>
        <w:pStyle w:val="ListBullet"/>
        <w:numPr>
          <w:ilvl w:val="0"/>
          <w:numId w:val="37"/>
        </w:numPr>
        <w:rPr>
          <w:color w:val="000000" w:themeColor="text1"/>
          <w:kern w:val="2"/>
          <w:sz w:val="20"/>
        </w:rPr>
      </w:pPr>
      <w:r w:rsidRPr="00DA5EB5">
        <w:rPr>
          <w:color w:val="000000" w:themeColor="text1"/>
          <w:kern w:val="2"/>
          <w:sz w:val="20"/>
        </w:rPr>
        <w:t xml:space="preserve">bribing a foreign public official (e.g., contrary to Canada’s </w:t>
      </w:r>
      <w:r w:rsidRPr="00DA5EB5">
        <w:rPr>
          <w:i/>
          <w:color w:val="000000" w:themeColor="text1"/>
          <w:kern w:val="2"/>
          <w:sz w:val="20"/>
        </w:rPr>
        <w:t>Corruption of Foreign Public Officials Act</w:t>
      </w:r>
      <w:r w:rsidRPr="00DA5EB5">
        <w:rPr>
          <w:color w:val="000000" w:themeColor="text1"/>
          <w:kern w:val="2"/>
          <w:sz w:val="20"/>
        </w:rPr>
        <w:t>); and</w:t>
      </w:r>
    </w:p>
    <w:p w14:paraId="2EBE92CC" w14:textId="77777777" w:rsidR="00C17712" w:rsidRPr="00DA5EB5" w:rsidRDefault="00C17712" w:rsidP="00B03652">
      <w:pPr>
        <w:pStyle w:val="ListBullet"/>
        <w:numPr>
          <w:ilvl w:val="0"/>
          <w:numId w:val="37"/>
        </w:numPr>
        <w:rPr>
          <w:color w:val="000000" w:themeColor="text1"/>
          <w:kern w:val="2"/>
          <w:sz w:val="20"/>
        </w:rPr>
      </w:pPr>
      <w:proofErr w:type="gramStart"/>
      <w:r w:rsidRPr="00DA5EB5">
        <w:rPr>
          <w:color w:val="000000" w:themeColor="text1"/>
          <w:kern w:val="2"/>
          <w:sz w:val="20"/>
        </w:rPr>
        <w:t>offences</w:t>
      </w:r>
      <w:proofErr w:type="gramEnd"/>
      <w:r w:rsidRPr="00DA5EB5">
        <w:rPr>
          <w:color w:val="000000" w:themeColor="text1"/>
          <w:kern w:val="2"/>
          <w:sz w:val="20"/>
        </w:rPr>
        <w:t xml:space="preserve"> in relation to drugs.</w:t>
      </w:r>
    </w:p>
    <w:p w14:paraId="601262D7" w14:textId="0A88C421" w:rsidR="00C17712" w:rsidRPr="00DA5EB5" w:rsidRDefault="00C17712" w:rsidP="00FC71F9">
      <w:pPr>
        <w:rPr>
          <w:color w:val="000000" w:themeColor="text1"/>
          <w:kern w:val="2"/>
          <w:sz w:val="20"/>
        </w:rPr>
      </w:pPr>
      <w:r w:rsidRPr="00DA5EB5">
        <w:rPr>
          <w:color w:val="000000" w:themeColor="text1"/>
          <w:kern w:val="2"/>
          <w:sz w:val="20"/>
        </w:rPr>
        <w:t>In March 2014, PWGSC introduced several fundamental changes to the Integrity Framework. PWGSC added the following new categories of offences that would render suppliers ineligible to bid on procurement contracts:</w:t>
      </w:r>
    </w:p>
    <w:p w14:paraId="3C66BDEE" w14:textId="77777777" w:rsidR="00C17712" w:rsidRPr="00DA5EB5" w:rsidRDefault="00C17712" w:rsidP="00B03652">
      <w:pPr>
        <w:pStyle w:val="ListBullet"/>
        <w:numPr>
          <w:ilvl w:val="0"/>
          <w:numId w:val="38"/>
        </w:numPr>
        <w:rPr>
          <w:color w:val="000000" w:themeColor="text1"/>
          <w:kern w:val="2"/>
          <w:sz w:val="20"/>
        </w:rPr>
      </w:pPr>
      <w:r w:rsidRPr="00DA5EB5">
        <w:rPr>
          <w:color w:val="000000" w:themeColor="text1"/>
          <w:kern w:val="2"/>
          <w:sz w:val="20"/>
        </w:rPr>
        <w:t>extortion;</w:t>
      </w:r>
    </w:p>
    <w:p w14:paraId="4C91158C" w14:textId="77777777" w:rsidR="00C17712" w:rsidRPr="00DA5EB5" w:rsidRDefault="00C17712" w:rsidP="00B03652">
      <w:pPr>
        <w:pStyle w:val="ListBullet"/>
        <w:numPr>
          <w:ilvl w:val="0"/>
          <w:numId w:val="38"/>
        </w:numPr>
        <w:rPr>
          <w:color w:val="000000" w:themeColor="text1"/>
          <w:kern w:val="2"/>
          <w:sz w:val="20"/>
        </w:rPr>
      </w:pPr>
      <w:r w:rsidRPr="00DA5EB5">
        <w:rPr>
          <w:color w:val="000000" w:themeColor="text1"/>
          <w:kern w:val="2"/>
          <w:sz w:val="20"/>
        </w:rPr>
        <w:t>bribery of judicial officers;</w:t>
      </w:r>
    </w:p>
    <w:p w14:paraId="74F47DA3" w14:textId="77777777" w:rsidR="00C17712" w:rsidRPr="00DA5EB5" w:rsidRDefault="00C17712" w:rsidP="00B03652">
      <w:pPr>
        <w:pStyle w:val="ListBullet"/>
        <w:numPr>
          <w:ilvl w:val="0"/>
          <w:numId w:val="38"/>
        </w:numPr>
        <w:rPr>
          <w:color w:val="000000" w:themeColor="text1"/>
          <w:kern w:val="2"/>
          <w:sz w:val="20"/>
        </w:rPr>
      </w:pPr>
      <w:r w:rsidRPr="00DA5EB5">
        <w:rPr>
          <w:color w:val="000000" w:themeColor="text1"/>
          <w:kern w:val="2"/>
          <w:sz w:val="20"/>
        </w:rPr>
        <w:t>bribery of officers;</w:t>
      </w:r>
    </w:p>
    <w:p w14:paraId="6284D7FD" w14:textId="77777777" w:rsidR="00C17712" w:rsidRPr="00DA5EB5" w:rsidRDefault="00C17712" w:rsidP="00B03652">
      <w:pPr>
        <w:pStyle w:val="ListBullet"/>
        <w:numPr>
          <w:ilvl w:val="0"/>
          <w:numId w:val="38"/>
        </w:numPr>
        <w:rPr>
          <w:color w:val="000000" w:themeColor="text1"/>
          <w:kern w:val="2"/>
          <w:sz w:val="20"/>
        </w:rPr>
      </w:pPr>
      <w:r w:rsidRPr="00DA5EB5">
        <w:rPr>
          <w:color w:val="000000" w:themeColor="text1"/>
          <w:kern w:val="2"/>
          <w:sz w:val="20"/>
        </w:rPr>
        <w:t>secret commissions;</w:t>
      </w:r>
    </w:p>
    <w:p w14:paraId="1D5EF5D4" w14:textId="77777777" w:rsidR="00C17712" w:rsidRPr="00DA5EB5" w:rsidRDefault="00C17712" w:rsidP="00B03652">
      <w:pPr>
        <w:pStyle w:val="ListBullet"/>
        <w:numPr>
          <w:ilvl w:val="0"/>
          <w:numId w:val="38"/>
        </w:numPr>
        <w:rPr>
          <w:color w:val="000000" w:themeColor="text1"/>
          <w:kern w:val="2"/>
          <w:sz w:val="20"/>
        </w:rPr>
      </w:pPr>
      <w:r w:rsidRPr="00DA5EB5">
        <w:rPr>
          <w:color w:val="000000" w:themeColor="text1"/>
          <w:kern w:val="2"/>
          <w:sz w:val="20"/>
        </w:rPr>
        <w:t>criminal breach of contract;</w:t>
      </w:r>
    </w:p>
    <w:p w14:paraId="5F099597" w14:textId="77777777" w:rsidR="00C17712" w:rsidRPr="00DA5EB5" w:rsidRDefault="00C17712" w:rsidP="00B03652">
      <w:pPr>
        <w:pStyle w:val="ListBullet"/>
        <w:numPr>
          <w:ilvl w:val="0"/>
          <w:numId w:val="38"/>
        </w:numPr>
        <w:rPr>
          <w:color w:val="000000" w:themeColor="text1"/>
          <w:kern w:val="2"/>
          <w:sz w:val="20"/>
        </w:rPr>
      </w:pPr>
      <w:r w:rsidRPr="00DA5EB5">
        <w:rPr>
          <w:color w:val="000000" w:themeColor="text1"/>
          <w:kern w:val="2"/>
          <w:sz w:val="20"/>
        </w:rPr>
        <w:t>fraudulent manipulation of stock exchange transactions;</w:t>
      </w:r>
    </w:p>
    <w:p w14:paraId="0DBC97F4" w14:textId="77777777" w:rsidR="00C17712" w:rsidRPr="00DA5EB5" w:rsidRDefault="00C17712" w:rsidP="00B03652">
      <w:pPr>
        <w:pStyle w:val="ListBullet"/>
        <w:numPr>
          <w:ilvl w:val="0"/>
          <w:numId w:val="38"/>
        </w:numPr>
        <w:rPr>
          <w:color w:val="000000" w:themeColor="text1"/>
          <w:kern w:val="2"/>
          <w:sz w:val="20"/>
        </w:rPr>
      </w:pPr>
      <w:r w:rsidRPr="00DA5EB5">
        <w:rPr>
          <w:color w:val="000000" w:themeColor="text1"/>
          <w:kern w:val="2"/>
          <w:sz w:val="20"/>
        </w:rPr>
        <w:t>prohibited insider trading;</w:t>
      </w:r>
    </w:p>
    <w:p w14:paraId="171E13CE" w14:textId="77777777" w:rsidR="00C17712" w:rsidRPr="00DA5EB5" w:rsidRDefault="00C17712" w:rsidP="00B03652">
      <w:pPr>
        <w:pStyle w:val="ListBullet"/>
        <w:numPr>
          <w:ilvl w:val="0"/>
          <w:numId w:val="38"/>
        </w:numPr>
        <w:rPr>
          <w:color w:val="000000" w:themeColor="text1"/>
          <w:kern w:val="2"/>
          <w:sz w:val="20"/>
        </w:rPr>
      </w:pPr>
      <w:r w:rsidRPr="00DA5EB5">
        <w:rPr>
          <w:color w:val="000000" w:themeColor="text1"/>
          <w:kern w:val="2"/>
          <w:sz w:val="20"/>
        </w:rPr>
        <w:t>forgery and other offences resembling forgery; and</w:t>
      </w:r>
    </w:p>
    <w:p w14:paraId="77EA8718" w14:textId="77777777" w:rsidR="00C17712" w:rsidRPr="00DA5EB5" w:rsidRDefault="00C17712" w:rsidP="00B03652">
      <w:pPr>
        <w:pStyle w:val="ListBullet"/>
        <w:numPr>
          <w:ilvl w:val="0"/>
          <w:numId w:val="38"/>
        </w:numPr>
        <w:rPr>
          <w:color w:val="000000" w:themeColor="text1"/>
          <w:kern w:val="2"/>
          <w:sz w:val="20"/>
        </w:rPr>
      </w:pPr>
      <w:proofErr w:type="gramStart"/>
      <w:r w:rsidRPr="00DA5EB5">
        <w:rPr>
          <w:color w:val="000000" w:themeColor="text1"/>
          <w:kern w:val="2"/>
          <w:sz w:val="20"/>
        </w:rPr>
        <w:t>falsification</w:t>
      </w:r>
      <w:proofErr w:type="gramEnd"/>
      <w:r w:rsidRPr="00DA5EB5">
        <w:rPr>
          <w:color w:val="000000" w:themeColor="text1"/>
          <w:kern w:val="2"/>
          <w:sz w:val="20"/>
        </w:rPr>
        <w:t xml:space="preserve"> of books and documents.</w:t>
      </w:r>
    </w:p>
    <w:p w14:paraId="7B4DABEF" w14:textId="60A84B9B" w:rsidR="00C17712" w:rsidRPr="00DA5EB5" w:rsidRDefault="00C17712" w:rsidP="00FC71F9">
      <w:pPr>
        <w:rPr>
          <w:color w:val="000000" w:themeColor="text1"/>
          <w:kern w:val="2"/>
          <w:sz w:val="20"/>
        </w:rPr>
      </w:pPr>
      <w:r w:rsidRPr="00DA5EB5">
        <w:rPr>
          <w:color w:val="000000" w:themeColor="text1"/>
          <w:kern w:val="2"/>
          <w:sz w:val="20"/>
        </w:rPr>
        <w:t xml:space="preserve">PWGSC also amended the Integrity Framework such that convictions under offences in foreign jurisdictions that are </w:t>
      </w:r>
      <w:r w:rsidR="00FD6DAC" w:rsidRPr="00DA5EB5">
        <w:rPr>
          <w:color w:val="000000" w:themeColor="text1"/>
          <w:kern w:val="2"/>
          <w:sz w:val="20"/>
        </w:rPr>
        <w:t>“</w:t>
      </w:r>
      <w:r w:rsidRPr="00DA5EB5">
        <w:rPr>
          <w:color w:val="000000" w:themeColor="text1"/>
          <w:kern w:val="2"/>
          <w:sz w:val="20"/>
        </w:rPr>
        <w:t>similar</w:t>
      </w:r>
      <w:r w:rsidR="00FD6DAC" w:rsidRPr="00DA5EB5">
        <w:rPr>
          <w:color w:val="000000" w:themeColor="text1"/>
          <w:kern w:val="2"/>
          <w:sz w:val="20"/>
        </w:rPr>
        <w:t>”</w:t>
      </w:r>
      <w:r w:rsidRPr="00DA5EB5">
        <w:rPr>
          <w:color w:val="000000" w:themeColor="text1"/>
          <w:kern w:val="2"/>
          <w:sz w:val="20"/>
        </w:rPr>
        <w:t xml:space="preserve"> to the listed Canadian offences would result in ineligibility. Germany-based Siemens was the first major government supplier to receive confirmation of its debarment under the </w:t>
      </w:r>
      <w:r w:rsidR="00FD6DAC" w:rsidRPr="00DA5EB5">
        <w:rPr>
          <w:color w:val="000000" w:themeColor="text1"/>
          <w:kern w:val="2"/>
          <w:sz w:val="20"/>
        </w:rPr>
        <w:t>“</w:t>
      </w:r>
      <w:r w:rsidRPr="00DA5EB5">
        <w:rPr>
          <w:color w:val="000000" w:themeColor="text1"/>
          <w:kern w:val="2"/>
          <w:sz w:val="20"/>
        </w:rPr>
        <w:t>similar offences</w:t>
      </w:r>
      <w:r w:rsidR="00FD6DAC" w:rsidRPr="00DA5EB5">
        <w:rPr>
          <w:color w:val="000000" w:themeColor="text1"/>
          <w:kern w:val="2"/>
          <w:sz w:val="20"/>
        </w:rPr>
        <w:t>”</w:t>
      </w:r>
      <w:r w:rsidRPr="00DA5EB5">
        <w:rPr>
          <w:color w:val="000000" w:themeColor="text1"/>
          <w:kern w:val="2"/>
          <w:sz w:val="20"/>
        </w:rPr>
        <w:t xml:space="preserve"> provision of the Integrity Framework.</w:t>
      </w:r>
      <w:r w:rsidRPr="00DA5EB5">
        <w:rPr>
          <w:rStyle w:val="FootnoteReference"/>
          <w:color w:val="000000" w:themeColor="text1"/>
          <w:kern w:val="2"/>
          <w:sz w:val="18"/>
        </w:rPr>
        <w:footnoteReference w:id="168"/>
      </w:r>
      <w:r w:rsidRPr="00DA5EB5">
        <w:rPr>
          <w:color w:val="000000" w:themeColor="text1"/>
          <w:kern w:val="2"/>
          <w:sz w:val="20"/>
        </w:rPr>
        <w:t xml:space="preserve"> Siemens paid a </w:t>
      </w:r>
      <w:r w:rsidR="000C7391" w:rsidRPr="00DA5EB5">
        <w:rPr>
          <w:color w:val="000000" w:themeColor="text1"/>
          <w:kern w:val="2"/>
          <w:sz w:val="20"/>
        </w:rPr>
        <w:t>US</w:t>
      </w:r>
      <w:r w:rsidRPr="00DA5EB5">
        <w:rPr>
          <w:color w:val="000000" w:themeColor="text1"/>
          <w:kern w:val="2"/>
          <w:sz w:val="20"/>
        </w:rPr>
        <w:t>$1.6-billion</w:t>
      </w:r>
      <w:r w:rsidR="00AB1413" w:rsidRPr="00DA5EB5">
        <w:rPr>
          <w:color w:val="000000" w:themeColor="text1"/>
          <w:kern w:val="2"/>
          <w:sz w:val="20"/>
        </w:rPr>
        <w:t xml:space="preserve"> </w:t>
      </w:r>
      <w:r w:rsidRPr="00DA5EB5">
        <w:rPr>
          <w:color w:val="000000" w:themeColor="text1"/>
          <w:kern w:val="2"/>
          <w:sz w:val="20"/>
        </w:rPr>
        <w:t>fine after pleading guilty in 2008 to corruption-related offences in the US and Germany.</w:t>
      </w:r>
      <w:r w:rsidRPr="00DA5EB5">
        <w:rPr>
          <w:rStyle w:val="FootnoteReference"/>
          <w:color w:val="000000" w:themeColor="text1"/>
          <w:kern w:val="2"/>
          <w:sz w:val="18"/>
        </w:rPr>
        <w:footnoteReference w:id="169"/>
      </w:r>
    </w:p>
    <w:p w14:paraId="6DC9F8B7" w14:textId="2BDDF28A" w:rsidR="00C17712" w:rsidRPr="00DA5EB5" w:rsidRDefault="00C17712" w:rsidP="007C3517">
      <w:pPr>
        <w:rPr>
          <w:kern w:val="2"/>
          <w:sz w:val="20"/>
        </w:rPr>
      </w:pPr>
      <w:r w:rsidRPr="00DA5EB5">
        <w:rPr>
          <w:color w:val="000000" w:themeColor="text1"/>
          <w:kern w:val="2"/>
          <w:sz w:val="20"/>
        </w:rPr>
        <w:t xml:space="preserve">PWGSC also added a new automatic ineligibility time period: </w:t>
      </w:r>
      <w:r w:rsidR="00226215" w:rsidRPr="00DA5EB5">
        <w:rPr>
          <w:color w:val="000000" w:themeColor="text1"/>
          <w:kern w:val="2"/>
          <w:sz w:val="20"/>
        </w:rPr>
        <w:t>a</w:t>
      </w:r>
      <w:r w:rsidRPr="00DA5EB5">
        <w:rPr>
          <w:color w:val="000000" w:themeColor="text1"/>
          <w:kern w:val="2"/>
          <w:sz w:val="20"/>
        </w:rPr>
        <w:t xml:space="preserve">ll suppliers convicted of a relevant offence became automatically debarred for </w:t>
      </w:r>
      <w:r w:rsidR="00226215" w:rsidRPr="00DA5EB5">
        <w:rPr>
          <w:color w:val="000000" w:themeColor="text1"/>
          <w:kern w:val="2"/>
          <w:sz w:val="20"/>
        </w:rPr>
        <w:t>ten</w:t>
      </w:r>
      <w:r w:rsidRPr="00DA5EB5">
        <w:rPr>
          <w:color w:val="000000" w:themeColor="text1"/>
          <w:kern w:val="2"/>
          <w:sz w:val="20"/>
        </w:rPr>
        <w:t xml:space="preserve"> years. Once the </w:t>
      </w:r>
      <w:r w:rsidR="00226215" w:rsidRPr="00DA5EB5">
        <w:rPr>
          <w:color w:val="000000" w:themeColor="text1"/>
          <w:kern w:val="2"/>
          <w:sz w:val="20"/>
        </w:rPr>
        <w:t>ten</w:t>
      </w:r>
      <w:r w:rsidRPr="00DA5EB5">
        <w:rPr>
          <w:color w:val="000000" w:themeColor="text1"/>
          <w:kern w:val="2"/>
          <w:sz w:val="20"/>
        </w:rPr>
        <w:t xml:space="preserve">-year debarment period </w:t>
      </w:r>
      <w:r w:rsidR="0025139C" w:rsidRPr="00DA5EB5">
        <w:rPr>
          <w:kern w:val="2"/>
          <w:sz w:val="20"/>
        </w:rPr>
        <w:t xml:space="preserve">has </w:t>
      </w:r>
      <w:r w:rsidRPr="00DA5EB5">
        <w:rPr>
          <w:color w:val="000000" w:themeColor="text1"/>
          <w:kern w:val="2"/>
          <w:sz w:val="20"/>
        </w:rPr>
        <w:t xml:space="preserve">passed, bidders have to certify that adequate measures have been put in place to avoid recurrence. Prime </w:t>
      </w:r>
      <w:r w:rsidRPr="00DA5EB5">
        <w:rPr>
          <w:kern w:val="2"/>
          <w:sz w:val="20"/>
        </w:rPr>
        <w:t xml:space="preserve">contractors </w:t>
      </w:r>
      <w:r w:rsidR="0025139C" w:rsidRPr="00DA5EB5">
        <w:rPr>
          <w:kern w:val="2"/>
          <w:sz w:val="20"/>
        </w:rPr>
        <w:t xml:space="preserve">were </w:t>
      </w:r>
      <w:r w:rsidRPr="00DA5EB5">
        <w:rPr>
          <w:kern w:val="2"/>
          <w:sz w:val="20"/>
        </w:rPr>
        <w:t>also required to apply the provisions of the Integrity Framework to their subcontractors.</w:t>
      </w:r>
    </w:p>
    <w:p w14:paraId="78577F49" w14:textId="68B12B5B" w:rsidR="00C17712" w:rsidRPr="00DA5EB5" w:rsidRDefault="00C17712" w:rsidP="007C3517">
      <w:pPr>
        <w:rPr>
          <w:kern w:val="2"/>
          <w:sz w:val="20"/>
        </w:rPr>
      </w:pPr>
      <w:r w:rsidRPr="00DA5EB5">
        <w:rPr>
          <w:kern w:val="2"/>
          <w:sz w:val="20"/>
        </w:rPr>
        <w:t>The March 2014 expansion proved highly controversial. Businesses, NGOs</w:t>
      </w:r>
      <w:r w:rsidR="00406AFE" w:rsidRPr="00DA5EB5">
        <w:rPr>
          <w:kern w:val="2"/>
          <w:sz w:val="20"/>
        </w:rPr>
        <w:t>,</w:t>
      </w:r>
      <w:r w:rsidRPr="00DA5EB5">
        <w:rPr>
          <w:kern w:val="2"/>
          <w:sz w:val="20"/>
        </w:rPr>
        <w:t xml:space="preserve"> and bar associations argued that Canada’s Integrity Framework had become so inflexible, punitive and far-reaching that it had become counterproductive to its primary objective—namely, preserving the integrity of the public pr</w:t>
      </w:r>
      <w:r w:rsidR="0025139C" w:rsidRPr="00DA5EB5">
        <w:rPr>
          <w:kern w:val="2"/>
          <w:sz w:val="20"/>
        </w:rPr>
        <w:t>ocurement process. Key criticisms</w:t>
      </w:r>
      <w:r w:rsidRPr="00DA5EB5">
        <w:rPr>
          <w:kern w:val="2"/>
          <w:sz w:val="20"/>
        </w:rPr>
        <w:t xml:space="preserve"> included the following: </w:t>
      </w:r>
    </w:p>
    <w:p w14:paraId="2C4DAF6D" w14:textId="77777777" w:rsidR="0023734A" w:rsidRPr="00DA5EB5" w:rsidRDefault="00C17712" w:rsidP="00B03652">
      <w:pPr>
        <w:pStyle w:val="ListBullet"/>
        <w:numPr>
          <w:ilvl w:val="0"/>
          <w:numId w:val="39"/>
        </w:numPr>
        <w:rPr>
          <w:color w:val="000000" w:themeColor="text1"/>
          <w:kern w:val="2"/>
          <w:sz w:val="20"/>
        </w:rPr>
      </w:pPr>
      <w:r w:rsidRPr="00DA5EB5">
        <w:rPr>
          <w:kern w:val="2"/>
          <w:sz w:val="20"/>
        </w:rPr>
        <w:t xml:space="preserve">The strictness of the Integrity Framework could deprive the government, and the taxpaying public, </w:t>
      </w:r>
      <w:r w:rsidR="001C389B" w:rsidRPr="00DA5EB5">
        <w:rPr>
          <w:kern w:val="2"/>
          <w:sz w:val="20"/>
        </w:rPr>
        <w:t xml:space="preserve">of </w:t>
      </w:r>
      <w:r w:rsidRPr="00DA5EB5">
        <w:rPr>
          <w:color w:val="000000" w:themeColor="text1"/>
          <w:kern w:val="2"/>
          <w:sz w:val="20"/>
        </w:rPr>
        <w:t>certain specialized expertise and h</w:t>
      </w:r>
      <w:r w:rsidR="0023734A" w:rsidRPr="00DA5EB5">
        <w:rPr>
          <w:color w:val="000000" w:themeColor="text1"/>
          <w:kern w:val="2"/>
          <w:sz w:val="20"/>
        </w:rPr>
        <w:t>igh-quality goods and services.</w:t>
      </w:r>
    </w:p>
    <w:p w14:paraId="55470518" w14:textId="3B4FB866" w:rsidR="00C17712" w:rsidRPr="00DA5EB5" w:rsidRDefault="00C17712" w:rsidP="00B03652">
      <w:pPr>
        <w:pStyle w:val="ListBullet"/>
        <w:numPr>
          <w:ilvl w:val="0"/>
          <w:numId w:val="39"/>
        </w:numPr>
        <w:rPr>
          <w:color w:val="000000" w:themeColor="text1"/>
          <w:kern w:val="2"/>
          <w:sz w:val="20"/>
        </w:rPr>
      </w:pPr>
      <w:r w:rsidRPr="00DA5EB5">
        <w:rPr>
          <w:color w:val="000000" w:themeColor="text1"/>
          <w:kern w:val="2"/>
          <w:sz w:val="20"/>
        </w:rPr>
        <w:t>The policy’s harshness and inflexibility discouraged companies from acknowledging and remediating wrongdoing. Companies were offered no strong incentives to cooperate with authorities or to seek to bring about wide-ranging cultural reforms within the corporation.</w:t>
      </w:r>
    </w:p>
    <w:p w14:paraId="209B462F" w14:textId="6FB81AC5" w:rsidR="00C17712" w:rsidRPr="00DA5EB5" w:rsidRDefault="00C17712" w:rsidP="00B03652">
      <w:pPr>
        <w:pStyle w:val="ListBullet"/>
        <w:numPr>
          <w:ilvl w:val="0"/>
          <w:numId w:val="39"/>
        </w:numPr>
        <w:rPr>
          <w:color w:val="000000" w:themeColor="text1"/>
          <w:kern w:val="2"/>
          <w:sz w:val="20"/>
        </w:rPr>
      </w:pPr>
      <w:r w:rsidRPr="00DA5EB5">
        <w:rPr>
          <w:color w:val="000000" w:themeColor="text1"/>
          <w:kern w:val="2"/>
          <w:sz w:val="20"/>
        </w:rPr>
        <w:t xml:space="preserve">The mandatory </w:t>
      </w:r>
      <w:r w:rsidR="006A350B" w:rsidRPr="00DA5EB5">
        <w:rPr>
          <w:color w:val="000000" w:themeColor="text1"/>
          <w:kern w:val="2"/>
          <w:sz w:val="20"/>
        </w:rPr>
        <w:t>ten</w:t>
      </w:r>
      <w:r w:rsidRPr="00DA5EB5">
        <w:rPr>
          <w:color w:val="000000" w:themeColor="text1"/>
          <w:kern w:val="2"/>
          <w:sz w:val="20"/>
        </w:rPr>
        <w:t xml:space="preserve">-year ineligibility period failed to provide any scope for reduction or leniency in light of the gravity of the offence or the supplier’s remediation efforts. This rigid stance stood in contrast with the more flexible, forgiving position taken in the US, the EU, and other jurisdictions whose procurement regimes grant credit for mitigating circumstances and remediation efforts. Notably, Transparency International criticized the finality and rigidity of the </w:t>
      </w:r>
      <w:r w:rsidR="00BC3407" w:rsidRPr="00DA5EB5">
        <w:rPr>
          <w:color w:val="000000" w:themeColor="text1"/>
          <w:kern w:val="2"/>
          <w:sz w:val="20"/>
        </w:rPr>
        <w:t>ten</w:t>
      </w:r>
      <w:r w:rsidRPr="00DA5EB5">
        <w:rPr>
          <w:color w:val="000000" w:themeColor="text1"/>
          <w:kern w:val="2"/>
          <w:sz w:val="20"/>
        </w:rPr>
        <w:t xml:space="preserve">-year debarment policy, pointing out that the World Bank’s debarment policy </w:t>
      </w:r>
      <w:r w:rsidR="00FD6DAC" w:rsidRPr="00DA5EB5">
        <w:rPr>
          <w:color w:val="000000" w:themeColor="text1"/>
          <w:kern w:val="2"/>
          <w:sz w:val="20"/>
        </w:rPr>
        <w:t>“</w:t>
      </w:r>
      <w:r w:rsidRPr="00DA5EB5">
        <w:rPr>
          <w:color w:val="000000" w:themeColor="text1"/>
          <w:kern w:val="2"/>
          <w:sz w:val="20"/>
        </w:rPr>
        <w:t>provides for regular third-party reviews of a company’s compliance measures</w:t>
      </w:r>
      <w:r w:rsidR="00AE5A1F" w:rsidRPr="00DA5EB5">
        <w:rPr>
          <w:color w:val="000000" w:themeColor="text1"/>
          <w:kern w:val="2"/>
          <w:sz w:val="20"/>
        </w:rPr>
        <w:t xml:space="preserve"> which provide an opportunity </w:t>
      </w:r>
      <w:r w:rsidR="00AE5A1F" w:rsidRPr="00DA5EB5">
        <w:rPr>
          <w:kern w:val="2"/>
          <w:sz w:val="20"/>
        </w:rPr>
        <w:t>for</w:t>
      </w:r>
      <w:r w:rsidRPr="00DA5EB5">
        <w:rPr>
          <w:color w:val="000000" w:themeColor="text1"/>
          <w:kern w:val="2"/>
          <w:sz w:val="20"/>
        </w:rPr>
        <w:t xml:space="preserve"> the World Bank to determine if the company’s debarment should be lifted</w:t>
      </w:r>
      <w:r w:rsidR="00A13C18" w:rsidRPr="00DA5EB5">
        <w:rPr>
          <w:color w:val="000000" w:themeColor="text1"/>
          <w:kern w:val="2"/>
          <w:sz w:val="20"/>
        </w:rPr>
        <w:t>.</w:t>
      </w:r>
      <w:r w:rsidR="00FD6DAC" w:rsidRPr="00DA5EB5">
        <w:rPr>
          <w:color w:val="000000" w:themeColor="text1"/>
          <w:kern w:val="2"/>
          <w:sz w:val="20"/>
        </w:rPr>
        <w:t>”</w:t>
      </w:r>
      <w:r w:rsidRPr="00DA5EB5">
        <w:rPr>
          <w:rStyle w:val="FootnoteReference"/>
          <w:color w:val="000000" w:themeColor="text1"/>
          <w:kern w:val="2"/>
          <w:sz w:val="18"/>
        </w:rPr>
        <w:footnoteReference w:id="170"/>
      </w:r>
      <w:r w:rsidRPr="00DA5EB5">
        <w:rPr>
          <w:color w:val="000000" w:themeColor="text1"/>
          <w:kern w:val="2"/>
          <w:sz w:val="20"/>
        </w:rPr>
        <w:t xml:space="preserve"> </w:t>
      </w:r>
    </w:p>
    <w:p w14:paraId="7FE03217" w14:textId="143CB9BC" w:rsidR="00C17712" w:rsidRPr="00DA5EB5" w:rsidRDefault="00C17712" w:rsidP="00B03652">
      <w:pPr>
        <w:pStyle w:val="ListBullet"/>
        <w:numPr>
          <w:ilvl w:val="0"/>
          <w:numId w:val="39"/>
        </w:numPr>
        <w:rPr>
          <w:color w:val="000000" w:themeColor="text1"/>
          <w:kern w:val="2"/>
          <w:sz w:val="20"/>
        </w:rPr>
      </w:pPr>
      <w:r w:rsidRPr="00DA5EB5">
        <w:rPr>
          <w:color w:val="000000" w:themeColor="text1"/>
          <w:kern w:val="2"/>
          <w:sz w:val="20"/>
        </w:rPr>
        <w:t xml:space="preserve">Debarment based on the commission of </w:t>
      </w:r>
      <w:r w:rsidR="00FD6DAC" w:rsidRPr="00DA5EB5">
        <w:rPr>
          <w:color w:val="000000" w:themeColor="text1"/>
          <w:kern w:val="2"/>
          <w:sz w:val="20"/>
        </w:rPr>
        <w:t>“</w:t>
      </w:r>
      <w:r w:rsidRPr="00DA5EB5">
        <w:rPr>
          <w:color w:val="000000" w:themeColor="text1"/>
          <w:kern w:val="2"/>
          <w:sz w:val="20"/>
        </w:rPr>
        <w:t>similar</w:t>
      </w:r>
      <w:r w:rsidR="00FD6DAC" w:rsidRPr="00DA5EB5">
        <w:rPr>
          <w:color w:val="000000" w:themeColor="text1"/>
          <w:kern w:val="2"/>
          <w:sz w:val="20"/>
        </w:rPr>
        <w:t>”</w:t>
      </w:r>
      <w:r w:rsidRPr="00DA5EB5">
        <w:rPr>
          <w:color w:val="000000" w:themeColor="text1"/>
          <w:kern w:val="2"/>
          <w:sz w:val="20"/>
        </w:rPr>
        <w:t xml:space="preserve"> foreign offences, with PWGSC being the arbiter of what constitutes a </w:t>
      </w:r>
      <w:r w:rsidR="00FD6DAC" w:rsidRPr="00DA5EB5">
        <w:rPr>
          <w:color w:val="000000" w:themeColor="text1"/>
          <w:kern w:val="2"/>
          <w:sz w:val="20"/>
        </w:rPr>
        <w:t>“</w:t>
      </w:r>
      <w:r w:rsidRPr="00DA5EB5">
        <w:rPr>
          <w:color w:val="000000" w:themeColor="text1"/>
          <w:kern w:val="2"/>
          <w:sz w:val="20"/>
        </w:rPr>
        <w:t>similar</w:t>
      </w:r>
      <w:r w:rsidR="00FD6DAC" w:rsidRPr="00DA5EB5">
        <w:rPr>
          <w:color w:val="000000" w:themeColor="text1"/>
          <w:kern w:val="2"/>
          <w:sz w:val="20"/>
        </w:rPr>
        <w:t>”</w:t>
      </w:r>
      <w:r w:rsidRPr="00DA5EB5">
        <w:rPr>
          <w:color w:val="000000" w:themeColor="text1"/>
          <w:kern w:val="2"/>
          <w:sz w:val="20"/>
        </w:rPr>
        <w:t xml:space="preserve"> foreign offence, was seen as being too subjective. In many cases, it could not be said with any certainty whether a particular foreign offence would be sufficiently </w:t>
      </w:r>
      <w:r w:rsidR="00FD6DAC" w:rsidRPr="00DA5EB5">
        <w:rPr>
          <w:color w:val="000000" w:themeColor="text1"/>
          <w:kern w:val="2"/>
          <w:sz w:val="20"/>
        </w:rPr>
        <w:t>“</w:t>
      </w:r>
      <w:r w:rsidRPr="00DA5EB5">
        <w:rPr>
          <w:color w:val="000000" w:themeColor="text1"/>
          <w:kern w:val="2"/>
          <w:sz w:val="20"/>
        </w:rPr>
        <w:t>similar</w:t>
      </w:r>
      <w:r w:rsidR="00FD6DAC" w:rsidRPr="00DA5EB5">
        <w:rPr>
          <w:color w:val="000000" w:themeColor="text1"/>
          <w:kern w:val="2"/>
          <w:sz w:val="20"/>
        </w:rPr>
        <w:t>”</w:t>
      </w:r>
      <w:r w:rsidRPr="00DA5EB5">
        <w:rPr>
          <w:color w:val="000000" w:themeColor="text1"/>
          <w:kern w:val="2"/>
          <w:sz w:val="20"/>
        </w:rPr>
        <w:t xml:space="preserve"> to be captured under the Integrity Framework. Furthermore, concerns were raised about the unfairness of the severe consequences that would follow if a company were to be convicted in a foreign jurisdiction under circumstances that, in Canada, would be seen as unfair or unjust. Such a conviction would result in the company’s being debarred in Canada without having a meaningful opportunity to contest the unfair conviction.</w:t>
      </w:r>
    </w:p>
    <w:p w14:paraId="56EEA553" w14:textId="5F0E584C" w:rsidR="00C17712" w:rsidRPr="00DA5EB5" w:rsidRDefault="00C17712" w:rsidP="00B03652">
      <w:pPr>
        <w:pStyle w:val="ListBullet"/>
        <w:numPr>
          <w:ilvl w:val="0"/>
          <w:numId w:val="39"/>
        </w:numPr>
        <w:rPr>
          <w:color w:val="000000" w:themeColor="text1"/>
          <w:kern w:val="2"/>
          <w:sz w:val="20"/>
        </w:rPr>
      </w:pPr>
      <w:r w:rsidRPr="00DA5EB5">
        <w:rPr>
          <w:color w:val="000000" w:themeColor="text1"/>
          <w:kern w:val="2"/>
          <w:sz w:val="20"/>
        </w:rPr>
        <w:t xml:space="preserve">The foreign </w:t>
      </w:r>
      <w:proofErr w:type="gramStart"/>
      <w:r w:rsidRPr="00DA5EB5">
        <w:rPr>
          <w:color w:val="000000" w:themeColor="text1"/>
          <w:kern w:val="2"/>
          <w:sz w:val="20"/>
        </w:rPr>
        <w:t>affiliates</w:t>
      </w:r>
      <w:proofErr w:type="gramEnd"/>
      <w:r w:rsidRPr="00DA5EB5">
        <w:rPr>
          <w:color w:val="000000" w:themeColor="text1"/>
          <w:kern w:val="2"/>
          <w:sz w:val="20"/>
        </w:rPr>
        <w:t xml:space="preserve"> policy meant that law-abiding Canadian companies could be held responsible for a distant affiliate’s criminal conduct occurring abroad in circumstances where the Canadian company had no participation or involvement. This policy came under considerable scrutiny after PWGSC announced that it was investigating whether Hewlett Packard, the Government of Canada’s largest computer hardware supplier, might be at risk of debarment due to the actions of an overseas affiliate.</w:t>
      </w:r>
      <w:r w:rsidRPr="00DA5EB5">
        <w:rPr>
          <w:rStyle w:val="FootnoteReference"/>
          <w:color w:val="000000" w:themeColor="text1"/>
          <w:kern w:val="2"/>
          <w:sz w:val="18"/>
        </w:rPr>
        <w:footnoteReference w:id="171"/>
      </w:r>
      <w:r w:rsidRPr="00DA5EB5">
        <w:rPr>
          <w:color w:val="000000" w:themeColor="text1"/>
          <w:kern w:val="2"/>
          <w:sz w:val="20"/>
        </w:rPr>
        <w:t xml:space="preserve"> In 2014, a Russian subsidiary of Hewlett Packard entered a guilty plea in the US for violating anti-bribery provisions contained in the US</w:t>
      </w:r>
      <w:r w:rsidR="00AE5A1F" w:rsidRPr="00DA5EB5">
        <w:rPr>
          <w:i/>
          <w:color w:val="000000" w:themeColor="text1"/>
          <w:kern w:val="2"/>
          <w:sz w:val="20"/>
        </w:rPr>
        <w:t xml:space="preserve"> </w:t>
      </w:r>
      <w:r w:rsidR="00AE5A1F" w:rsidRPr="00DA5EB5">
        <w:rPr>
          <w:color w:val="000000" w:themeColor="text1"/>
          <w:kern w:val="2"/>
          <w:sz w:val="20"/>
        </w:rPr>
        <w:t>FCPA</w:t>
      </w:r>
      <w:r w:rsidRPr="00DA5EB5">
        <w:rPr>
          <w:color w:val="000000" w:themeColor="text1"/>
          <w:kern w:val="2"/>
          <w:sz w:val="20"/>
        </w:rPr>
        <w:t>.</w:t>
      </w:r>
      <w:r w:rsidRPr="00DA5EB5">
        <w:rPr>
          <w:rStyle w:val="FootnoteReference"/>
          <w:color w:val="000000" w:themeColor="text1"/>
          <w:kern w:val="2"/>
          <w:sz w:val="18"/>
        </w:rPr>
        <w:footnoteReference w:id="172"/>
      </w:r>
      <w:r w:rsidRPr="00DA5EB5">
        <w:rPr>
          <w:color w:val="000000" w:themeColor="text1"/>
          <w:kern w:val="2"/>
          <w:sz w:val="20"/>
        </w:rPr>
        <w:t xml:space="preserve"> Executives of the Russian subsidiary had bribed Russian government officials for the purpose of securing government contracts. It soon became apparent that, in light of the Integrity Framework’s provisions regarding </w:t>
      </w:r>
      <w:r w:rsidR="00FD6DAC" w:rsidRPr="00DA5EB5">
        <w:rPr>
          <w:color w:val="000000" w:themeColor="text1"/>
          <w:kern w:val="2"/>
          <w:sz w:val="20"/>
        </w:rPr>
        <w:t>“</w:t>
      </w:r>
      <w:r w:rsidRPr="00DA5EB5">
        <w:rPr>
          <w:color w:val="000000" w:themeColor="text1"/>
          <w:kern w:val="2"/>
          <w:sz w:val="20"/>
        </w:rPr>
        <w:t>similar foreign offences</w:t>
      </w:r>
      <w:r w:rsidR="00FD6DAC" w:rsidRPr="00DA5EB5">
        <w:rPr>
          <w:color w:val="000000" w:themeColor="text1"/>
          <w:kern w:val="2"/>
          <w:sz w:val="20"/>
        </w:rPr>
        <w:t>”</w:t>
      </w:r>
      <w:r w:rsidRPr="00DA5EB5">
        <w:rPr>
          <w:color w:val="000000" w:themeColor="text1"/>
          <w:kern w:val="2"/>
          <w:sz w:val="20"/>
        </w:rPr>
        <w:t xml:space="preserve"> and affiliate responsibility, Hewlett Packard might be debarred in Canada.</w:t>
      </w:r>
      <w:r w:rsidRPr="00DA5EB5">
        <w:rPr>
          <w:rStyle w:val="FootnoteReference"/>
          <w:color w:val="000000" w:themeColor="text1"/>
          <w:kern w:val="2"/>
          <w:sz w:val="18"/>
        </w:rPr>
        <w:footnoteReference w:id="173"/>
      </w:r>
      <w:r w:rsidRPr="00DA5EB5">
        <w:rPr>
          <w:color w:val="000000" w:themeColor="text1"/>
          <w:kern w:val="2"/>
          <w:sz w:val="20"/>
        </w:rPr>
        <w:t xml:space="preserve"> Although fears over Hewlett Packard’s potential debarment were never realized, the notion that an important and well-respected government supplier might be debarred for </w:t>
      </w:r>
      <w:r w:rsidR="00E317BA" w:rsidRPr="00DA5EB5">
        <w:rPr>
          <w:color w:val="000000" w:themeColor="text1"/>
          <w:kern w:val="2"/>
          <w:sz w:val="20"/>
        </w:rPr>
        <w:t>ten</w:t>
      </w:r>
      <w:r w:rsidRPr="00DA5EB5">
        <w:rPr>
          <w:color w:val="000000" w:themeColor="text1"/>
          <w:kern w:val="2"/>
          <w:sz w:val="20"/>
        </w:rPr>
        <w:t xml:space="preserve"> years, with existing contracts being either terminated or continued under strict monitoring, raised eyebrows.</w:t>
      </w:r>
    </w:p>
    <w:p w14:paraId="1C493C7E" w14:textId="476C7807" w:rsidR="00C17712" w:rsidRPr="00DA5EB5" w:rsidRDefault="00C17712" w:rsidP="0023734A">
      <w:pPr>
        <w:rPr>
          <w:kern w:val="2"/>
          <w:sz w:val="20"/>
        </w:rPr>
      </w:pPr>
      <w:r w:rsidRPr="00DA5EB5">
        <w:rPr>
          <w:kern w:val="2"/>
          <w:sz w:val="20"/>
        </w:rPr>
        <w:t xml:space="preserve">In November 2014, </w:t>
      </w:r>
      <w:r w:rsidRPr="00DA5EB5">
        <w:rPr>
          <w:i/>
          <w:kern w:val="2"/>
          <w:sz w:val="20"/>
        </w:rPr>
        <w:t>The</w:t>
      </w:r>
      <w:r w:rsidRPr="00DA5EB5">
        <w:rPr>
          <w:kern w:val="2"/>
          <w:sz w:val="20"/>
        </w:rPr>
        <w:t xml:space="preserve"> </w:t>
      </w:r>
      <w:r w:rsidRPr="00DA5EB5">
        <w:rPr>
          <w:i/>
          <w:kern w:val="2"/>
          <w:sz w:val="20"/>
        </w:rPr>
        <w:t>Globe and Mail</w:t>
      </w:r>
      <w:r w:rsidRPr="00DA5EB5">
        <w:rPr>
          <w:kern w:val="2"/>
          <w:sz w:val="20"/>
        </w:rPr>
        <w:t xml:space="preserve"> reported that the federal government might face a challenge from the World Trade Organization and NAFTA investor lawsuits due to the strictness of Canada’s </w:t>
      </w:r>
      <w:r w:rsidR="00F51C9B" w:rsidRPr="00DA5EB5">
        <w:rPr>
          <w:kern w:val="2"/>
          <w:sz w:val="20"/>
        </w:rPr>
        <w:t>debarment</w:t>
      </w:r>
      <w:r w:rsidRPr="00DA5EB5">
        <w:rPr>
          <w:kern w:val="2"/>
          <w:sz w:val="20"/>
        </w:rPr>
        <w:t xml:space="preserve"> rules.</w:t>
      </w:r>
      <w:r w:rsidRPr="00DA5EB5">
        <w:rPr>
          <w:rStyle w:val="FootnoteReference"/>
          <w:color w:val="000000" w:themeColor="text1"/>
          <w:kern w:val="2"/>
        </w:rPr>
        <w:footnoteReference w:id="174"/>
      </w:r>
      <w:r w:rsidRPr="00DA5EB5">
        <w:rPr>
          <w:kern w:val="2"/>
          <w:sz w:val="20"/>
        </w:rPr>
        <w:t xml:space="preserve"> Further concerns were expressed over the implications for trade. The severity of Canada’s debarment policy gave rise to the possibility that Canadian companies could face </w:t>
      </w:r>
      <w:r w:rsidR="00FD6DAC" w:rsidRPr="00DA5EB5">
        <w:rPr>
          <w:kern w:val="2"/>
          <w:sz w:val="20"/>
        </w:rPr>
        <w:t>“</w:t>
      </w:r>
      <w:r w:rsidRPr="00DA5EB5">
        <w:rPr>
          <w:kern w:val="2"/>
          <w:sz w:val="20"/>
        </w:rPr>
        <w:t>tit-for-tat retaliation</w:t>
      </w:r>
      <w:r w:rsidR="00FD6DAC" w:rsidRPr="00DA5EB5">
        <w:rPr>
          <w:kern w:val="2"/>
          <w:sz w:val="20"/>
        </w:rPr>
        <w:t>”</w:t>
      </w:r>
      <w:r w:rsidRPr="00DA5EB5">
        <w:rPr>
          <w:kern w:val="2"/>
          <w:sz w:val="20"/>
        </w:rPr>
        <w:t xml:space="preserve"> by countries in which major companies that have been debarred are headquartered.</w:t>
      </w:r>
      <w:r w:rsidRPr="00DA5EB5">
        <w:rPr>
          <w:rStyle w:val="FootnoteReference"/>
          <w:color w:val="000000" w:themeColor="text1"/>
          <w:kern w:val="2"/>
          <w:sz w:val="18"/>
        </w:rPr>
        <w:footnoteReference w:id="175"/>
      </w:r>
    </w:p>
    <w:p w14:paraId="32E3AA1E" w14:textId="3DF08EED" w:rsidR="00C17712" w:rsidRPr="00DA5EB5" w:rsidRDefault="00C17712" w:rsidP="007C3517">
      <w:pPr>
        <w:rPr>
          <w:rFonts w:eastAsia="MS Mincho"/>
          <w:color w:val="000000" w:themeColor="text1"/>
          <w:kern w:val="2"/>
          <w:sz w:val="20"/>
          <w:lang w:val="en"/>
        </w:rPr>
      </w:pPr>
      <w:r w:rsidRPr="00DA5EB5">
        <w:rPr>
          <w:color w:val="000000" w:themeColor="text1"/>
          <w:kern w:val="2"/>
          <w:sz w:val="20"/>
        </w:rPr>
        <w:t xml:space="preserve">In response to these and other criticisms, PWGSC replaced the </w:t>
      </w:r>
      <w:r w:rsidR="00FD6DAC" w:rsidRPr="00DA5EB5">
        <w:rPr>
          <w:color w:val="000000" w:themeColor="text1"/>
          <w:kern w:val="2"/>
          <w:sz w:val="20"/>
        </w:rPr>
        <w:t>“</w:t>
      </w:r>
      <w:r w:rsidRPr="00DA5EB5">
        <w:rPr>
          <w:color w:val="000000" w:themeColor="text1"/>
          <w:kern w:val="2"/>
          <w:sz w:val="20"/>
        </w:rPr>
        <w:t>Integrity Framework</w:t>
      </w:r>
      <w:r w:rsidR="00FD6DAC" w:rsidRPr="00DA5EB5">
        <w:rPr>
          <w:color w:val="000000" w:themeColor="text1"/>
          <w:kern w:val="2"/>
          <w:sz w:val="20"/>
        </w:rPr>
        <w:t>”</w:t>
      </w:r>
      <w:r w:rsidRPr="00DA5EB5">
        <w:rPr>
          <w:color w:val="000000" w:themeColor="text1"/>
          <w:kern w:val="2"/>
          <w:sz w:val="20"/>
        </w:rPr>
        <w:t xml:space="preserve"> with a new </w:t>
      </w:r>
      <w:r w:rsidR="00FD6DAC" w:rsidRPr="00DA5EB5">
        <w:rPr>
          <w:color w:val="000000" w:themeColor="text1"/>
          <w:kern w:val="2"/>
          <w:sz w:val="20"/>
        </w:rPr>
        <w:t>“</w:t>
      </w:r>
      <w:r w:rsidRPr="00DA5EB5">
        <w:rPr>
          <w:color w:val="000000" w:themeColor="text1"/>
          <w:kern w:val="2"/>
          <w:sz w:val="20"/>
        </w:rPr>
        <w:t>Integrity Regime</w:t>
      </w:r>
      <w:r w:rsidR="00FD6DAC" w:rsidRPr="00DA5EB5">
        <w:rPr>
          <w:color w:val="000000" w:themeColor="text1"/>
          <w:kern w:val="2"/>
          <w:sz w:val="20"/>
        </w:rPr>
        <w:t>”</w:t>
      </w:r>
      <w:r w:rsidRPr="00DA5EB5">
        <w:rPr>
          <w:color w:val="000000" w:themeColor="text1"/>
          <w:kern w:val="2"/>
          <w:sz w:val="20"/>
        </w:rPr>
        <w:t xml:space="preserve"> on July 3, 2015.</w:t>
      </w:r>
      <w:r w:rsidRPr="00DA5EB5">
        <w:rPr>
          <w:rStyle w:val="FootnoteReference"/>
          <w:color w:val="000000" w:themeColor="text1"/>
          <w:kern w:val="2"/>
          <w:sz w:val="18"/>
        </w:rPr>
        <w:footnoteReference w:id="176"/>
      </w:r>
      <w:r w:rsidRPr="00DA5EB5">
        <w:rPr>
          <w:color w:val="000000" w:themeColor="text1"/>
          <w:kern w:val="2"/>
          <w:sz w:val="20"/>
        </w:rPr>
        <w:t xml:space="preserve"> The new Integrity Regime emphasizes the importance of fostering ethical business practices and reducing the risk of Canada entering into contracts with suppliers convicted of an offence linked to unethical business conduct. Some commentators have applauded the Integrity Regime for moving away from the notion of punishment and retribution and moving toward the goal of preserving the integrity of public procurement processes. However, many have observed that the new Integrity </w:t>
      </w:r>
      <w:r w:rsidR="0034095B" w:rsidRPr="00DA5EB5">
        <w:rPr>
          <w:color w:val="000000" w:themeColor="text1"/>
          <w:kern w:val="2"/>
          <w:sz w:val="20"/>
        </w:rPr>
        <w:t xml:space="preserve">Regime </w:t>
      </w:r>
      <w:r w:rsidRPr="00DA5EB5">
        <w:rPr>
          <w:color w:val="000000" w:themeColor="text1"/>
          <w:kern w:val="2"/>
          <w:sz w:val="20"/>
        </w:rPr>
        <w:t xml:space="preserve">is still strict in comparison to US, UK, and World Bank debarment regimes. </w:t>
      </w:r>
    </w:p>
    <w:p w14:paraId="6302169D" w14:textId="77777777" w:rsidR="00C17712" w:rsidRPr="00DA5EB5" w:rsidRDefault="00C17712" w:rsidP="007C3517">
      <w:pPr>
        <w:rPr>
          <w:color w:val="000000" w:themeColor="text1"/>
          <w:kern w:val="2"/>
          <w:sz w:val="20"/>
        </w:rPr>
      </w:pPr>
      <w:r w:rsidRPr="00DA5EB5">
        <w:rPr>
          <w:color w:val="000000" w:themeColor="text1"/>
          <w:kern w:val="2"/>
          <w:sz w:val="20"/>
        </w:rPr>
        <w:t>The debarment policy contained in the 2015 Integrity Regime is more lenient than that contained in the previous Integrity Framework in several ways. For the purposes of this section, three policy changes are particularly noteworthy.</w:t>
      </w:r>
    </w:p>
    <w:p w14:paraId="622A7D71" w14:textId="77777777" w:rsidR="00C17712" w:rsidRPr="00DA5EB5" w:rsidRDefault="00C17712" w:rsidP="00B03652">
      <w:pPr>
        <w:pStyle w:val="ListBullet"/>
        <w:numPr>
          <w:ilvl w:val="0"/>
          <w:numId w:val="40"/>
        </w:numPr>
        <w:rPr>
          <w:color w:val="000000" w:themeColor="text1"/>
          <w:kern w:val="2"/>
          <w:sz w:val="20"/>
        </w:rPr>
      </w:pPr>
      <w:r w:rsidRPr="00DA5EB5">
        <w:rPr>
          <w:color w:val="000000" w:themeColor="text1"/>
          <w:kern w:val="2"/>
          <w:sz w:val="20"/>
        </w:rPr>
        <w:t xml:space="preserve">First, the new Integrity Regime eliminates automatic debarment of companies for an affiliate’s conduct. Only where a supplier is found to have participated or been involved in the impugned conduct will the supplier be debarred. This can be seen as a significant improvement, enhancing both the fairness and logic of PWGSC’s debarment policy. </w:t>
      </w:r>
    </w:p>
    <w:p w14:paraId="131B5449" w14:textId="4D9D4D3B" w:rsidR="00C17712" w:rsidRPr="00DA5EB5" w:rsidRDefault="00C17712" w:rsidP="00B03652">
      <w:pPr>
        <w:pStyle w:val="ListBullet"/>
        <w:numPr>
          <w:ilvl w:val="0"/>
          <w:numId w:val="40"/>
        </w:numPr>
        <w:rPr>
          <w:color w:val="000000" w:themeColor="text1"/>
          <w:kern w:val="2"/>
          <w:sz w:val="20"/>
        </w:rPr>
      </w:pPr>
      <w:r w:rsidRPr="00DA5EB5">
        <w:rPr>
          <w:color w:val="000000" w:themeColor="text1"/>
          <w:kern w:val="2"/>
          <w:sz w:val="20"/>
        </w:rPr>
        <w:t xml:space="preserve">Second, the </w:t>
      </w:r>
      <w:r w:rsidR="00677F5C" w:rsidRPr="00DA5EB5">
        <w:rPr>
          <w:color w:val="000000" w:themeColor="text1"/>
          <w:kern w:val="2"/>
          <w:sz w:val="20"/>
        </w:rPr>
        <w:t>ten</w:t>
      </w:r>
      <w:r w:rsidRPr="00DA5EB5">
        <w:rPr>
          <w:color w:val="000000" w:themeColor="text1"/>
          <w:kern w:val="2"/>
          <w:sz w:val="20"/>
        </w:rPr>
        <w:t>-year debarment period is no longer set in stone. Where a supplier can demonstrate that it has (1) cooperated with law enforcement and/or (2) undertaken remedial actions, the debarment period can be reduced by up to five years, though this will require that an administrative agreement be put in place whereby enforcement authorities can monitor the corporation’s ongoing behaviour. (Note, however, that a conviction on a charge of fraud against the government</w:t>
      </w:r>
      <w:r w:rsidR="003E399F" w:rsidRPr="00DA5EB5">
        <w:rPr>
          <w:color w:val="000000" w:themeColor="text1"/>
          <w:kern w:val="2"/>
          <w:sz w:val="20"/>
        </w:rPr>
        <w:t xml:space="preserve"> [or section 120]</w:t>
      </w:r>
      <w:r w:rsidRPr="00DA5EB5">
        <w:rPr>
          <w:color w:val="000000" w:themeColor="text1"/>
          <w:kern w:val="2"/>
          <w:sz w:val="20"/>
        </w:rPr>
        <w:t xml:space="preserve"> under the </w:t>
      </w:r>
      <w:r w:rsidRPr="00DA5EB5">
        <w:rPr>
          <w:i/>
          <w:color w:val="000000" w:themeColor="text1"/>
          <w:kern w:val="2"/>
          <w:sz w:val="20"/>
        </w:rPr>
        <w:t xml:space="preserve">Criminal Code </w:t>
      </w:r>
      <w:r w:rsidRPr="00DA5EB5">
        <w:rPr>
          <w:color w:val="000000" w:themeColor="text1"/>
          <w:kern w:val="2"/>
          <w:sz w:val="20"/>
        </w:rPr>
        <w:t xml:space="preserve">or </w:t>
      </w:r>
      <w:r w:rsidRPr="00DA5EB5">
        <w:rPr>
          <w:i/>
          <w:color w:val="000000" w:themeColor="text1"/>
          <w:kern w:val="2"/>
          <w:sz w:val="20"/>
        </w:rPr>
        <w:t xml:space="preserve">Financial Administration Act </w:t>
      </w:r>
      <w:r w:rsidR="000722C1" w:rsidRPr="00DA5EB5">
        <w:rPr>
          <w:color w:val="000000" w:themeColor="text1"/>
          <w:kern w:val="2"/>
          <w:sz w:val="20"/>
        </w:rPr>
        <w:t xml:space="preserve">[see section 750(3) of the </w:t>
      </w:r>
      <w:r w:rsidR="000722C1" w:rsidRPr="00DA5EB5">
        <w:rPr>
          <w:i/>
          <w:iCs/>
          <w:color w:val="000000" w:themeColor="text1"/>
          <w:kern w:val="2"/>
          <w:sz w:val="20"/>
        </w:rPr>
        <w:t>Criminal Code</w:t>
      </w:r>
      <w:r w:rsidR="000722C1" w:rsidRPr="00DA5EB5">
        <w:rPr>
          <w:iCs/>
          <w:color w:val="000000" w:themeColor="text1"/>
          <w:kern w:val="2"/>
          <w:sz w:val="20"/>
        </w:rPr>
        <w:t>]</w:t>
      </w:r>
      <w:r w:rsidR="000722C1" w:rsidRPr="00DA5EB5">
        <w:rPr>
          <w:i/>
          <w:iCs/>
          <w:color w:val="000000" w:themeColor="text1"/>
          <w:kern w:val="2"/>
          <w:sz w:val="20"/>
        </w:rPr>
        <w:t xml:space="preserve"> </w:t>
      </w:r>
      <w:r w:rsidRPr="00DA5EB5">
        <w:rPr>
          <w:color w:val="000000" w:themeColor="text1"/>
          <w:kern w:val="2"/>
          <w:sz w:val="20"/>
        </w:rPr>
        <w:t xml:space="preserve">results in </w:t>
      </w:r>
      <w:r w:rsidRPr="00DA5EB5">
        <w:rPr>
          <w:i/>
          <w:color w:val="000000" w:themeColor="text1"/>
          <w:kern w:val="2"/>
          <w:sz w:val="20"/>
        </w:rPr>
        <w:t>permanent</w:t>
      </w:r>
      <w:r w:rsidRPr="00DA5EB5">
        <w:rPr>
          <w:color w:val="000000" w:themeColor="text1"/>
          <w:kern w:val="2"/>
          <w:sz w:val="20"/>
        </w:rPr>
        <w:t xml:space="preserve"> debarment unless a record suspension </w:t>
      </w:r>
      <w:r w:rsidR="003E399F" w:rsidRPr="00DA5EB5">
        <w:rPr>
          <w:color w:val="000000" w:themeColor="text1"/>
          <w:kern w:val="2"/>
          <w:sz w:val="20"/>
        </w:rPr>
        <w:t xml:space="preserve">[or exemption by the Governor in Council] </w:t>
      </w:r>
      <w:r w:rsidRPr="00DA5EB5">
        <w:rPr>
          <w:color w:val="000000" w:themeColor="text1"/>
          <w:kern w:val="2"/>
          <w:sz w:val="20"/>
        </w:rPr>
        <w:t xml:space="preserve">is obtained.) The possibility of receiving a shortened debarment period gives companies a compelling incentive to cooperate with authorities and to remedy the misconduct. This new policy is more forward-looking in orientation, rather than retributive, as compared to the previous Integrity Framework. </w:t>
      </w:r>
    </w:p>
    <w:p w14:paraId="1A7D2E24" w14:textId="4C71B4C8" w:rsidR="00C17712" w:rsidRPr="00DA5EB5" w:rsidRDefault="00C17712" w:rsidP="00B03652">
      <w:pPr>
        <w:pStyle w:val="ListBullet"/>
        <w:numPr>
          <w:ilvl w:val="0"/>
          <w:numId w:val="40"/>
        </w:numPr>
        <w:rPr>
          <w:color w:val="000000" w:themeColor="text1"/>
          <w:kern w:val="2"/>
          <w:sz w:val="20"/>
        </w:rPr>
      </w:pPr>
      <w:r w:rsidRPr="00DA5EB5">
        <w:rPr>
          <w:color w:val="000000" w:themeColor="text1"/>
          <w:kern w:val="2"/>
          <w:sz w:val="20"/>
        </w:rPr>
        <w:t xml:space="preserve">Third, </w:t>
      </w:r>
      <w:proofErr w:type="spellStart"/>
      <w:r w:rsidRPr="00DA5EB5">
        <w:rPr>
          <w:color w:val="000000" w:themeColor="text1"/>
          <w:kern w:val="2"/>
          <w:sz w:val="20"/>
        </w:rPr>
        <w:t>Barutciski</w:t>
      </w:r>
      <w:proofErr w:type="spellEnd"/>
      <w:r w:rsidRPr="00DA5EB5">
        <w:rPr>
          <w:color w:val="000000" w:themeColor="text1"/>
          <w:kern w:val="2"/>
          <w:sz w:val="20"/>
        </w:rPr>
        <w:t xml:space="preserve"> and </w:t>
      </w:r>
      <w:proofErr w:type="spellStart"/>
      <w:r w:rsidRPr="00DA5EB5">
        <w:rPr>
          <w:color w:val="000000" w:themeColor="text1"/>
          <w:kern w:val="2"/>
          <w:sz w:val="20"/>
        </w:rPr>
        <w:t>Kronby</w:t>
      </w:r>
      <w:proofErr w:type="spellEnd"/>
      <w:r w:rsidRPr="00DA5EB5">
        <w:rPr>
          <w:color w:val="000000" w:themeColor="text1"/>
          <w:kern w:val="2"/>
          <w:sz w:val="20"/>
        </w:rPr>
        <w:t xml:space="preserve"> point out that the new regime increases transparency in the process of determining ineligibility through the addition of the </w:t>
      </w:r>
      <w:r w:rsidR="00FD6DAC" w:rsidRPr="00DA5EB5">
        <w:rPr>
          <w:color w:val="000000" w:themeColor="text1"/>
          <w:kern w:val="2"/>
          <w:sz w:val="20"/>
        </w:rPr>
        <w:t>“</w:t>
      </w:r>
      <w:r w:rsidRPr="00DA5EB5">
        <w:rPr>
          <w:color w:val="000000" w:themeColor="text1"/>
          <w:kern w:val="2"/>
          <w:sz w:val="20"/>
        </w:rPr>
        <w:t>due process</w:t>
      </w:r>
      <w:r w:rsidR="00FD6DAC" w:rsidRPr="00DA5EB5">
        <w:rPr>
          <w:color w:val="000000" w:themeColor="text1"/>
          <w:kern w:val="2"/>
          <w:sz w:val="20"/>
        </w:rPr>
        <w:t>”</w:t>
      </w:r>
      <w:r w:rsidRPr="00DA5EB5">
        <w:rPr>
          <w:color w:val="000000" w:themeColor="text1"/>
          <w:kern w:val="2"/>
          <w:sz w:val="20"/>
        </w:rPr>
        <w:t xml:space="preserve"> provisions.</w:t>
      </w:r>
      <w:r w:rsidRPr="00DA5EB5">
        <w:rPr>
          <w:rStyle w:val="FootnoteReference"/>
          <w:color w:val="000000" w:themeColor="text1"/>
          <w:kern w:val="2"/>
          <w:sz w:val="18"/>
        </w:rPr>
        <w:footnoteReference w:id="177"/>
      </w:r>
      <w:r w:rsidRPr="00DA5EB5">
        <w:rPr>
          <w:color w:val="000000" w:themeColor="text1"/>
          <w:kern w:val="2"/>
          <w:sz w:val="20"/>
        </w:rPr>
        <w:t xml:space="preserve"> Burkett and Saunders, both practitioners specializing in white-collar crime at Baker McKenzie LLP in Toronto, summarize the due process provisions in the following terms:</w:t>
      </w:r>
    </w:p>
    <w:p w14:paraId="4F5FE8B4" w14:textId="77777777" w:rsidR="00C17712" w:rsidRPr="00DA5EB5" w:rsidRDefault="00C17712" w:rsidP="007C3517">
      <w:pPr>
        <w:pStyle w:val="BlockQuote"/>
        <w:ind w:left="1440"/>
        <w:rPr>
          <w:kern w:val="2"/>
          <w:sz w:val="20"/>
        </w:rPr>
      </w:pPr>
      <w:r w:rsidRPr="00DA5EB5">
        <w:rPr>
          <w:kern w:val="2"/>
          <w:sz w:val="20"/>
        </w:rPr>
        <w:t xml:space="preserve">Suppliers are notified of their ineligibility/suspension and provided information of the </w:t>
      </w:r>
      <w:proofErr w:type="gramStart"/>
      <w:r w:rsidRPr="00DA5EB5">
        <w:rPr>
          <w:kern w:val="2"/>
          <w:sz w:val="20"/>
        </w:rPr>
        <w:t>process(</w:t>
      </w:r>
      <w:proofErr w:type="spellStart"/>
      <w:proofErr w:type="gramEnd"/>
      <w:r w:rsidRPr="00DA5EB5">
        <w:rPr>
          <w:kern w:val="2"/>
          <w:sz w:val="20"/>
        </w:rPr>
        <w:t>es</w:t>
      </w:r>
      <w:proofErr w:type="spellEnd"/>
      <w:r w:rsidRPr="00DA5EB5">
        <w:rPr>
          <w:kern w:val="2"/>
          <w:sz w:val="20"/>
        </w:rPr>
        <w:t>) available to them. A supplier is able to come forward at any time and ask for an advanced determination. Upon a determination of ineligibility, the supplier would see their ineligibility period begin immediately. This will incent suppliers to come forward and proactively disclose wrongdoing. An administrative review process of the assessment of affiliates would be available to the supplier.</w:t>
      </w:r>
    </w:p>
    <w:p w14:paraId="2D6F2220" w14:textId="77777777" w:rsidR="00C17712" w:rsidRPr="00DA5EB5" w:rsidRDefault="00C17712" w:rsidP="007C3517">
      <w:pPr>
        <w:pStyle w:val="BlockQuote"/>
        <w:ind w:left="1440"/>
        <w:rPr>
          <w:kern w:val="2"/>
          <w:sz w:val="20"/>
        </w:rPr>
      </w:pPr>
      <w:r w:rsidRPr="00DA5EB5">
        <w:rPr>
          <w:kern w:val="2"/>
          <w:sz w:val="20"/>
        </w:rPr>
        <w:t>This process is a step in the right direction, as it provides for proactive advance determinations and a review process for the assessment of affiliates, which will oversee the factually complex issue of control, participation or involvement. The due process provision does not appear to cover the decision as to whether the period should be reduced from 10 to five years, however.</w:t>
      </w:r>
      <w:r w:rsidRPr="00DA5EB5">
        <w:rPr>
          <w:rStyle w:val="FootnoteReference"/>
          <w:color w:val="000000" w:themeColor="text1"/>
          <w:kern w:val="2"/>
          <w:szCs w:val="21"/>
        </w:rPr>
        <w:footnoteReference w:id="178"/>
      </w:r>
    </w:p>
    <w:p w14:paraId="1B7CEC36" w14:textId="77777777" w:rsidR="00C17712" w:rsidRPr="00DA5EB5" w:rsidRDefault="00C17712" w:rsidP="007C3517">
      <w:pPr>
        <w:rPr>
          <w:color w:val="000000" w:themeColor="text1"/>
          <w:kern w:val="2"/>
          <w:sz w:val="20"/>
        </w:rPr>
      </w:pPr>
      <w:r w:rsidRPr="00DA5EB5">
        <w:rPr>
          <w:color w:val="000000" w:themeColor="text1"/>
          <w:kern w:val="2"/>
          <w:sz w:val="20"/>
        </w:rPr>
        <w:t>Under the new Integrity Regime, debarment remains, for the most part, automatic, not discretionary. The Integrity Regime provides for automatic debarment if the company or any members of its board of directors have, in the past three years, been found guilty of or have been discharged (absolutely or conditionally) from a list of offences under Canadian law or a similar foreign offence. All prospective suppliers must certify upon bidding that the company, its directors, and its affiliates have not been charged, convicted, or absolutely or conditionally discharged of the listed offences or similar foreign offences in the past three years. Providing a false or misleading certification is itself cause for debarment. A supplier already doing business with the Government of Canada may be suspended for up to 18 months if the supplier admits guilt to an offence listed in the Integrity Regime or is charged</w:t>
      </w:r>
      <w:r w:rsidRPr="00DA5EB5">
        <w:rPr>
          <w:i/>
          <w:color w:val="000000" w:themeColor="text1"/>
          <w:kern w:val="2"/>
          <w:sz w:val="20"/>
        </w:rPr>
        <w:t xml:space="preserve"> </w:t>
      </w:r>
      <w:r w:rsidRPr="00DA5EB5">
        <w:rPr>
          <w:color w:val="000000" w:themeColor="text1"/>
          <w:kern w:val="2"/>
          <w:sz w:val="20"/>
        </w:rPr>
        <w:t>with such an offence. This provision is discretionary, rather than automatic.</w:t>
      </w:r>
    </w:p>
    <w:p w14:paraId="128FB0EA" w14:textId="0B13E3CE" w:rsidR="00A27F11" w:rsidRPr="00DA5EB5" w:rsidRDefault="00C17712" w:rsidP="007C3517">
      <w:pPr>
        <w:rPr>
          <w:kern w:val="2"/>
          <w:sz w:val="20"/>
        </w:rPr>
      </w:pPr>
      <w:r w:rsidRPr="00DA5EB5">
        <w:rPr>
          <w:kern w:val="2"/>
          <w:sz w:val="20"/>
        </w:rPr>
        <w:t xml:space="preserve">Despite the changes to PWGSC’s debarment policy, many commentators continue to criticize Canada’s debarment regime for being too strict. </w:t>
      </w:r>
      <w:proofErr w:type="spellStart"/>
      <w:r w:rsidRPr="00DA5EB5">
        <w:rPr>
          <w:kern w:val="2"/>
          <w:sz w:val="20"/>
        </w:rPr>
        <w:t>Barutciski</w:t>
      </w:r>
      <w:proofErr w:type="spellEnd"/>
      <w:r w:rsidRPr="00DA5EB5">
        <w:rPr>
          <w:kern w:val="2"/>
          <w:sz w:val="20"/>
        </w:rPr>
        <w:t xml:space="preserve"> and </w:t>
      </w:r>
      <w:proofErr w:type="spellStart"/>
      <w:r w:rsidRPr="00DA5EB5">
        <w:rPr>
          <w:kern w:val="2"/>
          <w:sz w:val="20"/>
        </w:rPr>
        <w:t>Kronby</w:t>
      </w:r>
      <w:proofErr w:type="spellEnd"/>
      <w:r w:rsidRPr="00DA5EB5">
        <w:rPr>
          <w:kern w:val="2"/>
          <w:sz w:val="20"/>
        </w:rPr>
        <w:t xml:space="preserve"> argue that the new regime still </w:t>
      </w:r>
      <w:r w:rsidR="00FD6DAC" w:rsidRPr="00DA5EB5">
        <w:rPr>
          <w:kern w:val="2"/>
          <w:sz w:val="20"/>
        </w:rPr>
        <w:t>“</w:t>
      </w:r>
      <w:r w:rsidRPr="00DA5EB5">
        <w:rPr>
          <w:kern w:val="2"/>
          <w:sz w:val="20"/>
        </w:rPr>
        <w:t>tilts too heavily toward punishment and retribution at the expense of promoting a fair and competitive public procurement market and value for the taxpayer.</w:t>
      </w:r>
      <w:r w:rsidR="00FD6DAC" w:rsidRPr="00DA5EB5">
        <w:rPr>
          <w:kern w:val="2"/>
          <w:sz w:val="20"/>
        </w:rPr>
        <w:t>”</w:t>
      </w:r>
      <w:r w:rsidRPr="00DA5EB5">
        <w:rPr>
          <w:rStyle w:val="FootnoteReference"/>
          <w:color w:val="000000" w:themeColor="text1"/>
          <w:kern w:val="2"/>
        </w:rPr>
        <w:footnoteReference w:id="179"/>
      </w:r>
      <w:r w:rsidRPr="00DA5EB5">
        <w:rPr>
          <w:kern w:val="2"/>
          <w:sz w:val="20"/>
        </w:rPr>
        <w:t xml:space="preserve"> </w:t>
      </w:r>
      <w:r w:rsidR="00767ADB" w:rsidRPr="00DA5EB5">
        <w:rPr>
          <w:kern w:val="2"/>
          <w:sz w:val="20"/>
        </w:rPr>
        <w:t>The authors</w:t>
      </w:r>
      <w:r w:rsidRPr="00DA5EB5">
        <w:rPr>
          <w:kern w:val="2"/>
          <w:sz w:val="20"/>
        </w:rPr>
        <w:t xml:space="preserve"> note that a five-year debarment </w:t>
      </w:r>
      <w:r w:rsidR="00FD6DAC" w:rsidRPr="00DA5EB5">
        <w:rPr>
          <w:kern w:val="2"/>
          <w:sz w:val="20"/>
        </w:rPr>
        <w:t>“</w:t>
      </w:r>
      <w:r w:rsidRPr="00DA5EB5">
        <w:rPr>
          <w:kern w:val="2"/>
          <w:sz w:val="20"/>
        </w:rPr>
        <w:t>can still be a death penalty for some companies</w:t>
      </w:r>
      <w:r w:rsidR="00FD6DAC" w:rsidRPr="00DA5EB5">
        <w:rPr>
          <w:kern w:val="2"/>
          <w:sz w:val="20"/>
        </w:rPr>
        <w:t>”</w:t>
      </w:r>
      <w:r w:rsidRPr="00DA5EB5">
        <w:rPr>
          <w:kern w:val="2"/>
          <w:sz w:val="20"/>
        </w:rPr>
        <w:t xml:space="preserve"> and criticize the lack of flexibility and relief for companies that cooperate and implement remedial measures.</w:t>
      </w:r>
      <w:r w:rsidRPr="00DA5EB5">
        <w:rPr>
          <w:rStyle w:val="FootnoteReference"/>
          <w:color w:val="000000" w:themeColor="text1"/>
          <w:kern w:val="2"/>
          <w:sz w:val="18"/>
        </w:rPr>
        <w:footnoteReference w:id="180"/>
      </w:r>
      <w:r w:rsidRPr="00DA5EB5">
        <w:rPr>
          <w:kern w:val="2"/>
          <w:sz w:val="20"/>
        </w:rPr>
        <w:t xml:space="preserve"> </w:t>
      </w:r>
      <w:proofErr w:type="spellStart"/>
      <w:r w:rsidRPr="00DA5EB5">
        <w:rPr>
          <w:kern w:val="2"/>
          <w:sz w:val="20"/>
        </w:rPr>
        <w:t>Barutciski</w:t>
      </w:r>
      <w:proofErr w:type="spellEnd"/>
      <w:r w:rsidRPr="00DA5EB5">
        <w:rPr>
          <w:kern w:val="2"/>
          <w:sz w:val="20"/>
        </w:rPr>
        <w:t xml:space="preserve"> and </w:t>
      </w:r>
      <w:proofErr w:type="spellStart"/>
      <w:r w:rsidRPr="00DA5EB5">
        <w:rPr>
          <w:kern w:val="2"/>
          <w:sz w:val="20"/>
        </w:rPr>
        <w:t>Kronby</w:t>
      </w:r>
      <w:proofErr w:type="spellEnd"/>
      <w:r w:rsidRPr="00DA5EB5">
        <w:rPr>
          <w:kern w:val="2"/>
          <w:sz w:val="20"/>
        </w:rPr>
        <w:t xml:space="preserve"> conclude that </w:t>
      </w:r>
      <w:r w:rsidR="00FD6DAC" w:rsidRPr="00DA5EB5">
        <w:rPr>
          <w:kern w:val="2"/>
          <w:sz w:val="20"/>
        </w:rPr>
        <w:t>“</w:t>
      </w:r>
      <w:r w:rsidRPr="00DA5EB5">
        <w:rPr>
          <w:kern w:val="2"/>
          <w:sz w:val="20"/>
        </w:rPr>
        <w:t xml:space="preserve">[t]he </w:t>
      </w:r>
      <w:proofErr w:type="spellStart"/>
      <w:r w:rsidRPr="00DA5EB5">
        <w:rPr>
          <w:kern w:val="2"/>
          <w:sz w:val="20"/>
        </w:rPr>
        <w:t>new</w:t>
      </w:r>
      <w:proofErr w:type="spellEnd"/>
      <w:r w:rsidRPr="00DA5EB5">
        <w:rPr>
          <w:kern w:val="2"/>
          <w:sz w:val="20"/>
        </w:rPr>
        <w:t xml:space="preserve"> integrity regime fails to strike the right balance between punishment and deterrence of misconduct (principally the domain of criminal law) and protecting the integrity of federal procurement and taxpayer dollars (the domain of procurement rules).</w:t>
      </w:r>
      <w:r w:rsidR="00FD6DAC" w:rsidRPr="00DA5EB5">
        <w:rPr>
          <w:kern w:val="2"/>
          <w:sz w:val="20"/>
        </w:rPr>
        <w:t>”</w:t>
      </w:r>
      <w:r w:rsidRPr="00DA5EB5">
        <w:rPr>
          <w:rStyle w:val="FootnoteReference"/>
          <w:color w:val="000000" w:themeColor="text1"/>
          <w:kern w:val="2"/>
        </w:rPr>
        <w:footnoteReference w:id="181"/>
      </w:r>
    </w:p>
    <w:p w14:paraId="227E8B24" w14:textId="473F2CD4" w:rsidR="00C17712" w:rsidRPr="00DA5EB5" w:rsidRDefault="00C17712" w:rsidP="007C3517">
      <w:pPr>
        <w:rPr>
          <w:rFonts w:eastAsia="MS Mincho"/>
          <w:kern w:val="2"/>
          <w:sz w:val="20"/>
          <w:lang w:val="en"/>
        </w:rPr>
      </w:pPr>
      <w:r w:rsidRPr="00DA5EB5">
        <w:rPr>
          <w:kern w:val="2"/>
          <w:sz w:val="20"/>
        </w:rPr>
        <w:t xml:space="preserve">John Manley, </w:t>
      </w:r>
      <w:r w:rsidRPr="00DA5EB5">
        <w:rPr>
          <w:rFonts w:eastAsia="MS Mincho"/>
          <w:kern w:val="2"/>
          <w:sz w:val="20"/>
          <w:lang w:val="en"/>
        </w:rPr>
        <w:t>President and CEO of the Business Council of Canada and former deputy prime minister, points out that corporations in Canada have a strong disincentive to self-report wrongdoing or cooperate in investigations, since a guilty plea or conviction triggers the harsh debarment regime, and deferred prosecution agreements (DPAs) remain unavailable in Canada.</w:t>
      </w:r>
      <w:r w:rsidRPr="00DA5EB5">
        <w:rPr>
          <w:rStyle w:val="FootnoteReference"/>
          <w:rFonts w:eastAsia="MS Mincho"/>
          <w:color w:val="000000" w:themeColor="text1"/>
          <w:kern w:val="2"/>
          <w:sz w:val="18"/>
          <w:lang w:val="en"/>
        </w:rPr>
        <w:footnoteReference w:id="182"/>
      </w:r>
      <w:r w:rsidRPr="00DA5EB5">
        <w:rPr>
          <w:rFonts w:eastAsia="MS Mincho"/>
          <w:kern w:val="2"/>
          <w:sz w:val="20"/>
          <w:lang w:val="en"/>
        </w:rPr>
        <w:t xml:space="preserve"> Manley advocates for the introduction of DPAs in Canada to incentivize cooperation and provide prosecutors with an additional tool for fighting corporate crime. On the other hand, Stephen Schneider, professor of sociology and criminology at Saint Mary’s University, sees DPAs as a means of allowing corporations that are </w:t>
      </w:r>
      <w:r w:rsidR="00FD6DAC" w:rsidRPr="00DA5EB5">
        <w:rPr>
          <w:rFonts w:eastAsia="MS Mincho"/>
          <w:kern w:val="2"/>
          <w:sz w:val="20"/>
          <w:lang w:val="en"/>
        </w:rPr>
        <w:t>“</w:t>
      </w:r>
      <w:r w:rsidRPr="00DA5EB5">
        <w:rPr>
          <w:rFonts w:eastAsia="MS Mincho"/>
          <w:kern w:val="2"/>
          <w:sz w:val="20"/>
          <w:lang w:val="en"/>
        </w:rPr>
        <w:t>too big to fail</w:t>
      </w:r>
      <w:r w:rsidR="00FD6DAC" w:rsidRPr="00DA5EB5">
        <w:rPr>
          <w:rFonts w:eastAsia="MS Mincho"/>
          <w:kern w:val="2"/>
          <w:sz w:val="20"/>
          <w:lang w:val="en"/>
        </w:rPr>
        <w:t>”</w:t>
      </w:r>
      <w:r w:rsidRPr="00DA5EB5">
        <w:rPr>
          <w:rFonts w:eastAsia="MS Mincho"/>
          <w:kern w:val="2"/>
          <w:sz w:val="20"/>
          <w:lang w:val="en"/>
        </w:rPr>
        <w:t xml:space="preserve"> to escape criminal liability, which makes corporations </w:t>
      </w:r>
      <w:r w:rsidR="00FD6DAC" w:rsidRPr="00DA5EB5">
        <w:rPr>
          <w:rFonts w:eastAsia="MS Mincho"/>
          <w:kern w:val="2"/>
          <w:sz w:val="20"/>
          <w:lang w:val="en"/>
        </w:rPr>
        <w:t>“</w:t>
      </w:r>
      <w:r w:rsidRPr="00DA5EB5">
        <w:rPr>
          <w:rFonts w:eastAsia="MS Mincho"/>
          <w:kern w:val="2"/>
          <w:sz w:val="20"/>
          <w:lang w:val="en"/>
        </w:rPr>
        <w:t>more apt to behave badly.</w:t>
      </w:r>
      <w:r w:rsidR="00FD6DAC" w:rsidRPr="00DA5EB5">
        <w:rPr>
          <w:rFonts w:eastAsia="MS Mincho"/>
          <w:kern w:val="2"/>
          <w:sz w:val="20"/>
          <w:lang w:val="en"/>
        </w:rPr>
        <w:t>”</w:t>
      </w:r>
      <w:r w:rsidRPr="00DA5EB5">
        <w:rPr>
          <w:rStyle w:val="FootnoteReference"/>
          <w:rFonts w:eastAsia="MS Mincho"/>
          <w:color w:val="000000" w:themeColor="text1"/>
          <w:kern w:val="2"/>
          <w:sz w:val="18"/>
          <w:lang w:val="en"/>
        </w:rPr>
        <w:footnoteReference w:id="183"/>
      </w:r>
      <w:r w:rsidRPr="00DA5EB5">
        <w:rPr>
          <w:rFonts w:eastAsia="MS Mincho"/>
          <w:kern w:val="2"/>
          <w:sz w:val="20"/>
          <w:lang w:val="en"/>
        </w:rPr>
        <w:t xml:space="preserve"> For further discussion of DPAs, as well as the debate around whether such agreements should be made available in Canada, see </w:t>
      </w:r>
      <w:r w:rsidR="006A04B1" w:rsidRPr="00DA5EB5">
        <w:rPr>
          <w:rFonts w:eastAsia="MS Mincho"/>
          <w:kern w:val="2"/>
          <w:sz w:val="20"/>
          <w:highlight w:val="cyan"/>
          <w:lang w:val="en"/>
        </w:rPr>
        <w:t>C</w:t>
      </w:r>
      <w:r w:rsidRPr="00DA5EB5">
        <w:rPr>
          <w:rFonts w:eastAsia="MS Mincho"/>
          <w:kern w:val="2"/>
          <w:sz w:val="20"/>
          <w:highlight w:val="cyan"/>
          <w:lang w:val="en"/>
        </w:rPr>
        <w:t>hapter 6</w:t>
      </w:r>
      <w:r w:rsidR="000722C1" w:rsidRPr="00DA5EB5">
        <w:rPr>
          <w:rFonts w:eastAsia="MS Mincho"/>
          <w:kern w:val="2"/>
          <w:sz w:val="20"/>
          <w:lang w:val="en"/>
        </w:rPr>
        <w:t xml:space="preserve">, </w:t>
      </w:r>
      <w:r w:rsidR="000722C1" w:rsidRPr="00DA5EB5">
        <w:rPr>
          <w:rFonts w:eastAsia="MS Mincho"/>
          <w:kern w:val="2"/>
          <w:sz w:val="20"/>
          <w:highlight w:val="cyan"/>
          <w:lang w:val="en"/>
        </w:rPr>
        <w:t>Section 3</w:t>
      </w:r>
      <w:r w:rsidRPr="00DA5EB5">
        <w:rPr>
          <w:rFonts w:eastAsia="MS Mincho"/>
          <w:kern w:val="2"/>
          <w:sz w:val="20"/>
          <w:lang w:val="en"/>
        </w:rPr>
        <w:t>.</w:t>
      </w:r>
    </w:p>
    <w:p w14:paraId="5AABACD0" w14:textId="6F9C2301" w:rsidR="00C17712" w:rsidRPr="00DA5EB5" w:rsidRDefault="00C17712" w:rsidP="007C3517">
      <w:pPr>
        <w:rPr>
          <w:rFonts w:eastAsia="MS Mincho"/>
          <w:kern w:val="2"/>
          <w:sz w:val="20"/>
        </w:rPr>
      </w:pPr>
      <w:r w:rsidRPr="00DA5EB5">
        <w:rPr>
          <w:rFonts w:eastAsia="MS Mincho"/>
          <w:kern w:val="2"/>
          <w:sz w:val="20"/>
        </w:rPr>
        <w:t>Some have expressed concerns that the strictness of Canada’s debarment policies may leave the government unable to call upon the specialized expertise and in-depth knowledge of certain goods and services providers who have no close competitors.</w:t>
      </w:r>
      <w:r w:rsidRPr="00DA5EB5">
        <w:rPr>
          <w:rStyle w:val="FootnoteReference"/>
          <w:rFonts w:eastAsia="MS Mincho"/>
          <w:color w:val="000000" w:themeColor="text1"/>
          <w:kern w:val="2"/>
          <w:sz w:val="18"/>
        </w:rPr>
        <w:footnoteReference w:id="184"/>
      </w:r>
      <w:r w:rsidRPr="00DA5EB5">
        <w:rPr>
          <w:rFonts w:eastAsia="MS Mincho"/>
          <w:kern w:val="2"/>
          <w:sz w:val="20"/>
        </w:rPr>
        <w:t xml:space="preserve"> This, in turn, can result in economic losses to the government, as well as harm to Canadian taxpayers.</w:t>
      </w:r>
      <w:r w:rsidRPr="00DA5EB5">
        <w:rPr>
          <w:rStyle w:val="FootnoteReference"/>
          <w:rFonts w:eastAsia="MS Mincho"/>
          <w:color w:val="000000" w:themeColor="text1"/>
          <w:kern w:val="2"/>
          <w:sz w:val="18"/>
        </w:rPr>
        <w:footnoteReference w:id="185"/>
      </w:r>
      <w:r w:rsidRPr="00DA5EB5">
        <w:rPr>
          <w:rFonts w:eastAsia="MS Mincho"/>
          <w:kern w:val="2"/>
          <w:sz w:val="20"/>
        </w:rPr>
        <w:t xml:space="preserve"> An added concern is the detrimental impact the Integrity </w:t>
      </w:r>
      <w:r w:rsidR="0005401C" w:rsidRPr="00DA5EB5">
        <w:rPr>
          <w:rFonts w:eastAsia="MS Mincho"/>
          <w:kern w:val="2"/>
          <w:sz w:val="20"/>
        </w:rPr>
        <w:t xml:space="preserve">Regime’s </w:t>
      </w:r>
      <w:r w:rsidRPr="00DA5EB5">
        <w:rPr>
          <w:rFonts w:eastAsia="MS Mincho"/>
          <w:kern w:val="2"/>
          <w:sz w:val="20"/>
        </w:rPr>
        <w:t xml:space="preserve">debarment policy may have on Canadian companies and their employees. Responding to the severity of Canada’s debarment policies, a report commissioned by the Canadian Council of Chief Executives emphasizes that </w:t>
      </w:r>
      <w:r w:rsidR="00FD6DAC" w:rsidRPr="00DA5EB5">
        <w:rPr>
          <w:rFonts w:eastAsia="MS Mincho"/>
          <w:kern w:val="2"/>
          <w:sz w:val="20"/>
        </w:rPr>
        <w:t>“</w:t>
      </w:r>
      <w:r w:rsidRPr="00DA5EB5">
        <w:rPr>
          <w:rFonts w:eastAsia="MS Mincho"/>
          <w:kern w:val="2"/>
          <w:sz w:val="20"/>
        </w:rPr>
        <w:t>[d]</w:t>
      </w:r>
      <w:proofErr w:type="spellStart"/>
      <w:r w:rsidRPr="00DA5EB5">
        <w:rPr>
          <w:rFonts w:eastAsia="MS Mincho"/>
          <w:kern w:val="2"/>
          <w:sz w:val="20"/>
        </w:rPr>
        <w:t>ebarment</w:t>
      </w:r>
      <w:proofErr w:type="spellEnd"/>
      <w:r w:rsidRPr="00DA5EB5">
        <w:rPr>
          <w:rFonts w:eastAsia="MS Mincho"/>
          <w:kern w:val="2"/>
          <w:sz w:val="20"/>
        </w:rPr>
        <w:t xml:space="preserve"> imposes a direct cost on the debarred firms, but also on innocent parties and society at large</w:t>
      </w:r>
      <w:r w:rsidR="00E1131A" w:rsidRPr="00DA5EB5">
        <w:rPr>
          <w:rFonts w:eastAsia="MS Mincho"/>
          <w:kern w:val="2"/>
          <w:sz w:val="20"/>
        </w:rPr>
        <w:t>.</w:t>
      </w:r>
      <w:r w:rsidR="00FD6DAC" w:rsidRPr="00DA5EB5">
        <w:rPr>
          <w:rFonts w:eastAsia="MS Mincho"/>
          <w:kern w:val="2"/>
          <w:sz w:val="20"/>
        </w:rPr>
        <w:t>”</w:t>
      </w:r>
      <w:r w:rsidRPr="00DA5EB5">
        <w:rPr>
          <w:rStyle w:val="FootnoteReference"/>
          <w:rFonts w:eastAsia="MS Mincho"/>
          <w:color w:val="000000" w:themeColor="text1"/>
          <w:kern w:val="2"/>
          <w:sz w:val="18"/>
        </w:rPr>
        <w:footnoteReference w:id="186"/>
      </w:r>
      <w:r w:rsidRPr="00DA5EB5">
        <w:rPr>
          <w:rFonts w:eastAsia="MS Mincho"/>
          <w:kern w:val="2"/>
          <w:sz w:val="20"/>
        </w:rPr>
        <w:t xml:space="preserve"> The report suggests that a </w:t>
      </w:r>
      <w:r w:rsidR="00FD6DAC" w:rsidRPr="00DA5EB5">
        <w:rPr>
          <w:rFonts w:eastAsia="MS Mincho"/>
          <w:kern w:val="2"/>
          <w:sz w:val="20"/>
        </w:rPr>
        <w:t>“</w:t>
      </w:r>
      <w:r w:rsidRPr="00DA5EB5">
        <w:rPr>
          <w:rFonts w:eastAsia="MS Mincho"/>
          <w:kern w:val="2"/>
          <w:sz w:val="20"/>
        </w:rPr>
        <w:t>typical</w:t>
      </w:r>
      <w:r w:rsidR="00FD6DAC" w:rsidRPr="00DA5EB5">
        <w:rPr>
          <w:rFonts w:eastAsia="MS Mincho"/>
          <w:kern w:val="2"/>
          <w:sz w:val="20"/>
        </w:rPr>
        <w:t>”</w:t>
      </w:r>
      <w:r w:rsidRPr="00DA5EB5">
        <w:rPr>
          <w:rFonts w:eastAsia="MS Mincho"/>
          <w:kern w:val="2"/>
          <w:sz w:val="20"/>
        </w:rPr>
        <w:t xml:space="preserve"> major supplier headquartered overseas would lose sales of over </w:t>
      </w:r>
      <w:r w:rsidR="00E1131A" w:rsidRPr="00DA5EB5">
        <w:rPr>
          <w:rFonts w:eastAsia="MS Mincho"/>
          <w:kern w:val="2"/>
          <w:sz w:val="20"/>
        </w:rPr>
        <w:t>CA</w:t>
      </w:r>
      <w:r w:rsidR="00DA64D9" w:rsidRPr="00DA5EB5">
        <w:rPr>
          <w:rFonts w:eastAsia="MS Mincho"/>
          <w:kern w:val="2"/>
          <w:sz w:val="20"/>
        </w:rPr>
        <w:t>D</w:t>
      </w:r>
      <w:r w:rsidRPr="00DA5EB5">
        <w:rPr>
          <w:rFonts w:eastAsia="MS Mincho"/>
          <w:kern w:val="2"/>
          <w:sz w:val="20"/>
        </w:rPr>
        <w:t xml:space="preserve">$350 million per year and lay off 400 workers as a result of debarment, resulting in a net loss to the Canadian economy of over </w:t>
      </w:r>
      <w:r w:rsidR="00E1131A" w:rsidRPr="00DA5EB5">
        <w:rPr>
          <w:rFonts w:eastAsia="MS Mincho"/>
          <w:kern w:val="2"/>
          <w:sz w:val="20"/>
        </w:rPr>
        <w:t>CA</w:t>
      </w:r>
      <w:r w:rsidR="00DA64D9" w:rsidRPr="00DA5EB5">
        <w:rPr>
          <w:rFonts w:eastAsia="MS Mincho"/>
          <w:kern w:val="2"/>
          <w:sz w:val="20"/>
        </w:rPr>
        <w:t>D</w:t>
      </w:r>
      <w:r w:rsidRPr="00DA5EB5">
        <w:rPr>
          <w:rFonts w:eastAsia="MS Mincho"/>
          <w:kern w:val="2"/>
          <w:sz w:val="20"/>
        </w:rPr>
        <w:t>$1 billion</w:t>
      </w:r>
      <w:r w:rsidR="00AB1413" w:rsidRPr="00DA5EB5">
        <w:rPr>
          <w:rFonts w:eastAsia="MS Mincho"/>
          <w:kern w:val="2"/>
          <w:sz w:val="20"/>
        </w:rPr>
        <w:t xml:space="preserve"> </w:t>
      </w:r>
      <w:r w:rsidRPr="00DA5EB5">
        <w:rPr>
          <w:rFonts w:eastAsia="MS Mincho"/>
          <w:kern w:val="2"/>
          <w:sz w:val="20"/>
        </w:rPr>
        <w:t xml:space="preserve">over the </w:t>
      </w:r>
      <w:r w:rsidR="00603BAB" w:rsidRPr="00DA5EB5">
        <w:rPr>
          <w:rFonts w:eastAsia="MS Mincho"/>
          <w:kern w:val="2"/>
          <w:sz w:val="20"/>
        </w:rPr>
        <w:t>ten</w:t>
      </w:r>
      <w:r w:rsidRPr="00DA5EB5">
        <w:rPr>
          <w:rFonts w:eastAsia="MS Mincho"/>
          <w:kern w:val="2"/>
          <w:sz w:val="20"/>
        </w:rPr>
        <w:t>-year debarment period.</w:t>
      </w:r>
      <w:r w:rsidRPr="00DA5EB5">
        <w:rPr>
          <w:rStyle w:val="FootnoteReference"/>
          <w:rFonts w:eastAsia="MS Mincho"/>
          <w:color w:val="000000" w:themeColor="text1"/>
          <w:kern w:val="2"/>
          <w:sz w:val="18"/>
        </w:rPr>
        <w:footnoteReference w:id="187"/>
      </w:r>
      <w:r w:rsidRPr="00DA5EB5">
        <w:rPr>
          <w:rFonts w:eastAsia="MS Mincho"/>
          <w:kern w:val="2"/>
          <w:sz w:val="20"/>
        </w:rPr>
        <w:t xml:space="preserve"> The report raises concerns over </w:t>
      </w:r>
      <w:r w:rsidR="00AE5A1F" w:rsidRPr="00DA5EB5">
        <w:rPr>
          <w:rFonts w:eastAsia="MS Mincho"/>
          <w:kern w:val="2"/>
          <w:sz w:val="20"/>
        </w:rPr>
        <w:t>the following potential collateral</w:t>
      </w:r>
      <w:r w:rsidRPr="00DA5EB5">
        <w:rPr>
          <w:rFonts w:eastAsia="MS Mincho"/>
          <w:kern w:val="2"/>
          <w:sz w:val="20"/>
        </w:rPr>
        <w:t xml:space="preserve"> effects of Canada’s debarment policy:</w:t>
      </w:r>
    </w:p>
    <w:p w14:paraId="46EB8F17" w14:textId="77777777" w:rsidR="00C17712" w:rsidRPr="00DA5EB5" w:rsidRDefault="00C17712" w:rsidP="0074473E">
      <w:pPr>
        <w:pStyle w:val="BlockQuote"/>
        <w:numPr>
          <w:ilvl w:val="0"/>
          <w:numId w:val="41"/>
        </w:numPr>
        <w:spacing w:before="60" w:after="60"/>
        <w:jc w:val="left"/>
        <w:rPr>
          <w:kern w:val="2"/>
          <w:sz w:val="20"/>
        </w:rPr>
      </w:pPr>
      <w:r w:rsidRPr="00DA5EB5">
        <w:rPr>
          <w:kern w:val="2"/>
          <w:sz w:val="20"/>
        </w:rPr>
        <w:t>a reduction in the number of potential suppliers, which could lead to less variety, poorer quality, and higher prices;</w:t>
      </w:r>
    </w:p>
    <w:p w14:paraId="55DD2D10" w14:textId="77777777" w:rsidR="00C17712" w:rsidRPr="00DA5EB5" w:rsidRDefault="00C17712" w:rsidP="0074473E">
      <w:pPr>
        <w:pStyle w:val="BlockQuote"/>
        <w:numPr>
          <w:ilvl w:val="0"/>
          <w:numId w:val="41"/>
        </w:numPr>
        <w:spacing w:before="60" w:after="60"/>
        <w:jc w:val="left"/>
        <w:rPr>
          <w:kern w:val="2"/>
          <w:sz w:val="20"/>
        </w:rPr>
      </w:pPr>
      <w:r w:rsidRPr="00DA5EB5">
        <w:rPr>
          <w:kern w:val="2"/>
          <w:sz w:val="20"/>
        </w:rPr>
        <w:t>supply-chain impacts, such as small- and medium-sized firms losing contracts due to suspensions of larger companies;</w:t>
      </w:r>
    </w:p>
    <w:p w14:paraId="21169223" w14:textId="6001349C" w:rsidR="00C17712" w:rsidRPr="00DA5EB5" w:rsidRDefault="00C17712" w:rsidP="0074473E">
      <w:pPr>
        <w:pStyle w:val="BlockQuote"/>
        <w:numPr>
          <w:ilvl w:val="0"/>
          <w:numId w:val="41"/>
        </w:numPr>
        <w:spacing w:before="60" w:after="60"/>
        <w:jc w:val="left"/>
        <w:rPr>
          <w:kern w:val="2"/>
          <w:sz w:val="20"/>
        </w:rPr>
      </w:pPr>
      <w:r w:rsidRPr="00DA5EB5">
        <w:rPr>
          <w:kern w:val="2"/>
          <w:sz w:val="20"/>
        </w:rPr>
        <w:t xml:space="preserve">a </w:t>
      </w:r>
      <w:r w:rsidR="00FD6DAC" w:rsidRPr="00DA5EB5">
        <w:rPr>
          <w:kern w:val="2"/>
          <w:sz w:val="20"/>
        </w:rPr>
        <w:t>“</w:t>
      </w:r>
      <w:r w:rsidRPr="00DA5EB5">
        <w:rPr>
          <w:kern w:val="2"/>
          <w:sz w:val="20"/>
        </w:rPr>
        <w:t>chilling effect</w:t>
      </w:r>
      <w:r w:rsidR="00FD6DAC" w:rsidRPr="00DA5EB5">
        <w:rPr>
          <w:kern w:val="2"/>
          <w:sz w:val="20"/>
        </w:rPr>
        <w:t>”</w:t>
      </w:r>
      <w:r w:rsidRPr="00DA5EB5">
        <w:rPr>
          <w:kern w:val="2"/>
          <w:sz w:val="20"/>
        </w:rPr>
        <w:t xml:space="preserve"> on foreign investment in Canada by firms concerned about the stigma of being debarred in a G7 country; and</w:t>
      </w:r>
    </w:p>
    <w:p w14:paraId="79F0FB97" w14:textId="4FDCD881" w:rsidR="00C17712" w:rsidRPr="00DA5EB5" w:rsidRDefault="00C17712" w:rsidP="0074473E">
      <w:pPr>
        <w:pStyle w:val="BlockQuote"/>
        <w:numPr>
          <w:ilvl w:val="0"/>
          <w:numId w:val="41"/>
        </w:numPr>
        <w:spacing w:before="60" w:after="60"/>
        <w:jc w:val="left"/>
        <w:rPr>
          <w:kern w:val="2"/>
          <w:sz w:val="20"/>
        </w:rPr>
      </w:pPr>
      <w:proofErr w:type="gramStart"/>
      <w:r w:rsidRPr="00DA5EB5">
        <w:rPr>
          <w:kern w:val="2"/>
          <w:sz w:val="20"/>
        </w:rPr>
        <w:t>the</w:t>
      </w:r>
      <w:proofErr w:type="gramEnd"/>
      <w:r w:rsidRPr="00DA5EB5">
        <w:rPr>
          <w:kern w:val="2"/>
          <w:sz w:val="20"/>
        </w:rPr>
        <w:t xml:space="preserve"> Canadian government’s procurement rules being out of step with, and harsher than, those in many other countries.</w:t>
      </w:r>
      <w:r w:rsidR="00DA64D9" w:rsidRPr="00DA5EB5">
        <w:rPr>
          <w:rStyle w:val="FootnoteReference"/>
          <w:rFonts w:eastAsia="MS Mincho"/>
          <w:color w:val="000000" w:themeColor="text1"/>
          <w:kern w:val="2"/>
          <w:sz w:val="18"/>
        </w:rPr>
        <w:footnoteReference w:id="188"/>
      </w:r>
    </w:p>
    <w:p w14:paraId="29966D5F" w14:textId="51F1286E" w:rsidR="00C17712" w:rsidRPr="00DA5EB5" w:rsidRDefault="00C17712" w:rsidP="0023734A">
      <w:pPr>
        <w:rPr>
          <w:kern w:val="2"/>
          <w:sz w:val="20"/>
        </w:rPr>
      </w:pPr>
      <w:r w:rsidRPr="00DA5EB5">
        <w:rPr>
          <w:kern w:val="2"/>
          <w:sz w:val="20"/>
        </w:rPr>
        <w:t>A further bas</w:t>
      </w:r>
      <w:r w:rsidR="00AE5A1F" w:rsidRPr="00DA5EB5">
        <w:rPr>
          <w:kern w:val="2"/>
          <w:sz w:val="20"/>
        </w:rPr>
        <w:t>is for criticism</w:t>
      </w:r>
      <w:r w:rsidRPr="00DA5EB5">
        <w:rPr>
          <w:kern w:val="2"/>
          <w:sz w:val="20"/>
        </w:rPr>
        <w:t xml:space="preserve"> is that Canada’s approach to debarment remains uncodified. The US, by contrast, has legally codified its debarment provisions under the </w:t>
      </w:r>
      <w:r w:rsidRPr="00DA5EB5">
        <w:rPr>
          <w:i/>
          <w:iCs/>
          <w:kern w:val="2"/>
          <w:sz w:val="20"/>
        </w:rPr>
        <w:t>Federal Acquisition Regulation</w:t>
      </w:r>
      <w:r w:rsidRPr="00DA5EB5">
        <w:rPr>
          <w:kern w:val="2"/>
          <w:sz w:val="20"/>
        </w:rPr>
        <w:t xml:space="preserve">. Canada’s lack of codified debarment policies may leave contractors with a lack of certainty and predictability. Moreover, an uncodified debarment framework is not subject to </w:t>
      </w:r>
      <w:r w:rsidR="00AE5A1F" w:rsidRPr="00DA5EB5">
        <w:rPr>
          <w:kern w:val="2"/>
          <w:sz w:val="20"/>
        </w:rPr>
        <w:t xml:space="preserve">the </w:t>
      </w:r>
      <w:r w:rsidRPr="00DA5EB5">
        <w:rPr>
          <w:kern w:val="2"/>
          <w:sz w:val="20"/>
        </w:rPr>
        <w:t>sort of legislative review and scrutiny it would otherwise receive if it were codified.</w:t>
      </w:r>
    </w:p>
    <w:p w14:paraId="01B00289" w14:textId="75B1E2A1" w:rsidR="00C17712" w:rsidRPr="00DA5EB5" w:rsidRDefault="00C17712" w:rsidP="007C3517">
      <w:pPr>
        <w:rPr>
          <w:kern w:val="2"/>
          <w:sz w:val="20"/>
        </w:rPr>
      </w:pPr>
      <w:r w:rsidRPr="00DA5EB5">
        <w:rPr>
          <w:kern w:val="2"/>
          <w:sz w:val="20"/>
        </w:rPr>
        <w:t>Commentators have argued that the harshness of the Integrity Regime provides a disincentive for companies to participate in the Canadian Competition Bureau’s immunity</w:t>
      </w:r>
      <w:r w:rsidR="00E97819" w:rsidRPr="00DA5EB5">
        <w:rPr>
          <w:kern w:val="2"/>
          <w:sz w:val="20"/>
        </w:rPr>
        <w:t xml:space="preserve"> and </w:t>
      </w:r>
      <w:r w:rsidRPr="00DA5EB5">
        <w:rPr>
          <w:kern w:val="2"/>
          <w:sz w:val="20"/>
        </w:rPr>
        <w:t>leniency programs.</w:t>
      </w:r>
      <w:r w:rsidRPr="00DA5EB5">
        <w:rPr>
          <w:rStyle w:val="FootnoteReference"/>
          <w:rFonts w:eastAsia="MS Mincho"/>
          <w:color w:val="000000" w:themeColor="text1"/>
          <w:kern w:val="2"/>
          <w:sz w:val="18"/>
        </w:rPr>
        <w:footnoteReference w:id="189"/>
      </w:r>
      <w:r w:rsidRPr="00DA5EB5">
        <w:rPr>
          <w:kern w:val="2"/>
          <w:sz w:val="20"/>
        </w:rPr>
        <w:t xml:space="preserve"> Under the Integrity Regime, companies are automatically debarred if they are convicted of cartel offences (e.g., conspiracies and bid-rigging), and no exception or allowance is made in this regard for parties who participate in the Competition Bureau’s </w:t>
      </w:r>
      <w:r w:rsidR="00E97819" w:rsidRPr="00DA5EB5">
        <w:rPr>
          <w:kern w:val="2"/>
          <w:sz w:val="20"/>
        </w:rPr>
        <w:t xml:space="preserve">immunity and </w:t>
      </w:r>
      <w:r w:rsidRPr="00DA5EB5">
        <w:rPr>
          <w:kern w:val="2"/>
          <w:sz w:val="20"/>
        </w:rPr>
        <w:t xml:space="preserve">leniency program. Since the success of the </w:t>
      </w:r>
      <w:r w:rsidR="00E97819" w:rsidRPr="00DA5EB5">
        <w:rPr>
          <w:kern w:val="2"/>
          <w:sz w:val="20"/>
        </w:rPr>
        <w:t xml:space="preserve">immunity and leniency </w:t>
      </w:r>
      <w:r w:rsidRPr="00DA5EB5">
        <w:rPr>
          <w:kern w:val="2"/>
          <w:sz w:val="20"/>
        </w:rPr>
        <w:t>program depend</w:t>
      </w:r>
      <w:r w:rsidR="00E97819" w:rsidRPr="00DA5EB5">
        <w:rPr>
          <w:kern w:val="2"/>
          <w:sz w:val="20"/>
        </w:rPr>
        <w:t>s</w:t>
      </w:r>
      <w:r w:rsidRPr="00DA5EB5">
        <w:rPr>
          <w:kern w:val="2"/>
          <w:sz w:val="20"/>
        </w:rPr>
        <w:t xml:space="preserve"> upon cartel participants being incentivized to come forward and cooperate in return for either full immunity from prosecution or a reduction in penalties, and since the Integrity Regime works against such incentives, companies </w:t>
      </w:r>
      <w:r w:rsidR="00E97819" w:rsidRPr="00DA5EB5">
        <w:rPr>
          <w:kern w:val="2"/>
          <w:sz w:val="20"/>
        </w:rPr>
        <w:t xml:space="preserve">may </w:t>
      </w:r>
      <w:r w:rsidRPr="00DA5EB5">
        <w:rPr>
          <w:kern w:val="2"/>
          <w:sz w:val="20"/>
        </w:rPr>
        <w:t>feel reluctant to cooperate with either the Competition Bureau or PWGSC.</w:t>
      </w:r>
    </w:p>
    <w:p w14:paraId="2754268A" w14:textId="62F8BB35" w:rsidR="00C17712" w:rsidRPr="00DA5EB5" w:rsidRDefault="00C17712" w:rsidP="007C3517">
      <w:pPr>
        <w:rPr>
          <w:kern w:val="2"/>
          <w:sz w:val="20"/>
        </w:rPr>
      </w:pPr>
      <w:r w:rsidRPr="00DA5EB5">
        <w:rPr>
          <w:kern w:val="2"/>
          <w:sz w:val="20"/>
        </w:rPr>
        <w:t xml:space="preserve">In April 2016, PWGSC added a new requirement that all bidders, offerors, or suppliers provide a complete list of all foreign criminal charges and convictions pertaining to </w:t>
      </w:r>
      <w:r w:rsidR="003923EC" w:rsidRPr="00DA5EB5">
        <w:rPr>
          <w:kern w:val="2"/>
          <w:sz w:val="20"/>
        </w:rPr>
        <w:t>themselves</w:t>
      </w:r>
      <w:r w:rsidRPr="00DA5EB5">
        <w:rPr>
          <w:kern w:val="2"/>
          <w:sz w:val="20"/>
        </w:rPr>
        <w:t xml:space="preserve">, </w:t>
      </w:r>
      <w:r w:rsidR="003923EC" w:rsidRPr="00DA5EB5">
        <w:rPr>
          <w:kern w:val="2"/>
          <w:sz w:val="20"/>
        </w:rPr>
        <w:t>their</w:t>
      </w:r>
      <w:r w:rsidRPr="00DA5EB5">
        <w:rPr>
          <w:kern w:val="2"/>
          <w:sz w:val="20"/>
        </w:rPr>
        <w:t xml:space="preserve"> affiliates and </w:t>
      </w:r>
      <w:r w:rsidR="003923EC" w:rsidRPr="00DA5EB5">
        <w:rPr>
          <w:kern w:val="2"/>
          <w:sz w:val="20"/>
        </w:rPr>
        <w:t>their</w:t>
      </w:r>
      <w:r w:rsidRPr="00DA5EB5">
        <w:rPr>
          <w:kern w:val="2"/>
          <w:sz w:val="20"/>
        </w:rPr>
        <w:t xml:space="preserve"> proposed first-tier subcontractors that, to the best of the entity’s knowledge and belief, may be similar to one of the listed offences.</w:t>
      </w:r>
      <w:r w:rsidRPr="00DA5EB5">
        <w:rPr>
          <w:rStyle w:val="FootnoteReference"/>
          <w:rFonts w:eastAsia="MS Mincho"/>
          <w:color w:val="000000" w:themeColor="text1"/>
          <w:kern w:val="2"/>
          <w:sz w:val="18"/>
        </w:rPr>
        <w:footnoteReference w:id="190"/>
      </w:r>
      <w:r w:rsidRPr="00DA5EB5">
        <w:rPr>
          <w:kern w:val="2"/>
          <w:sz w:val="20"/>
        </w:rPr>
        <w:t xml:space="preserve"> In submitting a bid, the bidder, offeror, or supplier must certify that it has provided a complete list. If, in the opinion of PWGSC, a supplier has provided a false or misleading certification or declaration, the supplier is rendered automatically ineligible for </w:t>
      </w:r>
      <w:r w:rsidR="003923EC" w:rsidRPr="00DA5EB5">
        <w:rPr>
          <w:kern w:val="2"/>
          <w:sz w:val="20"/>
        </w:rPr>
        <w:t>ten</w:t>
      </w:r>
      <w:r w:rsidRPr="00DA5EB5">
        <w:rPr>
          <w:kern w:val="2"/>
          <w:sz w:val="20"/>
        </w:rPr>
        <w:t xml:space="preserve"> years. </w:t>
      </w:r>
      <w:proofErr w:type="spellStart"/>
      <w:r w:rsidRPr="00DA5EB5">
        <w:rPr>
          <w:kern w:val="2"/>
          <w:sz w:val="20"/>
        </w:rPr>
        <w:t>Barutciski</w:t>
      </w:r>
      <w:proofErr w:type="spellEnd"/>
      <w:r w:rsidRPr="00DA5EB5">
        <w:rPr>
          <w:kern w:val="2"/>
          <w:sz w:val="20"/>
        </w:rPr>
        <w:t xml:space="preserve"> et al</w:t>
      </w:r>
      <w:r w:rsidRPr="00DA5EB5">
        <w:rPr>
          <w:i/>
          <w:kern w:val="2"/>
          <w:sz w:val="20"/>
        </w:rPr>
        <w:t>.</w:t>
      </w:r>
      <w:r w:rsidRPr="00DA5EB5">
        <w:rPr>
          <w:kern w:val="2"/>
          <w:sz w:val="20"/>
        </w:rPr>
        <w:t xml:space="preserve"> criticize the new reporting requirement in the following terms:</w:t>
      </w:r>
    </w:p>
    <w:p w14:paraId="46208177" w14:textId="68D425F1" w:rsidR="00C17712" w:rsidRPr="00DA5EB5" w:rsidRDefault="00C17712" w:rsidP="007C3517">
      <w:pPr>
        <w:pStyle w:val="BlockQuote"/>
        <w:rPr>
          <w:kern w:val="2"/>
          <w:sz w:val="20"/>
          <w:lang w:val="en"/>
        </w:rPr>
      </w:pPr>
      <w:r w:rsidRPr="00DA5EB5">
        <w:rPr>
          <w:kern w:val="2"/>
          <w:sz w:val="20"/>
        </w:rPr>
        <w:t xml:space="preserve">… </w:t>
      </w:r>
      <w:proofErr w:type="gramStart"/>
      <w:r w:rsidRPr="00DA5EB5">
        <w:rPr>
          <w:kern w:val="2"/>
          <w:sz w:val="20"/>
        </w:rPr>
        <w:t>the</w:t>
      </w:r>
      <w:proofErr w:type="gramEnd"/>
      <w:r w:rsidRPr="00DA5EB5">
        <w:rPr>
          <w:kern w:val="2"/>
          <w:sz w:val="20"/>
        </w:rPr>
        <w:t xml:space="preserve"> certification requirement with respect to affiliate charges and convictions, in conjunction with the severe penalty for false reporting, seems destined to create compliance nightmares for large multinational companies. Given the broad range of offences – both in Canada and abroad – that might be captured by the new provisions, and the obligation to include charges as well as convictions, this requirement will inject yet further compliance cost and uncertainty into the process for uncertain benefits from the standpoint of preserving integrity in government procurement as opposed to punishment.</w:t>
      </w:r>
      <w:r w:rsidR="001444E8" w:rsidRPr="00DA5EB5">
        <w:rPr>
          <w:rStyle w:val="FootnoteReference"/>
          <w:rFonts w:eastAsia="MS Mincho"/>
          <w:color w:val="000000" w:themeColor="text1"/>
          <w:kern w:val="2"/>
          <w:sz w:val="18"/>
          <w:szCs w:val="21"/>
        </w:rPr>
        <w:footnoteReference w:id="191"/>
      </w:r>
    </w:p>
    <w:p w14:paraId="4F986FBB" w14:textId="05C90DD3" w:rsidR="00C17712" w:rsidRPr="00DA5EB5" w:rsidRDefault="00C17712" w:rsidP="0023734A">
      <w:pPr>
        <w:rPr>
          <w:rFonts w:eastAsia="MS Mincho"/>
          <w:kern w:val="2"/>
          <w:sz w:val="20"/>
        </w:rPr>
      </w:pPr>
      <w:r w:rsidRPr="00DA5EB5">
        <w:rPr>
          <w:kern w:val="2"/>
          <w:sz w:val="20"/>
          <w:lang w:val="en"/>
        </w:rPr>
        <w:t xml:space="preserve">Currently, the government and private industry are at odds about certain aspects of debarment practice. SNC-Lavalin, Canada’s largest engineering firm, is currently debarred by the World Bank for corruption relating to the Padma Bridge project (see </w:t>
      </w:r>
      <w:r w:rsidR="006E35AF" w:rsidRPr="00DA5EB5">
        <w:rPr>
          <w:kern w:val="2"/>
          <w:sz w:val="20"/>
          <w:highlight w:val="cyan"/>
          <w:lang w:val="en"/>
        </w:rPr>
        <w:t>C</w:t>
      </w:r>
      <w:r w:rsidR="002619B9" w:rsidRPr="00DA5EB5">
        <w:rPr>
          <w:kern w:val="2"/>
          <w:sz w:val="20"/>
          <w:highlight w:val="cyan"/>
          <w:lang w:val="en"/>
        </w:rPr>
        <w:t>hapter 1</w:t>
      </w:r>
      <w:r w:rsidRPr="00DA5EB5">
        <w:rPr>
          <w:kern w:val="2"/>
          <w:sz w:val="20"/>
          <w:lang w:val="en"/>
        </w:rPr>
        <w:t xml:space="preserve">). </w:t>
      </w:r>
      <w:r w:rsidR="007C6ECA" w:rsidRPr="00DA5EB5">
        <w:rPr>
          <w:kern w:val="2"/>
          <w:sz w:val="20"/>
          <w:lang w:val="en"/>
        </w:rPr>
        <w:t>After</w:t>
      </w:r>
      <w:r w:rsidR="00375CDA" w:rsidRPr="00DA5EB5">
        <w:rPr>
          <w:kern w:val="2"/>
          <w:sz w:val="20"/>
          <w:lang w:val="en"/>
        </w:rPr>
        <w:t xml:space="preserve"> SNC-Lavalin agre</w:t>
      </w:r>
      <w:r w:rsidRPr="00DA5EB5">
        <w:rPr>
          <w:kern w:val="2"/>
          <w:sz w:val="20"/>
          <w:lang w:val="en"/>
        </w:rPr>
        <w:t>e</w:t>
      </w:r>
      <w:r w:rsidR="007C6ECA" w:rsidRPr="00DA5EB5">
        <w:rPr>
          <w:kern w:val="2"/>
          <w:sz w:val="20"/>
          <w:lang w:val="en"/>
        </w:rPr>
        <w:t>d</w:t>
      </w:r>
      <w:r w:rsidRPr="00DA5EB5">
        <w:rPr>
          <w:kern w:val="2"/>
          <w:sz w:val="20"/>
          <w:lang w:val="en"/>
        </w:rPr>
        <w:t xml:space="preserve"> with the World Bank to a </w:t>
      </w:r>
      <w:r w:rsidR="007C6ECA" w:rsidRPr="00DA5EB5">
        <w:rPr>
          <w:kern w:val="2"/>
          <w:sz w:val="20"/>
          <w:lang w:val="en"/>
        </w:rPr>
        <w:t>ten</w:t>
      </w:r>
      <w:r w:rsidRPr="00DA5EB5">
        <w:rPr>
          <w:kern w:val="2"/>
          <w:sz w:val="20"/>
          <w:lang w:val="en"/>
        </w:rPr>
        <w:t xml:space="preserve">-year ban, the RCMP laid corruption and fraud charges against SNC-Lavalin and two subsidiaries over alleged bribery in Libya. While the company disputes the charges, it argues that the strict </w:t>
      </w:r>
      <w:r w:rsidR="007C6ECA" w:rsidRPr="00DA5EB5">
        <w:rPr>
          <w:kern w:val="2"/>
          <w:sz w:val="20"/>
          <w:lang w:val="en"/>
        </w:rPr>
        <w:t>Canadian debarment</w:t>
      </w:r>
      <w:r w:rsidRPr="00DA5EB5">
        <w:rPr>
          <w:kern w:val="2"/>
          <w:sz w:val="20"/>
          <w:lang w:val="en"/>
        </w:rPr>
        <w:t xml:space="preserve"> rules could destroy the company.</w:t>
      </w:r>
      <w:r w:rsidRPr="00DA5EB5">
        <w:rPr>
          <w:rStyle w:val="FootnoteReference"/>
          <w:color w:val="000000" w:themeColor="text1"/>
          <w:kern w:val="2"/>
          <w:lang w:val="en"/>
        </w:rPr>
        <w:footnoteReference w:id="192"/>
      </w:r>
      <w:r w:rsidRPr="00DA5EB5">
        <w:rPr>
          <w:kern w:val="2"/>
          <w:sz w:val="20"/>
          <w:lang w:val="en"/>
        </w:rPr>
        <w:t xml:space="preserve"> </w:t>
      </w:r>
      <w:r w:rsidRPr="00DA5EB5">
        <w:rPr>
          <w:rFonts w:eastAsia="MS Mincho"/>
          <w:kern w:val="2"/>
          <w:sz w:val="20"/>
        </w:rPr>
        <w:t>In December</w:t>
      </w:r>
      <w:r w:rsidR="00B84571" w:rsidRPr="00DA5EB5">
        <w:rPr>
          <w:rFonts w:eastAsia="MS Mincho"/>
          <w:kern w:val="2"/>
          <w:sz w:val="20"/>
        </w:rPr>
        <w:t>,</w:t>
      </w:r>
      <w:r w:rsidRPr="00DA5EB5">
        <w:rPr>
          <w:rFonts w:eastAsia="MS Mincho"/>
          <w:kern w:val="2"/>
          <w:sz w:val="20"/>
        </w:rPr>
        <w:t xml:space="preserve"> 2015, SNC-Lavalin became the first corporation to sign an administrative agreement under the new Integrity Regime, which confirmed the company’s eligibility as a supplier to the Canadian government while the foreign bribery charges </w:t>
      </w:r>
      <w:r w:rsidR="00B84571" w:rsidRPr="00DA5EB5">
        <w:rPr>
          <w:rFonts w:eastAsia="MS Mincho"/>
          <w:kern w:val="2"/>
          <w:sz w:val="20"/>
        </w:rPr>
        <w:t xml:space="preserve">are </w:t>
      </w:r>
      <w:r w:rsidRPr="00DA5EB5">
        <w:rPr>
          <w:rFonts w:eastAsia="MS Mincho"/>
          <w:kern w:val="2"/>
          <w:sz w:val="20"/>
        </w:rPr>
        <w:t>pending.</w:t>
      </w:r>
      <w:r w:rsidRPr="00DA5EB5">
        <w:rPr>
          <w:rStyle w:val="FootnoteReference"/>
          <w:rFonts w:eastAsia="MS Mincho"/>
          <w:color w:val="000000" w:themeColor="text1"/>
          <w:kern w:val="2"/>
          <w:sz w:val="18"/>
        </w:rPr>
        <w:footnoteReference w:id="193"/>
      </w:r>
    </w:p>
    <w:p w14:paraId="2BA948E9" w14:textId="4147D614" w:rsidR="003C67B1" w:rsidRPr="00DA5EB5" w:rsidRDefault="003C67B1" w:rsidP="003C67B1">
      <w:pPr>
        <w:rPr>
          <w:sz w:val="20"/>
        </w:rPr>
      </w:pPr>
      <w:r w:rsidRPr="00DA5EB5">
        <w:rPr>
          <w:sz w:val="20"/>
        </w:rPr>
        <w:t>In September 2017, the government of Canada instituted a public consultation, which they referred to as “expanding Canada’s toolkit to address corporate wrongdoing.”</w:t>
      </w:r>
      <w:r w:rsidRPr="00DA5EB5">
        <w:rPr>
          <w:rStyle w:val="FootnoteReference"/>
          <w:sz w:val="18"/>
        </w:rPr>
        <w:footnoteReference w:id="194"/>
      </w:r>
      <w:r w:rsidRPr="00DA5EB5">
        <w:rPr>
          <w:sz w:val="20"/>
        </w:rPr>
        <w:t xml:space="preserve"> A major focus of the consultation was on whether Canada should enhance its Integrity Regime by making its current suspension and debarment policies more flexible. The consultation included a discussion paper on possible enhancements to the Integrity Regime, setting out 10 issues or considerations that should be taken into account in deciding whether and how to alter the current suspension and debarment policies.</w:t>
      </w:r>
      <w:r w:rsidR="00782974" w:rsidRPr="00DA5EB5">
        <w:rPr>
          <w:rStyle w:val="FootnoteReference"/>
          <w:sz w:val="18"/>
        </w:rPr>
        <w:footnoteReference w:id="195"/>
      </w:r>
      <w:r w:rsidRPr="00DA5EB5">
        <w:rPr>
          <w:sz w:val="20"/>
        </w:rPr>
        <w:t xml:space="preserve"> The consultation process, the consultation document and the discussion paper leave me with the impression that the government is on a slow and cautious path toward creating a more flexible (and often times more lenient) scheme for suspensions and debarments. In February 2018, the Canadian government published a report on its consultations.</w:t>
      </w:r>
      <w:r w:rsidRPr="00DA5EB5">
        <w:rPr>
          <w:rStyle w:val="FootnoteReference"/>
          <w:sz w:val="18"/>
        </w:rPr>
        <w:footnoteReference w:id="196"/>
      </w:r>
      <w:r w:rsidRPr="00DA5EB5">
        <w:rPr>
          <w:sz w:val="20"/>
        </w:rPr>
        <w:t xml:space="preserve"> The report indicates that the government received 45 online submissions on the possible adoption of a DPA scheme with 43% from business, 30% from individuals, 20% from law enforcement and other justice sectors, and 7% from NGOs.</w:t>
      </w:r>
      <w:r w:rsidRPr="00DA5EB5">
        <w:rPr>
          <w:rStyle w:val="FootnoteReference"/>
          <w:sz w:val="18"/>
        </w:rPr>
        <w:footnoteReference w:id="197"/>
      </w:r>
      <w:r w:rsidRPr="00DA5EB5">
        <w:rPr>
          <w:sz w:val="20"/>
        </w:rPr>
        <w:t xml:space="preserve"> Government officials also held 40 meetings with 370 participants to hear their views (some on DPAs, others on suspensions, debarments and the Integrity Regime). On the key question related to whether more discretion in fixing periods of debarment is desirable, the report indicated that this question “garnered the most comments and strongest views.”</w:t>
      </w:r>
      <w:r w:rsidRPr="00DA5EB5">
        <w:rPr>
          <w:rStyle w:val="FootnoteReference"/>
          <w:sz w:val="18"/>
        </w:rPr>
        <w:footnoteReference w:id="198"/>
      </w:r>
      <w:r w:rsidRPr="00DA5EB5">
        <w:rPr>
          <w:sz w:val="20"/>
        </w:rPr>
        <w:t xml:space="preserve"> On this issue, the report states:</w:t>
      </w:r>
    </w:p>
    <w:p w14:paraId="0CD6E065" w14:textId="77777777" w:rsidR="003C67B1" w:rsidRPr="00DA5EB5" w:rsidRDefault="003C67B1" w:rsidP="00A94958">
      <w:pPr>
        <w:pStyle w:val="BlockQuote"/>
        <w:rPr>
          <w:i/>
          <w:sz w:val="20"/>
        </w:rPr>
      </w:pPr>
      <w:r w:rsidRPr="00DA5EB5">
        <w:rPr>
          <w:i/>
          <w:sz w:val="20"/>
        </w:rPr>
        <w:t>Time period</w:t>
      </w:r>
    </w:p>
    <w:p w14:paraId="6E5A5DAB" w14:textId="77777777" w:rsidR="003C67B1" w:rsidRPr="00DA5EB5" w:rsidRDefault="003C67B1" w:rsidP="00A94958">
      <w:pPr>
        <w:pStyle w:val="BlockQuote"/>
        <w:rPr>
          <w:sz w:val="20"/>
        </w:rPr>
      </w:pPr>
      <w:r w:rsidRPr="00DA5EB5">
        <w:rPr>
          <w:sz w:val="20"/>
        </w:rPr>
        <w:t>The majority of participants suggested that the time periods associated with ineligibility be reduced from the current 10 years (reducible to five), which was seen as too long. The principal view was to favour full discretion in the determination of a period of ineligibility, including the ability to reduce the period to zero.</w:t>
      </w:r>
    </w:p>
    <w:p w14:paraId="7260A831" w14:textId="77777777" w:rsidR="003C67B1" w:rsidRPr="00DA5EB5" w:rsidRDefault="003C67B1" w:rsidP="00A94958">
      <w:pPr>
        <w:pStyle w:val="BlockQuote"/>
        <w:rPr>
          <w:sz w:val="20"/>
        </w:rPr>
      </w:pPr>
      <w:r w:rsidRPr="00DA5EB5">
        <w:rPr>
          <w:sz w:val="20"/>
        </w:rPr>
        <w:t>Other views were for:</w:t>
      </w:r>
    </w:p>
    <w:p w14:paraId="01214303" w14:textId="77777777" w:rsidR="003C67B1" w:rsidRPr="00DA5EB5" w:rsidRDefault="003C67B1" w:rsidP="00291B72">
      <w:pPr>
        <w:pStyle w:val="BlockQuote"/>
        <w:numPr>
          <w:ilvl w:val="0"/>
          <w:numId w:val="81"/>
        </w:numPr>
        <w:spacing w:before="60" w:after="0"/>
        <w:rPr>
          <w:sz w:val="20"/>
        </w:rPr>
      </w:pPr>
      <w:r w:rsidRPr="00DA5EB5">
        <w:rPr>
          <w:sz w:val="20"/>
        </w:rPr>
        <w:t>an ineligibility period aligned with those of Canada's major trading partners</w:t>
      </w:r>
    </w:p>
    <w:p w14:paraId="74146A15" w14:textId="77777777" w:rsidR="003C67B1" w:rsidRPr="00DA5EB5" w:rsidRDefault="003C67B1" w:rsidP="00291B72">
      <w:pPr>
        <w:pStyle w:val="BlockQuote"/>
        <w:numPr>
          <w:ilvl w:val="0"/>
          <w:numId w:val="81"/>
        </w:numPr>
        <w:spacing w:before="60" w:after="0"/>
        <w:rPr>
          <w:sz w:val="20"/>
        </w:rPr>
      </w:pPr>
      <w:r w:rsidRPr="00DA5EB5">
        <w:rPr>
          <w:sz w:val="20"/>
        </w:rPr>
        <w:t>a maximum period of between three and five years</w:t>
      </w:r>
    </w:p>
    <w:p w14:paraId="1F4AB0B1" w14:textId="77777777" w:rsidR="003C67B1" w:rsidRPr="00DA5EB5" w:rsidRDefault="003C67B1" w:rsidP="00A94958">
      <w:pPr>
        <w:pStyle w:val="BlockQuote"/>
        <w:rPr>
          <w:i/>
          <w:sz w:val="20"/>
        </w:rPr>
      </w:pPr>
      <w:r w:rsidRPr="00DA5EB5">
        <w:rPr>
          <w:i/>
          <w:sz w:val="20"/>
        </w:rPr>
        <w:t>Factors to determine time period</w:t>
      </w:r>
    </w:p>
    <w:p w14:paraId="5135204D" w14:textId="77777777" w:rsidR="003C67B1" w:rsidRPr="00DA5EB5" w:rsidRDefault="003C67B1" w:rsidP="00A94958">
      <w:pPr>
        <w:pStyle w:val="BlockQuote"/>
        <w:rPr>
          <w:sz w:val="20"/>
        </w:rPr>
      </w:pPr>
      <w:r w:rsidRPr="00DA5EB5">
        <w:rPr>
          <w:sz w:val="20"/>
        </w:rPr>
        <w:t>Many provided a list of factors to be taken into account when determining an appropriate ineligibility period with some noting that these should be published as part of the policy; others suggested that such factors be used as guidelines rather than be an exhaustive list. Most proposals for factors for consideration included:</w:t>
      </w:r>
    </w:p>
    <w:p w14:paraId="7E24FBCA" w14:textId="77777777" w:rsidR="003C67B1" w:rsidRPr="00DA5EB5" w:rsidRDefault="003C67B1" w:rsidP="00291B72">
      <w:pPr>
        <w:pStyle w:val="BlockQuote"/>
        <w:numPr>
          <w:ilvl w:val="0"/>
          <w:numId w:val="82"/>
        </w:numPr>
        <w:spacing w:before="60" w:after="0"/>
        <w:rPr>
          <w:sz w:val="20"/>
        </w:rPr>
      </w:pPr>
      <w:r w:rsidRPr="00DA5EB5">
        <w:rPr>
          <w:sz w:val="20"/>
        </w:rPr>
        <w:t>the severity of the offence committed</w:t>
      </w:r>
    </w:p>
    <w:p w14:paraId="6BDC8212" w14:textId="77777777" w:rsidR="003C67B1" w:rsidRPr="00DA5EB5" w:rsidRDefault="003C67B1" w:rsidP="00291B72">
      <w:pPr>
        <w:pStyle w:val="BlockQuote"/>
        <w:numPr>
          <w:ilvl w:val="0"/>
          <w:numId w:val="82"/>
        </w:numPr>
        <w:spacing w:before="60" w:after="0"/>
        <w:rPr>
          <w:sz w:val="20"/>
        </w:rPr>
      </w:pPr>
      <w:r w:rsidRPr="00DA5EB5">
        <w:rPr>
          <w:sz w:val="20"/>
        </w:rPr>
        <w:t>self-reporting and cooperation with law enforcement</w:t>
      </w:r>
    </w:p>
    <w:p w14:paraId="0576D8F7" w14:textId="77777777" w:rsidR="003C67B1" w:rsidRPr="00DA5EB5" w:rsidRDefault="003C67B1" w:rsidP="00291B72">
      <w:pPr>
        <w:pStyle w:val="BlockQuote"/>
        <w:numPr>
          <w:ilvl w:val="0"/>
          <w:numId w:val="82"/>
        </w:numPr>
        <w:spacing w:before="60" w:after="0"/>
        <w:rPr>
          <w:sz w:val="20"/>
        </w:rPr>
      </w:pPr>
      <w:r w:rsidRPr="00DA5EB5">
        <w:rPr>
          <w:sz w:val="20"/>
        </w:rPr>
        <w:t>taking corrective action</w:t>
      </w:r>
    </w:p>
    <w:p w14:paraId="3B6E28EA" w14:textId="77777777" w:rsidR="003C67B1" w:rsidRPr="00DA5EB5" w:rsidRDefault="003C67B1" w:rsidP="00291B72">
      <w:pPr>
        <w:pStyle w:val="BlockQuote"/>
        <w:numPr>
          <w:ilvl w:val="0"/>
          <w:numId w:val="82"/>
        </w:numPr>
        <w:spacing w:before="60" w:after="0"/>
        <w:rPr>
          <w:sz w:val="20"/>
        </w:rPr>
      </w:pPr>
      <w:r w:rsidRPr="00DA5EB5">
        <w:rPr>
          <w:sz w:val="20"/>
        </w:rPr>
        <w:t>establishing compliance programs</w:t>
      </w:r>
    </w:p>
    <w:p w14:paraId="0C2460CB" w14:textId="77777777" w:rsidR="003C67B1" w:rsidRPr="00DA5EB5" w:rsidRDefault="003C67B1" w:rsidP="00291B72">
      <w:pPr>
        <w:pStyle w:val="BlockQuote"/>
        <w:numPr>
          <w:ilvl w:val="0"/>
          <w:numId w:val="82"/>
        </w:numPr>
        <w:spacing w:before="60" w:after="0"/>
        <w:rPr>
          <w:sz w:val="20"/>
        </w:rPr>
      </w:pPr>
      <w:r w:rsidRPr="00DA5EB5">
        <w:rPr>
          <w:sz w:val="20"/>
        </w:rPr>
        <w:t>efforts at restitution</w:t>
      </w:r>
    </w:p>
    <w:p w14:paraId="6AA1FFAB" w14:textId="77777777" w:rsidR="003C67B1" w:rsidRPr="00DA5EB5" w:rsidRDefault="003C67B1" w:rsidP="00291B72">
      <w:pPr>
        <w:pStyle w:val="BlockQuote"/>
        <w:numPr>
          <w:ilvl w:val="0"/>
          <w:numId w:val="82"/>
        </w:numPr>
        <w:spacing w:before="60" w:after="0"/>
        <w:rPr>
          <w:sz w:val="20"/>
        </w:rPr>
      </w:pPr>
      <w:r w:rsidRPr="00DA5EB5">
        <w:rPr>
          <w:sz w:val="20"/>
        </w:rPr>
        <w:t>repeat offences</w:t>
      </w:r>
    </w:p>
    <w:p w14:paraId="46A080F9" w14:textId="77777777" w:rsidR="003C67B1" w:rsidRPr="00DA5EB5" w:rsidRDefault="003C67B1" w:rsidP="00A94958">
      <w:pPr>
        <w:pStyle w:val="BlockQuote"/>
        <w:rPr>
          <w:sz w:val="20"/>
        </w:rPr>
      </w:pPr>
      <w:r w:rsidRPr="00DA5EB5">
        <w:rPr>
          <w:sz w:val="20"/>
        </w:rPr>
        <w:t>Other factors raised were:</w:t>
      </w:r>
    </w:p>
    <w:p w14:paraId="1680A0EF" w14:textId="77777777" w:rsidR="003C67B1" w:rsidRPr="00DA5EB5" w:rsidRDefault="003C67B1" w:rsidP="00291B72">
      <w:pPr>
        <w:pStyle w:val="BlockQuote"/>
        <w:numPr>
          <w:ilvl w:val="0"/>
          <w:numId w:val="83"/>
        </w:numPr>
        <w:spacing w:before="60" w:after="0"/>
        <w:rPr>
          <w:sz w:val="20"/>
        </w:rPr>
      </w:pPr>
      <w:r w:rsidRPr="00DA5EB5">
        <w:rPr>
          <w:sz w:val="20"/>
        </w:rPr>
        <w:t>the consideration of the impacts on employees, the economy and government</w:t>
      </w:r>
    </w:p>
    <w:p w14:paraId="5FAAA772" w14:textId="77777777" w:rsidR="003C67B1" w:rsidRPr="00DA5EB5" w:rsidRDefault="003C67B1" w:rsidP="00291B72">
      <w:pPr>
        <w:pStyle w:val="BlockQuote"/>
        <w:numPr>
          <w:ilvl w:val="0"/>
          <w:numId w:val="83"/>
        </w:numPr>
        <w:spacing w:before="60" w:after="0"/>
        <w:rPr>
          <w:sz w:val="20"/>
        </w:rPr>
      </w:pPr>
      <w:r w:rsidRPr="00DA5EB5">
        <w:rPr>
          <w:sz w:val="20"/>
        </w:rPr>
        <w:t>the inclusion of exemptions from debarment for participants in pre-existing cooperation programs, such as the Competition Bureau’s Leniency program</w:t>
      </w:r>
    </w:p>
    <w:p w14:paraId="1C1CC5BE" w14:textId="77777777" w:rsidR="003C67B1" w:rsidRPr="00DA5EB5" w:rsidRDefault="003C67B1" w:rsidP="00A94958">
      <w:pPr>
        <w:pStyle w:val="BlockQuote"/>
        <w:rPr>
          <w:sz w:val="20"/>
        </w:rPr>
      </w:pPr>
      <w:r w:rsidRPr="00DA5EB5">
        <w:rPr>
          <w:sz w:val="20"/>
        </w:rPr>
        <w:t>There was a recognition that introducing a considerable amount of discretion into the Integrity Regime could pose risks of inconsistent decision making and reduced predictability in determination processes. Therefore, the importance of transparency and due process in the determination process was stressed, including:</w:t>
      </w:r>
    </w:p>
    <w:p w14:paraId="16DAC1A0" w14:textId="77777777" w:rsidR="003C67B1" w:rsidRPr="00DA5EB5" w:rsidRDefault="003C67B1" w:rsidP="00291B72">
      <w:pPr>
        <w:pStyle w:val="BlockQuote"/>
        <w:numPr>
          <w:ilvl w:val="0"/>
          <w:numId w:val="84"/>
        </w:numPr>
        <w:spacing w:before="60" w:after="0"/>
        <w:rPr>
          <w:sz w:val="20"/>
        </w:rPr>
      </w:pPr>
      <w:r w:rsidRPr="00DA5EB5">
        <w:rPr>
          <w:sz w:val="20"/>
        </w:rPr>
        <w:t>an opportunity for suppliers to present their side / facts and submissions</w:t>
      </w:r>
    </w:p>
    <w:p w14:paraId="6142C20F" w14:textId="77777777" w:rsidR="003C67B1" w:rsidRPr="00DA5EB5" w:rsidRDefault="003C67B1" w:rsidP="00291B72">
      <w:pPr>
        <w:pStyle w:val="BlockQuote"/>
        <w:numPr>
          <w:ilvl w:val="0"/>
          <w:numId w:val="84"/>
        </w:numPr>
        <w:spacing w:before="60" w:after="0"/>
        <w:rPr>
          <w:sz w:val="20"/>
        </w:rPr>
      </w:pPr>
      <w:r w:rsidRPr="00DA5EB5">
        <w:rPr>
          <w:sz w:val="20"/>
        </w:rPr>
        <w:t>the publication of guidelines governing the exercise of discretion</w:t>
      </w:r>
    </w:p>
    <w:p w14:paraId="591B965C" w14:textId="77777777" w:rsidR="003C67B1" w:rsidRPr="00DA5EB5" w:rsidRDefault="003C67B1" w:rsidP="00291B72">
      <w:pPr>
        <w:pStyle w:val="BlockQuote"/>
        <w:numPr>
          <w:ilvl w:val="0"/>
          <w:numId w:val="84"/>
        </w:numPr>
        <w:spacing w:before="60" w:after="0"/>
        <w:rPr>
          <w:sz w:val="20"/>
        </w:rPr>
      </w:pPr>
      <w:r w:rsidRPr="00DA5EB5">
        <w:rPr>
          <w:sz w:val="20"/>
        </w:rPr>
        <w:t>procedures to appeal and to reduce debarment periods</w:t>
      </w:r>
    </w:p>
    <w:p w14:paraId="27B5C97F" w14:textId="77777777" w:rsidR="003C67B1" w:rsidRPr="00DA5EB5" w:rsidRDefault="003C67B1" w:rsidP="00A94958">
      <w:pPr>
        <w:pStyle w:val="BlockQuote"/>
        <w:rPr>
          <w:rFonts w:eastAsia="Times New Roman" w:cs="Times New Roman"/>
          <w:sz w:val="20"/>
          <w:lang w:eastAsia="en-CA"/>
        </w:rPr>
      </w:pPr>
      <w:r w:rsidRPr="00DA5EB5">
        <w:rPr>
          <w:rFonts w:eastAsia="Times New Roman" w:cs="Times New Roman"/>
          <w:sz w:val="20"/>
          <w:lang w:eastAsia="en-CA"/>
        </w:rPr>
        <w:t>The need to integrate a safe-harbour provision that would allow companies to self-disclose adverse information without being punished was identified. The possibility of a reassessment of the debarment decision after a certain amount of time was also raised.</w:t>
      </w:r>
      <w:r w:rsidRPr="00DA5EB5">
        <w:rPr>
          <w:rStyle w:val="FootnoteReference"/>
          <w:rFonts w:eastAsia="Times New Roman" w:cs="Times New Roman"/>
          <w:sz w:val="18"/>
          <w:lang w:eastAsia="en-CA"/>
        </w:rPr>
        <w:footnoteReference w:id="199"/>
      </w:r>
    </w:p>
    <w:p w14:paraId="630D6F9E" w14:textId="77777777" w:rsidR="00C17712" w:rsidRPr="00DA5EB5" w:rsidRDefault="00C17712" w:rsidP="007C3517">
      <w:pPr>
        <w:rPr>
          <w:rFonts w:eastAsia="MS Mincho"/>
          <w:kern w:val="2"/>
          <w:sz w:val="20"/>
        </w:rPr>
      </w:pPr>
      <w:r w:rsidRPr="00DA5EB5">
        <w:rPr>
          <w:kern w:val="2"/>
          <w:sz w:val="20"/>
        </w:rPr>
        <w:t xml:space="preserve">Quebec’s </w:t>
      </w:r>
      <w:r w:rsidRPr="00DA5EB5">
        <w:rPr>
          <w:i/>
          <w:kern w:val="2"/>
          <w:sz w:val="20"/>
        </w:rPr>
        <w:t>Act Respecting Contracting by Public Bodies</w:t>
      </w:r>
      <w:r w:rsidRPr="00DA5EB5">
        <w:rPr>
          <w:kern w:val="2"/>
          <w:sz w:val="20"/>
          <w:vertAlign w:val="superscript"/>
        </w:rPr>
        <w:footnoteReference w:id="200"/>
      </w:r>
      <w:r w:rsidRPr="00DA5EB5">
        <w:rPr>
          <w:kern w:val="2"/>
          <w:sz w:val="20"/>
        </w:rPr>
        <w:t xml:space="preserve"> contains a debarment policy similar in nature to PWGSC’s current debarment policy. Quebec’s legislation provides for automatic debarment from the public sector bidding process where the corporation has been found guilty of prescribed offences—including offences under the </w:t>
      </w:r>
      <w:r w:rsidRPr="00DA5EB5">
        <w:rPr>
          <w:i/>
          <w:kern w:val="2"/>
          <w:sz w:val="20"/>
        </w:rPr>
        <w:t>CFPOA</w:t>
      </w:r>
      <w:r w:rsidRPr="00DA5EB5">
        <w:rPr>
          <w:kern w:val="2"/>
          <w:sz w:val="20"/>
        </w:rPr>
        <w:t>—in the preceding five years.</w:t>
      </w:r>
    </w:p>
    <w:p w14:paraId="6137D218" w14:textId="77777777" w:rsidR="0044040A" w:rsidRPr="00DA5EB5" w:rsidRDefault="00C17712" w:rsidP="007C3517">
      <w:pPr>
        <w:rPr>
          <w:rFonts w:eastAsia="MS Mincho"/>
          <w:kern w:val="2"/>
          <w:sz w:val="20"/>
          <w:lang w:val="en"/>
        </w:rPr>
      </w:pPr>
      <w:r w:rsidRPr="00DA5EB5">
        <w:rPr>
          <w:rFonts w:eastAsia="MS Mincho"/>
          <w:kern w:val="2"/>
          <w:sz w:val="20"/>
          <w:lang w:val="en"/>
        </w:rPr>
        <w:t xml:space="preserve">For further commentary on Canada’s Integrity Framework and the role of debarment within that framework, see </w:t>
      </w:r>
      <w:r w:rsidR="00506226" w:rsidRPr="00DA5EB5">
        <w:rPr>
          <w:rFonts w:eastAsia="MS Mincho"/>
          <w:kern w:val="2"/>
          <w:sz w:val="20"/>
          <w:highlight w:val="cyan"/>
          <w:lang w:val="en"/>
        </w:rPr>
        <w:t>C</w:t>
      </w:r>
      <w:r w:rsidRPr="00DA5EB5">
        <w:rPr>
          <w:rFonts w:eastAsia="MS Mincho"/>
          <w:kern w:val="2"/>
          <w:sz w:val="20"/>
          <w:highlight w:val="cyan"/>
          <w:lang w:val="en"/>
        </w:rPr>
        <w:t xml:space="preserve">hapter 11, </w:t>
      </w:r>
      <w:r w:rsidR="00506226" w:rsidRPr="00DA5EB5">
        <w:rPr>
          <w:rFonts w:eastAsia="MS Mincho"/>
          <w:kern w:val="2"/>
          <w:sz w:val="20"/>
          <w:highlight w:val="cyan"/>
          <w:lang w:val="en"/>
        </w:rPr>
        <w:t>Section</w:t>
      </w:r>
      <w:r w:rsidR="0044040A" w:rsidRPr="00DA5EB5">
        <w:rPr>
          <w:rFonts w:eastAsia="MS Mincho"/>
          <w:kern w:val="2"/>
          <w:sz w:val="20"/>
          <w:highlight w:val="cyan"/>
          <w:lang w:val="en"/>
        </w:rPr>
        <w:t xml:space="preserve"> 6.4.4</w:t>
      </w:r>
      <w:r w:rsidR="0044040A" w:rsidRPr="00DA5EB5">
        <w:rPr>
          <w:rFonts w:eastAsia="MS Mincho"/>
          <w:kern w:val="2"/>
          <w:sz w:val="20"/>
          <w:lang w:val="en"/>
        </w:rPr>
        <w:t>.</w:t>
      </w:r>
    </w:p>
    <w:p w14:paraId="27531B9F" w14:textId="3583C480" w:rsidR="0061282C" w:rsidRPr="00DA5EB5" w:rsidRDefault="0061282C" w:rsidP="007C3517">
      <w:pPr>
        <w:pStyle w:val="Heading2"/>
        <w:rPr>
          <w:kern w:val="2"/>
          <w:sz w:val="24"/>
          <w:lang w:val="en" w:eastAsia="en-CA"/>
        </w:rPr>
      </w:pPr>
      <w:r w:rsidRPr="00DA5EB5">
        <w:rPr>
          <w:kern w:val="2"/>
          <w:sz w:val="24"/>
          <w:lang w:val="en" w:eastAsia="en-CA"/>
        </w:rPr>
        <w:t>Applicability of Integrity Provisions to Other Government Departments</w:t>
      </w:r>
    </w:p>
    <w:p w14:paraId="79C5DF7B" w14:textId="0BF5293F" w:rsidR="0061282C" w:rsidRPr="00DA5EB5" w:rsidRDefault="0061282C" w:rsidP="0023734A">
      <w:pPr>
        <w:spacing w:before="100" w:beforeAutospacing="1"/>
        <w:rPr>
          <w:rFonts w:eastAsia="Times New Roman"/>
          <w:kern w:val="2"/>
          <w:sz w:val="20"/>
          <w:lang w:val="en" w:eastAsia="en-CA"/>
        </w:rPr>
      </w:pPr>
      <w:r w:rsidRPr="00DA5EB5">
        <w:rPr>
          <w:rFonts w:eastAsia="Times New Roman"/>
          <w:kern w:val="2"/>
          <w:sz w:val="20"/>
          <w:lang w:val="en" w:eastAsia="en-CA"/>
        </w:rPr>
        <w:t xml:space="preserve">Other government departments and agencies can apply </w:t>
      </w:r>
      <w:r w:rsidR="00C17712" w:rsidRPr="00DA5EB5">
        <w:rPr>
          <w:rFonts w:eastAsia="Times New Roman"/>
          <w:kern w:val="2"/>
          <w:sz w:val="20"/>
          <w:lang w:val="en" w:eastAsia="en-CA"/>
        </w:rPr>
        <w:t>PWGSC’</w:t>
      </w:r>
      <w:r w:rsidRPr="00DA5EB5">
        <w:rPr>
          <w:rFonts w:eastAsia="Times New Roman"/>
          <w:kern w:val="2"/>
          <w:sz w:val="20"/>
          <w:lang w:val="en" w:eastAsia="en-CA"/>
        </w:rPr>
        <w:t>s integrity provisions to their solicitations and contracts. In order to assist these departments and agencies in applying the integrity provisions, PWGSC conducts supplier checks under memoranda of understanding (MOUs). PWGSC has entered into an MOU with:</w:t>
      </w:r>
    </w:p>
    <w:p w14:paraId="371B5AF5" w14:textId="77777777" w:rsidR="0061282C" w:rsidRPr="00DA5EB5" w:rsidRDefault="0061282C" w:rsidP="00B03652">
      <w:pPr>
        <w:pStyle w:val="ListParagraph"/>
        <w:numPr>
          <w:ilvl w:val="0"/>
          <w:numId w:val="42"/>
        </w:numPr>
        <w:spacing w:after="60"/>
        <w:rPr>
          <w:rFonts w:eastAsia="Times New Roman"/>
          <w:kern w:val="2"/>
          <w:sz w:val="20"/>
          <w:lang w:val="en" w:eastAsia="en-CA"/>
        </w:rPr>
      </w:pPr>
      <w:r w:rsidRPr="00DA5EB5">
        <w:rPr>
          <w:rFonts w:eastAsia="Times New Roman"/>
          <w:kern w:val="2"/>
          <w:sz w:val="20"/>
          <w:lang w:val="en" w:eastAsia="en-CA"/>
        </w:rPr>
        <w:t xml:space="preserve">Aboriginal Affairs and Northern Development Canada; </w:t>
      </w:r>
    </w:p>
    <w:p w14:paraId="2F7D4AC9" w14:textId="77777777" w:rsidR="0061282C" w:rsidRPr="00DA5EB5" w:rsidRDefault="0061282C" w:rsidP="00B03652">
      <w:pPr>
        <w:pStyle w:val="ListParagraph"/>
        <w:numPr>
          <w:ilvl w:val="0"/>
          <w:numId w:val="42"/>
        </w:numPr>
        <w:spacing w:after="60"/>
        <w:rPr>
          <w:rFonts w:eastAsia="Times New Roman"/>
          <w:kern w:val="2"/>
          <w:sz w:val="20"/>
          <w:lang w:val="en" w:eastAsia="en-CA"/>
        </w:rPr>
      </w:pPr>
      <w:r w:rsidRPr="00DA5EB5">
        <w:rPr>
          <w:rFonts w:eastAsia="Times New Roman"/>
          <w:kern w:val="2"/>
          <w:sz w:val="20"/>
          <w:lang w:val="en" w:eastAsia="en-CA"/>
        </w:rPr>
        <w:t xml:space="preserve">Agriculture and </w:t>
      </w:r>
      <w:proofErr w:type="spellStart"/>
      <w:r w:rsidRPr="00DA5EB5">
        <w:rPr>
          <w:rFonts w:eastAsia="Times New Roman"/>
          <w:kern w:val="2"/>
          <w:sz w:val="20"/>
          <w:lang w:val="en" w:eastAsia="en-CA"/>
        </w:rPr>
        <w:t>Agri</w:t>
      </w:r>
      <w:proofErr w:type="spellEnd"/>
      <w:r w:rsidRPr="00DA5EB5">
        <w:rPr>
          <w:rFonts w:eastAsia="Times New Roman"/>
          <w:kern w:val="2"/>
          <w:sz w:val="20"/>
          <w:lang w:val="en" w:eastAsia="en-CA"/>
        </w:rPr>
        <w:t>-Food Canada;</w:t>
      </w:r>
    </w:p>
    <w:p w14:paraId="74AADC6E" w14:textId="77777777" w:rsidR="0061282C" w:rsidRPr="00DA5EB5" w:rsidRDefault="0061282C" w:rsidP="00B03652">
      <w:pPr>
        <w:pStyle w:val="ListParagraph"/>
        <w:numPr>
          <w:ilvl w:val="0"/>
          <w:numId w:val="42"/>
        </w:numPr>
        <w:spacing w:after="60"/>
        <w:rPr>
          <w:rFonts w:eastAsia="Times New Roman"/>
          <w:kern w:val="2"/>
          <w:sz w:val="20"/>
          <w:lang w:val="en" w:eastAsia="en-CA"/>
        </w:rPr>
      </w:pPr>
      <w:r w:rsidRPr="00DA5EB5">
        <w:rPr>
          <w:rFonts w:eastAsia="Times New Roman"/>
          <w:kern w:val="2"/>
          <w:sz w:val="20"/>
          <w:lang w:val="en" w:eastAsia="en-CA"/>
        </w:rPr>
        <w:t xml:space="preserve">Canada Revenue Agency; </w:t>
      </w:r>
    </w:p>
    <w:p w14:paraId="59D758E0" w14:textId="77777777" w:rsidR="0061282C" w:rsidRPr="00DA5EB5" w:rsidRDefault="0061282C" w:rsidP="00B03652">
      <w:pPr>
        <w:pStyle w:val="ListParagraph"/>
        <w:numPr>
          <w:ilvl w:val="0"/>
          <w:numId w:val="42"/>
        </w:numPr>
        <w:spacing w:after="60"/>
        <w:rPr>
          <w:rFonts w:eastAsia="Times New Roman"/>
          <w:kern w:val="2"/>
          <w:sz w:val="20"/>
          <w:lang w:val="en" w:eastAsia="en-CA"/>
        </w:rPr>
      </w:pPr>
      <w:proofErr w:type="spellStart"/>
      <w:r w:rsidRPr="00DA5EB5">
        <w:rPr>
          <w:rFonts w:eastAsia="Times New Roman"/>
          <w:kern w:val="2"/>
          <w:sz w:val="20"/>
          <w:lang w:val="en" w:eastAsia="en-CA"/>
        </w:rPr>
        <w:t>Defence</w:t>
      </w:r>
      <w:proofErr w:type="spellEnd"/>
      <w:r w:rsidRPr="00DA5EB5">
        <w:rPr>
          <w:rFonts w:eastAsia="Times New Roman"/>
          <w:kern w:val="2"/>
          <w:sz w:val="20"/>
          <w:lang w:val="en" w:eastAsia="en-CA"/>
        </w:rPr>
        <w:t xml:space="preserve"> Construction Canada; </w:t>
      </w:r>
    </w:p>
    <w:p w14:paraId="35797F63" w14:textId="77777777" w:rsidR="0061282C" w:rsidRPr="00DA5EB5" w:rsidRDefault="0061282C" w:rsidP="00B03652">
      <w:pPr>
        <w:pStyle w:val="ListParagraph"/>
        <w:numPr>
          <w:ilvl w:val="0"/>
          <w:numId w:val="42"/>
        </w:numPr>
        <w:spacing w:after="60"/>
        <w:rPr>
          <w:rFonts w:eastAsia="Times New Roman"/>
          <w:kern w:val="2"/>
          <w:sz w:val="20"/>
          <w:lang w:val="en" w:eastAsia="en-CA"/>
        </w:rPr>
      </w:pPr>
      <w:r w:rsidRPr="00DA5EB5">
        <w:rPr>
          <w:rFonts w:eastAsia="Times New Roman"/>
          <w:kern w:val="2"/>
          <w:sz w:val="20"/>
          <w:lang w:val="en" w:eastAsia="en-CA"/>
        </w:rPr>
        <w:t>Employment and Social Development Canada;</w:t>
      </w:r>
    </w:p>
    <w:p w14:paraId="1118D607" w14:textId="77777777" w:rsidR="0061282C" w:rsidRPr="00DA5EB5" w:rsidRDefault="0061282C" w:rsidP="00B03652">
      <w:pPr>
        <w:pStyle w:val="ListParagraph"/>
        <w:numPr>
          <w:ilvl w:val="0"/>
          <w:numId w:val="42"/>
        </w:numPr>
        <w:spacing w:after="60"/>
        <w:rPr>
          <w:rFonts w:eastAsia="Times New Roman"/>
          <w:kern w:val="2"/>
          <w:sz w:val="20"/>
          <w:lang w:val="en" w:eastAsia="en-CA"/>
        </w:rPr>
      </w:pPr>
      <w:r w:rsidRPr="00DA5EB5">
        <w:rPr>
          <w:rFonts w:eastAsia="Times New Roman"/>
          <w:kern w:val="2"/>
          <w:sz w:val="20"/>
          <w:lang w:val="en" w:eastAsia="en-CA"/>
        </w:rPr>
        <w:t>Jacques Cartier and Champlain Bridges Crown Corporation; and</w:t>
      </w:r>
    </w:p>
    <w:p w14:paraId="00D794F3" w14:textId="77777777" w:rsidR="0061282C" w:rsidRPr="00DA5EB5" w:rsidRDefault="0061282C" w:rsidP="00B03652">
      <w:pPr>
        <w:pStyle w:val="ListParagraph"/>
        <w:numPr>
          <w:ilvl w:val="0"/>
          <w:numId w:val="42"/>
        </w:numPr>
        <w:spacing w:after="60"/>
        <w:rPr>
          <w:rFonts w:eastAsia="Times New Roman"/>
          <w:kern w:val="2"/>
          <w:sz w:val="20"/>
          <w:lang w:val="en" w:eastAsia="en-CA"/>
        </w:rPr>
      </w:pPr>
      <w:r w:rsidRPr="00DA5EB5">
        <w:rPr>
          <w:rFonts w:eastAsia="Times New Roman"/>
          <w:kern w:val="2"/>
          <w:sz w:val="20"/>
          <w:lang w:val="en" w:eastAsia="en-CA"/>
        </w:rPr>
        <w:t>Shared Services Canada.</w:t>
      </w:r>
    </w:p>
    <w:p w14:paraId="35DCA9E4" w14:textId="3527EDCF" w:rsidR="00F82851" w:rsidRPr="00DA5EB5" w:rsidRDefault="0061282C" w:rsidP="00661F9C">
      <w:pPr>
        <w:pStyle w:val="Heading1"/>
        <w:rPr>
          <w:sz w:val="28"/>
        </w:rPr>
      </w:pPr>
      <w:bookmarkStart w:id="43" w:name="_Toc500340150"/>
      <w:bookmarkStart w:id="44" w:name="_Toc500340397"/>
      <w:bookmarkStart w:id="45" w:name="_Toc500340431"/>
      <w:r w:rsidRPr="00DA5EB5">
        <w:rPr>
          <w:sz w:val="28"/>
        </w:rPr>
        <w:t>Disqualification as Company Director</w:t>
      </w:r>
      <w:bookmarkEnd w:id="43"/>
      <w:bookmarkEnd w:id="44"/>
      <w:bookmarkEnd w:id="45"/>
    </w:p>
    <w:p w14:paraId="51917AFB" w14:textId="37DEA6EA" w:rsidR="00F82851" w:rsidRPr="00DA5EB5" w:rsidRDefault="0061282C" w:rsidP="007C3517">
      <w:pPr>
        <w:pStyle w:val="Heading2"/>
        <w:rPr>
          <w:kern w:val="2"/>
          <w:sz w:val="24"/>
        </w:rPr>
      </w:pPr>
      <w:r w:rsidRPr="00DA5EB5">
        <w:rPr>
          <w:kern w:val="2"/>
          <w:sz w:val="24"/>
        </w:rPr>
        <w:t>Introduction</w:t>
      </w:r>
    </w:p>
    <w:p w14:paraId="441E8E47" w14:textId="64C898D7" w:rsidR="0061282C" w:rsidRPr="00DA5EB5" w:rsidRDefault="0061282C" w:rsidP="007C3517">
      <w:pPr>
        <w:rPr>
          <w:kern w:val="2"/>
          <w:sz w:val="20"/>
        </w:rPr>
      </w:pPr>
      <w:r w:rsidRPr="00DA5EB5">
        <w:rPr>
          <w:kern w:val="2"/>
          <w:sz w:val="20"/>
        </w:rPr>
        <w:t>Convictions for serious criminal offences such as bribery have various collateral consequences, some mandatory and others discretionary. For example, a conviction for a serious offence can result in disqualification to hold a public office or in</w:t>
      </w:r>
      <w:r w:rsidR="00D4629B" w:rsidRPr="00DA5EB5">
        <w:rPr>
          <w:kern w:val="2"/>
          <w:sz w:val="20"/>
        </w:rPr>
        <w:t>eligibilit</w:t>
      </w:r>
      <w:r w:rsidRPr="00DA5EB5">
        <w:rPr>
          <w:kern w:val="2"/>
          <w:sz w:val="20"/>
        </w:rPr>
        <w:t>y to travel to a foreign country. In this section, the possibility of disqualification from being a director or officer of a company</w:t>
      </w:r>
      <w:r w:rsidR="0000138C" w:rsidRPr="00DA5EB5">
        <w:rPr>
          <w:kern w:val="2"/>
          <w:sz w:val="20"/>
        </w:rPr>
        <w:t xml:space="preserve"> is discussed</w:t>
      </w:r>
      <w:r w:rsidRPr="00DA5EB5">
        <w:rPr>
          <w:kern w:val="2"/>
          <w:sz w:val="20"/>
        </w:rPr>
        <w:t>.</w:t>
      </w:r>
      <w:r w:rsidR="00486294" w:rsidRPr="00DA5EB5">
        <w:rPr>
          <w:kern w:val="2"/>
          <w:sz w:val="20"/>
        </w:rPr>
        <w:t xml:space="preserve"> </w:t>
      </w:r>
    </w:p>
    <w:p w14:paraId="3E954AC2" w14:textId="73B62690" w:rsidR="00F82851" w:rsidRPr="00DA5EB5" w:rsidRDefault="0061282C" w:rsidP="007C3517">
      <w:pPr>
        <w:pStyle w:val="Heading2"/>
        <w:rPr>
          <w:kern w:val="2"/>
          <w:sz w:val="24"/>
        </w:rPr>
      </w:pPr>
      <w:r w:rsidRPr="00DA5EB5">
        <w:rPr>
          <w:kern w:val="2"/>
          <w:sz w:val="24"/>
        </w:rPr>
        <w:t>US Law</w:t>
      </w:r>
    </w:p>
    <w:p w14:paraId="69DE78BD" w14:textId="003C20AC" w:rsidR="0061282C" w:rsidRPr="00DA5EB5" w:rsidRDefault="0061282C" w:rsidP="007C3517">
      <w:pPr>
        <w:rPr>
          <w:kern w:val="2"/>
          <w:sz w:val="20"/>
        </w:rPr>
      </w:pPr>
      <w:r w:rsidRPr="00DA5EB5">
        <w:rPr>
          <w:kern w:val="2"/>
          <w:sz w:val="20"/>
        </w:rPr>
        <w:t xml:space="preserve">Pursuant to the US </w:t>
      </w:r>
      <w:r w:rsidRPr="00DA5EB5">
        <w:rPr>
          <w:i/>
          <w:kern w:val="2"/>
          <w:sz w:val="20"/>
        </w:rPr>
        <w:t>Securities Exchange Act</w:t>
      </w:r>
      <w:r w:rsidRPr="00DA5EB5">
        <w:rPr>
          <w:kern w:val="2"/>
          <w:sz w:val="20"/>
        </w:rPr>
        <w:t>,</w:t>
      </w:r>
      <w:r w:rsidRPr="00DA5EB5">
        <w:rPr>
          <w:rStyle w:val="FootnoteReference"/>
          <w:kern w:val="2"/>
        </w:rPr>
        <w:footnoteReference w:id="201"/>
      </w:r>
      <w:r w:rsidRPr="00DA5EB5">
        <w:rPr>
          <w:kern w:val="2"/>
          <w:sz w:val="20"/>
        </w:rPr>
        <w:t xml:space="preserve"> the SEC can apply to a </w:t>
      </w:r>
      <w:r w:rsidR="009F1976" w:rsidRPr="00DA5EB5">
        <w:rPr>
          <w:kern w:val="2"/>
          <w:sz w:val="20"/>
        </w:rPr>
        <w:t>f</w:t>
      </w:r>
      <w:r w:rsidRPr="00DA5EB5">
        <w:rPr>
          <w:kern w:val="2"/>
          <w:sz w:val="20"/>
        </w:rPr>
        <w:t xml:space="preserve">ederal </w:t>
      </w:r>
      <w:r w:rsidR="009F1976" w:rsidRPr="00DA5EB5">
        <w:rPr>
          <w:kern w:val="2"/>
          <w:sz w:val="20"/>
        </w:rPr>
        <w:t>c</w:t>
      </w:r>
      <w:r w:rsidRPr="00DA5EB5">
        <w:rPr>
          <w:kern w:val="2"/>
          <w:sz w:val="20"/>
        </w:rPr>
        <w:t>ourt for permanent or temporary injunctive relief.</w:t>
      </w:r>
      <w:r w:rsidRPr="00DA5EB5">
        <w:rPr>
          <w:rStyle w:val="FootnoteReference"/>
          <w:kern w:val="2"/>
        </w:rPr>
        <w:footnoteReference w:id="202"/>
      </w:r>
      <w:r w:rsidRPr="00DA5EB5">
        <w:rPr>
          <w:kern w:val="2"/>
          <w:sz w:val="20"/>
        </w:rPr>
        <w:t xml:space="preserve"> A court can prohibit conditionally, unconditionally or permanently any person who has violated securities laws and who demonstrates unfitness from serving as an officer or director.</w:t>
      </w:r>
      <w:r w:rsidRPr="00DA5EB5">
        <w:rPr>
          <w:rStyle w:val="FootnoteReference"/>
          <w:kern w:val="2"/>
        </w:rPr>
        <w:footnoteReference w:id="203"/>
      </w:r>
      <w:r w:rsidRPr="00DA5EB5">
        <w:rPr>
          <w:kern w:val="2"/>
          <w:sz w:val="20"/>
        </w:rPr>
        <w:t xml:space="preserve"> The standard for a bar was substantially broadened with the passing of the </w:t>
      </w:r>
      <w:r w:rsidRPr="00DA5EB5">
        <w:rPr>
          <w:i/>
          <w:kern w:val="2"/>
          <w:sz w:val="20"/>
        </w:rPr>
        <w:t>Sarbanes Oxley Act</w:t>
      </w:r>
      <w:r w:rsidRPr="00DA5EB5">
        <w:rPr>
          <w:kern w:val="2"/>
          <w:sz w:val="20"/>
        </w:rPr>
        <w:t>,</w:t>
      </w:r>
      <w:r w:rsidRPr="00DA5EB5">
        <w:rPr>
          <w:rStyle w:val="FootnoteReference"/>
          <w:kern w:val="2"/>
        </w:rPr>
        <w:footnoteReference w:id="204"/>
      </w:r>
      <w:r w:rsidRPr="00DA5EB5">
        <w:rPr>
          <w:kern w:val="2"/>
          <w:sz w:val="20"/>
        </w:rPr>
        <w:t xml:space="preserve"> which changed the standard from </w:t>
      </w:r>
      <w:r w:rsidR="00FD6DAC" w:rsidRPr="00DA5EB5">
        <w:rPr>
          <w:kern w:val="2"/>
          <w:sz w:val="20"/>
        </w:rPr>
        <w:t>“</w:t>
      </w:r>
      <w:r w:rsidRPr="00DA5EB5">
        <w:rPr>
          <w:kern w:val="2"/>
          <w:sz w:val="20"/>
        </w:rPr>
        <w:t>substantial unfitness</w:t>
      </w:r>
      <w:r w:rsidR="00FD6DAC" w:rsidRPr="00DA5EB5">
        <w:rPr>
          <w:kern w:val="2"/>
          <w:sz w:val="20"/>
        </w:rPr>
        <w:t>”</w:t>
      </w:r>
      <w:r w:rsidRPr="00DA5EB5">
        <w:rPr>
          <w:kern w:val="2"/>
          <w:sz w:val="20"/>
        </w:rPr>
        <w:t xml:space="preserve"> to </w:t>
      </w:r>
      <w:r w:rsidR="00FD6DAC" w:rsidRPr="00DA5EB5">
        <w:rPr>
          <w:kern w:val="2"/>
          <w:sz w:val="20"/>
        </w:rPr>
        <w:t>“</w:t>
      </w:r>
      <w:r w:rsidRPr="00DA5EB5">
        <w:rPr>
          <w:kern w:val="2"/>
          <w:sz w:val="20"/>
        </w:rPr>
        <w:t>unfitness</w:t>
      </w:r>
      <w:r w:rsidR="007A0AC0" w:rsidRPr="00DA5EB5">
        <w:rPr>
          <w:kern w:val="2"/>
          <w:sz w:val="20"/>
        </w:rPr>
        <w:t>.</w:t>
      </w:r>
      <w:r w:rsidR="00FD6DAC" w:rsidRPr="00DA5EB5">
        <w:rPr>
          <w:kern w:val="2"/>
          <w:sz w:val="20"/>
        </w:rPr>
        <w:t>”</w:t>
      </w:r>
      <w:r w:rsidRPr="00DA5EB5">
        <w:rPr>
          <w:rStyle w:val="FootnoteReference"/>
          <w:kern w:val="2"/>
        </w:rPr>
        <w:footnoteReference w:id="205"/>
      </w:r>
      <w:r w:rsidRPr="00DA5EB5">
        <w:rPr>
          <w:kern w:val="2"/>
          <w:sz w:val="20"/>
        </w:rPr>
        <w:t xml:space="preserve"> </w:t>
      </w:r>
    </w:p>
    <w:p w14:paraId="0142163B" w14:textId="1C762277" w:rsidR="0061282C" w:rsidRPr="00DA5EB5" w:rsidRDefault="0061282C" w:rsidP="007C3517">
      <w:pPr>
        <w:rPr>
          <w:kern w:val="2"/>
          <w:sz w:val="20"/>
        </w:rPr>
      </w:pPr>
      <w:r w:rsidRPr="00DA5EB5">
        <w:rPr>
          <w:kern w:val="2"/>
          <w:sz w:val="20"/>
        </w:rPr>
        <w:t xml:space="preserve">The </w:t>
      </w:r>
      <w:r w:rsidR="00066D6F" w:rsidRPr="00DA5EB5">
        <w:rPr>
          <w:kern w:val="2"/>
          <w:sz w:val="20"/>
        </w:rPr>
        <w:t xml:space="preserve">SEC </w:t>
      </w:r>
      <w:r w:rsidRPr="00DA5EB5">
        <w:rPr>
          <w:kern w:val="2"/>
          <w:sz w:val="20"/>
        </w:rPr>
        <w:t xml:space="preserve">itself cannot impose the remedy via an administrative proceeding; it must be done by a court, although a </w:t>
      </w:r>
      <w:r w:rsidR="00FD6DAC" w:rsidRPr="00DA5EB5">
        <w:rPr>
          <w:kern w:val="2"/>
          <w:sz w:val="20"/>
        </w:rPr>
        <w:t>“</w:t>
      </w:r>
      <w:r w:rsidRPr="00DA5EB5">
        <w:rPr>
          <w:kern w:val="2"/>
          <w:sz w:val="20"/>
        </w:rPr>
        <w:t>voluntary</w:t>
      </w:r>
      <w:r w:rsidR="00FD6DAC" w:rsidRPr="00DA5EB5">
        <w:rPr>
          <w:kern w:val="2"/>
          <w:sz w:val="20"/>
        </w:rPr>
        <w:t>”</w:t>
      </w:r>
      <w:r w:rsidRPr="00DA5EB5">
        <w:rPr>
          <w:kern w:val="2"/>
          <w:sz w:val="20"/>
        </w:rPr>
        <w:t xml:space="preserve"> director disqualification may be negotiated by the SEC</w:t>
      </w:r>
      <w:r w:rsidRPr="00DA5EB5">
        <w:rPr>
          <w:kern w:val="2"/>
        </w:rPr>
        <w:t xml:space="preserve"> </w:t>
      </w:r>
      <w:r w:rsidRPr="00DA5EB5">
        <w:rPr>
          <w:kern w:val="2"/>
          <w:sz w:val="20"/>
        </w:rPr>
        <w:t>as part of a settlement agreement or a DPA.</w:t>
      </w:r>
      <w:r w:rsidRPr="00DA5EB5">
        <w:rPr>
          <w:rStyle w:val="FootnoteReference"/>
          <w:kern w:val="2"/>
        </w:rPr>
        <w:footnoteReference w:id="206"/>
      </w:r>
      <w:r w:rsidRPr="00DA5EB5">
        <w:rPr>
          <w:kern w:val="2"/>
          <w:sz w:val="20"/>
        </w:rPr>
        <w:t xml:space="preserve"> The courts h</w:t>
      </w:r>
      <w:r w:rsidR="008770A3" w:rsidRPr="00DA5EB5">
        <w:rPr>
          <w:kern w:val="2"/>
          <w:sz w:val="20"/>
        </w:rPr>
        <w:t>ave</w:t>
      </w:r>
      <w:r w:rsidRPr="00DA5EB5">
        <w:rPr>
          <w:kern w:val="2"/>
          <w:sz w:val="20"/>
        </w:rPr>
        <w:t xml:space="preserve"> broad discretion to impose an appropriate</w:t>
      </w:r>
      <w:r w:rsidRPr="00DA5EB5">
        <w:rPr>
          <w:kern w:val="2"/>
        </w:rPr>
        <w:t xml:space="preserve"> </w:t>
      </w:r>
      <w:r w:rsidRPr="00DA5EB5">
        <w:rPr>
          <w:kern w:val="2"/>
          <w:sz w:val="20"/>
        </w:rPr>
        <w:t>remedy.</w:t>
      </w:r>
      <w:r w:rsidRPr="00DA5EB5">
        <w:rPr>
          <w:rStyle w:val="FootnoteReference"/>
          <w:kern w:val="2"/>
        </w:rPr>
        <w:footnoteReference w:id="207"/>
      </w:r>
      <w:r w:rsidRPr="00DA5EB5">
        <w:rPr>
          <w:kern w:val="2"/>
        </w:rPr>
        <w:t xml:space="preserve"> </w:t>
      </w:r>
      <w:r w:rsidR="005F2315" w:rsidRPr="00DA5EB5">
        <w:rPr>
          <w:kern w:val="2"/>
          <w:sz w:val="20"/>
        </w:rPr>
        <w:t>When d</w:t>
      </w:r>
      <w:r w:rsidRPr="00DA5EB5">
        <w:rPr>
          <w:kern w:val="2"/>
          <w:sz w:val="20"/>
        </w:rPr>
        <w:t xml:space="preserve">etermining the previous standard of substantial unfitness, </w:t>
      </w:r>
      <w:r w:rsidR="005F2315" w:rsidRPr="00DA5EB5">
        <w:rPr>
          <w:kern w:val="2"/>
          <w:sz w:val="20"/>
        </w:rPr>
        <w:t>c</w:t>
      </w:r>
      <w:r w:rsidRPr="00DA5EB5">
        <w:rPr>
          <w:kern w:val="2"/>
          <w:sz w:val="20"/>
        </w:rPr>
        <w:t>ourt</w:t>
      </w:r>
      <w:r w:rsidR="005F2315" w:rsidRPr="00DA5EB5">
        <w:rPr>
          <w:kern w:val="2"/>
          <w:sz w:val="20"/>
        </w:rPr>
        <w:t>s</w:t>
      </w:r>
      <w:r w:rsidRPr="00DA5EB5">
        <w:rPr>
          <w:kern w:val="2"/>
          <w:sz w:val="20"/>
        </w:rPr>
        <w:t xml:space="preserve"> looked at the non-exhaustive </w:t>
      </w:r>
      <w:r w:rsidR="00FD6DAC" w:rsidRPr="00DA5EB5">
        <w:rPr>
          <w:kern w:val="2"/>
          <w:sz w:val="20"/>
        </w:rPr>
        <w:t>“</w:t>
      </w:r>
      <w:r w:rsidRPr="00DA5EB5">
        <w:rPr>
          <w:i/>
          <w:kern w:val="2"/>
          <w:sz w:val="20"/>
        </w:rPr>
        <w:t>Patel</w:t>
      </w:r>
      <w:r w:rsidRPr="00DA5EB5">
        <w:rPr>
          <w:kern w:val="2"/>
          <w:sz w:val="20"/>
        </w:rPr>
        <w:t xml:space="preserve"> factors</w:t>
      </w:r>
      <w:r w:rsidR="00FD6DAC" w:rsidRPr="00DA5EB5">
        <w:rPr>
          <w:kern w:val="2"/>
          <w:sz w:val="20"/>
        </w:rPr>
        <w:t>”</w:t>
      </w:r>
      <w:r w:rsidRPr="00DA5EB5">
        <w:rPr>
          <w:kern w:val="2"/>
          <w:sz w:val="20"/>
        </w:rPr>
        <w:t xml:space="preserve">: </w:t>
      </w:r>
      <w:r w:rsidR="00FD6DAC" w:rsidRPr="00DA5EB5">
        <w:rPr>
          <w:kern w:val="2"/>
          <w:sz w:val="20"/>
        </w:rPr>
        <w:t>“</w:t>
      </w:r>
      <w:r w:rsidRPr="00DA5EB5">
        <w:rPr>
          <w:kern w:val="2"/>
          <w:sz w:val="20"/>
        </w:rPr>
        <w:t>(1) the 'egregiousness' of the underlying securities law violation; (2) the defendant's 'repeat offender' status; (3) the defendant's 'role' or position when he engaged in the fraud; (4) the defendant's degree of scienter; (5) the defendant's economic stake in the violation; and (6) the likelihood that misconduct will recur.</w:t>
      </w:r>
      <w:r w:rsidR="00FD6DAC" w:rsidRPr="00DA5EB5">
        <w:rPr>
          <w:kern w:val="2"/>
          <w:sz w:val="20"/>
        </w:rPr>
        <w:t>”</w:t>
      </w:r>
      <w:r w:rsidRPr="00DA5EB5">
        <w:rPr>
          <w:rStyle w:val="FootnoteReference"/>
          <w:kern w:val="2"/>
        </w:rPr>
        <w:footnoteReference w:id="208"/>
      </w:r>
      <w:r w:rsidRPr="00DA5EB5">
        <w:rPr>
          <w:kern w:val="2"/>
          <w:sz w:val="20"/>
        </w:rPr>
        <w:t xml:space="preserve"> These factors remain relevant under the new lower standard.</w:t>
      </w:r>
    </w:p>
    <w:p w14:paraId="52F1233A" w14:textId="6659F053" w:rsidR="0061282C" w:rsidRPr="00DA5EB5" w:rsidRDefault="0061282C" w:rsidP="007C3517">
      <w:pPr>
        <w:rPr>
          <w:kern w:val="2"/>
          <w:sz w:val="20"/>
        </w:rPr>
      </w:pPr>
      <w:r w:rsidRPr="00DA5EB5">
        <w:rPr>
          <w:kern w:val="2"/>
          <w:sz w:val="20"/>
        </w:rPr>
        <w:t xml:space="preserve">Since a permanent bar may result in a </w:t>
      </w:r>
      <w:r w:rsidR="00FD6DAC" w:rsidRPr="00DA5EB5">
        <w:rPr>
          <w:kern w:val="2"/>
          <w:sz w:val="20"/>
        </w:rPr>
        <w:t>“</w:t>
      </w:r>
      <w:r w:rsidRPr="00DA5EB5">
        <w:rPr>
          <w:kern w:val="2"/>
          <w:sz w:val="20"/>
        </w:rPr>
        <w:t>loss of livelihood and stigma</w:t>
      </w:r>
      <w:r w:rsidR="007A0AC0" w:rsidRPr="00DA5EB5">
        <w:rPr>
          <w:kern w:val="2"/>
          <w:sz w:val="20"/>
        </w:rPr>
        <w:t>,</w:t>
      </w:r>
      <w:r w:rsidR="00FD6DAC" w:rsidRPr="00DA5EB5">
        <w:rPr>
          <w:kern w:val="2"/>
          <w:sz w:val="20"/>
        </w:rPr>
        <w:t>”</w:t>
      </w:r>
      <w:r w:rsidRPr="00DA5EB5">
        <w:rPr>
          <w:kern w:val="2"/>
          <w:sz w:val="20"/>
        </w:rPr>
        <w:t xml:space="preserve"> courts require more than what would be required for a non-permanent bar.</w:t>
      </w:r>
      <w:r w:rsidRPr="00DA5EB5">
        <w:rPr>
          <w:rStyle w:val="FootnoteReference"/>
          <w:kern w:val="2"/>
        </w:rPr>
        <w:footnoteReference w:id="209"/>
      </w:r>
      <w:r w:rsidRPr="00DA5EB5">
        <w:rPr>
          <w:kern w:val="2"/>
          <w:sz w:val="20"/>
        </w:rPr>
        <w:t xml:space="preserve"> In fact, Congress intended that the permanent bar remedy be used with caution.</w:t>
      </w:r>
      <w:r w:rsidRPr="00DA5EB5">
        <w:rPr>
          <w:rStyle w:val="FootnoteReference"/>
          <w:kern w:val="2"/>
        </w:rPr>
        <w:footnoteReference w:id="210"/>
      </w:r>
      <w:r w:rsidRPr="00DA5EB5">
        <w:rPr>
          <w:kern w:val="2"/>
          <w:sz w:val="20"/>
        </w:rPr>
        <w:t xml:space="preserve"> A court is required to first consider a conditional bar.</w:t>
      </w:r>
      <w:r w:rsidRPr="00DA5EB5">
        <w:rPr>
          <w:rStyle w:val="FootnoteReference"/>
          <w:kern w:val="2"/>
        </w:rPr>
        <w:footnoteReference w:id="211"/>
      </w:r>
      <w:r w:rsidRPr="00DA5EB5">
        <w:rPr>
          <w:kern w:val="2"/>
          <w:sz w:val="20"/>
        </w:rPr>
        <w:t xml:space="preserve"> The following four cases are examples of the courts’ approach to these officer or director bars.</w:t>
      </w:r>
    </w:p>
    <w:p w14:paraId="6770DBE7" w14:textId="5FB46ED0" w:rsidR="0061282C" w:rsidRPr="00DA5EB5" w:rsidRDefault="0061282C" w:rsidP="007C3517">
      <w:pPr>
        <w:rPr>
          <w:kern w:val="2"/>
          <w:sz w:val="20"/>
        </w:rPr>
      </w:pPr>
      <w:r w:rsidRPr="00DA5EB5">
        <w:rPr>
          <w:kern w:val="2"/>
          <w:sz w:val="20"/>
        </w:rPr>
        <w:t xml:space="preserve">In </w:t>
      </w:r>
      <w:r w:rsidRPr="00DA5EB5">
        <w:rPr>
          <w:i/>
          <w:kern w:val="2"/>
          <w:sz w:val="20"/>
        </w:rPr>
        <w:t>SEC v Posner</w:t>
      </w:r>
      <w:r w:rsidRPr="00DA5EB5">
        <w:rPr>
          <w:kern w:val="2"/>
          <w:sz w:val="20"/>
        </w:rPr>
        <w:t>,</w:t>
      </w:r>
      <w:r w:rsidRPr="00DA5EB5">
        <w:rPr>
          <w:rStyle w:val="FootnoteReference"/>
          <w:kern w:val="2"/>
        </w:rPr>
        <w:footnoteReference w:id="212"/>
      </w:r>
      <w:r w:rsidRPr="00DA5EB5">
        <w:rPr>
          <w:kern w:val="2"/>
          <w:sz w:val="20"/>
        </w:rPr>
        <w:t xml:space="preserve"> the US Second Circuit Court of Appeals upheld a permanent bar </w:t>
      </w:r>
      <w:r w:rsidR="008770A3" w:rsidRPr="00DA5EB5">
        <w:rPr>
          <w:kern w:val="2"/>
          <w:sz w:val="20"/>
        </w:rPr>
        <w:t xml:space="preserve">imposed </w:t>
      </w:r>
      <w:r w:rsidRPr="00DA5EB5">
        <w:rPr>
          <w:kern w:val="2"/>
          <w:sz w:val="20"/>
        </w:rPr>
        <w:t>by a US District Court.</w:t>
      </w:r>
      <w:r w:rsidRPr="00DA5EB5">
        <w:rPr>
          <w:rStyle w:val="FootnoteReference"/>
          <w:kern w:val="2"/>
        </w:rPr>
        <w:footnoteReference w:id="213"/>
      </w:r>
      <w:r w:rsidRPr="00DA5EB5">
        <w:rPr>
          <w:kern w:val="2"/>
          <w:sz w:val="20"/>
        </w:rPr>
        <w:t xml:space="preserve"> The Court focused on the high degree of scienter in violating the securities laws, several past violations (including conspiracy, tax evasion and filing false tax returns), the high likelihood of future violations, and the fact that the </w:t>
      </w:r>
      <w:r w:rsidR="00FF5A0F" w:rsidRPr="00DA5EB5">
        <w:rPr>
          <w:kern w:val="2"/>
          <w:sz w:val="20"/>
        </w:rPr>
        <w:t xml:space="preserve">defendants </w:t>
      </w:r>
      <w:r w:rsidRPr="00DA5EB5">
        <w:rPr>
          <w:kern w:val="2"/>
          <w:sz w:val="20"/>
        </w:rPr>
        <w:t xml:space="preserve">had refused to testify (the Court inferred that the </w:t>
      </w:r>
      <w:r w:rsidR="00FF5A0F" w:rsidRPr="00DA5EB5">
        <w:rPr>
          <w:kern w:val="2"/>
          <w:sz w:val="20"/>
        </w:rPr>
        <w:t>d</w:t>
      </w:r>
      <w:r w:rsidRPr="00DA5EB5">
        <w:rPr>
          <w:kern w:val="2"/>
          <w:sz w:val="20"/>
        </w:rPr>
        <w:t xml:space="preserve">efendants’ testimony would have negatively impacted their case). The Court stated that such a punishment would serve as a </w:t>
      </w:r>
      <w:r w:rsidR="00FD6DAC" w:rsidRPr="00DA5EB5">
        <w:rPr>
          <w:kern w:val="2"/>
          <w:sz w:val="20"/>
        </w:rPr>
        <w:t>“</w:t>
      </w:r>
      <w:r w:rsidRPr="00DA5EB5">
        <w:rPr>
          <w:kern w:val="2"/>
          <w:sz w:val="20"/>
        </w:rPr>
        <w:t>sharp warning</w:t>
      </w:r>
      <w:r w:rsidR="00FD6DAC" w:rsidRPr="00DA5EB5">
        <w:rPr>
          <w:kern w:val="2"/>
          <w:sz w:val="20"/>
        </w:rPr>
        <w:t>”</w:t>
      </w:r>
      <w:r w:rsidRPr="00DA5EB5">
        <w:rPr>
          <w:kern w:val="2"/>
          <w:sz w:val="20"/>
        </w:rPr>
        <w:t xml:space="preserve"> to other violators.</w:t>
      </w:r>
      <w:r w:rsidRPr="00DA5EB5">
        <w:rPr>
          <w:rStyle w:val="FootnoteReference"/>
          <w:kern w:val="2"/>
        </w:rPr>
        <w:footnoteReference w:id="214"/>
      </w:r>
      <w:r w:rsidRPr="00DA5EB5">
        <w:rPr>
          <w:kern w:val="2"/>
          <w:sz w:val="20"/>
        </w:rPr>
        <w:t xml:space="preserve"> </w:t>
      </w:r>
    </w:p>
    <w:p w14:paraId="76264918" w14:textId="65A20CA0" w:rsidR="0061282C" w:rsidRPr="00DA5EB5" w:rsidRDefault="0061282C" w:rsidP="007C3517">
      <w:pPr>
        <w:rPr>
          <w:kern w:val="2"/>
          <w:sz w:val="20"/>
        </w:rPr>
      </w:pPr>
      <w:r w:rsidRPr="00DA5EB5">
        <w:rPr>
          <w:kern w:val="2"/>
          <w:sz w:val="20"/>
        </w:rPr>
        <w:t xml:space="preserve">In </w:t>
      </w:r>
      <w:r w:rsidRPr="00DA5EB5">
        <w:rPr>
          <w:i/>
          <w:kern w:val="2"/>
          <w:sz w:val="20"/>
        </w:rPr>
        <w:t xml:space="preserve">SEC v </w:t>
      </w:r>
      <w:proofErr w:type="spellStart"/>
      <w:r w:rsidRPr="00DA5EB5">
        <w:rPr>
          <w:i/>
          <w:kern w:val="2"/>
          <w:sz w:val="20"/>
        </w:rPr>
        <w:t>Boey</w:t>
      </w:r>
      <w:proofErr w:type="spellEnd"/>
      <w:r w:rsidRPr="00DA5EB5">
        <w:rPr>
          <w:kern w:val="2"/>
          <w:sz w:val="20"/>
        </w:rPr>
        <w:t xml:space="preserve">, the </w:t>
      </w:r>
      <w:r w:rsidR="00622295" w:rsidRPr="00DA5EB5">
        <w:rPr>
          <w:kern w:val="2"/>
          <w:sz w:val="20"/>
        </w:rPr>
        <w:t xml:space="preserve">US District Court of </w:t>
      </w:r>
      <w:r w:rsidRPr="00DA5EB5">
        <w:rPr>
          <w:kern w:val="2"/>
          <w:sz w:val="20"/>
        </w:rPr>
        <w:t>New Hampshire refused to issue a permanent bar because the Defendant had no prior history of violations and there was no plausible risk that he would reoffend.</w:t>
      </w:r>
      <w:r w:rsidR="00FD3841" w:rsidRPr="00DA5EB5">
        <w:rPr>
          <w:rStyle w:val="FootnoteReference"/>
          <w:kern w:val="2"/>
        </w:rPr>
        <w:t xml:space="preserve"> </w:t>
      </w:r>
      <w:r w:rsidR="00FD3841" w:rsidRPr="00DA5EB5">
        <w:rPr>
          <w:rStyle w:val="FootnoteReference"/>
          <w:kern w:val="2"/>
        </w:rPr>
        <w:footnoteReference w:id="215"/>
      </w:r>
      <w:r w:rsidRPr="00DA5EB5">
        <w:rPr>
          <w:kern w:val="2"/>
          <w:sz w:val="20"/>
        </w:rPr>
        <w:t xml:space="preserve"> Over a decade had passed since his violation. As such, a five-year bar was held to be sufficient. The Court also refused </w:t>
      </w:r>
      <w:r w:rsidR="007E60BA" w:rsidRPr="00DA5EB5">
        <w:rPr>
          <w:kern w:val="2"/>
          <w:sz w:val="20"/>
        </w:rPr>
        <w:t xml:space="preserve">to issue </w:t>
      </w:r>
      <w:r w:rsidRPr="00DA5EB5">
        <w:rPr>
          <w:kern w:val="2"/>
          <w:sz w:val="20"/>
        </w:rPr>
        <w:t>a permanent injunction because adequate punishment</w:t>
      </w:r>
      <w:r w:rsidR="00FD7092" w:rsidRPr="00DA5EB5">
        <w:rPr>
          <w:kern w:val="2"/>
          <w:sz w:val="20"/>
        </w:rPr>
        <w:t xml:space="preserve"> had already been imposed </w:t>
      </w:r>
      <w:r w:rsidRPr="00DA5EB5">
        <w:rPr>
          <w:kern w:val="2"/>
          <w:sz w:val="20"/>
        </w:rPr>
        <w:t>(e.g.</w:t>
      </w:r>
      <w:r w:rsidR="007A0AC0" w:rsidRPr="00DA5EB5">
        <w:rPr>
          <w:kern w:val="2"/>
          <w:sz w:val="20"/>
        </w:rPr>
        <w:t>,</w:t>
      </w:r>
      <w:r w:rsidRPr="00DA5EB5">
        <w:rPr>
          <w:kern w:val="2"/>
          <w:sz w:val="20"/>
        </w:rPr>
        <w:t xml:space="preserve"> the five-year officer and director bar, a civil penalty and disgorgement). </w:t>
      </w:r>
    </w:p>
    <w:p w14:paraId="62ADDBA8" w14:textId="3C487712" w:rsidR="0061282C" w:rsidRPr="00DA5EB5" w:rsidRDefault="0061282C" w:rsidP="007C3517">
      <w:pPr>
        <w:rPr>
          <w:kern w:val="2"/>
          <w:sz w:val="20"/>
        </w:rPr>
      </w:pPr>
      <w:r w:rsidRPr="00DA5EB5">
        <w:rPr>
          <w:kern w:val="2"/>
          <w:sz w:val="20"/>
        </w:rPr>
        <w:t xml:space="preserve">In </w:t>
      </w:r>
      <w:r w:rsidRPr="00DA5EB5">
        <w:rPr>
          <w:i/>
          <w:kern w:val="2"/>
          <w:sz w:val="20"/>
        </w:rPr>
        <w:t>SEC v Selden</w:t>
      </w:r>
      <w:r w:rsidRPr="00DA5EB5">
        <w:rPr>
          <w:kern w:val="2"/>
          <w:sz w:val="20"/>
        </w:rPr>
        <w:t>, the US District Court of Massachusetts imposed a two-year officer and director bar along with other monetary penalties.</w:t>
      </w:r>
      <w:r w:rsidR="006C1BF4" w:rsidRPr="00DA5EB5">
        <w:rPr>
          <w:rStyle w:val="FootnoteReference"/>
          <w:kern w:val="2"/>
        </w:rPr>
        <w:footnoteReference w:id="216"/>
      </w:r>
      <w:r w:rsidR="006C1BF4" w:rsidRPr="00DA5EB5">
        <w:rPr>
          <w:kern w:val="2"/>
          <w:sz w:val="20"/>
        </w:rPr>
        <w:t xml:space="preserve"> </w:t>
      </w:r>
      <w:r w:rsidRPr="00DA5EB5">
        <w:rPr>
          <w:kern w:val="2"/>
          <w:sz w:val="20"/>
        </w:rPr>
        <w:t xml:space="preserve">The Court noted that the offences were particularly serious </w:t>
      </w:r>
      <w:r w:rsidR="00DB1031" w:rsidRPr="00DA5EB5">
        <w:rPr>
          <w:kern w:val="2"/>
          <w:sz w:val="20"/>
        </w:rPr>
        <w:t>because the</w:t>
      </w:r>
      <w:r w:rsidRPr="00DA5EB5">
        <w:rPr>
          <w:kern w:val="2"/>
          <w:sz w:val="20"/>
        </w:rPr>
        <w:t xml:space="preserve"> </w:t>
      </w:r>
      <w:r w:rsidR="00DB1031" w:rsidRPr="00DA5EB5">
        <w:rPr>
          <w:kern w:val="2"/>
          <w:sz w:val="20"/>
        </w:rPr>
        <w:t>d</w:t>
      </w:r>
      <w:r w:rsidRPr="00DA5EB5">
        <w:rPr>
          <w:kern w:val="2"/>
          <w:sz w:val="20"/>
        </w:rPr>
        <w:t xml:space="preserve">efendant </w:t>
      </w:r>
      <w:r w:rsidR="00DB1031" w:rsidRPr="00DA5EB5">
        <w:rPr>
          <w:kern w:val="2"/>
          <w:sz w:val="20"/>
        </w:rPr>
        <w:t xml:space="preserve">was a director and CEO, </w:t>
      </w:r>
      <w:r w:rsidRPr="00DA5EB5">
        <w:rPr>
          <w:kern w:val="2"/>
          <w:sz w:val="20"/>
        </w:rPr>
        <w:t>made misleading statements over several years</w:t>
      </w:r>
      <w:r w:rsidR="00DB1031" w:rsidRPr="00DA5EB5">
        <w:rPr>
          <w:kern w:val="2"/>
          <w:sz w:val="20"/>
        </w:rPr>
        <w:t xml:space="preserve"> and acted with a high degree of scienter. Although</w:t>
      </w:r>
      <w:r w:rsidRPr="00DA5EB5">
        <w:rPr>
          <w:kern w:val="2"/>
          <w:sz w:val="20"/>
        </w:rPr>
        <w:t xml:space="preserve"> it was his first and only violation</w:t>
      </w:r>
      <w:r w:rsidR="00DB1031" w:rsidRPr="00DA5EB5">
        <w:rPr>
          <w:kern w:val="2"/>
          <w:sz w:val="20"/>
        </w:rPr>
        <w:t>,</w:t>
      </w:r>
      <w:r w:rsidRPr="00DA5EB5">
        <w:rPr>
          <w:kern w:val="2"/>
          <w:sz w:val="20"/>
        </w:rPr>
        <w:t xml:space="preserve"> there was a strong probability of reoccurrence</w:t>
      </w:r>
      <w:r w:rsidR="00DB1031" w:rsidRPr="00DA5EB5">
        <w:rPr>
          <w:kern w:val="2"/>
          <w:sz w:val="20"/>
        </w:rPr>
        <w:t>.</w:t>
      </w:r>
      <w:r w:rsidRPr="00DA5EB5">
        <w:rPr>
          <w:kern w:val="2"/>
          <w:sz w:val="20"/>
        </w:rPr>
        <w:t xml:space="preserve"> </w:t>
      </w:r>
      <w:r w:rsidR="00DB1031" w:rsidRPr="00DA5EB5">
        <w:rPr>
          <w:kern w:val="2"/>
          <w:sz w:val="20"/>
        </w:rPr>
        <w:t>The Court also pointed out that the defendant</w:t>
      </w:r>
      <w:r w:rsidRPr="00DA5EB5">
        <w:rPr>
          <w:kern w:val="2"/>
          <w:sz w:val="20"/>
        </w:rPr>
        <w:t xml:space="preserve"> had </w:t>
      </w:r>
      <w:r w:rsidR="00DB1031" w:rsidRPr="00DA5EB5">
        <w:rPr>
          <w:kern w:val="2"/>
          <w:sz w:val="20"/>
        </w:rPr>
        <w:t xml:space="preserve">a </w:t>
      </w:r>
      <w:r w:rsidRPr="00DA5EB5">
        <w:rPr>
          <w:kern w:val="2"/>
          <w:sz w:val="20"/>
        </w:rPr>
        <w:t>minimal economic stake in the violation</w:t>
      </w:r>
      <w:r w:rsidR="00DB1031" w:rsidRPr="00DA5EB5">
        <w:rPr>
          <w:kern w:val="2"/>
          <w:sz w:val="20"/>
        </w:rPr>
        <w:t xml:space="preserve"> and that</w:t>
      </w:r>
      <w:r w:rsidRPr="00DA5EB5">
        <w:rPr>
          <w:kern w:val="2"/>
          <w:sz w:val="20"/>
        </w:rPr>
        <w:t xml:space="preserve"> he cooperated with the investigation</w:t>
      </w:r>
      <w:r w:rsidR="00DB1031" w:rsidRPr="00DA5EB5">
        <w:rPr>
          <w:kern w:val="2"/>
          <w:sz w:val="20"/>
        </w:rPr>
        <w:t>, although</w:t>
      </w:r>
      <w:r w:rsidRPr="00DA5EB5">
        <w:rPr>
          <w:kern w:val="2"/>
          <w:sz w:val="20"/>
        </w:rPr>
        <w:t xml:space="preserve"> his acknowledgement of responsibility was </w:t>
      </w:r>
      <w:r w:rsidR="00FD6DAC" w:rsidRPr="00DA5EB5">
        <w:rPr>
          <w:kern w:val="2"/>
          <w:sz w:val="20"/>
        </w:rPr>
        <w:t>“</w:t>
      </w:r>
      <w:r w:rsidRPr="00DA5EB5">
        <w:rPr>
          <w:kern w:val="2"/>
          <w:sz w:val="20"/>
        </w:rPr>
        <w:t>less than stellar</w:t>
      </w:r>
      <w:r w:rsidR="006A342F" w:rsidRPr="00DA5EB5">
        <w:rPr>
          <w:kern w:val="2"/>
          <w:sz w:val="20"/>
        </w:rPr>
        <w:t>.</w:t>
      </w:r>
      <w:r w:rsidR="00FD6DAC" w:rsidRPr="00DA5EB5">
        <w:rPr>
          <w:kern w:val="2"/>
          <w:sz w:val="20"/>
        </w:rPr>
        <w:t>”</w:t>
      </w:r>
      <w:r w:rsidRPr="00DA5EB5">
        <w:rPr>
          <w:kern w:val="2"/>
          <w:sz w:val="20"/>
        </w:rPr>
        <w:t xml:space="preserve"> </w:t>
      </w:r>
    </w:p>
    <w:p w14:paraId="594E63F2" w14:textId="58502C15" w:rsidR="0061282C" w:rsidRPr="00DA5EB5" w:rsidRDefault="0061282C" w:rsidP="007C3517">
      <w:pPr>
        <w:rPr>
          <w:kern w:val="2"/>
          <w:sz w:val="20"/>
        </w:rPr>
      </w:pPr>
      <w:r w:rsidRPr="00DA5EB5">
        <w:rPr>
          <w:kern w:val="2"/>
          <w:sz w:val="20"/>
        </w:rPr>
        <w:t xml:space="preserve">In </w:t>
      </w:r>
      <w:r w:rsidRPr="00DA5EB5">
        <w:rPr>
          <w:i/>
          <w:kern w:val="2"/>
          <w:sz w:val="20"/>
        </w:rPr>
        <w:t xml:space="preserve">SEC v </w:t>
      </w:r>
      <w:proofErr w:type="spellStart"/>
      <w:r w:rsidRPr="00DA5EB5">
        <w:rPr>
          <w:i/>
          <w:kern w:val="2"/>
          <w:sz w:val="20"/>
        </w:rPr>
        <w:t>Dibella</w:t>
      </w:r>
      <w:proofErr w:type="spellEnd"/>
      <w:r w:rsidRPr="00DA5EB5">
        <w:rPr>
          <w:kern w:val="2"/>
          <w:sz w:val="20"/>
        </w:rPr>
        <w:t>, the US District Court of Connecticut refused both an officer</w:t>
      </w:r>
      <w:r w:rsidR="00622295" w:rsidRPr="00DA5EB5">
        <w:rPr>
          <w:kern w:val="2"/>
          <w:sz w:val="20"/>
        </w:rPr>
        <w:t xml:space="preserve"> and </w:t>
      </w:r>
      <w:r w:rsidRPr="00DA5EB5">
        <w:rPr>
          <w:kern w:val="2"/>
          <w:sz w:val="20"/>
        </w:rPr>
        <w:t>director bar and a permanent injunction.</w:t>
      </w:r>
      <w:r w:rsidR="009C0018" w:rsidRPr="00DA5EB5">
        <w:rPr>
          <w:rStyle w:val="FootnoteReference"/>
          <w:kern w:val="2"/>
        </w:rPr>
        <w:footnoteReference w:id="217"/>
      </w:r>
      <w:r w:rsidRPr="00DA5EB5">
        <w:rPr>
          <w:kern w:val="2"/>
          <w:sz w:val="20"/>
        </w:rPr>
        <w:t xml:space="preserve"> The Court focused on the fact that the </w:t>
      </w:r>
      <w:r w:rsidR="00391DC0" w:rsidRPr="00DA5EB5">
        <w:rPr>
          <w:kern w:val="2"/>
          <w:sz w:val="20"/>
        </w:rPr>
        <w:t>d</w:t>
      </w:r>
      <w:r w:rsidRPr="00DA5EB5">
        <w:rPr>
          <w:kern w:val="2"/>
          <w:sz w:val="20"/>
        </w:rPr>
        <w:t>efendant was not serving on any board</w:t>
      </w:r>
      <w:r w:rsidR="00391DC0" w:rsidRPr="00DA5EB5">
        <w:rPr>
          <w:kern w:val="2"/>
          <w:sz w:val="20"/>
        </w:rPr>
        <w:t>s</w:t>
      </w:r>
      <w:r w:rsidRPr="00DA5EB5">
        <w:rPr>
          <w:kern w:val="2"/>
          <w:sz w:val="20"/>
        </w:rPr>
        <w:t xml:space="preserve"> of publicly traded companies, </w:t>
      </w:r>
      <w:r w:rsidR="00391DC0" w:rsidRPr="00DA5EB5">
        <w:rPr>
          <w:kern w:val="2"/>
          <w:sz w:val="20"/>
        </w:rPr>
        <w:t xml:space="preserve">had </w:t>
      </w:r>
      <w:r w:rsidRPr="00DA5EB5">
        <w:rPr>
          <w:kern w:val="2"/>
          <w:sz w:val="20"/>
        </w:rPr>
        <w:t xml:space="preserve">never served as an officer, had no prior history of violations and would be unlikely to commit an offence in the future. </w:t>
      </w:r>
    </w:p>
    <w:p w14:paraId="5B891060" w14:textId="2DF24E10" w:rsidR="00F82851" w:rsidRPr="00DA5EB5" w:rsidRDefault="0061282C" w:rsidP="007C3517">
      <w:pPr>
        <w:pStyle w:val="Heading2"/>
        <w:rPr>
          <w:kern w:val="2"/>
          <w:sz w:val="24"/>
        </w:rPr>
      </w:pPr>
      <w:r w:rsidRPr="00DA5EB5">
        <w:rPr>
          <w:kern w:val="2"/>
          <w:sz w:val="24"/>
        </w:rPr>
        <w:t>UK Law</w:t>
      </w:r>
    </w:p>
    <w:p w14:paraId="5352CD30" w14:textId="65F80DFB" w:rsidR="0061282C" w:rsidRPr="00DA5EB5" w:rsidRDefault="0061282C" w:rsidP="007C3517">
      <w:pPr>
        <w:rPr>
          <w:kern w:val="2"/>
          <w:sz w:val="20"/>
        </w:rPr>
      </w:pPr>
      <w:r w:rsidRPr="00DA5EB5">
        <w:rPr>
          <w:kern w:val="2"/>
          <w:sz w:val="20"/>
        </w:rPr>
        <w:t xml:space="preserve">Individuals convicted of indictable offences in the management of a company face disqualification from being a director or officer of a company under the </w:t>
      </w:r>
      <w:r w:rsidRPr="00DA5EB5">
        <w:rPr>
          <w:i/>
          <w:kern w:val="2"/>
          <w:sz w:val="20"/>
        </w:rPr>
        <w:t xml:space="preserve">Company Directors Disqualification Act 1986. </w:t>
      </w:r>
      <w:r w:rsidRPr="00DA5EB5">
        <w:rPr>
          <w:kern w:val="2"/>
          <w:sz w:val="20"/>
        </w:rPr>
        <w:t>The disqualifications are mandatory in some circumstances and discretionary in other circumstances. The Act sets out the following provisions:</w:t>
      </w:r>
    </w:p>
    <w:p w14:paraId="0D94AD5A" w14:textId="77777777" w:rsidR="00700A63" w:rsidRPr="00DA5EB5" w:rsidRDefault="00700A63" w:rsidP="00700A63">
      <w:pPr>
        <w:ind w:left="720" w:right="720"/>
        <w:rPr>
          <w:b/>
          <w:kern w:val="2"/>
          <w:sz w:val="20"/>
          <w:szCs w:val="21"/>
          <w:lang w:val="en" w:eastAsia="en-CA"/>
        </w:rPr>
      </w:pPr>
      <w:r w:rsidRPr="00DA5EB5">
        <w:rPr>
          <w:b/>
          <w:kern w:val="2"/>
          <w:sz w:val="20"/>
          <w:szCs w:val="21"/>
          <w:lang w:val="en" w:eastAsia="en-CA"/>
        </w:rPr>
        <w:t>1 Disqualification orders: general.</w:t>
      </w:r>
    </w:p>
    <w:p w14:paraId="1BCB1D2E" w14:textId="77777777" w:rsidR="00700A63" w:rsidRPr="00DA5EB5" w:rsidRDefault="00700A63" w:rsidP="00700A63">
      <w:pPr>
        <w:pStyle w:val="ListParagraph"/>
        <w:numPr>
          <w:ilvl w:val="0"/>
          <w:numId w:val="57"/>
        </w:numPr>
        <w:ind w:left="1080" w:right="720"/>
        <w:rPr>
          <w:kern w:val="2"/>
          <w:sz w:val="20"/>
          <w:szCs w:val="21"/>
          <w:lang w:val="en" w:eastAsia="en-CA"/>
        </w:rPr>
      </w:pPr>
      <w:r w:rsidRPr="00DA5EB5">
        <w:rPr>
          <w:kern w:val="2"/>
          <w:sz w:val="20"/>
          <w:szCs w:val="21"/>
          <w:lang w:val="en" w:eastAsia="en-CA"/>
        </w:rPr>
        <w:t>In the circumstances specified below in this Act a court may, and under sections 6 and 9A shall, make against a person a disqualification order, that is to say an order that for a period specified in the order—</w:t>
      </w:r>
    </w:p>
    <w:p w14:paraId="5A2B2C20" w14:textId="77777777" w:rsidR="00700A63" w:rsidRPr="00DA5EB5" w:rsidRDefault="00700A63" w:rsidP="00850139">
      <w:pPr>
        <w:pStyle w:val="ListParagraph"/>
        <w:numPr>
          <w:ilvl w:val="0"/>
          <w:numId w:val="75"/>
        </w:numPr>
        <w:ind w:right="720"/>
        <w:rPr>
          <w:kern w:val="2"/>
          <w:sz w:val="20"/>
          <w:szCs w:val="21"/>
          <w:lang w:val="en" w:eastAsia="en-CA"/>
        </w:rPr>
      </w:pPr>
      <w:r w:rsidRPr="00DA5EB5">
        <w:rPr>
          <w:kern w:val="2"/>
          <w:sz w:val="20"/>
          <w:szCs w:val="21"/>
          <w:lang w:val="en" w:eastAsia="en-CA"/>
        </w:rPr>
        <w:t>he shall not be a director of a company, act as receiver of a company’s property or in any way, whether directly or indirectly, be concerned or take part in the promotion, formation or management of a company unless (in each case) he has the leave of the court, and</w:t>
      </w:r>
    </w:p>
    <w:p w14:paraId="4548AD3A" w14:textId="77777777" w:rsidR="00700A63" w:rsidRPr="00DA5EB5" w:rsidRDefault="00700A63" w:rsidP="00850139">
      <w:pPr>
        <w:pStyle w:val="ListParagraph"/>
        <w:numPr>
          <w:ilvl w:val="0"/>
          <w:numId w:val="75"/>
        </w:numPr>
        <w:ind w:right="720"/>
        <w:rPr>
          <w:kern w:val="2"/>
          <w:sz w:val="20"/>
          <w:szCs w:val="21"/>
          <w:lang w:val="en" w:eastAsia="en-CA"/>
        </w:rPr>
      </w:pPr>
      <w:proofErr w:type="gramStart"/>
      <w:r w:rsidRPr="00DA5EB5">
        <w:rPr>
          <w:kern w:val="2"/>
          <w:sz w:val="20"/>
          <w:szCs w:val="21"/>
          <w:lang w:val="en" w:eastAsia="en-CA"/>
        </w:rPr>
        <w:t>he</w:t>
      </w:r>
      <w:proofErr w:type="gramEnd"/>
      <w:r w:rsidRPr="00DA5EB5">
        <w:rPr>
          <w:kern w:val="2"/>
          <w:sz w:val="20"/>
          <w:szCs w:val="21"/>
          <w:lang w:val="en" w:eastAsia="en-CA"/>
        </w:rPr>
        <w:t xml:space="preserve"> shall not act as an insolvency practitioner.</w:t>
      </w:r>
    </w:p>
    <w:p w14:paraId="102A6F9A" w14:textId="77777777" w:rsidR="00700A63" w:rsidRPr="00DA5EB5" w:rsidRDefault="00700A63" w:rsidP="00700A63">
      <w:pPr>
        <w:pStyle w:val="ListParagraph"/>
        <w:numPr>
          <w:ilvl w:val="0"/>
          <w:numId w:val="57"/>
        </w:numPr>
        <w:ind w:left="1080" w:right="720"/>
        <w:rPr>
          <w:kern w:val="2"/>
          <w:sz w:val="20"/>
          <w:szCs w:val="21"/>
          <w:lang w:val="en" w:eastAsia="en-CA"/>
        </w:rPr>
      </w:pPr>
      <w:r w:rsidRPr="00DA5EB5">
        <w:rPr>
          <w:kern w:val="2"/>
          <w:sz w:val="20"/>
          <w:szCs w:val="21"/>
          <w:lang w:val="en" w:eastAsia="en-CA"/>
        </w:rPr>
        <w:t>In each section of this Act which gives to a court power or, as the case may be, imposes on it the duty to make a disqualification order there is specified the maximum (and, in section 6, the minimum) period of disqualification which may or (as the case may be) must be imposed by means of the order and, unless the court otherwise orders, the period of disqualification so imposed shall begin at the end of the period of 21 days beginning with the date of the order.</w:t>
      </w:r>
    </w:p>
    <w:p w14:paraId="47081F24" w14:textId="77777777" w:rsidR="00700A63" w:rsidRPr="00DA5EB5" w:rsidRDefault="00700A63" w:rsidP="00700A63">
      <w:pPr>
        <w:pStyle w:val="ListParagraph"/>
        <w:numPr>
          <w:ilvl w:val="0"/>
          <w:numId w:val="57"/>
        </w:numPr>
        <w:ind w:left="1080" w:right="720"/>
        <w:rPr>
          <w:kern w:val="2"/>
          <w:sz w:val="20"/>
          <w:szCs w:val="21"/>
          <w:lang w:val="en" w:eastAsia="en-CA"/>
        </w:rPr>
      </w:pPr>
      <w:r w:rsidRPr="00DA5EB5">
        <w:rPr>
          <w:kern w:val="2"/>
          <w:sz w:val="20"/>
          <w:szCs w:val="21"/>
          <w:lang w:val="en" w:eastAsia="en-CA"/>
        </w:rPr>
        <w:t>Where a disqualification order is made against a person who is already subject to such an order or to a disqualification undertaking, the periods specified in those orders or, as the case may be, in the order and the undertaking shall run concurrently.</w:t>
      </w:r>
    </w:p>
    <w:p w14:paraId="1D9F8AC3" w14:textId="77777777" w:rsidR="00700A63" w:rsidRPr="00DA5EB5" w:rsidRDefault="00700A63" w:rsidP="00700A63">
      <w:pPr>
        <w:pStyle w:val="ListParagraph"/>
        <w:numPr>
          <w:ilvl w:val="0"/>
          <w:numId w:val="57"/>
        </w:numPr>
        <w:ind w:left="1080" w:right="720"/>
        <w:rPr>
          <w:kern w:val="2"/>
          <w:sz w:val="20"/>
          <w:szCs w:val="21"/>
          <w:lang w:val="en" w:eastAsia="en-CA"/>
        </w:rPr>
      </w:pPr>
      <w:r w:rsidRPr="00DA5EB5">
        <w:rPr>
          <w:kern w:val="2"/>
          <w:sz w:val="20"/>
          <w:szCs w:val="21"/>
          <w:lang w:val="en" w:eastAsia="en-CA"/>
        </w:rPr>
        <w:t>A disqualification order may be made on grounds which are or include matters other than criminal convictions, notwithstanding that the person in respect of whom it is to be made may be criminally liable in respect of those matters.</w:t>
      </w:r>
    </w:p>
    <w:p w14:paraId="0C9B16C9" w14:textId="77777777" w:rsidR="00700A63" w:rsidRPr="00DA5EB5" w:rsidRDefault="00700A63" w:rsidP="00700A63">
      <w:pPr>
        <w:ind w:left="720" w:right="720"/>
        <w:rPr>
          <w:b/>
          <w:kern w:val="2"/>
          <w:sz w:val="20"/>
          <w:szCs w:val="21"/>
          <w:lang w:val="en" w:eastAsia="en-CA"/>
        </w:rPr>
      </w:pPr>
      <w:r w:rsidRPr="00DA5EB5">
        <w:rPr>
          <w:b/>
          <w:kern w:val="2"/>
          <w:sz w:val="20"/>
          <w:szCs w:val="21"/>
          <w:lang w:val="en" w:eastAsia="en-CA"/>
        </w:rPr>
        <w:t>1A Disqualification undertakings: general.</w:t>
      </w:r>
    </w:p>
    <w:p w14:paraId="34C5DC7C" w14:textId="77777777" w:rsidR="00700A63" w:rsidRPr="00DA5EB5" w:rsidRDefault="00700A63" w:rsidP="00850139">
      <w:pPr>
        <w:pStyle w:val="ListParagraph"/>
        <w:numPr>
          <w:ilvl w:val="0"/>
          <w:numId w:val="59"/>
        </w:numPr>
        <w:ind w:left="1080" w:right="720"/>
        <w:rPr>
          <w:kern w:val="2"/>
          <w:sz w:val="20"/>
          <w:szCs w:val="21"/>
          <w:lang w:val="en" w:eastAsia="en-CA"/>
        </w:rPr>
      </w:pPr>
      <w:r w:rsidRPr="00DA5EB5">
        <w:rPr>
          <w:kern w:val="2"/>
          <w:sz w:val="20"/>
          <w:szCs w:val="21"/>
          <w:lang w:val="en" w:eastAsia="en-CA"/>
        </w:rPr>
        <w:t>In the circumstances specified in sections 7 and 8 the Secretary of State may accept a disqualification undertaking, that is to say an undertaking by any person that, for a period specified in the undertaking, the person—</w:t>
      </w:r>
    </w:p>
    <w:p w14:paraId="25A8551E" w14:textId="77777777" w:rsidR="00700A63" w:rsidRPr="00DA5EB5" w:rsidRDefault="00700A63" w:rsidP="00850139">
      <w:pPr>
        <w:pStyle w:val="ListParagraph"/>
        <w:numPr>
          <w:ilvl w:val="0"/>
          <w:numId w:val="76"/>
        </w:numPr>
        <w:ind w:right="720"/>
        <w:rPr>
          <w:kern w:val="2"/>
          <w:sz w:val="20"/>
          <w:szCs w:val="21"/>
          <w:lang w:val="en" w:eastAsia="en-CA"/>
        </w:rPr>
      </w:pPr>
      <w:r w:rsidRPr="00DA5EB5">
        <w:rPr>
          <w:kern w:val="2"/>
          <w:sz w:val="20"/>
          <w:szCs w:val="21"/>
          <w:lang w:val="en" w:eastAsia="en-CA"/>
        </w:rPr>
        <w:t>will not be a director of a company, act as receiver of a company’s property or in any way, whether directly or indirectly, be concerned or take part in the promotion, formation or management of a company unless (in each case) he has the leave of a court, and</w:t>
      </w:r>
    </w:p>
    <w:p w14:paraId="45D63218" w14:textId="77777777" w:rsidR="00700A63" w:rsidRPr="00DA5EB5" w:rsidRDefault="00700A63" w:rsidP="00850139">
      <w:pPr>
        <w:pStyle w:val="ListParagraph"/>
        <w:numPr>
          <w:ilvl w:val="0"/>
          <w:numId w:val="76"/>
        </w:numPr>
        <w:ind w:right="720"/>
        <w:rPr>
          <w:kern w:val="2"/>
          <w:sz w:val="20"/>
          <w:szCs w:val="21"/>
          <w:lang w:val="en" w:eastAsia="en-CA"/>
        </w:rPr>
      </w:pPr>
      <w:proofErr w:type="gramStart"/>
      <w:r w:rsidRPr="00DA5EB5">
        <w:rPr>
          <w:kern w:val="2"/>
          <w:sz w:val="20"/>
          <w:szCs w:val="21"/>
          <w:lang w:val="en" w:eastAsia="en-CA"/>
        </w:rPr>
        <w:t>will</w:t>
      </w:r>
      <w:proofErr w:type="gramEnd"/>
      <w:r w:rsidRPr="00DA5EB5">
        <w:rPr>
          <w:kern w:val="2"/>
          <w:sz w:val="20"/>
          <w:szCs w:val="21"/>
          <w:lang w:val="en" w:eastAsia="en-CA"/>
        </w:rPr>
        <w:t xml:space="preserve"> not act as an insolvency practitioner.</w:t>
      </w:r>
    </w:p>
    <w:p w14:paraId="454CA686" w14:textId="77777777" w:rsidR="00700A63" w:rsidRPr="00DA5EB5" w:rsidRDefault="00700A63" w:rsidP="00850139">
      <w:pPr>
        <w:pStyle w:val="ListParagraph"/>
        <w:numPr>
          <w:ilvl w:val="0"/>
          <w:numId w:val="59"/>
        </w:numPr>
        <w:ind w:left="1080" w:right="720"/>
        <w:rPr>
          <w:kern w:val="2"/>
          <w:sz w:val="20"/>
          <w:szCs w:val="21"/>
          <w:lang w:val="en" w:eastAsia="en-CA"/>
        </w:rPr>
      </w:pPr>
      <w:r w:rsidRPr="00DA5EB5">
        <w:rPr>
          <w:kern w:val="2"/>
          <w:sz w:val="20"/>
          <w:szCs w:val="21"/>
          <w:lang w:val="en" w:eastAsia="en-CA"/>
        </w:rPr>
        <w:t>The maximum period which may be specified in a disqualification undertaking is 15 years; and the minimum period which may be specified in a disqualification undertaking under section 7 is two years.</w:t>
      </w:r>
    </w:p>
    <w:p w14:paraId="289D3A6C" w14:textId="77777777" w:rsidR="00700A63" w:rsidRPr="00DA5EB5" w:rsidRDefault="00700A63" w:rsidP="00850139">
      <w:pPr>
        <w:pStyle w:val="ListParagraph"/>
        <w:numPr>
          <w:ilvl w:val="0"/>
          <w:numId w:val="59"/>
        </w:numPr>
        <w:ind w:left="1080" w:right="720"/>
        <w:rPr>
          <w:kern w:val="2"/>
          <w:sz w:val="20"/>
          <w:szCs w:val="21"/>
          <w:lang w:val="en" w:eastAsia="en-CA"/>
        </w:rPr>
      </w:pPr>
      <w:r w:rsidRPr="00DA5EB5">
        <w:rPr>
          <w:kern w:val="2"/>
          <w:sz w:val="20"/>
          <w:szCs w:val="21"/>
          <w:lang w:val="en" w:eastAsia="en-CA"/>
        </w:rPr>
        <w:t>Where a disqualification undertaking by a person who is already subject to such an undertaking or to a disqualification order is accepted, the periods specified in those undertakings or (as the case may be) the undertaking and the order shall run concurrently.</w:t>
      </w:r>
    </w:p>
    <w:p w14:paraId="32D70F9C" w14:textId="77777777" w:rsidR="00700A63" w:rsidRPr="00DA5EB5" w:rsidRDefault="00700A63" w:rsidP="00850139">
      <w:pPr>
        <w:pStyle w:val="ListParagraph"/>
        <w:numPr>
          <w:ilvl w:val="0"/>
          <w:numId w:val="59"/>
        </w:numPr>
        <w:spacing w:after="240"/>
        <w:ind w:left="1080" w:right="720"/>
        <w:rPr>
          <w:kern w:val="2"/>
          <w:sz w:val="20"/>
          <w:szCs w:val="21"/>
          <w:lang w:val="en" w:eastAsia="en-CA"/>
        </w:rPr>
      </w:pPr>
      <w:r w:rsidRPr="00DA5EB5">
        <w:rPr>
          <w:kern w:val="2"/>
          <w:sz w:val="20"/>
          <w:szCs w:val="21"/>
          <w:lang w:val="en" w:eastAsia="en-CA"/>
        </w:rPr>
        <w:t>In determining whether to accept a disqualification undertaking by any person, the Secretary of State may take account of matters other than criminal convictions, notwithstanding that the person may be criminally liable in respect of those matters.</w:t>
      </w:r>
      <w:r w:rsidRPr="00DA5EB5">
        <w:rPr>
          <w:rStyle w:val="FootnoteReference"/>
          <w:kern w:val="2"/>
          <w:szCs w:val="21"/>
          <w:lang w:val="en" w:eastAsia="en-CA"/>
        </w:rPr>
        <w:footnoteReference w:id="218"/>
      </w:r>
      <w:r w:rsidRPr="00DA5EB5">
        <w:rPr>
          <w:kern w:val="2"/>
          <w:sz w:val="20"/>
          <w:szCs w:val="21"/>
          <w:lang w:val="en" w:eastAsia="en-CA"/>
        </w:rPr>
        <w:t xml:space="preserve"> </w:t>
      </w:r>
    </w:p>
    <w:p w14:paraId="0176664B" w14:textId="000E60F3" w:rsidR="0061282C" w:rsidRPr="00DA5EB5" w:rsidRDefault="0061282C" w:rsidP="007C3517">
      <w:pPr>
        <w:rPr>
          <w:kern w:val="2"/>
          <w:sz w:val="20"/>
        </w:rPr>
      </w:pPr>
      <w:r w:rsidRPr="00DA5EB5">
        <w:rPr>
          <w:kern w:val="2"/>
          <w:sz w:val="20"/>
        </w:rPr>
        <w:t xml:space="preserve">Disqualification can also occur by voluntary arrangement. In </w:t>
      </w:r>
      <w:r w:rsidRPr="00DA5EB5">
        <w:rPr>
          <w:i/>
          <w:kern w:val="2"/>
          <w:sz w:val="20"/>
        </w:rPr>
        <w:t>R v Hibberd and another,</w:t>
      </w:r>
      <w:r w:rsidRPr="00DA5EB5">
        <w:rPr>
          <w:kern w:val="2"/>
          <w:sz w:val="20"/>
        </w:rPr>
        <w:t xml:space="preserve"> two company directors defrauded a bank and loan </w:t>
      </w:r>
      <w:r w:rsidR="003B2313" w:rsidRPr="00DA5EB5">
        <w:rPr>
          <w:kern w:val="2"/>
          <w:sz w:val="20"/>
        </w:rPr>
        <w:t xml:space="preserve">company of over </w:t>
      </w:r>
      <w:r w:rsidR="00DF12A6" w:rsidRPr="00DA5EB5">
        <w:rPr>
          <w:rFonts w:cs="Lucida Grande"/>
          <w:color w:val="000000"/>
          <w:kern w:val="2"/>
          <w:sz w:val="20"/>
        </w:rPr>
        <w:t>£</w:t>
      </w:r>
      <w:r w:rsidRPr="00DA5EB5">
        <w:rPr>
          <w:kern w:val="2"/>
          <w:sz w:val="20"/>
        </w:rPr>
        <w:t>1.5</w:t>
      </w:r>
      <w:r w:rsidR="00DF12A6" w:rsidRPr="00DA5EB5">
        <w:rPr>
          <w:kern w:val="2"/>
          <w:sz w:val="20"/>
        </w:rPr>
        <w:t xml:space="preserve"> million</w:t>
      </w:r>
      <w:r w:rsidR="00B1113B" w:rsidRPr="00DA5EB5">
        <w:rPr>
          <w:kern w:val="2"/>
          <w:sz w:val="20"/>
        </w:rPr>
        <w:t>.</w:t>
      </w:r>
      <w:r w:rsidR="009C0018" w:rsidRPr="00DA5EB5">
        <w:rPr>
          <w:rStyle w:val="FootnoteReference"/>
          <w:kern w:val="2"/>
        </w:rPr>
        <w:footnoteReference w:id="219"/>
      </w:r>
      <w:r w:rsidR="009C0018" w:rsidRPr="00DA5EB5">
        <w:rPr>
          <w:kern w:val="2"/>
          <w:sz w:val="20"/>
        </w:rPr>
        <w:t xml:space="preserve"> </w:t>
      </w:r>
      <w:r w:rsidR="005B3582" w:rsidRPr="00DA5EB5">
        <w:rPr>
          <w:kern w:val="2"/>
          <w:sz w:val="20"/>
        </w:rPr>
        <w:t>The Court declined to make a</w:t>
      </w:r>
      <w:r w:rsidRPr="00DA5EB5">
        <w:rPr>
          <w:kern w:val="2"/>
          <w:sz w:val="20"/>
        </w:rPr>
        <w:t xml:space="preserve"> di</w:t>
      </w:r>
      <w:r w:rsidR="00D4629B" w:rsidRPr="00DA5EB5">
        <w:rPr>
          <w:kern w:val="2"/>
          <w:sz w:val="20"/>
        </w:rPr>
        <w:t>squalification order because</w:t>
      </w:r>
      <w:r w:rsidRPr="00DA5EB5">
        <w:rPr>
          <w:kern w:val="2"/>
          <w:sz w:val="20"/>
        </w:rPr>
        <w:t xml:space="preserve"> </w:t>
      </w:r>
      <w:r w:rsidR="005B3582" w:rsidRPr="00DA5EB5">
        <w:rPr>
          <w:kern w:val="2"/>
          <w:sz w:val="20"/>
        </w:rPr>
        <w:t xml:space="preserve">such an order had already been made under </w:t>
      </w:r>
      <w:r w:rsidRPr="00DA5EB5">
        <w:rPr>
          <w:kern w:val="2"/>
          <w:sz w:val="20"/>
        </w:rPr>
        <w:t>a voluntary arrangement with the Department of Trade and Industry.</w:t>
      </w:r>
      <w:r w:rsidR="00070390" w:rsidRPr="00DA5EB5">
        <w:rPr>
          <w:rStyle w:val="FootnoteReference"/>
          <w:kern w:val="2"/>
          <w:sz w:val="18"/>
        </w:rPr>
        <w:footnoteReference w:id="220"/>
      </w:r>
    </w:p>
    <w:p w14:paraId="363EF116" w14:textId="299B1AE0" w:rsidR="0061282C" w:rsidRPr="00DA5EB5" w:rsidRDefault="0061282C" w:rsidP="007C3517">
      <w:pPr>
        <w:rPr>
          <w:kern w:val="2"/>
          <w:sz w:val="20"/>
        </w:rPr>
      </w:pPr>
      <w:r w:rsidRPr="00DA5EB5">
        <w:rPr>
          <w:kern w:val="2"/>
          <w:sz w:val="20"/>
        </w:rPr>
        <w:t xml:space="preserve">The leading case on disqualification is the 1998 case of </w:t>
      </w:r>
      <w:r w:rsidR="00B1113B" w:rsidRPr="00DA5EB5">
        <w:rPr>
          <w:i/>
          <w:kern w:val="2"/>
          <w:sz w:val="20"/>
        </w:rPr>
        <w:t>R v</w:t>
      </w:r>
      <w:r w:rsidRPr="00DA5EB5">
        <w:rPr>
          <w:i/>
          <w:kern w:val="2"/>
          <w:sz w:val="20"/>
        </w:rPr>
        <w:t xml:space="preserve"> Edwards</w:t>
      </w:r>
      <w:r w:rsidRPr="00DA5EB5">
        <w:rPr>
          <w:kern w:val="2"/>
          <w:sz w:val="20"/>
        </w:rPr>
        <w:t xml:space="preserve">. In </w:t>
      </w:r>
      <w:r w:rsidRPr="00DA5EB5">
        <w:rPr>
          <w:i/>
          <w:kern w:val="2"/>
          <w:sz w:val="20"/>
        </w:rPr>
        <w:t xml:space="preserve">Edwards, </w:t>
      </w:r>
      <w:r w:rsidRPr="00DA5EB5">
        <w:rPr>
          <w:kern w:val="2"/>
          <w:sz w:val="20"/>
        </w:rPr>
        <w:t>the court stated:</w:t>
      </w:r>
    </w:p>
    <w:p w14:paraId="645A8485" w14:textId="3E62D1C0" w:rsidR="0061282C" w:rsidRPr="00DA5EB5" w:rsidRDefault="0061282C" w:rsidP="00030C35">
      <w:pPr>
        <w:pStyle w:val="BlockQuote"/>
        <w:rPr>
          <w:kern w:val="2"/>
          <w:sz w:val="20"/>
        </w:rPr>
      </w:pPr>
      <w:r w:rsidRPr="00DA5EB5">
        <w:rPr>
          <w:kern w:val="2"/>
          <w:sz w:val="20"/>
        </w:rPr>
        <w:t>The rationale behind the power to disqualify is the protection of the public from</w:t>
      </w:r>
      <w:r w:rsidR="00896817" w:rsidRPr="00DA5EB5">
        <w:rPr>
          <w:kern w:val="2"/>
          <w:sz w:val="20"/>
        </w:rPr>
        <w:t xml:space="preserve"> </w:t>
      </w:r>
      <w:r w:rsidRPr="00DA5EB5">
        <w:rPr>
          <w:kern w:val="2"/>
          <w:sz w:val="20"/>
        </w:rPr>
        <w:t>the activities of persons who, whether for reasons of dishonesty, or of naivety or incompetence in conjunction with the dishonesty of others, may use or abuse their role and status as a director of a limited company to the detriment of the public. Frauds of the kind in this case archetypally give rise to a situation in which the exercise of the court's power is appropriate.</w:t>
      </w:r>
      <w:r w:rsidR="006F59C8" w:rsidRPr="00DA5EB5">
        <w:rPr>
          <w:rStyle w:val="FootnoteReference"/>
          <w:kern w:val="2"/>
          <w:szCs w:val="21"/>
        </w:rPr>
        <w:footnoteReference w:id="221"/>
      </w:r>
    </w:p>
    <w:p w14:paraId="73640053" w14:textId="28755783" w:rsidR="0061282C" w:rsidRPr="00DA5EB5" w:rsidRDefault="0061282C" w:rsidP="0023734A">
      <w:pPr>
        <w:rPr>
          <w:kern w:val="2"/>
          <w:sz w:val="20"/>
        </w:rPr>
      </w:pPr>
      <w:r w:rsidRPr="00DA5EB5">
        <w:rPr>
          <w:kern w:val="2"/>
          <w:sz w:val="20"/>
        </w:rPr>
        <w:t xml:space="preserve">The Court in </w:t>
      </w:r>
      <w:r w:rsidRPr="00DA5EB5">
        <w:rPr>
          <w:i/>
          <w:kern w:val="2"/>
          <w:sz w:val="20"/>
        </w:rPr>
        <w:t xml:space="preserve">Edwards </w:t>
      </w:r>
      <w:r w:rsidRPr="00DA5EB5">
        <w:rPr>
          <w:kern w:val="2"/>
          <w:sz w:val="20"/>
        </w:rPr>
        <w:t xml:space="preserve">drew on guidance from the case of </w:t>
      </w:r>
      <w:r w:rsidR="005B3582" w:rsidRPr="00DA5EB5">
        <w:rPr>
          <w:i/>
          <w:kern w:val="2"/>
          <w:sz w:val="20"/>
        </w:rPr>
        <w:t xml:space="preserve">R v </w:t>
      </w:r>
      <w:r w:rsidRPr="00DA5EB5">
        <w:rPr>
          <w:i/>
          <w:kern w:val="2"/>
          <w:sz w:val="20"/>
        </w:rPr>
        <w:t>Millard</w:t>
      </w:r>
      <w:r w:rsidRPr="00DA5EB5">
        <w:rPr>
          <w:kern w:val="2"/>
          <w:sz w:val="20"/>
        </w:rPr>
        <w:t xml:space="preserve">, where disqualification was </w:t>
      </w:r>
      <w:r w:rsidR="00B6350D" w:rsidRPr="00DA5EB5">
        <w:rPr>
          <w:kern w:val="2"/>
          <w:sz w:val="20"/>
        </w:rPr>
        <w:t>divided</w:t>
      </w:r>
      <w:r w:rsidRPr="00DA5EB5">
        <w:rPr>
          <w:kern w:val="2"/>
          <w:sz w:val="20"/>
        </w:rPr>
        <w:t xml:space="preserve"> into three brackets:</w:t>
      </w:r>
    </w:p>
    <w:p w14:paraId="08835B11" w14:textId="77777777" w:rsidR="00896817" w:rsidRPr="00DA5EB5" w:rsidRDefault="0061282C" w:rsidP="0074473E">
      <w:pPr>
        <w:pStyle w:val="BlockQuote"/>
        <w:numPr>
          <w:ilvl w:val="0"/>
          <w:numId w:val="43"/>
        </w:numPr>
        <w:spacing w:before="60" w:after="60"/>
        <w:jc w:val="left"/>
        <w:rPr>
          <w:kern w:val="2"/>
          <w:sz w:val="20"/>
          <w:szCs w:val="21"/>
        </w:rPr>
      </w:pPr>
      <w:proofErr w:type="gramStart"/>
      <w:r w:rsidRPr="00DA5EB5">
        <w:rPr>
          <w:kern w:val="2"/>
          <w:sz w:val="20"/>
          <w:szCs w:val="21"/>
        </w:rPr>
        <w:t>the</w:t>
      </w:r>
      <w:proofErr w:type="gramEnd"/>
      <w:r w:rsidRPr="00DA5EB5">
        <w:rPr>
          <w:kern w:val="2"/>
          <w:sz w:val="20"/>
          <w:szCs w:val="21"/>
        </w:rPr>
        <w:t xml:space="preserve"> top bracket of </w:t>
      </w:r>
      <w:r w:rsidRPr="00DA5EB5">
        <w:rPr>
          <w:bCs/>
          <w:kern w:val="2"/>
          <w:sz w:val="20"/>
          <w:szCs w:val="21"/>
        </w:rPr>
        <w:t xml:space="preserve">disqualification </w:t>
      </w:r>
      <w:r w:rsidRPr="00DA5EB5">
        <w:rPr>
          <w:kern w:val="2"/>
          <w:sz w:val="20"/>
          <w:szCs w:val="21"/>
        </w:rPr>
        <w:t xml:space="preserve">for periods over ten years should be reserved for particularly serious cases. These may include cases where a director who has already had one period of </w:t>
      </w:r>
      <w:r w:rsidRPr="00DA5EB5">
        <w:rPr>
          <w:bCs/>
          <w:kern w:val="2"/>
          <w:sz w:val="20"/>
          <w:szCs w:val="21"/>
        </w:rPr>
        <w:t xml:space="preserve">disqualification </w:t>
      </w:r>
      <w:r w:rsidRPr="00DA5EB5">
        <w:rPr>
          <w:kern w:val="2"/>
          <w:sz w:val="20"/>
          <w:szCs w:val="21"/>
        </w:rPr>
        <w:t xml:space="preserve">imposed on him falls to </w:t>
      </w:r>
      <w:r w:rsidR="00896817" w:rsidRPr="00DA5EB5">
        <w:rPr>
          <w:kern w:val="2"/>
          <w:sz w:val="20"/>
          <w:szCs w:val="21"/>
        </w:rPr>
        <w:t>be disqualified yet again.</w:t>
      </w:r>
    </w:p>
    <w:p w14:paraId="6BCE4787" w14:textId="77777777" w:rsidR="00896817" w:rsidRPr="00DA5EB5" w:rsidRDefault="0061282C" w:rsidP="0074473E">
      <w:pPr>
        <w:pStyle w:val="BlockQuote"/>
        <w:numPr>
          <w:ilvl w:val="0"/>
          <w:numId w:val="43"/>
        </w:numPr>
        <w:spacing w:before="60" w:after="60"/>
        <w:jc w:val="left"/>
        <w:rPr>
          <w:kern w:val="2"/>
          <w:sz w:val="20"/>
          <w:szCs w:val="21"/>
        </w:rPr>
      </w:pPr>
      <w:r w:rsidRPr="00DA5EB5">
        <w:rPr>
          <w:kern w:val="2"/>
          <w:sz w:val="20"/>
          <w:szCs w:val="21"/>
        </w:rPr>
        <w:t xml:space="preserve">The minimum bracket of two to five years' </w:t>
      </w:r>
      <w:r w:rsidRPr="00DA5EB5">
        <w:rPr>
          <w:bCs/>
          <w:kern w:val="2"/>
          <w:sz w:val="20"/>
          <w:szCs w:val="21"/>
        </w:rPr>
        <w:t xml:space="preserve">disqualification </w:t>
      </w:r>
      <w:r w:rsidRPr="00DA5EB5">
        <w:rPr>
          <w:kern w:val="2"/>
          <w:sz w:val="20"/>
          <w:szCs w:val="21"/>
        </w:rPr>
        <w:t xml:space="preserve">should be applied where, though </w:t>
      </w:r>
      <w:r w:rsidRPr="00DA5EB5">
        <w:rPr>
          <w:bCs/>
          <w:kern w:val="2"/>
          <w:sz w:val="20"/>
          <w:szCs w:val="21"/>
        </w:rPr>
        <w:t xml:space="preserve">disqualification </w:t>
      </w:r>
      <w:r w:rsidRPr="00DA5EB5">
        <w:rPr>
          <w:kern w:val="2"/>
          <w:sz w:val="20"/>
          <w:szCs w:val="21"/>
        </w:rPr>
        <w:t xml:space="preserve">is mandatory, the case is relatively not very </w:t>
      </w:r>
      <w:r w:rsidR="00896817" w:rsidRPr="00DA5EB5">
        <w:rPr>
          <w:kern w:val="2"/>
          <w:sz w:val="20"/>
          <w:szCs w:val="21"/>
        </w:rPr>
        <w:t>serious.</w:t>
      </w:r>
    </w:p>
    <w:p w14:paraId="23321636" w14:textId="7FCA3814" w:rsidR="0061282C" w:rsidRPr="00DA5EB5" w:rsidRDefault="0061282C" w:rsidP="0074473E">
      <w:pPr>
        <w:pStyle w:val="BlockQuote"/>
        <w:numPr>
          <w:ilvl w:val="0"/>
          <w:numId w:val="43"/>
        </w:numPr>
        <w:spacing w:before="60" w:after="60"/>
        <w:jc w:val="left"/>
        <w:rPr>
          <w:kern w:val="2"/>
          <w:sz w:val="20"/>
          <w:szCs w:val="21"/>
        </w:rPr>
      </w:pPr>
      <w:r w:rsidRPr="00DA5EB5">
        <w:rPr>
          <w:kern w:val="2"/>
          <w:sz w:val="20"/>
          <w:szCs w:val="21"/>
        </w:rPr>
        <w:t xml:space="preserve">The middle bracket of </w:t>
      </w:r>
      <w:r w:rsidRPr="00DA5EB5">
        <w:rPr>
          <w:bCs/>
          <w:kern w:val="2"/>
          <w:sz w:val="20"/>
          <w:szCs w:val="21"/>
        </w:rPr>
        <w:t xml:space="preserve">disqualification </w:t>
      </w:r>
      <w:r w:rsidRPr="00DA5EB5">
        <w:rPr>
          <w:kern w:val="2"/>
          <w:sz w:val="20"/>
          <w:szCs w:val="21"/>
        </w:rPr>
        <w:t>from six to ten years should apply for serious cases which do not merit the top bracket</w:t>
      </w:r>
      <w:r w:rsidR="00B1113B" w:rsidRPr="00DA5EB5">
        <w:rPr>
          <w:kern w:val="2"/>
          <w:sz w:val="20"/>
          <w:szCs w:val="21"/>
        </w:rPr>
        <w:t>.</w:t>
      </w:r>
      <w:r w:rsidR="009C0018" w:rsidRPr="00DA5EB5">
        <w:rPr>
          <w:rStyle w:val="FootnoteReference"/>
          <w:kern w:val="2"/>
          <w:sz w:val="18"/>
        </w:rPr>
        <w:footnoteReference w:id="222"/>
      </w:r>
    </w:p>
    <w:p w14:paraId="0F7F41D1" w14:textId="4DF663A7" w:rsidR="0061282C" w:rsidRPr="00DA5EB5" w:rsidRDefault="0061282C" w:rsidP="0023734A">
      <w:pPr>
        <w:rPr>
          <w:kern w:val="2"/>
          <w:sz w:val="20"/>
        </w:rPr>
      </w:pPr>
      <w:r w:rsidRPr="00DA5EB5">
        <w:rPr>
          <w:kern w:val="2"/>
          <w:sz w:val="20"/>
        </w:rPr>
        <w:t xml:space="preserve">In </w:t>
      </w:r>
      <w:r w:rsidRPr="00DA5EB5">
        <w:rPr>
          <w:i/>
          <w:kern w:val="2"/>
          <w:sz w:val="20"/>
        </w:rPr>
        <w:t>Edwards</w:t>
      </w:r>
      <w:r w:rsidR="00B6350D" w:rsidRPr="00DA5EB5">
        <w:rPr>
          <w:i/>
          <w:kern w:val="2"/>
          <w:sz w:val="20"/>
        </w:rPr>
        <w:t>,</w:t>
      </w:r>
      <w:r w:rsidRPr="00DA5EB5">
        <w:rPr>
          <w:kern w:val="2"/>
          <w:sz w:val="20"/>
        </w:rPr>
        <w:t xml:space="preserve"> the offender</w:t>
      </w:r>
      <w:r w:rsidRPr="00DA5EB5">
        <w:rPr>
          <w:i/>
          <w:kern w:val="2"/>
          <w:sz w:val="20"/>
        </w:rPr>
        <w:t xml:space="preserve"> </w:t>
      </w:r>
      <w:r w:rsidRPr="00DA5EB5">
        <w:rPr>
          <w:kern w:val="2"/>
          <w:sz w:val="20"/>
        </w:rPr>
        <w:t xml:space="preserve">was unemployed and persuaded to participate in a fraudulent enterprise as a director, a role for which he was inexperienced and unsuited. The Court found </w:t>
      </w:r>
      <w:r w:rsidR="00B6350D" w:rsidRPr="00DA5EB5">
        <w:rPr>
          <w:kern w:val="2"/>
          <w:sz w:val="20"/>
        </w:rPr>
        <w:t xml:space="preserve">that </w:t>
      </w:r>
      <w:r w:rsidRPr="00DA5EB5">
        <w:rPr>
          <w:kern w:val="2"/>
          <w:sz w:val="20"/>
        </w:rPr>
        <w:t xml:space="preserve">a </w:t>
      </w:r>
      <w:r w:rsidR="00B6350D" w:rsidRPr="00DA5EB5">
        <w:rPr>
          <w:kern w:val="2"/>
          <w:sz w:val="20"/>
        </w:rPr>
        <w:t>ten</w:t>
      </w:r>
      <w:r w:rsidRPr="00DA5EB5">
        <w:rPr>
          <w:kern w:val="2"/>
          <w:sz w:val="20"/>
        </w:rPr>
        <w:t xml:space="preserve">-year disqualification order </w:t>
      </w:r>
      <w:r w:rsidR="00B6350D" w:rsidRPr="00DA5EB5">
        <w:rPr>
          <w:kern w:val="2"/>
          <w:sz w:val="20"/>
        </w:rPr>
        <w:t xml:space="preserve">was </w:t>
      </w:r>
      <w:r w:rsidRPr="00DA5EB5">
        <w:rPr>
          <w:kern w:val="2"/>
          <w:sz w:val="20"/>
        </w:rPr>
        <w:t>too harsh and substituted a three-year order.</w:t>
      </w:r>
    </w:p>
    <w:p w14:paraId="1E12CE5D" w14:textId="0C76CB08" w:rsidR="0061282C" w:rsidRPr="00DA5EB5" w:rsidRDefault="0061282C" w:rsidP="007C3517">
      <w:pPr>
        <w:rPr>
          <w:kern w:val="2"/>
          <w:sz w:val="20"/>
        </w:rPr>
      </w:pPr>
      <w:r w:rsidRPr="00DA5EB5">
        <w:rPr>
          <w:kern w:val="2"/>
          <w:sz w:val="20"/>
        </w:rPr>
        <w:t xml:space="preserve">In </w:t>
      </w:r>
      <w:r w:rsidR="00B1113B" w:rsidRPr="00DA5EB5">
        <w:rPr>
          <w:i/>
          <w:kern w:val="2"/>
          <w:sz w:val="20"/>
        </w:rPr>
        <w:t>R v</w:t>
      </w:r>
      <w:r w:rsidRPr="00DA5EB5">
        <w:rPr>
          <w:i/>
          <w:kern w:val="2"/>
          <w:sz w:val="20"/>
        </w:rPr>
        <w:t xml:space="preserve"> Cadman,</w:t>
      </w:r>
      <w:r w:rsidR="00C155BA" w:rsidRPr="00DA5EB5">
        <w:rPr>
          <w:rStyle w:val="FootnoteReference"/>
          <w:kern w:val="2"/>
          <w:szCs w:val="21"/>
        </w:rPr>
        <w:footnoteReference w:id="223"/>
      </w:r>
      <w:r w:rsidRPr="00DA5EB5">
        <w:rPr>
          <w:i/>
          <w:kern w:val="2"/>
          <w:sz w:val="20"/>
        </w:rPr>
        <w:t xml:space="preserve"> </w:t>
      </w:r>
      <w:r w:rsidRPr="00DA5EB5">
        <w:rPr>
          <w:kern w:val="2"/>
          <w:sz w:val="20"/>
        </w:rPr>
        <w:t>the Court of Appeal Criminal Division reviewed a number of decisions regarding disqualification orders:</w:t>
      </w:r>
      <w:r w:rsidR="00E87776" w:rsidRPr="00DA5EB5">
        <w:rPr>
          <w:kern w:val="2"/>
          <w:sz w:val="20"/>
        </w:rPr>
        <w:t xml:space="preserve"> </w:t>
      </w:r>
    </w:p>
    <w:p w14:paraId="52837909" w14:textId="77777777" w:rsidR="0061282C" w:rsidRPr="00DA5EB5" w:rsidRDefault="0061282C" w:rsidP="007C3517">
      <w:pPr>
        <w:pStyle w:val="BlockQuote"/>
        <w:rPr>
          <w:kern w:val="2"/>
          <w:sz w:val="20"/>
        </w:rPr>
      </w:pPr>
      <w:r w:rsidRPr="00DA5EB5">
        <w:rPr>
          <w:rStyle w:val="underline1"/>
          <w:i/>
          <w:kern w:val="2"/>
          <w:sz w:val="20"/>
          <w:szCs w:val="21"/>
          <w:u w:val="none"/>
        </w:rPr>
        <w:t>Sevenoaks Stationers (Retail) Limited</w:t>
      </w:r>
      <w:r w:rsidRPr="00DA5EB5">
        <w:rPr>
          <w:kern w:val="2"/>
          <w:sz w:val="20"/>
        </w:rPr>
        <w:t xml:space="preserve"> [1991] CH 164, Court of Appeal Civil Division, dealt with an accountant who over five years with five separate companies which had all become insolvent had accrued total indebtedness of approximately £560,000. There were no audited accounts and he had traded whilst insolvent in relation to at least one company. This amounted to incompetence or negligence in a very marked degree falling short of dishonesty. His disqualification period was reduced to five years. This case is memorable for the trio of brackets it established, later to be adopted with approval in </w:t>
      </w:r>
      <w:r w:rsidRPr="00DA5EB5">
        <w:rPr>
          <w:rStyle w:val="underline1"/>
          <w:kern w:val="2"/>
          <w:sz w:val="20"/>
          <w:szCs w:val="21"/>
        </w:rPr>
        <w:t>Millard</w:t>
      </w:r>
      <w:r w:rsidRPr="00DA5EB5">
        <w:rPr>
          <w:kern w:val="2"/>
          <w:sz w:val="20"/>
        </w:rPr>
        <w:t>. (1) The top bracket, periods over ten years, should be reserved for particularly serious cases. These may include cases where a doctor who has already one period of disqualification imposed upon him falls to be disqualified yet again. (2) The minimum bracket of two to five years' disqualification should be applied where, though disqualification is mandatory, the case is, relatively, not very serious. (3) The middle bracket of disqualification, from six to ten years, should apply to serious cases which do not merit the top bracket.</w:t>
      </w:r>
    </w:p>
    <w:p w14:paraId="18C73167" w14:textId="30A291AF" w:rsidR="0061282C" w:rsidRPr="00DA5EB5" w:rsidRDefault="0061282C" w:rsidP="002D4077">
      <w:pPr>
        <w:pStyle w:val="BlockQuote"/>
        <w:numPr>
          <w:ilvl w:val="0"/>
          <w:numId w:val="86"/>
        </w:numPr>
        <w:rPr>
          <w:kern w:val="2"/>
          <w:sz w:val="20"/>
        </w:rPr>
      </w:pPr>
      <w:r w:rsidRPr="00DA5EB5">
        <w:rPr>
          <w:kern w:val="2"/>
          <w:sz w:val="20"/>
        </w:rPr>
        <w:t xml:space="preserve">In </w:t>
      </w:r>
      <w:r w:rsidRPr="00DA5EB5">
        <w:rPr>
          <w:rStyle w:val="underline1"/>
          <w:i/>
          <w:kern w:val="2"/>
          <w:sz w:val="20"/>
          <w:szCs w:val="21"/>
          <w:u w:val="none"/>
        </w:rPr>
        <w:t>Millard</w:t>
      </w:r>
      <w:r w:rsidRPr="00DA5EB5">
        <w:rPr>
          <w:kern w:val="2"/>
          <w:sz w:val="20"/>
        </w:rPr>
        <w:t xml:space="preserve"> [1994] 15 Cr App R(S) 445 that approach was not only approved but applied so as to substitute for a 15</w:t>
      </w:r>
      <w:r w:rsidRPr="00DA5EB5">
        <w:rPr>
          <w:kern w:val="2"/>
          <w:sz w:val="20"/>
        </w:rPr>
        <w:noBreakHyphen/>
        <w:t>year disqualification one of eight years. An appellant had fraudulently traded using six company vehicles, creating a deficiency of £728,000</w:t>
      </w:r>
      <w:r w:rsidRPr="00DA5EB5">
        <w:rPr>
          <w:kern w:val="2"/>
          <w:sz w:val="20"/>
        </w:rPr>
        <w:noBreakHyphen/>
        <w:t>odd. He had been convicted and the fraudulent trading spanned nearly four years. He had three previous convictions for dishonesty. Miss Small readily accepts that what assistance that case can offer is tempered by its age.</w:t>
      </w:r>
    </w:p>
    <w:p w14:paraId="2CBEFBCF" w14:textId="6C73A286" w:rsidR="0061282C" w:rsidRPr="00DA5EB5" w:rsidRDefault="0061282C" w:rsidP="002D4077">
      <w:pPr>
        <w:pStyle w:val="BlockQuote"/>
        <w:numPr>
          <w:ilvl w:val="0"/>
          <w:numId w:val="86"/>
        </w:numPr>
        <w:rPr>
          <w:kern w:val="2"/>
          <w:sz w:val="20"/>
        </w:rPr>
      </w:pPr>
      <w:r w:rsidRPr="00DA5EB5">
        <w:rPr>
          <w:rStyle w:val="underline1"/>
          <w:i/>
          <w:kern w:val="2"/>
          <w:sz w:val="20"/>
          <w:szCs w:val="21"/>
          <w:u w:val="none"/>
        </w:rPr>
        <w:t>Robertson</w:t>
      </w:r>
      <w:r w:rsidRPr="00DA5EB5">
        <w:rPr>
          <w:kern w:val="2"/>
          <w:sz w:val="20"/>
        </w:rPr>
        <w:t xml:space="preserve"> [2006] EWCA </w:t>
      </w:r>
      <w:proofErr w:type="spellStart"/>
      <w:r w:rsidRPr="00DA5EB5">
        <w:rPr>
          <w:kern w:val="2"/>
          <w:sz w:val="20"/>
        </w:rPr>
        <w:t>Crim</w:t>
      </w:r>
      <w:proofErr w:type="spellEnd"/>
      <w:r w:rsidRPr="00DA5EB5">
        <w:rPr>
          <w:kern w:val="2"/>
          <w:sz w:val="20"/>
        </w:rPr>
        <w:t xml:space="preserve"> 1289 was an appellant of 49 and of good character. He was convicted of fraudulent trading during some six months. His business defrauded the DFES in respect of an ILA. The department paid his company £1.4 million. His disqualification period, which was not challenged in the Court of Appeal, was five years.</w:t>
      </w:r>
    </w:p>
    <w:p w14:paraId="35CF014D" w14:textId="77335A29" w:rsidR="0061282C" w:rsidRPr="00DA5EB5" w:rsidRDefault="0061282C" w:rsidP="002D4077">
      <w:pPr>
        <w:pStyle w:val="BlockQuote"/>
        <w:numPr>
          <w:ilvl w:val="0"/>
          <w:numId w:val="86"/>
        </w:numPr>
        <w:rPr>
          <w:kern w:val="2"/>
          <w:sz w:val="20"/>
        </w:rPr>
      </w:pPr>
      <w:proofErr w:type="spellStart"/>
      <w:r w:rsidRPr="00DA5EB5">
        <w:rPr>
          <w:rStyle w:val="underline1"/>
          <w:i/>
          <w:kern w:val="2"/>
          <w:sz w:val="20"/>
          <w:szCs w:val="21"/>
          <w:u w:val="none"/>
        </w:rPr>
        <w:t>Sukhdabe</w:t>
      </w:r>
      <w:proofErr w:type="spellEnd"/>
      <w:r w:rsidRPr="00DA5EB5">
        <w:rPr>
          <w:rStyle w:val="underline1"/>
          <w:i/>
          <w:kern w:val="2"/>
          <w:sz w:val="20"/>
          <w:szCs w:val="21"/>
          <w:u w:val="none"/>
        </w:rPr>
        <w:t xml:space="preserve"> Singh More</w:t>
      </w:r>
      <w:r w:rsidRPr="00DA5EB5">
        <w:rPr>
          <w:kern w:val="2"/>
          <w:sz w:val="20"/>
        </w:rPr>
        <w:t xml:space="preserve"> </w:t>
      </w:r>
      <w:hyperlink r:id="rId36" w:tgtFrame="_parent" w:history="1">
        <w:r w:rsidRPr="00DA5EB5">
          <w:rPr>
            <w:rStyle w:val="Hyperlink"/>
            <w:rFonts w:eastAsiaTheme="majorEastAsia"/>
            <w:color w:val="auto"/>
            <w:kern w:val="2"/>
            <w:sz w:val="20"/>
            <w:szCs w:val="21"/>
            <w:u w:val="none"/>
          </w:rPr>
          <w:t xml:space="preserve">[2007] EWCA </w:t>
        </w:r>
        <w:proofErr w:type="spellStart"/>
        <w:r w:rsidRPr="00DA5EB5">
          <w:rPr>
            <w:rStyle w:val="Hyperlink"/>
            <w:rFonts w:eastAsiaTheme="majorEastAsia"/>
            <w:color w:val="auto"/>
            <w:kern w:val="2"/>
            <w:sz w:val="20"/>
            <w:szCs w:val="21"/>
            <w:u w:val="none"/>
          </w:rPr>
          <w:t>Crim</w:t>
        </w:r>
        <w:proofErr w:type="spellEnd"/>
        <w:r w:rsidRPr="00DA5EB5">
          <w:rPr>
            <w:rStyle w:val="Hyperlink"/>
            <w:rFonts w:eastAsiaTheme="majorEastAsia"/>
            <w:color w:val="auto"/>
            <w:kern w:val="2"/>
            <w:sz w:val="20"/>
            <w:szCs w:val="21"/>
            <w:u w:val="none"/>
          </w:rPr>
          <w:t xml:space="preserve"> 2832</w:t>
        </w:r>
      </w:hyperlink>
      <w:r w:rsidRPr="00DA5EB5">
        <w:rPr>
          <w:kern w:val="2"/>
          <w:sz w:val="20"/>
        </w:rPr>
        <w:t xml:space="preserve"> was an appellant pleading guilty to one money laundering offence. Over some two months he had allowed his business account to be used to launder £136,000. He had two previous convictions for dishonesty. The Court of Appeal reduced his disqualification to three years.</w:t>
      </w:r>
    </w:p>
    <w:p w14:paraId="6171BD4A" w14:textId="2095EBE9" w:rsidR="0061282C" w:rsidRPr="00DA5EB5" w:rsidRDefault="0061282C" w:rsidP="002D4077">
      <w:pPr>
        <w:pStyle w:val="BlockQuote"/>
        <w:numPr>
          <w:ilvl w:val="0"/>
          <w:numId w:val="86"/>
        </w:numPr>
        <w:rPr>
          <w:kern w:val="2"/>
          <w:sz w:val="20"/>
        </w:rPr>
      </w:pPr>
      <w:r w:rsidRPr="00DA5EB5">
        <w:rPr>
          <w:rStyle w:val="underline1"/>
          <w:i/>
          <w:kern w:val="2"/>
          <w:sz w:val="20"/>
          <w:szCs w:val="21"/>
          <w:u w:val="none"/>
        </w:rPr>
        <w:t>Jules Paul Simpson</w:t>
      </w:r>
      <w:r w:rsidRPr="00DA5EB5">
        <w:rPr>
          <w:kern w:val="2"/>
          <w:sz w:val="20"/>
        </w:rPr>
        <w:t xml:space="preserve"> </w:t>
      </w:r>
      <w:hyperlink r:id="rId37" w:tgtFrame="_parent" w:history="1">
        <w:r w:rsidRPr="00DA5EB5">
          <w:rPr>
            <w:rStyle w:val="Hyperlink"/>
            <w:rFonts w:eastAsiaTheme="majorEastAsia"/>
            <w:color w:val="auto"/>
            <w:kern w:val="2"/>
            <w:sz w:val="20"/>
            <w:szCs w:val="21"/>
            <w:u w:val="none"/>
          </w:rPr>
          <w:t xml:space="preserve">[2007] EWCA </w:t>
        </w:r>
        <w:proofErr w:type="spellStart"/>
        <w:r w:rsidRPr="00DA5EB5">
          <w:rPr>
            <w:rStyle w:val="Hyperlink"/>
            <w:rFonts w:eastAsiaTheme="majorEastAsia"/>
            <w:color w:val="auto"/>
            <w:kern w:val="2"/>
            <w:sz w:val="20"/>
            <w:szCs w:val="21"/>
            <w:u w:val="none"/>
          </w:rPr>
          <w:t>Crim</w:t>
        </w:r>
        <w:proofErr w:type="spellEnd"/>
        <w:r w:rsidRPr="00DA5EB5">
          <w:rPr>
            <w:rStyle w:val="Hyperlink"/>
            <w:rFonts w:eastAsiaTheme="majorEastAsia"/>
            <w:color w:val="auto"/>
            <w:kern w:val="2"/>
            <w:sz w:val="20"/>
            <w:szCs w:val="21"/>
            <w:u w:val="none"/>
          </w:rPr>
          <w:t xml:space="preserve"> 1919</w:t>
        </w:r>
      </w:hyperlink>
      <w:r w:rsidRPr="00DA5EB5">
        <w:rPr>
          <w:kern w:val="2"/>
          <w:sz w:val="20"/>
        </w:rPr>
        <w:t xml:space="preserve"> was an appellant who had pleaded guilty to conspiracy to defraud. For the last months of his legitimate business he carried on knowing it to be insolvent. The loss to creditors was £200,000. He was disqualified for six years.</w:t>
      </w:r>
    </w:p>
    <w:p w14:paraId="6377A350" w14:textId="70A015DA" w:rsidR="0061282C" w:rsidRPr="00DA5EB5" w:rsidRDefault="0061282C" w:rsidP="002D4077">
      <w:pPr>
        <w:pStyle w:val="BlockQuote"/>
        <w:numPr>
          <w:ilvl w:val="0"/>
          <w:numId w:val="86"/>
        </w:numPr>
        <w:rPr>
          <w:kern w:val="2"/>
          <w:sz w:val="20"/>
        </w:rPr>
      </w:pPr>
      <w:r w:rsidRPr="00DA5EB5">
        <w:rPr>
          <w:rStyle w:val="underline1"/>
          <w:i/>
          <w:kern w:val="2"/>
          <w:sz w:val="20"/>
          <w:szCs w:val="21"/>
          <w:u w:val="none"/>
        </w:rPr>
        <w:t>Nigel Corbin</w:t>
      </w:r>
      <w:r w:rsidRPr="00DA5EB5">
        <w:rPr>
          <w:i/>
          <w:kern w:val="2"/>
          <w:sz w:val="20"/>
        </w:rPr>
        <w:t xml:space="preserve"> </w:t>
      </w:r>
      <w:r w:rsidRPr="00DA5EB5">
        <w:rPr>
          <w:kern w:val="2"/>
          <w:sz w:val="20"/>
        </w:rPr>
        <w:t xml:space="preserve">(1984) 6 Cr App R(S) 17 is even older than </w:t>
      </w:r>
      <w:r w:rsidRPr="00DA5EB5">
        <w:rPr>
          <w:rStyle w:val="underline1"/>
          <w:kern w:val="2"/>
          <w:sz w:val="20"/>
          <w:szCs w:val="21"/>
          <w:u w:val="none"/>
        </w:rPr>
        <w:t>Robertson</w:t>
      </w:r>
      <w:r w:rsidRPr="00DA5EB5">
        <w:rPr>
          <w:kern w:val="2"/>
          <w:sz w:val="20"/>
        </w:rPr>
        <w:t xml:space="preserve"> but Miss Small prays it in aid since it featured an appellant involved with three originally legitimate businesses. Over 18 months he admitted nine counts of deception. A criminal bankruptcy order was made in the sum of £35,000. The Court of Appeal left untouched his disqualification period of five years.</w:t>
      </w:r>
    </w:p>
    <w:p w14:paraId="7FC10F52" w14:textId="3D042506" w:rsidR="0061282C" w:rsidRPr="00DA5EB5" w:rsidRDefault="0061282C" w:rsidP="002D4077">
      <w:pPr>
        <w:pStyle w:val="BlockQuote"/>
        <w:numPr>
          <w:ilvl w:val="0"/>
          <w:numId w:val="86"/>
        </w:numPr>
        <w:rPr>
          <w:kern w:val="2"/>
          <w:sz w:val="20"/>
        </w:rPr>
      </w:pPr>
      <w:r w:rsidRPr="00DA5EB5">
        <w:rPr>
          <w:kern w:val="2"/>
          <w:sz w:val="20"/>
        </w:rPr>
        <w:t>In</w:t>
      </w:r>
      <w:r w:rsidRPr="00DA5EB5">
        <w:rPr>
          <w:i/>
          <w:kern w:val="2"/>
          <w:sz w:val="20"/>
        </w:rPr>
        <w:t xml:space="preserve"> </w:t>
      </w:r>
      <w:r w:rsidRPr="00DA5EB5">
        <w:rPr>
          <w:rStyle w:val="underline1"/>
          <w:i/>
          <w:kern w:val="2"/>
          <w:sz w:val="20"/>
          <w:szCs w:val="21"/>
          <w:u w:val="none"/>
        </w:rPr>
        <w:t>Anthony Edwards</w:t>
      </w:r>
      <w:r w:rsidRPr="00DA5EB5">
        <w:rPr>
          <w:kern w:val="2"/>
          <w:sz w:val="20"/>
        </w:rPr>
        <w:t xml:space="preserve"> [1998] 2 Cr App R(S) 213 the assistance to this court lies in a comment:</w:t>
      </w:r>
    </w:p>
    <w:p w14:paraId="2C75C622" w14:textId="58C15E76" w:rsidR="0061282C" w:rsidRPr="00DA5EB5" w:rsidRDefault="00FD6DAC" w:rsidP="002D4077">
      <w:pPr>
        <w:pStyle w:val="BlockQuote"/>
        <w:ind w:left="1080"/>
        <w:rPr>
          <w:kern w:val="2"/>
          <w:sz w:val="20"/>
        </w:rPr>
      </w:pPr>
      <w:r w:rsidRPr="00DA5EB5">
        <w:rPr>
          <w:kern w:val="2"/>
          <w:sz w:val="20"/>
        </w:rPr>
        <w:t>“</w:t>
      </w:r>
      <w:r w:rsidR="0061282C" w:rsidRPr="00DA5EB5">
        <w:rPr>
          <w:kern w:val="2"/>
          <w:sz w:val="20"/>
        </w:rPr>
        <w:t>The rationale behind the power to disqualify is the protection of the public from ... persons who, whether for reasons of dishonesty, or of naivety or incompetence in conjunction with the dishonesty of others, may use or abuse their role and status as a director of a limited company to the detriment of the public.</w:t>
      </w:r>
      <w:r w:rsidRPr="00DA5EB5">
        <w:rPr>
          <w:kern w:val="2"/>
          <w:sz w:val="20"/>
        </w:rPr>
        <w:t>”</w:t>
      </w:r>
    </w:p>
    <w:p w14:paraId="3D3EDE3E" w14:textId="768D4423" w:rsidR="0061282C" w:rsidRPr="00DA5EB5" w:rsidRDefault="0061282C" w:rsidP="002D4077">
      <w:pPr>
        <w:pStyle w:val="BlockQuote"/>
        <w:numPr>
          <w:ilvl w:val="0"/>
          <w:numId w:val="86"/>
        </w:numPr>
        <w:rPr>
          <w:kern w:val="2"/>
          <w:sz w:val="20"/>
        </w:rPr>
      </w:pPr>
      <w:r w:rsidRPr="00DA5EB5">
        <w:rPr>
          <w:kern w:val="2"/>
          <w:sz w:val="20"/>
        </w:rPr>
        <w:t xml:space="preserve">In </w:t>
      </w:r>
      <w:r w:rsidRPr="00DA5EB5">
        <w:rPr>
          <w:rStyle w:val="underline1"/>
          <w:i/>
          <w:kern w:val="2"/>
          <w:sz w:val="20"/>
          <w:szCs w:val="21"/>
          <w:u w:val="none"/>
        </w:rPr>
        <w:t>Attorney General's Reference No 88 of 2006</w:t>
      </w:r>
      <w:r w:rsidRPr="00DA5EB5">
        <w:rPr>
          <w:i/>
          <w:kern w:val="2"/>
          <w:sz w:val="20"/>
        </w:rPr>
        <w:t xml:space="preserve"> </w:t>
      </w:r>
      <w:hyperlink r:id="rId38" w:tgtFrame="_parent" w:history="1">
        <w:r w:rsidRPr="00DA5EB5">
          <w:rPr>
            <w:rStyle w:val="Hyperlink"/>
            <w:rFonts w:eastAsiaTheme="majorEastAsia"/>
            <w:color w:val="auto"/>
            <w:kern w:val="2"/>
            <w:sz w:val="20"/>
            <w:szCs w:val="21"/>
            <w:u w:val="none"/>
          </w:rPr>
          <w:t xml:space="preserve">[2006] EWCA </w:t>
        </w:r>
        <w:proofErr w:type="spellStart"/>
        <w:r w:rsidRPr="00DA5EB5">
          <w:rPr>
            <w:rStyle w:val="Hyperlink"/>
            <w:rFonts w:eastAsiaTheme="majorEastAsia"/>
            <w:color w:val="auto"/>
            <w:kern w:val="2"/>
            <w:sz w:val="20"/>
            <w:szCs w:val="21"/>
            <w:u w:val="none"/>
          </w:rPr>
          <w:t>Crim</w:t>
        </w:r>
        <w:proofErr w:type="spellEnd"/>
        <w:r w:rsidRPr="00DA5EB5">
          <w:rPr>
            <w:rStyle w:val="Hyperlink"/>
            <w:rFonts w:eastAsiaTheme="majorEastAsia"/>
            <w:color w:val="auto"/>
            <w:kern w:val="2"/>
            <w:sz w:val="20"/>
            <w:szCs w:val="21"/>
            <w:u w:val="none"/>
          </w:rPr>
          <w:t xml:space="preserve"> 3254</w:t>
        </w:r>
      </w:hyperlink>
      <w:r w:rsidRPr="00DA5EB5">
        <w:rPr>
          <w:kern w:val="2"/>
          <w:sz w:val="20"/>
        </w:rPr>
        <w:t xml:space="preserve"> the disqualification periods were in excess of six years, more often seen in cases involving carousel frauds. Those tended to involve greater sums and greater sophistication, making the perpetrators a great risk to the public if permitted to act in the management of companies in the future. The first three appellants had caused a £20 million loss over 16 months. To the clear astonishment of the Court of Appeal no disqualification period had been imposed in the court below. On the first three appellants the court imposed an eight year disqualification. The final appellant secured a benefit of £1.5 million during one month and was disqualified for four years.</w:t>
      </w:r>
    </w:p>
    <w:p w14:paraId="2FE0CCD6" w14:textId="5641DFCA" w:rsidR="0061282C" w:rsidRPr="00DA5EB5" w:rsidRDefault="0061282C" w:rsidP="002D4077">
      <w:pPr>
        <w:pStyle w:val="BlockQuote"/>
        <w:numPr>
          <w:ilvl w:val="0"/>
          <w:numId w:val="86"/>
        </w:numPr>
        <w:rPr>
          <w:kern w:val="2"/>
          <w:sz w:val="20"/>
        </w:rPr>
      </w:pPr>
      <w:r w:rsidRPr="00DA5EB5">
        <w:rPr>
          <w:kern w:val="2"/>
          <w:sz w:val="20"/>
        </w:rPr>
        <w:t xml:space="preserve">In </w:t>
      </w:r>
      <w:r w:rsidRPr="00DA5EB5">
        <w:rPr>
          <w:rStyle w:val="underline1"/>
          <w:i/>
          <w:kern w:val="2"/>
          <w:sz w:val="20"/>
          <w:szCs w:val="21"/>
          <w:u w:val="none"/>
        </w:rPr>
        <w:t>Sheikh and Sheikh</w:t>
      </w:r>
      <w:r w:rsidRPr="00DA5EB5">
        <w:rPr>
          <w:kern w:val="2"/>
          <w:sz w:val="20"/>
        </w:rPr>
        <w:t xml:space="preserve"> [2011] 1 Cr App R(S) 12 the court upheld a ten year period of disqualification. The case featured illegal production of pirated DVDs. The appellants were 29 and 27. They had been convicted after a lengthy trial and there was no evidence of remorse. The turnover was in excess of £6 million. </w:t>
      </w:r>
      <w:r w:rsidRPr="00764252">
        <w:rPr>
          <w:spacing w:val="-2"/>
          <w:kern w:val="2"/>
          <w:sz w:val="20"/>
        </w:rPr>
        <w:t>The offending lasted a number of years and was very sophisticated, crossing international boundaries and exploiting vulnerable immigrants.</w:t>
      </w:r>
    </w:p>
    <w:p w14:paraId="5E1EFF30" w14:textId="716BFBF8" w:rsidR="0061282C" w:rsidRPr="00DA5EB5" w:rsidRDefault="0061282C" w:rsidP="002D4077">
      <w:pPr>
        <w:pStyle w:val="BlockQuote"/>
        <w:numPr>
          <w:ilvl w:val="0"/>
          <w:numId w:val="86"/>
        </w:numPr>
        <w:rPr>
          <w:kern w:val="2"/>
          <w:sz w:val="20"/>
        </w:rPr>
      </w:pPr>
      <w:r w:rsidRPr="00DA5EB5">
        <w:rPr>
          <w:kern w:val="2"/>
          <w:sz w:val="20"/>
        </w:rPr>
        <w:t xml:space="preserve">In </w:t>
      </w:r>
      <w:proofErr w:type="spellStart"/>
      <w:r w:rsidRPr="00DA5EB5">
        <w:rPr>
          <w:rStyle w:val="underline1"/>
          <w:i/>
          <w:kern w:val="2"/>
          <w:sz w:val="20"/>
          <w:szCs w:val="21"/>
          <w:u w:val="none"/>
        </w:rPr>
        <w:t>Brealy</w:t>
      </w:r>
      <w:proofErr w:type="spellEnd"/>
      <w:r w:rsidRPr="00DA5EB5">
        <w:rPr>
          <w:kern w:val="2"/>
          <w:sz w:val="20"/>
        </w:rPr>
        <w:t xml:space="preserve"> </w:t>
      </w:r>
      <w:hyperlink r:id="rId39" w:tgtFrame="_parent" w:history="1">
        <w:r w:rsidRPr="00DA5EB5">
          <w:rPr>
            <w:rStyle w:val="Hyperlink"/>
            <w:rFonts w:eastAsiaTheme="majorEastAsia"/>
            <w:color w:val="auto"/>
            <w:kern w:val="2"/>
            <w:sz w:val="20"/>
            <w:szCs w:val="21"/>
            <w:u w:val="none"/>
          </w:rPr>
          <w:t xml:space="preserve">[2010] EWCA </w:t>
        </w:r>
        <w:proofErr w:type="spellStart"/>
        <w:r w:rsidRPr="00DA5EB5">
          <w:rPr>
            <w:rStyle w:val="Hyperlink"/>
            <w:rFonts w:eastAsiaTheme="majorEastAsia"/>
            <w:color w:val="auto"/>
            <w:kern w:val="2"/>
            <w:sz w:val="20"/>
            <w:szCs w:val="21"/>
            <w:u w:val="none"/>
          </w:rPr>
          <w:t>Crim</w:t>
        </w:r>
        <w:proofErr w:type="spellEnd"/>
        <w:r w:rsidRPr="00DA5EB5">
          <w:rPr>
            <w:rStyle w:val="Hyperlink"/>
            <w:rFonts w:eastAsiaTheme="majorEastAsia"/>
            <w:color w:val="auto"/>
            <w:kern w:val="2"/>
            <w:sz w:val="20"/>
            <w:szCs w:val="21"/>
            <w:u w:val="none"/>
          </w:rPr>
          <w:t xml:space="preserve"> 1860</w:t>
        </w:r>
      </w:hyperlink>
      <w:r w:rsidRPr="00DA5EB5">
        <w:rPr>
          <w:kern w:val="2"/>
          <w:sz w:val="20"/>
        </w:rPr>
        <w:t xml:space="preserve"> disqualification of a director convicted of </w:t>
      </w:r>
      <w:bookmarkStart w:id="46" w:name="HIT_6"/>
      <w:bookmarkStart w:id="47" w:name="ORIGHIT_6"/>
      <w:bookmarkEnd w:id="46"/>
      <w:bookmarkEnd w:id="47"/>
      <w:r w:rsidRPr="00DA5EB5">
        <w:rPr>
          <w:rStyle w:val="hit1"/>
          <w:b w:val="0"/>
          <w:color w:val="auto"/>
          <w:kern w:val="2"/>
          <w:sz w:val="20"/>
          <w:szCs w:val="21"/>
        </w:rPr>
        <w:t>corruption</w:t>
      </w:r>
      <w:r w:rsidRPr="00DA5EB5">
        <w:rPr>
          <w:b/>
          <w:kern w:val="2"/>
          <w:sz w:val="20"/>
        </w:rPr>
        <w:t xml:space="preserve"> </w:t>
      </w:r>
      <w:r w:rsidRPr="00DA5EB5">
        <w:rPr>
          <w:kern w:val="2"/>
          <w:sz w:val="20"/>
        </w:rPr>
        <w:t>showed that for six years he had allowed a local counsellor to live rent free whilst being a director of a property business which required a number of building consents. The value of the non</w:t>
      </w:r>
      <w:r w:rsidRPr="00DA5EB5">
        <w:rPr>
          <w:kern w:val="2"/>
          <w:sz w:val="20"/>
        </w:rPr>
        <w:noBreakHyphen/>
        <w:t xml:space="preserve">payment of rent was some £34,000. The disqualified appellant was of good character, but the court said that his offending struck at the very heart of a democratic government. It was an aggravating feature that the offending continued for some six years. Five years' disqualification was upheld. </w:t>
      </w:r>
    </w:p>
    <w:p w14:paraId="30574164" w14:textId="48F7B415" w:rsidR="00F82851" w:rsidRPr="00DA5EB5" w:rsidRDefault="0061282C" w:rsidP="007C3517">
      <w:pPr>
        <w:pStyle w:val="Heading2"/>
        <w:rPr>
          <w:kern w:val="2"/>
          <w:sz w:val="24"/>
        </w:rPr>
      </w:pPr>
      <w:r w:rsidRPr="00DA5EB5">
        <w:rPr>
          <w:kern w:val="2"/>
          <w:sz w:val="24"/>
        </w:rPr>
        <w:t>Canadian Law</w:t>
      </w:r>
    </w:p>
    <w:p w14:paraId="3520B2CD" w14:textId="14236AD9" w:rsidR="0061282C" w:rsidRPr="00DA5EB5" w:rsidRDefault="0061282C" w:rsidP="007C3517">
      <w:pPr>
        <w:spacing w:after="0"/>
        <w:rPr>
          <w:kern w:val="2"/>
          <w:sz w:val="20"/>
        </w:rPr>
      </w:pPr>
      <w:r w:rsidRPr="00DA5EB5">
        <w:rPr>
          <w:kern w:val="2"/>
          <w:sz w:val="20"/>
        </w:rPr>
        <w:t>Some provincial corpora</w:t>
      </w:r>
      <w:r w:rsidR="008864E1" w:rsidRPr="00DA5EB5">
        <w:rPr>
          <w:kern w:val="2"/>
          <w:sz w:val="20"/>
        </w:rPr>
        <w:t>te statutes</w:t>
      </w:r>
      <w:r w:rsidRPr="00DA5EB5">
        <w:rPr>
          <w:kern w:val="2"/>
          <w:sz w:val="20"/>
        </w:rPr>
        <w:t xml:space="preserve">, </w:t>
      </w:r>
      <w:r w:rsidR="009B3ACD" w:rsidRPr="00DA5EB5">
        <w:rPr>
          <w:kern w:val="2"/>
          <w:sz w:val="20"/>
        </w:rPr>
        <w:t>including</w:t>
      </w:r>
      <w:r w:rsidRPr="00DA5EB5">
        <w:rPr>
          <w:kern w:val="2"/>
          <w:sz w:val="20"/>
        </w:rPr>
        <w:t xml:space="preserve"> those in British Columbia and New Brunswick, have a </w:t>
      </w:r>
      <w:r w:rsidR="00FD6DAC" w:rsidRPr="00DA5EB5">
        <w:rPr>
          <w:kern w:val="2"/>
          <w:sz w:val="20"/>
        </w:rPr>
        <w:t>“</w:t>
      </w:r>
      <w:r w:rsidRPr="00DA5EB5">
        <w:rPr>
          <w:kern w:val="2"/>
          <w:sz w:val="20"/>
        </w:rPr>
        <w:t>director disqualification</w:t>
      </w:r>
      <w:r w:rsidR="00FD6DAC" w:rsidRPr="00DA5EB5">
        <w:rPr>
          <w:kern w:val="2"/>
          <w:sz w:val="20"/>
        </w:rPr>
        <w:t>”</w:t>
      </w:r>
      <w:r w:rsidRPr="00DA5EB5">
        <w:rPr>
          <w:kern w:val="2"/>
          <w:sz w:val="20"/>
        </w:rPr>
        <w:t xml:space="preserve"> rule for persons convicted of certain offences. For example, a person is not qualified to become or to continue as a director of a B</w:t>
      </w:r>
      <w:r w:rsidR="008864E1" w:rsidRPr="00DA5EB5">
        <w:rPr>
          <w:kern w:val="2"/>
          <w:sz w:val="20"/>
        </w:rPr>
        <w:t xml:space="preserve">ritish </w:t>
      </w:r>
      <w:r w:rsidRPr="00DA5EB5">
        <w:rPr>
          <w:kern w:val="2"/>
          <w:sz w:val="20"/>
        </w:rPr>
        <w:t>C</w:t>
      </w:r>
      <w:r w:rsidR="008864E1" w:rsidRPr="00DA5EB5">
        <w:rPr>
          <w:kern w:val="2"/>
          <w:sz w:val="20"/>
        </w:rPr>
        <w:t>olumbia</w:t>
      </w:r>
      <w:r w:rsidRPr="00DA5EB5">
        <w:rPr>
          <w:kern w:val="2"/>
          <w:sz w:val="20"/>
        </w:rPr>
        <w:t xml:space="preserve"> company for </w:t>
      </w:r>
      <w:r w:rsidR="008864E1" w:rsidRPr="00DA5EB5">
        <w:rPr>
          <w:kern w:val="2"/>
          <w:sz w:val="20"/>
        </w:rPr>
        <w:t>five</w:t>
      </w:r>
      <w:r w:rsidRPr="00DA5EB5">
        <w:rPr>
          <w:kern w:val="2"/>
          <w:sz w:val="20"/>
        </w:rPr>
        <w:t xml:space="preserve"> years after the completion of a sentence for an offence in connection with the management of a business or an offence involving fraud.</w:t>
      </w:r>
      <w:r w:rsidRPr="00DA5EB5">
        <w:rPr>
          <w:rStyle w:val="FootnoteReference"/>
          <w:kern w:val="2"/>
        </w:rPr>
        <w:footnoteReference w:id="224"/>
      </w:r>
      <w:r w:rsidRPr="00DA5EB5">
        <w:rPr>
          <w:kern w:val="2"/>
          <w:sz w:val="20"/>
        </w:rPr>
        <w:t xml:space="preserve"> However, the </w:t>
      </w:r>
      <w:r w:rsidRPr="00DA5EB5">
        <w:rPr>
          <w:i/>
          <w:kern w:val="2"/>
          <w:sz w:val="20"/>
        </w:rPr>
        <w:t>Canada Business Corporations Act</w:t>
      </w:r>
      <w:r w:rsidRPr="00DA5EB5">
        <w:rPr>
          <w:kern w:val="2"/>
          <w:sz w:val="20"/>
        </w:rPr>
        <w:t>,</w:t>
      </w:r>
      <w:r w:rsidRPr="00DA5EB5">
        <w:rPr>
          <w:rStyle w:val="FootnoteReference"/>
          <w:kern w:val="2"/>
        </w:rPr>
        <w:footnoteReference w:id="225"/>
      </w:r>
      <w:r w:rsidRPr="00DA5EB5">
        <w:rPr>
          <w:kern w:val="2"/>
          <w:sz w:val="20"/>
        </w:rPr>
        <w:t xml:space="preserve"> the </w:t>
      </w:r>
      <w:r w:rsidRPr="00DA5EB5">
        <w:rPr>
          <w:i/>
          <w:kern w:val="2"/>
          <w:sz w:val="20"/>
        </w:rPr>
        <w:t>Ontario</w:t>
      </w:r>
      <w:r w:rsidRPr="00DA5EB5">
        <w:rPr>
          <w:kern w:val="2"/>
          <w:sz w:val="20"/>
        </w:rPr>
        <w:t xml:space="preserve"> </w:t>
      </w:r>
      <w:r w:rsidRPr="00DA5EB5">
        <w:rPr>
          <w:i/>
          <w:kern w:val="2"/>
          <w:sz w:val="20"/>
        </w:rPr>
        <w:t>Business Corporations Act</w:t>
      </w:r>
      <w:r w:rsidRPr="00DA5EB5">
        <w:rPr>
          <w:rStyle w:val="FootnoteReference"/>
          <w:kern w:val="2"/>
        </w:rPr>
        <w:footnoteReference w:id="226"/>
      </w:r>
      <w:r w:rsidRPr="00DA5EB5">
        <w:rPr>
          <w:i/>
          <w:kern w:val="2"/>
          <w:sz w:val="20"/>
        </w:rPr>
        <w:t xml:space="preserve"> </w:t>
      </w:r>
      <w:r w:rsidRPr="00DA5EB5">
        <w:rPr>
          <w:kern w:val="2"/>
          <w:sz w:val="20"/>
        </w:rPr>
        <w:t xml:space="preserve">and most other provincial </w:t>
      </w:r>
      <w:r w:rsidR="008864E1" w:rsidRPr="00DA5EB5">
        <w:rPr>
          <w:kern w:val="2"/>
          <w:sz w:val="20"/>
        </w:rPr>
        <w:t>corporate statutes</w:t>
      </w:r>
      <w:r w:rsidRPr="00DA5EB5">
        <w:rPr>
          <w:kern w:val="2"/>
          <w:sz w:val="20"/>
        </w:rPr>
        <w:t xml:space="preserve"> have no such disqualification provision.</w:t>
      </w:r>
    </w:p>
    <w:p w14:paraId="1930206D" w14:textId="491B1E75" w:rsidR="004A42C7" w:rsidRPr="00DA5EB5" w:rsidRDefault="0061282C" w:rsidP="007C3517">
      <w:pPr>
        <w:spacing w:after="0"/>
        <w:rPr>
          <w:kern w:val="2"/>
          <w:sz w:val="20"/>
        </w:rPr>
      </w:pPr>
      <w:r w:rsidRPr="00DA5EB5">
        <w:rPr>
          <w:kern w:val="2"/>
          <w:sz w:val="20"/>
        </w:rPr>
        <w:t xml:space="preserve">However, disqualification can arise under provincial securities </w:t>
      </w:r>
      <w:r w:rsidR="00CD18E1" w:rsidRPr="00DA5EB5">
        <w:rPr>
          <w:kern w:val="2"/>
          <w:sz w:val="20"/>
        </w:rPr>
        <w:t>legislation</w:t>
      </w:r>
      <w:r w:rsidRPr="00DA5EB5">
        <w:rPr>
          <w:kern w:val="2"/>
          <w:sz w:val="20"/>
        </w:rPr>
        <w:t>. The powers of disqualification can be quite broad. For example, under s</w:t>
      </w:r>
      <w:r w:rsidR="00CD18E1" w:rsidRPr="00DA5EB5">
        <w:rPr>
          <w:kern w:val="2"/>
          <w:sz w:val="20"/>
        </w:rPr>
        <w:t>ection</w:t>
      </w:r>
      <w:r w:rsidRPr="00DA5EB5">
        <w:rPr>
          <w:kern w:val="2"/>
          <w:sz w:val="20"/>
        </w:rPr>
        <w:t xml:space="preserve"> 127(1</w:t>
      </w:r>
      <w:proofErr w:type="gramStart"/>
      <w:r w:rsidRPr="00DA5EB5">
        <w:rPr>
          <w:kern w:val="2"/>
          <w:sz w:val="20"/>
        </w:rPr>
        <w:t>)(</w:t>
      </w:r>
      <w:proofErr w:type="gramEnd"/>
      <w:r w:rsidRPr="00DA5EB5">
        <w:rPr>
          <w:kern w:val="2"/>
          <w:sz w:val="20"/>
        </w:rPr>
        <w:t xml:space="preserve">8) of the </w:t>
      </w:r>
      <w:r w:rsidRPr="00DA5EB5">
        <w:rPr>
          <w:i/>
          <w:kern w:val="2"/>
          <w:sz w:val="20"/>
        </w:rPr>
        <w:t>Ontario Securities</w:t>
      </w:r>
      <w:r w:rsidRPr="00DA5EB5">
        <w:rPr>
          <w:kern w:val="2"/>
          <w:sz w:val="20"/>
        </w:rPr>
        <w:t xml:space="preserve"> </w:t>
      </w:r>
      <w:r w:rsidRPr="00DA5EB5">
        <w:rPr>
          <w:i/>
          <w:kern w:val="2"/>
          <w:sz w:val="20"/>
        </w:rPr>
        <w:t>Act</w:t>
      </w:r>
      <w:r w:rsidRPr="00DA5EB5">
        <w:rPr>
          <w:kern w:val="2"/>
          <w:sz w:val="20"/>
        </w:rPr>
        <w:t xml:space="preserve">, the Securities Commission may </w:t>
      </w:r>
      <w:r w:rsidR="00FD6DAC" w:rsidRPr="00DA5EB5">
        <w:rPr>
          <w:kern w:val="2"/>
          <w:sz w:val="20"/>
        </w:rPr>
        <w:t>“</w:t>
      </w:r>
      <w:r w:rsidRPr="00DA5EB5">
        <w:rPr>
          <w:kern w:val="2"/>
          <w:sz w:val="20"/>
        </w:rPr>
        <w:t>in the public interest</w:t>
      </w:r>
      <w:r w:rsidR="00FD6DAC" w:rsidRPr="00DA5EB5">
        <w:rPr>
          <w:kern w:val="2"/>
          <w:sz w:val="20"/>
        </w:rPr>
        <w:t>”</w:t>
      </w:r>
      <w:r w:rsidRPr="00DA5EB5">
        <w:rPr>
          <w:kern w:val="2"/>
          <w:sz w:val="20"/>
        </w:rPr>
        <w:t xml:space="preserve"> make an order that </w:t>
      </w:r>
      <w:r w:rsidR="00FD6DAC" w:rsidRPr="00DA5EB5">
        <w:rPr>
          <w:kern w:val="2"/>
          <w:sz w:val="20"/>
        </w:rPr>
        <w:t>“</w:t>
      </w:r>
      <w:r w:rsidRPr="00DA5EB5">
        <w:rPr>
          <w:kern w:val="2"/>
          <w:sz w:val="20"/>
        </w:rPr>
        <w:t>a person is prohibited from becoming or acting as a director or officer of any issuer [i.e.</w:t>
      </w:r>
      <w:r w:rsidR="006A342F" w:rsidRPr="00DA5EB5">
        <w:rPr>
          <w:kern w:val="2"/>
          <w:sz w:val="20"/>
        </w:rPr>
        <w:t>,</w:t>
      </w:r>
      <w:r w:rsidRPr="00DA5EB5">
        <w:rPr>
          <w:kern w:val="2"/>
          <w:sz w:val="20"/>
        </w:rPr>
        <w:t xml:space="preserve"> a company issuing securities under the </w:t>
      </w:r>
      <w:r w:rsidRPr="00DA5EB5">
        <w:rPr>
          <w:i/>
          <w:kern w:val="2"/>
          <w:sz w:val="20"/>
        </w:rPr>
        <w:t>Ontario Securities Act</w:t>
      </w:r>
      <w:r w:rsidRPr="00DA5EB5">
        <w:rPr>
          <w:kern w:val="2"/>
          <w:sz w:val="20"/>
        </w:rPr>
        <w:t>]</w:t>
      </w:r>
      <w:r w:rsidR="00F7171A" w:rsidRPr="00DA5EB5">
        <w:rPr>
          <w:kern w:val="2"/>
          <w:sz w:val="20"/>
        </w:rPr>
        <w:t>.</w:t>
      </w:r>
      <w:r w:rsidR="00FD6DAC" w:rsidRPr="00DA5EB5">
        <w:rPr>
          <w:kern w:val="2"/>
          <w:sz w:val="20"/>
        </w:rPr>
        <w:t>”</w:t>
      </w:r>
      <w:r w:rsidR="009C0018" w:rsidRPr="00DA5EB5">
        <w:rPr>
          <w:rStyle w:val="FootnoteReference"/>
          <w:kern w:val="2"/>
        </w:rPr>
        <w:t xml:space="preserve"> </w:t>
      </w:r>
      <w:r w:rsidR="009C0018" w:rsidRPr="00DA5EB5">
        <w:rPr>
          <w:rStyle w:val="FootnoteReference"/>
          <w:kern w:val="2"/>
        </w:rPr>
        <w:footnoteReference w:id="227"/>
      </w:r>
      <w:r w:rsidRPr="00DA5EB5">
        <w:rPr>
          <w:kern w:val="2"/>
          <w:sz w:val="20"/>
        </w:rPr>
        <w:t xml:space="preserve"> The </w:t>
      </w:r>
      <w:r w:rsidR="00FD6DAC" w:rsidRPr="00DA5EB5">
        <w:rPr>
          <w:kern w:val="2"/>
          <w:sz w:val="20"/>
        </w:rPr>
        <w:t>“</w:t>
      </w:r>
      <w:r w:rsidRPr="00DA5EB5">
        <w:rPr>
          <w:kern w:val="2"/>
          <w:sz w:val="20"/>
        </w:rPr>
        <w:t>public interest</w:t>
      </w:r>
      <w:r w:rsidR="00FD6DAC" w:rsidRPr="00DA5EB5">
        <w:rPr>
          <w:kern w:val="2"/>
          <w:sz w:val="20"/>
        </w:rPr>
        <w:t>”</w:t>
      </w:r>
      <w:r w:rsidRPr="00DA5EB5">
        <w:rPr>
          <w:kern w:val="2"/>
          <w:sz w:val="20"/>
        </w:rPr>
        <w:t xml:space="preserve"> is a very broad ter</w:t>
      </w:r>
      <w:r w:rsidR="00CD18E1" w:rsidRPr="00DA5EB5">
        <w:rPr>
          <w:kern w:val="2"/>
          <w:sz w:val="20"/>
        </w:rPr>
        <w:t>m and</w:t>
      </w:r>
      <w:r w:rsidRPr="00DA5EB5">
        <w:rPr>
          <w:kern w:val="2"/>
          <w:sz w:val="20"/>
        </w:rPr>
        <w:t xml:space="preserve"> include</w:t>
      </w:r>
      <w:r w:rsidR="00CD18E1" w:rsidRPr="00DA5EB5">
        <w:rPr>
          <w:kern w:val="2"/>
          <w:sz w:val="20"/>
        </w:rPr>
        <w:t>s</w:t>
      </w:r>
      <w:r w:rsidRPr="00DA5EB5">
        <w:rPr>
          <w:kern w:val="2"/>
          <w:sz w:val="20"/>
        </w:rPr>
        <w:t xml:space="preserve"> prior acts of fraud and corruption. Other provincial</w:t>
      </w:r>
      <w:r w:rsidR="00CD18E1" w:rsidRPr="00DA5EB5">
        <w:rPr>
          <w:kern w:val="2"/>
          <w:sz w:val="20"/>
        </w:rPr>
        <w:t xml:space="preserve"> securities legislation</w:t>
      </w:r>
      <w:r w:rsidRPr="00DA5EB5">
        <w:rPr>
          <w:kern w:val="2"/>
          <w:sz w:val="20"/>
        </w:rPr>
        <w:t xml:space="preserve"> </w:t>
      </w:r>
      <w:r w:rsidR="0052300B" w:rsidRPr="00DA5EB5">
        <w:rPr>
          <w:kern w:val="2"/>
          <w:sz w:val="20"/>
        </w:rPr>
        <w:t>confer</w:t>
      </w:r>
      <w:r w:rsidRPr="00DA5EB5">
        <w:rPr>
          <w:kern w:val="2"/>
          <w:sz w:val="20"/>
        </w:rPr>
        <w:t xml:space="preserve"> similar disqualification powers.</w:t>
      </w:r>
    </w:p>
    <w:p w14:paraId="531CB7C6" w14:textId="76FB2556" w:rsidR="0061282C" w:rsidRPr="00DA5EB5" w:rsidRDefault="0061282C" w:rsidP="00661F9C">
      <w:pPr>
        <w:pStyle w:val="Heading1"/>
        <w:rPr>
          <w:sz w:val="28"/>
        </w:rPr>
      </w:pPr>
      <w:bookmarkStart w:id="48" w:name="_Toc500340151"/>
      <w:bookmarkStart w:id="49" w:name="_Toc500340398"/>
      <w:bookmarkStart w:id="50" w:name="_Toc500340432"/>
      <w:proofErr w:type="spellStart"/>
      <w:r w:rsidRPr="00DA5EB5">
        <w:rPr>
          <w:sz w:val="28"/>
        </w:rPr>
        <w:t>Monitorship</w:t>
      </w:r>
      <w:proofErr w:type="spellEnd"/>
      <w:r w:rsidRPr="00DA5EB5">
        <w:rPr>
          <w:sz w:val="28"/>
        </w:rPr>
        <w:t xml:space="preserve"> Orders</w:t>
      </w:r>
      <w:bookmarkEnd w:id="48"/>
      <w:bookmarkEnd w:id="49"/>
      <w:bookmarkEnd w:id="50"/>
    </w:p>
    <w:p w14:paraId="4893C522" w14:textId="61C459CD" w:rsidR="0061282C" w:rsidRPr="00DA5EB5" w:rsidRDefault="0061282C" w:rsidP="007C3517">
      <w:pPr>
        <w:pStyle w:val="Heading2"/>
        <w:rPr>
          <w:kern w:val="2"/>
          <w:sz w:val="24"/>
        </w:rPr>
      </w:pPr>
      <w:r w:rsidRPr="00DA5EB5">
        <w:rPr>
          <w:kern w:val="2"/>
          <w:sz w:val="24"/>
        </w:rPr>
        <w:t>UNCAC and OECD</w:t>
      </w:r>
    </w:p>
    <w:p w14:paraId="67FE813E" w14:textId="5E732B8B" w:rsidR="0061282C" w:rsidRPr="00DA5EB5" w:rsidRDefault="0061282C" w:rsidP="007C3517">
      <w:pPr>
        <w:spacing w:after="0"/>
        <w:rPr>
          <w:kern w:val="2"/>
          <w:sz w:val="20"/>
        </w:rPr>
      </w:pPr>
      <w:r w:rsidRPr="00DA5EB5">
        <w:rPr>
          <w:kern w:val="2"/>
          <w:sz w:val="20"/>
        </w:rPr>
        <w:t xml:space="preserve">There is no specific mention in either Convention </w:t>
      </w:r>
      <w:r w:rsidR="0052300B" w:rsidRPr="00DA5EB5">
        <w:rPr>
          <w:kern w:val="2"/>
          <w:sz w:val="20"/>
        </w:rPr>
        <w:t>of</w:t>
      </w:r>
      <w:r w:rsidRPr="00DA5EB5">
        <w:rPr>
          <w:kern w:val="2"/>
          <w:sz w:val="20"/>
        </w:rPr>
        <w:t xml:space="preserve"> imposing an independent monitor on a corporation </w:t>
      </w:r>
      <w:r w:rsidR="0052300B" w:rsidRPr="00DA5EB5">
        <w:rPr>
          <w:kern w:val="2"/>
          <w:sz w:val="20"/>
        </w:rPr>
        <w:t>that</w:t>
      </w:r>
      <w:r w:rsidRPr="00DA5EB5">
        <w:rPr>
          <w:kern w:val="2"/>
          <w:sz w:val="20"/>
        </w:rPr>
        <w:t xml:space="preserve"> has been convicted of a corruption offence.</w:t>
      </w:r>
    </w:p>
    <w:p w14:paraId="4DC505A6" w14:textId="44B5F4F3" w:rsidR="00D71B33" w:rsidRPr="00DA5EB5" w:rsidRDefault="0061282C" w:rsidP="007C3517">
      <w:pPr>
        <w:pStyle w:val="Heading2"/>
        <w:rPr>
          <w:kern w:val="2"/>
          <w:sz w:val="24"/>
        </w:rPr>
      </w:pPr>
      <w:r w:rsidRPr="00DA5EB5">
        <w:rPr>
          <w:kern w:val="2"/>
          <w:sz w:val="24"/>
        </w:rPr>
        <w:t>US Law</w:t>
      </w:r>
    </w:p>
    <w:p w14:paraId="4C46EE49" w14:textId="6B99B32C" w:rsidR="0061282C" w:rsidRPr="00DA5EB5" w:rsidRDefault="0083313A" w:rsidP="007C3517">
      <w:pPr>
        <w:spacing w:after="0"/>
        <w:rPr>
          <w:kern w:val="2"/>
          <w:sz w:val="20"/>
        </w:rPr>
      </w:pPr>
      <w:r w:rsidRPr="00DA5EB5">
        <w:rPr>
          <w:kern w:val="2"/>
          <w:sz w:val="20"/>
        </w:rPr>
        <w:t xml:space="preserve">According to </w:t>
      </w:r>
      <w:proofErr w:type="spellStart"/>
      <w:r w:rsidR="0061282C" w:rsidRPr="00DA5EB5">
        <w:rPr>
          <w:kern w:val="2"/>
          <w:sz w:val="20"/>
        </w:rPr>
        <w:t>Tarun</w:t>
      </w:r>
      <w:proofErr w:type="spellEnd"/>
      <w:r w:rsidRPr="00DA5EB5">
        <w:rPr>
          <w:kern w:val="2"/>
          <w:sz w:val="20"/>
        </w:rPr>
        <w:t>, the</w:t>
      </w:r>
      <w:r w:rsidR="0061282C" w:rsidRPr="00DA5EB5">
        <w:rPr>
          <w:kern w:val="2"/>
          <w:sz w:val="20"/>
        </w:rPr>
        <w:t xml:space="preserve"> imposi</w:t>
      </w:r>
      <w:r w:rsidRPr="00DA5EB5">
        <w:rPr>
          <w:kern w:val="2"/>
          <w:sz w:val="20"/>
        </w:rPr>
        <w:t>tion of</w:t>
      </w:r>
      <w:r w:rsidR="0061282C" w:rsidRPr="00DA5EB5">
        <w:rPr>
          <w:kern w:val="2"/>
          <w:sz w:val="20"/>
        </w:rPr>
        <w:t xml:space="preserve"> an independent monitor on an offending corporation is a frequent</w:t>
      </w:r>
      <w:r w:rsidRPr="00DA5EB5">
        <w:rPr>
          <w:kern w:val="2"/>
          <w:sz w:val="20"/>
        </w:rPr>
        <w:t xml:space="preserve"> condition</w:t>
      </w:r>
      <w:r w:rsidR="0061282C" w:rsidRPr="00DA5EB5">
        <w:rPr>
          <w:kern w:val="2"/>
          <w:sz w:val="20"/>
        </w:rPr>
        <w:t xml:space="preserve"> of a DOJ</w:t>
      </w:r>
      <w:r w:rsidRPr="00DA5EB5">
        <w:rPr>
          <w:kern w:val="2"/>
          <w:sz w:val="20"/>
        </w:rPr>
        <w:t xml:space="preserve"> or </w:t>
      </w:r>
      <w:r w:rsidR="0061282C" w:rsidRPr="00DA5EB5">
        <w:rPr>
          <w:kern w:val="2"/>
          <w:sz w:val="20"/>
        </w:rPr>
        <w:t>SEC settlement.</w:t>
      </w:r>
      <w:r w:rsidR="0061282C" w:rsidRPr="00DA5EB5">
        <w:rPr>
          <w:rStyle w:val="FootnoteReference"/>
          <w:kern w:val="2"/>
        </w:rPr>
        <w:footnoteReference w:id="228"/>
      </w:r>
      <w:r w:rsidR="0061282C" w:rsidRPr="00DA5EB5">
        <w:rPr>
          <w:kern w:val="2"/>
          <w:sz w:val="20"/>
        </w:rPr>
        <w:t xml:space="preserve"> Typically</w:t>
      </w:r>
      <w:r w:rsidRPr="00DA5EB5">
        <w:rPr>
          <w:kern w:val="2"/>
          <w:sz w:val="20"/>
        </w:rPr>
        <w:t>,</w:t>
      </w:r>
      <w:r w:rsidR="0061282C" w:rsidRPr="00DA5EB5">
        <w:rPr>
          <w:kern w:val="2"/>
          <w:sz w:val="20"/>
        </w:rPr>
        <w:t xml:space="preserve"> the </w:t>
      </w:r>
      <w:proofErr w:type="spellStart"/>
      <w:r w:rsidR="0061282C" w:rsidRPr="00DA5EB5">
        <w:rPr>
          <w:kern w:val="2"/>
          <w:sz w:val="20"/>
        </w:rPr>
        <w:t>monitorship</w:t>
      </w:r>
      <w:proofErr w:type="spellEnd"/>
      <w:r w:rsidR="0061282C" w:rsidRPr="00DA5EB5">
        <w:rPr>
          <w:kern w:val="2"/>
          <w:sz w:val="20"/>
        </w:rPr>
        <w:t xml:space="preserve"> </w:t>
      </w:r>
      <w:r w:rsidRPr="00DA5EB5">
        <w:rPr>
          <w:kern w:val="2"/>
          <w:sz w:val="20"/>
        </w:rPr>
        <w:t>lasts</w:t>
      </w:r>
      <w:r w:rsidR="0061282C" w:rsidRPr="00DA5EB5">
        <w:rPr>
          <w:kern w:val="2"/>
          <w:sz w:val="20"/>
        </w:rPr>
        <w:t xml:space="preserve"> for three years with the monitor filing two or three reports yearly with DOJ</w:t>
      </w:r>
      <w:r w:rsidRPr="00DA5EB5">
        <w:rPr>
          <w:kern w:val="2"/>
          <w:sz w:val="20"/>
        </w:rPr>
        <w:t xml:space="preserve"> or </w:t>
      </w:r>
      <w:r w:rsidR="0061282C" w:rsidRPr="00DA5EB5">
        <w:rPr>
          <w:kern w:val="2"/>
          <w:sz w:val="20"/>
        </w:rPr>
        <w:t xml:space="preserve">SEC. </w:t>
      </w:r>
      <w:r w:rsidR="00BF4C35" w:rsidRPr="00DA5EB5">
        <w:rPr>
          <w:kern w:val="2"/>
          <w:sz w:val="20"/>
        </w:rPr>
        <w:t>The</w:t>
      </w:r>
      <w:r w:rsidR="0061282C" w:rsidRPr="00DA5EB5">
        <w:rPr>
          <w:kern w:val="2"/>
          <w:sz w:val="20"/>
        </w:rPr>
        <w:t xml:space="preserve"> criteria for appointing monitors and the scope of their duties are set out in a DOJ policy memorandum known as the </w:t>
      </w:r>
      <w:proofErr w:type="spellStart"/>
      <w:r w:rsidR="0061282C" w:rsidRPr="00DA5EB5">
        <w:rPr>
          <w:kern w:val="2"/>
          <w:sz w:val="20"/>
        </w:rPr>
        <w:t>Morford</w:t>
      </w:r>
      <w:proofErr w:type="spellEnd"/>
      <w:r w:rsidR="0061282C" w:rsidRPr="00DA5EB5">
        <w:rPr>
          <w:kern w:val="2"/>
          <w:sz w:val="20"/>
        </w:rPr>
        <w:t xml:space="preserve"> Memorandum.</w:t>
      </w:r>
      <w:r w:rsidR="0061282C" w:rsidRPr="00DA5EB5">
        <w:rPr>
          <w:rStyle w:val="FootnoteReference"/>
          <w:kern w:val="2"/>
        </w:rPr>
        <w:footnoteReference w:id="229"/>
      </w:r>
      <w:r w:rsidR="0061282C" w:rsidRPr="00DA5EB5">
        <w:rPr>
          <w:kern w:val="2"/>
          <w:sz w:val="20"/>
        </w:rPr>
        <w:t xml:space="preserve"> </w:t>
      </w:r>
      <w:proofErr w:type="spellStart"/>
      <w:r w:rsidR="0061282C" w:rsidRPr="00DA5EB5">
        <w:rPr>
          <w:kern w:val="2"/>
          <w:sz w:val="20"/>
        </w:rPr>
        <w:t>Tarun</w:t>
      </w:r>
      <w:proofErr w:type="spellEnd"/>
      <w:r w:rsidR="0061282C" w:rsidRPr="00DA5EB5">
        <w:rPr>
          <w:kern w:val="2"/>
          <w:sz w:val="20"/>
        </w:rPr>
        <w:t xml:space="preserve"> notes that there is </w:t>
      </w:r>
      <w:r w:rsidR="00BF4C35" w:rsidRPr="00DA5EB5">
        <w:rPr>
          <w:kern w:val="2"/>
          <w:sz w:val="20"/>
        </w:rPr>
        <w:t xml:space="preserve">a </w:t>
      </w:r>
      <w:r w:rsidR="0061282C" w:rsidRPr="00DA5EB5">
        <w:rPr>
          <w:kern w:val="2"/>
          <w:sz w:val="20"/>
        </w:rPr>
        <w:t xml:space="preserve">trend </w:t>
      </w:r>
      <w:r w:rsidR="00FD6DAC" w:rsidRPr="00DA5EB5">
        <w:rPr>
          <w:kern w:val="2"/>
          <w:sz w:val="20"/>
        </w:rPr>
        <w:t>“</w:t>
      </w:r>
      <w:r w:rsidR="0061282C" w:rsidRPr="00DA5EB5">
        <w:rPr>
          <w:kern w:val="2"/>
          <w:sz w:val="20"/>
        </w:rPr>
        <w:t xml:space="preserve">away from imposing three-year </w:t>
      </w:r>
      <w:proofErr w:type="spellStart"/>
      <w:r w:rsidR="0061282C" w:rsidRPr="00DA5EB5">
        <w:rPr>
          <w:kern w:val="2"/>
          <w:sz w:val="20"/>
        </w:rPr>
        <w:t>monitorships</w:t>
      </w:r>
      <w:proofErr w:type="spellEnd"/>
      <w:r w:rsidR="0061282C" w:rsidRPr="00DA5EB5">
        <w:rPr>
          <w:kern w:val="2"/>
          <w:sz w:val="20"/>
        </w:rPr>
        <w:t xml:space="preserve"> to lesser sanctions such as periodic reporting to the DOJ or SEC or the requirement of a corporate compliance consultant.</w:t>
      </w:r>
      <w:r w:rsidR="00FD6DAC" w:rsidRPr="00DA5EB5">
        <w:rPr>
          <w:kern w:val="2"/>
          <w:sz w:val="20"/>
        </w:rPr>
        <w:t>”</w:t>
      </w:r>
      <w:r w:rsidR="0061282C" w:rsidRPr="00DA5EB5">
        <w:rPr>
          <w:rStyle w:val="FootnoteReference"/>
          <w:kern w:val="2"/>
        </w:rPr>
        <w:footnoteReference w:id="230"/>
      </w:r>
    </w:p>
    <w:p w14:paraId="4E3E99CD" w14:textId="1382E233" w:rsidR="0061282C" w:rsidRPr="00DA5EB5" w:rsidRDefault="0061282C" w:rsidP="007C3517">
      <w:pPr>
        <w:pStyle w:val="Heading2"/>
        <w:rPr>
          <w:kern w:val="2"/>
          <w:sz w:val="24"/>
        </w:rPr>
      </w:pPr>
      <w:r w:rsidRPr="00DA5EB5">
        <w:rPr>
          <w:kern w:val="2"/>
          <w:sz w:val="24"/>
        </w:rPr>
        <w:t>UK Law</w:t>
      </w:r>
    </w:p>
    <w:p w14:paraId="529F2404" w14:textId="7222AA41" w:rsidR="0061282C" w:rsidRPr="00DA5EB5" w:rsidRDefault="007B5044" w:rsidP="007C3517">
      <w:pPr>
        <w:rPr>
          <w:kern w:val="2"/>
          <w:sz w:val="20"/>
        </w:rPr>
      </w:pPr>
      <w:r w:rsidRPr="00DA5EB5">
        <w:rPr>
          <w:kern w:val="2"/>
          <w:sz w:val="20"/>
        </w:rPr>
        <w:t>There does not seem to be</w:t>
      </w:r>
      <w:r w:rsidR="0061282C" w:rsidRPr="00DA5EB5">
        <w:rPr>
          <w:kern w:val="2"/>
          <w:sz w:val="20"/>
        </w:rPr>
        <w:t xml:space="preserve"> any specific legislative power authorizing the imposition of a </w:t>
      </w:r>
      <w:proofErr w:type="spellStart"/>
      <w:r w:rsidR="0061282C" w:rsidRPr="00DA5EB5">
        <w:rPr>
          <w:kern w:val="2"/>
          <w:sz w:val="20"/>
        </w:rPr>
        <w:t>monitorship</w:t>
      </w:r>
      <w:proofErr w:type="spellEnd"/>
      <w:r w:rsidR="0061282C" w:rsidRPr="00DA5EB5">
        <w:rPr>
          <w:kern w:val="2"/>
          <w:sz w:val="20"/>
        </w:rPr>
        <w:t xml:space="preserve"> order after a company is convicted of an offence of corruption or fraud. Nonetheless</w:t>
      </w:r>
      <w:r w:rsidR="001C2F1D" w:rsidRPr="00DA5EB5">
        <w:rPr>
          <w:kern w:val="2"/>
          <w:sz w:val="20"/>
        </w:rPr>
        <w:t>,</w:t>
      </w:r>
      <w:r w:rsidR="0061282C" w:rsidRPr="00DA5EB5">
        <w:rPr>
          <w:kern w:val="2"/>
          <w:sz w:val="20"/>
        </w:rPr>
        <w:t xml:space="preserve"> Nicholls et al</w:t>
      </w:r>
      <w:r w:rsidR="0061282C" w:rsidRPr="00DA5EB5">
        <w:rPr>
          <w:i/>
          <w:kern w:val="2"/>
          <w:sz w:val="20"/>
        </w:rPr>
        <w:t>.</w:t>
      </w:r>
      <w:r w:rsidR="0061282C" w:rsidRPr="00DA5EB5">
        <w:rPr>
          <w:kern w:val="2"/>
          <w:sz w:val="20"/>
        </w:rPr>
        <w:t xml:space="preserve"> describe at least three ways in which corporate behaviour can be monitored to prevent future criminal conduct.</w:t>
      </w:r>
      <w:r w:rsidR="0061282C" w:rsidRPr="00DA5EB5">
        <w:rPr>
          <w:rStyle w:val="FootnoteReference"/>
          <w:kern w:val="2"/>
        </w:rPr>
        <w:footnoteReference w:id="231"/>
      </w:r>
      <w:r w:rsidR="00E87776" w:rsidRPr="00DA5EB5">
        <w:rPr>
          <w:kern w:val="2"/>
          <w:sz w:val="20"/>
        </w:rPr>
        <w:t xml:space="preserve"> </w:t>
      </w:r>
      <w:r w:rsidR="0061282C" w:rsidRPr="00DA5EB5">
        <w:rPr>
          <w:kern w:val="2"/>
          <w:sz w:val="20"/>
        </w:rPr>
        <w:t>First, a Serious Crime Prevention Order (SCPO) for up to five years can be made against a company convicted of a serious offence (which includes bribery and corruption) where there are reasonable grounds to believe such an order would prevent, restrict or disrupt involvement in future serious crime. The SCPO is a civil remedy imposed by courts and can involve a wide range of restrictions and notification conditions on the company’s conduct.</w:t>
      </w:r>
      <w:r w:rsidR="0061282C" w:rsidRPr="00DA5EB5">
        <w:rPr>
          <w:rStyle w:val="FootnoteReference"/>
          <w:kern w:val="2"/>
        </w:rPr>
        <w:footnoteReference w:id="232"/>
      </w:r>
    </w:p>
    <w:p w14:paraId="25664780" w14:textId="018A5388" w:rsidR="0061282C" w:rsidRPr="00DA5EB5" w:rsidRDefault="0061282C" w:rsidP="007C3517">
      <w:pPr>
        <w:rPr>
          <w:kern w:val="2"/>
          <w:sz w:val="20"/>
        </w:rPr>
      </w:pPr>
      <w:r w:rsidRPr="00DA5EB5">
        <w:rPr>
          <w:kern w:val="2"/>
          <w:sz w:val="20"/>
        </w:rPr>
        <w:t>Second, a court may impose, in addition to any other sentence, a Financial Reporting Order (FRO) on an individual or a company who has been convicted of an offence under s</w:t>
      </w:r>
      <w:r w:rsidR="009C735F" w:rsidRPr="00DA5EB5">
        <w:rPr>
          <w:kern w:val="2"/>
          <w:sz w:val="20"/>
        </w:rPr>
        <w:t>ections</w:t>
      </w:r>
      <w:r w:rsidRPr="00DA5EB5">
        <w:rPr>
          <w:kern w:val="2"/>
          <w:sz w:val="20"/>
        </w:rPr>
        <w:t xml:space="preserve"> 1, 2 or 6 of the </w:t>
      </w:r>
      <w:r w:rsidRPr="00DA5EB5">
        <w:rPr>
          <w:i/>
          <w:kern w:val="2"/>
          <w:sz w:val="20"/>
        </w:rPr>
        <w:t>Bribery Act</w:t>
      </w:r>
      <w:r w:rsidRPr="00DA5EB5">
        <w:rPr>
          <w:kern w:val="2"/>
          <w:sz w:val="20"/>
        </w:rPr>
        <w:t xml:space="preserve"> if the Court </w:t>
      </w:r>
      <w:r w:rsidR="00FD6DAC" w:rsidRPr="00DA5EB5">
        <w:rPr>
          <w:kern w:val="2"/>
          <w:sz w:val="20"/>
        </w:rPr>
        <w:t>“</w:t>
      </w:r>
      <w:r w:rsidRPr="00DA5EB5">
        <w:rPr>
          <w:kern w:val="2"/>
          <w:sz w:val="20"/>
        </w:rPr>
        <w:t>is satisfied that the risk of that person committing another listed offence is sufficiently high to justify the making of the order.</w:t>
      </w:r>
      <w:r w:rsidR="00FD6DAC" w:rsidRPr="00DA5EB5">
        <w:rPr>
          <w:kern w:val="2"/>
          <w:sz w:val="20"/>
        </w:rPr>
        <w:t>”</w:t>
      </w:r>
      <w:r w:rsidRPr="00DA5EB5">
        <w:rPr>
          <w:rStyle w:val="FootnoteReference"/>
          <w:kern w:val="2"/>
        </w:rPr>
        <w:footnoteReference w:id="233"/>
      </w:r>
      <w:r w:rsidRPr="00DA5EB5">
        <w:rPr>
          <w:kern w:val="2"/>
          <w:sz w:val="20"/>
        </w:rPr>
        <w:t xml:space="preserve"> As</w:t>
      </w:r>
      <w:r w:rsidR="009C735F" w:rsidRPr="00DA5EB5">
        <w:rPr>
          <w:kern w:val="2"/>
          <w:sz w:val="20"/>
        </w:rPr>
        <w:t xml:space="preserve"> noted by</w:t>
      </w:r>
      <w:r w:rsidRPr="00DA5EB5">
        <w:rPr>
          <w:kern w:val="2"/>
          <w:sz w:val="20"/>
        </w:rPr>
        <w:t xml:space="preserve"> Nicholls et al</w:t>
      </w:r>
      <w:r w:rsidRPr="00DA5EB5">
        <w:rPr>
          <w:i/>
          <w:kern w:val="2"/>
          <w:sz w:val="20"/>
        </w:rPr>
        <w:t>.</w:t>
      </w:r>
      <w:r w:rsidRPr="00DA5EB5">
        <w:rPr>
          <w:kern w:val="2"/>
          <w:sz w:val="20"/>
        </w:rPr>
        <w:t>, the FRO specifies the frequency with which financial reports must be filed and the financial details and supporting documents that must be in the financial reports.</w:t>
      </w:r>
      <w:r w:rsidRPr="00DA5EB5">
        <w:rPr>
          <w:rStyle w:val="FootnoteReference"/>
          <w:kern w:val="2"/>
        </w:rPr>
        <w:footnoteReference w:id="234"/>
      </w:r>
      <w:r w:rsidRPr="00DA5EB5">
        <w:rPr>
          <w:kern w:val="2"/>
          <w:sz w:val="20"/>
        </w:rPr>
        <w:t xml:space="preserve"> A FRO can be </w:t>
      </w:r>
      <w:r w:rsidR="0089738D" w:rsidRPr="00DA5EB5">
        <w:rPr>
          <w:kern w:val="2"/>
          <w:sz w:val="20"/>
        </w:rPr>
        <w:t xml:space="preserve">imposed </w:t>
      </w:r>
      <w:r w:rsidRPr="00DA5EB5">
        <w:rPr>
          <w:kern w:val="2"/>
          <w:sz w:val="20"/>
        </w:rPr>
        <w:t>for a maximum of 15 years.</w:t>
      </w:r>
    </w:p>
    <w:p w14:paraId="0B6F92C7" w14:textId="3D99D9E1" w:rsidR="0061282C" w:rsidRPr="00DA5EB5" w:rsidRDefault="0061282C" w:rsidP="007C3517">
      <w:pPr>
        <w:rPr>
          <w:kern w:val="2"/>
          <w:sz w:val="20"/>
        </w:rPr>
      </w:pPr>
      <w:r w:rsidRPr="00DA5EB5">
        <w:rPr>
          <w:kern w:val="2"/>
          <w:sz w:val="20"/>
        </w:rPr>
        <w:t>Third, as Nicholls et al</w:t>
      </w:r>
      <w:r w:rsidRPr="00DA5EB5">
        <w:rPr>
          <w:i/>
          <w:kern w:val="2"/>
          <w:sz w:val="20"/>
        </w:rPr>
        <w:t>.</w:t>
      </w:r>
      <w:r w:rsidRPr="00DA5EB5">
        <w:rPr>
          <w:kern w:val="2"/>
          <w:sz w:val="20"/>
        </w:rPr>
        <w:t xml:space="preserve"> report, the SFO has in recent years been moving to a US-style policy of </w:t>
      </w:r>
      <w:r w:rsidR="0089738D" w:rsidRPr="00DA5EB5">
        <w:rPr>
          <w:kern w:val="2"/>
          <w:sz w:val="20"/>
        </w:rPr>
        <w:t>resolving</w:t>
      </w:r>
      <w:r w:rsidRPr="00DA5EB5">
        <w:rPr>
          <w:kern w:val="2"/>
          <w:sz w:val="20"/>
        </w:rPr>
        <w:t xml:space="preserve"> bribery allegations </w:t>
      </w:r>
      <w:r w:rsidR="0089738D" w:rsidRPr="00DA5EB5">
        <w:rPr>
          <w:kern w:val="2"/>
          <w:sz w:val="20"/>
        </w:rPr>
        <w:t>through</w:t>
      </w:r>
      <w:r w:rsidRPr="00DA5EB5">
        <w:rPr>
          <w:kern w:val="2"/>
          <w:sz w:val="20"/>
        </w:rPr>
        <w:t xml:space="preserve"> plea agreements rather than trials.</w:t>
      </w:r>
      <w:r w:rsidRPr="00DA5EB5">
        <w:rPr>
          <w:rStyle w:val="FootnoteReference"/>
          <w:kern w:val="2"/>
        </w:rPr>
        <w:footnoteReference w:id="235"/>
      </w:r>
      <w:r w:rsidRPr="00DA5EB5">
        <w:rPr>
          <w:kern w:val="2"/>
          <w:sz w:val="20"/>
        </w:rPr>
        <w:t xml:space="preserve"> The SFO has a policy of encouraging corporate self-reporting of bribery in exchange for more lenient civil sanctions or criminal or administrative offences other than bribery, which do not involve </w:t>
      </w:r>
      <w:r w:rsidR="002F4E3D" w:rsidRPr="00DA5EB5">
        <w:rPr>
          <w:kern w:val="2"/>
          <w:sz w:val="20"/>
        </w:rPr>
        <w:t>debarment under the EU Public Procurement Directive</w:t>
      </w:r>
      <w:r w:rsidRPr="00DA5EB5">
        <w:rPr>
          <w:kern w:val="2"/>
          <w:sz w:val="20"/>
        </w:rPr>
        <w:t>.</w:t>
      </w:r>
      <w:r w:rsidR="004D4669" w:rsidRPr="00DA5EB5">
        <w:rPr>
          <w:rStyle w:val="FootnoteReference"/>
          <w:kern w:val="2"/>
        </w:rPr>
        <w:footnoteReference w:id="236"/>
      </w:r>
      <w:r w:rsidR="00E87776" w:rsidRPr="00DA5EB5">
        <w:rPr>
          <w:kern w:val="2"/>
          <w:sz w:val="20"/>
        </w:rPr>
        <w:t xml:space="preserve"> </w:t>
      </w:r>
      <w:r w:rsidRPr="00DA5EB5">
        <w:rPr>
          <w:kern w:val="2"/>
          <w:sz w:val="20"/>
        </w:rPr>
        <w:t>Nicholls et al</w:t>
      </w:r>
      <w:r w:rsidRPr="00DA5EB5">
        <w:rPr>
          <w:i/>
          <w:kern w:val="2"/>
          <w:sz w:val="20"/>
        </w:rPr>
        <w:t>.</w:t>
      </w:r>
      <w:r w:rsidRPr="00DA5EB5">
        <w:rPr>
          <w:kern w:val="2"/>
          <w:sz w:val="20"/>
        </w:rPr>
        <w:t xml:space="preserve"> note that in addition to fines</w:t>
      </w:r>
      <w:r w:rsidR="002F4E3D" w:rsidRPr="00DA5EB5">
        <w:rPr>
          <w:kern w:val="2"/>
          <w:sz w:val="20"/>
        </w:rPr>
        <w:t>,</w:t>
      </w:r>
      <w:r w:rsidRPr="00DA5EB5">
        <w:rPr>
          <w:kern w:val="2"/>
          <w:sz w:val="20"/>
        </w:rPr>
        <w:t xml:space="preserve"> the terms of a plea agreement could include monitoring and other matters such as the following:</w:t>
      </w:r>
    </w:p>
    <w:p w14:paraId="124DD844" w14:textId="77777777" w:rsidR="0061282C" w:rsidRPr="00DA5EB5" w:rsidRDefault="0061282C" w:rsidP="00B03652">
      <w:pPr>
        <w:pStyle w:val="ListParagraph"/>
        <w:numPr>
          <w:ilvl w:val="0"/>
          <w:numId w:val="44"/>
        </w:numPr>
        <w:spacing w:after="60"/>
        <w:rPr>
          <w:kern w:val="2"/>
          <w:sz w:val="20"/>
          <w:szCs w:val="21"/>
        </w:rPr>
      </w:pPr>
      <w:r w:rsidRPr="00DA5EB5">
        <w:rPr>
          <w:kern w:val="2"/>
          <w:sz w:val="20"/>
          <w:szCs w:val="21"/>
        </w:rPr>
        <w:t>Civil recovery, to include the amount of the unlawful property, plus interest and costs;</w:t>
      </w:r>
    </w:p>
    <w:p w14:paraId="4F6E5E5A" w14:textId="77777777" w:rsidR="0061282C" w:rsidRPr="00DA5EB5" w:rsidRDefault="0061282C" w:rsidP="00B03652">
      <w:pPr>
        <w:pStyle w:val="ListParagraph"/>
        <w:numPr>
          <w:ilvl w:val="0"/>
          <w:numId w:val="44"/>
        </w:numPr>
        <w:spacing w:after="60"/>
        <w:rPr>
          <w:kern w:val="2"/>
          <w:sz w:val="20"/>
          <w:szCs w:val="21"/>
        </w:rPr>
      </w:pPr>
      <w:r w:rsidRPr="00DA5EB5">
        <w:rPr>
          <w:kern w:val="2"/>
          <w:sz w:val="20"/>
          <w:szCs w:val="21"/>
        </w:rPr>
        <w:t>Independent monitoring (with an agreed and proportionate scope) by an appropriately qualified individual nominated by the corporation and agreed by the SFO;</w:t>
      </w:r>
    </w:p>
    <w:p w14:paraId="58267EA2" w14:textId="77777777" w:rsidR="0061282C" w:rsidRPr="00DA5EB5" w:rsidRDefault="0061282C" w:rsidP="00B03652">
      <w:pPr>
        <w:pStyle w:val="ListParagraph"/>
        <w:numPr>
          <w:ilvl w:val="0"/>
          <w:numId w:val="44"/>
        </w:numPr>
        <w:spacing w:after="60"/>
        <w:rPr>
          <w:kern w:val="2"/>
          <w:sz w:val="20"/>
          <w:szCs w:val="21"/>
        </w:rPr>
      </w:pPr>
      <w:r w:rsidRPr="00DA5EB5">
        <w:rPr>
          <w:kern w:val="2"/>
          <w:sz w:val="20"/>
          <w:szCs w:val="21"/>
        </w:rPr>
        <w:t>An agreed programme of culture change and training within the corporation;</w:t>
      </w:r>
    </w:p>
    <w:p w14:paraId="57D4E1D2" w14:textId="77777777" w:rsidR="0061282C" w:rsidRPr="00DA5EB5" w:rsidRDefault="0061282C" w:rsidP="00B03652">
      <w:pPr>
        <w:pStyle w:val="ListParagraph"/>
        <w:numPr>
          <w:ilvl w:val="0"/>
          <w:numId w:val="44"/>
        </w:numPr>
        <w:spacing w:after="60"/>
        <w:rPr>
          <w:kern w:val="2"/>
          <w:sz w:val="20"/>
          <w:szCs w:val="21"/>
        </w:rPr>
      </w:pPr>
      <w:r w:rsidRPr="00DA5EB5">
        <w:rPr>
          <w:kern w:val="2"/>
          <w:sz w:val="20"/>
          <w:szCs w:val="21"/>
        </w:rPr>
        <w:t>Dealing with individuals involved in the wrongdoing;</w:t>
      </w:r>
    </w:p>
    <w:p w14:paraId="1CE80E62" w14:textId="6463D017" w:rsidR="0061282C" w:rsidRPr="00DA5EB5" w:rsidRDefault="0061282C" w:rsidP="00B03652">
      <w:pPr>
        <w:pStyle w:val="ListParagraph"/>
        <w:numPr>
          <w:ilvl w:val="0"/>
          <w:numId w:val="44"/>
        </w:numPr>
        <w:spacing w:after="60"/>
        <w:rPr>
          <w:kern w:val="2"/>
          <w:sz w:val="20"/>
          <w:szCs w:val="21"/>
        </w:rPr>
      </w:pPr>
      <w:r w:rsidRPr="00DA5EB5">
        <w:rPr>
          <w:kern w:val="2"/>
          <w:sz w:val="20"/>
          <w:szCs w:val="21"/>
        </w:rPr>
        <w:t>Possible assistance from the SFO in settling with authorities in other relevant jurisdictions.</w:t>
      </w:r>
      <w:r w:rsidR="00F74DAA" w:rsidRPr="00DA5EB5">
        <w:rPr>
          <w:rStyle w:val="FootnoteReference"/>
          <w:kern w:val="2"/>
          <w:szCs w:val="21"/>
        </w:rPr>
        <w:footnoteReference w:id="237"/>
      </w:r>
    </w:p>
    <w:p w14:paraId="7B12A7E0" w14:textId="1E7408F6" w:rsidR="0061282C" w:rsidRPr="00DA5EB5" w:rsidRDefault="0061282C" w:rsidP="0023734A">
      <w:pPr>
        <w:rPr>
          <w:kern w:val="2"/>
          <w:sz w:val="20"/>
        </w:rPr>
      </w:pPr>
      <w:r w:rsidRPr="00DA5EB5">
        <w:rPr>
          <w:kern w:val="2"/>
          <w:sz w:val="20"/>
        </w:rPr>
        <w:t>Nicholls et al</w:t>
      </w:r>
      <w:r w:rsidRPr="00DA5EB5">
        <w:rPr>
          <w:i/>
          <w:kern w:val="2"/>
          <w:sz w:val="20"/>
        </w:rPr>
        <w:t>.</w:t>
      </w:r>
      <w:r w:rsidRPr="00DA5EB5">
        <w:rPr>
          <w:kern w:val="2"/>
          <w:sz w:val="20"/>
        </w:rPr>
        <w:t xml:space="preserve"> also discuss a number of more recent SFO cases </w:t>
      </w:r>
      <w:r w:rsidR="002F4E3D" w:rsidRPr="00DA5EB5">
        <w:rPr>
          <w:kern w:val="2"/>
          <w:sz w:val="20"/>
        </w:rPr>
        <w:t xml:space="preserve">that </w:t>
      </w:r>
      <w:r w:rsidRPr="00DA5EB5">
        <w:rPr>
          <w:kern w:val="2"/>
          <w:sz w:val="20"/>
        </w:rPr>
        <w:t>reflect the SFO’s tendency to not proceed with bribery charges (</w:t>
      </w:r>
      <w:r w:rsidR="00A3303A" w:rsidRPr="00DA5EB5">
        <w:rPr>
          <w:kern w:val="2"/>
          <w:sz w:val="20"/>
        </w:rPr>
        <w:t>which entail</w:t>
      </w:r>
      <w:r w:rsidRPr="00DA5EB5">
        <w:rPr>
          <w:kern w:val="2"/>
          <w:sz w:val="20"/>
        </w:rPr>
        <w:t xml:space="preserve"> debarment consequences) and allow companies to plead guilty instead to the offence of failing to maintain accurate business records under s</w:t>
      </w:r>
      <w:r w:rsidR="00A3303A" w:rsidRPr="00DA5EB5">
        <w:rPr>
          <w:kern w:val="2"/>
          <w:sz w:val="20"/>
        </w:rPr>
        <w:t>ection</w:t>
      </w:r>
      <w:r w:rsidRPr="00DA5EB5">
        <w:rPr>
          <w:kern w:val="2"/>
          <w:sz w:val="20"/>
        </w:rPr>
        <w:t xml:space="preserve"> 221 of the </w:t>
      </w:r>
      <w:r w:rsidRPr="00DA5EB5">
        <w:rPr>
          <w:i/>
          <w:kern w:val="2"/>
          <w:sz w:val="20"/>
        </w:rPr>
        <w:t>Companies Act</w:t>
      </w:r>
      <w:r w:rsidRPr="00DA5EB5">
        <w:rPr>
          <w:kern w:val="2"/>
          <w:sz w:val="20"/>
        </w:rPr>
        <w:t xml:space="preserve"> </w:t>
      </w:r>
      <w:r w:rsidRPr="00DA5EB5">
        <w:rPr>
          <w:i/>
          <w:kern w:val="2"/>
          <w:sz w:val="20"/>
        </w:rPr>
        <w:t>1985</w:t>
      </w:r>
      <w:r w:rsidRPr="00DA5EB5">
        <w:rPr>
          <w:kern w:val="2"/>
          <w:sz w:val="20"/>
        </w:rPr>
        <w:t xml:space="preserve">: see, e.g. </w:t>
      </w:r>
      <w:r w:rsidRPr="00DA5EB5">
        <w:rPr>
          <w:i/>
          <w:kern w:val="2"/>
          <w:sz w:val="20"/>
        </w:rPr>
        <w:t>Balfour Beatty</w:t>
      </w:r>
      <w:r w:rsidRPr="00DA5EB5">
        <w:rPr>
          <w:kern w:val="2"/>
          <w:sz w:val="20"/>
        </w:rPr>
        <w:t xml:space="preserve"> case, </w:t>
      </w:r>
      <w:r w:rsidRPr="00DA5EB5">
        <w:rPr>
          <w:i/>
          <w:kern w:val="2"/>
          <w:sz w:val="20"/>
        </w:rPr>
        <w:t>AMEC</w:t>
      </w:r>
      <w:r w:rsidRPr="00DA5EB5">
        <w:rPr>
          <w:kern w:val="2"/>
          <w:sz w:val="20"/>
        </w:rPr>
        <w:t xml:space="preserve"> case and the </w:t>
      </w:r>
      <w:r w:rsidRPr="00DA5EB5">
        <w:rPr>
          <w:i/>
          <w:kern w:val="2"/>
          <w:sz w:val="20"/>
        </w:rPr>
        <w:t xml:space="preserve">BAE </w:t>
      </w:r>
      <w:r w:rsidR="00D4629B" w:rsidRPr="00DA5EB5">
        <w:rPr>
          <w:kern w:val="2"/>
          <w:sz w:val="20"/>
        </w:rPr>
        <w:t>case</w:t>
      </w:r>
      <w:r w:rsidRPr="00DA5EB5">
        <w:rPr>
          <w:kern w:val="2"/>
          <w:sz w:val="20"/>
        </w:rPr>
        <w:t>.</w:t>
      </w:r>
      <w:r w:rsidRPr="00DA5EB5">
        <w:rPr>
          <w:rStyle w:val="FootnoteReference"/>
          <w:kern w:val="2"/>
        </w:rPr>
        <w:footnoteReference w:id="238"/>
      </w:r>
    </w:p>
    <w:p w14:paraId="1A76A093" w14:textId="01A72E24" w:rsidR="00D71B33" w:rsidRPr="00DA5EB5" w:rsidRDefault="0061282C" w:rsidP="007C3517">
      <w:pPr>
        <w:pStyle w:val="Heading2"/>
        <w:rPr>
          <w:kern w:val="2"/>
          <w:sz w:val="24"/>
        </w:rPr>
      </w:pPr>
      <w:r w:rsidRPr="00DA5EB5">
        <w:rPr>
          <w:kern w:val="2"/>
          <w:sz w:val="24"/>
        </w:rPr>
        <w:t>Canadian Law</w:t>
      </w:r>
    </w:p>
    <w:p w14:paraId="60C3553B" w14:textId="16CEE951" w:rsidR="0061282C" w:rsidRPr="00DA5EB5" w:rsidRDefault="0061282C" w:rsidP="007C3517">
      <w:pPr>
        <w:rPr>
          <w:kern w:val="2"/>
          <w:sz w:val="20"/>
        </w:rPr>
      </w:pPr>
      <w:r w:rsidRPr="00DA5EB5">
        <w:rPr>
          <w:kern w:val="2"/>
          <w:sz w:val="20"/>
        </w:rPr>
        <w:t xml:space="preserve">The </w:t>
      </w:r>
      <w:r w:rsidRPr="00DA5EB5">
        <w:rPr>
          <w:i/>
          <w:kern w:val="2"/>
          <w:sz w:val="20"/>
        </w:rPr>
        <w:t>Canada Business Corporations Act</w:t>
      </w:r>
      <w:r w:rsidRPr="00DA5EB5">
        <w:rPr>
          <w:kern w:val="2"/>
          <w:sz w:val="20"/>
        </w:rPr>
        <w:t>, along with</w:t>
      </w:r>
      <w:r w:rsidR="00D4629B" w:rsidRPr="00DA5EB5">
        <w:rPr>
          <w:kern w:val="2"/>
          <w:sz w:val="20"/>
        </w:rPr>
        <w:t xml:space="preserve"> those</w:t>
      </w:r>
      <w:r w:rsidRPr="00DA5EB5">
        <w:rPr>
          <w:kern w:val="2"/>
          <w:sz w:val="20"/>
        </w:rPr>
        <w:t xml:space="preserve"> provincial </w:t>
      </w:r>
      <w:r w:rsidR="00791358" w:rsidRPr="00DA5EB5">
        <w:rPr>
          <w:kern w:val="2"/>
          <w:sz w:val="20"/>
        </w:rPr>
        <w:t>corporate statutes</w:t>
      </w:r>
      <w:r w:rsidR="00D4629B" w:rsidRPr="00DA5EB5">
        <w:rPr>
          <w:kern w:val="2"/>
          <w:sz w:val="20"/>
        </w:rPr>
        <w:t xml:space="preserve"> </w:t>
      </w:r>
      <w:r w:rsidRPr="00DA5EB5">
        <w:rPr>
          <w:kern w:val="2"/>
          <w:sz w:val="20"/>
        </w:rPr>
        <w:t>modeled after the federal</w:t>
      </w:r>
      <w:r w:rsidRPr="00DA5EB5">
        <w:rPr>
          <w:i/>
          <w:kern w:val="2"/>
          <w:sz w:val="20"/>
        </w:rPr>
        <w:t xml:space="preserve"> </w:t>
      </w:r>
      <w:r w:rsidRPr="00DA5EB5">
        <w:rPr>
          <w:kern w:val="2"/>
          <w:sz w:val="20"/>
        </w:rPr>
        <w:t xml:space="preserve">Act, does not contain a power to specifically impose a </w:t>
      </w:r>
      <w:proofErr w:type="spellStart"/>
      <w:r w:rsidRPr="00DA5EB5">
        <w:rPr>
          <w:kern w:val="2"/>
          <w:sz w:val="20"/>
        </w:rPr>
        <w:t>monitorship</w:t>
      </w:r>
      <w:proofErr w:type="spellEnd"/>
      <w:r w:rsidRPr="00DA5EB5">
        <w:rPr>
          <w:kern w:val="2"/>
          <w:sz w:val="20"/>
        </w:rPr>
        <w:t xml:space="preserve"> order on a corporation convicted of a serious crime of fraud or corruption.</w:t>
      </w:r>
      <w:r w:rsidR="003A327B" w:rsidRPr="00DA5EB5">
        <w:rPr>
          <w:rStyle w:val="FootnoteReference"/>
          <w:kern w:val="2"/>
          <w:sz w:val="18"/>
        </w:rPr>
        <w:footnoteReference w:id="239"/>
      </w:r>
      <w:r w:rsidRPr="00DA5EB5">
        <w:rPr>
          <w:kern w:val="2"/>
          <w:sz w:val="20"/>
        </w:rPr>
        <w:t xml:space="preserve"> However, the provincial securities acts generally do have a power somewhat analogous to </w:t>
      </w:r>
      <w:proofErr w:type="spellStart"/>
      <w:r w:rsidRPr="00DA5EB5">
        <w:rPr>
          <w:kern w:val="2"/>
          <w:sz w:val="20"/>
        </w:rPr>
        <w:t>monitorship</w:t>
      </w:r>
      <w:proofErr w:type="spellEnd"/>
      <w:r w:rsidRPr="00DA5EB5">
        <w:rPr>
          <w:kern w:val="2"/>
          <w:sz w:val="20"/>
        </w:rPr>
        <w:t>. For example, s</w:t>
      </w:r>
      <w:r w:rsidR="006B2CDE" w:rsidRPr="00DA5EB5">
        <w:rPr>
          <w:kern w:val="2"/>
          <w:sz w:val="20"/>
        </w:rPr>
        <w:t>ection</w:t>
      </w:r>
      <w:r w:rsidRPr="00DA5EB5">
        <w:rPr>
          <w:kern w:val="2"/>
          <w:sz w:val="20"/>
        </w:rPr>
        <w:t xml:space="preserve"> 127(1)(4) of the </w:t>
      </w:r>
      <w:r w:rsidRPr="00DA5EB5">
        <w:rPr>
          <w:i/>
          <w:kern w:val="2"/>
          <w:sz w:val="20"/>
        </w:rPr>
        <w:t>Ontario Securities Act</w:t>
      </w:r>
      <w:r w:rsidRPr="00DA5EB5">
        <w:rPr>
          <w:kern w:val="2"/>
          <w:sz w:val="20"/>
        </w:rPr>
        <w:t xml:space="preserve"> authorizes the </w:t>
      </w:r>
      <w:r w:rsidR="006B2CDE" w:rsidRPr="00DA5EB5">
        <w:rPr>
          <w:kern w:val="2"/>
          <w:sz w:val="20"/>
        </w:rPr>
        <w:t xml:space="preserve">Ontario Securities </w:t>
      </w:r>
      <w:r w:rsidRPr="00DA5EB5">
        <w:rPr>
          <w:kern w:val="2"/>
          <w:sz w:val="20"/>
        </w:rPr>
        <w:t xml:space="preserve">Commission to make an order in the public interest </w:t>
      </w:r>
      <w:r w:rsidR="00FD6DAC" w:rsidRPr="00DA5EB5">
        <w:rPr>
          <w:kern w:val="2"/>
          <w:sz w:val="20"/>
        </w:rPr>
        <w:t>“</w:t>
      </w:r>
      <w:r w:rsidRPr="00DA5EB5">
        <w:rPr>
          <w:kern w:val="2"/>
          <w:sz w:val="20"/>
        </w:rPr>
        <w:t xml:space="preserve">that a market participant submit to a review of his, her or its practices and procedures and institute such changes as may be ordered by the </w:t>
      </w:r>
      <w:r w:rsidR="006B2CDE" w:rsidRPr="00DA5EB5">
        <w:rPr>
          <w:kern w:val="2"/>
          <w:sz w:val="20"/>
        </w:rPr>
        <w:t xml:space="preserve">Securities </w:t>
      </w:r>
      <w:r w:rsidRPr="00DA5EB5">
        <w:rPr>
          <w:kern w:val="2"/>
          <w:sz w:val="20"/>
        </w:rPr>
        <w:t>Commission</w:t>
      </w:r>
      <w:r w:rsidR="00584843" w:rsidRPr="00DA5EB5">
        <w:rPr>
          <w:kern w:val="2"/>
          <w:sz w:val="20"/>
        </w:rPr>
        <w:t>.</w:t>
      </w:r>
      <w:r w:rsidR="00FD6DAC" w:rsidRPr="00DA5EB5">
        <w:rPr>
          <w:kern w:val="2"/>
          <w:sz w:val="20"/>
        </w:rPr>
        <w:t>”</w:t>
      </w:r>
      <w:r w:rsidRPr="00DA5EB5">
        <w:rPr>
          <w:rStyle w:val="FootnoteReference"/>
          <w:kern w:val="2"/>
        </w:rPr>
        <w:footnoteReference w:id="240"/>
      </w:r>
    </w:p>
    <w:p w14:paraId="651C881E" w14:textId="77B1789F" w:rsidR="00481A0D" w:rsidRPr="00DA5EB5" w:rsidRDefault="00673CC7" w:rsidP="007C3517">
      <w:pPr>
        <w:rPr>
          <w:kern w:val="2"/>
          <w:sz w:val="20"/>
        </w:rPr>
      </w:pPr>
      <w:r w:rsidRPr="00DA5EB5">
        <w:rPr>
          <w:kern w:val="2"/>
          <w:sz w:val="20"/>
        </w:rPr>
        <w:t xml:space="preserve">Under the 2015 Integrity Regime, quoted in </w:t>
      </w:r>
      <w:r w:rsidRPr="00DA5EB5">
        <w:rPr>
          <w:kern w:val="2"/>
          <w:sz w:val="20"/>
          <w:highlight w:val="cyan"/>
        </w:rPr>
        <w:t>Section 8.6</w:t>
      </w:r>
      <w:r w:rsidRPr="00DA5EB5">
        <w:rPr>
          <w:kern w:val="2"/>
          <w:sz w:val="20"/>
        </w:rPr>
        <w:t xml:space="preserve"> above, a third-party monitor may be imposed on a company through an administrative agreement if the company’s ten-year debarment period is reduced, if a public interest exception to debarment is made, or if the company is suspended. </w:t>
      </w:r>
    </w:p>
    <w:p w14:paraId="4720794A" w14:textId="177E1C9C" w:rsidR="0061282C" w:rsidRPr="00DA5EB5" w:rsidRDefault="0061282C" w:rsidP="007C3517">
      <w:pPr>
        <w:rPr>
          <w:kern w:val="2"/>
        </w:rPr>
      </w:pPr>
      <w:r w:rsidRPr="00DA5EB5">
        <w:rPr>
          <w:kern w:val="2"/>
          <w:sz w:val="20"/>
        </w:rPr>
        <w:t xml:space="preserve">Another route for monitoring a corporation is the use of a probation order. Organizations </w:t>
      </w:r>
      <w:r w:rsidR="00D4629B" w:rsidRPr="00DA5EB5">
        <w:rPr>
          <w:kern w:val="2"/>
          <w:sz w:val="20"/>
        </w:rPr>
        <w:t>that</w:t>
      </w:r>
      <w:r w:rsidRPr="00DA5EB5">
        <w:rPr>
          <w:kern w:val="2"/>
          <w:sz w:val="20"/>
        </w:rPr>
        <w:t xml:space="preserve"> are convicted of a </w:t>
      </w:r>
      <w:r w:rsidRPr="00DA5EB5">
        <w:rPr>
          <w:i/>
          <w:kern w:val="2"/>
          <w:sz w:val="20"/>
        </w:rPr>
        <w:t>Criminal Code</w:t>
      </w:r>
      <w:r w:rsidRPr="00DA5EB5">
        <w:rPr>
          <w:kern w:val="2"/>
          <w:sz w:val="20"/>
        </w:rPr>
        <w:t xml:space="preserve"> offence, including fraud, bribery and corruption, can be placed on probation for a maximum of three years and the judge can impose, as conditions of that probation order, one or more of the following</w:t>
      </w:r>
      <w:r w:rsidRPr="00DA5EB5">
        <w:rPr>
          <w:kern w:val="2"/>
        </w:rPr>
        <w:t>:</w:t>
      </w:r>
    </w:p>
    <w:p w14:paraId="16CAD8DA" w14:textId="77777777" w:rsidR="0061282C" w:rsidRPr="00DA5EB5" w:rsidRDefault="0061282C" w:rsidP="0074473E">
      <w:pPr>
        <w:pStyle w:val="BlockQuote"/>
        <w:numPr>
          <w:ilvl w:val="0"/>
          <w:numId w:val="45"/>
        </w:numPr>
        <w:spacing w:before="60" w:after="60"/>
        <w:jc w:val="left"/>
        <w:rPr>
          <w:kern w:val="2"/>
          <w:sz w:val="20"/>
        </w:rPr>
      </w:pPr>
      <w:r w:rsidRPr="00DA5EB5">
        <w:rPr>
          <w:kern w:val="2"/>
          <w:sz w:val="20"/>
        </w:rPr>
        <w:t>make restitution to a person for any loss or damage that they suffered as a result of the offence;</w:t>
      </w:r>
    </w:p>
    <w:p w14:paraId="7EEDD89E" w14:textId="77777777" w:rsidR="0061282C" w:rsidRPr="00DA5EB5" w:rsidRDefault="0061282C" w:rsidP="0074473E">
      <w:pPr>
        <w:pStyle w:val="BlockQuote"/>
        <w:numPr>
          <w:ilvl w:val="0"/>
          <w:numId w:val="45"/>
        </w:numPr>
        <w:spacing w:before="60" w:after="60"/>
        <w:jc w:val="left"/>
        <w:rPr>
          <w:kern w:val="2"/>
          <w:sz w:val="20"/>
        </w:rPr>
      </w:pPr>
      <w:r w:rsidRPr="00DA5EB5">
        <w:rPr>
          <w:kern w:val="2"/>
          <w:sz w:val="20"/>
        </w:rPr>
        <w:t>establish policies, standards and procedures to reduce the likelihood of the organization committing a subsequent offence;</w:t>
      </w:r>
    </w:p>
    <w:p w14:paraId="059C12CC" w14:textId="77777777" w:rsidR="0061282C" w:rsidRPr="00DA5EB5" w:rsidRDefault="0061282C" w:rsidP="0074473E">
      <w:pPr>
        <w:pStyle w:val="BlockQuote"/>
        <w:numPr>
          <w:ilvl w:val="0"/>
          <w:numId w:val="45"/>
        </w:numPr>
        <w:spacing w:before="60" w:after="60"/>
        <w:jc w:val="left"/>
        <w:rPr>
          <w:kern w:val="2"/>
          <w:sz w:val="20"/>
        </w:rPr>
      </w:pPr>
      <w:r w:rsidRPr="00DA5EB5">
        <w:rPr>
          <w:kern w:val="2"/>
          <w:sz w:val="20"/>
        </w:rPr>
        <w:t>communicate those policies, standards and procedures to its representatives;</w:t>
      </w:r>
    </w:p>
    <w:p w14:paraId="4F89D714" w14:textId="77777777" w:rsidR="0061282C" w:rsidRPr="00DA5EB5" w:rsidRDefault="0061282C" w:rsidP="0074473E">
      <w:pPr>
        <w:pStyle w:val="BlockQuote"/>
        <w:numPr>
          <w:ilvl w:val="0"/>
          <w:numId w:val="45"/>
        </w:numPr>
        <w:spacing w:before="60" w:after="60"/>
        <w:jc w:val="left"/>
        <w:rPr>
          <w:kern w:val="2"/>
          <w:sz w:val="20"/>
        </w:rPr>
      </w:pPr>
      <w:r w:rsidRPr="00DA5EB5">
        <w:rPr>
          <w:kern w:val="2"/>
          <w:sz w:val="20"/>
        </w:rPr>
        <w:t>report to the court on the implementation of those policies, standards and procedures;</w:t>
      </w:r>
    </w:p>
    <w:p w14:paraId="760CF23A" w14:textId="77777777" w:rsidR="0061282C" w:rsidRPr="00DA5EB5" w:rsidRDefault="0061282C" w:rsidP="0074473E">
      <w:pPr>
        <w:pStyle w:val="BlockQuote"/>
        <w:numPr>
          <w:ilvl w:val="0"/>
          <w:numId w:val="45"/>
        </w:numPr>
        <w:spacing w:before="60" w:after="60"/>
        <w:jc w:val="left"/>
        <w:rPr>
          <w:kern w:val="2"/>
          <w:sz w:val="20"/>
        </w:rPr>
      </w:pPr>
      <w:r w:rsidRPr="00DA5EB5">
        <w:rPr>
          <w:kern w:val="2"/>
          <w:sz w:val="20"/>
        </w:rPr>
        <w:t>identify the senior officer who is responsible for compliance with those policies, standards and procedures;</w:t>
      </w:r>
    </w:p>
    <w:p w14:paraId="69B5A4B6" w14:textId="77777777" w:rsidR="0061282C" w:rsidRPr="00DA5EB5" w:rsidRDefault="0061282C" w:rsidP="0074473E">
      <w:pPr>
        <w:pStyle w:val="BlockQuote"/>
        <w:numPr>
          <w:ilvl w:val="0"/>
          <w:numId w:val="45"/>
        </w:numPr>
        <w:spacing w:before="60" w:after="60"/>
        <w:jc w:val="left"/>
        <w:rPr>
          <w:kern w:val="2"/>
          <w:sz w:val="20"/>
        </w:rPr>
      </w:pPr>
      <w:r w:rsidRPr="00DA5EB5">
        <w:rPr>
          <w:kern w:val="2"/>
          <w:sz w:val="20"/>
        </w:rPr>
        <w:t>provide, in the manner specified by the court, the following information to the public, namely,</w:t>
      </w:r>
    </w:p>
    <w:p w14:paraId="787CCDE1" w14:textId="224E17D7" w:rsidR="0061282C" w:rsidRPr="00DA5EB5" w:rsidRDefault="0061282C" w:rsidP="0074473E">
      <w:pPr>
        <w:pStyle w:val="BlockQuote"/>
        <w:numPr>
          <w:ilvl w:val="0"/>
          <w:numId w:val="46"/>
        </w:numPr>
        <w:spacing w:before="60" w:after="60"/>
        <w:jc w:val="left"/>
        <w:rPr>
          <w:kern w:val="2"/>
          <w:sz w:val="20"/>
        </w:rPr>
      </w:pPr>
      <w:r w:rsidRPr="00DA5EB5">
        <w:rPr>
          <w:kern w:val="2"/>
          <w:sz w:val="20"/>
        </w:rPr>
        <w:t>the offence of which the organization was convicted,</w:t>
      </w:r>
    </w:p>
    <w:p w14:paraId="66F322ED" w14:textId="77777777" w:rsidR="0061282C" w:rsidRPr="00DA5EB5" w:rsidRDefault="0061282C" w:rsidP="0074473E">
      <w:pPr>
        <w:pStyle w:val="BlockQuote"/>
        <w:numPr>
          <w:ilvl w:val="0"/>
          <w:numId w:val="46"/>
        </w:numPr>
        <w:spacing w:before="60" w:after="60"/>
        <w:jc w:val="left"/>
        <w:rPr>
          <w:kern w:val="2"/>
          <w:sz w:val="20"/>
        </w:rPr>
      </w:pPr>
      <w:r w:rsidRPr="00DA5EB5">
        <w:rPr>
          <w:kern w:val="2"/>
          <w:sz w:val="20"/>
        </w:rPr>
        <w:t>the sentence imposed by the court, and</w:t>
      </w:r>
    </w:p>
    <w:p w14:paraId="188FD769" w14:textId="77777777" w:rsidR="0061282C" w:rsidRPr="00DA5EB5" w:rsidRDefault="0061282C" w:rsidP="0074473E">
      <w:pPr>
        <w:pStyle w:val="BlockQuote"/>
        <w:numPr>
          <w:ilvl w:val="0"/>
          <w:numId w:val="46"/>
        </w:numPr>
        <w:spacing w:before="60" w:after="60"/>
        <w:jc w:val="left"/>
        <w:rPr>
          <w:kern w:val="2"/>
          <w:sz w:val="20"/>
        </w:rPr>
      </w:pPr>
      <w:r w:rsidRPr="00DA5EB5">
        <w:rPr>
          <w:kern w:val="2"/>
          <w:sz w:val="20"/>
        </w:rPr>
        <w:t>any measures that the organization is taking – including any policies, standards and procedures established under paragraph (b) – to reduce the likelihood of it committing a subsequent offence; and</w:t>
      </w:r>
    </w:p>
    <w:p w14:paraId="61478D8A" w14:textId="46D23591" w:rsidR="0061282C" w:rsidRPr="00DA5EB5" w:rsidRDefault="0061282C" w:rsidP="0074473E">
      <w:pPr>
        <w:pStyle w:val="BlockQuote"/>
        <w:numPr>
          <w:ilvl w:val="0"/>
          <w:numId w:val="45"/>
        </w:numPr>
        <w:spacing w:before="60" w:after="60"/>
        <w:jc w:val="left"/>
        <w:rPr>
          <w:kern w:val="2"/>
          <w:sz w:val="20"/>
        </w:rPr>
      </w:pPr>
      <w:proofErr w:type="gramStart"/>
      <w:r w:rsidRPr="00DA5EB5">
        <w:rPr>
          <w:kern w:val="2"/>
          <w:sz w:val="20"/>
        </w:rPr>
        <w:t>comply</w:t>
      </w:r>
      <w:proofErr w:type="gramEnd"/>
      <w:r w:rsidRPr="00DA5EB5">
        <w:rPr>
          <w:kern w:val="2"/>
          <w:sz w:val="20"/>
        </w:rPr>
        <w:t xml:space="preserve"> with any other reasonable conditions that the court considers desirable to prevent the organization from committing subsequent offences or to remedy the harm caused by the offence.</w:t>
      </w:r>
      <w:r w:rsidR="007F7592" w:rsidRPr="00DA5EB5">
        <w:rPr>
          <w:rStyle w:val="FootnoteReference"/>
          <w:kern w:val="2"/>
          <w:szCs w:val="21"/>
        </w:rPr>
        <w:footnoteReference w:id="241"/>
      </w:r>
    </w:p>
    <w:p w14:paraId="30AFFBA1" w14:textId="5FFBB0B0" w:rsidR="00481A0D" w:rsidRPr="00DA5EB5" w:rsidRDefault="0061282C" w:rsidP="0023734A">
      <w:pPr>
        <w:rPr>
          <w:kern w:val="2"/>
          <w:sz w:val="20"/>
        </w:rPr>
      </w:pPr>
      <w:r w:rsidRPr="00DA5EB5">
        <w:rPr>
          <w:kern w:val="2"/>
          <w:sz w:val="20"/>
        </w:rPr>
        <w:t xml:space="preserve">Section 732.1(3.2) of the </w:t>
      </w:r>
      <w:r w:rsidRPr="00DA5EB5">
        <w:rPr>
          <w:i/>
          <w:kern w:val="2"/>
          <w:sz w:val="20"/>
        </w:rPr>
        <w:t>Criminal Code</w:t>
      </w:r>
      <w:r w:rsidRPr="00DA5EB5">
        <w:rPr>
          <w:kern w:val="2"/>
          <w:sz w:val="20"/>
        </w:rPr>
        <w:t xml:space="preserve"> provides that before imposing the conditions in (b) above, the court </w:t>
      </w:r>
      <w:r w:rsidR="00FD6DAC" w:rsidRPr="00DA5EB5">
        <w:rPr>
          <w:kern w:val="2"/>
          <w:sz w:val="20"/>
        </w:rPr>
        <w:t>“</w:t>
      </w:r>
      <w:r w:rsidRPr="00DA5EB5">
        <w:rPr>
          <w:kern w:val="2"/>
          <w:sz w:val="20"/>
        </w:rPr>
        <w:t>shall consider whether it would be more appropriate for another regulatory body to supervise the development or implementation of the policies, standards and procedures</w:t>
      </w:r>
      <w:r w:rsidR="00B759E2" w:rsidRPr="00DA5EB5">
        <w:rPr>
          <w:kern w:val="2"/>
          <w:sz w:val="20"/>
        </w:rPr>
        <w:t xml:space="preserve"> referred to in that paragraph.</w:t>
      </w:r>
      <w:r w:rsidR="00FD6DAC" w:rsidRPr="00DA5EB5">
        <w:rPr>
          <w:kern w:val="2"/>
          <w:sz w:val="20"/>
        </w:rPr>
        <w:t>”</w:t>
      </w:r>
    </w:p>
    <w:p w14:paraId="74BF7326" w14:textId="77777777" w:rsidR="00967330" w:rsidRPr="00DA5EB5" w:rsidRDefault="00967330">
      <w:pPr>
        <w:spacing w:after="0"/>
        <w:jc w:val="left"/>
        <w:rPr>
          <w:b/>
          <w:smallCaps/>
          <w:kern w:val="2"/>
          <w:sz w:val="30"/>
        </w:rPr>
      </w:pPr>
      <w:r w:rsidRPr="00DA5EB5">
        <w:rPr>
          <w:b/>
          <w:smallCaps/>
          <w:kern w:val="2"/>
          <w:sz w:val="30"/>
        </w:rPr>
        <w:br w:type="page"/>
      </w:r>
    </w:p>
    <w:p w14:paraId="5CB2E873" w14:textId="497A5298" w:rsidR="0061282C" w:rsidRPr="00DA5EB5" w:rsidRDefault="00E77A68" w:rsidP="002F2881">
      <w:pPr>
        <w:spacing w:before="600"/>
        <w:jc w:val="left"/>
        <w:rPr>
          <w:b/>
          <w:smallCaps/>
          <w:spacing w:val="4"/>
          <w:kern w:val="2"/>
          <w:sz w:val="30"/>
        </w:rPr>
      </w:pPr>
      <w:r w:rsidRPr="00DA5EB5">
        <w:rPr>
          <w:b/>
          <w:smallCaps/>
          <w:spacing w:val="4"/>
          <w:kern w:val="2"/>
          <w:sz w:val="30"/>
        </w:rPr>
        <w:t>Part B: Civil and Administrative Actions and Remedies</w:t>
      </w:r>
    </w:p>
    <w:p w14:paraId="32C7DDF3" w14:textId="4A26CE10" w:rsidR="00E77A68" w:rsidRPr="00DA5EB5" w:rsidRDefault="00E77A68" w:rsidP="00661F9C">
      <w:pPr>
        <w:pStyle w:val="Heading1"/>
        <w:rPr>
          <w:sz w:val="28"/>
        </w:rPr>
      </w:pPr>
      <w:bookmarkStart w:id="51" w:name="_Toc500340152"/>
      <w:bookmarkStart w:id="52" w:name="_Toc500340399"/>
      <w:bookmarkStart w:id="53" w:name="_Toc500340433"/>
      <w:r w:rsidRPr="00DA5EB5">
        <w:rPr>
          <w:sz w:val="28"/>
        </w:rPr>
        <w:t>Non-Conviction Based Forfeiture</w:t>
      </w:r>
      <w:bookmarkEnd w:id="51"/>
      <w:bookmarkEnd w:id="52"/>
      <w:bookmarkEnd w:id="53"/>
    </w:p>
    <w:p w14:paraId="150A3F8F" w14:textId="486B83C6" w:rsidR="0061282C" w:rsidRPr="00DA5EB5" w:rsidRDefault="0061282C" w:rsidP="007C3517">
      <w:pPr>
        <w:rPr>
          <w:color w:val="000000" w:themeColor="text1"/>
          <w:kern w:val="2"/>
          <w:sz w:val="20"/>
        </w:rPr>
      </w:pPr>
      <w:r w:rsidRPr="00DA5EB5">
        <w:rPr>
          <w:smallCaps/>
          <w:color w:val="000000" w:themeColor="text1"/>
          <w:kern w:val="2"/>
          <w:sz w:val="20"/>
        </w:rPr>
        <w:t>N</w:t>
      </w:r>
      <w:r w:rsidRPr="00DA5EB5">
        <w:rPr>
          <w:color w:val="000000" w:themeColor="text1"/>
          <w:kern w:val="2"/>
          <w:sz w:val="20"/>
        </w:rPr>
        <w:t xml:space="preserve">on-conviction based (NCB) forfeiture is introduced in </w:t>
      </w:r>
      <w:r w:rsidR="00D86C58" w:rsidRPr="00DA5EB5">
        <w:rPr>
          <w:color w:val="000000" w:themeColor="text1"/>
          <w:kern w:val="2"/>
          <w:sz w:val="20"/>
          <w:highlight w:val="cyan"/>
        </w:rPr>
        <w:t>Section</w:t>
      </w:r>
      <w:r w:rsidRPr="00DA5EB5">
        <w:rPr>
          <w:color w:val="000000" w:themeColor="text1"/>
          <w:kern w:val="2"/>
          <w:sz w:val="20"/>
          <w:highlight w:val="cyan"/>
        </w:rPr>
        <w:t xml:space="preserve"> 2.4.2 of Chapter</w:t>
      </w:r>
      <w:r w:rsidR="00EB4F3D" w:rsidRPr="00DA5EB5">
        <w:rPr>
          <w:color w:val="000000" w:themeColor="text1"/>
          <w:kern w:val="2"/>
          <w:sz w:val="20"/>
          <w:highlight w:val="cyan"/>
        </w:rPr>
        <w:t xml:space="preserve"> 5</w:t>
      </w:r>
      <w:r w:rsidRPr="00DA5EB5">
        <w:rPr>
          <w:color w:val="000000" w:themeColor="text1"/>
          <w:kern w:val="2"/>
          <w:sz w:val="20"/>
        </w:rPr>
        <w:t xml:space="preserve"> (Asset Recovery). The law and procedures for NCB forfeiture under UNCAC, the OECD Convention and US, UK and Canadian law are discussed in </w:t>
      </w:r>
      <w:r w:rsidR="00EB4F3D" w:rsidRPr="00DA5EB5">
        <w:rPr>
          <w:color w:val="000000" w:themeColor="text1"/>
          <w:kern w:val="2"/>
          <w:sz w:val="20"/>
          <w:highlight w:val="cyan"/>
        </w:rPr>
        <w:t>Chapter 5</w:t>
      </w:r>
      <w:r w:rsidR="00D86C58" w:rsidRPr="00DA5EB5">
        <w:rPr>
          <w:color w:val="000000" w:themeColor="text1"/>
          <w:kern w:val="2"/>
          <w:sz w:val="20"/>
          <w:highlight w:val="cyan"/>
        </w:rPr>
        <w:t xml:space="preserve"> in Section</w:t>
      </w:r>
      <w:r w:rsidRPr="00DA5EB5">
        <w:rPr>
          <w:color w:val="000000" w:themeColor="text1"/>
          <w:kern w:val="2"/>
          <w:sz w:val="20"/>
          <w:highlight w:val="cyan"/>
        </w:rPr>
        <w:t>s 3.1, 3.2, 4.1, 4.2 and 4.3</w:t>
      </w:r>
      <w:r w:rsidRPr="00DA5EB5">
        <w:rPr>
          <w:color w:val="000000" w:themeColor="text1"/>
          <w:kern w:val="2"/>
          <w:sz w:val="20"/>
        </w:rPr>
        <w:t xml:space="preserve"> respectively.</w:t>
      </w:r>
    </w:p>
    <w:p w14:paraId="14052FD5" w14:textId="4DBC2A8E" w:rsidR="00E77A68" w:rsidRPr="00DA5EB5" w:rsidRDefault="0061282C" w:rsidP="00661F9C">
      <w:pPr>
        <w:pStyle w:val="Heading1"/>
        <w:rPr>
          <w:sz w:val="28"/>
        </w:rPr>
      </w:pPr>
      <w:bookmarkStart w:id="54" w:name="_Toc500340153"/>
      <w:bookmarkStart w:id="55" w:name="_Toc500340400"/>
      <w:bookmarkStart w:id="56" w:name="_Toc500340434"/>
      <w:r w:rsidRPr="00DA5EB5">
        <w:rPr>
          <w:sz w:val="28"/>
        </w:rPr>
        <w:t>Civil Actions and Remedies</w:t>
      </w:r>
      <w:bookmarkEnd w:id="54"/>
      <w:bookmarkEnd w:id="55"/>
      <w:bookmarkEnd w:id="56"/>
    </w:p>
    <w:p w14:paraId="0E787FE7" w14:textId="3F887094" w:rsidR="001D1137" w:rsidRPr="00DA5EB5" w:rsidRDefault="0061282C" w:rsidP="007C3517">
      <w:pPr>
        <w:rPr>
          <w:color w:val="000000" w:themeColor="text1"/>
          <w:kern w:val="2"/>
          <w:sz w:val="20"/>
        </w:rPr>
      </w:pPr>
      <w:r w:rsidRPr="00DA5EB5">
        <w:rPr>
          <w:color w:val="000000" w:themeColor="text1"/>
          <w:kern w:val="2"/>
          <w:sz w:val="20"/>
        </w:rPr>
        <w:t xml:space="preserve">Civil actions provide a means of deterring corruption and compensating victims. Victims of corruption can bring personal claims against corrupt actors for damages, for example in tort or contract. Punitive damages may also be awarded. Victims may also make proprietary claims to assets acquired through corruption, forcing the corrupt actor to return assets to their true owner. Disgorgement of profits is another tool used to punish wrongdoers and is frequently employed by the US SEC. Civil actions and remedies are dealt with more thoroughly in </w:t>
      </w:r>
      <w:r w:rsidR="00D86C58" w:rsidRPr="00DA5EB5">
        <w:rPr>
          <w:color w:val="000000" w:themeColor="text1"/>
          <w:kern w:val="2"/>
          <w:sz w:val="20"/>
          <w:highlight w:val="cyan"/>
        </w:rPr>
        <w:t>Section</w:t>
      </w:r>
      <w:r w:rsidR="0020260C" w:rsidRPr="00DA5EB5">
        <w:rPr>
          <w:color w:val="000000" w:themeColor="text1"/>
          <w:kern w:val="2"/>
          <w:sz w:val="20"/>
          <w:highlight w:val="cyan"/>
        </w:rPr>
        <w:t>s</w:t>
      </w:r>
      <w:r w:rsidR="001B02F3" w:rsidRPr="00DA5EB5">
        <w:rPr>
          <w:color w:val="000000" w:themeColor="text1"/>
          <w:kern w:val="2"/>
          <w:sz w:val="20"/>
          <w:highlight w:val="cyan"/>
        </w:rPr>
        <w:t xml:space="preserve"> 2.4.5 to 2.4.7</w:t>
      </w:r>
      <w:r w:rsidR="005D602D" w:rsidRPr="00DA5EB5">
        <w:rPr>
          <w:color w:val="000000" w:themeColor="text1"/>
          <w:kern w:val="2"/>
          <w:sz w:val="20"/>
          <w:highlight w:val="cyan"/>
        </w:rPr>
        <w:t xml:space="preserve"> of Chapter 5</w:t>
      </w:r>
      <w:r w:rsidRPr="00DA5EB5">
        <w:rPr>
          <w:color w:val="000000" w:themeColor="text1"/>
          <w:kern w:val="2"/>
          <w:sz w:val="20"/>
        </w:rPr>
        <w:t xml:space="preserve"> (Asset Recovery). </w:t>
      </w:r>
    </w:p>
    <w:p w14:paraId="1E78F574" w14:textId="22DC7A00" w:rsidR="0061282C" w:rsidRPr="00DA5EB5" w:rsidRDefault="001D1137" w:rsidP="00661F9C">
      <w:pPr>
        <w:pStyle w:val="Heading1"/>
        <w:rPr>
          <w:sz w:val="28"/>
        </w:rPr>
      </w:pPr>
      <w:bookmarkStart w:id="57" w:name="_Toc500340154"/>
      <w:bookmarkStart w:id="58" w:name="_Toc500340401"/>
      <w:bookmarkStart w:id="59" w:name="_Toc500340435"/>
      <w:r w:rsidRPr="00DA5EB5">
        <w:rPr>
          <w:sz w:val="28"/>
        </w:rPr>
        <w:t>International Investment Arbitration</w:t>
      </w:r>
      <w:bookmarkEnd w:id="57"/>
      <w:bookmarkEnd w:id="58"/>
      <w:bookmarkEnd w:id="59"/>
    </w:p>
    <w:p w14:paraId="0B461E98" w14:textId="77777777" w:rsidR="001D1137" w:rsidRPr="00DA5EB5" w:rsidRDefault="001D1137" w:rsidP="007C3517">
      <w:pPr>
        <w:ind w:left="357"/>
        <w:jc w:val="center"/>
        <w:rPr>
          <w:rFonts w:eastAsia="Calibri"/>
          <w:i/>
          <w:color w:val="000000" w:themeColor="text1"/>
          <w:kern w:val="2"/>
          <w:sz w:val="20"/>
        </w:rPr>
      </w:pPr>
      <w:proofErr w:type="gramStart"/>
      <w:r w:rsidRPr="00DA5EB5">
        <w:rPr>
          <w:rFonts w:eastAsia="Calibri"/>
          <w:i/>
          <w:color w:val="000000" w:themeColor="text1"/>
          <w:kern w:val="2"/>
          <w:sz w:val="20"/>
        </w:rPr>
        <w:t>by</w:t>
      </w:r>
      <w:proofErr w:type="gramEnd"/>
      <w:r w:rsidRPr="00DA5EB5">
        <w:rPr>
          <w:rFonts w:eastAsia="Calibri"/>
          <w:i/>
          <w:color w:val="000000" w:themeColor="text1"/>
          <w:kern w:val="2"/>
          <w:sz w:val="20"/>
        </w:rPr>
        <w:t xml:space="preserve"> </w:t>
      </w:r>
      <w:proofErr w:type="spellStart"/>
      <w:r w:rsidRPr="00DA5EB5">
        <w:rPr>
          <w:rFonts w:eastAsia="Calibri"/>
          <w:i/>
          <w:color w:val="000000" w:themeColor="text1"/>
          <w:kern w:val="2"/>
          <w:sz w:val="20"/>
        </w:rPr>
        <w:t>Dmytro</w:t>
      </w:r>
      <w:proofErr w:type="spellEnd"/>
      <w:r w:rsidRPr="00DA5EB5">
        <w:rPr>
          <w:rFonts w:eastAsia="Calibri"/>
          <w:i/>
          <w:color w:val="000000" w:themeColor="text1"/>
          <w:kern w:val="2"/>
          <w:sz w:val="20"/>
        </w:rPr>
        <w:t xml:space="preserve"> </w:t>
      </w:r>
      <w:proofErr w:type="spellStart"/>
      <w:r w:rsidRPr="00DA5EB5">
        <w:rPr>
          <w:rFonts w:eastAsia="Calibri"/>
          <w:i/>
          <w:color w:val="000000" w:themeColor="text1"/>
          <w:kern w:val="2"/>
          <w:sz w:val="20"/>
        </w:rPr>
        <w:t>Galagan</w:t>
      </w:r>
      <w:proofErr w:type="spellEnd"/>
    </w:p>
    <w:p w14:paraId="1C106FE8" w14:textId="6E8F61CC" w:rsidR="001D1137" w:rsidRPr="00DA5EB5" w:rsidRDefault="00D86C58" w:rsidP="007C3517">
      <w:pPr>
        <w:ind w:left="357"/>
        <w:jc w:val="center"/>
        <w:rPr>
          <w:rFonts w:eastAsia="Calibri"/>
          <w:i/>
          <w:color w:val="000000" w:themeColor="text1"/>
          <w:kern w:val="2"/>
          <w:sz w:val="20"/>
        </w:rPr>
      </w:pPr>
      <w:r w:rsidRPr="00DA5EB5">
        <w:rPr>
          <w:rFonts w:eastAsia="Calibri"/>
          <w:i/>
          <w:color w:val="000000" w:themeColor="text1"/>
          <w:kern w:val="2"/>
          <w:sz w:val="20"/>
        </w:rPr>
        <w:t>[Section</w:t>
      </w:r>
      <w:r w:rsidR="001D1137" w:rsidRPr="00DA5EB5">
        <w:rPr>
          <w:rFonts w:eastAsia="Calibri"/>
          <w:i/>
          <w:color w:val="000000" w:themeColor="text1"/>
          <w:kern w:val="2"/>
          <w:sz w:val="20"/>
        </w:rPr>
        <w:t xml:space="preserve"> 13 </w:t>
      </w:r>
      <w:r w:rsidR="00217A62" w:rsidRPr="00DA5EB5">
        <w:rPr>
          <w:rFonts w:eastAsia="Calibri"/>
          <w:i/>
          <w:color w:val="000000" w:themeColor="text1"/>
          <w:kern w:val="2"/>
          <w:sz w:val="20"/>
        </w:rPr>
        <w:t>was</w:t>
      </w:r>
      <w:r w:rsidR="001D1137" w:rsidRPr="00DA5EB5">
        <w:rPr>
          <w:rFonts w:eastAsia="Calibri"/>
          <w:i/>
          <w:color w:val="000000" w:themeColor="text1"/>
          <w:kern w:val="2"/>
          <w:sz w:val="20"/>
        </w:rPr>
        <w:t xml:space="preserve"> specifically written for this book by </w:t>
      </w:r>
      <w:proofErr w:type="spellStart"/>
      <w:r w:rsidR="001D1137" w:rsidRPr="00DA5EB5">
        <w:rPr>
          <w:rFonts w:eastAsia="Calibri"/>
          <w:i/>
          <w:color w:val="000000" w:themeColor="text1"/>
          <w:kern w:val="2"/>
          <w:sz w:val="20"/>
        </w:rPr>
        <w:t>Dmytro</w:t>
      </w:r>
      <w:proofErr w:type="spellEnd"/>
      <w:r w:rsidR="001D1137" w:rsidRPr="00DA5EB5">
        <w:rPr>
          <w:rFonts w:eastAsia="Calibri"/>
          <w:i/>
          <w:color w:val="000000" w:themeColor="text1"/>
          <w:kern w:val="2"/>
          <w:sz w:val="20"/>
        </w:rPr>
        <w:t xml:space="preserve"> </w:t>
      </w:r>
      <w:proofErr w:type="spellStart"/>
      <w:r w:rsidR="001D1137" w:rsidRPr="00DA5EB5">
        <w:rPr>
          <w:rFonts w:eastAsia="Calibri"/>
          <w:i/>
          <w:color w:val="000000" w:themeColor="text1"/>
          <w:kern w:val="2"/>
          <w:sz w:val="20"/>
        </w:rPr>
        <w:t>Galagan</w:t>
      </w:r>
      <w:proofErr w:type="spellEnd"/>
      <w:r w:rsidR="001D1137" w:rsidRPr="00DA5EB5">
        <w:rPr>
          <w:rFonts w:eastAsia="Calibri"/>
          <w:i/>
          <w:color w:val="000000" w:themeColor="text1"/>
          <w:kern w:val="2"/>
          <w:sz w:val="20"/>
        </w:rPr>
        <w:t xml:space="preserve">, LL.M. candidate, </w:t>
      </w:r>
      <w:r w:rsidR="001D1137" w:rsidRPr="00DA5EB5">
        <w:rPr>
          <w:rFonts w:eastAsia="Calibri"/>
          <w:i/>
          <w:color w:val="000000" w:themeColor="text1"/>
          <w:kern w:val="2"/>
          <w:sz w:val="20"/>
        </w:rPr>
        <w:br/>
        <w:t>Law Faculty, University of Victoria]</w:t>
      </w:r>
    </w:p>
    <w:p w14:paraId="57A544F8" w14:textId="2D42E4FD" w:rsidR="001D1137" w:rsidRPr="00DA5EB5" w:rsidRDefault="001D1137" w:rsidP="007C3517">
      <w:pPr>
        <w:pStyle w:val="Heading2"/>
        <w:rPr>
          <w:kern w:val="2"/>
          <w:sz w:val="24"/>
        </w:rPr>
      </w:pPr>
      <w:r w:rsidRPr="00DA5EB5">
        <w:rPr>
          <w:kern w:val="2"/>
          <w:sz w:val="24"/>
        </w:rPr>
        <w:t xml:space="preserve">Introduction </w:t>
      </w:r>
    </w:p>
    <w:p w14:paraId="30EFAC54" w14:textId="1F2ADD52" w:rsidR="00FB051F" w:rsidRPr="00DA5EB5" w:rsidRDefault="00FB051F" w:rsidP="007C3517">
      <w:pPr>
        <w:rPr>
          <w:color w:val="000000" w:themeColor="text1"/>
          <w:kern w:val="2"/>
          <w:sz w:val="20"/>
        </w:rPr>
      </w:pPr>
      <w:r w:rsidRPr="00DA5EB5">
        <w:rPr>
          <w:color w:val="000000" w:themeColor="text1"/>
          <w:kern w:val="2"/>
          <w:sz w:val="20"/>
        </w:rPr>
        <w:t>Administrative, civil</w:t>
      </w:r>
      <w:r w:rsidR="00F90103" w:rsidRPr="00DA5EB5">
        <w:rPr>
          <w:color w:val="000000" w:themeColor="text1"/>
          <w:kern w:val="2"/>
          <w:sz w:val="20"/>
        </w:rPr>
        <w:t>,</w:t>
      </w:r>
      <w:r w:rsidRPr="00DA5EB5">
        <w:rPr>
          <w:color w:val="000000" w:themeColor="text1"/>
          <w:kern w:val="2"/>
          <w:sz w:val="20"/>
        </w:rPr>
        <w:t xml:space="preserve"> and criminal actions and remedies against corrupt public officials, entities</w:t>
      </w:r>
      <w:r w:rsidR="00B33159" w:rsidRPr="00DA5EB5">
        <w:rPr>
          <w:color w:val="000000" w:themeColor="text1"/>
          <w:kern w:val="2"/>
          <w:sz w:val="20"/>
        </w:rPr>
        <w:t>,</w:t>
      </w:r>
      <w:r w:rsidRPr="00DA5EB5">
        <w:rPr>
          <w:color w:val="000000" w:themeColor="text1"/>
          <w:kern w:val="2"/>
          <w:sz w:val="20"/>
        </w:rPr>
        <w:t xml:space="preserve"> and private individuals are instruments to directly combat corruption. In contrast, arbitration is a private and consensual dispute resolution mechanism where the disputants agree to submit their disputes to an independent decision mak</w:t>
      </w:r>
      <w:r w:rsidR="00AB3634" w:rsidRPr="00DA5EB5">
        <w:rPr>
          <w:color w:val="000000" w:themeColor="text1"/>
          <w:kern w:val="2"/>
          <w:sz w:val="20"/>
        </w:rPr>
        <w:t>er whose judgment (an arbitral award</w:t>
      </w:r>
      <w:r w:rsidRPr="00DA5EB5">
        <w:rPr>
          <w:color w:val="000000" w:themeColor="text1"/>
          <w:kern w:val="2"/>
          <w:sz w:val="20"/>
        </w:rPr>
        <w:t>) will be final and binding on the parties.</w:t>
      </w:r>
      <w:r w:rsidRPr="00DA5EB5">
        <w:rPr>
          <w:rStyle w:val="FootnoteReference"/>
          <w:color w:val="000000" w:themeColor="text1"/>
          <w:kern w:val="2"/>
          <w:sz w:val="18"/>
        </w:rPr>
        <w:footnoteReference w:id="242"/>
      </w:r>
      <w:r w:rsidRPr="00DA5EB5">
        <w:rPr>
          <w:color w:val="000000" w:themeColor="text1"/>
          <w:kern w:val="2"/>
          <w:sz w:val="20"/>
        </w:rPr>
        <w:t xml:space="preserve"> This system of dispute settlement has a long history, which may be traced back to medieval merchant guilds and even ancient Greek mythology,</w:t>
      </w:r>
      <w:r w:rsidR="00827307" w:rsidRPr="00DA5EB5">
        <w:rPr>
          <w:color w:val="000000" w:themeColor="text1"/>
          <w:kern w:val="2"/>
          <w:sz w:val="20"/>
        </w:rPr>
        <w:t xml:space="preserve"> and, at least at </w:t>
      </w:r>
      <w:r w:rsidRPr="00DA5EB5">
        <w:rPr>
          <w:color w:val="000000" w:themeColor="text1"/>
          <w:kern w:val="2"/>
          <w:sz w:val="20"/>
        </w:rPr>
        <w:t>first sight, does not have much in common with the global fight against corruption.</w:t>
      </w:r>
      <w:r w:rsidR="000D4120" w:rsidRPr="00DA5EB5">
        <w:rPr>
          <w:rStyle w:val="FootnoteReference"/>
          <w:color w:val="000000" w:themeColor="text1"/>
          <w:kern w:val="2"/>
          <w:sz w:val="18"/>
        </w:rPr>
        <w:footnoteReference w:id="243"/>
      </w:r>
    </w:p>
    <w:p w14:paraId="75B2E4DC" w14:textId="09D87BBC" w:rsidR="00FB051F" w:rsidRPr="00DA5EB5" w:rsidRDefault="00FB051F" w:rsidP="007C3517">
      <w:pPr>
        <w:rPr>
          <w:color w:val="000000" w:themeColor="text1"/>
          <w:kern w:val="2"/>
          <w:sz w:val="20"/>
        </w:rPr>
      </w:pPr>
      <w:r w:rsidRPr="00DA5EB5">
        <w:rPr>
          <w:color w:val="000000" w:themeColor="text1"/>
          <w:kern w:val="2"/>
          <w:sz w:val="20"/>
        </w:rPr>
        <w:t xml:space="preserve">However, increasing involvement of </w:t>
      </w:r>
      <w:r w:rsidR="00B33159" w:rsidRPr="00DA5EB5">
        <w:rPr>
          <w:color w:val="000000" w:themeColor="text1"/>
          <w:kern w:val="2"/>
          <w:sz w:val="20"/>
        </w:rPr>
        <w:t xml:space="preserve">States </w:t>
      </w:r>
      <w:r w:rsidRPr="00DA5EB5">
        <w:rPr>
          <w:color w:val="000000" w:themeColor="text1"/>
          <w:kern w:val="2"/>
          <w:sz w:val="20"/>
        </w:rPr>
        <w:t xml:space="preserve">and </w:t>
      </w:r>
      <w:r w:rsidR="00B33159" w:rsidRPr="00DA5EB5">
        <w:rPr>
          <w:color w:val="000000" w:themeColor="text1"/>
          <w:kern w:val="2"/>
          <w:sz w:val="20"/>
        </w:rPr>
        <w:t>S</w:t>
      </w:r>
      <w:r w:rsidRPr="00DA5EB5">
        <w:rPr>
          <w:color w:val="000000" w:themeColor="text1"/>
          <w:kern w:val="2"/>
          <w:sz w:val="20"/>
        </w:rPr>
        <w:t>tate-owned enterprises in the globalized economy, as well as rising sophistication of regulatory and reporting schemes in various countries, inevitably lead</w:t>
      </w:r>
      <w:r w:rsidR="0020260C" w:rsidRPr="00DA5EB5">
        <w:rPr>
          <w:color w:val="000000" w:themeColor="text1"/>
          <w:kern w:val="2"/>
          <w:sz w:val="20"/>
        </w:rPr>
        <w:t>s</w:t>
      </w:r>
      <w:r w:rsidRPr="00DA5EB5">
        <w:rPr>
          <w:color w:val="000000" w:themeColor="text1"/>
          <w:kern w:val="2"/>
          <w:sz w:val="20"/>
        </w:rPr>
        <w:t xml:space="preserve"> to complex disputes arising out of international trade and investment transactions. For instance, the International Chamber of Commerce reported that in 13.1% of arbitration cases initiated in 2015</w:t>
      </w:r>
      <w:r w:rsidR="0020260C" w:rsidRPr="00DA5EB5">
        <w:rPr>
          <w:color w:val="000000" w:themeColor="text1"/>
          <w:kern w:val="2"/>
          <w:sz w:val="20"/>
        </w:rPr>
        <w:t>,</w:t>
      </w:r>
      <w:r w:rsidRPr="00DA5EB5">
        <w:rPr>
          <w:color w:val="000000" w:themeColor="text1"/>
          <w:kern w:val="2"/>
          <w:sz w:val="20"/>
        </w:rPr>
        <w:t xml:space="preserve"> at least one of </w:t>
      </w:r>
      <w:r w:rsidR="0020260C" w:rsidRPr="00DA5EB5">
        <w:rPr>
          <w:color w:val="000000" w:themeColor="text1"/>
          <w:kern w:val="2"/>
          <w:sz w:val="20"/>
        </w:rPr>
        <w:t xml:space="preserve">the </w:t>
      </w:r>
      <w:r w:rsidRPr="00DA5EB5">
        <w:rPr>
          <w:color w:val="000000" w:themeColor="text1"/>
          <w:kern w:val="2"/>
          <w:sz w:val="20"/>
        </w:rPr>
        <w:t xml:space="preserve">parties was a </w:t>
      </w:r>
      <w:r w:rsidR="003B5C4F" w:rsidRPr="00DA5EB5">
        <w:rPr>
          <w:color w:val="000000" w:themeColor="text1"/>
          <w:kern w:val="2"/>
          <w:sz w:val="20"/>
        </w:rPr>
        <w:t>S</w:t>
      </w:r>
      <w:r w:rsidRPr="00DA5EB5">
        <w:rPr>
          <w:color w:val="000000" w:themeColor="text1"/>
          <w:kern w:val="2"/>
          <w:sz w:val="20"/>
        </w:rPr>
        <w:t>tate or parastatal entity.</w:t>
      </w:r>
      <w:r w:rsidRPr="00DA5EB5">
        <w:rPr>
          <w:rStyle w:val="FootnoteReference"/>
          <w:color w:val="000000" w:themeColor="text1"/>
          <w:kern w:val="2"/>
          <w:sz w:val="18"/>
        </w:rPr>
        <w:footnoteReference w:id="244"/>
      </w:r>
      <w:r w:rsidRPr="00DA5EB5">
        <w:rPr>
          <w:color w:val="000000" w:themeColor="text1"/>
          <w:kern w:val="2"/>
          <w:sz w:val="20"/>
        </w:rPr>
        <w:t xml:space="preserve"> The following sections will demonstrate that in international arbitration</w:t>
      </w:r>
      <w:r w:rsidR="0020260C" w:rsidRPr="00DA5EB5">
        <w:rPr>
          <w:color w:val="000000" w:themeColor="text1"/>
          <w:kern w:val="2"/>
          <w:sz w:val="20"/>
        </w:rPr>
        <w:t>,</w:t>
      </w:r>
      <w:r w:rsidRPr="00DA5EB5">
        <w:rPr>
          <w:color w:val="000000" w:themeColor="text1"/>
          <w:kern w:val="2"/>
          <w:sz w:val="20"/>
        </w:rPr>
        <w:t xml:space="preserve"> private investors and sovereign states may make allegations of corruption a</w:t>
      </w:r>
      <w:r w:rsidR="00787D1A" w:rsidRPr="00DA5EB5">
        <w:rPr>
          <w:color w:val="000000" w:themeColor="text1"/>
          <w:kern w:val="2"/>
          <w:sz w:val="20"/>
        </w:rPr>
        <w:t xml:space="preserve">nd use them either as a </w:t>
      </w:r>
      <w:r w:rsidR="00FD6DAC" w:rsidRPr="00DA5EB5">
        <w:rPr>
          <w:color w:val="000000" w:themeColor="text1"/>
          <w:kern w:val="2"/>
          <w:sz w:val="20"/>
        </w:rPr>
        <w:t>“</w:t>
      </w:r>
      <w:r w:rsidR="00787D1A" w:rsidRPr="00DA5EB5">
        <w:rPr>
          <w:color w:val="000000" w:themeColor="text1"/>
          <w:kern w:val="2"/>
          <w:sz w:val="20"/>
        </w:rPr>
        <w:t>sword</w:t>
      </w:r>
      <w:r w:rsidR="00FD6DAC" w:rsidRPr="00DA5EB5">
        <w:rPr>
          <w:color w:val="000000" w:themeColor="text1"/>
          <w:kern w:val="2"/>
          <w:sz w:val="20"/>
        </w:rPr>
        <w:t>”</w:t>
      </w:r>
      <w:r w:rsidRPr="00DA5EB5">
        <w:rPr>
          <w:color w:val="000000" w:themeColor="text1"/>
          <w:kern w:val="2"/>
          <w:sz w:val="20"/>
        </w:rPr>
        <w:t xml:space="preserve"> to seek compensation for the losses caused by corrupt public officials, or as a </w:t>
      </w:r>
      <w:r w:rsidR="00FD6DAC" w:rsidRPr="00DA5EB5">
        <w:rPr>
          <w:color w:val="000000" w:themeColor="text1"/>
          <w:kern w:val="2"/>
          <w:sz w:val="20"/>
        </w:rPr>
        <w:t>“</w:t>
      </w:r>
      <w:r w:rsidRPr="00DA5EB5">
        <w:rPr>
          <w:color w:val="000000" w:themeColor="text1"/>
          <w:kern w:val="2"/>
          <w:sz w:val="20"/>
        </w:rPr>
        <w:t>shield</w:t>
      </w:r>
      <w:r w:rsidR="00FD6DAC" w:rsidRPr="00DA5EB5">
        <w:rPr>
          <w:color w:val="000000" w:themeColor="text1"/>
          <w:kern w:val="2"/>
          <w:sz w:val="20"/>
        </w:rPr>
        <w:t>”</w:t>
      </w:r>
      <w:r w:rsidRPr="00DA5EB5">
        <w:rPr>
          <w:color w:val="000000" w:themeColor="text1"/>
          <w:kern w:val="2"/>
          <w:sz w:val="20"/>
        </w:rPr>
        <w:t xml:space="preserve"> to escape liability in cases arising out of contracts or investments tainted by corruption.</w:t>
      </w:r>
      <w:r w:rsidRPr="00DA5EB5">
        <w:rPr>
          <w:rStyle w:val="FootnoteReference"/>
          <w:color w:val="000000" w:themeColor="text1"/>
          <w:kern w:val="2"/>
          <w:sz w:val="18"/>
        </w:rPr>
        <w:footnoteReference w:id="245"/>
      </w:r>
      <w:r w:rsidRPr="00DA5EB5">
        <w:rPr>
          <w:color w:val="000000" w:themeColor="text1"/>
          <w:kern w:val="2"/>
          <w:sz w:val="20"/>
        </w:rPr>
        <w:t xml:space="preserve"> Therefore, the manner in which allegations of corruption are and should be dealt with in the international arbitration process, and the remedies arising therefrom, are important components in the fight against global corruption.</w:t>
      </w:r>
    </w:p>
    <w:p w14:paraId="3EB2D069" w14:textId="1C0531B6" w:rsidR="000E5244" w:rsidRPr="00DA5EB5" w:rsidRDefault="00FB051F" w:rsidP="007C3517">
      <w:pPr>
        <w:rPr>
          <w:color w:val="000000" w:themeColor="text1"/>
          <w:kern w:val="2"/>
          <w:sz w:val="20"/>
        </w:rPr>
      </w:pPr>
      <w:r w:rsidRPr="00DA5EB5">
        <w:rPr>
          <w:color w:val="000000" w:themeColor="text1"/>
          <w:kern w:val="2"/>
          <w:sz w:val="20"/>
        </w:rPr>
        <w:t>This section starts with a brief overview of the system of international arbitration to provide students and practitioners of anti-corruption law with a necessary background in this method of dispute resolution. It then outlines the reasons why parties may agree to arbitrate their disputes, including neutrality and flexibility of the procedure, enforceability of arbitration agreements</w:t>
      </w:r>
      <w:r w:rsidR="00920076" w:rsidRPr="00DA5EB5">
        <w:rPr>
          <w:color w:val="000000" w:themeColor="text1"/>
          <w:kern w:val="2"/>
          <w:sz w:val="20"/>
        </w:rPr>
        <w:t>,</w:t>
      </w:r>
      <w:r w:rsidRPr="00DA5EB5">
        <w:rPr>
          <w:color w:val="000000" w:themeColor="text1"/>
          <w:kern w:val="2"/>
          <w:sz w:val="20"/>
        </w:rPr>
        <w:t xml:space="preserve"> and </w:t>
      </w:r>
      <w:r w:rsidR="0020260C" w:rsidRPr="00DA5EB5">
        <w:rPr>
          <w:color w:val="000000" w:themeColor="text1"/>
          <w:kern w:val="2"/>
          <w:sz w:val="20"/>
        </w:rPr>
        <w:t xml:space="preserve">the </w:t>
      </w:r>
      <w:r w:rsidRPr="00DA5EB5">
        <w:rPr>
          <w:color w:val="000000" w:themeColor="text1"/>
          <w:kern w:val="2"/>
          <w:sz w:val="20"/>
        </w:rPr>
        <w:t xml:space="preserve">final and binding character of arbitral awards. This section also discusses cases where allegations of corruption were made by foreign investors and </w:t>
      </w:r>
      <w:r w:rsidR="00A9195B" w:rsidRPr="00DA5EB5">
        <w:rPr>
          <w:color w:val="000000" w:themeColor="text1"/>
          <w:kern w:val="2"/>
          <w:sz w:val="20"/>
        </w:rPr>
        <w:t>S</w:t>
      </w:r>
      <w:r w:rsidRPr="00DA5EB5">
        <w:rPr>
          <w:color w:val="000000" w:themeColor="text1"/>
          <w:kern w:val="2"/>
          <w:sz w:val="20"/>
        </w:rPr>
        <w:t>tates, and concludes by formulating several principles on the treatment of corruption and bribery in international investment arbitration practice.</w:t>
      </w:r>
    </w:p>
    <w:p w14:paraId="0C098C59" w14:textId="7A578F81" w:rsidR="007672A6" w:rsidRPr="00DA5EB5" w:rsidRDefault="007672A6" w:rsidP="007C3517">
      <w:pPr>
        <w:pStyle w:val="Heading2"/>
        <w:rPr>
          <w:kern w:val="2"/>
          <w:sz w:val="24"/>
        </w:rPr>
      </w:pPr>
      <w:r w:rsidRPr="00DA5EB5">
        <w:rPr>
          <w:kern w:val="2"/>
          <w:sz w:val="24"/>
        </w:rPr>
        <w:t>International Arbitration Explained</w:t>
      </w:r>
    </w:p>
    <w:p w14:paraId="651CD525" w14:textId="5A6E40EF" w:rsidR="0067066E" w:rsidRPr="00DA5EB5" w:rsidRDefault="0067066E" w:rsidP="007C3517">
      <w:pPr>
        <w:rPr>
          <w:color w:val="000000" w:themeColor="text1"/>
          <w:kern w:val="2"/>
          <w:sz w:val="20"/>
        </w:rPr>
      </w:pPr>
      <w:r w:rsidRPr="00DA5EB5">
        <w:rPr>
          <w:color w:val="000000" w:themeColor="text1"/>
          <w:kern w:val="2"/>
          <w:sz w:val="20"/>
        </w:rPr>
        <w:t xml:space="preserve">Arbitration, as stated above, is a dispute settlement mechanism where two or more parties (corporations, individuals or </w:t>
      </w:r>
      <w:r w:rsidR="00610CE6" w:rsidRPr="00DA5EB5">
        <w:rPr>
          <w:color w:val="000000" w:themeColor="text1"/>
          <w:kern w:val="2"/>
          <w:sz w:val="20"/>
        </w:rPr>
        <w:t>S</w:t>
      </w:r>
      <w:r w:rsidRPr="00DA5EB5">
        <w:rPr>
          <w:color w:val="000000" w:themeColor="text1"/>
          <w:kern w:val="2"/>
          <w:sz w:val="20"/>
        </w:rPr>
        <w:t xml:space="preserve">tates) agree to refer their existing or future disputes to an individual, who is called a </w:t>
      </w:r>
      <w:r w:rsidR="00FD6DAC" w:rsidRPr="00DA5EB5">
        <w:rPr>
          <w:color w:val="000000" w:themeColor="text1"/>
          <w:kern w:val="2"/>
          <w:sz w:val="20"/>
        </w:rPr>
        <w:t>“</w:t>
      </w:r>
      <w:r w:rsidRPr="00DA5EB5">
        <w:rPr>
          <w:color w:val="000000" w:themeColor="text1"/>
          <w:kern w:val="2"/>
          <w:sz w:val="20"/>
        </w:rPr>
        <w:t>single arbitrator</w:t>
      </w:r>
      <w:r w:rsidR="00A9195B" w:rsidRPr="00DA5EB5">
        <w:rPr>
          <w:color w:val="000000" w:themeColor="text1"/>
          <w:kern w:val="2"/>
          <w:sz w:val="20"/>
        </w:rPr>
        <w:t>,</w:t>
      </w:r>
      <w:r w:rsidR="00FD6DAC" w:rsidRPr="00DA5EB5">
        <w:rPr>
          <w:color w:val="000000" w:themeColor="text1"/>
          <w:kern w:val="2"/>
          <w:sz w:val="20"/>
        </w:rPr>
        <w:t>”</w:t>
      </w:r>
      <w:r w:rsidRPr="00DA5EB5">
        <w:rPr>
          <w:color w:val="000000" w:themeColor="text1"/>
          <w:kern w:val="2"/>
          <w:sz w:val="20"/>
        </w:rPr>
        <w:t xml:space="preserve"> or a group of persons collectively referred to as an </w:t>
      </w:r>
      <w:r w:rsidR="00FD6DAC" w:rsidRPr="00DA5EB5">
        <w:rPr>
          <w:color w:val="000000" w:themeColor="text1"/>
          <w:kern w:val="2"/>
          <w:sz w:val="20"/>
        </w:rPr>
        <w:t>“</w:t>
      </w:r>
      <w:r w:rsidRPr="00DA5EB5">
        <w:rPr>
          <w:color w:val="000000" w:themeColor="text1"/>
          <w:kern w:val="2"/>
          <w:sz w:val="20"/>
        </w:rPr>
        <w:t>arbitral tribunal</w:t>
      </w:r>
      <w:r w:rsidR="00B87780" w:rsidRPr="00DA5EB5">
        <w:rPr>
          <w:color w:val="000000" w:themeColor="text1"/>
          <w:kern w:val="2"/>
          <w:sz w:val="20"/>
        </w:rPr>
        <w:t>.</w:t>
      </w:r>
      <w:r w:rsidR="00FD6DAC" w:rsidRPr="00DA5EB5">
        <w:rPr>
          <w:color w:val="000000" w:themeColor="text1"/>
          <w:kern w:val="2"/>
          <w:sz w:val="20"/>
        </w:rPr>
        <w:t>”</w:t>
      </w:r>
      <w:r w:rsidRPr="00DA5EB5">
        <w:rPr>
          <w:color w:val="000000" w:themeColor="text1"/>
          <w:kern w:val="2"/>
          <w:sz w:val="20"/>
        </w:rPr>
        <w:t xml:space="preserve"> This subsection explains the differences between institutional and </w:t>
      </w:r>
      <w:r w:rsidRPr="00DA5EB5">
        <w:rPr>
          <w:i/>
          <w:color w:val="000000" w:themeColor="text1"/>
          <w:kern w:val="2"/>
          <w:sz w:val="20"/>
        </w:rPr>
        <w:t xml:space="preserve">ad hoc </w:t>
      </w:r>
      <w:r w:rsidRPr="00DA5EB5">
        <w:rPr>
          <w:color w:val="000000" w:themeColor="text1"/>
          <w:kern w:val="2"/>
          <w:sz w:val="20"/>
        </w:rPr>
        <w:t>arbitration, as well as between commercial and investment arbitration.</w:t>
      </w:r>
    </w:p>
    <w:p w14:paraId="6635DAFA" w14:textId="0C2940A7" w:rsidR="007672A6" w:rsidRPr="00DA5EB5" w:rsidRDefault="007672A6" w:rsidP="007C3517">
      <w:pPr>
        <w:pStyle w:val="Heading3"/>
        <w:rPr>
          <w:kern w:val="2"/>
          <w:sz w:val="22"/>
        </w:rPr>
      </w:pPr>
      <w:r w:rsidRPr="00DA5EB5">
        <w:rPr>
          <w:kern w:val="2"/>
          <w:sz w:val="22"/>
        </w:rPr>
        <w:t xml:space="preserve">Institutional and </w:t>
      </w:r>
      <w:r w:rsidRPr="00DA5EB5">
        <w:rPr>
          <w:i/>
          <w:kern w:val="2"/>
          <w:sz w:val="22"/>
        </w:rPr>
        <w:t xml:space="preserve">ad hoc </w:t>
      </w:r>
      <w:r w:rsidRPr="00DA5EB5">
        <w:rPr>
          <w:kern w:val="2"/>
          <w:sz w:val="22"/>
        </w:rPr>
        <w:t>Arbitration</w:t>
      </w:r>
    </w:p>
    <w:p w14:paraId="45726430" w14:textId="2986A5D1" w:rsidR="0067066E" w:rsidRPr="00DA5EB5" w:rsidRDefault="0067066E" w:rsidP="007C3517">
      <w:pPr>
        <w:rPr>
          <w:color w:val="000000" w:themeColor="text1"/>
          <w:kern w:val="2"/>
          <w:sz w:val="20"/>
        </w:rPr>
      </w:pPr>
      <w:r w:rsidRPr="00DA5EB5">
        <w:rPr>
          <w:color w:val="000000" w:themeColor="text1"/>
          <w:kern w:val="2"/>
          <w:sz w:val="20"/>
        </w:rPr>
        <w:t xml:space="preserve">International arbitration exists in different forms and shapes. To begin with, arbitration can be either </w:t>
      </w:r>
      <w:r w:rsidR="00FD6DAC" w:rsidRPr="00DA5EB5">
        <w:rPr>
          <w:color w:val="000000" w:themeColor="text1"/>
          <w:kern w:val="2"/>
          <w:sz w:val="20"/>
        </w:rPr>
        <w:t>“</w:t>
      </w:r>
      <w:r w:rsidRPr="00DA5EB5">
        <w:rPr>
          <w:color w:val="000000" w:themeColor="text1"/>
          <w:kern w:val="2"/>
          <w:sz w:val="20"/>
        </w:rPr>
        <w:t>institutional</w:t>
      </w:r>
      <w:r w:rsidR="00FD6DAC" w:rsidRPr="00DA5EB5">
        <w:rPr>
          <w:color w:val="000000" w:themeColor="text1"/>
          <w:kern w:val="2"/>
          <w:sz w:val="20"/>
        </w:rPr>
        <w:t>”</w:t>
      </w:r>
      <w:r w:rsidRPr="00DA5EB5">
        <w:rPr>
          <w:color w:val="000000" w:themeColor="text1"/>
          <w:kern w:val="2"/>
          <w:sz w:val="20"/>
        </w:rPr>
        <w:t xml:space="preserve"> or </w:t>
      </w:r>
      <w:r w:rsidR="00FD6DAC" w:rsidRPr="00DA5EB5">
        <w:rPr>
          <w:color w:val="000000" w:themeColor="text1"/>
          <w:kern w:val="2"/>
          <w:sz w:val="20"/>
        </w:rPr>
        <w:t>“</w:t>
      </w:r>
      <w:r w:rsidRPr="00DA5EB5">
        <w:rPr>
          <w:i/>
          <w:color w:val="000000" w:themeColor="text1"/>
          <w:kern w:val="2"/>
          <w:sz w:val="20"/>
        </w:rPr>
        <w:t>ad hoc</w:t>
      </w:r>
      <w:r w:rsidR="00B87780" w:rsidRPr="00DA5EB5">
        <w:rPr>
          <w:color w:val="000000" w:themeColor="text1"/>
          <w:kern w:val="2"/>
          <w:sz w:val="20"/>
        </w:rPr>
        <w:t>.</w:t>
      </w:r>
      <w:r w:rsidR="00FD6DAC" w:rsidRPr="00DA5EB5">
        <w:rPr>
          <w:color w:val="000000" w:themeColor="text1"/>
          <w:kern w:val="2"/>
          <w:sz w:val="20"/>
        </w:rPr>
        <w:t>”</w:t>
      </w:r>
      <w:r w:rsidRPr="00DA5EB5">
        <w:rPr>
          <w:rStyle w:val="FootnoteReference"/>
          <w:color w:val="000000" w:themeColor="text1"/>
          <w:kern w:val="2"/>
          <w:sz w:val="18"/>
        </w:rPr>
        <w:footnoteReference w:id="246"/>
      </w:r>
      <w:r w:rsidRPr="00DA5EB5">
        <w:rPr>
          <w:color w:val="000000" w:themeColor="text1"/>
          <w:kern w:val="2"/>
          <w:sz w:val="20"/>
        </w:rPr>
        <w:t xml:space="preserve"> Institutional arbitrations are overseen by international organizations that may appoint members of arbitral tribunals, resolve challenges to arbitrators, designate the place of arbitration, fix the sum of the arbitrators’ fees or review drafts of arbitral awards to ensure their compliance with formal requirements. Arbitral institutions do not issue judgments on the merits of the parties’ dispute</w:t>
      </w:r>
      <w:r w:rsidR="00B87780" w:rsidRPr="00DA5EB5">
        <w:rPr>
          <w:kern w:val="2"/>
          <w:sz w:val="20"/>
        </w:rPr>
        <w:t>—</w:t>
      </w:r>
      <w:r w:rsidRPr="00DA5EB5">
        <w:rPr>
          <w:color w:val="000000" w:themeColor="text1"/>
          <w:kern w:val="2"/>
          <w:sz w:val="20"/>
        </w:rPr>
        <w:t>that is the responsibility of the individuals selected by the parties or appointed by the institution</w:t>
      </w:r>
      <w:r w:rsidR="00546E39" w:rsidRPr="00DA5EB5">
        <w:rPr>
          <w:kern w:val="2"/>
          <w:sz w:val="20"/>
        </w:rPr>
        <w:t>—</w:t>
      </w:r>
      <w:r w:rsidRPr="00DA5EB5">
        <w:rPr>
          <w:color w:val="000000" w:themeColor="text1"/>
          <w:kern w:val="2"/>
          <w:sz w:val="20"/>
        </w:rPr>
        <w:t>but ensure, within the limits of their authority, the smooth, speedy and cost-efficient conduct of the proceedings. Among the best-known arbitral institutions are the International Court of Arbitration of the International Chamber of Commerce (ICC), the International Centre for Dispute Resolution (ICDR)</w:t>
      </w:r>
      <w:r w:rsidR="008A134D" w:rsidRPr="00DA5EB5">
        <w:rPr>
          <w:color w:val="000000" w:themeColor="text1"/>
          <w:kern w:val="2"/>
          <w:sz w:val="20"/>
        </w:rPr>
        <w:t>,</w:t>
      </w:r>
      <w:r w:rsidRPr="00DA5EB5">
        <w:rPr>
          <w:color w:val="000000" w:themeColor="text1"/>
          <w:kern w:val="2"/>
          <w:sz w:val="20"/>
        </w:rPr>
        <w:t xml:space="preserve"> </w:t>
      </w:r>
      <w:r w:rsidR="008A134D" w:rsidRPr="00DA5EB5">
        <w:rPr>
          <w:color w:val="000000" w:themeColor="text1"/>
          <w:kern w:val="2"/>
          <w:sz w:val="20"/>
        </w:rPr>
        <w:t xml:space="preserve">which was </w:t>
      </w:r>
      <w:r w:rsidRPr="00DA5EB5">
        <w:rPr>
          <w:color w:val="000000" w:themeColor="text1"/>
          <w:kern w:val="2"/>
          <w:sz w:val="20"/>
        </w:rPr>
        <w:t>established by the American Arbitration Association (AAA), JAMS International, the Kuala Lumpur Regional Centre for Arbitration (KLRCA), the London Court of International Arbitration (LCIA), the Permanent Court of Arbitration (PCA), the Arbitration Institute of the Stockholm Chamber of Commerce (SCC), the Singapore International Arbitration Center (SIAC), the Hong Kong International Arbitration Centre (HKIAC)</w:t>
      </w:r>
      <w:r w:rsidR="00447C09" w:rsidRPr="00DA5EB5">
        <w:rPr>
          <w:color w:val="000000" w:themeColor="text1"/>
          <w:kern w:val="2"/>
          <w:sz w:val="20"/>
        </w:rPr>
        <w:t>,</w:t>
      </w:r>
      <w:r w:rsidRPr="00DA5EB5">
        <w:rPr>
          <w:color w:val="000000" w:themeColor="text1"/>
          <w:kern w:val="2"/>
          <w:sz w:val="20"/>
        </w:rPr>
        <w:t xml:space="preserve"> and the Vienna International Arbitration Centre (VIAC). Where the parties agree to arbitrate their dispute at a particular arbitral institution, a set of procedural rules promulgated by such an institution applies to the proceedings.</w:t>
      </w:r>
    </w:p>
    <w:p w14:paraId="4A3684A0" w14:textId="0B8B6547" w:rsidR="0067066E" w:rsidRPr="00DA5EB5" w:rsidRDefault="0067066E" w:rsidP="007C3517">
      <w:pPr>
        <w:rPr>
          <w:color w:val="000000" w:themeColor="text1"/>
          <w:kern w:val="2"/>
          <w:sz w:val="20"/>
        </w:rPr>
      </w:pPr>
      <w:r w:rsidRPr="00DA5EB5">
        <w:rPr>
          <w:color w:val="000000" w:themeColor="text1"/>
          <w:kern w:val="2"/>
          <w:sz w:val="20"/>
        </w:rPr>
        <w:t xml:space="preserve">In contrast, </w:t>
      </w:r>
      <w:r w:rsidRPr="00DA5EB5">
        <w:rPr>
          <w:i/>
          <w:color w:val="000000" w:themeColor="text1"/>
          <w:kern w:val="2"/>
          <w:sz w:val="20"/>
        </w:rPr>
        <w:t>ad hoc</w:t>
      </w:r>
      <w:r w:rsidRPr="00DA5EB5">
        <w:rPr>
          <w:color w:val="000000" w:themeColor="text1"/>
          <w:kern w:val="2"/>
          <w:sz w:val="20"/>
        </w:rPr>
        <w:t xml:space="preserve"> arbitrations are not conducted under the auspices of a particular institution. Instead, the parties merely agree to arbitrate their disputes, rather than to litigate them in state courts, and may choose an appointing authority that will select the arbitrators if the parties cannot reach an agreement on this issue. The United Nations Commission on International Trade Law (UNCITRAL) has prepared a set of procedural rules that the parties may use to organize their arbitration proceedings.</w:t>
      </w:r>
      <w:r w:rsidR="000D4120" w:rsidRPr="00DA5EB5">
        <w:rPr>
          <w:rStyle w:val="FootnoteReference"/>
          <w:color w:val="000000" w:themeColor="text1"/>
          <w:kern w:val="2"/>
          <w:sz w:val="18"/>
        </w:rPr>
        <w:footnoteReference w:id="247"/>
      </w:r>
    </w:p>
    <w:p w14:paraId="5038B06F" w14:textId="29D5632C" w:rsidR="007672A6" w:rsidRPr="00DA5EB5" w:rsidRDefault="007672A6" w:rsidP="007C3517">
      <w:pPr>
        <w:pStyle w:val="Heading3"/>
        <w:rPr>
          <w:kern w:val="2"/>
          <w:sz w:val="22"/>
        </w:rPr>
      </w:pPr>
      <w:r w:rsidRPr="00DA5EB5">
        <w:rPr>
          <w:kern w:val="2"/>
          <w:sz w:val="22"/>
        </w:rPr>
        <w:t>Commercial and Investment Arbitration</w:t>
      </w:r>
    </w:p>
    <w:p w14:paraId="122FEB59" w14:textId="2DFD6058" w:rsidR="0067066E" w:rsidRPr="00DA5EB5" w:rsidRDefault="0067066E" w:rsidP="007C3517">
      <w:pPr>
        <w:rPr>
          <w:color w:val="000000" w:themeColor="text1"/>
          <w:kern w:val="2"/>
          <w:sz w:val="20"/>
        </w:rPr>
      </w:pPr>
      <w:r w:rsidRPr="00DA5EB5">
        <w:rPr>
          <w:color w:val="000000" w:themeColor="text1"/>
          <w:kern w:val="2"/>
          <w:sz w:val="20"/>
        </w:rPr>
        <w:t xml:space="preserve">International arbitration is usually divided into </w:t>
      </w:r>
      <w:r w:rsidR="00FD6DAC" w:rsidRPr="00DA5EB5">
        <w:rPr>
          <w:color w:val="000000" w:themeColor="text1"/>
          <w:kern w:val="2"/>
          <w:sz w:val="20"/>
        </w:rPr>
        <w:t>“</w:t>
      </w:r>
      <w:r w:rsidRPr="00DA5EB5">
        <w:rPr>
          <w:color w:val="000000" w:themeColor="text1"/>
          <w:kern w:val="2"/>
          <w:sz w:val="20"/>
        </w:rPr>
        <w:t>investment</w:t>
      </w:r>
      <w:r w:rsidR="00FD6DAC" w:rsidRPr="00DA5EB5">
        <w:rPr>
          <w:color w:val="000000" w:themeColor="text1"/>
          <w:kern w:val="2"/>
          <w:sz w:val="20"/>
        </w:rPr>
        <w:t>”</w:t>
      </w:r>
      <w:r w:rsidRPr="00DA5EB5">
        <w:rPr>
          <w:color w:val="000000" w:themeColor="text1"/>
          <w:kern w:val="2"/>
          <w:sz w:val="20"/>
          <w:lang w:val="ru-RU"/>
        </w:rPr>
        <w:t xml:space="preserve"> </w:t>
      </w:r>
      <w:r w:rsidRPr="00DA5EB5">
        <w:rPr>
          <w:color w:val="000000" w:themeColor="text1"/>
          <w:kern w:val="2"/>
          <w:sz w:val="20"/>
        </w:rPr>
        <w:t xml:space="preserve">arbitration, which may be either contract-based or treaty-based, and </w:t>
      </w:r>
      <w:r w:rsidR="00FD6DAC" w:rsidRPr="00DA5EB5">
        <w:rPr>
          <w:color w:val="000000" w:themeColor="text1"/>
          <w:kern w:val="2"/>
          <w:sz w:val="20"/>
        </w:rPr>
        <w:t>“</w:t>
      </w:r>
      <w:r w:rsidRPr="00DA5EB5">
        <w:rPr>
          <w:color w:val="000000" w:themeColor="text1"/>
          <w:kern w:val="2"/>
          <w:sz w:val="20"/>
        </w:rPr>
        <w:t>commercial</w:t>
      </w:r>
      <w:r w:rsidR="00FD6DAC" w:rsidRPr="00DA5EB5">
        <w:rPr>
          <w:color w:val="000000" w:themeColor="text1"/>
          <w:kern w:val="2"/>
          <w:sz w:val="20"/>
        </w:rPr>
        <w:t>”</w:t>
      </w:r>
      <w:r w:rsidRPr="00DA5EB5">
        <w:rPr>
          <w:color w:val="000000" w:themeColor="text1"/>
          <w:kern w:val="2"/>
          <w:sz w:val="20"/>
        </w:rPr>
        <w:t xml:space="preserve"> arbitration. The boundary between these two categories sometimes gets blurry and largely depends on the definition of what constitutes an </w:t>
      </w:r>
      <w:r w:rsidR="00FD6DAC" w:rsidRPr="00DA5EB5">
        <w:rPr>
          <w:color w:val="000000" w:themeColor="text1"/>
          <w:kern w:val="2"/>
          <w:sz w:val="20"/>
        </w:rPr>
        <w:t>“</w:t>
      </w:r>
      <w:r w:rsidRPr="00DA5EB5">
        <w:rPr>
          <w:color w:val="000000" w:themeColor="text1"/>
          <w:kern w:val="2"/>
          <w:sz w:val="20"/>
        </w:rPr>
        <w:t>investment</w:t>
      </w:r>
      <w:r w:rsidR="00637711" w:rsidRPr="00DA5EB5">
        <w:rPr>
          <w:color w:val="000000" w:themeColor="text1"/>
          <w:kern w:val="2"/>
          <w:sz w:val="20"/>
        </w:rPr>
        <w:t>.</w:t>
      </w:r>
      <w:r w:rsidR="00FD6DAC" w:rsidRPr="00DA5EB5">
        <w:rPr>
          <w:color w:val="000000" w:themeColor="text1"/>
          <w:kern w:val="2"/>
          <w:sz w:val="20"/>
        </w:rPr>
        <w:t>”</w:t>
      </w:r>
      <w:r w:rsidRPr="00DA5EB5">
        <w:rPr>
          <w:color w:val="000000" w:themeColor="text1"/>
          <w:kern w:val="2"/>
          <w:sz w:val="20"/>
        </w:rPr>
        <w:t xml:space="preserve"> In general, arbitration is deemed </w:t>
      </w:r>
      <w:r w:rsidR="00FD6DAC" w:rsidRPr="00DA5EB5">
        <w:rPr>
          <w:color w:val="000000" w:themeColor="text1"/>
          <w:kern w:val="2"/>
          <w:sz w:val="20"/>
        </w:rPr>
        <w:t>“</w:t>
      </w:r>
      <w:r w:rsidRPr="00DA5EB5">
        <w:rPr>
          <w:color w:val="000000" w:themeColor="text1"/>
          <w:kern w:val="2"/>
          <w:sz w:val="20"/>
        </w:rPr>
        <w:t>commercial</w:t>
      </w:r>
      <w:r w:rsidR="00FD6DAC" w:rsidRPr="00DA5EB5">
        <w:rPr>
          <w:color w:val="000000" w:themeColor="text1"/>
          <w:kern w:val="2"/>
          <w:sz w:val="20"/>
        </w:rPr>
        <w:t>”</w:t>
      </w:r>
      <w:r w:rsidRPr="00DA5EB5">
        <w:rPr>
          <w:color w:val="000000" w:themeColor="text1"/>
          <w:kern w:val="2"/>
          <w:sz w:val="20"/>
        </w:rPr>
        <w:t xml:space="preserve"> if it concerns a dispute arising out of a purely commercial transaction, such as a</w:t>
      </w:r>
      <w:r w:rsidRPr="00DA5EB5">
        <w:rPr>
          <w:color w:val="000000" w:themeColor="text1"/>
          <w:kern w:val="2"/>
          <w:sz w:val="20"/>
          <w:lang w:val="ru-RU"/>
        </w:rPr>
        <w:t xml:space="preserve"> </w:t>
      </w:r>
      <w:r w:rsidRPr="00DA5EB5">
        <w:rPr>
          <w:color w:val="000000" w:themeColor="text1"/>
          <w:kern w:val="2"/>
          <w:sz w:val="20"/>
        </w:rPr>
        <w:t>contract for the sale of goods, and where</w:t>
      </w:r>
      <w:r w:rsidRPr="00DA5EB5">
        <w:rPr>
          <w:color w:val="000000" w:themeColor="text1"/>
          <w:kern w:val="2"/>
          <w:sz w:val="20"/>
          <w:lang w:val="ru-RU"/>
        </w:rPr>
        <w:t xml:space="preserve"> </w:t>
      </w:r>
      <w:r w:rsidRPr="00DA5EB5">
        <w:rPr>
          <w:color w:val="000000" w:themeColor="text1"/>
          <w:kern w:val="2"/>
          <w:sz w:val="20"/>
        </w:rPr>
        <w:t xml:space="preserve">the parties’ consent to arbitration is expressed in an arbitration clause contained in their contract. On the other hand, the subject matter of the dispute in international investment arbitration is an </w:t>
      </w:r>
      <w:r w:rsidR="00FD6DAC" w:rsidRPr="00DA5EB5">
        <w:rPr>
          <w:color w:val="000000" w:themeColor="text1"/>
          <w:kern w:val="2"/>
          <w:sz w:val="20"/>
        </w:rPr>
        <w:t>“</w:t>
      </w:r>
      <w:r w:rsidRPr="00DA5EB5">
        <w:rPr>
          <w:color w:val="000000" w:themeColor="text1"/>
          <w:kern w:val="2"/>
          <w:sz w:val="20"/>
        </w:rPr>
        <w:t>expenditure to acquire property or assets to produce revenue; a capital outlay</w:t>
      </w:r>
      <w:r w:rsidR="00637711" w:rsidRPr="00DA5EB5">
        <w:rPr>
          <w:color w:val="000000" w:themeColor="text1"/>
          <w:kern w:val="2"/>
          <w:sz w:val="20"/>
        </w:rPr>
        <w:t>.</w:t>
      </w:r>
      <w:r w:rsidR="00FD6DAC" w:rsidRPr="00DA5EB5">
        <w:rPr>
          <w:color w:val="000000" w:themeColor="text1"/>
          <w:kern w:val="2"/>
          <w:sz w:val="20"/>
        </w:rPr>
        <w:t>”</w:t>
      </w:r>
      <w:r w:rsidRPr="00DA5EB5">
        <w:rPr>
          <w:rStyle w:val="FootnoteReference"/>
          <w:color w:val="000000" w:themeColor="text1"/>
          <w:kern w:val="2"/>
          <w:sz w:val="18"/>
        </w:rPr>
        <w:footnoteReference w:id="248"/>
      </w:r>
      <w:r w:rsidRPr="00DA5EB5">
        <w:rPr>
          <w:color w:val="000000" w:themeColor="text1"/>
          <w:kern w:val="2"/>
          <w:sz w:val="20"/>
        </w:rPr>
        <w:t xml:space="preserve"> Consent to arbitrate the disputes with foreign investors may be found in an international treaty concluded between the investor’s </w:t>
      </w:r>
      <w:r w:rsidR="00FD6DAC" w:rsidRPr="00DA5EB5">
        <w:rPr>
          <w:color w:val="000000" w:themeColor="text1"/>
          <w:kern w:val="2"/>
          <w:sz w:val="20"/>
        </w:rPr>
        <w:t>“</w:t>
      </w:r>
      <w:r w:rsidRPr="00DA5EB5">
        <w:rPr>
          <w:color w:val="000000" w:themeColor="text1"/>
          <w:kern w:val="2"/>
          <w:sz w:val="20"/>
        </w:rPr>
        <w:t>home state</w:t>
      </w:r>
      <w:r w:rsidR="00FD6DAC" w:rsidRPr="00DA5EB5">
        <w:rPr>
          <w:color w:val="000000" w:themeColor="text1"/>
          <w:kern w:val="2"/>
          <w:sz w:val="20"/>
        </w:rPr>
        <w:t>”</w:t>
      </w:r>
      <w:r w:rsidRPr="00DA5EB5">
        <w:rPr>
          <w:color w:val="000000" w:themeColor="text1"/>
          <w:kern w:val="2"/>
          <w:sz w:val="20"/>
        </w:rPr>
        <w:t xml:space="preserve"> and the </w:t>
      </w:r>
      <w:r w:rsidR="00FD6DAC" w:rsidRPr="00DA5EB5">
        <w:rPr>
          <w:color w:val="000000" w:themeColor="text1"/>
          <w:kern w:val="2"/>
          <w:sz w:val="20"/>
        </w:rPr>
        <w:t>“</w:t>
      </w:r>
      <w:r w:rsidRPr="00DA5EB5">
        <w:rPr>
          <w:color w:val="000000" w:themeColor="text1"/>
          <w:kern w:val="2"/>
          <w:sz w:val="20"/>
        </w:rPr>
        <w:t>host state</w:t>
      </w:r>
      <w:r w:rsidR="00FD6DAC" w:rsidRPr="00DA5EB5">
        <w:rPr>
          <w:color w:val="000000" w:themeColor="text1"/>
          <w:kern w:val="2"/>
          <w:sz w:val="20"/>
        </w:rPr>
        <w:t>”</w:t>
      </w:r>
      <w:r w:rsidRPr="00DA5EB5">
        <w:rPr>
          <w:color w:val="000000" w:themeColor="text1"/>
          <w:kern w:val="2"/>
          <w:sz w:val="20"/>
        </w:rPr>
        <w:t xml:space="preserve"> where the investment was made (hence </w:t>
      </w:r>
      <w:r w:rsidR="00FD6DAC" w:rsidRPr="00DA5EB5">
        <w:rPr>
          <w:color w:val="000000" w:themeColor="text1"/>
          <w:kern w:val="2"/>
          <w:sz w:val="20"/>
        </w:rPr>
        <w:t>“</w:t>
      </w:r>
      <w:r w:rsidRPr="00DA5EB5">
        <w:rPr>
          <w:color w:val="000000" w:themeColor="text1"/>
          <w:kern w:val="2"/>
          <w:sz w:val="20"/>
        </w:rPr>
        <w:t xml:space="preserve">treaty-based international investment arbitration), in the host state’s domestic law on foreign investment, or in an investment contract between the foreign investor and the host state or its instrumentality, such as a ministry or a state-owned enterprise (hence </w:t>
      </w:r>
      <w:r w:rsidR="00FD6DAC" w:rsidRPr="00DA5EB5">
        <w:rPr>
          <w:color w:val="000000" w:themeColor="text1"/>
          <w:kern w:val="2"/>
          <w:sz w:val="20"/>
        </w:rPr>
        <w:t>“</w:t>
      </w:r>
      <w:r w:rsidRPr="00DA5EB5">
        <w:rPr>
          <w:color w:val="000000" w:themeColor="text1"/>
          <w:kern w:val="2"/>
          <w:sz w:val="20"/>
        </w:rPr>
        <w:t>contract-based international investment arbitration</w:t>
      </w:r>
      <w:r w:rsidR="00FD6DAC" w:rsidRPr="00DA5EB5">
        <w:rPr>
          <w:color w:val="000000" w:themeColor="text1"/>
          <w:kern w:val="2"/>
          <w:sz w:val="20"/>
        </w:rPr>
        <w:t>”</w:t>
      </w:r>
      <w:r w:rsidRPr="00DA5EB5">
        <w:rPr>
          <w:color w:val="000000" w:themeColor="text1"/>
          <w:kern w:val="2"/>
          <w:sz w:val="20"/>
        </w:rPr>
        <w:t>).</w:t>
      </w:r>
    </w:p>
    <w:p w14:paraId="53646BBB" w14:textId="7DB92B34" w:rsidR="0067066E" w:rsidRPr="00DA5EB5" w:rsidRDefault="0067066E" w:rsidP="007C3517">
      <w:pPr>
        <w:rPr>
          <w:color w:val="000000" w:themeColor="text1"/>
          <w:kern w:val="2"/>
          <w:sz w:val="20"/>
        </w:rPr>
      </w:pPr>
      <w:r w:rsidRPr="00DA5EB5">
        <w:rPr>
          <w:color w:val="000000" w:themeColor="text1"/>
          <w:kern w:val="2"/>
          <w:sz w:val="20"/>
        </w:rPr>
        <w:t>The backbone of the international investment treaty-based arbitration system is a web of more than 3,300 international investment agreements (IIAs), including 2,946 bilateral investment treaties (BITs) and 358 treaties with investment provisions (TIPs), such as the North American Free Trade Agreement (NAFTA) or the Energy Charter Treaty (ECT)</w:t>
      </w:r>
      <w:r w:rsidR="00482B75" w:rsidRPr="00DA5EB5">
        <w:rPr>
          <w:color w:val="000000" w:themeColor="text1"/>
          <w:kern w:val="2"/>
          <w:sz w:val="20"/>
        </w:rPr>
        <w:t>.</w:t>
      </w:r>
      <w:r w:rsidR="000D4120" w:rsidRPr="00DA5EB5">
        <w:rPr>
          <w:rStyle w:val="FootnoteReference"/>
          <w:color w:val="000000" w:themeColor="text1"/>
          <w:kern w:val="2"/>
          <w:sz w:val="18"/>
        </w:rPr>
        <w:footnoteReference w:id="249"/>
      </w:r>
      <w:r w:rsidR="00482B75" w:rsidRPr="00DA5EB5">
        <w:rPr>
          <w:color w:val="000000" w:themeColor="text1"/>
          <w:kern w:val="2"/>
          <w:sz w:val="20"/>
        </w:rPr>
        <w:t xml:space="preserve"> Another </w:t>
      </w:r>
      <w:r w:rsidR="00644333" w:rsidRPr="00DA5EB5">
        <w:rPr>
          <w:color w:val="000000" w:themeColor="text1"/>
          <w:kern w:val="2"/>
          <w:sz w:val="20"/>
        </w:rPr>
        <w:t xml:space="preserve">important element of the investment protection regime is the </w:t>
      </w:r>
      <w:r w:rsidRPr="00DA5EB5">
        <w:rPr>
          <w:color w:val="000000" w:themeColor="text1"/>
          <w:kern w:val="2"/>
          <w:sz w:val="20"/>
        </w:rPr>
        <w:t>ICSID Convention</w:t>
      </w:r>
      <w:r w:rsidR="00482B75" w:rsidRPr="00DA5EB5">
        <w:rPr>
          <w:color w:val="000000" w:themeColor="text1"/>
          <w:kern w:val="2"/>
          <w:sz w:val="20"/>
        </w:rPr>
        <w:t>, which</w:t>
      </w:r>
      <w:r w:rsidRPr="00DA5EB5">
        <w:rPr>
          <w:color w:val="000000" w:themeColor="text1"/>
          <w:kern w:val="2"/>
          <w:sz w:val="20"/>
        </w:rPr>
        <w:t xml:space="preserve"> established the International Centre for Settlement of Investment Disputes (ICSID), a specialized arbitral institution that</w:t>
      </w:r>
      <w:r w:rsidR="00AF4507" w:rsidRPr="00DA5EB5">
        <w:rPr>
          <w:color w:val="000000" w:themeColor="text1"/>
          <w:kern w:val="2"/>
          <w:sz w:val="20"/>
        </w:rPr>
        <w:t xml:space="preserve"> is part of the World Bank Group</w:t>
      </w:r>
      <w:r w:rsidRPr="00DA5EB5">
        <w:rPr>
          <w:color w:val="000000" w:themeColor="text1"/>
          <w:kern w:val="2"/>
          <w:sz w:val="20"/>
        </w:rPr>
        <w:t>, together with the International Bank for Reconstruction and Development (IBRD), the International Development Association (IDA), the International Finance Corporation (IFC)</w:t>
      </w:r>
      <w:r w:rsidR="00161B79" w:rsidRPr="00DA5EB5">
        <w:rPr>
          <w:color w:val="000000" w:themeColor="text1"/>
          <w:kern w:val="2"/>
          <w:sz w:val="20"/>
        </w:rPr>
        <w:t>,</w:t>
      </w:r>
      <w:r w:rsidRPr="00DA5EB5">
        <w:rPr>
          <w:color w:val="000000" w:themeColor="text1"/>
          <w:kern w:val="2"/>
          <w:sz w:val="20"/>
        </w:rPr>
        <w:t xml:space="preserve"> and the Multilateral Investment Guarantee Agency (MIGA).</w:t>
      </w:r>
      <w:r w:rsidR="000D4120" w:rsidRPr="00DA5EB5">
        <w:rPr>
          <w:rStyle w:val="FootnoteReference"/>
          <w:color w:val="000000" w:themeColor="text1"/>
          <w:kern w:val="2"/>
          <w:sz w:val="18"/>
        </w:rPr>
        <w:footnoteReference w:id="250"/>
      </w:r>
      <w:r w:rsidRPr="00DA5EB5">
        <w:rPr>
          <w:color w:val="000000" w:themeColor="text1"/>
          <w:kern w:val="2"/>
          <w:sz w:val="20"/>
          <w:lang w:val="ru-RU"/>
        </w:rPr>
        <w:t xml:space="preserve"> </w:t>
      </w:r>
      <w:r w:rsidRPr="00DA5EB5">
        <w:rPr>
          <w:color w:val="000000" w:themeColor="text1"/>
          <w:kern w:val="2"/>
          <w:sz w:val="20"/>
        </w:rPr>
        <w:t xml:space="preserve">The </w:t>
      </w:r>
      <w:r w:rsidR="00AF4507" w:rsidRPr="00DA5EB5">
        <w:rPr>
          <w:color w:val="000000" w:themeColor="text1"/>
          <w:kern w:val="2"/>
          <w:sz w:val="20"/>
        </w:rPr>
        <w:t>US</w:t>
      </w:r>
      <w:r w:rsidRPr="00DA5EB5">
        <w:rPr>
          <w:color w:val="000000" w:themeColor="text1"/>
          <w:kern w:val="2"/>
          <w:sz w:val="20"/>
        </w:rPr>
        <w:t xml:space="preserve">, </w:t>
      </w:r>
      <w:r w:rsidR="00AF4507" w:rsidRPr="00DA5EB5">
        <w:rPr>
          <w:color w:val="000000" w:themeColor="text1"/>
          <w:kern w:val="2"/>
          <w:sz w:val="20"/>
        </w:rPr>
        <w:t>UK</w:t>
      </w:r>
      <w:r w:rsidR="00544ADF" w:rsidRPr="00DA5EB5">
        <w:rPr>
          <w:color w:val="000000" w:themeColor="text1"/>
          <w:kern w:val="2"/>
          <w:sz w:val="20"/>
        </w:rPr>
        <w:t>,</w:t>
      </w:r>
      <w:r w:rsidRPr="00DA5EB5">
        <w:rPr>
          <w:color w:val="000000" w:themeColor="text1"/>
          <w:kern w:val="2"/>
          <w:sz w:val="20"/>
        </w:rPr>
        <w:t xml:space="preserve"> and Canada are all parties to the ICSID Convention, which entered into force for </w:t>
      </w:r>
      <w:r w:rsidR="000D108A" w:rsidRPr="00DA5EB5">
        <w:rPr>
          <w:color w:val="000000" w:themeColor="text1"/>
          <w:kern w:val="2"/>
          <w:sz w:val="20"/>
        </w:rPr>
        <w:t>those countries</w:t>
      </w:r>
      <w:r w:rsidRPr="00DA5EB5">
        <w:rPr>
          <w:color w:val="000000" w:themeColor="text1"/>
          <w:kern w:val="2"/>
          <w:sz w:val="20"/>
        </w:rPr>
        <w:t xml:space="preserve"> on 14 October</w:t>
      </w:r>
      <w:r w:rsidR="00BA02CE" w:rsidRPr="00DA5EB5">
        <w:rPr>
          <w:color w:val="000000" w:themeColor="text1"/>
          <w:kern w:val="2"/>
          <w:sz w:val="20"/>
        </w:rPr>
        <w:t>,</w:t>
      </w:r>
      <w:r w:rsidRPr="00DA5EB5">
        <w:rPr>
          <w:color w:val="000000" w:themeColor="text1"/>
          <w:kern w:val="2"/>
          <w:sz w:val="20"/>
        </w:rPr>
        <w:t xml:space="preserve"> 1966, 18 January</w:t>
      </w:r>
      <w:r w:rsidR="00BA02CE" w:rsidRPr="00DA5EB5">
        <w:rPr>
          <w:color w:val="000000" w:themeColor="text1"/>
          <w:kern w:val="2"/>
          <w:sz w:val="20"/>
        </w:rPr>
        <w:t>,</w:t>
      </w:r>
      <w:r w:rsidRPr="00DA5EB5">
        <w:rPr>
          <w:color w:val="000000" w:themeColor="text1"/>
          <w:kern w:val="2"/>
          <w:sz w:val="20"/>
        </w:rPr>
        <w:t xml:space="preserve"> 1967 and 1 December</w:t>
      </w:r>
      <w:r w:rsidR="00BA02CE" w:rsidRPr="00DA5EB5">
        <w:rPr>
          <w:color w:val="000000" w:themeColor="text1"/>
          <w:kern w:val="2"/>
          <w:sz w:val="20"/>
        </w:rPr>
        <w:t>,</w:t>
      </w:r>
      <w:r w:rsidRPr="00DA5EB5">
        <w:rPr>
          <w:color w:val="000000" w:themeColor="text1"/>
          <w:kern w:val="2"/>
          <w:sz w:val="20"/>
        </w:rPr>
        <w:t xml:space="preserve"> 2013, respectively.</w:t>
      </w:r>
      <w:r w:rsidRPr="00DA5EB5">
        <w:rPr>
          <w:rStyle w:val="FootnoteReference"/>
          <w:color w:val="000000" w:themeColor="text1"/>
          <w:kern w:val="2"/>
          <w:sz w:val="18"/>
        </w:rPr>
        <w:footnoteReference w:id="251"/>
      </w:r>
      <w:r w:rsidRPr="00DA5EB5">
        <w:rPr>
          <w:color w:val="000000" w:themeColor="text1"/>
          <w:kern w:val="2"/>
          <w:sz w:val="20"/>
        </w:rPr>
        <w:t xml:space="preserve"> The </w:t>
      </w:r>
      <w:r w:rsidR="000D108A" w:rsidRPr="00DA5EB5">
        <w:rPr>
          <w:color w:val="000000" w:themeColor="text1"/>
          <w:kern w:val="2"/>
          <w:sz w:val="20"/>
        </w:rPr>
        <w:t>US</w:t>
      </w:r>
      <w:r w:rsidRPr="00DA5EB5">
        <w:rPr>
          <w:color w:val="000000" w:themeColor="text1"/>
          <w:kern w:val="2"/>
          <w:sz w:val="20"/>
        </w:rPr>
        <w:t xml:space="preserve"> is a party to 46 BITs and 67 TIPs, the </w:t>
      </w:r>
      <w:r w:rsidR="000D108A" w:rsidRPr="00DA5EB5">
        <w:rPr>
          <w:color w:val="000000" w:themeColor="text1"/>
          <w:kern w:val="2"/>
          <w:sz w:val="20"/>
        </w:rPr>
        <w:t>UK is party to</w:t>
      </w:r>
      <w:r w:rsidRPr="00DA5EB5">
        <w:rPr>
          <w:color w:val="000000" w:themeColor="text1"/>
          <w:kern w:val="2"/>
          <w:sz w:val="20"/>
        </w:rPr>
        <w:t xml:space="preserve"> 106 BITs and 64 TIPs, and Canada </w:t>
      </w:r>
      <w:r w:rsidR="000D108A" w:rsidRPr="00DA5EB5">
        <w:rPr>
          <w:color w:val="000000" w:themeColor="text1"/>
          <w:kern w:val="2"/>
          <w:sz w:val="20"/>
        </w:rPr>
        <w:t>is party to</w:t>
      </w:r>
      <w:r w:rsidRPr="00DA5EB5">
        <w:rPr>
          <w:color w:val="000000" w:themeColor="text1"/>
          <w:kern w:val="2"/>
          <w:sz w:val="20"/>
        </w:rPr>
        <w:t xml:space="preserve"> 38 BITs and 19 TIPs.</w:t>
      </w:r>
      <w:r w:rsidRPr="00DA5EB5">
        <w:rPr>
          <w:rStyle w:val="FootnoteReference"/>
          <w:color w:val="000000" w:themeColor="text1"/>
          <w:kern w:val="2"/>
          <w:sz w:val="18"/>
        </w:rPr>
        <w:footnoteReference w:id="252"/>
      </w:r>
    </w:p>
    <w:p w14:paraId="4E85B9D4" w14:textId="6C36B66A" w:rsidR="0067066E" w:rsidRPr="00DA5EB5" w:rsidRDefault="0067066E" w:rsidP="007C3517">
      <w:pPr>
        <w:rPr>
          <w:color w:val="000000" w:themeColor="text1"/>
          <w:kern w:val="2"/>
          <w:sz w:val="20"/>
        </w:rPr>
      </w:pPr>
      <w:r w:rsidRPr="00DA5EB5">
        <w:rPr>
          <w:color w:val="000000" w:themeColor="text1"/>
          <w:kern w:val="2"/>
          <w:sz w:val="20"/>
        </w:rPr>
        <w:t xml:space="preserve">International commercial and contract-based investment arbitration, and international treaty-based investment arbitration, </w:t>
      </w:r>
      <w:r w:rsidR="009E66CE" w:rsidRPr="00DA5EB5">
        <w:rPr>
          <w:color w:val="000000" w:themeColor="text1"/>
          <w:kern w:val="2"/>
          <w:sz w:val="20"/>
        </w:rPr>
        <w:t>both</w:t>
      </w:r>
      <w:r w:rsidRPr="00DA5EB5">
        <w:rPr>
          <w:color w:val="000000" w:themeColor="text1"/>
          <w:kern w:val="2"/>
          <w:sz w:val="20"/>
        </w:rPr>
        <w:t xml:space="preserve"> have a lot in common when one views how proceedings are conducted,</w:t>
      </w:r>
      <w:r w:rsidRPr="00DA5EB5">
        <w:rPr>
          <w:color w:val="000000" w:themeColor="text1"/>
          <w:kern w:val="2"/>
          <w:sz w:val="20"/>
          <w:lang w:val="ru-RU"/>
        </w:rPr>
        <w:t xml:space="preserve"> </w:t>
      </w:r>
      <w:r w:rsidRPr="00DA5EB5">
        <w:rPr>
          <w:color w:val="000000" w:themeColor="text1"/>
          <w:kern w:val="2"/>
          <w:sz w:val="20"/>
        </w:rPr>
        <w:t>how the evidence is admitted and how the tribunals issue procedural orders and awards.</w:t>
      </w:r>
      <w:r w:rsidRPr="00DA5EB5">
        <w:rPr>
          <w:rStyle w:val="FootnoteReference"/>
          <w:color w:val="000000" w:themeColor="text1"/>
          <w:kern w:val="2"/>
          <w:sz w:val="18"/>
        </w:rPr>
        <w:footnoteReference w:id="253"/>
      </w:r>
      <w:r w:rsidRPr="00DA5EB5">
        <w:rPr>
          <w:color w:val="000000" w:themeColor="text1"/>
          <w:kern w:val="2"/>
          <w:sz w:val="20"/>
        </w:rPr>
        <w:t xml:space="preserve"> Furthermore, the same experienced commercial lawyers may act either as the arbitrators or the parties’ counsel in different arbitration cases, and arbitration proceedings are governed by the same rules promulgated by the UNCITRAL or various arbitral institutions.</w:t>
      </w:r>
    </w:p>
    <w:p w14:paraId="7B36CC22" w14:textId="6A734B52" w:rsidR="0067066E" w:rsidRPr="00DA5EB5" w:rsidRDefault="0067066E" w:rsidP="007C3517">
      <w:pPr>
        <w:rPr>
          <w:color w:val="000000" w:themeColor="text1"/>
          <w:kern w:val="2"/>
          <w:sz w:val="20"/>
        </w:rPr>
      </w:pPr>
      <w:r w:rsidRPr="00DA5EB5">
        <w:rPr>
          <w:color w:val="000000" w:themeColor="text1"/>
          <w:kern w:val="2"/>
          <w:sz w:val="20"/>
        </w:rPr>
        <w:t xml:space="preserve">However, while the procedure and the personalities involved may be the same, contract-based and treaty-based arbitration </w:t>
      </w:r>
      <w:r w:rsidR="00B2096A" w:rsidRPr="00DA5EB5">
        <w:rPr>
          <w:color w:val="000000" w:themeColor="text1"/>
          <w:kern w:val="2"/>
          <w:sz w:val="20"/>
        </w:rPr>
        <w:t>are</w:t>
      </w:r>
      <w:r w:rsidRPr="00DA5EB5">
        <w:rPr>
          <w:color w:val="000000" w:themeColor="text1"/>
          <w:kern w:val="2"/>
          <w:sz w:val="20"/>
        </w:rPr>
        <w:t xml:space="preserve"> different i</w:t>
      </w:r>
      <w:r w:rsidR="00B2096A" w:rsidRPr="00DA5EB5">
        <w:rPr>
          <w:color w:val="000000" w:themeColor="text1"/>
          <w:kern w:val="2"/>
          <w:sz w:val="20"/>
        </w:rPr>
        <w:t>n</w:t>
      </w:r>
      <w:r w:rsidRPr="00DA5EB5">
        <w:rPr>
          <w:color w:val="000000" w:themeColor="text1"/>
          <w:kern w:val="2"/>
          <w:sz w:val="20"/>
        </w:rPr>
        <w:t xml:space="preserve"> several significant ways. To begin with, parties to commercial transactions typically insert a clause into their contract agreeing to refer to arbitration any dispute arising out of or in connection with the contract. By contrast, the host state’s consent to arbitration in an IIA is usually expressed as an open offer to arbitrate any future dispute with any investor-national of the counterparty state to the IIA, and such an offer is deemed to be accepted and becomes a binding arbitration agreement when the investor commences arbitration against the host state.</w:t>
      </w:r>
      <w:r w:rsidRPr="00DA5EB5">
        <w:rPr>
          <w:rStyle w:val="FootnoteReference"/>
          <w:color w:val="000000" w:themeColor="text1"/>
          <w:kern w:val="2"/>
          <w:sz w:val="18"/>
        </w:rPr>
        <w:footnoteReference w:id="254"/>
      </w:r>
      <w:r w:rsidR="00D735C2" w:rsidRPr="00DA5EB5">
        <w:rPr>
          <w:color w:val="000000" w:themeColor="text1"/>
          <w:kern w:val="2"/>
          <w:sz w:val="20"/>
        </w:rPr>
        <w:t xml:space="preserve"> For instance, the 2012 US</w:t>
      </w:r>
      <w:r w:rsidRPr="00DA5EB5">
        <w:rPr>
          <w:color w:val="000000" w:themeColor="text1"/>
          <w:kern w:val="2"/>
          <w:sz w:val="20"/>
        </w:rPr>
        <w:t xml:space="preserve"> Model BIT and the 2004 Canadian Model FIPA provide that a foreign investor may submit to arbitration a claim that the host state has breached an obligation under the treaty and the investor has thus incurred loss or damage,</w:t>
      </w:r>
      <w:r w:rsidRPr="00DA5EB5">
        <w:rPr>
          <w:rStyle w:val="FootnoteReference"/>
          <w:color w:val="000000" w:themeColor="text1"/>
          <w:kern w:val="2"/>
          <w:sz w:val="18"/>
        </w:rPr>
        <w:footnoteReference w:id="255"/>
      </w:r>
      <w:r w:rsidRPr="00DA5EB5">
        <w:rPr>
          <w:color w:val="000000" w:themeColor="text1"/>
          <w:kern w:val="2"/>
          <w:sz w:val="20"/>
        </w:rPr>
        <w:t xml:space="preserve"> and the claimant may choose between submitting the claim for resolution under (</w:t>
      </w:r>
      <w:proofErr w:type="spellStart"/>
      <w:r w:rsidRPr="00DA5EB5">
        <w:rPr>
          <w:color w:val="000000" w:themeColor="text1"/>
          <w:kern w:val="2"/>
          <w:sz w:val="20"/>
        </w:rPr>
        <w:t>i</w:t>
      </w:r>
      <w:proofErr w:type="spellEnd"/>
      <w:r w:rsidRPr="00DA5EB5">
        <w:rPr>
          <w:color w:val="000000" w:themeColor="text1"/>
          <w:kern w:val="2"/>
          <w:sz w:val="20"/>
        </w:rPr>
        <w:t>) the ICSID Convention and the ICSID Rules of Procedure for Arbitration Proceedings (if both the host state and the investor’s home state are parties to the ICSID Convention), (ii) the ICSID Additional Facility Rules (if either the home state or the host state is a party to the ICSID Convention), (iii) the UNCITRAL Arbitration Rules, or (iv) any other arbitration rules agreed on between the investor and the host state.</w:t>
      </w:r>
      <w:r w:rsidRPr="00DA5EB5">
        <w:rPr>
          <w:rStyle w:val="FootnoteReference"/>
          <w:color w:val="000000" w:themeColor="text1"/>
          <w:kern w:val="2"/>
          <w:sz w:val="18"/>
        </w:rPr>
        <w:footnoteReference w:id="256"/>
      </w:r>
    </w:p>
    <w:p w14:paraId="6CF64171" w14:textId="26FA0C89" w:rsidR="0067066E" w:rsidRPr="00DA5EB5" w:rsidRDefault="0067066E" w:rsidP="007C3517">
      <w:pPr>
        <w:rPr>
          <w:color w:val="000000" w:themeColor="text1"/>
          <w:kern w:val="2"/>
          <w:sz w:val="20"/>
        </w:rPr>
      </w:pPr>
      <w:r w:rsidRPr="00DA5EB5">
        <w:rPr>
          <w:color w:val="000000" w:themeColor="text1"/>
          <w:kern w:val="2"/>
          <w:sz w:val="20"/>
        </w:rPr>
        <w:t>This distinction has important implications as to the rules of law applicable to the merits of the dispute. In a purely commercial setting, the arbitral tribunal will resolve the parties’ dispute in accordance with the national law applicable to the contract concluded by the parties. The parties may either agree on the applicable law themselves or, in the absence of such agreement, the arbitral tribunal will apply the law determined by the conflict-of-laws rules that the tribunal considers applicable.</w:t>
      </w:r>
      <w:r w:rsidRPr="00DA5EB5">
        <w:rPr>
          <w:rStyle w:val="FootnoteReference"/>
          <w:color w:val="000000" w:themeColor="text1"/>
          <w:kern w:val="2"/>
          <w:sz w:val="18"/>
        </w:rPr>
        <w:footnoteReference w:id="257"/>
      </w:r>
      <w:r w:rsidRPr="00DA5EB5">
        <w:rPr>
          <w:color w:val="000000" w:themeColor="text1"/>
          <w:kern w:val="2"/>
          <w:sz w:val="20"/>
        </w:rPr>
        <w:t xml:space="preserve"> In contrast, in a treaty-based arbitration</w:t>
      </w:r>
      <w:r w:rsidR="00686883" w:rsidRPr="00DA5EB5">
        <w:rPr>
          <w:color w:val="000000" w:themeColor="text1"/>
          <w:kern w:val="2"/>
          <w:sz w:val="20"/>
        </w:rPr>
        <w:t>,</w:t>
      </w:r>
      <w:r w:rsidRPr="00DA5EB5">
        <w:rPr>
          <w:color w:val="000000" w:themeColor="text1"/>
          <w:kern w:val="2"/>
          <w:sz w:val="20"/>
        </w:rPr>
        <w:t xml:space="preserve"> a tribunal applies the relevant BIT or TIP and relevant rules and principles of public international law. A typical BIT requires each state party to accord to investors of the other state party treatment no less favorable than th</w:t>
      </w:r>
      <w:r w:rsidR="00DD4A83" w:rsidRPr="00DA5EB5">
        <w:rPr>
          <w:color w:val="000000" w:themeColor="text1"/>
          <w:kern w:val="2"/>
          <w:sz w:val="20"/>
        </w:rPr>
        <w:t>e treatment</w:t>
      </w:r>
      <w:r w:rsidRPr="00DA5EB5">
        <w:rPr>
          <w:color w:val="000000" w:themeColor="text1"/>
          <w:kern w:val="2"/>
          <w:sz w:val="20"/>
        </w:rPr>
        <w:t xml:space="preserve"> it accords, in like circumstances, to its own investors (</w:t>
      </w:r>
      <w:r w:rsidR="00FD6DAC" w:rsidRPr="00DA5EB5">
        <w:rPr>
          <w:color w:val="000000" w:themeColor="text1"/>
          <w:kern w:val="2"/>
          <w:sz w:val="20"/>
        </w:rPr>
        <w:t>“</w:t>
      </w:r>
      <w:r w:rsidRPr="00DA5EB5">
        <w:rPr>
          <w:color w:val="000000" w:themeColor="text1"/>
          <w:kern w:val="2"/>
          <w:sz w:val="20"/>
        </w:rPr>
        <w:t>national treatment</w:t>
      </w:r>
      <w:r w:rsidR="00FD6DAC" w:rsidRPr="00DA5EB5">
        <w:rPr>
          <w:color w:val="000000" w:themeColor="text1"/>
          <w:kern w:val="2"/>
          <w:sz w:val="20"/>
        </w:rPr>
        <w:t>”</w:t>
      </w:r>
      <w:r w:rsidRPr="00DA5EB5">
        <w:rPr>
          <w:color w:val="000000" w:themeColor="text1"/>
          <w:kern w:val="2"/>
          <w:sz w:val="20"/>
        </w:rPr>
        <w:t>) and to investors of other state parties (</w:t>
      </w:r>
      <w:r w:rsidR="00FD6DAC" w:rsidRPr="00DA5EB5">
        <w:rPr>
          <w:color w:val="000000" w:themeColor="text1"/>
          <w:kern w:val="2"/>
          <w:sz w:val="20"/>
        </w:rPr>
        <w:t>“</w:t>
      </w:r>
      <w:r w:rsidRPr="00DA5EB5">
        <w:rPr>
          <w:color w:val="000000" w:themeColor="text1"/>
          <w:kern w:val="2"/>
          <w:sz w:val="20"/>
        </w:rPr>
        <w:t>most-favored-nation treatment</w:t>
      </w:r>
      <w:r w:rsidR="00FD6DAC" w:rsidRPr="00DA5EB5">
        <w:rPr>
          <w:color w:val="000000" w:themeColor="text1"/>
          <w:kern w:val="2"/>
          <w:sz w:val="20"/>
        </w:rPr>
        <w:t>”</w:t>
      </w:r>
      <w:r w:rsidRPr="00DA5EB5">
        <w:rPr>
          <w:color w:val="000000" w:themeColor="text1"/>
          <w:kern w:val="2"/>
          <w:sz w:val="20"/>
        </w:rPr>
        <w:t>), as well as to treat foreign investments fairly and equitably and accord them full protection and security.</w:t>
      </w:r>
      <w:r w:rsidRPr="00DA5EB5">
        <w:rPr>
          <w:rStyle w:val="FootnoteReference"/>
          <w:color w:val="000000" w:themeColor="text1"/>
          <w:kern w:val="2"/>
          <w:sz w:val="18"/>
        </w:rPr>
        <w:footnoteReference w:id="258"/>
      </w:r>
      <w:r w:rsidRPr="00DA5EB5">
        <w:rPr>
          <w:color w:val="000000" w:themeColor="text1"/>
          <w:kern w:val="2"/>
          <w:sz w:val="20"/>
        </w:rPr>
        <w:t xml:space="preserve"> Furthermore, BITs prohibit either state party from nationalizing or expropriating an investment, either directly or indirectly through measures equivalent to expropriation or nationalization, </w:t>
      </w:r>
      <w:r w:rsidR="00311A10" w:rsidRPr="00DA5EB5">
        <w:rPr>
          <w:color w:val="000000" w:themeColor="text1"/>
          <w:kern w:val="2"/>
          <w:sz w:val="20"/>
        </w:rPr>
        <w:t xml:space="preserve">unless the expropriation or nationalization is </w:t>
      </w:r>
      <w:r w:rsidR="000F742B" w:rsidRPr="00DA5EB5">
        <w:rPr>
          <w:color w:val="000000" w:themeColor="text1"/>
          <w:kern w:val="2"/>
          <w:sz w:val="20"/>
        </w:rPr>
        <w:t xml:space="preserve">effected </w:t>
      </w:r>
      <w:r w:rsidRPr="00DA5EB5">
        <w:rPr>
          <w:color w:val="000000" w:themeColor="text1"/>
          <w:kern w:val="2"/>
          <w:sz w:val="20"/>
        </w:rPr>
        <w:t xml:space="preserve">for a public purpose, in accordance with due process of law, in a non-discriminatory manner and </w:t>
      </w:r>
      <w:r w:rsidR="000F742B" w:rsidRPr="00DA5EB5">
        <w:rPr>
          <w:color w:val="000000" w:themeColor="text1"/>
          <w:kern w:val="2"/>
          <w:sz w:val="20"/>
        </w:rPr>
        <w:t>with</w:t>
      </w:r>
      <w:r w:rsidRPr="00DA5EB5">
        <w:rPr>
          <w:color w:val="000000" w:themeColor="text1"/>
          <w:kern w:val="2"/>
          <w:sz w:val="20"/>
        </w:rPr>
        <w:t xml:space="preserve"> prompt, adequate and effective compensation.</w:t>
      </w:r>
      <w:r w:rsidRPr="00DA5EB5">
        <w:rPr>
          <w:rStyle w:val="FootnoteReference"/>
          <w:color w:val="000000" w:themeColor="text1"/>
          <w:kern w:val="2"/>
          <w:sz w:val="18"/>
        </w:rPr>
        <w:footnoteReference w:id="259"/>
      </w:r>
    </w:p>
    <w:p w14:paraId="6559FC96" w14:textId="25A1F2A7" w:rsidR="007672A6" w:rsidRPr="00DA5EB5" w:rsidRDefault="007672A6" w:rsidP="007C3517">
      <w:pPr>
        <w:pStyle w:val="Heading2"/>
        <w:rPr>
          <w:kern w:val="2"/>
          <w:sz w:val="24"/>
        </w:rPr>
      </w:pPr>
      <w:r w:rsidRPr="00DA5EB5">
        <w:rPr>
          <w:kern w:val="2"/>
          <w:sz w:val="24"/>
        </w:rPr>
        <w:t>Why Parties Agree to Arbitrate</w:t>
      </w:r>
    </w:p>
    <w:p w14:paraId="4997CC84" w14:textId="204C28AE" w:rsidR="0067066E" w:rsidRPr="00DA5EB5" w:rsidRDefault="0067066E" w:rsidP="007C3517">
      <w:pPr>
        <w:rPr>
          <w:color w:val="000000" w:themeColor="text1"/>
          <w:kern w:val="2"/>
          <w:sz w:val="20"/>
        </w:rPr>
      </w:pPr>
      <w:r w:rsidRPr="00DA5EB5">
        <w:rPr>
          <w:color w:val="000000" w:themeColor="text1"/>
          <w:kern w:val="2"/>
          <w:sz w:val="20"/>
        </w:rPr>
        <w:t>There are several reasons why arbitration has become the primary means for the settlement of international commercial and investment disputes.</w:t>
      </w:r>
      <w:r w:rsidRPr="00DA5EB5">
        <w:rPr>
          <w:rStyle w:val="FootnoteReference"/>
          <w:color w:val="000000" w:themeColor="text1"/>
          <w:kern w:val="2"/>
          <w:sz w:val="18"/>
        </w:rPr>
        <w:footnoteReference w:id="260"/>
      </w:r>
      <w:r w:rsidRPr="00DA5EB5">
        <w:rPr>
          <w:color w:val="000000" w:themeColor="text1"/>
          <w:kern w:val="2"/>
          <w:sz w:val="20"/>
        </w:rPr>
        <w:t xml:space="preserve"> In general, this is because arbitration is often perceived as a </w:t>
      </w:r>
      <w:r w:rsidR="00FD6DAC" w:rsidRPr="00DA5EB5">
        <w:rPr>
          <w:color w:val="000000" w:themeColor="text1"/>
          <w:kern w:val="2"/>
          <w:sz w:val="20"/>
        </w:rPr>
        <w:t>“</w:t>
      </w:r>
      <w:r w:rsidRPr="00DA5EB5">
        <w:rPr>
          <w:color w:val="000000" w:themeColor="text1"/>
          <w:kern w:val="2"/>
          <w:sz w:val="20"/>
        </w:rPr>
        <w:t>neutral, speedy and expert dispute resolution process, largely subject to the parties’ control, in a single, centralized forum, with internationally-enforceable dispute resolution agreements and decisions.</w:t>
      </w:r>
      <w:r w:rsidR="00FD6DAC" w:rsidRPr="00DA5EB5">
        <w:rPr>
          <w:color w:val="000000" w:themeColor="text1"/>
          <w:kern w:val="2"/>
          <w:sz w:val="20"/>
        </w:rPr>
        <w:t>”</w:t>
      </w:r>
      <w:r w:rsidRPr="00DA5EB5">
        <w:rPr>
          <w:rStyle w:val="FootnoteReference"/>
          <w:color w:val="000000" w:themeColor="text1"/>
          <w:kern w:val="2"/>
          <w:sz w:val="18"/>
        </w:rPr>
        <w:footnoteReference w:id="261"/>
      </w:r>
      <w:r w:rsidRPr="00DA5EB5">
        <w:rPr>
          <w:color w:val="000000" w:themeColor="text1"/>
          <w:kern w:val="2"/>
          <w:sz w:val="20"/>
        </w:rPr>
        <w:t xml:space="preserve"> This subsection concentrates on three distinct characteristics of international arbitration: (</w:t>
      </w:r>
      <w:proofErr w:type="spellStart"/>
      <w:r w:rsidRPr="00DA5EB5">
        <w:rPr>
          <w:color w:val="000000" w:themeColor="text1"/>
          <w:kern w:val="2"/>
          <w:sz w:val="20"/>
        </w:rPr>
        <w:t>i</w:t>
      </w:r>
      <w:proofErr w:type="spellEnd"/>
      <w:r w:rsidRPr="00DA5EB5">
        <w:rPr>
          <w:color w:val="000000" w:themeColor="text1"/>
          <w:kern w:val="2"/>
          <w:sz w:val="20"/>
        </w:rPr>
        <w:t xml:space="preserve">) neutrality and flexibility, (ii) enforceability of arbitration agreements, and (iii) </w:t>
      </w:r>
      <w:r w:rsidR="00867C2B" w:rsidRPr="00DA5EB5">
        <w:rPr>
          <w:color w:val="000000" w:themeColor="text1"/>
          <w:kern w:val="2"/>
          <w:sz w:val="20"/>
        </w:rPr>
        <w:t xml:space="preserve">the </w:t>
      </w:r>
      <w:r w:rsidRPr="00DA5EB5">
        <w:rPr>
          <w:color w:val="000000" w:themeColor="text1"/>
          <w:kern w:val="2"/>
          <w:sz w:val="20"/>
        </w:rPr>
        <w:t>final and binding nature of arbitral awards.</w:t>
      </w:r>
    </w:p>
    <w:p w14:paraId="7A4A6872" w14:textId="4B1ACB73" w:rsidR="007672A6" w:rsidRPr="00DA5EB5" w:rsidRDefault="007672A6" w:rsidP="007C3517">
      <w:pPr>
        <w:pStyle w:val="Heading3"/>
        <w:rPr>
          <w:kern w:val="2"/>
          <w:sz w:val="22"/>
        </w:rPr>
      </w:pPr>
      <w:r w:rsidRPr="00DA5EB5">
        <w:rPr>
          <w:kern w:val="2"/>
          <w:sz w:val="22"/>
        </w:rPr>
        <w:t>Neutrality and Flexibility</w:t>
      </w:r>
    </w:p>
    <w:p w14:paraId="324715B5" w14:textId="62B18138" w:rsidR="0067066E" w:rsidRPr="00DA5EB5" w:rsidRDefault="0067066E" w:rsidP="007C3517">
      <w:pPr>
        <w:rPr>
          <w:color w:val="000000" w:themeColor="text1"/>
          <w:kern w:val="2"/>
          <w:sz w:val="20"/>
        </w:rPr>
      </w:pPr>
      <w:r w:rsidRPr="00DA5EB5">
        <w:rPr>
          <w:color w:val="000000" w:themeColor="text1"/>
          <w:kern w:val="2"/>
          <w:sz w:val="20"/>
        </w:rPr>
        <w:t xml:space="preserve">To begin with, international arbitration is neutral and flexible. Naturally, a party to a transaction may be hesitant to agree to litigate its disputes in the domestic courts of a </w:t>
      </w:r>
      <w:r w:rsidR="00D77F9B" w:rsidRPr="00DA5EB5">
        <w:rPr>
          <w:color w:val="000000" w:themeColor="text1"/>
          <w:kern w:val="2"/>
          <w:sz w:val="20"/>
        </w:rPr>
        <w:t>S</w:t>
      </w:r>
      <w:r w:rsidRPr="00DA5EB5">
        <w:rPr>
          <w:color w:val="000000" w:themeColor="text1"/>
          <w:kern w:val="2"/>
          <w:sz w:val="20"/>
        </w:rPr>
        <w:t xml:space="preserve">tate where the other party resides or has its place of business, </w:t>
      </w:r>
      <w:r w:rsidR="003C4A9B" w:rsidRPr="00DA5EB5">
        <w:rPr>
          <w:color w:val="000000" w:themeColor="text1"/>
          <w:kern w:val="2"/>
          <w:sz w:val="20"/>
        </w:rPr>
        <w:t xml:space="preserve">as the party will </w:t>
      </w:r>
      <w:r w:rsidR="00523BDB" w:rsidRPr="00DA5EB5">
        <w:rPr>
          <w:color w:val="000000" w:themeColor="text1"/>
          <w:kern w:val="2"/>
          <w:sz w:val="20"/>
        </w:rPr>
        <w:t>face</w:t>
      </w:r>
      <w:r w:rsidR="0039697D" w:rsidRPr="00DA5EB5">
        <w:rPr>
          <w:color w:val="000000" w:themeColor="text1"/>
          <w:kern w:val="2"/>
          <w:sz w:val="20"/>
        </w:rPr>
        <w:t xml:space="preserve"> </w:t>
      </w:r>
      <w:r w:rsidRPr="00DA5EB5">
        <w:rPr>
          <w:color w:val="000000" w:themeColor="text1"/>
          <w:kern w:val="2"/>
          <w:sz w:val="20"/>
        </w:rPr>
        <w:t>litigation in foreign courts, before foreign judges, in a foreign language and with the assistance of foreign legal counsel. This is particularly true in cases where one of the parties is located in a country with high corruption risk or is itself a sovereign state or state entity.</w:t>
      </w:r>
    </w:p>
    <w:p w14:paraId="6C188E74" w14:textId="3EC8E7DC" w:rsidR="0067066E" w:rsidRPr="00DA5EB5" w:rsidRDefault="003C4A9B" w:rsidP="007C3517">
      <w:pPr>
        <w:rPr>
          <w:color w:val="000000" w:themeColor="text1"/>
          <w:kern w:val="2"/>
          <w:sz w:val="20"/>
        </w:rPr>
      </w:pPr>
      <w:r w:rsidRPr="00DA5EB5">
        <w:rPr>
          <w:color w:val="000000" w:themeColor="text1"/>
          <w:kern w:val="2"/>
          <w:sz w:val="20"/>
        </w:rPr>
        <w:t>In</w:t>
      </w:r>
      <w:r w:rsidR="0067066E" w:rsidRPr="00DA5EB5">
        <w:rPr>
          <w:color w:val="000000" w:themeColor="text1"/>
          <w:kern w:val="2"/>
          <w:sz w:val="20"/>
        </w:rPr>
        <w:t xml:space="preserve"> international arbitration</w:t>
      </w:r>
      <w:r w:rsidRPr="00DA5EB5">
        <w:rPr>
          <w:color w:val="000000" w:themeColor="text1"/>
          <w:kern w:val="2"/>
          <w:sz w:val="20"/>
        </w:rPr>
        <w:t>,</w:t>
      </w:r>
      <w:r w:rsidR="0067066E" w:rsidRPr="00DA5EB5">
        <w:rPr>
          <w:color w:val="000000" w:themeColor="text1"/>
          <w:kern w:val="2"/>
          <w:sz w:val="20"/>
        </w:rPr>
        <w:t xml:space="preserve"> the parties are free to agree on a neutral place and language of proceedings. For instance, a corporation from Germany and a state-owned enterprise from Indonesia may agree to arbitrate their disputes pursuant to the ICC Arbitration Rules with the proceedings being held in a major business center (such as Geneva, Hong Kong, London, New York, Paris or Singapore) in English. Furthermore, the parties are generally given an opportunity to participate in the selection of the tribunal (usually, both parties jointly choose a sole arbitrator or, if the arbitral tribunal is to consist of three arbitrators, each party m</w:t>
      </w:r>
      <w:r w:rsidR="006D3A36" w:rsidRPr="00DA5EB5">
        <w:rPr>
          <w:color w:val="000000" w:themeColor="text1"/>
          <w:kern w:val="2"/>
          <w:sz w:val="20"/>
        </w:rPr>
        <w:t>a</w:t>
      </w:r>
      <w:r w:rsidR="0067066E" w:rsidRPr="00DA5EB5">
        <w:rPr>
          <w:color w:val="000000" w:themeColor="text1"/>
          <w:kern w:val="2"/>
          <w:sz w:val="20"/>
        </w:rPr>
        <w:t>y nominate one and the presiding arbitrator will be either agreed on by the two party-appointed arbitrators or chosen by the appointing authority), but each arbitrator is required to be and re</w:t>
      </w:r>
      <w:r w:rsidR="003F5B60" w:rsidRPr="00DA5EB5">
        <w:rPr>
          <w:color w:val="000000" w:themeColor="text1"/>
          <w:kern w:val="2"/>
          <w:sz w:val="20"/>
        </w:rPr>
        <w:t>main independent and impartial.</w:t>
      </w:r>
    </w:p>
    <w:p w14:paraId="0D929C6A" w14:textId="4D08E85B" w:rsidR="0067066E" w:rsidRPr="00DA5EB5" w:rsidRDefault="0067066E" w:rsidP="007C3517">
      <w:pPr>
        <w:rPr>
          <w:color w:val="000000" w:themeColor="text1"/>
          <w:kern w:val="2"/>
          <w:sz w:val="20"/>
        </w:rPr>
      </w:pPr>
      <w:r w:rsidRPr="00DA5EB5">
        <w:rPr>
          <w:color w:val="000000" w:themeColor="text1"/>
          <w:kern w:val="2"/>
          <w:sz w:val="20"/>
        </w:rPr>
        <w:t>In other words, the parties are free to tailor their arbitration agreement to their wishes and the specifics of a particular transaction. For instance, if their venture concerns construction</w:t>
      </w:r>
      <w:r w:rsidR="00D616AF" w:rsidRPr="00DA5EB5">
        <w:rPr>
          <w:color w:val="000000" w:themeColor="text1"/>
          <w:kern w:val="2"/>
          <w:sz w:val="20"/>
        </w:rPr>
        <w:t>,</w:t>
      </w:r>
      <w:r w:rsidRPr="00DA5EB5">
        <w:rPr>
          <w:color w:val="000000" w:themeColor="text1"/>
          <w:kern w:val="2"/>
          <w:sz w:val="20"/>
        </w:rPr>
        <w:t xml:space="preserve"> exploration activities, insurance or </w:t>
      </w:r>
      <w:r w:rsidR="00D616AF" w:rsidRPr="00DA5EB5">
        <w:rPr>
          <w:color w:val="000000" w:themeColor="text1"/>
          <w:kern w:val="2"/>
          <w:sz w:val="20"/>
        </w:rPr>
        <w:t xml:space="preserve">the </w:t>
      </w:r>
      <w:r w:rsidRPr="00DA5EB5">
        <w:rPr>
          <w:color w:val="000000" w:themeColor="text1"/>
          <w:kern w:val="2"/>
          <w:sz w:val="20"/>
        </w:rPr>
        <w:t xml:space="preserve">telecommunications business, the parties may provide for specialized procedures for presenting expert evidence or agree that prospective arbitrators have to possess certain technical expertise or be members of a particular professional association. </w:t>
      </w:r>
    </w:p>
    <w:p w14:paraId="5DFBD464" w14:textId="7995E541" w:rsidR="007672A6" w:rsidRPr="00DA5EB5" w:rsidRDefault="007672A6" w:rsidP="007C3517">
      <w:pPr>
        <w:pStyle w:val="Heading3"/>
        <w:rPr>
          <w:kern w:val="2"/>
          <w:sz w:val="22"/>
        </w:rPr>
      </w:pPr>
      <w:r w:rsidRPr="00DA5EB5">
        <w:rPr>
          <w:kern w:val="2"/>
          <w:sz w:val="22"/>
        </w:rPr>
        <w:t>Enforceability of Arbitration Agreements</w:t>
      </w:r>
    </w:p>
    <w:p w14:paraId="5F50AA5E" w14:textId="2DB9D016" w:rsidR="00734C8A" w:rsidRPr="00DA5EB5" w:rsidRDefault="00734C8A" w:rsidP="007C3517">
      <w:pPr>
        <w:rPr>
          <w:color w:val="000000" w:themeColor="text1"/>
          <w:kern w:val="2"/>
          <w:sz w:val="20"/>
        </w:rPr>
      </w:pPr>
      <w:r w:rsidRPr="00DA5EB5">
        <w:rPr>
          <w:color w:val="000000" w:themeColor="text1"/>
          <w:kern w:val="2"/>
          <w:sz w:val="20"/>
        </w:rPr>
        <w:t>Another important characteristic of international arbitration is the enforceability of arbitration agreements. Article II(3) of the New York Convention, which is in force in some 156 states,</w:t>
      </w:r>
      <w:r w:rsidRPr="00DA5EB5">
        <w:rPr>
          <w:rStyle w:val="FootnoteReference"/>
          <w:color w:val="000000" w:themeColor="text1"/>
          <w:kern w:val="2"/>
          <w:sz w:val="18"/>
        </w:rPr>
        <w:footnoteReference w:id="262"/>
      </w:r>
      <w:r w:rsidRPr="00DA5EB5">
        <w:rPr>
          <w:color w:val="000000" w:themeColor="text1"/>
          <w:kern w:val="2"/>
          <w:sz w:val="20"/>
        </w:rPr>
        <w:t xml:space="preserve"> requires the courts to refer the parties to arbitration if one of them commences litigation in respect of a matter subject to an arbitration agreement.</w:t>
      </w:r>
      <w:r w:rsidR="007D5917" w:rsidRPr="00DA5EB5">
        <w:rPr>
          <w:rStyle w:val="FootnoteReference"/>
          <w:color w:val="000000" w:themeColor="text1"/>
          <w:kern w:val="2"/>
          <w:sz w:val="18"/>
        </w:rPr>
        <w:footnoteReference w:id="263"/>
      </w:r>
      <w:r w:rsidR="007D5917" w:rsidRPr="00DA5EB5">
        <w:rPr>
          <w:color w:val="000000" w:themeColor="text1"/>
          <w:kern w:val="2"/>
          <w:sz w:val="20"/>
        </w:rPr>
        <w:t xml:space="preserve"> </w:t>
      </w:r>
      <w:r w:rsidRPr="00DA5EB5">
        <w:rPr>
          <w:color w:val="000000" w:themeColor="text1"/>
          <w:kern w:val="2"/>
          <w:sz w:val="20"/>
        </w:rPr>
        <w:t xml:space="preserve"> In the same manner, the </w:t>
      </w:r>
      <w:r w:rsidR="007A0AF5" w:rsidRPr="00DA5EB5">
        <w:rPr>
          <w:color w:val="000000" w:themeColor="text1"/>
          <w:kern w:val="2"/>
          <w:sz w:val="20"/>
        </w:rPr>
        <w:t>US</w:t>
      </w:r>
      <w:r w:rsidRPr="00DA5EB5">
        <w:rPr>
          <w:color w:val="000000" w:themeColor="text1"/>
          <w:kern w:val="2"/>
          <w:sz w:val="20"/>
        </w:rPr>
        <w:t xml:space="preserve"> </w:t>
      </w:r>
      <w:r w:rsidRPr="00DA5EB5">
        <w:rPr>
          <w:i/>
          <w:color w:val="000000" w:themeColor="text1"/>
          <w:kern w:val="2"/>
          <w:sz w:val="20"/>
        </w:rPr>
        <w:t>Federal Arbitration Act</w:t>
      </w:r>
      <w:r w:rsidRPr="00DA5EB5">
        <w:rPr>
          <w:rStyle w:val="FootnoteReference"/>
          <w:color w:val="000000" w:themeColor="text1"/>
          <w:kern w:val="2"/>
          <w:sz w:val="18"/>
        </w:rPr>
        <w:footnoteReference w:id="264"/>
      </w:r>
      <w:r w:rsidRPr="00DA5EB5">
        <w:rPr>
          <w:color w:val="000000" w:themeColor="text1"/>
          <w:kern w:val="2"/>
          <w:sz w:val="20"/>
        </w:rPr>
        <w:t xml:space="preserve"> stipulates that court proceedings </w:t>
      </w:r>
      <w:r w:rsidR="007A0AF5" w:rsidRPr="00DA5EB5">
        <w:rPr>
          <w:color w:val="000000" w:themeColor="text1"/>
          <w:kern w:val="2"/>
          <w:sz w:val="20"/>
        </w:rPr>
        <w:t>must be</w:t>
      </w:r>
      <w:r w:rsidRPr="00DA5EB5">
        <w:rPr>
          <w:color w:val="000000" w:themeColor="text1"/>
          <w:kern w:val="2"/>
          <w:sz w:val="20"/>
        </w:rPr>
        <w:t xml:space="preserve"> stayed where the matter in dispute is </w:t>
      </w:r>
      <w:proofErr w:type="spellStart"/>
      <w:r w:rsidRPr="00DA5EB5">
        <w:rPr>
          <w:color w:val="000000" w:themeColor="text1"/>
          <w:kern w:val="2"/>
          <w:sz w:val="20"/>
        </w:rPr>
        <w:t>referable</w:t>
      </w:r>
      <w:proofErr w:type="spellEnd"/>
      <w:r w:rsidRPr="00DA5EB5">
        <w:rPr>
          <w:color w:val="000000" w:themeColor="text1"/>
          <w:kern w:val="2"/>
          <w:sz w:val="20"/>
        </w:rPr>
        <w:t xml:space="preserve"> to arbitration. Similarly, the </w:t>
      </w:r>
      <w:r w:rsidRPr="00DA5EB5">
        <w:rPr>
          <w:i/>
          <w:color w:val="000000" w:themeColor="text1"/>
          <w:kern w:val="2"/>
          <w:sz w:val="20"/>
        </w:rPr>
        <w:t>Arbitration Act</w:t>
      </w:r>
      <w:r w:rsidRPr="00DA5EB5">
        <w:rPr>
          <w:color w:val="000000" w:themeColor="text1"/>
          <w:kern w:val="2"/>
          <w:sz w:val="20"/>
        </w:rPr>
        <w:t xml:space="preserve"> in the UK provides for </w:t>
      </w:r>
      <w:r w:rsidR="007A0AF5" w:rsidRPr="00DA5EB5">
        <w:rPr>
          <w:color w:val="000000" w:themeColor="text1"/>
          <w:kern w:val="2"/>
          <w:sz w:val="20"/>
        </w:rPr>
        <w:t xml:space="preserve">a </w:t>
      </w:r>
      <w:r w:rsidRPr="00DA5EB5">
        <w:rPr>
          <w:color w:val="000000" w:themeColor="text1"/>
          <w:kern w:val="2"/>
          <w:sz w:val="20"/>
        </w:rPr>
        <w:t>stay of proceedings.</w:t>
      </w:r>
      <w:r w:rsidRPr="00DA5EB5">
        <w:rPr>
          <w:rStyle w:val="FootnoteReference"/>
          <w:color w:val="000000" w:themeColor="text1"/>
          <w:kern w:val="2"/>
          <w:sz w:val="18"/>
        </w:rPr>
        <w:footnoteReference w:id="265"/>
      </w:r>
    </w:p>
    <w:p w14:paraId="34A4B79C" w14:textId="316E5391" w:rsidR="00734C8A" w:rsidRPr="00DA5EB5" w:rsidRDefault="00734C8A" w:rsidP="007C3517">
      <w:pPr>
        <w:rPr>
          <w:color w:val="000000" w:themeColor="text1"/>
          <w:kern w:val="2"/>
          <w:sz w:val="20"/>
        </w:rPr>
      </w:pPr>
      <w:r w:rsidRPr="00DA5EB5">
        <w:rPr>
          <w:color w:val="000000" w:themeColor="text1"/>
          <w:kern w:val="2"/>
          <w:sz w:val="20"/>
        </w:rPr>
        <w:t>In Canada, arbitration</w:t>
      </w:r>
      <w:r w:rsidR="007A0AF5" w:rsidRPr="00DA5EB5">
        <w:rPr>
          <w:color w:val="000000" w:themeColor="text1"/>
          <w:kern w:val="2"/>
          <w:sz w:val="20"/>
        </w:rPr>
        <w:t xml:space="preserve"> legislation</w:t>
      </w:r>
      <w:r w:rsidRPr="00DA5EB5">
        <w:rPr>
          <w:color w:val="000000" w:themeColor="text1"/>
          <w:kern w:val="2"/>
          <w:sz w:val="20"/>
        </w:rPr>
        <w:t xml:space="preserve"> adopted at federal, provincial and territorial levels </w:t>
      </w:r>
      <w:r w:rsidR="007A0AF5" w:rsidRPr="00DA5EB5">
        <w:rPr>
          <w:color w:val="000000" w:themeColor="text1"/>
          <w:kern w:val="2"/>
          <w:sz w:val="20"/>
        </w:rPr>
        <w:t>is</w:t>
      </w:r>
      <w:r w:rsidRPr="00DA5EB5">
        <w:rPr>
          <w:color w:val="000000" w:themeColor="text1"/>
          <w:kern w:val="2"/>
          <w:sz w:val="20"/>
        </w:rPr>
        <w:t xml:space="preserve"> based on the UNCITRAL Model Law on International Commercial Arbitration,</w:t>
      </w:r>
      <w:r w:rsidRPr="00DA5EB5">
        <w:rPr>
          <w:rStyle w:val="FootnoteReference"/>
          <w:color w:val="000000" w:themeColor="text1"/>
          <w:kern w:val="2"/>
          <w:sz w:val="18"/>
        </w:rPr>
        <w:footnoteReference w:id="266"/>
      </w:r>
      <w:r w:rsidRPr="00DA5EB5">
        <w:rPr>
          <w:color w:val="000000" w:themeColor="text1"/>
          <w:kern w:val="2"/>
          <w:sz w:val="20"/>
        </w:rPr>
        <w:t xml:space="preserve"> which states that:</w:t>
      </w:r>
    </w:p>
    <w:p w14:paraId="2E249EE2" w14:textId="7088A5EF" w:rsidR="00734C8A" w:rsidRPr="00DA5EB5" w:rsidRDefault="00734C8A" w:rsidP="007C3517">
      <w:pPr>
        <w:pStyle w:val="BlockQuote"/>
        <w:rPr>
          <w:kern w:val="2"/>
          <w:sz w:val="20"/>
        </w:rPr>
      </w:pPr>
      <w:r w:rsidRPr="00DA5EB5">
        <w:rPr>
          <w:kern w:val="2"/>
          <w:sz w:val="20"/>
        </w:rPr>
        <w:t>A court before which an action is brought in a matter which is the subject of an arbitration agreement shall, if a party so requests not later than when submitting his first statement on the substance of the dispute, refer the parties to arbitration unless it finds that the agreement is null and void, inoperative or incapable of being performed.</w:t>
      </w:r>
      <w:r w:rsidR="00084AD3" w:rsidRPr="00DA5EB5">
        <w:rPr>
          <w:rStyle w:val="FootnoteReference"/>
          <w:color w:val="000000" w:themeColor="text1"/>
          <w:kern w:val="2"/>
          <w:sz w:val="18"/>
        </w:rPr>
        <w:footnoteReference w:id="267"/>
      </w:r>
    </w:p>
    <w:p w14:paraId="4DF01B51" w14:textId="5C07E62A" w:rsidR="00734C8A" w:rsidRPr="00DA5EB5" w:rsidRDefault="00734C8A" w:rsidP="005A2F7A">
      <w:pPr>
        <w:rPr>
          <w:color w:val="000000" w:themeColor="text1"/>
          <w:kern w:val="2"/>
          <w:sz w:val="20"/>
        </w:rPr>
      </w:pPr>
      <w:r w:rsidRPr="00DA5EB5">
        <w:rPr>
          <w:color w:val="000000" w:themeColor="text1"/>
          <w:kern w:val="2"/>
          <w:sz w:val="20"/>
        </w:rPr>
        <w:t xml:space="preserve">In conclusion, if a claim which is subject to </w:t>
      </w:r>
      <w:r w:rsidR="007A0AF5" w:rsidRPr="00DA5EB5">
        <w:rPr>
          <w:color w:val="000000" w:themeColor="text1"/>
          <w:kern w:val="2"/>
          <w:sz w:val="20"/>
        </w:rPr>
        <w:t xml:space="preserve">an </w:t>
      </w:r>
      <w:r w:rsidRPr="00DA5EB5">
        <w:rPr>
          <w:color w:val="000000" w:themeColor="text1"/>
          <w:kern w:val="2"/>
          <w:sz w:val="20"/>
        </w:rPr>
        <w:t xml:space="preserve">arbitration agreement is brought before the court in the </w:t>
      </w:r>
      <w:r w:rsidR="007A0AF5" w:rsidRPr="00DA5EB5">
        <w:rPr>
          <w:color w:val="000000" w:themeColor="text1"/>
          <w:kern w:val="2"/>
          <w:sz w:val="20"/>
        </w:rPr>
        <w:t>US</w:t>
      </w:r>
      <w:r w:rsidRPr="00DA5EB5">
        <w:rPr>
          <w:color w:val="000000" w:themeColor="text1"/>
          <w:kern w:val="2"/>
          <w:sz w:val="20"/>
        </w:rPr>
        <w:t xml:space="preserve">, </w:t>
      </w:r>
      <w:r w:rsidR="007A0AF5" w:rsidRPr="00DA5EB5">
        <w:rPr>
          <w:color w:val="000000" w:themeColor="text1"/>
          <w:kern w:val="2"/>
          <w:sz w:val="20"/>
        </w:rPr>
        <w:t>UK</w:t>
      </w:r>
      <w:r w:rsidRPr="00DA5EB5">
        <w:rPr>
          <w:color w:val="000000" w:themeColor="text1"/>
          <w:kern w:val="2"/>
          <w:sz w:val="20"/>
        </w:rPr>
        <w:t xml:space="preserve"> or Canada, the court will stay the proceedings and refer the parties to arbitration</w:t>
      </w:r>
      <w:r w:rsidR="007A0AF5" w:rsidRPr="00DA5EB5">
        <w:rPr>
          <w:color w:val="000000" w:themeColor="text1"/>
          <w:kern w:val="2"/>
          <w:sz w:val="20"/>
        </w:rPr>
        <w:t>,</w:t>
      </w:r>
      <w:r w:rsidRPr="00DA5EB5">
        <w:rPr>
          <w:color w:val="000000" w:themeColor="text1"/>
          <w:kern w:val="2"/>
          <w:sz w:val="20"/>
        </w:rPr>
        <w:t xml:space="preserve"> as long as the arbitration agreement is not null and void, inoperative or incapable of being performed. Furthermore, it is a well-established principle that </w:t>
      </w:r>
      <w:r w:rsidR="0029474F" w:rsidRPr="00DA5EB5">
        <w:rPr>
          <w:color w:val="000000" w:themeColor="text1"/>
          <w:kern w:val="2"/>
          <w:sz w:val="20"/>
        </w:rPr>
        <w:t>an</w:t>
      </w:r>
      <w:r w:rsidRPr="00DA5EB5">
        <w:rPr>
          <w:color w:val="000000" w:themeColor="text1"/>
          <w:kern w:val="2"/>
          <w:sz w:val="20"/>
        </w:rPr>
        <w:t xml:space="preserve"> arbitration clause is deemed to be separate from the contract of which it forms </w:t>
      </w:r>
      <w:r w:rsidR="0029474F" w:rsidRPr="00DA5EB5">
        <w:rPr>
          <w:color w:val="000000" w:themeColor="text1"/>
          <w:kern w:val="2"/>
          <w:sz w:val="20"/>
        </w:rPr>
        <w:t xml:space="preserve">a </w:t>
      </w:r>
      <w:r w:rsidRPr="00DA5EB5">
        <w:rPr>
          <w:color w:val="000000" w:themeColor="text1"/>
          <w:kern w:val="2"/>
          <w:sz w:val="20"/>
        </w:rPr>
        <w:t xml:space="preserve">part and, as such, </w:t>
      </w:r>
      <w:r w:rsidR="0029474F" w:rsidRPr="00DA5EB5">
        <w:rPr>
          <w:color w:val="000000" w:themeColor="text1"/>
          <w:kern w:val="2"/>
          <w:sz w:val="20"/>
        </w:rPr>
        <w:t xml:space="preserve">it </w:t>
      </w:r>
      <w:r w:rsidRPr="00DA5EB5">
        <w:rPr>
          <w:color w:val="000000" w:themeColor="text1"/>
          <w:kern w:val="2"/>
          <w:sz w:val="20"/>
        </w:rPr>
        <w:t>survives the termination or invalid</w:t>
      </w:r>
      <w:r w:rsidR="0029474F" w:rsidRPr="00DA5EB5">
        <w:rPr>
          <w:color w:val="000000" w:themeColor="text1"/>
          <w:kern w:val="2"/>
          <w:sz w:val="20"/>
        </w:rPr>
        <w:t>ation</w:t>
      </w:r>
      <w:r w:rsidRPr="00DA5EB5">
        <w:rPr>
          <w:color w:val="000000" w:themeColor="text1"/>
          <w:kern w:val="2"/>
          <w:sz w:val="20"/>
        </w:rPr>
        <w:t xml:space="preserve"> of that contract.</w:t>
      </w:r>
      <w:r w:rsidRPr="00DA5EB5">
        <w:rPr>
          <w:rStyle w:val="FootnoteReference"/>
          <w:color w:val="000000" w:themeColor="text1"/>
          <w:kern w:val="2"/>
          <w:sz w:val="18"/>
        </w:rPr>
        <w:footnoteReference w:id="268"/>
      </w:r>
    </w:p>
    <w:p w14:paraId="0F54DCC1" w14:textId="7CAD4C19" w:rsidR="00734C8A" w:rsidRPr="00DA5EB5" w:rsidRDefault="00734C8A" w:rsidP="007C3517">
      <w:pPr>
        <w:rPr>
          <w:color w:val="000000" w:themeColor="text1"/>
          <w:kern w:val="2"/>
          <w:sz w:val="20"/>
        </w:rPr>
      </w:pPr>
      <w:r w:rsidRPr="00DA5EB5">
        <w:rPr>
          <w:color w:val="000000" w:themeColor="text1"/>
          <w:kern w:val="2"/>
          <w:sz w:val="20"/>
        </w:rPr>
        <w:t xml:space="preserve">In the </w:t>
      </w:r>
      <w:r w:rsidR="0056359D" w:rsidRPr="00DA5EB5">
        <w:rPr>
          <w:color w:val="000000" w:themeColor="text1"/>
          <w:kern w:val="2"/>
          <w:sz w:val="20"/>
        </w:rPr>
        <w:t>UK</w:t>
      </w:r>
      <w:r w:rsidRPr="00DA5EB5">
        <w:rPr>
          <w:color w:val="000000" w:themeColor="text1"/>
          <w:kern w:val="2"/>
          <w:sz w:val="20"/>
        </w:rPr>
        <w:t xml:space="preserve">, the principle of </w:t>
      </w:r>
      <w:r w:rsidR="0056359D" w:rsidRPr="00DA5EB5">
        <w:rPr>
          <w:color w:val="000000" w:themeColor="text1"/>
          <w:kern w:val="2"/>
          <w:sz w:val="20"/>
        </w:rPr>
        <w:t xml:space="preserve">the </w:t>
      </w:r>
      <w:proofErr w:type="spellStart"/>
      <w:r w:rsidRPr="00DA5EB5">
        <w:rPr>
          <w:color w:val="000000" w:themeColor="text1"/>
          <w:kern w:val="2"/>
          <w:sz w:val="20"/>
        </w:rPr>
        <w:t>separability</w:t>
      </w:r>
      <w:proofErr w:type="spellEnd"/>
      <w:r w:rsidRPr="00DA5EB5">
        <w:rPr>
          <w:color w:val="000000" w:themeColor="text1"/>
          <w:kern w:val="2"/>
          <w:sz w:val="20"/>
        </w:rPr>
        <w:t xml:space="preserve"> of </w:t>
      </w:r>
      <w:r w:rsidR="0056359D" w:rsidRPr="00DA5EB5">
        <w:rPr>
          <w:color w:val="000000" w:themeColor="text1"/>
          <w:kern w:val="2"/>
          <w:sz w:val="20"/>
        </w:rPr>
        <w:t xml:space="preserve">an </w:t>
      </w:r>
      <w:r w:rsidRPr="00DA5EB5">
        <w:rPr>
          <w:color w:val="000000" w:themeColor="text1"/>
          <w:kern w:val="2"/>
          <w:sz w:val="20"/>
        </w:rPr>
        <w:t>arbitration agreement is embodied is s</w:t>
      </w:r>
      <w:r w:rsidR="0056359D" w:rsidRPr="00DA5EB5">
        <w:rPr>
          <w:color w:val="000000" w:themeColor="text1"/>
          <w:kern w:val="2"/>
          <w:sz w:val="20"/>
        </w:rPr>
        <w:t>ection</w:t>
      </w:r>
      <w:r w:rsidRPr="00DA5EB5">
        <w:rPr>
          <w:color w:val="000000" w:themeColor="text1"/>
          <w:kern w:val="2"/>
          <w:sz w:val="20"/>
        </w:rPr>
        <w:t xml:space="preserve"> 7 of the </w:t>
      </w:r>
      <w:r w:rsidRPr="00DA5EB5">
        <w:rPr>
          <w:i/>
          <w:color w:val="000000" w:themeColor="text1"/>
          <w:kern w:val="2"/>
          <w:sz w:val="20"/>
        </w:rPr>
        <w:t>Arbitration Act</w:t>
      </w:r>
      <w:r w:rsidR="0056359D" w:rsidRPr="00DA5EB5">
        <w:rPr>
          <w:i/>
          <w:color w:val="000000" w:themeColor="text1"/>
          <w:kern w:val="2"/>
          <w:sz w:val="20"/>
        </w:rPr>
        <w:t xml:space="preserve"> 1996</w:t>
      </w:r>
      <w:r w:rsidRPr="00DA5EB5">
        <w:rPr>
          <w:color w:val="000000" w:themeColor="text1"/>
          <w:kern w:val="2"/>
          <w:sz w:val="20"/>
        </w:rPr>
        <w:t xml:space="preserve">: </w:t>
      </w:r>
    </w:p>
    <w:p w14:paraId="45A581EC" w14:textId="77777777" w:rsidR="00734C8A" w:rsidRPr="00DA5EB5" w:rsidRDefault="00734C8A" w:rsidP="007C3517">
      <w:pPr>
        <w:pStyle w:val="BlockQuote"/>
        <w:rPr>
          <w:kern w:val="2"/>
          <w:sz w:val="20"/>
        </w:rPr>
      </w:pPr>
      <w:r w:rsidRPr="00DA5EB5">
        <w:rPr>
          <w:kern w:val="2"/>
          <w:sz w:val="20"/>
        </w:rPr>
        <w:t>Unless otherwise agreed by the parties, an arbitration agreement which forms or was intended to form part of another agreement (whether or not in writing) shall not be regarded as invalid, non-existent or ineffective because that other agreement is invalid, or did not come into existence or has become ineffective, and it shall for that purpose be treated as a distinct agreement.</w:t>
      </w:r>
    </w:p>
    <w:p w14:paraId="79762235" w14:textId="4F515193" w:rsidR="00734C8A" w:rsidRPr="00DA5EB5" w:rsidRDefault="00734C8A" w:rsidP="005A2F7A">
      <w:pPr>
        <w:rPr>
          <w:color w:val="000000" w:themeColor="text1"/>
          <w:kern w:val="2"/>
          <w:sz w:val="20"/>
        </w:rPr>
      </w:pPr>
      <w:r w:rsidRPr="00DA5EB5">
        <w:rPr>
          <w:color w:val="000000" w:themeColor="text1"/>
          <w:kern w:val="2"/>
          <w:sz w:val="20"/>
        </w:rPr>
        <w:t>The UNCITRAL Model Law has a similar provision:</w:t>
      </w:r>
    </w:p>
    <w:p w14:paraId="440B4589" w14:textId="7DB36637" w:rsidR="00734C8A" w:rsidRPr="00DA5EB5" w:rsidRDefault="00734C8A" w:rsidP="007C3517">
      <w:pPr>
        <w:pStyle w:val="BlockQuote"/>
        <w:rPr>
          <w:kern w:val="2"/>
          <w:sz w:val="20"/>
        </w:rPr>
      </w:pPr>
      <w:r w:rsidRPr="00DA5EB5">
        <w:rPr>
          <w:kern w:val="2"/>
          <w:sz w:val="20"/>
        </w:rPr>
        <w:t>The arbitral tribunal may rule on its own jurisdiction, including any objections with respect to the existence or validity of the arbitration agreement. For that purpose, an arbitration clause which forms part of a contract shall be treated as an agreement independent of the other terms of the contract. A decision by the arbitral tribunal that the contract is null and void shall not entail ipso jure the invalidity of the arbitration clause.</w:t>
      </w:r>
      <w:r w:rsidR="004E7D81" w:rsidRPr="00DA5EB5">
        <w:rPr>
          <w:rStyle w:val="FootnoteReference"/>
          <w:color w:val="000000" w:themeColor="text1"/>
          <w:kern w:val="2"/>
          <w:sz w:val="18"/>
        </w:rPr>
        <w:footnoteReference w:id="269"/>
      </w:r>
    </w:p>
    <w:p w14:paraId="16DF4389" w14:textId="4A37929D" w:rsidR="00734C8A" w:rsidRPr="00DA5EB5" w:rsidRDefault="00734C8A" w:rsidP="007C3517">
      <w:pPr>
        <w:rPr>
          <w:color w:val="000000" w:themeColor="text1"/>
          <w:kern w:val="2"/>
          <w:sz w:val="20"/>
        </w:rPr>
      </w:pPr>
      <w:r w:rsidRPr="00DA5EB5">
        <w:rPr>
          <w:color w:val="000000" w:themeColor="text1"/>
          <w:kern w:val="2"/>
          <w:sz w:val="20"/>
        </w:rPr>
        <w:t xml:space="preserve">The principle of </w:t>
      </w:r>
      <w:proofErr w:type="spellStart"/>
      <w:r w:rsidRPr="00DA5EB5">
        <w:rPr>
          <w:color w:val="000000" w:themeColor="text1"/>
          <w:kern w:val="2"/>
          <w:sz w:val="20"/>
        </w:rPr>
        <w:t>separability</w:t>
      </w:r>
      <w:proofErr w:type="spellEnd"/>
      <w:r w:rsidRPr="00DA5EB5">
        <w:rPr>
          <w:color w:val="000000" w:themeColor="text1"/>
          <w:kern w:val="2"/>
          <w:sz w:val="20"/>
        </w:rPr>
        <w:t xml:space="preserve"> </w:t>
      </w:r>
      <w:r w:rsidR="0056359D" w:rsidRPr="00DA5EB5">
        <w:rPr>
          <w:color w:val="000000" w:themeColor="text1"/>
          <w:kern w:val="2"/>
          <w:sz w:val="20"/>
        </w:rPr>
        <w:t>prevents parties from</w:t>
      </w:r>
      <w:r w:rsidRPr="00DA5EB5">
        <w:rPr>
          <w:color w:val="000000" w:themeColor="text1"/>
          <w:kern w:val="2"/>
          <w:sz w:val="20"/>
        </w:rPr>
        <w:t xml:space="preserve"> frustrat</w:t>
      </w:r>
      <w:r w:rsidR="0056359D" w:rsidRPr="00DA5EB5">
        <w:rPr>
          <w:color w:val="000000" w:themeColor="text1"/>
          <w:kern w:val="2"/>
          <w:sz w:val="20"/>
        </w:rPr>
        <w:t>ing an</w:t>
      </w:r>
      <w:r w:rsidRPr="00DA5EB5">
        <w:rPr>
          <w:color w:val="000000" w:themeColor="text1"/>
          <w:kern w:val="2"/>
          <w:sz w:val="20"/>
        </w:rPr>
        <w:t xml:space="preserve"> arbitration </w:t>
      </w:r>
      <w:r w:rsidR="0056359D" w:rsidRPr="00DA5EB5">
        <w:rPr>
          <w:color w:val="000000" w:themeColor="text1"/>
          <w:kern w:val="2"/>
          <w:sz w:val="20"/>
        </w:rPr>
        <w:t xml:space="preserve">agreement </w:t>
      </w:r>
      <w:r w:rsidRPr="00DA5EB5">
        <w:rPr>
          <w:color w:val="000000" w:themeColor="text1"/>
          <w:kern w:val="2"/>
          <w:sz w:val="20"/>
        </w:rPr>
        <w:t xml:space="preserve">by </w:t>
      </w:r>
      <w:r w:rsidR="00F83589" w:rsidRPr="00DA5EB5">
        <w:rPr>
          <w:color w:val="000000" w:themeColor="text1"/>
          <w:kern w:val="2"/>
          <w:sz w:val="20"/>
        </w:rPr>
        <w:t>attempting to terminate</w:t>
      </w:r>
      <w:r w:rsidR="0056359D" w:rsidRPr="00DA5EB5">
        <w:rPr>
          <w:color w:val="000000" w:themeColor="text1"/>
          <w:kern w:val="2"/>
          <w:sz w:val="20"/>
        </w:rPr>
        <w:t xml:space="preserve"> </w:t>
      </w:r>
      <w:r w:rsidR="003F5B60" w:rsidRPr="00DA5EB5">
        <w:rPr>
          <w:color w:val="000000" w:themeColor="text1"/>
          <w:kern w:val="2"/>
          <w:sz w:val="20"/>
        </w:rPr>
        <w:t>or invalidate</w:t>
      </w:r>
      <w:r w:rsidRPr="00DA5EB5">
        <w:rPr>
          <w:color w:val="000000" w:themeColor="text1"/>
          <w:kern w:val="2"/>
          <w:sz w:val="20"/>
        </w:rPr>
        <w:t xml:space="preserve"> the contract</w:t>
      </w:r>
      <w:r w:rsidR="0056359D" w:rsidRPr="00DA5EB5">
        <w:rPr>
          <w:color w:val="000000" w:themeColor="text1"/>
          <w:kern w:val="2"/>
          <w:sz w:val="20"/>
        </w:rPr>
        <w:t xml:space="preserve"> in which the</w:t>
      </w:r>
      <w:r w:rsidRPr="00DA5EB5">
        <w:rPr>
          <w:color w:val="000000" w:themeColor="text1"/>
          <w:kern w:val="2"/>
          <w:sz w:val="20"/>
        </w:rPr>
        <w:t xml:space="preserve"> arbitration clause</w:t>
      </w:r>
      <w:r w:rsidR="0056359D" w:rsidRPr="00DA5EB5">
        <w:rPr>
          <w:color w:val="000000" w:themeColor="text1"/>
          <w:kern w:val="2"/>
          <w:sz w:val="20"/>
        </w:rPr>
        <w:t xml:space="preserve"> appears. </w:t>
      </w:r>
      <w:r w:rsidRPr="00DA5EB5">
        <w:rPr>
          <w:color w:val="000000" w:themeColor="text1"/>
          <w:kern w:val="2"/>
          <w:sz w:val="20"/>
        </w:rPr>
        <w:t>For instance, if a high-ranking public official solicits a bribe by threatening to terminate a procurement contract and the party refuses to comply, the arbitration clause in the contract remains valid and the dispute will be settled by independent and impartial arbitrators rather than courts in the public official’s state. However, if the arbitration agreement itself was procured by corruption, the state courts would recognize it as null and void, and thus refuse to refer the matter to arbitration.</w:t>
      </w:r>
    </w:p>
    <w:p w14:paraId="210FE376" w14:textId="26270FDF" w:rsidR="007672A6" w:rsidRPr="00DA5EB5" w:rsidRDefault="007C56F9" w:rsidP="007C3517">
      <w:pPr>
        <w:pStyle w:val="Heading3"/>
        <w:rPr>
          <w:kern w:val="2"/>
          <w:sz w:val="22"/>
        </w:rPr>
      </w:pPr>
      <w:r w:rsidRPr="00DA5EB5">
        <w:rPr>
          <w:kern w:val="2"/>
          <w:sz w:val="22"/>
        </w:rPr>
        <w:t>Arbit</w:t>
      </w:r>
      <w:r w:rsidR="00FD5027" w:rsidRPr="00DA5EB5">
        <w:rPr>
          <w:kern w:val="2"/>
          <w:sz w:val="22"/>
        </w:rPr>
        <w:t>r</w:t>
      </w:r>
      <w:r w:rsidRPr="00DA5EB5">
        <w:rPr>
          <w:kern w:val="2"/>
          <w:sz w:val="22"/>
        </w:rPr>
        <w:t>al Awards Are Final and Binding</w:t>
      </w:r>
    </w:p>
    <w:p w14:paraId="1B591E89" w14:textId="6F95600C" w:rsidR="00734C8A" w:rsidRPr="00DA5EB5" w:rsidRDefault="00734C8A" w:rsidP="007C3517">
      <w:pPr>
        <w:rPr>
          <w:color w:val="000000" w:themeColor="text1"/>
          <w:kern w:val="2"/>
          <w:sz w:val="20"/>
        </w:rPr>
      </w:pPr>
      <w:r w:rsidRPr="00DA5EB5">
        <w:rPr>
          <w:color w:val="000000" w:themeColor="text1"/>
          <w:kern w:val="2"/>
          <w:sz w:val="20"/>
        </w:rPr>
        <w:t xml:space="preserve">Not only are arbitration agreements enforceable, but the tribunal’s awards are final and binding on the parties and may be enforced around the globe. In general, there is no possibility to appeal an arbitral award to a superior tribunal or national court, but a party may file an application with a competent state court to set the award aside on limited (mostly procedural) grounds. Also, under certain circumstances state courts may deny a request to enforce an arbitral award. This subsection gives an overview of setting aside and recognition and enforcement proceedings under the New York Convention, ICSID Convention, and national laws of the </w:t>
      </w:r>
      <w:r w:rsidR="00661D0A" w:rsidRPr="00DA5EB5">
        <w:rPr>
          <w:color w:val="000000" w:themeColor="text1"/>
          <w:kern w:val="2"/>
          <w:sz w:val="20"/>
        </w:rPr>
        <w:t>US</w:t>
      </w:r>
      <w:r w:rsidRPr="00DA5EB5">
        <w:rPr>
          <w:color w:val="000000" w:themeColor="text1"/>
          <w:kern w:val="2"/>
          <w:sz w:val="20"/>
        </w:rPr>
        <w:t xml:space="preserve">, </w:t>
      </w:r>
      <w:r w:rsidR="00661D0A" w:rsidRPr="00DA5EB5">
        <w:rPr>
          <w:color w:val="000000" w:themeColor="text1"/>
          <w:kern w:val="2"/>
          <w:sz w:val="20"/>
        </w:rPr>
        <w:t>UK</w:t>
      </w:r>
      <w:r w:rsidRPr="00DA5EB5">
        <w:rPr>
          <w:color w:val="000000" w:themeColor="text1"/>
          <w:kern w:val="2"/>
          <w:sz w:val="20"/>
        </w:rPr>
        <w:t xml:space="preserve"> and Canada. It explains that state courts may set aside (or refuse to enforce) arbitral awards procured by corruption or based on an investment or commercial agreement tainted by corruption.</w:t>
      </w:r>
    </w:p>
    <w:p w14:paraId="101F4BB5" w14:textId="1826C640" w:rsidR="007C56F9" w:rsidRPr="00DA5EB5" w:rsidRDefault="007C56F9" w:rsidP="007C3517">
      <w:pPr>
        <w:pStyle w:val="Heading4"/>
        <w:rPr>
          <w:kern w:val="2"/>
          <w:sz w:val="22"/>
        </w:rPr>
      </w:pPr>
      <w:r w:rsidRPr="00DA5EB5">
        <w:rPr>
          <w:kern w:val="2"/>
          <w:sz w:val="22"/>
        </w:rPr>
        <w:t>New York Convention</w:t>
      </w:r>
    </w:p>
    <w:p w14:paraId="6DC207A4" w14:textId="34BF741E" w:rsidR="00734C8A" w:rsidRPr="00DA5EB5" w:rsidRDefault="00734C8A" w:rsidP="007C3517">
      <w:pPr>
        <w:rPr>
          <w:color w:val="000000" w:themeColor="text1"/>
          <w:kern w:val="2"/>
          <w:sz w:val="20"/>
        </w:rPr>
      </w:pPr>
      <w:r w:rsidRPr="00DA5EB5">
        <w:rPr>
          <w:color w:val="000000" w:themeColor="text1"/>
          <w:kern w:val="2"/>
          <w:sz w:val="20"/>
        </w:rPr>
        <w:t xml:space="preserve">The New York Convention requires Contracting States to </w:t>
      </w:r>
      <w:r w:rsidR="00FD6DAC" w:rsidRPr="00DA5EB5">
        <w:rPr>
          <w:color w:val="000000" w:themeColor="text1"/>
          <w:kern w:val="2"/>
          <w:sz w:val="20"/>
        </w:rPr>
        <w:t>“</w:t>
      </w:r>
      <w:r w:rsidRPr="00DA5EB5">
        <w:rPr>
          <w:color w:val="000000" w:themeColor="text1"/>
          <w:kern w:val="2"/>
          <w:sz w:val="20"/>
        </w:rPr>
        <w:t>recognize arbitral awards as binding and enforce them in accordance with the rules of procedure of the territory where the award is relied upon</w:t>
      </w:r>
      <w:r w:rsidR="007873B5" w:rsidRPr="00DA5EB5">
        <w:rPr>
          <w:color w:val="000000" w:themeColor="text1"/>
          <w:kern w:val="2"/>
          <w:sz w:val="20"/>
        </w:rPr>
        <w:t>.</w:t>
      </w:r>
      <w:r w:rsidR="00FD6DAC" w:rsidRPr="00DA5EB5">
        <w:rPr>
          <w:color w:val="000000" w:themeColor="text1"/>
          <w:kern w:val="2"/>
          <w:sz w:val="20"/>
        </w:rPr>
        <w:t>”</w:t>
      </w:r>
      <w:r w:rsidRPr="00DA5EB5">
        <w:rPr>
          <w:rStyle w:val="FootnoteReference"/>
          <w:color w:val="000000" w:themeColor="text1"/>
          <w:kern w:val="2"/>
          <w:sz w:val="18"/>
        </w:rPr>
        <w:footnoteReference w:id="270"/>
      </w:r>
      <w:r w:rsidRPr="00DA5EB5">
        <w:rPr>
          <w:color w:val="000000" w:themeColor="text1"/>
          <w:kern w:val="2"/>
          <w:sz w:val="20"/>
        </w:rPr>
        <w:t xml:space="preserve"> Article V(1) of the New York Convention provides that recognition and enforcement of the award may be refused at the request of the party against whom it is invoked if that party furnishes proof that (a) the parties to the arbitration agreement were under some incapacity or the arbitration agreement is not valid; (b) the party against whom the award is invoked was not given proper notice or was otherwise unable to present his case; (c) the award contains decisions on matters beyond the scope of the submission to arbitration; (d) the composition of the arbitral tribunal or the arbitral procedure was not in accordance with the agreement of the parties; or (e) the award has not yet become binding on the parties, or has been set aside or suspended by a competent authority.</w:t>
      </w:r>
    </w:p>
    <w:p w14:paraId="47AC1ACF" w14:textId="41395726" w:rsidR="00734C8A" w:rsidRPr="00DA5EB5" w:rsidRDefault="00734C8A" w:rsidP="007C3517">
      <w:pPr>
        <w:rPr>
          <w:color w:val="000000" w:themeColor="text1"/>
          <w:kern w:val="2"/>
          <w:sz w:val="20"/>
        </w:rPr>
      </w:pPr>
      <w:r w:rsidRPr="00DA5EB5">
        <w:rPr>
          <w:color w:val="000000" w:themeColor="text1"/>
          <w:kern w:val="2"/>
          <w:sz w:val="20"/>
        </w:rPr>
        <w:t xml:space="preserve">Furthermore, recognition and enforcement of an arbitral award may also be refused pursuant to Article </w:t>
      </w:r>
      <w:proofErr w:type="gramStart"/>
      <w:r w:rsidRPr="00DA5EB5">
        <w:rPr>
          <w:color w:val="000000" w:themeColor="text1"/>
          <w:kern w:val="2"/>
          <w:sz w:val="20"/>
        </w:rPr>
        <w:t>V(</w:t>
      </w:r>
      <w:proofErr w:type="gramEnd"/>
      <w:r w:rsidRPr="00DA5EB5">
        <w:rPr>
          <w:color w:val="000000" w:themeColor="text1"/>
          <w:kern w:val="2"/>
          <w:sz w:val="20"/>
        </w:rPr>
        <w:t xml:space="preserve">2) of the New York Convention if the competent court in the country where recognition and enforcement is sought finds that (a) the subject matter of the </w:t>
      </w:r>
      <w:r w:rsidR="00693610" w:rsidRPr="00DA5EB5">
        <w:rPr>
          <w:color w:val="000000" w:themeColor="text1"/>
          <w:kern w:val="2"/>
          <w:sz w:val="20"/>
        </w:rPr>
        <w:t xml:space="preserve">dispute </w:t>
      </w:r>
      <w:r w:rsidRPr="00DA5EB5">
        <w:rPr>
          <w:color w:val="000000" w:themeColor="text1"/>
          <w:kern w:val="2"/>
          <w:sz w:val="20"/>
        </w:rPr>
        <w:t>is not capable of settlement by arbitration under the law of that country</w:t>
      </w:r>
      <w:r w:rsidR="00693610" w:rsidRPr="00DA5EB5">
        <w:rPr>
          <w:color w:val="000000" w:themeColor="text1"/>
          <w:kern w:val="2"/>
          <w:sz w:val="20"/>
        </w:rPr>
        <w:t>,</w:t>
      </w:r>
      <w:r w:rsidRPr="00DA5EB5">
        <w:rPr>
          <w:color w:val="000000" w:themeColor="text1"/>
          <w:kern w:val="2"/>
          <w:sz w:val="20"/>
        </w:rPr>
        <w:t xml:space="preserve"> or (b) the recognition or enforcement of the award would be contrary to the public policy of that country.</w:t>
      </w:r>
    </w:p>
    <w:p w14:paraId="6CACC17B" w14:textId="66F561DA" w:rsidR="00734C8A" w:rsidRPr="00DA5EB5" w:rsidRDefault="00734C8A" w:rsidP="007C3517">
      <w:pPr>
        <w:rPr>
          <w:color w:val="000000" w:themeColor="text1"/>
          <w:kern w:val="2"/>
          <w:sz w:val="20"/>
        </w:rPr>
      </w:pPr>
      <w:r w:rsidRPr="00DA5EB5">
        <w:rPr>
          <w:color w:val="000000" w:themeColor="text1"/>
          <w:kern w:val="2"/>
          <w:sz w:val="20"/>
        </w:rPr>
        <w:t>If an award is based on a contract tainted by bribery or corruption, the courts may deny its enforcement on public policy grounds.</w:t>
      </w:r>
      <w:r w:rsidRPr="00DA5EB5">
        <w:rPr>
          <w:rStyle w:val="FootnoteReference"/>
          <w:color w:val="000000" w:themeColor="text1"/>
          <w:kern w:val="2"/>
          <w:sz w:val="18"/>
        </w:rPr>
        <w:footnoteReference w:id="271"/>
      </w:r>
      <w:r w:rsidRPr="00DA5EB5">
        <w:rPr>
          <w:color w:val="000000" w:themeColor="text1"/>
          <w:kern w:val="2"/>
          <w:sz w:val="20"/>
        </w:rPr>
        <w:t xml:space="preserve"> For instance, in an English case</w:t>
      </w:r>
      <w:r w:rsidR="00280AC8" w:rsidRPr="00DA5EB5">
        <w:rPr>
          <w:color w:val="000000" w:themeColor="text1"/>
          <w:kern w:val="2"/>
          <w:sz w:val="20"/>
        </w:rPr>
        <w:t>,</w:t>
      </w:r>
      <w:r w:rsidRPr="00DA5EB5">
        <w:rPr>
          <w:color w:val="000000" w:themeColor="text1"/>
          <w:kern w:val="2"/>
          <w:sz w:val="20"/>
        </w:rPr>
        <w:t xml:space="preserve"> the High Court </w:t>
      </w:r>
      <w:r w:rsidR="00280AC8" w:rsidRPr="00DA5EB5">
        <w:rPr>
          <w:color w:val="000000" w:themeColor="text1"/>
          <w:kern w:val="2"/>
          <w:sz w:val="20"/>
        </w:rPr>
        <w:t xml:space="preserve">of England and Wales </w:t>
      </w:r>
      <w:r w:rsidRPr="00DA5EB5">
        <w:rPr>
          <w:color w:val="000000" w:themeColor="text1"/>
          <w:kern w:val="2"/>
          <w:sz w:val="20"/>
        </w:rPr>
        <w:t>refused to enforce an arbitral award ordering the respondent to pay commission to a public official because the court found that the commission was effectively a bribe to be paid in exchange for the official procuring a contract between the respondent and a government entity.</w:t>
      </w:r>
      <w:r w:rsidRPr="00DA5EB5">
        <w:rPr>
          <w:rStyle w:val="FootnoteReference"/>
          <w:color w:val="000000" w:themeColor="text1"/>
          <w:kern w:val="2"/>
          <w:sz w:val="18"/>
        </w:rPr>
        <w:footnoteReference w:id="272"/>
      </w:r>
      <w:r w:rsidRPr="00DA5EB5">
        <w:rPr>
          <w:color w:val="000000" w:themeColor="text1"/>
          <w:kern w:val="2"/>
          <w:sz w:val="20"/>
        </w:rPr>
        <w:t xml:space="preserve"> Similarly, the Paris Court of Appeal denied enforcement of an award where the defendant used part of the commission fee to bribe Iranian officials.</w:t>
      </w:r>
      <w:r w:rsidRPr="00DA5EB5">
        <w:rPr>
          <w:rStyle w:val="FootnoteReference"/>
          <w:color w:val="000000" w:themeColor="text1"/>
          <w:kern w:val="2"/>
          <w:sz w:val="18"/>
        </w:rPr>
        <w:footnoteReference w:id="273"/>
      </w:r>
      <w:r w:rsidRPr="00DA5EB5">
        <w:rPr>
          <w:color w:val="000000" w:themeColor="text1"/>
          <w:kern w:val="2"/>
          <w:sz w:val="20"/>
        </w:rPr>
        <w:t xml:space="preserve"> The </w:t>
      </w:r>
      <w:r w:rsidR="00A43221" w:rsidRPr="00DA5EB5">
        <w:rPr>
          <w:color w:val="000000" w:themeColor="text1"/>
          <w:kern w:val="2"/>
          <w:sz w:val="20"/>
        </w:rPr>
        <w:t>C</w:t>
      </w:r>
      <w:r w:rsidRPr="00DA5EB5">
        <w:rPr>
          <w:color w:val="000000" w:themeColor="text1"/>
          <w:kern w:val="2"/>
          <w:sz w:val="20"/>
        </w:rPr>
        <w:t xml:space="preserve">ourt noted that a </w:t>
      </w:r>
      <w:r w:rsidR="00FD6DAC" w:rsidRPr="00DA5EB5">
        <w:rPr>
          <w:color w:val="000000" w:themeColor="text1"/>
          <w:kern w:val="2"/>
          <w:sz w:val="20"/>
        </w:rPr>
        <w:t>“</w:t>
      </w:r>
      <w:r w:rsidRPr="00DA5EB5">
        <w:rPr>
          <w:color w:val="000000" w:themeColor="text1"/>
          <w:kern w:val="2"/>
          <w:sz w:val="20"/>
        </w:rPr>
        <w:t>contract having as its aim and object a traffic in influence through the payment of bribes is, consequently, contrary to French international public policy as well as to the ethics of international commerce as understood by the large majority of States in the international community.</w:t>
      </w:r>
      <w:r w:rsidR="00FD6DAC" w:rsidRPr="00DA5EB5">
        <w:rPr>
          <w:color w:val="000000" w:themeColor="text1"/>
          <w:kern w:val="2"/>
          <w:sz w:val="20"/>
        </w:rPr>
        <w:t>”</w:t>
      </w:r>
      <w:r w:rsidRPr="00DA5EB5">
        <w:rPr>
          <w:rStyle w:val="FootnoteReference"/>
          <w:color w:val="000000" w:themeColor="text1"/>
          <w:kern w:val="2"/>
          <w:sz w:val="18"/>
        </w:rPr>
        <w:footnoteReference w:id="274"/>
      </w:r>
    </w:p>
    <w:p w14:paraId="1BA80725" w14:textId="6BC46B41" w:rsidR="007C56F9" w:rsidRPr="00DA5EB5" w:rsidRDefault="007C56F9" w:rsidP="007C3517">
      <w:pPr>
        <w:pStyle w:val="Heading4"/>
        <w:rPr>
          <w:kern w:val="2"/>
          <w:sz w:val="22"/>
        </w:rPr>
      </w:pPr>
      <w:r w:rsidRPr="00DA5EB5">
        <w:rPr>
          <w:kern w:val="2"/>
          <w:sz w:val="22"/>
        </w:rPr>
        <w:t>ICSID Convention</w:t>
      </w:r>
    </w:p>
    <w:p w14:paraId="3D6E8E57" w14:textId="69E104AB" w:rsidR="00734C8A" w:rsidRPr="00DA5EB5" w:rsidRDefault="00734C8A" w:rsidP="007C3517">
      <w:pPr>
        <w:rPr>
          <w:color w:val="000000" w:themeColor="text1"/>
          <w:kern w:val="2"/>
          <w:sz w:val="20"/>
        </w:rPr>
      </w:pPr>
      <w:r w:rsidRPr="00DA5EB5">
        <w:rPr>
          <w:color w:val="000000" w:themeColor="text1"/>
          <w:kern w:val="2"/>
          <w:sz w:val="20"/>
        </w:rPr>
        <w:t xml:space="preserve">The ICSID Convention requires each contracting state to </w:t>
      </w:r>
      <w:r w:rsidR="00FD6DAC" w:rsidRPr="00DA5EB5">
        <w:rPr>
          <w:color w:val="000000" w:themeColor="text1"/>
          <w:kern w:val="2"/>
          <w:sz w:val="20"/>
        </w:rPr>
        <w:t>“</w:t>
      </w:r>
      <w:r w:rsidRPr="00DA5EB5">
        <w:rPr>
          <w:color w:val="000000" w:themeColor="text1"/>
          <w:kern w:val="2"/>
          <w:sz w:val="20"/>
        </w:rPr>
        <w:t>recognize an award rendered pursuant to this Convention as binding and enforce the pecuniary obligations imposed by that award within its territories as if it were a final judgment of a court in that State.</w:t>
      </w:r>
      <w:r w:rsidR="00FD6DAC" w:rsidRPr="00DA5EB5">
        <w:rPr>
          <w:color w:val="000000" w:themeColor="text1"/>
          <w:kern w:val="2"/>
          <w:sz w:val="20"/>
        </w:rPr>
        <w:t>”</w:t>
      </w:r>
      <w:r w:rsidRPr="00DA5EB5">
        <w:rPr>
          <w:rStyle w:val="FootnoteReference"/>
          <w:color w:val="000000" w:themeColor="text1"/>
          <w:kern w:val="2"/>
          <w:sz w:val="18"/>
        </w:rPr>
        <w:footnoteReference w:id="275"/>
      </w:r>
      <w:r w:rsidRPr="00DA5EB5">
        <w:rPr>
          <w:color w:val="000000" w:themeColor="text1"/>
          <w:kern w:val="2"/>
          <w:sz w:val="20"/>
        </w:rPr>
        <w:t xml:space="preserve"> Execution of </w:t>
      </w:r>
      <w:r w:rsidR="00A43221" w:rsidRPr="00DA5EB5">
        <w:rPr>
          <w:color w:val="000000" w:themeColor="text1"/>
          <w:kern w:val="2"/>
          <w:sz w:val="20"/>
        </w:rPr>
        <w:t>an</w:t>
      </w:r>
      <w:r w:rsidRPr="00DA5EB5">
        <w:rPr>
          <w:color w:val="000000" w:themeColor="text1"/>
          <w:kern w:val="2"/>
          <w:sz w:val="20"/>
        </w:rPr>
        <w:t xml:space="preserve"> award rendered by an ICSID tribunal will be governed by the laws concerning the execution of judgments in the </w:t>
      </w:r>
      <w:r w:rsidR="007873B5" w:rsidRPr="00DA5EB5">
        <w:rPr>
          <w:color w:val="000000" w:themeColor="text1"/>
          <w:kern w:val="2"/>
          <w:sz w:val="20"/>
        </w:rPr>
        <w:t>S</w:t>
      </w:r>
      <w:r w:rsidRPr="00DA5EB5">
        <w:rPr>
          <w:color w:val="000000" w:themeColor="text1"/>
          <w:kern w:val="2"/>
          <w:sz w:val="20"/>
        </w:rPr>
        <w:t>tate where execution is sought.</w:t>
      </w:r>
      <w:r w:rsidRPr="00DA5EB5">
        <w:rPr>
          <w:rStyle w:val="FootnoteReference"/>
          <w:color w:val="000000" w:themeColor="text1"/>
          <w:kern w:val="2"/>
          <w:sz w:val="18"/>
        </w:rPr>
        <w:footnoteReference w:id="276"/>
      </w:r>
    </w:p>
    <w:p w14:paraId="4D707083" w14:textId="51E1B042" w:rsidR="00734C8A" w:rsidRPr="00DA5EB5" w:rsidRDefault="00734C8A" w:rsidP="007C3517">
      <w:pPr>
        <w:rPr>
          <w:color w:val="000000" w:themeColor="text1"/>
          <w:kern w:val="2"/>
          <w:sz w:val="20"/>
        </w:rPr>
      </w:pPr>
      <w:r w:rsidRPr="00DA5EB5">
        <w:rPr>
          <w:color w:val="000000" w:themeColor="text1"/>
          <w:kern w:val="2"/>
          <w:sz w:val="20"/>
        </w:rPr>
        <w:t>ICSID awards are binding on the parties and may not be subject to any appeal.</w:t>
      </w:r>
      <w:r w:rsidRPr="00DA5EB5">
        <w:rPr>
          <w:rStyle w:val="FootnoteReference"/>
          <w:color w:val="000000" w:themeColor="text1"/>
          <w:kern w:val="2"/>
          <w:sz w:val="18"/>
        </w:rPr>
        <w:footnoteReference w:id="277"/>
      </w:r>
      <w:r w:rsidRPr="00DA5EB5">
        <w:rPr>
          <w:color w:val="000000" w:themeColor="text1"/>
          <w:kern w:val="2"/>
          <w:sz w:val="20"/>
        </w:rPr>
        <w:t xml:space="preserve"> The ICSID Convention also does not provide for the possibility of arbitral awards to be set aside by national courts, but instead creates a self-contained annulment mechanism. Within 120 days after the date on which the award was rendered</w:t>
      </w:r>
      <w:r w:rsidR="00E7066F" w:rsidRPr="00DA5EB5">
        <w:rPr>
          <w:color w:val="000000" w:themeColor="text1"/>
          <w:kern w:val="2"/>
          <w:sz w:val="20"/>
        </w:rPr>
        <w:t>,</w:t>
      </w:r>
      <w:r w:rsidRPr="00DA5EB5">
        <w:rPr>
          <w:color w:val="000000" w:themeColor="text1"/>
          <w:kern w:val="2"/>
          <w:sz w:val="20"/>
        </w:rPr>
        <w:t xml:space="preserve"> a party may submit an application to the ICSID Secretary-General requesting annulment of the award.</w:t>
      </w:r>
      <w:r w:rsidRPr="00DA5EB5">
        <w:rPr>
          <w:rStyle w:val="FootnoteReference"/>
          <w:color w:val="000000" w:themeColor="text1"/>
          <w:kern w:val="2"/>
          <w:sz w:val="18"/>
        </w:rPr>
        <w:footnoteReference w:id="278"/>
      </w:r>
      <w:r w:rsidRPr="00DA5EB5">
        <w:rPr>
          <w:color w:val="000000" w:themeColor="text1"/>
          <w:kern w:val="2"/>
          <w:sz w:val="20"/>
        </w:rPr>
        <w:t xml:space="preserve"> An </w:t>
      </w:r>
      <w:r w:rsidRPr="00DA5EB5">
        <w:rPr>
          <w:i/>
          <w:color w:val="000000" w:themeColor="text1"/>
          <w:kern w:val="2"/>
          <w:sz w:val="20"/>
        </w:rPr>
        <w:t>ad hoc</w:t>
      </w:r>
      <w:r w:rsidRPr="00DA5EB5">
        <w:rPr>
          <w:color w:val="000000" w:themeColor="text1"/>
          <w:kern w:val="2"/>
          <w:sz w:val="20"/>
        </w:rPr>
        <w:t xml:space="preserve"> committee of three persons will be formed,</w:t>
      </w:r>
      <w:r w:rsidRPr="00DA5EB5">
        <w:rPr>
          <w:rStyle w:val="FootnoteReference"/>
          <w:color w:val="000000" w:themeColor="text1"/>
          <w:kern w:val="2"/>
          <w:sz w:val="18"/>
        </w:rPr>
        <w:footnoteReference w:id="279"/>
      </w:r>
      <w:r w:rsidRPr="00DA5EB5">
        <w:rPr>
          <w:color w:val="000000" w:themeColor="text1"/>
          <w:kern w:val="2"/>
          <w:sz w:val="20"/>
        </w:rPr>
        <w:t xml:space="preserve"> which may annul an award only on the basis of the following grounds: (a) that the tribunal was not properly constituted; (b) that the tribunal has manifestly exceeded its powers; (c) that there was corruption on the part of a member of the tribunal; (d) that there has been a serious departure from a fundamental rule of procedure; or (e) that the award has failed to state the reasons on which it is based.</w:t>
      </w:r>
      <w:r w:rsidRPr="00DA5EB5">
        <w:rPr>
          <w:rStyle w:val="FootnoteReference"/>
          <w:color w:val="000000" w:themeColor="text1"/>
          <w:kern w:val="2"/>
          <w:sz w:val="18"/>
        </w:rPr>
        <w:footnoteReference w:id="280"/>
      </w:r>
    </w:p>
    <w:p w14:paraId="113650BF" w14:textId="36679986" w:rsidR="007C56F9" w:rsidRPr="00DA5EB5" w:rsidRDefault="00E7066F" w:rsidP="007C3517">
      <w:pPr>
        <w:pStyle w:val="Heading4"/>
        <w:rPr>
          <w:kern w:val="2"/>
          <w:sz w:val="22"/>
        </w:rPr>
      </w:pPr>
      <w:r w:rsidRPr="00DA5EB5">
        <w:rPr>
          <w:kern w:val="2"/>
          <w:sz w:val="22"/>
        </w:rPr>
        <w:t>US</w:t>
      </w:r>
    </w:p>
    <w:p w14:paraId="63A2B311" w14:textId="615EE47C" w:rsidR="00734C8A" w:rsidRPr="00DA5EB5" w:rsidRDefault="00734C8A" w:rsidP="007C3517">
      <w:pPr>
        <w:rPr>
          <w:color w:val="000000" w:themeColor="text1"/>
          <w:kern w:val="2"/>
          <w:sz w:val="20"/>
        </w:rPr>
      </w:pPr>
      <w:r w:rsidRPr="00DA5EB5">
        <w:rPr>
          <w:color w:val="000000" w:themeColor="text1"/>
          <w:kern w:val="2"/>
          <w:sz w:val="20"/>
        </w:rPr>
        <w:t xml:space="preserve">In the </w:t>
      </w:r>
      <w:r w:rsidR="008F487B" w:rsidRPr="00DA5EB5">
        <w:rPr>
          <w:color w:val="000000" w:themeColor="text1"/>
          <w:kern w:val="2"/>
          <w:sz w:val="20"/>
        </w:rPr>
        <w:t>US</w:t>
      </w:r>
      <w:r w:rsidRPr="00DA5EB5">
        <w:rPr>
          <w:color w:val="000000" w:themeColor="text1"/>
          <w:kern w:val="2"/>
          <w:sz w:val="20"/>
        </w:rPr>
        <w:t xml:space="preserve">, the </w:t>
      </w:r>
      <w:r w:rsidRPr="00DA5EB5">
        <w:rPr>
          <w:i/>
          <w:color w:val="000000" w:themeColor="text1"/>
          <w:kern w:val="2"/>
          <w:sz w:val="20"/>
        </w:rPr>
        <w:t>Federal Arbitration Act</w:t>
      </w:r>
      <w:r w:rsidRPr="00DA5EB5">
        <w:rPr>
          <w:color w:val="000000" w:themeColor="text1"/>
          <w:kern w:val="2"/>
          <w:sz w:val="20"/>
        </w:rPr>
        <w:t xml:space="preserve"> provides that a court in the district where the award was made may, upon application of a party to the arbitration, make </w:t>
      </w:r>
      <w:r w:rsidR="008F487B" w:rsidRPr="00DA5EB5">
        <w:rPr>
          <w:color w:val="000000" w:themeColor="text1"/>
          <w:kern w:val="2"/>
          <w:sz w:val="20"/>
        </w:rPr>
        <w:t>an order vacating the award if:</w:t>
      </w:r>
    </w:p>
    <w:p w14:paraId="73BC8FEE" w14:textId="6C343FFD" w:rsidR="00734C8A" w:rsidRPr="00DA5EB5" w:rsidRDefault="00734C8A" w:rsidP="00B03652">
      <w:pPr>
        <w:pStyle w:val="ListParagraph"/>
        <w:numPr>
          <w:ilvl w:val="0"/>
          <w:numId w:val="47"/>
        </w:numPr>
        <w:spacing w:after="60"/>
        <w:rPr>
          <w:kern w:val="2"/>
          <w:sz w:val="20"/>
        </w:rPr>
      </w:pPr>
      <w:r w:rsidRPr="00DA5EB5">
        <w:rPr>
          <w:kern w:val="2"/>
          <w:sz w:val="20"/>
        </w:rPr>
        <w:t>the award was procured by corruption, fraud, or undue means;</w:t>
      </w:r>
    </w:p>
    <w:p w14:paraId="23EA87DC" w14:textId="4BBCD2D2" w:rsidR="00734C8A" w:rsidRPr="00DA5EB5" w:rsidRDefault="00734C8A" w:rsidP="00B03652">
      <w:pPr>
        <w:pStyle w:val="ListParagraph"/>
        <w:numPr>
          <w:ilvl w:val="0"/>
          <w:numId w:val="47"/>
        </w:numPr>
        <w:spacing w:after="60"/>
        <w:rPr>
          <w:kern w:val="2"/>
          <w:sz w:val="20"/>
        </w:rPr>
      </w:pPr>
      <w:r w:rsidRPr="00DA5EB5">
        <w:rPr>
          <w:kern w:val="2"/>
          <w:sz w:val="20"/>
        </w:rPr>
        <w:t>there was evident partiality or corruption in the arbitrators, or either of them;</w:t>
      </w:r>
    </w:p>
    <w:p w14:paraId="776ADA0F" w14:textId="5E084473" w:rsidR="00734C8A" w:rsidRPr="00DA5EB5" w:rsidRDefault="00734C8A" w:rsidP="00B03652">
      <w:pPr>
        <w:pStyle w:val="ListParagraph"/>
        <w:numPr>
          <w:ilvl w:val="0"/>
          <w:numId w:val="47"/>
        </w:numPr>
        <w:spacing w:after="60"/>
        <w:rPr>
          <w:kern w:val="2"/>
          <w:sz w:val="20"/>
        </w:rPr>
      </w:pPr>
      <w:r w:rsidRPr="00DA5EB5">
        <w:rPr>
          <w:kern w:val="2"/>
          <w:sz w:val="20"/>
        </w:rPr>
        <w:t>the arbitrators were guilty of misconduct in refusing to postpone the hearing, upon sufficient cause shown, or in refusing to hear evidence pertinent and material to the controversy; or of any other misbehavio</w:t>
      </w:r>
      <w:r w:rsidR="00DE0566" w:rsidRPr="00DA5EB5">
        <w:rPr>
          <w:kern w:val="2"/>
          <w:sz w:val="20"/>
        </w:rPr>
        <w:t>u</w:t>
      </w:r>
      <w:r w:rsidRPr="00DA5EB5">
        <w:rPr>
          <w:kern w:val="2"/>
          <w:sz w:val="20"/>
        </w:rPr>
        <w:t>r by which the rights of any party have been prejudiced; or</w:t>
      </w:r>
    </w:p>
    <w:p w14:paraId="593C7B2B" w14:textId="10704E47" w:rsidR="00734C8A" w:rsidRPr="00DA5EB5" w:rsidRDefault="00734C8A" w:rsidP="00B03652">
      <w:pPr>
        <w:pStyle w:val="ListParagraph"/>
        <w:numPr>
          <w:ilvl w:val="0"/>
          <w:numId w:val="47"/>
        </w:numPr>
        <w:spacing w:after="60"/>
        <w:rPr>
          <w:kern w:val="2"/>
          <w:sz w:val="20"/>
        </w:rPr>
      </w:pPr>
      <w:proofErr w:type="gramStart"/>
      <w:r w:rsidRPr="00DA5EB5">
        <w:rPr>
          <w:kern w:val="2"/>
          <w:sz w:val="20"/>
        </w:rPr>
        <w:t>the</w:t>
      </w:r>
      <w:proofErr w:type="gramEnd"/>
      <w:r w:rsidRPr="00DA5EB5">
        <w:rPr>
          <w:kern w:val="2"/>
          <w:sz w:val="20"/>
        </w:rPr>
        <w:t xml:space="preserve"> arbitrators exceeded their powers, or so imperfectly executed them that a mutual, final, and definite award upon the subject matter submitted was not made.</w:t>
      </w:r>
      <w:r w:rsidR="0051408B" w:rsidRPr="00DA5EB5">
        <w:rPr>
          <w:rStyle w:val="FootnoteReference"/>
          <w:color w:val="000000" w:themeColor="text1"/>
          <w:kern w:val="2"/>
          <w:sz w:val="18"/>
        </w:rPr>
        <w:footnoteReference w:id="281"/>
      </w:r>
    </w:p>
    <w:p w14:paraId="7499B1E7" w14:textId="33D415B2" w:rsidR="00734C8A" w:rsidRPr="00DA5EB5" w:rsidRDefault="00734C8A" w:rsidP="005A2F7A">
      <w:pPr>
        <w:rPr>
          <w:color w:val="000000" w:themeColor="text1"/>
          <w:kern w:val="2"/>
          <w:sz w:val="20"/>
        </w:rPr>
      </w:pPr>
      <w:r w:rsidRPr="00DA5EB5">
        <w:rPr>
          <w:color w:val="000000" w:themeColor="text1"/>
          <w:kern w:val="2"/>
          <w:sz w:val="20"/>
        </w:rPr>
        <w:t>Within three years after an arbitral award under the New York Convention is made, a party to the arbitration may apply for an order confirming the award as against any other party to the arbitration.</w:t>
      </w:r>
      <w:r w:rsidRPr="00DA5EB5">
        <w:rPr>
          <w:rStyle w:val="FootnoteReference"/>
          <w:color w:val="000000" w:themeColor="text1"/>
          <w:kern w:val="2"/>
          <w:sz w:val="18"/>
        </w:rPr>
        <w:footnoteReference w:id="282"/>
      </w:r>
      <w:r w:rsidRPr="00DA5EB5">
        <w:rPr>
          <w:color w:val="000000" w:themeColor="text1"/>
          <w:kern w:val="2"/>
          <w:sz w:val="20"/>
        </w:rPr>
        <w:t xml:space="preserve"> Federal district courts have original jurisdiction in proceedings for recognition and enforcement of foreign arbitral awards.</w:t>
      </w:r>
      <w:r w:rsidRPr="00DA5EB5">
        <w:rPr>
          <w:rStyle w:val="FootnoteReference"/>
          <w:color w:val="000000" w:themeColor="text1"/>
          <w:kern w:val="2"/>
          <w:sz w:val="18"/>
        </w:rPr>
        <w:footnoteReference w:id="283"/>
      </w:r>
      <w:r w:rsidRPr="00DA5EB5">
        <w:rPr>
          <w:color w:val="000000" w:themeColor="text1"/>
          <w:kern w:val="2"/>
          <w:sz w:val="20"/>
        </w:rPr>
        <w:t xml:space="preserve"> The court will confirm the award unless it finds one of the grounds for refusal of recognition or enforcement specified in Article V of the New York Convention,</w:t>
      </w:r>
      <w:r w:rsidRPr="00DA5EB5">
        <w:rPr>
          <w:rStyle w:val="FootnoteReference"/>
          <w:color w:val="000000" w:themeColor="text1"/>
          <w:kern w:val="2"/>
          <w:sz w:val="18"/>
        </w:rPr>
        <w:footnoteReference w:id="284"/>
      </w:r>
      <w:r w:rsidRPr="00DA5EB5">
        <w:rPr>
          <w:color w:val="000000" w:themeColor="text1"/>
          <w:kern w:val="2"/>
          <w:sz w:val="20"/>
        </w:rPr>
        <w:t xml:space="preserve"> which has been in force in the </w:t>
      </w:r>
      <w:r w:rsidR="00D71F9A" w:rsidRPr="00DA5EB5">
        <w:rPr>
          <w:color w:val="000000" w:themeColor="text1"/>
          <w:kern w:val="2"/>
          <w:sz w:val="20"/>
        </w:rPr>
        <w:t>US</w:t>
      </w:r>
      <w:r w:rsidRPr="00DA5EB5">
        <w:rPr>
          <w:color w:val="000000" w:themeColor="text1"/>
          <w:kern w:val="2"/>
          <w:sz w:val="20"/>
        </w:rPr>
        <w:t xml:space="preserve"> since 29 December 1970.</w:t>
      </w:r>
      <w:r w:rsidRPr="00DA5EB5">
        <w:rPr>
          <w:rStyle w:val="FootnoteReference"/>
          <w:color w:val="000000" w:themeColor="text1"/>
          <w:kern w:val="2"/>
          <w:sz w:val="18"/>
        </w:rPr>
        <w:footnoteReference w:id="285"/>
      </w:r>
    </w:p>
    <w:p w14:paraId="69537B78" w14:textId="6A512434" w:rsidR="007C56F9" w:rsidRPr="00DA5EB5" w:rsidRDefault="00E7066F" w:rsidP="007C3517">
      <w:pPr>
        <w:pStyle w:val="Heading4"/>
        <w:rPr>
          <w:kern w:val="2"/>
          <w:sz w:val="22"/>
        </w:rPr>
      </w:pPr>
      <w:r w:rsidRPr="00DA5EB5">
        <w:rPr>
          <w:kern w:val="2"/>
          <w:sz w:val="22"/>
        </w:rPr>
        <w:t>UK</w:t>
      </w:r>
    </w:p>
    <w:p w14:paraId="320427AE" w14:textId="2B65C8C8" w:rsidR="00734C8A" w:rsidRPr="00DA5EB5" w:rsidRDefault="00734C8A" w:rsidP="007C3517">
      <w:pPr>
        <w:rPr>
          <w:color w:val="000000" w:themeColor="text1"/>
          <w:kern w:val="2"/>
          <w:sz w:val="20"/>
        </w:rPr>
      </w:pPr>
      <w:r w:rsidRPr="00DA5EB5">
        <w:rPr>
          <w:color w:val="000000" w:themeColor="text1"/>
          <w:kern w:val="2"/>
          <w:sz w:val="20"/>
        </w:rPr>
        <w:t xml:space="preserve">In the </w:t>
      </w:r>
      <w:r w:rsidR="00D71F9A" w:rsidRPr="00DA5EB5">
        <w:rPr>
          <w:color w:val="000000" w:themeColor="text1"/>
          <w:kern w:val="2"/>
          <w:sz w:val="20"/>
        </w:rPr>
        <w:t>UK</w:t>
      </w:r>
      <w:r w:rsidRPr="00DA5EB5">
        <w:rPr>
          <w:color w:val="000000" w:themeColor="text1"/>
          <w:kern w:val="2"/>
          <w:sz w:val="20"/>
        </w:rPr>
        <w:t xml:space="preserve">, a party to arbitration proceedings may apply to </w:t>
      </w:r>
      <w:r w:rsidR="00D71F9A" w:rsidRPr="00DA5EB5">
        <w:rPr>
          <w:color w:val="000000" w:themeColor="text1"/>
          <w:kern w:val="2"/>
          <w:sz w:val="20"/>
        </w:rPr>
        <w:t>a</w:t>
      </w:r>
      <w:r w:rsidRPr="00DA5EB5">
        <w:rPr>
          <w:color w:val="000000" w:themeColor="text1"/>
          <w:kern w:val="2"/>
          <w:sz w:val="20"/>
        </w:rPr>
        <w:t xml:space="preserve"> court </w:t>
      </w:r>
      <w:r w:rsidR="00D71F9A" w:rsidRPr="00DA5EB5">
        <w:rPr>
          <w:color w:val="000000" w:themeColor="text1"/>
          <w:kern w:val="2"/>
          <w:sz w:val="20"/>
        </w:rPr>
        <w:t xml:space="preserve">to challenge </w:t>
      </w:r>
      <w:r w:rsidRPr="00DA5EB5">
        <w:rPr>
          <w:color w:val="000000" w:themeColor="text1"/>
          <w:kern w:val="2"/>
          <w:sz w:val="20"/>
        </w:rPr>
        <w:t xml:space="preserve">the award of </w:t>
      </w:r>
      <w:r w:rsidR="00D71F9A" w:rsidRPr="00DA5EB5">
        <w:rPr>
          <w:color w:val="000000" w:themeColor="text1"/>
          <w:kern w:val="2"/>
          <w:sz w:val="20"/>
        </w:rPr>
        <w:t>an</w:t>
      </w:r>
      <w:r w:rsidRPr="00DA5EB5">
        <w:rPr>
          <w:color w:val="000000" w:themeColor="text1"/>
          <w:kern w:val="2"/>
          <w:sz w:val="20"/>
        </w:rPr>
        <w:t xml:space="preserve"> arbitral tribunal as to its substantive jurisdiction or on the ground of </w:t>
      </w:r>
      <w:r w:rsidR="00D71F9A" w:rsidRPr="00DA5EB5">
        <w:rPr>
          <w:color w:val="000000" w:themeColor="text1"/>
          <w:kern w:val="2"/>
          <w:sz w:val="20"/>
        </w:rPr>
        <w:t xml:space="preserve">a </w:t>
      </w:r>
      <w:r w:rsidRPr="00DA5EB5">
        <w:rPr>
          <w:color w:val="000000" w:themeColor="text1"/>
          <w:kern w:val="2"/>
          <w:sz w:val="20"/>
        </w:rPr>
        <w:t>serious irregularity affecting the tribunal, the proceedings or the award.</w:t>
      </w:r>
      <w:r w:rsidR="00D24B4F" w:rsidRPr="00DA5EB5">
        <w:rPr>
          <w:rStyle w:val="FootnoteReference"/>
          <w:color w:val="000000" w:themeColor="text1"/>
          <w:kern w:val="2"/>
          <w:sz w:val="18"/>
        </w:rPr>
        <w:footnoteReference w:id="286"/>
      </w:r>
      <w:r w:rsidRPr="00DA5EB5">
        <w:rPr>
          <w:color w:val="000000" w:themeColor="text1"/>
          <w:kern w:val="2"/>
          <w:sz w:val="20"/>
        </w:rPr>
        <w:t xml:space="preserve"> In this c</w:t>
      </w:r>
      <w:r w:rsidR="00D71F9A" w:rsidRPr="00DA5EB5">
        <w:rPr>
          <w:color w:val="000000" w:themeColor="text1"/>
          <w:kern w:val="2"/>
          <w:sz w:val="20"/>
        </w:rPr>
        <w:t>ontext</w:t>
      </w:r>
      <w:r w:rsidRPr="00DA5EB5">
        <w:rPr>
          <w:color w:val="000000" w:themeColor="text1"/>
          <w:kern w:val="2"/>
          <w:sz w:val="20"/>
        </w:rPr>
        <w:t xml:space="preserve">, </w:t>
      </w:r>
      <w:r w:rsidR="00FD6DAC" w:rsidRPr="00DA5EB5">
        <w:rPr>
          <w:color w:val="000000" w:themeColor="text1"/>
          <w:kern w:val="2"/>
          <w:sz w:val="20"/>
        </w:rPr>
        <w:t>“</w:t>
      </w:r>
      <w:r w:rsidRPr="00DA5EB5">
        <w:rPr>
          <w:color w:val="000000" w:themeColor="text1"/>
          <w:kern w:val="2"/>
          <w:sz w:val="20"/>
        </w:rPr>
        <w:t>serious irregularity</w:t>
      </w:r>
      <w:r w:rsidR="00FD6DAC" w:rsidRPr="00DA5EB5">
        <w:rPr>
          <w:color w:val="000000" w:themeColor="text1"/>
          <w:kern w:val="2"/>
          <w:sz w:val="20"/>
        </w:rPr>
        <w:t>”</w:t>
      </w:r>
      <w:r w:rsidRPr="00DA5EB5">
        <w:rPr>
          <w:color w:val="000000" w:themeColor="text1"/>
          <w:kern w:val="2"/>
          <w:sz w:val="20"/>
        </w:rPr>
        <w:t xml:space="preserve"> means any of the following, if the court considers that such an irregularity has caused or will cause substantial injustice to the applicant:</w:t>
      </w:r>
    </w:p>
    <w:p w14:paraId="64730DB5" w14:textId="77777777" w:rsidR="00734C8A" w:rsidRPr="00DA5EB5" w:rsidRDefault="00734C8A" w:rsidP="00B03652">
      <w:pPr>
        <w:pStyle w:val="ListParagraph"/>
        <w:numPr>
          <w:ilvl w:val="0"/>
          <w:numId w:val="48"/>
        </w:numPr>
        <w:spacing w:after="60"/>
        <w:rPr>
          <w:kern w:val="2"/>
          <w:sz w:val="20"/>
        </w:rPr>
      </w:pPr>
      <w:r w:rsidRPr="00DA5EB5">
        <w:rPr>
          <w:kern w:val="2"/>
          <w:sz w:val="20"/>
        </w:rPr>
        <w:t>failure by the tribunal to comply with section 33 (general duty of tribunal);</w:t>
      </w:r>
    </w:p>
    <w:p w14:paraId="2CE1CE3E" w14:textId="77777777" w:rsidR="00734C8A" w:rsidRPr="00DA5EB5" w:rsidRDefault="00734C8A" w:rsidP="00B03652">
      <w:pPr>
        <w:pStyle w:val="ListParagraph"/>
        <w:numPr>
          <w:ilvl w:val="0"/>
          <w:numId w:val="48"/>
        </w:numPr>
        <w:spacing w:after="60"/>
        <w:rPr>
          <w:kern w:val="2"/>
          <w:sz w:val="20"/>
        </w:rPr>
      </w:pPr>
      <w:r w:rsidRPr="00DA5EB5">
        <w:rPr>
          <w:kern w:val="2"/>
          <w:sz w:val="20"/>
        </w:rPr>
        <w:t>the tribunal exceeding its powers (otherwise than by exceeding its substantive jurisdiction);</w:t>
      </w:r>
    </w:p>
    <w:p w14:paraId="6DB1F32B" w14:textId="77777777" w:rsidR="00734C8A" w:rsidRPr="00DA5EB5" w:rsidRDefault="00734C8A" w:rsidP="00B03652">
      <w:pPr>
        <w:pStyle w:val="ListParagraph"/>
        <w:numPr>
          <w:ilvl w:val="0"/>
          <w:numId w:val="48"/>
        </w:numPr>
        <w:spacing w:after="60"/>
        <w:rPr>
          <w:kern w:val="2"/>
          <w:sz w:val="20"/>
        </w:rPr>
      </w:pPr>
      <w:r w:rsidRPr="00DA5EB5">
        <w:rPr>
          <w:kern w:val="2"/>
          <w:sz w:val="20"/>
        </w:rPr>
        <w:t>failure by the tribunal to conduct the proceedings in accordance with the procedure agreed by the parties;</w:t>
      </w:r>
    </w:p>
    <w:p w14:paraId="5ECA9FDF" w14:textId="77777777" w:rsidR="00734C8A" w:rsidRPr="00DA5EB5" w:rsidRDefault="00734C8A" w:rsidP="00B03652">
      <w:pPr>
        <w:pStyle w:val="ListParagraph"/>
        <w:numPr>
          <w:ilvl w:val="0"/>
          <w:numId w:val="48"/>
        </w:numPr>
        <w:spacing w:after="60"/>
        <w:rPr>
          <w:kern w:val="2"/>
          <w:sz w:val="20"/>
        </w:rPr>
      </w:pPr>
      <w:r w:rsidRPr="00DA5EB5">
        <w:rPr>
          <w:kern w:val="2"/>
          <w:sz w:val="20"/>
        </w:rPr>
        <w:t xml:space="preserve">failure by the tribunal to deal with all the issues that were put to it; </w:t>
      </w:r>
    </w:p>
    <w:p w14:paraId="1E64138B" w14:textId="77777777" w:rsidR="00734C8A" w:rsidRPr="00DA5EB5" w:rsidRDefault="00734C8A" w:rsidP="00B03652">
      <w:pPr>
        <w:pStyle w:val="ListParagraph"/>
        <w:numPr>
          <w:ilvl w:val="0"/>
          <w:numId w:val="48"/>
        </w:numPr>
        <w:spacing w:after="60"/>
        <w:rPr>
          <w:kern w:val="2"/>
          <w:sz w:val="20"/>
        </w:rPr>
      </w:pPr>
      <w:r w:rsidRPr="00DA5EB5">
        <w:rPr>
          <w:kern w:val="2"/>
          <w:sz w:val="20"/>
        </w:rPr>
        <w:t xml:space="preserve">any arbitral or other institution or person vested by the parties with powers in relation to the proceedings or the award exceeding its powers; </w:t>
      </w:r>
    </w:p>
    <w:p w14:paraId="004E73B2" w14:textId="77777777" w:rsidR="00734C8A" w:rsidRPr="00DA5EB5" w:rsidRDefault="00734C8A" w:rsidP="00B03652">
      <w:pPr>
        <w:pStyle w:val="ListParagraph"/>
        <w:numPr>
          <w:ilvl w:val="0"/>
          <w:numId w:val="48"/>
        </w:numPr>
        <w:spacing w:after="60"/>
        <w:rPr>
          <w:kern w:val="2"/>
          <w:sz w:val="20"/>
        </w:rPr>
      </w:pPr>
      <w:r w:rsidRPr="00DA5EB5">
        <w:rPr>
          <w:kern w:val="2"/>
          <w:sz w:val="20"/>
        </w:rPr>
        <w:t xml:space="preserve">uncertainty or ambiguity as to the effect of the award; </w:t>
      </w:r>
    </w:p>
    <w:p w14:paraId="5CB92FFB" w14:textId="77777777" w:rsidR="00734C8A" w:rsidRPr="00DA5EB5" w:rsidRDefault="00734C8A" w:rsidP="00B03652">
      <w:pPr>
        <w:pStyle w:val="ListParagraph"/>
        <w:numPr>
          <w:ilvl w:val="0"/>
          <w:numId w:val="48"/>
        </w:numPr>
        <w:spacing w:after="60"/>
        <w:rPr>
          <w:kern w:val="2"/>
          <w:sz w:val="20"/>
        </w:rPr>
      </w:pPr>
      <w:r w:rsidRPr="00DA5EB5">
        <w:rPr>
          <w:kern w:val="2"/>
          <w:sz w:val="20"/>
        </w:rPr>
        <w:t xml:space="preserve">the award being obtained by fraud or the award or the way in which it was procured being contrary to public policy; </w:t>
      </w:r>
    </w:p>
    <w:p w14:paraId="4772927E" w14:textId="77777777" w:rsidR="00734C8A" w:rsidRPr="00DA5EB5" w:rsidRDefault="00734C8A" w:rsidP="00B03652">
      <w:pPr>
        <w:pStyle w:val="ListParagraph"/>
        <w:numPr>
          <w:ilvl w:val="0"/>
          <w:numId w:val="48"/>
        </w:numPr>
        <w:spacing w:after="60"/>
        <w:rPr>
          <w:kern w:val="2"/>
          <w:sz w:val="20"/>
        </w:rPr>
      </w:pPr>
      <w:r w:rsidRPr="00DA5EB5">
        <w:rPr>
          <w:kern w:val="2"/>
          <w:sz w:val="20"/>
        </w:rPr>
        <w:t xml:space="preserve">failure to comply with the requirements as to the form of the award; or </w:t>
      </w:r>
    </w:p>
    <w:p w14:paraId="116AB9A1" w14:textId="132D2363" w:rsidR="00734C8A" w:rsidRPr="00DA5EB5" w:rsidRDefault="00734C8A" w:rsidP="00B03652">
      <w:pPr>
        <w:pStyle w:val="ListParagraph"/>
        <w:numPr>
          <w:ilvl w:val="0"/>
          <w:numId w:val="48"/>
        </w:numPr>
        <w:spacing w:after="60"/>
        <w:rPr>
          <w:kern w:val="2"/>
          <w:sz w:val="20"/>
        </w:rPr>
      </w:pPr>
      <w:r w:rsidRPr="00DA5EB5">
        <w:rPr>
          <w:kern w:val="2"/>
          <w:sz w:val="20"/>
        </w:rPr>
        <w:t>any irregularity in the conduct of the proceedings or in the award which is admitted by the tribunal or by any arbitral or other institution or person vested by the parties with powers in relation to the proceedings or the award.</w:t>
      </w:r>
      <w:r w:rsidR="00083C43" w:rsidRPr="00DA5EB5">
        <w:rPr>
          <w:rStyle w:val="FootnoteReference"/>
          <w:color w:val="000000" w:themeColor="text1"/>
          <w:kern w:val="2"/>
        </w:rPr>
        <w:footnoteReference w:id="287"/>
      </w:r>
    </w:p>
    <w:p w14:paraId="465FFE66" w14:textId="3C279F16" w:rsidR="00734C8A" w:rsidRPr="00DA5EB5" w:rsidRDefault="00734C8A" w:rsidP="005A2F7A">
      <w:pPr>
        <w:rPr>
          <w:color w:val="000000" w:themeColor="text1"/>
          <w:kern w:val="2"/>
          <w:sz w:val="20"/>
        </w:rPr>
      </w:pPr>
      <w:r w:rsidRPr="00DA5EB5">
        <w:rPr>
          <w:color w:val="000000" w:themeColor="text1"/>
          <w:kern w:val="2"/>
          <w:sz w:val="20"/>
        </w:rPr>
        <w:t xml:space="preserve">Also, unlike many other jurisdictions, the </w:t>
      </w:r>
      <w:r w:rsidRPr="00DA5EB5">
        <w:rPr>
          <w:i/>
          <w:color w:val="000000" w:themeColor="text1"/>
          <w:kern w:val="2"/>
          <w:sz w:val="20"/>
        </w:rPr>
        <w:t xml:space="preserve">Arbitration Act </w:t>
      </w:r>
      <w:r w:rsidR="007D26E9" w:rsidRPr="00DA5EB5">
        <w:rPr>
          <w:i/>
          <w:color w:val="000000" w:themeColor="text1"/>
          <w:kern w:val="2"/>
          <w:sz w:val="20"/>
        </w:rPr>
        <w:t>1996</w:t>
      </w:r>
      <w:r w:rsidR="007D26E9" w:rsidRPr="00DA5EB5">
        <w:rPr>
          <w:color w:val="000000" w:themeColor="text1"/>
          <w:kern w:val="2"/>
          <w:sz w:val="20"/>
        </w:rPr>
        <w:t xml:space="preserve"> </w:t>
      </w:r>
      <w:r w:rsidRPr="00DA5EB5">
        <w:rPr>
          <w:color w:val="000000" w:themeColor="text1"/>
          <w:kern w:val="2"/>
          <w:sz w:val="20"/>
        </w:rPr>
        <w:t>provides a party to arbitration proceedings with an opportunity to appeal to the court on a question of law arising out of an award made in the proceedings.</w:t>
      </w:r>
      <w:r w:rsidRPr="00DA5EB5">
        <w:rPr>
          <w:rStyle w:val="FootnoteReference"/>
          <w:color w:val="000000" w:themeColor="text1"/>
          <w:kern w:val="2"/>
        </w:rPr>
        <w:footnoteReference w:id="288"/>
      </w:r>
      <w:r w:rsidRPr="00DA5EB5">
        <w:rPr>
          <w:color w:val="000000" w:themeColor="text1"/>
          <w:kern w:val="2"/>
          <w:sz w:val="20"/>
        </w:rPr>
        <w:t xml:space="preserve"> An appeal may be brought only (a) with the agreement of all the other parties to the proceedings or (b) with the leave of the court.</w:t>
      </w:r>
      <w:r w:rsidRPr="00DA5EB5">
        <w:rPr>
          <w:rStyle w:val="FootnoteReference"/>
          <w:color w:val="000000" w:themeColor="text1"/>
          <w:kern w:val="2"/>
        </w:rPr>
        <w:footnoteReference w:id="289"/>
      </w:r>
      <w:r w:rsidRPr="00DA5EB5">
        <w:rPr>
          <w:color w:val="000000" w:themeColor="text1"/>
          <w:kern w:val="2"/>
          <w:sz w:val="20"/>
        </w:rPr>
        <w:t xml:space="preserve"> Leave to appeal will be given only if the court is satisfied that:</w:t>
      </w:r>
    </w:p>
    <w:p w14:paraId="6BAF6FA3" w14:textId="77777777" w:rsidR="00734C8A" w:rsidRPr="00DA5EB5" w:rsidRDefault="00734C8A" w:rsidP="00B03652">
      <w:pPr>
        <w:pStyle w:val="ListParagraph"/>
        <w:numPr>
          <w:ilvl w:val="0"/>
          <w:numId w:val="49"/>
        </w:numPr>
        <w:spacing w:after="60"/>
        <w:rPr>
          <w:color w:val="000000" w:themeColor="text1"/>
          <w:kern w:val="2"/>
          <w:sz w:val="20"/>
        </w:rPr>
      </w:pPr>
      <w:r w:rsidRPr="00DA5EB5">
        <w:rPr>
          <w:color w:val="000000" w:themeColor="text1"/>
          <w:kern w:val="2"/>
          <w:sz w:val="20"/>
        </w:rPr>
        <w:t xml:space="preserve">the determination of the question will substantially affect the rights of one or more of the parties, </w:t>
      </w:r>
    </w:p>
    <w:p w14:paraId="445A9F39" w14:textId="77777777" w:rsidR="00734C8A" w:rsidRPr="00DA5EB5" w:rsidRDefault="00734C8A" w:rsidP="00B03652">
      <w:pPr>
        <w:pStyle w:val="ListParagraph"/>
        <w:numPr>
          <w:ilvl w:val="0"/>
          <w:numId w:val="49"/>
        </w:numPr>
        <w:spacing w:after="60"/>
        <w:rPr>
          <w:color w:val="000000" w:themeColor="text1"/>
          <w:kern w:val="2"/>
          <w:sz w:val="20"/>
        </w:rPr>
      </w:pPr>
      <w:r w:rsidRPr="00DA5EB5">
        <w:rPr>
          <w:color w:val="000000" w:themeColor="text1"/>
          <w:kern w:val="2"/>
          <w:sz w:val="20"/>
        </w:rPr>
        <w:t>the question is one which the tribunal was asked to determine,</w:t>
      </w:r>
    </w:p>
    <w:p w14:paraId="639B33D5" w14:textId="77777777" w:rsidR="00734C8A" w:rsidRPr="00DA5EB5" w:rsidRDefault="00734C8A" w:rsidP="00B03652">
      <w:pPr>
        <w:pStyle w:val="ListParagraph"/>
        <w:numPr>
          <w:ilvl w:val="0"/>
          <w:numId w:val="49"/>
        </w:numPr>
        <w:spacing w:after="60"/>
        <w:rPr>
          <w:color w:val="000000" w:themeColor="text1"/>
          <w:kern w:val="2"/>
          <w:sz w:val="20"/>
        </w:rPr>
      </w:pPr>
      <w:r w:rsidRPr="00DA5EB5">
        <w:rPr>
          <w:color w:val="000000" w:themeColor="text1"/>
          <w:kern w:val="2"/>
          <w:sz w:val="20"/>
        </w:rPr>
        <w:t>on the basis of the findings of fact in the award</w:t>
      </w:r>
    </w:p>
    <w:p w14:paraId="54206252" w14:textId="7D72689A" w:rsidR="00734C8A" w:rsidRPr="00DA5EB5" w:rsidRDefault="00734C8A" w:rsidP="00B03652">
      <w:pPr>
        <w:pStyle w:val="ListParagraph"/>
        <w:numPr>
          <w:ilvl w:val="0"/>
          <w:numId w:val="50"/>
        </w:numPr>
        <w:spacing w:after="60"/>
        <w:rPr>
          <w:color w:val="000000" w:themeColor="text1"/>
          <w:kern w:val="2"/>
          <w:sz w:val="20"/>
        </w:rPr>
      </w:pPr>
      <w:r w:rsidRPr="00DA5EB5">
        <w:rPr>
          <w:color w:val="000000" w:themeColor="text1"/>
          <w:kern w:val="2"/>
          <w:sz w:val="20"/>
        </w:rPr>
        <w:t xml:space="preserve">the decision of the tribunal on the question is obviously wrong, or </w:t>
      </w:r>
    </w:p>
    <w:p w14:paraId="7968CBDC" w14:textId="611D56C8" w:rsidR="00734C8A" w:rsidRPr="00DA5EB5" w:rsidRDefault="00734C8A" w:rsidP="00B03652">
      <w:pPr>
        <w:pStyle w:val="ListParagraph"/>
        <w:numPr>
          <w:ilvl w:val="0"/>
          <w:numId w:val="50"/>
        </w:numPr>
        <w:spacing w:after="60"/>
        <w:rPr>
          <w:color w:val="000000" w:themeColor="text1"/>
          <w:kern w:val="2"/>
          <w:sz w:val="20"/>
        </w:rPr>
      </w:pPr>
      <w:r w:rsidRPr="00DA5EB5">
        <w:rPr>
          <w:color w:val="000000" w:themeColor="text1"/>
          <w:kern w:val="2"/>
          <w:sz w:val="20"/>
        </w:rPr>
        <w:t>the question is one of general public importance and the decision of the tribunal is at least open to serious doubt, and</w:t>
      </w:r>
    </w:p>
    <w:p w14:paraId="4461C297" w14:textId="738553D9" w:rsidR="00734C8A" w:rsidRPr="00DA5EB5" w:rsidRDefault="00734C8A" w:rsidP="00B03652">
      <w:pPr>
        <w:pStyle w:val="ListParagraph"/>
        <w:numPr>
          <w:ilvl w:val="0"/>
          <w:numId w:val="49"/>
        </w:numPr>
        <w:spacing w:after="60"/>
        <w:rPr>
          <w:color w:val="000000" w:themeColor="text1"/>
          <w:kern w:val="2"/>
          <w:sz w:val="20"/>
        </w:rPr>
      </w:pPr>
      <w:proofErr w:type="gramStart"/>
      <w:r w:rsidRPr="00DA5EB5">
        <w:rPr>
          <w:color w:val="000000" w:themeColor="text1"/>
          <w:kern w:val="2"/>
          <w:sz w:val="20"/>
        </w:rPr>
        <w:t>despite</w:t>
      </w:r>
      <w:proofErr w:type="gramEnd"/>
      <w:r w:rsidRPr="00DA5EB5">
        <w:rPr>
          <w:color w:val="000000" w:themeColor="text1"/>
          <w:kern w:val="2"/>
          <w:sz w:val="20"/>
        </w:rPr>
        <w:t xml:space="preserve"> the agreement of the parties to resolve the matter by arbitration, it is just and proper in all the circumstances for the court to determine the question.</w:t>
      </w:r>
      <w:r w:rsidR="00B71CB8" w:rsidRPr="00DA5EB5">
        <w:rPr>
          <w:rStyle w:val="FootnoteReference"/>
          <w:color w:val="000000" w:themeColor="text1"/>
          <w:kern w:val="2"/>
        </w:rPr>
        <w:footnoteReference w:id="290"/>
      </w:r>
    </w:p>
    <w:p w14:paraId="7572E482" w14:textId="6B3F46F9" w:rsidR="00734C8A" w:rsidRPr="00DA5EB5" w:rsidRDefault="00734C8A" w:rsidP="005A2F7A">
      <w:pPr>
        <w:rPr>
          <w:color w:val="000000" w:themeColor="text1"/>
          <w:kern w:val="2"/>
          <w:sz w:val="20"/>
        </w:rPr>
      </w:pPr>
      <w:r w:rsidRPr="00DA5EB5">
        <w:rPr>
          <w:color w:val="000000" w:themeColor="text1"/>
          <w:kern w:val="2"/>
          <w:sz w:val="20"/>
        </w:rPr>
        <w:t xml:space="preserve">Any application or appeal must be brought within 28 days of the date of the award and may not be brought </w:t>
      </w:r>
      <w:r w:rsidR="00351F46" w:rsidRPr="00DA5EB5">
        <w:rPr>
          <w:color w:val="000000" w:themeColor="text1"/>
          <w:kern w:val="2"/>
          <w:sz w:val="20"/>
        </w:rPr>
        <w:t>unless</w:t>
      </w:r>
      <w:r w:rsidRPr="00DA5EB5">
        <w:rPr>
          <w:color w:val="000000" w:themeColor="text1"/>
          <w:kern w:val="2"/>
          <w:sz w:val="20"/>
        </w:rPr>
        <w:t xml:space="preserve"> the applicant or appellant has </w:t>
      </w:r>
      <w:r w:rsidR="00351F46" w:rsidRPr="00DA5EB5">
        <w:rPr>
          <w:color w:val="000000" w:themeColor="text1"/>
          <w:kern w:val="2"/>
          <w:sz w:val="20"/>
        </w:rPr>
        <w:t>already</w:t>
      </w:r>
      <w:r w:rsidRPr="00DA5EB5">
        <w:rPr>
          <w:color w:val="000000" w:themeColor="text1"/>
          <w:kern w:val="2"/>
          <w:sz w:val="20"/>
        </w:rPr>
        <w:t xml:space="preserve"> exhausted any available arbitral process of appeal or review.</w:t>
      </w:r>
      <w:r w:rsidR="00D24B4F" w:rsidRPr="00DA5EB5">
        <w:rPr>
          <w:rStyle w:val="FootnoteReference"/>
          <w:color w:val="000000" w:themeColor="text1"/>
          <w:kern w:val="2"/>
        </w:rPr>
        <w:footnoteReference w:id="291"/>
      </w:r>
    </w:p>
    <w:p w14:paraId="6DDEC748" w14:textId="5D0D2FAB" w:rsidR="00734C8A" w:rsidRPr="00DA5EB5" w:rsidRDefault="00734C8A" w:rsidP="007C3517">
      <w:pPr>
        <w:rPr>
          <w:color w:val="000000" w:themeColor="text1"/>
          <w:kern w:val="2"/>
          <w:sz w:val="20"/>
        </w:rPr>
      </w:pPr>
      <w:r w:rsidRPr="00DA5EB5">
        <w:rPr>
          <w:color w:val="000000" w:themeColor="text1"/>
          <w:kern w:val="2"/>
          <w:sz w:val="20"/>
        </w:rPr>
        <w:t xml:space="preserve">The </w:t>
      </w:r>
      <w:r w:rsidRPr="00DA5EB5">
        <w:rPr>
          <w:i/>
          <w:color w:val="000000" w:themeColor="text1"/>
          <w:kern w:val="2"/>
          <w:sz w:val="20"/>
        </w:rPr>
        <w:t>Arbitration Act</w:t>
      </w:r>
      <w:r w:rsidR="00505754" w:rsidRPr="00DA5EB5">
        <w:rPr>
          <w:i/>
          <w:color w:val="000000" w:themeColor="text1"/>
          <w:kern w:val="2"/>
          <w:sz w:val="20"/>
        </w:rPr>
        <w:t xml:space="preserve"> 1996</w:t>
      </w:r>
      <w:r w:rsidRPr="00DA5EB5">
        <w:rPr>
          <w:color w:val="000000" w:themeColor="text1"/>
          <w:kern w:val="2"/>
          <w:sz w:val="20"/>
        </w:rPr>
        <w:t xml:space="preserve"> provides that </w:t>
      </w:r>
      <w:r w:rsidR="00B77EB7" w:rsidRPr="00DA5EB5">
        <w:rPr>
          <w:color w:val="000000" w:themeColor="text1"/>
          <w:kern w:val="2"/>
          <w:sz w:val="20"/>
        </w:rPr>
        <w:t xml:space="preserve">a </w:t>
      </w:r>
      <w:r w:rsidRPr="00DA5EB5">
        <w:rPr>
          <w:color w:val="000000" w:themeColor="text1"/>
          <w:kern w:val="2"/>
          <w:sz w:val="20"/>
        </w:rPr>
        <w:t>New York Convention award (i.e.</w:t>
      </w:r>
      <w:r w:rsidR="008B3690" w:rsidRPr="00DA5EB5">
        <w:rPr>
          <w:color w:val="000000" w:themeColor="text1"/>
          <w:kern w:val="2"/>
          <w:sz w:val="20"/>
        </w:rPr>
        <w:t>,</w:t>
      </w:r>
      <w:r w:rsidRPr="00DA5EB5">
        <w:rPr>
          <w:color w:val="000000" w:themeColor="text1"/>
          <w:kern w:val="2"/>
          <w:sz w:val="20"/>
        </w:rPr>
        <w:t xml:space="preserve"> an arbitral award made in the territory of a </w:t>
      </w:r>
      <w:r w:rsidR="008B3690" w:rsidRPr="00DA5EB5">
        <w:rPr>
          <w:color w:val="000000" w:themeColor="text1"/>
          <w:kern w:val="2"/>
          <w:sz w:val="20"/>
        </w:rPr>
        <w:t>S</w:t>
      </w:r>
      <w:r w:rsidRPr="00DA5EB5">
        <w:rPr>
          <w:color w:val="000000" w:themeColor="text1"/>
          <w:kern w:val="2"/>
          <w:sz w:val="20"/>
        </w:rPr>
        <w:t xml:space="preserve">tate which is a party to the New York Convention) </w:t>
      </w:r>
      <w:r w:rsidR="00B77EB7" w:rsidRPr="00DA5EB5">
        <w:rPr>
          <w:color w:val="000000" w:themeColor="text1"/>
          <w:kern w:val="2"/>
          <w:sz w:val="20"/>
        </w:rPr>
        <w:t>is</w:t>
      </w:r>
      <w:r w:rsidRPr="00DA5EB5">
        <w:rPr>
          <w:color w:val="000000" w:themeColor="text1"/>
          <w:kern w:val="2"/>
          <w:sz w:val="20"/>
        </w:rPr>
        <w:t xml:space="preserve"> binding </w:t>
      </w:r>
      <w:r w:rsidR="00B368ED" w:rsidRPr="00DA5EB5">
        <w:rPr>
          <w:color w:val="000000" w:themeColor="text1"/>
          <w:kern w:val="2"/>
          <w:sz w:val="20"/>
        </w:rPr>
        <w:t>on</w:t>
      </w:r>
      <w:r w:rsidR="00B77EB7" w:rsidRPr="00DA5EB5">
        <w:rPr>
          <w:color w:val="000000" w:themeColor="text1"/>
          <w:kern w:val="2"/>
          <w:sz w:val="20"/>
        </w:rPr>
        <w:t xml:space="preserve"> </w:t>
      </w:r>
      <w:r w:rsidRPr="00DA5EB5">
        <w:rPr>
          <w:color w:val="000000" w:themeColor="text1"/>
          <w:kern w:val="2"/>
          <w:sz w:val="20"/>
        </w:rPr>
        <w:t>the persons as between whom it was made and may, by leave of the court, be enforced in the same manner as a judgment or order of the court to the same effect.</w:t>
      </w:r>
      <w:r w:rsidR="00D24B4F" w:rsidRPr="00DA5EB5">
        <w:rPr>
          <w:rStyle w:val="FootnoteReference"/>
          <w:color w:val="000000" w:themeColor="text1"/>
          <w:kern w:val="2"/>
        </w:rPr>
        <w:footnoteReference w:id="292"/>
      </w:r>
      <w:r w:rsidR="00D24B4F" w:rsidRPr="00DA5EB5">
        <w:rPr>
          <w:color w:val="000000" w:themeColor="text1"/>
          <w:kern w:val="2"/>
          <w:sz w:val="20"/>
        </w:rPr>
        <w:t xml:space="preserve"> </w:t>
      </w:r>
      <w:r w:rsidRPr="00DA5EB5">
        <w:rPr>
          <w:color w:val="000000" w:themeColor="text1"/>
          <w:kern w:val="2"/>
          <w:sz w:val="20"/>
        </w:rPr>
        <w:t>Recognition or enforcement of an award may be refused only on the grounds enumerated in Article V of the New York Convention,</w:t>
      </w:r>
      <w:r w:rsidRPr="00DA5EB5">
        <w:rPr>
          <w:rStyle w:val="FootnoteReference"/>
          <w:color w:val="000000" w:themeColor="text1"/>
          <w:kern w:val="2"/>
        </w:rPr>
        <w:footnoteReference w:id="293"/>
      </w:r>
      <w:r w:rsidRPr="00DA5EB5">
        <w:rPr>
          <w:color w:val="000000" w:themeColor="text1"/>
          <w:kern w:val="2"/>
          <w:sz w:val="20"/>
        </w:rPr>
        <w:t xml:space="preserve"> which has been in force in the </w:t>
      </w:r>
      <w:r w:rsidR="00B368ED" w:rsidRPr="00DA5EB5">
        <w:rPr>
          <w:color w:val="000000" w:themeColor="text1"/>
          <w:kern w:val="2"/>
          <w:sz w:val="20"/>
        </w:rPr>
        <w:t>UK</w:t>
      </w:r>
      <w:r w:rsidRPr="00DA5EB5">
        <w:rPr>
          <w:color w:val="000000" w:themeColor="text1"/>
          <w:kern w:val="2"/>
          <w:sz w:val="20"/>
        </w:rPr>
        <w:t xml:space="preserve"> since 23 December 1975.</w:t>
      </w:r>
      <w:r w:rsidRPr="00DA5EB5">
        <w:rPr>
          <w:rStyle w:val="FootnoteReference"/>
          <w:color w:val="000000" w:themeColor="text1"/>
          <w:kern w:val="2"/>
        </w:rPr>
        <w:footnoteReference w:id="294"/>
      </w:r>
    </w:p>
    <w:p w14:paraId="27CFA85F" w14:textId="5D51AD87" w:rsidR="007C56F9" w:rsidRPr="00DA5EB5" w:rsidRDefault="007C56F9" w:rsidP="007C3517">
      <w:pPr>
        <w:pStyle w:val="Heading4"/>
        <w:rPr>
          <w:kern w:val="2"/>
          <w:sz w:val="22"/>
        </w:rPr>
      </w:pPr>
      <w:r w:rsidRPr="00DA5EB5">
        <w:rPr>
          <w:kern w:val="2"/>
          <w:sz w:val="22"/>
        </w:rPr>
        <w:t>Canada</w:t>
      </w:r>
    </w:p>
    <w:p w14:paraId="602804CD" w14:textId="20CF490B" w:rsidR="00734C8A" w:rsidRPr="00DA5EB5" w:rsidRDefault="00734C8A" w:rsidP="007C3517">
      <w:pPr>
        <w:rPr>
          <w:color w:val="000000" w:themeColor="text1"/>
          <w:kern w:val="2"/>
          <w:sz w:val="20"/>
        </w:rPr>
      </w:pPr>
      <w:r w:rsidRPr="00DA5EB5">
        <w:rPr>
          <w:color w:val="000000" w:themeColor="text1"/>
          <w:kern w:val="2"/>
          <w:sz w:val="20"/>
        </w:rPr>
        <w:t xml:space="preserve">Under the UNCITRAL Model Law, which in Canada has been adopted at federal, provincial and territorial levels, recourse to a court </w:t>
      </w:r>
      <w:r w:rsidR="0080208D" w:rsidRPr="00DA5EB5">
        <w:rPr>
          <w:color w:val="000000" w:themeColor="text1"/>
          <w:kern w:val="2"/>
          <w:sz w:val="20"/>
        </w:rPr>
        <w:t xml:space="preserve">to challenge </w:t>
      </w:r>
      <w:r w:rsidRPr="00DA5EB5">
        <w:rPr>
          <w:color w:val="000000" w:themeColor="text1"/>
          <w:kern w:val="2"/>
          <w:sz w:val="20"/>
        </w:rPr>
        <w:t xml:space="preserve">an arbitral award </w:t>
      </w:r>
      <w:r w:rsidR="0080208D" w:rsidRPr="00DA5EB5">
        <w:rPr>
          <w:color w:val="000000" w:themeColor="text1"/>
          <w:kern w:val="2"/>
          <w:sz w:val="20"/>
        </w:rPr>
        <w:t>is only available through</w:t>
      </w:r>
      <w:r w:rsidRPr="00DA5EB5">
        <w:rPr>
          <w:color w:val="000000" w:themeColor="text1"/>
          <w:kern w:val="2"/>
          <w:sz w:val="20"/>
        </w:rPr>
        <w:t xml:space="preserve"> an application for setting aside.</w:t>
      </w:r>
      <w:r w:rsidRPr="00DA5EB5">
        <w:rPr>
          <w:rStyle w:val="FootnoteReference"/>
          <w:color w:val="000000" w:themeColor="text1"/>
          <w:kern w:val="2"/>
          <w:sz w:val="18"/>
        </w:rPr>
        <w:footnoteReference w:id="295"/>
      </w:r>
      <w:r w:rsidRPr="00DA5EB5">
        <w:rPr>
          <w:color w:val="000000" w:themeColor="text1"/>
          <w:kern w:val="2"/>
          <w:sz w:val="20"/>
        </w:rPr>
        <w:t xml:space="preserve"> The grounds for</w:t>
      </w:r>
      <w:r w:rsidR="0080208D" w:rsidRPr="00DA5EB5">
        <w:rPr>
          <w:color w:val="000000" w:themeColor="text1"/>
          <w:kern w:val="2"/>
          <w:sz w:val="20"/>
        </w:rPr>
        <w:t xml:space="preserve"> the</w:t>
      </w:r>
      <w:r w:rsidRPr="00DA5EB5">
        <w:rPr>
          <w:color w:val="000000" w:themeColor="text1"/>
          <w:kern w:val="2"/>
          <w:sz w:val="20"/>
        </w:rPr>
        <w:t xml:space="preserve"> setting aside of an arbitral award, enumerated in Article 34(2) of the UNCITRAL Model Law, mirror th</w:t>
      </w:r>
      <w:r w:rsidR="00F83589" w:rsidRPr="00DA5EB5">
        <w:rPr>
          <w:color w:val="000000" w:themeColor="text1"/>
          <w:kern w:val="2"/>
          <w:sz w:val="20"/>
        </w:rPr>
        <w:t>e grounds</w:t>
      </w:r>
      <w:r w:rsidRPr="00DA5EB5">
        <w:rPr>
          <w:color w:val="000000" w:themeColor="text1"/>
          <w:kern w:val="2"/>
          <w:sz w:val="20"/>
        </w:rPr>
        <w:t xml:space="preserve"> </w:t>
      </w:r>
      <w:r w:rsidR="00F83589" w:rsidRPr="00DA5EB5">
        <w:rPr>
          <w:color w:val="000000" w:themeColor="text1"/>
          <w:kern w:val="2"/>
          <w:sz w:val="20"/>
        </w:rPr>
        <w:t xml:space="preserve">for refusal of recognition or enforcement of arbitral awards </w:t>
      </w:r>
      <w:r w:rsidRPr="00DA5EB5">
        <w:rPr>
          <w:color w:val="000000" w:themeColor="text1"/>
          <w:kern w:val="2"/>
          <w:sz w:val="20"/>
        </w:rPr>
        <w:t>in Article V of the New York Convention.</w:t>
      </w:r>
      <w:r w:rsidRPr="00DA5EB5">
        <w:rPr>
          <w:rStyle w:val="FootnoteReference"/>
          <w:color w:val="000000" w:themeColor="text1"/>
          <w:kern w:val="2"/>
          <w:sz w:val="18"/>
        </w:rPr>
        <w:footnoteReference w:id="296"/>
      </w:r>
      <w:r w:rsidRPr="00DA5EB5">
        <w:rPr>
          <w:color w:val="000000" w:themeColor="text1"/>
          <w:kern w:val="2"/>
          <w:sz w:val="20"/>
        </w:rPr>
        <w:t xml:space="preserve"> An application for setting aside </w:t>
      </w:r>
      <w:r w:rsidR="0040600A" w:rsidRPr="00DA5EB5">
        <w:rPr>
          <w:color w:val="000000" w:themeColor="text1"/>
          <w:kern w:val="2"/>
          <w:sz w:val="20"/>
        </w:rPr>
        <w:t>must</w:t>
      </w:r>
      <w:r w:rsidRPr="00DA5EB5">
        <w:rPr>
          <w:color w:val="000000" w:themeColor="text1"/>
          <w:kern w:val="2"/>
          <w:sz w:val="20"/>
        </w:rPr>
        <w:t xml:space="preserve"> be made </w:t>
      </w:r>
      <w:r w:rsidR="0040600A" w:rsidRPr="00DA5EB5">
        <w:rPr>
          <w:color w:val="000000" w:themeColor="text1"/>
          <w:kern w:val="2"/>
          <w:sz w:val="20"/>
        </w:rPr>
        <w:t xml:space="preserve">within </w:t>
      </w:r>
      <w:r w:rsidRPr="00DA5EB5">
        <w:rPr>
          <w:color w:val="000000" w:themeColor="text1"/>
          <w:kern w:val="2"/>
          <w:sz w:val="20"/>
        </w:rPr>
        <w:t xml:space="preserve">three months </w:t>
      </w:r>
      <w:r w:rsidR="0040600A" w:rsidRPr="00DA5EB5">
        <w:rPr>
          <w:color w:val="000000" w:themeColor="text1"/>
          <w:kern w:val="2"/>
          <w:sz w:val="20"/>
        </w:rPr>
        <w:t>after</w:t>
      </w:r>
      <w:r w:rsidRPr="00DA5EB5">
        <w:rPr>
          <w:color w:val="000000" w:themeColor="text1"/>
          <w:kern w:val="2"/>
          <w:sz w:val="20"/>
        </w:rPr>
        <w:t xml:space="preserve"> the date on which the party making th</w:t>
      </w:r>
      <w:r w:rsidR="0040600A" w:rsidRPr="00DA5EB5">
        <w:rPr>
          <w:color w:val="000000" w:themeColor="text1"/>
          <w:kern w:val="2"/>
          <w:sz w:val="20"/>
        </w:rPr>
        <w:t>e</w:t>
      </w:r>
      <w:r w:rsidRPr="00DA5EB5">
        <w:rPr>
          <w:color w:val="000000" w:themeColor="text1"/>
          <w:kern w:val="2"/>
          <w:sz w:val="20"/>
        </w:rPr>
        <w:t xml:space="preserve"> application received the award.</w:t>
      </w:r>
      <w:r w:rsidRPr="00DA5EB5">
        <w:rPr>
          <w:rStyle w:val="FootnoteReference"/>
          <w:color w:val="000000" w:themeColor="text1"/>
          <w:kern w:val="2"/>
          <w:sz w:val="18"/>
        </w:rPr>
        <w:footnoteReference w:id="297"/>
      </w:r>
    </w:p>
    <w:p w14:paraId="0B6ABBA2" w14:textId="0E111E4C" w:rsidR="00734C8A" w:rsidRPr="00DA5EB5" w:rsidRDefault="00734C8A" w:rsidP="007C3517">
      <w:pPr>
        <w:rPr>
          <w:color w:val="000000" w:themeColor="text1"/>
          <w:kern w:val="2"/>
          <w:sz w:val="20"/>
        </w:rPr>
      </w:pPr>
      <w:r w:rsidRPr="00DA5EB5">
        <w:rPr>
          <w:color w:val="000000" w:themeColor="text1"/>
          <w:kern w:val="2"/>
          <w:sz w:val="20"/>
        </w:rPr>
        <w:t>An arbitral award, irrespective of the country in which it was made,</w:t>
      </w:r>
      <w:r w:rsidR="0040600A" w:rsidRPr="00DA5EB5">
        <w:rPr>
          <w:color w:val="000000" w:themeColor="text1"/>
          <w:kern w:val="2"/>
          <w:sz w:val="20"/>
        </w:rPr>
        <w:t xml:space="preserve"> must</w:t>
      </w:r>
      <w:r w:rsidRPr="00DA5EB5">
        <w:rPr>
          <w:color w:val="000000" w:themeColor="text1"/>
          <w:kern w:val="2"/>
          <w:sz w:val="20"/>
        </w:rPr>
        <w:t xml:space="preserve"> be recognized as binding and will be enforced upon application in writing to the competent court.</w:t>
      </w:r>
      <w:r w:rsidRPr="00DA5EB5">
        <w:rPr>
          <w:rStyle w:val="FootnoteReference"/>
          <w:color w:val="000000" w:themeColor="text1"/>
          <w:kern w:val="2"/>
          <w:sz w:val="18"/>
        </w:rPr>
        <w:footnoteReference w:id="298"/>
      </w:r>
      <w:r w:rsidR="00D24B4F" w:rsidRPr="00DA5EB5">
        <w:rPr>
          <w:color w:val="000000" w:themeColor="text1"/>
          <w:kern w:val="2"/>
          <w:sz w:val="20"/>
        </w:rPr>
        <w:t xml:space="preserve"> </w:t>
      </w:r>
      <w:r w:rsidRPr="00DA5EB5">
        <w:rPr>
          <w:color w:val="000000" w:themeColor="text1"/>
          <w:kern w:val="2"/>
          <w:sz w:val="20"/>
        </w:rPr>
        <w:t>The grounds for refusal of recognition or enforcement of arbitral awards, enumerated in Article 35(1) of the UNCITRAL Model Law, mirror those listed in Article V of the New York Convention, which has been in force in Canada since 10 August</w:t>
      </w:r>
      <w:r w:rsidR="00871899" w:rsidRPr="00DA5EB5">
        <w:rPr>
          <w:color w:val="000000" w:themeColor="text1"/>
          <w:kern w:val="2"/>
          <w:sz w:val="20"/>
        </w:rPr>
        <w:t>,</w:t>
      </w:r>
      <w:r w:rsidRPr="00DA5EB5">
        <w:rPr>
          <w:color w:val="000000" w:themeColor="text1"/>
          <w:kern w:val="2"/>
          <w:sz w:val="20"/>
        </w:rPr>
        <w:t xml:space="preserve"> 1986.</w:t>
      </w:r>
      <w:r w:rsidRPr="00DA5EB5">
        <w:rPr>
          <w:rStyle w:val="FootnoteReference"/>
          <w:color w:val="000000" w:themeColor="text1"/>
          <w:kern w:val="2"/>
          <w:sz w:val="18"/>
        </w:rPr>
        <w:footnoteReference w:id="299"/>
      </w:r>
      <w:r w:rsidRPr="00DA5EB5">
        <w:rPr>
          <w:color w:val="000000" w:themeColor="text1"/>
          <w:kern w:val="2"/>
          <w:sz w:val="20"/>
        </w:rPr>
        <w:t xml:space="preserve"> </w:t>
      </w:r>
    </w:p>
    <w:p w14:paraId="3C228E2A" w14:textId="5FFC5D43" w:rsidR="007672A6" w:rsidRPr="00DA5EB5" w:rsidRDefault="007672A6" w:rsidP="007C3517">
      <w:pPr>
        <w:pStyle w:val="Heading2"/>
        <w:rPr>
          <w:kern w:val="2"/>
          <w:sz w:val="24"/>
        </w:rPr>
      </w:pPr>
      <w:r w:rsidRPr="00DA5EB5">
        <w:rPr>
          <w:kern w:val="2"/>
          <w:sz w:val="24"/>
        </w:rPr>
        <w:t>Treatment of Allegations of Corruption in International Investment Arbitration</w:t>
      </w:r>
    </w:p>
    <w:p w14:paraId="2D75C389" w14:textId="4EB9E061" w:rsidR="00734C8A" w:rsidRPr="00DA5EB5" w:rsidRDefault="00734C8A" w:rsidP="007C3517">
      <w:pPr>
        <w:rPr>
          <w:color w:val="000000" w:themeColor="text1"/>
          <w:kern w:val="2"/>
          <w:sz w:val="20"/>
        </w:rPr>
      </w:pPr>
      <w:r w:rsidRPr="00DA5EB5">
        <w:rPr>
          <w:color w:val="000000" w:themeColor="text1"/>
          <w:kern w:val="2"/>
          <w:sz w:val="20"/>
        </w:rPr>
        <w:t xml:space="preserve">This subsection gives an overview of contract- and treaty-based international investment arbitration cases where parties made allegations of corruption. It shows that </w:t>
      </w:r>
      <w:r w:rsidR="0040600A" w:rsidRPr="00DA5EB5">
        <w:rPr>
          <w:color w:val="000000" w:themeColor="text1"/>
          <w:kern w:val="2"/>
          <w:sz w:val="20"/>
        </w:rPr>
        <w:t xml:space="preserve">corruption </w:t>
      </w:r>
      <w:r w:rsidRPr="00DA5EB5">
        <w:rPr>
          <w:color w:val="000000" w:themeColor="text1"/>
          <w:kern w:val="2"/>
          <w:sz w:val="20"/>
        </w:rPr>
        <w:t xml:space="preserve">has been invoked by private investors as claimants to seek compensation for the losses caused by </w:t>
      </w:r>
      <w:r w:rsidR="0040600A" w:rsidRPr="00DA5EB5">
        <w:rPr>
          <w:color w:val="000000" w:themeColor="text1"/>
          <w:kern w:val="2"/>
          <w:sz w:val="20"/>
        </w:rPr>
        <w:t xml:space="preserve">the </w:t>
      </w:r>
      <w:r w:rsidRPr="00DA5EB5">
        <w:rPr>
          <w:color w:val="000000" w:themeColor="text1"/>
          <w:kern w:val="2"/>
          <w:sz w:val="20"/>
        </w:rPr>
        <w:t xml:space="preserve">actions of corrupt public officials, and by </w:t>
      </w:r>
      <w:r w:rsidR="00037E83" w:rsidRPr="00DA5EB5">
        <w:rPr>
          <w:color w:val="000000" w:themeColor="text1"/>
          <w:kern w:val="2"/>
          <w:sz w:val="20"/>
        </w:rPr>
        <w:t>S</w:t>
      </w:r>
      <w:r w:rsidRPr="00DA5EB5">
        <w:rPr>
          <w:color w:val="000000" w:themeColor="text1"/>
          <w:kern w:val="2"/>
          <w:sz w:val="20"/>
        </w:rPr>
        <w:t>tates as respondents to escape liability in cases arising out of investments tainted by corruption.</w:t>
      </w:r>
    </w:p>
    <w:p w14:paraId="217AFFDE" w14:textId="1D40FE89" w:rsidR="007C56F9" w:rsidRPr="00DA5EB5" w:rsidRDefault="007C56F9" w:rsidP="007C3517">
      <w:pPr>
        <w:pStyle w:val="Heading3"/>
        <w:rPr>
          <w:kern w:val="2"/>
          <w:sz w:val="22"/>
        </w:rPr>
      </w:pPr>
      <w:r w:rsidRPr="00DA5EB5">
        <w:rPr>
          <w:kern w:val="2"/>
          <w:sz w:val="22"/>
        </w:rPr>
        <w:t xml:space="preserve">Cases where Claimants Made Allegations of Corruption </w:t>
      </w:r>
    </w:p>
    <w:p w14:paraId="05410619" w14:textId="2A34B3E2" w:rsidR="00734C8A" w:rsidRPr="00DA5EB5" w:rsidRDefault="00CD45A0" w:rsidP="007C3517">
      <w:pPr>
        <w:rPr>
          <w:color w:val="000000" w:themeColor="text1"/>
          <w:kern w:val="2"/>
          <w:sz w:val="20"/>
        </w:rPr>
      </w:pPr>
      <w:r w:rsidRPr="00DA5EB5">
        <w:rPr>
          <w:color w:val="000000" w:themeColor="text1"/>
          <w:kern w:val="2"/>
          <w:sz w:val="20"/>
        </w:rPr>
        <w:t>F</w:t>
      </w:r>
      <w:r w:rsidR="00734C8A" w:rsidRPr="00DA5EB5">
        <w:rPr>
          <w:color w:val="000000" w:themeColor="text1"/>
          <w:kern w:val="2"/>
          <w:sz w:val="20"/>
        </w:rPr>
        <w:t xml:space="preserve">our cases </w:t>
      </w:r>
      <w:r w:rsidRPr="00DA5EB5">
        <w:rPr>
          <w:color w:val="000000" w:themeColor="text1"/>
          <w:kern w:val="2"/>
          <w:sz w:val="20"/>
        </w:rPr>
        <w:t>describe</w:t>
      </w:r>
      <w:r w:rsidR="00CF2D5A" w:rsidRPr="00DA5EB5">
        <w:rPr>
          <w:color w:val="000000" w:themeColor="text1"/>
          <w:kern w:val="2"/>
          <w:sz w:val="20"/>
        </w:rPr>
        <w:t>d below show</w:t>
      </w:r>
      <w:r w:rsidRPr="00DA5EB5">
        <w:rPr>
          <w:color w:val="000000" w:themeColor="text1"/>
          <w:kern w:val="2"/>
          <w:sz w:val="20"/>
        </w:rPr>
        <w:t xml:space="preserve"> </w:t>
      </w:r>
      <w:r w:rsidR="00734C8A" w:rsidRPr="00DA5EB5">
        <w:rPr>
          <w:color w:val="000000" w:themeColor="text1"/>
          <w:kern w:val="2"/>
          <w:sz w:val="20"/>
        </w:rPr>
        <w:t>where the question of corruption was raised by the investors who alleged that public officials in the host state solicited bribes from them (</w:t>
      </w:r>
      <w:r w:rsidR="00734C8A" w:rsidRPr="00DA5EB5">
        <w:rPr>
          <w:i/>
          <w:color w:val="000000" w:themeColor="text1"/>
          <w:kern w:val="2"/>
          <w:sz w:val="20"/>
        </w:rPr>
        <w:t>EDF v. Romania</w:t>
      </w:r>
      <w:r w:rsidR="00734C8A" w:rsidRPr="00DA5EB5">
        <w:rPr>
          <w:rStyle w:val="FootnoteReference"/>
          <w:color w:val="000000" w:themeColor="text1"/>
          <w:kern w:val="2"/>
          <w:sz w:val="18"/>
        </w:rPr>
        <w:footnoteReference w:id="300"/>
      </w:r>
      <w:r w:rsidR="00734C8A" w:rsidRPr="00DA5EB5">
        <w:rPr>
          <w:color w:val="000000" w:themeColor="text1"/>
          <w:kern w:val="2"/>
          <w:sz w:val="20"/>
        </w:rPr>
        <w:t>) or were corruptly influenced by the investors’ competitors (</w:t>
      </w:r>
      <w:proofErr w:type="spellStart"/>
      <w:r w:rsidR="00734C8A" w:rsidRPr="00DA5EB5">
        <w:rPr>
          <w:i/>
          <w:color w:val="000000" w:themeColor="text1"/>
          <w:kern w:val="2"/>
          <w:sz w:val="20"/>
        </w:rPr>
        <w:t>Methanex</w:t>
      </w:r>
      <w:proofErr w:type="spellEnd"/>
      <w:r w:rsidR="00734C8A" w:rsidRPr="00DA5EB5">
        <w:rPr>
          <w:i/>
          <w:color w:val="000000" w:themeColor="text1"/>
          <w:kern w:val="2"/>
          <w:sz w:val="20"/>
        </w:rPr>
        <w:t xml:space="preserve"> v. United States</w:t>
      </w:r>
      <w:r w:rsidR="00734C8A" w:rsidRPr="00DA5EB5">
        <w:rPr>
          <w:color w:val="000000" w:themeColor="text1"/>
          <w:kern w:val="2"/>
          <w:sz w:val="20"/>
        </w:rPr>
        <w:t>,</w:t>
      </w:r>
      <w:r w:rsidR="00734C8A" w:rsidRPr="00DA5EB5">
        <w:rPr>
          <w:rStyle w:val="FootnoteReference"/>
          <w:color w:val="000000" w:themeColor="text1"/>
          <w:kern w:val="2"/>
          <w:sz w:val="18"/>
        </w:rPr>
        <w:footnoteReference w:id="301"/>
      </w:r>
      <w:r w:rsidR="00734C8A" w:rsidRPr="00DA5EB5">
        <w:rPr>
          <w:color w:val="000000" w:themeColor="text1"/>
          <w:kern w:val="2"/>
          <w:sz w:val="20"/>
        </w:rPr>
        <w:t xml:space="preserve"> </w:t>
      </w:r>
      <w:proofErr w:type="spellStart"/>
      <w:r w:rsidR="00734C8A" w:rsidRPr="00DA5EB5">
        <w:rPr>
          <w:i/>
          <w:color w:val="000000" w:themeColor="text1"/>
          <w:kern w:val="2"/>
          <w:sz w:val="20"/>
        </w:rPr>
        <w:t>Oostergetel</w:t>
      </w:r>
      <w:proofErr w:type="spellEnd"/>
      <w:r w:rsidR="00734C8A" w:rsidRPr="00DA5EB5">
        <w:rPr>
          <w:i/>
          <w:color w:val="000000" w:themeColor="text1"/>
          <w:kern w:val="2"/>
          <w:sz w:val="20"/>
        </w:rPr>
        <w:t xml:space="preserve"> v. Slovakia</w:t>
      </w:r>
      <w:r w:rsidR="00734C8A" w:rsidRPr="00DA5EB5">
        <w:rPr>
          <w:color w:val="000000" w:themeColor="text1"/>
          <w:kern w:val="2"/>
          <w:sz w:val="20"/>
        </w:rPr>
        <w:t>,</w:t>
      </w:r>
      <w:r w:rsidR="00734C8A" w:rsidRPr="00DA5EB5">
        <w:rPr>
          <w:rStyle w:val="FootnoteReference"/>
          <w:color w:val="000000" w:themeColor="text1"/>
          <w:kern w:val="2"/>
          <w:sz w:val="18"/>
        </w:rPr>
        <w:footnoteReference w:id="302"/>
      </w:r>
      <w:r w:rsidR="00734C8A" w:rsidRPr="00DA5EB5">
        <w:rPr>
          <w:color w:val="000000" w:themeColor="text1"/>
          <w:kern w:val="2"/>
          <w:sz w:val="20"/>
        </w:rPr>
        <w:t xml:space="preserve"> and </w:t>
      </w:r>
      <w:r w:rsidR="00734C8A" w:rsidRPr="00DA5EB5">
        <w:rPr>
          <w:i/>
          <w:color w:val="000000" w:themeColor="text1"/>
          <w:kern w:val="2"/>
          <w:sz w:val="20"/>
        </w:rPr>
        <w:t>ECE and PANTA v. Czech Republic</w:t>
      </w:r>
      <w:r w:rsidR="00734C8A" w:rsidRPr="00DA5EB5">
        <w:rPr>
          <w:rStyle w:val="FootnoteReference"/>
          <w:color w:val="000000" w:themeColor="text1"/>
          <w:kern w:val="2"/>
          <w:sz w:val="18"/>
        </w:rPr>
        <w:footnoteReference w:id="303"/>
      </w:r>
      <w:r w:rsidR="00734C8A" w:rsidRPr="00DA5EB5">
        <w:rPr>
          <w:color w:val="000000" w:themeColor="text1"/>
          <w:kern w:val="2"/>
          <w:sz w:val="20"/>
        </w:rPr>
        <w:t>).</w:t>
      </w:r>
    </w:p>
    <w:p w14:paraId="0CEFFF84" w14:textId="7D1CEE9D" w:rsidR="007C56F9" w:rsidRPr="00DA5EB5" w:rsidRDefault="007C56F9" w:rsidP="007C3517">
      <w:pPr>
        <w:pStyle w:val="Heading4"/>
        <w:rPr>
          <w:i/>
          <w:kern w:val="2"/>
          <w:sz w:val="22"/>
        </w:rPr>
      </w:pPr>
      <w:proofErr w:type="spellStart"/>
      <w:r w:rsidRPr="00DA5EB5">
        <w:rPr>
          <w:i/>
          <w:kern w:val="2"/>
          <w:sz w:val="22"/>
        </w:rPr>
        <w:t>Methanex</w:t>
      </w:r>
      <w:proofErr w:type="spellEnd"/>
      <w:r w:rsidRPr="00DA5EB5">
        <w:rPr>
          <w:i/>
          <w:kern w:val="2"/>
          <w:sz w:val="22"/>
        </w:rPr>
        <w:t xml:space="preserve"> v United States</w:t>
      </w:r>
    </w:p>
    <w:p w14:paraId="39FAEADC" w14:textId="2DA70D25" w:rsidR="00734C8A" w:rsidRPr="00DA5EB5" w:rsidRDefault="00734C8A" w:rsidP="007C3517">
      <w:pPr>
        <w:rPr>
          <w:color w:val="000000" w:themeColor="text1"/>
          <w:kern w:val="2"/>
          <w:sz w:val="20"/>
        </w:rPr>
      </w:pPr>
      <w:r w:rsidRPr="00DA5EB5">
        <w:rPr>
          <w:color w:val="000000" w:themeColor="text1"/>
          <w:kern w:val="2"/>
          <w:sz w:val="20"/>
        </w:rPr>
        <w:t xml:space="preserve">In </w:t>
      </w:r>
      <w:proofErr w:type="spellStart"/>
      <w:r w:rsidRPr="00DA5EB5">
        <w:rPr>
          <w:i/>
          <w:color w:val="000000" w:themeColor="text1"/>
          <w:kern w:val="2"/>
          <w:sz w:val="20"/>
        </w:rPr>
        <w:t>Methanex</w:t>
      </w:r>
      <w:proofErr w:type="spellEnd"/>
      <w:r w:rsidRPr="00DA5EB5">
        <w:rPr>
          <w:i/>
          <w:color w:val="000000" w:themeColor="text1"/>
          <w:kern w:val="2"/>
          <w:sz w:val="20"/>
        </w:rPr>
        <w:t xml:space="preserve"> v United States</w:t>
      </w:r>
      <w:r w:rsidRPr="00DA5EB5">
        <w:rPr>
          <w:color w:val="000000" w:themeColor="text1"/>
          <w:kern w:val="2"/>
          <w:sz w:val="20"/>
        </w:rPr>
        <w:t xml:space="preserve">, the claimant initiated arbitration proceedings under Chapter 11 of NAFTA seeking compensation from the </w:t>
      </w:r>
      <w:r w:rsidR="00DA654D" w:rsidRPr="00DA5EB5">
        <w:rPr>
          <w:color w:val="000000" w:themeColor="text1"/>
          <w:kern w:val="2"/>
          <w:sz w:val="20"/>
        </w:rPr>
        <w:t>US</w:t>
      </w:r>
      <w:r w:rsidRPr="00DA5EB5">
        <w:rPr>
          <w:color w:val="000000" w:themeColor="text1"/>
          <w:kern w:val="2"/>
          <w:sz w:val="20"/>
        </w:rPr>
        <w:t xml:space="preserve"> in </w:t>
      </w:r>
      <w:r w:rsidR="00DA654D" w:rsidRPr="00DA5EB5">
        <w:rPr>
          <w:color w:val="000000" w:themeColor="text1"/>
          <w:kern w:val="2"/>
          <w:sz w:val="20"/>
        </w:rPr>
        <w:t xml:space="preserve">the </w:t>
      </w:r>
      <w:r w:rsidRPr="00DA5EB5">
        <w:rPr>
          <w:color w:val="000000" w:themeColor="text1"/>
          <w:kern w:val="2"/>
          <w:sz w:val="20"/>
        </w:rPr>
        <w:t xml:space="preserve">amount of </w:t>
      </w:r>
      <w:r w:rsidR="00C31F25" w:rsidRPr="00DA5EB5">
        <w:rPr>
          <w:color w:val="000000" w:themeColor="text1"/>
          <w:kern w:val="2"/>
          <w:sz w:val="20"/>
        </w:rPr>
        <w:t>US</w:t>
      </w:r>
      <w:r w:rsidRPr="00DA5EB5">
        <w:rPr>
          <w:color w:val="000000" w:themeColor="text1"/>
          <w:kern w:val="2"/>
          <w:sz w:val="20"/>
        </w:rPr>
        <w:t>$970 million for losses caused by the State of California’s ban on the sale and use of the gasoline additive MTBE, a key ingredient of which is methanol.</w:t>
      </w:r>
      <w:r w:rsidRPr="00DA5EB5">
        <w:rPr>
          <w:rStyle w:val="FootnoteReference"/>
          <w:color w:val="000000" w:themeColor="text1"/>
          <w:kern w:val="2"/>
          <w:sz w:val="18"/>
        </w:rPr>
        <w:footnoteReference w:id="304"/>
      </w:r>
      <w:r w:rsidRPr="00DA5EB5">
        <w:rPr>
          <w:color w:val="000000" w:themeColor="text1"/>
          <w:kern w:val="2"/>
          <w:sz w:val="18"/>
        </w:rPr>
        <w:t xml:space="preserve"> </w:t>
      </w:r>
      <w:proofErr w:type="spellStart"/>
      <w:r w:rsidRPr="00DA5EB5">
        <w:rPr>
          <w:color w:val="000000" w:themeColor="text1"/>
          <w:kern w:val="2"/>
          <w:sz w:val="20"/>
        </w:rPr>
        <w:t>Methanex</w:t>
      </w:r>
      <w:proofErr w:type="spellEnd"/>
      <w:r w:rsidRPr="00DA5EB5">
        <w:rPr>
          <w:color w:val="000000" w:themeColor="text1"/>
          <w:kern w:val="2"/>
          <w:sz w:val="20"/>
        </w:rPr>
        <w:t>, a Canadian producer of methanol, alleged that the then-California Governor Gray Davis’ decision to issue the ban on MTBE was motivated by corruption</w:t>
      </w:r>
      <w:r w:rsidR="00A741BD" w:rsidRPr="00DA5EB5">
        <w:rPr>
          <w:color w:val="000000" w:themeColor="text1"/>
          <w:kern w:val="2"/>
          <w:sz w:val="20"/>
        </w:rPr>
        <w:t>,</w:t>
      </w:r>
      <w:r w:rsidRPr="00DA5EB5">
        <w:rPr>
          <w:color w:val="000000" w:themeColor="text1"/>
          <w:kern w:val="2"/>
          <w:sz w:val="20"/>
        </w:rPr>
        <w:t xml:space="preserve"> as the Governor received more than </w:t>
      </w:r>
      <w:r w:rsidR="00C31F25" w:rsidRPr="00DA5EB5">
        <w:rPr>
          <w:color w:val="000000" w:themeColor="text1"/>
          <w:kern w:val="2"/>
          <w:sz w:val="20"/>
        </w:rPr>
        <w:t>US</w:t>
      </w:r>
      <w:r w:rsidRPr="00DA5EB5">
        <w:rPr>
          <w:color w:val="000000" w:themeColor="text1"/>
          <w:kern w:val="2"/>
          <w:sz w:val="20"/>
        </w:rPr>
        <w:t>$200,000</w:t>
      </w:r>
      <w:r w:rsidR="00AB1413" w:rsidRPr="00DA5EB5">
        <w:rPr>
          <w:color w:val="000000" w:themeColor="text1"/>
          <w:kern w:val="2"/>
          <w:sz w:val="20"/>
        </w:rPr>
        <w:t xml:space="preserve"> </w:t>
      </w:r>
      <w:r w:rsidRPr="00DA5EB5">
        <w:rPr>
          <w:color w:val="000000" w:themeColor="text1"/>
          <w:kern w:val="2"/>
          <w:sz w:val="20"/>
        </w:rPr>
        <w:t>in political campaign contributions from ADM, the principal US producer of ethanol.</w:t>
      </w:r>
      <w:r w:rsidRPr="00DA5EB5">
        <w:rPr>
          <w:rStyle w:val="FootnoteReference"/>
          <w:color w:val="000000" w:themeColor="text1"/>
          <w:kern w:val="2"/>
          <w:sz w:val="18"/>
        </w:rPr>
        <w:footnoteReference w:id="305"/>
      </w:r>
    </w:p>
    <w:p w14:paraId="6A10C094" w14:textId="360EDA03" w:rsidR="00734C8A" w:rsidRPr="00DA5EB5" w:rsidRDefault="00734C8A" w:rsidP="007C3517">
      <w:pPr>
        <w:rPr>
          <w:color w:val="000000" w:themeColor="text1"/>
          <w:kern w:val="2"/>
          <w:sz w:val="20"/>
        </w:rPr>
      </w:pPr>
      <w:r w:rsidRPr="00DA5EB5">
        <w:rPr>
          <w:color w:val="000000" w:themeColor="text1"/>
          <w:kern w:val="2"/>
          <w:sz w:val="20"/>
        </w:rPr>
        <w:t>Although the tribunal ultimately found that it did not have jurisdiction over some of the claimant's claims and dismissed all other claims on their merits,</w:t>
      </w:r>
      <w:r w:rsidRPr="00DA5EB5">
        <w:rPr>
          <w:rStyle w:val="FootnoteReference"/>
          <w:color w:val="000000" w:themeColor="text1"/>
          <w:kern w:val="2"/>
          <w:sz w:val="18"/>
        </w:rPr>
        <w:footnoteReference w:id="306"/>
      </w:r>
      <w:r w:rsidRPr="00DA5EB5">
        <w:rPr>
          <w:color w:val="000000" w:themeColor="text1"/>
          <w:kern w:val="2"/>
          <w:sz w:val="20"/>
        </w:rPr>
        <w:t xml:space="preserve"> the importance of this case is its approach to evaluating the evidence of corruption.</w:t>
      </w:r>
      <w:r w:rsidRPr="00DA5EB5">
        <w:rPr>
          <w:rStyle w:val="FootnoteReference"/>
          <w:color w:val="000000" w:themeColor="text1"/>
          <w:kern w:val="2"/>
          <w:sz w:val="18"/>
        </w:rPr>
        <w:footnoteReference w:id="307"/>
      </w:r>
      <w:r w:rsidRPr="00DA5EB5">
        <w:rPr>
          <w:color w:val="000000" w:themeColor="text1"/>
          <w:kern w:val="2"/>
          <w:sz w:val="20"/>
        </w:rPr>
        <w:t xml:space="preserve"> </w:t>
      </w:r>
      <w:proofErr w:type="spellStart"/>
      <w:r w:rsidRPr="00DA5EB5">
        <w:rPr>
          <w:color w:val="000000" w:themeColor="text1"/>
          <w:kern w:val="2"/>
          <w:sz w:val="20"/>
        </w:rPr>
        <w:t>Methanex</w:t>
      </w:r>
      <w:proofErr w:type="spellEnd"/>
      <w:r w:rsidRPr="00DA5EB5">
        <w:rPr>
          <w:color w:val="000000" w:themeColor="text1"/>
          <w:kern w:val="2"/>
          <w:sz w:val="20"/>
        </w:rPr>
        <w:t xml:space="preserve"> invited the tribunal to base the finding of corruption on the totality of factual inferences and interpretations:</w:t>
      </w:r>
    </w:p>
    <w:p w14:paraId="1FB8E9A0" w14:textId="7DE1B26F" w:rsidR="00734C8A" w:rsidRPr="00DA5EB5" w:rsidRDefault="00734C8A" w:rsidP="007C3517">
      <w:pPr>
        <w:pStyle w:val="BlockQuote"/>
        <w:rPr>
          <w:kern w:val="2"/>
          <w:sz w:val="20"/>
        </w:rPr>
      </w:pPr>
      <w:r w:rsidRPr="00DA5EB5">
        <w:rPr>
          <w:kern w:val="2"/>
          <w:sz w:val="20"/>
        </w:rPr>
        <w:t xml:space="preserve">Counsel for </w:t>
      </w:r>
      <w:proofErr w:type="spellStart"/>
      <w:r w:rsidRPr="00DA5EB5">
        <w:rPr>
          <w:kern w:val="2"/>
          <w:sz w:val="20"/>
        </w:rPr>
        <w:t>Methanex’s</w:t>
      </w:r>
      <w:proofErr w:type="spellEnd"/>
      <w:r w:rsidRPr="00DA5EB5">
        <w:rPr>
          <w:kern w:val="2"/>
          <w:sz w:val="20"/>
        </w:rPr>
        <w:t xml:space="preserve"> description of this methodology can be summarised, colloquially, as one of inviting the Tribunal to </w:t>
      </w:r>
      <w:r w:rsidR="00FD6DAC" w:rsidRPr="00DA5EB5">
        <w:rPr>
          <w:kern w:val="2"/>
          <w:sz w:val="20"/>
        </w:rPr>
        <w:t>“</w:t>
      </w:r>
      <w:r w:rsidRPr="00DA5EB5">
        <w:rPr>
          <w:kern w:val="2"/>
          <w:sz w:val="20"/>
        </w:rPr>
        <w:t>connect the dots,</w:t>
      </w:r>
      <w:r w:rsidR="00FD6DAC" w:rsidRPr="00DA5EB5">
        <w:rPr>
          <w:kern w:val="2"/>
          <w:sz w:val="20"/>
        </w:rPr>
        <w:t>”</w:t>
      </w:r>
      <w:r w:rsidRPr="00DA5EB5">
        <w:rPr>
          <w:kern w:val="2"/>
          <w:sz w:val="20"/>
        </w:rPr>
        <w:t xml:space="preserve"> i.e., while individual pieces of evidence when viewed in isolation may appear to have no significance, when seen together, they provide the most compelling of possible explanations of events, which will support </w:t>
      </w:r>
      <w:proofErr w:type="spellStart"/>
      <w:r w:rsidRPr="00DA5EB5">
        <w:rPr>
          <w:kern w:val="2"/>
          <w:sz w:val="20"/>
        </w:rPr>
        <w:t>Methanex’s</w:t>
      </w:r>
      <w:proofErr w:type="spellEnd"/>
      <w:r w:rsidRPr="00DA5EB5">
        <w:rPr>
          <w:kern w:val="2"/>
          <w:sz w:val="20"/>
        </w:rPr>
        <w:t xml:space="preserve"> claims.</w:t>
      </w:r>
      <w:r w:rsidR="00B71CB8" w:rsidRPr="00DA5EB5">
        <w:rPr>
          <w:rStyle w:val="FootnoteReference"/>
          <w:color w:val="000000" w:themeColor="text1"/>
          <w:kern w:val="2"/>
          <w:sz w:val="18"/>
        </w:rPr>
        <w:footnoteReference w:id="308"/>
      </w:r>
    </w:p>
    <w:p w14:paraId="13E75C45" w14:textId="34BDAE93" w:rsidR="00734C8A" w:rsidRPr="00DA5EB5" w:rsidRDefault="00734C8A" w:rsidP="005A2F7A">
      <w:pPr>
        <w:rPr>
          <w:color w:val="000000" w:themeColor="text1"/>
          <w:kern w:val="2"/>
          <w:sz w:val="20"/>
        </w:rPr>
      </w:pPr>
      <w:r w:rsidRPr="00DA5EB5">
        <w:rPr>
          <w:color w:val="000000" w:themeColor="text1"/>
          <w:kern w:val="2"/>
          <w:sz w:val="20"/>
        </w:rPr>
        <w:t xml:space="preserve">The tribunal agreed with the methodology proposed by the claimant, but the dots did not connect for </w:t>
      </w:r>
      <w:proofErr w:type="spellStart"/>
      <w:r w:rsidRPr="00DA5EB5">
        <w:rPr>
          <w:color w:val="000000" w:themeColor="text1"/>
          <w:kern w:val="2"/>
          <w:sz w:val="20"/>
        </w:rPr>
        <w:t>Methanex</w:t>
      </w:r>
      <w:proofErr w:type="spellEnd"/>
      <w:r w:rsidRPr="00DA5EB5">
        <w:rPr>
          <w:color w:val="000000" w:themeColor="text1"/>
          <w:kern w:val="2"/>
          <w:sz w:val="20"/>
        </w:rPr>
        <w:t>:</w:t>
      </w:r>
    </w:p>
    <w:p w14:paraId="2DCB7EF0" w14:textId="4F9795D5" w:rsidR="00734C8A" w:rsidRPr="00DA5EB5" w:rsidRDefault="00734C8A" w:rsidP="007C3517">
      <w:pPr>
        <w:pStyle w:val="BlockQuote"/>
        <w:rPr>
          <w:kern w:val="2"/>
          <w:sz w:val="20"/>
        </w:rPr>
      </w:pPr>
      <w:r w:rsidRPr="00DA5EB5">
        <w:rPr>
          <w:kern w:val="2"/>
          <w:sz w:val="20"/>
        </w:rPr>
        <w:t xml:space="preserve">Connecting the dots is hardly a unique methodology; but when it is applied, it is critical, first, that all the relevant dots be assembled; and, second, that each be examined, in its own context, for its own significance, before a possible pattern is essayed. Plainly, a self-serving selection of events and a self-serving interpretation of each of those selected, may produce an account approximating verisimilitude, but it will not reflect what actually happened. Accordingly, the Tribunal will consider the various </w:t>
      </w:r>
      <w:r w:rsidR="00FD6DAC" w:rsidRPr="00DA5EB5">
        <w:rPr>
          <w:kern w:val="2"/>
          <w:sz w:val="20"/>
        </w:rPr>
        <w:t>“</w:t>
      </w:r>
      <w:r w:rsidRPr="00DA5EB5">
        <w:rPr>
          <w:kern w:val="2"/>
          <w:sz w:val="20"/>
        </w:rPr>
        <w:t>dots</w:t>
      </w:r>
      <w:r w:rsidR="00FD6DAC" w:rsidRPr="00DA5EB5">
        <w:rPr>
          <w:kern w:val="2"/>
          <w:sz w:val="20"/>
        </w:rPr>
        <w:t>”</w:t>
      </w:r>
      <w:r w:rsidRPr="00DA5EB5">
        <w:rPr>
          <w:kern w:val="2"/>
          <w:sz w:val="20"/>
        </w:rPr>
        <w:t xml:space="preserve"> which </w:t>
      </w:r>
      <w:proofErr w:type="spellStart"/>
      <w:r w:rsidRPr="00DA5EB5">
        <w:rPr>
          <w:kern w:val="2"/>
          <w:sz w:val="20"/>
        </w:rPr>
        <w:t>Methanex</w:t>
      </w:r>
      <w:proofErr w:type="spellEnd"/>
      <w:r w:rsidRPr="00DA5EB5">
        <w:rPr>
          <w:kern w:val="2"/>
          <w:sz w:val="20"/>
        </w:rPr>
        <w:t xml:space="preserve"> has adduced - one-by-one and then together with certain key events (essentially additional, noteworthy dots) which </w:t>
      </w:r>
      <w:proofErr w:type="spellStart"/>
      <w:r w:rsidRPr="00DA5EB5">
        <w:rPr>
          <w:kern w:val="2"/>
          <w:sz w:val="20"/>
        </w:rPr>
        <w:t>Methanex</w:t>
      </w:r>
      <w:proofErr w:type="spellEnd"/>
      <w:r w:rsidRPr="00DA5EB5">
        <w:rPr>
          <w:kern w:val="2"/>
          <w:sz w:val="20"/>
        </w:rPr>
        <w:t xml:space="preserve"> does not adduce - in order to reach a conclusion about the factual assertions which </w:t>
      </w:r>
      <w:proofErr w:type="spellStart"/>
      <w:r w:rsidRPr="00DA5EB5">
        <w:rPr>
          <w:kern w:val="2"/>
          <w:sz w:val="20"/>
        </w:rPr>
        <w:t>Methanex</w:t>
      </w:r>
      <w:proofErr w:type="spellEnd"/>
      <w:r w:rsidRPr="00DA5EB5">
        <w:rPr>
          <w:kern w:val="2"/>
          <w:sz w:val="20"/>
        </w:rPr>
        <w:t xml:space="preserve"> has made. Some of </w:t>
      </w:r>
      <w:proofErr w:type="spellStart"/>
      <w:r w:rsidRPr="00DA5EB5">
        <w:rPr>
          <w:kern w:val="2"/>
          <w:sz w:val="20"/>
        </w:rPr>
        <w:t>Methanex’s</w:t>
      </w:r>
      <w:proofErr w:type="spellEnd"/>
      <w:r w:rsidRPr="00DA5EB5">
        <w:rPr>
          <w:kern w:val="2"/>
          <w:sz w:val="20"/>
        </w:rPr>
        <w:t xml:space="preserve"> proposed dots emerge as significant; others, as will be seen, do not qualify as such. In the end, the Tribunal finds it impossible plausibly to connect these dots in such a way as to support the claims set forth by </w:t>
      </w:r>
      <w:proofErr w:type="spellStart"/>
      <w:r w:rsidRPr="00DA5EB5">
        <w:rPr>
          <w:kern w:val="2"/>
          <w:sz w:val="20"/>
        </w:rPr>
        <w:t>Methanex</w:t>
      </w:r>
      <w:proofErr w:type="spellEnd"/>
      <w:r w:rsidRPr="00DA5EB5">
        <w:rPr>
          <w:kern w:val="2"/>
          <w:sz w:val="20"/>
        </w:rPr>
        <w:t>.</w:t>
      </w:r>
      <w:r w:rsidR="00045E1D" w:rsidRPr="00DA5EB5">
        <w:rPr>
          <w:rStyle w:val="FootnoteReference"/>
          <w:color w:val="000000" w:themeColor="text1"/>
          <w:kern w:val="2"/>
          <w:sz w:val="18"/>
        </w:rPr>
        <w:footnoteReference w:id="309"/>
      </w:r>
    </w:p>
    <w:p w14:paraId="2D7DE80F" w14:textId="25412762" w:rsidR="00FE0F8C" w:rsidRPr="00DA5EB5" w:rsidRDefault="00734C8A" w:rsidP="007C3517">
      <w:pPr>
        <w:rPr>
          <w:color w:val="000000" w:themeColor="text1"/>
          <w:kern w:val="2"/>
          <w:sz w:val="20"/>
        </w:rPr>
      </w:pPr>
      <w:r w:rsidRPr="00DA5EB5">
        <w:rPr>
          <w:color w:val="000000" w:themeColor="text1"/>
          <w:kern w:val="2"/>
          <w:sz w:val="20"/>
        </w:rPr>
        <w:t>In particular, the tribunal observed that in the US</w:t>
      </w:r>
      <w:r w:rsidR="000C1554" w:rsidRPr="00DA5EB5">
        <w:rPr>
          <w:color w:val="000000" w:themeColor="text1"/>
          <w:kern w:val="2"/>
          <w:sz w:val="20"/>
        </w:rPr>
        <w:t>,</w:t>
      </w:r>
      <w:r w:rsidRPr="00DA5EB5">
        <w:rPr>
          <w:color w:val="000000" w:themeColor="text1"/>
          <w:kern w:val="2"/>
          <w:sz w:val="20"/>
        </w:rPr>
        <w:t xml:space="preserve"> political campaigns at the federal and state level may accept private financial contributions, and </w:t>
      </w:r>
      <w:r w:rsidR="00FD6DAC" w:rsidRPr="00DA5EB5">
        <w:rPr>
          <w:color w:val="000000" w:themeColor="text1"/>
          <w:kern w:val="2"/>
          <w:sz w:val="20"/>
        </w:rPr>
        <w:t>“</w:t>
      </w:r>
      <w:r w:rsidRPr="00DA5EB5">
        <w:rPr>
          <w:color w:val="000000" w:themeColor="text1"/>
          <w:kern w:val="2"/>
          <w:sz w:val="20"/>
        </w:rPr>
        <w:t>no rule of international law was suggested as evidence that the USA and other nations which allow private financial contributions in electoral campaigns are thereby in violation of international law.</w:t>
      </w:r>
      <w:r w:rsidR="00FD6DAC" w:rsidRPr="00DA5EB5">
        <w:rPr>
          <w:color w:val="000000" w:themeColor="text1"/>
          <w:kern w:val="2"/>
          <w:sz w:val="20"/>
        </w:rPr>
        <w:t>”</w:t>
      </w:r>
      <w:r w:rsidRPr="00DA5EB5">
        <w:rPr>
          <w:rStyle w:val="FootnoteReference"/>
          <w:color w:val="000000" w:themeColor="text1"/>
          <w:kern w:val="2"/>
          <w:sz w:val="18"/>
        </w:rPr>
        <w:footnoteReference w:id="310"/>
      </w:r>
      <w:r w:rsidRPr="00DA5EB5">
        <w:rPr>
          <w:color w:val="000000" w:themeColor="text1"/>
          <w:kern w:val="2"/>
          <w:sz w:val="20"/>
        </w:rPr>
        <w:t xml:space="preserve"> The tribunal also rejected </w:t>
      </w:r>
      <w:proofErr w:type="spellStart"/>
      <w:r w:rsidRPr="00DA5EB5">
        <w:rPr>
          <w:color w:val="000000" w:themeColor="text1"/>
          <w:kern w:val="2"/>
          <w:sz w:val="20"/>
        </w:rPr>
        <w:t>Methanex’s</w:t>
      </w:r>
      <w:proofErr w:type="spellEnd"/>
      <w:r w:rsidRPr="00DA5EB5">
        <w:rPr>
          <w:color w:val="000000" w:themeColor="text1"/>
          <w:kern w:val="2"/>
          <w:sz w:val="20"/>
        </w:rPr>
        <w:t xml:space="preserve"> suggestion that the fact that ADM hosted a </w:t>
      </w:r>
      <w:r w:rsidR="00FD6DAC" w:rsidRPr="00DA5EB5">
        <w:rPr>
          <w:color w:val="000000" w:themeColor="text1"/>
          <w:kern w:val="2"/>
          <w:sz w:val="20"/>
        </w:rPr>
        <w:t>“</w:t>
      </w:r>
      <w:r w:rsidRPr="00DA5EB5">
        <w:rPr>
          <w:color w:val="000000" w:themeColor="text1"/>
          <w:kern w:val="2"/>
          <w:sz w:val="20"/>
        </w:rPr>
        <w:t>secret</w:t>
      </w:r>
      <w:r w:rsidR="00FD6DAC" w:rsidRPr="00DA5EB5">
        <w:rPr>
          <w:color w:val="000000" w:themeColor="text1"/>
          <w:kern w:val="2"/>
          <w:sz w:val="20"/>
        </w:rPr>
        <w:t>”</w:t>
      </w:r>
      <w:r w:rsidRPr="00DA5EB5">
        <w:rPr>
          <w:color w:val="000000" w:themeColor="text1"/>
          <w:kern w:val="2"/>
          <w:sz w:val="20"/>
        </w:rPr>
        <w:t xml:space="preserve"> dinner for Mr</w:t>
      </w:r>
      <w:r w:rsidR="000C1554" w:rsidRPr="00DA5EB5">
        <w:rPr>
          <w:color w:val="000000" w:themeColor="text1"/>
          <w:kern w:val="2"/>
          <w:sz w:val="20"/>
        </w:rPr>
        <w:t>.</w:t>
      </w:r>
      <w:r w:rsidRPr="00DA5EB5">
        <w:rPr>
          <w:color w:val="000000" w:themeColor="text1"/>
          <w:kern w:val="2"/>
          <w:sz w:val="20"/>
        </w:rPr>
        <w:t xml:space="preserve"> Davis confirms </w:t>
      </w:r>
      <w:r w:rsidR="000C1554" w:rsidRPr="00DA5EB5">
        <w:rPr>
          <w:color w:val="000000" w:themeColor="text1"/>
          <w:kern w:val="2"/>
          <w:sz w:val="20"/>
        </w:rPr>
        <w:t>an</w:t>
      </w:r>
      <w:r w:rsidRPr="00DA5EB5">
        <w:rPr>
          <w:color w:val="000000" w:themeColor="text1"/>
          <w:kern w:val="2"/>
          <w:sz w:val="20"/>
        </w:rPr>
        <w:t xml:space="preserve"> intent to favor ethanol and thus injure methanol producers (including </w:t>
      </w:r>
      <w:proofErr w:type="spellStart"/>
      <w:r w:rsidRPr="00DA5EB5">
        <w:rPr>
          <w:color w:val="000000" w:themeColor="text1"/>
          <w:kern w:val="2"/>
          <w:sz w:val="20"/>
        </w:rPr>
        <w:t>Methanex</w:t>
      </w:r>
      <w:proofErr w:type="spellEnd"/>
      <w:r w:rsidRPr="00DA5EB5">
        <w:rPr>
          <w:color w:val="000000" w:themeColor="text1"/>
          <w:kern w:val="2"/>
          <w:sz w:val="20"/>
        </w:rPr>
        <w:t>).</w:t>
      </w:r>
      <w:r w:rsidRPr="00DA5EB5">
        <w:rPr>
          <w:rStyle w:val="FootnoteReference"/>
          <w:color w:val="000000" w:themeColor="text1"/>
          <w:kern w:val="2"/>
          <w:sz w:val="18"/>
        </w:rPr>
        <w:footnoteReference w:id="311"/>
      </w:r>
      <w:r w:rsidRPr="00DA5EB5">
        <w:rPr>
          <w:color w:val="000000" w:themeColor="text1"/>
          <w:kern w:val="2"/>
          <w:sz w:val="20"/>
        </w:rPr>
        <w:t xml:space="preserve"> While the contribution of campaign funds, if made under circumstances that suggest a deal or a </w:t>
      </w:r>
      <w:r w:rsidRPr="00DA5EB5">
        <w:rPr>
          <w:i/>
          <w:color w:val="000000" w:themeColor="text1"/>
          <w:kern w:val="2"/>
          <w:sz w:val="20"/>
        </w:rPr>
        <w:t>quid pro quo</w:t>
      </w:r>
      <w:r w:rsidRPr="00DA5EB5">
        <w:rPr>
          <w:color w:val="000000" w:themeColor="text1"/>
          <w:kern w:val="2"/>
          <w:sz w:val="20"/>
        </w:rPr>
        <w:t xml:space="preserve">, could be unlawful and amount to a breach of NAFTA’s provisions on national treatment, minimum standard of treatment, and expropriation, </w:t>
      </w:r>
      <w:proofErr w:type="spellStart"/>
      <w:r w:rsidRPr="00DA5EB5">
        <w:rPr>
          <w:color w:val="000000" w:themeColor="text1"/>
          <w:kern w:val="2"/>
          <w:sz w:val="20"/>
        </w:rPr>
        <w:t>Methanex</w:t>
      </w:r>
      <w:proofErr w:type="spellEnd"/>
      <w:r w:rsidRPr="00DA5EB5">
        <w:rPr>
          <w:color w:val="000000" w:themeColor="text1"/>
          <w:kern w:val="2"/>
          <w:sz w:val="20"/>
        </w:rPr>
        <w:t xml:space="preserve"> itself acknowledged that it was unable to prove any </w:t>
      </w:r>
      <w:r w:rsidRPr="00DA5EB5">
        <w:rPr>
          <w:i/>
          <w:color w:val="000000" w:themeColor="text1"/>
          <w:kern w:val="2"/>
          <w:sz w:val="20"/>
        </w:rPr>
        <w:t>quid pro quo</w:t>
      </w:r>
      <w:r w:rsidRPr="00DA5EB5">
        <w:rPr>
          <w:color w:val="000000" w:themeColor="text1"/>
          <w:kern w:val="2"/>
          <w:sz w:val="20"/>
        </w:rPr>
        <w:t xml:space="preserve"> or handshake deal.</w:t>
      </w:r>
      <w:r w:rsidRPr="00DA5EB5">
        <w:rPr>
          <w:rStyle w:val="FootnoteReference"/>
          <w:color w:val="000000" w:themeColor="text1"/>
          <w:kern w:val="2"/>
          <w:sz w:val="18"/>
        </w:rPr>
        <w:footnoteReference w:id="312"/>
      </w:r>
    </w:p>
    <w:p w14:paraId="6E2A1A75" w14:textId="4C9F1527" w:rsidR="007C56F9" w:rsidRPr="00DA5EB5" w:rsidRDefault="007C56F9" w:rsidP="007C3517">
      <w:pPr>
        <w:pStyle w:val="Heading4"/>
        <w:rPr>
          <w:kern w:val="2"/>
          <w:sz w:val="22"/>
        </w:rPr>
      </w:pPr>
      <w:r w:rsidRPr="00DA5EB5">
        <w:rPr>
          <w:i/>
          <w:kern w:val="2"/>
          <w:sz w:val="22"/>
        </w:rPr>
        <w:t>EDF</w:t>
      </w:r>
      <w:r w:rsidRPr="00DA5EB5">
        <w:rPr>
          <w:kern w:val="2"/>
          <w:sz w:val="22"/>
        </w:rPr>
        <w:t xml:space="preserve"> </w:t>
      </w:r>
      <w:r w:rsidRPr="00DA5EB5">
        <w:rPr>
          <w:i/>
          <w:kern w:val="2"/>
          <w:sz w:val="22"/>
        </w:rPr>
        <w:t>v Romania</w:t>
      </w:r>
    </w:p>
    <w:p w14:paraId="2EE3220C" w14:textId="40ACAB7C" w:rsidR="00734C8A" w:rsidRPr="00DA5EB5" w:rsidRDefault="00734C8A" w:rsidP="007C3517">
      <w:pPr>
        <w:rPr>
          <w:color w:val="000000" w:themeColor="text1"/>
          <w:kern w:val="2"/>
          <w:sz w:val="20"/>
        </w:rPr>
      </w:pPr>
      <w:r w:rsidRPr="00DA5EB5">
        <w:rPr>
          <w:color w:val="000000" w:themeColor="text1"/>
          <w:kern w:val="2"/>
          <w:sz w:val="20"/>
        </w:rPr>
        <w:t xml:space="preserve">In </w:t>
      </w:r>
      <w:r w:rsidRPr="00DA5EB5">
        <w:rPr>
          <w:i/>
          <w:color w:val="000000" w:themeColor="text1"/>
          <w:kern w:val="2"/>
          <w:sz w:val="20"/>
        </w:rPr>
        <w:t>EDF v Romania</w:t>
      </w:r>
      <w:r w:rsidRPr="00DA5EB5">
        <w:rPr>
          <w:color w:val="000000" w:themeColor="text1"/>
          <w:kern w:val="2"/>
          <w:sz w:val="20"/>
        </w:rPr>
        <w:t>, a UK company that formed two joint ventures with Romanian state-owned entities claimed that Romania failed to accord fair and equitable treatment to EDF’s investment</w:t>
      </w:r>
      <w:r w:rsidR="00D32CD2" w:rsidRPr="00DA5EB5">
        <w:rPr>
          <w:color w:val="000000" w:themeColor="text1"/>
          <w:kern w:val="2"/>
          <w:sz w:val="20"/>
        </w:rPr>
        <w:t>. EDF claimed that the revocation of its duty-free store licenses and non-renewal of its lease agreements resulted from EDF’</w:t>
      </w:r>
      <w:r w:rsidR="002E70A3" w:rsidRPr="00DA5EB5">
        <w:rPr>
          <w:color w:val="000000" w:themeColor="text1"/>
          <w:kern w:val="2"/>
          <w:sz w:val="20"/>
        </w:rPr>
        <w:t xml:space="preserve">s refusal to pay </w:t>
      </w:r>
      <w:r w:rsidR="008E593F" w:rsidRPr="00DA5EB5">
        <w:rPr>
          <w:color w:val="000000" w:themeColor="text1"/>
          <w:kern w:val="2"/>
          <w:sz w:val="20"/>
        </w:rPr>
        <w:t>US</w:t>
      </w:r>
      <w:r w:rsidR="002E70A3" w:rsidRPr="00DA5EB5">
        <w:rPr>
          <w:color w:val="000000" w:themeColor="text1"/>
          <w:kern w:val="2"/>
          <w:sz w:val="20"/>
        </w:rPr>
        <w:t>$</w:t>
      </w:r>
      <w:r w:rsidR="00D32CD2" w:rsidRPr="00DA5EB5">
        <w:rPr>
          <w:color w:val="000000" w:themeColor="text1"/>
          <w:kern w:val="2"/>
          <w:sz w:val="20"/>
        </w:rPr>
        <w:t>2.5 million</w:t>
      </w:r>
      <w:r w:rsidR="002E70A3" w:rsidRPr="00DA5EB5">
        <w:rPr>
          <w:color w:val="000000" w:themeColor="text1"/>
          <w:kern w:val="2"/>
          <w:sz w:val="20"/>
        </w:rPr>
        <w:t xml:space="preserve"> </w:t>
      </w:r>
      <w:r w:rsidR="00D32CD2" w:rsidRPr="00DA5EB5">
        <w:rPr>
          <w:color w:val="000000" w:themeColor="text1"/>
          <w:kern w:val="2"/>
          <w:sz w:val="20"/>
        </w:rPr>
        <w:t xml:space="preserve">in bribes allegedly solicited by the </w:t>
      </w:r>
      <w:r w:rsidRPr="00DA5EB5">
        <w:rPr>
          <w:color w:val="000000" w:themeColor="text1"/>
          <w:kern w:val="2"/>
          <w:sz w:val="20"/>
        </w:rPr>
        <w:t>Prime Minister of Romania and other senior public officials.</w:t>
      </w:r>
      <w:r w:rsidRPr="00DA5EB5">
        <w:rPr>
          <w:rStyle w:val="FootnoteReference"/>
          <w:color w:val="000000" w:themeColor="text1"/>
          <w:kern w:val="2"/>
          <w:sz w:val="18"/>
        </w:rPr>
        <w:footnoteReference w:id="313"/>
      </w:r>
      <w:r w:rsidRPr="00DA5EB5">
        <w:rPr>
          <w:color w:val="000000" w:themeColor="text1"/>
          <w:kern w:val="2"/>
          <w:sz w:val="20"/>
        </w:rPr>
        <w:t xml:space="preserve"> The respondent denied the allegations of corruption and noted that the claimant did not provide </w:t>
      </w:r>
      <w:r w:rsidR="00FD6DAC" w:rsidRPr="00DA5EB5">
        <w:rPr>
          <w:color w:val="000000" w:themeColor="text1"/>
          <w:kern w:val="2"/>
          <w:sz w:val="20"/>
        </w:rPr>
        <w:t>“</w:t>
      </w:r>
      <w:r w:rsidRPr="00DA5EB5">
        <w:rPr>
          <w:color w:val="000000" w:themeColor="text1"/>
          <w:kern w:val="2"/>
          <w:sz w:val="20"/>
        </w:rPr>
        <w:t>reliable evidence</w:t>
      </w:r>
      <w:r w:rsidR="00FD6DAC" w:rsidRPr="00DA5EB5">
        <w:rPr>
          <w:color w:val="000000" w:themeColor="text1"/>
          <w:kern w:val="2"/>
          <w:sz w:val="20"/>
        </w:rPr>
        <w:t>”</w:t>
      </w:r>
      <w:r w:rsidRPr="00DA5EB5">
        <w:rPr>
          <w:color w:val="000000" w:themeColor="text1"/>
          <w:kern w:val="2"/>
          <w:sz w:val="20"/>
        </w:rPr>
        <w:t xml:space="preserve"> that the numerous decision-makers involved in the process of deciding whether to extend the contract or to approve the act governing duty-free licenses </w:t>
      </w:r>
      <w:r w:rsidR="00FD6DAC" w:rsidRPr="00DA5EB5">
        <w:rPr>
          <w:color w:val="000000" w:themeColor="text1"/>
          <w:kern w:val="2"/>
          <w:sz w:val="20"/>
        </w:rPr>
        <w:t>“</w:t>
      </w:r>
      <w:r w:rsidRPr="00DA5EB5">
        <w:rPr>
          <w:color w:val="000000" w:themeColor="text1"/>
          <w:kern w:val="2"/>
          <w:sz w:val="20"/>
        </w:rPr>
        <w:t>were even aware of, let alone influenced by, alleged bribes solicited by the Prime Minister’s staff members.</w:t>
      </w:r>
      <w:r w:rsidR="00FD6DAC" w:rsidRPr="00DA5EB5">
        <w:rPr>
          <w:color w:val="000000" w:themeColor="text1"/>
          <w:kern w:val="2"/>
          <w:sz w:val="20"/>
        </w:rPr>
        <w:t>”</w:t>
      </w:r>
      <w:r w:rsidRPr="00DA5EB5">
        <w:rPr>
          <w:rStyle w:val="FootnoteReference"/>
          <w:color w:val="000000" w:themeColor="text1"/>
          <w:kern w:val="2"/>
          <w:sz w:val="18"/>
        </w:rPr>
        <w:footnoteReference w:id="314"/>
      </w:r>
      <w:r w:rsidRPr="00DA5EB5">
        <w:rPr>
          <w:color w:val="000000" w:themeColor="text1"/>
          <w:kern w:val="2"/>
          <w:sz w:val="20"/>
        </w:rPr>
        <w:t xml:space="preserve"> The claimant did not report the alleged bribe solicitations when they occurred in August and October </w:t>
      </w:r>
      <w:r w:rsidR="00D43707" w:rsidRPr="00DA5EB5">
        <w:rPr>
          <w:color w:val="000000" w:themeColor="text1"/>
          <w:kern w:val="2"/>
          <w:sz w:val="20"/>
        </w:rPr>
        <w:t xml:space="preserve">of </w:t>
      </w:r>
      <w:r w:rsidRPr="00DA5EB5">
        <w:rPr>
          <w:color w:val="000000" w:themeColor="text1"/>
          <w:kern w:val="2"/>
          <w:sz w:val="20"/>
        </w:rPr>
        <w:t>2001, but published them in a German newspaper in November</w:t>
      </w:r>
      <w:r w:rsidR="00D43707" w:rsidRPr="00DA5EB5">
        <w:rPr>
          <w:color w:val="000000" w:themeColor="text1"/>
          <w:kern w:val="2"/>
          <w:sz w:val="20"/>
        </w:rPr>
        <w:t>,</w:t>
      </w:r>
      <w:r w:rsidRPr="00DA5EB5">
        <w:rPr>
          <w:color w:val="000000" w:themeColor="text1"/>
          <w:kern w:val="2"/>
          <w:sz w:val="20"/>
        </w:rPr>
        <w:t xml:space="preserve"> 2002, following which an investigation was opened by the Romanian Anti-Corruption Authority (DNA).</w:t>
      </w:r>
      <w:r w:rsidRPr="00DA5EB5">
        <w:rPr>
          <w:rStyle w:val="FootnoteReference"/>
          <w:color w:val="000000" w:themeColor="text1"/>
          <w:kern w:val="2"/>
          <w:sz w:val="18"/>
        </w:rPr>
        <w:footnoteReference w:id="315"/>
      </w:r>
      <w:r w:rsidRPr="00DA5EB5">
        <w:rPr>
          <w:color w:val="000000" w:themeColor="text1"/>
          <w:kern w:val="2"/>
          <w:sz w:val="20"/>
        </w:rPr>
        <w:t xml:space="preserve"> The DNA has twice investigated the claimant’s allegations of bribery solicitation and twice (in 2003 and 2006) rejected them, and the criminal courts in Romania have twice reviewed and affirmed the DNA’s findings that the claimant’s allegations are groundless.</w:t>
      </w:r>
      <w:r w:rsidRPr="00DA5EB5">
        <w:rPr>
          <w:rStyle w:val="FootnoteReference"/>
          <w:color w:val="000000" w:themeColor="text1"/>
          <w:kern w:val="2"/>
          <w:sz w:val="18"/>
        </w:rPr>
        <w:footnoteReference w:id="316"/>
      </w:r>
    </w:p>
    <w:p w14:paraId="5A9DFC60" w14:textId="42681C39" w:rsidR="00734C8A" w:rsidRPr="00DA5EB5" w:rsidRDefault="00734C8A" w:rsidP="007C3517">
      <w:pPr>
        <w:rPr>
          <w:color w:val="000000" w:themeColor="text1"/>
          <w:kern w:val="2"/>
          <w:sz w:val="20"/>
        </w:rPr>
      </w:pPr>
      <w:r w:rsidRPr="00DA5EB5">
        <w:rPr>
          <w:color w:val="000000" w:themeColor="text1"/>
          <w:kern w:val="2"/>
          <w:sz w:val="20"/>
        </w:rPr>
        <w:t>T</w:t>
      </w:r>
      <w:r w:rsidR="00D43707" w:rsidRPr="00DA5EB5">
        <w:rPr>
          <w:color w:val="000000" w:themeColor="text1"/>
          <w:kern w:val="2"/>
          <w:sz w:val="20"/>
        </w:rPr>
        <w:t>h</w:t>
      </w:r>
      <w:r w:rsidRPr="00DA5EB5">
        <w:rPr>
          <w:color w:val="000000" w:themeColor="text1"/>
          <w:kern w:val="2"/>
          <w:sz w:val="20"/>
        </w:rPr>
        <w:t xml:space="preserve">e tribunal agreed that solicitation of bribes by the host state’s officials would amount to a violation of the BIT, but ruled that the claimant failed to furnish </w:t>
      </w:r>
      <w:r w:rsidR="00FD6DAC" w:rsidRPr="00DA5EB5">
        <w:rPr>
          <w:color w:val="000000" w:themeColor="text1"/>
          <w:kern w:val="2"/>
          <w:sz w:val="20"/>
        </w:rPr>
        <w:t>“</w:t>
      </w:r>
      <w:r w:rsidRPr="00DA5EB5">
        <w:rPr>
          <w:color w:val="000000" w:themeColor="text1"/>
          <w:kern w:val="2"/>
          <w:sz w:val="20"/>
        </w:rPr>
        <w:t>clear and convincing</w:t>
      </w:r>
      <w:r w:rsidR="00FD6DAC" w:rsidRPr="00DA5EB5">
        <w:rPr>
          <w:color w:val="000000" w:themeColor="text1"/>
          <w:kern w:val="2"/>
          <w:sz w:val="20"/>
        </w:rPr>
        <w:t>”</w:t>
      </w:r>
      <w:r w:rsidRPr="00DA5EB5">
        <w:rPr>
          <w:color w:val="000000" w:themeColor="text1"/>
          <w:kern w:val="2"/>
          <w:sz w:val="20"/>
        </w:rPr>
        <w:t xml:space="preserve"> evidence of the respondent’s corruption:</w:t>
      </w:r>
    </w:p>
    <w:p w14:paraId="79E7DCCB" w14:textId="16939607" w:rsidR="00734C8A" w:rsidRPr="00DA5EB5" w:rsidRDefault="00734C8A" w:rsidP="007C3517">
      <w:pPr>
        <w:pStyle w:val="BlockQuote"/>
        <w:rPr>
          <w:kern w:val="2"/>
          <w:sz w:val="20"/>
        </w:rPr>
      </w:pPr>
      <w:r w:rsidRPr="00DA5EB5">
        <w:rPr>
          <w:kern w:val="2"/>
          <w:sz w:val="20"/>
        </w:rPr>
        <w:t xml:space="preserve">The Tribunal shares the Claimant’s view that a request for a bribe by a State agency is a violation of the fair and equitable treatment obligation owed to the Claimant pursuant to the BIT, as well as a violation of international public policy, and that </w:t>
      </w:r>
      <w:r w:rsidR="00FD6DAC" w:rsidRPr="00DA5EB5">
        <w:rPr>
          <w:kern w:val="2"/>
          <w:sz w:val="20"/>
        </w:rPr>
        <w:t>“</w:t>
      </w:r>
      <w:r w:rsidRPr="00DA5EB5">
        <w:rPr>
          <w:kern w:val="2"/>
          <w:sz w:val="20"/>
        </w:rPr>
        <w:t>exercising a State’s discretion on the basis of corruption is a […] fundamental breach of transparency and legitimate expectations.</w:t>
      </w:r>
      <w:r w:rsidR="00FD6DAC" w:rsidRPr="00DA5EB5">
        <w:rPr>
          <w:kern w:val="2"/>
          <w:sz w:val="20"/>
        </w:rPr>
        <w:t>”</w:t>
      </w:r>
      <w:r w:rsidRPr="00DA5EB5">
        <w:rPr>
          <w:kern w:val="2"/>
          <w:sz w:val="20"/>
        </w:rPr>
        <w:t xml:space="preserve"> … Respondent flatly denies that such a request for a corrupt payment was made. In any case, however, corruption must be proven and is notoriously difficult to prove since, typically, there is little or no physical evidence. The seriousness of the accusation of corruption in the present case, considering that it involves officials at the highest level of the Romanian Government at the time, demands clear and convincing evidence. There is general consensus among international tribunals and commentators regarding the need for a high standard of proof of corruption. The evidence before the Tribunal in the instant case concerning the alleged solicitation of a bribe is far from being clear and convincing.</w:t>
      </w:r>
      <w:r w:rsidR="0015142D" w:rsidRPr="00DA5EB5">
        <w:rPr>
          <w:rStyle w:val="FootnoteReference"/>
          <w:color w:val="000000" w:themeColor="text1"/>
          <w:kern w:val="2"/>
          <w:sz w:val="18"/>
        </w:rPr>
        <w:footnoteReference w:id="317"/>
      </w:r>
    </w:p>
    <w:p w14:paraId="4F0E437E" w14:textId="24D3B94B" w:rsidR="00734C8A" w:rsidRPr="00DA5EB5" w:rsidRDefault="00734C8A" w:rsidP="005A2F7A">
      <w:pPr>
        <w:rPr>
          <w:color w:val="000000" w:themeColor="text1"/>
          <w:kern w:val="2"/>
          <w:sz w:val="20"/>
        </w:rPr>
      </w:pPr>
      <w:r w:rsidRPr="00DA5EB5">
        <w:rPr>
          <w:color w:val="000000" w:themeColor="text1"/>
          <w:kern w:val="2"/>
          <w:sz w:val="20"/>
        </w:rPr>
        <w:t xml:space="preserve">Furthermore, the tribunal seemed to imply that, in order to attribute bribe solicitation by a public official to the official’s state, the investor would need to prove, by clear and convincing evidence, that such a public official was soliciting the bribe </w:t>
      </w:r>
      <w:r w:rsidR="00FD6DAC" w:rsidRPr="00DA5EB5">
        <w:rPr>
          <w:color w:val="000000" w:themeColor="text1"/>
          <w:kern w:val="2"/>
          <w:sz w:val="20"/>
        </w:rPr>
        <w:t>“</w:t>
      </w:r>
      <w:r w:rsidRPr="00DA5EB5">
        <w:rPr>
          <w:color w:val="000000" w:themeColor="text1"/>
          <w:kern w:val="2"/>
          <w:sz w:val="20"/>
        </w:rPr>
        <w:t>on behalf and for the account of the Government</w:t>
      </w:r>
      <w:r w:rsidR="002F5A2A" w:rsidRPr="00DA5EB5">
        <w:rPr>
          <w:color w:val="000000" w:themeColor="text1"/>
          <w:kern w:val="2"/>
          <w:sz w:val="20"/>
        </w:rPr>
        <w:t>.</w:t>
      </w:r>
      <w:r w:rsidR="00FD6DAC" w:rsidRPr="00DA5EB5">
        <w:rPr>
          <w:color w:val="000000" w:themeColor="text1"/>
          <w:kern w:val="2"/>
          <w:sz w:val="20"/>
        </w:rPr>
        <w:t>”</w:t>
      </w:r>
    </w:p>
    <w:p w14:paraId="6A461459" w14:textId="1CECE467" w:rsidR="00734C8A" w:rsidRPr="00DA5EB5" w:rsidRDefault="00734C8A" w:rsidP="007C3517">
      <w:pPr>
        <w:pStyle w:val="BlockQuote"/>
        <w:rPr>
          <w:kern w:val="2"/>
          <w:sz w:val="20"/>
        </w:rPr>
      </w:pPr>
      <w:r w:rsidRPr="00DA5EB5">
        <w:rPr>
          <w:kern w:val="2"/>
          <w:sz w:val="20"/>
        </w:rPr>
        <w:t>The burden of proof lies with the Claimant as the party alleging solicitation of a bribe. Clear and convincing evidence should have been produced by the Claimant showing not only that a bribe had been requested from Mr. Weil [the CEO of EDF], but also that such request had been made not in the personal interest of the person soliciting the bribe, but on behalf and for the account of the Government authorities in Romania, so as to make the State liable in that respect. In the absence of such evidence, the Tribunal is compelled to draw the conclusion that Claimant did not sustain its burden of proof.</w:t>
      </w:r>
      <w:r w:rsidR="00907F68" w:rsidRPr="00DA5EB5">
        <w:rPr>
          <w:rStyle w:val="FootnoteReference"/>
          <w:color w:val="000000" w:themeColor="text1"/>
          <w:kern w:val="2"/>
          <w:sz w:val="18"/>
        </w:rPr>
        <w:t xml:space="preserve"> </w:t>
      </w:r>
      <w:r w:rsidR="00907F68" w:rsidRPr="00DA5EB5">
        <w:rPr>
          <w:rStyle w:val="FootnoteReference"/>
          <w:color w:val="000000" w:themeColor="text1"/>
          <w:kern w:val="2"/>
          <w:sz w:val="18"/>
        </w:rPr>
        <w:footnoteReference w:id="318"/>
      </w:r>
    </w:p>
    <w:p w14:paraId="72A608DF" w14:textId="30BE6867" w:rsidR="007C56F9" w:rsidRPr="00DA5EB5" w:rsidRDefault="007C56F9" w:rsidP="007C3517">
      <w:pPr>
        <w:pStyle w:val="Heading4"/>
        <w:rPr>
          <w:kern w:val="2"/>
          <w:sz w:val="22"/>
        </w:rPr>
      </w:pPr>
      <w:proofErr w:type="spellStart"/>
      <w:r w:rsidRPr="00DA5EB5">
        <w:rPr>
          <w:i/>
          <w:kern w:val="2"/>
          <w:sz w:val="22"/>
        </w:rPr>
        <w:t>Oostergetel</w:t>
      </w:r>
      <w:proofErr w:type="spellEnd"/>
      <w:r w:rsidRPr="00DA5EB5">
        <w:rPr>
          <w:kern w:val="2"/>
          <w:sz w:val="22"/>
        </w:rPr>
        <w:t xml:space="preserve"> </w:t>
      </w:r>
      <w:r w:rsidRPr="00DA5EB5">
        <w:rPr>
          <w:i/>
          <w:kern w:val="2"/>
          <w:sz w:val="22"/>
        </w:rPr>
        <w:t>v Slovakia</w:t>
      </w:r>
    </w:p>
    <w:p w14:paraId="0E59F974" w14:textId="691474F8" w:rsidR="00734C8A" w:rsidRPr="00DA5EB5" w:rsidRDefault="00734C8A" w:rsidP="007C3517">
      <w:pPr>
        <w:rPr>
          <w:color w:val="000000" w:themeColor="text1"/>
          <w:kern w:val="2"/>
          <w:sz w:val="20"/>
        </w:rPr>
      </w:pPr>
      <w:r w:rsidRPr="00DA5EB5">
        <w:rPr>
          <w:color w:val="000000" w:themeColor="text1"/>
          <w:kern w:val="2"/>
          <w:sz w:val="20"/>
        </w:rPr>
        <w:t xml:space="preserve">In </w:t>
      </w:r>
      <w:proofErr w:type="spellStart"/>
      <w:r w:rsidRPr="00DA5EB5">
        <w:rPr>
          <w:i/>
          <w:color w:val="000000" w:themeColor="text1"/>
          <w:kern w:val="2"/>
          <w:sz w:val="20"/>
        </w:rPr>
        <w:t>Oostergetel</w:t>
      </w:r>
      <w:proofErr w:type="spellEnd"/>
      <w:r w:rsidRPr="00DA5EB5">
        <w:rPr>
          <w:i/>
          <w:color w:val="000000" w:themeColor="text1"/>
          <w:kern w:val="2"/>
          <w:sz w:val="20"/>
        </w:rPr>
        <w:t xml:space="preserve"> v Slovakia</w:t>
      </w:r>
      <w:r w:rsidRPr="00DA5EB5">
        <w:rPr>
          <w:color w:val="000000" w:themeColor="text1"/>
          <w:kern w:val="2"/>
          <w:sz w:val="20"/>
        </w:rPr>
        <w:t>, the claimants contended that the bankruptcy proceedings of BCT, their investment vehicle, were conducted in an illegitimate manner.</w:t>
      </w:r>
      <w:r w:rsidRPr="00DA5EB5">
        <w:rPr>
          <w:rStyle w:val="FootnoteReference"/>
          <w:color w:val="000000" w:themeColor="text1"/>
          <w:kern w:val="2"/>
          <w:sz w:val="18"/>
        </w:rPr>
        <w:footnoteReference w:id="319"/>
      </w:r>
      <w:r w:rsidRPr="00DA5EB5">
        <w:rPr>
          <w:color w:val="000000" w:themeColor="text1"/>
          <w:kern w:val="2"/>
          <w:sz w:val="20"/>
        </w:rPr>
        <w:t xml:space="preserve"> They alleged that, possibly due to corruption, the state officials involved in the bankruptcy proceedings (tax authorities, ministers, judges and trustees) supported the so-called </w:t>
      </w:r>
      <w:r w:rsidR="00FD6DAC" w:rsidRPr="00DA5EB5">
        <w:rPr>
          <w:color w:val="000000" w:themeColor="text1"/>
          <w:kern w:val="2"/>
          <w:sz w:val="20"/>
        </w:rPr>
        <w:t>“</w:t>
      </w:r>
      <w:r w:rsidRPr="00DA5EB5">
        <w:rPr>
          <w:color w:val="000000" w:themeColor="text1"/>
          <w:kern w:val="2"/>
          <w:sz w:val="20"/>
        </w:rPr>
        <w:t>Slovak financial mafia</w:t>
      </w:r>
      <w:r w:rsidR="00FD6DAC" w:rsidRPr="00DA5EB5">
        <w:rPr>
          <w:color w:val="000000" w:themeColor="text1"/>
          <w:kern w:val="2"/>
          <w:sz w:val="20"/>
        </w:rPr>
        <w:t>”</w:t>
      </w:r>
      <w:r w:rsidRPr="00DA5EB5">
        <w:rPr>
          <w:color w:val="000000" w:themeColor="text1"/>
          <w:kern w:val="2"/>
          <w:sz w:val="20"/>
        </w:rPr>
        <w:t xml:space="preserve"> in depriving the claimants of their real estate.</w:t>
      </w:r>
      <w:r w:rsidRPr="00DA5EB5">
        <w:rPr>
          <w:rStyle w:val="FootnoteReference"/>
          <w:color w:val="000000" w:themeColor="text1"/>
          <w:kern w:val="2"/>
          <w:sz w:val="18"/>
        </w:rPr>
        <w:footnoteReference w:id="320"/>
      </w:r>
    </w:p>
    <w:p w14:paraId="2CC37FFA" w14:textId="2187B671" w:rsidR="00734C8A" w:rsidRPr="00DA5EB5" w:rsidRDefault="00734C8A" w:rsidP="007C3517">
      <w:pPr>
        <w:rPr>
          <w:color w:val="000000" w:themeColor="text1"/>
          <w:kern w:val="2"/>
          <w:sz w:val="20"/>
        </w:rPr>
      </w:pPr>
      <w:r w:rsidRPr="00DA5EB5">
        <w:rPr>
          <w:color w:val="000000" w:themeColor="text1"/>
          <w:kern w:val="2"/>
          <w:sz w:val="20"/>
        </w:rPr>
        <w:t xml:space="preserve">With regard to the claimants’ allegation that they were denied justice in the Slovak courts, the tribunal observed that despite the seriousness of the allegations of corruption and conspiracy to ruin the claimants’ investment, the investors </w:t>
      </w:r>
      <w:r w:rsidR="00FD6DAC" w:rsidRPr="00DA5EB5">
        <w:rPr>
          <w:color w:val="000000" w:themeColor="text1"/>
          <w:kern w:val="2"/>
          <w:sz w:val="20"/>
        </w:rPr>
        <w:t>“</w:t>
      </w:r>
      <w:r w:rsidRPr="00DA5EB5">
        <w:rPr>
          <w:color w:val="000000" w:themeColor="text1"/>
          <w:kern w:val="2"/>
          <w:sz w:val="20"/>
        </w:rPr>
        <w:t>made no serious attempt to establish that the adjudication of the bankruptcy of BCT by the Slovak Courts was so bereft of a basis in law that the judgment was in effect arbitrary or malicious.</w:t>
      </w:r>
      <w:r w:rsidR="00FD6DAC" w:rsidRPr="00DA5EB5">
        <w:rPr>
          <w:color w:val="000000" w:themeColor="text1"/>
          <w:kern w:val="2"/>
          <w:sz w:val="20"/>
        </w:rPr>
        <w:t>”</w:t>
      </w:r>
      <w:r w:rsidRPr="00DA5EB5">
        <w:rPr>
          <w:rStyle w:val="FootnoteReference"/>
          <w:color w:val="000000" w:themeColor="text1"/>
          <w:kern w:val="2"/>
          <w:sz w:val="18"/>
        </w:rPr>
        <w:footnoteReference w:id="321"/>
      </w:r>
      <w:r w:rsidRPr="00DA5EB5">
        <w:rPr>
          <w:color w:val="000000" w:themeColor="text1"/>
          <w:kern w:val="2"/>
          <w:sz w:val="20"/>
        </w:rPr>
        <w:t xml:space="preserve"> The claimants appealed the adjudication of bankruptcy only on procedural grounds (and did not contest the substantive reasons for the bankruptcy), and the claimants’ own legal expert largely supported the correctness of the proceedings.</w:t>
      </w:r>
      <w:r w:rsidRPr="00DA5EB5">
        <w:rPr>
          <w:rStyle w:val="FootnoteReference"/>
          <w:color w:val="000000" w:themeColor="text1"/>
          <w:kern w:val="2"/>
          <w:sz w:val="18"/>
        </w:rPr>
        <w:footnoteReference w:id="322"/>
      </w:r>
      <w:r w:rsidRPr="00DA5EB5">
        <w:rPr>
          <w:color w:val="000000" w:themeColor="text1"/>
          <w:kern w:val="2"/>
          <w:sz w:val="20"/>
        </w:rPr>
        <w:t xml:space="preserve"> Accordingly, the tribunal rejected the claimants’ allegations of </w:t>
      </w:r>
      <w:r w:rsidR="00EA101D" w:rsidRPr="00DA5EB5">
        <w:rPr>
          <w:color w:val="000000" w:themeColor="text1"/>
          <w:kern w:val="2"/>
          <w:sz w:val="20"/>
        </w:rPr>
        <w:t xml:space="preserve">a </w:t>
      </w:r>
      <w:r w:rsidRPr="00DA5EB5">
        <w:rPr>
          <w:color w:val="000000" w:themeColor="text1"/>
          <w:kern w:val="2"/>
          <w:sz w:val="20"/>
        </w:rPr>
        <w:t>denial of justice:</w:t>
      </w:r>
    </w:p>
    <w:p w14:paraId="6311736F" w14:textId="77777777" w:rsidR="00734C8A" w:rsidRPr="00DA5EB5" w:rsidRDefault="00734C8A" w:rsidP="007C3517">
      <w:pPr>
        <w:pStyle w:val="BlockQuote"/>
        <w:rPr>
          <w:kern w:val="2"/>
          <w:sz w:val="20"/>
        </w:rPr>
      </w:pPr>
      <w:r w:rsidRPr="00DA5EB5">
        <w:rPr>
          <w:kern w:val="2"/>
          <w:sz w:val="20"/>
        </w:rPr>
        <w:t>296. In light of these statements, it is clear that a claim for denial of justice must fail. The Claimants failed to provide sufficient proof of the alleged missteps of the bankruptcy proceedings. As regards a claim for a substantial denial of justice, mere suggestions of illegitimate conduct, general allegations of corruption and shortcomings of a judicial system do not constitute evidence of a treaty breach or a violation of international law. Neither did the Claimants explain the causal link between the alleged conduct by the relevant actors and the alleged damage. The burden of proof cannot be simply shifted by attempting to create a general presumption of corruption in a given State.</w:t>
      </w:r>
    </w:p>
    <w:p w14:paraId="2F864C75" w14:textId="51587668" w:rsidR="00734C8A" w:rsidRPr="00DA5EB5" w:rsidRDefault="00734C8A" w:rsidP="007C3517">
      <w:pPr>
        <w:pStyle w:val="BlockQuote"/>
        <w:rPr>
          <w:kern w:val="2"/>
          <w:sz w:val="20"/>
        </w:rPr>
      </w:pPr>
      <w:r w:rsidRPr="00DA5EB5">
        <w:rPr>
          <w:kern w:val="2"/>
          <w:sz w:val="20"/>
        </w:rPr>
        <w:t xml:space="preserve">297. Even accepting that irregularities did occur in the course of the proceedings, the record shows that the bankruptcy of BCT was the lawful consequence of the Claimants' persistent default on their tax debts, and no proof was found that the State organs conspired with the so-called </w:t>
      </w:r>
      <w:r w:rsidR="00FD6DAC" w:rsidRPr="00DA5EB5">
        <w:rPr>
          <w:kern w:val="2"/>
          <w:sz w:val="20"/>
        </w:rPr>
        <w:t>“</w:t>
      </w:r>
      <w:r w:rsidRPr="00DA5EB5">
        <w:rPr>
          <w:kern w:val="2"/>
          <w:sz w:val="20"/>
        </w:rPr>
        <w:t>financial</w:t>
      </w:r>
      <w:r w:rsidR="00FD6DAC" w:rsidRPr="00DA5EB5">
        <w:rPr>
          <w:kern w:val="2"/>
          <w:sz w:val="20"/>
        </w:rPr>
        <w:t>”</w:t>
      </w:r>
      <w:r w:rsidRPr="00DA5EB5">
        <w:rPr>
          <w:kern w:val="2"/>
          <w:sz w:val="20"/>
        </w:rPr>
        <w:t xml:space="preserve"> or </w:t>
      </w:r>
      <w:r w:rsidR="00FD6DAC" w:rsidRPr="00DA5EB5">
        <w:rPr>
          <w:kern w:val="2"/>
          <w:sz w:val="20"/>
        </w:rPr>
        <w:t>“</w:t>
      </w:r>
      <w:r w:rsidRPr="00DA5EB5">
        <w:rPr>
          <w:kern w:val="2"/>
          <w:sz w:val="20"/>
        </w:rPr>
        <w:t>bankruptcy mafia</w:t>
      </w:r>
      <w:r w:rsidR="00FD6DAC" w:rsidRPr="00DA5EB5">
        <w:rPr>
          <w:kern w:val="2"/>
          <w:sz w:val="20"/>
        </w:rPr>
        <w:t>”</w:t>
      </w:r>
      <w:r w:rsidRPr="00DA5EB5">
        <w:rPr>
          <w:kern w:val="2"/>
          <w:sz w:val="20"/>
        </w:rPr>
        <w:t xml:space="preserve"> against the investors or their investment in the Slovak Republic.</w:t>
      </w:r>
      <w:r w:rsidR="00BC3778" w:rsidRPr="00DA5EB5">
        <w:rPr>
          <w:rStyle w:val="FootnoteReference"/>
          <w:color w:val="000000" w:themeColor="text1"/>
          <w:kern w:val="2"/>
          <w:sz w:val="18"/>
        </w:rPr>
        <w:footnoteReference w:id="323"/>
      </w:r>
    </w:p>
    <w:p w14:paraId="4E2FE3E5" w14:textId="0FB0E400" w:rsidR="00734C8A" w:rsidRPr="00DA5EB5" w:rsidRDefault="00734C8A" w:rsidP="005A2F7A">
      <w:pPr>
        <w:rPr>
          <w:color w:val="000000" w:themeColor="text1"/>
          <w:kern w:val="2"/>
          <w:sz w:val="20"/>
        </w:rPr>
      </w:pPr>
      <w:r w:rsidRPr="00DA5EB5">
        <w:rPr>
          <w:color w:val="000000" w:themeColor="text1"/>
          <w:kern w:val="2"/>
          <w:sz w:val="20"/>
        </w:rPr>
        <w:t xml:space="preserve">The tribunal was </w:t>
      </w:r>
      <w:r w:rsidR="005E0924" w:rsidRPr="00DA5EB5">
        <w:rPr>
          <w:color w:val="000000" w:themeColor="text1"/>
          <w:kern w:val="2"/>
          <w:sz w:val="20"/>
        </w:rPr>
        <w:t xml:space="preserve">also </w:t>
      </w:r>
      <w:r w:rsidRPr="00DA5EB5">
        <w:rPr>
          <w:color w:val="000000" w:themeColor="text1"/>
          <w:kern w:val="2"/>
          <w:sz w:val="20"/>
        </w:rPr>
        <w:t xml:space="preserve">not convinced </w:t>
      </w:r>
      <w:r w:rsidR="00EA11E8" w:rsidRPr="00DA5EB5">
        <w:rPr>
          <w:color w:val="000000" w:themeColor="text1"/>
          <w:kern w:val="2"/>
          <w:sz w:val="20"/>
        </w:rPr>
        <w:t>by</w:t>
      </w:r>
      <w:r w:rsidRPr="00DA5EB5">
        <w:rPr>
          <w:color w:val="000000" w:themeColor="text1"/>
          <w:kern w:val="2"/>
          <w:sz w:val="20"/>
        </w:rPr>
        <w:t xml:space="preserve"> the claimants</w:t>
      </w:r>
      <w:r w:rsidR="00EA11E8" w:rsidRPr="00DA5EB5">
        <w:rPr>
          <w:color w:val="000000" w:themeColor="text1"/>
          <w:kern w:val="2"/>
          <w:sz w:val="20"/>
        </w:rPr>
        <w:t>’</w:t>
      </w:r>
      <w:r w:rsidRPr="00DA5EB5">
        <w:rPr>
          <w:color w:val="000000" w:themeColor="text1"/>
          <w:kern w:val="2"/>
          <w:sz w:val="20"/>
        </w:rPr>
        <w:t xml:space="preserve"> suggest</w:t>
      </w:r>
      <w:r w:rsidR="00EA11E8" w:rsidRPr="00DA5EB5">
        <w:rPr>
          <w:color w:val="000000" w:themeColor="text1"/>
          <w:kern w:val="2"/>
          <w:sz w:val="20"/>
        </w:rPr>
        <w:t>ion that</w:t>
      </w:r>
      <w:r w:rsidRPr="00DA5EB5">
        <w:rPr>
          <w:color w:val="000000" w:themeColor="text1"/>
          <w:kern w:val="2"/>
          <w:sz w:val="20"/>
        </w:rPr>
        <w:t xml:space="preserve"> bribery </w:t>
      </w:r>
      <w:r w:rsidR="00EA11E8" w:rsidRPr="00DA5EB5">
        <w:rPr>
          <w:color w:val="000000" w:themeColor="text1"/>
          <w:kern w:val="2"/>
          <w:sz w:val="20"/>
        </w:rPr>
        <w:t>w</w:t>
      </w:r>
      <w:r w:rsidRPr="00DA5EB5">
        <w:rPr>
          <w:color w:val="000000" w:themeColor="text1"/>
          <w:kern w:val="2"/>
          <w:sz w:val="20"/>
        </w:rPr>
        <w:t xml:space="preserve">as a possible explanation for the alleged conduct of </w:t>
      </w:r>
      <w:r w:rsidR="00EA11E8" w:rsidRPr="00DA5EB5">
        <w:rPr>
          <w:color w:val="000000" w:themeColor="text1"/>
          <w:kern w:val="2"/>
          <w:sz w:val="20"/>
        </w:rPr>
        <w:t xml:space="preserve">the </w:t>
      </w:r>
      <w:r w:rsidRPr="00DA5EB5">
        <w:rPr>
          <w:color w:val="000000" w:themeColor="text1"/>
          <w:kern w:val="2"/>
          <w:sz w:val="20"/>
        </w:rPr>
        <w:t>relevant public officials</w:t>
      </w:r>
      <w:r w:rsidR="00EA11E8" w:rsidRPr="00DA5EB5">
        <w:rPr>
          <w:color w:val="000000" w:themeColor="text1"/>
          <w:kern w:val="2"/>
          <w:sz w:val="20"/>
        </w:rPr>
        <w:t xml:space="preserve">. The claimants </w:t>
      </w:r>
      <w:r w:rsidRPr="00DA5EB5">
        <w:rPr>
          <w:color w:val="000000" w:themeColor="text1"/>
          <w:kern w:val="2"/>
          <w:sz w:val="20"/>
        </w:rPr>
        <w:t xml:space="preserve">relied on general reports about corruption in Slovak courts, local news clippings concerning irregularities in bankruptcy proceedings handled by the Regional Court of Bratislava, and reports by the European Union and </w:t>
      </w:r>
      <w:r w:rsidR="00EA11E8" w:rsidRPr="00DA5EB5">
        <w:rPr>
          <w:color w:val="000000" w:themeColor="text1"/>
          <w:kern w:val="2"/>
          <w:sz w:val="20"/>
        </w:rPr>
        <w:t>US</w:t>
      </w:r>
      <w:r w:rsidRPr="00DA5EB5">
        <w:rPr>
          <w:color w:val="000000" w:themeColor="text1"/>
          <w:kern w:val="2"/>
          <w:sz w:val="20"/>
        </w:rPr>
        <w:t xml:space="preserve"> which mentioned that bribery is widespread in Slovak courts:</w:t>
      </w:r>
    </w:p>
    <w:p w14:paraId="2253D995" w14:textId="10278156" w:rsidR="009E2E61" w:rsidRPr="00DA5EB5" w:rsidRDefault="00734C8A" w:rsidP="007C3517">
      <w:pPr>
        <w:pStyle w:val="BlockQuote"/>
        <w:rPr>
          <w:kern w:val="2"/>
          <w:sz w:val="20"/>
        </w:rPr>
      </w:pPr>
      <w:r w:rsidRPr="00DA5EB5">
        <w:rPr>
          <w:kern w:val="2"/>
          <w:sz w:val="20"/>
        </w:rPr>
        <w:t>While such general reports are to be taken very seriously as a matter of policy, they cannot substitute for evidence of a treaty breach in a specific instance. For obvious reasons, it is generally difficult to bring positive proof of corruption. Yet, corruption can also be proven by circumstantial evidence. In the present case, both are entirely lacking. Mere insinuations cannot meet the burden of proof which rests on the Claimants.</w:t>
      </w:r>
      <w:r w:rsidR="001A6D1C" w:rsidRPr="00DA5EB5">
        <w:rPr>
          <w:rStyle w:val="FootnoteReference"/>
          <w:color w:val="000000" w:themeColor="text1"/>
          <w:kern w:val="2"/>
          <w:sz w:val="18"/>
        </w:rPr>
        <w:footnoteReference w:id="324"/>
      </w:r>
    </w:p>
    <w:p w14:paraId="6B975F13" w14:textId="0F0E86E8" w:rsidR="007C56F9" w:rsidRPr="00DA5EB5" w:rsidRDefault="000653E5" w:rsidP="007C3517">
      <w:pPr>
        <w:pStyle w:val="Heading4"/>
        <w:rPr>
          <w:i/>
          <w:kern w:val="2"/>
          <w:sz w:val="22"/>
        </w:rPr>
      </w:pPr>
      <w:r w:rsidRPr="00DA5EB5">
        <w:rPr>
          <w:i/>
          <w:kern w:val="2"/>
          <w:sz w:val="22"/>
        </w:rPr>
        <w:t>ECE and</w:t>
      </w:r>
      <w:r w:rsidR="007C56F9" w:rsidRPr="00DA5EB5">
        <w:rPr>
          <w:i/>
          <w:kern w:val="2"/>
          <w:sz w:val="22"/>
        </w:rPr>
        <w:t xml:space="preserve"> PANTA v Czech Republic</w:t>
      </w:r>
    </w:p>
    <w:p w14:paraId="186B6906" w14:textId="14BEBBCD" w:rsidR="00C302CA" w:rsidRPr="00DA5EB5" w:rsidRDefault="00C302CA" w:rsidP="007C3517">
      <w:pPr>
        <w:rPr>
          <w:color w:val="000000" w:themeColor="text1"/>
          <w:kern w:val="2"/>
          <w:sz w:val="20"/>
        </w:rPr>
      </w:pPr>
      <w:r w:rsidRPr="00DA5EB5">
        <w:rPr>
          <w:color w:val="000000" w:themeColor="text1"/>
          <w:kern w:val="2"/>
          <w:sz w:val="20"/>
        </w:rPr>
        <w:t xml:space="preserve">In </w:t>
      </w:r>
      <w:r w:rsidRPr="00DA5EB5">
        <w:rPr>
          <w:i/>
          <w:color w:val="000000" w:themeColor="text1"/>
          <w:kern w:val="2"/>
          <w:sz w:val="20"/>
        </w:rPr>
        <w:t>ECE and PANTA v Czech Republic</w:t>
      </w:r>
      <w:r w:rsidRPr="00DA5EB5">
        <w:rPr>
          <w:color w:val="000000" w:themeColor="text1"/>
          <w:kern w:val="2"/>
          <w:sz w:val="20"/>
        </w:rPr>
        <w:t xml:space="preserve">, the dispute arose out of an unsuccessful real estate project </w:t>
      </w:r>
      <w:r w:rsidR="00E85D4B" w:rsidRPr="00DA5EB5">
        <w:rPr>
          <w:color w:val="000000" w:themeColor="text1"/>
          <w:kern w:val="2"/>
          <w:sz w:val="20"/>
        </w:rPr>
        <w:t xml:space="preserve">attempted </w:t>
      </w:r>
      <w:r w:rsidR="00D22585" w:rsidRPr="00DA5EB5">
        <w:rPr>
          <w:color w:val="000000" w:themeColor="text1"/>
          <w:kern w:val="2"/>
          <w:sz w:val="20"/>
        </w:rPr>
        <w:t>by</w:t>
      </w:r>
      <w:r w:rsidRPr="00DA5EB5">
        <w:rPr>
          <w:color w:val="000000" w:themeColor="text1"/>
          <w:kern w:val="2"/>
          <w:sz w:val="20"/>
        </w:rPr>
        <w:t xml:space="preserve"> two German investors in the Czech Republic.</w:t>
      </w:r>
      <w:r w:rsidRPr="00DA5EB5">
        <w:rPr>
          <w:rStyle w:val="FootnoteReference"/>
          <w:color w:val="000000" w:themeColor="text1"/>
          <w:kern w:val="2"/>
          <w:sz w:val="18"/>
        </w:rPr>
        <w:footnoteReference w:id="325"/>
      </w:r>
      <w:r w:rsidRPr="00DA5EB5">
        <w:rPr>
          <w:color w:val="000000" w:themeColor="text1"/>
          <w:kern w:val="2"/>
          <w:sz w:val="20"/>
        </w:rPr>
        <w:t xml:space="preserve"> The claimants alleged that the conduct of the Czech authorities in respect to permits required for the construction of a shopping center resulted in excessive delays and ultimately left the claimants no choice but to abandon their investment.</w:t>
      </w:r>
      <w:r w:rsidRPr="00DA5EB5">
        <w:rPr>
          <w:rStyle w:val="FootnoteReference"/>
          <w:color w:val="000000" w:themeColor="text1"/>
          <w:kern w:val="2"/>
          <w:sz w:val="18"/>
        </w:rPr>
        <w:footnoteReference w:id="326"/>
      </w:r>
      <w:r w:rsidRPr="00DA5EB5">
        <w:rPr>
          <w:color w:val="000000" w:themeColor="text1"/>
          <w:kern w:val="2"/>
          <w:sz w:val="20"/>
        </w:rPr>
        <w:t xml:space="preserve"> The claimants thus sought compensation for the alleged breaches of their treaty rights to fair and equitable treatment, admission of lawful investments, non-discrimination and protection against arbitrary measures, as well as for expropriation.</w:t>
      </w:r>
      <w:r w:rsidRPr="00DA5EB5">
        <w:rPr>
          <w:rStyle w:val="FootnoteReference"/>
          <w:color w:val="000000" w:themeColor="text1"/>
          <w:kern w:val="2"/>
          <w:sz w:val="18"/>
        </w:rPr>
        <w:footnoteReference w:id="327"/>
      </w:r>
      <w:r w:rsidRPr="00DA5EB5">
        <w:rPr>
          <w:color w:val="000000" w:themeColor="text1"/>
          <w:kern w:val="2"/>
          <w:sz w:val="20"/>
        </w:rPr>
        <w:t xml:space="preserve"> The investors admitted that they had no direct proof that a competitor bribed officials to halt their permit applications, but presented what they believed to be </w:t>
      </w:r>
      <w:r w:rsidR="00FD6DAC" w:rsidRPr="00DA5EB5">
        <w:rPr>
          <w:color w:val="000000" w:themeColor="text1"/>
          <w:kern w:val="2"/>
          <w:sz w:val="20"/>
        </w:rPr>
        <w:t>“</w:t>
      </w:r>
      <w:r w:rsidRPr="00DA5EB5">
        <w:rPr>
          <w:color w:val="000000" w:themeColor="text1"/>
          <w:kern w:val="2"/>
          <w:sz w:val="20"/>
        </w:rPr>
        <w:t>numerous serious indices that leave no other option but to conclude that a corruption scheme exists.</w:t>
      </w:r>
      <w:r w:rsidR="00FD6DAC" w:rsidRPr="00DA5EB5">
        <w:rPr>
          <w:color w:val="000000" w:themeColor="text1"/>
          <w:kern w:val="2"/>
          <w:sz w:val="20"/>
        </w:rPr>
        <w:t>”</w:t>
      </w:r>
      <w:r w:rsidRPr="00DA5EB5">
        <w:rPr>
          <w:rStyle w:val="FootnoteReference"/>
          <w:color w:val="000000" w:themeColor="text1"/>
          <w:kern w:val="2"/>
          <w:sz w:val="18"/>
        </w:rPr>
        <w:footnoteReference w:id="328"/>
      </w:r>
      <w:r w:rsidRPr="00DA5EB5">
        <w:rPr>
          <w:color w:val="000000" w:themeColor="text1"/>
          <w:kern w:val="2"/>
          <w:sz w:val="20"/>
        </w:rPr>
        <w:t xml:space="preserve"> The claimants cited several NGO reports on systematic corruption in the Czech Republic generally and the </w:t>
      </w:r>
      <w:r w:rsidR="00892496" w:rsidRPr="00DA5EB5">
        <w:rPr>
          <w:color w:val="000000" w:themeColor="text1"/>
          <w:kern w:val="2"/>
          <w:sz w:val="20"/>
        </w:rPr>
        <w:t xml:space="preserve">city in which the proposed </w:t>
      </w:r>
      <w:r w:rsidRPr="00DA5EB5">
        <w:rPr>
          <w:color w:val="000000" w:themeColor="text1"/>
          <w:kern w:val="2"/>
          <w:sz w:val="20"/>
        </w:rPr>
        <w:t xml:space="preserve">project </w:t>
      </w:r>
      <w:r w:rsidR="00892496" w:rsidRPr="00DA5EB5">
        <w:rPr>
          <w:color w:val="000000" w:themeColor="text1"/>
          <w:kern w:val="2"/>
          <w:sz w:val="20"/>
        </w:rPr>
        <w:t>was located</w:t>
      </w:r>
      <w:r w:rsidR="00EB4285" w:rsidRPr="00DA5EB5">
        <w:rPr>
          <w:color w:val="000000" w:themeColor="text1"/>
          <w:kern w:val="2"/>
          <w:sz w:val="20"/>
        </w:rPr>
        <w:t>.</w:t>
      </w:r>
      <w:r w:rsidR="00EB4285" w:rsidRPr="00DA5EB5">
        <w:rPr>
          <w:rStyle w:val="FootnoteReference"/>
          <w:color w:val="000000" w:themeColor="text1"/>
          <w:kern w:val="2"/>
          <w:sz w:val="18"/>
        </w:rPr>
        <w:footnoteReference w:id="329"/>
      </w:r>
      <w:r w:rsidRPr="00DA5EB5">
        <w:rPr>
          <w:color w:val="000000" w:themeColor="text1"/>
          <w:kern w:val="2"/>
          <w:sz w:val="20"/>
        </w:rPr>
        <w:t xml:space="preserve"> </w:t>
      </w:r>
      <w:r w:rsidR="007A319A" w:rsidRPr="00DA5EB5">
        <w:rPr>
          <w:color w:val="000000" w:themeColor="text1"/>
          <w:kern w:val="2"/>
          <w:sz w:val="20"/>
        </w:rPr>
        <w:t>The claimants also</w:t>
      </w:r>
      <w:r w:rsidRPr="00DA5EB5">
        <w:rPr>
          <w:color w:val="000000" w:themeColor="text1"/>
          <w:kern w:val="2"/>
          <w:sz w:val="20"/>
        </w:rPr>
        <w:t xml:space="preserve"> relied on </w:t>
      </w:r>
      <w:r w:rsidR="007A319A" w:rsidRPr="00DA5EB5">
        <w:rPr>
          <w:color w:val="000000" w:themeColor="text1"/>
          <w:kern w:val="2"/>
          <w:sz w:val="20"/>
        </w:rPr>
        <w:t xml:space="preserve">the testimony of a Czech lawyer who was involved in advising ECE on the permit proceedings. She </w:t>
      </w:r>
      <w:r w:rsidRPr="00DA5EB5">
        <w:rPr>
          <w:color w:val="000000" w:themeColor="text1"/>
          <w:kern w:val="2"/>
          <w:sz w:val="20"/>
        </w:rPr>
        <w:t>testified that local officials admitted to her that they had been instructed to obstruct the permit proceedings.</w:t>
      </w:r>
      <w:r w:rsidRPr="00DA5EB5">
        <w:rPr>
          <w:rStyle w:val="FootnoteReference"/>
          <w:color w:val="000000" w:themeColor="text1"/>
          <w:kern w:val="2"/>
          <w:sz w:val="18"/>
        </w:rPr>
        <w:footnoteReference w:id="330"/>
      </w:r>
    </w:p>
    <w:p w14:paraId="6BA8B80F" w14:textId="526A4055" w:rsidR="00C302CA" w:rsidRPr="00DA5EB5" w:rsidRDefault="00C302CA" w:rsidP="007C3517">
      <w:pPr>
        <w:rPr>
          <w:color w:val="000000" w:themeColor="text1"/>
          <w:kern w:val="2"/>
          <w:sz w:val="20"/>
        </w:rPr>
      </w:pPr>
      <w:r w:rsidRPr="00DA5EB5">
        <w:rPr>
          <w:color w:val="000000" w:themeColor="text1"/>
          <w:kern w:val="2"/>
          <w:sz w:val="20"/>
        </w:rPr>
        <w:t xml:space="preserve">The tribunal noted that it </w:t>
      </w:r>
      <w:r w:rsidR="00FD6DAC" w:rsidRPr="00DA5EB5">
        <w:rPr>
          <w:color w:val="000000" w:themeColor="text1"/>
          <w:kern w:val="2"/>
          <w:sz w:val="20"/>
        </w:rPr>
        <w:t>“</w:t>
      </w:r>
      <w:r w:rsidRPr="00DA5EB5">
        <w:rPr>
          <w:color w:val="000000" w:themeColor="text1"/>
          <w:kern w:val="2"/>
          <w:sz w:val="20"/>
        </w:rPr>
        <w:t>cannot turn a blind eye to corruption and cannot decline to investigate the matter simply because of the difficulties of proof</w:t>
      </w:r>
      <w:r w:rsidR="00FD6DAC" w:rsidRPr="00DA5EB5">
        <w:rPr>
          <w:color w:val="000000" w:themeColor="text1"/>
          <w:kern w:val="2"/>
          <w:sz w:val="20"/>
        </w:rPr>
        <w:t>”</w:t>
      </w:r>
      <w:r w:rsidRPr="00DA5EB5">
        <w:rPr>
          <w:rStyle w:val="FootnoteReference"/>
          <w:color w:val="000000" w:themeColor="text1"/>
          <w:kern w:val="2"/>
          <w:sz w:val="18"/>
        </w:rPr>
        <w:footnoteReference w:id="331"/>
      </w:r>
      <w:r w:rsidRPr="00DA5EB5">
        <w:rPr>
          <w:color w:val="000000" w:themeColor="text1"/>
          <w:kern w:val="2"/>
          <w:sz w:val="20"/>
        </w:rPr>
        <w:t xml:space="preserve"> and accepted that it had to </w:t>
      </w:r>
      <w:r w:rsidR="00FD6DAC" w:rsidRPr="00DA5EB5">
        <w:rPr>
          <w:color w:val="000000" w:themeColor="text1"/>
          <w:kern w:val="2"/>
          <w:sz w:val="20"/>
        </w:rPr>
        <w:t>“</w:t>
      </w:r>
      <w:r w:rsidRPr="00DA5EB5">
        <w:rPr>
          <w:color w:val="000000" w:themeColor="text1"/>
          <w:kern w:val="2"/>
          <w:sz w:val="20"/>
        </w:rPr>
        <w:t>examine with care the facts alleged to prove corruption.</w:t>
      </w:r>
      <w:r w:rsidR="00FD6DAC" w:rsidRPr="00DA5EB5">
        <w:rPr>
          <w:color w:val="000000" w:themeColor="text1"/>
          <w:kern w:val="2"/>
          <w:sz w:val="20"/>
        </w:rPr>
        <w:t>”</w:t>
      </w:r>
      <w:r w:rsidRPr="00DA5EB5">
        <w:rPr>
          <w:rStyle w:val="FootnoteReference"/>
          <w:color w:val="000000" w:themeColor="text1"/>
          <w:kern w:val="2"/>
          <w:sz w:val="18"/>
        </w:rPr>
        <w:footnoteReference w:id="332"/>
      </w:r>
      <w:r w:rsidRPr="00DA5EB5">
        <w:rPr>
          <w:color w:val="000000" w:themeColor="text1"/>
          <w:kern w:val="2"/>
          <w:sz w:val="20"/>
        </w:rPr>
        <w:t xml:space="preserve"> However, as in </w:t>
      </w:r>
      <w:proofErr w:type="spellStart"/>
      <w:r w:rsidRPr="00DA5EB5">
        <w:rPr>
          <w:i/>
          <w:color w:val="000000" w:themeColor="text1"/>
          <w:kern w:val="2"/>
          <w:sz w:val="20"/>
        </w:rPr>
        <w:t>Methanex</w:t>
      </w:r>
      <w:proofErr w:type="spellEnd"/>
      <w:r w:rsidRPr="00DA5EB5">
        <w:rPr>
          <w:i/>
          <w:color w:val="000000" w:themeColor="text1"/>
          <w:kern w:val="2"/>
          <w:sz w:val="20"/>
        </w:rPr>
        <w:t xml:space="preserve"> v United </w:t>
      </w:r>
      <w:r w:rsidRPr="00DA5EB5">
        <w:rPr>
          <w:color w:val="000000" w:themeColor="text1"/>
          <w:kern w:val="2"/>
          <w:sz w:val="20"/>
        </w:rPr>
        <w:t xml:space="preserve">States, the </w:t>
      </w:r>
      <w:r w:rsidR="00FD6DAC" w:rsidRPr="00DA5EB5">
        <w:rPr>
          <w:color w:val="000000" w:themeColor="text1"/>
          <w:kern w:val="2"/>
          <w:sz w:val="20"/>
        </w:rPr>
        <w:t>“</w:t>
      </w:r>
      <w:r w:rsidRPr="00DA5EB5">
        <w:rPr>
          <w:color w:val="000000" w:themeColor="text1"/>
          <w:kern w:val="2"/>
          <w:sz w:val="20"/>
        </w:rPr>
        <w:t>dots</w:t>
      </w:r>
      <w:r w:rsidR="00FD6DAC" w:rsidRPr="00DA5EB5">
        <w:rPr>
          <w:color w:val="000000" w:themeColor="text1"/>
          <w:kern w:val="2"/>
          <w:sz w:val="20"/>
        </w:rPr>
        <w:t>”</w:t>
      </w:r>
      <w:r w:rsidRPr="00DA5EB5">
        <w:rPr>
          <w:color w:val="000000" w:themeColor="text1"/>
          <w:kern w:val="2"/>
          <w:sz w:val="20"/>
        </w:rPr>
        <w:t xml:space="preserve"> did not connect for the claimants who alleged corruption:</w:t>
      </w:r>
      <w:r w:rsidR="003A5F4B" w:rsidRPr="00DA5EB5">
        <w:rPr>
          <w:color w:val="000000" w:themeColor="text1"/>
          <w:kern w:val="2"/>
          <w:sz w:val="20"/>
        </w:rPr>
        <w:t xml:space="preserve"> </w:t>
      </w:r>
    </w:p>
    <w:p w14:paraId="42AA1015" w14:textId="338303EC" w:rsidR="00C302CA" w:rsidRPr="00DA5EB5" w:rsidRDefault="00C302CA" w:rsidP="007C3517">
      <w:pPr>
        <w:pStyle w:val="BlockQuote"/>
        <w:rPr>
          <w:kern w:val="2"/>
          <w:sz w:val="20"/>
        </w:rPr>
      </w:pPr>
      <w:r w:rsidRPr="00DA5EB5">
        <w:rPr>
          <w:kern w:val="2"/>
          <w:sz w:val="20"/>
        </w:rPr>
        <w:t xml:space="preserve">4.876 When considering the Claimants’ evidence the Tribunal has borne in mind the difficulties of obtaining evidence of corruption. It is well aware that acts of corruption are rarely admitted or documented and that tribunals have discussed the need to </w:t>
      </w:r>
      <w:r w:rsidR="00FD6DAC" w:rsidRPr="00DA5EB5">
        <w:rPr>
          <w:kern w:val="2"/>
          <w:sz w:val="20"/>
        </w:rPr>
        <w:t>“</w:t>
      </w:r>
      <w:r w:rsidRPr="00DA5EB5">
        <w:rPr>
          <w:kern w:val="2"/>
          <w:sz w:val="20"/>
        </w:rPr>
        <w:t>connect the dots</w:t>
      </w:r>
      <w:r w:rsidR="00FD6DAC" w:rsidRPr="00DA5EB5">
        <w:rPr>
          <w:kern w:val="2"/>
          <w:sz w:val="20"/>
        </w:rPr>
        <w:t>”</w:t>
      </w:r>
      <w:r w:rsidRPr="00DA5EB5">
        <w:rPr>
          <w:kern w:val="2"/>
          <w:sz w:val="20"/>
        </w:rPr>
        <w:t>. At the same time, the allegations that have been made are very serious indeed. Not only would they (if true) involve criminal liability on the part of a number of named individuals, they also implicate the reputation, commercial and legal interests of various business undertakings which are not party to these proceedings and which are not represented before the Tribunal. Corruption is a charge which an arbitral tribunal must take seriously. At the same time, it is a charge that should not be made lightly, and the Tribunal is bound to express its reservations as to whether it is acceptable for charges of that level of seriousness to be advanced without either some direct evidence or compelling circumstantial evidence. That said, the Tribunal must of course decide the case on the basis of the evidence before it. If the burden of proof is not discharged, the allegation is not made out. The mere existence of suspicions cannot, in the absence of sufficiently firm corroborative evidence, be equated with proof.</w:t>
      </w:r>
      <w:r w:rsidR="003A5F4B" w:rsidRPr="00DA5EB5">
        <w:rPr>
          <w:rStyle w:val="FootnoteReference"/>
          <w:color w:val="000000" w:themeColor="text1"/>
          <w:kern w:val="2"/>
          <w:szCs w:val="21"/>
        </w:rPr>
        <w:t xml:space="preserve"> </w:t>
      </w:r>
      <w:r w:rsidR="003A5F4B" w:rsidRPr="00DA5EB5">
        <w:rPr>
          <w:rStyle w:val="FootnoteReference"/>
          <w:color w:val="000000" w:themeColor="text1"/>
          <w:kern w:val="2"/>
          <w:szCs w:val="21"/>
        </w:rPr>
        <w:footnoteReference w:id="333"/>
      </w:r>
    </w:p>
    <w:p w14:paraId="1137E08E" w14:textId="77777777" w:rsidR="00C302CA" w:rsidRPr="00DA5EB5" w:rsidRDefault="00C302CA" w:rsidP="007C3517">
      <w:pPr>
        <w:pStyle w:val="BlockQuote"/>
        <w:rPr>
          <w:kern w:val="2"/>
          <w:sz w:val="20"/>
        </w:rPr>
      </w:pPr>
      <w:r w:rsidRPr="00DA5EB5">
        <w:rPr>
          <w:kern w:val="2"/>
          <w:sz w:val="20"/>
        </w:rPr>
        <w:t>…</w:t>
      </w:r>
    </w:p>
    <w:p w14:paraId="27AE62C8" w14:textId="081096D1" w:rsidR="00C302CA" w:rsidRPr="00DA5EB5" w:rsidRDefault="00C302CA" w:rsidP="007C3517">
      <w:pPr>
        <w:pStyle w:val="BlockQuote"/>
        <w:rPr>
          <w:kern w:val="2"/>
          <w:sz w:val="20"/>
        </w:rPr>
      </w:pPr>
      <w:r w:rsidRPr="00DA5EB5">
        <w:rPr>
          <w:kern w:val="2"/>
          <w:sz w:val="20"/>
        </w:rPr>
        <w:t>4.879 The Tribunal must begin by stating that it finds to be deeply unattractive an argument to the effect that ‘everyone knows that the Czech Republic is corrupt; therefore, there was corruption in this case ...</w:t>
      </w:r>
      <w:proofErr w:type="gramStart"/>
      <w:r w:rsidRPr="00DA5EB5">
        <w:rPr>
          <w:kern w:val="2"/>
          <w:sz w:val="20"/>
        </w:rPr>
        <w:t>’.</w:t>
      </w:r>
      <w:proofErr w:type="gramEnd"/>
      <w:r w:rsidRPr="00DA5EB5">
        <w:rPr>
          <w:kern w:val="2"/>
          <w:sz w:val="20"/>
        </w:rPr>
        <w:t xml:space="preserve"> The Tribunal acknowledges that some effort was made to adduce specific evidence of corruption, but it did feel that there was a strain of the ‘everyone knows’ argument in the overall case, for example in the reliance on reports of NGOs as to the general presence of corruption within the Czech Republic. The Tribunal does not close its eyes to the fact that the Czech Republic, like other countries, has had, and reportedly still has, problems with corruption. But the Tribunal remains vigilant against blanket condemnatory allegations which can have the appearance of an attempt to ‘poison the well’ in the hopes of making up for a lack of direct proof. Reference to other instances of alleged corruption may prove that corruption exists in the State, but it does little to advance the argument that corruption existed in the specific events giving rise to the claim. </w:t>
      </w:r>
      <w:proofErr w:type="spellStart"/>
      <w:r w:rsidRPr="00DA5EB5">
        <w:rPr>
          <w:kern w:val="2"/>
          <w:sz w:val="20"/>
        </w:rPr>
        <w:t>Νor</w:t>
      </w:r>
      <w:proofErr w:type="spellEnd"/>
      <w:r w:rsidRPr="00DA5EB5">
        <w:rPr>
          <w:kern w:val="2"/>
          <w:sz w:val="20"/>
        </w:rPr>
        <w:t xml:space="preserve"> do allegations of this kind, however seriously advanced, give rise to a burden on the Respondent to ‘disprove’ the existence of corruption. While the present Tribunal is therefore willing to </w:t>
      </w:r>
      <w:r w:rsidR="00FD6DAC" w:rsidRPr="00DA5EB5">
        <w:rPr>
          <w:kern w:val="2"/>
          <w:sz w:val="20"/>
        </w:rPr>
        <w:t>“</w:t>
      </w:r>
      <w:r w:rsidRPr="00DA5EB5">
        <w:rPr>
          <w:kern w:val="2"/>
          <w:sz w:val="20"/>
        </w:rPr>
        <w:t>connect the dots</w:t>
      </w:r>
      <w:r w:rsidR="00FD6DAC" w:rsidRPr="00DA5EB5">
        <w:rPr>
          <w:kern w:val="2"/>
          <w:sz w:val="20"/>
        </w:rPr>
        <w:t>”</w:t>
      </w:r>
      <w:r w:rsidRPr="00DA5EB5">
        <w:rPr>
          <w:kern w:val="2"/>
          <w:sz w:val="20"/>
        </w:rPr>
        <w:t>, if that is appropriate, the dots have to exist and they must be substantiated by relevant and probative evidence relating to the specific allegations made in the case before it.</w:t>
      </w:r>
      <w:r w:rsidR="003D3C56" w:rsidRPr="00DA5EB5">
        <w:rPr>
          <w:rStyle w:val="FootnoteReference"/>
          <w:color w:val="000000" w:themeColor="text1"/>
          <w:kern w:val="2"/>
          <w:szCs w:val="21"/>
        </w:rPr>
        <w:footnoteReference w:id="334"/>
      </w:r>
    </w:p>
    <w:p w14:paraId="35B7F3A9" w14:textId="399A4F6A" w:rsidR="00C302CA" w:rsidRPr="00DA5EB5" w:rsidRDefault="00C302CA" w:rsidP="005A2F7A">
      <w:pPr>
        <w:rPr>
          <w:color w:val="000000" w:themeColor="text1"/>
          <w:kern w:val="2"/>
          <w:sz w:val="20"/>
        </w:rPr>
      </w:pPr>
      <w:r w:rsidRPr="00DA5EB5">
        <w:rPr>
          <w:color w:val="000000" w:themeColor="text1"/>
          <w:kern w:val="2"/>
          <w:sz w:val="20"/>
        </w:rPr>
        <w:t xml:space="preserve">Therefore, after reviewing the evidence, the tribunal found no substantial evidence of corruption, be it in respect to individual acts or in respect to an alleged </w:t>
      </w:r>
      <w:r w:rsidR="00FD6DAC" w:rsidRPr="00DA5EB5">
        <w:rPr>
          <w:color w:val="000000" w:themeColor="text1"/>
          <w:kern w:val="2"/>
          <w:sz w:val="20"/>
        </w:rPr>
        <w:t>“</w:t>
      </w:r>
      <w:r w:rsidRPr="00DA5EB5">
        <w:rPr>
          <w:color w:val="000000" w:themeColor="text1"/>
          <w:kern w:val="2"/>
          <w:sz w:val="20"/>
        </w:rPr>
        <w:t>scheme</w:t>
      </w:r>
      <w:r w:rsidR="00FD6DAC" w:rsidRPr="00DA5EB5">
        <w:rPr>
          <w:color w:val="000000" w:themeColor="text1"/>
          <w:kern w:val="2"/>
          <w:sz w:val="20"/>
        </w:rPr>
        <w:t>”</w:t>
      </w:r>
      <w:r w:rsidRPr="00DA5EB5">
        <w:rPr>
          <w:color w:val="000000" w:themeColor="text1"/>
          <w:kern w:val="2"/>
          <w:sz w:val="20"/>
        </w:rPr>
        <w:t xml:space="preserve"> of corruption.</w:t>
      </w:r>
      <w:r w:rsidRPr="00DA5EB5">
        <w:rPr>
          <w:rStyle w:val="FootnoteReference"/>
          <w:color w:val="000000" w:themeColor="text1"/>
          <w:kern w:val="2"/>
          <w:sz w:val="18"/>
        </w:rPr>
        <w:footnoteReference w:id="335"/>
      </w:r>
    </w:p>
    <w:p w14:paraId="6ADFD026" w14:textId="27413DE3" w:rsidR="007C56F9" w:rsidRPr="00DA5EB5" w:rsidRDefault="007C56F9" w:rsidP="007C3517">
      <w:pPr>
        <w:pStyle w:val="Heading3"/>
        <w:rPr>
          <w:kern w:val="2"/>
          <w:sz w:val="22"/>
        </w:rPr>
      </w:pPr>
      <w:r w:rsidRPr="00DA5EB5">
        <w:rPr>
          <w:kern w:val="2"/>
          <w:sz w:val="22"/>
        </w:rPr>
        <w:t>Cases where Respondents Made Allegations of Corruption</w:t>
      </w:r>
    </w:p>
    <w:p w14:paraId="3992FE24" w14:textId="19D56733" w:rsidR="00714773" w:rsidRPr="00DA5EB5" w:rsidRDefault="00714773" w:rsidP="007C3517">
      <w:pPr>
        <w:rPr>
          <w:color w:val="000000" w:themeColor="text1"/>
          <w:kern w:val="2"/>
          <w:sz w:val="20"/>
        </w:rPr>
      </w:pPr>
      <w:r w:rsidRPr="00DA5EB5">
        <w:rPr>
          <w:color w:val="000000" w:themeColor="text1"/>
          <w:kern w:val="2"/>
          <w:sz w:val="20"/>
        </w:rPr>
        <w:t>This subsection describes four cases where host states alleged that the claimants’ investments had been procured by corruption and the claimants thus were not entitled to any recovery of their losses or damages.</w:t>
      </w:r>
    </w:p>
    <w:p w14:paraId="5BB68343" w14:textId="342502AA" w:rsidR="007C56F9" w:rsidRPr="00DA5EB5" w:rsidRDefault="007C56F9" w:rsidP="007C3517">
      <w:pPr>
        <w:pStyle w:val="Heading4"/>
        <w:rPr>
          <w:i/>
          <w:kern w:val="2"/>
          <w:sz w:val="22"/>
        </w:rPr>
      </w:pPr>
      <w:r w:rsidRPr="00DA5EB5">
        <w:rPr>
          <w:i/>
          <w:kern w:val="2"/>
          <w:sz w:val="22"/>
        </w:rPr>
        <w:t>World Duty Free v Kenya</w:t>
      </w:r>
    </w:p>
    <w:p w14:paraId="168CB7E3" w14:textId="00D6045C" w:rsidR="00714773" w:rsidRPr="00DA5EB5" w:rsidRDefault="00714773" w:rsidP="007C3517">
      <w:pPr>
        <w:rPr>
          <w:color w:val="000000" w:themeColor="text1"/>
          <w:kern w:val="2"/>
          <w:sz w:val="20"/>
        </w:rPr>
      </w:pPr>
      <w:r w:rsidRPr="00DA5EB5">
        <w:rPr>
          <w:color w:val="000000" w:themeColor="text1"/>
          <w:kern w:val="2"/>
          <w:sz w:val="20"/>
        </w:rPr>
        <w:t xml:space="preserve">The importance of the tribunal’s decision in </w:t>
      </w:r>
      <w:r w:rsidRPr="00DA5EB5">
        <w:rPr>
          <w:i/>
          <w:color w:val="000000" w:themeColor="text1"/>
          <w:kern w:val="2"/>
          <w:sz w:val="20"/>
        </w:rPr>
        <w:t>World Duty Free v Kenya</w:t>
      </w:r>
      <w:r w:rsidRPr="00DA5EB5">
        <w:rPr>
          <w:rStyle w:val="FootnoteReference"/>
          <w:color w:val="000000" w:themeColor="text1"/>
          <w:kern w:val="2"/>
          <w:sz w:val="18"/>
        </w:rPr>
        <w:footnoteReference w:id="336"/>
      </w:r>
      <w:r w:rsidRPr="00DA5EB5">
        <w:rPr>
          <w:i/>
          <w:color w:val="000000" w:themeColor="text1"/>
          <w:kern w:val="2"/>
          <w:sz w:val="20"/>
        </w:rPr>
        <w:t xml:space="preserve"> </w:t>
      </w:r>
      <w:r w:rsidRPr="00DA5EB5">
        <w:rPr>
          <w:color w:val="000000" w:themeColor="text1"/>
          <w:kern w:val="2"/>
          <w:sz w:val="20"/>
        </w:rPr>
        <w:t>l</w:t>
      </w:r>
      <w:r w:rsidR="00B21CBE" w:rsidRPr="00DA5EB5">
        <w:rPr>
          <w:color w:val="000000" w:themeColor="text1"/>
          <w:kern w:val="2"/>
          <w:sz w:val="20"/>
        </w:rPr>
        <w:t>ie</w:t>
      </w:r>
      <w:r w:rsidRPr="00DA5EB5">
        <w:rPr>
          <w:color w:val="000000" w:themeColor="text1"/>
          <w:kern w:val="2"/>
          <w:sz w:val="20"/>
        </w:rPr>
        <w:t xml:space="preserve">s in the fact that it was the first contract-based investment arbitration case </w:t>
      </w:r>
      <w:r w:rsidR="00B21CBE" w:rsidRPr="00DA5EB5">
        <w:rPr>
          <w:color w:val="000000" w:themeColor="text1"/>
          <w:kern w:val="2"/>
          <w:sz w:val="20"/>
        </w:rPr>
        <w:t xml:space="preserve">in which </w:t>
      </w:r>
      <w:r w:rsidR="00FD7D94" w:rsidRPr="00DA5EB5">
        <w:rPr>
          <w:color w:val="000000" w:themeColor="text1"/>
          <w:kern w:val="2"/>
          <w:sz w:val="20"/>
        </w:rPr>
        <w:t>a</w:t>
      </w:r>
      <w:r w:rsidR="00B21CBE" w:rsidRPr="00DA5EB5">
        <w:rPr>
          <w:color w:val="000000" w:themeColor="text1"/>
          <w:kern w:val="2"/>
          <w:sz w:val="20"/>
        </w:rPr>
        <w:t xml:space="preserve"> tribunal made a determinative finding of corruption</w:t>
      </w:r>
      <w:r w:rsidRPr="00DA5EB5">
        <w:rPr>
          <w:color w:val="000000" w:themeColor="text1"/>
          <w:kern w:val="2"/>
          <w:sz w:val="20"/>
        </w:rPr>
        <w:t>.</w:t>
      </w:r>
      <w:r w:rsidRPr="00DA5EB5">
        <w:rPr>
          <w:rStyle w:val="FootnoteReference"/>
          <w:color w:val="000000" w:themeColor="text1"/>
          <w:kern w:val="2"/>
          <w:sz w:val="18"/>
        </w:rPr>
        <w:footnoteReference w:id="337"/>
      </w:r>
      <w:r w:rsidRPr="00DA5EB5">
        <w:rPr>
          <w:color w:val="000000" w:themeColor="text1"/>
          <w:kern w:val="2"/>
          <w:sz w:val="20"/>
        </w:rPr>
        <w:t xml:space="preserve"> </w:t>
      </w:r>
      <w:r w:rsidR="00C75F43" w:rsidRPr="00DA5EB5">
        <w:rPr>
          <w:color w:val="000000" w:themeColor="text1"/>
          <w:kern w:val="2"/>
          <w:sz w:val="20"/>
        </w:rPr>
        <w:t xml:space="preserve">In 2000, </w:t>
      </w:r>
      <w:r w:rsidRPr="00DA5EB5">
        <w:rPr>
          <w:color w:val="000000" w:themeColor="text1"/>
          <w:kern w:val="2"/>
          <w:sz w:val="20"/>
        </w:rPr>
        <w:t xml:space="preserve">World Duty Free (WDF) filed a claim at the ICSID pursuant to the arbitration clause in </w:t>
      </w:r>
      <w:r w:rsidR="00C75F43" w:rsidRPr="00DA5EB5">
        <w:rPr>
          <w:color w:val="000000" w:themeColor="text1"/>
          <w:kern w:val="2"/>
          <w:sz w:val="20"/>
        </w:rPr>
        <w:t xml:space="preserve">a </w:t>
      </w:r>
      <w:r w:rsidRPr="00DA5EB5">
        <w:rPr>
          <w:color w:val="000000" w:themeColor="text1"/>
          <w:kern w:val="2"/>
          <w:sz w:val="20"/>
        </w:rPr>
        <w:t>1989 contract (governed by English and Kenyan law) for construction and operation of duty free complexes at two international airports.</w:t>
      </w:r>
      <w:r w:rsidRPr="00DA5EB5">
        <w:rPr>
          <w:rStyle w:val="FootnoteReference"/>
          <w:color w:val="000000" w:themeColor="text1"/>
          <w:kern w:val="2"/>
          <w:sz w:val="18"/>
        </w:rPr>
        <w:footnoteReference w:id="338"/>
      </w:r>
      <w:r w:rsidRPr="00DA5EB5">
        <w:rPr>
          <w:color w:val="000000" w:themeColor="text1"/>
          <w:kern w:val="2"/>
          <w:sz w:val="20"/>
        </w:rPr>
        <w:t xml:space="preserve"> </w:t>
      </w:r>
      <w:r w:rsidR="00C75F43" w:rsidRPr="00DA5EB5">
        <w:rPr>
          <w:color w:val="000000" w:themeColor="text1"/>
          <w:kern w:val="2"/>
          <w:sz w:val="20"/>
        </w:rPr>
        <w:t>WDF</w:t>
      </w:r>
      <w:r w:rsidRPr="00DA5EB5">
        <w:rPr>
          <w:color w:val="000000" w:themeColor="text1"/>
          <w:kern w:val="2"/>
          <w:sz w:val="20"/>
        </w:rPr>
        <w:t xml:space="preserve"> alleged that Kenya, through its executive, judiciary, and agents, improperly used WDF in election campaign finance fraud, illegally expropriated the company, wrongfully placed it in receivership, caused damage through mismanagement in receivership, refused to protect WDF from crime and unlawfully deported its CEO.</w:t>
      </w:r>
      <w:r w:rsidRPr="00DA5EB5">
        <w:rPr>
          <w:rStyle w:val="FootnoteReference"/>
          <w:color w:val="000000" w:themeColor="text1"/>
          <w:kern w:val="2"/>
          <w:sz w:val="18"/>
        </w:rPr>
        <w:footnoteReference w:id="339"/>
      </w:r>
      <w:r w:rsidRPr="00DA5EB5">
        <w:rPr>
          <w:color w:val="000000" w:themeColor="text1"/>
          <w:kern w:val="2"/>
          <w:sz w:val="20"/>
        </w:rPr>
        <w:t xml:space="preserve"> Subsequently, the </w:t>
      </w:r>
      <w:r w:rsidR="00C75F43" w:rsidRPr="00DA5EB5">
        <w:rPr>
          <w:color w:val="000000" w:themeColor="text1"/>
          <w:kern w:val="2"/>
          <w:sz w:val="20"/>
        </w:rPr>
        <w:t>owner and CEO of WDF</w:t>
      </w:r>
      <w:r w:rsidRPr="00DA5EB5">
        <w:rPr>
          <w:color w:val="000000" w:themeColor="text1"/>
          <w:kern w:val="2"/>
          <w:sz w:val="20"/>
        </w:rPr>
        <w:t xml:space="preserve"> acknowledged that, in order to be able to engage in business in Kenya, WDF was required to make a </w:t>
      </w:r>
      <w:r w:rsidR="00FD6DAC" w:rsidRPr="00DA5EB5">
        <w:rPr>
          <w:color w:val="000000" w:themeColor="text1"/>
          <w:kern w:val="2"/>
          <w:sz w:val="20"/>
        </w:rPr>
        <w:t>“</w:t>
      </w:r>
      <w:r w:rsidRPr="00DA5EB5">
        <w:rPr>
          <w:color w:val="000000" w:themeColor="text1"/>
          <w:kern w:val="2"/>
          <w:sz w:val="20"/>
        </w:rPr>
        <w:t>personal donation</w:t>
      </w:r>
      <w:r w:rsidR="00FD6DAC" w:rsidRPr="00DA5EB5">
        <w:rPr>
          <w:color w:val="000000" w:themeColor="text1"/>
          <w:kern w:val="2"/>
          <w:sz w:val="20"/>
        </w:rPr>
        <w:t>”</w:t>
      </w:r>
      <w:r w:rsidRPr="00DA5EB5">
        <w:rPr>
          <w:color w:val="000000" w:themeColor="text1"/>
          <w:kern w:val="2"/>
          <w:sz w:val="20"/>
        </w:rPr>
        <w:t xml:space="preserve"> in </w:t>
      </w:r>
      <w:r w:rsidR="0020589D" w:rsidRPr="00DA5EB5">
        <w:rPr>
          <w:color w:val="000000" w:themeColor="text1"/>
          <w:kern w:val="2"/>
          <w:sz w:val="20"/>
        </w:rPr>
        <w:t xml:space="preserve">the </w:t>
      </w:r>
      <w:r w:rsidRPr="00DA5EB5">
        <w:rPr>
          <w:color w:val="000000" w:themeColor="text1"/>
          <w:kern w:val="2"/>
          <w:sz w:val="20"/>
        </w:rPr>
        <w:t xml:space="preserve">amount of </w:t>
      </w:r>
      <w:r w:rsidR="000E0705" w:rsidRPr="00DA5EB5">
        <w:rPr>
          <w:color w:val="000000" w:themeColor="text1"/>
          <w:kern w:val="2"/>
          <w:sz w:val="20"/>
        </w:rPr>
        <w:t>US</w:t>
      </w:r>
      <w:r w:rsidRPr="00DA5EB5">
        <w:rPr>
          <w:color w:val="000000" w:themeColor="text1"/>
          <w:kern w:val="2"/>
          <w:sz w:val="20"/>
        </w:rPr>
        <w:t>$2 million</w:t>
      </w:r>
      <w:r w:rsidR="0020589D" w:rsidRPr="00DA5EB5">
        <w:rPr>
          <w:color w:val="000000" w:themeColor="text1"/>
          <w:kern w:val="2"/>
          <w:sz w:val="20"/>
        </w:rPr>
        <w:t xml:space="preserve"> </w:t>
      </w:r>
      <w:r w:rsidRPr="00DA5EB5">
        <w:rPr>
          <w:color w:val="000000" w:themeColor="text1"/>
          <w:kern w:val="2"/>
          <w:sz w:val="20"/>
        </w:rPr>
        <w:t>to the then-President of Kenya in March 1989.</w:t>
      </w:r>
      <w:r w:rsidRPr="00DA5EB5">
        <w:rPr>
          <w:rStyle w:val="FootnoteReference"/>
          <w:color w:val="000000" w:themeColor="text1"/>
          <w:kern w:val="2"/>
          <w:sz w:val="18"/>
        </w:rPr>
        <w:footnoteReference w:id="340"/>
      </w:r>
      <w:r w:rsidRPr="00DA5EB5">
        <w:rPr>
          <w:color w:val="000000" w:themeColor="text1"/>
          <w:kern w:val="2"/>
          <w:sz w:val="20"/>
        </w:rPr>
        <w:t xml:space="preserve"> In</w:t>
      </w:r>
      <w:r w:rsidR="00C75F43" w:rsidRPr="00DA5EB5">
        <w:rPr>
          <w:color w:val="000000" w:themeColor="text1"/>
          <w:kern w:val="2"/>
          <w:sz w:val="20"/>
        </w:rPr>
        <w:t xml:space="preserve"> response</w:t>
      </w:r>
      <w:r w:rsidRPr="00DA5EB5">
        <w:rPr>
          <w:color w:val="000000" w:themeColor="text1"/>
          <w:kern w:val="2"/>
          <w:sz w:val="20"/>
        </w:rPr>
        <w:t xml:space="preserve">, Kenya submitted an application alleging that the 1989 contract was unenforceable because the contract was procured by paying a bribe and requesting dismissal of </w:t>
      </w:r>
      <w:r w:rsidR="00D22CD6" w:rsidRPr="00DA5EB5">
        <w:rPr>
          <w:color w:val="000000" w:themeColor="text1"/>
          <w:kern w:val="2"/>
          <w:sz w:val="20"/>
        </w:rPr>
        <w:t xml:space="preserve">WDF’s </w:t>
      </w:r>
      <w:r w:rsidRPr="00DA5EB5">
        <w:rPr>
          <w:color w:val="000000" w:themeColor="text1"/>
          <w:kern w:val="2"/>
          <w:sz w:val="20"/>
        </w:rPr>
        <w:t>claims in their entirety.</w:t>
      </w:r>
      <w:r w:rsidRPr="00DA5EB5">
        <w:rPr>
          <w:rStyle w:val="FootnoteReference"/>
          <w:color w:val="000000" w:themeColor="text1"/>
          <w:kern w:val="2"/>
          <w:sz w:val="18"/>
        </w:rPr>
        <w:footnoteReference w:id="341"/>
      </w:r>
    </w:p>
    <w:p w14:paraId="2F77405B" w14:textId="4D66B8FD" w:rsidR="00714773" w:rsidRPr="00DA5EB5" w:rsidRDefault="00714773" w:rsidP="007C3517">
      <w:pPr>
        <w:rPr>
          <w:color w:val="000000" w:themeColor="text1"/>
          <w:kern w:val="2"/>
          <w:sz w:val="20"/>
        </w:rPr>
      </w:pPr>
      <w:r w:rsidRPr="00DA5EB5">
        <w:rPr>
          <w:color w:val="000000" w:themeColor="text1"/>
          <w:kern w:val="2"/>
          <w:sz w:val="20"/>
        </w:rPr>
        <w:t xml:space="preserve">The tribunal held that payments made by WDF’s </w:t>
      </w:r>
      <w:r w:rsidR="004B2B88" w:rsidRPr="00DA5EB5">
        <w:rPr>
          <w:color w:val="000000" w:themeColor="text1"/>
          <w:kern w:val="2"/>
          <w:sz w:val="20"/>
        </w:rPr>
        <w:t xml:space="preserve">owner and </w:t>
      </w:r>
      <w:r w:rsidRPr="00DA5EB5">
        <w:rPr>
          <w:color w:val="000000" w:themeColor="text1"/>
          <w:kern w:val="2"/>
          <w:sz w:val="20"/>
        </w:rPr>
        <w:t xml:space="preserve">CEO were bribes rather than a </w:t>
      </w:r>
      <w:r w:rsidR="00FD6DAC" w:rsidRPr="00DA5EB5">
        <w:rPr>
          <w:color w:val="000000" w:themeColor="text1"/>
          <w:kern w:val="2"/>
          <w:sz w:val="20"/>
        </w:rPr>
        <w:t>“</w:t>
      </w:r>
      <w:r w:rsidRPr="00DA5EB5">
        <w:rPr>
          <w:color w:val="000000" w:themeColor="text1"/>
          <w:kern w:val="2"/>
          <w:sz w:val="20"/>
        </w:rPr>
        <w:t>personal donation for public purposes</w:t>
      </w:r>
      <w:r w:rsidR="00EC0446" w:rsidRPr="00DA5EB5">
        <w:rPr>
          <w:color w:val="000000" w:themeColor="text1"/>
          <w:kern w:val="2"/>
          <w:sz w:val="20"/>
        </w:rPr>
        <w:t>,</w:t>
      </w:r>
      <w:r w:rsidR="00FD6DAC" w:rsidRPr="00DA5EB5">
        <w:rPr>
          <w:color w:val="000000" w:themeColor="text1"/>
          <w:kern w:val="2"/>
          <w:sz w:val="20"/>
        </w:rPr>
        <w:t>”</w:t>
      </w:r>
      <w:r w:rsidRPr="00DA5EB5">
        <w:rPr>
          <w:color w:val="000000" w:themeColor="text1"/>
          <w:kern w:val="2"/>
          <w:sz w:val="20"/>
        </w:rPr>
        <w:t xml:space="preserve"> because they were made not only in order to obtain an audience with the President, but </w:t>
      </w:r>
      <w:r w:rsidR="00FD6DAC" w:rsidRPr="00DA5EB5">
        <w:rPr>
          <w:color w:val="000000" w:themeColor="text1"/>
          <w:kern w:val="2"/>
          <w:sz w:val="20"/>
        </w:rPr>
        <w:t>“</w:t>
      </w:r>
      <w:r w:rsidRPr="00DA5EB5">
        <w:rPr>
          <w:color w:val="000000" w:themeColor="text1"/>
          <w:kern w:val="2"/>
          <w:sz w:val="20"/>
        </w:rPr>
        <w:t>above all to obtain during that audience the agreement of the President on the contemplated investment.</w:t>
      </w:r>
      <w:r w:rsidR="00FD6DAC" w:rsidRPr="00DA5EB5">
        <w:rPr>
          <w:color w:val="000000" w:themeColor="text1"/>
          <w:kern w:val="2"/>
          <w:sz w:val="20"/>
        </w:rPr>
        <w:t>”</w:t>
      </w:r>
      <w:r w:rsidRPr="00DA5EB5">
        <w:rPr>
          <w:rStyle w:val="FootnoteReference"/>
          <w:color w:val="000000" w:themeColor="text1"/>
          <w:kern w:val="2"/>
          <w:sz w:val="18"/>
        </w:rPr>
        <w:footnoteReference w:id="342"/>
      </w:r>
      <w:r w:rsidRPr="00DA5EB5">
        <w:rPr>
          <w:color w:val="000000" w:themeColor="text1"/>
          <w:kern w:val="2"/>
          <w:sz w:val="20"/>
        </w:rPr>
        <w:t xml:space="preserve"> The arbitrators noted that </w:t>
      </w:r>
      <w:r w:rsidR="00FD6DAC" w:rsidRPr="00DA5EB5">
        <w:rPr>
          <w:color w:val="000000" w:themeColor="text1"/>
          <w:kern w:val="2"/>
          <w:sz w:val="20"/>
        </w:rPr>
        <w:t>“</w:t>
      </w:r>
      <w:r w:rsidRPr="00DA5EB5">
        <w:rPr>
          <w:color w:val="000000" w:themeColor="text1"/>
          <w:kern w:val="2"/>
          <w:sz w:val="20"/>
        </w:rPr>
        <w:t>bribery or influence peddling, as well as both active and passive corruption, are sanctioned by criminal law in most, if not all, countries,</w:t>
      </w:r>
      <w:r w:rsidR="00FD6DAC" w:rsidRPr="00DA5EB5">
        <w:rPr>
          <w:color w:val="000000" w:themeColor="text1"/>
          <w:kern w:val="2"/>
          <w:sz w:val="20"/>
        </w:rPr>
        <w:t>”</w:t>
      </w:r>
      <w:r w:rsidRPr="00DA5EB5">
        <w:rPr>
          <w:rStyle w:val="FootnoteReference"/>
          <w:color w:val="000000" w:themeColor="text1"/>
          <w:kern w:val="2"/>
          <w:sz w:val="18"/>
        </w:rPr>
        <w:footnoteReference w:id="343"/>
      </w:r>
      <w:r w:rsidRPr="00DA5EB5">
        <w:rPr>
          <w:color w:val="000000" w:themeColor="text1"/>
          <w:kern w:val="2"/>
          <w:sz w:val="20"/>
        </w:rPr>
        <w:t xml:space="preserve"> including Kenya. The tribunal reviewed several international anti-corruption treaties, court decisions and arbitral awards</w:t>
      </w:r>
      <w:r w:rsidRPr="00DA5EB5">
        <w:rPr>
          <w:rStyle w:val="FootnoteReference"/>
          <w:color w:val="000000" w:themeColor="text1"/>
          <w:kern w:val="2"/>
          <w:sz w:val="18"/>
        </w:rPr>
        <w:footnoteReference w:id="344"/>
      </w:r>
      <w:r w:rsidRPr="00DA5EB5">
        <w:rPr>
          <w:color w:val="000000" w:themeColor="text1"/>
          <w:kern w:val="2"/>
          <w:sz w:val="20"/>
        </w:rPr>
        <w:t xml:space="preserve"> and </w:t>
      </w:r>
      <w:r w:rsidR="009B4B0F" w:rsidRPr="00DA5EB5">
        <w:rPr>
          <w:color w:val="000000" w:themeColor="text1"/>
          <w:kern w:val="2"/>
          <w:sz w:val="20"/>
        </w:rPr>
        <w:t>concluded</w:t>
      </w:r>
      <w:r w:rsidRPr="00DA5EB5">
        <w:rPr>
          <w:color w:val="000000" w:themeColor="text1"/>
          <w:kern w:val="2"/>
          <w:sz w:val="20"/>
        </w:rPr>
        <w:t xml:space="preserve"> that even though in some countries or economic sectors bribery is </w:t>
      </w:r>
      <w:r w:rsidR="00FD6DAC" w:rsidRPr="00DA5EB5">
        <w:rPr>
          <w:color w:val="000000" w:themeColor="text1"/>
          <w:kern w:val="2"/>
          <w:sz w:val="20"/>
        </w:rPr>
        <w:t>“</w:t>
      </w:r>
      <w:r w:rsidRPr="00DA5EB5">
        <w:rPr>
          <w:color w:val="000000" w:themeColor="text1"/>
          <w:kern w:val="2"/>
          <w:sz w:val="20"/>
        </w:rPr>
        <w:t>a common practice without which the award of a contract is difficult – or even impossible</w:t>
      </w:r>
      <w:r w:rsidR="00EC0446" w:rsidRPr="00DA5EB5">
        <w:rPr>
          <w:color w:val="000000" w:themeColor="text1"/>
          <w:kern w:val="2"/>
          <w:sz w:val="20"/>
        </w:rPr>
        <w:t>,</w:t>
      </w:r>
      <w:r w:rsidR="00FD6DAC" w:rsidRPr="00DA5EB5">
        <w:rPr>
          <w:color w:val="000000" w:themeColor="text1"/>
          <w:kern w:val="2"/>
          <w:sz w:val="20"/>
        </w:rPr>
        <w:t>”</w:t>
      </w:r>
      <w:r w:rsidRPr="00DA5EB5">
        <w:rPr>
          <w:color w:val="000000" w:themeColor="text1"/>
          <w:kern w:val="2"/>
          <w:sz w:val="20"/>
        </w:rPr>
        <w:t xml:space="preserve"> arbitrators </w:t>
      </w:r>
      <w:r w:rsidR="00FD6DAC" w:rsidRPr="00DA5EB5">
        <w:rPr>
          <w:color w:val="000000" w:themeColor="text1"/>
          <w:kern w:val="2"/>
          <w:sz w:val="20"/>
        </w:rPr>
        <w:t>“</w:t>
      </w:r>
      <w:r w:rsidRPr="00DA5EB5">
        <w:rPr>
          <w:color w:val="000000" w:themeColor="text1"/>
          <w:kern w:val="2"/>
          <w:sz w:val="20"/>
        </w:rPr>
        <w:t>always refused to condone such practices</w:t>
      </w:r>
      <w:r w:rsidR="00EC0446" w:rsidRPr="00DA5EB5">
        <w:rPr>
          <w:color w:val="000000" w:themeColor="text1"/>
          <w:kern w:val="2"/>
          <w:sz w:val="20"/>
        </w:rPr>
        <w:t>,</w:t>
      </w:r>
      <w:r w:rsidR="00FD6DAC" w:rsidRPr="00DA5EB5">
        <w:rPr>
          <w:color w:val="000000" w:themeColor="text1"/>
          <w:kern w:val="2"/>
          <w:sz w:val="20"/>
        </w:rPr>
        <w:t>”</w:t>
      </w:r>
      <w:r w:rsidRPr="00DA5EB5">
        <w:rPr>
          <w:rStyle w:val="FootnoteReference"/>
          <w:color w:val="000000" w:themeColor="text1"/>
          <w:kern w:val="2"/>
          <w:sz w:val="18"/>
        </w:rPr>
        <w:footnoteReference w:id="345"/>
      </w:r>
      <w:r w:rsidRPr="00DA5EB5">
        <w:rPr>
          <w:color w:val="000000" w:themeColor="text1"/>
          <w:kern w:val="2"/>
          <w:sz w:val="20"/>
        </w:rPr>
        <w:t xml:space="preserve"> and thus contracts based on corruption may not be upheld in arbitration:</w:t>
      </w:r>
    </w:p>
    <w:p w14:paraId="0CECA214" w14:textId="097AD962" w:rsidR="00714773" w:rsidRPr="00DA5EB5" w:rsidRDefault="00714773" w:rsidP="007C3517">
      <w:pPr>
        <w:pStyle w:val="BlockQuote"/>
        <w:rPr>
          <w:kern w:val="2"/>
          <w:sz w:val="20"/>
        </w:rPr>
      </w:pPr>
      <w:r w:rsidRPr="00DA5EB5">
        <w:rPr>
          <w:kern w:val="2"/>
          <w:sz w:val="20"/>
        </w:rPr>
        <w:t>In light of domestic laws and international conventions relating to corruption, and in light of the decisions taken in this matter by courts and arbitral tribunals, this Tribunal is convinced that bribery is contrary to the international public policy of most, if not all, States or, to use another formula, to transnational public policy. Thus, claims based on contracts of corruption or on contracts obtained by corruption cannot be upheld by this Arbitral Tribunal.</w:t>
      </w:r>
      <w:r w:rsidR="003D3C56" w:rsidRPr="00DA5EB5">
        <w:rPr>
          <w:rStyle w:val="FootnoteReference"/>
          <w:color w:val="000000" w:themeColor="text1"/>
          <w:kern w:val="2"/>
          <w:sz w:val="18"/>
        </w:rPr>
        <w:footnoteReference w:id="346"/>
      </w:r>
    </w:p>
    <w:p w14:paraId="6D128386" w14:textId="23F31A97" w:rsidR="00714773" w:rsidRPr="00DA5EB5" w:rsidRDefault="00714773" w:rsidP="005A2F7A">
      <w:pPr>
        <w:rPr>
          <w:color w:val="000000" w:themeColor="text1"/>
          <w:kern w:val="2"/>
          <w:sz w:val="20"/>
        </w:rPr>
      </w:pPr>
      <w:r w:rsidRPr="00DA5EB5">
        <w:rPr>
          <w:color w:val="000000" w:themeColor="text1"/>
          <w:kern w:val="2"/>
          <w:sz w:val="20"/>
        </w:rPr>
        <w:t xml:space="preserve">The tribunal, therefore, found that Kenya was legally entitled to avoid the contract tainted by corruption, and WDF was </w:t>
      </w:r>
      <w:r w:rsidR="00FD6DAC" w:rsidRPr="00DA5EB5">
        <w:rPr>
          <w:color w:val="000000" w:themeColor="text1"/>
          <w:kern w:val="2"/>
          <w:sz w:val="20"/>
        </w:rPr>
        <w:t>“</w:t>
      </w:r>
      <w:r w:rsidRPr="00DA5EB5">
        <w:rPr>
          <w:color w:val="000000" w:themeColor="text1"/>
          <w:kern w:val="2"/>
          <w:sz w:val="20"/>
        </w:rPr>
        <w:t xml:space="preserve">not legally entitled to maintain any of its pleaded claims in these proceedings as a matter of </w:t>
      </w:r>
      <w:proofErr w:type="spellStart"/>
      <w:r w:rsidRPr="00DA5EB5">
        <w:rPr>
          <w:i/>
          <w:color w:val="000000" w:themeColor="text1"/>
          <w:kern w:val="2"/>
          <w:sz w:val="20"/>
        </w:rPr>
        <w:t>ordre</w:t>
      </w:r>
      <w:proofErr w:type="spellEnd"/>
      <w:r w:rsidRPr="00DA5EB5">
        <w:rPr>
          <w:i/>
          <w:color w:val="000000" w:themeColor="text1"/>
          <w:kern w:val="2"/>
          <w:sz w:val="20"/>
        </w:rPr>
        <w:t xml:space="preserve"> public international</w:t>
      </w:r>
      <w:r w:rsidRPr="00DA5EB5">
        <w:rPr>
          <w:color w:val="000000" w:themeColor="text1"/>
          <w:kern w:val="2"/>
          <w:sz w:val="20"/>
        </w:rPr>
        <w:t xml:space="preserve"> and public policy under the contract’s applicable laws.</w:t>
      </w:r>
      <w:r w:rsidR="00FD6DAC" w:rsidRPr="00DA5EB5">
        <w:rPr>
          <w:color w:val="000000" w:themeColor="text1"/>
          <w:kern w:val="2"/>
          <w:sz w:val="20"/>
        </w:rPr>
        <w:t>”</w:t>
      </w:r>
      <w:r w:rsidRPr="00DA5EB5">
        <w:rPr>
          <w:rStyle w:val="FootnoteReference"/>
          <w:color w:val="000000" w:themeColor="text1"/>
          <w:kern w:val="2"/>
          <w:sz w:val="18"/>
        </w:rPr>
        <w:footnoteReference w:id="347"/>
      </w:r>
    </w:p>
    <w:p w14:paraId="7A4C9699" w14:textId="2ECF069E" w:rsidR="00714773" w:rsidRPr="00DA5EB5" w:rsidRDefault="00714773" w:rsidP="007C3517">
      <w:pPr>
        <w:rPr>
          <w:color w:val="000000" w:themeColor="text1"/>
          <w:kern w:val="2"/>
          <w:sz w:val="20"/>
        </w:rPr>
      </w:pPr>
      <w:r w:rsidRPr="00DA5EB5">
        <w:rPr>
          <w:color w:val="000000" w:themeColor="text1"/>
          <w:kern w:val="2"/>
          <w:sz w:val="20"/>
        </w:rPr>
        <w:t xml:space="preserve">The tribunal, however, noted that Kenya’s failure to either recover the bribe in civil proceedings or to prosecute the former President, who appears to have solicited the bribe, was </w:t>
      </w:r>
      <w:r w:rsidR="00FD6DAC" w:rsidRPr="00DA5EB5">
        <w:rPr>
          <w:color w:val="000000" w:themeColor="text1"/>
          <w:kern w:val="2"/>
          <w:sz w:val="20"/>
        </w:rPr>
        <w:t>“</w:t>
      </w:r>
      <w:r w:rsidRPr="00DA5EB5">
        <w:rPr>
          <w:color w:val="000000" w:themeColor="text1"/>
          <w:kern w:val="2"/>
          <w:sz w:val="20"/>
        </w:rPr>
        <w:t>highly disturbing</w:t>
      </w:r>
      <w:r w:rsidR="00FD6DAC" w:rsidRPr="00DA5EB5">
        <w:rPr>
          <w:color w:val="000000" w:themeColor="text1"/>
          <w:kern w:val="2"/>
          <w:sz w:val="20"/>
        </w:rPr>
        <w:t>”</w:t>
      </w:r>
      <w:r w:rsidRPr="00DA5EB5">
        <w:rPr>
          <w:color w:val="000000" w:themeColor="text1"/>
          <w:kern w:val="2"/>
          <w:sz w:val="20"/>
        </w:rPr>
        <w:t>:</w:t>
      </w:r>
    </w:p>
    <w:p w14:paraId="673A7393" w14:textId="3AA36D8C" w:rsidR="00714773" w:rsidRPr="00DA5EB5" w:rsidRDefault="00714773" w:rsidP="007C3517">
      <w:pPr>
        <w:pStyle w:val="BlockQuote"/>
        <w:rPr>
          <w:kern w:val="2"/>
          <w:sz w:val="20"/>
        </w:rPr>
      </w:pPr>
      <w:r w:rsidRPr="00DA5EB5">
        <w:rPr>
          <w:kern w:val="2"/>
          <w:sz w:val="20"/>
        </w:rPr>
        <w:t>It remains nonetheless a highly disturbing feature in this case that the corrupt recipient of the Claimant’s bribe was more than an officer of state but its most senior officer, the Kenyan President; and that it is Kenya which is here advancing as a complete defence to the Claimant’s claims the illegalities of its own former President. Moreover, on the evidence before this Tribunal, the bribe was apparently solicited by the Kenyan President and not wholly initiated by the Claimant. Although the Kenyan President has now left office and is no longer immune from suit under the Kenyan Constitution, it appears that no attempt has been made by Kenya to prosecute him for corruption or to recover the bribe in civil proceedings.</w:t>
      </w:r>
      <w:r w:rsidR="003D3C56" w:rsidRPr="00DA5EB5">
        <w:rPr>
          <w:rStyle w:val="FootnoteReference"/>
          <w:color w:val="000000" w:themeColor="text1"/>
          <w:kern w:val="2"/>
          <w:sz w:val="18"/>
        </w:rPr>
        <w:footnoteReference w:id="348"/>
      </w:r>
    </w:p>
    <w:p w14:paraId="2AE4D3A4" w14:textId="5DD053EA" w:rsidR="00714773" w:rsidRPr="00DA5EB5" w:rsidRDefault="00714773" w:rsidP="005A2F7A">
      <w:pPr>
        <w:rPr>
          <w:color w:val="000000" w:themeColor="text1"/>
          <w:kern w:val="2"/>
          <w:sz w:val="20"/>
        </w:rPr>
      </w:pPr>
      <w:r w:rsidRPr="00DA5EB5">
        <w:rPr>
          <w:color w:val="000000" w:themeColor="text1"/>
          <w:kern w:val="2"/>
          <w:sz w:val="20"/>
        </w:rPr>
        <w:t xml:space="preserve">Nevertheless, the tribunal ruled that </w:t>
      </w:r>
      <w:r w:rsidR="00FD6DAC" w:rsidRPr="00DA5EB5">
        <w:rPr>
          <w:color w:val="000000" w:themeColor="text1"/>
          <w:kern w:val="2"/>
          <w:sz w:val="20"/>
        </w:rPr>
        <w:t>“</w:t>
      </w:r>
      <w:r w:rsidRPr="00DA5EB5">
        <w:rPr>
          <w:color w:val="000000" w:themeColor="text1"/>
          <w:kern w:val="2"/>
          <w:sz w:val="20"/>
        </w:rPr>
        <w:t>the law protects not the litigating parties but the public; or in this case, the mass of tax-payers and other citizens making up one of the poorest countries in the world,</w:t>
      </w:r>
      <w:r w:rsidR="00FD6DAC" w:rsidRPr="00DA5EB5">
        <w:rPr>
          <w:color w:val="000000" w:themeColor="text1"/>
          <w:kern w:val="2"/>
          <w:sz w:val="20"/>
        </w:rPr>
        <w:t>”</w:t>
      </w:r>
      <w:r w:rsidRPr="00DA5EB5">
        <w:rPr>
          <w:color w:val="000000" w:themeColor="text1"/>
          <w:kern w:val="2"/>
          <w:sz w:val="20"/>
        </w:rPr>
        <w:t xml:space="preserve"> and thus refrained from imposing a duty to prosecute upon the responding state as a precondition to successfully raising the corruption defence.</w:t>
      </w:r>
      <w:r w:rsidR="008C724A" w:rsidRPr="00DA5EB5">
        <w:rPr>
          <w:rStyle w:val="FootnoteReference"/>
          <w:color w:val="000000" w:themeColor="text1"/>
          <w:kern w:val="2"/>
          <w:sz w:val="18"/>
        </w:rPr>
        <w:footnoteReference w:id="349"/>
      </w:r>
    </w:p>
    <w:p w14:paraId="03D68BBE" w14:textId="0DA1077F" w:rsidR="007C56F9" w:rsidRPr="00DA5EB5" w:rsidRDefault="007C56F9" w:rsidP="007C3517">
      <w:pPr>
        <w:pStyle w:val="Heading4"/>
        <w:rPr>
          <w:i/>
          <w:kern w:val="2"/>
          <w:sz w:val="22"/>
        </w:rPr>
      </w:pPr>
      <w:r w:rsidRPr="00DA5EB5">
        <w:rPr>
          <w:i/>
          <w:kern w:val="2"/>
          <w:sz w:val="22"/>
        </w:rPr>
        <w:t>Metal-Tech v Uzbekistan</w:t>
      </w:r>
    </w:p>
    <w:p w14:paraId="50367492" w14:textId="6F9B7964" w:rsidR="00714773" w:rsidRPr="00DA5EB5" w:rsidRDefault="00714773" w:rsidP="007C3517">
      <w:pPr>
        <w:rPr>
          <w:color w:val="000000" w:themeColor="text1"/>
          <w:kern w:val="2"/>
          <w:sz w:val="20"/>
        </w:rPr>
      </w:pPr>
      <w:r w:rsidRPr="00DA5EB5">
        <w:rPr>
          <w:i/>
          <w:color w:val="000000" w:themeColor="text1"/>
          <w:kern w:val="2"/>
          <w:sz w:val="20"/>
        </w:rPr>
        <w:t>Metal-Tech v Uzbekistan</w:t>
      </w:r>
      <w:r w:rsidRPr="00DA5EB5">
        <w:rPr>
          <w:rStyle w:val="FootnoteReference"/>
          <w:color w:val="000000" w:themeColor="text1"/>
          <w:kern w:val="2"/>
          <w:sz w:val="18"/>
        </w:rPr>
        <w:footnoteReference w:id="350"/>
      </w:r>
      <w:r w:rsidRPr="00DA5EB5">
        <w:rPr>
          <w:color w:val="000000" w:themeColor="text1"/>
          <w:kern w:val="2"/>
          <w:sz w:val="20"/>
        </w:rPr>
        <w:t xml:space="preserve"> was the first investment </w:t>
      </w:r>
      <w:r w:rsidRPr="00DA5EB5">
        <w:rPr>
          <w:i/>
          <w:color w:val="000000" w:themeColor="text1"/>
          <w:kern w:val="2"/>
          <w:sz w:val="20"/>
        </w:rPr>
        <w:t>treaty</w:t>
      </w:r>
      <w:r w:rsidRPr="00DA5EB5">
        <w:rPr>
          <w:color w:val="000000" w:themeColor="text1"/>
          <w:kern w:val="2"/>
          <w:sz w:val="20"/>
        </w:rPr>
        <w:t xml:space="preserve"> arbitration case where the tribunal decided that it did not have jurisdiction because the investment was tainted by corruption.</w:t>
      </w:r>
      <w:r w:rsidRPr="00DA5EB5">
        <w:rPr>
          <w:rStyle w:val="FootnoteReference"/>
          <w:color w:val="000000" w:themeColor="text1"/>
          <w:kern w:val="2"/>
          <w:sz w:val="18"/>
        </w:rPr>
        <w:footnoteReference w:id="351"/>
      </w:r>
      <w:r w:rsidRPr="00DA5EB5">
        <w:rPr>
          <w:color w:val="000000" w:themeColor="text1"/>
          <w:kern w:val="2"/>
          <w:sz w:val="20"/>
        </w:rPr>
        <w:t xml:space="preserve"> </w:t>
      </w:r>
      <w:r w:rsidR="0065557A" w:rsidRPr="00DA5EB5">
        <w:rPr>
          <w:color w:val="000000" w:themeColor="text1"/>
          <w:kern w:val="2"/>
          <w:sz w:val="20"/>
        </w:rPr>
        <w:t>Metal-Tech</w:t>
      </w:r>
      <w:r w:rsidRPr="00DA5EB5">
        <w:rPr>
          <w:color w:val="000000" w:themeColor="text1"/>
          <w:kern w:val="2"/>
          <w:sz w:val="20"/>
        </w:rPr>
        <w:t>, an Israeli company, commenced ICSID proceedings alleging that Uzbekistan failed to accord fair and equitable treatment</w:t>
      </w:r>
      <w:r w:rsidR="0065557A" w:rsidRPr="00DA5EB5">
        <w:rPr>
          <w:color w:val="000000" w:themeColor="text1"/>
          <w:kern w:val="2"/>
          <w:sz w:val="20"/>
        </w:rPr>
        <w:t xml:space="preserve"> and</w:t>
      </w:r>
      <w:r w:rsidRPr="00DA5EB5">
        <w:rPr>
          <w:color w:val="000000" w:themeColor="text1"/>
          <w:kern w:val="2"/>
          <w:sz w:val="20"/>
        </w:rPr>
        <w:t xml:space="preserve"> protection and security</w:t>
      </w:r>
      <w:r w:rsidR="0065557A" w:rsidRPr="00DA5EB5">
        <w:rPr>
          <w:color w:val="000000" w:themeColor="text1"/>
          <w:kern w:val="2"/>
          <w:sz w:val="20"/>
        </w:rPr>
        <w:t xml:space="preserve"> to the company. Metal-Tech also alleged that Uzbekistan had</w:t>
      </w:r>
      <w:r w:rsidRPr="00DA5EB5">
        <w:rPr>
          <w:color w:val="000000" w:themeColor="text1"/>
          <w:kern w:val="2"/>
          <w:sz w:val="20"/>
        </w:rPr>
        <w:t xml:space="preserve"> expropriated Metal-Tech’s investment in </w:t>
      </w:r>
      <w:proofErr w:type="spellStart"/>
      <w:r w:rsidRPr="00DA5EB5">
        <w:rPr>
          <w:color w:val="000000" w:themeColor="text1"/>
          <w:kern w:val="2"/>
          <w:sz w:val="20"/>
        </w:rPr>
        <w:t>Uzmetal</w:t>
      </w:r>
      <w:proofErr w:type="spellEnd"/>
      <w:r w:rsidRPr="00DA5EB5">
        <w:rPr>
          <w:color w:val="000000" w:themeColor="text1"/>
          <w:kern w:val="2"/>
          <w:sz w:val="20"/>
        </w:rPr>
        <w:t>, a joint venture formed with two Uzbek state-owned companies.</w:t>
      </w:r>
      <w:r w:rsidRPr="00DA5EB5">
        <w:rPr>
          <w:rStyle w:val="FootnoteReference"/>
          <w:color w:val="000000" w:themeColor="text1"/>
          <w:kern w:val="2"/>
          <w:sz w:val="18"/>
        </w:rPr>
        <w:footnoteReference w:id="352"/>
      </w:r>
    </w:p>
    <w:p w14:paraId="5422F13C" w14:textId="5F942384" w:rsidR="00714773" w:rsidRPr="00DA5EB5" w:rsidRDefault="00714773" w:rsidP="007C3517">
      <w:pPr>
        <w:rPr>
          <w:color w:val="000000" w:themeColor="text1"/>
          <w:kern w:val="2"/>
          <w:sz w:val="20"/>
        </w:rPr>
      </w:pPr>
      <w:r w:rsidRPr="00DA5EB5">
        <w:rPr>
          <w:color w:val="000000" w:themeColor="text1"/>
          <w:kern w:val="2"/>
          <w:sz w:val="20"/>
        </w:rPr>
        <w:t>In November</w:t>
      </w:r>
      <w:r w:rsidR="0065557A" w:rsidRPr="00DA5EB5">
        <w:rPr>
          <w:color w:val="000000" w:themeColor="text1"/>
          <w:kern w:val="2"/>
          <w:sz w:val="20"/>
        </w:rPr>
        <w:t>,</w:t>
      </w:r>
      <w:r w:rsidRPr="00DA5EB5">
        <w:rPr>
          <w:color w:val="000000" w:themeColor="text1"/>
          <w:kern w:val="2"/>
          <w:sz w:val="20"/>
        </w:rPr>
        <w:t xml:space="preserve"> 2011, Uzbekistan informed the tribunal that it had recently become aware of the details of a criminal investigation by the Prosecutor General’s Office into questionable payments to Uzbek public officials and individuals affiliated with Metal-Tech and </w:t>
      </w:r>
      <w:proofErr w:type="spellStart"/>
      <w:r w:rsidRPr="00DA5EB5">
        <w:rPr>
          <w:color w:val="000000" w:themeColor="text1"/>
          <w:kern w:val="2"/>
          <w:sz w:val="20"/>
        </w:rPr>
        <w:t>Uzmetal</w:t>
      </w:r>
      <w:proofErr w:type="spellEnd"/>
      <w:r w:rsidRPr="00DA5EB5">
        <w:rPr>
          <w:color w:val="000000" w:themeColor="text1"/>
          <w:kern w:val="2"/>
          <w:sz w:val="20"/>
        </w:rPr>
        <w:t>.</w:t>
      </w:r>
      <w:r w:rsidRPr="00DA5EB5">
        <w:rPr>
          <w:rStyle w:val="FootnoteReference"/>
          <w:color w:val="000000" w:themeColor="text1"/>
          <w:kern w:val="2"/>
          <w:sz w:val="18"/>
        </w:rPr>
        <w:footnoteReference w:id="353"/>
      </w:r>
      <w:r w:rsidRPr="00DA5EB5">
        <w:rPr>
          <w:color w:val="000000" w:themeColor="text1"/>
          <w:kern w:val="2"/>
          <w:sz w:val="20"/>
        </w:rPr>
        <w:t xml:space="preserve"> Uzbekistan alleged that several consulting agreements, which Metal-Tech entered into between 2000 and 2005, were a sham designed to cover illegal payments to Uzbek public officials or their close affiliates.</w:t>
      </w:r>
      <w:r w:rsidRPr="00DA5EB5">
        <w:rPr>
          <w:rStyle w:val="FootnoteReference"/>
          <w:color w:val="000000" w:themeColor="text1"/>
          <w:kern w:val="2"/>
          <w:sz w:val="18"/>
        </w:rPr>
        <w:footnoteReference w:id="354"/>
      </w:r>
      <w:r w:rsidRPr="00DA5EB5">
        <w:rPr>
          <w:color w:val="000000" w:themeColor="text1"/>
          <w:kern w:val="2"/>
          <w:sz w:val="20"/>
        </w:rPr>
        <w:t xml:space="preserve"> Metal-Tech’s CEO admitted that about </w:t>
      </w:r>
      <w:r w:rsidR="00EC0446" w:rsidRPr="00DA5EB5">
        <w:rPr>
          <w:color w:val="000000" w:themeColor="text1"/>
          <w:kern w:val="2"/>
          <w:sz w:val="20"/>
        </w:rPr>
        <w:t>US</w:t>
      </w:r>
      <w:r w:rsidR="0065557A" w:rsidRPr="00DA5EB5">
        <w:rPr>
          <w:color w:val="000000" w:themeColor="text1"/>
          <w:kern w:val="2"/>
          <w:sz w:val="20"/>
        </w:rPr>
        <w:t>$</w:t>
      </w:r>
      <w:r w:rsidRPr="00DA5EB5">
        <w:rPr>
          <w:color w:val="000000" w:themeColor="text1"/>
          <w:kern w:val="2"/>
          <w:sz w:val="20"/>
        </w:rPr>
        <w:t xml:space="preserve">4 million had been paid to consultants who were </w:t>
      </w:r>
      <w:r w:rsidR="00FD6DAC" w:rsidRPr="00DA5EB5">
        <w:rPr>
          <w:color w:val="000000" w:themeColor="text1"/>
          <w:kern w:val="2"/>
          <w:sz w:val="20"/>
        </w:rPr>
        <w:t>“</w:t>
      </w:r>
      <w:r w:rsidRPr="00DA5EB5">
        <w:rPr>
          <w:color w:val="000000" w:themeColor="text1"/>
          <w:kern w:val="2"/>
          <w:sz w:val="20"/>
        </w:rPr>
        <w:t>primarily engaged in ‘lobbying’ activities.</w:t>
      </w:r>
      <w:r w:rsidR="00FD6DAC" w:rsidRPr="00DA5EB5">
        <w:rPr>
          <w:color w:val="000000" w:themeColor="text1"/>
          <w:kern w:val="2"/>
          <w:sz w:val="20"/>
        </w:rPr>
        <w:t>”</w:t>
      </w:r>
      <w:r w:rsidRPr="00DA5EB5">
        <w:rPr>
          <w:rStyle w:val="FootnoteReference"/>
          <w:color w:val="000000" w:themeColor="text1"/>
          <w:kern w:val="2"/>
          <w:sz w:val="18"/>
        </w:rPr>
        <w:footnoteReference w:id="355"/>
      </w:r>
      <w:r w:rsidRPr="00DA5EB5">
        <w:rPr>
          <w:color w:val="000000" w:themeColor="text1"/>
          <w:kern w:val="2"/>
          <w:sz w:val="20"/>
        </w:rPr>
        <w:t xml:space="preserve"> Therefore, the tribunal concluded that it lacked jurisdiction over the investor’s claims because Metal-Tech breached both the Uzbek Criminal Code and the legality requirement under the Israel-Uzbekistan BIT by making payments to a governmental official and a close relative of a high-ranked public official for </w:t>
      </w:r>
      <w:r w:rsidR="0065557A" w:rsidRPr="00DA5EB5">
        <w:rPr>
          <w:color w:val="000000" w:themeColor="text1"/>
          <w:kern w:val="2"/>
          <w:sz w:val="20"/>
        </w:rPr>
        <w:t xml:space="preserve">the purpose of </w:t>
      </w:r>
      <w:r w:rsidRPr="00DA5EB5">
        <w:rPr>
          <w:color w:val="000000" w:themeColor="text1"/>
          <w:kern w:val="2"/>
          <w:sz w:val="20"/>
        </w:rPr>
        <w:t>influence p</w:t>
      </w:r>
      <w:r w:rsidR="0065557A" w:rsidRPr="00DA5EB5">
        <w:rPr>
          <w:color w:val="000000" w:themeColor="text1"/>
          <w:kern w:val="2"/>
          <w:sz w:val="20"/>
        </w:rPr>
        <w:t>e</w:t>
      </w:r>
      <w:r w:rsidRPr="00DA5EB5">
        <w:rPr>
          <w:color w:val="000000" w:themeColor="text1"/>
          <w:kern w:val="2"/>
          <w:sz w:val="20"/>
        </w:rPr>
        <w:t>ddling.</w:t>
      </w:r>
      <w:r w:rsidRPr="00DA5EB5">
        <w:rPr>
          <w:rStyle w:val="FootnoteReference"/>
          <w:color w:val="000000" w:themeColor="text1"/>
          <w:kern w:val="2"/>
          <w:sz w:val="18"/>
        </w:rPr>
        <w:footnoteReference w:id="356"/>
      </w:r>
      <w:r w:rsidRPr="00DA5EB5">
        <w:rPr>
          <w:color w:val="000000" w:themeColor="text1"/>
          <w:kern w:val="2"/>
          <w:sz w:val="20"/>
        </w:rPr>
        <w:t xml:space="preserve"> </w:t>
      </w:r>
    </w:p>
    <w:p w14:paraId="5B8D6FB9" w14:textId="7CF9595E" w:rsidR="00714773" w:rsidRPr="00DA5EB5" w:rsidRDefault="00714773" w:rsidP="007C3517">
      <w:pPr>
        <w:rPr>
          <w:color w:val="000000" w:themeColor="text1"/>
          <w:kern w:val="2"/>
          <w:sz w:val="20"/>
        </w:rPr>
      </w:pPr>
      <w:r w:rsidRPr="00DA5EB5">
        <w:rPr>
          <w:color w:val="000000" w:themeColor="text1"/>
          <w:kern w:val="2"/>
          <w:sz w:val="20"/>
        </w:rPr>
        <w:t xml:space="preserve">The arbitrators decided that the investor </w:t>
      </w:r>
      <w:r w:rsidR="00D82AA4" w:rsidRPr="00DA5EB5">
        <w:rPr>
          <w:color w:val="000000" w:themeColor="text1"/>
          <w:kern w:val="2"/>
          <w:sz w:val="20"/>
        </w:rPr>
        <w:t>had lost</w:t>
      </w:r>
      <w:r w:rsidRPr="00DA5EB5">
        <w:rPr>
          <w:color w:val="000000" w:themeColor="text1"/>
          <w:kern w:val="2"/>
          <w:sz w:val="20"/>
        </w:rPr>
        <w:t xml:space="preserve"> protection under the BIT, but denied Uzbekistan’s request that costs be assessed against the claimant:</w:t>
      </w:r>
    </w:p>
    <w:p w14:paraId="5C03FFBF" w14:textId="27D3A1F7" w:rsidR="00714773" w:rsidRPr="00DA5EB5" w:rsidRDefault="00714773" w:rsidP="007C3517">
      <w:pPr>
        <w:pStyle w:val="BlockQuote"/>
        <w:rPr>
          <w:kern w:val="2"/>
          <w:sz w:val="20"/>
        </w:rPr>
      </w:pPr>
      <w:r w:rsidRPr="00DA5EB5">
        <w:rPr>
          <w:kern w:val="2"/>
          <w:sz w:val="20"/>
        </w:rPr>
        <w:t>The Tribunal found that the rights of the investor against the host State, including the right of access to arbitration, could not be protected because the investment was tainted by illegal activities, specifically corruption. The law is clear – and rightly so – that in such a situation the investor is deprived of protection and, consequently, the host State avoids any potential liability. That does not mean, however, that the State has not participated in creating the situation that leads to the dismissal of the claims. Because of this participation, which is implicit in the very nature of corruption, it appears fair that the Parties share in the costs.</w:t>
      </w:r>
      <w:r w:rsidR="003D3C56" w:rsidRPr="00DA5EB5">
        <w:rPr>
          <w:rStyle w:val="FootnoteReference"/>
          <w:color w:val="000000" w:themeColor="text1"/>
          <w:kern w:val="2"/>
          <w:sz w:val="18"/>
        </w:rPr>
        <w:footnoteReference w:id="357"/>
      </w:r>
    </w:p>
    <w:p w14:paraId="20771FAD" w14:textId="387917AA" w:rsidR="00714773" w:rsidRPr="00DA5EB5" w:rsidRDefault="00714773" w:rsidP="005A2F7A">
      <w:pPr>
        <w:rPr>
          <w:color w:val="000000" w:themeColor="text1"/>
          <w:kern w:val="2"/>
          <w:sz w:val="20"/>
        </w:rPr>
      </w:pPr>
      <w:r w:rsidRPr="00DA5EB5">
        <w:rPr>
          <w:color w:val="000000" w:themeColor="text1"/>
          <w:kern w:val="2"/>
          <w:sz w:val="20"/>
        </w:rPr>
        <w:t xml:space="preserve">Although the claimant’s insistence that </w:t>
      </w:r>
      <w:r w:rsidR="00FD6DAC" w:rsidRPr="00DA5EB5">
        <w:rPr>
          <w:color w:val="000000" w:themeColor="text1"/>
          <w:kern w:val="2"/>
          <w:sz w:val="20"/>
        </w:rPr>
        <w:t>“</w:t>
      </w:r>
      <w:r w:rsidRPr="00DA5EB5">
        <w:rPr>
          <w:color w:val="000000" w:themeColor="text1"/>
          <w:kern w:val="2"/>
          <w:sz w:val="20"/>
        </w:rPr>
        <w:t>there is no evidence that [the claimant’s consultant] is being investigated or has been arrested for any crime</w:t>
      </w:r>
      <w:r w:rsidR="00FD6DAC" w:rsidRPr="00DA5EB5">
        <w:rPr>
          <w:color w:val="000000" w:themeColor="text1"/>
          <w:kern w:val="2"/>
          <w:sz w:val="20"/>
        </w:rPr>
        <w:t>”</w:t>
      </w:r>
      <w:r w:rsidRPr="00DA5EB5">
        <w:rPr>
          <w:rStyle w:val="FootnoteReference"/>
          <w:color w:val="000000" w:themeColor="text1"/>
          <w:kern w:val="2"/>
          <w:sz w:val="18"/>
        </w:rPr>
        <w:footnoteReference w:id="358"/>
      </w:r>
      <w:r w:rsidRPr="00DA5EB5">
        <w:rPr>
          <w:color w:val="000000" w:themeColor="text1"/>
          <w:kern w:val="2"/>
          <w:sz w:val="20"/>
        </w:rPr>
        <w:t xml:space="preserve"> and</w:t>
      </w:r>
      <w:r w:rsidR="00156D4A" w:rsidRPr="00DA5EB5">
        <w:rPr>
          <w:color w:val="000000" w:themeColor="text1"/>
          <w:kern w:val="2"/>
          <w:sz w:val="20"/>
        </w:rPr>
        <w:t xml:space="preserve"> that</w:t>
      </w:r>
      <w:r w:rsidRPr="00DA5EB5">
        <w:rPr>
          <w:color w:val="000000" w:themeColor="text1"/>
          <w:kern w:val="2"/>
          <w:sz w:val="20"/>
        </w:rPr>
        <w:t xml:space="preserve"> </w:t>
      </w:r>
      <w:r w:rsidR="00FD6DAC" w:rsidRPr="00DA5EB5">
        <w:rPr>
          <w:color w:val="000000" w:themeColor="text1"/>
          <w:kern w:val="2"/>
          <w:sz w:val="20"/>
        </w:rPr>
        <w:t>“</w:t>
      </w:r>
      <w:r w:rsidRPr="00DA5EB5">
        <w:rPr>
          <w:color w:val="000000" w:themeColor="text1"/>
          <w:kern w:val="2"/>
          <w:sz w:val="20"/>
        </w:rPr>
        <w:t>no official was charged with unlawful conduct in connection with its project</w:t>
      </w:r>
      <w:r w:rsidR="00FD6DAC" w:rsidRPr="00DA5EB5">
        <w:rPr>
          <w:color w:val="000000" w:themeColor="text1"/>
          <w:kern w:val="2"/>
          <w:sz w:val="20"/>
        </w:rPr>
        <w:t>”</w:t>
      </w:r>
      <w:r w:rsidRPr="00DA5EB5">
        <w:rPr>
          <w:rStyle w:val="FootnoteReference"/>
          <w:color w:val="000000" w:themeColor="text1"/>
          <w:kern w:val="2"/>
          <w:sz w:val="18"/>
        </w:rPr>
        <w:footnoteReference w:id="359"/>
      </w:r>
      <w:r w:rsidRPr="00DA5EB5">
        <w:rPr>
          <w:color w:val="000000" w:themeColor="text1"/>
          <w:kern w:val="2"/>
          <w:sz w:val="20"/>
        </w:rPr>
        <w:t xml:space="preserve"> did not preclude the tribunal from refusing to hear the investor’s claims, the arbitrators </w:t>
      </w:r>
      <w:r w:rsidR="00D82AA4" w:rsidRPr="00DA5EB5">
        <w:rPr>
          <w:color w:val="000000" w:themeColor="text1"/>
          <w:kern w:val="2"/>
          <w:sz w:val="20"/>
        </w:rPr>
        <w:t>found it necessary to state</w:t>
      </w:r>
      <w:r w:rsidR="00A54638" w:rsidRPr="00DA5EB5">
        <w:rPr>
          <w:color w:val="000000" w:themeColor="text1"/>
          <w:kern w:val="2"/>
          <w:sz w:val="20"/>
        </w:rPr>
        <w:t>:</w:t>
      </w:r>
    </w:p>
    <w:p w14:paraId="2301EE0B" w14:textId="3F43BA87" w:rsidR="00714773" w:rsidRPr="00DA5EB5" w:rsidRDefault="00714773" w:rsidP="007C3517">
      <w:pPr>
        <w:pStyle w:val="BlockQuote"/>
        <w:rPr>
          <w:kern w:val="2"/>
          <w:sz w:val="20"/>
        </w:rPr>
      </w:pPr>
      <w:r w:rsidRPr="00DA5EB5">
        <w:rPr>
          <w:kern w:val="2"/>
          <w:sz w:val="20"/>
        </w:rPr>
        <w:t>While reaching the conclusion that the claims are barred as a result of corruption, the Tribunal is sensitive to the ongoing debate that findings on corruption often come down heavily on claimants, while possibly exonerating defendants that may have themselves been involved in the corrupt acts. It is true that the outcome in cases of corruption often appears unsatisfactory because, at first sight at least, it seems to give an unfair advantage to the defendant party. The idea, however, is not to punish one party at the cost of the other, but rather to ensure the promotion of the rule of law, which entails that a court or tribunal cannot grant assistance to a party that has engaged in a corrupt act.</w:t>
      </w:r>
      <w:r w:rsidR="003D3C56" w:rsidRPr="00DA5EB5">
        <w:rPr>
          <w:rStyle w:val="FootnoteReference"/>
          <w:color w:val="000000" w:themeColor="text1"/>
          <w:kern w:val="2"/>
          <w:sz w:val="18"/>
        </w:rPr>
        <w:footnoteReference w:id="360"/>
      </w:r>
    </w:p>
    <w:p w14:paraId="0164D050" w14:textId="45A0D7A9" w:rsidR="007C56F9" w:rsidRPr="00DA5EB5" w:rsidRDefault="007C56F9" w:rsidP="007C3517">
      <w:pPr>
        <w:pStyle w:val="Heading4"/>
        <w:rPr>
          <w:i/>
          <w:kern w:val="2"/>
          <w:sz w:val="22"/>
        </w:rPr>
      </w:pPr>
      <w:r w:rsidRPr="00DA5EB5">
        <w:rPr>
          <w:i/>
          <w:kern w:val="2"/>
          <w:sz w:val="22"/>
        </w:rPr>
        <w:t>Niko Resources v Bangladesh</w:t>
      </w:r>
    </w:p>
    <w:p w14:paraId="38D57948" w14:textId="59568E7C" w:rsidR="00714773" w:rsidRPr="00DA5EB5" w:rsidRDefault="00714773" w:rsidP="007C3517">
      <w:pPr>
        <w:rPr>
          <w:color w:val="000000" w:themeColor="text1"/>
          <w:kern w:val="2"/>
          <w:sz w:val="20"/>
        </w:rPr>
      </w:pPr>
      <w:r w:rsidRPr="00DA5EB5">
        <w:rPr>
          <w:color w:val="000000" w:themeColor="text1"/>
          <w:kern w:val="2"/>
          <w:sz w:val="20"/>
        </w:rPr>
        <w:t xml:space="preserve">The </w:t>
      </w:r>
      <w:r w:rsidR="00FD6DAC" w:rsidRPr="00DA5EB5">
        <w:rPr>
          <w:color w:val="000000" w:themeColor="text1"/>
          <w:kern w:val="2"/>
          <w:sz w:val="20"/>
        </w:rPr>
        <w:t>“</w:t>
      </w:r>
      <w:r w:rsidRPr="00DA5EB5">
        <w:rPr>
          <w:color w:val="000000" w:themeColor="text1"/>
          <w:kern w:val="2"/>
          <w:sz w:val="20"/>
        </w:rPr>
        <w:t>recent and highly significant</w:t>
      </w:r>
      <w:r w:rsidR="00FD6DAC" w:rsidRPr="00DA5EB5">
        <w:rPr>
          <w:color w:val="000000" w:themeColor="text1"/>
          <w:kern w:val="2"/>
          <w:sz w:val="20"/>
        </w:rPr>
        <w:t>”</w:t>
      </w:r>
      <w:r w:rsidRPr="00DA5EB5">
        <w:rPr>
          <w:rStyle w:val="FootnoteReference"/>
          <w:color w:val="000000" w:themeColor="text1"/>
          <w:kern w:val="2"/>
          <w:sz w:val="18"/>
        </w:rPr>
        <w:footnoteReference w:id="361"/>
      </w:r>
      <w:r w:rsidRPr="00DA5EB5">
        <w:rPr>
          <w:color w:val="000000" w:themeColor="text1"/>
          <w:kern w:val="2"/>
          <w:sz w:val="20"/>
        </w:rPr>
        <w:t xml:space="preserve"> case of </w:t>
      </w:r>
      <w:r w:rsidRPr="00DA5EB5">
        <w:rPr>
          <w:i/>
          <w:color w:val="000000" w:themeColor="text1"/>
          <w:kern w:val="2"/>
          <w:sz w:val="20"/>
        </w:rPr>
        <w:t>Niko Resources v Bangladesh</w:t>
      </w:r>
      <w:r w:rsidRPr="00DA5EB5">
        <w:rPr>
          <w:color w:val="000000" w:themeColor="text1"/>
          <w:kern w:val="2"/>
          <w:sz w:val="20"/>
        </w:rPr>
        <w:t xml:space="preserve"> was a contract-based investment arbitration arising out of the 2003 joint venture agreement (JVA) and the 2006 Gas Purchase and Sales Agreement (GPSA) concluded </w:t>
      </w:r>
      <w:r w:rsidR="00F4699E" w:rsidRPr="00DA5EB5">
        <w:rPr>
          <w:color w:val="000000" w:themeColor="text1"/>
          <w:kern w:val="2"/>
          <w:sz w:val="20"/>
        </w:rPr>
        <w:t xml:space="preserve">between Niko Resources and </w:t>
      </w:r>
      <w:r w:rsidRPr="00DA5EB5">
        <w:rPr>
          <w:color w:val="000000" w:themeColor="text1"/>
          <w:kern w:val="2"/>
          <w:sz w:val="20"/>
        </w:rPr>
        <w:t xml:space="preserve">state-owned companies </w:t>
      </w:r>
      <w:proofErr w:type="spellStart"/>
      <w:r w:rsidRPr="00DA5EB5">
        <w:rPr>
          <w:color w:val="000000" w:themeColor="text1"/>
          <w:kern w:val="2"/>
          <w:sz w:val="20"/>
        </w:rPr>
        <w:t>Bapex</w:t>
      </w:r>
      <w:proofErr w:type="spellEnd"/>
      <w:r w:rsidRPr="00DA5EB5">
        <w:rPr>
          <w:color w:val="000000" w:themeColor="text1"/>
          <w:kern w:val="2"/>
          <w:sz w:val="20"/>
        </w:rPr>
        <w:t xml:space="preserve"> and </w:t>
      </w:r>
      <w:proofErr w:type="spellStart"/>
      <w:r w:rsidRPr="00DA5EB5">
        <w:rPr>
          <w:color w:val="000000" w:themeColor="text1"/>
          <w:kern w:val="2"/>
          <w:sz w:val="20"/>
        </w:rPr>
        <w:t>Petrobangla</w:t>
      </w:r>
      <w:proofErr w:type="spellEnd"/>
      <w:r w:rsidR="00746787" w:rsidRPr="00DA5EB5">
        <w:rPr>
          <w:color w:val="000000" w:themeColor="text1"/>
          <w:kern w:val="2"/>
          <w:sz w:val="20"/>
        </w:rPr>
        <w:t>.</w:t>
      </w:r>
      <w:r w:rsidR="00F54349" w:rsidRPr="00DA5EB5">
        <w:rPr>
          <w:rStyle w:val="FootnoteReference"/>
          <w:color w:val="000000" w:themeColor="text1"/>
          <w:kern w:val="2"/>
          <w:sz w:val="18"/>
          <w:lang w:val="ru-RU"/>
        </w:rPr>
        <w:footnoteReference w:id="362"/>
      </w:r>
      <w:r w:rsidRPr="00DA5EB5">
        <w:rPr>
          <w:color w:val="000000" w:themeColor="text1"/>
          <w:kern w:val="2"/>
          <w:sz w:val="20"/>
        </w:rPr>
        <w:t xml:space="preserve"> Niko Resources claimed </w:t>
      </w:r>
      <w:r w:rsidR="009D779A" w:rsidRPr="00DA5EB5">
        <w:rPr>
          <w:color w:val="000000" w:themeColor="text1"/>
          <w:kern w:val="2"/>
          <w:sz w:val="20"/>
        </w:rPr>
        <w:t>US</w:t>
      </w:r>
      <w:r w:rsidRPr="00DA5EB5">
        <w:rPr>
          <w:color w:val="000000" w:themeColor="text1"/>
          <w:kern w:val="2"/>
          <w:sz w:val="20"/>
        </w:rPr>
        <w:t>$35.71 million</w:t>
      </w:r>
      <w:r w:rsidR="00746787" w:rsidRPr="00DA5EB5">
        <w:rPr>
          <w:color w:val="000000" w:themeColor="text1"/>
          <w:kern w:val="2"/>
          <w:sz w:val="20"/>
        </w:rPr>
        <w:t>, alleging it had not been paid for deliveries of gas</w:t>
      </w:r>
      <w:r w:rsidRPr="00DA5EB5">
        <w:rPr>
          <w:color w:val="000000" w:themeColor="text1"/>
          <w:kern w:val="2"/>
          <w:sz w:val="20"/>
        </w:rPr>
        <w:t>.</w:t>
      </w:r>
      <w:r w:rsidRPr="00DA5EB5">
        <w:rPr>
          <w:rStyle w:val="FootnoteReference"/>
          <w:color w:val="000000" w:themeColor="text1"/>
          <w:kern w:val="2"/>
          <w:sz w:val="18"/>
        </w:rPr>
        <w:footnoteReference w:id="363"/>
      </w:r>
    </w:p>
    <w:p w14:paraId="709A9C5D" w14:textId="382B489E" w:rsidR="00714773" w:rsidRPr="00DA5EB5" w:rsidRDefault="00714773" w:rsidP="007C3517">
      <w:pPr>
        <w:rPr>
          <w:color w:val="000000" w:themeColor="text1"/>
          <w:kern w:val="2"/>
          <w:sz w:val="20"/>
        </w:rPr>
      </w:pPr>
      <w:r w:rsidRPr="00DA5EB5">
        <w:rPr>
          <w:color w:val="000000" w:themeColor="text1"/>
          <w:kern w:val="2"/>
          <w:sz w:val="20"/>
        </w:rPr>
        <w:t xml:space="preserve">During negotiations </w:t>
      </w:r>
      <w:r w:rsidR="00746787" w:rsidRPr="00DA5EB5">
        <w:rPr>
          <w:color w:val="000000" w:themeColor="text1"/>
          <w:kern w:val="2"/>
          <w:sz w:val="20"/>
        </w:rPr>
        <w:t>for</w:t>
      </w:r>
      <w:r w:rsidRPr="00DA5EB5">
        <w:rPr>
          <w:color w:val="000000" w:themeColor="text1"/>
          <w:kern w:val="2"/>
          <w:sz w:val="20"/>
        </w:rPr>
        <w:t xml:space="preserve"> the GPSA, the claimant delivered a car to the Bangladeshi State Minister for Energy and Mineral Resources, </w:t>
      </w:r>
      <w:r w:rsidR="00746787" w:rsidRPr="00DA5EB5">
        <w:rPr>
          <w:color w:val="000000" w:themeColor="text1"/>
          <w:kern w:val="2"/>
          <w:sz w:val="20"/>
        </w:rPr>
        <w:t>while</w:t>
      </w:r>
      <w:r w:rsidRPr="00DA5EB5">
        <w:rPr>
          <w:color w:val="000000" w:themeColor="text1"/>
          <w:kern w:val="2"/>
          <w:sz w:val="20"/>
        </w:rPr>
        <w:t xml:space="preserve"> the claimant’s Canadian parent company</w:t>
      </w:r>
      <w:r w:rsidR="00746787" w:rsidRPr="00DA5EB5">
        <w:rPr>
          <w:color w:val="000000" w:themeColor="text1"/>
          <w:kern w:val="2"/>
          <w:sz w:val="20"/>
        </w:rPr>
        <w:t xml:space="preserve"> pr</w:t>
      </w:r>
      <w:r w:rsidR="00D51A43" w:rsidRPr="00DA5EB5">
        <w:rPr>
          <w:color w:val="000000" w:themeColor="text1"/>
          <w:kern w:val="2"/>
          <w:sz w:val="20"/>
        </w:rPr>
        <w:t>ovided the Minister with an all-expenses-</w:t>
      </w:r>
      <w:r w:rsidR="00746787" w:rsidRPr="00DA5EB5">
        <w:rPr>
          <w:color w:val="000000" w:themeColor="text1"/>
          <w:kern w:val="2"/>
          <w:sz w:val="20"/>
        </w:rPr>
        <w:t>paid trip to an exposition in Calgary</w:t>
      </w:r>
      <w:r w:rsidRPr="00DA5EB5">
        <w:rPr>
          <w:color w:val="000000" w:themeColor="text1"/>
          <w:kern w:val="2"/>
          <w:sz w:val="20"/>
        </w:rPr>
        <w:t>.</w:t>
      </w:r>
      <w:r w:rsidRPr="00DA5EB5">
        <w:rPr>
          <w:rStyle w:val="FootnoteReference"/>
          <w:color w:val="000000" w:themeColor="text1"/>
          <w:kern w:val="2"/>
          <w:sz w:val="18"/>
        </w:rPr>
        <w:footnoteReference w:id="364"/>
      </w:r>
      <w:r w:rsidRPr="00DA5EB5">
        <w:rPr>
          <w:color w:val="000000" w:themeColor="text1"/>
          <w:kern w:val="2"/>
          <w:sz w:val="20"/>
        </w:rPr>
        <w:t xml:space="preserve"> Following an investigation in Canada, Niko Canada, on the basis of an agreed statement of facts, was convicted</w:t>
      </w:r>
      <w:r w:rsidR="000F266F" w:rsidRPr="00DA5EB5">
        <w:rPr>
          <w:color w:val="000000" w:themeColor="text1"/>
          <w:kern w:val="2"/>
          <w:sz w:val="20"/>
        </w:rPr>
        <w:t xml:space="preserve"> of bribery in</w:t>
      </w:r>
      <w:r w:rsidRPr="00DA5EB5">
        <w:rPr>
          <w:color w:val="000000" w:themeColor="text1"/>
          <w:kern w:val="2"/>
          <w:sz w:val="20"/>
        </w:rPr>
        <w:t xml:space="preserve"> 2011 and ordered to pay about </w:t>
      </w:r>
      <w:r w:rsidR="009D779A" w:rsidRPr="00DA5EB5">
        <w:rPr>
          <w:color w:val="000000" w:themeColor="text1"/>
          <w:kern w:val="2"/>
          <w:sz w:val="20"/>
        </w:rPr>
        <w:t>CA</w:t>
      </w:r>
      <w:r w:rsidRPr="00DA5EB5">
        <w:rPr>
          <w:color w:val="000000" w:themeColor="text1"/>
          <w:kern w:val="2"/>
          <w:sz w:val="20"/>
        </w:rPr>
        <w:t>$9.5 million</w:t>
      </w:r>
      <w:r w:rsidR="000F266F" w:rsidRPr="00DA5EB5">
        <w:rPr>
          <w:color w:val="000000" w:themeColor="text1"/>
          <w:kern w:val="2"/>
          <w:sz w:val="20"/>
        </w:rPr>
        <w:t xml:space="preserve"> </w:t>
      </w:r>
      <w:r w:rsidRPr="00DA5EB5">
        <w:rPr>
          <w:color w:val="000000" w:themeColor="text1"/>
          <w:kern w:val="2"/>
          <w:sz w:val="20"/>
        </w:rPr>
        <w:t>in fines.</w:t>
      </w:r>
      <w:r w:rsidRPr="00DA5EB5">
        <w:rPr>
          <w:rStyle w:val="FootnoteReference"/>
          <w:color w:val="000000" w:themeColor="text1"/>
          <w:kern w:val="2"/>
          <w:sz w:val="18"/>
        </w:rPr>
        <w:footnoteReference w:id="365"/>
      </w:r>
      <w:r w:rsidRPr="00DA5EB5">
        <w:rPr>
          <w:color w:val="000000" w:themeColor="text1"/>
          <w:kern w:val="2"/>
          <w:sz w:val="20"/>
        </w:rPr>
        <w:t xml:space="preserve"> The respondents objected to the tribunal’s jurisdiction, arguing that the claimant </w:t>
      </w:r>
      <w:r w:rsidR="00FD6DAC" w:rsidRPr="00DA5EB5">
        <w:rPr>
          <w:color w:val="000000" w:themeColor="text1"/>
          <w:kern w:val="2"/>
          <w:sz w:val="20"/>
        </w:rPr>
        <w:t>“</w:t>
      </w:r>
      <w:r w:rsidRPr="00DA5EB5">
        <w:rPr>
          <w:color w:val="000000" w:themeColor="text1"/>
          <w:kern w:val="2"/>
          <w:sz w:val="20"/>
        </w:rPr>
        <w:t>has violated the principles of good faith and international public policy</w:t>
      </w:r>
      <w:r w:rsidR="00FD6DAC" w:rsidRPr="00DA5EB5">
        <w:rPr>
          <w:color w:val="000000" w:themeColor="text1"/>
          <w:kern w:val="2"/>
          <w:sz w:val="20"/>
        </w:rPr>
        <w:t>”</w:t>
      </w:r>
      <w:r w:rsidRPr="00DA5EB5">
        <w:rPr>
          <w:color w:val="000000" w:themeColor="text1"/>
          <w:kern w:val="2"/>
          <w:sz w:val="20"/>
        </w:rPr>
        <w:t xml:space="preserve"> and the tribunal was thus </w:t>
      </w:r>
      <w:r w:rsidR="00FD6DAC" w:rsidRPr="00DA5EB5">
        <w:rPr>
          <w:color w:val="000000" w:themeColor="text1"/>
          <w:kern w:val="2"/>
          <w:sz w:val="20"/>
        </w:rPr>
        <w:t>“</w:t>
      </w:r>
      <w:r w:rsidRPr="00DA5EB5">
        <w:rPr>
          <w:color w:val="000000" w:themeColor="text1"/>
          <w:kern w:val="2"/>
          <w:sz w:val="20"/>
        </w:rPr>
        <w:t>empowered to protect the integrity of the ICSID dispute settlement mechanism by dismissing a claim which represents a violation of fundamental principles of law</w:t>
      </w:r>
      <w:r w:rsidR="009D779A" w:rsidRPr="00DA5EB5">
        <w:rPr>
          <w:color w:val="000000" w:themeColor="text1"/>
          <w:kern w:val="2"/>
          <w:sz w:val="20"/>
        </w:rPr>
        <w:t>.</w:t>
      </w:r>
      <w:r w:rsidR="00FD6DAC" w:rsidRPr="00DA5EB5">
        <w:rPr>
          <w:color w:val="000000" w:themeColor="text1"/>
          <w:kern w:val="2"/>
          <w:sz w:val="20"/>
        </w:rPr>
        <w:t>”</w:t>
      </w:r>
      <w:r w:rsidRPr="00DA5EB5">
        <w:rPr>
          <w:rStyle w:val="FootnoteReference"/>
          <w:color w:val="000000" w:themeColor="text1"/>
          <w:kern w:val="2"/>
          <w:sz w:val="18"/>
        </w:rPr>
        <w:footnoteReference w:id="366"/>
      </w:r>
      <w:r w:rsidRPr="00DA5EB5">
        <w:rPr>
          <w:color w:val="000000" w:themeColor="text1"/>
          <w:kern w:val="2"/>
          <w:sz w:val="20"/>
        </w:rPr>
        <w:t xml:space="preserve"> The tribunal noted that the question, therefore, was </w:t>
      </w:r>
      <w:r w:rsidR="00FD6DAC" w:rsidRPr="00DA5EB5">
        <w:rPr>
          <w:color w:val="000000" w:themeColor="text1"/>
          <w:kern w:val="2"/>
          <w:sz w:val="20"/>
        </w:rPr>
        <w:t>“</w:t>
      </w:r>
      <w:r w:rsidRPr="00DA5EB5">
        <w:rPr>
          <w:color w:val="000000" w:themeColor="text1"/>
          <w:kern w:val="2"/>
          <w:sz w:val="20"/>
        </w:rPr>
        <w:t>whether any instance of bribery and corruption in which the Claimant has been or may have been involved deprives the Claimant from having its claims considered and ruled upon by the present Tribunal.</w:t>
      </w:r>
      <w:r w:rsidR="00FD6DAC" w:rsidRPr="00DA5EB5">
        <w:rPr>
          <w:color w:val="000000" w:themeColor="text1"/>
          <w:kern w:val="2"/>
          <w:sz w:val="20"/>
        </w:rPr>
        <w:t>”</w:t>
      </w:r>
      <w:r w:rsidRPr="00DA5EB5">
        <w:rPr>
          <w:rStyle w:val="FootnoteReference"/>
          <w:color w:val="000000" w:themeColor="text1"/>
          <w:kern w:val="2"/>
          <w:sz w:val="18"/>
        </w:rPr>
        <w:footnoteReference w:id="367"/>
      </w:r>
      <w:r w:rsidRPr="00DA5EB5">
        <w:rPr>
          <w:color w:val="000000" w:themeColor="text1"/>
          <w:kern w:val="2"/>
          <w:sz w:val="20"/>
        </w:rPr>
        <w:t xml:space="preserve"> </w:t>
      </w:r>
    </w:p>
    <w:p w14:paraId="766D9A7C" w14:textId="3E66693E" w:rsidR="00714773" w:rsidRPr="00DA5EB5" w:rsidRDefault="00714773" w:rsidP="007C3517">
      <w:pPr>
        <w:rPr>
          <w:color w:val="000000" w:themeColor="text1"/>
          <w:kern w:val="2"/>
          <w:sz w:val="20"/>
        </w:rPr>
      </w:pPr>
      <w:r w:rsidRPr="00DA5EB5">
        <w:rPr>
          <w:color w:val="000000" w:themeColor="text1"/>
          <w:kern w:val="2"/>
          <w:sz w:val="20"/>
        </w:rPr>
        <w:t>The arbitrators confirmed that bribery is contrary to international public policy,</w:t>
      </w:r>
      <w:r w:rsidRPr="00DA5EB5">
        <w:rPr>
          <w:rStyle w:val="FootnoteReference"/>
          <w:color w:val="000000" w:themeColor="text1"/>
          <w:kern w:val="2"/>
          <w:sz w:val="18"/>
        </w:rPr>
        <w:footnoteReference w:id="368"/>
      </w:r>
      <w:r w:rsidRPr="00DA5EB5">
        <w:rPr>
          <w:color w:val="000000" w:themeColor="text1"/>
          <w:kern w:val="2"/>
          <w:sz w:val="20"/>
        </w:rPr>
        <w:t xml:space="preserve"> but made a distinction between contracts </w:t>
      </w:r>
      <w:r w:rsidRPr="00DA5EB5">
        <w:rPr>
          <w:i/>
          <w:color w:val="000000" w:themeColor="text1"/>
          <w:kern w:val="2"/>
          <w:sz w:val="20"/>
        </w:rPr>
        <w:t xml:space="preserve">of </w:t>
      </w:r>
      <w:r w:rsidRPr="00DA5EB5">
        <w:rPr>
          <w:color w:val="000000" w:themeColor="text1"/>
          <w:kern w:val="2"/>
          <w:sz w:val="20"/>
        </w:rPr>
        <w:t xml:space="preserve">corruption and contracts </w:t>
      </w:r>
      <w:r w:rsidRPr="00DA5EB5">
        <w:rPr>
          <w:i/>
          <w:color w:val="000000" w:themeColor="text1"/>
          <w:kern w:val="2"/>
          <w:sz w:val="20"/>
        </w:rPr>
        <w:t>obtained by</w:t>
      </w:r>
      <w:r w:rsidRPr="00DA5EB5">
        <w:rPr>
          <w:color w:val="000000" w:themeColor="text1"/>
          <w:kern w:val="2"/>
          <w:sz w:val="20"/>
        </w:rPr>
        <w:t xml:space="preserve"> corruption:</w:t>
      </w:r>
    </w:p>
    <w:p w14:paraId="65CC8D3E" w14:textId="2495DA8F" w:rsidR="00714773" w:rsidRPr="00DA5EB5" w:rsidRDefault="00714773" w:rsidP="007C3517">
      <w:pPr>
        <w:pStyle w:val="BlockQuote"/>
        <w:rPr>
          <w:kern w:val="2"/>
          <w:sz w:val="20"/>
        </w:rPr>
      </w:pPr>
      <w:r w:rsidRPr="00DA5EB5">
        <w:rPr>
          <w:kern w:val="2"/>
          <w:sz w:val="20"/>
        </w:rPr>
        <w:t xml:space="preserve">There is indeed a fundamental difference between the two types of situations. In contracts of corruption, the object of the contract is the corruption of a civil servant and this object is intended by both parties to the contract. In contracts obtained by corruption, one of the parties normally is aware of the corruption and intends to obtain the contract by these means. But this is not necessarily the case for the other side. As explained in the </w:t>
      </w:r>
      <w:r w:rsidRPr="00DA5EB5">
        <w:rPr>
          <w:i/>
          <w:kern w:val="2"/>
          <w:sz w:val="20"/>
        </w:rPr>
        <w:t>World Duty Free</w:t>
      </w:r>
      <w:r w:rsidRPr="00DA5EB5">
        <w:rPr>
          <w:kern w:val="2"/>
          <w:sz w:val="20"/>
        </w:rPr>
        <w:t xml:space="preserve"> award, bribes normally are covert. In that case the bribe was received not by the Government or another public entity but by an individual, the then President of the country. As the World Duty Free tribunal held, the receipt of the bribe is </w:t>
      </w:r>
      <w:r w:rsidR="00FD6DAC" w:rsidRPr="00DA5EB5">
        <w:rPr>
          <w:kern w:val="2"/>
          <w:sz w:val="20"/>
        </w:rPr>
        <w:t>“</w:t>
      </w:r>
      <w:r w:rsidRPr="00DA5EB5">
        <w:rPr>
          <w:i/>
          <w:kern w:val="2"/>
          <w:sz w:val="20"/>
        </w:rPr>
        <w:t>not legally imputed to Kenya itself. If it were otherwise, the payment would not be a bribe</w:t>
      </w:r>
      <w:r w:rsidR="009D779A" w:rsidRPr="00DA5EB5">
        <w:rPr>
          <w:i/>
          <w:kern w:val="2"/>
          <w:sz w:val="20"/>
        </w:rPr>
        <w:t>.</w:t>
      </w:r>
      <w:r w:rsidR="00FD6DAC" w:rsidRPr="00DA5EB5">
        <w:rPr>
          <w:kern w:val="2"/>
          <w:sz w:val="20"/>
        </w:rPr>
        <w:t>”</w:t>
      </w:r>
      <w:r w:rsidR="00C471E2" w:rsidRPr="00DA5EB5">
        <w:rPr>
          <w:rStyle w:val="FootnoteReference"/>
          <w:color w:val="000000" w:themeColor="text1"/>
          <w:kern w:val="2"/>
          <w:sz w:val="18"/>
        </w:rPr>
        <w:footnoteReference w:id="369"/>
      </w:r>
    </w:p>
    <w:p w14:paraId="735369A6" w14:textId="3B156B0A" w:rsidR="00714773" w:rsidRPr="00DA5EB5" w:rsidRDefault="00714773" w:rsidP="005A2F7A">
      <w:pPr>
        <w:rPr>
          <w:color w:val="000000" w:themeColor="text1"/>
          <w:kern w:val="2"/>
          <w:sz w:val="20"/>
        </w:rPr>
      </w:pPr>
      <w:r w:rsidRPr="00DA5EB5">
        <w:rPr>
          <w:color w:val="000000" w:themeColor="text1"/>
          <w:kern w:val="2"/>
          <w:sz w:val="20"/>
        </w:rPr>
        <w:t>The tribunal observed that contracts of corruption have been found void or unenforceable and denied effect by international arbitrators,</w:t>
      </w:r>
      <w:r w:rsidRPr="00DA5EB5">
        <w:rPr>
          <w:rStyle w:val="FootnoteReference"/>
          <w:color w:val="000000" w:themeColor="text1"/>
          <w:kern w:val="2"/>
          <w:sz w:val="18"/>
        </w:rPr>
        <w:footnoteReference w:id="370"/>
      </w:r>
      <w:r w:rsidRPr="00DA5EB5">
        <w:rPr>
          <w:color w:val="000000" w:themeColor="text1"/>
          <w:kern w:val="2"/>
          <w:sz w:val="20"/>
        </w:rPr>
        <w:t xml:space="preserve"> whereas in the case of covert bribes</w:t>
      </w:r>
      <w:r w:rsidR="006A473A" w:rsidRPr="00DA5EB5">
        <w:rPr>
          <w:color w:val="000000" w:themeColor="text1"/>
          <w:kern w:val="2"/>
          <w:sz w:val="20"/>
        </w:rPr>
        <w:t>,</w:t>
      </w:r>
      <w:r w:rsidRPr="00DA5EB5">
        <w:rPr>
          <w:color w:val="000000" w:themeColor="text1"/>
          <w:kern w:val="2"/>
          <w:sz w:val="20"/>
        </w:rPr>
        <w:t xml:space="preserve"> the side innocent of corruption may have a justifiable interest in preserving the contract.</w:t>
      </w:r>
      <w:r w:rsidRPr="00DA5EB5">
        <w:rPr>
          <w:rStyle w:val="FootnoteReference"/>
          <w:color w:val="000000" w:themeColor="text1"/>
          <w:kern w:val="2"/>
          <w:sz w:val="18"/>
        </w:rPr>
        <w:footnoteReference w:id="371"/>
      </w:r>
      <w:r w:rsidRPr="00DA5EB5">
        <w:rPr>
          <w:color w:val="000000" w:themeColor="text1"/>
          <w:kern w:val="2"/>
          <w:sz w:val="20"/>
        </w:rPr>
        <w:t xml:space="preserve"> In the present case, the contracts giving rise to the investor’s claims had a legitimate object (the development of </w:t>
      </w:r>
      <w:r w:rsidR="006B3766" w:rsidRPr="00DA5EB5">
        <w:rPr>
          <w:color w:val="000000" w:themeColor="text1"/>
          <w:kern w:val="2"/>
          <w:sz w:val="20"/>
        </w:rPr>
        <w:t xml:space="preserve">a </w:t>
      </w:r>
      <w:r w:rsidRPr="00DA5EB5">
        <w:rPr>
          <w:color w:val="000000" w:themeColor="text1"/>
          <w:kern w:val="2"/>
          <w:sz w:val="20"/>
        </w:rPr>
        <w:t>gas field),</w:t>
      </w:r>
      <w:r w:rsidRPr="00DA5EB5">
        <w:rPr>
          <w:rStyle w:val="FootnoteReference"/>
          <w:color w:val="000000" w:themeColor="text1"/>
          <w:kern w:val="2"/>
          <w:sz w:val="18"/>
        </w:rPr>
        <w:footnoteReference w:id="372"/>
      </w:r>
      <w:r w:rsidRPr="00DA5EB5">
        <w:rPr>
          <w:color w:val="000000" w:themeColor="text1"/>
          <w:kern w:val="2"/>
          <w:sz w:val="20"/>
        </w:rPr>
        <w:t xml:space="preserve"> there was no causal link between the corruption and conclusion of the agreements (the JVA was concluded before the acts of corruption and the GPSA was concluded 18 months after the Minister resigned),</w:t>
      </w:r>
      <w:r w:rsidRPr="00DA5EB5">
        <w:rPr>
          <w:rStyle w:val="FootnoteReference"/>
          <w:color w:val="000000" w:themeColor="text1"/>
          <w:kern w:val="2"/>
          <w:sz w:val="18"/>
        </w:rPr>
        <w:footnoteReference w:id="373"/>
      </w:r>
      <w:r w:rsidRPr="00DA5EB5">
        <w:rPr>
          <w:color w:val="000000" w:themeColor="text1"/>
          <w:kern w:val="2"/>
          <w:sz w:val="20"/>
        </w:rPr>
        <w:t xml:space="preserve"> and the respondents did not seek to avoid the agreements or to declare them void </w:t>
      </w:r>
      <w:r w:rsidRPr="00DA5EB5">
        <w:rPr>
          <w:i/>
          <w:color w:val="000000" w:themeColor="text1"/>
          <w:kern w:val="2"/>
          <w:sz w:val="20"/>
        </w:rPr>
        <w:t>ab initio</w:t>
      </w:r>
      <w:r w:rsidRPr="00DA5EB5">
        <w:rPr>
          <w:color w:val="000000" w:themeColor="text1"/>
          <w:kern w:val="2"/>
          <w:sz w:val="20"/>
        </w:rPr>
        <w:t>.</w:t>
      </w:r>
      <w:r w:rsidRPr="00DA5EB5">
        <w:rPr>
          <w:rStyle w:val="FootnoteReference"/>
          <w:color w:val="000000" w:themeColor="text1"/>
          <w:kern w:val="2"/>
          <w:sz w:val="18"/>
        </w:rPr>
        <w:footnoteReference w:id="374"/>
      </w:r>
    </w:p>
    <w:p w14:paraId="6208F53F" w14:textId="0FDB53A8" w:rsidR="00714773" w:rsidRPr="00DA5EB5" w:rsidRDefault="00714773" w:rsidP="007C3517">
      <w:pPr>
        <w:rPr>
          <w:color w:val="000000" w:themeColor="text1"/>
          <w:kern w:val="2"/>
          <w:sz w:val="20"/>
        </w:rPr>
      </w:pPr>
      <w:r w:rsidRPr="00DA5EB5">
        <w:rPr>
          <w:color w:val="000000" w:themeColor="text1"/>
          <w:kern w:val="2"/>
          <w:sz w:val="20"/>
        </w:rPr>
        <w:t>Instead, the respondents asserted that, because of the act of bribery linked to the investment and for which the investor’s parent company was convicted in Canada, ICSID jurisdiction should be denied to the claimant.</w:t>
      </w:r>
      <w:r w:rsidRPr="00DA5EB5">
        <w:rPr>
          <w:rStyle w:val="FootnoteReference"/>
          <w:color w:val="000000" w:themeColor="text1"/>
          <w:kern w:val="2"/>
          <w:sz w:val="18"/>
        </w:rPr>
        <w:footnoteReference w:id="375"/>
      </w:r>
      <w:r w:rsidRPr="00DA5EB5">
        <w:rPr>
          <w:color w:val="000000" w:themeColor="text1"/>
          <w:kern w:val="2"/>
          <w:sz w:val="20"/>
        </w:rPr>
        <w:t xml:space="preserve"> The respondents invoked three arguments: (</w:t>
      </w:r>
      <w:proofErr w:type="spellStart"/>
      <w:r w:rsidRPr="00DA5EB5">
        <w:rPr>
          <w:color w:val="000000" w:themeColor="text1"/>
          <w:kern w:val="2"/>
          <w:sz w:val="20"/>
        </w:rPr>
        <w:t>i</w:t>
      </w:r>
      <w:proofErr w:type="spellEnd"/>
      <w:r w:rsidRPr="00DA5EB5">
        <w:rPr>
          <w:color w:val="000000" w:themeColor="text1"/>
          <w:kern w:val="2"/>
          <w:sz w:val="20"/>
        </w:rPr>
        <w:t>) ICSID arbitration applies only to investments made in good faith, (ii) accepting jurisdiction would jeopardize the integrity of the ICSID dispute settlement mechanism, and (iii) the doctrine of clean hands.</w:t>
      </w:r>
      <w:r w:rsidRPr="00DA5EB5">
        <w:rPr>
          <w:rStyle w:val="FootnoteReference"/>
          <w:color w:val="000000" w:themeColor="text1"/>
          <w:kern w:val="2"/>
          <w:sz w:val="18"/>
        </w:rPr>
        <w:footnoteReference w:id="376"/>
      </w:r>
      <w:r w:rsidRPr="00DA5EB5">
        <w:rPr>
          <w:color w:val="000000" w:themeColor="text1"/>
          <w:kern w:val="2"/>
          <w:sz w:val="20"/>
        </w:rPr>
        <w:t xml:space="preserve"> With respect to the first argument, the tribunal ruled that in a contractual dispute</w:t>
      </w:r>
      <w:r w:rsidR="006B3766" w:rsidRPr="00DA5EB5">
        <w:rPr>
          <w:color w:val="000000" w:themeColor="text1"/>
          <w:kern w:val="2"/>
          <w:sz w:val="20"/>
        </w:rPr>
        <w:t>,</w:t>
      </w:r>
      <w:r w:rsidRPr="00DA5EB5">
        <w:rPr>
          <w:color w:val="000000" w:themeColor="text1"/>
          <w:kern w:val="2"/>
          <w:sz w:val="20"/>
        </w:rPr>
        <w:t xml:space="preserve"> </w:t>
      </w:r>
      <w:r w:rsidR="00FD6DAC" w:rsidRPr="00DA5EB5">
        <w:rPr>
          <w:color w:val="000000" w:themeColor="text1"/>
          <w:kern w:val="2"/>
          <w:sz w:val="20"/>
        </w:rPr>
        <w:t>“</w:t>
      </w:r>
      <w:r w:rsidRPr="00DA5EB5">
        <w:rPr>
          <w:color w:val="000000" w:themeColor="text1"/>
          <w:kern w:val="2"/>
          <w:sz w:val="20"/>
        </w:rPr>
        <w:t>alleged or established lack of good faith in the investment does not justify the denial of jurisdiction but must be considered as part of the merits of the dispute.</w:t>
      </w:r>
      <w:r w:rsidR="00FD6DAC" w:rsidRPr="00DA5EB5">
        <w:rPr>
          <w:color w:val="000000" w:themeColor="text1"/>
          <w:kern w:val="2"/>
          <w:sz w:val="20"/>
        </w:rPr>
        <w:t>”</w:t>
      </w:r>
      <w:r w:rsidRPr="00DA5EB5">
        <w:rPr>
          <w:rStyle w:val="FootnoteReference"/>
          <w:color w:val="000000" w:themeColor="text1"/>
          <w:kern w:val="2"/>
          <w:sz w:val="18"/>
        </w:rPr>
        <w:footnoteReference w:id="377"/>
      </w:r>
      <w:r w:rsidRPr="00DA5EB5">
        <w:rPr>
          <w:color w:val="000000" w:themeColor="text1"/>
          <w:kern w:val="2"/>
          <w:sz w:val="20"/>
        </w:rPr>
        <w:t xml:space="preserve"> Secondly, the integrity of the investment arbitration system is </w:t>
      </w:r>
      <w:r w:rsidR="00FD6DAC" w:rsidRPr="00DA5EB5">
        <w:rPr>
          <w:color w:val="000000" w:themeColor="text1"/>
          <w:kern w:val="2"/>
          <w:sz w:val="20"/>
        </w:rPr>
        <w:t>“</w:t>
      </w:r>
      <w:r w:rsidRPr="00DA5EB5">
        <w:rPr>
          <w:color w:val="000000" w:themeColor="text1"/>
          <w:kern w:val="2"/>
          <w:sz w:val="20"/>
        </w:rPr>
        <w:t>protected by the resolution of the contentions made (including allegations of violation of public policy) rather than by avoiding them.</w:t>
      </w:r>
      <w:r w:rsidR="00FD6DAC" w:rsidRPr="00DA5EB5">
        <w:rPr>
          <w:color w:val="000000" w:themeColor="text1"/>
          <w:kern w:val="2"/>
          <w:sz w:val="20"/>
        </w:rPr>
        <w:t>”</w:t>
      </w:r>
      <w:r w:rsidRPr="00DA5EB5">
        <w:rPr>
          <w:rStyle w:val="FootnoteReference"/>
          <w:color w:val="000000" w:themeColor="text1"/>
          <w:kern w:val="2"/>
          <w:sz w:val="18"/>
        </w:rPr>
        <w:footnoteReference w:id="378"/>
      </w:r>
      <w:r w:rsidRPr="00DA5EB5">
        <w:rPr>
          <w:color w:val="000000" w:themeColor="text1"/>
          <w:kern w:val="2"/>
          <w:sz w:val="20"/>
        </w:rPr>
        <w:t xml:space="preserve"> Finally, in response to the third objection, the arbitrators pointed that </w:t>
      </w:r>
      <w:proofErr w:type="spellStart"/>
      <w:r w:rsidRPr="00DA5EB5">
        <w:rPr>
          <w:color w:val="000000" w:themeColor="text1"/>
          <w:kern w:val="2"/>
          <w:sz w:val="20"/>
        </w:rPr>
        <w:t>Petrobangla</w:t>
      </w:r>
      <w:proofErr w:type="spellEnd"/>
      <w:r w:rsidRPr="00DA5EB5">
        <w:rPr>
          <w:color w:val="000000" w:themeColor="text1"/>
          <w:kern w:val="2"/>
          <w:sz w:val="20"/>
        </w:rPr>
        <w:t xml:space="preserve"> and </w:t>
      </w:r>
      <w:proofErr w:type="spellStart"/>
      <w:r w:rsidRPr="00DA5EB5">
        <w:rPr>
          <w:color w:val="000000" w:themeColor="text1"/>
          <w:kern w:val="2"/>
          <w:sz w:val="20"/>
        </w:rPr>
        <w:t>Bapex</w:t>
      </w:r>
      <w:proofErr w:type="spellEnd"/>
      <w:r w:rsidRPr="00DA5EB5">
        <w:rPr>
          <w:color w:val="000000" w:themeColor="text1"/>
          <w:kern w:val="2"/>
          <w:sz w:val="20"/>
        </w:rPr>
        <w:t>, with the approval of the Bangladesh Government, entered into the GPSA even after the corruption scandal and resignation of the Minister, so that even if the claimant and Niko Canada had unclean hands, the respondents disregarded this situation and may no longer rely on these events to deny jurisdiction under an arbitration agreement which they then accepted.</w:t>
      </w:r>
      <w:r w:rsidRPr="00DA5EB5">
        <w:rPr>
          <w:rStyle w:val="FootnoteReference"/>
          <w:color w:val="000000" w:themeColor="text1"/>
          <w:kern w:val="2"/>
          <w:sz w:val="18"/>
        </w:rPr>
        <w:footnoteReference w:id="379"/>
      </w:r>
      <w:r w:rsidRPr="00DA5EB5">
        <w:rPr>
          <w:color w:val="000000" w:themeColor="text1"/>
          <w:kern w:val="2"/>
          <w:sz w:val="20"/>
        </w:rPr>
        <w:t xml:space="preserve"> The tribunal thus held that Niko Canada’s corruption conviction in Canada</w:t>
      </w:r>
      <w:r w:rsidR="00B55FD7" w:rsidRPr="00DA5EB5">
        <w:rPr>
          <w:color w:val="000000" w:themeColor="text1"/>
          <w:kern w:val="2"/>
          <w:sz w:val="20"/>
        </w:rPr>
        <w:t xml:space="preserve"> could</w:t>
      </w:r>
      <w:r w:rsidRPr="00DA5EB5">
        <w:rPr>
          <w:color w:val="000000" w:themeColor="text1"/>
          <w:kern w:val="2"/>
          <w:sz w:val="20"/>
        </w:rPr>
        <w:t xml:space="preserve"> not be used as grounds to refuse jurisdiction over the merits of a dispute which the parties to the JVA and </w:t>
      </w:r>
      <w:r w:rsidR="00111B7B" w:rsidRPr="00DA5EB5">
        <w:rPr>
          <w:color w:val="000000" w:themeColor="text1"/>
          <w:kern w:val="2"/>
          <w:sz w:val="20"/>
        </w:rPr>
        <w:t>GPSA</w:t>
      </w:r>
      <w:r w:rsidRPr="00DA5EB5">
        <w:rPr>
          <w:color w:val="000000" w:themeColor="text1"/>
          <w:kern w:val="2"/>
          <w:sz w:val="20"/>
        </w:rPr>
        <w:t xml:space="preserve"> ha</w:t>
      </w:r>
      <w:r w:rsidR="00B55FD7" w:rsidRPr="00DA5EB5">
        <w:rPr>
          <w:color w:val="000000" w:themeColor="text1"/>
          <w:kern w:val="2"/>
          <w:sz w:val="20"/>
        </w:rPr>
        <w:t>d</w:t>
      </w:r>
      <w:r w:rsidRPr="00DA5EB5">
        <w:rPr>
          <w:color w:val="000000" w:themeColor="text1"/>
          <w:kern w:val="2"/>
          <w:sz w:val="20"/>
        </w:rPr>
        <w:t xml:space="preserve"> agreed to submit to ICSID arbitration.</w:t>
      </w:r>
      <w:r w:rsidRPr="00DA5EB5">
        <w:rPr>
          <w:rStyle w:val="FootnoteReference"/>
          <w:color w:val="000000" w:themeColor="text1"/>
          <w:kern w:val="2"/>
          <w:sz w:val="18"/>
        </w:rPr>
        <w:footnoteReference w:id="380"/>
      </w:r>
    </w:p>
    <w:p w14:paraId="421D2ADD" w14:textId="52613B2A" w:rsidR="00714773" w:rsidRPr="00DA5EB5" w:rsidRDefault="00714773" w:rsidP="007C3517">
      <w:pPr>
        <w:rPr>
          <w:color w:val="000000" w:themeColor="text1"/>
          <w:kern w:val="2"/>
          <w:sz w:val="20"/>
        </w:rPr>
      </w:pPr>
      <w:r w:rsidRPr="00DA5EB5">
        <w:rPr>
          <w:i/>
          <w:color w:val="000000" w:themeColor="text1"/>
          <w:kern w:val="2"/>
          <w:sz w:val="20"/>
        </w:rPr>
        <w:t>Niko Resources v Bangladesh</w:t>
      </w:r>
      <w:r w:rsidRPr="00DA5EB5">
        <w:rPr>
          <w:color w:val="000000" w:themeColor="text1"/>
          <w:kern w:val="2"/>
          <w:sz w:val="20"/>
        </w:rPr>
        <w:t xml:space="preserve"> is thus a rare case where corruption was found to exist but </w:t>
      </w:r>
      <w:r w:rsidR="00EB4015" w:rsidRPr="00DA5EB5">
        <w:rPr>
          <w:color w:val="000000" w:themeColor="text1"/>
          <w:kern w:val="2"/>
          <w:sz w:val="20"/>
        </w:rPr>
        <w:t xml:space="preserve">did not determine the outcome, </w:t>
      </w:r>
      <w:r w:rsidRPr="00DA5EB5">
        <w:rPr>
          <w:color w:val="000000" w:themeColor="text1"/>
          <w:kern w:val="2"/>
          <w:sz w:val="20"/>
        </w:rPr>
        <w:t>as the tribunal rejected the respondents’ objection to jurisdiction despite the claimant’s admissions of wrongdoing.</w:t>
      </w:r>
      <w:r w:rsidRPr="00DA5EB5">
        <w:rPr>
          <w:rStyle w:val="FootnoteReference"/>
          <w:color w:val="000000" w:themeColor="text1"/>
          <w:kern w:val="2"/>
          <w:sz w:val="18"/>
        </w:rPr>
        <w:footnoteReference w:id="381"/>
      </w:r>
      <w:r w:rsidRPr="00DA5EB5">
        <w:rPr>
          <w:color w:val="000000" w:themeColor="text1"/>
          <w:kern w:val="2"/>
          <w:sz w:val="20"/>
        </w:rPr>
        <w:t xml:space="preserve"> The dispute, however, continues. In 2014, the tribunal ordered </w:t>
      </w:r>
      <w:proofErr w:type="spellStart"/>
      <w:r w:rsidRPr="00DA5EB5">
        <w:rPr>
          <w:color w:val="000000" w:themeColor="text1"/>
          <w:kern w:val="2"/>
          <w:sz w:val="20"/>
        </w:rPr>
        <w:t>Petrobangla</w:t>
      </w:r>
      <w:proofErr w:type="spellEnd"/>
      <w:r w:rsidRPr="00DA5EB5">
        <w:rPr>
          <w:color w:val="000000" w:themeColor="text1"/>
          <w:kern w:val="2"/>
          <w:sz w:val="20"/>
        </w:rPr>
        <w:t xml:space="preserve"> to pay Niko </w:t>
      </w:r>
      <w:r w:rsidR="00C6764E" w:rsidRPr="00DA5EB5">
        <w:rPr>
          <w:color w:val="000000" w:themeColor="text1"/>
          <w:kern w:val="2"/>
          <w:sz w:val="20"/>
        </w:rPr>
        <w:t>US</w:t>
      </w:r>
      <w:r w:rsidRPr="00DA5EB5">
        <w:rPr>
          <w:color w:val="000000" w:themeColor="text1"/>
          <w:kern w:val="2"/>
          <w:sz w:val="20"/>
        </w:rPr>
        <w:t>$25.5 million for gas delivered from November 2004 to April 2010.</w:t>
      </w:r>
      <w:r w:rsidRPr="00DA5EB5">
        <w:rPr>
          <w:rStyle w:val="FootnoteReference"/>
          <w:color w:val="000000" w:themeColor="text1"/>
          <w:kern w:val="2"/>
          <w:sz w:val="18"/>
        </w:rPr>
        <w:footnoteReference w:id="382"/>
      </w:r>
      <w:r w:rsidRPr="00DA5EB5">
        <w:rPr>
          <w:color w:val="000000" w:themeColor="text1"/>
          <w:kern w:val="2"/>
          <w:sz w:val="20"/>
        </w:rPr>
        <w:t xml:space="preserve"> In March</w:t>
      </w:r>
      <w:r w:rsidR="00EB3CF9" w:rsidRPr="00DA5EB5">
        <w:rPr>
          <w:color w:val="000000" w:themeColor="text1"/>
          <w:kern w:val="2"/>
          <w:sz w:val="20"/>
        </w:rPr>
        <w:t>,</w:t>
      </w:r>
      <w:r w:rsidRPr="00DA5EB5">
        <w:rPr>
          <w:color w:val="000000" w:themeColor="text1"/>
          <w:kern w:val="2"/>
          <w:sz w:val="20"/>
        </w:rPr>
        <w:t xml:space="preserve"> 2016, the respondents submitted a new request seeking declarations that the JVA and the </w:t>
      </w:r>
      <w:r w:rsidR="00111B7B" w:rsidRPr="00DA5EB5">
        <w:rPr>
          <w:color w:val="000000" w:themeColor="text1"/>
          <w:kern w:val="2"/>
          <w:sz w:val="20"/>
        </w:rPr>
        <w:t>GPSA</w:t>
      </w:r>
      <w:r w:rsidRPr="00DA5EB5">
        <w:rPr>
          <w:color w:val="000000" w:themeColor="text1"/>
          <w:kern w:val="2"/>
          <w:sz w:val="20"/>
        </w:rPr>
        <w:t xml:space="preserve"> have been procured through corruption and the claimant is thus not entitled to use international arbitration to pursue its claims or, alternatively, that the JVA and the GPSA were void.</w:t>
      </w:r>
      <w:r w:rsidRPr="00DA5EB5">
        <w:rPr>
          <w:rStyle w:val="FootnoteReference"/>
          <w:color w:val="000000" w:themeColor="text1"/>
          <w:kern w:val="2"/>
          <w:sz w:val="18"/>
        </w:rPr>
        <w:footnoteReference w:id="383"/>
      </w:r>
      <w:r w:rsidRPr="00DA5EB5">
        <w:rPr>
          <w:color w:val="000000" w:themeColor="text1"/>
          <w:kern w:val="2"/>
          <w:sz w:val="20"/>
        </w:rPr>
        <w:t xml:space="preserve"> The tribunal affirmed that it is </w:t>
      </w:r>
      <w:r w:rsidR="00FD6DAC" w:rsidRPr="00DA5EB5">
        <w:rPr>
          <w:color w:val="000000" w:themeColor="text1"/>
          <w:kern w:val="2"/>
          <w:sz w:val="20"/>
        </w:rPr>
        <w:t>“</w:t>
      </w:r>
      <w:r w:rsidRPr="00DA5EB5">
        <w:rPr>
          <w:color w:val="000000" w:themeColor="text1"/>
          <w:kern w:val="2"/>
          <w:sz w:val="20"/>
        </w:rPr>
        <w:t>conscious of the seriousness of corruption offenses</w:t>
      </w:r>
      <w:r w:rsidR="00FD6DAC" w:rsidRPr="00DA5EB5">
        <w:rPr>
          <w:color w:val="000000" w:themeColor="text1"/>
          <w:kern w:val="2"/>
          <w:sz w:val="20"/>
        </w:rPr>
        <w:t>”</w:t>
      </w:r>
      <w:r w:rsidRPr="00DA5EB5">
        <w:rPr>
          <w:color w:val="000000" w:themeColor="text1"/>
          <w:kern w:val="2"/>
          <w:sz w:val="20"/>
        </w:rPr>
        <w:t xml:space="preserve"> and, being </w:t>
      </w:r>
      <w:r w:rsidR="00FD6DAC" w:rsidRPr="00DA5EB5">
        <w:rPr>
          <w:color w:val="000000" w:themeColor="text1"/>
          <w:kern w:val="2"/>
          <w:sz w:val="20"/>
        </w:rPr>
        <w:t>“</w:t>
      </w:r>
      <w:r w:rsidRPr="00DA5EB5">
        <w:rPr>
          <w:color w:val="000000" w:themeColor="text1"/>
          <w:kern w:val="2"/>
          <w:sz w:val="20"/>
        </w:rPr>
        <w:t>[m]</w:t>
      </w:r>
      <w:proofErr w:type="spellStart"/>
      <w:r w:rsidRPr="00DA5EB5">
        <w:rPr>
          <w:color w:val="000000" w:themeColor="text1"/>
          <w:kern w:val="2"/>
          <w:sz w:val="20"/>
        </w:rPr>
        <w:t>indful</w:t>
      </w:r>
      <w:proofErr w:type="spellEnd"/>
      <w:r w:rsidRPr="00DA5EB5">
        <w:rPr>
          <w:color w:val="000000" w:themeColor="text1"/>
          <w:kern w:val="2"/>
          <w:sz w:val="20"/>
        </w:rPr>
        <w:t xml:space="preserve"> of [the tribunal’s] responsibility for upholding international public policy</w:t>
      </w:r>
      <w:r w:rsidR="00C6764E" w:rsidRPr="00DA5EB5">
        <w:rPr>
          <w:color w:val="000000" w:themeColor="text1"/>
          <w:kern w:val="2"/>
          <w:sz w:val="20"/>
        </w:rPr>
        <w:t>,</w:t>
      </w:r>
      <w:r w:rsidR="00FD6DAC" w:rsidRPr="00DA5EB5">
        <w:rPr>
          <w:color w:val="000000" w:themeColor="text1"/>
          <w:kern w:val="2"/>
          <w:sz w:val="20"/>
        </w:rPr>
        <w:t>”</w:t>
      </w:r>
      <w:r w:rsidRPr="00DA5EB5">
        <w:rPr>
          <w:color w:val="000000" w:themeColor="text1"/>
          <w:kern w:val="2"/>
          <w:sz w:val="20"/>
        </w:rPr>
        <w:t xml:space="preserve"> </w:t>
      </w:r>
      <w:r w:rsidR="00EB3CF9" w:rsidRPr="00DA5EB5">
        <w:rPr>
          <w:color w:val="000000" w:themeColor="text1"/>
          <w:kern w:val="2"/>
          <w:sz w:val="20"/>
        </w:rPr>
        <w:t>decided</w:t>
      </w:r>
      <w:r w:rsidRPr="00DA5EB5">
        <w:rPr>
          <w:color w:val="000000" w:themeColor="text1"/>
          <w:kern w:val="2"/>
          <w:sz w:val="20"/>
        </w:rPr>
        <w:t xml:space="preserve"> it w</w:t>
      </w:r>
      <w:r w:rsidR="00EB3CF9" w:rsidRPr="00DA5EB5">
        <w:rPr>
          <w:color w:val="000000" w:themeColor="text1"/>
          <w:kern w:val="2"/>
          <w:sz w:val="20"/>
        </w:rPr>
        <w:t>ould</w:t>
      </w:r>
      <w:r w:rsidRPr="00DA5EB5">
        <w:rPr>
          <w:color w:val="000000" w:themeColor="text1"/>
          <w:kern w:val="2"/>
          <w:sz w:val="20"/>
        </w:rPr>
        <w:t xml:space="preserve"> examine whether the JVA or the GPSA were procured by corruption.</w:t>
      </w:r>
      <w:r w:rsidRPr="00DA5EB5">
        <w:rPr>
          <w:rStyle w:val="FootnoteReference"/>
          <w:color w:val="000000" w:themeColor="text1"/>
          <w:kern w:val="2"/>
          <w:sz w:val="18"/>
        </w:rPr>
        <w:footnoteReference w:id="384"/>
      </w:r>
      <w:r w:rsidRPr="00DA5EB5">
        <w:rPr>
          <w:color w:val="000000" w:themeColor="text1"/>
          <w:kern w:val="2"/>
          <w:sz w:val="20"/>
        </w:rPr>
        <w:t xml:space="preserve"> The arbitrators thus invited the parties to produce information and documents in relation to the negotiation and conclusion of the JVA and the GPSA.</w:t>
      </w:r>
      <w:r w:rsidRPr="00DA5EB5">
        <w:rPr>
          <w:rStyle w:val="FootnoteReference"/>
          <w:color w:val="000000" w:themeColor="text1"/>
          <w:kern w:val="2"/>
          <w:sz w:val="18"/>
        </w:rPr>
        <w:footnoteReference w:id="385"/>
      </w:r>
    </w:p>
    <w:p w14:paraId="1DCCFE4C" w14:textId="005B1283" w:rsidR="007C56F9" w:rsidRPr="00DA5EB5" w:rsidRDefault="007C56F9" w:rsidP="007C3517">
      <w:pPr>
        <w:pStyle w:val="Heading4"/>
        <w:rPr>
          <w:i/>
          <w:kern w:val="2"/>
          <w:sz w:val="22"/>
        </w:rPr>
      </w:pPr>
      <w:r w:rsidRPr="00DA5EB5">
        <w:rPr>
          <w:i/>
          <w:kern w:val="2"/>
          <w:sz w:val="22"/>
        </w:rPr>
        <w:t xml:space="preserve">MOL v Croatia </w:t>
      </w:r>
    </w:p>
    <w:p w14:paraId="65564249" w14:textId="285FB175" w:rsidR="00165CC8" w:rsidRPr="00DA5EB5" w:rsidRDefault="00165CC8" w:rsidP="007C3517">
      <w:pPr>
        <w:rPr>
          <w:color w:val="000000" w:themeColor="text1"/>
          <w:kern w:val="2"/>
          <w:sz w:val="20"/>
        </w:rPr>
      </w:pPr>
      <w:r w:rsidRPr="00DA5EB5">
        <w:rPr>
          <w:color w:val="000000" w:themeColor="text1"/>
          <w:kern w:val="2"/>
          <w:sz w:val="20"/>
        </w:rPr>
        <w:t xml:space="preserve">Another case </w:t>
      </w:r>
      <w:r w:rsidR="00B111B0" w:rsidRPr="00DA5EB5">
        <w:rPr>
          <w:color w:val="000000" w:themeColor="text1"/>
          <w:kern w:val="2"/>
          <w:sz w:val="20"/>
        </w:rPr>
        <w:t xml:space="preserve">in which a host state’s </w:t>
      </w:r>
      <w:r w:rsidRPr="00DA5EB5">
        <w:rPr>
          <w:color w:val="000000" w:themeColor="text1"/>
          <w:kern w:val="2"/>
          <w:sz w:val="20"/>
        </w:rPr>
        <w:t xml:space="preserve">allegations of corruption may be determinative is currently in the making. In </w:t>
      </w:r>
      <w:r w:rsidRPr="00DA5EB5">
        <w:rPr>
          <w:i/>
          <w:color w:val="000000" w:themeColor="text1"/>
          <w:kern w:val="2"/>
          <w:sz w:val="20"/>
        </w:rPr>
        <w:t>MOL v Croatia</w:t>
      </w:r>
      <w:r w:rsidRPr="00DA5EB5">
        <w:rPr>
          <w:color w:val="000000" w:themeColor="text1"/>
          <w:kern w:val="2"/>
          <w:sz w:val="20"/>
        </w:rPr>
        <w:t>,</w:t>
      </w:r>
      <w:r w:rsidRPr="00DA5EB5">
        <w:rPr>
          <w:rStyle w:val="FootnoteReference"/>
          <w:color w:val="000000" w:themeColor="text1"/>
          <w:kern w:val="2"/>
          <w:sz w:val="18"/>
        </w:rPr>
        <w:footnoteReference w:id="386"/>
      </w:r>
      <w:r w:rsidRPr="00DA5EB5">
        <w:rPr>
          <w:color w:val="000000" w:themeColor="text1"/>
          <w:kern w:val="2"/>
          <w:sz w:val="20"/>
        </w:rPr>
        <w:t xml:space="preserve"> the investor alleges that Croatia breached its obligations under the Energy Charter Treaty in connection with MOL’s investments in INA, an oil company.</w:t>
      </w:r>
      <w:r w:rsidRPr="00DA5EB5">
        <w:rPr>
          <w:rStyle w:val="FootnoteReference"/>
          <w:color w:val="000000" w:themeColor="text1"/>
          <w:kern w:val="2"/>
          <w:sz w:val="18"/>
        </w:rPr>
        <w:footnoteReference w:id="387"/>
      </w:r>
      <w:r w:rsidRPr="00DA5EB5">
        <w:rPr>
          <w:color w:val="000000" w:themeColor="text1"/>
          <w:kern w:val="2"/>
          <w:sz w:val="20"/>
        </w:rPr>
        <w:t xml:space="preserve"> In 2003, following the Croatian government’s decision to privatize INA, MOL acquired </w:t>
      </w:r>
      <w:r w:rsidR="00756CE7" w:rsidRPr="00DA5EB5">
        <w:rPr>
          <w:color w:val="000000" w:themeColor="text1"/>
          <w:kern w:val="2"/>
          <w:sz w:val="20"/>
        </w:rPr>
        <w:t xml:space="preserve">a </w:t>
      </w:r>
      <w:r w:rsidRPr="00DA5EB5">
        <w:rPr>
          <w:color w:val="000000" w:themeColor="text1"/>
          <w:kern w:val="2"/>
          <w:sz w:val="20"/>
        </w:rPr>
        <w:t xml:space="preserve">25%+1 share in INA while the government remained the majority shareholder. Further negotiations culminated in two agreements which allowed MOL to increase its stake in INA to 49% (the </w:t>
      </w:r>
      <w:r w:rsidR="00FD6DAC" w:rsidRPr="00DA5EB5">
        <w:rPr>
          <w:color w:val="000000" w:themeColor="text1"/>
          <w:kern w:val="2"/>
          <w:sz w:val="20"/>
        </w:rPr>
        <w:t>“</w:t>
      </w:r>
      <w:r w:rsidRPr="00DA5EB5">
        <w:rPr>
          <w:color w:val="000000" w:themeColor="text1"/>
          <w:kern w:val="2"/>
          <w:sz w:val="20"/>
        </w:rPr>
        <w:t>2009 Agreements</w:t>
      </w:r>
      <w:r w:rsidR="00FD6DAC" w:rsidRPr="00DA5EB5">
        <w:rPr>
          <w:color w:val="000000" w:themeColor="text1"/>
          <w:kern w:val="2"/>
          <w:sz w:val="20"/>
        </w:rPr>
        <w:t>”</w:t>
      </w:r>
      <w:r w:rsidRPr="00DA5EB5">
        <w:rPr>
          <w:color w:val="000000" w:themeColor="text1"/>
          <w:kern w:val="2"/>
          <w:sz w:val="20"/>
        </w:rPr>
        <w:t xml:space="preserve">). Whereas Croatia alleges that the 2009 Agreements were procured by MOL’s CEO through bribery of then-Prime Minister of Croatia Ivo </w:t>
      </w:r>
      <w:proofErr w:type="spellStart"/>
      <w:r w:rsidRPr="00DA5EB5">
        <w:rPr>
          <w:color w:val="000000" w:themeColor="text1"/>
          <w:kern w:val="2"/>
          <w:sz w:val="20"/>
        </w:rPr>
        <w:t>Sanader</w:t>
      </w:r>
      <w:proofErr w:type="spellEnd"/>
      <w:r w:rsidRPr="00DA5EB5">
        <w:rPr>
          <w:color w:val="000000" w:themeColor="text1"/>
          <w:kern w:val="2"/>
          <w:sz w:val="20"/>
        </w:rPr>
        <w:t>, the investor points out that neither MOL nor its CEO h</w:t>
      </w:r>
      <w:r w:rsidR="00860564" w:rsidRPr="00DA5EB5">
        <w:rPr>
          <w:color w:val="000000" w:themeColor="text1"/>
          <w:kern w:val="2"/>
          <w:sz w:val="20"/>
        </w:rPr>
        <w:t>as</w:t>
      </w:r>
      <w:r w:rsidRPr="00DA5EB5">
        <w:rPr>
          <w:color w:val="000000" w:themeColor="text1"/>
          <w:kern w:val="2"/>
          <w:sz w:val="20"/>
        </w:rPr>
        <w:t xml:space="preserve"> been convicted of any crime in relation to the 2009 Agreements and alleges that criminal charges against </w:t>
      </w:r>
      <w:r w:rsidR="00860564" w:rsidRPr="00DA5EB5">
        <w:rPr>
          <w:color w:val="000000" w:themeColor="text1"/>
          <w:kern w:val="2"/>
          <w:sz w:val="20"/>
        </w:rPr>
        <w:t>MOL’s</w:t>
      </w:r>
      <w:r w:rsidRPr="00DA5EB5">
        <w:rPr>
          <w:color w:val="000000" w:themeColor="text1"/>
          <w:kern w:val="2"/>
          <w:sz w:val="20"/>
        </w:rPr>
        <w:t xml:space="preserve"> CEO are </w:t>
      </w:r>
      <w:r w:rsidR="00FD6DAC" w:rsidRPr="00DA5EB5">
        <w:rPr>
          <w:color w:val="000000" w:themeColor="text1"/>
          <w:kern w:val="2"/>
          <w:sz w:val="20"/>
        </w:rPr>
        <w:t>“</w:t>
      </w:r>
      <w:r w:rsidRPr="00DA5EB5">
        <w:rPr>
          <w:color w:val="000000" w:themeColor="text1"/>
          <w:kern w:val="2"/>
          <w:sz w:val="20"/>
        </w:rPr>
        <w:t>baseless</w:t>
      </w:r>
      <w:r w:rsidR="00FD6DAC" w:rsidRPr="00DA5EB5">
        <w:rPr>
          <w:color w:val="000000" w:themeColor="text1"/>
          <w:kern w:val="2"/>
          <w:sz w:val="20"/>
        </w:rPr>
        <w:t>”</w:t>
      </w:r>
      <w:r w:rsidRPr="00DA5EB5">
        <w:rPr>
          <w:color w:val="000000" w:themeColor="text1"/>
          <w:kern w:val="2"/>
          <w:sz w:val="20"/>
        </w:rPr>
        <w:t xml:space="preserve"> and represent an attempt by Croatia to take control of INA.</w:t>
      </w:r>
      <w:r w:rsidRPr="00DA5EB5">
        <w:rPr>
          <w:rStyle w:val="FootnoteReference"/>
          <w:color w:val="000000" w:themeColor="text1"/>
          <w:kern w:val="2"/>
          <w:sz w:val="18"/>
        </w:rPr>
        <w:footnoteReference w:id="388"/>
      </w:r>
      <w:r w:rsidRPr="00DA5EB5">
        <w:rPr>
          <w:color w:val="000000" w:themeColor="text1"/>
          <w:kern w:val="2"/>
          <w:sz w:val="20"/>
        </w:rPr>
        <w:t xml:space="preserve"> The investor asserts that allegations of bribery constitute an </w:t>
      </w:r>
      <w:r w:rsidR="00FD6DAC" w:rsidRPr="00DA5EB5">
        <w:rPr>
          <w:color w:val="000000" w:themeColor="text1"/>
          <w:kern w:val="2"/>
          <w:sz w:val="20"/>
        </w:rPr>
        <w:t>“</w:t>
      </w:r>
      <w:r w:rsidRPr="00DA5EB5">
        <w:rPr>
          <w:color w:val="000000" w:themeColor="text1"/>
          <w:kern w:val="2"/>
          <w:sz w:val="20"/>
        </w:rPr>
        <w:t>illegal effort to harass and intimidate MOL</w:t>
      </w:r>
      <w:r w:rsidR="00FD6DAC" w:rsidRPr="00DA5EB5">
        <w:rPr>
          <w:color w:val="000000" w:themeColor="text1"/>
          <w:kern w:val="2"/>
          <w:sz w:val="20"/>
        </w:rPr>
        <w:t>”</w:t>
      </w:r>
      <w:r w:rsidRPr="00DA5EB5">
        <w:rPr>
          <w:rStyle w:val="FootnoteReference"/>
          <w:color w:val="000000" w:themeColor="text1"/>
          <w:kern w:val="2"/>
          <w:sz w:val="18"/>
        </w:rPr>
        <w:footnoteReference w:id="389"/>
      </w:r>
      <w:r w:rsidRPr="00DA5EB5">
        <w:rPr>
          <w:color w:val="000000" w:themeColor="text1"/>
          <w:kern w:val="2"/>
          <w:sz w:val="20"/>
        </w:rPr>
        <w:t xml:space="preserve"> and Croatia maintains that initiation of the ICSID proceedings was </w:t>
      </w:r>
      <w:r w:rsidR="00FD6DAC" w:rsidRPr="00DA5EB5">
        <w:rPr>
          <w:color w:val="000000" w:themeColor="text1"/>
          <w:kern w:val="2"/>
          <w:sz w:val="20"/>
        </w:rPr>
        <w:t>“</w:t>
      </w:r>
      <w:r w:rsidRPr="00DA5EB5">
        <w:rPr>
          <w:color w:val="000000" w:themeColor="text1"/>
          <w:kern w:val="2"/>
          <w:sz w:val="20"/>
        </w:rPr>
        <w:t>just another attempt [made by the investor’s CEO] to evade justice.</w:t>
      </w:r>
      <w:r w:rsidR="00FD6DAC" w:rsidRPr="00DA5EB5">
        <w:rPr>
          <w:color w:val="000000" w:themeColor="text1"/>
          <w:kern w:val="2"/>
          <w:sz w:val="20"/>
        </w:rPr>
        <w:t>”</w:t>
      </w:r>
      <w:r w:rsidRPr="00DA5EB5">
        <w:rPr>
          <w:rStyle w:val="FootnoteReference"/>
          <w:color w:val="000000" w:themeColor="text1"/>
          <w:kern w:val="2"/>
          <w:sz w:val="18"/>
        </w:rPr>
        <w:footnoteReference w:id="390"/>
      </w:r>
    </w:p>
    <w:p w14:paraId="3939D1A0" w14:textId="2C5A073C" w:rsidR="00165CC8" w:rsidRPr="00DA5EB5" w:rsidRDefault="00165CC8" w:rsidP="007C3517">
      <w:pPr>
        <w:rPr>
          <w:color w:val="000000" w:themeColor="text1"/>
          <w:kern w:val="2"/>
          <w:sz w:val="20"/>
        </w:rPr>
      </w:pPr>
      <w:r w:rsidRPr="00DA5EB5">
        <w:rPr>
          <w:color w:val="000000" w:themeColor="text1"/>
          <w:kern w:val="2"/>
          <w:sz w:val="20"/>
        </w:rPr>
        <w:t xml:space="preserve">In November 2012, Ivo </w:t>
      </w:r>
      <w:proofErr w:type="spellStart"/>
      <w:r w:rsidRPr="00DA5EB5">
        <w:rPr>
          <w:color w:val="000000" w:themeColor="text1"/>
          <w:kern w:val="2"/>
          <w:sz w:val="20"/>
        </w:rPr>
        <w:t>Sanader</w:t>
      </w:r>
      <w:proofErr w:type="spellEnd"/>
      <w:r w:rsidRPr="00DA5EB5">
        <w:rPr>
          <w:color w:val="000000" w:themeColor="text1"/>
          <w:kern w:val="2"/>
          <w:sz w:val="20"/>
        </w:rPr>
        <w:t xml:space="preserve"> was convicted in Croatia for accepting a EUR5 million bribe from MOL in exchange for facilitating the conclusion of the 2009 Agreements. However, in July</w:t>
      </w:r>
      <w:r w:rsidR="00F40687" w:rsidRPr="00DA5EB5">
        <w:rPr>
          <w:color w:val="000000" w:themeColor="text1"/>
          <w:kern w:val="2"/>
          <w:sz w:val="20"/>
        </w:rPr>
        <w:t>,</w:t>
      </w:r>
      <w:r w:rsidRPr="00DA5EB5">
        <w:rPr>
          <w:color w:val="000000" w:themeColor="text1"/>
          <w:kern w:val="2"/>
          <w:sz w:val="20"/>
        </w:rPr>
        <w:t xml:space="preserve"> 2015</w:t>
      </w:r>
      <w:r w:rsidR="00365BD8" w:rsidRPr="00DA5EB5">
        <w:rPr>
          <w:color w:val="000000" w:themeColor="text1"/>
          <w:kern w:val="2"/>
          <w:sz w:val="20"/>
        </w:rPr>
        <w:t>,</w:t>
      </w:r>
      <w:r w:rsidRPr="00DA5EB5">
        <w:rPr>
          <w:color w:val="000000" w:themeColor="text1"/>
          <w:kern w:val="2"/>
          <w:sz w:val="20"/>
        </w:rPr>
        <w:t xml:space="preserve"> Croatia’s Constitutional Court annulled the conviction and ordered a retrial, which </w:t>
      </w:r>
      <w:r w:rsidR="00365BD8" w:rsidRPr="00DA5EB5">
        <w:rPr>
          <w:color w:val="000000" w:themeColor="text1"/>
          <w:kern w:val="2"/>
          <w:sz w:val="20"/>
        </w:rPr>
        <w:t>began</w:t>
      </w:r>
      <w:r w:rsidRPr="00DA5EB5">
        <w:rPr>
          <w:color w:val="000000" w:themeColor="text1"/>
          <w:kern w:val="2"/>
          <w:sz w:val="20"/>
        </w:rPr>
        <w:t xml:space="preserve"> in September</w:t>
      </w:r>
      <w:r w:rsidR="00365BD8" w:rsidRPr="00DA5EB5">
        <w:rPr>
          <w:color w:val="000000" w:themeColor="text1"/>
          <w:kern w:val="2"/>
          <w:sz w:val="20"/>
        </w:rPr>
        <w:t xml:space="preserve"> of</w:t>
      </w:r>
      <w:r w:rsidRPr="00DA5EB5">
        <w:rPr>
          <w:color w:val="000000" w:themeColor="text1"/>
          <w:kern w:val="2"/>
          <w:sz w:val="20"/>
        </w:rPr>
        <w:t xml:space="preserve"> 2015. Croatian law enforcement authorities also issued an indictment against MOL’s CEO and </w:t>
      </w:r>
      <w:r w:rsidR="005A4690" w:rsidRPr="00DA5EB5">
        <w:rPr>
          <w:color w:val="000000" w:themeColor="text1"/>
          <w:kern w:val="2"/>
          <w:sz w:val="20"/>
        </w:rPr>
        <w:t>c</w:t>
      </w:r>
      <w:r w:rsidRPr="00DA5EB5">
        <w:rPr>
          <w:color w:val="000000" w:themeColor="text1"/>
          <w:kern w:val="2"/>
          <w:sz w:val="20"/>
        </w:rPr>
        <w:t xml:space="preserve">hairman </w:t>
      </w:r>
      <w:proofErr w:type="spellStart"/>
      <w:r w:rsidRPr="00DA5EB5">
        <w:rPr>
          <w:color w:val="000000" w:themeColor="text1"/>
          <w:kern w:val="2"/>
          <w:sz w:val="20"/>
        </w:rPr>
        <w:t>Zsolt</w:t>
      </w:r>
      <w:proofErr w:type="spellEnd"/>
      <w:r w:rsidRPr="00DA5EB5">
        <w:rPr>
          <w:color w:val="000000" w:themeColor="text1"/>
          <w:kern w:val="2"/>
          <w:sz w:val="20"/>
        </w:rPr>
        <w:t xml:space="preserve"> </w:t>
      </w:r>
      <w:proofErr w:type="spellStart"/>
      <w:r w:rsidRPr="00DA5EB5">
        <w:rPr>
          <w:color w:val="000000" w:themeColor="text1"/>
          <w:kern w:val="2"/>
          <w:sz w:val="20"/>
        </w:rPr>
        <w:t>Hernádi</w:t>
      </w:r>
      <w:proofErr w:type="spellEnd"/>
      <w:r w:rsidRPr="00DA5EB5">
        <w:rPr>
          <w:color w:val="000000" w:themeColor="text1"/>
          <w:kern w:val="2"/>
          <w:sz w:val="20"/>
        </w:rPr>
        <w:t>, but Hungarian authorities declined Croatia’s requests to question him.</w:t>
      </w:r>
    </w:p>
    <w:p w14:paraId="1E31B9F2" w14:textId="09C76169" w:rsidR="00165CC8" w:rsidRPr="00DA5EB5" w:rsidRDefault="00165CC8" w:rsidP="007C3517">
      <w:pPr>
        <w:rPr>
          <w:color w:val="000000" w:themeColor="text1"/>
          <w:kern w:val="2"/>
          <w:sz w:val="20"/>
        </w:rPr>
      </w:pPr>
      <w:r w:rsidRPr="00DA5EB5">
        <w:rPr>
          <w:color w:val="000000" w:themeColor="text1"/>
          <w:kern w:val="2"/>
          <w:sz w:val="20"/>
        </w:rPr>
        <w:t>On 2 December</w:t>
      </w:r>
      <w:r w:rsidR="00C6764E" w:rsidRPr="00DA5EB5">
        <w:rPr>
          <w:color w:val="000000" w:themeColor="text1"/>
          <w:kern w:val="2"/>
          <w:sz w:val="20"/>
        </w:rPr>
        <w:t>,</w:t>
      </w:r>
      <w:r w:rsidRPr="00DA5EB5">
        <w:rPr>
          <w:color w:val="000000" w:themeColor="text1"/>
          <w:kern w:val="2"/>
          <w:sz w:val="20"/>
        </w:rPr>
        <w:t xml:space="preserve"> 2014, the</w:t>
      </w:r>
      <w:r w:rsidR="005A4690" w:rsidRPr="00DA5EB5">
        <w:rPr>
          <w:color w:val="000000" w:themeColor="text1"/>
          <w:kern w:val="2"/>
          <w:sz w:val="20"/>
        </w:rPr>
        <w:t xml:space="preserve"> ICSID</w:t>
      </w:r>
      <w:r w:rsidRPr="00DA5EB5">
        <w:rPr>
          <w:color w:val="000000" w:themeColor="text1"/>
          <w:kern w:val="2"/>
          <w:sz w:val="20"/>
        </w:rPr>
        <w:t xml:space="preserve"> tribunal declined Croatia’s application to dismiss the investor’s claims on a summary basis and decided that consideration of the objections put forward by the respondent should be postponed to </w:t>
      </w:r>
      <w:r w:rsidR="005A4690" w:rsidRPr="00DA5EB5">
        <w:rPr>
          <w:color w:val="000000" w:themeColor="text1"/>
          <w:kern w:val="2"/>
          <w:sz w:val="20"/>
        </w:rPr>
        <w:t>a</w:t>
      </w:r>
      <w:r w:rsidRPr="00DA5EB5">
        <w:rPr>
          <w:color w:val="000000" w:themeColor="text1"/>
          <w:kern w:val="2"/>
          <w:sz w:val="20"/>
        </w:rPr>
        <w:t xml:space="preserve"> later stage of the proceedings.</w:t>
      </w:r>
      <w:r w:rsidRPr="00DA5EB5">
        <w:rPr>
          <w:rStyle w:val="FootnoteReference"/>
          <w:color w:val="000000" w:themeColor="text1"/>
          <w:kern w:val="2"/>
          <w:sz w:val="18"/>
        </w:rPr>
        <w:footnoteReference w:id="391"/>
      </w:r>
      <w:r w:rsidRPr="00DA5EB5">
        <w:rPr>
          <w:color w:val="000000" w:themeColor="text1"/>
          <w:kern w:val="2"/>
          <w:sz w:val="20"/>
        </w:rPr>
        <w:t xml:space="preserve"> It remains to be seen how the tribunal will approach the issue of corruption in light of </w:t>
      </w:r>
      <w:r w:rsidR="005A4690" w:rsidRPr="00DA5EB5">
        <w:rPr>
          <w:color w:val="000000" w:themeColor="text1"/>
          <w:kern w:val="2"/>
          <w:sz w:val="20"/>
        </w:rPr>
        <w:t>the</w:t>
      </w:r>
      <w:r w:rsidRPr="00DA5EB5">
        <w:rPr>
          <w:color w:val="000000" w:themeColor="text1"/>
          <w:kern w:val="2"/>
          <w:sz w:val="20"/>
        </w:rPr>
        <w:t xml:space="preserve"> ongoing criminal investigation and what effect, if any, the allegations of corruption by the host state </w:t>
      </w:r>
      <w:r w:rsidR="005A4690" w:rsidRPr="00DA5EB5">
        <w:rPr>
          <w:color w:val="000000" w:themeColor="text1"/>
          <w:kern w:val="2"/>
          <w:sz w:val="20"/>
        </w:rPr>
        <w:t xml:space="preserve">will </w:t>
      </w:r>
      <w:r w:rsidRPr="00DA5EB5">
        <w:rPr>
          <w:color w:val="000000" w:themeColor="text1"/>
          <w:kern w:val="2"/>
          <w:sz w:val="20"/>
        </w:rPr>
        <w:t>have on the outcome of the case.</w:t>
      </w:r>
    </w:p>
    <w:p w14:paraId="195E00D4" w14:textId="34C9B579" w:rsidR="007672A6" w:rsidRPr="00DA5EB5" w:rsidRDefault="007672A6" w:rsidP="007C3517">
      <w:pPr>
        <w:pStyle w:val="Heading2"/>
        <w:rPr>
          <w:kern w:val="2"/>
          <w:sz w:val="24"/>
        </w:rPr>
      </w:pPr>
      <w:r w:rsidRPr="00DA5EB5">
        <w:rPr>
          <w:kern w:val="2"/>
          <w:sz w:val="24"/>
        </w:rPr>
        <w:t xml:space="preserve">Conclusions: International Investment Arbitration and the Global Fight against Corruption </w:t>
      </w:r>
    </w:p>
    <w:p w14:paraId="2FAE172B" w14:textId="17EF8902" w:rsidR="00165CC8" w:rsidRPr="00DA5EB5" w:rsidRDefault="00165CC8" w:rsidP="007C3517">
      <w:pPr>
        <w:rPr>
          <w:color w:val="000000" w:themeColor="text1"/>
          <w:kern w:val="2"/>
          <w:sz w:val="20"/>
        </w:rPr>
      </w:pPr>
      <w:r w:rsidRPr="00DA5EB5">
        <w:rPr>
          <w:color w:val="000000" w:themeColor="text1"/>
          <w:kern w:val="2"/>
          <w:sz w:val="20"/>
        </w:rPr>
        <w:t xml:space="preserve">International arbitration is, by nature, a private and consensual procedure. Its neutrality and flexibility, as well as </w:t>
      </w:r>
      <w:r w:rsidR="00A37139" w:rsidRPr="00DA5EB5">
        <w:rPr>
          <w:color w:val="000000" w:themeColor="text1"/>
          <w:kern w:val="2"/>
          <w:sz w:val="20"/>
        </w:rPr>
        <w:t xml:space="preserve">the </w:t>
      </w:r>
      <w:r w:rsidRPr="00DA5EB5">
        <w:rPr>
          <w:color w:val="000000" w:themeColor="text1"/>
          <w:kern w:val="2"/>
          <w:sz w:val="20"/>
        </w:rPr>
        <w:t xml:space="preserve">enforceability of arbitration agreements and final and binding character of arbitral awards, make international arbitration the primary mechanism for the settlement of disputes arising out of international commercial and investment transactions. But the global nature of modern business, increasing involvement of states and state-owned enterprises in international investment and rising sophistication of regulatory and reporting schemes in various countries inevitably result in </w:t>
      </w:r>
      <w:r w:rsidR="00A37139" w:rsidRPr="00DA5EB5">
        <w:rPr>
          <w:color w:val="000000" w:themeColor="text1"/>
          <w:kern w:val="2"/>
          <w:sz w:val="20"/>
        </w:rPr>
        <w:t xml:space="preserve">a </w:t>
      </w:r>
      <w:r w:rsidRPr="00DA5EB5">
        <w:rPr>
          <w:color w:val="000000" w:themeColor="text1"/>
          <w:kern w:val="2"/>
          <w:sz w:val="20"/>
        </w:rPr>
        <w:t xml:space="preserve">corresponding surge in the number of investment disputes. In 2015, investors initiated 70 known treaty-based international investment arbitrations, the highest number of cases ever filed in a single year, and </w:t>
      </w:r>
      <w:r w:rsidR="00F05DEF" w:rsidRPr="00DA5EB5">
        <w:rPr>
          <w:color w:val="000000" w:themeColor="text1"/>
          <w:kern w:val="2"/>
          <w:sz w:val="20"/>
        </w:rPr>
        <w:t>the respondent w</w:t>
      </w:r>
      <w:r w:rsidR="0096104D" w:rsidRPr="00DA5EB5">
        <w:rPr>
          <w:color w:val="000000" w:themeColor="text1"/>
          <w:kern w:val="2"/>
          <w:sz w:val="20"/>
        </w:rPr>
        <w:t xml:space="preserve">as a developing country in approximately </w:t>
      </w:r>
      <w:r w:rsidRPr="00DA5EB5">
        <w:rPr>
          <w:color w:val="000000" w:themeColor="text1"/>
          <w:kern w:val="2"/>
          <w:sz w:val="20"/>
        </w:rPr>
        <w:t>40% of these cases.</w:t>
      </w:r>
      <w:r w:rsidRPr="00DA5EB5">
        <w:rPr>
          <w:rStyle w:val="FootnoteReference"/>
          <w:color w:val="000000" w:themeColor="text1"/>
          <w:kern w:val="2"/>
          <w:sz w:val="18"/>
        </w:rPr>
        <w:footnoteReference w:id="392"/>
      </w:r>
      <w:r w:rsidRPr="00DA5EB5">
        <w:rPr>
          <w:color w:val="000000" w:themeColor="text1"/>
          <w:kern w:val="2"/>
          <w:sz w:val="18"/>
        </w:rPr>
        <w:t xml:space="preserve"> </w:t>
      </w:r>
      <w:r w:rsidR="003758EB" w:rsidRPr="00DA5EB5">
        <w:rPr>
          <w:color w:val="000000" w:themeColor="text1"/>
          <w:kern w:val="2"/>
          <w:sz w:val="20"/>
        </w:rPr>
        <w:t>As of 2015</w:t>
      </w:r>
      <w:r w:rsidRPr="00DA5EB5">
        <w:rPr>
          <w:color w:val="000000" w:themeColor="text1"/>
          <w:kern w:val="2"/>
          <w:sz w:val="20"/>
        </w:rPr>
        <w:t>, 107 countries have been named as respondents in one or several known treaty-based investment arbitration disputes.</w:t>
      </w:r>
      <w:r w:rsidRPr="00DA5EB5">
        <w:rPr>
          <w:rStyle w:val="FootnoteReference"/>
          <w:color w:val="000000" w:themeColor="text1"/>
          <w:kern w:val="2"/>
          <w:sz w:val="18"/>
        </w:rPr>
        <w:footnoteReference w:id="393"/>
      </w:r>
    </w:p>
    <w:p w14:paraId="44BB9BE5" w14:textId="1F82160C" w:rsidR="00165CC8" w:rsidRPr="00DA5EB5" w:rsidRDefault="00165CC8" w:rsidP="007C3517">
      <w:pPr>
        <w:rPr>
          <w:color w:val="000000" w:themeColor="text1"/>
          <w:kern w:val="2"/>
          <w:sz w:val="20"/>
        </w:rPr>
      </w:pPr>
      <w:r w:rsidRPr="00DA5EB5">
        <w:rPr>
          <w:color w:val="000000" w:themeColor="text1"/>
          <w:kern w:val="2"/>
          <w:sz w:val="20"/>
        </w:rPr>
        <w:t xml:space="preserve">Not surprisingly, the issue of corruption </w:t>
      </w:r>
      <w:r w:rsidR="0096104D" w:rsidRPr="00DA5EB5">
        <w:rPr>
          <w:color w:val="000000" w:themeColor="text1"/>
          <w:kern w:val="2"/>
          <w:sz w:val="20"/>
        </w:rPr>
        <w:t xml:space="preserve">has </w:t>
      </w:r>
      <w:r w:rsidRPr="00DA5EB5">
        <w:rPr>
          <w:color w:val="000000" w:themeColor="text1"/>
          <w:kern w:val="2"/>
          <w:sz w:val="20"/>
        </w:rPr>
        <w:t xml:space="preserve">found </w:t>
      </w:r>
      <w:r w:rsidR="0096104D" w:rsidRPr="00DA5EB5">
        <w:rPr>
          <w:color w:val="000000" w:themeColor="text1"/>
          <w:kern w:val="2"/>
          <w:sz w:val="20"/>
        </w:rPr>
        <w:t xml:space="preserve">its </w:t>
      </w:r>
      <w:r w:rsidRPr="00DA5EB5">
        <w:rPr>
          <w:color w:val="000000" w:themeColor="text1"/>
          <w:kern w:val="2"/>
          <w:sz w:val="20"/>
        </w:rPr>
        <w:t>way into some investment disputes. Arbitration cases reviewed in this section demonstrate that both foreign investors and host states may make allegations of corruption. On the one hand, investors have made attempts to seek compensation from host state</w:t>
      </w:r>
      <w:r w:rsidR="009377C4" w:rsidRPr="00DA5EB5">
        <w:rPr>
          <w:color w:val="000000" w:themeColor="text1"/>
          <w:kern w:val="2"/>
          <w:sz w:val="20"/>
        </w:rPr>
        <w:t>s</w:t>
      </w:r>
      <w:r w:rsidRPr="00DA5EB5">
        <w:rPr>
          <w:color w:val="000000" w:themeColor="text1"/>
          <w:kern w:val="2"/>
          <w:sz w:val="20"/>
        </w:rPr>
        <w:t xml:space="preserve"> for damages or losses caused by public officials who allegedly solicited bribes or were corruptly influenced by the investors’ competitors. Tribunals have hinted that corruption on the side of the host state’s public officials, if proven, may engage the host state’s liability for the breach of national treatment or fair and equitable treatment standards, as well as for illegal expropriation. However, while the arbitrators accepted the possibility that corruption may be proven with circumstantial evidence, by </w:t>
      </w:r>
      <w:r w:rsidR="00FD6DAC" w:rsidRPr="00DA5EB5">
        <w:rPr>
          <w:color w:val="000000" w:themeColor="text1"/>
          <w:kern w:val="2"/>
          <w:sz w:val="20"/>
        </w:rPr>
        <w:t>“</w:t>
      </w:r>
      <w:r w:rsidRPr="00DA5EB5">
        <w:rPr>
          <w:color w:val="000000" w:themeColor="text1"/>
          <w:kern w:val="2"/>
          <w:sz w:val="20"/>
        </w:rPr>
        <w:t>connecting the dots</w:t>
      </w:r>
      <w:r w:rsidR="00436A21" w:rsidRPr="00DA5EB5">
        <w:rPr>
          <w:color w:val="000000" w:themeColor="text1"/>
          <w:kern w:val="2"/>
          <w:sz w:val="20"/>
        </w:rPr>
        <w:t>,</w:t>
      </w:r>
      <w:r w:rsidR="00FD6DAC" w:rsidRPr="00DA5EB5">
        <w:rPr>
          <w:color w:val="000000" w:themeColor="text1"/>
          <w:kern w:val="2"/>
          <w:sz w:val="20"/>
        </w:rPr>
        <w:t>”</w:t>
      </w:r>
      <w:r w:rsidRPr="00DA5EB5">
        <w:rPr>
          <w:color w:val="000000" w:themeColor="text1"/>
          <w:kern w:val="2"/>
          <w:sz w:val="20"/>
        </w:rPr>
        <w:t xml:space="preserve"> the investors failed to furnish </w:t>
      </w:r>
      <w:r w:rsidR="00FD6DAC" w:rsidRPr="00DA5EB5">
        <w:rPr>
          <w:color w:val="000000" w:themeColor="text1"/>
          <w:kern w:val="2"/>
          <w:sz w:val="20"/>
        </w:rPr>
        <w:t>“</w:t>
      </w:r>
      <w:r w:rsidRPr="00DA5EB5">
        <w:rPr>
          <w:color w:val="000000" w:themeColor="text1"/>
          <w:kern w:val="2"/>
          <w:sz w:val="20"/>
        </w:rPr>
        <w:t>clear and convincing</w:t>
      </w:r>
      <w:r w:rsidR="00FD6DAC" w:rsidRPr="00DA5EB5">
        <w:rPr>
          <w:color w:val="000000" w:themeColor="text1"/>
          <w:kern w:val="2"/>
          <w:sz w:val="20"/>
        </w:rPr>
        <w:t>”</w:t>
      </w:r>
      <w:r w:rsidRPr="00DA5EB5">
        <w:rPr>
          <w:color w:val="000000" w:themeColor="text1"/>
          <w:kern w:val="2"/>
          <w:sz w:val="20"/>
        </w:rPr>
        <w:t xml:space="preserve"> evidence of corruption. On the other hand, where the claimants’ investments were tainted by corruption, the arbitrators exercised their duty to uphold international public policy and thus rejected the investors’ claims.</w:t>
      </w:r>
    </w:p>
    <w:p w14:paraId="3A99771D" w14:textId="525D9620" w:rsidR="00B759E2" w:rsidRPr="00DA5EB5" w:rsidRDefault="00165CC8" w:rsidP="007C3517">
      <w:pPr>
        <w:rPr>
          <w:color w:val="000000" w:themeColor="text1"/>
          <w:kern w:val="2"/>
          <w:sz w:val="20"/>
        </w:rPr>
      </w:pPr>
      <w:r w:rsidRPr="00DA5EB5">
        <w:rPr>
          <w:color w:val="000000" w:themeColor="text1"/>
          <w:kern w:val="2"/>
          <w:sz w:val="20"/>
        </w:rPr>
        <w:t>In summary, international arbitration principles and procedures discourage investors from getting involved in corrupt activities</w:t>
      </w:r>
      <w:r w:rsidR="009377C4" w:rsidRPr="00DA5EB5">
        <w:rPr>
          <w:color w:val="000000" w:themeColor="text1"/>
          <w:kern w:val="2"/>
          <w:sz w:val="20"/>
        </w:rPr>
        <w:t xml:space="preserve">, as such activities deny </w:t>
      </w:r>
      <w:r w:rsidRPr="00DA5EB5">
        <w:rPr>
          <w:color w:val="000000" w:themeColor="text1"/>
          <w:kern w:val="2"/>
          <w:sz w:val="20"/>
        </w:rPr>
        <w:t xml:space="preserve">recovery to claimants whose investments are tainted by bribery. At the same time, international arbitration remains a private and consensual dispute resolution mechanism </w:t>
      </w:r>
      <w:r w:rsidR="009377C4" w:rsidRPr="00DA5EB5">
        <w:rPr>
          <w:color w:val="000000" w:themeColor="text1"/>
          <w:kern w:val="2"/>
          <w:sz w:val="20"/>
        </w:rPr>
        <w:t>in which</w:t>
      </w:r>
      <w:r w:rsidRPr="00DA5EB5">
        <w:rPr>
          <w:color w:val="000000" w:themeColor="text1"/>
          <w:kern w:val="2"/>
          <w:sz w:val="20"/>
        </w:rPr>
        <w:t xml:space="preserve"> arbitrators have no power or authority to investigate allegations of corruption on their own</w:t>
      </w:r>
      <w:r w:rsidR="00310B39" w:rsidRPr="00DA5EB5">
        <w:rPr>
          <w:color w:val="000000" w:themeColor="text1"/>
          <w:kern w:val="2"/>
          <w:sz w:val="20"/>
        </w:rPr>
        <w:t xml:space="preserve">. This </w:t>
      </w:r>
      <w:r w:rsidRPr="00DA5EB5">
        <w:rPr>
          <w:color w:val="000000" w:themeColor="text1"/>
          <w:kern w:val="2"/>
          <w:sz w:val="20"/>
        </w:rPr>
        <w:t xml:space="preserve">means that in some cases </w:t>
      </w:r>
      <w:r w:rsidR="00310B39" w:rsidRPr="00DA5EB5">
        <w:rPr>
          <w:color w:val="000000" w:themeColor="text1"/>
          <w:kern w:val="2"/>
          <w:sz w:val="20"/>
        </w:rPr>
        <w:t xml:space="preserve">(at least theoretically), </w:t>
      </w:r>
      <w:r w:rsidRPr="00DA5EB5">
        <w:rPr>
          <w:color w:val="000000" w:themeColor="text1"/>
          <w:kern w:val="2"/>
          <w:sz w:val="20"/>
        </w:rPr>
        <w:t>public officials may get away with soliciting bribes or being bribe</w:t>
      </w:r>
      <w:r w:rsidR="002E16C9" w:rsidRPr="00DA5EB5">
        <w:rPr>
          <w:color w:val="000000" w:themeColor="text1"/>
          <w:kern w:val="2"/>
          <w:sz w:val="20"/>
        </w:rPr>
        <w:t>d by the investors’ competitors.</w:t>
      </w:r>
    </w:p>
    <w:sectPr w:rsidR="00B759E2" w:rsidRPr="00DA5EB5" w:rsidSect="000F5994">
      <w:headerReference w:type="even" r:id="rId40"/>
      <w:headerReference w:type="default" r:id="rId41"/>
      <w:footerReference w:type="even" r:id="rId42"/>
      <w:footerReference w:type="default" r:id="rId43"/>
      <w:headerReference w:type="first" r:id="rId44"/>
      <w:footerReference w:type="first" r:id="rId45"/>
      <w:type w:val="continuous"/>
      <w:pgSz w:w="10801" w:h="15122" w:code="1"/>
      <w:pgMar w:top="1440" w:right="1077" w:bottom="1440" w:left="1077" w:header="567" w:footer="567" w:gutter="567"/>
      <w:pgNumType w:start="645"/>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6E9332A" w14:textId="77777777" w:rsidR="007E0F72" w:rsidRDefault="007E0F72" w:rsidP="0061282C">
      <w:pPr>
        <w:spacing w:after="0"/>
      </w:pPr>
      <w:r>
        <w:separator/>
      </w:r>
    </w:p>
  </w:endnote>
  <w:endnote w:type="continuationSeparator" w:id="0">
    <w:p w14:paraId="2C181A35" w14:textId="77777777" w:rsidR="007E0F72" w:rsidRDefault="007E0F72" w:rsidP="0061282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Lucida Grande">
    <w:altName w:val="Arial"/>
    <w:charset w:val="00"/>
    <w:family w:val="swiss"/>
    <w:pitch w:val="variable"/>
    <w:sig w:usb0="00000000"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imesNewRoman">
    <w:altName w:val="MS Mincho"/>
    <w:panose1 w:val="00000000000000000000"/>
    <w:charset w:val="80"/>
    <w:family w:val="auto"/>
    <w:notTrueType/>
    <w:pitch w:val="default"/>
    <w:sig w:usb0="00000001" w:usb1="08070000" w:usb2="00000010" w:usb3="00000000" w:csb0="00020000" w:csb1="00000000"/>
  </w:font>
  <w:font w:name="Webdings">
    <w:panose1 w:val="05030102010509060703"/>
    <w:charset w:val="02"/>
    <w:family w:val="roman"/>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eastAsia="Calibri" w:cs="Times New Roman"/>
      </w:rPr>
      <w:id w:val="1900777855"/>
      <w:docPartObj>
        <w:docPartGallery w:val="Page Numbers (Bottom of Page)"/>
        <w:docPartUnique/>
      </w:docPartObj>
    </w:sdtPr>
    <w:sdtEndPr>
      <w:rPr>
        <w:noProof/>
        <w:sz w:val="18"/>
      </w:rPr>
    </w:sdtEndPr>
    <w:sdtContent>
      <w:p w14:paraId="599E24F3" w14:textId="2C6DCCDA" w:rsidR="007E0F72" w:rsidRPr="008D2F48" w:rsidRDefault="007E0F72" w:rsidP="008D2F48">
        <w:pPr>
          <w:tabs>
            <w:tab w:val="center" w:pos="4680"/>
          </w:tabs>
          <w:spacing w:before="0" w:after="0"/>
          <w:ind w:left="-283" w:right="-283"/>
          <w:rPr>
            <w:rFonts w:eastAsia="Calibri" w:cs="Times New Roman"/>
            <w:noProof/>
            <w:sz w:val="18"/>
          </w:rPr>
        </w:pPr>
        <w:r w:rsidRPr="00DC736E">
          <w:rPr>
            <w:rFonts w:eastAsia="Calibri" w:cs="Times New Roman"/>
          </w:rPr>
          <w:fldChar w:fldCharType="begin"/>
        </w:r>
        <w:r w:rsidRPr="00DC736E">
          <w:rPr>
            <w:rFonts w:eastAsia="Calibri" w:cs="Times New Roman"/>
          </w:rPr>
          <w:instrText xml:space="preserve"> PAGE   \* MERGEFORMAT </w:instrText>
        </w:r>
        <w:r w:rsidRPr="00DC736E">
          <w:rPr>
            <w:rFonts w:eastAsia="Calibri" w:cs="Times New Roman"/>
          </w:rPr>
          <w:fldChar w:fldCharType="separate"/>
        </w:r>
        <w:r w:rsidR="000E6407">
          <w:rPr>
            <w:rFonts w:eastAsia="Calibri" w:cs="Times New Roman"/>
            <w:noProof/>
          </w:rPr>
          <w:t>664</w:t>
        </w:r>
        <w:r w:rsidRPr="00DC736E">
          <w:rPr>
            <w:rFonts w:eastAsia="Calibri" w:cs="Times New Roman"/>
            <w:noProof/>
          </w:rPr>
          <w:fldChar w:fldCharType="end"/>
        </w:r>
        <w:r w:rsidRPr="00DC736E">
          <w:rPr>
            <w:rFonts w:eastAsia="Calibri" w:cs="Times New Roman"/>
          </w:rPr>
          <w:tab/>
        </w:r>
        <w:r w:rsidRPr="00DC736E">
          <w:rPr>
            <w:rFonts w:eastAsia="Calibri" w:cs="Times New Roman"/>
          </w:rPr>
          <w:tab/>
        </w:r>
        <w:r w:rsidRPr="00DC736E">
          <w:rPr>
            <w:rFonts w:eastAsia="Calibri" w:cs="Times New Roman"/>
          </w:rPr>
          <w:tab/>
        </w:r>
        <w:r>
          <w:rPr>
            <w:rFonts w:eastAsia="Calibri" w:cs="Times New Roman"/>
          </w:rPr>
          <w:t xml:space="preserve">       </w:t>
        </w:r>
        <w:r w:rsidRPr="00DC736E">
          <w:rPr>
            <w:rFonts w:eastAsia="Calibri" w:cs="Times New Roman"/>
            <w:sz w:val="18"/>
          </w:rPr>
          <w:t xml:space="preserve">            </w:t>
        </w:r>
        <w:r>
          <w:rPr>
            <w:rFonts w:eastAsia="Calibri" w:cs="Times New Roman"/>
            <w:sz w:val="18"/>
          </w:rPr>
          <w:t xml:space="preserve">                  </w:t>
        </w:r>
        <w:r>
          <w:rPr>
            <w:rFonts w:eastAsia="Calibri" w:cs="Times New Roman"/>
            <w:smallCaps/>
            <w:sz w:val="18"/>
          </w:rPr>
          <w:t>April</w:t>
        </w:r>
        <w:r w:rsidRPr="00DC736E">
          <w:rPr>
            <w:rFonts w:eastAsia="Calibri" w:cs="Times New Roman"/>
            <w:sz w:val="18"/>
          </w:rPr>
          <w:t xml:space="preserve"> 2018</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eastAsia="Helvetica" w:cs="Times New Roman"/>
      </w:rPr>
      <w:id w:val="-612832562"/>
      <w:docPartObj>
        <w:docPartGallery w:val="Page Numbers (Bottom of Page)"/>
        <w:docPartUnique/>
      </w:docPartObj>
    </w:sdtPr>
    <w:sdtEndPr>
      <w:rPr>
        <w:noProof/>
      </w:rPr>
    </w:sdtEndPr>
    <w:sdtContent>
      <w:sdt>
        <w:sdtPr>
          <w:rPr>
            <w:rFonts w:eastAsia="Calibri" w:cs="Times New Roman"/>
          </w:rPr>
          <w:id w:val="76958116"/>
          <w:docPartObj>
            <w:docPartGallery w:val="Page Numbers (Bottom of Page)"/>
            <w:docPartUnique/>
          </w:docPartObj>
        </w:sdtPr>
        <w:sdtEndPr>
          <w:rPr>
            <w:noProof/>
          </w:rPr>
        </w:sdtEndPr>
        <w:sdtContent>
          <w:p w14:paraId="57AFD204" w14:textId="6BACDC81" w:rsidR="007E0F72" w:rsidRPr="008D2F48" w:rsidRDefault="007E0F72" w:rsidP="008D2F48">
            <w:pPr>
              <w:tabs>
                <w:tab w:val="center" w:pos="4680"/>
                <w:tab w:val="right" w:pos="9639"/>
              </w:tabs>
              <w:spacing w:before="0" w:after="0"/>
              <w:ind w:left="-283" w:right="-283"/>
              <w:jc w:val="left"/>
              <w:rPr>
                <w:rFonts w:eastAsia="Calibri" w:cs="Times New Roman"/>
              </w:rPr>
            </w:pPr>
            <w:r>
              <w:rPr>
                <w:rFonts w:eastAsia="Calibri" w:cs="Times New Roman"/>
                <w:smallCaps/>
                <w:sz w:val="18"/>
              </w:rPr>
              <w:t>April</w:t>
            </w:r>
            <w:r w:rsidRPr="008D2F48">
              <w:rPr>
                <w:rFonts w:eastAsia="Calibri" w:cs="Times New Roman"/>
                <w:smallCaps/>
                <w:sz w:val="18"/>
              </w:rPr>
              <w:t xml:space="preserve"> 2018</w:t>
            </w:r>
            <w:r w:rsidRPr="008D2F48">
              <w:rPr>
                <w:rFonts w:eastAsia="Calibri" w:cs="Times New Roman"/>
              </w:rPr>
              <w:tab/>
            </w:r>
            <w:r w:rsidRPr="008D2F48">
              <w:rPr>
                <w:rFonts w:eastAsia="Calibri" w:cs="Times New Roman"/>
              </w:rPr>
              <w:tab/>
            </w:r>
            <w:r w:rsidRPr="008D2F48">
              <w:rPr>
                <w:rFonts w:eastAsia="Calibri" w:cs="Times New Roman"/>
              </w:rPr>
              <w:fldChar w:fldCharType="begin"/>
            </w:r>
            <w:r w:rsidRPr="008D2F48">
              <w:rPr>
                <w:rFonts w:eastAsia="Calibri" w:cs="Times New Roman"/>
              </w:rPr>
              <w:instrText xml:space="preserve"> PAGE   \* MERGEFORMAT </w:instrText>
            </w:r>
            <w:r w:rsidRPr="008D2F48">
              <w:rPr>
                <w:rFonts w:eastAsia="Calibri" w:cs="Times New Roman"/>
              </w:rPr>
              <w:fldChar w:fldCharType="separate"/>
            </w:r>
            <w:r w:rsidR="000E6407">
              <w:rPr>
                <w:rFonts w:eastAsia="Calibri" w:cs="Times New Roman"/>
                <w:noProof/>
              </w:rPr>
              <w:t>665</w:t>
            </w:r>
            <w:r w:rsidRPr="008D2F48">
              <w:rPr>
                <w:rFonts w:eastAsia="Calibri" w:cs="Times New Roman"/>
                <w:noProof/>
              </w:rPr>
              <w:fldChar w:fldCharType="end"/>
            </w:r>
          </w:p>
        </w:sdtContent>
      </w:sdt>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BE179C" w14:textId="77777777" w:rsidR="007E0F72" w:rsidRDefault="007E0F72" w:rsidP="008D51C5">
    <w:pPr>
      <w:pStyle w:val="Footer"/>
      <w:spacing w:before="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F73DAA8" w14:textId="77777777" w:rsidR="007E0F72" w:rsidRDefault="007E0F72" w:rsidP="0061282C">
      <w:pPr>
        <w:spacing w:after="0"/>
      </w:pPr>
      <w:r>
        <w:separator/>
      </w:r>
    </w:p>
  </w:footnote>
  <w:footnote w:type="continuationSeparator" w:id="0">
    <w:p w14:paraId="4167FF88" w14:textId="77777777" w:rsidR="007E0F72" w:rsidRDefault="007E0F72" w:rsidP="0061282C">
      <w:pPr>
        <w:spacing w:after="0"/>
      </w:pPr>
      <w:r>
        <w:continuationSeparator/>
      </w:r>
    </w:p>
  </w:footnote>
  <w:footnote w:id="1">
    <w:p w14:paraId="7C8C029A" w14:textId="2224E483" w:rsidR="007E0F72" w:rsidRPr="00DA5EB5" w:rsidRDefault="007E0F72" w:rsidP="00BF52C3">
      <w:pPr>
        <w:pStyle w:val="FootnoteText"/>
      </w:pPr>
      <w:r w:rsidRPr="00DA5EB5">
        <w:rPr>
          <w:rStyle w:val="FootnoteReference"/>
          <w:sz w:val="18"/>
          <w:szCs w:val="18"/>
        </w:rPr>
        <w:footnoteRef/>
      </w:r>
      <w:r w:rsidRPr="00DA5EB5">
        <w:t xml:space="preserve"> </w:t>
      </w:r>
      <w:r w:rsidRPr="00DA5EB5">
        <w:rPr>
          <w:lang w:val="en-US"/>
        </w:rPr>
        <w:t xml:space="preserve">United Nations Convention </w:t>
      </w:r>
      <w:proofErr w:type="gramStart"/>
      <w:r w:rsidRPr="00DA5EB5">
        <w:rPr>
          <w:lang w:val="en-US"/>
        </w:rPr>
        <w:t>Against</w:t>
      </w:r>
      <w:proofErr w:type="gramEnd"/>
      <w:r w:rsidRPr="00DA5EB5">
        <w:rPr>
          <w:lang w:val="en-US"/>
        </w:rPr>
        <w:t xml:space="preserve"> Corruption, 9 to 11 December 2003, A/58/422, (entered into force 14 December 2005), online: &lt;</w:t>
      </w:r>
      <w:hyperlink r:id="rId1" w:history="1">
        <w:r w:rsidRPr="00DA5EB5">
          <w:rPr>
            <w:rStyle w:val="Hyperlink"/>
            <w:rFonts w:eastAsiaTheme="minorEastAsia" w:cs="Times"/>
            <w:szCs w:val="18"/>
            <w:lang w:val="en-US"/>
          </w:rPr>
          <w:t>https://www.unodc.org/documents/treaties/UNCAC/Publications/Convention/08-50026_E.pdf</w:t>
        </w:r>
      </w:hyperlink>
      <w:r w:rsidRPr="00DA5EB5">
        <w:rPr>
          <w:lang w:val="en-US"/>
        </w:rPr>
        <w:t xml:space="preserve">&gt;. </w:t>
      </w:r>
    </w:p>
  </w:footnote>
  <w:footnote w:id="2">
    <w:p w14:paraId="374A2993" w14:textId="0BBD5BDC" w:rsidR="007E0F72" w:rsidRPr="00DA5EB5" w:rsidRDefault="007E0F72" w:rsidP="00BF52C3">
      <w:pPr>
        <w:pStyle w:val="FootnoteText"/>
      </w:pPr>
      <w:r w:rsidRPr="00DA5EB5">
        <w:rPr>
          <w:rStyle w:val="FootnoteReference"/>
          <w:sz w:val="18"/>
          <w:szCs w:val="18"/>
        </w:rPr>
        <w:footnoteRef/>
      </w:r>
      <w:r w:rsidRPr="00DA5EB5">
        <w:t xml:space="preserve"> </w:t>
      </w:r>
      <w:r w:rsidRPr="00DA5EB5">
        <w:rPr>
          <w:lang w:val="en-US"/>
        </w:rPr>
        <w:t>OECD, OECD Convention on Combating Bribery of Foreign Public Officials in International Business Transactions, online: &lt;</w:t>
      </w:r>
      <w:hyperlink r:id="rId2" w:history="1">
        <w:r w:rsidRPr="00DA5EB5">
          <w:rPr>
            <w:rStyle w:val="Hyperlink"/>
            <w:rFonts w:eastAsiaTheme="minorEastAsia" w:cs="Times"/>
            <w:szCs w:val="18"/>
            <w:lang w:val="en-US"/>
          </w:rPr>
          <w:t>http://www.oecd.org/daf/anti-bribery/ConvCombatBribery_ENG.pdf</w:t>
        </w:r>
      </w:hyperlink>
      <w:r w:rsidRPr="00DA5EB5">
        <w:rPr>
          <w:lang w:val="en-US"/>
        </w:rPr>
        <w:t xml:space="preserve">&gt;. </w:t>
      </w:r>
    </w:p>
  </w:footnote>
  <w:footnote w:id="3">
    <w:p w14:paraId="511AB023" w14:textId="2D954696" w:rsidR="007E0F72" w:rsidRPr="00DA5EB5" w:rsidRDefault="007E0F72" w:rsidP="00BF52C3">
      <w:pPr>
        <w:pStyle w:val="FootnoteText"/>
      </w:pPr>
      <w:r w:rsidRPr="00DA5EB5">
        <w:rPr>
          <w:rStyle w:val="FootnoteReference"/>
        </w:rPr>
        <w:footnoteRef/>
      </w:r>
      <w:r w:rsidRPr="00DA5EB5">
        <w:t xml:space="preserve"> 18 USC.</w:t>
      </w:r>
    </w:p>
  </w:footnote>
  <w:footnote w:id="4">
    <w:p w14:paraId="6A1E4B75" w14:textId="619565FE" w:rsidR="007E0F72" w:rsidRPr="00DA5EB5" w:rsidRDefault="007E0F72" w:rsidP="00BF52C3">
      <w:pPr>
        <w:pStyle w:val="FootnoteText"/>
        <w:rPr>
          <w:rFonts w:eastAsia="Times New Roman" w:cs="Times New Roman"/>
          <w:sz w:val="24"/>
          <w:szCs w:val="24"/>
          <w:lang w:val="en-US"/>
        </w:rPr>
      </w:pPr>
      <w:r w:rsidRPr="00DA5EB5">
        <w:rPr>
          <w:rStyle w:val="FootnoteReference"/>
        </w:rPr>
        <w:footnoteRef/>
      </w:r>
      <w:r w:rsidRPr="00DA5EB5">
        <w:t xml:space="preserve"> </w:t>
      </w:r>
      <w:r w:rsidRPr="00DA5EB5">
        <w:rPr>
          <w:rFonts w:eastAsia="Times New Roman" w:cs="Times New Roman"/>
          <w:bCs/>
          <w:i/>
          <w:color w:val="000000" w:themeColor="text1"/>
          <w:shd w:val="clear" w:color="auto" w:fill="FFFFFF"/>
          <w:lang w:val="en-US"/>
        </w:rPr>
        <w:t>Foreign Corrupt Practices Act</w:t>
      </w:r>
      <w:r w:rsidRPr="00DA5EB5">
        <w:rPr>
          <w:rFonts w:eastAsia="Times New Roman" w:cs="Times New Roman"/>
          <w:color w:val="000000" w:themeColor="text1"/>
          <w:shd w:val="clear" w:color="auto" w:fill="FFFFFF"/>
          <w:lang w:val="en-US"/>
        </w:rPr>
        <w:t> of 1977, as amended, 15 USC §§ 78dd-1, et seq</w:t>
      </w:r>
      <w:r w:rsidRPr="00DA5EB5">
        <w:rPr>
          <w:rFonts w:eastAsia="Times New Roman" w:cs="Times New Roman"/>
          <w:color w:val="545454"/>
          <w:shd w:val="clear" w:color="auto" w:fill="FFFFFF"/>
          <w:lang w:val="en-US"/>
        </w:rPr>
        <w:t>.</w:t>
      </w:r>
    </w:p>
  </w:footnote>
  <w:footnote w:id="5">
    <w:p w14:paraId="54DDEC2C" w14:textId="4E619CFA" w:rsidR="007E0F72" w:rsidRPr="00DA5EB5" w:rsidRDefault="007E0F72" w:rsidP="00BF52C3">
      <w:pPr>
        <w:pStyle w:val="FootnoteText"/>
      </w:pPr>
      <w:r w:rsidRPr="00DA5EB5">
        <w:rPr>
          <w:rStyle w:val="FootnoteReference"/>
        </w:rPr>
        <w:footnoteRef/>
      </w:r>
      <w:r w:rsidRPr="00DA5EB5">
        <w:t xml:space="preserve"> United States Sentencing Commission, </w:t>
      </w:r>
      <w:r w:rsidRPr="00DA5EB5">
        <w:rPr>
          <w:i/>
        </w:rPr>
        <w:t xml:space="preserve">Guidelines Manual </w:t>
      </w:r>
      <w:r w:rsidRPr="00DA5EB5">
        <w:t>[Guidelines Manual (2014)]</w:t>
      </w:r>
      <w:r w:rsidRPr="00DA5EB5">
        <w:rPr>
          <w:i/>
        </w:rPr>
        <w:t xml:space="preserve"> </w:t>
      </w:r>
      <w:r w:rsidRPr="00DA5EB5">
        <w:t>(November, 2014),</w:t>
      </w:r>
      <w:r w:rsidRPr="00DA5EB5">
        <w:cr/>
      </w:r>
      <w:proofErr w:type="gramStart"/>
      <w:r w:rsidRPr="00DA5EB5">
        <w:t>online</w:t>
      </w:r>
      <w:proofErr w:type="gramEnd"/>
      <w:r w:rsidRPr="00DA5EB5">
        <w:t>: &lt;</w:t>
      </w:r>
      <w:hyperlink r:id="rId3" w:history="1">
        <w:r w:rsidRPr="00DA5EB5">
          <w:rPr>
            <w:rStyle w:val="Hyperlink"/>
            <w:szCs w:val="18"/>
          </w:rPr>
          <w:t>http://www.ussc.gov/sites/default/files/pdf/guidelines-manual/2014/GLMFull.pdf</w:t>
        </w:r>
      </w:hyperlink>
      <w:r w:rsidRPr="00DA5EB5">
        <w:rPr>
          <w:rStyle w:val="Hyperlink"/>
          <w:color w:val="000000" w:themeColor="text1"/>
          <w:szCs w:val="18"/>
          <w:u w:val="none"/>
        </w:rPr>
        <w:t>&gt;</w:t>
      </w:r>
      <w:r w:rsidRPr="00DA5EB5">
        <w:rPr>
          <w:color w:val="000000" w:themeColor="text1"/>
        </w:rPr>
        <w:t>.</w:t>
      </w:r>
    </w:p>
  </w:footnote>
  <w:footnote w:id="6">
    <w:p w14:paraId="2087AE9E" w14:textId="77777777" w:rsidR="007E0F72" w:rsidRPr="00DA5EB5" w:rsidRDefault="007E0F72" w:rsidP="00272227">
      <w:pPr>
        <w:pStyle w:val="FootnoteText"/>
      </w:pPr>
      <w:r w:rsidRPr="00DA5EB5">
        <w:rPr>
          <w:rStyle w:val="FootnoteReference"/>
          <w:sz w:val="18"/>
          <w:szCs w:val="18"/>
        </w:rPr>
        <w:footnoteRef/>
      </w:r>
      <w:r w:rsidRPr="00DA5EB5">
        <w:t xml:space="preserve"> </w:t>
      </w:r>
      <w:r w:rsidRPr="00DA5EB5">
        <w:rPr>
          <w:i/>
        </w:rPr>
        <w:t xml:space="preserve">United States v Booker, </w:t>
      </w:r>
      <w:r w:rsidRPr="00DA5EB5">
        <w:t>125 S Ct 738 (2005).</w:t>
      </w:r>
    </w:p>
  </w:footnote>
  <w:footnote w:id="7">
    <w:p w14:paraId="4261BA00" w14:textId="5187C424" w:rsidR="007E0F72" w:rsidRPr="00DA5EB5" w:rsidRDefault="007E0F72" w:rsidP="00BF52C3">
      <w:pPr>
        <w:pStyle w:val="FootnoteText"/>
      </w:pPr>
      <w:r w:rsidRPr="00DA5EB5">
        <w:rPr>
          <w:rStyle w:val="FootnoteReference"/>
          <w:sz w:val="18"/>
          <w:szCs w:val="18"/>
        </w:rPr>
        <w:footnoteRef/>
      </w:r>
      <w:r w:rsidRPr="00DA5EB5">
        <w:t xml:space="preserve"> As stated in </w:t>
      </w:r>
      <w:r w:rsidRPr="00DA5EB5">
        <w:rPr>
          <w:rStyle w:val="Strong"/>
          <w:b w:val="0"/>
          <w:color w:val="000000"/>
          <w:szCs w:val="18"/>
          <w:lang w:val="en"/>
        </w:rPr>
        <w:t>§4A1.2</w:t>
      </w:r>
      <w:proofErr w:type="gramStart"/>
      <w:r w:rsidRPr="00DA5EB5">
        <w:rPr>
          <w:rStyle w:val="Strong"/>
          <w:b w:val="0"/>
          <w:color w:val="000000"/>
          <w:szCs w:val="18"/>
          <w:lang w:val="en"/>
        </w:rPr>
        <w:t>.(</w:t>
      </w:r>
      <w:proofErr w:type="gramEnd"/>
      <w:r w:rsidRPr="00DA5EB5">
        <w:rPr>
          <w:rStyle w:val="Strong"/>
          <w:b w:val="0"/>
          <w:color w:val="000000"/>
          <w:szCs w:val="18"/>
          <w:lang w:val="en"/>
        </w:rPr>
        <w:t>a)(1),</w:t>
      </w:r>
      <w:r w:rsidRPr="00DA5EB5">
        <w:rPr>
          <w:rStyle w:val="Strong"/>
          <w:color w:val="000000"/>
          <w:szCs w:val="18"/>
          <w:lang w:val="en"/>
        </w:rPr>
        <w:t xml:space="preserve"> “</w:t>
      </w:r>
      <w:r w:rsidRPr="00DA5EB5">
        <w:rPr>
          <w:color w:val="000000"/>
          <w:lang w:val="en"/>
        </w:rPr>
        <w:t xml:space="preserve">[t]he term "prior sentence" means any sentence previously imposed upon adjudication of guilt, whether by guilty plea, trial, or plea of </w:t>
      </w:r>
      <w:r w:rsidRPr="00DA5EB5">
        <w:rPr>
          <w:i/>
          <w:color w:val="000000"/>
          <w:lang w:val="en"/>
        </w:rPr>
        <w:t>nolo contendere</w:t>
      </w:r>
      <w:r w:rsidRPr="00DA5EB5">
        <w:rPr>
          <w:color w:val="000000"/>
          <w:lang w:val="en"/>
        </w:rPr>
        <w:t xml:space="preserve">, for conduct not part of the instant offense” and (c) “[a] conviction for which the imposition or execution of sentence was totally suspended or stayed shall be counted as a prior sentence.” </w:t>
      </w:r>
      <w:r w:rsidRPr="00DA5EB5">
        <w:t>Certain offenses are excluded from calculation, including offenses for which the sentence was imposed more than ten years prior to the instant offense (or five years if the prior offense was committed prior to the offender’s 18</w:t>
      </w:r>
      <w:r w:rsidRPr="00DA5EB5">
        <w:rPr>
          <w:vertAlign w:val="superscript"/>
        </w:rPr>
        <w:t>th</w:t>
      </w:r>
      <w:r w:rsidRPr="00DA5EB5">
        <w:t xml:space="preserve"> birthday) and certain minor offenses such as hitchhiking and public intoxication. The offender can receive a maximum of four points for sentences that do not result in incarceration for at least 60 days, whereas two points are given for each prior sentence of at least 60 days and three points for each prior sentence exceeding one year and one month. </w:t>
      </w:r>
    </w:p>
  </w:footnote>
  <w:footnote w:id="8">
    <w:p w14:paraId="3A29670B" w14:textId="77777777" w:rsidR="007E0F72" w:rsidRPr="00DA5EB5" w:rsidRDefault="007E0F72" w:rsidP="00BF52C3">
      <w:pPr>
        <w:pStyle w:val="FootnoteText"/>
      </w:pPr>
      <w:r w:rsidRPr="00DA5EB5">
        <w:rPr>
          <w:rStyle w:val="FootnoteReference"/>
          <w:sz w:val="18"/>
          <w:szCs w:val="18"/>
        </w:rPr>
        <w:footnoteRef/>
      </w:r>
      <w:r w:rsidRPr="00DA5EB5">
        <w:t xml:space="preserve"> For a full description of the Criminal History and Criminal Livelihood score see Guidelines Manual (2014).</w:t>
      </w:r>
    </w:p>
  </w:footnote>
  <w:footnote w:id="9">
    <w:p w14:paraId="6162F10D" w14:textId="77777777" w:rsidR="007E0F72" w:rsidRPr="00DA5EB5" w:rsidRDefault="007E0F72" w:rsidP="00BF52C3">
      <w:pPr>
        <w:pStyle w:val="FootnoteText"/>
        <w:rPr>
          <w:bdr w:val="none" w:sz="0" w:space="0" w:color="auto" w:frame="1"/>
          <w:lang w:val="en"/>
        </w:rPr>
      </w:pPr>
      <w:r w:rsidRPr="00DA5EB5">
        <w:rPr>
          <w:rStyle w:val="FootnoteReference"/>
          <w:sz w:val="18"/>
          <w:szCs w:val="18"/>
        </w:rPr>
        <w:footnoteRef/>
      </w:r>
      <w:r w:rsidRPr="00DA5EB5">
        <w:t xml:space="preserve"> For a full description of the zones and their impact see </w:t>
      </w:r>
      <w:r w:rsidRPr="00DA5EB5">
        <w:rPr>
          <w:i/>
        </w:rPr>
        <w:t>ibid,</w:t>
      </w:r>
      <w:r w:rsidRPr="00DA5EB5">
        <w:t xml:space="preserve"> </w:t>
      </w:r>
      <w:r w:rsidRPr="00DA5EB5">
        <w:rPr>
          <w:rFonts w:eastAsia="Times New Roman"/>
          <w:bCs/>
          <w:color w:val="000000"/>
          <w:bdr w:val="none" w:sz="0" w:space="0" w:color="auto" w:frame="1"/>
          <w:lang w:val="en" w:eastAsia="en-CA"/>
        </w:rPr>
        <w:t>§ 5C1.1 (Imposition of a Term of Imprisonment).</w:t>
      </w:r>
      <w:r w:rsidRPr="00DA5EB5">
        <w:t xml:space="preserve"> </w:t>
      </w:r>
      <w:r w:rsidRPr="00DA5EB5">
        <w:rPr>
          <w:rStyle w:val="Strong"/>
          <w:b w:val="0"/>
          <w:color w:val="000000"/>
          <w:szCs w:val="18"/>
          <w:lang w:val="en"/>
        </w:rPr>
        <w:t xml:space="preserve">For a full description of departures from guidelines ranges, see </w:t>
      </w:r>
      <w:r w:rsidRPr="00DA5EB5">
        <w:rPr>
          <w:rStyle w:val="Strong"/>
          <w:b w:val="0"/>
          <w:i/>
          <w:color w:val="000000"/>
          <w:szCs w:val="18"/>
          <w:lang w:val="en"/>
        </w:rPr>
        <w:t xml:space="preserve">ibid, </w:t>
      </w:r>
      <w:proofErr w:type="spellStart"/>
      <w:r w:rsidRPr="00DA5EB5">
        <w:rPr>
          <w:rStyle w:val="Strong"/>
          <w:b w:val="0"/>
          <w:color w:val="000000"/>
          <w:szCs w:val="18"/>
          <w:lang w:val="en"/>
        </w:rPr>
        <w:t>ch</w:t>
      </w:r>
      <w:proofErr w:type="spellEnd"/>
      <w:r w:rsidRPr="00DA5EB5">
        <w:rPr>
          <w:rStyle w:val="Strong"/>
          <w:b w:val="0"/>
          <w:color w:val="000000"/>
          <w:szCs w:val="18"/>
          <w:lang w:val="en"/>
        </w:rPr>
        <w:t xml:space="preserve"> 5, </w:t>
      </w:r>
      <w:proofErr w:type="spellStart"/>
      <w:r w:rsidRPr="00DA5EB5">
        <w:rPr>
          <w:rStyle w:val="Strong"/>
          <w:b w:val="0"/>
          <w:color w:val="000000"/>
          <w:szCs w:val="18"/>
          <w:lang w:val="en"/>
        </w:rPr>
        <w:t>pt</w:t>
      </w:r>
      <w:proofErr w:type="spellEnd"/>
      <w:r w:rsidRPr="00DA5EB5">
        <w:rPr>
          <w:rStyle w:val="Strong"/>
          <w:b w:val="0"/>
          <w:color w:val="000000"/>
          <w:szCs w:val="18"/>
          <w:lang w:val="en"/>
        </w:rPr>
        <w:t xml:space="preserve"> K (Departures). </w:t>
      </w:r>
    </w:p>
  </w:footnote>
  <w:footnote w:id="10">
    <w:p w14:paraId="06B6A93E" w14:textId="77777777" w:rsidR="007E0F72" w:rsidRPr="00DA5EB5" w:rsidRDefault="007E0F72" w:rsidP="00BF52C3">
      <w:pPr>
        <w:pStyle w:val="FootnoteText"/>
        <w:rPr>
          <w:sz w:val="20"/>
        </w:rPr>
      </w:pPr>
      <w:r w:rsidRPr="00DA5EB5">
        <w:rPr>
          <w:rStyle w:val="FootnoteReference"/>
          <w:sz w:val="18"/>
          <w:szCs w:val="18"/>
        </w:rPr>
        <w:footnoteRef/>
      </w:r>
      <w:r w:rsidRPr="00DA5EB5">
        <w:t xml:space="preserve"> Guidelines Manual (2014).</w:t>
      </w:r>
    </w:p>
  </w:footnote>
  <w:footnote w:id="11">
    <w:p w14:paraId="65B3AEE3"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United States of America v Bernard K Watkins</w:t>
      </w:r>
      <w:r w:rsidRPr="00DA5EB5">
        <w:t>, Case No. 1:09CR490 (ND Ohio 2010). United States District Court of Ohio, Eastern Division 2010 US Dist. LEXIS 90133.</w:t>
      </w:r>
    </w:p>
  </w:footnote>
  <w:footnote w:id="12">
    <w:p w14:paraId="7D0F2828"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18 USC § 3553 (Imposition of a sentence), online: &lt;</w:t>
      </w:r>
      <w:hyperlink r:id="rId4" w:history="1">
        <w:r w:rsidRPr="00DA5EB5">
          <w:rPr>
            <w:rStyle w:val="Hyperlink"/>
            <w:color w:val="auto"/>
            <w:szCs w:val="18"/>
            <w:u w:val="none"/>
          </w:rPr>
          <w:t>http://www.law.cornell.edu/uscode/text/18/3553</w:t>
        </w:r>
      </w:hyperlink>
      <w:r w:rsidRPr="00DA5EB5">
        <w:rPr>
          <w:rStyle w:val="Hyperlink"/>
          <w:color w:val="auto"/>
          <w:szCs w:val="18"/>
          <w:u w:val="none"/>
        </w:rPr>
        <w:t>&gt;</w:t>
      </w:r>
      <w:r w:rsidRPr="00DA5EB5">
        <w:rPr>
          <w:szCs w:val="18"/>
        </w:rPr>
        <w:t xml:space="preserve">. </w:t>
      </w:r>
    </w:p>
  </w:footnote>
  <w:footnote w:id="13">
    <w:p w14:paraId="08CDA67F" w14:textId="010CE54E" w:rsidR="007E0F72" w:rsidRPr="00DA5EB5" w:rsidRDefault="007E0F72" w:rsidP="00BF52C3">
      <w:pPr>
        <w:pStyle w:val="FootnoteText"/>
      </w:pPr>
      <w:r w:rsidRPr="00DA5EB5">
        <w:rPr>
          <w:rStyle w:val="FootnoteReference"/>
          <w:sz w:val="18"/>
          <w:szCs w:val="18"/>
        </w:rPr>
        <w:footnoteRef/>
      </w:r>
      <w:r w:rsidRPr="00DA5EB5">
        <w:rPr>
          <w:szCs w:val="18"/>
        </w:rPr>
        <w:t xml:space="preserve"> Guidelines</w:t>
      </w:r>
      <w:r w:rsidRPr="00DA5EB5">
        <w:t xml:space="preserve"> Manual (2014), § </w:t>
      </w:r>
      <w:proofErr w:type="gramStart"/>
      <w:r w:rsidRPr="00DA5EB5">
        <w:t>2C1.1(</w:t>
      </w:r>
      <w:proofErr w:type="gramEnd"/>
      <w:r w:rsidRPr="00DA5EB5">
        <w:t>b).</w:t>
      </w:r>
    </w:p>
  </w:footnote>
  <w:footnote w:id="14">
    <w:p w14:paraId="119A99E0" w14:textId="77777777" w:rsidR="007E0F72" w:rsidRPr="00DA5EB5" w:rsidRDefault="007E0F72" w:rsidP="00BF52C3">
      <w:pPr>
        <w:pStyle w:val="FootnoteText"/>
        <w:rPr>
          <w:rFonts w:cstheme="minorHAnsi"/>
        </w:rPr>
      </w:pPr>
      <w:r w:rsidRPr="00DA5EB5">
        <w:rPr>
          <w:rStyle w:val="FootnoteReference"/>
          <w:rFonts w:cstheme="minorHAnsi"/>
        </w:rPr>
        <w:footnoteRef/>
      </w:r>
      <w:r w:rsidRPr="00DA5EB5">
        <w:rPr>
          <w:rFonts w:cstheme="minorHAnsi"/>
        </w:rPr>
        <w:t xml:space="preserve"> </w:t>
      </w:r>
      <w:r w:rsidRPr="00DA5EB5">
        <w:rPr>
          <w:i/>
        </w:rPr>
        <w:t>Ibid</w:t>
      </w:r>
      <w:r w:rsidRPr="00DA5EB5">
        <w:t xml:space="preserve"> at </w:t>
      </w:r>
      <w:r w:rsidRPr="00DA5EB5">
        <w:rPr>
          <w:rStyle w:val="Strong"/>
          <w:b w:val="0"/>
          <w:color w:val="000000"/>
          <w:szCs w:val="18"/>
          <w:lang w:val="en"/>
        </w:rPr>
        <w:t>§ 2B1.1 (Larceny, Embezzlement, and Other Forms of Theft; Offenses Involving Stolen Property; Property Damage or Destruction; Fraud and Deceit; Forgery; Offenses Involving Altered or Counterfeit Instruments Other than Counterfeit Bearer Obligations of the United States).</w:t>
      </w:r>
    </w:p>
  </w:footnote>
  <w:footnote w:id="15">
    <w:p w14:paraId="11256531" w14:textId="40F6893D" w:rsidR="007E0F72" w:rsidRPr="00DA5EB5" w:rsidRDefault="007E0F72" w:rsidP="00BF52C3">
      <w:pPr>
        <w:pStyle w:val="FootnoteText"/>
      </w:pPr>
      <w:r w:rsidRPr="00DA5EB5">
        <w:rPr>
          <w:rStyle w:val="FootnoteReference"/>
          <w:sz w:val="18"/>
          <w:szCs w:val="18"/>
        </w:rPr>
        <w:footnoteRef/>
      </w:r>
      <w:r w:rsidRPr="00DA5EB5">
        <w:t xml:space="preserve"> In </w:t>
      </w:r>
      <w:r w:rsidRPr="00DA5EB5">
        <w:rPr>
          <w:i/>
        </w:rPr>
        <w:t xml:space="preserve">United States of America v Jeffery Edwards, </w:t>
      </w:r>
      <w:r w:rsidRPr="00DA5EB5">
        <w:t>378 US App DC 86 (2007), an asbestos inspector was sentenced to 33 months in prison for bribery and extortion. As stated by Garland J:</w:t>
      </w:r>
    </w:p>
    <w:p w14:paraId="62A7C7BD" w14:textId="77777777" w:rsidR="007E0F72" w:rsidRPr="00DA5EB5" w:rsidRDefault="007E0F72" w:rsidP="00272227">
      <w:pPr>
        <w:pStyle w:val="FootnoteText"/>
        <w:ind w:left="720" w:right="720"/>
        <w:jc w:val="both"/>
      </w:pPr>
      <w:r w:rsidRPr="00DA5EB5">
        <w:t xml:space="preserve">Jeffrey Edwards was a District of Columbia asbestos inspector who issued a permit to a contracting company that allowed the company to conduct an asbestos abatement project. He told the company that he thought a more costly abatement procedure was required by the applicable regulations, but that he would permit it to use a less costly procedure if it paid him $10,000. Unfortunately for Edwards, the FBI videotaped the transaction, and he was arrested and then convicted for bribery and extortion. The district court sentenced Edwards to 33 months in prison. Edwards now appeals, contending that the court erred in its application of the United States </w:t>
      </w:r>
      <w:r w:rsidRPr="00DA5EB5">
        <w:rPr>
          <w:bCs/>
        </w:rPr>
        <w:t xml:space="preserve">Sentencing </w:t>
      </w:r>
      <w:r w:rsidRPr="00DA5EB5">
        <w:t xml:space="preserve">Guidelines. </w:t>
      </w:r>
    </w:p>
    <w:p w14:paraId="59A68DAD" w14:textId="6844D631" w:rsidR="007E0F72" w:rsidRPr="00DA5EB5" w:rsidRDefault="007E0F72" w:rsidP="00BF52C3">
      <w:pPr>
        <w:pStyle w:val="FootnoteText"/>
        <w:rPr>
          <w:rFonts w:cstheme="minorHAnsi"/>
        </w:rPr>
      </w:pPr>
      <w:r w:rsidRPr="00DA5EB5">
        <w:t xml:space="preserve">The parties agreed that § 2C1.1 of the </w:t>
      </w:r>
      <w:r w:rsidRPr="00DA5EB5">
        <w:rPr>
          <w:i/>
        </w:rPr>
        <w:t xml:space="preserve">Sentencing Guidelines </w:t>
      </w:r>
      <w:r w:rsidRPr="00DA5EB5">
        <w:t>was applicable, but disagreed on the amount of level enhancement. Edwards argued the court should consider the value of the bribe, $10,000, and apply a two-level increase. The government argued that the less costly procedure made a difference of $200,000, corresponding to a ten-level increase. The court found the cost difference to be $100,000 and increased the offense level by eight, making the guideline range 30-37 months. The 33-month sentence imposed by the court under this range was upheld on appeal.</w:t>
      </w:r>
    </w:p>
  </w:footnote>
  <w:footnote w:id="16">
    <w:p w14:paraId="659614E4" w14:textId="4B5AF1C9" w:rsidR="007E0F72" w:rsidRPr="00DA5EB5" w:rsidRDefault="007E0F72" w:rsidP="00BF52C3">
      <w:pPr>
        <w:pStyle w:val="FootnoteText"/>
      </w:pPr>
      <w:r w:rsidRPr="00DA5EB5">
        <w:rPr>
          <w:rStyle w:val="FootnoteReference"/>
          <w:sz w:val="18"/>
          <w:szCs w:val="18"/>
        </w:rPr>
        <w:footnoteRef/>
      </w:r>
      <w:r w:rsidRPr="00DA5EB5">
        <w:t xml:space="preserve"> </w:t>
      </w:r>
      <w:r w:rsidRPr="00DA5EB5">
        <w:rPr>
          <w:rFonts w:eastAsia="Times New Roman"/>
          <w:bCs/>
          <w:bdr w:val="none" w:sz="0" w:space="0" w:color="auto" w:frame="1"/>
          <w:lang w:val="en" w:eastAsia="en-CA"/>
        </w:rPr>
        <w:t xml:space="preserve">In </w:t>
      </w:r>
      <w:r w:rsidRPr="00DA5EB5">
        <w:rPr>
          <w:rFonts w:eastAsia="Times New Roman"/>
          <w:bCs/>
          <w:i/>
          <w:bdr w:val="none" w:sz="0" w:space="0" w:color="auto" w:frame="1"/>
          <w:lang w:val="en" w:eastAsia="en-CA"/>
        </w:rPr>
        <w:t xml:space="preserve">United States of America v Quincy Richard </w:t>
      </w:r>
      <w:proofErr w:type="spellStart"/>
      <w:r w:rsidRPr="00DA5EB5">
        <w:rPr>
          <w:rFonts w:eastAsia="Times New Roman"/>
          <w:bCs/>
          <w:i/>
          <w:bdr w:val="none" w:sz="0" w:space="0" w:color="auto" w:frame="1"/>
          <w:lang w:val="en" w:eastAsia="en-CA"/>
        </w:rPr>
        <w:t>Sr</w:t>
      </w:r>
      <w:proofErr w:type="spellEnd"/>
      <w:r w:rsidRPr="00DA5EB5">
        <w:rPr>
          <w:rFonts w:eastAsia="Times New Roman"/>
          <w:bCs/>
          <w:i/>
          <w:bdr w:val="none" w:sz="0" w:space="0" w:color="auto" w:frame="1"/>
          <w:lang w:val="en" w:eastAsia="en-CA"/>
        </w:rPr>
        <w:t xml:space="preserve">, </w:t>
      </w:r>
      <w:r w:rsidRPr="00DA5EB5">
        <w:rPr>
          <w:rFonts w:eastAsia="Times New Roman"/>
          <w:bCs/>
          <w:bdr w:val="none" w:sz="0" w:space="0" w:color="auto" w:frame="1"/>
          <w:lang w:val="en" w:eastAsia="en-CA"/>
        </w:rPr>
        <w:t>775 F (3d) 287 (2014), the offender, a former member of a school board, pledged to support an applicant for School Board Superintendent in exchange for $5,000. A co-accused also was to receive $5,000. The applicant for Superintendent was a government informant. Following a trial, Richard was found guilty of conspiracy to commit bribery and two counts of bribery. Richard was sentenced to 33 months in prison and three years’ supervised release per count to be served concurrently. The district court increased the offense level by two levels because the two bribes totaled</w:t>
      </w:r>
      <w:r w:rsidRPr="00DA5EB5">
        <w:rPr>
          <w:rFonts w:eastAsia="Times New Roman"/>
          <w:bCs/>
          <w:sz w:val="20"/>
          <w:bdr w:val="none" w:sz="0" w:space="0" w:color="auto" w:frame="1"/>
          <w:lang w:val="en" w:eastAsia="en-CA"/>
        </w:rPr>
        <w:t xml:space="preserve"> </w:t>
      </w:r>
      <w:r w:rsidRPr="00DA5EB5">
        <w:rPr>
          <w:rFonts w:eastAsia="Times New Roman"/>
          <w:bCs/>
          <w:bdr w:val="none" w:sz="0" w:space="0" w:color="auto" w:frame="1"/>
          <w:lang w:val="en" w:eastAsia="en-CA"/>
        </w:rPr>
        <w:t>$10,000. Richard appealed on various grounds, including that he should be responsible for, at most, $5,000. The Court of Appeal upheld the entire sentence including the two-level increase, noting that the total bribe was the greatest amount of the bribe or loss to the government.</w:t>
      </w:r>
    </w:p>
  </w:footnote>
  <w:footnote w:id="17">
    <w:p w14:paraId="49AC5003" w14:textId="1FF88290" w:rsidR="007E0F72" w:rsidRPr="00DA5EB5" w:rsidRDefault="007E0F72" w:rsidP="00BF52C3">
      <w:pPr>
        <w:pStyle w:val="FootnoteText"/>
      </w:pPr>
      <w:r w:rsidRPr="00DA5EB5">
        <w:rPr>
          <w:rStyle w:val="FootnoteReference"/>
          <w:sz w:val="18"/>
          <w:szCs w:val="18"/>
        </w:rPr>
        <w:footnoteRef/>
      </w:r>
      <w:r w:rsidRPr="00DA5EB5">
        <w:t xml:space="preserve"> </w:t>
      </w:r>
      <w:r w:rsidRPr="00DA5EB5">
        <w:rPr>
          <w:rFonts w:eastAsia="Times New Roman"/>
          <w:bCs/>
          <w:bdr w:val="none" w:sz="0" w:space="0" w:color="auto" w:frame="1"/>
          <w:lang w:val="en" w:eastAsia="en-CA"/>
        </w:rPr>
        <w:t xml:space="preserve">In </w:t>
      </w:r>
      <w:r w:rsidRPr="00DA5EB5">
        <w:rPr>
          <w:i/>
        </w:rPr>
        <w:t>United States of America v Charles Gary-Don Abbey</w:t>
      </w:r>
      <w:r w:rsidRPr="00DA5EB5">
        <w:t>, 560 F (3d) 513 (2009), Abbey, a city administrator,</w:t>
      </w:r>
      <w:r w:rsidRPr="00DA5EB5">
        <w:rPr>
          <w:sz w:val="20"/>
        </w:rPr>
        <w:t xml:space="preserve"> </w:t>
      </w:r>
      <w:r w:rsidRPr="00DA5EB5">
        <w:t>accepted a free</w:t>
      </w:r>
      <w:r w:rsidRPr="00DA5EB5">
        <w:rPr>
          <w:sz w:val="20"/>
        </w:rPr>
        <w:t xml:space="preserve"> </w:t>
      </w:r>
      <w:r w:rsidRPr="00DA5EB5">
        <w:t xml:space="preserve">building lot from a land developer. He was convicted of conspiracy to bribe a public official, solicitation of a bribe, and extortion by a public official and was sentenced to 15 months imprisonment. The sentencing court applied a four-level enhancement due to the value of the lot exceeding $20,000. Abbey argued on appeal “that the land was basically worthless because he had to pay certain assessments on it after receipt, and further that the only relevant criteria was his subjective impression of the property's value.” The court rejected this argument, finding the value of loss ordinarily means the fair market value and is determined objectively. The government presented evidence of surrounding lots selling for more than $20,000 and the bank from whom Abbey sought a mortgage estimated the lots’ value at $40,000. The district court applied the value over $20,000 and the Court of Appeal held that value was “not clearly erroneous” and upheld the sentence. </w:t>
      </w:r>
    </w:p>
  </w:footnote>
  <w:footnote w:id="18">
    <w:p w14:paraId="72864D1E" w14:textId="093904B6"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United States of America v Bridget </w:t>
      </w:r>
      <w:proofErr w:type="spellStart"/>
      <w:r w:rsidRPr="00DA5EB5">
        <w:rPr>
          <w:i/>
          <w:szCs w:val="18"/>
        </w:rPr>
        <w:t>McCafferty</w:t>
      </w:r>
      <w:proofErr w:type="spellEnd"/>
      <w:r w:rsidRPr="00DA5EB5">
        <w:rPr>
          <w:szCs w:val="18"/>
        </w:rPr>
        <w:t xml:space="preserve">, 2012 US Lexis 11247 (6th Cir 2012). </w:t>
      </w:r>
    </w:p>
  </w:footnote>
  <w:footnote w:id="19">
    <w:p w14:paraId="2549636C"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VIII C.</w:t>
      </w:r>
    </w:p>
  </w:footnote>
  <w:footnote w:id="20">
    <w:p w14:paraId="0B77F2E4" w14:textId="0AF589F1" w:rsidR="007E0F72" w:rsidRPr="00DA5EB5" w:rsidRDefault="007E0F72" w:rsidP="00BF52C3">
      <w:pPr>
        <w:pStyle w:val="FootnoteText"/>
        <w:rPr>
          <w:color w:val="FF0000"/>
          <w:szCs w:val="18"/>
        </w:rPr>
      </w:pPr>
      <w:r w:rsidRPr="00DA5EB5">
        <w:rPr>
          <w:rStyle w:val="FootnoteReference"/>
          <w:sz w:val="18"/>
          <w:szCs w:val="18"/>
        </w:rPr>
        <w:footnoteRef/>
      </w:r>
      <w:r w:rsidRPr="00DA5EB5">
        <w:rPr>
          <w:szCs w:val="18"/>
        </w:rPr>
        <w:t xml:space="preserve"> For the full indictment, </w:t>
      </w:r>
      <w:r w:rsidRPr="00DA5EB5">
        <w:rPr>
          <w:szCs w:val="18"/>
        </w:rPr>
        <w:t>see</w:t>
      </w:r>
      <w:r w:rsidR="000E6407">
        <w:rPr>
          <w:szCs w:val="18"/>
        </w:rPr>
        <w:t>:</w:t>
      </w:r>
      <w:bookmarkStart w:id="26" w:name="_GoBack"/>
      <w:bookmarkEnd w:id="26"/>
      <w:r w:rsidRPr="00DA5EB5">
        <w:rPr>
          <w:szCs w:val="18"/>
        </w:rPr>
        <w:t xml:space="preserve"> &lt;</w:t>
      </w:r>
      <w:hyperlink r:id="rId5" w:history="1">
        <w:r w:rsidRPr="00DA5EB5">
          <w:rPr>
            <w:color w:val="0000FF" w:themeColor="hyperlink"/>
            <w:szCs w:val="18"/>
            <w:u w:val="single"/>
          </w:rPr>
          <w:t>https://www.justice.gov/archive/usao/iln/chicago/2009/pr0402_01a.pdf</w:t>
        </w:r>
      </w:hyperlink>
      <w:r w:rsidRPr="00DA5EB5">
        <w:rPr>
          <w:szCs w:val="18"/>
        </w:rPr>
        <w:t>&gt;.</w:t>
      </w:r>
    </w:p>
  </w:footnote>
  <w:footnote w:id="21">
    <w:p w14:paraId="13ADC157" w14:textId="466E783F"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Monica Davey, “Blagojevich Sentenced to 14 Years in Prison”, </w:t>
      </w:r>
      <w:r w:rsidRPr="00DA5EB5">
        <w:rPr>
          <w:i/>
          <w:szCs w:val="18"/>
        </w:rPr>
        <w:t xml:space="preserve">The New York Times </w:t>
      </w:r>
      <w:r w:rsidRPr="00DA5EB5">
        <w:rPr>
          <w:szCs w:val="18"/>
        </w:rPr>
        <w:t>(7 December 2011), online: &lt;</w:t>
      </w:r>
      <w:hyperlink r:id="rId6" w:history="1">
        <w:r w:rsidRPr="00DA5EB5">
          <w:rPr>
            <w:rStyle w:val="Hyperlink"/>
            <w:szCs w:val="18"/>
          </w:rPr>
          <w:t>http://www.nytimes.com/2011/12/08/us/blagojevich-expresses-remorse-in-courtroom-speech.html?_r=0</w:t>
        </w:r>
      </w:hyperlink>
      <w:r w:rsidRPr="00DA5EB5">
        <w:rPr>
          <w:szCs w:val="18"/>
        </w:rPr>
        <w:t xml:space="preserve">&gt;. </w:t>
      </w:r>
    </w:p>
  </w:footnote>
  <w:footnote w:id="22">
    <w:p w14:paraId="49FAA9C3" w14:textId="1A607D1C"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“Ex-Gov. Rob Blagojevich to appeal 14-year prison sentence”, </w:t>
      </w:r>
      <w:r w:rsidRPr="00DA5EB5">
        <w:rPr>
          <w:i/>
          <w:szCs w:val="18"/>
        </w:rPr>
        <w:t>Chicago Tribune</w:t>
      </w:r>
      <w:r w:rsidRPr="00DA5EB5">
        <w:rPr>
          <w:szCs w:val="18"/>
        </w:rPr>
        <w:t xml:space="preserve"> (23 August 2016), online: &lt;</w:t>
      </w:r>
      <w:hyperlink r:id="rId7" w:history="1">
        <w:r w:rsidRPr="00DA5EB5">
          <w:rPr>
            <w:rStyle w:val="Hyperlink"/>
            <w:szCs w:val="18"/>
          </w:rPr>
          <w:t>http://www.chicagotribune.com/news/local/breaking/ct-rod-blagojevich-appeal-prison-sentence-20160823-story.html</w:t>
        </w:r>
      </w:hyperlink>
      <w:r w:rsidRPr="00DA5EB5">
        <w:rPr>
          <w:szCs w:val="18"/>
        </w:rPr>
        <w:t>&gt;.</w:t>
      </w:r>
    </w:p>
  </w:footnote>
  <w:footnote w:id="23">
    <w:p w14:paraId="5DD3FA8C" w14:textId="66790E83" w:rsidR="007E0F72" w:rsidRPr="00DA5EB5" w:rsidRDefault="007E0F72" w:rsidP="00BF52C3">
      <w:pPr>
        <w:pStyle w:val="FootnoteText"/>
      </w:pPr>
      <w:r w:rsidRPr="00DA5EB5">
        <w:rPr>
          <w:rStyle w:val="FootnoteReference"/>
          <w:sz w:val="18"/>
        </w:rPr>
        <w:footnoteRef/>
      </w:r>
      <w:r w:rsidRPr="00DA5EB5">
        <w:rPr>
          <w:rStyle w:val="FootnoteReference"/>
          <w:sz w:val="18"/>
        </w:rPr>
        <w:t xml:space="preserve"> </w:t>
      </w:r>
      <w:r w:rsidRPr="00DA5EB5">
        <w:t xml:space="preserve">“Ex-Gov. Rob </w:t>
      </w:r>
      <w:proofErr w:type="spellStart"/>
      <w:r w:rsidRPr="00DA5EB5">
        <w:t>Blagojevicj</w:t>
      </w:r>
      <w:proofErr w:type="spellEnd"/>
      <w:r w:rsidRPr="00DA5EB5">
        <w:t xml:space="preserve"> loses appeal as judges quickly uphold 14-year prison term”, </w:t>
      </w:r>
      <w:r w:rsidRPr="00DA5EB5">
        <w:rPr>
          <w:i/>
        </w:rPr>
        <w:t xml:space="preserve">Chicago Tribune </w:t>
      </w:r>
      <w:r w:rsidRPr="00DA5EB5">
        <w:t>(21 April 2017), online: &lt;</w:t>
      </w:r>
      <w:hyperlink r:id="rId8" w:history="1">
        <w:r w:rsidRPr="00DA5EB5">
          <w:rPr>
            <w:rStyle w:val="Hyperlink"/>
          </w:rPr>
          <w:t>http://www.chicagotribune.com/news/local/breaking/ct-rod-blagojevich-appeal-20170421-story.html</w:t>
        </w:r>
      </w:hyperlink>
      <w:r w:rsidRPr="00DA5EB5">
        <w:t xml:space="preserve">&gt;. </w:t>
      </w:r>
    </w:p>
  </w:footnote>
  <w:footnote w:id="24">
    <w:p w14:paraId="49C05557" w14:textId="77777777" w:rsidR="007E0F72" w:rsidRPr="00DA5EB5" w:rsidRDefault="007E0F72" w:rsidP="00272227">
      <w:pPr>
        <w:pStyle w:val="FootnoteText"/>
        <w:rPr>
          <w:szCs w:val="18"/>
        </w:rPr>
      </w:pPr>
      <w:r w:rsidRPr="00DA5EB5">
        <w:rPr>
          <w:rStyle w:val="FootnoteReference"/>
          <w:sz w:val="18"/>
          <w:szCs w:val="18"/>
        </w:rPr>
        <w:footnoteRef/>
      </w:r>
      <w:r w:rsidRPr="00DA5EB5">
        <w:rPr>
          <w:szCs w:val="18"/>
        </w:rPr>
        <w:t xml:space="preserve"> </w:t>
      </w:r>
      <w:r w:rsidRPr="00DA5EB5">
        <w:rPr>
          <w:i/>
          <w:szCs w:val="18"/>
        </w:rPr>
        <w:t>United States of America v Richard G Renzi</w:t>
      </w:r>
      <w:r w:rsidRPr="00DA5EB5">
        <w:rPr>
          <w:szCs w:val="18"/>
        </w:rPr>
        <w:t xml:space="preserve">, </w:t>
      </w:r>
      <w:r w:rsidRPr="00DA5EB5">
        <w:rPr>
          <w:bCs/>
          <w:szCs w:val="18"/>
        </w:rPr>
        <w:t xml:space="preserve">769 F (3d) 731 (9th Cir 2014). </w:t>
      </w:r>
    </w:p>
  </w:footnote>
  <w:footnote w:id="25">
    <w:p w14:paraId="7E87686F" w14:textId="77777777" w:rsidR="007E0F72" w:rsidRPr="00DA5EB5" w:rsidRDefault="007E0F72" w:rsidP="00BF52C3">
      <w:pPr>
        <w:pStyle w:val="FootnoteText"/>
      </w:pPr>
      <w:r w:rsidRPr="00DA5EB5">
        <w:rPr>
          <w:rStyle w:val="FootnoteReference"/>
          <w:sz w:val="18"/>
          <w:szCs w:val="18"/>
        </w:rPr>
        <w:footnoteRef/>
      </w:r>
      <w:r w:rsidRPr="00DA5EB5">
        <w:rPr>
          <w:i/>
        </w:rPr>
        <w:t xml:space="preserve"> Ibid</w:t>
      </w:r>
      <w:r w:rsidRPr="00DA5EB5">
        <w:t xml:space="preserve"> at IX.</w:t>
      </w:r>
    </w:p>
  </w:footnote>
  <w:footnote w:id="26">
    <w:p w14:paraId="7B9C2C28" w14:textId="6AADF613"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United States of America v Richard McDonough</w:t>
      </w:r>
      <w:r w:rsidRPr="00DA5EB5">
        <w:t xml:space="preserve">, </w:t>
      </w:r>
      <w:r w:rsidRPr="00DA5EB5">
        <w:rPr>
          <w:bCs/>
        </w:rPr>
        <w:t>727 F (3d) 143 (1st Cir 2013).</w:t>
      </w:r>
    </w:p>
  </w:footnote>
  <w:footnote w:id="27">
    <w:p w14:paraId="516ECEDF" w14:textId="77777777" w:rsidR="007E0F72" w:rsidRPr="00DA5EB5" w:rsidRDefault="007E0F72" w:rsidP="00272227">
      <w:pPr>
        <w:pStyle w:val="FootnoteText"/>
      </w:pPr>
      <w:r w:rsidRPr="00DA5EB5">
        <w:rPr>
          <w:rStyle w:val="FootnoteReference"/>
          <w:sz w:val="18"/>
          <w:szCs w:val="18"/>
        </w:rPr>
        <w:footnoteRef/>
      </w:r>
      <w:r w:rsidRPr="00DA5EB5">
        <w:t xml:space="preserve"> </w:t>
      </w:r>
      <w:r w:rsidRPr="00DA5EB5">
        <w:rPr>
          <w:i/>
        </w:rPr>
        <w:t>United States of America v Joseph Paulus</w:t>
      </w:r>
      <w:r w:rsidRPr="00DA5EB5">
        <w:t xml:space="preserve">, </w:t>
      </w:r>
      <w:r w:rsidRPr="00DA5EB5">
        <w:rPr>
          <w:bCs/>
        </w:rPr>
        <w:t xml:space="preserve">331 F </w:t>
      </w:r>
      <w:proofErr w:type="spellStart"/>
      <w:r w:rsidRPr="00DA5EB5">
        <w:rPr>
          <w:bCs/>
        </w:rPr>
        <w:t>Supp</w:t>
      </w:r>
      <w:proofErr w:type="spellEnd"/>
      <w:r w:rsidRPr="00DA5EB5">
        <w:rPr>
          <w:bCs/>
        </w:rPr>
        <w:t xml:space="preserve"> (2d) 727 (ED </w:t>
      </w:r>
      <w:proofErr w:type="spellStart"/>
      <w:r w:rsidRPr="00DA5EB5">
        <w:rPr>
          <w:bCs/>
        </w:rPr>
        <w:t>Wis</w:t>
      </w:r>
      <w:proofErr w:type="spellEnd"/>
      <w:r w:rsidRPr="00DA5EB5">
        <w:rPr>
          <w:bCs/>
        </w:rPr>
        <w:t xml:space="preserve">). </w:t>
      </w:r>
    </w:p>
  </w:footnote>
  <w:footnote w:id="28">
    <w:p w14:paraId="44EA70B3"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Ibid</w:t>
      </w:r>
      <w:r w:rsidRPr="00DA5EB5">
        <w:t xml:space="preserve"> at para 16.</w:t>
      </w:r>
    </w:p>
  </w:footnote>
  <w:footnote w:id="29">
    <w:p w14:paraId="51CCC748" w14:textId="31E9E197" w:rsidR="007E0F72" w:rsidRPr="00DA5EB5" w:rsidRDefault="007E0F72" w:rsidP="00BF52C3">
      <w:pPr>
        <w:pStyle w:val="FootnoteText"/>
        <w:rPr>
          <w:rStyle w:val="Hyperlink"/>
          <w:szCs w:val="18"/>
          <w:lang w:val="en"/>
        </w:rPr>
      </w:pPr>
      <w:r w:rsidRPr="00DA5EB5">
        <w:rPr>
          <w:rStyle w:val="FootnoteReference"/>
          <w:sz w:val="18"/>
          <w:szCs w:val="18"/>
        </w:rPr>
        <w:footnoteRef/>
      </w:r>
      <w:r w:rsidRPr="00DA5EB5">
        <w:t xml:space="preserve"> </w:t>
      </w:r>
      <w:r w:rsidRPr="00DA5EB5">
        <w:rPr>
          <w:rFonts w:eastAsia="Times New Roman"/>
          <w:bCs/>
          <w:color w:val="000000"/>
          <w:bdr w:val="none" w:sz="0" w:space="0" w:color="auto" w:frame="1"/>
          <w:lang w:val="en" w:eastAsia="en-CA"/>
        </w:rPr>
        <w:t>For the full guideline text of these provisions, see: &lt;</w:t>
      </w:r>
      <w:hyperlink r:id="rId9" w:history="1">
        <w:r w:rsidRPr="00DA5EB5">
          <w:rPr>
            <w:rStyle w:val="Hyperlink"/>
            <w:szCs w:val="18"/>
            <w:lang w:val="en"/>
          </w:rPr>
          <w:t>http://www.ussc.gov/sites/default/files/pdf/guidelines-manual/</w:t>
        </w:r>
        <w:r w:rsidRPr="00DA5EB5">
          <w:rPr>
            <w:rStyle w:val="Hyperlink"/>
            <w:szCs w:val="18"/>
            <w:lang w:val="en"/>
          </w:rPr>
          <w:br/>
          <w:t>2014/CHAPTER_2.pdf</w:t>
        </w:r>
      </w:hyperlink>
      <w:r w:rsidRPr="00DA5EB5">
        <w:rPr>
          <w:rStyle w:val="Hyperlink"/>
          <w:color w:val="000000" w:themeColor="text1"/>
          <w:szCs w:val="18"/>
          <w:u w:val="none"/>
          <w:lang w:val="en"/>
        </w:rPr>
        <w:t>&gt;.</w:t>
      </w:r>
    </w:p>
    <w:p w14:paraId="3805FD15" w14:textId="77777777" w:rsidR="007E0F72" w:rsidRPr="00DA5EB5" w:rsidRDefault="007E0F72" w:rsidP="00BF52C3">
      <w:pPr>
        <w:pStyle w:val="FootnoteText"/>
      </w:pPr>
    </w:p>
  </w:footnote>
  <w:footnote w:id="30">
    <w:p w14:paraId="58CAE5FE" w14:textId="224E79DC"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spacing w:val="-1"/>
          <w:szCs w:val="18"/>
        </w:rPr>
        <w:t xml:space="preserve">18 USC </w:t>
      </w:r>
      <w:r w:rsidRPr="00DA5EB5">
        <w:rPr>
          <w:caps/>
          <w:spacing w:val="-1"/>
          <w:kern w:val="36"/>
          <w:szCs w:val="18"/>
          <w:lang w:val="en"/>
        </w:rPr>
        <w:t>§ 3572 (</w:t>
      </w:r>
      <w:r w:rsidRPr="00DA5EB5">
        <w:rPr>
          <w:spacing w:val="-1"/>
          <w:szCs w:val="18"/>
        </w:rPr>
        <w:t>Imposition</w:t>
      </w:r>
      <w:r w:rsidRPr="00DA5EB5">
        <w:rPr>
          <w:spacing w:val="-1"/>
        </w:rPr>
        <w:t xml:space="preserve"> of sentence of fine and related matters), online:</w:t>
      </w:r>
      <w:r w:rsidRPr="00DA5EB5">
        <w:rPr>
          <w:caps/>
          <w:spacing w:val="-1"/>
          <w:kern w:val="36"/>
          <w:lang w:val="en"/>
        </w:rPr>
        <w:t xml:space="preserve"> &lt;</w:t>
      </w:r>
      <w:hyperlink r:id="rId10" w:history="1">
        <w:r w:rsidRPr="00DA5EB5">
          <w:rPr>
            <w:rStyle w:val="Hyperlink"/>
            <w:spacing w:val="-1"/>
            <w:szCs w:val="18"/>
          </w:rPr>
          <w:t>http://www.law.cornell.edu/uscode/text/18/3572</w:t>
        </w:r>
      </w:hyperlink>
      <w:r w:rsidRPr="00DA5EB5">
        <w:rPr>
          <w:rStyle w:val="Hyperlink"/>
          <w:color w:val="000000" w:themeColor="text1"/>
          <w:spacing w:val="-1"/>
          <w:szCs w:val="18"/>
          <w:u w:val="none"/>
        </w:rPr>
        <w:t>&gt;</w:t>
      </w:r>
      <w:r w:rsidRPr="00DA5EB5">
        <w:rPr>
          <w:color w:val="000000" w:themeColor="text1"/>
          <w:spacing w:val="-1"/>
        </w:rPr>
        <w:t>.</w:t>
      </w:r>
      <w:r w:rsidRPr="00DA5EB5">
        <w:t xml:space="preserve"> </w:t>
      </w:r>
    </w:p>
  </w:footnote>
  <w:footnote w:id="31">
    <w:p w14:paraId="1243A5F8" w14:textId="159FA7E4" w:rsidR="007E0F72" w:rsidRPr="00DA5EB5" w:rsidRDefault="007E0F72" w:rsidP="00BF52C3">
      <w:pPr>
        <w:pStyle w:val="FootnoteText"/>
      </w:pPr>
      <w:r w:rsidRPr="00DA5EB5">
        <w:rPr>
          <w:rStyle w:val="FootnoteReference"/>
          <w:sz w:val="18"/>
          <w:szCs w:val="18"/>
        </w:rPr>
        <w:footnoteRef/>
      </w:r>
      <w:r w:rsidRPr="00DA5EB5">
        <w:rPr>
          <w:szCs w:val="18"/>
        </w:rPr>
        <w:t xml:space="preserve"> Susan Rose-Ackerman,</w:t>
      </w:r>
      <w:r w:rsidRPr="00DA5EB5">
        <w:t xml:space="preserve"> “The Law and Economics of Bribery and Extortion” (2010) 6 Annual Rev Law </w:t>
      </w:r>
      <w:proofErr w:type="spellStart"/>
      <w:r w:rsidRPr="00DA5EB5">
        <w:t>Soc</w:t>
      </w:r>
      <w:proofErr w:type="spellEnd"/>
      <w:r w:rsidRPr="00DA5EB5">
        <w:t xml:space="preserve"> </w:t>
      </w:r>
      <w:proofErr w:type="spellStart"/>
      <w:r w:rsidRPr="00DA5EB5">
        <w:t>Sci</w:t>
      </w:r>
      <w:proofErr w:type="spellEnd"/>
      <w:r w:rsidRPr="00DA5EB5">
        <w:t xml:space="preserve"> 217 at 225.</w:t>
      </w:r>
    </w:p>
  </w:footnote>
  <w:footnote w:id="32">
    <w:p w14:paraId="30501087" w14:textId="408CB3C4" w:rsidR="007E0F72" w:rsidRPr="00DA5EB5" w:rsidRDefault="007E0F72" w:rsidP="00BF52C3">
      <w:pPr>
        <w:pStyle w:val="FootnoteText"/>
      </w:pPr>
      <w:r w:rsidRPr="00DA5EB5">
        <w:rPr>
          <w:rStyle w:val="FootnoteReference"/>
          <w:sz w:val="18"/>
        </w:rPr>
        <w:footnoteRef/>
      </w:r>
      <w:r w:rsidRPr="00DA5EB5">
        <w:t xml:space="preserve"> Guidelines Manual (2014) </w:t>
      </w:r>
      <w:proofErr w:type="spellStart"/>
      <w:r w:rsidRPr="00DA5EB5">
        <w:t>ch</w:t>
      </w:r>
      <w:proofErr w:type="spellEnd"/>
      <w:r w:rsidRPr="00DA5EB5">
        <w:t xml:space="preserve"> 8, intro comment.</w:t>
      </w:r>
    </w:p>
  </w:footnote>
  <w:footnote w:id="33">
    <w:p w14:paraId="57076FD3" w14:textId="58D508CC" w:rsidR="007E0F72" w:rsidRPr="00DA5EB5" w:rsidRDefault="007E0F72" w:rsidP="00BF52C3">
      <w:pPr>
        <w:pStyle w:val="FootnoteText"/>
      </w:pPr>
      <w:r w:rsidRPr="00DA5EB5">
        <w:rPr>
          <w:rStyle w:val="FootnoteReference"/>
          <w:sz w:val="18"/>
          <w:szCs w:val="18"/>
        </w:rPr>
        <w:footnoteRef/>
      </w:r>
      <w:r w:rsidRPr="00DA5EB5">
        <w:t xml:space="preserve"> Rose-Ackerman argues that fines should be a multiple of the gain to the organization, since the chances of being caught are far below 100%. See Rose-Ackerman, (2010) at 225.</w:t>
      </w:r>
    </w:p>
  </w:footnote>
  <w:footnote w:id="34">
    <w:p w14:paraId="5F83515C"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Ibid,</w:t>
      </w:r>
      <w:r w:rsidRPr="00DA5EB5">
        <w:t xml:space="preserve"> </w:t>
      </w:r>
      <w:r w:rsidRPr="00DA5EB5">
        <w:rPr>
          <w:rStyle w:val="Strong"/>
          <w:b w:val="0"/>
          <w:color w:val="000000"/>
          <w:szCs w:val="18"/>
          <w:lang w:val="en"/>
        </w:rPr>
        <w:t>§ 8C2.4.</w:t>
      </w:r>
    </w:p>
  </w:footnote>
  <w:footnote w:id="35">
    <w:p w14:paraId="7FC4CCCE" w14:textId="77777777" w:rsidR="007E0F72" w:rsidRPr="00DA5EB5" w:rsidRDefault="007E0F72" w:rsidP="00BF52C3">
      <w:pPr>
        <w:pStyle w:val="FootnoteText"/>
      </w:pPr>
      <w:r w:rsidRPr="00DA5EB5">
        <w:rPr>
          <w:rStyle w:val="FootnoteReference"/>
          <w:sz w:val="18"/>
          <w:szCs w:val="18"/>
        </w:rPr>
        <w:footnoteRef/>
      </w:r>
      <w:r w:rsidRPr="00DA5EB5">
        <w:t xml:space="preserve"> Guidelines Manual (2014), </w:t>
      </w:r>
      <w:r w:rsidRPr="00DA5EB5">
        <w:rPr>
          <w:rStyle w:val="Strong"/>
          <w:b w:val="0"/>
          <w:color w:val="000000"/>
          <w:szCs w:val="18"/>
          <w:lang w:val="en"/>
        </w:rPr>
        <w:t>§ 8C2.4</w:t>
      </w:r>
      <w:r w:rsidRPr="00DA5EB5">
        <w:t>.</w:t>
      </w:r>
    </w:p>
  </w:footnote>
  <w:footnote w:id="36">
    <w:p w14:paraId="72EF3D30"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Ibid,</w:t>
      </w:r>
      <w:r w:rsidRPr="00DA5EB5">
        <w:t xml:space="preserve"> </w:t>
      </w:r>
      <w:r w:rsidRPr="00DA5EB5">
        <w:rPr>
          <w:rStyle w:val="Strong"/>
          <w:b w:val="0"/>
          <w:szCs w:val="18"/>
          <w:lang w:val="en"/>
        </w:rPr>
        <w:t>§ 8C2.6</w:t>
      </w:r>
      <w:r w:rsidRPr="00DA5EB5">
        <w:rPr>
          <w:rStyle w:val="Strong"/>
          <w:szCs w:val="18"/>
          <w:lang w:val="en"/>
        </w:rPr>
        <w:t xml:space="preserve">. </w:t>
      </w:r>
      <w:r w:rsidRPr="00DA5EB5">
        <w:t xml:space="preserve">For a full description of the sentencing guidelines for organizations (including a discussion of restitution, effective compliance and ethics programs, determination of fines including departures from guideline fine ranges, organizational probation, and violations of probation), see </w:t>
      </w:r>
      <w:r w:rsidRPr="00DA5EB5">
        <w:rPr>
          <w:i/>
        </w:rPr>
        <w:t>ibid.</w:t>
      </w:r>
    </w:p>
  </w:footnote>
  <w:footnote w:id="37">
    <w:p w14:paraId="772FFEA3" w14:textId="77777777" w:rsidR="007E0F72" w:rsidRPr="00DA5EB5" w:rsidRDefault="007E0F72" w:rsidP="00BF52C3">
      <w:pPr>
        <w:pStyle w:val="FootnoteText"/>
        <w:rPr>
          <w:szCs w:val="22"/>
        </w:rPr>
      </w:pPr>
      <w:r w:rsidRPr="00DA5EB5">
        <w:rPr>
          <w:rStyle w:val="FootnoteReference"/>
          <w:sz w:val="18"/>
          <w:szCs w:val="18"/>
        </w:rPr>
        <w:footnoteRef/>
      </w:r>
      <w:r w:rsidRPr="00DA5EB5">
        <w:t xml:space="preserve"> </w:t>
      </w:r>
      <w:r w:rsidRPr="00DA5EB5">
        <w:rPr>
          <w:i/>
        </w:rPr>
        <w:t xml:space="preserve">A Resource Guide to the U.S. Foreign Corrupt Practices Act </w:t>
      </w:r>
      <w:r w:rsidRPr="00DA5EB5">
        <w:t>(Department of Justice and Securities Exchange Commission, 2012) at 53, online: &lt;</w:t>
      </w:r>
      <w:hyperlink r:id="rId11" w:history="1">
        <w:r w:rsidRPr="00DA5EB5">
          <w:rPr>
            <w:rStyle w:val="Hyperlink"/>
            <w:rFonts w:eastAsia="Calibri"/>
            <w:szCs w:val="18"/>
          </w:rPr>
          <w:t>http://www.justice.gov/criminal/fraud/fcpa/guidance/guide.pdf</w:t>
        </w:r>
      </w:hyperlink>
      <w:r w:rsidRPr="00DA5EB5">
        <w:t>&gt;.</w:t>
      </w:r>
    </w:p>
  </w:footnote>
  <w:footnote w:id="38">
    <w:p w14:paraId="2DCB6B65" w14:textId="77777777" w:rsidR="007E0F72" w:rsidRPr="00DA5EB5" w:rsidRDefault="007E0F72" w:rsidP="0074473E">
      <w:pPr>
        <w:pStyle w:val="FootnoteText"/>
      </w:pPr>
      <w:r w:rsidRPr="00DA5EB5">
        <w:rPr>
          <w:rStyle w:val="FootnoteReference"/>
          <w:sz w:val="18"/>
        </w:rPr>
        <w:footnoteRef/>
      </w:r>
      <w:r w:rsidRPr="00DA5EB5">
        <w:t xml:space="preserve"> </w:t>
      </w:r>
      <w:r w:rsidRPr="00DA5EB5">
        <w:rPr>
          <w:i/>
        </w:rPr>
        <w:t>Ibid</w:t>
      </w:r>
      <w:r w:rsidRPr="00DA5EB5">
        <w:t xml:space="preserve"> at 68-69. </w:t>
      </w:r>
    </w:p>
  </w:footnote>
  <w:footnote w:id="39">
    <w:p w14:paraId="7A26E780" w14:textId="3DA0D9B2" w:rsidR="007E0F72" w:rsidRPr="00DA5EB5" w:rsidRDefault="007E0F72" w:rsidP="00BF52C3">
      <w:pPr>
        <w:pStyle w:val="FootnoteText"/>
      </w:pPr>
      <w:r w:rsidRPr="00DA5EB5">
        <w:rPr>
          <w:rStyle w:val="FootnoteReference"/>
          <w:sz w:val="18"/>
        </w:rPr>
        <w:footnoteRef/>
      </w:r>
      <w:r w:rsidRPr="00DA5EB5">
        <w:rPr>
          <w:vertAlign w:val="superscript"/>
        </w:rPr>
        <w:t xml:space="preserve"> </w:t>
      </w:r>
      <w:r w:rsidRPr="00DA5EB5">
        <w:t>Richard Cassin, “</w:t>
      </w:r>
      <w:proofErr w:type="spellStart"/>
      <w:r w:rsidRPr="00DA5EB5">
        <w:t>Och</w:t>
      </w:r>
      <w:proofErr w:type="spellEnd"/>
      <w:r w:rsidRPr="00DA5EB5">
        <w:t xml:space="preserve">-Ziff takes fourth spot on our new Top Ten list” (4 October 2016), </w:t>
      </w:r>
      <w:r w:rsidRPr="00DA5EB5">
        <w:rPr>
          <w:i/>
        </w:rPr>
        <w:t>The FCPA Blog</w:t>
      </w:r>
      <w:r w:rsidRPr="00DA5EB5">
        <w:t>, online: &lt;</w:t>
      </w:r>
      <w:hyperlink r:id="rId12" w:history="1">
        <w:r w:rsidRPr="00DA5EB5">
          <w:rPr>
            <w:rStyle w:val="Hyperlink"/>
          </w:rPr>
          <w:t>http://www.fcpablog.com/blog/2016/10/4/och-ziff-takes-fourth-spot-on-our-new-top-ten-list.html - sthash.mYslwT7F.dpuf</w:t>
        </w:r>
      </w:hyperlink>
      <w:r w:rsidRPr="00DA5EB5">
        <w:t>&gt;.</w:t>
      </w:r>
    </w:p>
  </w:footnote>
  <w:footnote w:id="40">
    <w:p w14:paraId="50BA70CE" w14:textId="66A8CFFA" w:rsidR="007E0F72" w:rsidRPr="00DA5EB5" w:rsidRDefault="007E0F72" w:rsidP="00BF52C3">
      <w:pPr>
        <w:pStyle w:val="FootnoteText"/>
        <w:rPr>
          <w:szCs w:val="18"/>
        </w:rPr>
      </w:pPr>
      <w:r w:rsidRPr="00DA5EB5">
        <w:rPr>
          <w:rStyle w:val="FootnoteReference"/>
          <w:sz w:val="18"/>
        </w:rPr>
        <w:footnoteRef/>
      </w:r>
      <w:r w:rsidRPr="00DA5EB5">
        <w:t xml:space="preserve"> </w:t>
      </w:r>
      <w:r w:rsidRPr="00DA5EB5">
        <w:rPr>
          <w:szCs w:val="18"/>
        </w:rPr>
        <w:t xml:space="preserve">Jacinta </w:t>
      </w:r>
      <w:proofErr w:type="spellStart"/>
      <w:r w:rsidRPr="00DA5EB5">
        <w:rPr>
          <w:szCs w:val="18"/>
        </w:rPr>
        <w:t>Anyango</w:t>
      </w:r>
      <w:proofErr w:type="spellEnd"/>
      <w:r w:rsidRPr="00DA5EB5">
        <w:rPr>
          <w:szCs w:val="18"/>
        </w:rPr>
        <w:t xml:space="preserve"> </w:t>
      </w:r>
      <w:proofErr w:type="spellStart"/>
      <w:r w:rsidRPr="00DA5EB5">
        <w:rPr>
          <w:szCs w:val="18"/>
        </w:rPr>
        <w:t>Oduor</w:t>
      </w:r>
      <w:proofErr w:type="spellEnd"/>
      <w:r w:rsidRPr="00DA5EB5">
        <w:rPr>
          <w:szCs w:val="18"/>
        </w:rPr>
        <w:t xml:space="preserve"> et al, </w:t>
      </w:r>
      <w:r w:rsidRPr="00DA5EB5">
        <w:rPr>
          <w:i/>
          <w:szCs w:val="18"/>
        </w:rPr>
        <w:t>Left Out of the Bargain: Settlements in Foreign Bribery Cases and Implications for Asset Recovery</w:t>
      </w:r>
      <w:r w:rsidRPr="00DA5EB5">
        <w:rPr>
          <w:szCs w:val="18"/>
        </w:rPr>
        <w:t xml:space="preserve"> (World Bank, 2014) at 109.</w:t>
      </w:r>
      <w:r w:rsidRPr="00DA5EB5">
        <w:t xml:space="preserve"> </w:t>
      </w:r>
    </w:p>
  </w:footnote>
  <w:footnote w:id="41">
    <w:p w14:paraId="1B867065" w14:textId="3E447499"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For the full SFO press release see: </w:t>
      </w:r>
      <w:hyperlink r:id="rId13" w:history="1">
        <w:r w:rsidRPr="0061209A">
          <w:rPr>
            <w:rStyle w:val="Hyperlink"/>
            <w:szCs w:val="18"/>
          </w:rPr>
          <w:t>http://webarchive.nationalarchives.gov.uk/20101220171831/</w:t>
        </w:r>
        <w:r w:rsidRPr="0061209A">
          <w:rPr>
            <w:rStyle w:val="Hyperlink"/>
            <w:szCs w:val="18"/>
          </w:rPr>
          <w:br/>
          <w:t>http://www.sfo.gov.uk//press-room/latest-press-releases/press-releases-2010/bae-systems-plc.aspx</w:t>
        </w:r>
      </w:hyperlink>
      <w:r w:rsidRPr="00DA5EB5">
        <w:rPr>
          <w:szCs w:val="18"/>
        </w:rPr>
        <w:t>. The reparation payment was slated for Tanzania’s education needs. The Tanzania government, with the help and advice of the UK Department for International Development (UK DFID), submitted a detailed proposal for the allocation of the funds to the SFO. The proposal was accepted and the UK DFID continues to assist Tanzania in its use of the funds. See Larissa Gray et al,</w:t>
      </w:r>
      <w:r w:rsidRPr="00DA5EB5">
        <w:rPr>
          <w:i/>
          <w:szCs w:val="18"/>
        </w:rPr>
        <w:t xml:space="preserve"> Few and Far: The Hard Facts on Stolen Asset Recovery</w:t>
      </w:r>
      <w:r w:rsidRPr="00DA5EB5">
        <w:rPr>
          <w:szCs w:val="18"/>
        </w:rPr>
        <w:t xml:space="preserve"> (World Bank and OECD, 2014) at 6, online: &lt;</w:t>
      </w:r>
      <w:hyperlink r:id="rId14" w:history="1">
        <w:r w:rsidRPr="00DA5EB5">
          <w:rPr>
            <w:rStyle w:val="Hyperlink"/>
            <w:szCs w:val="18"/>
          </w:rPr>
          <w:t>https://star.worldbank.org/star/publication/few-and-far-hard-facts-stolen-asset-recovery</w:t>
        </w:r>
      </w:hyperlink>
      <w:r w:rsidRPr="00DA5EB5">
        <w:rPr>
          <w:szCs w:val="18"/>
        </w:rPr>
        <w:t>&gt;.</w:t>
      </w:r>
    </w:p>
  </w:footnote>
  <w:footnote w:id="42">
    <w:p w14:paraId="0F929934" w14:textId="1CB566EF"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szCs w:val="18"/>
          <w:lang w:val="en"/>
        </w:rPr>
        <w:t>For the media note on the settlement with the Department of State see: &lt;</w:t>
      </w:r>
      <w:hyperlink r:id="rId15" w:history="1">
        <w:r w:rsidRPr="00DA5EB5">
          <w:rPr>
            <w:rStyle w:val="Hyperlink"/>
            <w:szCs w:val="18"/>
            <w:lang w:val="en"/>
          </w:rPr>
          <w:t>http://www.state.gov/r/pa/prs/ps/2011/05/163530.htm&gt;.</w:t>
        </w:r>
      </w:hyperlink>
    </w:p>
  </w:footnote>
  <w:footnote w:id="43">
    <w:p w14:paraId="060C1073" w14:textId="7FF205AE" w:rsidR="007E0F72" w:rsidRPr="00DA5EB5" w:rsidRDefault="007E0F72" w:rsidP="00BF52C3">
      <w:pPr>
        <w:pStyle w:val="FootnoteText"/>
      </w:pPr>
      <w:r w:rsidRPr="00DA5EB5">
        <w:rPr>
          <w:rStyle w:val="FootnoteReference"/>
          <w:sz w:val="18"/>
        </w:rPr>
        <w:footnoteRef/>
      </w:r>
      <w:r w:rsidRPr="00DA5EB5">
        <w:t xml:space="preserve"> </w:t>
      </w:r>
      <w:r w:rsidRPr="00DA5EB5">
        <w:rPr>
          <w:szCs w:val="18"/>
          <w:lang w:val="en"/>
        </w:rPr>
        <w:t>For the full DOJ press release see: &lt;</w:t>
      </w:r>
      <w:hyperlink r:id="rId16" w:history="1">
        <w:r w:rsidRPr="00DA5EB5">
          <w:rPr>
            <w:rStyle w:val="Hyperlink"/>
            <w:szCs w:val="18"/>
            <w:lang w:val="en"/>
          </w:rPr>
          <w:t>http://www.justice.gov/opa/pr/bae-systems-plc-pleads-guilty-and-ordered-pay-400-million-criminal-fine</w:t>
        </w:r>
      </w:hyperlink>
      <w:r w:rsidRPr="00DA5EB5">
        <w:rPr>
          <w:rStyle w:val="Hyperlink"/>
          <w:color w:val="auto"/>
          <w:szCs w:val="18"/>
          <w:u w:val="none"/>
          <w:lang w:val="en"/>
        </w:rPr>
        <w:t>&gt;</w:t>
      </w:r>
      <w:r w:rsidRPr="00DA5EB5">
        <w:rPr>
          <w:szCs w:val="18"/>
          <w:lang w:val="en"/>
        </w:rPr>
        <w:t>.</w:t>
      </w:r>
    </w:p>
  </w:footnote>
  <w:footnote w:id="44">
    <w:p w14:paraId="6AFCC87F" w14:textId="02D0D069"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Siri Schubert, “BAE: How Good a Plea Deal Was It?</w:t>
      </w:r>
      <w:proofErr w:type="gramStart"/>
      <w:r w:rsidRPr="00DA5EB5">
        <w:rPr>
          <w:szCs w:val="18"/>
        </w:rPr>
        <w:t>”,</w:t>
      </w:r>
      <w:proofErr w:type="gramEnd"/>
      <w:r w:rsidRPr="00DA5EB5">
        <w:rPr>
          <w:szCs w:val="18"/>
        </w:rPr>
        <w:t xml:space="preserve"> </w:t>
      </w:r>
      <w:r w:rsidRPr="00DA5EB5">
        <w:rPr>
          <w:i/>
          <w:szCs w:val="18"/>
        </w:rPr>
        <w:t xml:space="preserve">PBS Frontline World </w:t>
      </w:r>
      <w:r w:rsidRPr="00DA5EB5">
        <w:rPr>
          <w:szCs w:val="18"/>
        </w:rPr>
        <w:t>(9 February 2010), online: &lt;</w:t>
      </w:r>
      <w:hyperlink r:id="rId17" w:history="1">
        <w:r w:rsidRPr="00DA5EB5">
          <w:rPr>
            <w:rStyle w:val="Hyperlink"/>
            <w:szCs w:val="18"/>
          </w:rPr>
          <w:t>http://www.pbs.org/frontlineworld/stories/bribe/2010/02/bae-too-good-a-deal-says-chair-of-anti-bribery-group.html</w:t>
        </w:r>
      </w:hyperlink>
      <w:r w:rsidRPr="00DA5EB5">
        <w:rPr>
          <w:szCs w:val="18"/>
        </w:rPr>
        <w:t>&gt;.</w:t>
      </w:r>
    </w:p>
  </w:footnote>
  <w:footnote w:id="45">
    <w:p w14:paraId="7EA492AA" w14:textId="1FD80AB6"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Siri Schubert, “At Siemens, Bribery Was Just a Line Item”, </w:t>
      </w:r>
      <w:r w:rsidRPr="00DA5EB5">
        <w:rPr>
          <w:i/>
          <w:szCs w:val="18"/>
        </w:rPr>
        <w:t xml:space="preserve">The New York Times </w:t>
      </w:r>
      <w:r w:rsidRPr="00DA5EB5">
        <w:rPr>
          <w:szCs w:val="18"/>
        </w:rPr>
        <w:t>(21 December 2008), online: &lt;</w:t>
      </w:r>
      <w:hyperlink r:id="rId18" w:history="1">
        <w:r w:rsidRPr="00DA5EB5">
          <w:rPr>
            <w:rStyle w:val="Hyperlink"/>
            <w:szCs w:val="18"/>
          </w:rPr>
          <w:t xml:space="preserve">http://www.nytimes.com/2008/12/21/business/worldbusiness/21siemens.html? </w:t>
        </w:r>
        <w:proofErr w:type="spellStart"/>
        <w:r w:rsidRPr="00DA5EB5">
          <w:rPr>
            <w:rStyle w:val="Hyperlink"/>
            <w:szCs w:val="18"/>
          </w:rPr>
          <w:t>pagewanted</w:t>
        </w:r>
        <w:proofErr w:type="spellEnd"/>
        <w:r w:rsidRPr="00DA5EB5">
          <w:rPr>
            <w:rStyle w:val="Hyperlink"/>
            <w:szCs w:val="18"/>
          </w:rPr>
          <w:t>=</w:t>
        </w:r>
        <w:proofErr w:type="spellStart"/>
        <w:r w:rsidRPr="00DA5EB5">
          <w:rPr>
            <w:rStyle w:val="Hyperlink"/>
            <w:szCs w:val="18"/>
          </w:rPr>
          <w:t>all&amp;_r</w:t>
        </w:r>
        <w:proofErr w:type="spellEnd"/>
        <w:r w:rsidRPr="00DA5EB5">
          <w:rPr>
            <w:rStyle w:val="Hyperlink"/>
            <w:szCs w:val="18"/>
          </w:rPr>
          <w:t>=0</w:t>
        </w:r>
      </w:hyperlink>
      <w:r w:rsidRPr="00DA5EB5">
        <w:rPr>
          <w:szCs w:val="18"/>
        </w:rPr>
        <w:t xml:space="preserve">&gt;. </w:t>
      </w:r>
    </w:p>
  </w:footnote>
  <w:footnote w:id="46">
    <w:p w14:paraId="0A9B7E92" w14:textId="7D1EBF9D" w:rsidR="007E0F72" w:rsidRPr="00DA5EB5" w:rsidRDefault="007E0F72" w:rsidP="00BF52C3">
      <w:pPr>
        <w:pStyle w:val="FootnoteText"/>
      </w:pPr>
      <w:r w:rsidRPr="00DA5EB5">
        <w:rPr>
          <w:rStyle w:val="FootnoteReference"/>
          <w:sz w:val="18"/>
          <w:szCs w:val="18"/>
        </w:rPr>
        <w:footnoteRef/>
      </w:r>
      <w:r w:rsidRPr="00DA5EB5">
        <w:rPr>
          <w:szCs w:val="18"/>
        </w:rPr>
        <w:t xml:space="preserve"> Schubert</w:t>
      </w:r>
      <w:r w:rsidRPr="00DA5EB5">
        <w:rPr>
          <w:i/>
          <w:szCs w:val="18"/>
        </w:rPr>
        <w:t xml:space="preserve"> </w:t>
      </w:r>
      <w:r w:rsidRPr="00DA5EB5">
        <w:rPr>
          <w:szCs w:val="18"/>
        </w:rPr>
        <w:t>(9 February 2010).</w:t>
      </w:r>
    </w:p>
  </w:footnote>
  <w:footnote w:id="47">
    <w:p w14:paraId="3A94CB66" w14:textId="77777777" w:rsidR="007E0F72" w:rsidRPr="00DA5EB5" w:rsidRDefault="007E0F72" w:rsidP="00BF52C3">
      <w:pPr>
        <w:pStyle w:val="FootnoteText"/>
      </w:pPr>
      <w:r w:rsidRPr="00DA5EB5">
        <w:rPr>
          <w:rStyle w:val="FootnoteReference"/>
          <w:sz w:val="18"/>
        </w:rPr>
        <w:footnoteRef/>
      </w:r>
      <w:r w:rsidRPr="00DA5EB5">
        <w:t xml:space="preserve"> Mike Koehler, </w:t>
      </w:r>
      <w:proofErr w:type="gramStart"/>
      <w:r w:rsidRPr="00DA5EB5">
        <w:rPr>
          <w:i/>
        </w:rPr>
        <w:t>The</w:t>
      </w:r>
      <w:proofErr w:type="gramEnd"/>
      <w:r w:rsidRPr="00DA5EB5">
        <w:rPr>
          <w:i/>
        </w:rPr>
        <w:t xml:space="preserve"> Foreign Corrupt Practices Act in a New Era </w:t>
      </w:r>
      <w:r w:rsidRPr="00DA5EB5">
        <w:t>(Edward Elgar Publishing, 2014) at 169-233.</w:t>
      </w:r>
    </w:p>
  </w:footnote>
  <w:footnote w:id="48">
    <w:p w14:paraId="0B32C22C" w14:textId="4150C343" w:rsidR="007E0F72" w:rsidRPr="00DA5EB5" w:rsidRDefault="007E0F72" w:rsidP="00BF52C3">
      <w:pPr>
        <w:pStyle w:val="FootnoteText"/>
      </w:pPr>
      <w:r w:rsidRPr="00DA5EB5">
        <w:rPr>
          <w:rStyle w:val="FootnoteReference"/>
          <w:sz w:val="18"/>
          <w:szCs w:val="18"/>
        </w:rPr>
        <w:footnoteRef/>
      </w:r>
      <w:r w:rsidRPr="00DA5EB5">
        <w:t xml:space="preserve"> Koehler (2014) at 178.</w:t>
      </w:r>
    </w:p>
  </w:footnote>
  <w:footnote w:id="49">
    <w:p w14:paraId="354FCDDA"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Ibid.</w:t>
      </w:r>
    </w:p>
  </w:footnote>
  <w:footnote w:id="50">
    <w:p w14:paraId="5199030E"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Ibid</w:t>
      </w:r>
      <w:r w:rsidRPr="00DA5EB5">
        <w:t xml:space="preserve"> at 180.</w:t>
      </w:r>
    </w:p>
  </w:footnote>
  <w:footnote w:id="51">
    <w:p w14:paraId="76170846" w14:textId="7F8B89CA"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 xml:space="preserve">Ibid </w:t>
      </w:r>
      <w:r w:rsidRPr="00DA5EB5">
        <w:t xml:space="preserve">at 178, citing Peter Henning, “The Mounting Costs of Internal Investigations”, </w:t>
      </w:r>
      <w:proofErr w:type="gramStart"/>
      <w:r w:rsidRPr="00DA5EB5">
        <w:rPr>
          <w:i/>
        </w:rPr>
        <w:t>The</w:t>
      </w:r>
      <w:proofErr w:type="gramEnd"/>
      <w:r w:rsidRPr="00DA5EB5">
        <w:rPr>
          <w:i/>
        </w:rPr>
        <w:t xml:space="preserve"> New York Times </w:t>
      </w:r>
      <w:r w:rsidRPr="00DA5EB5">
        <w:t>(5 March 2012), online: &lt;</w:t>
      </w:r>
      <w:hyperlink r:id="rId19" w:history="1">
        <w:r w:rsidRPr="00DA5EB5">
          <w:rPr>
            <w:rStyle w:val="Hyperlink"/>
            <w:szCs w:val="18"/>
          </w:rPr>
          <w:t>http://dealbook.nytimes.com/2012/03/05/the-mounting-costs-of-internal-investigations/?_r=0</w:t>
        </w:r>
      </w:hyperlink>
      <w:r w:rsidRPr="00DA5EB5">
        <w:t xml:space="preserve">&gt;. </w:t>
      </w:r>
    </w:p>
  </w:footnote>
  <w:footnote w:id="52">
    <w:p w14:paraId="6CA55D9D"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 xml:space="preserve">Ibid </w:t>
      </w:r>
      <w:r w:rsidRPr="00DA5EB5">
        <w:t>at 192.</w:t>
      </w:r>
    </w:p>
  </w:footnote>
  <w:footnote w:id="53">
    <w:p w14:paraId="1F05375D"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 xml:space="preserve">Ibid </w:t>
      </w:r>
      <w:r w:rsidRPr="00DA5EB5">
        <w:t>at 193.</w:t>
      </w:r>
    </w:p>
  </w:footnote>
  <w:footnote w:id="54">
    <w:p w14:paraId="2629B0D8"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Ibid </w:t>
      </w:r>
      <w:r w:rsidRPr="00DA5EB5">
        <w:rPr>
          <w:szCs w:val="18"/>
        </w:rPr>
        <w:t xml:space="preserve">at 205. </w:t>
      </w:r>
    </w:p>
  </w:footnote>
  <w:footnote w:id="55">
    <w:p w14:paraId="287221F1"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Ibid </w:t>
      </w:r>
      <w:r w:rsidRPr="00DA5EB5">
        <w:rPr>
          <w:szCs w:val="18"/>
        </w:rPr>
        <w:t>at 197.</w:t>
      </w:r>
    </w:p>
  </w:footnote>
  <w:footnote w:id="56">
    <w:p w14:paraId="3D8CDB5D" w14:textId="77777777"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199. </w:t>
      </w:r>
    </w:p>
  </w:footnote>
  <w:footnote w:id="57">
    <w:p w14:paraId="5FC85D31"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195.</w:t>
      </w:r>
    </w:p>
  </w:footnote>
  <w:footnote w:id="58">
    <w:p w14:paraId="24AC1BE9" w14:textId="13C2B386"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Ibid </w:t>
      </w:r>
      <w:r w:rsidRPr="00DA5EB5">
        <w:rPr>
          <w:szCs w:val="18"/>
        </w:rPr>
        <w:t xml:space="preserve">at 183. </w:t>
      </w:r>
    </w:p>
  </w:footnote>
  <w:footnote w:id="59">
    <w:p w14:paraId="79B77DD3"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Ibid </w:t>
      </w:r>
      <w:r w:rsidRPr="00DA5EB5">
        <w:rPr>
          <w:szCs w:val="18"/>
        </w:rPr>
        <w:t xml:space="preserve">at 36. </w:t>
      </w:r>
    </w:p>
  </w:footnote>
  <w:footnote w:id="60">
    <w:p w14:paraId="0F631319" w14:textId="3E0B97A3"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195. Koehler states that “it is believed the SEC has never been put to its burden of proof in a corporate FCPA action.”</w:t>
      </w:r>
    </w:p>
  </w:footnote>
  <w:footnote w:id="61">
    <w:p w14:paraId="66E05AE8"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Ibid </w:t>
      </w:r>
      <w:r w:rsidRPr="00DA5EB5">
        <w:rPr>
          <w:szCs w:val="18"/>
        </w:rPr>
        <w:t>at 238.</w:t>
      </w:r>
    </w:p>
  </w:footnote>
  <w:footnote w:id="62">
    <w:p w14:paraId="480C524B"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Ibid </w:t>
      </w:r>
      <w:r w:rsidRPr="00DA5EB5">
        <w:rPr>
          <w:szCs w:val="18"/>
        </w:rPr>
        <w:t>at 239.</w:t>
      </w:r>
    </w:p>
  </w:footnote>
  <w:footnote w:id="63">
    <w:p w14:paraId="1BBDE330"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Ibid </w:t>
      </w:r>
      <w:r w:rsidRPr="00DA5EB5">
        <w:rPr>
          <w:szCs w:val="18"/>
        </w:rPr>
        <w:t>at 186.</w:t>
      </w:r>
    </w:p>
  </w:footnote>
  <w:footnote w:id="64">
    <w:p w14:paraId="5EC1570B"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 xml:space="preserve">Ibid </w:t>
      </w:r>
      <w:r w:rsidRPr="00DA5EB5">
        <w:t>at 261.</w:t>
      </w:r>
    </w:p>
  </w:footnote>
  <w:footnote w:id="65">
    <w:p w14:paraId="3A351A16"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 xml:space="preserve">Ibid </w:t>
      </w:r>
      <w:r w:rsidRPr="00DA5EB5">
        <w:t>at 263.</w:t>
      </w:r>
    </w:p>
  </w:footnote>
  <w:footnote w:id="66">
    <w:p w14:paraId="223696B6" w14:textId="2F4E4DE4" w:rsidR="007E0F72" w:rsidRPr="00DA5EB5" w:rsidRDefault="007E0F72" w:rsidP="00BF52C3">
      <w:pPr>
        <w:pStyle w:val="FootnoteText"/>
      </w:pPr>
      <w:r w:rsidRPr="00DA5EB5">
        <w:rPr>
          <w:rStyle w:val="FootnoteReference"/>
          <w:sz w:val="18"/>
          <w:szCs w:val="18"/>
        </w:rPr>
        <w:footnoteRef/>
      </w:r>
      <w:r w:rsidRPr="00DA5EB5">
        <w:t xml:space="preserve"> </w:t>
      </w:r>
      <w:r w:rsidRPr="00DA5EB5">
        <w:rPr>
          <w:shd w:val="clear" w:color="auto" w:fill="FFFFFF"/>
        </w:rPr>
        <w:t>OECD,</w:t>
      </w:r>
      <w:r w:rsidRPr="00DA5EB5">
        <w:rPr>
          <w:rStyle w:val="apple-converted-space"/>
          <w:szCs w:val="18"/>
          <w:shd w:val="clear" w:color="auto" w:fill="FFFFFF"/>
        </w:rPr>
        <w:t> </w:t>
      </w:r>
      <w:r w:rsidRPr="00DA5EB5">
        <w:rPr>
          <w:i/>
          <w:iCs/>
          <w:shd w:val="clear" w:color="auto" w:fill="FFFFFF"/>
        </w:rPr>
        <w:t>OECD Convention on Combating Bribery of Foreign Public Officials in International Business Transactions</w:t>
      </w:r>
      <w:r w:rsidRPr="00DA5EB5">
        <w:rPr>
          <w:shd w:val="clear" w:color="auto" w:fill="FFFFFF"/>
        </w:rPr>
        <w:t>, art 4.3, online: &lt;</w:t>
      </w:r>
      <w:hyperlink r:id="rId20" w:history="1">
        <w:r w:rsidRPr="00DA5EB5">
          <w:rPr>
            <w:rStyle w:val="Hyperlink"/>
            <w:szCs w:val="18"/>
            <w:shd w:val="clear" w:color="auto" w:fill="FFFFFF"/>
          </w:rPr>
          <w:t>http://www.oecd.org/daf/anti-bribery/oecdantibriberyconvention.htm</w:t>
        </w:r>
      </w:hyperlink>
      <w:r w:rsidRPr="00DA5EB5">
        <w:rPr>
          <w:shd w:val="clear" w:color="auto" w:fill="FFFFFF"/>
        </w:rPr>
        <w:t>&gt;.</w:t>
      </w:r>
    </w:p>
  </w:footnote>
  <w:footnote w:id="67">
    <w:p w14:paraId="234079FE" w14:textId="5FA7F11E" w:rsidR="007E0F72" w:rsidRPr="00DA5EB5" w:rsidRDefault="007E0F72" w:rsidP="00BF52C3">
      <w:pPr>
        <w:pStyle w:val="FootnoteText"/>
        <w:rPr>
          <w:rFonts w:eastAsia="Calibri"/>
        </w:rPr>
      </w:pPr>
      <w:r w:rsidRPr="00DA5EB5">
        <w:rPr>
          <w:rStyle w:val="FootnoteReference"/>
          <w:sz w:val="18"/>
        </w:rPr>
        <w:footnoteRef/>
      </w:r>
      <w:r w:rsidRPr="00DA5EB5">
        <w:rPr>
          <w:sz w:val="16"/>
        </w:rPr>
        <w:t xml:space="preserve"> </w:t>
      </w:r>
      <w:r w:rsidRPr="00DA5EB5">
        <w:rPr>
          <w:rFonts w:eastAsia="Calibri"/>
        </w:rPr>
        <w:t>Koehler (2014)</w:t>
      </w:r>
      <w:r w:rsidRPr="00DA5EB5">
        <w:rPr>
          <w:i/>
        </w:rPr>
        <w:t xml:space="preserve"> </w:t>
      </w:r>
      <w:r w:rsidRPr="00DA5EB5">
        <w:t>at 265.</w:t>
      </w:r>
    </w:p>
  </w:footnote>
  <w:footnote w:id="68">
    <w:p w14:paraId="7B94CFC0" w14:textId="0174A3DE" w:rsidR="007E0F72" w:rsidRPr="00DA5EB5" w:rsidRDefault="007E0F72" w:rsidP="00BF52C3">
      <w:pPr>
        <w:pStyle w:val="FootnoteText"/>
        <w:rPr>
          <w:color w:val="000000" w:themeColor="text1"/>
        </w:rPr>
      </w:pPr>
      <w:r w:rsidRPr="00DA5EB5">
        <w:rPr>
          <w:rStyle w:val="FootnoteReference"/>
          <w:sz w:val="18"/>
          <w:szCs w:val="18"/>
        </w:rPr>
        <w:footnoteRef/>
      </w:r>
      <w:r w:rsidRPr="00DA5EB5">
        <w:t xml:space="preserve"> </w:t>
      </w:r>
      <w:r w:rsidRPr="00DA5EB5">
        <w:rPr>
          <w:i/>
        </w:rPr>
        <w:t xml:space="preserve">Criminal Justice Act 2003 </w:t>
      </w:r>
      <w:r w:rsidRPr="00DA5EB5">
        <w:t>(UK)</w:t>
      </w:r>
      <w:r w:rsidRPr="00DA5EB5">
        <w:rPr>
          <w:i/>
        </w:rPr>
        <w:t xml:space="preserve">, </w:t>
      </w:r>
      <w:r w:rsidRPr="00DA5EB5">
        <w:t>c 44</w:t>
      </w:r>
      <w:r w:rsidRPr="00DA5EB5">
        <w:rPr>
          <w:i/>
        </w:rPr>
        <w:t>,</w:t>
      </w:r>
      <w:r w:rsidRPr="00DA5EB5">
        <w:t xml:space="preserve"> online:</w:t>
      </w:r>
      <w:r w:rsidRPr="00DA5EB5">
        <w:rPr>
          <w:i/>
        </w:rPr>
        <w:t xml:space="preserve"> &lt;</w:t>
      </w:r>
      <w:hyperlink r:id="rId21" w:history="1">
        <w:r w:rsidRPr="00DA5EB5">
          <w:rPr>
            <w:rStyle w:val="Hyperlink"/>
            <w:szCs w:val="18"/>
          </w:rPr>
          <w:t>http://www.legislation.gov.uk/ukpga/2003/44/contents</w:t>
        </w:r>
      </w:hyperlink>
      <w:r w:rsidRPr="00DA5EB5">
        <w:rPr>
          <w:rStyle w:val="Hyperlink"/>
          <w:color w:val="000000" w:themeColor="text1"/>
          <w:szCs w:val="18"/>
          <w:u w:val="none"/>
        </w:rPr>
        <w:t>&gt;.</w:t>
      </w:r>
    </w:p>
  </w:footnote>
  <w:footnote w:id="69">
    <w:p w14:paraId="02BCF65A" w14:textId="7AED5991" w:rsidR="007E0F72" w:rsidRPr="00DA5EB5" w:rsidRDefault="007E0F72" w:rsidP="00BF52C3">
      <w:pPr>
        <w:pStyle w:val="FootnoteText"/>
      </w:pPr>
      <w:r w:rsidRPr="00DA5EB5">
        <w:rPr>
          <w:rStyle w:val="FootnoteReference"/>
          <w:sz w:val="18"/>
        </w:rPr>
        <w:footnoteRef/>
      </w:r>
      <w:r w:rsidRPr="00DA5EB5">
        <w:rPr>
          <w:sz w:val="16"/>
        </w:rPr>
        <w:t xml:space="preserve"> </w:t>
      </w:r>
      <w:r w:rsidRPr="00DA5EB5">
        <w:t xml:space="preserve">United Kingdom, Sentencing Council, </w:t>
      </w:r>
      <w:r w:rsidRPr="00DA5EB5">
        <w:rPr>
          <w:i/>
        </w:rPr>
        <w:t>Fraud, Bribery and Money Laundering Offences – Definitive Guideline</w:t>
      </w:r>
      <w:r w:rsidRPr="00DA5EB5">
        <w:t>, [Sentencing Council Guidelines] online: &lt;</w:t>
      </w:r>
      <w:hyperlink r:id="rId22" w:history="1">
        <w:r w:rsidRPr="00DA5EB5">
          <w:rPr>
            <w:rStyle w:val="Hyperlink"/>
            <w:szCs w:val="18"/>
          </w:rPr>
          <w:t>https://www.sentencingcouncil.org.uk/wp-content/uploads/Fraud_bribery_and_money_laundering_offences_-_Definitive_guideline.pdf</w:t>
        </w:r>
      </w:hyperlink>
      <w:r w:rsidRPr="00DA5EB5">
        <w:rPr>
          <w:rStyle w:val="Hyperlink"/>
          <w:color w:val="000000" w:themeColor="text1"/>
          <w:szCs w:val="18"/>
          <w:u w:val="none"/>
        </w:rPr>
        <w:t>&gt;.</w:t>
      </w:r>
    </w:p>
  </w:footnote>
  <w:footnote w:id="70">
    <w:p w14:paraId="2E2ABD43" w14:textId="77777777" w:rsidR="007E0F72" w:rsidRPr="00DA5EB5" w:rsidRDefault="007E0F72" w:rsidP="00790B90">
      <w:pPr>
        <w:pStyle w:val="FootnoteText"/>
      </w:pPr>
      <w:r w:rsidRPr="00DA5EB5">
        <w:rPr>
          <w:rStyle w:val="FootnoteReference"/>
          <w:sz w:val="18"/>
          <w:szCs w:val="18"/>
        </w:rPr>
        <w:footnoteRef/>
      </w:r>
      <w:r w:rsidRPr="00DA5EB5">
        <w:rPr>
          <w:szCs w:val="18"/>
        </w:rPr>
        <w:t xml:space="preserve"> Colin </w:t>
      </w:r>
      <w:r w:rsidRPr="00DA5EB5">
        <w:t>Nicholls et al,</w:t>
      </w:r>
      <w:r w:rsidRPr="00DA5EB5">
        <w:rPr>
          <w:i/>
        </w:rPr>
        <w:t xml:space="preserve"> Corruption and Misuse of Public Office</w:t>
      </w:r>
      <w:r w:rsidRPr="00DA5EB5">
        <w:t xml:space="preserve">, 2nd </w:t>
      </w:r>
      <w:proofErr w:type="spellStart"/>
      <w:proofErr w:type="gramStart"/>
      <w:r w:rsidRPr="00DA5EB5">
        <w:t>ed</w:t>
      </w:r>
      <w:proofErr w:type="spellEnd"/>
      <w:proofErr w:type="gramEnd"/>
      <w:r w:rsidRPr="00DA5EB5">
        <w:t xml:space="preserve"> (Oxford University Press, 2011) </w:t>
      </w:r>
      <w:r w:rsidRPr="00DA5EB5">
        <w:rPr>
          <w:szCs w:val="18"/>
        </w:rPr>
        <w:t>at 208-209.</w:t>
      </w:r>
    </w:p>
  </w:footnote>
  <w:footnote w:id="71">
    <w:p w14:paraId="35F83F16" w14:textId="77777777" w:rsidR="007E0F72" w:rsidRPr="00DA5EB5" w:rsidRDefault="007E0F72" w:rsidP="00790B90">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209.</w:t>
      </w:r>
    </w:p>
  </w:footnote>
  <w:footnote w:id="72">
    <w:p w14:paraId="16F2E7B9" w14:textId="27FE32F5" w:rsidR="007E0F72" w:rsidRPr="00DA5EB5" w:rsidRDefault="007E0F72" w:rsidP="00BF52C3">
      <w:pPr>
        <w:pStyle w:val="FootnoteText"/>
        <w:rPr>
          <w:color w:val="000000" w:themeColor="text1"/>
        </w:rPr>
      </w:pPr>
      <w:r w:rsidRPr="00DA5EB5">
        <w:rPr>
          <w:rStyle w:val="FootnoteReference"/>
          <w:sz w:val="18"/>
          <w:szCs w:val="18"/>
        </w:rPr>
        <w:footnoteRef/>
      </w:r>
      <w:r w:rsidRPr="00DA5EB5">
        <w:rPr>
          <w:szCs w:val="18"/>
        </w:rPr>
        <w:t xml:space="preserve"> </w:t>
      </w:r>
      <w:r w:rsidRPr="00DA5EB5">
        <w:rPr>
          <w:i/>
          <w:szCs w:val="18"/>
        </w:rPr>
        <w:t xml:space="preserve">Bribery Act 2010 </w:t>
      </w:r>
      <w:r w:rsidRPr="00DA5EB5">
        <w:rPr>
          <w:szCs w:val="18"/>
        </w:rPr>
        <w:t>(UK), c 23, online: &lt;</w:t>
      </w:r>
      <w:hyperlink r:id="rId23" w:history="1">
        <w:r w:rsidRPr="00DA5EB5">
          <w:rPr>
            <w:rStyle w:val="Hyperlink"/>
            <w:szCs w:val="18"/>
          </w:rPr>
          <w:t>http://www.legislation.gov.uk/ukpga/2010/23/contents</w:t>
        </w:r>
      </w:hyperlink>
      <w:r w:rsidRPr="00DA5EB5">
        <w:rPr>
          <w:rStyle w:val="Hyperlink"/>
          <w:color w:val="000000" w:themeColor="text1"/>
          <w:szCs w:val="18"/>
          <w:u w:val="none"/>
        </w:rPr>
        <w:t>&gt;.</w:t>
      </w:r>
    </w:p>
  </w:footnote>
  <w:footnote w:id="73">
    <w:p w14:paraId="06D80FF1" w14:textId="36B249B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color w:val="000000" w:themeColor="text1"/>
          <w:szCs w:val="18"/>
        </w:rPr>
        <w:t xml:space="preserve">Online: </w:t>
      </w:r>
      <w:r w:rsidRPr="00DA5EB5">
        <w:rPr>
          <w:szCs w:val="18"/>
        </w:rPr>
        <w:t>&lt;</w:t>
      </w:r>
      <w:hyperlink r:id="rId24" w:history="1">
        <w:r w:rsidRPr="00DA5EB5">
          <w:rPr>
            <w:rStyle w:val="Hyperlink"/>
            <w:szCs w:val="18"/>
          </w:rPr>
          <w:t>https://www.sfo.gov.uk/2014/08/04/four-sentenced-role-innospec-corruption/</w:t>
        </w:r>
      </w:hyperlink>
      <w:r w:rsidRPr="00DA5EB5">
        <w:rPr>
          <w:szCs w:val="18"/>
        </w:rPr>
        <w:t>&gt;.</w:t>
      </w:r>
    </w:p>
  </w:footnote>
  <w:footnote w:id="74">
    <w:p w14:paraId="07A6DA50" w14:textId="77777777"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i/>
          <w:szCs w:val="18"/>
        </w:rPr>
        <w:t>Ibid</w:t>
      </w:r>
      <w:r w:rsidRPr="00DA5EB5">
        <w:rPr>
          <w:szCs w:val="18"/>
        </w:rPr>
        <w:t>.</w:t>
      </w:r>
    </w:p>
  </w:footnote>
  <w:footnote w:id="75">
    <w:p w14:paraId="3EE92E16" w14:textId="77777777" w:rsidR="007E0F72" w:rsidRPr="00DA5EB5" w:rsidRDefault="007E0F72" w:rsidP="00BF52C3">
      <w:pPr>
        <w:pStyle w:val="FootnoteText"/>
        <w:rPr>
          <w:color w:val="000000" w:themeColor="text1"/>
        </w:rPr>
      </w:pPr>
      <w:r w:rsidRPr="00DA5EB5">
        <w:rPr>
          <w:rStyle w:val="FootnoteReference"/>
          <w:sz w:val="18"/>
        </w:rPr>
        <w:footnoteRef/>
      </w:r>
      <w:r w:rsidRPr="00DA5EB5">
        <w:rPr>
          <w:sz w:val="16"/>
        </w:rPr>
        <w:t xml:space="preserve"> </w:t>
      </w:r>
      <w:r w:rsidRPr="00DA5EB5">
        <w:rPr>
          <w:szCs w:val="18"/>
        </w:rPr>
        <w:t xml:space="preserve">Sentencing decision for David Turner, David </w:t>
      </w:r>
      <w:proofErr w:type="spellStart"/>
      <w:r w:rsidRPr="00DA5EB5">
        <w:rPr>
          <w:szCs w:val="18"/>
        </w:rPr>
        <w:t>Kerrison</w:t>
      </w:r>
      <w:proofErr w:type="spellEnd"/>
      <w:r w:rsidRPr="00DA5EB5">
        <w:rPr>
          <w:szCs w:val="18"/>
        </w:rPr>
        <w:t xml:space="preserve">, Paul Jennings, </w:t>
      </w:r>
      <w:proofErr w:type="spellStart"/>
      <w:r w:rsidRPr="00DA5EB5">
        <w:rPr>
          <w:szCs w:val="18"/>
        </w:rPr>
        <w:t>Militiades</w:t>
      </w:r>
      <w:proofErr w:type="spellEnd"/>
      <w:r w:rsidRPr="00DA5EB5">
        <w:rPr>
          <w:szCs w:val="18"/>
        </w:rPr>
        <w:t xml:space="preserve"> </w:t>
      </w:r>
      <w:proofErr w:type="spellStart"/>
      <w:r w:rsidRPr="00DA5EB5">
        <w:rPr>
          <w:szCs w:val="18"/>
        </w:rPr>
        <w:t>Papachristos</w:t>
      </w:r>
      <w:proofErr w:type="spellEnd"/>
      <w:r w:rsidRPr="00DA5EB5">
        <w:rPr>
          <w:szCs w:val="18"/>
        </w:rPr>
        <w:t xml:space="preserve"> and David Turner, online: &lt;</w:t>
      </w:r>
      <w:hyperlink r:id="rId25" w:history="1">
        <w:r w:rsidRPr="00DA5EB5">
          <w:rPr>
            <w:rStyle w:val="Hyperlink"/>
            <w:szCs w:val="18"/>
          </w:rPr>
          <w:t>http://thebriberyact.com/2014/08/11/supersize-me-innospec-4-sentencing-remarks-do-much-more-than-they-say-on-the-tin/</w:t>
        </w:r>
      </w:hyperlink>
      <w:r w:rsidRPr="00DA5EB5">
        <w:rPr>
          <w:rStyle w:val="Hyperlink"/>
          <w:color w:val="000000" w:themeColor="text1"/>
          <w:szCs w:val="18"/>
          <w:u w:val="none"/>
        </w:rPr>
        <w:t>&gt;.</w:t>
      </w:r>
    </w:p>
  </w:footnote>
  <w:footnote w:id="76">
    <w:p w14:paraId="75A324F5" w14:textId="1DEE8E1D"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proofErr w:type="spellStart"/>
      <w:r w:rsidRPr="00DA5EB5">
        <w:rPr>
          <w:szCs w:val="18"/>
        </w:rPr>
        <w:t>Sweett</w:t>
      </w:r>
      <w:proofErr w:type="spellEnd"/>
      <w:r w:rsidRPr="00DA5EB5">
        <w:rPr>
          <w:szCs w:val="18"/>
        </w:rPr>
        <w:t xml:space="preserve"> Group sentenced after first ever corporate conviction for failing to prevent bribery”, </w:t>
      </w:r>
      <w:r w:rsidRPr="00DA5EB5">
        <w:rPr>
          <w:i/>
          <w:szCs w:val="18"/>
        </w:rPr>
        <w:t xml:space="preserve">Eversheds </w:t>
      </w:r>
      <w:r w:rsidRPr="00DA5EB5">
        <w:rPr>
          <w:szCs w:val="18"/>
        </w:rPr>
        <w:t>(2 February 2016), online: &lt;</w:t>
      </w:r>
      <w:hyperlink r:id="rId26" w:history="1">
        <w:r w:rsidRPr="001667C0">
          <w:rPr>
            <w:rStyle w:val="Hyperlink"/>
            <w:szCs w:val="18"/>
          </w:rPr>
          <w:t>http://www.eversheds.com/global/en/what/articles/index.page?</w:t>
        </w:r>
        <w:r w:rsidRPr="001667C0">
          <w:rPr>
            <w:rStyle w:val="Hyperlink"/>
            <w:szCs w:val="18"/>
          </w:rPr>
          <w:br/>
          <w:t>ArticleID=en/Fraud_and_financial_crime/Sweett_group_sentenced</w:t>
        </w:r>
      </w:hyperlink>
      <w:r w:rsidRPr="00DA5EB5">
        <w:rPr>
          <w:szCs w:val="18"/>
        </w:rPr>
        <w:t xml:space="preserve">&gt;. See also </w:t>
      </w:r>
      <w:r w:rsidRPr="00DA5EB5">
        <w:rPr>
          <w:szCs w:val="18"/>
          <w:lang w:val="en"/>
        </w:rPr>
        <w:t>Serious Fraud Office,</w:t>
      </w:r>
      <w:r w:rsidRPr="00DA5EB5">
        <w:rPr>
          <w:szCs w:val="18"/>
        </w:rPr>
        <w:t xml:space="preserve"> “</w:t>
      </w:r>
      <w:proofErr w:type="spellStart"/>
      <w:r w:rsidRPr="00DA5EB5">
        <w:rPr>
          <w:szCs w:val="18"/>
          <w:lang w:val="en"/>
        </w:rPr>
        <w:t>Sweett</w:t>
      </w:r>
      <w:proofErr w:type="spellEnd"/>
      <w:r w:rsidRPr="00DA5EB5">
        <w:rPr>
          <w:szCs w:val="18"/>
          <w:lang w:val="en"/>
        </w:rPr>
        <w:t xml:space="preserve"> Group PLC sentenced and ordered to pay £2.25 million after Bribery Act conviction” (19 February 2016), online: &lt;</w:t>
      </w:r>
      <w:hyperlink r:id="rId27" w:history="1">
        <w:r w:rsidRPr="00DA5EB5">
          <w:rPr>
            <w:rStyle w:val="Hyperlink"/>
            <w:szCs w:val="18"/>
            <w:lang w:val="en"/>
          </w:rPr>
          <w:t>https://www.sfo.gov.uk/2016/02/19/sweett-group-plc-sentenced-and-ordered-to-pay-2-3-million-after-bribery-act-conviction/</w:t>
        </w:r>
      </w:hyperlink>
      <w:r w:rsidRPr="00DA5EB5">
        <w:rPr>
          <w:szCs w:val="18"/>
          <w:lang w:val="en"/>
        </w:rPr>
        <w:t xml:space="preserve">&gt;. </w:t>
      </w:r>
    </w:p>
  </w:footnote>
  <w:footnote w:id="77">
    <w:p w14:paraId="2E042B0A" w14:textId="46E80707" w:rsidR="007E0F72" w:rsidRPr="00DA5EB5" w:rsidRDefault="007E0F72" w:rsidP="00BF52C3">
      <w:pPr>
        <w:pStyle w:val="FootnoteText"/>
        <w:rPr>
          <w:color w:val="FF0000"/>
          <w:szCs w:val="18"/>
        </w:rPr>
      </w:pPr>
      <w:r w:rsidRPr="00DA5EB5">
        <w:rPr>
          <w:rStyle w:val="FootnoteReference"/>
          <w:sz w:val="18"/>
          <w:szCs w:val="18"/>
        </w:rPr>
        <w:footnoteRef/>
      </w:r>
      <w:r w:rsidRPr="00DA5EB5">
        <w:rPr>
          <w:szCs w:val="18"/>
        </w:rPr>
        <w:t xml:space="preserve"> </w:t>
      </w:r>
      <w:r w:rsidRPr="00DA5EB5">
        <w:rPr>
          <w:szCs w:val="18"/>
          <w:lang w:val="en"/>
        </w:rPr>
        <w:t>Serious Fraud Office,</w:t>
      </w:r>
      <w:r w:rsidRPr="00DA5EB5">
        <w:rPr>
          <w:i/>
          <w:szCs w:val="18"/>
          <w:lang w:val="en"/>
        </w:rPr>
        <w:t xml:space="preserve"> </w:t>
      </w:r>
      <w:r w:rsidRPr="00DA5EB5">
        <w:rPr>
          <w:szCs w:val="18"/>
          <w:lang w:val="en"/>
        </w:rPr>
        <w:t xml:space="preserve">“Sustainable </w:t>
      </w:r>
      <w:proofErr w:type="spellStart"/>
      <w:r w:rsidRPr="00DA5EB5">
        <w:rPr>
          <w:szCs w:val="18"/>
          <w:lang w:val="en"/>
        </w:rPr>
        <w:t>Agroenergy</w:t>
      </w:r>
      <w:proofErr w:type="spellEnd"/>
      <w:r w:rsidRPr="00DA5EB5">
        <w:rPr>
          <w:szCs w:val="18"/>
          <w:lang w:val="en"/>
        </w:rPr>
        <w:t xml:space="preserve"> Plc and Sustainable Wealth Investments UK Ltd” (17 November 2016), online: &lt;</w:t>
      </w:r>
      <w:hyperlink r:id="rId28" w:history="1">
        <w:r w:rsidRPr="00DA5EB5">
          <w:rPr>
            <w:rStyle w:val="Hyperlink"/>
            <w:szCs w:val="18"/>
            <w:lang w:val="en"/>
          </w:rPr>
          <w:t>https://www.sfo.gov.uk/cases/sustainable-agroenergy-plc-sustainable-wealth-investments-uk-ltd/</w:t>
        </w:r>
      </w:hyperlink>
      <w:r w:rsidRPr="00DA5EB5">
        <w:rPr>
          <w:szCs w:val="18"/>
          <w:lang w:val="en"/>
        </w:rPr>
        <w:t xml:space="preserve">&gt;. </w:t>
      </w:r>
    </w:p>
  </w:footnote>
  <w:footnote w:id="78">
    <w:p w14:paraId="7FB05821" w14:textId="6AEA8216" w:rsidR="007E0F72" w:rsidRPr="00DA5EB5" w:rsidRDefault="007E0F72" w:rsidP="00BF52C3">
      <w:pPr>
        <w:pStyle w:val="FootnoteText"/>
        <w:rPr>
          <w:color w:val="000000" w:themeColor="text1"/>
          <w:szCs w:val="18"/>
        </w:rPr>
      </w:pPr>
      <w:r w:rsidRPr="00DA5EB5">
        <w:rPr>
          <w:rStyle w:val="FootnoteReference"/>
          <w:sz w:val="18"/>
          <w:szCs w:val="18"/>
        </w:rPr>
        <w:footnoteRef/>
      </w:r>
      <w:r w:rsidRPr="00DA5EB5">
        <w:rPr>
          <w:szCs w:val="18"/>
        </w:rPr>
        <w:t xml:space="preserve"> Sentencing Council Guidelines.</w:t>
      </w:r>
    </w:p>
  </w:footnote>
  <w:footnote w:id="79">
    <w:p w14:paraId="1659996A"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4.</w:t>
      </w:r>
    </w:p>
  </w:footnote>
  <w:footnote w:id="80">
    <w:p w14:paraId="2B31E579"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41.</w:t>
      </w:r>
    </w:p>
  </w:footnote>
  <w:footnote w:id="81">
    <w:p w14:paraId="7A60BF34" w14:textId="1B0D1F0C" w:rsidR="007E0F72" w:rsidRPr="00DA5EB5" w:rsidRDefault="007E0F72" w:rsidP="00BF52C3">
      <w:pPr>
        <w:pStyle w:val="FootnoteText"/>
        <w:rPr>
          <w:color w:val="000000" w:themeColor="text1"/>
          <w:szCs w:val="18"/>
        </w:rPr>
      </w:pPr>
      <w:r w:rsidRPr="00DA5EB5">
        <w:rPr>
          <w:rStyle w:val="FootnoteReference"/>
          <w:color w:val="000000" w:themeColor="text1"/>
          <w:sz w:val="18"/>
          <w:szCs w:val="18"/>
        </w:rPr>
        <w:footnoteRef/>
      </w:r>
      <w:r w:rsidRPr="00DA5EB5">
        <w:rPr>
          <w:color w:val="000000" w:themeColor="text1"/>
          <w:szCs w:val="18"/>
        </w:rPr>
        <w:t xml:space="preserve"> </w:t>
      </w:r>
      <w:r w:rsidRPr="00DA5EB5">
        <w:rPr>
          <w:i/>
          <w:color w:val="000000" w:themeColor="text1"/>
          <w:szCs w:val="18"/>
        </w:rPr>
        <w:t xml:space="preserve">Ibid </w:t>
      </w:r>
      <w:r w:rsidRPr="00DA5EB5">
        <w:rPr>
          <w:color w:val="000000" w:themeColor="text1"/>
          <w:szCs w:val="18"/>
        </w:rPr>
        <w:t>at 35.</w:t>
      </w:r>
    </w:p>
  </w:footnote>
  <w:footnote w:id="82">
    <w:p w14:paraId="1464CD95" w14:textId="77777777" w:rsidR="007E0F72" w:rsidRPr="00DA5EB5" w:rsidRDefault="007E0F72" w:rsidP="00BF52C3">
      <w:pPr>
        <w:pStyle w:val="FootnoteText"/>
      </w:pPr>
      <w:r w:rsidRPr="00DA5EB5">
        <w:rPr>
          <w:rStyle w:val="FootnoteReference"/>
          <w:color w:val="000000" w:themeColor="text1"/>
          <w:sz w:val="18"/>
          <w:szCs w:val="18"/>
        </w:rPr>
        <w:footnoteRef/>
      </w:r>
      <w:r w:rsidRPr="00DA5EB5">
        <w:t xml:space="preserve"> </w:t>
      </w:r>
      <w:r w:rsidRPr="00DA5EB5">
        <w:rPr>
          <w:i/>
        </w:rPr>
        <w:t>Ibid</w:t>
      </w:r>
      <w:r w:rsidRPr="00DA5EB5">
        <w:t xml:space="preserve"> at 41-45.</w:t>
      </w:r>
    </w:p>
  </w:footnote>
  <w:footnote w:id="83">
    <w:p w14:paraId="6B39B9E9" w14:textId="6471E38E" w:rsidR="007E0F72" w:rsidRPr="00EF2F0A" w:rsidRDefault="007E0F72" w:rsidP="00BF52C3">
      <w:pPr>
        <w:pStyle w:val="FootnoteText"/>
      </w:pPr>
      <w:r w:rsidRPr="00EF2F0A">
        <w:rPr>
          <w:rStyle w:val="FootnoteReference"/>
          <w:sz w:val="18"/>
          <w:szCs w:val="18"/>
        </w:rPr>
        <w:footnoteRef/>
      </w:r>
      <w:r w:rsidRPr="00EF2F0A">
        <w:t xml:space="preserve"> </w:t>
      </w:r>
      <w:r w:rsidRPr="00EF2F0A">
        <w:rPr>
          <w:i/>
        </w:rPr>
        <w:t xml:space="preserve">Ibid </w:t>
      </w:r>
      <w:r w:rsidRPr="00EF2F0A">
        <w:t>at 42.</w:t>
      </w:r>
    </w:p>
  </w:footnote>
  <w:footnote w:id="84">
    <w:p w14:paraId="2FB859C9" w14:textId="5F7A17E3" w:rsidR="007E0F72" w:rsidRPr="00EF2F0A" w:rsidRDefault="007E0F72" w:rsidP="00BF52C3">
      <w:pPr>
        <w:pStyle w:val="FootnoteText"/>
      </w:pPr>
      <w:r w:rsidRPr="00EF2F0A">
        <w:rPr>
          <w:rStyle w:val="FootnoteReference"/>
          <w:sz w:val="18"/>
          <w:szCs w:val="18"/>
        </w:rPr>
        <w:footnoteRef/>
      </w:r>
      <w:r w:rsidRPr="00EF2F0A">
        <w:t xml:space="preserve"> </w:t>
      </w:r>
      <w:r w:rsidRPr="00EF2F0A">
        <w:rPr>
          <w:i/>
        </w:rPr>
        <w:t>Ibid</w:t>
      </w:r>
      <w:r w:rsidRPr="00EF2F0A">
        <w:t>.</w:t>
      </w:r>
    </w:p>
  </w:footnote>
  <w:footnote w:id="85">
    <w:p w14:paraId="4E593774" w14:textId="77777777" w:rsidR="007E0F72" w:rsidRPr="00EF2F0A" w:rsidRDefault="007E0F72" w:rsidP="00BF52C3">
      <w:pPr>
        <w:pStyle w:val="FootnoteText"/>
        <w:rPr>
          <w:i/>
        </w:rPr>
      </w:pPr>
      <w:r w:rsidRPr="00EF2F0A">
        <w:rPr>
          <w:rStyle w:val="FootnoteReference"/>
          <w:sz w:val="18"/>
          <w:szCs w:val="18"/>
        </w:rPr>
        <w:footnoteRef/>
      </w:r>
      <w:r w:rsidRPr="00EF2F0A">
        <w:t xml:space="preserve"> </w:t>
      </w:r>
      <w:r w:rsidRPr="00EF2F0A">
        <w:rPr>
          <w:i/>
        </w:rPr>
        <w:t>Ibid.</w:t>
      </w:r>
    </w:p>
  </w:footnote>
  <w:footnote w:id="86">
    <w:p w14:paraId="4FB14943" w14:textId="77777777" w:rsidR="007E0F72" w:rsidRPr="00EF2F0A" w:rsidRDefault="007E0F72" w:rsidP="00BF52C3">
      <w:pPr>
        <w:pStyle w:val="FootnoteText"/>
      </w:pPr>
      <w:r w:rsidRPr="00EF2F0A">
        <w:rPr>
          <w:rStyle w:val="FootnoteReference"/>
          <w:sz w:val="18"/>
          <w:szCs w:val="18"/>
        </w:rPr>
        <w:footnoteRef/>
      </w:r>
      <w:r w:rsidRPr="00EF2F0A">
        <w:t xml:space="preserve"> </w:t>
      </w:r>
      <w:r w:rsidRPr="00EF2F0A">
        <w:rPr>
          <w:i/>
        </w:rPr>
        <w:t>Ibid</w:t>
      </w:r>
      <w:r w:rsidRPr="00EF2F0A">
        <w:t>.</w:t>
      </w:r>
    </w:p>
  </w:footnote>
  <w:footnote w:id="87">
    <w:p w14:paraId="26252EBF" w14:textId="77777777" w:rsidR="007E0F72" w:rsidRPr="00DA5EB5" w:rsidRDefault="007E0F72" w:rsidP="00BF52C3">
      <w:pPr>
        <w:pStyle w:val="FootnoteText"/>
      </w:pPr>
      <w:r w:rsidRPr="00EF2F0A">
        <w:rPr>
          <w:rStyle w:val="FootnoteReference"/>
          <w:color w:val="000000" w:themeColor="text1"/>
          <w:sz w:val="18"/>
          <w:szCs w:val="18"/>
        </w:rPr>
        <w:footnoteRef/>
      </w:r>
      <w:r w:rsidRPr="00EF2F0A">
        <w:rPr>
          <w:i/>
        </w:rPr>
        <w:t>Ibid</w:t>
      </w:r>
      <w:r w:rsidRPr="00EF2F0A">
        <w:rPr>
          <w:rStyle w:val="Hyperlink"/>
          <w:color w:val="000000" w:themeColor="text1"/>
          <w:szCs w:val="18"/>
          <w:u w:val="none"/>
        </w:rPr>
        <w:t xml:space="preserve"> at 42–45.</w:t>
      </w:r>
    </w:p>
  </w:footnote>
  <w:footnote w:id="88">
    <w:p w14:paraId="63F337D4" w14:textId="2CC6672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“Opinion: It was so easy to avoid: </w:t>
      </w:r>
      <w:proofErr w:type="spellStart"/>
      <w:r w:rsidRPr="00DA5EB5">
        <w:rPr>
          <w:szCs w:val="18"/>
        </w:rPr>
        <w:t>Chickengate</w:t>
      </w:r>
      <w:proofErr w:type="spellEnd"/>
      <w:r w:rsidRPr="00DA5EB5">
        <w:rPr>
          <w:szCs w:val="18"/>
        </w:rPr>
        <w:t xml:space="preserve">: Smith &amp; </w:t>
      </w:r>
      <w:proofErr w:type="spellStart"/>
      <w:r w:rsidRPr="00DA5EB5">
        <w:rPr>
          <w:szCs w:val="18"/>
        </w:rPr>
        <w:t>Ouzman</w:t>
      </w:r>
      <w:proofErr w:type="spellEnd"/>
      <w:r w:rsidRPr="00DA5EB5">
        <w:rPr>
          <w:szCs w:val="18"/>
        </w:rPr>
        <w:t xml:space="preserve"> Sentencing Remarks in full under new sentencing guidelines” (15 February 2014), </w:t>
      </w:r>
      <w:r w:rsidRPr="00DA5EB5">
        <w:rPr>
          <w:i/>
          <w:szCs w:val="18"/>
        </w:rPr>
        <w:t xml:space="preserve">thebriberyact.com, </w:t>
      </w:r>
      <w:r w:rsidRPr="00DA5EB5">
        <w:rPr>
          <w:szCs w:val="18"/>
        </w:rPr>
        <w:t>online: &lt;</w:t>
      </w:r>
      <w:hyperlink r:id="rId29" w:history="1">
        <w:r w:rsidRPr="0061209A">
          <w:rPr>
            <w:rStyle w:val="Hyperlink"/>
            <w:szCs w:val="18"/>
          </w:rPr>
          <w:t>http://thebriberyact.com/</w:t>
        </w:r>
        <w:r w:rsidRPr="0061209A">
          <w:rPr>
            <w:rStyle w:val="Hyperlink"/>
            <w:szCs w:val="18"/>
          </w:rPr>
          <w:br/>
          <w:t>2015/02/15/opinion-it-was-so-easy-to-avoid-chickengate-smith-ouzman-sentencing-remarks-in-full-under-new-sentencing-guidelines/</w:t>
        </w:r>
      </w:hyperlink>
      <w:r w:rsidRPr="00DA5EB5">
        <w:rPr>
          <w:szCs w:val="18"/>
        </w:rPr>
        <w:t>&gt;.</w:t>
      </w:r>
    </w:p>
  </w:footnote>
  <w:footnote w:id="89">
    <w:p w14:paraId="583CB3CE" w14:textId="71FAD628" w:rsidR="007E0F72" w:rsidRPr="00DA5EB5" w:rsidRDefault="007E0F72" w:rsidP="00BF52C3">
      <w:pPr>
        <w:pStyle w:val="FootnoteText"/>
        <w:rPr>
          <w:i/>
          <w:szCs w:val="18"/>
        </w:rPr>
      </w:pPr>
      <w:r w:rsidRPr="00DA5EB5">
        <w:rPr>
          <w:rStyle w:val="FootnoteReference"/>
          <w:sz w:val="18"/>
          <w:szCs w:val="18"/>
        </w:rPr>
        <w:footnoteRef/>
      </w:r>
      <w:r w:rsidRPr="00DA5EB5">
        <w:rPr>
          <w:szCs w:val="18"/>
        </w:rPr>
        <w:t xml:space="preserve"> </w:t>
      </w:r>
      <w:r w:rsidRPr="00DA5EB5">
        <w:rPr>
          <w:i/>
          <w:szCs w:val="18"/>
        </w:rPr>
        <w:t>Ibid.</w:t>
      </w:r>
    </w:p>
  </w:footnote>
  <w:footnote w:id="90">
    <w:p w14:paraId="01B041EF" w14:textId="5B823863" w:rsidR="007E0F72" w:rsidRPr="00DA5EB5" w:rsidRDefault="007E0F72" w:rsidP="00BF52C3">
      <w:pPr>
        <w:pStyle w:val="FootnoteText"/>
        <w:rPr>
          <w:i/>
          <w:szCs w:val="18"/>
        </w:rPr>
      </w:pPr>
      <w:r w:rsidRPr="00DA5EB5">
        <w:rPr>
          <w:rStyle w:val="FootnoteReference"/>
          <w:sz w:val="18"/>
          <w:szCs w:val="18"/>
        </w:rPr>
        <w:footnoteRef/>
      </w:r>
      <w:r w:rsidRPr="00DA5EB5">
        <w:rPr>
          <w:szCs w:val="18"/>
        </w:rPr>
        <w:t xml:space="preserve"> </w:t>
      </w:r>
      <w:r w:rsidRPr="00DA5EB5">
        <w:rPr>
          <w:i/>
          <w:szCs w:val="18"/>
        </w:rPr>
        <w:t>Ibid.</w:t>
      </w:r>
    </w:p>
  </w:footnote>
  <w:footnote w:id="91">
    <w:p w14:paraId="65400A3C" w14:textId="77777777" w:rsidR="007E0F72" w:rsidRPr="00DA5EB5" w:rsidRDefault="007E0F72" w:rsidP="00BF52C3">
      <w:pPr>
        <w:pStyle w:val="FootnoteText"/>
        <w:rPr>
          <w:i/>
          <w:szCs w:val="18"/>
        </w:rPr>
      </w:pPr>
      <w:r w:rsidRPr="00DA5EB5">
        <w:rPr>
          <w:rStyle w:val="FootnoteReference"/>
          <w:sz w:val="18"/>
          <w:szCs w:val="18"/>
        </w:rPr>
        <w:footnoteRef/>
      </w:r>
      <w:r w:rsidRPr="00DA5EB5">
        <w:rPr>
          <w:szCs w:val="18"/>
        </w:rPr>
        <w:t xml:space="preserve"> </w:t>
      </w:r>
      <w:r w:rsidRPr="00DA5EB5">
        <w:rPr>
          <w:i/>
          <w:szCs w:val="18"/>
        </w:rPr>
        <w:t>Ibid.</w:t>
      </w:r>
    </w:p>
  </w:footnote>
  <w:footnote w:id="92">
    <w:p w14:paraId="29EA1C49" w14:textId="171B4A16" w:rsidR="007E0F72" w:rsidRPr="00DA5EB5" w:rsidRDefault="007E0F72" w:rsidP="00BF52C3">
      <w:pPr>
        <w:pStyle w:val="FootnoteText"/>
        <w:rPr>
          <w:i/>
          <w:szCs w:val="18"/>
        </w:rPr>
      </w:pPr>
      <w:r w:rsidRPr="00DA5EB5">
        <w:rPr>
          <w:rStyle w:val="FootnoteReference"/>
          <w:sz w:val="18"/>
          <w:szCs w:val="18"/>
        </w:rPr>
        <w:footnoteRef/>
      </w:r>
      <w:r w:rsidRPr="00DA5EB5">
        <w:rPr>
          <w:szCs w:val="18"/>
        </w:rPr>
        <w:t xml:space="preserve"> </w:t>
      </w:r>
      <w:r w:rsidRPr="00DA5EB5">
        <w:rPr>
          <w:i/>
          <w:szCs w:val="18"/>
        </w:rPr>
        <w:t>Ibid.</w:t>
      </w:r>
    </w:p>
  </w:footnote>
  <w:footnote w:id="93">
    <w:p w14:paraId="7429F8A5" w14:textId="19CD92CE" w:rsidR="007E0F72" w:rsidRPr="00DA5EB5" w:rsidRDefault="007E0F72" w:rsidP="00BF52C3">
      <w:pPr>
        <w:pStyle w:val="FootnoteText"/>
      </w:pPr>
      <w:r w:rsidRPr="00DA5EB5">
        <w:rPr>
          <w:rStyle w:val="FootnoteReference"/>
          <w:sz w:val="18"/>
        </w:rPr>
        <w:footnoteRef/>
      </w:r>
      <w:r w:rsidRPr="00DA5EB5">
        <w:t xml:space="preserve"> </w:t>
      </w:r>
      <w:r w:rsidRPr="00DA5EB5">
        <w:rPr>
          <w:szCs w:val="18"/>
        </w:rPr>
        <w:t>Sentencing Council Guidelines.</w:t>
      </w:r>
    </w:p>
  </w:footnote>
  <w:footnote w:id="94">
    <w:p w14:paraId="5DEB156D" w14:textId="77A1C2EF"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szCs w:val="18"/>
          <w:lang w:val="en"/>
        </w:rPr>
        <w:t>Serious Fraud Office, “SFO agrees first UK DPA with Standard Bank” (30 November 2015), online: &lt;</w:t>
      </w:r>
      <w:hyperlink r:id="rId30" w:history="1">
        <w:r w:rsidRPr="00DA5EB5">
          <w:rPr>
            <w:rStyle w:val="Hyperlink"/>
            <w:szCs w:val="18"/>
            <w:lang w:val="en"/>
          </w:rPr>
          <w:t>https://www.sfo.gov.uk/2015/11/30/sfo-agrees-first-uk-dpa-with-standard-bank/</w:t>
        </w:r>
      </w:hyperlink>
      <w:r w:rsidRPr="00DA5EB5">
        <w:rPr>
          <w:szCs w:val="18"/>
          <w:lang w:val="en"/>
        </w:rPr>
        <w:t>&gt;.</w:t>
      </w:r>
    </w:p>
  </w:footnote>
  <w:footnote w:id="95">
    <w:p w14:paraId="780508E1" w14:textId="73D7D6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szCs w:val="18"/>
          <w:lang w:val="en"/>
        </w:rPr>
        <w:t>Serious Fraud Office,</w:t>
      </w:r>
      <w:r w:rsidRPr="00DA5EB5">
        <w:rPr>
          <w:i/>
          <w:szCs w:val="18"/>
          <w:lang w:val="en"/>
        </w:rPr>
        <w:t xml:space="preserve"> </w:t>
      </w:r>
      <w:r w:rsidRPr="00DA5EB5">
        <w:rPr>
          <w:szCs w:val="18"/>
          <w:lang w:val="en"/>
        </w:rPr>
        <w:t>“SFO Secures Second DPA” (8 July 2016), online: &lt;</w:t>
      </w:r>
      <w:hyperlink r:id="rId31" w:history="1">
        <w:r w:rsidRPr="00DA5EB5">
          <w:rPr>
            <w:rStyle w:val="Hyperlink"/>
            <w:szCs w:val="18"/>
            <w:lang w:val="en"/>
          </w:rPr>
          <w:t>https://www.sfo.gov.uk/2016/07/08/sfo-secures-second-dpa/</w:t>
        </w:r>
      </w:hyperlink>
      <w:r w:rsidRPr="00DA5EB5">
        <w:rPr>
          <w:szCs w:val="18"/>
          <w:lang w:val="en"/>
        </w:rPr>
        <w:t>&gt;.</w:t>
      </w:r>
    </w:p>
  </w:footnote>
  <w:footnote w:id="96">
    <w:p w14:paraId="036AB13C"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Criminal Code, </w:t>
      </w:r>
      <w:r w:rsidRPr="00DA5EB5">
        <w:rPr>
          <w:szCs w:val="18"/>
        </w:rPr>
        <w:t>RSC 1985, c C-46, s 718.</w:t>
      </w:r>
    </w:p>
  </w:footnote>
  <w:footnote w:id="97">
    <w:p w14:paraId="075805F9" w14:textId="77777777"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i/>
          <w:szCs w:val="18"/>
        </w:rPr>
        <w:t>Ibid</w:t>
      </w:r>
      <w:r w:rsidRPr="00DA5EB5">
        <w:rPr>
          <w:szCs w:val="18"/>
        </w:rPr>
        <w:t>, s 718.1.</w:t>
      </w:r>
    </w:p>
  </w:footnote>
  <w:footnote w:id="98">
    <w:p w14:paraId="6491866C"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s 718.2(b-e).</w:t>
      </w:r>
    </w:p>
  </w:footnote>
  <w:footnote w:id="99">
    <w:p w14:paraId="4830150E"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R v </w:t>
      </w:r>
      <w:proofErr w:type="spellStart"/>
      <w:r w:rsidRPr="00DA5EB5">
        <w:rPr>
          <w:i/>
          <w:szCs w:val="18"/>
        </w:rPr>
        <w:t>Serre</w:t>
      </w:r>
      <w:proofErr w:type="spellEnd"/>
      <w:r w:rsidRPr="00DA5EB5">
        <w:rPr>
          <w:i/>
          <w:szCs w:val="18"/>
        </w:rPr>
        <w:t xml:space="preserve">, </w:t>
      </w:r>
      <w:r w:rsidRPr="00DA5EB5">
        <w:rPr>
          <w:szCs w:val="18"/>
        </w:rPr>
        <w:t>2013 ONSC 1732 at paras 28–29.</w:t>
      </w:r>
    </w:p>
  </w:footnote>
  <w:footnote w:id="100">
    <w:p w14:paraId="2022D31F" w14:textId="77777777"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i/>
          <w:szCs w:val="18"/>
        </w:rPr>
        <w:t xml:space="preserve">R v </w:t>
      </w:r>
      <w:proofErr w:type="spellStart"/>
      <w:r w:rsidRPr="00DA5EB5">
        <w:rPr>
          <w:i/>
          <w:szCs w:val="18"/>
        </w:rPr>
        <w:t>Drabinsky</w:t>
      </w:r>
      <w:proofErr w:type="spellEnd"/>
      <w:r w:rsidRPr="00DA5EB5">
        <w:rPr>
          <w:szCs w:val="18"/>
        </w:rPr>
        <w:t>, 2011 ONCA 582 at para 158.</w:t>
      </w:r>
    </w:p>
  </w:footnote>
  <w:footnote w:id="101">
    <w:p w14:paraId="76B4E717" w14:textId="428A8E7A" w:rsidR="007E0F72" w:rsidRPr="00DA5EB5" w:rsidRDefault="007E0F72" w:rsidP="00BF52C3">
      <w:pPr>
        <w:pStyle w:val="FootnoteText"/>
        <w:rPr>
          <w:i/>
          <w:iCs/>
        </w:rPr>
      </w:pPr>
      <w:r w:rsidRPr="00DA5EB5">
        <w:rPr>
          <w:rStyle w:val="FootnoteReference"/>
          <w:sz w:val="18"/>
        </w:rPr>
        <w:footnoteRef/>
      </w:r>
      <w:r w:rsidRPr="00DA5EB5">
        <w:rPr>
          <w:sz w:val="20"/>
        </w:rPr>
        <w:t xml:space="preserve"> </w:t>
      </w:r>
      <w:r w:rsidRPr="00DA5EB5">
        <w:rPr>
          <w:i/>
          <w:iCs/>
        </w:rPr>
        <w:t xml:space="preserve">R v De Francesco </w:t>
      </w:r>
      <w:r w:rsidRPr="00DA5EB5">
        <w:t>(1998), 131 CCC (3d) 221 (Que CA) at para 42.</w:t>
      </w:r>
    </w:p>
  </w:footnote>
  <w:footnote w:id="102">
    <w:p w14:paraId="15125338"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 xml:space="preserve">R v </w:t>
      </w:r>
      <w:proofErr w:type="spellStart"/>
      <w:r w:rsidRPr="00DA5EB5">
        <w:rPr>
          <w:i/>
        </w:rPr>
        <w:t>Kozitsyn</w:t>
      </w:r>
      <w:proofErr w:type="spellEnd"/>
      <w:r w:rsidRPr="00DA5EB5">
        <w:t>, 2009 ONCJ 455 at para 26.</w:t>
      </w:r>
    </w:p>
  </w:footnote>
  <w:footnote w:id="103">
    <w:p w14:paraId="7B0F5A8A"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 xml:space="preserve">Ibid </w:t>
      </w:r>
      <w:r w:rsidRPr="00DA5EB5">
        <w:t>at para 9.</w:t>
      </w:r>
    </w:p>
  </w:footnote>
  <w:footnote w:id="104">
    <w:p w14:paraId="11BB6574"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paras 15-18.</w:t>
      </w:r>
    </w:p>
  </w:footnote>
  <w:footnote w:id="105">
    <w:p w14:paraId="10A0F54E" w14:textId="77777777" w:rsidR="007E0F72" w:rsidRPr="00DA5EB5" w:rsidRDefault="007E0F72" w:rsidP="00BF52C3">
      <w:pPr>
        <w:pStyle w:val="FootnoteText"/>
      </w:pPr>
      <w:r w:rsidRPr="00DA5EB5">
        <w:rPr>
          <w:rStyle w:val="FootnoteReference"/>
          <w:sz w:val="18"/>
        </w:rPr>
        <w:footnoteRef/>
      </w:r>
      <w:r w:rsidRPr="00DA5EB5">
        <w:t xml:space="preserve"> </w:t>
      </w:r>
      <w:r w:rsidRPr="00DA5EB5">
        <w:rPr>
          <w:i/>
          <w:szCs w:val="18"/>
        </w:rPr>
        <w:t>R v David</w:t>
      </w:r>
      <w:r w:rsidRPr="00DA5EB5">
        <w:rPr>
          <w:szCs w:val="18"/>
        </w:rPr>
        <w:t>, 2013 NSSC 83.</w:t>
      </w:r>
    </w:p>
  </w:footnote>
  <w:footnote w:id="106">
    <w:p w14:paraId="09EF70BB" w14:textId="1660FCEF"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R v David</w:t>
      </w:r>
      <w:r w:rsidRPr="00DA5EB5">
        <w:rPr>
          <w:szCs w:val="18"/>
        </w:rPr>
        <w:t xml:space="preserve">, 2013 NSSC 83 at paras 25, 78. </w:t>
      </w:r>
    </w:p>
  </w:footnote>
  <w:footnote w:id="107">
    <w:p w14:paraId="41C45CAC"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R v </w:t>
      </w:r>
      <w:proofErr w:type="spellStart"/>
      <w:r w:rsidRPr="00DA5EB5">
        <w:rPr>
          <w:i/>
          <w:szCs w:val="18"/>
        </w:rPr>
        <w:t>Ticne</w:t>
      </w:r>
      <w:proofErr w:type="spellEnd"/>
      <w:r w:rsidRPr="00DA5EB5">
        <w:rPr>
          <w:i/>
          <w:szCs w:val="18"/>
        </w:rPr>
        <w:t>,</w:t>
      </w:r>
      <w:r w:rsidRPr="00DA5EB5">
        <w:rPr>
          <w:szCs w:val="18"/>
        </w:rPr>
        <w:t xml:space="preserve"> 2009 BCCA 191.</w:t>
      </w:r>
    </w:p>
  </w:footnote>
  <w:footnote w:id="108">
    <w:p w14:paraId="252408CE"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Ibid </w:t>
      </w:r>
      <w:r w:rsidRPr="00DA5EB5">
        <w:rPr>
          <w:szCs w:val="18"/>
        </w:rPr>
        <w:t>at para 28.</w:t>
      </w:r>
    </w:p>
  </w:footnote>
  <w:footnote w:id="109">
    <w:p w14:paraId="727283E6"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R v </w:t>
      </w:r>
      <w:proofErr w:type="spellStart"/>
      <w:r w:rsidRPr="00DA5EB5">
        <w:rPr>
          <w:i/>
          <w:szCs w:val="18"/>
        </w:rPr>
        <w:t>Morency</w:t>
      </w:r>
      <w:proofErr w:type="spellEnd"/>
      <w:r w:rsidRPr="00DA5EB5">
        <w:rPr>
          <w:i/>
          <w:szCs w:val="18"/>
        </w:rPr>
        <w:t xml:space="preserve">, </w:t>
      </w:r>
      <w:r w:rsidRPr="00DA5EB5">
        <w:rPr>
          <w:szCs w:val="18"/>
        </w:rPr>
        <w:t>2012 QCCQ 4556.</w:t>
      </w:r>
    </w:p>
  </w:footnote>
  <w:footnote w:id="110">
    <w:p w14:paraId="43AC293D" w14:textId="77777777" w:rsidR="007E0F72" w:rsidRPr="00DA5EB5" w:rsidRDefault="007E0F72" w:rsidP="00152AA7">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Schedule I.</w:t>
      </w:r>
    </w:p>
  </w:footnote>
  <w:footnote w:id="111">
    <w:p w14:paraId="2EA5BD7B"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72.</w:t>
      </w:r>
    </w:p>
  </w:footnote>
  <w:footnote w:id="112">
    <w:p w14:paraId="5B136104" w14:textId="77777777" w:rsidR="007E0F72" w:rsidRPr="00DA5EB5" w:rsidRDefault="007E0F72" w:rsidP="00152AA7">
      <w:pPr>
        <w:pStyle w:val="FootnoteText"/>
      </w:pPr>
      <w:r w:rsidRPr="00DA5EB5">
        <w:rPr>
          <w:rStyle w:val="FootnoteReference"/>
          <w:sz w:val="18"/>
          <w:szCs w:val="18"/>
        </w:rPr>
        <w:footnoteRef/>
      </w:r>
      <w:r w:rsidRPr="00DA5EB5">
        <w:rPr>
          <w:szCs w:val="18"/>
        </w:rPr>
        <w:t xml:space="preserve"> </w:t>
      </w:r>
      <w:r w:rsidRPr="00DA5EB5">
        <w:rPr>
          <w:i/>
          <w:szCs w:val="18"/>
        </w:rPr>
        <w:t>R v Murray</w:t>
      </w:r>
      <w:r w:rsidRPr="00DA5EB5">
        <w:rPr>
          <w:szCs w:val="18"/>
        </w:rPr>
        <w:t>, 2010 NLTD 44.</w:t>
      </w:r>
    </w:p>
  </w:footnote>
  <w:footnote w:id="113">
    <w:p w14:paraId="5F15A670" w14:textId="77777777" w:rsidR="007E0F72" w:rsidRPr="00DA5EB5" w:rsidRDefault="007E0F72" w:rsidP="00152AA7">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R v </w:t>
      </w:r>
      <w:proofErr w:type="spellStart"/>
      <w:r w:rsidRPr="00DA5EB5">
        <w:rPr>
          <w:i/>
          <w:szCs w:val="18"/>
        </w:rPr>
        <w:t>Gyles</w:t>
      </w:r>
      <w:proofErr w:type="spellEnd"/>
      <w:r w:rsidRPr="00DA5EB5">
        <w:rPr>
          <w:szCs w:val="18"/>
        </w:rPr>
        <w:t>, [2003] OJ No 6249.</w:t>
      </w:r>
    </w:p>
  </w:footnote>
  <w:footnote w:id="114">
    <w:p w14:paraId="469F582A" w14:textId="77777777" w:rsidR="007E0F72" w:rsidRPr="00DA5EB5" w:rsidRDefault="007E0F72" w:rsidP="00F828B7">
      <w:pPr>
        <w:pStyle w:val="FootnoteText"/>
        <w:rPr>
          <w:szCs w:val="18"/>
        </w:rPr>
      </w:pPr>
      <w:r w:rsidRPr="00DA5EB5">
        <w:rPr>
          <w:rStyle w:val="FootnoteReference"/>
          <w:sz w:val="18"/>
        </w:rPr>
        <w:footnoteRef/>
      </w:r>
      <w:r w:rsidRPr="00DA5EB5">
        <w:t xml:space="preserve"> </w:t>
      </w:r>
      <w:r w:rsidRPr="00DA5EB5">
        <w:rPr>
          <w:i/>
          <w:szCs w:val="18"/>
        </w:rPr>
        <w:t>Ibid</w:t>
      </w:r>
      <w:r w:rsidRPr="00DA5EB5">
        <w:rPr>
          <w:szCs w:val="18"/>
        </w:rPr>
        <w:t xml:space="preserve"> at paras 17–31.</w:t>
      </w:r>
    </w:p>
  </w:footnote>
  <w:footnote w:id="115">
    <w:p w14:paraId="3F93BC91"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R v </w:t>
      </w:r>
      <w:proofErr w:type="spellStart"/>
      <w:r w:rsidRPr="00DA5EB5">
        <w:rPr>
          <w:i/>
          <w:szCs w:val="18"/>
        </w:rPr>
        <w:t>Lafleur</w:t>
      </w:r>
      <w:proofErr w:type="spellEnd"/>
      <w:r w:rsidRPr="00DA5EB5">
        <w:rPr>
          <w:szCs w:val="18"/>
        </w:rPr>
        <w:t>, 2007 QCCQ 6652 at para 37.</w:t>
      </w:r>
    </w:p>
  </w:footnote>
  <w:footnote w:id="116">
    <w:p w14:paraId="787B94BE"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R v </w:t>
      </w:r>
      <w:proofErr w:type="spellStart"/>
      <w:r w:rsidRPr="00DA5EB5">
        <w:rPr>
          <w:i/>
          <w:szCs w:val="18"/>
        </w:rPr>
        <w:t>Guite</w:t>
      </w:r>
      <w:proofErr w:type="spellEnd"/>
      <w:r w:rsidRPr="00DA5EB5">
        <w:rPr>
          <w:szCs w:val="18"/>
        </w:rPr>
        <w:t>, 2006 QCCS 3927.</w:t>
      </w:r>
    </w:p>
  </w:footnote>
  <w:footnote w:id="117">
    <w:p w14:paraId="59A9972B" w14:textId="4384A4F5"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R v Coffin¸</w:t>
      </w:r>
      <w:r w:rsidRPr="00DA5EB5">
        <w:t xml:space="preserve">2006 QCCA 471. </w:t>
      </w:r>
      <w:r w:rsidRPr="00DA5EB5">
        <w:rPr>
          <w:i/>
        </w:rPr>
        <w:t xml:space="preserve">Coffin </w:t>
      </w:r>
      <w:r w:rsidRPr="00DA5EB5">
        <w:t xml:space="preserve">also includes a comprehensive list of sentencing decisions in fraud cases (see under “Case law cited by the Crown”). </w:t>
      </w:r>
    </w:p>
  </w:footnote>
  <w:footnote w:id="118">
    <w:p w14:paraId="466B9EEA" w14:textId="4A80E3D5"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color w:val="000000"/>
        </w:rPr>
        <w:t>R v</w:t>
      </w:r>
      <w:r w:rsidRPr="00DA5EB5">
        <w:rPr>
          <w:color w:val="000000"/>
        </w:rPr>
        <w:t xml:space="preserve"> </w:t>
      </w:r>
      <w:r w:rsidRPr="00DA5EB5">
        <w:rPr>
          <w:i/>
          <w:color w:val="000000"/>
        </w:rPr>
        <w:t>Bogart</w:t>
      </w:r>
      <w:r w:rsidRPr="00DA5EB5">
        <w:rPr>
          <w:color w:val="000000"/>
        </w:rPr>
        <w:t xml:space="preserve"> (2002), 61 OR (3d) 75, leave to appeal to SCC refused.</w:t>
      </w:r>
    </w:p>
  </w:footnote>
  <w:footnote w:id="119">
    <w:p w14:paraId="339F2732"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 xml:space="preserve">Ibid </w:t>
      </w:r>
      <w:r w:rsidRPr="00DA5EB5">
        <w:t>at paras 46-49.</w:t>
      </w:r>
    </w:p>
  </w:footnote>
  <w:footnote w:id="120">
    <w:p w14:paraId="68DEBF99" w14:textId="49E9D201" w:rsidR="007E0F72" w:rsidRPr="00DA5EB5" w:rsidRDefault="007E0F72" w:rsidP="00BF52C3">
      <w:pPr>
        <w:pStyle w:val="FootnoteText"/>
        <w:rPr>
          <w:color w:val="FF0000"/>
        </w:rPr>
      </w:pPr>
      <w:r w:rsidRPr="00DA5EB5">
        <w:rPr>
          <w:rStyle w:val="FootnoteReference"/>
          <w:sz w:val="18"/>
          <w:szCs w:val="18"/>
        </w:rPr>
        <w:footnoteRef/>
      </w:r>
      <w:r w:rsidRPr="00DA5EB5">
        <w:t xml:space="preserve"> </w:t>
      </w:r>
      <w:r w:rsidRPr="00DA5EB5">
        <w:rPr>
          <w:color w:val="000000"/>
        </w:rPr>
        <w:t xml:space="preserve">Transparency International Canada has noted that this lack of availability of conditional sentences or discharges is problematic for the prosecution of less severe violations of the </w:t>
      </w:r>
      <w:r w:rsidRPr="00DA5EB5">
        <w:rPr>
          <w:i/>
          <w:color w:val="000000"/>
        </w:rPr>
        <w:t>CFPOA</w:t>
      </w:r>
      <w:r w:rsidRPr="00DA5EB5">
        <w:rPr>
          <w:color w:val="000000"/>
        </w:rPr>
        <w:t xml:space="preserve">: Transparency International Canada, </w:t>
      </w:r>
      <w:r w:rsidRPr="00DA5EB5">
        <w:rPr>
          <w:i/>
          <w:color w:val="000000"/>
        </w:rPr>
        <w:t xml:space="preserve">Review of Canada’s Implementation of UNCAC </w:t>
      </w:r>
      <w:r w:rsidRPr="00DA5EB5">
        <w:rPr>
          <w:color w:val="000000"/>
        </w:rPr>
        <w:t xml:space="preserve">(October 2013) at 9. </w:t>
      </w:r>
    </w:p>
  </w:footnote>
  <w:footnote w:id="121">
    <w:p w14:paraId="1197B209" w14:textId="24C471FB" w:rsidR="007E0F72" w:rsidRPr="00DA5EB5" w:rsidRDefault="007E0F72" w:rsidP="00BF52C3">
      <w:pPr>
        <w:pStyle w:val="FootnoteText"/>
        <w:rPr>
          <w:rFonts w:eastAsia="Calibri"/>
        </w:rPr>
      </w:pPr>
      <w:r w:rsidRPr="00DA5EB5">
        <w:rPr>
          <w:rStyle w:val="FootnoteReference"/>
          <w:sz w:val="18"/>
          <w:szCs w:val="18"/>
        </w:rPr>
        <w:footnoteRef/>
      </w:r>
      <w:r w:rsidRPr="00DA5EB5">
        <w:t xml:space="preserve"> </w:t>
      </w:r>
      <w:r w:rsidRPr="00DA5EB5">
        <w:rPr>
          <w:rFonts w:eastAsia="Calibri"/>
        </w:rPr>
        <w:t xml:space="preserve">Norm Keith, </w:t>
      </w:r>
      <w:r w:rsidRPr="00DA5EB5">
        <w:rPr>
          <w:rFonts w:eastAsia="Calibri"/>
          <w:i/>
        </w:rPr>
        <w:t xml:space="preserve">Canadian Anti-Corruption Law and Compliance </w:t>
      </w:r>
      <w:r w:rsidRPr="00DA5EB5">
        <w:rPr>
          <w:rFonts w:eastAsia="Calibri"/>
        </w:rPr>
        <w:t>(LexisNexis Canada, 2013) at 115.</w:t>
      </w:r>
    </w:p>
  </w:footnote>
  <w:footnote w:id="122">
    <w:p w14:paraId="5E0293DB" w14:textId="77777777" w:rsidR="007E0F72" w:rsidRPr="00DA5EB5" w:rsidRDefault="007E0F72" w:rsidP="001C70A2">
      <w:pPr>
        <w:pStyle w:val="FootnoteText"/>
      </w:pPr>
      <w:r w:rsidRPr="00DA5EB5">
        <w:rPr>
          <w:rStyle w:val="FootnoteReference"/>
          <w:sz w:val="18"/>
          <w:szCs w:val="18"/>
        </w:rPr>
        <w:footnoteRef/>
      </w:r>
      <w:r w:rsidRPr="00DA5EB5">
        <w:t xml:space="preserve"> </w:t>
      </w:r>
      <w:r w:rsidRPr="00DA5EB5">
        <w:rPr>
          <w:i/>
        </w:rPr>
        <w:t>R v Watts</w:t>
      </w:r>
      <w:r w:rsidRPr="00DA5EB5">
        <w:t>, [</w:t>
      </w:r>
      <w:r w:rsidRPr="00DA5EB5">
        <w:rPr>
          <w:bCs/>
        </w:rPr>
        <w:t>2005</w:t>
      </w:r>
      <w:r w:rsidRPr="00DA5EB5">
        <w:t xml:space="preserve">] </w:t>
      </w:r>
      <w:r w:rsidRPr="00DA5EB5">
        <w:rPr>
          <w:bCs/>
        </w:rPr>
        <w:t>AJ</w:t>
      </w:r>
      <w:r w:rsidRPr="00DA5EB5">
        <w:t xml:space="preserve"> </w:t>
      </w:r>
      <w:r w:rsidRPr="00DA5EB5">
        <w:rPr>
          <w:bCs/>
        </w:rPr>
        <w:t>No</w:t>
      </w:r>
      <w:r w:rsidRPr="00DA5EB5">
        <w:t xml:space="preserve"> </w:t>
      </w:r>
      <w:r w:rsidRPr="00DA5EB5">
        <w:rPr>
          <w:bCs/>
        </w:rPr>
        <w:t>568.</w:t>
      </w:r>
    </w:p>
  </w:footnote>
  <w:footnote w:id="123">
    <w:p w14:paraId="576C2206"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color w:val="000000"/>
          <w:szCs w:val="18"/>
        </w:rPr>
        <w:t xml:space="preserve">In separate proceedings, Garcia was charged under the </w:t>
      </w:r>
      <w:r w:rsidRPr="00DA5EB5">
        <w:rPr>
          <w:i/>
          <w:color w:val="000000"/>
          <w:szCs w:val="18"/>
        </w:rPr>
        <w:t>Criminal Code</w:t>
      </w:r>
      <w:r w:rsidRPr="00DA5EB5">
        <w:rPr>
          <w:color w:val="000000"/>
          <w:szCs w:val="18"/>
        </w:rPr>
        <w:t xml:space="preserve"> and pleaded guilty to accepting secret commissions. He was sentenced to six months imprisonment. The court rejected Garcia’s argument that his sentence should be a conditional sentence (i.e., served in the community). The court was informed that Garcia would also be prosecuted in the US once his Canadian sentence was completed.</w:t>
      </w:r>
    </w:p>
  </w:footnote>
  <w:footnote w:id="124">
    <w:p w14:paraId="537C669F" w14:textId="77777777" w:rsidR="007E0F72" w:rsidRPr="00DA5EB5" w:rsidRDefault="007E0F72" w:rsidP="00907520">
      <w:pPr>
        <w:pStyle w:val="FootnoteText"/>
      </w:pPr>
      <w:r w:rsidRPr="00DA5EB5">
        <w:rPr>
          <w:rStyle w:val="FootnoteReference"/>
          <w:sz w:val="18"/>
          <w:szCs w:val="18"/>
        </w:rPr>
        <w:footnoteRef/>
      </w:r>
      <w:r w:rsidRPr="00DA5EB5">
        <w:t xml:space="preserve"> Section 722 of the </w:t>
      </w:r>
      <w:r w:rsidRPr="00DA5EB5">
        <w:rPr>
          <w:i/>
        </w:rPr>
        <w:t>Criminal Code</w:t>
      </w:r>
      <w:r w:rsidRPr="00DA5EB5">
        <w:t xml:space="preserve"> states: “For the purpose of determining the sentenced to be imposed on an offender…the court shall consider any statement that may have been prepared in accordance with subsection (2) of a victim of the offence describing the harm done to, or loss suffered by, the victim arising from the commission of the offence.”</w:t>
      </w:r>
    </w:p>
  </w:footnote>
  <w:footnote w:id="125">
    <w:p w14:paraId="341F7812" w14:textId="34CCDBD3"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R v Watts</w:t>
      </w:r>
      <w:r w:rsidRPr="00DA5EB5">
        <w:t>, [</w:t>
      </w:r>
      <w:r w:rsidRPr="00DA5EB5">
        <w:rPr>
          <w:bCs/>
        </w:rPr>
        <w:t>2005</w:t>
      </w:r>
      <w:r w:rsidRPr="00DA5EB5">
        <w:t xml:space="preserve">] </w:t>
      </w:r>
      <w:r w:rsidRPr="00DA5EB5">
        <w:rPr>
          <w:bCs/>
        </w:rPr>
        <w:t>AJ</w:t>
      </w:r>
      <w:r w:rsidRPr="00DA5EB5">
        <w:t xml:space="preserve"> </w:t>
      </w:r>
      <w:r w:rsidRPr="00DA5EB5">
        <w:rPr>
          <w:bCs/>
        </w:rPr>
        <w:t>No</w:t>
      </w:r>
      <w:r w:rsidRPr="00DA5EB5">
        <w:t xml:space="preserve"> </w:t>
      </w:r>
      <w:r w:rsidRPr="00DA5EB5">
        <w:rPr>
          <w:bCs/>
        </w:rPr>
        <w:t xml:space="preserve">568 </w:t>
      </w:r>
      <w:r w:rsidRPr="00DA5EB5">
        <w:t>at paras 128-29.</w:t>
      </w:r>
    </w:p>
  </w:footnote>
  <w:footnote w:id="126">
    <w:p w14:paraId="364E29C6"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Ibid</w:t>
      </w:r>
      <w:r w:rsidRPr="00DA5EB5">
        <w:t xml:space="preserve"> at para 184.</w:t>
      </w:r>
    </w:p>
  </w:footnote>
  <w:footnote w:id="127">
    <w:p w14:paraId="6FA56599"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 xml:space="preserve">Ibid </w:t>
      </w:r>
      <w:r w:rsidRPr="00DA5EB5">
        <w:t>at para 185.</w:t>
      </w:r>
    </w:p>
  </w:footnote>
  <w:footnote w:id="128">
    <w:p w14:paraId="4D2670F5"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Ibid</w:t>
      </w:r>
      <w:r w:rsidRPr="00DA5EB5">
        <w:t xml:space="preserve"> at para 188.</w:t>
      </w:r>
      <w:r w:rsidRPr="00DA5EB5">
        <w:tab/>
      </w:r>
    </w:p>
  </w:footnote>
  <w:footnote w:id="129">
    <w:p w14:paraId="6233B878" w14:textId="77777777" w:rsidR="007E0F72" w:rsidRPr="00DA5EB5" w:rsidRDefault="007E0F72" w:rsidP="00BF52C3">
      <w:pPr>
        <w:pStyle w:val="FootnoteText"/>
      </w:pPr>
      <w:r w:rsidRPr="00DA5EB5">
        <w:rPr>
          <w:rStyle w:val="FootnoteReference"/>
          <w:sz w:val="18"/>
          <w:szCs w:val="18"/>
        </w:rPr>
        <w:footnoteRef/>
      </w:r>
      <w:r w:rsidRPr="00DA5EB5">
        <w:t xml:space="preserve"> OECD Working Group on Bribery, </w:t>
      </w:r>
      <w:r w:rsidRPr="00DA5EB5">
        <w:rPr>
          <w:i/>
        </w:rPr>
        <w:t>Phase 3 Report on Implementing the OECD Anti-Bribery Convention in Canada</w:t>
      </w:r>
      <w:r w:rsidRPr="00DA5EB5">
        <w:t xml:space="preserve"> (March 2011) at para 58.</w:t>
      </w:r>
    </w:p>
  </w:footnote>
  <w:footnote w:id="130">
    <w:p w14:paraId="18A27B55" w14:textId="608A1F11"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 xml:space="preserve">R v Niko Resources Ltd, </w:t>
      </w:r>
      <w:r w:rsidRPr="00DA5EB5">
        <w:rPr>
          <w:bCs/>
        </w:rPr>
        <w:t>101 WCB (2d) 118, 2011 CLB 37508 (Alta QB).</w:t>
      </w:r>
      <w:r w:rsidRPr="00DA5EB5">
        <w:rPr>
          <w:b/>
          <w:bCs/>
          <w:sz w:val="20"/>
        </w:rPr>
        <w:t xml:space="preserve"> </w:t>
      </w:r>
    </w:p>
  </w:footnote>
  <w:footnote w:id="131">
    <w:p w14:paraId="77B50FE5" w14:textId="77777777" w:rsidR="007E0F72" w:rsidRPr="00DA5EB5" w:rsidRDefault="007E0F72" w:rsidP="00907520">
      <w:pPr>
        <w:pStyle w:val="FootnoteText"/>
      </w:pPr>
      <w:r w:rsidRPr="00DA5EB5">
        <w:rPr>
          <w:rStyle w:val="FootnoteReference"/>
          <w:sz w:val="18"/>
          <w:szCs w:val="18"/>
        </w:rPr>
        <w:footnoteRef/>
      </w:r>
      <w:r w:rsidRPr="00DA5EB5">
        <w:t xml:space="preserve"> As stated in the judgment: “The relationship between Niko Canada and Niko Bangladesh was as follows: Niko Canada is the public company which owned 100% of Niko Resources Caymans, which was a holding company. The holding company in turn owned 100% of Niko Bangladesh. Niko Bangladesh was incorporated in Barbados. Although it was not incorporated in Bangladesh it does, however, maintain an office in Dhaka, which is the capital city of Bangladesh. Niko Bangladesh was funded solely by Niko Canada. Typically, money was transferred from Niko Canada's accounts in Calgary, to Niko Resources Caymans then to the Niko Bangladesh accounts in Barbados and finally to the Niko Bangladesh accounts in Bangladesh. The CEO of Niko Canada sat on the Board of Directors of Niko Bangladesh.” See </w:t>
      </w:r>
      <w:r w:rsidRPr="00DA5EB5">
        <w:rPr>
          <w:i/>
        </w:rPr>
        <w:t>ibid</w:t>
      </w:r>
      <w:r w:rsidRPr="00DA5EB5">
        <w:t xml:space="preserve"> at paras 10, 11.</w:t>
      </w:r>
    </w:p>
  </w:footnote>
  <w:footnote w:id="132">
    <w:p w14:paraId="19A50A7B" w14:textId="4BBD822C"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Note that the victim surcharge contributes to provincial victim services rather than the victims of a particular offence (which, in cases of foreign corrupt practices, would be citizens of the bribed official’s country).</w:t>
      </w:r>
    </w:p>
  </w:footnote>
  <w:footnote w:id="133">
    <w:p w14:paraId="3B9269BB" w14:textId="2BF9D8FE"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Poonam </w:t>
      </w:r>
      <w:proofErr w:type="spellStart"/>
      <w:r w:rsidRPr="00DA5EB5">
        <w:rPr>
          <w:szCs w:val="18"/>
        </w:rPr>
        <w:t>Puri</w:t>
      </w:r>
      <w:proofErr w:type="spellEnd"/>
      <w:r w:rsidRPr="00DA5EB5">
        <w:rPr>
          <w:szCs w:val="18"/>
        </w:rPr>
        <w:t xml:space="preserve"> notes that this sentence, when compared with </w:t>
      </w:r>
      <w:r w:rsidRPr="00DA5EB5">
        <w:rPr>
          <w:i/>
          <w:szCs w:val="18"/>
        </w:rPr>
        <w:t>R v Watts</w:t>
      </w:r>
      <w:r w:rsidRPr="00DA5EB5">
        <w:rPr>
          <w:szCs w:val="18"/>
        </w:rPr>
        <w:t xml:space="preserve">, is evidence of a “troubling lack of consistency” in enforcement of the </w:t>
      </w:r>
      <w:r w:rsidRPr="00DA5EB5">
        <w:rPr>
          <w:i/>
          <w:szCs w:val="18"/>
        </w:rPr>
        <w:t>CFPOA</w:t>
      </w:r>
      <w:r w:rsidRPr="00DA5EB5">
        <w:rPr>
          <w:szCs w:val="18"/>
        </w:rPr>
        <w:t xml:space="preserve">. Hydro </w:t>
      </w:r>
      <w:proofErr w:type="spellStart"/>
      <w:r w:rsidRPr="00DA5EB5">
        <w:rPr>
          <w:szCs w:val="18"/>
        </w:rPr>
        <w:t>Kleen’s</w:t>
      </w:r>
      <w:proofErr w:type="spellEnd"/>
      <w:r w:rsidRPr="00DA5EB5">
        <w:rPr>
          <w:szCs w:val="18"/>
        </w:rPr>
        <w:t xml:space="preserve"> fine was roughly equal to the amount of its bribe, whereas Niko Resources was required to pay a $9.5 million fine for a $200,000 bribe. See Jennifer Brown, “Are anti-corruption laws really tackling the problem?</w:t>
      </w:r>
      <w:proofErr w:type="gramStart"/>
      <w:r w:rsidRPr="00DA5EB5">
        <w:rPr>
          <w:szCs w:val="18"/>
        </w:rPr>
        <w:t>”,</w:t>
      </w:r>
      <w:proofErr w:type="gramEnd"/>
      <w:r w:rsidRPr="00DA5EB5">
        <w:rPr>
          <w:szCs w:val="18"/>
        </w:rPr>
        <w:t xml:space="preserve"> </w:t>
      </w:r>
      <w:r w:rsidRPr="00DA5EB5">
        <w:rPr>
          <w:i/>
          <w:szCs w:val="18"/>
        </w:rPr>
        <w:t xml:space="preserve">Canadian Lawyer </w:t>
      </w:r>
      <w:r w:rsidRPr="00DA5EB5">
        <w:rPr>
          <w:szCs w:val="18"/>
        </w:rPr>
        <w:t>(10 November 2014), online: &lt;</w:t>
      </w:r>
      <w:hyperlink r:id="rId32" w:history="1">
        <w:r w:rsidRPr="00DA5EB5">
          <w:rPr>
            <w:rStyle w:val="Hyperlink"/>
            <w:szCs w:val="18"/>
          </w:rPr>
          <w:t>http://www.canadianlawyermag.com/5350/Are-anti-corruption-laws</w:t>
        </w:r>
        <w:r w:rsidRPr="00DA5EB5">
          <w:rPr>
            <w:rStyle w:val="Hyperlink"/>
            <w:szCs w:val="18"/>
          </w:rPr>
          <w:br/>
          <w:t>-really-tackling-the-problem.html</w:t>
        </w:r>
      </w:hyperlink>
      <w:r w:rsidRPr="00DA5EB5">
        <w:rPr>
          <w:szCs w:val="18"/>
        </w:rPr>
        <w:t xml:space="preserve">&gt;. On the other hand, the same judge a year later in </w:t>
      </w:r>
      <w:r w:rsidRPr="00DA5EB5">
        <w:rPr>
          <w:i/>
          <w:szCs w:val="18"/>
        </w:rPr>
        <w:t xml:space="preserve">Griffiths Energy International </w:t>
      </w:r>
      <w:r w:rsidRPr="00DA5EB5">
        <w:rPr>
          <w:szCs w:val="18"/>
        </w:rPr>
        <w:t>(discussed on the next page) imposed a fine of approximately $10 million for a $2 million bribe.</w:t>
      </w:r>
    </w:p>
  </w:footnote>
  <w:footnote w:id="134">
    <w:p w14:paraId="7A0E7367" w14:textId="306D7E53" w:rsidR="007E0F72" w:rsidRPr="00DA5EB5" w:rsidRDefault="007E0F72" w:rsidP="00BF52C3">
      <w:pPr>
        <w:pStyle w:val="FootnoteText"/>
      </w:pPr>
      <w:r w:rsidRPr="00DA5EB5">
        <w:rPr>
          <w:rStyle w:val="FootnoteReference"/>
          <w:sz w:val="18"/>
          <w:szCs w:val="18"/>
        </w:rPr>
        <w:footnoteRef/>
      </w:r>
      <w:r w:rsidRPr="00DA5EB5">
        <w:rPr>
          <w:szCs w:val="18"/>
        </w:rPr>
        <w:t xml:space="preserve"> Niko Resources was required to adhere to compliance requirements in the probation order. Under s 32.1 of the </w:t>
      </w:r>
      <w:r w:rsidRPr="00DA5EB5">
        <w:rPr>
          <w:i/>
          <w:szCs w:val="18"/>
        </w:rPr>
        <w:t>Criminal Code</w:t>
      </w:r>
      <w:r w:rsidRPr="00DA5EB5">
        <w:rPr>
          <w:szCs w:val="18"/>
        </w:rPr>
        <w:t xml:space="preserve">, courts may order implementation of policies or procedures to prevent future crimes. </w:t>
      </w:r>
      <w:proofErr w:type="spellStart"/>
      <w:r w:rsidRPr="00DA5EB5">
        <w:rPr>
          <w:szCs w:val="18"/>
        </w:rPr>
        <w:t>Boisvert</w:t>
      </w:r>
      <w:proofErr w:type="spellEnd"/>
      <w:r w:rsidRPr="00DA5EB5">
        <w:rPr>
          <w:szCs w:val="18"/>
        </w:rPr>
        <w:t xml:space="preserve"> et al point out that such probation orders are underused and could provide a valuable tool in foreign bribery cases:</w:t>
      </w:r>
      <w:r w:rsidRPr="00DA5EB5">
        <w:t xml:space="preserve"> Anne-Marie Lynda </w:t>
      </w:r>
      <w:proofErr w:type="spellStart"/>
      <w:r w:rsidRPr="00DA5EB5">
        <w:t>Boisvert</w:t>
      </w:r>
      <w:proofErr w:type="spellEnd"/>
      <w:r w:rsidRPr="00DA5EB5">
        <w:t xml:space="preserve"> et al,</w:t>
      </w:r>
      <w:r w:rsidRPr="00DA5EB5">
        <w:rPr>
          <w:i/>
        </w:rPr>
        <w:t xml:space="preserve"> </w:t>
      </w:r>
      <w:r w:rsidRPr="00DA5EB5">
        <w:t>“Corruption in Canada: Definitions and Enforcement”, Report No. 46, prepared for Public Safety Canada by Deloitte LLP (Her Majesty the Queen in Right of Canada, 2014) at 47.</w:t>
      </w:r>
    </w:p>
  </w:footnote>
  <w:footnote w:id="135">
    <w:p w14:paraId="0CBDA8D4"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w:t>
      </w:r>
    </w:p>
  </w:footnote>
  <w:footnote w:id="136">
    <w:p w14:paraId="481C9232" w14:textId="75D46483"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R v Griffiths Energy International</w:t>
      </w:r>
      <w:r w:rsidRPr="00DA5EB5">
        <w:rPr>
          <w:szCs w:val="18"/>
        </w:rPr>
        <w:t>, [</w:t>
      </w:r>
      <w:r w:rsidRPr="00DA5EB5">
        <w:rPr>
          <w:bCs/>
          <w:szCs w:val="18"/>
        </w:rPr>
        <w:t>2013</w:t>
      </w:r>
      <w:r w:rsidRPr="00DA5EB5">
        <w:rPr>
          <w:szCs w:val="18"/>
        </w:rPr>
        <w:t xml:space="preserve">] </w:t>
      </w:r>
      <w:r w:rsidRPr="00DA5EB5">
        <w:rPr>
          <w:bCs/>
          <w:szCs w:val="18"/>
        </w:rPr>
        <w:t>AJ</w:t>
      </w:r>
      <w:r w:rsidRPr="00DA5EB5">
        <w:rPr>
          <w:szCs w:val="18"/>
        </w:rPr>
        <w:t xml:space="preserve"> </w:t>
      </w:r>
      <w:r w:rsidRPr="00DA5EB5">
        <w:rPr>
          <w:bCs/>
          <w:szCs w:val="18"/>
        </w:rPr>
        <w:t>No</w:t>
      </w:r>
      <w:r w:rsidRPr="00DA5EB5">
        <w:rPr>
          <w:szCs w:val="18"/>
        </w:rPr>
        <w:t xml:space="preserve"> </w:t>
      </w:r>
      <w:r w:rsidRPr="00DA5EB5">
        <w:rPr>
          <w:bCs/>
          <w:szCs w:val="18"/>
        </w:rPr>
        <w:t>412 (Alta QB).</w:t>
      </w:r>
    </w:p>
  </w:footnote>
  <w:footnote w:id="137">
    <w:p w14:paraId="4C2099CC"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w:t>
      </w:r>
    </w:p>
  </w:footnote>
  <w:footnote w:id="138">
    <w:p w14:paraId="6C19D205" w14:textId="085D3923" w:rsidR="007E0F72" w:rsidRPr="00DA5EB5" w:rsidRDefault="007E0F72" w:rsidP="00001574">
      <w:pPr>
        <w:pStyle w:val="FootnoteText"/>
      </w:pPr>
      <w:r w:rsidRPr="00DA5EB5">
        <w:rPr>
          <w:rStyle w:val="FootnoteReference"/>
          <w:sz w:val="18"/>
          <w:szCs w:val="18"/>
        </w:rPr>
        <w:footnoteRef/>
      </w:r>
      <w:r w:rsidRPr="00DA5EB5">
        <w:rPr>
          <w:szCs w:val="18"/>
        </w:rPr>
        <w:t xml:space="preserve"> </w:t>
      </w:r>
      <w:r w:rsidRPr="00DA5EB5">
        <w:rPr>
          <w:i/>
          <w:szCs w:val="18"/>
        </w:rPr>
        <w:t xml:space="preserve">R v </w:t>
      </w:r>
      <w:proofErr w:type="spellStart"/>
      <w:r w:rsidRPr="00DA5EB5">
        <w:rPr>
          <w:i/>
          <w:szCs w:val="18"/>
        </w:rPr>
        <w:t>Karigar</w:t>
      </w:r>
      <w:proofErr w:type="spellEnd"/>
      <w:r w:rsidRPr="00DA5EB5">
        <w:rPr>
          <w:szCs w:val="18"/>
        </w:rPr>
        <w:t>, 2013 ONSC 5199 (conviction); 2014 ONSC 3093 (3-year sentence of imprisonment); 2017 ONCA 576 (conviction appeal dismissed); leave to appeal to SCC refused, March 15, 2018.</w:t>
      </w:r>
    </w:p>
  </w:footnote>
  <w:footnote w:id="139">
    <w:p w14:paraId="665A9A5C"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Ibid</w:t>
      </w:r>
      <w:r w:rsidRPr="00DA5EB5">
        <w:t>.</w:t>
      </w:r>
    </w:p>
  </w:footnote>
  <w:footnote w:id="140">
    <w:p w14:paraId="79B69F25"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Ibid</w:t>
      </w:r>
      <w:r w:rsidRPr="00DA5EB5">
        <w:t>.</w:t>
      </w:r>
    </w:p>
  </w:footnote>
  <w:footnote w:id="141">
    <w:p w14:paraId="69C13268" w14:textId="4FCF9B61"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Ibid</w:t>
      </w:r>
      <w:r w:rsidRPr="00DA5EB5">
        <w:t xml:space="preserve"> at para 6. By increasing the maximum sentence for all forms of foreign bribery under the </w:t>
      </w:r>
      <w:r w:rsidRPr="00DA5EB5">
        <w:rPr>
          <w:i/>
          <w:iCs/>
        </w:rPr>
        <w:t>CFPOA</w:t>
      </w:r>
      <w:r w:rsidRPr="00DA5EB5">
        <w:t xml:space="preserve"> to 14 years, </w:t>
      </w:r>
      <w:proofErr w:type="spellStart"/>
      <w:r w:rsidRPr="00DA5EB5">
        <w:t>Karigar's</w:t>
      </w:r>
      <w:proofErr w:type="spellEnd"/>
      <w:r w:rsidRPr="00DA5EB5">
        <w:t xml:space="preserve"> form of bribery (punishable if committed domestically to a maximum of 5 years: s 121(1</w:t>
      </w:r>
      <w:proofErr w:type="gramStart"/>
      <w:r w:rsidRPr="00DA5EB5">
        <w:t>)(</w:t>
      </w:r>
      <w:proofErr w:type="gramEnd"/>
      <w:r w:rsidRPr="00DA5EB5">
        <w:t xml:space="preserve">a) of the </w:t>
      </w:r>
      <w:r w:rsidRPr="00DA5EB5">
        <w:rPr>
          <w:i/>
          <w:iCs/>
        </w:rPr>
        <w:t>Criminal Code</w:t>
      </w:r>
      <w:r w:rsidRPr="00DA5EB5">
        <w:t>) is now punishable by a higher maximum when committed in respect to the foreign official in that case.</w:t>
      </w:r>
    </w:p>
  </w:footnote>
  <w:footnote w:id="142">
    <w:p w14:paraId="33B7A336" w14:textId="6ED72D36" w:rsidR="007E0F72" w:rsidRPr="00DA5EB5" w:rsidRDefault="007E0F72" w:rsidP="00BF52C3">
      <w:pPr>
        <w:pStyle w:val="FootnoteText"/>
        <w:rPr>
          <w:color w:val="000000" w:themeColor="text1"/>
        </w:rPr>
      </w:pPr>
      <w:r w:rsidRPr="00DA5EB5">
        <w:rPr>
          <w:rStyle w:val="FootnoteReference"/>
          <w:sz w:val="18"/>
          <w:szCs w:val="18"/>
        </w:rPr>
        <w:footnoteRef/>
      </w:r>
      <w:r w:rsidRPr="00DA5EB5">
        <w:t xml:space="preserve"> Shearman &amp; Sterling LLP, </w:t>
      </w:r>
      <w:r w:rsidRPr="00DA5EB5">
        <w:rPr>
          <w:i/>
        </w:rPr>
        <w:t>FCPA Digest – Recent Trends and Patterns in the Enforcement of the Foreign Corrupt Practices Act</w:t>
      </w:r>
      <w:r w:rsidRPr="00DA5EB5">
        <w:t xml:space="preserve"> (January 2015) at 11, online: &lt;</w:t>
      </w:r>
      <w:hyperlink r:id="rId33" w:history="1">
        <w:r w:rsidRPr="0061209A">
          <w:rPr>
            <w:rStyle w:val="Hyperlink"/>
            <w:szCs w:val="18"/>
          </w:rPr>
          <w:t>http://www.shearman.com/~/media/Files/</w:t>
        </w:r>
        <w:r w:rsidRPr="0061209A">
          <w:rPr>
            <w:rStyle w:val="Hyperlink"/>
            <w:szCs w:val="18"/>
          </w:rPr>
          <w:br/>
          <w:t>NewsInsights/Publications/2015/01/Recent-Trends-and-Patterns-only-LT-010515.pdf</w:t>
        </w:r>
      </w:hyperlink>
      <w:r w:rsidRPr="00DA5EB5">
        <w:rPr>
          <w:rStyle w:val="Hyperlink"/>
          <w:color w:val="000000" w:themeColor="text1"/>
          <w:szCs w:val="18"/>
          <w:u w:val="none"/>
        </w:rPr>
        <w:t>&gt;.</w:t>
      </w:r>
    </w:p>
  </w:footnote>
  <w:footnote w:id="143">
    <w:p w14:paraId="17A64CF7" w14:textId="523FE204" w:rsidR="007E0F72" w:rsidRPr="00DA5EB5" w:rsidRDefault="007E0F72" w:rsidP="00BF52C3">
      <w:pPr>
        <w:pStyle w:val="FootnoteText"/>
      </w:pPr>
      <w:r w:rsidRPr="00DA5EB5">
        <w:rPr>
          <w:rStyle w:val="FootnoteReference"/>
          <w:sz w:val="18"/>
          <w:szCs w:val="18"/>
        </w:rPr>
        <w:footnoteRef/>
      </w:r>
      <w:r w:rsidRPr="00DA5EB5">
        <w:rPr>
          <w:szCs w:val="18"/>
        </w:rPr>
        <w:t xml:space="preserve"> Wendy Berman &amp; Jonathan </w:t>
      </w:r>
      <w:proofErr w:type="spellStart"/>
      <w:r w:rsidRPr="00DA5EB5">
        <w:rPr>
          <w:szCs w:val="18"/>
        </w:rPr>
        <w:t>Wansbrough</w:t>
      </w:r>
      <w:proofErr w:type="spellEnd"/>
      <w:r w:rsidRPr="00DA5EB5">
        <w:rPr>
          <w:szCs w:val="18"/>
        </w:rPr>
        <w:t>, “A Primer on Canada’s Foreign Anti-Corruption Enforcement Regime” (Cassels Brock &amp; Blackwell LLP, 2014) at 25, online: &lt;</w:t>
      </w:r>
      <w:hyperlink r:id="rId34" w:history="1">
        <w:r w:rsidRPr="00DA5EB5">
          <w:rPr>
            <w:rStyle w:val="Hyperlink"/>
            <w:szCs w:val="18"/>
          </w:rPr>
          <w:t>http://www.mondaq.com/canada/x/345442/White+Collar+Crime+Fraud/Risky+Business+A+Primer+on+Canadas+Foreign+AntiCorruption+Enforcement+Regime</w:t>
        </w:r>
      </w:hyperlink>
      <w:r w:rsidRPr="00DA5EB5">
        <w:rPr>
          <w:szCs w:val="18"/>
        </w:rPr>
        <w:t xml:space="preserve">&gt;. </w:t>
      </w:r>
    </w:p>
  </w:footnote>
  <w:footnote w:id="144">
    <w:p w14:paraId="3C8D5C0F" w14:textId="1843A8A8"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John Manley, “Canada needs new tools to fight corporate wrongdoing”, </w:t>
      </w:r>
      <w:r w:rsidRPr="00DA5EB5">
        <w:rPr>
          <w:i/>
          <w:szCs w:val="18"/>
        </w:rPr>
        <w:t xml:space="preserve">The Globe and Mail </w:t>
      </w:r>
      <w:r w:rsidRPr="00DA5EB5">
        <w:rPr>
          <w:szCs w:val="18"/>
        </w:rPr>
        <w:t>(29 May 2015).</w:t>
      </w:r>
    </w:p>
  </w:footnote>
  <w:footnote w:id="145">
    <w:p w14:paraId="26FD29E2" w14:textId="4C2E8FFF" w:rsidR="007E0F72" w:rsidRPr="00DA5EB5" w:rsidRDefault="007E0F72" w:rsidP="00BF52C3">
      <w:pPr>
        <w:pStyle w:val="FootnoteText"/>
      </w:pPr>
      <w:r w:rsidRPr="00DA5EB5">
        <w:rPr>
          <w:rStyle w:val="FootnoteReference"/>
          <w:sz w:val="18"/>
        </w:rPr>
        <w:footnoteRef/>
      </w:r>
      <w:r w:rsidRPr="00DA5EB5">
        <w:t xml:space="preserve"> </w:t>
      </w:r>
      <w:r w:rsidRPr="00DA5EB5">
        <w:rPr>
          <w:szCs w:val="18"/>
        </w:rPr>
        <w:t xml:space="preserve">Nicholas Lord, </w:t>
      </w:r>
      <w:r w:rsidRPr="00DA5EB5">
        <w:rPr>
          <w:i/>
          <w:szCs w:val="18"/>
        </w:rPr>
        <w:t>Regulating Corporate Bribery in International Business: Anti-Corruption in the UK and Germany</w:t>
      </w:r>
      <w:r w:rsidRPr="00DA5EB5">
        <w:rPr>
          <w:szCs w:val="18"/>
        </w:rPr>
        <w:t xml:space="preserve"> (</w:t>
      </w:r>
      <w:proofErr w:type="spellStart"/>
      <w:r w:rsidRPr="00DA5EB5">
        <w:rPr>
          <w:szCs w:val="18"/>
        </w:rPr>
        <w:t>Ashgate</w:t>
      </w:r>
      <w:proofErr w:type="spellEnd"/>
      <w:r w:rsidRPr="00DA5EB5">
        <w:rPr>
          <w:szCs w:val="18"/>
        </w:rPr>
        <w:t xml:space="preserve"> Publishing, 2014) at 113.</w:t>
      </w:r>
    </w:p>
  </w:footnote>
  <w:footnote w:id="146">
    <w:p w14:paraId="593C7FB8" w14:textId="77777777" w:rsidR="007E0F72" w:rsidRPr="00DA5EB5" w:rsidRDefault="007E0F72" w:rsidP="00BF52C3">
      <w:pPr>
        <w:pStyle w:val="FootnoteText"/>
      </w:pPr>
      <w:r w:rsidRPr="00DA5EB5">
        <w:rPr>
          <w:rStyle w:val="FootnoteReference"/>
          <w:sz w:val="18"/>
        </w:rPr>
        <w:footnoteRef/>
      </w:r>
      <w:r w:rsidRPr="00DA5EB5">
        <w:t xml:space="preserve"> </w:t>
      </w:r>
      <w:r w:rsidRPr="00DA5EB5">
        <w:rPr>
          <w:i/>
          <w:szCs w:val="18"/>
        </w:rPr>
        <w:t>Ibid</w:t>
      </w:r>
      <w:r w:rsidRPr="00DA5EB5">
        <w:rPr>
          <w:szCs w:val="18"/>
        </w:rPr>
        <w:t xml:space="preserve"> at 113.</w:t>
      </w:r>
      <w:r w:rsidRPr="00DA5EB5">
        <w:t xml:space="preserve"> </w:t>
      </w:r>
    </w:p>
  </w:footnote>
  <w:footnote w:id="147">
    <w:p w14:paraId="00FC8DAA" w14:textId="77777777" w:rsidR="007E0F72" w:rsidRPr="00DA5EB5" w:rsidRDefault="007E0F72" w:rsidP="00BF52C3">
      <w:pPr>
        <w:pStyle w:val="FootnoteText"/>
      </w:pPr>
      <w:r w:rsidRPr="00DA5EB5">
        <w:rPr>
          <w:rStyle w:val="FootnoteReference"/>
          <w:sz w:val="18"/>
        </w:rPr>
        <w:footnoteRef/>
      </w:r>
      <w:r w:rsidRPr="00DA5EB5">
        <w:t xml:space="preserve"> </w:t>
      </w:r>
      <w:r w:rsidRPr="00DA5EB5">
        <w:rPr>
          <w:i/>
          <w:szCs w:val="18"/>
        </w:rPr>
        <w:t>Ibid</w:t>
      </w:r>
      <w:r w:rsidRPr="00DA5EB5">
        <w:rPr>
          <w:szCs w:val="18"/>
        </w:rPr>
        <w:t xml:space="preserve"> at 113.</w:t>
      </w:r>
    </w:p>
  </w:footnote>
  <w:footnote w:id="148">
    <w:p w14:paraId="73D361BC" w14:textId="2097893A" w:rsidR="007E0F72" w:rsidRPr="00DA5EB5" w:rsidRDefault="007E0F72" w:rsidP="00BF52C3">
      <w:pPr>
        <w:pStyle w:val="FootnoteText"/>
        <w:rPr>
          <w:szCs w:val="18"/>
        </w:rPr>
      </w:pPr>
      <w:r w:rsidRPr="00DA5EB5">
        <w:rPr>
          <w:rStyle w:val="FootnoteReference"/>
          <w:sz w:val="18"/>
        </w:rPr>
        <w:footnoteRef/>
      </w:r>
      <w:r w:rsidRPr="00DA5EB5">
        <w:rPr>
          <w:sz w:val="16"/>
        </w:rPr>
        <w:t xml:space="preserve"> </w:t>
      </w:r>
      <w:r w:rsidRPr="00DA5EB5">
        <w:rPr>
          <w:szCs w:val="18"/>
        </w:rPr>
        <w:t xml:space="preserve">Asian Development Bank, </w:t>
      </w:r>
      <w:r w:rsidRPr="00DA5EB5">
        <w:rPr>
          <w:i/>
          <w:szCs w:val="18"/>
        </w:rPr>
        <w:t xml:space="preserve">Cross Debarment – Agreement for Mutual Enforcement of Debarment Decisions </w:t>
      </w:r>
      <w:proofErr w:type="gramStart"/>
      <w:r w:rsidRPr="00DA5EB5">
        <w:rPr>
          <w:i/>
          <w:szCs w:val="18"/>
        </w:rPr>
        <w:t>Among</w:t>
      </w:r>
      <w:proofErr w:type="gramEnd"/>
      <w:r w:rsidRPr="00DA5EB5">
        <w:rPr>
          <w:i/>
          <w:szCs w:val="18"/>
        </w:rPr>
        <w:t xml:space="preserve"> Multilateral Development Banks</w:t>
      </w:r>
      <w:r w:rsidRPr="00DA5EB5">
        <w:rPr>
          <w:szCs w:val="18"/>
        </w:rPr>
        <w:t>, online: &lt;</w:t>
      </w:r>
      <w:hyperlink r:id="rId35" w:history="1">
        <w:r w:rsidRPr="00DA5EB5">
          <w:rPr>
            <w:rStyle w:val="Hyperlink"/>
            <w:szCs w:val="18"/>
          </w:rPr>
          <w:t>http://lnadbg4.adb.org/oai001p.nsf/</w:t>
        </w:r>
      </w:hyperlink>
      <w:r w:rsidRPr="00DA5EB5">
        <w:rPr>
          <w:szCs w:val="18"/>
        </w:rPr>
        <w:t>&gt;.</w:t>
      </w:r>
    </w:p>
  </w:footnote>
  <w:footnote w:id="149">
    <w:p w14:paraId="0F59653C" w14:textId="07BBB5EE"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rFonts w:eastAsiaTheme="minorEastAsia" w:cs="Times"/>
          <w:color w:val="000000"/>
          <w:szCs w:val="18"/>
          <w:lang w:val="en-US"/>
        </w:rPr>
        <w:t xml:space="preserve">United Nations Convention </w:t>
      </w:r>
      <w:proofErr w:type="gramStart"/>
      <w:r w:rsidRPr="00DA5EB5">
        <w:rPr>
          <w:rFonts w:eastAsiaTheme="minorEastAsia" w:cs="Times"/>
          <w:color w:val="000000"/>
          <w:szCs w:val="18"/>
          <w:lang w:val="en-US"/>
        </w:rPr>
        <w:t>Against</w:t>
      </w:r>
      <w:proofErr w:type="gramEnd"/>
      <w:r w:rsidRPr="00DA5EB5">
        <w:rPr>
          <w:rFonts w:eastAsiaTheme="minorEastAsia" w:cs="Times"/>
          <w:color w:val="000000"/>
          <w:szCs w:val="18"/>
          <w:lang w:val="en-US"/>
        </w:rPr>
        <w:t xml:space="preserve"> Corruption, 9 to 11 December 2003, A/58/422, (entered into force 14 December 2005), online: &lt;</w:t>
      </w:r>
      <w:hyperlink r:id="rId36" w:history="1">
        <w:r w:rsidRPr="0061209A">
          <w:rPr>
            <w:rStyle w:val="Hyperlink"/>
            <w:rFonts w:eastAsiaTheme="minorEastAsia" w:cs="Times"/>
            <w:szCs w:val="18"/>
            <w:lang w:val="en-US"/>
          </w:rPr>
          <w:t>https://www.unodc.org/documents/treaties/UNCAC/Publications/</w:t>
        </w:r>
        <w:r w:rsidRPr="0061209A">
          <w:rPr>
            <w:rStyle w:val="Hyperlink"/>
            <w:rFonts w:eastAsiaTheme="minorEastAsia" w:cs="Times"/>
            <w:szCs w:val="18"/>
            <w:lang w:val="en-US"/>
          </w:rPr>
          <w:br/>
          <w:t>Convention/08-50026_E.pdf</w:t>
        </w:r>
      </w:hyperlink>
      <w:r w:rsidRPr="00DA5EB5">
        <w:rPr>
          <w:rFonts w:eastAsiaTheme="minorEastAsia" w:cs="Times"/>
          <w:color w:val="000000"/>
          <w:szCs w:val="18"/>
          <w:lang w:val="en-US"/>
        </w:rPr>
        <w:t xml:space="preserve">&gt;. </w:t>
      </w:r>
    </w:p>
  </w:footnote>
  <w:footnote w:id="150">
    <w:p w14:paraId="738D5814" w14:textId="21CC7DA3"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2C5424">
        <w:rPr>
          <w:rFonts w:eastAsiaTheme="minorEastAsia" w:cs="Times"/>
          <w:color w:val="000000"/>
          <w:spacing w:val="-2"/>
          <w:szCs w:val="18"/>
          <w:lang w:val="en-US"/>
        </w:rPr>
        <w:t>OECD, OECD Convention on Combating Bribery of Foreign Public Officials in International Business Transactions, online: &lt;</w:t>
      </w:r>
      <w:hyperlink r:id="rId37" w:history="1">
        <w:r w:rsidRPr="002C5424">
          <w:rPr>
            <w:rStyle w:val="Hyperlink"/>
            <w:rFonts w:eastAsiaTheme="minorEastAsia" w:cs="Times"/>
            <w:spacing w:val="-2"/>
            <w:szCs w:val="18"/>
            <w:lang w:val="en-US"/>
          </w:rPr>
          <w:t>http://www.oecd.org/daf/anti-bribery/ConvCombatBribery_ENG.pdf</w:t>
        </w:r>
      </w:hyperlink>
      <w:r w:rsidRPr="002C5424">
        <w:rPr>
          <w:rFonts w:eastAsiaTheme="minorEastAsia" w:cs="Times"/>
          <w:color w:val="000000"/>
          <w:spacing w:val="-2"/>
          <w:szCs w:val="18"/>
          <w:lang w:val="en-US"/>
        </w:rPr>
        <w:t xml:space="preserve">&gt;. </w:t>
      </w:r>
    </w:p>
  </w:footnote>
  <w:footnote w:id="151">
    <w:p w14:paraId="5187AEB1" w14:textId="7466C409" w:rsidR="007E0F72" w:rsidRPr="00DA5EB5" w:rsidRDefault="007E0F72" w:rsidP="00BF52C3">
      <w:pPr>
        <w:pStyle w:val="FootnoteText"/>
      </w:pPr>
      <w:r w:rsidRPr="00DA5EB5">
        <w:rPr>
          <w:rStyle w:val="FootnoteReference"/>
          <w:sz w:val="18"/>
        </w:rPr>
        <w:footnoteRef/>
      </w:r>
      <w:r w:rsidRPr="00DA5EB5">
        <w:t xml:space="preserve"> Graham Steele, </w:t>
      </w:r>
      <w:r w:rsidRPr="00DA5EB5">
        <w:rPr>
          <w:i/>
        </w:rPr>
        <w:t xml:space="preserve">Quebec’s Bill 1: A Case Study in Anti-Corruption Legislation and the Barriers to Evidence-Based Law-Making </w:t>
      </w:r>
      <w:r w:rsidRPr="00DA5EB5">
        <w:t>(LLM Thesis, Dalhousie University Faculty of Law, 2015) [unpublished] at 54, online: &lt;</w:t>
      </w:r>
      <w:hyperlink r:id="rId38" w:history="1">
        <w:r w:rsidRPr="00DA5EB5">
          <w:rPr>
            <w:rStyle w:val="Hyperlink"/>
          </w:rPr>
          <w:t>http://dalspace.library.dal.ca/handle/10222/56272</w:t>
        </w:r>
      </w:hyperlink>
      <w:r w:rsidRPr="00DA5EB5">
        <w:t>&gt;.</w:t>
      </w:r>
    </w:p>
  </w:footnote>
  <w:footnote w:id="152">
    <w:p w14:paraId="1078FAB1" w14:textId="5BF11DAC" w:rsidR="007E0F72" w:rsidRPr="00DA5EB5" w:rsidRDefault="007E0F72" w:rsidP="00BF52C3">
      <w:pPr>
        <w:pStyle w:val="FootnoteText"/>
        <w:rPr>
          <w:color w:val="FF0000"/>
          <w:szCs w:val="18"/>
        </w:rPr>
      </w:pPr>
      <w:r w:rsidRPr="00DA5EB5">
        <w:rPr>
          <w:rStyle w:val="FootnoteReference"/>
          <w:sz w:val="18"/>
          <w:szCs w:val="18"/>
        </w:rPr>
        <w:footnoteRef/>
      </w:r>
      <w:r w:rsidRPr="00DA5EB5">
        <w:rPr>
          <w:szCs w:val="18"/>
        </w:rPr>
        <w:t xml:space="preserve"> The World Bank Group Sanctions Board, </w:t>
      </w:r>
      <w:r w:rsidRPr="00DA5EB5">
        <w:rPr>
          <w:i/>
          <w:szCs w:val="18"/>
        </w:rPr>
        <w:t>Law Digest</w:t>
      </w:r>
      <w:r w:rsidRPr="00DA5EB5">
        <w:rPr>
          <w:szCs w:val="18"/>
        </w:rPr>
        <w:t xml:space="preserve"> (December 2011) at 5, online: &lt;</w:t>
      </w:r>
      <w:hyperlink r:id="rId39" w:history="1">
        <w:r w:rsidRPr="00DA5EB5">
          <w:rPr>
            <w:rStyle w:val="Hyperlink"/>
            <w:szCs w:val="18"/>
          </w:rPr>
          <w:t>http://web.worldbank.org/WBSITE/EXTERNAL/EXTABOUTUS/ORGANIZATION/ORGUNITS/EXTOFFEVASUS/0,,contentMDK:23065125~pagePK:64168445~piPK:64168309~theSitePK:3601046,00.html</w:t>
        </w:r>
      </w:hyperlink>
      <w:r w:rsidRPr="00DA5EB5">
        <w:rPr>
          <w:szCs w:val="18"/>
        </w:rPr>
        <w:t xml:space="preserve">&gt;. </w:t>
      </w:r>
    </w:p>
  </w:footnote>
  <w:footnote w:id="153">
    <w:p w14:paraId="7A327937" w14:textId="3879657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The World Bank Office of Suspension and Debarment,</w:t>
      </w:r>
      <w:r w:rsidRPr="00DA5EB5">
        <w:rPr>
          <w:i/>
          <w:szCs w:val="18"/>
        </w:rPr>
        <w:t xml:space="preserve"> Report on Functions, Data and Lessons Learned 2007-2015</w:t>
      </w:r>
      <w:r w:rsidRPr="00DA5EB5">
        <w:rPr>
          <w:szCs w:val="18"/>
        </w:rPr>
        <w:t xml:space="preserve">, 2nd </w:t>
      </w:r>
      <w:proofErr w:type="spellStart"/>
      <w:r w:rsidRPr="00DA5EB5">
        <w:rPr>
          <w:szCs w:val="18"/>
        </w:rPr>
        <w:t>ed</w:t>
      </w:r>
      <w:proofErr w:type="spellEnd"/>
      <w:r w:rsidRPr="00DA5EB5">
        <w:rPr>
          <w:szCs w:val="18"/>
        </w:rPr>
        <w:t xml:space="preserve"> (World Bank Publications, 2015) at 4 online: &lt;</w:t>
      </w:r>
      <w:hyperlink r:id="rId40" w:history="1">
        <w:r w:rsidRPr="00DA5EB5">
          <w:rPr>
            <w:rStyle w:val="Hyperlink"/>
            <w:szCs w:val="18"/>
          </w:rPr>
          <w:t>http://siteresources.worldbank.org/EXTOFFEVASUS/Resources/OSDReport.pdf</w:t>
        </w:r>
      </w:hyperlink>
      <w:r w:rsidRPr="00DA5EB5">
        <w:rPr>
          <w:szCs w:val="18"/>
        </w:rPr>
        <w:t>&gt;.</w:t>
      </w:r>
    </w:p>
  </w:footnote>
  <w:footnote w:id="154">
    <w:p w14:paraId="13E3FB23" w14:textId="373BE20F" w:rsidR="007E0F72" w:rsidRPr="00DA5EB5" w:rsidRDefault="007E0F72" w:rsidP="00BF52C3">
      <w:pPr>
        <w:pStyle w:val="FootnoteText"/>
        <w:rPr>
          <w:color w:val="FF0000"/>
        </w:rPr>
      </w:pPr>
      <w:r w:rsidRPr="00DA5EB5">
        <w:rPr>
          <w:rStyle w:val="FootnoteReference"/>
          <w:sz w:val="18"/>
          <w:szCs w:val="18"/>
        </w:rPr>
        <w:footnoteRef/>
      </w:r>
      <w:r w:rsidRPr="00DA5EB5">
        <w:rPr>
          <w:szCs w:val="18"/>
        </w:rPr>
        <w:t xml:space="preserve"> Sanctions Board Decision No 75 at para 27, online: &lt;</w:t>
      </w:r>
      <w:hyperlink r:id="rId41" w:history="1">
        <w:r w:rsidRPr="0061209A">
          <w:rPr>
            <w:rStyle w:val="Hyperlink"/>
            <w:szCs w:val="18"/>
          </w:rPr>
          <w:t>http://siteresources.worldbank.org/</w:t>
        </w:r>
        <w:r w:rsidRPr="0061209A">
          <w:rPr>
            <w:rStyle w:val="Hyperlink"/>
            <w:szCs w:val="18"/>
          </w:rPr>
          <w:br/>
          <w:t>INTOFFEVASUS/Resources/3601037-1346795612671/SanctionsBoardDecisionNo.75</w:t>
        </w:r>
        <w:r w:rsidRPr="0061209A">
          <w:rPr>
            <w:rStyle w:val="Hyperlink"/>
            <w:szCs w:val="18"/>
          </w:rPr>
          <w:br/>
          <w:t>(SanctionsCaseNo.260).pdf</w:t>
        </w:r>
      </w:hyperlink>
      <w:r w:rsidRPr="00DA5EB5">
        <w:rPr>
          <w:szCs w:val="18"/>
        </w:rPr>
        <w:t>&gt;. The full World Bank Sanctions Procedures can be found at: &lt;</w:t>
      </w:r>
      <w:hyperlink r:id="rId42" w:history="1">
        <w:r w:rsidRPr="00DA5EB5">
          <w:rPr>
            <w:rStyle w:val="Hyperlink"/>
            <w:szCs w:val="18"/>
          </w:rPr>
          <w:t>http://siteresources.worldbank.org/EXTOFFEVASUS/Resources/WBGSanctionsProceduresJan2011.pdf</w:t>
        </w:r>
      </w:hyperlink>
      <w:r w:rsidRPr="00DA5EB5">
        <w:rPr>
          <w:szCs w:val="18"/>
        </w:rPr>
        <w:t>&gt;. In an effort to promote transparency in the debarment process, The World Bank has produced a sanctions digest. Sanctions Board decisions can be found at: &lt;</w:t>
      </w:r>
      <w:hyperlink r:id="rId43" w:history="1">
        <w:r w:rsidRPr="00DA5EB5">
          <w:rPr>
            <w:rStyle w:val="Hyperlink"/>
            <w:szCs w:val="18"/>
          </w:rPr>
          <w:t>http://web.worldbank.org/WBSITE/EXTERNAL/EXTABOUTUS/ORGANIZATION/ORGUNITS/</w:t>
        </w:r>
        <w:r w:rsidRPr="00DA5EB5">
          <w:rPr>
            <w:rStyle w:val="Hyperlink"/>
            <w:szCs w:val="18"/>
          </w:rPr>
          <w:br/>
          <w:t>EXTOFFEVASUS/0,,contentMDK:23059612~pagePK:64168445~piPK:64168309~theSitePK:3601046,00.html</w:t>
        </w:r>
      </w:hyperlink>
      <w:r w:rsidRPr="00DA5EB5">
        <w:rPr>
          <w:szCs w:val="18"/>
        </w:rPr>
        <w:t xml:space="preserve">&gt;. </w:t>
      </w:r>
    </w:p>
  </w:footnote>
  <w:footnote w:id="155">
    <w:p w14:paraId="4E34A9E7" w14:textId="22AE47F7" w:rsidR="007E0F72" w:rsidRPr="00DA5EB5" w:rsidRDefault="007E0F72" w:rsidP="00BF52C3">
      <w:pPr>
        <w:pStyle w:val="FootnoteText"/>
      </w:pPr>
      <w:r w:rsidRPr="00DA5EB5">
        <w:rPr>
          <w:rStyle w:val="FootnoteReference"/>
          <w:sz w:val="18"/>
        </w:rPr>
        <w:footnoteRef/>
      </w:r>
      <w:r w:rsidRPr="00DA5EB5">
        <w:t xml:space="preserve"> World Bank Sanctioning Procedures (2011), online: &lt;</w:t>
      </w:r>
      <w:hyperlink r:id="rId44" w:history="1">
        <w:r w:rsidRPr="0061209A">
          <w:rPr>
            <w:rStyle w:val="Hyperlink"/>
          </w:rPr>
          <w:t>http://siteresources.worldbank.org/</w:t>
        </w:r>
        <w:r w:rsidRPr="0061209A">
          <w:rPr>
            <w:rStyle w:val="Hyperlink"/>
          </w:rPr>
          <w:br/>
          <w:t>EXTOFFEVASUS/Resources/WBGSanctionsProceduresJan2011.pdf</w:t>
        </w:r>
      </w:hyperlink>
      <w:r w:rsidRPr="00DA5EB5">
        <w:t xml:space="preserve">&gt;. </w:t>
      </w:r>
    </w:p>
  </w:footnote>
  <w:footnote w:id="156">
    <w:p w14:paraId="545E152A" w14:textId="2CB7C192"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Julie </w:t>
      </w:r>
      <w:proofErr w:type="spellStart"/>
      <w:r w:rsidRPr="00DA5EB5">
        <w:rPr>
          <w:szCs w:val="18"/>
        </w:rPr>
        <w:t>DiMauro</w:t>
      </w:r>
      <w:proofErr w:type="spellEnd"/>
      <w:r w:rsidRPr="00DA5EB5">
        <w:rPr>
          <w:szCs w:val="18"/>
        </w:rPr>
        <w:t xml:space="preserve">, “World Bank combats corruption – but questions linger about process” (22 May 2014), </w:t>
      </w:r>
      <w:r w:rsidRPr="00DA5EB5">
        <w:rPr>
          <w:i/>
          <w:szCs w:val="18"/>
        </w:rPr>
        <w:t xml:space="preserve">The FCPA Blog, </w:t>
      </w:r>
      <w:r w:rsidRPr="00DA5EB5">
        <w:rPr>
          <w:szCs w:val="18"/>
        </w:rPr>
        <w:t>online: &lt;</w:t>
      </w:r>
      <w:hyperlink r:id="rId45" w:history="1">
        <w:r w:rsidRPr="00DA5EB5">
          <w:rPr>
            <w:rStyle w:val="Hyperlink"/>
            <w:szCs w:val="18"/>
          </w:rPr>
          <w:t>http://www.fcpablog.com/blog/2014/5/22/world-bank-combats-corruption-but-questions-linger-about-pro.html</w:t>
        </w:r>
      </w:hyperlink>
      <w:r w:rsidRPr="00DA5EB5">
        <w:rPr>
          <w:szCs w:val="18"/>
        </w:rPr>
        <w:t>&gt;.</w:t>
      </w:r>
    </w:p>
  </w:footnote>
  <w:footnote w:id="157">
    <w:p w14:paraId="34AD7925" w14:textId="47B7EB48" w:rsidR="007E0F72" w:rsidRPr="00DA5EB5" w:rsidRDefault="007E0F72" w:rsidP="00BF52C3">
      <w:pPr>
        <w:pStyle w:val="FootnoteText"/>
        <w:rPr>
          <w:rFonts w:eastAsia="Times New Roman"/>
          <w:color w:val="0000FF" w:themeColor="hyperlink"/>
          <w:szCs w:val="18"/>
          <w:u w:val="single"/>
          <w:lang w:val="en" w:eastAsia="en-CA"/>
        </w:rPr>
      </w:pPr>
      <w:r w:rsidRPr="00DA5EB5">
        <w:rPr>
          <w:rStyle w:val="FootnoteReference"/>
          <w:sz w:val="18"/>
          <w:szCs w:val="18"/>
        </w:rPr>
        <w:footnoteRef/>
      </w:r>
      <w:r w:rsidRPr="00DA5EB5">
        <w:rPr>
          <w:szCs w:val="18"/>
        </w:rPr>
        <w:t xml:space="preserve"> </w:t>
      </w:r>
      <w:r w:rsidRPr="00DA5EB5">
        <w:rPr>
          <w:rFonts w:eastAsia="Times New Roman"/>
          <w:color w:val="000000"/>
          <w:szCs w:val="18"/>
          <w:lang w:val="en" w:eastAsia="en-CA"/>
        </w:rPr>
        <w:t>United States Federal Register, “</w:t>
      </w:r>
      <w:r w:rsidRPr="00DA5EB5">
        <w:rPr>
          <w:rFonts w:eastAsia="Times New Roman"/>
          <w:bCs/>
          <w:color w:val="000000"/>
          <w:szCs w:val="18"/>
          <w:lang w:val="en" w:eastAsia="en-CA"/>
        </w:rPr>
        <w:t>Executive Order 12549 - Debarment and Suspension”, online: &lt;</w:t>
      </w:r>
      <w:hyperlink r:id="rId46" w:history="1">
        <w:r w:rsidRPr="00DA5EB5">
          <w:rPr>
            <w:rStyle w:val="Hyperlink"/>
            <w:rFonts w:eastAsia="Times New Roman"/>
            <w:szCs w:val="18"/>
            <w:lang w:val="en" w:eastAsia="en-CA"/>
          </w:rPr>
          <w:t>http://www.archives.gov/federal-register/codification/executive-order/12549.html</w:t>
        </w:r>
      </w:hyperlink>
      <w:r w:rsidRPr="00DA5EB5">
        <w:rPr>
          <w:rStyle w:val="Hyperlink"/>
          <w:rFonts w:eastAsia="Times New Roman"/>
          <w:color w:val="000000" w:themeColor="text1"/>
          <w:szCs w:val="18"/>
          <w:u w:val="none"/>
          <w:lang w:val="en" w:eastAsia="en-CA"/>
        </w:rPr>
        <w:t xml:space="preserve">&gt;. </w:t>
      </w:r>
    </w:p>
  </w:footnote>
  <w:footnote w:id="158">
    <w:p w14:paraId="66D07A81" w14:textId="49B7E278"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rFonts w:eastAsia="Times New Roman"/>
          <w:bCs/>
          <w:color w:val="000000"/>
          <w:szCs w:val="18"/>
          <w:lang w:val="en" w:eastAsia="en-CA"/>
        </w:rPr>
        <w:t>United States Government Accountability Office, “Federal Contracts and Grants” (2014) online: &lt;</w:t>
      </w:r>
      <w:hyperlink r:id="rId47" w:history="1">
        <w:r w:rsidRPr="00DA5EB5">
          <w:rPr>
            <w:rStyle w:val="Hyperlink"/>
            <w:rFonts w:eastAsia="Times New Roman"/>
            <w:szCs w:val="18"/>
            <w:lang w:val="en" w:eastAsia="en-CA"/>
          </w:rPr>
          <w:t>http://www.gao.gov/assets/670/663359.pdf</w:t>
        </w:r>
      </w:hyperlink>
      <w:r w:rsidRPr="00DA5EB5">
        <w:rPr>
          <w:rFonts w:eastAsia="Times New Roman"/>
          <w:bCs/>
          <w:color w:val="000000"/>
          <w:szCs w:val="18"/>
          <w:lang w:val="en" w:eastAsia="en-CA"/>
        </w:rPr>
        <w:t>&gt;.</w:t>
      </w:r>
    </w:p>
  </w:footnote>
  <w:footnote w:id="159">
    <w:p w14:paraId="3DDCC90A"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rFonts w:eastAsia="Times New Roman"/>
          <w:color w:val="000000"/>
          <w:szCs w:val="18"/>
          <w:lang w:val="en" w:eastAsia="en-CA"/>
        </w:rPr>
        <w:t xml:space="preserve">US Government Publishing Office, </w:t>
      </w:r>
      <w:r w:rsidRPr="00DA5EB5">
        <w:rPr>
          <w:rFonts w:eastAsia="Times New Roman"/>
          <w:i/>
          <w:color w:val="000000"/>
          <w:szCs w:val="18"/>
          <w:lang w:val="en" w:eastAsia="en-CA"/>
        </w:rPr>
        <w:t xml:space="preserve">Electronic Code of Federal Regulations - Subpart 9.4 - Debarment, Suspension, and Ineligibility </w:t>
      </w:r>
      <w:r w:rsidRPr="00DA5EB5">
        <w:rPr>
          <w:rFonts w:eastAsia="Times New Roman"/>
          <w:color w:val="000000"/>
          <w:szCs w:val="18"/>
          <w:lang w:val="en" w:eastAsia="en-CA"/>
        </w:rPr>
        <w:t>at 9.406-1, online: &lt;</w:t>
      </w:r>
      <w:hyperlink r:id="rId48" w:anchor="se48.1.9_1406_61" w:history="1">
        <w:r w:rsidRPr="00DA5EB5">
          <w:rPr>
            <w:rStyle w:val="Hyperlink"/>
            <w:rFonts w:eastAsia="Times New Roman"/>
            <w:szCs w:val="18"/>
            <w:lang w:val="en" w:eastAsia="en-CA"/>
          </w:rPr>
          <w:t>http://www.ecfr.gov/cgi-bin/text-idx?SID=9c026b9ecb084babcf763d793f929f64&amp;node=48:1.0.1.2.9.4&amp;rgn=div6#se48.1.9_1406_61</w:t>
        </w:r>
      </w:hyperlink>
      <w:r w:rsidRPr="00DA5EB5">
        <w:rPr>
          <w:rFonts w:eastAsia="Times New Roman"/>
          <w:color w:val="000000"/>
          <w:szCs w:val="18"/>
          <w:lang w:val="en" w:eastAsia="en-CA"/>
        </w:rPr>
        <w:t>&gt;.</w:t>
      </w:r>
    </w:p>
  </w:footnote>
  <w:footnote w:id="160">
    <w:p w14:paraId="1523F20D" w14:textId="4A3A5048"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rFonts w:eastAsia="Times New Roman"/>
          <w:i/>
          <w:color w:val="000000"/>
          <w:szCs w:val="18"/>
          <w:lang w:val="en" w:eastAsia="en-CA"/>
        </w:rPr>
        <w:t xml:space="preserve">Ibid </w:t>
      </w:r>
      <w:r w:rsidRPr="00DA5EB5">
        <w:rPr>
          <w:rFonts w:eastAsia="Times New Roman"/>
          <w:color w:val="000000"/>
          <w:szCs w:val="18"/>
          <w:lang w:val="en" w:eastAsia="en-CA"/>
        </w:rPr>
        <w:t>at 9406-2.</w:t>
      </w:r>
    </w:p>
  </w:footnote>
  <w:footnote w:id="161">
    <w:p w14:paraId="2097FDA9" w14:textId="284BFB7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rFonts w:eastAsia="Times New Roman"/>
          <w:i/>
          <w:color w:val="000000"/>
          <w:szCs w:val="18"/>
          <w:lang w:val="en" w:eastAsia="en-CA"/>
        </w:rPr>
        <w:t xml:space="preserve">Ibid </w:t>
      </w:r>
      <w:r w:rsidRPr="00DA5EB5">
        <w:rPr>
          <w:rFonts w:eastAsia="Times New Roman"/>
          <w:color w:val="000000"/>
          <w:szCs w:val="18"/>
          <w:lang w:val="en" w:eastAsia="en-CA"/>
        </w:rPr>
        <w:t>at 9406-1.</w:t>
      </w:r>
    </w:p>
  </w:footnote>
  <w:footnote w:id="162">
    <w:p w14:paraId="74248F6B" w14:textId="7227C23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rFonts w:eastAsia="Times New Roman"/>
          <w:i/>
          <w:color w:val="000000"/>
          <w:szCs w:val="18"/>
          <w:lang w:val="en" w:eastAsia="en-CA"/>
        </w:rPr>
        <w:t xml:space="preserve">Ibid </w:t>
      </w:r>
      <w:r w:rsidRPr="00DA5EB5">
        <w:rPr>
          <w:rFonts w:eastAsia="Times New Roman"/>
          <w:color w:val="000000"/>
          <w:szCs w:val="18"/>
          <w:lang w:val="en" w:eastAsia="en-CA"/>
        </w:rPr>
        <w:t>at 9.406-4.</w:t>
      </w:r>
    </w:p>
  </w:footnote>
  <w:footnote w:id="163">
    <w:p w14:paraId="32F8A68A" w14:textId="526F9A34" w:rsidR="007E0F72" w:rsidRPr="00DA5EB5" w:rsidRDefault="007E0F72" w:rsidP="00BF52C3">
      <w:pPr>
        <w:pStyle w:val="FootnoteText"/>
      </w:pPr>
      <w:r w:rsidRPr="00DA5EB5">
        <w:rPr>
          <w:rStyle w:val="FootnoteReference"/>
          <w:sz w:val="18"/>
          <w:szCs w:val="18"/>
        </w:rPr>
        <w:footnoteRef/>
      </w:r>
      <w:r w:rsidRPr="00DA5EB5">
        <w:rPr>
          <w:szCs w:val="18"/>
        </w:rPr>
        <w:t xml:space="preserve"> See </w:t>
      </w:r>
      <w:r w:rsidRPr="00DA5EB5">
        <w:rPr>
          <w:rFonts w:eastAsia="Calibri"/>
          <w:szCs w:val="18"/>
        </w:rPr>
        <w:t xml:space="preserve">Robert W </w:t>
      </w:r>
      <w:proofErr w:type="spellStart"/>
      <w:r w:rsidRPr="00DA5EB5">
        <w:rPr>
          <w:rFonts w:eastAsia="Calibri"/>
          <w:szCs w:val="18"/>
        </w:rPr>
        <w:t>Tarun</w:t>
      </w:r>
      <w:proofErr w:type="spellEnd"/>
      <w:r w:rsidRPr="00DA5EB5">
        <w:rPr>
          <w:rFonts w:eastAsia="Calibri"/>
          <w:szCs w:val="18"/>
        </w:rPr>
        <w:t xml:space="preserve">, </w:t>
      </w:r>
      <w:r w:rsidRPr="00DA5EB5">
        <w:rPr>
          <w:rFonts w:eastAsia="Calibri"/>
          <w:i/>
          <w:szCs w:val="18"/>
        </w:rPr>
        <w:t>The Foreign Corrupt Practices Handbook: A Practical Guide for Multinational General Counsel, Transactional Lawyers and White Collar Criminal Practitioners</w:t>
      </w:r>
      <w:r w:rsidRPr="00DA5EB5">
        <w:rPr>
          <w:rFonts w:eastAsia="Calibri"/>
          <w:szCs w:val="18"/>
        </w:rPr>
        <w:t xml:space="preserve">, 3rd </w:t>
      </w:r>
      <w:proofErr w:type="spellStart"/>
      <w:proofErr w:type="gramStart"/>
      <w:r w:rsidRPr="00DA5EB5">
        <w:rPr>
          <w:rFonts w:eastAsia="Calibri"/>
          <w:szCs w:val="18"/>
        </w:rPr>
        <w:t>ed</w:t>
      </w:r>
      <w:proofErr w:type="spellEnd"/>
      <w:proofErr w:type="gramEnd"/>
      <w:r w:rsidRPr="00DA5EB5">
        <w:rPr>
          <w:rFonts w:eastAsia="Calibri"/>
          <w:szCs w:val="18"/>
        </w:rPr>
        <w:t xml:space="preserve"> (American Bar Association, 2013)</w:t>
      </w:r>
      <w:r w:rsidRPr="00DA5EB5">
        <w:rPr>
          <w:szCs w:val="18"/>
        </w:rPr>
        <w:t xml:space="preserve"> at 28. For the full list of the United States Federal Acquisition Regulations, see: &lt;</w:t>
      </w:r>
      <w:hyperlink r:id="rId49" w:history="1">
        <w:r w:rsidRPr="00DA5EB5">
          <w:rPr>
            <w:rStyle w:val="Hyperlink"/>
            <w:szCs w:val="18"/>
          </w:rPr>
          <w:t>http://www.acquisition.gov/far/</w:t>
        </w:r>
      </w:hyperlink>
      <w:r w:rsidRPr="00DA5EB5">
        <w:rPr>
          <w:szCs w:val="18"/>
        </w:rPr>
        <w:t>&gt;.</w:t>
      </w:r>
    </w:p>
  </w:footnote>
  <w:footnote w:id="164">
    <w:p w14:paraId="06528F7D" w14:textId="7E9CE31A" w:rsidR="007E0F72" w:rsidRPr="00DA5EB5" w:rsidRDefault="007E0F72" w:rsidP="00BF52C3">
      <w:pPr>
        <w:pStyle w:val="FootnoteText"/>
        <w:rPr>
          <w:rFonts w:eastAsia="TimesNewRoman"/>
          <w:szCs w:val="18"/>
        </w:rPr>
      </w:pPr>
      <w:r w:rsidRPr="00DA5EB5">
        <w:rPr>
          <w:rStyle w:val="FootnoteReference"/>
          <w:sz w:val="18"/>
          <w:szCs w:val="18"/>
        </w:rPr>
        <w:footnoteRef/>
      </w:r>
      <w:r w:rsidRPr="00DA5EB5">
        <w:rPr>
          <w:szCs w:val="18"/>
        </w:rPr>
        <w:t xml:space="preserve"> </w:t>
      </w:r>
      <w:r w:rsidRPr="00DA5EB5">
        <w:rPr>
          <w:rFonts w:eastAsia="TimesNewRoman"/>
          <w:i/>
        </w:rPr>
        <w:t>Public Procurement (Miscellaneous Amendments) Regulations 2011</w:t>
      </w:r>
      <w:r w:rsidRPr="00DA5EB5">
        <w:rPr>
          <w:rFonts w:eastAsia="TimesNewRoman"/>
        </w:rPr>
        <w:t xml:space="preserve">, SI 2011/2053, s 15, </w:t>
      </w:r>
      <w:r w:rsidRPr="00DA5EB5">
        <w:rPr>
          <w:szCs w:val="18"/>
        </w:rPr>
        <w:t>online</w:t>
      </w:r>
      <w:r w:rsidRPr="00DA5EB5">
        <w:rPr>
          <w:rFonts w:eastAsia="TimesNewRoman"/>
          <w:szCs w:val="18"/>
        </w:rPr>
        <w:t xml:space="preserve">: </w:t>
      </w:r>
    </w:p>
    <w:p w14:paraId="36EE6E2E" w14:textId="28575DD7" w:rsidR="007E0F72" w:rsidRPr="00DA5EB5" w:rsidRDefault="007E0F72" w:rsidP="00BF52C3">
      <w:pPr>
        <w:pStyle w:val="FootnoteText"/>
        <w:rPr>
          <w:szCs w:val="18"/>
        </w:rPr>
      </w:pPr>
      <w:r w:rsidRPr="00DA5EB5">
        <w:rPr>
          <w:rFonts w:eastAsia="TimesNewRoman"/>
          <w:szCs w:val="18"/>
        </w:rPr>
        <w:t>&lt;</w:t>
      </w:r>
      <w:hyperlink r:id="rId50" w:history="1">
        <w:r w:rsidRPr="00DA5EB5">
          <w:rPr>
            <w:rStyle w:val="Hyperlink"/>
            <w:rFonts w:eastAsia="TimesNewRoman"/>
            <w:szCs w:val="18"/>
          </w:rPr>
          <w:t>http://www.legislation.gov.uk/uksi/2011/2053/pdfs/uksi_20112053_en.pdf</w:t>
        </w:r>
      </w:hyperlink>
      <w:r w:rsidRPr="00DA5EB5">
        <w:rPr>
          <w:rFonts w:eastAsia="TimesNewRoman"/>
          <w:szCs w:val="18"/>
        </w:rPr>
        <w:t>&gt;.</w:t>
      </w:r>
    </w:p>
  </w:footnote>
  <w:footnote w:id="165">
    <w:p w14:paraId="232A4378" w14:textId="05A66110"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Public Works and Government Services Canada, “Overview of the Department”, online: &lt;</w:t>
      </w:r>
      <w:hyperlink r:id="rId51" w:history="1">
        <w:r w:rsidRPr="00DA5EB5">
          <w:rPr>
            <w:rStyle w:val="Hyperlink"/>
            <w:szCs w:val="18"/>
          </w:rPr>
          <w:t>https://www.tpsgc-pwgsc.gc.ca/apropos-about/cdi-mbb/1/survol-overview-eng.html</w:t>
        </w:r>
      </w:hyperlink>
      <w:r w:rsidRPr="00DA5EB5">
        <w:rPr>
          <w:szCs w:val="18"/>
        </w:rPr>
        <w:t>&gt;.</w:t>
      </w:r>
    </w:p>
  </w:footnote>
  <w:footnote w:id="166">
    <w:p w14:paraId="276B2A1D" w14:textId="090B340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To track the evolution of Canada’s debarment policies, see Public Works and Government Services Canada, “Integrity Provisions”, Policy Notification 107 (9 November 2012), online: &lt;</w:t>
      </w:r>
      <w:hyperlink r:id="rId52" w:history="1">
        <w:r w:rsidRPr="00DA5EB5">
          <w:rPr>
            <w:rStyle w:val="Hyperlink"/>
            <w:szCs w:val="18"/>
          </w:rPr>
          <w:t>https://buyandsell.gc.ca/policy-and-guidelines/policy-notifications/PN-107</w:t>
        </w:r>
      </w:hyperlink>
      <w:r w:rsidRPr="00DA5EB5">
        <w:rPr>
          <w:szCs w:val="18"/>
        </w:rPr>
        <w:t>&gt;; Public Works and Government Services Canada, “Integrity Provisions”, Policy Notification 107U1 (1 March 2014), online: &lt;</w:t>
      </w:r>
      <w:hyperlink r:id="rId53" w:history="1">
        <w:r w:rsidRPr="00DA5EB5">
          <w:rPr>
            <w:rStyle w:val="Hyperlink"/>
            <w:szCs w:val="18"/>
          </w:rPr>
          <w:t>https://buyandsell.gc.ca/policy-and-guidelines/policy-notifications/PN-107U1</w:t>
        </w:r>
      </w:hyperlink>
      <w:r w:rsidRPr="00DA5EB5">
        <w:rPr>
          <w:szCs w:val="18"/>
        </w:rPr>
        <w:t>&gt;; Public Works and Government Services Canada, “New Integrity Regime”, Policy Notification 107R1 (3 July 2015), online: &lt;</w:t>
      </w:r>
      <w:hyperlink r:id="rId54" w:history="1">
        <w:r w:rsidRPr="00DA5EB5">
          <w:rPr>
            <w:rStyle w:val="Hyperlink"/>
            <w:szCs w:val="18"/>
          </w:rPr>
          <w:t>https://buyandsell.gc.ca/policy-and-guidelines/policy-notifications/PN-107R1</w:t>
        </w:r>
      </w:hyperlink>
      <w:r w:rsidRPr="00DA5EB5">
        <w:rPr>
          <w:szCs w:val="18"/>
        </w:rPr>
        <w:t>&gt;; Public Works and Government Services Canada, “Update to the Integrity Regime”, Policy Notification 107R2 (4 April 2016), online: &lt;</w:t>
      </w:r>
      <w:hyperlink r:id="rId55" w:history="1">
        <w:r w:rsidRPr="00DA5EB5">
          <w:rPr>
            <w:rStyle w:val="Hyperlink"/>
            <w:szCs w:val="18"/>
          </w:rPr>
          <w:t>https://buyandsell.gc.ca/policy-and-guidelines/policy-notifications/PN-107R2</w:t>
        </w:r>
      </w:hyperlink>
      <w:r w:rsidRPr="00DA5EB5">
        <w:rPr>
          <w:szCs w:val="18"/>
        </w:rPr>
        <w:t>&gt;.</w:t>
      </w:r>
    </w:p>
  </w:footnote>
  <w:footnote w:id="167">
    <w:p w14:paraId="48F9DDD1" w14:textId="77777777" w:rsidR="007E0F72" w:rsidRPr="00DA5EB5" w:rsidRDefault="007E0F72" w:rsidP="00914516">
      <w:pPr>
        <w:pStyle w:val="FootnoteText"/>
      </w:pPr>
      <w:r w:rsidRPr="00DA5EB5">
        <w:rPr>
          <w:rStyle w:val="FootnoteReference"/>
          <w:sz w:val="18"/>
        </w:rPr>
        <w:footnoteRef/>
      </w:r>
      <w:r w:rsidRPr="00DA5EB5">
        <w:rPr>
          <w:sz w:val="16"/>
        </w:rPr>
        <w:t xml:space="preserve"> </w:t>
      </w:r>
      <w:r w:rsidRPr="00DA5EB5">
        <w:t xml:space="preserve">The most recent version of the </w:t>
      </w:r>
      <w:r w:rsidRPr="00DA5EB5">
        <w:rPr>
          <w:i/>
        </w:rPr>
        <w:t xml:space="preserve">Code of Conduct for Procurement </w:t>
      </w:r>
      <w:r w:rsidRPr="00DA5EB5">
        <w:t>can be found online at &lt;</w:t>
      </w:r>
      <w:hyperlink r:id="rId56" w:history="1">
        <w:r w:rsidRPr="00DA5EB5">
          <w:rPr>
            <w:rStyle w:val="Hyperlink"/>
          </w:rPr>
          <w:t>https://www.tpsgc-pwgsc.gc.ca/app-acq/cndt-cndct/contexte-context-eng.html</w:t>
        </w:r>
      </w:hyperlink>
      <w:r w:rsidRPr="00DA5EB5">
        <w:t xml:space="preserve">&gt;. </w:t>
      </w:r>
    </w:p>
  </w:footnote>
  <w:footnote w:id="168">
    <w:p w14:paraId="553B5401" w14:textId="44F275AA"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Barrie McKenna, “Ottawa Could Face Lawsuits for Strict Corruption Rules: Report”, </w:t>
      </w:r>
      <w:r w:rsidRPr="00DA5EB5">
        <w:rPr>
          <w:i/>
          <w:szCs w:val="18"/>
        </w:rPr>
        <w:t xml:space="preserve">The Globe and Mail </w:t>
      </w:r>
      <w:r w:rsidRPr="00DA5EB5">
        <w:rPr>
          <w:szCs w:val="18"/>
        </w:rPr>
        <w:t>(24 November 2014), online: &lt;</w:t>
      </w:r>
      <w:hyperlink r:id="rId57" w:history="1">
        <w:r w:rsidRPr="0061209A">
          <w:rPr>
            <w:rStyle w:val="Hyperlink"/>
            <w:szCs w:val="18"/>
          </w:rPr>
          <w:t>http://www.theglobeandmail.com/report-on-business/</w:t>
        </w:r>
        <w:r w:rsidRPr="0061209A">
          <w:rPr>
            <w:rStyle w:val="Hyperlink"/>
            <w:szCs w:val="18"/>
          </w:rPr>
          <w:br/>
          <w:t>international-business/ottawa-could-face-lawsuits-for-strict-trade-corruption-rules-report/</w:t>
        </w:r>
        <w:r w:rsidRPr="0061209A">
          <w:rPr>
            <w:rStyle w:val="Hyperlink"/>
            <w:szCs w:val="18"/>
          </w:rPr>
          <w:br/>
          <w:t>article21739211/</w:t>
        </w:r>
      </w:hyperlink>
      <w:r w:rsidRPr="00DA5EB5">
        <w:rPr>
          <w:rStyle w:val="Hyperlink"/>
          <w:color w:val="auto"/>
          <w:szCs w:val="18"/>
          <w:u w:val="none"/>
        </w:rPr>
        <w:t>&gt;.</w:t>
      </w:r>
    </w:p>
  </w:footnote>
  <w:footnote w:id="169">
    <w:p w14:paraId="6012906A" w14:textId="42B7AC7C"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w:t>
      </w:r>
    </w:p>
  </w:footnote>
  <w:footnote w:id="170">
    <w:p w14:paraId="433B1B7C" w14:textId="3E6EE316" w:rsidR="007E0F72" w:rsidRPr="00DA5EB5" w:rsidRDefault="007E0F72" w:rsidP="00BF52C3">
      <w:pPr>
        <w:pStyle w:val="FootnoteText"/>
        <w:rPr>
          <w:color w:val="FF0000"/>
          <w:szCs w:val="18"/>
        </w:rPr>
      </w:pPr>
      <w:r w:rsidRPr="00DA5EB5">
        <w:rPr>
          <w:rStyle w:val="FootnoteReference"/>
          <w:sz w:val="18"/>
          <w:szCs w:val="18"/>
        </w:rPr>
        <w:footnoteRef/>
      </w:r>
      <w:r w:rsidRPr="00DA5EB5">
        <w:rPr>
          <w:szCs w:val="18"/>
        </w:rPr>
        <w:t xml:space="preserve"> Letter from Transparency International to the Honourable Diane Finley, Minister of Public Works and Government Services (17 February 2015) at 5. </w:t>
      </w:r>
    </w:p>
  </w:footnote>
  <w:footnote w:id="171">
    <w:p w14:paraId="4D9A29E1" w14:textId="19BA2EF1"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Andy Blatchford, “Anti-Corruption Rules on Suppliers a Threat to Canadian Economy: Study”, </w:t>
      </w:r>
      <w:r w:rsidRPr="00DA5EB5">
        <w:rPr>
          <w:i/>
          <w:szCs w:val="18"/>
        </w:rPr>
        <w:t>Ottawa Citizen</w:t>
      </w:r>
      <w:r w:rsidRPr="00DA5EB5">
        <w:rPr>
          <w:szCs w:val="18"/>
        </w:rPr>
        <w:t xml:space="preserve"> (23 November 2014), online: &lt;</w:t>
      </w:r>
      <w:hyperlink r:id="rId58" w:history="1">
        <w:r w:rsidRPr="00DA5EB5">
          <w:rPr>
            <w:rStyle w:val="Hyperlink"/>
            <w:szCs w:val="18"/>
          </w:rPr>
          <w:t>http://ottawacitizen.com/news/national/anti-corruption-rules-on-suppliers-a-threat-to-canadian-economy-study</w:t>
        </w:r>
      </w:hyperlink>
      <w:r w:rsidRPr="00DA5EB5">
        <w:rPr>
          <w:szCs w:val="18"/>
        </w:rPr>
        <w:t>&gt;.</w:t>
      </w:r>
    </w:p>
  </w:footnote>
  <w:footnote w:id="172">
    <w:p w14:paraId="2E4581AB" w14:textId="1850310B"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Hewlett Packard’s Russian subsidiary was fined $58.7 million USD for the FCPA violation.</w:t>
      </w:r>
    </w:p>
  </w:footnote>
  <w:footnote w:id="173">
    <w:p w14:paraId="3B8C4A4C" w14:textId="6F2C8DE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Robert A Glasgow, Brenda C </w:t>
      </w:r>
      <w:proofErr w:type="spellStart"/>
      <w:r w:rsidRPr="00DA5EB5">
        <w:rPr>
          <w:szCs w:val="18"/>
        </w:rPr>
        <w:t>Swick</w:t>
      </w:r>
      <w:proofErr w:type="spellEnd"/>
      <w:r w:rsidRPr="00DA5EB5">
        <w:rPr>
          <w:szCs w:val="18"/>
        </w:rPr>
        <w:t xml:space="preserve"> &amp; Tyler </w:t>
      </w:r>
      <w:proofErr w:type="spellStart"/>
      <w:r w:rsidRPr="00DA5EB5">
        <w:rPr>
          <w:szCs w:val="18"/>
        </w:rPr>
        <w:t>Wentzell</w:t>
      </w:r>
      <w:proofErr w:type="spellEnd"/>
      <w:r w:rsidRPr="00DA5EB5">
        <w:rPr>
          <w:szCs w:val="18"/>
        </w:rPr>
        <w:t>, “</w:t>
      </w:r>
      <w:r w:rsidRPr="00DA5EB5">
        <w:rPr>
          <w:bCs/>
          <w:szCs w:val="18"/>
        </w:rPr>
        <w:t>The First Test of the Supplier Integrity Rules</w:t>
      </w:r>
      <w:r w:rsidRPr="00DA5EB5">
        <w:rPr>
          <w:szCs w:val="18"/>
        </w:rPr>
        <w:t xml:space="preserve">”, McCarthy </w:t>
      </w:r>
      <w:proofErr w:type="spellStart"/>
      <w:r w:rsidRPr="00DA5EB5">
        <w:rPr>
          <w:szCs w:val="18"/>
        </w:rPr>
        <w:t>Tétrault</w:t>
      </w:r>
      <w:proofErr w:type="spellEnd"/>
      <w:r w:rsidRPr="00DA5EB5">
        <w:rPr>
          <w:szCs w:val="18"/>
        </w:rPr>
        <w:t xml:space="preserve"> LLP (29 September 2014), online: &lt;</w:t>
      </w:r>
      <w:hyperlink r:id="rId59" w:history="1">
        <w:r w:rsidRPr="00DA5EB5">
          <w:rPr>
            <w:rStyle w:val="Hyperlink"/>
            <w:szCs w:val="18"/>
          </w:rPr>
          <w:t>http://www.mccarthy.ca/article_detail.aspx?id=6895</w:t>
        </w:r>
      </w:hyperlink>
      <w:r w:rsidRPr="00DA5EB5">
        <w:rPr>
          <w:szCs w:val="18"/>
        </w:rPr>
        <w:t>&gt;.</w:t>
      </w:r>
    </w:p>
  </w:footnote>
  <w:footnote w:id="174">
    <w:p w14:paraId="100B22E6" w14:textId="2BE7F27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McKenna</w:t>
      </w:r>
      <w:r w:rsidRPr="00DA5EB5">
        <w:rPr>
          <w:i/>
          <w:szCs w:val="18"/>
        </w:rPr>
        <w:t xml:space="preserve"> </w:t>
      </w:r>
      <w:r w:rsidRPr="00DA5EB5">
        <w:rPr>
          <w:szCs w:val="18"/>
        </w:rPr>
        <w:t>(24 November 2014)</w:t>
      </w:r>
      <w:r w:rsidRPr="00DA5EB5">
        <w:rPr>
          <w:rStyle w:val="Hyperlink"/>
          <w:color w:val="auto"/>
          <w:szCs w:val="18"/>
          <w:u w:val="none"/>
        </w:rPr>
        <w:t>.</w:t>
      </w:r>
    </w:p>
  </w:footnote>
  <w:footnote w:id="175">
    <w:p w14:paraId="16468A81"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w:t>
      </w:r>
    </w:p>
  </w:footnote>
  <w:footnote w:id="176">
    <w:p w14:paraId="2B3C2C24" w14:textId="074B637F"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See Public Works and Government Services Canada, “Government of Canada’s Integrity Regime” (14 July 2016), online: &lt;</w:t>
      </w:r>
      <w:hyperlink r:id="rId60" w:history="1">
        <w:r w:rsidRPr="00DA5EB5">
          <w:rPr>
            <w:rStyle w:val="Hyperlink"/>
            <w:szCs w:val="18"/>
          </w:rPr>
          <w:t>http://www.tpsgc-pwgsc.gc.ca/ci-if/ci-if-eng.html</w:t>
        </w:r>
      </w:hyperlink>
      <w:r w:rsidRPr="00DA5EB5">
        <w:rPr>
          <w:szCs w:val="18"/>
        </w:rPr>
        <w:t xml:space="preserve">&gt;. See also John W </w:t>
      </w:r>
      <w:proofErr w:type="spellStart"/>
      <w:r w:rsidRPr="00DA5EB5">
        <w:rPr>
          <w:szCs w:val="18"/>
        </w:rPr>
        <w:t>Boscariol</w:t>
      </w:r>
      <w:proofErr w:type="spellEnd"/>
      <w:r w:rsidRPr="00DA5EB5">
        <w:rPr>
          <w:szCs w:val="18"/>
        </w:rPr>
        <w:t xml:space="preserve"> &amp; Robert A Glasgow, “</w:t>
      </w:r>
      <w:r w:rsidRPr="00DA5EB5">
        <w:rPr>
          <w:bCs/>
          <w:szCs w:val="18"/>
        </w:rPr>
        <w:t xml:space="preserve">Canada Implements New Integrity Regime for Public Procurement”, McCarthy </w:t>
      </w:r>
      <w:proofErr w:type="spellStart"/>
      <w:r w:rsidRPr="00DA5EB5">
        <w:rPr>
          <w:bCs/>
          <w:szCs w:val="18"/>
        </w:rPr>
        <w:t>Tétrault</w:t>
      </w:r>
      <w:proofErr w:type="spellEnd"/>
      <w:r w:rsidRPr="00DA5EB5">
        <w:rPr>
          <w:bCs/>
          <w:szCs w:val="18"/>
        </w:rPr>
        <w:t xml:space="preserve"> LLP (6 July 2015), online: &lt;</w:t>
      </w:r>
      <w:hyperlink r:id="rId61" w:history="1">
        <w:r w:rsidRPr="00DA5EB5">
          <w:rPr>
            <w:rStyle w:val="Hyperlink"/>
            <w:bCs/>
            <w:szCs w:val="18"/>
          </w:rPr>
          <w:t>http://www.mccarthy.ca/article_detail.aspx?id=7126</w:t>
        </w:r>
      </w:hyperlink>
      <w:r w:rsidRPr="00DA5EB5">
        <w:rPr>
          <w:bCs/>
          <w:szCs w:val="18"/>
        </w:rPr>
        <w:t>&gt;.</w:t>
      </w:r>
    </w:p>
  </w:footnote>
  <w:footnote w:id="177">
    <w:p w14:paraId="3E761A2D" w14:textId="17196A91"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Milos </w:t>
      </w:r>
      <w:proofErr w:type="spellStart"/>
      <w:r w:rsidRPr="00DA5EB5">
        <w:rPr>
          <w:szCs w:val="18"/>
        </w:rPr>
        <w:t>Barutciski</w:t>
      </w:r>
      <w:proofErr w:type="spellEnd"/>
      <w:r w:rsidRPr="00DA5EB5">
        <w:rPr>
          <w:szCs w:val="18"/>
        </w:rPr>
        <w:t xml:space="preserve"> &amp; Matthew </w:t>
      </w:r>
      <w:proofErr w:type="spellStart"/>
      <w:r w:rsidRPr="00DA5EB5">
        <w:rPr>
          <w:szCs w:val="18"/>
        </w:rPr>
        <w:t>Kronby</w:t>
      </w:r>
      <w:proofErr w:type="spellEnd"/>
      <w:r w:rsidRPr="00DA5EB5">
        <w:rPr>
          <w:szCs w:val="18"/>
        </w:rPr>
        <w:t xml:space="preserve">, “The New Integrity Regime Still Tilts </w:t>
      </w:r>
      <w:proofErr w:type="gramStart"/>
      <w:r w:rsidRPr="00DA5EB5">
        <w:rPr>
          <w:szCs w:val="18"/>
        </w:rPr>
        <w:t>Toward</w:t>
      </w:r>
      <w:proofErr w:type="gramEnd"/>
      <w:r w:rsidRPr="00DA5EB5">
        <w:rPr>
          <w:szCs w:val="18"/>
        </w:rPr>
        <w:t xml:space="preserve"> Punishment”, </w:t>
      </w:r>
      <w:r w:rsidRPr="00DA5EB5">
        <w:rPr>
          <w:i/>
          <w:szCs w:val="18"/>
        </w:rPr>
        <w:t xml:space="preserve">The Globe and Mail </w:t>
      </w:r>
      <w:r w:rsidRPr="00DA5EB5">
        <w:rPr>
          <w:szCs w:val="18"/>
        </w:rPr>
        <w:t>(13 July 2015), online: &lt;</w:t>
      </w:r>
      <w:hyperlink r:id="rId62" w:history="1">
        <w:r w:rsidRPr="00DA5EB5">
          <w:rPr>
            <w:rStyle w:val="Hyperlink"/>
            <w:szCs w:val="18"/>
          </w:rPr>
          <w:t>http://www.theglobeandmail.com/report-on-business/rob-commentary/new-integrity-regime-of-procurement-rules-still-tilts-toward-punishment/article25475524/</w:t>
        </w:r>
      </w:hyperlink>
      <w:r w:rsidRPr="00DA5EB5">
        <w:rPr>
          <w:szCs w:val="18"/>
        </w:rPr>
        <w:t xml:space="preserve">&gt;. See also Sean </w:t>
      </w:r>
      <w:proofErr w:type="spellStart"/>
      <w:r w:rsidRPr="00DA5EB5">
        <w:rPr>
          <w:szCs w:val="18"/>
        </w:rPr>
        <w:t>Silcoff</w:t>
      </w:r>
      <w:proofErr w:type="spellEnd"/>
      <w:r w:rsidRPr="00DA5EB5">
        <w:rPr>
          <w:szCs w:val="18"/>
        </w:rPr>
        <w:t xml:space="preserve">, “Industry Players Say Ottawa’s Revised Integrity Rules Still Too Harsh”, </w:t>
      </w:r>
      <w:r w:rsidRPr="00DA5EB5">
        <w:rPr>
          <w:i/>
          <w:szCs w:val="18"/>
        </w:rPr>
        <w:t>The Globe and Mail</w:t>
      </w:r>
      <w:r w:rsidRPr="00DA5EB5">
        <w:rPr>
          <w:szCs w:val="18"/>
        </w:rPr>
        <w:t xml:space="preserve"> (7 July 2015), online: &lt;</w:t>
      </w:r>
      <w:hyperlink r:id="rId63" w:history="1">
        <w:r w:rsidRPr="00DA5EB5">
          <w:rPr>
            <w:rStyle w:val="Hyperlink"/>
            <w:szCs w:val="18"/>
          </w:rPr>
          <w:t>http://www.theglobeandmail.com/report-on-business/industry-players-say-ottawas-integrity-regime-still-unfair/article25334479/</w:t>
        </w:r>
      </w:hyperlink>
      <w:r w:rsidRPr="00DA5EB5">
        <w:rPr>
          <w:szCs w:val="18"/>
        </w:rPr>
        <w:t>&gt;.</w:t>
      </w:r>
    </w:p>
  </w:footnote>
  <w:footnote w:id="178">
    <w:p w14:paraId="53D6F38F" w14:textId="067F98D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Christopher Burkett &amp; Matt Saunders, “The New Integrity Regime in Canada: Revised Debarment Rules Still Too Strict?</w:t>
      </w:r>
      <w:proofErr w:type="gramStart"/>
      <w:r w:rsidRPr="00DA5EB5">
        <w:rPr>
          <w:szCs w:val="18"/>
        </w:rPr>
        <w:t>”,</w:t>
      </w:r>
      <w:proofErr w:type="gramEnd"/>
      <w:r w:rsidRPr="00DA5EB5">
        <w:rPr>
          <w:szCs w:val="18"/>
        </w:rPr>
        <w:t xml:space="preserve"> Baker McKenzie LLP (16 July 2015), online: &lt;</w:t>
      </w:r>
      <w:hyperlink r:id="rId64" w:history="1">
        <w:r w:rsidRPr="0061209A">
          <w:rPr>
            <w:rStyle w:val="Hyperlink"/>
            <w:szCs w:val="18"/>
          </w:rPr>
          <w:t>http://www.canadianfraudlaw.com/2015/07/the-new-integrity-regime-in-canada-revised-debarment-rules-still-too-strict/</w:t>
        </w:r>
      </w:hyperlink>
      <w:r w:rsidRPr="00DA5EB5">
        <w:rPr>
          <w:szCs w:val="18"/>
        </w:rPr>
        <w:t>&gt;.</w:t>
      </w:r>
    </w:p>
  </w:footnote>
  <w:footnote w:id="179">
    <w:p w14:paraId="784A8C2A" w14:textId="017B24D2"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proofErr w:type="spellStart"/>
      <w:r w:rsidRPr="00DA5EB5">
        <w:rPr>
          <w:szCs w:val="18"/>
        </w:rPr>
        <w:t>Barutciski</w:t>
      </w:r>
      <w:proofErr w:type="spellEnd"/>
      <w:r w:rsidRPr="00DA5EB5">
        <w:rPr>
          <w:szCs w:val="18"/>
        </w:rPr>
        <w:t xml:space="preserve"> &amp; </w:t>
      </w:r>
      <w:proofErr w:type="spellStart"/>
      <w:r w:rsidRPr="00DA5EB5">
        <w:rPr>
          <w:szCs w:val="18"/>
        </w:rPr>
        <w:t>Kronby</w:t>
      </w:r>
      <w:proofErr w:type="spellEnd"/>
      <w:r w:rsidRPr="00DA5EB5">
        <w:rPr>
          <w:szCs w:val="18"/>
        </w:rPr>
        <w:t>, (13 July 2015)</w:t>
      </w:r>
      <w:r w:rsidRPr="00DA5EB5">
        <w:rPr>
          <w:i/>
          <w:szCs w:val="18"/>
        </w:rPr>
        <w:t>.</w:t>
      </w:r>
      <w:r w:rsidRPr="00DA5EB5">
        <w:rPr>
          <w:szCs w:val="18"/>
        </w:rPr>
        <w:t xml:space="preserve"> See also “The ‘Integrity Framework’ Is Still Too Tough”, Editorial, </w:t>
      </w:r>
      <w:proofErr w:type="gramStart"/>
      <w:r w:rsidRPr="00DA5EB5">
        <w:rPr>
          <w:i/>
          <w:szCs w:val="18"/>
        </w:rPr>
        <w:t>The</w:t>
      </w:r>
      <w:proofErr w:type="gramEnd"/>
      <w:r w:rsidRPr="00DA5EB5">
        <w:rPr>
          <w:i/>
          <w:szCs w:val="18"/>
        </w:rPr>
        <w:t xml:space="preserve"> Globe and Mail</w:t>
      </w:r>
      <w:r w:rsidRPr="00DA5EB5">
        <w:rPr>
          <w:szCs w:val="18"/>
        </w:rPr>
        <w:t xml:space="preserve"> (8 July 2015), online: &lt;</w:t>
      </w:r>
      <w:hyperlink r:id="rId65" w:history="1">
        <w:r w:rsidRPr="00DA5EB5">
          <w:rPr>
            <w:rStyle w:val="Hyperlink"/>
            <w:szCs w:val="18"/>
          </w:rPr>
          <w:t>http://www.theglobeandmail.com/opinion/editorials/the-integrity-framework-is-still-too-tough/article25373384/</w:t>
        </w:r>
      </w:hyperlink>
      <w:r w:rsidRPr="00DA5EB5">
        <w:rPr>
          <w:szCs w:val="18"/>
        </w:rPr>
        <w:t>&gt;.</w:t>
      </w:r>
    </w:p>
  </w:footnote>
  <w:footnote w:id="180">
    <w:p w14:paraId="5EF01194"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proofErr w:type="spellStart"/>
      <w:r w:rsidRPr="00DA5EB5">
        <w:rPr>
          <w:szCs w:val="18"/>
        </w:rPr>
        <w:t>Barutciski</w:t>
      </w:r>
      <w:proofErr w:type="spellEnd"/>
      <w:r w:rsidRPr="00DA5EB5">
        <w:rPr>
          <w:szCs w:val="18"/>
        </w:rPr>
        <w:t xml:space="preserve"> &amp; </w:t>
      </w:r>
      <w:proofErr w:type="spellStart"/>
      <w:r w:rsidRPr="00DA5EB5">
        <w:rPr>
          <w:szCs w:val="18"/>
        </w:rPr>
        <w:t>Kronby</w:t>
      </w:r>
      <w:proofErr w:type="spellEnd"/>
      <w:r w:rsidRPr="00DA5EB5">
        <w:rPr>
          <w:szCs w:val="18"/>
        </w:rPr>
        <w:t xml:space="preserve">, </w:t>
      </w:r>
      <w:r w:rsidRPr="00DA5EB5">
        <w:rPr>
          <w:i/>
          <w:szCs w:val="18"/>
        </w:rPr>
        <w:t>ibid</w:t>
      </w:r>
      <w:r w:rsidRPr="00DA5EB5">
        <w:rPr>
          <w:szCs w:val="18"/>
        </w:rPr>
        <w:t>.</w:t>
      </w:r>
    </w:p>
  </w:footnote>
  <w:footnote w:id="181">
    <w:p w14:paraId="3ADF5161"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w:t>
      </w:r>
    </w:p>
  </w:footnote>
  <w:footnote w:id="182">
    <w:p w14:paraId="2441BE52" w14:textId="00480470"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Manley (29 May 2015).</w:t>
      </w:r>
    </w:p>
  </w:footnote>
  <w:footnote w:id="183">
    <w:p w14:paraId="092F1F97" w14:textId="3AAF8B9B"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Stephen Schneider, “Deferred Prosecution Won’t Put a Dent in Corporate Crime”, </w:t>
      </w:r>
      <w:r w:rsidRPr="00DA5EB5">
        <w:rPr>
          <w:i/>
          <w:szCs w:val="18"/>
        </w:rPr>
        <w:t xml:space="preserve">The Globe and Mail </w:t>
      </w:r>
      <w:r w:rsidRPr="00DA5EB5">
        <w:rPr>
          <w:szCs w:val="18"/>
        </w:rPr>
        <w:t>(2 June 2015), online: &lt;</w:t>
      </w:r>
      <w:hyperlink r:id="rId66" w:history="1">
        <w:r w:rsidRPr="00DA5EB5">
          <w:rPr>
            <w:rStyle w:val="Hyperlink"/>
            <w:szCs w:val="18"/>
          </w:rPr>
          <w:t>http://www.theglobeandmail.com/report-on-business/rob-commentary/deferred-prosecution-wont-put-a-dent-in-corporate-crime/article24758293/</w:t>
        </w:r>
      </w:hyperlink>
      <w:r w:rsidRPr="00DA5EB5">
        <w:rPr>
          <w:szCs w:val="18"/>
        </w:rPr>
        <w:t>&gt;.</w:t>
      </w:r>
    </w:p>
  </w:footnote>
  <w:footnote w:id="184">
    <w:p w14:paraId="6FDBA87D" w14:textId="2EF08BA4"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“The ‘Integrity Framework’ Is Still Too Tough”, Editorial, </w:t>
      </w:r>
      <w:proofErr w:type="gramStart"/>
      <w:r w:rsidRPr="00DA5EB5">
        <w:rPr>
          <w:i/>
          <w:szCs w:val="18"/>
        </w:rPr>
        <w:t>The</w:t>
      </w:r>
      <w:proofErr w:type="gramEnd"/>
      <w:r w:rsidRPr="00DA5EB5">
        <w:rPr>
          <w:i/>
          <w:szCs w:val="18"/>
        </w:rPr>
        <w:t xml:space="preserve"> Globe and Mail</w:t>
      </w:r>
      <w:r w:rsidRPr="00DA5EB5">
        <w:rPr>
          <w:szCs w:val="18"/>
        </w:rPr>
        <w:t xml:space="preserve"> (8 July 2015), online: &lt;</w:t>
      </w:r>
      <w:hyperlink r:id="rId67" w:history="1">
        <w:r w:rsidRPr="00DA5EB5">
          <w:rPr>
            <w:rStyle w:val="Hyperlink"/>
            <w:szCs w:val="18"/>
          </w:rPr>
          <w:t>http://www.theglobeandmail.com/opinion/editorials/the-integrity-framework-is-still-too-tough/article25373384/</w:t>
        </w:r>
      </w:hyperlink>
      <w:r w:rsidRPr="00DA5EB5">
        <w:rPr>
          <w:szCs w:val="18"/>
        </w:rPr>
        <w:t>&gt;.</w:t>
      </w:r>
    </w:p>
  </w:footnote>
  <w:footnote w:id="185">
    <w:p w14:paraId="58DBABEF" w14:textId="7EE884BA"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Blatchford (23 November 2014).</w:t>
      </w:r>
    </w:p>
  </w:footnote>
  <w:footnote w:id="186">
    <w:p w14:paraId="7E5FD8A5"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w:t>
      </w:r>
    </w:p>
  </w:footnote>
  <w:footnote w:id="187">
    <w:p w14:paraId="3E073691"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w:t>
      </w:r>
    </w:p>
  </w:footnote>
  <w:footnote w:id="188">
    <w:p w14:paraId="2DF7958D"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w:t>
      </w:r>
    </w:p>
  </w:footnote>
  <w:footnote w:id="189">
    <w:p w14:paraId="665B6437" w14:textId="5C8230FF"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See </w:t>
      </w:r>
      <w:r w:rsidRPr="00DA5EB5">
        <w:rPr>
          <w:bCs/>
          <w:szCs w:val="18"/>
        </w:rPr>
        <w:t>Mark Katz, “Canada’s Integrity Regime and Cartel Enforcement”, Davies Ward Phillips &amp; Vineberg LLP (5 July 2016), online: &lt;</w:t>
      </w:r>
      <w:hyperlink r:id="rId68" w:history="1">
        <w:r w:rsidRPr="00DA5EB5">
          <w:rPr>
            <w:rStyle w:val="Hyperlink"/>
            <w:bCs/>
            <w:szCs w:val="18"/>
          </w:rPr>
          <w:t>http://kluwercompetitionlawblog.com/2016/07/05/canadas-integrity-regimeunintended-consequences-for-canadian-cartel-enforcement/</w:t>
        </w:r>
      </w:hyperlink>
      <w:r w:rsidRPr="00DA5EB5">
        <w:rPr>
          <w:bCs/>
          <w:szCs w:val="18"/>
        </w:rPr>
        <w:t>&gt;.</w:t>
      </w:r>
    </w:p>
  </w:footnote>
  <w:footnote w:id="190">
    <w:p w14:paraId="5B206E11" w14:textId="644B17EB"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See Milos </w:t>
      </w:r>
      <w:proofErr w:type="spellStart"/>
      <w:r w:rsidRPr="00DA5EB5">
        <w:rPr>
          <w:szCs w:val="18"/>
        </w:rPr>
        <w:t>Barutciski</w:t>
      </w:r>
      <w:proofErr w:type="spellEnd"/>
      <w:r w:rsidRPr="00DA5EB5">
        <w:rPr>
          <w:szCs w:val="18"/>
        </w:rPr>
        <w:t xml:space="preserve"> et al, “Changes to Canada's Integrity Regime for Public Procurement Create Onerous New Reporting Requirement”, Bennett Jones LLP (8 April 2016), online: &lt;</w:t>
      </w:r>
      <w:hyperlink r:id="rId69" w:history="1">
        <w:r w:rsidRPr="00DA5EB5">
          <w:rPr>
            <w:rStyle w:val="Hyperlink"/>
            <w:szCs w:val="18"/>
          </w:rPr>
          <w:t>https://www.bennettjones.com/Publications/Updates/Changes_to_Canada_s_Integrity_Regime_for_Public_Procurement_Create_Onerous_New_Reporting_Requirement</w:t>
        </w:r>
      </w:hyperlink>
      <w:r w:rsidRPr="00DA5EB5">
        <w:rPr>
          <w:szCs w:val="18"/>
        </w:rPr>
        <w:t>&gt;.</w:t>
      </w:r>
    </w:p>
  </w:footnote>
  <w:footnote w:id="191">
    <w:p w14:paraId="38708C35"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w:t>
      </w:r>
    </w:p>
  </w:footnote>
  <w:footnote w:id="192">
    <w:p w14:paraId="49D1A77A" w14:textId="1696F564"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Barrie McKenna, “SNC Case Shows Downside of Ottawa’s Strict Anti-Corruption Regime”, </w:t>
      </w:r>
      <w:r w:rsidRPr="00DA5EB5">
        <w:rPr>
          <w:i/>
          <w:szCs w:val="18"/>
        </w:rPr>
        <w:t>The Globe and Mail</w:t>
      </w:r>
      <w:r w:rsidRPr="00DA5EB5">
        <w:rPr>
          <w:szCs w:val="18"/>
        </w:rPr>
        <w:t xml:space="preserve"> (19 February 2014), online: &lt;</w:t>
      </w:r>
      <w:hyperlink r:id="rId70" w:history="1">
        <w:r w:rsidRPr="00DA5EB5">
          <w:rPr>
            <w:rStyle w:val="Hyperlink"/>
            <w:szCs w:val="18"/>
          </w:rPr>
          <w:t>http://www.theglobeandmail.com/report-on-business/snc-case-shows-downside-of-ottawas-strict-anti-corruption-regime/article23087586/</w:t>
        </w:r>
      </w:hyperlink>
      <w:r w:rsidRPr="00DA5EB5">
        <w:rPr>
          <w:szCs w:val="18"/>
        </w:rPr>
        <w:t>&gt;.</w:t>
      </w:r>
    </w:p>
  </w:footnote>
  <w:footnote w:id="193">
    <w:p w14:paraId="0B12CCCA" w14:textId="4DF443DE"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SNC-Lavalin, Press Release, “SNC-Lavalin Signs an Administrative Agreement under the Government of Canada’s New Integrity Regime” (10 December 2015), online: &lt;</w:t>
      </w:r>
      <w:hyperlink r:id="rId71" w:history="1">
        <w:r w:rsidRPr="00DA5EB5">
          <w:rPr>
            <w:rStyle w:val="Hyperlink"/>
            <w:szCs w:val="18"/>
          </w:rPr>
          <w:t>http://www.snclavalin.com/en/administrative-agreement-under-canada-new-integrity-regime</w:t>
        </w:r>
      </w:hyperlink>
      <w:r w:rsidRPr="00DA5EB5">
        <w:rPr>
          <w:szCs w:val="18"/>
        </w:rPr>
        <w:t>&gt;.</w:t>
      </w:r>
    </w:p>
  </w:footnote>
  <w:footnote w:id="194">
    <w:p w14:paraId="03FFC45D" w14:textId="77777777" w:rsidR="007E0F72" w:rsidRPr="00DA5EB5" w:rsidRDefault="007E0F72" w:rsidP="003C67B1">
      <w:pPr>
        <w:pStyle w:val="FootnoteText"/>
      </w:pPr>
      <w:r w:rsidRPr="00DA5EB5">
        <w:rPr>
          <w:rStyle w:val="FootnoteReference"/>
        </w:rPr>
        <w:footnoteRef/>
      </w:r>
      <w:r w:rsidRPr="00DA5EB5">
        <w:t xml:space="preserve"> See the Government of Canada’s website devoted to the consultation: &lt;</w:t>
      </w:r>
      <w:hyperlink r:id="rId72" w:history="1">
        <w:r w:rsidRPr="00DA5EB5">
          <w:rPr>
            <w:rStyle w:val="Hyperlink"/>
          </w:rPr>
          <w:t>https://www.tpsgc-pwgsc.gc.ca/ci-if/ar-cw/index-eng.html</w:t>
        </w:r>
      </w:hyperlink>
      <w:r w:rsidRPr="00DA5EB5">
        <w:t xml:space="preserve">&gt;. </w:t>
      </w:r>
    </w:p>
  </w:footnote>
  <w:footnote w:id="195">
    <w:p w14:paraId="10094190" w14:textId="77777777" w:rsidR="007E0F72" w:rsidRPr="00DA5EB5" w:rsidRDefault="007E0F72" w:rsidP="00782974">
      <w:pPr>
        <w:pStyle w:val="FootnoteText"/>
      </w:pPr>
      <w:r w:rsidRPr="00DA5EB5">
        <w:rPr>
          <w:rStyle w:val="FootnoteReference"/>
        </w:rPr>
        <w:footnoteRef/>
      </w:r>
      <w:r w:rsidRPr="00DA5EB5">
        <w:t xml:space="preserve"> Government of Canada, “Expanding Canada’s Toolkit to Address Corporate Wrongdoing: The Integrity Regime Discussion Guide”, online: &lt;</w:t>
      </w:r>
      <w:hyperlink r:id="rId73" w:history="1">
        <w:r w:rsidRPr="00DA5EB5">
          <w:rPr>
            <w:rStyle w:val="Hyperlink"/>
          </w:rPr>
          <w:t>https://www.tpsgc-pwgsc.gc.ca/ci-if/ar-cw/examiner-review-eng.html</w:t>
        </w:r>
      </w:hyperlink>
      <w:r w:rsidRPr="00DA5EB5">
        <w:t xml:space="preserve">&gt;. </w:t>
      </w:r>
    </w:p>
  </w:footnote>
  <w:footnote w:id="196">
    <w:p w14:paraId="1ABA5FAE" w14:textId="28CE9A4D" w:rsidR="007E0F72" w:rsidRPr="00DA5EB5" w:rsidRDefault="007E0F72" w:rsidP="003C67B1">
      <w:pPr>
        <w:pStyle w:val="FootnoteText"/>
      </w:pPr>
      <w:r w:rsidRPr="00DA5EB5">
        <w:rPr>
          <w:rStyle w:val="FootnoteReference"/>
        </w:rPr>
        <w:footnoteRef/>
      </w:r>
      <w:r w:rsidRPr="00DA5EB5">
        <w:t xml:space="preserve"> Government of Canada, “Expanding Canada’s Toolkit to Address Corporate Wrongdoing: What We Heard” (22 February 2018), online: &lt; </w:t>
      </w:r>
      <w:hyperlink r:id="rId74" w:history="1">
        <w:r w:rsidRPr="00DA5EB5">
          <w:rPr>
            <w:rStyle w:val="Hyperlink"/>
          </w:rPr>
          <w:t>https://www.tpsgc-pwgsc.gc.ca/ci-if/ar-cw/rapport-report-eng.html</w:t>
        </w:r>
      </w:hyperlink>
      <w:r w:rsidRPr="00DA5EB5">
        <w:t xml:space="preserve">&gt;.  </w:t>
      </w:r>
    </w:p>
  </w:footnote>
  <w:footnote w:id="197">
    <w:p w14:paraId="7AF550CD" w14:textId="77777777" w:rsidR="007E0F72" w:rsidRPr="00DA5EB5" w:rsidRDefault="007E0F72" w:rsidP="003C67B1">
      <w:pPr>
        <w:pStyle w:val="FootnoteText"/>
      </w:pPr>
      <w:r w:rsidRPr="00DA5EB5">
        <w:rPr>
          <w:rStyle w:val="FootnoteReference"/>
        </w:rPr>
        <w:footnoteRef/>
      </w:r>
      <w:r w:rsidRPr="00DA5EB5">
        <w:t xml:space="preserve"> </w:t>
      </w:r>
      <w:r w:rsidRPr="00DA5EB5">
        <w:rPr>
          <w:i/>
        </w:rPr>
        <w:t xml:space="preserve">Ibid </w:t>
      </w:r>
      <w:r w:rsidRPr="00DA5EB5">
        <w:t>at 7.</w:t>
      </w:r>
    </w:p>
  </w:footnote>
  <w:footnote w:id="198">
    <w:p w14:paraId="3029CA53" w14:textId="77777777" w:rsidR="007E0F72" w:rsidRPr="00DA5EB5" w:rsidRDefault="007E0F72" w:rsidP="003C67B1">
      <w:pPr>
        <w:pStyle w:val="FootnoteText"/>
        <w:rPr>
          <w:highlight w:val="magenta"/>
        </w:rPr>
      </w:pPr>
      <w:r w:rsidRPr="00DA5EB5">
        <w:rPr>
          <w:rStyle w:val="FootnoteReference"/>
        </w:rPr>
        <w:footnoteRef/>
      </w:r>
      <w:r w:rsidRPr="00DA5EB5">
        <w:t xml:space="preserve"> </w:t>
      </w:r>
      <w:r w:rsidRPr="00DA5EB5">
        <w:rPr>
          <w:i/>
        </w:rPr>
        <w:t xml:space="preserve">Ibid </w:t>
      </w:r>
      <w:r w:rsidRPr="00DA5EB5">
        <w:t>at 9.</w:t>
      </w:r>
    </w:p>
  </w:footnote>
  <w:footnote w:id="199">
    <w:p w14:paraId="4E43A3C0" w14:textId="77777777" w:rsidR="007E0F72" w:rsidRPr="00DA5EB5" w:rsidRDefault="007E0F72" w:rsidP="003C67B1">
      <w:pPr>
        <w:pStyle w:val="FootnoteText"/>
      </w:pPr>
      <w:r w:rsidRPr="00DA5EB5">
        <w:rPr>
          <w:rStyle w:val="FootnoteReference"/>
        </w:rPr>
        <w:footnoteRef/>
      </w:r>
      <w:r w:rsidRPr="00DA5EB5">
        <w:t xml:space="preserve"> </w:t>
      </w:r>
      <w:r w:rsidRPr="00DA5EB5">
        <w:rPr>
          <w:i/>
        </w:rPr>
        <w:t xml:space="preserve">Ibid </w:t>
      </w:r>
      <w:r w:rsidRPr="00DA5EB5">
        <w:t>at 9-10.</w:t>
      </w:r>
    </w:p>
  </w:footnote>
  <w:footnote w:id="200">
    <w:p w14:paraId="6B471036" w14:textId="139B52FA"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Act Respecting Contracting by Public Bodies, </w:t>
      </w:r>
      <w:r w:rsidRPr="00DA5EB5">
        <w:rPr>
          <w:szCs w:val="18"/>
        </w:rPr>
        <w:t>RSQ, c-65.</w:t>
      </w:r>
    </w:p>
  </w:footnote>
  <w:footnote w:id="201">
    <w:p w14:paraId="21CE6482" w14:textId="149882E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rPr>
        <w:t>Securities Exchange Act,</w:t>
      </w:r>
      <w:r w:rsidRPr="00DA5EB5">
        <w:rPr>
          <w:sz w:val="14"/>
          <w:szCs w:val="18"/>
        </w:rPr>
        <w:t xml:space="preserve"> </w:t>
      </w:r>
      <w:r w:rsidRPr="00DA5EB5">
        <w:rPr>
          <w:szCs w:val="18"/>
        </w:rPr>
        <w:t>15 USC, § 78(d</w:t>
      </w:r>
      <w:proofErr w:type="gramStart"/>
      <w:r w:rsidRPr="00DA5EB5">
        <w:rPr>
          <w:szCs w:val="18"/>
        </w:rPr>
        <w:t>)(</w:t>
      </w:r>
      <w:proofErr w:type="gramEnd"/>
      <w:r w:rsidRPr="00DA5EB5">
        <w:rPr>
          <w:szCs w:val="18"/>
        </w:rPr>
        <w:t>2) (1934).</w:t>
      </w:r>
    </w:p>
  </w:footnote>
  <w:footnote w:id="202">
    <w:p w14:paraId="05F28E2C" w14:textId="390BEDAC"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 21(d</w:t>
      </w:r>
      <w:proofErr w:type="gramStart"/>
      <w:r w:rsidRPr="00DA5EB5">
        <w:rPr>
          <w:szCs w:val="18"/>
        </w:rPr>
        <w:t>)(</w:t>
      </w:r>
      <w:proofErr w:type="gramEnd"/>
      <w:r w:rsidRPr="00DA5EB5">
        <w:rPr>
          <w:szCs w:val="18"/>
        </w:rPr>
        <w:t xml:space="preserve">1); see also </w:t>
      </w:r>
      <w:r w:rsidRPr="00DA5EB5">
        <w:rPr>
          <w:i/>
          <w:szCs w:val="18"/>
        </w:rPr>
        <w:t>Securities Act of 1933</w:t>
      </w:r>
      <w:r w:rsidRPr="00DA5EB5">
        <w:rPr>
          <w:szCs w:val="18"/>
        </w:rPr>
        <w:t>, c 38, 48 Stat 74, in which a similar provision has been enacted in § 20(b).</w:t>
      </w:r>
    </w:p>
  </w:footnote>
  <w:footnote w:id="203">
    <w:p w14:paraId="4544D147" w14:textId="4BE625F3"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Securities Exchange Act, ibid, </w:t>
      </w:r>
      <w:r w:rsidRPr="00DA5EB5">
        <w:rPr>
          <w:szCs w:val="18"/>
        </w:rPr>
        <w:t>§ 21(d</w:t>
      </w:r>
      <w:proofErr w:type="gramStart"/>
      <w:r w:rsidRPr="00DA5EB5">
        <w:rPr>
          <w:szCs w:val="18"/>
        </w:rPr>
        <w:t>)(</w:t>
      </w:r>
      <w:proofErr w:type="gramEnd"/>
      <w:r w:rsidRPr="00DA5EB5">
        <w:rPr>
          <w:szCs w:val="18"/>
        </w:rPr>
        <w:t xml:space="preserve">2); See also </w:t>
      </w:r>
      <w:r w:rsidRPr="00DA5EB5">
        <w:rPr>
          <w:i/>
          <w:szCs w:val="18"/>
        </w:rPr>
        <w:t>Securities Act</w:t>
      </w:r>
      <w:r w:rsidRPr="00DA5EB5">
        <w:rPr>
          <w:szCs w:val="18"/>
        </w:rPr>
        <w:t xml:space="preserve">, </w:t>
      </w:r>
      <w:r w:rsidRPr="00DA5EB5">
        <w:rPr>
          <w:i/>
          <w:szCs w:val="18"/>
        </w:rPr>
        <w:t xml:space="preserve">ibid, </w:t>
      </w:r>
      <w:r w:rsidRPr="00DA5EB5">
        <w:rPr>
          <w:szCs w:val="18"/>
        </w:rPr>
        <w:t>§ 20 (e) for a similar provision.</w:t>
      </w:r>
    </w:p>
  </w:footnote>
  <w:footnote w:id="204">
    <w:p w14:paraId="7C1D5978" w14:textId="7788D62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Sarbanes Oxley Act of 2002, </w:t>
      </w:r>
      <w:r w:rsidRPr="00DA5EB5">
        <w:rPr>
          <w:szCs w:val="18"/>
        </w:rPr>
        <w:t>Pub L No 107-204, 116 STAT 745.</w:t>
      </w:r>
    </w:p>
  </w:footnote>
  <w:footnote w:id="205">
    <w:p w14:paraId="0CFE5824" w14:textId="3853650C"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Ibid, </w:t>
      </w:r>
      <w:r w:rsidRPr="00DA5EB5">
        <w:rPr>
          <w:szCs w:val="18"/>
        </w:rPr>
        <w:t>§ 305(1).</w:t>
      </w:r>
    </w:p>
  </w:footnote>
  <w:footnote w:id="206">
    <w:p w14:paraId="1488272F"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Michael Dailey, “</w:t>
      </w:r>
      <w:r w:rsidRPr="00DA5EB5">
        <w:rPr>
          <w:rFonts w:eastAsia="Times New Roman"/>
          <w:bCs/>
          <w:kern w:val="36"/>
          <w:szCs w:val="18"/>
        </w:rPr>
        <w:t xml:space="preserve">Comment: Officer and Director Bars: Who is substantially unfit to serve after </w:t>
      </w:r>
      <w:r w:rsidRPr="00DA5EB5">
        <w:rPr>
          <w:rFonts w:eastAsia="Times New Roman"/>
          <w:bCs/>
          <w:i/>
          <w:kern w:val="36"/>
          <w:szCs w:val="18"/>
        </w:rPr>
        <w:t>Sarbanes-Oxley</w:t>
      </w:r>
      <w:r w:rsidRPr="00DA5EB5">
        <w:rPr>
          <w:rFonts w:eastAsia="Times New Roman"/>
          <w:bCs/>
          <w:kern w:val="36"/>
          <w:szCs w:val="18"/>
        </w:rPr>
        <w:t xml:space="preserve">?” (2003) 40 </w:t>
      </w:r>
      <w:proofErr w:type="spellStart"/>
      <w:r w:rsidRPr="00DA5EB5">
        <w:rPr>
          <w:rFonts w:eastAsia="Times New Roman"/>
          <w:bCs/>
          <w:kern w:val="36"/>
          <w:szCs w:val="18"/>
        </w:rPr>
        <w:t>Hous</w:t>
      </w:r>
      <w:proofErr w:type="spellEnd"/>
      <w:r w:rsidRPr="00DA5EB5">
        <w:rPr>
          <w:rFonts w:eastAsia="Times New Roman"/>
          <w:bCs/>
          <w:kern w:val="36"/>
          <w:szCs w:val="18"/>
        </w:rPr>
        <w:t xml:space="preserve"> L Rev 837 </w:t>
      </w:r>
      <w:r w:rsidRPr="00DA5EB5">
        <w:rPr>
          <w:szCs w:val="18"/>
        </w:rPr>
        <w:t>at 850.</w:t>
      </w:r>
    </w:p>
  </w:footnote>
  <w:footnote w:id="207">
    <w:p w14:paraId="46540234" w14:textId="6F0877E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SEC v Patel</w:t>
      </w:r>
      <w:r w:rsidRPr="00DA5EB5">
        <w:rPr>
          <w:szCs w:val="18"/>
        </w:rPr>
        <w:t xml:space="preserve">, 61 F (3d) 137 at 141; </w:t>
      </w:r>
      <w:r w:rsidRPr="00DA5EB5">
        <w:rPr>
          <w:i/>
          <w:szCs w:val="18"/>
        </w:rPr>
        <w:t>SEC v Posner</w:t>
      </w:r>
      <w:r w:rsidRPr="00DA5EB5">
        <w:rPr>
          <w:szCs w:val="18"/>
        </w:rPr>
        <w:t>, 16 F (3d) 520.</w:t>
      </w:r>
    </w:p>
  </w:footnote>
  <w:footnote w:id="208">
    <w:p w14:paraId="1FE54D59" w14:textId="41F6122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Patel,</w:t>
      </w:r>
      <w:r w:rsidRPr="00DA5EB5">
        <w:rPr>
          <w:szCs w:val="18"/>
        </w:rPr>
        <w:t xml:space="preserve"> </w:t>
      </w:r>
      <w:r w:rsidRPr="00DA5EB5">
        <w:rPr>
          <w:i/>
          <w:szCs w:val="18"/>
        </w:rPr>
        <w:t>ibid</w:t>
      </w:r>
      <w:r w:rsidRPr="00DA5EB5">
        <w:rPr>
          <w:szCs w:val="18"/>
        </w:rPr>
        <w:t xml:space="preserve">; see also </w:t>
      </w:r>
      <w:r w:rsidRPr="00DA5EB5">
        <w:rPr>
          <w:i/>
          <w:szCs w:val="18"/>
        </w:rPr>
        <w:t xml:space="preserve">SEC v </w:t>
      </w:r>
      <w:proofErr w:type="spellStart"/>
      <w:r w:rsidRPr="00DA5EB5">
        <w:rPr>
          <w:i/>
          <w:szCs w:val="18"/>
        </w:rPr>
        <w:t>Boey</w:t>
      </w:r>
      <w:proofErr w:type="spellEnd"/>
      <w:r w:rsidRPr="00DA5EB5">
        <w:rPr>
          <w:szCs w:val="18"/>
        </w:rPr>
        <w:t xml:space="preserve">, 2013 US LEXIS 102102 at 6-7 and </w:t>
      </w:r>
      <w:r w:rsidRPr="00DA5EB5">
        <w:rPr>
          <w:i/>
          <w:szCs w:val="18"/>
        </w:rPr>
        <w:t xml:space="preserve">SEC v </w:t>
      </w:r>
      <w:proofErr w:type="spellStart"/>
      <w:r w:rsidRPr="00DA5EB5">
        <w:rPr>
          <w:i/>
          <w:szCs w:val="18"/>
        </w:rPr>
        <w:t>Dibella</w:t>
      </w:r>
      <w:proofErr w:type="spellEnd"/>
      <w:r w:rsidRPr="00DA5EB5">
        <w:rPr>
          <w:szCs w:val="18"/>
        </w:rPr>
        <w:t xml:space="preserve">, 2008 US LEXIS 109378 at 40, 2008 WL 6965807 for further discussion. See also </w:t>
      </w:r>
      <w:r w:rsidRPr="00DA5EB5">
        <w:rPr>
          <w:i/>
          <w:szCs w:val="18"/>
        </w:rPr>
        <w:t>SEC v Selden</w:t>
      </w:r>
      <w:r w:rsidRPr="00DA5EB5">
        <w:rPr>
          <w:szCs w:val="18"/>
        </w:rPr>
        <w:t xml:space="preserve">, 632 F </w:t>
      </w:r>
      <w:proofErr w:type="spellStart"/>
      <w:r w:rsidRPr="00DA5EB5">
        <w:rPr>
          <w:szCs w:val="18"/>
        </w:rPr>
        <w:t>Supp</w:t>
      </w:r>
      <w:proofErr w:type="spellEnd"/>
      <w:r w:rsidRPr="00DA5EB5">
        <w:rPr>
          <w:szCs w:val="18"/>
        </w:rPr>
        <w:t xml:space="preserve"> (2d) 91, 2009 US LEXIS 59214, in which the US District Court of Massachusetts expressly endorses the </w:t>
      </w:r>
      <w:r w:rsidRPr="00DA5EB5">
        <w:rPr>
          <w:i/>
          <w:szCs w:val="18"/>
        </w:rPr>
        <w:t>Patel</w:t>
      </w:r>
      <w:r w:rsidRPr="00DA5EB5">
        <w:rPr>
          <w:szCs w:val="18"/>
        </w:rPr>
        <w:t xml:space="preserve"> factors.</w:t>
      </w:r>
    </w:p>
  </w:footnote>
  <w:footnote w:id="209">
    <w:p w14:paraId="3AD51B9C" w14:textId="283A76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Patel</w:t>
      </w:r>
      <w:r w:rsidRPr="00DA5EB5">
        <w:rPr>
          <w:szCs w:val="18"/>
        </w:rPr>
        <w:t xml:space="preserve">, </w:t>
      </w:r>
      <w:r w:rsidRPr="00DA5EB5">
        <w:rPr>
          <w:i/>
          <w:szCs w:val="18"/>
        </w:rPr>
        <w:t>ibid</w:t>
      </w:r>
      <w:r w:rsidRPr="00DA5EB5">
        <w:rPr>
          <w:szCs w:val="18"/>
        </w:rPr>
        <w:t>.</w:t>
      </w:r>
    </w:p>
  </w:footnote>
  <w:footnote w:id="210">
    <w:p w14:paraId="1C910611" w14:textId="6CE688D0" w:rsidR="007E0F72" w:rsidRPr="00DA5EB5" w:rsidRDefault="007E0F72" w:rsidP="00BF52C3">
      <w:pPr>
        <w:pStyle w:val="FootnoteText"/>
        <w:rPr>
          <w:szCs w:val="18"/>
        </w:rPr>
      </w:pPr>
      <w:r w:rsidRPr="00DA5EB5">
        <w:rPr>
          <w:rStyle w:val="FootnoteReference"/>
          <w:sz w:val="18"/>
          <w:szCs w:val="18"/>
        </w:rPr>
        <w:footnoteRef/>
      </w:r>
      <w:r w:rsidRPr="00DA5EB5">
        <w:rPr>
          <w:i/>
          <w:szCs w:val="18"/>
        </w:rPr>
        <w:t xml:space="preserve"> </w:t>
      </w:r>
      <w:r w:rsidRPr="00DA5EB5">
        <w:rPr>
          <w:szCs w:val="18"/>
        </w:rPr>
        <w:t>Dailey,</w:t>
      </w:r>
      <w:r w:rsidRPr="00DA5EB5">
        <w:rPr>
          <w:rFonts w:eastAsia="Times New Roman"/>
          <w:bCs/>
          <w:kern w:val="36"/>
          <w:szCs w:val="18"/>
        </w:rPr>
        <w:t xml:space="preserve"> (2003) </w:t>
      </w:r>
      <w:r w:rsidRPr="00DA5EB5">
        <w:rPr>
          <w:szCs w:val="18"/>
        </w:rPr>
        <w:t>at 851.</w:t>
      </w:r>
    </w:p>
  </w:footnote>
  <w:footnote w:id="211">
    <w:p w14:paraId="02A27E37" w14:textId="2661F54C" w:rsidR="007E0F72" w:rsidRPr="00DA5EB5" w:rsidRDefault="007E0F72" w:rsidP="00BF52C3">
      <w:pPr>
        <w:pStyle w:val="FootnoteText"/>
        <w:rPr>
          <w:szCs w:val="18"/>
        </w:rPr>
      </w:pPr>
      <w:r w:rsidRPr="00DA5EB5">
        <w:rPr>
          <w:rStyle w:val="FootnoteReference"/>
          <w:sz w:val="18"/>
          <w:szCs w:val="18"/>
        </w:rPr>
        <w:footnoteRef/>
      </w:r>
      <w:r w:rsidRPr="00DA5EB5">
        <w:rPr>
          <w:i/>
          <w:szCs w:val="18"/>
        </w:rPr>
        <w:t xml:space="preserve"> SEC v Patel</w:t>
      </w:r>
      <w:r w:rsidRPr="00DA5EB5">
        <w:rPr>
          <w:szCs w:val="18"/>
        </w:rPr>
        <w:t>, 61 F (3d) 137 at 142.</w:t>
      </w:r>
    </w:p>
  </w:footnote>
  <w:footnote w:id="212">
    <w:p w14:paraId="2ED0B4C3" w14:textId="6B788882"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SEC v Posner</w:t>
      </w:r>
      <w:r w:rsidRPr="00DA5EB5">
        <w:rPr>
          <w:szCs w:val="18"/>
        </w:rPr>
        <w:t>, 16 F (3d) 520</w:t>
      </w:r>
      <w:r w:rsidRPr="00DA5EB5">
        <w:rPr>
          <w:i/>
          <w:szCs w:val="18"/>
        </w:rPr>
        <w:t>.</w:t>
      </w:r>
    </w:p>
  </w:footnote>
  <w:footnote w:id="213">
    <w:p w14:paraId="17B359D6" w14:textId="2CDC4BF2"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See </w:t>
      </w:r>
      <w:r w:rsidRPr="00DA5EB5">
        <w:rPr>
          <w:i/>
          <w:szCs w:val="18"/>
        </w:rPr>
        <w:t xml:space="preserve">SEC v Drexel Burnham Lambert </w:t>
      </w:r>
      <w:proofErr w:type="spellStart"/>
      <w:r w:rsidRPr="00DA5EB5">
        <w:rPr>
          <w:i/>
          <w:szCs w:val="18"/>
        </w:rPr>
        <w:t>Inc</w:t>
      </w:r>
      <w:proofErr w:type="spellEnd"/>
      <w:r w:rsidRPr="00DA5EB5">
        <w:rPr>
          <w:szCs w:val="18"/>
        </w:rPr>
        <w:t xml:space="preserve">, 837 F </w:t>
      </w:r>
      <w:proofErr w:type="spellStart"/>
      <w:r w:rsidRPr="00DA5EB5">
        <w:rPr>
          <w:szCs w:val="18"/>
        </w:rPr>
        <w:t>Supp</w:t>
      </w:r>
      <w:proofErr w:type="spellEnd"/>
      <w:r w:rsidRPr="00DA5EB5">
        <w:rPr>
          <w:szCs w:val="18"/>
        </w:rPr>
        <w:t xml:space="preserve"> 587, 1993 US LEXIS 17027 for the lower court’s reasons.</w:t>
      </w:r>
    </w:p>
  </w:footnote>
  <w:footnote w:id="214">
    <w:p w14:paraId="568A2BAD" w14:textId="6F53524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SEC v Posner</w:t>
      </w:r>
      <w:r w:rsidRPr="00DA5EB5">
        <w:rPr>
          <w:szCs w:val="18"/>
        </w:rPr>
        <w:t>, 16 F (3d) 520 at 522.</w:t>
      </w:r>
    </w:p>
  </w:footnote>
  <w:footnote w:id="215">
    <w:p w14:paraId="7551FE9F" w14:textId="77777777" w:rsidR="007E0F72" w:rsidRPr="00DA5EB5" w:rsidRDefault="007E0F72" w:rsidP="00FD3841">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SEC v </w:t>
      </w:r>
      <w:proofErr w:type="spellStart"/>
      <w:r w:rsidRPr="00DA5EB5">
        <w:rPr>
          <w:i/>
          <w:szCs w:val="18"/>
        </w:rPr>
        <w:t>Boey</w:t>
      </w:r>
      <w:proofErr w:type="spellEnd"/>
      <w:r w:rsidRPr="00DA5EB5">
        <w:rPr>
          <w:szCs w:val="18"/>
        </w:rPr>
        <w:t>, 2013 US LEXIS 102102 at 6-7</w:t>
      </w:r>
      <w:r w:rsidRPr="00DA5EB5">
        <w:rPr>
          <w:i/>
          <w:szCs w:val="18"/>
        </w:rPr>
        <w:t>.</w:t>
      </w:r>
      <w:r w:rsidRPr="00DA5EB5">
        <w:rPr>
          <w:szCs w:val="18"/>
        </w:rPr>
        <w:t xml:space="preserve"> </w:t>
      </w:r>
    </w:p>
  </w:footnote>
  <w:footnote w:id="216">
    <w:p w14:paraId="324E8974" w14:textId="77777777" w:rsidR="007E0F72" w:rsidRPr="00DA5EB5" w:rsidRDefault="007E0F72" w:rsidP="006C1BF4">
      <w:pPr>
        <w:pStyle w:val="FootnoteText"/>
      </w:pPr>
      <w:r w:rsidRPr="00DA5EB5">
        <w:rPr>
          <w:rStyle w:val="FootnoteReference"/>
          <w:sz w:val="18"/>
          <w:szCs w:val="18"/>
        </w:rPr>
        <w:footnoteRef/>
      </w:r>
      <w:r w:rsidRPr="00DA5EB5">
        <w:rPr>
          <w:szCs w:val="18"/>
        </w:rPr>
        <w:t xml:space="preserve"> </w:t>
      </w:r>
      <w:r w:rsidRPr="00DA5EB5">
        <w:rPr>
          <w:i/>
          <w:szCs w:val="18"/>
        </w:rPr>
        <w:t>SEC v Selden</w:t>
      </w:r>
      <w:r w:rsidRPr="00DA5EB5">
        <w:rPr>
          <w:szCs w:val="18"/>
        </w:rPr>
        <w:t xml:space="preserve">, 632 F </w:t>
      </w:r>
      <w:proofErr w:type="spellStart"/>
      <w:r w:rsidRPr="00DA5EB5">
        <w:rPr>
          <w:szCs w:val="18"/>
        </w:rPr>
        <w:t>Supp</w:t>
      </w:r>
      <w:proofErr w:type="spellEnd"/>
      <w:r w:rsidRPr="00DA5EB5">
        <w:rPr>
          <w:szCs w:val="18"/>
        </w:rPr>
        <w:t xml:space="preserve"> (2d) 91.</w:t>
      </w:r>
    </w:p>
  </w:footnote>
  <w:footnote w:id="217">
    <w:p w14:paraId="21930CB8" w14:textId="77777777" w:rsidR="007E0F72" w:rsidRPr="00DA5EB5" w:rsidRDefault="007E0F72" w:rsidP="009C0018">
      <w:pPr>
        <w:pStyle w:val="FootnoteText"/>
      </w:pPr>
      <w:r w:rsidRPr="00DA5EB5">
        <w:rPr>
          <w:rStyle w:val="FootnoteReference"/>
          <w:sz w:val="18"/>
        </w:rPr>
        <w:footnoteRef/>
      </w:r>
      <w:r w:rsidRPr="00DA5EB5">
        <w:t xml:space="preserve"> </w:t>
      </w:r>
      <w:r w:rsidRPr="00DA5EB5">
        <w:rPr>
          <w:i/>
          <w:szCs w:val="18"/>
        </w:rPr>
        <w:t xml:space="preserve">SEC v </w:t>
      </w:r>
      <w:proofErr w:type="spellStart"/>
      <w:r w:rsidRPr="00DA5EB5">
        <w:rPr>
          <w:i/>
          <w:szCs w:val="18"/>
        </w:rPr>
        <w:t>Dibella</w:t>
      </w:r>
      <w:proofErr w:type="spellEnd"/>
      <w:r w:rsidRPr="00DA5EB5">
        <w:rPr>
          <w:szCs w:val="18"/>
        </w:rPr>
        <w:t>, 2008 US LEXIS 109378 at 40.</w:t>
      </w:r>
    </w:p>
  </w:footnote>
  <w:footnote w:id="218">
    <w:p w14:paraId="7F7EAD5C" w14:textId="77777777" w:rsidR="007E0F72" w:rsidRPr="00DA5EB5" w:rsidRDefault="007E0F72" w:rsidP="00700A63">
      <w:pPr>
        <w:pStyle w:val="FootnoteText"/>
        <w:rPr>
          <w:sz w:val="20"/>
        </w:rPr>
      </w:pPr>
      <w:r w:rsidRPr="00DA5EB5">
        <w:rPr>
          <w:rStyle w:val="FootnoteReference"/>
          <w:sz w:val="18"/>
        </w:rPr>
        <w:footnoteRef/>
      </w:r>
      <w:r w:rsidRPr="00DA5EB5">
        <w:rPr>
          <w:sz w:val="16"/>
        </w:rPr>
        <w:t xml:space="preserve"> </w:t>
      </w:r>
      <w:r w:rsidRPr="00DA5EB5">
        <w:rPr>
          <w:i/>
        </w:rPr>
        <w:t>Company Directors Disqualification Act</w:t>
      </w:r>
      <w:r w:rsidRPr="00DA5EB5">
        <w:t xml:space="preserve"> </w:t>
      </w:r>
      <w:r w:rsidRPr="00DA5EB5">
        <w:rPr>
          <w:i/>
        </w:rPr>
        <w:t>1986</w:t>
      </w:r>
      <w:r w:rsidRPr="00DA5EB5">
        <w:t xml:space="preserve"> (UK), c 46.</w:t>
      </w:r>
    </w:p>
  </w:footnote>
  <w:footnote w:id="219">
    <w:p w14:paraId="05796D5A" w14:textId="77777777" w:rsidR="007E0F72" w:rsidRPr="00DA5EB5" w:rsidRDefault="007E0F72" w:rsidP="009C0018">
      <w:pPr>
        <w:pStyle w:val="FootnoteText"/>
        <w:rPr>
          <w:szCs w:val="18"/>
        </w:rPr>
      </w:pPr>
      <w:r w:rsidRPr="00DA5EB5">
        <w:rPr>
          <w:rStyle w:val="FootnoteReference"/>
          <w:sz w:val="18"/>
          <w:szCs w:val="18"/>
        </w:rPr>
        <w:footnoteRef/>
      </w:r>
      <w:r w:rsidRPr="00DA5EB5">
        <w:rPr>
          <w:szCs w:val="18"/>
        </w:rPr>
        <w:t xml:space="preserve"> </w:t>
      </w:r>
      <w:r w:rsidRPr="00DA5EB5">
        <w:rPr>
          <w:i/>
          <w:szCs w:val="18"/>
        </w:rPr>
        <w:t>R v Hibberd and another</w:t>
      </w:r>
      <w:r w:rsidRPr="00DA5EB5">
        <w:rPr>
          <w:szCs w:val="18"/>
        </w:rPr>
        <w:t xml:space="preserve">, [2009] EWCA </w:t>
      </w:r>
      <w:proofErr w:type="spellStart"/>
      <w:r w:rsidRPr="00DA5EB5">
        <w:rPr>
          <w:szCs w:val="18"/>
        </w:rPr>
        <w:t>Crim</w:t>
      </w:r>
      <w:proofErr w:type="spellEnd"/>
      <w:r w:rsidRPr="00DA5EB5">
        <w:rPr>
          <w:szCs w:val="18"/>
        </w:rPr>
        <w:t xml:space="preserve"> 652.</w:t>
      </w:r>
    </w:p>
  </w:footnote>
  <w:footnote w:id="220">
    <w:p w14:paraId="7E5846A0" w14:textId="2C77FA33"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Ibid </w:t>
      </w:r>
      <w:r w:rsidRPr="00DA5EB5">
        <w:rPr>
          <w:szCs w:val="18"/>
        </w:rPr>
        <w:t>at para 3.</w:t>
      </w:r>
    </w:p>
  </w:footnote>
  <w:footnote w:id="221">
    <w:p w14:paraId="7A34570D"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R v Edwards, </w:t>
      </w:r>
      <w:r w:rsidRPr="00DA5EB5">
        <w:rPr>
          <w:szCs w:val="18"/>
        </w:rPr>
        <w:t xml:space="preserve">[1998] 2 </w:t>
      </w:r>
      <w:proofErr w:type="spellStart"/>
      <w:r w:rsidRPr="00DA5EB5">
        <w:rPr>
          <w:szCs w:val="18"/>
        </w:rPr>
        <w:t>Crim</w:t>
      </w:r>
      <w:proofErr w:type="spellEnd"/>
      <w:r w:rsidRPr="00DA5EB5">
        <w:rPr>
          <w:szCs w:val="18"/>
        </w:rPr>
        <w:t xml:space="preserve"> App R (S) 213 (sentencing reasons of Potter LJ.).</w:t>
      </w:r>
    </w:p>
  </w:footnote>
  <w:footnote w:id="222">
    <w:p w14:paraId="1571782E" w14:textId="77777777" w:rsidR="007E0F72" w:rsidRPr="00DA5EB5" w:rsidRDefault="007E0F72" w:rsidP="009C0018">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R v Millard </w:t>
      </w:r>
      <w:r w:rsidRPr="00DA5EB5">
        <w:rPr>
          <w:szCs w:val="18"/>
        </w:rPr>
        <w:t xml:space="preserve">[1994] 15 </w:t>
      </w:r>
      <w:proofErr w:type="spellStart"/>
      <w:r w:rsidRPr="00DA5EB5">
        <w:rPr>
          <w:szCs w:val="18"/>
        </w:rPr>
        <w:t>Crim</w:t>
      </w:r>
      <w:proofErr w:type="spellEnd"/>
      <w:r w:rsidRPr="00DA5EB5">
        <w:rPr>
          <w:szCs w:val="18"/>
        </w:rPr>
        <w:t xml:space="preserve"> App R 445. </w:t>
      </w:r>
    </w:p>
  </w:footnote>
  <w:footnote w:id="223">
    <w:p w14:paraId="4AB64B03"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R v Cadman</w:t>
      </w:r>
      <w:r w:rsidRPr="00DA5EB5">
        <w:rPr>
          <w:szCs w:val="18"/>
        </w:rPr>
        <w:t xml:space="preserve">, [2012] EWCA </w:t>
      </w:r>
      <w:proofErr w:type="spellStart"/>
      <w:r w:rsidRPr="00DA5EB5">
        <w:rPr>
          <w:szCs w:val="18"/>
        </w:rPr>
        <w:t>Crim</w:t>
      </w:r>
      <w:proofErr w:type="spellEnd"/>
      <w:r w:rsidRPr="00DA5EB5">
        <w:rPr>
          <w:szCs w:val="18"/>
        </w:rPr>
        <w:t xml:space="preserve"> 611.</w:t>
      </w:r>
    </w:p>
  </w:footnote>
  <w:footnote w:id="224">
    <w:p w14:paraId="1304794D" w14:textId="3425FB3C"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British Columbia Business Corporations Act,</w:t>
      </w:r>
      <w:r w:rsidRPr="00DA5EB5">
        <w:rPr>
          <w:szCs w:val="18"/>
        </w:rPr>
        <w:t xml:space="preserve"> SBC 2002, c 57.</w:t>
      </w:r>
    </w:p>
  </w:footnote>
  <w:footnote w:id="225">
    <w:p w14:paraId="2DAE446F" w14:textId="3023F10F"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Canada Business Corporations Act, </w:t>
      </w:r>
      <w:r w:rsidRPr="00DA5EB5">
        <w:rPr>
          <w:szCs w:val="18"/>
        </w:rPr>
        <w:t>1985 RSC 1985, c C-144.</w:t>
      </w:r>
    </w:p>
  </w:footnote>
  <w:footnote w:id="226">
    <w:p w14:paraId="1184186A" w14:textId="2EF36F1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Ontario Business Corporations Act, </w:t>
      </w:r>
      <w:r w:rsidRPr="00DA5EB5">
        <w:rPr>
          <w:szCs w:val="18"/>
        </w:rPr>
        <w:t>RSO 1990, c B.16.</w:t>
      </w:r>
    </w:p>
  </w:footnote>
  <w:footnote w:id="227">
    <w:p w14:paraId="7BDC2F9A" w14:textId="77777777" w:rsidR="007E0F72" w:rsidRPr="00DA5EB5" w:rsidRDefault="007E0F72" w:rsidP="009C0018">
      <w:pPr>
        <w:pStyle w:val="FootnoteText"/>
      </w:pPr>
      <w:r w:rsidRPr="00DA5EB5">
        <w:rPr>
          <w:rStyle w:val="FootnoteReference"/>
          <w:sz w:val="18"/>
          <w:szCs w:val="18"/>
        </w:rPr>
        <w:footnoteRef/>
      </w:r>
      <w:r w:rsidRPr="00DA5EB5">
        <w:rPr>
          <w:szCs w:val="18"/>
        </w:rPr>
        <w:t xml:space="preserve"> </w:t>
      </w:r>
      <w:r w:rsidRPr="00DA5EB5">
        <w:rPr>
          <w:i/>
          <w:szCs w:val="18"/>
        </w:rPr>
        <w:t>Ibid.</w:t>
      </w:r>
    </w:p>
  </w:footnote>
  <w:footnote w:id="228">
    <w:p w14:paraId="62524082" w14:textId="1A36F424"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proofErr w:type="spellStart"/>
      <w:r w:rsidRPr="00DA5EB5">
        <w:rPr>
          <w:rFonts w:eastAsia="Cambria"/>
          <w:szCs w:val="18"/>
        </w:rPr>
        <w:t>Tarun</w:t>
      </w:r>
      <w:proofErr w:type="spellEnd"/>
      <w:r w:rsidRPr="00DA5EB5">
        <w:rPr>
          <w:rFonts w:eastAsia="Cambria"/>
          <w:szCs w:val="18"/>
        </w:rPr>
        <w:t xml:space="preserve"> (2013) </w:t>
      </w:r>
      <w:r w:rsidRPr="00DA5EB5">
        <w:rPr>
          <w:szCs w:val="18"/>
        </w:rPr>
        <w:t>at 288-89.</w:t>
      </w:r>
    </w:p>
  </w:footnote>
  <w:footnote w:id="229">
    <w:p w14:paraId="0881AC26" w14:textId="78322CD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“Selection and Use of Monitors in Deferred Prosecution Agreements with Corporations” (7 March 2008), online: &lt;</w:t>
      </w:r>
      <w:hyperlink r:id="rId75" w:history="1">
        <w:r w:rsidRPr="00DA5EB5">
          <w:rPr>
            <w:rStyle w:val="Hyperlink"/>
            <w:szCs w:val="18"/>
          </w:rPr>
          <w:t>https://www.justice.gov/sites/default/files/dag/legacy/2008/04/15/dag-030708.pdf</w:t>
        </w:r>
      </w:hyperlink>
      <w:r w:rsidRPr="00DA5EB5">
        <w:rPr>
          <w:szCs w:val="18"/>
        </w:rPr>
        <w:t xml:space="preserve">&gt;. The memo is reproduced in </w:t>
      </w:r>
      <w:proofErr w:type="spellStart"/>
      <w:r w:rsidRPr="00DA5EB5">
        <w:rPr>
          <w:szCs w:val="18"/>
        </w:rPr>
        <w:t>Tarun</w:t>
      </w:r>
      <w:proofErr w:type="spellEnd"/>
      <w:r w:rsidRPr="00DA5EB5">
        <w:rPr>
          <w:szCs w:val="18"/>
        </w:rPr>
        <w:t xml:space="preserve">, </w:t>
      </w:r>
      <w:r w:rsidRPr="00DA5EB5">
        <w:rPr>
          <w:i/>
          <w:szCs w:val="18"/>
        </w:rPr>
        <w:t>ibid</w:t>
      </w:r>
      <w:r w:rsidRPr="00DA5EB5">
        <w:rPr>
          <w:szCs w:val="18"/>
        </w:rPr>
        <w:t>, as Appendix 9.</w:t>
      </w:r>
    </w:p>
  </w:footnote>
  <w:footnote w:id="230">
    <w:p w14:paraId="71B5D703"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proofErr w:type="spellStart"/>
      <w:r w:rsidRPr="00DA5EB5">
        <w:rPr>
          <w:szCs w:val="18"/>
        </w:rPr>
        <w:t>Tarun</w:t>
      </w:r>
      <w:proofErr w:type="spellEnd"/>
      <w:r w:rsidRPr="00DA5EB5">
        <w:rPr>
          <w:szCs w:val="18"/>
        </w:rPr>
        <w:t xml:space="preserve">, </w:t>
      </w:r>
      <w:r w:rsidRPr="00DA5EB5">
        <w:rPr>
          <w:i/>
          <w:szCs w:val="18"/>
        </w:rPr>
        <w:t>ibid</w:t>
      </w:r>
      <w:r w:rsidRPr="00DA5EB5">
        <w:rPr>
          <w:szCs w:val="18"/>
        </w:rPr>
        <w:t xml:space="preserve"> at 288.</w:t>
      </w:r>
    </w:p>
  </w:footnote>
  <w:footnote w:id="231">
    <w:p w14:paraId="68068A8B" w14:textId="169D99E3"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rFonts w:eastAsia="Calibri"/>
          <w:szCs w:val="18"/>
        </w:rPr>
        <w:t>Nicholls et al (2011)</w:t>
      </w:r>
      <w:r w:rsidRPr="00DA5EB5">
        <w:rPr>
          <w:szCs w:val="18"/>
        </w:rPr>
        <w:t xml:space="preserve"> at 212-14. </w:t>
      </w:r>
    </w:p>
  </w:footnote>
  <w:footnote w:id="232">
    <w:p w14:paraId="5DFDEB75" w14:textId="72509DB8"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212-13. The SCPO is authorized by the </w:t>
      </w:r>
      <w:r w:rsidRPr="00DA5EB5">
        <w:rPr>
          <w:i/>
          <w:szCs w:val="18"/>
        </w:rPr>
        <w:t xml:space="preserve">Serious Crime Act 2007 </w:t>
      </w:r>
      <w:r w:rsidRPr="00DA5EB5">
        <w:rPr>
          <w:szCs w:val="18"/>
        </w:rPr>
        <w:t xml:space="preserve">(UK), c 27, </w:t>
      </w:r>
      <w:proofErr w:type="spellStart"/>
      <w:r w:rsidRPr="00DA5EB5">
        <w:rPr>
          <w:szCs w:val="18"/>
        </w:rPr>
        <w:t>ss</w:t>
      </w:r>
      <w:proofErr w:type="spellEnd"/>
      <w:r w:rsidRPr="00DA5EB5">
        <w:rPr>
          <w:szCs w:val="18"/>
        </w:rPr>
        <w:t xml:space="preserve"> 1-41 and Schedules 1 and 2.</w:t>
      </w:r>
    </w:p>
  </w:footnote>
  <w:footnote w:id="233">
    <w:p w14:paraId="713ED618" w14:textId="726A8839"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Serious Organized Crime and Police Act </w:t>
      </w:r>
      <w:r w:rsidRPr="00DA5EB5">
        <w:rPr>
          <w:szCs w:val="18"/>
        </w:rPr>
        <w:t>(</w:t>
      </w:r>
      <w:r w:rsidRPr="00DA5EB5">
        <w:rPr>
          <w:i/>
          <w:szCs w:val="18"/>
        </w:rPr>
        <w:t>SOCPA</w:t>
      </w:r>
      <w:r w:rsidRPr="00DA5EB5">
        <w:rPr>
          <w:szCs w:val="18"/>
        </w:rPr>
        <w:t xml:space="preserve">) </w:t>
      </w:r>
      <w:r w:rsidRPr="00DA5EB5">
        <w:rPr>
          <w:i/>
          <w:szCs w:val="18"/>
        </w:rPr>
        <w:t xml:space="preserve">2005 </w:t>
      </w:r>
      <w:r w:rsidRPr="00DA5EB5">
        <w:rPr>
          <w:szCs w:val="18"/>
        </w:rPr>
        <w:t xml:space="preserve">(UK), c 15, s 76 as amended by the </w:t>
      </w:r>
      <w:r w:rsidRPr="00DA5EB5">
        <w:rPr>
          <w:i/>
          <w:szCs w:val="18"/>
        </w:rPr>
        <w:t xml:space="preserve">Bribery Act 2010 </w:t>
      </w:r>
      <w:r w:rsidRPr="00DA5EB5">
        <w:rPr>
          <w:szCs w:val="18"/>
        </w:rPr>
        <w:t>(UK), c 23, Schedule 1, s 9.</w:t>
      </w:r>
    </w:p>
  </w:footnote>
  <w:footnote w:id="234">
    <w:p w14:paraId="12A85AD2" w14:textId="2CE2A7AC"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rFonts w:eastAsia="Calibri"/>
          <w:szCs w:val="18"/>
        </w:rPr>
        <w:t>Nicholls et al (2011)</w:t>
      </w:r>
      <w:r w:rsidRPr="00DA5EB5">
        <w:rPr>
          <w:szCs w:val="18"/>
        </w:rPr>
        <w:t xml:space="preserve"> at 213.</w:t>
      </w:r>
    </w:p>
  </w:footnote>
  <w:footnote w:id="235">
    <w:p w14:paraId="5FB0E6C1" w14:textId="32EC8ECB"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213-14.</w:t>
      </w:r>
    </w:p>
  </w:footnote>
  <w:footnote w:id="236">
    <w:p w14:paraId="52D7CF73" w14:textId="77777777" w:rsidR="007E0F72" w:rsidRPr="00DA5EB5" w:rsidRDefault="007E0F72" w:rsidP="004D4669">
      <w:pPr>
        <w:pStyle w:val="FootnoteText"/>
        <w:rPr>
          <w:szCs w:val="18"/>
        </w:rPr>
      </w:pPr>
      <w:r w:rsidRPr="00DA5EB5">
        <w:rPr>
          <w:rStyle w:val="FootnoteReference"/>
          <w:sz w:val="18"/>
          <w:szCs w:val="18"/>
        </w:rPr>
        <w:footnoteRef/>
      </w:r>
      <w:r w:rsidRPr="00DA5EB5">
        <w:rPr>
          <w:szCs w:val="18"/>
        </w:rPr>
        <w:t xml:space="preserve"> SFO Guidelines (2009) cited by Nicholls et al,</w:t>
      </w:r>
      <w:r w:rsidRPr="00DA5EB5">
        <w:rPr>
          <w:i/>
          <w:szCs w:val="18"/>
        </w:rPr>
        <w:t xml:space="preserve"> ibid</w:t>
      </w:r>
      <w:r w:rsidRPr="00DA5EB5">
        <w:rPr>
          <w:szCs w:val="18"/>
        </w:rPr>
        <w:t xml:space="preserve"> at 213-14.</w:t>
      </w:r>
    </w:p>
  </w:footnote>
  <w:footnote w:id="237">
    <w:p w14:paraId="4E0EDDC2"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214.</w:t>
      </w:r>
    </w:p>
  </w:footnote>
  <w:footnote w:id="238">
    <w:p w14:paraId="7ED82BFD" w14:textId="1D369ECF"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See </w:t>
      </w:r>
      <w:r w:rsidRPr="00DA5EB5">
        <w:rPr>
          <w:i/>
          <w:szCs w:val="18"/>
        </w:rPr>
        <w:t>ibid</w:t>
      </w:r>
      <w:r w:rsidRPr="00DA5EB5">
        <w:rPr>
          <w:szCs w:val="18"/>
        </w:rPr>
        <w:t xml:space="preserve"> at 218-21 for a description of these cases.</w:t>
      </w:r>
    </w:p>
  </w:footnote>
  <w:footnote w:id="239">
    <w:p w14:paraId="06DD5067" w14:textId="77777777" w:rsidR="007E0F72" w:rsidRPr="00DA5EB5" w:rsidRDefault="007E0F72" w:rsidP="003A327B">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Canada Business Corporations Act, </w:t>
      </w:r>
      <w:r w:rsidRPr="00DA5EB5">
        <w:rPr>
          <w:szCs w:val="18"/>
        </w:rPr>
        <w:t xml:space="preserve">RSC 1985, c C-44. </w:t>
      </w:r>
    </w:p>
  </w:footnote>
  <w:footnote w:id="240">
    <w:p w14:paraId="461C903B" w14:textId="5CBF5FCB"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i/>
          <w:szCs w:val="18"/>
        </w:rPr>
        <w:t>Ontario Securities Act,</w:t>
      </w:r>
      <w:r w:rsidRPr="00DA5EB5">
        <w:rPr>
          <w:szCs w:val="18"/>
        </w:rPr>
        <w:t xml:space="preserve"> RSO 1990, c S.5.</w:t>
      </w:r>
    </w:p>
  </w:footnote>
  <w:footnote w:id="241">
    <w:p w14:paraId="65F724EF"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Criminal Code</w:t>
      </w:r>
      <w:r w:rsidRPr="00DA5EB5">
        <w:rPr>
          <w:szCs w:val="18"/>
        </w:rPr>
        <w:t>, RSC 1985, c C-46, s 732.1 (3.1).</w:t>
      </w:r>
    </w:p>
  </w:footnote>
  <w:footnote w:id="242">
    <w:p w14:paraId="6332F268" w14:textId="0805769A"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Nigel </w:t>
      </w:r>
      <w:proofErr w:type="spellStart"/>
      <w:r w:rsidRPr="00DA5EB5">
        <w:rPr>
          <w:szCs w:val="18"/>
        </w:rPr>
        <w:t>Blackaby</w:t>
      </w:r>
      <w:proofErr w:type="spellEnd"/>
      <w:r w:rsidRPr="00DA5EB5">
        <w:rPr>
          <w:szCs w:val="18"/>
        </w:rPr>
        <w:t xml:space="preserve"> et al, </w:t>
      </w:r>
      <w:r w:rsidRPr="00DA5EB5">
        <w:rPr>
          <w:i/>
          <w:iCs/>
          <w:szCs w:val="18"/>
        </w:rPr>
        <w:t>Redfern and Hunter on International Arbitration</w:t>
      </w:r>
      <w:r w:rsidRPr="00DA5EB5">
        <w:rPr>
          <w:szCs w:val="18"/>
        </w:rPr>
        <w:t xml:space="preserve">, 6th </w:t>
      </w:r>
      <w:proofErr w:type="spellStart"/>
      <w:proofErr w:type="gramStart"/>
      <w:r w:rsidRPr="00DA5EB5">
        <w:rPr>
          <w:szCs w:val="18"/>
        </w:rPr>
        <w:t>ed</w:t>
      </w:r>
      <w:proofErr w:type="spellEnd"/>
      <w:proofErr w:type="gramEnd"/>
      <w:r w:rsidRPr="00DA5EB5">
        <w:rPr>
          <w:szCs w:val="18"/>
        </w:rPr>
        <w:t xml:space="preserve"> (Oxford University Press, 2015), paras 1.04-1.05.</w:t>
      </w:r>
    </w:p>
  </w:footnote>
  <w:footnote w:id="243">
    <w:p w14:paraId="175E9E8F" w14:textId="77777777" w:rsidR="007E0F72" w:rsidRPr="00DA5EB5" w:rsidRDefault="007E0F72" w:rsidP="000D4120">
      <w:pPr>
        <w:pStyle w:val="FootnoteText"/>
      </w:pPr>
      <w:r w:rsidRPr="00DA5EB5">
        <w:rPr>
          <w:rStyle w:val="FootnoteReference"/>
          <w:sz w:val="18"/>
          <w:szCs w:val="18"/>
        </w:rPr>
        <w:footnoteRef/>
      </w:r>
      <w:r w:rsidRPr="00DA5EB5">
        <w:t xml:space="preserve"> Gary Born, </w:t>
      </w:r>
      <w:r w:rsidRPr="00DA5EB5">
        <w:rPr>
          <w:i/>
          <w:iCs/>
        </w:rPr>
        <w:t>International Commercial Arbitration</w:t>
      </w:r>
      <w:r w:rsidRPr="00DA5EB5">
        <w:t xml:space="preserve">, 2nd </w:t>
      </w:r>
      <w:proofErr w:type="spellStart"/>
      <w:proofErr w:type="gramStart"/>
      <w:r w:rsidRPr="00DA5EB5">
        <w:t>ed</w:t>
      </w:r>
      <w:proofErr w:type="spellEnd"/>
      <w:proofErr w:type="gramEnd"/>
      <w:r w:rsidRPr="00DA5EB5">
        <w:t xml:space="preserve"> (Kluwer Law International, 2014) at 6-70.</w:t>
      </w:r>
    </w:p>
  </w:footnote>
  <w:footnote w:id="244">
    <w:p w14:paraId="3B1B74BE" w14:textId="7200D230" w:rsidR="007E0F72" w:rsidRPr="00DA5EB5" w:rsidRDefault="007E0F72" w:rsidP="00BF52C3">
      <w:pPr>
        <w:pStyle w:val="FootnoteText"/>
      </w:pPr>
      <w:r w:rsidRPr="00DA5EB5">
        <w:rPr>
          <w:rStyle w:val="FootnoteReference"/>
          <w:sz w:val="18"/>
          <w:szCs w:val="18"/>
        </w:rPr>
        <w:footnoteRef/>
      </w:r>
      <w:r w:rsidRPr="00DA5EB5">
        <w:t xml:space="preserve"> International Chamber of Commerce (ICC), “Statistics”, online: &lt;</w:t>
      </w:r>
      <w:hyperlink r:id="rId76" w:history="1">
        <w:r w:rsidRPr="00DA5EB5">
          <w:rPr>
            <w:rStyle w:val="Hyperlink"/>
            <w:szCs w:val="18"/>
          </w:rPr>
          <w:t>http://www.iccwbo.org/Products-and-Services/Arbitration-and-ADR/Arbitration/Introduction-to-ICC-Arbitration/Statistics/</w:t>
        </w:r>
      </w:hyperlink>
      <w:r w:rsidRPr="00DA5EB5">
        <w:t>&gt;.</w:t>
      </w:r>
    </w:p>
  </w:footnote>
  <w:footnote w:id="245">
    <w:p w14:paraId="275A80E8" w14:textId="15BF761E" w:rsidR="007E0F72" w:rsidRPr="00DA5EB5" w:rsidRDefault="007E0F72" w:rsidP="00BF52C3">
      <w:pPr>
        <w:pStyle w:val="FootnoteText"/>
        <w:keepLines w:val="0"/>
      </w:pPr>
      <w:r w:rsidRPr="00DA5EB5">
        <w:rPr>
          <w:rStyle w:val="FootnoteReference"/>
          <w:sz w:val="18"/>
          <w:szCs w:val="18"/>
        </w:rPr>
        <w:footnoteRef/>
      </w:r>
      <w:r w:rsidRPr="00DA5EB5">
        <w:t xml:space="preserve"> For the most recent commentary on global corruption and international arbitration, see </w:t>
      </w:r>
      <w:proofErr w:type="spellStart"/>
      <w:r w:rsidRPr="00DA5EB5">
        <w:t>Domitille</w:t>
      </w:r>
      <w:proofErr w:type="spellEnd"/>
      <w:r w:rsidRPr="00DA5EB5">
        <w:t xml:space="preserve"> </w:t>
      </w:r>
      <w:proofErr w:type="spellStart"/>
      <w:r w:rsidRPr="00DA5EB5">
        <w:t>Baizeau</w:t>
      </w:r>
      <w:proofErr w:type="spellEnd"/>
      <w:r w:rsidRPr="00DA5EB5">
        <w:t xml:space="preserve"> &amp; Richard </w:t>
      </w:r>
      <w:proofErr w:type="spellStart"/>
      <w:r w:rsidRPr="00DA5EB5">
        <w:t>Kreindler</w:t>
      </w:r>
      <w:proofErr w:type="spellEnd"/>
      <w:r w:rsidRPr="00DA5EB5">
        <w:t xml:space="preserve">, </w:t>
      </w:r>
      <w:proofErr w:type="spellStart"/>
      <w:r w:rsidRPr="00DA5EB5">
        <w:t>eds</w:t>
      </w:r>
      <w:proofErr w:type="spellEnd"/>
      <w:r w:rsidRPr="00DA5EB5">
        <w:t xml:space="preserve">, </w:t>
      </w:r>
      <w:r w:rsidRPr="00DA5EB5">
        <w:rPr>
          <w:i/>
        </w:rPr>
        <w:t>Addressing Issues of Corruption in Commercial and Investment Arbitration</w:t>
      </w:r>
      <w:r w:rsidRPr="00DA5EB5">
        <w:t xml:space="preserve"> (Kluwer Law International, 2015); </w:t>
      </w:r>
      <w:proofErr w:type="spellStart"/>
      <w:r w:rsidRPr="00DA5EB5">
        <w:t>Utku</w:t>
      </w:r>
      <w:proofErr w:type="spellEnd"/>
      <w:r w:rsidRPr="00DA5EB5">
        <w:t xml:space="preserve"> </w:t>
      </w:r>
      <w:proofErr w:type="spellStart"/>
      <w:r w:rsidRPr="00DA5EB5">
        <w:t>Cosar</w:t>
      </w:r>
      <w:proofErr w:type="spellEnd"/>
      <w:r w:rsidRPr="00DA5EB5">
        <w:t xml:space="preserve">, “Claims of Corruption in Investment Treaty Arbitration: Proof, Legal Consequences and Sanctions” in Albert Jan van den Berg, </w:t>
      </w:r>
      <w:proofErr w:type="spellStart"/>
      <w:r w:rsidRPr="00DA5EB5">
        <w:t>ed</w:t>
      </w:r>
      <w:proofErr w:type="spellEnd"/>
      <w:r w:rsidRPr="00DA5EB5">
        <w:t xml:space="preserve">, </w:t>
      </w:r>
      <w:r w:rsidRPr="00DA5EB5">
        <w:rPr>
          <w:i/>
        </w:rPr>
        <w:t>Legitimacy: Myths, Realities, Challenges</w:t>
      </w:r>
      <w:r w:rsidRPr="00DA5EB5">
        <w:t xml:space="preserve">, 18 ICCA Congress Series (Kluwer Law International, 2015) at 531; Zachary Douglas, “The Plea of Illegality in Investment Treaty Arbitration” (2014) 29:1 ICSID Rev 155; Yves Fortier, “Arbitrators, Corruption, and the Poetic Experience: ‘When Power Corrupts, Poetry Cleanses’” (2015) 31:3 Arb Intl 367; Jarrod Hepburn, “In Accordance with </w:t>
      </w:r>
      <w:r w:rsidRPr="00DA5EB5">
        <w:rPr>
          <w:i/>
        </w:rPr>
        <w:t>Which</w:t>
      </w:r>
      <w:r w:rsidRPr="00DA5EB5">
        <w:t xml:space="preserve"> Host State Laws? Restoring the ‘Defence’ of Investor Illegality in Investment Arbitration” (2014) 5:3 J Intl </w:t>
      </w:r>
      <w:proofErr w:type="spellStart"/>
      <w:r w:rsidRPr="00DA5EB5">
        <w:t>Disp</w:t>
      </w:r>
      <w:proofErr w:type="spellEnd"/>
      <w:r w:rsidRPr="00DA5EB5">
        <w:t xml:space="preserve"> Settlement 531; Bruce </w:t>
      </w:r>
      <w:proofErr w:type="spellStart"/>
      <w:r w:rsidRPr="00DA5EB5">
        <w:t>Klaw</w:t>
      </w:r>
      <w:proofErr w:type="spellEnd"/>
      <w:r w:rsidRPr="00DA5EB5">
        <w:t xml:space="preserve">, “State Responsibility for Bribe Solicitation and Extortion: Obligations, Obstacles, and Opportunities” (2015) 33:1 BJIL 60; Carolyn </w:t>
      </w:r>
      <w:proofErr w:type="spellStart"/>
      <w:r w:rsidRPr="00DA5EB5">
        <w:t>Lamm</w:t>
      </w:r>
      <w:proofErr w:type="spellEnd"/>
      <w:r w:rsidRPr="00DA5EB5">
        <w:t xml:space="preserve">, Brody Greenwald &amp; Kristen Young, “From </w:t>
      </w:r>
      <w:r w:rsidRPr="00DA5EB5">
        <w:rPr>
          <w:i/>
        </w:rPr>
        <w:t>World Duty Free</w:t>
      </w:r>
      <w:r w:rsidRPr="00DA5EB5">
        <w:t xml:space="preserve"> to </w:t>
      </w:r>
      <w:r w:rsidRPr="00DA5EB5">
        <w:rPr>
          <w:i/>
        </w:rPr>
        <w:t>Metal-Tech</w:t>
      </w:r>
      <w:r w:rsidRPr="00DA5EB5">
        <w:t xml:space="preserve">: A Review of International Investment Treaty Arbitration Cases Involving Allegations of Corruption” (2014) 29:2 ICSID Rev 328; Carolyn </w:t>
      </w:r>
      <w:proofErr w:type="spellStart"/>
      <w:r w:rsidRPr="00DA5EB5">
        <w:t>Lamm</w:t>
      </w:r>
      <w:proofErr w:type="spellEnd"/>
      <w:r w:rsidRPr="00DA5EB5">
        <w:t xml:space="preserve"> &amp; Andrea </w:t>
      </w:r>
      <w:proofErr w:type="spellStart"/>
      <w:r w:rsidRPr="00DA5EB5">
        <w:t>Menaker</w:t>
      </w:r>
      <w:proofErr w:type="spellEnd"/>
      <w:r w:rsidRPr="00DA5EB5">
        <w:t xml:space="preserve">, “The Consequences of Corruption in Investor-State Arbitration” in Meg Kinnear et al, </w:t>
      </w:r>
      <w:r w:rsidRPr="00DA5EB5">
        <w:rPr>
          <w:i/>
        </w:rPr>
        <w:t>Building International Investment Law: The First 50 Years of ICSID</w:t>
      </w:r>
      <w:r w:rsidRPr="00DA5EB5">
        <w:t xml:space="preserve"> (Kluwer Law International, 2015) at 433-46; Aloysius </w:t>
      </w:r>
      <w:proofErr w:type="spellStart"/>
      <w:r w:rsidRPr="00DA5EB5">
        <w:t>Llamzon</w:t>
      </w:r>
      <w:proofErr w:type="spellEnd"/>
      <w:r w:rsidRPr="00DA5EB5">
        <w:t xml:space="preserve">, </w:t>
      </w:r>
      <w:r w:rsidRPr="00DA5EB5">
        <w:rPr>
          <w:i/>
        </w:rPr>
        <w:t>Corruption in International Investment Arbitration</w:t>
      </w:r>
      <w:r w:rsidRPr="00DA5EB5">
        <w:t xml:space="preserve"> (Oxford University Press, 2014); Aloysius </w:t>
      </w:r>
      <w:proofErr w:type="spellStart"/>
      <w:r w:rsidRPr="00DA5EB5">
        <w:t>Llamzon</w:t>
      </w:r>
      <w:proofErr w:type="spellEnd"/>
      <w:r w:rsidRPr="00DA5EB5">
        <w:t xml:space="preserve"> &amp; Anthony Sinclair, “Investor Wrongdoing in Investment Arbitration: Standards Governing Issues of Corruption, Fraud, Misrepresentation and Other Investor Misconduct” in Albert Jan van den Berg, </w:t>
      </w:r>
      <w:proofErr w:type="spellStart"/>
      <w:r w:rsidRPr="00DA5EB5">
        <w:t>ed</w:t>
      </w:r>
      <w:proofErr w:type="spellEnd"/>
      <w:r w:rsidRPr="00DA5EB5">
        <w:t xml:space="preserve">, </w:t>
      </w:r>
      <w:r w:rsidRPr="00DA5EB5">
        <w:rPr>
          <w:i/>
        </w:rPr>
        <w:t>Legitimacy: Myths, Realities, Challenges</w:t>
      </w:r>
      <w:r w:rsidRPr="00DA5EB5">
        <w:t xml:space="preserve">, 18 ICCA Congress Series (Kluwer Law International, 2015) at 451-530; Michael </w:t>
      </w:r>
      <w:proofErr w:type="spellStart"/>
      <w:r w:rsidRPr="00DA5EB5">
        <w:t>Losco</w:t>
      </w:r>
      <w:proofErr w:type="spellEnd"/>
      <w:r w:rsidRPr="00DA5EB5">
        <w:t xml:space="preserve">, “Charting a New Course: </w:t>
      </w:r>
      <w:r w:rsidRPr="00DA5EB5">
        <w:rPr>
          <w:i/>
        </w:rPr>
        <w:t>Metal-Tech v. Uzbekistan</w:t>
      </w:r>
      <w:r w:rsidRPr="00DA5EB5">
        <w:t xml:space="preserve"> and the Treatment of Corruption in Investment Arbitration” (2014) 64 Duke LJ 37; Michael </w:t>
      </w:r>
      <w:proofErr w:type="spellStart"/>
      <w:r w:rsidRPr="00DA5EB5">
        <w:t>Losco</w:t>
      </w:r>
      <w:proofErr w:type="spellEnd"/>
      <w:r w:rsidRPr="00DA5EB5">
        <w:t xml:space="preserve">, “Streamlining the Corruption Defense: A Proposed Framework for FCPA-ICSID Interaction” (2014) 63 Duke LJ 1201; Michael </w:t>
      </w:r>
      <w:proofErr w:type="spellStart"/>
      <w:r w:rsidRPr="00DA5EB5">
        <w:t>Nueber</w:t>
      </w:r>
      <w:proofErr w:type="spellEnd"/>
      <w:r w:rsidRPr="00DA5EB5">
        <w:t xml:space="preserve">, “Corruption in International Commercial Arbitration – Selected Issues” in Christian </w:t>
      </w:r>
      <w:proofErr w:type="spellStart"/>
      <w:r w:rsidRPr="00DA5EB5">
        <w:t>Klausegger</w:t>
      </w:r>
      <w:proofErr w:type="spellEnd"/>
      <w:r w:rsidRPr="00DA5EB5">
        <w:t xml:space="preserve"> et al, </w:t>
      </w:r>
      <w:proofErr w:type="spellStart"/>
      <w:r w:rsidRPr="00DA5EB5">
        <w:t>eds</w:t>
      </w:r>
      <w:proofErr w:type="spellEnd"/>
      <w:r w:rsidRPr="00DA5EB5">
        <w:t xml:space="preserve">, </w:t>
      </w:r>
      <w:r w:rsidRPr="00DA5EB5">
        <w:rPr>
          <w:i/>
        </w:rPr>
        <w:t>Austrian Yearbook on International Arbitration</w:t>
      </w:r>
      <w:r w:rsidRPr="00DA5EB5">
        <w:t xml:space="preserve"> (</w:t>
      </w:r>
      <w:proofErr w:type="spellStart"/>
      <w:r w:rsidRPr="00DA5EB5">
        <w:t>Manz</w:t>
      </w:r>
      <w:proofErr w:type="spellEnd"/>
      <w:r w:rsidRPr="00DA5EB5">
        <w:t xml:space="preserve">, 2015) at 3-13; Cecily Rose, “Circumstantial Evidence, Adverse Influences, and Findings of Corruption: </w:t>
      </w:r>
      <w:r w:rsidRPr="00DA5EB5">
        <w:rPr>
          <w:i/>
        </w:rPr>
        <w:t>Metal-Tech Ltd. v. The Republic of Uzbekistan</w:t>
      </w:r>
      <w:r w:rsidRPr="00DA5EB5">
        <w:t xml:space="preserve">” (2014) 15:3-4 J World Investment &amp; Trade 747; Cecily Rose, “Questioning the Role of International Arbitration in the Fight against Corruption” (2014) 31:2 J Intl Arb 183; Dai </w:t>
      </w:r>
      <w:proofErr w:type="spellStart"/>
      <w:r w:rsidRPr="00DA5EB5">
        <w:t>Tamada</w:t>
      </w:r>
      <w:proofErr w:type="spellEnd"/>
      <w:r w:rsidRPr="00DA5EB5">
        <w:t xml:space="preserve">, “Host States as Claimants: Corruption Allegations” in </w:t>
      </w:r>
      <w:proofErr w:type="spellStart"/>
      <w:r w:rsidRPr="00DA5EB5">
        <w:t>Shaheeza</w:t>
      </w:r>
      <w:proofErr w:type="spellEnd"/>
      <w:r w:rsidRPr="00DA5EB5">
        <w:t xml:space="preserve"> </w:t>
      </w:r>
      <w:proofErr w:type="spellStart"/>
      <w:r w:rsidRPr="00DA5EB5">
        <w:t>Lalani</w:t>
      </w:r>
      <w:proofErr w:type="spellEnd"/>
      <w:r w:rsidRPr="00DA5EB5">
        <w:t xml:space="preserve"> &amp; Rodrigo Polanco, </w:t>
      </w:r>
      <w:proofErr w:type="spellStart"/>
      <w:r w:rsidRPr="00DA5EB5">
        <w:t>eds</w:t>
      </w:r>
      <w:proofErr w:type="spellEnd"/>
      <w:r w:rsidRPr="00DA5EB5">
        <w:t xml:space="preserve">, </w:t>
      </w:r>
      <w:r w:rsidRPr="00DA5EB5">
        <w:rPr>
          <w:i/>
        </w:rPr>
        <w:t>The Role of the State in Investor-State Arbitration</w:t>
      </w:r>
      <w:r w:rsidRPr="00DA5EB5">
        <w:t xml:space="preserve"> (Brill, 2015) at 103-22; Joe Tirado, Matthew Page &amp; Daniel Meagher, “Corruption Investigations by Governmental Authorities and Investment Arbitration: An Uneasy Relationship” (2014) 29:2 ICSID Rev 493; Sergey </w:t>
      </w:r>
      <w:proofErr w:type="spellStart"/>
      <w:r w:rsidRPr="00DA5EB5">
        <w:t>Usoskin</w:t>
      </w:r>
      <w:proofErr w:type="spellEnd"/>
      <w:r w:rsidRPr="00DA5EB5">
        <w:t xml:space="preserve">, “Illegal Investments and Actions Attributable to a State under International Law” in </w:t>
      </w:r>
      <w:proofErr w:type="spellStart"/>
      <w:r w:rsidRPr="00DA5EB5">
        <w:t>Shaheeza</w:t>
      </w:r>
      <w:proofErr w:type="spellEnd"/>
      <w:r w:rsidRPr="00DA5EB5">
        <w:t xml:space="preserve"> </w:t>
      </w:r>
      <w:proofErr w:type="spellStart"/>
      <w:r w:rsidRPr="00DA5EB5">
        <w:t>Lalani</w:t>
      </w:r>
      <w:proofErr w:type="spellEnd"/>
      <w:r w:rsidRPr="00DA5EB5">
        <w:t xml:space="preserve"> &amp; Rodrigo Polanco, </w:t>
      </w:r>
      <w:proofErr w:type="spellStart"/>
      <w:r w:rsidRPr="00DA5EB5">
        <w:t>eds</w:t>
      </w:r>
      <w:proofErr w:type="spellEnd"/>
      <w:r w:rsidRPr="00DA5EB5">
        <w:t xml:space="preserve">, </w:t>
      </w:r>
      <w:r w:rsidRPr="00DA5EB5">
        <w:rPr>
          <w:i/>
        </w:rPr>
        <w:t>The Role of the State in Investor-State Arbitration</w:t>
      </w:r>
      <w:r w:rsidRPr="00DA5EB5">
        <w:t xml:space="preserve"> (Brill, 2015) at 334-49.</w:t>
      </w:r>
    </w:p>
  </w:footnote>
  <w:footnote w:id="246">
    <w:p w14:paraId="01A8D857" w14:textId="192938F0"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Born </w:t>
      </w:r>
      <w:r w:rsidRPr="00DA5EB5">
        <w:rPr>
          <w:iCs/>
          <w:szCs w:val="18"/>
        </w:rPr>
        <w:t>(</w:t>
      </w:r>
      <w:r w:rsidRPr="00DA5EB5">
        <w:rPr>
          <w:szCs w:val="18"/>
        </w:rPr>
        <w:t>2014) at 168–71.</w:t>
      </w:r>
    </w:p>
  </w:footnote>
  <w:footnote w:id="247">
    <w:p w14:paraId="568D1FDB" w14:textId="77777777" w:rsidR="007E0F72" w:rsidRPr="00DA5EB5" w:rsidRDefault="007E0F72" w:rsidP="000D4120">
      <w:pPr>
        <w:pStyle w:val="FootnoteText"/>
        <w:rPr>
          <w:szCs w:val="18"/>
        </w:rPr>
      </w:pPr>
      <w:r w:rsidRPr="00DA5EB5">
        <w:rPr>
          <w:rStyle w:val="FootnoteReference"/>
          <w:sz w:val="18"/>
          <w:szCs w:val="18"/>
        </w:rPr>
        <w:footnoteRef/>
      </w:r>
      <w:r w:rsidRPr="00DA5EB5">
        <w:rPr>
          <w:szCs w:val="18"/>
        </w:rPr>
        <w:t xml:space="preserve"> UNCITRAL Arbitration Rules, available online at &lt;</w:t>
      </w:r>
      <w:hyperlink r:id="rId77" w:history="1">
        <w:r w:rsidRPr="00DA5EB5">
          <w:rPr>
            <w:rStyle w:val="Hyperlink"/>
            <w:szCs w:val="18"/>
          </w:rPr>
          <w:t>http://www.uncitral.org/uncitral/en/uncitral_texts/arbitration/2010Arbitration_rules.html</w:t>
        </w:r>
      </w:hyperlink>
      <w:r w:rsidRPr="00DA5EB5">
        <w:rPr>
          <w:szCs w:val="18"/>
        </w:rPr>
        <w:t>&gt;.</w:t>
      </w:r>
    </w:p>
  </w:footnote>
  <w:footnote w:id="248">
    <w:p w14:paraId="0759F82A"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Bryan A Garner, </w:t>
      </w:r>
      <w:proofErr w:type="spellStart"/>
      <w:proofErr w:type="gramStart"/>
      <w:r w:rsidRPr="00DA5EB5">
        <w:rPr>
          <w:szCs w:val="18"/>
        </w:rPr>
        <w:t>ed</w:t>
      </w:r>
      <w:proofErr w:type="spellEnd"/>
      <w:proofErr w:type="gramEnd"/>
      <w:r w:rsidRPr="00DA5EB5">
        <w:rPr>
          <w:szCs w:val="18"/>
        </w:rPr>
        <w:t xml:space="preserve">, </w:t>
      </w:r>
      <w:r w:rsidRPr="00DA5EB5">
        <w:rPr>
          <w:i/>
          <w:szCs w:val="18"/>
        </w:rPr>
        <w:t>Black’s Law Dictionary</w:t>
      </w:r>
      <w:r w:rsidRPr="00DA5EB5">
        <w:rPr>
          <w:szCs w:val="18"/>
        </w:rPr>
        <w:t xml:space="preserve">, 10th </w:t>
      </w:r>
      <w:proofErr w:type="spellStart"/>
      <w:r w:rsidRPr="00DA5EB5">
        <w:rPr>
          <w:szCs w:val="18"/>
        </w:rPr>
        <w:t>ed</w:t>
      </w:r>
      <w:proofErr w:type="spellEnd"/>
      <w:r w:rsidRPr="00DA5EB5">
        <w:rPr>
          <w:szCs w:val="18"/>
        </w:rPr>
        <w:t xml:space="preserve"> (2014), “investment”.</w:t>
      </w:r>
    </w:p>
  </w:footnote>
  <w:footnote w:id="249">
    <w:p w14:paraId="30C26C50" w14:textId="77777777" w:rsidR="007E0F72" w:rsidRPr="00DA5EB5" w:rsidRDefault="007E0F72" w:rsidP="000D4120">
      <w:pPr>
        <w:pStyle w:val="FootnoteText"/>
        <w:rPr>
          <w:szCs w:val="18"/>
        </w:rPr>
      </w:pPr>
      <w:r w:rsidRPr="00DA5EB5">
        <w:rPr>
          <w:rStyle w:val="FootnoteReference"/>
          <w:sz w:val="18"/>
          <w:szCs w:val="18"/>
        </w:rPr>
        <w:footnoteRef/>
      </w:r>
      <w:r w:rsidRPr="00DA5EB5">
        <w:rPr>
          <w:szCs w:val="18"/>
        </w:rPr>
        <w:t xml:space="preserve"> United Nations Conference on Trade and Development (UNCTAD), </w:t>
      </w:r>
      <w:r w:rsidRPr="00DA5EB5">
        <w:rPr>
          <w:i/>
          <w:szCs w:val="18"/>
        </w:rPr>
        <w:t>World Investment Report 2016</w:t>
      </w:r>
      <w:r w:rsidRPr="00DA5EB5">
        <w:rPr>
          <w:szCs w:val="18"/>
        </w:rPr>
        <w:t xml:space="preserve"> (United Nations, 2016) at 101.</w:t>
      </w:r>
    </w:p>
  </w:footnote>
  <w:footnote w:id="250">
    <w:p w14:paraId="6318FC53" w14:textId="77777777" w:rsidR="007E0F72" w:rsidRPr="00DA5EB5" w:rsidRDefault="007E0F72" w:rsidP="000D4120">
      <w:pPr>
        <w:pStyle w:val="FootnoteText"/>
        <w:rPr>
          <w:szCs w:val="18"/>
        </w:rPr>
      </w:pPr>
      <w:r w:rsidRPr="00DA5EB5">
        <w:rPr>
          <w:rStyle w:val="FootnoteReference"/>
          <w:sz w:val="18"/>
          <w:szCs w:val="18"/>
        </w:rPr>
        <w:footnoteRef/>
      </w:r>
      <w:r w:rsidRPr="00DA5EB5">
        <w:rPr>
          <w:szCs w:val="18"/>
        </w:rPr>
        <w:t xml:space="preserve"> </w:t>
      </w:r>
      <w:r w:rsidRPr="00DA5EB5">
        <w:rPr>
          <w:i/>
          <w:color w:val="000000"/>
          <w:szCs w:val="18"/>
          <w:shd w:val="clear" w:color="auto" w:fill="FFFFFF"/>
        </w:rPr>
        <w:t>Convention on the Settlement of Investment Disputes between States and Nationals of Other States</w:t>
      </w:r>
      <w:r w:rsidRPr="00DA5EB5">
        <w:rPr>
          <w:color w:val="000000"/>
          <w:szCs w:val="18"/>
          <w:shd w:val="clear" w:color="auto" w:fill="FFFFFF"/>
        </w:rPr>
        <w:t>, 18 March 1965, 575 UNTS 159.</w:t>
      </w:r>
    </w:p>
  </w:footnote>
  <w:footnote w:id="251">
    <w:p w14:paraId="30DBDAC9" w14:textId="5F1A7006" w:rsidR="007E0F72" w:rsidRPr="00DA5EB5" w:rsidRDefault="007E0F72" w:rsidP="00BF52C3">
      <w:pPr>
        <w:pStyle w:val="FootnoteText"/>
      </w:pPr>
      <w:r w:rsidRPr="00DA5EB5">
        <w:rPr>
          <w:rStyle w:val="FootnoteReference"/>
          <w:sz w:val="18"/>
          <w:szCs w:val="18"/>
        </w:rPr>
        <w:footnoteRef/>
      </w:r>
      <w:r w:rsidRPr="00DA5EB5">
        <w:rPr>
          <w:szCs w:val="18"/>
        </w:rPr>
        <w:t xml:space="preserve"> ICSID, Database of Member States, online: &lt;</w:t>
      </w:r>
      <w:hyperlink r:id="rId78" w:history="1">
        <w:r w:rsidR="00FB10F0" w:rsidRPr="00046022">
          <w:rPr>
            <w:rStyle w:val="Hyperlink"/>
            <w:szCs w:val="18"/>
          </w:rPr>
          <w:t>https://icsid.worldbank.org/apps/ICSIDWEB/about/</w:t>
        </w:r>
        <w:r w:rsidR="00FB10F0" w:rsidRPr="00046022">
          <w:rPr>
            <w:rStyle w:val="Hyperlink"/>
            <w:szCs w:val="18"/>
          </w:rPr>
          <w:br/>
          <w:t>Pages/</w:t>
        </w:r>
        <w:proofErr w:type="spellStart"/>
        <w:r w:rsidR="00FB10F0" w:rsidRPr="00046022">
          <w:rPr>
            <w:rStyle w:val="Hyperlink"/>
            <w:szCs w:val="18"/>
          </w:rPr>
          <w:t>Database-of-Member-States.bak.aspx?ViewMembership</w:t>
        </w:r>
        <w:proofErr w:type="spellEnd"/>
        <w:r w:rsidR="00FB10F0" w:rsidRPr="00046022">
          <w:rPr>
            <w:rStyle w:val="Hyperlink"/>
            <w:szCs w:val="18"/>
          </w:rPr>
          <w:t>=All</w:t>
        </w:r>
      </w:hyperlink>
      <w:r w:rsidRPr="00DA5EB5">
        <w:rPr>
          <w:szCs w:val="18"/>
        </w:rPr>
        <w:t>&gt;.</w:t>
      </w:r>
    </w:p>
  </w:footnote>
  <w:footnote w:id="252">
    <w:p w14:paraId="7D6529F5" w14:textId="5CE41164"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UNCTAD Investment Policy Hub, </w:t>
      </w:r>
      <w:r w:rsidRPr="00DA5EB5">
        <w:rPr>
          <w:i/>
          <w:szCs w:val="18"/>
        </w:rPr>
        <w:t>International Investment Agreements Navigator</w:t>
      </w:r>
      <w:r w:rsidRPr="00DA5EB5">
        <w:rPr>
          <w:szCs w:val="18"/>
        </w:rPr>
        <w:t>, online: &lt;</w:t>
      </w:r>
      <w:hyperlink r:id="rId79" w:history="1">
        <w:r w:rsidRPr="00DA5EB5">
          <w:rPr>
            <w:rStyle w:val="Hyperlink"/>
            <w:szCs w:val="18"/>
          </w:rPr>
          <w:t>http://investmentpolicyhub.unctad.org/IIA/IiasByCountry</w:t>
        </w:r>
      </w:hyperlink>
      <w:r w:rsidRPr="00DA5EB5">
        <w:rPr>
          <w:szCs w:val="18"/>
        </w:rPr>
        <w:t>&gt;.</w:t>
      </w:r>
    </w:p>
  </w:footnote>
  <w:footnote w:id="253">
    <w:p w14:paraId="2D078D26" w14:textId="5281DAB8"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Aloysius </w:t>
      </w:r>
      <w:proofErr w:type="spellStart"/>
      <w:r w:rsidRPr="00DA5EB5">
        <w:rPr>
          <w:szCs w:val="18"/>
        </w:rPr>
        <w:t>Llamzon</w:t>
      </w:r>
      <w:proofErr w:type="spellEnd"/>
      <w:r w:rsidRPr="00DA5EB5">
        <w:rPr>
          <w:szCs w:val="18"/>
        </w:rPr>
        <w:t xml:space="preserve">, </w:t>
      </w:r>
      <w:r w:rsidRPr="00DA5EB5">
        <w:rPr>
          <w:i/>
          <w:iCs/>
          <w:szCs w:val="18"/>
        </w:rPr>
        <w:t>Corruption in International Investment Arbitration</w:t>
      </w:r>
      <w:r w:rsidRPr="00DA5EB5">
        <w:rPr>
          <w:szCs w:val="18"/>
        </w:rPr>
        <w:t xml:space="preserve"> (Oxford University Press, 2014) at paras 5.06-5.07.</w:t>
      </w:r>
    </w:p>
  </w:footnote>
  <w:footnote w:id="254">
    <w:p w14:paraId="15BEA913" w14:textId="04E56458"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iCs/>
          <w:szCs w:val="18"/>
        </w:rPr>
        <w:t>Ibid</w:t>
      </w:r>
      <w:r w:rsidRPr="00DA5EB5">
        <w:rPr>
          <w:szCs w:val="18"/>
        </w:rPr>
        <w:t xml:space="preserve"> at para 5.11.</w:t>
      </w:r>
    </w:p>
  </w:footnote>
  <w:footnote w:id="255">
    <w:p w14:paraId="4E68EF34" w14:textId="30AB4DFD"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2004 Canadian Model Foreign Investment Promotion and Protection Agreement (FIPA), arts 22-23, online: &lt;</w:t>
      </w:r>
      <w:hyperlink r:id="rId80" w:history="1">
        <w:r w:rsidRPr="00DA5EB5">
          <w:rPr>
            <w:rStyle w:val="Hyperlink"/>
            <w:szCs w:val="18"/>
          </w:rPr>
          <w:t>http://www.italaw.com/documents/Canadian2004-FIPA-model-en.pdf</w:t>
        </w:r>
      </w:hyperlink>
      <w:r w:rsidRPr="00DA5EB5">
        <w:rPr>
          <w:szCs w:val="18"/>
        </w:rPr>
        <w:t>&gt;; 2012 United States Model Bilateral Investment Treaty, art 24(1), online: &lt;</w:t>
      </w:r>
      <w:hyperlink r:id="rId81" w:history="1">
        <w:r w:rsidRPr="00DA5EB5">
          <w:rPr>
            <w:rStyle w:val="Hyperlink"/>
            <w:szCs w:val="18"/>
          </w:rPr>
          <w:t>http://www.state.gov/documents/organization/188371.pdf</w:t>
        </w:r>
      </w:hyperlink>
      <w:r w:rsidRPr="00DA5EB5">
        <w:rPr>
          <w:szCs w:val="18"/>
        </w:rPr>
        <w:t>&gt;.</w:t>
      </w:r>
    </w:p>
  </w:footnote>
  <w:footnote w:id="256">
    <w:p w14:paraId="2AAD8BAA" w14:textId="07F307E2"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Canadian Model FIPA, </w:t>
      </w:r>
      <w:r w:rsidRPr="00DA5EB5">
        <w:rPr>
          <w:i/>
          <w:szCs w:val="18"/>
        </w:rPr>
        <w:t xml:space="preserve">ibid, </w:t>
      </w:r>
      <w:r w:rsidRPr="00DA5EB5">
        <w:rPr>
          <w:szCs w:val="18"/>
        </w:rPr>
        <w:t xml:space="preserve">art 27; US Model BIT, </w:t>
      </w:r>
      <w:r w:rsidRPr="00DA5EB5">
        <w:rPr>
          <w:i/>
          <w:szCs w:val="18"/>
        </w:rPr>
        <w:t xml:space="preserve">ibid, </w:t>
      </w:r>
      <w:r w:rsidRPr="00DA5EB5">
        <w:rPr>
          <w:szCs w:val="18"/>
        </w:rPr>
        <w:t>art 24(3).</w:t>
      </w:r>
    </w:p>
  </w:footnote>
  <w:footnote w:id="257">
    <w:p w14:paraId="5ED3B034" w14:textId="7D88CA73"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UNCITRAL Model Law on International Commercial Arbitration, art 28.</w:t>
      </w:r>
    </w:p>
  </w:footnote>
  <w:footnote w:id="258">
    <w:p w14:paraId="7A1BA49C" w14:textId="38964AE8"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2004 Canadian Model Foreign Investment Promotion and Protection Agreement (FIPA), arts 3-5, online: &lt;</w:t>
      </w:r>
      <w:hyperlink r:id="rId82" w:history="1">
        <w:r w:rsidRPr="00DA5EB5">
          <w:rPr>
            <w:rStyle w:val="Hyperlink"/>
            <w:szCs w:val="18"/>
          </w:rPr>
          <w:t>http://www.italaw.com/documents/Canadian2004-FIPA-model-en.pdf</w:t>
        </w:r>
      </w:hyperlink>
      <w:r w:rsidRPr="00DA5EB5">
        <w:rPr>
          <w:szCs w:val="18"/>
        </w:rPr>
        <w:t>&gt;; 2012 United States Model Bilateral Investment Treaty, arts 3-5, online: &lt;</w:t>
      </w:r>
      <w:hyperlink r:id="rId83" w:history="1">
        <w:r w:rsidRPr="00DA5EB5">
          <w:rPr>
            <w:rStyle w:val="Hyperlink"/>
            <w:szCs w:val="18"/>
          </w:rPr>
          <w:t>http://www.state.gov/documents/organization/188371.pdf</w:t>
        </w:r>
      </w:hyperlink>
      <w:r w:rsidRPr="00DA5EB5">
        <w:rPr>
          <w:szCs w:val="18"/>
        </w:rPr>
        <w:t>&gt;.</w:t>
      </w:r>
    </w:p>
  </w:footnote>
  <w:footnote w:id="259">
    <w:p w14:paraId="11870031" w14:textId="5AF7C87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Canadian Model FIPA, </w:t>
      </w:r>
      <w:r w:rsidRPr="00DA5EB5">
        <w:rPr>
          <w:i/>
          <w:szCs w:val="18"/>
        </w:rPr>
        <w:t xml:space="preserve">ibid, </w:t>
      </w:r>
      <w:r w:rsidRPr="00DA5EB5">
        <w:rPr>
          <w:szCs w:val="18"/>
        </w:rPr>
        <w:t xml:space="preserve">art 13; US Model BIT, </w:t>
      </w:r>
      <w:r w:rsidRPr="00DA5EB5">
        <w:rPr>
          <w:i/>
          <w:szCs w:val="18"/>
        </w:rPr>
        <w:t xml:space="preserve">ibid, </w:t>
      </w:r>
      <w:r w:rsidRPr="00DA5EB5">
        <w:rPr>
          <w:szCs w:val="18"/>
        </w:rPr>
        <w:t>art 6.</w:t>
      </w:r>
    </w:p>
  </w:footnote>
  <w:footnote w:id="260">
    <w:p w14:paraId="376A41E2" w14:textId="5867FFAF"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proofErr w:type="spellStart"/>
      <w:r w:rsidRPr="00DA5EB5">
        <w:rPr>
          <w:szCs w:val="18"/>
        </w:rPr>
        <w:t>Blackaby</w:t>
      </w:r>
      <w:proofErr w:type="spellEnd"/>
      <w:r w:rsidRPr="00DA5EB5">
        <w:rPr>
          <w:szCs w:val="18"/>
        </w:rPr>
        <w:t xml:space="preserve"> et al, </w:t>
      </w:r>
      <w:r w:rsidRPr="00DA5EB5">
        <w:rPr>
          <w:iCs/>
          <w:szCs w:val="18"/>
        </w:rPr>
        <w:t>(</w:t>
      </w:r>
      <w:r w:rsidRPr="00DA5EB5">
        <w:rPr>
          <w:szCs w:val="18"/>
        </w:rPr>
        <w:t>2015), paras 1.94-1.107; Born, (2014) at 73–93.</w:t>
      </w:r>
    </w:p>
  </w:footnote>
  <w:footnote w:id="261">
    <w:p w14:paraId="026E4EA7" w14:textId="1FDE8BD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Born, </w:t>
      </w:r>
      <w:r w:rsidRPr="00DA5EB5">
        <w:rPr>
          <w:i/>
          <w:szCs w:val="18"/>
        </w:rPr>
        <w:t xml:space="preserve">ibid </w:t>
      </w:r>
      <w:r w:rsidRPr="00DA5EB5">
        <w:rPr>
          <w:iCs/>
          <w:szCs w:val="18"/>
        </w:rPr>
        <w:t>at</w:t>
      </w:r>
      <w:r w:rsidRPr="00DA5EB5">
        <w:rPr>
          <w:szCs w:val="18"/>
        </w:rPr>
        <w:t xml:space="preserve"> 73.</w:t>
      </w:r>
    </w:p>
  </w:footnote>
  <w:footnote w:id="262">
    <w:p w14:paraId="263B5D05" w14:textId="162DE38E"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UNCITRAL, </w:t>
      </w:r>
      <w:r w:rsidRPr="00DA5EB5">
        <w:rPr>
          <w:i/>
          <w:szCs w:val="18"/>
        </w:rPr>
        <w:t xml:space="preserve">Convention on the Recognition and Enforcement of Foreign Arbitral Awards (1958), Status </w:t>
      </w:r>
      <w:r w:rsidRPr="00DA5EB5">
        <w:rPr>
          <w:szCs w:val="18"/>
        </w:rPr>
        <w:t>[UNCITRAL Status], online: &lt;</w:t>
      </w:r>
      <w:hyperlink r:id="rId84" w:history="1">
        <w:r w:rsidRPr="00DA5EB5">
          <w:rPr>
            <w:rStyle w:val="Hyperlink"/>
            <w:szCs w:val="18"/>
          </w:rPr>
          <w:t>http://www.uncitral.org/uncitral/en/uncitral_texts/arbitration/NYConvention_status.html</w:t>
        </w:r>
      </w:hyperlink>
      <w:r w:rsidRPr="00DA5EB5">
        <w:rPr>
          <w:szCs w:val="18"/>
        </w:rPr>
        <w:t>&gt;.</w:t>
      </w:r>
    </w:p>
  </w:footnote>
  <w:footnote w:id="263">
    <w:p w14:paraId="7F7A6638" w14:textId="77777777" w:rsidR="007E0F72" w:rsidRPr="00DA5EB5" w:rsidRDefault="007E0F72" w:rsidP="007D5917">
      <w:pPr>
        <w:pStyle w:val="FootnoteText"/>
        <w:rPr>
          <w:szCs w:val="18"/>
        </w:rPr>
      </w:pPr>
      <w:r w:rsidRPr="00DA5EB5">
        <w:rPr>
          <w:rStyle w:val="FootnoteReference"/>
          <w:sz w:val="18"/>
          <w:szCs w:val="18"/>
        </w:rPr>
        <w:footnoteRef/>
      </w:r>
      <w:r w:rsidRPr="00DA5EB5">
        <w:rPr>
          <w:szCs w:val="18"/>
        </w:rPr>
        <w:t xml:space="preserve"> </w:t>
      </w:r>
      <w:r w:rsidRPr="00DA5EB5">
        <w:rPr>
          <w:i/>
          <w:szCs w:val="18"/>
        </w:rPr>
        <w:t>Convention on the Recognition and Enforcement of Foreign Arbitral Awards</w:t>
      </w:r>
      <w:r w:rsidRPr="00DA5EB5">
        <w:rPr>
          <w:szCs w:val="18"/>
        </w:rPr>
        <w:t>, 10 June 1958, 330 UNTS 4739.</w:t>
      </w:r>
    </w:p>
  </w:footnote>
  <w:footnote w:id="264">
    <w:p w14:paraId="4E6C45CF" w14:textId="39C172B2"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9 USC 1, § 3.</w:t>
      </w:r>
    </w:p>
  </w:footnote>
  <w:footnote w:id="265">
    <w:p w14:paraId="2ABEEA7F" w14:textId="08BBB12A"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Arbitration Act 1996 </w:t>
      </w:r>
      <w:r w:rsidRPr="00DA5EB5">
        <w:rPr>
          <w:szCs w:val="18"/>
        </w:rPr>
        <w:t>(UK), c 23, s 9.</w:t>
      </w:r>
    </w:p>
  </w:footnote>
  <w:footnote w:id="266">
    <w:p w14:paraId="7936CADF" w14:textId="342343ED"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See Canada </w:t>
      </w:r>
      <w:r w:rsidRPr="00DA5EB5">
        <w:rPr>
          <w:i/>
          <w:szCs w:val="18"/>
        </w:rPr>
        <w:t>Commercial Arbitration Act</w:t>
      </w:r>
      <w:r w:rsidRPr="00DA5EB5">
        <w:rPr>
          <w:szCs w:val="18"/>
        </w:rPr>
        <w:t xml:space="preserve">, RSC 1985, c 17 (2nd </w:t>
      </w:r>
      <w:proofErr w:type="spellStart"/>
      <w:r w:rsidRPr="00DA5EB5">
        <w:rPr>
          <w:szCs w:val="18"/>
        </w:rPr>
        <w:t>Supp</w:t>
      </w:r>
      <w:proofErr w:type="spellEnd"/>
      <w:r w:rsidRPr="00DA5EB5">
        <w:rPr>
          <w:szCs w:val="18"/>
        </w:rPr>
        <w:t xml:space="preserve">); British Columbia </w:t>
      </w:r>
      <w:r w:rsidRPr="00DA5EB5">
        <w:rPr>
          <w:i/>
          <w:szCs w:val="18"/>
        </w:rPr>
        <w:t>Arbitration Act</w:t>
      </w:r>
      <w:r w:rsidRPr="00DA5EB5">
        <w:rPr>
          <w:szCs w:val="18"/>
        </w:rPr>
        <w:t xml:space="preserve">, RSBC 1996, c 55; Ontario </w:t>
      </w:r>
      <w:r w:rsidRPr="00DA5EB5">
        <w:rPr>
          <w:i/>
          <w:szCs w:val="18"/>
        </w:rPr>
        <w:t>Arbitration Act, 1991</w:t>
      </w:r>
      <w:r w:rsidRPr="00DA5EB5">
        <w:rPr>
          <w:szCs w:val="18"/>
        </w:rPr>
        <w:t xml:space="preserve">, SO 1991, c 17; Alberta </w:t>
      </w:r>
      <w:r w:rsidRPr="00DA5EB5">
        <w:rPr>
          <w:i/>
          <w:szCs w:val="18"/>
        </w:rPr>
        <w:t>Arbitration Act,</w:t>
      </w:r>
      <w:r w:rsidRPr="00DA5EB5">
        <w:rPr>
          <w:szCs w:val="18"/>
        </w:rPr>
        <w:t xml:space="preserve"> RSA 2000, c A-43; UNCITRAL, </w:t>
      </w:r>
      <w:r w:rsidRPr="00DA5EB5">
        <w:rPr>
          <w:i/>
          <w:szCs w:val="18"/>
        </w:rPr>
        <w:t xml:space="preserve">UNCITRAL Model Law on International Commercial Arbitration </w:t>
      </w:r>
      <w:r w:rsidRPr="00DA5EB5">
        <w:rPr>
          <w:szCs w:val="18"/>
        </w:rPr>
        <w:t>[UNCITRAL Model Law]</w:t>
      </w:r>
      <w:r w:rsidRPr="00DA5EB5">
        <w:rPr>
          <w:i/>
          <w:szCs w:val="18"/>
        </w:rPr>
        <w:t xml:space="preserve"> (1985), with amendments as adopted in 2006,</w:t>
      </w:r>
      <w:r w:rsidRPr="00DA5EB5">
        <w:rPr>
          <w:szCs w:val="18"/>
        </w:rPr>
        <w:t xml:space="preserve"> UNCITRAL Status (1958).</w:t>
      </w:r>
    </w:p>
  </w:footnote>
  <w:footnote w:id="267">
    <w:p w14:paraId="281B973C" w14:textId="6675D3D3"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UNCITRAL Model Law (1985), art 8(1).</w:t>
      </w:r>
    </w:p>
  </w:footnote>
  <w:footnote w:id="268">
    <w:p w14:paraId="339E8CDE" w14:textId="4966DE52"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proofErr w:type="spellStart"/>
      <w:r w:rsidRPr="00DA5EB5">
        <w:rPr>
          <w:szCs w:val="18"/>
        </w:rPr>
        <w:t>Blackaby</w:t>
      </w:r>
      <w:proofErr w:type="spellEnd"/>
      <w:r w:rsidRPr="00DA5EB5">
        <w:rPr>
          <w:szCs w:val="18"/>
        </w:rPr>
        <w:t xml:space="preserve"> et al </w:t>
      </w:r>
      <w:r w:rsidRPr="00DA5EB5">
        <w:rPr>
          <w:iCs/>
          <w:szCs w:val="18"/>
        </w:rPr>
        <w:t>(</w:t>
      </w:r>
      <w:r w:rsidRPr="00DA5EB5">
        <w:rPr>
          <w:szCs w:val="18"/>
        </w:rPr>
        <w:t>2015), at para 2.101.</w:t>
      </w:r>
    </w:p>
  </w:footnote>
  <w:footnote w:id="269">
    <w:p w14:paraId="206C5C11" w14:textId="14BE8D93" w:rsidR="007E0F72" w:rsidRPr="00DA5EB5" w:rsidRDefault="007E0F72" w:rsidP="00BF52C3">
      <w:pPr>
        <w:pStyle w:val="FootnoteText"/>
      </w:pPr>
      <w:r w:rsidRPr="00DA5EB5">
        <w:rPr>
          <w:rStyle w:val="FootnoteReference"/>
          <w:sz w:val="18"/>
          <w:szCs w:val="18"/>
        </w:rPr>
        <w:footnoteRef/>
      </w:r>
      <w:r w:rsidRPr="00DA5EB5">
        <w:rPr>
          <w:szCs w:val="18"/>
        </w:rPr>
        <w:t xml:space="preserve"> UNCITRAL Model Law (1985), art 16(1).</w:t>
      </w:r>
    </w:p>
  </w:footnote>
  <w:footnote w:id="270">
    <w:p w14:paraId="395C3371" w14:textId="221BBD62"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Convention on the Recognition and Enforcement of Foreign Arbitral Awards</w:t>
      </w:r>
      <w:r w:rsidRPr="00DA5EB5">
        <w:rPr>
          <w:szCs w:val="18"/>
        </w:rPr>
        <w:t>, 10 June 1958, 330 UNTS 4739, art III.</w:t>
      </w:r>
    </w:p>
  </w:footnote>
  <w:footnote w:id="271">
    <w:p w14:paraId="212E4E8B" w14:textId="3E896C2C"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Born </w:t>
      </w:r>
      <w:r w:rsidRPr="00DA5EB5">
        <w:rPr>
          <w:iCs/>
          <w:szCs w:val="18"/>
        </w:rPr>
        <w:t>(</w:t>
      </w:r>
      <w:r w:rsidRPr="00DA5EB5">
        <w:rPr>
          <w:szCs w:val="18"/>
        </w:rPr>
        <w:t xml:space="preserve">2014) at 3673-74; Dirk Otto &amp; </w:t>
      </w:r>
      <w:proofErr w:type="spellStart"/>
      <w:r w:rsidRPr="00DA5EB5">
        <w:rPr>
          <w:szCs w:val="18"/>
        </w:rPr>
        <w:t>Omaia</w:t>
      </w:r>
      <w:proofErr w:type="spellEnd"/>
      <w:r w:rsidRPr="00DA5EB5">
        <w:rPr>
          <w:szCs w:val="18"/>
        </w:rPr>
        <w:t xml:space="preserve"> </w:t>
      </w:r>
      <w:proofErr w:type="spellStart"/>
      <w:r w:rsidRPr="00DA5EB5">
        <w:rPr>
          <w:szCs w:val="18"/>
        </w:rPr>
        <w:t>Elwan</w:t>
      </w:r>
      <w:proofErr w:type="spellEnd"/>
      <w:r w:rsidRPr="00DA5EB5">
        <w:rPr>
          <w:szCs w:val="18"/>
        </w:rPr>
        <w:t xml:space="preserve">, “Article V(2)” in Herbert </w:t>
      </w:r>
      <w:proofErr w:type="spellStart"/>
      <w:r w:rsidRPr="00DA5EB5">
        <w:rPr>
          <w:szCs w:val="18"/>
        </w:rPr>
        <w:t>Kronke</w:t>
      </w:r>
      <w:proofErr w:type="spellEnd"/>
      <w:r w:rsidRPr="00DA5EB5">
        <w:rPr>
          <w:szCs w:val="18"/>
        </w:rPr>
        <w:t xml:space="preserve"> et al, </w:t>
      </w:r>
      <w:proofErr w:type="spellStart"/>
      <w:r w:rsidRPr="00DA5EB5">
        <w:rPr>
          <w:szCs w:val="18"/>
        </w:rPr>
        <w:t>eds</w:t>
      </w:r>
      <w:proofErr w:type="spellEnd"/>
      <w:r w:rsidRPr="00DA5EB5">
        <w:rPr>
          <w:szCs w:val="18"/>
        </w:rPr>
        <w:t xml:space="preserve">, </w:t>
      </w:r>
      <w:r w:rsidRPr="00DA5EB5">
        <w:rPr>
          <w:i/>
          <w:szCs w:val="18"/>
        </w:rPr>
        <w:t>Recognition and Enforcement of Foreign Arbitral Awards: A Global Commentary on the New York Convention</w:t>
      </w:r>
      <w:r w:rsidRPr="00DA5EB5">
        <w:rPr>
          <w:szCs w:val="18"/>
        </w:rPr>
        <w:t xml:space="preserve"> (Kluwer Law International, 2010) at 372-73.</w:t>
      </w:r>
    </w:p>
  </w:footnote>
  <w:footnote w:id="272">
    <w:p w14:paraId="0887F1D5" w14:textId="0FB49841"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proofErr w:type="spellStart"/>
      <w:r w:rsidRPr="00DA5EB5">
        <w:rPr>
          <w:i/>
          <w:szCs w:val="18"/>
        </w:rPr>
        <w:t>Lemenda</w:t>
      </w:r>
      <w:proofErr w:type="spellEnd"/>
      <w:r w:rsidRPr="00DA5EB5">
        <w:rPr>
          <w:i/>
          <w:szCs w:val="18"/>
        </w:rPr>
        <w:t xml:space="preserve"> Trading Co Ltd v African Middle East Petroleum Co Ltd</w:t>
      </w:r>
      <w:r w:rsidRPr="00DA5EB5">
        <w:rPr>
          <w:szCs w:val="18"/>
        </w:rPr>
        <w:t>, [1988] 1 QB 448 (HC).</w:t>
      </w:r>
    </w:p>
  </w:footnote>
  <w:footnote w:id="273">
    <w:p w14:paraId="625528DB"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European Gas Turbines SA v </w:t>
      </w:r>
      <w:proofErr w:type="spellStart"/>
      <w:r w:rsidRPr="00DA5EB5">
        <w:rPr>
          <w:i/>
          <w:szCs w:val="18"/>
        </w:rPr>
        <w:t>Westman</w:t>
      </w:r>
      <w:proofErr w:type="spellEnd"/>
      <w:r w:rsidRPr="00DA5EB5">
        <w:rPr>
          <w:i/>
          <w:szCs w:val="18"/>
        </w:rPr>
        <w:t xml:space="preserve"> International Ltd</w:t>
      </w:r>
      <w:r w:rsidRPr="00DA5EB5">
        <w:rPr>
          <w:szCs w:val="18"/>
        </w:rPr>
        <w:t>, Court of Appeal, Paris, 30 September 1993 in XX Yearbook Commercial Arbitration 198 (1995).</w:t>
      </w:r>
    </w:p>
  </w:footnote>
  <w:footnote w:id="274">
    <w:p w14:paraId="780D4766"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202, para 6.</w:t>
      </w:r>
    </w:p>
  </w:footnote>
  <w:footnote w:id="275">
    <w:p w14:paraId="19000EE6" w14:textId="5B8D0029"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color w:val="000000"/>
          <w:szCs w:val="18"/>
          <w:shd w:val="clear" w:color="auto" w:fill="FFFFFF"/>
        </w:rPr>
        <w:t>Convention on the Settlement of Investment Disputes between States and Nationals of Other States</w:t>
      </w:r>
      <w:r w:rsidRPr="00DA5EB5">
        <w:rPr>
          <w:color w:val="000000"/>
          <w:szCs w:val="18"/>
          <w:shd w:val="clear" w:color="auto" w:fill="FFFFFF"/>
        </w:rPr>
        <w:t xml:space="preserve">, 18 March 1965, 575 UNTS 159, </w:t>
      </w:r>
      <w:r w:rsidRPr="00DA5EB5">
        <w:rPr>
          <w:szCs w:val="18"/>
        </w:rPr>
        <w:t>art 54(1).</w:t>
      </w:r>
    </w:p>
  </w:footnote>
  <w:footnote w:id="276">
    <w:p w14:paraId="3248423B" w14:textId="43E17414"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i/>
          <w:szCs w:val="18"/>
        </w:rPr>
        <w:t>Ibid</w:t>
      </w:r>
      <w:r w:rsidRPr="00DA5EB5">
        <w:rPr>
          <w:szCs w:val="18"/>
        </w:rPr>
        <w:t>, art 54(3).</w:t>
      </w:r>
    </w:p>
  </w:footnote>
  <w:footnote w:id="277">
    <w:p w14:paraId="19219F83" w14:textId="7A5A98FD"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art 53(1).</w:t>
      </w:r>
    </w:p>
  </w:footnote>
  <w:footnote w:id="278">
    <w:p w14:paraId="39F12268" w14:textId="094E905D"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art 51(1) &amp; (2)</w:t>
      </w:r>
      <w:proofErr w:type="gramStart"/>
      <w:r w:rsidRPr="00DA5EB5">
        <w:rPr>
          <w:szCs w:val="18"/>
        </w:rPr>
        <w:t>.</w:t>
      </w:r>
      <w:proofErr w:type="gramEnd"/>
    </w:p>
  </w:footnote>
  <w:footnote w:id="279">
    <w:p w14:paraId="72C1C3FF" w14:textId="03A19E39"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art 52(3).</w:t>
      </w:r>
    </w:p>
  </w:footnote>
  <w:footnote w:id="280">
    <w:p w14:paraId="0E891423" w14:textId="2E454966"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art 52(1).</w:t>
      </w:r>
    </w:p>
  </w:footnote>
  <w:footnote w:id="281">
    <w:p w14:paraId="6661DD86"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9 USC 1, § 10(a).</w:t>
      </w:r>
    </w:p>
  </w:footnote>
  <w:footnote w:id="282">
    <w:p w14:paraId="4D338965" w14:textId="54A2122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9 USC 2, § 207.</w:t>
      </w:r>
    </w:p>
  </w:footnote>
  <w:footnote w:id="283">
    <w:p w14:paraId="4D2ACFB1" w14:textId="6D326F28"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9 USC 2, § 203.</w:t>
      </w:r>
    </w:p>
  </w:footnote>
  <w:footnote w:id="284">
    <w:p w14:paraId="7E6E97A2" w14:textId="6E54E62B"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9 USC 2, § 207.</w:t>
      </w:r>
    </w:p>
  </w:footnote>
  <w:footnote w:id="285">
    <w:p w14:paraId="73BC15FD" w14:textId="3ACFBA86"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UNCITRAL Status (1958).</w:t>
      </w:r>
    </w:p>
  </w:footnote>
  <w:footnote w:id="286">
    <w:p w14:paraId="1935C2B7" w14:textId="2646A8B7" w:rsidR="007E0F72" w:rsidRPr="00DA5EB5" w:rsidRDefault="007E0F72" w:rsidP="00D24B4F">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Arbitration Act 1996 </w:t>
      </w:r>
      <w:r w:rsidRPr="00DA5EB5">
        <w:rPr>
          <w:szCs w:val="18"/>
        </w:rPr>
        <w:t xml:space="preserve">(UK), c 23, </w:t>
      </w:r>
      <w:proofErr w:type="spellStart"/>
      <w:r w:rsidRPr="00DA5EB5">
        <w:rPr>
          <w:szCs w:val="18"/>
        </w:rPr>
        <w:t>ss</w:t>
      </w:r>
      <w:proofErr w:type="spellEnd"/>
      <w:r w:rsidRPr="00DA5EB5">
        <w:rPr>
          <w:szCs w:val="18"/>
        </w:rPr>
        <w:t xml:space="preserve"> 67(1) and 68(1).</w:t>
      </w:r>
    </w:p>
  </w:footnote>
  <w:footnote w:id="287">
    <w:p w14:paraId="08A9BE7B"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s 68(2).</w:t>
      </w:r>
    </w:p>
  </w:footnote>
  <w:footnote w:id="288">
    <w:p w14:paraId="77CD2225"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s 69(1).</w:t>
      </w:r>
    </w:p>
  </w:footnote>
  <w:footnote w:id="289">
    <w:p w14:paraId="13A3EECA"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s 69(2).</w:t>
      </w:r>
    </w:p>
  </w:footnote>
  <w:footnote w:id="290">
    <w:p w14:paraId="3588888A"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s 69(3).</w:t>
      </w:r>
    </w:p>
  </w:footnote>
  <w:footnote w:id="291">
    <w:p w14:paraId="432654F0" w14:textId="77777777" w:rsidR="007E0F72" w:rsidRPr="00DA5EB5" w:rsidRDefault="007E0F72" w:rsidP="00D24B4F">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w:t>
      </w:r>
      <w:proofErr w:type="spellStart"/>
      <w:r w:rsidRPr="00DA5EB5">
        <w:rPr>
          <w:szCs w:val="18"/>
        </w:rPr>
        <w:t>ss</w:t>
      </w:r>
      <w:proofErr w:type="spellEnd"/>
      <w:r w:rsidRPr="00DA5EB5">
        <w:rPr>
          <w:szCs w:val="18"/>
        </w:rPr>
        <w:t xml:space="preserve"> 70(3) and 70(2</w:t>
      </w:r>
      <w:proofErr w:type="gramStart"/>
      <w:r w:rsidRPr="00DA5EB5">
        <w:rPr>
          <w:szCs w:val="18"/>
        </w:rPr>
        <w:t>)(</w:t>
      </w:r>
      <w:proofErr w:type="gramEnd"/>
      <w:r w:rsidRPr="00DA5EB5">
        <w:rPr>
          <w:szCs w:val="18"/>
        </w:rPr>
        <w:t>a).</w:t>
      </w:r>
    </w:p>
  </w:footnote>
  <w:footnote w:id="292">
    <w:p w14:paraId="24EB5F86" w14:textId="77777777" w:rsidR="007E0F72" w:rsidRPr="00DA5EB5" w:rsidRDefault="007E0F72" w:rsidP="00D24B4F">
      <w:pPr>
        <w:pStyle w:val="FootnoteText"/>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w:t>
      </w:r>
      <w:proofErr w:type="spellStart"/>
      <w:r w:rsidRPr="00DA5EB5">
        <w:rPr>
          <w:szCs w:val="18"/>
        </w:rPr>
        <w:t>ss</w:t>
      </w:r>
      <w:proofErr w:type="spellEnd"/>
      <w:r w:rsidRPr="00DA5EB5">
        <w:rPr>
          <w:szCs w:val="18"/>
        </w:rPr>
        <w:t xml:space="preserve"> 100(1) and 101(1)-(2).</w:t>
      </w:r>
    </w:p>
  </w:footnote>
  <w:footnote w:id="293">
    <w:p w14:paraId="0A4D17B8"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w:t>
      </w:r>
      <w:proofErr w:type="spellStart"/>
      <w:r w:rsidRPr="00DA5EB5">
        <w:rPr>
          <w:szCs w:val="18"/>
        </w:rPr>
        <w:t>ss</w:t>
      </w:r>
      <w:proofErr w:type="spellEnd"/>
      <w:r w:rsidRPr="00DA5EB5">
        <w:rPr>
          <w:szCs w:val="18"/>
        </w:rPr>
        <w:t xml:space="preserve"> 103(1)-(4).</w:t>
      </w:r>
    </w:p>
  </w:footnote>
  <w:footnote w:id="294">
    <w:p w14:paraId="4A939987" w14:textId="5E42E49A"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UNCITRAL Status (1958).</w:t>
      </w:r>
    </w:p>
  </w:footnote>
  <w:footnote w:id="295">
    <w:p w14:paraId="7AC3BC87" w14:textId="312C685C"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art 34(1).</w:t>
      </w:r>
    </w:p>
  </w:footnote>
  <w:footnote w:id="296">
    <w:p w14:paraId="42249089" w14:textId="285A18E0"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Convention on the Recognition and Enforcement of Foreign Arbitral Awards</w:t>
      </w:r>
      <w:r w:rsidRPr="00DA5EB5">
        <w:rPr>
          <w:szCs w:val="18"/>
        </w:rPr>
        <w:t xml:space="preserve">, 10 June 1958, 330 UNTS 4739, arts </w:t>
      </w:r>
      <w:proofErr w:type="gramStart"/>
      <w:r w:rsidRPr="00DA5EB5">
        <w:rPr>
          <w:szCs w:val="18"/>
        </w:rPr>
        <w:t>V(</w:t>
      </w:r>
      <w:proofErr w:type="gramEnd"/>
      <w:r w:rsidRPr="00DA5EB5">
        <w:rPr>
          <w:szCs w:val="18"/>
        </w:rPr>
        <w:t>1)(a)-(d) &amp; V(2).</w:t>
      </w:r>
    </w:p>
  </w:footnote>
  <w:footnote w:id="297">
    <w:p w14:paraId="0FC9BD9A" w14:textId="435F8FDC"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UNCITRAL Model Law (1985), art 34(3).</w:t>
      </w:r>
    </w:p>
  </w:footnote>
  <w:footnote w:id="298">
    <w:p w14:paraId="497B6AA7" w14:textId="4DD92F88"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art 35(1).</w:t>
      </w:r>
    </w:p>
  </w:footnote>
  <w:footnote w:id="299">
    <w:p w14:paraId="1EB75ADE" w14:textId="794189B9"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UNCITRAL Status (1958).</w:t>
      </w:r>
    </w:p>
  </w:footnote>
  <w:footnote w:id="300">
    <w:p w14:paraId="79090C7B"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EDF (Services) Ltd v Romania</w:t>
      </w:r>
      <w:r w:rsidRPr="00DA5EB5">
        <w:t>, ICSID Case No ARB/05/13, Award (8 October 2009).</w:t>
      </w:r>
    </w:p>
  </w:footnote>
  <w:footnote w:id="301">
    <w:p w14:paraId="6B30C6B0" w14:textId="77777777" w:rsidR="007E0F72" w:rsidRPr="00DA5EB5" w:rsidRDefault="007E0F72" w:rsidP="00BF52C3">
      <w:pPr>
        <w:pStyle w:val="FootnoteText"/>
      </w:pPr>
      <w:r w:rsidRPr="00DA5EB5">
        <w:rPr>
          <w:rStyle w:val="FootnoteReference"/>
          <w:sz w:val="18"/>
          <w:szCs w:val="18"/>
        </w:rPr>
        <w:footnoteRef/>
      </w:r>
      <w:r w:rsidRPr="00DA5EB5">
        <w:t xml:space="preserve"> </w:t>
      </w:r>
      <w:proofErr w:type="spellStart"/>
      <w:r w:rsidRPr="00DA5EB5">
        <w:rPr>
          <w:i/>
        </w:rPr>
        <w:t>Methanex</w:t>
      </w:r>
      <w:proofErr w:type="spellEnd"/>
      <w:r w:rsidRPr="00DA5EB5">
        <w:rPr>
          <w:i/>
        </w:rPr>
        <w:t xml:space="preserve"> Corporation v United States of America</w:t>
      </w:r>
      <w:r w:rsidRPr="00DA5EB5">
        <w:t>, UNCITRAL, Final Award of the Tribunal on Jurisdiction and Merits (3 August 2005).</w:t>
      </w:r>
    </w:p>
  </w:footnote>
  <w:footnote w:id="302">
    <w:p w14:paraId="49433F74"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 xml:space="preserve">Jan </w:t>
      </w:r>
      <w:proofErr w:type="spellStart"/>
      <w:r w:rsidRPr="00DA5EB5">
        <w:rPr>
          <w:i/>
        </w:rPr>
        <w:t>Oostergetel</w:t>
      </w:r>
      <w:proofErr w:type="spellEnd"/>
      <w:r w:rsidRPr="00DA5EB5">
        <w:rPr>
          <w:i/>
        </w:rPr>
        <w:t xml:space="preserve"> and Theodora </w:t>
      </w:r>
      <w:proofErr w:type="spellStart"/>
      <w:r w:rsidRPr="00DA5EB5">
        <w:rPr>
          <w:i/>
        </w:rPr>
        <w:t>Laurentius</w:t>
      </w:r>
      <w:proofErr w:type="spellEnd"/>
      <w:r w:rsidRPr="00DA5EB5">
        <w:rPr>
          <w:i/>
        </w:rPr>
        <w:t xml:space="preserve"> v The Slovak Republic</w:t>
      </w:r>
      <w:r w:rsidRPr="00DA5EB5">
        <w:t>, UNCITRAL, Final Award (23 April 2012).</w:t>
      </w:r>
    </w:p>
  </w:footnote>
  <w:footnote w:id="303">
    <w:p w14:paraId="33E6262C" w14:textId="77777777" w:rsidR="007E0F72" w:rsidRPr="00DA5EB5" w:rsidRDefault="007E0F72" w:rsidP="00BF52C3">
      <w:pPr>
        <w:pStyle w:val="FootnoteText"/>
        <w:rPr>
          <w:sz w:val="20"/>
        </w:rPr>
      </w:pPr>
      <w:r w:rsidRPr="00DA5EB5">
        <w:rPr>
          <w:rStyle w:val="FootnoteReference"/>
          <w:sz w:val="18"/>
          <w:szCs w:val="18"/>
        </w:rPr>
        <w:footnoteRef/>
      </w:r>
      <w:r w:rsidRPr="00DA5EB5">
        <w:t xml:space="preserve"> </w:t>
      </w:r>
      <w:r w:rsidRPr="00DA5EB5">
        <w:rPr>
          <w:i/>
        </w:rPr>
        <w:t xml:space="preserve">ECE </w:t>
      </w:r>
      <w:proofErr w:type="spellStart"/>
      <w:r w:rsidRPr="00DA5EB5">
        <w:rPr>
          <w:i/>
        </w:rPr>
        <w:t>Projektmanagement</w:t>
      </w:r>
      <w:proofErr w:type="spellEnd"/>
      <w:r w:rsidRPr="00DA5EB5">
        <w:rPr>
          <w:i/>
        </w:rPr>
        <w:t xml:space="preserve"> International GmbH and </w:t>
      </w:r>
      <w:proofErr w:type="spellStart"/>
      <w:r w:rsidRPr="00DA5EB5">
        <w:rPr>
          <w:i/>
        </w:rPr>
        <w:t>Kommanditgesellschaft</w:t>
      </w:r>
      <w:proofErr w:type="spellEnd"/>
      <w:r w:rsidRPr="00DA5EB5">
        <w:rPr>
          <w:i/>
        </w:rPr>
        <w:t xml:space="preserve"> PANTA </w:t>
      </w:r>
      <w:proofErr w:type="spellStart"/>
      <w:r w:rsidRPr="00DA5EB5">
        <w:rPr>
          <w:i/>
        </w:rPr>
        <w:t>Achtundsechzigste</w:t>
      </w:r>
      <w:proofErr w:type="spellEnd"/>
      <w:r w:rsidRPr="00DA5EB5">
        <w:rPr>
          <w:i/>
        </w:rPr>
        <w:t xml:space="preserve"> </w:t>
      </w:r>
      <w:proofErr w:type="spellStart"/>
      <w:r w:rsidRPr="00DA5EB5">
        <w:rPr>
          <w:i/>
        </w:rPr>
        <w:t>Grundstücksgesellschaft</w:t>
      </w:r>
      <w:proofErr w:type="spellEnd"/>
      <w:r w:rsidRPr="00DA5EB5">
        <w:rPr>
          <w:i/>
        </w:rPr>
        <w:t xml:space="preserve"> </w:t>
      </w:r>
      <w:proofErr w:type="spellStart"/>
      <w:r w:rsidRPr="00DA5EB5">
        <w:rPr>
          <w:i/>
        </w:rPr>
        <w:t>mbH</w:t>
      </w:r>
      <w:proofErr w:type="spellEnd"/>
      <w:r w:rsidRPr="00DA5EB5">
        <w:rPr>
          <w:i/>
        </w:rPr>
        <w:t xml:space="preserve"> &amp; Co v Czech Republic</w:t>
      </w:r>
      <w:r w:rsidRPr="00DA5EB5">
        <w:t>, PCA Case No. 2010-5, Award (19 September 2013).</w:t>
      </w:r>
    </w:p>
  </w:footnote>
  <w:footnote w:id="304">
    <w:p w14:paraId="689C92C3" w14:textId="795C8829" w:rsidR="007E0F72" w:rsidRPr="00DA5EB5" w:rsidRDefault="007E0F72" w:rsidP="00BF52C3">
      <w:pPr>
        <w:pStyle w:val="FootnoteText"/>
      </w:pPr>
      <w:r w:rsidRPr="00DA5EB5">
        <w:rPr>
          <w:rStyle w:val="FootnoteReference"/>
          <w:sz w:val="18"/>
          <w:szCs w:val="18"/>
        </w:rPr>
        <w:footnoteRef/>
      </w:r>
      <w:r w:rsidRPr="00DA5EB5">
        <w:t xml:space="preserve"> </w:t>
      </w:r>
      <w:proofErr w:type="spellStart"/>
      <w:r w:rsidRPr="00DA5EB5">
        <w:rPr>
          <w:i/>
        </w:rPr>
        <w:t>Methanex</w:t>
      </w:r>
      <w:proofErr w:type="spellEnd"/>
      <w:r w:rsidRPr="00DA5EB5">
        <w:rPr>
          <w:i/>
        </w:rPr>
        <w:t xml:space="preserve"> Corporation v United States of America</w:t>
      </w:r>
      <w:r w:rsidRPr="00DA5EB5">
        <w:t>, UNCITRAL, Final Award of the Tribunal on Jurisdiction and Merits (3 August 2005), Part I at para 1.</w:t>
      </w:r>
    </w:p>
  </w:footnote>
  <w:footnote w:id="305">
    <w:p w14:paraId="59B73B19" w14:textId="1BBCF9D8"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 xml:space="preserve">Ibid, </w:t>
      </w:r>
      <w:r w:rsidRPr="00DA5EB5">
        <w:t>Part I at para 5.</w:t>
      </w:r>
    </w:p>
  </w:footnote>
  <w:footnote w:id="306">
    <w:p w14:paraId="65631C60" w14:textId="3E4D77F2"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 xml:space="preserve">Ibid, </w:t>
      </w:r>
      <w:r w:rsidRPr="00DA5EB5">
        <w:t>Part VI at para 1.</w:t>
      </w:r>
    </w:p>
  </w:footnote>
  <w:footnote w:id="307">
    <w:p w14:paraId="2644771A" w14:textId="40912FD4" w:rsidR="007E0F72" w:rsidRPr="00DA5EB5" w:rsidRDefault="007E0F72" w:rsidP="00BF52C3">
      <w:pPr>
        <w:pStyle w:val="FootnoteText"/>
      </w:pPr>
      <w:r w:rsidRPr="00DA5EB5">
        <w:rPr>
          <w:rStyle w:val="FootnoteReference"/>
          <w:sz w:val="18"/>
          <w:szCs w:val="18"/>
        </w:rPr>
        <w:footnoteRef/>
      </w:r>
      <w:r w:rsidRPr="00DA5EB5">
        <w:t xml:space="preserve"> </w:t>
      </w:r>
      <w:proofErr w:type="spellStart"/>
      <w:r w:rsidRPr="00DA5EB5">
        <w:t>Llamzon</w:t>
      </w:r>
      <w:proofErr w:type="spellEnd"/>
      <w:r w:rsidRPr="00DA5EB5">
        <w:t xml:space="preserve">, </w:t>
      </w:r>
      <w:r w:rsidRPr="00DA5EB5">
        <w:rPr>
          <w:iCs/>
        </w:rPr>
        <w:t>(</w:t>
      </w:r>
      <w:r w:rsidRPr="00DA5EB5">
        <w:t>2014) at para 6.106.</w:t>
      </w:r>
    </w:p>
  </w:footnote>
  <w:footnote w:id="308">
    <w:p w14:paraId="2CFFC6C8" w14:textId="2A37EC62" w:rsidR="007E0F72" w:rsidRPr="00DA5EB5" w:rsidRDefault="007E0F72" w:rsidP="00BF52C3">
      <w:pPr>
        <w:pStyle w:val="FootnoteText"/>
      </w:pPr>
      <w:r w:rsidRPr="00DA5EB5">
        <w:rPr>
          <w:rStyle w:val="FootnoteReference"/>
          <w:sz w:val="18"/>
          <w:szCs w:val="18"/>
        </w:rPr>
        <w:footnoteRef/>
      </w:r>
      <w:r w:rsidRPr="00DA5EB5">
        <w:t xml:space="preserve"> </w:t>
      </w:r>
      <w:proofErr w:type="spellStart"/>
      <w:r w:rsidRPr="00DA5EB5">
        <w:rPr>
          <w:i/>
        </w:rPr>
        <w:t>Methanex</w:t>
      </w:r>
      <w:proofErr w:type="spellEnd"/>
      <w:r w:rsidRPr="00DA5EB5">
        <w:rPr>
          <w:i/>
        </w:rPr>
        <w:t xml:space="preserve"> Corporation v United States of America</w:t>
      </w:r>
      <w:r w:rsidRPr="00DA5EB5">
        <w:t>, (3 August 2005), Part III, Chapter B at para 2.</w:t>
      </w:r>
    </w:p>
  </w:footnote>
  <w:footnote w:id="309">
    <w:p w14:paraId="7BDF1A85"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Part III, Chapter B at para 3.</w:t>
      </w:r>
    </w:p>
  </w:footnote>
  <w:footnote w:id="310">
    <w:p w14:paraId="6363661B" w14:textId="4989746B"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Part III, Chapter B at para 17.</w:t>
      </w:r>
    </w:p>
  </w:footnote>
  <w:footnote w:id="311">
    <w:p w14:paraId="7750F3F2" w14:textId="02467FD8"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i/>
          <w:szCs w:val="18"/>
        </w:rPr>
        <w:t>Ibid</w:t>
      </w:r>
      <w:r w:rsidRPr="00DA5EB5">
        <w:rPr>
          <w:szCs w:val="18"/>
        </w:rPr>
        <w:t>, Part III, Chapter B at paras 34-46.</w:t>
      </w:r>
    </w:p>
  </w:footnote>
  <w:footnote w:id="312">
    <w:p w14:paraId="77AB7875" w14:textId="4177F67C"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Part III, Chapter B at paras 37-38.</w:t>
      </w:r>
    </w:p>
  </w:footnote>
  <w:footnote w:id="313">
    <w:p w14:paraId="4341D542" w14:textId="5E80A01A"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EDF (Services) Ltd v Romania</w:t>
      </w:r>
      <w:r w:rsidRPr="00DA5EB5">
        <w:rPr>
          <w:szCs w:val="18"/>
        </w:rPr>
        <w:t>, ICSID Case No ARB/05/13, Award (8 October 2009) at paras 1, 46, 101-106, 221-222.</w:t>
      </w:r>
    </w:p>
  </w:footnote>
  <w:footnote w:id="314">
    <w:p w14:paraId="4F9F17EC" w14:textId="186B259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144.</w:t>
      </w:r>
    </w:p>
  </w:footnote>
  <w:footnote w:id="315">
    <w:p w14:paraId="2565957F" w14:textId="7742B291"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222.</w:t>
      </w:r>
    </w:p>
  </w:footnote>
  <w:footnote w:id="316">
    <w:p w14:paraId="4524FE08" w14:textId="4A6CBD4D"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228.</w:t>
      </w:r>
    </w:p>
  </w:footnote>
  <w:footnote w:id="317">
    <w:p w14:paraId="06DBDDCB" w14:textId="77777777"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221 (internal quotations omitted).</w:t>
      </w:r>
    </w:p>
  </w:footnote>
  <w:footnote w:id="318">
    <w:p w14:paraId="4D75027A"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232.</w:t>
      </w:r>
    </w:p>
  </w:footnote>
  <w:footnote w:id="319">
    <w:p w14:paraId="14DA3491" w14:textId="4991AB0C"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Jan </w:t>
      </w:r>
      <w:proofErr w:type="spellStart"/>
      <w:r w:rsidRPr="00DA5EB5">
        <w:rPr>
          <w:i/>
          <w:szCs w:val="18"/>
        </w:rPr>
        <w:t>Oostergetel</w:t>
      </w:r>
      <w:proofErr w:type="spellEnd"/>
      <w:r w:rsidRPr="00DA5EB5">
        <w:rPr>
          <w:i/>
          <w:szCs w:val="18"/>
        </w:rPr>
        <w:t xml:space="preserve"> and Theodora </w:t>
      </w:r>
      <w:proofErr w:type="spellStart"/>
      <w:r w:rsidRPr="00DA5EB5">
        <w:rPr>
          <w:i/>
          <w:szCs w:val="18"/>
        </w:rPr>
        <w:t>Laurentius</w:t>
      </w:r>
      <w:proofErr w:type="spellEnd"/>
      <w:r w:rsidRPr="00DA5EB5">
        <w:rPr>
          <w:i/>
          <w:szCs w:val="18"/>
        </w:rPr>
        <w:t xml:space="preserve"> v The Slovak Republic</w:t>
      </w:r>
      <w:r w:rsidRPr="00DA5EB5">
        <w:rPr>
          <w:szCs w:val="18"/>
        </w:rPr>
        <w:t>, UNCITRAL, Final Award (23 April 2012) at para 88.</w:t>
      </w:r>
    </w:p>
  </w:footnote>
  <w:footnote w:id="320">
    <w:p w14:paraId="121F5BBF" w14:textId="62EB9762"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paras 92-93, 178.</w:t>
      </w:r>
    </w:p>
  </w:footnote>
  <w:footnote w:id="321">
    <w:p w14:paraId="580F6349" w14:textId="5180BFD4"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292.</w:t>
      </w:r>
    </w:p>
  </w:footnote>
  <w:footnote w:id="322">
    <w:p w14:paraId="6160CA80"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p>
  </w:footnote>
  <w:footnote w:id="323">
    <w:p w14:paraId="047A601B"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paras 296-97.</w:t>
      </w:r>
    </w:p>
  </w:footnote>
  <w:footnote w:id="324">
    <w:p w14:paraId="5FFF185E" w14:textId="77777777"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paras 302-303 (internal quotations omitted).</w:t>
      </w:r>
    </w:p>
  </w:footnote>
  <w:footnote w:id="325">
    <w:p w14:paraId="5639772C" w14:textId="53E6583D"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ECE </w:t>
      </w:r>
      <w:proofErr w:type="spellStart"/>
      <w:r w:rsidRPr="00DA5EB5">
        <w:rPr>
          <w:i/>
          <w:szCs w:val="18"/>
        </w:rPr>
        <w:t>Projektmanagement</w:t>
      </w:r>
      <w:proofErr w:type="spellEnd"/>
      <w:r w:rsidRPr="00DA5EB5">
        <w:rPr>
          <w:i/>
          <w:szCs w:val="18"/>
        </w:rPr>
        <w:t xml:space="preserve"> International GmbH and </w:t>
      </w:r>
      <w:proofErr w:type="spellStart"/>
      <w:r w:rsidRPr="00DA5EB5">
        <w:rPr>
          <w:i/>
          <w:szCs w:val="18"/>
        </w:rPr>
        <w:t>Kommanditgesellschaft</w:t>
      </w:r>
      <w:proofErr w:type="spellEnd"/>
      <w:r w:rsidRPr="00DA5EB5">
        <w:rPr>
          <w:i/>
          <w:szCs w:val="18"/>
        </w:rPr>
        <w:t xml:space="preserve"> PANTA </w:t>
      </w:r>
      <w:proofErr w:type="spellStart"/>
      <w:r w:rsidRPr="00DA5EB5">
        <w:rPr>
          <w:i/>
          <w:szCs w:val="18"/>
        </w:rPr>
        <w:t>Achtundsechzigste</w:t>
      </w:r>
      <w:proofErr w:type="spellEnd"/>
      <w:r w:rsidRPr="00DA5EB5">
        <w:rPr>
          <w:i/>
          <w:szCs w:val="18"/>
        </w:rPr>
        <w:t xml:space="preserve"> </w:t>
      </w:r>
      <w:proofErr w:type="spellStart"/>
      <w:r w:rsidRPr="00DA5EB5">
        <w:rPr>
          <w:i/>
          <w:szCs w:val="18"/>
        </w:rPr>
        <w:t>Grundstücksgesellschaft</w:t>
      </w:r>
      <w:proofErr w:type="spellEnd"/>
      <w:r w:rsidRPr="00DA5EB5">
        <w:rPr>
          <w:i/>
          <w:szCs w:val="18"/>
        </w:rPr>
        <w:t xml:space="preserve"> </w:t>
      </w:r>
      <w:proofErr w:type="spellStart"/>
      <w:r w:rsidRPr="00DA5EB5">
        <w:rPr>
          <w:i/>
          <w:szCs w:val="18"/>
        </w:rPr>
        <w:t>mbH</w:t>
      </w:r>
      <w:proofErr w:type="spellEnd"/>
      <w:r w:rsidRPr="00DA5EB5">
        <w:rPr>
          <w:i/>
          <w:szCs w:val="18"/>
        </w:rPr>
        <w:t xml:space="preserve"> &amp; Co v Czech Republic</w:t>
      </w:r>
      <w:r w:rsidRPr="00DA5EB5">
        <w:rPr>
          <w:szCs w:val="18"/>
        </w:rPr>
        <w:t>, PCA Case No. 2010-5, Award (19 September 2013) at paras 1.1-1.4, 1.9-1.15.</w:t>
      </w:r>
    </w:p>
  </w:footnote>
  <w:footnote w:id="326">
    <w:p w14:paraId="759DC7CB" w14:textId="4295C39D"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paras 1.13, 4.1–4.7.</w:t>
      </w:r>
    </w:p>
  </w:footnote>
  <w:footnote w:id="327">
    <w:p w14:paraId="4106BDC4" w14:textId="13EF89C6"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paras 1.14, 4.8–4.22.</w:t>
      </w:r>
    </w:p>
  </w:footnote>
  <w:footnote w:id="328">
    <w:p w14:paraId="3AAAEE55" w14:textId="26294FC0"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4.394.</w:t>
      </w:r>
    </w:p>
  </w:footnote>
  <w:footnote w:id="329">
    <w:p w14:paraId="55EE3109" w14:textId="2650691E"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Ibid </w:t>
      </w:r>
      <w:r w:rsidRPr="00DA5EB5">
        <w:rPr>
          <w:szCs w:val="18"/>
        </w:rPr>
        <w:t xml:space="preserve">at paras 4.846–4.847. </w:t>
      </w:r>
    </w:p>
  </w:footnote>
  <w:footnote w:id="330">
    <w:p w14:paraId="4A85FC75" w14:textId="363BB97B"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paras 4.848–4.849.</w:t>
      </w:r>
    </w:p>
  </w:footnote>
  <w:footnote w:id="331">
    <w:p w14:paraId="1132FC95" w14:textId="30603848"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4.871.</w:t>
      </w:r>
    </w:p>
  </w:footnote>
  <w:footnote w:id="332">
    <w:p w14:paraId="6C109F11" w14:textId="3DF6E450"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4.873.</w:t>
      </w:r>
    </w:p>
  </w:footnote>
  <w:footnote w:id="333">
    <w:p w14:paraId="0A84ABFE" w14:textId="3CE50054"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4.876.</w:t>
      </w:r>
    </w:p>
  </w:footnote>
  <w:footnote w:id="334">
    <w:p w14:paraId="57EBF0D6" w14:textId="384A5F0C"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4.879.</w:t>
      </w:r>
    </w:p>
  </w:footnote>
  <w:footnote w:id="335">
    <w:p w14:paraId="4B310485" w14:textId="2FA438A7"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4.932.</w:t>
      </w:r>
    </w:p>
  </w:footnote>
  <w:footnote w:id="336">
    <w:p w14:paraId="28DB7731"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World Duty Free Company Limited v Republic of Kenya</w:t>
      </w:r>
      <w:r w:rsidRPr="00DA5EB5">
        <w:rPr>
          <w:szCs w:val="18"/>
        </w:rPr>
        <w:t>, ICSID Case No ARB/00/7, Award (4 October 2006).</w:t>
      </w:r>
    </w:p>
  </w:footnote>
  <w:footnote w:id="337">
    <w:p w14:paraId="06785D82" w14:textId="7AE070D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proofErr w:type="spellStart"/>
      <w:r w:rsidRPr="00DA5EB5">
        <w:rPr>
          <w:szCs w:val="18"/>
        </w:rPr>
        <w:t>Llamzon</w:t>
      </w:r>
      <w:proofErr w:type="spellEnd"/>
      <w:r w:rsidRPr="00DA5EB5">
        <w:rPr>
          <w:szCs w:val="18"/>
        </w:rPr>
        <w:t xml:space="preserve"> </w:t>
      </w:r>
      <w:r w:rsidRPr="00DA5EB5">
        <w:rPr>
          <w:iCs/>
          <w:szCs w:val="18"/>
        </w:rPr>
        <w:t>(</w:t>
      </w:r>
      <w:r w:rsidRPr="00DA5EB5">
        <w:rPr>
          <w:szCs w:val="18"/>
        </w:rPr>
        <w:t>2014) at para 6.01.</w:t>
      </w:r>
    </w:p>
  </w:footnote>
  <w:footnote w:id="338">
    <w:p w14:paraId="52A7FB5F" w14:textId="7FB7CBE6"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World Duty Free Company Limited v Republic of Kenya</w:t>
      </w:r>
      <w:r w:rsidRPr="00DA5EB5">
        <w:rPr>
          <w:szCs w:val="18"/>
        </w:rPr>
        <w:t>, at paras 62, 75.</w:t>
      </w:r>
    </w:p>
  </w:footnote>
  <w:footnote w:id="339">
    <w:p w14:paraId="11635FBB" w14:textId="503CFEE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paras 68-74.</w:t>
      </w:r>
    </w:p>
  </w:footnote>
  <w:footnote w:id="340">
    <w:p w14:paraId="2C5C31D9" w14:textId="08322C98"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66.</w:t>
      </w:r>
    </w:p>
  </w:footnote>
  <w:footnote w:id="341">
    <w:p w14:paraId="67F10C0D" w14:textId="791C8E11"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i/>
          <w:szCs w:val="18"/>
        </w:rPr>
        <w:t xml:space="preserve">Ibid </w:t>
      </w:r>
      <w:r w:rsidRPr="00DA5EB5">
        <w:rPr>
          <w:szCs w:val="18"/>
        </w:rPr>
        <w:t>at para 105.</w:t>
      </w:r>
    </w:p>
  </w:footnote>
  <w:footnote w:id="342">
    <w:p w14:paraId="25682DBC" w14:textId="5AC26C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136.</w:t>
      </w:r>
    </w:p>
  </w:footnote>
  <w:footnote w:id="343">
    <w:p w14:paraId="28AF4510" w14:textId="6823CE93"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142.</w:t>
      </w:r>
    </w:p>
  </w:footnote>
  <w:footnote w:id="344">
    <w:p w14:paraId="66F94064" w14:textId="0AE7455A"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paras 143-156.</w:t>
      </w:r>
    </w:p>
  </w:footnote>
  <w:footnote w:id="345">
    <w:p w14:paraId="03282468" w14:textId="202E7BCC"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156.</w:t>
      </w:r>
    </w:p>
  </w:footnote>
  <w:footnote w:id="346">
    <w:p w14:paraId="0881BB90"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157.</w:t>
      </w:r>
    </w:p>
  </w:footnote>
  <w:footnote w:id="347">
    <w:p w14:paraId="22034ADE" w14:textId="2D168EE2"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188.</w:t>
      </w:r>
    </w:p>
  </w:footnote>
  <w:footnote w:id="348">
    <w:p w14:paraId="0888D322"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 xml:space="preserve">Ibid </w:t>
      </w:r>
      <w:r w:rsidRPr="00DA5EB5">
        <w:t>at para 180.</w:t>
      </w:r>
    </w:p>
  </w:footnote>
  <w:footnote w:id="349">
    <w:p w14:paraId="19D5F438" w14:textId="77777777" w:rsidR="007E0F72" w:rsidRPr="00DA5EB5" w:rsidRDefault="007E0F72" w:rsidP="008C724A">
      <w:pPr>
        <w:pStyle w:val="FootnoteText"/>
      </w:pPr>
      <w:r w:rsidRPr="00DA5EB5">
        <w:rPr>
          <w:rStyle w:val="FootnoteReference"/>
          <w:sz w:val="18"/>
          <w:szCs w:val="18"/>
        </w:rPr>
        <w:footnoteRef/>
      </w:r>
      <w:r w:rsidRPr="00DA5EB5">
        <w:t xml:space="preserve"> </w:t>
      </w:r>
      <w:r w:rsidRPr="00DA5EB5">
        <w:rPr>
          <w:i/>
        </w:rPr>
        <w:t>Ibid</w:t>
      </w:r>
      <w:r w:rsidRPr="00DA5EB5">
        <w:t xml:space="preserve"> at para 181.</w:t>
      </w:r>
    </w:p>
  </w:footnote>
  <w:footnote w:id="350">
    <w:p w14:paraId="451D8F62" w14:textId="77777777"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Metal-Tech Ltd v The Republic of Uzbekistan</w:t>
      </w:r>
      <w:r w:rsidRPr="00DA5EB5">
        <w:t>, ICSID Case No ARB/10/3, Award (4 October 2013).</w:t>
      </w:r>
    </w:p>
  </w:footnote>
  <w:footnote w:id="351">
    <w:p w14:paraId="1A128210" w14:textId="40A767A1" w:rsidR="007E0F72" w:rsidRPr="00DA5EB5" w:rsidRDefault="007E0F72" w:rsidP="00BF52C3">
      <w:pPr>
        <w:pStyle w:val="FootnoteText"/>
      </w:pPr>
      <w:r w:rsidRPr="00DA5EB5">
        <w:rPr>
          <w:rStyle w:val="FootnoteReference"/>
          <w:sz w:val="18"/>
          <w:szCs w:val="18"/>
        </w:rPr>
        <w:footnoteRef/>
      </w:r>
      <w:r w:rsidRPr="00DA5EB5">
        <w:t xml:space="preserve"> </w:t>
      </w:r>
      <w:proofErr w:type="spellStart"/>
      <w:r w:rsidRPr="00DA5EB5">
        <w:t>Llamzon</w:t>
      </w:r>
      <w:proofErr w:type="spellEnd"/>
      <w:r w:rsidRPr="00DA5EB5">
        <w:t xml:space="preserve"> </w:t>
      </w:r>
      <w:r w:rsidRPr="00DA5EB5">
        <w:rPr>
          <w:iCs/>
        </w:rPr>
        <w:t>(</w:t>
      </w:r>
      <w:r w:rsidRPr="00DA5EB5">
        <w:t>2014) at para 6.43.</w:t>
      </w:r>
    </w:p>
  </w:footnote>
  <w:footnote w:id="352">
    <w:p w14:paraId="53146306" w14:textId="148F1820"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Metal-Tech Ltd v The Republic of Uzbekistan</w:t>
      </w:r>
      <w:r w:rsidRPr="00DA5EB5">
        <w:t>, at paras 1, 3, 7, 19, 55.</w:t>
      </w:r>
    </w:p>
  </w:footnote>
  <w:footnote w:id="353">
    <w:p w14:paraId="5027B465" w14:textId="74ADE783"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Ibid</w:t>
      </w:r>
      <w:r w:rsidRPr="00DA5EB5">
        <w:t xml:space="preserve"> at para 76.</w:t>
      </w:r>
    </w:p>
  </w:footnote>
  <w:footnote w:id="354">
    <w:p w14:paraId="1E407104" w14:textId="22B14B28"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Ibid</w:t>
      </w:r>
      <w:r w:rsidRPr="00DA5EB5">
        <w:t xml:space="preserve"> at paras 28-30.</w:t>
      </w:r>
    </w:p>
  </w:footnote>
  <w:footnote w:id="355">
    <w:p w14:paraId="293C76A1" w14:textId="5040AF98"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Ibid</w:t>
      </w:r>
      <w:r w:rsidRPr="00DA5EB5">
        <w:t xml:space="preserve"> at para 240.</w:t>
      </w:r>
    </w:p>
  </w:footnote>
  <w:footnote w:id="356">
    <w:p w14:paraId="0F9FBF9B" w14:textId="5CE2BCBD" w:rsidR="007E0F72" w:rsidRPr="00DA5EB5" w:rsidRDefault="007E0F72" w:rsidP="00BF52C3">
      <w:pPr>
        <w:pStyle w:val="FootnoteText"/>
      </w:pPr>
      <w:r w:rsidRPr="00DA5EB5">
        <w:rPr>
          <w:rStyle w:val="FootnoteReference"/>
          <w:sz w:val="18"/>
          <w:szCs w:val="18"/>
        </w:rPr>
        <w:footnoteRef/>
      </w:r>
      <w:r w:rsidRPr="00DA5EB5">
        <w:t xml:space="preserve"> </w:t>
      </w:r>
      <w:r w:rsidRPr="00DA5EB5">
        <w:rPr>
          <w:i/>
        </w:rPr>
        <w:t>Ibid</w:t>
      </w:r>
      <w:r w:rsidRPr="00DA5EB5">
        <w:t xml:space="preserve"> at paras 325, 327, 337, 351-52, 389.</w:t>
      </w:r>
    </w:p>
  </w:footnote>
  <w:footnote w:id="357">
    <w:p w14:paraId="2C65FB12"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422.</w:t>
      </w:r>
    </w:p>
  </w:footnote>
  <w:footnote w:id="358">
    <w:p w14:paraId="00F2EAEA" w14:textId="00D0073E"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308.</w:t>
      </w:r>
    </w:p>
  </w:footnote>
  <w:footnote w:id="359">
    <w:p w14:paraId="022AB268" w14:textId="2713789D"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336.</w:t>
      </w:r>
    </w:p>
  </w:footnote>
  <w:footnote w:id="360">
    <w:p w14:paraId="1D34DF1A"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389.</w:t>
      </w:r>
    </w:p>
  </w:footnote>
  <w:footnote w:id="361">
    <w:p w14:paraId="244ED76A" w14:textId="000502F3" w:rsidR="007E0F72" w:rsidRPr="00DA5EB5" w:rsidRDefault="007E0F72" w:rsidP="00BF52C3">
      <w:pPr>
        <w:pStyle w:val="FootnoteText"/>
      </w:pPr>
      <w:r w:rsidRPr="00DA5EB5">
        <w:rPr>
          <w:rStyle w:val="FootnoteReference"/>
          <w:sz w:val="18"/>
          <w:szCs w:val="18"/>
        </w:rPr>
        <w:footnoteRef/>
      </w:r>
      <w:r w:rsidRPr="00DA5EB5">
        <w:rPr>
          <w:szCs w:val="18"/>
        </w:rPr>
        <w:t xml:space="preserve"> </w:t>
      </w:r>
      <w:proofErr w:type="spellStart"/>
      <w:r w:rsidRPr="00DA5EB5">
        <w:rPr>
          <w:szCs w:val="18"/>
        </w:rPr>
        <w:t>Llamzon</w:t>
      </w:r>
      <w:proofErr w:type="spellEnd"/>
      <w:r w:rsidRPr="00DA5EB5">
        <w:rPr>
          <w:szCs w:val="18"/>
        </w:rPr>
        <w:t xml:space="preserve"> (2014) at para 6.275.</w:t>
      </w:r>
    </w:p>
  </w:footnote>
  <w:footnote w:id="362">
    <w:p w14:paraId="238C8E3E" w14:textId="77777777" w:rsidR="007E0F72" w:rsidRPr="00DA5EB5" w:rsidRDefault="007E0F72" w:rsidP="00F54349">
      <w:pPr>
        <w:pStyle w:val="FootnoteText"/>
        <w:rPr>
          <w:szCs w:val="18"/>
        </w:rPr>
      </w:pPr>
      <w:r w:rsidRPr="00DA5EB5">
        <w:rPr>
          <w:rStyle w:val="FootnoteReference"/>
          <w:sz w:val="18"/>
          <w:szCs w:val="18"/>
        </w:rPr>
        <w:footnoteRef/>
      </w:r>
      <w:r w:rsidRPr="00DA5EB5">
        <w:rPr>
          <w:szCs w:val="18"/>
        </w:rPr>
        <w:t xml:space="preserve"> </w:t>
      </w:r>
      <w:r w:rsidRPr="00DA5EB5">
        <w:rPr>
          <w:i/>
          <w:szCs w:val="18"/>
        </w:rPr>
        <w:t>Niko Resources (Bangladesh) Ltd. v Bangladesh Petroleum Exploration &amp; Production Company Limited ("</w:t>
      </w:r>
      <w:proofErr w:type="spellStart"/>
      <w:r w:rsidRPr="00DA5EB5">
        <w:rPr>
          <w:i/>
          <w:szCs w:val="18"/>
        </w:rPr>
        <w:t>Bapex</w:t>
      </w:r>
      <w:proofErr w:type="spellEnd"/>
      <w:r w:rsidRPr="00DA5EB5">
        <w:rPr>
          <w:i/>
          <w:szCs w:val="18"/>
        </w:rPr>
        <w:t>") and Bangladesh Oil Gas and Mineral Corporation ("</w:t>
      </w:r>
      <w:proofErr w:type="spellStart"/>
      <w:r w:rsidRPr="00DA5EB5">
        <w:rPr>
          <w:i/>
          <w:szCs w:val="18"/>
        </w:rPr>
        <w:t>Petrobangla</w:t>
      </w:r>
      <w:proofErr w:type="spellEnd"/>
      <w:r w:rsidRPr="00DA5EB5">
        <w:rPr>
          <w:i/>
          <w:szCs w:val="18"/>
        </w:rPr>
        <w:t>")</w:t>
      </w:r>
      <w:r w:rsidRPr="00DA5EB5">
        <w:rPr>
          <w:szCs w:val="18"/>
        </w:rPr>
        <w:t>, ICSID Case No ARB/10/18, Decision on Jurisdiction (19 August 2013)</w:t>
      </w:r>
    </w:p>
  </w:footnote>
  <w:footnote w:id="363">
    <w:p w14:paraId="546B2D2A" w14:textId="32DECD82"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paras 1-7, 45, 88.</w:t>
      </w:r>
    </w:p>
  </w:footnote>
  <w:footnote w:id="364">
    <w:p w14:paraId="2EB07E66" w14:textId="2155AF23"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6.</w:t>
      </w:r>
    </w:p>
  </w:footnote>
  <w:footnote w:id="365">
    <w:p w14:paraId="43EDD63D" w14:textId="4794CA6F"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See </w:t>
      </w:r>
      <w:r w:rsidRPr="00DA5EB5">
        <w:rPr>
          <w:i/>
          <w:szCs w:val="18"/>
        </w:rPr>
        <w:t>R v Niko Resources Ltd</w:t>
      </w:r>
      <w:r w:rsidRPr="00DA5EB5">
        <w:rPr>
          <w:szCs w:val="18"/>
        </w:rPr>
        <w:t xml:space="preserve">, 2011 </w:t>
      </w:r>
      <w:proofErr w:type="spellStart"/>
      <w:r w:rsidRPr="00DA5EB5">
        <w:rPr>
          <w:szCs w:val="18"/>
        </w:rPr>
        <w:t>CarswellAlta</w:t>
      </w:r>
      <w:proofErr w:type="spellEnd"/>
      <w:r w:rsidRPr="00DA5EB5">
        <w:rPr>
          <w:szCs w:val="18"/>
        </w:rPr>
        <w:t xml:space="preserve"> 2521 (Alta QB) discussed in Chapter 2 at 2-45 of this book.</w:t>
      </w:r>
    </w:p>
  </w:footnote>
  <w:footnote w:id="366">
    <w:p w14:paraId="1640AB11" w14:textId="2E5CF15B"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paras 374, 376.</w:t>
      </w:r>
    </w:p>
  </w:footnote>
  <w:footnote w:id="367">
    <w:p w14:paraId="49EF7AE6" w14:textId="34CF1D3B"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380.</w:t>
      </w:r>
    </w:p>
  </w:footnote>
  <w:footnote w:id="368">
    <w:p w14:paraId="034AAD97" w14:textId="291AC593"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paras 432-433.</w:t>
      </w:r>
    </w:p>
  </w:footnote>
  <w:footnote w:id="369">
    <w:p w14:paraId="4AAA7D49"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443 (italics in the original, internal quotations omitted).</w:t>
      </w:r>
    </w:p>
  </w:footnote>
  <w:footnote w:id="370">
    <w:p w14:paraId="7CD3A94E" w14:textId="6258B332"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paras 434-436.</w:t>
      </w:r>
    </w:p>
  </w:footnote>
  <w:footnote w:id="371">
    <w:p w14:paraId="5F130727" w14:textId="38520F44"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444.</w:t>
      </w:r>
    </w:p>
  </w:footnote>
  <w:footnote w:id="372">
    <w:p w14:paraId="780639B5" w14:textId="5DB940F1"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438.</w:t>
      </w:r>
    </w:p>
  </w:footnote>
  <w:footnote w:id="373">
    <w:p w14:paraId="21E0CD17" w14:textId="5C3FBD9E"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453-455.</w:t>
      </w:r>
    </w:p>
  </w:footnote>
  <w:footnote w:id="374">
    <w:p w14:paraId="4828BA68" w14:textId="660D026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456.</w:t>
      </w:r>
    </w:p>
  </w:footnote>
  <w:footnote w:id="375">
    <w:p w14:paraId="5D83F375" w14:textId="5794AC59"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465.</w:t>
      </w:r>
    </w:p>
  </w:footnote>
  <w:footnote w:id="376">
    <w:p w14:paraId="2A1FBAE1" w14:textId="343105D8"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466.</w:t>
      </w:r>
    </w:p>
  </w:footnote>
  <w:footnote w:id="377">
    <w:p w14:paraId="1E510861" w14:textId="14800A58"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471.</w:t>
      </w:r>
    </w:p>
  </w:footnote>
  <w:footnote w:id="378">
    <w:p w14:paraId="25BB4562" w14:textId="616BF4B9"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474.</w:t>
      </w:r>
    </w:p>
  </w:footnote>
  <w:footnote w:id="379">
    <w:p w14:paraId="1C6199C5" w14:textId="3CA40C19"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484.</w:t>
      </w:r>
    </w:p>
  </w:footnote>
  <w:footnote w:id="380">
    <w:p w14:paraId="6754D3E2" w14:textId="15DB031D"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485.</w:t>
      </w:r>
    </w:p>
  </w:footnote>
  <w:footnote w:id="381">
    <w:p w14:paraId="3C518395" w14:textId="23415772"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proofErr w:type="spellStart"/>
      <w:r w:rsidRPr="00DA5EB5">
        <w:rPr>
          <w:szCs w:val="18"/>
        </w:rPr>
        <w:t>Llamzon</w:t>
      </w:r>
      <w:proofErr w:type="spellEnd"/>
      <w:r w:rsidRPr="00DA5EB5">
        <w:rPr>
          <w:szCs w:val="18"/>
        </w:rPr>
        <w:t xml:space="preserve"> </w:t>
      </w:r>
      <w:r w:rsidRPr="00DA5EB5">
        <w:rPr>
          <w:iCs/>
          <w:szCs w:val="18"/>
        </w:rPr>
        <w:t>(</w:t>
      </w:r>
      <w:r w:rsidRPr="00DA5EB5">
        <w:rPr>
          <w:szCs w:val="18"/>
        </w:rPr>
        <w:t>2014) at</w:t>
      </w:r>
      <w:r w:rsidRPr="00DA5EB5">
        <w:rPr>
          <w:iCs/>
          <w:szCs w:val="18"/>
        </w:rPr>
        <w:t xml:space="preserve"> para</w:t>
      </w:r>
      <w:r w:rsidRPr="00DA5EB5">
        <w:rPr>
          <w:szCs w:val="18"/>
        </w:rPr>
        <w:t xml:space="preserve"> 6.289.</w:t>
      </w:r>
    </w:p>
  </w:footnote>
  <w:footnote w:id="382">
    <w:p w14:paraId="1E31B5FC" w14:textId="57568A3D"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Niko Resources v Bangladesh</w:t>
      </w:r>
      <w:r w:rsidRPr="00DA5EB5">
        <w:rPr>
          <w:szCs w:val="18"/>
        </w:rPr>
        <w:t xml:space="preserve">, ICSID Case No ARB/10/11 &amp; ARB/10/18, Decision on the Payment Claim (11 September 2014) at </w:t>
      </w:r>
      <w:r w:rsidRPr="00DA5EB5">
        <w:rPr>
          <w:color w:val="222222"/>
          <w:szCs w:val="18"/>
          <w:shd w:val="clear" w:color="auto" w:fill="FFFFFF"/>
        </w:rPr>
        <w:t>para 292(1), online: &lt;</w:t>
      </w:r>
      <w:hyperlink r:id="rId85" w:history="1">
        <w:r w:rsidRPr="00DA5EB5">
          <w:rPr>
            <w:rStyle w:val="Hyperlink"/>
            <w:szCs w:val="18"/>
            <w:shd w:val="clear" w:color="auto" w:fill="FFFFFF"/>
          </w:rPr>
          <w:t>http://www.italaw.com/sites/default/files/case-documents/italaw6326.pdf</w:t>
        </w:r>
      </w:hyperlink>
      <w:r w:rsidRPr="00DA5EB5">
        <w:rPr>
          <w:color w:val="222222"/>
          <w:szCs w:val="18"/>
          <w:shd w:val="clear" w:color="auto" w:fill="FFFFFF"/>
        </w:rPr>
        <w:t>&gt;</w:t>
      </w:r>
      <w:r w:rsidRPr="00DA5EB5">
        <w:rPr>
          <w:szCs w:val="18"/>
        </w:rPr>
        <w:t>.</w:t>
      </w:r>
    </w:p>
  </w:footnote>
  <w:footnote w:id="383">
    <w:p w14:paraId="741F49A1" w14:textId="2099454B"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Niko Resources v Bangladesh</w:t>
      </w:r>
      <w:r w:rsidRPr="00DA5EB5">
        <w:rPr>
          <w:szCs w:val="18"/>
        </w:rPr>
        <w:t xml:space="preserve">, ICSID Case No ARB/10/11 &amp; ARB/10/18, Procedural Order No 13 Concerning the Further Procedure Regarding the Corruption Issue and Related Issues (26 May 2016) at paras 1-3, online: </w:t>
      </w:r>
      <w:r w:rsidRPr="00DA5EB5">
        <w:rPr>
          <w:color w:val="222222"/>
          <w:szCs w:val="18"/>
          <w:shd w:val="clear" w:color="auto" w:fill="FFFFFF"/>
        </w:rPr>
        <w:t>&lt;</w:t>
      </w:r>
      <w:hyperlink r:id="rId86" w:history="1">
        <w:r w:rsidRPr="00DA5EB5">
          <w:rPr>
            <w:rStyle w:val="Hyperlink"/>
            <w:szCs w:val="18"/>
            <w:shd w:val="clear" w:color="auto" w:fill="FFFFFF"/>
          </w:rPr>
          <w:t>http://www.italaw.com/sites/default/files/case-documents/italaw7340.pdf</w:t>
        </w:r>
      </w:hyperlink>
      <w:r w:rsidRPr="00DA5EB5">
        <w:rPr>
          <w:color w:val="222222"/>
          <w:szCs w:val="18"/>
          <w:shd w:val="clear" w:color="auto" w:fill="FFFFFF"/>
        </w:rPr>
        <w:t>&gt;</w:t>
      </w:r>
      <w:r w:rsidRPr="00DA5EB5">
        <w:rPr>
          <w:szCs w:val="18"/>
        </w:rPr>
        <w:t>.</w:t>
      </w:r>
    </w:p>
  </w:footnote>
  <w:footnote w:id="384">
    <w:p w14:paraId="6F589175" w14:textId="2C47865E"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7.</w:t>
      </w:r>
    </w:p>
  </w:footnote>
  <w:footnote w:id="385">
    <w:p w14:paraId="33D12BF7" w14:textId="7B10D82E"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Ibid</w:t>
      </w:r>
      <w:r w:rsidRPr="00DA5EB5">
        <w:rPr>
          <w:szCs w:val="18"/>
        </w:rPr>
        <w:t xml:space="preserve"> at para 2.</w:t>
      </w:r>
    </w:p>
  </w:footnote>
  <w:footnote w:id="386">
    <w:p w14:paraId="78ED540D" w14:textId="77777777"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MOL Hungarian Oil and Gas Company Plc v Republic of Croatia</w:t>
      </w:r>
      <w:r w:rsidRPr="00DA5EB5">
        <w:rPr>
          <w:szCs w:val="18"/>
        </w:rPr>
        <w:t>, ICSID Case No ARB/13/32, Decision on Respondent’s Application under ICSID Arbitration Rule 41(5) (2 December 2014).</w:t>
      </w:r>
    </w:p>
  </w:footnote>
  <w:footnote w:id="387">
    <w:p w14:paraId="43BE61CC" w14:textId="62D55545"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For the facts of the case, see </w:t>
      </w:r>
      <w:r w:rsidRPr="00DA5EB5">
        <w:rPr>
          <w:i/>
          <w:szCs w:val="18"/>
        </w:rPr>
        <w:t>ibid</w:t>
      </w:r>
      <w:r w:rsidRPr="00DA5EB5">
        <w:rPr>
          <w:szCs w:val="18"/>
        </w:rPr>
        <w:t xml:space="preserve"> at paras 1-21; Margareta </w:t>
      </w:r>
      <w:proofErr w:type="spellStart"/>
      <w:r w:rsidRPr="00DA5EB5">
        <w:rPr>
          <w:szCs w:val="18"/>
        </w:rPr>
        <w:t>Habazin</w:t>
      </w:r>
      <w:proofErr w:type="spellEnd"/>
      <w:r w:rsidRPr="00DA5EB5">
        <w:rPr>
          <w:szCs w:val="18"/>
        </w:rPr>
        <w:t>, “</w:t>
      </w:r>
      <w:r w:rsidRPr="00DA5EB5">
        <w:rPr>
          <w:i/>
          <w:szCs w:val="18"/>
        </w:rPr>
        <w:t>MOL v. Republic of Croatia</w:t>
      </w:r>
      <w:r w:rsidRPr="00DA5EB5">
        <w:rPr>
          <w:szCs w:val="18"/>
        </w:rPr>
        <w:t xml:space="preserve">: The ICSID Case Where Investor Corruption as a Defense Strategy of the Host State in International Investment Arbitration Might Succeed” (16 November 2015), </w:t>
      </w:r>
      <w:r w:rsidRPr="00DA5EB5">
        <w:rPr>
          <w:i/>
          <w:szCs w:val="18"/>
        </w:rPr>
        <w:t>Kluwer Arbitration Blog,</w:t>
      </w:r>
      <w:r w:rsidRPr="00DA5EB5">
        <w:rPr>
          <w:szCs w:val="18"/>
        </w:rPr>
        <w:t xml:space="preserve"> online: &lt;</w:t>
      </w:r>
      <w:hyperlink r:id="rId87" w:history="1">
        <w:r w:rsidRPr="00DA5EB5">
          <w:rPr>
            <w:rStyle w:val="Hyperlink"/>
            <w:szCs w:val="18"/>
          </w:rPr>
          <w:t>http://kluwerarbitrationblog.com/2015/11/16/mol-v-republic-of-croatia-the-icsid-case-where-investor-corruption-as-a-defense-strategy-of-the-host-state-in-international-investment-arbitration-might-succeed/</w:t>
        </w:r>
      </w:hyperlink>
      <w:r w:rsidRPr="00DA5EB5">
        <w:rPr>
          <w:szCs w:val="18"/>
        </w:rPr>
        <w:t xml:space="preserve">&gt;; Luke Eric Peterson, “Croatia Fails in Bid to Argue that Umbrella Clause Carve-out Should Knock Out Claim; UNCITRAL Tribunal Finalized in Separate Case”, </w:t>
      </w:r>
      <w:r w:rsidRPr="00DA5EB5">
        <w:rPr>
          <w:i/>
          <w:szCs w:val="18"/>
        </w:rPr>
        <w:t>Investment Arbitration Reporter</w:t>
      </w:r>
      <w:r w:rsidRPr="00DA5EB5">
        <w:rPr>
          <w:szCs w:val="18"/>
        </w:rPr>
        <w:t xml:space="preserve"> (3 December 2014), online: &lt;</w:t>
      </w:r>
      <w:hyperlink r:id="rId88" w:history="1">
        <w:r w:rsidRPr="00DA5EB5">
          <w:rPr>
            <w:rStyle w:val="Hyperlink"/>
            <w:szCs w:val="18"/>
          </w:rPr>
          <w:t>https://www.iareporter.com/articles/croatia-fails-in-bid-to-argue-that-umbrella-clause-carve-out-should-knock-out-claim-uncitral-tribunal-finalized-in-separate-case/</w:t>
        </w:r>
      </w:hyperlink>
      <w:r w:rsidRPr="00DA5EB5">
        <w:rPr>
          <w:szCs w:val="18"/>
        </w:rPr>
        <w:t>&gt;.</w:t>
      </w:r>
    </w:p>
  </w:footnote>
  <w:footnote w:id="388">
    <w:p w14:paraId="79BA9850" w14:textId="153C6FAB"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MOL Hungarian Oil and Gas Company Plc v Republic of Croatia</w:t>
      </w:r>
      <w:r w:rsidRPr="00DA5EB5">
        <w:rPr>
          <w:szCs w:val="18"/>
        </w:rPr>
        <w:t>, ICSID Case No ARB/13/32, Decision on Respondent’s Application under ICSID Arbitration Rule 41(5) (2 December 2014) at para 17.</w:t>
      </w:r>
    </w:p>
  </w:footnote>
  <w:footnote w:id="389">
    <w:p w14:paraId="067220AA" w14:textId="1A058E3F"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Ibid </w:t>
      </w:r>
      <w:r w:rsidRPr="00DA5EB5">
        <w:rPr>
          <w:szCs w:val="18"/>
        </w:rPr>
        <w:t>at</w:t>
      </w:r>
      <w:r w:rsidRPr="00DA5EB5">
        <w:rPr>
          <w:i/>
          <w:szCs w:val="18"/>
        </w:rPr>
        <w:t xml:space="preserve"> </w:t>
      </w:r>
      <w:r w:rsidRPr="00DA5EB5">
        <w:rPr>
          <w:szCs w:val="18"/>
        </w:rPr>
        <w:t>para 19.</w:t>
      </w:r>
    </w:p>
  </w:footnote>
  <w:footnote w:id="390">
    <w:p w14:paraId="635BC6F0" w14:textId="0FD48C99"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Ibid </w:t>
      </w:r>
      <w:r w:rsidRPr="00DA5EB5">
        <w:rPr>
          <w:szCs w:val="18"/>
        </w:rPr>
        <w:t>at</w:t>
      </w:r>
      <w:r w:rsidRPr="00DA5EB5">
        <w:rPr>
          <w:i/>
          <w:szCs w:val="18"/>
        </w:rPr>
        <w:t xml:space="preserve"> </w:t>
      </w:r>
      <w:r w:rsidRPr="00DA5EB5">
        <w:rPr>
          <w:szCs w:val="18"/>
        </w:rPr>
        <w:t>para 39.</w:t>
      </w:r>
    </w:p>
  </w:footnote>
  <w:footnote w:id="391">
    <w:p w14:paraId="52EBD355" w14:textId="671D4028"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w:t>
      </w:r>
      <w:r w:rsidRPr="00DA5EB5">
        <w:rPr>
          <w:i/>
          <w:szCs w:val="18"/>
        </w:rPr>
        <w:t xml:space="preserve">Ibid </w:t>
      </w:r>
      <w:r w:rsidRPr="00DA5EB5">
        <w:rPr>
          <w:szCs w:val="18"/>
        </w:rPr>
        <w:t>at</w:t>
      </w:r>
      <w:r w:rsidRPr="00DA5EB5">
        <w:rPr>
          <w:i/>
          <w:szCs w:val="18"/>
        </w:rPr>
        <w:t xml:space="preserve"> </w:t>
      </w:r>
      <w:r w:rsidRPr="00DA5EB5">
        <w:rPr>
          <w:szCs w:val="18"/>
        </w:rPr>
        <w:t>paras 46, 52.</w:t>
      </w:r>
    </w:p>
  </w:footnote>
  <w:footnote w:id="392">
    <w:p w14:paraId="1A510AF1" w14:textId="68FBE88A" w:rsidR="007E0F72" w:rsidRPr="00DA5EB5" w:rsidRDefault="007E0F72" w:rsidP="00BF52C3">
      <w:pPr>
        <w:pStyle w:val="FootnoteText"/>
        <w:rPr>
          <w:szCs w:val="18"/>
        </w:rPr>
      </w:pPr>
      <w:r w:rsidRPr="00DA5EB5">
        <w:rPr>
          <w:rStyle w:val="FootnoteReference"/>
          <w:sz w:val="18"/>
          <w:szCs w:val="18"/>
        </w:rPr>
        <w:footnoteRef/>
      </w:r>
      <w:r w:rsidRPr="00DA5EB5">
        <w:rPr>
          <w:szCs w:val="18"/>
        </w:rPr>
        <w:t xml:space="preserve"> UNCTAD, </w:t>
      </w:r>
      <w:r w:rsidRPr="00DA5EB5">
        <w:rPr>
          <w:i/>
          <w:szCs w:val="18"/>
        </w:rPr>
        <w:t>World Investment Report 2016</w:t>
      </w:r>
      <w:r w:rsidRPr="00DA5EB5">
        <w:rPr>
          <w:szCs w:val="18"/>
        </w:rPr>
        <w:t xml:space="preserve"> (United Nations, 2016) at 104-105.</w:t>
      </w:r>
    </w:p>
  </w:footnote>
  <w:footnote w:id="393">
    <w:p w14:paraId="321D7F51" w14:textId="77777777" w:rsidR="007E0F72" w:rsidRPr="00DA5EB5" w:rsidRDefault="007E0F72" w:rsidP="00BF52C3">
      <w:pPr>
        <w:pStyle w:val="FootnoteText"/>
      </w:pPr>
      <w:r w:rsidRPr="00DA5EB5">
        <w:rPr>
          <w:rStyle w:val="FootnoteReference"/>
          <w:sz w:val="18"/>
          <w:szCs w:val="18"/>
        </w:rPr>
        <w:footnoteRef/>
      </w:r>
      <w:r w:rsidRPr="00DA5EB5">
        <w:rPr>
          <w:szCs w:val="18"/>
        </w:rPr>
        <w:t xml:space="preserve"> </w:t>
      </w:r>
      <w:r w:rsidRPr="00DA5EB5">
        <w:rPr>
          <w:i/>
          <w:szCs w:val="18"/>
        </w:rPr>
        <w:t xml:space="preserve">Ibid </w:t>
      </w:r>
      <w:r w:rsidRPr="00DA5EB5">
        <w:rPr>
          <w:szCs w:val="18"/>
        </w:rPr>
        <w:t>at 104.</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3214DE" w14:textId="511C25A1" w:rsidR="007E0F72" w:rsidRPr="002E7674" w:rsidRDefault="007E0F72" w:rsidP="00DA0D3E">
    <w:pPr>
      <w:pStyle w:val="Header"/>
      <w:spacing w:before="0"/>
      <w:ind w:left="-283"/>
      <w:rPr>
        <w:smallCaps/>
      </w:rPr>
    </w:pPr>
    <w:r w:rsidRPr="002E7674">
      <w:rPr>
        <w:smallCaps/>
      </w:rPr>
      <w:t>Global Corruption: Law, Theory &amp; Practice</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0BC719" w14:textId="11D0BDD4" w:rsidR="007E0F72" w:rsidRPr="00111186" w:rsidRDefault="007E0F72" w:rsidP="00111186">
    <w:pPr>
      <w:pStyle w:val="Header"/>
      <w:spacing w:before="0"/>
      <w:ind w:right="-283"/>
      <w:jc w:val="right"/>
      <w:rPr>
        <w:smallCaps/>
      </w:rPr>
    </w:pPr>
    <w:r>
      <w:rPr>
        <w:smallCaps/>
      </w:rPr>
      <w:t xml:space="preserve">Chapter 7 </w:t>
    </w:r>
    <w:r>
      <w:rPr>
        <w:smallCaps/>
      </w:rPr>
      <w:sym w:font="Webdings" w:char="F07C"/>
    </w:r>
    <w:r>
      <w:rPr>
        <w:smallCaps/>
      </w:rPr>
      <w:t xml:space="preserve"> </w:t>
    </w:r>
    <w:r w:rsidRPr="00251001">
      <w:rPr>
        <w:smallCaps/>
      </w:rPr>
      <w:t>Criminal Sentences and</w:t>
    </w:r>
    <w:r>
      <w:rPr>
        <w:smallCaps/>
      </w:rPr>
      <w:t xml:space="preserve"> Civil Sanctions for Corruption</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A6DAEA" w14:textId="77777777" w:rsidR="007E0F72" w:rsidRDefault="007E0F72" w:rsidP="00DA0D3E">
    <w:pPr>
      <w:pStyle w:val="Header"/>
      <w:spacing w:befor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8EAA7792"/>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8A08CA8E"/>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3C2595"/>
    <w:multiLevelType w:val="multilevel"/>
    <w:tmpl w:val="B2061B06"/>
    <w:styleLink w:val="TOCStyle2"/>
    <w:lvl w:ilvl="0">
      <w:start w:val="1"/>
      <w:numFmt w:val="decimal"/>
      <w:lvlText w:val="%1."/>
      <w:lvlJc w:val="left"/>
      <w:pPr>
        <w:ind w:left="360" w:hanging="360"/>
      </w:pPr>
      <w:rPr>
        <w:rFonts w:ascii="Times New Roman" w:hAnsi="Times New Roman" w:hint="default"/>
        <w:b/>
        <w:sz w:val="28"/>
      </w:rPr>
    </w:lvl>
    <w:lvl w:ilvl="1">
      <w:start w:val="1"/>
      <w:numFmt w:val="decimal"/>
      <w:pStyle w:val="ListParagraph"/>
      <w:lvlText w:val="%1.%2"/>
      <w:lvlJc w:val="left"/>
      <w:pPr>
        <w:ind w:left="792" w:hanging="432"/>
      </w:pPr>
      <w:rPr>
        <w:rFonts w:ascii="Times New Roman" w:hAnsi="Times New Roman" w:hint="default"/>
        <w:b/>
        <w:bCs w:val="0"/>
        <w:sz w:val="24"/>
      </w:rPr>
    </w:lvl>
    <w:lvl w:ilvl="2">
      <w:start w:val="1"/>
      <w:numFmt w:val="decimal"/>
      <w:pStyle w:val="TOC3rd"/>
      <w:lvlText w:val="%1.%2.%3"/>
      <w:lvlJc w:val="left"/>
      <w:pPr>
        <w:ind w:left="1224" w:hanging="504"/>
      </w:pPr>
      <w:rPr>
        <w:rFonts w:ascii="Times New Roman" w:hAnsi="Times New Roman" w:hint="default"/>
        <w:b/>
        <w:bCs/>
        <w:sz w:val="24"/>
      </w:rPr>
    </w:lvl>
    <w:lvl w:ilvl="3">
      <w:start w:val="1"/>
      <w:numFmt w:val="decimal"/>
      <w:lvlText w:val="%1.%2.%3.%4."/>
      <w:lvlJc w:val="left"/>
      <w:pPr>
        <w:ind w:left="1728" w:hanging="648"/>
      </w:pPr>
      <w:rPr>
        <w:rFonts w:hint="default"/>
        <w:b/>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b/>
        <w:bCs/>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2231972"/>
    <w:multiLevelType w:val="hybridMultilevel"/>
    <w:tmpl w:val="C1987170"/>
    <w:lvl w:ilvl="0" w:tplc="1009000F">
      <w:start w:val="1"/>
      <w:numFmt w:val="decimal"/>
      <w:lvlText w:val="%1."/>
      <w:lvlJc w:val="left"/>
      <w:pPr>
        <w:ind w:left="1800" w:hanging="360"/>
      </w:pPr>
      <w:rPr>
        <w:rFonts w:hint="default"/>
      </w:rPr>
    </w:lvl>
    <w:lvl w:ilvl="1" w:tplc="845409D8">
      <w:start w:val="1"/>
      <w:numFmt w:val="upperLetter"/>
      <w:lvlText w:val="(%2)"/>
      <w:lvlJc w:val="left"/>
      <w:pPr>
        <w:ind w:left="1440" w:hanging="360"/>
      </w:pPr>
      <w:rPr>
        <w:rFonts w:hint="default"/>
      </w:rPr>
    </w:lvl>
    <w:lvl w:ilvl="2" w:tplc="845409D8">
      <w:start w:val="1"/>
      <w:numFmt w:val="upperLetter"/>
      <w:lvlText w:val="(%3)"/>
      <w:lvlJc w:val="left"/>
      <w:pPr>
        <w:ind w:left="2160" w:hanging="180"/>
      </w:pPr>
      <w:rPr>
        <w:rFonts w:hint="default"/>
      </w:rPr>
    </w:lvl>
    <w:lvl w:ilvl="3" w:tplc="1009000F">
      <w:start w:val="1"/>
      <w:numFmt w:val="decimal"/>
      <w:lvlText w:val="%4."/>
      <w:lvlJc w:val="left"/>
      <w:pPr>
        <w:ind w:left="2880" w:hanging="360"/>
      </w:pPr>
    </w:lvl>
    <w:lvl w:ilvl="4" w:tplc="642E990E">
      <w:start w:val="23"/>
      <w:numFmt w:val="bullet"/>
      <w:lvlText w:val="-"/>
      <w:lvlJc w:val="left"/>
      <w:pPr>
        <w:ind w:left="3600" w:hanging="360"/>
      </w:pPr>
      <w:rPr>
        <w:rFonts w:ascii="Palatino Linotype" w:eastAsiaTheme="minorHAnsi" w:hAnsi="Palatino Linotype" w:cs="Times New Roman" w:hint="default"/>
      </w:r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03087AED"/>
    <w:multiLevelType w:val="hybridMultilevel"/>
    <w:tmpl w:val="6D0A74A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6FB6E07"/>
    <w:multiLevelType w:val="hybridMultilevel"/>
    <w:tmpl w:val="BBBE067A"/>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6" w15:restartNumberingAfterBreak="0">
    <w:nsid w:val="088A4BDE"/>
    <w:multiLevelType w:val="hybridMultilevel"/>
    <w:tmpl w:val="6BF052A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08C64C26"/>
    <w:multiLevelType w:val="hybridMultilevel"/>
    <w:tmpl w:val="39AE25F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 w15:restartNumberingAfterBreak="0">
    <w:nsid w:val="0ABC0E6F"/>
    <w:multiLevelType w:val="hybridMultilevel"/>
    <w:tmpl w:val="5E741D52"/>
    <w:lvl w:ilvl="0" w:tplc="ED662868">
      <w:start w:val="1"/>
      <w:numFmt w:val="low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 w15:restartNumberingAfterBreak="0">
    <w:nsid w:val="0B600075"/>
    <w:multiLevelType w:val="hybridMultilevel"/>
    <w:tmpl w:val="8BC6AF28"/>
    <w:lvl w:ilvl="0" w:tplc="C75EEBDA">
      <w:start w:val="1"/>
      <w:numFmt w:val="decimal"/>
      <w:lvlText w:val="(%1)"/>
      <w:lvlJc w:val="left"/>
      <w:pPr>
        <w:ind w:left="1440" w:hanging="360"/>
      </w:pPr>
      <w:rPr>
        <w:rFonts w:hint="default"/>
      </w:r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10" w15:restartNumberingAfterBreak="0">
    <w:nsid w:val="0C9855AF"/>
    <w:multiLevelType w:val="hybridMultilevel"/>
    <w:tmpl w:val="B83A203C"/>
    <w:lvl w:ilvl="0" w:tplc="E9168840">
      <w:start w:val="1"/>
      <w:numFmt w:val="lowerRoman"/>
      <w:lvlText w:val="(%1)"/>
      <w:lvlJc w:val="left"/>
      <w:pPr>
        <w:ind w:left="1440" w:hanging="360"/>
      </w:pPr>
      <w:rPr>
        <w:rFonts w:hint="default"/>
      </w:r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11" w15:restartNumberingAfterBreak="0">
    <w:nsid w:val="0CB654C4"/>
    <w:multiLevelType w:val="multilevel"/>
    <w:tmpl w:val="020CE554"/>
    <w:styleLink w:val="TOCstyle"/>
    <w:lvl w:ilvl="0">
      <w:start w:val="1"/>
      <w:numFmt w:val="decimal"/>
      <w:lvlText w:val="%1"/>
      <w:lvlJc w:val="left"/>
      <w:pPr>
        <w:ind w:left="446"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927" w:hanging="360"/>
      </w:pPr>
      <w:rPr>
        <w:rFonts w:ascii="Times New Roman" w:hAnsi="Times New Roman" w:hint="default"/>
        <w:b w:val="0"/>
        <w:bCs w:val="0"/>
        <w:i w:val="0"/>
        <w:caps w:val="0"/>
        <w:sz w:val="18"/>
      </w:rPr>
    </w:lvl>
    <w:lvl w:ilvl="2">
      <w:start w:val="1"/>
      <w:numFmt w:val="decimal"/>
      <w:lvlText w:val="%1.%2.%3"/>
      <w:lvlJc w:val="left"/>
      <w:pPr>
        <w:tabs>
          <w:tab w:val="num" w:pos="2160"/>
        </w:tabs>
        <w:ind w:left="1170" w:hanging="360"/>
      </w:pPr>
      <w:rPr>
        <w:rFonts w:hint="default"/>
        <w:b w:val="0"/>
        <w:bCs/>
        <w:sz w:val="18"/>
      </w:rPr>
    </w:lvl>
    <w:lvl w:ilvl="3">
      <w:start w:val="1"/>
      <w:numFmt w:val="decimal"/>
      <w:lvlText w:val="(%4)"/>
      <w:lvlJc w:val="left"/>
      <w:pPr>
        <w:ind w:left="1530" w:hanging="360"/>
      </w:pPr>
      <w:rPr>
        <w:rFonts w:hint="default"/>
        <w:b w:val="0"/>
      </w:rPr>
    </w:lvl>
    <w:lvl w:ilvl="4">
      <w:start w:val="1"/>
      <w:numFmt w:val="lowerLetter"/>
      <w:lvlText w:val="(%5)"/>
      <w:lvlJc w:val="left"/>
      <w:pPr>
        <w:ind w:left="1890" w:hanging="360"/>
      </w:pPr>
      <w:rPr>
        <w:rFonts w:hint="default"/>
      </w:rPr>
    </w:lvl>
    <w:lvl w:ilvl="5">
      <w:start w:val="1"/>
      <w:numFmt w:val="lowerRoman"/>
      <w:lvlText w:val="(%6)"/>
      <w:lvlJc w:val="left"/>
      <w:pPr>
        <w:ind w:left="954" w:firstLine="936"/>
      </w:pPr>
      <w:rPr>
        <w:rFonts w:hint="default"/>
      </w:rPr>
    </w:lvl>
    <w:lvl w:ilvl="6">
      <w:start w:val="1"/>
      <w:numFmt w:val="decimal"/>
      <w:lvlText w:val="%7."/>
      <w:lvlJc w:val="left"/>
      <w:pPr>
        <w:ind w:left="2610" w:hanging="360"/>
      </w:pPr>
      <w:rPr>
        <w:rFonts w:hint="default"/>
      </w:rPr>
    </w:lvl>
    <w:lvl w:ilvl="7">
      <w:start w:val="1"/>
      <w:numFmt w:val="lowerLetter"/>
      <w:lvlText w:val="%8."/>
      <w:lvlJc w:val="left"/>
      <w:pPr>
        <w:ind w:left="2970" w:hanging="360"/>
      </w:pPr>
      <w:rPr>
        <w:rFonts w:hint="default"/>
      </w:rPr>
    </w:lvl>
    <w:lvl w:ilvl="8">
      <w:start w:val="1"/>
      <w:numFmt w:val="lowerRoman"/>
      <w:lvlText w:val="%9."/>
      <w:lvlJc w:val="left"/>
      <w:pPr>
        <w:ind w:left="3330" w:hanging="360"/>
      </w:pPr>
      <w:rPr>
        <w:rFonts w:hint="default"/>
      </w:rPr>
    </w:lvl>
  </w:abstractNum>
  <w:abstractNum w:abstractNumId="12" w15:restartNumberingAfterBreak="0">
    <w:nsid w:val="0D720D70"/>
    <w:multiLevelType w:val="hybridMultilevel"/>
    <w:tmpl w:val="EACE6BAC"/>
    <w:lvl w:ilvl="0" w:tplc="0960F30E">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3" w15:restartNumberingAfterBreak="0">
    <w:nsid w:val="0DB336FE"/>
    <w:multiLevelType w:val="hybridMultilevel"/>
    <w:tmpl w:val="E36AE34E"/>
    <w:lvl w:ilvl="0" w:tplc="4A64732A">
      <w:start w:val="1"/>
      <w:numFmt w:val="decimal"/>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4" w15:restartNumberingAfterBreak="0">
    <w:nsid w:val="127C4586"/>
    <w:multiLevelType w:val="hybridMultilevel"/>
    <w:tmpl w:val="3B2ED1EE"/>
    <w:lvl w:ilvl="0" w:tplc="1286E030">
      <w:start w:val="56"/>
      <w:numFmt w:val="decimal"/>
      <w:lvlText w:val="%1"/>
      <w:lvlJc w:val="left"/>
      <w:pPr>
        <w:ind w:left="1440" w:hanging="360"/>
      </w:pPr>
      <w:rPr>
        <w:rFonts w:hint="default"/>
        <w:b/>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5" w15:restartNumberingAfterBreak="0">
    <w:nsid w:val="14275FC3"/>
    <w:multiLevelType w:val="hybridMultilevel"/>
    <w:tmpl w:val="D5ACD0C8"/>
    <w:lvl w:ilvl="0" w:tplc="3E0A5174">
      <w:start w:val="14"/>
      <w:numFmt w:val="decimal"/>
      <w:lvlText w:val="%1"/>
      <w:lvlJc w:val="left"/>
      <w:pPr>
        <w:ind w:left="1080" w:hanging="360"/>
      </w:pPr>
      <w:rPr>
        <w:rFonts w:hint="default"/>
        <w:b/>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6" w15:restartNumberingAfterBreak="0">
    <w:nsid w:val="14303263"/>
    <w:multiLevelType w:val="hybridMultilevel"/>
    <w:tmpl w:val="C044A736"/>
    <w:lvl w:ilvl="0" w:tplc="C75EEBDA">
      <w:start w:val="1"/>
      <w:numFmt w:val="decimal"/>
      <w:lvlText w:val="(%1)"/>
      <w:lvlJc w:val="left"/>
      <w:pPr>
        <w:ind w:left="1440" w:hanging="360"/>
      </w:pPr>
      <w:rPr>
        <w:rFonts w:hint="default"/>
      </w:rPr>
    </w:lvl>
    <w:lvl w:ilvl="1" w:tplc="440ABCEC">
      <w:start w:val="1"/>
      <w:numFmt w:val="decimal"/>
      <w:lvlText w:val="%2)"/>
      <w:lvlJc w:val="left"/>
      <w:pPr>
        <w:ind w:left="2160" w:hanging="360"/>
      </w:pPr>
      <w:rPr>
        <w:rFonts w:hint="default"/>
      </w:r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17" w15:restartNumberingAfterBreak="0">
    <w:nsid w:val="151F7ACC"/>
    <w:multiLevelType w:val="hybridMultilevel"/>
    <w:tmpl w:val="8D66E55A"/>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8" w15:restartNumberingAfterBreak="0">
    <w:nsid w:val="15BE525E"/>
    <w:multiLevelType w:val="hybridMultilevel"/>
    <w:tmpl w:val="4158549E"/>
    <w:lvl w:ilvl="0" w:tplc="A6D25BB8">
      <w:start w:val="8"/>
      <w:numFmt w:val="decimal"/>
      <w:lvlText w:val="%1"/>
      <w:lvlJc w:val="left"/>
      <w:pPr>
        <w:ind w:left="1080" w:hanging="360"/>
      </w:pPr>
      <w:rPr>
        <w:rFonts w:hint="default"/>
        <w:b/>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9" w15:restartNumberingAfterBreak="0">
    <w:nsid w:val="16142E26"/>
    <w:multiLevelType w:val="hybridMultilevel"/>
    <w:tmpl w:val="DEA01AE4"/>
    <w:lvl w:ilvl="0" w:tplc="ED662868">
      <w:start w:val="1"/>
      <w:numFmt w:val="lowerLetter"/>
      <w:lvlText w:val="(%1)"/>
      <w:lvlJc w:val="left"/>
      <w:pPr>
        <w:ind w:left="1440" w:hanging="360"/>
      </w:pPr>
      <w:rPr>
        <w:rFonts w:hint="default"/>
      </w:r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20" w15:restartNumberingAfterBreak="0">
    <w:nsid w:val="16B963C0"/>
    <w:multiLevelType w:val="hybridMultilevel"/>
    <w:tmpl w:val="D4C295E6"/>
    <w:lvl w:ilvl="0" w:tplc="BED6C356">
      <w:start w:val="64"/>
      <w:numFmt w:val="decimal"/>
      <w:lvlText w:val="%1"/>
      <w:lvlJc w:val="left"/>
      <w:pPr>
        <w:ind w:left="1440" w:hanging="360"/>
      </w:pPr>
      <w:rPr>
        <w:rFonts w:hint="default"/>
        <w:b/>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1" w15:restartNumberingAfterBreak="0">
    <w:nsid w:val="183A1D99"/>
    <w:multiLevelType w:val="hybridMultilevel"/>
    <w:tmpl w:val="8A62375C"/>
    <w:lvl w:ilvl="0" w:tplc="C75EEBDA">
      <w:start w:val="1"/>
      <w:numFmt w:val="decimal"/>
      <w:lvlText w:val="(%1)"/>
      <w:lvlJc w:val="left"/>
      <w:pPr>
        <w:ind w:left="1800" w:hanging="360"/>
      </w:pPr>
      <w:rPr>
        <w:rFonts w:hint="default"/>
      </w:rPr>
    </w:lvl>
    <w:lvl w:ilvl="1" w:tplc="173C9A10">
      <w:start w:val="1"/>
      <w:numFmt w:val="upperLetter"/>
      <w:lvlText w:val="(%2)"/>
      <w:lvlJc w:val="left"/>
      <w:pPr>
        <w:ind w:left="2535" w:hanging="375"/>
      </w:pPr>
      <w:rPr>
        <w:rFonts w:hint="default"/>
        <w:b w:val="0"/>
      </w:rPr>
    </w:lvl>
    <w:lvl w:ilvl="2" w:tplc="1009001B" w:tentative="1">
      <w:start w:val="1"/>
      <w:numFmt w:val="lowerRoman"/>
      <w:lvlText w:val="%3."/>
      <w:lvlJc w:val="right"/>
      <w:pPr>
        <w:ind w:left="3240" w:hanging="180"/>
      </w:pPr>
    </w:lvl>
    <w:lvl w:ilvl="3" w:tplc="1009000F" w:tentative="1">
      <w:start w:val="1"/>
      <w:numFmt w:val="decimal"/>
      <w:lvlText w:val="%4."/>
      <w:lvlJc w:val="left"/>
      <w:pPr>
        <w:ind w:left="3960" w:hanging="360"/>
      </w:pPr>
    </w:lvl>
    <w:lvl w:ilvl="4" w:tplc="10090019" w:tentative="1">
      <w:start w:val="1"/>
      <w:numFmt w:val="lowerLetter"/>
      <w:lvlText w:val="%5."/>
      <w:lvlJc w:val="left"/>
      <w:pPr>
        <w:ind w:left="4680" w:hanging="360"/>
      </w:pPr>
    </w:lvl>
    <w:lvl w:ilvl="5" w:tplc="1009001B" w:tentative="1">
      <w:start w:val="1"/>
      <w:numFmt w:val="lowerRoman"/>
      <w:lvlText w:val="%6."/>
      <w:lvlJc w:val="right"/>
      <w:pPr>
        <w:ind w:left="5400" w:hanging="180"/>
      </w:pPr>
    </w:lvl>
    <w:lvl w:ilvl="6" w:tplc="1009000F" w:tentative="1">
      <w:start w:val="1"/>
      <w:numFmt w:val="decimal"/>
      <w:lvlText w:val="%7."/>
      <w:lvlJc w:val="left"/>
      <w:pPr>
        <w:ind w:left="6120" w:hanging="360"/>
      </w:pPr>
    </w:lvl>
    <w:lvl w:ilvl="7" w:tplc="10090019" w:tentative="1">
      <w:start w:val="1"/>
      <w:numFmt w:val="lowerLetter"/>
      <w:lvlText w:val="%8."/>
      <w:lvlJc w:val="left"/>
      <w:pPr>
        <w:ind w:left="6840" w:hanging="360"/>
      </w:pPr>
    </w:lvl>
    <w:lvl w:ilvl="8" w:tplc="1009001B" w:tentative="1">
      <w:start w:val="1"/>
      <w:numFmt w:val="lowerRoman"/>
      <w:lvlText w:val="%9."/>
      <w:lvlJc w:val="right"/>
      <w:pPr>
        <w:ind w:left="7560" w:hanging="180"/>
      </w:pPr>
    </w:lvl>
  </w:abstractNum>
  <w:abstractNum w:abstractNumId="22" w15:restartNumberingAfterBreak="0">
    <w:nsid w:val="18AE7FED"/>
    <w:multiLevelType w:val="hybridMultilevel"/>
    <w:tmpl w:val="E9EA454E"/>
    <w:lvl w:ilvl="0" w:tplc="C75EEBDA">
      <w:start w:val="1"/>
      <w:numFmt w:val="decimal"/>
      <w:lvlText w:val="(%1)"/>
      <w:lvlJc w:val="left"/>
      <w:pPr>
        <w:ind w:left="1440" w:hanging="360"/>
      </w:pPr>
      <w:rPr>
        <w:rFonts w:hint="default"/>
      </w:r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23" w15:restartNumberingAfterBreak="0">
    <w:nsid w:val="18B04A77"/>
    <w:multiLevelType w:val="hybridMultilevel"/>
    <w:tmpl w:val="BE64B9F8"/>
    <w:lvl w:ilvl="0" w:tplc="A5C860AA">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4" w15:restartNumberingAfterBreak="0">
    <w:nsid w:val="19E94272"/>
    <w:multiLevelType w:val="hybridMultilevel"/>
    <w:tmpl w:val="E2DA54F8"/>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25" w15:restartNumberingAfterBreak="0">
    <w:nsid w:val="1B4274B4"/>
    <w:multiLevelType w:val="hybridMultilevel"/>
    <w:tmpl w:val="F698D054"/>
    <w:lvl w:ilvl="0" w:tplc="ED662868">
      <w:start w:val="1"/>
      <w:numFmt w:val="lowerLetter"/>
      <w:lvlText w:val="(%1)"/>
      <w:lvlJc w:val="left"/>
      <w:pPr>
        <w:ind w:left="2160" w:hanging="360"/>
      </w:pPr>
      <w:rPr>
        <w:rFonts w:hint="default"/>
      </w:rPr>
    </w:lvl>
    <w:lvl w:ilvl="1" w:tplc="10090019" w:tentative="1">
      <w:start w:val="1"/>
      <w:numFmt w:val="lowerLetter"/>
      <w:lvlText w:val="%2."/>
      <w:lvlJc w:val="left"/>
      <w:pPr>
        <w:ind w:left="2880" w:hanging="360"/>
      </w:pPr>
    </w:lvl>
    <w:lvl w:ilvl="2" w:tplc="1009001B" w:tentative="1">
      <w:start w:val="1"/>
      <w:numFmt w:val="lowerRoman"/>
      <w:lvlText w:val="%3."/>
      <w:lvlJc w:val="right"/>
      <w:pPr>
        <w:ind w:left="3600" w:hanging="180"/>
      </w:pPr>
    </w:lvl>
    <w:lvl w:ilvl="3" w:tplc="1009000F" w:tentative="1">
      <w:start w:val="1"/>
      <w:numFmt w:val="decimal"/>
      <w:lvlText w:val="%4."/>
      <w:lvlJc w:val="left"/>
      <w:pPr>
        <w:ind w:left="4320" w:hanging="360"/>
      </w:pPr>
    </w:lvl>
    <w:lvl w:ilvl="4" w:tplc="10090019" w:tentative="1">
      <w:start w:val="1"/>
      <w:numFmt w:val="lowerLetter"/>
      <w:lvlText w:val="%5."/>
      <w:lvlJc w:val="left"/>
      <w:pPr>
        <w:ind w:left="5040" w:hanging="360"/>
      </w:pPr>
    </w:lvl>
    <w:lvl w:ilvl="5" w:tplc="1009001B" w:tentative="1">
      <w:start w:val="1"/>
      <w:numFmt w:val="lowerRoman"/>
      <w:lvlText w:val="%6."/>
      <w:lvlJc w:val="right"/>
      <w:pPr>
        <w:ind w:left="5760" w:hanging="180"/>
      </w:pPr>
    </w:lvl>
    <w:lvl w:ilvl="6" w:tplc="1009000F" w:tentative="1">
      <w:start w:val="1"/>
      <w:numFmt w:val="decimal"/>
      <w:lvlText w:val="%7."/>
      <w:lvlJc w:val="left"/>
      <w:pPr>
        <w:ind w:left="6480" w:hanging="360"/>
      </w:pPr>
    </w:lvl>
    <w:lvl w:ilvl="7" w:tplc="10090019" w:tentative="1">
      <w:start w:val="1"/>
      <w:numFmt w:val="lowerLetter"/>
      <w:lvlText w:val="%8."/>
      <w:lvlJc w:val="left"/>
      <w:pPr>
        <w:ind w:left="7200" w:hanging="360"/>
      </w:pPr>
    </w:lvl>
    <w:lvl w:ilvl="8" w:tplc="1009001B" w:tentative="1">
      <w:start w:val="1"/>
      <w:numFmt w:val="lowerRoman"/>
      <w:lvlText w:val="%9."/>
      <w:lvlJc w:val="right"/>
      <w:pPr>
        <w:ind w:left="7920" w:hanging="180"/>
      </w:pPr>
    </w:lvl>
  </w:abstractNum>
  <w:abstractNum w:abstractNumId="26" w15:restartNumberingAfterBreak="0">
    <w:nsid w:val="1BD438E6"/>
    <w:multiLevelType w:val="hybridMultilevel"/>
    <w:tmpl w:val="1BCEF2D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1BDA1E10"/>
    <w:multiLevelType w:val="hybridMultilevel"/>
    <w:tmpl w:val="4EE4D5EA"/>
    <w:lvl w:ilvl="0" w:tplc="ED662868">
      <w:start w:val="1"/>
      <w:numFmt w:val="lowerLetter"/>
      <w:lvlText w:val="(%1)"/>
      <w:lvlJc w:val="left"/>
      <w:pPr>
        <w:ind w:left="1440" w:hanging="360"/>
      </w:pPr>
      <w:rPr>
        <w:rFonts w:hint="default"/>
      </w:r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28" w15:restartNumberingAfterBreak="0">
    <w:nsid w:val="1D753ED3"/>
    <w:multiLevelType w:val="hybridMultilevel"/>
    <w:tmpl w:val="13DE92AA"/>
    <w:lvl w:ilvl="0" w:tplc="ED662868">
      <w:start w:val="1"/>
      <w:numFmt w:val="lowerLetter"/>
      <w:lvlText w:val="(%1)"/>
      <w:lvlJc w:val="left"/>
      <w:pPr>
        <w:ind w:left="1440" w:hanging="360"/>
      </w:pPr>
      <w:rPr>
        <w:rFonts w:hint="default"/>
      </w:rPr>
    </w:lvl>
    <w:lvl w:ilvl="1" w:tplc="ED662868">
      <w:start w:val="1"/>
      <w:numFmt w:val="lowerLetter"/>
      <w:lvlText w:val="(%2)"/>
      <w:lvlJc w:val="left"/>
      <w:pPr>
        <w:ind w:left="2160" w:hanging="360"/>
      </w:pPr>
      <w:rPr>
        <w:rFonts w:hint="default"/>
      </w:r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29" w15:restartNumberingAfterBreak="0">
    <w:nsid w:val="1E990A33"/>
    <w:multiLevelType w:val="hybridMultilevel"/>
    <w:tmpl w:val="B93A9246"/>
    <w:lvl w:ilvl="0" w:tplc="C6426604">
      <w:start w:val="58"/>
      <w:numFmt w:val="decimal"/>
      <w:lvlText w:val="%1"/>
      <w:lvlJc w:val="left"/>
      <w:pPr>
        <w:ind w:left="108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30" w15:restartNumberingAfterBreak="0">
    <w:nsid w:val="1F984458"/>
    <w:multiLevelType w:val="hybridMultilevel"/>
    <w:tmpl w:val="2D3CD0AA"/>
    <w:lvl w:ilvl="0" w:tplc="E9168840">
      <w:start w:val="1"/>
      <w:numFmt w:val="lowerRoman"/>
      <w:lvlText w:val="(%1)"/>
      <w:lvlJc w:val="left"/>
      <w:pPr>
        <w:ind w:left="1800" w:hanging="360"/>
      </w:pPr>
      <w:rPr>
        <w:rFonts w:hint="default"/>
      </w:rPr>
    </w:lvl>
    <w:lvl w:ilvl="1" w:tplc="10090019" w:tentative="1">
      <w:start w:val="1"/>
      <w:numFmt w:val="lowerLetter"/>
      <w:lvlText w:val="%2."/>
      <w:lvlJc w:val="left"/>
      <w:pPr>
        <w:ind w:left="2520" w:hanging="360"/>
      </w:pPr>
    </w:lvl>
    <w:lvl w:ilvl="2" w:tplc="1009001B" w:tentative="1">
      <w:start w:val="1"/>
      <w:numFmt w:val="lowerRoman"/>
      <w:lvlText w:val="%3."/>
      <w:lvlJc w:val="right"/>
      <w:pPr>
        <w:ind w:left="3240" w:hanging="180"/>
      </w:pPr>
    </w:lvl>
    <w:lvl w:ilvl="3" w:tplc="1009000F" w:tentative="1">
      <w:start w:val="1"/>
      <w:numFmt w:val="decimal"/>
      <w:lvlText w:val="%4."/>
      <w:lvlJc w:val="left"/>
      <w:pPr>
        <w:ind w:left="3960" w:hanging="360"/>
      </w:pPr>
    </w:lvl>
    <w:lvl w:ilvl="4" w:tplc="10090019" w:tentative="1">
      <w:start w:val="1"/>
      <w:numFmt w:val="lowerLetter"/>
      <w:lvlText w:val="%5."/>
      <w:lvlJc w:val="left"/>
      <w:pPr>
        <w:ind w:left="4680" w:hanging="360"/>
      </w:pPr>
    </w:lvl>
    <w:lvl w:ilvl="5" w:tplc="1009001B" w:tentative="1">
      <w:start w:val="1"/>
      <w:numFmt w:val="lowerRoman"/>
      <w:lvlText w:val="%6."/>
      <w:lvlJc w:val="right"/>
      <w:pPr>
        <w:ind w:left="5400" w:hanging="180"/>
      </w:pPr>
    </w:lvl>
    <w:lvl w:ilvl="6" w:tplc="1009000F" w:tentative="1">
      <w:start w:val="1"/>
      <w:numFmt w:val="decimal"/>
      <w:lvlText w:val="%7."/>
      <w:lvlJc w:val="left"/>
      <w:pPr>
        <w:ind w:left="6120" w:hanging="360"/>
      </w:pPr>
    </w:lvl>
    <w:lvl w:ilvl="7" w:tplc="10090019" w:tentative="1">
      <w:start w:val="1"/>
      <w:numFmt w:val="lowerLetter"/>
      <w:lvlText w:val="%8."/>
      <w:lvlJc w:val="left"/>
      <w:pPr>
        <w:ind w:left="6840" w:hanging="360"/>
      </w:pPr>
    </w:lvl>
    <w:lvl w:ilvl="8" w:tplc="1009001B" w:tentative="1">
      <w:start w:val="1"/>
      <w:numFmt w:val="lowerRoman"/>
      <w:lvlText w:val="%9."/>
      <w:lvlJc w:val="right"/>
      <w:pPr>
        <w:ind w:left="7560" w:hanging="180"/>
      </w:pPr>
    </w:lvl>
  </w:abstractNum>
  <w:abstractNum w:abstractNumId="31" w15:restartNumberingAfterBreak="0">
    <w:nsid w:val="22D75B0F"/>
    <w:multiLevelType w:val="hybridMultilevel"/>
    <w:tmpl w:val="4934E866"/>
    <w:lvl w:ilvl="0" w:tplc="E9168840">
      <w:start w:val="1"/>
      <w:numFmt w:val="lowerRoman"/>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32" w15:restartNumberingAfterBreak="0">
    <w:nsid w:val="249F157D"/>
    <w:multiLevelType w:val="hybridMultilevel"/>
    <w:tmpl w:val="3C1692A0"/>
    <w:lvl w:ilvl="0" w:tplc="ED662868">
      <w:start w:val="1"/>
      <w:numFmt w:val="lowerLetter"/>
      <w:lvlText w:val="(%1)"/>
      <w:lvlJc w:val="left"/>
      <w:pPr>
        <w:ind w:left="1440" w:hanging="360"/>
      </w:pPr>
      <w:rPr>
        <w:rFonts w:hint="default"/>
      </w:r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33" w15:restartNumberingAfterBreak="0">
    <w:nsid w:val="25BD0608"/>
    <w:multiLevelType w:val="hybridMultilevel"/>
    <w:tmpl w:val="4C00F442"/>
    <w:lvl w:ilvl="0" w:tplc="3B9EA73C">
      <w:start w:val="61"/>
      <w:numFmt w:val="decimal"/>
      <w:lvlText w:val="%1"/>
      <w:lvlJc w:val="left"/>
      <w:pPr>
        <w:ind w:left="1080" w:hanging="360"/>
      </w:pPr>
      <w:rPr>
        <w:rFonts w:hint="default"/>
        <w:b/>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4" w15:restartNumberingAfterBreak="0">
    <w:nsid w:val="25CC298F"/>
    <w:multiLevelType w:val="hybridMultilevel"/>
    <w:tmpl w:val="029ED07E"/>
    <w:lvl w:ilvl="0" w:tplc="A5C860AA">
      <w:start w:val="1"/>
      <w:numFmt w:val="lowerLetter"/>
      <w:lvlText w:val="(%1)"/>
      <w:lvlJc w:val="left"/>
      <w:pPr>
        <w:ind w:left="4320" w:hanging="360"/>
      </w:pPr>
      <w:rPr>
        <w:rFonts w:hint="default"/>
      </w:rPr>
    </w:lvl>
    <w:lvl w:ilvl="1" w:tplc="10090019" w:tentative="1">
      <w:start w:val="1"/>
      <w:numFmt w:val="lowerLetter"/>
      <w:lvlText w:val="%2."/>
      <w:lvlJc w:val="left"/>
      <w:pPr>
        <w:ind w:left="5040" w:hanging="360"/>
      </w:pPr>
    </w:lvl>
    <w:lvl w:ilvl="2" w:tplc="1009001B" w:tentative="1">
      <w:start w:val="1"/>
      <w:numFmt w:val="lowerRoman"/>
      <w:lvlText w:val="%3."/>
      <w:lvlJc w:val="right"/>
      <w:pPr>
        <w:ind w:left="5760" w:hanging="180"/>
      </w:pPr>
    </w:lvl>
    <w:lvl w:ilvl="3" w:tplc="1009000F" w:tentative="1">
      <w:start w:val="1"/>
      <w:numFmt w:val="decimal"/>
      <w:lvlText w:val="%4."/>
      <w:lvlJc w:val="left"/>
      <w:pPr>
        <w:ind w:left="6480" w:hanging="360"/>
      </w:pPr>
    </w:lvl>
    <w:lvl w:ilvl="4" w:tplc="10090019" w:tentative="1">
      <w:start w:val="1"/>
      <w:numFmt w:val="lowerLetter"/>
      <w:lvlText w:val="%5."/>
      <w:lvlJc w:val="left"/>
      <w:pPr>
        <w:ind w:left="7200" w:hanging="360"/>
      </w:pPr>
    </w:lvl>
    <w:lvl w:ilvl="5" w:tplc="1009001B" w:tentative="1">
      <w:start w:val="1"/>
      <w:numFmt w:val="lowerRoman"/>
      <w:lvlText w:val="%6."/>
      <w:lvlJc w:val="right"/>
      <w:pPr>
        <w:ind w:left="7920" w:hanging="180"/>
      </w:pPr>
    </w:lvl>
    <w:lvl w:ilvl="6" w:tplc="1009000F" w:tentative="1">
      <w:start w:val="1"/>
      <w:numFmt w:val="decimal"/>
      <w:lvlText w:val="%7."/>
      <w:lvlJc w:val="left"/>
      <w:pPr>
        <w:ind w:left="8640" w:hanging="360"/>
      </w:pPr>
    </w:lvl>
    <w:lvl w:ilvl="7" w:tplc="10090019" w:tentative="1">
      <w:start w:val="1"/>
      <w:numFmt w:val="lowerLetter"/>
      <w:lvlText w:val="%8."/>
      <w:lvlJc w:val="left"/>
      <w:pPr>
        <w:ind w:left="9360" w:hanging="360"/>
      </w:pPr>
    </w:lvl>
    <w:lvl w:ilvl="8" w:tplc="1009001B" w:tentative="1">
      <w:start w:val="1"/>
      <w:numFmt w:val="lowerRoman"/>
      <w:lvlText w:val="%9."/>
      <w:lvlJc w:val="right"/>
      <w:pPr>
        <w:ind w:left="10080" w:hanging="180"/>
      </w:pPr>
    </w:lvl>
  </w:abstractNum>
  <w:abstractNum w:abstractNumId="35" w15:restartNumberingAfterBreak="0">
    <w:nsid w:val="278435E5"/>
    <w:multiLevelType w:val="hybridMultilevel"/>
    <w:tmpl w:val="9932A650"/>
    <w:lvl w:ilvl="0" w:tplc="ED662868">
      <w:start w:val="1"/>
      <w:numFmt w:val="lowerLetter"/>
      <w:lvlText w:val="(%1)"/>
      <w:lvlJc w:val="left"/>
      <w:pPr>
        <w:ind w:left="2160" w:hanging="360"/>
      </w:pPr>
      <w:rPr>
        <w:rFonts w:hint="default"/>
      </w:rPr>
    </w:lvl>
    <w:lvl w:ilvl="1" w:tplc="10090019" w:tentative="1">
      <w:start w:val="1"/>
      <w:numFmt w:val="lowerLetter"/>
      <w:lvlText w:val="%2."/>
      <w:lvlJc w:val="left"/>
      <w:pPr>
        <w:ind w:left="2880" w:hanging="360"/>
      </w:pPr>
    </w:lvl>
    <w:lvl w:ilvl="2" w:tplc="1009001B" w:tentative="1">
      <w:start w:val="1"/>
      <w:numFmt w:val="lowerRoman"/>
      <w:lvlText w:val="%3."/>
      <w:lvlJc w:val="right"/>
      <w:pPr>
        <w:ind w:left="3600" w:hanging="180"/>
      </w:pPr>
    </w:lvl>
    <w:lvl w:ilvl="3" w:tplc="1009000F" w:tentative="1">
      <w:start w:val="1"/>
      <w:numFmt w:val="decimal"/>
      <w:lvlText w:val="%4."/>
      <w:lvlJc w:val="left"/>
      <w:pPr>
        <w:ind w:left="4320" w:hanging="360"/>
      </w:pPr>
    </w:lvl>
    <w:lvl w:ilvl="4" w:tplc="10090019" w:tentative="1">
      <w:start w:val="1"/>
      <w:numFmt w:val="lowerLetter"/>
      <w:lvlText w:val="%5."/>
      <w:lvlJc w:val="left"/>
      <w:pPr>
        <w:ind w:left="5040" w:hanging="360"/>
      </w:pPr>
    </w:lvl>
    <w:lvl w:ilvl="5" w:tplc="1009001B" w:tentative="1">
      <w:start w:val="1"/>
      <w:numFmt w:val="lowerRoman"/>
      <w:lvlText w:val="%6."/>
      <w:lvlJc w:val="right"/>
      <w:pPr>
        <w:ind w:left="5760" w:hanging="180"/>
      </w:pPr>
    </w:lvl>
    <w:lvl w:ilvl="6" w:tplc="1009000F" w:tentative="1">
      <w:start w:val="1"/>
      <w:numFmt w:val="decimal"/>
      <w:lvlText w:val="%7."/>
      <w:lvlJc w:val="left"/>
      <w:pPr>
        <w:ind w:left="6480" w:hanging="360"/>
      </w:pPr>
    </w:lvl>
    <w:lvl w:ilvl="7" w:tplc="10090019" w:tentative="1">
      <w:start w:val="1"/>
      <w:numFmt w:val="lowerLetter"/>
      <w:lvlText w:val="%8."/>
      <w:lvlJc w:val="left"/>
      <w:pPr>
        <w:ind w:left="7200" w:hanging="360"/>
      </w:pPr>
    </w:lvl>
    <w:lvl w:ilvl="8" w:tplc="1009001B" w:tentative="1">
      <w:start w:val="1"/>
      <w:numFmt w:val="lowerRoman"/>
      <w:lvlText w:val="%9."/>
      <w:lvlJc w:val="right"/>
      <w:pPr>
        <w:ind w:left="7920" w:hanging="180"/>
      </w:pPr>
    </w:lvl>
  </w:abstractNum>
  <w:abstractNum w:abstractNumId="36" w15:restartNumberingAfterBreak="0">
    <w:nsid w:val="28946B21"/>
    <w:multiLevelType w:val="hybridMultilevel"/>
    <w:tmpl w:val="ECDC555E"/>
    <w:lvl w:ilvl="0" w:tplc="F1F00ECE">
      <w:start w:val="65"/>
      <w:numFmt w:val="decimal"/>
      <w:lvlText w:val="%1"/>
      <w:lvlJc w:val="left"/>
      <w:pPr>
        <w:ind w:left="1080" w:hanging="360"/>
      </w:pPr>
      <w:rPr>
        <w:rFonts w:hint="default"/>
        <w:b/>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7" w15:restartNumberingAfterBreak="0">
    <w:nsid w:val="2C597EFD"/>
    <w:multiLevelType w:val="hybridMultilevel"/>
    <w:tmpl w:val="449444FE"/>
    <w:lvl w:ilvl="0" w:tplc="408A5362">
      <w:start w:val="36"/>
      <w:numFmt w:val="decimal"/>
      <w:lvlText w:val="%1"/>
      <w:lvlJc w:val="left"/>
      <w:pPr>
        <w:ind w:left="1080" w:hanging="360"/>
      </w:pPr>
      <w:rPr>
        <w:rFonts w:hint="default"/>
        <w:b/>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8" w15:restartNumberingAfterBreak="0">
    <w:nsid w:val="2CE17913"/>
    <w:multiLevelType w:val="hybridMultilevel"/>
    <w:tmpl w:val="646289C0"/>
    <w:lvl w:ilvl="0" w:tplc="93246B1E">
      <w:start w:val="30"/>
      <w:numFmt w:val="decimal"/>
      <w:lvlText w:val="%1"/>
      <w:lvlJc w:val="left"/>
      <w:pPr>
        <w:ind w:left="1080" w:hanging="360"/>
      </w:pPr>
      <w:rPr>
        <w:rFonts w:hint="default"/>
        <w:b/>
        <w:i w:val="0"/>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9" w15:restartNumberingAfterBreak="0">
    <w:nsid w:val="2CFB5BCD"/>
    <w:multiLevelType w:val="hybridMultilevel"/>
    <w:tmpl w:val="EE8AB3A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2FB564EF"/>
    <w:multiLevelType w:val="hybridMultilevel"/>
    <w:tmpl w:val="CB4E258A"/>
    <w:lvl w:ilvl="0" w:tplc="10090017">
      <w:start w:val="1"/>
      <w:numFmt w:val="lowerLetter"/>
      <w:lvlText w:val="%1)"/>
      <w:lvlJc w:val="left"/>
      <w:pPr>
        <w:ind w:left="1800" w:hanging="360"/>
      </w:pPr>
      <w:rPr>
        <w:rFonts w:hint="default"/>
      </w:rPr>
    </w:lvl>
    <w:lvl w:ilvl="1" w:tplc="10090019" w:tentative="1">
      <w:start w:val="1"/>
      <w:numFmt w:val="lowerLetter"/>
      <w:lvlText w:val="%2."/>
      <w:lvlJc w:val="left"/>
      <w:pPr>
        <w:ind w:left="2520" w:hanging="360"/>
      </w:pPr>
    </w:lvl>
    <w:lvl w:ilvl="2" w:tplc="1009001B" w:tentative="1">
      <w:start w:val="1"/>
      <w:numFmt w:val="lowerRoman"/>
      <w:lvlText w:val="%3."/>
      <w:lvlJc w:val="right"/>
      <w:pPr>
        <w:ind w:left="3240" w:hanging="180"/>
      </w:pPr>
    </w:lvl>
    <w:lvl w:ilvl="3" w:tplc="1009000F" w:tentative="1">
      <w:start w:val="1"/>
      <w:numFmt w:val="decimal"/>
      <w:lvlText w:val="%4."/>
      <w:lvlJc w:val="left"/>
      <w:pPr>
        <w:ind w:left="3960" w:hanging="360"/>
      </w:pPr>
    </w:lvl>
    <w:lvl w:ilvl="4" w:tplc="10090019" w:tentative="1">
      <w:start w:val="1"/>
      <w:numFmt w:val="lowerLetter"/>
      <w:lvlText w:val="%5."/>
      <w:lvlJc w:val="left"/>
      <w:pPr>
        <w:ind w:left="4680" w:hanging="360"/>
      </w:pPr>
    </w:lvl>
    <w:lvl w:ilvl="5" w:tplc="1009001B" w:tentative="1">
      <w:start w:val="1"/>
      <w:numFmt w:val="lowerRoman"/>
      <w:lvlText w:val="%6."/>
      <w:lvlJc w:val="right"/>
      <w:pPr>
        <w:ind w:left="5400" w:hanging="180"/>
      </w:pPr>
    </w:lvl>
    <w:lvl w:ilvl="6" w:tplc="1009000F" w:tentative="1">
      <w:start w:val="1"/>
      <w:numFmt w:val="decimal"/>
      <w:lvlText w:val="%7."/>
      <w:lvlJc w:val="left"/>
      <w:pPr>
        <w:ind w:left="6120" w:hanging="360"/>
      </w:pPr>
    </w:lvl>
    <w:lvl w:ilvl="7" w:tplc="10090019" w:tentative="1">
      <w:start w:val="1"/>
      <w:numFmt w:val="lowerLetter"/>
      <w:lvlText w:val="%8."/>
      <w:lvlJc w:val="left"/>
      <w:pPr>
        <w:ind w:left="6840" w:hanging="360"/>
      </w:pPr>
    </w:lvl>
    <w:lvl w:ilvl="8" w:tplc="1009001B" w:tentative="1">
      <w:start w:val="1"/>
      <w:numFmt w:val="lowerRoman"/>
      <w:lvlText w:val="%9."/>
      <w:lvlJc w:val="right"/>
      <w:pPr>
        <w:ind w:left="7560" w:hanging="180"/>
      </w:pPr>
    </w:lvl>
  </w:abstractNum>
  <w:abstractNum w:abstractNumId="41" w15:restartNumberingAfterBreak="0">
    <w:nsid w:val="303A4C90"/>
    <w:multiLevelType w:val="hybridMultilevel"/>
    <w:tmpl w:val="21BC9A6E"/>
    <w:lvl w:ilvl="0" w:tplc="22101906">
      <w:start w:val="4"/>
      <w:numFmt w:val="decimal"/>
      <w:lvlText w:val="%1."/>
      <w:lvlJc w:val="left"/>
      <w:pPr>
        <w:ind w:left="108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42" w15:restartNumberingAfterBreak="0">
    <w:nsid w:val="31D60B74"/>
    <w:multiLevelType w:val="hybridMultilevel"/>
    <w:tmpl w:val="01FA4714"/>
    <w:lvl w:ilvl="0" w:tplc="10090001">
      <w:start w:val="1"/>
      <w:numFmt w:val="bullet"/>
      <w:lvlText w:val=""/>
      <w:lvlJc w:val="left"/>
      <w:pPr>
        <w:ind w:left="1440" w:hanging="360"/>
      </w:pPr>
      <w:rPr>
        <w:rFonts w:ascii="Symbol" w:hAnsi="Symbol" w:hint="default"/>
      </w:rPr>
    </w:lvl>
    <w:lvl w:ilvl="1" w:tplc="10090003" w:tentative="1">
      <w:start w:val="1"/>
      <w:numFmt w:val="bullet"/>
      <w:lvlText w:val="o"/>
      <w:lvlJc w:val="left"/>
      <w:pPr>
        <w:ind w:left="2160" w:hanging="360"/>
      </w:pPr>
      <w:rPr>
        <w:rFonts w:ascii="Courier New" w:hAnsi="Courier New" w:cs="Courier New" w:hint="default"/>
      </w:rPr>
    </w:lvl>
    <w:lvl w:ilvl="2" w:tplc="10090005" w:tentative="1">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abstractNum w:abstractNumId="43" w15:restartNumberingAfterBreak="0">
    <w:nsid w:val="32633016"/>
    <w:multiLevelType w:val="multilevel"/>
    <w:tmpl w:val="94B4281A"/>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rPr>
        <w:i w:val="0"/>
      </w:rPr>
    </w:lvl>
    <w:lvl w:ilvl="4">
      <w:start w:val="1"/>
      <w:numFmt w:val="decimal"/>
      <w:pStyle w:val="Heading5"/>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4" w15:restartNumberingAfterBreak="0">
    <w:nsid w:val="3543095D"/>
    <w:multiLevelType w:val="hybridMultilevel"/>
    <w:tmpl w:val="DB306E70"/>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45" w15:restartNumberingAfterBreak="0">
    <w:nsid w:val="381946E4"/>
    <w:multiLevelType w:val="hybridMultilevel"/>
    <w:tmpl w:val="DF4CF388"/>
    <w:lvl w:ilvl="0" w:tplc="34EA7C48">
      <w:start w:val="1"/>
      <w:numFmt w:val="decimal"/>
      <w:lvlText w:val="(%1)"/>
      <w:lvlJc w:val="left"/>
      <w:pPr>
        <w:ind w:left="720" w:hanging="360"/>
      </w:pPr>
      <w:rPr>
        <w:rFonts w:hint="default"/>
        <w:b w:val="0"/>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6" w15:restartNumberingAfterBreak="0">
    <w:nsid w:val="38CC3B5D"/>
    <w:multiLevelType w:val="hybridMultilevel"/>
    <w:tmpl w:val="9D6CB118"/>
    <w:lvl w:ilvl="0" w:tplc="B5D07790">
      <w:start w:val="23"/>
      <w:numFmt w:val="decimal"/>
      <w:lvlText w:val="%1"/>
      <w:lvlJc w:val="left"/>
      <w:pPr>
        <w:ind w:left="1080" w:hanging="360"/>
      </w:pPr>
      <w:rPr>
        <w:rFonts w:hint="default"/>
        <w:b/>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7" w15:restartNumberingAfterBreak="0">
    <w:nsid w:val="39C27D44"/>
    <w:multiLevelType w:val="hybridMultilevel"/>
    <w:tmpl w:val="A0A45AFA"/>
    <w:lvl w:ilvl="0" w:tplc="B62A1D42">
      <w:start w:val="15"/>
      <w:numFmt w:val="decimal"/>
      <w:lvlText w:val="%1"/>
      <w:lvlJc w:val="left"/>
      <w:pPr>
        <w:ind w:left="1080" w:hanging="360"/>
      </w:pPr>
      <w:rPr>
        <w:rFonts w:hint="default"/>
        <w:b/>
        <w:i w:val="0"/>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48" w15:restartNumberingAfterBreak="0">
    <w:nsid w:val="3AF74D08"/>
    <w:multiLevelType w:val="hybridMultilevel"/>
    <w:tmpl w:val="E9AAA38C"/>
    <w:lvl w:ilvl="0" w:tplc="10090001">
      <w:start w:val="1"/>
      <w:numFmt w:val="bullet"/>
      <w:lvlText w:val=""/>
      <w:lvlJc w:val="left"/>
      <w:pPr>
        <w:ind w:left="1440" w:hanging="360"/>
      </w:pPr>
      <w:rPr>
        <w:rFonts w:ascii="Symbol" w:hAnsi="Symbol" w:hint="default"/>
      </w:rPr>
    </w:lvl>
    <w:lvl w:ilvl="1" w:tplc="10090003" w:tentative="1">
      <w:start w:val="1"/>
      <w:numFmt w:val="bullet"/>
      <w:lvlText w:val="o"/>
      <w:lvlJc w:val="left"/>
      <w:pPr>
        <w:ind w:left="2160" w:hanging="360"/>
      </w:pPr>
      <w:rPr>
        <w:rFonts w:ascii="Courier New" w:hAnsi="Courier New" w:cs="Courier New" w:hint="default"/>
      </w:rPr>
    </w:lvl>
    <w:lvl w:ilvl="2" w:tplc="10090005" w:tentative="1">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abstractNum w:abstractNumId="49" w15:restartNumberingAfterBreak="0">
    <w:nsid w:val="3C375B61"/>
    <w:multiLevelType w:val="hybridMultilevel"/>
    <w:tmpl w:val="0C70A682"/>
    <w:lvl w:ilvl="0" w:tplc="1009000F">
      <w:start w:val="1"/>
      <w:numFmt w:val="decimal"/>
      <w:lvlText w:val="%1."/>
      <w:lvlJc w:val="left"/>
      <w:pPr>
        <w:ind w:left="1800" w:hanging="360"/>
      </w:pPr>
      <w:rPr>
        <w:rFonts w:hint="default"/>
      </w:rPr>
    </w:lvl>
    <w:lvl w:ilvl="1" w:tplc="845409D8">
      <w:start w:val="1"/>
      <w:numFmt w:val="upperLetter"/>
      <w:lvlText w:val="(%2)"/>
      <w:lvlJc w:val="left"/>
      <w:pPr>
        <w:ind w:left="1440" w:hanging="360"/>
      </w:pPr>
      <w:rPr>
        <w:rFonts w:hint="default"/>
      </w:rPr>
    </w:lvl>
    <w:lvl w:ilvl="2" w:tplc="845409D8">
      <w:start w:val="1"/>
      <w:numFmt w:val="upperLetter"/>
      <w:lvlText w:val="(%3)"/>
      <w:lvlJc w:val="left"/>
      <w:pPr>
        <w:ind w:left="2160" w:hanging="180"/>
      </w:pPr>
      <w:rPr>
        <w:rFonts w:hint="default"/>
      </w:rPr>
    </w:lvl>
    <w:lvl w:ilvl="3" w:tplc="1009000F">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0" w15:restartNumberingAfterBreak="0">
    <w:nsid w:val="3CB65555"/>
    <w:multiLevelType w:val="hybridMultilevel"/>
    <w:tmpl w:val="C6EA9632"/>
    <w:lvl w:ilvl="0" w:tplc="10090001">
      <w:start w:val="1"/>
      <w:numFmt w:val="bullet"/>
      <w:lvlText w:val=""/>
      <w:lvlJc w:val="left"/>
      <w:pPr>
        <w:ind w:left="1440" w:hanging="360"/>
      </w:pPr>
      <w:rPr>
        <w:rFonts w:ascii="Symbol" w:hAnsi="Symbol" w:hint="default"/>
      </w:rPr>
    </w:lvl>
    <w:lvl w:ilvl="1" w:tplc="10090003" w:tentative="1">
      <w:start w:val="1"/>
      <w:numFmt w:val="bullet"/>
      <w:lvlText w:val="o"/>
      <w:lvlJc w:val="left"/>
      <w:pPr>
        <w:ind w:left="2160" w:hanging="360"/>
      </w:pPr>
      <w:rPr>
        <w:rFonts w:ascii="Courier New" w:hAnsi="Courier New" w:cs="Courier New" w:hint="default"/>
      </w:rPr>
    </w:lvl>
    <w:lvl w:ilvl="2" w:tplc="10090005" w:tentative="1">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abstractNum w:abstractNumId="51" w15:restartNumberingAfterBreak="0">
    <w:nsid w:val="3D970898"/>
    <w:multiLevelType w:val="hybridMultilevel"/>
    <w:tmpl w:val="20027682"/>
    <w:lvl w:ilvl="0" w:tplc="28546E18">
      <w:start w:val="1"/>
      <w:numFmt w:val="lowerRoman"/>
      <w:lvlText w:val="(%1)"/>
      <w:lvlJc w:val="left"/>
      <w:pPr>
        <w:ind w:left="2268" w:hanging="468"/>
      </w:pPr>
      <w:rPr>
        <w:rFonts w:hint="default"/>
      </w:rPr>
    </w:lvl>
    <w:lvl w:ilvl="1" w:tplc="10090019">
      <w:start w:val="1"/>
      <w:numFmt w:val="lowerLetter"/>
      <w:lvlText w:val="%2."/>
      <w:lvlJc w:val="left"/>
      <w:pPr>
        <w:ind w:left="2520" w:hanging="360"/>
      </w:pPr>
    </w:lvl>
    <w:lvl w:ilvl="2" w:tplc="1009001B" w:tentative="1">
      <w:start w:val="1"/>
      <w:numFmt w:val="lowerRoman"/>
      <w:lvlText w:val="%3."/>
      <w:lvlJc w:val="right"/>
      <w:pPr>
        <w:ind w:left="3240" w:hanging="180"/>
      </w:pPr>
    </w:lvl>
    <w:lvl w:ilvl="3" w:tplc="1009000F" w:tentative="1">
      <w:start w:val="1"/>
      <w:numFmt w:val="decimal"/>
      <w:lvlText w:val="%4."/>
      <w:lvlJc w:val="left"/>
      <w:pPr>
        <w:ind w:left="3960" w:hanging="360"/>
      </w:pPr>
    </w:lvl>
    <w:lvl w:ilvl="4" w:tplc="10090019" w:tentative="1">
      <w:start w:val="1"/>
      <w:numFmt w:val="lowerLetter"/>
      <w:lvlText w:val="%5."/>
      <w:lvlJc w:val="left"/>
      <w:pPr>
        <w:ind w:left="4680" w:hanging="360"/>
      </w:pPr>
    </w:lvl>
    <w:lvl w:ilvl="5" w:tplc="1009001B" w:tentative="1">
      <w:start w:val="1"/>
      <w:numFmt w:val="lowerRoman"/>
      <w:lvlText w:val="%6."/>
      <w:lvlJc w:val="right"/>
      <w:pPr>
        <w:ind w:left="5400" w:hanging="180"/>
      </w:pPr>
    </w:lvl>
    <w:lvl w:ilvl="6" w:tplc="1009000F" w:tentative="1">
      <w:start w:val="1"/>
      <w:numFmt w:val="decimal"/>
      <w:lvlText w:val="%7."/>
      <w:lvlJc w:val="left"/>
      <w:pPr>
        <w:ind w:left="6120" w:hanging="360"/>
      </w:pPr>
    </w:lvl>
    <w:lvl w:ilvl="7" w:tplc="10090019" w:tentative="1">
      <w:start w:val="1"/>
      <w:numFmt w:val="lowerLetter"/>
      <w:lvlText w:val="%8."/>
      <w:lvlJc w:val="left"/>
      <w:pPr>
        <w:ind w:left="6840" w:hanging="360"/>
      </w:pPr>
    </w:lvl>
    <w:lvl w:ilvl="8" w:tplc="1009001B" w:tentative="1">
      <w:start w:val="1"/>
      <w:numFmt w:val="lowerRoman"/>
      <w:lvlText w:val="%9."/>
      <w:lvlJc w:val="right"/>
      <w:pPr>
        <w:ind w:left="7560" w:hanging="180"/>
      </w:pPr>
    </w:lvl>
  </w:abstractNum>
  <w:abstractNum w:abstractNumId="52" w15:restartNumberingAfterBreak="0">
    <w:nsid w:val="3F5B3667"/>
    <w:multiLevelType w:val="hybridMultilevel"/>
    <w:tmpl w:val="8CF63B32"/>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3" w15:restartNumberingAfterBreak="0">
    <w:nsid w:val="3FFD11FB"/>
    <w:multiLevelType w:val="hybridMultilevel"/>
    <w:tmpl w:val="F7F2C950"/>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54" w15:restartNumberingAfterBreak="0">
    <w:nsid w:val="41F10AB6"/>
    <w:multiLevelType w:val="hybridMultilevel"/>
    <w:tmpl w:val="879CE99A"/>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55" w15:restartNumberingAfterBreak="0">
    <w:nsid w:val="43EE4D9A"/>
    <w:multiLevelType w:val="hybridMultilevel"/>
    <w:tmpl w:val="8B2E08EA"/>
    <w:lvl w:ilvl="0" w:tplc="414420E6">
      <w:start w:val="1"/>
      <w:numFmt w:val="decimal"/>
      <w:lvlText w:val="(%1)"/>
      <w:lvlJc w:val="left"/>
      <w:pPr>
        <w:ind w:left="720" w:hanging="360"/>
      </w:pPr>
      <w:rPr>
        <w:rFonts w:hint="default"/>
      </w:rPr>
    </w:lvl>
    <w:lvl w:ilvl="1" w:tplc="10090019" w:tentative="1">
      <w:start w:val="1"/>
      <w:numFmt w:val="lowerLetter"/>
      <w:lvlText w:val="%2."/>
      <w:lvlJc w:val="left"/>
      <w:pPr>
        <w:ind w:left="949" w:hanging="360"/>
      </w:pPr>
    </w:lvl>
    <w:lvl w:ilvl="2" w:tplc="1009001B" w:tentative="1">
      <w:start w:val="1"/>
      <w:numFmt w:val="lowerRoman"/>
      <w:lvlText w:val="%3."/>
      <w:lvlJc w:val="right"/>
      <w:pPr>
        <w:ind w:left="1669" w:hanging="180"/>
      </w:pPr>
    </w:lvl>
    <w:lvl w:ilvl="3" w:tplc="1009000F" w:tentative="1">
      <w:start w:val="1"/>
      <w:numFmt w:val="decimal"/>
      <w:lvlText w:val="%4."/>
      <w:lvlJc w:val="left"/>
      <w:pPr>
        <w:ind w:left="2389" w:hanging="360"/>
      </w:pPr>
    </w:lvl>
    <w:lvl w:ilvl="4" w:tplc="10090019" w:tentative="1">
      <w:start w:val="1"/>
      <w:numFmt w:val="lowerLetter"/>
      <w:lvlText w:val="%5."/>
      <w:lvlJc w:val="left"/>
      <w:pPr>
        <w:ind w:left="3109" w:hanging="360"/>
      </w:pPr>
    </w:lvl>
    <w:lvl w:ilvl="5" w:tplc="1009001B" w:tentative="1">
      <w:start w:val="1"/>
      <w:numFmt w:val="lowerRoman"/>
      <w:lvlText w:val="%6."/>
      <w:lvlJc w:val="right"/>
      <w:pPr>
        <w:ind w:left="3829" w:hanging="180"/>
      </w:pPr>
    </w:lvl>
    <w:lvl w:ilvl="6" w:tplc="1009000F" w:tentative="1">
      <w:start w:val="1"/>
      <w:numFmt w:val="decimal"/>
      <w:lvlText w:val="%7."/>
      <w:lvlJc w:val="left"/>
      <w:pPr>
        <w:ind w:left="4549" w:hanging="360"/>
      </w:pPr>
    </w:lvl>
    <w:lvl w:ilvl="7" w:tplc="10090019" w:tentative="1">
      <w:start w:val="1"/>
      <w:numFmt w:val="lowerLetter"/>
      <w:lvlText w:val="%8."/>
      <w:lvlJc w:val="left"/>
      <w:pPr>
        <w:ind w:left="5269" w:hanging="360"/>
      </w:pPr>
    </w:lvl>
    <w:lvl w:ilvl="8" w:tplc="1009001B" w:tentative="1">
      <w:start w:val="1"/>
      <w:numFmt w:val="lowerRoman"/>
      <w:lvlText w:val="%9."/>
      <w:lvlJc w:val="right"/>
      <w:pPr>
        <w:ind w:left="5989" w:hanging="180"/>
      </w:pPr>
    </w:lvl>
  </w:abstractNum>
  <w:abstractNum w:abstractNumId="56" w15:restartNumberingAfterBreak="0">
    <w:nsid w:val="48AC3429"/>
    <w:multiLevelType w:val="hybridMultilevel"/>
    <w:tmpl w:val="AC527BD4"/>
    <w:lvl w:ilvl="0" w:tplc="ED662868">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7" w15:restartNumberingAfterBreak="0">
    <w:nsid w:val="48D72810"/>
    <w:multiLevelType w:val="hybridMultilevel"/>
    <w:tmpl w:val="2C841DF6"/>
    <w:lvl w:ilvl="0" w:tplc="E9168840">
      <w:start w:val="1"/>
      <w:numFmt w:val="lowerRoman"/>
      <w:lvlText w:val="(%1)"/>
      <w:lvlJc w:val="left"/>
      <w:pPr>
        <w:ind w:left="1440" w:hanging="360"/>
      </w:pPr>
      <w:rPr>
        <w:rFonts w:hint="default"/>
      </w:r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58" w15:restartNumberingAfterBreak="0">
    <w:nsid w:val="4C285214"/>
    <w:multiLevelType w:val="hybridMultilevel"/>
    <w:tmpl w:val="39062D3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9" w15:restartNumberingAfterBreak="0">
    <w:nsid w:val="4CA46690"/>
    <w:multiLevelType w:val="hybridMultilevel"/>
    <w:tmpl w:val="F1364C40"/>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60" w15:restartNumberingAfterBreak="0">
    <w:nsid w:val="4DCC40A5"/>
    <w:multiLevelType w:val="hybridMultilevel"/>
    <w:tmpl w:val="62942B3E"/>
    <w:lvl w:ilvl="0" w:tplc="C75EEBDA">
      <w:start w:val="1"/>
      <w:numFmt w:val="decimal"/>
      <w:lvlText w:val="(%1)"/>
      <w:lvlJc w:val="left"/>
      <w:pPr>
        <w:ind w:left="1440" w:hanging="360"/>
      </w:pPr>
      <w:rPr>
        <w:rFonts w:hint="default"/>
      </w:r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61" w15:restartNumberingAfterBreak="0">
    <w:nsid w:val="4DDD662F"/>
    <w:multiLevelType w:val="hybridMultilevel"/>
    <w:tmpl w:val="DCE28E60"/>
    <w:lvl w:ilvl="0" w:tplc="1009000F">
      <w:start w:val="1"/>
      <w:numFmt w:val="decimal"/>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62" w15:restartNumberingAfterBreak="0">
    <w:nsid w:val="4ED86783"/>
    <w:multiLevelType w:val="hybridMultilevel"/>
    <w:tmpl w:val="26E8D79E"/>
    <w:lvl w:ilvl="0" w:tplc="AFC49910">
      <w:start w:val="5"/>
      <w:numFmt w:val="decimal"/>
      <w:lvlText w:val="%1"/>
      <w:lvlJc w:val="left"/>
      <w:pPr>
        <w:ind w:left="1080" w:hanging="360"/>
      </w:pPr>
      <w:rPr>
        <w:rFonts w:hint="default"/>
        <w:b/>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3" w15:restartNumberingAfterBreak="0">
    <w:nsid w:val="4FFF422B"/>
    <w:multiLevelType w:val="hybridMultilevel"/>
    <w:tmpl w:val="68CCEF5A"/>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64" w15:restartNumberingAfterBreak="0">
    <w:nsid w:val="503F3CED"/>
    <w:multiLevelType w:val="hybridMultilevel"/>
    <w:tmpl w:val="4544C188"/>
    <w:lvl w:ilvl="0" w:tplc="ED662868">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5" w15:restartNumberingAfterBreak="0">
    <w:nsid w:val="510B59C6"/>
    <w:multiLevelType w:val="hybridMultilevel"/>
    <w:tmpl w:val="A0B48658"/>
    <w:lvl w:ilvl="0" w:tplc="1009000F">
      <w:start w:val="1"/>
      <w:numFmt w:val="decimal"/>
      <w:lvlText w:val="%1."/>
      <w:lvlJc w:val="left"/>
      <w:pPr>
        <w:ind w:left="1440" w:hanging="360"/>
      </w:p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66" w15:restartNumberingAfterBreak="0">
    <w:nsid w:val="52EE35CC"/>
    <w:multiLevelType w:val="hybridMultilevel"/>
    <w:tmpl w:val="48020526"/>
    <w:lvl w:ilvl="0" w:tplc="F5CC5052">
      <w:start w:val="1"/>
      <w:numFmt w:val="lowerLetter"/>
      <w:lvlText w:val="(%1)"/>
      <w:lvlJc w:val="left"/>
      <w:pPr>
        <w:ind w:left="1080" w:hanging="360"/>
      </w:pPr>
      <w:rPr>
        <w:rFonts w:hint="default"/>
        <w:b w:val="0"/>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67" w15:restartNumberingAfterBreak="0">
    <w:nsid w:val="53785B60"/>
    <w:multiLevelType w:val="hybridMultilevel"/>
    <w:tmpl w:val="08F4BDB6"/>
    <w:lvl w:ilvl="0" w:tplc="E81E52C4">
      <w:start w:val="24"/>
      <w:numFmt w:val="decimal"/>
      <w:lvlText w:val="%1."/>
      <w:lvlJc w:val="left"/>
      <w:pPr>
        <w:ind w:left="1080" w:hanging="360"/>
      </w:pPr>
      <w:rPr>
        <w:rFonts w:hint="default"/>
      </w:rPr>
    </w:lvl>
    <w:lvl w:ilvl="1" w:tplc="9348B458">
      <w:start w:val="1"/>
      <w:numFmt w:val="lowerLetter"/>
      <w:lvlText w:val="(%2)"/>
      <w:lvlJc w:val="left"/>
      <w:pPr>
        <w:ind w:left="1440" w:hanging="360"/>
      </w:pPr>
      <w:rPr>
        <w:rFonts w:hint="default"/>
      </w:r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8" w15:restartNumberingAfterBreak="0">
    <w:nsid w:val="559628AC"/>
    <w:multiLevelType w:val="hybridMultilevel"/>
    <w:tmpl w:val="1850FCFA"/>
    <w:lvl w:ilvl="0" w:tplc="E9168840">
      <w:start w:val="1"/>
      <w:numFmt w:val="lowerRoman"/>
      <w:lvlText w:val="(%1)"/>
      <w:lvlJc w:val="left"/>
      <w:pPr>
        <w:ind w:left="2160" w:hanging="360"/>
      </w:pPr>
      <w:rPr>
        <w:rFonts w:hint="default"/>
      </w:rPr>
    </w:lvl>
    <w:lvl w:ilvl="1" w:tplc="10090019" w:tentative="1">
      <w:start w:val="1"/>
      <w:numFmt w:val="lowerLetter"/>
      <w:lvlText w:val="%2."/>
      <w:lvlJc w:val="left"/>
      <w:pPr>
        <w:ind w:left="2880" w:hanging="360"/>
      </w:pPr>
    </w:lvl>
    <w:lvl w:ilvl="2" w:tplc="1009001B" w:tentative="1">
      <w:start w:val="1"/>
      <w:numFmt w:val="lowerRoman"/>
      <w:lvlText w:val="%3."/>
      <w:lvlJc w:val="right"/>
      <w:pPr>
        <w:ind w:left="3600" w:hanging="180"/>
      </w:pPr>
    </w:lvl>
    <w:lvl w:ilvl="3" w:tplc="1009000F" w:tentative="1">
      <w:start w:val="1"/>
      <w:numFmt w:val="decimal"/>
      <w:lvlText w:val="%4."/>
      <w:lvlJc w:val="left"/>
      <w:pPr>
        <w:ind w:left="4320" w:hanging="360"/>
      </w:pPr>
    </w:lvl>
    <w:lvl w:ilvl="4" w:tplc="10090019" w:tentative="1">
      <w:start w:val="1"/>
      <w:numFmt w:val="lowerLetter"/>
      <w:lvlText w:val="%5."/>
      <w:lvlJc w:val="left"/>
      <w:pPr>
        <w:ind w:left="5040" w:hanging="360"/>
      </w:pPr>
    </w:lvl>
    <w:lvl w:ilvl="5" w:tplc="1009001B" w:tentative="1">
      <w:start w:val="1"/>
      <w:numFmt w:val="lowerRoman"/>
      <w:lvlText w:val="%6."/>
      <w:lvlJc w:val="right"/>
      <w:pPr>
        <w:ind w:left="5760" w:hanging="180"/>
      </w:pPr>
    </w:lvl>
    <w:lvl w:ilvl="6" w:tplc="1009000F" w:tentative="1">
      <w:start w:val="1"/>
      <w:numFmt w:val="decimal"/>
      <w:lvlText w:val="%7."/>
      <w:lvlJc w:val="left"/>
      <w:pPr>
        <w:ind w:left="6480" w:hanging="360"/>
      </w:pPr>
    </w:lvl>
    <w:lvl w:ilvl="7" w:tplc="10090019" w:tentative="1">
      <w:start w:val="1"/>
      <w:numFmt w:val="lowerLetter"/>
      <w:lvlText w:val="%8."/>
      <w:lvlJc w:val="left"/>
      <w:pPr>
        <w:ind w:left="7200" w:hanging="360"/>
      </w:pPr>
    </w:lvl>
    <w:lvl w:ilvl="8" w:tplc="1009001B" w:tentative="1">
      <w:start w:val="1"/>
      <w:numFmt w:val="lowerRoman"/>
      <w:lvlText w:val="%9."/>
      <w:lvlJc w:val="right"/>
      <w:pPr>
        <w:ind w:left="7920" w:hanging="180"/>
      </w:pPr>
    </w:lvl>
  </w:abstractNum>
  <w:abstractNum w:abstractNumId="69" w15:restartNumberingAfterBreak="0">
    <w:nsid w:val="589D4C3F"/>
    <w:multiLevelType w:val="hybridMultilevel"/>
    <w:tmpl w:val="B39630B6"/>
    <w:lvl w:ilvl="0" w:tplc="10090017">
      <w:start w:val="1"/>
      <w:numFmt w:val="lowerLetter"/>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0" w15:restartNumberingAfterBreak="0">
    <w:nsid w:val="595B3FE6"/>
    <w:multiLevelType w:val="hybridMultilevel"/>
    <w:tmpl w:val="DCB2187C"/>
    <w:lvl w:ilvl="0" w:tplc="410AAD58">
      <w:start w:val="28"/>
      <w:numFmt w:val="decimal"/>
      <w:lvlText w:val="%1"/>
      <w:lvlJc w:val="left"/>
      <w:pPr>
        <w:ind w:left="1080" w:hanging="360"/>
      </w:pPr>
      <w:rPr>
        <w:rFonts w:hint="default"/>
        <w:b/>
        <w:i w:val="0"/>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1" w15:restartNumberingAfterBreak="0">
    <w:nsid w:val="59741049"/>
    <w:multiLevelType w:val="hybridMultilevel"/>
    <w:tmpl w:val="E118E1EE"/>
    <w:lvl w:ilvl="0" w:tplc="10090001">
      <w:start w:val="1"/>
      <w:numFmt w:val="bullet"/>
      <w:lvlText w:val=""/>
      <w:lvlJc w:val="left"/>
      <w:pPr>
        <w:ind w:left="1440" w:hanging="360"/>
      </w:pPr>
      <w:rPr>
        <w:rFonts w:ascii="Symbol" w:hAnsi="Symbol" w:hint="default"/>
      </w:rPr>
    </w:lvl>
    <w:lvl w:ilvl="1" w:tplc="10090003" w:tentative="1">
      <w:start w:val="1"/>
      <w:numFmt w:val="bullet"/>
      <w:lvlText w:val="o"/>
      <w:lvlJc w:val="left"/>
      <w:pPr>
        <w:ind w:left="2160" w:hanging="360"/>
      </w:pPr>
      <w:rPr>
        <w:rFonts w:ascii="Courier New" w:hAnsi="Courier New" w:cs="Courier New" w:hint="default"/>
      </w:rPr>
    </w:lvl>
    <w:lvl w:ilvl="2" w:tplc="10090005" w:tentative="1">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abstractNum w:abstractNumId="72" w15:restartNumberingAfterBreak="0">
    <w:nsid w:val="5A2C152C"/>
    <w:multiLevelType w:val="hybridMultilevel"/>
    <w:tmpl w:val="BE8ED39A"/>
    <w:lvl w:ilvl="0" w:tplc="D5A47DEE">
      <w:start w:val="4"/>
      <w:numFmt w:val="lowerLetter"/>
      <w:lvlText w:val="(%1)"/>
      <w:lvlJc w:val="left"/>
      <w:pPr>
        <w:ind w:left="144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3" w15:restartNumberingAfterBreak="0">
    <w:nsid w:val="5AAE13CE"/>
    <w:multiLevelType w:val="hybridMultilevel"/>
    <w:tmpl w:val="D58258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4" w15:restartNumberingAfterBreak="0">
    <w:nsid w:val="5B5B6E31"/>
    <w:multiLevelType w:val="hybridMultilevel"/>
    <w:tmpl w:val="4972075A"/>
    <w:lvl w:ilvl="0" w:tplc="ED662868">
      <w:start w:val="1"/>
      <w:numFmt w:val="lowerLetter"/>
      <w:lvlText w:val="(%1)"/>
      <w:lvlJc w:val="left"/>
      <w:pPr>
        <w:ind w:left="1440" w:hanging="360"/>
      </w:pPr>
      <w:rPr>
        <w:rFonts w:hint="default"/>
      </w:r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75" w15:restartNumberingAfterBreak="0">
    <w:nsid w:val="5B66247D"/>
    <w:multiLevelType w:val="hybridMultilevel"/>
    <w:tmpl w:val="050609E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6" w15:restartNumberingAfterBreak="0">
    <w:nsid w:val="5CD05D75"/>
    <w:multiLevelType w:val="hybridMultilevel"/>
    <w:tmpl w:val="1F488B9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7" w15:restartNumberingAfterBreak="0">
    <w:nsid w:val="5DD57C03"/>
    <w:multiLevelType w:val="hybridMultilevel"/>
    <w:tmpl w:val="892CE5D6"/>
    <w:lvl w:ilvl="0" w:tplc="32EA8974">
      <w:start w:val="8"/>
      <w:numFmt w:val="decimal"/>
      <w:lvlText w:val="%1"/>
      <w:lvlJc w:val="left"/>
      <w:pPr>
        <w:ind w:left="1080" w:hanging="360"/>
      </w:pPr>
      <w:rPr>
        <w:rFonts w:hint="default"/>
        <w:b/>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8" w15:restartNumberingAfterBreak="0">
    <w:nsid w:val="5E344461"/>
    <w:multiLevelType w:val="hybridMultilevel"/>
    <w:tmpl w:val="DFA8CF7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9" w15:restartNumberingAfterBreak="0">
    <w:nsid w:val="60F31A8A"/>
    <w:multiLevelType w:val="hybridMultilevel"/>
    <w:tmpl w:val="C37E44C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0" w15:restartNumberingAfterBreak="0">
    <w:nsid w:val="62E52C90"/>
    <w:multiLevelType w:val="hybridMultilevel"/>
    <w:tmpl w:val="8786A292"/>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81" w15:restartNumberingAfterBreak="0">
    <w:nsid w:val="62F926B9"/>
    <w:multiLevelType w:val="hybridMultilevel"/>
    <w:tmpl w:val="9B8CE124"/>
    <w:lvl w:ilvl="0" w:tplc="ED662868">
      <w:start w:val="1"/>
      <w:numFmt w:val="lowerLetter"/>
      <w:lvlText w:val="(%1)"/>
      <w:lvlJc w:val="left"/>
      <w:pPr>
        <w:ind w:left="1440" w:hanging="360"/>
      </w:pPr>
      <w:rPr>
        <w:rFonts w:hint="default"/>
      </w:r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82" w15:restartNumberingAfterBreak="0">
    <w:nsid w:val="63545292"/>
    <w:multiLevelType w:val="hybridMultilevel"/>
    <w:tmpl w:val="051C60C4"/>
    <w:lvl w:ilvl="0" w:tplc="A5C860AA">
      <w:start w:val="1"/>
      <w:numFmt w:val="low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83" w15:restartNumberingAfterBreak="0">
    <w:nsid w:val="64997F44"/>
    <w:multiLevelType w:val="hybridMultilevel"/>
    <w:tmpl w:val="585C5B3A"/>
    <w:lvl w:ilvl="0" w:tplc="ED662868">
      <w:start w:val="1"/>
      <w:numFmt w:val="lowerLetter"/>
      <w:lvlText w:val="(%1)"/>
      <w:lvlJc w:val="left"/>
      <w:pPr>
        <w:ind w:left="2160" w:hanging="360"/>
      </w:pPr>
      <w:rPr>
        <w:rFonts w:hint="default"/>
      </w:rPr>
    </w:lvl>
    <w:lvl w:ilvl="1" w:tplc="10090019" w:tentative="1">
      <w:start w:val="1"/>
      <w:numFmt w:val="lowerLetter"/>
      <w:lvlText w:val="%2."/>
      <w:lvlJc w:val="left"/>
      <w:pPr>
        <w:ind w:left="2880" w:hanging="360"/>
      </w:pPr>
    </w:lvl>
    <w:lvl w:ilvl="2" w:tplc="1009001B" w:tentative="1">
      <w:start w:val="1"/>
      <w:numFmt w:val="lowerRoman"/>
      <w:lvlText w:val="%3."/>
      <w:lvlJc w:val="right"/>
      <w:pPr>
        <w:ind w:left="3600" w:hanging="180"/>
      </w:pPr>
    </w:lvl>
    <w:lvl w:ilvl="3" w:tplc="1009000F" w:tentative="1">
      <w:start w:val="1"/>
      <w:numFmt w:val="decimal"/>
      <w:lvlText w:val="%4."/>
      <w:lvlJc w:val="left"/>
      <w:pPr>
        <w:ind w:left="4320" w:hanging="360"/>
      </w:pPr>
    </w:lvl>
    <w:lvl w:ilvl="4" w:tplc="10090019" w:tentative="1">
      <w:start w:val="1"/>
      <w:numFmt w:val="lowerLetter"/>
      <w:lvlText w:val="%5."/>
      <w:lvlJc w:val="left"/>
      <w:pPr>
        <w:ind w:left="5040" w:hanging="360"/>
      </w:pPr>
    </w:lvl>
    <w:lvl w:ilvl="5" w:tplc="1009001B" w:tentative="1">
      <w:start w:val="1"/>
      <w:numFmt w:val="lowerRoman"/>
      <w:lvlText w:val="%6."/>
      <w:lvlJc w:val="right"/>
      <w:pPr>
        <w:ind w:left="5760" w:hanging="180"/>
      </w:pPr>
    </w:lvl>
    <w:lvl w:ilvl="6" w:tplc="1009000F" w:tentative="1">
      <w:start w:val="1"/>
      <w:numFmt w:val="decimal"/>
      <w:lvlText w:val="%7."/>
      <w:lvlJc w:val="left"/>
      <w:pPr>
        <w:ind w:left="6480" w:hanging="360"/>
      </w:pPr>
    </w:lvl>
    <w:lvl w:ilvl="7" w:tplc="10090019" w:tentative="1">
      <w:start w:val="1"/>
      <w:numFmt w:val="lowerLetter"/>
      <w:lvlText w:val="%8."/>
      <w:lvlJc w:val="left"/>
      <w:pPr>
        <w:ind w:left="7200" w:hanging="360"/>
      </w:pPr>
    </w:lvl>
    <w:lvl w:ilvl="8" w:tplc="1009001B" w:tentative="1">
      <w:start w:val="1"/>
      <w:numFmt w:val="lowerRoman"/>
      <w:lvlText w:val="%9."/>
      <w:lvlJc w:val="right"/>
      <w:pPr>
        <w:ind w:left="7920" w:hanging="180"/>
      </w:pPr>
    </w:lvl>
  </w:abstractNum>
  <w:abstractNum w:abstractNumId="84" w15:restartNumberingAfterBreak="0">
    <w:nsid w:val="64E026F2"/>
    <w:multiLevelType w:val="hybridMultilevel"/>
    <w:tmpl w:val="863E8AC4"/>
    <w:lvl w:ilvl="0" w:tplc="ED662868">
      <w:start w:val="1"/>
      <w:numFmt w:val="lowerLetter"/>
      <w:lvlText w:val="(%1)"/>
      <w:lvlJc w:val="left"/>
      <w:pPr>
        <w:ind w:left="1440" w:hanging="360"/>
      </w:pPr>
      <w:rPr>
        <w:rFonts w:hint="default"/>
      </w:r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85" w15:restartNumberingAfterBreak="0">
    <w:nsid w:val="6AF61AC7"/>
    <w:multiLevelType w:val="hybridMultilevel"/>
    <w:tmpl w:val="16D66B0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6" w15:restartNumberingAfterBreak="0">
    <w:nsid w:val="6B932486"/>
    <w:multiLevelType w:val="hybridMultilevel"/>
    <w:tmpl w:val="737A89E2"/>
    <w:lvl w:ilvl="0" w:tplc="A5C860AA">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7" w15:restartNumberingAfterBreak="0">
    <w:nsid w:val="6E8E108F"/>
    <w:multiLevelType w:val="hybridMultilevel"/>
    <w:tmpl w:val="D50CCB0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8" w15:restartNumberingAfterBreak="0">
    <w:nsid w:val="6E977526"/>
    <w:multiLevelType w:val="hybridMultilevel"/>
    <w:tmpl w:val="097C2BCA"/>
    <w:lvl w:ilvl="0" w:tplc="10090017">
      <w:start w:val="1"/>
      <w:numFmt w:val="lowerLetter"/>
      <w:lvlText w:val="%1)"/>
      <w:lvlJc w:val="left"/>
      <w:pPr>
        <w:ind w:left="1800" w:hanging="360"/>
      </w:pPr>
      <w:rPr>
        <w:rFonts w:hint="default"/>
      </w:rPr>
    </w:lvl>
    <w:lvl w:ilvl="1" w:tplc="10090019" w:tentative="1">
      <w:start w:val="1"/>
      <w:numFmt w:val="lowerLetter"/>
      <w:lvlText w:val="%2."/>
      <w:lvlJc w:val="left"/>
      <w:pPr>
        <w:ind w:left="2520" w:hanging="360"/>
      </w:pPr>
    </w:lvl>
    <w:lvl w:ilvl="2" w:tplc="1009001B" w:tentative="1">
      <w:start w:val="1"/>
      <w:numFmt w:val="lowerRoman"/>
      <w:lvlText w:val="%3."/>
      <w:lvlJc w:val="right"/>
      <w:pPr>
        <w:ind w:left="3240" w:hanging="180"/>
      </w:pPr>
    </w:lvl>
    <w:lvl w:ilvl="3" w:tplc="1009000F" w:tentative="1">
      <w:start w:val="1"/>
      <w:numFmt w:val="decimal"/>
      <w:lvlText w:val="%4."/>
      <w:lvlJc w:val="left"/>
      <w:pPr>
        <w:ind w:left="3960" w:hanging="360"/>
      </w:pPr>
    </w:lvl>
    <w:lvl w:ilvl="4" w:tplc="10090019" w:tentative="1">
      <w:start w:val="1"/>
      <w:numFmt w:val="lowerLetter"/>
      <w:lvlText w:val="%5."/>
      <w:lvlJc w:val="left"/>
      <w:pPr>
        <w:ind w:left="4680" w:hanging="360"/>
      </w:pPr>
    </w:lvl>
    <w:lvl w:ilvl="5" w:tplc="1009001B" w:tentative="1">
      <w:start w:val="1"/>
      <w:numFmt w:val="lowerRoman"/>
      <w:lvlText w:val="%6."/>
      <w:lvlJc w:val="right"/>
      <w:pPr>
        <w:ind w:left="5400" w:hanging="180"/>
      </w:pPr>
    </w:lvl>
    <w:lvl w:ilvl="6" w:tplc="1009000F" w:tentative="1">
      <w:start w:val="1"/>
      <w:numFmt w:val="decimal"/>
      <w:lvlText w:val="%7."/>
      <w:lvlJc w:val="left"/>
      <w:pPr>
        <w:ind w:left="6120" w:hanging="360"/>
      </w:pPr>
    </w:lvl>
    <w:lvl w:ilvl="7" w:tplc="10090019" w:tentative="1">
      <w:start w:val="1"/>
      <w:numFmt w:val="lowerLetter"/>
      <w:lvlText w:val="%8."/>
      <w:lvlJc w:val="left"/>
      <w:pPr>
        <w:ind w:left="6840" w:hanging="360"/>
      </w:pPr>
    </w:lvl>
    <w:lvl w:ilvl="8" w:tplc="1009001B" w:tentative="1">
      <w:start w:val="1"/>
      <w:numFmt w:val="lowerRoman"/>
      <w:lvlText w:val="%9."/>
      <w:lvlJc w:val="right"/>
      <w:pPr>
        <w:ind w:left="7560" w:hanging="180"/>
      </w:pPr>
    </w:lvl>
  </w:abstractNum>
  <w:abstractNum w:abstractNumId="89" w15:restartNumberingAfterBreak="0">
    <w:nsid w:val="6F0B42C2"/>
    <w:multiLevelType w:val="hybridMultilevel"/>
    <w:tmpl w:val="B964ACF0"/>
    <w:lvl w:ilvl="0" w:tplc="0DF25CB0">
      <w:start w:val="1"/>
      <w:numFmt w:val="decimal"/>
      <w:lvlText w:val="(%1)"/>
      <w:lvlJc w:val="left"/>
      <w:pPr>
        <w:ind w:left="1800" w:hanging="360"/>
      </w:pPr>
      <w:rPr>
        <w:rFonts w:hint="default"/>
        <w:b w:val="0"/>
      </w:rPr>
    </w:lvl>
    <w:lvl w:ilvl="1" w:tplc="10090019" w:tentative="1">
      <w:start w:val="1"/>
      <w:numFmt w:val="lowerLetter"/>
      <w:lvlText w:val="%2."/>
      <w:lvlJc w:val="left"/>
      <w:pPr>
        <w:ind w:left="2520" w:hanging="360"/>
      </w:pPr>
    </w:lvl>
    <w:lvl w:ilvl="2" w:tplc="1009001B" w:tentative="1">
      <w:start w:val="1"/>
      <w:numFmt w:val="lowerRoman"/>
      <w:lvlText w:val="%3."/>
      <w:lvlJc w:val="right"/>
      <w:pPr>
        <w:ind w:left="3240" w:hanging="180"/>
      </w:pPr>
    </w:lvl>
    <w:lvl w:ilvl="3" w:tplc="1009000F" w:tentative="1">
      <w:start w:val="1"/>
      <w:numFmt w:val="decimal"/>
      <w:lvlText w:val="%4."/>
      <w:lvlJc w:val="left"/>
      <w:pPr>
        <w:ind w:left="3960" w:hanging="360"/>
      </w:pPr>
    </w:lvl>
    <w:lvl w:ilvl="4" w:tplc="10090019" w:tentative="1">
      <w:start w:val="1"/>
      <w:numFmt w:val="lowerLetter"/>
      <w:lvlText w:val="%5."/>
      <w:lvlJc w:val="left"/>
      <w:pPr>
        <w:ind w:left="4680" w:hanging="360"/>
      </w:pPr>
    </w:lvl>
    <w:lvl w:ilvl="5" w:tplc="1009001B" w:tentative="1">
      <w:start w:val="1"/>
      <w:numFmt w:val="lowerRoman"/>
      <w:lvlText w:val="%6."/>
      <w:lvlJc w:val="right"/>
      <w:pPr>
        <w:ind w:left="5400" w:hanging="180"/>
      </w:pPr>
    </w:lvl>
    <w:lvl w:ilvl="6" w:tplc="1009000F" w:tentative="1">
      <w:start w:val="1"/>
      <w:numFmt w:val="decimal"/>
      <w:lvlText w:val="%7."/>
      <w:lvlJc w:val="left"/>
      <w:pPr>
        <w:ind w:left="6120" w:hanging="360"/>
      </w:pPr>
    </w:lvl>
    <w:lvl w:ilvl="7" w:tplc="10090019" w:tentative="1">
      <w:start w:val="1"/>
      <w:numFmt w:val="lowerLetter"/>
      <w:lvlText w:val="%8."/>
      <w:lvlJc w:val="left"/>
      <w:pPr>
        <w:ind w:left="6840" w:hanging="360"/>
      </w:pPr>
    </w:lvl>
    <w:lvl w:ilvl="8" w:tplc="1009001B" w:tentative="1">
      <w:start w:val="1"/>
      <w:numFmt w:val="lowerRoman"/>
      <w:lvlText w:val="%9."/>
      <w:lvlJc w:val="right"/>
      <w:pPr>
        <w:ind w:left="7560" w:hanging="180"/>
      </w:pPr>
    </w:lvl>
  </w:abstractNum>
  <w:abstractNum w:abstractNumId="90" w15:restartNumberingAfterBreak="0">
    <w:nsid w:val="6F3636E3"/>
    <w:multiLevelType w:val="hybridMultilevel"/>
    <w:tmpl w:val="C1685B1C"/>
    <w:lvl w:ilvl="0" w:tplc="10090001">
      <w:start w:val="1"/>
      <w:numFmt w:val="bullet"/>
      <w:lvlText w:val=""/>
      <w:lvlJc w:val="left"/>
      <w:pPr>
        <w:ind w:left="1440" w:hanging="360"/>
      </w:pPr>
      <w:rPr>
        <w:rFonts w:ascii="Symbol" w:hAnsi="Symbol" w:hint="default"/>
      </w:rPr>
    </w:lvl>
    <w:lvl w:ilvl="1" w:tplc="10090003" w:tentative="1">
      <w:start w:val="1"/>
      <w:numFmt w:val="bullet"/>
      <w:lvlText w:val="o"/>
      <w:lvlJc w:val="left"/>
      <w:pPr>
        <w:ind w:left="2160" w:hanging="360"/>
      </w:pPr>
      <w:rPr>
        <w:rFonts w:ascii="Courier New" w:hAnsi="Courier New" w:cs="Courier New" w:hint="default"/>
      </w:rPr>
    </w:lvl>
    <w:lvl w:ilvl="2" w:tplc="10090005" w:tentative="1">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abstractNum w:abstractNumId="91" w15:restartNumberingAfterBreak="0">
    <w:nsid w:val="707930BA"/>
    <w:multiLevelType w:val="hybridMultilevel"/>
    <w:tmpl w:val="F84AC290"/>
    <w:lvl w:ilvl="0" w:tplc="B5D07790">
      <w:start w:val="23"/>
      <w:numFmt w:val="decimal"/>
      <w:lvlText w:val="%1"/>
      <w:lvlJc w:val="left"/>
      <w:pPr>
        <w:ind w:left="1080" w:hanging="360"/>
      </w:pPr>
      <w:rPr>
        <w:rFonts w:hint="default"/>
        <w:b/>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2" w15:restartNumberingAfterBreak="0">
    <w:nsid w:val="717141FA"/>
    <w:multiLevelType w:val="hybridMultilevel"/>
    <w:tmpl w:val="C058A260"/>
    <w:lvl w:ilvl="0" w:tplc="C75EEBDA">
      <w:start w:val="1"/>
      <w:numFmt w:val="decimal"/>
      <w:lvlText w:val="(%1)"/>
      <w:lvlJc w:val="left"/>
      <w:pPr>
        <w:ind w:left="1440" w:hanging="360"/>
      </w:pPr>
      <w:rPr>
        <w:rFonts w:hint="default"/>
      </w:r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93" w15:restartNumberingAfterBreak="0">
    <w:nsid w:val="72D226D9"/>
    <w:multiLevelType w:val="hybridMultilevel"/>
    <w:tmpl w:val="75B64C18"/>
    <w:lvl w:ilvl="0" w:tplc="93246B1E">
      <w:start w:val="30"/>
      <w:numFmt w:val="decimal"/>
      <w:lvlText w:val="%1"/>
      <w:lvlJc w:val="left"/>
      <w:pPr>
        <w:ind w:left="1080" w:hanging="360"/>
      </w:pPr>
      <w:rPr>
        <w:rFonts w:hint="default"/>
        <w:b/>
        <w:i w:val="0"/>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4" w15:restartNumberingAfterBreak="0">
    <w:nsid w:val="74930D8B"/>
    <w:multiLevelType w:val="hybridMultilevel"/>
    <w:tmpl w:val="0552953E"/>
    <w:lvl w:ilvl="0" w:tplc="BD749E78">
      <w:start w:val="16"/>
      <w:numFmt w:val="decimal"/>
      <w:lvlText w:val="%1"/>
      <w:lvlJc w:val="left"/>
      <w:pPr>
        <w:ind w:left="1080" w:hanging="360"/>
      </w:pPr>
      <w:rPr>
        <w:rFonts w:hint="default"/>
        <w:b/>
        <w:i w:val="0"/>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5" w15:restartNumberingAfterBreak="0">
    <w:nsid w:val="76BE3550"/>
    <w:multiLevelType w:val="hybridMultilevel"/>
    <w:tmpl w:val="7064398A"/>
    <w:lvl w:ilvl="0" w:tplc="A7AE29CC">
      <w:start w:val="25"/>
      <w:numFmt w:val="decimal"/>
      <w:lvlText w:val="%1."/>
      <w:lvlJc w:val="left"/>
      <w:pPr>
        <w:ind w:left="108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96" w15:restartNumberingAfterBreak="0">
    <w:nsid w:val="77C47E73"/>
    <w:multiLevelType w:val="hybridMultilevel"/>
    <w:tmpl w:val="A4F4C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7" w15:restartNumberingAfterBreak="0">
    <w:nsid w:val="783D0EF0"/>
    <w:multiLevelType w:val="hybridMultilevel"/>
    <w:tmpl w:val="7FDA773A"/>
    <w:lvl w:ilvl="0" w:tplc="10090001">
      <w:start w:val="1"/>
      <w:numFmt w:val="bullet"/>
      <w:lvlText w:val=""/>
      <w:lvlJc w:val="left"/>
      <w:pPr>
        <w:ind w:left="1440" w:hanging="360"/>
      </w:pPr>
      <w:rPr>
        <w:rFonts w:ascii="Symbol" w:hAnsi="Symbol" w:hint="default"/>
      </w:rPr>
    </w:lvl>
    <w:lvl w:ilvl="1" w:tplc="10090003" w:tentative="1">
      <w:start w:val="1"/>
      <w:numFmt w:val="bullet"/>
      <w:lvlText w:val="o"/>
      <w:lvlJc w:val="left"/>
      <w:pPr>
        <w:ind w:left="2160" w:hanging="360"/>
      </w:pPr>
      <w:rPr>
        <w:rFonts w:ascii="Courier New" w:hAnsi="Courier New" w:cs="Courier New" w:hint="default"/>
      </w:rPr>
    </w:lvl>
    <w:lvl w:ilvl="2" w:tplc="10090005" w:tentative="1">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abstractNum w:abstractNumId="98" w15:restartNumberingAfterBreak="0">
    <w:nsid w:val="79AB744A"/>
    <w:multiLevelType w:val="hybridMultilevel"/>
    <w:tmpl w:val="FD5AE86E"/>
    <w:lvl w:ilvl="0" w:tplc="8FECEF5A">
      <w:start w:val="17"/>
      <w:numFmt w:val="decimal"/>
      <w:lvlText w:val="%1"/>
      <w:lvlJc w:val="left"/>
      <w:pPr>
        <w:ind w:left="1080" w:hanging="360"/>
      </w:pPr>
      <w:rPr>
        <w:rFonts w:hint="default"/>
        <w:b/>
        <w:i w:val="0"/>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9" w15:restartNumberingAfterBreak="0">
    <w:nsid w:val="7A4D31B6"/>
    <w:multiLevelType w:val="hybridMultilevel"/>
    <w:tmpl w:val="25188FF8"/>
    <w:lvl w:ilvl="0" w:tplc="0960F30E">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0" w15:restartNumberingAfterBreak="0">
    <w:nsid w:val="7A6F397E"/>
    <w:multiLevelType w:val="hybridMultilevel"/>
    <w:tmpl w:val="ECAC39F6"/>
    <w:lvl w:ilvl="0" w:tplc="45FAE62E">
      <w:start w:val="11"/>
      <w:numFmt w:val="decimal"/>
      <w:lvlText w:val="%1"/>
      <w:lvlJc w:val="left"/>
      <w:pPr>
        <w:ind w:left="1080" w:hanging="360"/>
      </w:pPr>
      <w:rPr>
        <w:rFonts w:hint="default"/>
        <w:b/>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1" w15:restartNumberingAfterBreak="0">
    <w:nsid w:val="7B6230EA"/>
    <w:multiLevelType w:val="hybridMultilevel"/>
    <w:tmpl w:val="5F9A1574"/>
    <w:lvl w:ilvl="0" w:tplc="B62A1D42">
      <w:start w:val="15"/>
      <w:numFmt w:val="decimal"/>
      <w:lvlText w:val="%1"/>
      <w:lvlJc w:val="left"/>
      <w:pPr>
        <w:ind w:left="1080" w:hanging="360"/>
      </w:pPr>
      <w:rPr>
        <w:rFonts w:hint="default"/>
        <w:b/>
        <w:i w:val="0"/>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2" w15:restartNumberingAfterBreak="0">
    <w:nsid w:val="7DCD6B69"/>
    <w:multiLevelType w:val="hybridMultilevel"/>
    <w:tmpl w:val="5136FA3A"/>
    <w:lvl w:ilvl="0" w:tplc="8FECEF5A">
      <w:start w:val="17"/>
      <w:numFmt w:val="decimal"/>
      <w:lvlText w:val="%1"/>
      <w:lvlJc w:val="left"/>
      <w:pPr>
        <w:ind w:left="1080" w:hanging="360"/>
      </w:pPr>
      <w:rPr>
        <w:rFonts w:hint="default"/>
        <w:b/>
        <w:i w:val="0"/>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3" w15:restartNumberingAfterBreak="0">
    <w:nsid w:val="7E961AA4"/>
    <w:multiLevelType w:val="multilevel"/>
    <w:tmpl w:val="B2061B06"/>
    <w:numStyleLink w:val="TOCStyle2"/>
  </w:abstractNum>
  <w:abstractNum w:abstractNumId="104" w15:restartNumberingAfterBreak="0">
    <w:nsid w:val="7EAD1626"/>
    <w:multiLevelType w:val="hybridMultilevel"/>
    <w:tmpl w:val="7D942B82"/>
    <w:lvl w:ilvl="0" w:tplc="6D6E717C">
      <w:start w:val="50"/>
      <w:numFmt w:val="decimal"/>
      <w:lvlText w:val="%1"/>
      <w:lvlJc w:val="left"/>
      <w:pPr>
        <w:ind w:left="1440" w:hanging="360"/>
      </w:pPr>
      <w:rPr>
        <w:rFonts w:hint="default"/>
        <w:b/>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5" w15:restartNumberingAfterBreak="0">
    <w:nsid w:val="7ECD57CD"/>
    <w:multiLevelType w:val="hybridMultilevel"/>
    <w:tmpl w:val="512C8B68"/>
    <w:lvl w:ilvl="0" w:tplc="10090011">
      <w:start w:val="1"/>
      <w:numFmt w:val="decimal"/>
      <w:lvlText w:val="%1)"/>
      <w:lvlJc w:val="left"/>
      <w:pPr>
        <w:ind w:left="1440" w:hanging="360"/>
      </w:p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num w:numId="1">
    <w:abstractNumId w:val="2"/>
  </w:num>
  <w:num w:numId="2">
    <w:abstractNumId w:val="11"/>
  </w:num>
  <w:num w:numId="3">
    <w:abstractNumId w:val="1"/>
  </w:num>
  <w:num w:numId="4">
    <w:abstractNumId w:val="0"/>
  </w:num>
  <w:num w:numId="5">
    <w:abstractNumId w:val="103"/>
    <w:lvlOverride w:ilvl="0">
      <w:lvl w:ilvl="0">
        <w:start w:val="1"/>
        <w:numFmt w:val="decimal"/>
        <w:lvlText w:val="%1."/>
        <w:lvlJc w:val="left"/>
        <w:pPr>
          <w:ind w:left="360" w:hanging="360"/>
        </w:pPr>
        <w:rPr>
          <w:rFonts w:ascii="Times New Roman" w:hAnsi="Times New Roman" w:hint="default"/>
          <w:b/>
          <w:sz w:val="28"/>
        </w:rPr>
      </w:lvl>
    </w:lvlOverride>
    <w:lvlOverride w:ilvl="1">
      <w:lvl w:ilvl="1">
        <w:start w:val="1"/>
        <w:numFmt w:val="decimal"/>
        <w:pStyle w:val="ListParagraph"/>
        <w:lvlText w:val="%1.%2"/>
        <w:lvlJc w:val="left"/>
        <w:pPr>
          <w:ind w:left="792" w:hanging="432"/>
        </w:pPr>
        <w:rPr>
          <w:rFonts w:ascii="Times New Roman" w:hAnsi="Times New Roman" w:hint="default"/>
          <w:b/>
          <w:bCs w:val="0"/>
          <w:sz w:val="24"/>
        </w:rPr>
      </w:lvl>
    </w:lvlOverride>
    <w:lvlOverride w:ilvl="2">
      <w:lvl w:ilvl="2">
        <w:start w:val="1"/>
        <w:numFmt w:val="decimal"/>
        <w:pStyle w:val="TOC3rd"/>
        <w:lvlText w:val="%1.%2.%3"/>
        <w:lvlJc w:val="left"/>
        <w:pPr>
          <w:ind w:left="1224" w:hanging="504"/>
        </w:pPr>
        <w:rPr>
          <w:rFonts w:ascii="Times New Roman" w:hAnsi="Times New Roman" w:hint="default"/>
          <w:b/>
          <w:bCs/>
          <w:sz w:val="24"/>
        </w:rPr>
      </w:lvl>
    </w:lvlOverride>
    <w:lvlOverride w:ilvl="3">
      <w:lvl w:ilvl="3">
        <w:start w:val="1"/>
        <w:numFmt w:val="decimal"/>
        <w:lvlText w:val="%1.%2.%3.%4."/>
        <w:lvlJc w:val="left"/>
        <w:pPr>
          <w:ind w:left="1728" w:hanging="648"/>
        </w:pPr>
        <w:rPr>
          <w:rFonts w:hint="default"/>
          <w:b/>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b/>
          <w:bCs/>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6">
    <w:abstractNumId w:val="43"/>
  </w:num>
  <w:num w:numId="7">
    <w:abstractNumId w:val="22"/>
  </w:num>
  <w:num w:numId="8">
    <w:abstractNumId w:val="69"/>
  </w:num>
  <w:num w:numId="9">
    <w:abstractNumId w:val="45"/>
  </w:num>
  <w:num w:numId="10">
    <w:abstractNumId w:val="66"/>
  </w:num>
  <w:num w:numId="11">
    <w:abstractNumId w:val="89"/>
  </w:num>
  <w:num w:numId="12">
    <w:abstractNumId w:val="8"/>
  </w:num>
  <w:num w:numId="13">
    <w:abstractNumId w:val="60"/>
  </w:num>
  <w:num w:numId="14">
    <w:abstractNumId w:val="42"/>
  </w:num>
  <w:num w:numId="15">
    <w:abstractNumId w:val="4"/>
  </w:num>
  <w:num w:numId="16">
    <w:abstractNumId w:val="16"/>
  </w:num>
  <w:num w:numId="17">
    <w:abstractNumId w:val="35"/>
  </w:num>
  <w:num w:numId="18">
    <w:abstractNumId w:val="25"/>
  </w:num>
  <w:num w:numId="19">
    <w:abstractNumId w:val="83"/>
  </w:num>
  <w:num w:numId="20">
    <w:abstractNumId w:val="96"/>
  </w:num>
  <w:num w:numId="21">
    <w:abstractNumId w:val="105"/>
  </w:num>
  <w:num w:numId="22">
    <w:abstractNumId w:val="65"/>
  </w:num>
  <w:num w:numId="23">
    <w:abstractNumId w:val="81"/>
  </w:num>
  <w:num w:numId="24">
    <w:abstractNumId w:val="92"/>
  </w:num>
  <w:num w:numId="25">
    <w:abstractNumId w:val="32"/>
  </w:num>
  <w:num w:numId="26">
    <w:abstractNumId w:val="27"/>
  </w:num>
  <w:num w:numId="27">
    <w:abstractNumId w:val="68"/>
  </w:num>
  <w:num w:numId="28">
    <w:abstractNumId w:val="50"/>
  </w:num>
  <w:num w:numId="29">
    <w:abstractNumId w:val="74"/>
  </w:num>
  <w:num w:numId="30">
    <w:abstractNumId w:val="84"/>
  </w:num>
  <w:num w:numId="31">
    <w:abstractNumId w:val="41"/>
  </w:num>
  <w:num w:numId="32">
    <w:abstractNumId w:val="67"/>
  </w:num>
  <w:num w:numId="33">
    <w:abstractNumId w:val="28"/>
  </w:num>
  <w:num w:numId="34">
    <w:abstractNumId w:val="51"/>
  </w:num>
  <w:num w:numId="35">
    <w:abstractNumId w:val="72"/>
  </w:num>
  <w:num w:numId="36">
    <w:abstractNumId w:val="85"/>
  </w:num>
  <w:num w:numId="37">
    <w:abstractNumId w:val="79"/>
  </w:num>
  <w:num w:numId="38">
    <w:abstractNumId w:val="58"/>
  </w:num>
  <w:num w:numId="39">
    <w:abstractNumId w:val="76"/>
  </w:num>
  <w:num w:numId="40">
    <w:abstractNumId w:val="75"/>
  </w:num>
  <w:num w:numId="41">
    <w:abstractNumId w:val="9"/>
  </w:num>
  <w:num w:numId="42">
    <w:abstractNumId w:val="7"/>
  </w:num>
  <w:num w:numId="43">
    <w:abstractNumId w:val="10"/>
  </w:num>
  <w:num w:numId="44">
    <w:abstractNumId w:val="26"/>
  </w:num>
  <w:num w:numId="45">
    <w:abstractNumId w:val="19"/>
  </w:num>
  <w:num w:numId="46">
    <w:abstractNumId w:val="30"/>
  </w:num>
  <w:num w:numId="47">
    <w:abstractNumId w:val="55"/>
  </w:num>
  <w:num w:numId="48">
    <w:abstractNumId w:val="56"/>
  </w:num>
  <w:num w:numId="49">
    <w:abstractNumId w:val="64"/>
  </w:num>
  <w:num w:numId="50">
    <w:abstractNumId w:val="57"/>
  </w:num>
  <w:num w:numId="51">
    <w:abstractNumId w:val="21"/>
  </w:num>
  <w:num w:numId="52">
    <w:abstractNumId w:val="3"/>
  </w:num>
  <w:num w:numId="53">
    <w:abstractNumId w:val="52"/>
  </w:num>
  <w:num w:numId="54">
    <w:abstractNumId w:val="23"/>
  </w:num>
  <w:num w:numId="55">
    <w:abstractNumId w:val="31"/>
  </w:num>
  <w:num w:numId="56">
    <w:abstractNumId w:val="86"/>
  </w:num>
  <w:num w:numId="57">
    <w:abstractNumId w:val="12"/>
  </w:num>
  <w:num w:numId="58">
    <w:abstractNumId w:val="34"/>
  </w:num>
  <w:num w:numId="59">
    <w:abstractNumId w:val="99"/>
  </w:num>
  <w:num w:numId="60">
    <w:abstractNumId w:val="82"/>
  </w:num>
  <w:num w:numId="61">
    <w:abstractNumId w:val="104"/>
  </w:num>
  <w:num w:numId="62">
    <w:abstractNumId w:val="14"/>
  </w:num>
  <w:num w:numId="63">
    <w:abstractNumId w:val="20"/>
  </w:num>
  <w:num w:numId="64">
    <w:abstractNumId w:val="29"/>
  </w:num>
  <w:num w:numId="65">
    <w:abstractNumId w:val="33"/>
  </w:num>
  <w:num w:numId="66">
    <w:abstractNumId w:val="36"/>
  </w:num>
  <w:num w:numId="67">
    <w:abstractNumId w:val="77"/>
  </w:num>
  <w:num w:numId="68">
    <w:abstractNumId w:val="15"/>
  </w:num>
  <w:num w:numId="69">
    <w:abstractNumId w:val="46"/>
  </w:num>
  <w:num w:numId="70">
    <w:abstractNumId w:val="91"/>
  </w:num>
  <w:num w:numId="71">
    <w:abstractNumId w:val="62"/>
  </w:num>
  <w:num w:numId="72">
    <w:abstractNumId w:val="100"/>
  </w:num>
  <w:num w:numId="73">
    <w:abstractNumId w:val="37"/>
  </w:num>
  <w:num w:numId="74">
    <w:abstractNumId w:val="18"/>
  </w:num>
  <w:num w:numId="75">
    <w:abstractNumId w:val="40"/>
  </w:num>
  <w:num w:numId="76">
    <w:abstractNumId w:val="88"/>
  </w:num>
  <w:num w:numId="77">
    <w:abstractNumId w:val="73"/>
  </w:num>
  <w:num w:numId="78">
    <w:abstractNumId w:val="87"/>
  </w:num>
  <w:num w:numId="79">
    <w:abstractNumId w:val="6"/>
  </w:num>
  <w:num w:numId="80">
    <w:abstractNumId w:val="39"/>
  </w:num>
  <w:num w:numId="81">
    <w:abstractNumId w:val="90"/>
  </w:num>
  <w:num w:numId="82">
    <w:abstractNumId w:val="71"/>
  </w:num>
  <w:num w:numId="83">
    <w:abstractNumId w:val="97"/>
  </w:num>
  <w:num w:numId="84">
    <w:abstractNumId w:val="48"/>
  </w:num>
  <w:num w:numId="85">
    <w:abstractNumId w:val="61"/>
  </w:num>
  <w:num w:numId="86">
    <w:abstractNumId w:val="95"/>
  </w:num>
  <w:num w:numId="87">
    <w:abstractNumId w:val="59"/>
  </w:num>
  <w:num w:numId="88">
    <w:abstractNumId w:val="63"/>
  </w:num>
  <w:num w:numId="89">
    <w:abstractNumId w:val="54"/>
  </w:num>
  <w:num w:numId="90">
    <w:abstractNumId w:val="17"/>
  </w:num>
  <w:num w:numId="91">
    <w:abstractNumId w:val="44"/>
  </w:num>
  <w:num w:numId="92">
    <w:abstractNumId w:val="24"/>
  </w:num>
  <w:num w:numId="93">
    <w:abstractNumId w:val="53"/>
  </w:num>
  <w:num w:numId="94">
    <w:abstractNumId w:val="80"/>
  </w:num>
  <w:num w:numId="95">
    <w:abstractNumId w:val="49"/>
  </w:num>
  <w:num w:numId="96">
    <w:abstractNumId w:val="78"/>
  </w:num>
  <w:num w:numId="97">
    <w:abstractNumId w:val="13"/>
  </w:num>
  <w:num w:numId="98">
    <w:abstractNumId w:val="47"/>
  </w:num>
  <w:num w:numId="99">
    <w:abstractNumId w:val="101"/>
  </w:num>
  <w:num w:numId="100">
    <w:abstractNumId w:val="102"/>
  </w:num>
  <w:num w:numId="101">
    <w:abstractNumId w:val="98"/>
  </w:num>
  <w:num w:numId="102">
    <w:abstractNumId w:val="70"/>
  </w:num>
  <w:num w:numId="103">
    <w:abstractNumId w:val="93"/>
  </w:num>
  <w:num w:numId="104">
    <w:abstractNumId w:val="38"/>
  </w:num>
  <w:num w:numId="105">
    <w:abstractNumId w:val="94"/>
  </w:num>
  <w:num w:numId="106">
    <w:abstractNumId w:val="5"/>
  </w:num>
  <w:numIdMacAtCleanup w:val="10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evenAndOddHeaders/>
  <w:drawingGridHorizontalSpacing w:val="110"/>
  <w:displayHorizontalDrawingGridEvery w:val="2"/>
  <w:displayVerticalDrawingGridEvery w:val="2"/>
  <w:characterSpacingControl w:val="doNotCompress"/>
  <w:hdrShapeDefaults>
    <o:shapedefaults v:ext="edit" spidmax="9830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1282C"/>
    <w:rsid w:val="000000EF"/>
    <w:rsid w:val="0000138C"/>
    <w:rsid w:val="00001574"/>
    <w:rsid w:val="00002A16"/>
    <w:rsid w:val="000037E0"/>
    <w:rsid w:val="00003FE2"/>
    <w:rsid w:val="0000483B"/>
    <w:rsid w:val="00005C5E"/>
    <w:rsid w:val="00006FF1"/>
    <w:rsid w:val="00007335"/>
    <w:rsid w:val="00011D76"/>
    <w:rsid w:val="00014F3C"/>
    <w:rsid w:val="000219C3"/>
    <w:rsid w:val="00022238"/>
    <w:rsid w:val="00022482"/>
    <w:rsid w:val="00022500"/>
    <w:rsid w:val="000237E3"/>
    <w:rsid w:val="00030C35"/>
    <w:rsid w:val="00031C4B"/>
    <w:rsid w:val="00031CE9"/>
    <w:rsid w:val="00031E18"/>
    <w:rsid w:val="000321F5"/>
    <w:rsid w:val="00035F2D"/>
    <w:rsid w:val="0003633C"/>
    <w:rsid w:val="00036AD2"/>
    <w:rsid w:val="000378CB"/>
    <w:rsid w:val="00037E83"/>
    <w:rsid w:val="00041B9A"/>
    <w:rsid w:val="0004252E"/>
    <w:rsid w:val="0004579B"/>
    <w:rsid w:val="00045E1D"/>
    <w:rsid w:val="00047718"/>
    <w:rsid w:val="00051C40"/>
    <w:rsid w:val="0005216A"/>
    <w:rsid w:val="00052D7D"/>
    <w:rsid w:val="00052DBF"/>
    <w:rsid w:val="0005346D"/>
    <w:rsid w:val="0005401C"/>
    <w:rsid w:val="00054A8E"/>
    <w:rsid w:val="00054BA1"/>
    <w:rsid w:val="00054BBB"/>
    <w:rsid w:val="000556B9"/>
    <w:rsid w:val="00063274"/>
    <w:rsid w:val="00063E00"/>
    <w:rsid w:val="00064F72"/>
    <w:rsid w:val="000652E2"/>
    <w:rsid w:val="000653E2"/>
    <w:rsid w:val="000653E5"/>
    <w:rsid w:val="00066411"/>
    <w:rsid w:val="000669A9"/>
    <w:rsid w:val="00066D6F"/>
    <w:rsid w:val="000702C5"/>
    <w:rsid w:val="00070390"/>
    <w:rsid w:val="000712A3"/>
    <w:rsid w:val="000722C1"/>
    <w:rsid w:val="00072E0A"/>
    <w:rsid w:val="00074931"/>
    <w:rsid w:val="00075DC6"/>
    <w:rsid w:val="000804CF"/>
    <w:rsid w:val="00080E15"/>
    <w:rsid w:val="000817D5"/>
    <w:rsid w:val="00082500"/>
    <w:rsid w:val="00082C2B"/>
    <w:rsid w:val="00083C43"/>
    <w:rsid w:val="00084028"/>
    <w:rsid w:val="00084AD3"/>
    <w:rsid w:val="00097109"/>
    <w:rsid w:val="000A4BE4"/>
    <w:rsid w:val="000A4E42"/>
    <w:rsid w:val="000A4EE1"/>
    <w:rsid w:val="000B358C"/>
    <w:rsid w:val="000B3AB3"/>
    <w:rsid w:val="000B592E"/>
    <w:rsid w:val="000B5BAA"/>
    <w:rsid w:val="000B6198"/>
    <w:rsid w:val="000C0F62"/>
    <w:rsid w:val="000C1554"/>
    <w:rsid w:val="000C219F"/>
    <w:rsid w:val="000C23D3"/>
    <w:rsid w:val="000C2B4E"/>
    <w:rsid w:val="000C6447"/>
    <w:rsid w:val="000C7135"/>
    <w:rsid w:val="000C7391"/>
    <w:rsid w:val="000C7AE6"/>
    <w:rsid w:val="000D108A"/>
    <w:rsid w:val="000D1498"/>
    <w:rsid w:val="000D37C8"/>
    <w:rsid w:val="000D3E5C"/>
    <w:rsid w:val="000D4120"/>
    <w:rsid w:val="000D4952"/>
    <w:rsid w:val="000D5067"/>
    <w:rsid w:val="000D631D"/>
    <w:rsid w:val="000D7491"/>
    <w:rsid w:val="000E0371"/>
    <w:rsid w:val="000E0705"/>
    <w:rsid w:val="000E122E"/>
    <w:rsid w:val="000E142F"/>
    <w:rsid w:val="000E1848"/>
    <w:rsid w:val="000E2C49"/>
    <w:rsid w:val="000E3D58"/>
    <w:rsid w:val="000E4446"/>
    <w:rsid w:val="000E4F29"/>
    <w:rsid w:val="000E5244"/>
    <w:rsid w:val="000E6407"/>
    <w:rsid w:val="000F1303"/>
    <w:rsid w:val="000F17FA"/>
    <w:rsid w:val="000F2305"/>
    <w:rsid w:val="000F266F"/>
    <w:rsid w:val="000F3288"/>
    <w:rsid w:val="000F5994"/>
    <w:rsid w:val="000F6889"/>
    <w:rsid w:val="000F6D49"/>
    <w:rsid w:val="000F742B"/>
    <w:rsid w:val="000F7866"/>
    <w:rsid w:val="00100776"/>
    <w:rsid w:val="00100C11"/>
    <w:rsid w:val="0010177E"/>
    <w:rsid w:val="00101A7C"/>
    <w:rsid w:val="001043AC"/>
    <w:rsid w:val="00104782"/>
    <w:rsid w:val="001067A8"/>
    <w:rsid w:val="00111186"/>
    <w:rsid w:val="00111B7B"/>
    <w:rsid w:val="0011224B"/>
    <w:rsid w:val="00113931"/>
    <w:rsid w:val="001140C0"/>
    <w:rsid w:val="00114729"/>
    <w:rsid w:val="0011685A"/>
    <w:rsid w:val="00116B72"/>
    <w:rsid w:val="00121670"/>
    <w:rsid w:val="00123779"/>
    <w:rsid w:val="001252A7"/>
    <w:rsid w:val="001267A6"/>
    <w:rsid w:val="00126F3E"/>
    <w:rsid w:val="001275DC"/>
    <w:rsid w:val="00127F22"/>
    <w:rsid w:val="00134E4E"/>
    <w:rsid w:val="00135279"/>
    <w:rsid w:val="00135C43"/>
    <w:rsid w:val="0014070D"/>
    <w:rsid w:val="00140B17"/>
    <w:rsid w:val="001424C7"/>
    <w:rsid w:val="001431D8"/>
    <w:rsid w:val="00143499"/>
    <w:rsid w:val="001444E8"/>
    <w:rsid w:val="00144E04"/>
    <w:rsid w:val="001458EA"/>
    <w:rsid w:val="0014614A"/>
    <w:rsid w:val="00147CCE"/>
    <w:rsid w:val="00150806"/>
    <w:rsid w:val="00150B54"/>
    <w:rsid w:val="0015105D"/>
    <w:rsid w:val="0015142D"/>
    <w:rsid w:val="00151509"/>
    <w:rsid w:val="00151EB3"/>
    <w:rsid w:val="0015244B"/>
    <w:rsid w:val="00152AA7"/>
    <w:rsid w:val="001534E5"/>
    <w:rsid w:val="00154759"/>
    <w:rsid w:val="00156D4A"/>
    <w:rsid w:val="001601F5"/>
    <w:rsid w:val="0016036F"/>
    <w:rsid w:val="001619DD"/>
    <w:rsid w:val="00161B79"/>
    <w:rsid w:val="00162FB7"/>
    <w:rsid w:val="00163BC8"/>
    <w:rsid w:val="0016536D"/>
    <w:rsid w:val="00165CC8"/>
    <w:rsid w:val="00166584"/>
    <w:rsid w:val="001674E2"/>
    <w:rsid w:val="00170F0D"/>
    <w:rsid w:val="001743E8"/>
    <w:rsid w:val="00176472"/>
    <w:rsid w:val="001777F9"/>
    <w:rsid w:val="00181B5D"/>
    <w:rsid w:val="001843DD"/>
    <w:rsid w:val="001846B9"/>
    <w:rsid w:val="00187AAE"/>
    <w:rsid w:val="00187F99"/>
    <w:rsid w:val="00190751"/>
    <w:rsid w:val="0019272B"/>
    <w:rsid w:val="001949D9"/>
    <w:rsid w:val="00194C16"/>
    <w:rsid w:val="001953C1"/>
    <w:rsid w:val="0019695A"/>
    <w:rsid w:val="00196CD6"/>
    <w:rsid w:val="001973F2"/>
    <w:rsid w:val="001A0084"/>
    <w:rsid w:val="001A2606"/>
    <w:rsid w:val="001A2DA6"/>
    <w:rsid w:val="001A6D1C"/>
    <w:rsid w:val="001A756C"/>
    <w:rsid w:val="001B02F3"/>
    <w:rsid w:val="001B06A9"/>
    <w:rsid w:val="001B18A3"/>
    <w:rsid w:val="001B2361"/>
    <w:rsid w:val="001B49C2"/>
    <w:rsid w:val="001B4FDB"/>
    <w:rsid w:val="001B5CC0"/>
    <w:rsid w:val="001B6885"/>
    <w:rsid w:val="001C0908"/>
    <w:rsid w:val="001C1BC2"/>
    <w:rsid w:val="001C2F1D"/>
    <w:rsid w:val="001C389B"/>
    <w:rsid w:val="001C4853"/>
    <w:rsid w:val="001C570E"/>
    <w:rsid w:val="001C5ABF"/>
    <w:rsid w:val="001C5ED9"/>
    <w:rsid w:val="001C70A2"/>
    <w:rsid w:val="001C7F40"/>
    <w:rsid w:val="001D1137"/>
    <w:rsid w:val="001D13F7"/>
    <w:rsid w:val="001D3897"/>
    <w:rsid w:val="001D3E41"/>
    <w:rsid w:val="001D41E6"/>
    <w:rsid w:val="001D576F"/>
    <w:rsid w:val="001D6D71"/>
    <w:rsid w:val="001E21AF"/>
    <w:rsid w:val="001E342B"/>
    <w:rsid w:val="001E4164"/>
    <w:rsid w:val="001E4872"/>
    <w:rsid w:val="001E4D31"/>
    <w:rsid w:val="001E70DE"/>
    <w:rsid w:val="001F39C8"/>
    <w:rsid w:val="001F67F0"/>
    <w:rsid w:val="00200F68"/>
    <w:rsid w:val="0020260C"/>
    <w:rsid w:val="00203B96"/>
    <w:rsid w:val="00203C68"/>
    <w:rsid w:val="0020589D"/>
    <w:rsid w:val="00206B5F"/>
    <w:rsid w:val="00210040"/>
    <w:rsid w:val="00211C35"/>
    <w:rsid w:val="00212927"/>
    <w:rsid w:val="0021306C"/>
    <w:rsid w:val="00214936"/>
    <w:rsid w:val="0021539B"/>
    <w:rsid w:val="00217A62"/>
    <w:rsid w:val="00223273"/>
    <w:rsid w:val="00224CC6"/>
    <w:rsid w:val="00226215"/>
    <w:rsid w:val="0022676A"/>
    <w:rsid w:val="002267B4"/>
    <w:rsid w:val="00227107"/>
    <w:rsid w:val="00230839"/>
    <w:rsid w:val="00230A6F"/>
    <w:rsid w:val="002317DA"/>
    <w:rsid w:val="00233B46"/>
    <w:rsid w:val="002352ED"/>
    <w:rsid w:val="0023536E"/>
    <w:rsid w:val="002369E6"/>
    <w:rsid w:val="0023734A"/>
    <w:rsid w:val="002377D0"/>
    <w:rsid w:val="00242A56"/>
    <w:rsid w:val="0024352B"/>
    <w:rsid w:val="00243698"/>
    <w:rsid w:val="00244CA8"/>
    <w:rsid w:val="00245D32"/>
    <w:rsid w:val="002504C7"/>
    <w:rsid w:val="00250CF0"/>
    <w:rsid w:val="00251001"/>
    <w:rsid w:val="0025139C"/>
    <w:rsid w:val="002515C1"/>
    <w:rsid w:val="002517D6"/>
    <w:rsid w:val="00251952"/>
    <w:rsid w:val="00251E3E"/>
    <w:rsid w:val="0025203B"/>
    <w:rsid w:val="00252A59"/>
    <w:rsid w:val="00253635"/>
    <w:rsid w:val="00253DBA"/>
    <w:rsid w:val="002541E9"/>
    <w:rsid w:val="00255409"/>
    <w:rsid w:val="00256A75"/>
    <w:rsid w:val="00257AA3"/>
    <w:rsid w:val="00261159"/>
    <w:rsid w:val="0026166D"/>
    <w:rsid w:val="002619B9"/>
    <w:rsid w:val="00261B3A"/>
    <w:rsid w:val="002638C4"/>
    <w:rsid w:val="00264A51"/>
    <w:rsid w:val="00265B9F"/>
    <w:rsid w:val="00270317"/>
    <w:rsid w:val="00270AAE"/>
    <w:rsid w:val="00272227"/>
    <w:rsid w:val="00273640"/>
    <w:rsid w:val="00274817"/>
    <w:rsid w:val="00275876"/>
    <w:rsid w:val="00277763"/>
    <w:rsid w:val="00280369"/>
    <w:rsid w:val="0028061B"/>
    <w:rsid w:val="00280AC8"/>
    <w:rsid w:val="00283BD2"/>
    <w:rsid w:val="00284250"/>
    <w:rsid w:val="0028466E"/>
    <w:rsid w:val="00287586"/>
    <w:rsid w:val="00287841"/>
    <w:rsid w:val="00291B72"/>
    <w:rsid w:val="002932B6"/>
    <w:rsid w:val="0029474F"/>
    <w:rsid w:val="00294C35"/>
    <w:rsid w:val="002968A0"/>
    <w:rsid w:val="002976A5"/>
    <w:rsid w:val="002A06CA"/>
    <w:rsid w:val="002A0EBB"/>
    <w:rsid w:val="002A4862"/>
    <w:rsid w:val="002A7FCB"/>
    <w:rsid w:val="002B124D"/>
    <w:rsid w:val="002B1AFC"/>
    <w:rsid w:val="002B3DC5"/>
    <w:rsid w:val="002B4CAC"/>
    <w:rsid w:val="002B58B7"/>
    <w:rsid w:val="002B59B3"/>
    <w:rsid w:val="002B606E"/>
    <w:rsid w:val="002B6178"/>
    <w:rsid w:val="002C2621"/>
    <w:rsid w:val="002C2A99"/>
    <w:rsid w:val="002C3C2C"/>
    <w:rsid w:val="002C5031"/>
    <w:rsid w:val="002C5224"/>
    <w:rsid w:val="002C5424"/>
    <w:rsid w:val="002C6F7A"/>
    <w:rsid w:val="002D2897"/>
    <w:rsid w:val="002D4077"/>
    <w:rsid w:val="002D63D1"/>
    <w:rsid w:val="002D7336"/>
    <w:rsid w:val="002D73F2"/>
    <w:rsid w:val="002E011D"/>
    <w:rsid w:val="002E16C9"/>
    <w:rsid w:val="002E34A3"/>
    <w:rsid w:val="002E487C"/>
    <w:rsid w:val="002E70A3"/>
    <w:rsid w:val="002E7304"/>
    <w:rsid w:val="002E7674"/>
    <w:rsid w:val="002F1974"/>
    <w:rsid w:val="002F1AF7"/>
    <w:rsid w:val="002F2881"/>
    <w:rsid w:val="002F41D4"/>
    <w:rsid w:val="002F4B04"/>
    <w:rsid w:val="002F4E3D"/>
    <w:rsid w:val="002F5A2A"/>
    <w:rsid w:val="002F6DB7"/>
    <w:rsid w:val="00301B92"/>
    <w:rsid w:val="003031EC"/>
    <w:rsid w:val="003046FD"/>
    <w:rsid w:val="0030668E"/>
    <w:rsid w:val="00310A3B"/>
    <w:rsid w:val="00310A3E"/>
    <w:rsid w:val="00310B39"/>
    <w:rsid w:val="00311A10"/>
    <w:rsid w:val="00311B36"/>
    <w:rsid w:val="00312E12"/>
    <w:rsid w:val="0031369D"/>
    <w:rsid w:val="00313F94"/>
    <w:rsid w:val="003218B1"/>
    <w:rsid w:val="003226C3"/>
    <w:rsid w:val="00324BC4"/>
    <w:rsid w:val="00330E82"/>
    <w:rsid w:val="0033494A"/>
    <w:rsid w:val="00340190"/>
    <w:rsid w:val="0034095B"/>
    <w:rsid w:val="0034192F"/>
    <w:rsid w:val="00343E86"/>
    <w:rsid w:val="0034436D"/>
    <w:rsid w:val="00347E3F"/>
    <w:rsid w:val="003501DE"/>
    <w:rsid w:val="003504F1"/>
    <w:rsid w:val="00351F46"/>
    <w:rsid w:val="00353096"/>
    <w:rsid w:val="003540F8"/>
    <w:rsid w:val="00355678"/>
    <w:rsid w:val="00362E6B"/>
    <w:rsid w:val="00363905"/>
    <w:rsid w:val="003652D2"/>
    <w:rsid w:val="00365BD8"/>
    <w:rsid w:val="00370167"/>
    <w:rsid w:val="003724A2"/>
    <w:rsid w:val="00372743"/>
    <w:rsid w:val="0037436F"/>
    <w:rsid w:val="003758EB"/>
    <w:rsid w:val="00375CDA"/>
    <w:rsid w:val="0037613B"/>
    <w:rsid w:val="003844BB"/>
    <w:rsid w:val="00384963"/>
    <w:rsid w:val="00385599"/>
    <w:rsid w:val="00391569"/>
    <w:rsid w:val="00391577"/>
    <w:rsid w:val="00391DC0"/>
    <w:rsid w:val="003923EC"/>
    <w:rsid w:val="003945E4"/>
    <w:rsid w:val="00394964"/>
    <w:rsid w:val="00394AC4"/>
    <w:rsid w:val="0039621D"/>
    <w:rsid w:val="0039697D"/>
    <w:rsid w:val="00397658"/>
    <w:rsid w:val="003A124F"/>
    <w:rsid w:val="003A327B"/>
    <w:rsid w:val="003A362F"/>
    <w:rsid w:val="003A454A"/>
    <w:rsid w:val="003A5F4B"/>
    <w:rsid w:val="003A6892"/>
    <w:rsid w:val="003B09AB"/>
    <w:rsid w:val="003B2313"/>
    <w:rsid w:val="003B3E95"/>
    <w:rsid w:val="003B4FBE"/>
    <w:rsid w:val="003B5C4F"/>
    <w:rsid w:val="003B631D"/>
    <w:rsid w:val="003B7EAB"/>
    <w:rsid w:val="003C04DD"/>
    <w:rsid w:val="003C1C3B"/>
    <w:rsid w:val="003C26CC"/>
    <w:rsid w:val="003C4A9B"/>
    <w:rsid w:val="003C67B1"/>
    <w:rsid w:val="003C6FFD"/>
    <w:rsid w:val="003C743D"/>
    <w:rsid w:val="003D1080"/>
    <w:rsid w:val="003D219E"/>
    <w:rsid w:val="003D2DDF"/>
    <w:rsid w:val="003D3C56"/>
    <w:rsid w:val="003D3F1F"/>
    <w:rsid w:val="003D4A2F"/>
    <w:rsid w:val="003D6675"/>
    <w:rsid w:val="003D7498"/>
    <w:rsid w:val="003D76D1"/>
    <w:rsid w:val="003E144A"/>
    <w:rsid w:val="003E399F"/>
    <w:rsid w:val="003E673A"/>
    <w:rsid w:val="003F2943"/>
    <w:rsid w:val="003F57CB"/>
    <w:rsid w:val="003F5B60"/>
    <w:rsid w:val="00400973"/>
    <w:rsid w:val="00400B3C"/>
    <w:rsid w:val="00404F5B"/>
    <w:rsid w:val="00405613"/>
    <w:rsid w:val="0040600A"/>
    <w:rsid w:val="00406AFE"/>
    <w:rsid w:val="00410688"/>
    <w:rsid w:val="00410787"/>
    <w:rsid w:val="00412A3E"/>
    <w:rsid w:val="00412B93"/>
    <w:rsid w:val="00412F19"/>
    <w:rsid w:val="00420CF9"/>
    <w:rsid w:val="00423B99"/>
    <w:rsid w:val="004259C5"/>
    <w:rsid w:val="004306B5"/>
    <w:rsid w:val="004324C3"/>
    <w:rsid w:val="00432CA9"/>
    <w:rsid w:val="004340B6"/>
    <w:rsid w:val="00436A21"/>
    <w:rsid w:val="00437611"/>
    <w:rsid w:val="0043765C"/>
    <w:rsid w:val="0044040A"/>
    <w:rsid w:val="004422EE"/>
    <w:rsid w:val="004432D2"/>
    <w:rsid w:val="00443DF5"/>
    <w:rsid w:val="00443F65"/>
    <w:rsid w:val="00443F68"/>
    <w:rsid w:val="0044419B"/>
    <w:rsid w:val="004451C4"/>
    <w:rsid w:val="00445808"/>
    <w:rsid w:val="004462F2"/>
    <w:rsid w:val="00447C09"/>
    <w:rsid w:val="00450DCA"/>
    <w:rsid w:val="004522B6"/>
    <w:rsid w:val="0045269D"/>
    <w:rsid w:val="004564EA"/>
    <w:rsid w:val="00456E77"/>
    <w:rsid w:val="00457A17"/>
    <w:rsid w:val="0046156F"/>
    <w:rsid w:val="00461FEF"/>
    <w:rsid w:val="00464B32"/>
    <w:rsid w:val="00466EAC"/>
    <w:rsid w:val="00467920"/>
    <w:rsid w:val="00471603"/>
    <w:rsid w:val="00472339"/>
    <w:rsid w:val="0047681A"/>
    <w:rsid w:val="004769BA"/>
    <w:rsid w:val="00480FB0"/>
    <w:rsid w:val="00481A0D"/>
    <w:rsid w:val="00482365"/>
    <w:rsid w:val="004823DE"/>
    <w:rsid w:val="00482B75"/>
    <w:rsid w:val="00482D3A"/>
    <w:rsid w:val="00486294"/>
    <w:rsid w:val="00490DC1"/>
    <w:rsid w:val="00494A4C"/>
    <w:rsid w:val="0049547F"/>
    <w:rsid w:val="004A0ACE"/>
    <w:rsid w:val="004A0C4B"/>
    <w:rsid w:val="004A0E7B"/>
    <w:rsid w:val="004A0F4F"/>
    <w:rsid w:val="004A17DA"/>
    <w:rsid w:val="004A266D"/>
    <w:rsid w:val="004A352A"/>
    <w:rsid w:val="004A42C7"/>
    <w:rsid w:val="004B2B88"/>
    <w:rsid w:val="004B4880"/>
    <w:rsid w:val="004B617C"/>
    <w:rsid w:val="004B62EC"/>
    <w:rsid w:val="004C13A4"/>
    <w:rsid w:val="004C14BA"/>
    <w:rsid w:val="004C22FB"/>
    <w:rsid w:val="004C4E41"/>
    <w:rsid w:val="004C5AE4"/>
    <w:rsid w:val="004D01AF"/>
    <w:rsid w:val="004D0330"/>
    <w:rsid w:val="004D1F56"/>
    <w:rsid w:val="004D4669"/>
    <w:rsid w:val="004D4ACF"/>
    <w:rsid w:val="004E127A"/>
    <w:rsid w:val="004E143E"/>
    <w:rsid w:val="004E14AE"/>
    <w:rsid w:val="004E1A3D"/>
    <w:rsid w:val="004E2F70"/>
    <w:rsid w:val="004E3083"/>
    <w:rsid w:val="004E3DED"/>
    <w:rsid w:val="004E466E"/>
    <w:rsid w:val="004E796F"/>
    <w:rsid w:val="004E7D81"/>
    <w:rsid w:val="004F048F"/>
    <w:rsid w:val="004F0889"/>
    <w:rsid w:val="004F457E"/>
    <w:rsid w:val="004F46EB"/>
    <w:rsid w:val="004F7BE3"/>
    <w:rsid w:val="0050371F"/>
    <w:rsid w:val="00504311"/>
    <w:rsid w:val="00505754"/>
    <w:rsid w:val="00506226"/>
    <w:rsid w:val="0050690C"/>
    <w:rsid w:val="00507CA3"/>
    <w:rsid w:val="00510DEB"/>
    <w:rsid w:val="00511A7A"/>
    <w:rsid w:val="00512D74"/>
    <w:rsid w:val="0051408B"/>
    <w:rsid w:val="00516D77"/>
    <w:rsid w:val="0052242C"/>
    <w:rsid w:val="0052300B"/>
    <w:rsid w:val="00523BDB"/>
    <w:rsid w:val="00526ACE"/>
    <w:rsid w:val="00527C95"/>
    <w:rsid w:val="00531028"/>
    <w:rsid w:val="00531887"/>
    <w:rsid w:val="00531EAB"/>
    <w:rsid w:val="0053286A"/>
    <w:rsid w:val="005354DA"/>
    <w:rsid w:val="005369B2"/>
    <w:rsid w:val="00536AA5"/>
    <w:rsid w:val="00537C95"/>
    <w:rsid w:val="00544ADF"/>
    <w:rsid w:val="00545000"/>
    <w:rsid w:val="005455E7"/>
    <w:rsid w:val="005459E9"/>
    <w:rsid w:val="00545FFB"/>
    <w:rsid w:val="00546E39"/>
    <w:rsid w:val="00547026"/>
    <w:rsid w:val="005506C6"/>
    <w:rsid w:val="00552333"/>
    <w:rsid w:val="0055328B"/>
    <w:rsid w:val="0055354B"/>
    <w:rsid w:val="00555E3B"/>
    <w:rsid w:val="00556B0E"/>
    <w:rsid w:val="00556B66"/>
    <w:rsid w:val="00560F3E"/>
    <w:rsid w:val="00561A54"/>
    <w:rsid w:val="0056359D"/>
    <w:rsid w:val="00564CB1"/>
    <w:rsid w:val="00566892"/>
    <w:rsid w:val="00567664"/>
    <w:rsid w:val="0057149F"/>
    <w:rsid w:val="00581442"/>
    <w:rsid w:val="00581DCA"/>
    <w:rsid w:val="00584250"/>
    <w:rsid w:val="00584843"/>
    <w:rsid w:val="005862F6"/>
    <w:rsid w:val="005873EE"/>
    <w:rsid w:val="00587E49"/>
    <w:rsid w:val="0059295F"/>
    <w:rsid w:val="00596F45"/>
    <w:rsid w:val="005A0611"/>
    <w:rsid w:val="005A2F7A"/>
    <w:rsid w:val="005A4690"/>
    <w:rsid w:val="005A5794"/>
    <w:rsid w:val="005B3582"/>
    <w:rsid w:val="005B389F"/>
    <w:rsid w:val="005B4019"/>
    <w:rsid w:val="005B4F6A"/>
    <w:rsid w:val="005C0736"/>
    <w:rsid w:val="005C1E25"/>
    <w:rsid w:val="005C1FD4"/>
    <w:rsid w:val="005C205A"/>
    <w:rsid w:val="005C20E2"/>
    <w:rsid w:val="005C2BF9"/>
    <w:rsid w:val="005C3BF6"/>
    <w:rsid w:val="005D0765"/>
    <w:rsid w:val="005D1999"/>
    <w:rsid w:val="005D23D5"/>
    <w:rsid w:val="005D2613"/>
    <w:rsid w:val="005D2A6D"/>
    <w:rsid w:val="005D4414"/>
    <w:rsid w:val="005D47C2"/>
    <w:rsid w:val="005D4B36"/>
    <w:rsid w:val="005D602D"/>
    <w:rsid w:val="005D7BEA"/>
    <w:rsid w:val="005E0924"/>
    <w:rsid w:val="005E1921"/>
    <w:rsid w:val="005E655D"/>
    <w:rsid w:val="005E6EE7"/>
    <w:rsid w:val="005F0E61"/>
    <w:rsid w:val="005F1462"/>
    <w:rsid w:val="005F2315"/>
    <w:rsid w:val="005F38C1"/>
    <w:rsid w:val="005F3AB9"/>
    <w:rsid w:val="005F6945"/>
    <w:rsid w:val="005F722C"/>
    <w:rsid w:val="006003D1"/>
    <w:rsid w:val="00603BAB"/>
    <w:rsid w:val="00603ECB"/>
    <w:rsid w:val="0060466C"/>
    <w:rsid w:val="0060635A"/>
    <w:rsid w:val="00606BF1"/>
    <w:rsid w:val="00606EAD"/>
    <w:rsid w:val="00610CE6"/>
    <w:rsid w:val="00612492"/>
    <w:rsid w:val="0061282C"/>
    <w:rsid w:val="006170E7"/>
    <w:rsid w:val="00620400"/>
    <w:rsid w:val="00622295"/>
    <w:rsid w:val="00625DDF"/>
    <w:rsid w:val="00627396"/>
    <w:rsid w:val="00627A02"/>
    <w:rsid w:val="00627ED7"/>
    <w:rsid w:val="006333D1"/>
    <w:rsid w:val="00633E10"/>
    <w:rsid w:val="00634F52"/>
    <w:rsid w:val="00635039"/>
    <w:rsid w:val="00637711"/>
    <w:rsid w:val="00642A6F"/>
    <w:rsid w:val="00644333"/>
    <w:rsid w:val="00644396"/>
    <w:rsid w:val="00644836"/>
    <w:rsid w:val="00647CB3"/>
    <w:rsid w:val="006518B6"/>
    <w:rsid w:val="00652411"/>
    <w:rsid w:val="00653F24"/>
    <w:rsid w:val="00653F88"/>
    <w:rsid w:val="00655059"/>
    <w:rsid w:val="0065557A"/>
    <w:rsid w:val="00661A51"/>
    <w:rsid w:val="00661D0A"/>
    <w:rsid w:val="00661F9C"/>
    <w:rsid w:val="00662F0E"/>
    <w:rsid w:val="00663339"/>
    <w:rsid w:val="006635EE"/>
    <w:rsid w:val="00663B09"/>
    <w:rsid w:val="00663FC2"/>
    <w:rsid w:val="0066450D"/>
    <w:rsid w:val="006653C3"/>
    <w:rsid w:val="0067066E"/>
    <w:rsid w:val="006710C7"/>
    <w:rsid w:val="006734C7"/>
    <w:rsid w:val="00673CC7"/>
    <w:rsid w:val="00675F40"/>
    <w:rsid w:val="00677A3E"/>
    <w:rsid w:val="00677F5C"/>
    <w:rsid w:val="00680652"/>
    <w:rsid w:val="00683A72"/>
    <w:rsid w:val="00686141"/>
    <w:rsid w:val="00686883"/>
    <w:rsid w:val="006919E4"/>
    <w:rsid w:val="00691FE7"/>
    <w:rsid w:val="00693610"/>
    <w:rsid w:val="00693E6E"/>
    <w:rsid w:val="006941A3"/>
    <w:rsid w:val="00695504"/>
    <w:rsid w:val="006A04B1"/>
    <w:rsid w:val="006A1130"/>
    <w:rsid w:val="006A342F"/>
    <w:rsid w:val="006A350B"/>
    <w:rsid w:val="006A3A96"/>
    <w:rsid w:val="006A473A"/>
    <w:rsid w:val="006A4A2A"/>
    <w:rsid w:val="006A5861"/>
    <w:rsid w:val="006A6903"/>
    <w:rsid w:val="006A6995"/>
    <w:rsid w:val="006B0F39"/>
    <w:rsid w:val="006B283B"/>
    <w:rsid w:val="006B2CDE"/>
    <w:rsid w:val="006B3766"/>
    <w:rsid w:val="006B39EF"/>
    <w:rsid w:val="006B3CA3"/>
    <w:rsid w:val="006B3EDC"/>
    <w:rsid w:val="006B57DD"/>
    <w:rsid w:val="006B6E60"/>
    <w:rsid w:val="006B754B"/>
    <w:rsid w:val="006C05BF"/>
    <w:rsid w:val="006C1BF4"/>
    <w:rsid w:val="006C37BE"/>
    <w:rsid w:val="006C51CB"/>
    <w:rsid w:val="006C5A0F"/>
    <w:rsid w:val="006D0BFF"/>
    <w:rsid w:val="006D37C0"/>
    <w:rsid w:val="006D3A36"/>
    <w:rsid w:val="006D5FD5"/>
    <w:rsid w:val="006D62C1"/>
    <w:rsid w:val="006D6C86"/>
    <w:rsid w:val="006E0AC3"/>
    <w:rsid w:val="006E0D2D"/>
    <w:rsid w:val="006E0FA6"/>
    <w:rsid w:val="006E13A1"/>
    <w:rsid w:val="006E16CF"/>
    <w:rsid w:val="006E1B10"/>
    <w:rsid w:val="006E35AF"/>
    <w:rsid w:val="006E3CBD"/>
    <w:rsid w:val="006E752F"/>
    <w:rsid w:val="006E7EC6"/>
    <w:rsid w:val="006F0189"/>
    <w:rsid w:val="006F04BF"/>
    <w:rsid w:val="006F19C0"/>
    <w:rsid w:val="006F20FD"/>
    <w:rsid w:val="006F21D2"/>
    <w:rsid w:val="006F5810"/>
    <w:rsid w:val="006F59C8"/>
    <w:rsid w:val="006F6B8B"/>
    <w:rsid w:val="006F77D8"/>
    <w:rsid w:val="006F78A1"/>
    <w:rsid w:val="00700A63"/>
    <w:rsid w:val="0070330A"/>
    <w:rsid w:val="00704F30"/>
    <w:rsid w:val="00705DF0"/>
    <w:rsid w:val="00707AB7"/>
    <w:rsid w:val="00707ACD"/>
    <w:rsid w:val="007100A5"/>
    <w:rsid w:val="0071054A"/>
    <w:rsid w:val="00710C24"/>
    <w:rsid w:val="00710E66"/>
    <w:rsid w:val="007117A3"/>
    <w:rsid w:val="00712E7E"/>
    <w:rsid w:val="00714773"/>
    <w:rsid w:val="00715ED6"/>
    <w:rsid w:val="00716125"/>
    <w:rsid w:val="007248A6"/>
    <w:rsid w:val="00724A96"/>
    <w:rsid w:val="00726132"/>
    <w:rsid w:val="00730FC1"/>
    <w:rsid w:val="00731CCB"/>
    <w:rsid w:val="0073278C"/>
    <w:rsid w:val="007340C3"/>
    <w:rsid w:val="00734C8A"/>
    <w:rsid w:val="00735251"/>
    <w:rsid w:val="00737762"/>
    <w:rsid w:val="007378E8"/>
    <w:rsid w:val="00737F4A"/>
    <w:rsid w:val="00742807"/>
    <w:rsid w:val="00743153"/>
    <w:rsid w:val="0074332A"/>
    <w:rsid w:val="0074380A"/>
    <w:rsid w:val="0074473E"/>
    <w:rsid w:val="007455EA"/>
    <w:rsid w:val="00746787"/>
    <w:rsid w:val="00750986"/>
    <w:rsid w:val="00756CE7"/>
    <w:rsid w:val="007576A3"/>
    <w:rsid w:val="00760860"/>
    <w:rsid w:val="00764252"/>
    <w:rsid w:val="007648D8"/>
    <w:rsid w:val="00765538"/>
    <w:rsid w:val="00766438"/>
    <w:rsid w:val="007672A6"/>
    <w:rsid w:val="00767368"/>
    <w:rsid w:val="00767ADB"/>
    <w:rsid w:val="00770BE2"/>
    <w:rsid w:val="0077272D"/>
    <w:rsid w:val="0077326D"/>
    <w:rsid w:val="00777B82"/>
    <w:rsid w:val="00780409"/>
    <w:rsid w:val="00782497"/>
    <w:rsid w:val="00782974"/>
    <w:rsid w:val="00783372"/>
    <w:rsid w:val="00785BEB"/>
    <w:rsid w:val="00786AB8"/>
    <w:rsid w:val="007873B5"/>
    <w:rsid w:val="00787D1A"/>
    <w:rsid w:val="00790B90"/>
    <w:rsid w:val="00790F32"/>
    <w:rsid w:val="00791358"/>
    <w:rsid w:val="0079209A"/>
    <w:rsid w:val="007933CA"/>
    <w:rsid w:val="00796792"/>
    <w:rsid w:val="007A0AC0"/>
    <w:rsid w:val="007A0AF5"/>
    <w:rsid w:val="007A191B"/>
    <w:rsid w:val="007A319A"/>
    <w:rsid w:val="007A4607"/>
    <w:rsid w:val="007A4C35"/>
    <w:rsid w:val="007A4E47"/>
    <w:rsid w:val="007A6115"/>
    <w:rsid w:val="007A665C"/>
    <w:rsid w:val="007A693D"/>
    <w:rsid w:val="007A6B79"/>
    <w:rsid w:val="007B003C"/>
    <w:rsid w:val="007B136B"/>
    <w:rsid w:val="007B5044"/>
    <w:rsid w:val="007B5EF7"/>
    <w:rsid w:val="007B6F69"/>
    <w:rsid w:val="007C0565"/>
    <w:rsid w:val="007C11ED"/>
    <w:rsid w:val="007C1C86"/>
    <w:rsid w:val="007C2687"/>
    <w:rsid w:val="007C30D5"/>
    <w:rsid w:val="007C31AC"/>
    <w:rsid w:val="007C3517"/>
    <w:rsid w:val="007C556D"/>
    <w:rsid w:val="007C56F9"/>
    <w:rsid w:val="007C6ECA"/>
    <w:rsid w:val="007C7772"/>
    <w:rsid w:val="007D2033"/>
    <w:rsid w:val="007D26E9"/>
    <w:rsid w:val="007D3813"/>
    <w:rsid w:val="007D3FDE"/>
    <w:rsid w:val="007D56AA"/>
    <w:rsid w:val="007D582C"/>
    <w:rsid w:val="007D5917"/>
    <w:rsid w:val="007D63EC"/>
    <w:rsid w:val="007E0F72"/>
    <w:rsid w:val="007E2D6D"/>
    <w:rsid w:val="007E381F"/>
    <w:rsid w:val="007E4B7E"/>
    <w:rsid w:val="007E60BA"/>
    <w:rsid w:val="007E6885"/>
    <w:rsid w:val="007E71CA"/>
    <w:rsid w:val="007F1556"/>
    <w:rsid w:val="007F186C"/>
    <w:rsid w:val="007F1D72"/>
    <w:rsid w:val="007F2DAE"/>
    <w:rsid w:val="007F3460"/>
    <w:rsid w:val="007F3515"/>
    <w:rsid w:val="007F4575"/>
    <w:rsid w:val="007F62AE"/>
    <w:rsid w:val="007F665A"/>
    <w:rsid w:val="007F7194"/>
    <w:rsid w:val="007F7592"/>
    <w:rsid w:val="0080208D"/>
    <w:rsid w:val="00802BE7"/>
    <w:rsid w:val="00807E11"/>
    <w:rsid w:val="0081228B"/>
    <w:rsid w:val="00815C0E"/>
    <w:rsid w:val="00820C58"/>
    <w:rsid w:val="00821874"/>
    <w:rsid w:val="00821C2E"/>
    <w:rsid w:val="00822FEF"/>
    <w:rsid w:val="00827307"/>
    <w:rsid w:val="0083014F"/>
    <w:rsid w:val="008307F3"/>
    <w:rsid w:val="008321C9"/>
    <w:rsid w:val="008321E2"/>
    <w:rsid w:val="008322C9"/>
    <w:rsid w:val="0083313A"/>
    <w:rsid w:val="00833C04"/>
    <w:rsid w:val="00840C81"/>
    <w:rsid w:val="00840E7C"/>
    <w:rsid w:val="00841B3B"/>
    <w:rsid w:val="00845513"/>
    <w:rsid w:val="00846160"/>
    <w:rsid w:val="0084676A"/>
    <w:rsid w:val="008472A0"/>
    <w:rsid w:val="00850139"/>
    <w:rsid w:val="00852649"/>
    <w:rsid w:val="00854AB3"/>
    <w:rsid w:val="0085766D"/>
    <w:rsid w:val="00860564"/>
    <w:rsid w:val="00864F0D"/>
    <w:rsid w:val="008659B3"/>
    <w:rsid w:val="00867C2B"/>
    <w:rsid w:val="00870DE2"/>
    <w:rsid w:val="00871899"/>
    <w:rsid w:val="00872073"/>
    <w:rsid w:val="00873E79"/>
    <w:rsid w:val="008770A3"/>
    <w:rsid w:val="0087777B"/>
    <w:rsid w:val="008816CE"/>
    <w:rsid w:val="00882FC3"/>
    <w:rsid w:val="008847BF"/>
    <w:rsid w:val="008864E1"/>
    <w:rsid w:val="0089216F"/>
    <w:rsid w:val="00892496"/>
    <w:rsid w:val="00893384"/>
    <w:rsid w:val="00896817"/>
    <w:rsid w:val="0089738D"/>
    <w:rsid w:val="008A134D"/>
    <w:rsid w:val="008A7428"/>
    <w:rsid w:val="008A7FF0"/>
    <w:rsid w:val="008B09E8"/>
    <w:rsid w:val="008B2953"/>
    <w:rsid w:val="008B3690"/>
    <w:rsid w:val="008B4EB6"/>
    <w:rsid w:val="008B52F2"/>
    <w:rsid w:val="008C02CA"/>
    <w:rsid w:val="008C183F"/>
    <w:rsid w:val="008C267A"/>
    <w:rsid w:val="008C724A"/>
    <w:rsid w:val="008D0159"/>
    <w:rsid w:val="008D2F48"/>
    <w:rsid w:val="008D4410"/>
    <w:rsid w:val="008D50AE"/>
    <w:rsid w:val="008D51C5"/>
    <w:rsid w:val="008D55C2"/>
    <w:rsid w:val="008E45C4"/>
    <w:rsid w:val="008E4A0B"/>
    <w:rsid w:val="008E4F9C"/>
    <w:rsid w:val="008E518F"/>
    <w:rsid w:val="008E593F"/>
    <w:rsid w:val="008E5E75"/>
    <w:rsid w:val="008E65A4"/>
    <w:rsid w:val="008E7442"/>
    <w:rsid w:val="008F02C5"/>
    <w:rsid w:val="008F288C"/>
    <w:rsid w:val="008F3295"/>
    <w:rsid w:val="008F3F2C"/>
    <w:rsid w:val="008F487B"/>
    <w:rsid w:val="008F5823"/>
    <w:rsid w:val="008F6852"/>
    <w:rsid w:val="008F71EF"/>
    <w:rsid w:val="008F73BD"/>
    <w:rsid w:val="00904602"/>
    <w:rsid w:val="00904612"/>
    <w:rsid w:val="00904789"/>
    <w:rsid w:val="00907520"/>
    <w:rsid w:val="00907F68"/>
    <w:rsid w:val="00907FD9"/>
    <w:rsid w:val="00910311"/>
    <w:rsid w:val="009136AD"/>
    <w:rsid w:val="00914516"/>
    <w:rsid w:val="0091681D"/>
    <w:rsid w:val="009178FF"/>
    <w:rsid w:val="00917AF7"/>
    <w:rsid w:val="00920076"/>
    <w:rsid w:val="00923A2D"/>
    <w:rsid w:val="00924373"/>
    <w:rsid w:val="00926740"/>
    <w:rsid w:val="009303EC"/>
    <w:rsid w:val="00932806"/>
    <w:rsid w:val="00933144"/>
    <w:rsid w:val="00933BF6"/>
    <w:rsid w:val="0093710A"/>
    <w:rsid w:val="00937142"/>
    <w:rsid w:val="009377C4"/>
    <w:rsid w:val="00942238"/>
    <w:rsid w:val="00944208"/>
    <w:rsid w:val="009448F1"/>
    <w:rsid w:val="00947E42"/>
    <w:rsid w:val="00950D8A"/>
    <w:rsid w:val="009513BE"/>
    <w:rsid w:val="00952819"/>
    <w:rsid w:val="00955335"/>
    <w:rsid w:val="0095686B"/>
    <w:rsid w:val="00957832"/>
    <w:rsid w:val="009607DA"/>
    <w:rsid w:val="009608EF"/>
    <w:rsid w:val="00960D9C"/>
    <w:rsid w:val="0096104D"/>
    <w:rsid w:val="00961EB6"/>
    <w:rsid w:val="009659EA"/>
    <w:rsid w:val="00965A19"/>
    <w:rsid w:val="0096677A"/>
    <w:rsid w:val="00967330"/>
    <w:rsid w:val="009678A2"/>
    <w:rsid w:val="009733BA"/>
    <w:rsid w:val="00973ABF"/>
    <w:rsid w:val="00973CC6"/>
    <w:rsid w:val="00974351"/>
    <w:rsid w:val="009819B0"/>
    <w:rsid w:val="00984680"/>
    <w:rsid w:val="009846E4"/>
    <w:rsid w:val="00985CCB"/>
    <w:rsid w:val="00990CE1"/>
    <w:rsid w:val="00990E77"/>
    <w:rsid w:val="00990F6B"/>
    <w:rsid w:val="00992119"/>
    <w:rsid w:val="009962C6"/>
    <w:rsid w:val="0099790A"/>
    <w:rsid w:val="00997B5F"/>
    <w:rsid w:val="009A09F3"/>
    <w:rsid w:val="009A0BB6"/>
    <w:rsid w:val="009A1B19"/>
    <w:rsid w:val="009A3EB5"/>
    <w:rsid w:val="009A4195"/>
    <w:rsid w:val="009A559C"/>
    <w:rsid w:val="009B2214"/>
    <w:rsid w:val="009B233D"/>
    <w:rsid w:val="009B3ACD"/>
    <w:rsid w:val="009B436B"/>
    <w:rsid w:val="009B49F6"/>
    <w:rsid w:val="009B4B0F"/>
    <w:rsid w:val="009B533D"/>
    <w:rsid w:val="009B633A"/>
    <w:rsid w:val="009B6514"/>
    <w:rsid w:val="009C0018"/>
    <w:rsid w:val="009C3B6F"/>
    <w:rsid w:val="009C5D51"/>
    <w:rsid w:val="009C735F"/>
    <w:rsid w:val="009C7B8D"/>
    <w:rsid w:val="009D16E7"/>
    <w:rsid w:val="009D20B8"/>
    <w:rsid w:val="009D230C"/>
    <w:rsid w:val="009D2F69"/>
    <w:rsid w:val="009D387D"/>
    <w:rsid w:val="009D779A"/>
    <w:rsid w:val="009E097E"/>
    <w:rsid w:val="009E0C78"/>
    <w:rsid w:val="009E112E"/>
    <w:rsid w:val="009E22F9"/>
    <w:rsid w:val="009E2E61"/>
    <w:rsid w:val="009E3DA8"/>
    <w:rsid w:val="009E3DCA"/>
    <w:rsid w:val="009E420E"/>
    <w:rsid w:val="009E4A03"/>
    <w:rsid w:val="009E637C"/>
    <w:rsid w:val="009E658B"/>
    <w:rsid w:val="009E66CE"/>
    <w:rsid w:val="009E6D97"/>
    <w:rsid w:val="009F08F4"/>
    <w:rsid w:val="009F106F"/>
    <w:rsid w:val="009F146E"/>
    <w:rsid w:val="009F1976"/>
    <w:rsid w:val="009F3885"/>
    <w:rsid w:val="009F44F0"/>
    <w:rsid w:val="009F67D5"/>
    <w:rsid w:val="009F6C6A"/>
    <w:rsid w:val="009F750C"/>
    <w:rsid w:val="00A008B8"/>
    <w:rsid w:val="00A01503"/>
    <w:rsid w:val="00A02EEF"/>
    <w:rsid w:val="00A036FB"/>
    <w:rsid w:val="00A10367"/>
    <w:rsid w:val="00A137CD"/>
    <w:rsid w:val="00A13C18"/>
    <w:rsid w:val="00A1634A"/>
    <w:rsid w:val="00A20107"/>
    <w:rsid w:val="00A22CB5"/>
    <w:rsid w:val="00A22CCF"/>
    <w:rsid w:val="00A248EA"/>
    <w:rsid w:val="00A266EE"/>
    <w:rsid w:val="00A26A18"/>
    <w:rsid w:val="00A27545"/>
    <w:rsid w:val="00A27F11"/>
    <w:rsid w:val="00A306B2"/>
    <w:rsid w:val="00A309D4"/>
    <w:rsid w:val="00A32036"/>
    <w:rsid w:val="00A3303A"/>
    <w:rsid w:val="00A35182"/>
    <w:rsid w:val="00A366F1"/>
    <w:rsid w:val="00A37056"/>
    <w:rsid w:val="00A37139"/>
    <w:rsid w:val="00A43221"/>
    <w:rsid w:val="00A44865"/>
    <w:rsid w:val="00A45060"/>
    <w:rsid w:val="00A478A8"/>
    <w:rsid w:val="00A512A5"/>
    <w:rsid w:val="00A54480"/>
    <w:rsid w:val="00A54638"/>
    <w:rsid w:val="00A548C5"/>
    <w:rsid w:val="00A54C81"/>
    <w:rsid w:val="00A55DFE"/>
    <w:rsid w:val="00A55F09"/>
    <w:rsid w:val="00A56D56"/>
    <w:rsid w:val="00A605D0"/>
    <w:rsid w:val="00A60B90"/>
    <w:rsid w:val="00A611EC"/>
    <w:rsid w:val="00A61895"/>
    <w:rsid w:val="00A61DC2"/>
    <w:rsid w:val="00A64B5F"/>
    <w:rsid w:val="00A66111"/>
    <w:rsid w:val="00A72322"/>
    <w:rsid w:val="00A741BD"/>
    <w:rsid w:val="00A77076"/>
    <w:rsid w:val="00A82BF8"/>
    <w:rsid w:val="00A82EC7"/>
    <w:rsid w:val="00A82F15"/>
    <w:rsid w:val="00A84A5A"/>
    <w:rsid w:val="00A86697"/>
    <w:rsid w:val="00A87644"/>
    <w:rsid w:val="00A9183F"/>
    <w:rsid w:val="00A9195B"/>
    <w:rsid w:val="00A92F6A"/>
    <w:rsid w:val="00A946B9"/>
    <w:rsid w:val="00A9485B"/>
    <w:rsid w:val="00A94958"/>
    <w:rsid w:val="00A94C8A"/>
    <w:rsid w:val="00AA08D4"/>
    <w:rsid w:val="00AA14C7"/>
    <w:rsid w:val="00AA22D3"/>
    <w:rsid w:val="00AA4BE5"/>
    <w:rsid w:val="00AA642B"/>
    <w:rsid w:val="00AB1413"/>
    <w:rsid w:val="00AB28C2"/>
    <w:rsid w:val="00AB3634"/>
    <w:rsid w:val="00AB3998"/>
    <w:rsid w:val="00AB3A14"/>
    <w:rsid w:val="00AB63AC"/>
    <w:rsid w:val="00AB6769"/>
    <w:rsid w:val="00AB7B66"/>
    <w:rsid w:val="00AC1B49"/>
    <w:rsid w:val="00AC1DEE"/>
    <w:rsid w:val="00AC3038"/>
    <w:rsid w:val="00AC3751"/>
    <w:rsid w:val="00AC4B12"/>
    <w:rsid w:val="00AC5046"/>
    <w:rsid w:val="00AD1D7E"/>
    <w:rsid w:val="00AD2D23"/>
    <w:rsid w:val="00AD773C"/>
    <w:rsid w:val="00AD7C05"/>
    <w:rsid w:val="00AE0C98"/>
    <w:rsid w:val="00AE119D"/>
    <w:rsid w:val="00AE2C01"/>
    <w:rsid w:val="00AE2C9D"/>
    <w:rsid w:val="00AE5821"/>
    <w:rsid w:val="00AE5A1F"/>
    <w:rsid w:val="00AE7C0B"/>
    <w:rsid w:val="00AF09BA"/>
    <w:rsid w:val="00AF223B"/>
    <w:rsid w:val="00AF2720"/>
    <w:rsid w:val="00AF3781"/>
    <w:rsid w:val="00AF4507"/>
    <w:rsid w:val="00AF596F"/>
    <w:rsid w:val="00B00D12"/>
    <w:rsid w:val="00B03652"/>
    <w:rsid w:val="00B05385"/>
    <w:rsid w:val="00B056B4"/>
    <w:rsid w:val="00B06252"/>
    <w:rsid w:val="00B0668F"/>
    <w:rsid w:val="00B1113B"/>
    <w:rsid w:val="00B111B0"/>
    <w:rsid w:val="00B12BE9"/>
    <w:rsid w:val="00B2096A"/>
    <w:rsid w:val="00B216CE"/>
    <w:rsid w:val="00B21CBE"/>
    <w:rsid w:val="00B22C98"/>
    <w:rsid w:val="00B2319E"/>
    <w:rsid w:val="00B24068"/>
    <w:rsid w:val="00B24148"/>
    <w:rsid w:val="00B24494"/>
    <w:rsid w:val="00B245DB"/>
    <w:rsid w:val="00B24F03"/>
    <w:rsid w:val="00B26186"/>
    <w:rsid w:val="00B278E9"/>
    <w:rsid w:val="00B3222B"/>
    <w:rsid w:val="00B33159"/>
    <w:rsid w:val="00B3398C"/>
    <w:rsid w:val="00B35D48"/>
    <w:rsid w:val="00B368ED"/>
    <w:rsid w:val="00B41587"/>
    <w:rsid w:val="00B43BD3"/>
    <w:rsid w:val="00B44328"/>
    <w:rsid w:val="00B46CEA"/>
    <w:rsid w:val="00B4704D"/>
    <w:rsid w:val="00B509D4"/>
    <w:rsid w:val="00B50B24"/>
    <w:rsid w:val="00B5147C"/>
    <w:rsid w:val="00B55FD7"/>
    <w:rsid w:val="00B6229F"/>
    <w:rsid w:val="00B6350D"/>
    <w:rsid w:val="00B66A33"/>
    <w:rsid w:val="00B66E01"/>
    <w:rsid w:val="00B67918"/>
    <w:rsid w:val="00B702B3"/>
    <w:rsid w:val="00B7100D"/>
    <w:rsid w:val="00B71CB8"/>
    <w:rsid w:val="00B73510"/>
    <w:rsid w:val="00B742CA"/>
    <w:rsid w:val="00B7472C"/>
    <w:rsid w:val="00B74EF4"/>
    <w:rsid w:val="00B759E2"/>
    <w:rsid w:val="00B76AE9"/>
    <w:rsid w:val="00B76C54"/>
    <w:rsid w:val="00B77EB7"/>
    <w:rsid w:val="00B830EF"/>
    <w:rsid w:val="00B83E67"/>
    <w:rsid w:val="00B84571"/>
    <w:rsid w:val="00B84CC0"/>
    <w:rsid w:val="00B87780"/>
    <w:rsid w:val="00B90427"/>
    <w:rsid w:val="00B906B2"/>
    <w:rsid w:val="00B90A82"/>
    <w:rsid w:val="00B90CC0"/>
    <w:rsid w:val="00B923A4"/>
    <w:rsid w:val="00B93A13"/>
    <w:rsid w:val="00B93C4E"/>
    <w:rsid w:val="00B94179"/>
    <w:rsid w:val="00B9526F"/>
    <w:rsid w:val="00BA02CE"/>
    <w:rsid w:val="00BA0702"/>
    <w:rsid w:val="00BA11EF"/>
    <w:rsid w:val="00BA1EC5"/>
    <w:rsid w:val="00BA2D3B"/>
    <w:rsid w:val="00BA33BD"/>
    <w:rsid w:val="00BA653C"/>
    <w:rsid w:val="00BA72F7"/>
    <w:rsid w:val="00BB1CF5"/>
    <w:rsid w:val="00BB320E"/>
    <w:rsid w:val="00BB71A3"/>
    <w:rsid w:val="00BB7208"/>
    <w:rsid w:val="00BC021A"/>
    <w:rsid w:val="00BC3407"/>
    <w:rsid w:val="00BC3778"/>
    <w:rsid w:val="00BC3B7A"/>
    <w:rsid w:val="00BD1985"/>
    <w:rsid w:val="00BD20E7"/>
    <w:rsid w:val="00BD43BF"/>
    <w:rsid w:val="00BD5487"/>
    <w:rsid w:val="00BD5584"/>
    <w:rsid w:val="00BD60B6"/>
    <w:rsid w:val="00BE0A83"/>
    <w:rsid w:val="00BE52EF"/>
    <w:rsid w:val="00BE5399"/>
    <w:rsid w:val="00BE5EF9"/>
    <w:rsid w:val="00BE603E"/>
    <w:rsid w:val="00BE6AA7"/>
    <w:rsid w:val="00BF2500"/>
    <w:rsid w:val="00BF32A3"/>
    <w:rsid w:val="00BF4C35"/>
    <w:rsid w:val="00BF4DEE"/>
    <w:rsid w:val="00BF52C3"/>
    <w:rsid w:val="00BF54C7"/>
    <w:rsid w:val="00C009AA"/>
    <w:rsid w:val="00C00F9A"/>
    <w:rsid w:val="00C01D12"/>
    <w:rsid w:val="00C02D5B"/>
    <w:rsid w:val="00C07476"/>
    <w:rsid w:val="00C11A23"/>
    <w:rsid w:val="00C155BA"/>
    <w:rsid w:val="00C17712"/>
    <w:rsid w:val="00C2087B"/>
    <w:rsid w:val="00C2296F"/>
    <w:rsid w:val="00C23397"/>
    <w:rsid w:val="00C237E9"/>
    <w:rsid w:val="00C26513"/>
    <w:rsid w:val="00C302CA"/>
    <w:rsid w:val="00C30F8E"/>
    <w:rsid w:val="00C31A19"/>
    <w:rsid w:val="00C31DD2"/>
    <w:rsid w:val="00C31F25"/>
    <w:rsid w:val="00C33F40"/>
    <w:rsid w:val="00C34C01"/>
    <w:rsid w:val="00C3516B"/>
    <w:rsid w:val="00C41569"/>
    <w:rsid w:val="00C41B8E"/>
    <w:rsid w:val="00C41C05"/>
    <w:rsid w:val="00C429E5"/>
    <w:rsid w:val="00C44436"/>
    <w:rsid w:val="00C44855"/>
    <w:rsid w:val="00C452A2"/>
    <w:rsid w:val="00C45A5D"/>
    <w:rsid w:val="00C45ABE"/>
    <w:rsid w:val="00C471E2"/>
    <w:rsid w:val="00C502BB"/>
    <w:rsid w:val="00C50936"/>
    <w:rsid w:val="00C5226D"/>
    <w:rsid w:val="00C53F2E"/>
    <w:rsid w:val="00C55208"/>
    <w:rsid w:val="00C56F43"/>
    <w:rsid w:val="00C5771A"/>
    <w:rsid w:val="00C57F3B"/>
    <w:rsid w:val="00C607B6"/>
    <w:rsid w:val="00C608E0"/>
    <w:rsid w:val="00C60E6F"/>
    <w:rsid w:val="00C611ED"/>
    <w:rsid w:val="00C6149F"/>
    <w:rsid w:val="00C64DD7"/>
    <w:rsid w:val="00C65569"/>
    <w:rsid w:val="00C66420"/>
    <w:rsid w:val="00C6764E"/>
    <w:rsid w:val="00C70F46"/>
    <w:rsid w:val="00C72855"/>
    <w:rsid w:val="00C74629"/>
    <w:rsid w:val="00C75F43"/>
    <w:rsid w:val="00C76168"/>
    <w:rsid w:val="00C838ED"/>
    <w:rsid w:val="00C83CB2"/>
    <w:rsid w:val="00C83F84"/>
    <w:rsid w:val="00C854FA"/>
    <w:rsid w:val="00C85E2B"/>
    <w:rsid w:val="00C91662"/>
    <w:rsid w:val="00C928C2"/>
    <w:rsid w:val="00C947C1"/>
    <w:rsid w:val="00C952B6"/>
    <w:rsid w:val="00C95AC6"/>
    <w:rsid w:val="00C96050"/>
    <w:rsid w:val="00C9669C"/>
    <w:rsid w:val="00CA1135"/>
    <w:rsid w:val="00CA1C44"/>
    <w:rsid w:val="00CA3E38"/>
    <w:rsid w:val="00CB00BE"/>
    <w:rsid w:val="00CB047D"/>
    <w:rsid w:val="00CB2626"/>
    <w:rsid w:val="00CB299B"/>
    <w:rsid w:val="00CB388A"/>
    <w:rsid w:val="00CB689F"/>
    <w:rsid w:val="00CB7DAF"/>
    <w:rsid w:val="00CC0A08"/>
    <w:rsid w:val="00CC0DE4"/>
    <w:rsid w:val="00CC1E05"/>
    <w:rsid w:val="00CC2150"/>
    <w:rsid w:val="00CC7AC8"/>
    <w:rsid w:val="00CD1891"/>
    <w:rsid w:val="00CD18E1"/>
    <w:rsid w:val="00CD2908"/>
    <w:rsid w:val="00CD45A0"/>
    <w:rsid w:val="00CD578A"/>
    <w:rsid w:val="00CD6F22"/>
    <w:rsid w:val="00CE1750"/>
    <w:rsid w:val="00CE52EA"/>
    <w:rsid w:val="00CE7FA3"/>
    <w:rsid w:val="00CF0E79"/>
    <w:rsid w:val="00CF1C31"/>
    <w:rsid w:val="00CF1CAB"/>
    <w:rsid w:val="00CF1E91"/>
    <w:rsid w:val="00CF248D"/>
    <w:rsid w:val="00CF2D5A"/>
    <w:rsid w:val="00CF4148"/>
    <w:rsid w:val="00CF5656"/>
    <w:rsid w:val="00CF6C61"/>
    <w:rsid w:val="00CF77A8"/>
    <w:rsid w:val="00CF7BAE"/>
    <w:rsid w:val="00D00E9E"/>
    <w:rsid w:val="00D01C49"/>
    <w:rsid w:val="00D02127"/>
    <w:rsid w:val="00D02321"/>
    <w:rsid w:val="00D04102"/>
    <w:rsid w:val="00D0575E"/>
    <w:rsid w:val="00D05CD9"/>
    <w:rsid w:val="00D06181"/>
    <w:rsid w:val="00D063B7"/>
    <w:rsid w:val="00D122ED"/>
    <w:rsid w:val="00D1493C"/>
    <w:rsid w:val="00D14CC5"/>
    <w:rsid w:val="00D14D42"/>
    <w:rsid w:val="00D175B8"/>
    <w:rsid w:val="00D204D2"/>
    <w:rsid w:val="00D216C3"/>
    <w:rsid w:val="00D21832"/>
    <w:rsid w:val="00D22585"/>
    <w:rsid w:val="00D22CD6"/>
    <w:rsid w:val="00D23A4A"/>
    <w:rsid w:val="00D24B4F"/>
    <w:rsid w:val="00D25392"/>
    <w:rsid w:val="00D258BC"/>
    <w:rsid w:val="00D31A56"/>
    <w:rsid w:val="00D3245E"/>
    <w:rsid w:val="00D32CD2"/>
    <w:rsid w:val="00D33343"/>
    <w:rsid w:val="00D3366C"/>
    <w:rsid w:val="00D3683C"/>
    <w:rsid w:val="00D37029"/>
    <w:rsid w:val="00D40CF9"/>
    <w:rsid w:val="00D41D60"/>
    <w:rsid w:val="00D4312C"/>
    <w:rsid w:val="00D43707"/>
    <w:rsid w:val="00D4629B"/>
    <w:rsid w:val="00D50248"/>
    <w:rsid w:val="00D51A43"/>
    <w:rsid w:val="00D51A57"/>
    <w:rsid w:val="00D523BD"/>
    <w:rsid w:val="00D52D2A"/>
    <w:rsid w:val="00D53BE0"/>
    <w:rsid w:val="00D54D48"/>
    <w:rsid w:val="00D573E8"/>
    <w:rsid w:val="00D57FF0"/>
    <w:rsid w:val="00D616AF"/>
    <w:rsid w:val="00D62531"/>
    <w:rsid w:val="00D64FB0"/>
    <w:rsid w:val="00D6791C"/>
    <w:rsid w:val="00D67986"/>
    <w:rsid w:val="00D70A60"/>
    <w:rsid w:val="00D70BF5"/>
    <w:rsid w:val="00D71B33"/>
    <w:rsid w:val="00D71F9A"/>
    <w:rsid w:val="00D7236C"/>
    <w:rsid w:val="00D7245B"/>
    <w:rsid w:val="00D72863"/>
    <w:rsid w:val="00D7332E"/>
    <w:rsid w:val="00D735C2"/>
    <w:rsid w:val="00D767B6"/>
    <w:rsid w:val="00D76E2B"/>
    <w:rsid w:val="00D77F9B"/>
    <w:rsid w:val="00D80F64"/>
    <w:rsid w:val="00D81D9E"/>
    <w:rsid w:val="00D8204E"/>
    <w:rsid w:val="00D82937"/>
    <w:rsid w:val="00D82AA4"/>
    <w:rsid w:val="00D830ED"/>
    <w:rsid w:val="00D831F9"/>
    <w:rsid w:val="00D83924"/>
    <w:rsid w:val="00D83E7A"/>
    <w:rsid w:val="00D86C58"/>
    <w:rsid w:val="00D90196"/>
    <w:rsid w:val="00D93024"/>
    <w:rsid w:val="00D93029"/>
    <w:rsid w:val="00D946E9"/>
    <w:rsid w:val="00D94DFB"/>
    <w:rsid w:val="00D96000"/>
    <w:rsid w:val="00D96870"/>
    <w:rsid w:val="00DA0D3E"/>
    <w:rsid w:val="00DA2879"/>
    <w:rsid w:val="00DA3640"/>
    <w:rsid w:val="00DA435A"/>
    <w:rsid w:val="00DA46F5"/>
    <w:rsid w:val="00DA5EB5"/>
    <w:rsid w:val="00DA64D9"/>
    <w:rsid w:val="00DA654D"/>
    <w:rsid w:val="00DA69B8"/>
    <w:rsid w:val="00DB0089"/>
    <w:rsid w:val="00DB1031"/>
    <w:rsid w:val="00DB7925"/>
    <w:rsid w:val="00DC0CD7"/>
    <w:rsid w:val="00DC1FF5"/>
    <w:rsid w:val="00DC2218"/>
    <w:rsid w:val="00DC22B3"/>
    <w:rsid w:val="00DC2C04"/>
    <w:rsid w:val="00DC62F0"/>
    <w:rsid w:val="00DC6443"/>
    <w:rsid w:val="00DD37A2"/>
    <w:rsid w:val="00DD4A83"/>
    <w:rsid w:val="00DD5E0D"/>
    <w:rsid w:val="00DD7311"/>
    <w:rsid w:val="00DD7FDE"/>
    <w:rsid w:val="00DE01C7"/>
    <w:rsid w:val="00DE0566"/>
    <w:rsid w:val="00DE0E90"/>
    <w:rsid w:val="00DE0FE9"/>
    <w:rsid w:val="00DE4D50"/>
    <w:rsid w:val="00DE5B5A"/>
    <w:rsid w:val="00DE7802"/>
    <w:rsid w:val="00DF039A"/>
    <w:rsid w:val="00DF1177"/>
    <w:rsid w:val="00DF12A6"/>
    <w:rsid w:val="00DF2F35"/>
    <w:rsid w:val="00DF6D12"/>
    <w:rsid w:val="00DF7477"/>
    <w:rsid w:val="00DF7B35"/>
    <w:rsid w:val="00E00737"/>
    <w:rsid w:val="00E008A0"/>
    <w:rsid w:val="00E01EE3"/>
    <w:rsid w:val="00E0220E"/>
    <w:rsid w:val="00E03185"/>
    <w:rsid w:val="00E03280"/>
    <w:rsid w:val="00E04857"/>
    <w:rsid w:val="00E06318"/>
    <w:rsid w:val="00E06B1F"/>
    <w:rsid w:val="00E073AE"/>
    <w:rsid w:val="00E1131A"/>
    <w:rsid w:val="00E11359"/>
    <w:rsid w:val="00E138FF"/>
    <w:rsid w:val="00E143F0"/>
    <w:rsid w:val="00E16238"/>
    <w:rsid w:val="00E23F50"/>
    <w:rsid w:val="00E27067"/>
    <w:rsid w:val="00E27A75"/>
    <w:rsid w:val="00E3115F"/>
    <w:rsid w:val="00E317BA"/>
    <w:rsid w:val="00E3243F"/>
    <w:rsid w:val="00E32D2B"/>
    <w:rsid w:val="00E32D90"/>
    <w:rsid w:val="00E33479"/>
    <w:rsid w:val="00E3436F"/>
    <w:rsid w:val="00E34F40"/>
    <w:rsid w:val="00E37BED"/>
    <w:rsid w:val="00E4190B"/>
    <w:rsid w:val="00E438ED"/>
    <w:rsid w:val="00E4463B"/>
    <w:rsid w:val="00E5029B"/>
    <w:rsid w:val="00E534D6"/>
    <w:rsid w:val="00E534EE"/>
    <w:rsid w:val="00E5742B"/>
    <w:rsid w:val="00E61F9E"/>
    <w:rsid w:val="00E64BCD"/>
    <w:rsid w:val="00E70239"/>
    <w:rsid w:val="00E7028A"/>
    <w:rsid w:val="00E7066F"/>
    <w:rsid w:val="00E73E00"/>
    <w:rsid w:val="00E77A68"/>
    <w:rsid w:val="00E81D5D"/>
    <w:rsid w:val="00E81E33"/>
    <w:rsid w:val="00E85D4B"/>
    <w:rsid w:val="00E86060"/>
    <w:rsid w:val="00E8649D"/>
    <w:rsid w:val="00E86A3D"/>
    <w:rsid w:val="00E87776"/>
    <w:rsid w:val="00E91ED1"/>
    <w:rsid w:val="00E9278E"/>
    <w:rsid w:val="00E930C5"/>
    <w:rsid w:val="00E94685"/>
    <w:rsid w:val="00E962B8"/>
    <w:rsid w:val="00E97263"/>
    <w:rsid w:val="00E97819"/>
    <w:rsid w:val="00EA101D"/>
    <w:rsid w:val="00EA11E8"/>
    <w:rsid w:val="00EA2B2A"/>
    <w:rsid w:val="00EA35F3"/>
    <w:rsid w:val="00EA3833"/>
    <w:rsid w:val="00EA6041"/>
    <w:rsid w:val="00EB34D9"/>
    <w:rsid w:val="00EB3CF9"/>
    <w:rsid w:val="00EB4015"/>
    <w:rsid w:val="00EB4285"/>
    <w:rsid w:val="00EB4F3D"/>
    <w:rsid w:val="00EB5839"/>
    <w:rsid w:val="00EB58A9"/>
    <w:rsid w:val="00EB58B3"/>
    <w:rsid w:val="00EB613B"/>
    <w:rsid w:val="00EB78D5"/>
    <w:rsid w:val="00EB7A71"/>
    <w:rsid w:val="00EC0446"/>
    <w:rsid w:val="00EC5D64"/>
    <w:rsid w:val="00EC6D69"/>
    <w:rsid w:val="00EC6FD7"/>
    <w:rsid w:val="00EC7C6A"/>
    <w:rsid w:val="00ED0F58"/>
    <w:rsid w:val="00ED2912"/>
    <w:rsid w:val="00ED6AC0"/>
    <w:rsid w:val="00ED7516"/>
    <w:rsid w:val="00EE1CBE"/>
    <w:rsid w:val="00EE559C"/>
    <w:rsid w:val="00EF2F0A"/>
    <w:rsid w:val="00EF39CD"/>
    <w:rsid w:val="00EF4911"/>
    <w:rsid w:val="00EF6B40"/>
    <w:rsid w:val="00EF7645"/>
    <w:rsid w:val="00EF7703"/>
    <w:rsid w:val="00EF7C0C"/>
    <w:rsid w:val="00F00576"/>
    <w:rsid w:val="00F03B6B"/>
    <w:rsid w:val="00F04CF3"/>
    <w:rsid w:val="00F05DEF"/>
    <w:rsid w:val="00F107F8"/>
    <w:rsid w:val="00F123B7"/>
    <w:rsid w:val="00F14343"/>
    <w:rsid w:val="00F1476A"/>
    <w:rsid w:val="00F15EC8"/>
    <w:rsid w:val="00F239FC"/>
    <w:rsid w:val="00F24DF3"/>
    <w:rsid w:val="00F27AA7"/>
    <w:rsid w:val="00F3176F"/>
    <w:rsid w:val="00F32E2D"/>
    <w:rsid w:val="00F33270"/>
    <w:rsid w:val="00F343E7"/>
    <w:rsid w:val="00F34509"/>
    <w:rsid w:val="00F34E58"/>
    <w:rsid w:val="00F35A4F"/>
    <w:rsid w:val="00F377F2"/>
    <w:rsid w:val="00F37CF8"/>
    <w:rsid w:val="00F40687"/>
    <w:rsid w:val="00F41550"/>
    <w:rsid w:val="00F423B0"/>
    <w:rsid w:val="00F42FCD"/>
    <w:rsid w:val="00F44BB6"/>
    <w:rsid w:val="00F4699E"/>
    <w:rsid w:val="00F4763A"/>
    <w:rsid w:val="00F50109"/>
    <w:rsid w:val="00F50111"/>
    <w:rsid w:val="00F515BB"/>
    <w:rsid w:val="00F519D6"/>
    <w:rsid w:val="00F51C9B"/>
    <w:rsid w:val="00F54349"/>
    <w:rsid w:val="00F55AB1"/>
    <w:rsid w:val="00F61F30"/>
    <w:rsid w:val="00F626C9"/>
    <w:rsid w:val="00F63C90"/>
    <w:rsid w:val="00F657E6"/>
    <w:rsid w:val="00F65DDD"/>
    <w:rsid w:val="00F7171A"/>
    <w:rsid w:val="00F7233A"/>
    <w:rsid w:val="00F72E02"/>
    <w:rsid w:val="00F746E2"/>
    <w:rsid w:val="00F74DAA"/>
    <w:rsid w:val="00F819E9"/>
    <w:rsid w:val="00F82239"/>
    <w:rsid w:val="00F82851"/>
    <w:rsid w:val="00F828B7"/>
    <w:rsid w:val="00F83589"/>
    <w:rsid w:val="00F83DF2"/>
    <w:rsid w:val="00F860D8"/>
    <w:rsid w:val="00F87CB7"/>
    <w:rsid w:val="00F90103"/>
    <w:rsid w:val="00F917B1"/>
    <w:rsid w:val="00F92F49"/>
    <w:rsid w:val="00F953A4"/>
    <w:rsid w:val="00F961EC"/>
    <w:rsid w:val="00F96488"/>
    <w:rsid w:val="00FA09C7"/>
    <w:rsid w:val="00FA0AD9"/>
    <w:rsid w:val="00FA0E8D"/>
    <w:rsid w:val="00FA1132"/>
    <w:rsid w:val="00FA1622"/>
    <w:rsid w:val="00FA5FAE"/>
    <w:rsid w:val="00FA786E"/>
    <w:rsid w:val="00FA7E29"/>
    <w:rsid w:val="00FB051F"/>
    <w:rsid w:val="00FB08D3"/>
    <w:rsid w:val="00FB10F0"/>
    <w:rsid w:val="00FB1F5C"/>
    <w:rsid w:val="00FC4925"/>
    <w:rsid w:val="00FC5F88"/>
    <w:rsid w:val="00FC71F9"/>
    <w:rsid w:val="00FC72D5"/>
    <w:rsid w:val="00FC7977"/>
    <w:rsid w:val="00FD065D"/>
    <w:rsid w:val="00FD1E89"/>
    <w:rsid w:val="00FD219A"/>
    <w:rsid w:val="00FD2745"/>
    <w:rsid w:val="00FD366E"/>
    <w:rsid w:val="00FD3841"/>
    <w:rsid w:val="00FD4C01"/>
    <w:rsid w:val="00FD5027"/>
    <w:rsid w:val="00FD54FA"/>
    <w:rsid w:val="00FD567F"/>
    <w:rsid w:val="00FD6DAC"/>
    <w:rsid w:val="00FD7092"/>
    <w:rsid w:val="00FD73D5"/>
    <w:rsid w:val="00FD7D94"/>
    <w:rsid w:val="00FE0841"/>
    <w:rsid w:val="00FE0F8C"/>
    <w:rsid w:val="00FE18A4"/>
    <w:rsid w:val="00FE3D7A"/>
    <w:rsid w:val="00FE436D"/>
    <w:rsid w:val="00FE6001"/>
    <w:rsid w:val="00FE62DA"/>
    <w:rsid w:val="00FE64A3"/>
    <w:rsid w:val="00FE698C"/>
    <w:rsid w:val="00FF1285"/>
    <w:rsid w:val="00FF4C35"/>
    <w:rsid w:val="00FF5A0F"/>
    <w:rsid w:val="00FF687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98305"/>
    <o:shapelayout v:ext="edit">
      <o:idmap v:ext="edit" data="1"/>
    </o:shapelayout>
  </w:shapeDefaults>
  <w:decimalSymbol w:val="."/>
  <w:listSeparator w:val=","/>
  <w14:docId w14:val="3F3376D6"/>
  <w15:docId w15:val="{FC3D2A74-EE84-42E7-9A93-4C0B0061BF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F2500"/>
    <w:pPr>
      <w:spacing w:before="240" w:after="240"/>
      <w:jc w:val="both"/>
    </w:pPr>
    <w:rPr>
      <w:rFonts w:ascii="Palatino Linotype" w:eastAsiaTheme="minorHAnsi" w:hAnsi="Palatino Linotype"/>
      <w:sz w:val="22"/>
      <w:szCs w:val="22"/>
      <w:lang w:val="en-CA"/>
    </w:rPr>
  </w:style>
  <w:style w:type="paragraph" w:styleId="Heading1">
    <w:name w:val="heading 1"/>
    <w:basedOn w:val="Normal"/>
    <w:next w:val="Normal"/>
    <w:link w:val="Heading1Char"/>
    <w:uiPriority w:val="9"/>
    <w:qFormat/>
    <w:rsid w:val="00A008B8"/>
    <w:pPr>
      <w:keepNext/>
      <w:keepLines/>
      <w:numPr>
        <w:numId w:val="6"/>
      </w:numPr>
      <w:spacing w:before="480" w:after="360"/>
      <w:ind w:left="567" w:hanging="567"/>
      <w:contextualSpacing/>
      <w:jc w:val="left"/>
      <w:outlineLvl w:val="0"/>
    </w:pPr>
    <w:rPr>
      <w:rFonts w:eastAsiaTheme="majorEastAsia" w:cstheme="majorBidi"/>
      <w:b/>
      <w:smallCaps/>
      <w:spacing w:val="4"/>
      <w:sz w:val="32"/>
      <w:szCs w:val="32"/>
    </w:rPr>
  </w:style>
  <w:style w:type="paragraph" w:styleId="Heading2">
    <w:name w:val="heading 2"/>
    <w:basedOn w:val="Normal"/>
    <w:next w:val="Normal"/>
    <w:link w:val="Heading2Char"/>
    <w:uiPriority w:val="9"/>
    <w:unhideWhenUsed/>
    <w:qFormat/>
    <w:rsid w:val="00A008B8"/>
    <w:pPr>
      <w:keepNext/>
      <w:keepLines/>
      <w:numPr>
        <w:ilvl w:val="1"/>
        <w:numId w:val="6"/>
      </w:numPr>
      <w:spacing w:before="360"/>
      <w:ind w:left="567" w:hanging="567"/>
      <w:contextualSpacing/>
      <w:jc w:val="left"/>
      <w:outlineLvl w:val="1"/>
    </w:pPr>
    <w:rPr>
      <w:rFonts w:eastAsiaTheme="majorEastAsia" w:cstheme="majorBidi"/>
      <w:b/>
      <w:sz w:val="28"/>
      <w:szCs w:val="26"/>
    </w:rPr>
  </w:style>
  <w:style w:type="paragraph" w:styleId="Heading3">
    <w:name w:val="heading 3"/>
    <w:basedOn w:val="Normal"/>
    <w:next w:val="Normal"/>
    <w:link w:val="Heading3Char"/>
    <w:uiPriority w:val="9"/>
    <w:unhideWhenUsed/>
    <w:qFormat/>
    <w:rsid w:val="00A008B8"/>
    <w:pPr>
      <w:keepNext/>
      <w:keepLines/>
      <w:numPr>
        <w:ilvl w:val="2"/>
        <w:numId w:val="6"/>
      </w:numPr>
      <w:ind w:left="1247" w:hanging="680"/>
      <w:contextualSpacing/>
      <w:jc w:val="left"/>
      <w:outlineLvl w:val="2"/>
    </w:pPr>
    <w:rPr>
      <w:rFonts w:eastAsiaTheme="majorEastAsia" w:cstheme="majorBidi"/>
      <w:b/>
      <w:sz w:val="24"/>
      <w:szCs w:val="24"/>
    </w:rPr>
  </w:style>
  <w:style w:type="paragraph" w:styleId="Heading4">
    <w:name w:val="heading 4"/>
    <w:basedOn w:val="Normal"/>
    <w:next w:val="Normal"/>
    <w:link w:val="Heading4Char"/>
    <w:uiPriority w:val="9"/>
    <w:unhideWhenUsed/>
    <w:qFormat/>
    <w:rsid w:val="00A008B8"/>
    <w:pPr>
      <w:keepNext/>
      <w:keepLines/>
      <w:numPr>
        <w:ilvl w:val="3"/>
        <w:numId w:val="6"/>
      </w:numPr>
      <w:ind w:left="2098" w:hanging="851"/>
      <w:jc w:val="left"/>
      <w:outlineLvl w:val="3"/>
    </w:pPr>
    <w:rPr>
      <w:rFonts w:eastAsiaTheme="majorEastAsia" w:cstheme="majorBidi"/>
      <w:b/>
      <w:iCs/>
      <w:sz w:val="24"/>
    </w:rPr>
  </w:style>
  <w:style w:type="paragraph" w:styleId="Heading5">
    <w:name w:val="heading 5"/>
    <w:basedOn w:val="Normal"/>
    <w:next w:val="Normal"/>
    <w:link w:val="Heading5Char"/>
    <w:uiPriority w:val="9"/>
    <w:unhideWhenUsed/>
    <w:rsid w:val="00DC62F0"/>
    <w:pPr>
      <w:keepNext/>
      <w:keepLines/>
      <w:numPr>
        <w:ilvl w:val="4"/>
        <w:numId w:val="6"/>
      </w:numPr>
      <w:spacing w:before="200" w:after="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A008B8"/>
    <w:rPr>
      <w:rFonts w:ascii="Times New Roman" w:eastAsiaTheme="majorEastAsia" w:hAnsi="Times New Roman" w:cstheme="majorBidi"/>
      <w:b/>
      <w:sz w:val="28"/>
      <w:szCs w:val="26"/>
      <w:lang w:val="en-CA"/>
    </w:rPr>
  </w:style>
  <w:style w:type="paragraph" w:styleId="ListParagraph">
    <w:name w:val="List Paragraph"/>
    <w:basedOn w:val="Normal"/>
    <w:link w:val="ListParagraphChar"/>
    <w:uiPriority w:val="34"/>
    <w:qFormat/>
    <w:rsid w:val="0074473E"/>
    <w:pPr>
      <w:numPr>
        <w:ilvl w:val="1"/>
        <w:numId w:val="5"/>
      </w:numPr>
      <w:spacing w:before="60" w:after="0"/>
      <w:ind w:left="788" w:hanging="431"/>
      <w:jc w:val="left"/>
    </w:pPr>
  </w:style>
  <w:style w:type="paragraph" w:styleId="Header">
    <w:name w:val="header"/>
    <w:basedOn w:val="Normal"/>
    <w:link w:val="HeaderChar"/>
    <w:uiPriority w:val="99"/>
    <w:unhideWhenUsed/>
    <w:rsid w:val="0061282C"/>
    <w:pPr>
      <w:tabs>
        <w:tab w:val="center" w:pos="4320"/>
        <w:tab w:val="right" w:pos="8640"/>
      </w:tabs>
      <w:spacing w:after="0"/>
    </w:pPr>
  </w:style>
  <w:style w:type="character" w:customStyle="1" w:styleId="HeaderChar">
    <w:name w:val="Header Char"/>
    <w:basedOn w:val="DefaultParagraphFont"/>
    <w:link w:val="Header"/>
    <w:uiPriority w:val="99"/>
    <w:rsid w:val="0061282C"/>
    <w:rPr>
      <w:rFonts w:ascii="Times New Roman" w:hAnsi="Times New Roman" w:cs="Times New Roman"/>
      <w:sz w:val="22"/>
    </w:rPr>
  </w:style>
  <w:style w:type="character" w:customStyle="1" w:styleId="Heading1Char">
    <w:name w:val="Heading 1 Char"/>
    <w:basedOn w:val="DefaultParagraphFont"/>
    <w:link w:val="Heading1"/>
    <w:uiPriority w:val="9"/>
    <w:rsid w:val="00A008B8"/>
    <w:rPr>
      <w:rFonts w:ascii="Times New Roman" w:eastAsiaTheme="majorEastAsia" w:hAnsi="Times New Roman" w:cstheme="majorBidi"/>
      <w:b/>
      <w:smallCaps/>
      <w:spacing w:val="4"/>
      <w:sz w:val="32"/>
      <w:szCs w:val="32"/>
      <w:lang w:val="en-CA"/>
    </w:rPr>
  </w:style>
  <w:style w:type="paragraph" w:styleId="TOCHeading">
    <w:name w:val="TOC Heading"/>
    <w:basedOn w:val="Normal"/>
    <w:next w:val="Normal"/>
    <w:link w:val="TOCHeadingChar"/>
    <w:uiPriority w:val="39"/>
    <w:unhideWhenUsed/>
    <w:qFormat/>
    <w:rsid w:val="0061282C"/>
    <w:pPr>
      <w:ind w:left="360" w:hanging="360"/>
    </w:pPr>
    <w:rPr>
      <w:rFonts w:ascii="Arial Black" w:hAnsi="Arial Black"/>
      <w:b/>
      <w:smallCaps/>
      <w:spacing w:val="4"/>
      <w:sz w:val="26"/>
      <w:szCs w:val="28"/>
    </w:rPr>
  </w:style>
  <w:style w:type="paragraph" w:styleId="TOC1">
    <w:name w:val="toc 1"/>
    <w:basedOn w:val="Normal"/>
    <w:next w:val="Normal"/>
    <w:autoRedefine/>
    <w:uiPriority w:val="39"/>
    <w:unhideWhenUsed/>
    <w:qFormat/>
    <w:rsid w:val="00252A59"/>
    <w:pPr>
      <w:spacing w:after="100"/>
    </w:pPr>
    <w:rPr>
      <w:b/>
      <w:smallCaps/>
    </w:rPr>
  </w:style>
  <w:style w:type="paragraph" w:styleId="TOC2">
    <w:name w:val="toc 2"/>
    <w:basedOn w:val="Normal"/>
    <w:next w:val="Normal"/>
    <w:link w:val="TOC2Char"/>
    <w:autoRedefine/>
    <w:uiPriority w:val="39"/>
    <w:unhideWhenUsed/>
    <w:qFormat/>
    <w:rsid w:val="00564CB1"/>
    <w:pPr>
      <w:tabs>
        <w:tab w:val="right" w:leader="dot" w:pos="9000"/>
      </w:tabs>
      <w:spacing w:after="0"/>
      <w:contextualSpacing/>
    </w:pPr>
    <w:rPr>
      <w:b/>
      <w:sz w:val="24"/>
      <w:szCs w:val="18"/>
    </w:rPr>
  </w:style>
  <w:style w:type="paragraph" w:styleId="TOC3">
    <w:name w:val="toc 3"/>
    <w:basedOn w:val="Normal"/>
    <w:next w:val="Normal"/>
    <w:link w:val="TOC3Char"/>
    <w:autoRedefine/>
    <w:uiPriority w:val="39"/>
    <w:unhideWhenUsed/>
    <w:qFormat/>
    <w:rsid w:val="000C23D3"/>
    <w:pPr>
      <w:tabs>
        <w:tab w:val="right" w:leader="dot" w:pos="9000"/>
      </w:tabs>
      <w:spacing w:after="0"/>
      <w:ind w:left="238"/>
      <w:contextualSpacing/>
      <w:jc w:val="left"/>
    </w:pPr>
    <w:rPr>
      <w:sz w:val="18"/>
      <w:szCs w:val="18"/>
    </w:rPr>
  </w:style>
  <w:style w:type="character" w:customStyle="1" w:styleId="TOC2Char">
    <w:name w:val="TOC 2 Char"/>
    <w:basedOn w:val="DefaultParagraphFont"/>
    <w:link w:val="TOC2"/>
    <w:uiPriority w:val="39"/>
    <w:rsid w:val="00564CB1"/>
    <w:rPr>
      <w:rFonts w:ascii="Times New Roman" w:hAnsi="Times New Roman" w:cs="Times New Roman"/>
      <w:b/>
      <w:szCs w:val="18"/>
    </w:rPr>
  </w:style>
  <w:style w:type="character" w:customStyle="1" w:styleId="TOCHeadingChar">
    <w:name w:val="TOC Heading Char"/>
    <w:basedOn w:val="DefaultParagraphFont"/>
    <w:link w:val="TOCHeading"/>
    <w:uiPriority w:val="39"/>
    <w:rsid w:val="0061282C"/>
    <w:rPr>
      <w:rFonts w:ascii="Arial Black" w:hAnsi="Arial Black" w:cs="Times New Roman"/>
      <w:b/>
      <w:smallCaps/>
      <w:spacing w:val="4"/>
      <w:sz w:val="26"/>
      <w:szCs w:val="28"/>
    </w:rPr>
  </w:style>
  <w:style w:type="character" w:customStyle="1" w:styleId="TOC3Char">
    <w:name w:val="TOC 3 Char"/>
    <w:basedOn w:val="DefaultParagraphFont"/>
    <w:link w:val="TOC3"/>
    <w:uiPriority w:val="39"/>
    <w:rsid w:val="000C23D3"/>
    <w:rPr>
      <w:rFonts w:ascii="Times New Roman" w:hAnsi="Times New Roman" w:cs="Times New Roman"/>
      <w:sz w:val="18"/>
      <w:szCs w:val="18"/>
    </w:rPr>
  </w:style>
  <w:style w:type="numbering" w:customStyle="1" w:styleId="TOCStyle2">
    <w:name w:val="TOC Style 2"/>
    <w:uiPriority w:val="99"/>
    <w:rsid w:val="0061282C"/>
    <w:pPr>
      <w:numPr>
        <w:numId w:val="1"/>
      </w:numPr>
    </w:pPr>
  </w:style>
  <w:style w:type="paragraph" w:customStyle="1" w:styleId="TOC3rd">
    <w:name w:val="TOC 3rd"/>
    <w:basedOn w:val="ListParagraph"/>
    <w:link w:val="TOC3rdChar"/>
    <w:rsid w:val="0061282C"/>
    <w:pPr>
      <w:numPr>
        <w:ilvl w:val="2"/>
      </w:numPr>
    </w:pPr>
    <w:rPr>
      <w:rFonts w:cstheme="majorBidi"/>
      <w:bCs/>
    </w:rPr>
  </w:style>
  <w:style w:type="paragraph" w:styleId="BalloonText">
    <w:name w:val="Balloon Text"/>
    <w:basedOn w:val="Normal"/>
    <w:link w:val="BalloonTextChar"/>
    <w:uiPriority w:val="99"/>
    <w:semiHidden/>
    <w:unhideWhenUsed/>
    <w:rsid w:val="0061282C"/>
    <w:pPr>
      <w:spacing w:after="0"/>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1282C"/>
    <w:rPr>
      <w:rFonts w:ascii="Lucida Grande" w:hAnsi="Lucida Grande" w:cs="Lucida Grande"/>
      <w:sz w:val="18"/>
      <w:szCs w:val="18"/>
    </w:rPr>
  </w:style>
  <w:style w:type="character" w:customStyle="1" w:styleId="Heading3Char">
    <w:name w:val="Heading 3 Char"/>
    <w:basedOn w:val="DefaultParagraphFont"/>
    <w:link w:val="Heading3"/>
    <w:uiPriority w:val="9"/>
    <w:rsid w:val="00A008B8"/>
    <w:rPr>
      <w:rFonts w:ascii="Times New Roman" w:eastAsiaTheme="majorEastAsia" w:hAnsi="Times New Roman" w:cstheme="majorBidi"/>
      <w:b/>
      <w:lang w:val="en-CA"/>
    </w:rPr>
  </w:style>
  <w:style w:type="character" w:customStyle="1" w:styleId="Heading4Char">
    <w:name w:val="Heading 4 Char"/>
    <w:basedOn w:val="DefaultParagraphFont"/>
    <w:link w:val="Heading4"/>
    <w:uiPriority w:val="9"/>
    <w:rsid w:val="00A008B8"/>
    <w:rPr>
      <w:rFonts w:ascii="Times New Roman" w:eastAsiaTheme="majorEastAsia" w:hAnsi="Times New Roman" w:cstheme="majorBidi"/>
      <w:b/>
      <w:iCs/>
      <w:szCs w:val="22"/>
      <w:lang w:val="en-CA"/>
    </w:rPr>
  </w:style>
  <w:style w:type="character" w:styleId="PageNumber">
    <w:name w:val="page number"/>
    <w:basedOn w:val="DefaultParagraphFont"/>
    <w:uiPriority w:val="99"/>
    <w:semiHidden/>
    <w:unhideWhenUsed/>
    <w:rsid w:val="0061282C"/>
  </w:style>
  <w:style w:type="character" w:styleId="Hyperlink">
    <w:name w:val="Hyperlink"/>
    <w:basedOn w:val="DefaultParagraphFont"/>
    <w:uiPriority w:val="99"/>
    <w:rsid w:val="0061282C"/>
    <w:rPr>
      <w:color w:val="0000FF" w:themeColor="hyperlink"/>
      <w:u w:val="single"/>
    </w:rPr>
  </w:style>
  <w:style w:type="paragraph" w:styleId="Footer">
    <w:name w:val="footer"/>
    <w:basedOn w:val="Normal"/>
    <w:link w:val="FooterChar"/>
    <w:uiPriority w:val="99"/>
    <w:unhideWhenUsed/>
    <w:rsid w:val="0061282C"/>
    <w:pPr>
      <w:tabs>
        <w:tab w:val="center" w:pos="4320"/>
        <w:tab w:val="right" w:pos="8640"/>
      </w:tabs>
      <w:spacing w:after="0"/>
    </w:pPr>
  </w:style>
  <w:style w:type="character" w:customStyle="1" w:styleId="FooterChar">
    <w:name w:val="Footer Char"/>
    <w:basedOn w:val="DefaultParagraphFont"/>
    <w:link w:val="Footer"/>
    <w:uiPriority w:val="99"/>
    <w:rsid w:val="0061282C"/>
    <w:rPr>
      <w:rFonts w:ascii="Times New Roman" w:hAnsi="Times New Roman" w:cs="Times New Roman"/>
      <w:sz w:val="22"/>
    </w:rPr>
  </w:style>
  <w:style w:type="paragraph" w:customStyle="1" w:styleId="Default">
    <w:name w:val="Default"/>
    <w:rsid w:val="0061282C"/>
    <w:pPr>
      <w:autoSpaceDE w:val="0"/>
      <w:autoSpaceDN w:val="0"/>
      <w:adjustRightInd w:val="0"/>
    </w:pPr>
    <w:rPr>
      <w:rFonts w:ascii="Calibri" w:hAnsi="Calibri" w:cs="Calibri"/>
      <w:color w:val="000000"/>
      <w:sz w:val="22"/>
      <w:lang w:eastAsia="zh-CN"/>
    </w:rPr>
  </w:style>
  <w:style w:type="table" w:styleId="TableGrid">
    <w:name w:val="Table Grid"/>
    <w:basedOn w:val="TableNormal"/>
    <w:uiPriority w:val="59"/>
    <w:rsid w:val="0061282C"/>
    <w:rPr>
      <w:rFonts w:ascii="Times New Roman" w:hAnsi="Times New Roman" w:cs="Times New Roman"/>
      <w:sz w:val="22"/>
      <w:szCs w:val="22"/>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rsid w:val="00265B9F"/>
    <w:pPr>
      <w:keepLines/>
      <w:spacing w:before="0" w:after="0"/>
      <w:contextualSpacing/>
      <w:jc w:val="left"/>
    </w:pPr>
    <w:rPr>
      <w:sz w:val="18"/>
      <w:szCs w:val="20"/>
    </w:rPr>
  </w:style>
  <w:style w:type="character" w:customStyle="1" w:styleId="FootnoteTextChar">
    <w:name w:val="Footnote Text Char"/>
    <w:basedOn w:val="DefaultParagraphFont"/>
    <w:link w:val="FootnoteText"/>
    <w:uiPriority w:val="99"/>
    <w:rsid w:val="00265B9F"/>
    <w:rPr>
      <w:rFonts w:ascii="Times New Roman" w:eastAsiaTheme="minorHAnsi" w:hAnsi="Times New Roman"/>
      <w:sz w:val="18"/>
      <w:szCs w:val="20"/>
      <w:lang w:val="en-CA"/>
    </w:rPr>
  </w:style>
  <w:style w:type="character" w:styleId="FootnoteReference">
    <w:name w:val="footnote reference"/>
    <w:basedOn w:val="DefaultParagraphFont"/>
    <w:uiPriority w:val="99"/>
    <w:unhideWhenUsed/>
    <w:rsid w:val="00DF7B35"/>
    <w:rPr>
      <w:rFonts w:ascii="Palatino Linotype" w:hAnsi="Palatino Linotype"/>
      <w:sz w:val="20"/>
      <w:vertAlign w:val="superscript"/>
    </w:rPr>
  </w:style>
  <w:style w:type="paragraph" w:styleId="TOC4">
    <w:name w:val="toc 4"/>
    <w:basedOn w:val="Normal"/>
    <w:next w:val="Normal"/>
    <w:autoRedefine/>
    <w:uiPriority w:val="39"/>
    <w:semiHidden/>
    <w:unhideWhenUsed/>
    <w:rsid w:val="0061282C"/>
    <w:pPr>
      <w:spacing w:after="0"/>
      <w:ind w:left="660"/>
    </w:pPr>
    <w:rPr>
      <w:sz w:val="18"/>
      <w:szCs w:val="18"/>
    </w:rPr>
  </w:style>
  <w:style w:type="paragraph" w:styleId="TOC5">
    <w:name w:val="toc 5"/>
    <w:basedOn w:val="Normal"/>
    <w:next w:val="Normal"/>
    <w:autoRedefine/>
    <w:uiPriority w:val="39"/>
    <w:semiHidden/>
    <w:unhideWhenUsed/>
    <w:rsid w:val="0061282C"/>
    <w:pPr>
      <w:spacing w:after="0"/>
      <w:ind w:left="880"/>
    </w:pPr>
    <w:rPr>
      <w:sz w:val="18"/>
      <w:szCs w:val="18"/>
    </w:rPr>
  </w:style>
  <w:style w:type="paragraph" w:styleId="TOC6">
    <w:name w:val="toc 6"/>
    <w:basedOn w:val="Normal"/>
    <w:next w:val="Normal"/>
    <w:autoRedefine/>
    <w:uiPriority w:val="39"/>
    <w:semiHidden/>
    <w:unhideWhenUsed/>
    <w:rsid w:val="0061282C"/>
    <w:pPr>
      <w:spacing w:after="0"/>
      <w:ind w:left="1100"/>
    </w:pPr>
    <w:rPr>
      <w:sz w:val="18"/>
      <w:szCs w:val="18"/>
    </w:rPr>
  </w:style>
  <w:style w:type="paragraph" w:styleId="TOC7">
    <w:name w:val="toc 7"/>
    <w:basedOn w:val="Normal"/>
    <w:next w:val="Normal"/>
    <w:autoRedefine/>
    <w:uiPriority w:val="39"/>
    <w:semiHidden/>
    <w:unhideWhenUsed/>
    <w:rsid w:val="0061282C"/>
    <w:pPr>
      <w:spacing w:after="0"/>
      <w:ind w:left="1320"/>
    </w:pPr>
    <w:rPr>
      <w:sz w:val="18"/>
      <w:szCs w:val="18"/>
    </w:rPr>
  </w:style>
  <w:style w:type="paragraph" w:styleId="TOC8">
    <w:name w:val="toc 8"/>
    <w:basedOn w:val="Normal"/>
    <w:next w:val="Normal"/>
    <w:autoRedefine/>
    <w:uiPriority w:val="39"/>
    <w:semiHidden/>
    <w:unhideWhenUsed/>
    <w:rsid w:val="0061282C"/>
    <w:pPr>
      <w:spacing w:after="0"/>
      <w:ind w:left="1540"/>
    </w:pPr>
    <w:rPr>
      <w:sz w:val="18"/>
      <w:szCs w:val="18"/>
    </w:rPr>
  </w:style>
  <w:style w:type="paragraph" w:styleId="TOC9">
    <w:name w:val="toc 9"/>
    <w:basedOn w:val="Normal"/>
    <w:next w:val="Normal"/>
    <w:autoRedefine/>
    <w:uiPriority w:val="39"/>
    <w:semiHidden/>
    <w:unhideWhenUsed/>
    <w:rsid w:val="0061282C"/>
    <w:pPr>
      <w:spacing w:after="0"/>
      <w:ind w:left="1760"/>
    </w:pPr>
    <w:rPr>
      <w:sz w:val="18"/>
      <w:szCs w:val="18"/>
    </w:rPr>
  </w:style>
  <w:style w:type="numbering" w:customStyle="1" w:styleId="TOCstyle">
    <w:name w:val="TOC style"/>
    <w:uiPriority w:val="99"/>
    <w:rsid w:val="0061282C"/>
    <w:pPr>
      <w:numPr>
        <w:numId w:val="2"/>
      </w:numPr>
    </w:pPr>
  </w:style>
  <w:style w:type="character" w:styleId="CommentReference">
    <w:name w:val="annotation reference"/>
    <w:basedOn w:val="DefaultParagraphFont"/>
    <w:uiPriority w:val="99"/>
    <w:rsid w:val="0061282C"/>
    <w:rPr>
      <w:sz w:val="16"/>
      <w:szCs w:val="16"/>
    </w:rPr>
  </w:style>
  <w:style w:type="paragraph" w:styleId="CommentText">
    <w:name w:val="annotation text"/>
    <w:basedOn w:val="Normal"/>
    <w:link w:val="CommentTextChar"/>
    <w:uiPriority w:val="99"/>
    <w:rsid w:val="0061282C"/>
    <w:rPr>
      <w:szCs w:val="20"/>
    </w:rPr>
  </w:style>
  <w:style w:type="character" w:customStyle="1" w:styleId="CommentTextChar">
    <w:name w:val="Comment Text Char"/>
    <w:basedOn w:val="DefaultParagraphFont"/>
    <w:link w:val="CommentText"/>
    <w:uiPriority w:val="99"/>
    <w:rsid w:val="0061282C"/>
    <w:rPr>
      <w:rFonts w:ascii="Times New Roman" w:hAnsi="Times New Roman" w:cs="Times New Roman"/>
      <w:sz w:val="22"/>
      <w:szCs w:val="20"/>
    </w:rPr>
  </w:style>
  <w:style w:type="paragraph" w:styleId="CommentSubject">
    <w:name w:val="annotation subject"/>
    <w:basedOn w:val="CommentText"/>
    <w:next w:val="CommentText"/>
    <w:link w:val="CommentSubjectChar"/>
    <w:uiPriority w:val="99"/>
    <w:rsid w:val="0061282C"/>
    <w:rPr>
      <w:b/>
      <w:bCs/>
    </w:rPr>
  </w:style>
  <w:style w:type="character" w:customStyle="1" w:styleId="CommentSubjectChar">
    <w:name w:val="Comment Subject Char"/>
    <w:basedOn w:val="CommentTextChar"/>
    <w:link w:val="CommentSubject"/>
    <w:uiPriority w:val="99"/>
    <w:rsid w:val="0061282C"/>
    <w:rPr>
      <w:rFonts w:ascii="Times New Roman" w:hAnsi="Times New Roman" w:cs="Times New Roman"/>
      <w:b/>
      <w:bCs/>
      <w:sz w:val="22"/>
      <w:szCs w:val="20"/>
    </w:rPr>
  </w:style>
  <w:style w:type="character" w:customStyle="1" w:styleId="ListParagraphChar">
    <w:name w:val="List Paragraph Char"/>
    <w:basedOn w:val="DefaultParagraphFont"/>
    <w:link w:val="ListParagraph"/>
    <w:uiPriority w:val="34"/>
    <w:rsid w:val="0074473E"/>
    <w:rPr>
      <w:rFonts w:ascii="Times New Roman" w:eastAsiaTheme="minorHAnsi" w:hAnsi="Times New Roman"/>
      <w:sz w:val="22"/>
      <w:szCs w:val="22"/>
      <w:lang w:val="en-CA"/>
    </w:rPr>
  </w:style>
  <w:style w:type="character" w:customStyle="1" w:styleId="TOC3rdChar">
    <w:name w:val="TOC 3rd Char"/>
    <w:basedOn w:val="ListParagraphChar"/>
    <w:link w:val="TOC3rd"/>
    <w:rsid w:val="0061282C"/>
    <w:rPr>
      <w:rFonts w:ascii="Times New Roman" w:eastAsiaTheme="minorHAnsi" w:hAnsi="Times New Roman" w:cstheme="majorBidi"/>
      <w:bCs/>
      <w:sz w:val="22"/>
      <w:szCs w:val="22"/>
      <w:lang w:val="en-CA"/>
    </w:rPr>
  </w:style>
  <w:style w:type="character" w:styleId="FollowedHyperlink">
    <w:name w:val="FollowedHyperlink"/>
    <w:basedOn w:val="DefaultParagraphFont"/>
    <w:uiPriority w:val="99"/>
    <w:rsid w:val="0061282C"/>
    <w:rPr>
      <w:color w:val="800080" w:themeColor="followedHyperlink"/>
      <w:u w:val="single"/>
    </w:rPr>
  </w:style>
  <w:style w:type="paragraph" w:styleId="BodyText2">
    <w:name w:val="Body Text 2"/>
    <w:basedOn w:val="Normal"/>
    <w:link w:val="BodyText2Char"/>
    <w:rsid w:val="0061282C"/>
  </w:style>
  <w:style w:type="character" w:customStyle="1" w:styleId="BodyText2Char">
    <w:name w:val="Body Text 2 Char"/>
    <w:basedOn w:val="DefaultParagraphFont"/>
    <w:link w:val="BodyText2"/>
    <w:rsid w:val="0061282C"/>
    <w:rPr>
      <w:rFonts w:ascii="Times New Roman" w:hAnsi="Times New Roman" w:cs="Times New Roman"/>
      <w:sz w:val="22"/>
    </w:rPr>
  </w:style>
  <w:style w:type="paragraph" w:styleId="BodyText3">
    <w:name w:val="Body Text 3"/>
    <w:basedOn w:val="Normal"/>
    <w:link w:val="BodyText3Char"/>
    <w:rsid w:val="0061282C"/>
    <w:pPr>
      <w:spacing w:after="0"/>
    </w:pPr>
    <w:rPr>
      <w:sz w:val="20"/>
      <w:szCs w:val="16"/>
    </w:rPr>
  </w:style>
  <w:style w:type="character" w:customStyle="1" w:styleId="BodyText3Char">
    <w:name w:val="Body Text 3 Char"/>
    <w:basedOn w:val="DefaultParagraphFont"/>
    <w:link w:val="BodyText3"/>
    <w:rsid w:val="0061282C"/>
    <w:rPr>
      <w:rFonts w:ascii="Times New Roman" w:hAnsi="Times New Roman" w:cs="Times New Roman"/>
      <w:sz w:val="20"/>
      <w:szCs w:val="16"/>
    </w:rPr>
  </w:style>
  <w:style w:type="paragraph" w:styleId="BlockText">
    <w:name w:val="Block Text"/>
    <w:basedOn w:val="Normal"/>
    <w:rsid w:val="0061282C"/>
    <w:pPr>
      <w:ind w:left="1152" w:right="1152"/>
    </w:pPr>
    <w:rPr>
      <w:iCs/>
      <w:sz w:val="20"/>
    </w:rPr>
  </w:style>
  <w:style w:type="paragraph" w:styleId="ListBullet">
    <w:name w:val="List Bullet"/>
    <w:basedOn w:val="Normal"/>
    <w:rsid w:val="0074473E"/>
    <w:pPr>
      <w:numPr>
        <w:numId w:val="3"/>
      </w:numPr>
      <w:spacing w:before="60" w:after="60"/>
      <w:ind w:left="357" w:hanging="357"/>
      <w:jc w:val="left"/>
    </w:pPr>
  </w:style>
  <w:style w:type="paragraph" w:styleId="ListBullet2">
    <w:name w:val="List Bullet 2"/>
    <w:basedOn w:val="Normal"/>
    <w:rsid w:val="0061282C"/>
    <w:pPr>
      <w:numPr>
        <w:numId w:val="4"/>
      </w:numPr>
      <w:contextualSpacing/>
    </w:pPr>
  </w:style>
  <w:style w:type="paragraph" w:styleId="Revision">
    <w:name w:val="Revision"/>
    <w:hidden/>
    <w:rsid w:val="0061282C"/>
    <w:rPr>
      <w:rFonts w:ascii="Arial" w:eastAsiaTheme="minorHAnsi" w:hAnsi="Arial" w:cs="Times New Roman"/>
      <w:sz w:val="22"/>
      <w:szCs w:val="22"/>
    </w:rPr>
  </w:style>
  <w:style w:type="paragraph" w:styleId="NormalWeb">
    <w:name w:val="Normal (Web)"/>
    <w:basedOn w:val="Normal"/>
    <w:uiPriority w:val="99"/>
    <w:rsid w:val="0061282C"/>
    <w:pPr>
      <w:spacing w:beforeLines="1" w:afterLines="1" w:after="0"/>
      <w:jc w:val="left"/>
    </w:pPr>
    <w:rPr>
      <w:rFonts w:ascii="Times" w:hAnsi="Times"/>
      <w:sz w:val="20"/>
      <w:szCs w:val="20"/>
    </w:rPr>
  </w:style>
  <w:style w:type="character" w:customStyle="1" w:styleId="apple-converted-space">
    <w:name w:val="apple-converted-space"/>
    <w:basedOn w:val="DefaultParagraphFont"/>
    <w:rsid w:val="0061282C"/>
  </w:style>
  <w:style w:type="paragraph" w:styleId="z-TopofForm">
    <w:name w:val="HTML Top of Form"/>
    <w:basedOn w:val="Normal"/>
    <w:next w:val="Normal"/>
    <w:link w:val="z-TopofFormChar"/>
    <w:hidden/>
    <w:uiPriority w:val="99"/>
    <w:unhideWhenUsed/>
    <w:rsid w:val="0061282C"/>
    <w:pPr>
      <w:pBdr>
        <w:bottom w:val="single" w:sz="6" w:space="1" w:color="auto"/>
      </w:pBdr>
      <w:spacing w:beforeLines="1" w:afterLines="1" w:after="0"/>
      <w:jc w:val="center"/>
    </w:pPr>
    <w:rPr>
      <w:vanish/>
      <w:sz w:val="16"/>
      <w:szCs w:val="16"/>
    </w:rPr>
  </w:style>
  <w:style w:type="character" w:customStyle="1" w:styleId="z-TopofFormChar">
    <w:name w:val="z-Top of Form Char"/>
    <w:basedOn w:val="DefaultParagraphFont"/>
    <w:link w:val="z-TopofForm"/>
    <w:uiPriority w:val="99"/>
    <w:rsid w:val="0061282C"/>
    <w:rPr>
      <w:rFonts w:ascii="Times New Roman" w:hAnsi="Times New Roman" w:cs="Times New Roman"/>
      <w:vanish/>
      <w:sz w:val="16"/>
      <w:szCs w:val="16"/>
    </w:rPr>
  </w:style>
  <w:style w:type="paragraph" w:styleId="z-BottomofForm">
    <w:name w:val="HTML Bottom of Form"/>
    <w:basedOn w:val="Normal"/>
    <w:next w:val="Normal"/>
    <w:link w:val="z-BottomofFormChar"/>
    <w:hidden/>
    <w:uiPriority w:val="99"/>
    <w:unhideWhenUsed/>
    <w:rsid w:val="0061282C"/>
    <w:pPr>
      <w:pBdr>
        <w:top w:val="single" w:sz="6" w:space="1" w:color="auto"/>
      </w:pBdr>
      <w:spacing w:beforeLines="1" w:afterLines="1" w:after="0"/>
      <w:jc w:val="center"/>
    </w:pPr>
    <w:rPr>
      <w:vanish/>
      <w:sz w:val="16"/>
      <w:szCs w:val="16"/>
    </w:rPr>
  </w:style>
  <w:style w:type="character" w:customStyle="1" w:styleId="z-BottomofFormChar">
    <w:name w:val="z-Bottom of Form Char"/>
    <w:basedOn w:val="DefaultParagraphFont"/>
    <w:link w:val="z-BottomofForm"/>
    <w:uiPriority w:val="99"/>
    <w:rsid w:val="0061282C"/>
    <w:rPr>
      <w:rFonts w:ascii="Times New Roman" w:hAnsi="Times New Roman" w:cs="Times New Roman"/>
      <w:vanish/>
      <w:sz w:val="16"/>
      <w:szCs w:val="16"/>
    </w:rPr>
  </w:style>
  <w:style w:type="character" w:styleId="Strong">
    <w:name w:val="Strong"/>
    <w:basedOn w:val="DefaultParagraphFont"/>
    <w:uiPriority w:val="22"/>
    <w:rsid w:val="0061282C"/>
    <w:rPr>
      <w:b/>
    </w:rPr>
  </w:style>
  <w:style w:type="paragraph" w:styleId="PlainText">
    <w:name w:val="Plain Text"/>
    <w:basedOn w:val="Normal"/>
    <w:link w:val="PlainTextChar"/>
    <w:uiPriority w:val="99"/>
    <w:unhideWhenUsed/>
    <w:rsid w:val="0061282C"/>
    <w:pPr>
      <w:spacing w:after="0"/>
      <w:jc w:val="left"/>
    </w:pPr>
    <w:rPr>
      <w:rFonts w:ascii="Calibri" w:hAnsi="Calibri"/>
      <w:szCs w:val="21"/>
    </w:rPr>
  </w:style>
  <w:style w:type="character" w:customStyle="1" w:styleId="PlainTextChar">
    <w:name w:val="Plain Text Char"/>
    <w:basedOn w:val="DefaultParagraphFont"/>
    <w:link w:val="PlainText"/>
    <w:uiPriority w:val="99"/>
    <w:rsid w:val="0061282C"/>
    <w:rPr>
      <w:rFonts w:ascii="Calibri" w:hAnsi="Calibri" w:cs="Times New Roman"/>
      <w:sz w:val="22"/>
      <w:szCs w:val="21"/>
      <w:lang w:val="en-CA"/>
    </w:rPr>
  </w:style>
  <w:style w:type="paragraph" w:styleId="EndnoteText">
    <w:name w:val="endnote text"/>
    <w:basedOn w:val="Normal"/>
    <w:link w:val="EndnoteTextChar"/>
    <w:rsid w:val="0061282C"/>
    <w:pPr>
      <w:spacing w:after="0"/>
    </w:pPr>
    <w:rPr>
      <w:sz w:val="20"/>
      <w:szCs w:val="20"/>
    </w:rPr>
  </w:style>
  <w:style w:type="character" w:customStyle="1" w:styleId="EndnoteTextChar">
    <w:name w:val="Endnote Text Char"/>
    <w:basedOn w:val="DefaultParagraphFont"/>
    <w:link w:val="EndnoteText"/>
    <w:rsid w:val="0061282C"/>
    <w:rPr>
      <w:rFonts w:ascii="Times New Roman" w:hAnsi="Times New Roman" w:cs="Times New Roman"/>
      <w:sz w:val="20"/>
      <w:szCs w:val="20"/>
    </w:rPr>
  </w:style>
  <w:style w:type="character" w:styleId="EndnoteReference">
    <w:name w:val="endnote reference"/>
    <w:basedOn w:val="DefaultParagraphFont"/>
    <w:rsid w:val="0061282C"/>
    <w:rPr>
      <w:vertAlign w:val="superscript"/>
    </w:rPr>
  </w:style>
  <w:style w:type="paragraph" w:styleId="BodyText">
    <w:name w:val="Body Text"/>
    <w:basedOn w:val="Normal"/>
    <w:link w:val="BodyTextChar"/>
    <w:rsid w:val="0061282C"/>
    <w:pPr>
      <w:spacing w:after="120"/>
    </w:pPr>
  </w:style>
  <w:style w:type="character" w:customStyle="1" w:styleId="BodyTextChar">
    <w:name w:val="Body Text Char"/>
    <w:basedOn w:val="DefaultParagraphFont"/>
    <w:link w:val="BodyText"/>
    <w:rsid w:val="0061282C"/>
    <w:rPr>
      <w:rFonts w:ascii="Times New Roman" w:hAnsi="Times New Roman" w:cs="Times New Roman"/>
      <w:sz w:val="22"/>
    </w:rPr>
  </w:style>
  <w:style w:type="character" w:customStyle="1" w:styleId="enumbell1">
    <w:name w:val="enumbell1"/>
    <w:basedOn w:val="DefaultParagraphFont"/>
    <w:rsid w:val="0061282C"/>
    <w:rPr>
      <w:b/>
      <w:bCs/>
    </w:rPr>
  </w:style>
  <w:style w:type="character" w:customStyle="1" w:styleId="ptext-18">
    <w:name w:val="ptext-18"/>
    <w:basedOn w:val="DefaultParagraphFont"/>
    <w:rsid w:val="0061282C"/>
  </w:style>
  <w:style w:type="paragraph" w:customStyle="1" w:styleId="loose">
    <w:name w:val="loose"/>
    <w:basedOn w:val="Normal"/>
    <w:rsid w:val="0061282C"/>
    <w:pPr>
      <w:spacing w:before="210" w:after="0"/>
      <w:jc w:val="left"/>
    </w:pPr>
    <w:rPr>
      <w:rFonts w:eastAsia="Times New Roman"/>
      <w:sz w:val="24"/>
      <w:lang w:eastAsia="en-CA"/>
    </w:rPr>
  </w:style>
  <w:style w:type="character" w:customStyle="1" w:styleId="underline1">
    <w:name w:val="underline1"/>
    <w:basedOn w:val="DefaultParagraphFont"/>
    <w:rsid w:val="0061282C"/>
    <w:rPr>
      <w:u w:val="single"/>
    </w:rPr>
  </w:style>
  <w:style w:type="character" w:customStyle="1" w:styleId="hit1">
    <w:name w:val="hit1"/>
    <w:basedOn w:val="DefaultParagraphFont"/>
    <w:rsid w:val="0061282C"/>
    <w:rPr>
      <w:b/>
      <w:bCs/>
      <w:color w:val="CC0033"/>
    </w:rPr>
  </w:style>
  <w:style w:type="character" w:customStyle="1" w:styleId="bold1">
    <w:name w:val="bold1"/>
    <w:basedOn w:val="DefaultParagraphFont"/>
    <w:rsid w:val="0061282C"/>
    <w:rPr>
      <w:b/>
      <w:bCs/>
    </w:rPr>
  </w:style>
  <w:style w:type="character" w:customStyle="1" w:styleId="italic1">
    <w:name w:val="italic1"/>
    <w:basedOn w:val="DefaultParagraphFont"/>
    <w:rsid w:val="0061282C"/>
    <w:rPr>
      <w:i/>
      <w:iCs/>
    </w:rPr>
  </w:style>
  <w:style w:type="paragraph" w:customStyle="1" w:styleId="subsection">
    <w:name w:val="subsection"/>
    <w:basedOn w:val="Normal"/>
    <w:rsid w:val="0061282C"/>
    <w:pPr>
      <w:spacing w:before="168" w:after="120"/>
      <w:ind w:firstLine="360"/>
      <w:jc w:val="left"/>
    </w:pPr>
    <w:rPr>
      <w:rFonts w:eastAsia="Times New Roman"/>
      <w:sz w:val="24"/>
      <w:lang w:eastAsia="en-CA"/>
    </w:rPr>
  </w:style>
  <w:style w:type="paragraph" w:customStyle="1" w:styleId="subparagraph">
    <w:name w:val="subparagraph"/>
    <w:basedOn w:val="Normal"/>
    <w:rsid w:val="0061282C"/>
    <w:pPr>
      <w:spacing w:before="168" w:after="120"/>
      <w:ind w:left="720"/>
      <w:jc w:val="left"/>
    </w:pPr>
    <w:rPr>
      <w:rFonts w:eastAsia="Times New Roman"/>
      <w:sz w:val="24"/>
      <w:lang w:eastAsia="en-CA"/>
    </w:rPr>
  </w:style>
  <w:style w:type="character" w:styleId="Emphasis">
    <w:name w:val="Emphasis"/>
    <w:basedOn w:val="DefaultParagraphFont"/>
    <w:uiPriority w:val="20"/>
    <w:rsid w:val="0061282C"/>
    <w:rPr>
      <w:i/>
      <w:iCs/>
    </w:rPr>
  </w:style>
  <w:style w:type="character" w:customStyle="1" w:styleId="wb-invisible">
    <w:name w:val="wb-invisible"/>
    <w:basedOn w:val="DefaultParagraphFont"/>
    <w:rsid w:val="0061282C"/>
  </w:style>
  <w:style w:type="character" w:customStyle="1" w:styleId="Heading5Char">
    <w:name w:val="Heading 5 Char"/>
    <w:basedOn w:val="DefaultParagraphFont"/>
    <w:link w:val="Heading5"/>
    <w:uiPriority w:val="9"/>
    <w:rsid w:val="00DC62F0"/>
    <w:rPr>
      <w:rFonts w:asciiTheme="majorHAnsi" w:eastAsiaTheme="majorEastAsia" w:hAnsiTheme="majorHAnsi" w:cstheme="majorBidi"/>
      <w:color w:val="243F60" w:themeColor="accent1" w:themeShade="7F"/>
      <w:sz w:val="22"/>
      <w:szCs w:val="22"/>
      <w:lang w:val="en-CA"/>
    </w:rPr>
  </w:style>
  <w:style w:type="character" w:customStyle="1" w:styleId="enumbell">
    <w:name w:val="enumbell"/>
    <w:basedOn w:val="DefaultParagraphFont"/>
    <w:rsid w:val="001140C0"/>
  </w:style>
  <w:style w:type="character" w:customStyle="1" w:styleId="ptext-">
    <w:name w:val="ptext-"/>
    <w:basedOn w:val="DefaultParagraphFont"/>
    <w:rsid w:val="001140C0"/>
  </w:style>
  <w:style w:type="paragraph" w:styleId="NoSpacing">
    <w:name w:val="No Spacing"/>
    <w:uiPriority w:val="1"/>
    <w:rsid w:val="00B06252"/>
    <w:pPr>
      <w:widowControl w:val="0"/>
      <w:jc w:val="both"/>
    </w:pPr>
    <w:rPr>
      <w:rFonts w:ascii="Times New Roman" w:hAnsi="Times New Roman" w:cs="Times New Roman"/>
      <w:sz w:val="22"/>
    </w:rPr>
  </w:style>
  <w:style w:type="paragraph" w:styleId="HTMLPreformatted">
    <w:name w:val="HTML Preformatted"/>
    <w:basedOn w:val="Normal"/>
    <w:link w:val="HTMLPreformattedChar"/>
    <w:uiPriority w:val="99"/>
    <w:semiHidden/>
    <w:unhideWhenUsed/>
    <w:rsid w:val="00EF6B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EF6B40"/>
    <w:rPr>
      <w:rFonts w:ascii="Courier New" w:hAnsi="Courier New" w:cs="Courier New"/>
      <w:sz w:val="20"/>
      <w:szCs w:val="20"/>
    </w:rPr>
  </w:style>
  <w:style w:type="paragraph" w:customStyle="1" w:styleId="BlockQuote">
    <w:name w:val="Block Quote"/>
    <w:basedOn w:val="Normal"/>
    <w:link w:val="BlockQuoteChar"/>
    <w:qFormat/>
    <w:rsid w:val="000722C1"/>
    <w:pPr>
      <w:spacing w:before="120" w:after="120"/>
      <w:ind w:left="720" w:right="720"/>
    </w:pPr>
    <w:rPr>
      <w:sz w:val="21"/>
    </w:rPr>
  </w:style>
  <w:style w:type="character" w:customStyle="1" w:styleId="BlockQuoteChar">
    <w:name w:val="Block Quote Char"/>
    <w:basedOn w:val="DefaultParagraphFont"/>
    <w:link w:val="BlockQuote"/>
    <w:rsid w:val="000722C1"/>
    <w:rPr>
      <w:rFonts w:ascii="Palatino Linotype" w:eastAsiaTheme="minorHAnsi" w:hAnsi="Palatino Linotype"/>
      <w:sz w:val="21"/>
      <w:szCs w:val="22"/>
      <w:lang w:val="en-CA"/>
    </w:rPr>
  </w:style>
  <w:style w:type="paragraph" w:customStyle="1" w:styleId="ExcerptMarker">
    <w:name w:val="Excerpt Marker"/>
    <w:basedOn w:val="Normal"/>
    <w:link w:val="ExcerptMarkerChar"/>
    <w:qFormat/>
    <w:rsid w:val="006A3A96"/>
    <w:pPr>
      <w:spacing w:before="120" w:after="120"/>
      <w:jc w:val="center"/>
    </w:pPr>
    <w:rPr>
      <w:rFonts w:eastAsiaTheme="minorEastAsia" w:cs="Times New Roman"/>
      <w:smallCaps/>
      <w:sz w:val="18"/>
      <w:lang w:val="en-US" w:eastAsia="zh-CN"/>
    </w:rPr>
  </w:style>
  <w:style w:type="character" w:customStyle="1" w:styleId="ExcerptMarkerChar">
    <w:name w:val="Excerpt Marker Char"/>
    <w:basedOn w:val="DefaultParagraphFont"/>
    <w:link w:val="ExcerptMarker"/>
    <w:rsid w:val="006A3A96"/>
    <w:rPr>
      <w:rFonts w:ascii="Times New Roman" w:hAnsi="Times New Roman" w:cs="Times New Roman"/>
      <w:smallCaps/>
      <w:sz w:val="18"/>
      <w:szCs w:val="22"/>
      <w:lang w:eastAsia="zh-CN"/>
    </w:rPr>
  </w:style>
  <w:style w:type="paragraph" w:customStyle="1" w:styleId="TitlePgChTitle">
    <w:name w:val="Title Pg Ch. Title"/>
    <w:basedOn w:val="Normal"/>
    <w:link w:val="TitlePgChTitleChar"/>
    <w:qFormat/>
    <w:rsid w:val="00252A59"/>
    <w:pPr>
      <w:jc w:val="center"/>
    </w:pPr>
    <w:rPr>
      <w:b/>
      <w:smallCaps/>
      <w:spacing w:val="10"/>
      <w:sz w:val="36"/>
    </w:rPr>
  </w:style>
  <w:style w:type="character" w:customStyle="1" w:styleId="TitlePgChTitleChar">
    <w:name w:val="Title Pg Ch. Title Char"/>
    <w:basedOn w:val="DefaultParagraphFont"/>
    <w:link w:val="TitlePgChTitle"/>
    <w:rsid w:val="00252A59"/>
    <w:rPr>
      <w:rFonts w:ascii="Times New Roman" w:eastAsiaTheme="minorHAnsi" w:hAnsi="Times New Roman"/>
      <w:b/>
      <w:smallCaps/>
      <w:spacing w:val="10"/>
      <w:sz w:val="36"/>
      <w:szCs w:val="22"/>
      <w:lang w:val="en-CA"/>
    </w:rPr>
  </w:style>
  <w:style w:type="paragraph" w:customStyle="1" w:styleId="TitlePgCh">
    <w:name w:val="Title Pg Ch.#"/>
    <w:basedOn w:val="Normal"/>
    <w:link w:val="TitlePgChChar"/>
    <w:qFormat/>
    <w:rsid w:val="00252A59"/>
    <w:pPr>
      <w:spacing w:after="480"/>
      <w:jc w:val="center"/>
    </w:pPr>
    <w:rPr>
      <w:b/>
      <w:smallCaps/>
      <w:spacing w:val="20"/>
      <w:sz w:val="28"/>
    </w:rPr>
  </w:style>
  <w:style w:type="character" w:customStyle="1" w:styleId="TitlePgChChar">
    <w:name w:val="Title Pg Ch.# Char"/>
    <w:basedOn w:val="DefaultParagraphFont"/>
    <w:link w:val="TitlePgCh"/>
    <w:rsid w:val="00252A59"/>
    <w:rPr>
      <w:rFonts w:ascii="Times New Roman" w:eastAsiaTheme="minorHAnsi" w:hAnsi="Times New Roman"/>
      <w:b/>
      <w:smallCaps/>
      <w:spacing w:val="20"/>
      <w:sz w:val="28"/>
      <w:szCs w:val="22"/>
      <w:lang w:val="en-CA"/>
    </w:rPr>
  </w:style>
  <w:style w:type="paragraph" w:customStyle="1" w:styleId="TOCHeading1">
    <w:name w:val="TOC Heading1"/>
    <w:basedOn w:val="Normal"/>
    <w:link w:val="ToCHeadingChar0"/>
    <w:autoRedefine/>
    <w:qFormat/>
    <w:rsid w:val="002F2881"/>
    <w:pPr>
      <w:jc w:val="left"/>
    </w:pPr>
    <w:rPr>
      <w:b/>
      <w:smallCaps/>
      <w:spacing w:val="4"/>
      <w:sz w:val="24"/>
    </w:rPr>
  </w:style>
  <w:style w:type="character" w:customStyle="1" w:styleId="ToCHeadingChar0">
    <w:name w:val="ToC Heading Char"/>
    <w:basedOn w:val="DefaultParagraphFont"/>
    <w:link w:val="TOCHeading1"/>
    <w:rsid w:val="002F2881"/>
    <w:rPr>
      <w:rFonts w:ascii="Times New Roman" w:eastAsiaTheme="minorHAnsi" w:hAnsi="Times New Roman"/>
      <w:b/>
      <w:smallCaps/>
      <w:spacing w:val="4"/>
      <w:szCs w:val="22"/>
      <w:lang w:val="en-CA"/>
    </w:rPr>
  </w:style>
  <w:style w:type="paragraph" w:styleId="Caption">
    <w:name w:val="caption"/>
    <w:basedOn w:val="Normal"/>
    <w:next w:val="Normal"/>
    <w:uiPriority w:val="35"/>
    <w:semiHidden/>
    <w:unhideWhenUsed/>
    <w:qFormat/>
    <w:rsid w:val="00937142"/>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3966713">
      <w:bodyDiv w:val="1"/>
      <w:marLeft w:val="0"/>
      <w:marRight w:val="0"/>
      <w:marTop w:val="0"/>
      <w:marBottom w:val="0"/>
      <w:divBdr>
        <w:top w:val="none" w:sz="0" w:space="0" w:color="auto"/>
        <w:left w:val="none" w:sz="0" w:space="0" w:color="auto"/>
        <w:bottom w:val="none" w:sz="0" w:space="0" w:color="auto"/>
        <w:right w:val="none" w:sz="0" w:space="0" w:color="auto"/>
      </w:divBdr>
    </w:div>
    <w:div w:id="975261906">
      <w:bodyDiv w:val="1"/>
      <w:marLeft w:val="0"/>
      <w:marRight w:val="0"/>
      <w:marTop w:val="0"/>
      <w:marBottom w:val="0"/>
      <w:divBdr>
        <w:top w:val="none" w:sz="0" w:space="0" w:color="auto"/>
        <w:left w:val="none" w:sz="0" w:space="0" w:color="auto"/>
        <w:bottom w:val="none" w:sz="0" w:space="0" w:color="auto"/>
        <w:right w:val="none" w:sz="0" w:space="0" w:color="auto"/>
      </w:divBdr>
      <w:divsChild>
        <w:div w:id="747464431">
          <w:marLeft w:val="300"/>
          <w:marRight w:val="0"/>
          <w:marTop w:val="0"/>
          <w:marBottom w:val="0"/>
          <w:divBdr>
            <w:top w:val="none" w:sz="0" w:space="0" w:color="auto"/>
            <w:left w:val="none" w:sz="0" w:space="0" w:color="auto"/>
            <w:bottom w:val="none" w:sz="0" w:space="0" w:color="auto"/>
            <w:right w:val="none" w:sz="0" w:space="0" w:color="auto"/>
          </w:divBdr>
        </w:div>
        <w:div w:id="2023627559">
          <w:marLeft w:val="300"/>
          <w:marRight w:val="0"/>
          <w:marTop w:val="0"/>
          <w:marBottom w:val="0"/>
          <w:divBdr>
            <w:top w:val="none" w:sz="0" w:space="0" w:color="auto"/>
            <w:left w:val="none" w:sz="0" w:space="0" w:color="auto"/>
            <w:bottom w:val="none" w:sz="0" w:space="0" w:color="auto"/>
            <w:right w:val="none" w:sz="0" w:space="0" w:color="auto"/>
          </w:divBdr>
        </w:div>
        <w:div w:id="945045570">
          <w:marLeft w:val="300"/>
          <w:marRight w:val="0"/>
          <w:marTop w:val="0"/>
          <w:marBottom w:val="0"/>
          <w:divBdr>
            <w:top w:val="none" w:sz="0" w:space="0" w:color="auto"/>
            <w:left w:val="none" w:sz="0" w:space="0" w:color="auto"/>
            <w:bottom w:val="none" w:sz="0" w:space="0" w:color="auto"/>
            <w:right w:val="none" w:sz="0" w:space="0" w:color="auto"/>
          </w:divBdr>
        </w:div>
      </w:divsChild>
    </w:div>
    <w:div w:id="117749949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jpg"/><Relationship Id="rId18" Type="http://schemas.openxmlformats.org/officeDocument/2006/relationships/image" Target="media/image9.jpg"/><Relationship Id="rId26" Type="http://schemas.openxmlformats.org/officeDocument/2006/relationships/hyperlink" Target="http://www.lexisnexis.com/ca/legal/search/runRemoteLink.do?A=0.6327307213752411&amp;bct=A&amp;service=citation&amp;risb=21_T21177056424&amp;langcountry=CA&amp;linkInfo=F%23CA%23QCCA%23sel1%252006%25year%252006%25decisiondate%252006%25onum%251534%25" TargetMode="External"/><Relationship Id="rId39" Type="http://schemas.openxmlformats.org/officeDocument/2006/relationships/hyperlink" Target="http://www.lexisnexis.com/ca/legal/search/runRemoteLink.do?A=0.4503438998398447&amp;bct=A&amp;service=citation&amp;risb=21_T21169924652&amp;langcountry=GB&amp;linkInfo=F%23GB%23EWCACRIM%23sel1%252010%25page%251860%25year%252010%25" TargetMode="External"/><Relationship Id="rId3" Type="http://schemas.openxmlformats.org/officeDocument/2006/relationships/styles" Target="styles.xml"/><Relationship Id="rId21" Type="http://schemas.openxmlformats.org/officeDocument/2006/relationships/hyperlink" Target="http://www.lexisnexis.com/ca/legal/search/runRemoteLink.do?A=0.6820983138746691&amp;bct=A&amp;service=citation&amp;risb=21_T21177056424&amp;langcountry=CA&amp;linkInfo=F%23CA%23SCR%23vol%253%25sel1%251996%25page%251128%25year%251996%25sel2%253%25" TargetMode="External"/><Relationship Id="rId34" Type="http://schemas.openxmlformats.org/officeDocument/2006/relationships/hyperlink" Target="https://acquisition.gov/far/current/html/Subpart%209_4.html" TargetMode="External"/><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image" Target="media/image8.jpg"/><Relationship Id="rId25" Type="http://schemas.openxmlformats.org/officeDocument/2006/relationships/hyperlink" Target="http://www.lexisnexis.com/ca/legal/search/runRemoteLink.do?A=0.015891453722009508&amp;bct=A&amp;service=citation&amp;risb=21_T21177056424&amp;langcountry=CA&amp;linkInfo=F%23CA%23QJ%23ref%2522795%25sel1%252005%25year%252005%25" TargetMode="External"/><Relationship Id="rId33" Type="http://schemas.openxmlformats.org/officeDocument/2006/relationships/hyperlink" Target="http://www.lexisnexis.com/ca/legal/search/runRemoteLink.do?A=0.25703774820958114&amp;bct=A&amp;service=citation&amp;risb=21_T21120393160&amp;langcountry=CA&amp;linkInfo=F%23CA%23OJ%23ref%25971%25sel1%251984%25year%251984%25" TargetMode="External"/><Relationship Id="rId38" Type="http://schemas.openxmlformats.org/officeDocument/2006/relationships/hyperlink" Target="http://www.lexisnexis.com/ca/legal/search/runRemoteLink.do?A=0.8987570916685255&amp;bct=A&amp;service=citation&amp;risb=21_T21169924652&amp;langcountry=GB&amp;linkInfo=F%23GB%23EWCACRIM%23sel1%252006%25page%253254%25year%252006%25" TargetMode="External"/><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image" Target="media/image11.jpg"/><Relationship Id="rId29" Type="http://schemas.openxmlformats.org/officeDocument/2006/relationships/hyperlink" Target="http://www.lexisnexis.com/ca/legal/search/runRemoteLink.do?A=0.7463571812342438&amp;bct=A&amp;service=citation&amp;risb=21_T21177056424&amp;langcountry=CA&amp;linkInfo=F%23CA%23QCCS%23sel1%252006%25year%252006%25decisiondate%252006%25onum%251211%25" TargetMode="External"/><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g"/><Relationship Id="rId24" Type="http://schemas.openxmlformats.org/officeDocument/2006/relationships/hyperlink" Target="http://www.lexisnexis.com/ca/legal/search/runRemoteLink.do?A=0.6067818462382896&amp;bct=A&amp;service=citation&amp;risb=21_T21177056424&amp;langcountry=CA&amp;linkInfo=F%23CA%23NFPR%23vol%2595%25sel1%251991%25page%25332%25year%251991%25sel2%2595%25decisiondate%251991%25" TargetMode="External"/><Relationship Id="rId32" Type="http://schemas.openxmlformats.org/officeDocument/2006/relationships/hyperlink" Target="http://www.lexisnexis.com/ca/legal/search/runRemoteLink.do?A=0.38479478033410197&amp;bct=A&amp;service=citation&amp;risb=21_T21120393160&amp;langcountry=CA&amp;linkInfo=F%23CA%23OJ%23ref%25237%25sel1%252002%25year%252002%25" TargetMode="External"/><Relationship Id="rId37" Type="http://schemas.openxmlformats.org/officeDocument/2006/relationships/hyperlink" Target="http://www.lexisnexis.com/ca/legal/search/runRemoteLink.do?A=0.4385886569285553&amp;bct=A&amp;service=citation&amp;risb=21_T21169924652&amp;langcountry=GB&amp;linkInfo=F%23GB%23EWCACRIM%23sel1%252007%25page%251919%25year%252007%25" TargetMode="External"/><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6.jpg"/><Relationship Id="rId23" Type="http://schemas.openxmlformats.org/officeDocument/2006/relationships/hyperlink" Target="http://www.lexisnexis.com/ca/legal/search/runRemoteLink.do?A=0.3248525063768466&amp;bct=A&amp;service=citation&amp;risb=21_T21177056424&amp;langcountry=CA&amp;linkInfo=F%23CA%23QCCA%23sel1%252006%25year%252006%25decisiondate%252006%25onum%251534%25" TargetMode="External"/><Relationship Id="rId28" Type="http://schemas.openxmlformats.org/officeDocument/2006/relationships/hyperlink" Target="http://www.lexisnexis.com/ca/legal/search/runRemoteLink.do?A=0.7714108790727563&amp;bct=A&amp;service=citation&amp;risb=21_T21177056424&amp;langcountry=CA&amp;linkInfo=F%23CA%23OAC%23vol%25207%25sel1%252006%25page%25226%25year%252006%25sel2%25207%25decisiondate%252006%25" TargetMode="External"/><Relationship Id="rId36" Type="http://schemas.openxmlformats.org/officeDocument/2006/relationships/hyperlink" Target="http://www.lexisnexis.com/ca/legal/search/runRemoteLink.do?A=0.5662962928363412&amp;bct=A&amp;service=citation&amp;risb=21_T21169924652&amp;langcountry=GB&amp;linkInfo=F%23GB%23EWCACRIM%23sel1%252007%25page%252832%25year%252007%25" TargetMode="External"/><Relationship Id="rId10" Type="http://schemas.openxmlformats.org/officeDocument/2006/relationships/hyperlink" Target="http://www.law.cornell.edu/uscode/text/18/usc_sec_18_00003553----000-" TargetMode="External"/><Relationship Id="rId19" Type="http://schemas.openxmlformats.org/officeDocument/2006/relationships/image" Target="media/image10.jpg"/><Relationship Id="rId31" Type="http://schemas.openxmlformats.org/officeDocument/2006/relationships/hyperlink" Target="http://www.lexisnexis.com/ca/legal/search/runRemoteLink.do?A=0.8869707577469017&amp;bct=A&amp;service=citation&amp;risb=21_T21120393160&amp;langcountry=CA&amp;linkInfo=F%23CA%23OJ%23ref%251983%25sel1%252001%25year%252001%25" TargetMode="External"/><Relationship Id="rId44"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www.law.cornell.edu/uscode/text/18/3553" TargetMode="External"/><Relationship Id="rId14" Type="http://schemas.openxmlformats.org/officeDocument/2006/relationships/image" Target="media/image5.jpg"/><Relationship Id="rId22" Type="http://schemas.openxmlformats.org/officeDocument/2006/relationships/hyperlink" Target="http://www.lexisnexis.com/ca/legal/search/runRemoteLink.do?A=0.5018904581010555&amp;bct=A&amp;service=citation&amp;risb=21_T21177056424&amp;langcountry=CA&amp;linkInfo=F%23CA%23QJ%23ref%2522795%25sel1%252005%25year%252005%25" TargetMode="External"/><Relationship Id="rId27" Type="http://schemas.openxmlformats.org/officeDocument/2006/relationships/hyperlink" Target="http://www.lexisnexis.com/ca/legal/search/runRemoteLink.do?A=0.8196053268132486&amp;bct=A&amp;service=citation&amp;risb=21_T21177056424&amp;langcountry=CA&amp;linkInfo=F%23CA%23QCCS%23sel1%252006%25year%252006%25decisiondate%252006%25onum%252301%25" TargetMode="External"/><Relationship Id="rId30" Type="http://schemas.openxmlformats.org/officeDocument/2006/relationships/hyperlink" Target="http://www.lexisnexis.com/ca/legal/search/runRemoteLink.do?A=0.7578874023171267&amp;bct=A&amp;service=citation&amp;risb=21_T21177056424&amp;langcountry=CA&amp;linkInfo=F%23CA%23OJ%23ref%254369%25sel1%252012%25year%252012%25" TargetMode="External"/><Relationship Id="rId35" Type="http://schemas.openxmlformats.org/officeDocument/2006/relationships/hyperlink" Target="https://acquisition.gov/far/current/html/Subpart%209_4.html" TargetMode="External"/><Relationship Id="rId43" Type="http://schemas.openxmlformats.org/officeDocument/2006/relationships/footer" Target="footer2.xml"/></Relationships>
</file>

<file path=word/_rels/footnotes.xml.rels><?xml version="1.0" encoding="UTF-8" standalone="yes"?>
<Relationships xmlns="http://schemas.openxmlformats.org/package/2006/relationships"><Relationship Id="rId13" Type="http://schemas.openxmlformats.org/officeDocument/2006/relationships/hyperlink" Target="http://webarchive.nationalarchives.gov.uk/20101220171831/http://www.sfo.gov.uk//press-room/latest-press-releases/press-releases-2010/bae-systems-plc.aspx" TargetMode="External"/><Relationship Id="rId18" Type="http://schemas.openxmlformats.org/officeDocument/2006/relationships/hyperlink" Target="http://www.nytimes.com/2008/12/21/business/worldbusiness/21siemens.html?%20pagewanted=all&amp;_r=0" TargetMode="External"/><Relationship Id="rId26" Type="http://schemas.openxmlformats.org/officeDocument/2006/relationships/hyperlink" Target="http://www.eversheds.com/global/en/what/articles/index.page?ArticleID=en/Fraud_and_financial_crime/Sweett_group_sentenced" TargetMode="External"/><Relationship Id="rId39" Type="http://schemas.openxmlformats.org/officeDocument/2006/relationships/hyperlink" Target="http://web.worldbank.org/WBSITE/EXTERNAL/EXTABOUTUS/ORGANIZATION/ORGUNITS/EXTOFFEVASUS/0,,contentMDK:23065125~pagePK:64168445~piPK:64168309~theSitePK:3601046,00.html" TargetMode="External"/><Relationship Id="rId21" Type="http://schemas.openxmlformats.org/officeDocument/2006/relationships/hyperlink" Target="http://www.legislation.gov.uk/ukpga/2003/44/contents" TargetMode="External"/><Relationship Id="rId34" Type="http://schemas.openxmlformats.org/officeDocument/2006/relationships/hyperlink" Target="http://www.mondaq.com/canada/x/345442/White+Collar+Crime+Fraud/Risky+Business+A+Primer+on+Canadas+Foreign+AntiCorruption+Enforcement+Regime" TargetMode="External"/><Relationship Id="rId42" Type="http://schemas.openxmlformats.org/officeDocument/2006/relationships/hyperlink" Target="http://siteresources.worldbank.org/EXTOFFEVASUS/Resources/WBGSanctionsProceduresJan2011.pdf" TargetMode="External"/><Relationship Id="rId47" Type="http://schemas.openxmlformats.org/officeDocument/2006/relationships/hyperlink" Target="http://www.gao.gov/assets/670/663359.pdf" TargetMode="External"/><Relationship Id="rId50" Type="http://schemas.openxmlformats.org/officeDocument/2006/relationships/hyperlink" Target="http://www.legislation.gov.uk/uksi/2011/2053/pdfs/uksi_20112053_en.pdf" TargetMode="External"/><Relationship Id="rId55" Type="http://schemas.openxmlformats.org/officeDocument/2006/relationships/hyperlink" Target="https://buyandsell.gc.ca/policy-and-guidelines/policy-notifications/PN-107R2" TargetMode="External"/><Relationship Id="rId63" Type="http://schemas.openxmlformats.org/officeDocument/2006/relationships/hyperlink" Target="http://www.theglobeandmail.com/report-on-business/industry-players-say-ottawas-integrity-regime-still-unfair/article25334479/" TargetMode="External"/><Relationship Id="rId68" Type="http://schemas.openxmlformats.org/officeDocument/2006/relationships/hyperlink" Target="http://kluwercompetitionlawblog.com/2016/07/05/canadas-integrity-regimeunintended-consequences-for-canadian-cartel-enforcement/" TargetMode="External"/><Relationship Id="rId76" Type="http://schemas.openxmlformats.org/officeDocument/2006/relationships/hyperlink" Target="http://www.iccwbo.org/Products-and-Services/Arbitration-and-ADR/Arbitration/Introduction-to-ICC-Arbitration/Statistics/" TargetMode="External"/><Relationship Id="rId84" Type="http://schemas.openxmlformats.org/officeDocument/2006/relationships/hyperlink" Target="http://www.uncitral.org/uncitral/en/uncitral_texts/arbitration/NYConvention_status.html" TargetMode="External"/><Relationship Id="rId7" Type="http://schemas.openxmlformats.org/officeDocument/2006/relationships/hyperlink" Target="http://www.chicagotribune.com/news/local/breaking/ct-rod-blagojevich-appeal-prison-sentence-20160823-story.html" TargetMode="External"/><Relationship Id="rId71" Type="http://schemas.openxmlformats.org/officeDocument/2006/relationships/hyperlink" Target="http://www.snclavalin.com/en/administrative-agreement-under-canada-new-integrity-regime" TargetMode="External"/><Relationship Id="rId2" Type="http://schemas.openxmlformats.org/officeDocument/2006/relationships/hyperlink" Target="http://www.oecd.org/daf/anti-bribery/ConvCombatBribery_ENG.pdf" TargetMode="External"/><Relationship Id="rId16" Type="http://schemas.openxmlformats.org/officeDocument/2006/relationships/hyperlink" Target="http://www.justice.gov/opa/pr/bae-systems-plc-pleads-guilty-and-ordered-pay-400-million-criminal-fine" TargetMode="External"/><Relationship Id="rId29" Type="http://schemas.openxmlformats.org/officeDocument/2006/relationships/hyperlink" Target="http://thebriberyact.com/2015/02/15/opinion-it-was-so-easy-to-avoid-chickengate-smith-ouzman-sentencing-remarks-in-full-under-new-sentencing-guidelines/" TargetMode="External"/><Relationship Id="rId11" Type="http://schemas.openxmlformats.org/officeDocument/2006/relationships/hyperlink" Target="http://www.justice.gov/criminal/fraud/fcpa/guidance/guide.pdf" TargetMode="External"/><Relationship Id="rId24" Type="http://schemas.openxmlformats.org/officeDocument/2006/relationships/hyperlink" Target="https://www.sfo.gov.uk/2014/08/04/four-sentenced-role-innospec-corruption/" TargetMode="External"/><Relationship Id="rId32" Type="http://schemas.openxmlformats.org/officeDocument/2006/relationships/hyperlink" Target="http://www.canadianlawyermag.com/5350/Are-anti-corruption-laws-really-tackling-the-problem.html" TargetMode="External"/><Relationship Id="rId37" Type="http://schemas.openxmlformats.org/officeDocument/2006/relationships/hyperlink" Target="http://www.oecd.org/daf/anti-bribery/ConvCombatBribery_ENG.pdf" TargetMode="External"/><Relationship Id="rId40" Type="http://schemas.openxmlformats.org/officeDocument/2006/relationships/hyperlink" Target="http://siteresources.worldbank.org/EXTOFFEVASUS/Resources/OSDReport.pdf" TargetMode="External"/><Relationship Id="rId45" Type="http://schemas.openxmlformats.org/officeDocument/2006/relationships/hyperlink" Target="http://www.fcpablog.com/blog/2014/5/22/world-bank-combats-corruption-but-questions-linger-about-pro.html" TargetMode="External"/><Relationship Id="rId53" Type="http://schemas.openxmlformats.org/officeDocument/2006/relationships/hyperlink" Target="https://buyandsell.gc.ca/policy-and-guidelines/policy-notifications/PN-107U1" TargetMode="External"/><Relationship Id="rId58" Type="http://schemas.openxmlformats.org/officeDocument/2006/relationships/hyperlink" Target="http://ottawacitizen.com/news/national/anti-corruption-rules-on-suppliers-a-threat-to-canadian-economy-study" TargetMode="External"/><Relationship Id="rId66" Type="http://schemas.openxmlformats.org/officeDocument/2006/relationships/hyperlink" Target="http://www.theglobeandmail.com/report-on-business/rob-commentary/deferred-prosecution-wont-put-a-dent-in-corporate-crime/article24758293/" TargetMode="External"/><Relationship Id="rId74" Type="http://schemas.openxmlformats.org/officeDocument/2006/relationships/hyperlink" Target="https://www.tpsgc-pwgsc.gc.ca/ci-if/ar-cw/rapport-report-eng.html" TargetMode="External"/><Relationship Id="rId79" Type="http://schemas.openxmlformats.org/officeDocument/2006/relationships/hyperlink" Target="http://investmentpolicyhub.unctad.org/IIA/IiasByCountry" TargetMode="External"/><Relationship Id="rId87" Type="http://schemas.openxmlformats.org/officeDocument/2006/relationships/hyperlink" Target="http://kluwerarbitrationblog.com/2015/11/16/mol-v-republic-of-croatia-the-icsid-case-where-investor-corruption-as-a-defense-strategy-of-the-host-state-in-international-investment-arbitration-might-succeed/" TargetMode="External"/><Relationship Id="rId5" Type="http://schemas.openxmlformats.org/officeDocument/2006/relationships/hyperlink" Target="https://www.justice.gov/archive/usao/iln/chicago/2009/pr0402_01a.pdf" TargetMode="External"/><Relationship Id="rId61" Type="http://schemas.openxmlformats.org/officeDocument/2006/relationships/hyperlink" Target="http://www.mccarthy.ca/article_detail.aspx?id=7126" TargetMode="External"/><Relationship Id="rId82" Type="http://schemas.openxmlformats.org/officeDocument/2006/relationships/hyperlink" Target="http://www.italaw.com/documents/Canadian2004-FIPA-model-en.pdf" TargetMode="External"/><Relationship Id="rId19" Type="http://schemas.openxmlformats.org/officeDocument/2006/relationships/hyperlink" Target="http://dealbook.nytimes.com/2012/03/05/the-mounting-costs-of-internal-investigations/?_r=0" TargetMode="External"/><Relationship Id="rId4" Type="http://schemas.openxmlformats.org/officeDocument/2006/relationships/hyperlink" Target="http://www.law.cornell.edu/uscode/text/18/3553" TargetMode="External"/><Relationship Id="rId9" Type="http://schemas.openxmlformats.org/officeDocument/2006/relationships/hyperlink" Target="http://www.ussc.gov/sites/default/files/pdf/guidelines-manual/2014/CHAPTER_2.pdf" TargetMode="External"/><Relationship Id="rId14" Type="http://schemas.openxmlformats.org/officeDocument/2006/relationships/hyperlink" Target="https://star.worldbank.org/star/publication/few-and-far-hard-facts-stolen-asset-recovery" TargetMode="External"/><Relationship Id="rId22" Type="http://schemas.openxmlformats.org/officeDocument/2006/relationships/hyperlink" Target="https://www.sentencingcouncil.org.uk/wp-content/uploads/Fraud_bribery_and_money_laundering_offences_-_Definitive_guideline.pdf" TargetMode="External"/><Relationship Id="rId27" Type="http://schemas.openxmlformats.org/officeDocument/2006/relationships/hyperlink" Target="https://www.sfo.gov.uk/2016/02/19/sweett-group-plc-sentenced-and-ordered-to-pay-2-3-million-after-bribery-act-conviction/" TargetMode="External"/><Relationship Id="rId30" Type="http://schemas.openxmlformats.org/officeDocument/2006/relationships/hyperlink" Target="https://www.sfo.gov.uk/2015/11/30/sfo-agrees-first-uk-dpa-with-standard-bank/" TargetMode="External"/><Relationship Id="rId35" Type="http://schemas.openxmlformats.org/officeDocument/2006/relationships/hyperlink" Target="http://lnadbg4.adb.org/oai001p.nsf/" TargetMode="External"/><Relationship Id="rId43" Type="http://schemas.openxmlformats.org/officeDocument/2006/relationships/hyperlink" Target="http://web.worldbank.org/WBSITE/EXTERNAL/EXTABOUTUS/ORGANIZATION/ORGUNITS/EXTOFFEVASUS/0,,contentMDK:23059612~pagePK:64168445~piPK:64168309~theSitePK:3601046,00.html" TargetMode="External"/><Relationship Id="rId48" Type="http://schemas.openxmlformats.org/officeDocument/2006/relationships/hyperlink" Target="http://www.ecfr.gov/cgi-bin/text-idx?SID=9c026b9ecb084babcf763d793f929f64&amp;node=48:1.0.1.2.9.4&amp;rgn=div6" TargetMode="External"/><Relationship Id="rId56" Type="http://schemas.openxmlformats.org/officeDocument/2006/relationships/hyperlink" Target="https://www.tpsgc-pwgsc.gc.ca/app-acq/cndt-cndct/contexte-context-eng.html" TargetMode="External"/><Relationship Id="rId64" Type="http://schemas.openxmlformats.org/officeDocument/2006/relationships/hyperlink" Target="http://www.canadianfraudlaw.com/2015/07/the-new-integrity-regime-in-canada-revised-debarment-rules-still-too-strict/" TargetMode="External"/><Relationship Id="rId69" Type="http://schemas.openxmlformats.org/officeDocument/2006/relationships/hyperlink" Target="https://www.bennettjones.com/Publications/Updates/Changes_to_Canada_s_Integrity_Regime_for_Public_Procurement_Create_Onerous_New_Reporting_Requirement" TargetMode="External"/><Relationship Id="rId77" Type="http://schemas.openxmlformats.org/officeDocument/2006/relationships/hyperlink" Target="http://www.uncitral.org/uncitral/en/uncitral_texts/arbitration/2010Arbitration_rules.html" TargetMode="External"/><Relationship Id="rId8" Type="http://schemas.openxmlformats.org/officeDocument/2006/relationships/hyperlink" Target="http://www.chicagotribune.com/news/local/breaking/ct-rod-blagojevich-appeal-20170421-story.html" TargetMode="External"/><Relationship Id="rId51" Type="http://schemas.openxmlformats.org/officeDocument/2006/relationships/hyperlink" Target="https://www.tpsgc-pwgsc.gc.ca/apropos-about/cdi-mbb/1/survol-overview-eng.html" TargetMode="External"/><Relationship Id="rId72" Type="http://schemas.openxmlformats.org/officeDocument/2006/relationships/hyperlink" Target="https://www.tpsgc-pwgsc.gc.ca/ci-if/ar-cw/index-eng.html" TargetMode="External"/><Relationship Id="rId80" Type="http://schemas.openxmlformats.org/officeDocument/2006/relationships/hyperlink" Target="http://www.italaw.com/documents/Canadian2004-FIPA-model-en.pdf" TargetMode="External"/><Relationship Id="rId85" Type="http://schemas.openxmlformats.org/officeDocument/2006/relationships/hyperlink" Target="http://www.italaw.com/sites/default/files/case-documents/italaw6326.pdf" TargetMode="External"/><Relationship Id="rId3" Type="http://schemas.openxmlformats.org/officeDocument/2006/relationships/hyperlink" Target="http://www.ussc.gov/sites/default/files/pdf/guidelines-manual/2014/GLMFull.pdf" TargetMode="External"/><Relationship Id="rId12" Type="http://schemas.openxmlformats.org/officeDocument/2006/relationships/hyperlink" Target="http://www.fcpablog.com/blog/2016/10/4/och-ziff-takes-fourth-spot-on-our-new-top-ten-list.html%20-%20sthash.mYslwT7F.dpuf" TargetMode="External"/><Relationship Id="rId17" Type="http://schemas.openxmlformats.org/officeDocument/2006/relationships/hyperlink" Target="http://www.pbs.org/frontlineworld/stories/bribe/2010/02/bae-too-good-a-deal-says-chair-of-anti-bribery-group.html" TargetMode="External"/><Relationship Id="rId25" Type="http://schemas.openxmlformats.org/officeDocument/2006/relationships/hyperlink" Target="http://thebriberyact.com/2014/08/11/supersize-me-innospec-4-sentencing-remarks-do-much-more-than-they-say-on-the-tin/" TargetMode="External"/><Relationship Id="rId33" Type="http://schemas.openxmlformats.org/officeDocument/2006/relationships/hyperlink" Target="http://www.shearman.com/~/media/Files/NewsInsights/Publications/2015/01/Recent-Trends-and-Patterns-only-LT-010515.pdf" TargetMode="External"/><Relationship Id="rId38" Type="http://schemas.openxmlformats.org/officeDocument/2006/relationships/hyperlink" Target="http://dalspace.library.dal.ca/handle/10222/56272" TargetMode="External"/><Relationship Id="rId46" Type="http://schemas.openxmlformats.org/officeDocument/2006/relationships/hyperlink" Target="http://www.archives.gov/federal-register/codification/executive-order/12549.html" TargetMode="External"/><Relationship Id="rId59" Type="http://schemas.openxmlformats.org/officeDocument/2006/relationships/hyperlink" Target="http://www.mccarthy.ca/article_detail.aspx?id=6895" TargetMode="External"/><Relationship Id="rId67" Type="http://schemas.openxmlformats.org/officeDocument/2006/relationships/hyperlink" Target="http://www.theglobeandmail.com/opinion/editorials/the-integrity-framework-is-still-too-tough/article25373384/" TargetMode="External"/><Relationship Id="rId20" Type="http://schemas.openxmlformats.org/officeDocument/2006/relationships/hyperlink" Target="http://www.oecd.org/daf/anti-bribery/oecdantibriberyconvention.htm" TargetMode="External"/><Relationship Id="rId41" Type="http://schemas.openxmlformats.org/officeDocument/2006/relationships/hyperlink" Target="http://siteresources.worldbank.org/INTOFFEVASUS/Resources/3601037-1346795612671/SanctionsBoardDecisionNo.75(SanctionsCaseNo.260).pdf" TargetMode="External"/><Relationship Id="rId54" Type="http://schemas.openxmlformats.org/officeDocument/2006/relationships/hyperlink" Target="https://buyandsell.gc.ca/policy-and-guidelines/policy-notifications/PN-107R1" TargetMode="External"/><Relationship Id="rId62" Type="http://schemas.openxmlformats.org/officeDocument/2006/relationships/hyperlink" Target="http://www.theglobeandmail.com/report-on-business/rob-commentary/new-integrity-regime-of-procurement-rules-still-tilts-toward-punishment/article25475524/" TargetMode="External"/><Relationship Id="rId70" Type="http://schemas.openxmlformats.org/officeDocument/2006/relationships/hyperlink" Target="http://www.theglobeandmail.com/report-on-business/snc-case-shows-downside-of-ottawas-strict-anti-corruption-regime/article23087586/" TargetMode="External"/><Relationship Id="rId75" Type="http://schemas.openxmlformats.org/officeDocument/2006/relationships/hyperlink" Target="https://www.justice.gov/sites/default/files/dag/legacy/2008/04/15/dag-030708.pdf" TargetMode="External"/><Relationship Id="rId83" Type="http://schemas.openxmlformats.org/officeDocument/2006/relationships/hyperlink" Target="http://www.state.gov/documents/organization/188371.pdf" TargetMode="External"/><Relationship Id="rId88" Type="http://schemas.openxmlformats.org/officeDocument/2006/relationships/hyperlink" Target="https://www.iareporter.com/articles/croatia-fails-in-bid-to-argue-that-umbrella-clause-carve-out-should-knock-out-claim-uncitral-tribunal-finalized-in-separate-case/" TargetMode="External"/><Relationship Id="rId1" Type="http://schemas.openxmlformats.org/officeDocument/2006/relationships/hyperlink" Target="https://www.unodc.org/documents/treaties/UNCAC/Publications/Convention/08-50026_E.pdf" TargetMode="External"/><Relationship Id="rId6" Type="http://schemas.openxmlformats.org/officeDocument/2006/relationships/hyperlink" Target="http://www.nytimes.com/2011/12/08/us/blagojevich-expresses-remorse-in-courtroom-speech.html?_r=0" TargetMode="External"/><Relationship Id="rId15" Type="http://schemas.openxmlformats.org/officeDocument/2006/relationships/hyperlink" Target="http://www.state.gov/r/pa/prs/ps/2011/05/163530.htm%3e." TargetMode="External"/><Relationship Id="rId23" Type="http://schemas.openxmlformats.org/officeDocument/2006/relationships/hyperlink" Target="http://www.legislation.gov.uk/ukpga/2010/23/contents" TargetMode="External"/><Relationship Id="rId28" Type="http://schemas.openxmlformats.org/officeDocument/2006/relationships/hyperlink" Target="https://www.sfo.gov.uk/cases/sustainable-agroenergy-plc-sustainable-wealth-investments-uk-ltd/" TargetMode="External"/><Relationship Id="rId36" Type="http://schemas.openxmlformats.org/officeDocument/2006/relationships/hyperlink" Target="https://www.unodc.org/documents/treaties/UNCAC/Publications/Convention/08-50026_E.pdf" TargetMode="External"/><Relationship Id="rId49" Type="http://schemas.openxmlformats.org/officeDocument/2006/relationships/hyperlink" Target="http://www.acquisition.gov/far/" TargetMode="External"/><Relationship Id="rId57" Type="http://schemas.openxmlformats.org/officeDocument/2006/relationships/hyperlink" Target="http://www.theglobeandmail.com/report-on-business/international-business/ottawa-could-face-lawsuits-for-strict-trade-corruption-rules-report/article21739211/" TargetMode="External"/><Relationship Id="rId10" Type="http://schemas.openxmlformats.org/officeDocument/2006/relationships/hyperlink" Target="http://www.law.cornell.edu/uscode/text/18/3572" TargetMode="External"/><Relationship Id="rId31" Type="http://schemas.openxmlformats.org/officeDocument/2006/relationships/hyperlink" Target="https://www.sfo.gov.uk/2016/07/08/sfo-secures-second-dpa/" TargetMode="External"/><Relationship Id="rId44" Type="http://schemas.openxmlformats.org/officeDocument/2006/relationships/hyperlink" Target="http://siteresources.worldbank.org/EXTOFFEVASUS/Resources/WBGSanctionsProceduresJan2011.pdf" TargetMode="External"/><Relationship Id="rId52" Type="http://schemas.openxmlformats.org/officeDocument/2006/relationships/hyperlink" Target="https://buyandsell.gc.ca/policy-and-guidelines/policy-notifications/PN-107" TargetMode="External"/><Relationship Id="rId60" Type="http://schemas.openxmlformats.org/officeDocument/2006/relationships/hyperlink" Target="http://www.tpsgc-pwgsc.gc.ca/ci-if/ci-if-eng.html" TargetMode="External"/><Relationship Id="rId65" Type="http://schemas.openxmlformats.org/officeDocument/2006/relationships/hyperlink" Target="http://www.theglobeandmail.com/opinion/editorials/the-integrity-framework-is-still-too-tough/article25373384/" TargetMode="External"/><Relationship Id="rId73" Type="http://schemas.openxmlformats.org/officeDocument/2006/relationships/hyperlink" Target="https://www.tpsgc-pwgsc.gc.ca/ci-if/ar-cw/examiner-review-eng.html" TargetMode="External"/><Relationship Id="rId78" Type="http://schemas.openxmlformats.org/officeDocument/2006/relationships/hyperlink" Target="https://icsid.worldbank.org/apps/ICSIDWEB/about/Pages/Database-of-Member-States.bak.aspx?ViewMembership=All" TargetMode="External"/><Relationship Id="rId81" Type="http://schemas.openxmlformats.org/officeDocument/2006/relationships/hyperlink" Target="http://www.state.gov/documents/organization/188371.pdf" TargetMode="External"/><Relationship Id="rId86" Type="http://schemas.openxmlformats.org/officeDocument/2006/relationships/hyperlink" Target="http://www.italaw.com/sites/default/files/case-documents/italaw7340.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2157AB-8BAC-47F2-8FDD-6A951420E4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146</TotalTime>
  <Pages>123</Pages>
  <Words>36971</Words>
  <Characters>210738</Characters>
  <Application>Microsoft Office Word</Application>
  <DocSecurity>0</DocSecurity>
  <Lines>1756</Lines>
  <Paragraphs>494</Paragraphs>
  <ScaleCrop>false</ScaleCrop>
  <HeadingPairs>
    <vt:vector size="2" baseType="variant">
      <vt:variant>
        <vt:lpstr>Title</vt:lpstr>
      </vt:variant>
      <vt:variant>
        <vt:i4>1</vt:i4>
      </vt:variant>
    </vt:vector>
  </HeadingPairs>
  <TitlesOfParts>
    <vt:vector size="1" baseType="lpstr">
      <vt:lpstr/>
    </vt:vector>
  </TitlesOfParts>
  <Company>SFU</Company>
  <LinksUpToDate>false</LinksUpToDate>
  <CharactersWithSpaces>247215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 MacDonald</dc:creator>
  <cp:lastModifiedBy>Yenny Lim</cp:lastModifiedBy>
  <cp:revision>49</cp:revision>
  <cp:lastPrinted>2018-02-09T19:51:00Z</cp:lastPrinted>
  <dcterms:created xsi:type="dcterms:W3CDTF">2018-04-03T20:15:00Z</dcterms:created>
  <dcterms:modified xsi:type="dcterms:W3CDTF">2018-05-11T23:00:00Z</dcterms:modified>
</cp:coreProperties>
</file>